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3C962" w14:textId="77777777" w:rsidR="0002719F" w:rsidRPr="0002719F" w:rsidRDefault="0002719F" w:rsidP="00C43705">
      <w:pPr>
        <w:spacing w:after="0" w:line="240" w:lineRule="auto"/>
        <w:jc w:val="both"/>
        <w:rPr>
          <w:rFonts w:ascii="Verdana" w:eastAsia="Geomanist Light" w:hAnsi="Verdana" w:cs="Arial"/>
          <w:b/>
          <w:bCs/>
          <w:color w:val="000000" w:themeColor="text1"/>
          <w:lang w:val="es-MX"/>
        </w:rPr>
      </w:pPr>
      <w:r w:rsidRPr="0002719F">
        <w:rPr>
          <w:rFonts w:ascii="Verdana" w:eastAsia="Geomanist Light" w:hAnsi="Verdana" w:cs="Arial"/>
          <w:b/>
          <w:bCs/>
          <w:color w:val="000000" w:themeColor="text1"/>
          <w:lang w:val="es-MX"/>
        </w:rPr>
        <w:t>CONTRATO DE ARRENDAMIENTO – Concepto – Elementos – Regulación</w:t>
      </w:r>
    </w:p>
    <w:p w14:paraId="6C917A48" w14:textId="77777777" w:rsidR="0002719F" w:rsidRPr="0002719F" w:rsidRDefault="0002719F" w:rsidP="00C43705">
      <w:pPr>
        <w:spacing w:after="0" w:line="240" w:lineRule="auto"/>
        <w:jc w:val="both"/>
        <w:rPr>
          <w:rFonts w:ascii="Verdana" w:eastAsia="Geomanist Light" w:hAnsi="Verdana" w:cs="Arial"/>
          <w:color w:val="000000" w:themeColor="text1"/>
          <w:lang w:val="es-MX"/>
        </w:rPr>
      </w:pPr>
    </w:p>
    <w:p w14:paraId="240D1983" w14:textId="77777777" w:rsidR="0002719F" w:rsidRPr="00C43705" w:rsidRDefault="0002719F" w:rsidP="00C43705">
      <w:pPr>
        <w:spacing w:after="0" w:line="240" w:lineRule="auto"/>
        <w:jc w:val="both"/>
        <w:rPr>
          <w:rFonts w:ascii="Verdana" w:eastAsia="Geomanist Light" w:hAnsi="Verdana" w:cs="Arial"/>
          <w:color w:val="000000" w:themeColor="text1"/>
          <w:sz w:val="20"/>
          <w:szCs w:val="20"/>
          <w:lang w:val="es-MX"/>
        </w:rPr>
      </w:pPr>
      <w:r w:rsidRPr="00C43705">
        <w:rPr>
          <w:rFonts w:ascii="Verdana" w:eastAsia="Geomanist Light" w:hAnsi="Verdana" w:cs="Arial"/>
          <w:color w:val="000000" w:themeColor="text1"/>
          <w:sz w:val="20"/>
          <w:szCs w:val="20"/>
          <w:lang w:val="es-MX"/>
        </w:rPr>
        <w:t>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arrendador– se obliga a concederle a otra –llamada arrendatario– el uso y goce de un bien, a cambio de una renta o canon. Por tanto, se diferencia del contrato de compraventa en que no opera una transferencia del dominio del bien cuyo uso y goce se entrega.</w:t>
      </w:r>
    </w:p>
    <w:p w14:paraId="25988C16" w14:textId="77777777" w:rsidR="0002719F" w:rsidRPr="00C43705" w:rsidRDefault="0002719F" w:rsidP="00C43705">
      <w:pPr>
        <w:spacing w:after="0" w:line="240" w:lineRule="auto"/>
        <w:jc w:val="both"/>
        <w:rPr>
          <w:rFonts w:ascii="Verdana" w:eastAsia="Geomanist Light" w:hAnsi="Verdana" w:cs="Arial"/>
          <w:color w:val="000000" w:themeColor="text1"/>
          <w:sz w:val="20"/>
          <w:szCs w:val="20"/>
          <w:lang w:val="es-MX"/>
        </w:rPr>
      </w:pPr>
    </w:p>
    <w:p w14:paraId="6842E522" w14:textId="6B4B527B" w:rsidR="0002719F" w:rsidRPr="00C43705" w:rsidRDefault="0002719F" w:rsidP="00C43705">
      <w:pPr>
        <w:spacing w:after="0" w:line="240" w:lineRule="auto"/>
        <w:jc w:val="both"/>
        <w:rPr>
          <w:rFonts w:ascii="Verdana" w:eastAsia="Geomanist Light" w:hAnsi="Verdana" w:cs="Arial"/>
          <w:color w:val="000000" w:themeColor="text1"/>
          <w:sz w:val="20"/>
          <w:szCs w:val="20"/>
          <w:lang w:val="es-MX"/>
        </w:rPr>
      </w:pPr>
      <w:r w:rsidRPr="00C43705">
        <w:rPr>
          <w:rFonts w:ascii="Verdana" w:eastAsia="Geomanist Light" w:hAnsi="Verdana" w:cs="Arial"/>
          <w:color w:val="000000" w:themeColor="text1"/>
          <w:sz w:val="20"/>
          <w:szCs w:val="20"/>
          <w:lang w:val="es-MX"/>
        </w:rPr>
        <w:t xml:space="preserve">En cuanto a sus características, la doctrina ha indicado que el arrendamiento es un contrato: i) bilateral, pues ambas partes se obligan recíprocamente; </w:t>
      </w:r>
      <w:proofErr w:type="spellStart"/>
      <w:r w:rsidRPr="00C43705">
        <w:rPr>
          <w:rFonts w:ascii="Verdana" w:eastAsia="Geomanist Light" w:hAnsi="Verdana" w:cs="Arial"/>
          <w:color w:val="000000" w:themeColor="text1"/>
          <w:sz w:val="20"/>
          <w:szCs w:val="20"/>
          <w:lang w:val="es-MX"/>
        </w:rPr>
        <w:t>ii</w:t>
      </w:r>
      <w:proofErr w:type="spellEnd"/>
      <w:r w:rsidRPr="00C43705">
        <w:rPr>
          <w:rFonts w:ascii="Verdana" w:eastAsia="Geomanist Light" w:hAnsi="Verdana" w:cs="Arial"/>
          <w:color w:val="000000" w:themeColor="text1"/>
          <w:sz w:val="20"/>
          <w:szCs w:val="20"/>
          <w:lang w:val="es-MX"/>
        </w:rPr>
        <w:t xml:space="preserve">) consensual, dado que se perfecciona con el consentimiento ; </w:t>
      </w:r>
      <w:proofErr w:type="spellStart"/>
      <w:r w:rsidRPr="00C43705">
        <w:rPr>
          <w:rFonts w:ascii="Verdana" w:eastAsia="Geomanist Light" w:hAnsi="Verdana" w:cs="Arial"/>
          <w:color w:val="000000" w:themeColor="text1"/>
          <w:sz w:val="20"/>
          <w:szCs w:val="20"/>
          <w:lang w:val="es-MX"/>
        </w:rPr>
        <w:t>iii</w:t>
      </w:r>
      <w:proofErr w:type="spellEnd"/>
      <w:r w:rsidRPr="00C43705">
        <w:rPr>
          <w:rFonts w:ascii="Verdana" w:eastAsia="Geomanist Light" w:hAnsi="Verdana" w:cs="Arial"/>
          <w:color w:val="000000" w:themeColor="text1"/>
          <w:sz w:val="20"/>
          <w:szCs w:val="20"/>
          <w:lang w:val="es-MX"/>
        </w:rPr>
        <w:t xml:space="preserve">) oneroso, ya que ambas partes obtienen utilidades –el arrendatario, el uso y goce del bien, y el arrendador la renta o canon–; </w:t>
      </w:r>
      <w:proofErr w:type="spellStart"/>
      <w:r w:rsidRPr="00C43705">
        <w:rPr>
          <w:rFonts w:ascii="Verdana" w:eastAsia="Geomanist Light" w:hAnsi="Verdana" w:cs="Arial"/>
          <w:color w:val="000000" w:themeColor="text1"/>
          <w:sz w:val="20"/>
          <w:szCs w:val="20"/>
          <w:lang w:val="es-MX"/>
        </w:rPr>
        <w:t>iv</w:t>
      </w:r>
      <w:proofErr w:type="spellEnd"/>
      <w:r w:rsidRPr="00C43705">
        <w:rPr>
          <w:rFonts w:ascii="Verdana" w:eastAsia="Geomanist Light" w:hAnsi="Verdana" w:cs="Arial"/>
          <w:color w:val="000000" w:themeColor="text1"/>
          <w:sz w:val="20"/>
          <w:szCs w:val="20"/>
          <w:lang w:val="es-MX"/>
        </w:rPr>
        <w:t>) de ejecución sucesiva, en la medida en que se ejecuta en forma periódica; v) principal, porque existe en forma autónoma; y v) nominado, porque está tipificado y desarrollado en la ley</w:t>
      </w:r>
      <w:r w:rsidR="00C43705" w:rsidRPr="00C43705">
        <w:rPr>
          <w:rFonts w:ascii="Verdana" w:eastAsia="Geomanist Light" w:hAnsi="Verdana" w:cs="Arial"/>
          <w:color w:val="000000" w:themeColor="text1"/>
          <w:sz w:val="20"/>
          <w:szCs w:val="20"/>
          <w:lang w:val="es-MX"/>
        </w:rPr>
        <w:t>.</w:t>
      </w:r>
    </w:p>
    <w:p w14:paraId="695D2B95" w14:textId="77777777" w:rsidR="0002719F" w:rsidRPr="0002719F" w:rsidRDefault="0002719F" w:rsidP="00C43705">
      <w:pPr>
        <w:spacing w:after="0" w:line="240" w:lineRule="auto"/>
        <w:jc w:val="both"/>
        <w:rPr>
          <w:rFonts w:ascii="Verdana" w:eastAsia="Geomanist Light" w:hAnsi="Verdana" w:cs="Arial"/>
          <w:color w:val="000000" w:themeColor="text1"/>
          <w:lang w:val="es-MX"/>
        </w:rPr>
      </w:pPr>
    </w:p>
    <w:p w14:paraId="365DD1FD" w14:textId="77777777" w:rsidR="0002719F" w:rsidRPr="0002719F" w:rsidRDefault="0002719F" w:rsidP="00C43705">
      <w:pPr>
        <w:spacing w:after="0" w:line="240" w:lineRule="auto"/>
        <w:jc w:val="both"/>
        <w:rPr>
          <w:rFonts w:ascii="Verdana" w:eastAsia="Geomanist Light" w:hAnsi="Verdana" w:cs="Arial"/>
          <w:b/>
          <w:bCs/>
          <w:color w:val="000000" w:themeColor="text1"/>
          <w:lang w:val="es-MX"/>
        </w:rPr>
      </w:pPr>
      <w:r w:rsidRPr="0002719F">
        <w:rPr>
          <w:rFonts w:ascii="Verdana" w:eastAsia="Geomanist Light" w:hAnsi="Verdana" w:cs="Arial"/>
          <w:b/>
          <w:bCs/>
          <w:color w:val="000000" w:themeColor="text1"/>
          <w:lang w:val="es-MX"/>
        </w:rPr>
        <w:t>SEGURIDAD SOCIAL – Verificación – Pago de aportes parafiscales – Persona natural – Persona jurídica</w:t>
      </w:r>
    </w:p>
    <w:p w14:paraId="484DAF1A" w14:textId="77777777" w:rsidR="0002719F" w:rsidRPr="0002719F" w:rsidRDefault="0002719F" w:rsidP="00C43705">
      <w:pPr>
        <w:spacing w:after="0" w:line="240" w:lineRule="auto"/>
        <w:jc w:val="both"/>
        <w:rPr>
          <w:rFonts w:ascii="Verdana" w:eastAsia="Geomanist Light" w:hAnsi="Verdana" w:cs="Arial"/>
          <w:color w:val="000000" w:themeColor="text1"/>
          <w:lang w:val="es-MX"/>
        </w:rPr>
      </w:pPr>
    </w:p>
    <w:p w14:paraId="127A6EB5" w14:textId="67434A44" w:rsidR="0002719F" w:rsidRPr="00C43705" w:rsidRDefault="0002719F" w:rsidP="00C43705">
      <w:pPr>
        <w:spacing w:after="0" w:line="240" w:lineRule="auto"/>
        <w:jc w:val="both"/>
        <w:rPr>
          <w:rFonts w:ascii="Verdana" w:eastAsia="Geomanist Light" w:hAnsi="Verdana" w:cs="Arial"/>
          <w:color w:val="000000" w:themeColor="text1"/>
          <w:sz w:val="20"/>
          <w:szCs w:val="20"/>
          <w:lang w:val="es-MX"/>
        </w:rPr>
      </w:pPr>
      <w:r w:rsidRPr="00C43705">
        <w:rPr>
          <w:rFonts w:ascii="Verdana" w:eastAsia="Geomanist Light" w:hAnsi="Verdana" w:cs="Arial"/>
          <w:color w:val="000000" w:themeColor="text1"/>
          <w:sz w:val="20"/>
          <w:szCs w:val="20"/>
          <w:lang w:val="es-MX"/>
        </w:rPr>
        <w:t xml:space="preserve">[…] la verificación de los aportes al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w:t>
      </w:r>
      <w:proofErr w:type="spellStart"/>
      <w:r w:rsidRPr="00C43705">
        <w:rPr>
          <w:rFonts w:ascii="Verdana" w:eastAsia="Geomanist Light" w:hAnsi="Verdana" w:cs="Arial"/>
          <w:color w:val="000000" w:themeColor="text1"/>
          <w:sz w:val="20"/>
          <w:szCs w:val="20"/>
          <w:lang w:val="es-MX"/>
        </w:rPr>
        <w:t>ii</w:t>
      </w:r>
      <w:proofErr w:type="spellEnd"/>
      <w:r w:rsidRPr="00C43705">
        <w:rPr>
          <w:rFonts w:ascii="Verdana" w:eastAsia="Geomanist Light" w:hAnsi="Verdana" w:cs="Arial"/>
          <w:color w:val="000000" w:themeColor="text1"/>
          <w:sz w:val="20"/>
          <w:szCs w:val="20"/>
          <w:lang w:val="es-MX"/>
        </w:rPr>
        <w:t>) si se refiere a una persona jurídica, el comprobante de pago de los aportes al Sistema de Seguridad Social Integral de sus empleados se debe aportar con la presentación de la oferta, y este constituye un criterio de admisión de la oferta; sin perjuicio de que durante la ejecución del contrato también se acredite el pago al Sistema de Seguridad Social Integral para pagar las cuentas o facturas.</w:t>
      </w:r>
    </w:p>
    <w:p w14:paraId="58585810" w14:textId="77777777" w:rsidR="0002719F" w:rsidRDefault="0002719F" w:rsidP="0075789E">
      <w:pPr>
        <w:spacing w:after="0" w:line="240" w:lineRule="auto"/>
        <w:rPr>
          <w:rFonts w:ascii="Verdana" w:eastAsia="Geomanist Light" w:hAnsi="Verdana" w:cs="Arial"/>
          <w:color w:val="000000" w:themeColor="text1"/>
          <w:lang w:val="es-MX"/>
        </w:rPr>
      </w:pPr>
    </w:p>
    <w:p w14:paraId="4CF4D766" w14:textId="77777777" w:rsidR="0002719F" w:rsidRDefault="0002719F" w:rsidP="0075789E">
      <w:pPr>
        <w:spacing w:after="0" w:line="240" w:lineRule="auto"/>
        <w:rPr>
          <w:rFonts w:ascii="Verdana" w:eastAsia="Geomanist Light" w:hAnsi="Verdana" w:cs="Arial"/>
          <w:color w:val="000000" w:themeColor="text1"/>
          <w:lang w:val="es-MX"/>
        </w:rPr>
      </w:pPr>
    </w:p>
    <w:p w14:paraId="3B9EB284" w14:textId="77777777" w:rsidR="0002719F" w:rsidRDefault="0002719F" w:rsidP="0075789E">
      <w:pPr>
        <w:spacing w:after="0" w:line="240" w:lineRule="auto"/>
        <w:rPr>
          <w:rFonts w:ascii="Verdana" w:eastAsia="Geomanist Light" w:hAnsi="Verdana" w:cs="Arial"/>
          <w:color w:val="000000" w:themeColor="text1"/>
          <w:lang w:val="es-MX"/>
        </w:rPr>
      </w:pPr>
    </w:p>
    <w:p w14:paraId="148DC0D1" w14:textId="77777777" w:rsidR="0002719F" w:rsidRDefault="0002719F" w:rsidP="0075789E">
      <w:pPr>
        <w:spacing w:after="0" w:line="240" w:lineRule="auto"/>
        <w:rPr>
          <w:rFonts w:ascii="Verdana" w:eastAsia="Geomanist Light" w:hAnsi="Verdana" w:cs="Arial"/>
          <w:color w:val="000000" w:themeColor="text1"/>
          <w:lang w:val="es-MX"/>
        </w:rPr>
      </w:pPr>
    </w:p>
    <w:p w14:paraId="1092A7AD" w14:textId="77777777" w:rsidR="0002719F" w:rsidRDefault="0002719F" w:rsidP="0075789E">
      <w:pPr>
        <w:spacing w:after="0" w:line="240" w:lineRule="auto"/>
        <w:rPr>
          <w:rFonts w:ascii="Verdana" w:eastAsia="Geomanist Light" w:hAnsi="Verdana" w:cs="Arial"/>
          <w:color w:val="000000" w:themeColor="text1"/>
          <w:lang w:val="es-MX"/>
        </w:rPr>
      </w:pPr>
    </w:p>
    <w:p w14:paraId="13E7511F" w14:textId="77777777" w:rsidR="0002719F" w:rsidRDefault="0002719F" w:rsidP="0075789E">
      <w:pPr>
        <w:spacing w:after="0" w:line="240" w:lineRule="auto"/>
        <w:rPr>
          <w:rFonts w:ascii="Verdana" w:eastAsia="Geomanist Light" w:hAnsi="Verdana" w:cs="Arial"/>
          <w:color w:val="000000" w:themeColor="text1"/>
          <w:lang w:val="es-MX"/>
        </w:rPr>
      </w:pPr>
    </w:p>
    <w:p w14:paraId="5CF412AC" w14:textId="77777777" w:rsidR="0002719F" w:rsidRDefault="0002719F" w:rsidP="0075789E">
      <w:pPr>
        <w:spacing w:after="0" w:line="240" w:lineRule="auto"/>
        <w:rPr>
          <w:rFonts w:ascii="Verdana" w:eastAsia="Geomanist Light" w:hAnsi="Verdana" w:cs="Arial"/>
          <w:color w:val="000000" w:themeColor="text1"/>
          <w:lang w:val="es-MX"/>
        </w:rPr>
      </w:pPr>
    </w:p>
    <w:p w14:paraId="4FF2B6A2" w14:textId="77777777" w:rsidR="0002719F" w:rsidRDefault="0002719F" w:rsidP="0075789E">
      <w:pPr>
        <w:spacing w:after="0" w:line="240" w:lineRule="auto"/>
        <w:rPr>
          <w:rFonts w:ascii="Verdana" w:eastAsia="Geomanist Light" w:hAnsi="Verdana" w:cs="Arial"/>
          <w:color w:val="000000" w:themeColor="text1"/>
          <w:lang w:val="es-MX"/>
        </w:rPr>
      </w:pPr>
    </w:p>
    <w:p w14:paraId="3A80DBE7" w14:textId="77777777" w:rsidR="0002719F" w:rsidRDefault="0002719F" w:rsidP="0075789E">
      <w:pPr>
        <w:spacing w:after="0" w:line="240" w:lineRule="auto"/>
        <w:rPr>
          <w:rFonts w:ascii="Verdana" w:eastAsia="Geomanist Light" w:hAnsi="Verdana" w:cs="Arial"/>
          <w:color w:val="000000" w:themeColor="text1"/>
          <w:lang w:val="es-MX"/>
        </w:rPr>
      </w:pPr>
    </w:p>
    <w:p w14:paraId="7E79C04C" w14:textId="77777777" w:rsidR="0002719F" w:rsidRDefault="0002719F" w:rsidP="0075789E">
      <w:pPr>
        <w:spacing w:after="0" w:line="240" w:lineRule="auto"/>
        <w:rPr>
          <w:rFonts w:ascii="Verdana" w:eastAsia="Geomanist Light" w:hAnsi="Verdana" w:cs="Arial"/>
          <w:color w:val="000000" w:themeColor="text1"/>
          <w:lang w:val="es-MX"/>
        </w:rPr>
      </w:pPr>
    </w:p>
    <w:p w14:paraId="03032973" w14:textId="77777777" w:rsidR="0002719F" w:rsidRDefault="0002719F" w:rsidP="0075789E">
      <w:pPr>
        <w:spacing w:after="0" w:line="240" w:lineRule="auto"/>
        <w:rPr>
          <w:rFonts w:ascii="Verdana" w:eastAsia="Geomanist Light" w:hAnsi="Verdana" w:cs="Arial"/>
          <w:color w:val="000000" w:themeColor="text1"/>
          <w:lang w:val="es-MX"/>
        </w:rPr>
      </w:pPr>
    </w:p>
    <w:p w14:paraId="141FD798" w14:textId="77777777" w:rsidR="00E0098A" w:rsidRDefault="00E0098A" w:rsidP="0075789E">
      <w:pPr>
        <w:spacing w:after="0" w:line="240" w:lineRule="auto"/>
        <w:rPr>
          <w:rFonts w:ascii="Verdana" w:eastAsia="Geomanist Light" w:hAnsi="Verdana" w:cs="Arial"/>
          <w:color w:val="000000" w:themeColor="text1"/>
          <w:lang w:val="es-MX"/>
        </w:rPr>
      </w:pPr>
    </w:p>
    <w:p w14:paraId="4B6EA0A4" w14:textId="133DAF59" w:rsidR="0075789E" w:rsidRDefault="00273CB8" w:rsidP="0075789E">
      <w:pPr>
        <w:spacing w:after="0" w:line="240" w:lineRule="auto"/>
        <w:jc w:val="both"/>
        <w:rPr>
          <w:rFonts w:ascii="Verdana" w:eastAsia="Calibri" w:hAnsi="Verdana" w:cs="Arial"/>
          <w:color w:val="000000" w:themeColor="text1"/>
          <w:lang w:val="es-ES"/>
        </w:rPr>
      </w:pPr>
      <w:r w:rsidRPr="009C7BCB">
        <w:rPr>
          <w:rFonts w:ascii="Verdana" w:eastAsia="Calibri" w:hAnsi="Verdana" w:cs="Arial"/>
          <w:color w:val="000000" w:themeColor="text1"/>
          <w:lang w:val="es-ES"/>
        </w:rPr>
        <w:lastRenderedPageBreak/>
        <w:drawing>
          <wp:anchor distT="0" distB="0" distL="114300" distR="114300" simplePos="0" relativeHeight="251658240" behindDoc="1" locked="0" layoutInCell="1" allowOverlap="1" wp14:anchorId="6FEAD214" wp14:editId="005AFAE8">
            <wp:simplePos x="0" y="0"/>
            <wp:positionH relativeFrom="column">
              <wp:posOffset>3080385</wp:posOffset>
            </wp:positionH>
            <wp:positionV relativeFrom="paragraph">
              <wp:posOffset>161925</wp:posOffset>
            </wp:positionV>
            <wp:extent cx="3162935" cy="844550"/>
            <wp:effectExtent l="0" t="0" r="0" b="0"/>
            <wp:wrapTight wrapText="bothSides">
              <wp:wrapPolygon edited="0">
                <wp:start x="0" y="0"/>
                <wp:lineTo x="0" y="20950"/>
                <wp:lineTo x="21466" y="20950"/>
                <wp:lineTo x="21466" y="0"/>
                <wp:lineTo x="0" y="0"/>
              </wp:wrapPolygon>
            </wp:wrapTight>
            <wp:docPr id="1536858380"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858380" name="Imagen 1" descr="Interfaz de usuario gráfica, Texto&#10;&#10;El contenido generado por IA puede ser incorrecto."/>
                    <pic:cNvPicPr/>
                  </pic:nvPicPr>
                  <pic:blipFill>
                    <a:blip r:embed="rId7">
                      <a:extLst>
                        <a:ext uri="{28A0092B-C50C-407E-A947-70E740481C1C}">
                          <a14:useLocalDpi xmlns:a14="http://schemas.microsoft.com/office/drawing/2010/main" val="0"/>
                        </a:ext>
                      </a:extLst>
                    </a:blip>
                    <a:stretch>
                      <a:fillRect/>
                    </a:stretch>
                  </pic:blipFill>
                  <pic:spPr>
                    <a:xfrm>
                      <a:off x="0" y="0"/>
                      <a:ext cx="3162935" cy="844550"/>
                    </a:xfrm>
                    <a:prstGeom prst="rect">
                      <a:avLst/>
                    </a:prstGeom>
                  </pic:spPr>
                </pic:pic>
              </a:graphicData>
            </a:graphic>
            <wp14:sizeRelH relativeFrom="margin">
              <wp14:pctWidth>0</wp14:pctWidth>
            </wp14:sizeRelH>
            <wp14:sizeRelV relativeFrom="margin">
              <wp14:pctHeight>0</wp14:pctHeight>
            </wp14:sizeRelV>
          </wp:anchor>
        </w:drawing>
      </w:r>
      <w:r w:rsidR="004D183C" w:rsidRPr="004D183C">
        <w:rPr>
          <w:rFonts w:ascii="Verdana" w:eastAsia="Calibri" w:hAnsi="Verdana" w:cs="Arial"/>
          <w:color w:val="000000" w:themeColor="text1"/>
        </w:rPr>
        <w:t xml:space="preserve">Bogotá D.C., 08 de </w:t>
      </w:r>
      <w:r w:rsidR="00265C42" w:rsidRPr="004D183C">
        <w:rPr>
          <w:rFonts w:ascii="Verdana" w:eastAsia="Calibri" w:hAnsi="Verdana" w:cs="Arial"/>
          <w:color w:val="000000" w:themeColor="text1"/>
        </w:rPr>
        <w:t>abril</w:t>
      </w:r>
      <w:r w:rsidR="004D183C" w:rsidRPr="004D183C">
        <w:rPr>
          <w:rFonts w:ascii="Verdana" w:eastAsia="Calibri" w:hAnsi="Verdana" w:cs="Arial"/>
          <w:color w:val="000000" w:themeColor="text1"/>
        </w:rPr>
        <w:t xml:space="preserve"> de 2025</w:t>
      </w:r>
    </w:p>
    <w:p w14:paraId="6E158CBE" w14:textId="1514FCBA" w:rsidR="0075789E" w:rsidRDefault="0075789E" w:rsidP="0075789E">
      <w:pPr>
        <w:spacing w:after="0" w:line="240" w:lineRule="auto"/>
        <w:jc w:val="both"/>
        <w:rPr>
          <w:rFonts w:ascii="Verdana" w:eastAsia="Calibri" w:hAnsi="Verdana" w:cs="Arial"/>
          <w:color w:val="000000" w:themeColor="text1"/>
          <w:lang w:val="es-ES"/>
        </w:rPr>
      </w:pPr>
    </w:p>
    <w:p w14:paraId="727D03DC" w14:textId="77777777" w:rsidR="00E0098A" w:rsidRDefault="00E0098A" w:rsidP="0075789E">
      <w:pPr>
        <w:spacing w:after="0" w:line="240" w:lineRule="auto"/>
        <w:jc w:val="both"/>
        <w:rPr>
          <w:rFonts w:ascii="Verdana" w:eastAsia="Calibri" w:hAnsi="Verdana" w:cs="Arial"/>
          <w:color w:val="000000" w:themeColor="text1"/>
          <w:lang w:val="es-ES"/>
        </w:rPr>
      </w:pPr>
    </w:p>
    <w:p w14:paraId="38804121" w14:textId="77777777" w:rsidR="00E0098A" w:rsidRPr="00115E3D" w:rsidRDefault="00E0098A" w:rsidP="0075789E">
      <w:pPr>
        <w:spacing w:after="0" w:line="240" w:lineRule="auto"/>
        <w:jc w:val="both"/>
        <w:rPr>
          <w:rFonts w:ascii="Verdana" w:eastAsia="Calibri" w:hAnsi="Verdana" w:cs="Arial"/>
          <w:color w:val="000000" w:themeColor="text1"/>
          <w:lang w:val="es-ES"/>
        </w:rPr>
      </w:pPr>
    </w:p>
    <w:p w14:paraId="24DF0942" w14:textId="77777777" w:rsidR="009C7BCB" w:rsidRDefault="009C7BCB" w:rsidP="0075789E">
      <w:pPr>
        <w:spacing w:after="0" w:line="240" w:lineRule="auto"/>
        <w:jc w:val="both"/>
        <w:rPr>
          <w:rFonts w:ascii="Verdana" w:eastAsia="Calibri" w:hAnsi="Verdana" w:cs="Arial"/>
          <w:color w:val="000000" w:themeColor="text1"/>
          <w:lang w:val="es-ES" w:eastAsia="es-ES"/>
        </w:rPr>
      </w:pPr>
    </w:p>
    <w:p w14:paraId="7E8C5290" w14:textId="77777777" w:rsidR="009C7BCB" w:rsidRDefault="009C7BCB" w:rsidP="0075789E">
      <w:pPr>
        <w:spacing w:after="0" w:line="240" w:lineRule="auto"/>
        <w:jc w:val="both"/>
        <w:rPr>
          <w:rFonts w:ascii="Verdana" w:eastAsia="Calibri" w:hAnsi="Verdana" w:cs="Arial"/>
          <w:color w:val="000000" w:themeColor="text1"/>
          <w:lang w:val="es-ES" w:eastAsia="es-ES"/>
        </w:rPr>
      </w:pPr>
    </w:p>
    <w:p w14:paraId="4BC534B5" w14:textId="1A2AFF2E" w:rsidR="0075789E" w:rsidRPr="00115E3D" w:rsidRDefault="0075789E" w:rsidP="0075789E">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p>
    <w:p w14:paraId="6783DBF1" w14:textId="77777777" w:rsidR="0075789E" w:rsidRDefault="0075789E" w:rsidP="0075789E">
      <w:pPr>
        <w:spacing w:after="0" w:line="240" w:lineRule="auto"/>
        <w:rPr>
          <w:rFonts w:ascii="Verdana" w:eastAsia="Calibri" w:hAnsi="Verdana" w:cs="Arial"/>
          <w:b/>
          <w:color w:val="000000" w:themeColor="text1"/>
          <w:lang w:val="es-ES_tradnl" w:eastAsia="es-ES_tradnl"/>
        </w:rPr>
      </w:pPr>
      <w:r>
        <w:rPr>
          <w:rFonts w:ascii="Verdana" w:eastAsia="Calibri" w:hAnsi="Verdana" w:cs="Arial"/>
          <w:b/>
          <w:color w:val="000000" w:themeColor="text1"/>
          <w:lang w:val="es-ES_tradnl" w:eastAsia="es-ES_tradnl"/>
        </w:rPr>
        <w:t>Edwar Camilo Camacho Gordillo</w:t>
      </w:r>
    </w:p>
    <w:p w14:paraId="4899A4BC" w14:textId="77777777" w:rsidR="0075789E" w:rsidRPr="009D1F83" w:rsidRDefault="0075789E" w:rsidP="0075789E">
      <w:pPr>
        <w:spacing w:after="0" w:line="240" w:lineRule="auto"/>
        <w:rPr>
          <w:rFonts w:ascii="Verdana" w:eastAsia="Calibri" w:hAnsi="Verdana" w:cs="Arial"/>
          <w:bCs/>
          <w:color w:val="000000" w:themeColor="text1"/>
          <w:lang w:val="es-ES_tradnl" w:eastAsia="es-ES_tradnl"/>
        </w:rPr>
      </w:pPr>
      <w:r w:rsidRPr="009D1F83">
        <w:rPr>
          <w:rFonts w:ascii="Verdana" w:eastAsia="Calibri" w:hAnsi="Verdana" w:cs="Arial"/>
          <w:bCs/>
          <w:color w:val="000000" w:themeColor="text1"/>
          <w:lang w:val="es-ES_tradnl" w:eastAsia="es-ES_tradnl"/>
        </w:rPr>
        <w:t xml:space="preserve">Consejo Municipal de Vista Hermosa </w:t>
      </w:r>
    </w:p>
    <w:p w14:paraId="4951A79F" w14:textId="77777777" w:rsidR="0075789E" w:rsidRPr="008D5A76" w:rsidRDefault="0075789E" w:rsidP="0075789E">
      <w:pPr>
        <w:spacing w:after="0" w:line="240" w:lineRule="auto"/>
        <w:rPr>
          <w:rFonts w:ascii="Verdana" w:eastAsia="Calibri" w:hAnsi="Verdana" w:cs="Arial"/>
          <w:color w:val="000000" w:themeColor="text1"/>
          <w:u w:val="single"/>
          <w:lang w:eastAsia="es-ES"/>
        </w:rPr>
      </w:pPr>
      <w:hyperlink r:id="rId8" w:history="1">
        <w:r w:rsidRPr="00675FD5">
          <w:rPr>
            <w:rStyle w:val="Hipervnculo"/>
            <w:rFonts w:ascii="Verdana" w:eastAsia="Calibri" w:hAnsi="Verdana" w:cs="Arial"/>
            <w:lang w:eastAsia="es-ES"/>
          </w:rPr>
          <w:t>concejo@vistahermosa-meta.gov.co</w:t>
        </w:r>
      </w:hyperlink>
    </w:p>
    <w:p w14:paraId="5C986B1B" w14:textId="77777777" w:rsidR="0075789E" w:rsidRPr="009D1F83" w:rsidRDefault="0075789E" w:rsidP="0075789E">
      <w:pPr>
        <w:spacing w:after="0" w:line="240" w:lineRule="auto"/>
        <w:rPr>
          <w:rFonts w:ascii="Verdana" w:eastAsia="Calibri" w:hAnsi="Verdana" w:cs="Arial"/>
          <w:b/>
          <w:bCs/>
          <w:color w:val="000000" w:themeColor="text1"/>
          <w:lang w:eastAsia="es-ES"/>
        </w:rPr>
      </w:pPr>
      <w:r w:rsidRPr="009D1F83">
        <w:rPr>
          <w:rFonts w:ascii="Verdana" w:eastAsia="Calibri" w:hAnsi="Verdana" w:cs="Arial"/>
          <w:color w:val="000000" w:themeColor="text1"/>
          <w:lang w:eastAsia="es-ES"/>
        </w:rPr>
        <w:t>Vista Hermosa, Meta</w:t>
      </w:r>
    </w:p>
    <w:p w14:paraId="5E51DDAC" w14:textId="77777777" w:rsidR="0075789E" w:rsidRPr="009D1F83" w:rsidRDefault="0075789E" w:rsidP="0075789E">
      <w:pPr>
        <w:spacing w:after="0" w:line="240" w:lineRule="auto"/>
        <w:rPr>
          <w:rFonts w:ascii="Verdana" w:eastAsia="Calibri" w:hAnsi="Verdana" w:cs="Arial"/>
          <w:b/>
          <w:bCs/>
          <w:color w:val="000000" w:themeColor="text1"/>
          <w:lang w:eastAsia="es-ES_tradnl"/>
        </w:rPr>
      </w:pPr>
    </w:p>
    <w:p w14:paraId="05B1FAC9" w14:textId="77777777" w:rsidR="0075789E" w:rsidRPr="009D1F83" w:rsidRDefault="0075789E" w:rsidP="0075789E">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5789E" w:rsidRPr="00115E3D" w14:paraId="24CDA178" w14:textId="77777777" w:rsidTr="006F1A38">
        <w:trPr>
          <w:trHeight w:val="884"/>
        </w:trPr>
        <w:tc>
          <w:tcPr>
            <w:tcW w:w="2689" w:type="dxa"/>
          </w:tcPr>
          <w:p w14:paraId="17EEA8B2" w14:textId="77777777" w:rsidR="0075789E" w:rsidRPr="009D1F83" w:rsidRDefault="0075789E" w:rsidP="006F1A38">
            <w:pPr>
              <w:jc w:val="both"/>
              <w:rPr>
                <w:rFonts w:ascii="Verdana" w:eastAsia="Calibri" w:hAnsi="Verdana" w:cs="Arial"/>
                <w:b/>
                <w:bCs/>
                <w:color w:val="000000" w:themeColor="text1"/>
                <w:lang w:eastAsia="es-ES_tradnl"/>
              </w:rPr>
            </w:pPr>
          </w:p>
        </w:tc>
        <w:tc>
          <w:tcPr>
            <w:tcW w:w="6100" w:type="dxa"/>
          </w:tcPr>
          <w:p w14:paraId="39CA6691" w14:textId="77777777" w:rsidR="0075789E" w:rsidRPr="00115E3D" w:rsidRDefault="0075789E" w:rsidP="006F1A38">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270</w:t>
            </w:r>
            <w:r w:rsidRPr="00115E3D">
              <w:rPr>
                <w:rFonts w:ascii="Verdana" w:eastAsia="Calibri" w:hAnsi="Verdana" w:cs="Arial"/>
                <w:b/>
                <w:bCs/>
                <w:color w:val="000000" w:themeColor="text1"/>
                <w:lang w:val="es-ES" w:eastAsia="es-ES"/>
              </w:rPr>
              <w:t xml:space="preserve"> de 202</w:t>
            </w:r>
            <w:r>
              <w:rPr>
                <w:rFonts w:ascii="Verdana" w:eastAsia="Calibri" w:hAnsi="Verdana" w:cs="Arial"/>
                <w:b/>
                <w:bCs/>
                <w:color w:val="000000" w:themeColor="text1"/>
                <w:lang w:val="es-ES" w:eastAsia="es-ES"/>
              </w:rPr>
              <w:t>5</w:t>
            </w:r>
          </w:p>
        </w:tc>
      </w:tr>
      <w:tr w:rsidR="0075789E" w:rsidRPr="00115E3D" w14:paraId="7E50312A" w14:textId="77777777" w:rsidTr="006F1A38">
        <w:trPr>
          <w:trHeight w:val="884"/>
        </w:trPr>
        <w:tc>
          <w:tcPr>
            <w:tcW w:w="2689" w:type="dxa"/>
          </w:tcPr>
          <w:p w14:paraId="7FB8356F" w14:textId="77777777" w:rsidR="0075789E" w:rsidRPr="00115E3D" w:rsidRDefault="0075789E" w:rsidP="006F1A38">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100" w:type="dxa"/>
          </w:tcPr>
          <w:p w14:paraId="58E6D00B" w14:textId="77777777" w:rsidR="0075789E" w:rsidRPr="00B05F99" w:rsidRDefault="0075789E" w:rsidP="006F1A38">
            <w:pPr>
              <w:spacing w:line="276" w:lineRule="auto"/>
              <w:jc w:val="both"/>
              <w:rPr>
                <w:rFonts w:ascii="Verdana" w:hAnsi="Verdana" w:cs="Arial"/>
                <w:color w:val="000000"/>
                <w:lang w:val="es-ES" w:eastAsia="es-ES"/>
              </w:rPr>
            </w:pPr>
            <w:r w:rsidRPr="00B05F99">
              <w:rPr>
                <w:rFonts w:ascii="Verdana" w:hAnsi="Verdana" w:cs="Arial"/>
                <w:color w:val="000000"/>
                <w:lang w:val="es-ES" w:eastAsia="es-ES"/>
              </w:rPr>
              <w:t>CONTRATO DE ARRENDAMIENTO – Concepto – Elementos – Regulación / CONTRATO DE ARRENDAMIENTO – Seguridad social – SEGURIDAD SOCIAL – Verificación – Pago – Persona natural – Persona Jurídica</w:t>
            </w:r>
          </w:p>
          <w:p w14:paraId="29C8256B" w14:textId="77777777" w:rsidR="0075789E" w:rsidRPr="00115E3D" w:rsidRDefault="0075789E" w:rsidP="006F1A38">
            <w:pPr>
              <w:spacing w:line="276" w:lineRule="auto"/>
              <w:jc w:val="both"/>
              <w:rPr>
                <w:rFonts w:ascii="Verdana" w:eastAsia="Calibri" w:hAnsi="Verdana" w:cs="Arial"/>
                <w:color w:val="000000" w:themeColor="text1"/>
                <w:lang w:val="es-ES" w:eastAsia="es-ES"/>
              </w:rPr>
            </w:pPr>
          </w:p>
        </w:tc>
      </w:tr>
      <w:tr w:rsidR="0075789E" w:rsidRPr="00115E3D" w14:paraId="25BD808D" w14:textId="77777777" w:rsidTr="006F1A38">
        <w:tc>
          <w:tcPr>
            <w:tcW w:w="2689" w:type="dxa"/>
          </w:tcPr>
          <w:p w14:paraId="657B1A68" w14:textId="77777777" w:rsidR="0075789E" w:rsidRPr="00115E3D" w:rsidRDefault="0075789E" w:rsidP="006F1A38">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00" w:type="dxa"/>
          </w:tcPr>
          <w:p w14:paraId="3EB0F540" w14:textId="77777777" w:rsidR="0075789E" w:rsidRPr="00115E3D" w:rsidRDefault="0075789E" w:rsidP="006F1A38">
            <w:pPr>
              <w:jc w:val="both"/>
              <w:rPr>
                <w:rFonts w:ascii="Verdana" w:eastAsia="Calibri" w:hAnsi="Verdana" w:cs="Arial"/>
                <w:color w:val="000000" w:themeColor="text1"/>
                <w:lang w:val="es-ES_tradnl" w:eastAsia="es-ES_tradnl"/>
              </w:rPr>
            </w:pPr>
            <w:r w:rsidRPr="00115E3D">
              <w:rPr>
                <w:rFonts w:ascii="Verdana" w:eastAsia="Calibri" w:hAnsi="Verdana" w:cs="Arial"/>
                <w:color w:val="000000" w:themeColor="text1"/>
                <w:lang w:val="es-ES_tradnl" w:eastAsia="es-ES_tradnl"/>
              </w:rPr>
              <w:t xml:space="preserve">Respuesta a consulta con radicado No. </w:t>
            </w:r>
            <w:r w:rsidRPr="009D1F83">
              <w:rPr>
                <w:rFonts w:ascii="Verdana" w:eastAsia="Calibri" w:hAnsi="Verdana" w:cs="Arial"/>
                <w:color w:val="000000" w:themeColor="text1"/>
                <w:lang w:eastAsia="es-ES_tradnl"/>
              </w:rPr>
              <w:t>P20250303002075</w:t>
            </w:r>
            <w:r>
              <w:rPr>
                <w:rFonts w:ascii="Verdana" w:eastAsia="Calibri" w:hAnsi="Verdana" w:cs="Arial"/>
                <w:color w:val="000000" w:themeColor="text1"/>
                <w:lang w:eastAsia="es-ES_tradnl"/>
              </w:rPr>
              <w:t xml:space="preserve"> </w:t>
            </w:r>
          </w:p>
        </w:tc>
      </w:tr>
    </w:tbl>
    <w:p w14:paraId="71F97511" w14:textId="77777777" w:rsidR="0075789E" w:rsidRPr="00115E3D" w:rsidRDefault="0075789E" w:rsidP="0075789E">
      <w:pPr>
        <w:spacing w:after="0" w:line="240" w:lineRule="auto"/>
        <w:jc w:val="both"/>
        <w:rPr>
          <w:rFonts w:ascii="Verdana" w:eastAsia="Calibri" w:hAnsi="Verdana" w:cs="Arial"/>
          <w:color w:val="000000" w:themeColor="text1"/>
          <w:lang w:val="es-ES_tradnl" w:eastAsia="es-ES_tradnl"/>
        </w:rPr>
      </w:pPr>
    </w:p>
    <w:p w14:paraId="0A0CF0D6" w14:textId="77777777" w:rsidR="0075789E" w:rsidRPr="00115E3D" w:rsidRDefault="0075789E" w:rsidP="0075789E">
      <w:pPr>
        <w:spacing w:after="0" w:line="240" w:lineRule="auto"/>
        <w:jc w:val="both"/>
        <w:rPr>
          <w:rFonts w:ascii="Verdana" w:eastAsia="Calibri" w:hAnsi="Verdana" w:cs="Arial"/>
          <w:color w:val="000000" w:themeColor="text1"/>
          <w:lang w:val="es-ES_tradnl" w:eastAsia="es-ES_tradnl"/>
        </w:rPr>
      </w:pPr>
    </w:p>
    <w:p w14:paraId="2D7FE556" w14:textId="77777777" w:rsidR="0075789E" w:rsidRPr="00115E3D" w:rsidRDefault="0075789E" w:rsidP="0075789E">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Estimado señor</w:t>
      </w:r>
      <w:r>
        <w:rPr>
          <w:rFonts w:ascii="Verdana" w:eastAsia="Calibri" w:hAnsi="Verdana" w:cs="Arial"/>
          <w:color w:val="000000" w:themeColor="text1"/>
          <w:lang w:val="es-ES" w:eastAsia="es-ES"/>
        </w:rPr>
        <w:t xml:space="preserve"> Camacho</w:t>
      </w:r>
      <w:r w:rsidRPr="00115E3D">
        <w:rPr>
          <w:rFonts w:ascii="Verdana" w:eastAsia="Calibri" w:hAnsi="Verdana" w:cs="Arial"/>
          <w:color w:val="000000" w:themeColor="text1"/>
          <w:lang w:val="es-ES" w:eastAsia="es-ES"/>
        </w:rPr>
        <w:t xml:space="preserve">: </w:t>
      </w:r>
    </w:p>
    <w:p w14:paraId="1E8DD26F" w14:textId="77777777" w:rsidR="0075789E" w:rsidRPr="00115E3D" w:rsidRDefault="0075789E" w:rsidP="0075789E">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41CEBD06" w14:textId="77777777" w:rsidR="0075789E" w:rsidRPr="00115E3D" w:rsidRDefault="0075789E" w:rsidP="0075789E">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03</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marzo</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25</w:t>
      </w:r>
      <w:r w:rsidRPr="00115E3D">
        <w:rPr>
          <w:rFonts w:ascii="Verdana" w:eastAsia="Calibri" w:hAnsi="Verdana" w:cs="Arial"/>
          <w:color w:val="000000" w:themeColor="text1"/>
          <w:lang w:val="es-ES" w:eastAsia="es-ES"/>
        </w:rPr>
        <w:t xml:space="preserve">, en la cual manifiesta lo siguiente: </w:t>
      </w:r>
    </w:p>
    <w:p w14:paraId="33365AB5" w14:textId="77777777" w:rsidR="0075789E" w:rsidRPr="00115E3D" w:rsidRDefault="0075789E" w:rsidP="0075789E">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4742AF30" w14:textId="77777777" w:rsidR="0075789E" w:rsidRPr="00141269" w:rsidRDefault="0075789E" w:rsidP="0075789E">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95313578"/>
      <w:r w:rsidRPr="00141269">
        <w:rPr>
          <w:rFonts w:ascii="Verdana" w:eastAsia="Century Gothic" w:hAnsi="Verdana" w:cs="Century Gothic"/>
          <w:i/>
          <w:iCs/>
          <w:color w:val="000000" w:themeColor="text1"/>
          <w:sz w:val="20"/>
          <w:szCs w:val="20"/>
          <w:lang w:val="es-ES"/>
        </w:rPr>
        <w:t>“</w:t>
      </w:r>
      <w:bookmarkEnd w:id="0"/>
      <w:r w:rsidRPr="009D1F83">
        <w:rPr>
          <w:rFonts w:ascii="Verdana" w:eastAsia="Century Gothic" w:hAnsi="Verdana" w:cs="Century Gothic"/>
          <w:i/>
          <w:iCs/>
          <w:color w:val="000000" w:themeColor="text1"/>
          <w:sz w:val="20"/>
          <w:szCs w:val="20"/>
        </w:rPr>
        <w:t>en un contrato donde se arrienda un bien inmueble debo solicitarle planilla de seguridad social al arrendador</w:t>
      </w:r>
      <w:r>
        <w:rPr>
          <w:rFonts w:ascii="Verdana" w:eastAsia="Century Gothic" w:hAnsi="Verdana" w:cs="Century Gothic"/>
          <w:i/>
          <w:iCs/>
          <w:color w:val="000000" w:themeColor="text1"/>
          <w:sz w:val="20"/>
          <w:szCs w:val="20"/>
        </w:rPr>
        <w:t>.”</w:t>
      </w:r>
    </w:p>
    <w:p w14:paraId="6447B1AE" w14:textId="77777777" w:rsidR="0075789E" w:rsidRPr="00115E3D" w:rsidRDefault="0075789E" w:rsidP="0075789E">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2D7859F9" w14:textId="77777777" w:rsidR="0075789E" w:rsidRPr="00115E3D" w:rsidRDefault="0075789E" w:rsidP="0075789E">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7D205F4C" w14:textId="77777777" w:rsidR="0075789E" w:rsidRPr="00115E3D" w:rsidRDefault="0075789E" w:rsidP="0075789E">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5DF4EF80" w14:textId="77777777" w:rsidR="0075789E" w:rsidRPr="00115E3D" w:rsidRDefault="0075789E" w:rsidP="0075789E">
      <w:pPr>
        <w:spacing w:after="0" w:line="276" w:lineRule="auto"/>
        <w:ind w:firstLine="709"/>
        <w:jc w:val="both"/>
        <w:rPr>
          <w:rFonts w:ascii="Verdana" w:eastAsia="Calibri" w:hAnsi="Verdana" w:cs="Arial"/>
          <w:color w:val="000000" w:themeColor="text1"/>
          <w:lang w:val="es-ES" w:eastAsia="es-ES"/>
        </w:rPr>
      </w:pPr>
    </w:p>
    <w:p w14:paraId="1894FC4F" w14:textId="77777777" w:rsidR="0075789E" w:rsidRPr="00115E3D" w:rsidRDefault="0075789E" w:rsidP="0075789E">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26A03160" w14:textId="77777777" w:rsidR="0075789E" w:rsidRPr="00115E3D" w:rsidRDefault="0075789E" w:rsidP="0075789E">
      <w:pPr>
        <w:tabs>
          <w:tab w:val="left" w:pos="426"/>
        </w:tabs>
        <w:spacing w:after="0" w:line="276" w:lineRule="auto"/>
        <w:jc w:val="both"/>
        <w:rPr>
          <w:rFonts w:ascii="Verdana" w:eastAsia="Century Gothic" w:hAnsi="Verdana" w:cs="Century Gothic"/>
          <w:color w:val="000000" w:themeColor="text1"/>
          <w:lang w:val="es-ES"/>
        </w:rPr>
      </w:pPr>
    </w:p>
    <w:p w14:paraId="6A92FF12" w14:textId="77777777" w:rsidR="0075789E" w:rsidRPr="00115E3D" w:rsidRDefault="0075789E" w:rsidP="0075789E">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el siguiente problema jurídico: </w:t>
      </w:r>
      <w:r>
        <w:rPr>
          <w:rFonts w:ascii="Verdana" w:eastAsia="Century Gothic" w:hAnsi="Verdana" w:cs="Century Gothic"/>
          <w:color w:val="000000" w:themeColor="text1"/>
        </w:rPr>
        <w:t xml:space="preserve">i) </w:t>
      </w:r>
      <w:r w:rsidRPr="009D1F83">
        <w:rPr>
          <w:rFonts w:ascii="Verdana" w:eastAsia="Century Gothic" w:hAnsi="Verdana" w:cs="Century Gothic"/>
          <w:color w:val="000000" w:themeColor="text1"/>
        </w:rPr>
        <w:t>¿Es exigible la acreditación del pago de seguridad social al arrendador en un contrato de arrendamiento de bien inmueble, considerando la normativa vigente sobre la obligación de cotización y su aplicación a las relaciones contractuales?</w:t>
      </w:r>
    </w:p>
    <w:p w14:paraId="24505585" w14:textId="77777777" w:rsidR="0075789E" w:rsidRPr="00115E3D" w:rsidRDefault="0075789E" w:rsidP="0075789E">
      <w:pPr>
        <w:spacing w:after="0" w:line="276" w:lineRule="auto"/>
        <w:jc w:val="both"/>
        <w:rPr>
          <w:rFonts w:ascii="Verdana" w:eastAsia="Calibri" w:hAnsi="Verdana" w:cs="Arial"/>
          <w:color w:val="000000" w:themeColor="text1"/>
          <w:lang w:val="es-ES"/>
        </w:rPr>
      </w:pPr>
    </w:p>
    <w:p w14:paraId="38ED8C16" w14:textId="77777777" w:rsidR="0075789E" w:rsidRPr="00115E3D" w:rsidRDefault="0075789E" w:rsidP="0075789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0C23E763" w14:textId="77777777" w:rsidR="0075789E" w:rsidRPr="00115E3D" w:rsidRDefault="0075789E" w:rsidP="0075789E">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5789E" w:rsidRPr="00115E3D" w14:paraId="3A9AB82D" w14:textId="77777777" w:rsidTr="006F1A38">
        <w:tc>
          <w:tcPr>
            <w:tcW w:w="8828" w:type="dxa"/>
            <w:shd w:val="clear" w:color="auto" w:fill="auto"/>
          </w:tcPr>
          <w:p w14:paraId="587067B4" w14:textId="77777777" w:rsidR="0075789E" w:rsidRPr="00C563A7" w:rsidRDefault="0075789E" w:rsidP="006F1A38">
            <w:pPr>
              <w:ind w:firstLine="709"/>
              <w:jc w:val="both"/>
              <w:rPr>
                <w:rFonts w:ascii="Verdana" w:hAnsi="Verdana"/>
              </w:rPr>
            </w:pPr>
            <w:r>
              <w:rPr>
                <w:rFonts w:ascii="Verdana" w:hAnsi="Verdana"/>
                <w:lang w:val="es-ES"/>
              </w:rPr>
              <w:t>En principio</w:t>
            </w:r>
            <w:r w:rsidRPr="00C563A7">
              <w:rPr>
                <w:rFonts w:ascii="Verdana" w:hAnsi="Verdana"/>
              </w:rPr>
              <w:t xml:space="preserve">, por parte del contratista en calidad de arrendador o arrendatario. El pago de aportes al Sistema de Seguridad Social Integral por parte de los contratistas estatales es un requisito regulado por la Ley 80 de 1993, Ley 1150 de 2007, </w:t>
            </w:r>
            <w:r w:rsidRPr="00C563A7">
              <w:rPr>
                <w:rFonts w:ascii="Verdana" w:hAnsi="Verdana" w:cs="Arial"/>
                <w:lang w:val="es-ES"/>
              </w:rPr>
              <w:t xml:space="preserve">Ley 789 de 2002 y demás normas complementarias, </w:t>
            </w:r>
            <w:r w:rsidRPr="00C563A7">
              <w:rPr>
                <w:rFonts w:ascii="Verdana" w:hAnsi="Verdana"/>
              </w:rPr>
              <w:t xml:space="preserve">por lo que las Entidades Contratantes tienen el deber de verificar su cumplimiento antes de la celebración del contrato como es el caso de la </w:t>
            </w:r>
            <w:r w:rsidRPr="00C563A7">
              <w:rPr>
                <w:rFonts w:ascii="Verdana" w:hAnsi="Verdana"/>
              </w:rPr>
              <w:lastRenderedPageBreak/>
              <w:t xml:space="preserve">afiliación, y durante su ejecución y liquidación el pago de los respectivos aportes conforme al valor de la prestación. </w:t>
            </w:r>
          </w:p>
          <w:p w14:paraId="6B473AB5" w14:textId="77777777" w:rsidR="0075789E" w:rsidRPr="00C563A7" w:rsidRDefault="0075789E" w:rsidP="006F1A38">
            <w:pPr>
              <w:ind w:firstLine="709"/>
              <w:jc w:val="both"/>
              <w:rPr>
                <w:rFonts w:ascii="Verdana" w:hAnsi="Verdana"/>
              </w:rPr>
            </w:pPr>
          </w:p>
          <w:p w14:paraId="26A41530" w14:textId="77777777" w:rsidR="0075789E" w:rsidRPr="00C563A7" w:rsidRDefault="0075789E" w:rsidP="006F1A38">
            <w:pPr>
              <w:spacing w:after="120" w:line="276" w:lineRule="auto"/>
              <w:ind w:firstLine="709"/>
              <w:jc w:val="both"/>
              <w:rPr>
                <w:rFonts w:ascii="Verdana" w:eastAsia="Calibri" w:hAnsi="Verdana" w:cs="Arial"/>
                <w:color w:val="000000" w:themeColor="text1"/>
              </w:rPr>
            </w:pPr>
            <w:r w:rsidRPr="00C563A7">
              <w:rPr>
                <w:rFonts w:ascii="Verdana" w:hAnsi="Verdana" w:cs="Arial"/>
                <w:lang w:val="es-ES"/>
              </w:rPr>
              <w:t>El artículo 23 de la Ley 1150 de 2007  prescribe “(…) e</w:t>
            </w:r>
            <w:r w:rsidRPr="00C563A7">
              <w:rPr>
                <w:rFonts w:ascii="Verdana" w:hAnsi="Verdana" w:cs="Arial"/>
              </w:rPr>
              <w:t xml:space="preserve">l proponente y el contratista deberán acreditar que se encuentran al día en el pago de aportes parafiscales relativos al Sistema de Seguridad Social Integral, así como los propios del Sena, ICBF y Cajas de Compensación Familiar, cuando corresponda.(…);  </w:t>
            </w:r>
            <w:r w:rsidRPr="00C563A7">
              <w:rPr>
                <w:rFonts w:ascii="Verdana" w:hAnsi="Verdana" w:cs="Arial"/>
                <w:lang w:val="es-ES"/>
              </w:rPr>
              <w:t xml:space="preserve">si bien los proponentes y los contratistas deben estar al día en el pago al Sistema de Seguridad Social Integral, la verificación de este requisito, por parte de las entidades estatales, se efectuará cuando realicen </w:t>
            </w:r>
            <w:r w:rsidRPr="00C563A7">
              <w:rPr>
                <w:rFonts w:ascii="Verdana" w:eastAsia="Calibri" w:hAnsi="Verdana" w:cs="Arial"/>
                <w:color w:val="000000" w:themeColor="text1"/>
              </w:rPr>
              <w:t>los pagos del contrato, es decir, durante la ejecución.</w:t>
            </w:r>
          </w:p>
          <w:p w14:paraId="7FCD8769" w14:textId="77777777" w:rsidR="0075789E" w:rsidRPr="00C563A7" w:rsidRDefault="0075789E" w:rsidP="006F1A38">
            <w:pPr>
              <w:spacing w:after="120" w:line="276" w:lineRule="auto"/>
              <w:ind w:firstLine="709"/>
              <w:jc w:val="both"/>
              <w:rPr>
                <w:rFonts w:ascii="Verdana" w:hAnsi="Verdana" w:cs="Arial"/>
                <w:lang w:val="es-ES"/>
              </w:rPr>
            </w:pPr>
            <w:r w:rsidRPr="00C563A7">
              <w:rPr>
                <w:rFonts w:ascii="Verdana" w:eastAsia="Calibri" w:hAnsi="Verdana" w:cs="Arial"/>
                <w:color w:val="000000" w:themeColor="text1"/>
              </w:rPr>
              <w:t>No obstante, el</w:t>
            </w:r>
            <w:r w:rsidRPr="00C563A7">
              <w:rPr>
                <w:rFonts w:ascii="Verdana" w:hAnsi="Verdana" w:cs="Arial"/>
                <w:lang w:val="es-ES"/>
              </w:rPr>
              <w:t xml:space="preserve">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6 meses anteriores a la celebración del contrato. Si bien este certificado no es un requisito para perfeccionar el contrato, sí lo es para presentar la oferta.</w:t>
            </w:r>
          </w:p>
          <w:p w14:paraId="0AD0B119" w14:textId="77777777" w:rsidR="0075789E" w:rsidRPr="00C563A7" w:rsidRDefault="0075789E" w:rsidP="006F1A38">
            <w:pPr>
              <w:spacing w:after="120" w:line="276" w:lineRule="auto"/>
              <w:ind w:firstLine="709"/>
              <w:jc w:val="both"/>
              <w:rPr>
                <w:rFonts w:ascii="Verdana" w:eastAsia="Calibri" w:hAnsi="Verdana" w:cs="Arial"/>
                <w:color w:val="000000" w:themeColor="text1"/>
              </w:rPr>
            </w:pPr>
            <w:r w:rsidRPr="00C563A7">
              <w:rPr>
                <w:rFonts w:ascii="Verdana" w:hAnsi="Verdana"/>
              </w:rPr>
              <w:t xml:space="preserve">Adicionalmente, al liquidar el contrato, la entidad estatal debe dejar constancia del cumplimiento de las obligaciones de aportes por parte del contratista, relacionando los pagos efectuados con los montos que debieron </w:t>
            </w:r>
            <w:r w:rsidRPr="00C563A7">
              <w:rPr>
                <w:rFonts w:ascii="Verdana" w:eastAsia="Calibri" w:hAnsi="Verdana" w:cs="Arial"/>
                <w:color w:val="000000" w:themeColor="text1"/>
              </w:rPr>
              <w:t xml:space="preserve">haberse cotizado. </w:t>
            </w:r>
          </w:p>
          <w:p w14:paraId="0326B991" w14:textId="77777777" w:rsidR="0075789E" w:rsidRPr="00C563A7" w:rsidRDefault="0075789E" w:rsidP="006F1A38">
            <w:pPr>
              <w:spacing w:after="120" w:line="276" w:lineRule="auto"/>
              <w:ind w:firstLine="709"/>
              <w:jc w:val="both"/>
              <w:rPr>
                <w:rFonts w:ascii="Verdana" w:eastAsia="Calibri" w:hAnsi="Verdana" w:cs="Arial"/>
                <w:color w:val="000000" w:themeColor="text1"/>
              </w:rPr>
            </w:pPr>
            <w:r w:rsidRPr="00C563A7">
              <w:rPr>
                <w:rFonts w:ascii="Verdana" w:eastAsia="Calibri" w:hAnsi="Verdana" w:cs="Arial"/>
                <w:color w:val="000000" w:themeColor="text1"/>
              </w:rPr>
              <w:t>En el caso de contratos</w:t>
            </w:r>
            <w:r w:rsidRPr="00C563A7">
              <w:rPr>
                <w:rFonts w:ascii="Verdana" w:hAnsi="Verdana"/>
              </w:rPr>
              <w:t xml:space="preserve"> de arrendamiento de bienes cuya titularidad del bien no es del Estado, la entidad contratante está obligada a solicitar al arrendador contratista, cuando este sea una persona natural o jurídica, la acreditación de los aportes al sistema de seguridad social antes de proceder con el pago del canon previa presentación de cuenta de cobro o factura, con </w:t>
            </w:r>
            <w:r w:rsidRPr="00C563A7">
              <w:rPr>
                <w:rFonts w:ascii="Verdana" w:eastAsia="Calibri" w:hAnsi="Verdana" w:cs="Arial"/>
                <w:color w:val="000000" w:themeColor="text1"/>
              </w:rPr>
              <w:t xml:space="preserve">el fin de verificar su contribución y el monto adecuado. </w:t>
            </w:r>
          </w:p>
          <w:p w14:paraId="7FA9ACF7" w14:textId="77777777" w:rsidR="0075789E" w:rsidRPr="00C563A7" w:rsidRDefault="0075789E" w:rsidP="006F1A38">
            <w:pPr>
              <w:spacing w:after="120" w:line="276" w:lineRule="auto"/>
              <w:ind w:firstLine="709"/>
              <w:jc w:val="both"/>
              <w:rPr>
                <w:rFonts w:ascii="Verdana" w:eastAsia="Calibri" w:hAnsi="Verdana" w:cs="Arial"/>
                <w:color w:val="000000" w:themeColor="text1"/>
              </w:rPr>
            </w:pPr>
            <w:r w:rsidRPr="00C563A7">
              <w:rPr>
                <w:rFonts w:ascii="Verdana" w:eastAsia="Calibri" w:hAnsi="Verdana" w:cs="Arial"/>
                <w:color w:val="000000" w:themeColor="text1"/>
              </w:rPr>
              <w:t>Ahora bien, cuando</w:t>
            </w:r>
            <w:r w:rsidRPr="00C563A7">
              <w:rPr>
                <w:rFonts w:ascii="Verdana" w:hAnsi="Verdana"/>
              </w:rPr>
              <w:t xml:space="preserve"> el contratista se vincule en calidad de arrendatario porque la titularidad del bien es de la entidad contratante, de igual manera deberá hacer las afiliaciones y pagos respectivos, debido a que la norma está </w:t>
            </w:r>
            <w:r w:rsidRPr="00C563A7">
              <w:rPr>
                <w:rFonts w:ascii="Verdana" w:hAnsi="Verdana"/>
              </w:rPr>
              <w:lastRenderedPageBreak/>
              <w:t xml:space="preserve">creada para el que figure como contratista del Estado independiente de si es </w:t>
            </w:r>
            <w:r w:rsidRPr="00C563A7">
              <w:rPr>
                <w:rFonts w:ascii="Verdana" w:eastAsia="Calibri" w:hAnsi="Verdana" w:cs="Arial"/>
                <w:color w:val="000000" w:themeColor="text1"/>
              </w:rPr>
              <w:t>arrendador o arrendatario.</w:t>
            </w:r>
          </w:p>
          <w:p w14:paraId="2B5D6FE7" w14:textId="77777777" w:rsidR="0075789E" w:rsidRPr="00C563A7" w:rsidRDefault="0075789E" w:rsidP="006F1A38">
            <w:pPr>
              <w:spacing w:after="120" w:line="276" w:lineRule="auto"/>
              <w:ind w:firstLine="709"/>
              <w:jc w:val="both"/>
              <w:rPr>
                <w:rFonts w:ascii="Verdana" w:hAnsi="Verdana" w:cs="Arial"/>
                <w:lang w:val="es-ES"/>
              </w:rPr>
            </w:pPr>
            <w:r w:rsidRPr="00C563A7">
              <w:rPr>
                <w:rFonts w:ascii="Verdana" w:eastAsia="Calibri" w:hAnsi="Verdana" w:cs="Arial"/>
                <w:color w:val="000000" w:themeColor="text1"/>
              </w:rPr>
              <w:t>En conclusión</w:t>
            </w:r>
            <w:r w:rsidRPr="00C563A7">
              <w:rPr>
                <w:rFonts w:ascii="Verdana" w:hAnsi="Verdana"/>
              </w:rPr>
              <w:t xml:space="preserve">, </w:t>
            </w:r>
            <w:r w:rsidRPr="00C563A7">
              <w:rPr>
                <w:rFonts w:ascii="Verdana" w:hAnsi="Verdana" w:cs="Arial"/>
                <w:lang w:val="es-ES"/>
              </w:rPr>
              <w:t xml:space="preserve">el arrendador de un bien inmueble tiene la calidad de rentista de capital y, como tal, es aportante al Sistema Integral de Seguridad Social y deberá pagar lo que le corresponda de acuerdo con la prestación del contrato. </w:t>
            </w:r>
          </w:p>
        </w:tc>
      </w:tr>
    </w:tbl>
    <w:p w14:paraId="5C986638" w14:textId="77777777" w:rsidR="0075789E" w:rsidRPr="00115E3D" w:rsidRDefault="0075789E" w:rsidP="0075789E">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D96644F" w14:textId="77777777" w:rsidR="0075789E" w:rsidRPr="00115E3D" w:rsidRDefault="0075789E" w:rsidP="0075789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6D930F1A" w14:textId="77777777" w:rsidR="0075789E" w:rsidRPr="00115E3D" w:rsidRDefault="0075789E" w:rsidP="0075789E">
      <w:pPr>
        <w:spacing w:after="0" w:line="276" w:lineRule="auto"/>
        <w:jc w:val="both"/>
        <w:rPr>
          <w:rFonts w:ascii="Verdana" w:eastAsia="Calibri" w:hAnsi="Verdana" w:cs="Arial"/>
          <w:color w:val="000000" w:themeColor="text1"/>
          <w:lang w:val="es-ES"/>
        </w:rPr>
      </w:pPr>
    </w:p>
    <w:p w14:paraId="3DB74192" w14:textId="77777777" w:rsidR="0075789E" w:rsidRPr="00115E3D" w:rsidRDefault="0075789E" w:rsidP="0075789E">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3A5B51E2" w14:textId="77777777" w:rsidR="0075789E" w:rsidRPr="00115E3D" w:rsidRDefault="0075789E" w:rsidP="0075789E">
      <w:pPr>
        <w:spacing w:after="0" w:line="276" w:lineRule="auto"/>
        <w:jc w:val="both"/>
        <w:rPr>
          <w:rFonts w:ascii="Verdana" w:eastAsia="Calibri" w:hAnsi="Verdana" w:cs="Arial"/>
          <w:color w:val="000000" w:themeColor="text1"/>
          <w:lang w:val="es-ES"/>
        </w:rPr>
      </w:pPr>
    </w:p>
    <w:p w14:paraId="5C612EC1" w14:textId="77777777" w:rsidR="0075789E" w:rsidRPr="00B8056D" w:rsidRDefault="0075789E" w:rsidP="0075789E">
      <w:pPr>
        <w:spacing w:after="120" w:line="276" w:lineRule="auto"/>
        <w:ind w:firstLine="709"/>
        <w:jc w:val="both"/>
        <w:rPr>
          <w:rFonts w:ascii="Verdana" w:eastAsia="Calibri" w:hAnsi="Verdana" w:cs="Arial"/>
          <w:color w:val="000000" w:themeColor="text1"/>
        </w:rPr>
      </w:pPr>
      <w:r w:rsidRPr="00B8056D">
        <w:rPr>
          <w:rFonts w:ascii="Verdana" w:eastAsia="Calibri" w:hAnsi="Verdana" w:cs="Arial"/>
          <w:color w:val="000000" w:themeColor="text1"/>
        </w:rPr>
        <w:t xml:space="preserve">El artículo 1973 del Código Civil define el contrato de arrendamiento como “[…] un contrato en que las dos partes se obligan recíprocamente, la una a conceder el goce de una cosa, o a ejecutar una obra o prestar un servicio, y la otra a pagar por este goce, obra o servicio un precio determinado”. Se trata pues del acuerdo de voluntades en virtud del cual una de las partes –llamada </w:t>
      </w:r>
      <w:r w:rsidRPr="00B8056D">
        <w:rPr>
          <w:rFonts w:ascii="Verdana" w:hAnsi="Verdana" w:cs="Arial"/>
          <w:color w:val="000000" w:themeColor="text1"/>
          <w:lang w:val="es-ES_tradnl"/>
        </w:rPr>
        <w:t xml:space="preserve">arrendador o arrendadora– se obliga a concederle a otra –llamada arrendatario o arrendataria– el uso y goce de un bien, a cambio de una renta o canon, diferenciándose del contrato de compraventa en que no opera una transferencia </w:t>
      </w:r>
      <w:r w:rsidRPr="00B8056D">
        <w:rPr>
          <w:rFonts w:ascii="Verdana" w:eastAsia="Calibri" w:hAnsi="Verdana" w:cs="Arial"/>
          <w:color w:val="000000" w:themeColor="text1"/>
        </w:rPr>
        <w:t>del dominio del bien cuyo uso y goce se entrega.</w:t>
      </w:r>
    </w:p>
    <w:p w14:paraId="174B9249" w14:textId="77777777" w:rsidR="0075789E" w:rsidRPr="00B8056D" w:rsidRDefault="0075789E" w:rsidP="0075789E">
      <w:pPr>
        <w:spacing w:after="120" w:line="276" w:lineRule="auto"/>
        <w:ind w:firstLine="709"/>
        <w:jc w:val="both"/>
        <w:rPr>
          <w:rFonts w:ascii="Verdana" w:eastAsia="Calibri" w:hAnsi="Verdana" w:cs="Arial"/>
          <w:color w:val="000000" w:themeColor="text1"/>
        </w:rPr>
      </w:pPr>
      <w:r w:rsidRPr="00B8056D">
        <w:rPr>
          <w:rFonts w:ascii="Verdana" w:eastAsia="Calibri" w:hAnsi="Verdana" w:cs="Arial"/>
          <w:color w:val="000000" w:themeColor="text1"/>
        </w:rPr>
        <w:t>En cuanto a sus características</w:t>
      </w:r>
      <w:r w:rsidRPr="00B8056D">
        <w:rPr>
          <w:rFonts w:ascii="Verdana" w:hAnsi="Verdana" w:cs="Arial"/>
          <w:color w:val="000000" w:themeColor="text1"/>
          <w:lang w:val="es-ES_tradnl"/>
        </w:rPr>
        <w:t>, la doctrina ha indicado que el arrendamiento es un contrato</w:t>
      </w:r>
      <w:r w:rsidRPr="00B8056D">
        <w:rPr>
          <w:rFonts w:ascii="Verdana" w:eastAsia="Calibri" w:hAnsi="Verdana"/>
          <w:color w:val="000000" w:themeColor="text1"/>
        </w:rPr>
        <w:t xml:space="preserve">: i) bilateral, pues ambas partes se obligan recíprocamente; </w:t>
      </w:r>
      <w:proofErr w:type="spellStart"/>
      <w:r w:rsidRPr="00B8056D">
        <w:rPr>
          <w:rFonts w:ascii="Verdana" w:eastAsia="Calibri" w:hAnsi="Verdana"/>
          <w:color w:val="000000" w:themeColor="text1"/>
        </w:rPr>
        <w:t>ii</w:t>
      </w:r>
      <w:proofErr w:type="spellEnd"/>
      <w:r w:rsidRPr="00B8056D">
        <w:rPr>
          <w:rFonts w:ascii="Verdana" w:eastAsia="Calibri" w:hAnsi="Verdana"/>
          <w:color w:val="000000" w:themeColor="text1"/>
        </w:rPr>
        <w:t xml:space="preserve">) consensual, dado que se perfecciona con el consentimiento ; </w:t>
      </w:r>
      <w:proofErr w:type="spellStart"/>
      <w:r w:rsidRPr="00B8056D">
        <w:rPr>
          <w:rFonts w:ascii="Verdana" w:eastAsia="Calibri" w:hAnsi="Verdana"/>
          <w:color w:val="000000" w:themeColor="text1"/>
        </w:rPr>
        <w:t>iii</w:t>
      </w:r>
      <w:proofErr w:type="spellEnd"/>
      <w:r w:rsidRPr="00B8056D">
        <w:rPr>
          <w:rFonts w:ascii="Verdana" w:eastAsia="Calibri" w:hAnsi="Verdana"/>
          <w:color w:val="000000" w:themeColor="text1"/>
        </w:rPr>
        <w:t xml:space="preserve">) oneroso, ya que ambas partes obtienen utilidades –el arrendatario, el uso y goce del bien, y el arrendador la renta o canon; </w:t>
      </w:r>
      <w:proofErr w:type="spellStart"/>
      <w:r w:rsidRPr="00B8056D">
        <w:rPr>
          <w:rFonts w:ascii="Verdana" w:eastAsia="Calibri" w:hAnsi="Verdana"/>
          <w:color w:val="000000" w:themeColor="text1"/>
        </w:rPr>
        <w:t>iv</w:t>
      </w:r>
      <w:proofErr w:type="spellEnd"/>
      <w:r w:rsidRPr="00B8056D">
        <w:rPr>
          <w:rFonts w:ascii="Verdana" w:eastAsia="Calibri" w:hAnsi="Verdana"/>
          <w:color w:val="000000" w:themeColor="text1"/>
        </w:rPr>
        <w:t xml:space="preserve">) de ejecución sucesiva, en la </w:t>
      </w:r>
      <w:r w:rsidRPr="00B8056D">
        <w:rPr>
          <w:rFonts w:ascii="Verdana" w:eastAsia="Calibri" w:hAnsi="Verdana" w:cs="Arial"/>
          <w:color w:val="000000" w:themeColor="text1"/>
        </w:rPr>
        <w:t>medida en que se ejecuta en forma periódica; v) principal, porque existe en forma autónoma; y v) nominado, porque está tipificado y desarrollado en la ley.</w:t>
      </w:r>
    </w:p>
    <w:p w14:paraId="4937AAC6" w14:textId="77777777" w:rsidR="0075789E" w:rsidRPr="00B8056D" w:rsidRDefault="0075789E" w:rsidP="0075789E">
      <w:pPr>
        <w:spacing w:after="120" w:line="276" w:lineRule="auto"/>
        <w:ind w:firstLine="709"/>
        <w:jc w:val="both"/>
        <w:rPr>
          <w:rFonts w:ascii="Verdana" w:eastAsia="Calibri" w:hAnsi="Verdana" w:cs="Arial"/>
          <w:color w:val="000000" w:themeColor="text1"/>
        </w:rPr>
      </w:pPr>
      <w:r w:rsidRPr="00B8056D">
        <w:rPr>
          <w:rFonts w:ascii="Verdana" w:eastAsia="Calibri" w:hAnsi="Verdana" w:cs="Arial"/>
          <w:color w:val="000000" w:themeColor="text1"/>
        </w:rPr>
        <w:t xml:space="preserve">Frente a su regulación, </w:t>
      </w:r>
      <w:r w:rsidRPr="00B05F99">
        <w:rPr>
          <w:rFonts w:ascii="Verdana" w:eastAsia="Times New Roman" w:hAnsi="Verdana" w:cs="Arial"/>
          <w:color w:val="000000"/>
        </w:rPr>
        <w:t>debemos remitirnos a las normas civiles y comerciales, debido a que</w:t>
      </w:r>
      <w:r>
        <w:rPr>
          <w:rFonts w:ascii="Verdana" w:eastAsia="Times New Roman" w:hAnsi="Verdana" w:cs="Arial"/>
          <w:color w:val="000000"/>
        </w:rPr>
        <w:t>, a</w:t>
      </w:r>
      <w:r w:rsidRPr="00B05F99">
        <w:rPr>
          <w:rFonts w:ascii="Verdana" w:eastAsia="Times New Roman" w:hAnsi="Verdana" w:cs="Arial"/>
          <w:color w:val="000000"/>
        </w:rPr>
        <w:t xml:space="preserve">unque el contrato de arrendamiento no se encuentra dentro del listado enunciativo del artículo 32 de la Ley 80 de 1993, por lo que se aplicará, los artículos 1973 al 2078 del Código Civil y normas especiales sobre el contrato de arrendamiento en los artículos 518 al 523 del Código de Comercio –sobre arrendamiento de inmuebles para los establecimientos de comercio–, 1678 al 1687 y 1890 al 1899 de la misma codificación –sobre arrendamiento de </w:t>
      </w:r>
      <w:r w:rsidRPr="00B05F99">
        <w:rPr>
          <w:rFonts w:ascii="Verdana" w:eastAsia="Times New Roman" w:hAnsi="Verdana" w:cs="Arial"/>
          <w:color w:val="000000"/>
        </w:rPr>
        <w:lastRenderedPageBreak/>
        <w:t>naves–; y en la Ley 820 de 2003, por la cual se expide el régimen de arrendamiento de vivienda urbana.</w:t>
      </w:r>
      <w:r>
        <w:rPr>
          <w:rFonts w:ascii="Verdana" w:eastAsia="Times New Roman" w:hAnsi="Verdana" w:cs="Arial"/>
          <w:color w:val="000000"/>
        </w:rPr>
        <w:t xml:space="preserve"> </w:t>
      </w:r>
    </w:p>
    <w:p w14:paraId="779F46DE" w14:textId="77777777" w:rsidR="0075789E" w:rsidRPr="00B8056D" w:rsidRDefault="0075789E" w:rsidP="0075789E">
      <w:pPr>
        <w:spacing w:after="120" w:line="276" w:lineRule="auto"/>
        <w:ind w:firstLine="709"/>
        <w:jc w:val="both"/>
        <w:rPr>
          <w:rFonts w:ascii="Verdana" w:eastAsia="Calibri" w:hAnsi="Verdana" w:cs="Arial"/>
          <w:color w:val="000000" w:themeColor="text1"/>
        </w:rPr>
      </w:pPr>
      <w:r w:rsidRPr="00B8056D">
        <w:rPr>
          <w:rFonts w:ascii="Verdana" w:eastAsia="Calibri" w:hAnsi="Verdana" w:cs="Arial"/>
          <w:color w:val="000000" w:themeColor="text1"/>
        </w:rPr>
        <w:t>En igual sentido, por su importancia en la contratación estatal, debe precisarse que la modalidad de selección aplicable a la celebración de los contratos de arrendamiento depende del régimen aplicable a la entidad estatal. Si se rige por el derecho privado, es decir, si está exceptuada del Estatuto General de Contratación de la Administración Pública, debe aplicar en principio las normas civiles y comerciales mencionadas, en las cuales se permite la celebración directa del contrato de arrendamiento, pero si el reglamento o manual interno de contratación de la entidad dispone que debe efectuar algún procedimiento especial, este prevalece. En contrate, si la entidad estatal se rige por el Estatuto General de Contratación de la Administración Pública, bien sea que obre en calidad de arrendadora o arrendataria, debe acudir a la modalidad de selección de contratación directa si arrendara un inmueble, pues el artículo 2º, numeral 4° literal i) de la Ley 1150 de 2007 establece que una de las causales de este procedimiento es “i) El arrendamiento o adquisición de inmuebles” . Si lo que arrendará es un bien mueble, lo deberá hacer por licitación pública, selección abreviada o mínima cuantía, dependiendo del valor de la contratación. En ambos supuestos la entidad estatal también debe aplicar las normas civiles y comerciales que regulan la sustantividad del contrato de arrendamiento, porque a estas se remiten los artículos 13, 32 y 40 de la Ley 80 de 1993.</w:t>
      </w:r>
    </w:p>
    <w:p w14:paraId="346EA3CB" w14:textId="77777777" w:rsidR="0075789E" w:rsidRPr="00B8056D" w:rsidRDefault="0075789E" w:rsidP="0075789E">
      <w:pPr>
        <w:spacing w:after="120" w:line="276" w:lineRule="auto"/>
        <w:ind w:firstLine="709"/>
        <w:jc w:val="both"/>
        <w:rPr>
          <w:rFonts w:ascii="Verdana" w:eastAsia="Calibri" w:hAnsi="Verdana" w:cs="Arial"/>
          <w:color w:val="000000" w:themeColor="text1"/>
        </w:rPr>
      </w:pPr>
      <w:r w:rsidRPr="00B8056D">
        <w:rPr>
          <w:rFonts w:ascii="Verdana" w:eastAsia="Calibri" w:hAnsi="Verdana" w:cs="Arial"/>
          <w:color w:val="000000" w:themeColor="text1"/>
        </w:rPr>
        <w:t xml:space="preserve">Por otro lado, La Ley 80 de 1993, en el texto original del artículo 41, estableció que los requisitos para perfeccionar el contrato eran: i) llegar a un acuerdo sobre el objeto y la contraprestación y </w:t>
      </w:r>
      <w:proofErr w:type="spellStart"/>
      <w:r w:rsidRPr="00B8056D">
        <w:rPr>
          <w:rFonts w:ascii="Verdana" w:eastAsia="Calibri" w:hAnsi="Verdana" w:cs="Arial"/>
          <w:color w:val="000000" w:themeColor="text1"/>
        </w:rPr>
        <w:t>ii</w:t>
      </w:r>
      <w:proofErr w:type="spellEnd"/>
      <w:r w:rsidRPr="00B8056D">
        <w:rPr>
          <w:rFonts w:ascii="Verdana" w:eastAsia="Calibri" w:hAnsi="Verdana" w:cs="Arial"/>
          <w:color w:val="000000" w:themeColor="text1"/>
        </w:rPr>
        <w:t xml:space="preserve">) que conste por escrito. Por su parte, para iniciar la ejecución se requería: i) la constitución y aprobación de la garantía y </w:t>
      </w:r>
      <w:proofErr w:type="spellStart"/>
      <w:r w:rsidRPr="00B8056D">
        <w:rPr>
          <w:rFonts w:ascii="Verdana" w:eastAsia="Calibri" w:hAnsi="Verdana" w:cs="Arial"/>
          <w:color w:val="000000" w:themeColor="text1"/>
        </w:rPr>
        <w:t>ii</w:t>
      </w:r>
      <w:proofErr w:type="spellEnd"/>
      <w:r w:rsidRPr="00B8056D">
        <w:rPr>
          <w:rFonts w:ascii="Verdana" w:eastAsia="Calibri" w:hAnsi="Verdana" w:cs="Arial"/>
          <w:color w:val="000000" w:themeColor="text1"/>
        </w:rPr>
        <w:t>) la existencia del registro presupuestal.</w:t>
      </w:r>
    </w:p>
    <w:p w14:paraId="138E6104" w14:textId="77777777" w:rsidR="0075789E" w:rsidRPr="00B8056D" w:rsidRDefault="0075789E" w:rsidP="0075789E">
      <w:pPr>
        <w:spacing w:after="120" w:line="276" w:lineRule="auto"/>
        <w:ind w:firstLine="709"/>
        <w:jc w:val="both"/>
        <w:rPr>
          <w:rFonts w:ascii="Verdana" w:eastAsia="Calibri" w:hAnsi="Verdana" w:cs="Arial"/>
          <w:color w:val="000000" w:themeColor="text1"/>
        </w:rPr>
      </w:pPr>
      <w:r w:rsidRPr="00B8056D">
        <w:rPr>
          <w:rFonts w:ascii="Verdana" w:eastAsia="Calibri" w:hAnsi="Verdana" w:cs="Arial"/>
          <w:color w:val="000000" w:themeColor="text1"/>
        </w:rPr>
        <w:t xml:space="preserve">Posteriormente, el artículo 50 de la Ley 789 de 2002 estableció, como obligación de quien quiere celebrar, renovar o liquidar contratos de cualquier naturaleza con entidades del sector público, cumplir con las obligaciones frente a los sistemas de salud, riesgos profesionales, pensiones y aportes a la Caja de Compensación Familiar, Instituto Colombiano de Bienestar Familiar y Servicio Nacional de Aprendizaje cuando a ello haya lugar. Además, se facultó a la entidad estatal, al momento de liquidar los contratos, para verificar y dejar constancia del cumplimiento de las obligaciones del contratista frente a los </w:t>
      </w:r>
      <w:r w:rsidRPr="00B8056D">
        <w:rPr>
          <w:rFonts w:ascii="Verdana" w:eastAsia="Calibri" w:hAnsi="Verdana" w:cs="Arial"/>
          <w:color w:val="000000" w:themeColor="text1"/>
        </w:rPr>
        <w:lastRenderedPageBreak/>
        <w:t>aportes mencionados, durante toda su vigencia, estableciendo una correcta relación entre el monto cancelado y las sumas que debió cotizar.</w:t>
      </w:r>
    </w:p>
    <w:p w14:paraId="582C87C1" w14:textId="77777777" w:rsidR="0075789E" w:rsidRPr="00B8056D" w:rsidRDefault="0075789E" w:rsidP="0075789E">
      <w:pPr>
        <w:spacing w:after="120" w:line="276" w:lineRule="auto"/>
        <w:ind w:firstLine="709"/>
        <w:jc w:val="both"/>
        <w:rPr>
          <w:rFonts w:ascii="Verdana" w:eastAsia="Calibri" w:hAnsi="Verdana" w:cs="Arial"/>
          <w:color w:val="000000" w:themeColor="text1"/>
        </w:rPr>
      </w:pPr>
      <w:r w:rsidRPr="00B8056D">
        <w:rPr>
          <w:rFonts w:ascii="Verdana" w:eastAsia="Calibri" w:hAnsi="Verdana" w:cs="Arial"/>
          <w:color w:val="000000" w:themeColor="text1"/>
        </w:rPr>
        <w:t>Además, aclara que las personas</w:t>
      </w:r>
      <w:r w:rsidRPr="00B8056D">
        <w:rPr>
          <w:rFonts w:ascii="Verdana" w:eastAsia="Times New Roman" w:hAnsi="Verdana" w:cs="Arial"/>
          <w:color w:val="000000" w:themeColor="text1"/>
          <w:lang w:eastAsia="es-ES"/>
        </w:rPr>
        <w:t xml:space="preserve">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6 meses anteriores a la celebración del contrato. En este sentido, la ley establece que para presentar la oferta las personas jurídicas deben acreditar el requisito señalado anteriormente, es decir, el pago al sistema de seguridad social </w:t>
      </w:r>
      <w:r w:rsidRPr="00B8056D">
        <w:rPr>
          <w:rFonts w:ascii="Verdana" w:eastAsia="Calibri" w:hAnsi="Verdana" w:cs="Arial"/>
          <w:color w:val="000000" w:themeColor="text1"/>
        </w:rPr>
        <w:t>de sus empleados.</w:t>
      </w:r>
    </w:p>
    <w:p w14:paraId="3F60E4E2" w14:textId="77777777" w:rsidR="0075789E" w:rsidRPr="00427C5D" w:rsidRDefault="0075789E" w:rsidP="0075789E">
      <w:pPr>
        <w:spacing w:after="120" w:line="276" w:lineRule="auto"/>
        <w:ind w:firstLine="709"/>
        <w:jc w:val="both"/>
        <w:rPr>
          <w:rFonts w:ascii="Verdana" w:eastAsia="Times New Roman" w:hAnsi="Verdana" w:cs="Arial"/>
          <w:color w:val="000000" w:themeColor="text1"/>
          <w:lang w:eastAsia="es-ES"/>
        </w:rPr>
      </w:pPr>
      <w:r w:rsidRPr="00B8056D">
        <w:rPr>
          <w:rFonts w:ascii="Verdana" w:eastAsia="Calibri" w:hAnsi="Verdana" w:cs="Arial"/>
          <w:color w:val="000000" w:themeColor="text1"/>
        </w:rPr>
        <w:t xml:space="preserve">Esta norma fue analizada por el Consejo de Estado, quien consideró que el artículo 50 de la Ley 789 de 2002 tiene por objeto evitar la evasión por parte de los empleadores de las cotizaciones al Sistema de Seguridad Social Integral y de los aportes parafiscales.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durante la ejecución del contrato, verifiquen el cumplimiento de las obligaciones del Sistema de Seguridad Social Integral por </w:t>
      </w:r>
      <w:r w:rsidRPr="00B8056D">
        <w:rPr>
          <w:rFonts w:ascii="Verdana" w:eastAsia="Times New Roman" w:hAnsi="Verdana" w:cs="Arial"/>
          <w:color w:val="000000" w:themeColor="text1"/>
          <w:lang w:eastAsia="es-ES"/>
        </w:rPr>
        <w:t xml:space="preserve">parte de los contratistas. </w:t>
      </w:r>
    </w:p>
    <w:p w14:paraId="03398FEA" w14:textId="77777777" w:rsidR="0075789E" w:rsidRDefault="0075789E" w:rsidP="0075789E">
      <w:pPr>
        <w:spacing w:after="120" w:line="276" w:lineRule="auto"/>
        <w:ind w:firstLine="709"/>
        <w:jc w:val="both"/>
        <w:rPr>
          <w:rFonts w:ascii="Verdana" w:eastAsia="Calibri" w:hAnsi="Verdana" w:cs="Arial"/>
          <w:color w:val="000000" w:themeColor="text1"/>
        </w:rPr>
      </w:pPr>
      <w:r w:rsidRPr="00B8056D">
        <w:rPr>
          <w:rFonts w:ascii="Verdana" w:eastAsia="Times New Roman" w:hAnsi="Verdana" w:cs="Arial"/>
          <w:color w:val="000000" w:themeColor="text1"/>
          <w:lang w:eastAsia="es-ES"/>
        </w:rPr>
        <w:t>En igual sentido, el artículo 23</w:t>
      </w:r>
      <w:r w:rsidRPr="00B8056D">
        <w:rPr>
          <w:rFonts w:ascii="Verdana" w:eastAsia="Calibri" w:hAnsi="Verdana" w:cs="Arial"/>
          <w:color w:val="000000" w:themeColor="text1"/>
        </w:rPr>
        <w:t xml:space="preserve"> de la Ley 1150 de 2007 modificó el inciso segundo del artículo 41 de la Ley 80 de 1993, incluyendo la obligación, para los proponentes y contratistas, de estar a paz y salvo con los aportes parafiscales al Sistema de Seguridad Social integral, al señalar:</w:t>
      </w:r>
    </w:p>
    <w:p w14:paraId="5252C75E" w14:textId="77777777" w:rsidR="0075789E" w:rsidRPr="00B8056D" w:rsidRDefault="0075789E" w:rsidP="0075789E">
      <w:pPr>
        <w:contextualSpacing/>
        <w:jc w:val="both"/>
        <w:rPr>
          <w:rFonts w:ascii="Verdana" w:eastAsia="Calibri" w:hAnsi="Verdana" w:cs="Arial"/>
          <w:color w:val="000000" w:themeColor="text1"/>
        </w:rPr>
      </w:pPr>
    </w:p>
    <w:p w14:paraId="4CB7464E" w14:textId="77777777" w:rsidR="0075789E" w:rsidRPr="00B8056D" w:rsidRDefault="0075789E" w:rsidP="0075789E">
      <w:pPr>
        <w:tabs>
          <w:tab w:val="left" w:pos="7938"/>
          <w:tab w:val="left" w:pos="8080"/>
        </w:tabs>
        <w:spacing w:before="120" w:after="120" w:line="240" w:lineRule="auto"/>
        <w:ind w:left="1134" w:right="709"/>
        <w:jc w:val="both"/>
        <w:rPr>
          <w:rFonts w:ascii="Verdana" w:eastAsia="Times New Roman" w:hAnsi="Verdana" w:cs="Arial"/>
          <w:sz w:val="20"/>
          <w:szCs w:val="20"/>
          <w:lang w:val="es-ES" w:eastAsia="es-CO"/>
        </w:rPr>
      </w:pPr>
      <w:r>
        <w:rPr>
          <w:rFonts w:ascii="Verdana" w:eastAsia="Times New Roman" w:hAnsi="Verdana" w:cs="Arial"/>
          <w:sz w:val="20"/>
          <w:szCs w:val="20"/>
          <w:lang w:eastAsia="es-CO"/>
        </w:rPr>
        <w:t>“</w:t>
      </w:r>
      <w:r w:rsidRPr="00B8056D">
        <w:rPr>
          <w:rFonts w:ascii="Verdana" w:eastAsia="Times New Roman" w:hAnsi="Verdana" w:cs="Arial"/>
          <w:sz w:val="20"/>
          <w:szCs w:val="20"/>
          <w:lang w:val="es-ES" w:eastAsia="es-CO"/>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2E10F10F" w14:textId="77777777" w:rsidR="0075789E" w:rsidRPr="00B8056D" w:rsidRDefault="0075789E" w:rsidP="0075789E">
      <w:pPr>
        <w:spacing w:before="120" w:after="120" w:line="240" w:lineRule="auto"/>
        <w:ind w:left="1134" w:right="709"/>
        <w:jc w:val="both"/>
        <w:rPr>
          <w:rFonts w:ascii="Verdana" w:eastAsia="Times New Roman" w:hAnsi="Verdana" w:cs="Arial"/>
          <w:sz w:val="20"/>
          <w:szCs w:val="20"/>
          <w:lang w:val="es-ES" w:eastAsia="es-CO"/>
        </w:rPr>
      </w:pPr>
      <w:r w:rsidRPr="00B8056D">
        <w:rPr>
          <w:rFonts w:ascii="Verdana" w:eastAsia="Times New Roman" w:hAnsi="Verdana" w:cs="Arial"/>
          <w:bCs/>
          <w:sz w:val="20"/>
          <w:szCs w:val="20"/>
          <w:lang w:val="es-ES" w:eastAsia="es-CO"/>
        </w:rPr>
        <w:lastRenderedPageBreak/>
        <w:t>Parágrafo 1.</w:t>
      </w:r>
      <w:r w:rsidRPr="00B8056D">
        <w:rPr>
          <w:rFonts w:ascii="Verdana" w:eastAsia="Times New Roman" w:hAnsi="Verdana" w:cs="Arial"/>
          <w:sz w:val="20"/>
          <w:szCs w:val="20"/>
          <w:lang w:val="es-ES" w:eastAsia="es-CO"/>
        </w:rPr>
        <w:t> El requisito establecido en la parte final del inciso segundo de este artículo deberá acreditarse para la realización de cada pago derivado del contrato estatal.</w:t>
      </w:r>
    </w:p>
    <w:p w14:paraId="5AFC944E" w14:textId="77777777" w:rsidR="0075789E" w:rsidRPr="00B8056D" w:rsidRDefault="0075789E" w:rsidP="0075789E">
      <w:pPr>
        <w:spacing w:before="120" w:after="120" w:line="240" w:lineRule="auto"/>
        <w:ind w:left="1134" w:right="709"/>
        <w:jc w:val="both"/>
        <w:rPr>
          <w:rFonts w:ascii="Verdana" w:eastAsia="Times New Roman" w:hAnsi="Verdana" w:cs="Arial"/>
          <w:sz w:val="20"/>
          <w:szCs w:val="20"/>
          <w:lang w:val="es-ES" w:eastAsia="es-CO"/>
        </w:rPr>
      </w:pPr>
      <w:r w:rsidRPr="00B8056D">
        <w:rPr>
          <w:rFonts w:ascii="Verdana" w:eastAsia="Times New Roman" w:hAnsi="Verdana" w:cs="Arial"/>
          <w:sz w:val="20"/>
          <w:szCs w:val="20"/>
          <w:lang w:val="es-ES" w:eastAsia="es-CO"/>
        </w:rPr>
        <w:t>El servidor público que sin justa causa no verifique el pago de los aportes a que se refiere el presente artículo, incurrirá en causal de mala conducta, que será sancionada con arreglo al régimen disciplinario vigente.</w:t>
      </w:r>
      <w:r>
        <w:rPr>
          <w:rFonts w:ascii="Verdana" w:eastAsia="Times New Roman" w:hAnsi="Verdana" w:cs="Arial"/>
          <w:sz w:val="20"/>
          <w:szCs w:val="20"/>
          <w:lang w:val="es-ES" w:eastAsia="es-CO"/>
        </w:rPr>
        <w:t>”</w:t>
      </w:r>
    </w:p>
    <w:p w14:paraId="26D25598" w14:textId="77777777" w:rsidR="0075789E" w:rsidRDefault="0075789E" w:rsidP="0075789E">
      <w:pPr>
        <w:spacing w:after="0" w:line="276" w:lineRule="auto"/>
        <w:contextualSpacing/>
        <w:jc w:val="both"/>
        <w:rPr>
          <w:rFonts w:ascii="Verdana" w:eastAsia="Calibri" w:hAnsi="Verdana" w:cs="Arial"/>
          <w:color w:val="000000" w:themeColor="text1"/>
        </w:rPr>
      </w:pPr>
    </w:p>
    <w:p w14:paraId="6E2A7937" w14:textId="77777777" w:rsidR="0075789E" w:rsidRPr="00B8056D" w:rsidRDefault="0075789E" w:rsidP="0075789E">
      <w:pPr>
        <w:spacing w:after="120" w:line="276" w:lineRule="auto"/>
        <w:ind w:firstLine="709"/>
        <w:jc w:val="both"/>
        <w:rPr>
          <w:rFonts w:ascii="Verdana" w:eastAsia="Times New Roman" w:hAnsi="Verdana" w:cs="Arial"/>
          <w:color w:val="000000" w:themeColor="text1"/>
          <w:lang w:eastAsia="es-ES"/>
        </w:rPr>
      </w:pPr>
      <w:r w:rsidRPr="00B8056D">
        <w:rPr>
          <w:rFonts w:ascii="Verdana" w:eastAsia="Calibri" w:hAnsi="Verdana" w:cs="Arial"/>
          <w:color w:val="000000" w:themeColor="text1"/>
        </w:rPr>
        <w:t xml:space="preserve">De la lectura integral del artículo 23 de la Ley 1150 de 2007 se infiere que, si bien los proponentes y los contratistas deben estar al día en el pago al Sistema de Seguridad Social Integral, la verificación de este requisito, por parte de las entidades estatales, se efectuará cuando realicen los pagos del contrato, es </w:t>
      </w:r>
      <w:r w:rsidRPr="00B8056D">
        <w:rPr>
          <w:rFonts w:ascii="Verdana" w:eastAsia="Times New Roman" w:hAnsi="Verdana" w:cs="Arial"/>
          <w:color w:val="000000" w:themeColor="text1"/>
          <w:lang w:eastAsia="es-ES"/>
        </w:rPr>
        <w:t>decir, durante la ejecución.</w:t>
      </w:r>
    </w:p>
    <w:p w14:paraId="6E791A61" w14:textId="77777777" w:rsidR="0075789E" w:rsidRPr="00B8056D" w:rsidRDefault="0075789E" w:rsidP="0075789E">
      <w:pPr>
        <w:spacing w:after="120" w:line="276" w:lineRule="auto"/>
        <w:ind w:firstLine="709"/>
        <w:jc w:val="both"/>
        <w:rPr>
          <w:rFonts w:ascii="Verdana" w:eastAsia="Calibri" w:hAnsi="Verdana" w:cs="Arial"/>
          <w:color w:val="000000" w:themeColor="text1"/>
        </w:rPr>
      </w:pPr>
      <w:r w:rsidRPr="00B8056D">
        <w:rPr>
          <w:rFonts w:ascii="Verdana" w:eastAsia="Times New Roman" w:hAnsi="Verdana" w:cs="Arial"/>
          <w:color w:val="000000" w:themeColor="text1"/>
          <w:lang w:eastAsia="es-ES"/>
        </w:rPr>
        <w:t>La verificación del</w:t>
      </w:r>
      <w:r w:rsidRPr="00B8056D">
        <w:rPr>
          <w:rFonts w:ascii="Verdana" w:eastAsia="Calibri" w:hAnsi="Verdana" w:cs="Arial"/>
          <w:color w:val="000000" w:themeColor="text1"/>
        </w:rPr>
        <w:t xml:space="preserve"> aporte Sistema de Seguridad Social Integral cambia, dependiendo si se trata de una persona natural o de una jurídica: i) si es una natural, la entidad estatal verificará el pago al Sistema de Seguridad Social Integral cuando se realicen los pagos del contrato, es decir, durante su ejecución y </w:t>
      </w:r>
      <w:proofErr w:type="spellStart"/>
      <w:r w:rsidRPr="00B8056D">
        <w:rPr>
          <w:rFonts w:ascii="Verdana" w:eastAsia="Calibri" w:hAnsi="Verdana" w:cs="Arial"/>
          <w:color w:val="000000" w:themeColor="text1"/>
        </w:rPr>
        <w:t>ii</w:t>
      </w:r>
      <w:proofErr w:type="spellEnd"/>
      <w:r w:rsidRPr="00B8056D">
        <w:rPr>
          <w:rFonts w:ascii="Verdana" w:eastAsia="Calibri" w:hAnsi="Verdana" w:cs="Arial"/>
          <w:color w:val="000000" w:themeColor="text1"/>
        </w:rPr>
        <w:t>) si se refiere a una persona jurídica, el comprobante de pago de los aportes al Sistema de Seguridad Social Integral de sus empleados se debe aportar con la presentación de la oferta, y este constituye un criterio de admisión de la oferta. Lo anterior, sin perjuicio de que durante la ejecución del contrato también se acredite el pago al Sistema de Seguridad Social Integral para pagar las cuentas o facturas si a ello hubiere lugar.</w:t>
      </w:r>
    </w:p>
    <w:p w14:paraId="36F5EE8E" w14:textId="77777777" w:rsidR="0075789E" w:rsidRPr="00B8056D" w:rsidRDefault="0075789E" w:rsidP="0075789E">
      <w:pPr>
        <w:spacing w:after="120" w:line="276" w:lineRule="auto"/>
        <w:ind w:firstLine="709"/>
        <w:jc w:val="both"/>
        <w:rPr>
          <w:rFonts w:ascii="Verdana" w:eastAsia="Calibri" w:hAnsi="Verdana" w:cs="Arial"/>
          <w:color w:val="000000" w:themeColor="text1"/>
        </w:rPr>
      </w:pPr>
      <w:r w:rsidRPr="00B8056D">
        <w:rPr>
          <w:rFonts w:ascii="Verdana" w:eastAsia="Calibri" w:hAnsi="Verdana" w:cs="Arial"/>
          <w:color w:val="000000" w:themeColor="text1"/>
        </w:rPr>
        <w:t>Igualmente, en virtud del artículo</w:t>
      </w:r>
      <w:r w:rsidRPr="00B8056D">
        <w:rPr>
          <w:rFonts w:ascii="Verdana" w:hAnsi="Verdana" w:cs="Arial"/>
          <w:color w:val="000000" w:themeColor="text1"/>
        </w:rPr>
        <w:t xml:space="preserve">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w:t>
      </w:r>
      <w:r w:rsidRPr="00B8056D">
        <w:rPr>
          <w:rFonts w:ascii="Verdana" w:eastAsia="Calibri" w:hAnsi="Verdana" w:cs="Arial"/>
          <w:color w:val="000000" w:themeColor="text1"/>
        </w:rPr>
        <w:t>estableciendo una correcta relación entre el monto cancelado y las sumas que debieron cotizar.</w:t>
      </w:r>
    </w:p>
    <w:p w14:paraId="13CD860B" w14:textId="77777777" w:rsidR="0075789E" w:rsidRDefault="0075789E" w:rsidP="0075789E">
      <w:pPr>
        <w:spacing w:after="120" w:line="276" w:lineRule="auto"/>
        <w:ind w:firstLine="709"/>
        <w:jc w:val="both"/>
        <w:rPr>
          <w:rFonts w:ascii="Verdana" w:eastAsia="Calibri" w:hAnsi="Verdana" w:cs="Arial"/>
          <w:color w:val="000000" w:themeColor="text1"/>
        </w:rPr>
      </w:pPr>
      <w:r w:rsidRPr="00B8056D">
        <w:rPr>
          <w:rFonts w:ascii="Verdana" w:eastAsia="Calibri" w:hAnsi="Verdana" w:cs="Arial"/>
          <w:color w:val="000000" w:themeColor="text1"/>
        </w:rPr>
        <w:t>En consecuencia, no cabe</w:t>
      </w:r>
      <w:r w:rsidRPr="00B8056D">
        <w:rPr>
          <w:rFonts w:ascii="Verdana" w:hAnsi="Verdana" w:cs="Arial"/>
        </w:rPr>
        <w:t xml:space="preserv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contrato como durante su ejecución </w:t>
      </w:r>
      <w:r w:rsidRPr="00B8056D">
        <w:rPr>
          <w:rFonts w:ascii="Verdana" w:hAnsi="Verdana" w:cs="Arial"/>
        </w:rPr>
        <w:lastRenderedPageBreak/>
        <w:t xml:space="preserve">y liquidación, conforme a la naturaleza jurídica de la persona con quien se va a </w:t>
      </w:r>
      <w:r w:rsidRPr="00B8056D">
        <w:rPr>
          <w:rFonts w:ascii="Verdana" w:eastAsia="Calibri" w:hAnsi="Verdana" w:cs="Arial"/>
          <w:color w:val="000000" w:themeColor="text1"/>
        </w:rPr>
        <w:t xml:space="preserve">realizar el contrato de arrendamiento. </w:t>
      </w:r>
    </w:p>
    <w:p w14:paraId="4E9C2046" w14:textId="77777777" w:rsidR="0075789E" w:rsidRDefault="0075789E" w:rsidP="0075789E">
      <w:pPr>
        <w:spacing w:after="120" w:line="276" w:lineRule="auto"/>
        <w:ind w:firstLine="709"/>
        <w:jc w:val="both"/>
        <w:rPr>
          <w:rFonts w:ascii="Verdana" w:eastAsia="Calibri" w:hAnsi="Verdana" w:cs="Arial"/>
          <w:color w:val="000000" w:themeColor="text1"/>
        </w:rPr>
      </w:pPr>
      <w:r w:rsidRPr="00427C5D">
        <w:rPr>
          <w:rFonts w:ascii="Verdana" w:eastAsia="Calibri" w:hAnsi="Verdana" w:cs="Arial"/>
          <w:color w:val="000000" w:themeColor="text1"/>
        </w:rPr>
        <w:t>Ahora bien, frente a la persona que arrendataria, es menester tener en cuenta que la Corte Constitucional en sentencia C-578 de 2009 concluyó que de la interpretación de los artículos 157 y 204 de la Ley 100 de 1993 debía considerarse a los rentistas de capital como trabajadores independientes, ya que dicha expresión incluye a todas las personas económicamente activas.</w:t>
      </w:r>
    </w:p>
    <w:p w14:paraId="568EF3D2" w14:textId="77777777" w:rsidR="0075789E" w:rsidRDefault="0075789E" w:rsidP="0075789E">
      <w:pPr>
        <w:spacing w:after="120" w:line="276" w:lineRule="auto"/>
        <w:ind w:firstLine="709"/>
        <w:jc w:val="both"/>
        <w:rPr>
          <w:rFonts w:ascii="Verdana" w:eastAsia="Calibri" w:hAnsi="Verdana" w:cs="Arial"/>
          <w:color w:val="000000" w:themeColor="text1"/>
        </w:rPr>
      </w:pPr>
      <w:r w:rsidRPr="00427C5D">
        <w:rPr>
          <w:rFonts w:ascii="Verdana" w:eastAsia="Calibri" w:hAnsi="Verdana" w:cs="Arial"/>
          <w:color w:val="000000" w:themeColor="text1"/>
        </w:rPr>
        <w:t>En ese orden de ideas, son conocidos como rentistas de capital aquellas personas que obtienen ingresos de arrendamientos, dividendos de inversiones, entre otras actividades, adquiriendo de esta manera capacidad de pago para cotizar al Sistema Integral de Seguridad Social.</w:t>
      </w:r>
    </w:p>
    <w:p w14:paraId="452CA9B0" w14:textId="77777777" w:rsidR="0075789E" w:rsidRDefault="0075789E" w:rsidP="0075789E">
      <w:pPr>
        <w:spacing w:after="120" w:line="276" w:lineRule="auto"/>
        <w:ind w:firstLine="709"/>
        <w:jc w:val="both"/>
        <w:rPr>
          <w:rFonts w:ascii="Verdana" w:eastAsia="Calibri" w:hAnsi="Verdana" w:cs="Arial"/>
          <w:color w:val="000000" w:themeColor="text1"/>
        </w:rPr>
      </w:pPr>
      <w:r w:rsidRPr="00427C5D">
        <w:rPr>
          <w:rFonts w:ascii="Verdana" w:eastAsia="Calibri" w:hAnsi="Verdana" w:cs="Arial"/>
          <w:color w:val="000000" w:themeColor="text1"/>
        </w:rPr>
        <w:t>El Decreto Único 780 de 2016 identifica como aportante a las personas naturales o jurídicas con trabajadores dependientes, a las entidades promotoras de salud, administradoras de pensiones o riesgos profesionales obligadas a realizar aportes correspondientes al Sistema, a los rentistas de capital y demás personas que tengan capacidad de contribuir al financiamiento del SGSSS y a los trabajadores independientes que se encuentren afiliados al Sistema de Seguridad Social Integral.</w:t>
      </w:r>
    </w:p>
    <w:p w14:paraId="5D769C14" w14:textId="77777777" w:rsidR="0075789E" w:rsidRDefault="0075789E" w:rsidP="0075789E">
      <w:pPr>
        <w:spacing w:after="120" w:line="276" w:lineRule="auto"/>
        <w:ind w:firstLine="709"/>
        <w:jc w:val="both"/>
        <w:rPr>
          <w:rFonts w:ascii="Verdana" w:eastAsia="Calibri" w:hAnsi="Verdana" w:cs="Arial"/>
          <w:color w:val="000000" w:themeColor="text1"/>
        </w:rPr>
      </w:pPr>
      <w:r w:rsidRPr="00427C5D">
        <w:rPr>
          <w:rFonts w:ascii="Verdana" w:eastAsia="Calibri" w:hAnsi="Verdana" w:cs="Arial"/>
          <w:color w:val="000000" w:themeColor="text1"/>
        </w:rPr>
        <w:t>Toda persona económicamente activa con capacidad de pago, en virtud del principio de solidaridad que rige el Sistema Integral de Seguridad Social, está en la obligación de aportar a los Sistemas de Salud y Pensiones, y en forma voluntaria pueden afiliarse al Sistema de Riesgos Laborales y caja de compensación familiar. Lo anterior para el caso de los independientes por cuenta propia y con contrato diferente al de prestación de servicios, dentro de los cuales se encuentran los rentistas de capital.</w:t>
      </w:r>
    </w:p>
    <w:p w14:paraId="2A4E8E9F" w14:textId="77777777" w:rsidR="0075789E" w:rsidRDefault="0075789E" w:rsidP="0075789E">
      <w:pPr>
        <w:spacing w:after="120" w:line="276" w:lineRule="auto"/>
        <w:ind w:firstLine="709"/>
        <w:jc w:val="both"/>
        <w:rPr>
          <w:rFonts w:ascii="Verdana" w:eastAsia="Calibri" w:hAnsi="Verdana" w:cs="Arial"/>
          <w:color w:val="000000" w:themeColor="text1"/>
        </w:rPr>
      </w:pPr>
      <w:r w:rsidRPr="00427C5D">
        <w:rPr>
          <w:rFonts w:ascii="Verdana" w:eastAsia="Calibri" w:hAnsi="Verdana" w:cs="Arial"/>
          <w:color w:val="000000" w:themeColor="text1"/>
        </w:rPr>
        <w:t>Al respecto, la Unidad de Gestión Pensional y Parafiscales indicó que:</w:t>
      </w:r>
    </w:p>
    <w:p w14:paraId="22C23E0F" w14:textId="77777777" w:rsidR="0075789E" w:rsidRPr="00B8056D" w:rsidRDefault="0075789E" w:rsidP="0075789E">
      <w:pPr>
        <w:tabs>
          <w:tab w:val="left" w:pos="7938"/>
          <w:tab w:val="left" w:pos="8080"/>
        </w:tabs>
        <w:spacing w:before="120" w:after="120" w:line="240" w:lineRule="auto"/>
        <w:ind w:left="1134" w:right="709"/>
        <w:jc w:val="both"/>
        <w:rPr>
          <w:rFonts w:ascii="Verdana" w:eastAsia="Times New Roman" w:hAnsi="Verdana" w:cs="Arial"/>
          <w:sz w:val="20"/>
          <w:szCs w:val="20"/>
          <w:lang w:val="es-ES" w:eastAsia="es-CO"/>
        </w:rPr>
      </w:pPr>
      <w:r w:rsidRPr="00B05F99">
        <w:rPr>
          <w:rFonts w:ascii="Verdana" w:eastAsia="Times New Roman" w:hAnsi="Verdana" w:cs="Arial"/>
          <w:sz w:val="20"/>
          <w:szCs w:val="20"/>
          <w:lang w:val="es-ES" w:eastAsia="es-CO"/>
        </w:rPr>
        <w:t xml:space="preserve">“Un independiente que percibe ingresos mensuales iguales o superiores a 1 salario mínimo mensual legal vigente provenientes de la explotación de sus bienes muebles o inmuebles, o recibe intereses, dividendos o utilidades producto de unas acciones de su propiedad se considera como rentista de capital dentro del grupo de independientes por cuenta propia o por contratos diferentes al de prestación de servicios, y por tanto está en la obligación de cotizar a los sistemas de salud y pensión, en la forma señalada en el inciso primero del artículo 135 de la Ley 1753 de 2015, es decir, sobre mínimo el 40% </w:t>
      </w:r>
      <w:r w:rsidRPr="00B05F99">
        <w:rPr>
          <w:rFonts w:ascii="Verdana" w:eastAsia="Times New Roman" w:hAnsi="Verdana" w:cs="Arial"/>
          <w:sz w:val="20"/>
          <w:szCs w:val="20"/>
          <w:lang w:val="es-ES" w:eastAsia="es-CO"/>
        </w:rPr>
        <w:lastRenderedPageBreak/>
        <w:t>del valor de sus ingresos y para calcular el ingreso base de cotización IBC podrán deducir las expensas que se generen en la ejecución de cada actividad conforme a lo dispuesto en el art. 107 del Estatuto Tributario”</w:t>
      </w:r>
      <w:r w:rsidRPr="00C563A7">
        <w:rPr>
          <w:rFonts w:ascii="Aptos" w:eastAsia="Times New Roman" w:hAnsi="Aptos" w:cs="Times New Roman"/>
          <w:vertAlign w:val="superscript"/>
          <w:lang w:eastAsia="es-CO"/>
        </w:rPr>
        <w:footnoteReference w:id="1"/>
      </w:r>
      <w:r w:rsidRPr="00B05F99">
        <w:rPr>
          <w:rFonts w:ascii="Verdana" w:eastAsia="Times New Roman" w:hAnsi="Verdana" w:cs="Arial"/>
          <w:sz w:val="20"/>
          <w:szCs w:val="20"/>
          <w:lang w:val="es-ES" w:eastAsia="es-CO"/>
        </w:rPr>
        <w:t>.</w:t>
      </w:r>
    </w:p>
    <w:p w14:paraId="10D38631" w14:textId="77777777" w:rsidR="0075789E" w:rsidRPr="00427C5D" w:rsidRDefault="0075789E" w:rsidP="0075789E">
      <w:pPr>
        <w:widowControl w:val="0"/>
        <w:autoSpaceDE w:val="0"/>
        <w:autoSpaceDN w:val="0"/>
        <w:spacing w:after="0" w:line="276" w:lineRule="auto"/>
        <w:ind w:firstLine="709"/>
        <w:jc w:val="both"/>
        <w:rPr>
          <w:rFonts w:ascii="Verdana" w:hAnsi="Verdana" w:cs="Arial"/>
          <w:color w:val="000000" w:themeColor="text1"/>
        </w:rPr>
      </w:pPr>
      <w:r w:rsidRPr="00427C5D">
        <w:rPr>
          <w:rFonts w:ascii="Verdana" w:hAnsi="Verdana" w:cs="Arial"/>
          <w:color w:val="000000" w:themeColor="text1"/>
        </w:rPr>
        <w:t>Por otra parte, en concepto con radicado No. 4201912000005462, expedido como respuesta a la consulta del 13 de agosto de 2019, esta Subdirección indicó:</w:t>
      </w:r>
    </w:p>
    <w:p w14:paraId="1DCFB6E2" w14:textId="77777777" w:rsidR="0075789E" w:rsidRPr="00427C5D" w:rsidRDefault="0075789E" w:rsidP="0075789E">
      <w:pPr>
        <w:widowControl w:val="0"/>
        <w:autoSpaceDE w:val="0"/>
        <w:autoSpaceDN w:val="0"/>
        <w:spacing w:after="0" w:line="276" w:lineRule="auto"/>
        <w:ind w:firstLine="709"/>
        <w:jc w:val="both"/>
        <w:rPr>
          <w:rFonts w:ascii="Verdana" w:hAnsi="Verdana" w:cs="Arial"/>
          <w:color w:val="000000" w:themeColor="text1"/>
        </w:rPr>
      </w:pPr>
    </w:p>
    <w:p w14:paraId="44A7AE9A" w14:textId="77777777" w:rsidR="0075789E" w:rsidRPr="00C563A7" w:rsidRDefault="0075789E" w:rsidP="0075789E">
      <w:pPr>
        <w:tabs>
          <w:tab w:val="left" w:pos="7938"/>
          <w:tab w:val="left" w:pos="8080"/>
        </w:tabs>
        <w:spacing w:before="120" w:after="120" w:line="240" w:lineRule="auto"/>
        <w:ind w:left="1134" w:right="709"/>
        <w:jc w:val="both"/>
        <w:rPr>
          <w:rFonts w:ascii="Verdana" w:eastAsia="Times New Roman" w:hAnsi="Verdana" w:cs="Arial"/>
          <w:sz w:val="20"/>
          <w:szCs w:val="20"/>
          <w:lang w:val="es-ES" w:eastAsia="es-CO"/>
        </w:rPr>
      </w:pPr>
      <w:r w:rsidRPr="00C563A7">
        <w:rPr>
          <w:rFonts w:ascii="Verdana" w:eastAsia="Times New Roman" w:hAnsi="Verdana" w:cs="Arial"/>
          <w:sz w:val="20"/>
          <w:szCs w:val="20"/>
          <w:lang w:val="es-ES" w:eastAsia="es-CO"/>
        </w:rPr>
        <w:t>“Asimismo, como se mencionó previamente, el artículo 50 de la Ley 789 de 2002 establece que las entidades estatales, al momento de celebrar, renovar o liquidar un contrato verificará que el contratista cumpla sus obligaciones con los sistemas de salud, riesgos profesionales, pensiones y aportes a las Cajas de Compensación Familiar, cuando a ello haya lugar.</w:t>
      </w:r>
      <w:r>
        <w:rPr>
          <w:rFonts w:ascii="Verdana" w:eastAsia="Times New Roman" w:hAnsi="Verdana" w:cs="Arial"/>
          <w:sz w:val="20"/>
          <w:szCs w:val="20"/>
          <w:lang w:val="es-ES" w:eastAsia="es-CO"/>
        </w:rPr>
        <w:t>”</w:t>
      </w:r>
    </w:p>
    <w:p w14:paraId="6FE2341E" w14:textId="77777777" w:rsidR="0075789E" w:rsidRPr="00C563A7" w:rsidRDefault="0075789E" w:rsidP="0075789E">
      <w:pPr>
        <w:tabs>
          <w:tab w:val="left" w:pos="7938"/>
          <w:tab w:val="left" w:pos="8080"/>
        </w:tabs>
        <w:spacing w:before="120" w:after="120" w:line="240" w:lineRule="auto"/>
        <w:ind w:left="1134" w:right="709"/>
        <w:jc w:val="both"/>
        <w:rPr>
          <w:rFonts w:ascii="Verdana" w:eastAsia="Times New Roman" w:hAnsi="Verdana" w:cs="Arial"/>
          <w:sz w:val="20"/>
          <w:szCs w:val="20"/>
          <w:lang w:val="es-ES" w:eastAsia="es-CO"/>
        </w:rPr>
      </w:pPr>
      <w:r w:rsidRPr="00C563A7">
        <w:rPr>
          <w:rFonts w:ascii="Verdana" w:eastAsia="Times New Roman" w:hAnsi="Verdana" w:cs="Arial"/>
          <w:sz w:val="20"/>
          <w:szCs w:val="20"/>
          <w:lang w:val="es-ES" w:eastAsia="es-CO"/>
        </w:rPr>
        <w:t>Si bien la Ley 1393 de 2010 sólo prevé como obligación verificar la afiliación al sistema de seguridad social en los contratos de prestación de servicios, la Ley 789 de 2002 sí establece que en cualquier contrato estatal la entidad contratante deberá verificar que el contratista cumplió con sus obligaciones al sistema de salud, riesgos profesionales, pensiones y aportes a las Cajas de Compensación Familiar.</w:t>
      </w:r>
    </w:p>
    <w:p w14:paraId="53F64B7F" w14:textId="77777777" w:rsidR="0075789E" w:rsidRPr="00C563A7" w:rsidRDefault="0075789E" w:rsidP="0075789E">
      <w:pPr>
        <w:tabs>
          <w:tab w:val="left" w:pos="7938"/>
          <w:tab w:val="left" w:pos="8080"/>
        </w:tabs>
        <w:spacing w:before="120" w:after="120" w:line="240" w:lineRule="auto"/>
        <w:ind w:left="1134" w:right="709"/>
        <w:jc w:val="both"/>
        <w:rPr>
          <w:rFonts w:ascii="Verdana" w:eastAsia="Times New Roman" w:hAnsi="Verdana" w:cs="Arial"/>
          <w:sz w:val="20"/>
          <w:szCs w:val="20"/>
          <w:lang w:val="es-ES" w:eastAsia="es-CO"/>
        </w:rPr>
      </w:pPr>
      <w:r w:rsidRPr="00C563A7">
        <w:rPr>
          <w:rFonts w:ascii="Verdana" w:eastAsia="Times New Roman" w:hAnsi="Verdana" w:cs="Arial"/>
          <w:sz w:val="20"/>
          <w:szCs w:val="20"/>
          <w:lang w:val="es-ES" w:eastAsia="es-CO"/>
        </w:rPr>
        <w:t xml:space="preserve">Entre las obligaciones que tienen las personas naturales que presten directamente servicios al Estado, bajo la modalidad de contratos de prestación o bajo cualquier otra modalidad de contrato, como el de suministro, se encuentra la de estar afiliados al sistema de seguridad social en salud y pensiones. </w:t>
      </w:r>
    </w:p>
    <w:p w14:paraId="2ABB36DB" w14:textId="77777777" w:rsidR="0075789E" w:rsidRPr="00C563A7" w:rsidRDefault="0075789E" w:rsidP="0075789E">
      <w:pPr>
        <w:tabs>
          <w:tab w:val="left" w:pos="7938"/>
          <w:tab w:val="left" w:pos="8080"/>
        </w:tabs>
        <w:spacing w:before="120" w:after="120" w:line="240" w:lineRule="auto"/>
        <w:ind w:left="1134" w:right="709"/>
        <w:jc w:val="both"/>
        <w:rPr>
          <w:rFonts w:ascii="Verdana" w:eastAsia="Times New Roman" w:hAnsi="Verdana" w:cs="Arial"/>
          <w:sz w:val="20"/>
          <w:szCs w:val="20"/>
          <w:lang w:val="es-ES" w:eastAsia="es-CO"/>
        </w:rPr>
      </w:pPr>
      <w:r w:rsidRPr="00C563A7">
        <w:rPr>
          <w:rFonts w:ascii="Verdana" w:eastAsia="Times New Roman" w:hAnsi="Verdana" w:cs="Arial"/>
          <w:sz w:val="20"/>
          <w:szCs w:val="20"/>
          <w:lang w:val="es-ES" w:eastAsia="es-CO"/>
        </w:rPr>
        <w:t xml:space="preserve">Por otro lado, el artículo 3 de la Ley 797 de 2003 establece que deberán estar afiliados al Sistema General de Pensiones todas aquellas personas naturales que presten directamente servicios al Estado o a las entidades o empresas del sector privado, bajo la modalidad de contratos de prestación de servicios, o cualquier otra modalidad de servicios que adopten. El Ministerio de Salud y Protección Social, en el concepto No. 112520 del 31 de mayo de 2012 indicó que el alcance de cualquier otra modalidad de servicios incluye los contratos de obra, suministro, de arrendamiento de servicios, entre otros . Por lo tanto, en los contratos de suministro la entidad estatal deberá verificar que la persona natural que presta el servicio </w:t>
      </w:r>
      <w:r w:rsidRPr="00C563A7">
        <w:rPr>
          <w:rFonts w:ascii="Verdana" w:eastAsia="Times New Roman" w:hAnsi="Verdana" w:cs="Arial"/>
          <w:sz w:val="20"/>
          <w:szCs w:val="20"/>
          <w:lang w:val="es-ES" w:eastAsia="es-CO"/>
        </w:rPr>
        <w:lastRenderedPageBreak/>
        <w:t>de contrato de suministro en favor de una entidad estatal está afiliada al Sistema General de Pensiones .”</w:t>
      </w:r>
    </w:p>
    <w:p w14:paraId="6B3442BA" w14:textId="77777777" w:rsidR="0075789E" w:rsidRPr="00427C5D" w:rsidRDefault="0075789E" w:rsidP="0075789E">
      <w:pPr>
        <w:widowControl w:val="0"/>
        <w:autoSpaceDE w:val="0"/>
        <w:autoSpaceDN w:val="0"/>
        <w:spacing w:after="0" w:line="276" w:lineRule="auto"/>
        <w:jc w:val="both"/>
        <w:rPr>
          <w:rFonts w:ascii="Verdana" w:hAnsi="Verdana" w:cs="Arial"/>
          <w:color w:val="000000" w:themeColor="text1"/>
        </w:rPr>
      </w:pPr>
      <w:r w:rsidRPr="00427C5D">
        <w:rPr>
          <w:rFonts w:ascii="Verdana" w:hAnsi="Verdana" w:cs="Arial"/>
          <w:color w:val="000000" w:themeColor="text1"/>
        </w:rPr>
        <w:t xml:space="preserve"> </w:t>
      </w:r>
    </w:p>
    <w:p w14:paraId="4EF0CB3C" w14:textId="77777777" w:rsidR="0075789E" w:rsidRPr="00C563A7" w:rsidRDefault="0075789E" w:rsidP="0075789E">
      <w:pPr>
        <w:spacing w:after="120" w:line="276" w:lineRule="auto"/>
        <w:ind w:firstLine="709"/>
        <w:jc w:val="both"/>
        <w:rPr>
          <w:rFonts w:ascii="Verdana" w:eastAsia="Calibri" w:hAnsi="Verdana" w:cs="Arial"/>
          <w:color w:val="000000" w:themeColor="text1"/>
        </w:rPr>
      </w:pPr>
      <w:r w:rsidRPr="00427C5D">
        <w:rPr>
          <w:rFonts w:ascii="Verdana" w:hAnsi="Verdana" w:cs="Arial"/>
          <w:color w:val="000000" w:themeColor="text1"/>
        </w:rPr>
        <w:t xml:space="preserve">Como se observa, en dicho concepto se señaló que la obligación frente al Sistema de Seguridad Social Integral aplica frente a todos los contratos con las entidades estatales, pues es lo que se deduce del artículo 50 de la Ley 789 de </w:t>
      </w:r>
      <w:r w:rsidRPr="00C563A7">
        <w:rPr>
          <w:rFonts w:ascii="Verdana" w:eastAsia="Calibri" w:hAnsi="Verdana" w:cs="Arial"/>
          <w:color w:val="000000" w:themeColor="text1"/>
        </w:rPr>
        <w:t>2002.</w:t>
      </w:r>
    </w:p>
    <w:p w14:paraId="06B1ABC5" w14:textId="77777777" w:rsidR="0075789E" w:rsidRPr="00C563A7" w:rsidRDefault="0075789E" w:rsidP="0075789E">
      <w:pPr>
        <w:spacing w:after="120" w:line="276" w:lineRule="auto"/>
        <w:ind w:firstLine="709"/>
        <w:jc w:val="both"/>
        <w:rPr>
          <w:rFonts w:ascii="Verdana" w:eastAsia="Calibri" w:hAnsi="Verdana" w:cs="Arial"/>
          <w:color w:val="000000" w:themeColor="text1"/>
        </w:rPr>
      </w:pPr>
      <w:r w:rsidRPr="00C563A7">
        <w:rPr>
          <w:rFonts w:ascii="Verdana" w:eastAsia="Calibri" w:hAnsi="Verdana" w:cs="Arial"/>
          <w:color w:val="000000" w:themeColor="text1"/>
        </w:rPr>
        <w:t>En consecuencia</w:t>
      </w:r>
      <w:r w:rsidRPr="00427C5D">
        <w:rPr>
          <w:rFonts w:ascii="Verdana" w:hAnsi="Verdana" w:cs="Arial"/>
          <w:color w:val="000000" w:themeColor="text1"/>
        </w:rPr>
        <w:t xml:space="preserve">, 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contrato como durante su ejecución y liquidación, conforme a la naturaleza jurídica de la persona con quien se va a </w:t>
      </w:r>
      <w:r w:rsidRPr="00C563A7">
        <w:rPr>
          <w:rFonts w:ascii="Verdana" w:eastAsia="Calibri" w:hAnsi="Verdana" w:cs="Arial"/>
          <w:color w:val="000000" w:themeColor="text1"/>
        </w:rPr>
        <w:t xml:space="preserve">realizar el contrato de arrendamiento. </w:t>
      </w:r>
    </w:p>
    <w:p w14:paraId="6917586A" w14:textId="77777777" w:rsidR="0075789E" w:rsidRPr="00C563A7" w:rsidRDefault="0075789E" w:rsidP="0075789E">
      <w:pPr>
        <w:spacing w:after="120" w:line="276" w:lineRule="auto"/>
        <w:ind w:firstLine="709"/>
        <w:jc w:val="both"/>
        <w:rPr>
          <w:rFonts w:ascii="Verdana" w:eastAsia="Calibri" w:hAnsi="Verdana" w:cs="Arial"/>
          <w:color w:val="000000" w:themeColor="text1"/>
        </w:rPr>
      </w:pPr>
      <w:r w:rsidRPr="00C563A7">
        <w:rPr>
          <w:rFonts w:ascii="Verdana" w:eastAsia="Calibri" w:hAnsi="Verdana" w:cs="Arial"/>
          <w:color w:val="000000" w:themeColor="text1"/>
        </w:rPr>
        <w:t>En el caso de los</w:t>
      </w:r>
      <w:r w:rsidRPr="00427C5D">
        <w:rPr>
          <w:rFonts w:ascii="Verdana" w:hAnsi="Verdana" w:cs="Arial"/>
          <w:color w:val="000000" w:themeColor="text1"/>
        </w:rPr>
        <w:t xml:space="preserve"> arrendadores, que son personas naturales o jurídicas y que actúan como rentistas de capital (quienes obtienen ingresos por el uso de sus bienes), la normativa los obliga a cotizar como trabajadores independientes. Este grupo debe realizar aportes sobre un ingreso base de cotización del 40% de sus ingresos brutos, sin incluir el valor del IVA, tal como lo establece el Decreto Único 780 de 2016. Este requisito responde al principio de solidaridad, que implica que toda persona con capacidad económica debe contribuir al </w:t>
      </w:r>
      <w:r w:rsidRPr="00C563A7">
        <w:rPr>
          <w:rFonts w:ascii="Verdana" w:eastAsia="Calibri" w:hAnsi="Verdana" w:cs="Arial"/>
          <w:color w:val="000000" w:themeColor="text1"/>
        </w:rPr>
        <w:t xml:space="preserve">financiamiento del Sistema de Seguridad Social. </w:t>
      </w:r>
    </w:p>
    <w:p w14:paraId="3FA7CF06" w14:textId="77777777" w:rsidR="0075789E" w:rsidRDefault="0075789E" w:rsidP="0075789E">
      <w:pPr>
        <w:spacing w:after="120" w:line="276" w:lineRule="auto"/>
        <w:ind w:firstLine="709"/>
        <w:jc w:val="both"/>
        <w:rPr>
          <w:rFonts w:ascii="Verdana" w:hAnsi="Verdana" w:cs="Arial"/>
          <w:color w:val="000000" w:themeColor="text1"/>
        </w:rPr>
      </w:pPr>
      <w:r w:rsidRPr="00C563A7">
        <w:rPr>
          <w:rFonts w:ascii="Verdana" w:eastAsia="Calibri" w:hAnsi="Verdana" w:cs="Arial"/>
          <w:color w:val="000000" w:themeColor="text1"/>
        </w:rPr>
        <w:t>Finalmente, en Colombia</w:t>
      </w:r>
      <w:r w:rsidRPr="00427C5D">
        <w:rPr>
          <w:rFonts w:ascii="Verdana" w:hAnsi="Verdana" w:cs="Arial"/>
          <w:color w:val="000000" w:themeColor="text1"/>
        </w:rPr>
        <w:t>, es obligatorio que los contratistas que participen en contratos de arrendamiento con entidades territoriales cumplan con sus aportes al Sistema Integral de Seguridad Social. Esta obligación recae tanto sobre quienes actúan como arrendadores (quienes ceden el uso de un bien a cambio de una renta) como sobre los arrendatarios (quienes alquilan un bien). La Ley 80 de 1993, la Ley 1150 de 2007 y la Ley 789 de 2002, junto con normas complementarias, establecen que estos contratistas deben estar al día en sus aportes a salud, pensión y cajas de compensación familiar. Antes de celebrar el contrato, así como durante su ejecución y al momento de la liquidación, la entidad estatal contratante tiene el deber de verificar el cumplimiento de estas obligaciones, asegurándose de que tanto proponentes como contratistas estén a paz y salvo en sus aportes parafiscales.</w:t>
      </w:r>
    </w:p>
    <w:p w14:paraId="23BDDDF7" w14:textId="77777777" w:rsidR="0075789E" w:rsidRPr="00B8056D" w:rsidRDefault="0075789E" w:rsidP="0075789E">
      <w:pPr>
        <w:widowControl w:val="0"/>
        <w:autoSpaceDE w:val="0"/>
        <w:autoSpaceDN w:val="0"/>
        <w:spacing w:after="0" w:line="276" w:lineRule="auto"/>
        <w:jc w:val="both"/>
        <w:rPr>
          <w:rFonts w:ascii="Verdana" w:hAnsi="Verdana" w:cs="Arial"/>
          <w:color w:val="000000" w:themeColor="text1"/>
        </w:rPr>
      </w:pPr>
    </w:p>
    <w:p w14:paraId="45F91CD4" w14:textId="77777777" w:rsidR="0075789E" w:rsidRPr="00115E3D" w:rsidRDefault="0075789E" w:rsidP="0075789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00D3D187" w14:textId="77777777" w:rsidR="0075789E" w:rsidRPr="00115E3D" w:rsidRDefault="0075789E" w:rsidP="0075789E">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5789E" w:rsidRPr="00115E3D" w14:paraId="4443A5E0" w14:textId="77777777" w:rsidTr="006F1A38">
        <w:trPr>
          <w:trHeight w:val="870"/>
        </w:trPr>
        <w:tc>
          <w:tcPr>
            <w:tcW w:w="8647" w:type="dxa"/>
          </w:tcPr>
          <w:p w14:paraId="5919D9B8" w14:textId="77777777" w:rsidR="0075789E" w:rsidRPr="00B05F99" w:rsidRDefault="0075789E" w:rsidP="006F1A38">
            <w:pPr>
              <w:widowControl w:val="0"/>
              <w:numPr>
                <w:ilvl w:val="0"/>
                <w:numId w:val="2"/>
              </w:numPr>
              <w:autoSpaceDE w:val="0"/>
              <w:autoSpaceDN w:val="0"/>
              <w:spacing w:after="120" w:line="276" w:lineRule="auto"/>
              <w:jc w:val="both"/>
              <w:rPr>
                <w:rFonts w:ascii="Verdana" w:hAnsi="Verdana" w:cs="Arial"/>
                <w:color w:val="000000"/>
              </w:rPr>
            </w:pPr>
            <w:r w:rsidRPr="00B05F99">
              <w:rPr>
                <w:rFonts w:ascii="Verdana" w:hAnsi="Verdana" w:cs="Arial"/>
                <w:color w:val="000000"/>
              </w:rPr>
              <w:t xml:space="preserve">Ley 80 de 1993: Artículo 41 </w:t>
            </w:r>
          </w:p>
          <w:p w14:paraId="4FC25218" w14:textId="77777777" w:rsidR="0075789E" w:rsidRPr="00B05F99" w:rsidRDefault="0075789E" w:rsidP="006F1A38">
            <w:pPr>
              <w:widowControl w:val="0"/>
              <w:numPr>
                <w:ilvl w:val="0"/>
                <w:numId w:val="2"/>
              </w:numPr>
              <w:autoSpaceDE w:val="0"/>
              <w:autoSpaceDN w:val="0"/>
              <w:spacing w:after="120" w:line="276" w:lineRule="auto"/>
              <w:jc w:val="both"/>
              <w:rPr>
                <w:rFonts w:ascii="Verdana" w:hAnsi="Verdana" w:cs="Arial"/>
                <w:color w:val="000000"/>
              </w:rPr>
            </w:pPr>
            <w:r w:rsidRPr="00B05F99">
              <w:rPr>
                <w:rFonts w:ascii="Verdana" w:hAnsi="Verdana" w:cs="Arial"/>
                <w:lang w:val="es-ES"/>
              </w:rPr>
              <w:t>Ley 1150 de 2007: Artículo 23</w:t>
            </w:r>
          </w:p>
          <w:p w14:paraId="6CD43763" w14:textId="77777777" w:rsidR="0075789E" w:rsidRPr="00B05F99" w:rsidRDefault="0075789E" w:rsidP="006F1A38">
            <w:pPr>
              <w:widowControl w:val="0"/>
              <w:numPr>
                <w:ilvl w:val="0"/>
                <w:numId w:val="2"/>
              </w:numPr>
              <w:autoSpaceDE w:val="0"/>
              <w:autoSpaceDN w:val="0"/>
              <w:spacing w:after="120" w:line="276" w:lineRule="auto"/>
              <w:jc w:val="both"/>
              <w:rPr>
                <w:rFonts w:ascii="Verdana" w:hAnsi="Verdana" w:cs="Arial"/>
                <w:color w:val="000000"/>
              </w:rPr>
            </w:pPr>
            <w:r w:rsidRPr="00B05F99">
              <w:rPr>
                <w:rFonts w:ascii="Verdana" w:hAnsi="Verdana" w:cs="Arial"/>
                <w:color w:val="000000"/>
              </w:rPr>
              <w:t>Código Civil: Artículos 1973, Artículo 2000</w:t>
            </w:r>
          </w:p>
          <w:p w14:paraId="245DB48C" w14:textId="77777777" w:rsidR="0075789E" w:rsidRPr="00B05F99" w:rsidRDefault="0075789E" w:rsidP="006F1A38">
            <w:pPr>
              <w:widowControl w:val="0"/>
              <w:numPr>
                <w:ilvl w:val="0"/>
                <w:numId w:val="2"/>
              </w:numPr>
              <w:autoSpaceDE w:val="0"/>
              <w:autoSpaceDN w:val="0"/>
              <w:spacing w:after="120" w:line="276" w:lineRule="auto"/>
              <w:jc w:val="both"/>
              <w:rPr>
                <w:rFonts w:ascii="Verdana" w:hAnsi="Verdana" w:cs="Arial"/>
                <w:color w:val="000000"/>
              </w:rPr>
            </w:pPr>
            <w:r w:rsidRPr="00B05F99">
              <w:rPr>
                <w:rFonts w:ascii="Verdana" w:hAnsi="Verdana" w:cs="Arial"/>
                <w:color w:val="000000"/>
              </w:rPr>
              <w:t xml:space="preserve">Ley 789 de 2002: Artículo 50 </w:t>
            </w:r>
          </w:p>
          <w:p w14:paraId="39E421C5" w14:textId="77777777" w:rsidR="0075789E" w:rsidRPr="00B05F99" w:rsidRDefault="0075789E" w:rsidP="006F1A38">
            <w:pPr>
              <w:widowControl w:val="0"/>
              <w:numPr>
                <w:ilvl w:val="0"/>
                <w:numId w:val="2"/>
              </w:numPr>
              <w:autoSpaceDE w:val="0"/>
              <w:autoSpaceDN w:val="0"/>
              <w:spacing w:after="120" w:line="276" w:lineRule="auto"/>
              <w:jc w:val="both"/>
              <w:rPr>
                <w:rFonts w:ascii="Verdana" w:hAnsi="Verdana" w:cs="Arial"/>
                <w:color w:val="000000"/>
              </w:rPr>
            </w:pPr>
            <w:r w:rsidRPr="00B05F99">
              <w:rPr>
                <w:rFonts w:ascii="Verdana" w:hAnsi="Verdana" w:cs="Arial"/>
                <w:color w:val="000000"/>
              </w:rPr>
              <w:t>Ley 1955 de 2019: Artículos 244, Artículo 336</w:t>
            </w:r>
          </w:p>
          <w:p w14:paraId="7FF06445" w14:textId="77777777" w:rsidR="0075789E" w:rsidRPr="00C563A7" w:rsidRDefault="0075789E" w:rsidP="006F1A38">
            <w:pPr>
              <w:pStyle w:val="Prrafodelista"/>
              <w:widowControl w:val="0"/>
              <w:numPr>
                <w:ilvl w:val="0"/>
                <w:numId w:val="2"/>
              </w:numPr>
              <w:autoSpaceDE w:val="0"/>
              <w:autoSpaceDN w:val="0"/>
              <w:spacing w:after="120" w:line="276" w:lineRule="auto"/>
              <w:contextualSpacing w:val="0"/>
              <w:jc w:val="both"/>
              <w:rPr>
                <w:rFonts w:ascii="Verdana" w:hAnsi="Verdana" w:cs="Arial"/>
              </w:rPr>
            </w:pPr>
            <w:r w:rsidRPr="00B05F99">
              <w:rPr>
                <w:rFonts w:ascii="Verdana" w:hAnsi="Verdana"/>
              </w:rPr>
              <w:t xml:space="preserve">CONSEJO DE ESTADO. SALA DE CONSULTA Y SERVICIO CIVIL. Sentencia del 26 de julio de 2007. </w:t>
            </w:r>
            <w:proofErr w:type="spellStart"/>
            <w:r w:rsidRPr="00B05F99">
              <w:rPr>
                <w:rFonts w:ascii="Verdana" w:hAnsi="Verdana"/>
              </w:rPr>
              <w:t>Exp</w:t>
            </w:r>
            <w:proofErr w:type="spellEnd"/>
            <w:r w:rsidRPr="00B05F99">
              <w:rPr>
                <w:rFonts w:ascii="Verdana" w:hAnsi="Verdana"/>
              </w:rPr>
              <w:t>. 1832. C.P. Luis Fernando Álvarez Jaramillo.</w:t>
            </w:r>
          </w:p>
        </w:tc>
      </w:tr>
    </w:tbl>
    <w:p w14:paraId="723F511F" w14:textId="77777777" w:rsidR="0075789E" w:rsidRPr="00115E3D" w:rsidRDefault="0075789E" w:rsidP="0075789E">
      <w:pPr>
        <w:widowControl w:val="0"/>
        <w:autoSpaceDE w:val="0"/>
        <w:autoSpaceDN w:val="0"/>
        <w:spacing w:after="0" w:line="276" w:lineRule="auto"/>
        <w:jc w:val="both"/>
        <w:rPr>
          <w:rFonts w:ascii="Verdana" w:hAnsi="Verdana" w:cs="Arial"/>
          <w:color w:val="000000" w:themeColor="text1"/>
        </w:rPr>
      </w:pPr>
    </w:p>
    <w:p w14:paraId="02180ECC" w14:textId="77777777" w:rsidR="0075789E" w:rsidRPr="00115E3D" w:rsidRDefault="0075789E" w:rsidP="0075789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6FFC5763" w14:textId="77777777" w:rsidR="0075789E" w:rsidRPr="00115E3D" w:rsidRDefault="0075789E" w:rsidP="0075789E">
      <w:pPr>
        <w:widowControl w:val="0"/>
        <w:autoSpaceDE w:val="0"/>
        <w:autoSpaceDN w:val="0"/>
        <w:spacing w:after="0" w:line="276" w:lineRule="auto"/>
        <w:jc w:val="both"/>
        <w:rPr>
          <w:rFonts w:ascii="Verdana" w:hAnsi="Verdana" w:cs="Arial"/>
          <w:color w:val="000000" w:themeColor="text1"/>
        </w:rPr>
      </w:pPr>
    </w:p>
    <w:p w14:paraId="3EB16269" w14:textId="166DC9AC" w:rsidR="0075789E" w:rsidRDefault="0075789E" w:rsidP="0075789E">
      <w:pPr>
        <w:widowControl w:val="0"/>
        <w:autoSpaceDE w:val="0"/>
        <w:autoSpaceDN w:val="0"/>
        <w:spacing w:after="0" w:line="276" w:lineRule="auto"/>
        <w:jc w:val="both"/>
        <w:rPr>
          <w:rFonts w:ascii="Verdana" w:eastAsia="Times New Roman" w:hAnsi="Verdana" w:cs="Arial"/>
          <w:color w:val="000000"/>
        </w:rPr>
      </w:pPr>
      <w:r w:rsidRPr="00B05F99">
        <w:rPr>
          <w:rFonts w:ascii="Verdana" w:eastAsia="Times New Roman" w:hAnsi="Verdana" w:cs="Arial"/>
          <w:color w:val="000000"/>
          <w:lang w:val="es-ES"/>
        </w:rPr>
        <w:t xml:space="preserve">La Agencia Nacional de Contratación Pública – Colombia Compra Eficiente ha tenido la oportunidad de pronunciarse en relación con estos aspectos en los Conceptos No. 4201814000000493 en respuesta a la consulta del 18 de enero de 2018, así como en los conceptos C-006 del 04 de febrero de 2020, C-141 del 03 de marzo de 2020, C-161 y C-183 del 17 de marzo de 2020, C-319 del 12 de junio de 202 </w:t>
      </w:r>
      <w:r w:rsidRPr="00B05F99">
        <w:rPr>
          <w:rFonts w:ascii="Verdana" w:eastAsia="Times New Roman" w:hAnsi="Verdana" w:cs="Arial"/>
          <w:color w:val="000000"/>
        </w:rPr>
        <w:t>Concepto C-391 de 2023</w:t>
      </w:r>
      <w:r w:rsidRPr="00B05F99">
        <w:rPr>
          <w:rFonts w:ascii="Verdana" w:eastAsia="Times New Roman" w:hAnsi="Verdana" w:cs="Arial"/>
          <w:b/>
          <w:bCs/>
          <w:color w:val="000000"/>
        </w:rPr>
        <w:t>,</w:t>
      </w:r>
      <w:r w:rsidRPr="00B05F99">
        <w:rPr>
          <w:rFonts w:ascii="Verdana" w:eastAsia="Times New Roman" w:hAnsi="Verdana" w:cs="Arial"/>
          <w:color w:val="000000"/>
        </w:rPr>
        <w:t xml:space="preserve"> </w:t>
      </w:r>
      <w:r w:rsidRPr="00B05F99">
        <w:rPr>
          <w:rFonts w:ascii="Verdana" w:eastAsia="Times New Roman" w:hAnsi="Verdana" w:cs="Arial"/>
          <w:color w:val="000000"/>
          <w:lang w:val="es-ES"/>
        </w:rPr>
        <w:t>y C-293 del 20 de agosto de 2024</w:t>
      </w:r>
      <w:r>
        <w:rPr>
          <w:rFonts w:ascii="Verdana" w:eastAsia="Times New Roman" w:hAnsi="Verdana" w:cs="Arial"/>
          <w:color w:val="000000"/>
          <w:lang w:val="es-ES"/>
        </w:rPr>
        <w:t>, C-681 del 29 de octubre de 202</w:t>
      </w:r>
      <w:r w:rsidR="00467714">
        <w:rPr>
          <w:rFonts w:ascii="Verdana" w:eastAsia="Times New Roman" w:hAnsi="Verdana" w:cs="Arial"/>
          <w:color w:val="000000"/>
          <w:lang w:val="es-ES"/>
        </w:rPr>
        <w:t>4</w:t>
      </w:r>
      <w:r w:rsidRPr="00B05F99">
        <w:rPr>
          <w:rFonts w:ascii="Verdana" w:eastAsia="Times New Roman" w:hAnsi="Verdana" w:cs="Arial"/>
          <w:color w:val="000000"/>
          <w:lang w:val="es-ES"/>
        </w:rPr>
        <w:t>. Es</w:t>
      </w:r>
      <w:r w:rsidRPr="00B05F99">
        <w:rPr>
          <w:rFonts w:ascii="Verdana" w:eastAsia="Times New Roman" w:hAnsi="Verdana" w:cs="Arial"/>
          <w:color w:val="000000"/>
        </w:rPr>
        <w:t>tos y otros conceptos se encuentran disponibles para consulta en el Sistema de relatoría de la Agencia, al cual se puede acceder a través del siguiente enlace:</w:t>
      </w:r>
      <w:r w:rsidRPr="00B05F99">
        <w:rPr>
          <w:rFonts w:ascii="Verdana" w:eastAsia="Times New Roman" w:hAnsi="Verdana" w:cs="Arial"/>
          <w:color w:val="000000"/>
          <w:lang w:val="es-ES"/>
        </w:rPr>
        <w:t xml:space="preserve"> </w:t>
      </w:r>
      <w:hyperlink r:id="rId9" w:history="1">
        <w:r w:rsidRPr="00B05F99">
          <w:rPr>
            <w:rFonts w:ascii="Verdana" w:eastAsia="Times New Roman" w:hAnsi="Verdana" w:cs="Arial"/>
            <w:color w:val="467886"/>
            <w:u w:val="single"/>
            <w:lang w:val="es-ES"/>
          </w:rPr>
          <w:t>https://relatoria.colombiacompra.gov.co/busqueda/conceptos</w:t>
        </w:r>
      </w:hyperlink>
      <w:r w:rsidRPr="00B05F99">
        <w:rPr>
          <w:rFonts w:ascii="Verdana" w:eastAsia="Times New Roman" w:hAnsi="Verdana" w:cs="Arial"/>
          <w:color w:val="000000"/>
          <w:lang w:val="es-ES"/>
        </w:rPr>
        <w:t xml:space="preserve">. </w:t>
      </w:r>
    </w:p>
    <w:p w14:paraId="361920D9" w14:textId="77777777" w:rsidR="0075789E" w:rsidRPr="00C563A7" w:rsidRDefault="0075789E" w:rsidP="0075789E">
      <w:pPr>
        <w:widowControl w:val="0"/>
        <w:autoSpaceDE w:val="0"/>
        <w:autoSpaceDN w:val="0"/>
        <w:spacing w:after="0" w:line="276" w:lineRule="auto"/>
        <w:jc w:val="both"/>
        <w:rPr>
          <w:rStyle w:val="normaltextrun"/>
          <w:rFonts w:ascii="Verdana" w:eastAsia="Times New Roman" w:hAnsi="Verdana" w:cs="Arial"/>
          <w:color w:val="000000"/>
        </w:rPr>
      </w:pPr>
    </w:p>
    <w:p w14:paraId="7D0E0257" w14:textId="77777777" w:rsidR="0075789E" w:rsidRPr="00652EB0" w:rsidRDefault="0075789E" w:rsidP="0075789E">
      <w:pPr>
        <w:shd w:val="clear" w:color="auto" w:fill="FFFFFF"/>
        <w:jc w:val="both"/>
        <w:textAlignment w:val="baseline"/>
        <w:rPr>
          <w:rFonts w:ascii="Verdana" w:eastAsia="Times New Roman" w:hAnsi="Verdana" w:cs="Times New Roman"/>
          <w:color w:val="242424"/>
          <w:lang w:eastAsia="es-CO"/>
        </w:rPr>
      </w:pPr>
      <w:r w:rsidRPr="00652EB0">
        <w:rPr>
          <w:rFonts w:ascii="Verdana" w:eastAsia="Times New Roman" w:hAnsi="Verdana" w:cs="Times New Roman"/>
          <w:color w:val="000000"/>
          <w:bdr w:val="none" w:sz="0" w:space="0" w:color="auto" w:frame="1"/>
          <w:lang w:eastAsia="es-CO"/>
        </w:rPr>
        <w:t>Te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0" w:tgtFrame="_blank" w:tooltip="Dirección URL original: https://www.colombiacompra.gov.co/manuales-guias-y-pliegos-tipo/manuales-y-guias/cartilla-para-incentivar-y-fortalecer-el-acceso-las. Haga clic o pulse si confía en este vínculo." w:history="1">
        <w:r w:rsidRPr="00652EB0">
          <w:rPr>
            <w:rFonts w:ascii="Verdana" w:eastAsia="Times New Roman" w:hAnsi="Verdana" w:cs="Times New Roman"/>
            <w:color w:val="467886"/>
            <w:u w:val="single"/>
            <w:bdr w:val="none" w:sz="0" w:space="0" w:color="auto" w:frame="1"/>
            <w:lang w:eastAsia="es-CO"/>
          </w:rPr>
          <w:t xml:space="preserve">Cartilla para incentivar y fortalecer el acceso a las compras y </w:t>
        </w:r>
        <w:r w:rsidRPr="00652EB0">
          <w:rPr>
            <w:rFonts w:ascii="Verdana" w:eastAsia="Times New Roman" w:hAnsi="Verdana" w:cs="Times New Roman"/>
            <w:color w:val="467886"/>
            <w:u w:val="single"/>
            <w:bdr w:val="none" w:sz="0" w:space="0" w:color="auto" w:frame="1"/>
            <w:lang w:eastAsia="es-CO"/>
          </w:rPr>
          <w:lastRenderedPageBreak/>
          <w:t>contratación pública de los pueblos y comunidades étnicas en Colombia | Colombia Compra Eficiente | Agencia Nacional de Contratación Pública</w:t>
        </w:r>
      </w:hyperlink>
    </w:p>
    <w:p w14:paraId="1D7CB7D2" w14:textId="77777777" w:rsidR="0075789E" w:rsidRPr="00652EB0" w:rsidRDefault="0075789E" w:rsidP="0075789E">
      <w:pPr>
        <w:shd w:val="clear" w:color="auto" w:fill="FFFFFF"/>
        <w:spacing w:line="240" w:lineRule="auto"/>
        <w:jc w:val="both"/>
        <w:textAlignment w:val="baseline"/>
        <w:rPr>
          <w:rFonts w:ascii="Verdana" w:eastAsia="Times New Roman" w:hAnsi="Verdana" w:cs="Times New Roman"/>
          <w:color w:val="242424"/>
          <w:lang w:eastAsia="es-CO"/>
        </w:rPr>
      </w:pPr>
      <w:r w:rsidRPr="00652EB0">
        <w:rPr>
          <w:rFonts w:ascii="Verdana" w:eastAsia="Times New Roman" w:hAnsi="Verdana" w:cs="Times New Roman"/>
          <w:color w:val="000000"/>
          <w:bdr w:val="none" w:sz="0" w:space="0" w:color="auto" w:frame="1"/>
          <w:lang w:eastAsia="es-CO"/>
        </w:rPr>
        <w:t>De otra parte, te informamos que, con el objetivo de garantizar un conocimiento adecuado de las modificaciones y/o actualizaciones realizadas a los Documentos Tipo, hemos programado una serie de capacitaciones dirigidas a todos los actores involucrados en los procesos de selección. Podrás conocer la programación y realizar tu inscripción a estas capacitaciones a través del siguiente enlace: </w:t>
      </w:r>
      <w:hyperlink r:id="rId11" w:tgtFrame="_blank" w:tooltip="Dirección URL original: https://www.colombiacompra.gov.co/ciudadanos/calendario. Haga clic o pulse si confía en este vínculo." w:history="1">
        <w:r w:rsidRPr="00652EB0">
          <w:rPr>
            <w:rFonts w:ascii="Verdana" w:eastAsia="Times New Roman" w:hAnsi="Verdana" w:cs="Times New Roman"/>
            <w:color w:val="467886"/>
            <w:u w:val="single"/>
            <w:bdr w:val="none" w:sz="0" w:space="0" w:color="auto" w:frame="1"/>
            <w:lang w:eastAsia="es-CO"/>
          </w:rPr>
          <w:t>Calendario | Colombia Compra Eficiente | Agencia Nacional de Contratación Pública</w:t>
        </w:r>
      </w:hyperlink>
    </w:p>
    <w:p w14:paraId="54A4C2A3" w14:textId="77777777" w:rsidR="0075789E" w:rsidRPr="00652EB0" w:rsidRDefault="0075789E" w:rsidP="0075789E">
      <w:pPr>
        <w:shd w:val="clear" w:color="auto" w:fill="FFFFFF"/>
        <w:spacing w:line="240" w:lineRule="auto"/>
        <w:jc w:val="both"/>
        <w:textAlignment w:val="baseline"/>
        <w:rPr>
          <w:rStyle w:val="normaltextrun"/>
          <w:rFonts w:ascii="Verdana" w:eastAsia="Times New Roman" w:hAnsi="Verdana" w:cs="Times New Roman"/>
          <w:color w:val="242424"/>
          <w:lang w:eastAsia="es-CO"/>
        </w:rPr>
      </w:pPr>
      <w:r w:rsidRPr="00652EB0">
        <w:rPr>
          <w:rFonts w:ascii="Verdana" w:eastAsia="Times New Roman" w:hAnsi="Verdana" w:cs="Times New Roman"/>
          <w:color w:val="000000"/>
          <w:bdr w:val="none" w:sz="0" w:space="0" w:color="auto" w:frame="1"/>
          <w:lang w:eastAsia="es-CO"/>
        </w:rPr>
        <w:t>También, te contamos que ya publicamos la nueva Guía de Contratación Pública Sostenible y Socialmente Responsable.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2" w:tgtFrame="_blank" w:tooltip="Dirección URL original: https://www.colombiacompra.gov.co/manuales-guias-y-pliegos-tipo/manuales-y-guias/guia-de-contratacion-publica-sostenible-y-socialmente. Haga clic o pulse si confía en este vínculo." w:history="1">
        <w:r w:rsidRPr="00652EB0">
          <w:rPr>
            <w:rFonts w:ascii="Verdana" w:eastAsia="Times New Roman" w:hAnsi="Verdana" w:cs="Times New Roman"/>
            <w:color w:val="467886"/>
            <w:u w:val="single"/>
            <w:bdr w:val="none" w:sz="0" w:space="0" w:color="auto" w:frame="1"/>
            <w:lang w:eastAsia="es-CO"/>
          </w:rPr>
          <w:t>Guía de Contratación Pública Sostenible y Socialmente Responsable | Colombia Compra Eficiente | Agencia Nacional de Contratación Pública</w:t>
        </w:r>
      </w:hyperlink>
      <w:r w:rsidRPr="00115E3D">
        <w:rPr>
          <w:rStyle w:val="normaltextrun"/>
          <w:rFonts w:ascii="Verdana" w:hAnsi="Verdana" w:cs="Arial"/>
          <w:color w:val="000000" w:themeColor="text1"/>
          <w:shd w:val="clear" w:color="auto" w:fill="FFFFFF"/>
          <w:lang w:val="es-ES"/>
        </w:rPr>
        <w:t xml:space="preserve"> </w:t>
      </w:r>
    </w:p>
    <w:p w14:paraId="4FCBCEC4" w14:textId="77777777" w:rsidR="0075789E" w:rsidRPr="00115E3D" w:rsidRDefault="0075789E" w:rsidP="0075789E">
      <w:pPr>
        <w:spacing w:after="0" w:line="240" w:lineRule="auto"/>
        <w:jc w:val="both"/>
        <w:rPr>
          <w:rFonts w:ascii="Verdana" w:hAnsi="Verdana"/>
          <w:color w:val="000000" w:themeColor="text1"/>
        </w:rPr>
      </w:pPr>
      <w:r w:rsidRPr="00115E3D">
        <w:rPr>
          <w:rFonts w:ascii="Verdana" w:hAnsi="Verdana"/>
          <w:color w:val="000000" w:themeColor="text1"/>
        </w:rPr>
        <w:t xml:space="preserve">Por último, lo invitamos a seguirnos en las redes sociales en las cuales se difunde información institucional: </w:t>
      </w:r>
    </w:p>
    <w:p w14:paraId="58C81017" w14:textId="77777777" w:rsidR="0075789E" w:rsidRPr="00115E3D" w:rsidRDefault="0075789E" w:rsidP="0075789E">
      <w:pPr>
        <w:spacing w:after="0" w:line="240" w:lineRule="auto"/>
        <w:jc w:val="both"/>
        <w:rPr>
          <w:rFonts w:ascii="Verdana" w:hAnsi="Verdana"/>
          <w:color w:val="000000" w:themeColor="text1"/>
        </w:rPr>
      </w:pPr>
    </w:p>
    <w:p w14:paraId="0E1E28DC" w14:textId="77777777" w:rsidR="0075789E" w:rsidRPr="00115E3D" w:rsidRDefault="0075789E" w:rsidP="0075789E">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361245FB" w14:textId="77777777" w:rsidR="0075789E" w:rsidRPr="00115E3D" w:rsidRDefault="0075789E" w:rsidP="0075789E">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761381A7" w14:textId="77777777" w:rsidR="0075789E" w:rsidRPr="00115E3D" w:rsidRDefault="0075789E" w:rsidP="0075789E">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6561CAD8" w14:textId="77777777" w:rsidR="0075789E" w:rsidRPr="00115E3D" w:rsidRDefault="0075789E" w:rsidP="0075789E">
      <w:pPr>
        <w:widowControl w:val="0"/>
        <w:autoSpaceDE w:val="0"/>
        <w:autoSpaceDN w:val="0"/>
        <w:spacing w:after="0" w:line="276" w:lineRule="auto"/>
        <w:jc w:val="both"/>
        <w:rPr>
          <w:rFonts w:ascii="Verdana" w:hAnsi="Verdana" w:cs="Arial"/>
          <w:color w:val="000000" w:themeColor="text1"/>
        </w:rPr>
      </w:pPr>
    </w:p>
    <w:p w14:paraId="73AF9EF3" w14:textId="77777777" w:rsidR="0075789E" w:rsidRPr="00115E3D" w:rsidRDefault="0075789E" w:rsidP="0075789E">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3371D25B" w14:textId="77777777" w:rsidR="0075789E" w:rsidRPr="00115E3D" w:rsidRDefault="0075789E" w:rsidP="0075789E">
      <w:pPr>
        <w:widowControl w:val="0"/>
        <w:autoSpaceDE w:val="0"/>
        <w:autoSpaceDN w:val="0"/>
        <w:spacing w:after="0" w:line="276" w:lineRule="auto"/>
        <w:jc w:val="both"/>
        <w:rPr>
          <w:rFonts w:ascii="Verdana" w:hAnsi="Verdana" w:cs="Arial"/>
          <w:color w:val="000000" w:themeColor="text1"/>
        </w:rPr>
      </w:pPr>
    </w:p>
    <w:p w14:paraId="309FAD20" w14:textId="77777777" w:rsidR="0075789E" w:rsidRPr="00115E3D" w:rsidRDefault="0075789E" w:rsidP="0075789E">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78C163B6" w14:textId="4FE67529" w:rsidR="0075789E" w:rsidRPr="00115E3D" w:rsidRDefault="00273CB8" w:rsidP="0075789E">
      <w:pPr>
        <w:spacing w:line="276" w:lineRule="auto"/>
        <w:jc w:val="center"/>
        <w:rPr>
          <w:rFonts w:ascii="Verdana" w:hAnsi="Verdana" w:cs="Arial"/>
          <w:color w:val="000000" w:themeColor="text1"/>
          <w:lang w:val="es-ES_tradnl" w:eastAsia="es-CO"/>
        </w:rPr>
      </w:pPr>
      <w:r w:rsidRPr="000E7121">
        <w:rPr>
          <w:rFonts w:ascii="Verdana" w:eastAsia="Aptos" w:hAnsi="Verdana" w:cs="Arial"/>
          <w:noProof/>
          <w:lang w:eastAsia="es-CO"/>
        </w:rPr>
        <w:drawing>
          <wp:inline distT="0" distB="0" distL="0" distR="0" wp14:anchorId="57298594" wp14:editId="589F3BC4">
            <wp:extent cx="3246633" cy="1205190"/>
            <wp:effectExtent l="0" t="0" r="0" b="0"/>
            <wp:docPr id="159554257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56031" cy="1208679"/>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5789E" w:rsidRPr="00115E3D" w14:paraId="72888202" w14:textId="77777777" w:rsidTr="006F1A38">
        <w:trPr>
          <w:trHeight w:val="315"/>
        </w:trPr>
        <w:tc>
          <w:tcPr>
            <w:tcW w:w="893" w:type="dxa"/>
            <w:vAlign w:val="center"/>
            <w:hideMark/>
          </w:tcPr>
          <w:p w14:paraId="2E1B3B13" w14:textId="77777777" w:rsidR="0075789E" w:rsidRPr="00115E3D" w:rsidRDefault="0075789E" w:rsidP="006F1A38">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65B6086A" w14:textId="77777777" w:rsidR="0075789E" w:rsidRPr="00115E3D" w:rsidRDefault="0075789E" w:rsidP="006F1A38">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p>
          <w:p w14:paraId="136DB369" w14:textId="77777777" w:rsidR="0075789E" w:rsidRPr="00115E3D" w:rsidRDefault="0075789E" w:rsidP="006F1A38">
            <w:pPr>
              <w:contextualSpacing/>
              <w:rPr>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Analista T2-02</w:t>
            </w:r>
            <w:r w:rsidRPr="00115E3D">
              <w:rPr>
                <w:rStyle w:val="normaltextrun"/>
                <w:rFonts w:ascii="Verdana" w:eastAsia="Arial" w:hAnsi="Verdana" w:cs="Arial"/>
                <w:color w:val="000000" w:themeColor="text1"/>
                <w:sz w:val="16"/>
                <w:szCs w:val="16"/>
              </w:rPr>
              <w:t xml:space="preserve"> de la Subdirección de Gestión Contractual</w:t>
            </w:r>
          </w:p>
        </w:tc>
      </w:tr>
      <w:tr w:rsidR="0075789E" w:rsidRPr="00115E3D" w14:paraId="60E6B33E" w14:textId="77777777" w:rsidTr="006F1A38">
        <w:trPr>
          <w:trHeight w:val="330"/>
        </w:trPr>
        <w:tc>
          <w:tcPr>
            <w:tcW w:w="893" w:type="dxa"/>
            <w:vAlign w:val="center"/>
            <w:hideMark/>
          </w:tcPr>
          <w:p w14:paraId="79F06FC6" w14:textId="77777777" w:rsidR="0075789E" w:rsidRPr="00115E3D" w:rsidRDefault="0075789E" w:rsidP="006F1A38">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7FCF23F" w14:textId="77777777" w:rsidR="0075789E" w:rsidRPr="009D1F83" w:rsidRDefault="0075789E" w:rsidP="006F1A38">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Adriana Katerine López Rodríguez </w:t>
            </w:r>
          </w:p>
          <w:p w14:paraId="5DE62357" w14:textId="77777777" w:rsidR="0075789E" w:rsidRPr="00115E3D" w:rsidRDefault="0075789E" w:rsidP="006F1A38">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75789E" w:rsidRPr="00115E3D" w14:paraId="4DF2BAE8" w14:textId="77777777" w:rsidTr="006F1A38">
        <w:trPr>
          <w:trHeight w:val="300"/>
        </w:trPr>
        <w:tc>
          <w:tcPr>
            <w:tcW w:w="893" w:type="dxa"/>
            <w:vAlign w:val="center"/>
          </w:tcPr>
          <w:p w14:paraId="0D774E48" w14:textId="77777777" w:rsidR="0075789E" w:rsidRPr="00115E3D" w:rsidRDefault="0075789E" w:rsidP="006F1A38">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502E431" w14:textId="77777777" w:rsidR="0075789E" w:rsidRPr="00115E3D" w:rsidRDefault="0075789E" w:rsidP="006F1A38">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 xml:space="preserve">Carolina Quintero </w:t>
            </w:r>
            <w:proofErr w:type="spellStart"/>
            <w:r w:rsidRPr="00115E3D">
              <w:rPr>
                <w:rFonts w:ascii="Verdana" w:eastAsia="Calibri" w:hAnsi="Verdana" w:cs="Arial"/>
                <w:color w:val="000000" w:themeColor="text1"/>
                <w:sz w:val="16"/>
                <w:szCs w:val="16"/>
                <w:lang w:val="pt-BR" w:eastAsia="es-ES"/>
              </w:rPr>
              <w:t>Gacharná</w:t>
            </w:r>
            <w:proofErr w:type="spellEnd"/>
          </w:p>
          <w:p w14:paraId="4AF902F1" w14:textId="77777777" w:rsidR="0075789E" w:rsidRPr="00115E3D" w:rsidRDefault="0075789E" w:rsidP="006F1A38">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w:t>
            </w:r>
            <w:proofErr w:type="spellStart"/>
            <w:r w:rsidRPr="00115E3D">
              <w:rPr>
                <w:rFonts w:ascii="Verdana" w:eastAsia="Calibri" w:hAnsi="Verdana" w:cs="Arial"/>
                <w:color w:val="000000" w:themeColor="text1"/>
                <w:sz w:val="16"/>
                <w:szCs w:val="16"/>
                <w:lang w:val="pt-BR" w:eastAsia="es-ES"/>
              </w:rPr>
              <w:t>Contractual</w:t>
            </w:r>
            <w:proofErr w:type="spellEnd"/>
            <w:r w:rsidRPr="00115E3D">
              <w:rPr>
                <w:rFonts w:ascii="Verdana" w:eastAsia="Calibri" w:hAnsi="Verdana" w:cs="Arial"/>
                <w:color w:val="000000" w:themeColor="text1"/>
                <w:sz w:val="16"/>
                <w:szCs w:val="16"/>
                <w:lang w:val="pt-BR" w:eastAsia="es-ES"/>
              </w:rPr>
              <w:t xml:space="preserve"> ANCP – CCE</w:t>
            </w:r>
          </w:p>
        </w:tc>
      </w:tr>
    </w:tbl>
    <w:p w14:paraId="73F92A93" w14:textId="77777777" w:rsidR="0075789E" w:rsidRPr="00115E3D" w:rsidRDefault="0075789E" w:rsidP="0075789E">
      <w:pPr>
        <w:spacing w:after="0" w:line="240" w:lineRule="auto"/>
        <w:rPr>
          <w:rFonts w:ascii="Verdana" w:eastAsia="Times New Roman" w:hAnsi="Verdana" w:cs="Arial"/>
          <w:color w:val="000000" w:themeColor="text1"/>
          <w:sz w:val="24"/>
          <w:szCs w:val="24"/>
          <w:lang w:eastAsia="es-ES"/>
        </w:rPr>
      </w:pPr>
    </w:p>
    <w:p w14:paraId="38E33081" w14:textId="77777777" w:rsidR="0075789E" w:rsidRPr="00115E3D" w:rsidRDefault="0075789E" w:rsidP="0075789E">
      <w:pPr>
        <w:rPr>
          <w:color w:val="000000" w:themeColor="text1"/>
        </w:rPr>
      </w:pPr>
    </w:p>
    <w:p w14:paraId="7EC89C4D" w14:textId="77777777" w:rsidR="0075789E" w:rsidRDefault="0075789E" w:rsidP="0075789E"/>
    <w:p w14:paraId="71213533" w14:textId="77777777" w:rsidR="0075789E" w:rsidRPr="007056BA" w:rsidRDefault="0075789E" w:rsidP="0075789E"/>
    <w:p w14:paraId="2A3789E9" w14:textId="77777777" w:rsidR="000F5A42" w:rsidRPr="0075789E" w:rsidRDefault="000F5A42" w:rsidP="0075789E"/>
    <w:sectPr w:rsidR="000F5A42" w:rsidRPr="0075789E" w:rsidSect="009D1F83">
      <w:headerReference w:type="default" r:id="rId14"/>
      <w:footerReference w:type="default" r:id="rId15"/>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3940A" w14:textId="77777777" w:rsidR="00521C99" w:rsidRDefault="00521C99" w:rsidP="009D1F83">
      <w:pPr>
        <w:spacing w:after="0" w:line="240" w:lineRule="auto"/>
      </w:pPr>
      <w:r>
        <w:separator/>
      </w:r>
    </w:p>
  </w:endnote>
  <w:endnote w:type="continuationSeparator" w:id="0">
    <w:p w14:paraId="77DA82E4" w14:textId="77777777" w:rsidR="00521C99" w:rsidRDefault="00521C99" w:rsidP="009D1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3981B" w14:textId="77777777" w:rsidR="00935861" w:rsidRDefault="00935861" w:rsidP="000849D5">
    <w:pPr>
      <w:spacing w:after="0"/>
      <w:rPr>
        <w:rFonts w:ascii="Verdana" w:hAnsi="Verdana"/>
        <w:b/>
        <w:bCs/>
        <w:sz w:val="20"/>
        <w:szCs w:val="20"/>
      </w:rPr>
    </w:pPr>
  </w:p>
  <w:p w14:paraId="486F3135" w14:textId="77777777" w:rsidR="00935861" w:rsidRPr="00174B77" w:rsidRDefault="00265C42"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CBF904C" w14:textId="77777777" w:rsidR="00935861" w:rsidRDefault="00265C42"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0C0FAFD8" w14:textId="77777777" w:rsidR="00935861" w:rsidRPr="00E41027" w:rsidRDefault="00265C42" w:rsidP="000849D5">
    <w:pPr>
      <w:spacing w:after="0"/>
      <w:jc w:val="both"/>
      <w:rPr>
        <w:rFonts w:ascii="Verdana" w:hAnsi="Verdana"/>
        <w:sz w:val="18"/>
        <w:szCs w:val="18"/>
      </w:rPr>
    </w:pPr>
    <w:r w:rsidRPr="00E41027">
      <w:rPr>
        <w:rFonts w:ascii="Verdana" w:hAnsi="Verdana"/>
        <w:sz w:val="18"/>
        <w:szCs w:val="18"/>
      </w:rPr>
      <w:t>Mesa de servicio: (+57) 601 7456788</w:t>
    </w:r>
  </w:p>
  <w:p w14:paraId="50D9AB3D" w14:textId="77777777" w:rsidR="00935861" w:rsidRDefault="00265C42"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498B1EB9" w14:textId="77777777" w:rsidR="00935861" w:rsidRPr="007D04B2" w:rsidRDefault="00935861" w:rsidP="000849D5">
    <w:pPr>
      <w:pStyle w:val="Piedepgina"/>
    </w:pPr>
  </w:p>
  <w:p w14:paraId="792677B2" w14:textId="77777777" w:rsidR="00935861" w:rsidRPr="000849D5" w:rsidRDefault="00935861"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4498B" w14:textId="77777777" w:rsidR="00521C99" w:rsidRDefault="00521C99" w:rsidP="009D1F83">
      <w:pPr>
        <w:spacing w:after="0" w:line="240" w:lineRule="auto"/>
      </w:pPr>
      <w:r>
        <w:separator/>
      </w:r>
    </w:p>
  </w:footnote>
  <w:footnote w:type="continuationSeparator" w:id="0">
    <w:p w14:paraId="16C2B85A" w14:textId="77777777" w:rsidR="00521C99" w:rsidRDefault="00521C99" w:rsidP="009D1F83">
      <w:pPr>
        <w:spacing w:after="0" w:line="240" w:lineRule="auto"/>
      </w:pPr>
      <w:r>
        <w:continuationSeparator/>
      </w:r>
    </w:p>
  </w:footnote>
  <w:footnote w:id="1">
    <w:p w14:paraId="72ED137E" w14:textId="77777777" w:rsidR="0075789E" w:rsidRPr="00B05F99" w:rsidRDefault="0075789E" w:rsidP="0075789E">
      <w:pPr>
        <w:ind w:firstLine="709"/>
        <w:jc w:val="both"/>
        <w:rPr>
          <w:rFonts w:ascii="Verdana" w:hAnsi="Verdana" w:cs="Arial"/>
          <w:color w:val="000000"/>
          <w:sz w:val="14"/>
          <w:szCs w:val="14"/>
        </w:rPr>
      </w:pPr>
      <w:r w:rsidRPr="00B05F99">
        <w:rPr>
          <w:rFonts w:ascii="Verdana" w:hAnsi="Verdana" w:cs="Arial"/>
          <w:color w:val="000000"/>
          <w:sz w:val="14"/>
          <w:szCs w:val="14"/>
          <w:vertAlign w:val="superscript"/>
        </w:rPr>
        <w:footnoteRef/>
      </w:r>
      <w:r w:rsidRPr="00B05F99">
        <w:rPr>
          <w:rFonts w:ascii="Verdana" w:hAnsi="Verdana" w:cs="Arial"/>
          <w:color w:val="000000"/>
          <w:sz w:val="14"/>
          <w:szCs w:val="14"/>
        </w:rPr>
        <w:t xml:space="preserve"> Concepto Unidad de Gestión Pensional y Parafiscales, radicado 201811200427881 del 12 de febrero de 2018.</w:t>
      </w:r>
    </w:p>
    <w:p w14:paraId="0C11BEF0" w14:textId="77777777" w:rsidR="0075789E" w:rsidRDefault="0075789E" w:rsidP="0075789E">
      <w:pPr>
        <w:ind w:firstLine="709"/>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A00C" w14:textId="77777777" w:rsidR="00935861" w:rsidRDefault="00265C42"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7680144" wp14:editId="5C05552F">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3A1D0DA" wp14:editId="01D620C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460D8A1" w14:textId="77777777" w:rsidR="00935861" w:rsidRDefault="00935861" w:rsidP="00515FB5">
    <w:pPr>
      <w:pStyle w:val="Encabezado"/>
    </w:pPr>
  </w:p>
  <w:p w14:paraId="22638463" w14:textId="77777777" w:rsidR="00935861" w:rsidRDefault="00935861" w:rsidP="00515FB5">
    <w:pPr>
      <w:pStyle w:val="Encabezado"/>
    </w:pPr>
  </w:p>
  <w:p w14:paraId="5EDA9305" w14:textId="77777777" w:rsidR="00935861" w:rsidRPr="00515FB5" w:rsidRDefault="00935861"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2"/>
  </w:num>
  <w:num w:numId="3" w16cid:durableId="1492209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F83"/>
    <w:rsid w:val="0002719F"/>
    <w:rsid w:val="000F5A42"/>
    <w:rsid w:val="00265C42"/>
    <w:rsid w:val="00273CB8"/>
    <w:rsid w:val="002B1134"/>
    <w:rsid w:val="00427C5D"/>
    <w:rsid w:val="00467714"/>
    <w:rsid w:val="004D183C"/>
    <w:rsid w:val="004F79A9"/>
    <w:rsid w:val="00521C99"/>
    <w:rsid w:val="00562A8F"/>
    <w:rsid w:val="006360EE"/>
    <w:rsid w:val="00652EB0"/>
    <w:rsid w:val="0071184A"/>
    <w:rsid w:val="0075789E"/>
    <w:rsid w:val="00935861"/>
    <w:rsid w:val="00967F91"/>
    <w:rsid w:val="009C66E6"/>
    <w:rsid w:val="009C7BCB"/>
    <w:rsid w:val="009D1F83"/>
    <w:rsid w:val="00A12218"/>
    <w:rsid w:val="00A90678"/>
    <w:rsid w:val="00B8056D"/>
    <w:rsid w:val="00C43705"/>
    <w:rsid w:val="00C563A7"/>
    <w:rsid w:val="00CF6FA3"/>
    <w:rsid w:val="00D56327"/>
    <w:rsid w:val="00E0098A"/>
    <w:rsid w:val="00F1382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F1949"/>
  <w15:chartTrackingRefBased/>
  <w15:docId w15:val="{2EABA575-FBC4-4A4B-8B2F-6F3216629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F83"/>
    <w:rPr>
      <w:kern w:val="0"/>
      <w14:ligatures w14:val="none"/>
    </w:rPr>
  </w:style>
  <w:style w:type="paragraph" w:styleId="Ttulo1">
    <w:name w:val="heading 1"/>
    <w:basedOn w:val="Normal"/>
    <w:next w:val="Normal"/>
    <w:link w:val="Ttulo1Car"/>
    <w:uiPriority w:val="9"/>
    <w:qFormat/>
    <w:rsid w:val="009D1F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D1F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D1F8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D1F8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D1F8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D1F8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D1F8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D1F8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D1F8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D1F8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D1F8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D1F8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D1F8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D1F8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D1F8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D1F8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D1F8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D1F83"/>
    <w:rPr>
      <w:rFonts w:eastAsiaTheme="majorEastAsia" w:cstheme="majorBidi"/>
      <w:color w:val="272727" w:themeColor="text1" w:themeTint="D8"/>
    </w:rPr>
  </w:style>
  <w:style w:type="paragraph" w:styleId="Ttulo">
    <w:name w:val="Title"/>
    <w:basedOn w:val="Normal"/>
    <w:next w:val="Normal"/>
    <w:link w:val="TtuloCar"/>
    <w:uiPriority w:val="10"/>
    <w:qFormat/>
    <w:rsid w:val="009D1F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D1F8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D1F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D1F8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D1F83"/>
    <w:pPr>
      <w:spacing w:before="160"/>
      <w:jc w:val="center"/>
    </w:pPr>
    <w:rPr>
      <w:i/>
      <w:iCs/>
      <w:color w:val="404040" w:themeColor="text1" w:themeTint="BF"/>
    </w:rPr>
  </w:style>
  <w:style w:type="character" w:customStyle="1" w:styleId="CitaCar">
    <w:name w:val="Cita Car"/>
    <w:basedOn w:val="Fuentedeprrafopredeter"/>
    <w:link w:val="Cita"/>
    <w:uiPriority w:val="29"/>
    <w:rsid w:val="009D1F83"/>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D1F83"/>
    <w:pPr>
      <w:ind w:left="720"/>
      <w:contextualSpacing/>
    </w:pPr>
  </w:style>
  <w:style w:type="character" w:styleId="nfasisintenso">
    <w:name w:val="Intense Emphasis"/>
    <w:basedOn w:val="Fuentedeprrafopredeter"/>
    <w:uiPriority w:val="21"/>
    <w:qFormat/>
    <w:rsid w:val="009D1F83"/>
    <w:rPr>
      <w:i/>
      <w:iCs/>
      <w:color w:val="0F4761" w:themeColor="accent1" w:themeShade="BF"/>
    </w:rPr>
  </w:style>
  <w:style w:type="paragraph" w:styleId="Citadestacada">
    <w:name w:val="Intense Quote"/>
    <w:basedOn w:val="Normal"/>
    <w:next w:val="Normal"/>
    <w:link w:val="CitadestacadaCar"/>
    <w:uiPriority w:val="30"/>
    <w:qFormat/>
    <w:rsid w:val="009D1F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D1F83"/>
    <w:rPr>
      <w:i/>
      <w:iCs/>
      <w:color w:val="0F4761" w:themeColor="accent1" w:themeShade="BF"/>
    </w:rPr>
  </w:style>
  <w:style w:type="character" w:styleId="Referenciaintensa">
    <w:name w:val="Intense Reference"/>
    <w:basedOn w:val="Fuentedeprrafopredeter"/>
    <w:uiPriority w:val="32"/>
    <w:qFormat/>
    <w:rsid w:val="009D1F83"/>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D1F8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D1F8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D1F8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D1F83"/>
    <w:rPr>
      <w:vertAlign w:val="superscript"/>
    </w:rPr>
  </w:style>
  <w:style w:type="paragraph" w:customStyle="1" w:styleId="Appelnotedebasde">
    <w:name w:val="Appel note de bas de..."/>
    <w:basedOn w:val="Normal"/>
    <w:link w:val="Refdenotaalpie"/>
    <w:uiPriority w:val="99"/>
    <w:rsid w:val="009D1F83"/>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9D1F8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1F83"/>
    <w:rPr>
      <w:kern w:val="0"/>
      <w14:ligatures w14:val="none"/>
    </w:rPr>
  </w:style>
  <w:style w:type="paragraph" w:styleId="Piedepgina">
    <w:name w:val="footer"/>
    <w:basedOn w:val="Normal"/>
    <w:link w:val="PiedepginaCar"/>
    <w:uiPriority w:val="99"/>
    <w:unhideWhenUsed/>
    <w:rsid w:val="009D1F8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D1F83"/>
    <w:rPr>
      <w:kern w:val="0"/>
      <w14:ligatures w14:val="none"/>
    </w:rPr>
  </w:style>
  <w:style w:type="table" w:styleId="Tablaconcuadrcula">
    <w:name w:val="Table Grid"/>
    <w:basedOn w:val="Tablanormal"/>
    <w:uiPriority w:val="39"/>
    <w:qFormat/>
    <w:rsid w:val="009D1F8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D1F83"/>
    <w:rPr>
      <w:color w:val="467886" w:themeColor="hyperlink"/>
      <w:u w:val="single"/>
    </w:rPr>
  </w:style>
  <w:style w:type="character" w:styleId="Refdecomentario">
    <w:name w:val="annotation reference"/>
    <w:basedOn w:val="Fuentedeprrafopredeter"/>
    <w:uiPriority w:val="99"/>
    <w:semiHidden/>
    <w:unhideWhenUsed/>
    <w:rsid w:val="009D1F83"/>
    <w:rPr>
      <w:sz w:val="16"/>
      <w:szCs w:val="16"/>
    </w:rPr>
  </w:style>
  <w:style w:type="paragraph" w:styleId="Textocomentario">
    <w:name w:val="annotation text"/>
    <w:basedOn w:val="Normal"/>
    <w:link w:val="TextocomentarioCar"/>
    <w:uiPriority w:val="99"/>
    <w:unhideWhenUsed/>
    <w:rsid w:val="009D1F83"/>
    <w:pPr>
      <w:spacing w:line="240" w:lineRule="auto"/>
    </w:pPr>
    <w:rPr>
      <w:sz w:val="20"/>
      <w:szCs w:val="20"/>
    </w:rPr>
  </w:style>
  <w:style w:type="character" w:customStyle="1" w:styleId="TextocomentarioCar">
    <w:name w:val="Texto comentario Car"/>
    <w:basedOn w:val="Fuentedeprrafopredeter"/>
    <w:link w:val="Textocomentario"/>
    <w:uiPriority w:val="99"/>
    <w:rsid w:val="009D1F83"/>
    <w:rPr>
      <w:kern w:val="0"/>
      <w:sz w:val="20"/>
      <w:szCs w:val="20"/>
      <w14:ligatures w14:val="none"/>
    </w:rPr>
  </w:style>
  <w:style w:type="character" w:customStyle="1" w:styleId="normaltextrun">
    <w:name w:val="normaltextrun"/>
    <w:basedOn w:val="Fuentedeprrafopredeter"/>
    <w:rsid w:val="009D1F83"/>
  </w:style>
  <w:style w:type="character" w:customStyle="1" w:styleId="eop">
    <w:name w:val="eop"/>
    <w:basedOn w:val="Fuentedeprrafopredeter"/>
    <w:rsid w:val="009D1F83"/>
  </w:style>
  <w:style w:type="paragraph" w:customStyle="1" w:styleId="paragraph">
    <w:name w:val="paragraph"/>
    <w:basedOn w:val="Normal"/>
    <w:rsid w:val="009D1F83"/>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D1F83"/>
  </w:style>
  <w:style w:type="character" w:styleId="Mencinsinresolver">
    <w:name w:val="Unresolved Mention"/>
    <w:basedOn w:val="Fuentedeprrafopredeter"/>
    <w:uiPriority w:val="99"/>
    <w:semiHidden/>
    <w:unhideWhenUsed/>
    <w:rsid w:val="009D1F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602070">
      <w:bodyDiv w:val="1"/>
      <w:marLeft w:val="0"/>
      <w:marRight w:val="0"/>
      <w:marTop w:val="0"/>
      <w:marBottom w:val="0"/>
      <w:divBdr>
        <w:top w:val="none" w:sz="0" w:space="0" w:color="auto"/>
        <w:left w:val="none" w:sz="0" w:space="0" w:color="auto"/>
        <w:bottom w:val="none" w:sz="0" w:space="0" w:color="auto"/>
        <w:right w:val="none" w:sz="0" w:space="0" w:color="auto"/>
      </w:divBdr>
      <w:divsChild>
        <w:div w:id="37629576">
          <w:marLeft w:val="0"/>
          <w:marRight w:val="0"/>
          <w:marTop w:val="0"/>
          <w:marBottom w:val="160"/>
          <w:divBdr>
            <w:top w:val="none" w:sz="0" w:space="0" w:color="auto"/>
            <w:left w:val="none" w:sz="0" w:space="0" w:color="auto"/>
            <w:bottom w:val="none" w:sz="0" w:space="0" w:color="auto"/>
            <w:right w:val="none" w:sz="0" w:space="0" w:color="auto"/>
          </w:divBdr>
        </w:div>
        <w:div w:id="450514645">
          <w:marLeft w:val="0"/>
          <w:marRight w:val="0"/>
          <w:marTop w:val="0"/>
          <w:marBottom w:val="160"/>
          <w:divBdr>
            <w:top w:val="none" w:sz="0" w:space="0" w:color="auto"/>
            <w:left w:val="none" w:sz="0" w:space="0" w:color="auto"/>
            <w:bottom w:val="none" w:sz="0" w:space="0" w:color="auto"/>
            <w:right w:val="none" w:sz="0" w:space="0" w:color="auto"/>
          </w:divBdr>
        </w:div>
        <w:div w:id="1712344120">
          <w:marLeft w:val="0"/>
          <w:marRight w:val="0"/>
          <w:marTop w:val="0"/>
          <w:marBottom w:val="160"/>
          <w:divBdr>
            <w:top w:val="none" w:sz="0" w:space="0" w:color="auto"/>
            <w:left w:val="none" w:sz="0" w:space="0" w:color="auto"/>
            <w:bottom w:val="none" w:sz="0" w:space="0" w:color="auto"/>
            <w:right w:val="none" w:sz="0" w:space="0" w:color="auto"/>
          </w:divBdr>
        </w:div>
      </w:divsChild>
    </w:div>
    <w:div w:id="920991521">
      <w:bodyDiv w:val="1"/>
      <w:marLeft w:val="0"/>
      <w:marRight w:val="0"/>
      <w:marTop w:val="0"/>
      <w:marBottom w:val="0"/>
      <w:divBdr>
        <w:top w:val="none" w:sz="0" w:space="0" w:color="auto"/>
        <w:left w:val="none" w:sz="0" w:space="0" w:color="auto"/>
        <w:bottom w:val="none" w:sz="0" w:space="0" w:color="auto"/>
        <w:right w:val="none" w:sz="0" w:space="0" w:color="auto"/>
      </w:divBdr>
    </w:div>
    <w:div w:id="135896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cejo@vistahermosa-meta.gov.co" TargetMode="External"/><Relationship Id="rId13" Type="http://schemas.openxmlformats.org/officeDocument/2006/relationships/image" Target="media/image2.png"/><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nam02.safelinks.protection.outlook.com/?url=https%3A%2F%2Fwww.colombiacompra.gov.co%2Fmanuales-guias-y-pliegos-tipo%2Fmanuales-y-guias%2Fguia-de-contratacion-publica-sostenible-y-socialmente&amp;data=05%7C02%7Candreina.cerpa%40colombiacompra.gov.co%7Ceb0fd05604104aa4d3bc08dd4c4ad35e%7C7b09041e245149d08cb179d5e3d8c1be%7C0%7C0%7C638750606447940238%7CUnknown%7CTWFpbGZsb3d8eyJFbXB0eU1hcGkiOnRydWUsIlYiOiIwLjAuMDAwMCIsIlAiOiJXaW4zMiIsIkFOIjoiTWFpbCIsIldUIjoyfQ%3D%3D%7C0%7C%7C%7C&amp;sdata=OmL%2F0ctm0vRXJWVBcMEKHNKa0xqg1Tiz%2FcrVCZUihaE%3D&amp;reserved=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ciudadanos%2Fcalendario&amp;data=05%7C02%7Candreina.cerpa%40colombiacompra.gov.co%7Ceb0fd05604104aa4d3bc08dd4c4ad35e%7C7b09041e245149d08cb179d5e3d8c1be%7C0%7C0%7C638750606447924908%7CUnknown%7CTWFpbGZsb3d8eyJFbXB0eU1hcGkiOnRydWUsIlYiOiIwLjAuMDAwMCIsIlAiOiJXaW4zMiIsIkFOIjoiTWFpbCIsIldUIjoyfQ%3D%3D%7C0%7C%7C%7C&amp;sdata=0B5Kp3%2BAAJ2rax0dS2VxkYjhTPh2crBeqerdkKiCMCc%3D&amp;reserved=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nam02.safelinks.protection.outlook.com/?url=https%3A%2F%2Fwww.colombiacompra.gov.co%2Fmanuales-guias-y-pliegos-tipo%2Fmanuales-y-guias%2Fcartilla-para-incentivar-y-fortalecer-el-acceso-las&amp;data=05%7C02%7Candreina.cerpa%40colombiacompra.gov.co%7Ceb0fd05604104aa4d3bc08dd4c4ad35e%7C7b09041e245149d08cb179d5e3d8c1be%7C0%7C0%7C638750606447895053%7CUnknown%7CTWFpbGZsb3d8eyJFbXB0eU1hcGkiOnRydWUsIlYiOiIwLjAuMDAwMCIsIlAiOiJXaW4zMiIsIkFOIjoiTWFpbCIsIldUIjoyfQ%3D%3D%7C0%7C%7C%7C&amp;sdata=a8xyUtMHiOk6RLk2D35JAy%2FliMsXOj1BYmFpQ2xQiyM%3D&amp;reserved=0"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841985-A9DC-4F9F-91BA-15CD471B98C0}"/>
</file>

<file path=customXml/itemProps2.xml><?xml version="1.0" encoding="utf-8"?>
<ds:datastoreItem xmlns:ds="http://schemas.openxmlformats.org/officeDocument/2006/customXml" ds:itemID="{6DB4107E-02D4-4CB6-A75C-690253384611}"/>
</file>

<file path=customXml/itemProps3.xml><?xml version="1.0" encoding="utf-8"?>
<ds:datastoreItem xmlns:ds="http://schemas.openxmlformats.org/officeDocument/2006/customXml" ds:itemID="{6F6121E5-E175-4749-BFA2-0846D8AF159F}"/>
</file>

<file path=docProps/app.xml><?xml version="1.0" encoding="utf-8"?>
<Properties xmlns="http://schemas.openxmlformats.org/officeDocument/2006/extended-properties" xmlns:vt="http://schemas.openxmlformats.org/officeDocument/2006/docPropsVTypes">
  <Template>Normal</Template>
  <TotalTime>74</TotalTime>
  <Pages>14</Pages>
  <Words>4651</Words>
  <Characters>25586</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17</cp:revision>
  <dcterms:created xsi:type="dcterms:W3CDTF">2025-03-19T13:02:00Z</dcterms:created>
  <dcterms:modified xsi:type="dcterms:W3CDTF">2025-04-09T14:42:00Z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