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3EB4F" w14:textId="77777777" w:rsidR="00D578C5" w:rsidRPr="003F4B72" w:rsidRDefault="00D578C5" w:rsidP="00D578C5">
      <w:pPr>
        <w:contextualSpacing/>
        <w:jc w:val="both"/>
        <w:rPr>
          <w:rFonts w:ascii="Verdana" w:eastAsia="Calibri" w:hAnsi="Verdana" w:cs="Arial"/>
          <w:b/>
          <w:bCs/>
          <w:lang w:val="es-ES" w:eastAsia="es-ES"/>
        </w:rPr>
      </w:pPr>
      <w:r w:rsidRPr="003F4B72">
        <w:rPr>
          <w:rFonts w:ascii="Verdana" w:eastAsia="Calibri" w:hAnsi="Verdana" w:cs="Arial"/>
          <w:b/>
          <w:bCs/>
          <w:lang w:val="es-ES" w:eastAsia="es-ES"/>
        </w:rPr>
        <w:t xml:space="preserve">MODIFICACIÓN DE LOS CONTRATOS ESTATALES – Procedencia – Límites </w:t>
      </w:r>
    </w:p>
    <w:p w14:paraId="3C170E44" w14:textId="77777777" w:rsidR="00D578C5" w:rsidRPr="003F4B72" w:rsidRDefault="00D578C5" w:rsidP="00D578C5">
      <w:pPr>
        <w:spacing w:after="120" w:line="276" w:lineRule="auto"/>
        <w:jc w:val="both"/>
        <w:rPr>
          <w:rFonts w:ascii="Verdana" w:eastAsia="Calibri" w:hAnsi="Verdana" w:cs="Arial"/>
          <w:sz w:val="20"/>
          <w:szCs w:val="20"/>
          <w:lang w:val="es-ES" w:eastAsia="es-ES"/>
        </w:rPr>
      </w:pPr>
    </w:p>
    <w:p w14:paraId="5B8B1500" w14:textId="77777777" w:rsidR="00D578C5" w:rsidRPr="003F4B72" w:rsidRDefault="00D578C5" w:rsidP="00D578C5">
      <w:pPr>
        <w:spacing w:after="120" w:line="240" w:lineRule="auto"/>
        <w:jc w:val="both"/>
        <w:rPr>
          <w:rFonts w:ascii="Verdana" w:eastAsia="Arial" w:hAnsi="Verdana" w:cs="Arial"/>
          <w:sz w:val="20"/>
          <w:szCs w:val="20"/>
          <w:lang w:eastAsia="es-ES"/>
        </w:rPr>
      </w:pPr>
      <w:r w:rsidRPr="003F4B72">
        <w:rPr>
          <w:rFonts w:ascii="Verdana" w:eastAsia="Calibri" w:hAnsi="Verdana" w:cs="Arial"/>
          <w:sz w:val="20"/>
          <w:szCs w:val="20"/>
          <w:lang w:val="es-ES" w:eastAsia="es-ES"/>
        </w:rPr>
        <w:t xml:space="preserve">[…] </w:t>
      </w:r>
      <w:r w:rsidRPr="003F4B72">
        <w:rPr>
          <w:rFonts w:ascii="Verdana" w:eastAsia="Arial" w:hAnsi="Verdana" w:cs="Arial"/>
          <w:sz w:val="20"/>
          <w:szCs w:val="20"/>
          <w:lang w:eastAsia="es-ES"/>
        </w:rPr>
        <w:t xml:space="preserve">los contratos estatales pueden modificarse en cumplimiento de los requisitos y los límites legales y jurisprudenciales, siempre atendiendo a los principios que rigen la actuación administrativa y la contratación estatal. No obstante, esta medida tiene carácter excepcional y solo procede cuando con ella se pretenda garantizar el interés público, cuando la entidad haya verificado y así pueda constatarse por cualquier que la causa de la modificación es real y cierta y cuando se deriva de previsiones legales, esto es, cuando la modificación encuentra sustento no solo en circunstancias fácticas propias de la ejecución del contrato, sino, además, cuando tales situaciones ponen de presente la necesidad de dar cumplimiento a previsiones establecidas por el legislador.  </w:t>
      </w:r>
    </w:p>
    <w:p w14:paraId="01B19A17" w14:textId="77777777" w:rsidR="00D578C5" w:rsidRPr="003F4B72" w:rsidRDefault="00D578C5" w:rsidP="00D578C5">
      <w:pPr>
        <w:contextualSpacing/>
        <w:jc w:val="both"/>
        <w:rPr>
          <w:rFonts w:ascii="Verdana" w:eastAsia="Calibri" w:hAnsi="Verdana" w:cs="Arial"/>
          <w:sz w:val="20"/>
          <w:szCs w:val="20"/>
          <w:lang w:val="es-ES" w:eastAsia="es-ES"/>
        </w:rPr>
      </w:pPr>
    </w:p>
    <w:p w14:paraId="157105DA" w14:textId="77777777" w:rsidR="00D578C5" w:rsidRPr="003F4B72" w:rsidRDefault="00D578C5" w:rsidP="00D578C5">
      <w:pPr>
        <w:contextualSpacing/>
        <w:jc w:val="both"/>
        <w:rPr>
          <w:rFonts w:ascii="Verdana" w:eastAsia="Calibri" w:hAnsi="Verdana" w:cs="Arial"/>
          <w:b/>
          <w:bCs/>
          <w:lang w:val="es-ES" w:eastAsia="es-ES"/>
        </w:rPr>
      </w:pPr>
      <w:r w:rsidRPr="003F4B72">
        <w:rPr>
          <w:rFonts w:ascii="Verdana" w:eastAsia="Calibri" w:hAnsi="Verdana" w:cs="Arial"/>
          <w:b/>
          <w:bCs/>
          <w:lang w:val="es-ES" w:eastAsia="es-ES"/>
        </w:rPr>
        <w:t xml:space="preserve">CORRECCIÓN ERRORES FORMALES– Artículo 45 Ley 1437 de 2011 </w:t>
      </w:r>
    </w:p>
    <w:p w14:paraId="2BFA3718" w14:textId="77777777" w:rsidR="00D578C5" w:rsidRPr="003F4B72" w:rsidRDefault="00D578C5" w:rsidP="00D578C5">
      <w:pPr>
        <w:contextualSpacing/>
        <w:jc w:val="both"/>
        <w:rPr>
          <w:rFonts w:ascii="Verdana" w:eastAsia="Calibri" w:hAnsi="Verdana" w:cs="Arial"/>
          <w:sz w:val="20"/>
          <w:szCs w:val="20"/>
          <w:lang w:val="es-ES" w:eastAsia="es-ES"/>
        </w:rPr>
      </w:pPr>
    </w:p>
    <w:p w14:paraId="3920555B" w14:textId="77777777" w:rsidR="00D578C5" w:rsidRPr="003F4B72" w:rsidRDefault="00D578C5" w:rsidP="00D578C5">
      <w:pPr>
        <w:spacing w:after="120" w:line="240" w:lineRule="auto"/>
        <w:jc w:val="both"/>
        <w:rPr>
          <w:rFonts w:ascii="Verdana" w:eastAsia="Calibri" w:hAnsi="Verdana" w:cs="Arial"/>
          <w:b/>
          <w:bCs/>
          <w:sz w:val="20"/>
          <w:szCs w:val="20"/>
          <w:lang w:val="es-ES_tradnl" w:eastAsia="es-ES_tradnl"/>
        </w:rPr>
      </w:pPr>
      <w:r w:rsidRPr="003F4B72">
        <w:rPr>
          <w:rFonts w:ascii="Verdana" w:hAnsi="Verdana" w:cs="Arial"/>
          <w:sz w:val="20"/>
          <w:szCs w:val="20"/>
          <w:lang w:val="es-MX"/>
        </w:rPr>
        <w:t xml:space="preserve">[…] aunque el EGCAP no consagra expresamente esta figura, es posible su aplicación en los actos del proceso de contratación, en virtud de lo establecido en el artículo 77 de la Ley 80 de 1993 y en el artículo 2 de la Ley 1437 de 2011. La primera disposición señala que las normas que rigen los procedimientos y actuaciones en la </w:t>
      </w:r>
      <w:r w:rsidRPr="003F4B72">
        <w:rPr>
          <w:rFonts w:ascii="Verdana" w:hAnsi="Verdana" w:cs="Arial"/>
          <w:i/>
          <w:iCs/>
          <w:sz w:val="20"/>
          <w:szCs w:val="20"/>
          <w:lang w:val="es-MX"/>
        </w:rPr>
        <w:t xml:space="preserve">función administrativa </w:t>
      </w:r>
      <w:r w:rsidRPr="003F4B72">
        <w:rPr>
          <w:rFonts w:ascii="Verdana" w:hAnsi="Verdana" w:cs="Arial"/>
          <w:sz w:val="20"/>
          <w:szCs w:val="20"/>
          <w:lang w:val="es-MX"/>
        </w:rPr>
        <w:t>son aplicables en las actuaciones contractuales, siempre que sean compatibles con la finalidad y los principios de la Ley 80. A su vez, el artículo 2 de la Ley 1437 de 2011, señala que los procedimientos allí establecidos aplican a las actuaciones de todas las autoridades y particulares que desempeñan funciones administrativas, sin perjuicio de los procedimientos regulados en leyes especiales, y agrega que, en lo no previsto en estos, se aplicarán los procedimientos establecidos en dicho código. Tal es el caso de la corrección de errores simplemente formales de los actos administrativos que no está regulada en el EGCAP, sino en el CPACA.</w:t>
      </w:r>
    </w:p>
    <w:p w14:paraId="28776265" w14:textId="77777777" w:rsidR="00D578C5" w:rsidRPr="003F4B72" w:rsidRDefault="00D578C5" w:rsidP="00D578C5">
      <w:pPr>
        <w:contextualSpacing/>
        <w:jc w:val="both"/>
        <w:rPr>
          <w:rFonts w:ascii="Verdana" w:eastAsia="Calibri" w:hAnsi="Verdana" w:cs="Arial"/>
          <w:lang w:val="es-ES" w:eastAsia="es-ES"/>
        </w:rPr>
      </w:pPr>
    </w:p>
    <w:p w14:paraId="07068A79" w14:textId="77777777" w:rsidR="00D578C5" w:rsidRPr="003F4B72" w:rsidRDefault="00D578C5" w:rsidP="00D578C5">
      <w:pPr>
        <w:contextualSpacing/>
        <w:jc w:val="both"/>
        <w:rPr>
          <w:rFonts w:ascii="Verdana" w:eastAsia="Calibri" w:hAnsi="Verdana" w:cs="Arial"/>
          <w:b/>
          <w:bCs/>
          <w:lang w:val="es-ES" w:eastAsia="es-ES"/>
        </w:rPr>
      </w:pPr>
      <w:r w:rsidRPr="003F4B72">
        <w:rPr>
          <w:rFonts w:ascii="Verdana" w:eastAsia="Calibri" w:hAnsi="Verdana" w:cs="Arial"/>
          <w:b/>
          <w:bCs/>
          <w:lang w:val="es-ES" w:eastAsia="es-ES"/>
        </w:rPr>
        <w:t>INTERPRETACIÓN</w:t>
      </w:r>
      <w:r w:rsidRPr="003F4B72">
        <w:rPr>
          <w:rFonts w:ascii="Verdana" w:eastAsia="Calibri" w:hAnsi="Verdana" w:cs="Arial"/>
          <w:b/>
          <w:bCs/>
        </w:rPr>
        <w:t xml:space="preserve"> – Reglas</w:t>
      </w:r>
      <w:r w:rsidRPr="003F4B72">
        <w:rPr>
          <w:rFonts w:ascii="Verdana" w:eastAsia="Calibri" w:hAnsi="Verdana" w:cs="Arial"/>
          <w:b/>
          <w:bCs/>
          <w:lang w:val="es-ES" w:eastAsia="es-ES"/>
        </w:rPr>
        <w:t xml:space="preserve"> </w:t>
      </w:r>
    </w:p>
    <w:p w14:paraId="20FAE5E7" w14:textId="77777777" w:rsidR="00D578C5" w:rsidRPr="003F4B72" w:rsidRDefault="00D578C5" w:rsidP="00D578C5">
      <w:pPr>
        <w:spacing w:after="0" w:line="240" w:lineRule="auto"/>
        <w:rPr>
          <w:rFonts w:ascii="Verdana" w:eastAsia="Geomanist Light" w:hAnsi="Verdana" w:cs="Arial"/>
          <w:color w:val="000000" w:themeColor="text1"/>
          <w:sz w:val="20"/>
          <w:szCs w:val="20"/>
          <w:lang w:val="es-MX"/>
        </w:rPr>
      </w:pPr>
    </w:p>
    <w:p w14:paraId="54528D42" w14:textId="77777777" w:rsidR="00D578C5" w:rsidRPr="003F4B72" w:rsidRDefault="00D578C5" w:rsidP="00D578C5">
      <w:pPr>
        <w:spacing w:after="120" w:line="240" w:lineRule="auto"/>
        <w:jc w:val="both"/>
        <w:rPr>
          <w:rFonts w:ascii="Verdana" w:eastAsia="Batang" w:hAnsi="Verdana" w:cs="Arial"/>
          <w:sz w:val="20"/>
          <w:szCs w:val="20"/>
        </w:rPr>
      </w:pPr>
      <w:r w:rsidRPr="003F4B72">
        <w:rPr>
          <w:rFonts w:ascii="Verdana" w:eastAsia="Geomanist Light" w:hAnsi="Verdana" w:cs="Arial"/>
          <w:color w:val="000000" w:themeColor="text1"/>
          <w:sz w:val="20"/>
          <w:szCs w:val="20"/>
          <w:lang w:val="es-MX"/>
        </w:rPr>
        <w:t xml:space="preserve">[…] </w:t>
      </w:r>
      <w:r w:rsidRPr="003F4B72">
        <w:rPr>
          <w:rFonts w:ascii="Verdana" w:eastAsia="Batang" w:hAnsi="Verdana" w:cs="Arial"/>
          <w:sz w:val="20"/>
          <w:szCs w:val="20"/>
        </w:rPr>
        <w:t xml:space="preserve">en los procesos de contratación o en la ejecución de los contratos, la entidad, proponentes o contratista podrán acudir, en lo pertinente, a las reglas de interpretación </w:t>
      </w:r>
      <w:r w:rsidRPr="003F4B72">
        <w:rPr>
          <w:rFonts w:ascii="Verdana" w:eastAsia="Batang" w:hAnsi="Verdana" w:cs="Arial"/>
          <w:sz w:val="20"/>
          <w:szCs w:val="20"/>
          <w:lang w:val="es-MX"/>
        </w:rPr>
        <w:t xml:space="preserve">objetivas y subjetivas conforme a los artículos 1618 a 1624 del Código Civil. Por una parte, las </w:t>
      </w:r>
      <w:r w:rsidRPr="003F4B72">
        <w:rPr>
          <w:rFonts w:ascii="Verdana" w:eastAsia="Batang" w:hAnsi="Verdana" w:cs="Arial"/>
          <w:i/>
          <w:iCs/>
          <w:sz w:val="20"/>
          <w:szCs w:val="20"/>
          <w:lang w:val="es-MX"/>
        </w:rPr>
        <w:t>objetivas</w:t>
      </w:r>
      <w:r w:rsidRPr="003F4B72">
        <w:rPr>
          <w:rFonts w:ascii="Verdana" w:eastAsia="Batang" w:hAnsi="Verdana" w:cs="Arial"/>
          <w:sz w:val="20"/>
          <w:szCs w:val="20"/>
          <w:lang w:val="es-MX"/>
        </w:rPr>
        <w:t xml:space="preserve"> son las siguientes: i) una vez conocida la intención de los contratantes ha de estarse más a ella que a lo literal de las palabras (artículo 1618 del Código Civil); ii) </w:t>
      </w:r>
      <w:r w:rsidRPr="003F4B72">
        <w:rPr>
          <w:rFonts w:ascii="Verdana" w:eastAsia="Batang" w:hAnsi="Verdana" w:cs="Arial"/>
          <w:sz w:val="20"/>
          <w:szCs w:val="20"/>
        </w:rPr>
        <w:t xml:space="preserve">las estipulaciones de un contrato pueden interpretarse por la de otro que las partes hayan celebrado sobre la misma materia o por la aplicación práctica que de ellas hayan hecho (artículo 1622, incisos 2 y 3 </w:t>
      </w:r>
      <w:r w:rsidRPr="003F4B72">
        <w:rPr>
          <w:rFonts w:ascii="Verdana" w:eastAsia="Batang" w:hAnsi="Verdana" w:cs="Arial"/>
          <w:i/>
          <w:iCs/>
          <w:sz w:val="20"/>
          <w:szCs w:val="20"/>
        </w:rPr>
        <w:t>ibídem</w:t>
      </w:r>
      <w:r w:rsidRPr="003F4B72">
        <w:rPr>
          <w:rFonts w:ascii="Verdana" w:eastAsia="Batang" w:hAnsi="Verdana" w:cs="Arial"/>
          <w:sz w:val="20"/>
          <w:szCs w:val="20"/>
        </w:rPr>
        <w:t xml:space="preserve">); iii) las cláusulas deben interpretarse unas por otras, dándole a cada una el sentido que más convenga al contrato en su totalidad (artículo 1622, inciso 1 </w:t>
      </w:r>
      <w:r w:rsidRPr="003F4B72">
        <w:rPr>
          <w:rFonts w:ascii="Verdana" w:eastAsia="Batang" w:hAnsi="Verdana" w:cs="Arial"/>
          <w:i/>
          <w:iCs/>
          <w:sz w:val="20"/>
          <w:szCs w:val="20"/>
        </w:rPr>
        <w:t>ibídem</w:t>
      </w:r>
      <w:r w:rsidRPr="003F4B72">
        <w:rPr>
          <w:rFonts w:ascii="Verdana" w:eastAsia="Batang" w:hAnsi="Verdana" w:cs="Arial"/>
          <w:sz w:val="20"/>
          <w:szCs w:val="20"/>
        </w:rPr>
        <w:t xml:space="preserve">); iv) si en un contrato se expresa un caso para explicar la obligación se entiende que esa mención no es restrictiva sino ejemplificativa (artículo 1623 </w:t>
      </w:r>
      <w:r w:rsidRPr="003F4B72">
        <w:rPr>
          <w:rFonts w:ascii="Verdana" w:eastAsia="Batang" w:hAnsi="Verdana" w:cs="Arial"/>
          <w:i/>
          <w:iCs/>
          <w:sz w:val="20"/>
          <w:szCs w:val="20"/>
        </w:rPr>
        <w:t>ibídem</w:t>
      </w:r>
      <w:r w:rsidRPr="003F4B72">
        <w:rPr>
          <w:rFonts w:ascii="Verdana" w:eastAsia="Batang" w:hAnsi="Verdana" w:cs="Arial"/>
          <w:sz w:val="20"/>
          <w:szCs w:val="20"/>
        </w:rPr>
        <w:t xml:space="preserve">); y v) se entiende que las expresiones generales contenidas en el negocio únicamente se aplican a la materia sobre la que se ha contratado (artículo 1619, inciso 2 </w:t>
      </w:r>
      <w:r w:rsidRPr="003F4B72">
        <w:rPr>
          <w:rFonts w:ascii="Verdana" w:eastAsia="Batang" w:hAnsi="Verdana" w:cs="Arial"/>
          <w:i/>
          <w:iCs/>
          <w:sz w:val="20"/>
          <w:szCs w:val="20"/>
        </w:rPr>
        <w:t>ibídem</w:t>
      </w:r>
      <w:r w:rsidRPr="003F4B72">
        <w:rPr>
          <w:rFonts w:ascii="Verdana" w:eastAsia="Batang" w:hAnsi="Verdana" w:cs="Arial"/>
          <w:sz w:val="20"/>
          <w:szCs w:val="20"/>
        </w:rPr>
        <w:t xml:space="preserve">). </w:t>
      </w:r>
    </w:p>
    <w:p w14:paraId="7E01FB9C" w14:textId="791204D4" w:rsidR="00D578C5" w:rsidRDefault="00D578C5" w:rsidP="00D578C5">
      <w:pPr>
        <w:rPr>
          <w:rFonts w:ascii="Verdana" w:eastAsia="Geomanist Light" w:hAnsi="Verdana" w:cs="Arial"/>
        </w:rPr>
      </w:pPr>
    </w:p>
    <w:p w14:paraId="2D1E7952" w14:textId="44948CFE" w:rsidR="00D578C5" w:rsidRPr="00593A5F" w:rsidRDefault="00D578C5" w:rsidP="00D578C5">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t>Bogotá D.C., </w:t>
      </w:r>
      <w:r w:rsidRPr="00593A5F">
        <w:rPr>
          <w:rFonts w:ascii="Verdana" w:eastAsia="Geomanist Light" w:hAnsi="Verdana" w:cs="Arial"/>
          <w:color w:val="201F1E"/>
          <w:lang w:val="es-MX"/>
        </w:rPr>
        <w:t>[Día] de [Mes.NombreCapitalizado] de [Año]</w:t>
      </w:r>
    </w:p>
    <w:p w14:paraId="05211D21" w14:textId="76BB62CE" w:rsidR="00D578C5" w:rsidRPr="00593A5F" w:rsidRDefault="00D578C5" w:rsidP="00D578C5">
      <w:pPr>
        <w:spacing w:after="0" w:line="240" w:lineRule="auto"/>
        <w:jc w:val="both"/>
        <w:rPr>
          <w:rFonts w:ascii="Verdana" w:eastAsia="Calibri" w:hAnsi="Verdana" w:cs="Arial"/>
          <w:color w:val="000000"/>
          <w:lang w:val="es-ES"/>
        </w:rPr>
      </w:pPr>
    </w:p>
    <w:p w14:paraId="62672266" w14:textId="2E7A278D" w:rsidR="00D578C5" w:rsidRPr="00B96799" w:rsidRDefault="00D578C5" w:rsidP="00D578C5">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p>
    <w:p w14:paraId="299F91BA" w14:textId="14043081" w:rsidR="00D578C5" w:rsidRPr="00B96799" w:rsidRDefault="00F24AF7" w:rsidP="00D578C5">
      <w:pPr>
        <w:spacing w:after="0" w:line="240" w:lineRule="auto"/>
        <w:rPr>
          <w:rFonts w:ascii="Verdana" w:eastAsia="Calibri" w:hAnsi="Verdana" w:cs="Arial"/>
          <w:b/>
          <w:lang w:val="es-ES_tradnl" w:eastAsia="es-ES_tradnl"/>
        </w:rPr>
      </w:pPr>
      <w:r>
        <w:rPr>
          <w:noProof/>
        </w:rPr>
        <w:drawing>
          <wp:anchor distT="0" distB="0" distL="0" distR="0" simplePos="0" relativeHeight="251659264" behindDoc="0" locked="0" layoutInCell="1" allowOverlap="1" wp14:anchorId="7B60EBBC" wp14:editId="6E6D7AEF">
            <wp:simplePos x="0" y="0"/>
            <wp:positionH relativeFrom="page">
              <wp:posOffset>4652010</wp:posOffset>
            </wp:positionH>
            <wp:positionV relativeFrom="paragraph">
              <wp:posOffset>18415</wp:posOffset>
            </wp:positionV>
            <wp:extent cx="2400300" cy="615950"/>
            <wp:effectExtent l="0" t="0" r="0" b="0"/>
            <wp:wrapNone/>
            <wp:docPr id="8" name="Image 8" descr="Texto&#10;&#10;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Texto&#10;&#10;El contenido generado por IA puede ser incorrecto."/>
                    <pic:cNvPicPr/>
                  </pic:nvPicPr>
                  <pic:blipFill>
                    <a:blip r:embed="rId10" cstate="print"/>
                    <a:stretch>
                      <a:fillRect/>
                    </a:stretch>
                  </pic:blipFill>
                  <pic:spPr>
                    <a:xfrm>
                      <a:off x="0" y="0"/>
                      <a:ext cx="2400300" cy="615950"/>
                    </a:xfrm>
                    <a:prstGeom prst="rect">
                      <a:avLst/>
                    </a:prstGeom>
                  </pic:spPr>
                </pic:pic>
              </a:graphicData>
            </a:graphic>
          </wp:anchor>
        </w:drawing>
      </w:r>
      <w:r w:rsidR="00D578C5" w:rsidRPr="001B6B47">
        <w:rPr>
          <w:rFonts w:ascii="Verdana" w:eastAsia="Calibri" w:hAnsi="Verdana" w:cs="Arial"/>
          <w:b/>
          <w:lang w:val="es-ES_tradnl" w:eastAsia="es-ES_tradnl"/>
        </w:rPr>
        <w:t>Cristhian Camilo Guzmán Quiroga</w:t>
      </w:r>
      <w:r>
        <w:rPr>
          <w:rFonts w:ascii="Verdana" w:eastAsia="Calibri" w:hAnsi="Verdana" w:cs="Arial"/>
          <w:b/>
          <w:lang w:val="es-ES_tradnl" w:eastAsia="es-ES_tradnl"/>
        </w:rPr>
        <w:t xml:space="preserve"> </w:t>
      </w:r>
    </w:p>
    <w:p w14:paraId="69A64AE9" w14:textId="77777777" w:rsidR="00D578C5" w:rsidRPr="00D003FE" w:rsidRDefault="00D578C5" w:rsidP="00D578C5">
      <w:pPr>
        <w:spacing w:after="0" w:line="240" w:lineRule="auto"/>
        <w:rPr>
          <w:rFonts w:ascii="Verdana" w:eastAsia="Calibri" w:hAnsi="Verdana" w:cs="Arial"/>
          <w:u w:val="single"/>
          <w:lang w:eastAsia="es-ES"/>
        </w:rPr>
      </w:pPr>
      <w:hyperlink r:id="rId11" w:history="1">
        <w:r w:rsidRPr="00D003FE">
          <w:rPr>
            <w:rStyle w:val="Hipervnculo"/>
            <w:rFonts w:ascii="Verdana" w:eastAsia="Calibri" w:hAnsi="Verdana" w:cs="Arial"/>
            <w:lang w:eastAsia="es-ES"/>
          </w:rPr>
          <w:t>camiloguzman111@gmail.com</w:t>
        </w:r>
      </w:hyperlink>
      <w:r>
        <w:rPr>
          <w:rFonts w:ascii="Verdana" w:eastAsia="Calibri" w:hAnsi="Verdana" w:cs="Arial"/>
          <w:u w:val="single"/>
          <w:lang w:eastAsia="es-ES"/>
        </w:rPr>
        <w:t xml:space="preserve"> </w:t>
      </w:r>
    </w:p>
    <w:p w14:paraId="2B94AB48" w14:textId="77777777" w:rsidR="00D578C5" w:rsidRPr="00B96799" w:rsidRDefault="00D578C5" w:rsidP="00D578C5">
      <w:pPr>
        <w:spacing w:after="0" w:line="240" w:lineRule="auto"/>
        <w:rPr>
          <w:rFonts w:ascii="Verdana" w:eastAsia="Calibri" w:hAnsi="Verdana" w:cs="Arial"/>
          <w:b/>
          <w:bCs/>
          <w:lang w:val="es-ES" w:eastAsia="es-ES"/>
        </w:rPr>
      </w:pPr>
      <w:r w:rsidRPr="00B96799">
        <w:rPr>
          <w:rFonts w:ascii="Verdana" w:eastAsia="Calibri" w:hAnsi="Verdana" w:cs="Arial"/>
          <w:lang w:val="es-ES" w:eastAsia="es-ES"/>
        </w:rPr>
        <w:t>C</w:t>
      </w:r>
      <w:r>
        <w:rPr>
          <w:rFonts w:ascii="Verdana" w:eastAsia="Calibri" w:hAnsi="Verdana" w:cs="Arial"/>
          <w:lang w:val="es-ES" w:eastAsia="es-ES"/>
        </w:rPr>
        <w:t>iudad</w:t>
      </w:r>
    </w:p>
    <w:p w14:paraId="017BAC72" w14:textId="77777777" w:rsidR="00D578C5" w:rsidRPr="00593A5F" w:rsidRDefault="00D578C5" w:rsidP="00D578C5">
      <w:pPr>
        <w:spacing w:after="0" w:line="240" w:lineRule="auto"/>
        <w:rPr>
          <w:rFonts w:ascii="Verdana" w:eastAsia="Calibri" w:hAnsi="Verdana" w:cs="Arial"/>
          <w:b/>
          <w:bCs/>
          <w:color w:val="000000"/>
          <w:lang w:val="es-ES_tradnl" w:eastAsia="es-ES_tradnl"/>
        </w:rPr>
      </w:pPr>
    </w:p>
    <w:p w14:paraId="0093493D" w14:textId="77777777" w:rsidR="00D578C5" w:rsidRPr="00593A5F" w:rsidRDefault="00D578C5" w:rsidP="00D578C5">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D578C5" w:rsidRPr="00593A5F" w14:paraId="1FCF04F6" w14:textId="77777777" w:rsidTr="003C75B9">
        <w:trPr>
          <w:trHeight w:val="884"/>
        </w:trPr>
        <w:tc>
          <w:tcPr>
            <w:tcW w:w="2689" w:type="dxa"/>
          </w:tcPr>
          <w:p w14:paraId="2D6D6900" w14:textId="77777777" w:rsidR="00D578C5" w:rsidRPr="00C00976" w:rsidRDefault="00D578C5" w:rsidP="003C75B9">
            <w:pPr>
              <w:jc w:val="both"/>
              <w:rPr>
                <w:rFonts w:ascii="Verdana" w:eastAsia="Calibri" w:hAnsi="Verdana" w:cs="Arial"/>
                <w:b/>
                <w:bCs/>
                <w:color w:val="7030A0"/>
                <w:lang w:val="es-ES_tradnl" w:eastAsia="es-ES_tradnl"/>
              </w:rPr>
            </w:pPr>
          </w:p>
        </w:tc>
        <w:tc>
          <w:tcPr>
            <w:tcW w:w="6100" w:type="dxa"/>
          </w:tcPr>
          <w:p w14:paraId="5962010C" w14:textId="77777777" w:rsidR="00D578C5" w:rsidRPr="00C00976" w:rsidRDefault="00D578C5" w:rsidP="003C75B9">
            <w:pPr>
              <w:jc w:val="both"/>
              <w:rPr>
                <w:rFonts w:ascii="Verdana" w:eastAsia="Calibri" w:hAnsi="Verdana" w:cs="Arial"/>
                <w:b/>
                <w:bCs/>
                <w:color w:val="7030A0"/>
                <w:lang w:val="es-ES" w:eastAsia="es-ES"/>
              </w:rPr>
            </w:pPr>
            <w:r w:rsidRPr="00247BDE">
              <w:rPr>
                <w:rFonts w:ascii="Verdana" w:eastAsia="Calibri" w:hAnsi="Verdana" w:cs="Arial"/>
                <w:b/>
                <w:bCs/>
                <w:lang w:val="es-ES" w:eastAsia="es-ES"/>
              </w:rPr>
              <w:t xml:space="preserve">Concepto </w:t>
            </w:r>
            <w:r w:rsidRPr="00D005FF">
              <w:rPr>
                <w:rFonts w:ascii="Verdana" w:eastAsia="Calibri" w:hAnsi="Verdana" w:cs="Arial"/>
                <w:b/>
                <w:bCs/>
                <w:color w:val="000000" w:themeColor="text1"/>
                <w:lang w:val="es-ES" w:eastAsia="es-ES"/>
              </w:rPr>
              <w:t>C-272 de 2025</w:t>
            </w:r>
          </w:p>
        </w:tc>
      </w:tr>
      <w:tr w:rsidR="00D578C5" w:rsidRPr="00593A5F" w14:paraId="07E95D9C" w14:textId="77777777" w:rsidTr="003C75B9">
        <w:trPr>
          <w:trHeight w:val="884"/>
        </w:trPr>
        <w:tc>
          <w:tcPr>
            <w:tcW w:w="2689" w:type="dxa"/>
          </w:tcPr>
          <w:p w14:paraId="63FE1A32" w14:textId="77777777" w:rsidR="00D578C5" w:rsidRPr="00593A5F" w:rsidRDefault="00D578C5" w:rsidP="003C75B9">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263FDF49" w14:textId="77777777" w:rsidR="00D578C5" w:rsidRDefault="00D578C5" w:rsidP="003C75B9">
            <w:pPr>
              <w:spacing w:line="276" w:lineRule="auto"/>
              <w:jc w:val="both"/>
              <w:rPr>
                <w:rFonts w:ascii="Verdana" w:eastAsia="Calibri" w:hAnsi="Verdana" w:cs="Arial"/>
                <w:lang w:val="es-ES" w:eastAsia="es-ES"/>
              </w:rPr>
            </w:pPr>
            <w:r w:rsidRPr="0097676F">
              <w:rPr>
                <w:rFonts w:ascii="Verdana" w:eastAsia="Calibri" w:hAnsi="Verdana" w:cs="Arial"/>
                <w:lang w:val="es-ES" w:eastAsia="es-ES"/>
              </w:rPr>
              <w:t>MODIFICACIÓN DE LOS CONTRATOS ESTATALES – Procedencia – Límites / CORRECCIÓN ERRORES FORMALES– Artículo 45 Ley 1437 de 2011</w:t>
            </w:r>
            <w:r w:rsidRPr="004A66F9">
              <w:rPr>
                <w:rFonts w:ascii="Verdana" w:eastAsia="Calibri" w:hAnsi="Verdana" w:cs="Arial"/>
                <w:lang w:val="es-ES" w:eastAsia="es-ES"/>
              </w:rPr>
              <w:t xml:space="preserve"> </w:t>
            </w:r>
            <w:r>
              <w:rPr>
                <w:rFonts w:ascii="Verdana" w:eastAsia="Calibri" w:hAnsi="Verdana" w:cs="Arial"/>
                <w:lang w:val="es-ES" w:eastAsia="es-ES"/>
              </w:rPr>
              <w:t>/ INTERPRETACIÓN</w:t>
            </w:r>
            <w:r w:rsidRPr="00D9607E">
              <w:rPr>
                <w:rFonts w:ascii="Verdana" w:eastAsia="Calibri" w:hAnsi="Verdana" w:cs="Arial"/>
              </w:rPr>
              <w:t xml:space="preserve"> – Reglas</w:t>
            </w:r>
            <w:r w:rsidRPr="00D9607E">
              <w:rPr>
                <w:rFonts w:ascii="Verdana" w:eastAsia="Calibri" w:hAnsi="Verdana" w:cs="Arial"/>
                <w:lang w:val="es-ES" w:eastAsia="es-ES"/>
              </w:rPr>
              <w:t xml:space="preserve"> </w:t>
            </w:r>
          </w:p>
          <w:p w14:paraId="7B65B54E" w14:textId="77777777" w:rsidR="00D578C5" w:rsidRPr="00593A5F" w:rsidRDefault="00D578C5" w:rsidP="003C75B9">
            <w:pPr>
              <w:spacing w:line="276" w:lineRule="auto"/>
              <w:jc w:val="both"/>
              <w:rPr>
                <w:rFonts w:ascii="Verdana" w:eastAsia="Calibri" w:hAnsi="Verdana" w:cs="Arial"/>
                <w:lang w:val="es-ES" w:eastAsia="es-ES"/>
              </w:rPr>
            </w:pPr>
          </w:p>
        </w:tc>
      </w:tr>
      <w:tr w:rsidR="00D578C5" w:rsidRPr="005F1A57" w14:paraId="6C29573F" w14:textId="77777777" w:rsidTr="003C75B9">
        <w:tc>
          <w:tcPr>
            <w:tcW w:w="2689" w:type="dxa"/>
          </w:tcPr>
          <w:p w14:paraId="1EB8EF48" w14:textId="77777777" w:rsidR="00D578C5" w:rsidRPr="005F1A57" w:rsidRDefault="00D578C5" w:rsidP="003C75B9">
            <w:pPr>
              <w:jc w:val="both"/>
              <w:rPr>
                <w:rFonts w:ascii="Verdana" w:eastAsia="Calibri" w:hAnsi="Verdana" w:cs="Arial"/>
                <w:b/>
                <w:color w:val="000000" w:themeColor="text1"/>
                <w:lang w:val="es-ES_tradnl" w:eastAsia="es-ES_tradnl"/>
              </w:rPr>
            </w:pPr>
            <w:r w:rsidRPr="005F1A57">
              <w:rPr>
                <w:rFonts w:ascii="Verdana" w:eastAsia="Calibri" w:hAnsi="Verdana" w:cs="Arial"/>
                <w:b/>
                <w:color w:val="000000" w:themeColor="text1"/>
                <w:lang w:val="es-ES_tradnl" w:eastAsia="es-ES_tradnl"/>
              </w:rPr>
              <w:t>Radicación:</w:t>
            </w:r>
            <w:r w:rsidRPr="005F1A57">
              <w:rPr>
                <w:rFonts w:ascii="Verdana" w:eastAsia="Calibri" w:hAnsi="Verdana" w:cs="Arial"/>
                <w:color w:val="000000" w:themeColor="text1"/>
                <w:lang w:val="es-ES_tradnl" w:eastAsia="es-ES_tradnl"/>
              </w:rPr>
              <w:t xml:space="preserve">               </w:t>
            </w:r>
          </w:p>
        </w:tc>
        <w:tc>
          <w:tcPr>
            <w:tcW w:w="6100" w:type="dxa"/>
          </w:tcPr>
          <w:p w14:paraId="37C06D2E" w14:textId="77777777" w:rsidR="00D578C5" w:rsidRPr="005F1A57" w:rsidRDefault="00D578C5" w:rsidP="003C75B9">
            <w:pPr>
              <w:jc w:val="both"/>
              <w:rPr>
                <w:rFonts w:ascii="Verdana" w:eastAsia="Calibri" w:hAnsi="Verdana" w:cs="Arial"/>
                <w:color w:val="000000" w:themeColor="text1"/>
                <w:lang w:val="es-ES_tradnl" w:eastAsia="es-ES_tradnl"/>
              </w:rPr>
            </w:pPr>
            <w:r w:rsidRPr="005F1A57">
              <w:rPr>
                <w:rFonts w:ascii="Verdana" w:eastAsia="Calibri" w:hAnsi="Verdana" w:cs="Arial"/>
                <w:color w:val="000000" w:themeColor="text1"/>
                <w:lang w:val="es-ES_tradnl" w:eastAsia="es-ES_tradnl"/>
              </w:rPr>
              <w:t>Respuesta a consulta con radicado No. P20250305002139</w:t>
            </w:r>
          </w:p>
        </w:tc>
      </w:tr>
    </w:tbl>
    <w:p w14:paraId="09050E6A" w14:textId="77777777" w:rsidR="00D578C5" w:rsidRPr="005F1A57" w:rsidRDefault="00D578C5" w:rsidP="00D578C5">
      <w:pPr>
        <w:spacing w:after="0" w:line="240" w:lineRule="auto"/>
        <w:jc w:val="both"/>
        <w:rPr>
          <w:rFonts w:ascii="Verdana" w:eastAsia="Calibri" w:hAnsi="Verdana" w:cs="Arial"/>
          <w:color w:val="000000" w:themeColor="text1"/>
          <w:lang w:val="es-ES_tradnl" w:eastAsia="es-ES_tradnl"/>
        </w:rPr>
      </w:pPr>
    </w:p>
    <w:p w14:paraId="2206BC2C" w14:textId="77777777" w:rsidR="00D578C5" w:rsidRPr="005F1A57" w:rsidRDefault="00D578C5" w:rsidP="00D578C5">
      <w:pPr>
        <w:spacing w:after="0" w:line="240" w:lineRule="auto"/>
        <w:jc w:val="both"/>
        <w:rPr>
          <w:rFonts w:ascii="Verdana" w:eastAsia="Calibri" w:hAnsi="Verdana" w:cs="Arial"/>
          <w:color w:val="000000" w:themeColor="text1"/>
          <w:lang w:val="es-ES_tradnl" w:eastAsia="es-ES_tradnl"/>
        </w:rPr>
      </w:pPr>
    </w:p>
    <w:p w14:paraId="776D9848" w14:textId="77777777" w:rsidR="00D578C5" w:rsidRDefault="00D578C5" w:rsidP="00D578C5">
      <w:pPr>
        <w:spacing w:after="0" w:line="276" w:lineRule="auto"/>
        <w:jc w:val="both"/>
        <w:rPr>
          <w:rFonts w:ascii="Verdana" w:eastAsia="Calibri" w:hAnsi="Verdana" w:cs="Arial"/>
          <w:color w:val="000000" w:themeColor="text1"/>
          <w:lang w:val="es-ES" w:eastAsia="es-ES"/>
        </w:rPr>
      </w:pPr>
      <w:r w:rsidRPr="005F1A57">
        <w:rPr>
          <w:rFonts w:ascii="Verdana" w:eastAsia="Calibri" w:hAnsi="Verdana" w:cs="Arial"/>
          <w:color w:val="000000" w:themeColor="text1"/>
          <w:lang w:val="es-ES" w:eastAsia="es-ES"/>
        </w:rPr>
        <w:t>Estimado señor Guzmán</w:t>
      </w:r>
      <w:r w:rsidRPr="00593A5F">
        <w:rPr>
          <w:rFonts w:ascii="Verdana" w:eastAsia="Calibri" w:hAnsi="Verdana" w:cs="Arial"/>
          <w:color w:val="000000" w:themeColor="text1"/>
          <w:lang w:val="es-ES" w:eastAsia="es-ES"/>
        </w:rPr>
        <w:t xml:space="preserve">: </w:t>
      </w:r>
    </w:p>
    <w:p w14:paraId="4277FA1E" w14:textId="77777777" w:rsidR="00D578C5" w:rsidRDefault="00D578C5" w:rsidP="00D578C5">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0FC32366" w14:textId="77777777" w:rsidR="00D578C5" w:rsidRPr="005F1A57" w:rsidRDefault="00D578C5" w:rsidP="00D578C5">
      <w:pPr>
        <w:spacing w:after="0" w:line="276" w:lineRule="auto"/>
        <w:jc w:val="both"/>
        <w:rPr>
          <w:rFonts w:ascii="Verdana" w:eastAsia="Calibri" w:hAnsi="Verdana" w:cs="Arial"/>
          <w:color w:val="000000" w:themeColor="text1"/>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5F1A57">
        <w:rPr>
          <w:rFonts w:ascii="Verdana" w:eastAsia="Calibri" w:hAnsi="Verdana" w:cs="Arial"/>
          <w:color w:val="000000" w:themeColor="text1"/>
          <w:lang w:val="es-ES" w:eastAsia="es-ES"/>
        </w:rPr>
        <w:t xml:space="preserve">fecha 4 de marzo de 2025, en la cual manifiesta lo siguiente: </w:t>
      </w:r>
    </w:p>
    <w:p w14:paraId="4C31B301" w14:textId="77777777" w:rsidR="00D578C5" w:rsidRPr="00E05441" w:rsidRDefault="00D578C5" w:rsidP="00D578C5">
      <w:pPr>
        <w:pStyle w:val="Prrafodelista"/>
        <w:tabs>
          <w:tab w:val="left" w:pos="142"/>
          <w:tab w:val="left" w:pos="284"/>
        </w:tabs>
        <w:spacing w:line="276" w:lineRule="auto"/>
        <w:ind w:left="0"/>
        <w:jc w:val="both"/>
        <w:rPr>
          <w:rFonts w:ascii="Verdana" w:eastAsia="Century Gothic" w:hAnsi="Verdana" w:cs="Century Gothic"/>
          <w:b/>
          <w:bCs/>
          <w:color w:val="000000" w:themeColor="text1"/>
        </w:rPr>
      </w:pPr>
    </w:p>
    <w:p w14:paraId="29AD1AFC" w14:textId="77777777" w:rsidR="00D578C5" w:rsidRPr="00E05441" w:rsidRDefault="00D578C5" w:rsidP="00D578C5">
      <w:pPr>
        <w:spacing w:after="0" w:line="240" w:lineRule="auto"/>
        <w:ind w:left="709" w:right="709"/>
        <w:jc w:val="both"/>
        <w:rPr>
          <w:rStyle w:val="normaltextrun"/>
          <w:rFonts w:ascii="Verdana" w:hAnsi="Verdana" w:cs="Arial"/>
          <w:color w:val="000000" w:themeColor="text1"/>
          <w:sz w:val="20"/>
          <w:szCs w:val="20"/>
          <w:shd w:val="clear" w:color="auto" w:fill="FFFFFF"/>
          <w:lang w:val="es-ES"/>
        </w:rPr>
      </w:pPr>
      <w:bookmarkStart w:id="0" w:name="_Hlk95313578"/>
      <w:r w:rsidRPr="00E05441">
        <w:rPr>
          <w:rFonts w:ascii="Verdana" w:eastAsia="Century Gothic" w:hAnsi="Verdana" w:cs="Century Gothic"/>
          <w:color w:val="000000" w:themeColor="text1"/>
          <w:sz w:val="20"/>
          <w:szCs w:val="20"/>
          <w:lang w:val="es-ES"/>
        </w:rPr>
        <w:t>“</w:t>
      </w:r>
      <w:r w:rsidRPr="00E05441">
        <w:rPr>
          <w:rStyle w:val="normaltextrun"/>
          <w:rFonts w:ascii="Verdana" w:hAnsi="Verdana" w:cs="Arial"/>
          <w:color w:val="000000" w:themeColor="text1"/>
          <w:sz w:val="20"/>
          <w:szCs w:val="20"/>
          <w:shd w:val="clear" w:color="auto" w:fill="FFFFFF"/>
          <w:lang w:val="es-ES"/>
        </w:rPr>
        <w:t>[…]</w:t>
      </w:r>
    </w:p>
    <w:p w14:paraId="70F1056B" w14:textId="77777777" w:rsidR="00D578C5" w:rsidRPr="00E05441" w:rsidRDefault="00D578C5" w:rsidP="00D578C5">
      <w:pPr>
        <w:spacing w:after="0" w:line="240" w:lineRule="auto"/>
        <w:ind w:left="709" w:right="709"/>
        <w:jc w:val="both"/>
        <w:rPr>
          <w:rStyle w:val="normaltextrun"/>
          <w:rFonts w:ascii="Verdana" w:hAnsi="Verdana" w:cs="Arial"/>
          <w:color w:val="000000" w:themeColor="text1"/>
          <w:sz w:val="20"/>
          <w:szCs w:val="20"/>
          <w:shd w:val="clear" w:color="auto" w:fill="FFFFFF"/>
          <w:lang w:val="es-ES"/>
        </w:rPr>
      </w:pPr>
      <w:r w:rsidRPr="00453D7E">
        <w:rPr>
          <w:rFonts w:ascii="Verdana" w:hAnsi="Verdana" w:cs="Arial"/>
          <w:color w:val="000000" w:themeColor="text1"/>
          <w:sz w:val="20"/>
          <w:szCs w:val="20"/>
          <w:shd w:val="clear" w:color="auto" w:fill="FFFFFF"/>
        </w:rPr>
        <w:t>si en un OBJETO CONTRACTUAL, se pretende modificar una palabra o un punto cardinal, ejemplo el objeto quedó, construir puente en el PR 1, pero por razones imprevisibles no se puede construir el puente en el PR1, pero si no en el PR2,  se puede cambiar el título del objeto ? teniendo claro que el objeto contractual sigue siendo el mismo, la construcción de un puente, no cambia la modalidad ni se adiciona nada al contrato, se debe es construir 30 metros más allá, se puede cambiar esas palabras del objeto o no se puede?</w:t>
      </w:r>
      <w:r w:rsidRPr="00E05441">
        <w:rPr>
          <w:rStyle w:val="normaltextrun"/>
          <w:rFonts w:ascii="Verdana" w:hAnsi="Verdana" w:cs="Arial"/>
          <w:color w:val="000000" w:themeColor="text1"/>
          <w:sz w:val="20"/>
          <w:szCs w:val="20"/>
          <w:shd w:val="clear" w:color="auto" w:fill="FFFFFF"/>
          <w:lang w:val="es-ES"/>
        </w:rPr>
        <w:t xml:space="preserve"> </w:t>
      </w:r>
    </w:p>
    <w:p w14:paraId="6969CBD6" w14:textId="77777777" w:rsidR="00D578C5" w:rsidRPr="00E05441" w:rsidRDefault="00D578C5" w:rsidP="00D578C5">
      <w:pPr>
        <w:spacing w:after="0" w:line="240" w:lineRule="auto"/>
        <w:ind w:left="709" w:right="709"/>
        <w:jc w:val="both"/>
        <w:rPr>
          <w:rFonts w:ascii="Verdana" w:hAnsi="Verdana" w:cs="Arial"/>
          <w:color w:val="000000" w:themeColor="text1"/>
          <w:sz w:val="20"/>
          <w:szCs w:val="20"/>
          <w:shd w:val="clear" w:color="auto" w:fill="FFFFFF"/>
        </w:rPr>
      </w:pPr>
      <w:r w:rsidRPr="00E05441">
        <w:rPr>
          <w:rStyle w:val="normaltextrun"/>
          <w:rFonts w:ascii="Verdana" w:hAnsi="Verdana" w:cs="Arial"/>
          <w:color w:val="000000" w:themeColor="text1"/>
          <w:sz w:val="20"/>
          <w:szCs w:val="20"/>
          <w:shd w:val="clear" w:color="auto" w:fill="FFFFFF"/>
          <w:lang w:val="es-ES"/>
        </w:rPr>
        <w:t>[…]</w:t>
      </w:r>
      <w:r w:rsidRPr="00E05441">
        <w:rPr>
          <w:rFonts w:ascii="Verdana" w:eastAsia="Century Gothic" w:hAnsi="Verdana" w:cs="Century Gothic"/>
          <w:color w:val="000000" w:themeColor="text1"/>
          <w:sz w:val="20"/>
          <w:szCs w:val="20"/>
          <w:lang w:val="es-ES"/>
        </w:rPr>
        <w:t>”</w:t>
      </w:r>
      <w:bookmarkEnd w:id="0"/>
      <w:r w:rsidRPr="00E05441">
        <w:rPr>
          <w:rFonts w:ascii="Verdana" w:eastAsia="Century Gothic" w:hAnsi="Verdana" w:cs="Century Gothic"/>
          <w:color w:val="000000" w:themeColor="text1"/>
          <w:sz w:val="20"/>
          <w:szCs w:val="20"/>
          <w:lang w:val="es-ES"/>
        </w:rPr>
        <w:t xml:space="preserve"> (SIC).</w:t>
      </w:r>
    </w:p>
    <w:p w14:paraId="1ABDB539" w14:textId="77777777" w:rsidR="00D578C5" w:rsidRPr="00593A5F" w:rsidRDefault="00D578C5" w:rsidP="00D578C5">
      <w:pPr>
        <w:pStyle w:val="Prrafodelista"/>
        <w:tabs>
          <w:tab w:val="left" w:pos="142"/>
          <w:tab w:val="left" w:pos="284"/>
        </w:tabs>
        <w:spacing w:line="276" w:lineRule="auto"/>
        <w:ind w:left="0"/>
        <w:jc w:val="both"/>
        <w:rPr>
          <w:rFonts w:ascii="Verdana" w:eastAsia="Century Gothic" w:hAnsi="Verdana" w:cs="Century Gothic"/>
          <w:b/>
          <w:bCs/>
        </w:rPr>
      </w:pPr>
    </w:p>
    <w:p w14:paraId="7ADE156F" w14:textId="77777777" w:rsidR="00D578C5" w:rsidRDefault="00D578C5" w:rsidP="00D578C5">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34E93956" w14:textId="77777777" w:rsidR="00D578C5" w:rsidRDefault="00D578C5" w:rsidP="00D578C5">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 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72497560" w14:textId="77777777" w:rsidR="00D578C5" w:rsidRPr="00593A5F" w:rsidRDefault="00D578C5" w:rsidP="00D578C5">
      <w:pPr>
        <w:spacing w:after="0" w:line="276" w:lineRule="auto"/>
        <w:ind w:firstLine="709"/>
        <w:jc w:val="both"/>
        <w:rPr>
          <w:rFonts w:ascii="Verdana" w:eastAsia="Calibri" w:hAnsi="Verdana" w:cs="Arial"/>
          <w:color w:val="000000"/>
          <w:lang w:val="es-ES" w:eastAsia="es-ES"/>
        </w:rPr>
      </w:pPr>
    </w:p>
    <w:p w14:paraId="0728DB9D" w14:textId="77777777" w:rsidR="00D578C5" w:rsidRPr="00593A5F" w:rsidRDefault="00D578C5" w:rsidP="00D578C5">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457DD3B3" w14:textId="77777777" w:rsidR="00D578C5" w:rsidRPr="00593A5F" w:rsidRDefault="00D578C5" w:rsidP="00D578C5">
      <w:pPr>
        <w:tabs>
          <w:tab w:val="left" w:pos="426"/>
        </w:tabs>
        <w:spacing w:after="0" w:line="276" w:lineRule="auto"/>
        <w:jc w:val="both"/>
        <w:rPr>
          <w:rFonts w:ascii="Verdana" w:eastAsia="Century Gothic" w:hAnsi="Verdana" w:cs="Century Gothic"/>
          <w:lang w:val="es-ES"/>
        </w:rPr>
      </w:pPr>
    </w:p>
    <w:p w14:paraId="072F66AD" w14:textId="77777777" w:rsidR="00D578C5" w:rsidRPr="00593A5F" w:rsidRDefault="00D578C5" w:rsidP="00D578C5">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 xml:space="preserve">su solicitud, esta Agencia resolverá el siguiente problema jurídico: </w:t>
      </w:r>
      <w:r w:rsidRPr="00531FEE">
        <w:rPr>
          <w:rFonts w:ascii="Verdana" w:eastAsia="Century Gothic" w:hAnsi="Verdana" w:cs="Century Gothic"/>
          <w:color w:val="000000" w:themeColor="text1"/>
        </w:rPr>
        <w:t xml:space="preserve">¿Es posible </w:t>
      </w:r>
      <w:r>
        <w:rPr>
          <w:rFonts w:ascii="Verdana" w:eastAsia="Century Gothic" w:hAnsi="Verdana" w:cs="Century Gothic"/>
          <w:color w:val="000000" w:themeColor="text1"/>
        </w:rPr>
        <w:t>realizar la aclaración del objeto del contrato por un error de digitación</w:t>
      </w:r>
      <w:r w:rsidRPr="00531FEE">
        <w:rPr>
          <w:rFonts w:ascii="Verdana" w:eastAsia="Century Gothic" w:hAnsi="Verdana" w:cs="Century Gothic"/>
          <w:color w:val="000000" w:themeColor="text1"/>
        </w:rPr>
        <w:t xml:space="preserve">? </w:t>
      </w:r>
    </w:p>
    <w:p w14:paraId="4082BCDC" w14:textId="77777777" w:rsidR="00D578C5" w:rsidRPr="00593A5F" w:rsidRDefault="00D578C5" w:rsidP="00D578C5">
      <w:pPr>
        <w:spacing w:after="0" w:line="276" w:lineRule="auto"/>
        <w:jc w:val="both"/>
        <w:rPr>
          <w:rFonts w:ascii="Verdana" w:eastAsia="Calibri" w:hAnsi="Verdana" w:cs="Arial"/>
          <w:color w:val="7030A0"/>
          <w:lang w:val="es-ES"/>
        </w:rPr>
      </w:pPr>
    </w:p>
    <w:p w14:paraId="72941EBB" w14:textId="77777777" w:rsidR="00D578C5" w:rsidRPr="00593A5F" w:rsidRDefault="00D578C5" w:rsidP="00D578C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578C5" w:rsidRPr="00593A5F" w14:paraId="245E6C85" w14:textId="77777777" w:rsidTr="01F564F3">
        <w:tc>
          <w:tcPr>
            <w:tcW w:w="8828" w:type="dxa"/>
            <w:shd w:val="clear" w:color="auto" w:fill="auto"/>
          </w:tcPr>
          <w:p w14:paraId="376BF1D5" w14:textId="77777777" w:rsidR="00D578C5" w:rsidRDefault="00D578C5" w:rsidP="003C75B9">
            <w:pPr>
              <w:spacing w:after="120" w:line="276" w:lineRule="auto"/>
              <w:jc w:val="both"/>
              <w:rPr>
                <w:rFonts w:ascii="Verdana" w:eastAsia="Calibri" w:hAnsi="Verdana" w:cs="Arial"/>
                <w:lang w:val="es-ES"/>
              </w:rPr>
            </w:pPr>
            <w:r>
              <w:rPr>
                <w:rFonts w:ascii="Verdana" w:eastAsia="Calibri" w:hAnsi="Verdana" w:cs="Arial"/>
                <w:lang w:val="es-ES"/>
              </w:rPr>
              <w:t xml:space="preserve">Frente al problema jurídico planteado, </w:t>
            </w:r>
            <w:r w:rsidRPr="00672426">
              <w:rPr>
                <w:rFonts w:ascii="Verdana" w:eastAsia="Calibri" w:hAnsi="Verdana" w:cs="Arial"/>
                <w:lang w:val="es-ES"/>
              </w:rPr>
              <w:t xml:space="preserve">ante </w:t>
            </w:r>
            <w:r>
              <w:rPr>
                <w:rFonts w:ascii="Verdana" w:eastAsia="Calibri" w:hAnsi="Verdana" w:cs="Arial"/>
                <w:lang w:val="es-ES"/>
              </w:rPr>
              <w:t xml:space="preserve">los </w:t>
            </w:r>
            <w:r w:rsidRPr="0093479F">
              <w:rPr>
                <w:rFonts w:ascii="Verdana" w:eastAsia="Calibri" w:hAnsi="Verdana" w:cs="Arial"/>
                <w:lang w:val="es-ES"/>
              </w:rPr>
              <w:t xml:space="preserve">errores </w:t>
            </w:r>
            <w:r>
              <w:rPr>
                <w:rFonts w:ascii="Verdana" w:eastAsia="Calibri" w:hAnsi="Verdana" w:cs="Arial"/>
                <w:lang w:val="es-ES"/>
              </w:rPr>
              <w:t>que hayan podido quedar</w:t>
            </w:r>
            <w:r w:rsidRPr="00672426">
              <w:rPr>
                <w:rFonts w:ascii="Verdana" w:eastAsia="Calibri" w:hAnsi="Verdana" w:cs="Arial"/>
                <w:lang w:val="es-ES"/>
              </w:rPr>
              <w:t xml:space="preserve"> </w:t>
            </w:r>
            <w:r w:rsidRPr="0093479F">
              <w:rPr>
                <w:rFonts w:ascii="Verdana" w:eastAsia="Calibri" w:hAnsi="Verdana" w:cs="Arial"/>
                <w:lang w:val="es-ES"/>
              </w:rPr>
              <w:t>en un contrato</w:t>
            </w:r>
            <w:r>
              <w:rPr>
                <w:rFonts w:ascii="Verdana" w:eastAsia="Calibri" w:hAnsi="Verdana" w:cs="Arial"/>
                <w:lang w:val="es-ES"/>
              </w:rPr>
              <w:t xml:space="preserve"> estatal</w:t>
            </w:r>
            <w:r w:rsidRPr="0093479F">
              <w:rPr>
                <w:rFonts w:ascii="Verdana" w:eastAsia="Calibri" w:hAnsi="Verdana" w:cs="Arial"/>
                <w:lang w:val="es-ES"/>
              </w:rPr>
              <w:t xml:space="preserve">, la entidad debe analizar si se encuentra frente a circunstancias que </w:t>
            </w:r>
            <w:r>
              <w:rPr>
                <w:rFonts w:ascii="Verdana" w:eastAsia="Calibri" w:hAnsi="Verdana" w:cs="Arial"/>
                <w:lang w:val="es-ES"/>
              </w:rPr>
              <w:t xml:space="preserve">exigen </w:t>
            </w:r>
            <w:r w:rsidRPr="0093479F">
              <w:rPr>
                <w:rFonts w:ascii="Verdana" w:eastAsia="Calibri" w:hAnsi="Verdana" w:cs="Arial"/>
                <w:lang w:val="es-ES"/>
              </w:rPr>
              <w:t xml:space="preserve">una modificación al contrato o circunstancias que representen un error formal del mismo. </w:t>
            </w:r>
          </w:p>
          <w:p w14:paraId="432942A2" w14:textId="77777777" w:rsidR="00D578C5" w:rsidRPr="0093479F" w:rsidRDefault="00D578C5" w:rsidP="003C75B9">
            <w:pPr>
              <w:spacing w:after="120" w:line="276" w:lineRule="auto"/>
              <w:ind w:firstLine="709"/>
              <w:jc w:val="both"/>
              <w:rPr>
                <w:rFonts w:ascii="Verdana" w:hAnsi="Verdana" w:cs="Arial"/>
                <w:shd w:val="clear" w:color="auto" w:fill="FFFFFF"/>
              </w:rPr>
            </w:pPr>
            <w:r>
              <w:rPr>
                <w:rFonts w:ascii="Verdana" w:eastAsia="Calibri" w:hAnsi="Verdana" w:cs="Arial"/>
                <w:lang w:val="es-ES"/>
              </w:rPr>
              <w:t>De un lado, e</w:t>
            </w:r>
            <w:r w:rsidRPr="00672426">
              <w:rPr>
                <w:rFonts w:ascii="Verdana" w:eastAsia="Calibri" w:hAnsi="Verdana" w:cs="Arial"/>
                <w:lang w:val="es-ES"/>
              </w:rPr>
              <w:t>n</w:t>
            </w:r>
            <w:r w:rsidRPr="0093479F">
              <w:rPr>
                <w:rFonts w:ascii="Verdana" w:eastAsia="Calibri" w:hAnsi="Verdana" w:cs="Arial"/>
                <w:lang w:val="es-ES"/>
              </w:rPr>
              <w:t xml:space="preserve"> cuanto a la primera opción, </w:t>
            </w:r>
            <w:r w:rsidRPr="0093479F">
              <w:rPr>
                <w:rFonts w:ascii="Verdana" w:eastAsia="Arial" w:hAnsi="Verdana" w:cs="Arial"/>
                <w:lang w:eastAsia="es-ES"/>
              </w:rPr>
              <w:t>los contratos estatales pueden modificarse en cumplimiento de los requisitos y límites legales</w:t>
            </w:r>
            <w:r>
              <w:rPr>
                <w:rFonts w:ascii="Verdana" w:eastAsia="Arial" w:hAnsi="Verdana" w:cs="Arial"/>
                <w:lang w:eastAsia="es-ES"/>
              </w:rPr>
              <w:t xml:space="preserve"> y jurisprudenciales</w:t>
            </w:r>
            <w:r w:rsidRPr="0093479F">
              <w:rPr>
                <w:rFonts w:ascii="Verdana" w:eastAsia="Arial" w:hAnsi="Verdana" w:cs="Arial"/>
                <w:lang w:eastAsia="es-ES"/>
              </w:rPr>
              <w:t>, atendiendo a los principios que rigen la actuación administrativa y la contratación estatal</w:t>
            </w:r>
            <w:r>
              <w:rPr>
                <w:rFonts w:ascii="Verdana" w:eastAsia="Arial" w:hAnsi="Verdana" w:cs="Arial"/>
                <w:lang w:eastAsia="es-ES"/>
              </w:rPr>
              <w:t>. D</w:t>
            </w:r>
            <w:r w:rsidRPr="0093479F">
              <w:rPr>
                <w:rFonts w:ascii="Verdana" w:eastAsia="Arial" w:hAnsi="Verdana" w:cs="Arial"/>
                <w:lang w:eastAsia="es-ES"/>
              </w:rPr>
              <w:t xml:space="preserve">e </w:t>
            </w:r>
            <w:r w:rsidRPr="00672426">
              <w:rPr>
                <w:rFonts w:ascii="Verdana" w:eastAsia="Arial" w:hAnsi="Verdana" w:cs="Arial"/>
                <w:lang w:eastAsia="es-ES"/>
              </w:rPr>
              <w:t>otr</w:t>
            </w:r>
            <w:r>
              <w:rPr>
                <w:rFonts w:ascii="Verdana" w:eastAsia="Arial" w:hAnsi="Verdana" w:cs="Arial"/>
                <w:lang w:eastAsia="es-ES"/>
              </w:rPr>
              <w:t>o</w:t>
            </w:r>
            <w:r w:rsidRPr="00672426">
              <w:rPr>
                <w:rFonts w:ascii="Verdana" w:eastAsia="Arial" w:hAnsi="Verdana" w:cs="Arial"/>
                <w:lang w:eastAsia="es-ES"/>
              </w:rPr>
              <w:t xml:space="preserve"> </w:t>
            </w:r>
            <w:r>
              <w:rPr>
                <w:rFonts w:ascii="Verdana" w:eastAsia="Arial" w:hAnsi="Verdana" w:cs="Arial"/>
                <w:lang w:eastAsia="es-ES"/>
              </w:rPr>
              <w:t>lado</w:t>
            </w:r>
            <w:r w:rsidRPr="0093479F">
              <w:rPr>
                <w:rFonts w:ascii="Verdana" w:eastAsia="Arial" w:hAnsi="Verdana" w:cs="Arial"/>
                <w:lang w:eastAsia="es-ES"/>
              </w:rPr>
              <w:t>, e</w:t>
            </w:r>
            <w:r w:rsidRPr="0093479F">
              <w:rPr>
                <w:rFonts w:ascii="Verdana" w:hAnsi="Verdana" w:cs="Arial"/>
                <w:lang w:val="es-ES"/>
              </w:rPr>
              <w:t xml:space="preserve">l </w:t>
            </w:r>
            <w:r w:rsidRPr="0093479F">
              <w:rPr>
                <w:rFonts w:ascii="Verdana" w:hAnsi="Verdana" w:cs="Arial"/>
                <w:lang w:val="es-MX"/>
              </w:rPr>
              <w:t>CPACA, en el artículo 45, permite la corrección de errores simplemente formales de los actos administrativos relacionados con errores aritméticos, de digitación, de transcripción o de omisión de palabras.</w:t>
            </w:r>
          </w:p>
          <w:p w14:paraId="20EE1AEB" w14:textId="2B9F3526" w:rsidR="00D578C5" w:rsidRPr="0093479F" w:rsidRDefault="00D578C5" w:rsidP="003C75B9">
            <w:pPr>
              <w:tabs>
                <w:tab w:val="left" w:pos="709"/>
              </w:tabs>
              <w:spacing w:before="120" w:after="120" w:line="276" w:lineRule="auto"/>
              <w:ind w:firstLine="709"/>
              <w:jc w:val="both"/>
              <w:rPr>
                <w:rFonts w:ascii="Verdana" w:eastAsia="Calibri" w:hAnsi="Verdana" w:cs="Arial"/>
                <w:color w:val="000000"/>
              </w:rPr>
            </w:pPr>
            <w:r w:rsidRPr="0093479F">
              <w:rPr>
                <w:rFonts w:ascii="Verdana" w:hAnsi="Verdana" w:cs="Arial"/>
                <w:shd w:val="clear" w:color="auto" w:fill="FFFFFF"/>
              </w:rPr>
              <w:lastRenderedPageBreak/>
              <w:t>En virtud de lo anterior, la</w:t>
            </w:r>
            <w:r>
              <w:rPr>
                <w:rFonts w:ascii="Verdana" w:hAnsi="Verdana" w:cs="Arial"/>
                <w:shd w:val="clear" w:color="auto" w:fill="FFFFFF"/>
              </w:rPr>
              <w:t xml:space="preserve">s partes </w:t>
            </w:r>
            <w:r w:rsidRPr="00672426">
              <w:rPr>
                <w:rFonts w:ascii="Verdana" w:hAnsi="Verdana" w:cs="Arial"/>
                <w:shd w:val="clear" w:color="auto" w:fill="FFFFFF"/>
              </w:rPr>
              <w:t>debe</w:t>
            </w:r>
            <w:r>
              <w:rPr>
                <w:rFonts w:ascii="Verdana" w:hAnsi="Verdana" w:cs="Arial"/>
                <w:shd w:val="clear" w:color="auto" w:fill="FFFFFF"/>
              </w:rPr>
              <w:t>n</w:t>
            </w:r>
            <w:r w:rsidRPr="00672426">
              <w:rPr>
                <w:rFonts w:ascii="Verdana" w:hAnsi="Verdana" w:cs="Arial"/>
                <w:shd w:val="clear" w:color="auto" w:fill="FFFFFF"/>
              </w:rPr>
              <w:t xml:space="preserve"> determinar </w:t>
            </w:r>
            <w:r w:rsidRPr="0093479F">
              <w:rPr>
                <w:rFonts w:ascii="Verdana" w:hAnsi="Verdana" w:cs="Arial"/>
                <w:shd w:val="clear" w:color="auto" w:fill="FFFFFF"/>
              </w:rPr>
              <w:t xml:space="preserve">si </w:t>
            </w:r>
            <w:r>
              <w:rPr>
                <w:rFonts w:ascii="Verdana" w:hAnsi="Verdana" w:cs="Arial"/>
                <w:shd w:val="clear" w:color="auto" w:fill="FFFFFF"/>
              </w:rPr>
              <w:t xml:space="preserve">se </w:t>
            </w:r>
            <w:r w:rsidRPr="0093479F">
              <w:rPr>
                <w:rFonts w:ascii="Verdana" w:hAnsi="Verdana" w:cs="Arial"/>
                <w:shd w:val="clear" w:color="auto" w:fill="FFFFFF"/>
              </w:rPr>
              <w:t xml:space="preserve">está frente a un error formal que puede ser corregido a través de la facultad que establece el artículo 45 del CPACA o si </w:t>
            </w:r>
            <w:r>
              <w:rPr>
                <w:rFonts w:ascii="Verdana" w:hAnsi="Verdana" w:cs="Arial"/>
                <w:shd w:val="clear" w:color="auto" w:fill="FFFFFF"/>
              </w:rPr>
              <w:t xml:space="preserve">se </w:t>
            </w:r>
            <w:r w:rsidRPr="0093479F">
              <w:rPr>
                <w:rFonts w:ascii="Verdana" w:hAnsi="Verdana" w:cs="Arial"/>
                <w:shd w:val="clear" w:color="auto" w:fill="FFFFFF"/>
              </w:rPr>
              <w:t xml:space="preserve">está frente a una circunstancia que </w:t>
            </w:r>
            <w:r>
              <w:rPr>
                <w:rFonts w:ascii="Verdana" w:hAnsi="Verdana" w:cs="Arial"/>
                <w:shd w:val="clear" w:color="auto" w:fill="FFFFFF"/>
              </w:rPr>
              <w:t>amerita</w:t>
            </w:r>
            <w:r w:rsidRPr="00672426">
              <w:rPr>
                <w:rFonts w:ascii="Verdana" w:hAnsi="Verdana" w:cs="Arial"/>
                <w:shd w:val="clear" w:color="auto" w:fill="FFFFFF"/>
              </w:rPr>
              <w:t xml:space="preserve"> </w:t>
            </w:r>
            <w:r w:rsidRPr="0093479F">
              <w:rPr>
                <w:rFonts w:ascii="Verdana" w:hAnsi="Verdana" w:cs="Arial"/>
                <w:shd w:val="clear" w:color="auto" w:fill="FFFFFF"/>
              </w:rPr>
              <w:t>una modificación contractual</w:t>
            </w:r>
            <w:r>
              <w:rPr>
                <w:rFonts w:ascii="Verdana" w:hAnsi="Verdana" w:cs="Arial"/>
                <w:shd w:val="clear" w:color="auto" w:fill="FFFFFF"/>
              </w:rPr>
              <w:t>. E</w:t>
            </w:r>
            <w:r w:rsidRPr="00672426">
              <w:rPr>
                <w:rFonts w:ascii="Verdana" w:hAnsi="Verdana" w:cs="Arial"/>
                <w:shd w:val="clear" w:color="auto" w:fill="FFFFFF"/>
              </w:rPr>
              <w:t>n</w:t>
            </w:r>
            <w:r w:rsidRPr="0093479F">
              <w:rPr>
                <w:rFonts w:ascii="Verdana" w:hAnsi="Verdana" w:cs="Arial"/>
                <w:shd w:val="clear" w:color="auto" w:fill="FFFFFF"/>
              </w:rPr>
              <w:t xml:space="preserve"> caso de ser esta última, </w:t>
            </w:r>
            <w:r w:rsidRPr="002F4E88">
              <w:rPr>
                <w:rFonts w:ascii="Verdana" w:hAnsi="Verdana" w:cs="Arial"/>
                <w:u w:val="single"/>
                <w:shd w:val="clear" w:color="auto" w:fill="FFFFFF"/>
              </w:rPr>
              <w:t>no podría llevarse a cabo una modificación que varíe el objeto contractual</w:t>
            </w:r>
            <w:r w:rsidRPr="0093479F">
              <w:rPr>
                <w:rFonts w:ascii="Verdana" w:hAnsi="Verdana" w:cs="Arial"/>
                <w:shd w:val="clear" w:color="auto" w:fill="FFFFFF"/>
              </w:rPr>
              <w:t xml:space="preserve"> por la prohibición jurisprudencial</w:t>
            </w:r>
            <w:r>
              <w:rPr>
                <w:rFonts w:ascii="Verdana" w:hAnsi="Verdana" w:cs="Arial"/>
                <w:shd w:val="clear" w:color="auto" w:fill="FFFFFF"/>
              </w:rPr>
              <w:t xml:space="preserve"> que se analizara en el presente concepto</w:t>
            </w:r>
            <w:r w:rsidRPr="0093479F">
              <w:rPr>
                <w:rFonts w:ascii="Verdana" w:hAnsi="Verdana" w:cs="Arial"/>
                <w:shd w:val="clear" w:color="auto" w:fill="FFFFFF"/>
              </w:rPr>
              <w:t xml:space="preserve">, </w:t>
            </w:r>
            <w:r w:rsidRPr="0093479F">
              <w:rPr>
                <w:rFonts w:ascii="Verdana" w:eastAsia="Calibri" w:hAnsi="Verdana" w:cs="Arial"/>
                <w:color w:val="000000"/>
              </w:rPr>
              <w:t>pues ello supondría la alteración de su esencia y lo convertiría en otro tipo de negocio jurídico</w:t>
            </w:r>
            <w:r w:rsidR="0400DFB4" w:rsidRPr="0093479F">
              <w:rPr>
                <w:rFonts w:ascii="Verdana" w:eastAsia="Calibri" w:hAnsi="Verdana" w:cs="Arial"/>
                <w:color w:val="000000"/>
              </w:rPr>
              <w:t>, evento en el cual no se recomienda ni se determina como viable proceder con una modificación al</w:t>
            </w:r>
            <w:r w:rsidRPr="0093479F">
              <w:rPr>
                <w:rFonts w:ascii="Verdana" w:eastAsia="Calibri" w:hAnsi="Verdana" w:cs="Arial"/>
                <w:color w:val="000000"/>
              </w:rPr>
              <w:t xml:space="preserve"> contrato.</w:t>
            </w:r>
          </w:p>
          <w:p w14:paraId="698B6995" w14:textId="77777777" w:rsidR="00D578C5" w:rsidRPr="00A048EA" w:rsidRDefault="00D578C5" w:rsidP="003C75B9">
            <w:pPr>
              <w:spacing w:after="120" w:line="276" w:lineRule="auto"/>
              <w:ind w:firstLine="708"/>
              <w:jc w:val="both"/>
              <w:rPr>
                <w:rFonts w:ascii="Verdana" w:eastAsia="Calibri" w:hAnsi="Verdana" w:cs="Arial"/>
                <w:color w:val="000000"/>
              </w:rPr>
            </w:pPr>
            <w:r w:rsidRPr="00CD76BD">
              <w:rPr>
                <w:rFonts w:ascii="Verdana" w:eastAsia="Batang" w:hAnsi="Verdana" w:cs="Arial"/>
              </w:rPr>
              <w:t xml:space="preserve">Sin perjuicio de lo anterior, es importante resaltar que, en los procesos de contratación o en la ejecución de los contratos, la entidad, proponentes o contratista podrán acudir, en lo pertinente, a las reglas de interpretación </w:t>
            </w:r>
            <w:r w:rsidRPr="00CD76BD">
              <w:rPr>
                <w:rFonts w:ascii="Verdana" w:eastAsia="Batang" w:hAnsi="Verdana" w:cs="Arial"/>
                <w:lang w:val="es-MX"/>
              </w:rPr>
              <w:t>objetivas y subjetivas conforme a los artículos 1618 a 1624 del Código Civil.</w:t>
            </w:r>
            <w:r>
              <w:rPr>
                <w:rFonts w:ascii="Verdana" w:eastAsia="Batang" w:hAnsi="Verdana" w:cs="Arial"/>
                <w:lang w:val="es-MX"/>
              </w:rPr>
              <w:t xml:space="preserve"> </w:t>
            </w:r>
            <w:r w:rsidRPr="00CD76BD">
              <w:rPr>
                <w:rFonts w:ascii="Verdana" w:eastAsia="Batang" w:hAnsi="Verdana" w:cs="Arial"/>
              </w:rPr>
              <w:t xml:space="preserve">La aplicación de estos criterios siempre deberá tener en cuenta las circunstancias concretas de cada caso en particular, de manera que </w:t>
            </w:r>
            <w:r>
              <w:rPr>
                <w:rFonts w:ascii="Verdana" w:eastAsia="Batang" w:hAnsi="Verdana" w:cs="Arial"/>
              </w:rPr>
              <w:t>se</w:t>
            </w:r>
            <w:r w:rsidRPr="00CD76BD">
              <w:rPr>
                <w:rFonts w:ascii="Verdana" w:eastAsia="Batang" w:hAnsi="Verdana" w:cs="Arial"/>
              </w:rPr>
              <w:t xml:space="preserve"> pueda optar por la interpretación que más se adecúe a la finalidad que persigue con el contrato. En ese contexto, </w:t>
            </w:r>
            <w:r>
              <w:rPr>
                <w:rFonts w:ascii="Verdana" w:eastAsia="Batang" w:hAnsi="Verdana" w:cs="Arial"/>
              </w:rPr>
              <w:t xml:space="preserve">se </w:t>
            </w:r>
            <w:r w:rsidRPr="00CD76BD">
              <w:rPr>
                <w:rFonts w:ascii="Verdana" w:eastAsia="Batang" w:hAnsi="Verdana" w:cs="Arial"/>
              </w:rPr>
              <w:t xml:space="preserve">debe incluso revisar la información contenida en los documentos precontractuales para determinar la intención que se tenía. </w:t>
            </w:r>
          </w:p>
        </w:tc>
      </w:tr>
    </w:tbl>
    <w:p w14:paraId="5575F9AA" w14:textId="77777777" w:rsidR="00D578C5" w:rsidRPr="00593A5F" w:rsidRDefault="00D578C5" w:rsidP="00D578C5">
      <w:pPr>
        <w:tabs>
          <w:tab w:val="left" w:pos="142"/>
          <w:tab w:val="left" w:pos="284"/>
        </w:tabs>
        <w:spacing w:after="0" w:line="276" w:lineRule="auto"/>
        <w:jc w:val="both"/>
        <w:rPr>
          <w:rFonts w:ascii="Verdana" w:eastAsia="Century Gothic" w:hAnsi="Verdana" w:cs="Century Gothic"/>
          <w:b/>
          <w:bCs/>
          <w:lang w:val="es-ES"/>
        </w:rPr>
      </w:pPr>
    </w:p>
    <w:p w14:paraId="29F7D64F" w14:textId="77777777" w:rsidR="00D578C5" w:rsidRPr="00593A5F" w:rsidRDefault="00D578C5" w:rsidP="00D578C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23E56F97" w14:textId="77777777" w:rsidR="00D578C5" w:rsidRPr="00593A5F" w:rsidRDefault="00D578C5" w:rsidP="00D578C5">
      <w:pPr>
        <w:spacing w:after="0" w:line="276" w:lineRule="auto"/>
        <w:jc w:val="both"/>
        <w:rPr>
          <w:rFonts w:ascii="Verdana" w:eastAsia="Calibri" w:hAnsi="Verdana" w:cs="Arial"/>
          <w:color w:val="7030A0"/>
          <w:lang w:val="es-ES"/>
        </w:rPr>
      </w:pPr>
    </w:p>
    <w:p w14:paraId="33F6B3FF" w14:textId="77777777" w:rsidR="00D578C5" w:rsidRPr="00B96799" w:rsidRDefault="00D578C5" w:rsidP="00D578C5">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1A6403B3" w14:textId="77777777" w:rsidR="00D578C5" w:rsidRDefault="00D578C5" w:rsidP="00D578C5">
      <w:pPr>
        <w:spacing w:after="0" w:line="276" w:lineRule="auto"/>
        <w:jc w:val="both"/>
        <w:rPr>
          <w:rFonts w:ascii="Verdana" w:eastAsia="Calibri" w:hAnsi="Verdana" w:cs="Arial"/>
          <w:color w:val="7030A0"/>
          <w:lang w:val="es-ES"/>
        </w:rPr>
      </w:pPr>
    </w:p>
    <w:p w14:paraId="09EE9723" w14:textId="77777777" w:rsidR="00D578C5" w:rsidRPr="00751E10" w:rsidRDefault="00D578C5" w:rsidP="00D578C5">
      <w:pPr>
        <w:spacing w:after="120" w:line="276" w:lineRule="auto"/>
        <w:ind w:firstLine="708"/>
        <w:jc w:val="both"/>
        <w:rPr>
          <w:rFonts w:ascii="Verdana" w:eastAsia="Calibri" w:hAnsi="Verdana" w:cs="Arial"/>
          <w:lang w:val="es-MX"/>
        </w:rPr>
      </w:pPr>
      <w:r w:rsidRPr="00A27F96">
        <w:rPr>
          <w:rFonts w:ascii="Verdana" w:eastAsia="Calibri" w:hAnsi="Verdana" w:cs="Arial"/>
        </w:rPr>
        <w:t>El Estatuto General de Contratación de la Administración</w:t>
      </w:r>
      <w:r w:rsidRPr="00F06077">
        <w:rPr>
          <w:rFonts w:ascii="Verdana" w:eastAsia="Calibri" w:hAnsi="Verdana" w:cs="Arial"/>
        </w:rPr>
        <w:t xml:space="preserve"> Pública</w:t>
      </w:r>
      <w:r>
        <w:rPr>
          <w:rFonts w:ascii="Verdana" w:eastAsia="Calibri" w:hAnsi="Verdana" w:cs="Arial"/>
        </w:rPr>
        <w:t xml:space="preserve"> – en adelante EGCAP –</w:t>
      </w:r>
      <w:r w:rsidRPr="00672426">
        <w:rPr>
          <w:rFonts w:ascii="Verdana" w:eastAsia="Calibri" w:hAnsi="Verdana" w:cs="Arial"/>
        </w:rPr>
        <w:t>,</w:t>
      </w:r>
      <w:r w:rsidRPr="00F06077">
        <w:rPr>
          <w:rFonts w:ascii="Verdana" w:eastAsia="Calibri" w:hAnsi="Verdana" w:cs="Arial"/>
        </w:rPr>
        <w:t xml:space="preserve"> contenido en las Leyes 80 de 1993 y 1150 de 2007, así como en las normas que las modifican y reglamentan, no consagra una regulación expresa sobre la posibilidad de modificar los contratos celebrados por las </w:t>
      </w:r>
      <w:r w:rsidRPr="00672426">
        <w:rPr>
          <w:rFonts w:ascii="Verdana" w:eastAsia="Calibri" w:hAnsi="Verdana" w:cs="Arial"/>
        </w:rPr>
        <w:t>entidades estatales.</w:t>
      </w:r>
      <w:r>
        <w:rPr>
          <w:rFonts w:ascii="Verdana" w:eastAsia="Calibri" w:hAnsi="Verdana" w:cs="Arial"/>
        </w:rPr>
        <w:t xml:space="preserve"> Lo anterior, teniendo en cuenta que los contratos</w:t>
      </w:r>
      <w:r w:rsidRPr="00672426">
        <w:rPr>
          <w:rFonts w:ascii="Verdana" w:eastAsia="Calibri" w:hAnsi="Verdana" w:cs="Arial"/>
        </w:rPr>
        <w:t>,</w:t>
      </w:r>
      <w:r>
        <w:rPr>
          <w:rFonts w:ascii="Verdana" w:eastAsia="Calibri" w:hAnsi="Verdana" w:cs="Arial"/>
        </w:rPr>
        <w:t xml:space="preserve"> en principio</w:t>
      </w:r>
      <w:r w:rsidRPr="00672426">
        <w:rPr>
          <w:rFonts w:ascii="Verdana" w:eastAsia="Calibri" w:hAnsi="Verdana" w:cs="Arial"/>
        </w:rPr>
        <w:t>,</w:t>
      </w:r>
      <w:r>
        <w:rPr>
          <w:rFonts w:ascii="Verdana" w:eastAsia="Calibri" w:hAnsi="Verdana" w:cs="Arial"/>
        </w:rPr>
        <w:t xml:space="preserve"> deben ejecutarse en las condiciones inicialmente pactadas que fueron convenidas luego de surtir todos los procedimientos previstos para la selección del contratista. </w:t>
      </w:r>
    </w:p>
    <w:p w14:paraId="2128DA88" w14:textId="77777777" w:rsidR="00D578C5" w:rsidRDefault="00D578C5" w:rsidP="00D578C5">
      <w:pPr>
        <w:tabs>
          <w:tab w:val="left" w:pos="709"/>
        </w:tabs>
        <w:spacing w:after="0" w:line="276" w:lineRule="auto"/>
        <w:jc w:val="both"/>
        <w:rPr>
          <w:rFonts w:ascii="Verdana" w:eastAsia="Arial" w:hAnsi="Verdana" w:cs="Arial"/>
          <w:lang w:val="es-MX" w:eastAsia="es-ES" w:bidi="es-ES"/>
        </w:rPr>
      </w:pPr>
      <w:r>
        <w:rPr>
          <w:rFonts w:ascii="Verdana" w:eastAsia="Calibri" w:hAnsi="Verdana" w:cs="Arial"/>
          <w:lang w:val="es-ES"/>
        </w:rPr>
        <w:tab/>
        <w:t>Sin embargo, las modificaciones contractuales son permitidas con diferentes límites legales</w:t>
      </w:r>
      <w:r>
        <w:rPr>
          <w:rStyle w:val="Refdenotaalpie"/>
          <w:rFonts w:ascii="Verdana" w:eastAsia="Calibri" w:hAnsi="Verdana" w:cs="Arial"/>
          <w:lang w:val="es-ES"/>
        </w:rPr>
        <w:footnoteReference w:id="1"/>
      </w:r>
      <w:r>
        <w:rPr>
          <w:rFonts w:ascii="Verdana" w:eastAsia="Calibri" w:hAnsi="Verdana" w:cs="Arial"/>
          <w:lang w:val="es-ES"/>
        </w:rPr>
        <w:t xml:space="preserve"> y jurisprudenciales. En el marco de estos últimos, en </w:t>
      </w:r>
      <w:r w:rsidRPr="00DA7C75">
        <w:rPr>
          <w:rFonts w:ascii="Verdana" w:eastAsia="Arial" w:hAnsi="Verdana" w:cs="Arial"/>
          <w:lang w:val="es-ES" w:eastAsia="es-ES" w:bidi="es-ES"/>
        </w:rPr>
        <w:t xml:space="preserve">el </w:t>
      </w:r>
      <w:bookmarkStart w:id="2" w:name="_Hlk193296637"/>
      <w:r w:rsidRPr="00DA7C75">
        <w:rPr>
          <w:rFonts w:ascii="Verdana" w:eastAsia="Arial" w:hAnsi="Verdana" w:cs="Arial"/>
          <w:lang w:val="es-ES" w:eastAsia="es-ES" w:bidi="es-ES"/>
        </w:rPr>
        <w:t xml:space="preserve">concepto 2263 del 17 de marzo del 2016, la Sala de Consulta y Servicio Civil </w:t>
      </w:r>
      <w:r w:rsidRPr="00DA7C75">
        <w:rPr>
          <w:rFonts w:ascii="Verdana" w:eastAsia="Arial" w:hAnsi="Verdana" w:cs="Arial"/>
          <w:lang w:val="es-ES" w:eastAsia="es-ES" w:bidi="es-ES"/>
        </w:rPr>
        <w:lastRenderedPageBreak/>
        <w:t xml:space="preserve">del Consejo de Estado </w:t>
      </w:r>
      <w:bookmarkEnd w:id="2"/>
      <w:r w:rsidRPr="00DA7C75">
        <w:rPr>
          <w:rFonts w:ascii="Verdana" w:eastAsia="Arial" w:hAnsi="Verdana" w:cs="Arial"/>
          <w:lang w:val="es-ES" w:eastAsia="es-ES" w:bidi="es-ES"/>
        </w:rPr>
        <w:t xml:space="preserve">precisó que </w:t>
      </w:r>
      <w:r w:rsidRPr="00DA7C75">
        <w:rPr>
          <w:rFonts w:ascii="Verdana" w:eastAsia="Arial" w:hAnsi="Verdana" w:cs="Arial"/>
          <w:lang w:val="es-MX" w:eastAsia="es-ES" w:bidi="es-ES"/>
        </w:rPr>
        <w:t>la regla general es la no modificación del contrato, y la vía excepcional su modificación, sometida a límites legales; límites que, en los términos definidos en el referido concepto, corresponden a los siguientes:</w:t>
      </w:r>
    </w:p>
    <w:p w14:paraId="37544B74" w14:textId="77777777" w:rsidR="00D578C5" w:rsidRPr="00DA7C75" w:rsidRDefault="00D578C5" w:rsidP="00D578C5">
      <w:pPr>
        <w:widowControl w:val="0"/>
        <w:autoSpaceDE w:val="0"/>
        <w:autoSpaceDN w:val="0"/>
        <w:spacing w:after="0" w:line="276" w:lineRule="auto"/>
        <w:ind w:right="-2" w:firstLine="709"/>
        <w:jc w:val="both"/>
        <w:rPr>
          <w:rFonts w:ascii="Verdana" w:eastAsia="Arial" w:hAnsi="Verdana" w:cs="Arial"/>
          <w:lang w:val="es-MX" w:eastAsia="es-ES" w:bidi="es-ES"/>
        </w:rPr>
      </w:pPr>
    </w:p>
    <w:p w14:paraId="37DF75E3" w14:textId="77777777" w:rsidR="00D578C5" w:rsidRPr="00751E10" w:rsidRDefault="00D578C5" w:rsidP="00D578C5">
      <w:pPr>
        <w:tabs>
          <w:tab w:val="left" w:pos="284"/>
        </w:tabs>
        <w:spacing w:after="0" w:line="240" w:lineRule="auto"/>
        <w:ind w:left="709" w:right="709"/>
        <w:jc w:val="both"/>
        <w:rPr>
          <w:rFonts w:ascii="Verdana" w:hAnsi="Verdana" w:cs="Arial"/>
          <w:sz w:val="20"/>
          <w:szCs w:val="20"/>
        </w:rPr>
      </w:pPr>
      <w:r w:rsidRPr="00751E10">
        <w:rPr>
          <w:rFonts w:ascii="Verdana" w:hAnsi="Verdana" w:cs="Arial"/>
          <w:sz w:val="20"/>
          <w:szCs w:val="20"/>
        </w:rPr>
        <w:t xml:space="preserve">“1. La necesidad de preservar los principios de igualdad, transparencia y libertad de concurrencia, durante la fase de ejecución del contrato. </w:t>
      </w:r>
    </w:p>
    <w:p w14:paraId="12BA49A7" w14:textId="77777777" w:rsidR="00D578C5" w:rsidRPr="00751E10" w:rsidRDefault="00D578C5" w:rsidP="00D578C5">
      <w:pPr>
        <w:tabs>
          <w:tab w:val="left" w:pos="284"/>
        </w:tabs>
        <w:spacing w:after="0" w:line="240" w:lineRule="auto"/>
        <w:ind w:left="709" w:right="709"/>
        <w:jc w:val="both"/>
        <w:rPr>
          <w:rFonts w:ascii="Verdana" w:hAnsi="Verdana" w:cs="Arial"/>
          <w:sz w:val="20"/>
          <w:szCs w:val="20"/>
        </w:rPr>
      </w:pPr>
    </w:p>
    <w:p w14:paraId="0FA84A63" w14:textId="77777777" w:rsidR="00D578C5" w:rsidRPr="00751E10" w:rsidRDefault="00D578C5" w:rsidP="00D578C5">
      <w:pPr>
        <w:tabs>
          <w:tab w:val="left" w:pos="284"/>
        </w:tabs>
        <w:spacing w:after="0" w:line="240" w:lineRule="auto"/>
        <w:ind w:left="709" w:right="709"/>
        <w:jc w:val="both"/>
        <w:rPr>
          <w:rFonts w:ascii="Verdana" w:hAnsi="Verdana" w:cs="Arial"/>
          <w:sz w:val="20"/>
          <w:szCs w:val="20"/>
        </w:rPr>
      </w:pPr>
      <w:r w:rsidRPr="00751E10">
        <w:rPr>
          <w:rFonts w:ascii="Verdana" w:hAnsi="Verdana" w:cs="Arial"/>
          <w:sz w:val="20"/>
          <w:szCs w:val="20"/>
        </w:rPr>
        <w:t>Este límite encuentra sustento en el hecho de que, para celebrar contratos estatales las entidades públicas eligen, dentro de un “régimen de concurrencia y de igualdad, las mejores condiciones de costo, calidad e idoneidad de la prestación requerida”, lo que supone que la selección objetiva de la oferta más favorable, se dirige a salvaguardar el interés público y, por lo tanto, celebrado el contrato en esas condiciones,  su eventual modificación debe asegurar que lo adjudicado, y posteriormente alterado, consulte la mejor opción para el servicio público.</w:t>
      </w:r>
    </w:p>
    <w:p w14:paraId="463A6CB7" w14:textId="77777777" w:rsidR="00D578C5" w:rsidRPr="00751E10" w:rsidRDefault="00D578C5" w:rsidP="00D578C5">
      <w:pPr>
        <w:tabs>
          <w:tab w:val="left" w:pos="284"/>
        </w:tabs>
        <w:spacing w:after="0" w:line="240" w:lineRule="auto"/>
        <w:ind w:left="709" w:right="709"/>
        <w:jc w:val="both"/>
        <w:rPr>
          <w:rFonts w:ascii="Verdana" w:hAnsi="Verdana" w:cs="Arial"/>
          <w:sz w:val="20"/>
          <w:szCs w:val="20"/>
        </w:rPr>
      </w:pPr>
    </w:p>
    <w:p w14:paraId="4A697D86" w14:textId="77777777" w:rsidR="00D578C5" w:rsidRPr="00751E10" w:rsidRDefault="00D578C5" w:rsidP="00D578C5">
      <w:pPr>
        <w:tabs>
          <w:tab w:val="left" w:pos="284"/>
        </w:tabs>
        <w:spacing w:after="0" w:line="240" w:lineRule="auto"/>
        <w:ind w:left="709" w:right="709"/>
        <w:jc w:val="both"/>
        <w:rPr>
          <w:rFonts w:ascii="Verdana" w:hAnsi="Verdana" w:cs="Arial"/>
          <w:sz w:val="20"/>
          <w:szCs w:val="20"/>
        </w:rPr>
      </w:pPr>
      <w:r w:rsidRPr="00751E10">
        <w:rPr>
          <w:rFonts w:ascii="Verdana" w:hAnsi="Verdana" w:cs="Arial"/>
          <w:sz w:val="20"/>
          <w:szCs w:val="20"/>
        </w:rPr>
        <w:t>Así, según lo expuesto en el concepto en cuestión “la aplicación de los principios de transparencia, de libertad de concurrencia y de igualdad, consagrados en el Estatuto Contractual, y las reglas sustanciales del pliego de condiciones, que permitieron elegir la mejor oferta, previo cumplimiento de los requisitos habilitantes y de ponderación, deben ser de estricta observancia por la Administración y por el contratista, y sus efectos trascienden y se aplican durante la ejecución del contrato y en su liquidación, como garantía de inalterabilidad de lo pactado y de acatamiento a la legalidad de las reglas aplicadas en la actuación previa.</w:t>
      </w:r>
    </w:p>
    <w:p w14:paraId="4C015DBD" w14:textId="77777777" w:rsidR="00D578C5" w:rsidRPr="00751E10" w:rsidRDefault="00D578C5" w:rsidP="00D578C5">
      <w:pPr>
        <w:tabs>
          <w:tab w:val="left" w:pos="284"/>
        </w:tabs>
        <w:spacing w:after="0" w:line="240" w:lineRule="auto"/>
        <w:ind w:left="709" w:right="709"/>
        <w:jc w:val="both"/>
        <w:rPr>
          <w:rFonts w:ascii="Verdana" w:hAnsi="Verdana" w:cs="Arial"/>
          <w:sz w:val="20"/>
          <w:szCs w:val="20"/>
        </w:rPr>
      </w:pPr>
    </w:p>
    <w:p w14:paraId="6B75F040" w14:textId="77777777" w:rsidR="00D578C5" w:rsidRPr="00751E10" w:rsidRDefault="00D578C5" w:rsidP="00D578C5">
      <w:pPr>
        <w:tabs>
          <w:tab w:val="left" w:pos="284"/>
        </w:tabs>
        <w:spacing w:after="0" w:line="240" w:lineRule="auto"/>
        <w:ind w:left="709" w:right="709"/>
        <w:jc w:val="both"/>
        <w:rPr>
          <w:rFonts w:ascii="Verdana" w:hAnsi="Verdana" w:cs="Arial"/>
          <w:sz w:val="20"/>
          <w:szCs w:val="20"/>
        </w:rPr>
      </w:pPr>
      <w:r w:rsidRPr="00751E10">
        <w:rPr>
          <w:rFonts w:ascii="Verdana" w:hAnsi="Verdana" w:cs="Arial"/>
          <w:sz w:val="20"/>
          <w:szCs w:val="20"/>
        </w:rPr>
        <w:t>2.Límites de orden temporal, entre los que están comprendidos: i) la vigencia del contrato, pues no podría modificarse un contrato cuyo plazo ha culminado y ii) la prohibición de consagrar prórrogas automáticas, sucesivas o indefinidas, en tanto resultan contrarias al derecho esencial de la libertad de competencia.</w:t>
      </w:r>
    </w:p>
    <w:p w14:paraId="268ECA3A" w14:textId="77777777" w:rsidR="00D578C5" w:rsidRPr="00751E10" w:rsidRDefault="00D578C5" w:rsidP="00D578C5">
      <w:pPr>
        <w:tabs>
          <w:tab w:val="left" w:pos="284"/>
        </w:tabs>
        <w:spacing w:after="0" w:line="240" w:lineRule="auto"/>
        <w:ind w:left="709" w:right="709"/>
        <w:jc w:val="both"/>
        <w:rPr>
          <w:rFonts w:ascii="Verdana" w:hAnsi="Verdana" w:cs="Arial"/>
          <w:sz w:val="20"/>
          <w:szCs w:val="20"/>
        </w:rPr>
      </w:pPr>
    </w:p>
    <w:p w14:paraId="4EF0DA07" w14:textId="77777777" w:rsidR="00D578C5" w:rsidRPr="00751E10" w:rsidRDefault="00D578C5" w:rsidP="00D578C5">
      <w:pPr>
        <w:tabs>
          <w:tab w:val="left" w:pos="284"/>
        </w:tabs>
        <w:spacing w:after="0" w:line="240" w:lineRule="auto"/>
        <w:ind w:left="709" w:right="709"/>
        <w:jc w:val="both"/>
        <w:rPr>
          <w:rFonts w:ascii="Verdana" w:hAnsi="Verdana" w:cs="Arial"/>
          <w:sz w:val="20"/>
          <w:szCs w:val="20"/>
        </w:rPr>
      </w:pPr>
      <w:r w:rsidRPr="00751E10">
        <w:rPr>
          <w:rFonts w:ascii="Verdana" w:hAnsi="Verdana" w:cs="Arial"/>
          <w:sz w:val="20"/>
          <w:szCs w:val="20"/>
        </w:rPr>
        <w:t>3. Límites de orden formal, que comprenden: i) La solemnidad del contrato de modificación, derivada del carácter solemne del contrato estatal, que exige que la modificación de los contratos conste por escrito</w:t>
      </w:r>
      <w:r w:rsidRPr="00751E10">
        <w:rPr>
          <w:rFonts w:ascii="Verdana" w:hAnsi="Verdana" w:cs="Arial"/>
          <w:sz w:val="20"/>
          <w:szCs w:val="20"/>
          <w:vertAlign w:val="superscript"/>
        </w:rPr>
        <w:footnoteReference w:id="2"/>
      </w:r>
      <w:r w:rsidRPr="00751E10">
        <w:rPr>
          <w:rFonts w:ascii="Verdana" w:hAnsi="Verdana" w:cs="Arial"/>
          <w:sz w:val="20"/>
          <w:szCs w:val="20"/>
        </w:rPr>
        <w:t>; ii) la motivación y justificación de la modificación, la cual constituye un elemento esencial que permite determinar la juridicidad y la necesidad de una modificación determinada; así como su racionalidad y la proporcionalidad de su contenido.</w:t>
      </w:r>
    </w:p>
    <w:p w14:paraId="08E918E9" w14:textId="77777777" w:rsidR="00D578C5" w:rsidRPr="00751E10" w:rsidRDefault="00D578C5" w:rsidP="00D578C5">
      <w:pPr>
        <w:tabs>
          <w:tab w:val="left" w:pos="284"/>
        </w:tabs>
        <w:spacing w:after="0" w:line="240" w:lineRule="auto"/>
        <w:ind w:left="709" w:right="709"/>
        <w:jc w:val="both"/>
        <w:rPr>
          <w:rFonts w:ascii="Verdana" w:hAnsi="Verdana" w:cs="Arial"/>
          <w:sz w:val="20"/>
          <w:szCs w:val="20"/>
        </w:rPr>
      </w:pPr>
    </w:p>
    <w:p w14:paraId="716D585E" w14:textId="77777777" w:rsidR="00D578C5" w:rsidRPr="00751E10" w:rsidRDefault="00D578C5" w:rsidP="00D578C5">
      <w:pPr>
        <w:tabs>
          <w:tab w:val="left" w:pos="284"/>
        </w:tabs>
        <w:spacing w:after="0" w:line="240" w:lineRule="auto"/>
        <w:ind w:left="709" w:right="709"/>
        <w:jc w:val="both"/>
        <w:rPr>
          <w:rFonts w:ascii="Verdana" w:hAnsi="Verdana" w:cs="Arial"/>
          <w:sz w:val="20"/>
          <w:szCs w:val="20"/>
        </w:rPr>
      </w:pPr>
      <w:r w:rsidRPr="00751E10">
        <w:rPr>
          <w:rFonts w:ascii="Verdana" w:hAnsi="Verdana" w:cs="Arial"/>
          <w:sz w:val="20"/>
          <w:szCs w:val="20"/>
        </w:rPr>
        <w:t>4. Límites de orden material, que corresponden a: i) la prohibición de modificar las condiciones sustanciales del contrato, que se presentará en los casos en que se incluyan elementos que, “habiendo figurado en el procedimiento inicial, hubiera permitido la participación de otros interesados aparte de los inicialmente admitidos, o seleccionar una oferta distinta de la inicialmente seleccionada”.</w:t>
      </w:r>
    </w:p>
    <w:p w14:paraId="0AE3F10F" w14:textId="77777777" w:rsidR="00D578C5" w:rsidRPr="00751E10" w:rsidRDefault="00D578C5" w:rsidP="00D578C5">
      <w:pPr>
        <w:tabs>
          <w:tab w:val="left" w:pos="284"/>
        </w:tabs>
        <w:spacing w:after="0" w:line="276" w:lineRule="auto"/>
        <w:ind w:left="1049" w:right="709"/>
        <w:jc w:val="both"/>
        <w:rPr>
          <w:rFonts w:ascii="Verdana" w:hAnsi="Verdana" w:cs="Arial"/>
          <w:lang w:val="es-ES_tradnl"/>
        </w:rPr>
      </w:pPr>
    </w:p>
    <w:p w14:paraId="65A376EE" w14:textId="77777777" w:rsidR="00D578C5" w:rsidRDefault="00D578C5" w:rsidP="00D578C5">
      <w:pPr>
        <w:widowControl w:val="0"/>
        <w:autoSpaceDE w:val="0"/>
        <w:autoSpaceDN w:val="0"/>
        <w:spacing w:after="0" w:line="276" w:lineRule="auto"/>
        <w:ind w:right="104" w:firstLine="708"/>
        <w:jc w:val="both"/>
        <w:rPr>
          <w:rFonts w:ascii="Verdana" w:eastAsia="Arial" w:hAnsi="Verdana" w:cs="Arial"/>
          <w:lang w:val="es-MX" w:eastAsia="es-ES" w:bidi="es-ES"/>
        </w:rPr>
      </w:pPr>
      <w:r w:rsidRPr="00A1034F">
        <w:rPr>
          <w:rFonts w:ascii="Verdana" w:eastAsia="Arial" w:hAnsi="Verdana" w:cs="Arial"/>
          <w:lang w:val="es-MX" w:eastAsia="es-ES" w:bidi="es-ES"/>
        </w:rPr>
        <w:t>Sobre el alcance de dicha prohibición, la Sala de Consulta y Servicio Civil expresó lo siguiente</w:t>
      </w:r>
      <w:r w:rsidRPr="00A1034F">
        <w:rPr>
          <w:rFonts w:ascii="Verdana" w:eastAsia="Arial" w:hAnsi="Verdana" w:cs="Arial"/>
          <w:vertAlign w:val="superscript"/>
          <w:lang w:val="es-MX" w:eastAsia="es-ES" w:bidi="es-ES"/>
        </w:rPr>
        <w:footnoteReference w:id="3"/>
      </w:r>
      <w:r w:rsidRPr="00A1034F">
        <w:rPr>
          <w:rFonts w:ascii="Verdana" w:eastAsia="Arial" w:hAnsi="Verdana" w:cs="Arial"/>
          <w:lang w:val="es-MX" w:eastAsia="es-ES" w:bidi="es-ES"/>
        </w:rPr>
        <w:t>:</w:t>
      </w:r>
    </w:p>
    <w:p w14:paraId="4B16884A" w14:textId="77777777" w:rsidR="00D578C5" w:rsidRDefault="00D578C5" w:rsidP="00D578C5">
      <w:pPr>
        <w:widowControl w:val="0"/>
        <w:autoSpaceDE w:val="0"/>
        <w:autoSpaceDN w:val="0"/>
        <w:spacing w:after="0" w:line="276" w:lineRule="auto"/>
        <w:ind w:right="104" w:firstLine="708"/>
        <w:jc w:val="both"/>
        <w:rPr>
          <w:rFonts w:ascii="Verdana" w:eastAsia="Arial" w:hAnsi="Verdana" w:cs="Arial"/>
          <w:lang w:val="es-MX" w:eastAsia="es-ES" w:bidi="es-ES"/>
        </w:rPr>
      </w:pPr>
    </w:p>
    <w:p w14:paraId="3A775414" w14:textId="77777777" w:rsidR="00D578C5" w:rsidRDefault="00D578C5" w:rsidP="00D578C5">
      <w:pPr>
        <w:widowControl w:val="0"/>
        <w:autoSpaceDE w:val="0"/>
        <w:autoSpaceDN w:val="0"/>
        <w:spacing w:after="0" w:line="240" w:lineRule="auto"/>
        <w:ind w:left="709" w:right="709"/>
        <w:jc w:val="both"/>
        <w:rPr>
          <w:rFonts w:ascii="Verdana" w:eastAsia="Arial" w:hAnsi="Verdana" w:cs="Arial"/>
          <w:sz w:val="20"/>
          <w:szCs w:val="20"/>
          <w:lang w:val="es-MX" w:eastAsia="es-ES" w:bidi="es-ES"/>
        </w:rPr>
      </w:pPr>
      <w:r w:rsidRPr="00751E10">
        <w:rPr>
          <w:rFonts w:ascii="Verdana" w:eastAsia="Arial" w:hAnsi="Verdana" w:cs="Arial"/>
          <w:sz w:val="20"/>
          <w:szCs w:val="20"/>
          <w:lang w:val="es-MX" w:eastAsia="es-ES" w:bidi="es-ES"/>
        </w:rPr>
        <w:t>“Así, frente a circunstancias excepcionales la Administración podría usar su poder de modificación unilateral o realizar las modificaciones de mutuo acuerdo, con el cumplimiento de los requisitos de ley. Se trataría de la excepción a la regla general de intangibilidad del contrato. La doctrina y algunos pronunciamientos de la Sección Tercera del Consejo de Estado aportan los elementos necesarios que permiten orientar a la Administración sobre esta vía excepcional y sus requisitos:</w:t>
      </w:r>
    </w:p>
    <w:p w14:paraId="0EE14AE7" w14:textId="77777777" w:rsidR="00D578C5" w:rsidRPr="00751E10" w:rsidRDefault="00D578C5" w:rsidP="00D578C5">
      <w:pPr>
        <w:widowControl w:val="0"/>
        <w:autoSpaceDE w:val="0"/>
        <w:autoSpaceDN w:val="0"/>
        <w:spacing w:after="0" w:line="240" w:lineRule="auto"/>
        <w:ind w:left="709" w:right="709"/>
        <w:jc w:val="both"/>
        <w:rPr>
          <w:rFonts w:ascii="Verdana" w:eastAsia="Arial" w:hAnsi="Verdana" w:cs="Arial"/>
          <w:bCs/>
          <w:iCs/>
          <w:sz w:val="20"/>
          <w:szCs w:val="20"/>
          <w:lang w:val="es-MX" w:eastAsia="es-ES" w:bidi="es-ES"/>
        </w:rPr>
      </w:pPr>
    </w:p>
    <w:p w14:paraId="740325E7" w14:textId="77777777" w:rsidR="00D578C5" w:rsidRDefault="00D578C5" w:rsidP="00D578C5">
      <w:pPr>
        <w:widowControl w:val="0"/>
        <w:autoSpaceDE w:val="0"/>
        <w:autoSpaceDN w:val="0"/>
        <w:spacing w:after="0" w:line="240" w:lineRule="auto"/>
        <w:ind w:left="709" w:right="709"/>
        <w:jc w:val="both"/>
        <w:rPr>
          <w:rFonts w:ascii="Verdana" w:eastAsia="Arial" w:hAnsi="Verdana" w:cs="Arial"/>
          <w:sz w:val="20"/>
          <w:szCs w:val="20"/>
          <w:lang w:val="es-MX" w:eastAsia="es-ES" w:bidi="es-ES"/>
        </w:rPr>
      </w:pPr>
      <w:r w:rsidRPr="00751E10">
        <w:rPr>
          <w:rFonts w:ascii="Verdana" w:eastAsia="Arial" w:hAnsi="Verdana" w:cs="Arial"/>
          <w:sz w:val="20"/>
          <w:szCs w:val="20"/>
          <w:lang w:val="es-MX" w:eastAsia="es-ES" w:bidi="es-ES"/>
        </w:rPr>
        <w:t>- No podría aceptarse un poder ilimitado o absoluto de modificación, aun frente a circunstancias excepcionales. Por ello la modificación no podrá afectar el núcleo esencial del objeto, o la naturaleza global del contrato. Con independencia de las razones y circunstancias imprevisibles que puedan presentarse, no es posible que el contrato mute o se transforme en un contrato sustancialmente distinto. Si se sustituyen las obras, los suministros o los servicios pactados por otros diferentes, o se modifica el tipo de contratación, o el núcleo esencial del objeto, se presentaría una novación del negocio jurídico y su objeto.</w:t>
      </w:r>
    </w:p>
    <w:p w14:paraId="37D212A5" w14:textId="77777777" w:rsidR="00D578C5" w:rsidRPr="00751E10" w:rsidRDefault="00D578C5" w:rsidP="00D578C5">
      <w:pPr>
        <w:widowControl w:val="0"/>
        <w:autoSpaceDE w:val="0"/>
        <w:autoSpaceDN w:val="0"/>
        <w:spacing w:after="0" w:line="240" w:lineRule="auto"/>
        <w:ind w:left="709" w:right="709"/>
        <w:jc w:val="both"/>
        <w:rPr>
          <w:rFonts w:ascii="Verdana" w:eastAsia="Arial" w:hAnsi="Verdana" w:cs="Arial"/>
          <w:bCs/>
          <w:iCs/>
          <w:sz w:val="20"/>
          <w:szCs w:val="20"/>
          <w:lang w:val="es-MX" w:eastAsia="es-ES" w:bidi="es-ES"/>
        </w:rPr>
      </w:pPr>
    </w:p>
    <w:p w14:paraId="11220402" w14:textId="77777777" w:rsidR="00D578C5" w:rsidRDefault="00D578C5" w:rsidP="00D578C5">
      <w:pPr>
        <w:widowControl w:val="0"/>
        <w:autoSpaceDE w:val="0"/>
        <w:autoSpaceDN w:val="0"/>
        <w:spacing w:after="0" w:line="240" w:lineRule="auto"/>
        <w:ind w:left="709" w:right="709"/>
        <w:jc w:val="both"/>
        <w:rPr>
          <w:rFonts w:ascii="Verdana" w:eastAsia="Arial" w:hAnsi="Verdana" w:cs="Arial"/>
          <w:sz w:val="20"/>
          <w:szCs w:val="20"/>
          <w:lang w:val="es-MX" w:eastAsia="es-ES" w:bidi="es-ES"/>
        </w:rPr>
      </w:pPr>
      <w:r w:rsidRPr="00751E10">
        <w:rPr>
          <w:rFonts w:ascii="Verdana" w:eastAsia="Arial" w:hAnsi="Verdana" w:cs="Arial"/>
          <w:sz w:val="20"/>
          <w:szCs w:val="20"/>
          <w:lang w:val="es-MX" w:eastAsia="es-ES" w:bidi="es-ES"/>
        </w:rPr>
        <w:t>[…]</w:t>
      </w:r>
    </w:p>
    <w:p w14:paraId="61007FD1" w14:textId="77777777" w:rsidR="00D578C5" w:rsidRPr="00751E10" w:rsidRDefault="00D578C5" w:rsidP="00D578C5">
      <w:pPr>
        <w:widowControl w:val="0"/>
        <w:autoSpaceDE w:val="0"/>
        <w:autoSpaceDN w:val="0"/>
        <w:spacing w:after="0" w:line="240" w:lineRule="auto"/>
        <w:ind w:left="709" w:right="709"/>
        <w:jc w:val="both"/>
        <w:rPr>
          <w:rFonts w:ascii="Verdana" w:eastAsia="Arial" w:hAnsi="Verdana" w:cs="Arial"/>
          <w:bCs/>
          <w:iCs/>
          <w:sz w:val="20"/>
          <w:szCs w:val="20"/>
          <w:lang w:val="es-MX" w:eastAsia="es-ES" w:bidi="es-ES"/>
        </w:rPr>
      </w:pPr>
    </w:p>
    <w:p w14:paraId="6B344C84" w14:textId="77777777" w:rsidR="00D578C5" w:rsidRDefault="00D578C5" w:rsidP="00D578C5">
      <w:pPr>
        <w:widowControl w:val="0"/>
        <w:autoSpaceDE w:val="0"/>
        <w:autoSpaceDN w:val="0"/>
        <w:spacing w:after="0" w:line="240" w:lineRule="auto"/>
        <w:ind w:left="709" w:right="709"/>
        <w:jc w:val="both"/>
        <w:rPr>
          <w:rFonts w:ascii="Verdana" w:eastAsia="Arial" w:hAnsi="Verdana" w:cs="Arial"/>
          <w:sz w:val="20"/>
          <w:szCs w:val="20"/>
          <w:lang w:val="es-MX" w:eastAsia="es-ES" w:bidi="es-ES"/>
        </w:rPr>
      </w:pPr>
      <w:r w:rsidRPr="00751E10">
        <w:rPr>
          <w:rFonts w:ascii="Verdana" w:eastAsia="Arial" w:hAnsi="Verdana" w:cs="Arial"/>
          <w:sz w:val="20"/>
          <w:szCs w:val="20"/>
          <w:lang w:val="es-MX" w:eastAsia="es-ES" w:bidi="es-ES"/>
        </w:rPr>
        <w:t xml:space="preserve">Las causas que justificarían la modificación del contrato deben obedecer al acaecimiento de situaciones o circunstancias imposibles de prever, con una diligencia debida, que hagan imperiosa o necesaria la modificación de algunas estipulaciones del contrato, como única manera de conjurarlas. Debe tratarse de la existencia de circunstancias surgidas de un riesgo imprevisible, no necesariamente de una situación no prevista, que pueda razonablemente considerarse en un futuro mediato o que debieron ser previstas en la etapa de planeación del contrato. Ello supone la existencia de circunstancias posteriores, externas a las partes y no agravadas por su acción u omisión, puestas de manifiesto o imposibles de advertir en la etapa precontractual, que, además, muestren la imposibilidad de cumplir lo pactado inicialmente, o su falta de idoneidad. Estas circunstancias pueden obedecer a razones de tipo geológico, medioambiental o de otra </w:t>
      </w:r>
      <w:r w:rsidRPr="00751E10">
        <w:rPr>
          <w:rFonts w:ascii="Verdana" w:eastAsia="Arial" w:hAnsi="Verdana" w:cs="Arial"/>
          <w:sz w:val="20"/>
          <w:szCs w:val="20"/>
          <w:lang w:val="es-MX" w:eastAsia="es-ES" w:bidi="es-ES"/>
        </w:rPr>
        <w:lastRenderedPageBreak/>
        <w:t>índole, que no pudieron ser razonablemente previstas. […]</w:t>
      </w:r>
    </w:p>
    <w:p w14:paraId="50684AC1" w14:textId="77777777" w:rsidR="00D578C5" w:rsidRPr="00751E10" w:rsidRDefault="00D578C5" w:rsidP="00D578C5">
      <w:pPr>
        <w:widowControl w:val="0"/>
        <w:autoSpaceDE w:val="0"/>
        <w:autoSpaceDN w:val="0"/>
        <w:spacing w:after="0" w:line="240" w:lineRule="auto"/>
        <w:ind w:left="709" w:right="709"/>
        <w:jc w:val="both"/>
        <w:rPr>
          <w:rFonts w:ascii="Verdana" w:eastAsia="Arial" w:hAnsi="Verdana" w:cs="Arial"/>
          <w:bCs/>
          <w:iCs/>
          <w:sz w:val="20"/>
          <w:szCs w:val="20"/>
          <w:lang w:val="es-MX" w:eastAsia="es-ES" w:bidi="es-ES"/>
        </w:rPr>
      </w:pPr>
    </w:p>
    <w:p w14:paraId="4C08B00B" w14:textId="77777777" w:rsidR="00D578C5" w:rsidRPr="00751E10" w:rsidRDefault="00D578C5" w:rsidP="00D578C5">
      <w:pPr>
        <w:widowControl w:val="0"/>
        <w:autoSpaceDE w:val="0"/>
        <w:autoSpaceDN w:val="0"/>
        <w:spacing w:after="0" w:line="240" w:lineRule="auto"/>
        <w:ind w:left="709" w:right="709"/>
        <w:jc w:val="both"/>
        <w:rPr>
          <w:rFonts w:ascii="Verdana" w:eastAsia="Arial" w:hAnsi="Verdana" w:cs="Arial"/>
          <w:sz w:val="20"/>
          <w:szCs w:val="20"/>
          <w:lang w:val="es-MX" w:eastAsia="es-ES" w:bidi="es-ES"/>
        </w:rPr>
      </w:pPr>
      <w:r w:rsidRPr="00751E10">
        <w:rPr>
          <w:rFonts w:ascii="Verdana" w:eastAsia="Arial" w:hAnsi="Verdana" w:cs="Arial"/>
          <w:sz w:val="20"/>
          <w:szCs w:val="20"/>
          <w:lang w:val="es-MX" w:eastAsia="es-ES" w:bidi="es-ES"/>
        </w:rPr>
        <w:t>-La existencia de una necesidad de servicio público que justifique la modificación, hasta el punto de conjurar la nueva necesidad. La acreditación de estas circunstancias estará a cargo de la entidad estatal, justificada en los estudios previos y en la debida motivación del contrato modificatorio.</w:t>
      </w:r>
    </w:p>
    <w:p w14:paraId="04567F59" w14:textId="77777777" w:rsidR="00D578C5" w:rsidRDefault="00D578C5" w:rsidP="00D578C5">
      <w:pPr>
        <w:widowControl w:val="0"/>
        <w:autoSpaceDE w:val="0"/>
        <w:autoSpaceDN w:val="0"/>
        <w:spacing w:after="0" w:line="240" w:lineRule="auto"/>
        <w:ind w:left="709" w:right="709"/>
        <w:jc w:val="both"/>
        <w:rPr>
          <w:rFonts w:ascii="Verdana" w:eastAsia="Arial" w:hAnsi="Verdana" w:cs="Arial"/>
          <w:bCs/>
          <w:iCs/>
          <w:sz w:val="20"/>
          <w:szCs w:val="20"/>
          <w:lang w:val="es-MX" w:eastAsia="es-ES" w:bidi="es-ES"/>
        </w:rPr>
      </w:pPr>
    </w:p>
    <w:p w14:paraId="05603BA6" w14:textId="77777777" w:rsidR="00D578C5" w:rsidRPr="00751E10" w:rsidRDefault="00D578C5" w:rsidP="00D578C5">
      <w:pPr>
        <w:widowControl w:val="0"/>
        <w:autoSpaceDE w:val="0"/>
        <w:autoSpaceDN w:val="0"/>
        <w:spacing w:after="0" w:line="240" w:lineRule="auto"/>
        <w:ind w:left="709" w:right="709"/>
        <w:jc w:val="both"/>
        <w:rPr>
          <w:rFonts w:ascii="Verdana" w:eastAsia="Arial" w:hAnsi="Verdana" w:cs="Arial"/>
          <w:sz w:val="20"/>
          <w:szCs w:val="20"/>
          <w:lang w:val="es-MX" w:eastAsia="es-ES" w:bidi="es-ES"/>
        </w:rPr>
      </w:pPr>
      <w:r w:rsidRPr="00751E10">
        <w:rPr>
          <w:rFonts w:ascii="Verdana" w:eastAsia="Arial" w:hAnsi="Verdana" w:cs="Arial"/>
          <w:sz w:val="20"/>
          <w:szCs w:val="20"/>
          <w:lang w:val="es-MX" w:eastAsia="es-ES" w:bidi="es-ES"/>
        </w:rPr>
        <w:t>-El cumplimiento del límite cuantitativo consagrado en la ley para los contratos adicionales. […]</w:t>
      </w:r>
    </w:p>
    <w:p w14:paraId="57DCF943" w14:textId="77777777" w:rsidR="00D578C5" w:rsidRDefault="00D578C5" w:rsidP="00D578C5">
      <w:pPr>
        <w:widowControl w:val="0"/>
        <w:autoSpaceDE w:val="0"/>
        <w:autoSpaceDN w:val="0"/>
        <w:spacing w:after="0" w:line="240" w:lineRule="auto"/>
        <w:ind w:left="709" w:right="709"/>
        <w:jc w:val="both"/>
        <w:rPr>
          <w:rFonts w:ascii="Verdana" w:eastAsia="Arial" w:hAnsi="Verdana" w:cs="Arial"/>
          <w:bCs/>
          <w:iCs/>
          <w:sz w:val="20"/>
          <w:szCs w:val="20"/>
          <w:lang w:val="es-MX" w:eastAsia="es-ES" w:bidi="es-ES"/>
        </w:rPr>
      </w:pPr>
    </w:p>
    <w:p w14:paraId="535374C0" w14:textId="77777777" w:rsidR="00D578C5" w:rsidRPr="00751E10" w:rsidRDefault="00D578C5" w:rsidP="00D578C5">
      <w:pPr>
        <w:widowControl w:val="0"/>
        <w:autoSpaceDE w:val="0"/>
        <w:autoSpaceDN w:val="0"/>
        <w:spacing w:after="0" w:line="240" w:lineRule="auto"/>
        <w:ind w:left="709" w:right="709"/>
        <w:jc w:val="both"/>
        <w:rPr>
          <w:rFonts w:ascii="Verdana" w:eastAsia="Arial" w:hAnsi="Verdana" w:cs="Arial"/>
          <w:sz w:val="20"/>
          <w:szCs w:val="20"/>
          <w:lang w:val="es-ES_tradnl" w:eastAsia="es-ES" w:bidi="es-ES"/>
        </w:rPr>
      </w:pPr>
      <w:r w:rsidRPr="00751E10">
        <w:rPr>
          <w:rFonts w:ascii="Verdana" w:eastAsia="Arial" w:hAnsi="Verdana" w:cs="Arial"/>
          <w:sz w:val="20"/>
          <w:szCs w:val="20"/>
          <w:lang w:val="es-MX" w:eastAsia="es-ES" w:bidi="es-ES"/>
        </w:rPr>
        <w:t>-Debe tratarse de prestaciones necesarias e inseparables técnica o económicamente del contrato inicial, que no permitan su uso o aprovechamiento independiente. La modificación de las condiciones de la prestación o del contrato debe presuponer que no pueda ser materia de un nuevo proceso de selección, o de su contratación con un tercero, en razón a que, por su naturaleza, resulte inseparable técnica o económicamente de la prestación pactada en el contrato inicial</w:t>
      </w:r>
      <w:r w:rsidRPr="00751E10">
        <w:rPr>
          <w:rFonts w:ascii="Verdana" w:eastAsia="Arial" w:hAnsi="Verdana" w:cs="Arial"/>
          <w:sz w:val="20"/>
          <w:szCs w:val="20"/>
          <w:lang w:val="es-ES_tradnl" w:eastAsia="es-ES" w:bidi="es-ES"/>
        </w:rPr>
        <w:t>.”</w:t>
      </w:r>
    </w:p>
    <w:p w14:paraId="43B2DBCA" w14:textId="77777777" w:rsidR="00D578C5" w:rsidRDefault="00D578C5" w:rsidP="00D578C5">
      <w:pPr>
        <w:spacing w:after="0" w:line="276" w:lineRule="auto"/>
        <w:jc w:val="both"/>
        <w:rPr>
          <w:rFonts w:ascii="Verdana" w:eastAsia="Calibri" w:hAnsi="Verdana" w:cs="Arial"/>
          <w:lang w:val="es-ES"/>
        </w:rPr>
      </w:pPr>
    </w:p>
    <w:p w14:paraId="3FA6BFC1" w14:textId="77777777" w:rsidR="00D578C5" w:rsidRPr="00672426" w:rsidRDefault="00D578C5" w:rsidP="00D578C5">
      <w:pPr>
        <w:spacing w:after="120" w:line="276" w:lineRule="auto"/>
        <w:ind w:firstLine="709"/>
        <w:jc w:val="both"/>
        <w:rPr>
          <w:rFonts w:ascii="Verdana" w:eastAsia="Arial" w:hAnsi="Verdana" w:cs="Arial"/>
          <w:lang w:eastAsia="es-ES"/>
        </w:rPr>
      </w:pPr>
      <w:r>
        <w:rPr>
          <w:rFonts w:ascii="Verdana" w:eastAsia="Arial" w:hAnsi="Verdana" w:cs="Arial"/>
          <w:lang w:eastAsia="es-ES"/>
        </w:rPr>
        <w:t xml:space="preserve">Así, los contratos estatales pueden modificarse en cumplimiento de los requisitos y </w:t>
      </w:r>
      <w:r w:rsidRPr="00672426">
        <w:rPr>
          <w:rFonts w:ascii="Verdana" w:eastAsia="Arial" w:hAnsi="Verdana" w:cs="Arial"/>
          <w:lang w:eastAsia="es-ES"/>
        </w:rPr>
        <w:t xml:space="preserve">los </w:t>
      </w:r>
      <w:r>
        <w:rPr>
          <w:rFonts w:ascii="Verdana" w:eastAsia="Arial" w:hAnsi="Verdana" w:cs="Arial"/>
          <w:lang w:eastAsia="es-ES"/>
        </w:rPr>
        <w:t>límites legales</w:t>
      </w:r>
      <w:r w:rsidRPr="00672426">
        <w:rPr>
          <w:rFonts w:ascii="Verdana" w:eastAsia="Arial" w:hAnsi="Verdana" w:cs="Arial"/>
          <w:lang w:eastAsia="es-ES"/>
        </w:rPr>
        <w:t xml:space="preserve"> y jurisprudenciales</w:t>
      </w:r>
      <w:r>
        <w:rPr>
          <w:rFonts w:ascii="Verdana" w:eastAsia="Arial" w:hAnsi="Verdana" w:cs="Arial"/>
          <w:lang w:eastAsia="es-ES"/>
        </w:rPr>
        <w:t>, siempre atendiendo a los principios que rigen la actuación administrativa y la contratación estatal</w:t>
      </w:r>
      <w:r w:rsidRPr="00672426">
        <w:rPr>
          <w:rFonts w:ascii="Verdana" w:eastAsia="Arial" w:hAnsi="Verdana" w:cs="Arial"/>
          <w:lang w:eastAsia="es-ES"/>
        </w:rPr>
        <w:t xml:space="preserve">. No obstante, </w:t>
      </w:r>
      <w:r w:rsidRPr="009C6597">
        <w:rPr>
          <w:rFonts w:ascii="Verdana" w:eastAsia="Arial" w:hAnsi="Verdana" w:cs="Arial"/>
          <w:lang w:eastAsia="es-ES"/>
        </w:rPr>
        <w:t xml:space="preserve">esta medida tiene carácter excepcional y solo procede cuando con ella se pretenda garantizar el interés público, cuando la entidad haya verificado y así pueda constatarse por cualquier que la causa de la modificación es real y cierta y cuando se deriva de previsiones legales, esto es, cuando la modificación encuentra sustento no solo en circunstancias fácticas propias de la ejecución del contrato, sino, además, cuando tales situaciones ponen de presente la necesidad de dar cumplimiento a previsiones establecidas por el legislador. </w:t>
      </w:r>
      <w:r>
        <w:rPr>
          <w:rFonts w:ascii="Verdana" w:eastAsia="Arial" w:hAnsi="Verdana" w:cs="Arial"/>
          <w:lang w:eastAsia="es-ES"/>
        </w:rPr>
        <w:t xml:space="preserve"> </w:t>
      </w:r>
    </w:p>
    <w:p w14:paraId="7B17341D" w14:textId="77777777" w:rsidR="00D578C5" w:rsidRPr="0093479F" w:rsidRDefault="00D578C5" w:rsidP="00D578C5">
      <w:pPr>
        <w:spacing w:after="0" w:line="276" w:lineRule="auto"/>
        <w:ind w:firstLine="709"/>
        <w:jc w:val="both"/>
        <w:rPr>
          <w:rFonts w:ascii="Verdana" w:eastAsia="Arial" w:hAnsi="Verdana" w:cs="Arial"/>
          <w:lang w:eastAsia="es-ES"/>
        </w:rPr>
      </w:pPr>
      <w:r>
        <w:rPr>
          <w:rFonts w:ascii="Verdana" w:eastAsia="Arial" w:hAnsi="Verdana" w:cs="Arial"/>
          <w:lang w:eastAsia="es-ES"/>
        </w:rPr>
        <w:t>De otra parte, la Ley 1437 de 2011 – en adelante</w:t>
      </w:r>
      <w:r w:rsidRPr="00E74439">
        <w:rPr>
          <w:rFonts w:ascii="Verdana" w:hAnsi="Verdana" w:cs="Arial"/>
          <w:lang w:val="es-ES"/>
        </w:rPr>
        <w:t xml:space="preserve"> </w:t>
      </w:r>
      <w:r w:rsidRPr="00E74439">
        <w:rPr>
          <w:rFonts w:ascii="Verdana" w:hAnsi="Verdana" w:cs="Arial"/>
          <w:lang w:val="es-MX"/>
        </w:rPr>
        <w:t>CPACA</w:t>
      </w:r>
      <w:r>
        <w:rPr>
          <w:rFonts w:ascii="Verdana" w:hAnsi="Verdana" w:cs="Arial"/>
          <w:lang w:val="es-MX"/>
        </w:rPr>
        <w:t xml:space="preserve"> – </w:t>
      </w:r>
      <w:r w:rsidRPr="00E74439">
        <w:rPr>
          <w:rFonts w:ascii="Verdana" w:hAnsi="Verdana" w:cs="Arial"/>
          <w:lang w:val="es-MX"/>
        </w:rPr>
        <w:t>en</w:t>
      </w:r>
      <w:r>
        <w:rPr>
          <w:rFonts w:ascii="Verdana" w:hAnsi="Verdana" w:cs="Arial"/>
          <w:lang w:val="es-MX"/>
        </w:rPr>
        <w:t xml:space="preserve"> </w:t>
      </w:r>
      <w:r w:rsidRPr="00E74439">
        <w:rPr>
          <w:rFonts w:ascii="Verdana" w:hAnsi="Verdana" w:cs="Arial"/>
          <w:lang w:val="es-MX"/>
        </w:rPr>
        <w:t>el artículo 45, permite la corrección de errores simplemente formales de los actos administrativos relacionados con errores aritméticos, de digitación, de transcripción o de omisión de palabras, de la siguiente manera:</w:t>
      </w:r>
    </w:p>
    <w:p w14:paraId="4437370B" w14:textId="77777777" w:rsidR="00D578C5" w:rsidRPr="00E74439" w:rsidRDefault="00D578C5" w:rsidP="00D578C5">
      <w:pPr>
        <w:spacing w:after="0" w:line="276" w:lineRule="auto"/>
        <w:ind w:left="709" w:right="902"/>
        <w:jc w:val="both"/>
        <w:rPr>
          <w:rFonts w:ascii="Verdana" w:eastAsia="Calibri" w:hAnsi="Verdana" w:cs="Arial"/>
          <w:lang w:val="es-ES_tradnl"/>
        </w:rPr>
      </w:pPr>
    </w:p>
    <w:p w14:paraId="15477A3D" w14:textId="77777777" w:rsidR="00D578C5" w:rsidRPr="007B1160" w:rsidRDefault="00D578C5" w:rsidP="00D578C5">
      <w:pPr>
        <w:spacing w:after="0" w:line="240" w:lineRule="auto"/>
        <w:ind w:left="709" w:right="709"/>
        <w:jc w:val="both"/>
        <w:rPr>
          <w:rFonts w:ascii="Verdana" w:hAnsi="Verdana" w:cs="Arial"/>
          <w:sz w:val="20"/>
          <w:szCs w:val="20"/>
          <w:lang w:val="es-ES" w:eastAsia="es-CO"/>
        </w:rPr>
      </w:pPr>
      <w:r w:rsidRPr="007B1160">
        <w:rPr>
          <w:rFonts w:ascii="Verdana" w:eastAsia="Calibri" w:hAnsi="Verdana" w:cs="Arial"/>
          <w:sz w:val="20"/>
          <w:szCs w:val="20"/>
          <w:lang w:val="es-ES_tradnl"/>
        </w:rPr>
        <w:t>“</w:t>
      </w:r>
      <w:r w:rsidRPr="007B1160">
        <w:rPr>
          <w:rFonts w:ascii="Verdana" w:hAnsi="Verdana" w:cs="Arial"/>
          <w:sz w:val="20"/>
          <w:szCs w:val="20"/>
          <w:lang w:val="es-ES" w:eastAsia="es-CO"/>
        </w:rPr>
        <w:t>Artículo 45. Corrección de errores formales. En cualquier tiempo, de oficio o a petición de parte, se podrán corregir los errores simplemente formales contenidos en los actos administrativos, ya sean aritméticos, de digitación, de transcripción o de omisión de palabras. En ningún caso la corrección dará lugar a cambios en el sentido material de la decisión, ni revivirá los términos legales para demandar el acto. Realizada la corrección, esta deberá ser notificada o comunicada a todos los interesados, según corresponda”.</w:t>
      </w:r>
    </w:p>
    <w:p w14:paraId="72293672" w14:textId="77777777" w:rsidR="00D578C5" w:rsidRPr="00E74439" w:rsidRDefault="00D578C5" w:rsidP="00D578C5">
      <w:pPr>
        <w:spacing w:after="0" w:line="276" w:lineRule="auto"/>
        <w:ind w:firstLine="709"/>
        <w:jc w:val="both"/>
        <w:rPr>
          <w:rFonts w:ascii="Verdana" w:hAnsi="Verdana" w:cs="Arial"/>
          <w:lang w:val="es-MX"/>
        </w:rPr>
      </w:pPr>
    </w:p>
    <w:p w14:paraId="321AADC6" w14:textId="77777777" w:rsidR="00D578C5" w:rsidRPr="00E74439" w:rsidRDefault="00D578C5" w:rsidP="00D578C5">
      <w:pPr>
        <w:spacing w:after="120" w:line="276" w:lineRule="auto"/>
        <w:ind w:firstLine="709"/>
        <w:jc w:val="both"/>
        <w:rPr>
          <w:rFonts w:ascii="Verdana" w:hAnsi="Verdana" w:cs="Arial"/>
          <w:lang w:val="es-MX"/>
        </w:rPr>
      </w:pPr>
      <w:r w:rsidRPr="00E74439">
        <w:rPr>
          <w:rFonts w:ascii="Verdana" w:hAnsi="Verdana" w:cs="Arial"/>
          <w:lang w:val="es-MX"/>
        </w:rPr>
        <w:t>De esta figura se pueden destacar las siguientes características: i) procede para corregir errores simplemente formales contenidos en los actos administrativos, ya sean aritméticos, de digitación, de transcripción o de omisión de palabras, ii) no permite cambios sustanciales o materiales de la decisión, iii) puede realizarse en cualquier tiempo, iv) procede de oficio o a petición de parte, v) el acto administrativo de corrección no revive términos para demandar el acto corregido, vi) debe ser notificada o comunicada a los interesados</w:t>
      </w:r>
      <w:r w:rsidRPr="00E74439">
        <w:rPr>
          <w:rFonts w:ascii="Verdana" w:hAnsi="Verdana" w:cs="Arial"/>
          <w:vertAlign w:val="superscript"/>
          <w:lang w:val="es-MX"/>
        </w:rPr>
        <w:footnoteReference w:id="4"/>
      </w:r>
      <w:r w:rsidRPr="00E74439">
        <w:rPr>
          <w:rFonts w:ascii="Verdana" w:hAnsi="Verdana" w:cs="Arial"/>
          <w:lang w:val="es-MX"/>
        </w:rPr>
        <w:t xml:space="preserve">. </w:t>
      </w:r>
    </w:p>
    <w:p w14:paraId="4489503C" w14:textId="77777777" w:rsidR="00D578C5" w:rsidRPr="00E74439" w:rsidRDefault="00D578C5" w:rsidP="00D578C5">
      <w:pPr>
        <w:spacing w:after="120" w:line="276" w:lineRule="auto"/>
        <w:ind w:firstLine="709"/>
        <w:jc w:val="both"/>
        <w:rPr>
          <w:rFonts w:ascii="Verdana" w:eastAsia="Calibri" w:hAnsi="Verdana" w:cs="Arial"/>
          <w:b/>
          <w:bCs/>
          <w:lang w:val="es-ES_tradnl" w:eastAsia="es-ES_tradnl"/>
        </w:rPr>
      </w:pPr>
      <w:r w:rsidRPr="008705EC">
        <w:rPr>
          <w:rFonts w:ascii="Verdana" w:hAnsi="Verdana" w:cs="Arial"/>
          <w:lang w:val="es-MX"/>
        </w:rPr>
        <w:t xml:space="preserve">Cabe aclarar que, aunque el EGCAP no consagra expresamente esta figura, es posible su aplicación en los actos del </w:t>
      </w:r>
      <w:r w:rsidRPr="00D8196A">
        <w:rPr>
          <w:rFonts w:ascii="Verdana" w:hAnsi="Verdana" w:cs="Arial"/>
          <w:lang w:val="es-MX"/>
        </w:rPr>
        <w:t>proceso</w:t>
      </w:r>
      <w:r w:rsidRPr="008705EC">
        <w:rPr>
          <w:rFonts w:ascii="Verdana" w:hAnsi="Verdana" w:cs="Arial"/>
          <w:lang w:val="es-MX"/>
        </w:rPr>
        <w:t xml:space="preserve"> de </w:t>
      </w:r>
      <w:r w:rsidRPr="00D8196A">
        <w:rPr>
          <w:rFonts w:ascii="Verdana" w:hAnsi="Verdana" w:cs="Arial"/>
          <w:lang w:val="es-MX"/>
        </w:rPr>
        <w:t>contratación</w:t>
      </w:r>
      <w:r w:rsidRPr="008705EC">
        <w:rPr>
          <w:rFonts w:ascii="Verdana" w:hAnsi="Verdana" w:cs="Arial"/>
          <w:lang w:val="es-MX"/>
        </w:rPr>
        <w:t xml:space="preserve">, en virtud de lo establecido en el artículo 77 de la Ley 80 de 1993 y en el artículo 2 de la Ley 1437 de 2011. La primera disposición señala que las normas que rigen los procedimientos y actuaciones en la </w:t>
      </w:r>
      <w:r w:rsidRPr="008705EC">
        <w:rPr>
          <w:rFonts w:ascii="Verdana" w:hAnsi="Verdana" w:cs="Arial"/>
          <w:i/>
          <w:iCs/>
          <w:lang w:val="es-MX"/>
        </w:rPr>
        <w:t xml:space="preserve">función administrativa </w:t>
      </w:r>
      <w:r w:rsidRPr="008705EC">
        <w:rPr>
          <w:rFonts w:ascii="Verdana" w:hAnsi="Verdana" w:cs="Arial"/>
          <w:lang w:val="es-MX"/>
        </w:rPr>
        <w:t>son aplicables en las actuaciones contractuales, siempre que sean compatibles con la finalidad y los principios de la Ley 80. A su vez, el artículo 2 de la Ley 1437 de 2011, señala que los procedimientos allí establecidos aplican a las actuaciones de todas las autoridades y particulares que desempeñan funciones administrativas, sin perjuicio de los procedimientos regulados en leyes especiales, y agrega que, en lo no previsto en estos, se aplicarán los procedimientos establecidos en dicho código. Tal es el caso de la corrección de errores simplemente formales de los actos administrativos que no está regulada en el EGCAP, sino en el CPACA.</w:t>
      </w:r>
    </w:p>
    <w:p w14:paraId="62D7D653" w14:textId="77777777" w:rsidR="00D578C5" w:rsidRDefault="00D578C5" w:rsidP="00D578C5">
      <w:pPr>
        <w:widowControl w:val="0"/>
        <w:autoSpaceDE w:val="0"/>
        <w:autoSpaceDN w:val="0"/>
        <w:spacing w:after="120" w:line="276" w:lineRule="auto"/>
        <w:jc w:val="both"/>
        <w:rPr>
          <w:rFonts w:ascii="Verdana" w:eastAsia="Arial" w:hAnsi="Verdana" w:cs="Arial"/>
          <w:lang w:val="es-ES"/>
        </w:rPr>
      </w:pPr>
      <w:r>
        <w:rPr>
          <w:rFonts w:ascii="Verdana" w:hAnsi="Verdana" w:cs="Arial"/>
          <w:lang w:val="es-ES"/>
        </w:rPr>
        <w:tab/>
        <w:t>Así, l</w:t>
      </w:r>
      <w:r w:rsidRPr="00E74439">
        <w:rPr>
          <w:rFonts w:ascii="Verdana" w:hAnsi="Verdana" w:cs="Arial"/>
          <w:bCs/>
          <w:lang w:val="es-MX"/>
        </w:rPr>
        <w:t xml:space="preserve">as </w:t>
      </w:r>
      <w:r w:rsidRPr="00D8196A">
        <w:rPr>
          <w:rFonts w:ascii="Verdana" w:hAnsi="Verdana" w:cs="Arial"/>
          <w:bCs/>
          <w:lang w:val="es-MX"/>
        </w:rPr>
        <w:t>entidades estatales</w:t>
      </w:r>
      <w:r w:rsidRPr="00E74439">
        <w:rPr>
          <w:rFonts w:ascii="Verdana" w:hAnsi="Verdana" w:cs="Arial"/>
          <w:bCs/>
          <w:lang w:val="es-MX"/>
        </w:rPr>
        <w:t xml:space="preserve"> tienen facultades de saneamiento, dentro de las que se enmarca la posibilidad de corregir errores simplemente formales </w:t>
      </w:r>
      <w:r w:rsidRPr="00E74439">
        <w:rPr>
          <w:rFonts w:ascii="Verdana" w:eastAsia="Times New Roman" w:hAnsi="Verdana" w:cs="Arial"/>
          <w:lang w:val="es-ES" w:eastAsia="es-ES_tradnl"/>
        </w:rPr>
        <w:t>contenidos en los actos administrativos.</w:t>
      </w:r>
      <w:r w:rsidRPr="00E74439">
        <w:rPr>
          <w:rFonts w:ascii="Verdana" w:eastAsia="Times New Roman" w:hAnsi="Verdana" w:cs="Arial"/>
          <w:bCs/>
          <w:lang w:val="es-ES" w:eastAsia="es-ES_tradnl"/>
        </w:rPr>
        <w:t xml:space="preserve"> Un error simplemente formal es aquel que, pese a haberse observado las formas y requisitos del procedimiento administrativo, </w:t>
      </w:r>
      <w:r w:rsidRPr="00E74439">
        <w:rPr>
          <w:rFonts w:ascii="Verdana" w:eastAsia="Arial" w:hAnsi="Verdana" w:cs="Arial"/>
          <w:lang w:val="es-ES"/>
        </w:rPr>
        <w:t xml:space="preserve">presenta equivocaciones derivadas de una operación matemática, o de equivocaciones en la digitación de palabras o cifras – como es el caso </w:t>
      </w:r>
      <w:r w:rsidRPr="00D8196A">
        <w:rPr>
          <w:rFonts w:ascii="Verdana" w:eastAsia="Arial" w:hAnsi="Verdana" w:cs="Arial"/>
          <w:lang w:val="es-ES"/>
        </w:rPr>
        <w:t>de la digitación del valor del contrato</w:t>
      </w:r>
      <w:r w:rsidRPr="00E74439">
        <w:rPr>
          <w:rFonts w:ascii="Verdana" w:eastAsia="Arial" w:hAnsi="Verdana" w:cs="Arial"/>
          <w:lang w:val="es-ES"/>
        </w:rPr>
        <w:t xml:space="preserve"> -, o la omisión de estas, que requieren la correspondiente aclaración o corrección para la adecuada comprensión de sus efectos, sin que se varíe de fondo la decisión.</w:t>
      </w:r>
    </w:p>
    <w:p w14:paraId="0D4627C4" w14:textId="77777777" w:rsidR="00D578C5" w:rsidRPr="00D8196A" w:rsidRDefault="00D578C5" w:rsidP="00D578C5">
      <w:pPr>
        <w:tabs>
          <w:tab w:val="left" w:pos="709"/>
        </w:tabs>
        <w:spacing w:after="120" w:line="276" w:lineRule="auto"/>
        <w:ind w:firstLine="709"/>
        <w:jc w:val="both"/>
        <w:rPr>
          <w:rFonts w:ascii="Verdana" w:eastAsia="Calibri" w:hAnsi="Verdana" w:cs="Arial"/>
          <w:color w:val="000000"/>
        </w:rPr>
      </w:pPr>
      <w:r>
        <w:rPr>
          <w:rFonts w:ascii="Verdana" w:hAnsi="Verdana" w:cs="Arial"/>
          <w:shd w:val="clear" w:color="auto" w:fill="FFFFFF"/>
        </w:rPr>
        <w:lastRenderedPageBreak/>
        <w:t xml:space="preserve">En virtud de lo anterior, la entidad que realiza la consulta </w:t>
      </w:r>
      <w:r w:rsidRPr="00D8196A">
        <w:rPr>
          <w:rFonts w:ascii="Verdana" w:hAnsi="Verdana" w:cs="Arial"/>
          <w:shd w:val="clear" w:color="auto" w:fill="FFFFFF"/>
        </w:rPr>
        <w:t xml:space="preserve">debe determinar </w:t>
      </w:r>
      <w:r>
        <w:rPr>
          <w:rFonts w:ascii="Verdana" w:hAnsi="Verdana" w:cs="Arial"/>
          <w:shd w:val="clear" w:color="auto" w:fill="FFFFFF"/>
        </w:rPr>
        <w:t xml:space="preserve">si está frente a un error formal que puede ser corregido a través de la facultad que establece el artículo 45 del CPACA o si está frente a una circunstancia que </w:t>
      </w:r>
      <w:r w:rsidRPr="00D8196A">
        <w:rPr>
          <w:rFonts w:ascii="Verdana" w:hAnsi="Verdana" w:cs="Arial"/>
          <w:shd w:val="clear" w:color="auto" w:fill="FFFFFF"/>
        </w:rPr>
        <w:t>amerita</w:t>
      </w:r>
      <w:r>
        <w:rPr>
          <w:rFonts w:ascii="Verdana" w:hAnsi="Verdana" w:cs="Arial"/>
          <w:shd w:val="clear" w:color="auto" w:fill="FFFFFF"/>
        </w:rPr>
        <w:t xml:space="preserve"> una modificación contractual</w:t>
      </w:r>
      <w:r w:rsidRPr="00D8196A">
        <w:rPr>
          <w:rFonts w:ascii="Verdana" w:hAnsi="Verdana" w:cs="Arial"/>
          <w:shd w:val="clear" w:color="auto" w:fill="FFFFFF"/>
        </w:rPr>
        <w:t>. E</w:t>
      </w:r>
      <w:r>
        <w:rPr>
          <w:rFonts w:ascii="Verdana" w:hAnsi="Verdana" w:cs="Arial"/>
          <w:shd w:val="clear" w:color="auto" w:fill="FFFFFF"/>
        </w:rPr>
        <w:t xml:space="preserve">n caso de ser esta última, </w:t>
      </w:r>
      <w:r w:rsidRPr="0093479F">
        <w:rPr>
          <w:rFonts w:ascii="Verdana" w:hAnsi="Verdana" w:cs="Arial"/>
          <w:shd w:val="clear" w:color="auto" w:fill="FFFFFF"/>
        </w:rPr>
        <w:t xml:space="preserve">no podría llevarse a cabo una modificación que varíe el objeto contractual por la prohibición enunciada jurisprudencialmente, </w:t>
      </w:r>
      <w:r w:rsidRPr="0093479F">
        <w:rPr>
          <w:rFonts w:ascii="Verdana" w:eastAsia="Calibri" w:hAnsi="Verdana" w:cs="Arial"/>
          <w:color w:val="000000"/>
        </w:rPr>
        <w:t>pues ello supondría la alteración de su esencia y lo convertiría en otro tipo de negocio jurídico. Si se presentara esta situación lo indicado no sería modificar el contrato sino celebrar uno nuevo.</w:t>
      </w:r>
    </w:p>
    <w:p w14:paraId="5770361C" w14:textId="77777777" w:rsidR="00D578C5" w:rsidRPr="00751E10" w:rsidRDefault="00D578C5" w:rsidP="00D578C5">
      <w:pPr>
        <w:spacing w:after="120" w:line="276" w:lineRule="auto"/>
        <w:ind w:firstLine="708"/>
        <w:jc w:val="both"/>
        <w:rPr>
          <w:rFonts w:ascii="Verdana" w:eastAsia="Batang" w:hAnsi="Verdana" w:cs="Arial"/>
        </w:rPr>
      </w:pPr>
      <w:r w:rsidRPr="00751E10">
        <w:rPr>
          <w:rFonts w:ascii="Verdana" w:eastAsia="Batang" w:hAnsi="Verdana" w:cs="Arial"/>
        </w:rPr>
        <w:t xml:space="preserve">Sin perjuicio de lo anterior, es importante resaltar que, en los procesos de contratación o en la ejecución de los contratos, la entidad, proponentes o contratista podrán acudir, en lo pertinente, a las reglas de interpretación </w:t>
      </w:r>
      <w:r w:rsidRPr="00751E10">
        <w:rPr>
          <w:rFonts w:ascii="Verdana" w:eastAsia="Batang" w:hAnsi="Verdana" w:cs="Arial"/>
          <w:lang w:val="es-MX"/>
        </w:rPr>
        <w:t>objetivas y subjetivas</w:t>
      </w:r>
      <w:r w:rsidRPr="00751E10">
        <w:rPr>
          <w:rFonts w:ascii="Verdana" w:eastAsia="Batang" w:hAnsi="Verdana" w:cs="Arial"/>
          <w:vertAlign w:val="superscript"/>
          <w:lang w:val="es-MX"/>
        </w:rPr>
        <w:footnoteReference w:id="5"/>
      </w:r>
      <w:r w:rsidRPr="00751E10">
        <w:rPr>
          <w:rFonts w:ascii="Verdana" w:eastAsia="Batang" w:hAnsi="Verdana" w:cs="Arial"/>
          <w:lang w:val="es-MX"/>
        </w:rPr>
        <w:t xml:space="preserve"> conforme a los artículos 1618 a 1624 del Código Civil. Por una parte, las </w:t>
      </w:r>
      <w:r w:rsidRPr="00751E10">
        <w:rPr>
          <w:rFonts w:ascii="Verdana" w:eastAsia="Batang" w:hAnsi="Verdana" w:cs="Arial"/>
          <w:i/>
          <w:iCs/>
          <w:lang w:val="es-MX"/>
        </w:rPr>
        <w:t>objetivas</w:t>
      </w:r>
      <w:r w:rsidRPr="00751E10">
        <w:rPr>
          <w:rFonts w:ascii="Verdana" w:eastAsia="Batang" w:hAnsi="Verdana" w:cs="Arial"/>
          <w:lang w:val="es-MX"/>
        </w:rPr>
        <w:t xml:space="preserve"> son las siguientes: i) una vez conocida la intención de los contratantes ha de estarse más a ella que a lo literal de las palabras (artículo 1618 del Código Civil); ii) </w:t>
      </w:r>
      <w:r w:rsidRPr="00751E10">
        <w:rPr>
          <w:rFonts w:ascii="Verdana" w:eastAsia="Batang" w:hAnsi="Verdana" w:cs="Arial"/>
        </w:rPr>
        <w:t xml:space="preserve">las estipulaciones de un contrato pueden interpretarse por la de otro que las partes hayan celebrado sobre la misma materia o por la aplicación práctica que de ellas hayan hecho (artículo 1622, incisos 2 y 3 </w:t>
      </w:r>
      <w:r w:rsidRPr="00751E10">
        <w:rPr>
          <w:rFonts w:ascii="Verdana" w:eastAsia="Batang" w:hAnsi="Verdana" w:cs="Arial"/>
          <w:i/>
          <w:iCs/>
        </w:rPr>
        <w:t>ibídem</w:t>
      </w:r>
      <w:r w:rsidRPr="00751E10">
        <w:rPr>
          <w:rFonts w:ascii="Verdana" w:eastAsia="Batang" w:hAnsi="Verdana" w:cs="Arial"/>
        </w:rPr>
        <w:t xml:space="preserve">); iii) las cláusulas deben interpretarse unas por otras, dándole a cada una el sentido que más convenga al contrato en su totalidad (artículo 1622, inciso 1 </w:t>
      </w:r>
      <w:r w:rsidRPr="00751E10">
        <w:rPr>
          <w:rFonts w:ascii="Verdana" w:eastAsia="Batang" w:hAnsi="Verdana" w:cs="Arial"/>
          <w:i/>
          <w:iCs/>
        </w:rPr>
        <w:t>ibídem</w:t>
      </w:r>
      <w:r w:rsidRPr="00751E10">
        <w:rPr>
          <w:rFonts w:ascii="Verdana" w:eastAsia="Batang" w:hAnsi="Verdana" w:cs="Arial"/>
        </w:rPr>
        <w:t xml:space="preserve">); iv) si en un contrato se expresa un caso para explicar la obligación se entiende que esa mención no es restrictiva sino ejemplificativa (artículo 1623 </w:t>
      </w:r>
      <w:r w:rsidRPr="00751E10">
        <w:rPr>
          <w:rFonts w:ascii="Verdana" w:eastAsia="Batang" w:hAnsi="Verdana" w:cs="Arial"/>
          <w:i/>
          <w:iCs/>
        </w:rPr>
        <w:t>ibídem</w:t>
      </w:r>
      <w:r w:rsidRPr="00751E10">
        <w:rPr>
          <w:rFonts w:ascii="Verdana" w:eastAsia="Batang" w:hAnsi="Verdana" w:cs="Arial"/>
        </w:rPr>
        <w:t xml:space="preserve">); y v) se entiende que las expresiones generales contenidas en el negocio únicamente se aplican a la materia sobre la que se ha contratado (artículo 1619, inciso 2 </w:t>
      </w:r>
      <w:r w:rsidRPr="00751E10">
        <w:rPr>
          <w:rFonts w:ascii="Verdana" w:eastAsia="Batang" w:hAnsi="Verdana" w:cs="Arial"/>
          <w:i/>
          <w:iCs/>
        </w:rPr>
        <w:t>ibídem</w:t>
      </w:r>
      <w:r w:rsidRPr="00751E10">
        <w:rPr>
          <w:rFonts w:ascii="Verdana" w:eastAsia="Batang" w:hAnsi="Verdana" w:cs="Arial"/>
        </w:rPr>
        <w:t xml:space="preserve">). </w:t>
      </w:r>
    </w:p>
    <w:p w14:paraId="06D8BAF3" w14:textId="77777777" w:rsidR="00D578C5" w:rsidRPr="00751E10" w:rsidRDefault="00D578C5" w:rsidP="00D578C5">
      <w:pPr>
        <w:spacing w:after="120" w:line="276" w:lineRule="auto"/>
        <w:ind w:firstLine="708"/>
        <w:jc w:val="both"/>
        <w:rPr>
          <w:rFonts w:ascii="Verdana" w:eastAsia="Batang" w:hAnsi="Verdana" w:cs="Arial"/>
          <w:lang w:val="es-MX"/>
        </w:rPr>
      </w:pPr>
      <w:r w:rsidRPr="00751E10">
        <w:rPr>
          <w:rFonts w:ascii="Verdana" w:eastAsia="Batang" w:hAnsi="Verdana" w:cs="Arial"/>
        </w:rPr>
        <w:t xml:space="preserve">Por su parte, las reglas </w:t>
      </w:r>
      <w:r w:rsidRPr="00751E10">
        <w:rPr>
          <w:rFonts w:ascii="Verdana" w:eastAsia="Batang" w:hAnsi="Verdana" w:cs="Arial"/>
          <w:i/>
          <w:iCs/>
        </w:rPr>
        <w:t>subjetivas</w:t>
      </w:r>
      <w:r w:rsidRPr="00751E10">
        <w:rPr>
          <w:rFonts w:ascii="Verdana" w:eastAsia="Batang" w:hAnsi="Verdana" w:cs="Arial"/>
        </w:rPr>
        <w:t xml:space="preserve"> de interpretación se refieren a las siguientes: vi) </w:t>
      </w:r>
      <w:r w:rsidRPr="00751E10">
        <w:rPr>
          <w:rFonts w:ascii="Verdana" w:eastAsia="Batang" w:hAnsi="Verdana" w:cs="Arial"/>
          <w:lang w:val="es-MX"/>
        </w:rPr>
        <w:t xml:space="preserve">el sentido en que una cláusula pueda producir algún efecto deberá preferirse a aquel en que no produzca efecto alguno </w:t>
      </w:r>
      <w:r w:rsidRPr="00751E10">
        <w:rPr>
          <w:rFonts w:ascii="Verdana" w:eastAsia="Batang" w:hAnsi="Verdana" w:cs="Arial"/>
        </w:rPr>
        <w:t xml:space="preserve">(artículo 1620 </w:t>
      </w:r>
      <w:r w:rsidRPr="00751E10">
        <w:rPr>
          <w:rFonts w:ascii="Verdana" w:eastAsia="Batang" w:hAnsi="Verdana" w:cs="Arial"/>
          <w:i/>
          <w:iCs/>
        </w:rPr>
        <w:t>ibídem</w:t>
      </w:r>
      <w:r w:rsidRPr="00751E10">
        <w:rPr>
          <w:rFonts w:ascii="Verdana" w:eastAsia="Batang" w:hAnsi="Verdana" w:cs="Arial"/>
        </w:rPr>
        <w:t>); vii)</w:t>
      </w:r>
      <w:r w:rsidRPr="00751E10">
        <w:rPr>
          <w:rFonts w:ascii="Verdana" w:eastAsia="Batang" w:hAnsi="Verdana" w:cs="Arial"/>
          <w:lang w:val="es-MX"/>
        </w:rPr>
        <w:t xml:space="preserve"> deberá estarse a la interpretación que mejor cuadre con la naturaleza del contrato </w:t>
      </w:r>
      <w:r w:rsidRPr="00751E10">
        <w:rPr>
          <w:rFonts w:ascii="Verdana" w:eastAsia="Batang" w:hAnsi="Verdana" w:cs="Arial"/>
        </w:rPr>
        <w:t xml:space="preserve">(artículo 1621 </w:t>
      </w:r>
      <w:r w:rsidRPr="00751E10">
        <w:rPr>
          <w:rFonts w:ascii="Verdana" w:eastAsia="Batang" w:hAnsi="Verdana" w:cs="Arial"/>
          <w:i/>
          <w:iCs/>
        </w:rPr>
        <w:t>ibídem</w:t>
      </w:r>
      <w:r w:rsidRPr="00751E10">
        <w:rPr>
          <w:rFonts w:ascii="Verdana" w:eastAsia="Batang" w:hAnsi="Verdana" w:cs="Arial"/>
        </w:rPr>
        <w:t>)</w:t>
      </w:r>
      <w:r w:rsidRPr="00751E10">
        <w:rPr>
          <w:rFonts w:ascii="Verdana" w:eastAsia="Batang" w:hAnsi="Verdana" w:cs="Arial"/>
          <w:lang w:val="es-MX"/>
        </w:rPr>
        <w:t xml:space="preserve">; viii) las cláusulas ambiguas se interpretan a favor del deudor </w:t>
      </w:r>
      <w:r w:rsidRPr="00751E10">
        <w:rPr>
          <w:rFonts w:ascii="Verdana" w:eastAsia="Batang" w:hAnsi="Verdana" w:cs="Arial"/>
        </w:rPr>
        <w:t>(artículo 1624, inciso 1 ibídem); y ix</w:t>
      </w:r>
      <w:r w:rsidRPr="00751E10">
        <w:rPr>
          <w:rFonts w:ascii="Verdana" w:eastAsia="Batang" w:hAnsi="Verdana" w:cs="Arial"/>
          <w:i/>
          <w:iCs/>
        </w:rPr>
        <w:t>)</w:t>
      </w:r>
      <w:r w:rsidRPr="00751E10">
        <w:rPr>
          <w:rFonts w:ascii="Verdana" w:eastAsia="Batang" w:hAnsi="Verdana" w:cs="Arial"/>
          <w:i/>
          <w:iCs/>
          <w:lang w:val="es-MX"/>
        </w:rPr>
        <w:t xml:space="preserve"> las cláusulas oscuras que hayan sido extendidas o dictadas por una parte se interpretarán contra ella si la ambigüedad proviene de una explicación que ésta ha debido dar</w:t>
      </w:r>
      <w:r w:rsidRPr="00751E10">
        <w:rPr>
          <w:rFonts w:ascii="Verdana" w:eastAsia="Batang" w:hAnsi="Verdana" w:cs="Arial"/>
          <w:lang w:val="es-MX"/>
        </w:rPr>
        <w:t xml:space="preserve"> </w:t>
      </w:r>
      <w:r w:rsidRPr="00751E10">
        <w:rPr>
          <w:rFonts w:ascii="Verdana" w:eastAsia="Batang" w:hAnsi="Verdana" w:cs="Arial"/>
        </w:rPr>
        <w:t xml:space="preserve">(artículo 1624, inciso 2 </w:t>
      </w:r>
      <w:r w:rsidRPr="00751E10">
        <w:rPr>
          <w:rFonts w:ascii="Verdana" w:eastAsia="Batang" w:hAnsi="Verdana" w:cs="Arial"/>
          <w:i/>
          <w:iCs/>
        </w:rPr>
        <w:t>ibídem</w:t>
      </w:r>
      <w:r w:rsidRPr="00751E10">
        <w:rPr>
          <w:rFonts w:ascii="Verdana" w:eastAsia="Batang" w:hAnsi="Verdana" w:cs="Arial"/>
        </w:rPr>
        <w:t>)</w:t>
      </w:r>
      <w:r w:rsidRPr="00751E10">
        <w:rPr>
          <w:rFonts w:ascii="Verdana" w:eastAsia="Batang" w:hAnsi="Verdana" w:cs="Arial"/>
          <w:lang w:val="es-MX"/>
        </w:rPr>
        <w:t xml:space="preserve">. </w:t>
      </w:r>
    </w:p>
    <w:p w14:paraId="4388A989" w14:textId="77777777" w:rsidR="00D578C5" w:rsidRPr="00751E10" w:rsidRDefault="00D578C5" w:rsidP="00D578C5">
      <w:pPr>
        <w:spacing w:after="120" w:line="276" w:lineRule="auto"/>
        <w:ind w:firstLine="708"/>
        <w:jc w:val="both"/>
        <w:rPr>
          <w:rFonts w:ascii="Verdana" w:eastAsia="Batang" w:hAnsi="Verdana" w:cs="Arial"/>
          <w:lang w:val="es-MX"/>
        </w:rPr>
      </w:pPr>
      <w:bookmarkStart w:id="4" w:name="_Hlk96265891"/>
      <w:r w:rsidRPr="00751E10">
        <w:rPr>
          <w:rFonts w:ascii="Verdana" w:eastAsia="Batang" w:hAnsi="Verdana" w:cs="Arial"/>
        </w:rPr>
        <w:lastRenderedPageBreak/>
        <w:t xml:space="preserve">La aplicación de estos criterios siempre deberá tener en cuenta las circunstancias concretas de cada caso en particular, de manera que la entidad pueda optar por la interpretación que más se adecúe a la finalidad que persigue con el contrato. </w:t>
      </w:r>
      <w:bookmarkEnd w:id="4"/>
      <w:r w:rsidRPr="00751E10">
        <w:rPr>
          <w:rFonts w:ascii="Verdana" w:eastAsia="Batang" w:hAnsi="Verdana" w:cs="Arial"/>
        </w:rPr>
        <w:t xml:space="preserve">En ese contexto, la entidad deber incluso revisar la información contenida en los documentos precontractuales para determinar la intención que se tenía. </w:t>
      </w:r>
    </w:p>
    <w:p w14:paraId="6CDCBB84" w14:textId="77777777" w:rsidR="00D578C5" w:rsidRPr="00593A5F" w:rsidRDefault="00D578C5" w:rsidP="00D578C5">
      <w:pPr>
        <w:spacing w:after="0" w:line="276" w:lineRule="auto"/>
        <w:jc w:val="both"/>
        <w:rPr>
          <w:rFonts w:ascii="Verdana" w:eastAsia="Calibri" w:hAnsi="Verdana" w:cs="Arial"/>
          <w:color w:val="7030A0"/>
          <w:lang w:val="es-ES"/>
        </w:rPr>
      </w:pPr>
    </w:p>
    <w:p w14:paraId="6B12B37B" w14:textId="77777777" w:rsidR="00D578C5" w:rsidRPr="00593A5F" w:rsidRDefault="00D578C5" w:rsidP="00D578C5">
      <w:pPr>
        <w:widowControl w:val="0"/>
        <w:autoSpaceDE w:val="0"/>
        <w:autoSpaceDN w:val="0"/>
        <w:spacing w:after="0" w:line="276" w:lineRule="auto"/>
        <w:jc w:val="both"/>
        <w:rPr>
          <w:rFonts w:ascii="Verdana" w:hAnsi="Verdana" w:cs="Arial"/>
        </w:rPr>
      </w:pPr>
    </w:p>
    <w:p w14:paraId="477C71B1" w14:textId="77777777" w:rsidR="00D578C5" w:rsidRPr="00593A5F" w:rsidRDefault="00D578C5" w:rsidP="00D578C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0C225E75" w14:textId="77777777" w:rsidR="00D578C5" w:rsidRPr="00593A5F" w:rsidRDefault="00D578C5" w:rsidP="00D578C5">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578C5" w:rsidRPr="00593A5F" w14:paraId="458E35AC" w14:textId="77777777" w:rsidTr="003C75B9">
        <w:trPr>
          <w:trHeight w:val="870"/>
        </w:trPr>
        <w:tc>
          <w:tcPr>
            <w:tcW w:w="8647" w:type="dxa"/>
          </w:tcPr>
          <w:p w14:paraId="1D8E691A" w14:textId="77777777" w:rsidR="00D578C5" w:rsidRPr="00B304B2" w:rsidRDefault="00D578C5" w:rsidP="00D578C5">
            <w:pPr>
              <w:pStyle w:val="Prrafodelista"/>
              <w:numPr>
                <w:ilvl w:val="0"/>
                <w:numId w:val="17"/>
              </w:numPr>
              <w:spacing w:line="276" w:lineRule="auto"/>
              <w:textAlignment w:val="baseline"/>
              <w:rPr>
                <w:rFonts w:ascii="Verdana" w:hAnsi="Verdana"/>
              </w:rPr>
            </w:pPr>
            <w:r w:rsidRPr="00751E10">
              <w:rPr>
                <w:rFonts w:ascii="Verdana" w:eastAsia="Batang" w:hAnsi="Verdana" w:cs="Arial"/>
                <w:lang w:val="es-MX"/>
              </w:rPr>
              <w:t>Código Civil, Artículos 1618 a 1624</w:t>
            </w:r>
            <w:r w:rsidRPr="00B304B2">
              <w:rPr>
                <w:rFonts w:ascii="Verdana" w:eastAsia="Batang" w:hAnsi="Verdana" w:cs="Arial"/>
                <w:lang w:val="es-MX"/>
              </w:rPr>
              <w:t>.</w:t>
            </w:r>
          </w:p>
          <w:p w14:paraId="7B62BF91" w14:textId="77777777" w:rsidR="00D578C5" w:rsidRDefault="00D578C5" w:rsidP="00D578C5">
            <w:pPr>
              <w:pStyle w:val="Prrafodelista"/>
              <w:numPr>
                <w:ilvl w:val="0"/>
                <w:numId w:val="17"/>
              </w:numPr>
              <w:spacing w:line="276" w:lineRule="auto"/>
              <w:textAlignment w:val="baseline"/>
              <w:rPr>
                <w:rFonts w:ascii="Verdana" w:hAnsi="Verdana"/>
              </w:rPr>
            </w:pPr>
            <w:r w:rsidRPr="00D6536D">
              <w:rPr>
                <w:rFonts w:ascii="Verdana" w:hAnsi="Verdana"/>
              </w:rPr>
              <w:t>Ley 80 de 1993, Artículo 40, parágrafo y Articulo 77</w:t>
            </w:r>
            <w:r w:rsidRPr="00B304B2">
              <w:rPr>
                <w:rFonts w:ascii="Verdana" w:hAnsi="Verdana"/>
              </w:rPr>
              <w:t>.</w:t>
            </w:r>
          </w:p>
          <w:p w14:paraId="165C1590" w14:textId="77777777" w:rsidR="00D578C5" w:rsidRDefault="00D578C5" w:rsidP="00D578C5">
            <w:pPr>
              <w:pStyle w:val="Prrafodelista"/>
              <w:numPr>
                <w:ilvl w:val="0"/>
                <w:numId w:val="17"/>
              </w:numPr>
              <w:spacing w:line="276" w:lineRule="auto"/>
              <w:textAlignment w:val="baseline"/>
              <w:rPr>
                <w:rFonts w:ascii="Verdana" w:hAnsi="Verdana"/>
              </w:rPr>
            </w:pPr>
            <w:r w:rsidRPr="00D6536D">
              <w:rPr>
                <w:rFonts w:ascii="Verdana" w:hAnsi="Verdana"/>
              </w:rPr>
              <w:t>Ley 1437 de 2011, Artículos 2, 41 y 45</w:t>
            </w:r>
            <w:r w:rsidRPr="00B304B2">
              <w:rPr>
                <w:rFonts w:ascii="Verdana" w:hAnsi="Verdana"/>
              </w:rPr>
              <w:t>.</w:t>
            </w:r>
          </w:p>
          <w:p w14:paraId="65B400C3" w14:textId="77777777" w:rsidR="00D578C5" w:rsidRPr="00AC742F" w:rsidRDefault="00D578C5" w:rsidP="00D578C5">
            <w:pPr>
              <w:pStyle w:val="Prrafodelista"/>
              <w:widowControl w:val="0"/>
              <w:numPr>
                <w:ilvl w:val="0"/>
                <w:numId w:val="17"/>
              </w:numPr>
              <w:autoSpaceDE w:val="0"/>
              <w:autoSpaceDN w:val="0"/>
              <w:spacing w:after="120" w:line="276" w:lineRule="auto"/>
              <w:jc w:val="both"/>
              <w:rPr>
                <w:rFonts w:ascii="Verdana" w:hAnsi="Verdana" w:cs="Arial"/>
              </w:rPr>
            </w:pPr>
            <w:r w:rsidRPr="00D6536D">
              <w:rPr>
                <w:rFonts w:ascii="Verdana" w:eastAsia="Arial" w:hAnsi="Verdana" w:cs="Arial"/>
                <w:lang w:eastAsia="es-ES" w:bidi="es-ES"/>
              </w:rPr>
              <w:t>Consejo de Estado, Sala de Consulta y Servicio Civil, concepto 2263 del 17 de marzo del 2016</w:t>
            </w:r>
            <w:r w:rsidRPr="00B304B2">
              <w:rPr>
                <w:rFonts w:ascii="Verdana" w:eastAsia="Arial" w:hAnsi="Verdana" w:cs="Arial"/>
                <w:lang w:eastAsia="es-ES" w:bidi="es-ES"/>
              </w:rPr>
              <w:t>.</w:t>
            </w:r>
          </w:p>
        </w:tc>
      </w:tr>
    </w:tbl>
    <w:p w14:paraId="7BADD27C" w14:textId="77777777" w:rsidR="00D578C5" w:rsidRPr="00593A5F" w:rsidRDefault="00D578C5" w:rsidP="00D578C5">
      <w:pPr>
        <w:widowControl w:val="0"/>
        <w:autoSpaceDE w:val="0"/>
        <w:autoSpaceDN w:val="0"/>
        <w:spacing w:after="0" w:line="276" w:lineRule="auto"/>
        <w:jc w:val="both"/>
        <w:rPr>
          <w:rFonts w:ascii="Verdana" w:hAnsi="Verdana" w:cs="Arial"/>
        </w:rPr>
      </w:pPr>
    </w:p>
    <w:p w14:paraId="5670D86E" w14:textId="77777777" w:rsidR="00D578C5" w:rsidRPr="00593A5F" w:rsidRDefault="00D578C5" w:rsidP="00D578C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422BD7B1" w14:textId="77777777" w:rsidR="00D578C5" w:rsidRPr="00593A5F" w:rsidRDefault="00D578C5" w:rsidP="00D578C5">
      <w:pPr>
        <w:widowControl w:val="0"/>
        <w:autoSpaceDE w:val="0"/>
        <w:autoSpaceDN w:val="0"/>
        <w:spacing w:after="0" w:line="276" w:lineRule="auto"/>
        <w:jc w:val="both"/>
        <w:rPr>
          <w:rFonts w:ascii="Verdana" w:hAnsi="Verdana" w:cs="Arial"/>
        </w:rPr>
      </w:pPr>
    </w:p>
    <w:p w14:paraId="26FE7213" w14:textId="77777777" w:rsidR="00D578C5" w:rsidRDefault="00D578C5" w:rsidP="00D578C5">
      <w:pPr>
        <w:widowControl w:val="0"/>
        <w:autoSpaceDE w:val="0"/>
        <w:autoSpaceDN w:val="0"/>
        <w:spacing w:after="0" w:line="276" w:lineRule="auto"/>
        <w:jc w:val="both"/>
        <w:rPr>
          <w:rStyle w:val="normaltextrun"/>
          <w:rFonts w:ascii="Verdana" w:hAnsi="Verdana" w:cs="Arial"/>
          <w:color w:val="FF0000"/>
          <w:shd w:val="clear" w:color="auto" w:fill="FFFFFF"/>
          <w:lang w:val="es-ES"/>
        </w:rPr>
      </w:pPr>
      <w:r>
        <w:rPr>
          <w:rFonts w:ascii="Verdana" w:hAnsi="Verdana" w:cs="Arial"/>
        </w:rPr>
        <w:t>Sobre el ámbito de corrección de errores formales se pronunció esta Subdirección en los conceptos C-052 del 25 de febrero de 2025, C-1024 de 31 de enero de 2025</w:t>
      </w:r>
      <w:r w:rsidRPr="00E84F1D">
        <w:rPr>
          <w:rStyle w:val="normaltextrun"/>
          <w:rFonts w:ascii="Verdana" w:hAnsi="Verdana" w:cs="Arial"/>
          <w:color w:val="000000" w:themeColor="text1"/>
          <w:shd w:val="clear" w:color="auto" w:fill="FFFFFF"/>
          <w:lang w:val="es-ES"/>
        </w:rPr>
        <w:t xml:space="preserve">, </w:t>
      </w:r>
      <w:r>
        <w:rPr>
          <w:rStyle w:val="normaltextrun"/>
          <w:rFonts w:ascii="Verdana" w:hAnsi="Verdana" w:cs="Arial"/>
          <w:color w:val="000000" w:themeColor="text1"/>
          <w:shd w:val="clear" w:color="auto" w:fill="FFFFFF"/>
          <w:lang w:val="es-ES"/>
        </w:rPr>
        <w:t xml:space="preserve">y C-166 del 21 de marzo de 2025, </w:t>
      </w:r>
      <w:r w:rsidRPr="00E84F1D">
        <w:rPr>
          <w:rStyle w:val="normaltextrun"/>
          <w:rFonts w:ascii="Verdana" w:hAnsi="Verdana" w:cs="Arial"/>
          <w:color w:val="000000" w:themeColor="text1"/>
          <w:shd w:val="clear" w:color="auto" w:fill="FFFFFF"/>
          <w:lang w:val="es-ES"/>
        </w:rPr>
        <w:t>entre otros. Es</w:t>
      </w:r>
      <w:r w:rsidRPr="00E84F1D">
        <w:rPr>
          <w:rFonts w:ascii="Verdana" w:hAnsi="Verdana"/>
          <w:color w:val="000000" w:themeColor="text1"/>
        </w:rPr>
        <w:t xml:space="preserve">tos y otros </w:t>
      </w:r>
      <w:r w:rsidRPr="00A1554D">
        <w:rPr>
          <w:rFonts w:ascii="Verdana" w:hAnsi="Verdana"/>
        </w:rPr>
        <w:t xml:space="preserve">conceptos se encuentran disponibles para consulta en el Sistema de </w:t>
      </w:r>
      <w:r>
        <w:rPr>
          <w:rFonts w:ascii="Verdana" w:hAnsi="Verdana"/>
        </w:rPr>
        <w:t>r</w:t>
      </w:r>
      <w:r w:rsidRPr="00A1554D">
        <w:rPr>
          <w:rFonts w:ascii="Verdana" w:hAnsi="Verdana"/>
        </w:rPr>
        <w:t>elatoría de la Agencia, al cual se puede acceder a través del siguiente enlace:</w:t>
      </w:r>
      <w:r w:rsidRPr="00A1554D">
        <w:rPr>
          <w:rStyle w:val="normaltextrun"/>
          <w:rFonts w:ascii="Verdana" w:hAnsi="Verdana" w:cs="Arial"/>
          <w:shd w:val="clear" w:color="auto" w:fill="FFFFFF"/>
          <w:lang w:val="es-ES"/>
        </w:rPr>
        <w:t xml:space="preserve"> </w:t>
      </w:r>
      <w:hyperlink r:id="rId12" w:history="1">
        <w:r w:rsidRPr="00A1554D">
          <w:rPr>
            <w:rStyle w:val="Hipervnculo"/>
            <w:rFonts w:ascii="Verdana" w:hAnsi="Verdana" w:cs="Arial"/>
            <w:shd w:val="clear" w:color="auto" w:fill="FFFFFF"/>
            <w:lang w:val="es-ES"/>
          </w:rPr>
          <w:t>https://relatoria.colombiacompra.gov.co/busqueda/conceptos</w:t>
        </w:r>
      </w:hyperlink>
      <w:r>
        <w:rPr>
          <w:rStyle w:val="normaltextrun"/>
          <w:rFonts w:ascii="Verdana" w:hAnsi="Verdana" w:cs="Arial"/>
          <w:color w:val="FF0000"/>
          <w:shd w:val="clear" w:color="auto" w:fill="FFFFFF"/>
          <w:lang w:val="es-ES"/>
        </w:rPr>
        <w:t xml:space="preserve">. </w:t>
      </w:r>
    </w:p>
    <w:p w14:paraId="0A6B1567" w14:textId="77777777" w:rsidR="00D578C5" w:rsidRDefault="00D578C5" w:rsidP="00D578C5">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4920C35E" w14:textId="77777777" w:rsidR="00D578C5" w:rsidRPr="00E84F1D" w:rsidRDefault="00D578C5" w:rsidP="00D578C5">
      <w:pPr>
        <w:widowControl w:val="0"/>
        <w:autoSpaceDE w:val="0"/>
        <w:autoSpaceDN w:val="0"/>
        <w:spacing w:after="0" w:line="276" w:lineRule="auto"/>
        <w:jc w:val="both"/>
        <w:rPr>
          <w:rFonts w:ascii="Verdana" w:hAnsi="Verdana" w:cs="Arial"/>
          <w:color w:val="000000" w:themeColor="text1"/>
          <w:shd w:val="clear" w:color="auto" w:fill="FFFFFF"/>
          <w:lang w:val="es-ES"/>
        </w:rPr>
      </w:pPr>
      <w:r w:rsidRPr="00E84F1D">
        <w:rPr>
          <w:rFonts w:ascii="Verdana" w:hAnsi="Verdana" w:cs="Arial"/>
          <w:color w:val="000000" w:themeColor="text1"/>
          <w:shd w:val="clear" w:color="auto" w:fill="FFFFFF"/>
        </w:rPr>
        <w:t>Te informamos que ya se encuentra disponible la </w:t>
      </w:r>
      <w:r w:rsidRPr="00E84F1D">
        <w:rPr>
          <w:rFonts w:ascii="Verdana" w:hAnsi="Verdana" w:cs="Arial"/>
          <w:b/>
          <w:bCs/>
          <w:color w:val="000000" w:themeColor="text1"/>
          <w:shd w:val="clear" w:color="auto" w:fill="FFFFFF"/>
        </w:rPr>
        <w:t>Cartilla para incentivar y fortalecer el acceso a las compras y contratación pública de los pueblos y comunidades étnicas en Colombia.</w:t>
      </w:r>
      <w:r w:rsidRPr="00E84F1D">
        <w:rPr>
          <w:rFonts w:ascii="Verdana" w:hAnsi="Verdana" w:cs="Arial"/>
          <w:color w:val="000000" w:themeColor="text1"/>
          <w:shd w:val="clear" w:color="auto" w:fill="FFFFFF"/>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3" w:tgtFrame="_blank" w:tooltip="Dirección URL original: https://www.colombiacompra.gov.co/manuales-guias-y-pliegos-tipo/manuales-y-guias/cartilla-para-incentivar-y-fortalecer-el-acceso-las. Haga clic o pulse si confía en este vínculo." w:history="1">
        <w:r w:rsidRPr="00E84F1D">
          <w:rPr>
            <w:rStyle w:val="Hipervnculo"/>
            <w:rFonts w:ascii="Verdana" w:hAnsi="Verdana" w:cs="Arial"/>
            <w:shd w:val="clear" w:color="auto" w:fill="FFFFFF"/>
          </w:rPr>
          <w:t>Cartilla para incentivar y fortalecer el acceso a las compras y contratación pública de los pueblos y comunidades étnicas en Colombia | Colombia Compra Eficiente | Agencia Nacional de Contratación Pública</w:t>
        </w:r>
      </w:hyperlink>
    </w:p>
    <w:p w14:paraId="08F3DAC6" w14:textId="77777777" w:rsidR="00D578C5" w:rsidRPr="00E84F1D" w:rsidRDefault="00D578C5" w:rsidP="00D578C5">
      <w:pPr>
        <w:widowControl w:val="0"/>
        <w:autoSpaceDE w:val="0"/>
        <w:autoSpaceDN w:val="0"/>
        <w:spacing w:after="0" w:line="276" w:lineRule="auto"/>
        <w:jc w:val="both"/>
        <w:rPr>
          <w:rFonts w:ascii="Verdana" w:hAnsi="Verdana" w:cs="Arial"/>
          <w:color w:val="000000" w:themeColor="text1"/>
          <w:shd w:val="clear" w:color="auto" w:fill="FFFFFF"/>
        </w:rPr>
      </w:pPr>
    </w:p>
    <w:p w14:paraId="0E1C8771" w14:textId="77777777" w:rsidR="00D578C5" w:rsidRPr="00E84F1D" w:rsidRDefault="00D578C5" w:rsidP="00D578C5">
      <w:pPr>
        <w:widowControl w:val="0"/>
        <w:autoSpaceDE w:val="0"/>
        <w:autoSpaceDN w:val="0"/>
        <w:spacing w:after="0" w:line="276" w:lineRule="auto"/>
        <w:jc w:val="both"/>
        <w:rPr>
          <w:rFonts w:ascii="Verdana" w:hAnsi="Verdana" w:cs="Arial"/>
          <w:color w:val="000000" w:themeColor="text1"/>
          <w:shd w:val="clear" w:color="auto" w:fill="FFFFFF"/>
          <w:lang w:val="es-ES"/>
        </w:rPr>
      </w:pPr>
      <w:r w:rsidRPr="00E84F1D">
        <w:rPr>
          <w:rFonts w:ascii="Verdana" w:hAnsi="Verdana" w:cs="Arial"/>
          <w:color w:val="000000" w:themeColor="text1"/>
          <w:shd w:val="clear" w:color="auto" w:fill="FFFFFF"/>
        </w:rPr>
        <w:lastRenderedPageBreak/>
        <w:t>De otra parte, te informamos que, con el objetivo de garantizar un conocimiento adecuado de las </w:t>
      </w:r>
      <w:r w:rsidRPr="00E84F1D">
        <w:rPr>
          <w:rFonts w:ascii="Verdana" w:hAnsi="Verdana" w:cs="Arial"/>
          <w:b/>
          <w:bCs/>
          <w:color w:val="000000" w:themeColor="text1"/>
          <w:shd w:val="clear" w:color="auto" w:fill="FFFFFF"/>
        </w:rPr>
        <w:t>modificaciones y/o actualizaciones realizadas a los Documentos Tipo</w:t>
      </w:r>
      <w:r w:rsidRPr="00E84F1D">
        <w:rPr>
          <w:rFonts w:ascii="Verdana" w:hAnsi="Verdana" w:cs="Arial"/>
          <w:color w:val="000000" w:themeColor="text1"/>
          <w:shd w:val="clear" w:color="auto" w:fill="FFFFFF"/>
        </w:rPr>
        <w:t>, hemos programado una serie de </w:t>
      </w:r>
      <w:r w:rsidRPr="00E84F1D">
        <w:rPr>
          <w:rFonts w:ascii="Verdana" w:hAnsi="Verdana" w:cs="Arial"/>
          <w:b/>
          <w:bCs/>
          <w:color w:val="000000" w:themeColor="text1"/>
          <w:shd w:val="clear" w:color="auto" w:fill="FFFFFF"/>
        </w:rPr>
        <w:t>capacitaciones </w:t>
      </w:r>
      <w:r w:rsidRPr="00E84F1D">
        <w:rPr>
          <w:rFonts w:ascii="Verdana" w:hAnsi="Verdana" w:cs="Arial"/>
          <w:color w:val="000000" w:themeColor="text1"/>
          <w:shd w:val="clear" w:color="auto" w:fill="FFFFFF"/>
        </w:rPr>
        <w:t>dirigidas a todos los actores involucrados en los procesos de selección. Podrás conocer la programación y realizar tu inscripción a estas capacitaciones a través del siguiente enlace: </w:t>
      </w:r>
      <w:hyperlink r:id="rId14" w:tgtFrame="_blank" w:tooltip="Dirección URL original: https://www.colombiacompra.gov.co/ciudadanos/calendario. Haga clic o pulse si confía en este vínculo." w:history="1">
        <w:r w:rsidRPr="00E84F1D">
          <w:rPr>
            <w:rStyle w:val="Hipervnculo"/>
            <w:rFonts w:ascii="Verdana" w:hAnsi="Verdana" w:cs="Arial"/>
            <w:shd w:val="clear" w:color="auto" w:fill="FFFFFF"/>
          </w:rPr>
          <w:t>Calendario | Colombia Compra Eficiente | Agencia Nacional de Contratación Pública</w:t>
        </w:r>
      </w:hyperlink>
    </w:p>
    <w:p w14:paraId="7784C5A6" w14:textId="77777777" w:rsidR="00D578C5" w:rsidRPr="00E84F1D" w:rsidRDefault="00D578C5" w:rsidP="00D578C5">
      <w:pPr>
        <w:widowControl w:val="0"/>
        <w:autoSpaceDE w:val="0"/>
        <w:autoSpaceDN w:val="0"/>
        <w:spacing w:after="0" w:line="276" w:lineRule="auto"/>
        <w:jc w:val="both"/>
        <w:rPr>
          <w:rFonts w:ascii="Verdana" w:hAnsi="Verdana" w:cs="Arial"/>
          <w:color w:val="000000" w:themeColor="text1"/>
          <w:shd w:val="clear" w:color="auto" w:fill="FFFFFF"/>
        </w:rPr>
      </w:pPr>
    </w:p>
    <w:p w14:paraId="3B9F7C13" w14:textId="77777777" w:rsidR="00D578C5" w:rsidRPr="00E84F1D" w:rsidRDefault="00D578C5" w:rsidP="00D578C5">
      <w:pPr>
        <w:widowControl w:val="0"/>
        <w:autoSpaceDE w:val="0"/>
        <w:autoSpaceDN w:val="0"/>
        <w:spacing w:after="0" w:line="276" w:lineRule="auto"/>
        <w:jc w:val="both"/>
        <w:rPr>
          <w:rFonts w:ascii="Verdana" w:hAnsi="Verdana" w:cs="Arial"/>
          <w:color w:val="000000" w:themeColor="text1"/>
          <w:shd w:val="clear" w:color="auto" w:fill="FFFFFF"/>
        </w:rPr>
      </w:pPr>
      <w:r w:rsidRPr="00E84F1D">
        <w:rPr>
          <w:rFonts w:ascii="Verdana" w:hAnsi="Verdana" w:cs="Arial"/>
          <w:color w:val="000000" w:themeColor="text1"/>
          <w:shd w:val="clear" w:color="auto" w:fill="FFFFFF"/>
        </w:rPr>
        <w:t>También, te contamos que ya publicamos </w:t>
      </w:r>
      <w:r w:rsidRPr="00E84F1D">
        <w:rPr>
          <w:rFonts w:ascii="Verdana" w:hAnsi="Verdana" w:cs="Arial"/>
          <w:b/>
          <w:bCs/>
          <w:color w:val="000000" w:themeColor="text1"/>
          <w:shd w:val="clear" w:color="auto" w:fill="FFFFFF"/>
        </w:rPr>
        <w:t>la nueva Guía de Contratación Pública Sostenible y Socialmente Responsable</w:t>
      </w:r>
      <w:r w:rsidRPr="00E84F1D">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gtFrame="_blank" w:tooltip="Dirección URL original: https://www.colombiacompra.gov.co/manuales-guias-y-pliegos-tipo/manuales-y-guias/guia-de-contratacion-publica-sostenible-y-socialmente. Haga clic o pulse si confía en este vínculo." w:history="1">
        <w:r w:rsidRPr="00E84F1D">
          <w:rPr>
            <w:rStyle w:val="Hipervnculo"/>
            <w:rFonts w:ascii="Verdana" w:hAnsi="Verdana" w:cs="Arial"/>
            <w:shd w:val="clear" w:color="auto" w:fill="FFFFFF"/>
          </w:rPr>
          <w:t>Guía de Contratación Pública Sostenible y Socialmente Responsable | Colombia Compra Eficiente | Agencia Nacional de Contratación Pública</w:t>
        </w:r>
      </w:hyperlink>
    </w:p>
    <w:p w14:paraId="7067A7A9" w14:textId="77777777" w:rsidR="00D578C5" w:rsidRDefault="00D578C5" w:rsidP="00D578C5">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5397F887" w14:textId="77777777" w:rsidR="00D578C5" w:rsidRPr="003E2460" w:rsidRDefault="00D578C5" w:rsidP="00D578C5">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08262FE2" w14:textId="77777777" w:rsidR="00D578C5" w:rsidRPr="003E2460" w:rsidRDefault="00D578C5" w:rsidP="00D578C5">
      <w:pPr>
        <w:spacing w:after="0" w:line="240" w:lineRule="auto"/>
        <w:jc w:val="both"/>
        <w:rPr>
          <w:rFonts w:ascii="Verdana" w:hAnsi="Verdana"/>
        </w:rPr>
      </w:pPr>
    </w:p>
    <w:p w14:paraId="3C07A69A" w14:textId="77777777" w:rsidR="00D578C5" w:rsidRPr="003E2460" w:rsidRDefault="00D578C5" w:rsidP="00D578C5">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0C8F2FF3" w14:textId="77777777" w:rsidR="00D578C5" w:rsidRPr="003E2460" w:rsidRDefault="00D578C5" w:rsidP="00D578C5">
      <w:pPr>
        <w:spacing w:after="0" w:line="240" w:lineRule="auto"/>
        <w:jc w:val="both"/>
        <w:rPr>
          <w:rFonts w:ascii="Verdana" w:hAnsi="Verdana"/>
        </w:rPr>
      </w:pPr>
      <w:r w:rsidRPr="003E2460">
        <w:rPr>
          <w:rFonts w:ascii="Verdana" w:hAnsi="Verdana"/>
        </w:rPr>
        <w:t xml:space="preserve">Facebook: </w:t>
      </w:r>
      <w:r w:rsidRPr="003E2460">
        <w:rPr>
          <w:rStyle w:val="Hipervnculo"/>
          <w:rFonts w:ascii="Verdana" w:hAnsi="Verdana"/>
          <w:color w:val="4472C4" w:themeColor="accent1"/>
        </w:rPr>
        <w:t>ColombiaCompraEficiente</w:t>
      </w:r>
    </w:p>
    <w:p w14:paraId="6C2F341F" w14:textId="77777777" w:rsidR="00D578C5" w:rsidRPr="003E2460" w:rsidRDefault="00D578C5" w:rsidP="00D578C5">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69EF87F7" w14:textId="77777777" w:rsidR="00D578C5" w:rsidRPr="00593A5F" w:rsidRDefault="00D578C5" w:rsidP="00D578C5">
      <w:pPr>
        <w:widowControl w:val="0"/>
        <w:autoSpaceDE w:val="0"/>
        <w:autoSpaceDN w:val="0"/>
        <w:spacing w:after="0" w:line="276" w:lineRule="auto"/>
        <w:jc w:val="both"/>
        <w:rPr>
          <w:rFonts w:ascii="Verdana" w:hAnsi="Verdana" w:cs="Arial"/>
        </w:rPr>
      </w:pPr>
    </w:p>
    <w:p w14:paraId="253FEE91" w14:textId="77777777" w:rsidR="00D578C5" w:rsidRPr="00593A5F" w:rsidRDefault="00D578C5" w:rsidP="00D578C5">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20AFF05E" w14:textId="77777777" w:rsidR="00D578C5" w:rsidRPr="00593A5F" w:rsidRDefault="00D578C5" w:rsidP="00D578C5">
      <w:pPr>
        <w:widowControl w:val="0"/>
        <w:autoSpaceDE w:val="0"/>
        <w:autoSpaceDN w:val="0"/>
        <w:spacing w:after="0" w:line="276" w:lineRule="auto"/>
        <w:jc w:val="both"/>
        <w:rPr>
          <w:rFonts w:ascii="Verdana" w:hAnsi="Verdana" w:cs="Arial"/>
        </w:rPr>
      </w:pPr>
    </w:p>
    <w:p w14:paraId="18A508C3" w14:textId="77777777" w:rsidR="00D578C5" w:rsidRPr="00593A5F" w:rsidRDefault="00D578C5" w:rsidP="00D578C5">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0E4DE6AD" w14:textId="0044744C" w:rsidR="00D578C5" w:rsidRPr="00593A5F" w:rsidRDefault="00EB3E33" w:rsidP="00D578C5">
      <w:pPr>
        <w:spacing w:line="276" w:lineRule="auto"/>
        <w:jc w:val="center"/>
        <w:rPr>
          <w:rFonts w:ascii="Verdana" w:hAnsi="Verdana" w:cs="Arial"/>
          <w:color w:val="000000"/>
          <w:lang w:val="es-ES_tradnl" w:eastAsia="es-CO"/>
        </w:rPr>
      </w:pPr>
      <w:r>
        <w:rPr>
          <w:noProof/>
        </w:rPr>
        <w:drawing>
          <wp:inline distT="0" distB="0" distL="0" distR="0" wp14:anchorId="5D2E3564" wp14:editId="50C3167E">
            <wp:extent cx="3771429" cy="1400000"/>
            <wp:effectExtent l="0" t="0" r="635" b="0"/>
            <wp:docPr id="160314956"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14956" name="Imagen 1" descr="Texto&#10;&#10;El contenido generado por IA puede ser incorrecto."/>
                    <pic:cNvPicPr/>
                  </pic:nvPicPr>
                  <pic:blipFill>
                    <a:blip r:embed="rId16"/>
                    <a:stretch>
                      <a:fillRect/>
                    </a:stretch>
                  </pic:blipFill>
                  <pic:spPr>
                    <a:xfrm>
                      <a:off x="0" y="0"/>
                      <a:ext cx="3771429" cy="140000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578C5" w:rsidRPr="00593A5F" w14:paraId="40D9593B" w14:textId="77777777" w:rsidTr="003C75B9">
        <w:trPr>
          <w:trHeight w:val="315"/>
        </w:trPr>
        <w:tc>
          <w:tcPr>
            <w:tcW w:w="893" w:type="dxa"/>
            <w:vAlign w:val="center"/>
            <w:hideMark/>
          </w:tcPr>
          <w:p w14:paraId="5D973969" w14:textId="77777777" w:rsidR="00D578C5" w:rsidRPr="003751C7" w:rsidRDefault="00D578C5" w:rsidP="003C75B9">
            <w:pPr>
              <w:contextualSpacing/>
              <w:rPr>
                <w:rFonts w:ascii="Verdana" w:hAnsi="Verdana" w:cs="Arial"/>
                <w:sz w:val="16"/>
                <w:szCs w:val="16"/>
                <w:lang w:val="es-ES" w:eastAsia="es-ES"/>
              </w:rPr>
            </w:pPr>
            <w:r w:rsidRPr="003751C7">
              <w:rPr>
                <w:rFonts w:ascii="Verdana" w:hAnsi="Verdana" w:cs="Arial"/>
                <w:sz w:val="16"/>
                <w:szCs w:val="16"/>
                <w:lang w:val="es-ES" w:eastAsia="es-ES"/>
              </w:rPr>
              <w:lastRenderedPageBreak/>
              <w:t>Elaboró:</w:t>
            </w:r>
          </w:p>
        </w:tc>
        <w:tc>
          <w:tcPr>
            <w:tcW w:w="5628" w:type="dxa"/>
            <w:tcBorders>
              <w:top w:val="nil"/>
              <w:left w:val="nil"/>
              <w:bottom w:val="dotted" w:sz="4" w:space="0" w:color="7F7F7F" w:themeColor="text1" w:themeTint="80"/>
              <w:right w:val="nil"/>
            </w:tcBorders>
            <w:vAlign w:val="center"/>
            <w:hideMark/>
          </w:tcPr>
          <w:p w14:paraId="0D8264B0" w14:textId="77777777" w:rsidR="00D578C5" w:rsidRPr="00B63416" w:rsidRDefault="00D578C5" w:rsidP="003C75B9">
            <w:pPr>
              <w:contextualSpacing/>
              <w:rPr>
                <w:rStyle w:val="normaltextrun"/>
                <w:rFonts w:ascii="Verdana" w:hAnsi="Verdana"/>
                <w:color w:val="000000" w:themeColor="text1"/>
                <w:sz w:val="16"/>
                <w:szCs w:val="16"/>
              </w:rPr>
            </w:pPr>
            <w:r w:rsidRPr="00B63416">
              <w:rPr>
                <w:rStyle w:val="normaltextrun"/>
                <w:rFonts w:ascii="Verdana" w:hAnsi="Verdana"/>
                <w:color w:val="000000" w:themeColor="text1"/>
                <w:sz w:val="16"/>
                <w:szCs w:val="16"/>
              </w:rPr>
              <w:t>Santiago Alberto Herrera Morillo</w:t>
            </w:r>
          </w:p>
          <w:p w14:paraId="5E5D6ADC" w14:textId="77777777" w:rsidR="00D578C5" w:rsidRPr="00B63416" w:rsidRDefault="00D578C5" w:rsidP="003C75B9">
            <w:pPr>
              <w:contextualSpacing/>
              <w:rPr>
                <w:rFonts w:ascii="Verdana" w:eastAsia="Arial" w:hAnsi="Verdana" w:cs="Arial"/>
                <w:color w:val="000000" w:themeColor="text1"/>
                <w:sz w:val="16"/>
                <w:szCs w:val="16"/>
              </w:rPr>
            </w:pPr>
            <w:r w:rsidRPr="00B63416">
              <w:rPr>
                <w:rStyle w:val="normaltextrun"/>
                <w:rFonts w:ascii="Verdana" w:hAnsi="Verdana"/>
                <w:color w:val="000000" w:themeColor="text1"/>
                <w:sz w:val="16"/>
                <w:szCs w:val="16"/>
              </w:rPr>
              <w:t xml:space="preserve">Analista T2-02 </w:t>
            </w:r>
            <w:r w:rsidRPr="00B63416">
              <w:rPr>
                <w:rStyle w:val="normaltextrun"/>
                <w:rFonts w:ascii="Verdana" w:eastAsia="Arial" w:hAnsi="Verdana" w:cs="Arial"/>
                <w:color w:val="000000" w:themeColor="text1"/>
                <w:sz w:val="16"/>
                <w:szCs w:val="16"/>
              </w:rPr>
              <w:t>de la Subdirección de Gestión Contractual</w:t>
            </w:r>
          </w:p>
        </w:tc>
      </w:tr>
      <w:tr w:rsidR="00D578C5" w:rsidRPr="00593A5F" w14:paraId="08384FA7" w14:textId="77777777" w:rsidTr="003C75B9">
        <w:trPr>
          <w:trHeight w:val="330"/>
        </w:trPr>
        <w:tc>
          <w:tcPr>
            <w:tcW w:w="893" w:type="dxa"/>
            <w:vAlign w:val="center"/>
            <w:hideMark/>
          </w:tcPr>
          <w:p w14:paraId="6D410812" w14:textId="77777777" w:rsidR="00D578C5" w:rsidRPr="003751C7" w:rsidRDefault="00D578C5" w:rsidP="003C75B9">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2DF79FF" w14:textId="77777777" w:rsidR="00D578C5" w:rsidRPr="00B63416" w:rsidRDefault="00D578C5" w:rsidP="003C75B9">
            <w:pPr>
              <w:pStyle w:val="paragraph"/>
              <w:spacing w:before="0" w:beforeAutospacing="0" w:after="0" w:afterAutospacing="0"/>
              <w:contextualSpacing/>
              <w:textAlignment w:val="baseline"/>
              <w:rPr>
                <w:rStyle w:val="normaltextrun"/>
                <w:rFonts w:ascii="Verdana" w:hAnsi="Verdana" w:cs="Arial"/>
                <w:color w:val="000000" w:themeColor="text1"/>
                <w:sz w:val="16"/>
                <w:szCs w:val="16"/>
                <w:lang w:val="es-ES"/>
              </w:rPr>
            </w:pPr>
            <w:r w:rsidRPr="00B63416">
              <w:rPr>
                <w:rStyle w:val="normaltextrun"/>
                <w:rFonts w:ascii="Verdana" w:hAnsi="Verdana" w:cs="Arial"/>
                <w:color w:val="000000" w:themeColor="text1"/>
                <w:sz w:val="16"/>
                <w:szCs w:val="16"/>
                <w:lang w:val="es-ES"/>
              </w:rPr>
              <w:t>Juan Carlos González Vásquez</w:t>
            </w:r>
          </w:p>
          <w:p w14:paraId="0258155D" w14:textId="77777777" w:rsidR="00D578C5" w:rsidRPr="00B63416" w:rsidRDefault="00D578C5" w:rsidP="003C75B9">
            <w:pPr>
              <w:pStyle w:val="paragraph"/>
              <w:spacing w:before="0" w:beforeAutospacing="0" w:after="0" w:afterAutospacing="0"/>
              <w:contextualSpacing/>
              <w:textAlignment w:val="baseline"/>
              <w:rPr>
                <w:rFonts w:ascii="Verdana" w:hAnsi="Verdana" w:cs="Segoe UI"/>
                <w:color w:val="000000" w:themeColor="text1"/>
                <w:sz w:val="16"/>
                <w:szCs w:val="16"/>
              </w:rPr>
            </w:pPr>
            <w:r w:rsidRPr="00B63416">
              <w:rPr>
                <w:rStyle w:val="normaltextrun"/>
                <w:rFonts w:ascii="Verdana" w:hAnsi="Verdana" w:cs="Arial"/>
                <w:color w:val="000000" w:themeColor="text1"/>
                <w:sz w:val="16"/>
                <w:szCs w:val="16"/>
                <w:lang w:val="es-ES"/>
              </w:rPr>
              <w:t>Contratista de la Subdirección de Gestión Contractual</w:t>
            </w:r>
            <w:r w:rsidRPr="00B63416">
              <w:rPr>
                <w:rStyle w:val="eop"/>
                <w:rFonts w:ascii="Verdana" w:hAnsi="Verdana" w:cs="Arial"/>
                <w:color w:val="000000" w:themeColor="text1"/>
                <w:sz w:val="16"/>
                <w:szCs w:val="16"/>
              </w:rPr>
              <w:t> </w:t>
            </w:r>
          </w:p>
        </w:tc>
      </w:tr>
      <w:tr w:rsidR="00D578C5" w:rsidRPr="00593A5F" w14:paraId="0BC7B97A" w14:textId="77777777" w:rsidTr="003C75B9">
        <w:trPr>
          <w:trHeight w:val="300"/>
        </w:trPr>
        <w:tc>
          <w:tcPr>
            <w:tcW w:w="893" w:type="dxa"/>
            <w:vAlign w:val="center"/>
          </w:tcPr>
          <w:p w14:paraId="73547C5B" w14:textId="77777777" w:rsidR="00D578C5" w:rsidRPr="003751C7" w:rsidRDefault="00D578C5" w:rsidP="003C75B9">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B3392DB" w14:textId="77777777" w:rsidR="00D578C5" w:rsidRPr="003751C7" w:rsidRDefault="00D578C5" w:rsidP="003C75B9">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Carolina Quintero Gacharná</w:t>
            </w:r>
          </w:p>
          <w:p w14:paraId="5495A42A" w14:textId="77777777" w:rsidR="00D578C5" w:rsidRPr="003751C7" w:rsidRDefault="00D578C5" w:rsidP="003C75B9">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Contractual ANCP – CCE</w:t>
            </w:r>
          </w:p>
        </w:tc>
      </w:tr>
    </w:tbl>
    <w:p w14:paraId="0823251C" w14:textId="77777777" w:rsidR="00D578C5" w:rsidRPr="00593A5F" w:rsidRDefault="00D578C5" w:rsidP="00D578C5">
      <w:pPr>
        <w:spacing w:after="0" w:line="240" w:lineRule="auto"/>
        <w:rPr>
          <w:rFonts w:ascii="Verdana" w:eastAsia="Times New Roman" w:hAnsi="Verdana" w:cs="Arial"/>
          <w:sz w:val="24"/>
          <w:szCs w:val="24"/>
          <w:lang w:eastAsia="es-ES"/>
        </w:rPr>
      </w:pPr>
    </w:p>
    <w:p w14:paraId="475367F5" w14:textId="77777777" w:rsidR="00D578C5" w:rsidRPr="00871B59" w:rsidRDefault="00D578C5" w:rsidP="00D578C5"/>
    <w:p w14:paraId="3900974D" w14:textId="77777777" w:rsidR="003D5B0D" w:rsidRPr="00D578C5" w:rsidRDefault="003D5B0D" w:rsidP="00D578C5"/>
    <w:sectPr w:rsidR="003D5B0D" w:rsidRPr="00D578C5"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2CD62" w14:textId="77777777" w:rsidR="00757151" w:rsidRDefault="00757151" w:rsidP="004A1847">
      <w:pPr>
        <w:spacing w:after="0" w:line="240" w:lineRule="auto"/>
      </w:pPr>
      <w:r>
        <w:separator/>
      </w:r>
    </w:p>
  </w:endnote>
  <w:endnote w:type="continuationSeparator" w:id="0">
    <w:p w14:paraId="41425BAF" w14:textId="77777777" w:rsidR="00757151" w:rsidRDefault="0075715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EDC14" w14:textId="77777777" w:rsidR="00757151" w:rsidRDefault="00757151" w:rsidP="004A1847">
      <w:pPr>
        <w:spacing w:after="0" w:line="240" w:lineRule="auto"/>
      </w:pPr>
      <w:r>
        <w:separator/>
      </w:r>
    </w:p>
  </w:footnote>
  <w:footnote w:type="continuationSeparator" w:id="0">
    <w:p w14:paraId="67EC7FF4" w14:textId="77777777" w:rsidR="00757151" w:rsidRDefault="00757151" w:rsidP="004A1847">
      <w:pPr>
        <w:spacing w:after="0" w:line="240" w:lineRule="auto"/>
      </w:pPr>
      <w:r>
        <w:continuationSeparator/>
      </w:r>
    </w:p>
  </w:footnote>
  <w:footnote w:id="1">
    <w:p w14:paraId="032DFBAF" w14:textId="77777777" w:rsidR="00D578C5" w:rsidRPr="00751E10" w:rsidRDefault="00D578C5" w:rsidP="00D578C5">
      <w:pPr>
        <w:pStyle w:val="Textonotapie"/>
        <w:rPr>
          <w:rFonts w:ascii="Verdana" w:hAnsi="Verdana"/>
          <w:sz w:val="16"/>
          <w:szCs w:val="16"/>
          <w:lang w:val="es-ES"/>
        </w:rPr>
      </w:pPr>
      <w:r w:rsidRPr="00751E10">
        <w:rPr>
          <w:rStyle w:val="Refdenotaalpie"/>
          <w:rFonts w:ascii="Verdana" w:hAnsi="Verdana"/>
          <w:sz w:val="16"/>
          <w:szCs w:val="16"/>
        </w:rPr>
        <w:footnoteRef/>
      </w:r>
      <w:r w:rsidRPr="00751E10">
        <w:rPr>
          <w:rFonts w:ascii="Verdana" w:hAnsi="Verdana"/>
          <w:sz w:val="16"/>
          <w:szCs w:val="16"/>
        </w:rPr>
        <w:t xml:space="preserve"> </w:t>
      </w:r>
      <w:bookmarkStart w:id="1" w:name="_Hlk193296629"/>
      <w:r w:rsidRPr="00751E10">
        <w:rPr>
          <w:rFonts w:ascii="Verdana" w:hAnsi="Verdana"/>
          <w:sz w:val="16"/>
          <w:szCs w:val="16"/>
          <w:lang w:val="es-ES"/>
        </w:rPr>
        <w:t>Ley 80 de 1993, Artículo 40, parágrafo</w:t>
      </w:r>
      <w:bookmarkEnd w:id="1"/>
      <w:r w:rsidRPr="00751E10">
        <w:rPr>
          <w:rFonts w:ascii="Verdana" w:hAnsi="Verdana"/>
          <w:sz w:val="16"/>
          <w:szCs w:val="16"/>
          <w:lang w:val="es-ES"/>
        </w:rPr>
        <w:t>: “´[…] Los contratos no podrán adicionarse en más del cincuenta por ciento (50%) de su valor inicial, expresado éste en salarios mínimos legales mensuales.”</w:t>
      </w:r>
    </w:p>
  </w:footnote>
  <w:footnote w:id="2">
    <w:p w14:paraId="161D2C76" w14:textId="77777777" w:rsidR="00D578C5" w:rsidRPr="00751E10" w:rsidRDefault="00D578C5" w:rsidP="00D578C5">
      <w:pPr>
        <w:pStyle w:val="Textonotapie"/>
        <w:ind w:firstLine="708"/>
        <w:jc w:val="both"/>
        <w:rPr>
          <w:rFonts w:ascii="Verdana" w:hAnsi="Verdana" w:cs="Arial"/>
          <w:sz w:val="16"/>
          <w:szCs w:val="16"/>
          <w:lang w:val="es-ES_tradnl"/>
        </w:rPr>
      </w:pPr>
      <w:r w:rsidRPr="00751E10">
        <w:rPr>
          <w:rStyle w:val="Refdenotaalpie"/>
          <w:rFonts w:ascii="Verdana" w:hAnsi="Verdana" w:cs="Arial"/>
          <w:sz w:val="16"/>
          <w:szCs w:val="16"/>
        </w:rPr>
        <w:footnoteRef/>
      </w:r>
      <w:r w:rsidRPr="00751E10">
        <w:rPr>
          <w:rFonts w:ascii="Verdana" w:hAnsi="Verdana" w:cs="Arial"/>
          <w:sz w:val="16"/>
          <w:szCs w:val="16"/>
        </w:rPr>
        <w:t xml:space="preserve"> Los acuerdos de voluntades que no cumplan con esta formalidad se consideran inexistentes, por lo tanto, tal como lo ha planteado el Consejo de Estado en el </w:t>
      </w:r>
      <w:bookmarkStart w:id="3" w:name="_Hlk193296747"/>
      <w:r w:rsidRPr="00751E10">
        <w:rPr>
          <w:rFonts w:ascii="Verdana" w:hAnsi="Verdana" w:cs="Arial"/>
          <w:sz w:val="16"/>
          <w:szCs w:val="16"/>
        </w:rPr>
        <w:t>Concepto 2263 del 17 de marzo del 2017</w:t>
      </w:r>
      <w:bookmarkEnd w:id="3"/>
      <w:r w:rsidRPr="00751E10">
        <w:rPr>
          <w:rFonts w:ascii="Verdana" w:hAnsi="Verdana" w:cs="Arial"/>
          <w:sz w:val="16"/>
          <w:szCs w:val="16"/>
        </w:rPr>
        <w:t>,  “las eventuales reclamaciones contractuales que pueda presentar un particular sobre prestaciones realizadas, sin la previa modificación del mismo, están llamadas al fracaso, pues la Administración no puede reconocer situaciones de hecho u obligaciones dinerarias con cargo a un contrato que estipula obligaciones distintas</w:t>
      </w:r>
      <w:r w:rsidRPr="00751E10">
        <w:rPr>
          <w:rFonts w:ascii="Verdana" w:hAnsi="Verdana" w:cs="Arial"/>
          <w:sz w:val="16"/>
          <w:szCs w:val="16"/>
          <w:lang w:val="es-ES_tradnl"/>
        </w:rPr>
        <w:t>”.</w:t>
      </w:r>
    </w:p>
    <w:p w14:paraId="783F7412" w14:textId="77777777" w:rsidR="00D578C5" w:rsidRPr="00751E10" w:rsidRDefault="00D578C5" w:rsidP="00D578C5">
      <w:pPr>
        <w:pStyle w:val="Textonotapie"/>
        <w:jc w:val="both"/>
        <w:rPr>
          <w:rFonts w:ascii="Verdana" w:hAnsi="Verdana" w:cs="Arial"/>
          <w:sz w:val="16"/>
          <w:szCs w:val="16"/>
          <w:lang w:val="es-CO"/>
        </w:rPr>
      </w:pPr>
    </w:p>
  </w:footnote>
  <w:footnote w:id="3">
    <w:p w14:paraId="3554D924" w14:textId="77777777" w:rsidR="00D578C5" w:rsidRPr="00751E10" w:rsidRDefault="00D578C5" w:rsidP="00D578C5">
      <w:pPr>
        <w:pStyle w:val="Textonotapie"/>
        <w:ind w:firstLine="708"/>
        <w:jc w:val="both"/>
        <w:rPr>
          <w:rFonts w:ascii="Verdana" w:hAnsi="Verdana" w:cs="Arial"/>
          <w:sz w:val="16"/>
          <w:szCs w:val="16"/>
          <w:lang w:val="es-CO"/>
        </w:rPr>
      </w:pPr>
      <w:r w:rsidRPr="00751E10">
        <w:rPr>
          <w:rStyle w:val="Refdenotaalpie"/>
          <w:rFonts w:ascii="Verdana" w:hAnsi="Verdana" w:cs="Arial"/>
          <w:sz w:val="16"/>
          <w:szCs w:val="16"/>
        </w:rPr>
        <w:footnoteRef/>
      </w:r>
      <w:r w:rsidRPr="00751E10">
        <w:rPr>
          <w:rFonts w:ascii="Verdana" w:hAnsi="Verdana" w:cs="Arial"/>
          <w:sz w:val="16"/>
          <w:szCs w:val="16"/>
        </w:rPr>
        <w:t xml:space="preserve"> Ibídem</w:t>
      </w:r>
    </w:p>
  </w:footnote>
  <w:footnote w:id="4">
    <w:p w14:paraId="131B04A3" w14:textId="77777777" w:rsidR="00D578C5" w:rsidRPr="00751E10" w:rsidRDefault="00D578C5" w:rsidP="00D578C5">
      <w:pPr>
        <w:pStyle w:val="Textonotapie"/>
        <w:ind w:firstLine="709"/>
        <w:contextualSpacing/>
        <w:jc w:val="both"/>
        <w:rPr>
          <w:rFonts w:ascii="Verdana" w:hAnsi="Verdana" w:cstheme="minorHAnsi"/>
          <w:sz w:val="16"/>
          <w:szCs w:val="16"/>
        </w:rPr>
      </w:pPr>
      <w:r w:rsidRPr="00751E10">
        <w:rPr>
          <w:rStyle w:val="Refdenotaalpie"/>
          <w:rFonts w:ascii="Verdana" w:hAnsi="Verdana" w:cstheme="minorHAnsi"/>
          <w:sz w:val="16"/>
          <w:szCs w:val="16"/>
        </w:rPr>
        <w:footnoteRef/>
      </w:r>
      <w:r w:rsidRPr="00751E10">
        <w:rPr>
          <w:rFonts w:ascii="Verdana" w:hAnsi="Verdana" w:cstheme="minorHAnsi"/>
          <w:sz w:val="16"/>
          <w:szCs w:val="16"/>
        </w:rPr>
        <w:t xml:space="preserve"> Lo anterior, sin perjuicio de la posibilidad que establece el artículo 41 del CPACA frente a la posibilidad de corregir irregularidades en la actuación administrativa, previo a la expedición del acto administrativo respectivo. Dicho artículo prescribe: “Artículo 41. corrección de irregularidades en la actuación administrativa. La autoridad, en cualquier momento anterior a la expedición del acto, de oficio o a petición de parte, corregirá las irregularidades que se hayan presentado en la actuación administrativa para ajustarla a derecho, y adoptará las medidas necesarias para concluirla”.</w:t>
      </w:r>
    </w:p>
    <w:p w14:paraId="0E8D8A6E" w14:textId="77777777" w:rsidR="00D578C5" w:rsidRPr="00751E10" w:rsidRDefault="00D578C5" w:rsidP="00D578C5">
      <w:pPr>
        <w:pStyle w:val="Textonotapie"/>
        <w:ind w:firstLine="709"/>
        <w:contextualSpacing/>
        <w:jc w:val="both"/>
        <w:rPr>
          <w:rFonts w:ascii="Verdana" w:hAnsi="Verdana" w:cstheme="minorHAnsi"/>
          <w:sz w:val="16"/>
          <w:szCs w:val="16"/>
        </w:rPr>
      </w:pPr>
    </w:p>
  </w:footnote>
  <w:footnote w:id="5">
    <w:p w14:paraId="67044DB0" w14:textId="77777777" w:rsidR="00D578C5" w:rsidRPr="00751E10" w:rsidRDefault="00D578C5" w:rsidP="00D578C5">
      <w:pPr>
        <w:pStyle w:val="Textonotapie"/>
        <w:ind w:firstLine="708"/>
        <w:contextualSpacing/>
        <w:jc w:val="both"/>
        <w:rPr>
          <w:rFonts w:ascii="Verdana" w:hAnsi="Verdana" w:cs="Arial"/>
          <w:sz w:val="16"/>
          <w:szCs w:val="16"/>
        </w:rPr>
      </w:pPr>
      <w:r w:rsidRPr="00751E10">
        <w:rPr>
          <w:rStyle w:val="Refdenotaalpie"/>
          <w:rFonts w:ascii="Verdana" w:hAnsi="Verdana" w:cs="Arial"/>
          <w:sz w:val="16"/>
          <w:szCs w:val="16"/>
        </w:rPr>
        <w:footnoteRef/>
      </w:r>
      <w:r w:rsidRPr="00751E10">
        <w:rPr>
          <w:rFonts w:ascii="Verdana" w:hAnsi="Verdana" w:cs="Arial"/>
          <w:sz w:val="16"/>
          <w:szCs w:val="16"/>
        </w:rPr>
        <w:t xml:space="preserve"> SANTOFIMIO GAMBÓA, Jaime Orlando. Compendio de Derecho Administrativo. Editorial Universidad Externado de Colombia. Págs. 672-673. Bogotá, 2017.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3807BCF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635542667" o:spid="_x0000_i1025" type="#_x0000_t75" style="width:11.25pt;height:11.25pt;visibility:visible;mso-wrap-style:square">
            <v:imagedata r:id="rId1" o:title=""/>
          </v:shape>
        </w:pict>
      </mc:Choice>
      <mc:Fallback>
        <w:drawing>
          <wp:inline distT="0" distB="0" distL="0" distR="0" wp14:anchorId="67C214B5" wp14:editId="1BA14550">
            <wp:extent cx="142875" cy="142875"/>
            <wp:effectExtent l="0" t="0" r="0" b="0"/>
            <wp:docPr id="1635542667" name="Imagen 1635542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511A0"/>
    <w:rsid w:val="001B2F2F"/>
    <w:rsid w:val="001E4177"/>
    <w:rsid w:val="001E5EE2"/>
    <w:rsid w:val="001F7DC6"/>
    <w:rsid w:val="0024092A"/>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3FE9"/>
    <w:rsid w:val="003A779E"/>
    <w:rsid w:val="003D0F4D"/>
    <w:rsid w:val="003D5B0D"/>
    <w:rsid w:val="003D636B"/>
    <w:rsid w:val="003E0499"/>
    <w:rsid w:val="003F3941"/>
    <w:rsid w:val="0040565A"/>
    <w:rsid w:val="00406575"/>
    <w:rsid w:val="00414C74"/>
    <w:rsid w:val="0042722E"/>
    <w:rsid w:val="0044528D"/>
    <w:rsid w:val="00461262"/>
    <w:rsid w:val="004A1847"/>
    <w:rsid w:val="004A305D"/>
    <w:rsid w:val="004F21C4"/>
    <w:rsid w:val="004F685F"/>
    <w:rsid w:val="005566E8"/>
    <w:rsid w:val="0056795B"/>
    <w:rsid w:val="00574867"/>
    <w:rsid w:val="00591460"/>
    <w:rsid w:val="005B3816"/>
    <w:rsid w:val="005C3777"/>
    <w:rsid w:val="005C5CDC"/>
    <w:rsid w:val="005D476C"/>
    <w:rsid w:val="006219F8"/>
    <w:rsid w:val="00665D70"/>
    <w:rsid w:val="006900D9"/>
    <w:rsid w:val="00706C16"/>
    <w:rsid w:val="00756841"/>
    <w:rsid w:val="00757151"/>
    <w:rsid w:val="007649AB"/>
    <w:rsid w:val="00771D0C"/>
    <w:rsid w:val="007833AC"/>
    <w:rsid w:val="007B268C"/>
    <w:rsid w:val="007B7171"/>
    <w:rsid w:val="007C0C0F"/>
    <w:rsid w:val="007C3DC2"/>
    <w:rsid w:val="007E5497"/>
    <w:rsid w:val="00806F5F"/>
    <w:rsid w:val="00820278"/>
    <w:rsid w:val="00867F95"/>
    <w:rsid w:val="008843B6"/>
    <w:rsid w:val="00891928"/>
    <w:rsid w:val="008A446D"/>
    <w:rsid w:val="008D180B"/>
    <w:rsid w:val="008F0EA7"/>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B0ADB"/>
    <w:rsid w:val="00B01B1A"/>
    <w:rsid w:val="00B66319"/>
    <w:rsid w:val="00B72CD3"/>
    <w:rsid w:val="00B72FFF"/>
    <w:rsid w:val="00BC3D36"/>
    <w:rsid w:val="00BD7F72"/>
    <w:rsid w:val="00C04FB3"/>
    <w:rsid w:val="00C330EB"/>
    <w:rsid w:val="00C41061"/>
    <w:rsid w:val="00C754BE"/>
    <w:rsid w:val="00C76B1C"/>
    <w:rsid w:val="00CB6357"/>
    <w:rsid w:val="00CC1B26"/>
    <w:rsid w:val="00D27DE2"/>
    <w:rsid w:val="00D423A2"/>
    <w:rsid w:val="00D520D8"/>
    <w:rsid w:val="00D578C5"/>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B3E33"/>
    <w:rsid w:val="00EC38A7"/>
    <w:rsid w:val="00ED7384"/>
    <w:rsid w:val="00EE1AA8"/>
    <w:rsid w:val="00F24AF7"/>
    <w:rsid w:val="00F31EDC"/>
    <w:rsid w:val="00F462B3"/>
    <w:rsid w:val="00F5664F"/>
    <w:rsid w:val="00F666C4"/>
    <w:rsid w:val="00F76AFC"/>
    <w:rsid w:val="00FA47C0"/>
    <w:rsid w:val="00FB5DD1"/>
    <w:rsid w:val="00FC2B5D"/>
    <w:rsid w:val="00FF1449"/>
    <w:rsid w:val="01F564F3"/>
    <w:rsid w:val="0400DFB4"/>
    <w:rsid w:val="32BD2DA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40565A"/>
    <w:pPr>
      <w:spacing w:line="240" w:lineRule="exact"/>
    </w:pPr>
    <w:rPr>
      <w:vertAlign w:val="superscript"/>
    </w:rPr>
  </w:style>
  <w:style w:type="paragraph" w:styleId="Textoindependiente">
    <w:name w:val="Body Text"/>
    <w:basedOn w:val="Normal"/>
    <w:link w:val="TextoindependienteCar"/>
    <w:uiPriority w:val="99"/>
    <w:unhideWhenUsed/>
    <w:qFormat/>
    <w:rsid w:val="0040565A"/>
    <w:pPr>
      <w:spacing w:after="120"/>
    </w:pPr>
  </w:style>
  <w:style w:type="character" w:customStyle="1" w:styleId="TextoindependienteCar">
    <w:name w:val="Texto independiente Car"/>
    <w:basedOn w:val="Fuentedeprrafopredeter"/>
    <w:link w:val="Textoindependiente"/>
    <w:uiPriority w:val="99"/>
    <w:rsid w:val="0040565A"/>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0565A"/>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cartilla-para-incentivar-y-fortalecer-el-acceso-las&amp;data=05%7C02%7Csantiago.herrera%40colombiacompra.gov.co%7Ceb0fd05604104aa4d3bc08dd4c4ad35e%7C7b09041e245149d08cb179d5e3d8c1be%7C0%7C0%7C638750606446139140%7CUnknown%7CTWFpbGZsb3d8eyJFbXB0eU1hcGkiOnRydWUsIlYiOiIwLjAuMDAwMCIsIlAiOiJXaW4zMiIsIkFOIjoiTWFpbCIsIldUIjoyfQ%3D%3D%7C0%7C%7C%7C&amp;sdata=KxTGDnwqMAr1Tiny1RYnBI1%2BPUB3YV4ivlvXtJoUF78%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amiloguzman111@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santiago.herrera%40colombiacompra.gov.co%7Ceb0fd05604104aa4d3bc08dd4c4ad35e%7C7b09041e245149d08cb179d5e3d8c1be%7C0%7C0%7C638750606446177660%7CUnknown%7CTWFpbGZsb3d8eyJFbXB0eU1hcGkiOnRydWUsIlYiOiIwLjAuMDAwMCIsIlAiOiJXaW4zMiIsIkFOIjoiTWFpbCIsIldUIjoyfQ%3D%3D%7C0%7C%7C%7C&amp;sdata=K9fGEvMQQb5JMmzyWrMHhWOzxpxjKcN%2B7XxhOsxZEww%3D&amp;reserved=0" TargetMode="Externa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iudadanos%2Fcalendario&amp;data=05%7C02%7Csantiago.herrera%40colombiacompra.gov.co%7Ceb0fd05604104aa4d3bc08dd4c4ad35e%7C7b09041e245149d08cb179d5e3d8c1be%7C0%7C0%7C638750606446161131%7CUnknown%7CTWFpbGZsb3d8eyJFbXB0eU1hcGkiOnRydWUsIlYiOiIwLjAuMDAwMCIsIlAiOiJXaW4zMiIsIkFOIjoiTWFpbCIsIldUIjoyfQ%3D%3D%7C0%7C%7C%7C&amp;sdata=k2oGE1ZhXRCG0WmpxnB5F6qDDfDsWeKH4Pnq6DccM3g%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7306B692-0316-46DD-849B-55F7517E9A4C}"/>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b531b13d-89bf-4629-be1e-22fdf3dd34d4"/>
    <ds:schemaRef ds:uri="8ae15d26-076e-464e-81a7-6f76a0fb3917"/>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4193</Words>
  <Characters>23064</Characters>
  <Application>Microsoft Office Word</Application>
  <DocSecurity>0</DocSecurity>
  <Lines>192</Lines>
  <Paragraphs>54</Paragraphs>
  <ScaleCrop>false</ScaleCrop>
  <Company/>
  <LinksUpToDate>false</LinksUpToDate>
  <CharactersWithSpaces>27203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Oscar David Mórelo Pedroza</cp:lastModifiedBy>
  <cp:revision>3</cp:revision>
  <cp:lastPrinted>2023-01-10T21:18:00Z</cp:lastPrinted>
  <dcterms:created xsi:type="dcterms:W3CDTF">2025-04-29T15:40:00Z</dcterms:created>
  <dcterms:modified xsi:type="dcterms:W3CDTF">2025-04-29T15:46:00Z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