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695CF537" w:rsidR="005A79FE" w:rsidRDefault="005A79FE" w:rsidP="0051E182">
      <w:pPr>
        <w:jc w:val="right"/>
        <w:rPr>
          <w:rFonts w:ascii="Arial" w:eastAsia="Times New Roman" w:hAnsi="Arial" w:cs="Arial"/>
          <w:b/>
          <w:bCs/>
          <w:color w:val="000000" w:themeColor="text1"/>
          <w:sz w:val="16"/>
          <w:szCs w:val="16"/>
          <w:lang w:eastAsia="es-ES"/>
        </w:rPr>
      </w:pPr>
      <w:r w:rsidRPr="0051E182">
        <w:rPr>
          <w:rFonts w:ascii="Arial" w:eastAsia="Times New Roman" w:hAnsi="Arial" w:cs="Arial"/>
          <w:b/>
          <w:bCs/>
          <w:color w:val="000000" w:themeColor="text1"/>
          <w:sz w:val="16"/>
          <w:szCs w:val="16"/>
          <w:lang w:eastAsia="es-ES"/>
        </w:rPr>
        <w:t>CCE-DES-FM-17</w:t>
      </w:r>
    </w:p>
    <w:p w14:paraId="2E381B4B" w14:textId="77777777" w:rsidR="007919DD" w:rsidRPr="003A3ED6" w:rsidRDefault="007919DD" w:rsidP="00670B9D">
      <w:pPr>
        <w:jc w:val="right"/>
        <w:rPr>
          <w:rFonts w:ascii="Arial" w:eastAsia="Calibri" w:hAnsi="Arial" w:cs="Arial"/>
          <w:b/>
          <w:color w:val="000000" w:themeColor="text1"/>
          <w:sz w:val="16"/>
          <w:szCs w:val="16"/>
        </w:rPr>
      </w:pPr>
    </w:p>
    <w:p w14:paraId="61568AA1" w14:textId="3F8A3D29" w:rsidR="00682416" w:rsidRPr="00682416" w:rsidRDefault="00682416" w:rsidP="00670B9D">
      <w:pPr>
        <w:pStyle w:val="Sinespaciado"/>
        <w:jc w:val="both"/>
        <w:rPr>
          <w:rFonts w:ascii="Arial" w:hAnsi="Arial" w:cs="Arial"/>
          <w:b/>
          <w:bCs/>
          <w:sz w:val="22"/>
        </w:rPr>
      </w:pPr>
      <w:r>
        <w:rPr>
          <w:rFonts w:ascii="Arial" w:hAnsi="Arial" w:cs="Arial"/>
          <w:b/>
          <w:bCs/>
          <w:sz w:val="22"/>
        </w:rPr>
        <w:t xml:space="preserve">INHABILIDADES </w:t>
      </w:r>
      <w:r w:rsidR="00E345C5">
        <w:rPr>
          <w:rFonts w:ascii="Arial" w:hAnsi="Arial" w:cs="Arial"/>
          <w:b/>
          <w:bCs/>
          <w:sz w:val="22"/>
        </w:rPr>
        <w:t>–</w:t>
      </w:r>
      <w:r>
        <w:rPr>
          <w:rFonts w:ascii="Arial" w:hAnsi="Arial" w:cs="Arial"/>
          <w:b/>
          <w:bCs/>
          <w:sz w:val="22"/>
        </w:rPr>
        <w:t xml:space="preserve"> Defi</w:t>
      </w:r>
      <w:r w:rsidR="008827C2">
        <w:rPr>
          <w:rFonts w:ascii="Arial" w:hAnsi="Arial" w:cs="Arial"/>
          <w:b/>
          <w:bCs/>
          <w:sz w:val="22"/>
        </w:rPr>
        <w:t xml:space="preserve">nición </w:t>
      </w:r>
      <w:r w:rsidR="00E345C5">
        <w:rPr>
          <w:rFonts w:ascii="Arial" w:hAnsi="Arial" w:cs="Arial"/>
          <w:b/>
          <w:bCs/>
          <w:sz w:val="22"/>
        </w:rPr>
        <w:t>–</w:t>
      </w:r>
      <w:r w:rsidR="008827C2">
        <w:rPr>
          <w:rFonts w:ascii="Arial" w:hAnsi="Arial" w:cs="Arial"/>
          <w:b/>
          <w:bCs/>
          <w:sz w:val="22"/>
        </w:rPr>
        <w:t xml:space="preserve"> Finalidad</w:t>
      </w:r>
      <w:r w:rsidR="005E7FEC">
        <w:rPr>
          <w:rFonts w:ascii="Arial" w:hAnsi="Arial" w:cs="Arial"/>
          <w:b/>
          <w:bCs/>
          <w:sz w:val="22"/>
        </w:rPr>
        <w:t xml:space="preserve"> </w:t>
      </w:r>
      <w:r w:rsidR="00E345C5">
        <w:rPr>
          <w:rFonts w:ascii="Arial" w:hAnsi="Arial" w:cs="Arial"/>
          <w:b/>
          <w:bCs/>
          <w:sz w:val="22"/>
        </w:rPr>
        <w:t>–</w:t>
      </w:r>
      <w:r w:rsidR="005E7FEC">
        <w:rPr>
          <w:rFonts w:ascii="Arial" w:hAnsi="Arial" w:cs="Arial"/>
          <w:b/>
          <w:bCs/>
          <w:sz w:val="22"/>
        </w:rPr>
        <w:t xml:space="preserve"> Limitación capacidad</w:t>
      </w:r>
    </w:p>
    <w:p w14:paraId="29DF8CF3" w14:textId="77777777" w:rsidR="008827C2" w:rsidRPr="00670B9D" w:rsidRDefault="008827C2" w:rsidP="00670B9D">
      <w:pPr>
        <w:pStyle w:val="Sinespaciado"/>
        <w:jc w:val="both"/>
        <w:rPr>
          <w:rFonts w:ascii="Arial" w:hAnsi="Arial" w:cs="Arial"/>
          <w:sz w:val="20"/>
          <w:szCs w:val="20"/>
        </w:rPr>
      </w:pPr>
    </w:p>
    <w:p w14:paraId="2EF5E085" w14:textId="77777777" w:rsidR="00FE1508" w:rsidRPr="00FE1508" w:rsidRDefault="00FE1508" w:rsidP="00555548">
      <w:pPr>
        <w:pStyle w:val="Sinespaciado"/>
        <w:spacing w:after="120"/>
        <w:jc w:val="both"/>
        <w:rPr>
          <w:rFonts w:ascii="Arial" w:hAnsi="Arial" w:cs="Arial"/>
          <w:sz w:val="20"/>
          <w:szCs w:val="20"/>
        </w:rPr>
      </w:pPr>
      <w:r w:rsidRPr="00FE1508">
        <w:rPr>
          <w:rFonts w:ascii="Arial" w:hAnsi="Arial" w:cs="Arial"/>
          <w:sz w:val="20"/>
          <w:szCs w:val="20"/>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29B32D2D" w14:textId="09E5C1AB" w:rsidR="00FE1508" w:rsidRPr="00422DDB" w:rsidRDefault="00FE1508" w:rsidP="00656C05">
      <w:pPr>
        <w:pStyle w:val="Sinespaciado"/>
        <w:spacing w:before="120"/>
        <w:jc w:val="both"/>
        <w:rPr>
          <w:rFonts w:ascii="Arial" w:hAnsi="Arial" w:cs="Arial"/>
          <w:sz w:val="22"/>
        </w:rPr>
      </w:pPr>
      <w:r w:rsidRPr="00FE1508">
        <w:rPr>
          <w:rFonts w:ascii="Arial" w:hAnsi="Arial" w:cs="Arial"/>
          <w:sz w:val="20"/>
          <w:szCs w:val="20"/>
        </w:rPr>
        <w:t>El régimen de inhabilidades para contratar con el Estado es un conjunto de restricciones establecidas por el constituyente o por el legislador que afectan directamente la capacidad de las personas para establecer unas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422DDB">
        <w:rPr>
          <w:rFonts w:ascii="Arial" w:hAnsi="Arial" w:cs="Arial"/>
          <w:sz w:val="22"/>
        </w:rPr>
        <w:t xml:space="preserve"> </w:t>
      </w:r>
    </w:p>
    <w:p w14:paraId="3C0AFD94" w14:textId="0CAEE0A6" w:rsidR="000E15DB" w:rsidRPr="00670B9D" w:rsidRDefault="000E15DB" w:rsidP="00670B9D">
      <w:pPr>
        <w:pStyle w:val="Sinespaciado"/>
        <w:jc w:val="both"/>
        <w:rPr>
          <w:rFonts w:ascii="Arial" w:hAnsi="Arial" w:cs="Arial"/>
          <w:sz w:val="20"/>
          <w:szCs w:val="20"/>
        </w:rPr>
      </w:pPr>
    </w:p>
    <w:p w14:paraId="6FD270D7" w14:textId="05D8D45C" w:rsidR="00682416" w:rsidRPr="00422DDB" w:rsidRDefault="000E15DB" w:rsidP="00670B9D">
      <w:pPr>
        <w:pStyle w:val="Sinespaciado"/>
        <w:jc w:val="both"/>
        <w:rPr>
          <w:rFonts w:ascii="Arial" w:hAnsi="Arial" w:cs="Arial"/>
          <w:sz w:val="21"/>
          <w:szCs w:val="21"/>
        </w:rPr>
      </w:pPr>
      <w:r>
        <w:rPr>
          <w:rFonts w:ascii="Arial" w:hAnsi="Arial" w:cs="Arial"/>
          <w:b/>
          <w:bCs/>
          <w:sz w:val="22"/>
        </w:rPr>
        <w:t xml:space="preserve">INHABILIDADES </w:t>
      </w:r>
      <w:r w:rsidR="00E345C5">
        <w:rPr>
          <w:rFonts w:ascii="Arial" w:hAnsi="Arial" w:cs="Arial"/>
          <w:b/>
          <w:bCs/>
          <w:sz w:val="22"/>
        </w:rPr>
        <w:t>–</w:t>
      </w:r>
      <w:r>
        <w:rPr>
          <w:rFonts w:ascii="Arial" w:hAnsi="Arial" w:cs="Arial"/>
          <w:b/>
          <w:bCs/>
          <w:sz w:val="22"/>
        </w:rPr>
        <w:t xml:space="preserve"> Clasificación </w:t>
      </w:r>
      <w:r w:rsidR="00E345C5">
        <w:rPr>
          <w:rFonts w:ascii="Arial" w:hAnsi="Arial" w:cs="Arial"/>
          <w:b/>
          <w:bCs/>
          <w:sz w:val="22"/>
        </w:rPr>
        <w:t>–</w:t>
      </w:r>
      <w:r w:rsidR="0002064C">
        <w:rPr>
          <w:rFonts w:ascii="Arial" w:hAnsi="Arial" w:cs="Arial"/>
          <w:b/>
          <w:bCs/>
          <w:sz w:val="22"/>
        </w:rPr>
        <w:t xml:space="preserve"> Sanción </w:t>
      </w:r>
      <w:r w:rsidR="00E345C5">
        <w:rPr>
          <w:rFonts w:ascii="Arial" w:hAnsi="Arial" w:cs="Arial"/>
          <w:b/>
          <w:bCs/>
          <w:sz w:val="22"/>
        </w:rPr>
        <w:t>–</w:t>
      </w:r>
      <w:r w:rsidR="0002064C">
        <w:rPr>
          <w:rFonts w:ascii="Arial" w:hAnsi="Arial" w:cs="Arial"/>
          <w:b/>
          <w:bCs/>
          <w:sz w:val="22"/>
        </w:rPr>
        <w:t xml:space="preserve"> Proceso sancionatorio </w:t>
      </w:r>
      <w:r w:rsidR="00E345C5">
        <w:rPr>
          <w:rFonts w:ascii="Arial" w:hAnsi="Arial" w:cs="Arial"/>
          <w:b/>
          <w:bCs/>
          <w:sz w:val="22"/>
        </w:rPr>
        <w:t>–</w:t>
      </w:r>
      <w:r w:rsidR="0002064C">
        <w:rPr>
          <w:rFonts w:ascii="Arial" w:hAnsi="Arial" w:cs="Arial"/>
          <w:b/>
          <w:bCs/>
          <w:sz w:val="22"/>
        </w:rPr>
        <w:t xml:space="preserve"> Requisito </w:t>
      </w:r>
      <w:r w:rsidR="00E345C5">
        <w:rPr>
          <w:rFonts w:ascii="Arial" w:hAnsi="Arial" w:cs="Arial"/>
          <w:b/>
          <w:bCs/>
          <w:sz w:val="22"/>
        </w:rPr>
        <w:t>–</w:t>
      </w:r>
      <w:r w:rsidR="0002064C">
        <w:rPr>
          <w:rFonts w:ascii="Arial" w:hAnsi="Arial" w:cs="Arial"/>
          <w:b/>
          <w:bCs/>
          <w:sz w:val="22"/>
        </w:rPr>
        <w:t xml:space="preserve"> Condiciones pers</w:t>
      </w:r>
      <w:r w:rsidR="00274337">
        <w:rPr>
          <w:rFonts w:ascii="Arial" w:hAnsi="Arial" w:cs="Arial"/>
          <w:b/>
          <w:bCs/>
          <w:sz w:val="22"/>
        </w:rPr>
        <w:t>onales</w:t>
      </w:r>
    </w:p>
    <w:p w14:paraId="773FE83B" w14:textId="77777777" w:rsidR="00682416" w:rsidRPr="00670B9D" w:rsidRDefault="00682416" w:rsidP="00670B9D">
      <w:pPr>
        <w:ind w:right="709"/>
        <w:rPr>
          <w:rFonts w:ascii="Arial" w:eastAsia="Times New Roman" w:hAnsi="Arial" w:cs="Arial"/>
          <w:sz w:val="20"/>
          <w:szCs w:val="20"/>
          <w:shd w:val="clear" w:color="auto" w:fill="FFFFFF"/>
          <w:lang w:val="es-CO" w:eastAsia="es-ES_tradnl"/>
        </w:rPr>
      </w:pPr>
    </w:p>
    <w:p w14:paraId="11D2CACE" w14:textId="6AD96027" w:rsidR="00983975" w:rsidRDefault="00983975" w:rsidP="00555548">
      <w:pPr>
        <w:spacing w:after="120"/>
        <w:jc w:val="both"/>
        <w:rPr>
          <w:rFonts w:ascii="Arial" w:hAnsi="Arial" w:cs="Arial"/>
          <w:sz w:val="20"/>
          <w:szCs w:val="20"/>
        </w:rPr>
      </w:pPr>
      <w:r w:rsidRPr="00983975">
        <w:rPr>
          <w:rFonts w:ascii="Arial" w:hAnsi="Arial" w:cs="Arial"/>
          <w:sz w:val="20"/>
          <w:szCs w:val="20"/>
        </w:rPr>
        <w:t xml:space="preserve">Conviene también distinguir las fuentes de las inhabilidades, las cuales han sido clasificadas en dos (2) grupos: i) inhabilidades-sanción y </w:t>
      </w:r>
      <w:proofErr w:type="spellStart"/>
      <w:r w:rsidRPr="00983975">
        <w:rPr>
          <w:rFonts w:ascii="Arial" w:hAnsi="Arial" w:cs="Arial"/>
          <w:sz w:val="20"/>
          <w:szCs w:val="20"/>
        </w:rPr>
        <w:t>ii</w:t>
      </w:r>
      <w:proofErr w:type="spellEnd"/>
      <w:r w:rsidRPr="00983975">
        <w:rPr>
          <w:rFonts w:ascii="Arial" w:hAnsi="Arial" w:cs="Arial"/>
          <w:sz w:val="20"/>
          <w:szCs w:val="20"/>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p>
    <w:p w14:paraId="304AB6CC" w14:textId="23FA0B2C" w:rsidR="00194D72" w:rsidRPr="00983975" w:rsidRDefault="00194D72" w:rsidP="00555548">
      <w:pPr>
        <w:spacing w:after="120"/>
        <w:jc w:val="both"/>
        <w:rPr>
          <w:rFonts w:ascii="Arial" w:hAnsi="Arial" w:cs="Arial"/>
          <w:sz w:val="20"/>
          <w:szCs w:val="20"/>
        </w:rPr>
      </w:pPr>
      <w:r>
        <w:rPr>
          <w:rFonts w:ascii="Arial" w:hAnsi="Arial" w:cs="Arial"/>
          <w:sz w:val="20"/>
          <w:szCs w:val="20"/>
        </w:rPr>
        <w:t>[…]</w:t>
      </w:r>
    </w:p>
    <w:p w14:paraId="3996F31F" w14:textId="445D61FA" w:rsidR="00682416" w:rsidRDefault="00983975" w:rsidP="00555548">
      <w:pPr>
        <w:spacing w:before="120"/>
        <w:jc w:val="both"/>
        <w:rPr>
          <w:rFonts w:ascii="Arial" w:hAnsi="Arial" w:cs="Arial"/>
          <w:sz w:val="20"/>
          <w:szCs w:val="20"/>
        </w:rPr>
      </w:pPr>
      <w:r w:rsidRPr="00983975">
        <w:rPr>
          <w:rFonts w:ascii="Arial" w:hAnsi="Arial" w:cs="Arial"/>
          <w:sz w:val="20"/>
          <w:szCs w:val="20"/>
        </w:rPr>
        <w:t>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w:t>
      </w:r>
    </w:p>
    <w:p w14:paraId="4D849C92" w14:textId="77777777" w:rsidR="00983975" w:rsidRPr="00670B9D" w:rsidRDefault="00983975" w:rsidP="00670B9D">
      <w:pPr>
        <w:jc w:val="both"/>
        <w:rPr>
          <w:rFonts w:ascii="Arial" w:hAnsi="Arial" w:cs="Arial"/>
          <w:sz w:val="20"/>
          <w:szCs w:val="20"/>
        </w:rPr>
      </w:pPr>
    </w:p>
    <w:p w14:paraId="6EF9C62C" w14:textId="73D932D0" w:rsidR="00682416" w:rsidRPr="0035029B" w:rsidRDefault="0035029B" w:rsidP="00670B9D">
      <w:pPr>
        <w:tabs>
          <w:tab w:val="left" w:pos="426"/>
        </w:tabs>
        <w:jc w:val="both"/>
        <w:rPr>
          <w:rFonts w:ascii="Arial" w:eastAsia="Calibri" w:hAnsi="Arial" w:cs="Arial"/>
          <w:b/>
          <w:sz w:val="22"/>
          <w:lang w:val="es-ES_tradnl"/>
        </w:rPr>
      </w:pPr>
      <w:r>
        <w:rPr>
          <w:rFonts w:ascii="Arial" w:eastAsia="Calibri" w:hAnsi="Arial" w:cs="Arial"/>
          <w:b/>
          <w:sz w:val="22"/>
          <w:lang w:val="es-ES_tradnl"/>
        </w:rPr>
        <w:t xml:space="preserve">CONTRATACIÓN ESTATAL </w:t>
      </w:r>
      <w:r w:rsidR="00E345C5">
        <w:rPr>
          <w:rFonts w:ascii="Arial" w:eastAsia="Calibri" w:hAnsi="Arial" w:cs="Arial"/>
          <w:b/>
          <w:sz w:val="22"/>
          <w:lang w:val="es-ES_tradnl"/>
        </w:rPr>
        <w:t>–</w:t>
      </w:r>
      <w:r>
        <w:rPr>
          <w:rFonts w:ascii="Arial" w:eastAsia="Calibri" w:hAnsi="Arial" w:cs="Arial"/>
          <w:b/>
          <w:sz w:val="22"/>
          <w:lang w:val="es-ES_tradnl"/>
        </w:rPr>
        <w:t xml:space="preserve"> </w:t>
      </w:r>
      <w:r w:rsidR="006F13A3">
        <w:rPr>
          <w:rFonts w:ascii="Arial" w:eastAsia="Calibri" w:hAnsi="Arial" w:cs="Arial"/>
          <w:b/>
          <w:sz w:val="22"/>
          <w:lang w:val="es-ES_tradnl"/>
        </w:rPr>
        <w:t xml:space="preserve">Capacidad </w:t>
      </w:r>
      <w:r w:rsidR="00E345C5">
        <w:rPr>
          <w:rFonts w:ascii="Arial" w:eastAsia="Calibri" w:hAnsi="Arial" w:cs="Arial"/>
          <w:b/>
          <w:sz w:val="22"/>
          <w:lang w:val="es-ES_tradnl"/>
        </w:rPr>
        <w:t>–</w:t>
      </w:r>
      <w:r w:rsidR="006F13A3">
        <w:rPr>
          <w:rFonts w:ascii="Arial" w:eastAsia="Calibri" w:hAnsi="Arial" w:cs="Arial"/>
          <w:b/>
          <w:sz w:val="22"/>
          <w:lang w:val="es-ES_tradnl"/>
        </w:rPr>
        <w:t xml:space="preserve"> Validez contratos</w:t>
      </w:r>
      <w:r w:rsidR="00D86045">
        <w:rPr>
          <w:rFonts w:ascii="Arial" w:eastAsia="Calibri" w:hAnsi="Arial" w:cs="Arial"/>
          <w:b/>
          <w:sz w:val="22"/>
          <w:lang w:val="es-ES_tradnl"/>
        </w:rPr>
        <w:t xml:space="preserve"> </w:t>
      </w:r>
      <w:r w:rsidR="00E345C5">
        <w:rPr>
          <w:rFonts w:ascii="Arial" w:eastAsia="Calibri" w:hAnsi="Arial" w:cs="Arial"/>
          <w:b/>
          <w:sz w:val="22"/>
          <w:lang w:val="es-ES_tradnl"/>
        </w:rPr>
        <w:t>–</w:t>
      </w:r>
      <w:r w:rsidR="00D86045">
        <w:rPr>
          <w:rFonts w:ascii="Arial" w:eastAsia="Calibri" w:hAnsi="Arial" w:cs="Arial"/>
          <w:b/>
          <w:sz w:val="22"/>
          <w:lang w:val="es-ES_tradnl"/>
        </w:rPr>
        <w:t xml:space="preserve"> Régimen de contratación</w:t>
      </w:r>
      <w:r w:rsidR="004F65C6">
        <w:rPr>
          <w:rFonts w:ascii="Arial" w:eastAsia="Calibri" w:hAnsi="Arial" w:cs="Arial"/>
          <w:b/>
          <w:sz w:val="22"/>
          <w:lang w:val="es-ES_tradnl"/>
        </w:rPr>
        <w:t xml:space="preserve"> </w:t>
      </w:r>
      <w:r w:rsidR="00E345C5">
        <w:rPr>
          <w:rFonts w:ascii="Arial" w:eastAsia="Calibri" w:hAnsi="Arial" w:cs="Arial"/>
          <w:b/>
          <w:sz w:val="22"/>
          <w:lang w:val="es-ES_tradnl"/>
        </w:rPr>
        <w:t>–</w:t>
      </w:r>
      <w:r w:rsidR="00D86045">
        <w:rPr>
          <w:rFonts w:ascii="Arial" w:eastAsia="Calibri" w:hAnsi="Arial" w:cs="Arial"/>
          <w:b/>
          <w:sz w:val="22"/>
          <w:lang w:val="es-ES_tradnl"/>
        </w:rPr>
        <w:t xml:space="preserve"> Inscripción</w:t>
      </w:r>
      <w:r w:rsidR="004F65C6">
        <w:rPr>
          <w:rFonts w:ascii="Arial" w:eastAsia="Calibri" w:hAnsi="Arial" w:cs="Arial"/>
          <w:b/>
          <w:sz w:val="22"/>
          <w:lang w:val="es-ES_tradnl"/>
        </w:rPr>
        <w:t xml:space="preserve"> </w:t>
      </w:r>
      <w:r w:rsidR="00E345C5">
        <w:rPr>
          <w:rFonts w:ascii="Arial" w:eastAsia="Calibri" w:hAnsi="Arial" w:cs="Arial"/>
          <w:b/>
          <w:sz w:val="22"/>
          <w:lang w:val="es-ES_tradnl"/>
        </w:rPr>
        <w:t>–</w:t>
      </w:r>
      <w:r w:rsidR="00DA0967">
        <w:rPr>
          <w:rFonts w:ascii="Arial" w:eastAsia="Calibri" w:hAnsi="Arial" w:cs="Arial"/>
          <w:b/>
          <w:sz w:val="22"/>
          <w:lang w:val="es-ES_tradnl"/>
        </w:rPr>
        <w:t xml:space="preserve"> Limitación de la capacidad</w:t>
      </w:r>
    </w:p>
    <w:p w14:paraId="7F3484FC" w14:textId="77777777" w:rsidR="00682416" w:rsidRPr="00670B9D" w:rsidRDefault="00682416" w:rsidP="00670B9D">
      <w:pPr>
        <w:jc w:val="both"/>
        <w:rPr>
          <w:rFonts w:ascii="Arial" w:eastAsia="Calibri" w:hAnsi="Arial" w:cs="Arial"/>
          <w:sz w:val="20"/>
          <w:szCs w:val="20"/>
          <w:lang w:val="es-ES_tradnl"/>
        </w:rPr>
      </w:pPr>
    </w:p>
    <w:p w14:paraId="09189433" w14:textId="657BB22E" w:rsidR="00C76BB2" w:rsidRPr="00C76BB2" w:rsidRDefault="00C76BB2" w:rsidP="00555548">
      <w:pPr>
        <w:spacing w:after="120"/>
        <w:jc w:val="both"/>
        <w:rPr>
          <w:rFonts w:ascii="Arial" w:eastAsia="Calibri" w:hAnsi="Arial" w:cs="Arial"/>
          <w:sz w:val="20"/>
          <w:szCs w:val="20"/>
          <w:lang w:val="es-ES_tradnl"/>
        </w:rPr>
      </w:pPr>
      <w:r w:rsidRPr="00C76BB2">
        <w:rPr>
          <w:rFonts w:ascii="Arial" w:eastAsia="Calibri" w:hAnsi="Arial" w:cs="Arial"/>
          <w:sz w:val="20"/>
          <w:szCs w:val="20"/>
          <w:lang w:val="es-ES_tradnl"/>
        </w:rPr>
        <w:t xml:space="preserve">En la contratación estatal, la </w:t>
      </w:r>
      <w:r w:rsidRPr="00C76BB2">
        <w:rPr>
          <w:rFonts w:ascii="Arial" w:eastAsia="Calibri" w:hAnsi="Arial" w:cs="Arial"/>
          <w:i/>
          <w:iCs/>
          <w:sz w:val="20"/>
          <w:szCs w:val="20"/>
          <w:lang w:val="es-ES_tradnl"/>
        </w:rPr>
        <w:t>capacidad</w:t>
      </w:r>
      <w:r w:rsidRPr="00C76BB2">
        <w:rPr>
          <w:rFonts w:ascii="Arial" w:eastAsia="Calibri" w:hAnsi="Arial" w:cs="Arial"/>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normas que imponen restricciones para los sujetos que, eventualmente, pretendan participar en los procedimientos de selección o celebrar contratos con las entidades estatales.</w:t>
      </w:r>
    </w:p>
    <w:p w14:paraId="64F2AF88" w14:textId="3C5EE891" w:rsidR="00C60ED8" w:rsidRPr="00C76BB2" w:rsidRDefault="00C76BB2" w:rsidP="00555548">
      <w:pPr>
        <w:spacing w:before="120"/>
        <w:jc w:val="both"/>
        <w:rPr>
          <w:rFonts w:ascii="Arial" w:eastAsia="Calibri" w:hAnsi="Arial" w:cs="Arial"/>
          <w:sz w:val="20"/>
          <w:szCs w:val="20"/>
          <w:lang w:val="es-ES_tradnl"/>
        </w:rPr>
      </w:pPr>
      <w:r w:rsidRPr="00C76BB2">
        <w:rPr>
          <w:rFonts w:ascii="Arial" w:eastAsia="Calibri" w:hAnsi="Arial" w:cs="Arial"/>
          <w:sz w:val="20"/>
          <w:szCs w:val="20"/>
          <w:lang w:val="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C76BB2">
        <w:rPr>
          <w:rFonts w:ascii="Arial" w:eastAsia="Calibri" w:hAnsi="Arial" w:cs="Arial"/>
          <w:sz w:val="20"/>
          <w:szCs w:val="20"/>
          <w:lang w:val="es-ES_tradnl"/>
        </w:rPr>
        <w:t>ii</w:t>
      </w:r>
      <w:proofErr w:type="spellEnd"/>
      <w:r w:rsidRPr="00C76BB2">
        <w:rPr>
          <w:rFonts w:ascii="Arial" w:eastAsia="Calibri" w:hAnsi="Arial" w:cs="Arial"/>
          <w:sz w:val="20"/>
          <w:szCs w:val="20"/>
          <w:lang w:val="es-ES_tradnl"/>
        </w:rPr>
        <w:t xml:space="preserve">) de vínculos personales relativos al parentesco o al estado civil o </w:t>
      </w:r>
      <w:proofErr w:type="spellStart"/>
      <w:r w:rsidRPr="00C76BB2">
        <w:rPr>
          <w:rFonts w:ascii="Arial" w:eastAsia="Calibri" w:hAnsi="Arial" w:cs="Arial"/>
          <w:sz w:val="20"/>
          <w:szCs w:val="20"/>
          <w:lang w:val="es-ES_tradnl"/>
        </w:rPr>
        <w:t>iii</w:t>
      </w:r>
      <w:proofErr w:type="spellEnd"/>
      <w:r w:rsidRPr="00C76BB2">
        <w:rPr>
          <w:rFonts w:ascii="Arial" w:eastAsia="Calibri" w:hAnsi="Arial" w:cs="Arial"/>
          <w:sz w:val="20"/>
          <w:szCs w:val="20"/>
          <w:lang w:val="es-ES_tradnl"/>
        </w:rPr>
        <w:t xml:space="preserve">) de una actividad u oficio que se desempeñó en el pasado. De otro lado, las incompatibilidades son prohibiciones para participar en los procedimientos de selección y para celebrar contratos estatales, </w:t>
      </w:r>
      <w:r w:rsidRPr="00C76BB2">
        <w:rPr>
          <w:rFonts w:ascii="Arial" w:eastAsia="Calibri" w:hAnsi="Arial" w:cs="Arial"/>
          <w:sz w:val="20"/>
          <w:szCs w:val="20"/>
          <w:lang w:val="es-ES_tradnl"/>
        </w:rPr>
        <w:lastRenderedPageBreak/>
        <w:t>fundadas en la presencia de una calidad que ostenta el sujeto interesado en realizar alguna de dichas actividades, que no puede coexistir con su calidad de proponente o contratista del Estado.</w:t>
      </w:r>
    </w:p>
    <w:p w14:paraId="5B14B352" w14:textId="77777777" w:rsidR="00C76BB2" w:rsidRPr="00670B9D" w:rsidRDefault="00C76BB2" w:rsidP="00C76BB2">
      <w:pPr>
        <w:jc w:val="both"/>
        <w:rPr>
          <w:rFonts w:ascii="Arial" w:eastAsia="Calibri" w:hAnsi="Arial" w:cs="Arial"/>
          <w:sz w:val="20"/>
          <w:szCs w:val="20"/>
          <w:lang w:val="es-ES_tradnl"/>
        </w:rPr>
      </w:pPr>
    </w:p>
    <w:p w14:paraId="664F7A09" w14:textId="16EFF462" w:rsidR="00C60ED8" w:rsidRPr="00C60ED8" w:rsidRDefault="00C60ED8" w:rsidP="00670B9D">
      <w:pPr>
        <w:jc w:val="both"/>
        <w:rPr>
          <w:rFonts w:ascii="Arial" w:eastAsia="Calibri" w:hAnsi="Arial" w:cs="Arial"/>
          <w:b/>
          <w:bCs/>
          <w:sz w:val="22"/>
          <w:lang w:val="es-ES_tradnl"/>
        </w:rPr>
      </w:pPr>
      <w:r>
        <w:rPr>
          <w:rFonts w:ascii="Arial" w:eastAsia="Calibri" w:hAnsi="Arial" w:cs="Arial"/>
          <w:b/>
          <w:bCs/>
          <w:sz w:val="22"/>
          <w:lang w:val="es-ES_tradnl"/>
        </w:rPr>
        <w:t xml:space="preserve">INHABILIDADES </w:t>
      </w:r>
      <w:r w:rsidR="00E345C5">
        <w:rPr>
          <w:rFonts w:ascii="Arial" w:eastAsia="Calibri" w:hAnsi="Arial" w:cs="Arial"/>
          <w:b/>
          <w:bCs/>
          <w:sz w:val="22"/>
          <w:lang w:val="es-ES_tradnl"/>
        </w:rPr>
        <w:t>–</w:t>
      </w:r>
      <w:r>
        <w:rPr>
          <w:rFonts w:ascii="Arial" w:eastAsia="Calibri" w:hAnsi="Arial" w:cs="Arial"/>
          <w:b/>
          <w:bCs/>
          <w:sz w:val="22"/>
          <w:lang w:val="es-ES_tradnl"/>
        </w:rPr>
        <w:t xml:space="preserve"> Taxatividad </w:t>
      </w:r>
      <w:r w:rsidR="00E345C5">
        <w:rPr>
          <w:rFonts w:ascii="Arial" w:eastAsia="Calibri" w:hAnsi="Arial" w:cs="Arial"/>
          <w:b/>
          <w:bCs/>
          <w:sz w:val="22"/>
          <w:lang w:val="es-ES_tradnl"/>
        </w:rPr>
        <w:t>–</w:t>
      </w:r>
      <w:r w:rsidR="00537C52">
        <w:rPr>
          <w:rFonts w:ascii="Arial" w:eastAsia="Calibri" w:hAnsi="Arial" w:cs="Arial"/>
          <w:b/>
          <w:bCs/>
          <w:sz w:val="22"/>
          <w:lang w:val="es-ES_tradnl"/>
        </w:rPr>
        <w:t xml:space="preserve"> Principio de legalidad </w:t>
      </w:r>
      <w:r w:rsidR="00E345C5">
        <w:rPr>
          <w:rFonts w:ascii="Arial" w:eastAsia="Calibri" w:hAnsi="Arial" w:cs="Arial"/>
          <w:b/>
          <w:bCs/>
          <w:sz w:val="22"/>
          <w:lang w:val="es-ES_tradnl"/>
        </w:rPr>
        <w:t>–</w:t>
      </w:r>
      <w:r>
        <w:rPr>
          <w:rFonts w:ascii="Arial" w:eastAsia="Calibri" w:hAnsi="Arial" w:cs="Arial"/>
          <w:b/>
          <w:bCs/>
          <w:sz w:val="22"/>
          <w:lang w:val="es-ES_tradnl"/>
        </w:rPr>
        <w:t xml:space="preserve"> Interpretación restrictiva</w:t>
      </w:r>
    </w:p>
    <w:p w14:paraId="176A8D90" w14:textId="77777777" w:rsidR="00DA0967" w:rsidRPr="00670B9D" w:rsidRDefault="00DA0967" w:rsidP="00670B9D">
      <w:pPr>
        <w:jc w:val="both"/>
        <w:rPr>
          <w:rFonts w:ascii="Arial" w:eastAsia="Calibri" w:hAnsi="Arial" w:cs="Arial"/>
          <w:sz w:val="20"/>
          <w:szCs w:val="20"/>
          <w:lang w:val="es-ES_tradnl"/>
        </w:rPr>
      </w:pPr>
    </w:p>
    <w:p w14:paraId="255C527B" w14:textId="3E94DCA9" w:rsidR="009B6942" w:rsidRPr="009B6942" w:rsidRDefault="009B6942" w:rsidP="00656C05">
      <w:pPr>
        <w:jc w:val="both"/>
        <w:rPr>
          <w:rFonts w:ascii="Arial" w:eastAsia="Calibri" w:hAnsi="Arial" w:cs="Arial"/>
          <w:sz w:val="20"/>
          <w:szCs w:val="20"/>
          <w:lang w:val="es-ES_tradnl"/>
        </w:rPr>
      </w:pPr>
      <w:r w:rsidRPr="009B6942">
        <w:rPr>
          <w:rFonts w:ascii="Arial" w:eastAsia="Calibri" w:hAnsi="Arial" w:cs="Arial"/>
          <w:sz w:val="20"/>
          <w:szCs w:val="20"/>
          <w:lang w:val="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9B6942">
        <w:rPr>
          <w:rFonts w:ascii="Arial" w:eastAsia="Calibri" w:hAnsi="Arial" w:cs="Arial"/>
          <w:i/>
          <w:iCs/>
          <w:sz w:val="20"/>
          <w:szCs w:val="20"/>
          <w:lang w:val="es-ES_tradnl"/>
        </w:rPr>
        <w:t>restrictiva</w:t>
      </w:r>
      <w:r w:rsidRPr="009B6942">
        <w:rPr>
          <w:rFonts w:ascii="Arial" w:eastAsia="Calibri" w:hAnsi="Arial" w:cs="Arial"/>
          <w:sz w:val="20"/>
          <w:szCs w:val="20"/>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5CE0B74" w14:textId="1F214C40" w:rsidR="00682416" w:rsidRPr="00670B9D" w:rsidRDefault="00682416" w:rsidP="00670B9D">
      <w:pPr>
        <w:jc w:val="both"/>
        <w:rPr>
          <w:rFonts w:ascii="Arial" w:eastAsia="Calibri" w:hAnsi="Arial" w:cs="Arial"/>
          <w:sz w:val="20"/>
          <w:szCs w:val="20"/>
          <w:lang w:val="es-ES_tradnl"/>
        </w:rPr>
      </w:pPr>
    </w:p>
    <w:p w14:paraId="5B7701B3" w14:textId="4A223E30" w:rsidR="009D3F93" w:rsidRPr="00845CCC" w:rsidRDefault="00845CCC" w:rsidP="00670B9D">
      <w:pPr>
        <w:jc w:val="both"/>
        <w:rPr>
          <w:rFonts w:ascii="Arial" w:eastAsia="Calibri" w:hAnsi="Arial" w:cs="Arial"/>
          <w:b/>
          <w:bCs/>
          <w:sz w:val="22"/>
          <w:lang w:val="es-ES_tradnl"/>
        </w:rPr>
      </w:pPr>
      <w:r w:rsidRPr="00845CCC">
        <w:rPr>
          <w:rFonts w:ascii="Arial" w:eastAsia="Calibri" w:hAnsi="Arial" w:cs="Arial"/>
          <w:b/>
          <w:bCs/>
          <w:sz w:val="22"/>
          <w:lang w:val="es-ES_tradnl"/>
        </w:rPr>
        <w:t xml:space="preserve">CÓNYUGES </w:t>
      </w:r>
      <w:r w:rsidR="00E345C5">
        <w:rPr>
          <w:rFonts w:ascii="Arial" w:eastAsia="Calibri" w:hAnsi="Arial" w:cs="Arial"/>
          <w:b/>
          <w:bCs/>
          <w:sz w:val="22"/>
          <w:lang w:val="es-ES_tradnl"/>
        </w:rPr>
        <w:t>–</w:t>
      </w:r>
      <w:r w:rsidRPr="00845CCC">
        <w:rPr>
          <w:rFonts w:ascii="Arial" w:eastAsia="Calibri" w:hAnsi="Arial" w:cs="Arial"/>
          <w:b/>
          <w:bCs/>
          <w:sz w:val="22"/>
          <w:lang w:val="es-ES_tradnl"/>
        </w:rPr>
        <w:t xml:space="preserve"> Inhabilidad</w:t>
      </w:r>
      <w:r w:rsidR="004F65C6">
        <w:rPr>
          <w:rFonts w:ascii="Arial" w:eastAsia="Calibri" w:hAnsi="Arial" w:cs="Arial"/>
          <w:b/>
          <w:bCs/>
          <w:sz w:val="22"/>
          <w:lang w:val="es-ES_tradnl"/>
        </w:rPr>
        <w:t xml:space="preserve"> </w:t>
      </w:r>
      <w:proofErr w:type="gramStart"/>
      <w:r w:rsidR="00E345C5">
        <w:rPr>
          <w:rFonts w:ascii="Arial" w:eastAsia="Calibri" w:hAnsi="Arial" w:cs="Arial"/>
          <w:b/>
          <w:bCs/>
          <w:sz w:val="22"/>
          <w:lang w:val="es-ES_tradnl"/>
        </w:rPr>
        <w:t>–</w:t>
      </w:r>
      <w:r w:rsidR="004F65C6">
        <w:rPr>
          <w:rFonts w:ascii="Arial" w:eastAsia="Calibri" w:hAnsi="Arial" w:cs="Arial"/>
          <w:b/>
          <w:bCs/>
          <w:sz w:val="22"/>
          <w:lang w:val="es-ES_tradnl"/>
        </w:rPr>
        <w:t xml:space="preserve">  F</w:t>
      </w:r>
      <w:r w:rsidR="003D417D">
        <w:rPr>
          <w:rFonts w:ascii="Arial" w:eastAsia="Calibri" w:hAnsi="Arial" w:cs="Arial"/>
          <w:b/>
          <w:bCs/>
          <w:sz w:val="22"/>
          <w:lang w:val="es-ES_tradnl"/>
        </w:rPr>
        <w:t>undamento</w:t>
      </w:r>
      <w:proofErr w:type="gramEnd"/>
      <w:r w:rsidR="003D417D">
        <w:rPr>
          <w:rFonts w:ascii="Arial" w:eastAsia="Calibri" w:hAnsi="Arial" w:cs="Arial"/>
          <w:b/>
          <w:bCs/>
          <w:sz w:val="22"/>
          <w:lang w:val="es-ES_tradnl"/>
        </w:rPr>
        <w:t xml:space="preserve"> </w:t>
      </w:r>
      <w:r w:rsidR="00E345C5">
        <w:rPr>
          <w:rFonts w:ascii="Arial" w:eastAsia="Calibri" w:hAnsi="Arial" w:cs="Arial"/>
          <w:b/>
          <w:bCs/>
          <w:sz w:val="22"/>
          <w:lang w:val="es-ES_tradnl"/>
        </w:rPr>
        <w:t>–</w:t>
      </w:r>
      <w:r w:rsidR="003D417D">
        <w:rPr>
          <w:rFonts w:ascii="Arial" w:eastAsia="Calibri" w:hAnsi="Arial" w:cs="Arial"/>
          <w:b/>
          <w:bCs/>
          <w:sz w:val="22"/>
          <w:lang w:val="es-ES_tradnl"/>
        </w:rPr>
        <w:t xml:space="preserve"> Relación familiar </w:t>
      </w:r>
      <w:r w:rsidR="00E345C5">
        <w:rPr>
          <w:rFonts w:ascii="Arial" w:eastAsia="Calibri" w:hAnsi="Arial" w:cs="Arial"/>
          <w:b/>
          <w:bCs/>
          <w:sz w:val="22"/>
          <w:lang w:val="es-ES_tradnl"/>
        </w:rPr>
        <w:t>–</w:t>
      </w:r>
      <w:r w:rsidR="003D417D">
        <w:rPr>
          <w:rFonts w:ascii="Arial" w:eastAsia="Calibri" w:hAnsi="Arial" w:cs="Arial"/>
          <w:b/>
          <w:bCs/>
          <w:sz w:val="22"/>
          <w:lang w:val="es-ES_tradnl"/>
        </w:rPr>
        <w:t xml:space="preserve"> Relación de parentesco </w:t>
      </w:r>
      <w:r w:rsidR="00E345C5">
        <w:rPr>
          <w:rFonts w:ascii="Arial" w:eastAsia="Calibri" w:hAnsi="Arial" w:cs="Arial"/>
          <w:b/>
          <w:bCs/>
          <w:sz w:val="22"/>
          <w:lang w:val="es-ES_tradnl"/>
        </w:rPr>
        <w:t xml:space="preserve">– </w:t>
      </w:r>
      <w:r w:rsidR="003D417D">
        <w:rPr>
          <w:rFonts w:ascii="Arial" w:eastAsia="Calibri" w:hAnsi="Arial" w:cs="Arial"/>
          <w:b/>
          <w:bCs/>
          <w:sz w:val="22"/>
          <w:lang w:val="es-ES_tradnl"/>
        </w:rPr>
        <w:t xml:space="preserve">Vínculo natural </w:t>
      </w:r>
      <w:r w:rsidR="00E345C5">
        <w:rPr>
          <w:rFonts w:ascii="Arial" w:eastAsia="Calibri" w:hAnsi="Arial" w:cs="Arial"/>
          <w:b/>
          <w:bCs/>
          <w:sz w:val="22"/>
          <w:lang w:val="es-ES_tradnl"/>
        </w:rPr>
        <w:t>–</w:t>
      </w:r>
      <w:r w:rsidR="003D417D">
        <w:rPr>
          <w:rFonts w:ascii="Arial" w:eastAsia="Calibri" w:hAnsi="Arial" w:cs="Arial"/>
          <w:b/>
          <w:bCs/>
          <w:sz w:val="22"/>
          <w:lang w:val="es-ES_tradnl"/>
        </w:rPr>
        <w:t xml:space="preserve"> Vínculo jurídico </w:t>
      </w:r>
      <w:r w:rsidR="00E345C5">
        <w:rPr>
          <w:rFonts w:ascii="Arial" w:eastAsia="Calibri" w:hAnsi="Arial" w:cs="Arial"/>
          <w:b/>
          <w:bCs/>
          <w:sz w:val="22"/>
          <w:lang w:val="es-ES_tradnl"/>
        </w:rPr>
        <w:t>–</w:t>
      </w:r>
      <w:r w:rsidR="003D417D">
        <w:rPr>
          <w:rFonts w:ascii="Arial" w:eastAsia="Calibri" w:hAnsi="Arial" w:cs="Arial"/>
          <w:b/>
          <w:bCs/>
          <w:sz w:val="22"/>
          <w:lang w:val="es-ES_tradnl"/>
        </w:rPr>
        <w:t xml:space="preserve"> Personas naturales</w:t>
      </w:r>
    </w:p>
    <w:p w14:paraId="7C9A5820" w14:textId="77777777" w:rsidR="00682416" w:rsidRPr="00670B9D" w:rsidRDefault="00682416" w:rsidP="00670B9D">
      <w:pPr>
        <w:jc w:val="both"/>
        <w:rPr>
          <w:rFonts w:ascii="Arial" w:eastAsia="Calibri" w:hAnsi="Arial" w:cs="Arial"/>
          <w:sz w:val="20"/>
          <w:szCs w:val="20"/>
          <w:lang w:val="es-ES_tradnl"/>
        </w:rPr>
      </w:pPr>
    </w:p>
    <w:p w14:paraId="4ECA8ED7" w14:textId="77777777" w:rsidR="00501072" w:rsidRPr="00501072" w:rsidRDefault="00501072" w:rsidP="00656C05">
      <w:pPr>
        <w:spacing w:after="120"/>
        <w:jc w:val="both"/>
        <w:rPr>
          <w:rFonts w:ascii="Arial" w:eastAsia="Calibri" w:hAnsi="Arial" w:cs="Arial"/>
          <w:sz w:val="20"/>
          <w:szCs w:val="20"/>
          <w:lang w:val="es-ES_tradnl"/>
        </w:rPr>
      </w:pPr>
      <w:r w:rsidRPr="00501072">
        <w:rPr>
          <w:rFonts w:ascii="Arial" w:eastAsia="Calibri" w:hAnsi="Arial" w:cs="Arial"/>
          <w:sz w:val="20"/>
          <w:szCs w:val="20"/>
          <w:lang w:val="es-ES_tradnl"/>
        </w:rPr>
        <w:t>El literal g) del numeral 1 del artículo 8 de la Ley 80 de 1993 determina que son inhábiles para participar en procesos de contratación o suscribir contratos con entidades estatales «Quienes sean cónyuges o compañeros permanentes y quienes se encuentren dentro del segundo grado de consanguinidad o segundo de afinidad con cualquier otra persona que formalmente haya presentado propuesta para una misma licitación».</w:t>
      </w:r>
    </w:p>
    <w:p w14:paraId="4BD6AE17" w14:textId="78C5A336" w:rsidR="00501072" w:rsidRPr="00501072" w:rsidRDefault="00501072" w:rsidP="00656C05">
      <w:pPr>
        <w:spacing w:before="120"/>
        <w:jc w:val="both"/>
        <w:rPr>
          <w:rFonts w:ascii="Arial" w:eastAsia="Calibri" w:hAnsi="Arial" w:cs="Arial"/>
          <w:sz w:val="20"/>
          <w:szCs w:val="20"/>
          <w:lang w:val="es-ES_tradnl"/>
        </w:rPr>
      </w:pPr>
      <w:r w:rsidRPr="00501072">
        <w:rPr>
          <w:rFonts w:ascii="Arial" w:eastAsia="Calibri" w:hAnsi="Arial" w:cs="Arial"/>
          <w:sz w:val="20"/>
          <w:szCs w:val="20"/>
          <w:lang w:val="es-ES_tradnl"/>
        </w:rPr>
        <w:t>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 esto es, sujetos de derechos y obligaciones de la especie humana unidos entre si ya sea por vínculos naturales o jurídicos.</w:t>
      </w:r>
    </w:p>
    <w:p w14:paraId="11545CD6" w14:textId="77777777" w:rsidR="003D417D" w:rsidRPr="00670B9D" w:rsidRDefault="003D417D" w:rsidP="00670B9D">
      <w:pPr>
        <w:jc w:val="both"/>
        <w:rPr>
          <w:rFonts w:ascii="Arial" w:eastAsia="Calibri" w:hAnsi="Arial" w:cs="Arial"/>
          <w:sz w:val="20"/>
          <w:szCs w:val="20"/>
          <w:lang w:val="es-ES_tradnl"/>
        </w:rPr>
      </w:pPr>
    </w:p>
    <w:p w14:paraId="25C7CE24" w14:textId="21486E2B" w:rsidR="003D417D" w:rsidRPr="003D417D" w:rsidRDefault="003D417D" w:rsidP="00670B9D">
      <w:pPr>
        <w:jc w:val="both"/>
        <w:rPr>
          <w:rFonts w:ascii="Arial" w:eastAsia="Calibri" w:hAnsi="Arial" w:cs="Arial"/>
          <w:sz w:val="22"/>
          <w:lang w:val="es-ES_tradnl"/>
        </w:rPr>
      </w:pPr>
      <w:r>
        <w:rPr>
          <w:rFonts w:ascii="Arial" w:eastAsia="Calibri" w:hAnsi="Arial" w:cs="Arial"/>
          <w:b/>
          <w:bCs/>
          <w:sz w:val="22"/>
          <w:lang w:val="es-ES_tradnl"/>
        </w:rPr>
        <w:t xml:space="preserve">CÓNYUGES </w:t>
      </w:r>
      <w:r w:rsidR="00E345C5">
        <w:rPr>
          <w:rFonts w:ascii="Arial" w:eastAsia="Calibri" w:hAnsi="Arial" w:cs="Arial"/>
          <w:b/>
          <w:bCs/>
          <w:sz w:val="22"/>
          <w:lang w:val="es-ES_tradnl"/>
        </w:rPr>
        <w:t>–</w:t>
      </w:r>
      <w:r>
        <w:rPr>
          <w:rFonts w:ascii="Arial" w:eastAsia="Calibri" w:hAnsi="Arial" w:cs="Arial"/>
          <w:b/>
          <w:bCs/>
          <w:sz w:val="22"/>
          <w:lang w:val="es-ES_tradnl"/>
        </w:rPr>
        <w:t xml:space="preserve"> Definición </w:t>
      </w:r>
      <w:r w:rsidR="00E345C5">
        <w:rPr>
          <w:rFonts w:ascii="Arial" w:eastAsia="Calibri" w:hAnsi="Arial" w:cs="Arial"/>
          <w:b/>
          <w:bCs/>
          <w:sz w:val="22"/>
          <w:lang w:val="es-ES_tradnl"/>
        </w:rPr>
        <w:t>–</w:t>
      </w:r>
      <w:r w:rsidR="001802DE">
        <w:rPr>
          <w:rFonts w:ascii="Arial" w:eastAsia="Calibri" w:hAnsi="Arial" w:cs="Arial"/>
          <w:b/>
          <w:bCs/>
          <w:sz w:val="22"/>
          <w:lang w:val="es-ES_tradnl"/>
        </w:rPr>
        <w:t xml:space="preserve"> Parejas </w:t>
      </w:r>
      <w:r w:rsidR="00E345C5">
        <w:rPr>
          <w:rFonts w:ascii="Arial" w:eastAsia="Calibri" w:hAnsi="Arial" w:cs="Arial"/>
          <w:b/>
          <w:bCs/>
          <w:sz w:val="22"/>
          <w:lang w:val="es-ES_tradnl"/>
        </w:rPr>
        <w:t>–</w:t>
      </w:r>
      <w:r w:rsidR="001802DE">
        <w:rPr>
          <w:rFonts w:ascii="Arial" w:eastAsia="Calibri" w:hAnsi="Arial" w:cs="Arial"/>
          <w:b/>
          <w:bCs/>
          <w:sz w:val="22"/>
          <w:lang w:val="es-ES_tradnl"/>
        </w:rPr>
        <w:t xml:space="preserve"> Mismo sexo </w:t>
      </w:r>
    </w:p>
    <w:p w14:paraId="00890043" w14:textId="77777777" w:rsidR="003D417D" w:rsidRPr="00670B9D" w:rsidRDefault="003D417D" w:rsidP="00670B9D">
      <w:pPr>
        <w:jc w:val="both"/>
        <w:rPr>
          <w:rFonts w:ascii="Arial" w:eastAsia="Calibri" w:hAnsi="Arial" w:cs="Arial"/>
          <w:sz w:val="20"/>
          <w:szCs w:val="20"/>
          <w:lang w:val="es-ES_tradnl"/>
        </w:rPr>
      </w:pPr>
    </w:p>
    <w:p w14:paraId="07864914" w14:textId="333CA709" w:rsidR="00CB683D" w:rsidRPr="00CB683D" w:rsidRDefault="00CB683D" w:rsidP="00656C05">
      <w:pPr>
        <w:jc w:val="both"/>
        <w:rPr>
          <w:rFonts w:ascii="Arial" w:eastAsia="Calibri" w:hAnsi="Arial" w:cs="Arial"/>
          <w:sz w:val="20"/>
          <w:szCs w:val="20"/>
          <w:lang w:val="es-ES_tradnl"/>
        </w:rPr>
      </w:pPr>
      <w:r w:rsidRPr="00CB683D">
        <w:rPr>
          <w:rFonts w:ascii="Arial" w:eastAsia="Calibri" w:hAnsi="Arial" w:cs="Arial"/>
          <w:sz w:val="20"/>
          <w:szCs w:val="20"/>
          <w:lang w:val="es-ES_tradnl"/>
        </w:rPr>
        <w:t>Los cónyuges son aquellas personas vinculadas entre si a través del contrato de matrimonio, que puede ser civil o religioso. Mientras que los compañeros permanentes son aquellas personas que integran una comunidad vida, sin estar casados, denominada unión marital de hecho. Tratándose de compañeros permanentes, la Corte Constitucional extendió los efectos de la inhabilidad objeto de estudio a las parejas del mismo sexo, considerando la protección o salvaguarda del principio de igualdad […]</w:t>
      </w:r>
    </w:p>
    <w:p w14:paraId="1A559E43" w14:textId="61A52D41" w:rsidR="001802DE" w:rsidRPr="00670B9D" w:rsidRDefault="001802DE" w:rsidP="00670B9D">
      <w:pPr>
        <w:jc w:val="both"/>
        <w:rPr>
          <w:rFonts w:ascii="Arial" w:eastAsia="Calibri" w:hAnsi="Arial" w:cs="Arial"/>
          <w:sz w:val="20"/>
          <w:szCs w:val="20"/>
          <w:lang w:val="es-ES_tradnl"/>
        </w:rPr>
      </w:pPr>
    </w:p>
    <w:p w14:paraId="18C60A4E" w14:textId="0B56AA17" w:rsidR="001802DE" w:rsidRPr="001802DE" w:rsidRDefault="001802DE" w:rsidP="00670B9D">
      <w:pPr>
        <w:jc w:val="both"/>
        <w:rPr>
          <w:rFonts w:ascii="Arial" w:eastAsia="Calibri" w:hAnsi="Arial" w:cs="Arial"/>
          <w:b/>
          <w:bCs/>
          <w:sz w:val="22"/>
          <w:lang w:val="es-ES_tradnl"/>
        </w:rPr>
      </w:pPr>
      <w:r>
        <w:rPr>
          <w:rFonts w:ascii="Arial" w:eastAsia="Calibri" w:hAnsi="Arial" w:cs="Arial"/>
          <w:b/>
          <w:bCs/>
          <w:sz w:val="22"/>
          <w:lang w:val="es-ES_tradnl"/>
        </w:rPr>
        <w:t xml:space="preserve">PARENTESCO </w:t>
      </w:r>
      <w:r w:rsidR="00E345C5">
        <w:rPr>
          <w:rFonts w:ascii="Arial" w:eastAsia="Calibri" w:hAnsi="Arial" w:cs="Arial"/>
          <w:b/>
          <w:bCs/>
          <w:sz w:val="22"/>
          <w:lang w:val="es-ES_tradnl"/>
        </w:rPr>
        <w:t>–</w:t>
      </w:r>
      <w:r>
        <w:rPr>
          <w:rFonts w:ascii="Arial" w:eastAsia="Calibri" w:hAnsi="Arial" w:cs="Arial"/>
          <w:b/>
          <w:bCs/>
          <w:sz w:val="22"/>
          <w:lang w:val="es-ES_tradnl"/>
        </w:rPr>
        <w:t xml:space="preserve"> </w:t>
      </w:r>
      <w:r w:rsidR="00983EF7">
        <w:rPr>
          <w:rFonts w:ascii="Arial" w:eastAsia="Calibri" w:hAnsi="Arial" w:cs="Arial"/>
          <w:b/>
          <w:bCs/>
          <w:sz w:val="22"/>
          <w:lang w:val="es-ES_tradnl"/>
        </w:rPr>
        <w:t xml:space="preserve">Clasificación </w:t>
      </w:r>
      <w:r w:rsidR="00E345C5">
        <w:rPr>
          <w:rFonts w:ascii="Arial" w:eastAsia="Calibri" w:hAnsi="Arial" w:cs="Arial"/>
          <w:b/>
          <w:bCs/>
          <w:sz w:val="22"/>
          <w:lang w:val="es-ES_tradnl"/>
        </w:rPr>
        <w:t>–</w:t>
      </w:r>
      <w:r w:rsidR="00983EF7">
        <w:rPr>
          <w:rFonts w:ascii="Arial" w:eastAsia="Calibri" w:hAnsi="Arial" w:cs="Arial"/>
          <w:b/>
          <w:bCs/>
          <w:sz w:val="22"/>
          <w:lang w:val="es-ES_tradnl"/>
        </w:rPr>
        <w:t xml:space="preserve"> Consanguinidad </w:t>
      </w:r>
      <w:r w:rsidR="00E345C5">
        <w:rPr>
          <w:rFonts w:ascii="Arial" w:eastAsia="Calibri" w:hAnsi="Arial" w:cs="Arial"/>
          <w:b/>
          <w:bCs/>
          <w:sz w:val="22"/>
          <w:lang w:val="es-ES_tradnl"/>
        </w:rPr>
        <w:t>–</w:t>
      </w:r>
      <w:r w:rsidR="00983EF7">
        <w:rPr>
          <w:rFonts w:ascii="Arial" w:eastAsia="Calibri" w:hAnsi="Arial" w:cs="Arial"/>
          <w:b/>
          <w:bCs/>
          <w:sz w:val="22"/>
          <w:lang w:val="es-ES_tradnl"/>
        </w:rPr>
        <w:t xml:space="preserve"> Afinidad </w:t>
      </w:r>
      <w:r w:rsidR="00E345C5">
        <w:rPr>
          <w:rFonts w:ascii="Arial" w:eastAsia="Calibri" w:hAnsi="Arial" w:cs="Arial"/>
          <w:b/>
          <w:bCs/>
          <w:sz w:val="22"/>
          <w:lang w:val="es-ES_tradnl"/>
        </w:rPr>
        <w:t>–</w:t>
      </w:r>
      <w:r w:rsidR="00983EF7">
        <w:rPr>
          <w:rFonts w:ascii="Arial" w:eastAsia="Calibri" w:hAnsi="Arial" w:cs="Arial"/>
          <w:b/>
          <w:bCs/>
          <w:sz w:val="22"/>
          <w:lang w:val="es-ES_tradnl"/>
        </w:rPr>
        <w:t xml:space="preserve"> Grados</w:t>
      </w:r>
    </w:p>
    <w:p w14:paraId="2F685717" w14:textId="77777777" w:rsidR="00682416" w:rsidRDefault="00682416" w:rsidP="00670B9D">
      <w:pPr>
        <w:jc w:val="both"/>
        <w:rPr>
          <w:rFonts w:ascii="Arial" w:eastAsia="Calibri" w:hAnsi="Arial" w:cs="Arial"/>
          <w:sz w:val="22"/>
          <w:lang w:val="es-ES_tradnl"/>
        </w:rPr>
      </w:pPr>
    </w:p>
    <w:p w14:paraId="7F0C3704" w14:textId="0FEBF770" w:rsidR="0089527C" w:rsidRPr="0089527C" w:rsidRDefault="0089527C" w:rsidP="0083573F">
      <w:pPr>
        <w:spacing w:after="120"/>
        <w:jc w:val="both"/>
        <w:rPr>
          <w:rFonts w:ascii="Arial" w:eastAsia="Calibri" w:hAnsi="Arial" w:cs="Arial"/>
          <w:sz w:val="20"/>
          <w:szCs w:val="20"/>
          <w:lang w:val="es-ES_tradnl"/>
        </w:rPr>
      </w:pPr>
      <w:r w:rsidRPr="0089527C">
        <w:rPr>
          <w:rFonts w:ascii="Arial" w:eastAsia="Calibri" w:hAnsi="Arial" w:cs="Arial"/>
          <w:sz w:val="20"/>
          <w:szCs w:val="20"/>
          <w:lang w:val="es-ES_tradnl"/>
        </w:rPr>
        <w:t xml:space="preserve">De otra parte y </w:t>
      </w:r>
      <w:proofErr w:type="gramStart"/>
      <w:r w:rsidRPr="0089527C">
        <w:rPr>
          <w:rFonts w:ascii="Arial" w:eastAsia="Calibri" w:hAnsi="Arial" w:cs="Arial"/>
          <w:sz w:val="20"/>
          <w:szCs w:val="20"/>
          <w:lang w:val="es-ES_tradnl"/>
        </w:rPr>
        <w:t>en relación al</w:t>
      </w:r>
      <w:proofErr w:type="gramEnd"/>
      <w:r w:rsidRPr="0089527C">
        <w:rPr>
          <w:rFonts w:ascii="Arial" w:eastAsia="Calibri" w:hAnsi="Arial" w:cs="Arial"/>
          <w:sz w:val="20"/>
          <w:szCs w:val="20"/>
          <w:lang w:val="es-ES_tradnl"/>
        </w:rPr>
        <w:t xml:space="preserve">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 El parentesco de afinidad se refiere a la relación surgida entre una persona y los consanguíneos de su esposo, esposa o compañeros permanentes, según el caso. Es preciso señalar que la Corte Constitucional si bien declaró la </w:t>
      </w:r>
      <w:proofErr w:type="spellStart"/>
      <w:r w:rsidRPr="0089527C">
        <w:rPr>
          <w:rFonts w:ascii="Arial" w:eastAsia="Calibri" w:hAnsi="Arial" w:cs="Arial"/>
          <w:sz w:val="20"/>
          <w:szCs w:val="20"/>
          <w:lang w:val="es-ES_tradnl"/>
        </w:rPr>
        <w:t>inexequibilidad</w:t>
      </w:r>
      <w:proofErr w:type="spellEnd"/>
      <w:r w:rsidRPr="0089527C">
        <w:rPr>
          <w:rFonts w:ascii="Arial" w:eastAsia="Calibri" w:hAnsi="Arial" w:cs="Arial"/>
          <w:sz w:val="20"/>
          <w:szCs w:val="20"/>
          <w:lang w:val="es-ES_tradnl"/>
        </w:rPr>
        <w:t xml:space="preserve"> del parentesco de afinidad ilegítima, reconoció la vigencia de la denominada afinidad extramatrimonial.</w:t>
      </w:r>
    </w:p>
    <w:p w14:paraId="01AC420D" w14:textId="34955BBC" w:rsidR="0089527C" w:rsidRPr="0089527C" w:rsidRDefault="0089527C" w:rsidP="0089527C">
      <w:pPr>
        <w:spacing w:before="120"/>
        <w:jc w:val="both"/>
        <w:rPr>
          <w:rFonts w:ascii="Arial" w:eastAsia="Calibri" w:hAnsi="Arial" w:cs="Arial"/>
          <w:sz w:val="20"/>
          <w:szCs w:val="20"/>
          <w:lang w:val="es-ES_tradnl"/>
        </w:rPr>
      </w:pPr>
      <w:r w:rsidRPr="0089527C">
        <w:rPr>
          <w:rFonts w:ascii="Arial" w:eastAsia="Calibri" w:hAnsi="Arial" w:cs="Arial"/>
          <w:sz w:val="20"/>
          <w:szCs w:val="20"/>
          <w:lang w:val="es-ES_tradnl"/>
        </w:rPr>
        <w:t xml:space="preserve">En cuanto a los grados del parentesco se refiere, ya sea de consanguinidad o de afinidad, estos se cuentan en consideración al número de generaciones existentes entre las personas. De esta </w:t>
      </w:r>
      <w:r w:rsidRPr="0089527C">
        <w:rPr>
          <w:rFonts w:ascii="Arial" w:eastAsia="Calibri" w:hAnsi="Arial" w:cs="Arial"/>
          <w:sz w:val="20"/>
          <w:szCs w:val="20"/>
          <w:lang w:val="es-ES_tradnl"/>
        </w:rPr>
        <w:lastRenderedPageBreak/>
        <w:t>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w:t>
      </w:r>
    </w:p>
    <w:p w14:paraId="2FF31098" w14:textId="03D68ADB" w:rsidR="00682416" w:rsidRPr="008F2C3E" w:rsidRDefault="00682416" w:rsidP="008F2C3E">
      <w:pPr>
        <w:jc w:val="both"/>
        <w:rPr>
          <w:rFonts w:ascii="Arial" w:eastAsia="Calibri" w:hAnsi="Arial" w:cs="Arial"/>
          <w:sz w:val="20"/>
          <w:szCs w:val="20"/>
          <w:lang w:val="es-ES_tradnl"/>
        </w:rPr>
      </w:pPr>
    </w:p>
    <w:p w14:paraId="2B5F48DE" w14:textId="05B2D1D3" w:rsidR="00A71DCD" w:rsidRDefault="004F65C6" w:rsidP="008F2C3E">
      <w:pPr>
        <w:jc w:val="both"/>
        <w:rPr>
          <w:rFonts w:ascii="Arial" w:eastAsia="Calibri" w:hAnsi="Arial" w:cs="Arial"/>
          <w:b/>
          <w:bCs/>
          <w:sz w:val="22"/>
          <w:lang w:val="es-ES_tradnl"/>
        </w:rPr>
      </w:pPr>
      <w:r>
        <w:rPr>
          <w:rFonts w:ascii="Arial" w:eastAsia="Calibri" w:hAnsi="Arial" w:cs="Arial"/>
          <w:b/>
          <w:bCs/>
          <w:sz w:val="22"/>
          <w:lang w:val="es-ES_tradnl"/>
        </w:rPr>
        <w:t xml:space="preserve">PROPONENTES PLURALES </w:t>
      </w:r>
      <w:r w:rsidR="00A71DCD">
        <w:rPr>
          <w:rFonts w:ascii="Arial" w:eastAsia="Calibri" w:hAnsi="Arial" w:cs="Arial"/>
          <w:b/>
          <w:bCs/>
          <w:sz w:val="22"/>
          <w:lang w:val="es-ES_tradnl"/>
        </w:rPr>
        <w:t>‒</w:t>
      </w:r>
      <w:r w:rsidR="00806F71">
        <w:rPr>
          <w:rFonts w:ascii="Arial" w:eastAsia="Calibri" w:hAnsi="Arial" w:cs="Arial"/>
          <w:b/>
          <w:bCs/>
          <w:sz w:val="22"/>
          <w:lang w:val="es-ES_tradnl"/>
        </w:rPr>
        <w:t xml:space="preserve"> </w:t>
      </w:r>
      <w:r>
        <w:rPr>
          <w:rFonts w:ascii="Arial" w:eastAsia="Calibri" w:hAnsi="Arial" w:cs="Arial"/>
          <w:b/>
          <w:bCs/>
          <w:sz w:val="22"/>
          <w:lang w:val="es-ES_tradnl"/>
        </w:rPr>
        <w:t xml:space="preserve">Consorcios – Uniones temporales </w:t>
      </w:r>
      <w:r w:rsidR="004960F9">
        <w:rPr>
          <w:rFonts w:ascii="Arial" w:eastAsia="Calibri" w:hAnsi="Arial" w:cs="Arial"/>
          <w:b/>
          <w:bCs/>
          <w:sz w:val="22"/>
          <w:lang w:val="es-ES_tradnl"/>
        </w:rPr>
        <w:t xml:space="preserve">‒ </w:t>
      </w:r>
      <w:r>
        <w:rPr>
          <w:rFonts w:ascii="Arial" w:eastAsia="Calibri" w:hAnsi="Arial" w:cs="Arial"/>
          <w:b/>
          <w:bCs/>
          <w:sz w:val="22"/>
          <w:lang w:val="es-ES_tradnl"/>
        </w:rPr>
        <w:t xml:space="preserve">Definición ‒ </w:t>
      </w:r>
      <w:r w:rsidR="00106A32">
        <w:rPr>
          <w:rFonts w:ascii="Arial" w:eastAsia="Calibri" w:hAnsi="Arial" w:cs="Arial"/>
          <w:b/>
          <w:bCs/>
          <w:sz w:val="22"/>
          <w:lang w:val="es-ES_tradnl"/>
        </w:rPr>
        <w:t>Instrumento de cooperación</w:t>
      </w:r>
      <w:r w:rsidR="00806F71">
        <w:rPr>
          <w:rFonts w:ascii="Arial" w:eastAsia="Calibri" w:hAnsi="Arial" w:cs="Arial"/>
          <w:b/>
          <w:bCs/>
          <w:sz w:val="22"/>
          <w:lang w:val="es-ES_tradnl"/>
        </w:rPr>
        <w:t xml:space="preserve"> ‒ Unión de esfuerzos</w:t>
      </w:r>
      <w:r w:rsidR="00106A32">
        <w:rPr>
          <w:rFonts w:ascii="Arial" w:eastAsia="Calibri" w:hAnsi="Arial" w:cs="Arial"/>
          <w:b/>
          <w:bCs/>
          <w:sz w:val="22"/>
          <w:lang w:val="es-ES_tradnl"/>
        </w:rPr>
        <w:t xml:space="preserve"> ‒ Personas naturales ‒ Personas jurídicas</w:t>
      </w:r>
    </w:p>
    <w:p w14:paraId="0EE1A47A" w14:textId="016FA561" w:rsidR="004960F9" w:rsidRDefault="004960F9" w:rsidP="008F2C3E">
      <w:pPr>
        <w:jc w:val="both"/>
        <w:rPr>
          <w:rFonts w:ascii="Arial" w:eastAsia="Calibri" w:hAnsi="Arial" w:cs="Arial"/>
          <w:b/>
          <w:bCs/>
          <w:sz w:val="22"/>
          <w:lang w:val="es-ES_tradnl"/>
        </w:rPr>
      </w:pPr>
    </w:p>
    <w:p w14:paraId="2801308F" w14:textId="2D158D23" w:rsidR="004960F9" w:rsidRPr="004960F9" w:rsidRDefault="004960F9" w:rsidP="004960F9">
      <w:pPr>
        <w:spacing w:after="120"/>
        <w:jc w:val="both"/>
        <w:rPr>
          <w:rFonts w:ascii="Arial" w:eastAsia="Calibri" w:hAnsi="Arial" w:cs="Arial"/>
          <w:sz w:val="20"/>
          <w:szCs w:val="20"/>
        </w:rPr>
      </w:pPr>
      <w:r w:rsidRPr="004960F9">
        <w:rPr>
          <w:rFonts w:ascii="Arial" w:eastAsia="Calibri" w:hAnsi="Arial" w:cs="Arial"/>
          <w:sz w:val="20"/>
          <w:szCs w:val="20"/>
          <w:lang w:val="es-ES_tradnl"/>
        </w:rPr>
        <w:t>[</w:t>
      </w:r>
      <w:r w:rsidR="0083573F">
        <w:rPr>
          <w:rFonts w:ascii="Arial" w:eastAsia="Calibri" w:hAnsi="Arial" w:cs="Arial"/>
          <w:sz w:val="20"/>
          <w:szCs w:val="20"/>
          <w:lang w:val="es-ES_tradnl"/>
        </w:rPr>
        <w:t>…</w:t>
      </w:r>
      <w:r w:rsidRPr="004960F9">
        <w:rPr>
          <w:rFonts w:ascii="Arial" w:eastAsia="Calibri" w:hAnsi="Arial" w:cs="Arial"/>
          <w:sz w:val="20"/>
          <w:szCs w:val="20"/>
          <w:lang w:val="es-ES_tradnl"/>
        </w:rPr>
        <w:t>]</w:t>
      </w:r>
      <w:r w:rsidR="0083573F">
        <w:rPr>
          <w:rFonts w:ascii="Arial" w:eastAsia="Calibri" w:hAnsi="Arial" w:cs="Arial"/>
          <w:sz w:val="20"/>
          <w:szCs w:val="20"/>
          <w:lang w:val="es-ES_tradnl"/>
        </w:rPr>
        <w:t xml:space="preserve"> e</w:t>
      </w:r>
      <w:r w:rsidRPr="004960F9">
        <w:rPr>
          <w:rFonts w:ascii="Arial" w:eastAsia="Calibri" w:hAnsi="Arial" w:cs="Arial"/>
          <w:sz w:val="20"/>
          <w:szCs w:val="20"/>
          <w:lang w:val="es-ES_tradnl"/>
        </w:rPr>
        <w:t xml:space="preserve">n relación con los proponentes plurales, el </w:t>
      </w:r>
      <w:r w:rsidRPr="004960F9">
        <w:rPr>
          <w:rFonts w:ascii="Arial" w:eastAsia="Calibri" w:hAnsi="Arial" w:cs="Arial"/>
          <w:sz w:val="20"/>
          <w:szCs w:val="20"/>
        </w:rPr>
        <w:t>artículo 7 de la Ley 80 de 1993 define al consorcio y a la unión temporal como la unión de dos o más personas que presentan la misma propuesta para la adjudicación, celebración y ejecución de un contrato, pero su responsabilidad por las obligaciones derivadas de la propuesta y el contrato es diferente. Por su parte, la Corte Constitucional señala que el consorcio es una figura propia del derecho privado, utilizado como un instrumento de cooperación entre empresas, que les permita unir esfuerzos para la celebración y ejecución de un contrato con el Estado, sin que por ello pierdan su individualidad jurídica.</w:t>
      </w:r>
    </w:p>
    <w:p w14:paraId="33283189" w14:textId="50B0B07B" w:rsidR="004960F9" w:rsidRPr="004960F9" w:rsidRDefault="004960F9" w:rsidP="004960F9">
      <w:pPr>
        <w:spacing w:before="120"/>
        <w:jc w:val="both"/>
        <w:rPr>
          <w:rFonts w:ascii="Arial" w:eastAsia="Calibri" w:hAnsi="Arial" w:cs="Arial"/>
          <w:b/>
          <w:bCs/>
          <w:sz w:val="20"/>
          <w:szCs w:val="20"/>
          <w:lang w:val="es-ES_tradnl"/>
        </w:rPr>
      </w:pPr>
      <w:r w:rsidRPr="004960F9">
        <w:rPr>
          <w:rFonts w:ascii="Arial" w:eastAsia="Calibri" w:hAnsi="Arial" w:cs="Arial"/>
          <w:sz w:val="20"/>
          <w:szCs w:val="20"/>
        </w:rPr>
        <w:t>De esta manera, 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para la ejecución del objeto contractual.</w:t>
      </w:r>
    </w:p>
    <w:p w14:paraId="71435B78" w14:textId="77777777" w:rsidR="00A71DCD" w:rsidRDefault="00A71DCD" w:rsidP="008F2C3E">
      <w:pPr>
        <w:jc w:val="both"/>
        <w:rPr>
          <w:rFonts w:ascii="Arial" w:eastAsia="Calibri" w:hAnsi="Arial" w:cs="Arial"/>
          <w:b/>
          <w:bCs/>
          <w:sz w:val="22"/>
          <w:lang w:val="es-ES_tradnl"/>
        </w:rPr>
      </w:pPr>
    </w:p>
    <w:p w14:paraId="589995F3" w14:textId="017B4644" w:rsidR="00D4234C" w:rsidRPr="00D4234C" w:rsidRDefault="00D4234C" w:rsidP="008F2C3E">
      <w:pPr>
        <w:jc w:val="both"/>
        <w:rPr>
          <w:rFonts w:ascii="Arial" w:eastAsia="Calibri" w:hAnsi="Arial" w:cs="Arial"/>
          <w:b/>
          <w:bCs/>
          <w:sz w:val="22"/>
          <w:lang w:val="es-ES_tradnl"/>
        </w:rPr>
      </w:pPr>
      <w:r>
        <w:rPr>
          <w:rFonts w:ascii="Arial" w:eastAsia="Calibri" w:hAnsi="Arial" w:cs="Arial"/>
          <w:b/>
          <w:bCs/>
          <w:sz w:val="22"/>
          <w:lang w:val="es-ES_tradnl"/>
        </w:rPr>
        <w:t>INHABILIDAD</w:t>
      </w:r>
      <w:r w:rsidR="00447001">
        <w:rPr>
          <w:rFonts w:ascii="Arial" w:eastAsia="Calibri" w:hAnsi="Arial" w:cs="Arial"/>
          <w:b/>
          <w:bCs/>
          <w:sz w:val="22"/>
          <w:lang w:val="es-ES_tradnl"/>
        </w:rPr>
        <w:t>ES</w:t>
      </w:r>
      <w:r>
        <w:rPr>
          <w:rFonts w:ascii="Arial" w:eastAsia="Calibri" w:hAnsi="Arial" w:cs="Arial"/>
          <w:b/>
          <w:bCs/>
          <w:sz w:val="22"/>
          <w:lang w:val="es-ES_tradnl"/>
        </w:rPr>
        <w:t xml:space="preserve"> </w:t>
      </w:r>
      <w:r w:rsidR="0044006C">
        <w:rPr>
          <w:rFonts w:ascii="Arial" w:eastAsia="Calibri" w:hAnsi="Arial" w:cs="Arial"/>
          <w:b/>
          <w:bCs/>
          <w:sz w:val="22"/>
          <w:lang w:val="es-ES_tradnl"/>
        </w:rPr>
        <w:t>–</w:t>
      </w:r>
      <w:r>
        <w:rPr>
          <w:rFonts w:ascii="Arial" w:eastAsia="Calibri" w:hAnsi="Arial" w:cs="Arial"/>
          <w:b/>
          <w:bCs/>
          <w:sz w:val="22"/>
          <w:lang w:val="es-ES_tradnl"/>
        </w:rPr>
        <w:t xml:space="preserve"> Sujetos inhabilitados </w:t>
      </w:r>
      <w:r w:rsidR="0044006C">
        <w:rPr>
          <w:rFonts w:ascii="Arial" w:eastAsia="Calibri" w:hAnsi="Arial" w:cs="Arial"/>
          <w:b/>
          <w:bCs/>
          <w:sz w:val="22"/>
          <w:lang w:val="es-ES_tradnl"/>
        </w:rPr>
        <w:t>–</w:t>
      </w:r>
      <w:r>
        <w:rPr>
          <w:rFonts w:ascii="Arial" w:eastAsia="Calibri" w:hAnsi="Arial" w:cs="Arial"/>
          <w:b/>
          <w:bCs/>
          <w:sz w:val="22"/>
          <w:lang w:val="es-ES_tradnl"/>
        </w:rPr>
        <w:t xml:space="preserve"> </w:t>
      </w:r>
      <w:r w:rsidR="00C67F79">
        <w:rPr>
          <w:rFonts w:ascii="Arial" w:eastAsia="Calibri" w:hAnsi="Arial" w:cs="Arial"/>
          <w:b/>
          <w:bCs/>
          <w:sz w:val="22"/>
          <w:lang w:val="es-ES_tradnl"/>
        </w:rPr>
        <w:t xml:space="preserve">Constancia presentación propuestas </w:t>
      </w:r>
      <w:r w:rsidR="0044006C">
        <w:rPr>
          <w:rFonts w:ascii="Arial" w:eastAsia="Calibri" w:hAnsi="Arial" w:cs="Arial"/>
          <w:b/>
          <w:bCs/>
          <w:sz w:val="22"/>
          <w:lang w:val="es-ES_tradnl"/>
        </w:rPr>
        <w:t>–</w:t>
      </w:r>
      <w:r w:rsidR="00C67F79">
        <w:rPr>
          <w:rFonts w:ascii="Arial" w:eastAsia="Calibri" w:hAnsi="Arial" w:cs="Arial"/>
          <w:b/>
          <w:bCs/>
          <w:sz w:val="22"/>
          <w:lang w:val="es-ES_tradnl"/>
        </w:rPr>
        <w:t xml:space="preserve"> Fecha </w:t>
      </w:r>
      <w:r w:rsidR="0044006C">
        <w:rPr>
          <w:rFonts w:ascii="Arial" w:eastAsia="Calibri" w:hAnsi="Arial" w:cs="Arial"/>
          <w:b/>
          <w:bCs/>
          <w:sz w:val="22"/>
          <w:lang w:val="es-ES_tradnl"/>
        </w:rPr>
        <w:t>–</w:t>
      </w:r>
      <w:r w:rsidR="00C67F79">
        <w:rPr>
          <w:rFonts w:ascii="Arial" w:eastAsia="Calibri" w:hAnsi="Arial" w:cs="Arial"/>
          <w:b/>
          <w:bCs/>
          <w:sz w:val="22"/>
          <w:lang w:val="es-ES_tradnl"/>
        </w:rPr>
        <w:t xml:space="preserve"> Hora</w:t>
      </w:r>
    </w:p>
    <w:p w14:paraId="1AF9FFC9" w14:textId="77777777" w:rsidR="00D4234C" w:rsidRPr="008F2C3E" w:rsidRDefault="00D4234C" w:rsidP="008F2C3E">
      <w:pPr>
        <w:jc w:val="both"/>
        <w:rPr>
          <w:rFonts w:ascii="Arial" w:eastAsia="Calibri" w:hAnsi="Arial" w:cs="Arial"/>
          <w:sz w:val="20"/>
          <w:szCs w:val="20"/>
          <w:lang w:val="es-ES_tradnl"/>
        </w:rPr>
      </w:pPr>
    </w:p>
    <w:p w14:paraId="1F6AF4E7" w14:textId="33980794" w:rsidR="006D5700" w:rsidRDefault="006D5700" w:rsidP="006D5700">
      <w:pPr>
        <w:jc w:val="both"/>
        <w:rPr>
          <w:rFonts w:ascii="Arial" w:eastAsia="Calibri" w:hAnsi="Arial" w:cs="Arial"/>
          <w:sz w:val="20"/>
          <w:szCs w:val="20"/>
          <w:lang w:val="es-ES_tradnl"/>
        </w:rPr>
      </w:pPr>
      <w:r w:rsidRPr="006D5700">
        <w:rPr>
          <w:rFonts w:ascii="Arial" w:eastAsia="Calibri" w:hAnsi="Arial" w:cs="Arial"/>
          <w:sz w:val="20"/>
          <w:szCs w:val="20"/>
          <w:lang w:val="es-ES_tradnl"/>
        </w:rPr>
        <w:t xml:space="preserve">Finalmente, se precisa que la citada inhabilidad se predica de las personas que ostentan vínculos en los términos expuestos y que presenten formalmente ofertas en un proceso de contratación después que lo ha hecho su esposo, esposa, compañero(a) permanente o algún pariente hasta el segundo grado de consanguinidad o afinidad; es por esa razón que en el artículo 2.2.1.1.2.2.5 del Decreto 1082 de 2015, se dispuso que la entidad estatal contratante dejará constancia de la fecha y hora en que recibió las correspondientes ofertas, para establecer </w:t>
      </w:r>
      <w:proofErr w:type="spellStart"/>
      <w:r w:rsidRPr="006D5700">
        <w:rPr>
          <w:rFonts w:ascii="Arial" w:eastAsia="Calibri" w:hAnsi="Arial" w:cs="Arial"/>
          <w:sz w:val="20"/>
          <w:szCs w:val="20"/>
          <w:lang w:val="es-ES_tradnl"/>
        </w:rPr>
        <w:t>cual</w:t>
      </w:r>
      <w:proofErr w:type="spellEnd"/>
      <w:r w:rsidRPr="006D5700">
        <w:rPr>
          <w:rFonts w:ascii="Arial" w:eastAsia="Calibri" w:hAnsi="Arial" w:cs="Arial"/>
          <w:sz w:val="20"/>
          <w:szCs w:val="20"/>
          <w:lang w:val="es-ES_tradnl"/>
        </w:rPr>
        <w:t xml:space="preserve"> fue la primera en el tiempo y/o cual(es) se encuentra(n) inhabilitada(s) acorde al literal g) del numeral 1 del artículo 8 de la Ley 80 de 1993.</w:t>
      </w:r>
    </w:p>
    <w:p w14:paraId="6A67954D" w14:textId="22D79154" w:rsidR="006D5700" w:rsidRDefault="006D5700" w:rsidP="006D5700">
      <w:pPr>
        <w:jc w:val="both"/>
        <w:rPr>
          <w:rFonts w:ascii="Arial" w:eastAsia="Calibri" w:hAnsi="Arial" w:cs="Arial"/>
          <w:sz w:val="20"/>
          <w:szCs w:val="20"/>
          <w:lang w:val="es-ES_tradnl"/>
        </w:rPr>
      </w:pPr>
    </w:p>
    <w:p w14:paraId="42EEFBA3" w14:textId="08061A07" w:rsidR="006D5700" w:rsidRPr="002922C5" w:rsidRDefault="00546490" w:rsidP="006D5700">
      <w:pPr>
        <w:jc w:val="both"/>
        <w:rPr>
          <w:rFonts w:ascii="Arial" w:eastAsia="Calibri" w:hAnsi="Arial" w:cs="Arial"/>
          <w:b/>
          <w:bCs/>
          <w:sz w:val="22"/>
          <w:lang w:val="es-ES_tradnl"/>
        </w:rPr>
      </w:pPr>
      <w:r>
        <w:rPr>
          <w:rFonts w:ascii="Arial" w:eastAsia="Calibri" w:hAnsi="Arial" w:cs="Arial"/>
          <w:b/>
          <w:bCs/>
          <w:sz w:val="22"/>
          <w:lang w:val="es-ES_tradnl"/>
        </w:rPr>
        <w:t>INHABI</w:t>
      </w:r>
      <w:r w:rsidR="00921FC1">
        <w:rPr>
          <w:rFonts w:ascii="Arial" w:eastAsia="Calibri" w:hAnsi="Arial" w:cs="Arial"/>
          <w:b/>
          <w:bCs/>
          <w:sz w:val="22"/>
          <w:lang w:val="es-ES_tradnl"/>
        </w:rPr>
        <w:t>L</w:t>
      </w:r>
      <w:r>
        <w:rPr>
          <w:rFonts w:ascii="Arial" w:eastAsia="Calibri" w:hAnsi="Arial" w:cs="Arial"/>
          <w:b/>
          <w:bCs/>
          <w:sz w:val="22"/>
          <w:lang w:val="es-ES_tradnl"/>
        </w:rPr>
        <w:t>IDAD</w:t>
      </w:r>
      <w:r w:rsidR="00921FC1">
        <w:rPr>
          <w:rFonts w:ascii="Arial" w:eastAsia="Calibri" w:hAnsi="Arial" w:cs="Arial"/>
          <w:b/>
          <w:bCs/>
          <w:sz w:val="22"/>
          <w:lang w:val="es-ES_tradnl"/>
        </w:rPr>
        <w:t>ES</w:t>
      </w:r>
      <w:r>
        <w:rPr>
          <w:rFonts w:ascii="Arial" w:eastAsia="Calibri" w:hAnsi="Arial" w:cs="Arial"/>
          <w:b/>
          <w:bCs/>
          <w:sz w:val="22"/>
          <w:lang w:val="es-ES_tradnl"/>
        </w:rPr>
        <w:t xml:space="preserve"> ‒ Interpretación restrictiva ‒ Persona natural</w:t>
      </w:r>
      <w:r w:rsidR="00921FC1">
        <w:rPr>
          <w:rFonts w:ascii="Arial" w:eastAsia="Calibri" w:hAnsi="Arial" w:cs="Arial"/>
          <w:b/>
          <w:bCs/>
          <w:sz w:val="22"/>
          <w:lang w:val="es-ES_tradnl"/>
        </w:rPr>
        <w:t xml:space="preserve"> ‒ Parentesco</w:t>
      </w:r>
      <w:r>
        <w:rPr>
          <w:rFonts w:ascii="Arial" w:eastAsia="Calibri" w:hAnsi="Arial" w:cs="Arial"/>
          <w:b/>
          <w:bCs/>
          <w:sz w:val="22"/>
          <w:lang w:val="es-ES_tradnl"/>
        </w:rPr>
        <w:t xml:space="preserve"> </w:t>
      </w:r>
      <w:r w:rsidR="004F65C6">
        <w:rPr>
          <w:rFonts w:ascii="Arial" w:eastAsia="Calibri" w:hAnsi="Arial" w:cs="Arial"/>
          <w:b/>
          <w:bCs/>
          <w:sz w:val="22"/>
          <w:lang w:val="es-ES_tradnl"/>
        </w:rPr>
        <w:t>-</w:t>
      </w:r>
      <w:r>
        <w:rPr>
          <w:rFonts w:ascii="Arial" w:eastAsia="Calibri" w:hAnsi="Arial" w:cs="Arial"/>
          <w:b/>
          <w:bCs/>
          <w:sz w:val="22"/>
          <w:lang w:val="es-ES_tradnl"/>
        </w:rPr>
        <w:t xml:space="preserve"> </w:t>
      </w:r>
      <w:r w:rsidR="004F65C6">
        <w:rPr>
          <w:rFonts w:ascii="Arial" w:eastAsia="Calibri" w:hAnsi="Arial" w:cs="Arial"/>
          <w:b/>
          <w:bCs/>
          <w:sz w:val="22"/>
          <w:lang w:val="es-ES_tradnl"/>
        </w:rPr>
        <w:t xml:space="preserve">consorcios – Uniones temporales </w:t>
      </w:r>
      <w:r w:rsidR="005A5C0F">
        <w:rPr>
          <w:rFonts w:ascii="Arial" w:eastAsia="Calibri" w:hAnsi="Arial" w:cs="Arial"/>
          <w:b/>
          <w:bCs/>
          <w:sz w:val="22"/>
          <w:lang w:val="es-ES_tradnl"/>
        </w:rPr>
        <w:t>‒ Representante designado</w:t>
      </w:r>
    </w:p>
    <w:p w14:paraId="050009BA" w14:textId="77777777" w:rsidR="002922C5" w:rsidRDefault="002922C5" w:rsidP="006D5700">
      <w:pPr>
        <w:jc w:val="both"/>
        <w:rPr>
          <w:rFonts w:ascii="Arial" w:eastAsia="Calibri" w:hAnsi="Arial" w:cs="Arial"/>
          <w:b/>
          <w:bCs/>
          <w:sz w:val="20"/>
          <w:szCs w:val="20"/>
          <w:lang w:val="es-ES_tradnl"/>
        </w:rPr>
      </w:pPr>
    </w:p>
    <w:p w14:paraId="53ED129F" w14:textId="0EA4F264" w:rsidR="002922C5" w:rsidRPr="002922C5" w:rsidRDefault="002922C5" w:rsidP="002922C5">
      <w:pPr>
        <w:spacing w:after="120"/>
        <w:jc w:val="both"/>
        <w:rPr>
          <w:rFonts w:ascii="Arial" w:eastAsia="Calibri" w:hAnsi="Arial" w:cs="Arial"/>
          <w:sz w:val="20"/>
          <w:szCs w:val="20"/>
          <w:lang w:val="es-ES_tradnl"/>
        </w:rPr>
      </w:pPr>
      <w:r w:rsidRPr="002922C5">
        <w:rPr>
          <w:rFonts w:ascii="Arial" w:eastAsia="Calibri" w:hAnsi="Arial" w:cs="Arial"/>
          <w:sz w:val="20"/>
          <w:szCs w:val="20"/>
          <w:lang w:val="es-ES_tradnl"/>
        </w:rPr>
        <w:t>En conclusión, debido a que el régimen de inhabilidades se interpreta de manera restrictiva, la causal de inhabilidad dispuesta en el literal g) del numeral 1 del artículo 8 de la Ley 80 de 1993 se refiere solamente de personas naturales, sin que exista posibilidad de extender su aplicación a personas jurídicas, entendidas estas últimas como sujetos capaces de ejercer derechos y contraer obligaciones, cuya capacidad está determinada por su objeto social.</w:t>
      </w:r>
    </w:p>
    <w:p w14:paraId="16C6B834" w14:textId="48F042D7" w:rsidR="002922C5" w:rsidRPr="002922C5" w:rsidRDefault="002922C5" w:rsidP="002922C5">
      <w:pPr>
        <w:spacing w:before="120"/>
        <w:jc w:val="both"/>
        <w:rPr>
          <w:rFonts w:ascii="Arial" w:eastAsia="Calibri" w:hAnsi="Arial" w:cs="Arial"/>
          <w:sz w:val="20"/>
          <w:szCs w:val="20"/>
          <w:lang w:val="es-ES_tradnl"/>
        </w:rPr>
      </w:pPr>
      <w:r w:rsidRPr="002922C5">
        <w:rPr>
          <w:rFonts w:ascii="Arial" w:eastAsia="Calibri" w:hAnsi="Arial" w:cs="Arial"/>
          <w:sz w:val="20"/>
          <w:szCs w:val="20"/>
          <w:lang w:val="es-ES_tradnl"/>
        </w:rPr>
        <w:t>De igual manera, esa causal de inhabilidad también se refiere a las personas naturales que integran proponentes plurales, consorcios o uniones temporales, así como la persona designada como representante de estos, ya que estas formas de asociación no constituyen una persona jurídica diferente o independiente los miembros que los integran, lo cual implica, que el consorcio o unión temporal será inhabilitado en un proceso de contratación, cuando uno de sus integrantes o representante designado se encuentra en alguna de las relaciones de parentesco determinadas en la mencionada disposición.</w:t>
      </w:r>
    </w:p>
    <w:p w14:paraId="5D0142A0" w14:textId="59F6C968" w:rsidR="007919DD" w:rsidRPr="007919DD" w:rsidRDefault="007919DD" w:rsidP="007919DD">
      <w:pPr>
        <w:autoSpaceDE w:val="0"/>
        <w:autoSpaceDN w:val="0"/>
        <w:adjustRightInd w:val="0"/>
        <w:rPr>
          <w:rFonts w:ascii="Arial" w:hAnsi="Arial" w:cs="Arial"/>
          <w:color w:val="000000"/>
          <w:sz w:val="22"/>
          <w:lang w:val="es-CO"/>
        </w:rPr>
      </w:pPr>
      <w:r w:rsidRPr="007919DD">
        <w:rPr>
          <w:rFonts w:ascii="Arial" w:hAnsi="Arial" w:cs="Arial"/>
          <w:color w:val="000000"/>
          <w:sz w:val="22"/>
          <w:lang w:val="es-CO"/>
        </w:rPr>
        <w:lastRenderedPageBreak/>
        <w:t xml:space="preserve">Bogotá D.C., </w:t>
      </w:r>
      <w:r w:rsidRPr="007919DD">
        <w:rPr>
          <w:rFonts w:ascii="Arial" w:hAnsi="Arial" w:cs="Arial"/>
          <w:b/>
          <w:bCs/>
          <w:color w:val="000000"/>
          <w:sz w:val="22"/>
          <w:lang w:val="es-CO"/>
        </w:rPr>
        <w:t xml:space="preserve">21/05/2020 Hora 19:23:26s </w:t>
      </w:r>
    </w:p>
    <w:p w14:paraId="5E8377E6" w14:textId="1465CFC4" w:rsidR="0044006C" w:rsidRDefault="007919DD" w:rsidP="007919DD">
      <w:pPr>
        <w:tabs>
          <w:tab w:val="left" w:pos="3374"/>
        </w:tabs>
        <w:jc w:val="right"/>
        <w:rPr>
          <w:rFonts w:ascii="Arial" w:eastAsia="Calibri" w:hAnsi="Arial" w:cs="Arial"/>
          <w:sz w:val="22"/>
        </w:rPr>
      </w:pPr>
      <w:proofErr w:type="spellStart"/>
      <w:r w:rsidRPr="007919DD">
        <w:rPr>
          <w:rFonts w:ascii="Arial" w:hAnsi="Arial" w:cs="Arial"/>
          <w:b/>
          <w:bCs/>
          <w:color w:val="000000"/>
          <w:sz w:val="22"/>
          <w:lang w:val="es-CO"/>
        </w:rPr>
        <w:t>N°</w:t>
      </w:r>
      <w:proofErr w:type="spellEnd"/>
      <w:r w:rsidRPr="007919DD">
        <w:rPr>
          <w:rFonts w:ascii="Arial" w:hAnsi="Arial" w:cs="Arial"/>
          <w:b/>
          <w:bCs/>
          <w:color w:val="000000"/>
          <w:sz w:val="22"/>
          <w:lang w:val="es-CO"/>
        </w:rPr>
        <w:t xml:space="preserve"> Radicado: 2202013000004015</w:t>
      </w:r>
    </w:p>
    <w:p w14:paraId="2097EFDF" w14:textId="7E471557" w:rsidR="005A79FE" w:rsidRPr="00361A72" w:rsidRDefault="005A79FE" w:rsidP="005A79FE">
      <w:pPr>
        <w:rPr>
          <w:rFonts w:ascii="Arial" w:eastAsia="Calibri" w:hAnsi="Arial" w:cs="Arial"/>
          <w:sz w:val="22"/>
        </w:rPr>
      </w:pPr>
      <w:r w:rsidRPr="00361A72">
        <w:rPr>
          <w:rFonts w:ascii="Arial" w:eastAsia="Calibri" w:hAnsi="Arial" w:cs="Arial"/>
          <w:sz w:val="22"/>
        </w:rPr>
        <w:t>Señor</w:t>
      </w:r>
    </w:p>
    <w:p w14:paraId="7FDA027E" w14:textId="2D2E059E" w:rsidR="005A79FE" w:rsidRPr="009A1118" w:rsidRDefault="0044006C" w:rsidP="005A79FE">
      <w:pPr>
        <w:rPr>
          <w:rFonts w:ascii="Arial" w:eastAsia="Calibri" w:hAnsi="Arial" w:cs="Arial"/>
          <w:b/>
          <w:sz w:val="22"/>
        </w:rPr>
      </w:pPr>
      <w:r>
        <w:rPr>
          <w:rFonts w:ascii="Arial" w:eastAsia="Calibri" w:hAnsi="Arial" w:cs="Arial"/>
          <w:b/>
          <w:sz w:val="22"/>
        </w:rPr>
        <w:t>Hugo Armando Granja</w:t>
      </w:r>
    </w:p>
    <w:p w14:paraId="7ADFD5B6" w14:textId="0A50D799" w:rsidR="009217DC" w:rsidRDefault="005A79FE" w:rsidP="005A79FE">
      <w:pPr>
        <w:rPr>
          <w:rFonts w:ascii="Arial" w:eastAsia="Calibri" w:hAnsi="Arial" w:cs="Arial"/>
          <w:sz w:val="22"/>
        </w:rPr>
      </w:pPr>
      <w:r w:rsidRPr="00361A72">
        <w:rPr>
          <w:rFonts w:ascii="Arial" w:eastAsia="Calibri" w:hAnsi="Arial" w:cs="Arial"/>
          <w:sz w:val="22"/>
        </w:rPr>
        <w:t>Ciudad</w:t>
      </w:r>
    </w:p>
    <w:p w14:paraId="701418C7" w14:textId="77777777" w:rsidR="009217DC" w:rsidRPr="00361A72" w:rsidRDefault="009217DC" w:rsidP="005A79FE">
      <w:pPr>
        <w:rPr>
          <w:rFonts w:ascii="Arial" w:eastAsia="Calibri" w:hAnsi="Arial" w:cs="Arial"/>
          <w:sz w:val="22"/>
        </w:rPr>
      </w:pPr>
    </w:p>
    <w:p w14:paraId="04EF5647" w14:textId="66DDD48F" w:rsidR="005A79FE" w:rsidRDefault="0044006C" w:rsidP="00541738">
      <w:pPr>
        <w:rPr>
          <w:rFonts w:ascii="Arial" w:eastAsia="Calibri" w:hAnsi="Arial" w:cs="Arial"/>
          <w:b/>
          <w:sz w:val="22"/>
        </w:rPr>
      </w:pPr>
      <w:r>
        <w:rPr>
          <w:rFonts w:ascii="Arial" w:eastAsia="Calibri" w:hAnsi="Arial" w:cs="Arial"/>
          <w:b/>
          <w:sz w:val="22"/>
        </w:rPr>
        <w:t xml:space="preserve">                                            </w:t>
      </w:r>
      <w:r w:rsidR="005A79FE" w:rsidRPr="00361A72">
        <w:rPr>
          <w:rFonts w:ascii="Arial" w:eastAsia="Calibri" w:hAnsi="Arial" w:cs="Arial"/>
          <w:b/>
          <w:sz w:val="22"/>
        </w:rPr>
        <w:t xml:space="preserve">Concepto C ─ </w:t>
      </w:r>
      <w:r w:rsidR="002A5004">
        <w:rPr>
          <w:rFonts w:ascii="Arial" w:eastAsia="Calibri" w:hAnsi="Arial" w:cs="Arial"/>
          <w:b/>
          <w:sz w:val="22"/>
        </w:rPr>
        <w:t>273</w:t>
      </w:r>
      <w:r w:rsidR="005A79FE" w:rsidRPr="00361A72">
        <w:rPr>
          <w:rFonts w:ascii="Arial" w:eastAsia="Calibri" w:hAnsi="Arial" w:cs="Arial"/>
          <w:b/>
          <w:sz w:val="22"/>
        </w:rPr>
        <w:t xml:space="preserve"> de 2020</w:t>
      </w:r>
    </w:p>
    <w:p w14:paraId="67306E54" w14:textId="77777777" w:rsidR="009217DC" w:rsidRDefault="009217DC" w:rsidP="00541738">
      <w:pP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61A72" w:rsidRPr="00361A72" w14:paraId="21699201" w14:textId="77777777" w:rsidTr="002F6746">
        <w:tc>
          <w:tcPr>
            <w:tcW w:w="2689" w:type="dxa"/>
            <w:hideMark/>
          </w:tcPr>
          <w:p w14:paraId="26712367" w14:textId="77777777" w:rsidR="005A79FE" w:rsidRPr="00361A72" w:rsidRDefault="005A79FE" w:rsidP="002F6746">
            <w:pPr>
              <w:rPr>
                <w:rFonts w:ascii="Arial" w:eastAsia="Calibri" w:hAnsi="Arial" w:cs="Arial"/>
                <w:sz w:val="22"/>
              </w:rPr>
            </w:pPr>
            <w:r w:rsidRPr="00361A72">
              <w:rPr>
                <w:rFonts w:ascii="Arial" w:eastAsia="Calibri" w:hAnsi="Arial" w:cs="Arial"/>
                <w:b/>
                <w:sz w:val="22"/>
              </w:rPr>
              <w:t>Temas:</w:t>
            </w:r>
            <w:r w:rsidRPr="00361A72">
              <w:rPr>
                <w:rFonts w:ascii="Arial" w:eastAsia="Calibri" w:hAnsi="Arial" w:cs="Arial"/>
                <w:sz w:val="22"/>
              </w:rPr>
              <w:t xml:space="preserve">           </w:t>
            </w:r>
          </w:p>
          <w:p w14:paraId="5D67F5C4" w14:textId="77777777" w:rsidR="005A79FE" w:rsidRPr="00361A72" w:rsidRDefault="005A79FE" w:rsidP="002F6746">
            <w:pPr>
              <w:rPr>
                <w:rFonts w:ascii="Arial" w:eastAsia="Calibri" w:hAnsi="Arial" w:cs="Arial"/>
                <w:sz w:val="22"/>
              </w:rPr>
            </w:pPr>
            <w:r w:rsidRPr="00361A72">
              <w:rPr>
                <w:rFonts w:ascii="Arial" w:eastAsia="Calibri" w:hAnsi="Arial" w:cs="Arial"/>
                <w:sz w:val="22"/>
              </w:rPr>
              <w:t xml:space="preserve">                           </w:t>
            </w:r>
          </w:p>
        </w:tc>
        <w:tc>
          <w:tcPr>
            <w:tcW w:w="6237" w:type="dxa"/>
            <w:hideMark/>
          </w:tcPr>
          <w:p w14:paraId="784C47C0" w14:textId="1F04E5BF" w:rsidR="005A79FE" w:rsidRPr="00447001" w:rsidRDefault="00CF471A" w:rsidP="00541738">
            <w:pPr>
              <w:spacing w:after="120"/>
              <w:jc w:val="both"/>
              <w:rPr>
                <w:rFonts w:ascii="Arial" w:eastAsia="Calibri" w:hAnsi="Arial" w:cs="Arial"/>
                <w:sz w:val="22"/>
              </w:rPr>
            </w:pPr>
            <w:r w:rsidRPr="00447001">
              <w:rPr>
                <w:rFonts w:ascii="Arial" w:hAnsi="Arial" w:cs="Arial"/>
                <w:sz w:val="22"/>
              </w:rPr>
              <w:t>INHABILIDADES ─ Definición ─ Finalidad ─ Limitación capacidad</w:t>
            </w:r>
            <w:r w:rsidR="00FB149D" w:rsidRPr="00447001">
              <w:rPr>
                <w:rFonts w:ascii="Arial" w:hAnsi="Arial" w:cs="Arial"/>
                <w:sz w:val="22"/>
              </w:rPr>
              <w:t xml:space="preserve"> ─ Clasificación ─ Sanción ─ Proceso sancionatorio ─ Requisito ─ Condiciones personales</w:t>
            </w:r>
            <w:r w:rsidR="00447001" w:rsidRPr="00447001">
              <w:rPr>
                <w:rFonts w:ascii="Arial" w:hAnsi="Arial" w:cs="Arial"/>
                <w:sz w:val="22"/>
              </w:rPr>
              <w:t xml:space="preserve"> </w:t>
            </w:r>
            <w:r w:rsidR="00447001" w:rsidRPr="00447001">
              <w:rPr>
                <w:rFonts w:ascii="Arial" w:eastAsia="Calibri" w:hAnsi="Arial" w:cs="Arial"/>
                <w:sz w:val="22"/>
                <w:lang w:val="es-ES_tradnl"/>
              </w:rPr>
              <w:t>─ Sujetos inhabilitados ─ Constancia presentación propuestas ─ Fecha ─ Hora ─ Taxatividad ─ Principio de legalidad ─ Interpretación restrictiva ─ fundamento ─ Relación familiar ─ Relación de parentesco ─ Vínculo natural ─ Vínculo jurídico ─ Personas naturales</w:t>
            </w:r>
            <w:r w:rsidR="00FB149D" w:rsidRPr="00447001">
              <w:rPr>
                <w:rFonts w:ascii="Arial" w:hAnsi="Arial" w:cs="Arial"/>
                <w:sz w:val="22"/>
              </w:rPr>
              <w:t xml:space="preserve"> / </w:t>
            </w:r>
            <w:r w:rsidR="00FB149D" w:rsidRPr="00447001">
              <w:rPr>
                <w:rFonts w:ascii="Arial" w:eastAsia="Calibri" w:hAnsi="Arial" w:cs="Arial"/>
                <w:sz w:val="22"/>
                <w:lang w:val="es-ES_tradnl"/>
              </w:rPr>
              <w:t>CONTRATACIÓN ESTATAL ─ Capacidad ─ Validez contratos ─ Régimen de contratación / RUP ─ Inscripción  / CÓNYUGES ─ Inhabilidad ─ Definición / COMPAÑEROS PERMANENTES ─ Definición ─ Parejas ─ Mismo sexo ─ Inhabilidad / PARENTESCO ─ Inhabilidad ─ Consanguinidad ─ Afinidad</w:t>
            </w:r>
            <w:r w:rsidR="00863B65" w:rsidRPr="00447001">
              <w:rPr>
                <w:rFonts w:ascii="Arial" w:eastAsia="Calibri" w:hAnsi="Arial" w:cs="Arial"/>
                <w:sz w:val="22"/>
                <w:lang w:val="es-ES_tradnl"/>
              </w:rPr>
              <w:t xml:space="preserve"> ─ Clasificación ─ Grados</w:t>
            </w:r>
            <w:r w:rsidR="009810D8">
              <w:rPr>
                <w:rFonts w:ascii="Arial" w:eastAsia="Calibri" w:hAnsi="Arial" w:cs="Arial"/>
                <w:sz w:val="22"/>
                <w:lang w:val="es-ES_tradnl"/>
              </w:rPr>
              <w:t xml:space="preserve"> / </w:t>
            </w:r>
            <w:r w:rsidR="009810D8" w:rsidRPr="009810D8">
              <w:rPr>
                <w:rFonts w:ascii="Arial" w:eastAsia="Calibri" w:hAnsi="Arial" w:cs="Arial"/>
                <w:sz w:val="22"/>
                <w:lang w:val="es-ES_tradnl"/>
              </w:rPr>
              <w:t>CONSORCIOS / UNIONES TEMPORALES ‒ Proponente plural ‒ Definición ‒ Instrumento de cooperación ‒ Unión de esfuerzos ‒ Personas naturales ‒ Personas jurídicas</w:t>
            </w:r>
            <w:r w:rsidR="009810D8">
              <w:rPr>
                <w:rFonts w:ascii="Arial" w:eastAsia="Calibri" w:hAnsi="Arial" w:cs="Arial"/>
                <w:sz w:val="22"/>
                <w:lang w:val="es-ES_tradnl"/>
              </w:rPr>
              <w:t xml:space="preserve"> ‒ </w:t>
            </w:r>
            <w:r w:rsidR="009810D8" w:rsidRPr="009810D8">
              <w:rPr>
                <w:rFonts w:ascii="Arial" w:eastAsia="Calibri" w:hAnsi="Arial" w:cs="Arial"/>
                <w:sz w:val="22"/>
                <w:lang w:val="es-ES_tradnl"/>
              </w:rPr>
              <w:t>Inhabilidades ‒ Personas naturales ‒ Parentesco ‒ Representante designado</w:t>
            </w:r>
          </w:p>
        </w:tc>
      </w:tr>
      <w:tr w:rsidR="005A79FE" w:rsidRPr="00361A72" w14:paraId="7C0A7D18" w14:textId="77777777" w:rsidTr="002F6746">
        <w:tc>
          <w:tcPr>
            <w:tcW w:w="2689" w:type="dxa"/>
          </w:tcPr>
          <w:p w14:paraId="6A12F093" w14:textId="77777777" w:rsidR="005A79FE" w:rsidRPr="00361A72" w:rsidRDefault="005A79FE" w:rsidP="002F6746">
            <w:pPr>
              <w:rPr>
                <w:rFonts w:ascii="Arial" w:eastAsia="Calibri" w:hAnsi="Arial" w:cs="Arial"/>
                <w:b/>
                <w:sz w:val="22"/>
              </w:rPr>
            </w:pPr>
            <w:r w:rsidRPr="00361A72">
              <w:rPr>
                <w:rFonts w:ascii="Arial" w:eastAsia="Calibri" w:hAnsi="Arial" w:cs="Arial"/>
                <w:b/>
                <w:sz w:val="22"/>
              </w:rPr>
              <w:t>Radicación:</w:t>
            </w:r>
            <w:r w:rsidRPr="00361A72">
              <w:rPr>
                <w:rFonts w:ascii="Arial" w:eastAsia="Calibri" w:hAnsi="Arial" w:cs="Arial"/>
                <w:sz w:val="22"/>
              </w:rPr>
              <w:t xml:space="preserve">                              </w:t>
            </w:r>
          </w:p>
        </w:tc>
        <w:tc>
          <w:tcPr>
            <w:tcW w:w="6237" w:type="dxa"/>
          </w:tcPr>
          <w:p w14:paraId="73A42ACA" w14:textId="3B8D9700" w:rsidR="005A79FE" w:rsidRPr="00361A72" w:rsidRDefault="005A79FE" w:rsidP="002F6746">
            <w:pPr>
              <w:jc w:val="both"/>
              <w:rPr>
                <w:rFonts w:ascii="Arial" w:eastAsia="Calibri" w:hAnsi="Arial" w:cs="Arial"/>
                <w:sz w:val="22"/>
              </w:rPr>
            </w:pPr>
            <w:r w:rsidRPr="00361A72">
              <w:rPr>
                <w:rFonts w:ascii="Arial" w:eastAsia="Calibri" w:hAnsi="Arial" w:cs="Arial"/>
                <w:sz w:val="22"/>
              </w:rPr>
              <w:t>Respuesta a consulta #</w:t>
            </w:r>
            <w:r w:rsidR="00C95DCC">
              <w:rPr>
                <w:rFonts w:ascii="Arial" w:eastAsia="Calibri" w:hAnsi="Arial" w:cs="Arial"/>
                <w:sz w:val="22"/>
              </w:rPr>
              <w:t>42020130000025</w:t>
            </w:r>
            <w:r w:rsidR="00B4041C">
              <w:rPr>
                <w:rFonts w:ascii="Arial" w:eastAsia="Calibri" w:hAnsi="Arial" w:cs="Arial"/>
                <w:sz w:val="22"/>
              </w:rPr>
              <w:t>17</w:t>
            </w:r>
          </w:p>
        </w:tc>
      </w:tr>
    </w:tbl>
    <w:p w14:paraId="396DE958" w14:textId="77777777" w:rsidR="005A79FE" w:rsidRPr="00361A72" w:rsidRDefault="005A79FE" w:rsidP="005A79FE">
      <w:pPr>
        <w:jc w:val="both"/>
        <w:rPr>
          <w:rFonts w:ascii="Arial" w:eastAsia="Calibri" w:hAnsi="Arial" w:cs="Arial"/>
          <w:sz w:val="22"/>
        </w:rPr>
      </w:pPr>
    </w:p>
    <w:p w14:paraId="657E7EE7" w14:textId="1268173D" w:rsidR="005A79FE" w:rsidRPr="00361A72" w:rsidRDefault="005A79FE" w:rsidP="005A79FE">
      <w:pPr>
        <w:rPr>
          <w:rFonts w:ascii="Arial" w:eastAsia="Calibri" w:hAnsi="Arial" w:cs="Arial"/>
          <w:sz w:val="22"/>
        </w:rPr>
      </w:pPr>
      <w:r w:rsidRPr="00361A72">
        <w:rPr>
          <w:rFonts w:ascii="Arial" w:eastAsia="Calibri" w:hAnsi="Arial" w:cs="Arial"/>
          <w:sz w:val="22"/>
        </w:rPr>
        <w:t>Estimado señ</w:t>
      </w:r>
      <w:r w:rsidR="009A1118">
        <w:rPr>
          <w:rFonts w:ascii="Arial" w:eastAsia="Calibri" w:hAnsi="Arial" w:cs="Arial"/>
          <w:sz w:val="22"/>
        </w:rPr>
        <w:t>or Granja</w:t>
      </w:r>
      <w:r w:rsidRPr="00361A72">
        <w:rPr>
          <w:rFonts w:ascii="Arial" w:eastAsia="Calibri" w:hAnsi="Arial" w:cs="Arial"/>
          <w:sz w:val="22"/>
        </w:rPr>
        <w:t>,</w:t>
      </w:r>
    </w:p>
    <w:p w14:paraId="40D74C98" w14:textId="77777777" w:rsidR="005A79FE" w:rsidRPr="00361A72" w:rsidRDefault="005A79FE" w:rsidP="005A79FE">
      <w:pPr>
        <w:rPr>
          <w:rFonts w:ascii="Arial" w:eastAsia="Calibri" w:hAnsi="Arial" w:cs="Arial"/>
          <w:sz w:val="22"/>
        </w:rPr>
      </w:pPr>
    </w:p>
    <w:p w14:paraId="7B43DD4C" w14:textId="5B2CC30B" w:rsidR="0059306D" w:rsidRPr="00361A72" w:rsidRDefault="0059306D" w:rsidP="005A79FE">
      <w:pPr>
        <w:spacing w:line="276" w:lineRule="auto"/>
        <w:ind w:right="49"/>
        <w:jc w:val="both"/>
        <w:rPr>
          <w:rFonts w:ascii="Arial" w:eastAsia="Calibri" w:hAnsi="Arial" w:cs="Arial"/>
          <w:sz w:val="22"/>
        </w:rPr>
      </w:pPr>
      <w:r w:rsidRPr="0059306D">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sz w:val="22"/>
        </w:rPr>
        <w:t>7 de abril de</w:t>
      </w:r>
      <w:r w:rsidRPr="0059306D">
        <w:rPr>
          <w:rFonts w:ascii="Arial" w:eastAsia="Calibri" w:hAnsi="Arial" w:cs="Arial"/>
          <w:sz w:val="22"/>
        </w:rPr>
        <w:t xml:space="preserve"> 2020. </w:t>
      </w:r>
    </w:p>
    <w:p w14:paraId="4FA02A8B" w14:textId="77777777" w:rsidR="005A79FE" w:rsidRPr="00361A72" w:rsidRDefault="005A79FE" w:rsidP="005A79FE">
      <w:pPr>
        <w:spacing w:line="276" w:lineRule="auto"/>
        <w:jc w:val="both"/>
        <w:rPr>
          <w:rFonts w:ascii="Arial" w:eastAsia="Calibri" w:hAnsi="Arial" w:cs="Arial"/>
          <w:sz w:val="22"/>
        </w:rPr>
      </w:pPr>
    </w:p>
    <w:p w14:paraId="4E8D0889" w14:textId="77777777" w:rsidR="005A79FE" w:rsidRPr="00361A72"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361A72">
        <w:rPr>
          <w:rFonts w:ascii="Arial" w:eastAsia="Calibri" w:hAnsi="Arial" w:cs="Arial"/>
          <w:b/>
          <w:sz w:val="22"/>
        </w:rPr>
        <w:t xml:space="preserve">Problemas planteados </w:t>
      </w:r>
    </w:p>
    <w:p w14:paraId="138D5B25" w14:textId="77777777" w:rsidR="005A79FE" w:rsidRPr="00361A72" w:rsidRDefault="005A79FE" w:rsidP="005A79FE">
      <w:pPr>
        <w:tabs>
          <w:tab w:val="left" w:pos="426"/>
        </w:tabs>
        <w:spacing w:line="276" w:lineRule="auto"/>
        <w:jc w:val="both"/>
        <w:rPr>
          <w:rFonts w:ascii="Arial" w:eastAsia="Calibri" w:hAnsi="Arial" w:cs="Arial"/>
          <w:b/>
          <w:sz w:val="22"/>
        </w:rPr>
      </w:pPr>
    </w:p>
    <w:p w14:paraId="30EE5915" w14:textId="13DA33F8" w:rsidR="005A79FE" w:rsidRPr="00361A72" w:rsidRDefault="00CA499D" w:rsidP="005A79FE">
      <w:pPr>
        <w:tabs>
          <w:tab w:val="left" w:pos="426"/>
        </w:tabs>
        <w:spacing w:line="276" w:lineRule="auto"/>
        <w:jc w:val="both"/>
        <w:rPr>
          <w:rFonts w:ascii="Arial" w:eastAsia="Calibri" w:hAnsi="Arial" w:cs="Arial"/>
          <w:sz w:val="22"/>
        </w:rPr>
      </w:pPr>
      <w:r>
        <w:rPr>
          <w:rFonts w:ascii="Arial" w:eastAsia="Calibri" w:hAnsi="Arial" w:cs="Arial"/>
          <w:sz w:val="22"/>
        </w:rPr>
        <w:t xml:space="preserve">Sobre </w:t>
      </w:r>
      <w:bookmarkStart w:id="0" w:name="_Hlk39509612"/>
      <w:r>
        <w:rPr>
          <w:rFonts w:ascii="Arial" w:eastAsia="Calibri" w:hAnsi="Arial" w:cs="Arial"/>
          <w:sz w:val="22"/>
        </w:rPr>
        <w:t>la causal de inhabilidad prevista en el artículo 8, literal g) del numeral 1, de la Ley 80 de 1993</w:t>
      </w:r>
      <w:bookmarkEnd w:id="0"/>
      <w:r>
        <w:rPr>
          <w:rFonts w:ascii="Arial" w:eastAsia="Calibri" w:hAnsi="Arial" w:cs="Arial"/>
          <w:sz w:val="22"/>
        </w:rPr>
        <w:t>, u</w:t>
      </w:r>
      <w:r w:rsidR="005A79FE" w:rsidRPr="00361A72">
        <w:rPr>
          <w:rFonts w:ascii="Arial" w:eastAsia="Calibri" w:hAnsi="Arial" w:cs="Arial"/>
          <w:sz w:val="22"/>
        </w:rPr>
        <w:t>sted realiza las siguientes preguntas: i)</w:t>
      </w:r>
      <w:r w:rsidR="00B87DC9">
        <w:rPr>
          <w:rFonts w:ascii="Arial" w:eastAsia="Calibri" w:hAnsi="Arial" w:cs="Arial"/>
          <w:sz w:val="22"/>
        </w:rPr>
        <w:t xml:space="preserve"> </w:t>
      </w:r>
      <w:r w:rsidR="00916959">
        <w:rPr>
          <w:rFonts w:ascii="Arial" w:eastAsia="Calibri" w:hAnsi="Arial" w:cs="Arial"/>
          <w:sz w:val="22"/>
        </w:rPr>
        <w:t>«Esta causal de inhabilidad</w:t>
      </w:r>
      <w:r w:rsidR="008B42AB">
        <w:rPr>
          <w:rFonts w:ascii="Arial" w:eastAsia="Calibri" w:hAnsi="Arial" w:cs="Arial"/>
          <w:sz w:val="22"/>
        </w:rPr>
        <w:t xml:space="preserve"> aplica únicamente para personas naturales que sean proponentes, </w:t>
      </w:r>
      <w:r w:rsidR="00227D70">
        <w:rPr>
          <w:rFonts w:ascii="Arial" w:eastAsia="Calibri" w:hAnsi="Arial" w:cs="Arial"/>
          <w:sz w:val="22"/>
        </w:rPr>
        <w:t xml:space="preserve">o </w:t>
      </w:r>
      <w:r w:rsidR="008B42AB">
        <w:rPr>
          <w:rFonts w:ascii="Arial" w:eastAsia="Calibri" w:hAnsi="Arial" w:cs="Arial"/>
          <w:sz w:val="22"/>
        </w:rPr>
        <w:t xml:space="preserve">también aplica </w:t>
      </w:r>
      <w:r w:rsidR="00685FD3">
        <w:rPr>
          <w:rFonts w:ascii="Arial" w:eastAsia="Calibri" w:hAnsi="Arial" w:cs="Arial"/>
          <w:sz w:val="22"/>
        </w:rPr>
        <w:t xml:space="preserve">para personas jurídicas o para proponentes plurales, tales como consorcios </w:t>
      </w:r>
      <w:r w:rsidR="00B404FE">
        <w:rPr>
          <w:rFonts w:ascii="Arial" w:eastAsia="Calibri" w:hAnsi="Arial" w:cs="Arial"/>
          <w:sz w:val="22"/>
        </w:rPr>
        <w:t>o uniones temporales?</w:t>
      </w:r>
      <w:r w:rsidR="00D20BED">
        <w:rPr>
          <w:rFonts w:ascii="Arial" w:eastAsia="Calibri" w:hAnsi="Arial" w:cs="Arial"/>
          <w:sz w:val="22"/>
        </w:rPr>
        <w:t>»,</w:t>
      </w:r>
      <w:r w:rsidR="00B404FE">
        <w:rPr>
          <w:rFonts w:ascii="Arial" w:eastAsia="Calibri" w:hAnsi="Arial" w:cs="Arial"/>
          <w:sz w:val="22"/>
        </w:rPr>
        <w:t xml:space="preserve"> </w:t>
      </w:r>
      <w:proofErr w:type="spellStart"/>
      <w:r w:rsidR="00B404FE">
        <w:rPr>
          <w:rFonts w:ascii="Arial" w:eastAsia="Calibri" w:hAnsi="Arial" w:cs="Arial"/>
          <w:sz w:val="22"/>
        </w:rPr>
        <w:t>ii</w:t>
      </w:r>
      <w:proofErr w:type="spellEnd"/>
      <w:r w:rsidR="00B404FE">
        <w:rPr>
          <w:rFonts w:ascii="Arial" w:eastAsia="Calibri" w:hAnsi="Arial" w:cs="Arial"/>
          <w:sz w:val="22"/>
        </w:rPr>
        <w:t>) «En caso afirmativo</w:t>
      </w:r>
      <w:r w:rsidR="00253D00">
        <w:rPr>
          <w:rFonts w:ascii="Arial" w:eastAsia="Calibri" w:hAnsi="Arial" w:cs="Arial"/>
          <w:sz w:val="22"/>
        </w:rPr>
        <w:t xml:space="preserve">, la causal de inhabilidad aplica para los representantes legales del proponente plural </w:t>
      </w:r>
      <w:r w:rsidR="0075684E">
        <w:rPr>
          <w:rFonts w:ascii="Arial" w:eastAsia="Calibri" w:hAnsi="Arial" w:cs="Arial"/>
          <w:sz w:val="22"/>
        </w:rPr>
        <w:t>o de la persona jurídica proponente?</w:t>
      </w:r>
      <w:r w:rsidR="00D20BED">
        <w:rPr>
          <w:rFonts w:ascii="Arial" w:eastAsia="Calibri" w:hAnsi="Arial" w:cs="Arial"/>
          <w:sz w:val="22"/>
        </w:rPr>
        <w:t>»,</w:t>
      </w:r>
      <w:r w:rsidR="0075684E">
        <w:rPr>
          <w:rFonts w:ascii="Arial" w:eastAsia="Calibri" w:hAnsi="Arial" w:cs="Arial"/>
          <w:sz w:val="22"/>
        </w:rPr>
        <w:t xml:space="preserve"> </w:t>
      </w:r>
      <w:proofErr w:type="spellStart"/>
      <w:r w:rsidR="00BB6926">
        <w:rPr>
          <w:rFonts w:ascii="Arial" w:eastAsia="Calibri" w:hAnsi="Arial" w:cs="Arial"/>
          <w:sz w:val="22"/>
        </w:rPr>
        <w:t>i</w:t>
      </w:r>
      <w:r w:rsidR="0075684E">
        <w:rPr>
          <w:rFonts w:ascii="Arial" w:eastAsia="Calibri" w:hAnsi="Arial" w:cs="Arial"/>
          <w:sz w:val="22"/>
        </w:rPr>
        <w:t>ii</w:t>
      </w:r>
      <w:proofErr w:type="spellEnd"/>
      <w:r w:rsidR="0075684E">
        <w:rPr>
          <w:rFonts w:ascii="Arial" w:eastAsia="Calibri" w:hAnsi="Arial" w:cs="Arial"/>
          <w:sz w:val="22"/>
        </w:rPr>
        <w:t>) «¿Esta causal de inhabilidad</w:t>
      </w:r>
      <w:r w:rsidR="006C6305">
        <w:rPr>
          <w:rFonts w:ascii="Arial" w:eastAsia="Calibri" w:hAnsi="Arial" w:cs="Arial"/>
          <w:sz w:val="22"/>
        </w:rPr>
        <w:t xml:space="preserve"> aplica únicamente para proponentes o también para los representantes legales de los pro</w:t>
      </w:r>
      <w:r w:rsidR="00AA1839">
        <w:rPr>
          <w:rFonts w:ascii="Arial" w:eastAsia="Calibri" w:hAnsi="Arial" w:cs="Arial"/>
          <w:sz w:val="22"/>
        </w:rPr>
        <w:t>ponentes?</w:t>
      </w:r>
      <w:r w:rsidR="00D20BED">
        <w:rPr>
          <w:rFonts w:ascii="Arial" w:eastAsia="Calibri" w:hAnsi="Arial" w:cs="Arial"/>
          <w:sz w:val="22"/>
        </w:rPr>
        <w:t>»</w:t>
      </w:r>
      <w:r w:rsidR="00AA1839">
        <w:rPr>
          <w:rFonts w:ascii="Arial" w:eastAsia="Calibri" w:hAnsi="Arial" w:cs="Arial"/>
          <w:sz w:val="22"/>
        </w:rPr>
        <w:t xml:space="preserve"> y </w:t>
      </w:r>
      <w:proofErr w:type="spellStart"/>
      <w:r w:rsidR="00AA1839">
        <w:rPr>
          <w:rFonts w:ascii="Arial" w:eastAsia="Calibri" w:hAnsi="Arial" w:cs="Arial"/>
          <w:sz w:val="22"/>
        </w:rPr>
        <w:t>iv</w:t>
      </w:r>
      <w:proofErr w:type="spellEnd"/>
      <w:r w:rsidR="00AA1839">
        <w:rPr>
          <w:rFonts w:ascii="Arial" w:eastAsia="Calibri" w:hAnsi="Arial" w:cs="Arial"/>
          <w:sz w:val="22"/>
        </w:rPr>
        <w:t xml:space="preserve">) «¿Esta inhabilidad </w:t>
      </w:r>
      <w:r w:rsidR="0066448C">
        <w:rPr>
          <w:rFonts w:ascii="Arial" w:eastAsia="Calibri" w:hAnsi="Arial" w:cs="Arial"/>
          <w:sz w:val="22"/>
        </w:rPr>
        <w:t xml:space="preserve">aplica para los dos proponentes que son cónyuges </w:t>
      </w:r>
      <w:r w:rsidR="00BB6926">
        <w:rPr>
          <w:rFonts w:ascii="Arial" w:eastAsia="Calibri" w:hAnsi="Arial" w:cs="Arial"/>
          <w:sz w:val="22"/>
        </w:rPr>
        <w:t>o compañeros permanentes, o solo para uno de ellos?»</w:t>
      </w:r>
      <w:r w:rsidR="00D20BED">
        <w:rPr>
          <w:rFonts w:ascii="Arial" w:eastAsia="Calibri" w:hAnsi="Arial" w:cs="Arial"/>
          <w:sz w:val="22"/>
        </w:rPr>
        <w:t>.</w:t>
      </w:r>
    </w:p>
    <w:p w14:paraId="42DC4EC6" w14:textId="77777777" w:rsidR="005A79FE" w:rsidRPr="00361A72" w:rsidRDefault="005A79FE" w:rsidP="005A79FE">
      <w:pPr>
        <w:tabs>
          <w:tab w:val="left" w:pos="426"/>
        </w:tabs>
        <w:spacing w:line="276" w:lineRule="auto"/>
        <w:jc w:val="both"/>
        <w:rPr>
          <w:rFonts w:ascii="Arial" w:eastAsia="Calibri" w:hAnsi="Arial" w:cs="Arial"/>
          <w:sz w:val="22"/>
        </w:rPr>
      </w:pPr>
    </w:p>
    <w:p w14:paraId="18C6DB19" w14:textId="568586EB" w:rsidR="005A79FE"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361A72">
        <w:rPr>
          <w:rFonts w:ascii="Arial" w:eastAsia="Calibri" w:hAnsi="Arial" w:cs="Arial"/>
          <w:b/>
          <w:sz w:val="22"/>
        </w:rPr>
        <w:t>Consideraciones</w:t>
      </w:r>
    </w:p>
    <w:p w14:paraId="5B95DA42" w14:textId="77777777" w:rsidR="004839C3" w:rsidRPr="004839C3" w:rsidRDefault="004839C3" w:rsidP="004839C3">
      <w:pPr>
        <w:tabs>
          <w:tab w:val="left" w:pos="426"/>
        </w:tabs>
        <w:jc w:val="both"/>
        <w:rPr>
          <w:rFonts w:ascii="Arial" w:eastAsia="Calibri" w:hAnsi="Arial" w:cs="Arial"/>
          <w:b/>
          <w:sz w:val="22"/>
        </w:rPr>
      </w:pPr>
    </w:p>
    <w:p w14:paraId="5BBD4283" w14:textId="1B2D59EB" w:rsidR="004839C3" w:rsidRPr="00422DDB" w:rsidRDefault="004839C3" w:rsidP="004839C3">
      <w:pPr>
        <w:spacing w:line="276" w:lineRule="auto"/>
        <w:jc w:val="both"/>
        <w:rPr>
          <w:rFonts w:ascii="Arial" w:eastAsia="Calibri" w:hAnsi="Arial" w:cs="Arial"/>
          <w:sz w:val="22"/>
        </w:rPr>
      </w:pPr>
      <w:r w:rsidRPr="00422DDB">
        <w:rPr>
          <w:rFonts w:ascii="Arial" w:hAnsi="Arial" w:cs="Arial"/>
          <w:sz w:val="22"/>
        </w:rPr>
        <w:t xml:space="preserve">La Agencia Nacional de Contratación Pública ― Colombia Compra Eficiente </w:t>
      </w:r>
      <w:r w:rsidRPr="00422DDB">
        <w:rPr>
          <w:rFonts w:ascii="Arial" w:eastAsia="Calibri" w:hAnsi="Arial" w:cs="Arial"/>
          <w:sz w:val="22"/>
        </w:rPr>
        <w:t>en los conceptos con radicados números 4201912000003592 del 28 de agosto de 2019, 4201913000005649 del 17 septiembre de 2019, 4201912000006692 del 12 de noviembre de 2019, 4201913000006917 del 21 de noviembre de 2019, C ─ 001 de 2020, C ─ 007 de 2020, C ─ 011 de 2020, C ─ 085 de 2020, C ─ 090 de 2020, C ─ 125 de 2020</w:t>
      </w:r>
      <w:r w:rsidR="00CD280B">
        <w:rPr>
          <w:rFonts w:ascii="Arial" w:eastAsia="Calibri" w:hAnsi="Arial" w:cs="Arial"/>
          <w:sz w:val="22"/>
        </w:rPr>
        <w:t>,</w:t>
      </w:r>
      <w:r w:rsidRPr="00422DDB">
        <w:rPr>
          <w:rFonts w:ascii="Arial" w:eastAsia="Calibri" w:hAnsi="Arial" w:cs="Arial"/>
          <w:sz w:val="22"/>
        </w:rPr>
        <w:t xml:space="preserve"> C ─ 157 de 2020,</w:t>
      </w:r>
      <w:r w:rsidR="008C324A">
        <w:rPr>
          <w:rFonts w:ascii="Arial" w:eastAsia="Calibri" w:hAnsi="Arial" w:cs="Arial"/>
          <w:sz w:val="22"/>
        </w:rPr>
        <w:t xml:space="preserve"> C ─ 239 de 2020</w:t>
      </w:r>
      <w:r w:rsidR="00866F1A">
        <w:rPr>
          <w:rFonts w:ascii="Arial" w:eastAsia="Calibri" w:hAnsi="Arial" w:cs="Arial"/>
          <w:sz w:val="22"/>
        </w:rPr>
        <w:t xml:space="preserve"> y C </w:t>
      </w:r>
      <w:r w:rsidR="00C0509A">
        <w:rPr>
          <w:rFonts w:ascii="Arial" w:eastAsia="Calibri" w:hAnsi="Arial" w:cs="Arial"/>
          <w:sz w:val="22"/>
        </w:rPr>
        <w:t>─ 246 de 2020</w:t>
      </w:r>
      <w:r w:rsidRPr="00422DDB">
        <w:rPr>
          <w:rFonts w:ascii="Arial" w:eastAsia="Calibri" w:hAnsi="Arial" w:cs="Arial"/>
          <w:sz w:val="22"/>
        </w:rPr>
        <w:t xml:space="preserve"> estudió la naturaleza jurídica del régimen de inhabilidades e incompatibilidades para contratar con el Estado, como </w:t>
      </w:r>
      <w:r w:rsidR="00227D70">
        <w:rPr>
          <w:rFonts w:ascii="Arial" w:eastAsia="Calibri" w:hAnsi="Arial" w:cs="Arial"/>
          <w:sz w:val="22"/>
        </w:rPr>
        <w:t>constituyen</w:t>
      </w:r>
      <w:r w:rsidRPr="00422DDB">
        <w:rPr>
          <w:rFonts w:ascii="Arial" w:eastAsia="Calibri" w:hAnsi="Arial" w:cs="Arial"/>
          <w:sz w:val="22"/>
        </w:rPr>
        <w:t xml:space="preserve"> un límite a la capacidad contractual y la </w:t>
      </w:r>
      <w:r w:rsidR="00227D70">
        <w:rPr>
          <w:rFonts w:ascii="Arial" w:eastAsia="Calibri" w:hAnsi="Arial" w:cs="Arial"/>
          <w:sz w:val="22"/>
        </w:rPr>
        <w:t>interpretación</w:t>
      </w:r>
      <w:r w:rsidRPr="00422DDB">
        <w:rPr>
          <w:rFonts w:ascii="Arial" w:eastAsia="Calibri" w:hAnsi="Arial" w:cs="Arial"/>
          <w:sz w:val="22"/>
        </w:rPr>
        <w:t xml:space="preserve"> </w:t>
      </w:r>
      <w:r w:rsidR="00227D70">
        <w:rPr>
          <w:rFonts w:ascii="Arial" w:eastAsia="Calibri" w:hAnsi="Arial" w:cs="Arial"/>
          <w:sz w:val="22"/>
        </w:rPr>
        <w:t>d</w:t>
      </w:r>
      <w:r w:rsidRPr="00422DDB">
        <w:rPr>
          <w:rFonts w:ascii="Arial" w:eastAsia="Calibri" w:hAnsi="Arial" w:cs="Arial"/>
          <w:sz w:val="22"/>
        </w:rPr>
        <w:t xml:space="preserve">el régimen de inhabilidades e incompatibilidades. La tesis desarrollada en estos conceptos se expone y reitera a continuación. </w:t>
      </w:r>
    </w:p>
    <w:p w14:paraId="06AD7655" w14:textId="77777777" w:rsidR="004839C3" w:rsidRPr="00422DDB" w:rsidRDefault="004839C3" w:rsidP="004839C3">
      <w:pPr>
        <w:pStyle w:val="Sinespaciado"/>
        <w:spacing w:line="276" w:lineRule="auto"/>
        <w:jc w:val="both"/>
        <w:rPr>
          <w:rFonts w:ascii="Arial" w:hAnsi="Arial" w:cs="Arial"/>
          <w:sz w:val="22"/>
        </w:rPr>
      </w:pPr>
    </w:p>
    <w:p w14:paraId="47A14D15" w14:textId="77777777" w:rsidR="004839C3" w:rsidRPr="00422DDB" w:rsidRDefault="004839C3" w:rsidP="004839C3">
      <w:pPr>
        <w:pStyle w:val="Sinespaciado"/>
        <w:widowControl w:val="0"/>
        <w:autoSpaceDE w:val="0"/>
        <w:autoSpaceDN w:val="0"/>
        <w:spacing w:line="276" w:lineRule="auto"/>
        <w:jc w:val="both"/>
        <w:rPr>
          <w:rFonts w:ascii="Arial" w:hAnsi="Arial" w:cs="Arial"/>
          <w:b/>
          <w:sz w:val="22"/>
        </w:rPr>
      </w:pPr>
      <w:r>
        <w:rPr>
          <w:rFonts w:ascii="Arial" w:hAnsi="Arial" w:cs="Arial"/>
          <w:b/>
          <w:sz w:val="22"/>
        </w:rPr>
        <w:t xml:space="preserve">2.1. </w:t>
      </w:r>
      <w:r w:rsidRPr="00422DDB">
        <w:rPr>
          <w:rFonts w:ascii="Arial" w:hAnsi="Arial" w:cs="Arial"/>
          <w:b/>
          <w:sz w:val="22"/>
        </w:rPr>
        <w:t xml:space="preserve">Régimen de inhabilidades e incompatibilidades para contratar con el Estado </w:t>
      </w:r>
    </w:p>
    <w:p w14:paraId="1216ECEF" w14:textId="77777777" w:rsidR="004839C3" w:rsidRPr="00422DDB" w:rsidRDefault="004839C3" w:rsidP="004839C3">
      <w:pPr>
        <w:pStyle w:val="Sinespaciado"/>
        <w:spacing w:line="276" w:lineRule="auto"/>
        <w:jc w:val="both"/>
        <w:rPr>
          <w:rFonts w:ascii="Arial" w:hAnsi="Arial" w:cs="Arial"/>
          <w:sz w:val="22"/>
        </w:rPr>
      </w:pPr>
    </w:p>
    <w:p w14:paraId="148C392F" w14:textId="04A76E15" w:rsidR="004839C3" w:rsidRPr="00422DDB" w:rsidRDefault="004839C3" w:rsidP="004839C3">
      <w:pPr>
        <w:pStyle w:val="Sinespaciado"/>
        <w:spacing w:after="120" w:line="276" w:lineRule="auto"/>
        <w:jc w:val="both"/>
        <w:rPr>
          <w:rFonts w:ascii="Arial" w:hAnsi="Arial" w:cs="Arial"/>
          <w:sz w:val="22"/>
        </w:rPr>
      </w:pPr>
      <w:r w:rsidRPr="00422DDB">
        <w:rPr>
          <w:rFonts w:ascii="Arial" w:hAnsi="Arial" w:cs="Arial"/>
          <w:sz w:val="22"/>
        </w:rPr>
        <w:t xml:space="preserve">Las inhabilidades son circunstancias establecidas por la Constitución o la </w:t>
      </w:r>
      <w:r w:rsidR="00497DD8">
        <w:rPr>
          <w:rFonts w:ascii="Arial" w:hAnsi="Arial" w:cs="Arial"/>
          <w:sz w:val="22"/>
        </w:rPr>
        <w:t>l</w:t>
      </w:r>
      <w:r w:rsidRPr="00422DDB">
        <w:rPr>
          <w:rFonts w:ascii="Arial" w:hAnsi="Arial" w:cs="Arial"/>
          <w:sz w:val="22"/>
        </w:rPr>
        <w:t>ey que impiden que personas naturales o jurídicas sean elegidas o designadas en un cargo público o celebr</w:t>
      </w:r>
      <w:r w:rsidR="00497DD8">
        <w:rPr>
          <w:rFonts w:ascii="Arial" w:hAnsi="Arial" w:cs="Arial"/>
          <w:sz w:val="22"/>
        </w:rPr>
        <w:t>en</w:t>
      </w:r>
      <w:r w:rsidRPr="00422DDB">
        <w:rPr>
          <w:rFonts w:ascii="Arial" w:hAnsi="Arial" w:cs="Arial"/>
          <w:sz w:val="22"/>
        </w:rPr>
        <w:t xml:space="preserve"> contratos con el Estado, con el objetivo de garantizar la idoneidad, imparcialidad, probidad, transparencia y moralidad de la función pública,</w:t>
      </w:r>
      <w:r w:rsidR="00497DD8">
        <w:rPr>
          <w:rFonts w:ascii="Arial" w:hAnsi="Arial" w:cs="Arial"/>
          <w:sz w:val="22"/>
        </w:rPr>
        <w:t xml:space="preserve"> </w:t>
      </w:r>
      <w:r w:rsidRPr="00422DDB">
        <w:rPr>
          <w:rFonts w:ascii="Arial" w:hAnsi="Arial" w:cs="Arial"/>
          <w:sz w:val="22"/>
        </w:rPr>
        <w:t>garantiza</w:t>
      </w:r>
      <w:r w:rsidR="00497DD8">
        <w:rPr>
          <w:rFonts w:ascii="Arial" w:hAnsi="Arial" w:cs="Arial"/>
          <w:sz w:val="22"/>
        </w:rPr>
        <w:t>ndo</w:t>
      </w:r>
      <w:r w:rsidRPr="00422DDB">
        <w:rPr>
          <w:rFonts w:ascii="Arial" w:hAnsi="Arial" w:cs="Arial"/>
          <w:sz w:val="22"/>
        </w:rPr>
        <w:t xml:space="preserve"> el interés general.  </w:t>
      </w:r>
    </w:p>
    <w:p w14:paraId="11BD96B9" w14:textId="316D6BA3" w:rsidR="004839C3" w:rsidRPr="00422DDB" w:rsidRDefault="004839C3">
      <w:pPr>
        <w:pStyle w:val="Sinespaciado"/>
        <w:spacing w:before="120" w:after="120" w:line="276" w:lineRule="auto"/>
        <w:ind w:firstLine="708"/>
        <w:jc w:val="both"/>
        <w:rPr>
          <w:rFonts w:ascii="Arial" w:hAnsi="Arial" w:cs="Arial"/>
          <w:sz w:val="22"/>
        </w:rPr>
      </w:pPr>
      <w:r w:rsidRPr="00422DDB">
        <w:rPr>
          <w:rFonts w:ascii="Arial" w:hAnsi="Arial" w:cs="Arial"/>
          <w:sz w:val="22"/>
        </w:rPr>
        <w:t>El régimen de inhabilidades para contratar con el Estado es un conjunto de restricciones establecidas por el constituyente o por el legislador que afectan directamente la capacidad de las personas para establecer una</w:t>
      </w:r>
      <w:r w:rsidR="005E17A1">
        <w:rPr>
          <w:rFonts w:ascii="Arial" w:hAnsi="Arial" w:cs="Arial"/>
          <w:sz w:val="22"/>
        </w:rPr>
        <w:t>s</w:t>
      </w:r>
      <w:r w:rsidRPr="00422DDB">
        <w:rPr>
          <w:rFonts w:ascii="Arial" w:hAnsi="Arial" w:cs="Arial"/>
          <w:sz w:val="22"/>
        </w:rPr>
        <w:t xml:space="preserve"> </w:t>
      </w:r>
      <w:r w:rsidR="00497DD8">
        <w:rPr>
          <w:rFonts w:ascii="Arial" w:hAnsi="Arial" w:cs="Arial"/>
          <w:sz w:val="22"/>
        </w:rPr>
        <w:t>relaciones contractuales</w:t>
      </w:r>
      <w:r w:rsidRPr="00422DDB">
        <w:rPr>
          <w:rFonts w:ascii="Arial" w:hAnsi="Arial" w:cs="Arial"/>
          <w:sz w:val="22"/>
        </w:rPr>
        <w:t xml:space="preserve"> con el Estado, que pueden resultar de condenas, sanciones o situaciones previamente establecidas por el ordenamiento jurídico. </w:t>
      </w:r>
      <w:r w:rsidR="00497DD8">
        <w:rPr>
          <w:rFonts w:ascii="Arial" w:hAnsi="Arial" w:cs="Arial"/>
          <w:sz w:val="22"/>
        </w:rPr>
        <w:t>En esta medida, l</w:t>
      </w:r>
      <w:r w:rsidRPr="00422DDB">
        <w:rPr>
          <w:rFonts w:ascii="Arial" w:hAnsi="Arial" w:cs="Arial"/>
          <w:sz w:val="22"/>
        </w:rPr>
        <w:t xml:space="preserve">a Corte Constitucional </w:t>
      </w:r>
      <w:r w:rsidR="00497DD8">
        <w:rPr>
          <w:rFonts w:ascii="Arial" w:hAnsi="Arial" w:cs="Arial"/>
          <w:sz w:val="22"/>
        </w:rPr>
        <w:t>explica</w:t>
      </w:r>
      <w:r w:rsidRPr="00422DDB">
        <w:rPr>
          <w:rFonts w:ascii="Arial" w:hAnsi="Arial" w:cs="Arial"/>
          <w:sz w:val="22"/>
        </w:rPr>
        <w:t xml:space="preserve">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422DDB">
        <w:rPr>
          <w:rFonts w:ascii="Arial" w:hAnsi="Arial" w:cs="Arial"/>
          <w:sz w:val="22"/>
          <w:vertAlign w:val="superscript"/>
        </w:rPr>
        <w:footnoteReference w:id="1"/>
      </w:r>
      <w:r w:rsidRPr="00422DDB">
        <w:rPr>
          <w:rFonts w:ascii="Arial" w:hAnsi="Arial" w:cs="Arial"/>
          <w:sz w:val="22"/>
        </w:rPr>
        <w:t xml:space="preserve">. </w:t>
      </w:r>
    </w:p>
    <w:p w14:paraId="314BE1D8" w14:textId="3166D076" w:rsidR="004839C3" w:rsidRPr="00422DDB" w:rsidRDefault="004839C3" w:rsidP="004839C3">
      <w:pPr>
        <w:pStyle w:val="Sinespaciado"/>
        <w:spacing w:before="120" w:line="276" w:lineRule="auto"/>
        <w:ind w:firstLine="709"/>
        <w:jc w:val="both"/>
        <w:rPr>
          <w:rFonts w:ascii="Arial" w:hAnsi="Arial" w:cs="Arial"/>
          <w:sz w:val="22"/>
        </w:rPr>
      </w:pPr>
      <w:r w:rsidRPr="00422DDB">
        <w:rPr>
          <w:rFonts w:ascii="Arial" w:hAnsi="Arial" w:cs="Arial"/>
          <w:sz w:val="22"/>
        </w:rPr>
        <w:t xml:space="preserve">La consagración limitaciones que afectan la capacidad jurídica para contratar </w:t>
      </w:r>
      <w:r w:rsidR="00497DD8">
        <w:rPr>
          <w:rFonts w:ascii="Arial" w:hAnsi="Arial" w:cs="Arial"/>
          <w:sz w:val="22"/>
        </w:rPr>
        <w:t>desarrolla</w:t>
      </w:r>
      <w:r w:rsidRPr="00422DDB">
        <w:rPr>
          <w:rFonts w:ascii="Arial" w:hAnsi="Arial" w:cs="Arial"/>
          <w:sz w:val="22"/>
        </w:rPr>
        <w:t xml:space="preserve"> los principios de la función administrativa consagrados en el artículo 209 de la Constitución Política, con especial énfasis </w:t>
      </w:r>
      <w:r w:rsidR="00497DD8">
        <w:rPr>
          <w:rFonts w:ascii="Arial" w:hAnsi="Arial" w:cs="Arial"/>
          <w:sz w:val="22"/>
        </w:rPr>
        <w:t>la</w:t>
      </w:r>
      <w:r w:rsidRPr="00422DDB">
        <w:rPr>
          <w:rFonts w:ascii="Arial" w:hAnsi="Arial" w:cs="Arial"/>
          <w:sz w:val="22"/>
        </w:rPr>
        <w:t xml:space="preserve"> moralidad. Así lo ent</w:t>
      </w:r>
      <w:r w:rsidR="00497DD8">
        <w:rPr>
          <w:rFonts w:ascii="Arial" w:hAnsi="Arial" w:cs="Arial"/>
          <w:sz w:val="22"/>
        </w:rPr>
        <w:t>iende</w:t>
      </w:r>
      <w:r w:rsidRPr="00422DDB">
        <w:rPr>
          <w:rFonts w:ascii="Arial" w:hAnsi="Arial" w:cs="Arial"/>
          <w:sz w:val="22"/>
        </w:rPr>
        <w:t xml:space="preserve"> el Consejo de Estado: </w:t>
      </w:r>
    </w:p>
    <w:p w14:paraId="4723DC82" w14:textId="77777777" w:rsidR="004839C3" w:rsidRPr="00422DDB" w:rsidRDefault="004839C3" w:rsidP="004839C3">
      <w:pPr>
        <w:pStyle w:val="Sinespaciado"/>
        <w:spacing w:line="276" w:lineRule="auto"/>
        <w:jc w:val="both"/>
        <w:rPr>
          <w:rFonts w:ascii="Arial" w:hAnsi="Arial" w:cs="Arial"/>
          <w:sz w:val="22"/>
        </w:rPr>
      </w:pPr>
    </w:p>
    <w:p w14:paraId="39119118" w14:textId="50581C61" w:rsidR="004839C3" w:rsidRPr="00422DDB" w:rsidRDefault="004839C3" w:rsidP="00541738">
      <w:pPr>
        <w:pStyle w:val="NormalWeb"/>
        <w:shd w:val="clear" w:color="auto" w:fill="FFFFFF"/>
        <w:spacing w:before="0" w:beforeAutospacing="0" w:after="120" w:afterAutospacing="0"/>
        <w:ind w:left="709" w:right="709"/>
        <w:jc w:val="both"/>
        <w:rPr>
          <w:rFonts w:ascii="Arial" w:eastAsiaTheme="minorHAnsi" w:hAnsi="Arial" w:cs="Arial"/>
          <w:sz w:val="21"/>
          <w:szCs w:val="21"/>
          <w:lang w:val="es-ES" w:eastAsia="en-US"/>
        </w:rPr>
      </w:pPr>
      <w:r w:rsidRPr="00422DDB">
        <w:rPr>
          <w:rFonts w:ascii="Arial" w:eastAsiaTheme="minorHAnsi" w:hAnsi="Arial" w:cs="Arial"/>
          <w:sz w:val="21"/>
          <w:szCs w:val="21"/>
          <w:lang w:val="es-ES" w:eastAsia="en-US"/>
        </w:rPr>
        <w:t xml:space="preserve">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w:t>
      </w:r>
      <w:r w:rsidRPr="00422DDB">
        <w:rPr>
          <w:rFonts w:ascii="Arial" w:eastAsiaTheme="minorHAnsi" w:hAnsi="Arial" w:cs="Arial"/>
          <w:sz w:val="21"/>
          <w:szCs w:val="21"/>
          <w:lang w:val="es-ES" w:eastAsia="en-US"/>
        </w:rPr>
        <w:lastRenderedPageBreak/>
        <w:t>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71F80B06" w14:textId="77777777" w:rsidR="004839C3" w:rsidRPr="00422DDB" w:rsidRDefault="004839C3" w:rsidP="004839C3">
      <w:pPr>
        <w:pStyle w:val="NormalWeb"/>
        <w:shd w:val="clear" w:color="auto" w:fill="FFFFFF"/>
        <w:spacing w:before="0" w:beforeAutospacing="0" w:after="0" w:afterAutospacing="0"/>
        <w:ind w:left="709" w:right="709"/>
        <w:jc w:val="both"/>
        <w:rPr>
          <w:rFonts w:ascii="Arial" w:eastAsiaTheme="minorHAnsi" w:hAnsi="Arial" w:cs="Arial"/>
          <w:sz w:val="21"/>
          <w:szCs w:val="21"/>
          <w:lang w:val="es-ES" w:eastAsia="en-US"/>
        </w:rPr>
      </w:pPr>
      <w:r w:rsidRPr="00422DDB">
        <w:rPr>
          <w:rFonts w:ascii="Arial" w:eastAsiaTheme="minorHAnsi" w:hAnsi="Arial"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22DDB">
        <w:rPr>
          <w:rStyle w:val="Refdenotaalpie"/>
          <w:rFonts w:ascii="Arial" w:eastAsiaTheme="minorHAnsi" w:hAnsi="Arial" w:cs="Arial"/>
          <w:sz w:val="21"/>
          <w:szCs w:val="21"/>
          <w:lang w:val="es-ES" w:eastAsia="en-US"/>
        </w:rPr>
        <w:footnoteReference w:id="2"/>
      </w:r>
      <w:r w:rsidRPr="00422DDB">
        <w:rPr>
          <w:rFonts w:ascii="Arial" w:eastAsiaTheme="minorHAnsi" w:hAnsi="Arial" w:cs="Arial"/>
          <w:sz w:val="21"/>
          <w:szCs w:val="21"/>
          <w:lang w:val="es-ES" w:eastAsia="en-US"/>
        </w:rPr>
        <w:t xml:space="preserve">. </w:t>
      </w:r>
    </w:p>
    <w:p w14:paraId="53CBE60E" w14:textId="77777777" w:rsidR="004839C3" w:rsidRPr="00422DDB" w:rsidRDefault="004839C3" w:rsidP="004839C3">
      <w:pPr>
        <w:pStyle w:val="Sinespaciado"/>
        <w:spacing w:line="276" w:lineRule="auto"/>
        <w:jc w:val="both"/>
        <w:rPr>
          <w:rFonts w:ascii="Arial" w:hAnsi="Arial" w:cs="Arial"/>
          <w:sz w:val="22"/>
        </w:rPr>
      </w:pPr>
    </w:p>
    <w:p w14:paraId="5045911C" w14:textId="3982497E" w:rsidR="004839C3" w:rsidRPr="00422DDB" w:rsidRDefault="004839C3" w:rsidP="004839C3">
      <w:pPr>
        <w:pStyle w:val="Sinespaciado"/>
        <w:spacing w:line="276" w:lineRule="auto"/>
        <w:ind w:firstLine="709"/>
        <w:jc w:val="both"/>
        <w:rPr>
          <w:rFonts w:ascii="Arial" w:hAnsi="Arial" w:cs="Arial"/>
          <w:sz w:val="22"/>
        </w:rPr>
      </w:pPr>
      <w:r w:rsidRPr="00422DDB">
        <w:rPr>
          <w:rFonts w:ascii="Arial" w:hAnsi="Arial" w:cs="Arial"/>
          <w:sz w:val="22"/>
        </w:rPr>
        <w:t>Así las cosas, las inhabilidades son medios que garantiza</w:t>
      </w:r>
      <w:r w:rsidR="00960D27">
        <w:rPr>
          <w:rFonts w:ascii="Arial" w:hAnsi="Arial" w:cs="Arial"/>
          <w:sz w:val="22"/>
        </w:rPr>
        <w:t>n</w:t>
      </w:r>
      <w:r w:rsidRPr="00422DDB">
        <w:rPr>
          <w:rFonts w:ascii="Arial" w:hAnsi="Arial" w:cs="Arial"/>
          <w:sz w:val="22"/>
        </w:rPr>
        <w:t xml:space="preserve"> la transparencia y eficiencia en la actividad contractual del Estado</w:t>
      </w:r>
      <w:r w:rsidR="00960D27">
        <w:rPr>
          <w:rFonts w:ascii="Arial" w:hAnsi="Arial" w:cs="Arial"/>
          <w:sz w:val="22"/>
        </w:rPr>
        <w:t xml:space="preserve">, </w:t>
      </w:r>
      <w:r w:rsidRPr="00422DDB">
        <w:rPr>
          <w:rFonts w:ascii="Arial" w:hAnsi="Arial" w:cs="Arial"/>
          <w:sz w:val="22"/>
        </w:rPr>
        <w:t>impon</w:t>
      </w:r>
      <w:r w:rsidR="00960D27">
        <w:rPr>
          <w:rFonts w:ascii="Arial" w:hAnsi="Arial" w:cs="Arial"/>
          <w:sz w:val="22"/>
        </w:rPr>
        <w:t>iendo</w:t>
      </w:r>
      <w:r w:rsidRPr="00422DDB">
        <w:rPr>
          <w:rFonts w:ascii="Arial" w:hAnsi="Arial" w:cs="Arial"/>
          <w:sz w:val="22"/>
        </w:rPr>
        <w:t xml:space="preserve"> restricciones en la personalidad jurídica, la igualdad, la libre empresa y, particularmente, </w:t>
      </w:r>
      <w:r w:rsidR="00960D27">
        <w:rPr>
          <w:rFonts w:ascii="Arial" w:hAnsi="Arial" w:cs="Arial"/>
          <w:sz w:val="22"/>
        </w:rPr>
        <w:t>en e</w:t>
      </w:r>
      <w:r w:rsidRPr="003B7A26">
        <w:rPr>
          <w:rFonts w:ascii="Arial" w:hAnsi="Arial" w:cs="Arial"/>
          <w:sz w:val="22"/>
        </w:rPr>
        <w:t>l derecho a participar en procesos de selección y celebrar contratos con el Estado</w:t>
      </w:r>
      <w:r w:rsidRPr="00422DDB">
        <w:rPr>
          <w:rFonts w:ascii="Arial" w:hAnsi="Arial" w:cs="Arial"/>
          <w:sz w:val="22"/>
        </w:rPr>
        <w:t xml:space="preserve">. La Corte Constitucional ha reconocido que estas limitaciones deben estar justificadas en la salvaguarda del interés general y que su lectura e interpretación </w:t>
      </w:r>
      <w:r w:rsidR="00960D27">
        <w:rPr>
          <w:rFonts w:ascii="Arial" w:hAnsi="Arial" w:cs="Arial"/>
          <w:sz w:val="22"/>
        </w:rPr>
        <w:t>es</w:t>
      </w:r>
      <w:r w:rsidRPr="00422DDB">
        <w:rPr>
          <w:rFonts w:ascii="Arial" w:hAnsi="Arial" w:cs="Arial"/>
          <w:sz w:val="22"/>
        </w:rPr>
        <w:t xml:space="preserve"> taxativa y restrictiva: </w:t>
      </w:r>
    </w:p>
    <w:p w14:paraId="17DCB9D6" w14:textId="77777777" w:rsidR="004839C3" w:rsidRPr="00422DDB" w:rsidRDefault="004839C3" w:rsidP="004839C3">
      <w:pPr>
        <w:rPr>
          <w:rFonts w:ascii="Arial" w:eastAsia="Times New Roman" w:hAnsi="Arial" w:cs="Arial"/>
          <w:sz w:val="22"/>
          <w:shd w:val="clear" w:color="auto" w:fill="FFFFFF"/>
          <w:lang w:val="es-CO" w:eastAsia="es-ES_tradnl"/>
        </w:rPr>
      </w:pPr>
    </w:p>
    <w:p w14:paraId="5BFC9406" w14:textId="76000259" w:rsidR="004839C3" w:rsidRPr="00422DDB" w:rsidRDefault="004839C3" w:rsidP="00541738">
      <w:pPr>
        <w:spacing w:after="120"/>
        <w:ind w:left="709" w:right="709"/>
        <w:jc w:val="both"/>
        <w:rPr>
          <w:rFonts w:ascii="Arial" w:hAnsi="Arial" w:cs="Arial"/>
          <w:sz w:val="21"/>
          <w:szCs w:val="21"/>
        </w:rPr>
      </w:pPr>
      <w:r w:rsidRPr="00422DDB">
        <w:rPr>
          <w:rFonts w:ascii="Arial" w:hAnsi="Arial"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422DDB">
        <w:rPr>
          <w:rFonts w:ascii="Arial" w:hAnsi="Arial" w:cs="Arial"/>
          <w:sz w:val="21"/>
          <w:szCs w:val="21"/>
        </w:rPr>
        <w:t>incompatibilidades,</w:t>
      </w:r>
      <w:proofErr w:type="gramEnd"/>
      <w:r w:rsidRPr="00422DDB">
        <w:rPr>
          <w:rFonts w:ascii="Arial" w:hAnsi="Arial" w:cs="Arial"/>
          <w:sz w:val="21"/>
          <w:szCs w:val="21"/>
        </w:rPr>
        <w:t xml:space="preserve"> se erige en causal de nulidad del contrato celebrado en esas condiciones (ley 80 de 1993, art. 44).</w:t>
      </w:r>
    </w:p>
    <w:p w14:paraId="03C7A2E5" w14:textId="77777777" w:rsidR="004839C3" w:rsidRPr="00422DDB" w:rsidRDefault="004839C3" w:rsidP="004839C3">
      <w:pPr>
        <w:ind w:left="709" w:right="709"/>
        <w:jc w:val="both"/>
        <w:rPr>
          <w:rFonts w:ascii="Arial" w:hAnsi="Arial" w:cs="Arial"/>
          <w:sz w:val="21"/>
          <w:szCs w:val="21"/>
        </w:rPr>
      </w:pPr>
      <w:r w:rsidRPr="00422DDB">
        <w:rPr>
          <w:rFonts w:ascii="Arial" w:hAnsi="Arial" w:cs="Arial"/>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w:t>
      </w:r>
      <w:r w:rsidRPr="00422DDB">
        <w:rPr>
          <w:rFonts w:ascii="Arial" w:hAnsi="Arial" w:cs="Arial"/>
          <w:sz w:val="21"/>
          <w:szCs w:val="21"/>
        </w:rPr>
        <w:lastRenderedPageBreak/>
        <w:t>reconocimiento de la personalidad jurídica de las personas que resultan rechazadas del ámbito contractual del Estado</w:t>
      </w:r>
      <w:r w:rsidRPr="00422DDB">
        <w:rPr>
          <w:rStyle w:val="Refdenotaalpie"/>
          <w:rFonts w:ascii="Arial" w:hAnsi="Arial" w:cs="Arial"/>
          <w:sz w:val="21"/>
          <w:szCs w:val="21"/>
        </w:rPr>
        <w:footnoteReference w:id="3"/>
      </w:r>
      <w:r w:rsidRPr="00422DDB">
        <w:rPr>
          <w:rFonts w:ascii="Arial" w:hAnsi="Arial" w:cs="Arial"/>
          <w:sz w:val="21"/>
          <w:szCs w:val="21"/>
        </w:rPr>
        <w:t>.</w:t>
      </w:r>
    </w:p>
    <w:p w14:paraId="1CC0D035" w14:textId="77777777" w:rsidR="004839C3" w:rsidRPr="00422DDB" w:rsidRDefault="004839C3" w:rsidP="004839C3">
      <w:pPr>
        <w:spacing w:line="276" w:lineRule="auto"/>
        <w:ind w:left="709" w:right="709"/>
        <w:rPr>
          <w:rFonts w:ascii="Arial" w:eastAsia="Times New Roman" w:hAnsi="Arial" w:cs="Arial"/>
          <w:sz w:val="22"/>
          <w:shd w:val="clear" w:color="auto" w:fill="FFFFFF"/>
          <w:lang w:val="es-CO" w:eastAsia="es-ES_tradnl"/>
        </w:rPr>
      </w:pPr>
    </w:p>
    <w:p w14:paraId="2C0050C1" w14:textId="6CEC3450" w:rsidR="004839C3" w:rsidRPr="00422DDB" w:rsidRDefault="00631788" w:rsidP="004839C3">
      <w:pPr>
        <w:spacing w:line="276" w:lineRule="auto"/>
        <w:ind w:firstLine="709"/>
        <w:jc w:val="both"/>
        <w:rPr>
          <w:rFonts w:ascii="Arial" w:hAnsi="Arial" w:cs="Arial"/>
          <w:sz w:val="22"/>
        </w:rPr>
      </w:pPr>
      <w:r>
        <w:rPr>
          <w:rFonts w:ascii="Arial" w:hAnsi="Arial" w:cs="Arial"/>
          <w:sz w:val="22"/>
        </w:rPr>
        <w:t>Además</w:t>
      </w:r>
      <w:r w:rsidR="004839C3" w:rsidRPr="00422DDB">
        <w:rPr>
          <w:rFonts w:ascii="Arial" w:hAnsi="Arial" w:cs="Arial"/>
          <w:sz w:val="22"/>
        </w:rPr>
        <w:t xml:space="preserve">, la Corte Constitucional </w:t>
      </w:r>
      <w:r>
        <w:rPr>
          <w:rFonts w:ascii="Arial" w:hAnsi="Arial" w:cs="Arial"/>
          <w:sz w:val="22"/>
        </w:rPr>
        <w:t>explica</w:t>
      </w:r>
      <w:r w:rsidR="004839C3" w:rsidRPr="00422DDB">
        <w:rPr>
          <w:rFonts w:ascii="Arial" w:hAnsi="Arial" w:cs="Arial"/>
          <w:sz w:val="22"/>
        </w:rPr>
        <w:t xml:space="preserve"> que</w:t>
      </w:r>
      <w:r>
        <w:rPr>
          <w:rFonts w:ascii="Arial" w:hAnsi="Arial" w:cs="Arial"/>
          <w:sz w:val="22"/>
        </w:rPr>
        <w:t xml:space="preserve"> el legislador tiene</w:t>
      </w:r>
      <w:r w:rsidR="004839C3" w:rsidRPr="00422DDB">
        <w:rPr>
          <w:rFonts w:ascii="Arial" w:hAnsi="Arial" w:cs="Arial"/>
          <w:sz w:val="22"/>
        </w:rPr>
        <w:t xml:space="preserve"> la competencia para determinar qué hechos o situaciones generan inhabilidad para contratar, pues este régimen es un aspecto propio del Estatuto General de la Contratación Pública, cuya expedición compete al Congreso de la República a la luz del artículo 150 de la Constitución Política, y que en esta materia rige el principio de legalidad:</w:t>
      </w:r>
    </w:p>
    <w:p w14:paraId="2326CB3D" w14:textId="77777777" w:rsidR="004839C3" w:rsidRPr="00422DDB" w:rsidRDefault="004839C3" w:rsidP="004839C3">
      <w:pPr>
        <w:pStyle w:val="Sinespaciado"/>
        <w:tabs>
          <w:tab w:val="left" w:pos="1532"/>
        </w:tabs>
        <w:spacing w:line="276" w:lineRule="auto"/>
        <w:jc w:val="both"/>
        <w:rPr>
          <w:rFonts w:ascii="Arial" w:hAnsi="Arial" w:cs="Arial"/>
          <w:sz w:val="22"/>
        </w:rPr>
      </w:pPr>
    </w:p>
    <w:p w14:paraId="66FE8716" w14:textId="3C9FCFCF" w:rsidR="004839C3" w:rsidRPr="00422DDB" w:rsidRDefault="004839C3" w:rsidP="00541738">
      <w:pPr>
        <w:spacing w:after="120"/>
        <w:ind w:left="709" w:right="709"/>
        <w:jc w:val="both"/>
        <w:rPr>
          <w:rFonts w:ascii="Arial" w:hAnsi="Arial" w:cs="Arial"/>
          <w:sz w:val="21"/>
          <w:szCs w:val="21"/>
        </w:rPr>
      </w:pPr>
      <w:r w:rsidRPr="00422DDB">
        <w:rPr>
          <w:rFonts w:ascii="Arial" w:hAnsi="Arial" w:cs="Arial"/>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422DDB">
        <w:rPr>
          <w:rFonts w:ascii="Arial" w:hAnsi="Arial" w:cs="Arial"/>
          <w:sz w:val="21"/>
          <w:szCs w:val="21"/>
        </w:rPr>
        <w:t>libertate</w:t>
      </w:r>
      <w:proofErr w:type="spellEnd"/>
      <w:r w:rsidRPr="00422DDB">
        <w:rPr>
          <w:rFonts w:ascii="Arial" w:hAnsi="Arial" w:cs="Arial"/>
          <w:sz w:val="21"/>
          <w:szCs w:val="21"/>
        </w:rPr>
        <w:t xml:space="preserve">, sino el de legalidad, el que ordena que la función pública debe someterse estrictamente a lo que disponga la Constitución y la ley (CP art. 6). </w:t>
      </w:r>
    </w:p>
    <w:p w14:paraId="57C5D922" w14:textId="59F3FDA8" w:rsidR="004839C3" w:rsidRPr="00422DDB" w:rsidRDefault="004839C3" w:rsidP="00541738">
      <w:pPr>
        <w:spacing w:after="120"/>
        <w:ind w:left="709" w:right="709"/>
        <w:jc w:val="both"/>
        <w:rPr>
          <w:rFonts w:ascii="Arial" w:hAnsi="Arial" w:cs="Arial"/>
          <w:sz w:val="21"/>
          <w:szCs w:val="21"/>
        </w:rPr>
      </w:pPr>
      <w:r w:rsidRPr="00422DDB">
        <w:rPr>
          <w:rFonts w:ascii="Arial" w:hAnsi="Arial" w:cs="Arial"/>
          <w:sz w:val="21"/>
          <w:szCs w:val="21"/>
        </w:rPr>
        <w:t xml:space="preserve">[…] </w:t>
      </w:r>
    </w:p>
    <w:p w14:paraId="5C27D846" w14:textId="77777777" w:rsidR="004839C3" w:rsidRPr="00422DDB" w:rsidRDefault="004839C3" w:rsidP="004839C3">
      <w:pPr>
        <w:ind w:left="709" w:right="709"/>
        <w:jc w:val="both"/>
        <w:rPr>
          <w:rFonts w:ascii="Arial" w:hAnsi="Arial" w:cs="Arial"/>
          <w:sz w:val="21"/>
          <w:szCs w:val="21"/>
        </w:rPr>
      </w:pPr>
      <w:r w:rsidRPr="00422DDB">
        <w:rPr>
          <w:rFonts w:ascii="Arial" w:hAnsi="Arial" w:cs="Arial"/>
          <w:sz w:val="21"/>
          <w:szCs w:val="21"/>
        </w:rPr>
        <w:t xml:space="preserve">Se comprende con facilidad que el régimen de inhabilidades e </w:t>
      </w:r>
      <w:proofErr w:type="gramStart"/>
      <w:r w:rsidRPr="00422DDB">
        <w:rPr>
          <w:rFonts w:ascii="Arial" w:hAnsi="Arial" w:cs="Arial"/>
          <w:sz w:val="21"/>
          <w:szCs w:val="21"/>
        </w:rPr>
        <w:t>incompatibilidades,</w:t>
      </w:r>
      <w:proofErr w:type="gramEnd"/>
      <w:r w:rsidRPr="00422DDB">
        <w:rPr>
          <w:rFonts w:ascii="Arial" w:hAnsi="Arial" w:cs="Arial"/>
          <w:sz w:val="21"/>
          <w:szCs w:val="21"/>
        </w:rPr>
        <w:t xml:space="preserve"> corresponde a una materia de normal y obligada inclusión en un estatuto contractual. El legislador, a quien se ha confiado expedir el indicado estatuto, tiene, pues, competencia para establecerlo (CP art. 150)</w:t>
      </w:r>
      <w:r w:rsidRPr="00422DDB">
        <w:rPr>
          <w:rStyle w:val="Refdenotaalpie"/>
          <w:rFonts w:ascii="Arial" w:hAnsi="Arial" w:cs="Arial"/>
          <w:sz w:val="21"/>
          <w:szCs w:val="21"/>
        </w:rPr>
        <w:footnoteReference w:id="4"/>
      </w:r>
      <w:r w:rsidRPr="00422DDB">
        <w:rPr>
          <w:rFonts w:ascii="Arial" w:hAnsi="Arial" w:cs="Arial"/>
          <w:sz w:val="21"/>
          <w:szCs w:val="21"/>
        </w:rPr>
        <w:t>.</w:t>
      </w:r>
    </w:p>
    <w:p w14:paraId="7FA0D6FC" w14:textId="77777777" w:rsidR="004839C3" w:rsidRPr="00422DDB" w:rsidRDefault="004839C3" w:rsidP="004839C3">
      <w:pPr>
        <w:ind w:left="709" w:right="709"/>
        <w:rPr>
          <w:rFonts w:ascii="Arial" w:eastAsia="Times New Roman" w:hAnsi="Arial" w:cs="Arial"/>
          <w:sz w:val="22"/>
          <w:shd w:val="clear" w:color="auto" w:fill="FFFFFF"/>
          <w:lang w:val="es-CO" w:eastAsia="es-ES_tradnl"/>
        </w:rPr>
      </w:pPr>
    </w:p>
    <w:p w14:paraId="58646E6B" w14:textId="43DCD0E1" w:rsidR="004839C3" w:rsidRPr="00422DDB" w:rsidRDefault="004839C3" w:rsidP="004839C3">
      <w:pPr>
        <w:spacing w:after="120" w:line="276" w:lineRule="auto"/>
        <w:ind w:firstLine="709"/>
        <w:jc w:val="both"/>
        <w:rPr>
          <w:rFonts w:ascii="Arial" w:hAnsi="Arial" w:cs="Arial"/>
          <w:sz w:val="22"/>
        </w:rPr>
      </w:pPr>
      <w:r w:rsidRPr="00422DDB">
        <w:rPr>
          <w:rFonts w:ascii="Arial" w:hAnsi="Arial" w:cs="Arial"/>
          <w:sz w:val="22"/>
        </w:rPr>
        <w:t xml:space="preserve">Conviene también </w:t>
      </w:r>
      <w:r w:rsidR="00631788">
        <w:rPr>
          <w:rFonts w:ascii="Arial" w:hAnsi="Arial" w:cs="Arial"/>
          <w:sz w:val="22"/>
        </w:rPr>
        <w:t>distinguir</w:t>
      </w:r>
      <w:r w:rsidRPr="00422DDB">
        <w:rPr>
          <w:rFonts w:ascii="Arial" w:hAnsi="Arial" w:cs="Arial"/>
          <w:sz w:val="22"/>
        </w:rPr>
        <w:t xml:space="preserve"> la</w:t>
      </w:r>
      <w:r w:rsidR="00631788">
        <w:rPr>
          <w:rFonts w:ascii="Arial" w:hAnsi="Arial" w:cs="Arial"/>
          <w:sz w:val="22"/>
        </w:rPr>
        <w:t>s</w:t>
      </w:r>
      <w:r w:rsidRPr="00422DDB">
        <w:rPr>
          <w:rFonts w:ascii="Arial" w:hAnsi="Arial" w:cs="Arial"/>
          <w:sz w:val="22"/>
        </w:rPr>
        <w:t xml:space="preserve"> fuente</w:t>
      </w:r>
      <w:r w:rsidR="00631788">
        <w:rPr>
          <w:rFonts w:ascii="Arial" w:hAnsi="Arial" w:cs="Arial"/>
          <w:sz w:val="22"/>
        </w:rPr>
        <w:t>s</w:t>
      </w:r>
      <w:r w:rsidRPr="00422DDB">
        <w:rPr>
          <w:rFonts w:ascii="Arial" w:hAnsi="Arial" w:cs="Arial"/>
          <w:sz w:val="22"/>
        </w:rPr>
        <w:t xml:space="preserve"> de las inhabilidades, las cuales han sido clasificadas en dos</w:t>
      </w:r>
      <w:r w:rsidR="00631788">
        <w:rPr>
          <w:rFonts w:ascii="Arial" w:hAnsi="Arial" w:cs="Arial"/>
          <w:sz w:val="22"/>
        </w:rPr>
        <w:t xml:space="preserve"> (2)</w:t>
      </w:r>
      <w:r w:rsidRPr="00422DDB">
        <w:rPr>
          <w:rFonts w:ascii="Arial" w:hAnsi="Arial" w:cs="Arial"/>
          <w:sz w:val="22"/>
        </w:rPr>
        <w:t xml:space="preserve"> grupos: i) inhabilidades-sanción y </w:t>
      </w:r>
      <w:proofErr w:type="spellStart"/>
      <w:r w:rsidRPr="00422DDB">
        <w:rPr>
          <w:rFonts w:ascii="Arial" w:hAnsi="Arial" w:cs="Arial"/>
          <w:sz w:val="22"/>
        </w:rPr>
        <w:t>ii</w:t>
      </w:r>
      <w:proofErr w:type="spellEnd"/>
      <w:r w:rsidRPr="00422DDB">
        <w:rPr>
          <w:rFonts w:ascii="Arial" w:hAnsi="Arial" w:cs="Arial"/>
          <w:sz w:val="22"/>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w:t>
      </w:r>
      <w:r w:rsidR="00631788">
        <w:rPr>
          <w:rFonts w:ascii="Arial" w:hAnsi="Arial" w:cs="Arial"/>
          <w:sz w:val="22"/>
        </w:rPr>
        <w:t>,</w:t>
      </w:r>
      <w:r w:rsidRPr="00422DDB">
        <w:rPr>
          <w:rFonts w:ascii="Arial" w:hAnsi="Arial" w:cs="Arial"/>
          <w:sz w:val="22"/>
        </w:rPr>
        <w:t xml:space="preserve"> sino de condiciones propias de la persona y garantiza</w:t>
      </w:r>
      <w:r w:rsidR="00631788">
        <w:rPr>
          <w:rFonts w:ascii="Arial" w:hAnsi="Arial" w:cs="Arial"/>
          <w:sz w:val="22"/>
        </w:rPr>
        <w:t>n</w:t>
      </w:r>
      <w:r w:rsidRPr="00422DDB">
        <w:rPr>
          <w:rFonts w:ascii="Arial" w:hAnsi="Arial" w:cs="Arial"/>
          <w:sz w:val="22"/>
        </w:rPr>
        <w:t xml:space="preserve"> la moralidad, la imparcialidad, la eficacia y la transparencia</w:t>
      </w:r>
      <w:r w:rsidRPr="00422DDB">
        <w:rPr>
          <w:rStyle w:val="Refdenotaalpie"/>
          <w:rFonts w:ascii="Arial" w:hAnsi="Arial" w:cs="Arial"/>
          <w:sz w:val="22"/>
        </w:rPr>
        <w:footnoteReference w:id="5"/>
      </w:r>
      <w:r w:rsidRPr="00422DDB">
        <w:rPr>
          <w:rFonts w:ascii="Arial" w:hAnsi="Arial" w:cs="Arial"/>
          <w:sz w:val="22"/>
        </w:rPr>
        <w:t xml:space="preserve">. </w:t>
      </w:r>
    </w:p>
    <w:p w14:paraId="1FECD5DD" w14:textId="09462C5F" w:rsidR="004839C3" w:rsidRPr="00422DDB" w:rsidRDefault="004839C3" w:rsidP="004839C3">
      <w:pPr>
        <w:spacing w:before="120" w:after="120" w:line="276" w:lineRule="auto"/>
        <w:ind w:firstLine="708"/>
        <w:jc w:val="both"/>
        <w:rPr>
          <w:rFonts w:ascii="Arial" w:hAnsi="Arial" w:cs="Arial"/>
          <w:sz w:val="22"/>
        </w:rPr>
      </w:pPr>
      <w:r w:rsidRPr="00422DDB">
        <w:rPr>
          <w:rFonts w:ascii="Arial" w:hAnsi="Arial" w:cs="Arial"/>
          <w:sz w:val="22"/>
        </w:rPr>
        <w:t>A manera de ejemplo, en materia contractual, los literales c), d) y j) del numeral 1 del artículo 8 de la Ley 80 de 1993</w:t>
      </w:r>
      <w:r w:rsidRPr="00422DDB">
        <w:rPr>
          <w:rFonts w:ascii="Arial" w:hAnsi="Arial" w:cs="Arial"/>
          <w:sz w:val="22"/>
          <w:vertAlign w:val="superscript"/>
        </w:rPr>
        <w:footnoteReference w:id="6"/>
      </w:r>
      <w:r w:rsidRPr="00422DDB">
        <w:rPr>
          <w:rFonts w:ascii="Arial" w:hAnsi="Arial" w:cs="Arial"/>
          <w:sz w:val="22"/>
        </w:rPr>
        <w:t xml:space="preserve"> establecen inhabilidades-sanción, porque la prohibición </w:t>
      </w:r>
      <w:r w:rsidRPr="00422DDB">
        <w:rPr>
          <w:rFonts w:ascii="Arial" w:hAnsi="Arial" w:cs="Arial"/>
          <w:sz w:val="22"/>
        </w:rPr>
        <w:lastRenderedPageBreak/>
        <w:t>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w:t>
      </w:r>
      <w:r w:rsidR="00631788">
        <w:rPr>
          <w:rFonts w:ascii="Arial" w:hAnsi="Arial" w:cs="Arial"/>
          <w:sz w:val="22"/>
        </w:rPr>
        <w:t>–</w:t>
      </w:r>
      <w:r w:rsidRPr="00422DDB">
        <w:rPr>
          <w:rFonts w:ascii="Arial" w:hAnsi="Arial" w:cs="Arial"/>
          <w:sz w:val="22"/>
        </w:rPr>
        <w:t xml:space="preserve">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5BD554B4" w14:textId="011169AA" w:rsidR="004839C3" w:rsidRPr="00422DDB" w:rsidRDefault="004839C3" w:rsidP="004839C3">
      <w:pPr>
        <w:spacing w:before="120" w:line="276" w:lineRule="auto"/>
        <w:ind w:firstLine="709"/>
        <w:jc w:val="both"/>
        <w:rPr>
          <w:rFonts w:ascii="Arial" w:hAnsi="Arial" w:cs="Arial"/>
          <w:sz w:val="22"/>
        </w:rPr>
      </w:pPr>
      <w:bookmarkStart w:id="1" w:name="_Hlk40976328"/>
      <w:r w:rsidRPr="00422DDB">
        <w:rPr>
          <w:rFonts w:ascii="Arial" w:hAnsi="Arial" w:cs="Arial"/>
          <w:sz w:val="22"/>
        </w:rPr>
        <w:t xml:space="preserve">En ambos eventos, la inhabilidad tiene como fuente una situación o un hecho propio del proponente –una conducta o una condición– </w:t>
      </w:r>
      <w:r w:rsidR="00631788">
        <w:rPr>
          <w:rFonts w:ascii="Arial" w:hAnsi="Arial" w:cs="Arial"/>
          <w:sz w:val="22"/>
        </w:rPr>
        <w:t>ajena a la</w:t>
      </w:r>
      <w:r w:rsidRPr="00422DDB">
        <w:rPr>
          <w:rFonts w:ascii="Arial" w:hAnsi="Arial" w:cs="Arial"/>
          <w:sz w:val="22"/>
        </w:rPr>
        <w:t xml:space="preserve"> oferta. La inhabilidad surge, entre otros, por su grado de parentesco o afinidad, por su condición de servidor público o </w:t>
      </w:r>
      <w:r w:rsidR="00631788">
        <w:rPr>
          <w:rFonts w:ascii="Arial" w:hAnsi="Arial" w:cs="Arial"/>
          <w:sz w:val="22"/>
        </w:rPr>
        <w:t>por</w:t>
      </w:r>
      <w:r w:rsidRPr="00422DDB">
        <w:rPr>
          <w:rFonts w:ascii="Arial" w:hAnsi="Arial" w:cs="Arial"/>
          <w:sz w:val="22"/>
        </w:rPr>
        <w:t xml:space="preserve"> una declaratoria de responsabilidad penal, disciplinaria o sancionatoria contractual</w:t>
      </w:r>
      <w:r w:rsidR="00631788">
        <w:rPr>
          <w:rFonts w:ascii="Arial" w:hAnsi="Arial" w:cs="Arial"/>
          <w:sz w:val="22"/>
        </w:rPr>
        <w:t xml:space="preserve"> sobre él</w:t>
      </w:r>
      <w:r w:rsidRPr="00422DDB">
        <w:rPr>
          <w:rFonts w:ascii="Arial" w:hAnsi="Arial" w:cs="Arial"/>
          <w:sz w:val="22"/>
        </w:rPr>
        <w:t xml:space="preserve">. </w:t>
      </w:r>
    </w:p>
    <w:bookmarkEnd w:id="1"/>
    <w:p w14:paraId="221F59EE" w14:textId="77777777" w:rsidR="004839C3" w:rsidRPr="00422DDB" w:rsidRDefault="004839C3" w:rsidP="004839C3">
      <w:pPr>
        <w:spacing w:line="276" w:lineRule="auto"/>
        <w:jc w:val="both"/>
        <w:rPr>
          <w:rFonts w:ascii="Arial" w:hAnsi="Arial" w:cs="Arial"/>
          <w:sz w:val="22"/>
        </w:rPr>
      </w:pPr>
    </w:p>
    <w:p w14:paraId="27C9BF74" w14:textId="77777777" w:rsidR="004839C3" w:rsidRPr="00422DDB" w:rsidRDefault="004839C3" w:rsidP="004839C3">
      <w:pPr>
        <w:tabs>
          <w:tab w:val="left" w:pos="426"/>
        </w:tabs>
        <w:spacing w:line="276" w:lineRule="auto"/>
        <w:jc w:val="both"/>
        <w:rPr>
          <w:rFonts w:ascii="Arial" w:eastAsia="Calibri" w:hAnsi="Arial" w:cs="Arial"/>
          <w:b/>
          <w:sz w:val="22"/>
          <w:lang w:val="es-ES_tradnl"/>
        </w:rPr>
      </w:pPr>
      <w:r w:rsidRPr="00422DDB">
        <w:rPr>
          <w:rFonts w:ascii="Arial" w:eastAsia="Calibri" w:hAnsi="Arial" w:cs="Arial"/>
          <w:b/>
          <w:sz w:val="22"/>
          <w:lang w:val="es-ES_tradnl"/>
        </w:rPr>
        <w:t xml:space="preserve">2.2. Régimen de inhabilidades e incompatibilidades en la contratación estatal: un límite a la capacidad contractual. La interpretación restrictiva como criterio hermenéutico de los enunciados normativos gravosos </w:t>
      </w:r>
    </w:p>
    <w:p w14:paraId="01C27D44" w14:textId="77777777" w:rsidR="004839C3" w:rsidRPr="00422DDB" w:rsidRDefault="004839C3" w:rsidP="004839C3">
      <w:pPr>
        <w:spacing w:line="276" w:lineRule="auto"/>
        <w:jc w:val="both"/>
        <w:rPr>
          <w:rFonts w:ascii="Arial" w:eastAsia="Calibri" w:hAnsi="Arial" w:cs="Arial"/>
          <w:sz w:val="22"/>
          <w:lang w:val="es-ES_tradnl"/>
        </w:rPr>
      </w:pPr>
    </w:p>
    <w:p w14:paraId="1D4C4F0E" w14:textId="140F5D8D" w:rsidR="004839C3" w:rsidRPr="00422DDB" w:rsidRDefault="004839C3" w:rsidP="004839C3">
      <w:pPr>
        <w:spacing w:line="276" w:lineRule="auto"/>
        <w:jc w:val="both"/>
        <w:rPr>
          <w:rFonts w:ascii="Arial" w:eastAsia="Calibri" w:hAnsi="Arial" w:cs="Arial"/>
          <w:sz w:val="22"/>
          <w:lang w:val="es-ES_tradnl"/>
        </w:rPr>
      </w:pPr>
      <w:r w:rsidRPr="00422DDB">
        <w:rPr>
          <w:rFonts w:ascii="Arial" w:eastAsia="Calibri" w:hAnsi="Arial" w:cs="Arial"/>
          <w:sz w:val="22"/>
          <w:lang w:val="es-ES_tradnl"/>
        </w:rPr>
        <w:t xml:space="preserve">En la contratación estatal, la </w:t>
      </w:r>
      <w:r w:rsidRPr="00422DDB">
        <w:rPr>
          <w:rFonts w:ascii="Arial" w:eastAsia="Calibri" w:hAnsi="Arial" w:cs="Arial"/>
          <w:i/>
          <w:iCs/>
          <w:sz w:val="22"/>
          <w:lang w:val="es-ES_tradnl"/>
        </w:rPr>
        <w:t>capacidad</w:t>
      </w:r>
      <w:r w:rsidRPr="00422DDB">
        <w:rPr>
          <w:rFonts w:ascii="Arial" w:eastAsia="Calibri" w:hAnsi="Arial" w:cs="Arial"/>
          <w:sz w:val="22"/>
          <w:lang w:val="es-ES_tradnl"/>
        </w:rPr>
        <w:t xml:space="preserve"> también es un requisito de validez de los contratos, tanto en el régimen de las entidades sujetas al Estatuto General de Contratación de la </w:t>
      </w:r>
      <w:r w:rsidRPr="00422DDB">
        <w:rPr>
          <w:rFonts w:ascii="Arial" w:eastAsia="Calibri" w:hAnsi="Arial" w:cs="Arial"/>
          <w:sz w:val="22"/>
          <w:lang w:val="es-ES_tradnl"/>
        </w:rPr>
        <w:lastRenderedPageBreak/>
        <w:t>Administración Pública</w:t>
      </w:r>
      <w:r w:rsidRPr="00422DDB">
        <w:rPr>
          <w:rFonts w:ascii="Arial" w:eastAsia="Calibri" w:hAnsi="Arial" w:cs="Arial"/>
          <w:sz w:val="22"/>
          <w:vertAlign w:val="superscript"/>
          <w:lang w:val="es-ES_tradnl"/>
        </w:rPr>
        <w:footnoteReference w:id="7"/>
      </w:r>
      <w:r w:rsidRPr="00422DDB">
        <w:rPr>
          <w:rFonts w:ascii="Arial" w:eastAsia="Calibri" w:hAnsi="Arial" w:cs="Arial"/>
          <w:sz w:val="22"/>
          <w:lang w:val="es-ES_tradnl"/>
        </w:rPr>
        <w:t xml:space="preserve"> como en el de las entidades exceptuadas de aquel</w:t>
      </w:r>
      <w:r w:rsidRPr="00422DDB">
        <w:rPr>
          <w:rFonts w:ascii="Arial" w:eastAsia="Calibri" w:hAnsi="Arial" w:cs="Arial"/>
          <w:sz w:val="22"/>
          <w:vertAlign w:val="superscript"/>
          <w:lang w:val="es-ES_tradnl"/>
        </w:rPr>
        <w:footnoteReference w:id="8"/>
      </w:r>
      <w:r w:rsidRPr="00422DDB">
        <w:rPr>
          <w:rFonts w:ascii="Arial" w:eastAsia="Calibri" w:hAnsi="Arial" w:cs="Arial"/>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422DDB">
        <w:rPr>
          <w:rFonts w:ascii="Arial" w:eastAsia="Calibri" w:hAnsi="Arial" w:cs="Arial"/>
          <w:sz w:val="22"/>
          <w:vertAlign w:val="superscript"/>
          <w:lang w:val="es-ES_tradnl"/>
        </w:rPr>
        <w:footnoteReference w:id="9"/>
      </w:r>
      <w:r w:rsidRPr="00422DDB">
        <w:rPr>
          <w:rFonts w:ascii="Arial" w:eastAsia="Calibri" w:hAnsi="Arial" w:cs="Arial"/>
          <w:sz w:val="22"/>
          <w:lang w:val="es-ES_tradnl"/>
        </w:rPr>
        <w:t xml:space="preserve">–, se destaca el régimen de inhabilidades e incompatibilidades como un conjunto de </w:t>
      </w:r>
      <w:r w:rsidR="00631788">
        <w:rPr>
          <w:rFonts w:ascii="Arial" w:eastAsia="Calibri" w:hAnsi="Arial" w:cs="Arial"/>
          <w:sz w:val="22"/>
          <w:lang w:val="es-ES_tradnl"/>
        </w:rPr>
        <w:t>normas</w:t>
      </w:r>
      <w:r w:rsidRPr="00422DDB">
        <w:rPr>
          <w:rFonts w:ascii="Arial" w:eastAsia="Calibri" w:hAnsi="Arial" w:cs="Arial"/>
          <w:sz w:val="22"/>
          <w:lang w:val="es-ES_tradnl"/>
        </w:rPr>
        <w:t xml:space="preserve"> que imponen restricciones para los sujetos que, eventualmente, pretendan participar en los procedimientos de selección o celebrar contratos con las entidades estatales</w:t>
      </w:r>
      <w:r w:rsidRPr="00422DDB">
        <w:rPr>
          <w:rFonts w:ascii="Arial" w:eastAsia="Calibri" w:hAnsi="Arial" w:cs="Arial"/>
          <w:sz w:val="22"/>
          <w:vertAlign w:val="superscript"/>
          <w:lang w:val="es-ES_tradnl"/>
        </w:rPr>
        <w:footnoteReference w:id="10"/>
      </w:r>
      <w:r w:rsidRPr="00422DDB">
        <w:rPr>
          <w:rFonts w:ascii="Arial" w:eastAsia="Calibri" w:hAnsi="Arial" w:cs="Arial"/>
          <w:sz w:val="22"/>
          <w:lang w:val="es-ES_tradnl"/>
        </w:rPr>
        <w:t>.</w:t>
      </w:r>
    </w:p>
    <w:p w14:paraId="13818C28" w14:textId="77777777" w:rsidR="004839C3" w:rsidRPr="00422DDB" w:rsidRDefault="004839C3" w:rsidP="004839C3">
      <w:pPr>
        <w:spacing w:before="120" w:after="120" w:line="276" w:lineRule="auto"/>
        <w:ind w:firstLine="709"/>
        <w:jc w:val="both"/>
        <w:rPr>
          <w:rFonts w:ascii="Arial" w:eastAsia="Calibri" w:hAnsi="Arial" w:cs="Arial"/>
          <w:sz w:val="22"/>
          <w:lang w:val="es-ES_tradnl"/>
        </w:rPr>
      </w:pPr>
      <w:r w:rsidRPr="00422DDB">
        <w:rPr>
          <w:rFonts w:ascii="Arial" w:eastAsia="Calibri" w:hAnsi="Arial" w:cs="Arial"/>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422DDB">
        <w:rPr>
          <w:rFonts w:ascii="Arial" w:eastAsia="Calibri" w:hAnsi="Arial" w:cs="Arial"/>
          <w:sz w:val="22"/>
          <w:vertAlign w:val="superscript"/>
          <w:lang w:val="es-ES_tradnl"/>
        </w:rPr>
        <w:footnoteReference w:id="11"/>
      </w:r>
      <w:r w:rsidRPr="00422DDB">
        <w:rPr>
          <w:rFonts w:ascii="Arial" w:eastAsia="Calibri" w:hAnsi="Arial" w:cs="Arial"/>
          <w:sz w:val="22"/>
          <w:lang w:val="es-ES_tradnl"/>
        </w:rPr>
        <w:t xml:space="preserve">, </w:t>
      </w:r>
      <w:proofErr w:type="spellStart"/>
      <w:r w:rsidRPr="00422DDB">
        <w:rPr>
          <w:rFonts w:ascii="Arial" w:eastAsia="Calibri" w:hAnsi="Arial" w:cs="Arial"/>
          <w:sz w:val="22"/>
          <w:lang w:val="es-ES_tradnl"/>
        </w:rPr>
        <w:t>ii</w:t>
      </w:r>
      <w:proofErr w:type="spellEnd"/>
      <w:r w:rsidRPr="00422DDB">
        <w:rPr>
          <w:rFonts w:ascii="Arial" w:eastAsia="Calibri" w:hAnsi="Arial" w:cs="Arial"/>
          <w:sz w:val="22"/>
          <w:lang w:val="es-ES_tradnl"/>
        </w:rPr>
        <w:t xml:space="preserve">) de vínculos </w:t>
      </w:r>
      <w:r w:rsidRPr="00422DDB">
        <w:rPr>
          <w:rFonts w:ascii="Arial" w:eastAsia="Calibri" w:hAnsi="Arial" w:cs="Arial"/>
          <w:sz w:val="22"/>
          <w:lang w:val="es-ES_tradnl"/>
        </w:rPr>
        <w:lastRenderedPageBreak/>
        <w:t>personales relativos al parentesco o al estado civil</w:t>
      </w:r>
      <w:r w:rsidRPr="00422DDB">
        <w:rPr>
          <w:rFonts w:ascii="Arial" w:eastAsia="Calibri" w:hAnsi="Arial" w:cs="Arial"/>
          <w:sz w:val="22"/>
          <w:vertAlign w:val="superscript"/>
          <w:lang w:val="es-ES_tradnl"/>
        </w:rPr>
        <w:footnoteReference w:id="12"/>
      </w:r>
      <w:r w:rsidRPr="00422DDB">
        <w:rPr>
          <w:rFonts w:ascii="Arial" w:eastAsia="Calibri" w:hAnsi="Arial" w:cs="Arial"/>
          <w:sz w:val="22"/>
          <w:lang w:val="es-ES_tradnl"/>
        </w:rPr>
        <w:t xml:space="preserve"> o </w:t>
      </w:r>
      <w:proofErr w:type="spellStart"/>
      <w:r w:rsidRPr="00422DDB">
        <w:rPr>
          <w:rFonts w:ascii="Arial" w:eastAsia="Calibri" w:hAnsi="Arial" w:cs="Arial"/>
          <w:sz w:val="22"/>
          <w:lang w:val="es-ES_tradnl"/>
        </w:rPr>
        <w:t>iii</w:t>
      </w:r>
      <w:proofErr w:type="spellEnd"/>
      <w:r w:rsidRPr="00422DDB">
        <w:rPr>
          <w:rFonts w:ascii="Arial" w:eastAsia="Calibri" w:hAnsi="Arial" w:cs="Arial"/>
          <w:sz w:val="22"/>
          <w:lang w:val="es-ES_tradnl"/>
        </w:rPr>
        <w:t>) de una actividad u oficio que se desempeñó en el pasado</w:t>
      </w:r>
      <w:r w:rsidRPr="00422DDB">
        <w:rPr>
          <w:rFonts w:ascii="Arial" w:eastAsia="Calibri" w:hAnsi="Arial" w:cs="Arial"/>
          <w:sz w:val="22"/>
          <w:vertAlign w:val="superscript"/>
          <w:lang w:val="es-ES_tradnl"/>
        </w:rPr>
        <w:footnoteReference w:id="13"/>
      </w:r>
      <w:r w:rsidRPr="00422DDB">
        <w:rPr>
          <w:rFonts w:ascii="Arial" w:eastAsia="Calibri" w:hAnsi="Arial" w:cs="Arial"/>
          <w:sz w:val="22"/>
          <w:lang w:val="es-ES_tradnl"/>
        </w:rPr>
        <w:t xml:space="preserve">. De otro lado, las incompatibilidades son prohibiciones para </w:t>
      </w:r>
      <w:r w:rsidRPr="00422DDB">
        <w:rPr>
          <w:rFonts w:ascii="Arial" w:eastAsia="Calibri" w:hAnsi="Arial" w:cs="Arial"/>
          <w:sz w:val="22"/>
          <w:lang w:val="es-ES_tradnl"/>
        </w:rPr>
        <w:lastRenderedPageBreak/>
        <w:t>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422DDB">
        <w:rPr>
          <w:rFonts w:ascii="Arial" w:eastAsia="Calibri" w:hAnsi="Arial" w:cs="Arial"/>
          <w:sz w:val="22"/>
          <w:vertAlign w:val="superscript"/>
          <w:lang w:val="es-ES_tradnl"/>
        </w:rPr>
        <w:footnoteReference w:id="14"/>
      </w:r>
      <w:r w:rsidRPr="00422DDB">
        <w:rPr>
          <w:rFonts w:ascii="Arial" w:eastAsia="Calibri" w:hAnsi="Arial" w:cs="Arial"/>
          <w:sz w:val="22"/>
          <w:lang w:val="es-ES_tradnl"/>
        </w:rPr>
        <w:t xml:space="preserve">. </w:t>
      </w:r>
    </w:p>
    <w:p w14:paraId="6BEA8A42" w14:textId="68150628" w:rsidR="004839C3" w:rsidRPr="00422DDB" w:rsidRDefault="004839C3" w:rsidP="004839C3">
      <w:pPr>
        <w:spacing w:before="120" w:after="120" w:line="276" w:lineRule="auto"/>
        <w:ind w:firstLine="709"/>
        <w:jc w:val="both"/>
        <w:rPr>
          <w:rFonts w:ascii="Arial" w:eastAsia="Calibri" w:hAnsi="Arial" w:cs="Arial"/>
          <w:sz w:val="22"/>
          <w:lang w:val="es-ES_tradnl"/>
        </w:rPr>
      </w:pPr>
      <w:r w:rsidRPr="00422DDB">
        <w:rPr>
          <w:rFonts w:ascii="Arial" w:eastAsia="Calibri" w:hAnsi="Arial" w:cs="Arial"/>
          <w:sz w:val="22"/>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w:t>
      </w:r>
      <w:r w:rsidR="00A447B0">
        <w:rPr>
          <w:rFonts w:ascii="Arial" w:eastAsia="Calibri" w:hAnsi="Arial" w:cs="Arial"/>
          <w:sz w:val="22"/>
          <w:lang w:val="es-ES_tradnl"/>
        </w:rPr>
        <w:t>Por ello</w:t>
      </w:r>
      <w:r w:rsidRPr="00422DDB">
        <w:rPr>
          <w:rFonts w:ascii="Arial" w:eastAsia="Calibri" w:hAnsi="Arial" w:cs="Arial"/>
          <w:sz w:val="22"/>
          <w:lang w:val="es-ES_tradnl"/>
        </w:rPr>
        <w:t>, como destaca</w:t>
      </w:r>
      <w:r w:rsidR="00A447B0">
        <w:rPr>
          <w:rFonts w:ascii="Arial" w:eastAsia="Calibri" w:hAnsi="Arial" w:cs="Arial"/>
          <w:sz w:val="22"/>
          <w:lang w:val="es-ES_tradnl"/>
        </w:rPr>
        <w:t xml:space="preserve"> </w:t>
      </w:r>
      <w:r w:rsidRPr="00422DDB">
        <w:rPr>
          <w:rFonts w:ascii="Arial" w:eastAsia="Calibri" w:hAnsi="Arial" w:cs="Arial"/>
          <w:sz w:val="22"/>
          <w:lang w:val="es-ES_tradnl"/>
        </w:rPr>
        <w:t xml:space="preserve">la doctrina, las inhabilidades e incompatibilidades </w:t>
      </w:r>
      <w:r w:rsidR="00A447B0">
        <w:rPr>
          <w:rFonts w:ascii="Arial" w:eastAsia="Calibri" w:hAnsi="Arial" w:cs="Arial"/>
          <w:sz w:val="22"/>
          <w:lang w:val="es-ES_tradnl"/>
        </w:rPr>
        <w:t>son</w:t>
      </w:r>
      <w:r w:rsidRPr="00422DDB">
        <w:rPr>
          <w:rFonts w:ascii="Arial" w:eastAsia="Calibri" w:hAnsi="Arial" w:cs="Arial"/>
          <w:sz w:val="22"/>
          <w:lang w:val="es-ES_tradnl"/>
        </w:rPr>
        <w:t xml:space="preserve"> herramientas en la lucha contra la corrupción, adoptando paulatinamente </w:t>
      </w:r>
      <w:r w:rsidR="00A447B0">
        <w:rPr>
          <w:rFonts w:ascii="Arial" w:eastAsia="Calibri" w:hAnsi="Arial" w:cs="Arial"/>
          <w:sz w:val="22"/>
          <w:lang w:val="es-ES_tradnl"/>
        </w:rPr>
        <w:t>una naturaleza</w:t>
      </w:r>
      <w:r w:rsidRPr="00422DDB">
        <w:rPr>
          <w:rFonts w:ascii="Arial" w:eastAsia="Calibri" w:hAnsi="Arial" w:cs="Arial"/>
          <w:sz w:val="22"/>
          <w:lang w:val="es-ES_tradnl"/>
        </w:rPr>
        <w:t xml:space="preserve"> sancionatori</w:t>
      </w:r>
      <w:r w:rsidR="00A447B0">
        <w:rPr>
          <w:rFonts w:ascii="Arial" w:eastAsia="Calibri" w:hAnsi="Arial" w:cs="Arial"/>
          <w:sz w:val="22"/>
          <w:lang w:val="es-ES_tradnl"/>
        </w:rPr>
        <w:t>a</w:t>
      </w:r>
      <w:r w:rsidRPr="00422DDB">
        <w:rPr>
          <w:rFonts w:ascii="Arial" w:eastAsia="Calibri" w:hAnsi="Arial" w:cs="Arial"/>
          <w:sz w:val="22"/>
          <w:lang w:val="es-ES_tradnl"/>
        </w:rPr>
        <w:t xml:space="preserve"> o «</w:t>
      </w:r>
      <w:proofErr w:type="spellStart"/>
      <w:r w:rsidRPr="00422DDB">
        <w:rPr>
          <w:rFonts w:ascii="Arial" w:eastAsia="Calibri" w:hAnsi="Arial" w:cs="Arial"/>
          <w:sz w:val="22"/>
          <w:lang w:val="es-ES_tradnl"/>
        </w:rPr>
        <w:t>neopunitivo</w:t>
      </w:r>
      <w:proofErr w:type="spellEnd"/>
      <w:r w:rsidRPr="00422DDB">
        <w:rPr>
          <w:rFonts w:ascii="Arial" w:eastAsia="Calibri" w:hAnsi="Arial" w:cs="Arial"/>
          <w:sz w:val="22"/>
          <w:lang w:val="es-ES_tradnl"/>
        </w:rPr>
        <w:t>»</w:t>
      </w:r>
      <w:r w:rsidRPr="00422DDB">
        <w:rPr>
          <w:rFonts w:ascii="Arial" w:eastAsia="Calibri" w:hAnsi="Arial" w:cs="Arial"/>
          <w:sz w:val="22"/>
          <w:vertAlign w:val="superscript"/>
          <w:lang w:val="es-ES_tradnl"/>
        </w:rPr>
        <w:footnoteReference w:id="15"/>
      </w:r>
      <w:r w:rsidRPr="00422DDB">
        <w:rPr>
          <w:rFonts w:ascii="Arial" w:eastAsia="Calibri" w:hAnsi="Arial" w:cs="Arial"/>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1FC6FADE" w14:textId="4D376392" w:rsidR="004839C3" w:rsidRPr="00422DDB" w:rsidRDefault="004839C3" w:rsidP="004839C3">
      <w:pPr>
        <w:spacing w:before="120" w:after="120" w:line="276" w:lineRule="auto"/>
        <w:ind w:firstLine="709"/>
        <w:jc w:val="both"/>
        <w:rPr>
          <w:rFonts w:ascii="Arial" w:eastAsia="Calibri" w:hAnsi="Arial" w:cs="Arial"/>
          <w:sz w:val="22"/>
          <w:lang w:val="es-ES_tradnl"/>
        </w:rPr>
      </w:pPr>
      <w:r w:rsidRPr="00422DDB">
        <w:rPr>
          <w:rFonts w:ascii="Arial" w:eastAsia="Calibri" w:hAnsi="Arial" w:cs="Arial"/>
          <w:sz w:val="22"/>
          <w:lang w:val="es-ES_tradnl"/>
        </w:rPr>
        <w:t xml:space="preserve">Ahora bien, las inhabilidades e incompatibilidades al ser restricciones o límites especiales a la capacidad para presentar ofertas y celebrar contratos estatales, solo </w:t>
      </w:r>
      <w:r w:rsidRPr="00422DDB">
        <w:rPr>
          <w:rFonts w:ascii="Arial" w:eastAsia="Calibri" w:hAnsi="Arial" w:cs="Arial"/>
          <w:sz w:val="22"/>
          <w:lang w:val="es-ES_tradnl"/>
        </w:rPr>
        <w:lastRenderedPageBreak/>
        <w:t xml:space="preserve">pueden tipificarse en la ley –o sea, deben satisfacer el principio de legalidad– y su interpretación debe ser </w:t>
      </w:r>
      <w:r w:rsidRPr="00422DDB">
        <w:rPr>
          <w:rFonts w:ascii="Arial" w:eastAsia="Calibri" w:hAnsi="Arial" w:cs="Arial"/>
          <w:i/>
          <w:iCs/>
          <w:sz w:val="22"/>
          <w:lang w:val="es-ES_tradnl"/>
        </w:rPr>
        <w:t>restrictiva</w:t>
      </w:r>
      <w:r w:rsidRPr="00422DDB">
        <w:rPr>
          <w:rFonts w:ascii="Arial" w:eastAsia="Calibri" w:hAnsi="Arial" w:cs="Arial"/>
          <w:sz w:val="22"/>
          <w:vertAlign w:val="superscript"/>
          <w:lang w:val="es-ES_tradnl"/>
        </w:rPr>
        <w:footnoteReference w:id="16"/>
      </w:r>
      <w:r w:rsidRPr="00422DDB">
        <w:rPr>
          <w:rFonts w:ascii="Arial" w:eastAsia="Calibri" w:hAnsi="Arial" w:cs="Arial"/>
          <w:sz w:val="22"/>
          <w:lang w:val="es-ES_tradnl"/>
        </w:rPr>
        <w:t xml:space="preserve">, pues si se admitiera una interpretación amplia, extensiva o finalista de las mismas, tales enunciados normativos </w:t>
      </w:r>
      <w:r w:rsidR="00A447B0">
        <w:rPr>
          <w:rFonts w:ascii="Arial" w:eastAsia="Calibri" w:hAnsi="Arial" w:cs="Arial"/>
          <w:sz w:val="22"/>
          <w:lang w:val="es-ES_tradnl"/>
        </w:rPr>
        <w:t>contemplarían</w:t>
      </w:r>
      <w:r w:rsidRPr="00422DDB">
        <w:rPr>
          <w:rFonts w:ascii="Arial" w:eastAsia="Calibri" w:hAnsi="Arial" w:cs="Arial"/>
          <w:sz w:val="22"/>
          <w:lang w:val="es-ES_tradnl"/>
        </w:rPr>
        <w:t xml:space="preserve">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2F92D7EA" w14:textId="77777777" w:rsidR="004839C3" w:rsidRPr="00422DDB" w:rsidRDefault="004839C3" w:rsidP="004839C3">
      <w:pPr>
        <w:spacing w:line="276" w:lineRule="auto"/>
        <w:ind w:firstLine="709"/>
        <w:jc w:val="both"/>
        <w:rPr>
          <w:rFonts w:ascii="Arial" w:eastAsia="Calibri" w:hAnsi="Arial" w:cs="Arial"/>
          <w:sz w:val="22"/>
          <w:lang w:val="es-ES_tradnl"/>
        </w:rPr>
      </w:pPr>
      <w:r w:rsidRPr="00422DDB">
        <w:rPr>
          <w:rFonts w:ascii="Arial" w:eastAsia="Calibri" w:hAnsi="Arial" w:cs="Arial"/>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422DDB">
        <w:rPr>
          <w:rFonts w:ascii="Arial" w:eastAsia="Calibri" w:hAnsi="Arial" w:cs="Arial"/>
          <w:sz w:val="22"/>
          <w:vertAlign w:val="superscript"/>
          <w:lang w:val="es-ES_tradnl"/>
        </w:rPr>
        <w:footnoteReference w:id="17"/>
      </w:r>
      <w:r w:rsidRPr="00422DDB">
        <w:rPr>
          <w:rFonts w:ascii="Arial" w:eastAsia="Calibri" w:hAnsi="Arial" w:cs="Arial"/>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422DDB">
        <w:rPr>
          <w:rFonts w:ascii="Arial" w:eastAsia="Calibri" w:hAnsi="Arial" w:cs="Arial"/>
          <w:sz w:val="22"/>
          <w:vertAlign w:val="superscript"/>
          <w:lang w:val="es-ES_tradnl"/>
        </w:rPr>
        <w:footnoteReference w:id="18"/>
      </w:r>
      <w:r w:rsidRPr="00422DDB">
        <w:rPr>
          <w:rFonts w:ascii="Arial" w:eastAsia="Calibri" w:hAnsi="Arial" w:cs="Arial"/>
          <w:sz w:val="22"/>
          <w:lang w:val="es-ES_tradnl"/>
        </w:rPr>
        <w:t>. En tal sentido, la Sección Tercera ha señalado que:</w:t>
      </w:r>
    </w:p>
    <w:p w14:paraId="2F71E781" w14:textId="77777777" w:rsidR="004839C3" w:rsidRPr="00422DDB" w:rsidRDefault="004839C3" w:rsidP="004839C3">
      <w:pPr>
        <w:spacing w:line="276" w:lineRule="auto"/>
        <w:ind w:firstLine="709"/>
        <w:jc w:val="both"/>
        <w:rPr>
          <w:rFonts w:ascii="Arial" w:eastAsia="Calibri" w:hAnsi="Arial" w:cs="Arial"/>
          <w:sz w:val="22"/>
          <w:lang w:val="es-ES_tradnl"/>
        </w:rPr>
      </w:pPr>
    </w:p>
    <w:p w14:paraId="692DD388" w14:textId="6EC7AAF6" w:rsidR="004839C3" w:rsidRDefault="004839C3" w:rsidP="001A6189">
      <w:pPr>
        <w:ind w:left="709" w:right="709"/>
        <w:jc w:val="both"/>
        <w:rPr>
          <w:rFonts w:ascii="Arial" w:hAnsi="Arial" w:cs="Arial"/>
          <w:sz w:val="21"/>
          <w:szCs w:val="21"/>
          <w:lang w:val="es-ES_tradnl"/>
        </w:rPr>
      </w:pPr>
      <w:r w:rsidRPr="00422DDB">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22DDB">
        <w:rPr>
          <w:rFonts w:ascii="Arial" w:hAnsi="Arial" w:cs="Arial"/>
          <w:sz w:val="21"/>
          <w:szCs w:val="21"/>
          <w:vertAlign w:val="superscript"/>
          <w:lang w:val="es-ES_tradnl"/>
        </w:rPr>
        <w:footnoteReference w:id="19"/>
      </w:r>
      <w:r w:rsidRPr="00422DDB">
        <w:rPr>
          <w:rFonts w:ascii="Arial" w:hAnsi="Arial" w:cs="Arial"/>
          <w:sz w:val="21"/>
          <w:szCs w:val="21"/>
          <w:lang w:val="es-ES_tradnl"/>
        </w:rPr>
        <w:t>.</w:t>
      </w:r>
    </w:p>
    <w:p w14:paraId="7CF67EEF" w14:textId="77777777" w:rsidR="001A6189" w:rsidRPr="00422DDB" w:rsidRDefault="001A6189" w:rsidP="001A6189">
      <w:pPr>
        <w:ind w:left="709" w:right="709"/>
        <w:jc w:val="both"/>
        <w:rPr>
          <w:rFonts w:ascii="Arial" w:eastAsia="Calibri" w:hAnsi="Arial" w:cs="Arial"/>
          <w:sz w:val="22"/>
          <w:lang w:val="es-ES_tradnl"/>
        </w:rPr>
      </w:pPr>
    </w:p>
    <w:p w14:paraId="3FF0AB6A" w14:textId="01369A6D" w:rsidR="004839C3" w:rsidRDefault="004839C3" w:rsidP="001A6189">
      <w:pPr>
        <w:ind w:firstLine="709"/>
        <w:jc w:val="both"/>
        <w:rPr>
          <w:rFonts w:ascii="Arial" w:eastAsia="Calibri" w:hAnsi="Arial" w:cs="Arial"/>
          <w:sz w:val="22"/>
          <w:lang w:val="es-ES_tradnl"/>
        </w:rPr>
      </w:pPr>
      <w:r w:rsidRPr="00422DDB">
        <w:rPr>
          <w:rFonts w:ascii="Arial" w:eastAsia="Calibri" w:hAnsi="Arial" w:cs="Arial"/>
          <w:sz w:val="22"/>
          <w:lang w:val="es-ES_tradnl"/>
        </w:rPr>
        <w:t>También ha dicho que:</w:t>
      </w:r>
    </w:p>
    <w:p w14:paraId="26CF038B" w14:textId="77777777" w:rsidR="001A6189" w:rsidRPr="00422DDB" w:rsidRDefault="001A6189" w:rsidP="001A6189">
      <w:pPr>
        <w:ind w:firstLine="709"/>
        <w:jc w:val="both"/>
        <w:rPr>
          <w:rFonts w:ascii="Arial" w:eastAsia="Calibri" w:hAnsi="Arial" w:cs="Arial"/>
          <w:sz w:val="22"/>
          <w:lang w:val="es-ES_tradnl"/>
        </w:rPr>
      </w:pPr>
    </w:p>
    <w:p w14:paraId="22106DE8" w14:textId="04DFC7DB" w:rsidR="003A387F" w:rsidRPr="00422DDB" w:rsidRDefault="004839C3" w:rsidP="004839C3">
      <w:pPr>
        <w:ind w:left="709" w:right="709"/>
        <w:jc w:val="both"/>
        <w:rPr>
          <w:rFonts w:ascii="Arial" w:hAnsi="Arial" w:cs="Arial"/>
          <w:sz w:val="21"/>
          <w:szCs w:val="21"/>
          <w:lang w:val="es-ES_tradnl"/>
        </w:rPr>
      </w:pPr>
      <w:r w:rsidRPr="00422DDB">
        <w:rPr>
          <w:rFonts w:ascii="Arial" w:hAnsi="Arial" w:cs="Arial"/>
          <w:sz w:val="21"/>
          <w:szCs w:val="21"/>
          <w:lang w:val="es-ES_tradnl"/>
        </w:rPr>
        <w:t xml:space="preserve">[…] la aplicación de estos preceptos exige una interpretación restrictiva, dado que según el principio hermenéutico </w:t>
      </w:r>
      <w:r w:rsidRPr="00422DDB">
        <w:rPr>
          <w:rFonts w:ascii="Arial" w:hAnsi="Arial" w:cs="Arial"/>
          <w:i/>
          <w:iCs/>
          <w:sz w:val="21"/>
          <w:szCs w:val="21"/>
          <w:lang w:val="es-ES_tradnl"/>
        </w:rPr>
        <w:t xml:space="preserve">pro </w:t>
      </w:r>
      <w:proofErr w:type="spellStart"/>
      <w:r w:rsidRPr="00422DDB">
        <w:rPr>
          <w:rFonts w:ascii="Arial" w:hAnsi="Arial" w:cs="Arial"/>
          <w:i/>
          <w:iCs/>
          <w:sz w:val="21"/>
          <w:szCs w:val="21"/>
          <w:lang w:val="es-ES_tradnl"/>
        </w:rPr>
        <w:t>libertate</w:t>
      </w:r>
      <w:proofErr w:type="spellEnd"/>
      <w:r w:rsidRPr="00422DDB">
        <w:rPr>
          <w:rFonts w:ascii="Arial" w:hAnsi="Arial" w:cs="Arial"/>
          <w:sz w:val="21"/>
          <w:szCs w:val="21"/>
          <w:lang w:val="es-ES_tradnl"/>
        </w:rPr>
        <w:t xml:space="preserve">, entre varias interpretaciones </w:t>
      </w:r>
      <w:r w:rsidRPr="00422DDB">
        <w:rPr>
          <w:rFonts w:ascii="Arial" w:hAnsi="Arial" w:cs="Arial"/>
          <w:sz w:val="21"/>
          <w:szCs w:val="21"/>
          <w:lang w:val="es-ES_tradnl"/>
        </w:rPr>
        <w:lastRenderedPageBreak/>
        <w:t>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22DDB">
        <w:rPr>
          <w:rFonts w:ascii="Arial" w:hAnsi="Arial" w:cs="Arial"/>
          <w:sz w:val="21"/>
          <w:szCs w:val="21"/>
          <w:vertAlign w:val="superscript"/>
          <w:lang w:val="es-ES_tradnl"/>
        </w:rPr>
        <w:footnoteReference w:id="20"/>
      </w:r>
      <w:r w:rsidRPr="00422DDB">
        <w:rPr>
          <w:rFonts w:ascii="Arial" w:hAnsi="Arial" w:cs="Arial"/>
          <w:sz w:val="21"/>
          <w:szCs w:val="21"/>
          <w:lang w:val="es-ES_tradnl"/>
        </w:rPr>
        <w:t>.</w:t>
      </w:r>
    </w:p>
    <w:p w14:paraId="309EEBE2" w14:textId="77777777" w:rsidR="004839C3" w:rsidRPr="00422DDB" w:rsidRDefault="004839C3" w:rsidP="00541738">
      <w:pPr>
        <w:ind w:left="709" w:right="709"/>
        <w:jc w:val="both"/>
        <w:rPr>
          <w:rFonts w:ascii="Arial" w:eastAsia="Calibri" w:hAnsi="Arial" w:cs="Arial"/>
          <w:sz w:val="22"/>
          <w:lang w:val="es-ES_tradnl"/>
        </w:rPr>
      </w:pPr>
    </w:p>
    <w:p w14:paraId="72A0BFAB" w14:textId="08E005CA" w:rsidR="005A79FE" w:rsidRDefault="004839C3" w:rsidP="00541738">
      <w:pPr>
        <w:spacing w:line="276" w:lineRule="auto"/>
        <w:ind w:firstLine="709"/>
        <w:jc w:val="both"/>
        <w:rPr>
          <w:rFonts w:ascii="Arial" w:eastAsia="Calibri" w:hAnsi="Arial" w:cs="Arial"/>
          <w:sz w:val="22"/>
          <w:lang w:val="es-ES_tradnl"/>
        </w:rPr>
      </w:pPr>
      <w:r w:rsidRPr="00422DDB">
        <w:rPr>
          <w:rFonts w:ascii="Arial" w:eastAsia="Calibri" w:hAnsi="Arial" w:cs="Arial"/>
          <w:sz w:val="22"/>
          <w:lang w:val="es-ES_tradnl"/>
        </w:rPr>
        <w:t xml:space="preserve">Como se aprecia, el principio </w:t>
      </w:r>
      <w:r w:rsidRPr="00422DDB">
        <w:rPr>
          <w:rFonts w:ascii="Arial" w:eastAsia="Calibri" w:hAnsi="Arial" w:cs="Arial"/>
          <w:i/>
          <w:iCs/>
          <w:sz w:val="22"/>
          <w:lang w:val="es-ES_tradnl"/>
        </w:rPr>
        <w:t xml:space="preserve">pro </w:t>
      </w:r>
      <w:proofErr w:type="spellStart"/>
      <w:r w:rsidRPr="00422DDB">
        <w:rPr>
          <w:rFonts w:ascii="Arial" w:eastAsia="Calibri" w:hAnsi="Arial" w:cs="Arial"/>
          <w:i/>
          <w:iCs/>
          <w:sz w:val="22"/>
          <w:lang w:val="es-ES_tradnl"/>
        </w:rPr>
        <w:t>libertate</w:t>
      </w:r>
      <w:proofErr w:type="spellEnd"/>
      <w:r w:rsidRPr="00422DDB">
        <w:rPr>
          <w:rFonts w:ascii="Arial" w:eastAsia="Calibri" w:hAnsi="Arial" w:cs="Arial"/>
          <w:sz w:val="22"/>
          <w:lang w:val="es-ES_tradnl"/>
        </w:rPr>
        <w:t xml:space="preserve"> dirig</w:t>
      </w:r>
      <w:r w:rsidR="003A387F">
        <w:rPr>
          <w:rFonts w:ascii="Arial" w:eastAsia="Calibri" w:hAnsi="Arial" w:cs="Arial"/>
          <w:sz w:val="22"/>
          <w:lang w:val="es-ES_tradnl"/>
        </w:rPr>
        <w:t>e</w:t>
      </w:r>
      <w:r w:rsidRPr="00422DDB">
        <w:rPr>
          <w:rFonts w:ascii="Arial" w:eastAsia="Calibri" w:hAnsi="Arial" w:cs="Arial"/>
          <w:sz w:val="22"/>
          <w:lang w:val="es-ES_tradnl"/>
        </w:rPr>
        <w:t xml:space="preserve"> la interpretación de las disposiciones que consagran restricciones de derechos, como sucede con las causales de inhabilidad e incompatibilidad en la contratación estatal.</w:t>
      </w:r>
    </w:p>
    <w:p w14:paraId="6F033D0D" w14:textId="46F0C6B2" w:rsidR="008C324A" w:rsidRDefault="008C324A" w:rsidP="00C0509A">
      <w:pPr>
        <w:jc w:val="both"/>
        <w:rPr>
          <w:rFonts w:ascii="Arial" w:eastAsia="Calibri" w:hAnsi="Arial" w:cs="Arial"/>
          <w:sz w:val="22"/>
          <w:lang w:val="es-ES_tradnl"/>
        </w:rPr>
      </w:pPr>
    </w:p>
    <w:p w14:paraId="1E0365BF" w14:textId="07F62FE2" w:rsidR="00785BAA" w:rsidRDefault="00785BAA" w:rsidP="0016672F">
      <w:pPr>
        <w:spacing w:line="276" w:lineRule="auto"/>
        <w:jc w:val="both"/>
        <w:rPr>
          <w:rFonts w:ascii="Arial" w:eastAsia="Calibri" w:hAnsi="Arial" w:cs="Arial"/>
          <w:b/>
          <w:bCs/>
          <w:sz w:val="22"/>
          <w:lang w:val="es-ES_tradnl"/>
        </w:rPr>
      </w:pPr>
      <w:r>
        <w:rPr>
          <w:rFonts w:ascii="Arial" w:eastAsia="Calibri" w:hAnsi="Arial" w:cs="Arial"/>
          <w:b/>
          <w:bCs/>
          <w:sz w:val="22"/>
          <w:lang w:val="es-ES_tradnl"/>
        </w:rPr>
        <w:t xml:space="preserve">2.3. Inhabilidad </w:t>
      </w:r>
      <w:r w:rsidR="00190F01">
        <w:rPr>
          <w:rFonts w:ascii="Arial" w:eastAsia="Calibri" w:hAnsi="Arial" w:cs="Arial"/>
          <w:b/>
          <w:bCs/>
          <w:sz w:val="22"/>
          <w:lang w:val="es-ES_tradnl"/>
        </w:rPr>
        <w:t xml:space="preserve">de personas por vínculos </w:t>
      </w:r>
      <w:r w:rsidR="0096119E">
        <w:rPr>
          <w:rFonts w:ascii="Arial" w:eastAsia="Calibri" w:hAnsi="Arial" w:cs="Arial"/>
          <w:b/>
          <w:bCs/>
          <w:sz w:val="22"/>
          <w:lang w:val="es-ES_tradnl"/>
        </w:rPr>
        <w:t>naturales o jurídicos</w:t>
      </w:r>
    </w:p>
    <w:p w14:paraId="2C74EB06" w14:textId="39290E76" w:rsidR="00F731AC" w:rsidRDefault="00F731AC" w:rsidP="0016672F">
      <w:pPr>
        <w:jc w:val="both"/>
        <w:rPr>
          <w:rFonts w:ascii="Arial" w:eastAsia="Calibri" w:hAnsi="Arial" w:cs="Arial"/>
          <w:b/>
          <w:bCs/>
          <w:sz w:val="22"/>
          <w:lang w:val="es-ES_tradnl"/>
        </w:rPr>
      </w:pPr>
    </w:p>
    <w:p w14:paraId="771C89A6" w14:textId="25E2C566" w:rsidR="00C0509A" w:rsidRDefault="0059693F" w:rsidP="00C0509A">
      <w:pPr>
        <w:spacing w:before="120" w:after="120" w:line="276" w:lineRule="auto"/>
        <w:jc w:val="both"/>
        <w:rPr>
          <w:rFonts w:ascii="Arial" w:eastAsia="Calibri" w:hAnsi="Arial" w:cs="Arial"/>
          <w:sz w:val="22"/>
          <w:lang w:val="es-ES_tradnl"/>
        </w:rPr>
      </w:pPr>
      <w:r>
        <w:rPr>
          <w:rFonts w:ascii="Arial" w:eastAsia="Calibri" w:hAnsi="Arial" w:cs="Arial"/>
          <w:sz w:val="22"/>
          <w:lang w:val="es-ES_tradnl"/>
        </w:rPr>
        <w:t xml:space="preserve">El literal g) del numeral 1 del artículo 8 de la Ley 80 de </w:t>
      </w:r>
      <w:r w:rsidR="002456A8">
        <w:rPr>
          <w:rFonts w:ascii="Arial" w:eastAsia="Calibri" w:hAnsi="Arial" w:cs="Arial"/>
          <w:sz w:val="22"/>
          <w:lang w:val="es-ES_tradnl"/>
        </w:rPr>
        <w:t xml:space="preserve">1993 </w:t>
      </w:r>
      <w:r w:rsidR="004E61CE">
        <w:rPr>
          <w:rFonts w:ascii="Arial" w:eastAsia="Calibri" w:hAnsi="Arial" w:cs="Arial"/>
          <w:sz w:val="22"/>
          <w:lang w:val="es-ES_tradnl"/>
        </w:rPr>
        <w:t xml:space="preserve">determina que </w:t>
      </w:r>
      <w:r w:rsidR="00AD324A">
        <w:rPr>
          <w:rFonts w:ascii="Arial" w:eastAsia="Calibri" w:hAnsi="Arial" w:cs="Arial"/>
          <w:sz w:val="22"/>
          <w:lang w:val="es-ES_tradnl"/>
        </w:rPr>
        <w:t>son inhábiles para participar en proceso</w:t>
      </w:r>
      <w:r w:rsidR="003958C4">
        <w:rPr>
          <w:rFonts w:ascii="Arial" w:eastAsia="Calibri" w:hAnsi="Arial" w:cs="Arial"/>
          <w:sz w:val="22"/>
          <w:lang w:val="es-ES_tradnl"/>
        </w:rPr>
        <w:t>s</w:t>
      </w:r>
      <w:r w:rsidR="00AD324A">
        <w:rPr>
          <w:rFonts w:ascii="Arial" w:eastAsia="Calibri" w:hAnsi="Arial" w:cs="Arial"/>
          <w:sz w:val="22"/>
          <w:lang w:val="es-ES_tradnl"/>
        </w:rPr>
        <w:t xml:space="preserve"> de contratación </w:t>
      </w:r>
      <w:r w:rsidR="003958C4">
        <w:rPr>
          <w:rFonts w:ascii="Arial" w:eastAsia="Calibri" w:hAnsi="Arial" w:cs="Arial"/>
          <w:sz w:val="22"/>
          <w:lang w:val="es-ES_tradnl"/>
        </w:rPr>
        <w:t>o suscribir contratos con entidades estatales</w:t>
      </w:r>
      <w:r w:rsidR="008821DF">
        <w:rPr>
          <w:rFonts w:ascii="Arial" w:eastAsia="Calibri" w:hAnsi="Arial" w:cs="Arial"/>
          <w:sz w:val="22"/>
          <w:lang w:val="es-ES_tradnl"/>
        </w:rPr>
        <w:t xml:space="preserve"> «</w:t>
      </w:r>
      <w:r w:rsidR="008821DF" w:rsidRPr="008821DF">
        <w:rPr>
          <w:rFonts w:ascii="Arial" w:eastAsia="Calibri" w:hAnsi="Arial" w:cs="Arial"/>
          <w:sz w:val="22"/>
          <w:lang w:val="es-ES_tradnl"/>
        </w:rPr>
        <w:t>Quienes sean cónyuges o compañeros permanentes y quienes se encuentren dentro del segundo grado de consanguinidad o segundo de afinidad con cualquier otra persona que formalmente haya presentado propuesta para una misma licitación</w:t>
      </w:r>
      <w:r w:rsidR="008821DF">
        <w:rPr>
          <w:rFonts w:ascii="Arial" w:eastAsia="Calibri" w:hAnsi="Arial" w:cs="Arial"/>
          <w:sz w:val="22"/>
          <w:lang w:val="es-ES_tradnl"/>
        </w:rPr>
        <w:t>»</w:t>
      </w:r>
      <w:r w:rsidR="00C86D49">
        <w:rPr>
          <w:rFonts w:ascii="Arial" w:eastAsia="Calibri" w:hAnsi="Arial" w:cs="Arial"/>
          <w:sz w:val="22"/>
          <w:lang w:val="es-ES_tradnl"/>
        </w:rPr>
        <w:t>.</w:t>
      </w:r>
    </w:p>
    <w:p w14:paraId="389A69C2" w14:textId="6B53504F" w:rsidR="006B377E" w:rsidRDefault="00075F5E" w:rsidP="00FA5A5D">
      <w:pPr>
        <w:spacing w:before="120" w:after="120" w:line="276" w:lineRule="auto"/>
        <w:ind w:firstLine="709"/>
        <w:jc w:val="both"/>
        <w:rPr>
          <w:rFonts w:ascii="Arial" w:eastAsia="Calibri" w:hAnsi="Arial" w:cs="Arial"/>
          <w:sz w:val="22"/>
          <w:lang w:val="es-ES_tradnl"/>
        </w:rPr>
      </w:pPr>
      <w:r w:rsidRPr="0AD53C6D">
        <w:rPr>
          <w:rFonts w:ascii="Arial" w:eastAsia="Calibri" w:hAnsi="Arial" w:cs="Arial"/>
          <w:sz w:val="22"/>
          <w:lang w:val="es-ES"/>
        </w:rPr>
        <w:t xml:space="preserve">La citada inhabilidad </w:t>
      </w:r>
      <w:r w:rsidR="00B17BEF" w:rsidRPr="0AD53C6D">
        <w:rPr>
          <w:rFonts w:ascii="Arial" w:eastAsia="Calibri" w:hAnsi="Arial" w:cs="Arial"/>
          <w:sz w:val="22"/>
          <w:lang w:val="es-ES"/>
        </w:rPr>
        <w:t>tiene fundamento en las relaciones familiares</w:t>
      </w:r>
      <w:r w:rsidR="001A3519" w:rsidRPr="0AD53C6D">
        <w:rPr>
          <w:rFonts w:ascii="Arial" w:eastAsia="Calibri" w:hAnsi="Arial" w:cs="Arial"/>
          <w:sz w:val="22"/>
          <w:lang w:val="es-ES"/>
        </w:rPr>
        <w:t xml:space="preserve"> o de parentesco</w:t>
      </w:r>
      <w:r w:rsidR="00B17BEF" w:rsidRPr="0AD53C6D">
        <w:rPr>
          <w:rFonts w:ascii="Arial" w:eastAsia="Calibri" w:hAnsi="Arial" w:cs="Arial"/>
          <w:sz w:val="22"/>
          <w:lang w:val="es-ES"/>
        </w:rPr>
        <w:t>, tales como</w:t>
      </w:r>
      <w:r w:rsidR="001A3519" w:rsidRPr="0AD53C6D">
        <w:rPr>
          <w:rFonts w:ascii="Arial" w:eastAsia="Calibri" w:hAnsi="Arial" w:cs="Arial"/>
          <w:sz w:val="22"/>
          <w:lang w:val="es-ES"/>
        </w:rPr>
        <w:t xml:space="preserve"> </w:t>
      </w:r>
      <w:r w:rsidR="00FA739B" w:rsidRPr="0AD53C6D">
        <w:rPr>
          <w:rFonts w:ascii="Arial" w:eastAsia="Calibri" w:hAnsi="Arial" w:cs="Arial"/>
          <w:sz w:val="22"/>
          <w:lang w:val="es-ES"/>
        </w:rPr>
        <w:t>los cónyuges</w:t>
      </w:r>
      <w:r w:rsidR="001A3519" w:rsidRPr="0AD53C6D">
        <w:rPr>
          <w:rFonts w:ascii="Arial" w:eastAsia="Calibri" w:hAnsi="Arial" w:cs="Arial"/>
          <w:sz w:val="22"/>
          <w:lang w:val="es-ES"/>
        </w:rPr>
        <w:t xml:space="preserve"> o</w:t>
      </w:r>
      <w:r w:rsidR="00FA739B" w:rsidRPr="0AD53C6D">
        <w:rPr>
          <w:rFonts w:ascii="Arial" w:eastAsia="Calibri" w:hAnsi="Arial" w:cs="Arial"/>
          <w:sz w:val="22"/>
          <w:lang w:val="es-ES"/>
        </w:rPr>
        <w:t xml:space="preserve"> compañeros permanentes, así como aquellas personas respecto de las que se predica</w:t>
      </w:r>
      <w:r w:rsidR="001A3519" w:rsidRPr="0AD53C6D">
        <w:rPr>
          <w:rFonts w:ascii="Arial" w:eastAsia="Calibri" w:hAnsi="Arial" w:cs="Arial"/>
          <w:sz w:val="22"/>
          <w:lang w:val="es-ES"/>
        </w:rPr>
        <w:t>n relaciones de consanguinidad o afinidad hasta el segundo grado</w:t>
      </w:r>
      <w:r w:rsidR="006B377E" w:rsidRPr="0AD53C6D">
        <w:rPr>
          <w:rFonts w:ascii="Arial" w:eastAsia="Calibri" w:hAnsi="Arial" w:cs="Arial"/>
          <w:sz w:val="22"/>
          <w:lang w:val="es-ES"/>
        </w:rPr>
        <w:t>.</w:t>
      </w:r>
      <w:r w:rsidR="00BB3B58" w:rsidRPr="0AD53C6D">
        <w:rPr>
          <w:rFonts w:ascii="Arial" w:eastAsia="Calibri" w:hAnsi="Arial" w:cs="Arial"/>
          <w:sz w:val="22"/>
          <w:lang w:val="es-ES"/>
        </w:rPr>
        <w:t xml:space="preserve"> </w:t>
      </w:r>
      <w:r w:rsidR="006B377E" w:rsidRPr="0AD53C6D">
        <w:rPr>
          <w:rFonts w:ascii="Arial" w:eastAsia="Calibri" w:hAnsi="Arial" w:cs="Arial"/>
          <w:sz w:val="22"/>
          <w:lang w:val="es-ES"/>
        </w:rPr>
        <w:t>Esa</w:t>
      </w:r>
      <w:r w:rsidR="00AB037C" w:rsidRPr="0AD53C6D">
        <w:rPr>
          <w:rFonts w:ascii="Arial" w:eastAsia="Calibri" w:hAnsi="Arial" w:cs="Arial"/>
          <w:sz w:val="22"/>
          <w:lang w:val="es-ES"/>
        </w:rPr>
        <w:t xml:space="preserve"> circun</w:t>
      </w:r>
      <w:r w:rsidR="004345AD" w:rsidRPr="0AD53C6D">
        <w:rPr>
          <w:rFonts w:ascii="Arial" w:eastAsia="Calibri" w:hAnsi="Arial" w:cs="Arial"/>
          <w:sz w:val="22"/>
          <w:lang w:val="es-ES"/>
        </w:rPr>
        <w:t xml:space="preserve">stancia </w:t>
      </w:r>
      <w:r w:rsidR="00CB3E9B" w:rsidRPr="0AD53C6D">
        <w:rPr>
          <w:rFonts w:ascii="Arial" w:eastAsia="Calibri" w:hAnsi="Arial" w:cs="Arial"/>
          <w:sz w:val="22"/>
          <w:lang w:val="es-ES"/>
        </w:rPr>
        <w:t xml:space="preserve">implica que esa causal de inhabilidad se </w:t>
      </w:r>
      <w:r w:rsidR="00C42AA4" w:rsidRPr="0AD53C6D">
        <w:rPr>
          <w:rFonts w:ascii="Arial" w:eastAsia="Calibri" w:hAnsi="Arial" w:cs="Arial"/>
          <w:sz w:val="22"/>
          <w:lang w:val="es-ES"/>
        </w:rPr>
        <w:t>instituyó</w:t>
      </w:r>
      <w:r w:rsidR="00CB3E9B" w:rsidRPr="0AD53C6D">
        <w:rPr>
          <w:rFonts w:ascii="Arial" w:eastAsia="Calibri" w:hAnsi="Arial" w:cs="Arial"/>
          <w:sz w:val="22"/>
          <w:lang w:val="es-ES"/>
        </w:rPr>
        <w:t>, única y exclusivamente,</w:t>
      </w:r>
      <w:r w:rsidR="00992F0D" w:rsidRPr="0AD53C6D">
        <w:rPr>
          <w:rFonts w:ascii="Arial" w:eastAsia="Calibri" w:hAnsi="Arial" w:cs="Arial"/>
          <w:sz w:val="22"/>
          <w:lang w:val="es-ES"/>
        </w:rPr>
        <w:t xml:space="preserve"> con el propósito de limitar </w:t>
      </w:r>
      <w:r w:rsidR="00F15127" w:rsidRPr="0AD53C6D">
        <w:rPr>
          <w:rFonts w:ascii="Arial" w:eastAsia="Calibri" w:hAnsi="Arial" w:cs="Arial"/>
          <w:sz w:val="22"/>
          <w:lang w:val="es-ES"/>
        </w:rPr>
        <w:t xml:space="preserve">la capacidad en la participación en procesos de contratación de las denominadas personas </w:t>
      </w:r>
      <w:r w:rsidR="00ED01DA" w:rsidRPr="0AD53C6D">
        <w:rPr>
          <w:rFonts w:ascii="Arial" w:eastAsia="Calibri" w:hAnsi="Arial" w:cs="Arial"/>
          <w:sz w:val="22"/>
          <w:lang w:val="es-ES"/>
        </w:rPr>
        <w:t>naturales</w:t>
      </w:r>
      <w:r w:rsidR="00ED01DA" w:rsidRPr="0AD53C6D">
        <w:rPr>
          <w:rStyle w:val="Refdenotaalpie"/>
          <w:rFonts w:ascii="Arial" w:eastAsia="Calibri" w:hAnsi="Arial" w:cs="Arial"/>
          <w:sz w:val="22"/>
          <w:lang w:val="es-ES"/>
        </w:rPr>
        <w:footnoteReference w:id="21"/>
      </w:r>
      <w:r w:rsidR="00ED01DA" w:rsidRPr="0AD53C6D">
        <w:rPr>
          <w:rFonts w:ascii="Arial" w:eastAsia="Calibri" w:hAnsi="Arial" w:cs="Arial"/>
          <w:sz w:val="22"/>
          <w:lang w:val="es-ES"/>
        </w:rPr>
        <w:t>, esto es</w:t>
      </w:r>
      <w:r w:rsidR="00505E51" w:rsidRPr="0AD53C6D">
        <w:rPr>
          <w:rFonts w:ascii="Arial" w:eastAsia="Calibri" w:hAnsi="Arial" w:cs="Arial"/>
          <w:sz w:val="22"/>
          <w:lang w:val="es-ES"/>
        </w:rPr>
        <w:t xml:space="preserve">, sujetos de derechos </w:t>
      </w:r>
      <w:r w:rsidR="00DC4B08" w:rsidRPr="0AD53C6D">
        <w:rPr>
          <w:rFonts w:ascii="Arial" w:eastAsia="Calibri" w:hAnsi="Arial" w:cs="Arial"/>
          <w:sz w:val="22"/>
          <w:lang w:val="es-ES"/>
        </w:rPr>
        <w:t>y</w:t>
      </w:r>
      <w:r w:rsidR="00505E51" w:rsidRPr="0AD53C6D">
        <w:rPr>
          <w:rFonts w:ascii="Arial" w:eastAsia="Calibri" w:hAnsi="Arial" w:cs="Arial"/>
          <w:sz w:val="22"/>
          <w:lang w:val="es-ES"/>
        </w:rPr>
        <w:t xml:space="preserve"> obligaciones de la especie humana</w:t>
      </w:r>
      <w:r w:rsidR="00530488" w:rsidRPr="0AD53C6D">
        <w:rPr>
          <w:rFonts w:ascii="Arial" w:eastAsia="Calibri" w:hAnsi="Arial" w:cs="Arial"/>
          <w:sz w:val="22"/>
          <w:lang w:val="es-ES"/>
        </w:rPr>
        <w:t xml:space="preserve"> </w:t>
      </w:r>
      <w:r w:rsidR="00BF106E" w:rsidRPr="0AD53C6D">
        <w:rPr>
          <w:rFonts w:ascii="Arial" w:eastAsia="Calibri" w:hAnsi="Arial" w:cs="Arial"/>
          <w:sz w:val="22"/>
          <w:lang w:val="es-ES"/>
        </w:rPr>
        <w:t>unidos entre si ya sea por ví</w:t>
      </w:r>
      <w:r w:rsidR="007E5AEF" w:rsidRPr="0AD53C6D">
        <w:rPr>
          <w:rFonts w:ascii="Arial" w:eastAsia="Calibri" w:hAnsi="Arial" w:cs="Arial"/>
          <w:sz w:val="22"/>
          <w:lang w:val="es-ES"/>
        </w:rPr>
        <w:t xml:space="preserve">nculos </w:t>
      </w:r>
      <w:r w:rsidR="00075839" w:rsidRPr="0AD53C6D">
        <w:rPr>
          <w:rFonts w:ascii="Arial" w:eastAsia="Calibri" w:hAnsi="Arial" w:cs="Arial"/>
          <w:sz w:val="22"/>
          <w:lang w:val="es-ES"/>
        </w:rPr>
        <w:t>naturales</w:t>
      </w:r>
      <w:r w:rsidR="007E5AEF" w:rsidRPr="0AD53C6D">
        <w:rPr>
          <w:rFonts w:ascii="Arial" w:eastAsia="Calibri" w:hAnsi="Arial" w:cs="Arial"/>
          <w:sz w:val="22"/>
          <w:lang w:val="es-ES"/>
        </w:rPr>
        <w:t xml:space="preserve"> o jurídicos</w:t>
      </w:r>
      <w:r w:rsidR="002F5E2E" w:rsidRPr="0AD53C6D">
        <w:rPr>
          <w:rStyle w:val="Refdenotaalpie"/>
          <w:rFonts w:ascii="Arial" w:eastAsia="Calibri" w:hAnsi="Arial" w:cs="Arial"/>
          <w:sz w:val="22"/>
          <w:lang w:val="es-ES"/>
        </w:rPr>
        <w:footnoteReference w:id="22"/>
      </w:r>
      <w:r w:rsidR="00DC4B08" w:rsidRPr="0AD53C6D">
        <w:rPr>
          <w:rFonts w:ascii="Arial" w:eastAsia="Calibri" w:hAnsi="Arial" w:cs="Arial"/>
          <w:sz w:val="22"/>
          <w:lang w:val="es-ES"/>
        </w:rPr>
        <w:t>.</w:t>
      </w:r>
    </w:p>
    <w:p w14:paraId="4C99A99D" w14:textId="08389B13" w:rsidR="004E38E7" w:rsidRDefault="00BA2229">
      <w:pPr>
        <w:spacing w:before="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Los cónyuges </w:t>
      </w:r>
      <w:r w:rsidR="00DE52CB">
        <w:rPr>
          <w:rFonts w:ascii="Arial" w:eastAsia="Calibri" w:hAnsi="Arial" w:cs="Arial"/>
          <w:sz w:val="22"/>
          <w:lang w:val="es-ES_tradnl"/>
        </w:rPr>
        <w:t xml:space="preserve">son aquellas personas </w:t>
      </w:r>
      <w:r w:rsidR="008D62B6">
        <w:rPr>
          <w:rFonts w:ascii="Arial" w:eastAsia="Calibri" w:hAnsi="Arial" w:cs="Arial"/>
          <w:sz w:val="22"/>
          <w:lang w:val="es-ES_tradnl"/>
        </w:rPr>
        <w:t>vinculadas entre si</w:t>
      </w:r>
      <w:r w:rsidR="00941C5F">
        <w:rPr>
          <w:rFonts w:ascii="Arial" w:eastAsia="Calibri" w:hAnsi="Arial" w:cs="Arial"/>
          <w:sz w:val="22"/>
          <w:lang w:val="es-ES_tradnl"/>
        </w:rPr>
        <w:t xml:space="preserve"> </w:t>
      </w:r>
      <w:r w:rsidR="00530297">
        <w:rPr>
          <w:rFonts w:ascii="Arial" w:eastAsia="Calibri" w:hAnsi="Arial" w:cs="Arial"/>
          <w:sz w:val="22"/>
          <w:lang w:val="es-ES_tradnl"/>
        </w:rPr>
        <w:t>a través del contrato de</w:t>
      </w:r>
      <w:r w:rsidR="00941C5F">
        <w:rPr>
          <w:rFonts w:ascii="Arial" w:eastAsia="Calibri" w:hAnsi="Arial" w:cs="Arial"/>
          <w:sz w:val="22"/>
          <w:lang w:val="es-ES_tradnl"/>
        </w:rPr>
        <w:t xml:space="preserve"> matrimonio</w:t>
      </w:r>
      <w:r w:rsidR="00941C5F">
        <w:rPr>
          <w:rStyle w:val="Refdenotaalpie"/>
          <w:rFonts w:ascii="Arial" w:eastAsia="Calibri" w:hAnsi="Arial" w:cs="Arial"/>
          <w:sz w:val="22"/>
          <w:lang w:val="es-ES_tradnl"/>
        </w:rPr>
        <w:footnoteReference w:id="23"/>
      </w:r>
      <w:r w:rsidR="00965636">
        <w:rPr>
          <w:rFonts w:ascii="Arial" w:eastAsia="Calibri" w:hAnsi="Arial" w:cs="Arial"/>
          <w:sz w:val="22"/>
          <w:lang w:val="es-ES_tradnl"/>
        </w:rPr>
        <w:t>,</w:t>
      </w:r>
      <w:r w:rsidR="00D027BB">
        <w:rPr>
          <w:rFonts w:ascii="Arial" w:eastAsia="Calibri" w:hAnsi="Arial" w:cs="Arial"/>
          <w:sz w:val="22"/>
          <w:lang w:val="es-ES_tradnl"/>
        </w:rPr>
        <w:t xml:space="preserve"> que puede ser civil o</w:t>
      </w:r>
      <w:r w:rsidR="00DB0727">
        <w:rPr>
          <w:rFonts w:ascii="Arial" w:eastAsia="Calibri" w:hAnsi="Arial" w:cs="Arial"/>
          <w:sz w:val="22"/>
          <w:lang w:val="es-ES_tradnl"/>
        </w:rPr>
        <w:t xml:space="preserve"> religioso. M</w:t>
      </w:r>
      <w:r w:rsidR="00965636">
        <w:rPr>
          <w:rFonts w:ascii="Arial" w:eastAsia="Calibri" w:hAnsi="Arial" w:cs="Arial"/>
          <w:sz w:val="22"/>
          <w:lang w:val="es-ES_tradnl"/>
        </w:rPr>
        <w:t xml:space="preserve">ientras que los compañeros permanentes </w:t>
      </w:r>
      <w:r w:rsidR="00B85024">
        <w:rPr>
          <w:rFonts w:ascii="Arial" w:eastAsia="Calibri" w:hAnsi="Arial" w:cs="Arial"/>
          <w:sz w:val="22"/>
          <w:lang w:val="es-ES_tradnl"/>
        </w:rPr>
        <w:lastRenderedPageBreak/>
        <w:t>son aquellas personas que integran</w:t>
      </w:r>
      <w:r w:rsidR="00AC614B">
        <w:rPr>
          <w:rFonts w:ascii="Arial" w:eastAsia="Calibri" w:hAnsi="Arial" w:cs="Arial"/>
          <w:sz w:val="22"/>
          <w:lang w:val="es-ES_tradnl"/>
        </w:rPr>
        <w:t xml:space="preserve"> una comunidad vida</w:t>
      </w:r>
      <w:r w:rsidR="00A377E8">
        <w:rPr>
          <w:rFonts w:ascii="Arial" w:eastAsia="Calibri" w:hAnsi="Arial" w:cs="Arial"/>
          <w:sz w:val="22"/>
          <w:lang w:val="es-ES_tradnl"/>
        </w:rPr>
        <w:t>, sin estar casados,</w:t>
      </w:r>
      <w:r w:rsidR="00AC614B">
        <w:rPr>
          <w:rFonts w:ascii="Arial" w:eastAsia="Calibri" w:hAnsi="Arial" w:cs="Arial"/>
          <w:sz w:val="22"/>
          <w:lang w:val="es-ES_tradnl"/>
        </w:rPr>
        <w:t xml:space="preserve"> denominada</w:t>
      </w:r>
      <w:r w:rsidR="00B85024">
        <w:rPr>
          <w:rFonts w:ascii="Arial" w:eastAsia="Calibri" w:hAnsi="Arial" w:cs="Arial"/>
          <w:sz w:val="22"/>
          <w:lang w:val="es-ES_tradnl"/>
        </w:rPr>
        <w:t xml:space="preserve"> unión marital de hecho</w:t>
      </w:r>
      <w:r w:rsidR="00B85024">
        <w:rPr>
          <w:rStyle w:val="Refdenotaalpie"/>
          <w:rFonts w:ascii="Arial" w:eastAsia="Calibri" w:hAnsi="Arial" w:cs="Arial"/>
          <w:sz w:val="22"/>
          <w:lang w:val="es-ES_tradnl"/>
        </w:rPr>
        <w:footnoteReference w:id="24"/>
      </w:r>
      <w:r w:rsidR="00AC614B">
        <w:rPr>
          <w:rFonts w:ascii="Arial" w:eastAsia="Calibri" w:hAnsi="Arial" w:cs="Arial"/>
          <w:sz w:val="22"/>
          <w:lang w:val="es-ES_tradnl"/>
        </w:rPr>
        <w:t>.</w:t>
      </w:r>
      <w:r w:rsidR="00530297">
        <w:rPr>
          <w:rFonts w:ascii="Arial" w:eastAsia="Calibri" w:hAnsi="Arial" w:cs="Arial"/>
          <w:sz w:val="22"/>
          <w:lang w:val="es-ES_tradnl"/>
        </w:rPr>
        <w:t xml:space="preserve"> </w:t>
      </w:r>
      <w:r w:rsidR="00A4690E">
        <w:rPr>
          <w:rFonts w:ascii="Arial" w:eastAsia="Calibri" w:hAnsi="Arial" w:cs="Arial"/>
          <w:sz w:val="22"/>
          <w:lang w:val="es-ES_tradnl"/>
        </w:rPr>
        <w:t>Tratándose de compañeros permanentes, la Corte Constitucional extendió los efectos de la inhabilidad objeto de</w:t>
      </w:r>
      <w:r w:rsidR="00C65506">
        <w:rPr>
          <w:rFonts w:ascii="Arial" w:eastAsia="Calibri" w:hAnsi="Arial" w:cs="Arial"/>
          <w:sz w:val="22"/>
          <w:lang w:val="es-ES_tradnl"/>
        </w:rPr>
        <w:t xml:space="preserve"> estudio</w:t>
      </w:r>
      <w:r w:rsidR="00A4690E">
        <w:rPr>
          <w:rFonts w:ascii="Arial" w:eastAsia="Calibri" w:hAnsi="Arial" w:cs="Arial"/>
          <w:sz w:val="22"/>
          <w:lang w:val="es-ES_tradnl"/>
        </w:rPr>
        <w:t xml:space="preserve"> a las parejas del mismo sexo</w:t>
      </w:r>
      <w:r w:rsidR="00D1205F">
        <w:rPr>
          <w:rFonts w:ascii="Arial" w:eastAsia="Calibri" w:hAnsi="Arial" w:cs="Arial"/>
          <w:sz w:val="22"/>
          <w:lang w:val="es-ES_tradnl"/>
        </w:rPr>
        <w:t>,</w:t>
      </w:r>
      <w:r w:rsidR="00C65506">
        <w:rPr>
          <w:rFonts w:ascii="Arial" w:eastAsia="Calibri" w:hAnsi="Arial" w:cs="Arial"/>
          <w:sz w:val="22"/>
          <w:lang w:val="es-ES_tradnl"/>
        </w:rPr>
        <w:t xml:space="preserve"> consider</w:t>
      </w:r>
      <w:r w:rsidR="00530297">
        <w:rPr>
          <w:rFonts w:ascii="Arial" w:eastAsia="Calibri" w:hAnsi="Arial" w:cs="Arial"/>
          <w:sz w:val="22"/>
          <w:lang w:val="es-ES_tradnl"/>
        </w:rPr>
        <w:t>ando</w:t>
      </w:r>
      <w:r w:rsidR="00C65506">
        <w:rPr>
          <w:rFonts w:ascii="Arial" w:eastAsia="Calibri" w:hAnsi="Arial" w:cs="Arial"/>
          <w:sz w:val="22"/>
          <w:lang w:val="es-ES_tradnl"/>
        </w:rPr>
        <w:t xml:space="preserve"> la protección </w:t>
      </w:r>
      <w:r w:rsidR="00286B45">
        <w:rPr>
          <w:rFonts w:ascii="Arial" w:eastAsia="Calibri" w:hAnsi="Arial" w:cs="Arial"/>
          <w:sz w:val="22"/>
          <w:lang w:val="es-ES_tradnl"/>
        </w:rPr>
        <w:t>o salvaguarda del principio de igualdad</w:t>
      </w:r>
      <w:r w:rsidR="00530297">
        <w:rPr>
          <w:rFonts w:ascii="Arial" w:eastAsia="Calibri" w:hAnsi="Arial" w:cs="Arial"/>
          <w:sz w:val="22"/>
          <w:lang w:val="es-ES_tradnl"/>
        </w:rPr>
        <w:t>, para lo cual explicó que</w:t>
      </w:r>
      <w:r w:rsidR="00BF0834">
        <w:rPr>
          <w:rFonts w:ascii="Arial" w:eastAsia="Calibri" w:hAnsi="Arial" w:cs="Arial"/>
          <w:sz w:val="22"/>
          <w:lang w:val="es-ES_tradnl"/>
        </w:rPr>
        <w:t>:</w:t>
      </w:r>
    </w:p>
    <w:p w14:paraId="5719ED63" w14:textId="18B4D59F" w:rsidR="00BF0834" w:rsidRDefault="00BF0834" w:rsidP="00BF0834">
      <w:pPr>
        <w:spacing w:line="276" w:lineRule="auto"/>
        <w:ind w:firstLine="709"/>
        <w:jc w:val="both"/>
        <w:rPr>
          <w:rFonts w:ascii="Arial" w:eastAsia="Calibri" w:hAnsi="Arial" w:cs="Arial"/>
          <w:sz w:val="22"/>
          <w:lang w:val="es-ES_tradnl"/>
        </w:rPr>
      </w:pPr>
    </w:p>
    <w:p w14:paraId="77CB1C84" w14:textId="222D8CA1" w:rsidR="00BF0834" w:rsidRPr="00BF0834" w:rsidRDefault="00530297" w:rsidP="00541738">
      <w:pPr>
        <w:spacing w:after="120"/>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r w:rsidR="00BF0834" w:rsidRPr="00BF0834">
        <w:rPr>
          <w:rFonts w:ascii="Arial" w:eastAsia="Calibri" w:hAnsi="Arial" w:cs="Arial"/>
          <w:sz w:val="21"/>
          <w:szCs w:val="21"/>
          <w:lang w:val="es-ES_tradnl"/>
        </w:rPr>
        <w:t xml:space="preserve"> la situación de los integrantes de las parejas homosexuales es asimilable a la de los compañeros permanentes y no se aprecia ninguna razón para establecer una diferencia de trato.</w:t>
      </w:r>
    </w:p>
    <w:p w14:paraId="6C73E264" w14:textId="38D67857" w:rsidR="00BF0834" w:rsidRDefault="00BF0834" w:rsidP="00BF0834">
      <w:pPr>
        <w:ind w:left="709" w:right="709"/>
        <w:jc w:val="both"/>
        <w:rPr>
          <w:rFonts w:ascii="Arial" w:eastAsia="Calibri" w:hAnsi="Arial" w:cs="Arial"/>
          <w:sz w:val="22"/>
          <w:lang w:val="es-ES_tradnl"/>
        </w:rPr>
      </w:pPr>
      <w:r w:rsidRPr="00BF0834">
        <w:rPr>
          <w:rFonts w:ascii="Arial" w:eastAsia="Calibri" w:hAnsi="Arial" w:cs="Arial"/>
          <w:sz w:val="21"/>
          <w:szCs w:val="21"/>
          <w:lang w:val="es-ES_tradnl"/>
        </w:rPr>
        <w:t>Así, en la medida en que entre los integrantes de parejas del mismo sexo surge un vínculo especial, basado en relaciones de afecto y de apoyo mutuo, y siendo ese el criterio empleado por el legislador en las disposiciones demandadas, la exclusión injustificada de estas personas de entre los destinatarios de tales disposiciones resulta contraria a la Constitución por desconocer el principio de igualdad.</w:t>
      </w:r>
      <w:r w:rsidR="004E20E2">
        <w:rPr>
          <w:rStyle w:val="Refdenotaalpie"/>
          <w:rFonts w:ascii="Arial" w:eastAsia="Calibri" w:hAnsi="Arial" w:cs="Arial"/>
          <w:sz w:val="21"/>
          <w:szCs w:val="21"/>
          <w:lang w:val="es-ES_tradnl"/>
        </w:rPr>
        <w:footnoteReference w:id="25"/>
      </w:r>
    </w:p>
    <w:p w14:paraId="5470AEAD" w14:textId="4B5CA302" w:rsidR="00351093" w:rsidRDefault="00351093" w:rsidP="000114C4">
      <w:pPr>
        <w:ind w:firstLine="709"/>
        <w:jc w:val="both"/>
        <w:rPr>
          <w:rFonts w:ascii="Arial" w:eastAsia="Calibri" w:hAnsi="Arial" w:cs="Arial"/>
          <w:sz w:val="22"/>
          <w:lang w:val="es-ES_tradnl"/>
        </w:rPr>
      </w:pPr>
    </w:p>
    <w:p w14:paraId="7B8F5581" w14:textId="47F3C702" w:rsidR="00083106" w:rsidRDefault="00291CED" w:rsidP="00541738">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De otra parte y </w:t>
      </w:r>
      <w:proofErr w:type="gramStart"/>
      <w:r>
        <w:rPr>
          <w:rFonts w:ascii="Arial" w:eastAsia="Calibri" w:hAnsi="Arial" w:cs="Arial"/>
          <w:sz w:val="22"/>
          <w:lang w:val="es-ES_tradnl"/>
        </w:rPr>
        <w:t>en relación al</w:t>
      </w:r>
      <w:proofErr w:type="gramEnd"/>
      <w:r>
        <w:rPr>
          <w:rFonts w:ascii="Arial" w:eastAsia="Calibri" w:hAnsi="Arial" w:cs="Arial"/>
          <w:sz w:val="22"/>
          <w:lang w:val="es-ES_tradnl"/>
        </w:rPr>
        <w:t xml:space="preserve"> parentesco</w:t>
      </w:r>
      <w:r w:rsidR="00C83D0D">
        <w:rPr>
          <w:rFonts w:ascii="Arial" w:eastAsia="Calibri" w:hAnsi="Arial" w:cs="Arial"/>
          <w:sz w:val="22"/>
          <w:lang w:val="es-ES_tradnl"/>
        </w:rPr>
        <w:t xml:space="preserve">, conforme al Código Civil, este </w:t>
      </w:r>
      <w:r w:rsidR="00A04F03">
        <w:rPr>
          <w:rFonts w:ascii="Arial" w:eastAsia="Calibri" w:hAnsi="Arial" w:cs="Arial"/>
          <w:sz w:val="22"/>
          <w:lang w:val="es-ES_tradnl"/>
        </w:rPr>
        <w:t>se clasifica en parentesco</w:t>
      </w:r>
      <w:r w:rsidR="00523210">
        <w:rPr>
          <w:rFonts w:ascii="Arial" w:eastAsia="Calibri" w:hAnsi="Arial" w:cs="Arial"/>
          <w:sz w:val="22"/>
          <w:lang w:val="es-ES_tradnl"/>
        </w:rPr>
        <w:t xml:space="preserve"> de</w:t>
      </w:r>
      <w:r w:rsidR="00A04F03">
        <w:rPr>
          <w:rFonts w:ascii="Arial" w:eastAsia="Calibri" w:hAnsi="Arial" w:cs="Arial"/>
          <w:sz w:val="22"/>
          <w:lang w:val="es-ES_tradnl"/>
        </w:rPr>
        <w:t xml:space="preserve"> consanguinidad o parentesco </w:t>
      </w:r>
      <w:r w:rsidR="00523210">
        <w:rPr>
          <w:rFonts w:ascii="Arial" w:eastAsia="Calibri" w:hAnsi="Arial" w:cs="Arial"/>
          <w:sz w:val="22"/>
          <w:lang w:val="es-ES_tradnl"/>
        </w:rPr>
        <w:t>de</w:t>
      </w:r>
      <w:r w:rsidR="00A04F03">
        <w:rPr>
          <w:rFonts w:ascii="Arial" w:eastAsia="Calibri" w:hAnsi="Arial" w:cs="Arial"/>
          <w:sz w:val="22"/>
          <w:lang w:val="es-ES_tradnl"/>
        </w:rPr>
        <w:t xml:space="preserve"> afinidad.</w:t>
      </w:r>
      <w:r w:rsidR="00530297">
        <w:rPr>
          <w:rFonts w:ascii="Arial" w:eastAsia="Calibri" w:hAnsi="Arial" w:cs="Arial"/>
          <w:sz w:val="22"/>
          <w:lang w:val="es-ES_tradnl"/>
        </w:rPr>
        <w:t xml:space="preserve"> </w:t>
      </w:r>
      <w:r w:rsidR="00523210">
        <w:rPr>
          <w:rFonts w:ascii="Arial" w:eastAsia="Calibri" w:hAnsi="Arial" w:cs="Arial"/>
          <w:sz w:val="22"/>
          <w:lang w:val="es-ES_tradnl"/>
        </w:rPr>
        <w:t xml:space="preserve">El parentesco de consanguinidad </w:t>
      </w:r>
      <w:r w:rsidR="009B6C1F">
        <w:rPr>
          <w:rFonts w:ascii="Arial" w:eastAsia="Calibri" w:hAnsi="Arial" w:cs="Arial"/>
          <w:sz w:val="22"/>
          <w:lang w:val="es-ES_tradnl"/>
        </w:rPr>
        <w:t>corresponde a</w:t>
      </w:r>
      <w:r w:rsidR="009B6C1F" w:rsidRPr="009B6C1F">
        <w:rPr>
          <w:rFonts w:ascii="Arial" w:eastAsia="Calibri" w:hAnsi="Arial" w:cs="Arial"/>
          <w:sz w:val="22"/>
          <w:lang w:val="es-ES_tradnl"/>
        </w:rPr>
        <w:t xml:space="preserve"> </w:t>
      </w:r>
      <w:r w:rsidR="006623A8">
        <w:rPr>
          <w:rFonts w:ascii="Arial" w:eastAsia="Calibri" w:hAnsi="Arial" w:cs="Arial"/>
          <w:sz w:val="22"/>
          <w:lang w:val="es-ES_tradnl"/>
        </w:rPr>
        <w:t xml:space="preserve">la </w:t>
      </w:r>
      <w:r w:rsidR="009B6C1F">
        <w:rPr>
          <w:rFonts w:ascii="Arial" w:eastAsia="Calibri" w:hAnsi="Arial" w:cs="Arial"/>
          <w:sz w:val="22"/>
          <w:lang w:val="es-ES_tradnl"/>
        </w:rPr>
        <w:t>«[</w:t>
      </w:r>
      <w:r w:rsidR="00CC37E8">
        <w:rPr>
          <w:rFonts w:ascii="Arial" w:eastAsia="Calibri" w:hAnsi="Arial" w:cs="Arial"/>
          <w:sz w:val="22"/>
          <w:lang w:val="es-ES_tradnl"/>
        </w:rPr>
        <w:t>…]</w:t>
      </w:r>
      <w:r w:rsidR="006623A8">
        <w:rPr>
          <w:rFonts w:ascii="Arial" w:eastAsia="Calibri" w:hAnsi="Arial" w:cs="Arial"/>
          <w:sz w:val="22"/>
          <w:lang w:val="es-ES_tradnl"/>
        </w:rPr>
        <w:t xml:space="preserve"> </w:t>
      </w:r>
      <w:r w:rsidR="009B6C1F" w:rsidRPr="009B6C1F">
        <w:rPr>
          <w:rFonts w:ascii="Arial" w:eastAsia="Calibri" w:hAnsi="Arial" w:cs="Arial"/>
          <w:sz w:val="22"/>
          <w:lang w:val="es-ES_tradnl"/>
        </w:rPr>
        <w:t>relación o conexión que existe entre las personas que descienden de un mismo tronco o raíz, o que están unidas por los vínculos de la sangre</w:t>
      </w:r>
      <w:r w:rsidR="00CC37E8">
        <w:rPr>
          <w:rFonts w:ascii="Arial" w:eastAsia="Calibri" w:hAnsi="Arial" w:cs="Arial"/>
          <w:sz w:val="22"/>
          <w:lang w:val="es-ES_tradnl"/>
        </w:rPr>
        <w:t>»</w:t>
      </w:r>
      <w:r w:rsidR="00CC37E8">
        <w:rPr>
          <w:rStyle w:val="Refdenotaalpie"/>
          <w:rFonts w:ascii="Arial" w:eastAsia="Calibri" w:hAnsi="Arial" w:cs="Arial"/>
          <w:sz w:val="22"/>
          <w:lang w:val="es-ES_tradnl"/>
        </w:rPr>
        <w:footnoteReference w:id="26"/>
      </w:r>
      <w:r w:rsidR="00CC37E8">
        <w:rPr>
          <w:rFonts w:ascii="Arial" w:eastAsia="Calibri" w:hAnsi="Arial" w:cs="Arial"/>
          <w:sz w:val="22"/>
          <w:lang w:val="es-ES_tradnl"/>
        </w:rPr>
        <w:t>.</w:t>
      </w:r>
      <w:r w:rsidR="003D6C2D">
        <w:rPr>
          <w:rFonts w:ascii="Arial" w:eastAsia="Calibri" w:hAnsi="Arial" w:cs="Arial"/>
          <w:sz w:val="22"/>
          <w:lang w:val="es-ES_tradnl"/>
        </w:rPr>
        <w:t xml:space="preserve"> </w:t>
      </w:r>
      <w:r w:rsidR="00083106">
        <w:rPr>
          <w:rFonts w:ascii="Arial" w:eastAsia="Calibri" w:hAnsi="Arial" w:cs="Arial"/>
          <w:sz w:val="22"/>
          <w:lang w:val="es-ES_tradnl"/>
        </w:rPr>
        <w:t>El parentesco de afinidad</w:t>
      </w:r>
      <w:r w:rsidR="00DD6260">
        <w:rPr>
          <w:rFonts w:ascii="Arial" w:eastAsia="Calibri" w:hAnsi="Arial" w:cs="Arial"/>
          <w:sz w:val="22"/>
          <w:lang w:val="es-ES_tradnl"/>
        </w:rPr>
        <w:t xml:space="preserve"> </w:t>
      </w:r>
      <w:r w:rsidR="002F3DD9">
        <w:rPr>
          <w:rFonts w:ascii="Arial" w:eastAsia="Calibri" w:hAnsi="Arial" w:cs="Arial"/>
          <w:sz w:val="22"/>
          <w:lang w:val="es-ES_tradnl"/>
        </w:rPr>
        <w:t xml:space="preserve">se refiere </w:t>
      </w:r>
      <w:r w:rsidR="00DD6260">
        <w:rPr>
          <w:rFonts w:ascii="Arial" w:eastAsia="Calibri" w:hAnsi="Arial" w:cs="Arial"/>
          <w:sz w:val="22"/>
          <w:lang w:val="es-ES_tradnl"/>
        </w:rPr>
        <w:t xml:space="preserve">a la relación </w:t>
      </w:r>
      <w:r w:rsidR="00740026">
        <w:rPr>
          <w:rFonts w:ascii="Arial" w:eastAsia="Calibri" w:hAnsi="Arial" w:cs="Arial"/>
          <w:sz w:val="22"/>
          <w:lang w:val="es-ES_tradnl"/>
        </w:rPr>
        <w:t xml:space="preserve">surgida </w:t>
      </w:r>
      <w:r w:rsidR="00F645D6">
        <w:rPr>
          <w:rFonts w:ascii="Arial" w:eastAsia="Calibri" w:hAnsi="Arial" w:cs="Arial"/>
          <w:sz w:val="22"/>
          <w:lang w:val="es-ES_tradnl"/>
        </w:rPr>
        <w:t xml:space="preserve">entre una persona y los consanguíneos </w:t>
      </w:r>
      <w:r w:rsidR="00A64743">
        <w:rPr>
          <w:rFonts w:ascii="Arial" w:eastAsia="Calibri" w:hAnsi="Arial" w:cs="Arial"/>
          <w:sz w:val="22"/>
          <w:lang w:val="es-ES_tradnl"/>
        </w:rPr>
        <w:t>de su esposo, esposa o compañeros permanentes</w:t>
      </w:r>
      <w:r w:rsidR="00435BE1">
        <w:rPr>
          <w:rFonts w:ascii="Arial" w:eastAsia="Calibri" w:hAnsi="Arial" w:cs="Arial"/>
          <w:sz w:val="22"/>
          <w:lang w:val="es-ES_tradnl"/>
        </w:rPr>
        <w:t>, según el caso</w:t>
      </w:r>
      <w:r w:rsidR="00435BE1">
        <w:rPr>
          <w:rStyle w:val="Refdenotaalpie"/>
          <w:rFonts w:ascii="Arial" w:eastAsia="Calibri" w:hAnsi="Arial" w:cs="Arial"/>
          <w:sz w:val="22"/>
          <w:lang w:val="es-ES_tradnl"/>
        </w:rPr>
        <w:footnoteReference w:id="27"/>
      </w:r>
      <w:r w:rsidR="00435BE1">
        <w:rPr>
          <w:rFonts w:ascii="Arial" w:eastAsia="Calibri" w:hAnsi="Arial" w:cs="Arial"/>
          <w:sz w:val="22"/>
          <w:lang w:val="es-ES_tradnl"/>
        </w:rPr>
        <w:t xml:space="preserve">. </w:t>
      </w:r>
      <w:r w:rsidR="00BA0A67">
        <w:rPr>
          <w:rFonts w:ascii="Arial" w:eastAsia="Calibri" w:hAnsi="Arial" w:cs="Arial"/>
          <w:sz w:val="22"/>
          <w:lang w:val="es-ES_tradnl"/>
        </w:rPr>
        <w:t xml:space="preserve">Es preciso señalar </w:t>
      </w:r>
      <w:r w:rsidR="00406126">
        <w:rPr>
          <w:rFonts w:ascii="Arial" w:eastAsia="Calibri" w:hAnsi="Arial" w:cs="Arial"/>
          <w:sz w:val="22"/>
          <w:lang w:val="es-ES_tradnl"/>
        </w:rPr>
        <w:t xml:space="preserve">que la Corte Constitucional </w:t>
      </w:r>
      <w:r w:rsidR="00812A39">
        <w:rPr>
          <w:rFonts w:ascii="Arial" w:eastAsia="Calibri" w:hAnsi="Arial" w:cs="Arial"/>
          <w:sz w:val="22"/>
          <w:lang w:val="es-ES_tradnl"/>
        </w:rPr>
        <w:t xml:space="preserve">si bien declaró la </w:t>
      </w:r>
      <w:proofErr w:type="spellStart"/>
      <w:r w:rsidR="00812A39">
        <w:rPr>
          <w:rFonts w:ascii="Arial" w:eastAsia="Calibri" w:hAnsi="Arial" w:cs="Arial"/>
          <w:sz w:val="22"/>
          <w:lang w:val="es-ES_tradnl"/>
        </w:rPr>
        <w:t>inexequibilid</w:t>
      </w:r>
      <w:r w:rsidR="003D6C3D">
        <w:rPr>
          <w:rFonts w:ascii="Arial" w:eastAsia="Calibri" w:hAnsi="Arial" w:cs="Arial"/>
          <w:sz w:val="22"/>
          <w:lang w:val="es-ES_tradnl"/>
        </w:rPr>
        <w:t>ad</w:t>
      </w:r>
      <w:proofErr w:type="spellEnd"/>
      <w:r w:rsidR="003D6C3D">
        <w:rPr>
          <w:rFonts w:ascii="Arial" w:eastAsia="Calibri" w:hAnsi="Arial" w:cs="Arial"/>
          <w:sz w:val="22"/>
          <w:lang w:val="es-ES_tradnl"/>
        </w:rPr>
        <w:t xml:space="preserve"> del </w:t>
      </w:r>
      <w:r w:rsidR="00D94826">
        <w:rPr>
          <w:rFonts w:ascii="Arial" w:eastAsia="Calibri" w:hAnsi="Arial" w:cs="Arial"/>
          <w:sz w:val="22"/>
          <w:lang w:val="es-ES_tradnl"/>
        </w:rPr>
        <w:t>parentesco de afinidad ilegítima,</w:t>
      </w:r>
      <w:r w:rsidR="003D6C3D">
        <w:rPr>
          <w:rFonts w:ascii="Arial" w:eastAsia="Calibri" w:hAnsi="Arial" w:cs="Arial"/>
          <w:sz w:val="22"/>
          <w:lang w:val="es-ES_tradnl"/>
        </w:rPr>
        <w:t xml:space="preserve"> reconoció </w:t>
      </w:r>
      <w:r w:rsidR="009155D9">
        <w:rPr>
          <w:rFonts w:ascii="Arial" w:eastAsia="Calibri" w:hAnsi="Arial" w:cs="Arial"/>
          <w:sz w:val="22"/>
          <w:lang w:val="es-ES_tradnl"/>
        </w:rPr>
        <w:t>la vigencia de la denominada afinidad extramatrimonial</w:t>
      </w:r>
      <w:r w:rsidR="00530297">
        <w:rPr>
          <w:rFonts w:ascii="Arial" w:eastAsia="Calibri" w:hAnsi="Arial" w:cs="Arial"/>
          <w:sz w:val="22"/>
          <w:lang w:val="es-ES_tradnl"/>
        </w:rPr>
        <w:t>.</w:t>
      </w:r>
      <w:r w:rsidR="00A24722">
        <w:rPr>
          <w:rFonts w:ascii="Arial" w:eastAsia="Calibri" w:hAnsi="Arial" w:cs="Arial"/>
          <w:sz w:val="22"/>
          <w:lang w:val="es-ES_tradnl"/>
        </w:rPr>
        <w:t xml:space="preserve"> </w:t>
      </w:r>
      <w:r w:rsidR="00530297">
        <w:rPr>
          <w:rFonts w:ascii="Arial" w:eastAsia="Calibri" w:hAnsi="Arial" w:cs="Arial"/>
          <w:sz w:val="22"/>
          <w:lang w:val="es-ES_tradnl"/>
        </w:rPr>
        <w:t>Para estos</w:t>
      </w:r>
      <w:r w:rsidR="009F615B">
        <w:rPr>
          <w:rFonts w:ascii="Arial" w:eastAsia="Calibri" w:hAnsi="Arial" w:cs="Arial"/>
          <w:sz w:val="22"/>
          <w:lang w:val="es-ES_tradnl"/>
        </w:rPr>
        <w:t xml:space="preserve"> efecto</w:t>
      </w:r>
      <w:r w:rsidR="001D1958">
        <w:rPr>
          <w:rFonts w:ascii="Arial" w:eastAsia="Calibri" w:hAnsi="Arial" w:cs="Arial"/>
          <w:sz w:val="22"/>
          <w:lang w:val="es-ES_tradnl"/>
        </w:rPr>
        <w:t>s</w:t>
      </w:r>
      <w:r w:rsidR="009F615B">
        <w:rPr>
          <w:rFonts w:ascii="Arial" w:eastAsia="Calibri" w:hAnsi="Arial" w:cs="Arial"/>
          <w:sz w:val="22"/>
          <w:lang w:val="es-ES_tradnl"/>
        </w:rPr>
        <w:t>,</w:t>
      </w:r>
      <w:r w:rsidR="00D94826">
        <w:rPr>
          <w:rFonts w:ascii="Arial" w:eastAsia="Calibri" w:hAnsi="Arial" w:cs="Arial"/>
          <w:sz w:val="22"/>
          <w:lang w:val="es-ES_tradnl"/>
        </w:rPr>
        <w:t xml:space="preserve"> sostuvo:</w:t>
      </w:r>
    </w:p>
    <w:p w14:paraId="64C02D65" w14:textId="4AAFA64E" w:rsidR="00D94826" w:rsidRDefault="00D94826" w:rsidP="003E5B4E">
      <w:pPr>
        <w:ind w:firstLine="709"/>
        <w:jc w:val="both"/>
        <w:rPr>
          <w:rFonts w:ascii="Arial" w:eastAsia="Calibri" w:hAnsi="Arial" w:cs="Arial"/>
          <w:sz w:val="22"/>
          <w:lang w:val="es-ES_tradnl"/>
        </w:rPr>
      </w:pPr>
    </w:p>
    <w:p w14:paraId="24E5FF19" w14:textId="0EC77036" w:rsidR="003E5B4E" w:rsidRPr="003E5B4E" w:rsidRDefault="000922B9">
      <w:pPr>
        <w:ind w:left="709" w:right="709"/>
        <w:jc w:val="both"/>
        <w:rPr>
          <w:rFonts w:ascii="Arial" w:eastAsia="Calibri" w:hAnsi="Arial" w:cs="Arial"/>
          <w:sz w:val="21"/>
          <w:szCs w:val="21"/>
          <w:lang w:val="es-ES_tradnl"/>
        </w:rPr>
      </w:pPr>
      <w:r w:rsidRPr="003E5B4E">
        <w:rPr>
          <w:rFonts w:ascii="Arial" w:eastAsia="Calibri" w:hAnsi="Arial" w:cs="Arial"/>
          <w:sz w:val="21"/>
          <w:szCs w:val="21"/>
          <w:lang w:val="es-ES_tradnl"/>
        </w:rPr>
        <w:t xml:space="preserve">En primer lugar, si el inciso primero del artículo 42 de la Constitución reconoce, en un pie de igualdad, la familia </w:t>
      </w:r>
      <w:r w:rsidR="00A4113A" w:rsidRPr="003E5B4E">
        <w:rPr>
          <w:rFonts w:ascii="Arial" w:eastAsia="Calibri" w:hAnsi="Arial" w:cs="Arial"/>
          <w:sz w:val="21"/>
          <w:szCs w:val="21"/>
          <w:lang w:val="es-ES_tradnl"/>
        </w:rPr>
        <w:t>constituida</w:t>
      </w:r>
      <w:r w:rsidRPr="003E5B4E">
        <w:rPr>
          <w:rFonts w:ascii="Arial" w:eastAsia="Calibri" w:hAnsi="Arial" w:cs="Arial"/>
          <w:sz w:val="21"/>
          <w:szCs w:val="21"/>
          <w:lang w:val="es-ES_tradnl"/>
        </w:rPr>
        <w:t xml:space="preserve"> por vínculos "naturales o jurídicos", no se ve cómo la inexistencia del matrimonio origine una "consanguinidad ilegítima", entendiéndose ésta como ilícita.</w:t>
      </w:r>
    </w:p>
    <w:p w14:paraId="7CB6D712" w14:textId="09872EE3" w:rsidR="000922B9" w:rsidRPr="003E5B4E" w:rsidRDefault="003E5B4E" w:rsidP="00A84DE8">
      <w:pPr>
        <w:spacing w:before="120" w:after="120"/>
        <w:ind w:left="709" w:right="709"/>
        <w:jc w:val="both"/>
        <w:rPr>
          <w:rFonts w:ascii="Arial" w:eastAsia="Calibri" w:hAnsi="Arial" w:cs="Arial"/>
          <w:sz w:val="21"/>
          <w:szCs w:val="21"/>
          <w:lang w:val="es-ES_tradnl"/>
        </w:rPr>
      </w:pPr>
      <w:r w:rsidRPr="003E5B4E">
        <w:rPr>
          <w:rFonts w:ascii="Arial" w:eastAsia="Calibri" w:hAnsi="Arial" w:cs="Arial"/>
          <w:sz w:val="21"/>
          <w:szCs w:val="21"/>
          <w:lang w:val="es-ES_tradnl"/>
        </w:rPr>
        <w:t>[…]</w:t>
      </w:r>
    </w:p>
    <w:p w14:paraId="1947BB56" w14:textId="766A72E5" w:rsidR="00710819" w:rsidRDefault="000922B9" w:rsidP="003E5B4E">
      <w:pPr>
        <w:ind w:left="709" w:right="709"/>
        <w:jc w:val="both"/>
        <w:rPr>
          <w:rFonts w:ascii="Arial" w:eastAsia="Calibri" w:hAnsi="Arial" w:cs="Arial"/>
          <w:sz w:val="22"/>
          <w:lang w:val="es-ES_tradnl"/>
        </w:rPr>
      </w:pPr>
      <w:r w:rsidRPr="003E5B4E">
        <w:rPr>
          <w:rFonts w:ascii="Arial" w:eastAsia="Calibri" w:hAnsi="Arial" w:cs="Arial"/>
          <w:sz w:val="21"/>
          <w:szCs w:val="21"/>
          <w:lang w:val="es-ES_tradnl"/>
        </w:rPr>
        <w:lastRenderedPageBreak/>
        <w:t xml:space="preserve">Expresamente se advierte que la declaración de </w:t>
      </w:r>
      <w:proofErr w:type="spellStart"/>
      <w:r w:rsidRPr="003E5B4E">
        <w:rPr>
          <w:rFonts w:ascii="Arial" w:eastAsia="Calibri" w:hAnsi="Arial" w:cs="Arial"/>
          <w:sz w:val="21"/>
          <w:szCs w:val="21"/>
          <w:lang w:val="es-ES_tradnl"/>
        </w:rPr>
        <w:t>inexequibilidad</w:t>
      </w:r>
      <w:proofErr w:type="spellEnd"/>
      <w:r w:rsidRPr="003E5B4E">
        <w:rPr>
          <w:rFonts w:ascii="Arial" w:eastAsia="Calibri" w:hAnsi="Arial" w:cs="Arial"/>
          <w:sz w:val="21"/>
          <w:szCs w:val="21"/>
          <w:lang w:val="es-ES_tradnl"/>
        </w:rPr>
        <w:t xml:space="preserve"> de los artículos 39 y 48 no implica la desaparición de la afinidad extramatrimonial, es decir, la originada en la unión permanente a que se refieren los artículos 126 y 179 de la Constitución, entre otros. Para todos los efectos legales, la afinidad extramatrimonial sigue existiendo</w:t>
      </w:r>
      <w:r w:rsidR="00BE66F4">
        <w:rPr>
          <w:rStyle w:val="Refdenotaalpie"/>
          <w:rFonts w:ascii="Arial" w:eastAsia="Calibri" w:hAnsi="Arial" w:cs="Arial"/>
          <w:sz w:val="21"/>
          <w:szCs w:val="21"/>
          <w:lang w:val="es-ES_tradnl"/>
        </w:rPr>
        <w:footnoteReference w:id="28"/>
      </w:r>
      <w:r w:rsidRPr="003E5B4E">
        <w:rPr>
          <w:rFonts w:ascii="Arial" w:eastAsia="Calibri" w:hAnsi="Arial" w:cs="Arial"/>
          <w:sz w:val="21"/>
          <w:szCs w:val="21"/>
          <w:lang w:val="es-ES_tradnl"/>
        </w:rPr>
        <w:t>.</w:t>
      </w:r>
    </w:p>
    <w:p w14:paraId="1645BE3E" w14:textId="77777777" w:rsidR="006E7690" w:rsidRDefault="006E7690" w:rsidP="000A0AD3">
      <w:pPr>
        <w:ind w:firstLine="709"/>
        <w:jc w:val="both"/>
        <w:rPr>
          <w:rFonts w:ascii="Arial" w:eastAsia="Calibri" w:hAnsi="Arial" w:cs="Arial"/>
          <w:sz w:val="22"/>
          <w:lang w:val="es-ES_tradnl"/>
        </w:rPr>
      </w:pPr>
    </w:p>
    <w:p w14:paraId="54722C87" w14:textId="174ED192" w:rsidR="000A0AD3" w:rsidRDefault="005216FC" w:rsidP="006F7708">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En cuanto a los grados del parentesco se refiere, </w:t>
      </w:r>
      <w:r w:rsidR="009429EB">
        <w:rPr>
          <w:rFonts w:ascii="Arial" w:eastAsia="Calibri" w:hAnsi="Arial" w:cs="Arial"/>
          <w:sz w:val="22"/>
          <w:lang w:val="es-ES_tradnl"/>
        </w:rPr>
        <w:t>ya sea de consanguinidad o de afinidad</w:t>
      </w:r>
      <w:r w:rsidR="00B95BF2">
        <w:rPr>
          <w:rStyle w:val="Refdenotaalpie"/>
          <w:rFonts w:ascii="Arial" w:eastAsia="Calibri" w:hAnsi="Arial" w:cs="Arial"/>
          <w:sz w:val="22"/>
          <w:lang w:val="es-ES_tradnl"/>
        </w:rPr>
        <w:footnoteReference w:id="29"/>
      </w:r>
      <w:r w:rsidR="009429EB">
        <w:rPr>
          <w:rFonts w:ascii="Arial" w:eastAsia="Calibri" w:hAnsi="Arial" w:cs="Arial"/>
          <w:sz w:val="22"/>
          <w:lang w:val="es-ES_tradnl"/>
        </w:rPr>
        <w:t xml:space="preserve">, </w:t>
      </w:r>
      <w:r w:rsidR="00F27014">
        <w:rPr>
          <w:rFonts w:ascii="Arial" w:eastAsia="Calibri" w:hAnsi="Arial" w:cs="Arial"/>
          <w:sz w:val="22"/>
          <w:lang w:val="es-ES_tradnl"/>
        </w:rPr>
        <w:t xml:space="preserve">estos se cuentan en consideración al número de generaciones </w:t>
      </w:r>
      <w:r w:rsidR="007E768B">
        <w:rPr>
          <w:rFonts w:ascii="Arial" w:eastAsia="Calibri" w:hAnsi="Arial" w:cs="Arial"/>
          <w:sz w:val="22"/>
          <w:lang w:val="es-ES_tradnl"/>
        </w:rPr>
        <w:t>existentes entre las personas.</w:t>
      </w:r>
      <w:r w:rsidR="00872B28">
        <w:rPr>
          <w:rFonts w:ascii="Arial" w:eastAsia="Calibri" w:hAnsi="Arial" w:cs="Arial"/>
          <w:sz w:val="22"/>
          <w:lang w:val="es-ES_tradnl"/>
        </w:rPr>
        <w:t xml:space="preserve"> </w:t>
      </w:r>
      <w:r w:rsidR="00242BBC" w:rsidRPr="00242BBC">
        <w:rPr>
          <w:rFonts w:ascii="Arial" w:eastAsia="Calibri" w:hAnsi="Arial" w:cs="Arial"/>
          <w:sz w:val="22"/>
          <w:lang w:val="es-ES_tradnl"/>
        </w:rPr>
        <w:t>De esta manera, esta causal de inhabilidad se configura, por ejemplo, respecto de los</w:t>
      </w:r>
      <w:r w:rsidR="00F4667B">
        <w:rPr>
          <w:rFonts w:ascii="Arial" w:eastAsia="Calibri" w:hAnsi="Arial" w:cs="Arial"/>
          <w:sz w:val="22"/>
          <w:lang w:val="es-ES_tradnl"/>
        </w:rPr>
        <w:t xml:space="preserve"> hermanos</w:t>
      </w:r>
      <w:r w:rsidR="00242BBC" w:rsidRPr="00242BBC">
        <w:rPr>
          <w:rFonts w:ascii="Arial" w:eastAsia="Calibri" w:hAnsi="Arial" w:cs="Arial"/>
          <w:sz w:val="22"/>
          <w:lang w:val="es-ES_tradnl"/>
        </w:rPr>
        <w:t xml:space="preserve">, </w:t>
      </w:r>
      <w:r w:rsidR="00F4667B">
        <w:rPr>
          <w:rFonts w:ascii="Arial" w:eastAsia="Calibri" w:hAnsi="Arial" w:cs="Arial"/>
          <w:sz w:val="22"/>
          <w:lang w:val="es-ES_tradnl"/>
        </w:rPr>
        <w:t>abuelos</w:t>
      </w:r>
      <w:r w:rsidR="00242BBC" w:rsidRPr="00242BBC">
        <w:rPr>
          <w:rFonts w:ascii="Arial" w:eastAsia="Calibri" w:hAnsi="Arial" w:cs="Arial"/>
          <w:sz w:val="22"/>
          <w:lang w:val="es-ES_tradnl"/>
        </w:rPr>
        <w:t xml:space="preserve"> y </w:t>
      </w:r>
      <w:r w:rsidR="00F4667B">
        <w:rPr>
          <w:rFonts w:ascii="Arial" w:eastAsia="Calibri" w:hAnsi="Arial" w:cs="Arial"/>
          <w:sz w:val="22"/>
          <w:lang w:val="es-ES_tradnl"/>
        </w:rPr>
        <w:t>nietos</w:t>
      </w:r>
      <w:r w:rsidR="00242BBC" w:rsidRPr="00242BBC">
        <w:rPr>
          <w:rFonts w:ascii="Arial" w:eastAsia="Calibri" w:hAnsi="Arial" w:cs="Arial"/>
          <w:sz w:val="22"/>
          <w:lang w:val="es-ES_tradnl"/>
        </w:rPr>
        <w:t xml:space="preserve">, quienes se encuentran en el segundo grado de consanguinidad. </w:t>
      </w:r>
      <w:r w:rsidR="00A07718">
        <w:rPr>
          <w:rFonts w:ascii="Arial" w:eastAsia="Calibri" w:hAnsi="Arial" w:cs="Arial"/>
          <w:sz w:val="22"/>
          <w:lang w:val="es-ES_tradnl"/>
        </w:rPr>
        <w:t>Mientras que</w:t>
      </w:r>
      <w:r w:rsidR="00242BBC" w:rsidRPr="00242BBC">
        <w:rPr>
          <w:rFonts w:ascii="Arial" w:eastAsia="Calibri" w:hAnsi="Arial" w:cs="Arial"/>
          <w:sz w:val="22"/>
          <w:lang w:val="es-ES_tradnl"/>
        </w:rPr>
        <w:t>, en segundo grado de afinidad están los hermanos (cuñados)</w:t>
      </w:r>
      <w:r w:rsidR="00B839CF">
        <w:rPr>
          <w:rFonts w:ascii="Arial" w:eastAsia="Calibri" w:hAnsi="Arial" w:cs="Arial"/>
          <w:sz w:val="22"/>
          <w:lang w:val="es-ES_tradnl"/>
        </w:rPr>
        <w:t>, abuelos</w:t>
      </w:r>
      <w:r w:rsidR="00242BBC" w:rsidRPr="00242BBC">
        <w:rPr>
          <w:rFonts w:ascii="Arial" w:eastAsia="Calibri" w:hAnsi="Arial" w:cs="Arial"/>
          <w:sz w:val="22"/>
          <w:lang w:val="es-ES_tradnl"/>
        </w:rPr>
        <w:t xml:space="preserve"> y nietos del cónyuge o compañero(</w:t>
      </w:r>
      <w:r w:rsidR="00A07718">
        <w:rPr>
          <w:rFonts w:ascii="Arial" w:eastAsia="Calibri" w:hAnsi="Arial" w:cs="Arial"/>
          <w:sz w:val="22"/>
          <w:lang w:val="es-ES_tradnl"/>
        </w:rPr>
        <w:t>a)</w:t>
      </w:r>
      <w:r w:rsidR="00242BBC" w:rsidRPr="00242BBC">
        <w:rPr>
          <w:rFonts w:ascii="Arial" w:eastAsia="Calibri" w:hAnsi="Arial" w:cs="Arial"/>
          <w:sz w:val="22"/>
          <w:lang w:val="es-ES_tradnl"/>
        </w:rPr>
        <w:t xml:space="preserve"> permanente.</w:t>
      </w:r>
    </w:p>
    <w:p w14:paraId="25F0D6A2" w14:textId="6491317C" w:rsidR="00444470" w:rsidRDefault="00424B07" w:rsidP="006F7708">
      <w:pPr>
        <w:pStyle w:val="margender0punto5"/>
        <w:spacing w:before="120" w:beforeAutospacing="0" w:after="0" w:afterAutospacing="0" w:line="276" w:lineRule="auto"/>
        <w:ind w:firstLine="709"/>
        <w:jc w:val="both"/>
        <w:rPr>
          <w:rFonts w:ascii="Arial" w:eastAsia="Calibri" w:hAnsi="Arial" w:cs="Arial"/>
          <w:sz w:val="22"/>
          <w:lang w:val="es-ES_tradnl"/>
        </w:rPr>
      </w:pPr>
      <w:r>
        <w:rPr>
          <w:rFonts w:ascii="Arial" w:eastAsia="Calibri" w:hAnsi="Arial" w:cs="Arial"/>
          <w:sz w:val="22"/>
          <w:lang w:val="es-ES_tradnl"/>
        </w:rPr>
        <w:t>L</w:t>
      </w:r>
      <w:r w:rsidR="00FA5A5D">
        <w:rPr>
          <w:rFonts w:ascii="Arial" w:eastAsia="Calibri" w:hAnsi="Arial" w:cs="Arial"/>
          <w:sz w:val="22"/>
          <w:lang w:val="es-ES_tradnl"/>
        </w:rPr>
        <w:t>a Corte Constitucional</w:t>
      </w:r>
      <w:r>
        <w:rPr>
          <w:rFonts w:ascii="Arial" w:eastAsia="Calibri" w:hAnsi="Arial" w:cs="Arial"/>
          <w:sz w:val="22"/>
          <w:lang w:val="es-ES_tradnl"/>
        </w:rPr>
        <w:t xml:space="preserve"> justi</w:t>
      </w:r>
      <w:r w:rsidR="0046194F">
        <w:rPr>
          <w:rFonts w:ascii="Arial" w:eastAsia="Calibri" w:hAnsi="Arial" w:cs="Arial"/>
          <w:sz w:val="22"/>
          <w:lang w:val="es-ES_tradnl"/>
        </w:rPr>
        <w:t>fi</w:t>
      </w:r>
      <w:r>
        <w:rPr>
          <w:rFonts w:ascii="Arial" w:eastAsia="Calibri" w:hAnsi="Arial" w:cs="Arial"/>
          <w:sz w:val="22"/>
          <w:lang w:val="es-ES_tradnl"/>
        </w:rPr>
        <w:t>ca</w:t>
      </w:r>
      <w:r w:rsidR="00DC4770">
        <w:rPr>
          <w:rFonts w:ascii="Arial" w:eastAsia="Calibri" w:hAnsi="Arial" w:cs="Arial"/>
          <w:sz w:val="22"/>
          <w:lang w:val="es-ES_tradnl"/>
        </w:rPr>
        <w:t xml:space="preserve"> está inhabilidad en la medida</w:t>
      </w:r>
      <w:r w:rsidR="004137B4">
        <w:rPr>
          <w:rFonts w:ascii="Arial" w:eastAsia="Calibri" w:hAnsi="Arial" w:cs="Arial"/>
          <w:sz w:val="22"/>
          <w:lang w:val="es-ES_tradnl"/>
        </w:rPr>
        <w:t xml:space="preserve"> que garantiza </w:t>
      </w:r>
      <w:r w:rsidR="004B086A">
        <w:rPr>
          <w:rFonts w:ascii="Arial" w:eastAsia="Calibri" w:hAnsi="Arial" w:cs="Arial"/>
          <w:sz w:val="22"/>
          <w:lang w:val="es-ES_tradnl"/>
        </w:rPr>
        <w:t>la competencia en igualdad de oportunidades para los pr</w:t>
      </w:r>
      <w:r w:rsidR="00A809E3">
        <w:rPr>
          <w:rFonts w:ascii="Arial" w:eastAsia="Calibri" w:hAnsi="Arial" w:cs="Arial"/>
          <w:sz w:val="22"/>
          <w:lang w:val="es-ES_tradnl"/>
        </w:rPr>
        <w:t>oponentes</w:t>
      </w:r>
      <w:r w:rsidR="00BA589F" w:rsidRPr="00BA589F">
        <w:rPr>
          <w:rFonts w:ascii="Arial" w:eastAsia="Calibri" w:hAnsi="Arial" w:cs="Arial"/>
          <w:sz w:val="22"/>
          <w:lang w:val="es-ES_tradnl"/>
        </w:rPr>
        <w:t xml:space="preserve"> </w:t>
      </w:r>
      <w:r w:rsidR="002F6746">
        <w:rPr>
          <w:rFonts w:ascii="Arial" w:eastAsia="Calibri" w:hAnsi="Arial" w:cs="Arial"/>
          <w:sz w:val="22"/>
          <w:lang w:val="es-ES_tradnl"/>
        </w:rPr>
        <w:t>que participan en</w:t>
      </w:r>
      <w:r w:rsidR="00BA589F">
        <w:rPr>
          <w:rFonts w:ascii="Arial" w:eastAsia="Calibri" w:hAnsi="Arial" w:cs="Arial"/>
          <w:sz w:val="22"/>
          <w:lang w:val="es-ES_tradnl"/>
        </w:rPr>
        <w:t xml:space="preserve"> los procesos de contratación</w:t>
      </w:r>
      <w:r w:rsidR="00A809E3">
        <w:rPr>
          <w:rFonts w:ascii="Arial" w:eastAsia="Calibri" w:hAnsi="Arial" w:cs="Arial"/>
          <w:sz w:val="22"/>
          <w:lang w:val="es-ES_tradnl"/>
        </w:rPr>
        <w:t xml:space="preserve">, así como </w:t>
      </w:r>
      <w:r w:rsidR="00651616">
        <w:rPr>
          <w:rFonts w:ascii="Arial" w:eastAsia="Calibri" w:hAnsi="Arial" w:cs="Arial"/>
          <w:sz w:val="22"/>
          <w:lang w:val="es-ES_tradnl"/>
        </w:rPr>
        <w:t>la selección objetiva del contratista que se traduce en la obtención de</w:t>
      </w:r>
      <w:r w:rsidR="00444470">
        <w:rPr>
          <w:rFonts w:ascii="Arial" w:eastAsia="Calibri" w:hAnsi="Arial" w:cs="Arial"/>
          <w:sz w:val="22"/>
          <w:lang w:val="es-ES_tradnl"/>
        </w:rPr>
        <w:t xml:space="preserve"> mejores condiciones en la celebración del negocio jurídico propuesto por la entidad estatal contratante</w:t>
      </w:r>
      <w:r w:rsidR="002F6746">
        <w:rPr>
          <w:rFonts w:ascii="Arial" w:eastAsia="Calibri" w:hAnsi="Arial" w:cs="Arial"/>
          <w:sz w:val="22"/>
          <w:lang w:val="es-ES_tradnl"/>
        </w:rPr>
        <w:t>,</w:t>
      </w:r>
      <w:r>
        <w:rPr>
          <w:rFonts w:ascii="Arial" w:eastAsia="Calibri" w:hAnsi="Arial" w:cs="Arial"/>
          <w:sz w:val="22"/>
          <w:lang w:val="es-ES_tradnl"/>
        </w:rPr>
        <w:t xml:space="preserve"> </w:t>
      </w:r>
      <w:r w:rsidR="00CE5C1C">
        <w:rPr>
          <w:rFonts w:ascii="Arial" w:eastAsia="Calibri" w:hAnsi="Arial" w:cs="Arial"/>
          <w:sz w:val="22"/>
          <w:lang w:val="es-ES_tradnl"/>
        </w:rPr>
        <w:t xml:space="preserve">materializándose </w:t>
      </w:r>
      <w:r w:rsidR="00345949">
        <w:rPr>
          <w:rFonts w:ascii="Arial" w:eastAsia="Calibri" w:hAnsi="Arial" w:cs="Arial"/>
          <w:sz w:val="22"/>
          <w:lang w:val="es-ES_tradnl"/>
        </w:rPr>
        <w:t>los fines</w:t>
      </w:r>
      <w:r w:rsidR="008A4DD4">
        <w:rPr>
          <w:rFonts w:ascii="Arial" w:eastAsia="Calibri" w:hAnsi="Arial" w:cs="Arial"/>
          <w:sz w:val="22"/>
          <w:lang w:val="es-ES_tradnl"/>
        </w:rPr>
        <w:t xml:space="preserve"> de</w:t>
      </w:r>
      <w:r w:rsidR="00345949">
        <w:rPr>
          <w:rFonts w:ascii="Arial" w:eastAsia="Calibri" w:hAnsi="Arial" w:cs="Arial"/>
          <w:sz w:val="22"/>
          <w:lang w:val="es-ES_tradnl"/>
        </w:rPr>
        <w:t xml:space="preserve"> la contratación estatal, especialmente, la satisfacción del interés general</w:t>
      </w:r>
      <w:r w:rsidR="00A1517B">
        <w:rPr>
          <w:rFonts w:ascii="Arial" w:eastAsia="Calibri" w:hAnsi="Arial" w:cs="Arial"/>
          <w:sz w:val="22"/>
          <w:lang w:val="es-ES_tradnl"/>
        </w:rPr>
        <w:t>.</w:t>
      </w:r>
      <w:r w:rsidR="004E6274">
        <w:rPr>
          <w:rFonts w:ascii="Arial" w:eastAsia="Calibri" w:hAnsi="Arial" w:cs="Arial"/>
          <w:sz w:val="22"/>
          <w:lang w:val="es-ES_tradnl"/>
        </w:rPr>
        <w:t xml:space="preserve"> </w:t>
      </w:r>
      <w:r w:rsidR="00A1517B">
        <w:rPr>
          <w:rFonts w:ascii="Arial" w:eastAsia="Calibri" w:hAnsi="Arial" w:cs="Arial"/>
          <w:i/>
          <w:iCs/>
          <w:sz w:val="22"/>
          <w:lang w:val="es-ES_tradnl"/>
        </w:rPr>
        <w:t>Contrario sensu</w:t>
      </w:r>
      <w:r w:rsidR="001E4953">
        <w:rPr>
          <w:rFonts w:ascii="Arial" w:eastAsia="Calibri" w:hAnsi="Arial" w:cs="Arial"/>
          <w:sz w:val="22"/>
          <w:lang w:val="es-ES_tradnl"/>
        </w:rPr>
        <w:t>,</w:t>
      </w:r>
      <w:r w:rsidR="00575DE2">
        <w:rPr>
          <w:rFonts w:ascii="Arial" w:eastAsia="Calibri" w:hAnsi="Arial" w:cs="Arial"/>
          <w:sz w:val="22"/>
          <w:lang w:val="es-ES_tradnl"/>
        </w:rPr>
        <w:t xml:space="preserve"> </w:t>
      </w:r>
      <w:r w:rsidR="00E16840">
        <w:rPr>
          <w:rFonts w:ascii="Arial" w:eastAsia="Calibri" w:hAnsi="Arial" w:cs="Arial"/>
          <w:sz w:val="22"/>
          <w:lang w:val="es-ES_tradnl"/>
        </w:rPr>
        <w:t xml:space="preserve">en virtud de la lealtad e intimidad </w:t>
      </w:r>
      <w:r w:rsidR="002F6746">
        <w:rPr>
          <w:rFonts w:ascii="Arial" w:eastAsia="Calibri" w:hAnsi="Arial" w:cs="Arial"/>
          <w:sz w:val="22"/>
          <w:lang w:val="es-ES_tradnl"/>
        </w:rPr>
        <w:t>propias de</w:t>
      </w:r>
      <w:r w:rsidR="00E16840">
        <w:rPr>
          <w:rFonts w:ascii="Arial" w:eastAsia="Calibri" w:hAnsi="Arial" w:cs="Arial"/>
          <w:sz w:val="22"/>
          <w:lang w:val="es-ES_tradnl"/>
        </w:rPr>
        <w:t xml:space="preserve"> las relaciones familiares</w:t>
      </w:r>
      <w:r w:rsidR="003570B5">
        <w:rPr>
          <w:rFonts w:ascii="Arial" w:eastAsia="Calibri" w:hAnsi="Arial" w:cs="Arial"/>
          <w:sz w:val="22"/>
          <w:lang w:val="es-ES_tradnl"/>
        </w:rPr>
        <w:t>,</w:t>
      </w:r>
      <w:r w:rsidR="00EA4C0A">
        <w:rPr>
          <w:rFonts w:ascii="Arial" w:eastAsia="Calibri" w:hAnsi="Arial" w:cs="Arial"/>
          <w:sz w:val="22"/>
          <w:lang w:val="es-ES_tradnl"/>
        </w:rPr>
        <w:t xml:space="preserve"> la</w:t>
      </w:r>
      <w:r w:rsidR="00C15730">
        <w:rPr>
          <w:rFonts w:ascii="Arial" w:eastAsia="Calibri" w:hAnsi="Arial" w:cs="Arial"/>
          <w:sz w:val="22"/>
          <w:lang w:val="es-ES_tradnl"/>
        </w:rPr>
        <w:t xml:space="preserve"> participación en procesos de contratación </w:t>
      </w:r>
      <w:r w:rsidR="00FA4321">
        <w:rPr>
          <w:rFonts w:ascii="Arial" w:eastAsia="Calibri" w:hAnsi="Arial" w:cs="Arial"/>
          <w:sz w:val="22"/>
          <w:lang w:val="es-ES_tradnl"/>
        </w:rPr>
        <w:t>de personas unidas por vínculos familiares</w:t>
      </w:r>
      <w:r w:rsidR="000209BB">
        <w:rPr>
          <w:rFonts w:ascii="Arial" w:eastAsia="Calibri" w:hAnsi="Arial" w:cs="Arial"/>
          <w:sz w:val="22"/>
          <w:lang w:val="es-ES_tradnl"/>
        </w:rPr>
        <w:t xml:space="preserve"> frustran la igualdad de oportunidades entre </w:t>
      </w:r>
      <w:r w:rsidR="00025680">
        <w:rPr>
          <w:rFonts w:ascii="Arial" w:eastAsia="Calibri" w:hAnsi="Arial" w:cs="Arial"/>
          <w:sz w:val="22"/>
          <w:lang w:val="es-ES_tradnl"/>
        </w:rPr>
        <w:t>los</w:t>
      </w:r>
      <w:r w:rsidR="000209BB">
        <w:rPr>
          <w:rFonts w:ascii="Arial" w:eastAsia="Calibri" w:hAnsi="Arial" w:cs="Arial"/>
          <w:sz w:val="22"/>
          <w:lang w:val="es-ES_tradnl"/>
        </w:rPr>
        <w:t xml:space="preserve"> participantes</w:t>
      </w:r>
      <w:r w:rsidR="00025680">
        <w:rPr>
          <w:rFonts w:ascii="Arial" w:eastAsia="Calibri" w:hAnsi="Arial" w:cs="Arial"/>
          <w:sz w:val="22"/>
          <w:lang w:val="es-ES_tradnl"/>
        </w:rPr>
        <w:t>,</w:t>
      </w:r>
      <w:r w:rsidR="000209BB">
        <w:rPr>
          <w:rFonts w:ascii="Arial" w:eastAsia="Calibri" w:hAnsi="Arial" w:cs="Arial"/>
          <w:sz w:val="22"/>
          <w:lang w:val="es-ES_tradnl"/>
        </w:rPr>
        <w:t xml:space="preserve"> así com</w:t>
      </w:r>
      <w:r w:rsidR="00DA3DC1">
        <w:rPr>
          <w:rFonts w:ascii="Arial" w:eastAsia="Calibri" w:hAnsi="Arial" w:cs="Arial"/>
          <w:sz w:val="22"/>
          <w:lang w:val="es-ES_tradnl"/>
        </w:rPr>
        <w:t>o</w:t>
      </w:r>
      <w:r w:rsidR="00025680">
        <w:rPr>
          <w:rFonts w:ascii="Arial" w:eastAsia="Calibri" w:hAnsi="Arial" w:cs="Arial"/>
          <w:sz w:val="22"/>
          <w:lang w:val="es-ES_tradnl"/>
        </w:rPr>
        <w:t xml:space="preserve"> </w:t>
      </w:r>
      <w:r w:rsidR="00161E33">
        <w:rPr>
          <w:rFonts w:ascii="Arial" w:eastAsia="Calibri" w:hAnsi="Arial" w:cs="Arial"/>
          <w:sz w:val="22"/>
          <w:lang w:val="es-ES_tradnl"/>
        </w:rPr>
        <w:t>la obtención de mejores condiciones de contratación para el Estado</w:t>
      </w:r>
      <w:r w:rsidR="001D1958">
        <w:rPr>
          <w:rFonts w:ascii="Arial" w:eastAsia="Calibri" w:hAnsi="Arial" w:cs="Arial"/>
          <w:sz w:val="22"/>
          <w:lang w:val="es-ES_tradnl"/>
        </w:rPr>
        <w:t>,</w:t>
      </w:r>
      <w:r w:rsidR="00484410">
        <w:rPr>
          <w:rFonts w:ascii="Arial" w:eastAsia="Calibri" w:hAnsi="Arial" w:cs="Arial"/>
          <w:sz w:val="22"/>
          <w:lang w:val="es-ES_tradnl"/>
        </w:rPr>
        <w:t xml:space="preserve"> </w:t>
      </w:r>
      <w:r w:rsidR="00CA1467">
        <w:rPr>
          <w:rFonts w:ascii="Arial" w:eastAsia="Calibri" w:hAnsi="Arial" w:cs="Arial"/>
          <w:sz w:val="22"/>
          <w:lang w:val="es-ES_tradnl"/>
        </w:rPr>
        <w:t xml:space="preserve">pues los miembros de una misma </w:t>
      </w:r>
      <w:r w:rsidR="004E6274">
        <w:rPr>
          <w:rFonts w:ascii="Arial" w:eastAsia="Calibri" w:hAnsi="Arial" w:cs="Arial"/>
          <w:sz w:val="22"/>
          <w:lang w:val="es-ES_tradnl"/>
        </w:rPr>
        <w:t xml:space="preserve">familia </w:t>
      </w:r>
      <w:r w:rsidR="00374828">
        <w:rPr>
          <w:rFonts w:ascii="Arial" w:eastAsia="Calibri" w:hAnsi="Arial" w:cs="Arial"/>
          <w:sz w:val="22"/>
          <w:lang w:val="es-ES_tradnl"/>
        </w:rPr>
        <w:t>pueden concertar entre</w:t>
      </w:r>
      <w:r w:rsidR="003569E0">
        <w:rPr>
          <w:rFonts w:ascii="Arial" w:eastAsia="Calibri" w:hAnsi="Arial" w:cs="Arial"/>
          <w:sz w:val="22"/>
          <w:lang w:val="es-ES_tradnl"/>
        </w:rPr>
        <w:t xml:space="preserve"> sí con el propósito de hacerse al contrato</w:t>
      </w:r>
      <w:r w:rsidR="00E60E34">
        <w:rPr>
          <w:rFonts w:ascii="Arial" w:eastAsia="Calibri" w:hAnsi="Arial" w:cs="Arial"/>
          <w:sz w:val="22"/>
          <w:lang w:val="es-ES_tradnl"/>
        </w:rPr>
        <w:t xml:space="preserve"> </w:t>
      </w:r>
      <w:r w:rsidR="001D1958">
        <w:rPr>
          <w:rFonts w:ascii="Arial" w:eastAsia="Calibri" w:hAnsi="Arial" w:cs="Arial"/>
          <w:sz w:val="22"/>
          <w:lang w:val="es-ES_tradnl"/>
        </w:rPr>
        <w:t>y</w:t>
      </w:r>
      <w:r w:rsidR="00E60E34">
        <w:rPr>
          <w:rFonts w:ascii="Arial" w:eastAsia="Calibri" w:hAnsi="Arial" w:cs="Arial"/>
          <w:sz w:val="22"/>
          <w:lang w:val="es-ES_tradnl"/>
        </w:rPr>
        <w:t xml:space="preserve"> obtener un provecho económico</w:t>
      </w:r>
      <w:r w:rsidR="003569E0">
        <w:rPr>
          <w:rFonts w:ascii="Arial" w:eastAsia="Calibri" w:hAnsi="Arial" w:cs="Arial"/>
          <w:sz w:val="22"/>
          <w:lang w:val="es-ES_tradnl"/>
        </w:rPr>
        <w:t>,</w:t>
      </w:r>
      <w:r w:rsidR="00CA1467" w:rsidRPr="00CA1467">
        <w:rPr>
          <w:rFonts w:ascii="Arial" w:eastAsia="Calibri" w:hAnsi="Arial" w:cs="Arial"/>
          <w:sz w:val="22"/>
          <w:lang w:val="es-ES_tradnl"/>
        </w:rPr>
        <w:t xml:space="preserve"> en perjuici</w:t>
      </w:r>
      <w:r w:rsidR="000217B4">
        <w:rPr>
          <w:rFonts w:ascii="Arial" w:eastAsia="Calibri" w:hAnsi="Arial" w:cs="Arial"/>
          <w:sz w:val="22"/>
          <w:lang w:val="es-ES_tradnl"/>
        </w:rPr>
        <w:t>o</w:t>
      </w:r>
      <w:r w:rsidR="002F6746">
        <w:rPr>
          <w:rFonts w:ascii="Arial" w:eastAsia="Calibri" w:hAnsi="Arial" w:cs="Arial"/>
          <w:sz w:val="22"/>
          <w:lang w:val="es-ES_tradnl"/>
        </w:rPr>
        <w:t xml:space="preserve"> tanto</w:t>
      </w:r>
      <w:r w:rsidR="000217B4">
        <w:rPr>
          <w:rFonts w:ascii="Arial" w:eastAsia="Calibri" w:hAnsi="Arial" w:cs="Arial"/>
          <w:sz w:val="22"/>
          <w:lang w:val="es-ES_tradnl"/>
        </w:rPr>
        <w:t xml:space="preserve"> de los demás participantes </w:t>
      </w:r>
      <w:r w:rsidR="002F6746">
        <w:rPr>
          <w:rFonts w:ascii="Arial" w:eastAsia="Calibri" w:hAnsi="Arial" w:cs="Arial"/>
          <w:sz w:val="22"/>
          <w:lang w:val="es-ES_tradnl"/>
        </w:rPr>
        <w:t>como</w:t>
      </w:r>
      <w:r w:rsidR="00CA1467" w:rsidRPr="00CA1467">
        <w:rPr>
          <w:rFonts w:ascii="Arial" w:eastAsia="Calibri" w:hAnsi="Arial" w:cs="Arial"/>
          <w:sz w:val="22"/>
          <w:lang w:val="es-ES_tradnl"/>
        </w:rPr>
        <w:t xml:space="preserve"> del Estado</w:t>
      </w:r>
      <w:r w:rsidR="00DA42F0">
        <w:rPr>
          <w:rFonts w:ascii="Arial" w:eastAsia="Calibri" w:hAnsi="Arial" w:cs="Arial"/>
          <w:sz w:val="22"/>
          <w:lang w:val="es-ES_tradnl"/>
        </w:rPr>
        <w:t>,</w:t>
      </w:r>
      <w:r w:rsidR="00636CF1">
        <w:rPr>
          <w:rFonts w:ascii="Arial" w:eastAsia="Calibri" w:hAnsi="Arial" w:cs="Arial"/>
          <w:sz w:val="22"/>
          <w:lang w:val="es-ES_tradnl"/>
        </w:rPr>
        <w:t xml:space="preserve"> </w:t>
      </w:r>
      <w:r w:rsidR="002F6746">
        <w:rPr>
          <w:rFonts w:ascii="Arial" w:eastAsia="Calibri" w:hAnsi="Arial" w:cs="Arial"/>
          <w:sz w:val="22"/>
          <w:lang w:val="es-ES_tradnl"/>
        </w:rPr>
        <w:t>y</w:t>
      </w:r>
      <w:r w:rsidR="00636CF1">
        <w:rPr>
          <w:rFonts w:ascii="Arial" w:eastAsia="Calibri" w:hAnsi="Arial" w:cs="Arial"/>
          <w:sz w:val="22"/>
          <w:lang w:val="es-ES_tradnl"/>
        </w:rPr>
        <w:t xml:space="preserve"> </w:t>
      </w:r>
      <w:r w:rsidR="00DA42F0">
        <w:rPr>
          <w:rFonts w:ascii="Arial" w:eastAsia="Calibri" w:hAnsi="Arial" w:cs="Arial"/>
          <w:sz w:val="22"/>
          <w:lang w:val="es-ES_tradnl"/>
        </w:rPr>
        <w:t xml:space="preserve">en contravía de los principios que </w:t>
      </w:r>
      <w:r w:rsidR="00C97F7D">
        <w:rPr>
          <w:rFonts w:ascii="Arial" w:eastAsia="Calibri" w:hAnsi="Arial" w:cs="Arial"/>
          <w:sz w:val="22"/>
          <w:lang w:val="es-ES_tradnl"/>
        </w:rPr>
        <w:t>rigen la contratación pública y la función administrativa, especialmente, los de transparencia y moralidad</w:t>
      </w:r>
      <w:r w:rsidR="00636CF1">
        <w:rPr>
          <w:rFonts w:ascii="Arial" w:eastAsia="Calibri" w:hAnsi="Arial" w:cs="Arial"/>
          <w:sz w:val="22"/>
          <w:lang w:val="es-ES_tradnl"/>
        </w:rPr>
        <w:t>. Por esa</w:t>
      </w:r>
      <w:r w:rsidR="00C70015">
        <w:rPr>
          <w:rFonts w:ascii="Arial" w:eastAsia="Calibri" w:hAnsi="Arial" w:cs="Arial"/>
          <w:sz w:val="22"/>
          <w:lang w:val="es-ES_tradnl"/>
        </w:rPr>
        <w:t>s</w:t>
      </w:r>
      <w:r w:rsidR="00636CF1">
        <w:rPr>
          <w:rFonts w:ascii="Arial" w:eastAsia="Calibri" w:hAnsi="Arial" w:cs="Arial"/>
          <w:sz w:val="22"/>
          <w:lang w:val="es-ES_tradnl"/>
        </w:rPr>
        <w:t xml:space="preserve"> </w:t>
      </w:r>
      <w:r w:rsidR="00C70015">
        <w:rPr>
          <w:rFonts w:ascii="Arial" w:eastAsia="Calibri" w:hAnsi="Arial" w:cs="Arial"/>
          <w:sz w:val="22"/>
          <w:lang w:val="es-ES_tradnl"/>
        </w:rPr>
        <w:t>razones</w:t>
      </w:r>
      <w:r w:rsidR="002F6746">
        <w:rPr>
          <w:rFonts w:ascii="Arial" w:eastAsia="Calibri" w:hAnsi="Arial" w:cs="Arial"/>
          <w:sz w:val="22"/>
          <w:lang w:val="es-ES_tradnl"/>
        </w:rPr>
        <w:t>,</w:t>
      </w:r>
      <w:r w:rsidR="00C70015">
        <w:rPr>
          <w:rFonts w:ascii="Arial" w:eastAsia="Calibri" w:hAnsi="Arial" w:cs="Arial"/>
          <w:sz w:val="22"/>
          <w:lang w:val="es-ES_tradnl"/>
        </w:rPr>
        <w:t xml:space="preserve"> </w:t>
      </w:r>
      <w:r w:rsidR="002F6746">
        <w:rPr>
          <w:rFonts w:ascii="Arial" w:eastAsia="Calibri" w:hAnsi="Arial" w:cs="Arial"/>
          <w:sz w:val="22"/>
          <w:lang w:val="es-ES_tradnl"/>
        </w:rPr>
        <w:t>la jurisprudencia explica que</w:t>
      </w:r>
      <w:r w:rsidR="005137D4">
        <w:rPr>
          <w:rStyle w:val="Refdenotaalpie"/>
          <w:rFonts w:ascii="Arial" w:eastAsia="Calibri" w:hAnsi="Arial" w:cs="Arial"/>
          <w:sz w:val="22"/>
          <w:lang w:val="es-ES_tradnl"/>
        </w:rPr>
        <w:footnoteReference w:id="30"/>
      </w:r>
      <w:r w:rsidR="00C70015">
        <w:rPr>
          <w:rFonts w:ascii="Arial" w:eastAsia="Calibri" w:hAnsi="Arial" w:cs="Arial"/>
          <w:sz w:val="22"/>
          <w:lang w:val="es-ES_tradnl"/>
        </w:rPr>
        <w:t>:</w:t>
      </w:r>
    </w:p>
    <w:p w14:paraId="0EDA2313" w14:textId="77777777" w:rsidR="006F05B9" w:rsidRPr="00BF6C67" w:rsidRDefault="006F05B9" w:rsidP="006F7708">
      <w:pPr>
        <w:pStyle w:val="margender0punto5"/>
        <w:spacing w:before="0" w:beforeAutospacing="0" w:after="0" w:afterAutospacing="0"/>
        <w:ind w:left="709" w:right="709"/>
        <w:jc w:val="both"/>
        <w:rPr>
          <w:rStyle w:val="letra14pt"/>
          <w:rFonts w:ascii="Arial" w:hAnsi="Arial" w:cs="Arial"/>
          <w:sz w:val="22"/>
          <w:szCs w:val="22"/>
        </w:rPr>
      </w:pPr>
    </w:p>
    <w:p w14:paraId="156622A8" w14:textId="1A42C707" w:rsidR="002D2313" w:rsidRPr="006F05B9" w:rsidRDefault="002D2313" w:rsidP="006F05B9">
      <w:pPr>
        <w:pStyle w:val="margender0punto5"/>
        <w:spacing w:before="0" w:beforeAutospacing="0" w:after="0" w:afterAutospacing="0"/>
        <w:ind w:left="709" w:right="709"/>
        <w:jc w:val="both"/>
        <w:rPr>
          <w:rFonts w:ascii="Arial" w:hAnsi="Arial" w:cs="Arial"/>
          <w:sz w:val="21"/>
          <w:szCs w:val="21"/>
        </w:rPr>
      </w:pPr>
      <w:r w:rsidRPr="006F05B9">
        <w:rPr>
          <w:rStyle w:val="letra14pt"/>
          <w:rFonts w:ascii="Arial" w:hAnsi="Arial" w:cs="Arial"/>
          <w:sz w:val="21"/>
          <w:szCs w:val="21"/>
        </w:rPr>
        <w:t xml:space="preserve">Concluye la Corte que dado que los intereses de los miembros de una </w:t>
      </w:r>
      <w:proofErr w:type="gramStart"/>
      <w:r w:rsidRPr="006F05B9">
        <w:rPr>
          <w:rStyle w:val="letra14pt"/>
          <w:rFonts w:ascii="Arial" w:hAnsi="Arial" w:cs="Arial"/>
          <w:sz w:val="21"/>
          <w:szCs w:val="21"/>
        </w:rPr>
        <w:t>familia,</w:t>
      </w:r>
      <w:proofErr w:type="gramEnd"/>
      <w:r w:rsidRPr="006F05B9">
        <w:rPr>
          <w:rStyle w:val="letra14pt"/>
          <w:rFonts w:ascii="Arial" w:hAnsi="Arial" w:cs="Arial"/>
          <w:sz w:val="21"/>
          <w:szCs w:val="21"/>
        </w:rPr>
        <w:t xml:space="preserve"> tienen una alta probabilidad de incidir negativamente en la consecución de los objetivos que el Estado se traza al abrir una licitación o concurso, vale decir, obtener las mejores condiciones y promover al máximo la igualdad de acceso </w:t>
      </w:r>
      <w:r w:rsidRPr="006F05B9">
        <w:rPr>
          <w:rStyle w:val="letra14pt"/>
          <w:rFonts w:ascii="Arial" w:hAnsi="Arial" w:cs="Arial"/>
          <w:sz w:val="21"/>
          <w:szCs w:val="21"/>
        </w:rPr>
        <w:lastRenderedPageBreak/>
        <w:t>de los particulares, se justifica que en este caso, en razón del interés general, se dicte una regla que restrinja su participación.</w:t>
      </w:r>
    </w:p>
    <w:p w14:paraId="4D82E03F" w14:textId="6F91DDDF" w:rsidR="00C86D49" w:rsidRDefault="00C86D49" w:rsidP="00C95DCC">
      <w:pPr>
        <w:ind w:firstLine="709"/>
        <w:jc w:val="both"/>
        <w:rPr>
          <w:rFonts w:ascii="Arial" w:eastAsia="Calibri" w:hAnsi="Arial" w:cs="Arial"/>
          <w:sz w:val="22"/>
          <w:lang w:val="es-ES_tradnl"/>
        </w:rPr>
      </w:pPr>
    </w:p>
    <w:p w14:paraId="49F9ACA5" w14:textId="0149EFA1" w:rsidR="00264800" w:rsidRDefault="00E57547" w:rsidP="00C95DCC">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A su vez</w:t>
      </w:r>
      <w:r w:rsidR="007C42FE">
        <w:rPr>
          <w:rFonts w:ascii="Arial" w:eastAsia="Calibri" w:hAnsi="Arial" w:cs="Arial"/>
          <w:sz w:val="22"/>
          <w:lang w:val="es-ES_tradnl"/>
        </w:rPr>
        <w:t xml:space="preserve">, el Consejo de Estado </w:t>
      </w:r>
      <w:r w:rsidR="00392173">
        <w:rPr>
          <w:rFonts w:ascii="Arial" w:eastAsia="Calibri" w:hAnsi="Arial" w:cs="Arial"/>
          <w:sz w:val="22"/>
          <w:lang w:val="es-ES_tradnl"/>
        </w:rPr>
        <w:t xml:space="preserve">reconoce </w:t>
      </w:r>
      <w:proofErr w:type="gramStart"/>
      <w:r w:rsidR="00392173">
        <w:rPr>
          <w:rFonts w:ascii="Arial" w:eastAsia="Calibri" w:hAnsi="Arial" w:cs="Arial"/>
          <w:sz w:val="22"/>
          <w:lang w:val="es-ES_tradnl"/>
        </w:rPr>
        <w:t>que</w:t>
      </w:r>
      <w:proofErr w:type="gramEnd"/>
      <w:r w:rsidR="007A69FA">
        <w:rPr>
          <w:rFonts w:ascii="Arial" w:eastAsia="Calibri" w:hAnsi="Arial" w:cs="Arial"/>
          <w:sz w:val="22"/>
          <w:lang w:val="es-ES_tradnl"/>
        </w:rPr>
        <w:t xml:space="preserve"> si bien</w:t>
      </w:r>
      <w:r w:rsidR="00392173">
        <w:rPr>
          <w:rFonts w:ascii="Arial" w:eastAsia="Calibri" w:hAnsi="Arial" w:cs="Arial"/>
          <w:sz w:val="22"/>
          <w:lang w:val="es-ES_tradnl"/>
        </w:rPr>
        <w:t xml:space="preserve"> esta inhabilidad </w:t>
      </w:r>
      <w:r w:rsidR="002F6746">
        <w:rPr>
          <w:rFonts w:ascii="Arial" w:eastAsia="Calibri" w:hAnsi="Arial" w:cs="Arial"/>
          <w:sz w:val="22"/>
          <w:lang w:val="es-ES_tradnl"/>
        </w:rPr>
        <w:t>es una</w:t>
      </w:r>
      <w:r w:rsidR="00392173">
        <w:rPr>
          <w:rFonts w:ascii="Arial" w:eastAsia="Calibri" w:hAnsi="Arial" w:cs="Arial"/>
          <w:sz w:val="22"/>
          <w:lang w:val="es-ES_tradnl"/>
        </w:rPr>
        <w:t xml:space="preserve"> limitación </w:t>
      </w:r>
      <w:r w:rsidR="002F6746">
        <w:rPr>
          <w:rFonts w:ascii="Arial" w:eastAsia="Calibri" w:hAnsi="Arial" w:cs="Arial"/>
          <w:sz w:val="22"/>
          <w:lang w:val="es-ES_tradnl"/>
        </w:rPr>
        <w:t>a</w:t>
      </w:r>
      <w:r w:rsidR="00392173">
        <w:rPr>
          <w:rFonts w:ascii="Arial" w:eastAsia="Calibri" w:hAnsi="Arial" w:cs="Arial"/>
          <w:sz w:val="22"/>
          <w:lang w:val="es-ES_tradnl"/>
        </w:rPr>
        <w:t xml:space="preserve"> l</w:t>
      </w:r>
      <w:r w:rsidR="0072182D">
        <w:rPr>
          <w:rFonts w:ascii="Arial" w:eastAsia="Calibri" w:hAnsi="Arial" w:cs="Arial"/>
          <w:sz w:val="22"/>
          <w:lang w:val="es-ES_tradnl"/>
        </w:rPr>
        <w:t>a libertad negocial de las personas, la misma se justifica</w:t>
      </w:r>
      <w:r w:rsidR="007A69FA">
        <w:rPr>
          <w:rFonts w:ascii="Arial" w:eastAsia="Calibri" w:hAnsi="Arial" w:cs="Arial"/>
          <w:sz w:val="22"/>
          <w:lang w:val="es-ES_tradnl"/>
        </w:rPr>
        <w:t xml:space="preserve"> en la medida que prev</w:t>
      </w:r>
      <w:r w:rsidR="002F6746">
        <w:rPr>
          <w:rFonts w:ascii="Arial" w:eastAsia="Calibri" w:hAnsi="Arial" w:cs="Arial"/>
          <w:sz w:val="22"/>
          <w:lang w:val="es-ES_tradnl"/>
        </w:rPr>
        <w:t>iene</w:t>
      </w:r>
      <w:r w:rsidR="007A69FA">
        <w:rPr>
          <w:rFonts w:ascii="Arial" w:eastAsia="Calibri" w:hAnsi="Arial" w:cs="Arial"/>
          <w:sz w:val="22"/>
          <w:lang w:val="es-ES_tradnl"/>
        </w:rPr>
        <w:t xml:space="preserve"> </w:t>
      </w:r>
      <w:r w:rsidR="009B126B">
        <w:rPr>
          <w:rFonts w:ascii="Arial" w:eastAsia="Calibri" w:hAnsi="Arial" w:cs="Arial"/>
          <w:sz w:val="22"/>
          <w:lang w:val="es-ES_tradnl"/>
        </w:rPr>
        <w:t>la utilización de factores de poder</w:t>
      </w:r>
      <w:r w:rsidR="00A16ACB">
        <w:rPr>
          <w:rFonts w:ascii="Arial" w:eastAsia="Calibri" w:hAnsi="Arial" w:cs="Arial"/>
          <w:sz w:val="22"/>
          <w:lang w:val="es-ES_tradnl"/>
        </w:rPr>
        <w:t>, consecuencia de relaciones famil</w:t>
      </w:r>
      <w:r w:rsidR="008D4635">
        <w:rPr>
          <w:rFonts w:ascii="Arial" w:eastAsia="Calibri" w:hAnsi="Arial" w:cs="Arial"/>
          <w:sz w:val="22"/>
          <w:lang w:val="es-ES_tradnl"/>
        </w:rPr>
        <w:t xml:space="preserve">iares, cuyo propósito es </w:t>
      </w:r>
      <w:r w:rsidR="00A16ACB">
        <w:rPr>
          <w:rFonts w:ascii="Arial" w:eastAsia="Calibri" w:hAnsi="Arial" w:cs="Arial"/>
          <w:sz w:val="22"/>
          <w:lang w:val="es-ES_tradnl"/>
        </w:rPr>
        <w:t>obtener un provecho económico</w:t>
      </w:r>
      <w:r w:rsidR="009C3FE1">
        <w:rPr>
          <w:rFonts w:ascii="Arial" w:eastAsia="Calibri" w:hAnsi="Arial" w:cs="Arial"/>
          <w:sz w:val="22"/>
          <w:lang w:val="es-ES_tradnl"/>
        </w:rPr>
        <w:t xml:space="preserve"> individual</w:t>
      </w:r>
      <w:r w:rsidR="00A6152D">
        <w:rPr>
          <w:rFonts w:ascii="Arial" w:eastAsia="Calibri" w:hAnsi="Arial" w:cs="Arial"/>
          <w:sz w:val="22"/>
          <w:lang w:val="es-ES_tradnl"/>
        </w:rPr>
        <w:t>,</w:t>
      </w:r>
      <w:r w:rsidR="009C3FE1">
        <w:rPr>
          <w:rFonts w:ascii="Arial" w:eastAsia="Calibri" w:hAnsi="Arial" w:cs="Arial"/>
          <w:sz w:val="22"/>
          <w:lang w:val="es-ES_tradnl"/>
        </w:rPr>
        <w:t xml:space="preserve"> </w:t>
      </w:r>
      <w:r w:rsidR="00F4784F">
        <w:rPr>
          <w:rFonts w:ascii="Arial" w:eastAsia="Calibri" w:hAnsi="Arial" w:cs="Arial"/>
          <w:sz w:val="22"/>
          <w:lang w:val="es-ES_tradnl"/>
        </w:rPr>
        <w:t xml:space="preserve">en perjuicio del interés general que prevalece en </w:t>
      </w:r>
      <w:r w:rsidR="007B0B94">
        <w:rPr>
          <w:rFonts w:ascii="Arial" w:eastAsia="Calibri" w:hAnsi="Arial" w:cs="Arial"/>
          <w:sz w:val="22"/>
          <w:lang w:val="es-ES_tradnl"/>
        </w:rPr>
        <w:t>el ejercicio de la función pública</w:t>
      </w:r>
      <w:r w:rsidR="007B6DB4">
        <w:rPr>
          <w:rStyle w:val="Refdenotaalpie"/>
          <w:rFonts w:ascii="Arial" w:eastAsia="Calibri" w:hAnsi="Arial" w:cs="Arial"/>
          <w:sz w:val="22"/>
          <w:lang w:val="es-ES_tradnl"/>
        </w:rPr>
        <w:footnoteReference w:id="31"/>
      </w:r>
      <w:r w:rsidR="007B0B94">
        <w:rPr>
          <w:rFonts w:ascii="Arial" w:eastAsia="Calibri" w:hAnsi="Arial" w:cs="Arial"/>
          <w:sz w:val="22"/>
          <w:lang w:val="es-ES_tradnl"/>
        </w:rPr>
        <w:t>.</w:t>
      </w:r>
    </w:p>
    <w:p w14:paraId="3F1C2AE3" w14:textId="7A220113" w:rsidR="00175A6E" w:rsidRDefault="00F759B1" w:rsidP="00C86D49">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_tradnl"/>
        </w:rPr>
        <w:t>De otra parte</w:t>
      </w:r>
      <w:r w:rsidR="000C6AFB">
        <w:rPr>
          <w:rFonts w:ascii="Arial" w:eastAsia="Calibri" w:hAnsi="Arial" w:cs="Arial"/>
          <w:sz w:val="22"/>
          <w:lang w:val="es-ES_tradnl"/>
        </w:rPr>
        <w:t>,</w:t>
      </w:r>
      <w:r w:rsidR="00237602">
        <w:rPr>
          <w:rFonts w:ascii="Arial" w:eastAsia="Calibri" w:hAnsi="Arial" w:cs="Arial"/>
          <w:sz w:val="22"/>
          <w:lang w:val="es-ES_tradnl"/>
        </w:rPr>
        <w:t xml:space="preserve"> en relación con esta causal de inhabilidad</w:t>
      </w:r>
      <w:r>
        <w:rPr>
          <w:rFonts w:ascii="Arial" w:eastAsia="Calibri" w:hAnsi="Arial" w:cs="Arial"/>
          <w:sz w:val="22"/>
          <w:lang w:val="es-ES_tradnl"/>
        </w:rPr>
        <w:t xml:space="preserve"> Colombia Compra Eficiente</w:t>
      </w:r>
      <w:r w:rsidR="00B205EF">
        <w:rPr>
          <w:rFonts w:ascii="Arial" w:eastAsia="Calibri" w:hAnsi="Arial" w:cs="Arial"/>
          <w:sz w:val="22"/>
          <w:lang w:val="es-ES_tradnl"/>
        </w:rPr>
        <w:t xml:space="preserve"> afirmó, </w:t>
      </w:r>
      <w:r w:rsidR="00237602">
        <w:rPr>
          <w:rFonts w:ascii="Arial" w:eastAsia="Calibri" w:hAnsi="Arial" w:cs="Arial"/>
          <w:sz w:val="22"/>
          <w:lang w:val="es-ES_tradnl"/>
        </w:rPr>
        <w:t>en concepto</w:t>
      </w:r>
      <w:r w:rsidR="00FA0D33">
        <w:rPr>
          <w:rFonts w:ascii="Arial" w:eastAsia="Calibri" w:hAnsi="Arial" w:cs="Arial"/>
          <w:sz w:val="22"/>
          <w:lang w:val="es-ES_tradnl"/>
        </w:rPr>
        <w:t xml:space="preserve"> No.</w:t>
      </w:r>
      <w:r w:rsidR="00237602">
        <w:rPr>
          <w:rFonts w:ascii="Arial" w:eastAsia="Calibri" w:hAnsi="Arial" w:cs="Arial"/>
          <w:sz w:val="22"/>
          <w:lang w:val="es-ES_tradnl"/>
        </w:rPr>
        <w:t xml:space="preserve"> </w:t>
      </w:r>
      <w:r w:rsidR="00C774CE" w:rsidRPr="00C774CE">
        <w:rPr>
          <w:rFonts w:ascii="Arial" w:eastAsia="Calibri" w:hAnsi="Arial" w:cs="Arial"/>
          <w:sz w:val="22"/>
          <w:lang w:val="es-ES_tradnl"/>
        </w:rPr>
        <w:t>4201814000003792</w:t>
      </w:r>
      <w:r w:rsidR="00F120B8">
        <w:rPr>
          <w:rFonts w:ascii="Arial" w:eastAsia="Calibri" w:hAnsi="Arial" w:cs="Arial"/>
          <w:sz w:val="22"/>
          <w:lang w:val="es-ES_tradnl"/>
        </w:rPr>
        <w:t xml:space="preserve"> del 13 de junio de 2018, </w:t>
      </w:r>
      <w:r w:rsidR="00A815E4">
        <w:rPr>
          <w:rFonts w:ascii="Arial" w:eastAsia="Calibri" w:hAnsi="Arial" w:cs="Arial"/>
          <w:sz w:val="22"/>
          <w:lang w:val="es-ES_tradnl"/>
        </w:rPr>
        <w:t>q</w:t>
      </w:r>
      <w:r w:rsidR="000C6AFB">
        <w:rPr>
          <w:rFonts w:ascii="Arial" w:eastAsia="Calibri" w:hAnsi="Arial" w:cs="Arial"/>
          <w:sz w:val="22"/>
          <w:lang w:val="es-ES_tradnl"/>
        </w:rPr>
        <w:t xml:space="preserve">ue la misma </w:t>
      </w:r>
      <w:r w:rsidR="00175A6E">
        <w:rPr>
          <w:rFonts w:ascii="Arial" w:eastAsia="Calibri" w:hAnsi="Arial" w:cs="Arial"/>
          <w:sz w:val="22"/>
          <w:lang w:val="es-ES_tradnl"/>
        </w:rPr>
        <w:t>no se restringe a personas naturales</w:t>
      </w:r>
      <w:r w:rsidR="00AC5682">
        <w:rPr>
          <w:rFonts w:ascii="Arial" w:eastAsia="Calibri" w:hAnsi="Arial" w:cs="Arial"/>
          <w:sz w:val="22"/>
          <w:lang w:val="es-ES_tradnl"/>
        </w:rPr>
        <w:t xml:space="preserve">. Esto implica que la </w:t>
      </w:r>
      <w:r w:rsidR="00A553DF">
        <w:rPr>
          <w:rFonts w:ascii="Arial" w:eastAsia="Calibri" w:hAnsi="Arial" w:cs="Arial"/>
          <w:sz w:val="22"/>
          <w:lang w:val="es-ES_tradnl"/>
        </w:rPr>
        <w:t>inhabilidad se extiende a personas jurídicas</w:t>
      </w:r>
      <w:r w:rsidR="00DC5D95">
        <w:rPr>
          <w:rFonts w:ascii="Arial" w:eastAsia="Calibri" w:hAnsi="Arial" w:cs="Arial"/>
          <w:sz w:val="22"/>
          <w:lang w:val="es-ES_tradnl"/>
        </w:rPr>
        <w:t>, respecto de las cuales se prediquen vínculo</w:t>
      </w:r>
      <w:r w:rsidR="00C45091">
        <w:rPr>
          <w:rFonts w:ascii="Arial" w:eastAsia="Calibri" w:hAnsi="Arial" w:cs="Arial"/>
          <w:sz w:val="22"/>
          <w:lang w:val="es-ES_tradnl"/>
        </w:rPr>
        <w:t>s</w:t>
      </w:r>
      <w:r w:rsidR="002E4FF0">
        <w:rPr>
          <w:rFonts w:ascii="Arial" w:eastAsia="Calibri" w:hAnsi="Arial" w:cs="Arial"/>
          <w:sz w:val="22"/>
          <w:lang w:val="es-ES_tradnl"/>
        </w:rPr>
        <w:t xml:space="preserve"> jurídicos o naturales</w:t>
      </w:r>
      <w:r w:rsidR="00C45091">
        <w:rPr>
          <w:rFonts w:ascii="Arial" w:eastAsia="Calibri" w:hAnsi="Arial" w:cs="Arial"/>
          <w:sz w:val="22"/>
          <w:lang w:val="es-ES_tradnl"/>
        </w:rPr>
        <w:t xml:space="preserve"> (familiares)</w:t>
      </w:r>
      <w:r w:rsidR="00DC5D95">
        <w:rPr>
          <w:rFonts w:ascii="Arial" w:eastAsia="Calibri" w:hAnsi="Arial" w:cs="Arial"/>
          <w:sz w:val="22"/>
          <w:lang w:val="es-ES_tradnl"/>
        </w:rPr>
        <w:t xml:space="preserve"> </w:t>
      </w:r>
      <w:r w:rsidR="002E4FF0">
        <w:rPr>
          <w:rFonts w:ascii="Arial" w:eastAsia="Calibri" w:hAnsi="Arial" w:cs="Arial"/>
          <w:sz w:val="22"/>
          <w:lang w:val="es-ES_tradnl"/>
        </w:rPr>
        <w:t>h</w:t>
      </w:r>
      <w:r w:rsidR="00154CCB">
        <w:rPr>
          <w:rFonts w:ascii="Arial" w:eastAsia="Calibri" w:hAnsi="Arial" w:cs="Arial"/>
          <w:sz w:val="22"/>
          <w:lang w:val="es-ES_tradnl"/>
        </w:rPr>
        <w:t>asta el segundo grado</w:t>
      </w:r>
      <w:r w:rsidR="002E4FF0">
        <w:rPr>
          <w:rFonts w:ascii="Arial" w:eastAsia="Calibri" w:hAnsi="Arial" w:cs="Arial"/>
          <w:sz w:val="22"/>
          <w:lang w:val="es-ES_tradnl"/>
        </w:rPr>
        <w:t xml:space="preserve"> consanguinidad o afinidad</w:t>
      </w:r>
      <w:r w:rsidR="00154CCB">
        <w:rPr>
          <w:rFonts w:ascii="Arial" w:eastAsia="Calibri" w:hAnsi="Arial" w:cs="Arial"/>
          <w:sz w:val="22"/>
          <w:lang w:val="es-ES_tradnl"/>
        </w:rPr>
        <w:t xml:space="preserve"> </w:t>
      </w:r>
      <w:r w:rsidR="00DC5D95">
        <w:rPr>
          <w:rFonts w:ascii="Arial" w:eastAsia="Calibri" w:hAnsi="Arial" w:cs="Arial"/>
          <w:sz w:val="22"/>
          <w:lang w:val="es-ES_tradnl"/>
        </w:rPr>
        <w:t xml:space="preserve">con </w:t>
      </w:r>
      <w:r w:rsidR="00154CCB">
        <w:rPr>
          <w:rFonts w:ascii="Arial" w:eastAsia="Calibri" w:hAnsi="Arial" w:cs="Arial"/>
          <w:sz w:val="22"/>
          <w:lang w:val="es-ES_tradnl"/>
        </w:rPr>
        <w:t>el representante legal</w:t>
      </w:r>
      <w:r w:rsidR="002E4FF0">
        <w:rPr>
          <w:rFonts w:ascii="Arial" w:eastAsia="Calibri" w:hAnsi="Arial" w:cs="Arial"/>
          <w:sz w:val="22"/>
          <w:lang w:val="es-ES_tradnl"/>
        </w:rPr>
        <w:t xml:space="preserve"> o alguno de sus socios.</w:t>
      </w:r>
      <w:r w:rsidR="00C45091">
        <w:rPr>
          <w:rFonts w:ascii="Arial" w:eastAsia="Calibri" w:hAnsi="Arial" w:cs="Arial"/>
          <w:sz w:val="22"/>
          <w:lang w:val="es-ES_tradnl"/>
        </w:rPr>
        <w:t xml:space="preserve"> </w:t>
      </w:r>
      <w:r w:rsidR="00445FC3" w:rsidRPr="00541738">
        <w:rPr>
          <w:rFonts w:ascii="Arial" w:eastAsia="Calibri" w:hAnsi="Arial" w:cs="Arial"/>
          <w:sz w:val="22"/>
          <w:lang w:val="es-ES_tradnl"/>
        </w:rPr>
        <w:t>Sin embargo</w:t>
      </w:r>
      <w:r w:rsidR="00580137" w:rsidRPr="002F6746">
        <w:rPr>
          <w:rFonts w:ascii="Arial" w:eastAsia="Calibri" w:hAnsi="Arial" w:cs="Arial"/>
          <w:sz w:val="22"/>
          <w:lang w:val="es-ES_tradnl"/>
        </w:rPr>
        <w:t xml:space="preserve">, </w:t>
      </w:r>
      <w:r w:rsidR="00580137">
        <w:rPr>
          <w:rFonts w:ascii="Arial" w:eastAsia="Calibri" w:hAnsi="Arial" w:cs="Arial"/>
          <w:sz w:val="22"/>
          <w:lang w:val="es-ES_tradnl"/>
        </w:rPr>
        <w:t xml:space="preserve">esta </w:t>
      </w:r>
      <w:r w:rsidR="00182CFD">
        <w:rPr>
          <w:rFonts w:ascii="Arial" w:eastAsia="Calibri" w:hAnsi="Arial" w:cs="Arial"/>
          <w:sz w:val="22"/>
          <w:lang w:val="es-ES_tradnl"/>
        </w:rPr>
        <w:t xml:space="preserve">posición </w:t>
      </w:r>
      <w:r w:rsidR="00580137">
        <w:rPr>
          <w:rFonts w:ascii="Arial" w:eastAsia="Calibri" w:hAnsi="Arial" w:cs="Arial"/>
          <w:sz w:val="22"/>
          <w:lang w:val="es-ES_tradnl"/>
        </w:rPr>
        <w:t>será objeto de corrección en el presente concepto</w:t>
      </w:r>
      <w:r w:rsidR="00182CFD">
        <w:rPr>
          <w:rFonts w:ascii="Arial" w:eastAsia="Calibri" w:hAnsi="Arial" w:cs="Arial"/>
          <w:sz w:val="22"/>
          <w:lang w:val="es-ES_tradnl"/>
        </w:rPr>
        <w:t xml:space="preserve">, </w:t>
      </w:r>
      <w:r w:rsidR="002F6746">
        <w:rPr>
          <w:rFonts w:ascii="Arial" w:eastAsia="Calibri" w:hAnsi="Arial" w:cs="Arial"/>
          <w:sz w:val="22"/>
          <w:lang w:val="es-ES_tradnl"/>
        </w:rPr>
        <w:t>ya que</w:t>
      </w:r>
      <w:r w:rsidR="00182CFD">
        <w:rPr>
          <w:rFonts w:ascii="Arial" w:eastAsia="Calibri" w:hAnsi="Arial" w:cs="Arial"/>
          <w:sz w:val="22"/>
          <w:lang w:val="es-ES_tradnl"/>
        </w:rPr>
        <w:t xml:space="preserve"> el régimen de inhabilidad</w:t>
      </w:r>
      <w:r w:rsidR="0045657B">
        <w:rPr>
          <w:rFonts w:ascii="Arial" w:eastAsia="Calibri" w:hAnsi="Arial" w:cs="Arial"/>
          <w:sz w:val="22"/>
          <w:lang w:val="es-ES_tradnl"/>
        </w:rPr>
        <w:t>es</w:t>
      </w:r>
      <w:r w:rsidR="00182CFD">
        <w:rPr>
          <w:rFonts w:ascii="Arial" w:eastAsia="Calibri" w:hAnsi="Arial" w:cs="Arial"/>
          <w:sz w:val="22"/>
          <w:lang w:val="es-ES_tradnl"/>
        </w:rPr>
        <w:t xml:space="preserve"> e incompatibilidades</w:t>
      </w:r>
      <w:r w:rsidR="00C90F4A">
        <w:rPr>
          <w:rFonts w:ascii="Arial" w:eastAsia="Calibri" w:hAnsi="Arial" w:cs="Arial"/>
          <w:sz w:val="22"/>
          <w:lang w:val="es-ES_tradnl"/>
        </w:rPr>
        <w:t xml:space="preserve"> debe interpretarse de manera restrictiva</w:t>
      </w:r>
      <w:r w:rsidR="00FD6B8F">
        <w:rPr>
          <w:rFonts w:ascii="Arial" w:eastAsia="Calibri" w:hAnsi="Arial" w:cs="Arial"/>
          <w:sz w:val="22"/>
          <w:lang w:val="es-ES_tradnl"/>
        </w:rPr>
        <w:t>.</w:t>
      </w:r>
      <w:r w:rsidR="00182CFD">
        <w:rPr>
          <w:rFonts w:ascii="Arial" w:eastAsia="Calibri" w:hAnsi="Arial" w:cs="Arial"/>
          <w:sz w:val="22"/>
          <w:lang w:val="es-ES_tradnl"/>
        </w:rPr>
        <w:t xml:space="preserve">  </w:t>
      </w:r>
    </w:p>
    <w:p w14:paraId="0A0B1280" w14:textId="6686CB6E" w:rsidR="00E758DE" w:rsidRPr="00A84DE8" w:rsidRDefault="008B55A8">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_tradnl"/>
        </w:rPr>
        <w:t>E</w:t>
      </w:r>
      <w:r w:rsidR="00FA0D33">
        <w:rPr>
          <w:rFonts w:ascii="Arial" w:eastAsia="Calibri" w:hAnsi="Arial" w:cs="Arial"/>
          <w:sz w:val="22"/>
          <w:lang w:val="es-ES_tradnl"/>
        </w:rPr>
        <w:t>n concepto No. 4</w:t>
      </w:r>
      <w:r w:rsidR="00FA0D33" w:rsidRPr="00FA0D33">
        <w:rPr>
          <w:rFonts w:ascii="Arial" w:eastAsia="Calibri" w:hAnsi="Arial" w:cs="Arial"/>
          <w:sz w:val="22"/>
          <w:lang w:val="es-ES_tradnl"/>
        </w:rPr>
        <w:t>201813000009241</w:t>
      </w:r>
      <w:r w:rsidR="00FA0D33">
        <w:rPr>
          <w:rFonts w:ascii="Arial" w:eastAsia="Calibri" w:hAnsi="Arial" w:cs="Arial"/>
          <w:sz w:val="22"/>
          <w:lang w:val="es-ES_tradnl"/>
        </w:rPr>
        <w:t xml:space="preserve"> del 20 de diciembre de 2018</w:t>
      </w:r>
      <w:r w:rsidR="004E22D1">
        <w:rPr>
          <w:rFonts w:ascii="Arial" w:eastAsia="Calibri" w:hAnsi="Arial" w:cs="Arial"/>
          <w:sz w:val="22"/>
          <w:lang w:val="es-ES_tradnl"/>
        </w:rPr>
        <w:t>, se sostuvo que</w:t>
      </w:r>
      <w:r w:rsidR="00140D67">
        <w:rPr>
          <w:rFonts w:ascii="Arial" w:eastAsia="Calibri" w:hAnsi="Arial" w:cs="Arial"/>
          <w:sz w:val="22"/>
          <w:lang w:val="es-ES_tradnl"/>
        </w:rPr>
        <w:t xml:space="preserve"> s</w:t>
      </w:r>
      <w:r w:rsidR="00140D67" w:rsidRPr="00140D67">
        <w:rPr>
          <w:rFonts w:ascii="Arial" w:eastAsia="Calibri" w:hAnsi="Arial" w:cs="Arial"/>
          <w:sz w:val="22"/>
          <w:lang w:val="es-ES_tradnl"/>
        </w:rPr>
        <w:t xml:space="preserve">i bien </w:t>
      </w:r>
      <w:r w:rsidR="00140D67">
        <w:rPr>
          <w:rFonts w:ascii="Arial" w:eastAsia="Calibri" w:hAnsi="Arial" w:cs="Arial"/>
          <w:sz w:val="22"/>
          <w:lang w:val="es-ES_tradnl"/>
        </w:rPr>
        <w:t xml:space="preserve">el literal </w:t>
      </w:r>
      <w:r w:rsidR="00140D67" w:rsidRPr="00140D67">
        <w:rPr>
          <w:rFonts w:ascii="Arial" w:eastAsia="Calibri" w:hAnsi="Arial" w:cs="Arial"/>
          <w:sz w:val="22"/>
          <w:lang w:val="es-ES_tradnl"/>
        </w:rPr>
        <w:t>g) del numeral 1 del artículo 8 de la Ley 80 de 1993 se refiere a</w:t>
      </w:r>
      <w:r w:rsidR="00557102">
        <w:rPr>
          <w:rFonts w:ascii="Arial" w:eastAsia="Calibri" w:hAnsi="Arial" w:cs="Arial"/>
          <w:sz w:val="22"/>
          <w:lang w:val="es-ES_tradnl"/>
        </w:rPr>
        <w:t xml:space="preserve"> la</w:t>
      </w:r>
      <w:r w:rsidR="00140D67" w:rsidRPr="00140D67">
        <w:rPr>
          <w:rFonts w:ascii="Arial" w:eastAsia="Calibri" w:hAnsi="Arial" w:cs="Arial"/>
          <w:sz w:val="22"/>
          <w:lang w:val="es-ES_tradnl"/>
        </w:rPr>
        <w:t xml:space="preserve"> licitación</w:t>
      </w:r>
      <w:r w:rsidR="00557102">
        <w:rPr>
          <w:rFonts w:ascii="Arial" w:eastAsia="Calibri" w:hAnsi="Arial" w:cs="Arial"/>
          <w:sz w:val="22"/>
          <w:lang w:val="es-ES_tradnl"/>
        </w:rPr>
        <w:t>,</w:t>
      </w:r>
      <w:r w:rsidR="004E22D1">
        <w:rPr>
          <w:rFonts w:ascii="Arial" w:eastAsia="Calibri" w:hAnsi="Arial" w:cs="Arial"/>
          <w:sz w:val="22"/>
          <w:lang w:val="es-ES_tradnl"/>
        </w:rPr>
        <w:t xml:space="preserve"> esta causal</w:t>
      </w:r>
      <w:r w:rsidR="00B17288">
        <w:rPr>
          <w:rFonts w:ascii="Arial" w:eastAsia="Calibri" w:hAnsi="Arial" w:cs="Arial"/>
          <w:sz w:val="22"/>
          <w:lang w:val="es-ES_tradnl"/>
        </w:rPr>
        <w:t xml:space="preserve"> de inhabilidad</w:t>
      </w:r>
      <w:r w:rsidR="00557102">
        <w:rPr>
          <w:rFonts w:ascii="Arial" w:eastAsia="Calibri" w:hAnsi="Arial" w:cs="Arial"/>
          <w:sz w:val="22"/>
          <w:lang w:val="es-ES_tradnl"/>
        </w:rPr>
        <w:t xml:space="preserve"> conforme </w:t>
      </w:r>
      <w:r w:rsidR="0007574A">
        <w:rPr>
          <w:rFonts w:ascii="Arial" w:eastAsia="Calibri" w:hAnsi="Arial" w:cs="Arial"/>
          <w:sz w:val="22"/>
          <w:lang w:val="es-ES_tradnl"/>
        </w:rPr>
        <w:t xml:space="preserve">a lo preceptuado </w:t>
      </w:r>
      <w:r w:rsidR="00D110D5">
        <w:rPr>
          <w:rFonts w:ascii="Arial" w:eastAsia="Calibri" w:hAnsi="Arial" w:cs="Arial"/>
          <w:sz w:val="22"/>
          <w:lang w:val="es-ES_tradnl"/>
        </w:rPr>
        <w:t>en el parágrafo del artículo 30 de la Ley 80 de 1993</w:t>
      </w:r>
      <w:r w:rsidR="0007574A">
        <w:rPr>
          <w:rFonts w:ascii="Arial" w:eastAsia="Calibri" w:hAnsi="Arial" w:cs="Arial"/>
          <w:sz w:val="22"/>
          <w:lang w:val="es-ES_tradnl"/>
        </w:rPr>
        <w:t>, se aplica a todas las modalidades de selección</w:t>
      </w:r>
      <w:r w:rsidR="00640E20">
        <w:rPr>
          <w:rFonts w:ascii="Arial" w:eastAsia="Calibri" w:hAnsi="Arial" w:cs="Arial"/>
          <w:sz w:val="22"/>
          <w:lang w:val="es-ES_tradnl"/>
        </w:rPr>
        <w:t xml:space="preserve"> </w:t>
      </w:r>
      <w:r w:rsidR="00465657">
        <w:rPr>
          <w:rFonts w:ascii="Arial" w:eastAsia="Calibri" w:hAnsi="Arial" w:cs="Arial"/>
          <w:sz w:val="22"/>
          <w:lang w:val="es-ES_tradnl"/>
        </w:rPr>
        <w:t>empleadas</w:t>
      </w:r>
      <w:r w:rsidR="00640E20">
        <w:rPr>
          <w:rFonts w:ascii="Arial" w:eastAsia="Calibri" w:hAnsi="Arial" w:cs="Arial"/>
          <w:sz w:val="22"/>
          <w:lang w:val="es-ES_tradnl"/>
        </w:rPr>
        <w:t xml:space="preserve"> </w:t>
      </w:r>
      <w:r w:rsidR="00465657">
        <w:rPr>
          <w:rFonts w:ascii="Arial" w:eastAsia="Calibri" w:hAnsi="Arial" w:cs="Arial"/>
          <w:sz w:val="22"/>
          <w:lang w:val="es-ES_tradnl"/>
        </w:rPr>
        <w:t>en</w:t>
      </w:r>
      <w:r w:rsidR="00640E20">
        <w:rPr>
          <w:rFonts w:ascii="Arial" w:eastAsia="Calibri" w:hAnsi="Arial" w:cs="Arial"/>
          <w:sz w:val="22"/>
          <w:lang w:val="es-ES_tradnl"/>
        </w:rPr>
        <w:t xml:space="preserve"> la contratación pública</w:t>
      </w:r>
      <w:r w:rsidR="00D110D5">
        <w:rPr>
          <w:rStyle w:val="Refdenotaalpie"/>
          <w:rFonts w:ascii="Arial" w:eastAsia="Calibri" w:hAnsi="Arial" w:cs="Arial"/>
          <w:sz w:val="22"/>
          <w:lang w:val="es-ES_tradnl"/>
        </w:rPr>
        <w:footnoteReference w:id="32"/>
      </w:r>
      <w:r w:rsidR="00140D67">
        <w:rPr>
          <w:rFonts w:ascii="Arial" w:eastAsia="Calibri" w:hAnsi="Arial" w:cs="Arial"/>
          <w:sz w:val="22"/>
          <w:lang w:val="es-ES_tradnl"/>
        </w:rPr>
        <w:t>.</w:t>
      </w:r>
      <w:r w:rsidR="002F6746">
        <w:rPr>
          <w:rFonts w:ascii="Arial" w:eastAsia="Calibri" w:hAnsi="Arial" w:cs="Arial"/>
          <w:sz w:val="22"/>
          <w:lang w:val="es-ES_tradnl"/>
        </w:rPr>
        <w:t xml:space="preserve"> Por otra parte, e</w:t>
      </w:r>
      <w:r>
        <w:rPr>
          <w:rFonts w:ascii="Arial" w:eastAsia="Calibri" w:hAnsi="Arial" w:cs="Arial"/>
          <w:sz w:val="22"/>
          <w:lang w:val="es-ES_tradnl"/>
        </w:rPr>
        <w:t>n concepto No.</w:t>
      </w:r>
      <w:r w:rsidR="00393992">
        <w:rPr>
          <w:rFonts w:ascii="Arial" w:eastAsia="Calibri" w:hAnsi="Arial" w:cs="Arial"/>
          <w:sz w:val="22"/>
          <w:lang w:val="es-ES_tradnl"/>
        </w:rPr>
        <w:t xml:space="preserve"> </w:t>
      </w:r>
      <w:r w:rsidR="00393992" w:rsidRPr="00393992">
        <w:rPr>
          <w:rFonts w:ascii="Arial" w:eastAsia="Calibri" w:hAnsi="Arial" w:cs="Arial"/>
          <w:sz w:val="22"/>
          <w:lang w:val="es-ES_tradnl"/>
        </w:rPr>
        <w:t>4201913000008006</w:t>
      </w:r>
      <w:r w:rsidR="00393992">
        <w:rPr>
          <w:rFonts w:ascii="Arial" w:eastAsia="Calibri" w:hAnsi="Arial" w:cs="Arial"/>
          <w:sz w:val="22"/>
          <w:lang w:val="es-ES_tradnl"/>
        </w:rPr>
        <w:t xml:space="preserve"> del 20 de diciembre de 2019, se </w:t>
      </w:r>
      <w:r w:rsidR="00116545">
        <w:rPr>
          <w:rFonts w:ascii="Arial" w:eastAsia="Calibri" w:hAnsi="Arial" w:cs="Arial"/>
          <w:sz w:val="22"/>
          <w:lang w:val="es-ES_tradnl"/>
        </w:rPr>
        <w:t>afirmó que la finalidad de esta causal de inhabilidad es garantizar l</w:t>
      </w:r>
      <w:r w:rsidR="00FC3E8F">
        <w:rPr>
          <w:rFonts w:ascii="Arial" w:eastAsia="Calibri" w:hAnsi="Arial" w:cs="Arial"/>
          <w:sz w:val="22"/>
          <w:lang w:val="es-ES_tradnl"/>
        </w:rPr>
        <w:t>os principios de imparcialidad, eficacia, eficiencia, moralidad, transparencia y libre competen</w:t>
      </w:r>
      <w:r w:rsidR="00C16B7B">
        <w:rPr>
          <w:rFonts w:ascii="Arial" w:eastAsia="Calibri" w:hAnsi="Arial" w:cs="Arial"/>
          <w:sz w:val="22"/>
          <w:lang w:val="es-ES_tradnl"/>
        </w:rPr>
        <w:t>cia que rigen el proceso de selección de contratistas de las entidades estatales.</w:t>
      </w:r>
      <w:r w:rsidR="003C59BD">
        <w:rPr>
          <w:rFonts w:ascii="Arial" w:eastAsia="Calibri" w:hAnsi="Arial" w:cs="Arial"/>
          <w:sz w:val="22"/>
          <w:lang w:val="es-ES_tradnl"/>
        </w:rPr>
        <w:t xml:space="preserve"> Igualmente, allí se determinó </w:t>
      </w:r>
      <w:proofErr w:type="gramStart"/>
      <w:r w:rsidR="003C59BD">
        <w:rPr>
          <w:rFonts w:ascii="Arial" w:eastAsia="Calibri" w:hAnsi="Arial" w:cs="Arial"/>
          <w:sz w:val="22"/>
          <w:lang w:val="es-ES_tradnl"/>
        </w:rPr>
        <w:t>que</w:t>
      </w:r>
      <w:proofErr w:type="gramEnd"/>
      <w:r w:rsidR="003C59BD">
        <w:rPr>
          <w:rFonts w:ascii="Arial" w:eastAsia="Calibri" w:hAnsi="Arial" w:cs="Arial"/>
          <w:sz w:val="22"/>
          <w:lang w:val="es-ES_tradnl"/>
        </w:rPr>
        <w:t xml:space="preserve"> </w:t>
      </w:r>
      <w:r w:rsidR="001B223C">
        <w:rPr>
          <w:rFonts w:ascii="Arial" w:eastAsia="Calibri" w:hAnsi="Arial" w:cs="Arial"/>
          <w:sz w:val="22"/>
          <w:lang w:val="es-ES_tradnl"/>
        </w:rPr>
        <w:t>para establecer la configuración de la citada causal de inhabilidad, debe acudir</w:t>
      </w:r>
      <w:r w:rsidR="002F6746">
        <w:rPr>
          <w:rFonts w:ascii="Arial" w:eastAsia="Calibri" w:hAnsi="Arial" w:cs="Arial"/>
          <w:sz w:val="22"/>
          <w:lang w:val="es-ES_tradnl"/>
        </w:rPr>
        <w:t>se</w:t>
      </w:r>
      <w:r w:rsidR="001B223C">
        <w:rPr>
          <w:rFonts w:ascii="Arial" w:eastAsia="Calibri" w:hAnsi="Arial" w:cs="Arial"/>
          <w:sz w:val="22"/>
          <w:lang w:val="es-ES_tradnl"/>
        </w:rPr>
        <w:t xml:space="preserve"> a los </w:t>
      </w:r>
      <w:r w:rsidR="006B0DE2">
        <w:rPr>
          <w:rFonts w:ascii="Arial" w:eastAsia="Calibri" w:hAnsi="Arial" w:cs="Arial"/>
          <w:sz w:val="22"/>
          <w:lang w:val="es-ES_tradnl"/>
        </w:rPr>
        <w:t>conceptos y criterios definidos en el Código Civil, especialmente, lo dispuesto en los artículos 3</w:t>
      </w:r>
      <w:r w:rsidR="00DA2323">
        <w:rPr>
          <w:rFonts w:ascii="Arial" w:eastAsia="Calibri" w:hAnsi="Arial" w:cs="Arial"/>
          <w:sz w:val="22"/>
          <w:lang w:val="es-ES_tradnl"/>
        </w:rPr>
        <w:t>5</w:t>
      </w:r>
      <w:r w:rsidR="006B0DE2">
        <w:rPr>
          <w:rFonts w:ascii="Arial" w:eastAsia="Calibri" w:hAnsi="Arial" w:cs="Arial"/>
          <w:sz w:val="22"/>
          <w:lang w:val="es-ES_tradnl"/>
        </w:rPr>
        <w:t xml:space="preserve">, 37 y </w:t>
      </w:r>
      <w:r w:rsidR="00DA2323">
        <w:rPr>
          <w:rFonts w:ascii="Arial" w:eastAsia="Calibri" w:hAnsi="Arial" w:cs="Arial"/>
          <w:sz w:val="22"/>
          <w:lang w:val="es-ES_tradnl"/>
        </w:rPr>
        <w:t xml:space="preserve">47, relacionados </w:t>
      </w:r>
      <w:r w:rsidR="00E758DE">
        <w:rPr>
          <w:rFonts w:ascii="Arial" w:eastAsia="Calibri" w:hAnsi="Arial" w:cs="Arial"/>
          <w:sz w:val="22"/>
          <w:lang w:val="es-ES_tradnl"/>
        </w:rPr>
        <w:t>con el parentesco de consanguinidad, los grados de consanguinidad y la afinidad legítima, respectivamente.</w:t>
      </w:r>
      <w:r w:rsidR="002F6746">
        <w:rPr>
          <w:rFonts w:ascii="Arial" w:eastAsia="Calibri" w:hAnsi="Arial" w:cs="Arial"/>
          <w:sz w:val="22"/>
          <w:lang w:val="es-ES_tradnl"/>
        </w:rPr>
        <w:t xml:space="preserve"> </w:t>
      </w:r>
      <w:r w:rsidR="00263319">
        <w:rPr>
          <w:rFonts w:ascii="Arial" w:eastAsia="Calibri" w:hAnsi="Arial" w:cs="Arial"/>
          <w:sz w:val="22"/>
          <w:lang w:val="es-ES_tradnl"/>
        </w:rPr>
        <w:t>Además, e</w:t>
      </w:r>
      <w:r w:rsidR="00287306">
        <w:rPr>
          <w:rFonts w:ascii="Arial" w:eastAsia="Calibri" w:hAnsi="Arial" w:cs="Arial"/>
          <w:sz w:val="22"/>
          <w:lang w:val="es-ES_tradnl"/>
        </w:rPr>
        <w:t>n concepto</w:t>
      </w:r>
      <w:r w:rsidR="006D0D7C">
        <w:rPr>
          <w:rFonts w:ascii="Arial" w:eastAsia="Calibri" w:hAnsi="Arial" w:cs="Arial"/>
          <w:sz w:val="22"/>
          <w:lang w:val="es-ES_tradnl"/>
        </w:rPr>
        <w:t xml:space="preserve"> No.</w:t>
      </w:r>
      <w:r w:rsidR="00287306">
        <w:rPr>
          <w:rFonts w:ascii="Arial" w:eastAsia="Calibri" w:hAnsi="Arial" w:cs="Arial"/>
          <w:sz w:val="22"/>
          <w:lang w:val="es-ES_tradnl"/>
        </w:rPr>
        <w:t xml:space="preserve"> </w:t>
      </w:r>
      <w:r w:rsidR="006D0D7C" w:rsidRPr="006D0D7C">
        <w:rPr>
          <w:rFonts w:ascii="Arial" w:eastAsia="Calibri" w:hAnsi="Arial" w:cs="Arial"/>
          <w:sz w:val="22"/>
          <w:lang w:val="es-ES_tradnl"/>
        </w:rPr>
        <w:t>4201913000008203</w:t>
      </w:r>
      <w:r w:rsidR="002F6746">
        <w:rPr>
          <w:rFonts w:ascii="Arial" w:eastAsia="Calibri" w:hAnsi="Arial" w:cs="Arial"/>
          <w:sz w:val="22"/>
          <w:lang w:val="es-ES_tradnl"/>
        </w:rPr>
        <w:t xml:space="preserve"> </w:t>
      </w:r>
      <w:r w:rsidR="006D0D7C">
        <w:rPr>
          <w:rFonts w:ascii="Arial" w:eastAsia="Calibri" w:hAnsi="Arial" w:cs="Arial"/>
          <w:sz w:val="22"/>
          <w:lang w:val="es-ES_tradnl"/>
        </w:rPr>
        <w:t xml:space="preserve">del 20 de diciembre de 2019, se indicó </w:t>
      </w:r>
      <w:r w:rsidR="00CA24B6">
        <w:rPr>
          <w:rFonts w:ascii="Arial" w:eastAsia="Calibri" w:hAnsi="Arial" w:cs="Arial"/>
          <w:sz w:val="22"/>
          <w:lang w:val="es-ES_tradnl"/>
        </w:rPr>
        <w:t xml:space="preserve">que esta causal de inhabilidad se aplica a todos los procesos de selección de contratistas </w:t>
      </w:r>
      <w:r w:rsidR="00F8304F">
        <w:rPr>
          <w:rFonts w:ascii="Arial" w:eastAsia="Calibri" w:hAnsi="Arial" w:cs="Arial"/>
          <w:sz w:val="22"/>
          <w:lang w:val="es-ES_tradnl"/>
        </w:rPr>
        <w:t xml:space="preserve">que </w:t>
      </w:r>
      <w:r w:rsidR="00F8304F">
        <w:rPr>
          <w:rFonts w:ascii="Arial" w:eastAsia="Calibri" w:hAnsi="Arial" w:cs="Arial"/>
          <w:sz w:val="22"/>
          <w:lang w:val="es-ES_tradnl"/>
        </w:rPr>
        <w:lastRenderedPageBreak/>
        <w:t>conllevan la participación plural de interesados, es decir que</w:t>
      </w:r>
      <w:r w:rsidR="008921DA">
        <w:rPr>
          <w:rFonts w:ascii="Arial" w:eastAsia="Calibri" w:hAnsi="Arial" w:cs="Arial"/>
          <w:sz w:val="22"/>
          <w:lang w:val="es-ES_tradnl"/>
        </w:rPr>
        <w:t xml:space="preserve"> no hay lugar a la configuración de e</w:t>
      </w:r>
      <w:r w:rsidR="008921DA" w:rsidRPr="00A84DE8">
        <w:rPr>
          <w:rFonts w:ascii="Arial" w:eastAsia="Calibri" w:hAnsi="Arial" w:cs="Arial"/>
          <w:sz w:val="22"/>
          <w:lang w:val="es-ES_tradnl"/>
        </w:rPr>
        <w:t>sta causal de inhabilidad en los procesos de contratación directa.</w:t>
      </w:r>
    </w:p>
    <w:p w14:paraId="42A59C2C" w14:textId="4BCC041D" w:rsidR="00BD20DE" w:rsidRPr="00A84DE8" w:rsidRDefault="00E662BF" w:rsidP="00541738">
      <w:pPr>
        <w:spacing w:before="120" w:after="120" w:line="276" w:lineRule="auto"/>
        <w:ind w:firstLine="709"/>
        <w:jc w:val="both"/>
        <w:rPr>
          <w:rFonts w:ascii="Arial" w:eastAsia="Calibri" w:hAnsi="Arial" w:cs="Arial"/>
          <w:sz w:val="22"/>
        </w:rPr>
      </w:pPr>
      <w:r w:rsidRPr="00A84DE8">
        <w:rPr>
          <w:rFonts w:ascii="Arial" w:eastAsia="Calibri" w:hAnsi="Arial" w:cs="Arial"/>
          <w:sz w:val="22"/>
          <w:lang w:val="es-ES_tradnl"/>
        </w:rPr>
        <w:t>Ahora bien</w:t>
      </w:r>
      <w:r w:rsidR="00EF09B7" w:rsidRPr="00A84DE8">
        <w:rPr>
          <w:rFonts w:ascii="Arial" w:eastAsia="Calibri" w:hAnsi="Arial" w:cs="Arial"/>
          <w:sz w:val="22"/>
          <w:lang w:val="es-ES_tradnl"/>
        </w:rPr>
        <w:t xml:space="preserve">, </w:t>
      </w:r>
      <w:r w:rsidR="008030AB" w:rsidRPr="00A84DE8">
        <w:rPr>
          <w:rFonts w:ascii="Arial" w:eastAsia="Calibri" w:hAnsi="Arial" w:cs="Arial"/>
          <w:sz w:val="22"/>
          <w:lang w:val="es-ES_tradnl"/>
        </w:rPr>
        <w:t>en relación con los</w:t>
      </w:r>
      <w:r w:rsidR="00EF09B7" w:rsidRPr="00A84DE8">
        <w:rPr>
          <w:rFonts w:ascii="Arial" w:eastAsia="Calibri" w:hAnsi="Arial" w:cs="Arial"/>
          <w:sz w:val="22"/>
          <w:lang w:val="es-ES_tradnl"/>
        </w:rPr>
        <w:t xml:space="preserve"> proponentes plurales</w:t>
      </w:r>
      <w:r w:rsidR="00217434" w:rsidRPr="00A84DE8">
        <w:rPr>
          <w:rFonts w:ascii="Arial" w:eastAsia="Calibri" w:hAnsi="Arial" w:cs="Arial"/>
          <w:sz w:val="22"/>
          <w:lang w:val="es-ES_tradnl"/>
        </w:rPr>
        <w:t xml:space="preserve">, el </w:t>
      </w:r>
      <w:r w:rsidR="00BD20DE" w:rsidRPr="00A84DE8">
        <w:rPr>
          <w:rFonts w:ascii="Arial" w:eastAsia="Calibri" w:hAnsi="Arial" w:cs="Arial"/>
          <w:sz w:val="22"/>
        </w:rPr>
        <w:t>artículo 7 de la Ley 80 de 1993 define al consorcio y a la unión temporal como la unión de dos o más personas que presentan la misma propuesta para la adjudicación, celebración y ejecución de un contrato, pero su responsabilidad por las obligaciones derivadas de la propuesta y el contrato es diferente</w:t>
      </w:r>
      <w:r w:rsidR="00BD20DE" w:rsidRPr="00A84DE8">
        <w:rPr>
          <w:rStyle w:val="Refdenotaalpie"/>
          <w:rFonts w:ascii="Arial" w:eastAsia="Calibri" w:hAnsi="Arial" w:cs="Arial"/>
          <w:sz w:val="22"/>
        </w:rPr>
        <w:footnoteReference w:id="33"/>
      </w:r>
      <w:r w:rsidR="00BD20DE" w:rsidRPr="00A84DE8">
        <w:rPr>
          <w:rFonts w:ascii="Arial" w:eastAsia="Calibri" w:hAnsi="Arial" w:cs="Arial"/>
          <w:sz w:val="22"/>
        </w:rPr>
        <w:t>. Por su parte, la Corte Constitucional señala que el consorcio es una figura propia del derecho privado, utilizado como un instrumento de cooperación entre empresas, que les permita unir esfuerzos para la celebración y ejecución de un contrato con el Estado, sin que por ello pierdan su individualidad jurídica</w:t>
      </w:r>
      <w:r w:rsidR="00BD20DE" w:rsidRPr="00A84DE8">
        <w:rPr>
          <w:rStyle w:val="Refdenotaalpie"/>
          <w:rFonts w:ascii="Arial" w:eastAsia="Calibri" w:hAnsi="Arial" w:cs="Arial"/>
          <w:sz w:val="22"/>
        </w:rPr>
        <w:footnoteReference w:id="34"/>
      </w:r>
      <w:r w:rsidR="00BD20DE" w:rsidRPr="00A84DE8">
        <w:rPr>
          <w:rFonts w:ascii="Arial" w:eastAsia="Calibri" w:hAnsi="Arial" w:cs="Arial"/>
          <w:sz w:val="22"/>
        </w:rPr>
        <w:t>.</w:t>
      </w:r>
    </w:p>
    <w:p w14:paraId="479D49FB" w14:textId="579FC723" w:rsidR="00E41056" w:rsidRPr="00A84DE8" w:rsidRDefault="00BD20DE" w:rsidP="00DB50A1">
      <w:pPr>
        <w:spacing w:before="120" w:after="120" w:line="276" w:lineRule="auto"/>
        <w:ind w:firstLine="709"/>
        <w:jc w:val="both"/>
        <w:rPr>
          <w:rFonts w:ascii="Arial" w:eastAsia="Calibri" w:hAnsi="Arial" w:cs="Arial"/>
          <w:sz w:val="22"/>
        </w:rPr>
      </w:pPr>
      <w:r w:rsidRPr="00A84DE8">
        <w:rPr>
          <w:rFonts w:ascii="Arial" w:eastAsia="Calibri" w:hAnsi="Arial" w:cs="Arial"/>
          <w:sz w:val="22"/>
        </w:rPr>
        <w:t>De esta manera, 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w:t>
      </w:r>
      <w:r w:rsidR="008030AB" w:rsidRPr="00A84DE8">
        <w:rPr>
          <w:rFonts w:ascii="Arial" w:eastAsia="Calibri" w:hAnsi="Arial" w:cs="Arial"/>
          <w:sz w:val="22"/>
        </w:rPr>
        <w:t xml:space="preserve"> para la ejecución del objeto contractual</w:t>
      </w:r>
      <w:r w:rsidRPr="00A84DE8">
        <w:rPr>
          <w:rFonts w:ascii="Arial" w:eastAsia="Calibri" w:hAnsi="Arial" w:cs="Arial"/>
          <w:sz w:val="22"/>
        </w:rPr>
        <w:t>.</w:t>
      </w:r>
    </w:p>
    <w:p w14:paraId="522FE290" w14:textId="179EAFA0" w:rsidR="00BD20DE" w:rsidRPr="00A84DE8" w:rsidRDefault="00BD20DE" w:rsidP="00541738">
      <w:pPr>
        <w:spacing w:before="120" w:line="276" w:lineRule="auto"/>
        <w:ind w:firstLine="709"/>
        <w:jc w:val="both"/>
        <w:rPr>
          <w:rFonts w:ascii="Arial" w:eastAsia="Calibri" w:hAnsi="Arial" w:cs="Arial"/>
          <w:sz w:val="22"/>
        </w:rPr>
      </w:pPr>
      <w:r w:rsidRPr="00A84DE8">
        <w:rPr>
          <w:rFonts w:ascii="Arial" w:eastAsia="Calibri" w:hAnsi="Arial" w:cs="Arial"/>
          <w:sz w:val="22"/>
        </w:rPr>
        <w:t xml:space="preserve"> Así pues, respecto de la capacidad jurídica, que es un requisito habilitante, de acuerdo con la Ley 1150 de 2007</w:t>
      </w:r>
      <w:r w:rsidRPr="00A84DE8">
        <w:rPr>
          <w:rStyle w:val="Refdenotaalpie"/>
          <w:rFonts w:ascii="Arial" w:eastAsia="Calibri" w:hAnsi="Arial" w:cs="Arial"/>
          <w:sz w:val="22"/>
        </w:rPr>
        <w:footnoteReference w:id="35"/>
      </w:r>
      <w:r w:rsidRPr="00A84DE8">
        <w:rPr>
          <w:rFonts w:ascii="Arial" w:eastAsia="Calibri" w:hAnsi="Arial" w:cs="Arial"/>
          <w:sz w:val="22"/>
        </w:rPr>
        <w:t xml:space="preserve">, y que se relaciona directamente con las inhabilidades </w:t>
      </w:r>
      <w:r w:rsidRPr="00A84DE8">
        <w:rPr>
          <w:rFonts w:ascii="Arial" w:eastAsia="Calibri" w:hAnsi="Arial" w:cs="Arial"/>
          <w:sz w:val="22"/>
        </w:rPr>
        <w:lastRenderedPageBreak/>
        <w:t xml:space="preserve">e incompatibilidades, teniendo en cuenta que son un límite a la capacidad, que permite ofertar y contratar, esta debe ser evaluada respecto de cada miembro del proponente plural. En consecuencia, </w:t>
      </w:r>
      <w:bookmarkStart w:id="2" w:name="_Hlk21441913"/>
      <w:r w:rsidRPr="00A84DE8">
        <w:rPr>
          <w:rFonts w:ascii="Arial" w:eastAsia="Calibri" w:hAnsi="Arial" w:cs="Arial"/>
          <w:sz w:val="22"/>
        </w:rPr>
        <w:t>el Consejo de Estado, Sección Tercera, estableció lo que sucede con un consorcio o unión temporal cuando uno de sus miembros está inhabilitado, es decir que no tenga capacidad para presentar oferta y/o contratar:</w:t>
      </w:r>
    </w:p>
    <w:p w14:paraId="12138B4D" w14:textId="77777777" w:rsidR="00BD20DE" w:rsidRPr="00A84DE8" w:rsidRDefault="00BD20DE" w:rsidP="00EE2038">
      <w:pPr>
        <w:spacing w:line="276" w:lineRule="auto"/>
        <w:jc w:val="both"/>
        <w:rPr>
          <w:rFonts w:ascii="Arial" w:eastAsia="Calibri" w:hAnsi="Arial" w:cs="Arial"/>
          <w:sz w:val="22"/>
        </w:rPr>
      </w:pPr>
    </w:p>
    <w:p w14:paraId="089355CB" w14:textId="6CC6A94B" w:rsidR="002B307D" w:rsidRPr="00A84DE8" w:rsidRDefault="00BD20DE" w:rsidP="00541738">
      <w:pPr>
        <w:spacing w:after="120"/>
        <w:ind w:left="709" w:right="709"/>
        <w:jc w:val="both"/>
        <w:rPr>
          <w:rFonts w:ascii="Arial" w:eastAsia="Calibri" w:hAnsi="Arial" w:cs="Arial"/>
          <w:sz w:val="21"/>
          <w:szCs w:val="21"/>
        </w:rPr>
      </w:pPr>
      <w:r w:rsidRPr="00A84DE8">
        <w:rPr>
          <w:rFonts w:ascii="Arial" w:eastAsia="Calibri" w:hAnsi="Arial" w:cs="Arial"/>
          <w:sz w:val="21"/>
          <w:szCs w:val="21"/>
        </w:rPr>
        <w:t>Toda vez que el consorcio o la unión temporal no constituye una persona diferente de los miembros que lo conforman, no puede afirmarse, como lo hace la entidad pública demandada, que la inhabilidad que recaía sobre el señor Héctor Tangarife no afectaba al consorcio, toda vez que la capacidad legal para presentar propuestas y para celebrar contratos se predica de todos y cada uno de sus miembros, por cuanto la participación en la licitación mediante la figura del consorcio no puede servir de pretexto para esconder irregularidades.</w:t>
      </w:r>
    </w:p>
    <w:p w14:paraId="0FA83808" w14:textId="1749B3F7" w:rsidR="008030AB" w:rsidRDefault="00BD20DE" w:rsidP="009B6731">
      <w:pPr>
        <w:ind w:left="709" w:right="709"/>
        <w:jc w:val="both"/>
        <w:rPr>
          <w:rFonts w:ascii="Arial" w:eastAsia="Calibri" w:hAnsi="Arial" w:cs="Arial"/>
          <w:sz w:val="21"/>
          <w:szCs w:val="21"/>
        </w:rPr>
      </w:pPr>
      <w:r w:rsidRPr="00A84DE8">
        <w:rPr>
          <w:rFonts w:ascii="Arial" w:eastAsia="Calibri" w:hAnsi="Arial" w:cs="Arial"/>
          <w:sz w:val="21"/>
          <w:szCs w:val="21"/>
        </w:rPr>
        <w:t>Cabe advertir que en tanto alguno de los miembros de un consorcio o de una unión temporal se encuentre en situación de inhabilidad o de incompatibilidad, el consorcio o la unión temporal no puede ser proponente o contratista del Estado</w:t>
      </w:r>
      <w:r w:rsidR="00E55B08" w:rsidRPr="00A84DE8">
        <w:rPr>
          <w:rStyle w:val="Refdenotaalpie"/>
          <w:rFonts w:ascii="Arial" w:eastAsia="Calibri" w:hAnsi="Arial" w:cs="Arial"/>
          <w:sz w:val="21"/>
          <w:szCs w:val="21"/>
        </w:rPr>
        <w:footnoteReference w:id="36"/>
      </w:r>
      <w:r w:rsidRPr="00A84DE8">
        <w:rPr>
          <w:rFonts w:ascii="Arial" w:eastAsia="Calibri" w:hAnsi="Arial" w:cs="Arial"/>
          <w:sz w:val="21"/>
          <w:szCs w:val="21"/>
        </w:rPr>
        <w:t>.</w:t>
      </w:r>
      <w:bookmarkEnd w:id="2"/>
    </w:p>
    <w:p w14:paraId="138EF83E" w14:textId="77777777" w:rsidR="009B6731" w:rsidRDefault="009B6731" w:rsidP="00541738">
      <w:pPr>
        <w:ind w:left="709" w:right="709"/>
        <w:jc w:val="both"/>
        <w:rPr>
          <w:rFonts w:ascii="Arial" w:eastAsia="Calibri" w:hAnsi="Arial" w:cs="Arial"/>
          <w:sz w:val="22"/>
          <w:lang w:val="es-ES_tradnl"/>
        </w:rPr>
      </w:pPr>
    </w:p>
    <w:p w14:paraId="22F27F60" w14:textId="17ADEE4E" w:rsidR="009B106D" w:rsidRDefault="00AC1A51" w:rsidP="00541738">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Finalmente,</w:t>
      </w:r>
      <w:r w:rsidR="00760870">
        <w:rPr>
          <w:rFonts w:ascii="Arial" w:eastAsia="Calibri" w:hAnsi="Arial" w:cs="Arial"/>
          <w:sz w:val="22"/>
          <w:lang w:val="es-ES_tradnl"/>
        </w:rPr>
        <w:t xml:space="preserve"> </w:t>
      </w:r>
      <w:r w:rsidR="008B1975">
        <w:rPr>
          <w:rFonts w:ascii="Arial" w:eastAsia="Calibri" w:hAnsi="Arial" w:cs="Arial"/>
          <w:sz w:val="22"/>
          <w:lang w:val="es-ES_tradnl"/>
        </w:rPr>
        <w:t xml:space="preserve">se precisa que la citada inhabilidad se predica </w:t>
      </w:r>
      <w:r w:rsidR="00100938">
        <w:rPr>
          <w:rFonts w:ascii="Arial" w:eastAsia="Calibri" w:hAnsi="Arial" w:cs="Arial"/>
          <w:sz w:val="22"/>
          <w:lang w:val="es-ES_tradnl"/>
        </w:rPr>
        <w:t>de las personas que</w:t>
      </w:r>
      <w:r w:rsidR="003F46D5">
        <w:rPr>
          <w:rFonts w:ascii="Arial" w:eastAsia="Calibri" w:hAnsi="Arial" w:cs="Arial"/>
          <w:sz w:val="22"/>
          <w:lang w:val="es-ES_tradnl"/>
        </w:rPr>
        <w:t xml:space="preserve"> ostentan vínculos e</w:t>
      </w:r>
      <w:r w:rsidR="00100938">
        <w:rPr>
          <w:rFonts w:ascii="Arial" w:eastAsia="Calibri" w:hAnsi="Arial" w:cs="Arial"/>
          <w:sz w:val="22"/>
          <w:lang w:val="es-ES_tradnl"/>
        </w:rPr>
        <w:t>n los términos</w:t>
      </w:r>
      <w:r w:rsidR="003F46D5">
        <w:rPr>
          <w:rFonts w:ascii="Arial" w:eastAsia="Calibri" w:hAnsi="Arial" w:cs="Arial"/>
          <w:sz w:val="22"/>
          <w:lang w:val="es-ES_tradnl"/>
        </w:rPr>
        <w:t xml:space="preserve"> expuestos</w:t>
      </w:r>
      <w:r w:rsidR="00D2223C">
        <w:rPr>
          <w:rFonts w:ascii="Arial" w:eastAsia="Calibri" w:hAnsi="Arial" w:cs="Arial"/>
          <w:sz w:val="22"/>
          <w:lang w:val="es-ES_tradnl"/>
        </w:rPr>
        <w:t xml:space="preserve"> y que presenten formalmente ofertas</w:t>
      </w:r>
      <w:r w:rsidR="00210334">
        <w:rPr>
          <w:rFonts w:ascii="Arial" w:eastAsia="Calibri" w:hAnsi="Arial" w:cs="Arial"/>
          <w:sz w:val="22"/>
          <w:lang w:val="es-ES_tradnl"/>
        </w:rPr>
        <w:t xml:space="preserve"> en un proceso de contratación</w:t>
      </w:r>
      <w:r w:rsidR="00D2223C">
        <w:rPr>
          <w:rFonts w:ascii="Arial" w:eastAsia="Calibri" w:hAnsi="Arial" w:cs="Arial"/>
          <w:sz w:val="22"/>
          <w:lang w:val="es-ES_tradnl"/>
        </w:rPr>
        <w:t xml:space="preserve"> después </w:t>
      </w:r>
      <w:r w:rsidR="00326996">
        <w:rPr>
          <w:rFonts w:ascii="Arial" w:eastAsia="Calibri" w:hAnsi="Arial" w:cs="Arial"/>
          <w:sz w:val="22"/>
          <w:lang w:val="es-ES_tradnl"/>
        </w:rPr>
        <w:t>que lo ha hecho su esposo, esposa</w:t>
      </w:r>
      <w:r w:rsidR="00661374">
        <w:rPr>
          <w:rFonts w:ascii="Arial" w:eastAsia="Calibri" w:hAnsi="Arial" w:cs="Arial"/>
          <w:sz w:val="22"/>
          <w:lang w:val="es-ES_tradnl"/>
        </w:rPr>
        <w:t>,</w:t>
      </w:r>
      <w:r w:rsidR="00326996">
        <w:rPr>
          <w:rFonts w:ascii="Arial" w:eastAsia="Calibri" w:hAnsi="Arial" w:cs="Arial"/>
          <w:sz w:val="22"/>
          <w:lang w:val="es-ES_tradnl"/>
        </w:rPr>
        <w:t xml:space="preserve"> compañero(a) perm</w:t>
      </w:r>
      <w:r w:rsidR="00661374">
        <w:rPr>
          <w:rFonts w:ascii="Arial" w:eastAsia="Calibri" w:hAnsi="Arial" w:cs="Arial"/>
          <w:sz w:val="22"/>
          <w:lang w:val="es-ES_tradnl"/>
        </w:rPr>
        <w:t>a</w:t>
      </w:r>
      <w:r w:rsidR="00326996">
        <w:rPr>
          <w:rFonts w:ascii="Arial" w:eastAsia="Calibri" w:hAnsi="Arial" w:cs="Arial"/>
          <w:sz w:val="22"/>
          <w:lang w:val="es-ES_tradnl"/>
        </w:rPr>
        <w:t>n</w:t>
      </w:r>
      <w:r w:rsidR="00661374">
        <w:rPr>
          <w:rFonts w:ascii="Arial" w:eastAsia="Calibri" w:hAnsi="Arial" w:cs="Arial"/>
          <w:sz w:val="22"/>
          <w:lang w:val="es-ES_tradnl"/>
        </w:rPr>
        <w:t>en</w:t>
      </w:r>
      <w:r w:rsidR="00326996">
        <w:rPr>
          <w:rFonts w:ascii="Arial" w:eastAsia="Calibri" w:hAnsi="Arial" w:cs="Arial"/>
          <w:sz w:val="22"/>
          <w:lang w:val="es-ES_tradnl"/>
        </w:rPr>
        <w:t>te</w:t>
      </w:r>
      <w:r w:rsidR="00661374">
        <w:rPr>
          <w:rFonts w:ascii="Arial" w:eastAsia="Calibri" w:hAnsi="Arial" w:cs="Arial"/>
          <w:sz w:val="22"/>
          <w:lang w:val="es-ES_tradnl"/>
        </w:rPr>
        <w:t xml:space="preserve"> o</w:t>
      </w:r>
      <w:r w:rsidR="00326996">
        <w:rPr>
          <w:rFonts w:ascii="Arial" w:eastAsia="Calibri" w:hAnsi="Arial" w:cs="Arial"/>
          <w:sz w:val="22"/>
          <w:lang w:val="es-ES_tradnl"/>
        </w:rPr>
        <w:t xml:space="preserve"> </w:t>
      </w:r>
      <w:r w:rsidR="00210334">
        <w:rPr>
          <w:rFonts w:ascii="Arial" w:eastAsia="Calibri" w:hAnsi="Arial" w:cs="Arial"/>
          <w:sz w:val="22"/>
          <w:lang w:val="es-ES_tradnl"/>
        </w:rPr>
        <w:t>algún pariente hasta el segundo grado de consanguinidad o afinidad;</w:t>
      </w:r>
      <w:r w:rsidR="009B106D">
        <w:rPr>
          <w:rFonts w:ascii="Arial" w:eastAsia="Calibri" w:hAnsi="Arial" w:cs="Arial"/>
          <w:sz w:val="22"/>
          <w:lang w:val="es-ES_tradnl"/>
        </w:rPr>
        <w:t xml:space="preserve"> es </w:t>
      </w:r>
      <w:r w:rsidR="00210334">
        <w:rPr>
          <w:rFonts w:ascii="Arial" w:eastAsia="Calibri" w:hAnsi="Arial" w:cs="Arial"/>
          <w:sz w:val="22"/>
          <w:lang w:val="es-ES_tradnl"/>
        </w:rPr>
        <w:t xml:space="preserve">por esa razón </w:t>
      </w:r>
      <w:r w:rsidR="009B106D">
        <w:rPr>
          <w:rFonts w:ascii="Arial" w:eastAsia="Calibri" w:hAnsi="Arial" w:cs="Arial"/>
          <w:sz w:val="22"/>
          <w:lang w:val="es-ES_tradnl"/>
        </w:rPr>
        <w:t xml:space="preserve">que en el artículo </w:t>
      </w:r>
      <w:r w:rsidR="00E92F0E">
        <w:rPr>
          <w:rFonts w:ascii="Arial" w:eastAsia="Calibri" w:hAnsi="Arial" w:cs="Arial"/>
          <w:sz w:val="22"/>
          <w:lang w:val="es-ES_tradnl"/>
        </w:rPr>
        <w:t>2.2.1.1.2.2.5 del Decreto 1082 de 2015,</w:t>
      </w:r>
      <w:r w:rsidR="00545342">
        <w:rPr>
          <w:rFonts w:ascii="Arial" w:eastAsia="Calibri" w:hAnsi="Arial" w:cs="Arial"/>
          <w:sz w:val="22"/>
          <w:lang w:val="es-ES_tradnl"/>
        </w:rPr>
        <w:t xml:space="preserve"> </w:t>
      </w:r>
      <w:r w:rsidR="009B106D">
        <w:rPr>
          <w:rFonts w:ascii="Arial" w:eastAsia="Calibri" w:hAnsi="Arial" w:cs="Arial"/>
          <w:sz w:val="22"/>
          <w:lang w:val="es-ES_tradnl"/>
        </w:rPr>
        <w:t xml:space="preserve">se dispuso </w:t>
      </w:r>
      <w:r w:rsidR="00A01B62">
        <w:rPr>
          <w:rFonts w:ascii="Arial" w:eastAsia="Calibri" w:hAnsi="Arial" w:cs="Arial"/>
          <w:sz w:val="22"/>
          <w:lang w:val="es-ES_tradnl"/>
        </w:rPr>
        <w:t>que la entidad estatal contratante dejar</w:t>
      </w:r>
      <w:r w:rsidR="00263319">
        <w:rPr>
          <w:rFonts w:ascii="Arial" w:eastAsia="Calibri" w:hAnsi="Arial" w:cs="Arial"/>
          <w:sz w:val="22"/>
          <w:lang w:val="es-ES_tradnl"/>
        </w:rPr>
        <w:t>á</w:t>
      </w:r>
      <w:r w:rsidR="00A01B62">
        <w:rPr>
          <w:rFonts w:ascii="Arial" w:eastAsia="Calibri" w:hAnsi="Arial" w:cs="Arial"/>
          <w:sz w:val="22"/>
          <w:lang w:val="es-ES_tradnl"/>
        </w:rPr>
        <w:t xml:space="preserve"> constancia de la fecha y hora </w:t>
      </w:r>
      <w:r w:rsidR="00962025">
        <w:rPr>
          <w:rFonts w:ascii="Arial" w:eastAsia="Calibri" w:hAnsi="Arial" w:cs="Arial"/>
          <w:sz w:val="22"/>
          <w:lang w:val="es-ES_tradnl"/>
        </w:rPr>
        <w:t>en que recibió las correspondientes ofertas, para establecer</w:t>
      </w:r>
      <w:r w:rsidR="00CF0863">
        <w:rPr>
          <w:rFonts w:ascii="Arial" w:eastAsia="Calibri" w:hAnsi="Arial" w:cs="Arial"/>
          <w:sz w:val="22"/>
          <w:lang w:val="es-ES_tradnl"/>
        </w:rPr>
        <w:t xml:space="preserve"> </w:t>
      </w:r>
      <w:proofErr w:type="spellStart"/>
      <w:r w:rsidR="00CF0863">
        <w:rPr>
          <w:rFonts w:ascii="Arial" w:eastAsia="Calibri" w:hAnsi="Arial" w:cs="Arial"/>
          <w:sz w:val="22"/>
          <w:lang w:val="es-ES_tradnl"/>
        </w:rPr>
        <w:t>cual</w:t>
      </w:r>
      <w:proofErr w:type="spellEnd"/>
      <w:r w:rsidR="00CF0863">
        <w:rPr>
          <w:rFonts w:ascii="Arial" w:eastAsia="Calibri" w:hAnsi="Arial" w:cs="Arial"/>
          <w:sz w:val="22"/>
          <w:lang w:val="es-ES_tradnl"/>
        </w:rPr>
        <w:t xml:space="preserve"> fue la primera en el tiempo y</w:t>
      </w:r>
      <w:r w:rsidR="004444F8">
        <w:rPr>
          <w:rFonts w:ascii="Arial" w:eastAsia="Calibri" w:hAnsi="Arial" w:cs="Arial"/>
          <w:sz w:val="22"/>
          <w:lang w:val="es-ES_tradnl"/>
        </w:rPr>
        <w:t>/o</w:t>
      </w:r>
      <w:r w:rsidR="00CF0863">
        <w:rPr>
          <w:rFonts w:ascii="Arial" w:eastAsia="Calibri" w:hAnsi="Arial" w:cs="Arial"/>
          <w:sz w:val="22"/>
          <w:lang w:val="es-ES_tradnl"/>
        </w:rPr>
        <w:t xml:space="preserve"> cual(es)</w:t>
      </w:r>
      <w:r w:rsidR="004444F8">
        <w:rPr>
          <w:rFonts w:ascii="Arial" w:eastAsia="Calibri" w:hAnsi="Arial" w:cs="Arial"/>
          <w:sz w:val="22"/>
          <w:lang w:val="es-ES_tradnl"/>
        </w:rPr>
        <w:t xml:space="preserve"> se encuentra(n) inhabilitada</w:t>
      </w:r>
      <w:r w:rsidR="00AE2951">
        <w:rPr>
          <w:rFonts w:ascii="Arial" w:eastAsia="Calibri" w:hAnsi="Arial" w:cs="Arial"/>
          <w:sz w:val="22"/>
          <w:lang w:val="es-ES_tradnl"/>
        </w:rPr>
        <w:t>(s)</w:t>
      </w:r>
      <w:r w:rsidR="004444F8">
        <w:rPr>
          <w:rFonts w:ascii="Arial" w:eastAsia="Calibri" w:hAnsi="Arial" w:cs="Arial"/>
          <w:sz w:val="22"/>
          <w:lang w:val="es-ES_tradnl"/>
        </w:rPr>
        <w:t xml:space="preserve"> acorde </w:t>
      </w:r>
      <w:r w:rsidR="00E0009D">
        <w:rPr>
          <w:rFonts w:ascii="Arial" w:eastAsia="Calibri" w:hAnsi="Arial" w:cs="Arial"/>
          <w:sz w:val="22"/>
          <w:lang w:val="es-ES_tradnl"/>
        </w:rPr>
        <w:t>a</w:t>
      </w:r>
      <w:r w:rsidR="004444F8">
        <w:rPr>
          <w:rFonts w:ascii="Arial" w:eastAsia="Calibri" w:hAnsi="Arial" w:cs="Arial"/>
          <w:sz w:val="22"/>
          <w:lang w:val="es-ES_tradnl"/>
        </w:rPr>
        <w:t>l literal g) del numeral 1 del artículo 8 de la Ley 80 de 1993.</w:t>
      </w:r>
    </w:p>
    <w:p w14:paraId="00EBCC32" w14:textId="1C7698C0" w:rsidR="00AE2951" w:rsidRPr="00451DFD" w:rsidRDefault="00AE2951" w:rsidP="009B6731">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_tradnl"/>
        </w:rPr>
        <w:t>En conclusió</w:t>
      </w:r>
      <w:r w:rsidR="00724B65">
        <w:rPr>
          <w:rFonts w:ascii="Arial" w:eastAsia="Calibri" w:hAnsi="Arial" w:cs="Arial"/>
          <w:sz w:val="22"/>
          <w:lang w:val="es-ES_tradnl"/>
        </w:rPr>
        <w:t>n</w:t>
      </w:r>
      <w:r w:rsidR="00E0009D">
        <w:rPr>
          <w:rFonts w:ascii="Arial" w:eastAsia="Calibri" w:hAnsi="Arial" w:cs="Arial"/>
          <w:sz w:val="22"/>
          <w:lang w:val="es-ES_tradnl"/>
        </w:rPr>
        <w:t>,</w:t>
      </w:r>
      <w:r w:rsidR="00724B65">
        <w:rPr>
          <w:rFonts w:ascii="Arial" w:eastAsia="Calibri" w:hAnsi="Arial" w:cs="Arial"/>
          <w:sz w:val="22"/>
          <w:lang w:val="es-ES_tradnl"/>
        </w:rPr>
        <w:t xml:space="preserve"> debido a que el régimen de inhabilidades se interpreta de manera restrictiva</w:t>
      </w:r>
      <w:r w:rsidR="002048F1">
        <w:rPr>
          <w:rFonts w:ascii="Arial" w:eastAsia="Calibri" w:hAnsi="Arial" w:cs="Arial"/>
          <w:sz w:val="22"/>
          <w:lang w:val="es-ES_tradnl"/>
        </w:rPr>
        <w:t>,</w:t>
      </w:r>
      <w:r w:rsidR="00724B65">
        <w:rPr>
          <w:rFonts w:ascii="Arial" w:eastAsia="Calibri" w:hAnsi="Arial" w:cs="Arial"/>
          <w:sz w:val="22"/>
          <w:lang w:val="es-ES_tradnl"/>
        </w:rPr>
        <w:t xml:space="preserve"> </w:t>
      </w:r>
      <w:r w:rsidR="00CD610C">
        <w:rPr>
          <w:rFonts w:ascii="Arial" w:eastAsia="Calibri" w:hAnsi="Arial" w:cs="Arial"/>
          <w:sz w:val="22"/>
          <w:lang w:val="es-ES_tradnl"/>
        </w:rPr>
        <w:t xml:space="preserve">la causal de inhabilidad </w:t>
      </w:r>
      <w:r w:rsidR="00E0009D">
        <w:rPr>
          <w:rFonts w:ascii="Arial" w:eastAsia="Calibri" w:hAnsi="Arial" w:cs="Arial"/>
          <w:sz w:val="22"/>
          <w:lang w:val="es-ES_tradnl"/>
        </w:rPr>
        <w:t xml:space="preserve">dispuesta </w:t>
      </w:r>
      <w:r w:rsidR="00CD610C">
        <w:rPr>
          <w:rFonts w:ascii="Arial" w:eastAsia="Calibri" w:hAnsi="Arial" w:cs="Arial"/>
          <w:sz w:val="22"/>
          <w:lang w:val="es-ES_tradnl"/>
        </w:rPr>
        <w:t xml:space="preserve">en el literal g) del numeral 1 del artículo 8 de la Ley 80 de 1993 se </w:t>
      </w:r>
      <w:r w:rsidR="00E0009D">
        <w:rPr>
          <w:rFonts w:ascii="Arial" w:eastAsia="Calibri" w:hAnsi="Arial" w:cs="Arial"/>
          <w:sz w:val="22"/>
          <w:lang w:val="es-ES_tradnl"/>
        </w:rPr>
        <w:t>refiere</w:t>
      </w:r>
      <w:r w:rsidR="00CD610C">
        <w:rPr>
          <w:rFonts w:ascii="Arial" w:eastAsia="Calibri" w:hAnsi="Arial" w:cs="Arial"/>
          <w:sz w:val="22"/>
          <w:lang w:val="es-ES_tradnl"/>
        </w:rPr>
        <w:t xml:space="preserve"> solamente de personas naturales, sin que exista posibilidad </w:t>
      </w:r>
      <w:r w:rsidR="000D4D30" w:rsidRPr="00451DFD">
        <w:rPr>
          <w:rFonts w:ascii="Arial" w:eastAsia="Calibri" w:hAnsi="Arial" w:cs="Arial"/>
          <w:sz w:val="22"/>
          <w:lang w:val="es-ES_tradnl"/>
        </w:rPr>
        <w:t>d</w:t>
      </w:r>
      <w:r w:rsidR="00CD610C" w:rsidRPr="00451DFD">
        <w:rPr>
          <w:rFonts w:ascii="Arial" w:eastAsia="Calibri" w:hAnsi="Arial" w:cs="Arial"/>
          <w:sz w:val="22"/>
          <w:lang w:val="es-ES_tradnl"/>
        </w:rPr>
        <w:t>e extender su aplicación a personas jurídicas,</w:t>
      </w:r>
      <w:r w:rsidR="00A92E0E" w:rsidRPr="00451DFD">
        <w:rPr>
          <w:rFonts w:ascii="Arial" w:eastAsia="Calibri" w:hAnsi="Arial" w:cs="Arial"/>
          <w:sz w:val="22"/>
          <w:lang w:val="es-ES_tradnl"/>
        </w:rPr>
        <w:t xml:space="preserve"> entendidas estas últimas </w:t>
      </w:r>
      <w:r w:rsidR="007B305E" w:rsidRPr="00451DFD">
        <w:rPr>
          <w:rFonts w:ascii="Arial" w:eastAsia="Calibri" w:hAnsi="Arial" w:cs="Arial"/>
          <w:sz w:val="22"/>
          <w:lang w:val="es-ES_tradnl"/>
        </w:rPr>
        <w:t xml:space="preserve">como </w:t>
      </w:r>
      <w:r w:rsidR="00FF3B2F" w:rsidRPr="00451DFD">
        <w:rPr>
          <w:rFonts w:ascii="Arial" w:eastAsia="Calibri" w:hAnsi="Arial" w:cs="Arial"/>
          <w:sz w:val="22"/>
          <w:lang w:val="es-ES_tradnl"/>
        </w:rPr>
        <w:t>su</w:t>
      </w:r>
      <w:r w:rsidR="003372DF" w:rsidRPr="00451DFD">
        <w:rPr>
          <w:rFonts w:ascii="Arial" w:eastAsia="Calibri" w:hAnsi="Arial" w:cs="Arial"/>
          <w:sz w:val="22"/>
          <w:lang w:val="es-ES_tradnl"/>
        </w:rPr>
        <w:t xml:space="preserve">jetos </w:t>
      </w:r>
      <w:r w:rsidR="003372DF" w:rsidRPr="00451DFD">
        <w:rPr>
          <w:rFonts w:ascii="Arial" w:eastAsia="Calibri" w:hAnsi="Arial" w:cs="Arial"/>
          <w:sz w:val="22"/>
          <w:lang w:val="es-ES_tradnl"/>
        </w:rPr>
        <w:lastRenderedPageBreak/>
        <w:t>capaces de ejercer derechos y contraer obligaciones</w:t>
      </w:r>
      <w:r w:rsidR="003372DF" w:rsidRPr="00451DFD">
        <w:rPr>
          <w:rStyle w:val="Refdenotaalpie"/>
          <w:rFonts w:ascii="Arial" w:eastAsia="Calibri" w:hAnsi="Arial" w:cs="Arial"/>
          <w:sz w:val="22"/>
          <w:lang w:val="es-ES_tradnl"/>
        </w:rPr>
        <w:footnoteReference w:id="37"/>
      </w:r>
      <w:r w:rsidR="00B21B99" w:rsidRPr="00451DFD">
        <w:rPr>
          <w:rFonts w:ascii="Arial" w:eastAsia="Calibri" w:hAnsi="Arial" w:cs="Arial"/>
          <w:sz w:val="22"/>
          <w:lang w:val="es-ES_tradnl"/>
        </w:rPr>
        <w:t>,</w:t>
      </w:r>
      <w:r w:rsidR="004870C2" w:rsidRPr="00451DFD">
        <w:rPr>
          <w:rFonts w:ascii="Arial" w:eastAsia="Calibri" w:hAnsi="Arial" w:cs="Arial"/>
          <w:sz w:val="22"/>
          <w:lang w:val="es-ES_tradnl"/>
        </w:rPr>
        <w:t xml:space="preserve"> cuya capacidad est</w:t>
      </w:r>
      <w:r w:rsidR="00724B65" w:rsidRPr="00451DFD">
        <w:rPr>
          <w:rFonts w:ascii="Arial" w:eastAsia="Calibri" w:hAnsi="Arial" w:cs="Arial"/>
          <w:sz w:val="22"/>
          <w:lang w:val="es-ES_tradnl"/>
        </w:rPr>
        <w:t>á</w:t>
      </w:r>
      <w:r w:rsidR="004870C2" w:rsidRPr="00451DFD">
        <w:rPr>
          <w:rFonts w:ascii="Arial" w:eastAsia="Calibri" w:hAnsi="Arial" w:cs="Arial"/>
          <w:sz w:val="22"/>
          <w:lang w:val="es-ES_tradnl"/>
        </w:rPr>
        <w:t xml:space="preserve"> determinada por su objeto social</w:t>
      </w:r>
      <w:r w:rsidR="00EE6BC9" w:rsidRPr="00451DFD">
        <w:rPr>
          <w:rStyle w:val="Refdenotaalpie"/>
          <w:rFonts w:ascii="Arial" w:eastAsia="Calibri" w:hAnsi="Arial" w:cs="Arial"/>
          <w:sz w:val="22"/>
          <w:lang w:val="es-ES_tradnl"/>
        </w:rPr>
        <w:footnoteReference w:id="38"/>
      </w:r>
      <w:r w:rsidR="000D68A0" w:rsidRPr="00451DFD">
        <w:rPr>
          <w:rFonts w:ascii="Arial" w:eastAsia="Calibri" w:hAnsi="Arial" w:cs="Arial"/>
          <w:sz w:val="22"/>
          <w:lang w:val="es-ES_tradnl"/>
        </w:rPr>
        <w:t>.</w:t>
      </w:r>
    </w:p>
    <w:p w14:paraId="69569076" w14:textId="4F7E017D" w:rsidR="009F0918" w:rsidRDefault="00E167FD" w:rsidP="00587897">
      <w:pPr>
        <w:spacing w:before="120" w:line="276" w:lineRule="auto"/>
        <w:ind w:firstLine="709"/>
        <w:jc w:val="both"/>
        <w:rPr>
          <w:rFonts w:ascii="Arial" w:eastAsia="Calibri" w:hAnsi="Arial" w:cs="Arial"/>
          <w:sz w:val="22"/>
          <w:lang w:val="es-ES_tradnl"/>
        </w:rPr>
      </w:pPr>
      <w:r w:rsidRPr="00451DFD">
        <w:rPr>
          <w:rFonts w:ascii="Arial" w:eastAsia="Calibri" w:hAnsi="Arial" w:cs="Arial"/>
          <w:sz w:val="22"/>
          <w:lang w:val="es-ES_tradnl"/>
        </w:rPr>
        <w:t>De igual manera, es</w:t>
      </w:r>
      <w:r w:rsidR="00502643" w:rsidRPr="00451DFD">
        <w:rPr>
          <w:rFonts w:ascii="Arial" w:eastAsia="Calibri" w:hAnsi="Arial" w:cs="Arial"/>
          <w:sz w:val="22"/>
          <w:lang w:val="es-ES_tradnl"/>
        </w:rPr>
        <w:t>a causal de inhabilidad también se refiere</w:t>
      </w:r>
      <w:r w:rsidR="0038155E" w:rsidRPr="00451DFD">
        <w:rPr>
          <w:rFonts w:ascii="Arial" w:eastAsia="Calibri" w:hAnsi="Arial" w:cs="Arial"/>
          <w:sz w:val="22"/>
          <w:lang w:val="es-ES_tradnl"/>
        </w:rPr>
        <w:t xml:space="preserve"> </w:t>
      </w:r>
      <w:r w:rsidR="0017125E" w:rsidRPr="00451DFD">
        <w:rPr>
          <w:rFonts w:ascii="Arial" w:eastAsia="Calibri" w:hAnsi="Arial" w:cs="Arial"/>
          <w:sz w:val="22"/>
          <w:lang w:val="es-ES_tradnl"/>
        </w:rPr>
        <w:t>a las personas naturales</w:t>
      </w:r>
      <w:r w:rsidR="002A046B" w:rsidRPr="00451DFD">
        <w:rPr>
          <w:rFonts w:ascii="Arial" w:eastAsia="Calibri" w:hAnsi="Arial" w:cs="Arial"/>
          <w:sz w:val="22"/>
          <w:lang w:val="es-ES_tradnl"/>
        </w:rPr>
        <w:t xml:space="preserve"> que integran</w:t>
      </w:r>
      <w:r w:rsidR="0017125E" w:rsidRPr="00451DFD">
        <w:rPr>
          <w:rFonts w:ascii="Arial" w:eastAsia="Calibri" w:hAnsi="Arial" w:cs="Arial"/>
          <w:sz w:val="22"/>
          <w:lang w:val="es-ES_tradnl"/>
        </w:rPr>
        <w:t xml:space="preserve"> proponentes plurales, consorcios o</w:t>
      </w:r>
      <w:r w:rsidR="002A046B" w:rsidRPr="00451DFD">
        <w:rPr>
          <w:rFonts w:ascii="Arial" w:eastAsia="Calibri" w:hAnsi="Arial" w:cs="Arial"/>
          <w:sz w:val="22"/>
          <w:lang w:val="es-ES_tradnl"/>
        </w:rPr>
        <w:t xml:space="preserve"> uniones temporales,</w:t>
      </w:r>
      <w:r w:rsidR="00325A5C" w:rsidRPr="00451DFD">
        <w:rPr>
          <w:rFonts w:ascii="Arial" w:eastAsia="Calibri" w:hAnsi="Arial" w:cs="Arial"/>
          <w:sz w:val="22"/>
          <w:lang w:val="es-ES_tradnl"/>
        </w:rPr>
        <w:t xml:space="preserve"> así como </w:t>
      </w:r>
      <w:r w:rsidR="0016764E" w:rsidRPr="00451DFD">
        <w:rPr>
          <w:rFonts w:ascii="Arial" w:eastAsia="Calibri" w:hAnsi="Arial" w:cs="Arial"/>
          <w:sz w:val="22"/>
          <w:lang w:val="es-ES_tradnl"/>
        </w:rPr>
        <w:t>la persona designada como representante de estos,</w:t>
      </w:r>
      <w:r w:rsidR="002A046B" w:rsidRPr="00451DFD">
        <w:rPr>
          <w:rFonts w:ascii="Arial" w:eastAsia="Calibri" w:hAnsi="Arial" w:cs="Arial"/>
          <w:sz w:val="22"/>
          <w:lang w:val="es-ES_tradnl"/>
        </w:rPr>
        <w:t xml:space="preserve"> </w:t>
      </w:r>
      <w:r w:rsidR="00D947E2" w:rsidRPr="00451DFD">
        <w:rPr>
          <w:rFonts w:ascii="Arial" w:eastAsia="Calibri" w:hAnsi="Arial" w:cs="Arial"/>
          <w:sz w:val="22"/>
          <w:lang w:val="es-ES_tradnl"/>
        </w:rPr>
        <w:t xml:space="preserve">ya </w:t>
      </w:r>
      <w:r w:rsidR="002A046B" w:rsidRPr="00451DFD">
        <w:rPr>
          <w:rFonts w:ascii="Arial" w:eastAsia="Calibri" w:hAnsi="Arial" w:cs="Arial"/>
          <w:sz w:val="22"/>
          <w:lang w:val="es-ES_tradnl"/>
        </w:rPr>
        <w:t>que esta</w:t>
      </w:r>
      <w:r w:rsidR="00961C67">
        <w:rPr>
          <w:rFonts w:ascii="Arial" w:eastAsia="Calibri" w:hAnsi="Arial" w:cs="Arial"/>
          <w:sz w:val="22"/>
          <w:lang w:val="es-ES_tradnl"/>
        </w:rPr>
        <w:t>s</w:t>
      </w:r>
      <w:r w:rsidR="002A046B" w:rsidRPr="00451DFD">
        <w:rPr>
          <w:rFonts w:ascii="Arial" w:eastAsia="Calibri" w:hAnsi="Arial" w:cs="Arial"/>
          <w:sz w:val="22"/>
          <w:lang w:val="es-ES_tradnl"/>
        </w:rPr>
        <w:t xml:space="preserve"> formas de aso</w:t>
      </w:r>
      <w:r w:rsidR="00325A5C" w:rsidRPr="00451DFD">
        <w:rPr>
          <w:rFonts w:ascii="Arial" w:eastAsia="Calibri" w:hAnsi="Arial" w:cs="Arial"/>
          <w:sz w:val="22"/>
          <w:lang w:val="es-ES_tradnl"/>
        </w:rPr>
        <w:t xml:space="preserve">ciación </w:t>
      </w:r>
      <w:r w:rsidR="0016764E" w:rsidRPr="00451DFD">
        <w:rPr>
          <w:rFonts w:ascii="Arial" w:eastAsia="Calibri" w:hAnsi="Arial" w:cs="Arial"/>
          <w:sz w:val="22"/>
          <w:lang w:val="es-ES_tradnl"/>
        </w:rPr>
        <w:t xml:space="preserve">no constituyen una persona </w:t>
      </w:r>
      <w:r w:rsidR="00495431" w:rsidRPr="00451DFD">
        <w:rPr>
          <w:rFonts w:ascii="Arial" w:eastAsia="Calibri" w:hAnsi="Arial" w:cs="Arial"/>
          <w:sz w:val="22"/>
          <w:lang w:val="es-ES_tradnl"/>
        </w:rPr>
        <w:t>jurídica</w:t>
      </w:r>
      <w:r w:rsidR="0016764E" w:rsidRPr="00451DFD">
        <w:rPr>
          <w:rFonts w:ascii="Arial" w:eastAsia="Calibri" w:hAnsi="Arial" w:cs="Arial"/>
          <w:sz w:val="22"/>
          <w:lang w:val="es-ES_tradnl"/>
        </w:rPr>
        <w:t xml:space="preserve"> diferente o independiente los miembros que los integran</w:t>
      </w:r>
      <w:r w:rsidR="0034021F" w:rsidRPr="00451DFD">
        <w:rPr>
          <w:rFonts w:ascii="Arial" w:eastAsia="Calibri" w:hAnsi="Arial" w:cs="Arial"/>
          <w:sz w:val="22"/>
          <w:lang w:val="es-ES_tradnl"/>
        </w:rPr>
        <w:t>, lo cual implica</w:t>
      </w:r>
      <w:r w:rsidR="002213C1" w:rsidRPr="00451DFD">
        <w:rPr>
          <w:rFonts w:ascii="Arial" w:eastAsia="Calibri" w:hAnsi="Arial" w:cs="Arial"/>
          <w:sz w:val="22"/>
          <w:lang w:val="es-ES_tradnl"/>
        </w:rPr>
        <w:t xml:space="preserve">, que el consorcio o unión temporal será inhabilitado en un proceso de contratación, cuando uno de sus integrantes o representante designado se </w:t>
      </w:r>
      <w:r w:rsidR="00816630" w:rsidRPr="00451DFD">
        <w:rPr>
          <w:rFonts w:ascii="Arial" w:eastAsia="Calibri" w:hAnsi="Arial" w:cs="Arial"/>
          <w:sz w:val="22"/>
          <w:lang w:val="es-ES_tradnl"/>
        </w:rPr>
        <w:t>encuentra en alguna de las relaciones de parentesco determinadas en la mencionada disposición.</w:t>
      </w:r>
    </w:p>
    <w:p w14:paraId="73DF39FB" w14:textId="77777777" w:rsidR="00AE2951" w:rsidRDefault="00AE2951" w:rsidP="000D68A0">
      <w:pPr>
        <w:ind w:firstLine="709"/>
        <w:jc w:val="both"/>
        <w:rPr>
          <w:rFonts w:ascii="Arial" w:eastAsia="Calibri" w:hAnsi="Arial" w:cs="Arial"/>
          <w:sz w:val="22"/>
          <w:lang w:val="es-ES_tradnl"/>
        </w:rPr>
      </w:pPr>
    </w:p>
    <w:p w14:paraId="5D99A3C6" w14:textId="77777777" w:rsidR="005A79FE" w:rsidRPr="00361A72" w:rsidRDefault="005A79FE" w:rsidP="005A79FE">
      <w:pPr>
        <w:pStyle w:val="Prrafodelista"/>
        <w:numPr>
          <w:ilvl w:val="0"/>
          <w:numId w:val="6"/>
        </w:numPr>
        <w:tabs>
          <w:tab w:val="left" w:pos="284"/>
        </w:tabs>
        <w:spacing w:line="276" w:lineRule="auto"/>
        <w:ind w:left="0" w:hanging="142"/>
        <w:jc w:val="both"/>
        <w:rPr>
          <w:rFonts w:ascii="Arial" w:eastAsia="Calibri" w:hAnsi="Arial" w:cs="Arial"/>
          <w:sz w:val="22"/>
        </w:rPr>
      </w:pPr>
      <w:r w:rsidRPr="00361A72">
        <w:rPr>
          <w:rFonts w:ascii="Arial" w:eastAsia="Calibri" w:hAnsi="Arial" w:cs="Arial"/>
          <w:b/>
          <w:sz w:val="22"/>
        </w:rPr>
        <w:t>Respuestas</w:t>
      </w:r>
    </w:p>
    <w:p w14:paraId="6A2CCB9A" w14:textId="77777777" w:rsidR="005A79FE" w:rsidRPr="00361A72" w:rsidRDefault="005A79FE" w:rsidP="005A79FE">
      <w:pPr>
        <w:spacing w:line="276" w:lineRule="auto"/>
        <w:ind w:left="709" w:right="709"/>
        <w:jc w:val="both"/>
        <w:rPr>
          <w:rFonts w:ascii="Arial" w:eastAsia="Calibri" w:hAnsi="Arial" w:cs="Arial"/>
          <w:i/>
          <w:sz w:val="22"/>
        </w:rPr>
      </w:pPr>
    </w:p>
    <w:p w14:paraId="38E68558" w14:textId="77777777" w:rsidR="008A78A6" w:rsidRPr="00E6651F" w:rsidRDefault="005A79FE" w:rsidP="005A79FE">
      <w:pPr>
        <w:spacing w:line="276" w:lineRule="auto"/>
        <w:ind w:left="709" w:right="709"/>
        <w:jc w:val="both"/>
        <w:rPr>
          <w:rFonts w:ascii="Arial" w:eastAsia="Calibri" w:hAnsi="Arial" w:cs="Arial"/>
          <w:sz w:val="21"/>
          <w:szCs w:val="21"/>
        </w:rPr>
      </w:pPr>
      <w:r w:rsidRPr="00E6651F">
        <w:rPr>
          <w:rFonts w:ascii="Arial" w:eastAsia="Calibri" w:hAnsi="Arial" w:cs="Arial"/>
          <w:sz w:val="21"/>
          <w:szCs w:val="21"/>
        </w:rPr>
        <w:t xml:space="preserve">i) </w:t>
      </w:r>
      <w:r w:rsidR="008A78A6" w:rsidRPr="00E6651F">
        <w:rPr>
          <w:rFonts w:ascii="Arial" w:eastAsia="Calibri" w:hAnsi="Arial" w:cs="Arial"/>
          <w:sz w:val="21"/>
          <w:szCs w:val="21"/>
        </w:rPr>
        <w:t>«</w:t>
      </w:r>
      <w:r w:rsidR="000006D8" w:rsidRPr="00E6651F">
        <w:rPr>
          <w:rFonts w:ascii="Arial" w:eastAsia="Calibri" w:hAnsi="Arial" w:cs="Arial"/>
          <w:sz w:val="21"/>
          <w:szCs w:val="21"/>
        </w:rPr>
        <w:t>¿Esta causal de inhabilidad aplica únicamente para personas naturales que sean proponentes, también aplica para personas jurídicas o para proponentes plurales, tales como consorcios o uniones temporales?»</w:t>
      </w:r>
    </w:p>
    <w:p w14:paraId="7E97034C" w14:textId="66D3F24E" w:rsidR="008A78A6" w:rsidRDefault="008A78A6" w:rsidP="008A78A6">
      <w:pPr>
        <w:spacing w:line="276" w:lineRule="auto"/>
        <w:ind w:right="709"/>
        <w:jc w:val="both"/>
        <w:rPr>
          <w:rFonts w:ascii="Arial" w:eastAsia="Calibri" w:hAnsi="Arial" w:cs="Arial"/>
          <w:sz w:val="22"/>
        </w:rPr>
      </w:pPr>
    </w:p>
    <w:p w14:paraId="56B03D86" w14:textId="66AA0D03" w:rsidR="004122A7" w:rsidRDefault="00E0009D" w:rsidP="00E6651F">
      <w:pPr>
        <w:spacing w:after="120" w:line="276" w:lineRule="auto"/>
        <w:jc w:val="both"/>
        <w:rPr>
          <w:rFonts w:ascii="Arial" w:eastAsia="Calibri" w:hAnsi="Arial" w:cs="Arial"/>
          <w:sz w:val="22"/>
        </w:rPr>
      </w:pPr>
      <w:r>
        <w:rPr>
          <w:rFonts w:ascii="Arial" w:eastAsia="Calibri" w:hAnsi="Arial" w:cs="Arial"/>
          <w:sz w:val="22"/>
        </w:rPr>
        <w:t>E</w:t>
      </w:r>
      <w:r w:rsidR="005F3D75">
        <w:rPr>
          <w:rFonts w:ascii="Arial" w:eastAsia="Calibri" w:hAnsi="Arial" w:cs="Arial"/>
          <w:sz w:val="22"/>
        </w:rPr>
        <w:t xml:space="preserve">n virtud del criterio de interpretación restrictiva del régimen de inhabilidades e incompatibilidades </w:t>
      </w:r>
      <w:r>
        <w:rPr>
          <w:rFonts w:ascii="Arial" w:eastAsia="Calibri" w:hAnsi="Arial" w:cs="Arial"/>
          <w:sz w:val="22"/>
        </w:rPr>
        <w:t>previsto</w:t>
      </w:r>
      <w:r w:rsidR="005F3D75">
        <w:rPr>
          <w:rFonts w:ascii="Arial" w:eastAsia="Calibri" w:hAnsi="Arial" w:cs="Arial"/>
          <w:sz w:val="22"/>
        </w:rPr>
        <w:t xml:space="preserve"> en el ordenamiento jurídico</w:t>
      </w:r>
      <w:r>
        <w:rPr>
          <w:rFonts w:ascii="Arial" w:eastAsia="Calibri" w:hAnsi="Arial" w:cs="Arial"/>
          <w:sz w:val="22"/>
        </w:rPr>
        <w:t xml:space="preserve">, </w:t>
      </w:r>
      <w:r w:rsidR="00DF4A02" w:rsidRPr="00DF4A02">
        <w:rPr>
          <w:rFonts w:ascii="Arial" w:eastAsia="Calibri" w:hAnsi="Arial" w:cs="Arial"/>
          <w:sz w:val="22"/>
        </w:rPr>
        <w:t>la causal de inhabilidad prevista en el artículo 8, literal g) del numeral 1, de la Ley 80 de 1993</w:t>
      </w:r>
      <w:r>
        <w:rPr>
          <w:rFonts w:ascii="Arial" w:eastAsia="Calibri" w:hAnsi="Arial" w:cs="Arial"/>
          <w:sz w:val="22"/>
        </w:rPr>
        <w:t xml:space="preserve"> aplica a personas naturales, exclusivamente</w:t>
      </w:r>
      <w:r w:rsidR="00DF4A02">
        <w:rPr>
          <w:rFonts w:ascii="Arial" w:eastAsia="Calibri" w:hAnsi="Arial" w:cs="Arial"/>
          <w:sz w:val="22"/>
        </w:rPr>
        <w:t xml:space="preserve">, sin posibilidad de </w:t>
      </w:r>
      <w:r>
        <w:rPr>
          <w:rFonts w:ascii="Arial" w:eastAsia="Calibri" w:hAnsi="Arial" w:cs="Arial"/>
          <w:sz w:val="22"/>
        </w:rPr>
        <w:t>ext</w:t>
      </w:r>
      <w:r w:rsidR="00DF4A02">
        <w:rPr>
          <w:rFonts w:ascii="Arial" w:eastAsia="Calibri" w:hAnsi="Arial" w:cs="Arial"/>
          <w:sz w:val="22"/>
        </w:rPr>
        <w:t>enderlo</w:t>
      </w:r>
      <w:r>
        <w:rPr>
          <w:rFonts w:ascii="Arial" w:eastAsia="Calibri" w:hAnsi="Arial" w:cs="Arial"/>
          <w:sz w:val="22"/>
        </w:rPr>
        <w:t xml:space="preserve"> a las personas jurídicas</w:t>
      </w:r>
      <w:r w:rsidR="00DF4A02">
        <w:rPr>
          <w:rFonts w:ascii="Arial" w:eastAsia="Calibri" w:hAnsi="Arial" w:cs="Arial"/>
          <w:sz w:val="22"/>
        </w:rPr>
        <w:t>.</w:t>
      </w:r>
    </w:p>
    <w:p w14:paraId="6C0378E5" w14:textId="6DAA7074" w:rsidR="008A78A6" w:rsidRPr="00451DFD" w:rsidRDefault="006101F8" w:rsidP="00E6651F">
      <w:pPr>
        <w:spacing w:before="120" w:line="276" w:lineRule="auto"/>
        <w:ind w:firstLine="709"/>
        <w:jc w:val="both"/>
        <w:rPr>
          <w:rFonts w:ascii="Arial" w:eastAsia="Calibri" w:hAnsi="Arial" w:cs="Arial"/>
          <w:sz w:val="22"/>
        </w:rPr>
      </w:pPr>
      <w:r w:rsidRPr="00451DFD">
        <w:rPr>
          <w:rFonts w:ascii="Arial" w:eastAsia="Calibri" w:hAnsi="Arial" w:cs="Arial"/>
          <w:sz w:val="22"/>
        </w:rPr>
        <w:t xml:space="preserve">Adicionalmente, </w:t>
      </w:r>
      <w:r w:rsidR="001D7EB0" w:rsidRPr="00451DFD">
        <w:rPr>
          <w:rFonts w:ascii="Arial" w:eastAsia="Calibri" w:hAnsi="Arial" w:cs="Arial"/>
          <w:sz w:val="22"/>
        </w:rPr>
        <w:t>esta</w:t>
      </w:r>
      <w:r w:rsidRPr="00451DFD">
        <w:rPr>
          <w:rFonts w:ascii="Arial" w:eastAsia="Calibri" w:hAnsi="Arial" w:cs="Arial"/>
          <w:sz w:val="22"/>
        </w:rPr>
        <w:t xml:space="preserve"> causal de inhab</w:t>
      </w:r>
      <w:r w:rsidR="0034021F" w:rsidRPr="00451DFD">
        <w:rPr>
          <w:rFonts w:ascii="Arial" w:eastAsia="Calibri" w:hAnsi="Arial" w:cs="Arial"/>
          <w:sz w:val="22"/>
        </w:rPr>
        <w:t xml:space="preserve">ilidad también </w:t>
      </w:r>
      <w:r w:rsidR="001D7EB0" w:rsidRPr="00451DFD">
        <w:rPr>
          <w:rFonts w:ascii="Arial" w:eastAsia="Calibri" w:hAnsi="Arial" w:cs="Arial"/>
          <w:sz w:val="22"/>
        </w:rPr>
        <w:t>aplica</w:t>
      </w:r>
      <w:r w:rsidR="00816630" w:rsidRPr="00451DFD">
        <w:rPr>
          <w:rFonts w:ascii="Arial" w:eastAsia="Calibri" w:hAnsi="Arial" w:cs="Arial"/>
          <w:sz w:val="22"/>
        </w:rPr>
        <w:t xml:space="preserve"> a los proponentes plurales, consorcios o uniones temporales, </w:t>
      </w:r>
      <w:r w:rsidR="00816630" w:rsidRPr="00451DFD">
        <w:rPr>
          <w:rFonts w:ascii="Arial" w:eastAsia="Calibri" w:hAnsi="Arial" w:cs="Arial"/>
          <w:sz w:val="22"/>
          <w:lang w:val="es-ES_tradnl"/>
        </w:rPr>
        <w:t xml:space="preserve">cuando uno de sus integrantes o representante designado, </w:t>
      </w:r>
      <w:r w:rsidR="001D7EB0" w:rsidRPr="00451DFD">
        <w:rPr>
          <w:rFonts w:ascii="Arial" w:eastAsia="Calibri" w:hAnsi="Arial" w:cs="Arial"/>
          <w:sz w:val="22"/>
          <w:lang w:val="es-ES_tradnl"/>
        </w:rPr>
        <w:t xml:space="preserve">en calidad de </w:t>
      </w:r>
      <w:r w:rsidR="00816630" w:rsidRPr="00451DFD">
        <w:rPr>
          <w:rFonts w:ascii="Arial" w:eastAsia="Calibri" w:hAnsi="Arial" w:cs="Arial"/>
          <w:sz w:val="22"/>
          <w:lang w:val="es-ES_tradnl"/>
        </w:rPr>
        <w:t>personas naturales, se encuentr</w:t>
      </w:r>
      <w:r w:rsidR="001D7EB0" w:rsidRPr="00451DFD">
        <w:rPr>
          <w:rFonts w:ascii="Arial" w:eastAsia="Calibri" w:hAnsi="Arial" w:cs="Arial"/>
          <w:sz w:val="22"/>
          <w:lang w:val="es-ES_tradnl"/>
        </w:rPr>
        <w:t>e</w:t>
      </w:r>
      <w:r w:rsidR="00816630" w:rsidRPr="00451DFD">
        <w:rPr>
          <w:rFonts w:ascii="Arial" w:eastAsia="Calibri" w:hAnsi="Arial" w:cs="Arial"/>
          <w:sz w:val="22"/>
          <w:lang w:val="es-ES_tradnl"/>
        </w:rPr>
        <w:t xml:space="preserve"> en alguna de las relaciones de parentesco determinadas </w:t>
      </w:r>
      <w:r w:rsidR="001D7EB0" w:rsidRPr="00451DFD">
        <w:rPr>
          <w:rFonts w:ascii="Arial" w:eastAsia="Calibri" w:hAnsi="Arial" w:cs="Arial"/>
          <w:sz w:val="22"/>
          <w:lang w:val="es-ES_tradnl"/>
        </w:rPr>
        <w:t>en la norma anteriormente citada</w:t>
      </w:r>
      <w:r w:rsidR="00F32A9F" w:rsidRPr="00451DFD">
        <w:rPr>
          <w:rFonts w:ascii="Arial" w:eastAsia="Calibri" w:hAnsi="Arial" w:cs="Arial"/>
          <w:sz w:val="22"/>
          <w:lang w:val="es-ES_tradnl"/>
        </w:rPr>
        <w:t xml:space="preserve">, en tanto que, esas formas asociativas no </w:t>
      </w:r>
      <w:r w:rsidR="00F32A9F" w:rsidRPr="00451DFD">
        <w:rPr>
          <w:rFonts w:ascii="Arial" w:eastAsia="Calibri" w:hAnsi="Arial" w:cs="Arial"/>
          <w:sz w:val="22"/>
        </w:rPr>
        <w:t xml:space="preserve">comportan una persona jurídica independiente </w:t>
      </w:r>
      <w:r w:rsidR="004C271A" w:rsidRPr="00451DFD">
        <w:rPr>
          <w:rFonts w:ascii="Arial" w:eastAsia="Calibri" w:hAnsi="Arial" w:cs="Arial"/>
          <w:sz w:val="22"/>
        </w:rPr>
        <w:t>de sus integrantes.</w:t>
      </w:r>
    </w:p>
    <w:p w14:paraId="2C365F32" w14:textId="77777777" w:rsidR="008A78A6" w:rsidRPr="00451DFD" w:rsidRDefault="008A78A6" w:rsidP="005A79FE">
      <w:pPr>
        <w:spacing w:line="276" w:lineRule="auto"/>
        <w:ind w:left="709" w:right="709"/>
        <w:jc w:val="both"/>
        <w:rPr>
          <w:rFonts w:ascii="Arial" w:eastAsia="Calibri" w:hAnsi="Arial" w:cs="Arial"/>
          <w:sz w:val="22"/>
        </w:rPr>
      </w:pPr>
    </w:p>
    <w:p w14:paraId="53A98B7E" w14:textId="77777777" w:rsidR="005F3D75" w:rsidRPr="00E6651F" w:rsidRDefault="000006D8" w:rsidP="005A79FE">
      <w:pPr>
        <w:spacing w:line="276" w:lineRule="auto"/>
        <w:ind w:left="709" w:right="709"/>
        <w:jc w:val="both"/>
        <w:rPr>
          <w:rFonts w:ascii="Arial" w:eastAsia="Calibri" w:hAnsi="Arial" w:cs="Arial"/>
          <w:sz w:val="21"/>
          <w:szCs w:val="21"/>
        </w:rPr>
      </w:pPr>
      <w:proofErr w:type="spellStart"/>
      <w:r w:rsidRPr="00E6651F">
        <w:rPr>
          <w:rFonts w:ascii="Arial" w:eastAsia="Calibri" w:hAnsi="Arial" w:cs="Arial"/>
          <w:sz w:val="21"/>
          <w:szCs w:val="21"/>
        </w:rPr>
        <w:t>ii</w:t>
      </w:r>
      <w:proofErr w:type="spellEnd"/>
      <w:r w:rsidRPr="00E6651F">
        <w:rPr>
          <w:rFonts w:ascii="Arial" w:eastAsia="Calibri" w:hAnsi="Arial" w:cs="Arial"/>
          <w:sz w:val="21"/>
          <w:szCs w:val="21"/>
        </w:rPr>
        <w:t xml:space="preserve">) «¿En caso afirmativo, la causal de inhabilidad aplica para los representantes legales del proponente plural o de la persona jurídica proponente?», </w:t>
      </w:r>
      <w:proofErr w:type="spellStart"/>
      <w:r w:rsidRPr="00E6651F">
        <w:rPr>
          <w:rFonts w:ascii="Arial" w:eastAsia="Calibri" w:hAnsi="Arial" w:cs="Arial"/>
          <w:sz w:val="21"/>
          <w:szCs w:val="21"/>
        </w:rPr>
        <w:t>iii</w:t>
      </w:r>
      <w:proofErr w:type="spellEnd"/>
      <w:r w:rsidRPr="00E6651F">
        <w:rPr>
          <w:rFonts w:ascii="Arial" w:eastAsia="Calibri" w:hAnsi="Arial" w:cs="Arial"/>
          <w:sz w:val="21"/>
          <w:szCs w:val="21"/>
        </w:rPr>
        <w:t xml:space="preserve">) «¿Esta causal de inhabilidad aplica únicamente para proponentes o también para los representantes legales de los proponentes?» </w:t>
      </w:r>
    </w:p>
    <w:p w14:paraId="3F636597" w14:textId="77777777" w:rsidR="005F3D75" w:rsidRPr="00451DFD" w:rsidRDefault="005F3D75" w:rsidP="005A79FE">
      <w:pPr>
        <w:spacing w:line="276" w:lineRule="auto"/>
        <w:ind w:left="709" w:right="709"/>
        <w:jc w:val="both"/>
        <w:rPr>
          <w:rFonts w:ascii="Arial" w:eastAsia="Calibri" w:hAnsi="Arial" w:cs="Arial"/>
          <w:sz w:val="22"/>
        </w:rPr>
      </w:pPr>
    </w:p>
    <w:p w14:paraId="79017B6F" w14:textId="32581D39" w:rsidR="00DC4B1D" w:rsidRPr="00451DFD" w:rsidRDefault="00857C48" w:rsidP="00E6651F">
      <w:pPr>
        <w:spacing w:line="276" w:lineRule="auto"/>
        <w:jc w:val="both"/>
        <w:rPr>
          <w:rFonts w:ascii="Arial" w:eastAsia="Calibri" w:hAnsi="Arial" w:cs="Arial"/>
          <w:sz w:val="22"/>
        </w:rPr>
      </w:pPr>
      <w:r w:rsidRPr="00451DFD">
        <w:rPr>
          <w:rFonts w:ascii="Arial" w:eastAsia="Calibri" w:hAnsi="Arial" w:cs="Arial"/>
          <w:sz w:val="22"/>
        </w:rPr>
        <w:t xml:space="preserve">En concordancia con la respuesta anterior, </w:t>
      </w:r>
      <w:r w:rsidR="00A36B23" w:rsidRPr="00451DFD">
        <w:rPr>
          <w:rFonts w:ascii="Arial" w:eastAsia="Calibri" w:hAnsi="Arial" w:cs="Arial"/>
          <w:sz w:val="22"/>
        </w:rPr>
        <w:t>se indica que la causal de inhabilidad contemplada en el literal g) del numeral 1 del artículo 8 de la Ley 80 de 1993</w:t>
      </w:r>
      <w:r w:rsidR="002242FA" w:rsidRPr="00451DFD">
        <w:rPr>
          <w:rFonts w:ascii="Arial" w:eastAsia="Calibri" w:hAnsi="Arial" w:cs="Arial"/>
          <w:sz w:val="22"/>
        </w:rPr>
        <w:t xml:space="preserve"> </w:t>
      </w:r>
      <w:r w:rsidR="002334E4" w:rsidRPr="00451DFD">
        <w:rPr>
          <w:rFonts w:ascii="Arial" w:eastAsia="Calibri" w:hAnsi="Arial" w:cs="Arial"/>
          <w:sz w:val="22"/>
        </w:rPr>
        <w:t>no se extiende</w:t>
      </w:r>
      <w:r w:rsidR="00A36B23" w:rsidRPr="00451DFD">
        <w:rPr>
          <w:rFonts w:ascii="Arial" w:eastAsia="Calibri" w:hAnsi="Arial" w:cs="Arial"/>
          <w:sz w:val="22"/>
        </w:rPr>
        <w:t xml:space="preserve"> a personas jurídicas</w:t>
      </w:r>
      <w:r w:rsidR="00D11DE2" w:rsidRPr="00451DFD">
        <w:rPr>
          <w:rFonts w:ascii="Arial" w:eastAsia="Calibri" w:hAnsi="Arial" w:cs="Arial"/>
          <w:sz w:val="22"/>
        </w:rPr>
        <w:t>, dado que estas últimas, son sujetos de derechos y obligaciones independiente</w:t>
      </w:r>
      <w:r w:rsidR="002242FA" w:rsidRPr="00451DFD">
        <w:rPr>
          <w:rFonts w:ascii="Arial" w:eastAsia="Calibri" w:hAnsi="Arial" w:cs="Arial"/>
          <w:sz w:val="22"/>
        </w:rPr>
        <w:t>s</w:t>
      </w:r>
      <w:r w:rsidR="00D11DE2" w:rsidRPr="00451DFD">
        <w:rPr>
          <w:rFonts w:ascii="Arial" w:eastAsia="Calibri" w:hAnsi="Arial" w:cs="Arial"/>
          <w:sz w:val="22"/>
        </w:rPr>
        <w:t xml:space="preserve"> </w:t>
      </w:r>
      <w:r w:rsidR="000F1399" w:rsidRPr="00451DFD">
        <w:rPr>
          <w:rFonts w:ascii="Arial" w:eastAsia="Calibri" w:hAnsi="Arial" w:cs="Arial"/>
          <w:sz w:val="22"/>
        </w:rPr>
        <w:t>de sus socios y representante legal.</w:t>
      </w:r>
      <w:r w:rsidR="00D947E2" w:rsidRPr="00451DFD">
        <w:rPr>
          <w:rFonts w:ascii="Arial" w:eastAsia="Calibri" w:hAnsi="Arial" w:cs="Arial"/>
          <w:sz w:val="22"/>
        </w:rPr>
        <w:t xml:space="preserve"> En todo caso</w:t>
      </w:r>
      <w:r w:rsidR="00DC4B1D" w:rsidRPr="00451DFD">
        <w:rPr>
          <w:rFonts w:ascii="Arial" w:eastAsia="Calibri" w:hAnsi="Arial" w:cs="Arial"/>
          <w:sz w:val="22"/>
        </w:rPr>
        <w:t>,</w:t>
      </w:r>
      <w:r w:rsidR="00D947E2" w:rsidRPr="00451DFD">
        <w:rPr>
          <w:rFonts w:ascii="Arial" w:eastAsia="Calibri" w:hAnsi="Arial" w:cs="Arial"/>
          <w:sz w:val="22"/>
        </w:rPr>
        <w:t xml:space="preserve"> conforme a lo explicado en el presente concepto,</w:t>
      </w:r>
      <w:r w:rsidR="00DC4B1D" w:rsidRPr="00451DFD">
        <w:rPr>
          <w:rFonts w:ascii="Arial" w:eastAsia="Calibri" w:hAnsi="Arial" w:cs="Arial"/>
          <w:sz w:val="22"/>
        </w:rPr>
        <w:t xml:space="preserve"> se reitera que </w:t>
      </w:r>
      <w:r w:rsidR="00937286" w:rsidRPr="00451DFD">
        <w:rPr>
          <w:rFonts w:ascii="Arial" w:eastAsia="Calibri" w:hAnsi="Arial" w:cs="Arial"/>
          <w:sz w:val="22"/>
        </w:rPr>
        <w:t>esta causal de inhabilidad</w:t>
      </w:r>
      <w:r w:rsidR="00F95D8B" w:rsidRPr="00451DFD">
        <w:rPr>
          <w:rFonts w:ascii="Arial" w:eastAsia="Calibri" w:hAnsi="Arial" w:cs="Arial"/>
          <w:sz w:val="22"/>
        </w:rPr>
        <w:t xml:space="preserve"> también aplica a los consorcios o uniones temporales</w:t>
      </w:r>
      <w:r w:rsidR="00F177AC" w:rsidRPr="00451DFD">
        <w:rPr>
          <w:rFonts w:ascii="Arial" w:eastAsia="Calibri" w:hAnsi="Arial" w:cs="Arial"/>
          <w:sz w:val="22"/>
        </w:rPr>
        <w:t>.</w:t>
      </w:r>
    </w:p>
    <w:p w14:paraId="775D867F" w14:textId="77777777" w:rsidR="005F3D75" w:rsidRPr="00451DFD" w:rsidRDefault="005F3D75" w:rsidP="005A79FE">
      <w:pPr>
        <w:spacing w:line="276" w:lineRule="auto"/>
        <w:ind w:left="709" w:right="709"/>
        <w:jc w:val="both"/>
        <w:rPr>
          <w:rFonts w:ascii="Arial" w:eastAsia="Calibri" w:hAnsi="Arial" w:cs="Arial"/>
          <w:sz w:val="22"/>
        </w:rPr>
      </w:pPr>
    </w:p>
    <w:p w14:paraId="538BC9A1" w14:textId="766B4C36" w:rsidR="005A79FE" w:rsidRPr="00E6651F" w:rsidRDefault="000006D8" w:rsidP="005A79FE">
      <w:pPr>
        <w:spacing w:line="276" w:lineRule="auto"/>
        <w:ind w:left="709" w:right="709"/>
        <w:jc w:val="both"/>
        <w:rPr>
          <w:rFonts w:ascii="Arial" w:eastAsia="Calibri" w:hAnsi="Arial" w:cs="Arial"/>
          <w:sz w:val="21"/>
          <w:szCs w:val="21"/>
        </w:rPr>
      </w:pPr>
      <w:r w:rsidRPr="00E6651F">
        <w:rPr>
          <w:rFonts w:ascii="Arial" w:eastAsia="Calibri" w:hAnsi="Arial" w:cs="Arial"/>
          <w:sz w:val="21"/>
          <w:szCs w:val="21"/>
        </w:rPr>
        <w:t xml:space="preserve"> </w:t>
      </w:r>
      <w:proofErr w:type="spellStart"/>
      <w:r w:rsidRPr="00E6651F">
        <w:rPr>
          <w:rFonts w:ascii="Arial" w:eastAsia="Calibri" w:hAnsi="Arial" w:cs="Arial"/>
          <w:sz w:val="21"/>
          <w:szCs w:val="21"/>
        </w:rPr>
        <w:t>iv</w:t>
      </w:r>
      <w:proofErr w:type="spellEnd"/>
      <w:r w:rsidRPr="00E6651F">
        <w:rPr>
          <w:rFonts w:ascii="Arial" w:eastAsia="Calibri" w:hAnsi="Arial" w:cs="Arial"/>
          <w:sz w:val="21"/>
          <w:szCs w:val="21"/>
        </w:rPr>
        <w:t>) «¿Esta inhabilidad aplica para los dos proponentes que son cónyuges o compañeros permanentes, o solo para uno de ellos?».</w:t>
      </w:r>
    </w:p>
    <w:p w14:paraId="34C31AE7" w14:textId="77777777" w:rsidR="005A79FE" w:rsidRPr="00451DFD" w:rsidRDefault="005A79FE" w:rsidP="005A79FE">
      <w:pPr>
        <w:spacing w:line="276" w:lineRule="auto"/>
        <w:ind w:left="708" w:right="709"/>
        <w:jc w:val="both"/>
        <w:rPr>
          <w:rFonts w:ascii="Arial" w:eastAsia="Calibri" w:hAnsi="Arial" w:cs="Arial"/>
          <w:sz w:val="22"/>
        </w:rPr>
      </w:pPr>
    </w:p>
    <w:p w14:paraId="01667EB5" w14:textId="58FFE9EC" w:rsidR="00554E80" w:rsidRPr="00451DFD" w:rsidRDefault="00DA2E47" w:rsidP="00E6651F">
      <w:pPr>
        <w:spacing w:after="120" w:line="276" w:lineRule="auto"/>
        <w:jc w:val="both"/>
        <w:rPr>
          <w:rFonts w:ascii="Arial" w:eastAsia="Calibri" w:hAnsi="Arial" w:cs="Arial"/>
          <w:sz w:val="22"/>
          <w:lang w:val="es-ES_tradnl"/>
        </w:rPr>
      </w:pPr>
      <w:r w:rsidRPr="00451DFD">
        <w:rPr>
          <w:rFonts w:ascii="Arial" w:eastAsia="Calibri" w:hAnsi="Arial" w:cs="Arial"/>
          <w:sz w:val="22"/>
        </w:rPr>
        <w:t xml:space="preserve">Cuando en un mismo </w:t>
      </w:r>
      <w:r w:rsidR="00554E80" w:rsidRPr="00451DFD">
        <w:rPr>
          <w:rFonts w:ascii="Arial" w:eastAsia="Calibri" w:hAnsi="Arial" w:cs="Arial"/>
          <w:sz w:val="22"/>
        </w:rPr>
        <w:t>p</w:t>
      </w:r>
      <w:r w:rsidRPr="00451DFD">
        <w:rPr>
          <w:rFonts w:ascii="Arial" w:eastAsia="Calibri" w:hAnsi="Arial" w:cs="Arial"/>
          <w:sz w:val="22"/>
        </w:rPr>
        <w:t xml:space="preserve">roceso de </w:t>
      </w:r>
      <w:r w:rsidR="00554E80" w:rsidRPr="00451DFD">
        <w:rPr>
          <w:rFonts w:ascii="Arial" w:eastAsia="Calibri" w:hAnsi="Arial" w:cs="Arial"/>
          <w:sz w:val="22"/>
        </w:rPr>
        <w:t>c</w:t>
      </w:r>
      <w:r w:rsidRPr="00451DFD">
        <w:rPr>
          <w:rFonts w:ascii="Arial" w:eastAsia="Calibri" w:hAnsi="Arial" w:cs="Arial"/>
          <w:sz w:val="22"/>
        </w:rPr>
        <w:t>ontratación se presentan oferentes</w:t>
      </w:r>
      <w:r w:rsidR="001D7EB0" w:rsidRPr="00451DFD">
        <w:rPr>
          <w:rFonts w:ascii="Arial" w:eastAsia="Calibri" w:hAnsi="Arial" w:cs="Arial"/>
          <w:sz w:val="22"/>
        </w:rPr>
        <w:t xml:space="preserve"> </w:t>
      </w:r>
      <w:r w:rsidR="00BD72DD" w:rsidRPr="00451DFD">
        <w:rPr>
          <w:rFonts w:ascii="Arial" w:eastAsia="Calibri" w:hAnsi="Arial" w:cs="Arial"/>
          <w:sz w:val="22"/>
        </w:rPr>
        <w:t xml:space="preserve">que se encuentran incursos en la causal de inhabilidad </w:t>
      </w:r>
      <w:r w:rsidR="001D7EB0" w:rsidRPr="00451DFD">
        <w:rPr>
          <w:rFonts w:ascii="Arial" w:eastAsia="Calibri" w:hAnsi="Arial" w:cs="Arial"/>
          <w:sz w:val="22"/>
        </w:rPr>
        <w:t>d</w:t>
      </w:r>
      <w:r w:rsidR="00BD72DD" w:rsidRPr="00451DFD">
        <w:rPr>
          <w:rFonts w:ascii="Arial" w:eastAsia="Calibri" w:hAnsi="Arial" w:cs="Arial"/>
          <w:sz w:val="22"/>
        </w:rPr>
        <w:t>el literal g)</w:t>
      </w:r>
      <w:r w:rsidRPr="00451DFD">
        <w:rPr>
          <w:rFonts w:ascii="Arial" w:eastAsia="Calibri" w:hAnsi="Arial" w:cs="Arial"/>
          <w:sz w:val="22"/>
        </w:rPr>
        <w:t xml:space="preserve"> del numeral 1 del artículo 8 de la Ley 80 de 1993</w:t>
      </w:r>
      <w:r w:rsidR="0072307F" w:rsidRPr="00451DFD">
        <w:rPr>
          <w:rFonts w:ascii="Arial" w:eastAsia="Calibri" w:hAnsi="Arial" w:cs="Arial"/>
          <w:sz w:val="22"/>
        </w:rPr>
        <w:t>, la entidad estatal</w:t>
      </w:r>
      <w:r w:rsidR="00217841" w:rsidRPr="00451DFD">
        <w:rPr>
          <w:rFonts w:ascii="Arial" w:eastAsia="Calibri" w:hAnsi="Arial" w:cs="Arial"/>
          <w:sz w:val="22"/>
        </w:rPr>
        <w:t xml:space="preserve"> únicamente</w:t>
      </w:r>
      <w:r w:rsidR="0072307F" w:rsidRPr="00451DFD">
        <w:rPr>
          <w:rFonts w:ascii="Arial" w:eastAsia="Calibri" w:hAnsi="Arial" w:cs="Arial"/>
          <w:sz w:val="22"/>
        </w:rPr>
        <w:t xml:space="preserve"> habilita </w:t>
      </w:r>
      <w:r w:rsidR="00666BFC" w:rsidRPr="00451DFD">
        <w:rPr>
          <w:rFonts w:ascii="Arial" w:eastAsia="Calibri" w:hAnsi="Arial" w:cs="Arial"/>
          <w:sz w:val="22"/>
        </w:rPr>
        <w:t xml:space="preserve">la primera oferta presentada en el tiempo. Por esa razón, conforme a lo establecido </w:t>
      </w:r>
      <w:r w:rsidR="00666BFC" w:rsidRPr="00451DFD">
        <w:rPr>
          <w:rFonts w:ascii="Arial" w:eastAsia="Calibri" w:hAnsi="Arial" w:cs="Arial"/>
          <w:sz w:val="22"/>
          <w:lang w:val="es-ES_tradnl"/>
        </w:rPr>
        <w:t xml:space="preserve">2.2.1.1.2.2.5 del Decreto 1082 de 2015, la entidad estatal </w:t>
      </w:r>
      <w:r w:rsidR="00217841" w:rsidRPr="00451DFD">
        <w:rPr>
          <w:rFonts w:ascii="Arial" w:eastAsia="Calibri" w:hAnsi="Arial" w:cs="Arial"/>
          <w:sz w:val="22"/>
          <w:lang w:val="es-ES_tradnl"/>
        </w:rPr>
        <w:t>deja</w:t>
      </w:r>
      <w:r w:rsidR="00666BFC" w:rsidRPr="00451DFD">
        <w:rPr>
          <w:rFonts w:ascii="Arial" w:eastAsia="Calibri" w:hAnsi="Arial" w:cs="Arial"/>
          <w:sz w:val="22"/>
          <w:lang w:val="es-ES_tradnl"/>
        </w:rPr>
        <w:t xml:space="preserve"> constancia de la fecha y hora de presentación de las propuestas.</w:t>
      </w:r>
      <w:r w:rsidR="00217841" w:rsidRPr="00451DFD">
        <w:rPr>
          <w:rFonts w:ascii="Arial" w:eastAsia="Calibri" w:hAnsi="Arial" w:cs="Arial"/>
          <w:i/>
          <w:iCs/>
          <w:sz w:val="22"/>
          <w:lang w:val="es-ES_tradnl"/>
        </w:rPr>
        <w:t xml:space="preserve"> </w:t>
      </w:r>
      <w:r w:rsidR="00217841" w:rsidRPr="00451DFD">
        <w:rPr>
          <w:rFonts w:ascii="Arial" w:eastAsia="Calibri" w:hAnsi="Arial" w:cs="Arial"/>
          <w:sz w:val="22"/>
          <w:lang w:val="es-ES_tradnl"/>
        </w:rPr>
        <w:t>Por el contrario</w:t>
      </w:r>
      <w:r w:rsidR="00666BFC" w:rsidRPr="00451DFD">
        <w:rPr>
          <w:rFonts w:ascii="Arial" w:eastAsia="Calibri" w:hAnsi="Arial" w:cs="Arial"/>
          <w:sz w:val="22"/>
          <w:lang w:val="es-ES_tradnl"/>
        </w:rPr>
        <w:t xml:space="preserve">, </w:t>
      </w:r>
      <w:r w:rsidR="00217841" w:rsidRPr="00451DFD">
        <w:rPr>
          <w:rFonts w:ascii="Arial" w:eastAsia="Calibri" w:hAnsi="Arial" w:cs="Arial"/>
          <w:sz w:val="22"/>
          <w:lang w:val="es-ES_tradnl"/>
        </w:rPr>
        <w:t>el oferente que</w:t>
      </w:r>
      <w:r w:rsidR="00000032" w:rsidRPr="00451DFD">
        <w:rPr>
          <w:rFonts w:ascii="Arial" w:eastAsia="Calibri" w:hAnsi="Arial" w:cs="Arial"/>
          <w:sz w:val="22"/>
          <w:lang w:val="es-ES_tradnl"/>
        </w:rPr>
        <w:t xml:space="preserve"> present</w:t>
      </w:r>
      <w:r w:rsidR="00217841" w:rsidRPr="00451DFD">
        <w:rPr>
          <w:rFonts w:ascii="Arial" w:eastAsia="Calibri" w:hAnsi="Arial" w:cs="Arial"/>
          <w:sz w:val="22"/>
          <w:lang w:val="es-ES_tradnl"/>
        </w:rPr>
        <w:t>e la propuesta</w:t>
      </w:r>
      <w:r w:rsidR="00000032" w:rsidRPr="00451DFD">
        <w:rPr>
          <w:rFonts w:ascii="Arial" w:eastAsia="Calibri" w:hAnsi="Arial" w:cs="Arial"/>
          <w:sz w:val="22"/>
          <w:lang w:val="es-ES_tradnl"/>
        </w:rPr>
        <w:t xml:space="preserve"> de manera posterior </w:t>
      </w:r>
      <w:r w:rsidR="00217841" w:rsidRPr="00451DFD">
        <w:rPr>
          <w:rFonts w:ascii="Arial" w:eastAsia="Calibri" w:hAnsi="Arial" w:cs="Arial"/>
          <w:sz w:val="22"/>
          <w:lang w:val="es-ES_tradnl"/>
        </w:rPr>
        <w:t>está</w:t>
      </w:r>
      <w:r w:rsidR="000B6C94" w:rsidRPr="00451DFD">
        <w:rPr>
          <w:rFonts w:ascii="Arial" w:eastAsia="Calibri" w:hAnsi="Arial" w:cs="Arial"/>
          <w:sz w:val="22"/>
          <w:lang w:val="es-ES_tradnl"/>
        </w:rPr>
        <w:t xml:space="preserve"> inhab</w:t>
      </w:r>
      <w:r w:rsidR="00000032" w:rsidRPr="00451DFD">
        <w:rPr>
          <w:rFonts w:ascii="Arial" w:eastAsia="Calibri" w:hAnsi="Arial" w:cs="Arial"/>
          <w:sz w:val="22"/>
          <w:lang w:val="es-ES_tradnl"/>
        </w:rPr>
        <w:t>ilitad</w:t>
      </w:r>
      <w:r w:rsidR="001D7EB0" w:rsidRPr="00451DFD">
        <w:rPr>
          <w:rFonts w:ascii="Arial" w:eastAsia="Calibri" w:hAnsi="Arial" w:cs="Arial"/>
          <w:sz w:val="22"/>
          <w:lang w:val="es-ES_tradnl"/>
        </w:rPr>
        <w:t>o</w:t>
      </w:r>
      <w:r w:rsidR="00000032" w:rsidRPr="00451DFD">
        <w:rPr>
          <w:rFonts w:ascii="Arial" w:eastAsia="Calibri" w:hAnsi="Arial" w:cs="Arial"/>
          <w:sz w:val="22"/>
          <w:lang w:val="es-ES_tradnl"/>
        </w:rPr>
        <w:t xml:space="preserve"> en el respectivo proceso de contratación.</w:t>
      </w:r>
      <w:r w:rsidR="00217841" w:rsidRPr="00451DFD">
        <w:rPr>
          <w:rFonts w:ascii="Arial" w:eastAsia="Calibri" w:hAnsi="Arial" w:cs="Arial"/>
          <w:sz w:val="22"/>
          <w:lang w:val="es-ES_tradnl"/>
        </w:rPr>
        <w:t xml:space="preserve"> </w:t>
      </w:r>
    </w:p>
    <w:p w14:paraId="62544197" w14:textId="70479F14" w:rsidR="005A79FE" w:rsidRDefault="00217841" w:rsidP="00451DFD">
      <w:pPr>
        <w:spacing w:before="120" w:line="276" w:lineRule="auto"/>
        <w:ind w:firstLine="709"/>
        <w:jc w:val="both"/>
        <w:rPr>
          <w:rFonts w:ascii="Arial" w:eastAsia="Calibri" w:hAnsi="Arial" w:cs="Arial"/>
          <w:sz w:val="22"/>
          <w:lang w:val="es-ES_tradnl"/>
        </w:rPr>
      </w:pPr>
      <w:r w:rsidRPr="00451DFD">
        <w:rPr>
          <w:rFonts w:ascii="Arial" w:eastAsia="Calibri" w:hAnsi="Arial" w:cs="Arial"/>
          <w:sz w:val="22"/>
          <w:lang w:val="es-ES_tradnl"/>
        </w:rPr>
        <w:t xml:space="preserve">En otras palabras, </w:t>
      </w:r>
      <w:r w:rsidRPr="00451DFD">
        <w:rPr>
          <w:rFonts w:ascii="Arial" w:eastAsia="Calibri" w:hAnsi="Arial" w:cs="Arial"/>
          <w:sz w:val="22"/>
        </w:rPr>
        <w:t>la causal de inhabilidad descrita en el literal g) del numeral 1 del artículo 8 de la Ley 80 de 1993 no afecta a los dos (2) proponentes sino a uno (1) de ellos</w:t>
      </w:r>
      <w:r w:rsidR="003E7342" w:rsidRPr="00451DFD">
        <w:rPr>
          <w:rFonts w:ascii="Arial" w:eastAsia="Calibri" w:hAnsi="Arial" w:cs="Arial"/>
          <w:sz w:val="22"/>
        </w:rPr>
        <w:t>, esto es, el cónyuge, compañero permanente o la persona que se encuentre dentro del segundo grado de consanguinidad o segundo de afinidad respecto con cualquier otra persona que, en estas mismas calidades</w:t>
      </w:r>
      <w:r w:rsidR="00554E80" w:rsidRPr="00451DFD">
        <w:rPr>
          <w:rFonts w:ascii="Arial" w:eastAsia="Calibri" w:hAnsi="Arial" w:cs="Arial"/>
          <w:sz w:val="22"/>
        </w:rPr>
        <w:t xml:space="preserve"> de la norma citada</w:t>
      </w:r>
      <w:r w:rsidR="003E7342" w:rsidRPr="00451DFD">
        <w:rPr>
          <w:rFonts w:ascii="Arial" w:eastAsia="Calibri" w:hAnsi="Arial" w:cs="Arial"/>
          <w:sz w:val="22"/>
        </w:rPr>
        <w:t>, entregue previamente su propuesta al proceso de selección</w:t>
      </w:r>
      <w:r w:rsidR="00554E80" w:rsidRPr="00451DFD">
        <w:rPr>
          <w:rFonts w:ascii="Arial" w:eastAsia="Calibri" w:hAnsi="Arial" w:cs="Arial"/>
          <w:sz w:val="22"/>
        </w:rPr>
        <w:t>.</w:t>
      </w:r>
      <w:r w:rsidRPr="00451DFD">
        <w:rPr>
          <w:rFonts w:ascii="Arial" w:eastAsia="Calibri" w:hAnsi="Arial" w:cs="Arial"/>
          <w:sz w:val="22"/>
          <w:lang w:val="es-ES_tradnl"/>
        </w:rPr>
        <w:t xml:space="preserve"> </w:t>
      </w:r>
    </w:p>
    <w:p w14:paraId="2B86163C" w14:textId="77777777" w:rsidR="006779ED" w:rsidRPr="00361A72" w:rsidRDefault="006779ED" w:rsidP="006779ED">
      <w:pPr>
        <w:jc w:val="both"/>
        <w:rPr>
          <w:rFonts w:ascii="Arial" w:eastAsia="Calibri" w:hAnsi="Arial" w:cs="Arial"/>
          <w:sz w:val="22"/>
        </w:rPr>
      </w:pPr>
    </w:p>
    <w:p w14:paraId="5F429EFF" w14:textId="77777777" w:rsidR="005A79FE" w:rsidRPr="00361A72" w:rsidRDefault="005A79FE" w:rsidP="006779ED">
      <w:pPr>
        <w:spacing w:line="276" w:lineRule="auto"/>
        <w:jc w:val="both"/>
        <w:rPr>
          <w:rFonts w:ascii="Arial" w:eastAsia="Calibri" w:hAnsi="Arial" w:cs="Arial"/>
          <w:sz w:val="22"/>
        </w:rPr>
      </w:pPr>
      <w:r w:rsidRPr="68A4DED9">
        <w:rPr>
          <w:rFonts w:ascii="Arial" w:eastAsia="Calibri" w:hAnsi="Arial" w:cs="Arial"/>
          <w:sz w:val="22"/>
        </w:rPr>
        <w:t>Este concepto tiene el alcance previsto en el artículo 28 del Código de Procedimiento Administrativo y de lo Contencioso Administrativo.</w:t>
      </w:r>
    </w:p>
    <w:p w14:paraId="12450974" w14:textId="0CAA4100" w:rsidR="68A4DED9" w:rsidRPr="003A3ED6" w:rsidRDefault="68A4DED9" w:rsidP="68A4DED9">
      <w:pPr>
        <w:spacing w:line="276" w:lineRule="auto"/>
        <w:jc w:val="both"/>
        <w:rPr>
          <w:rFonts w:ascii="Arial" w:eastAsia="Calibri" w:hAnsi="Arial" w:cs="Arial"/>
          <w:sz w:val="16"/>
          <w:szCs w:val="16"/>
        </w:rPr>
      </w:pPr>
    </w:p>
    <w:p w14:paraId="19DA8DDB" w14:textId="77777777" w:rsidR="005A79FE" w:rsidRPr="003A3ED6" w:rsidRDefault="005A79FE" w:rsidP="005A79FE">
      <w:pPr>
        <w:spacing w:line="276" w:lineRule="auto"/>
        <w:jc w:val="both"/>
        <w:rPr>
          <w:rFonts w:ascii="Arial" w:eastAsia="Calibri" w:hAnsi="Arial" w:cs="Arial"/>
          <w:sz w:val="16"/>
          <w:szCs w:val="16"/>
        </w:rPr>
      </w:pPr>
    </w:p>
    <w:p w14:paraId="18AAB28D" w14:textId="5DA7E5DA" w:rsidR="005A79FE" w:rsidRPr="00361A72" w:rsidRDefault="005A79FE" w:rsidP="007919DD">
      <w:pPr>
        <w:jc w:val="both"/>
        <w:rPr>
          <w:rFonts w:ascii="Arial" w:eastAsia="Times New Roman" w:hAnsi="Arial" w:cs="Arial"/>
          <w:sz w:val="22"/>
          <w:lang w:eastAsia="es-CO"/>
        </w:rPr>
      </w:pPr>
      <w:r w:rsidRPr="00361A72">
        <w:rPr>
          <w:noProof/>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DBE9FF5">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43D2B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r w:rsidRPr="68A4DED9">
        <w:rPr>
          <w:rFonts w:ascii="Arial" w:eastAsia="Times New Roman" w:hAnsi="Arial" w:cs="Arial"/>
          <w:sz w:val="22"/>
          <w:lang w:eastAsia="es-CO"/>
        </w:rPr>
        <w:t>Atentamente,</w:t>
      </w:r>
    </w:p>
    <w:p w14:paraId="67909B52" w14:textId="78814E92" w:rsidR="005A79FE" w:rsidRDefault="0EB51640" w:rsidP="68A4DED9">
      <w:pPr>
        <w:jc w:val="center"/>
      </w:pPr>
      <w:r>
        <w:rPr>
          <w:noProof/>
        </w:rPr>
        <w:drawing>
          <wp:inline distT="0" distB="0" distL="0" distR="0" wp14:anchorId="7BF944C6" wp14:editId="19F23B04">
            <wp:extent cx="2771775" cy="990600"/>
            <wp:effectExtent l="0" t="0" r="0" b="0"/>
            <wp:docPr id="533118688" name="Imagen 153249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32491726"/>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2C2F572A" w14:textId="3690D291" w:rsidR="68A4DED9" w:rsidRDefault="68A4DED9" w:rsidP="68A4DED9">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32"/>
      </w:tblGrid>
      <w:tr w:rsidR="005A79FE" w:rsidRPr="00BD5E40" w14:paraId="047B79DC" w14:textId="77777777" w:rsidTr="009217DC">
        <w:trPr>
          <w:trHeight w:val="257"/>
        </w:trPr>
        <w:tc>
          <w:tcPr>
            <w:tcW w:w="797" w:type="dxa"/>
            <w:vAlign w:val="center"/>
            <w:hideMark/>
          </w:tcPr>
          <w:p w14:paraId="66736F0D" w14:textId="77777777" w:rsidR="005A79FE" w:rsidRPr="00541738" w:rsidRDefault="005A79FE" w:rsidP="002F6746">
            <w:pPr>
              <w:rPr>
                <w:rFonts w:ascii="Arial" w:eastAsia="Times New Roman" w:hAnsi="Arial" w:cs="Arial"/>
                <w:sz w:val="16"/>
                <w:szCs w:val="16"/>
                <w:lang w:eastAsia="es-ES"/>
              </w:rPr>
            </w:pPr>
            <w:r w:rsidRPr="00541738">
              <w:rPr>
                <w:rFonts w:ascii="Arial" w:eastAsia="Times New Roman" w:hAnsi="Arial" w:cs="Arial"/>
                <w:sz w:val="16"/>
                <w:szCs w:val="16"/>
                <w:lang w:eastAsia="es-ES"/>
              </w:rPr>
              <w:t>Elaboró:</w:t>
            </w:r>
          </w:p>
        </w:tc>
        <w:tc>
          <w:tcPr>
            <w:tcW w:w="4332" w:type="dxa"/>
            <w:tcBorders>
              <w:top w:val="nil"/>
              <w:left w:val="nil"/>
              <w:bottom w:val="dotted" w:sz="4" w:space="0" w:color="7F7F7F" w:themeColor="text1" w:themeTint="80"/>
              <w:right w:val="nil"/>
            </w:tcBorders>
            <w:vAlign w:val="center"/>
            <w:hideMark/>
          </w:tcPr>
          <w:p w14:paraId="75783E81" w14:textId="5F4AB089" w:rsidR="005A79FE" w:rsidRPr="00541738" w:rsidRDefault="00C95C21" w:rsidP="002F6746">
            <w:pPr>
              <w:rPr>
                <w:rFonts w:ascii="Arial" w:eastAsia="Times New Roman" w:hAnsi="Arial" w:cs="Arial"/>
                <w:sz w:val="16"/>
                <w:szCs w:val="16"/>
                <w:lang w:eastAsia="es-ES"/>
              </w:rPr>
            </w:pPr>
            <w:r w:rsidRPr="00541738">
              <w:rPr>
                <w:rFonts w:ascii="Arial" w:eastAsia="Times New Roman" w:hAnsi="Arial" w:cs="Arial"/>
                <w:sz w:val="16"/>
                <w:szCs w:val="16"/>
                <w:lang w:eastAsia="es-ES"/>
              </w:rPr>
              <w:t>Juan Manuel Castillo López</w:t>
            </w:r>
          </w:p>
          <w:p w14:paraId="2102D393" w14:textId="35614B14" w:rsidR="005A79FE" w:rsidRPr="00541738" w:rsidRDefault="00C95C21" w:rsidP="002F6746">
            <w:pPr>
              <w:rPr>
                <w:rFonts w:ascii="Arial" w:eastAsia="Times New Roman" w:hAnsi="Arial" w:cs="Arial"/>
                <w:sz w:val="16"/>
                <w:szCs w:val="16"/>
                <w:lang w:eastAsia="es-ES"/>
              </w:rPr>
            </w:pPr>
            <w:r w:rsidRPr="00541738">
              <w:rPr>
                <w:rFonts w:ascii="Arial" w:eastAsia="Times New Roman" w:hAnsi="Arial" w:cs="Arial"/>
                <w:sz w:val="16"/>
                <w:szCs w:val="16"/>
                <w:lang w:eastAsia="es-ES"/>
              </w:rPr>
              <w:t xml:space="preserve">Contratista </w:t>
            </w:r>
            <w:r w:rsidR="00BB5507">
              <w:rPr>
                <w:rFonts w:ascii="Arial" w:eastAsia="Times New Roman" w:hAnsi="Arial" w:cs="Arial"/>
                <w:sz w:val="16"/>
                <w:szCs w:val="16"/>
                <w:lang w:eastAsia="es-ES"/>
              </w:rPr>
              <w:t>–</w:t>
            </w:r>
            <w:r w:rsidRPr="00541738">
              <w:rPr>
                <w:rFonts w:ascii="Arial" w:eastAsia="Times New Roman" w:hAnsi="Arial" w:cs="Arial"/>
                <w:sz w:val="16"/>
                <w:szCs w:val="16"/>
                <w:lang w:eastAsia="es-ES"/>
              </w:rPr>
              <w:t xml:space="preserve"> Subdirección de Gestión Contractual</w:t>
            </w:r>
          </w:p>
        </w:tc>
      </w:tr>
      <w:tr w:rsidR="005A79FE" w:rsidRPr="00BD5E40" w14:paraId="7B1DF477" w14:textId="77777777" w:rsidTr="009217DC">
        <w:trPr>
          <w:trHeight w:val="269"/>
        </w:trPr>
        <w:tc>
          <w:tcPr>
            <w:tcW w:w="797" w:type="dxa"/>
            <w:vAlign w:val="center"/>
            <w:hideMark/>
          </w:tcPr>
          <w:p w14:paraId="0FFE9D07" w14:textId="77777777" w:rsidR="005A79FE" w:rsidRPr="00541738" w:rsidRDefault="005A79FE" w:rsidP="002F6746">
            <w:pPr>
              <w:rPr>
                <w:rFonts w:ascii="Arial" w:eastAsia="Times New Roman" w:hAnsi="Arial" w:cs="Arial"/>
                <w:sz w:val="16"/>
                <w:szCs w:val="16"/>
                <w:lang w:eastAsia="es-ES"/>
              </w:rPr>
            </w:pPr>
            <w:r w:rsidRPr="00541738">
              <w:rPr>
                <w:rFonts w:ascii="Arial" w:eastAsia="Times New Roman" w:hAnsi="Arial" w:cs="Arial"/>
                <w:sz w:val="16"/>
                <w:szCs w:val="16"/>
                <w:lang w:eastAsia="es-ES"/>
              </w:rPr>
              <w:t>Revisó:</w:t>
            </w:r>
          </w:p>
        </w:tc>
        <w:tc>
          <w:tcPr>
            <w:tcW w:w="4332" w:type="dxa"/>
            <w:tcBorders>
              <w:top w:val="dotted" w:sz="4" w:space="0" w:color="7F7F7F" w:themeColor="text1" w:themeTint="80"/>
              <w:left w:val="nil"/>
              <w:bottom w:val="dotted" w:sz="4" w:space="0" w:color="7F7F7F" w:themeColor="text1" w:themeTint="80"/>
              <w:right w:val="nil"/>
            </w:tcBorders>
            <w:vAlign w:val="center"/>
            <w:hideMark/>
          </w:tcPr>
          <w:p w14:paraId="46BA7EB7" w14:textId="77777777" w:rsidR="00BD5E40" w:rsidRPr="00541738" w:rsidRDefault="00BD5E40" w:rsidP="00BD5E40">
            <w:pPr>
              <w:rPr>
                <w:rFonts w:ascii="Arial" w:eastAsia="Times New Roman" w:hAnsi="Arial" w:cs="Arial"/>
                <w:sz w:val="16"/>
                <w:szCs w:val="16"/>
                <w:lang w:eastAsia="es-ES"/>
              </w:rPr>
            </w:pPr>
            <w:r w:rsidRPr="00541738">
              <w:rPr>
                <w:rFonts w:ascii="Arial" w:eastAsia="Times New Roman" w:hAnsi="Arial" w:cs="Arial"/>
                <w:sz w:val="16"/>
                <w:szCs w:val="16"/>
                <w:lang w:eastAsia="es-ES"/>
              </w:rPr>
              <w:t xml:space="preserve">Juan David Montoya Penagos </w:t>
            </w:r>
          </w:p>
          <w:p w14:paraId="28E52DE2" w14:textId="00870518" w:rsidR="005A79FE" w:rsidRPr="00541738" w:rsidRDefault="00BD5E40" w:rsidP="002F6746">
            <w:pPr>
              <w:rPr>
                <w:rFonts w:ascii="Arial" w:eastAsia="Times New Roman" w:hAnsi="Arial" w:cs="Arial"/>
                <w:sz w:val="16"/>
                <w:szCs w:val="16"/>
                <w:lang w:eastAsia="es-ES"/>
              </w:rPr>
            </w:pPr>
            <w:r w:rsidRPr="00541738">
              <w:rPr>
                <w:rFonts w:ascii="Arial" w:eastAsia="Times New Roman" w:hAnsi="Arial" w:cs="Arial"/>
                <w:sz w:val="16"/>
                <w:szCs w:val="16"/>
                <w:lang w:eastAsia="es-ES"/>
              </w:rPr>
              <w:t>Contratista</w:t>
            </w:r>
            <w:r w:rsidR="00BB5507">
              <w:rPr>
                <w:rFonts w:ascii="Arial" w:eastAsia="Times New Roman" w:hAnsi="Arial" w:cs="Arial"/>
                <w:sz w:val="16"/>
                <w:szCs w:val="16"/>
                <w:lang w:eastAsia="es-ES"/>
              </w:rPr>
              <w:t xml:space="preserve"> –</w:t>
            </w:r>
            <w:r w:rsidRPr="00541738">
              <w:rPr>
                <w:rFonts w:ascii="Arial" w:eastAsia="Times New Roman" w:hAnsi="Arial" w:cs="Arial"/>
                <w:sz w:val="16"/>
                <w:szCs w:val="16"/>
                <w:lang w:eastAsia="es-ES"/>
              </w:rPr>
              <w:t xml:space="preserve"> Subdirección de Gestión Contractual</w:t>
            </w:r>
          </w:p>
        </w:tc>
      </w:tr>
      <w:tr w:rsidR="005A79FE" w:rsidRPr="00BD5E40" w14:paraId="711E3E03" w14:textId="77777777" w:rsidTr="009217DC">
        <w:trPr>
          <w:trHeight w:val="245"/>
        </w:trPr>
        <w:tc>
          <w:tcPr>
            <w:tcW w:w="797" w:type="dxa"/>
            <w:vAlign w:val="center"/>
            <w:hideMark/>
          </w:tcPr>
          <w:p w14:paraId="4738705E" w14:textId="77777777" w:rsidR="005A79FE" w:rsidRPr="00541738" w:rsidRDefault="005A79FE" w:rsidP="002F6746">
            <w:pPr>
              <w:rPr>
                <w:rFonts w:ascii="Arial" w:eastAsia="Times New Roman" w:hAnsi="Arial" w:cs="Arial"/>
                <w:sz w:val="16"/>
                <w:szCs w:val="16"/>
                <w:lang w:eastAsia="es-ES"/>
              </w:rPr>
            </w:pPr>
            <w:bookmarkStart w:id="3" w:name="_Hlk29890381"/>
            <w:bookmarkEnd w:id="3"/>
            <w:r w:rsidRPr="00541738">
              <w:rPr>
                <w:rFonts w:ascii="Arial" w:eastAsia="Times New Roman" w:hAnsi="Arial" w:cs="Arial"/>
                <w:sz w:val="16"/>
                <w:szCs w:val="16"/>
                <w:lang w:eastAsia="es-ES"/>
              </w:rPr>
              <w:t>Aprobó:</w:t>
            </w:r>
          </w:p>
        </w:tc>
        <w:tc>
          <w:tcPr>
            <w:tcW w:w="4332"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541738" w:rsidRDefault="005A79FE" w:rsidP="002F6746">
            <w:pPr>
              <w:rPr>
                <w:rFonts w:ascii="Arial" w:eastAsia="Times New Roman" w:hAnsi="Arial" w:cs="Arial"/>
                <w:sz w:val="16"/>
                <w:szCs w:val="16"/>
                <w:lang w:eastAsia="es-ES"/>
              </w:rPr>
            </w:pPr>
            <w:r w:rsidRPr="00541738">
              <w:rPr>
                <w:rFonts w:ascii="Arial" w:eastAsia="Times New Roman" w:hAnsi="Arial" w:cs="Arial"/>
                <w:sz w:val="16"/>
                <w:szCs w:val="16"/>
                <w:lang w:eastAsia="es-ES"/>
              </w:rPr>
              <w:t>Fabián Gonzalo Marín Cortés</w:t>
            </w:r>
          </w:p>
          <w:p w14:paraId="18618B00" w14:textId="77777777" w:rsidR="005A79FE" w:rsidRPr="00541738" w:rsidRDefault="005A79FE" w:rsidP="002F6746">
            <w:pPr>
              <w:rPr>
                <w:rFonts w:ascii="Arial" w:eastAsia="Times New Roman" w:hAnsi="Arial" w:cs="Arial"/>
                <w:sz w:val="16"/>
                <w:szCs w:val="16"/>
                <w:lang w:eastAsia="es-ES"/>
              </w:rPr>
            </w:pPr>
            <w:r w:rsidRPr="00541738">
              <w:rPr>
                <w:rFonts w:ascii="Arial" w:eastAsia="Times New Roman" w:hAnsi="Arial" w:cs="Arial"/>
                <w:sz w:val="16"/>
                <w:szCs w:val="16"/>
                <w:lang w:eastAsia="es-ES"/>
              </w:rPr>
              <w:t>Subdirector de Gestión Contractual</w:t>
            </w:r>
          </w:p>
        </w:tc>
      </w:tr>
    </w:tbl>
    <w:p w14:paraId="7EBF297E" w14:textId="77777777" w:rsidR="007B0854" w:rsidRDefault="007B0854" w:rsidP="009217DC">
      <w:pPr>
        <w:jc w:val="both"/>
        <w:rPr>
          <w:rFonts w:ascii="Arial" w:eastAsia="Calibri" w:hAnsi="Arial" w:cs="Arial"/>
          <w:color w:val="4E4D4D"/>
          <w:sz w:val="22"/>
        </w:rPr>
      </w:pPr>
    </w:p>
    <w:sectPr w:rsidR="007B0854"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B85F9D" w14:textId="77777777" w:rsidR="005A23B0" w:rsidRDefault="005A23B0">
      <w:r>
        <w:separator/>
      </w:r>
    </w:p>
  </w:endnote>
  <w:endnote w:type="continuationSeparator" w:id="0">
    <w:p w14:paraId="766FE24B" w14:textId="77777777" w:rsidR="005A23B0" w:rsidRDefault="005A2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2F6746" w:rsidRDefault="002F6746" w:rsidP="007B0854">
    <w:pPr>
      <w:pStyle w:val="Sinespaciado"/>
      <w:jc w:val="center"/>
      <w:rPr>
        <w:rFonts w:ascii="Arial" w:hAnsi="Arial" w:cs="Arial"/>
        <w:sz w:val="18"/>
        <w:szCs w:val="18"/>
      </w:rPr>
    </w:pPr>
  </w:p>
  <w:p w14:paraId="312C4A14" w14:textId="7707DAF9" w:rsidR="002F6746" w:rsidRPr="005A79FE" w:rsidRDefault="002F6746"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F65C6">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F65C6">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48FC6A04" w14:textId="0E0B8C38" w:rsidR="002F6746" w:rsidRDefault="0AD53C6D" w:rsidP="007B0854">
    <w:pPr>
      <w:pStyle w:val="Piedepgina"/>
      <w:jc w:val="center"/>
      <w:rPr>
        <w:lang w:val="es-ES"/>
      </w:rPr>
    </w:pPr>
    <w:r>
      <w:rPr>
        <w:noProof/>
      </w:rPr>
      <w:drawing>
        <wp:inline distT="0" distB="0" distL="0" distR="0" wp14:anchorId="608B196D" wp14:editId="1B0E2A86">
          <wp:extent cx="4241994" cy="595165"/>
          <wp:effectExtent l="0" t="0" r="6350" b="0"/>
          <wp:docPr id="174418855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2F6746" w:rsidRPr="007B0854" w:rsidRDefault="002F674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0440C" w14:textId="77777777" w:rsidR="005A23B0" w:rsidRDefault="005A23B0">
      <w:r>
        <w:separator/>
      </w:r>
    </w:p>
  </w:footnote>
  <w:footnote w:type="continuationSeparator" w:id="0">
    <w:p w14:paraId="00D20F6E" w14:textId="77777777" w:rsidR="005A23B0" w:rsidRDefault="005A23B0">
      <w:r>
        <w:continuationSeparator/>
      </w:r>
    </w:p>
  </w:footnote>
  <w:footnote w:id="1">
    <w:p w14:paraId="3E28FDC7" w14:textId="2054E79A" w:rsidR="002F6746" w:rsidRPr="00E55B08" w:rsidRDefault="002F6746">
      <w:pPr>
        <w:pStyle w:val="Textonotapie"/>
        <w:ind w:firstLine="708"/>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CORTE CONSTITUCIONAL. Sentencia C-1016 de 2012. M.P. Jorge Iván Palacio. </w:t>
      </w:r>
    </w:p>
    <w:p w14:paraId="459C8B17" w14:textId="77777777" w:rsidR="002F6746" w:rsidRPr="00E55B08" w:rsidRDefault="002F6746">
      <w:pPr>
        <w:pStyle w:val="Textonotapie"/>
        <w:ind w:firstLine="708"/>
        <w:jc w:val="both"/>
        <w:rPr>
          <w:rFonts w:ascii="Arial" w:hAnsi="Arial" w:cs="Arial"/>
          <w:sz w:val="19"/>
          <w:szCs w:val="19"/>
        </w:rPr>
      </w:pPr>
    </w:p>
  </w:footnote>
  <w:footnote w:id="2">
    <w:p w14:paraId="2190DC5B" w14:textId="31816368" w:rsidR="002F6746" w:rsidRPr="00E55B08" w:rsidRDefault="002F6746">
      <w:pPr>
        <w:pStyle w:val="Textonotapie"/>
        <w:ind w:firstLine="708"/>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CONSEJO DE ESTADO. Sección Tercera. Subsección A. Sentencia del 13 de noviembre de 2013. Rad. 25.646. C.P. Mauricio Fajardo Gómez.  </w:t>
      </w:r>
    </w:p>
    <w:p w14:paraId="4D625138" w14:textId="77777777" w:rsidR="002F6746" w:rsidRPr="00E55B08" w:rsidRDefault="002F6746">
      <w:pPr>
        <w:pStyle w:val="Textonotapie"/>
        <w:ind w:firstLine="708"/>
        <w:jc w:val="both"/>
        <w:rPr>
          <w:rFonts w:ascii="Arial" w:hAnsi="Arial" w:cs="Arial"/>
          <w:sz w:val="19"/>
          <w:szCs w:val="19"/>
        </w:rPr>
      </w:pPr>
    </w:p>
  </w:footnote>
  <w:footnote w:id="3">
    <w:p w14:paraId="4FD2BA18" w14:textId="6D3C4378" w:rsidR="002F6746" w:rsidRPr="00E55B08" w:rsidRDefault="002F6746">
      <w:pPr>
        <w:pStyle w:val="Textonotapie"/>
        <w:ind w:firstLine="708"/>
        <w:jc w:val="both"/>
        <w:rPr>
          <w:rFonts w:ascii="Arial" w:hAnsi="Arial" w:cs="Arial"/>
          <w:sz w:val="19"/>
          <w:szCs w:val="19"/>
        </w:rPr>
      </w:pPr>
      <w:r w:rsidRPr="00E55B08">
        <w:rPr>
          <w:rFonts w:ascii="Arial" w:hAnsi="Arial" w:cs="Arial"/>
          <w:sz w:val="19"/>
          <w:szCs w:val="19"/>
          <w:vertAlign w:val="superscript"/>
        </w:rPr>
        <w:footnoteRef/>
      </w:r>
      <w:r w:rsidRPr="00E55B08">
        <w:rPr>
          <w:rFonts w:ascii="Arial" w:hAnsi="Arial" w:cs="Arial"/>
          <w:sz w:val="19"/>
          <w:szCs w:val="19"/>
        </w:rPr>
        <w:t xml:space="preserve"> CORTE CONSTITUCIONAL. Sentencia C-415 de 1994. M.P. Eduardo Cifuentes Muñoz. </w:t>
      </w:r>
    </w:p>
    <w:p w14:paraId="623A0202" w14:textId="77777777" w:rsidR="002F6746" w:rsidRPr="00E55B08" w:rsidRDefault="002F6746">
      <w:pPr>
        <w:pStyle w:val="Textonotapie"/>
        <w:ind w:firstLine="708"/>
        <w:jc w:val="both"/>
        <w:rPr>
          <w:rFonts w:ascii="Arial" w:hAnsi="Arial" w:cs="Arial"/>
          <w:sz w:val="19"/>
          <w:szCs w:val="19"/>
        </w:rPr>
      </w:pPr>
    </w:p>
  </w:footnote>
  <w:footnote w:id="4">
    <w:p w14:paraId="666BF804" w14:textId="77777777" w:rsidR="002F6746" w:rsidRPr="00E55B08" w:rsidRDefault="002F6746">
      <w:pPr>
        <w:pStyle w:val="Textonotapie"/>
        <w:ind w:firstLine="708"/>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w:t>
      </w:r>
      <w:proofErr w:type="spellStart"/>
      <w:r w:rsidRPr="00E55B08">
        <w:rPr>
          <w:rFonts w:ascii="Arial" w:hAnsi="Arial" w:cs="Arial"/>
          <w:sz w:val="19"/>
          <w:szCs w:val="19"/>
        </w:rPr>
        <w:t>Ibídem</w:t>
      </w:r>
      <w:proofErr w:type="spellEnd"/>
      <w:r w:rsidRPr="00E55B08">
        <w:rPr>
          <w:rFonts w:ascii="Arial" w:hAnsi="Arial" w:cs="Arial"/>
          <w:sz w:val="19"/>
          <w:szCs w:val="19"/>
        </w:rPr>
        <w:t xml:space="preserve">. </w:t>
      </w:r>
    </w:p>
    <w:p w14:paraId="5716A3DE" w14:textId="77777777" w:rsidR="002F6746" w:rsidRPr="00E55B08" w:rsidRDefault="002F6746">
      <w:pPr>
        <w:pStyle w:val="Textonotapie"/>
        <w:ind w:firstLine="708"/>
        <w:jc w:val="both"/>
        <w:rPr>
          <w:rFonts w:ascii="Arial" w:hAnsi="Arial" w:cs="Arial"/>
          <w:sz w:val="19"/>
          <w:szCs w:val="19"/>
        </w:rPr>
      </w:pPr>
    </w:p>
  </w:footnote>
  <w:footnote w:id="5">
    <w:p w14:paraId="1A996380" w14:textId="497C9BA3" w:rsidR="002F6746" w:rsidRPr="00E55B08" w:rsidRDefault="002F6746">
      <w:pPr>
        <w:pStyle w:val="Textonotapie"/>
        <w:ind w:firstLine="708"/>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CORTE CONSTITUCIONAL. Sentencia C-780 de 2001. M.P. Jaime Córdoba Triviño. </w:t>
      </w:r>
    </w:p>
    <w:p w14:paraId="098AF5E7" w14:textId="77777777" w:rsidR="002F6746" w:rsidRPr="00E55B08" w:rsidRDefault="002F6746">
      <w:pPr>
        <w:pStyle w:val="Textonotapie"/>
        <w:ind w:firstLine="708"/>
        <w:jc w:val="both"/>
        <w:rPr>
          <w:rFonts w:ascii="Arial" w:hAnsi="Arial" w:cs="Arial"/>
          <w:sz w:val="19"/>
          <w:szCs w:val="19"/>
        </w:rPr>
      </w:pPr>
    </w:p>
  </w:footnote>
  <w:footnote w:id="6">
    <w:p w14:paraId="33084E93" w14:textId="77777777" w:rsidR="002F6746" w:rsidRPr="00E55B08" w:rsidRDefault="002F6746">
      <w:pPr>
        <w:pStyle w:val="NormalWeb"/>
        <w:spacing w:before="0" w:beforeAutospacing="0" w:after="0" w:afterAutospacing="0"/>
        <w:ind w:firstLine="708"/>
        <w:jc w:val="both"/>
        <w:rPr>
          <w:rFonts w:ascii="Arial" w:eastAsiaTheme="minorHAnsi" w:hAnsi="Arial" w:cs="Arial"/>
          <w:sz w:val="19"/>
          <w:szCs w:val="19"/>
          <w:lang w:val="es-ES" w:eastAsia="en-U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eastAsiaTheme="minorHAnsi" w:hAnsi="Arial" w:cs="Arial"/>
          <w:sz w:val="19"/>
          <w:szCs w:val="19"/>
          <w:lang w:val="es-ES" w:eastAsia="en-US"/>
        </w:rPr>
        <w:t>Ley 80 de 1993: «Artículo 8: 1o. Son inhábiles para participar en licitaciones o concursos y para celebrar contratos con las entidades estatales: </w:t>
      </w:r>
    </w:p>
    <w:p w14:paraId="60BB24F5"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»a</w:t>
      </w:r>
      <w:proofErr w:type="gramEnd"/>
      <w:r w:rsidRPr="00E55B08">
        <w:rPr>
          <w:rFonts w:ascii="Arial" w:eastAsiaTheme="minorHAnsi" w:hAnsi="Arial" w:cs="Arial"/>
          <w:sz w:val="19"/>
          <w:szCs w:val="19"/>
          <w:lang w:val="es-ES" w:eastAsia="en-US"/>
        </w:rPr>
        <w:t>) Las personas que se hallen inhabilitadas para contratar por la Constitución y las leyes. </w:t>
      </w:r>
    </w:p>
    <w:p w14:paraId="0685B6C1"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»b</w:t>
      </w:r>
      <w:proofErr w:type="gramEnd"/>
      <w:r w:rsidRPr="00E55B08">
        <w:rPr>
          <w:rFonts w:ascii="Arial" w:eastAsiaTheme="minorHAnsi" w:hAnsi="Arial" w:cs="Arial"/>
          <w:sz w:val="19"/>
          <w:szCs w:val="19"/>
          <w:lang w:val="es-ES" w:eastAsia="en-US"/>
        </w:rPr>
        <w:t>) Quienes participaron en las licitaciones o concursos o celebraron los contratos de que trata el literal anterior estando inhabilitados. </w:t>
      </w:r>
    </w:p>
    <w:p w14:paraId="52C0C53B"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t>»c) Quienes dieron lugar a la declaratoria de caducidad. </w:t>
      </w:r>
    </w:p>
    <w:p w14:paraId="485B4E56"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»d</w:t>
      </w:r>
      <w:proofErr w:type="gramEnd"/>
      <w:r w:rsidRPr="00E55B08">
        <w:rPr>
          <w:rFonts w:ascii="Arial" w:eastAsiaTheme="minorHAnsi" w:hAnsi="Arial" w:cs="Arial"/>
          <w:sz w:val="19"/>
          <w:szCs w:val="19"/>
          <w:lang w:val="es-ES" w:eastAsia="en-US"/>
        </w:rPr>
        <w:t>) Quienes en sentencia judicial hayan sido condenados a la pena accesoria de interdicción de derechos y funciones públicas y quienes hayan sido sancionados disciplinariamente con destitución. </w:t>
      </w:r>
    </w:p>
    <w:p w14:paraId="71D91447"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»e</w:t>
      </w:r>
      <w:proofErr w:type="gramEnd"/>
      <w:r w:rsidRPr="00E55B08">
        <w:rPr>
          <w:rFonts w:ascii="Arial" w:eastAsiaTheme="minorHAnsi" w:hAnsi="Arial" w:cs="Arial"/>
          <w:sz w:val="19"/>
          <w:szCs w:val="19"/>
          <w:lang w:val="es-ES" w:eastAsia="en-US"/>
        </w:rPr>
        <w:t>) Quienes sin justa causa se abstengan de suscribir el contrato estatal adjudicado. </w:t>
      </w:r>
    </w:p>
    <w:p w14:paraId="2FEBDC3C"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»f</w:t>
      </w:r>
      <w:proofErr w:type="gramEnd"/>
      <w:r w:rsidRPr="00E55B08">
        <w:rPr>
          <w:rFonts w:ascii="Arial" w:eastAsiaTheme="minorHAnsi" w:hAnsi="Arial" w:cs="Arial"/>
          <w:sz w:val="19"/>
          <w:szCs w:val="19"/>
          <w:lang w:val="es-ES" w:eastAsia="en-US"/>
        </w:rPr>
        <w:t>) Los servidores públicos. </w:t>
      </w:r>
    </w:p>
    <w:p w14:paraId="066CA7C4"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»g</w:t>
      </w:r>
      <w:proofErr w:type="gramEnd"/>
      <w:r w:rsidRPr="00E55B08">
        <w:rPr>
          <w:rFonts w:ascii="Arial" w:eastAsiaTheme="minorHAnsi" w:hAnsi="Arial" w:cs="Arial"/>
          <w:sz w:val="19"/>
          <w:szCs w:val="19"/>
          <w:lang w:val="es-ES" w:eastAsia="en-US"/>
        </w:rPr>
        <w:t>) Quienes sean cónyuges o compañeros permanentes y quienes se encuentren dentro del segundo grado de consanguinidad o segundo de afinidad con cualquier otra persona que formalmente haya presentado propuesta para una misma licitación o concurso. </w:t>
      </w:r>
    </w:p>
    <w:p w14:paraId="116CC600" w14:textId="77777777" w:rsidR="002F6746" w:rsidRPr="00E55B08" w:rsidRDefault="002F6746">
      <w:pPr>
        <w:pStyle w:val="NormalWeb"/>
        <w:spacing w:before="0" w:beforeAutospacing="0" w:after="0" w:afterAutospacing="0"/>
        <w:ind w:firstLine="708"/>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14F49F88"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»i</w:t>
      </w:r>
      <w:proofErr w:type="gramEnd"/>
      <w:r w:rsidRPr="00E55B08">
        <w:rPr>
          <w:rFonts w:ascii="Arial" w:eastAsiaTheme="minorHAnsi" w:hAnsi="Arial" w:cs="Arial"/>
          <w:sz w:val="19"/>
          <w:szCs w:val="19"/>
          <w:lang w:val="es-ES" w:eastAsia="en-US"/>
        </w:rPr>
        <w:t>) Los socios de sociedades de personas a las cuales se haya declarado la caducidad, así como las sociedades de personas de las que aquellos formen parte con posterioridad a dicha declaratoria. </w:t>
      </w:r>
    </w:p>
    <w:p w14:paraId="0798DA5C"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DFDA682"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6E98DB6"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»Esta</w:t>
      </w:r>
      <w:proofErr w:type="gramEnd"/>
      <w:r w:rsidRPr="00E55B08">
        <w:rPr>
          <w:rFonts w:ascii="Arial" w:eastAsiaTheme="minorHAnsi" w:hAnsi="Arial" w:cs="Arial"/>
          <w:sz w:val="19"/>
          <w:szCs w:val="19"/>
          <w:lang w:val="es-ES" w:eastAsia="en-US"/>
        </w:rPr>
        <w:t xml:space="preserve">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E55B08">
        <w:rPr>
          <w:rFonts w:ascii="Arial" w:eastAsiaTheme="minorHAnsi" w:hAnsi="Arial" w:cs="Arial"/>
          <w:sz w:val="19"/>
          <w:szCs w:val="19"/>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E55B08">
        <w:rPr>
          <w:rFonts w:ascii="Arial" w:eastAsiaTheme="minorHAnsi" w:hAnsi="Arial" w:cs="Arial"/>
          <w:sz w:val="19"/>
          <w:szCs w:val="19"/>
          <w:lang w:val="es-ES" w:eastAsia="en-US"/>
        </w:rPr>
        <w:softHyphen/>
        <w:t>cepción de las sociedades anónimas abiertas. También se considerarán inhabilitadas para contratar, las personas jurídicas sobre las cuales se haya ordenado la suspensión de la perso</w:t>
      </w:r>
      <w:r w:rsidRPr="00E55B08">
        <w:rPr>
          <w:rFonts w:ascii="Arial" w:eastAsiaTheme="minorHAnsi" w:hAnsi="Arial" w:cs="Arial"/>
          <w:sz w:val="19"/>
          <w:szCs w:val="19"/>
          <w:lang w:val="es-ES" w:eastAsia="en-US"/>
        </w:rPr>
        <w:softHyphen/>
        <w:t>nería jurídica en los términos de ley, o cuyos representantes legales, ad</w:t>
      </w:r>
      <w:r w:rsidRPr="00E55B08">
        <w:rPr>
          <w:rFonts w:ascii="Arial" w:eastAsiaTheme="minorHAnsi" w:hAnsi="Arial" w:cs="Arial"/>
          <w:sz w:val="19"/>
          <w:szCs w:val="19"/>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E55B08">
        <w:rPr>
          <w:rFonts w:ascii="Arial" w:eastAsiaTheme="minorHAnsi" w:hAnsi="Arial" w:cs="Arial"/>
          <w:sz w:val="19"/>
          <w:szCs w:val="19"/>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58EE59B4"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w:t>
      </w:r>
    </w:p>
    <w:p w14:paraId="4AF43F62" w14:textId="77777777" w:rsidR="002F6746" w:rsidRPr="00E55B08" w:rsidRDefault="002F6746">
      <w:pPr>
        <w:pStyle w:val="NormalWeb"/>
        <w:spacing w:before="0" w:beforeAutospacing="0" w:after="0" w:afterAutospacing="0"/>
        <w:ind w:firstLine="708"/>
        <w:jc w:val="both"/>
        <w:rPr>
          <w:rFonts w:ascii="Arial" w:eastAsiaTheme="minorHAnsi" w:hAnsi="Arial" w:cs="Arial"/>
          <w:sz w:val="19"/>
          <w:szCs w:val="19"/>
          <w:lang w:val="es-ES" w:eastAsia="en-US"/>
        </w:rPr>
      </w:pPr>
      <w:proofErr w:type="gramStart"/>
      <w:r w:rsidRPr="00E55B08">
        <w:rPr>
          <w:rFonts w:ascii="Arial" w:eastAsiaTheme="minorHAnsi" w:hAnsi="Arial" w:cs="Arial"/>
          <w:sz w:val="19"/>
          <w:szCs w:val="19"/>
          <w:lang w:val="es-ES" w:eastAsia="en-US"/>
        </w:rPr>
        <w:t>»2o.</w:t>
      </w:r>
      <w:proofErr w:type="gramEnd"/>
      <w:r w:rsidRPr="00E55B08">
        <w:rPr>
          <w:rFonts w:ascii="Arial" w:eastAsiaTheme="minorHAnsi" w:hAnsi="Arial" w:cs="Arial"/>
          <w:sz w:val="19"/>
          <w:szCs w:val="19"/>
          <w:lang w:val="es-ES" w:eastAsia="en-US"/>
        </w:rPr>
        <w:t xml:space="preserve"> Tampoco podrán participar en licitaciones o concursos ni celebrar contratos estatales con la entidad respectiva: </w:t>
      </w:r>
    </w:p>
    <w:p w14:paraId="17306926"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»a</w:t>
      </w:r>
      <w:proofErr w:type="gramEnd"/>
      <w:r w:rsidRPr="00E55B08">
        <w:rPr>
          <w:rFonts w:ascii="Arial" w:eastAsiaTheme="minorHAnsi" w:hAnsi="Arial" w:cs="Arial"/>
          <w:sz w:val="19"/>
          <w:szCs w:val="19"/>
          <w:lang w:val="es-ES" w:eastAsia="en-US"/>
        </w:rPr>
        <w:t>)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373E826A"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»b</w:t>
      </w:r>
      <w:proofErr w:type="gramEnd"/>
      <w:r w:rsidRPr="00E55B08">
        <w:rPr>
          <w:rFonts w:ascii="Arial" w:eastAsiaTheme="minorHAnsi" w:hAnsi="Arial" w:cs="Arial"/>
          <w:sz w:val="19"/>
          <w:szCs w:val="19"/>
          <w:lang w:val="es-ES" w:eastAsia="en-US"/>
        </w:rPr>
        <w:t>)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741DEB68"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3ADCD8E3"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57949B7" w14:textId="77777777" w:rsidR="002F6746" w:rsidRPr="00E55B08" w:rsidRDefault="002F6746">
      <w:pPr>
        <w:pStyle w:val="NormalWeb"/>
        <w:spacing w:before="0" w:beforeAutospacing="0" w:after="0" w:afterAutospacing="0"/>
        <w:jc w:val="both"/>
        <w:rPr>
          <w:rFonts w:ascii="Arial" w:eastAsiaTheme="minorHAnsi" w:hAnsi="Arial" w:cs="Arial"/>
          <w:sz w:val="19"/>
          <w:szCs w:val="19"/>
          <w:lang w:val="es-ES" w:eastAsia="en-US"/>
        </w:rPr>
      </w:pPr>
      <w:r w:rsidRPr="00E55B08">
        <w:rPr>
          <w:rFonts w:ascii="Arial" w:eastAsiaTheme="minorHAnsi" w:hAnsi="Arial" w:cs="Arial"/>
          <w:sz w:val="19"/>
          <w:szCs w:val="19"/>
          <w:lang w:val="es-ES" w:eastAsia="en-US"/>
        </w:rPr>
        <w:t>  </w:t>
      </w:r>
      <w:r w:rsidRPr="00E55B08">
        <w:rPr>
          <w:rFonts w:ascii="Arial" w:eastAsiaTheme="minorHAnsi" w:hAnsi="Arial" w:cs="Arial"/>
          <w:sz w:val="19"/>
          <w:szCs w:val="19"/>
          <w:lang w:val="es-ES" w:eastAsia="en-US"/>
        </w:rPr>
        <w:tab/>
      </w:r>
      <w:proofErr w:type="gramStart"/>
      <w:r w:rsidRPr="00E55B08">
        <w:rPr>
          <w:rFonts w:ascii="Arial" w:eastAsiaTheme="minorHAnsi" w:hAnsi="Arial" w:cs="Arial"/>
          <w:sz w:val="19"/>
          <w:szCs w:val="19"/>
          <w:lang w:val="es-ES" w:eastAsia="en-US"/>
        </w:rPr>
        <w:t>»e</w:t>
      </w:r>
      <w:proofErr w:type="gramEnd"/>
      <w:r w:rsidRPr="00E55B08">
        <w:rPr>
          <w:rFonts w:ascii="Arial" w:eastAsiaTheme="minorHAnsi" w:hAnsi="Arial" w:cs="Arial"/>
          <w:sz w:val="19"/>
          <w:szCs w:val="19"/>
          <w:lang w:val="es-ES" w:eastAsia="en-US"/>
        </w:rPr>
        <w:t>) Los miembros de las juntas o consejos directivos. Esta incompatibilidad sólo se predica respecto de la entidad a la cual prestan sus servicios y de las del sector administrativo al que la misma esté adscrita o vinculada. </w:t>
      </w:r>
    </w:p>
    <w:p w14:paraId="590DD5BC" w14:textId="77777777" w:rsidR="002F6746" w:rsidRPr="00E55B08" w:rsidRDefault="002F6746">
      <w:pPr>
        <w:pStyle w:val="NormalWeb"/>
        <w:spacing w:before="0" w:beforeAutospacing="0" w:after="0" w:afterAutospacing="0"/>
        <w:ind w:firstLine="708"/>
        <w:jc w:val="both"/>
        <w:rPr>
          <w:rFonts w:ascii="Arial" w:eastAsiaTheme="minorHAnsi" w:hAnsi="Arial" w:cs="Arial"/>
          <w:sz w:val="19"/>
          <w:szCs w:val="19"/>
          <w:lang w:val="es-ES" w:eastAsia="en-US"/>
        </w:rPr>
      </w:pPr>
      <w:proofErr w:type="gramStart"/>
      <w:r w:rsidRPr="00E55B08">
        <w:rPr>
          <w:rFonts w:ascii="Arial" w:eastAsiaTheme="minorHAnsi" w:hAnsi="Arial" w:cs="Arial"/>
          <w:sz w:val="19"/>
          <w:szCs w:val="19"/>
          <w:lang w:val="es-ES" w:eastAsia="en-US"/>
        </w:rPr>
        <w:t>»f</w:t>
      </w:r>
      <w:proofErr w:type="gramEnd"/>
      <w:r w:rsidRPr="00E55B08">
        <w:rPr>
          <w:rFonts w:ascii="Arial" w:eastAsiaTheme="minorHAnsi" w:hAnsi="Arial" w:cs="Arial"/>
          <w:sz w:val="19"/>
          <w:szCs w:val="19"/>
          <w:lang w:val="es-ES" w:eastAsia="en-US"/>
        </w:rPr>
        <w:t xml:space="preserve">)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E55B08">
        <w:rPr>
          <w:rFonts w:ascii="Arial" w:eastAsiaTheme="minorHAnsi" w:hAnsi="Arial" w:cs="Arial"/>
          <w:sz w:val="19"/>
          <w:szCs w:val="19"/>
          <w:lang w:val="es-ES" w:eastAsia="en-US"/>
        </w:rPr>
        <w:t>ex empleado</w:t>
      </w:r>
      <w:proofErr w:type="gramEnd"/>
      <w:r w:rsidRPr="00E55B08">
        <w:rPr>
          <w:rFonts w:ascii="Arial" w:eastAsiaTheme="minorHAnsi" w:hAnsi="Arial" w:cs="Arial"/>
          <w:sz w:val="19"/>
          <w:szCs w:val="19"/>
          <w:lang w:val="es-ES" w:eastAsia="en-US"/>
        </w:rPr>
        <w:t xml:space="preserve"> público». (…). </w:t>
      </w:r>
    </w:p>
    <w:p w14:paraId="02CD687D" w14:textId="77777777" w:rsidR="002F6746" w:rsidRPr="00E55B08" w:rsidRDefault="002F6746">
      <w:pPr>
        <w:pStyle w:val="NormalWeb"/>
        <w:spacing w:before="0" w:beforeAutospacing="0" w:after="0" w:afterAutospacing="0"/>
        <w:jc w:val="both"/>
        <w:rPr>
          <w:rFonts w:ascii="Arial" w:hAnsi="Arial" w:cs="Arial"/>
          <w:sz w:val="19"/>
          <w:szCs w:val="19"/>
        </w:rPr>
      </w:pPr>
      <w:r w:rsidRPr="00E55B08">
        <w:rPr>
          <w:rFonts w:ascii="Arial" w:eastAsiaTheme="minorHAnsi" w:hAnsi="Arial" w:cs="Arial"/>
          <w:sz w:val="19"/>
          <w:szCs w:val="19"/>
          <w:lang w:val="es-ES" w:eastAsia="en-US"/>
        </w:rPr>
        <w:t>  </w:t>
      </w:r>
    </w:p>
  </w:footnote>
  <w:footnote w:id="7">
    <w:p w14:paraId="1D2E3910" w14:textId="77777777"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114FD064" w14:textId="77777777" w:rsidR="002F6746" w:rsidRPr="00E55B08" w:rsidRDefault="002F6746">
      <w:pPr>
        <w:pStyle w:val="Textonotapie"/>
        <w:ind w:firstLine="709"/>
        <w:jc w:val="both"/>
        <w:rPr>
          <w:rFonts w:ascii="Arial" w:hAnsi="Arial" w:cs="Arial"/>
          <w:sz w:val="19"/>
          <w:szCs w:val="19"/>
        </w:rPr>
      </w:pPr>
      <w:proofErr w:type="gramStart"/>
      <w:r w:rsidRPr="00E55B08">
        <w:rPr>
          <w:rFonts w:ascii="Arial" w:hAnsi="Arial" w:cs="Arial"/>
          <w:sz w:val="19"/>
          <w:szCs w:val="19"/>
        </w:rPr>
        <w:t>»Las</w:t>
      </w:r>
      <w:proofErr w:type="gramEnd"/>
      <w:r w:rsidRPr="00E55B08">
        <w:rPr>
          <w:rFonts w:ascii="Arial" w:hAnsi="Arial" w:cs="Arial"/>
          <w:sz w:val="19"/>
          <w:szCs w:val="19"/>
        </w:rPr>
        <w:t xml:space="preserve"> personas jurídicas nacionales y extranjeras deberán acreditar que su duración no será inferior a la del plazo del contrato y un año más».</w:t>
      </w:r>
    </w:p>
    <w:p w14:paraId="3DFA51F0" w14:textId="77777777" w:rsidR="002F6746" w:rsidRPr="00E55B08" w:rsidRDefault="002F6746">
      <w:pPr>
        <w:pStyle w:val="Textonotapie"/>
        <w:ind w:firstLine="709"/>
        <w:jc w:val="both"/>
        <w:rPr>
          <w:rFonts w:ascii="Arial" w:hAnsi="Arial" w:cs="Arial"/>
          <w:sz w:val="19"/>
          <w:szCs w:val="19"/>
        </w:rPr>
      </w:pPr>
    </w:p>
  </w:footnote>
  <w:footnote w:id="8">
    <w:p w14:paraId="47263436" w14:textId="77777777"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Código Civil: «Artículo 1502. Requisitos para obligarse. Para que una persona se obligue a otra por un acto o declaración de voluntad, es necesario:</w:t>
      </w:r>
    </w:p>
    <w:p w14:paraId="1FADD529" w14:textId="77777777" w:rsidR="002F6746" w:rsidRPr="00E55B08" w:rsidRDefault="002F6746">
      <w:pPr>
        <w:pStyle w:val="Textonotapie"/>
        <w:ind w:firstLine="709"/>
        <w:jc w:val="both"/>
        <w:rPr>
          <w:rFonts w:ascii="Arial" w:hAnsi="Arial" w:cs="Arial"/>
          <w:sz w:val="19"/>
          <w:szCs w:val="19"/>
        </w:rPr>
      </w:pPr>
      <w:proofErr w:type="gramStart"/>
      <w:r w:rsidRPr="00E55B08">
        <w:rPr>
          <w:rFonts w:ascii="Arial" w:hAnsi="Arial" w:cs="Arial"/>
          <w:sz w:val="19"/>
          <w:szCs w:val="19"/>
        </w:rPr>
        <w:t>»1o.</w:t>
      </w:r>
      <w:proofErr w:type="gramEnd"/>
      <w:r w:rsidRPr="00E55B08">
        <w:rPr>
          <w:rFonts w:ascii="Arial" w:hAnsi="Arial" w:cs="Arial"/>
          <w:sz w:val="19"/>
          <w:szCs w:val="19"/>
        </w:rPr>
        <w:t>) que sea legalmente capaz.</w:t>
      </w:r>
    </w:p>
    <w:p w14:paraId="6AD73BB1" w14:textId="77777777" w:rsidR="002F6746" w:rsidRPr="00E55B08" w:rsidRDefault="002F6746">
      <w:pPr>
        <w:pStyle w:val="Textonotapie"/>
        <w:ind w:firstLine="709"/>
        <w:jc w:val="both"/>
        <w:rPr>
          <w:rFonts w:ascii="Arial" w:hAnsi="Arial" w:cs="Arial"/>
          <w:sz w:val="19"/>
          <w:szCs w:val="19"/>
        </w:rPr>
      </w:pPr>
      <w:r w:rsidRPr="00E55B08">
        <w:rPr>
          <w:rFonts w:ascii="Arial" w:hAnsi="Arial" w:cs="Arial"/>
          <w:sz w:val="19"/>
          <w:szCs w:val="19"/>
        </w:rPr>
        <w:t>[…]</w:t>
      </w:r>
    </w:p>
    <w:p w14:paraId="5E19DF2C" w14:textId="77777777" w:rsidR="002F6746" w:rsidRPr="00E55B08" w:rsidRDefault="002F6746">
      <w:pPr>
        <w:pStyle w:val="Textonotapie"/>
        <w:ind w:firstLine="709"/>
        <w:jc w:val="both"/>
        <w:rPr>
          <w:rFonts w:ascii="Arial" w:hAnsi="Arial" w:cs="Arial"/>
          <w:sz w:val="19"/>
          <w:szCs w:val="19"/>
        </w:rPr>
      </w:pPr>
      <w:proofErr w:type="gramStart"/>
      <w:r w:rsidRPr="00E55B08">
        <w:rPr>
          <w:rFonts w:ascii="Arial" w:hAnsi="Arial" w:cs="Arial"/>
          <w:sz w:val="19"/>
          <w:szCs w:val="19"/>
        </w:rPr>
        <w:t>»La</w:t>
      </w:r>
      <w:proofErr w:type="gramEnd"/>
      <w:r w:rsidRPr="00E55B08">
        <w:rPr>
          <w:rFonts w:ascii="Arial" w:hAnsi="Arial" w:cs="Arial"/>
          <w:sz w:val="19"/>
          <w:szCs w:val="19"/>
        </w:rPr>
        <w:t xml:space="preserve"> capacidad legal de una persona consiste en poderse obligar por sí misma, sin el ministerio o la autorización de otra».</w:t>
      </w:r>
    </w:p>
    <w:p w14:paraId="21938E27" w14:textId="77777777" w:rsidR="002F6746" w:rsidRPr="00E55B08" w:rsidRDefault="002F6746">
      <w:pPr>
        <w:pStyle w:val="Textonotapie"/>
        <w:ind w:firstLine="709"/>
        <w:jc w:val="both"/>
        <w:rPr>
          <w:rFonts w:ascii="Arial" w:hAnsi="Arial" w:cs="Arial"/>
          <w:sz w:val="19"/>
          <w:szCs w:val="19"/>
        </w:rPr>
      </w:pPr>
    </w:p>
  </w:footnote>
  <w:footnote w:id="9">
    <w:p w14:paraId="34C1289D" w14:textId="77777777"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Decreto Ley 19 de 2012: «Artículo 221. El artículo 6 de la Ley 1150 de 2007, quedará así:</w:t>
      </w:r>
    </w:p>
    <w:p w14:paraId="713FDC95" w14:textId="77777777" w:rsidR="002F6746" w:rsidRPr="00E55B08" w:rsidRDefault="002F6746">
      <w:pPr>
        <w:pStyle w:val="Textonotapie"/>
        <w:ind w:firstLine="709"/>
        <w:jc w:val="both"/>
        <w:rPr>
          <w:rFonts w:ascii="Arial" w:hAnsi="Arial" w:cs="Arial"/>
          <w:sz w:val="19"/>
          <w:szCs w:val="19"/>
          <w:lang w:val="es-ES"/>
        </w:rPr>
      </w:pPr>
      <w:proofErr w:type="gramStart"/>
      <w:r w:rsidRPr="00E55B08">
        <w:rPr>
          <w:rFonts w:ascii="Arial" w:hAnsi="Arial" w:cs="Arial"/>
          <w:sz w:val="19"/>
          <w:szCs w:val="19"/>
        </w:rPr>
        <w:t>»Artículo</w:t>
      </w:r>
      <w:proofErr w:type="gramEnd"/>
      <w:r w:rsidRPr="00E55B08">
        <w:rPr>
          <w:rFonts w:ascii="Arial" w:hAnsi="Arial" w:cs="Arial"/>
          <w:sz w:val="19"/>
          <w:szCs w:val="19"/>
        </w:rPr>
        <w:t xml:space="preserve"> 6. De la verificación de las condiciones de los proponentes. T</w:t>
      </w:r>
      <w:proofErr w:type="spellStart"/>
      <w:r w:rsidRPr="00E55B08">
        <w:rPr>
          <w:rFonts w:ascii="Arial" w:hAnsi="Arial" w:cs="Arial"/>
          <w:sz w:val="19"/>
          <w:szCs w:val="19"/>
          <w:lang w:val="es-ES"/>
        </w:rPr>
        <w:t>odas</w:t>
      </w:r>
      <w:proofErr w:type="spellEnd"/>
      <w:r w:rsidRPr="00E55B08">
        <w:rPr>
          <w:rFonts w:ascii="Arial" w:hAnsi="Arial" w:cs="Arial"/>
          <w:sz w:val="19"/>
          <w:szCs w:val="19"/>
          <w:lang w:val="es-ES"/>
        </w:rPr>
        <w:t xml:space="preserve">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9FE4042" w14:textId="77777777" w:rsidR="002F6746" w:rsidRPr="00E55B08" w:rsidRDefault="002F6746">
      <w:pPr>
        <w:pStyle w:val="Textonotapie"/>
        <w:ind w:firstLine="709"/>
        <w:jc w:val="both"/>
        <w:rPr>
          <w:rFonts w:ascii="Arial" w:hAnsi="Arial" w:cs="Arial"/>
          <w:sz w:val="19"/>
          <w:szCs w:val="19"/>
          <w:lang w:val="es-ES"/>
        </w:rPr>
      </w:pPr>
      <w:r w:rsidRPr="00E55B08">
        <w:rPr>
          <w:rFonts w:ascii="Arial" w:hAnsi="Arial" w:cs="Arial"/>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9F3EED4" w14:textId="77777777" w:rsidR="002F6746" w:rsidRPr="00E55B08" w:rsidRDefault="002F6746">
      <w:pPr>
        <w:pStyle w:val="Textonotapie"/>
        <w:ind w:firstLine="709"/>
        <w:jc w:val="both"/>
        <w:rPr>
          <w:rFonts w:ascii="Arial" w:hAnsi="Arial" w:cs="Arial"/>
          <w:sz w:val="19"/>
          <w:szCs w:val="19"/>
        </w:rPr>
      </w:pPr>
    </w:p>
  </w:footnote>
  <w:footnote w:id="10">
    <w:p w14:paraId="4E1E2676" w14:textId="77777777" w:rsidR="002F6746" w:rsidRPr="00E55B08" w:rsidRDefault="002F6746">
      <w:pPr>
        <w:pStyle w:val="Textonotapie"/>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E55B08">
        <w:rPr>
          <w:rFonts w:ascii="Arial" w:hAnsi="Arial" w:cs="Arial"/>
          <w:i/>
          <w:iCs/>
          <w:sz w:val="19"/>
          <w:szCs w:val="19"/>
          <w:lang w:val="es-ES"/>
        </w:rPr>
        <w:t>el régimen de inhabilidades e incompatibilidades</w:t>
      </w:r>
      <w:r w:rsidRPr="00E55B08">
        <w:rPr>
          <w:rFonts w:ascii="Arial" w:hAnsi="Arial" w:cs="Arial"/>
          <w:sz w:val="19"/>
          <w:szCs w:val="19"/>
          <w:lang w:val="es-ES"/>
        </w:rPr>
        <w:t xml:space="preserve"> (1) y la obligación de ciertos proponentes de inscribirse en el </w:t>
      </w:r>
      <w:r w:rsidRPr="00E55B08">
        <w:rPr>
          <w:rFonts w:ascii="Arial" w:hAnsi="Arial" w:cs="Arial"/>
          <w:i/>
          <w:iCs/>
          <w:sz w:val="19"/>
          <w:szCs w:val="19"/>
          <w:lang w:val="es-ES"/>
        </w:rPr>
        <w:t>registro único</w:t>
      </w:r>
      <w:r w:rsidRPr="00E55B08">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75B668D6" w14:textId="77777777" w:rsidR="002F6746" w:rsidRPr="00E55B08" w:rsidRDefault="002F6746">
      <w:pPr>
        <w:pStyle w:val="Textonotapie"/>
        <w:ind w:firstLine="709"/>
        <w:jc w:val="both"/>
        <w:rPr>
          <w:rFonts w:ascii="Arial" w:hAnsi="Arial" w:cs="Arial"/>
          <w:sz w:val="19"/>
          <w:szCs w:val="19"/>
          <w:lang w:val="es-ES"/>
        </w:rPr>
      </w:pPr>
    </w:p>
  </w:footnote>
  <w:footnote w:id="11">
    <w:p w14:paraId="71E0D020" w14:textId="77777777" w:rsidR="002F6746" w:rsidRPr="00E55B08" w:rsidRDefault="002F6746">
      <w:pPr>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hAnsi="Arial" w:cs="Arial"/>
          <w:sz w:val="19"/>
          <w:szCs w:val="19"/>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b, Ley 80/93); «Quienes dieron lugar a la declaratoria de caducidad»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d), Ley 80/93); «Quienes sin justa causa se abstengan de suscribir el contrato estatal adjudicado»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a), b) y c), Ley 1474/11, modificado por el art. 43, Ley 1955/19).</w:t>
      </w:r>
    </w:p>
    <w:p w14:paraId="589D5B87" w14:textId="77777777" w:rsidR="002F6746" w:rsidRPr="00E55B08" w:rsidRDefault="002F6746">
      <w:pPr>
        <w:ind w:firstLine="709"/>
        <w:jc w:val="both"/>
        <w:rPr>
          <w:rFonts w:ascii="Arial" w:hAnsi="Arial" w:cs="Arial"/>
          <w:sz w:val="19"/>
          <w:szCs w:val="19"/>
          <w:lang w:val="es-ES"/>
        </w:rPr>
      </w:pPr>
    </w:p>
  </w:footnote>
  <w:footnote w:id="12">
    <w:p w14:paraId="27CD2648" w14:textId="77777777" w:rsidR="002F6746" w:rsidRPr="00E55B08" w:rsidRDefault="002F6746">
      <w:pPr>
        <w:pStyle w:val="Textonotapie"/>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hAnsi="Arial" w:cs="Arial"/>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2º,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2º,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2º,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d), Ley 80/93).</w:t>
      </w:r>
    </w:p>
    <w:p w14:paraId="044262A4" w14:textId="77777777" w:rsidR="002F6746" w:rsidRPr="00E55B08" w:rsidRDefault="002F6746">
      <w:pPr>
        <w:pStyle w:val="Textonotapie"/>
        <w:ind w:firstLine="709"/>
        <w:jc w:val="both"/>
        <w:rPr>
          <w:rFonts w:ascii="Arial" w:hAnsi="Arial" w:cs="Arial"/>
          <w:sz w:val="19"/>
          <w:szCs w:val="19"/>
        </w:rPr>
      </w:pPr>
    </w:p>
  </w:footnote>
  <w:footnote w:id="13">
    <w:p w14:paraId="01CECFD3" w14:textId="77777777" w:rsidR="002F6746" w:rsidRPr="00E55B08" w:rsidRDefault="002F6746">
      <w:pPr>
        <w:pStyle w:val="Textonotapie"/>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hAnsi="Arial" w:cs="Arial"/>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k), Ley 80/93, modificado por el art. 33, Ley 1778/16); «Quienes fueron miembros de la junta o consejo directivo o servidores públicos de la entidad contratante»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2º,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2º,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f), Ley 80/93, adicionado por el art. 4º, Ley 1474/2011) [a pesar de que la norma la califica como una incompatibilidad, en realidad se trata de una inhabilidad, ya que en dicha causal no existe concurrencia de calidades en un sujeto]. </w:t>
      </w:r>
    </w:p>
    <w:p w14:paraId="76078580" w14:textId="77777777" w:rsidR="002F6746" w:rsidRPr="00E55B08" w:rsidRDefault="002F6746">
      <w:pPr>
        <w:pStyle w:val="Textonotapie"/>
        <w:ind w:firstLine="709"/>
        <w:jc w:val="both"/>
        <w:rPr>
          <w:rFonts w:ascii="Arial" w:hAnsi="Arial" w:cs="Arial"/>
          <w:sz w:val="19"/>
          <w:szCs w:val="19"/>
        </w:rPr>
      </w:pPr>
      <w:r w:rsidRPr="00E55B08">
        <w:rPr>
          <w:rFonts w:ascii="Arial" w:hAnsi="Arial" w:cs="Arial"/>
          <w:sz w:val="19"/>
          <w:szCs w:val="19"/>
          <w:lang w:val="es-ES"/>
        </w:rPr>
        <w:t xml:space="preserve">  </w:t>
      </w:r>
    </w:p>
  </w:footnote>
  <w:footnote w:id="14">
    <w:p w14:paraId="19997405" w14:textId="77777777" w:rsidR="002F6746" w:rsidRPr="00E55B08" w:rsidRDefault="002F6746">
      <w:pPr>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hAnsi="Arial" w:cs="Arial"/>
          <w:sz w:val="19"/>
          <w:szCs w:val="19"/>
          <w:lang w:val="es-ES"/>
        </w:rPr>
        <w:t xml:space="preserve">Como las señaladas a continuación: «Los servidores públicos»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1º,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2º,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E55B08">
        <w:rPr>
          <w:rFonts w:ascii="Arial" w:hAnsi="Arial" w:cs="Arial"/>
          <w:sz w:val="19"/>
          <w:szCs w:val="19"/>
          <w:lang w:val="es-ES"/>
        </w:rPr>
        <w:t>num</w:t>
      </w:r>
      <w:proofErr w:type="spellEnd"/>
      <w:r w:rsidRPr="00E55B08">
        <w:rPr>
          <w:rFonts w:ascii="Arial" w:hAnsi="Arial" w:cs="Arial"/>
          <w:sz w:val="19"/>
          <w:szCs w:val="19"/>
          <w:lang w:val="es-ES"/>
        </w:rPr>
        <w:t xml:space="preserve">. 2º, </w:t>
      </w:r>
      <w:proofErr w:type="spellStart"/>
      <w:r w:rsidRPr="00E55B08">
        <w:rPr>
          <w:rFonts w:ascii="Arial" w:hAnsi="Arial" w:cs="Arial"/>
          <w:sz w:val="19"/>
          <w:szCs w:val="19"/>
          <w:lang w:val="es-ES"/>
        </w:rPr>
        <w:t>lit.</w:t>
      </w:r>
      <w:proofErr w:type="spellEnd"/>
      <w:r w:rsidRPr="00E55B08">
        <w:rPr>
          <w:rFonts w:ascii="Arial" w:hAnsi="Arial" w:cs="Arial"/>
          <w:sz w:val="19"/>
          <w:szCs w:val="19"/>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E55B08">
        <w:rPr>
          <w:rFonts w:ascii="Arial" w:hAnsi="Arial" w:cs="Arial"/>
          <w:sz w:val="19"/>
          <w:szCs w:val="19"/>
          <w:lang w:val="es-ES"/>
        </w:rPr>
        <w:t>consaguinidad</w:t>
      </w:r>
      <w:proofErr w:type="spellEnd"/>
      <w:r w:rsidRPr="00E55B08">
        <w:rPr>
          <w:rFonts w:ascii="Arial" w:hAnsi="Arial" w:cs="Arial"/>
          <w:sz w:val="19"/>
          <w:szCs w:val="19"/>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2F04993E" w14:textId="77777777" w:rsidR="002F6746" w:rsidRPr="00E55B08" w:rsidRDefault="002F6746">
      <w:pPr>
        <w:ind w:firstLine="709"/>
        <w:jc w:val="both"/>
        <w:rPr>
          <w:rFonts w:ascii="Arial" w:hAnsi="Arial" w:cs="Arial"/>
          <w:sz w:val="19"/>
          <w:szCs w:val="19"/>
          <w:lang w:val="es-ES"/>
        </w:rPr>
      </w:pPr>
    </w:p>
  </w:footnote>
  <w:footnote w:id="15">
    <w:p w14:paraId="5E77A68E" w14:textId="77777777" w:rsidR="002F6746" w:rsidRPr="00E55B08" w:rsidRDefault="002F6746">
      <w:pPr>
        <w:pStyle w:val="Textonotapie"/>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hAnsi="Arial" w:cs="Arial"/>
          <w:sz w:val="19"/>
          <w:szCs w:val="19"/>
          <w:lang w:val="es-ES"/>
        </w:rPr>
        <w:t xml:space="preserve">BARRETO ROZO, Antonio Alejandro. Inhabilidades de la contratación estatal, efectos y </w:t>
      </w:r>
      <w:proofErr w:type="spellStart"/>
      <w:r w:rsidRPr="00E55B08">
        <w:rPr>
          <w:rFonts w:ascii="Arial" w:hAnsi="Arial" w:cs="Arial"/>
          <w:sz w:val="19"/>
          <w:szCs w:val="19"/>
          <w:lang w:val="es-ES"/>
        </w:rPr>
        <w:t>neopunitivismo</w:t>
      </w:r>
      <w:proofErr w:type="spellEnd"/>
      <w:r w:rsidRPr="00E55B08">
        <w:rPr>
          <w:rFonts w:ascii="Arial" w:hAnsi="Arial" w:cs="Arial"/>
          <w:sz w:val="19"/>
          <w:szCs w:val="19"/>
          <w:lang w:val="es-ES"/>
        </w:rPr>
        <w:t xml:space="preserve"> en el Estatuto Anticorrupción. En: ALVIAR GARCÍA, Helena (Coordinadora). Nuevas tendencias del Derecho administrativo. Bogotá: Universidad de los Andes; Temis, 2016. pp. 63-99.</w:t>
      </w:r>
    </w:p>
    <w:p w14:paraId="2F3D76EB" w14:textId="77777777" w:rsidR="002F6746" w:rsidRPr="00E55B08" w:rsidRDefault="002F6746">
      <w:pPr>
        <w:pStyle w:val="Textonotapie"/>
        <w:ind w:firstLine="709"/>
        <w:jc w:val="both"/>
        <w:rPr>
          <w:rFonts w:ascii="Arial" w:hAnsi="Arial" w:cs="Arial"/>
          <w:sz w:val="19"/>
          <w:szCs w:val="19"/>
          <w:lang w:val="es-ES"/>
        </w:rPr>
      </w:pPr>
    </w:p>
  </w:footnote>
  <w:footnote w:id="16">
    <w:p w14:paraId="6407ED56" w14:textId="77777777" w:rsidR="002F6746" w:rsidRPr="00E55B08" w:rsidRDefault="002F6746">
      <w:pPr>
        <w:pStyle w:val="Textonotapie"/>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proofErr w:type="spellStart"/>
      <w:r w:rsidRPr="00E55B08">
        <w:rPr>
          <w:rFonts w:ascii="Arial" w:hAnsi="Arial" w:cs="Arial"/>
          <w:sz w:val="19"/>
          <w:szCs w:val="19"/>
          <w:lang w:val="es-ES"/>
        </w:rPr>
        <w:t>Ibídem</w:t>
      </w:r>
      <w:proofErr w:type="spellEnd"/>
      <w:r w:rsidRPr="00E55B08">
        <w:rPr>
          <w:rFonts w:ascii="Arial" w:hAnsi="Arial" w:cs="Arial"/>
          <w:sz w:val="19"/>
          <w:szCs w:val="19"/>
          <w:lang w:val="es-ES"/>
        </w:rPr>
        <w:t>. p. 69.</w:t>
      </w:r>
    </w:p>
    <w:p w14:paraId="1F28DF86" w14:textId="77777777" w:rsidR="002F6746" w:rsidRPr="00E55B08" w:rsidRDefault="002F6746">
      <w:pPr>
        <w:pStyle w:val="Textonotapie"/>
        <w:ind w:firstLine="709"/>
        <w:jc w:val="both"/>
        <w:rPr>
          <w:rFonts w:ascii="Arial" w:hAnsi="Arial" w:cs="Arial"/>
          <w:sz w:val="19"/>
          <w:szCs w:val="19"/>
          <w:lang w:val="es-ES"/>
        </w:rPr>
      </w:pPr>
    </w:p>
  </w:footnote>
  <w:footnote w:id="17">
    <w:p w14:paraId="7E13E501" w14:textId="3B049BE4" w:rsidR="002F6746" w:rsidRPr="00E55B08" w:rsidRDefault="002F6746">
      <w:pPr>
        <w:pStyle w:val="Textonotapie"/>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hAnsi="Arial" w:cs="Arial"/>
          <w:sz w:val="19"/>
          <w:szCs w:val="19"/>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5C454296" w14:textId="77777777" w:rsidR="002F6746" w:rsidRPr="00E55B08" w:rsidRDefault="002F6746">
      <w:pPr>
        <w:pStyle w:val="Textonotapie"/>
        <w:ind w:firstLine="709"/>
        <w:jc w:val="both"/>
        <w:rPr>
          <w:rFonts w:ascii="Arial" w:hAnsi="Arial" w:cs="Arial"/>
          <w:sz w:val="19"/>
          <w:szCs w:val="19"/>
          <w:lang w:val="es-ES"/>
        </w:rPr>
      </w:pPr>
    </w:p>
  </w:footnote>
  <w:footnote w:id="18">
    <w:p w14:paraId="68184BA2" w14:textId="64E6B1B7" w:rsidR="002F6746" w:rsidRPr="00E55B08" w:rsidRDefault="002F6746">
      <w:pPr>
        <w:pStyle w:val="Textonotapie"/>
        <w:ind w:firstLine="709"/>
        <w:jc w:val="both"/>
        <w:rPr>
          <w:rFonts w:ascii="Arial" w:hAnsi="Arial" w:cs="Arial"/>
          <w:sz w:val="19"/>
          <w:szCs w:val="19"/>
          <w:lang w:val="es-ES"/>
        </w:rPr>
      </w:pPr>
      <w:r w:rsidRPr="00E55B08">
        <w:rPr>
          <w:rStyle w:val="Refdenotaalpie"/>
          <w:rFonts w:ascii="Arial" w:hAnsi="Arial" w:cs="Arial"/>
          <w:sz w:val="19"/>
          <w:szCs w:val="19"/>
        </w:rPr>
        <w:footnoteRef/>
      </w:r>
      <w:r w:rsidRPr="00E55B08">
        <w:rPr>
          <w:rFonts w:ascii="Arial" w:hAnsi="Arial" w:cs="Arial"/>
          <w:sz w:val="19"/>
          <w:szCs w:val="19"/>
        </w:rPr>
        <w:t xml:space="preserve"> </w:t>
      </w:r>
      <w:r w:rsidRPr="00E55B08">
        <w:rPr>
          <w:rFonts w:ascii="Arial" w:hAnsi="Arial" w:cs="Arial"/>
          <w:sz w:val="19"/>
          <w:szCs w:val="19"/>
          <w:lang w:val="es-ES"/>
        </w:rPr>
        <w:t xml:space="preserve">CONSEJO DE ESTADO. Sala de Consulta y Servicio Civil. Concepto del 30 de abril de 2015. </w:t>
      </w:r>
      <w:proofErr w:type="spellStart"/>
      <w:r w:rsidRPr="00E55B08">
        <w:rPr>
          <w:rFonts w:ascii="Arial" w:hAnsi="Arial" w:cs="Arial"/>
          <w:sz w:val="19"/>
          <w:szCs w:val="19"/>
          <w:lang w:val="es-ES"/>
        </w:rPr>
        <w:t>Exp</w:t>
      </w:r>
      <w:proofErr w:type="spellEnd"/>
      <w:r w:rsidRPr="00E55B08">
        <w:rPr>
          <w:rFonts w:ascii="Arial" w:hAnsi="Arial" w:cs="Arial"/>
          <w:sz w:val="19"/>
          <w:szCs w:val="19"/>
          <w:lang w:val="es-ES"/>
        </w:rPr>
        <w:t xml:space="preserve">. 2251. Consejero Ponente: Álvaro </w:t>
      </w:r>
      <w:proofErr w:type="spellStart"/>
      <w:r w:rsidRPr="00E55B08">
        <w:rPr>
          <w:rFonts w:ascii="Arial" w:hAnsi="Arial" w:cs="Arial"/>
          <w:sz w:val="19"/>
          <w:szCs w:val="19"/>
          <w:lang w:val="es-ES"/>
        </w:rPr>
        <w:t>Namén</w:t>
      </w:r>
      <w:proofErr w:type="spellEnd"/>
      <w:r w:rsidRPr="00E55B08">
        <w:rPr>
          <w:rFonts w:ascii="Arial" w:hAnsi="Arial" w:cs="Arial"/>
          <w:sz w:val="19"/>
          <w:szCs w:val="19"/>
          <w:lang w:val="es-ES"/>
        </w:rPr>
        <w:t xml:space="preserve"> Vargas.</w:t>
      </w:r>
    </w:p>
    <w:p w14:paraId="071A6936" w14:textId="77777777" w:rsidR="002F6746" w:rsidRPr="00E55B08" w:rsidRDefault="002F6746">
      <w:pPr>
        <w:pStyle w:val="Textonotapie"/>
        <w:ind w:firstLine="709"/>
        <w:jc w:val="both"/>
        <w:rPr>
          <w:rFonts w:ascii="Arial" w:hAnsi="Arial" w:cs="Arial"/>
          <w:sz w:val="19"/>
          <w:szCs w:val="19"/>
          <w:lang w:val="es-ES"/>
        </w:rPr>
      </w:pPr>
    </w:p>
  </w:footnote>
  <w:footnote w:id="19">
    <w:p w14:paraId="1B42EA8D" w14:textId="3ADD3C68"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CONSEJO DE ESTADO. Sección Tercera. Subsección A. Sentencia del 24 de junio de 2015. Rad. 40.635. Consejero Ponente: Hernán Andrade Rincón (E).</w:t>
      </w:r>
    </w:p>
    <w:p w14:paraId="712CE3F5" w14:textId="77777777" w:rsidR="002F6746" w:rsidRPr="00E55B08" w:rsidRDefault="002F6746">
      <w:pPr>
        <w:pStyle w:val="Textonotapie"/>
        <w:ind w:firstLine="709"/>
        <w:jc w:val="both"/>
        <w:rPr>
          <w:rFonts w:ascii="Arial" w:hAnsi="Arial" w:cs="Arial"/>
          <w:sz w:val="19"/>
          <w:szCs w:val="19"/>
          <w:lang w:val="es-ES"/>
        </w:rPr>
      </w:pPr>
    </w:p>
  </w:footnote>
  <w:footnote w:id="20">
    <w:p w14:paraId="62322BCF" w14:textId="54633EEB"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CONSEJO DE ESTADO. Sección Tercera. Subsección C. Sentencia del 22 de mayo de 2013. Rad. 24.057. Consejera Ponente: Olga </w:t>
      </w:r>
      <w:proofErr w:type="spellStart"/>
      <w:r w:rsidRPr="00E55B08">
        <w:rPr>
          <w:rFonts w:ascii="Arial" w:hAnsi="Arial" w:cs="Arial"/>
          <w:sz w:val="19"/>
          <w:szCs w:val="19"/>
        </w:rPr>
        <w:t>Melida</w:t>
      </w:r>
      <w:proofErr w:type="spellEnd"/>
      <w:r w:rsidRPr="00E55B08">
        <w:rPr>
          <w:rFonts w:ascii="Arial" w:hAnsi="Arial" w:cs="Arial"/>
          <w:sz w:val="19"/>
          <w:szCs w:val="19"/>
        </w:rPr>
        <w:t xml:space="preserve"> Valle De </w:t>
      </w:r>
      <w:proofErr w:type="spellStart"/>
      <w:r w:rsidRPr="00E55B08">
        <w:rPr>
          <w:rFonts w:ascii="Arial" w:hAnsi="Arial" w:cs="Arial"/>
          <w:sz w:val="19"/>
          <w:szCs w:val="19"/>
        </w:rPr>
        <w:t>De</w:t>
      </w:r>
      <w:proofErr w:type="spellEnd"/>
      <w:r w:rsidRPr="00E55B08">
        <w:rPr>
          <w:rFonts w:ascii="Arial" w:hAnsi="Arial" w:cs="Arial"/>
          <w:sz w:val="19"/>
          <w:szCs w:val="19"/>
        </w:rPr>
        <w:t xml:space="preserve"> La Hoz.</w:t>
      </w:r>
    </w:p>
    <w:p w14:paraId="39C77D24" w14:textId="77777777" w:rsidR="002F6746" w:rsidRPr="00E55B08" w:rsidRDefault="002F6746">
      <w:pPr>
        <w:pStyle w:val="Textonotapie"/>
        <w:ind w:firstLine="709"/>
        <w:jc w:val="both"/>
        <w:rPr>
          <w:rFonts w:ascii="Arial" w:hAnsi="Arial" w:cs="Arial"/>
          <w:sz w:val="19"/>
          <w:szCs w:val="19"/>
          <w:lang w:val="es-ES"/>
        </w:rPr>
      </w:pPr>
    </w:p>
  </w:footnote>
  <w:footnote w:id="21">
    <w:p w14:paraId="77EA0CFB" w14:textId="18652F26" w:rsidR="002F6746" w:rsidRPr="00E55B08" w:rsidRDefault="002F6746" w:rsidP="0AD53C6D">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0AD53C6D" w:rsidRPr="00E55B08">
        <w:rPr>
          <w:rFonts w:ascii="Arial" w:hAnsi="Arial" w:cs="Arial"/>
          <w:sz w:val="19"/>
          <w:szCs w:val="19"/>
        </w:rPr>
        <w:t xml:space="preserve"> </w:t>
      </w:r>
    </w:p>
    <w:p w14:paraId="407C4993" w14:textId="77BA6AFF" w:rsidR="002F6746" w:rsidRPr="00E55B08" w:rsidRDefault="0AD53C6D">
      <w:pPr>
        <w:pStyle w:val="Textonotapie"/>
        <w:ind w:firstLine="709"/>
        <w:jc w:val="both"/>
        <w:rPr>
          <w:rFonts w:ascii="Arial" w:hAnsi="Arial" w:cs="Arial"/>
          <w:sz w:val="19"/>
          <w:szCs w:val="19"/>
        </w:rPr>
      </w:pPr>
      <w:r w:rsidRPr="00E55B08">
        <w:rPr>
          <w:rFonts w:ascii="Arial" w:hAnsi="Arial" w:cs="Arial"/>
          <w:sz w:val="19"/>
          <w:szCs w:val="19"/>
        </w:rPr>
        <w:t>Código Civil: «Artículo 33. Palabras relacionadas con las personas. La palabra persona en su sentido general se aplica(</w:t>
      </w:r>
      <w:proofErr w:type="spellStart"/>
      <w:r w:rsidRPr="00E55B08">
        <w:rPr>
          <w:rFonts w:ascii="Arial" w:hAnsi="Arial" w:cs="Arial"/>
          <w:sz w:val="19"/>
          <w:szCs w:val="19"/>
        </w:rPr>
        <w:t>rá</w:t>
      </w:r>
      <w:proofErr w:type="spellEnd"/>
      <w:r w:rsidRPr="00E55B08">
        <w:rPr>
          <w:rFonts w:ascii="Arial" w:hAnsi="Arial" w:cs="Arial"/>
          <w:sz w:val="19"/>
          <w:szCs w:val="19"/>
        </w:rPr>
        <w:t>) a la especie humana, sin distinción de sexo».</w:t>
      </w:r>
    </w:p>
    <w:p w14:paraId="45A7BC49" w14:textId="77777777" w:rsidR="002F6746" w:rsidRPr="00E55B08" w:rsidRDefault="002F6746">
      <w:pPr>
        <w:pStyle w:val="Textonotapie"/>
        <w:ind w:firstLine="709"/>
        <w:jc w:val="both"/>
        <w:rPr>
          <w:rFonts w:ascii="Arial" w:hAnsi="Arial" w:cs="Arial"/>
          <w:sz w:val="19"/>
          <w:szCs w:val="19"/>
          <w:lang w:val="es-CO"/>
        </w:rPr>
      </w:pPr>
    </w:p>
  </w:footnote>
  <w:footnote w:id="22">
    <w:p w14:paraId="7B1045B6" w14:textId="38D95E76"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06099B01" w14:textId="77777777" w:rsidR="002F6746" w:rsidRPr="00E55B08" w:rsidRDefault="002F6746">
      <w:pPr>
        <w:pStyle w:val="Textonotapie"/>
        <w:ind w:firstLine="709"/>
        <w:jc w:val="both"/>
        <w:rPr>
          <w:rFonts w:ascii="Arial" w:hAnsi="Arial" w:cs="Arial"/>
          <w:sz w:val="19"/>
          <w:szCs w:val="19"/>
          <w:lang w:val="es-CO"/>
        </w:rPr>
      </w:pPr>
    </w:p>
  </w:footnote>
  <w:footnote w:id="23">
    <w:p w14:paraId="5053A76B" w14:textId="30054BD5"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Código Civil: «Artículo 113. Definición. El matrimonio es un contrato solemne por el cual un hombre y una mujer se unen con el fin de vivir juntos, de procrear y de auxiliarse mutuamente».</w:t>
      </w:r>
    </w:p>
    <w:p w14:paraId="563AECC4" w14:textId="77777777" w:rsidR="002F6746" w:rsidRPr="00E55B08" w:rsidRDefault="002F6746">
      <w:pPr>
        <w:pStyle w:val="Textonotapie"/>
        <w:ind w:firstLine="709"/>
        <w:jc w:val="both"/>
        <w:rPr>
          <w:rFonts w:ascii="Arial" w:hAnsi="Arial" w:cs="Arial"/>
          <w:sz w:val="19"/>
          <w:szCs w:val="19"/>
          <w:lang w:val="es-CO"/>
        </w:rPr>
      </w:pPr>
    </w:p>
  </w:footnote>
  <w:footnote w:id="24">
    <w:p w14:paraId="6C93C0F3" w14:textId="77777777"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Ley 54 de 1990: «Artículo 1. A partir de la vigencia de la presente Ley y para todos los efectos civiles, se denomina Unión Marital de Hecho, la formada entre un hombre y una mujer, </w:t>
      </w:r>
      <w:proofErr w:type="gramStart"/>
      <w:r w:rsidRPr="00E55B08">
        <w:rPr>
          <w:rFonts w:ascii="Arial" w:hAnsi="Arial" w:cs="Arial"/>
          <w:sz w:val="19"/>
          <w:szCs w:val="19"/>
        </w:rPr>
        <w:t>que</w:t>
      </w:r>
      <w:proofErr w:type="gramEnd"/>
      <w:r w:rsidRPr="00E55B08">
        <w:rPr>
          <w:rFonts w:ascii="Arial" w:hAnsi="Arial" w:cs="Arial"/>
          <w:sz w:val="19"/>
          <w:szCs w:val="19"/>
        </w:rPr>
        <w:t xml:space="preserve"> sin estar casados, hacen una comunidad de vida permanente y singular.</w:t>
      </w:r>
    </w:p>
    <w:p w14:paraId="66BC6C47" w14:textId="1E0CCFFC" w:rsidR="002F6746" w:rsidRPr="00E55B08" w:rsidRDefault="002F6746">
      <w:pPr>
        <w:pStyle w:val="Textonotapie"/>
        <w:ind w:firstLine="709"/>
        <w:jc w:val="both"/>
        <w:rPr>
          <w:rFonts w:ascii="Arial" w:hAnsi="Arial" w:cs="Arial"/>
          <w:sz w:val="19"/>
          <w:szCs w:val="19"/>
        </w:rPr>
      </w:pPr>
      <w:proofErr w:type="gramStart"/>
      <w:r w:rsidRPr="00E55B08">
        <w:rPr>
          <w:rFonts w:ascii="Arial" w:hAnsi="Arial" w:cs="Arial"/>
          <w:sz w:val="19"/>
          <w:szCs w:val="19"/>
        </w:rPr>
        <w:t>»Igualmente</w:t>
      </w:r>
      <w:proofErr w:type="gramEnd"/>
      <w:r w:rsidRPr="00E55B08">
        <w:rPr>
          <w:rFonts w:ascii="Arial" w:hAnsi="Arial" w:cs="Arial"/>
          <w:sz w:val="19"/>
          <w:szCs w:val="19"/>
        </w:rPr>
        <w:t>, y para todos los efectos civiles, se denominan compañero y compañera permanente, al hombre y la mujer que forman parte de la unión marital de hecho».</w:t>
      </w:r>
    </w:p>
    <w:p w14:paraId="7B7DE489" w14:textId="77777777" w:rsidR="002F6746" w:rsidRPr="00E55B08" w:rsidRDefault="002F6746">
      <w:pPr>
        <w:pStyle w:val="Textonotapie"/>
        <w:ind w:firstLine="709"/>
        <w:jc w:val="both"/>
        <w:rPr>
          <w:rFonts w:ascii="Arial" w:hAnsi="Arial" w:cs="Arial"/>
          <w:sz w:val="19"/>
          <w:szCs w:val="19"/>
          <w:lang w:val="es-CO"/>
        </w:rPr>
      </w:pPr>
    </w:p>
  </w:footnote>
  <w:footnote w:id="25">
    <w:p w14:paraId="00D1F706" w14:textId="657DF2E7"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CORTE CONSTITUCIONAL. Sentencia C-029 de 2009. M.P. Rodrigo Escobar Gil.</w:t>
      </w:r>
    </w:p>
    <w:p w14:paraId="75799AA0" w14:textId="77777777" w:rsidR="002F6746" w:rsidRPr="00E55B08" w:rsidRDefault="002F6746">
      <w:pPr>
        <w:pStyle w:val="Textonotapie"/>
        <w:ind w:firstLine="709"/>
        <w:jc w:val="both"/>
        <w:rPr>
          <w:rFonts w:ascii="Arial" w:hAnsi="Arial" w:cs="Arial"/>
          <w:sz w:val="19"/>
          <w:szCs w:val="19"/>
          <w:lang w:val="es-CO"/>
        </w:rPr>
      </w:pPr>
    </w:p>
  </w:footnote>
  <w:footnote w:id="26">
    <w:p w14:paraId="2F4BB357" w14:textId="772FCCFA"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Código Civil: «Artículo 36».</w:t>
      </w:r>
    </w:p>
    <w:p w14:paraId="7FD78D1A" w14:textId="77777777" w:rsidR="002F6746" w:rsidRPr="00E55B08" w:rsidRDefault="002F6746">
      <w:pPr>
        <w:pStyle w:val="Textonotapie"/>
        <w:ind w:firstLine="709"/>
        <w:jc w:val="both"/>
        <w:rPr>
          <w:rFonts w:ascii="Arial" w:hAnsi="Arial" w:cs="Arial"/>
          <w:sz w:val="19"/>
          <w:szCs w:val="19"/>
          <w:lang w:val="es-CO"/>
        </w:rPr>
      </w:pPr>
    </w:p>
  </w:footnote>
  <w:footnote w:id="27">
    <w:p w14:paraId="30F130A5" w14:textId="6E29016B"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Código Civil: «Artículo 47. Afinidad legítima. Afinidad legítima es la que existe entre una persona que está o ha estado casada y los consanguíneos legítimos de su marido o mujer […]».</w:t>
      </w:r>
    </w:p>
    <w:p w14:paraId="36284ACD" w14:textId="77777777" w:rsidR="009216AD" w:rsidRPr="00E55B08" w:rsidRDefault="009216AD">
      <w:pPr>
        <w:pStyle w:val="Textonotapie"/>
        <w:ind w:firstLine="709"/>
        <w:jc w:val="both"/>
        <w:rPr>
          <w:rFonts w:ascii="Arial" w:hAnsi="Arial" w:cs="Arial"/>
          <w:sz w:val="19"/>
          <w:szCs w:val="19"/>
        </w:rPr>
      </w:pPr>
    </w:p>
  </w:footnote>
  <w:footnote w:id="28">
    <w:p w14:paraId="6CC6A0F1" w14:textId="6578A026" w:rsidR="00BE66F4" w:rsidRPr="00E55B08" w:rsidRDefault="00BE66F4">
      <w:pPr>
        <w:pStyle w:val="Textonotapie"/>
        <w:ind w:firstLine="709"/>
        <w:jc w:val="both"/>
        <w:rPr>
          <w:rFonts w:ascii="Arial" w:hAnsi="Arial" w:cs="Arial"/>
          <w:sz w:val="19"/>
          <w:szCs w:val="19"/>
        </w:rPr>
      </w:pPr>
      <w:r w:rsidRPr="00541738">
        <w:rPr>
          <w:rStyle w:val="Refdenotaalpie"/>
          <w:rFonts w:ascii="Arial" w:hAnsi="Arial" w:cs="Arial"/>
          <w:sz w:val="19"/>
          <w:szCs w:val="19"/>
        </w:rPr>
        <w:footnoteRef/>
      </w:r>
      <w:r w:rsidRPr="00541738">
        <w:rPr>
          <w:rFonts w:ascii="Arial" w:hAnsi="Arial" w:cs="Arial"/>
          <w:sz w:val="19"/>
          <w:szCs w:val="19"/>
        </w:rPr>
        <w:t xml:space="preserve"> </w:t>
      </w:r>
      <w:r w:rsidR="00484358" w:rsidRPr="00E55B08">
        <w:rPr>
          <w:rFonts w:ascii="Arial" w:hAnsi="Arial" w:cs="Arial"/>
          <w:sz w:val="19"/>
          <w:szCs w:val="19"/>
        </w:rPr>
        <w:t xml:space="preserve">CORTE CONSTITUCIONAL. </w:t>
      </w:r>
      <w:r w:rsidR="008E4BBC" w:rsidRPr="00E55B08">
        <w:rPr>
          <w:rFonts w:ascii="Arial" w:hAnsi="Arial" w:cs="Arial"/>
          <w:sz w:val="19"/>
          <w:szCs w:val="19"/>
        </w:rPr>
        <w:t xml:space="preserve">Sentencia C ‒ </w:t>
      </w:r>
      <w:r w:rsidR="00FC4610" w:rsidRPr="00E55B08">
        <w:rPr>
          <w:rFonts w:ascii="Arial" w:hAnsi="Arial" w:cs="Arial"/>
          <w:sz w:val="19"/>
          <w:szCs w:val="19"/>
        </w:rPr>
        <w:t>595 de 1996. M.P.</w:t>
      </w:r>
      <w:r w:rsidR="00BB4EDD" w:rsidRPr="00E55B08">
        <w:rPr>
          <w:rFonts w:ascii="Arial" w:hAnsi="Arial" w:cs="Arial"/>
          <w:sz w:val="19"/>
          <w:szCs w:val="19"/>
        </w:rPr>
        <w:t xml:space="preserve"> Jorge Arango Mejía.</w:t>
      </w:r>
    </w:p>
    <w:p w14:paraId="1006672A" w14:textId="77777777" w:rsidR="00484358" w:rsidRPr="00541738" w:rsidRDefault="00484358" w:rsidP="00541738">
      <w:pPr>
        <w:pStyle w:val="Textonotapie"/>
        <w:ind w:firstLine="709"/>
        <w:jc w:val="both"/>
        <w:rPr>
          <w:rFonts w:ascii="Arial" w:hAnsi="Arial" w:cs="Arial"/>
          <w:sz w:val="19"/>
          <w:szCs w:val="19"/>
          <w:lang w:val="es-CO"/>
        </w:rPr>
      </w:pPr>
    </w:p>
  </w:footnote>
  <w:footnote w:id="29">
    <w:p w14:paraId="382699A5" w14:textId="288EDAAF" w:rsidR="002F6746" w:rsidRPr="00E55B08" w:rsidRDefault="002F6746" w:rsidP="00E55B08">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Código Civil: «Artículo 37. Grados de consanguinidad. Los grados de consanguinidad entre dos personas se cuentan por el número de generaciones. Así, el nieto está en segundo grado de consanguinidad con el abuelo, y dos primos hermanos en cuarto grado de consanguinidad entre sí».</w:t>
      </w:r>
    </w:p>
    <w:p w14:paraId="0B6821C9" w14:textId="34E4DBAC" w:rsidR="002F6746" w:rsidRPr="00E55B08" w:rsidRDefault="002F6746">
      <w:pPr>
        <w:pStyle w:val="Textonotapie"/>
        <w:ind w:firstLine="709"/>
        <w:jc w:val="both"/>
        <w:rPr>
          <w:rFonts w:ascii="Arial" w:hAnsi="Arial" w:cs="Arial"/>
          <w:sz w:val="19"/>
          <w:szCs w:val="19"/>
        </w:rPr>
      </w:pPr>
    </w:p>
    <w:p w14:paraId="4ACC27CB" w14:textId="22DCBCCE" w:rsidR="002F6746" w:rsidRPr="00E55B08" w:rsidRDefault="002F6746">
      <w:pPr>
        <w:pStyle w:val="Textonotapie"/>
        <w:ind w:firstLine="709"/>
        <w:jc w:val="both"/>
        <w:rPr>
          <w:rFonts w:ascii="Arial" w:hAnsi="Arial" w:cs="Arial"/>
          <w:sz w:val="19"/>
          <w:szCs w:val="19"/>
        </w:rPr>
      </w:pPr>
      <w:r w:rsidRPr="00E55B08">
        <w:rPr>
          <w:rFonts w:ascii="Arial" w:hAnsi="Arial" w:cs="Arial"/>
          <w:sz w:val="19"/>
          <w:szCs w:val="19"/>
        </w:rPr>
        <w:t>«Artículo 47. Afinidad legítima. […] La línea o grado de afinidad legítima de una persona con un consanguíneo de su marido o mujer, se califica por la línea o grado de consanguinidad legítima de dicho marido o mujer con el dicho consanguíneo […]».</w:t>
      </w:r>
    </w:p>
    <w:p w14:paraId="0943F1A6" w14:textId="77777777" w:rsidR="002F6746" w:rsidRPr="00E55B08" w:rsidRDefault="002F6746">
      <w:pPr>
        <w:pStyle w:val="Textonotapie"/>
        <w:ind w:firstLine="709"/>
        <w:jc w:val="both"/>
        <w:rPr>
          <w:rFonts w:ascii="Arial" w:hAnsi="Arial" w:cs="Arial"/>
          <w:sz w:val="19"/>
          <w:szCs w:val="19"/>
          <w:lang w:val="es-CO"/>
        </w:rPr>
      </w:pPr>
    </w:p>
  </w:footnote>
  <w:footnote w:id="30">
    <w:p w14:paraId="125FB3CF" w14:textId="415CD89D" w:rsidR="002F6746" w:rsidRPr="00E55B08" w:rsidRDefault="002F674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CORTE CONSTITUCIONAL. Sentencia C-</w:t>
      </w:r>
      <w:r w:rsidRPr="00A37372">
        <w:rPr>
          <w:rFonts w:ascii="Arial" w:hAnsi="Arial" w:cs="Arial"/>
          <w:sz w:val="19"/>
          <w:szCs w:val="19"/>
        </w:rPr>
        <w:t>415 de 1</w:t>
      </w:r>
      <w:r w:rsidRPr="00E55B08">
        <w:rPr>
          <w:rFonts w:ascii="Arial" w:hAnsi="Arial" w:cs="Arial"/>
          <w:sz w:val="19"/>
          <w:szCs w:val="19"/>
        </w:rPr>
        <w:t>994. M.P. Eduardo Cifuentes Muñoz.</w:t>
      </w:r>
    </w:p>
    <w:p w14:paraId="3D109E0F" w14:textId="77777777" w:rsidR="002F6746" w:rsidRPr="00E55B08" w:rsidRDefault="002F6746">
      <w:pPr>
        <w:pStyle w:val="Textonotapie"/>
        <w:ind w:firstLine="709"/>
        <w:jc w:val="both"/>
        <w:rPr>
          <w:rFonts w:ascii="Arial" w:hAnsi="Arial" w:cs="Arial"/>
          <w:sz w:val="19"/>
          <w:szCs w:val="19"/>
          <w:lang w:val="es-CO"/>
        </w:rPr>
      </w:pPr>
    </w:p>
  </w:footnote>
  <w:footnote w:id="31">
    <w:p w14:paraId="112516C4" w14:textId="626D61C5" w:rsidR="002F6746" w:rsidRPr="00E55B08" w:rsidRDefault="002F6746" w:rsidP="00E55B08">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CONSEJO DE ESTADO. Sección Tercera. Subsección C. Sentencia del 9 de julio de 2014. Rad</w:t>
      </w:r>
      <w:r w:rsidRPr="00A37372">
        <w:rPr>
          <w:rFonts w:ascii="Arial" w:hAnsi="Arial" w:cs="Arial"/>
          <w:sz w:val="19"/>
          <w:szCs w:val="19"/>
        </w:rPr>
        <w:t xml:space="preserve">. 47.830. </w:t>
      </w:r>
      <w:r w:rsidRPr="00E55B08">
        <w:rPr>
          <w:rFonts w:ascii="Arial" w:hAnsi="Arial" w:cs="Arial"/>
          <w:sz w:val="19"/>
          <w:szCs w:val="19"/>
        </w:rPr>
        <w:t>C.P. Jaime Orlando Santofimio Gamboa.</w:t>
      </w:r>
    </w:p>
    <w:p w14:paraId="2203EA58" w14:textId="77777777" w:rsidR="002F6746" w:rsidRPr="00E55B08" w:rsidRDefault="002F6746" w:rsidP="00D61F12">
      <w:pPr>
        <w:pStyle w:val="Textonotapie"/>
        <w:ind w:firstLine="709"/>
        <w:jc w:val="both"/>
        <w:rPr>
          <w:rFonts w:ascii="Arial" w:hAnsi="Arial" w:cs="Arial"/>
          <w:sz w:val="19"/>
          <w:szCs w:val="19"/>
          <w:lang w:val="es-CO"/>
        </w:rPr>
      </w:pPr>
    </w:p>
  </w:footnote>
  <w:footnote w:id="32">
    <w:p w14:paraId="3EB9BDE7" w14:textId="00348E0E" w:rsidR="002F6746" w:rsidRPr="00E55B08" w:rsidRDefault="002F6746" w:rsidP="0021128C">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Ley 80 de 1993: «Artículo 30. De la estructura de los procedimientos de selección. La licitación se efectuará conforme a las siguientes reglas:</w:t>
      </w:r>
    </w:p>
    <w:p w14:paraId="7B3A4DA7" w14:textId="478834B5" w:rsidR="002F6746" w:rsidRPr="0021128C" w:rsidRDefault="002F6746">
      <w:pPr>
        <w:pStyle w:val="Textonotapie"/>
        <w:ind w:firstLine="709"/>
        <w:jc w:val="both"/>
        <w:rPr>
          <w:rFonts w:ascii="Arial" w:hAnsi="Arial" w:cs="Arial"/>
          <w:sz w:val="19"/>
          <w:szCs w:val="19"/>
        </w:rPr>
      </w:pPr>
      <w:r w:rsidRPr="00D61F12">
        <w:rPr>
          <w:rFonts w:ascii="Arial" w:hAnsi="Arial" w:cs="Arial"/>
          <w:sz w:val="19"/>
          <w:szCs w:val="19"/>
        </w:rPr>
        <w:t>[…]</w:t>
      </w:r>
    </w:p>
    <w:p w14:paraId="4F5AE336" w14:textId="68F193EC" w:rsidR="002F6746" w:rsidRPr="00E55B08" w:rsidRDefault="002F6746">
      <w:pPr>
        <w:pStyle w:val="Textonotapie"/>
        <w:ind w:firstLine="709"/>
        <w:jc w:val="both"/>
        <w:rPr>
          <w:rFonts w:ascii="Arial" w:hAnsi="Arial" w:cs="Arial"/>
          <w:sz w:val="19"/>
          <w:szCs w:val="19"/>
        </w:rPr>
      </w:pPr>
      <w:proofErr w:type="gramStart"/>
      <w:r w:rsidRPr="00E55B08">
        <w:rPr>
          <w:rFonts w:ascii="Arial" w:hAnsi="Arial" w:cs="Arial"/>
          <w:sz w:val="19"/>
          <w:szCs w:val="19"/>
        </w:rPr>
        <w:t>»Parágrafo</w:t>
      </w:r>
      <w:proofErr w:type="gramEnd"/>
      <w:r w:rsidRPr="00E55B08">
        <w:rPr>
          <w:rFonts w:ascii="Arial" w:hAnsi="Arial" w:cs="Arial"/>
          <w:sz w:val="19"/>
          <w:szCs w:val="19"/>
        </w:rPr>
        <w:t>. Para los efectos de la presente ley se entiende por licitación pública el procedimiento mediante el cual la entidad estatal formula públicamente una convocatoria para que, en igualdad de oportunidades, los interesados presenten sus ofertas y seleccione entre ellas la más favorable».</w:t>
      </w:r>
    </w:p>
    <w:p w14:paraId="16C4C64A" w14:textId="77777777" w:rsidR="00BD20DE" w:rsidRPr="00E55B08" w:rsidRDefault="00BD20DE">
      <w:pPr>
        <w:pStyle w:val="Textonotapie"/>
        <w:ind w:firstLine="709"/>
        <w:jc w:val="both"/>
        <w:rPr>
          <w:rFonts w:ascii="Arial" w:hAnsi="Arial" w:cs="Arial"/>
          <w:smallCaps/>
          <w:sz w:val="19"/>
          <w:szCs w:val="19"/>
          <w:lang w:val="es-CO"/>
        </w:rPr>
      </w:pPr>
    </w:p>
  </w:footnote>
  <w:footnote w:id="33">
    <w:p w14:paraId="62559DE7" w14:textId="3B15A51B" w:rsidR="00BD20DE" w:rsidRPr="00541738" w:rsidRDefault="00BD20DE">
      <w:pPr>
        <w:pStyle w:val="Textonotapie"/>
        <w:ind w:firstLine="708"/>
        <w:jc w:val="both"/>
        <w:rPr>
          <w:rFonts w:ascii="Arial" w:hAnsi="Arial" w:cs="Arial"/>
          <w:sz w:val="19"/>
          <w:szCs w:val="19"/>
        </w:rPr>
      </w:pPr>
      <w:r w:rsidRPr="00541738">
        <w:rPr>
          <w:rStyle w:val="Refdenotaalpie"/>
          <w:rFonts w:ascii="Arial" w:hAnsi="Arial" w:cs="Arial"/>
          <w:sz w:val="19"/>
          <w:szCs w:val="19"/>
        </w:rPr>
        <w:footnoteRef/>
      </w:r>
      <w:r w:rsidRPr="00541738">
        <w:rPr>
          <w:rFonts w:ascii="Arial" w:hAnsi="Arial" w:cs="Arial"/>
          <w:sz w:val="19"/>
          <w:szCs w:val="19"/>
        </w:rPr>
        <w:t xml:space="preserve"> Ley 80 de 1993: </w:t>
      </w:r>
      <w:r w:rsidRPr="00E55B08">
        <w:rPr>
          <w:rFonts w:ascii="Arial" w:hAnsi="Arial" w:cs="Arial"/>
          <w:sz w:val="19"/>
          <w:szCs w:val="19"/>
        </w:rPr>
        <w:t>«</w:t>
      </w:r>
      <w:r w:rsidRPr="00541738">
        <w:rPr>
          <w:rFonts w:ascii="Arial" w:hAnsi="Arial" w:cs="Arial"/>
          <w:sz w:val="19"/>
          <w:szCs w:val="19"/>
        </w:rPr>
        <w:t>Artículo 7. De los consorcios y uniones temporales.</w:t>
      </w:r>
    </w:p>
    <w:p w14:paraId="43B69F2E" w14:textId="69F3BC34" w:rsidR="00BD20DE" w:rsidRPr="00541738" w:rsidRDefault="00BD20DE" w:rsidP="00541738">
      <w:pPr>
        <w:pStyle w:val="Textonotapie"/>
        <w:ind w:firstLine="709"/>
        <w:jc w:val="both"/>
        <w:rPr>
          <w:rFonts w:ascii="Arial" w:hAnsi="Arial" w:cs="Arial"/>
          <w:sz w:val="19"/>
          <w:szCs w:val="19"/>
        </w:rPr>
      </w:pPr>
      <w:proofErr w:type="gramStart"/>
      <w:r w:rsidRPr="00E55B08">
        <w:rPr>
          <w:rFonts w:ascii="Arial" w:hAnsi="Arial" w:cs="Arial"/>
          <w:sz w:val="19"/>
          <w:szCs w:val="19"/>
        </w:rPr>
        <w:t>»</w:t>
      </w:r>
      <w:r w:rsidRPr="00541738">
        <w:rPr>
          <w:rFonts w:ascii="Arial" w:hAnsi="Arial" w:cs="Arial"/>
          <w:sz w:val="19"/>
          <w:szCs w:val="19"/>
        </w:rPr>
        <w:t>Para</w:t>
      </w:r>
      <w:proofErr w:type="gramEnd"/>
      <w:r w:rsidRPr="00541738">
        <w:rPr>
          <w:rFonts w:ascii="Arial" w:hAnsi="Arial" w:cs="Arial"/>
          <w:sz w:val="19"/>
          <w:szCs w:val="19"/>
        </w:rPr>
        <w:t xml:space="preserve"> los efectos de esta ley se entiende por:</w:t>
      </w:r>
    </w:p>
    <w:p w14:paraId="50058A8A" w14:textId="12C38875" w:rsidR="00BD20DE" w:rsidRPr="00541738" w:rsidRDefault="009C2A21" w:rsidP="00541738">
      <w:pPr>
        <w:pStyle w:val="Textonotapie"/>
        <w:ind w:firstLine="709"/>
        <w:jc w:val="both"/>
        <w:rPr>
          <w:rFonts w:ascii="Arial" w:hAnsi="Arial" w:cs="Arial"/>
          <w:sz w:val="19"/>
          <w:szCs w:val="19"/>
        </w:rPr>
      </w:pPr>
      <w:r w:rsidRPr="00E55B08">
        <w:rPr>
          <w:rFonts w:ascii="Arial" w:hAnsi="Arial" w:cs="Arial"/>
          <w:sz w:val="19"/>
          <w:szCs w:val="19"/>
        </w:rPr>
        <w:t>»</w:t>
      </w:r>
      <w:r w:rsidR="00BD20DE" w:rsidRPr="00541738">
        <w:rPr>
          <w:rFonts w:ascii="Arial" w:hAnsi="Arial" w:cs="Arial"/>
          <w:sz w:val="19"/>
          <w:szCs w:val="19"/>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55010076" w14:textId="5E35F7F2" w:rsidR="00BD20DE" w:rsidRPr="00541738" w:rsidRDefault="009C2A21" w:rsidP="00541738">
      <w:pPr>
        <w:pStyle w:val="Textonotapie"/>
        <w:ind w:firstLine="709"/>
        <w:jc w:val="both"/>
        <w:rPr>
          <w:rFonts w:ascii="Arial" w:hAnsi="Arial" w:cs="Arial"/>
          <w:sz w:val="19"/>
          <w:szCs w:val="19"/>
        </w:rPr>
      </w:pPr>
      <w:r w:rsidRPr="00E55B08">
        <w:rPr>
          <w:rFonts w:ascii="Arial" w:hAnsi="Arial" w:cs="Arial"/>
          <w:sz w:val="19"/>
          <w:szCs w:val="19"/>
        </w:rPr>
        <w:t>»</w:t>
      </w:r>
      <w:r w:rsidR="00BD20DE" w:rsidRPr="00541738">
        <w:rPr>
          <w:rFonts w:ascii="Arial" w:hAnsi="Arial" w:cs="Arial"/>
          <w:sz w:val="19"/>
          <w:szCs w:val="19"/>
        </w:rPr>
        <w:t>2. Unión Temporal:</w:t>
      </w:r>
    </w:p>
    <w:p w14:paraId="777AA1F5" w14:textId="0E92272A" w:rsidR="00BD20DE" w:rsidRPr="00541738" w:rsidRDefault="009C2A21" w:rsidP="00541738">
      <w:pPr>
        <w:pStyle w:val="Textonotapie"/>
        <w:ind w:firstLine="709"/>
        <w:jc w:val="both"/>
        <w:rPr>
          <w:rFonts w:ascii="Arial" w:hAnsi="Arial" w:cs="Arial"/>
          <w:sz w:val="19"/>
          <w:szCs w:val="19"/>
        </w:rPr>
      </w:pPr>
      <w:proofErr w:type="gramStart"/>
      <w:r w:rsidRPr="00E55B08">
        <w:rPr>
          <w:rFonts w:ascii="Arial" w:hAnsi="Arial" w:cs="Arial"/>
          <w:sz w:val="19"/>
          <w:szCs w:val="19"/>
        </w:rPr>
        <w:t>»</w:t>
      </w:r>
      <w:r w:rsidR="00BD20DE" w:rsidRPr="00541738">
        <w:rPr>
          <w:rFonts w:ascii="Arial" w:hAnsi="Arial" w:cs="Arial"/>
          <w:sz w:val="19"/>
          <w:szCs w:val="19"/>
        </w:rPr>
        <w:t>Cuando</w:t>
      </w:r>
      <w:proofErr w:type="gramEnd"/>
      <w:r w:rsidR="00BD20DE" w:rsidRPr="00541738">
        <w:rPr>
          <w:rFonts w:ascii="Arial" w:hAnsi="Arial" w:cs="Arial"/>
          <w:sz w:val="19"/>
          <w:szCs w:val="19"/>
        </w:rPr>
        <w:t xml:space="preserve">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r w:rsidRPr="00E55B08">
        <w:rPr>
          <w:rFonts w:ascii="Arial" w:hAnsi="Arial" w:cs="Arial"/>
          <w:sz w:val="19"/>
          <w:szCs w:val="19"/>
        </w:rPr>
        <w:t>»</w:t>
      </w:r>
      <w:r w:rsidR="00BD20DE" w:rsidRPr="00541738">
        <w:rPr>
          <w:rFonts w:ascii="Arial" w:hAnsi="Arial" w:cs="Arial"/>
          <w:sz w:val="19"/>
          <w:szCs w:val="19"/>
        </w:rPr>
        <w:t>.</w:t>
      </w:r>
    </w:p>
    <w:p w14:paraId="36A43734" w14:textId="77777777" w:rsidR="00BD20DE" w:rsidRPr="00541738" w:rsidRDefault="00BD20DE" w:rsidP="00E55B08">
      <w:pPr>
        <w:pStyle w:val="Textonotapie"/>
        <w:jc w:val="both"/>
        <w:rPr>
          <w:rFonts w:ascii="Arial" w:hAnsi="Arial" w:cs="Arial"/>
          <w:sz w:val="19"/>
          <w:szCs w:val="19"/>
        </w:rPr>
      </w:pPr>
    </w:p>
  </w:footnote>
  <w:footnote w:id="34">
    <w:p w14:paraId="260D9AA3" w14:textId="5255CC81" w:rsidR="00BD20DE" w:rsidRPr="00541738" w:rsidRDefault="00BD20DE" w:rsidP="00541738">
      <w:pPr>
        <w:pStyle w:val="Textonotapie"/>
        <w:ind w:firstLine="708"/>
        <w:jc w:val="both"/>
        <w:rPr>
          <w:rFonts w:ascii="Arial" w:hAnsi="Arial" w:cs="Arial"/>
          <w:sz w:val="19"/>
          <w:szCs w:val="19"/>
        </w:rPr>
      </w:pPr>
      <w:r w:rsidRPr="00541738">
        <w:rPr>
          <w:rFonts w:ascii="Arial" w:hAnsi="Arial" w:cs="Arial"/>
          <w:sz w:val="19"/>
          <w:szCs w:val="19"/>
          <w:vertAlign w:val="superscript"/>
        </w:rPr>
        <w:footnoteRef/>
      </w:r>
      <w:r w:rsidRPr="00541738">
        <w:rPr>
          <w:rFonts w:ascii="Arial" w:hAnsi="Arial" w:cs="Arial"/>
          <w:sz w:val="19"/>
          <w:szCs w:val="19"/>
        </w:rPr>
        <w:t xml:space="preserve"> C</w:t>
      </w:r>
      <w:r w:rsidR="003F40F5" w:rsidRPr="00E55B08">
        <w:rPr>
          <w:rFonts w:ascii="Arial" w:hAnsi="Arial" w:cs="Arial"/>
          <w:sz w:val="19"/>
          <w:szCs w:val="19"/>
        </w:rPr>
        <w:t>ORTE CONSTITUCIONAL.</w:t>
      </w:r>
      <w:r w:rsidRPr="00541738">
        <w:rPr>
          <w:rFonts w:ascii="Arial" w:hAnsi="Arial" w:cs="Arial"/>
          <w:sz w:val="19"/>
          <w:szCs w:val="19"/>
        </w:rPr>
        <w:t xml:space="preserve"> </w:t>
      </w:r>
      <w:r w:rsidR="007C0486" w:rsidRPr="00E55B08">
        <w:rPr>
          <w:rFonts w:ascii="Arial" w:hAnsi="Arial" w:cs="Arial"/>
          <w:sz w:val="19"/>
          <w:szCs w:val="19"/>
        </w:rPr>
        <w:t>S</w:t>
      </w:r>
      <w:r w:rsidRPr="00541738">
        <w:rPr>
          <w:rFonts w:ascii="Arial" w:hAnsi="Arial" w:cs="Arial"/>
          <w:sz w:val="19"/>
          <w:szCs w:val="19"/>
        </w:rPr>
        <w:t>entencia C</w:t>
      </w:r>
      <w:r w:rsidR="007C0486" w:rsidRPr="00E55B08">
        <w:rPr>
          <w:rFonts w:ascii="Arial" w:hAnsi="Arial" w:cs="Arial"/>
          <w:sz w:val="19"/>
          <w:szCs w:val="19"/>
        </w:rPr>
        <w:t xml:space="preserve"> ‒ </w:t>
      </w:r>
      <w:r w:rsidRPr="00541738">
        <w:rPr>
          <w:rFonts w:ascii="Arial" w:hAnsi="Arial" w:cs="Arial"/>
          <w:sz w:val="19"/>
          <w:szCs w:val="19"/>
        </w:rPr>
        <w:t xml:space="preserve">414 de </w:t>
      </w:r>
      <w:r w:rsidR="007C0486" w:rsidRPr="00E55B08">
        <w:rPr>
          <w:rFonts w:ascii="Arial" w:hAnsi="Arial" w:cs="Arial"/>
          <w:sz w:val="19"/>
          <w:szCs w:val="19"/>
        </w:rPr>
        <w:t>1</w:t>
      </w:r>
      <w:r w:rsidRPr="00541738">
        <w:rPr>
          <w:rFonts w:ascii="Arial" w:hAnsi="Arial" w:cs="Arial"/>
          <w:sz w:val="19"/>
          <w:szCs w:val="19"/>
        </w:rPr>
        <w:t>996</w:t>
      </w:r>
      <w:r w:rsidR="007C0486" w:rsidRPr="00E55B08">
        <w:rPr>
          <w:rFonts w:ascii="Arial" w:hAnsi="Arial" w:cs="Arial"/>
          <w:sz w:val="19"/>
          <w:szCs w:val="19"/>
        </w:rPr>
        <w:t>. M.P.</w:t>
      </w:r>
      <w:r w:rsidRPr="00541738">
        <w:rPr>
          <w:rFonts w:ascii="Arial" w:hAnsi="Arial" w:cs="Arial"/>
          <w:sz w:val="19"/>
          <w:szCs w:val="19"/>
        </w:rPr>
        <w:t xml:space="preserve"> Antonio Barrera Carbonell</w:t>
      </w:r>
      <w:r w:rsidR="003F40F5" w:rsidRPr="00E55B08">
        <w:rPr>
          <w:rFonts w:ascii="Arial" w:hAnsi="Arial" w:cs="Arial"/>
          <w:sz w:val="19"/>
          <w:szCs w:val="19"/>
        </w:rPr>
        <w:t>.</w:t>
      </w:r>
    </w:p>
    <w:p w14:paraId="72F237ED" w14:textId="77777777" w:rsidR="00BD20DE" w:rsidRPr="00541738" w:rsidRDefault="00BD20DE" w:rsidP="00E55B08">
      <w:pPr>
        <w:pStyle w:val="Textonotapie"/>
        <w:jc w:val="both"/>
        <w:rPr>
          <w:rFonts w:ascii="Arial" w:hAnsi="Arial" w:cs="Arial"/>
          <w:sz w:val="19"/>
          <w:szCs w:val="19"/>
          <w:lang w:val="es-ES"/>
        </w:rPr>
      </w:pPr>
    </w:p>
  </w:footnote>
  <w:footnote w:id="35">
    <w:p w14:paraId="515881B2" w14:textId="170709A5" w:rsidR="00BD20DE" w:rsidRPr="00541738" w:rsidRDefault="00BD20DE" w:rsidP="00E55B08">
      <w:pPr>
        <w:pStyle w:val="Textonotapie"/>
        <w:ind w:firstLine="708"/>
        <w:jc w:val="both"/>
        <w:rPr>
          <w:rFonts w:ascii="Arial" w:hAnsi="Arial" w:cs="Arial"/>
          <w:sz w:val="19"/>
          <w:szCs w:val="19"/>
        </w:rPr>
      </w:pPr>
      <w:r w:rsidRPr="00541738">
        <w:rPr>
          <w:rStyle w:val="Refdenotaalpie"/>
          <w:rFonts w:ascii="Arial" w:hAnsi="Arial" w:cs="Arial"/>
          <w:sz w:val="19"/>
          <w:szCs w:val="19"/>
        </w:rPr>
        <w:footnoteRef/>
      </w:r>
      <w:r w:rsidRPr="00541738">
        <w:rPr>
          <w:rFonts w:ascii="Arial" w:hAnsi="Arial" w:cs="Arial"/>
          <w:sz w:val="19"/>
          <w:szCs w:val="19"/>
        </w:rPr>
        <w:t xml:space="preserve"> Ley 1150 de 2007: </w:t>
      </w:r>
      <w:r w:rsidR="00F75901" w:rsidRPr="00E55B08">
        <w:rPr>
          <w:rFonts w:ascii="Arial" w:hAnsi="Arial" w:cs="Arial"/>
          <w:sz w:val="19"/>
          <w:szCs w:val="19"/>
        </w:rPr>
        <w:t>«</w:t>
      </w:r>
      <w:r w:rsidRPr="00541738">
        <w:rPr>
          <w:rFonts w:ascii="Arial" w:hAnsi="Arial" w:cs="Arial"/>
          <w:sz w:val="19"/>
          <w:szCs w:val="19"/>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541738">
        <w:rPr>
          <w:rFonts w:ascii="Arial" w:hAnsi="Arial" w:cs="Arial"/>
          <w:sz w:val="19"/>
          <w:szCs w:val="19"/>
        </w:rPr>
        <w:t>equivalentes,</w:t>
      </w:r>
      <w:proofErr w:type="gramEnd"/>
      <w:r w:rsidRPr="00541738">
        <w:rPr>
          <w:rFonts w:ascii="Arial" w:hAnsi="Arial" w:cs="Arial"/>
          <w:sz w:val="19"/>
          <w:szCs w:val="19"/>
        </w:rPr>
        <w:t xml:space="preserve"> tendrán en cuenta los siguientes criterios:</w:t>
      </w:r>
    </w:p>
    <w:p w14:paraId="4E8F75B4" w14:textId="42049622" w:rsidR="00BD20DE" w:rsidRPr="00541738" w:rsidRDefault="00F75901" w:rsidP="00541738">
      <w:pPr>
        <w:pStyle w:val="Textonotapie"/>
        <w:ind w:firstLine="709"/>
        <w:jc w:val="both"/>
        <w:rPr>
          <w:rFonts w:ascii="Arial" w:hAnsi="Arial" w:cs="Arial"/>
          <w:sz w:val="19"/>
          <w:szCs w:val="19"/>
        </w:rPr>
      </w:pPr>
      <w:r w:rsidRPr="00E55B08">
        <w:rPr>
          <w:rFonts w:ascii="Arial" w:hAnsi="Arial" w:cs="Arial"/>
          <w:sz w:val="19"/>
          <w:szCs w:val="19"/>
        </w:rPr>
        <w:t>»</w:t>
      </w:r>
      <w:r w:rsidR="00BD20DE" w:rsidRPr="0054173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E55B08">
        <w:rPr>
          <w:rFonts w:ascii="Arial" w:hAnsi="Arial" w:cs="Arial"/>
          <w:sz w:val="19"/>
          <w:szCs w:val="19"/>
        </w:rPr>
        <w:t>»</w:t>
      </w:r>
      <w:r w:rsidR="00BD20DE" w:rsidRPr="00541738">
        <w:rPr>
          <w:rFonts w:ascii="Arial" w:hAnsi="Arial" w:cs="Arial"/>
          <w:sz w:val="19"/>
          <w:szCs w:val="19"/>
        </w:rPr>
        <w:t>.</w:t>
      </w:r>
    </w:p>
    <w:p w14:paraId="70A3507B" w14:textId="77777777" w:rsidR="00BD20DE" w:rsidRPr="00541738" w:rsidRDefault="00BD20DE" w:rsidP="00541738">
      <w:pPr>
        <w:pStyle w:val="Textonotapie"/>
        <w:ind w:firstLine="708"/>
        <w:jc w:val="both"/>
        <w:rPr>
          <w:rFonts w:ascii="Arial" w:hAnsi="Arial" w:cs="Arial"/>
          <w:sz w:val="19"/>
          <w:szCs w:val="19"/>
        </w:rPr>
      </w:pPr>
    </w:p>
  </w:footnote>
  <w:footnote w:id="36">
    <w:p w14:paraId="2E287786" w14:textId="62DC9BEB" w:rsidR="00E55B08" w:rsidRPr="00541738" w:rsidRDefault="00E55B08" w:rsidP="00541738">
      <w:pPr>
        <w:pStyle w:val="Textonotapie"/>
        <w:ind w:firstLine="709"/>
        <w:jc w:val="both"/>
        <w:rPr>
          <w:rFonts w:ascii="Arial" w:hAnsi="Arial" w:cs="Arial"/>
          <w:sz w:val="19"/>
          <w:szCs w:val="19"/>
          <w:lang w:val="es-CO"/>
        </w:rPr>
      </w:pPr>
      <w:r w:rsidRPr="00541738">
        <w:rPr>
          <w:rStyle w:val="Refdenotaalpie"/>
          <w:rFonts w:ascii="Arial" w:hAnsi="Arial" w:cs="Arial"/>
          <w:sz w:val="19"/>
          <w:szCs w:val="19"/>
        </w:rPr>
        <w:footnoteRef/>
      </w:r>
      <w:r w:rsidRPr="00541738">
        <w:rPr>
          <w:rFonts w:ascii="Arial" w:hAnsi="Arial" w:cs="Arial"/>
          <w:sz w:val="19"/>
          <w:szCs w:val="19"/>
        </w:rPr>
        <w:t xml:space="preserve"> </w:t>
      </w:r>
      <w:r w:rsidRPr="00E55B08">
        <w:rPr>
          <w:rFonts w:ascii="Arial" w:hAnsi="Arial" w:cs="Arial"/>
          <w:sz w:val="19"/>
          <w:szCs w:val="19"/>
        </w:rPr>
        <w:t xml:space="preserve">CONSEJO DE ESTADO. Sección Tercera. Subsección </w:t>
      </w:r>
      <w:r w:rsidR="00D61F12">
        <w:rPr>
          <w:rFonts w:ascii="Arial" w:hAnsi="Arial" w:cs="Arial"/>
          <w:sz w:val="19"/>
          <w:szCs w:val="19"/>
        </w:rPr>
        <w:t>A</w:t>
      </w:r>
      <w:r w:rsidRPr="00E55B08">
        <w:rPr>
          <w:rFonts w:ascii="Arial" w:hAnsi="Arial" w:cs="Arial"/>
          <w:sz w:val="19"/>
          <w:szCs w:val="19"/>
        </w:rPr>
        <w:t xml:space="preserve">. Sentencia del </w:t>
      </w:r>
      <w:r w:rsidR="00D61F12">
        <w:rPr>
          <w:rFonts w:ascii="Arial" w:hAnsi="Arial" w:cs="Arial"/>
          <w:sz w:val="19"/>
          <w:szCs w:val="19"/>
        </w:rPr>
        <w:t>10</w:t>
      </w:r>
      <w:r w:rsidRPr="00E55B08">
        <w:rPr>
          <w:rFonts w:ascii="Arial" w:hAnsi="Arial" w:cs="Arial"/>
          <w:sz w:val="19"/>
          <w:szCs w:val="19"/>
        </w:rPr>
        <w:t xml:space="preserve"> de</w:t>
      </w:r>
      <w:r w:rsidR="00D61F12">
        <w:rPr>
          <w:rFonts w:ascii="Arial" w:hAnsi="Arial" w:cs="Arial"/>
          <w:sz w:val="19"/>
          <w:szCs w:val="19"/>
        </w:rPr>
        <w:t xml:space="preserve"> febrero</w:t>
      </w:r>
      <w:r w:rsidRPr="00E55B08">
        <w:rPr>
          <w:rFonts w:ascii="Arial" w:hAnsi="Arial" w:cs="Arial"/>
          <w:sz w:val="19"/>
          <w:szCs w:val="19"/>
        </w:rPr>
        <w:t xml:space="preserve"> de 201</w:t>
      </w:r>
      <w:r w:rsidR="00D61F12">
        <w:rPr>
          <w:rFonts w:ascii="Arial" w:hAnsi="Arial" w:cs="Arial"/>
          <w:sz w:val="19"/>
          <w:szCs w:val="19"/>
        </w:rPr>
        <w:t>1</w:t>
      </w:r>
      <w:r w:rsidRPr="00E55B08">
        <w:rPr>
          <w:rFonts w:ascii="Arial" w:hAnsi="Arial" w:cs="Arial"/>
          <w:sz w:val="19"/>
          <w:szCs w:val="19"/>
        </w:rPr>
        <w:t>. Rad</w:t>
      </w:r>
      <w:r w:rsidR="00037290">
        <w:rPr>
          <w:rFonts w:ascii="Arial" w:hAnsi="Arial" w:cs="Arial"/>
          <w:sz w:val="19"/>
          <w:szCs w:val="19"/>
        </w:rPr>
        <w:t>.</w:t>
      </w:r>
      <w:r w:rsidRPr="00E55B08">
        <w:rPr>
          <w:rFonts w:ascii="Arial" w:hAnsi="Arial" w:cs="Arial"/>
          <w:sz w:val="19"/>
          <w:szCs w:val="19"/>
        </w:rPr>
        <w:t xml:space="preserve"> </w:t>
      </w:r>
      <w:r w:rsidR="00037290">
        <w:rPr>
          <w:rFonts w:ascii="Arial" w:hAnsi="Arial" w:cs="Arial"/>
          <w:sz w:val="19"/>
          <w:szCs w:val="19"/>
        </w:rPr>
        <w:t>16.306</w:t>
      </w:r>
      <w:r w:rsidRPr="00E55B08">
        <w:rPr>
          <w:rFonts w:ascii="Arial" w:hAnsi="Arial" w:cs="Arial"/>
          <w:sz w:val="19"/>
          <w:szCs w:val="19"/>
        </w:rPr>
        <w:t xml:space="preserve">. </w:t>
      </w:r>
      <w:r w:rsidR="00037290">
        <w:rPr>
          <w:rFonts w:ascii="Arial" w:hAnsi="Arial" w:cs="Arial"/>
          <w:sz w:val="19"/>
          <w:szCs w:val="19"/>
        </w:rPr>
        <w:t>C</w:t>
      </w:r>
      <w:r w:rsidRPr="00E55B08">
        <w:rPr>
          <w:rFonts w:ascii="Arial" w:hAnsi="Arial" w:cs="Arial"/>
          <w:sz w:val="19"/>
          <w:szCs w:val="19"/>
        </w:rPr>
        <w:t>.P.</w:t>
      </w:r>
      <w:r w:rsidR="00037290">
        <w:rPr>
          <w:rFonts w:ascii="Arial" w:hAnsi="Arial" w:cs="Arial"/>
          <w:sz w:val="19"/>
          <w:szCs w:val="19"/>
        </w:rPr>
        <w:t xml:space="preserve"> Hernán Andrade Rincón</w:t>
      </w:r>
      <w:r w:rsidRPr="00E55B08">
        <w:rPr>
          <w:rFonts w:ascii="Arial" w:hAnsi="Arial" w:cs="Arial"/>
          <w:sz w:val="19"/>
          <w:szCs w:val="19"/>
        </w:rPr>
        <w:t>.</w:t>
      </w:r>
    </w:p>
  </w:footnote>
  <w:footnote w:id="37">
    <w:p w14:paraId="0C34C051" w14:textId="77777777" w:rsidR="002F6746" w:rsidRPr="00E55B08" w:rsidRDefault="002F6746" w:rsidP="00E55B08">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Código Civil: «Artículo 633. Definición de persona jurídica. Se llama persona jurídica, una persona ficticia, capaz de ejercer derechos y contraer obligaciones civiles, y de ser representada judicial y extrajudicialmente.</w:t>
      </w:r>
    </w:p>
    <w:p w14:paraId="6B857DAE" w14:textId="12B411A4" w:rsidR="002F6746" w:rsidRPr="00E55B08" w:rsidRDefault="002F6746" w:rsidP="00E55B08">
      <w:pPr>
        <w:pStyle w:val="Textonotapie"/>
        <w:ind w:firstLine="709"/>
        <w:jc w:val="both"/>
        <w:rPr>
          <w:rFonts w:ascii="Arial" w:hAnsi="Arial" w:cs="Arial"/>
          <w:sz w:val="19"/>
          <w:szCs w:val="19"/>
        </w:rPr>
      </w:pPr>
      <w:proofErr w:type="gramStart"/>
      <w:r w:rsidRPr="00E55B08">
        <w:rPr>
          <w:rFonts w:ascii="Arial" w:hAnsi="Arial" w:cs="Arial"/>
          <w:sz w:val="19"/>
          <w:szCs w:val="19"/>
        </w:rPr>
        <w:t>»Las</w:t>
      </w:r>
      <w:proofErr w:type="gramEnd"/>
      <w:r w:rsidRPr="00E55B08">
        <w:rPr>
          <w:rFonts w:ascii="Arial" w:hAnsi="Arial" w:cs="Arial"/>
          <w:sz w:val="19"/>
          <w:szCs w:val="19"/>
        </w:rPr>
        <w:t xml:space="preserve"> personas jurídicas son de dos especies: corporaciones y fundaciones de beneficencia pública.</w:t>
      </w:r>
    </w:p>
    <w:p w14:paraId="14D6F528" w14:textId="411284EE" w:rsidR="002F6746" w:rsidRPr="00E55B08" w:rsidRDefault="002F6746">
      <w:pPr>
        <w:pStyle w:val="Textonotapie"/>
        <w:ind w:firstLine="709"/>
        <w:jc w:val="both"/>
        <w:rPr>
          <w:rFonts w:ascii="Arial" w:hAnsi="Arial" w:cs="Arial"/>
          <w:sz w:val="19"/>
          <w:szCs w:val="19"/>
        </w:rPr>
      </w:pPr>
      <w:proofErr w:type="gramStart"/>
      <w:r w:rsidRPr="00E55B08">
        <w:rPr>
          <w:rFonts w:ascii="Arial" w:hAnsi="Arial" w:cs="Arial"/>
          <w:sz w:val="19"/>
          <w:szCs w:val="19"/>
        </w:rPr>
        <w:t>»Hay</w:t>
      </w:r>
      <w:proofErr w:type="gramEnd"/>
      <w:r w:rsidRPr="00E55B08">
        <w:rPr>
          <w:rFonts w:ascii="Arial" w:hAnsi="Arial" w:cs="Arial"/>
          <w:sz w:val="19"/>
          <w:szCs w:val="19"/>
        </w:rPr>
        <w:t xml:space="preserve"> personas jurídicas que participan de uno y otro carácter».</w:t>
      </w:r>
    </w:p>
    <w:p w14:paraId="7E8284F6" w14:textId="77777777" w:rsidR="002F6746" w:rsidRPr="00E55B08" w:rsidRDefault="002F6746">
      <w:pPr>
        <w:pStyle w:val="Textonotapie"/>
        <w:ind w:firstLine="709"/>
        <w:jc w:val="both"/>
        <w:rPr>
          <w:rFonts w:ascii="Arial" w:hAnsi="Arial" w:cs="Arial"/>
          <w:sz w:val="19"/>
          <w:szCs w:val="19"/>
          <w:lang w:val="es-CO"/>
        </w:rPr>
      </w:pPr>
    </w:p>
  </w:footnote>
  <w:footnote w:id="38">
    <w:p w14:paraId="20E662DD" w14:textId="6DDB7259" w:rsidR="002F6746" w:rsidRPr="00E55B08" w:rsidRDefault="002F6746">
      <w:pPr>
        <w:pStyle w:val="Textonotapie"/>
        <w:ind w:firstLine="709"/>
        <w:jc w:val="both"/>
        <w:rPr>
          <w:rFonts w:ascii="Arial" w:hAnsi="Arial" w:cs="Arial"/>
          <w:sz w:val="19"/>
          <w:szCs w:val="19"/>
          <w:lang w:val="es-CO"/>
        </w:rPr>
      </w:pPr>
      <w:r w:rsidRPr="00E55B08">
        <w:rPr>
          <w:rStyle w:val="Refdenotaalpie"/>
          <w:rFonts w:ascii="Arial" w:hAnsi="Arial" w:cs="Arial"/>
          <w:sz w:val="19"/>
          <w:szCs w:val="19"/>
        </w:rPr>
        <w:footnoteRef/>
      </w:r>
      <w:r w:rsidRPr="00E55B08">
        <w:rPr>
          <w:rFonts w:ascii="Arial" w:hAnsi="Arial" w:cs="Arial"/>
          <w:sz w:val="19"/>
          <w:szCs w:val="19"/>
        </w:rPr>
        <w:t xml:space="preserve"> Código de Comercio: «Artículo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2F6746" w:rsidRDefault="002F6746">
    <w:pPr>
      <w:pStyle w:val="Encabezado"/>
    </w:pPr>
  </w:p>
  <w:p w14:paraId="6A4C7F2C" w14:textId="7D093DBB" w:rsidR="002F6746" w:rsidRDefault="002F6746">
    <w:pPr>
      <w:pStyle w:val="Encabezado"/>
    </w:pPr>
  </w:p>
  <w:p w14:paraId="055F2E1F" w14:textId="0B935ADD" w:rsidR="002F6746" w:rsidRDefault="002F6746">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2F6746" w:rsidRDefault="002F6746">
    <w:pPr>
      <w:pStyle w:val="Encabezado"/>
    </w:pPr>
  </w:p>
  <w:p w14:paraId="3D323BDB" w14:textId="04AF0DE6" w:rsidR="002F6746" w:rsidRDefault="002F6746">
    <w:pPr>
      <w:pStyle w:val="Encabezado"/>
    </w:pPr>
  </w:p>
  <w:p w14:paraId="6520770B" w14:textId="18EB07B5" w:rsidR="002F6746" w:rsidRDefault="002F67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6180B8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32"/>
    <w:rsid w:val="000006D8"/>
    <w:rsid w:val="000030CB"/>
    <w:rsid w:val="0000669A"/>
    <w:rsid w:val="000114C4"/>
    <w:rsid w:val="000149CF"/>
    <w:rsid w:val="00017968"/>
    <w:rsid w:val="0002064C"/>
    <w:rsid w:val="000209BB"/>
    <w:rsid w:val="000217B4"/>
    <w:rsid w:val="00025680"/>
    <w:rsid w:val="00026AD9"/>
    <w:rsid w:val="00037290"/>
    <w:rsid w:val="00044EC1"/>
    <w:rsid w:val="000673C5"/>
    <w:rsid w:val="00067906"/>
    <w:rsid w:val="0007574A"/>
    <w:rsid w:val="00075839"/>
    <w:rsid w:val="00075F5E"/>
    <w:rsid w:val="000824FE"/>
    <w:rsid w:val="00083106"/>
    <w:rsid w:val="000922B9"/>
    <w:rsid w:val="000942EB"/>
    <w:rsid w:val="000A06B8"/>
    <w:rsid w:val="000A0AD3"/>
    <w:rsid w:val="000A1DFF"/>
    <w:rsid w:val="000A66C4"/>
    <w:rsid w:val="000A7F73"/>
    <w:rsid w:val="000B103F"/>
    <w:rsid w:val="000B5E6B"/>
    <w:rsid w:val="000B6C94"/>
    <w:rsid w:val="000C5F0A"/>
    <w:rsid w:val="000C6AFB"/>
    <w:rsid w:val="000D4D30"/>
    <w:rsid w:val="000D68A0"/>
    <w:rsid w:val="000E15DB"/>
    <w:rsid w:val="000F1399"/>
    <w:rsid w:val="000F14E8"/>
    <w:rsid w:val="00100938"/>
    <w:rsid w:val="00103915"/>
    <w:rsid w:val="00103B45"/>
    <w:rsid w:val="00106A32"/>
    <w:rsid w:val="00116545"/>
    <w:rsid w:val="00122B23"/>
    <w:rsid w:val="0012656B"/>
    <w:rsid w:val="00137FFA"/>
    <w:rsid w:val="00140D67"/>
    <w:rsid w:val="00143BFF"/>
    <w:rsid w:val="00154CCB"/>
    <w:rsid w:val="00160A92"/>
    <w:rsid w:val="00161E33"/>
    <w:rsid w:val="0016672F"/>
    <w:rsid w:val="0016764E"/>
    <w:rsid w:val="0017125E"/>
    <w:rsid w:val="00175A6E"/>
    <w:rsid w:val="001802DE"/>
    <w:rsid w:val="00181942"/>
    <w:rsid w:val="00182CFD"/>
    <w:rsid w:val="0019086F"/>
    <w:rsid w:val="00190F01"/>
    <w:rsid w:val="00191DE8"/>
    <w:rsid w:val="00194D72"/>
    <w:rsid w:val="001A3519"/>
    <w:rsid w:val="001A6189"/>
    <w:rsid w:val="001B223C"/>
    <w:rsid w:val="001B2A0C"/>
    <w:rsid w:val="001D1958"/>
    <w:rsid w:val="001D7EB0"/>
    <w:rsid w:val="001E4953"/>
    <w:rsid w:val="002048F1"/>
    <w:rsid w:val="00210334"/>
    <w:rsid w:val="0021128C"/>
    <w:rsid w:val="00217434"/>
    <w:rsid w:val="00217841"/>
    <w:rsid w:val="002213C1"/>
    <w:rsid w:val="002242FA"/>
    <w:rsid w:val="00227D70"/>
    <w:rsid w:val="002334E4"/>
    <w:rsid w:val="00234B84"/>
    <w:rsid w:val="00237602"/>
    <w:rsid w:val="00242BBC"/>
    <w:rsid w:val="002456A8"/>
    <w:rsid w:val="0025090A"/>
    <w:rsid w:val="00253D00"/>
    <w:rsid w:val="00263319"/>
    <w:rsid w:val="00264800"/>
    <w:rsid w:val="00274337"/>
    <w:rsid w:val="00286B45"/>
    <w:rsid w:val="00287306"/>
    <w:rsid w:val="0029194E"/>
    <w:rsid w:val="00291CED"/>
    <w:rsid w:val="002922C5"/>
    <w:rsid w:val="002A046B"/>
    <w:rsid w:val="002A5004"/>
    <w:rsid w:val="002B307D"/>
    <w:rsid w:val="002B54FB"/>
    <w:rsid w:val="002B5F5C"/>
    <w:rsid w:val="002C019D"/>
    <w:rsid w:val="002C3B14"/>
    <w:rsid w:val="002C796D"/>
    <w:rsid w:val="002D2313"/>
    <w:rsid w:val="002E2813"/>
    <w:rsid w:val="002E4FF0"/>
    <w:rsid w:val="002F3DD9"/>
    <w:rsid w:val="002F5E2E"/>
    <w:rsid w:val="002F6746"/>
    <w:rsid w:val="003033BA"/>
    <w:rsid w:val="00325A5C"/>
    <w:rsid w:val="00326996"/>
    <w:rsid w:val="003372DF"/>
    <w:rsid w:val="0034021F"/>
    <w:rsid w:val="00345949"/>
    <w:rsid w:val="0034680A"/>
    <w:rsid w:val="0035029B"/>
    <w:rsid w:val="00351093"/>
    <w:rsid w:val="003569C4"/>
    <w:rsid w:val="003569E0"/>
    <w:rsid w:val="003570B5"/>
    <w:rsid w:val="00361A72"/>
    <w:rsid w:val="003677A5"/>
    <w:rsid w:val="00374828"/>
    <w:rsid w:val="003779EC"/>
    <w:rsid w:val="0038155E"/>
    <w:rsid w:val="00385233"/>
    <w:rsid w:val="00386456"/>
    <w:rsid w:val="00392173"/>
    <w:rsid w:val="00393992"/>
    <w:rsid w:val="003953BA"/>
    <w:rsid w:val="003958C4"/>
    <w:rsid w:val="003A387F"/>
    <w:rsid w:val="003A3ED6"/>
    <w:rsid w:val="003A581E"/>
    <w:rsid w:val="003C29B9"/>
    <w:rsid w:val="003C59BD"/>
    <w:rsid w:val="003C7C9C"/>
    <w:rsid w:val="003D417D"/>
    <w:rsid w:val="003D6A14"/>
    <w:rsid w:val="003D6C2D"/>
    <w:rsid w:val="003D6C3D"/>
    <w:rsid w:val="003E5B4E"/>
    <w:rsid w:val="003E7342"/>
    <w:rsid w:val="003F40F5"/>
    <w:rsid w:val="003F46D5"/>
    <w:rsid w:val="004015A9"/>
    <w:rsid w:val="00406126"/>
    <w:rsid w:val="004122A7"/>
    <w:rsid w:val="004137B4"/>
    <w:rsid w:val="00424B07"/>
    <w:rsid w:val="00432C25"/>
    <w:rsid w:val="004345AD"/>
    <w:rsid w:val="00435BE1"/>
    <w:rsid w:val="0044006C"/>
    <w:rsid w:val="004422D6"/>
    <w:rsid w:val="00444470"/>
    <w:rsid w:val="004444F8"/>
    <w:rsid w:val="00445FC3"/>
    <w:rsid w:val="00447001"/>
    <w:rsid w:val="00451DFD"/>
    <w:rsid w:val="00451E6A"/>
    <w:rsid w:val="004526DC"/>
    <w:rsid w:val="0045657B"/>
    <w:rsid w:val="0046194F"/>
    <w:rsid w:val="00465657"/>
    <w:rsid w:val="00475955"/>
    <w:rsid w:val="004839C3"/>
    <w:rsid w:val="00484358"/>
    <w:rsid w:val="00484410"/>
    <w:rsid w:val="004870C2"/>
    <w:rsid w:val="0049032E"/>
    <w:rsid w:val="00495431"/>
    <w:rsid w:val="004960F9"/>
    <w:rsid w:val="00497DD8"/>
    <w:rsid w:val="004A34D2"/>
    <w:rsid w:val="004A5A56"/>
    <w:rsid w:val="004B086A"/>
    <w:rsid w:val="004B64C4"/>
    <w:rsid w:val="004C271A"/>
    <w:rsid w:val="004D6B4A"/>
    <w:rsid w:val="004D7512"/>
    <w:rsid w:val="004E20E2"/>
    <w:rsid w:val="004E22D1"/>
    <w:rsid w:val="004E38E7"/>
    <w:rsid w:val="004E61CE"/>
    <w:rsid w:val="004E6274"/>
    <w:rsid w:val="004F0AB9"/>
    <w:rsid w:val="004F3D87"/>
    <w:rsid w:val="004F65C6"/>
    <w:rsid w:val="004F6997"/>
    <w:rsid w:val="00501072"/>
    <w:rsid w:val="00502643"/>
    <w:rsid w:val="00505E51"/>
    <w:rsid w:val="0051074C"/>
    <w:rsid w:val="005137D4"/>
    <w:rsid w:val="00513AF2"/>
    <w:rsid w:val="005173B6"/>
    <w:rsid w:val="0051E182"/>
    <w:rsid w:val="005216FC"/>
    <w:rsid w:val="00523210"/>
    <w:rsid w:val="00530297"/>
    <w:rsid w:val="00530488"/>
    <w:rsid w:val="00535F6D"/>
    <w:rsid w:val="00537C52"/>
    <w:rsid w:val="00540799"/>
    <w:rsid w:val="00541738"/>
    <w:rsid w:val="0054413A"/>
    <w:rsid w:val="00545342"/>
    <w:rsid w:val="00546490"/>
    <w:rsid w:val="00554E80"/>
    <w:rsid w:val="00555548"/>
    <w:rsid w:val="005564CA"/>
    <w:rsid w:val="00557102"/>
    <w:rsid w:val="0057118D"/>
    <w:rsid w:val="00575DE2"/>
    <w:rsid w:val="00580137"/>
    <w:rsid w:val="00587897"/>
    <w:rsid w:val="0059306D"/>
    <w:rsid w:val="00595696"/>
    <w:rsid w:val="0059693F"/>
    <w:rsid w:val="005A130F"/>
    <w:rsid w:val="005A1EF6"/>
    <w:rsid w:val="005A23B0"/>
    <w:rsid w:val="005A5C0F"/>
    <w:rsid w:val="005A79FE"/>
    <w:rsid w:val="005B1C95"/>
    <w:rsid w:val="005B3891"/>
    <w:rsid w:val="005C3781"/>
    <w:rsid w:val="005E17A1"/>
    <w:rsid w:val="005E7FEC"/>
    <w:rsid w:val="005F3D75"/>
    <w:rsid w:val="005F5896"/>
    <w:rsid w:val="00601168"/>
    <w:rsid w:val="00606650"/>
    <w:rsid w:val="006101F8"/>
    <w:rsid w:val="0061175E"/>
    <w:rsid w:val="00614865"/>
    <w:rsid w:val="0062733B"/>
    <w:rsid w:val="00631788"/>
    <w:rsid w:val="00636CF1"/>
    <w:rsid w:val="00640E20"/>
    <w:rsid w:val="006413AA"/>
    <w:rsid w:val="00651616"/>
    <w:rsid w:val="006533F8"/>
    <w:rsid w:val="00655371"/>
    <w:rsid w:val="00656C05"/>
    <w:rsid w:val="00661374"/>
    <w:rsid w:val="006623A8"/>
    <w:rsid w:val="0066448C"/>
    <w:rsid w:val="00666BFC"/>
    <w:rsid w:val="00670B9D"/>
    <w:rsid w:val="00674528"/>
    <w:rsid w:val="00674E94"/>
    <w:rsid w:val="006779ED"/>
    <w:rsid w:val="00682416"/>
    <w:rsid w:val="00685FD3"/>
    <w:rsid w:val="00687D98"/>
    <w:rsid w:val="00697665"/>
    <w:rsid w:val="006A7FD0"/>
    <w:rsid w:val="006B0DE2"/>
    <w:rsid w:val="006B377E"/>
    <w:rsid w:val="006C085A"/>
    <w:rsid w:val="006C6305"/>
    <w:rsid w:val="006D0D7C"/>
    <w:rsid w:val="006D49FA"/>
    <w:rsid w:val="006D5700"/>
    <w:rsid w:val="006D7687"/>
    <w:rsid w:val="006E0572"/>
    <w:rsid w:val="006E7690"/>
    <w:rsid w:val="006F05B9"/>
    <w:rsid w:val="006F13A3"/>
    <w:rsid w:val="006F7708"/>
    <w:rsid w:val="00705631"/>
    <w:rsid w:val="00710819"/>
    <w:rsid w:val="0071114A"/>
    <w:rsid w:val="0072182D"/>
    <w:rsid w:val="0072307F"/>
    <w:rsid w:val="00724B65"/>
    <w:rsid w:val="00727E2F"/>
    <w:rsid w:val="00740026"/>
    <w:rsid w:val="00742DD2"/>
    <w:rsid w:val="0075647A"/>
    <w:rsid w:val="0075684E"/>
    <w:rsid w:val="00760870"/>
    <w:rsid w:val="007634AD"/>
    <w:rsid w:val="00775AF2"/>
    <w:rsid w:val="00781081"/>
    <w:rsid w:val="0078122E"/>
    <w:rsid w:val="00785BAA"/>
    <w:rsid w:val="007919DD"/>
    <w:rsid w:val="00794235"/>
    <w:rsid w:val="007A5467"/>
    <w:rsid w:val="007A69FA"/>
    <w:rsid w:val="007B0854"/>
    <w:rsid w:val="007B0B94"/>
    <w:rsid w:val="007B305E"/>
    <w:rsid w:val="007B6DB4"/>
    <w:rsid w:val="007C0486"/>
    <w:rsid w:val="007C42FE"/>
    <w:rsid w:val="007D769A"/>
    <w:rsid w:val="007E5AEF"/>
    <w:rsid w:val="007E768B"/>
    <w:rsid w:val="007F72CB"/>
    <w:rsid w:val="008030AB"/>
    <w:rsid w:val="00806F71"/>
    <w:rsid w:val="00812A39"/>
    <w:rsid w:val="00816630"/>
    <w:rsid w:val="00825351"/>
    <w:rsid w:val="00827B08"/>
    <w:rsid w:val="0083119B"/>
    <w:rsid w:val="0083573F"/>
    <w:rsid w:val="00836EAB"/>
    <w:rsid w:val="00845CA7"/>
    <w:rsid w:val="00845CCC"/>
    <w:rsid w:val="0085092D"/>
    <w:rsid w:val="00857C48"/>
    <w:rsid w:val="00863B65"/>
    <w:rsid w:val="00866F1A"/>
    <w:rsid w:val="00872B28"/>
    <w:rsid w:val="00875314"/>
    <w:rsid w:val="008802C3"/>
    <w:rsid w:val="008821DF"/>
    <w:rsid w:val="008827C2"/>
    <w:rsid w:val="008921DA"/>
    <w:rsid w:val="0089527C"/>
    <w:rsid w:val="008A4DD4"/>
    <w:rsid w:val="008A78A6"/>
    <w:rsid w:val="008B1975"/>
    <w:rsid w:val="008B42AB"/>
    <w:rsid w:val="008B4D27"/>
    <w:rsid w:val="008B55A8"/>
    <w:rsid w:val="008B67CA"/>
    <w:rsid w:val="008C0A63"/>
    <w:rsid w:val="008C324A"/>
    <w:rsid w:val="008D2164"/>
    <w:rsid w:val="008D4635"/>
    <w:rsid w:val="008D61F3"/>
    <w:rsid w:val="008D62B6"/>
    <w:rsid w:val="008E1C15"/>
    <w:rsid w:val="008E4BBC"/>
    <w:rsid w:val="008F2C3E"/>
    <w:rsid w:val="008F4B60"/>
    <w:rsid w:val="009036E6"/>
    <w:rsid w:val="009047C5"/>
    <w:rsid w:val="00907AB9"/>
    <w:rsid w:val="009155D9"/>
    <w:rsid w:val="00916959"/>
    <w:rsid w:val="00920998"/>
    <w:rsid w:val="009216AD"/>
    <w:rsid w:val="009217DC"/>
    <w:rsid w:val="00921FC1"/>
    <w:rsid w:val="00937286"/>
    <w:rsid w:val="00941C5F"/>
    <w:rsid w:val="009429EB"/>
    <w:rsid w:val="00943C09"/>
    <w:rsid w:val="00944AA1"/>
    <w:rsid w:val="0095385A"/>
    <w:rsid w:val="00956169"/>
    <w:rsid w:val="00960D27"/>
    <w:rsid w:val="0096119E"/>
    <w:rsid w:val="00961C67"/>
    <w:rsid w:val="00962025"/>
    <w:rsid w:val="00965636"/>
    <w:rsid w:val="00966030"/>
    <w:rsid w:val="00971DEE"/>
    <w:rsid w:val="009810D8"/>
    <w:rsid w:val="00983427"/>
    <w:rsid w:val="00983975"/>
    <w:rsid w:val="00983EF7"/>
    <w:rsid w:val="0099152F"/>
    <w:rsid w:val="00991713"/>
    <w:rsid w:val="00992F0D"/>
    <w:rsid w:val="009A0366"/>
    <w:rsid w:val="009A1118"/>
    <w:rsid w:val="009B106D"/>
    <w:rsid w:val="009B126B"/>
    <w:rsid w:val="009B6731"/>
    <w:rsid w:val="009B6942"/>
    <w:rsid w:val="009B6C1F"/>
    <w:rsid w:val="009C2A21"/>
    <w:rsid w:val="009C3FE1"/>
    <w:rsid w:val="009D2367"/>
    <w:rsid w:val="009D3117"/>
    <w:rsid w:val="009D3F93"/>
    <w:rsid w:val="009D54EC"/>
    <w:rsid w:val="009E36A6"/>
    <w:rsid w:val="009F0918"/>
    <w:rsid w:val="009F615B"/>
    <w:rsid w:val="00A01B62"/>
    <w:rsid w:val="00A03EE7"/>
    <w:rsid w:val="00A04F03"/>
    <w:rsid w:val="00A07718"/>
    <w:rsid w:val="00A1517B"/>
    <w:rsid w:val="00A16ACB"/>
    <w:rsid w:val="00A21DCD"/>
    <w:rsid w:val="00A234C7"/>
    <w:rsid w:val="00A241E2"/>
    <w:rsid w:val="00A24560"/>
    <w:rsid w:val="00A24722"/>
    <w:rsid w:val="00A34538"/>
    <w:rsid w:val="00A36B23"/>
    <w:rsid w:val="00A37372"/>
    <w:rsid w:val="00A377E8"/>
    <w:rsid w:val="00A37988"/>
    <w:rsid w:val="00A4113A"/>
    <w:rsid w:val="00A447B0"/>
    <w:rsid w:val="00A4690E"/>
    <w:rsid w:val="00A553DF"/>
    <w:rsid w:val="00A6152D"/>
    <w:rsid w:val="00A64743"/>
    <w:rsid w:val="00A71DCD"/>
    <w:rsid w:val="00A809E3"/>
    <w:rsid w:val="00A815E4"/>
    <w:rsid w:val="00A84DE8"/>
    <w:rsid w:val="00A92E0E"/>
    <w:rsid w:val="00AA1839"/>
    <w:rsid w:val="00AA442B"/>
    <w:rsid w:val="00AA618B"/>
    <w:rsid w:val="00AB037C"/>
    <w:rsid w:val="00AC098A"/>
    <w:rsid w:val="00AC1A51"/>
    <w:rsid w:val="00AC30C0"/>
    <w:rsid w:val="00AC5682"/>
    <w:rsid w:val="00AC614B"/>
    <w:rsid w:val="00AD324A"/>
    <w:rsid w:val="00AE2951"/>
    <w:rsid w:val="00AF47D2"/>
    <w:rsid w:val="00B17288"/>
    <w:rsid w:val="00B17BEF"/>
    <w:rsid w:val="00B205EF"/>
    <w:rsid w:val="00B2073D"/>
    <w:rsid w:val="00B21B99"/>
    <w:rsid w:val="00B22E22"/>
    <w:rsid w:val="00B4041C"/>
    <w:rsid w:val="00B404FE"/>
    <w:rsid w:val="00B42CC2"/>
    <w:rsid w:val="00B525CB"/>
    <w:rsid w:val="00B63CB2"/>
    <w:rsid w:val="00B757CB"/>
    <w:rsid w:val="00B808BC"/>
    <w:rsid w:val="00B839CF"/>
    <w:rsid w:val="00B85024"/>
    <w:rsid w:val="00B87DC9"/>
    <w:rsid w:val="00B95BF2"/>
    <w:rsid w:val="00B97013"/>
    <w:rsid w:val="00B97E87"/>
    <w:rsid w:val="00BA0A67"/>
    <w:rsid w:val="00BA2229"/>
    <w:rsid w:val="00BA589F"/>
    <w:rsid w:val="00BA6B8A"/>
    <w:rsid w:val="00BB28F7"/>
    <w:rsid w:val="00BB3B58"/>
    <w:rsid w:val="00BB4EDD"/>
    <w:rsid w:val="00BB5507"/>
    <w:rsid w:val="00BB6926"/>
    <w:rsid w:val="00BC46FA"/>
    <w:rsid w:val="00BD0C3F"/>
    <w:rsid w:val="00BD20DE"/>
    <w:rsid w:val="00BD5A75"/>
    <w:rsid w:val="00BD5E40"/>
    <w:rsid w:val="00BD72DD"/>
    <w:rsid w:val="00BD78FE"/>
    <w:rsid w:val="00BE068F"/>
    <w:rsid w:val="00BE66F4"/>
    <w:rsid w:val="00BF0834"/>
    <w:rsid w:val="00BF106E"/>
    <w:rsid w:val="00BF6C67"/>
    <w:rsid w:val="00BF6FFC"/>
    <w:rsid w:val="00C0509A"/>
    <w:rsid w:val="00C059DC"/>
    <w:rsid w:val="00C15730"/>
    <w:rsid w:val="00C16B7B"/>
    <w:rsid w:val="00C220DA"/>
    <w:rsid w:val="00C2341D"/>
    <w:rsid w:val="00C3106D"/>
    <w:rsid w:val="00C35EA3"/>
    <w:rsid w:val="00C42730"/>
    <w:rsid w:val="00C42AA4"/>
    <w:rsid w:val="00C45091"/>
    <w:rsid w:val="00C60ED8"/>
    <w:rsid w:val="00C65436"/>
    <w:rsid w:val="00C65506"/>
    <w:rsid w:val="00C67F79"/>
    <w:rsid w:val="00C70015"/>
    <w:rsid w:val="00C76BB2"/>
    <w:rsid w:val="00C774CE"/>
    <w:rsid w:val="00C77A1F"/>
    <w:rsid w:val="00C83D0D"/>
    <w:rsid w:val="00C84576"/>
    <w:rsid w:val="00C86D49"/>
    <w:rsid w:val="00C90879"/>
    <w:rsid w:val="00C90F4A"/>
    <w:rsid w:val="00C95C21"/>
    <w:rsid w:val="00C95DCC"/>
    <w:rsid w:val="00C97F7D"/>
    <w:rsid w:val="00CA1467"/>
    <w:rsid w:val="00CA24B6"/>
    <w:rsid w:val="00CA287E"/>
    <w:rsid w:val="00CA499D"/>
    <w:rsid w:val="00CB3E9B"/>
    <w:rsid w:val="00CB683D"/>
    <w:rsid w:val="00CC00CD"/>
    <w:rsid w:val="00CC37E8"/>
    <w:rsid w:val="00CC4CBF"/>
    <w:rsid w:val="00CD280B"/>
    <w:rsid w:val="00CD610C"/>
    <w:rsid w:val="00CE5C1C"/>
    <w:rsid w:val="00CF0863"/>
    <w:rsid w:val="00CF471A"/>
    <w:rsid w:val="00CF6DF3"/>
    <w:rsid w:val="00D027BB"/>
    <w:rsid w:val="00D04113"/>
    <w:rsid w:val="00D06DE7"/>
    <w:rsid w:val="00D07440"/>
    <w:rsid w:val="00D110D5"/>
    <w:rsid w:val="00D11DE2"/>
    <w:rsid w:val="00D1205F"/>
    <w:rsid w:val="00D16E39"/>
    <w:rsid w:val="00D20BED"/>
    <w:rsid w:val="00D2223C"/>
    <w:rsid w:val="00D35D5C"/>
    <w:rsid w:val="00D4234C"/>
    <w:rsid w:val="00D43A60"/>
    <w:rsid w:val="00D43C03"/>
    <w:rsid w:val="00D502F1"/>
    <w:rsid w:val="00D519BC"/>
    <w:rsid w:val="00D55929"/>
    <w:rsid w:val="00D563C6"/>
    <w:rsid w:val="00D61F12"/>
    <w:rsid w:val="00D72E9D"/>
    <w:rsid w:val="00D72EED"/>
    <w:rsid w:val="00D82CE5"/>
    <w:rsid w:val="00D86045"/>
    <w:rsid w:val="00D947E2"/>
    <w:rsid w:val="00D94826"/>
    <w:rsid w:val="00DA0967"/>
    <w:rsid w:val="00DA2323"/>
    <w:rsid w:val="00DA2E47"/>
    <w:rsid w:val="00DA3DC1"/>
    <w:rsid w:val="00DA42F0"/>
    <w:rsid w:val="00DA5AB1"/>
    <w:rsid w:val="00DB0727"/>
    <w:rsid w:val="00DB230A"/>
    <w:rsid w:val="00DB50A1"/>
    <w:rsid w:val="00DC4770"/>
    <w:rsid w:val="00DC4B08"/>
    <w:rsid w:val="00DC4B1D"/>
    <w:rsid w:val="00DC5D95"/>
    <w:rsid w:val="00DC62E5"/>
    <w:rsid w:val="00DD6260"/>
    <w:rsid w:val="00DD735D"/>
    <w:rsid w:val="00DE3119"/>
    <w:rsid w:val="00DE52CB"/>
    <w:rsid w:val="00DF236B"/>
    <w:rsid w:val="00DF4A02"/>
    <w:rsid w:val="00E0009D"/>
    <w:rsid w:val="00E06195"/>
    <w:rsid w:val="00E06D52"/>
    <w:rsid w:val="00E13AB8"/>
    <w:rsid w:val="00E167FD"/>
    <w:rsid w:val="00E16840"/>
    <w:rsid w:val="00E33B62"/>
    <w:rsid w:val="00E345C5"/>
    <w:rsid w:val="00E41056"/>
    <w:rsid w:val="00E414E1"/>
    <w:rsid w:val="00E454CC"/>
    <w:rsid w:val="00E55B08"/>
    <w:rsid w:val="00E57547"/>
    <w:rsid w:val="00E60E34"/>
    <w:rsid w:val="00E662BF"/>
    <w:rsid w:val="00E6651F"/>
    <w:rsid w:val="00E72E15"/>
    <w:rsid w:val="00E758DE"/>
    <w:rsid w:val="00E92824"/>
    <w:rsid w:val="00E92BFD"/>
    <w:rsid w:val="00E92F0E"/>
    <w:rsid w:val="00EA477C"/>
    <w:rsid w:val="00EA4C0A"/>
    <w:rsid w:val="00EB591A"/>
    <w:rsid w:val="00EC2AA5"/>
    <w:rsid w:val="00EC600A"/>
    <w:rsid w:val="00ED01DA"/>
    <w:rsid w:val="00EE2038"/>
    <w:rsid w:val="00EE294E"/>
    <w:rsid w:val="00EE6BC9"/>
    <w:rsid w:val="00EF09B7"/>
    <w:rsid w:val="00EF44FD"/>
    <w:rsid w:val="00F0137F"/>
    <w:rsid w:val="00F120B8"/>
    <w:rsid w:val="00F13016"/>
    <w:rsid w:val="00F15127"/>
    <w:rsid w:val="00F177AC"/>
    <w:rsid w:val="00F254BF"/>
    <w:rsid w:val="00F27014"/>
    <w:rsid w:val="00F32A9F"/>
    <w:rsid w:val="00F37CF7"/>
    <w:rsid w:val="00F4667B"/>
    <w:rsid w:val="00F4784F"/>
    <w:rsid w:val="00F638DB"/>
    <w:rsid w:val="00F645D6"/>
    <w:rsid w:val="00F66769"/>
    <w:rsid w:val="00F67043"/>
    <w:rsid w:val="00F722FB"/>
    <w:rsid w:val="00F731AC"/>
    <w:rsid w:val="00F75901"/>
    <w:rsid w:val="00F759B1"/>
    <w:rsid w:val="00F808A8"/>
    <w:rsid w:val="00F8304F"/>
    <w:rsid w:val="00F84899"/>
    <w:rsid w:val="00F859F0"/>
    <w:rsid w:val="00F907E1"/>
    <w:rsid w:val="00F93B9C"/>
    <w:rsid w:val="00F95D8B"/>
    <w:rsid w:val="00F974F1"/>
    <w:rsid w:val="00F97AD2"/>
    <w:rsid w:val="00FA0D33"/>
    <w:rsid w:val="00FA4321"/>
    <w:rsid w:val="00FA5A5D"/>
    <w:rsid w:val="00FA739B"/>
    <w:rsid w:val="00FB149D"/>
    <w:rsid w:val="00FC3E8F"/>
    <w:rsid w:val="00FC4610"/>
    <w:rsid w:val="00FC5192"/>
    <w:rsid w:val="00FC542A"/>
    <w:rsid w:val="00FD5D18"/>
    <w:rsid w:val="00FD6B8F"/>
    <w:rsid w:val="00FE141E"/>
    <w:rsid w:val="00FE1508"/>
    <w:rsid w:val="00FF3B2F"/>
    <w:rsid w:val="0AD53C6D"/>
    <w:rsid w:val="0EB51640"/>
    <w:rsid w:val="68A4DED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uiPriority w:val="99"/>
    <w:unhideWhenUsed/>
    <w:qFormat/>
    <w:rsid w:val="007B0854"/>
    <w:rPr>
      <w:vertAlign w:val="superscript"/>
    </w:rPr>
  </w:style>
  <w:style w:type="paragraph" w:customStyle="1" w:styleId="margender0punto5">
    <w:name w:val="margen_der_0punto5"/>
    <w:basedOn w:val="Normal"/>
    <w:rsid w:val="002D231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2D2313"/>
  </w:style>
  <w:style w:type="paragraph" w:customStyle="1" w:styleId="Default">
    <w:name w:val="Default"/>
    <w:rsid w:val="00175A6E"/>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E92F0E"/>
    <w:rPr>
      <w:b/>
      <w:bCs/>
    </w:rPr>
  </w:style>
  <w:style w:type="character" w:styleId="nfasis">
    <w:name w:val="Emphasis"/>
    <w:basedOn w:val="Fuentedeprrafopredeter"/>
    <w:uiPriority w:val="20"/>
    <w:qFormat/>
    <w:rsid w:val="00E92F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21185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19996020">
      <w:bodyDiv w:val="1"/>
      <w:marLeft w:val="0"/>
      <w:marRight w:val="0"/>
      <w:marTop w:val="0"/>
      <w:marBottom w:val="0"/>
      <w:divBdr>
        <w:top w:val="none" w:sz="0" w:space="0" w:color="auto"/>
        <w:left w:val="none" w:sz="0" w:space="0" w:color="auto"/>
        <w:bottom w:val="none" w:sz="0" w:space="0" w:color="auto"/>
        <w:right w:val="none" w:sz="0" w:space="0" w:color="auto"/>
      </w:divBdr>
    </w:div>
    <w:div w:id="1189488260">
      <w:bodyDiv w:val="1"/>
      <w:marLeft w:val="0"/>
      <w:marRight w:val="0"/>
      <w:marTop w:val="0"/>
      <w:marBottom w:val="0"/>
      <w:divBdr>
        <w:top w:val="none" w:sz="0" w:space="0" w:color="auto"/>
        <w:left w:val="none" w:sz="0" w:space="0" w:color="auto"/>
        <w:bottom w:val="none" w:sz="0" w:space="0" w:color="auto"/>
        <w:right w:val="none" w:sz="0" w:space="0" w:color="auto"/>
      </w:divBdr>
    </w:div>
    <w:div w:id="1470243567">
      <w:bodyDiv w:val="1"/>
      <w:marLeft w:val="0"/>
      <w:marRight w:val="0"/>
      <w:marTop w:val="0"/>
      <w:marBottom w:val="0"/>
      <w:divBdr>
        <w:top w:val="none" w:sz="0" w:space="0" w:color="auto"/>
        <w:left w:val="none" w:sz="0" w:space="0" w:color="auto"/>
        <w:bottom w:val="none" w:sz="0" w:space="0" w:color="auto"/>
        <w:right w:val="none" w:sz="0" w:space="0" w:color="auto"/>
      </w:divBdr>
    </w:div>
    <w:div w:id="207350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4E3750F-FD6D-4D08-8E04-7124438C6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AC3621-E18B-4D1B-B6CE-CB5DAFB872E1}">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21</Pages>
  <Words>6717</Words>
  <Characters>36945</Characters>
  <Application>Microsoft Office Word</Application>
  <DocSecurity>0</DocSecurity>
  <Lines>307</Lines>
  <Paragraphs>87</Paragraphs>
  <ScaleCrop>false</ScaleCrop>
  <Company/>
  <LinksUpToDate>false</LinksUpToDate>
  <CharactersWithSpaces>43575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cp:revision>
  <dcterms:created xsi:type="dcterms:W3CDTF">2020-05-25T22:32:00Z</dcterms:created>
  <dcterms:modified xsi:type="dcterms:W3CDTF">2020-08-04T06:37:00Z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