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0A1E7" w14:textId="77777777" w:rsidR="002424C6" w:rsidRDefault="002424C6" w:rsidP="005D0EE5">
      <w:pPr>
        <w:spacing w:after="0"/>
        <w:rPr>
          <w:rFonts w:ascii="Century Gothic" w:eastAsia="Geomanist Light" w:hAnsi="Century Gothic" w:cs="Arial"/>
          <w:color w:val="000000" w:themeColor="text1"/>
          <w:lang w:val="es-MX"/>
        </w:rPr>
      </w:pPr>
      <w:bookmarkStart w:id="0" w:name="_Hlk94281581"/>
      <w:bookmarkStart w:id="1" w:name="_Hlk102489058"/>
      <w:bookmarkStart w:id="2" w:name="_Hlk34951122"/>
    </w:p>
    <w:p w14:paraId="0756C36D" w14:textId="4736E2D7" w:rsidR="002424C6" w:rsidRDefault="002424C6" w:rsidP="005D0EE5">
      <w:pPr>
        <w:spacing w:after="0"/>
        <w:rPr>
          <w:rFonts w:ascii="Arial" w:eastAsia="Calibri" w:hAnsi="Arial" w:cs="Arial"/>
          <w:b/>
          <w:lang w:val="es-MX" w:eastAsia="es-ES_tradnl"/>
        </w:rPr>
      </w:pPr>
      <w:r w:rsidRPr="002424C6">
        <w:rPr>
          <w:rFonts w:ascii="Arial" w:eastAsia="Calibri" w:hAnsi="Arial" w:cs="Arial"/>
          <w:b/>
          <w:lang w:val="es-MX" w:eastAsia="es-ES_tradnl"/>
        </w:rPr>
        <w:t xml:space="preserve">FACTORES DE </w:t>
      </w:r>
      <w:r w:rsidR="00F66085" w:rsidRPr="002424C6">
        <w:rPr>
          <w:rFonts w:ascii="Arial" w:eastAsia="Calibri" w:hAnsi="Arial" w:cs="Arial"/>
          <w:b/>
          <w:lang w:val="es-MX" w:eastAsia="es-ES_tradnl"/>
        </w:rPr>
        <w:t>DESEMPATE –</w:t>
      </w:r>
      <w:r w:rsidR="00F66085">
        <w:rPr>
          <w:rFonts w:ascii="Arial" w:eastAsia="Calibri" w:hAnsi="Arial" w:cs="Arial"/>
          <w:b/>
          <w:lang w:val="es-MX" w:eastAsia="es-ES_tradnl"/>
        </w:rPr>
        <w:t xml:space="preserve"> </w:t>
      </w:r>
      <w:r w:rsidRPr="002424C6">
        <w:rPr>
          <w:rFonts w:ascii="Arial" w:eastAsia="Calibri" w:hAnsi="Arial" w:cs="Arial"/>
          <w:b/>
          <w:lang w:val="es-MX" w:eastAsia="es-ES_tradnl"/>
        </w:rPr>
        <w:t>Características – Límites</w:t>
      </w:r>
    </w:p>
    <w:p w14:paraId="04693E49" w14:textId="77777777" w:rsidR="003F0F60" w:rsidRPr="002424C6" w:rsidRDefault="003F0F60" w:rsidP="005D0EE5">
      <w:pPr>
        <w:spacing w:after="0"/>
        <w:rPr>
          <w:rFonts w:ascii="Arial" w:eastAsia="Calibri" w:hAnsi="Arial" w:cs="Arial"/>
          <w:b/>
          <w:lang w:val="es-MX" w:eastAsia="es-ES_tradnl"/>
        </w:rPr>
      </w:pPr>
    </w:p>
    <w:p w14:paraId="079E13A3" w14:textId="77777777" w:rsidR="002424C6" w:rsidRPr="003F0F60" w:rsidRDefault="002424C6" w:rsidP="002424C6">
      <w:pPr>
        <w:spacing w:after="120" w:line="276" w:lineRule="auto"/>
        <w:jc w:val="both"/>
        <w:rPr>
          <w:rFonts w:ascii="Arial" w:eastAsia="Calibri" w:hAnsi="Arial" w:cs="Arial"/>
          <w:sz w:val="20"/>
          <w:szCs w:val="20"/>
          <w:lang w:val="es-ES_tradnl" w:eastAsia="es-ES_tradnl"/>
        </w:rPr>
      </w:pPr>
      <w:r w:rsidRPr="003F0F60">
        <w:rPr>
          <w:rFonts w:ascii="Arial" w:eastAsia="Calibri" w:hAnsi="Arial" w:cs="Arial"/>
          <w:sz w:val="20"/>
          <w:szCs w:val="20"/>
          <w:lang w:val="es-ES_tradnl" w:eastAsia="es-ES_tradnl"/>
        </w:rPr>
        <w:t>Dado que la selección objetiva es uno de los principios medulares de la contratación estatal, la escogencia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habilitación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36A2C5C8" w14:textId="77777777" w:rsidR="002424C6" w:rsidRPr="002424C6" w:rsidRDefault="002424C6" w:rsidP="002424C6">
      <w:pPr>
        <w:spacing w:after="120" w:line="276" w:lineRule="auto"/>
        <w:jc w:val="both"/>
        <w:rPr>
          <w:rFonts w:ascii="Arial" w:eastAsia="Calibri" w:hAnsi="Arial" w:cs="Arial"/>
          <w:lang w:val="es-ES_tradnl" w:eastAsia="es-ES_tradnl"/>
        </w:rPr>
      </w:pPr>
    </w:p>
    <w:p w14:paraId="1227A928" w14:textId="7182C073" w:rsidR="002424C6" w:rsidRPr="00F66085" w:rsidRDefault="002424C6" w:rsidP="005D0EE5">
      <w:pPr>
        <w:spacing w:after="0"/>
        <w:rPr>
          <w:rFonts w:ascii="Arial" w:eastAsia="Geomanist Light" w:hAnsi="Arial" w:cs="Arial"/>
          <w:b/>
          <w:color w:val="000000" w:themeColor="text1"/>
          <w:lang w:val="es-ES_tradnl"/>
        </w:rPr>
      </w:pPr>
      <w:r w:rsidRPr="00F66085">
        <w:rPr>
          <w:rFonts w:ascii="Arial" w:eastAsia="Calibri" w:hAnsi="Arial" w:cs="Arial"/>
          <w:b/>
          <w:lang w:val="es-MX" w:eastAsia="es-ES_tradnl"/>
        </w:rPr>
        <w:t xml:space="preserve">LEY DE </w:t>
      </w:r>
      <w:r w:rsidR="00F66085" w:rsidRPr="00F66085">
        <w:rPr>
          <w:rFonts w:ascii="Arial" w:eastAsia="Calibri" w:hAnsi="Arial" w:cs="Arial"/>
          <w:b/>
          <w:lang w:val="es-MX" w:eastAsia="es-ES_tradnl"/>
        </w:rPr>
        <w:t>EMPRENDIMIENTO – Ley 2069 de 2020 – Reglamentación – Decreto 1860 de 2021 – Vigencia</w:t>
      </w:r>
    </w:p>
    <w:p w14:paraId="0FD1EA97" w14:textId="77777777" w:rsidR="002424C6" w:rsidRPr="002424C6" w:rsidRDefault="002424C6" w:rsidP="002424C6">
      <w:pPr>
        <w:tabs>
          <w:tab w:val="left" w:pos="1795"/>
        </w:tabs>
        <w:spacing w:after="0" w:line="240" w:lineRule="auto"/>
        <w:contextualSpacing/>
        <w:jc w:val="both"/>
        <w:rPr>
          <w:rFonts w:ascii="Arial" w:eastAsia="Geomanist Light" w:hAnsi="Arial" w:cs="Arial"/>
          <w:color w:val="000000" w:themeColor="text1"/>
          <w:lang w:val="es-MX"/>
        </w:rPr>
      </w:pPr>
    </w:p>
    <w:p w14:paraId="58CCE3ED" w14:textId="3BCBADA8" w:rsidR="002424C6" w:rsidRPr="003F0F60" w:rsidRDefault="002424C6" w:rsidP="002424C6">
      <w:pPr>
        <w:tabs>
          <w:tab w:val="left" w:pos="1795"/>
        </w:tabs>
        <w:spacing w:after="0" w:line="240" w:lineRule="auto"/>
        <w:contextualSpacing/>
        <w:jc w:val="both"/>
        <w:rPr>
          <w:rFonts w:ascii="Arial" w:eastAsia="Calibri" w:hAnsi="Arial" w:cs="Arial"/>
          <w:sz w:val="20"/>
          <w:szCs w:val="20"/>
          <w:lang w:val="es-ES_tradnl"/>
        </w:rPr>
      </w:pPr>
      <w:r w:rsidRPr="003F0F60">
        <w:rPr>
          <w:rFonts w:ascii="Arial" w:eastAsia="Calibri" w:hAnsi="Arial" w:cs="Arial"/>
          <w:sz w:val="20"/>
          <w:szCs w:val="20"/>
          <w:lang w:val="es-ES_tradnl"/>
        </w:rPr>
        <w:t xml:space="preserve">El artículo 34 de la Ley 2069 de 2020 establece nuevas reglas sobre la promoción al desarrollo en la contratación estatal. Concretamente, la citada disposición modifica el contenido del artículo 12 de la Ley 1150 de 2007. </w:t>
      </w:r>
    </w:p>
    <w:p w14:paraId="4750EA24" w14:textId="77777777" w:rsidR="002424C6" w:rsidRPr="003F0F60" w:rsidRDefault="002424C6" w:rsidP="002424C6">
      <w:pPr>
        <w:spacing w:after="0" w:line="240" w:lineRule="auto"/>
        <w:contextualSpacing/>
        <w:jc w:val="both"/>
        <w:rPr>
          <w:rFonts w:ascii="Arial" w:eastAsia="Calibri" w:hAnsi="Arial" w:cs="Arial"/>
          <w:sz w:val="20"/>
          <w:szCs w:val="20"/>
          <w:lang w:val="es-ES_tradnl"/>
        </w:rPr>
      </w:pPr>
    </w:p>
    <w:p w14:paraId="06334844" w14:textId="77777777" w:rsidR="002424C6" w:rsidRPr="003F0F60" w:rsidRDefault="002424C6" w:rsidP="002424C6">
      <w:pPr>
        <w:spacing w:after="0" w:line="240" w:lineRule="auto"/>
        <w:contextualSpacing/>
        <w:jc w:val="both"/>
        <w:rPr>
          <w:rFonts w:ascii="Arial" w:eastAsia="Calibri" w:hAnsi="Arial" w:cs="Arial"/>
          <w:sz w:val="20"/>
          <w:szCs w:val="20"/>
          <w:lang w:val="es-ES_tradnl"/>
        </w:rPr>
      </w:pPr>
      <w:r w:rsidRPr="003F0F60">
        <w:rPr>
          <w:rFonts w:ascii="Arial" w:eastAsia="Calibri" w:hAnsi="Arial" w:cs="Arial"/>
          <w:sz w:val="20"/>
          <w:szCs w:val="20"/>
          <w:lang w:val="es-ES_tradnl"/>
        </w:rPr>
        <w:t>[…] con la expedición del Decreto 1860 de 24 de diciembre de 2021, reglamento que modificó, entre otros aspectos, la Subsección 5 de la Sección 1 del Capítulo 2 del Título 1 de la Parte 2 del Libro 2 y los artículos 2.2.1.2.4.2.2. y 2.2.1.2.4.2.3. y siguientes del Decreto 1082 de 2015, Único Reglamentario del Sector Administrativo de Planeación Nacional. Estas modificaciones entraron a regir el 24 de marzo de 2022, pues el artículo 8 de la nueva norma reglamentaria sometió la vigencia de los cambios al transcurso del periodo de tres (3) meses siguientes a la expedición del decreto.</w:t>
      </w:r>
    </w:p>
    <w:p w14:paraId="45E3AF21" w14:textId="77777777" w:rsidR="002424C6" w:rsidRDefault="002424C6" w:rsidP="005D0EE5">
      <w:pPr>
        <w:spacing w:after="0"/>
        <w:rPr>
          <w:rFonts w:ascii="Century Gothic" w:eastAsia="Geomanist Light" w:hAnsi="Century Gothic" w:cs="Arial"/>
          <w:color w:val="000000" w:themeColor="text1"/>
          <w:lang w:val="es-ES_tradnl"/>
        </w:rPr>
      </w:pPr>
    </w:p>
    <w:p w14:paraId="1DFD25BE" w14:textId="77777777" w:rsidR="00F66085" w:rsidRDefault="00F66085" w:rsidP="005D0EE5">
      <w:pPr>
        <w:spacing w:after="0"/>
        <w:rPr>
          <w:rFonts w:ascii="Century Gothic" w:eastAsia="Geomanist Light" w:hAnsi="Century Gothic" w:cs="Arial"/>
          <w:color w:val="000000" w:themeColor="text1"/>
          <w:lang w:val="es-ES_tradnl"/>
        </w:rPr>
      </w:pPr>
    </w:p>
    <w:p w14:paraId="47412BC8" w14:textId="0A89E62A" w:rsidR="00F66085" w:rsidRPr="003F0F60" w:rsidRDefault="00F66085" w:rsidP="00F66085">
      <w:pPr>
        <w:spacing w:after="120"/>
        <w:contextualSpacing/>
        <w:jc w:val="both"/>
        <w:rPr>
          <w:rFonts w:ascii="Arial" w:eastAsia="Calibri" w:hAnsi="Arial" w:cs="Arial"/>
          <w:b/>
          <w:lang w:val="es-MX" w:eastAsia="es-ES_tradnl"/>
        </w:rPr>
      </w:pPr>
      <w:r w:rsidRPr="003F0F60">
        <w:rPr>
          <w:rFonts w:ascii="Arial" w:eastAsia="Calibri" w:hAnsi="Arial" w:cs="Arial"/>
          <w:b/>
          <w:lang w:val="es-MX" w:eastAsia="es-ES_tradnl"/>
        </w:rPr>
        <w:t>FACTORES DE DESEMPATE – Ley 2069 de 2020 – Numeral 4 – Decreto 1680 de 2021– Mayor proporción</w:t>
      </w:r>
    </w:p>
    <w:p w14:paraId="25A69003" w14:textId="2A39625D" w:rsidR="00F66085" w:rsidRDefault="00F66085" w:rsidP="005D0EE5">
      <w:pPr>
        <w:spacing w:after="0"/>
        <w:rPr>
          <w:rFonts w:ascii="Century Gothic" w:eastAsia="Geomanist Light" w:hAnsi="Century Gothic" w:cs="Arial"/>
          <w:b/>
          <w:color w:val="000000" w:themeColor="text1"/>
          <w:lang w:val="es-MX"/>
        </w:rPr>
      </w:pPr>
    </w:p>
    <w:p w14:paraId="69A4FD94" w14:textId="3C86CFFB" w:rsidR="00F66085" w:rsidRPr="003F0F60" w:rsidRDefault="00F66085" w:rsidP="00F66085">
      <w:pPr>
        <w:tabs>
          <w:tab w:val="left" w:pos="6551"/>
        </w:tabs>
        <w:spacing w:after="120" w:line="276" w:lineRule="auto"/>
        <w:rPr>
          <w:rFonts w:ascii="Arial" w:eastAsia="Calibri" w:hAnsi="Arial" w:cs="Arial"/>
          <w:color w:val="000000"/>
          <w:sz w:val="20"/>
          <w:szCs w:val="20"/>
          <w:lang w:val="es-ES_tradnl" w:eastAsia="es-ES_tradnl"/>
        </w:rPr>
      </w:pPr>
      <w:r w:rsidRPr="003F0F60">
        <w:rPr>
          <w:rFonts w:ascii="Arial" w:eastAsia="Calibri" w:hAnsi="Arial" w:cs="Arial"/>
          <w:bCs/>
          <w:sz w:val="20"/>
          <w:szCs w:val="20"/>
          <w:lang w:val="es-ES_tradnl" w:eastAsia="es-ES_tradnl"/>
        </w:rPr>
        <w:t xml:space="preserve">Con respecto al numeral 4 del artículo </w:t>
      </w:r>
      <w:r w:rsidRPr="003F0F60">
        <w:rPr>
          <w:rFonts w:ascii="Arial" w:eastAsia="Calibri" w:hAnsi="Arial" w:cs="Arial"/>
          <w:color w:val="000000"/>
          <w:sz w:val="20"/>
          <w:szCs w:val="20"/>
          <w:lang w:val="es-ES_tradnl" w:eastAsia="es-ES_tradnl"/>
        </w:rPr>
        <w:t>2.2.1.2.4.2.17 del Decreto 1082 de 2015, adicionado por el</w:t>
      </w:r>
      <w:r w:rsidRPr="003F0F60">
        <w:rPr>
          <w:rFonts w:ascii="Arial" w:eastAsia="Calibri" w:hAnsi="Arial" w:cs="Arial"/>
          <w:bCs/>
          <w:color w:val="000000"/>
          <w:sz w:val="20"/>
          <w:szCs w:val="20"/>
          <w:lang w:val="es-ES_tradnl" w:eastAsia="es-ES_tradnl"/>
        </w:rPr>
        <w:t xml:space="preserve"> artículo 3 del Decreto 1860 de 2021 y </w:t>
      </w:r>
      <w:r w:rsidRPr="003F0F60">
        <w:rPr>
          <w:rFonts w:ascii="Arial" w:eastAsia="Calibri" w:hAnsi="Arial" w:cs="Arial"/>
          <w:color w:val="000000"/>
          <w:sz w:val="20"/>
          <w:szCs w:val="20"/>
          <w:lang w:val="es-ES_tradnl" w:eastAsia="es-ES_tradnl"/>
        </w:rPr>
        <w:t xml:space="preserve">que reglamenta el numeral 4 </w:t>
      </w:r>
      <w:r w:rsidRPr="003F0F60">
        <w:rPr>
          <w:rFonts w:ascii="Arial" w:eastAsia="Calibri" w:hAnsi="Arial" w:cs="Arial"/>
          <w:bCs/>
          <w:sz w:val="20"/>
          <w:szCs w:val="20"/>
          <w:lang w:val="es-ES_tradnl" w:eastAsia="es-ES_tradnl"/>
        </w:rPr>
        <w:t>del artículo 35 de la Ley 2069 de 2020, se</w:t>
      </w:r>
      <w:r w:rsidRPr="003F0F60">
        <w:rPr>
          <w:rFonts w:ascii="Arial" w:eastAsia="Calibri" w:hAnsi="Arial" w:cs="Arial"/>
          <w:bCs/>
          <w:color w:val="000000"/>
          <w:sz w:val="20"/>
          <w:szCs w:val="20"/>
          <w:lang w:val="es-ES_tradnl" w:eastAsia="es-ES_tradnl"/>
        </w:rPr>
        <w:t xml:space="preserve"> señalarán las consideraciones que esta Agencia expresó en su momento sobre la acreditación de este factor de desempate previo a la expedición del Decreto 1860 de 2021 para después indicar cuál es el alcance que la norma reglamentaria brinda al referido factor de desempate.</w:t>
      </w:r>
    </w:p>
    <w:p w14:paraId="79A0F7A5" w14:textId="77777777" w:rsidR="00F66085" w:rsidRPr="003F0F60" w:rsidRDefault="00F66085" w:rsidP="00F66085">
      <w:pPr>
        <w:tabs>
          <w:tab w:val="left" w:pos="6551"/>
        </w:tabs>
        <w:spacing w:after="120" w:line="276" w:lineRule="auto"/>
        <w:rPr>
          <w:rFonts w:ascii="Arial" w:eastAsia="Calibri" w:hAnsi="Arial" w:cs="Arial"/>
          <w:color w:val="000000"/>
          <w:sz w:val="20"/>
          <w:szCs w:val="20"/>
          <w:lang w:val="es-ES_tradnl" w:eastAsia="es-ES_tradnl"/>
        </w:rPr>
      </w:pPr>
      <w:r w:rsidRPr="003F0F60">
        <w:rPr>
          <w:rFonts w:ascii="Arial" w:eastAsia="Calibri" w:hAnsi="Arial" w:cs="Arial"/>
          <w:color w:val="000000"/>
          <w:sz w:val="20"/>
          <w:szCs w:val="20"/>
          <w:lang w:val="es-ES_tradnl" w:eastAsia="es-ES_tradnl"/>
        </w:rPr>
        <w:t xml:space="preserve">En relación con lo previsto en el numeral citado,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w:t>
      </w:r>
      <w:r w:rsidRPr="003F0F60">
        <w:rPr>
          <w:rFonts w:ascii="Arial" w:eastAsia="Calibri" w:hAnsi="Arial" w:cs="Arial"/>
          <w:color w:val="000000"/>
          <w:sz w:val="20"/>
          <w:szCs w:val="20"/>
          <w:lang w:val="es-ES_tradnl" w:eastAsia="es-ES_tradnl"/>
        </w:rPr>
        <w:lastRenderedPageBreak/>
        <w:t>los adultos mayores”– como “[…] aquella persona que cuenta con sesenta (60) años de edad o más”, lo cual puede acreditarse con el documento de identidad correspondiente. En todo caso, también se señaló que existe la posibilidad de entender que esta causal aplica a todas las personas que –en el rango de edad correspondiente a cada sexo– no han alcanzado la pensión, interpretación que está más ajustada al principio de favorabilidad y que, como se expresará, se acogió en la reglamentación realizada por el Decreto 1860 de 2021.</w:t>
      </w:r>
    </w:p>
    <w:p w14:paraId="7DA97972" w14:textId="77777777" w:rsidR="00F66085" w:rsidRPr="00F66085" w:rsidRDefault="00F66085" w:rsidP="005D0EE5">
      <w:pPr>
        <w:spacing w:after="0"/>
        <w:rPr>
          <w:rFonts w:ascii="Century Gothic" w:eastAsia="Geomanist Light" w:hAnsi="Century Gothic" w:cs="Arial"/>
          <w:b/>
          <w:color w:val="000000" w:themeColor="text1"/>
          <w:lang w:val="es-ES_tradnl"/>
        </w:rPr>
      </w:pPr>
    </w:p>
    <w:p w14:paraId="1CC867AF" w14:textId="77777777" w:rsidR="002424C6" w:rsidRDefault="002424C6" w:rsidP="005D0EE5">
      <w:pPr>
        <w:spacing w:after="0"/>
        <w:rPr>
          <w:rFonts w:ascii="Century Gothic" w:eastAsia="Geomanist Light" w:hAnsi="Century Gothic" w:cs="Arial"/>
          <w:color w:val="000000" w:themeColor="text1"/>
          <w:lang w:val="es-MX"/>
        </w:rPr>
      </w:pPr>
    </w:p>
    <w:p w14:paraId="26741482" w14:textId="77777777" w:rsidR="002424C6" w:rsidRPr="00F66085" w:rsidRDefault="002424C6" w:rsidP="005D0EE5">
      <w:pPr>
        <w:spacing w:after="0"/>
        <w:rPr>
          <w:rFonts w:ascii="Century Gothic" w:eastAsia="Geomanist Light" w:hAnsi="Century Gothic" w:cs="Arial"/>
          <w:color w:val="000000" w:themeColor="text1"/>
          <w:lang w:val="es-ES_tradnl"/>
        </w:rPr>
      </w:pPr>
    </w:p>
    <w:p w14:paraId="0F15383A" w14:textId="77777777" w:rsidR="002424C6" w:rsidRDefault="002424C6" w:rsidP="005D0EE5">
      <w:pPr>
        <w:spacing w:after="0"/>
        <w:rPr>
          <w:rFonts w:ascii="Century Gothic" w:eastAsia="Geomanist Light" w:hAnsi="Century Gothic" w:cs="Arial"/>
          <w:color w:val="000000" w:themeColor="text1"/>
          <w:lang w:val="es-MX"/>
        </w:rPr>
      </w:pPr>
    </w:p>
    <w:p w14:paraId="68F0F655" w14:textId="77777777" w:rsidR="002424C6" w:rsidRDefault="002424C6" w:rsidP="005D0EE5">
      <w:pPr>
        <w:spacing w:after="0"/>
        <w:rPr>
          <w:rFonts w:ascii="Century Gothic" w:eastAsia="Geomanist Light" w:hAnsi="Century Gothic" w:cs="Arial"/>
          <w:color w:val="000000" w:themeColor="text1"/>
          <w:lang w:val="es-MX"/>
        </w:rPr>
      </w:pPr>
    </w:p>
    <w:p w14:paraId="15759DC9" w14:textId="77777777" w:rsidR="002424C6" w:rsidRDefault="002424C6" w:rsidP="005D0EE5">
      <w:pPr>
        <w:spacing w:after="0"/>
        <w:rPr>
          <w:rFonts w:ascii="Century Gothic" w:eastAsia="Geomanist Light" w:hAnsi="Century Gothic" w:cs="Arial"/>
          <w:color w:val="000000" w:themeColor="text1"/>
          <w:lang w:val="es-MX"/>
        </w:rPr>
      </w:pPr>
    </w:p>
    <w:p w14:paraId="2688A3E5" w14:textId="77777777" w:rsidR="002424C6" w:rsidRDefault="002424C6" w:rsidP="005D0EE5">
      <w:pPr>
        <w:spacing w:after="0"/>
        <w:rPr>
          <w:rFonts w:ascii="Century Gothic" w:eastAsia="Geomanist Light" w:hAnsi="Century Gothic" w:cs="Arial"/>
          <w:color w:val="000000" w:themeColor="text1"/>
          <w:lang w:val="es-MX"/>
        </w:rPr>
      </w:pPr>
    </w:p>
    <w:p w14:paraId="39A7A4C9" w14:textId="77777777" w:rsidR="002424C6" w:rsidRDefault="002424C6" w:rsidP="005D0EE5">
      <w:pPr>
        <w:spacing w:after="0"/>
        <w:rPr>
          <w:rFonts w:ascii="Century Gothic" w:eastAsia="Geomanist Light" w:hAnsi="Century Gothic" w:cs="Arial"/>
          <w:color w:val="000000" w:themeColor="text1"/>
          <w:lang w:val="es-MX"/>
        </w:rPr>
      </w:pPr>
    </w:p>
    <w:p w14:paraId="40225C06" w14:textId="77777777" w:rsidR="002424C6" w:rsidRDefault="002424C6" w:rsidP="005D0EE5">
      <w:pPr>
        <w:spacing w:after="0"/>
        <w:rPr>
          <w:rFonts w:ascii="Century Gothic" w:eastAsia="Geomanist Light" w:hAnsi="Century Gothic" w:cs="Arial"/>
          <w:color w:val="000000" w:themeColor="text1"/>
          <w:lang w:val="es-MX"/>
        </w:rPr>
      </w:pPr>
    </w:p>
    <w:p w14:paraId="56AC0AE7" w14:textId="77777777" w:rsidR="002424C6" w:rsidRDefault="002424C6" w:rsidP="005D0EE5">
      <w:pPr>
        <w:spacing w:after="0"/>
        <w:rPr>
          <w:rFonts w:ascii="Century Gothic" w:eastAsia="Geomanist Light" w:hAnsi="Century Gothic" w:cs="Arial"/>
          <w:color w:val="000000" w:themeColor="text1"/>
          <w:lang w:val="es-MX"/>
        </w:rPr>
      </w:pPr>
    </w:p>
    <w:p w14:paraId="0C9C4F38" w14:textId="77777777" w:rsidR="002424C6" w:rsidRDefault="002424C6" w:rsidP="005D0EE5">
      <w:pPr>
        <w:spacing w:after="0"/>
        <w:rPr>
          <w:rFonts w:ascii="Century Gothic" w:eastAsia="Geomanist Light" w:hAnsi="Century Gothic" w:cs="Arial"/>
          <w:color w:val="000000" w:themeColor="text1"/>
          <w:lang w:val="es-MX"/>
        </w:rPr>
      </w:pPr>
    </w:p>
    <w:p w14:paraId="54ADE508" w14:textId="77777777" w:rsidR="002424C6" w:rsidRDefault="002424C6" w:rsidP="005D0EE5">
      <w:pPr>
        <w:spacing w:after="0"/>
        <w:rPr>
          <w:rFonts w:ascii="Century Gothic" w:eastAsia="Geomanist Light" w:hAnsi="Century Gothic" w:cs="Arial"/>
          <w:color w:val="000000" w:themeColor="text1"/>
          <w:lang w:val="es-MX"/>
        </w:rPr>
      </w:pPr>
    </w:p>
    <w:p w14:paraId="42688EBC" w14:textId="77777777" w:rsidR="002424C6" w:rsidRDefault="002424C6" w:rsidP="005D0EE5">
      <w:pPr>
        <w:spacing w:after="0"/>
        <w:rPr>
          <w:rFonts w:ascii="Century Gothic" w:eastAsia="Geomanist Light" w:hAnsi="Century Gothic" w:cs="Arial"/>
          <w:color w:val="000000" w:themeColor="text1"/>
          <w:lang w:val="es-MX"/>
        </w:rPr>
      </w:pPr>
    </w:p>
    <w:p w14:paraId="56CD9C42" w14:textId="77777777" w:rsidR="002424C6" w:rsidRDefault="002424C6" w:rsidP="005D0EE5">
      <w:pPr>
        <w:spacing w:after="0"/>
        <w:rPr>
          <w:rFonts w:ascii="Century Gothic" w:eastAsia="Geomanist Light" w:hAnsi="Century Gothic" w:cs="Arial"/>
          <w:color w:val="000000" w:themeColor="text1"/>
          <w:lang w:val="es-MX"/>
        </w:rPr>
      </w:pPr>
    </w:p>
    <w:p w14:paraId="36F7A8B6" w14:textId="77777777" w:rsidR="002424C6" w:rsidRDefault="002424C6" w:rsidP="005D0EE5">
      <w:pPr>
        <w:spacing w:after="0"/>
        <w:rPr>
          <w:rFonts w:ascii="Century Gothic" w:eastAsia="Geomanist Light" w:hAnsi="Century Gothic" w:cs="Arial"/>
          <w:color w:val="000000" w:themeColor="text1"/>
          <w:lang w:val="es-MX"/>
        </w:rPr>
      </w:pPr>
    </w:p>
    <w:p w14:paraId="422212F9" w14:textId="77777777" w:rsidR="002424C6" w:rsidRDefault="002424C6" w:rsidP="005D0EE5">
      <w:pPr>
        <w:spacing w:after="0"/>
        <w:rPr>
          <w:rFonts w:ascii="Century Gothic" w:eastAsia="Geomanist Light" w:hAnsi="Century Gothic" w:cs="Arial"/>
          <w:color w:val="000000" w:themeColor="text1"/>
          <w:lang w:val="es-MX"/>
        </w:rPr>
      </w:pPr>
    </w:p>
    <w:p w14:paraId="70809A50" w14:textId="77777777" w:rsidR="002424C6" w:rsidRDefault="002424C6" w:rsidP="005D0EE5">
      <w:pPr>
        <w:spacing w:after="0"/>
        <w:rPr>
          <w:rFonts w:ascii="Century Gothic" w:eastAsia="Geomanist Light" w:hAnsi="Century Gothic" w:cs="Arial"/>
          <w:color w:val="000000" w:themeColor="text1"/>
          <w:lang w:val="es-MX"/>
        </w:rPr>
      </w:pPr>
    </w:p>
    <w:p w14:paraId="54839F89" w14:textId="77777777" w:rsidR="002424C6" w:rsidRDefault="002424C6" w:rsidP="005D0EE5">
      <w:pPr>
        <w:spacing w:after="0"/>
        <w:rPr>
          <w:rFonts w:ascii="Century Gothic" w:eastAsia="Geomanist Light" w:hAnsi="Century Gothic" w:cs="Arial"/>
          <w:color w:val="000000" w:themeColor="text1"/>
          <w:lang w:val="es-MX"/>
        </w:rPr>
      </w:pPr>
    </w:p>
    <w:p w14:paraId="168D0202" w14:textId="77777777" w:rsidR="002424C6" w:rsidRDefault="002424C6" w:rsidP="005D0EE5">
      <w:pPr>
        <w:spacing w:after="0"/>
        <w:rPr>
          <w:rFonts w:ascii="Century Gothic" w:eastAsia="Geomanist Light" w:hAnsi="Century Gothic" w:cs="Arial"/>
          <w:color w:val="000000" w:themeColor="text1"/>
          <w:lang w:val="es-MX"/>
        </w:rPr>
      </w:pPr>
    </w:p>
    <w:p w14:paraId="28DBDBA0" w14:textId="77777777" w:rsidR="002424C6" w:rsidRDefault="002424C6" w:rsidP="005D0EE5">
      <w:pPr>
        <w:spacing w:after="0"/>
        <w:rPr>
          <w:rFonts w:ascii="Century Gothic" w:eastAsia="Geomanist Light" w:hAnsi="Century Gothic" w:cs="Arial"/>
          <w:color w:val="000000" w:themeColor="text1"/>
          <w:lang w:val="es-MX"/>
        </w:rPr>
      </w:pPr>
    </w:p>
    <w:p w14:paraId="3843DA23" w14:textId="77777777" w:rsidR="002424C6" w:rsidRDefault="002424C6" w:rsidP="005D0EE5">
      <w:pPr>
        <w:spacing w:after="0"/>
        <w:rPr>
          <w:rFonts w:ascii="Century Gothic" w:eastAsia="Geomanist Light" w:hAnsi="Century Gothic" w:cs="Arial"/>
          <w:color w:val="000000" w:themeColor="text1"/>
          <w:lang w:val="es-MX"/>
        </w:rPr>
      </w:pPr>
    </w:p>
    <w:p w14:paraId="0AF02199" w14:textId="77777777" w:rsidR="002424C6" w:rsidRDefault="002424C6" w:rsidP="005D0EE5">
      <w:pPr>
        <w:spacing w:after="0"/>
        <w:rPr>
          <w:rFonts w:ascii="Century Gothic" w:eastAsia="Geomanist Light" w:hAnsi="Century Gothic" w:cs="Arial"/>
          <w:color w:val="000000" w:themeColor="text1"/>
          <w:lang w:val="es-MX"/>
        </w:rPr>
      </w:pPr>
    </w:p>
    <w:p w14:paraId="40404670" w14:textId="77777777" w:rsidR="002424C6" w:rsidRDefault="002424C6" w:rsidP="005D0EE5">
      <w:pPr>
        <w:spacing w:after="0"/>
        <w:rPr>
          <w:rFonts w:ascii="Century Gothic" w:eastAsia="Geomanist Light" w:hAnsi="Century Gothic" w:cs="Arial"/>
          <w:color w:val="000000" w:themeColor="text1"/>
          <w:lang w:val="es-MX"/>
        </w:rPr>
      </w:pPr>
    </w:p>
    <w:p w14:paraId="7BD6740C" w14:textId="77777777" w:rsidR="002424C6" w:rsidRDefault="002424C6" w:rsidP="005D0EE5">
      <w:pPr>
        <w:spacing w:after="0"/>
        <w:rPr>
          <w:rFonts w:ascii="Century Gothic" w:eastAsia="Geomanist Light" w:hAnsi="Century Gothic" w:cs="Arial"/>
          <w:color w:val="000000" w:themeColor="text1"/>
          <w:lang w:val="es-MX"/>
        </w:rPr>
      </w:pPr>
    </w:p>
    <w:p w14:paraId="62EF6FF3" w14:textId="77777777" w:rsidR="003F0F60" w:rsidRDefault="003F0F60" w:rsidP="005D0EE5">
      <w:pPr>
        <w:spacing w:after="0"/>
        <w:rPr>
          <w:rFonts w:ascii="Century Gothic" w:eastAsia="Geomanist Light" w:hAnsi="Century Gothic" w:cs="Arial"/>
          <w:color w:val="000000" w:themeColor="text1"/>
          <w:lang w:val="es-MX"/>
        </w:rPr>
      </w:pPr>
    </w:p>
    <w:p w14:paraId="1378639D" w14:textId="77777777" w:rsidR="003F0F60" w:rsidRDefault="003F0F60" w:rsidP="005D0EE5">
      <w:pPr>
        <w:spacing w:after="0"/>
        <w:rPr>
          <w:rFonts w:ascii="Century Gothic" w:eastAsia="Geomanist Light" w:hAnsi="Century Gothic" w:cs="Arial"/>
          <w:color w:val="000000" w:themeColor="text1"/>
          <w:lang w:val="es-MX"/>
        </w:rPr>
      </w:pPr>
    </w:p>
    <w:p w14:paraId="5E546DD7" w14:textId="77777777" w:rsidR="003F0F60" w:rsidRDefault="003F0F60" w:rsidP="005D0EE5">
      <w:pPr>
        <w:spacing w:after="0"/>
        <w:rPr>
          <w:rFonts w:ascii="Century Gothic" w:eastAsia="Geomanist Light" w:hAnsi="Century Gothic" w:cs="Arial"/>
          <w:color w:val="000000" w:themeColor="text1"/>
          <w:lang w:val="es-MX"/>
        </w:rPr>
      </w:pPr>
    </w:p>
    <w:p w14:paraId="6462A5DE" w14:textId="77777777" w:rsidR="003F0F60" w:rsidRDefault="003F0F60" w:rsidP="005D0EE5">
      <w:pPr>
        <w:spacing w:after="0"/>
        <w:rPr>
          <w:rFonts w:ascii="Century Gothic" w:eastAsia="Geomanist Light" w:hAnsi="Century Gothic" w:cs="Arial"/>
          <w:color w:val="000000" w:themeColor="text1"/>
          <w:lang w:val="es-MX"/>
        </w:rPr>
      </w:pPr>
    </w:p>
    <w:p w14:paraId="15288E1C" w14:textId="77777777" w:rsidR="003F0F60" w:rsidRDefault="003F0F60" w:rsidP="005D0EE5">
      <w:pPr>
        <w:spacing w:after="0"/>
        <w:rPr>
          <w:rFonts w:ascii="Century Gothic" w:eastAsia="Geomanist Light" w:hAnsi="Century Gothic" w:cs="Arial"/>
          <w:color w:val="000000" w:themeColor="text1"/>
          <w:lang w:val="es-MX"/>
        </w:rPr>
      </w:pPr>
    </w:p>
    <w:p w14:paraId="7247BD39" w14:textId="77777777" w:rsidR="003F0F60" w:rsidRDefault="003F0F60" w:rsidP="005D0EE5">
      <w:pPr>
        <w:spacing w:after="0"/>
        <w:rPr>
          <w:rFonts w:ascii="Century Gothic" w:eastAsia="Geomanist Light" w:hAnsi="Century Gothic" w:cs="Arial"/>
          <w:color w:val="000000" w:themeColor="text1"/>
          <w:lang w:val="es-MX"/>
        </w:rPr>
      </w:pPr>
    </w:p>
    <w:p w14:paraId="57A06BDF" w14:textId="77777777" w:rsidR="003F0F60" w:rsidRDefault="003F0F60" w:rsidP="005D0EE5">
      <w:pPr>
        <w:spacing w:after="0"/>
        <w:rPr>
          <w:rFonts w:ascii="Century Gothic" w:eastAsia="Geomanist Light" w:hAnsi="Century Gothic" w:cs="Arial"/>
          <w:color w:val="000000" w:themeColor="text1"/>
          <w:lang w:val="es-MX"/>
        </w:rPr>
      </w:pPr>
    </w:p>
    <w:p w14:paraId="3B9EE3C5" w14:textId="77777777" w:rsidR="002424C6" w:rsidRDefault="002424C6" w:rsidP="005D0EE5">
      <w:pPr>
        <w:spacing w:after="0"/>
        <w:rPr>
          <w:rFonts w:ascii="Century Gothic" w:eastAsia="Geomanist Light" w:hAnsi="Century Gothic" w:cs="Arial"/>
          <w:color w:val="000000" w:themeColor="text1"/>
          <w:lang w:val="es-MX"/>
        </w:rPr>
      </w:pPr>
    </w:p>
    <w:p w14:paraId="3B6882AE" w14:textId="77777777" w:rsidR="002424C6" w:rsidRDefault="002424C6" w:rsidP="005D0EE5">
      <w:pPr>
        <w:spacing w:after="0"/>
        <w:rPr>
          <w:rFonts w:ascii="Century Gothic" w:eastAsia="Geomanist Light" w:hAnsi="Century Gothic" w:cs="Arial"/>
          <w:color w:val="000000" w:themeColor="text1"/>
          <w:lang w:val="es-MX"/>
        </w:rPr>
      </w:pPr>
    </w:p>
    <w:p w14:paraId="2F0E64BE" w14:textId="77777777" w:rsidR="002424C6" w:rsidRDefault="002424C6" w:rsidP="005D0EE5">
      <w:pPr>
        <w:spacing w:after="0"/>
        <w:rPr>
          <w:rFonts w:ascii="Century Gothic" w:eastAsia="Geomanist Light" w:hAnsi="Century Gothic" w:cs="Arial"/>
          <w:color w:val="000000" w:themeColor="text1"/>
          <w:lang w:val="es-MX"/>
        </w:rPr>
      </w:pPr>
    </w:p>
    <w:p w14:paraId="7D6F8F02" w14:textId="65D9FD8F" w:rsidR="005D0EE5" w:rsidRDefault="005D0EE5" w:rsidP="005D0EE5">
      <w:pPr>
        <w:spacing w:after="0"/>
        <w:rPr>
          <w:rFonts w:ascii="Century Gothic" w:eastAsia="Geomanist Light" w:hAnsi="Century Gothic" w:cs="Arial"/>
          <w:color w:val="201F1E"/>
          <w:lang w:val="es-MX"/>
        </w:rPr>
      </w:pPr>
      <w:r w:rsidRPr="004C64AD">
        <w:rPr>
          <w:rFonts w:ascii="Century Gothic" w:eastAsia="Geomanist Light" w:hAnsi="Century Gothic" w:cs="Arial"/>
          <w:color w:val="000000" w:themeColor="text1"/>
          <w:lang w:val="es-MX"/>
        </w:rPr>
        <w:lastRenderedPageBreak/>
        <w:t>Bogotá D.C., </w:t>
      </w:r>
      <w:r w:rsidRPr="004C64AD">
        <w:rPr>
          <w:rFonts w:ascii="Century Gothic" w:eastAsia="Geomanist Light" w:hAnsi="Century Gothic" w:cs="Arial"/>
          <w:color w:val="201F1E"/>
          <w:lang w:val="es-MX"/>
        </w:rPr>
        <w:t>[Día] de [Mes.NombreCapitalizado] de [Año]</w:t>
      </w:r>
    </w:p>
    <w:p w14:paraId="5DF5BFBF" w14:textId="76E14BAF" w:rsidR="002424C6" w:rsidRDefault="002424C6" w:rsidP="005D0EE5">
      <w:pPr>
        <w:spacing w:after="0"/>
        <w:rPr>
          <w:rFonts w:ascii="Century Gothic" w:eastAsia="Geomanist Light" w:hAnsi="Century Gothic" w:cs="Arial"/>
          <w:color w:val="201F1E"/>
          <w:lang w:val="es-MX"/>
        </w:rPr>
      </w:pPr>
      <w:r w:rsidRPr="002424C6">
        <w:rPr>
          <w:rFonts w:ascii="Century Gothic" w:eastAsia="Geomanist Light" w:hAnsi="Century Gothic" w:cs="Arial"/>
          <w:noProof/>
          <w:color w:val="201F1E"/>
          <w:lang w:val="es-MX"/>
        </w:rPr>
        <w:drawing>
          <wp:anchor distT="0" distB="0" distL="114300" distR="114300" simplePos="0" relativeHeight="251658240" behindDoc="1" locked="0" layoutInCell="1" allowOverlap="1" wp14:anchorId="5252158E" wp14:editId="14FC2F72">
            <wp:simplePos x="0" y="0"/>
            <wp:positionH relativeFrom="column">
              <wp:posOffset>2955486</wp:posOffset>
            </wp:positionH>
            <wp:positionV relativeFrom="paragraph">
              <wp:posOffset>61547</wp:posOffset>
            </wp:positionV>
            <wp:extent cx="3009900" cy="723900"/>
            <wp:effectExtent l="0" t="0" r="0" b="0"/>
            <wp:wrapTight wrapText="bothSides">
              <wp:wrapPolygon edited="0">
                <wp:start x="0" y="0"/>
                <wp:lineTo x="0" y="21032"/>
                <wp:lineTo x="21463" y="21032"/>
                <wp:lineTo x="21463" y="0"/>
                <wp:lineTo x="0" y="0"/>
              </wp:wrapPolygon>
            </wp:wrapTight>
            <wp:docPr id="633790466"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790466"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3009900" cy="723900"/>
                    </a:xfrm>
                    <a:prstGeom prst="rect">
                      <a:avLst/>
                    </a:prstGeom>
                  </pic:spPr>
                </pic:pic>
              </a:graphicData>
            </a:graphic>
          </wp:anchor>
        </w:drawing>
      </w:r>
    </w:p>
    <w:p w14:paraId="21EF8913" w14:textId="5C72FC65" w:rsidR="002424C6" w:rsidRDefault="002424C6" w:rsidP="005D0EE5">
      <w:pPr>
        <w:spacing w:after="0"/>
        <w:rPr>
          <w:rFonts w:ascii="Century Gothic" w:eastAsia="Geomanist Light" w:hAnsi="Century Gothic" w:cs="Arial"/>
          <w:color w:val="201F1E"/>
          <w:lang w:val="es-MX"/>
        </w:rPr>
      </w:pPr>
    </w:p>
    <w:p w14:paraId="44C02592" w14:textId="1F7032BA" w:rsidR="002424C6" w:rsidRPr="004C64AD" w:rsidRDefault="002424C6" w:rsidP="005D0EE5">
      <w:pPr>
        <w:spacing w:after="0"/>
        <w:rPr>
          <w:rFonts w:ascii="Century Gothic" w:eastAsia="Geomanist Light" w:hAnsi="Century Gothic" w:cs="Arial"/>
          <w:color w:val="201F1E"/>
          <w:lang w:val="es-MX"/>
        </w:rPr>
      </w:pPr>
    </w:p>
    <w:p w14:paraId="3BCE44F3" w14:textId="77777777" w:rsidR="005D0EE5" w:rsidRPr="004C64AD" w:rsidRDefault="005D0EE5" w:rsidP="005D0EE5">
      <w:pPr>
        <w:spacing w:after="0"/>
        <w:rPr>
          <w:rFonts w:ascii="Century Gothic" w:eastAsia="Geomanist Light" w:hAnsi="Century Gothic" w:cs="Arial"/>
          <w:color w:val="201F1E"/>
          <w:lang w:val="es-MX"/>
        </w:rPr>
      </w:pPr>
    </w:p>
    <w:p w14:paraId="14E31BE9" w14:textId="77777777" w:rsidR="002424C6" w:rsidRDefault="002424C6" w:rsidP="005D0EE5">
      <w:pPr>
        <w:contextualSpacing/>
        <w:jc w:val="both"/>
        <w:rPr>
          <w:rFonts w:ascii="Century Gothic" w:eastAsia="Calibri" w:hAnsi="Century Gothic" w:cs="Arial"/>
          <w:lang w:eastAsia="es-ES_tradnl"/>
        </w:rPr>
      </w:pPr>
    </w:p>
    <w:p w14:paraId="44FCEB28" w14:textId="292F4126" w:rsidR="005D0EE5" w:rsidRPr="004C64AD" w:rsidRDefault="005D0EE5" w:rsidP="005D0EE5">
      <w:pPr>
        <w:contextualSpacing/>
        <w:jc w:val="both"/>
        <w:rPr>
          <w:rFonts w:ascii="Century Gothic" w:eastAsia="Calibri" w:hAnsi="Century Gothic" w:cs="Arial"/>
          <w:lang w:eastAsia="es-ES_tradnl"/>
        </w:rPr>
      </w:pPr>
      <w:r>
        <w:rPr>
          <w:rFonts w:ascii="Century Gothic" w:eastAsia="Calibri" w:hAnsi="Century Gothic" w:cs="Arial"/>
          <w:lang w:eastAsia="es-ES_tradnl"/>
        </w:rPr>
        <w:t>Doctora</w:t>
      </w:r>
    </w:p>
    <w:p w14:paraId="35D63CC4" w14:textId="77777777" w:rsidR="005D0EE5" w:rsidRDefault="005D0EE5" w:rsidP="005D0EE5">
      <w:pPr>
        <w:contextualSpacing/>
        <w:jc w:val="both"/>
        <w:rPr>
          <w:rFonts w:ascii="Century Gothic" w:eastAsia="Calibri" w:hAnsi="Century Gothic" w:cs="Arial"/>
          <w:b/>
          <w:lang w:eastAsia="es-ES_tradnl"/>
        </w:rPr>
      </w:pPr>
      <w:r w:rsidRPr="00A54793">
        <w:rPr>
          <w:rFonts w:ascii="Century Gothic" w:eastAsia="Calibri" w:hAnsi="Century Gothic" w:cs="Arial"/>
          <w:b/>
          <w:lang w:eastAsia="es-ES_tradnl"/>
        </w:rPr>
        <w:t>Sara Carolina Alvira Acosta</w:t>
      </w:r>
    </w:p>
    <w:p w14:paraId="76E5FFDE" w14:textId="77777777" w:rsidR="005D0EE5" w:rsidRDefault="005D0EE5" w:rsidP="005D0EE5">
      <w:pPr>
        <w:contextualSpacing/>
        <w:jc w:val="both"/>
        <w:rPr>
          <w:rFonts w:ascii="Century Gothic" w:eastAsia="Geomanist Light" w:hAnsi="Century Gothic" w:cs="Arial"/>
          <w:color w:val="000000" w:themeColor="text1"/>
          <w:lang w:val="es-MX"/>
        </w:rPr>
      </w:pPr>
      <w:r w:rsidRPr="00A54793">
        <w:rPr>
          <w:rFonts w:ascii="Century Gothic" w:eastAsia="Geomanist Light" w:hAnsi="Century Gothic" w:cs="Arial"/>
          <w:color w:val="000000" w:themeColor="text1"/>
          <w:lang w:val="es-MX"/>
        </w:rPr>
        <w:t xml:space="preserve">Directora </w:t>
      </w:r>
      <w:r>
        <w:rPr>
          <w:rFonts w:ascii="Century Gothic" w:eastAsia="Geomanist Light" w:hAnsi="Century Gothic" w:cs="Arial"/>
          <w:color w:val="000000" w:themeColor="text1"/>
          <w:lang w:val="es-MX"/>
        </w:rPr>
        <w:t>d</w:t>
      </w:r>
      <w:r w:rsidRPr="00A54793">
        <w:rPr>
          <w:rFonts w:ascii="Century Gothic" w:eastAsia="Geomanist Light" w:hAnsi="Century Gothic" w:cs="Arial"/>
          <w:color w:val="000000" w:themeColor="text1"/>
          <w:lang w:val="es-MX"/>
        </w:rPr>
        <w:t>e Servicios Administrativos</w:t>
      </w:r>
    </w:p>
    <w:p w14:paraId="7095F197" w14:textId="77777777" w:rsidR="005D0EE5" w:rsidRPr="004C64AD" w:rsidRDefault="005D0EE5" w:rsidP="005D0EE5">
      <w:pPr>
        <w:contextualSpacing/>
        <w:jc w:val="both"/>
        <w:rPr>
          <w:rFonts w:ascii="Century Gothic" w:eastAsia="Geomanist Light" w:hAnsi="Century Gothic" w:cs="Arial"/>
          <w:color w:val="000000" w:themeColor="text1"/>
          <w:lang w:val="es-MX"/>
        </w:rPr>
      </w:pPr>
      <w:r w:rsidRPr="004C64AD">
        <w:rPr>
          <w:rFonts w:ascii="Century Gothic" w:eastAsia="Geomanist Light" w:hAnsi="Century Gothic" w:cs="Arial"/>
          <w:color w:val="000000" w:themeColor="text1"/>
          <w:lang w:val="es-MX"/>
        </w:rPr>
        <w:t xml:space="preserve">Secretaría </w:t>
      </w:r>
      <w:r>
        <w:rPr>
          <w:rFonts w:ascii="Century Gothic" w:eastAsia="Geomanist Light" w:hAnsi="Century Gothic" w:cs="Arial"/>
          <w:color w:val="000000" w:themeColor="text1"/>
          <w:lang w:val="es-MX"/>
        </w:rPr>
        <w:t xml:space="preserve">Distrital </w:t>
      </w:r>
      <w:r w:rsidRPr="004C64AD">
        <w:rPr>
          <w:rFonts w:ascii="Century Gothic" w:eastAsia="Geomanist Light" w:hAnsi="Century Gothic" w:cs="Arial"/>
          <w:color w:val="000000" w:themeColor="text1"/>
          <w:lang w:val="es-MX"/>
        </w:rPr>
        <w:t xml:space="preserve">de </w:t>
      </w:r>
      <w:r>
        <w:rPr>
          <w:rFonts w:ascii="Century Gothic" w:eastAsia="Geomanist Light" w:hAnsi="Century Gothic" w:cs="Arial"/>
          <w:color w:val="000000" w:themeColor="text1"/>
          <w:lang w:val="es-MX"/>
        </w:rPr>
        <w:t>Educación</w:t>
      </w:r>
    </w:p>
    <w:p w14:paraId="43621721" w14:textId="77777777" w:rsidR="005D0EE5" w:rsidRPr="004C64AD" w:rsidRDefault="005D0EE5" w:rsidP="005D0EE5">
      <w:pPr>
        <w:contextualSpacing/>
        <w:jc w:val="both"/>
        <w:rPr>
          <w:rFonts w:ascii="Century Gothic" w:eastAsia="Calibri" w:hAnsi="Century Gothic" w:cs="Arial"/>
          <w:bCs/>
          <w:lang w:eastAsia="es-ES_tradnl"/>
        </w:rPr>
      </w:pPr>
      <w:r w:rsidRPr="004C64AD">
        <w:rPr>
          <w:rFonts w:ascii="Century Gothic" w:eastAsia="Geomanist Light" w:hAnsi="Century Gothic" w:cs="Arial"/>
          <w:color w:val="000000" w:themeColor="text1"/>
          <w:lang w:val="es-MX"/>
        </w:rPr>
        <w:t>Bogotá D.C.</w:t>
      </w:r>
      <w:r w:rsidRPr="004C64AD">
        <w:rPr>
          <w:rFonts w:ascii="Century Gothic" w:eastAsia="Calibri" w:hAnsi="Century Gothic" w:cs="Arial"/>
          <w:lang w:eastAsia="es-ES_tradnl"/>
        </w:rPr>
        <w:t xml:space="preserve">  </w:t>
      </w:r>
    </w:p>
    <w:p w14:paraId="251E2EC6" w14:textId="77777777" w:rsidR="005D0EE5" w:rsidRPr="004C64AD" w:rsidRDefault="005D0EE5" w:rsidP="005D0EE5">
      <w:pPr>
        <w:contextualSpacing/>
        <w:jc w:val="both"/>
        <w:rPr>
          <w:rFonts w:ascii="Century Gothic" w:eastAsia="Calibri" w:hAnsi="Century Gothic" w:cs="Arial"/>
          <w:lang w:val="es-ES_tradnl" w:eastAsia="es-ES_tradnl"/>
        </w:rPr>
      </w:pPr>
    </w:p>
    <w:p w14:paraId="11F516FB" w14:textId="77777777" w:rsidR="005D0EE5" w:rsidRPr="004C64AD" w:rsidRDefault="005D0EE5" w:rsidP="005D0EE5">
      <w:pPr>
        <w:contextualSpacing/>
        <w:rPr>
          <w:rFonts w:ascii="Century Gothic" w:eastAsia="Calibri" w:hAnsi="Century Gothic" w:cs="Arial"/>
          <w:b/>
          <w:bCs/>
          <w:lang w:val="es-ES_tradnl" w:eastAsia="es-ES_tradnl"/>
        </w:rPr>
      </w:pPr>
    </w:p>
    <w:p w14:paraId="027F65BE" w14:textId="2F331A83" w:rsidR="005D0EE5" w:rsidRPr="004C64AD" w:rsidRDefault="005D0EE5" w:rsidP="005D0EE5">
      <w:pPr>
        <w:ind w:left="2124" w:firstLine="570"/>
        <w:contextualSpacing/>
        <w:rPr>
          <w:rFonts w:ascii="Century Gothic" w:eastAsia="Calibri" w:hAnsi="Century Gothic" w:cs="Arial"/>
          <w:b/>
          <w:bCs/>
          <w:lang w:val="es-ES_tradnl" w:eastAsia="es-ES_tradnl"/>
        </w:rPr>
      </w:pPr>
      <w:r w:rsidRPr="004C64AD">
        <w:rPr>
          <w:rFonts w:ascii="Century Gothic" w:eastAsia="Calibri" w:hAnsi="Century Gothic" w:cs="Arial"/>
          <w:b/>
          <w:bCs/>
          <w:lang w:val="es-ES_tradnl" w:eastAsia="es-ES_tradnl"/>
        </w:rPr>
        <w:t xml:space="preserve">Concepto C – </w:t>
      </w:r>
      <w:r w:rsidR="00EB6A49">
        <w:rPr>
          <w:rFonts w:ascii="Century Gothic" w:eastAsia="Calibri" w:hAnsi="Century Gothic" w:cs="Arial"/>
          <w:b/>
          <w:bCs/>
          <w:lang w:val="es-ES_tradnl" w:eastAsia="es-ES_tradnl"/>
        </w:rPr>
        <w:t>273</w:t>
      </w:r>
      <w:r w:rsidRPr="004C64AD">
        <w:rPr>
          <w:rFonts w:ascii="Century Gothic" w:eastAsia="Calibri" w:hAnsi="Century Gothic" w:cs="Arial"/>
          <w:b/>
          <w:bCs/>
          <w:lang w:val="es-ES_tradnl" w:eastAsia="es-ES_tradnl"/>
        </w:rPr>
        <w:t xml:space="preserve"> de 2023</w:t>
      </w:r>
    </w:p>
    <w:p w14:paraId="6C6ED33B" w14:textId="77777777" w:rsidR="005D0EE5" w:rsidRPr="004C64AD" w:rsidRDefault="005D0EE5" w:rsidP="005D0EE5">
      <w:pPr>
        <w:contextualSpacing/>
        <w:jc w:val="both"/>
        <w:rPr>
          <w:rFonts w:ascii="Century Gothic" w:eastAsia="Calibri" w:hAnsi="Century Gothic" w:cs="Arial"/>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tblGrid>
      <w:tr w:rsidR="005D0EE5" w:rsidRPr="004C64AD" w14:paraId="64563EF3" w14:textId="77777777" w:rsidTr="411B0EED">
        <w:tc>
          <w:tcPr>
            <w:tcW w:w="2685" w:type="dxa"/>
          </w:tcPr>
          <w:p w14:paraId="72AA7AE4" w14:textId="77777777" w:rsidR="005D0EE5" w:rsidRPr="004C64AD" w:rsidRDefault="005D0EE5" w:rsidP="003A3EB2">
            <w:pPr>
              <w:contextualSpacing/>
              <w:jc w:val="both"/>
              <w:rPr>
                <w:rFonts w:ascii="Century Gothic" w:eastAsia="Calibri" w:hAnsi="Century Gothic" w:cs="Arial"/>
                <w:lang w:val="es-ES_tradnl" w:eastAsia="es-ES_tradnl"/>
              </w:rPr>
            </w:pPr>
            <w:r w:rsidRPr="004C64AD">
              <w:rPr>
                <w:rFonts w:ascii="Century Gothic" w:eastAsia="Calibri" w:hAnsi="Century Gothic" w:cs="Arial"/>
                <w:b/>
                <w:lang w:val="es-ES_tradnl" w:eastAsia="es-ES_tradnl"/>
              </w:rPr>
              <w:t>Temas:</w:t>
            </w:r>
            <w:r w:rsidRPr="004C64AD">
              <w:rPr>
                <w:rFonts w:ascii="Century Gothic" w:eastAsia="Calibri" w:hAnsi="Century Gothic" w:cs="Arial"/>
                <w:lang w:val="es-ES_tradnl" w:eastAsia="es-ES_tradnl"/>
              </w:rPr>
              <w:t xml:space="preserve">                                      </w:t>
            </w:r>
          </w:p>
        </w:tc>
        <w:tc>
          <w:tcPr>
            <w:tcW w:w="6241" w:type="dxa"/>
          </w:tcPr>
          <w:p w14:paraId="1139625C" w14:textId="77777777" w:rsidR="005D0EE5" w:rsidRPr="004C64AD" w:rsidRDefault="005D0EE5" w:rsidP="003A3EB2">
            <w:pPr>
              <w:spacing w:after="120"/>
              <w:contextualSpacing/>
              <w:jc w:val="both"/>
              <w:rPr>
                <w:rFonts w:ascii="Century Gothic" w:eastAsia="Calibri" w:hAnsi="Century Gothic" w:cs="Arial"/>
                <w:bCs/>
                <w:lang w:val="es-MX" w:eastAsia="es-ES_tradnl"/>
              </w:rPr>
            </w:pPr>
            <w:r w:rsidRPr="00D226AB">
              <w:rPr>
                <w:rFonts w:ascii="Century Gothic" w:eastAsia="Calibri" w:hAnsi="Century Gothic" w:cs="Arial"/>
                <w:bCs/>
                <w:lang w:val="es-MX" w:eastAsia="es-ES_tradnl"/>
              </w:rPr>
              <w:t>FACTORES DE DESEMPATE – Características – Límites / LEY DE EMPRENDIMIENTO – Ley 2069 de 2020 – Reglamentación – Decreto 1860 de 2021 – Vigencia / FACTORES DE DESEMPATE – Ley 2069 de 2020 – Numeral 4 – Decreto 1680 de 2021– Mayor proporción</w:t>
            </w:r>
          </w:p>
          <w:p w14:paraId="617F1BB1" w14:textId="77777777" w:rsidR="005D0EE5" w:rsidRPr="004C64AD" w:rsidRDefault="005D0EE5" w:rsidP="003A3EB2">
            <w:pPr>
              <w:spacing w:after="120"/>
              <w:contextualSpacing/>
              <w:jc w:val="both"/>
              <w:rPr>
                <w:rFonts w:ascii="Century Gothic" w:eastAsia="Calibri" w:hAnsi="Century Gothic" w:cs="Arial"/>
                <w:bCs/>
                <w:sz w:val="12"/>
                <w:szCs w:val="12"/>
                <w:lang w:val="es-ES_tradnl" w:eastAsia="es-ES_tradnl"/>
              </w:rPr>
            </w:pPr>
          </w:p>
        </w:tc>
      </w:tr>
      <w:tr w:rsidR="005D0EE5" w:rsidRPr="004C64AD" w14:paraId="63426216" w14:textId="77777777" w:rsidTr="411B0EED">
        <w:trPr>
          <w:trHeight w:val="227"/>
        </w:trPr>
        <w:tc>
          <w:tcPr>
            <w:tcW w:w="2685" w:type="dxa"/>
          </w:tcPr>
          <w:p w14:paraId="5BB9CE76" w14:textId="77777777" w:rsidR="005D0EE5" w:rsidRPr="004C64AD" w:rsidRDefault="005D0EE5" w:rsidP="003A3EB2">
            <w:pPr>
              <w:contextualSpacing/>
              <w:jc w:val="both"/>
              <w:rPr>
                <w:rFonts w:ascii="Century Gothic" w:eastAsia="Calibri" w:hAnsi="Century Gothic" w:cs="Arial"/>
                <w:b/>
                <w:lang w:val="es-ES_tradnl" w:eastAsia="es-ES_tradnl"/>
              </w:rPr>
            </w:pPr>
            <w:r w:rsidRPr="004C64AD">
              <w:rPr>
                <w:rFonts w:ascii="Century Gothic" w:eastAsia="Calibri" w:hAnsi="Century Gothic" w:cs="Arial"/>
                <w:b/>
                <w:lang w:val="es-ES_tradnl" w:eastAsia="es-ES_tradnl"/>
              </w:rPr>
              <w:t>Radicación:</w:t>
            </w:r>
            <w:r w:rsidRPr="004C64AD">
              <w:rPr>
                <w:rFonts w:ascii="Century Gothic" w:eastAsia="Calibri" w:hAnsi="Century Gothic" w:cs="Arial"/>
                <w:lang w:val="es-ES_tradnl" w:eastAsia="es-ES_tradnl"/>
              </w:rPr>
              <w:t xml:space="preserve">                             </w:t>
            </w:r>
          </w:p>
        </w:tc>
        <w:tc>
          <w:tcPr>
            <w:tcW w:w="6241" w:type="dxa"/>
          </w:tcPr>
          <w:p w14:paraId="02326B13" w14:textId="77777777" w:rsidR="005D0EE5" w:rsidRPr="004C64AD" w:rsidRDefault="005D0EE5" w:rsidP="003A3EB2">
            <w:pPr>
              <w:contextualSpacing/>
              <w:jc w:val="both"/>
              <w:rPr>
                <w:rFonts w:ascii="Century Gothic" w:eastAsia="Calibri" w:hAnsi="Century Gothic" w:cs="Arial"/>
                <w:lang w:val="es-ES_tradnl" w:eastAsia="es-ES_tradnl"/>
              </w:rPr>
            </w:pPr>
            <w:r w:rsidRPr="004C64AD">
              <w:rPr>
                <w:rFonts w:ascii="Century Gothic" w:eastAsia="Calibri" w:hAnsi="Century Gothic" w:cs="Arial"/>
                <w:lang w:val="es-ES_tradnl" w:eastAsia="es-ES_tradnl"/>
              </w:rPr>
              <w:t xml:space="preserve">Respuesta a la consulta </w:t>
            </w:r>
            <w:r w:rsidRPr="00383F7A">
              <w:rPr>
                <w:rFonts w:ascii="Century Gothic" w:eastAsia="Calibri" w:hAnsi="Century Gothic" w:cs="Arial"/>
                <w:lang w:val="es-ES_tradnl" w:eastAsia="es-ES_tradnl"/>
              </w:rPr>
              <w:t>P20231121017040</w:t>
            </w:r>
          </w:p>
        </w:tc>
      </w:tr>
    </w:tbl>
    <w:p w14:paraId="04B9C9F4" w14:textId="77777777" w:rsidR="005D0EE5" w:rsidRPr="004C64AD" w:rsidRDefault="005D0EE5" w:rsidP="005D0EE5">
      <w:pPr>
        <w:contextualSpacing/>
        <w:jc w:val="both"/>
        <w:rPr>
          <w:rFonts w:ascii="Century Gothic" w:eastAsia="Calibri" w:hAnsi="Century Gothic" w:cs="Arial"/>
          <w:lang w:val="es-ES_tradnl" w:eastAsia="es-ES_tradnl"/>
        </w:rPr>
      </w:pPr>
    </w:p>
    <w:p w14:paraId="66854598" w14:textId="77777777" w:rsidR="005D0EE5" w:rsidRPr="004C64AD" w:rsidRDefault="005D0EE5" w:rsidP="005D0EE5">
      <w:pPr>
        <w:contextualSpacing/>
        <w:jc w:val="both"/>
        <w:rPr>
          <w:rFonts w:ascii="Century Gothic" w:eastAsia="Calibri" w:hAnsi="Century Gothic" w:cs="Arial"/>
          <w:lang w:val="es-ES_tradnl" w:eastAsia="es-ES_tradnl"/>
        </w:rPr>
      </w:pPr>
    </w:p>
    <w:p w14:paraId="21CBBBA7" w14:textId="77777777" w:rsidR="005D0EE5" w:rsidRPr="004C64AD" w:rsidRDefault="005D0EE5" w:rsidP="005D0EE5">
      <w:pPr>
        <w:contextualSpacing/>
        <w:jc w:val="both"/>
        <w:rPr>
          <w:rFonts w:ascii="Century Gothic" w:eastAsia="Calibri" w:hAnsi="Century Gothic" w:cs="Arial"/>
          <w:lang w:val="es-ES" w:eastAsia="es-ES"/>
        </w:rPr>
      </w:pPr>
      <w:r w:rsidRPr="004C64AD">
        <w:rPr>
          <w:rFonts w:ascii="Century Gothic" w:eastAsia="Calibri" w:hAnsi="Century Gothic" w:cs="Arial"/>
          <w:lang w:val="es-ES" w:eastAsia="es-ES"/>
        </w:rPr>
        <w:t xml:space="preserve">Respetada </w:t>
      </w:r>
      <w:r>
        <w:rPr>
          <w:rFonts w:ascii="Century Gothic" w:eastAsia="Calibri" w:hAnsi="Century Gothic" w:cs="Arial"/>
          <w:lang w:val="es-ES" w:eastAsia="es-ES"/>
        </w:rPr>
        <w:t>doctora</w:t>
      </w:r>
      <w:r w:rsidRPr="004C64AD">
        <w:rPr>
          <w:rFonts w:ascii="Century Gothic" w:eastAsia="Calibri" w:hAnsi="Century Gothic" w:cs="Arial"/>
          <w:lang w:val="es-ES" w:eastAsia="es-ES"/>
        </w:rPr>
        <w:t xml:space="preserve"> </w:t>
      </w:r>
      <w:r w:rsidRPr="00A54793">
        <w:rPr>
          <w:rFonts w:ascii="Century Gothic" w:eastAsia="Calibri" w:hAnsi="Century Gothic" w:cs="Arial"/>
          <w:lang w:val="es-ES" w:eastAsia="es-ES"/>
        </w:rPr>
        <w:t>Alvira Acosta</w:t>
      </w:r>
      <w:r w:rsidRPr="004C64AD">
        <w:rPr>
          <w:rFonts w:ascii="Century Gothic" w:eastAsia="Calibri" w:hAnsi="Century Gothic" w:cs="Arial"/>
          <w:lang w:val="es-ES" w:eastAsia="es-ES"/>
        </w:rPr>
        <w:t xml:space="preserve">: </w:t>
      </w:r>
    </w:p>
    <w:p w14:paraId="1FEAAA92" w14:textId="77777777" w:rsidR="005D0EE5" w:rsidRPr="004C64AD" w:rsidRDefault="005D0EE5" w:rsidP="005D0EE5">
      <w:pPr>
        <w:spacing w:line="276" w:lineRule="auto"/>
        <w:contextualSpacing/>
        <w:jc w:val="both"/>
        <w:rPr>
          <w:rFonts w:ascii="Century Gothic" w:eastAsia="Calibri" w:hAnsi="Century Gothic" w:cs="Arial"/>
          <w:szCs w:val="24"/>
          <w:lang w:val="es-ES_tradnl" w:eastAsia="es-ES_tradnl"/>
        </w:rPr>
      </w:pPr>
    </w:p>
    <w:bookmarkEnd w:id="0"/>
    <w:bookmarkEnd w:id="1"/>
    <w:p w14:paraId="089E5FA9" w14:textId="77777777" w:rsidR="005D0EE5" w:rsidRPr="004C64AD" w:rsidRDefault="005D0EE5" w:rsidP="005D0EE5">
      <w:pPr>
        <w:spacing w:after="0" w:line="276" w:lineRule="auto"/>
        <w:jc w:val="both"/>
        <w:rPr>
          <w:rFonts w:ascii="Century Gothic" w:eastAsia="Calibri" w:hAnsi="Century Gothic" w:cs="Arial"/>
          <w:color w:val="000000" w:themeColor="text1"/>
          <w:lang w:val="es-ES_tradnl"/>
        </w:rPr>
      </w:pPr>
      <w:r w:rsidRPr="004C64AD">
        <w:rPr>
          <w:rFonts w:ascii="Century Gothic" w:eastAsia="Calibri" w:hAnsi="Century Gothic" w:cs="Arial"/>
          <w:color w:val="000000" w:themeColor="text1"/>
          <w:lang w:val="es-ES_tradnl"/>
        </w:rPr>
        <w:t>En ejercicio de la competencia otorgada por el numeral 8 del artículo 11 y el numeral 5 del artículo 3 del Decreto Ley 4170 de 2011</w:t>
      </w:r>
      <w:bookmarkStart w:id="3" w:name="_Hlk99120496"/>
      <w:r w:rsidRPr="004C64AD">
        <w:rPr>
          <w:rFonts w:ascii="Century Gothic" w:eastAsia="Arial MT" w:hAnsi="Century Gothic" w:cs="Arial MT"/>
          <w:lang w:val="es-ES"/>
        </w:rPr>
        <w:t xml:space="preserve">, </w:t>
      </w:r>
      <w:bookmarkEnd w:id="3"/>
      <w:r w:rsidRPr="004C64AD">
        <w:rPr>
          <w:rFonts w:ascii="Century Gothic" w:eastAsia="Calibri" w:hAnsi="Century Gothic" w:cs="Arial"/>
          <w:color w:val="000000" w:themeColor="text1"/>
          <w:lang w:val="es-ES_tradnl"/>
        </w:rPr>
        <w:t xml:space="preserve">la Agencia Nacional de Contratación Pública – Colombia Compra Eficiente responde la consulta radicada el </w:t>
      </w:r>
      <w:r>
        <w:rPr>
          <w:rFonts w:ascii="Century Gothic" w:eastAsia="Calibri" w:hAnsi="Century Gothic" w:cs="Arial"/>
          <w:color w:val="000000" w:themeColor="text1"/>
          <w:lang w:val="es-ES_tradnl"/>
        </w:rPr>
        <w:t>21 de noviembre</w:t>
      </w:r>
      <w:r w:rsidRPr="004C64AD">
        <w:rPr>
          <w:rFonts w:ascii="Century Gothic" w:eastAsia="Calibri" w:hAnsi="Century Gothic" w:cs="Arial"/>
          <w:color w:val="000000" w:themeColor="text1"/>
          <w:lang w:val="es-ES_tradnl"/>
        </w:rPr>
        <w:t xml:space="preserve"> de 2023.</w:t>
      </w:r>
    </w:p>
    <w:p w14:paraId="3EC887D9" w14:textId="77777777" w:rsidR="005D0EE5" w:rsidRPr="004C64AD" w:rsidRDefault="005D0EE5" w:rsidP="005D0EE5">
      <w:pPr>
        <w:spacing w:after="0" w:line="276" w:lineRule="auto"/>
        <w:jc w:val="both"/>
        <w:rPr>
          <w:rFonts w:ascii="Century Gothic" w:eastAsia="Calibri" w:hAnsi="Century Gothic" w:cs="Arial"/>
          <w:b/>
          <w:color w:val="000000" w:themeColor="text1"/>
          <w:lang w:val="es-ES_tradnl"/>
        </w:rPr>
      </w:pPr>
    </w:p>
    <w:p w14:paraId="2E10652D" w14:textId="77777777" w:rsidR="005D0EE5" w:rsidRPr="004C64AD" w:rsidRDefault="005D0EE5" w:rsidP="005D0EE5">
      <w:pPr>
        <w:pStyle w:val="Prrafodelista"/>
        <w:numPr>
          <w:ilvl w:val="0"/>
          <w:numId w:val="17"/>
        </w:numPr>
        <w:tabs>
          <w:tab w:val="left" w:pos="0"/>
          <w:tab w:val="left" w:pos="142"/>
          <w:tab w:val="left" w:pos="284"/>
        </w:tabs>
        <w:spacing w:after="0" w:line="276" w:lineRule="auto"/>
        <w:ind w:left="0" w:firstLine="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 xml:space="preserve">Problemas planteados </w:t>
      </w:r>
    </w:p>
    <w:p w14:paraId="460644EA" w14:textId="77777777" w:rsidR="005D0EE5" w:rsidRPr="004C64AD" w:rsidRDefault="005D0EE5" w:rsidP="005D0EE5">
      <w:pPr>
        <w:tabs>
          <w:tab w:val="left" w:pos="426"/>
        </w:tabs>
        <w:spacing w:after="0" w:line="276" w:lineRule="auto"/>
        <w:jc w:val="both"/>
        <w:rPr>
          <w:rFonts w:ascii="Century Gothic" w:eastAsia="Calibri" w:hAnsi="Century Gothic" w:cs="Arial"/>
          <w:b/>
          <w:color w:val="000000" w:themeColor="text1"/>
          <w:lang w:val="es-ES_tradnl"/>
        </w:rPr>
      </w:pPr>
    </w:p>
    <w:p w14:paraId="798EAF7A" w14:textId="77777777" w:rsidR="005D0EE5" w:rsidRPr="001265C4" w:rsidRDefault="005D0EE5" w:rsidP="005D0EE5">
      <w:pPr>
        <w:spacing w:after="0" w:line="276" w:lineRule="auto"/>
        <w:jc w:val="both"/>
        <w:rPr>
          <w:rFonts w:ascii="Century Gothic" w:hAnsi="Century Gothic" w:cs="Arial"/>
          <w:color w:val="000000" w:themeColor="text1"/>
          <w:lang w:val="es-ES_tradnl"/>
        </w:rPr>
      </w:pPr>
      <w:bookmarkStart w:id="4" w:name="_Hlk148967884"/>
      <w:r w:rsidRPr="00BF3AF4">
        <w:rPr>
          <w:rFonts w:ascii="Century Gothic" w:hAnsi="Century Gothic" w:cs="Arial"/>
          <w:color w:val="000000" w:themeColor="text1"/>
          <w:lang w:val="es-ES_tradnl"/>
        </w:rPr>
        <w:t>De acuerdo con el factor del desempate del artículo 35.4 de la Ley 2069 de 2020 para la vinculación de personas mayores no beneficiarios de la pensión de vejez, familiar o de sobrevivencia que hayan cumplido el requisito de edad, reglamentado por el numeral 4 del artículo 2.2.1.2.4.2.17 del Decreto 1082 de 2015, usted realiza las siguientes preguntas: i) “¿Cómo debe la Entidad compradora solicitar se acredite la mayor proporción que define la sumatoria de trabajadores vinculados en la planta de personal?”</w:t>
      </w:r>
      <w:r>
        <w:rPr>
          <w:rFonts w:ascii="Century Gothic" w:hAnsi="Century Gothic" w:cs="Arial"/>
          <w:color w:val="000000" w:themeColor="text1"/>
          <w:lang w:val="es-ES_tradnl"/>
        </w:rPr>
        <w:t xml:space="preserve">, </w:t>
      </w:r>
      <w:r w:rsidRPr="00BF3AF4">
        <w:rPr>
          <w:rFonts w:ascii="Century Gothic" w:hAnsi="Century Gothic" w:cs="Arial"/>
          <w:color w:val="000000" w:themeColor="text1"/>
          <w:lang w:val="es-ES_tradnl"/>
        </w:rPr>
        <w:t xml:space="preserve">ii) “¿Se debe solicitar por la Entidad </w:t>
      </w:r>
      <w:r w:rsidRPr="00BF3AF4">
        <w:rPr>
          <w:rFonts w:ascii="Century Gothic" w:hAnsi="Century Gothic" w:cs="Arial"/>
          <w:color w:val="000000" w:themeColor="text1"/>
          <w:lang w:val="es-ES_tradnl"/>
        </w:rPr>
        <w:lastRenderedPageBreak/>
        <w:t>compradora que el proveedor que se encuentra en empate acredite únicamente la vinculación en la planta de personal de cada uno de sus integrantes o también los vinculados a la figura asociativa?”</w:t>
      </w:r>
      <w:r>
        <w:rPr>
          <w:rFonts w:ascii="Century Gothic" w:hAnsi="Century Gothic" w:cs="Arial"/>
          <w:color w:val="000000" w:themeColor="text1"/>
          <w:lang w:val="es-ES_tradnl"/>
        </w:rPr>
        <w:t xml:space="preserve"> y </w:t>
      </w:r>
      <w:r w:rsidRPr="00BF3AF4">
        <w:rPr>
          <w:rFonts w:ascii="Century Gothic" w:hAnsi="Century Gothic" w:cs="Arial"/>
          <w:color w:val="000000" w:themeColor="text1"/>
          <w:lang w:val="es-ES_tradnl"/>
        </w:rPr>
        <w:t>iii) “¿Conforme la legislación en Colombia es posible que las uniones temporales y consorcios entendidas estas como figuras de colaboración empresarial mediante la cual las personas, naturales y/o jurídicas, deciden agruparse con el objeto de unir fuerzas y desarrollar un negocio, sin que creen o constituyan una persona jurídica independiente, contraten personal?”</w:t>
      </w:r>
      <w:r>
        <w:rPr>
          <w:rFonts w:ascii="Century Gothic" w:hAnsi="Century Gothic" w:cs="Arial"/>
          <w:color w:val="000000" w:themeColor="text1"/>
          <w:lang w:val="es-ES_tradnl"/>
        </w:rPr>
        <w:t>.</w:t>
      </w:r>
      <w:r w:rsidRPr="001265C4">
        <w:rPr>
          <w:rFonts w:ascii="Century Gothic" w:hAnsi="Century Gothic" w:cs="Arial"/>
          <w:color w:val="000000" w:themeColor="text1"/>
          <w:lang w:val="es-ES_tradnl"/>
        </w:rPr>
        <w:t xml:space="preserve">   </w:t>
      </w:r>
      <w:r>
        <w:rPr>
          <w:rFonts w:ascii="Century Gothic" w:hAnsi="Century Gothic" w:cs="Arial"/>
          <w:color w:val="000000" w:themeColor="text1"/>
          <w:lang w:val="es-ES_tradnl"/>
        </w:rPr>
        <w:t xml:space="preserve"> </w:t>
      </w:r>
    </w:p>
    <w:bookmarkEnd w:id="4"/>
    <w:p w14:paraId="71EEDFCA" w14:textId="77777777" w:rsidR="005D0EE5" w:rsidRPr="004C64AD" w:rsidRDefault="005D0EE5" w:rsidP="005D0EE5">
      <w:pPr>
        <w:spacing w:after="0" w:line="276" w:lineRule="auto"/>
        <w:ind w:right="709"/>
        <w:jc w:val="both"/>
        <w:rPr>
          <w:rFonts w:ascii="Century Gothic" w:hAnsi="Century Gothic" w:cs="Arial"/>
          <w:color w:val="000000" w:themeColor="text1"/>
        </w:rPr>
      </w:pPr>
    </w:p>
    <w:p w14:paraId="740C4DFA" w14:textId="77777777" w:rsidR="005D0EE5" w:rsidRPr="004C64AD" w:rsidRDefault="005D0EE5" w:rsidP="005D0EE5">
      <w:pPr>
        <w:pStyle w:val="Prrafodelista"/>
        <w:numPr>
          <w:ilvl w:val="0"/>
          <w:numId w:val="17"/>
        </w:numPr>
        <w:tabs>
          <w:tab w:val="left" w:pos="0"/>
          <w:tab w:val="left" w:pos="284"/>
        </w:tabs>
        <w:spacing w:after="0" w:line="240" w:lineRule="auto"/>
        <w:ind w:left="0" w:firstLine="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Consideraciones</w:t>
      </w:r>
    </w:p>
    <w:p w14:paraId="17186AEE" w14:textId="77777777" w:rsidR="005D0EE5" w:rsidRPr="004C64AD" w:rsidRDefault="005D0EE5" w:rsidP="005D0EE5">
      <w:pPr>
        <w:spacing w:after="0" w:line="276" w:lineRule="auto"/>
        <w:jc w:val="both"/>
        <w:rPr>
          <w:rFonts w:ascii="Century Gothic" w:eastAsia="Calibri" w:hAnsi="Century Gothic" w:cs="Arial"/>
          <w:color w:val="000000" w:themeColor="text1"/>
          <w:lang w:val="es-ES"/>
        </w:rPr>
      </w:pPr>
    </w:p>
    <w:p w14:paraId="1ECAF0B9" w14:textId="77777777" w:rsidR="005D0EE5" w:rsidRPr="004C64AD" w:rsidRDefault="005D0EE5" w:rsidP="005D0EE5">
      <w:pPr>
        <w:spacing w:after="120" w:line="276" w:lineRule="auto"/>
        <w:jc w:val="both"/>
        <w:rPr>
          <w:rFonts w:ascii="Century Gothic" w:hAnsi="Century Gothic" w:cs="Arial"/>
          <w:lang w:val="es-ES"/>
        </w:rPr>
      </w:pPr>
      <w:r>
        <w:rPr>
          <w:rFonts w:ascii="Century Gothic" w:hAnsi="Century Gothic" w:cs="Arial"/>
        </w:rPr>
        <w:t>Conforme a</w:t>
      </w:r>
      <w:r w:rsidRPr="004C64AD">
        <w:rPr>
          <w:rFonts w:ascii="Century Gothic" w:hAnsi="Century Gothic" w:cs="Arial"/>
        </w:rPr>
        <w:t xml:space="preserve">l Decreto Ley 4170 de 2011, la Agencia Nacional de Contratación Pública – Colombia Compra Eficiente resuelve las consultas sobre los asuntos de su competencia, esto es, sobre las temáticas de la contratación estatal y compras públicas relacionadas en los artículos </w:t>
      </w:r>
      <w:r w:rsidRPr="004C64AD">
        <w:rPr>
          <w:rFonts w:ascii="Century Gothic" w:hAnsi="Century Gothic" w:cs="Arial"/>
          <w:lang w:val="es-ES"/>
        </w:rPr>
        <w:t>citados. Es necesario tener en cuenta que esta entidad solo tiene competencia para responder solicitudes sobre la interpretación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4C64AD">
        <w:rPr>
          <w:rFonts w:ascii="Century Gothic" w:hAnsi="Century Gothic" w:cs="Arial"/>
        </w:rPr>
        <w:t xml:space="preserve"> de todos los partícipes de la contratación estatal.</w:t>
      </w:r>
    </w:p>
    <w:p w14:paraId="6A81AEE3" w14:textId="77777777" w:rsidR="005D0EE5" w:rsidRPr="004C64AD" w:rsidRDefault="005D0EE5" w:rsidP="005D0EE5">
      <w:pPr>
        <w:spacing w:after="120" w:line="276" w:lineRule="auto"/>
        <w:ind w:firstLine="708"/>
        <w:jc w:val="both"/>
        <w:rPr>
          <w:rFonts w:ascii="Century Gothic" w:hAnsi="Century Gothic" w:cs="Arial"/>
          <w:lang w:val="es-ES"/>
        </w:rPr>
      </w:pPr>
      <w:r w:rsidRPr="004C64AD">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4C64AD">
        <w:rPr>
          <w:rFonts w:ascii="Century Gothic" w:hAnsi="Century Gothic" w:cs="Arial"/>
          <w:vertAlign w:val="superscript"/>
          <w:lang w:val="es-ES"/>
        </w:rPr>
        <w:footnoteReference w:id="2"/>
      </w:r>
      <w:r w:rsidRPr="004C64AD">
        <w:rPr>
          <w:rFonts w:ascii="Century Gothic" w:hAnsi="Century Gothic" w:cs="Arial"/>
          <w:lang w:val="es-ES"/>
        </w:rPr>
        <w:t>. Esta interpretación de</w:t>
      </w:r>
      <w:r>
        <w:rPr>
          <w:rFonts w:ascii="Century Gothic" w:hAnsi="Century Gothic" w:cs="Arial"/>
          <w:lang w:val="es-ES"/>
        </w:rPr>
        <w:t xml:space="preserve"> las</w:t>
      </w:r>
      <w:r w:rsidRPr="004C64AD">
        <w:rPr>
          <w:rFonts w:ascii="Century Gothic" w:hAnsi="Century Gothic" w:cs="Arial"/>
          <w:lang w:val="es-ES"/>
        </w:rPr>
        <w:t xml:space="preserve"> normas generales, por definición, no puede extenderse a la resolución de controversias ni brindar asesorías sobre casos puntuales. Por lo anterior, previo concepto de sus órganos asesores, la solución de estos temas corresponde a la entidad de adoptar la decisión y, en caso de conflicto, a las autoridades judiciales, fiscales y disciplinarias. De esta manera, </w:t>
      </w:r>
      <w:r>
        <w:rPr>
          <w:rFonts w:ascii="Century Gothic" w:hAnsi="Century Gothic" w:cs="Arial"/>
          <w:lang w:val="es-ES"/>
        </w:rPr>
        <w:t>es deber de</w:t>
      </w:r>
      <w:r w:rsidRPr="004C64AD">
        <w:rPr>
          <w:rFonts w:ascii="Century Gothic" w:hAnsi="Century Gothic" w:cs="Arial"/>
          <w:lang w:val="es-ES"/>
        </w:rPr>
        <w:t xml:space="preserve"> cada interesado definir la viabilidad técnica, jurídica y financiera de adelantar alguna gestión contractual en específico.</w:t>
      </w:r>
    </w:p>
    <w:p w14:paraId="0C1F37D3" w14:textId="77777777" w:rsidR="005D0EE5" w:rsidRPr="00FC072E" w:rsidRDefault="005D0EE5" w:rsidP="005D0EE5">
      <w:pPr>
        <w:spacing w:line="276" w:lineRule="auto"/>
        <w:jc w:val="both"/>
        <w:rPr>
          <w:rFonts w:ascii="Century Gothic" w:hAnsi="Century Gothic" w:cs="Arial"/>
          <w:color w:val="000000" w:themeColor="text1"/>
          <w:lang w:val="es-ES"/>
        </w:rPr>
      </w:pPr>
      <w:r w:rsidRPr="004C64AD">
        <w:rPr>
          <w:rFonts w:ascii="Century Gothic" w:eastAsia="Calibri" w:hAnsi="Century Gothic" w:cs="Arial"/>
          <w:bCs/>
        </w:rPr>
        <w:lastRenderedPageBreak/>
        <w:tab/>
        <w:t xml:space="preserve">En este contexto, la Subdirección –dentro de los límites de sus atribuciones– resolverá la petición conforme a las normas generales en materia de contratación estatal. Con este objetivo se abordarán </w:t>
      </w:r>
      <w:r w:rsidRPr="004C64AD">
        <w:rPr>
          <w:rFonts w:ascii="Century Gothic" w:eastAsia="Calibri" w:hAnsi="Century Gothic" w:cs="Arial"/>
          <w:bCs/>
          <w:lang w:val="es-ES"/>
        </w:rPr>
        <w:t>los siguientes temas:</w:t>
      </w:r>
      <w:r w:rsidRPr="004C64AD">
        <w:rPr>
          <w:rFonts w:ascii="Century Gothic" w:hAnsi="Century Gothic" w:cs="Arial"/>
          <w:color w:val="000000" w:themeColor="text1"/>
          <w:lang w:val="es-ES"/>
        </w:rPr>
        <w:t xml:space="preserve"> </w:t>
      </w:r>
      <w:r w:rsidRPr="001265C4">
        <w:rPr>
          <w:rFonts w:ascii="Century Gothic" w:hAnsi="Century Gothic" w:cs="Arial"/>
          <w:color w:val="000000" w:themeColor="text1"/>
          <w:lang w:val="es-ES"/>
        </w:rPr>
        <w:t>i) factores de desempate en la contratación estatal</w:t>
      </w:r>
      <w:r>
        <w:rPr>
          <w:rFonts w:ascii="Century Gothic" w:hAnsi="Century Gothic" w:cs="Arial"/>
          <w:color w:val="000000" w:themeColor="text1"/>
          <w:lang w:val="es-ES"/>
        </w:rPr>
        <w:t>;</w:t>
      </w:r>
      <w:r w:rsidRPr="001265C4">
        <w:rPr>
          <w:rFonts w:ascii="Century Gothic" w:hAnsi="Century Gothic" w:cs="Arial"/>
          <w:color w:val="000000" w:themeColor="text1"/>
          <w:lang w:val="es-ES"/>
        </w:rPr>
        <w:t xml:space="preserve"> ii) ámbito de aplicación, vigencia y reglamentación de la Ley 2069 de 2020</w:t>
      </w:r>
      <w:r>
        <w:rPr>
          <w:rFonts w:ascii="Century Gothic" w:hAnsi="Century Gothic" w:cs="Arial"/>
          <w:color w:val="000000" w:themeColor="text1"/>
          <w:lang w:val="es-ES"/>
        </w:rPr>
        <w:t>;</w:t>
      </w:r>
      <w:r w:rsidRPr="001265C4">
        <w:rPr>
          <w:rFonts w:ascii="Century Gothic" w:hAnsi="Century Gothic" w:cs="Arial"/>
          <w:color w:val="000000" w:themeColor="text1"/>
          <w:lang w:val="es-ES"/>
        </w:rPr>
        <w:t xml:space="preserve"> y iii) vinculación en mayor proporción de personas mayores no beneficiarias de la pensión de vejez, familiar o sobrevivencia como factor de desempate y su acreditación.</w:t>
      </w:r>
    </w:p>
    <w:p w14:paraId="24AD48B6" w14:textId="77777777" w:rsidR="005D0EE5" w:rsidRPr="00FC072E" w:rsidRDefault="005D0EE5" w:rsidP="005D0EE5">
      <w:pPr>
        <w:spacing w:before="120" w:after="0" w:line="276" w:lineRule="auto"/>
        <w:ind w:firstLine="709"/>
        <w:jc w:val="both"/>
        <w:rPr>
          <w:rFonts w:ascii="Century Gothic" w:eastAsia="Calibri" w:hAnsi="Century Gothic" w:cs="Arial"/>
          <w:color w:val="000000" w:themeColor="text1"/>
          <w:lang w:val="es-ES_tradnl"/>
        </w:rPr>
      </w:pPr>
      <w:r w:rsidRPr="001265C4">
        <w:rPr>
          <w:rFonts w:ascii="Century Gothic" w:eastAsia="Calibri" w:hAnsi="Century Gothic" w:cs="Arial"/>
          <w:color w:val="000000" w:themeColor="text1"/>
          <w:lang w:val="es-ES"/>
        </w:rPr>
        <w:t>La Agencia Nacional de Contratación Pública – Colombia Compra Eficiente se pronunció, en términos generales, sobre los factores de desempate en los 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C-136 del 07 de abril de 2021, C-138 del 07 de abril de 2021, C-139 del 07 de abril de 2021, C-141 del 08 de abril de 2021, C-162 de 13 de abril de 2021, C-165 del 13 de abril de</w:t>
      </w:r>
      <w:r w:rsidRPr="001265C4">
        <w:rPr>
          <w:rStyle w:val="Refdenotaalpie"/>
          <w:rFonts w:ascii="Century Gothic" w:eastAsia="Calibri" w:hAnsi="Century Gothic" w:cs="Arial"/>
          <w:color w:val="000000" w:themeColor="text1"/>
          <w:vertAlign w:val="baseline"/>
          <w:lang w:val="es-ES"/>
        </w:rPr>
        <w:t xml:space="preserve"> </w:t>
      </w:r>
      <w:r w:rsidRPr="00AB490A">
        <w:rPr>
          <w:rStyle w:val="Refdenotaalpie"/>
          <w:rFonts w:ascii="Century Gothic" w:eastAsia="Calibri" w:hAnsi="Century Gothic" w:cs="Arial"/>
          <w:color w:val="000000" w:themeColor="text1"/>
          <w:vertAlign w:val="baseline"/>
          <w:lang w:val="es-ES"/>
        </w:rPr>
        <w:t>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 C-320 del 1 de julio de 2021, C-338 del 12 de julio de 2021, C-444 del 23 de julio de, 2021, C-437 del 24 de agosto de 2021,  C-518 del 20 de septiembre de 2021,   C-438 del 28 de septiembre de 2021, C-576 del 13 de octubre de 2021, C-582 del 14 de octubre de 2021, C-586 del 14 de octubre de 2021, C-617 del 6 diciembre de 2021,  C-584 del 13 de diciembre de 2021, C-689 del 5 de enero de 2022, C-741 del 1 de febrero de 2022 y C-750 del 4 de febrero de 2022, C-322 del 20 de mayo de 2022</w:t>
      </w:r>
      <w:r>
        <w:rPr>
          <w:rFonts w:ascii="Century Gothic" w:eastAsia="Calibri" w:hAnsi="Century Gothic" w:cs="Arial"/>
          <w:color w:val="000000" w:themeColor="text1"/>
          <w:lang w:val="es-ES"/>
        </w:rPr>
        <w:t>,</w:t>
      </w:r>
      <w:r w:rsidRPr="00AB490A">
        <w:rPr>
          <w:rStyle w:val="Refdenotaalpie"/>
          <w:rFonts w:ascii="Century Gothic" w:eastAsia="Calibri" w:hAnsi="Century Gothic" w:cs="Arial"/>
          <w:color w:val="000000" w:themeColor="text1"/>
          <w:vertAlign w:val="baseline"/>
          <w:lang w:val="es-ES"/>
        </w:rPr>
        <w:t xml:space="preserve"> C-468 del 22 de julio de 2022</w:t>
      </w:r>
      <w:r>
        <w:rPr>
          <w:rFonts w:ascii="Century Gothic" w:eastAsia="Calibri" w:hAnsi="Century Gothic" w:cs="Arial"/>
          <w:color w:val="000000" w:themeColor="text1"/>
          <w:lang w:val="es-ES"/>
        </w:rPr>
        <w:t>, C-179 del 8 de junio de 2023</w:t>
      </w:r>
      <w:r w:rsidRPr="004C64AD">
        <w:rPr>
          <w:rStyle w:val="Refdenotaalpie"/>
          <w:rFonts w:ascii="Century Gothic" w:eastAsia="Calibri" w:hAnsi="Century Gothic" w:cs="Arial"/>
        </w:rPr>
        <w:footnoteReference w:id="3"/>
      </w:r>
      <w:r w:rsidRPr="004C64AD">
        <w:rPr>
          <w:rStyle w:val="normaltextrun"/>
          <w:rFonts w:ascii="Century Gothic" w:hAnsi="Century Gothic" w:cs="Arial"/>
          <w:color w:val="000000"/>
          <w:shd w:val="clear" w:color="auto" w:fill="FFFFFF"/>
        </w:rPr>
        <w:t xml:space="preserve">. </w:t>
      </w:r>
      <w:r w:rsidRPr="004C64AD">
        <w:rPr>
          <w:rFonts w:ascii="Century Gothic" w:eastAsia="Calibri" w:hAnsi="Century Gothic" w:cs="Arial"/>
          <w:color w:val="000000" w:themeColor="text1"/>
          <w:lang w:val="es-ES_tradnl"/>
        </w:rPr>
        <w:t>La tesis propuesta en estos conceptos se reitera a continuación y se complementa en lo pertinente.</w:t>
      </w:r>
    </w:p>
    <w:p w14:paraId="26CB244B" w14:textId="77777777" w:rsidR="005D0EE5" w:rsidRPr="00E3492B" w:rsidRDefault="005D0EE5" w:rsidP="005D0EE5">
      <w:pPr>
        <w:spacing w:after="0" w:line="276" w:lineRule="auto"/>
        <w:contextualSpacing/>
        <w:jc w:val="both"/>
        <w:rPr>
          <w:rFonts w:ascii="Century Gothic" w:eastAsia="Times New Roman" w:hAnsi="Century Gothic" w:cs="Arial"/>
          <w:b/>
          <w:bCs/>
          <w:szCs w:val="24"/>
          <w:lang w:eastAsia="es-ES_tradnl"/>
        </w:rPr>
      </w:pPr>
    </w:p>
    <w:p w14:paraId="5A3C113C" w14:textId="77777777" w:rsidR="005D0EE5" w:rsidRPr="00E3492B" w:rsidRDefault="005D0EE5" w:rsidP="005D0EE5">
      <w:pPr>
        <w:spacing w:after="0" w:line="276" w:lineRule="auto"/>
        <w:jc w:val="both"/>
        <w:rPr>
          <w:rFonts w:ascii="Century Gothic" w:eastAsia="Calibri" w:hAnsi="Century Gothic" w:cs="Arial"/>
          <w:b/>
          <w:bCs/>
          <w:lang w:val="es-ES_tradnl" w:eastAsia="es-ES_tradnl"/>
        </w:rPr>
      </w:pPr>
      <w:r w:rsidRPr="00E3492B">
        <w:rPr>
          <w:rFonts w:ascii="Century Gothic" w:eastAsia="Calibri" w:hAnsi="Century Gothic" w:cs="Arial"/>
          <w:b/>
          <w:bCs/>
          <w:lang w:val="es-ES_tradnl" w:eastAsia="es-ES_tradnl"/>
        </w:rPr>
        <w:t>2.1. Factores de desempate en la contratación estatal: concepto y características</w:t>
      </w:r>
    </w:p>
    <w:p w14:paraId="4D6E0948" w14:textId="77777777" w:rsidR="005D0EE5" w:rsidRPr="00E3492B" w:rsidRDefault="005D0EE5" w:rsidP="005D0EE5">
      <w:pPr>
        <w:spacing w:after="0" w:line="240" w:lineRule="auto"/>
        <w:jc w:val="both"/>
        <w:rPr>
          <w:rFonts w:ascii="Century Gothic" w:eastAsia="Calibri" w:hAnsi="Century Gothic" w:cs="Arial"/>
          <w:lang w:val="es-ES_tradnl" w:eastAsia="es-ES_tradnl"/>
        </w:rPr>
      </w:pPr>
    </w:p>
    <w:p w14:paraId="1166EADF" w14:textId="77777777" w:rsidR="005D0EE5" w:rsidRPr="00E3492B" w:rsidRDefault="005D0EE5" w:rsidP="005D0EE5">
      <w:pPr>
        <w:spacing w:after="120" w:line="276" w:lineRule="auto"/>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Dado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selección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objetiva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uno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principios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medulares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escogencia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futuro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contratista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puede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motivarse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razones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subjetivas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afecten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imparcialidad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pública.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Así</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lastRenderedPageBreak/>
        <w:t>determina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primer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inciso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artículo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5</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Ley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1150</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2007,</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indicando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objetiva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selección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escogencia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haga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ofrecimiento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más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favorable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fines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busca,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sin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tener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consideración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afecto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interés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general,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cualquier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clase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motivación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subjetiva”.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Además,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norma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citada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agrega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habilitación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calificación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establezcan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entidades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pliegos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condiciones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equivalentes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tendrán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cuenta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criterios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experiencia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capacidad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jurídica,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financiera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organización,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entre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otros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elementos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garanticen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escogencia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mejor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opción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negocio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para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estatal.</w:t>
      </w:r>
    </w:p>
    <w:p w14:paraId="344D2D14" w14:textId="77777777" w:rsidR="005D0EE5" w:rsidRPr="00E3492B" w:rsidRDefault="005D0EE5" w:rsidP="005D0EE5">
      <w:pPr>
        <w:spacing w:after="120" w:line="276" w:lineRule="auto"/>
        <w:ind w:firstLine="709"/>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perspectiva,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requisitos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habilitantes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participación,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así</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criterios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evaluación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calificación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puntos,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son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instrumentos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medio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cuales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pretende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materialización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principio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selección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objetiva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pública.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Sin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embargo,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algunas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ocasiones,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así</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establezcan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requisitos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habilitantes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calificación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óptimos,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presentan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circunstancias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una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vez</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aplicados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mismos.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ha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indicado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Agencia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Nacional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Pública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Colombia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Compra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Eficiente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“Manual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para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manejo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incentivos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procesos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ofertas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resultan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empatadas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cuando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obtienen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misma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cantidad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puntos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luego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aplicar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reglas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establecidas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pliegos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condiciones;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u,</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ofrecen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mismo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precio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casos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mínima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cuantía”.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decir,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un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evento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más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oferentes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alcanzan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una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puntuación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similar,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ponderarse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criterios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calificación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principio,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aplican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procedimiento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contractual.</w:t>
      </w:r>
      <w:r>
        <w:rPr>
          <w:rFonts w:ascii="Century Gothic" w:eastAsia="Calibri" w:hAnsi="Century Gothic" w:cs="Arial"/>
          <w:lang w:val="es-ES_tradnl" w:eastAsia="es-ES_tradnl"/>
        </w:rPr>
        <w:t xml:space="preserve"> </w:t>
      </w:r>
    </w:p>
    <w:p w14:paraId="0FC7175C" w14:textId="77777777" w:rsidR="005D0EE5" w:rsidRPr="00E3492B" w:rsidRDefault="005D0EE5" w:rsidP="005D0EE5">
      <w:pPr>
        <w:spacing w:after="120" w:line="276" w:lineRule="auto"/>
        <w:ind w:firstLine="709"/>
        <w:jc w:val="both"/>
        <w:rPr>
          <w:rFonts w:ascii="Century Gothic" w:eastAsia="Calibri" w:hAnsi="Century Gothic" w:cs="Arial"/>
          <w:lang w:val="es-ES_tradnl" w:eastAsia="es-ES_tradnl"/>
        </w:rPr>
      </w:pPr>
      <w:bookmarkStart w:id="5" w:name="_Hlk81487365"/>
      <w:r w:rsidRPr="00E3492B">
        <w:rPr>
          <w:rFonts w:ascii="Century Gothic" w:eastAsia="Calibri" w:hAnsi="Century Gothic" w:cs="Arial"/>
          <w:lang w:val="es-ES_tradnl" w:eastAsia="es-ES_tradnl"/>
        </w:rPr>
        <w:t>Sin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embargo,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ni</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siquiera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casos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limitan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alcance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selección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objetiva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contrario,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supuestos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también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debe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mantenerse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indemne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postulado.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consecuencia,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desempate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puede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propiciarse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acudiendo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arbitrariamente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consideraciones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subjetivas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estén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amparadas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ordenamiento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jurídico,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sino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deben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aplicarse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permitidos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disposiciones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normativas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regulan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materia,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entre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encuentra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artículo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35</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Ley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2069</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2020.</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jurisprudencia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comparte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idea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criterios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desempate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deben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establecidos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antemano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constituyen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un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límite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discrecionalidad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administrativa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procedimientos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selección</w:t>
      </w:r>
      <w:r w:rsidRPr="00E3492B">
        <w:rPr>
          <w:rFonts w:ascii="Century Gothic" w:eastAsia="Calibri" w:hAnsi="Century Gothic" w:cs="Arial"/>
          <w:vertAlign w:val="superscript"/>
          <w:lang w:val="es-ES_tradnl" w:eastAsia="es-ES_tradnl"/>
        </w:rPr>
        <w:footnoteReference w:id="4"/>
      </w:r>
      <w:r w:rsidRPr="00E3492B">
        <w:rPr>
          <w:rFonts w:ascii="Century Gothic" w:eastAsia="Calibri" w:hAnsi="Century Gothic" w:cs="Arial"/>
          <w:lang w:val="es-ES_tradnl" w:eastAsia="es-ES_tradnl"/>
        </w:rPr>
        <w:t>.</w:t>
      </w:r>
      <w:r>
        <w:rPr>
          <w:rFonts w:ascii="Century Gothic" w:eastAsia="Calibri" w:hAnsi="Century Gothic" w:cs="Arial"/>
          <w:lang w:val="es-ES_tradnl" w:eastAsia="es-ES_tradnl"/>
        </w:rPr>
        <w:t xml:space="preserve"> </w:t>
      </w:r>
    </w:p>
    <w:p w14:paraId="63D7D5A6" w14:textId="77777777" w:rsidR="005D0EE5" w:rsidRPr="001F3AB9" w:rsidRDefault="005D0EE5" w:rsidP="005D0EE5">
      <w:pPr>
        <w:spacing w:after="0" w:line="276" w:lineRule="auto"/>
        <w:ind w:firstLine="709"/>
        <w:jc w:val="both"/>
        <w:rPr>
          <w:rFonts w:ascii="Century Gothic" w:eastAsia="Times New Roman" w:hAnsi="Century Gothic" w:cs="Arial"/>
          <w:lang w:val="es-ES" w:eastAsia="es-CO"/>
        </w:rPr>
      </w:pP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sentido,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Corte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Constitucional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explica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cuando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ley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establece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desempate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obligatorios,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entidades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estatales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pueden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inaplicarlos,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lastRenderedPageBreak/>
        <w:t>porque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ello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podría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vulnerar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principio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igualdad,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especialmente,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cuando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algunos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criterios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surgen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acciones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afirmativas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para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ciertos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sectores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población</w:t>
      </w:r>
      <w:r w:rsidRPr="00E3492B">
        <w:rPr>
          <w:rFonts w:ascii="Century Gothic" w:eastAsia="Calibri" w:hAnsi="Century Gothic" w:cs="Arial"/>
          <w:vertAlign w:val="superscript"/>
          <w:lang w:val="es-ES_tradnl" w:eastAsia="es-ES_tradnl"/>
        </w:rPr>
        <w:footnoteReference w:id="5"/>
      </w:r>
      <w:r w:rsidRPr="00E3492B">
        <w:rPr>
          <w:rFonts w:ascii="Century Gothic" w:eastAsia="Calibri" w:hAnsi="Century Gothic" w:cs="Arial"/>
          <w:lang w:val="es-ES_tradnl" w:eastAsia="es-ES_tradnl"/>
        </w:rPr>
        <w:t>.</w:t>
      </w:r>
      <w:r>
        <w:rPr>
          <w:rFonts w:ascii="Century Gothic" w:eastAsia="Calibri" w:hAnsi="Century Gothic" w:cs="Arial"/>
          <w:lang w:val="es-ES_tradnl" w:eastAsia="es-ES_tradnl"/>
        </w:rPr>
        <w:t xml:space="preserve"> </w:t>
      </w:r>
      <w:bookmarkEnd w:id="5"/>
      <w:r>
        <w:rPr>
          <w:rFonts w:ascii="Century Gothic" w:eastAsia="Calibri" w:hAnsi="Century Gothic" w:cs="Arial"/>
          <w:lang w:val="es-ES_tradnl" w:eastAsia="es-ES_tradnl"/>
        </w:rPr>
        <w:t>Por lo demás</w:t>
      </w:r>
      <w:r w:rsidRPr="00E3492B">
        <w:rPr>
          <w:rFonts w:ascii="Century Gothic" w:eastAsia="Calibri" w:hAnsi="Century Gothic" w:cs="Arial"/>
          <w:lang w:val="es-ES_tradnl" w:eastAsia="es-ES_tradnl"/>
        </w:rPr>
        <w:t>,</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cumplimiento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principios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reciprocidad</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y</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i/>
          <w:iCs/>
          <w:lang w:val="es-ES_tradnl" w:eastAsia="es-ES_tradnl"/>
        </w:rPr>
        <w:t>pacta</w:t>
      </w:r>
      <w:r>
        <w:rPr>
          <w:rFonts w:ascii="Century Gothic" w:eastAsia="Calibri" w:hAnsi="Century Gothic" w:cs="Arial"/>
          <w:i/>
          <w:iCs/>
          <w:lang w:val="es-ES_tradnl" w:eastAsia="es-ES_tradnl"/>
        </w:rPr>
        <w:t xml:space="preserve"> </w:t>
      </w:r>
      <w:r w:rsidRPr="00E3492B">
        <w:rPr>
          <w:rFonts w:ascii="Century Gothic" w:eastAsia="Calibri" w:hAnsi="Century Gothic" w:cs="Arial"/>
          <w:i/>
          <w:iCs/>
          <w:lang w:val="es-ES_tradnl" w:eastAsia="es-ES_tradnl"/>
        </w:rPr>
        <w:t>sunt</w:t>
      </w:r>
      <w:r>
        <w:rPr>
          <w:rFonts w:ascii="Century Gothic" w:eastAsia="Calibri" w:hAnsi="Century Gothic" w:cs="Arial"/>
          <w:i/>
          <w:iCs/>
          <w:lang w:val="es-ES_tradnl" w:eastAsia="es-ES_tradnl"/>
        </w:rPr>
        <w:t xml:space="preserve"> </w:t>
      </w:r>
      <w:r w:rsidRPr="00E3492B">
        <w:rPr>
          <w:rFonts w:ascii="Century Gothic" w:eastAsia="Calibri" w:hAnsi="Century Gothic" w:cs="Arial"/>
          <w:i/>
          <w:iCs/>
          <w:lang w:val="es-ES_tradnl" w:eastAsia="es-ES_tradnl"/>
        </w:rPr>
        <w:t>servanda</w:t>
      </w:r>
      <w:r w:rsidRPr="00E3492B">
        <w:rPr>
          <w:rFonts w:ascii="Century Gothic" w:eastAsia="Calibri" w:hAnsi="Century Gothic" w:cs="Arial"/>
          <w:lang w:val="es-ES_tradnl" w:eastAsia="es-ES_tradnl"/>
        </w:rPr>
        <w:t>,</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factores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desempate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que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rigen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contratación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estatal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deben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guardar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armonía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tratados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comerciales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internacionales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suscritos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el</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colombiano.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Por</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tanto,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normas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internas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deben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acoplarse</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establecido</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en</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los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acuerdos,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pues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estos</w:t>
      </w:r>
      <w:r>
        <w:rPr>
          <w:rFonts w:ascii="Century Gothic" w:eastAsia="Calibri" w:hAnsi="Century Gothic" w:cs="Arial"/>
          <w:lang w:val="es-ES_tradnl" w:eastAsia="es-ES_tradnl"/>
        </w:rPr>
        <w:t xml:space="preserve"> </w:t>
      </w:r>
      <w:r w:rsidRPr="00E3492B">
        <w:rPr>
          <w:rFonts w:ascii="Century Gothic" w:eastAsia="Calibri" w:hAnsi="Century Gothic" w:cs="Arial"/>
          <w:lang w:val="es-ES_tradnl" w:eastAsia="es-ES_tradnl"/>
        </w:rPr>
        <w:t>prevalecen.</w:t>
      </w:r>
    </w:p>
    <w:p w14:paraId="6A2C281B" w14:textId="77777777" w:rsidR="005D0EE5" w:rsidRPr="00E3492B" w:rsidRDefault="005D0EE5" w:rsidP="005D0EE5">
      <w:pPr>
        <w:spacing w:after="0" w:line="276" w:lineRule="auto"/>
        <w:jc w:val="both"/>
        <w:rPr>
          <w:rFonts w:ascii="Century Gothic" w:eastAsia="Calibri" w:hAnsi="Century Gothic" w:cs="Arial"/>
          <w:lang w:val="es-ES_tradnl" w:eastAsia="es-ES_tradnl"/>
        </w:rPr>
      </w:pPr>
    </w:p>
    <w:p w14:paraId="3B0B75BE" w14:textId="77777777" w:rsidR="005D0EE5" w:rsidRPr="00E3492B" w:rsidRDefault="005D0EE5" w:rsidP="005D0EE5">
      <w:pPr>
        <w:spacing w:after="0" w:line="276" w:lineRule="auto"/>
        <w:jc w:val="both"/>
        <w:rPr>
          <w:rFonts w:ascii="Century Gothic" w:eastAsia="Calibri" w:hAnsi="Century Gothic" w:cs="Arial"/>
          <w:b/>
          <w:bCs/>
          <w:lang w:val="es-ES_tradnl" w:eastAsia="es-ES_tradnl"/>
        </w:rPr>
      </w:pPr>
      <w:r w:rsidRPr="00E3492B">
        <w:rPr>
          <w:rFonts w:ascii="Century Gothic" w:eastAsia="Calibri" w:hAnsi="Century Gothic" w:cs="Arial"/>
          <w:b/>
          <w:bCs/>
          <w:lang w:val="es-ES_tradnl" w:eastAsia="es-ES_tradnl"/>
        </w:rPr>
        <w:t xml:space="preserve">2.2. Ámbito de aplicación, vigencia y reglamentación de la Ley 2069 de 2020 </w:t>
      </w:r>
    </w:p>
    <w:p w14:paraId="41B0BD02" w14:textId="77777777" w:rsidR="005D0EE5" w:rsidRPr="00E3492B" w:rsidRDefault="005D0EE5" w:rsidP="005D0EE5">
      <w:pPr>
        <w:spacing w:after="0" w:line="276" w:lineRule="auto"/>
        <w:jc w:val="both"/>
        <w:rPr>
          <w:rFonts w:ascii="Century Gothic" w:eastAsia="Calibri" w:hAnsi="Century Gothic" w:cs="Arial"/>
          <w:lang w:val="es-ES_tradnl" w:eastAsia="es-ES_tradnl"/>
        </w:rPr>
      </w:pPr>
    </w:p>
    <w:p w14:paraId="344FDE67" w14:textId="77777777" w:rsidR="005D0EE5" w:rsidRPr="00E3492B" w:rsidRDefault="005D0EE5" w:rsidP="005D0EE5">
      <w:pPr>
        <w:spacing w:after="120" w:line="276" w:lineRule="auto"/>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El 31 de diciembre de 2020 se promulgó la Ley 2069, “Por medio de la cual se impulsa el emprendimiento en Colombia”. De acuerdo con el artículo 84, “La presente Ley rige a partir del momento de su promulgación […]”, lo que significa que es obligatoria para sus destinatarios desde esa fecha. Lo anterior, sin perjuicio de la posibilidad de que el gobierno nacional, en ejercicio de la potestad reglamentaria que le confiere el artículo 189, numeral 11, de la Constitución Política, expidiera el decreto correspondiente que permitiera la cumplida ejecución de esta Ley, tal como aconteció con el Decreto 1860 de 2021, al cual se hará referencia más adelante.</w:t>
      </w:r>
    </w:p>
    <w:p w14:paraId="7713E5BD" w14:textId="77777777" w:rsidR="005D0EE5" w:rsidRPr="00E3492B" w:rsidRDefault="005D0EE5" w:rsidP="005D0EE5">
      <w:pPr>
        <w:spacing w:after="120" w:line="276" w:lineRule="auto"/>
        <w:ind w:firstLine="709"/>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En cuanto al contenido de la Ley 2069 de 2020, es importante señalar que, como dispone el artículo 1, aquella “tiene por objeto establecer un marco regulatorio que propicie el emprendimiento y el crecimiento, consolidación y sostenibilidad de las empresas, con el fin de aumentar el bienestar social y generar equidad”. Esto, a partir de “[…] un enfoque regionalizado de acuerdo a las realidades socioeconómicas de cada región”. En desarrollo de esta finalidad, se establecen medidas de apoyo para las micro, pequeñas y medianas empresas –mipymes–, mediante la racionalización y simplificación de los trámites y tarifas</w:t>
      </w:r>
      <w:r w:rsidRPr="00E3492B">
        <w:rPr>
          <w:rFonts w:ascii="Century Gothic" w:eastAsia="Calibri" w:hAnsi="Century Gothic" w:cs="Arial"/>
          <w:vertAlign w:val="superscript"/>
          <w:lang w:val="es-ES_tradnl" w:eastAsia="es-ES_tradnl"/>
        </w:rPr>
        <w:footnoteReference w:id="6"/>
      </w:r>
      <w:r w:rsidRPr="00E3492B">
        <w:rPr>
          <w:rFonts w:ascii="Century Gothic" w:eastAsia="Calibri" w:hAnsi="Century Gothic" w:cs="Arial"/>
          <w:lang w:val="es-ES_tradnl" w:eastAsia="es-ES_tradnl"/>
        </w:rPr>
        <w:t>, así como incentivos a favor de aquellas dentro del sistema de compras y contratación pública</w:t>
      </w:r>
      <w:r w:rsidRPr="00E3492B">
        <w:rPr>
          <w:rFonts w:ascii="Century Gothic" w:eastAsia="Calibri" w:hAnsi="Century Gothic" w:cs="Arial"/>
          <w:vertAlign w:val="superscript"/>
          <w:lang w:val="es-ES_tradnl" w:eastAsia="es-ES_tradnl"/>
        </w:rPr>
        <w:footnoteReference w:id="7"/>
      </w:r>
      <w:r w:rsidRPr="00E3492B">
        <w:rPr>
          <w:rFonts w:ascii="Century Gothic" w:eastAsia="Calibri" w:hAnsi="Century Gothic" w:cs="Arial"/>
          <w:lang w:val="es-ES_tradnl" w:eastAsia="es-ES_tradnl"/>
        </w:rPr>
        <w:t>. También se consagran mecanismos de acceso al financiamiento</w:t>
      </w:r>
      <w:r w:rsidRPr="00E3492B">
        <w:rPr>
          <w:rFonts w:ascii="Century Gothic" w:eastAsia="Calibri" w:hAnsi="Century Gothic" w:cs="Arial"/>
          <w:vertAlign w:val="superscript"/>
          <w:lang w:val="es-ES_tradnl" w:eastAsia="es-ES_tradnl"/>
        </w:rPr>
        <w:footnoteReference w:id="8"/>
      </w:r>
      <w:r w:rsidRPr="00E3492B">
        <w:rPr>
          <w:rFonts w:ascii="Century Gothic" w:eastAsia="Calibri" w:hAnsi="Century Gothic" w:cs="Arial"/>
          <w:lang w:val="es-ES_tradnl" w:eastAsia="es-ES_tradnl"/>
        </w:rPr>
        <w:t xml:space="preserve">, se unifican las fuentes de emprendimiento y de desarrollo empresarial, para fortalecer </w:t>
      </w:r>
      <w:r w:rsidRPr="00E3492B">
        <w:rPr>
          <w:rFonts w:ascii="Century Gothic" w:eastAsia="Calibri" w:hAnsi="Century Gothic" w:cs="Arial"/>
          <w:lang w:val="es-ES_tradnl" w:eastAsia="es-ES_tradnl"/>
        </w:rPr>
        <w:lastRenderedPageBreak/>
        <w:t>y promover los distintos sectores de la economía</w:t>
      </w:r>
      <w:r w:rsidRPr="00E3492B">
        <w:rPr>
          <w:rFonts w:ascii="Century Gothic" w:eastAsia="Calibri" w:hAnsi="Century Gothic" w:cs="Arial"/>
          <w:vertAlign w:val="superscript"/>
          <w:lang w:val="es-ES_tradnl" w:eastAsia="es-ES_tradnl"/>
        </w:rPr>
        <w:footnoteReference w:id="9"/>
      </w:r>
      <w:r w:rsidRPr="00E3492B">
        <w:rPr>
          <w:rFonts w:ascii="Century Gothic" w:eastAsia="Calibri" w:hAnsi="Century Gothic" w:cs="Arial"/>
          <w:lang w:val="es-ES_tradnl" w:eastAsia="es-ES_tradnl"/>
        </w:rPr>
        <w:t xml:space="preserve"> y se prevén medidas de educación para el emprendimiento y la innovación</w:t>
      </w:r>
      <w:r w:rsidRPr="00E3492B">
        <w:rPr>
          <w:rFonts w:ascii="Century Gothic" w:eastAsia="Calibri" w:hAnsi="Century Gothic" w:cs="Arial"/>
          <w:vertAlign w:val="superscript"/>
          <w:lang w:val="es-ES_tradnl" w:eastAsia="es-ES_tradnl"/>
        </w:rPr>
        <w:footnoteReference w:id="10"/>
      </w:r>
      <w:r w:rsidRPr="00E3492B">
        <w:rPr>
          <w:rFonts w:ascii="Century Gothic" w:eastAsia="Calibri" w:hAnsi="Century Gothic" w:cs="Arial"/>
          <w:lang w:val="es-ES_tradnl" w:eastAsia="es-ES_tradnl"/>
        </w:rPr>
        <w:t>.</w:t>
      </w:r>
    </w:p>
    <w:p w14:paraId="51617912" w14:textId="77777777" w:rsidR="005D0EE5" w:rsidRPr="00E3492B" w:rsidRDefault="005D0EE5" w:rsidP="005D0EE5">
      <w:pPr>
        <w:spacing w:after="120" w:line="276" w:lineRule="auto"/>
        <w:ind w:firstLine="709"/>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 xml:space="preserve">Como se indicó, parte de la Ley 2069 contiene normas que modifican algunos aspectos de la contratación estatal para promover el emprendimiento. Concretamente, aquellas se encuentran en el Capítulo III –artículos 30 al 36–. En su orden, tales artículos consagran: i) reglas sobre la participación de las mipymes en el procedimiento de mínima cuantía, ii) criterios diferenciales para mipymes en el sistema de compras públicas, iii) criterios diferenciales para emprendimientos y empresas de mujeres en el sistema de compras públicas, iv) promoción del acceso de las mipymes al mercado de compras públicas, v) promoción del desarrollo en la contratación pública, vi) un nuevo régimen de factores de desempate y vi) un llamado a las entidades estatales para que promuevan compras públicas en el marco de la tecnología y la innovación. Teniendo en cuenta que la consulta está relacionada con la interpretación del artículo 35 de la referida ley, a continuación, se estudiará el contenido y alcance de dicha norma.  </w:t>
      </w:r>
    </w:p>
    <w:p w14:paraId="236E99A8" w14:textId="77777777" w:rsidR="005D0EE5" w:rsidRPr="00E3492B" w:rsidRDefault="005D0EE5" w:rsidP="005D0EE5">
      <w:pPr>
        <w:spacing w:after="120" w:line="276" w:lineRule="auto"/>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ab/>
        <w:t xml:space="preserve">El artículo 35 de la Ley 2069 de 2020 modifica la regulación de los factores de desempate en la contratación estatal. Al respecto, pese a que el parágrafo 3 dispone que el gobierno nacional podrá regular los supuestos en que concurran dos o más factores de desempate, se considera que el artículo 35 de la Ley 2069 de 2020 goza de aplicación directa desde la fecha de su promulgación, es decir, no requería de una reglamentación previa como presupuesto para su eficacia. Esta precisión reviste de importancia, porque algunos enunciados normativos de la ley bajo análisis establecen un mandato de reglamentación, dirigido al gobierno nacional, como condición para aplicar lo dispuesto en ella. </w:t>
      </w:r>
    </w:p>
    <w:p w14:paraId="65098E02" w14:textId="77777777" w:rsidR="005D0EE5" w:rsidRPr="00E3492B" w:rsidRDefault="005D0EE5" w:rsidP="005D0EE5">
      <w:pPr>
        <w:spacing w:after="120" w:line="276" w:lineRule="auto"/>
        <w:ind w:firstLine="709"/>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t xml:space="preserve">Por ejemplo, en lo que a las compras públicas se refiere, el parágrafo primero del artículo 30, que alude a la participación de </w:t>
      </w:r>
      <w:r>
        <w:rPr>
          <w:rFonts w:ascii="Century Gothic" w:eastAsia="Calibri" w:hAnsi="Century Gothic" w:cs="Arial"/>
          <w:lang w:val="es-ES_tradnl" w:eastAsia="es-ES_tradnl"/>
        </w:rPr>
        <w:t>M</w:t>
      </w:r>
      <w:r w:rsidRPr="00E3492B">
        <w:rPr>
          <w:rFonts w:ascii="Century Gothic" w:eastAsia="Calibri" w:hAnsi="Century Gothic" w:cs="Arial"/>
          <w:lang w:val="es-ES_tradnl" w:eastAsia="es-ES_tradnl"/>
        </w:rPr>
        <w:t xml:space="preserve">ipymes en procedimientos de mínima cuantía, establece que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En un sentido similar, el parágrafo segundo del mismo artículo expresa que “La contratación a que se refiere el presente artículo se realizará exclusivamente con las reglas en él contempladas y en su reglamentación […]”. </w:t>
      </w:r>
    </w:p>
    <w:p w14:paraId="3A99C39C" w14:textId="77777777" w:rsidR="005D0EE5" w:rsidRPr="00E3492B" w:rsidRDefault="005D0EE5" w:rsidP="005D0EE5">
      <w:pPr>
        <w:spacing w:after="120" w:line="276" w:lineRule="auto"/>
        <w:ind w:firstLine="709"/>
        <w:jc w:val="both"/>
        <w:rPr>
          <w:rFonts w:ascii="Century Gothic" w:eastAsia="Calibri" w:hAnsi="Century Gothic" w:cs="Arial"/>
          <w:lang w:val="es-ES_tradnl" w:eastAsia="es-ES_tradnl"/>
        </w:rPr>
      </w:pPr>
      <w:r w:rsidRPr="00E3492B">
        <w:rPr>
          <w:rFonts w:ascii="Century Gothic" w:eastAsia="Calibri" w:hAnsi="Century Gothic" w:cs="Arial"/>
          <w:lang w:val="es-ES_tradnl" w:eastAsia="es-ES_tradnl"/>
        </w:rPr>
        <w:lastRenderedPageBreak/>
        <w:t xml:space="preserve">Lo mismo no sucede con el artículo 35. En efecto, </w:t>
      </w:r>
      <w:r w:rsidRPr="00E3492B">
        <w:rPr>
          <w:rFonts w:ascii="Century Gothic" w:eastAsia="Times New Roman" w:hAnsi="Century Gothic" w:cs="Arial"/>
          <w:lang w:val="es-ES_tradnl" w:eastAsia="es-ES_tradnl"/>
        </w:rPr>
        <w:t>si bien los factores de desempate regulados en el artículo 35 deben aplicarse “</w:t>
      </w:r>
      <w:r w:rsidRPr="00E3492B">
        <w:rPr>
          <w:rFonts w:ascii="Century Gothic" w:eastAsia="Times New Roman" w:hAnsi="Century Gothic" w:cs="Arial"/>
          <w:sz w:val="24"/>
          <w:szCs w:val="24"/>
          <w:lang w:val="es-ES_tradnl" w:eastAsia="es-ES_tradnl"/>
        </w:rPr>
        <w:t xml:space="preserve">[…] </w:t>
      </w:r>
      <w:r w:rsidRPr="00E3492B">
        <w:rPr>
          <w:rFonts w:ascii="Century Gothic" w:eastAsia="Times New Roman" w:hAnsi="Century Gothic" w:cs="Arial"/>
          <w:lang w:val="es-ES_tradnl" w:eastAsia="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sin perjuicio de la competencia general prevista en el artículo 189.11 de Constitución Política de 1991, este parágrafo le asigna potestad reglamentaria al gobierno nacional para definir factores que permitan desempatar las ofertas en aquellos casos en que varios oferentes reúnan al tiempo dos o más de los factores previstos en el artículo 35. </w:t>
      </w:r>
      <w:r w:rsidRPr="00E3492B">
        <w:rPr>
          <w:rFonts w:ascii="Century Gothic" w:eastAsia="Calibri" w:hAnsi="Century Gothic" w:cs="Arial"/>
          <w:lang w:val="es-ES_tradnl" w:eastAsia="es-ES_tradnl"/>
        </w:rPr>
        <w:t xml:space="preserve">  </w:t>
      </w:r>
    </w:p>
    <w:p w14:paraId="37F20C31" w14:textId="77777777" w:rsidR="005D0EE5" w:rsidRPr="00E3492B" w:rsidRDefault="005D0EE5" w:rsidP="005D0EE5">
      <w:pPr>
        <w:spacing w:after="120" w:line="276" w:lineRule="auto"/>
        <w:jc w:val="both"/>
        <w:rPr>
          <w:rFonts w:ascii="Century Gothic" w:eastAsia="Calibri" w:hAnsi="Century Gothic" w:cs="Arial"/>
          <w:lang w:val="es-ES_tradnl" w:eastAsia="es-ES_tradnl"/>
        </w:rPr>
      </w:pPr>
      <w:r w:rsidRPr="00E3492B">
        <w:rPr>
          <w:rFonts w:ascii="Century Gothic" w:eastAsia="Calibri" w:hAnsi="Century Gothic" w:cs="Arial"/>
          <w:b/>
          <w:bCs/>
          <w:lang w:val="es-ES_tradnl" w:eastAsia="es-ES_tradnl"/>
        </w:rPr>
        <w:tab/>
      </w:r>
      <w:r w:rsidRPr="00E3492B">
        <w:rPr>
          <w:rFonts w:ascii="Century Gothic" w:eastAsia="Calibri" w:hAnsi="Century Gothic" w:cs="Arial"/>
          <w:lang w:val="es-ES_tradnl" w:eastAsia="es-ES_tradnl"/>
        </w:rPr>
        <w:t>Lo explicado en los párrafos precedentes es importante, porque el 24 de diciembre</w:t>
      </w:r>
      <w:r>
        <w:rPr>
          <w:rFonts w:ascii="Century Gothic" w:eastAsia="Calibri" w:hAnsi="Century Gothic" w:cs="Arial"/>
          <w:lang w:val="es-ES_tradnl" w:eastAsia="es-ES_tradnl"/>
        </w:rPr>
        <w:t xml:space="preserve"> de 2021</w:t>
      </w:r>
      <w:r w:rsidRPr="00E3492B">
        <w:rPr>
          <w:rFonts w:ascii="Century Gothic" w:eastAsia="Calibri" w:hAnsi="Century Gothic" w:cs="Arial"/>
          <w:lang w:val="es-ES_tradnl" w:eastAsia="es-ES_tradnl"/>
        </w:rPr>
        <w:t>, el gobierno nacional expidió el Decreto 1860,</w:t>
      </w:r>
      <w:r w:rsidRPr="00E3492B">
        <w:rPr>
          <w:rFonts w:ascii="Century Gothic" w:eastAsia="Times New Roman" w:hAnsi="Century Gothic" w:cs="Times New Roman"/>
          <w:sz w:val="24"/>
          <w:szCs w:val="24"/>
          <w:lang w:eastAsia="es-ES_tradnl"/>
        </w:rPr>
        <w:t xml:space="preserve"> </w:t>
      </w:r>
      <w:r w:rsidRPr="00E3492B">
        <w:rPr>
          <w:rFonts w:ascii="Century Gothic" w:eastAsia="Calibri" w:hAnsi="Century Gothic" w:cs="Arial"/>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Esta norma se expidió con el propósito de adecuar el marco reglamentario de la contratación pública a las modificaciones normativas que se desprenden del Capítulo III de la Ley 2069 de 2020 –con excepción de los artículos 33 y 36–, realizando las adecuaciones requeridas para aplicar estas disposiciones, tal como indica el artículo 1 del Decreto 1860 de 2021</w:t>
      </w:r>
      <w:r w:rsidRPr="00E3492B">
        <w:rPr>
          <w:rFonts w:ascii="Century Gothic" w:eastAsia="Calibri" w:hAnsi="Century Gothic" w:cs="Arial"/>
          <w:vertAlign w:val="superscript"/>
          <w:lang w:val="es-ES_tradnl" w:eastAsia="es-ES_tradnl"/>
        </w:rPr>
        <w:footnoteReference w:id="11"/>
      </w:r>
      <w:r w:rsidRPr="00E3492B">
        <w:rPr>
          <w:rFonts w:ascii="Century Gothic" w:eastAsia="Calibri" w:hAnsi="Century Gothic" w:cs="Arial"/>
          <w:lang w:val="es-ES_tradnl" w:eastAsia="es-ES_tradnl"/>
        </w:rPr>
        <w:t xml:space="preserve">.  </w:t>
      </w:r>
    </w:p>
    <w:p w14:paraId="5BCA8971" w14:textId="77777777" w:rsidR="005D0EE5" w:rsidRPr="00E3492B" w:rsidRDefault="005D0EE5" w:rsidP="005D0EE5">
      <w:pPr>
        <w:spacing w:after="120" w:line="276" w:lineRule="auto"/>
        <w:jc w:val="both"/>
        <w:rPr>
          <w:rFonts w:ascii="Century Gothic" w:eastAsia="Times New Roman" w:hAnsi="Century Gothic" w:cs="Arial"/>
          <w:lang w:eastAsia="es-CO"/>
        </w:rPr>
      </w:pPr>
      <w:r w:rsidRPr="00E3492B">
        <w:rPr>
          <w:rFonts w:ascii="Century Gothic" w:eastAsia="Calibri" w:hAnsi="Century Gothic" w:cs="Arial"/>
          <w:lang w:val="es-ES_tradnl" w:eastAsia="es-ES_tradnl"/>
        </w:rPr>
        <w:tab/>
        <w:t>En lo relativo al artículo 35 de la Ley 2069 de 2020, el artículo 3 del Decreto 1860 de 2021 adiciona el artículo 2.2.1.2.4.2.17 a la Subsección 2 de la Sección 4 del Capítulo 2 del Título 1 de la Parte 2 del Libro 2 del Decreto 1082 de 2015</w:t>
      </w:r>
      <w:r w:rsidRPr="00E3492B">
        <w:rPr>
          <w:rFonts w:ascii="Century Gothic" w:eastAsia="Times New Roman" w:hAnsi="Century Gothic" w:cs="Arial"/>
          <w:lang w:eastAsia="es-CO"/>
        </w:rPr>
        <w:t xml:space="preserve">, el cual reglamenta los factores de desempate del artículo 35 </w:t>
      </w:r>
      <w:r w:rsidRPr="00E3492B">
        <w:rPr>
          <w:rFonts w:ascii="Century Gothic" w:eastAsia="Times New Roman" w:hAnsi="Century Gothic" w:cs="Arial"/>
          <w:i/>
          <w:iCs/>
          <w:lang w:eastAsia="es-CO"/>
        </w:rPr>
        <w:t>ibídem</w:t>
      </w:r>
      <w:r w:rsidRPr="00E3492B">
        <w:rPr>
          <w:rFonts w:ascii="Century Gothic" w:eastAsia="Times New Roman" w:hAnsi="Century Gothic" w:cs="Arial"/>
          <w:lang w:eastAsia="es-CO"/>
        </w:rPr>
        <w:t>, estableciendo los medios de acreditación de cada uno de los supuestos de hecho en función de los cuales operan.</w:t>
      </w:r>
      <w:r>
        <w:rPr>
          <w:rFonts w:ascii="Century Gothic" w:eastAsia="Times New Roman" w:hAnsi="Century Gothic" w:cs="Arial"/>
          <w:lang w:eastAsia="es-CO"/>
        </w:rPr>
        <w:t xml:space="preserve"> </w:t>
      </w:r>
      <w:r w:rsidRPr="00E3492B">
        <w:rPr>
          <w:rFonts w:ascii="Century Gothic" w:eastAsia="Times New Roman" w:hAnsi="Century Gothic" w:cs="Arial"/>
          <w:lang w:eastAsia="es-CO"/>
        </w:rPr>
        <w:t xml:space="preserve">De otra parte, el artículo 7 del Decreto modificó el artículo 2.2.1.2.4.2.8 </w:t>
      </w:r>
      <w:r w:rsidRPr="00E3492B">
        <w:rPr>
          <w:rFonts w:ascii="Century Gothic" w:eastAsia="Times New Roman" w:hAnsi="Century Gothic" w:cs="Arial"/>
          <w:shd w:val="clear" w:color="auto" w:fill="FFFFFF"/>
          <w:lang w:eastAsia="es-CO"/>
        </w:rPr>
        <w:t xml:space="preserve">de la Subsección 2 de la Sección 4 del Capítulo 2 del Título 1 de la Parte 2 del Libro 2 del Decreto 1082 de 2015, alusivo al sistema de preferencias en favor de las personas con discapacidad. </w:t>
      </w:r>
      <w:r w:rsidRPr="00E3492B">
        <w:rPr>
          <w:rFonts w:ascii="Century Gothic" w:eastAsia="Times New Roman" w:hAnsi="Century Gothic" w:cs="Arial"/>
          <w:lang w:eastAsia="es-CO"/>
        </w:rPr>
        <w:t xml:space="preserve">La modificación realizada reemplazó la </w:t>
      </w:r>
      <w:r w:rsidRPr="00E3492B">
        <w:rPr>
          <w:rFonts w:ascii="Century Gothic" w:eastAsia="Times New Roman" w:hAnsi="Century Gothic" w:cs="Arial"/>
          <w:lang w:eastAsia="es-CO"/>
        </w:rPr>
        <w:lastRenderedPageBreak/>
        <w:t>referencia al artículo 2.2.1.1.2.2.9 del Decreto 1082 de 2015, que anteriormente reglamentaba los factores de desempate, por una remisión al artículo 35 de la Ley 2069 de 2020 y el artículo 2.2.1.2.4.2.17 del Decreto 1082 de 2015, disposiciones por las que ahora se rigen los criterios de desempate.</w:t>
      </w:r>
    </w:p>
    <w:p w14:paraId="0407A57F" w14:textId="77777777" w:rsidR="005D0EE5" w:rsidRDefault="005D0EE5" w:rsidP="005D0EE5">
      <w:pPr>
        <w:spacing w:after="0" w:line="276" w:lineRule="auto"/>
        <w:jc w:val="both"/>
        <w:rPr>
          <w:rFonts w:ascii="Century Gothic" w:eastAsia="Arial" w:hAnsi="Century Gothic" w:cs="Arial"/>
          <w:bCs/>
          <w:lang w:val="es-ES_tradnl" w:eastAsia="es-ES" w:bidi="es-ES"/>
        </w:rPr>
      </w:pPr>
      <w:r w:rsidRPr="00E3492B">
        <w:rPr>
          <w:rFonts w:ascii="Century Gothic" w:eastAsia="Times New Roman" w:hAnsi="Century Gothic" w:cs="Arial"/>
          <w:lang w:eastAsia="es-CO"/>
        </w:rPr>
        <w:tab/>
        <w:t>Por último, debe precisarse que la vigencia del Decreto 1860 de 2021 es regulada por su artículo 8, el cual establece que “Las disposiciones contenidas en el presente Decreto se aplicarán a los procedimientos de selección cuya invitación, aviso de convocatoria o documento equivalente se publique a los tres (3) meses contados a partir de su expedición”. De acuerdo con esto, habiéndose expedido el referido decreto el 24 de diciembre de 2021, la aplicación de su contenido deberá comenzar una vez transcurridos tres (3) meses contados a partir de entonces, en los procesos cuyos avisos de convocatorias, invitaciones o documentos equivalentes se publiquen con posterioridad a dicho término</w:t>
      </w:r>
      <w:r w:rsidRPr="00E3492B">
        <w:rPr>
          <w:rFonts w:ascii="Century Gothic" w:eastAsia="Times New Roman" w:hAnsi="Century Gothic" w:cs="Arial"/>
          <w:vertAlign w:val="superscript"/>
          <w:lang w:eastAsia="es-CO"/>
        </w:rPr>
        <w:footnoteReference w:id="12"/>
      </w:r>
      <w:r w:rsidRPr="00E3492B">
        <w:rPr>
          <w:rFonts w:ascii="Century Gothic" w:eastAsia="Times New Roman" w:hAnsi="Century Gothic" w:cs="Arial"/>
          <w:lang w:eastAsia="es-CO"/>
        </w:rPr>
        <w:t xml:space="preserve">. </w:t>
      </w:r>
      <w:r w:rsidRPr="00E3492B">
        <w:rPr>
          <w:rFonts w:ascii="Century Gothic" w:eastAsia="Calibri" w:hAnsi="Century Gothic" w:cs="Arial"/>
          <w:bCs/>
          <w:color w:val="000000"/>
          <w:szCs w:val="24"/>
          <w:lang w:val="es-ES_tradnl" w:eastAsia="es-ES_tradnl"/>
        </w:rPr>
        <w:t xml:space="preserve">En tal sentido, tratándose de la acreditación de los factores de desempate dichas modificaciones tienen efectos en los procesos </w:t>
      </w:r>
      <w:r w:rsidRPr="00E3492B">
        <w:rPr>
          <w:rFonts w:ascii="Century Gothic" w:eastAsia="Arial" w:hAnsi="Century Gothic" w:cs="Arial"/>
          <w:bCs/>
          <w:lang w:val="es-ES_tradnl" w:eastAsia="es-ES" w:bidi="es-ES"/>
        </w:rPr>
        <w:t xml:space="preserve">cuya invitación o aviso de convocatoria </w:t>
      </w:r>
      <w:r w:rsidRPr="00E3492B">
        <w:rPr>
          <w:rFonts w:ascii="Century Gothic" w:eastAsia="Calibri" w:hAnsi="Century Gothic" w:cs="Arial"/>
          <w:bCs/>
          <w:color w:val="000000"/>
          <w:szCs w:val="24"/>
          <w:lang w:val="es-ES_tradnl" w:eastAsia="es-ES_tradnl"/>
        </w:rPr>
        <w:t>se hubiese publicado a partir del 24 de marzo de 2022</w:t>
      </w:r>
      <w:r w:rsidRPr="00E3492B">
        <w:rPr>
          <w:rFonts w:ascii="Century Gothic" w:eastAsia="Arial" w:hAnsi="Century Gothic" w:cs="Arial"/>
          <w:bCs/>
          <w:lang w:val="es-ES_tradnl" w:eastAsia="es-ES" w:bidi="es-ES"/>
        </w:rPr>
        <w:t>.</w:t>
      </w:r>
    </w:p>
    <w:p w14:paraId="3464ACC3" w14:textId="77777777" w:rsidR="005D0EE5" w:rsidRPr="00D226AB" w:rsidRDefault="005D0EE5" w:rsidP="005D0EE5">
      <w:pPr>
        <w:spacing w:after="0" w:line="276" w:lineRule="auto"/>
        <w:jc w:val="both"/>
        <w:rPr>
          <w:rFonts w:ascii="Century Gothic" w:eastAsia="Arial" w:hAnsi="Century Gothic" w:cs="Arial"/>
          <w:bCs/>
          <w:lang w:val="es-ES_tradnl" w:eastAsia="es-ES" w:bidi="es-ES"/>
        </w:rPr>
      </w:pPr>
    </w:p>
    <w:p w14:paraId="15449474" w14:textId="77777777" w:rsidR="005D0EE5" w:rsidRPr="00D226AB" w:rsidRDefault="005D0EE5" w:rsidP="005D0EE5">
      <w:pPr>
        <w:spacing w:after="0" w:line="276" w:lineRule="auto"/>
        <w:jc w:val="both"/>
        <w:rPr>
          <w:rFonts w:ascii="Century Gothic" w:eastAsia="Calibri" w:hAnsi="Century Gothic" w:cs="Arial"/>
          <w:b/>
          <w:i/>
          <w:iCs/>
          <w:szCs w:val="24"/>
          <w:lang w:val="es-ES_tradnl" w:eastAsia="es-ES_tradnl"/>
        </w:rPr>
      </w:pPr>
      <w:r w:rsidRPr="00D226AB">
        <w:rPr>
          <w:rFonts w:ascii="Century Gothic" w:eastAsia="Calibri" w:hAnsi="Century Gothic" w:cs="Arial"/>
          <w:b/>
          <w:bCs/>
          <w:lang w:val="es-ES_tradnl" w:eastAsia="es-ES_tradnl"/>
        </w:rPr>
        <w:t xml:space="preserve">2.3. </w:t>
      </w:r>
      <w:bookmarkStart w:id="6" w:name="_Hlk102639925"/>
      <w:r w:rsidRPr="00D226AB">
        <w:rPr>
          <w:rFonts w:ascii="Century Gothic" w:eastAsia="Calibri" w:hAnsi="Century Gothic" w:cs="Arial"/>
          <w:b/>
          <w:bCs/>
          <w:i/>
          <w:iCs/>
          <w:lang w:val="es-ES_tradnl" w:eastAsia="es-ES_tradnl"/>
        </w:rPr>
        <w:t xml:space="preserve"> </w:t>
      </w:r>
      <w:bookmarkEnd w:id="6"/>
      <w:r w:rsidRPr="00D226AB">
        <w:rPr>
          <w:rFonts w:ascii="Century Gothic" w:eastAsia="Calibri" w:hAnsi="Century Gothic" w:cs="Arial"/>
          <w:b/>
          <w:iCs/>
          <w:szCs w:val="24"/>
          <w:lang w:val="es-ES_tradnl" w:eastAsia="es-ES_tradnl"/>
        </w:rPr>
        <w:t>La vinculación en mayor proporción de personas mayores no beneficiarias de la pensión de vejez, familiar o sobrevivencia como factor de desempate y su acreditación</w:t>
      </w:r>
    </w:p>
    <w:p w14:paraId="02FFD0EE" w14:textId="77777777" w:rsidR="005D0EE5" w:rsidRPr="00D226AB" w:rsidRDefault="005D0EE5" w:rsidP="005D0EE5">
      <w:pPr>
        <w:tabs>
          <w:tab w:val="left" w:pos="0"/>
        </w:tabs>
        <w:spacing w:after="0" w:line="240" w:lineRule="auto"/>
        <w:jc w:val="both"/>
        <w:rPr>
          <w:rFonts w:ascii="Century Gothic" w:eastAsia="Calibri" w:hAnsi="Century Gothic" w:cs="Arial"/>
          <w:b/>
          <w:i/>
          <w:iCs/>
          <w:szCs w:val="24"/>
          <w:lang w:val="es-ES_tradnl" w:eastAsia="es-ES_tradnl"/>
        </w:rPr>
      </w:pPr>
    </w:p>
    <w:p w14:paraId="2AFEE313" w14:textId="77777777" w:rsidR="005D0EE5" w:rsidRPr="00D226AB" w:rsidRDefault="005D0EE5" w:rsidP="005D0EE5">
      <w:pPr>
        <w:tabs>
          <w:tab w:val="left" w:pos="6551"/>
        </w:tabs>
        <w:spacing w:after="120" w:line="276" w:lineRule="auto"/>
        <w:jc w:val="both"/>
        <w:rPr>
          <w:rFonts w:ascii="Century Gothic" w:eastAsia="Calibri" w:hAnsi="Century Gothic" w:cs="Arial"/>
          <w:color w:val="000000"/>
          <w:szCs w:val="24"/>
          <w:lang w:val="es-ES_tradnl" w:eastAsia="es-ES_tradnl"/>
        </w:rPr>
      </w:pPr>
      <w:r w:rsidRPr="00D226AB">
        <w:rPr>
          <w:rFonts w:ascii="Century Gothic" w:eastAsia="Calibri" w:hAnsi="Century Gothic" w:cs="Arial"/>
          <w:bCs/>
          <w:szCs w:val="24"/>
          <w:lang w:val="es-ES_tradnl" w:eastAsia="es-ES_tradnl"/>
        </w:rPr>
        <w:t xml:space="preserve">Con respecto al numeral 4 del artículo </w:t>
      </w:r>
      <w:r w:rsidRPr="00D226AB">
        <w:rPr>
          <w:rFonts w:ascii="Century Gothic" w:eastAsia="Calibri" w:hAnsi="Century Gothic" w:cs="Arial"/>
          <w:color w:val="000000"/>
          <w:lang w:val="es-ES_tradnl" w:eastAsia="es-ES_tradnl"/>
        </w:rPr>
        <w:t>2.2.1.2.4.2.17 del Decreto 1082 de 2015</w:t>
      </w:r>
      <w:r>
        <w:rPr>
          <w:rFonts w:ascii="Century Gothic" w:eastAsia="Calibri" w:hAnsi="Century Gothic" w:cs="Arial"/>
          <w:color w:val="000000"/>
          <w:lang w:val="es-ES_tradnl" w:eastAsia="es-ES_tradnl"/>
        </w:rPr>
        <w:t>,</w:t>
      </w:r>
      <w:r w:rsidRPr="00D226AB">
        <w:rPr>
          <w:rFonts w:ascii="Century Gothic" w:eastAsia="Calibri" w:hAnsi="Century Gothic" w:cs="Arial"/>
          <w:color w:val="000000"/>
          <w:lang w:val="es-ES_tradnl" w:eastAsia="es-ES_tradnl"/>
        </w:rPr>
        <w:t xml:space="preserve"> adicionado por el</w:t>
      </w:r>
      <w:r w:rsidRPr="00D226AB">
        <w:rPr>
          <w:rFonts w:ascii="Century Gothic" w:eastAsia="Calibri" w:hAnsi="Century Gothic" w:cs="Arial"/>
          <w:bCs/>
          <w:color w:val="000000"/>
          <w:lang w:val="es-ES_tradnl" w:eastAsia="es-ES_tradnl"/>
        </w:rPr>
        <w:t xml:space="preserve"> artículo 3 del Decreto 1860 de 2021 </w:t>
      </w:r>
      <w:r>
        <w:rPr>
          <w:rFonts w:ascii="Century Gothic" w:eastAsia="Calibri" w:hAnsi="Century Gothic" w:cs="Arial"/>
          <w:bCs/>
          <w:color w:val="000000"/>
          <w:lang w:val="es-ES_tradnl" w:eastAsia="es-ES_tradnl"/>
        </w:rPr>
        <w:t xml:space="preserve">y </w:t>
      </w:r>
      <w:r w:rsidRPr="00D226AB">
        <w:rPr>
          <w:rFonts w:ascii="Century Gothic" w:eastAsia="Calibri" w:hAnsi="Century Gothic" w:cs="Arial"/>
          <w:color w:val="000000"/>
          <w:lang w:val="es-ES_tradnl" w:eastAsia="es-ES_tradnl"/>
        </w:rPr>
        <w:t xml:space="preserve">que reglamenta el numeral 4 </w:t>
      </w:r>
      <w:r w:rsidRPr="00D226AB">
        <w:rPr>
          <w:rFonts w:ascii="Century Gothic" w:eastAsia="Calibri" w:hAnsi="Century Gothic" w:cs="Arial"/>
          <w:bCs/>
          <w:szCs w:val="24"/>
          <w:lang w:val="es-ES_tradnl" w:eastAsia="es-ES_tradnl"/>
        </w:rPr>
        <w:t>del artículo 35 de la Ley 2069 de 2020, se</w:t>
      </w:r>
      <w:r w:rsidRPr="00D226AB">
        <w:rPr>
          <w:rFonts w:ascii="Century Gothic" w:eastAsia="Calibri" w:hAnsi="Century Gothic" w:cs="Arial"/>
          <w:bCs/>
          <w:color w:val="000000"/>
          <w:szCs w:val="24"/>
          <w:lang w:val="es-ES_tradnl" w:eastAsia="es-ES_tradnl"/>
        </w:rPr>
        <w:t xml:space="preserve"> señalarán las consideraciones que esta Agencia expresó en su momento</w:t>
      </w:r>
      <w:r>
        <w:rPr>
          <w:rFonts w:ascii="Century Gothic" w:eastAsia="Calibri" w:hAnsi="Century Gothic" w:cs="Arial"/>
          <w:bCs/>
          <w:color w:val="000000"/>
          <w:szCs w:val="24"/>
          <w:lang w:val="es-ES_tradnl" w:eastAsia="es-ES_tradnl"/>
        </w:rPr>
        <w:t xml:space="preserve"> sobre</w:t>
      </w:r>
      <w:r w:rsidRPr="00D226AB">
        <w:rPr>
          <w:rFonts w:ascii="Century Gothic" w:eastAsia="Calibri" w:hAnsi="Century Gothic" w:cs="Arial"/>
          <w:bCs/>
          <w:color w:val="000000"/>
          <w:szCs w:val="24"/>
          <w:lang w:val="es-ES_tradnl" w:eastAsia="es-ES_tradnl"/>
        </w:rPr>
        <w:t xml:space="preserve"> la acreditación de este factor de desempate previo a la expedición del Decreto 1860 de 2021 para </w:t>
      </w:r>
      <w:r>
        <w:rPr>
          <w:rFonts w:ascii="Century Gothic" w:eastAsia="Calibri" w:hAnsi="Century Gothic" w:cs="Arial"/>
          <w:bCs/>
          <w:color w:val="000000"/>
          <w:szCs w:val="24"/>
          <w:lang w:val="es-ES_tradnl" w:eastAsia="es-ES_tradnl"/>
        </w:rPr>
        <w:t xml:space="preserve">después </w:t>
      </w:r>
      <w:r w:rsidRPr="00D226AB">
        <w:rPr>
          <w:rFonts w:ascii="Century Gothic" w:eastAsia="Calibri" w:hAnsi="Century Gothic" w:cs="Arial"/>
          <w:bCs/>
          <w:color w:val="000000"/>
          <w:szCs w:val="24"/>
          <w:lang w:val="es-ES_tradnl" w:eastAsia="es-ES_tradnl"/>
        </w:rPr>
        <w:t xml:space="preserve">indicar </w:t>
      </w:r>
      <w:r w:rsidRPr="00D226AB">
        <w:rPr>
          <w:rFonts w:ascii="Century Gothic" w:eastAsia="Calibri" w:hAnsi="Century Gothic" w:cs="Arial"/>
          <w:bCs/>
          <w:color w:val="000000"/>
          <w:szCs w:val="24"/>
          <w:lang w:val="es-ES_tradnl" w:eastAsia="es-ES_tradnl"/>
        </w:rPr>
        <w:lastRenderedPageBreak/>
        <w:t xml:space="preserve">cuál es el alcance que la norma reglamentaria brinda al referido factor de desempate. </w:t>
      </w:r>
    </w:p>
    <w:p w14:paraId="0F5A149E" w14:textId="77777777" w:rsidR="005D0EE5" w:rsidRPr="00D226AB" w:rsidRDefault="005D0EE5" w:rsidP="005D0EE5">
      <w:pPr>
        <w:tabs>
          <w:tab w:val="left" w:pos="6551"/>
        </w:tabs>
        <w:spacing w:after="120" w:line="276" w:lineRule="auto"/>
        <w:ind w:firstLine="709"/>
        <w:jc w:val="both"/>
        <w:rPr>
          <w:rFonts w:ascii="Century Gothic" w:eastAsia="Calibri" w:hAnsi="Century Gothic" w:cs="Arial"/>
          <w:color w:val="000000"/>
          <w:szCs w:val="24"/>
          <w:lang w:val="es-ES_tradnl" w:eastAsia="es-ES_tradnl"/>
        </w:rPr>
      </w:pPr>
      <w:bookmarkStart w:id="7" w:name="_Hlk93049677"/>
      <w:r w:rsidRPr="00D226AB">
        <w:rPr>
          <w:rFonts w:ascii="Century Gothic" w:eastAsia="Calibri" w:hAnsi="Century Gothic" w:cs="Arial"/>
          <w:color w:val="000000"/>
          <w:szCs w:val="24"/>
          <w:lang w:val="es-ES_tradnl" w:eastAsia="es-ES_tradnl"/>
        </w:rPr>
        <w:t xml:space="preserve">En relación con lo previsto en el numeral </w:t>
      </w:r>
      <w:r w:rsidRPr="0055043F">
        <w:rPr>
          <w:rFonts w:ascii="Century Gothic" w:eastAsia="Calibri" w:hAnsi="Century Gothic" w:cs="Arial"/>
          <w:color w:val="000000"/>
          <w:szCs w:val="24"/>
          <w:lang w:val="es-ES_tradnl" w:eastAsia="es-ES_tradnl"/>
        </w:rPr>
        <w:t>citado</w:t>
      </w:r>
      <w:r w:rsidRPr="00D226AB">
        <w:rPr>
          <w:rFonts w:ascii="Century Gothic" w:eastAsia="Calibri" w:hAnsi="Century Gothic" w:cs="Arial"/>
          <w:color w:val="000000"/>
          <w:szCs w:val="24"/>
          <w:lang w:val="es-ES_tradnl" w:eastAsia="es-ES_tradnl"/>
        </w:rPr>
        <w:t>, cuando el legislador alude al concepto de “personas mayores” que no sean beneficiarias de la pensión de vejez, familiar o de sobrevivencia y que hayan cumplido la edad para obtenerla, una posible interpretación es entender que la norma se refiere al “adulto mayor”. Este concepto lo define el artículo 3 de la Ley 1251 de 2008 –“Por la cual se dictan normas tendientes a procurar la protección, promoción y defensa de los derechos de los adultos mayores”– como “[…] aquella persona que cuenta con sesenta (60) años de edad o más”, lo cual puede acreditar</w:t>
      </w:r>
      <w:r>
        <w:rPr>
          <w:rFonts w:ascii="Century Gothic" w:eastAsia="Calibri" w:hAnsi="Century Gothic" w:cs="Arial"/>
          <w:color w:val="000000"/>
          <w:szCs w:val="24"/>
          <w:lang w:val="es-ES_tradnl" w:eastAsia="es-ES_tradnl"/>
        </w:rPr>
        <w:t>se</w:t>
      </w:r>
      <w:r w:rsidRPr="00D226AB">
        <w:rPr>
          <w:rFonts w:ascii="Century Gothic" w:eastAsia="Calibri" w:hAnsi="Century Gothic" w:cs="Arial"/>
          <w:color w:val="000000"/>
          <w:szCs w:val="24"/>
          <w:lang w:val="es-ES_tradnl" w:eastAsia="es-ES_tradnl"/>
        </w:rPr>
        <w:t xml:space="preserve"> con el documento de identidad correspondiente. En todo caso, también se señaló que existe la posibilidad de entender que esta causal aplica a todas las personas que –en el rango de edad correspondiente a cada </w:t>
      </w:r>
      <w:r>
        <w:rPr>
          <w:rFonts w:ascii="Century Gothic" w:eastAsia="Calibri" w:hAnsi="Century Gothic" w:cs="Arial"/>
          <w:color w:val="000000"/>
          <w:szCs w:val="24"/>
          <w:lang w:val="es-ES_tradnl" w:eastAsia="es-ES_tradnl"/>
        </w:rPr>
        <w:t>sexo</w:t>
      </w:r>
      <w:r w:rsidRPr="00D226AB">
        <w:rPr>
          <w:rFonts w:ascii="Century Gothic" w:eastAsia="Calibri" w:hAnsi="Century Gothic" w:cs="Arial"/>
          <w:color w:val="000000"/>
          <w:szCs w:val="24"/>
          <w:lang w:val="es-ES_tradnl" w:eastAsia="es-ES_tradnl"/>
        </w:rPr>
        <w:t>– no han alcanzado la pensión, interpretación que está más ajustada al principio de favorabilidad y que, como se expresará, se acogió en la reglamentación realizada por el Decreto 1860 de 2021.</w:t>
      </w:r>
    </w:p>
    <w:p w14:paraId="0DD5AB2C" w14:textId="77777777" w:rsidR="005D0EE5" w:rsidRPr="00D226AB" w:rsidRDefault="005D0EE5" w:rsidP="005D0EE5">
      <w:pPr>
        <w:tabs>
          <w:tab w:val="left" w:pos="6551"/>
        </w:tabs>
        <w:spacing w:after="120" w:line="276" w:lineRule="auto"/>
        <w:ind w:firstLine="709"/>
        <w:jc w:val="both"/>
        <w:rPr>
          <w:rFonts w:ascii="Century Gothic" w:eastAsia="Times New Roman" w:hAnsi="Century Gothic" w:cs="Arial"/>
          <w:color w:val="000000"/>
          <w:szCs w:val="24"/>
          <w:lang w:val="es-ES_tradnl" w:eastAsia="es-ES_tradnl"/>
        </w:rPr>
      </w:pPr>
      <w:r w:rsidRPr="00D226AB">
        <w:rPr>
          <w:rFonts w:ascii="Century Gothic" w:eastAsia="Times New Roman" w:hAnsi="Century Gothic" w:cs="Arial"/>
          <w:color w:val="000000"/>
          <w:szCs w:val="24"/>
          <w:lang w:val="es-ES_tradnl" w:eastAsia="es-ES_tradnl"/>
        </w:rPr>
        <w:t xml:space="preserve">El numeral </w:t>
      </w:r>
      <w:r>
        <w:rPr>
          <w:rFonts w:ascii="Century Gothic" w:eastAsia="Times New Roman" w:hAnsi="Century Gothic" w:cs="Arial"/>
          <w:color w:val="000000"/>
          <w:szCs w:val="24"/>
          <w:lang w:val="es-ES_tradnl" w:eastAsia="es-ES_tradnl"/>
        </w:rPr>
        <w:t>dispone</w:t>
      </w:r>
      <w:r w:rsidRPr="00D226AB">
        <w:rPr>
          <w:rFonts w:ascii="Century Gothic" w:eastAsia="Times New Roman" w:hAnsi="Century Gothic" w:cs="Arial"/>
          <w:color w:val="000000"/>
          <w:szCs w:val="24"/>
          <w:lang w:val="es-ES_tradnl" w:eastAsia="es-ES_tradnl"/>
        </w:rPr>
        <w:t xml:space="preserve"> que en dicho evento la regla de desempate se aplica a favor del “[…] oferente que acredite la vinculación en </w:t>
      </w:r>
      <w:r w:rsidRPr="00D226AB">
        <w:rPr>
          <w:rFonts w:ascii="Century Gothic" w:eastAsia="Times New Roman" w:hAnsi="Century Gothic" w:cs="Arial"/>
          <w:i/>
          <w:iCs/>
          <w:color w:val="000000"/>
          <w:szCs w:val="24"/>
          <w:lang w:val="es-ES_tradnl" w:eastAsia="es-ES_tradnl"/>
        </w:rPr>
        <w:t>mayor proporción</w:t>
      </w:r>
      <w:r w:rsidRPr="00D226AB">
        <w:rPr>
          <w:rFonts w:ascii="Century Gothic" w:eastAsia="Times New Roman" w:hAnsi="Century Gothic" w:cs="Arial"/>
          <w:color w:val="000000"/>
          <w:szCs w:val="24"/>
          <w:lang w:val="es-ES_tradnl" w:eastAsia="es-ES_tradnl"/>
        </w:rPr>
        <w:t xml:space="preserve"> de personas mayores que no sean beneficiarios de la pensión de vejez, familiar o de sobrevivencia y que hayan cumplido el requisito de edad de pensión establecido en la Ley” (Énfasis fuera de texto). De este modo, cuando la norma se refiere a la “mayor proporción” alude al número de personas vinculadas por el oferente y que además reúnan la condición de ser mayores y que “no sean beneficiarios de la pensión de vejez, familiar o de sobrevivencia y que hayan cumplido el requisito de edad de pensión establecido en la Ley</w:t>
      </w:r>
      <w:bookmarkEnd w:id="7"/>
      <w:r w:rsidRPr="00D226AB">
        <w:rPr>
          <w:rFonts w:ascii="Century Gothic" w:eastAsia="Times New Roman" w:hAnsi="Century Gothic" w:cs="Arial"/>
          <w:color w:val="000000"/>
          <w:szCs w:val="24"/>
          <w:lang w:val="es-ES_tradnl" w:eastAsia="es-ES_tradnl"/>
        </w:rPr>
        <w:t xml:space="preserve">”. </w:t>
      </w:r>
    </w:p>
    <w:p w14:paraId="59146C2F" w14:textId="77777777" w:rsidR="005D0EE5" w:rsidRPr="00D226AB" w:rsidRDefault="005D0EE5" w:rsidP="005D0EE5">
      <w:pPr>
        <w:tabs>
          <w:tab w:val="left" w:pos="6551"/>
        </w:tabs>
        <w:spacing w:after="120" w:line="276" w:lineRule="auto"/>
        <w:ind w:firstLine="709"/>
        <w:jc w:val="both"/>
        <w:rPr>
          <w:rFonts w:ascii="Century Gothic" w:eastAsia="Times New Roman" w:hAnsi="Century Gothic" w:cs="Arial"/>
          <w:color w:val="000000"/>
          <w:szCs w:val="24"/>
          <w:lang w:val="es-ES_tradnl" w:eastAsia="es-ES_tradnl"/>
        </w:rPr>
      </w:pPr>
      <w:r w:rsidRPr="00D226AB">
        <w:rPr>
          <w:rFonts w:ascii="Century Gothic" w:eastAsia="Times New Roman" w:hAnsi="Century Gothic" w:cs="Arial"/>
          <w:color w:val="000000"/>
          <w:szCs w:val="24"/>
          <w:lang w:val="es-ES_tradnl" w:eastAsia="es-ES_tradnl"/>
        </w:rPr>
        <w:t xml:space="preserve">Teniendo en cuenta que el numeral no distingue tipos de oferente, dicho criterio de desempate, a juicio de la Agencia, </w:t>
      </w:r>
      <w:r>
        <w:rPr>
          <w:rFonts w:ascii="Century Gothic" w:eastAsia="Times New Roman" w:hAnsi="Century Gothic" w:cs="Arial"/>
          <w:color w:val="000000"/>
          <w:szCs w:val="24"/>
          <w:lang w:val="es-ES_tradnl" w:eastAsia="es-ES_tradnl"/>
        </w:rPr>
        <w:t>debía aplicarse</w:t>
      </w:r>
      <w:r w:rsidRPr="00D226AB">
        <w:rPr>
          <w:rFonts w:ascii="Century Gothic" w:eastAsia="Times New Roman" w:hAnsi="Century Gothic" w:cs="Arial"/>
          <w:color w:val="000000"/>
          <w:szCs w:val="24"/>
          <w:lang w:val="es-ES_tradnl" w:eastAsia="es-ES_tradnl"/>
        </w:rPr>
        <w:t xml:space="preserve"> también a</w:t>
      </w:r>
      <w:r>
        <w:rPr>
          <w:rFonts w:ascii="Century Gothic" w:eastAsia="Times New Roman" w:hAnsi="Century Gothic" w:cs="Arial"/>
          <w:color w:val="000000"/>
          <w:szCs w:val="24"/>
          <w:lang w:val="es-ES_tradnl" w:eastAsia="es-ES_tradnl"/>
        </w:rPr>
        <w:t xml:space="preserve"> los</w:t>
      </w:r>
      <w:r w:rsidRPr="00D226AB">
        <w:rPr>
          <w:rFonts w:ascii="Century Gothic" w:eastAsia="Times New Roman" w:hAnsi="Century Gothic" w:cs="Arial"/>
          <w:color w:val="000000"/>
          <w:szCs w:val="24"/>
          <w:lang w:val="es-ES_tradnl" w:eastAsia="es-ES_tradnl"/>
        </w:rPr>
        <w:t xml:space="preserve"> proponentes plurales. En este caso el proponente plural deb</w:t>
      </w:r>
      <w:r>
        <w:rPr>
          <w:rFonts w:ascii="Century Gothic" w:eastAsia="Times New Roman" w:hAnsi="Century Gothic" w:cs="Arial"/>
          <w:color w:val="000000"/>
          <w:szCs w:val="24"/>
          <w:lang w:val="es-ES_tradnl" w:eastAsia="es-ES_tradnl"/>
        </w:rPr>
        <w:t xml:space="preserve">ía </w:t>
      </w:r>
      <w:r w:rsidRPr="00D226AB">
        <w:rPr>
          <w:rFonts w:ascii="Century Gothic" w:eastAsia="Times New Roman" w:hAnsi="Century Gothic" w:cs="Arial"/>
          <w:color w:val="000000"/>
          <w:szCs w:val="24"/>
          <w:lang w:val="es-ES_tradnl" w:eastAsia="es-ES_tradnl"/>
        </w:rPr>
        <w:t xml:space="preserve">acreditar la proporción de personas mayores vinculadas a </w:t>
      </w:r>
      <w:r>
        <w:rPr>
          <w:rFonts w:ascii="Century Gothic" w:eastAsia="Times New Roman" w:hAnsi="Century Gothic" w:cs="Arial"/>
          <w:color w:val="000000"/>
          <w:szCs w:val="24"/>
          <w:lang w:val="es-ES_tradnl" w:eastAsia="es-ES_tradnl"/>
        </w:rPr>
        <w:t xml:space="preserve">sus integrantes, </w:t>
      </w:r>
      <w:r w:rsidRPr="00D226AB">
        <w:rPr>
          <w:rFonts w:ascii="Century Gothic" w:eastAsia="Times New Roman" w:hAnsi="Century Gothic" w:cs="Arial"/>
          <w:color w:val="000000"/>
          <w:szCs w:val="24"/>
          <w:lang w:val="es-ES_tradnl" w:eastAsia="es-ES_tradnl"/>
        </w:rPr>
        <w:t xml:space="preserve">que además “no sean beneficiarios de la pensión de vejez, familiar o de sobrevivencia y que hayan cumplido el requisito de edad de pensión establecido en la Ley”, para beneficiarse del factor de desempate. La norma guarda silencio sobre la acreditación de la condición que da lugar al factor de desempate. Por tanto, esta Agencia consideraba que, mientras el Decreto 1860 de 2021 no entrara en vigencia, existía libertad probatoria sobre el tema. En consecuencia, la entidad contratante podía determinar en el pliego de condiciones o documento equivalente cuál sería el </w:t>
      </w:r>
      <w:r w:rsidRPr="00D226AB">
        <w:rPr>
          <w:rFonts w:ascii="Century Gothic" w:eastAsia="Times New Roman" w:hAnsi="Century Gothic" w:cs="Arial"/>
          <w:color w:val="000000"/>
          <w:szCs w:val="24"/>
          <w:lang w:val="es-ES_tradnl" w:eastAsia="es-ES_tradnl"/>
        </w:rPr>
        <w:lastRenderedPageBreak/>
        <w:t>medio para evidenciar la vinculación de las personas mayores por parte del oferente.</w:t>
      </w:r>
    </w:p>
    <w:p w14:paraId="7F871F90" w14:textId="77777777" w:rsidR="005D0EE5" w:rsidRPr="00D226AB" w:rsidRDefault="005D0EE5" w:rsidP="005D0EE5">
      <w:pPr>
        <w:tabs>
          <w:tab w:val="left" w:pos="6551"/>
        </w:tabs>
        <w:spacing w:after="120" w:line="276" w:lineRule="auto"/>
        <w:ind w:firstLine="709"/>
        <w:jc w:val="both"/>
        <w:rPr>
          <w:rFonts w:ascii="Century Gothic" w:eastAsia="Times New Roman" w:hAnsi="Century Gothic" w:cs="Arial"/>
          <w:color w:val="000000"/>
          <w:szCs w:val="24"/>
          <w:lang w:val="es-ES_tradnl" w:eastAsia="es-ES_tradnl"/>
        </w:rPr>
      </w:pPr>
      <w:r w:rsidRPr="00D226AB">
        <w:rPr>
          <w:rFonts w:ascii="Century Gothic" w:eastAsia="Times New Roman" w:hAnsi="Century Gothic" w:cs="Arial"/>
          <w:color w:val="000000"/>
          <w:szCs w:val="24"/>
          <w:lang w:val="es-ES_tradnl" w:eastAsia="es-ES_tradnl"/>
        </w:rPr>
        <w:t xml:space="preserve">Paralelamente, como lo indicó la Agencia en los conceptos </w:t>
      </w:r>
      <w:r w:rsidRPr="00D226AB">
        <w:rPr>
          <w:rFonts w:ascii="Century Gothic" w:eastAsia="Calibri" w:hAnsi="Century Gothic" w:cs="Arial"/>
          <w:color w:val="000000"/>
          <w:szCs w:val="24"/>
          <w:lang w:val="es-ES_tradnl" w:eastAsia="es-ES_tradnl"/>
        </w:rPr>
        <w:t xml:space="preserve">C-206 del 3 de mayo de 2021 y C-487 del 3 de agosto de 2021, </w:t>
      </w:r>
      <w:r w:rsidRPr="00D226AB">
        <w:rPr>
          <w:rFonts w:ascii="Century Gothic" w:eastAsia="Times New Roman" w:hAnsi="Century Gothic" w:cs="Arial"/>
          <w:color w:val="000000"/>
          <w:szCs w:val="24"/>
          <w:lang w:val="es-ES_tradnl" w:eastAsia="es-ES_tradnl"/>
        </w:rPr>
        <w:t xml:space="preserve">el numeral 4 del artículo 35 de la Ley 2069 de 2020 exige que la vinculación de personas mayores sea de carácter laboral –es decir, a través de un contrato de trabajo–, por lo cual Colombia Compra Eficiente consideraba que no resultaría procedente, para efectos de acreditar el factor de desempate, la vinculación de dichas personas a través de otros tipos contractuales, como, por ejemplo, el contrato de prestación de servicios. Para estos efectos, la palabra “vinculación” debía entenderse en concordancia con el parágrafo 2 de la norma en comento, el cual dispone que “Para los criterios enunciados que involucren la </w:t>
      </w:r>
      <w:r w:rsidRPr="00D226AB">
        <w:rPr>
          <w:rFonts w:ascii="Century Gothic" w:eastAsia="Times New Roman" w:hAnsi="Century Gothic" w:cs="Arial"/>
          <w:i/>
          <w:iCs/>
          <w:color w:val="000000"/>
          <w:szCs w:val="24"/>
          <w:lang w:val="es-ES_tradnl" w:eastAsia="es-ES_tradnl"/>
        </w:rPr>
        <w:t>vinculación de capital humano</w:t>
      </w:r>
      <w:r w:rsidRPr="00D226AB">
        <w:rPr>
          <w:rFonts w:ascii="Century Gothic" w:eastAsia="Times New Roman" w:hAnsi="Century Gothic" w:cs="Arial"/>
          <w:color w:val="000000"/>
          <w:szCs w:val="24"/>
          <w:lang w:val="es-ES_tradnl" w:eastAsia="es-ES_tradnl"/>
        </w:rPr>
        <w:t xml:space="preserve">, el oferente deberá acreditar una antigüedad igual o mayor a un año. Para los casos de constitución inferior a un año </w:t>
      </w:r>
      <w:r w:rsidRPr="00D226AB">
        <w:rPr>
          <w:rFonts w:ascii="Century Gothic" w:eastAsia="Times New Roman" w:hAnsi="Century Gothic" w:cs="Arial"/>
          <w:i/>
          <w:iCs/>
          <w:color w:val="000000"/>
          <w:szCs w:val="24"/>
          <w:lang w:val="es-ES_tradnl" w:eastAsia="es-ES_tradnl"/>
        </w:rPr>
        <w:t>se tendrá en cuenta a aquellos trabajadores</w:t>
      </w:r>
      <w:r w:rsidRPr="00D226AB">
        <w:rPr>
          <w:rFonts w:ascii="Century Gothic" w:eastAsia="Times New Roman" w:hAnsi="Century Gothic" w:cs="Arial"/>
          <w:color w:val="000000"/>
          <w:szCs w:val="24"/>
          <w:lang w:val="es-ES_tradnl" w:eastAsia="es-ES_tradnl"/>
        </w:rPr>
        <w:t xml:space="preserve"> que hayan estado vinculados desde el momento de constitución de la misma” (Énfasis fuera de texto). Como se observa, la norma se refiere a la vinculación de trabajadores, lo cual excluye la posibilidad de acreditar el factor de desempate mediante contratistas de prestación de servicios.  </w:t>
      </w:r>
    </w:p>
    <w:p w14:paraId="7DD2C501" w14:textId="77777777" w:rsidR="005D0EE5" w:rsidRPr="00D226AB" w:rsidRDefault="005D0EE5" w:rsidP="005D0EE5">
      <w:pPr>
        <w:tabs>
          <w:tab w:val="left" w:pos="6551"/>
        </w:tabs>
        <w:spacing w:after="120" w:line="276" w:lineRule="auto"/>
        <w:ind w:firstLine="709"/>
        <w:jc w:val="both"/>
        <w:rPr>
          <w:rFonts w:ascii="Century Gothic" w:eastAsia="Times New Roman" w:hAnsi="Century Gothic" w:cs="Arial"/>
          <w:color w:val="000000"/>
          <w:szCs w:val="24"/>
          <w:lang w:val="es-ES_tradnl" w:eastAsia="es-ES_tradnl"/>
        </w:rPr>
      </w:pPr>
      <w:r w:rsidRPr="00D226AB">
        <w:rPr>
          <w:rFonts w:ascii="Century Gothic" w:eastAsia="Times New Roman" w:hAnsi="Century Gothic" w:cs="Arial"/>
          <w:color w:val="000000"/>
          <w:szCs w:val="24"/>
          <w:lang w:val="es-ES_tradnl" w:eastAsia="es-ES_tradnl"/>
        </w:rPr>
        <w:t xml:space="preserve">Por otra parte, el parágrafo segundo del artículo 35 de la Ley 2069 de 2020 no efectúa distinción alguna acerca de la modalidad de vinculación laboral. Solo exige que el capital humano esté vinculado laboralmente al oferente con una antigüedad igual o mayor a un año, salvo que la constitución del oferente sea inferior a un año, pues en este caso los trabajadores deben estar vinculados desde dicha constitución. </w:t>
      </w:r>
    </w:p>
    <w:p w14:paraId="19DCB492" w14:textId="77777777" w:rsidR="005D0EE5" w:rsidRPr="00D226AB" w:rsidRDefault="005D0EE5" w:rsidP="005D0EE5">
      <w:pPr>
        <w:spacing w:after="120" w:line="276" w:lineRule="auto"/>
        <w:ind w:firstLine="709"/>
        <w:jc w:val="both"/>
        <w:rPr>
          <w:rFonts w:ascii="Century Gothic" w:eastAsia="Times New Roman" w:hAnsi="Century Gothic" w:cs="Arial"/>
          <w:lang w:val="es-ES_tradnl" w:eastAsia="es-ES_tradnl"/>
        </w:rPr>
      </w:pPr>
      <w:r w:rsidRPr="00D226AB">
        <w:rPr>
          <w:rFonts w:ascii="Century Gothic" w:eastAsia="Times New Roman" w:hAnsi="Century Gothic" w:cs="Arial"/>
          <w:color w:val="000000"/>
          <w:szCs w:val="24"/>
          <w:lang w:val="es-ES_tradnl" w:eastAsia="es-ES_tradnl"/>
        </w:rPr>
        <w:t xml:space="preserve">Además, como se señaló en el concepto C-390 de 2021, </w:t>
      </w:r>
      <w:r w:rsidRPr="00D226AB">
        <w:rPr>
          <w:rFonts w:ascii="Century Gothic" w:eastAsia="Times New Roman" w:hAnsi="Century Gothic" w:cs="Arial"/>
          <w:lang w:val="es-ES_tradnl" w:eastAsia="es-ES_tradnl"/>
        </w:rPr>
        <w:t>es necesario tener en cuenta que el artículo 28 del Código Civil dispone que “Las palabras de la ley se entenderán en su sentido natural y obvio, según el uso general de las mismas palabras; pero cuando el legislador las haya definido expresamente para ciertas materias, se les dará en éstas su significado legal”. Igualmente, en el artículo 29 ibidem, también prescribe que “Las palabras técnicas de toda ciencia o arte se tomarán en el sentido que les den los que profesan la misma ciencia o arte; a menos que aparezca claramente que se han formado en sentido diverso”.</w:t>
      </w:r>
    </w:p>
    <w:p w14:paraId="43080C99" w14:textId="77777777" w:rsidR="005D0EE5" w:rsidRPr="00D226AB" w:rsidRDefault="005D0EE5" w:rsidP="005D0EE5">
      <w:pPr>
        <w:spacing w:after="120" w:line="276" w:lineRule="auto"/>
        <w:ind w:firstLine="709"/>
        <w:jc w:val="both"/>
        <w:rPr>
          <w:rFonts w:ascii="Century Gothic" w:eastAsia="Times New Roman" w:hAnsi="Century Gothic" w:cs="Arial"/>
          <w:lang w:val="es-ES_tradnl" w:eastAsia="es-ES_tradnl"/>
        </w:rPr>
      </w:pPr>
      <w:r w:rsidRPr="00D226AB">
        <w:rPr>
          <w:rFonts w:ascii="Century Gothic" w:eastAsia="Times New Roman" w:hAnsi="Century Gothic" w:cs="Arial"/>
          <w:lang w:val="es-ES_tradnl" w:eastAsia="es-ES_tradnl"/>
        </w:rPr>
        <w:t xml:space="preserve">Conforme a la definición del Diccionario de la RAE, la palabra “proporción” es la “Igualdad de dos razones”. Esta expresión tiene una definición propia en el campo de las matemáticas, pues alude a una relación o razón constante entre diferentes magnitudes que se vayan a medir. Por esta razón, la “[…] mayor </w:t>
      </w:r>
      <w:r w:rsidRPr="00D226AB">
        <w:rPr>
          <w:rFonts w:ascii="Century Gothic" w:eastAsia="Times New Roman" w:hAnsi="Century Gothic" w:cs="Arial"/>
          <w:lang w:val="es-ES_tradnl" w:eastAsia="es-ES_tradnl"/>
        </w:rPr>
        <w:lastRenderedPageBreak/>
        <w:t>proporción de personas mayores que no sean beneficiarios de la pensión de vejez, familiar o de sobrevivencia y que hayan cumplido el requisito de edad de pensión establecido en la Ley” no corresponde a un valor absoluto, sino relativo.</w:t>
      </w:r>
    </w:p>
    <w:p w14:paraId="26D80EF8" w14:textId="77777777" w:rsidR="005D0EE5" w:rsidRPr="00D226AB" w:rsidRDefault="005D0EE5" w:rsidP="005D0EE5">
      <w:pPr>
        <w:spacing w:after="0" w:line="276" w:lineRule="auto"/>
        <w:ind w:firstLine="709"/>
        <w:jc w:val="both"/>
        <w:rPr>
          <w:rFonts w:ascii="Century Gothic" w:eastAsia="Times New Roman" w:hAnsi="Century Gothic" w:cs="Arial"/>
          <w:lang w:val="es-ES_tradnl" w:eastAsia="es-ES_tradnl"/>
        </w:rPr>
      </w:pPr>
      <w:r w:rsidRPr="00D226AB">
        <w:rPr>
          <w:rFonts w:ascii="Century Gothic" w:eastAsia="Times New Roman" w:hAnsi="Century Gothic" w:cs="Arial"/>
          <w:lang w:val="es-ES_tradnl" w:eastAsia="es-ES_tradnl"/>
        </w:rPr>
        <w:t xml:space="preserve">El factor de desempate del artículo 35.4 de la Ley 2069 de 2020 </w:t>
      </w:r>
      <w:r w:rsidRPr="00D226AB">
        <w:rPr>
          <w:rFonts w:ascii="Century Gothic" w:eastAsia="Times New Roman" w:hAnsi="Century Gothic" w:cs="Arial"/>
          <w:i/>
          <w:iCs/>
          <w:lang w:val="es-ES_tradnl" w:eastAsia="es-ES_tradnl"/>
        </w:rPr>
        <w:t>no</w:t>
      </w:r>
      <w:r w:rsidRPr="00D226AB">
        <w:rPr>
          <w:rFonts w:ascii="Century Gothic" w:eastAsia="Times New Roman" w:hAnsi="Century Gothic" w:cs="Arial"/>
          <w:lang w:val="es-ES_tradnl" w:eastAsia="es-ES_tradnl"/>
        </w:rPr>
        <w:t xml:space="preserve"> se refiere a la vinculación en </w:t>
      </w:r>
      <w:r w:rsidRPr="00D226AB">
        <w:rPr>
          <w:rFonts w:ascii="Century Gothic" w:eastAsia="Times New Roman" w:hAnsi="Century Gothic" w:cs="Arial"/>
          <w:i/>
          <w:iCs/>
          <w:lang w:val="es-ES_tradnl" w:eastAsia="es-ES_tradnl"/>
        </w:rPr>
        <w:t>mayor cantidad</w:t>
      </w:r>
      <w:r w:rsidRPr="00D226AB">
        <w:rPr>
          <w:rFonts w:ascii="Century Gothic" w:eastAsia="Times New Roman" w:hAnsi="Century Gothic" w:cs="Arial"/>
          <w:lang w:val="es-ES_tradnl" w:eastAsia="es-ES_tradnl"/>
        </w:rPr>
        <w:t xml:space="preserve"> de personas mayores. En este caso, bastaría comparar el número de personas vinculadas entre cada uno de los proponentes empatados, adjudicando el contrato a aquel que más tenga. Sin embargo, esta interpretación no es posible en la medida que la norma se refiere a la </w:t>
      </w:r>
      <w:bookmarkStart w:id="8" w:name="_Hlk72758821"/>
      <w:r w:rsidRPr="00D226AB">
        <w:rPr>
          <w:rFonts w:ascii="Century Gothic" w:eastAsia="Times New Roman" w:hAnsi="Century Gothic" w:cs="Arial"/>
          <w:lang w:val="es-ES_tradnl" w:eastAsia="es-ES_tradnl"/>
        </w:rPr>
        <w:t>“vinculación en mayor proporción”</w:t>
      </w:r>
      <w:bookmarkEnd w:id="8"/>
      <w:r w:rsidRPr="00D226AB">
        <w:rPr>
          <w:rFonts w:ascii="Century Gothic" w:eastAsia="Times New Roman" w:hAnsi="Century Gothic" w:cs="Arial"/>
          <w:lang w:val="es-ES_tradnl" w:eastAsia="es-ES_tradnl"/>
        </w:rPr>
        <w:t>, es decir</w:t>
      </w:r>
      <w:r>
        <w:rPr>
          <w:rFonts w:ascii="Century Gothic" w:eastAsia="Times New Roman" w:hAnsi="Century Gothic" w:cs="Arial"/>
          <w:lang w:val="es-ES_tradnl" w:eastAsia="es-ES_tradnl"/>
        </w:rPr>
        <w:t>,</w:t>
      </w:r>
      <w:r w:rsidRPr="00D226AB">
        <w:rPr>
          <w:rFonts w:ascii="Century Gothic" w:eastAsia="Times New Roman" w:hAnsi="Century Gothic" w:cs="Arial"/>
          <w:lang w:val="es-ES_tradnl" w:eastAsia="es-ES_tradnl"/>
        </w:rPr>
        <w:t xml:space="preserve"> el número de personas vinculadas en relación con la planta de personal de los oferentes. </w:t>
      </w:r>
      <w:r>
        <w:rPr>
          <w:rFonts w:ascii="Century Gothic" w:eastAsia="Calibri" w:hAnsi="Century Gothic" w:cs="Arial"/>
          <w:bCs/>
          <w:color w:val="000000"/>
          <w:lang w:val="es-ES_tradnl" w:eastAsia="es-ES_tradnl"/>
        </w:rPr>
        <w:t>Esto</w:t>
      </w:r>
      <w:r w:rsidRPr="00D226AB">
        <w:rPr>
          <w:rFonts w:ascii="Century Gothic" w:eastAsia="Calibri" w:hAnsi="Century Gothic" w:cs="Arial"/>
          <w:bCs/>
          <w:color w:val="000000"/>
          <w:lang w:val="es-ES_tradnl" w:eastAsia="es-ES_tradnl"/>
        </w:rPr>
        <w:t xml:space="preserve"> se ratifica en el artículo 3 del Decreto reglamentario 1860 de 2021, que adicionó el artículo </w:t>
      </w:r>
      <w:r w:rsidRPr="00D226AB">
        <w:rPr>
          <w:rFonts w:ascii="Century Gothic" w:eastAsia="Calibri" w:hAnsi="Century Gothic" w:cs="Arial"/>
          <w:color w:val="000000"/>
          <w:lang w:val="es-ES_tradnl" w:eastAsia="es-ES_tradnl"/>
        </w:rPr>
        <w:t xml:space="preserve">2.2.1.2.4.2.17 al Decreto 1082 de 2015, cuyo numeral 4 desarrolla el factor de desempate que se está analizando: </w:t>
      </w:r>
    </w:p>
    <w:p w14:paraId="49C2FB36" w14:textId="77777777" w:rsidR="005D0EE5" w:rsidRPr="00D226AB" w:rsidRDefault="005D0EE5" w:rsidP="005D0EE5">
      <w:pPr>
        <w:tabs>
          <w:tab w:val="left" w:pos="0"/>
        </w:tabs>
        <w:spacing w:after="0" w:line="276" w:lineRule="auto"/>
        <w:ind w:firstLine="709"/>
        <w:jc w:val="both"/>
        <w:rPr>
          <w:rFonts w:ascii="Century Gothic" w:eastAsia="Calibri" w:hAnsi="Century Gothic" w:cs="Arial"/>
          <w:bCs/>
          <w:szCs w:val="24"/>
          <w:lang w:val="es-ES_tradnl" w:eastAsia="es-ES_tradnl"/>
        </w:rPr>
      </w:pPr>
    </w:p>
    <w:p w14:paraId="582C2C85" w14:textId="77777777" w:rsidR="005D0EE5" w:rsidRPr="00D226AB" w:rsidRDefault="005D0EE5" w:rsidP="005D0EE5">
      <w:pPr>
        <w:shd w:val="clear" w:color="auto" w:fill="FFFFFF"/>
        <w:spacing w:after="120" w:line="240" w:lineRule="auto"/>
        <w:ind w:left="709" w:right="709"/>
        <w:jc w:val="both"/>
        <w:rPr>
          <w:rFonts w:ascii="Century Gothic" w:eastAsia="Times New Roman" w:hAnsi="Century Gothic" w:cs="Arial"/>
          <w:sz w:val="21"/>
          <w:szCs w:val="21"/>
          <w:lang w:eastAsia="es-CO"/>
        </w:rPr>
      </w:pPr>
      <w:r w:rsidRPr="00D226AB">
        <w:rPr>
          <w:rFonts w:ascii="Century Gothic" w:eastAsia="Times New Roman" w:hAnsi="Century Gothic" w:cs="Arial"/>
          <w:sz w:val="21"/>
          <w:szCs w:val="21"/>
          <w:lang w:eastAsia="es-CO"/>
        </w:rPr>
        <w:t>“4. Preferir la propuesta presentada por el oferente que acredite la vinculación en mayor proporción de personas mayores que no sean beneficiarias de la pensión de vejez, familiar o de sobrevivencia y que hayan cumplido el requisito de edad de pensión establecido en la ley, para ello, la persona natural, el representante legal de la persona jurídica o el revisor fiscal, según corresponda, entregará un certificado, en el que se acredite, bajo la gravedad de juramento, las personas vinculadas en su nómina y el número de trabajadores que no son beneficiarios de la pensión de vejez, familiar o de sobrevivencia y que cumplieron el requisito de edad de pensión. Solo se tendrá en cuenta la vinculación de aquellas personas que se encuentren en las condiciones descritas y que hayan estado vinculadas con una anterioridad igual o mayor a un (1) año contado a partir de la fecha del cierre del proceso. Para los casos de constitución inferior a un (1) año, se tendrá en cuenta a aquellos que hayan estado vinculados desde el momento de la constitución de la persona jurídica.</w:t>
      </w:r>
    </w:p>
    <w:p w14:paraId="31B4C55B" w14:textId="77777777" w:rsidR="005D0EE5" w:rsidRPr="00D226AB" w:rsidRDefault="005D0EE5" w:rsidP="005D0EE5">
      <w:pPr>
        <w:shd w:val="clear" w:color="auto" w:fill="FFFFFF"/>
        <w:spacing w:after="120" w:line="240" w:lineRule="auto"/>
        <w:ind w:left="709" w:right="709"/>
        <w:jc w:val="both"/>
        <w:rPr>
          <w:rFonts w:ascii="Century Gothic" w:eastAsia="Times New Roman" w:hAnsi="Century Gothic" w:cs="Arial"/>
          <w:sz w:val="21"/>
          <w:szCs w:val="21"/>
          <w:lang w:eastAsia="es-CO"/>
        </w:rPr>
      </w:pPr>
      <w:r w:rsidRPr="00D226AB">
        <w:rPr>
          <w:rFonts w:ascii="Century Gothic" w:eastAsia="Times New Roman" w:hAnsi="Century Gothic" w:cs="Arial"/>
          <w:sz w:val="21"/>
          <w:szCs w:val="21"/>
          <w:lang w:eastAsia="es-CO"/>
        </w:rPr>
        <w:t>El tiempo de vinculación en la planta referida, de que trata el inciso anterior, se acreditará con el certificado de aportes a seguridad social del último año o del tiempo de constitución de la persona jurídica, cuando su conformación es inferior a un (1) año, en el que se demuestren los pagos realizados por el empleador.</w:t>
      </w:r>
    </w:p>
    <w:p w14:paraId="7F040221" w14:textId="77777777" w:rsidR="005D0EE5" w:rsidRPr="00D226AB" w:rsidRDefault="005D0EE5" w:rsidP="005D0EE5">
      <w:pPr>
        <w:shd w:val="clear" w:color="auto" w:fill="FFFFFF"/>
        <w:spacing w:after="120" w:line="240" w:lineRule="auto"/>
        <w:ind w:left="709" w:right="709"/>
        <w:jc w:val="both"/>
        <w:rPr>
          <w:rFonts w:ascii="Century Gothic" w:eastAsia="Times New Roman" w:hAnsi="Century Gothic" w:cs="Arial"/>
          <w:sz w:val="21"/>
          <w:szCs w:val="21"/>
          <w:lang w:eastAsia="es-CO"/>
        </w:rPr>
      </w:pPr>
      <w:r w:rsidRPr="00D226AB">
        <w:rPr>
          <w:rFonts w:ascii="Century Gothic" w:eastAsia="Times New Roman" w:hAnsi="Century Gothic" w:cs="Arial"/>
          <w:sz w:val="21"/>
          <w:szCs w:val="21"/>
          <w:lang w:eastAsia="es-CO"/>
        </w:rPr>
        <w:t>En el caso de los proponentes plurales, su representante legal acreditará el número de trabajadores vinculados que son personas mayores no beneficiarias de la pensión de vejez, familiar o de sobrevivencia, y que cumplieron el requisito de edad de pensión establecido en la ley, de todos los integrantes del proponente. Las personas enunciadas anteriormente podrán estar vinculadas a cualquiera de sus integrantes.</w:t>
      </w:r>
    </w:p>
    <w:p w14:paraId="57D2B688" w14:textId="77777777" w:rsidR="005D0EE5" w:rsidRPr="00D226AB" w:rsidRDefault="005D0EE5" w:rsidP="005D0EE5">
      <w:pPr>
        <w:shd w:val="clear" w:color="auto" w:fill="FFFFFF"/>
        <w:spacing w:after="120" w:line="240" w:lineRule="auto"/>
        <w:ind w:left="709" w:right="709"/>
        <w:jc w:val="both"/>
        <w:rPr>
          <w:rFonts w:ascii="Century Gothic" w:eastAsia="Times New Roman" w:hAnsi="Century Gothic" w:cs="Arial"/>
          <w:sz w:val="21"/>
          <w:szCs w:val="21"/>
          <w:lang w:eastAsia="es-CO"/>
        </w:rPr>
      </w:pPr>
      <w:r w:rsidRPr="00D226AB">
        <w:rPr>
          <w:rFonts w:ascii="Century Gothic" w:eastAsia="Times New Roman" w:hAnsi="Century Gothic" w:cs="Arial"/>
          <w:sz w:val="21"/>
          <w:szCs w:val="21"/>
          <w:lang w:eastAsia="es-CO"/>
        </w:rPr>
        <w:lastRenderedPageBreak/>
        <w:t>En cualquiera de los dos supuestos anteriores, para el otorgamiento del criterio de desempate, cada uno de los trabajadores que cumpla las condiciones previstas por la ley, allegará un certificado, mediante el cual acredita, bajo la gravedad de juramento, que no es beneficiario de pensión de vejez, familiar o sobrevivencia, y cumple la edad de pensión; además, se deberá allegar el documento de identificación del trabajador que lo firma.</w:t>
      </w:r>
    </w:p>
    <w:p w14:paraId="49B153B3" w14:textId="77777777" w:rsidR="005D0EE5" w:rsidRPr="00D226AB" w:rsidRDefault="005D0EE5" w:rsidP="005D0EE5">
      <w:pPr>
        <w:shd w:val="clear" w:color="auto" w:fill="FFFFFF"/>
        <w:spacing w:after="0" w:line="240" w:lineRule="auto"/>
        <w:ind w:left="709" w:right="709"/>
        <w:jc w:val="both"/>
        <w:rPr>
          <w:rFonts w:ascii="Century Gothic" w:eastAsia="Calibri" w:hAnsi="Century Gothic" w:cs="Arial"/>
          <w:sz w:val="21"/>
          <w:szCs w:val="21"/>
          <w:lang w:val="es-ES_tradnl" w:eastAsia="es-ES_tradnl"/>
        </w:rPr>
      </w:pPr>
      <w:r w:rsidRPr="00D226AB">
        <w:rPr>
          <w:rFonts w:ascii="Century Gothic" w:eastAsia="Times New Roman" w:hAnsi="Century Gothic" w:cs="Arial"/>
          <w:i/>
          <w:iCs/>
          <w:sz w:val="21"/>
          <w:szCs w:val="21"/>
          <w:lang w:eastAsia="es-ES_tradnl"/>
        </w:rPr>
        <w:t xml:space="preserve">La mayor proporción </w:t>
      </w:r>
      <w:bookmarkStart w:id="9" w:name="_Hlk102656704"/>
      <w:r w:rsidRPr="00D226AB">
        <w:rPr>
          <w:rFonts w:ascii="Century Gothic" w:eastAsia="Times New Roman" w:hAnsi="Century Gothic" w:cs="Arial"/>
          <w:i/>
          <w:iCs/>
          <w:sz w:val="21"/>
          <w:szCs w:val="21"/>
          <w:lang w:eastAsia="es-ES_tradnl"/>
        </w:rPr>
        <w:t>se definirá en relación con el número total de trabajadores vinculados en la planta de personal, por lo que se preferirá al oferente que acredite un porcentaje mayor</w:t>
      </w:r>
      <w:bookmarkEnd w:id="9"/>
      <w:r w:rsidRPr="00D226AB">
        <w:rPr>
          <w:rFonts w:ascii="Century Gothic" w:eastAsia="Times New Roman" w:hAnsi="Century Gothic" w:cs="Arial"/>
          <w:i/>
          <w:iCs/>
          <w:sz w:val="21"/>
          <w:szCs w:val="21"/>
          <w:lang w:eastAsia="es-ES_tradnl"/>
        </w:rPr>
        <w:t>. En el caso de proponentes plurales, la mayor proporción se definirá con la sumatoria de trabajadores vinculados en la planta de personal de cada uno de sus integrantes”</w:t>
      </w:r>
      <w:r w:rsidRPr="00D226AB">
        <w:rPr>
          <w:rFonts w:ascii="Century Gothic" w:eastAsia="Times New Roman" w:hAnsi="Century Gothic" w:cs="Arial"/>
          <w:sz w:val="21"/>
          <w:szCs w:val="21"/>
          <w:lang w:eastAsia="es-ES_tradnl"/>
        </w:rPr>
        <w:t>.</w:t>
      </w:r>
      <w:r w:rsidRPr="00D226AB">
        <w:rPr>
          <w:rFonts w:ascii="Century Gothic" w:eastAsia="Calibri" w:hAnsi="Century Gothic" w:cs="Arial"/>
          <w:sz w:val="21"/>
          <w:szCs w:val="21"/>
          <w:lang w:val="es-ES_tradnl" w:eastAsia="es-ES_tradnl"/>
        </w:rPr>
        <w:t xml:space="preserve"> (Énfasis fuera de texto)</w:t>
      </w:r>
    </w:p>
    <w:p w14:paraId="32E4E121" w14:textId="77777777" w:rsidR="005D0EE5" w:rsidRPr="00D226AB" w:rsidRDefault="005D0EE5" w:rsidP="005D0EE5">
      <w:pPr>
        <w:tabs>
          <w:tab w:val="left" w:pos="0"/>
        </w:tabs>
        <w:spacing w:after="0" w:line="276" w:lineRule="auto"/>
        <w:ind w:firstLine="709"/>
        <w:jc w:val="both"/>
        <w:rPr>
          <w:rFonts w:ascii="Century Gothic" w:eastAsia="Calibri" w:hAnsi="Century Gothic" w:cs="Arial"/>
          <w:bCs/>
          <w:szCs w:val="24"/>
          <w:lang w:val="es-ES_tradnl" w:eastAsia="es-ES_tradnl"/>
        </w:rPr>
      </w:pPr>
    </w:p>
    <w:p w14:paraId="119D866F" w14:textId="77777777" w:rsidR="005D0EE5" w:rsidRPr="00D226AB" w:rsidRDefault="005D0EE5" w:rsidP="005D0EE5">
      <w:pPr>
        <w:tabs>
          <w:tab w:val="left" w:pos="0"/>
        </w:tabs>
        <w:spacing w:after="120" w:line="276" w:lineRule="auto"/>
        <w:ind w:firstLine="709"/>
        <w:jc w:val="both"/>
        <w:rPr>
          <w:rFonts w:ascii="Century Gothic" w:eastAsia="Calibri" w:hAnsi="Century Gothic" w:cs="Arial"/>
          <w:bCs/>
          <w:szCs w:val="24"/>
          <w:lang w:val="es-ES_tradnl" w:eastAsia="es-ES_tradnl"/>
        </w:rPr>
      </w:pPr>
      <w:r w:rsidRPr="00D226AB">
        <w:rPr>
          <w:rFonts w:ascii="Century Gothic" w:eastAsia="Calibri" w:hAnsi="Century Gothic" w:cs="Arial"/>
          <w:bCs/>
          <w:szCs w:val="24"/>
          <w:lang w:val="es-ES_tradnl" w:eastAsia="es-ES_tradnl"/>
        </w:rPr>
        <w:t>De conformidad con lo anterior, la reglamentación actual</w:t>
      </w:r>
      <w:r>
        <w:rPr>
          <w:rFonts w:ascii="Century Gothic" w:eastAsia="Calibri" w:hAnsi="Century Gothic" w:cs="Arial"/>
          <w:bCs/>
          <w:szCs w:val="24"/>
          <w:lang w:val="es-ES_tradnl" w:eastAsia="es-ES_tradnl"/>
        </w:rPr>
        <w:t xml:space="preserve"> </w:t>
      </w:r>
      <w:r w:rsidRPr="00D226AB">
        <w:rPr>
          <w:rFonts w:ascii="Century Gothic" w:eastAsia="Calibri" w:hAnsi="Century Gothic" w:cs="Arial"/>
          <w:bCs/>
          <w:szCs w:val="24"/>
          <w:lang w:val="es-ES_tradnl" w:eastAsia="es-ES_tradnl"/>
        </w:rPr>
        <w:t>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p w14:paraId="633B02D3" w14:textId="77777777" w:rsidR="005D0EE5" w:rsidRPr="00D226AB" w:rsidRDefault="005D0EE5" w:rsidP="005D0EE5">
      <w:pPr>
        <w:tabs>
          <w:tab w:val="left" w:pos="0"/>
        </w:tabs>
        <w:spacing w:after="120" w:line="276" w:lineRule="auto"/>
        <w:ind w:firstLine="709"/>
        <w:jc w:val="both"/>
        <w:rPr>
          <w:rFonts w:ascii="Century Gothic" w:eastAsia="Calibri" w:hAnsi="Century Gothic" w:cs="Arial"/>
          <w:bCs/>
          <w:szCs w:val="24"/>
          <w:lang w:val="es-ES_tradnl" w:eastAsia="es-ES_tradnl"/>
        </w:rPr>
      </w:pPr>
      <w:r w:rsidRPr="00D226AB">
        <w:rPr>
          <w:rFonts w:ascii="Century Gothic" w:eastAsia="Calibri" w:hAnsi="Century Gothic" w:cs="Arial"/>
          <w:bCs/>
          <w:szCs w:val="24"/>
          <w:lang w:val="es-ES_tradnl" w:eastAsia="es-ES_tradnl"/>
        </w:rPr>
        <w:t xml:space="preserve">Según la norma citada, para </w:t>
      </w:r>
      <w:r>
        <w:rPr>
          <w:rFonts w:ascii="Century Gothic" w:eastAsia="Calibri" w:hAnsi="Century Gothic" w:cs="Arial"/>
          <w:bCs/>
          <w:szCs w:val="24"/>
          <w:lang w:val="es-ES_tradnl" w:eastAsia="es-ES_tradnl"/>
        </w:rPr>
        <w:t>el factor de desempate</w:t>
      </w:r>
      <w:r w:rsidRPr="00D226AB">
        <w:rPr>
          <w:rFonts w:ascii="Century Gothic" w:eastAsia="Calibri" w:hAnsi="Century Gothic" w:cs="Arial"/>
          <w:bCs/>
          <w:szCs w:val="24"/>
          <w:lang w:val="es-ES_tradnl" w:eastAsia="es-ES_tradnl"/>
        </w:rPr>
        <w:t xml:space="preserve">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14:paraId="69E842D3" w14:textId="77777777" w:rsidR="005D0EE5" w:rsidRDefault="005D0EE5" w:rsidP="005D0EE5">
      <w:pPr>
        <w:tabs>
          <w:tab w:val="left" w:pos="0"/>
        </w:tabs>
        <w:spacing w:after="120" w:line="276" w:lineRule="auto"/>
        <w:ind w:firstLine="709"/>
        <w:jc w:val="both"/>
        <w:rPr>
          <w:rFonts w:ascii="Century Gothic" w:eastAsia="Times New Roman" w:hAnsi="Century Gothic" w:cs="Arial"/>
          <w:lang w:val="es-ES_tradnl" w:eastAsia="es-ES_tradnl"/>
        </w:rPr>
      </w:pPr>
      <w:r w:rsidRPr="00D226AB">
        <w:rPr>
          <w:rFonts w:ascii="Century Gothic" w:eastAsia="Calibri" w:hAnsi="Century Gothic" w:cs="Arial"/>
          <w:bCs/>
          <w:szCs w:val="24"/>
          <w:lang w:val="es-ES_tradnl" w:eastAsia="es-ES_tradnl"/>
        </w:rPr>
        <w:t xml:space="preserve">Finalmente, de acuerdo con la norma, la expresión “mayor proporción” alude al número de personas vinculadas por el oferente, la cual </w:t>
      </w:r>
      <w:r w:rsidRPr="00D226AB">
        <w:rPr>
          <w:rFonts w:ascii="Century Gothic" w:eastAsia="Times New Roman" w:hAnsi="Century Gothic" w:cs="Arial"/>
          <w:lang w:val="es-ES_tradnl" w:eastAsia="es-ES_tradnl"/>
        </w:rPr>
        <w:t>“</w:t>
      </w:r>
      <w:r w:rsidRPr="00D226AB">
        <w:rPr>
          <w:rFonts w:ascii="Century Gothic" w:eastAsia="Calibri" w:hAnsi="Century Gothic" w:cs="Arial"/>
          <w:bCs/>
          <w:szCs w:val="24"/>
          <w:lang w:val="es-ES_tradnl" w:eastAsia="es-ES_tradnl"/>
        </w:rPr>
        <w:t xml:space="preserve">se definirá en relación con el número total de trabajadores vinculados en la planta de personal, por lo que se preferirá al oferente que acredite un </w:t>
      </w:r>
      <w:r w:rsidRPr="00D226AB">
        <w:rPr>
          <w:rFonts w:ascii="Century Gothic" w:eastAsia="Calibri" w:hAnsi="Century Gothic" w:cs="Arial"/>
          <w:bCs/>
          <w:i/>
          <w:iCs/>
          <w:szCs w:val="24"/>
          <w:lang w:val="es-ES_tradnl" w:eastAsia="es-ES_tradnl"/>
        </w:rPr>
        <w:t>porcentaje mayor</w:t>
      </w:r>
      <w:r w:rsidRPr="00D226AB">
        <w:rPr>
          <w:rFonts w:ascii="Century Gothic" w:eastAsia="Times New Roman" w:hAnsi="Century Gothic" w:cs="Arial"/>
          <w:lang w:val="es-ES_tradnl" w:eastAsia="es-ES_tradnl"/>
        </w:rPr>
        <w:t>”</w:t>
      </w:r>
      <w:r w:rsidRPr="00D226AB">
        <w:rPr>
          <w:rFonts w:ascii="Century Gothic" w:eastAsia="Calibri" w:hAnsi="Century Gothic" w:cs="Arial"/>
          <w:bCs/>
          <w:szCs w:val="24"/>
          <w:lang w:val="es-ES_tradnl" w:eastAsia="es-ES_tradnl"/>
        </w:rPr>
        <w:t xml:space="preserve"> de </w:t>
      </w:r>
      <w:r w:rsidRPr="00D226AB">
        <w:rPr>
          <w:rFonts w:ascii="Century Gothic" w:eastAsia="Calibri" w:hAnsi="Century Gothic" w:cs="Arial"/>
          <w:bCs/>
          <w:szCs w:val="24"/>
          <w:lang w:val="es-ES_tradnl" w:eastAsia="es-ES_tradnl"/>
        </w:rPr>
        <w:lastRenderedPageBreak/>
        <w:t xml:space="preserve">vinculación laboral de personas que reúnan la condición de ser mayores y que “no sean beneficiarios de la pensión de vejez, familiar o de sobrevivencia y que hayan cumplido el requisito de edad de pensión establecido en la Ley”. Para el caso de los proponentes plurales, </w:t>
      </w:r>
      <w:r w:rsidRPr="00D226AB">
        <w:rPr>
          <w:rFonts w:ascii="Century Gothic" w:eastAsia="Times New Roman" w:hAnsi="Century Gothic" w:cs="Arial"/>
          <w:lang w:val="es-ES_tradnl" w:eastAsia="es-ES_tradnl"/>
        </w:rPr>
        <w:t xml:space="preserve">“la mayor proporción se definirá con la sumatoria de trabajadores vinculados en la planta de personal de cada uno de sus integrantes”. </w:t>
      </w:r>
    </w:p>
    <w:p w14:paraId="0E588141" w14:textId="13975CDC" w:rsidR="005D0EE5" w:rsidRDefault="005D0EE5" w:rsidP="005D0EE5">
      <w:pPr>
        <w:tabs>
          <w:tab w:val="left" w:pos="0"/>
        </w:tabs>
        <w:spacing w:after="0" w:line="276" w:lineRule="auto"/>
        <w:ind w:firstLine="709"/>
        <w:jc w:val="both"/>
        <w:rPr>
          <w:rFonts w:ascii="Century Gothic" w:eastAsia="Times New Roman" w:hAnsi="Century Gothic" w:cs="Arial"/>
          <w:lang w:val="es-ES_tradnl" w:eastAsia="es-ES_tradnl"/>
        </w:rPr>
      </w:pPr>
      <w:r>
        <w:rPr>
          <w:rFonts w:ascii="Century Gothic" w:eastAsia="Times New Roman" w:hAnsi="Century Gothic" w:cs="Arial"/>
          <w:lang w:val="es-ES_tradnl" w:eastAsia="es-ES_tradnl"/>
        </w:rPr>
        <w:t xml:space="preserve">Como se desprende de lo anterior, el numeral 4 del </w:t>
      </w:r>
      <w:r w:rsidRPr="00D226AB">
        <w:rPr>
          <w:rFonts w:ascii="Century Gothic" w:eastAsia="Calibri" w:hAnsi="Century Gothic" w:cs="Arial"/>
          <w:bCs/>
          <w:color w:val="000000"/>
          <w:lang w:val="es-ES_tradnl" w:eastAsia="es-ES_tradnl"/>
        </w:rPr>
        <w:t xml:space="preserve">artículo </w:t>
      </w:r>
      <w:r w:rsidRPr="00D226AB">
        <w:rPr>
          <w:rFonts w:ascii="Century Gothic" w:eastAsia="Calibri" w:hAnsi="Century Gothic" w:cs="Arial"/>
          <w:color w:val="000000"/>
          <w:lang w:val="es-ES_tradnl" w:eastAsia="es-ES_tradnl"/>
        </w:rPr>
        <w:t xml:space="preserve">2.2.1.2.4.2.17 </w:t>
      </w:r>
      <w:r>
        <w:rPr>
          <w:rFonts w:ascii="Century Gothic" w:eastAsia="Calibri" w:hAnsi="Century Gothic" w:cs="Arial"/>
          <w:color w:val="000000"/>
          <w:lang w:val="es-ES_tradnl" w:eastAsia="es-ES_tradnl"/>
        </w:rPr>
        <w:t>de</w:t>
      </w:r>
      <w:r w:rsidRPr="00D226AB">
        <w:rPr>
          <w:rFonts w:ascii="Century Gothic" w:eastAsia="Calibri" w:hAnsi="Century Gothic" w:cs="Arial"/>
          <w:color w:val="000000"/>
          <w:lang w:val="es-ES_tradnl" w:eastAsia="es-ES_tradnl"/>
        </w:rPr>
        <w:t>l Decreto 1082 de 2015</w:t>
      </w:r>
      <w:r>
        <w:rPr>
          <w:rFonts w:ascii="Century Gothic" w:eastAsia="Calibri" w:hAnsi="Century Gothic" w:cs="Arial"/>
          <w:color w:val="000000"/>
          <w:lang w:val="es-ES_tradnl" w:eastAsia="es-ES_tradnl"/>
        </w:rPr>
        <w:t xml:space="preserve"> establece tanto la documentación exigible como la forma de terminar la “mayor proporción” para el factor de desempate previsto en el artículo 35.4 de la Ley de Emprendimiento. Tratándose de consorcios o uniones temporales, el reglamento dispone que el análisis de la vinculación únicamente se realiza respecto a cada uno de los integrantes de la estructura plural. Esto es así en la medida que, si bien tanto el artículo 6 como los numerales 6 y 7 del artículo 7 de la Ley 80 de 1993 les otorgan capacidad para celebrar </w:t>
      </w:r>
      <w:r w:rsidRPr="00A16912">
        <w:rPr>
          <w:rFonts w:ascii="Century Gothic" w:eastAsia="Calibri" w:hAnsi="Century Gothic" w:cs="Arial"/>
          <w:i/>
          <w:iCs/>
          <w:color w:val="000000"/>
          <w:lang w:val="es-ES_tradnl" w:eastAsia="es-ES_tradnl"/>
        </w:rPr>
        <w:t>contratos estatales</w:t>
      </w:r>
      <w:r>
        <w:rPr>
          <w:rFonts w:ascii="Century Gothic" w:eastAsia="Calibri" w:hAnsi="Century Gothic" w:cs="Arial"/>
          <w:color w:val="000000"/>
          <w:lang w:val="es-ES_tradnl" w:eastAsia="es-ES_tradnl"/>
        </w:rPr>
        <w:t>, ambas carecen de personería jurídica independiente</w:t>
      </w:r>
      <w:r>
        <w:rPr>
          <w:rStyle w:val="Refdenotaalpie"/>
          <w:rFonts w:ascii="Century Gothic" w:eastAsia="Calibri" w:hAnsi="Century Gothic" w:cs="Arial"/>
          <w:color w:val="000000"/>
          <w:lang w:val="es-ES_tradnl" w:eastAsia="es-ES_tradnl"/>
        </w:rPr>
        <w:footnoteReference w:id="13"/>
      </w:r>
      <w:r>
        <w:rPr>
          <w:rFonts w:ascii="Century Gothic" w:eastAsia="Calibri" w:hAnsi="Century Gothic" w:cs="Arial"/>
          <w:color w:val="000000"/>
          <w:lang w:val="es-ES_tradnl" w:eastAsia="es-ES_tradnl"/>
        </w:rPr>
        <w:t xml:space="preserve">. Como las normas precitadas del EGCAP no otorgan capacidad para celebrar </w:t>
      </w:r>
      <w:r w:rsidRPr="00A16912">
        <w:rPr>
          <w:rFonts w:ascii="Century Gothic" w:eastAsia="Calibri" w:hAnsi="Century Gothic" w:cs="Arial"/>
          <w:i/>
          <w:iCs/>
          <w:color w:val="000000"/>
          <w:lang w:val="es-ES_tradnl" w:eastAsia="es-ES_tradnl"/>
        </w:rPr>
        <w:t>contratos laborales</w:t>
      </w:r>
      <w:r>
        <w:rPr>
          <w:rFonts w:ascii="Century Gothic" w:eastAsia="Calibri" w:hAnsi="Century Gothic" w:cs="Arial"/>
          <w:color w:val="000000"/>
          <w:lang w:val="es-ES_tradnl" w:eastAsia="es-ES_tradnl"/>
        </w:rPr>
        <w:t xml:space="preserve">, ésta última no corresponde a la figura asociativa sino a las personas que la conforman.    </w:t>
      </w:r>
    </w:p>
    <w:p w14:paraId="746363F7" w14:textId="77777777" w:rsidR="005D0EE5" w:rsidRPr="00BF3AF4" w:rsidRDefault="005D0EE5" w:rsidP="005D0EE5">
      <w:pPr>
        <w:tabs>
          <w:tab w:val="left" w:pos="0"/>
        </w:tabs>
        <w:spacing w:after="0" w:line="276" w:lineRule="auto"/>
        <w:ind w:firstLine="709"/>
        <w:jc w:val="both"/>
        <w:rPr>
          <w:rFonts w:ascii="Century Gothic" w:eastAsia="Calibri" w:hAnsi="Century Gothic" w:cs="Arial"/>
          <w:bCs/>
          <w:szCs w:val="24"/>
          <w:lang w:val="es-ES_tradnl" w:eastAsia="es-ES_tradnl"/>
        </w:rPr>
      </w:pPr>
    </w:p>
    <w:p w14:paraId="23FEF444" w14:textId="77777777" w:rsidR="005D0EE5" w:rsidRPr="004C64AD" w:rsidRDefault="005D0EE5" w:rsidP="005D0EE5">
      <w:pPr>
        <w:tabs>
          <w:tab w:val="left" w:pos="0"/>
        </w:tabs>
        <w:spacing w:after="0"/>
        <w:jc w:val="both"/>
        <w:rPr>
          <w:rFonts w:ascii="Century Gothic" w:eastAsia="Calibri" w:hAnsi="Century Gothic" w:cs="Arial"/>
          <w:b/>
          <w:color w:val="000000" w:themeColor="text1"/>
          <w:lang w:val="es-ES_tradnl"/>
        </w:rPr>
      </w:pPr>
      <w:r w:rsidRPr="004C64AD">
        <w:rPr>
          <w:rFonts w:ascii="Century Gothic" w:eastAsia="Calibri" w:hAnsi="Century Gothic" w:cs="Arial"/>
          <w:b/>
          <w:color w:val="000000" w:themeColor="text1"/>
          <w:lang w:val="es-ES_tradnl"/>
        </w:rPr>
        <w:t>3. Respuesta</w:t>
      </w:r>
    </w:p>
    <w:p w14:paraId="06EDA029" w14:textId="77777777" w:rsidR="005D0EE5" w:rsidRPr="004C64AD" w:rsidRDefault="005D0EE5" w:rsidP="005D0EE5">
      <w:pPr>
        <w:spacing w:after="0" w:line="276" w:lineRule="auto"/>
        <w:jc w:val="both"/>
        <w:rPr>
          <w:rFonts w:ascii="Century Gothic" w:hAnsi="Century Gothic" w:cs="Arial"/>
          <w:color w:val="000000" w:themeColor="text1"/>
        </w:rPr>
      </w:pPr>
    </w:p>
    <w:p w14:paraId="6525F4FF" w14:textId="77777777" w:rsidR="005D0EE5" w:rsidRDefault="005D0EE5" w:rsidP="005D0EE5">
      <w:pPr>
        <w:spacing w:after="120" w:line="240" w:lineRule="auto"/>
        <w:ind w:left="709" w:right="709"/>
        <w:jc w:val="both"/>
        <w:rPr>
          <w:rFonts w:ascii="Century Gothic" w:hAnsi="Century Gothic" w:cs="Arial"/>
          <w:color w:val="000000" w:themeColor="text1"/>
          <w:sz w:val="21"/>
          <w:szCs w:val="21"/>
          <w:lang w:val="es-ES_tradnl"/>
        </w:rPr>
      </w:pPr>
      <w:r w:rsidRPr="00BF3AF4">
        <w:rPr>
          <w:rFonts w:ascii="Century Gothic" w:hAnsi="Century Gothic" w:cs="Arial"/>
          <w:color w:val="000000" w:themeColor="text1"/>
          <w:sz w:val="21"/>
          <w:szCs w:val="21"/>
          <w:lang w:val="es-ES_tradnl"/>
        </w:rPr>
        <w:t xml:space="preserve">De acuerdo con el factor del desempate del artículo 35.4 de la Ley 2069 de 2020 para la vinculación de personas mayores no beneficiarios de la pensión de vejez, familiar o de sobrevivencia que hayan cumplido el requisito de edad, reglamentado por el numeral 4 del artículo 2.2.1.2.4.2.17 del Decreto 1082 de 2015, usted realiza las siguientes preguntas: </w:t>
      </w:r>
    </w:p>
    <w:p w14:paraId="7C34CC00" w14:textId="77777777" w:rsidR="005D0EE5" w:rsidRDefault="005D0EE5" w:rsidP="005D0EE5">
      <w:pPr>
        <w:spacing w:after="120" w:line="240" w:lineRule="auto"/>
        <w:ind w:left="709" w:right="709"/>
        <w:jc w:val="both"/>
        <w:rPr>
          <w:rFonts w:ascii="Century Gothic" w:hAnsi="Century Gothic" w:cs="Arial"/>
          <w:color w:val="000000" w:themeColor="text1"/>
          <w:sz w:val="21"/>
          <w:szCs w:val="21"/>
          <w:lang w:val="es-ES_tradnl"/>
        </w:rPr>
      </w:pPr>
      <w:r w:rsidRPr="00BF3AF4">
        <w:rPr>
          <w:rFonts w:ascii="Century Gothic" w:hAnsi="Century Gothic" w:cs="Arial"/>
          <w:color w:val="000000" w:themeColor="text1"/>
          <w:sz w:val="21"/>
          <w:szCs w:val="21"/>
          <w:lang w:val="es-ES_tradnl"/>
        </w:rPr>
        <w:lastRenderedPageBreak/>
        <w:t>i) “¿Cómo debe la Entidad compradora solicitar se acredite la mayor proporción que define la sumatoria de trabajadores vinculados en la planta de personal?”</w:t>
      </w:r>
      <w:r>
        <w:rPr>
          <w:rFonts w:ascii="Century Gothic" w:hAnsi="Century Gothic" w:cs="Arial"/>
          <w:color w:val="000000" w:themeColor="text1"/>
          <w:sz w:val="21"/>
          <w:szCs w:val="21"/>
          <w:lang w:val="es-ES_tradnl"/>
        </w:rPr>
        <w:t>.</w:t>
      </w:r>
    </w:p>
    <w:p w14:paraId="10831563" w14:textId="77777777" w:rsidR="005D0EE5" w:rsidRDefault="005D0EE5" w:rsidP="005D0EE5">
      <w:pPr>
        <w:spacing w:after="120" w:line="240" w:lineRule="auto"/>
        <w:ind w:left="709" w:right="709"/>
        <w:jc w:val="both"/>
        <w:rPr>
          <w:rFonts w:ascii="Century Gothic" w:hAnsi="Century Gothic" w:cs="Arial"/>
          <w:color w:val="000000" w:themeColor="text1"/>
          <w:sz w:val="21"/>
          <w:szCs w:val="21"/>
          <w:lang w:val="es-ES_tradnl"/>
        </w:rPr>
      </w:pPr>
      <w:r w:rsidRPr="00BF3AF4">
        <w:rPr>
          <w:rFonts w:ascii="Century Gothic" w:hAnsi="Century Gothic" w:cs="Arial"/>
          <w:color w:val="000000" w:themeColor="text1"/>
          <w:sz w:val="21"/>
          <w:szCs w:val="21"/>
          <w:lang w:val="es-ES_tradnl"/>
        </w:rPr>
        <w:t>ii) “¿Se debe solicitar por la Entidad compradora que el proveedor que se encuentra en empate acredite únicamente la vinculación en la planta de personal de cada uno de sus integrantes o también los vinculados a la figura asociativa?</w:t>
      </w:r>
      <w:r>
        <w:rPr>
          <w:rFonts w:ascii="Century Gothic" w:hAnsi="Century Gothic" w:cs="Arial"/>
          <w:color w:val="000000" w:themeColor="text1"/>
          <w:sz w:val="21"/>
          <w:szCs w:val="21"/>
          <w:lang w:val="es-ES_tradnl"/>
        </w:rPr>
        <w:t>”.</w:t>
      </w:r>
    </w:p>
    <w:p w14:paraId="0FD83456" w14:textId="77777777" w:rsidR="005D0EE5" w:rsidRPr="004C64AD" w:rsidRDefault="005D0EE5" w:rsidP="005D0EE5">
      <w:pPr>
        <w:spacing w:after="0" w:line="240" w:lineRule="auto"/>
        <w:ind w:left="709" w:right="709"/>
        <w:jc w:val="both"/>
        <w:rPr>
          <w:rFonts w:ascii="Century Gothic" w:hAnsi="Century Gothic" w:cs="Arial"/>
          <w:color w:val="000000" w:themeColor="text1"/>
          <w:sz w:val="21"/>
          <w:szCs w:val="21"/>
        </w:rPr>
      </w:pPr>
      <w:r w:rsidRPr="00BF3AF4">
        <w:rPr>
          <w:rFonts w:ascii="Century Gothic" w:hAnsi="Century Gothic" w:cs="Arial"/>
          <w:color w:val="000000" w:themeColor="text1"/>
          <w:sz w:val="21"/>
          <w:szCs w:val="21"/>
          <w:lang w:val="es-ES_tradnl"/>
        </w:rPr>
        <w:t>iii) “¿Conforme la legislación en Colombia es posible que las uniones temporales y consorcios entendidas estas como figuras de colaboración empresarial mediante la cual las personas, naturales y/o jurídicas, deciden agruparse con el objeto de unir fuerzas y desarrollar un negocio, sin que creen o constituyan una persona jurídica independiente, contraten personal?”</w:t>
      </w:r>
      <w:r w:rsidRPr="004C64AD">
        <w:rPr>
          <w:rFonts w:ascii="Century Gothic" w:hAnsi="Century Gothic" w:cs="Arial"/>
          <w:color w:val="000000" w:themeColor="text1"/>
          <w:sz w:val="21"/>
          <w:szCs w:val="21"/>
          <w:lang w:val="es-ES_tradnl"/>
        </w:rPr>
        <w:t>.</w:t>
      </w:r>
    </w:p>
    <w:p w14:paraId="745C71A6" w14:textId="77777777" w:rsidR="005D0EE5" w:rsidRPr="004C64AD" w:rsidRDefault="005D0EE5" w:rsidP="005D0EE5">
      <w:pPr>
        <w:spacing w:after="0" w:line="276" w:lineRule="auto"/>
        <w:ind w:left="709" w:right="709"/>
        <w:jc w:val="both"/>
        <w:rPr>
          <w:rFonts w:ascii="Century Gothic" w:hAnsi="Century Gothic" w:cs="Arial"/>
          <w:color w:val="000000" w:themeColor="text1"/>
        </w:rPr>
      </w:pPr>
      <w:r w:rsidRPr="004C64AD">
        <w:rPr>
          <w:rFonts w:ascii="Century Gothic" w:hAnsi="Century Gothic" w:cs="Arial"/>
          <w:color w:val="000000" w:themeColor="text1"/>
          <w:sz w:val="21"/>
          <w:szCs w:val="21"/>
        </w:rPr>
        <w:t xml:space="preserve"> </w:t>
      </w:r>
    </w:p>
    <w:p w14:paraId="1980E62B" w14:textId="77777777" w:rsidR="005D0EE5" w:rsidRPr="00D226AB" w:rsidRDefault="005D0EE5" w:rsidP="005D0EE5">
      <w:pPr>
        <w:tabs>
          <w:tab w:val="left" w:pos="0"/>
        </w:tabs>
        <w:spacing w:after="120" w:line="276" w:lineRule="auto"/>
        <w:jc w:val="both"/>
        <w:rPr>
          <w:rFonts w:ascii="Century Gothic" w:eastAsia="Calibri" w:hAnsi="Century Gothic" w:cs="Arial"/>
          <w:bCs/>
          <w:szCs w:val="24"/>
          <w:lang w:val="es-ES_tradnl" w:eastAsia="es-ES_tradnl"/>
        </w:rPr>
      </w:pPr>
      <w:bookmarkStart w:id="10" w:name="_Hlk131064197"/>
      <w:r w:rsidRPr="004C64AD">
        <w:rPr>
          <w:rStyle w:val="Textoennegrita"/>
          <w:rFonts w:ascii="Century Gothic" w:hAnsi="Century Gothic" w:cs="Arial"/>
          <w:shd w:val="clear" w:color="auto" w:fill="FFFFFF"/>
        </w:rPr>
        <w:t xml:space="preserve">De acuerdo con la interpretación general de las normas que conforman el sistema de compras públicas, </w:t>
      </w:r>
      <w:r>
        <w:rPr>
          <w:rFonts w:ascii="Century Gothic" w:eastAsia="Times New Roman" w:hAnsi="Century Gothic" w:cs="Arial"/>
          <w:lang w:val="es-ES_tradnl" w:eastAsia="es-ES_tradnl"/>
        </w:rPr>
        <w:t xml:space="preserve">el numeral 4 del </w:t>
      </w:r>
      <w:r w:rsidRPr="00D226AB">
        <w:rPr>
          <w:rFonts w:ascii="Century Gothic" w:eastAsia="Calibri" w:hAnsi="Century Gothic" w:cs="Arial"/>
          <w:bCs/>
          <w:color w:val="000000"/>
          <w:lang w:val="es-ES_tradnl" w:eastAsia="es-ES_tradnl"/>
        </w:rPr>
        <w:t xml:space="preserve">artículo </w:t>
      </w:r>
      <w:r w:rsidRPr="00D226AB">
        <w:rPr>
          <w:rFonts w:ascii="Century Gothic" w:eastAsia="Calibri" w:hAnsi="Century Gothic" w:cs="Arial"/>
          <w:color w:val="000000"/>
          <w:lang w:val="es-ES_tradnl" w:eastAsia="es-ES_tradnl"/>
        </w:rPr>
        <w:t xml:space="preserve">2.2.1.2.4.2.17 </w:t>
      </w:r>
      <w:r>
        <w:rPr>
          <w:rFonts w:ascii="Century Gothic" w:eastAsia="Calibri" w:hAnsi="Century Gothic" w:cs="Arial"/>
          <w:color w:val="000000"/>
          <w:lang w:val="es-ES_tradnl" w:eastAsia="es-ES_tradnl"/>
        </w:rPr>
        <w:t>de</w:t>
      </w:r>
      <w:r w:rsidRPr="00D226AB">
        <w:rPr>
          <w:rFonts w:ascii="Century Gothic" w:eastAsia="Calibri" w:hAnsi="Century Gothic" w:cs="Arial"/>
          <w:color w:val="000000"/>
          <w:lang w:val="es-ES_tradnl" w:eastAsia="es-ES_tradnl"/>
        </w:rPr>
        <w:t>l Decreto 1082 de 2015</w:t>
      </w:r>
      <w:r>
        <w:rPr>
          <w:rFonts w:ascii="Century Gothic" w:eastAsia="Calibri" w:hAnsi="Century Gothic" w:cs="Arial"/>
          <w:color w:val="000000"/>
          <w:lang w:val="es-ES_tradnl" w:eastAsia="es-ES_tradnl"/>
        </w:rPr>
        <w:t xml:space="preserve"> </w:t>
      </w:r>
      <w:r w:rsidRPr="00D226AB">
        <w:rPr>
          <w:rFonts w:ascii="Century Gothic" w:eastAsia="Calibri" w:hAnsi="Century Gothic" w:cs="Arial"/>
          <w:bCs/>
          <w:szCs w:val="24"/>
          <w:lang w:val="es-ES_tradnl" w:eastAsia="es-ES_tradnl"/>
        </w:rPr>
        <w:t>señala que se preferirá la propuesta del oferente que acredite la vinculación en mayor proporción de personas mayores que no sean beneficiarias de la pensión de vejez, familiar o de sobrevivencia y que hayan cumplido el requisito de edad de pensión establecido en la ley, para lo cual deberán presentar los siguientes documentos: i) un certificado mediante el cual, el representante legal de la persona jurídica o el revisor fiscal, acredite bajo gravedad de juramento las personas vinculadas a la nómina y el número de trabajadores que no son beneficiarios de la pensión de vejez, familiar o de sobrevivencia, ii) un certificado mediante el cual, cada uno de los trabajadores sujetos a la condición prevista en el numeral, acredite bajo gravedad de juramento que no es beneficiario de pensión de vejez, familiar o sobrevivencia, y que cumple la edad de pensión; y iii) además, el documento de identificación del trabajador que lo firma.</w:t>
      </w:r>
    </w:p>
    <w:p w14:paraId="010AB2A7" w14:textId="77777777" w:rsidR="005D0EE5" w:rsidRPr="00D226AB" w:rsidRDefault="005D0EE5" w:rsidP="005D0EE5">
      <w:pPr>
        <w:tabs>
          <w:tab w:val="left" w:pos="0"/>
        </w:tabs>
        <w:spacing w:after="120" w:line="276" w:lineRule="auto"/>
        <w:ind w:firstLine="709"/>
        <w:jc w:val="both"/>
        <w:rPr>
          <w:rFonts w:ascii="Century Gothic" w:eastAsia="Calibri" w:hAnsi="Century Gothic" w:cs="Arial"/>
          <w:bCs/>
          <w:szCs w:val="24"/>
          <w:lang w:val="es-ES_tradnl" w:eastAsia="es-ES_tradnl"/>
        </w:rPr>
      </w:pPr>
      <w:r w:rsidRPr="00D226AB">
        <w:rPr>
          <w:rFonts w:ascii="Century Gothic" w:eastAsia="Calibri" w:hAnsi="Century Gothic" w:cs="Arial"/>
          <w:bCs/>
          <w:szCs w:val="24"/>
          <w:lang w:val="es-ES_tradnl" w:eastAsia="es-ES_tradnl"/>
        </w:rPr>
        <w:t xml:space="preserve">Según la norma citada, para </w:t>
      </w:r>
      <w:r>
        <w:rPr>
          <w:rFonts w:ascii="Century Gothic" w:eastAsia="Calibri" w:hAnsi="Century Gothic" w:cs="Arial"/>
          <w:bCs/>
          <w:szCs w:val="24"/>
          <w:lang w:val="es-ES_tradnl" w:eastAsia="es-ES_tradnl"/>
        </w:rPr>
        <w:t>el factor de desempate</w:t>
      </w:r>
      <w:r w:rsidRPr="00D226AB">
        <w:rPr>
          <w:rFonts w:ascii="Century Gothic" w:eastAsia="Calibri" w:hAnsi="Century Gothic" w:cs="Arial"/>
          <w:bCs/>
          <w:szCs w:val="24"/>
          <w:lang w:val="es-ES_tradnl" w:eastAsia="es-ES_tradnl"/>
        </w:rPr>
        <w:t xml:space="preserve"> se tendrá en cuenta si han estado vinculadas con anterioridad a un año desde la fecha de cierre del proceso y que para el caso de las personas jurídicas nuevas o con constitución inferior a un año, se tendrá en cuenta que hayan estado vinculadas desde el momento de constitución de la persona jurídica. De otro lado, para el caso de los proponentes plurales, se establece que las personas referenciadas podrán estar vinculadas a cualquiera de los integrantes de la estructura plural. </w:t>
      </w:r>
    </w:p>
    <w:p w14:paraId="12745888" w14:textId="77777777" w:rsidR="005D0EE5" w:rsidRDefault="005D0EE5" w:rsidP="005D0EE5">
      <w:pPr>
        <w:tabs>
          <w:tab w:val="left" w:pos="0"/>
        </w:tabs>
        <w:spacing w:after="120" w:line="276" w:lineRule="auto"/>
        <w:ind w:firstLine="709"/>
        <w:jc w:val="both"/>
        <w:rPr>
          <w:rFonts w:ascii="Century Gothic" w:eastAsia="Times New Roman" w:hAnsi="Century Gothic" w:cs="Arial"/>
          <w:lang w:val="es-ES_tradnl" w:eastAsia="es-ES_tradnl"/>
        </w:rPr>
      </w:pPr>
      <w:r w:rsidRPr="00D226AB">
        <w:rPr>
          <w:rFonts w:ascii="Century Gothic" w:eastAsia="Calibri" w:hAnsi="Century Gothic" w:cs="Arial"/>
          <w:bCs/>
          <w:szCs w:val="24"/>
          <w:lang w:val="es-ES_tradnl" w:eastAsia="es-ES_tradnl"/>
        </w:rPr>
        <w:t xml:space="preserve">Finalmente, de acuerdo con la norma, la expresión “mayor proporción” alude al número de personas vinculadas por el oferente, la cual </w:t>
      </w:r>
      <w:r w:rsidRPr="00D226AB">
        <w:rPr>
          <w:rFonts w:ascii="Century Gothic" w:eastAsia="Times New Roman" w:hAnsi="Century Gothic" w:cs="Arial"/>
          <w:lang w:val="es-ES_tradnl" w:eastAsia="es-ES_tradnl"/>
        </w:rPr>
        <w:t>“</w:t>
      </w:r>
      <w:r w:rsidRPr="00D226AB">
        <w:rPr>
          <w:rFonts w:ascii="Century Gothic" w:eastAsia="Calibri" w:hAnsi="Century Gothic" w:cs="Arial"/>
          <w:bCs/>
          <w:szCs w:val="24"/>
          <w:lang w:val="es-ES_tradnl" w:eastAsia="es-ES_tradnl"/>
        </w:rPr>
        <w:t xml:space="preserve">se definirá en relación con el número total de trabajadores vinculados en la planta de personal, </w:t>
      </w:r>
      <w:r w:rsidRPr="00D226AB">
        <w:rPr>
          <w:rFonts w:ascii="Century Gothic" w:eastAsia="Calibri" w:hAnsi="Century Gothic" w:cs="Arial"/>
          <w:bCs/>
          <w:szCs w:val="24"/>
          <w:lang w:val="es-ES_tradnl" w:eastAsia="es-ES_tradnl"/>
        </w:rPr>
        <w:lastRenderedPageBreak/>
        <w:t xml:space="preserve">por lo que se preferirá al oferente que acredite un </w:t>
      </w:r>
      <w:r w:rsidRPr="00D226AB">
        <w:rPr>
          <w:rFonts w:ascii="Century Gothic" w:eastAsia="Calibri" w:hAnsi="Century Gothic" w:cs="Arial"/>
          <w:bCs/>
          <w:i/>
          <w:iCs/>
          <w:szCs w:val="24"/>
          <w:lang w:val="es-ES_tradnl" w:eastAsia="es-ES_tradnl"/>
        </w:rPr>
        <w:t>porcentaje mayor</w:t>
      </w:r>
      <w:r w:rsidRPr="00D226AB">
        <w:rPr>
          <w:rFonts w:ascii="Century Gothic" w:eastAsia="Times New Roman" w:hAnsi="Century Gothic" w:cs="Arial"/>
          <w:lang w:val="es-ES_tradnl" w:eastAsia="es-ES_tradnl"/>
        </w:rPr>
        <w:t>”</w:t>
      </w:r>
      <w:r w:rsidRPr="00D226AB">
        <w:rPr>
          <w:rFonts w:ascii="Century Gothic" w:eastAsia="Calibri" w:hAnsi="Century Gothic" w:cs="Arial"/>
          <w:bCs/>
          <w:szCs w:val="24"/>
          <w:lang w:val="es-ES_tradnl" w:eastAsia="es-ES_tradnl"/>
        </w:rPr>
        <w:t xml:space="preserve"> de vinculación laboral de personas que reúnan la condición de ser mayores y que “no sean beneficiarios de la pensión de vejez, familiar o de sobrevivencia y que hayan cumplido el requisito de edad de pensión establecido en la Ley”. Para el caso de los proponentes plurales, </w:t>
      </w:r>
      <w:r w:rsidRPr="00D226AB">
        <w:rPr>
          <w:rFonts w:ascii="Century Gothic" w:eastAsia="Times New Roman" w:hAnsi="Century Gothic" w:cs="Arial"/>
          <w:lang w:val="es-ES_tradnl" w:eastAsia="es-ES_tradnl"/>
        </w:rPr>
        <w:t xml:space="preserve">“la mayor proporción se definirá con la sumatoria de trabajadores vinculados en la planta de personal de cada uno de sus integrantes”. </w:t>
      </w:r>
    </w:p>
    <w:p w14:paraId="1475252A" w14:textId="600C59DE" w:rsidR="005D0EE5" w:rsidRDefault="005D0EE5" w:rsidP="005D0EE5">
      <w:pPr>
        <w:spacing w:after="120" w:line="276" w:lineRule="auto"/>
        <w:ind w:firstLine="708"/>
        <w:jc w:val="both"/>
        <w:rPr>
          <w:rFonts w:ascii="Century Gothic" w:eastAsia="Calibri" w:hAnsi="Century Gothic" w:cs="Arial"/>
          <w:color w:val="000000"/>
          <w:lang w:val="es-ES_tradnl" w:eastAsia="es-ES_tradnl"/>
        </w:rPr>
      </w:pPr>
      <w:r w:rsidRPr="00BF270F">
        <w:rPr>
          <w:rFonts w:ascii="Century Gothic" w:eastAsia="Calibri" w:hAnsi="Century Gothic" w:cs="Arial"/>
          <w:color w:val="000000"/>
          <w:lang w:val="es-ES_tradnl" w:eastAsia="es-ES_tradnl"/>
        </w:rPr>
        <w:t>.</w:t>
      </w:r>
      <w:r>
        <w:rPr>
          <w:rFonts w:ascii="Century Gothic" w:eastAsia="Calibri" w:hAnsi="Century Gothic" w:cs="Arial"/>
          <w:color w:val="000000"/>
          <w:lang w:val="es-ES_tradnl" w:eastAsia="es-ES_tradnl"/>
        </w:rPr>
        <w:t xml:space="preserve"> Tratándose de consorcios o uniones temporales, el reglamento dispone que el análisis de la vinculación únicamente se realiza respecto a cada uno de los integrantes de la estructura plural. Esto es así en la medida que, si bien tanto el artículo 6 como los numerales 6 y 7 del artículo 7 de la Ley 80 de 1993 les otorgan capacidad para celebrar </w:t>
      </w:r>
      <w:r w:rsidRPr="00A16912">
        <w:rPr>
          <w:rFonts w:ascii="Century Gothic" w:eastAsia="Calibri" w:hAnsi="Century Gothic" w:cs="Arial"/>
          <w:i/>
          <w:iCs/>
          <w:color w:val="000000"/>
          <w:lang w:val="es-ES_tradnl" w:eastAsia="es-ES_tradnl"/>
        </w:rPr>
        <w:t>contratos estatales</w:t>
      </w:r>
      <w:r>
        <w:rPr>
          <w:rFonts w:ascii="Century Gothic" w:eastAsia="Calibri" w:hAnsi="Century Gothic" w:cs="Arial"/>
          <w:color w:val="000000"/>
          <w:lang w:val="es-ES_tradnl" w:eastAsia="es-ES_tradnl"/>
        </w:rPr>
        <w:t xml:space="preserve">, ambas carecen de personería jurídica independiente. Como las normas precitadas del EGCAP no otorgan capacidad para celebrar </w:t>
      </w:r>
      <w:r w:rsidRPr="00A16912">
        <w:rPr>
          <w:rFonts w:ascii="Century Gothic" w:eastAsia="Calibri" w:hAnsi="Century Gothic" w:cs="Arial"/>
          <w:i/>
          <w:iCs/>
          <w:color w:val="000000"/>
          <w:lang w:val="es-ES_tradnl" w:eastAsia="es-ES_tradnl"/>
        </w:rPr>
        <w:t>contratos laborales</w:t>
      </w:r>
      <w:r>
        <w:rPr>
          <w:rFonts w:ascii="Century Gothic" w:eastAsia="Calibri" w:hAnsi="Century Gothic" w:cs="Arial"/>
          <w:color w:val="000000"/>
          <w:lang w:val="es-ES_tradnl" w:eastAsia="es-ES_tradnl"/>
        </w:rPr>
        <w:t>, ésta última no corresponde a la figura asociativa sino a las personas que la conforman.</w:t>
      </w:r>
    </w:p>
    <w:bookmarkEnd w:id="10"/>
    <w:p w14:paraId="6D1F6D5F" w14:textId="77777777" w:rsidR="005D0EE5" w:rsidRPr="004C64AD" w:rsidRDefault="005D0EE5" w:rsidP="005D0EE5">
      <w:pPr>
        <w:tabs>
          <w:tab w:val="left" w:pos="426"/>
        </w:tabs>
        <w:spacing w:after="0" w:line="276" w:lineRule="auto"/>
        <w:jc w:val="both"/>
        <w:rPr>
          <w:rFonts w:ascii="Century Gothic" w:eastAsia="Arial" w:hAnsi="Century Gothic" w:cs="Arial"/>
          <w:lang w:val="es-ES" w:eastAsia="es-ES" w:bidi="es-ES"/>
        </w:rPr>
      </w:pPr>
    </w:p>
    <w:p w14:paraId="69B3C50A" w14:textId="77777777" w:rsidR="005D0EE5" w:rsidRPr="004C64AD" w:rsidRDefault="005D0EE5" w:rsidP="005D0EE5">
      <w:pPr>
        <w:widowControl w:val="0"/>
        <w:autoSpaceDE w:val="0"/>
        <w:autoSpaceDN w:val="0"/>
        <w:spacing w:after="0" w:line="276" w:lineRule="auto"/>
        <w:jc w:val="both"/>
        <w:rPr>
          <w:rFonts w:ascii="Century Gothic" w:hAnsi="Century Gothic" w:cs="Arial"/>
          <w:color w:val="000000" w:themeColor="text1"/>
          <w:lang w:val="es-ES_tradnl" w:bidi="es-ES"/>
        </w:rPr>
      </w:pPr>
      <w:r w:rsidRPr="004C64AD">
        <w:rPr>
          <w:rFonts w:ascii="Century Gothic" w:hAnsi="Century Gothic" w:cs="Arial"/>
          <w:color w:val="000000" w:themeColor="text1"/>
          <w:lang w:val="es-ES_tradnl"/>
        </w:rPr>
        <w:t>Este concepto tiene el alcance previsto en el artículo 28 del Código de Procedimiento Administrativo y de lo Contencioso Administrativo.</w:t>
      </w:r>
    </w:p>
    <w:p w14:paraId="309B0C0A" w14:textId="77777777" w:rsidR="005D0EE5" w:rsidRPr="004C64AD" w:rsidRDefault="005D0EE5" w:rsidP="005D0EE5">
      <w:pPr>
        <w:widowControl w:val="0"/>
        <w:autoSpaceDE w:val="0"/>
        <w:autoSpaceDN w:val="0"/>
        <w:spacing w:after="0" w:line="276" w:lineRule="auto"/>
        <w:jc w:val="both"/>
        <w:rPr>
          <w:rFonts w:ascii="Century Gothic" w:hAnsi="Century Gothic" w:cs="Arial"/>
          <w:color w:val="000000" w:themeColor="text1"/>
          <w:lang w:val="es-ES_tradnl" w:bidi="es-ES"/>
        </w:rPr>
      </w:pPr>
    </w:p>
    <w:p w14:paraId="4729BBB1" w14:textId="77777777" w:rsidR="005D0EE5" w:rsidRPr="004C64AD" w:rsidRDefault="005D0EE5" w:rsidP="005D0EE5">
      <w:pPr>
        <w:tabs>
          <w:tab w:val="left" w:pos="426"/>
        </w:tabs>
        <w:spacing w:line="276" w:lineRule="auto"/>
        <w:jc w:val="both"/>
        <w:rPr>
          <w:rFonts w:ascii="Century Gothic" w:eastAsia="Times New Roman" w:hAnsi="Century Gothic" w:cs="Arial"/>
          <w:color w:val="000000" w:themeColor="text1"/>
        </w:rPr>
      </w:pPr>
      <w:r w:rsidRPr="004C64AD">
        <w:rPr>
          <w:rFonts w:ascii="Century Gothic" w:eastAsia="Times New Roman" w:hAnsi="Century Gothic" w:cs="Arial"/>
          <w:color w:val="000000" w:themeColor="text1"/>
        </w:rPr>
        <w:t>Atentamente,</w:t>
      </w:r>
    </w:p>
    <w:p w14:paraId="271249E6" w14:textId="50F27001" w:rsidR="005D0EE5" w:rsidRPr="004C64AD" w:rsidRDefault="00E958B5" w:rsidP="005D0EE5">
      <w:pPr>
        <w:jc w:val="center"/>
        <w:rPr>
          <w:rFonts w:ascii="Century Gothic" w:eastAsia="Times New Roman" w:hAnsi="Century Gothic" w:cs="Arial"/>
          <w:lang w:eastAsia="es-CO"/>
        </w:rPr>
      </w:pPr>
      <w:r>
        <w:rPr>
          <w:noProof/>
        </w:rPr>
        <w:drawing>
          <wp:inline distT="0" distB="0" distL="0" distR="0" wp14:anchorId="5CAF0284" wp14:editId="41005CB1">
            <wp:extent cx="3161905" cy="1209524"/>
            <wp:effectExtent l="0" t="0" r="635" b="0"/>
            <wp:docPr id="53006955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0069552" name="Imagen 1" descr="Texto&#10;&#10;Descripción generada automáticamente"/>
                    <pic:cNvPicPr/>
                  </pic:nvPicPr>
                  <pic:blipFill>
                    <a:blip r:embed="rId11"/>
                    <a:stretch>
                      <a:fillRect/>
                    </a:stretch>
                  </pic:blipFill>
                  <pic:spPr>
                    <a:xfrm>
                      <a:off x="0" y="0"/>
                      <a:ext cx="3161905" cy="1209524"/>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D0EE5" w:rsidRPr="004C64AD" w14:paraId="6AA38342" w14:textId="77777777" w:rsidTr="003A3EB2">
        <w:trPr>
          <w:trHeight w:val="409"/>
        </w:trPr>
        <w:tc>
          <w:tcPr>
            <w:tcW w:w="817" w:type="dxa"/>
            <w:tcBorders>
              <w:top w:val="nil"/>
              <w:left w:val="nil"/>
              <w:bottom w:val="nil"/>
              <w:right w:val="nil"/>
            </w:tcBorders>
            <w:vAlign w:val="center"/>
            <w:hideMark/>
          </w:tcPr>
          <w:p w14:paraId="03A9B2CF" w14:textId="77777777" w:rsidR="005D0EE5" w:rsidRPr="004C64AD" w:rsidRDefault="005D0EE5" w:rsidP="003A3EB2">
            <w:pPr>
              <w:spacing w:after="0" w:line="240" w:lineRule="auto"/>
              <w:jc w:val="both"/>
              <w:rPr>
                <w:rFonts w:ascii="Century Gothic" w:hAnsi="Century Gothic" w:cs="Arial"/>
                <w:sz w:val="16"/>
                <w:szCs w:val="16"/>
              </w:rPr>
            </w:pPr>
            <w:r w:rsidRPr="004C64AD">
              <w:rPr>
                <w:rFonts w:ascii="Century Gothic" w:hAnsi="Century Gothic"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203D4FCC" w14:textId="77777777" w:rsidR="005D0EE5" w:rsidRPr="004C64AD" w:rsidRDefault="005D0EE5" w:rsidP="003A3EB2">
            <w:pPr>
              <w:spacing w:after="0" w:line="240" w:lineRule="auto"/>
              <w:jc w:val="both"/>
              <w:rPr>
                <w:rFonts w:ascii="Century Gothic" w:hAnsi="Century Gothic" w:cs="Arial"/>
                <w:sz w:val="16"/>
                <w:szCs w:val="16"/>
              </w:rPr>
            </w:pPr>
            <w:r w:rsidRPr="004C64AD">
              <w:rPr>
                <w:rFonts w:ascii="Century Gothic" w:hAnsi="Century Gothic" w:cs="Arial"/>
                <w:sz w:val="16"/>
                <w:szCs w:val="16"/>
              </w:rPr>
              <w:t>Juan David Montoya Penagos</w:t>
            </w:r>
          </w:p>
          <w:p w14:paraId="6B2AF91B" w14:textId="77777777" w:rsidR="005D0EE5" w:rsidRPr="004C64AD" w:rsidRDefault="005D0EE5" w:rsidP="003A3EB2">
            <w:pPr>
              <w:spacing w:after="0" w:line="240" w:lineRule="auto"/>
              <w:jc w:val="both"/>
              <w:rPr>
                <w:rFonts w:ascii="Century Gothic" w:hAnsi="Century Gothic" w:cs="Arial"/>
                <w:sz w:val="16"/>
                <w:szCs w:val="16"/>
              </w:rPr>
            </w:pPr>
            <w:r w:rsidRPr="004C64AD">
              <w:rPr>
                <w:rFonts w:ascii="Century Gothic" w:hAnsi="Century Gothic" w:cs="Arial"/>
                <w:sz w:val="16"/>
                <w:szCs w:val="16"/>
              </w:rPr>
              <w:t>Contratista de la Subdirección de Gestión Contractual</w:t>
            </w:r>
          </w:p>
        </w:tc>
      </w:tr>
      <w:tr w:rsidR="005D0EE5" w:rsidRPr="004C64AD" w14:paraId="2CBE646C" w14:textId="77777777" w:rsidTr="003A3EB2">
        <w:trPr>
          <w:trHeight w:val="409"/>
        </w:trPr>
        <w:tc>
          <w:tcPr>
            <w:tcW w:w="817" w:type="dxa"/>
            <w:tcBorders>
              <w:top w:val="nil"/>
              <w:left w:val="nil"/>
              <w:right w:val="nil"/>
            </w:tcBorders>
            <w:vAlign w:val="center"/>
          </w:tcPr>
          <w:p w14:paraId="1DEF5DF6" w14:textId="77777777" w:rsidR="005D0EE5" w:rsidRPr="004C64AD" w:rsidRDefault="005D0EE5" w:rsidP="003A3EB2">
            <w:pPr>
              <w:jc w:val="both"/>
              <w:rPr>
                <w:rFonts w:ascii="Century Gothic" w:hAnsi="Century Gothic" w:cs="Arial"/>
                <w:sz w:val="16"/>
                <w:szCs w:val="16"/>
              </w:rPr>
            </w:pPr>
            <w:r w:rsidRPr="004C64AD">
              <w:rPr>
                <w:rFonts w:ascii="Century Gothic" w:hAnsi="Century Gothic"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02F457D3" w14:textId="77777777" w:rsidR="005D0EE5" w:rsidRPr="002307A7" w:rsidRDefault="005D0EE5" w:rsidP="003A3EB2">
            <w:pPr>
              <w:spacing w:after="0" w:line="240" w:lineRule="auto"/>
              <w:jc w:val="both"/>
              <w:rPr>
                <w:rFonts w:ascii="Century Gothic" w:hAnsi="Century Gothic" w:cs="Arial"/>
                <w:sz w:val="16"/>
                <w:szCs w:val="16"/>
              </w:rPr>
            </w:pPr>
            <w:r w:rsidRPr="002307A7">
              <w:rPr>
                <w:rFonts w:ascii="Century Gothic" w:hAnsi="Century Gothic" w:cs="Arial"/>
                <w:sz w:val="16"/>
                <w:szCs w:val="16"/>
              </w:rPr>
              <w:t xml:space="preserve">Adriana Katerine López Rodríguez </w:t>
            </w:r>
          </w:p>
          <w:p w14:paraId="72D9E8A1" w14:textId="77777777" w:rsidR="005D0EE5" w:rsidRPr="004C64AD" w:rsidRDefault="005D0EE5" w:rsidP="003A3EB2">
            <w:pPr>
              <w:spacing w:after="0" w:line="240" w:lineRule="auto"/>
              <w:jc w:val="both"/>
              <w:rPr>
                <w:rFonts w:ascii="Century Gothic" w:hAnsi="Century Gothic" w:cs="Arial"/>
                <w:sz w:val="16"/>
                <w:szCs w:val="16"/>
              </w:rPr>
            </w:pPr>
            <w:r w:rsidRPr="002307A7">
              <w:rPr>
                <w:rFonts w:ascii="Century Gothic" w:hAnsi="Century Gothic" w:cs="Arial"/>
                <w:sz w:val="16"/>
                <w:szCs w:val="16"/>
              </w:rPr>
              <w:t>Contratista de la Subdirección de Gestión Contractual</w:t>
            </w:r>
          </w:p>
        </w:tc>
      </w:tr>
      <w:tr w:rsidR="005D0EE5" w:rsidRPr="004C64AD" w14:paraId="4887889F" w14:textId="77777777" w:rsidTr="003A3EB2">
        <w:trPr>
          <w:trHeight w:val="389"/>
        </w:trPr>
        <w:tc>
          <w:tcPr>
            <w:tcW w:w="817" w:type="dxa"/>
            <w:tcBorders>
              <w:top w:val="nil"/>
              <w:left w:val="nil"/>
              <w:bottom w:val="nil"/>
              <w:right w:val="nil"/>
            </w:tcBorders>
            <w:vAlign w:val="center"/>
            <w:hideMark/>
          </w:tcPr>
          <w:p w14:paraId="1F1F5E6D" w14:textId="77777777" w:rsidR="005D0EE5" w:rsidRPr="004C64AD" w:rsidRDefault="005D0EE5" w:rsidP="003A3EB2">
            <w:pPr>
              <w:spacing w:after="0" w:line="240" w:lineRule="auto"/>
              <w:jc w:val="both"/>
              <w:rPr>
                <w:rFonts w:ascii="Century Gothic" w:hAnsi="Century Gothic" w:cs="Arial"/>
                <w:sz w:val="16"/>
                <w:szCs w:val="16"/>
              </w:rPr>
            </w:pPr>
            <w:r w:rsidRPr="004C64AD">
              <w:rPr>
                <w:rFonts w:ascii="Century Gothic" w:hAnsi="Century Gothic"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1763140" w14:textId="77777777" w:rsidR="005D0EE5" w:rsidRPr="004C64AD" w:rsidRDefault="005D0EE5" w:rsidP="003A3EB2">
            <w:pPr>
              <w:spacing w:after="0" w:line="240" w:lineRule="auto"/>
              <w:jc w:val="both"/>
              <w:rPr>
                <w:rFonts w:ascii="Century Gothic" w:hAnsi="Century Gothic" w:cs="Arial"/>
                <w:sz w:val="16"/>
                <w:szCs w:val="16"/>
              </w:rPr>
            </w:pPr>
            <w:r w:rsidRPr="004C64AD">
              <w:rPr>
                <w:rFonts w:ascii="Century Gothic" w:hAnsi="Century Gothic" w:cs="Arial"/>
                <w:sz w:val="16"/>
                <w:szCs w:val="16"/>
              </w:rPr>
              <w:t>Nohelia del Carmen Zawady Palacio</w:t>
            </w:r>
          </w:p>
          <w:p w14:paraId="7E4C19D2" w14:textId="77777777" w:rsidR="005D0EE5" w:rsidRPr="004C64AD" w:rsidRDefault="005D0EE5" w:rsidP="003A3EB2">
            <w:pPr>
              <w:spacing w:after="0" w:line="240" w:lineRule="auto"/>
              <w:jc w:val="both"/>
              <w:rPr>
                <w:rFonts w:ascii="Century Gothic" w:hAnsi="Century Gothic" w:cs="Arial"/>
                <w:sz w:val="16"/>
                <w:szCs w:val="16"/>
              </w:rPr>
            </w:pPr>
            <w:r w:rsidRPr="004C64AD">
              <w:rPr>
                <w:rFonts w:ascii="Century Gothic" w:hAnsi="Century Gothic" w:cs="Arial"/>
                <w:sz w:val="16"/>
                <w:szCs w:val="16"/>
              </w:rPr>
              <w:t>Subdirectora de Gestión Contractual ANCP - CCE</w:t>
            </w:r>
          </w:p>
        </w:tc>
      </w:tr>
      <w:bookmarkEnd w:id="2"/>
    </w:tbl>
    <w:p w14:paraId="12911501" w14:textId="77777777" w:rsidR="005D0EE5" w:rsidRPr="004C64AD" w:rsidRDefault="005D0EE5" w:rsidP="005D0EE5">
      <w:pPr>
        <w:tabs>
          <w:tab w:val="left" w:pos="0"/>
        </w:tabs>
        <w:spacing w:line="276" w:lineRule="auto"/>
        <w:contextualSpacing/>
        <w:jc w:val="both"/>
        <w:rPr>
          <w:rFonts w:ascii="Century Gothic" w:hAnsi="Century Gothic"/>
          <w:lang w:val="es-MX"/>
        </w:rPr>
      </w:pPr>
    </w:p>
    <w:p w14:paraId="62DF87A6" w14:textId="77777777" w:rsidR="005D0EE5" w:rsidRPr="004C64AD" w:rsidRDefault="005D0EE5" w:rsidP="005D0EE5">
      <w:pPr>
        <w:rPr>
          <w:rFonts w:ascii="Century Gothic" w:hAnsi="Century Gothic"/>
        </w:rPr>
      </w:pPr>
    </w:p>
    <w:p w14:paraId="0F293BF4" w14:textId="7BBFAB11" w:rsidR="00127233" w:rsidRPr="00EB34CC" w:rsidRDefault="00127233" w:rsidP="00EB34CC"/>
    <w:sectPr w:rsidR="00127233" w:rsidRPr="00EB34CC" w:rsidSect="002E4FD9">
      <w:headerReference w:type="default" r:id="rId12"/>
      <w:footerReference w:type="default" r:id="rId13"/>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D0B98E" w14:textId="77777777" w:rsidR="00EE2D55" w:rsidRDefault="00EE2D55" w:rsidP="004A1847">
      <w:pPr>
        <w:spacing w:after="0" w:line="240" w:lineRule="auto"/>
      </w:pPr>
      <w:r>
        <w:separator/>
      </w:r>
    </w:p>
  </w:endnote>
  <w:endnote w:type="continuationSeparator" w:id="0">
    <w:p w14:paraId="549B6D6F" w14:textId="77777777" w:rsidR="00EE2D55" w:rsidRDefault="00EE2D55" w:rsidP="004A1847">
      <w:pPr>
        <w:spacing w:after="0" w:line="240" w:lineRule="auto"/>
      </w:pPr>
      <w:r>
        <w:continuationSeparator/>
      </w:r>
    </w:p>
  </w:endnote>
  <w:endnote w:type="continuationNotice" w:id="1">
    <w:p w14:paraId="554B4296" w14:textId="77777777" w:rsidR="00EE2D55" w:rsidRDefault="00EE2D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manist Light">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01347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58243"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8C410" w14:textId="77777777" w:rsidR="00EE2D55" w:rsidRDefault="00EE2D55" w:rsidP="004A1847">
      <w:pPr>
        <w:spacing w:after="0" w:line="240" w:lineRule="auto"/>
      </w:pPr>
      <w:r>
        <w:separator/>
      </w:r>
    </w:p>
  </w:footnote>
  <w:footnote w:type="continuationSeparator" w:id="0">
    <w:p w14:paraId="7D73529B" w14:textId="77777777" w:rsidR="00EE2D55" w:rsidRDefault="00EE2D55" w:rsidP="004A1847">
      <w:pPr>
        <w:spacing w:after="0" w:line="240" w:lineRule="auto"/>
      </w:pPr>
      <w:r>
        <w:continuationSeparator/>
      </w:r>
    </w:p>
  </w:footnote>
  <w:footnote w:type="continuationNotice" w:id="1">
    <w:p w14:paraId="28F247A7" w14:textId="77777777" w:rsidR="00EE2D55" w:rsidRDefault="00EE2D55">
      <w:pPr>
        <w:spacing w:after="0" w:line="240" w:lineRule="auto"/>
      </w:pPr>
    </w:p>
  </w:footnote>
  <w:footnote w:id="2">
    <w:p w14:paraId="1F03F567" w14:textId="77777777" w:rsidR="005D0EE5" w:rsidRPr="00A159DD" w:rsidRDefault="005D0EE5" w:rsidP="005D0EE5">
      <w:pPr>
        <w:pStyle w:val="Textonotapie"/>
        <w:ind w:firstLine="708"/>
        <w:jc w:val="both"/>
        <w:rPr>
          <w:rFonts w:ascii="Century Gothic" w:hAnsi="Century Gothic" w:cs="Arial"/>
          <w:sz w:val="16"/>
          <w:szCs w:val="16"/>
          <w:lang w:val="es-ES"/>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La Agencia Nacional de Contratación Pública </w:t>
      </w:r>
      <w:r w:rsidRPr="00A159DD">
        <w:rPr>
          <w:rFonts w:ascii="Arial" w:hAnsi="Arial" w:cs="Arial"/>
          <w:sz w:val="16"/>
          <w:szCs w:val="16"/>
        </w:rPr>
        <w:t>‒</w:t>
      </w:r>
      <w:r w:rsidRPr="00A159DD">
        <w:rPr>
          <w:rFonts w:ascii="Century Gothic" w:hAnsi="Century Gothic" w:cs="Arial"/>
          <w:sz w:val="16"/>
          <w:szCs w:val="16"/>
        </w:rPr>
        <w:t xml:space="preserve">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A159DD">
        <w:rPr>
          <w:rFonts w:ascii="Century Gothic" w:hAnsi="Century Gothic" w:cs="Arial"/>
          <w:i/>
          <w:iCs/>
          <w:sz w:val="16"/>
          <w:szCs w:val="16"/>
        </w:rPr>
        <w:t xml:space="preserve">ibidem </w:t>
      </w:r>
      <w:r w:rsidRPr="00A159DD">
        <w:rPr>
          <w:rFonts w:ascii="Century Gothic" w:hAnsi="Century Gothic" w:cs="Arial"/>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
    <w:p w14:paraId="75EA22EB" w14:textId="77777777" w:rsidR="005D0EE5" w:rsidRPr="00A159DD" w:rsidRDefault="005D0EE5" w:rsidP="005D0EE5">
      <w:pPr>
        <w:pStyle w:val="Textonotapie"/>
        <w:ind w:firstLine="708"/>
        <w:jc w:val="both"/>
        <w:rPr>
          <w:rFonts w:ascii="Century Gothic" w:hAnsi="Century Gothic" w:cs="Arial"/>
          <w:sz w:val="16"/>
          <w:szCs w:val="16"/>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Los conceptos referenciados, así como otros expedidos por la Subdirección se encuentran disponibles para consulta pública en el portal de relatoría de la Agencia, al cual se puede acceder a través del siguiente enlace: </w:t>
      </w:r>
      <w:hyperlink r:id="rId1" w:history="1">
        <w:r w:rsidRPr="00A159DD">
          <w:rPr>
            <w:rStyle w:val="Hipervnculo"/>
            <w:rFonts w:ascii="Century Gothic" w:hAnsi="Century Gothic" w:cs="Arial"/>
            <w:sz w:val="16"/>
            <w:szCs w:val="16"/>
          </w:rPr>
          <w:t>https://relatoria.colombiacompra.gov.co/busqueda/conceptos</w:t>
        </w:r>
      </w:hyperlink>
      <w:r w:rsidRPr="00A159DD">
        <w:rPr>
          <w:rStyle w:val="Hipervnculo"/>
          <w:rFonts w:ascii="Century Gothic" w:hAnsi="Century Gothic" w:cs="Arial"/>
          <w:sz w:val="16"/>
          <w:szCs w:val="16"/>
        </w:rPr>
        <w:t xml:space="preserve">. </w:t>
      </w:r>
      <w:r w:rsidRPr="00A159DD">
        <w:rPr>
          <w:rFonts w:ascii="Century Gothic" w:hAnsi="Century Gothic" w:cs="Arial"/>
          <w:sz w:val="16"/>
          <w:szCs w:val="16"/>
          <w:shd w:val="clear" w:color="auto" w:fill="E6E6E6"/>
        </w:rPr>
        <w:t xml:space="preserve"> </w:t>
      </w:r>
    </w:p>
  </w:footnote>
  <w:footnote w:id="4">
    <w:p w14:paraId="324A7B8C" w14:textId="77777777" w:rsidR="005D0EE5" w:rsidRPr="00A159DD" w:rsidRDefault="005D0EE5" w:rsidP="005D0EE5">
      <w:pPr>
        <w:pStyle w:val="Textonotapie"/>
        <w:ind w:firstLine="709"/>
        <w:jc w:val="both"/>
        <w:rPr>
          <w:rFonts w:ascii="Century Gothic" w:hAnsi="Century Gothic" w:cs="Arial"/>
          <w:sz w:val="16"/>
          <w:szCs w:val="16"/>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Consejo de Estado. Sección Tercera. Sentencia del 29 de octubre de 2.015. Consejera Ponente: Stella Conto Díaz Del Castillo. Expediente: 31.918.</w:t>
      </w:r>
    </w:p>
  </w:footnote>
  <w:footnote w:id="5">
    <w:p w14:paraId="6E726C2B" w14:textId="77777777" w:rsidR="005D0EE5" w:rsidRPr="00A159DD" w:rsidRDefault="005D0EE5" w:rsidP="005D0EE5">
      <w:pPr>
        <w:pStyle w:val="Textonotapie"/>
        <w:ind w:firstLine="709"/>
        <w:jc w:val="both"/>
        <w:rPr>
          <w:rFonts w:ascii="Century Gothic" w:hAnsi="Century Gothic" w:cs="Arial"/>
          <w:sz w:val="16"/>
          <w:szCs w:val="16"/>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Corte Constitucional. Sentencia T-684A del 14 de septiembre de 2011. Magistrado Ponente: Mauricio González Cuervo.</w:t>
      </w:r>
    </w:p>
  </w:footnote>
  <w:footnote w:id="6">
    <w:p w14:paraId="36ACA44F" w14:textId="77777777" w:rsidR="005D0EE5" w:rsidRPr="00A159DD" w:rsidRDefault="005D0EE5" w:rsidP="005D0EE5">
      <w:pPr>
        <w:pStyle w:val="Textonotapie"/>
        <w:ind w:firstLine="709"/>
        <w:jc w:val="both"/>
        <w:rPr>
          <w:rFonts w:ascii="Century Gothic" w:hAnsi="Century Gothic" w:cs="Arial"/>
          <w:sz w:val="16"/>
          <w:szCs w:val="16"/>
          <w:lang w:val="es-ES"/>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Artículos 2 al 29.</w:t>
      </w:r>
    </w:p>
  </w:footnote>
  <w:footnote w:id="7">
    <w:p w14:paraId="182839C0" w14:textId="77777777" w:rsidR="005D0EE5" w:rsidRPr="00A159DD" w:rsidRDefault="005D0EE5" w:rsidP="005D0EE5">
      <w:pPr>
        <w:pStyle w:val="Textonotapie"/>
        <w:ind w:firstLine="709"/>
        <w:jc w:val="both"/>
        <w:rPr>
          <w:rFonts w:ascii="Century Gothic" w:hAnsi="Century Gothic" w:cs="Arial"/>
          <w:sz w:val="16"/>
          <w:szCs w:val="16"/>
          <w:lang w:val="es-ES"/>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Artículos 30 al 36.</w:t>
      </w:r>
    </w:p>
  </w:footnote>
  <w:footnote w:id="8">
    <w:p w14:paraId="5A3C466D" w14:textId="77777777" w:rsidR="005D0EE5" w:rsidRPr="00A159DD" w:rsidRDefault="005D0EE5" w:rsidP="005D0EE5">
      <w:pPr>
        <w:pStyle w:val="Textonotapie"/>
        <w:ind w:firstLine="709"/>
        <w:jc w:val="both"/>
        <w:rPr>
          <w:rFonts w:ascii="Century Gothic" w:hAnsi="Century Gothic" w:cs="Arial"/>
          <w:sz w:val="16"/>
          <w:szCs w:val="16"/>
          <w:lang w:val="es-ES"/>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Artículos 37 al 45.</w:t>
      </w:r>
    </w:p>
  </w:footnote>
  <w:footnote w:id="9">
    <w:p w14:paraId="5566AEF8" w14:textId="77777777" w:rsidR="005D0EE5" w:rsidRPr="00A159DD" w:rsidRDefault="005D0EE5" w:rsidP="005D0EE5">
      <w:pPr>
        <w:pStyle w:val="Textonotapie"/>
        <w:ind w:firstLine="709"/>
        <w:jc w:val="both"/>
        <w:rPr>
          <w:rFonts w:ascii="Century Gothic" w:hAnsi="Century Gothic" w:cs="Arial"/>
          <w:sz w:val="16"/>
          <w:szCs w:val="16"/>
          <w:lang w:val="es-ES"/>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Artículos 46 al 73.</w:t>
      </w:r>
    </w:p>
  </w:footnote>
  <w:footnote w:id="10">
    <w:p w14:paraId="5F534518" w14:textId="77777777" w:rsidR="005D0EE5" w:rsidRPr="00A159DD" w:rsidRDefault="005D0EE5" w:rsidP="005D0EE5">
      <w:pPr>
        <w:pStyle w:val="Textonotapie"/>
        <w:ind w:firstLine="709"/>
        <w:jc w:val="both"/>
        <w:rPr>
          <w:rFonts w:ascii="Century Gothic" w:hAnsi="Century Gothic" w:cs="Arial"/>
          <w:sz w:val="16"/>
          <w:szCs w:val="16"/>
          <w:lang w:val="es-ES"/>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w:t>
      </w:r>
      <w:r w:rsidRPr="00A159DD">
        <w:rPr>
          <w:rFonts w:ascii="Century Gothic" w:hAnsi="Century Gothic" w:cs="Arial"/>
          <w:sz w:val="16"/>
          <w:szCs w:val="16"/>
          <w:lang w:val="es-ES"/>
        </w:rPr>
        <w:t>Artículos 74 al 83.</w:t>
      </w:r>
    </w:p>
  </w:footnote>
  <w:footnote w:id="11">
    <w:p w14:paraId="188EA43B" w14:textId="77777777" w:rsidR="005D0EE5" w:rsidRPr="00A159DD" w:rsidRDefault="005D0EE5" w:rsidP="005D0EE5">
      <w:pPr>
        <w:pStyle w:val="Textonotapie"/>
        <w:ind w:firstLine="708"/>
        <w:jc w:val="both"/>
        <w:rPr>
          <w:rFonts w:ascii="Century Gothic" w:hAnsi="Century Gothic" w:cs="Arial"/>
          <w:sz w:val="16"/>
          <w:szCs w:val="16"/>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Decreto 1860 de 2021. “Artículo 1. Objeto. El presente Decreto tiene como propósito reglamentar los artículos 30, 31, 32,34 y 35 de la Ley 2069 de 2020, en relación con: el procedimiento de mínima cuantía, incluyendo disposiciones particulares que se refieren a la contratación con Mipyme y grandes almacenes; los criterios diferenciales para Mipyme, y la definición y los criterios diferenciales para los emprendimientos y empresas de mujeres; las convocatorias limitadas a Mipyme; el fomento a la ejecución de contratos estatales por parte de población en pobreza extrema, desplazados por la violencia, personas en proceso de reintegración o reincorporación y, sujetos de especial protección constitucional; así como la acreditación de los factores de desempate previstos en la Ley de Emprendimiento”.</w:t>
      </w:r>
    </w:p>
  </w:footnote>
  <w:footnote w:id="12">
    <w:p w14:paraId="333F1E3C" w14:textId="77777777" w:rsidR="005D0EE5" w:rsidRPr="00A159DD" w:rsidRDefault="005D0EE5" w:rsidP="005D0EE5">
      <w:pPr>
        <w:pStyle w:val="NormalWeb"/>
        <w:shd w:val="clear" w:color="auto" w:fill="FFFFFF"/>
        <w:spacing w:before="0" w:beforeAutospacing="0" w:after="0" w:afterAutospacing="0"/>
        <w:ind w:firstLine="709"/>
        <w:jc w:val="both"/>
        <w:rPr>
          <w:rFonts w:ascii="Century Gothic" w:hAnsi="Century Gothic" w:cs="Arial"/>
          <w:sz w:val="16"/>
          <w:szCs w:val="16"/>
        </w:rPr>
      </w:pPr>
      <w:r w:rsidRPr="00A159DD">
        <w:rPr>
          <w:rStyle w:val="Refdenotaalpie"/>
          <w:rFonts w:ascii="Century Gothic" w:hAnsi="Century Gothic" w:cs="Arial"/>
          <w:sz w:val="16"/>
          <w:szCs w:val="16"/>
        </w:rPr>
        <w:footnoteRef/>
      </w:r>
      <w:r w:rsidRPr="00A159DD">
        <w:rPr>
          <w:rFonts w:ascii="Century Gothic" w:hAnsi="Century Gothic" w:cs="Arial"/>
          <w:sz w:val="16"/>
          <w:szCs w:val="16"/>
        </w:rPr>
        <w:t xml:space="preserve"> Decreto 1860 de 2021. “Artículo 8. Vigencia y derogatorias. Las disposiciones contenidas en el presente Decreto se aplicarán a los procedimientos de selección cuya invitación, aviso de convocatoria o documento equivalente se publique a los tres (3) meses contados a partir de su expedición. Este Decreto modifica la Subsección </w:t>
      </w:r>
      <w:hyperlink r:id="rId2" w:anchor="2.2.1.2.1.5.1" w:history="1">
        <w:r w:rsidRPr="00A159DD">
          <w:rPr>
            <w:rStyle w:val="Hipervnculo1"/>
            <w:rFonts w:ascii="Century Gothic" w:hAnsi="Century Gothic" w:cs="Arial"/>
            <w:color w:val="4472C4" w:themeColor="accent1"/>
            <w:sz w:val="16"/>
            <w:szCs w:val="16"/>
          </w:rPr>
          <w:t>5</w:t>
        </w:r>
        <w:r w:rsidRPr="00A159DD">
          <w:rPr>
            <w:rStyle w:val="Hipervnculo1"/>
            <w:rFonts w:ascii="Century Gothic" w:hAnsi="Century Gothic" w:cs="Arial"/>
            <w:sz w:val="16"/>
            <w:szCs w:val="16"/>
          </w:rPr>
          <w:t xml:space="preserve"> </w:t>
        </w:r>
      </w:hyperlink>
      <w:r w:rsidRPr="00A159DD">
        <w:rPr>
          <w:rFonts w:ascii="Century Gothic" w:hAnsi="Century Gothic" w:cs="Arial"/>
          <w:sz w:val="16"/>
          <w:szCs w:val="16"/>
        </w:rPr>
        <w:t xml:space="preserve">de la Sección 1 del Capítulo 2 del Título 1 de la Parte 2 del Libro 2, así como los artículos </w:t>
      </w:r>
      <w:hyperlink r:id="rId3" w:anchor="2.2.1.2.4.2.2" w:history="1">
        <w:r w:rsidRPr="00A159DD">
          <w:rPr>
            <w:rStyle w:val="Hipervnculo1"/>
            <w:rFonts w:ascii="Century Gothic" w:hAnsi="Century Gothic" w:cs="Arial"/>
            <w:color w:val="4472C4" w:themeColor="accent1"/>
            <w:sz w:val="16"/>
            <w:szCs w:val="16"/>
          </w:rPr>
          <w:t>2.2.1.2.4.2.2</w:t>
        </w:r>
      </w:hyperlink>
      <w:r w:rsidRPr="00A159DD">
        <w:rPr>
          <w:rFonts w:ascii="Century Gothic" w:hAnsi="Century Gothic" w:cs="Arial"/>
          <w:sz w:val="16"/>
          <w:szCs w:val="16"/>
        </w:rPr>
        <w:t xml:space="preserve">., </w:t>
      </w:r>
      <w:hyperlink r:id="rId4" w:anchor="2.2.1.2.4.2.3" w:history="1">
        <w:r w:rsidRPr="00A159DD">
          <w:rPr>
            <w:rStyle w:val="Hipervnculo1"/>
            <w:rFonts w:ascii="Century Gothic" w:hAnsi="Century Gothic" w:cs="Arial"/>
            <w:color w:val="4472C4" w:themeColor="accent1"/>
            <w:sz w:val="16"/>
            <w:szCs w:val="16"/>
          </w:rPr>
          <w:t>2.2.1.2.4.2.3</w:t>
        </w:r>
      </w:hyperlink>
      <w:r w:rsidRPr="00A159DD">
        <w:rPr>
          <w:rFonts w:ascii="Century Gothic" w:hAnsi="Century Gothic" w:cs="Arial"/>
          <w:sz w:val="16"/>
          <w:szCs w:val="16"/>
        </w:rPr>
        <w:t xml:space="preserve">., </w:t>
      </w:r>
      <w:hyperlink r:id="rId5" w:anchor="2.2.1.2.4.2.4" w:history="1">
        <w:r w:rsidRPr="00A159DD">
          <w:rPr>
            <w:rStyle w:val="Hipervnculo1"/>
            <w:rFonts w:ascii="Century Gothic" w:hAnsi="Century Gothic" w:cs="Arial"/>
            <w:color w:val="4472C4" w:themeColor="accent1"/>
            <w:sz w:val="16"/>
            <w:szCs w:val="16"/>
          </w:rPr>
          <w:t>2.2.1.2.4.2.4</w:t>
        </w:r>
      </w:hyperlink>
      <w:r w:rsidRPr="00A159DD">
        <w:rPr>
          <w:rFonts w:ascii="Century Gothic" w:hAnsi="Century Gothic" w:cs="Arial"/>
          <w:sz w:val="16"/>
          <w:szCs w:val="16"/>
        </w:rPr>
        <w:t xml:space="preserve">., </w:t>
      </w:r>
      <w:hyperlink r:id="rId6" w:anchor="2.2.1.2.1.2.2" w:history="1">
        <w:r w:rsidRPr="00A159DD">
          <w:rPr>
            <w:rStyle w:val="Hipervnculo1"/>
            <w:rFonts w:ascii="Century Gothic" w:hAnsi="Century Gothic" w:cs="Arial"/>
            <w:color w:val="4472C4" w:themeColor="accent1"/>
            <w:sz w:val="16"/>
            <w:szCs w:val="16"/>
          </w:rPr>
          <w:t>2.2.1.2.1.2.2</w:t>
        </w:r>
      </w:hyperlink>
      <w:r w:rsidRPr="00A159DD">
        <w:rPr>
          <w:rFonts w:ascii="Century Gothic" w:hAnsi="Century Gothic" w:cs="Arial"/>
          <w:sz w:val="16"/>
          <w:szCs w:val="16"/>
        </w:rPr>
        <w:t xml:space="preserve"> y </w:t>
      </w:r>
      <w:hyperlink r:id="rId7" w:anchor="2.2.1.2.4.2.8" w:history="1">
        <w:r w:rsidRPr="00A159DD">
          <w:rPr>
            <w:rStyle w:val="Hipervnculo1"/>
            <w:rFonts w:ascii="Century Gothic" w:hAnsi="Century Gothic" w:cs="Arial"/>
            <w:color w:val="4472C4" w:themeColor="accent1"/>
            <w:sz w:val="16"/>
            <w:szCs w:val="16"/>
          </w:rPr>
          <w:t>2.2.1.2.4.2.8</w:t>
        </w:r>
      </w:hyperlink>
      <w:r w:rsidRPr="00A159DD">
        <w:rPr>
          <w:rFonts w:ascii="Century Gothic" w:hAnsi="Century Gothic" w:cs="Arial"/>
          <w:sz w:val="16"/>
          <w:szCs w:val="16"/>
        </w:rPr>
        <w:t xml:space="preserve">.; adiciona los artículos </w:t>
      </w:r>
      <w:hyperlink r:id="rId8" w:anchor="2.2.1.2.4.2.14" w:history="1">
        <w:r w:rsidRPr="00A159DD">
          <w:rPr>
            <w:rStyle w:val="Hipervnculo1"/>
            <w:rFonts w:ascii="Century Gothic" w:hAnsi="Century Gothic" w:cs="Arial"/>
            <w:color w:val="4472C4" w:themeColor="accent1"/>
            <w:sz w:val="16"/>
            <w:szCs w:val="16"/>
          </w:rPr>
          <w:t>2.2.1.2.4.2.14</w:t>
        </w:r>
      </w:hyperlink>
      <w:r w:rsidRPr="00A159DD">
        <w:rPr>
          <w:rFonts w:ascii="Century Gothic" w:hAnsi="Century Gothic" w:cs="Arial"/>
          <w:sz w:val="16"/>
          <w:szCs w:val="16"/>
        </w:rPr>
        <w:t xml:space="preserve">., </w:t>
      </w:r>
      <w:hyperlink r:id="rId9" w:anchor="2.2.1.2.4.2.15" w:history="1">
        <w:r w:rsidRPr="00A159DD">
          <w:rPr>
            <w:rStyle w:val="Hipervnculo1"/>
            <w:rFonts w:ascii="Century Gothic" w:hAnsi="Century Gothic" w:cs="Arial"/>
            <w:color w:val="4472C4" w:themeColor="accent1"/>
            <w:sz w:val="16"/>
            <w:szCs w:val="16"/>
          </w:rPr>
          <w:t>2.2.1.2.4.2.15</w:t>
        </w:r>
      </w:hyperlink>
      <w:r w:rsidRPr="00A159DD">
        <w:rPr>
          <w:rFonts w:ascii="Century Gothic" w:hAnsi="Century Gothic" w:cs="Arial"/>
          <w:sz w:val="16"/>
          <w:szCs w:val="16"/>
        </w:rPr>
        <w:t xml:space="preserve">., </w:t>
      </w:r>
      <w:hyperlink r:id="rId10" w:anchor="2.2.1.2.4.2.16" w:history="1">
        <w:r w:rsidRPr="00A159DD">
          <w:rPr>
            <w:rStyle w:val="Hipervnculo1"/>
            <w:rFonts w:ascii="Century Gothic" w:hAnsi="Century Gothic" w:cs="Arial"/>
            <w:color w:val="4472C4" w:themeColor="accent1"/>
            <w:sz w:val="16"/>
            <w:szCs w:val="16"/>
          </w:rPr>
          <w:t>2.2.1.2.4.2.16</w:t>
        </w:r>
      </w:hyperlink>
      <w:r w:rsidRPr="00A159DD">
        <w:rPr>
          <w:rFonts w:ascii="Century Gothic" w:hAnsi="Century Gothic" w:cs="Arial"/>
          <w:sz w:val="16"/>
          <w:szCs w:val="16"/>
        </w:rPr>
        <w:t xml:space="preserve">., </w:t>
      </w:r>
      <w:hyperlink r:id="rId11" w:anchor="2.2.1.2.4.2.17" w:history="1">
        <w:r w:rsidRPr="00A159DD">
          <w:rPr>
            <w:rStyle w:val="Hipervnculo1"/>
            <w:rFonts w:ascii="Century Gothic" w:hAnsi="Century Gothic" w:cs="Arial"/>
            <w:color w:val="4472C4" w:themeColor="accent1"/>
            <w:sz w:val="16"/>
            <w:szCs w:val="16"/>
          </w:rPr>
          <w:t>2.2.1.2.4.2.17</w:t>
        </w:r>
      </w:hyperlink>
      <w:r w:rsidRPr="00A159DD">
        <w:rPr>
          <w:rFonts w:ascii="Century Gothic" w:hAnsi="Century Gothic" w:cs="Arial"/>
          <w:sz w:val="16"/>
          <w:szCs w:val="16"/>
        </w:rPr>
        <w:t xml:space="preserve">. y </w:t>
      </w:r>
      <w:hyperlink r:id="rId12" w:anchor="2.2.1.2.4.2.18" w:history="1">
        <w:r w:rsidRPr="00A159DD">
          <w:rPr>
            <w:rStyle w:val="Hipervnculo1"/>
            <w:rFonts w:ascii="Century Gothic" w:hAnsi="Century Gothic" w:cs="Arial"/>
            <w:color w:val="4472C4" w:themeColor="accent1"/>
            <w:sz w:val="16"/>
            <w:szCs w:val="16"/>
          </w:rPr>
          <w:t>2.2.1.2.4.2.18</w:t>
        </w:r>
      </w:hyperlink>
      <w:r w:rsidRPr="00A159DD">
        <w:rPr>
          <w:rFonts w:ascii="Century Gothic" w:hAnsi="Century Gothic" w:cs="Arial"/>
          <w:sz w:val="16"/>
          <w:szCs w:val="16"/>
        </w:rPr>
        <w:t xml:space="preserve">.; adiciona un </w:t>
      </w:r>
      <w:hyperlink r:id="rId13" w:anchor="2.2.1.2.3.1.9.p" w:history="1">
        <w:r w:rsidRPr="00A159DD">
          <w:rPr>
            <w:rStyle w:val="Hipervnculo1"/>
            <w:rFonts w:ascii="Century Gothic" w:hAnsi="Century Gothic" w:cs="Arial"/>
            <w:color w:val="4472C4" w:themeColor="accent1"/>
            <w:sz w:val="16"/>
            <w:szCs w:val="16"/>
          </w:rPr>
          <w:t>parágrafo</w:t>
        </w:r>
        <w:r w:rsidRPr="00A159DD">
          <w:rPr>
            <w:rStyle w:val="Hipervnculo1"/>
            <w:rFonts w:ascii="Century Gothic" w:hAnsi="Century Gothic" w:cs="Arial"/>
            <w:sz w:val="16"/>
            <w:szCs w:val="16"/>
          </w:rPr>
          <w:t xml:space="preserve"> </w:t>
        </w:r>
      </w:hyperlink>
      <w:r w:rsidRPr="00A159DD">
        <w:rPr>
          <w:rFonts w:ascii="Century Gothic" w:hAnsi="Century Gothic" w:cs="Arial"/>
          <w:sz w:val="16"/>
          <w:szCs w:val="16"/>
        </w:rPr>
        <w:t xml:space="preserve">al artículo </w:t>
      </w:r>
      <w:hyperlink r:id="rId14" w:anchor="2.2.1.2.3.1.9" w:history="1">
        <w:r w:rsidRPr="00A159DD">
          <w:rPr>
            <w:rStyle w:val="Hipervnculo1"/>
            <w:rFonts w:ascii="Century Gothic" w:hAnsi="Century Gothic" w:cs="Arial"/>
            <w:color w:val="4472C4" w:themeColor="accent1"/>
            <w:sz w:val="16"/>
            <w:szCs w:val="16"/>
          </w:rPr>
          <w:t>2.2.1.2.3.1.9</w:t>
        </w:r>
      </w:hyperlink>
      <w:r w:rsidRPr="00A159DD">
        <w:rPr>
          <w:rFonts w:ascii="Century Gothic" w:hAnsi="Century Gothic" w:cs="Arial"/>
          <w:sz w:val="16"/>
          <w:szCs w:val="16"/>
        </w:rPr>
        <w:t xml:space="preserve">; y deroga el artículo </w:t>
      </w:r>
      <w:hyperlink r:id="rId15" w:anchor="2.2.1.1.2.2.9" w:history="1">
        <w:r w:rsidRPr="00A159DD">
          <w:rPr>
            <w:rStyle w:val="Hipervnculo1"/>
            <w:rFonts w:ascii="Century Gothic" w:hAnsi="Century Gothic" w:cs="Arial"/>
            <w:color w:val="4472C4" w:themeColor="accent1"/>
            <w:sz w:val="16"/>
            <w:szCs w:val="16"/>
          </w:rPr>
          <w:t>2.2.1.1.2.2.9</w:t>
        </w:r>
      </w:hyperlink>
      <w:r w:rsidRPr="00A159DD">
        <w:rPr>
          <w:rFonts w:ascii="Century Gothic" w:hAnsi="Century Gothic" w:cs="Arial"/>
          <w:sz w:val="16"/>
          <w:szCs w:val="16"/>
        </w:rPr>
        <w:t>. del Decreto 1082 de 2015, Único Reglamentario del Sector Administrativo de Planeación Nacional.</w:t>
      </w:r>
    </w:p>
    <w:p w14:paraId="1777C37C" w14:textId="77777777" w:rsidR="005D0EE5" w:rsidRPr="00A159DD" w:rsidRDefault="005D0EE5" w:rsidP="005D0EE5">
      <w:pPr>
        <w:pStyle w:val="NormalWeb"/>
        <w:shd w:val="clear" w:color="auto" w:fill="FFFFFF"/>
        <w:spacing w:before="0" w:beforeAutospacing="0" w:after="0" w:afterAutospacing="0"/>
        <w:jc w:val="both"/>
        <w:rPr>
          <w:rFonts w:ascii="Century Gothic" w:hAnsi="Century Gothic" w:cs="Arial"/>
          <w:sz w:val="16"/>
          <w:szCs w:val="16"/>
        </w:rPr>
      </w:pPr>
      <w:r w:rsidRPr="00A159DD">
        <w:rPr>
          <w:rFonts w:ascii="Century Gothic" w:hAnsi="Century Gothic" w:cs="Arial"/>
          <w:b/>
          <w:bCs/>
          <w:sz w:val="16"/>
          <w:szCs w:val="16"/>
        </w:rPr>
        <w:t xml:space="preserve"> </w:t>
      </w:r>
      <w:r w:rsidRPr="00A159DD">
        <w:rPr>
          <w:rFonts w:ascii="Century Gothic" w:hAnsi="Century Gothic" w:cs="Arial"/>
          <w:b/>
          <w:bCs/>
          <w:sz w:val="16"/>
          <w:szCs w:val="16"/>
        </w:rPr>
        <w:tab/>
        <w:t>“</w:t>
      </w:r>
      <w:r w:rsidRPr="00A159DD">
        <w:rPr>
          <w:rFonts w:ascii="Century Gothic" w:hAnsi="Century Gothic" w:cs="Arial"/>
          <w:sz w:val="16"/>
          <w:szCs w:val="16"/>
        </w:rPr>
        <w:t>Parágrafo. Los Procesos de Contratación que se rijan por los Documento Tipo continuarán aplicando estos instrumentos y las normas vigentes anteriores a la expedición de este Decreto. Por tanto, estos procedimientos de selección se realizarán conforme la regulación actual contenida en los Documentos Tipo hasta que la Agencia Nacional de Contratación Pública - Colombia Compra Eficiente expida las modificaciones a que haya lugar, conforme con las disposiciones de esta reglamentación.</w:t>
      </w:r>
    </w:p>
    <w:p w14:paraId="68931DCC" w14:textId="77777777" w:rsidR="005D0EE5" w:rsidRPr="00A159DD" w:rsidRDefault="005D0EE5" w:rsidP="005D0EE5">
      <w:pPr>
        <w:pStyle w:val="NormalWeb"/>
        <w:shd w:val="clear" w:color="auto" w:fill="FFFFFF"/>
        <w:spacing w:before="0" w:beforeAutospacing="0" w:after="0" w:afterAutospacing="0"/>
        <w:jc w:val="both"/>
        <w:rPr>
          <w:rFonts w:ascii="Century Gothic" w:hAnsi="Century Gothic" w:cs="Arial"/>
          <w:sz w:val="16"/>
          <w:szCs w:val="16"/>
        </w:rPr>
      </w:pPr>
      <w:r w:rsidRPr="00A159DD">
        <w:rPr>
          <w:rFonts w:ascii="Century Gothic" w:hAnsi="Century Gothic" w:cs="Arial"/>
          <w:sz w:val="16"/>
          <w:szCs w:val="16"/>
        </w:rPr>
        <w:t xml:space="preserve"> </w:t>
      </w:r>
      <w:r w:rsidRPr="00A159DD">
        <w:rPr>
          <w:rFonts w:ascii="Century Gothic" w:hAnsi="Century Gothic" w:cs="Arial"/>
          <w:sz w:val="16"/>
          <w:szCs w:val="16"/>
        </w:rPr>
        <w:tab/>
        <w:t>“La Agencia tendrá un plazo máximo de seis (6) meses contados a partir de la expedición de este Decreto para adecuar los Documentos Tipo a las disposiciones previstas en este reglamento. Sin perjuicio de lo anterior, el artículo 5 del presente Decreto regirá en los procesos sometidos a los Documentos Tipo en las condiciones establecidas en este artículo”.</w:t>
      </w:r>
    </w:p>
  </w:footnote>
  <w:footnote w:id="13">
    <w:p w14:paraId="6EEB0C53" w14:textId="77777777" w:rsidR="005D0EE5" w:rsidRPr="00A159DD" w:rsidRDefault="005D0EE5" w:rsidP="005D0EE5">
      <w:pPr>
        <w:pStyle w:val="Textonotapie"/>
        <w:ind w:firstLine="708"/>
        <w:jc w:val="both"/>
        <w:rPr>
          <w:rFonts w:ascii="Century Gothic" w:hAnsi="Century Gothic"/>
          <w:sz w:val="16"/>
          <w:szCs w:val="16"/>
        </w:rPr>
      </w:pPr>
      <w:r w:rsidRPr="00A159DD">
        <w:rPr>
          <w:rStyle w:val="Refdenotaalpie"/>
          <w:rFonts w:ascii="Century Gothic" w:hAnsi="Century Gothic"/>
          <w:sz w:val="16"/>
          <w:szCs w:val="16"/>
        </w:rPr>
        <w:footnoteRef/>
      </w:r>
      <w:r w:rsidRPr="00A159DD">
        <w:rPr>
          <w:rFonts w:ascii="Century Gothic" w:hAnsi="Century Gothic"/>
          <w:sz w:val="16"/>
          <w:szCs w:val="16"/>
        </w:rPr>
        <w:t xml:space="preserve"> En este sentido, la Corte Constitucional </w:t>
      </w:r>
      <w:r>
        <w:rPr>
          <w:rFonts w:ascii="Century Gothic" w:hAnsi="Century Gothic"/>
          <w:sz w:val="16"/>
          <w:szCs w:val="16"/>
        </w:rPr>
        <w:t xml:space="preserve">explica que </w:t>
      </w:r>
      <w:r w:rsidRPr="00A159DD">
        <w:rPr>
          <w:rFonts w:ascii="Century Gothic" w:hAnsi="Century Gothic"/>
          <w:sz w:val="16"/>
          <w:szCs w:val="16"/>
        </w:rPr>
        <w:t>“Respecto de la capacidad legal para contratar y la personalidad jurídica señala, que la Ley 80 de 1993 al crear las figuras de los consorcios y uniones temporales, y construirlas como sujetos de la contratación administrativa, reconoce una realidad del mundo negocial: la necesidad de los contratos de colaboración económica para la efectiva realización de proyectos de contratación pública, altamente especializados e intensivos en capital y, así mismo, indispensables para que el Estado Social de Derecho, cumpla los cometidos para los cuales fue instituido- Preámbulo, artículos 1 y 2 de la Carta Política.</w:t>
      </w:r>
    </w:p>
    <w:p w14:paraId="4A44B799" w14:textId="77777777" w:rsidR="005D0EE5" w:rsidRPr="00A159DD" w:rsidRDefault="005D0EE5" w:rsidP="005D0EE5">
      <w:pPr>
        <w:pStyle w:val="Textonotapie"/>
        <w:ind w:firstLine="708"/>
        <w:jc w:val="both"/>
        <w:rPr>
          <w:rFonts w:ascii="Century Gothic" w:hAnsi="Century Gothic"/>
          <w:sz w:val="16"/>
          <w:szCs w:val="16"/>
        </w:rPr>
      </w:pPr>
      <w:r w:rsidRPr="00A159DD">
        <w:rPr>
          <w:rFonts w:ascii="Century Gothic" w:hAnsi="Century Gothic"/>
          <w:sz w:val="16"/>
          <w:szCs w:val="16"/>
        </w:rPr>
        <w:t>[…]</w:t>
      </w:r>
    </w:p>
    <w:p w14:paraId="494454B4" w14:textId="77777777" w:rsidR="005D0EE5" w:rsidRPr="00A159DD" w:rsidRDefault="005D0EE5" w:rsidP="005D0EE5">
      <w:pPr>
        <w:pStyle w:val="Textonotapie"/>
        <w:ind w:firstLine="708"/>
        <w:jc w:val="both"/>
        <w:rPr>
          <w:rFonts w:ascii="Century Gothic" w:hAnsi="Century Gothic"/>
          <w:sz w:val="16"/>
          <w:szCs w:val="16"/>
        </w:rPr>
      </w:pPr>
      <w:r w:rsidRPr="00A159DD">
        <w:rPr>
          <w:rFonts w:ascii="Century Gothic" w:hAnsi="Century Gothic"/>
          <w:sz w:val="16"/>
          <w:szCs w:val="16"/>
        </w:rPr>
        <w:t>En torno a la capacidad contractual de los consorcios y uniones temporales la jurisprudencia constitucional ha expresado que el Estatuto de contratación les reconoce este atributo sin exigirles como condición de su ejercicio la de ser personas morales. También ha dicho que el consorcio es un convenio de asociación, o mejor, un sistema de mediación que permite a sus miembros organizarse mancomunadamente para la celebración y ejecución de un contrato con el Estado, sin que por ello pierdan su individualidad jurídica, pero asumiendo un grado de responsabilidad solidaria en el cumplimiento de las obligaciones contractuales</w:t>
      </w:r>
      <w:r>
        <w:rPr>
          <w:rFonts w:ascii="Century Gothic" w:hAnsi="Century Gothic"/>
          <w:sz w:val="16"/>
          <w:szCs w:val="16"/>
        </w:rPr>
        <w:t>” (</w:t>
      </w:r>
      <w:r w:rsidRPr="00A159DD">
        <w:rPr>
          <w:rFonts w:ascii="Century Gothic" w:hAnsi="Century Gothic"/>
          <w:sz w:val="16"/>
          <w:szCs w:val="16"/>
        </w:rPr>
        <w:t>CORTE CONSTITUCIONAL. Sentencia C-949 del 5 de septiembre de 2001. M.P. Clara Inés Vargas Hernández</w:t>
      </w:r>
      <w:r>
        <w:rPr>
          <w:rFonts w:ascii="Century Gothic" w:hAnsi="Century Gothic"/>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8240"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864305913"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58244"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2"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58241"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910553655"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075455F"/>
    <w:multiLevelType w:val="multilevel"/>
    <w:tmpl w:val="97C05104"/>
    <w:lvl w:ilvl="0">
      <w:start w:val="1"/>
      <w:numFmt w:val="bullet"/>
      <w:lvlText w:val=""/>
      <w:lvlPicBulletId w:val="0"/>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1737075">
    <w:abstractNumId w:val="7"/>
  </w:num>
  <w:num w:numId="2" w16cid:durableId="1871337336">
    <w:abstractNumId w:val="3"/>
  </w:num>
  <w:num w:numId="3" w16cid:durableId="1155727661">
    <w:abstractNumId w:val="5"/>
  </w:num>
  <w:num w:numId="4" w16cid:durableId="132018493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5427370">
    <w:abstractNumId w:val="3"/>
  </w:num>
  <w:num w:numId="6" w16cid:durableId="154077772">
    <w:abstractNumId w:val="13"/>
  </w:num>
  <w:num w:numId="7" w16cid:durableId="1437753866">
    <w:abstractNumId w:val="6"/>
  </w:num>
  <w:num w:numId="8" w16cid:durableId="649754568">
    <w:abstractNumId w:val="12"/>
  </w:num>
  <w:num w:numId="9" w16cid:durableId="1231232722">
    <w:abstractNumId w:val="8"/>
  </w:num>
  <w:num w:numId="10" w16cid:durableId="1282614905">
    <w:abstractNumId w:val="11"/>
  </w:num>
  <w:num w:numId="11" w16cid:durableId="1387140877">
    <w:abstractNumId w:val="9"/>
  </w:num>
  <w:num w:numId="12" w16cid:durableId="278882547">
    <w:abstractNumId w:val="2"/>
  </w:num>
  <w:num w:numId="13" w16cid:durableId="965544066">
    <w:abstractNumId w:val="4"/>
  </w:num>
  <w:num w:numId="14" w16cid:durableId="273831059">
    <w:abstractNumId w:val="14"/>
  </w:num>
  <w:num w:numId="15" w16cid:durableId="1138718192">
    <w:abstractNumId w:val="10"/>
  </w:num>
  <w:num w:numId="16" w16cid:durableId="2048136210">
    <w:abstractNumId w:val="0"/>
  </w:num>
  <w:num w:numId="17" w16cid:durableId="1103645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33169"/>
    <w:rsid w:val="00061B2A"/>
    <w:rsid w:val="00082362"/>
    <w:rsid w:val="00091996"/>
    <w:rsid w:val="000A683E"/>
    <w:rsid w:val="000B19B9"/>
    <w:rsid w:val="000D0334"/>
    <w:rsid w:val="000F6486"/>
    <w:rsid w:val="00125105"/>
    <w:rsid w:val="00127233"/>
    <w:rsid w:val="001E4177"/>
    <w:rsid w:val="001F7DC6"/>
    <w:rsid w:val="002421BB"/>
    <w:rsid w:val="002424C6"/>
    <w:rsid w:val="002707A2"/>
    <w:rsid w:val="002951A0"/>
    <w:rsid w:val="002962BC"/>
    <w:rsid w:val="002A093D"/>
    <w:rsid w:val="002A0DD0"/>
    <w:rsid w:val="002A49AC"/>
    <w:rsid w:val="002A64FD"/>
    <w:rsid w:val="002B34BC"/>
    <w:rsid w:val="002B5846"/>
    <w:rsid w:val="002C7A84"/>
    <w:rsid w:val="002E4FD9"/>
    <w:rsid w:val="00322A85"/>
    <w:rsid w:val="003448F4"/>
    <w:rsid w:val="00374F5E"/>
    <w:rsid w:val="00377E3E"/>
    <w:rsid w:val="003A779E"/>
    <w:rsid w:val="003D0F4D"/>
    <w:rsid w:val="003D5B0D"/>
    <w:rsid w:val="003E0499"/>
    <w:rsid w:val="003E1F8D"/>
    <w:rsid w:val="003F0F60"/>
    <w:rsid w:val="003F3941"/>
    <w:rsid w:val="00405CD6"/>
    <w:rsid w:val="00406575"/>
    <w:rsid w:val="0042722E"/>
    <w:rsid w:val="004A1847"/>
    <w:rsid w:val="004A305D"/>
    <w:rsid w:val="004F21C4"/>
    <w:rsid w:val="004F685F"/>
    <w:rsid w:val="005566E8"/>
    <w:rsid w:val="00574867"/>
    <w:rsid w:val="00591460"/>
    <w:rsid w:val="005A2340"/>
    <w:rsid w:val="005C3777"/>
    <w:rsid w:val="005C5CDC"/>
    <w:rsid w:val="005D0EE5"/>
    <w:rsid w:val="005D476C"/>
    <w:rsid w:val="006219F8"/>
    <w:rsid w:val="00665D70"/>
    <w:rsid w:val="006900D9"/>
    <w:rsid w:val="00706C16"/>
    <w:rsid w:val="00756841"/>
    <w:rsid w:val="007649AB"/>
    <w:rsid w:val="00771D0C"/>
    <w:rsid w:val="007833AC"/>
    <w:rsid w:val="007845D3"/>
    <w:rsid w:val="007B268C"/>
    <w:rsid w:val="007B7171"/>
    <w:rsid w:val="007C3DC2"/>
    <w:rsid w:val="007E5497"/>
    <w:rsid w:val="00806F5F"/>
    <w:rsid w:val="00820278"/>
    <w:rsid w:val="008843B6"/>
    <w:rsid w:val="00891928"/>
    <w:rsid w:val="008A446D"/>
    <w:rsid w:val="008D180B"/>
    <w:rsid w:val="008F0EA7"/>
    <w:rsid w:val="00923EEF"/>
    <w:rsid w:val="009419F9"/>
    <w:rsid w:val="00961B09"/>
    <w:rsid w:val="00965334"/>
    <w:rsid w:val="0097093E"/>
    <w:rsid w:val="009A6976"/>
    <w:rsid w:val="009C71FA"/>
    <w:rsid w:val="009C72E7"/>
    <w:rsid w:val="009F3A13"/>
    <w:rsid w:val="00A122D3"/>
    <w:rsid w:val="00A17F13"/>
    <w:rsid w:val="00A20739"/>
    <w:rsid w:val="00A33C78"/>
    <w:rsid w:val="00AB02C6"/>
    <w:rsid w:val="00AB0ADB"/>
    <w:rsid w:val="00B56178"/>
    <w:rsid w:val="00B72CD3"/>
    <w:rsid w:val="00B72FFF"/>
    <w:rsid w:val="00BC3D36"/>
    <w:rsid w:val="00BD7F72"/>
    <w:rsid w:val="00BF270F"/>
    <w:rsid w:val="00C04FB3"/>
    <w:rsid w:val="00C330EB"/>
    <w:rsid w:val="00C42346"/>
    <w:rsid w:val="00C633A0"/>
    <w:rsid w:val="00C754BE"/>
    <w:rsid w:val="00C76B1C"/>
    <w:rsid w:val="00CB6357"/>
    <w:rsid w:val="00CC1B26"/>
    <w:rsid w:val="00D423A2"/>
    <w:rsid w:val="00D63AC2"/>
    <w:rsid w:val="00D7383B"/>
    <w:rsid w:val="00DA231B"/>
    <w:rsid w:val="00DF5254"/>
    <w:rsid w:val="00E16408"/>
    <w:rsid w:val="00E20894"/>
    <w:rsid w:val="00E245AB"/>
    <w:rsid w:val="00E2764C"/>
    <w:rsid w:val="00E27F2E"/>
    <w:rsid w:val="00E35CCA"/>
    <w:rsid w:val="00E50AFE"/>
    <w:rsid w:val="00E771DC"/>
    <w:rsid w:val="00E8772A"/>
    <w:rsid w:val="00E90F6B"/>
    <w:rsid w:val="00E92C27"/>
    <w:rsid w:val="00E958B5"/>
    <w:rsid w:val="00E97D30"/>
    <w:rsid w:val="00EA0E3D"/>
    <w:rsid w:val="00EB34CC"/>
    <w:rsid w:val="00EB6A49"/>
    <w:rsid w:val="00EE1AA8"/>
    <w:rsid w:val="00EE2D55"/>
    <w:rsid w:val="00F31EDC"/>
    <w:rsid w:val="00F462B3"/>
    <w:rsid w:val="00F5664F"/>
    <w:rsid w:val="00F66085"/>
    <w:rsid w:val="00F666C4"/>
    <w:rsid w:val="00F76AFC"/>
    <w:rsid w:val="00F8784D"/>
    <w:rsid w:val="00FB5DD1"/>
    <w:rsid w:val="00FC2B5D"/>
    <w:rsid w:val="00FF1449"/>
    <w:rsid w:val="411B0EED"/>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608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styleId="Refdecomentario">
    <w:name w:val="annotation reference"/>
    <w:basedOn w:val="Fuentedeprrafopredeter"/>
    <w:uiPriority w:val="99"/>
    <w:semiHidden/>
    <w:unhideWhenUsed/>
    <w:rsid w:val="005D0EE5"/>
    <w:rPr>
      <w:sz w:val="16"/>
      <w:szCs w:val="16"/>
    </w:rPr>
  </w:style>
  <w:style w:type="paragraph" w:styleId="Textocomentario">
    <w:name w:val="annotation text"/>
    <w:basedOn w:val="Normal"/>
    <w:link w:val="TextocomentarioCar"/>
    <w:uiPriority w:val="99"/>
    <w:unhideWhenUsed/>
    <w:rsid w:val="005D0EE5"/>
    <w:pPr>
      <w:spacing w:line="240" w:lineRule="auto"/>
    </w:pPr>
    <w:rPr>
      <w:sz w:val="20"/>
      <w:szCs w:val="20"/>
    </w:rPr>
  </w:style>
  <w:style w:type="character" w:customStyle="1" w:styleId="TextocomentarioCar">
    <w:name w:val="Texto comentario Car"/>
    <w:basedOn w:val="Fuentedeprrafopredeter"/>
    <w:link w:val="Textocomentario"/>
    <w:uiPriority w:val="99"/>
    <w:rsid w:val="005D0EE5"/>
    <w:rPr>
      <w:sz w:val="20"/>
      <w:szCs w:val="20"/>
    </w:rPr>
  </w:style>
  <w:style w:type="paragraph" w:customStyle="1" w:styleId="Appelnotedebasde">
    <w:name w:val="Appel note de bas de..."/>
    <w:basedOn w:val="Normal"/>
    <w:link w:val="Refdenotaalpie"/>
    <w:uiPriority w:val="99"/>
    <w:rsid w:val="005D0EE5"/>
    <w:pPr>
      <w:spacing w:line="240" w:lineRule="exact"/>
    </w:pPr>
    <w:rPr>
      <w:vertAlign w:val="superscript"/>
    </w:rPr>
  </w:style>
  <w:style w:type="character" w:customStyle="1" w:styleId="NormalWebCar">
    <w:name w:val="Normal (Web) Car"/>
    <w:link w:val="NormalWeb"/>
    <w:uiPriority w:val="99"/>
    <w:rsid w:val="005D0EE5"/>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5D0EE5"/>
    <w:rPr>
      <w:rFonts w:ascii="Geomanist Light" w:hAnsi="Geomanist Light"/>
      <w:lang w:val="es-ES"/>
    </w:rPr>
  </w:style>
  <w:style w:type="character" w:styleId="Textoennegrita">
    <w:name w:val="Strong"/>
    <w:basedOn w:val="Fuentedeprrafopredeter"/>
    <w:uiPriority w:val="22"/>
    <w:qFormat/>
    <w:rsid w:val="005D0EE5"/>
    <w:rPr>
      <w:b/>
      <w:bCs/>
    </w:rPr>
  </w:style>
  <w:style w:type="character" w:customStyle="1" w:styleId="Hipervnculo1">
    <w:name w:val="Hipervínculo1"/>
    <w:basedOn w:val="Fuentedeprrafopredeter"/>
    <w:uiPriority w:val="99"/>
    <w:unhideWhenUsed/>
    <w:rsid w:val="005D0EE5"/>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7.png"/></Relationships>
</file>

<file path=word/_rels/footnotes.xml.rels><?xml version="1.0" encoding="UTF-8" standalone="yes"?>
<Relationships xmlns="http://schemas.openxmlformats.org/package/2006/relationships"><Relationship Id="rId8" Type="http://schemas.openxmlformats.org/officeDocument/2006/relationships/hyperlink" Target="https://www.funcionpublica.gov.co/eva/gestornormativo/norma.php?i=77653" TargetMode="External"/><Relationship Id="rId13" Type="http://schemas.openxmlformats.org/officeDocument/2006/relationships/hyperlink" Target="https://www.funcionpublica.gov.co/eva/gestornormativo/norma.php?i=77653" TargetMode="External"/><Relationship Id="rId3" Type="http://schemas.openxmlformats.org/officeDocument/2006/relationships/hyperlink" Target="https://www.funcionpublica.gov.co/eva/gestornormativo/norma.php?i=77653" TargetMode="External"/><Relationship Id="rId7" Type="http://schemas.openxmlformats.org/officeDocument/2006/relationships/hyperlink" Target="https://www.funcionpublica.gov.co/eva/gestornormativo/norma.php?i=77653" TargetMode="External"/><Relationship Id="rId12" Type="http://schemas.openxmlformats.org/officeDocument/2006/relationships/hyperlink" Target="https://www.funcionpublica.gov.co/eva/gestornormativo/norma.php?i=77653" TargetMode="External"/><Relationship Id="rId2" Type="http://schemas.openxmlformats.org/officeDocument/2006/relationships/hyperlink" Target="https://www.funcionpublica.gov.co/eva/gestornormativo/norma.php?i=77653" TargetMode="External"/><Relationship Id="rId1" Type="http://schemas.openxmlformats.org/officeDocument/2006/relationships/hyperlink" Target="https://relatoria.colombiacompra.gov.co/busqueda/conceptos" TargetMode="External"/><Relationship Id="rId6" Type="http://schemas.openxmlformats.org/officeDocument/2006/relationships/hyperlink" Target="https://www.funcionpublica.gov.co/eva/gestornormativo/norma.php?i=77653" TargetMode="External"/><Relationship Id="rId11" Type="http://schemas.openxmlformats.org/officeDocument/2006/relationships/hyperlink" Target="https://www.funcionpublica.gov.co/eva/gestornormativo/norma.php?i=77653" TargetMode="External"/><Relationship Id="rId5" Type="http://schemas.openxmlformats.org/officeDocument/2006/relationships/hyperlink" Target="https://www.funcionpublica.gov.co/eva/gestornormativo/norma.php?i=77653" TargetMode="External"/><Relationship Id="rId15" Type="http://schemas.openxmlformats.org/officeDocument/2006/relationships/hyperlink" Target="https://www.funcionpublica.gov.co/eva/gestornormativo/norma.php?i=77653" TargetMode="External"/><Relationship Id="rId10" Type="http://schemas.openxmlformats.org/officeDocument/2006/relationships/hyperlink" Target="https://www.funcionpublica.gov.co/eva/gestornormativo/norma.php?i=77653" TargetMode="External"/><Relationship Id="rId4" Type="http://schemas.openxmlformats.org/officeDocument/2006/relationships/hyperlink" Target="https://www.funcionpublica.gov.co/eva/gestornormativo/norma.php?i=77653" TargetMode="External"/><Relationship Id="rId9" Type="http://schemas.openxmlformats.org/officeDocument/2006/relationships/hyperlink" Target="https://www.funcionpublica.gov.co/eva/gestornormativo/norma.php?i=77653" TargetMode="External"/><Relationship Id="rId14" Type="http://schemas.openxmlformats.org/officeDocument/2006/relationships/hyperlink" Target="https://www.funcionpublica.gov.co/eva/gestornormativo/norma.php?i=77653"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Juan David Montoya Penagos</DisplayName>
        <AccountId>697</AccountId>
        <AccountType/>
      </UserInfo>
      <UserInfo>
        <DisplayName>Adriana Katerine Lopez Rodriguez</DisplayName>
        <AccountId>807</AccountId>
        <AccountType/>
      </UserInfo>
      <UserInfo>
        <DisplayName>Nohelia Del Carmen Zawady Palacio</DisplayName>
        <AccountId>289</AccountId>
        <AccountType/>
      </UserInfo>
    </SharedWithUsers>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DDD66C02-9EA1-4EBF-8B27-022BA0B776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17</Pages>
  <Words>5799</Words>
  <Characters>31896</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6</cp:revision>
  <cp:lastPrinted>2023-01-10T21:18:00Z</cp:lastPrinted>
  <dcterms:created xsi:type="dcterms:W3CDTF">2023-12-06T15:50:00Z</dcterms:created>
  <dcterms:modified xsi:type="dcterms:W3CDTF">2024-03-15T19:19:00Z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