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CEBB8" w14:textId="77777777" w:rsidR="00BB63BB" w:rsidRPr="00A44AB5" w:rsidRDefault="00BB63BB" w:rsidP="00BB63BB">
      <w:pPr>
        <w:spacing w:after="0" w:line="240" w:lineRule="auto"/>
        <w:rPr>
          <w:rFonts w:ascii="Verdana" w:hAnsi="Verdana" w:cs="Arial"/>
        </w:rPr>
      </w:pPr>
      <w:r w:rsidRPr="00A44AB5">
        <w:rPr>
          <w:rFonts w:ascii="Verdana" w:eastAsia="Calibri" w:hAnsi="Verdana" w:cs="Arial"/>
          <w:b/>
          <w:bCs/>
          <w:lang w:val="es-ES"/>
        </w:rPr>
        <w:t>PRINCIPIO DE PUBLICIDAD - Naturaleza</w:t>
      </w:r>
      <w:r w:rsidRPr="00A44AB5">
        <w:rPr>
          <w:rFonts w:ascii="Verdana" w:hAnsi="Verdana" w:cs="Arial"/>
        </w:rPr>
        <w:t xml:space="preserve"> </w:t>
      </w:r>
    </w:p>
    <w:p w14:paraId="5FCBB56D" w14:textId="77777777" w:rsidR="00BB63BB" w:rsidRPr="00A44AB5" w:rsidRDefault="00BB63BB" w:rsidP="00BB63BB">
      <w:pPr>
        <w:spacing w:after="0" w:line="240" w:lineRule="auto"/>
        <w:rPr>
          <w:rFonts w:ascii="Verdana" w:hAnsi="Verdana" w:cs="Arial"/>
          <w:sz w:val="20"/>
          <w:szCs w:val="20"/>
        </w:rPr>
      </w:pPr>
    </w:p>
    <w:p w14:paraId="24FC10A8" w14:textId="77777777" w:rsidR="00BB63BB" w:rsidRPr="00A44AB5" w:rsidRDefault="00BB63BB" w:rsidP="46576C03">
      <w:pPr>
        <w:spacing w:after="0" w:line="240" w:lineRule="auto"/>
        <w:jc w:val="both"/>
        <w:rPr>
          <w:rFonts w:ascii="Verdana" w:eastAsia="Calibri" w:hAnsi="Verdana" w:cs="Arial"/>
          <w:color w:val="000000" w:themeColor="text1"/>
          <w:sz w:val="20"/>
          <w:szCs w:val="20"/>
          <w:lang w:val="es-ES" w:eastAsia="es-ES"/>
        </w:rPr>
      </w:pPr>
      <w:r w:rsidRPr="46576C03">
        <w:rPr>
          <w:rFonts w:ascii="Verdana" w:eastAsia="Calibri" w:hAnsi="Verdana" w:cs="Arial"/>
          <w:sz w:val="20"/>
          <w:szCs w:val="20"/>
          <w:lang w:val="es-ES" w:eastAsia="es-ES"/>
        </w:rPr>
        <w:t xml:space="preserve">Uno de los postulados más importantes de un Estado Social y Democrático de Derecho es el principio de </w:t>
      </w:r>
      <w:r w:rsidRPr="46576C03">
        <w:rPr>
          <w:rFonts w:ascii="Verdana" w:eastAsia="Calibri" w:hAnsi="Verdana" w:cs="Arial"/>
          <w:i/>
          <w:iCs/>
          <w:sz w:val="20"/>
          <w:szCs w:val="20"/>
          <w:lang w:val="es-ES" w:eastAsia="es-ES"/>
        </w:rPr>
        <w:t>publicidad</w:t>
      </w:r>
      <w:r w:rsidRPr="46576C03">
        <w:rPr>
          <w:rFonts w:ascii="Verdana" w:eastAsia="Calibri" w:hAnsi="Verdana" w:cs="Arial"/>
          <w:sz w:val="20"/>
          <w:szCs w:val="20"/>
          <w:lang w:val="es-ES" w:eastAsia="es-ES"/>
        </w:rPr>
        <w:t xml:space="preserve">, pues este permite que las actuaciones de las autoridades gocen de visibilidad. La Constitución Política de 1991 consagra en varios artículos la publicidad como un principio rector del Estado colombiano. Entre </w:t>
      </w:r>
      <w:r w:rsidRPr="46576C03">
        <w:rPr>
          <w:rFonts w:ascii="Verdana" w:eastAsia="Calibri" w:hAnsi="Verdana" w:cs="Arial"/>
          <w:color w:val="000000" w:themeColor="text1"/>
          <w:sz w:val="20"/>
          <w:szCs w:val="20"/>
          <w:lang w:val="es-ES" w:eastAsia="es-ES"/>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7517D2BF" w14:textId="77777777" w:rsidR="00BB63BB" w:rsidRPr="00A44AB5" w:rsidRDefault="00BB63BB" w:rsidP="00BB63BB">
      <w:pPr>
        <w:spacing w:after="0" w:line="240" w:lineRule="auto"/>
        <w:jc w:val="both"/>
        <w:rPr>
          <w:rFonts w:ascii="Verdana" w:eastAsia="Calibri" w:hAnsi="Verdana" w:cs="Arial"/>
          <w:color w:val="000000" w:themeColor="text1"/>
          <w:sz w:val="20"/>
          <w:szCs w:val="20"/>
          <w:lang w:val="es-ES_tradnl"/>
        </w:rPr>
      </w:pPr>
    </w:p>
    <w:p w14:paraId="2DFCE1CC" w14:textId="77777777" w:rsidR="00BB63BB" w:rsidRPr="00A44AB5" w:rsidRDefault="00BB63BB" w:rsidP="00BB63BB">
      <w:pPr>
        <w:spacing w:after="0" w:line="240" w:lineRule="auto"/>
        <w:jc w:val="both"/>
        <w:rPr>
          <w:rFonts w:ascii="Verdana" w:eastAsia="Calibri" w:hAnsi="Verdana" w:cs="Arial"/>
          <w:b/>
          <w:color w:val="000000"/>
        </w:rPr>
      </w:pPr>
      <w:r w:rsidRPr="00A44AB5">
        <w:rPr>
          <w:rFonts w:ascii="Verdana" w:eastAsia="Calibri" w:hAnsi="Verdana" w:cs="Arial"/>
          <w:b/>
          <w:color w:val="000000"/>
        </w:rPr>
        <w:t xml:space="preserve">ACCESO A DOCUMENTACIÓN PÚBLICA – Derecho fundamental – Transparencia – Información contractual </w:t>
      </w:r>
    </w:p>
    <w:p w14:paraId="596F250D" w14:textId="77777777" w:rsidR="00BB63BB" w:rsidRPr="00A44AB5" w:rsidRDefault="00BB63BB" w:rsidP="00BB63BB">
      <w:pPr>
        <w:tabs>
          <w:tab w:val="left" w:pos="1816"/>
        </w:tabs>
        <w:spacing w:after="0" w:line="240" w:lineRule="auto"/>
        <w:jc w:val="both"/>
        <w:rPr>
          <w:rFonts w:ascii="Verdana" w:eastAsia="Calibri" w:hAnsi="Verdana" w:cs="Arial"/>
          <w:b/>
          <w:color w:val="000000"/>
          <w:sz w:val="20"/>
          <w:szCs w:val="20"/>
        </w:rPr>
      </w:pPr>
      <w:r w:rsidRPr="00A44AB5">
        <w:rPr>
          <w:rFonts w:ascii="Verdana" w:eastAsia="Calibri" w:hAnsi="Verdana" w:cs="Arial"/>
          <w:b/>
          <w:color w:val="000000"/>
          <w:sz w:val="20"/>
          <w:szCs w:val="20"/>
        </w:rPr>
        <w:t xml:space="preserve"> </w:t>
      </w:r>
      <w:r w:rsidRPr="00A44AB5">
        <w:rPr>
          <w:rFonts w:ascii="Verdana" w:eastAsia="Calibri" w:hAnsi="Verdana" w:cs="Arial"/>
          <w:b/>
          <w:color w:val="000000"/>
          <w:sz w:val="20"/>
          <w:szCs w:val="20"/>
        </w:rPr>
        <w:tab/>
      </w:r>
      <w:r w:rsidRPr="00A44AB5">
        <w:rPr>
          <w:rFonts w:ascii="Verdana" w:eastAsia="Calibri" w:hAnsi="Verdana" w:cs="Arial"/>
          <w:color w:val="000000"/>
          <w:sz w:val="20"/>
          <w:szCs w:val="20"/>
        </w:rPr>
        <w:t xml:space="preserve"> </w:t>
      </w:r>
    </w:p>
    <w:p w14:paraId="17ED4AAD" w14:textId="77777777" w:rsidR="00BB63BB" w:rsidRPr="00A44AB5" w:rsidRDefault="00BB63BB" w:rsidP="46576C03">
      <w:pPr>
        <w:spacing w:after="0" w:line="240" w:lineRule="auto"/>
        <w:jc w:val="both"/>
        <w:rPr>
          <w:rFonts w:ascii="Verdana" w:eastAsia="Calibri" w:hAnsi="Verdana" w:cs="Arial"/>
          <w:color w:val="000000" w:themeColor="text1"/>
          <w:sz w:val="20"/>
          <w:szCs w:val="20"/>
          <w:lang w:val="es-ES"/>
        </w:rPr>
      </w:pPr>
      <w:r w:rsidRPr="46576C03">
        <w:rPr>
          <w:rFonts w:ascii="Verdana" w:eastAsia="Calibri" w:hAnsi="Verdana" w:cs="Arial"/>
          <w:color w:val="000000" w:themeColor="text1"/>
          <w:sz w:val="20"/>
          <w:szCs w:val="20"/>
          <w:lang w:val="es-ES" w:eastAsia="es-ES"/>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 en adelante SECOP– como un mecanismo que “contará con la información oficial de la contratación realizada con dineros públicos, para lo cual establecerá los patrones a que haya lugar y se encargará de su difusión a través de canales electrónicos”</w:t>
      </w:r>
      <w:r w:rsidRPr="46576C03">
        <w:rPr>
          <w:rFonts w:ascii="Verdana" w:eastAsia="Calibri" w:hAnsi="Verdana" w:cs="Arial"/>
          <w:color w:val="000000" w:themeColor="text1"/>
          <w:sz w:val="20"/>
          <w:szCs w:val="20"/>
          <w:lang w:val="es-ES"/>
        </w:rPr>
        <w:t xml:space="preserve">. </w:t>
      </w:r>
    </w:p>
    <w:p w14:paraId="0556985B" w14:textId="77777777" w:rsidR="00BB63BB" w:rsidRPr="00A44AB5" w:rsidRDefault="00BB63BB" w:rsidP="00BB63BB">
      <w:pPr>
        <w:spacing w:after="0" w:line="240" w:lineRule="auto"/>
        <w:jc w:val="both"/>
        <w:rPr>
          <w:rStyle w:val="Textoennegrita"/>
          <w:rFonts w:ascii="Verdana" w:hAnsi="Verdana" w:cs="Arial"/>
          <w:b w:val="0"/>
          <w:bCs w:val="0"/>
          <w:sz w:val="20"/>
          <w:szCs w:val="20"/>
          <w:lang w:val="es-ES"/>
        </w:rPr>
      </w:pPr>
    </w:p>
    <w:p w14:paraId="661F95CD" w14:textId="77777777" w:rsidR="00BB63BB" w:rsidRPr="00A44AB5" w:rsidRDefault="00BB63BB" w:rsidP="00BB63BB">
      <w:pPr>
        <w:spacing w:after="0" w:line="240" w:lineRule="auto"/>
        <w:jc w:val="both"/>
        <w:rPr>
          <w:rStyle w:val="Textoennegrita"/>
          <w:rFonts w:ascii="Verdana" w:hAnsi="Verdana" w:cs="Arial"/>
          <w:lang w:val="es-ES"/>
        </w:rPr>
      </w:pPr>
      <w:r w:rsidRPr="00A44AB5">
        <w:rPr>
          <w:rStyle w:val="Textoennegrita"/>
          <w:rFonts w:ascii="Verdana" w:hAnsi="Verdana" w:cs="Arial"/>
          <w:lang w:val="es-ES"/>
        </w:rPr>
        <w:t>RESERVA DE INFORMACIÓN PÚBLICA – Fundamento – Constitución – Ley – Aplicación – Procesos contractuales</w:t>
      </w:r>
    </w:p>
    <w:p w14:paraId="64C2C2E5" w14:textId="77777777" w:rsidR="00BB63BB" w:rsidRPr="00A44AB5" w:rsidRDefault="00BB63BB" w:rsidP="00BB63BB">
      <w:pPr>
        <w:tabs>
          <w:tab w:val="left" w:pos="426"/>
        </w:tabs>
        <w:spacing w:after="0" w:line="240" w:lineRule="auto"/>
        <w:jc w:val="both"/>
        <w:rPr>
          <w:rFonts w:ascii="Verdana" w:eastAsia="Calibri" w:hAnsi="Verdana" w:cs="Arial"/>
          <w:color w:val="000000"/>
          <w:sz w:val="20"/>
          <w:szCs w:val="20"/>
          <w:lang w:val="es-ES_tradnl" w:eastAsia="en-GB"/>
        </w:rPr>
      </w:pPr>
    </w:p>
    <w:p w14:paraId="1EBBBAD6" w14:textId="77777777" w:rsidR="00BB63BB" w:rsidRPr="00A44AB5" w:rsidRDefault="00BB63BB" w:rsidP="00BB63BB">
      <w:pPr>
        <w:tabs>
          <w:tab w:val="left" w:pos="426"/>
        </w:tabs>
        <w:spacing w:after="0" w:line="240" w:lineRule="auto"/>
        <w:jc w:val="both"/>
        <w:rPr>
          <w:rFonts w:ascii="Verdana" w:eastAsia="Calibri" w:hAnsi="Verdana" w:cs="Arial"/>
          <w:color w:val="000000"/>
          <w:sz w:val="20"/>
          <w:szCs w:val="20"/>
          <w:lang w:val="es-ES_tradnl" w:eastAsia="en-GB"/>
        </w:rPr>
      </w:pPr>
      <w:r w:rsidRPr="00A44AB5">
        <w:rPr>
          <w:rFonts w:ascii="Verdana" w:eastAsia="Calibri" w:hAnsi="Verdana" w:cs="Arial"/>
          <w:color w:val="000000"/>
          <w:sz w:val="20"/>
          <w:szCs w:val="20"/>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21DE0852" w14:textId="77777777" w:rsidR="005D1DA0" w:rsidRDefault="005D1DA0" w:rsidP="005D1DA0">
      <w:pPr>
        <w:spacing w:after="0" w:line="240" w:lineRule="auto"/>
        <w:jc w:val="both"/>
        <w:rPr>
          <w:rFonts w:ascii="Verdana" w:eastAsia="Aptos" w:hAnsi="Verdana" w:cs="Times New Roman"/>
          <w:sz w:val="20"/>
          <w:szCs w:val="20"/>
          <w:shd w:val="clear" w:color="auto" w:fill="FFFFFF"/>
          <w:lang w:val="es-ES"/>
        </w:rPr>
      </w:pPr>
    </w:p>
    <w:p w14:paraId="200A8E81" w14:textId="77777777" w:rsidR="00BB63BB" w:rsidRDefault="00BB63BB" w:rsidP="005D1DA0">
      <w:pPr>
        <w:spacing w:after="0" w:line="240" w:lineRule="auto"/>
        <w:jc w:val="both"/>
        <w:rPr>
          <w:rFonts w:ascii="Verdana" w:eastAsia="Aptos" w:hAnsi="Verdana" w:cs="Times New Roman"/>
          <w:sz w:val="20"/>
          <w:szCs w:val="20"/>
          <w:shd w:val="clear" w:color="auto" w:fill="FFFFFF"/>
          <w:lang w:val="es-ES"/>
        </w:rPr>
      </w:pPr>
    </w:p>
    <w:p w14:paraId="20C0AB18" w14:textId="77777777" w:rsidR="00BB63BB" w:rsidRDefault="00BB63BB" w:rsidP="005D1DA0">
      <w:pPr>
        <w:spacing w:after="0" w:line="240" w:lineRule="auto"/>
        <w:jc w:val="both"/>
        <w:rPr>
          <w:rFonts w:ascii="Verdana" w:eastAsia="Aptos" w:hAnsi="Verdana" w:cs="Times New Roman"/>
          <w:sz w:val="20"/>
          <w:szCs w:val="20"/>
          <w:shd w:val="clear" w:color="auto" w:fill="FFFFFF"/>
          <w:lang w:val="es-ES"/>
        </w:rPr>
      </w:pPr>
    </w:p>
    <w:p w14:paraId="6700D6DA" w14:textId="7F225E64" w:rsidR="00871B59" w:rsidRDefault="00871B59" w:rsidP="005D1DA0">
      <w:pPr>
        <w:spacing w:after="0" w:line="240" w:lineRule="auto"/>
        <w:jc w:val="both"/>
        <w:rPr>
          <w:rFonts w:ascii="Verdana" w:eastAsia="Geomanist Light" w:hAnsi="Verdana" w:cs="Arial"/>
          <w:lang w:val="es-MX"/>
        </w:rPr>
      </w:pPr>
      <w:r w:rsidRPr="007C1C94">
        <w:rPr>
          <w:rFonts w:ascii="Verdana" w:eastAsia="Geomanist Light" w:hAnsi="Verdana" w:cs="Arial"/>
          <w:lang w:val="es-MX"/>
        </w:rPr>
        <w:lastRenderedPageBreak/>
        <w:t>Bogotá D.C., </w:t>
      </w:r>
      <w:r w:rsidR="003244DC">
        <w:rPr>
          <w:rFonts w:ascii="Verdana" w:eastAsia="Geomanist Light" w:hAnsi="Verdana" w:cs="Arial"/>
          <w:lang w:val="es-MX"/>
        </w:rPr>
        <w:t>30 de abril de 2025</w:t>
      </w:r>
    </w:p>
    <w:p w14:paraId="6F5D69D8" w14:textId="77777777" w:rsidR="003244DC" w:rsidRDefault="003244DC" w:rsidP="005D1DA0">
      <w:pPr>
        <w:spacing w:after="0" w:line="240" w:lineRule="auto"/>
        <w:jc w:val="both"/>
        <w:rPr>
          <w:rFonts w:ascii="Verdana" w:eastAsia="Geomanist Light" w:hAnsi="Verdana" w:cs="Arial"/>
          <w:lang w:val="es-MX"/>
        </w:rPr>
      </w:pPr>
    </w:p>
    <w:p w14:paraId="706FFD79" w14:textId="05429AAF" w:rsidR="003244DC" w:rsidRPr="005D1DA0" w:rsidRDefault="003244DC" w:rsidP="003244DC">
      <w:pPr>
        <w:spacing w:after="0" w:line="240" w:lineRule="auto"/>
        <w:jc w:val="right"/>
        <w:rPr>
          <w:rFonts w:ascii="Verdana" w:eastAsia="Aptos" w:hAnsi="Verdana" w:cs="Times New Roman"/>
          <w:sz w:val="20"/>
          <w:szCs w:val="20"/>
          <w:shd w:val="clear" w:color="auto" w:fill="FFFFFF"/>
          <w:lang w:val="es-ES"/>
        </w:rPr>
      </w:pPr>
      <w:r w:rsidRPr="003244DC">
        <w:rPr>
          <w:rFonts w:ascii="Verdana" w:eastAsia="Aptos" w:hAnsi="Verdana" w:cs="Times New Roman"/>
          <w:noProof/>
          <w:sz w:val="20"/>
          <w:szCs w:val="20"/>
          <w:shd w:val="clear" w:color="auto" w:fill="FFFFFF"/>
          <w:lang w:val="es-ES"/>
        </w:rPr>
        <w:drawing>
          <wp:inline distT="0" distB="0" distL="0" distR="0" wp14:anchorId="6734D29C" wp14:editId="70809CDC">
            <wp:extent cx="3572374" cy="933580"/>
            <wp:effectExtent l="0" t="0" r="9525" b="0"/>
            <wp:docPr id="1236717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17889" name=""/>
                    <pic:cNvPicPr/>
                  </pic:nvPicPr>
                  <pic:blipFill>
                    <a:blip r:embed="rId11"/>
                    <a:stretch>
                      <a:fillRect/>
                    </a:stretch>
                  </pic:blipFill>
                  <pic:spPr>
                    <a:xfrm>
                      <a:off x="0" y="0"/>
                      <a:ext cx="3572374" cy="933580"/>
                    </a:xfrm>
                    <a:prstGeom prst="rect">
                      <a:avLst/>
                    </a:prstGeom>
                  </pic:spPr>
                </pic:pic>
              </a:graphicData>
            </a:graphic>
          </wp:inline>
        </w:drawing>
      </w:r>
    </w:p>
    <w:p w14:paraId="263F56BE" w14:textId="77777777" w:rsidR="00871B59" w:rsidRDefault="00871B59" w:rsidP="00871B59">
      <w:pPr>
        <w:spacing w:after="0" w:line="240" w:lineRule="auto"/>
        <w:jc w:val="both"/>
        <w:rPr>
          <w:rFonts w:ascii="Verdana" w:eastAsia="Calibri" w:hAnsi="Verdana" w:cs="Arial"/>
          <w:lang w:val="es-ES"/>
        </w:rPr>
      </w:pPr>
    </w:p>
    <w:p w14:paraId="7243E322" w14:textId="77777777" w:rsidR="00F90BE4" w:rsidRPr="007C1C94" w:rsidRDefault="00F90BE4" w:rsidP="00871B59">
      <w:pPr>
        <w:spacing w:after="0" w:line="240" w:lineRule="auto"/>
        <w:jc w:val="both"/>
        <w:rPr>
          <w:rFonts w:ascii="Verdana" w:eastAsia="Calibri" w:hAnsi="Verdana" w:cs="Arial"/>
          <w:lang w:val="es-ES"/>
        </w:rPr>
      </w:pPr>
    </w:p>
    <w:p w14:paraId="66EF7FED" w14:textId="0E01C734" w:rsidR="00871B59" w:rsidRPr="00D20089" w:rsidRDefault="00871B59" w:rsidP="00871B59">
      <w:pPr>
        <w:spacing w:after="0" w:line="240" w:lineRule="auto"/>
        <w:jc w:val="both"/>
        <w:rPr>
          <w:rFonts w:ascii="Verdana" w:eastAsia="Calibri" w:hAnsi="Verdana" w:cs="Arial"/>
          <w:lang w:val="es-ES" w:eastAsia="es-ES"/>
        </w:rPr>
      </w:pPr>
      <w:r w:rsidRPr="00D20089">
        <w:rPr>
          <w:rFonts w:ascii="Verdana" w:eastAsia="Calibri" w:hAnsi="Verdana" w:cs="Arial"/>
          <w:lang w:val="es-ES" w:eastAsia="es-ES"/>
        </w:rPr>
        <w:t>Señor</w:t>
      </w:r>
    </w:p>
    <w:p w14:paraId="1FCD5A3D" w14:textId="0E7386CF" w:rsidR="00231C15" w:rsidRPr="00D20089" w:rsidRDefault="007979D3"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Oscar Ovidio Muñoz Campo</w:t>
      </w:r>
    </w:p>
    <w:p w14:paraId="47447158" w14:textId="0D432E62" w:rsidR="007979D3" w:rsidRPr="007979D3" w:rsidRDefault="007979D3" w:rsidP="00D43FB7">
      <w:pPr>
        <w:spacing w:after="0" w:line="240" w:lineRule="auto"/>
        <w:rPr>
          <w:rFonts w:ascii="Verdana" w:hAnsi="Verdana"/>
        </w:rPr>
      </w:pPr>
      <w:hyperlink r:id="rId12" w:history="1">
        <w:r w:rsidRPr="007979D3">
          <w:rPr>
            <w:rStyle w:val="Hipervnculo"/>
            <w:rFonts w:ascii="Verdana" w:hAnsi="Verdana"/>
          </w:rPr>
          <w:t>abogado.oscar.munoz@gmail.com</w:t>
        </w:r>
      </w:hyperlink>
    </w:p>
    <w:p w14:paraId="5ACFEA17" w14:textId="7E70C50D" w:rsidR="00871B59" w:rsidRPr="00D20089" w:rsidRDefault="00231C15" w:rsidP="00D43FB7">
      <w:pPr>
        <w:spacing w:after="0" w:line="240" w:lineRule="auto"/>
        <w:rPr>
          <w:rFonts w:ascii="Verdana" w:eastAsia="Calibri" w:hAnsi="Verdana" w:cs="Arial"/>
          <w:b/>
          <w:bCs/>
          <w:lang w:val="es-ES" w:eastAsia="es-ES"/>
        </w:rPr>
      </w:pPr>
      <w:r w:rsidRPr="00D20089">
        <w:rPr>
          <w:rFonts w:ascii="Verdana" w:eastAsia="Calibri" w:hAnsi="Verdana" w:cs="Arial"/>
          <w:lang w:val="es-ES" w:eastAsia="es-ES"/>
        </w:rPr>
        <w:t>Ciudad</w:t>
      </w:r>
    </w:p>
    <w:p w14:paraId="75545CBA" w14:textId="77777777" w:rsidR="00871B59" w:rsidRPr="007C1C94" w:rsidRDefault="00871B59" w:rsidP="00871B59">
      <w:pPr>
        <w:spacing w:after="0" w:line="240" w:lineRule="auto"/>
        <w:rPr>
          <w:rFonts w:ascii="Verdana" w:eastAsia="Calibri" w:hAnsi="Verdana" w:cs="Arial"/>
          <w:b/>
          <w:bCs/>
          <w:lang w:val="es-ES_tradnl" w:eastAsia="es-ES_tradnl"/>
        </w:rPr>
      </w:pPr>
    </w:p>
    <w:p w14:paraId="40764CBF" w14:textId="77777777" w:rsidR="00871B59" w:rsidRPr="007C1C94"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C1C94" w:rsidRPr="007C1C94" w14:paraId="6AC1791A" w14:textId="77777777" w:rsidTr="002607A7">
        <w:trPr>
          <w:trHeight w:val="884"/>
        </w:trPr>
        <w:tc>
          <w:tcPr>
            <w:tcW w:w="2689" w:type="dxa"/>
          </w:tcPr>
          <w:p w14:paraId="156B1AEC" w14:textId="77777777" w:rsidR="00871B59" w:rsidRPr="007C1C94" w:rsidRDefault="00871B59" w:rsidP="002607A7">
            <w:pPr>
              <w:jc w:val="both"/>
              <w:rPr>
                <w:rFonts w:ascii="Verdana" w:eastAsia="Calibri" w:hAnsi="Verdana" w:cs="Arial"/>
                <w:b/>
                <w:bCs/>
                <w:lang w:val="es-ES_tradnl" w:eastAsia="es-ES_tradnl"/>
              </w:rPr>
            </w:pPr>
          </w:p>
        </w:tc>
        <w:tc>
          <w:tcPr>
            <w:tcW w:w="6100" w:type="dxa"/>
          </w:tcPr>
          <w:p w14:paraId="48F499EA" w14:textId="37299CE7" w:rsidR="00871B59" w:rsidRPr="007C1C94" w:rsidRDefault="00871B59" w:rsidP="002607A7">
            <w:pPr>
              <w:jc w:val="both"/>
              <w:rPr>
                <w:rFonts w:ascii="Verdana" w:eastAsia="Calibri" w:hAnsi="Verdana" w:cs="Arial"/>
                <w:b/>
                <w:bCs/>
                <w:lang w:val="es-ES" w:eastAsia="es-ES"/>
              </w:rPr>
            </w:pPr>
            <w:r w:rsidRPr="007C1C94">
              <w:rPr>
                <w:rFonts w:ascii="Verdana" w:eastAsia="Calibri" w:hAnsi="Verdana" w:cs="Arial"/>
                <w:b/>
                <w:bCs/>
                <w:lang w:val="es-ES" w:eastAsia="es-ES"/>
              </w:rPr>
              <w:t xml:space="preserve">Concepto C- </w:t>
            </w:r>
            <w:r w:rsidR="008F597B">
              <w:rPr>
                <w:rFonts w:ascii="Verdana" w:eastAsia="Calibri" w:hAnsi="Verdana" w:cs="Arial"/>
                <w:b/>
                <w:bCs/>
                <w:lang w:val="es-ES" w:eastAsia="es-ES"/>
              </w:rPr>
              <w:t>27</w:t>
            </w:r>
            <w:r w:rsidR="002759A5">
              <w:rPr>
                <w:rFonts w:ascii="Verdana" w:eastAsia="Calibri" w:hAnsi="Verdana" w:cs="Arial"/>
                <w:b/>
                <w:bCs/>
                <w:lang w:val="es-ES" w:eastAsia="es-ES"/>
              </w:rPr>
              <w:t>3</w:t>
            </w:r>
            <w:r w:rsidR="00D80F0D">
              <w:rPr>
                <w:rFonts w:ascii="Verdana" w:eastAsia="Calibri" w:hAnsi="Verdana" w:cs="Arial"/>
                <w:b/>
                <w:bCs/>
                <w:lang w:val="es-ES" w:eastAsia="es-ES"/>
              </w:rPr>
              <w:t>A</w:t>
            </w:r>
            <w:r w:rsidRPr="007C1C94">
              <w:rPr>
                <w:rFonts w:ascii="Verdana" w:eastAsia="Calibri" w:hAnsi="Verdana" w:cs="Arial"/>
                <w:b/>
                <w:bCs/>
                <w:lang w:val="es-ES" w:eastAsia="es-ES"/>
              </w:rPr>
              <w:t xml:space="preserve"> de 202</w:t>
            </w:r>
            <w:r w:rsidR="002759A5">
              <w:rPr>
                <w:rFonts w:ascii="Verdana" w:eastAsia="Calibri" w:hAnsi="Verdana" w:cs="Arial"/>
                <w:b/>
                <w:bCs/>
                <w:lang w:val="es-ES" w:eastAsia="es-ES"/>
              </w:rPr>
              <w:t>5</w:t>
            </w:r>
          </w:p>
        </w:tc>
      </w:tr>
      <w:tr w:rsidR="007C1C94" w:rsidRPr="007C1C94" w14:paraId="0DD246A7" w14:textId="77777777" w:rsidTr="002607A7">
        <w:trPr>
          <w:trHeight w:val="884"/>
        </w:trPr>
        <w:tc>
          <w:tcPr>
            <w:tcW w:w="2689" w:type="dxa"/>
          </w:tcPr>
          <w:p w14:paraId="1B4FC525" w14:textId="77777777" w:rsidR="00871B59" w:rsidRPr="00D37CA7" w:rsidRDefault="00871B59" w:rsidP="00643C7B">
            <w:pPr>
              <w:jc w:val="both"/>
              <w:rPr>
                <w:rFonts w:ascii="Verdana" w:eastAsia="Calibri" w:hAnsi="Verdana" w:cs="Arial"/>
                <w:lang w:val="es-ES_tradnl" w:eastAsia="es-ES_tradnl"/>
              </w:rPr>
            </w:pPr>
            <w:r w:rsidRPr="00D37CA7">
              <w:rPr>
                <w:rFonts w:ascii="Verdana" w:eastAsia="Calibri" w:hAnsi="Verdana" w:cs="Arial"/>
                <w:b/>
                <w:lang w:val="es-ES_tradnl" w:eastAsia="es-ES_tradnl"/>
              </w:rPr>
              <w:t>Temas:</w:t>
            </w:r>
            <w:r w:rsidRPr="00D37CA7">
              <w:rPr>
                <w:rFonts w:ascii="Verdana" w:eastAsia="Calibri" w:hAnsi="Verdana" w:cs="Arial"/>
                <w:lang w:val="es-ES_tradnl" w:eastAsia="es-ES_tradnl"/>
              </w:rPr>
              <w:t xml:space="preserve">                   </w:t>
            </w:r>
          </w:p>
        </w:tc>
        <w:tc>
          <w:tcPr>
            <w:tcW w:w="6100" w:type="dxa"/>
          </w:tcPr>
          <w:p w14:paraId="7ADD1096" w14:textId="0512194D" w:rsidR="00871B59" w:rsidRPr="00D37CA7" w:rsidRDefault="00BB63BB" w:rsidP="00643C7B">
            <w:pPr>
              <w:jc w:val="both"/>
              <w:rPr>
                <w:rFonts w:ascii="Verdana" w:eastAsia="Calibri" w:hAnsi="Verdana" w:cs="Arial"/>
                <w:lang w:val="es-ES" w:eastAsia="es-ES"/>
              </w:rPr>
            </w:pPr>
            <w:r w:rsidRPr="00BB63BB">
              <w:rPr>
                <w:rFonts w:ascii="Verdana" w:eastAsia="Calibri" w:hAnsi="Verdana" w:cs="Arial"/>
                <w:lang w:val="es-ES" w:eastAsia="es-ES"/>
              </w:rPr>
              <w:t xml:space="preserve">PRINCIPIO DE PUBLICIDAD - Naturaleza </w:t>
            </w:r>
            <w:r w:rsidR="008772DE">
              <w:rPr>
                <w:rFonts w:ascii="Verdana" w:eastAsia="Calibri" w:hAnsi="Verdana" w:cs="Arial"/>
                <w:lang w:val="es-ES" w:eastAsia="es-ES"/>
              </w:rPr>
              <w:t xml:space="preserve">/ </w:t>
            </w:r>
            <w:r w:rsidRPr="00BB63BB">
              <w:rPr>
                <w:rFonts w:ascii="Verdana" w:eastAsia="Calibri" w:hAnsi="Verdana" w:cs="Arial"/>
                <w:lang w:val="es-ES" w:eastAsia="es-ES"/>
              </w:rPr>
              <w:t xml:space="preserve">ACCESO A DOCUMENTACIÓN PÚBLICA – Derecho fundamental – Transparencia – Información contractual </w:t>
            </w:r>
            <w:r w:rsidR="008772DE">
              <w:rPr>
                <w:rFonts w:ascii="Verdana" w:eastAsia="Calibri" w:hAnsi="Verdana" w:cs="Arial"/>
                <w:lang w:val="es-ES" w:eastAsia="es-ES"/>
              </w:rPr>
              <w:t xml:space="preserve">/ </w:t>
            </w:r>
            <w:r w:rsidRPr="00BB63BB">
              <w:rPr>
                <w:rFonts w:ascii="Verdana" w:eastAsia="Calibri" w:hAnsi="Verdana" w:cs="Arial"/>
                <w:lang w:val="es-ES" w:eastAsia="es-ES"/>
              </w:rPr>
              <w:t>RESERVA DE INFORMACIÓN PÚBLICA – Fundamento – Constitución – Ley – Aplicación – Procesos contractuales</w:t>
            </w:r>
          </w:p>
        </w:tc>
      </w:tr>
      <w:tr w:rsidR="00871B59" w:rsidRPr="007C1C94" w14:paraId="0A874006" w14:textId="77777777" w:rsidTr="002607A7">
        <w:tc>
          <w:tcPr>
            <w:tcW w:w="2689" w:type="dxa"/>
          </w:tcPr>
          <w:p w14:paraId="56ED2765" w14:textId="77777777" w:rsidR="00871B59" w:rsidRPr="007C1C94" w:rsidRDefault="00871B59" w:rsidP="002607A7">
            <w:pPr>
              <w:jc w:val="both"/>
              <w:rPr>
                <w:rFonts w:ascii="Verdana" w:eastAsia="Calibri" w:hAnsi="Verdana" w:cs="Arial"/>
                <w:b/>
                <w:lang w:val="es-ES_tradnl" w:eastAsia="es-ES_tradnl"/>
              </w:rPr>
            </w:pPr>
            <w:r w:rsidRPr="007C1C94">
              <w:rPr>
                <w:rFonts w:ascii="Verdana" w:eastAsia="Calibri" w:hAnsi="Verdana" w:cs="Arial"/>
                <w:b/>
                <w:lang w:val="es-ES_tradnl" w:eastAsia="es-ES_tradnl"/>
              </w:rPr>
              <w:t>Radicación:</w:t>
            </w:r>
            <w:r w:rsidRPr="007C1C94">
              <w:rPr>
                <w:rFonts w:ascii="Verdana" w:eastAsia="Calibri" w:hAnsi="Verdana" w:cs="Arial"/>
                <w:lang w:val="es-ES_tradnl" w:eastAsia="es-ES_tradnl"/>
              </w:rPr>
              <w:t xml:space="preserve">               </w:t>
            </w:r>
          </w:p>
        </w:tc>
        <w:tc>
          <w:tcPr>
            <w:tcW w:w="6100" w:type="dxa"/>
          </w:tcPr>
          <w:p w14:paraId="630D2668" w14:textId="3D495ACB" w:rsidR="00871B59" w:rsidRPr="007C1C94" w:rsidRDefault="00871B59" w:rsidP="002607A7">
            <w:pPr>
              <w:jc w:val="both"/>
              <w:rPr>
                <w:rFonts w:ascii="Verdana" w:eastAsia="Calibri" w:hAnsi="Verdana" w:cs="Arial"/>
                <w:lang w:val="es-ES_tradnl" w:eastAsia="es-ES_tradnl"/>
              </w:rPr>
            </w:pPr>
            <w:r w:rsidRPr="007C1C94">
              <w:rPr>
                <w:rFonts w:ascii="Verdana" w:eastAsia="Calibri" w:hAnsi="Verdana" w:cs="Arial"/>
                <w:lang w:val="es-ES_tradnl" w:eastAsia="es-ES_tradnl"/>
              </w:rPr>
              <w:t xml:space="preserve">Respuesta a consulta con radicado No. </w:t>
            </w:r>
            <w:r w:rsidR="008F597B" w:rsidRPr="008F597B">
              <w:rPr>
                <w:rFonts w:ascii="Verdana" w:eastAsia="Calibri" w:hAnsi="Verdana" w:cs="Arial"/>
                <w:lang w:val="es-ES_tradnl" w:eastAsia="es-ES_tradnl"/>
              </w:rPr>
              <w:t>P20250327002943</w:t>
            </w:r>
          </w:p>
        </w:tc>
      </w:tr>
    </w:tbl>
    <w:p w14:paraId="01AFCA4D" w14:textId="77777777" w:rsidR="00871B59" w:rsidRPr="007C1C94"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7C1C94" w:rsidRDefault="00871B59" w:rsidP="00871B59">
      <w:pPr>
        <w:spacing w:after="0" w:line="240" w:lineRule="auto"/>
        <w:jc w:val="both"/>
        <w:rPr>
          <w:rFonts w:ascii="Verdana" w:eastAsia="Calibri" w:hAnsi="Verdana" w:cs="Arial"/>
          <w:lang w:val="es-ES_tradnl" w:eastAsia="es-ES_tradnl"/>
        </w:rPr>
      </w:pPr>
    </w:p>
    <w:p w14:paraId="5A8CAE32" w14:textId="4E054A70" w:rsidR="00871B59" w:rsidRPr="007C1C94" w:rsidRDefault="00871B59" w:rsidP="00871B59">
      <w:pPr>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Estimad</w:t>
      </w:r>
      <w:r w:rsidR="00771C9B">
        <w:rPr>
          <w:rFonts w:ascii="Verdana" w:eastAsia="Calibri" w:hAnsi="Verdana" w:cs="Arial"/>
          <w:lang w:val="es-ES" w:eastAsia="es-ES"/>
        </w:rPr>
        <w:t>o</w:t>
      </w:r>
      <w:r w:rsidRPr="007C1C94">
        <w:rPr>
          <w:rFonts w:ascii="Verdana" w:eastAsia="Calibri" w:hAnsi="Verdana" w:cs="Arial"/>
          <w:lang w:val="es-ES" w:eastAsia="es-ES"/>
        </w:rPr>
        <w:t xml:space="preserve"> señor </w:t>
      </w:r>
      <w:r w:rsidR="007979D3">
        <w:rPr>
          <w:rFonts w:ascii="Verdana" w:eastAsia="Calibri" w:hAnsi="Verdana" w:cs="Arial"/>
          <w:lang w:val="es-ES" w:eastAsia="es-ES"/>
        </w:rPr>
        <w:t>Muñoz</w:t>
      </w:r>
      <w:r w:rsidRPr="007C1C94">
        <w:rPr>
          <w:rFonts w:ascii="Verdana" w:eastAsia="Calibri" w:hAnsi="Verdana" w:cs="Arial"/>
          <w:lang w:val="es-ES" w:eastAsia="es-ES"/>
        </w:rPr>
        <w:t xml:space="preserve">: </w:t>
      </w:r>
    </w:p>
    <w:p w14:paraId="62039951" w14:textId="77777777" w:rsidR="00871B59" w:rsidRPr="007C1C94" w:rsidRDefault="00871B59" w:rsidP="00871B59">
      <w:pPr>
        <w:tabs>
          <w:tab w:val="left" w:pos="3768"/>
        </w:tabs>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ab/>
      </w:r>
    </w:p>
    <w:p w14:paraId="3F1D9A82" w14:textId="7757366C" w:rsidR="00871B59" w:rsidRPr="007C1C94" w:rsidRDefault="00871B59" w:rsidP="00871B59">
      <w:pPr>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En ejercicio de la competencia otorgada por los artículos 3, numeral 5º, y 11, numeral 8º, del Decreto Ley 4170 de 2011,</w:t>
      </w:r>
      <w:r w:rsidRPr="007C1C94">
        <w:rPr>
          <w:rFonts w:ascii="Verdana" w:eastAsia="Arial MT" w:hAnsi="Verdana" w:cs="Arial MT"/>
          <w:lang w:val="es-ES" w:eastAsia="es-ES"/>
        </w:rPr>
        <w:t xml:space="preserve"> </w:t>
      </w:r>
      <w:r w:rsidRPr="007C1C94">
        <w:rPr>
          <w:rFonts w:ascii="Verdana" w:hAnsi="Verdana" w:cs="Arial"/>
        </w:rPr>
        <w:t xml:space="preserve">así como lo establecido en el artículo 4 de la Resolución 1707 de 2018 expedida por esta Entidad, </w:t>
      </w:r>
      <w:r w:rsidRPr="007C1C94">
        <w:rPr>
          <w:rFonts w:ascii="Verdana" w:eastAsia="Calibri" w:hAnsi="Verdana" w:cs="Arial"/>
          <w:lang w:val="es-ES" w:eastAsia="es-ES"/>
        </w:rPr>
        <w:t xml:space="preserve">la Agencia Nacional de Contratación Pública – Colombia Compra Eficiente– responde su solicitud de consulta de fecha </w:t>
      </w:r>
      <w:r w:rsidR="00771C9B">
        <w:rPr>
          <w:rFonts w:ascii="Verdana" w:eastAsia="Calibri" w:hAnsi="Verdana" w:cs="Arial"/>
          <w:lang w:val="es-ES" w:eastAsia="es-ES"/>
        </w:rPr>
        <w:t>2</w:t>
      </w:r>
      <w:r w:rsidR="00A5764B">
        <w:rPr>
          <w:rFonts w:ascii="Verdana" w:eastAsia="Calibri" w:hAnsi="Verdana" w:cs="Arial"/>
          <w:lang w:val="es-ES" w:eastAsia="es-ES"/>
        </w:rPr>
        <w:t>7</w:t>
      </w:r>
      <w:r w:rsidRPr="007C1C94">
        <w:rPr>
          <w:rFonts w:ascii="Verdana" w:eastAsia="Calibri" w:hAnsi="Verdana" w:cs="Arial"/>
          <w:lang w:val="es-ES" w:eastAsia="es-ES"/>
        </w:rPr>
        <w:t xml:space="preserve"> de </w:t>
      </w:r>
      <w:r w:rsidR="00671241">
        <w:rPr>
          <w:rFonts w:ascii="Verdana" w:eastAsia="Calibri" w:hAnsi="Verdana" w:cs="Arial"/>
          <w:lang w:val="es-ES" w:eastAsia="es-ES"/>
        </w:rPr>
        <w:t>marzo</w:t>
      </w:r>
      <w:r w:rsidRPr="007C1C94">
        <w:rPr>
          <w:rFonts w:ascii="Verdana" w:eastAsia="Calibri" w:hAnsi="Verdana" w:cs="Arial"/>
          <w:lang w:val="es-ES" w:eastAsia="es-ES"/>
        </w:rPr>
        <w:t xml:space="preserve"> de 20</w:t>
      </w:r>
      <w:r w:rsidR="00671241">
        <w:rPr>
          <w:rFonts w:ascii="Verdana" w:eastAsia="Calibri" w:hAnsi="Verdana" w:cs="Arial"/>
          <w:lang w:val="es-ES" w:eastAsia="es-ES"/>
        </w:rPr>
        <w:t>25</w:t>
      </w:r>
      <w:r w:rsidRPr="007C1C94">
        <w:rPr>
          <w:rFonts w:ascii="Verdana" w:eastAsia="Calibri" w:hAnsi="Verdana" w:cs="Arial"/>
          <w:lang w:val="es-ES" w:eastAsia="es-ES"/>
        </w:rPr>
        <w:t xml:space="preserve">, en la cual manifiesta lo siguiente: </w:t>
      </w:r>
    </w:p>
    <w:p w14:paraId="6DBD3E26" w14:textId="77777777" w:rsidR="00871B59" w:rsidRPr="007C1C94"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68781F03" w14:textId="77777777" w:rsidR="009F61F9" w:rsidRPr="009F61F9" w:rsidRDefault="00871B59" w:rsidP="009F61F9">
      <w:pPr>
        <w:spacing w:after="0" w:line="240" w:lineRule="auto"/>
        <w:ind w:left="709" w:right="709"/>
        <w:jc w:val="both"/>
        <w:rPr>
          <w:rStyle w:val="normaltextrun"/>
          <w:rFonts w:ascii="Verdana" w:hAnsi="Verdana" w:cs="Arial"/>
          <w:sz w:val="20"/>
          <w:szCs w:val="20"/>
          <w:shd w:val="clear" w:color="auto" w:fill="FFFFFF"/>
          <w:lang w:val="es-MX"/>
        </w:rPr>
      </w:pPr>
      <w:bookmarkStart w:id="0" w:name="_Hlk95313578"/>
      <w:r w:rsidRPr="007C1C94">
        <w:rPr>
          <w:rFonts w:ascii="Verdana" w:eastAsia="Century Gothic" w:hAnsi="Verdana" w:cs="Century Gothic"/>
          <w:sz w:val="20"/>
          <w:szCs w:val="20"/>
          <w:lang w:val="es-ES"/>
        </w:rPr>
        <w:t>“</w:t>
      </w:r>
      <w:r w:rsidR="009F61F9" w:rsidRPr="009F61F9">
        <w:rPr>
          <w:rStyle w:val="normaltextrun"/>
          <w:rFonts w:ascii="Verdana" w:hAnsi="Verdana" w:cs="Arial"/>
          <w:sz w:val="20"/>
          <w:szCs w:val="20"/>
          <w:shd w:val="clear" w:color="auto" w:fill="FFFFFF"/>
          <w:lang w:val="es-MX"/>
        </w:rPr>
        <w:t>a) Indicar si los documentos enunciados tienen carácter reservado conforme a la ley y la jurisprudencia aplicable.</w:t>
      </w:r>
    </w:p>
    <w:p w14:paraId="3F58056F" w14:textId="5FA108C3"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lastRenderedPageBreak/>
        <w:t>b) Especificar si alguno de estos documentos puede ser considerado como información con datos sensibles, según la definición contenida en la Ley 1581 de 2012 y sus decretos reglamentarios.</w:t>
      </w:r>
    </w:p>
    <w:p w14:paraId="47997A75" w14:textId="4F9498EF"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c) En caso de que alguno de estos documentos sea considerado reservado o contenga datos sensibles, indicar el fundamento</w:t>
      </w:r>
      <w:r>
        <w:rPr>
          <w:rStyle w:val="normaltextrun"/>
          <w:rFonts w:ascii="Verdana" w:hAnsi="Verdana" w:cs="Arial"/>
          <w:sz w:val="20"/>
          <w:szCs w:val="20"/>
          <w:shd w:val="clear" w:color="auto" w:fill="FFFFFF"/>
          <w:lang w:val="es-MX"/>
        </w:rPr>
        <w:t xml:space="preserve"> </w:t>
      </w:r>
      <w:r w:rsidRPr="009F61F9">
        <w:rPr>
          <w:rStyle w:val="normaltextrun"/>
          <w:rFonts w:ascii="Verdana" w:hAnsi="Verdana" w:cs="Arial"/>
          <w:sz w:val="20"/>
          <w:szCs w:val="20"/>
          <w:shd w:val="clear" w:color="auto" w:fill="FFFFFF"/>
          <w:lang w:val="es-MX"/>
        </w:rPr>
        <w:t>normativo que sustente dicha clasificación.</w:t>
      </w:r>
    </w:p>
    <w:p w14:paraId="02CF9654" w14:textId="12BBF71F"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d) Explicar el procedimiento a seguir para solicitar la clasificación de un documento como reservado dentro de un proceso de contratación en SECOP II.</w:t>
      </w:r>
    </w:p>
    <w:p w14:paraId="1410172B" w14:textId="5004221F"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e) En caso de que estos documentos no sean considerados reservados o con datos sensibles, indicar el fundamento normativo que respalde su publicidad y acceso por parte de terceros.</w:t>
      </w:r>
    </w:p>
    <w:p w14:paraId="138D4BD8" w14:textId="1B67291D"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f) Especificar qué documentos de común utilización en procesos de contratación pública tienen carácter reservado o</w:t>
      </w:r>
      <w:r>
        <w:rPr>
          <w:rStyle w:val="normaltextrun"/>
          <w:rFonts w:ascii="Verdana" w:hAnsi="Verdana" w:cs="Arial"/>
          <w:sz w:val="20"/>
          <w:szCs w:val="20"/>
          <w:shd w:val="clear" w:color="auto" w:fill="FFFFFF"/>
          <w:lang w:val="es-MX"/>
        </w:rPr>
        <w:t xml:space="preserve"> </w:t>
      </w:r>
      <w:r w:rsidRPr="009F61F9">
        <w:rPr>
          <w:rStyle w:val="normaltextrun"/>
          <w:rFonts w:ascii="Verdana" w:hAnsi="Verdana" w:cs="Arial"/>
          <w:sz w:val="20"/>
          <w:szCs w:val="20"/>
          <w:shd w:val="clear" w:color="auto" w:fill="FFFFFF"/>
          <w:lang w:val="es-MX"/>
        </w:rPr>
        <w:t>contienen datos sensibles conforme a la normativa vigente.</w:t>
      </w:r>
    </w:p>
    <w:p w14:paraId="49DB2BCB" w14:textId="0EAFA920" w:rsidR="009F61F9" w:rsidRPr="009F61F9" w:rsidRDefault="009F61F9" w:rsidP="009F61F9">
      <w:pPr>
        <w:spacing w:after="0" w:line="240" w:lineRule="auto"/>
        <w:ind w:left="709" w:right="709"/>
        <w:jc w:val="both"/>
        <w:rPr>
          <w:rStyle w:val="normaltextrun"/>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g) Indicar si los documentos mencionados deben publicarse con acceso para el público en general o si su acceso está restringido únicamente a la entidad estatal.</w:t>
      </w:r>
    </w:p>
    <w:p w14:paraId="1006183E" w14:textId="028DA2EA" w:rsidR="00871B59" w:rsidRPr="00517373" w:rsidRDefault="009F61F9" w:rsidP="009F61F9">
      <w:pPr>
        <w:spacing w:after="0" w:line="240" w:lineRule="auto"/>
        <w:ind w:left="709" w:right="709"/>
        <w:jc w:val="both"/>
        <w:rPr>
          <w:rFonts w:ascii="Verdana" w:hAnsi="Verdana" w:cs="Arial"/>
          <w:sz w:val="20"/>
          <w:szCs w:val="20"/>
          <w:shd w:val="clear" w:color="auto" w:fill="FFFFFF"/>
          <w:lang w:val="es-MX"/>
        </w:rPr>
      </w:pPr>
      <w:r w:rsidRPr="009F61F9">
        <w:rPr>
          <w:rStyle w:val="normaltextrun"/>
          <w:rFonts w:ascii="Verdana" w:hAnsi="Verdana" w:cs="Arial"/>
          <w:sz w:val="20"/>
          <w:szCs w:val="20"/>
          <w:shd w:val="clear" w:color="auto" w:fill="FFFFFF"/>
          <w:lang w:val="es-MX"/>
        </w:rPr>
        <w:t>h) Indicar si existen consecuencias para el servidor público, contratista de la entidad estatal o para la entidad estatal en cabeza del ordenador del gasto, en caso de que se publiquen documentos con reserva legal y cuáles serían esas</w:t>
      </w:r>
      <w:r>
        <w:rPr>
          <w:rStyle w:val="normaltextrun"/>
          <w:rFonts w:ascii="Verdana" w:hAnsi="Verdana" w:cs="Arial"/>
          <w:sz w:val="20"/>
          <w:szCs w:val="20"/>
          <w:shd w:val="clear" w:color="auto" w:fill="FFFFFF"/>
          <w:lang w:val="es-MX"/>
        </w:rPr>
        <w:t xml:space="preserve"> </w:t>
      </w:r>
      <w:r w:rsidRPr="009F61F9">
        <w:rPr>
          <w:rStyle w:val="normaltextrun"/>
          <w:rFonts w:ascii="Verdana" w:hAnsi="Verdana" w:cs="Arial"/>
          <w:sz w:val="20"/>
          <w:szCs w:val="20"/>
          <w:shd w:val="clear" w:color="auto" w:fill="FFFFFF"/>
          <w:lang w:val="es-MX"/>
        </w:rPr>
        <w:t>consecuencias si existen</w:t>
      </w:r>
      <w:r w:rsidR="00871B59" w:rsidRPr="006C632C">
        <w:rPr>
          <w:rFonts w:ascii="Verdana" w:eastAsia="Century Gothic" w:hAnsi="Verdana" w:cs="Century Gothic"/>
          <w:sz w:val="20"/>
          <w:szCs w:val="20"/>
          <w:lang w:val="es-ES"/>
        </w:rPr>
        <w:t>”</w:t>
      </w:r>
      <w:bookmarkEnd w:id="0"/>
      <w:r w:rsidR="00871B59" w:rsidRPr="006C632C">
        <w:rPr>
          <w:rFonts w:ascii="Verdana" w:eastAsia="Century Gothic" w:hAnsi="Verdana" w:cs="Century Gothic"/>
          <w:sz w:val="20"/>
          <w:szCs w:val="20"/>
          <w:lang w:val="es-ES"/>
        </w:rPr>
        <w:t>.</w:t>
      </w:r>
    </w:p>
    <w:p w14:paraId="54DCAD4E" w14:textId="77777777" w:rsidR="00871B59" w:rsidRPr="00BA7808"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MX"/>
        </w:rPr>
      </w:pPr>
    </w:p>
    <w:p w14:paraId="30F17EAD" w14:textId="77777777" w:rsidR="00871B59" w:rsidRPr="007C1C94" w:rsidRDefault="00871B59" w:rsidP="00871B59">
      <w:pPr>
        <w:spacing w:after="120" w:line="276" w:lineRule="auto"/>
        <w:ind w:firstLine="709"/>
        <w:jc w:val="both"/>
        <w:rPr>
          <w:rFonts w:ascii="Verdana" w:eastAsia="Calibri" w:hAnsi="Verdana" w:cs="Arial"/>
          <w:szCs w:val="24"/>
          <w:lang w:val="es-ES_tradnl" w:eastAsia="es-ES_tradnl"/>
        </w:rPr>
      </w:pPr>
      <w:r w:rsidRPr="007C1C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1C94">
        <w:rPr>
          <w:rFonts w:ascii="Verdana" w:eastAsia="Calibri" w:hAnsi="Verdana" w:cs="Arial"/>
          <w:szCs w:val="24"/>
          <w:lang w:val="es-ES_tradnl" w:eastAsia="es-ES_tradnl"/>
        </w:rPr>
        <w:tab/>
      </w:r>
    </w:p>
    <w:p w14:paraId="3B95778F" w14:textId="77777777" w:rsidR="00871B59" w:rsidRPr="007C1C94" w:rsidRDefault="00871B59" w:rsidP="00871B59">
      <w:pPr>
        <w:spacing w:after="0" w:line="276" w:lineRule="auto"/>
        <w:ind w:firstLine="709"/>
        <w:jc w:val="both"/>
        <w:rPr>
          <w:rFonts w:ascii="Verdana" w:eastAsia="Calibri" w:hAnsi="Verdana" w:cs="Arial"/>
          <w:lang w:val="es-ES" w:eastAsia="es-ES"/>
        </w:rPr>
      </w:pPr>
      <w:r w:rsidRPr="007C1C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7C1C94">
        <w:rPr>
          <w:rFonts w:ascii="Verdana" w:eastAsia="Calibri" w:hAnsi="Verdana" w:cs="Arial"/>
          <w:lang w:val="es-ES" w:eastAsia="es-ES"/>
        </w:rPr>
        <w:lastRenderedPageBreak/>
        <w:t xml:space="preserve">concretas mencionadas en su petición, pero haciendo unas consideraciones sobre las normas generales relacionadas con el (los) problema(s) jurídico(s) de su consulta. </w:t>
      </w:r>
    </w:p>
    <w:p w14:paraId="70187214" w14:textId="77777777" w:rsidR="00871B59" w:rsidRPr="007C1C94" w:rsidRDefault="00871B59" w:rsidP="00871B59">
      <w:pPr>
        <w:spacing w:after="0" w:line="276" w:lineRule="auto"/>
        <w:ind w:firstLine="709"/>
        <w:jc w:val="both"/>
        <w:rPr>
          <w:rFonts w:ascii="Verdana" w:eastAsia="Calibri" w:hAnsi="Verdana" w:cs="Arial"/>
          <w:lang w:val="es-ES" w:eastAsia="es-ES"/>
        </w:rPr>
      </w:pPr>
    </w:p>
    <w:p w14:paraId="74DD4DE4" w14:textId="1D86FBAB" w:rsidR="00871B59" w:rsidRPr="007C1C94"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7C1C94">
        <w:rPr>
          <w:rFonts w:ascii="Verdana" w:eastAsia="Century Gothic" w:hAnsi="Verdana" w:cs="Century Gothic"/>
          <w:b/>
          <w:bCs/>
          <w:lang w:val="es-ES"/>
        </w:rPr>
        <w:t>Problema planteado:</w:t>
      </w:r>
    </w:p>
    <w:p w14:paraId="690221EE" w14:textId="77777777" w:rsidR="00871B59" w:rsidRPr="007C1C94" w:rsidRDefault="00871B59" w:rsidP="00871B59">
      <w:pPr>
        <w:tabs>
          <w:tab w:val="left" w:pos="426"/>
        </w:tabs>
        <w:spacing w:after="0" w:line="276" w:lineRule="auto"/>
        <w:jc w:val="both"/>
        <w:rPr>
          <w:rFonts w:ascii="Verdana" w:eastAsia="Century Gothic" w:hAnsi="Verdana" w:cs="Century Gothic"/>
          <w:lang w:val="es-ES"/>
        </w:rPr>
      </w:pPr>
    </w:p>
    <w:p w14:paraId="11DC9C47" w14:textId="65C496C1" w:rsidR="00871B59" w:rsidRPr="00E31906" w:rsidRDefault="00871B59" w:rsidP="00871B59">
      <w:pPr>
        <w:spacing w:after="0" w:line="276" w:lineRule="auto"/>
        <w:jc w:val="both"/>
        <w:rPr>
          <w:rFonts w:ascii="Verdana" w:eastAsia="Century Gothic" w:hAnsi="Verdana" w:cs="Century Gothic"/>
        </w:rPr>
      </w:pPr>
      <w:r w:rsidRPr="007C1C94">
        <w:rPr>
          <w:rFonts w:ascii="Verdana" w:eastAsia="Century Gothic" w:hAnsi="Verdana" w:cs="Century Gothic"/>
        </w:rPr>
        <w:t>De acuerdo con el contenido de su solicitud, esta Agencia resolverá</w:t>
      </w:r>
      <w:r w:rsidR="00C94F75">
        <w:rPr>
          <w:rFonts w:ascii="Verdana" w:eastAsia="Century Gothic" w:hAnsi="Verdana" w:cs="Century Gothic"/>
        </w:rPr>
        <w:t xml:space="preserve"> </w:t>
      </w:r>
      <w:r w:rsidR="00240D33">
        <w:rPr>
          <w:rFonts w:ascii="Verdana" w:eastAsia="Century Gothic" w:hAnsi="Verdana" w:cs="Century Gothic"/>
        </w:rPr>
        <w:t>el</w:t>
      </w:r>
      <w:r w:rsidRPr="007C1C94">
        <w:rPr>
          <w:rFonts w:ascii="Verdana" w:eastAsia="Century Gothic" w:hAnsi="Verdana" w:cs="Century Gothic"/>
        </w:rPr>
        <w:t xml:space="preserve"> siguiente problema jurídico:</w:t>
      </w:r>
      <w:r w:rsidR="00240D33">
        <w:rPr>
          <w:rFonts w:ascii="Verdana" w:eastAsia="Century Gothic" w:hAnsi="Verdana" w:cs="Century Gothic"/>
        </w:rPr>
        <w:t xml:space="preserve"> </w:t>
      </w:r>
      <w:r w:rsidR="009D00EF">
        <w:rPr>
          <w:rFonts w:ascii="Verdana" w:eastAsia="Century Gothic" w:hAnsi="Verdana" w:cs="Century Gothic"/>
        </w:rPr>
        <w:t>¿</w:t>
      </w:r>
      <w:r w:rsidR="00A07DE1">
        <w:rPr>
          <w:rFonts w:ascii="Verdana" w:eastAsia="Century Gothic" w:hAnsi="Verdana" w:cs="Century Gothic"/>
        </w:rPr>
        <w:t>Cómo se maneja la información reservada o con datos sensibles en la contratación pública</w:t>
      </w:r>
      <w:r w:rsidR="003B07D1">
        <w:rPr>
          <w:rFonts w:ascii="Verdana" w:eastAsia="Century Gothic" w:hAnsi="Verdana" w:cs="Century Gothic"/>
        </w:rPr>
        <w:t>?</w:t>
      </w:r>
    </w:p>
    <w:p w14:paraId="57640A16" w14:textId="77777777" w:rsidR="00871B59" w:rsidRPr="007C1C94" w:rsidRDefault="00871B59" w:rsidP="00871B59">
      <w:pPr>
        <w:spacing w:after="0" w:line="276" w:lineRule="auto"/>
        <w:jc w:val="both"/>
        <w:rPr>
          <w:rFonts w:ascii="Verdana" w:eastAsia="Calibri" w:hAnsi="Verdana" w:cs="Arial"/>
          <w:lang w:val="es-ES"/>
        </w:rPr>
      </w:pPr>
    </w:p>
    <w:p w14:paraId="33E3D3F8" w14:textId="07998D1D" w:rsidR="00871B59" w:rsidRPr="007C1C9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C1C94">
        <w:rPr>
          <w:rFonts w:ascii="Verdana" w:eastAsia="Century Gothic" w:hAnsi="Verdana" w:cs="Century Gothic"/>
          <w:b/>
          <w:bCs/>
          <w:lang w:val="es-ES"/>
        </w:rPr>
        <w:t>Respuesta:</w:t>
      </w:r>
    </w:p>
    <w:p w14:paraId="4647B31A" w14:textId="77777777" w:rsidR="00871B59" w:rsidRPr="007C1C94"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67EFD" w14:paraId="14984B9D" w14:textId="77777777" w:rsidTr="002607A7">
        <w:tc>
          <w:tcPr>
            <w:tcW w:w="8828" w:type="dxa"/>
            <w:shd w:val="clear" w:color="auto" w:fill="auto"/>
          </w:tcPr>
          <w:p w14:paraId="7A6A72B7" w14:textId="6191CFAB" w:rsidR="004F182B" w:rsidRDefault="00F41368" w:rsidP="00DA1D81">
            <w:pPr>
              <w:spacing w:line="276" w:lineRule="auto"/>
              <w:jc w:val="both"/>
              <w:rPr>
                <w:rFonts w:ascii="Verdana" w:eastAsia="Calibri" w:hAnsi="Verdana" w:cs="Arial"/>
                <w:lang w:val="es-ES_tradnl" w:eastAsia="es-ES"/>
              </w:rPr>
            </w:pPr>
            <w:r>
              <w:rPr>
                <w:rFonts w:ascii="Verdana" w:eastAsia="Calibri" w:hAnsi="Verdana" w:cs="Arial"/>
                <w:lang w:val="es-ES_tradnl" w:eastAsia="es-ES"/>
              </w:rPr>
              <w:t>E</w:t>
            </w:r>
            <w:r w:rsidRPr="00F41368">
              <w:rPr>
                <w:rFonts w:ascii="Verdana" w:eastAsia="Calibri" w:hAnsi="Verdana" w:cs="Arial"/>
                <w:lang w:val="es-ES_tradnl" w:eastAsia="es-ES"/>
              </w:rPr>
              <w:t xml:space="preserve">s posible que el constituyente o el legislador establezcan reservas 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w:t>
            </w:r>
            <w:r>
              <w:rPr>
                <w:rFonts w:ascii="Verdana" w:eastAsia="Calibri" w:hAnsi="Verdana" w:cs="Arial"/>
                <w:lang w:val="es-ES_tradnl" w:eastAsia="es-ES"/>
              </w:rPr>
              <w:t>“</w:t>
            </w:r>
            <w:r w:rsidRPr="00F41368">
              <w:rPr>
                <w:rFonts w:ascii="Verdana" w:eastAsia="Calibri" w:hAnsi="Verdana" w:cs="Arial"/>
                <w:lang w:val="es-ES_tradnl" w:eastAsia="es-ES"/>
              </w:rPr>
              <w:t>Excepciones acceso a la información</w:t>
            </w:r>
            <w:r>
              <w:rPr>
                <w:rFonts w:ascii="Verdana" w:eastAsia="Calibri" w:hAnsi="Verdana" w:cs="Arial"/>
                <w:lang w:val="es-ES_tradnl" w:eastAsia="es-ES"/>
              </w:rPr>
              <w:t>”</w:t>
            </w:r>
            <w:r w:rsidRPr="00F41368">
              <w:rPr>
                <w:rFonts w:ascii="Verdana" w:eastAsia="Calibri" w:hAnsi="Verdana" w:cs="Arial"/>
                <w:lang w:val="es-ES_tradnl" w:eastAsia="es-ES"/>
              </w:rPr>
              <w:t>.</w:t>
            </w:r>
          </w:p>
          <w:p w14:paraId="680BFC7E" w14:textId="77777777" w:rsidR="00F41368" w:rsidRDefault="00F41368" w:rsidP="00DA1D81">
            <w:pPr>
              <w:spacing w:line="276" w:lineRule="auto"/>
              <w:jc w:val="both"/>
              <w:rPr>
                <w:rFonts w:ascii="Verdana" w:eastAsia="Calibri" w:hAnsi="Verdana" w:cs="Arial"/>
                <w:lang w:val="es-ES_tradnl" w:eastAsia="es-ES"/>
              </w:rPr>
            </w:pPr>
          </w:p>
          <w:p w14:paraId="47AEB666" w14:textId="608CC07E" w:rsidR="00AF36DC" w:rsidRPr="007C1C94" w:rsidRDefault="00240D33" w:rsidP="00537366">
            <w:pPr>
              <w:spacing w:line="276" w:lineRule="auto"/>
              <w:jc w:val="both"/>
              <w:rPr>
                <w:rFonts w:ascii="Verdana" w:eastAsia="Calibri" w:hAnsi="Verdana" w:cs="Arial"/>
                <w:lang w:val="es-ES"/>
              </w:rPr>
            </w:pPr>
            <w:r>
              <w:rPr>
                <w:rFonts w:ascii="Verdana" w:eastAsia="Calibri" w:hAnsi="Verdana" w:cs="Arial"/>
                <w:lang w:val="es-ES_tradnl" w:eastAsia="es-ES"/>
              </w:rPr>
              <w:t>Finalmente, r</w:t>
            </w:r>
            <w:r w:rsidR="00CE034A">
              <w:rPr>
                <w:rFonts w:ascii="Verdana" w:eastAsia="Calibri" w:hAnsi="Verdana" w:cs="Arial"/>
                <w:lang w:val="es-ES_tradnl" w:eastAsia="es-ES"/>
              </w:rPr>
              <w:t>especto de su pregunta</w:t>
            </w:r>
            <w:r>
              <w:rPr>
                <w:rFonts w:ascii="Verdana" w:eastAsia="Calibri" w:hAnsi="Verdana" w:cs="Arial"/>
                <w:lang w:val="es-ES_tradnl" w:eastAsia="es-ES"/>
              </w:rPr>
              <w:t xml:space="preserve"> del</w:t>
            </w:r>
            <w:r w:rsidR="00CE034A">
              <w:rPr>
                <w:rFonts w:ascii="Verdana" w:eastAsia="Calibri" w:hAnsi="Verdana" w:cs="Arial"/>
                <w:lang w:val="es-ES_tradnl" w:eastAsia="es-ES"/>
              </w:rPr>
              <w:t xml:space="preserve"> </w:t>
            </w:r>
            <w:r>
              <w:rPr>
                <w:rFonts w:ascii="Verdana" w:eastAsia="Calibri" w:hAnsi="Verdana" w:cs="Arial"/>
                <w:lang w:val="es-ES_tradnl" w:eastAsia="es-ES"/>
              </w:rPr>
              <w:t>literal d)</w:t>
            </w:r>
            <w:r w:rsidR="00CE034A">
              <w:rPr>
                <w:rFonts w:ascii="Verdana" w:eastAsia="Calibri" w:hAnsi="Verdana" w:cs="Arial"/>
                <w:lang w:val="es-ES_tradnl" w:eastAsia="es-ES"/>
              </w:rPr>
              <w:t>, adjuntamos respuesta emitida por la Subdirección de Información y Desarrollo Tecnológico</w:t>
            </w:r>
            <w:r w:rsidR="00BF039E">
              <w:rPr>
                <w:rFonts w:ascii="Verdana" w:eastAsia="Calibri" w:hAnsi="Verdana" w:cs="Arial"/>
                <w:lang w:val="es-ES_tradnl" w:eastAsia="es-ES"/>
              </w:rPr>
              <w:t xml:space="preserve"> de esta Agencia</w:t>
            </w:r>
            <w:r w:rsidR="00CE034A">
              <w:rPr>
                <w:rFonts w:ascii="Verdana" w:eastAsia="Calibri" w:hAnsi="Verdana" w:cs="Arial"/>
                <w:lang w:val="es-ES_tradnl" w:eastAsia="es-ES"/>
              </w:rPr>
              <w:t>.</w:t>
            </w:r>
            <w:r w:rsidR="00537366">
              <w:rPr>
                <w:rFonts w:ascii="Verdana" w:eastAsia="Calibri" w:hAnsi="Verdana" w:cs="Arial"/>
                <w:lang w:val="es-ES_tradnl" w:eastAsia="es-ES"/>
              </w:rPr>
              <w:t xml:space="preserve"> También se debe tener en cuenta que sus preguntas de los literales a), b), c), e), g) y h) fueron remitidos por esta Subdirección a la Superintendencia de Industria y Comercio.</w:t>
            </w:r>
          </w:p>
        </w:tc>
      </w:tr>
    </w:tbl>
    <w:p w14:paraId="3199705F" w14:textId="77777777" w:rsidR="00871B59" w:rsidRPr="00567EFD" w:rsidRDefault="00871B59" w:rsidP="00871B59">
      <w:pPr>
        <w:tabs>
          <w:tab w:val="left" w:pos="142"/>
          <w:tab w:val="left" w:pos="284"/>
        </w:tabs>
        <w:spacing w:after="0" w:line="276" w:lineRule="auto"/>
        <w:jc w:val="both"/>
        <w:rPr>
          <w:rFonts w:ascii="Verdana" w:eastAsia="Century Gothic" w:hAnsi="Verdana" w:cs="Century Gothic"/>
          <w:b/>
          <w:bCs/>
        </w:rPr>
      </w:pPr>
    </w:p>
    <w:p w14:paraId="6678B80A" w14:textId="20A5C324" w:rsidR="00871B59" w:rsidRPr="007C1C9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C1C94">
        <w:rPr>
          <w:rFonts w:ascii="Verdana" w:eastAsia="Century Gothic" w:hAnsi="Verdana" w:cs="Century Gothic"/>
          <w:b/>
          <w:bCs/>
          <w:lang w:val="es-ES"/>
        </w:rPr>
        <w:t>Razones de la</w:t>
      </w:r>
      <w:r w:rsidR="008C2AB1">
        <w:rPr>
          <w:rFonts w:ascii="Verdana" w:eastAsia="Century Gothic" w:hAnsi="Verdana" w:cs="Century Gothic"/>
          <w:b/>
          <w:bCs/>
          <w:lang w:val="es-ES"/>
        </w:rPr>
        <w:t xml:space="preserve"> </w:t>
      </w:r>
      <w:r w:rsidRPr="007C1C94">
        <w:rPr>
          <w:rFonts w:ascii="Verdana" w:eastAsia="Century Gothic" w:hAnsi="Verdana" w:cs="Century Gothic"/>
          <w:b/>
          <w:bCs/>
          <w:lang w:val="es-ES"/>
        </w:rPr>
        <w:t>respuesta:</w:t>
      </w:r>
    </w:p>
    <w:p w14:paraId="40393512" w14:textId="77777777" w:rsidR="00871B59" w:rsidRPr="007C1C94" w:rsidRDefault="00871B59" w:rsidP="00871B59">
      <w:pPr>
        <w:spacing w:after="0" w:line="276" w:lineRule="auto"/>
        <w:jc w:val="both"/>
        <w:rPr>
          <w:rFonts w:ascii="Verdana" w:eastAsia="Calibri" w:hAnsi="Verdana" w:cs="Arial"/>
          <w:lang w:val="es-ES"/>
        </w:rPr>
      </w:pPr>
    </w:p>
    <w:p w14:paraId="6DB5BA6B" w14:textId="77777777" w:rsidR="00871B59" w:rsidRPr="007C1C94" w:rsidRDefault="00871B59" w:rsidP="00871B59">
      <w:pPr>
        <w:spacing w:after="0" w:line="276" w:lineRule="auto"/>
        <w:jc w:val="both"/>
        <w:rPr>
          <w:rFonts w:ascii="Verdana" w:eastAsia="Calibri" w:hAnsi="Verdana" w:cs="Arial"/>
          <w:lang w:val="es-ES"/>
        </w:rPr>
      </w:pPr>
      <w:r w:rsidRPr="007C1C94">
        <w:rPr>
          <w:rFonts w:ascii="Verdana" w:eastAsia="Calibri" w:hAnsi="Verdana" w:cs="Arial"/>
          <w:lang w:val="es-ES"/>
        </w:rPr>
        <w:t xml:space="preserve">Lo anterior se sustenta en las siguientes consideraciones: </w:t>
      </w:r>
    </w:p>
    <w:p w14:paraId="524C4581" w14:textId="77777777" w:rsidR="00871B59" w:rsidRDefault="00871B59" w:rsidP="00871B59">
      <w:pPr>
        <w:widowControl w:val="0"/>
        <w:autoSpaceDE w:val="0"/>
        <w:autoSpaceDN w:val="0"/>
        <w:spacing w:after="0" w:line="276" w:lineRule="auto"/>
        <w:jc w:val="both"/>
        <w:rPr>
          <w:rFonts w:ascii="Verdana" w:eastAsia="Calibri" w:hAnsi="Verdana" w:cs="Arial"/>
          <w:lang w:val="es-ES"/>
        </w:rPr>
      </w:pPr>
    </w:p>
    <w:p w14:paraId="1CB2D22A" w14:textId="77777777" w:rsidR="00FD3670" w:rsidRPr="00A9405A" w:rsidRDefault="00FD3670" w:rsidP="46576C03">
      <w:pPr>
        <w:spacing w:after="120" w:line="276" w:lineRule="auto"/>
        <w:jc w:val="both"/>
        <w:rPr>
          <w:rFonts w:ascii="Verdana" w:eastAsia="Calibri" w:hAnsi="Verdana" w:cs="Arial"/>
          <w:color w:val="000000" w:themeColor="text1"/>
          <w:lang w:val="es-ES" w:eastAsia="es-ES"/>
        </w:rPr>
      </w:pPr>
      <w:r w:rsidRPr="46576C03">
        <w:rPr>
          <w:rFonts w:ascii="Verdana" w:eastAsia="Calibri" w:hAnsi="Verdana" w:cs="Arial"/>
          <w:lang w:val="es-ES" w:eastAsia="es-ES"/>
        </w:rPr>
        <w:lastRenderedPageBreak/>
        <w:t xml:space="preserve">Uno de los postulados más importantes de un Estado Social y Democrático de Derecho es el principio de </w:t>
      </w:r>
      <w:r w:rsidRPr="46576C03">
        <w:rPr>
          <w:rFonts w:ascii="Verdana" w:eastAsia="Calibri" w:hAnsi="Verdana" w:cs="Arial"/>
          <w:i/>
          <w:iCs/>
          <w:lang w:val="es-ES" w:eastAsia="es-ES"/>
        </w:rPr>
        <w:t>publicidad</w:t>
      </w:r>
      <w:r w:rsidRPr="46576C03">
        <w:rPr>
          <w:rFonts w:ascii="Verdana" w:eastAsia="Calibri" w:hAnsi="Verdana" w:cs="Arial"/>
          <w:lang w:val="es-ES" w:eastAsia="es-ES"/>
        </w:rPr>
        <w:t xml:space="preserve">, pues este permite que las actuaciones de las autoridades gocen de visibilidad. La Constitución Política de 1991 consagra en varios artículos la publicidad como un principio rector del Estado colombiano. Entre </w:t>
      </w:r>
      <w:r w:rsidRPr="46576C03">
        <w:rPr>
          <w:rFonts w:ascii="Verdana" w:eastAsia="Calibri" w:hAnsi="Verdana" w:cs="Arial"/>
          <w:color w:val="000000" w:themeColor="text1"/>
          <w:lang w:val="es-ES" w:eastAsia="es-ES"/>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13355D1E" w14:textId="77777777" w:rsidR="00FD3670" w:rsidRPr="00A9405A" w:rsidRDefault="00FD3670" w:rsidP="00FD3670">
      <w:pPr>
        <w:spacing w:after="0" w:line="276" w:lineRule="auto"/>
        <w:ind w:firstLine="708"/>
        <w:jc w:val="both"/>
        <w:rPr>
          <w:rFonts w:ascii="Verdana" w:eastAsia="Calibri" w:hAnsi="Verdana" w:cs="Arial"/>
          <w:color w:val="000000" w:themeColor="text1"/>
          <w:lang w:val="es-ES_tradnl" w:eastAsia="es-ES_tradnl"/>
        </w:rPr>
      </w:pPr>
      <w:r w:rsidRPr="00A9405A">
        <w:rPr>
          <w:rFonts w:ascii="Verdana" w:eastAsia="Calibri" w:hAnsi="Verdana" w:cs="Arial"/>
          <w:color w:val="000000" w:themeColor="text1"/>
          <w:lang w:val="es-ES_tradnl" w:eastAsia="es-ES_tradnl"/>
        </w:rPr>
        <w:t>En tal perspectiva, la Corte Constitucional ha señalado que el principio de publicidad es la garantía que tienen las personas de conocer las actuaciones judiciales y administrativas. De este modo, explica:</w:t>
      </w:r>
    </w:p>
    <w:p w14:paraId="014202CC" w14:textId="77777777" w:rsidR="00FD3670" w:rsidRPr="00A9405A" w:rsidRDefault="00FD3670" w:rsidP="00FD3670">
      <w:pPr>
        <w:spacing w:after="0" w:line="276" w:lineRule="auto"/>
        <w:ind w:firstLine="709"/>
        <w:jc w:val="both"/>
        <w:rPr>
          <w:rFonts w:ascii="Verdana" w:eastAsia="Calibri" w:hAnsi="Verdana" w:cs="Arial"/>
          <w:color w:val="000000" w:themeColor="text1"/>
          <w:lang w:val="es-ES_tradnl" w:eastAsia="es-ES_tradnl"/>
        </w:rPr>
      </w:pPr>
    </w:p>
    <w:p w14:paraId="5C71F6BE" w14:textId="77777777" w:rsidR="00FD3670" w:rsidRPr="00A9405A" w:rsidRDefault="00FD3670" w:rsidP="46576C03">
      <w:pPr>
        <w:tabs>
          <w:tab w:val="left" w:pos="3885"/>
        </w:tabs>
        <w:spacing w:after="0" w:line="240" w:lineRule="auto"/>
        <w:ind w:left="709" w:right="709"/>
        <w:jc w:val="both"/>
        <w:rPr>
          <w:rFonts w:ascii="Verdana" w:eastAsia="Times New Roman" w:hAnsi="Verdana" w:cs="Arial"/>
          <w:color w:val="000000" w:themeColor="text1"/>
          <w:sz w:val="20"/>
          <w:szCs w:val="20"/>
          <w:lang w:val="es-ES" w:eastAsia="es-ES"/>
        </w:rPr>
      </w:pPr>
      <w:r w:rsidRPr="46576C03">
        <w:rPr>
          <w:rFonts w:ascii="Verdana" w:eastAsia="Times New Roman" w:hAnsi="Verdana" w:cs="Arial"/>
          <w:color w:val="000000" w:themeColor="text1"/>
          <w:sz w:val="20"/>
          <w:szCs w:val="20"/>
          <w:lang w:val="es-ES" w:eastAsia="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B13BE6E" w14:textId="77777777" w:rsidR="00FD3670" w:rsidRPr="00A9405A" w:rsidRDefault="00FD3670" w:rsidP="00FD3670">
      <w:pPr>
        <w:tabs>
          <w:tab w:val="left" w:pos="3885"/>
        </w:tabs>
        <w:spacing w:after="0" w:line="240" w:lineRule="auto"/>
        <w:ind w:left="709" w:right="709"/>
        <w:jc w:val="both"/>
        <w:rPr>
          <w:rFonts w:ascii="Verdana" w:eastAsia="Times New Roman" w:hAnsi="Verdana" w:cs="Arial"/>
          <w:color w:val="000000" w:themeColor="text1"/>
          <w:sz w:val="20"/>
          <w:szCs w:val="20"/>
          <w:lang w:val="es-ES_tradnl" w:eastAsia="es-ES_tradnl"/>
        </w:rPr>
      </w:pPr>
    </w:p>
    <w:p w14:paraId="5F7D3403" w14:textId="77777777" w:rsidR="00FD3670" w:rsidRPr="00A9405A" w:rsidRDefault="00FD3670" w:rsidP="46576C03">
      <w:pPr>
        <w:tabs>
          <w:tab w:val="left" w:pos="3885"/>
          <w:tab w:val="left" w:pos="8222"/>
        </w:tabs>
        <w:spacing w:after="0" w:line="240" w:lineRule="auto"/>
        <w:ind w:left="709" w:right="709"/>
        <w:jc w:val="both"/>
        <w:rPr>
          <w:rFonts w:ascii="Verdana" w:eastAsia="Times New Roman" w:hAnsi="Verdana" w:cs="Arial"/>
          <w:color w:val="000000" w:themeColor="text1"/>
          <w:sz w:val="20"/>
          <w:szCs w:val="20"/>
          <w:lang w:val="es-ES" w:eastAsia="es-ES"/>
        </w:rPr>
      </w:pPr>
      <w:r w:rsidRPr="46576C03">
        <w:rPr>
          <w:rFonts w:ascii="Verdana" w:eastAsia="Times New Roman" w:hAnsi="Verdana" w:cs="Arial"/>
          <w:color w:val="000000" w:themeColor="text1"/>
          <w:sz w:val="20"/>
          <w:szCs w:val="20"/>
          <w:lang w:val="es-ES" w:eastAsia="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46576C03">
        <w:rPr>
          <w:rFonts w:ascii="Verdana" w:eastAsia="Calibri" w:hAnsi="Verdana" w:cs="Arial"/>
          <w:color w:val="000000" w:themeColor="text1"/>
          <w:sz w:val="20"/>
          <w:szCs w:val="20"/>
          <w:vertAlign w:val="superscript"/>
          <w:lang w:val="es-ES" w:eastAsia="es-ES"/>
        </w:rPr>
        <w:footnoteReference w:id="2"/>
      </w:r>
      <w:r w:rsidRPr="46576C03">
        <w:rPr>
          <w:rFonts w:ascii="Verdana" w:eastAsia="Calibri" w:hAnsi="Verdana" w:cs="Arial"/>
          <w:color w:val="000000" w:themeColor="text1"/>
          <w:sz w:val="20"/>
          <w:szCs w:val="20"/>
          <w:lang w:val="es-ES" w:eastAsia="es-ES"/>
        </w:rPr>
        <w:t>.</w:t>
      </w:r>
    </w:p>
    <w:p w14:paraId="61413DD1" w14:textId="77777777" w:rsidR="00FD3670" w:rsidRPr="00A9405A" w:rsidRDefault="00FD3670" w:rsidP="00FD3670">
      <w:pPr>
        <w:spacing w:after="0" w:line="276" w:lineRule="auto"/>
        <w:jc w:val="both"/>
        <w:rPr>
          <w:rFonts w:ascii="Verdana" w:eastAsia="Calibri" w:hAnsi="Verdana" w:cs="Arial"/>
          <w:color w:val="000000" w:themeColor="text1"/>
          <w:lang w:val="es-ES_tradnl" w:eastAsia="es-ES_tradnl"/>
        </w:rPr>
      </w:pPr>
    </w:p>
    <w:p w14:paraId="1EED55E4" w14:textId="77777777" w:rsidR="00FD3670" w:rsidRPr="00A9405A" w:rsidRDefault="00FD3670" w:rsidP="46576C03">
      <w:pPr>
        <w:spacing w:after="120" w:line="276" w:lineRule="auto"/>
        <w:ind w:firstLine="709"/>
        <w:jc w:val="both"/>
        <w:rPr>
          <w:rFonts w:ascii="Verdana" w:eastAsia="Calibri" w:hAnsi="Verdana" w:cs="Arial"/>
          <w:color w:val="000000" w:themeColor="text1"/>
          <w:lang w:val="es-ES" w:eastAsia="es-ES"/>
        </w:rPr>
      </w:pPr>
      <w:r w:rsidRPr="46576C03">
        <w:rPr>
          <w:rFonts w:ascii="Verdana" w:eastAsia="Calibri" w:hAnsi="Verdana" w:cs="Arial"/>
          <w:color w:val="000000" w:themeColor="text1"/>
          <w:lang w:val="es-ES" w:eastAsia="es-ES"/>
        </w:rPr>
        <w:t xml:space="preserve">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 en adelante SECOP– como un mecanismo que “contará con la información oficial de la contratación </w:t>
      </w:r>
      <w:r w:rsidRPr="46576C03">
        <w:rPr>
          <w:rFonts w:ascii="Verdana" w:eastAsia="Calibri" w:hAnsi="Verdana" w:cs="Arial"/>
          <w:color w:val="000000" w:themeColor="text1"/>
          <w:lang w:val="es-ES" w:eastAsia="es-ES"/>
        </w:rPr>
        <w:lastRenderedPageBreak/>
        <w:t>realizada con dineros públicos, para lo cual establecerá los patrones a que haya lugar y se encargará de su difusión a través de canales electrónicos”</w:t>
      </w:r>
      <w:r w:rsidRPr="46576C03">
        <w:rPr>
          <w:rFonts w:ascii="Verdana" w:eastAsia="Calibri" w:hAnsi="Verdana" w:cs="Arial"/>
          <w:color w:val="000000" w:themeColor="text1"/>
          <w:vertAlign w:val="superscript"/>
          <w:lang w:val="es-ES" w:eastAsia="es-ES"/>
        </w:rPr>
        <w:footnoteReference w:id="3"/>
      </w:r>
      <w:r w:rsidRPr="46576C03">
        <w:rPr>
          <w:rFonts w:ascii="Verdana" w:eastAsia="Calibri" w:hAnsi="Verdana" w:cs="Arial"/>
          <w:color w:val="000000" w:themeColor="text1"/>
          <w:lang w:val="es-ES" w:eastAsia="es-ES"/>
        </w:rPr>
        <w:t xml:space="preserve">. </w:t>
      </w:r>
    </w:p>
    <w:p w14:paraId="1204D2F0" w14:textId="77777777" w:rsidR="00FD3670" w:rsidRPr="00A9405A" w:rsidRDefault="00FD3670" w:rsidP="00FD3670">
      <w:pPr>
        <w:spacing w:after="120" w:line="276" w:lineRule="auto"/>
        <w:ind w:firstLine="708"/>
        <w:jc w:val="both"/>
        <w:rPr>
          <w:rFonts w:ascii="Verdana" w:eastAsia="Times New Roman" w:hAnsi="Verdana" w:cs="Arial"/>
          <w:lang w:eastAsia="es-CO"/>
        </w:rPr>
      </w:pPr>
      <w:r w:rsidRPr="00A9405A">
        <w:rPr>
          <w:rFonts w:ascii="Verdana" w:eastAsia="Times New Roman" w:hAnsi="Verdana" w:cs="Arial"/>
          <w:lang w:eastAsia="es-CO"/>
        </w:rPr>
        <w:t xml:space="preserve">De otra parte, la Ley 1712 de 2014, </w:t>
      </w:r>
      <w:r w:rsidRPr="00A9405A">
        <w:rPr>
          <w:rFonts w:ascii="Verdana" w:eastAsia="Calibri" w:hAnsi="Verdana" w:cs="Arial"/>
          <w:lang w:eastAsia="es-ES_tradnl"/>
        </w:rPr>
        <w:t>“P</w:t>
      </w:r>
      <w:r w:rsidRPr="00A9405A">
        <w:rPr>
          <w:rFonts w:ascii="Verdana" w:eastAsia="Times New Roman" w:hAnsi="Verdana" w:cs="Arial"/>
          <w:lang w:eastAsia="es-CO"/>
        </w:rPr>
        <w:t>or medio de la cual se crea la Ley de Transparencia y del Derecho de Acceso a la Información Pública Nacional y se dictan otras disposiciones</w:t>
      </w:r>
      <w:r w:rsidRPr="00A9405A">
        <w:rPr>
          <w:rFonts w:ascii="Verdana" w:eastAsia="Calibri" w:hAnsi="Verdana" w:cs="Arial"/>
          <w:lang w:eastAsia="es-ES_tradnl"/>
        </w:rPr>
        <w:t>”</w:t>
      </w:r>
      <w:r w:rsidRPr="00A9405A">
        <w:rPr>
          <w:rFonts w:ascii="Verdana" w:eastAsia="Times New Roman" w:hAnsi="Verdana" w:cs="Arial"/>
          <w:lang w:eastAsia="es-CO"/>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A9405A">
        <w:rPr>
          <w:rFonts w:ascii="Verdana" w:eastAsia="Times New Roman" w:hAnsi="Verdana" w:cs="Arial"/>
          <w:vertAlign w:val="superscript"/>
          <w:lang w:eastAsia="es-CO"/>
        </w:rPr>
        <w:footnoteReference w:id="4"/>
      </w:r>
      <w:r w:rsidRPr="00A9405A">
        <w:rPr>
          <w:rFonts w:ascii="Verdana" w:eastAsia="Times New Roman" w:hAnsi="Verdana" w:cs="Arial"/>
          <w:lang w:eastAsia="es-CO"/>
        </w:rPr>
        <w:t>. El principio de transparencia en la información alude al deber de los sujetos de proporcionar y facilitar el acceso a la misma en los términos más amplios posibles, a través de los medios y procedimientos que establezca la</w:t>
      </w:r>
      <w:r w:rsidRPr="00A9405A">
        <w:rPr>
          <w:rFonts w:ascii="Verdana" w:eastAsia="Times New Roman" w:hAnsi="Verdana" w:cs="Arial"/>
          <w:spacing w:val="-2"/>
          <w:lang w:eastAsia="es-CO"/>
        </w:rPr>
        <w:t xml:space="preserve"> </w:t>
      </w:r>
      <w:r w:rsidRPr="00A9405A">
        <w:rPr>
          <w:rFonts w:ascii="Verdana" w:eastAsia="Times New Roman" w:hAnsi="Verdana" w:cs="Arial"/>
          <w:lang w:eastAsia="es-CO"/>
        </w:rPr>
        <w:t>ley</w:t>
      </w:r>
      <w:r w:rsidRPr="00A9405A">
        <w:rPr>
          <w:rFonts w:ascii="Verdana" w:eastAsia="Times New Roman" w:hAnsi="Verdana" w:cs="Arial"/>
          <w:vertAlign w:val="superscript"/>
          <w:lang w:eastAsia="es-CO"/>
        </w:rPr>
        <w:footnoteReference w:id="5"/>
      </w:r>
      <w:r w:rsidRPr="00A9405A">
        <w:rPr>
          <w:rFonts w:ascii="Verdana" w:eastAsia="Times New Roman" w:hAnsi="Verdana" w:cs="Arial"/>
          <w:lang w:eastAsia="es-CO"/>
        </w:rPr>
        <w:t xml:space="preserve">. Finalmente, el principio de buena fe hace </w:t>
      </w:r>
      <w:r w:rsidRPr="00A9405A">
        <w:rPr>
          <w:rFonts w:ascii="Verdana" w:eastAsia="Times New Roman" w:hAnsi="Verdana" w:cs="Arial"/>
          <w:lang w:eastAsia="es-CO"/>
        </w:rPr>
        <w:lastRenderedPageBreak/>
        <w:t>referencia al deber de todo sujeto obligado de cumplir con las obligaciones derivadas del derecho de acceso a la información pública con motivación honesta, leal y desprovista de cualquier intención dolosa o culposa</w:t>
      </w:r>
      <w:r w:rsidRPr="00A9405A">
        <w:rPr>
          <w:rFonts w:ascii="Verdana" w:eastAsia="Times New Roman" w:hAnsi="Verdana" w:cs="Arial"/>
          <w:vertAlign w:val="superscript"/>
          <w:lang w:eastAsia="es-CO"/>
        </w:rPr>
        <w:footnoteReference w:id="6"/>
      </w:r>
      <w:r w:rsidRPr="00A9405A">
        <w:rPr>
          <w:rFonts w:ascii="Verdana" w:eastAsia="Times New Roman" w:hAnsi="Verdana" w:cs="Arial"/>
          <w:lang w:eastAsia="es-CO"/>
        </w:rPr>
        <w:t xml:space="preserve">. </w:t>
      </w:r>
    </w:p>
    <w:p w14:paraId="5E1D031F" w14:textId="77777777" w:rsidR="00FD3670" w:rsidRPr="00A9405A" w:rsidRDefault="00FD3670" w:rsidP="00FD3670">
      <w:pPr>
        <w:spacing w:after="120" w:line="276" w:lineRule="auto"/>
        <w:ind w:firstLine="709"/>
        <w:jc w:val="both"/>
        <w:rPr>
          <w:rFonts w:ascii="Verdana" w:eastAsia="Times New Roman" w:hAnsi="Verdana" w:cs="Arial"/>
          <w:lang w:eastAsia="es-CO"/>
        </w:rPr>
      </w:pPr>
      <w:r w:rsidRPr="00A9405A">
        <w:rPr>
          <w:rFonts w:ascii="Verdana" w:eastAsia="Times New Roman" w:hAnsi="Verdana" w:cs="Arial"/>
          <w:lang w:eastAsia="es-CO"/>
        </w:rPr>
        <w:t xml:space="preserve">La citada ley establece, en el literal e) del artículo 9, que los </w:t>
      </w:r>
      <w:r w:rsidRPr="00A9405A">
        <w:rPr>
          <w:rFonts w:ascii="Verdana" w:eastAsia="Times New Roman" w:hAnsi="Verdana" w:cs="Arial"/>
          <w:i/>
          <w:iCs/>
          <w:lang w:eastAsia="es-CO"/>
        </w:rPr>
        <w:t xml:space="preserve">sujetos obligados </w:t>
      </w:r>
      <w:r w:rsidRPr="00A9405A">
        <w:rPr>
          <w:rFonts w:ascii="Verdana" w:eastAsia="Times New Roman" w:hAnsi="Verdana" w:cs="Arial"/>
          <w:lang w:eastAsia="es-CO"/>
        </w:rPr>
        <w:t>deben publicar la información relativa a su contratación</w:t>
      </w:r>
      <w:r w:rsidRPr="00A9405A">
        <w:rPr>
          <w:rFonts w:ascii="Verdana" w:eastAsia="Times New Roman" w:hAnsi="Verdana" w:cs="Arial"/>
          <w:vertAlign w:val="superscript"/>
          <w:lang w:eastAsia="es-CO"/>
        </w:rPr>
        <w:footnoteReference w:id="7"/>
      </w:r>
      <w:r w:rsidRPr="00A9405A">
        <w:rPr>
          <w:rFonts w:ascii="Verdana" w:eastAsia="Times New Roman" w:hAnsi="Verdana" w:cs="Arial"/>
          <w:lang w:eastAsia="es-CO"/>
        </w:rPr>
        <w:t xml:space="preserve">. </w:t>
      </w:r>
      <w:r w:rsidRPr="00A9405A">
        <w:rPr>
          <w:rFonts w:ascii="Verdana" w:eastAsia="Arial MT" w:hAnsi="Verdana" w:cs="Arial"/>
          <w:lang w:val="es-ES" w:eastAsia="es-ES_tradnl"/>
        </w:rPr>
        <w:t xml:space="preserve">El artículo 5 </w:t>
      </w:r>
      <w:r w:rsidRPr="00A9405A">
        <w:rPr>
          <w:rFonts w:ascii="Verdana" w:eastAsia="Arial MT" w:hAnsi="Verdana" w:cs="Arial"/>
          <w:i/>
          <w:iCs/>
          <w:lang w:val="es-ES" w:eastAsia="es-ES_tradnl"/>
        </w:rPr>
        <w:t>ibidem</w:t>
      </w:r>
      <w:r w:rsidRPr="00A9405A">
        <w:rPr>
          <w:rFonts w:ascii="Verdana" w:eastAsia="Arial MT" w:hAnsi="Verdana" w:cs="Arial"/>
          <w:lang w:val="es-ES" w:eastAsia="es-ES_tradnl"/>
        </w:rPr>
        <w:t>,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r w:rsidRPr="00A9405A">
        <w:rPr>
          <w:rFonts w:ascii="Verdana" w:eastAsia="Times New Roman" w:hAnsi="Verdana" w:cs="Arial"/>
          <w:vertAlign w:val="superscript"/>
          <w:lang w:eastAsia="es-CO"/>
        </w:rPr>
        <w:footnoteReference w:id="8"/>
      </w:r>
      <w:r w:rsidRPr="00A9405A">
        <w:rPr>
          <w:rFonts w:ascii="Verdana" w:eastAsia="Arial MT" w:hAnsi="Verdana" w:cs="Arial"/>
          <w:lang w:val="es-ES" w:eastAsia="es-ES_tradnl"/>
        </w:rPr>
        <w:t>.</w:t>
      </w:r>
      <w:r w:rsidRPr="00A9405A">
        <w:rPr>
          <w:rFonts w:ascii="Verdana" w:eastAsia="Times New Roman" w:hAnsi="Verdana" w:cs="Arial"/>
          <w:lang w:eastAsia="es-CO"/>
        </w:rPr>
        <w:t xml:space="preserve"> Asimismo, de acuerdo con el literal g) del artículo 11 </w:t>
      </w:r>
      <w:r w:rsidRPr="00A9405A">
        <w:rPr>
          <w:rFonts w:ascii="Verdana" w:eastAsia="Times New Roman" w:hAnsi="Verdana" w:cs="Arial"/>
          <w:lang w:eastAsia="es-CO"/>
        </w:rPr>
        <w:lastRenderedPageBreak/>
        <w:t xml:space="preserve">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A0DB679" w14:textId="77777777" w:rsidR="00FD3670" w:rsidRPr="00A9405A" w:rsidRDefault="00FD3670" w:rsidP="00FD3670">
      <w:pPr>
        <w:spacing w:after="120" w:line="276" w:lineRule="auto"/>
        <w:ind w:firstLine="709"/>
        <w:jc w:val="both"/>
        <w:rPr>
          <w:rFonts w:ascii="Verdana" w:eastAsia="Calibri" w:hAnsi="Verdana" w:cs="Arial"/>
          <w:lang w:val="es-ES_tradnl" w:eastAsia="es-ES_tradnl"/>
        </w:rPr>
      </w:pPr>
      <w:r w:rsidRPr="00A9405A">
        <w:rPr>
          <w:rFonts w:ascii="Verdana" w:eastAsia="Times New Roman" w:hAnsi="Verdana" w:cs="Arial"/>
          <w:lang w:eastAsia="es-CO"/>
        </w:rPr>
        <w:t>La obligación de publicidad antes mencionada fue desarrollada a través del Decreto Reglamentario 103 de 2015</w:t>
      </w:r>
      <w:r w:rsidRPr="00A9405A">
        <w:rPr>
          <w:rFonts w:ascii="Verdana" w:eastAsia="Calibri" w:hAnsi="Verdana" w:cs="Arial"/>
          <w:lang w:val="es-ES_tradnl" w:eastAsia="es-ES_tradnl"/>
        </w:rPr>
        <w:t xml:space="preserve">– “Por el cual se reglamenta parcialmente la Ley 1712 de 2014 y se dictan otras disposiciones”–, el cual fue recopilado en el </w:t>
      </w:r>
      <w:r w:rsidRPr="00A9405A">
        <w:rPr>
          <w:rFonts w:ascii="Verdana" w:eastAsia="Times New Roman" w:hAnsi="Verdana" w:cs="Arial"/>
          <w:lang w:eastAsia="es-CO"/>
        </w:rPr>
        <w:t>Decreto Único Reglamentario 1081 de 2015</w:t>
      </w:r>
      <w:r w:rsidRPr="00A9405A">
        <w:rPr>
          <w:rFonts w:ascii="Verdana" w:eastAsia="Calibri" w:hAnsi="Verdana" w:cs="Arial"/>
          <w:lang w:val="es-ES_tradnl" w:eastAsia="es-ES_tradnl"/>
        </w:rPr>
        <w:t>. Puntualmente, el artículo 7 –</w:t>
      </w:r>
      <w:r w:rsidRPr="00A9405A">
        <w:rPr>
          <w:rFonts w:ascii="Verdana" w:eastAsia="Times New Roman" w:hAnsi="Verdana" w:cs="Arial"/>
          <w:lang w:eastAsia="es-CO"/>
        </w:rPr>
        <w:t>artículo 2.1.1.2.1.7. del Decreto 1081 de 2015</w:t>
      </w:r>
      <w:r w:rsidRPr="00A9405A">
        <w:rPr>
          <w:rFonts w:ascii="Verdana" w:eastAsia="Times New Roman" w:hAnsi="Verdana" w:cs="Arial"/>
          <w:vertAlign w:val="superscript"/>
          <w:lang w:eastAsia="es-CO"/>
        </w:rPr>
        <w:footnoteReference w:id="9"/>
      </w:r>
      <w:r w:rsidRPr="00A9405A">
        <w:rPr>
          <w:rFonts w:ascii="Verdana" w:eastAsia="Calibri" w:hAnsi="Verdana" w:cs="Arial"/>
          <w:lang w:val="es-ES_tradnl" w:eastAsia="es-ES_tradnl"/>
        </w:rPr>
        <w:t>–</w:t>
      </w:r>
      <w:r w:rsidRPr="00A9405A">
        <w:rPr>
          <w:rFonts w:ascii="Verdana" w:eastAsia="Times New Roman" w:hAnsi="Verdana" w:cs="Arial"/>
          <w:lang w:eastAsia="es-CO"/>
        </w:rPr>
        <w:t>, dispone que la publicación de la información de la gestión contractual de los sujetos obligados,</w:t>
      </w:r>
      <w:r w:rsidRPr="00A9405A">
        <w:rPr>
          <w:rFonts w:ascii="Verdana" w:eastAsia="Times New Roman" w:hAnsi="Verdana" w:cs="Arial"/>
          <w:spacing w:val="3"/>
          <w:lang w:eastAsia="es-CO"/>
        </w:rPr>
        <w:t xml:space="preserve"> </w:t>
      </w:r>
      <w:r w:rsidRPr="00A9405A">
        <w:rPr>
          <w:rFonts w:ascii="Verdana" w:eastAsia="Times New Roman" w:hAnsi="Verdana" w:cs="Arial"/>
          <w:lang w:eastAsia="es-CO"/>
        </w:rPr>
        <w:t>que contratan con cargo a recursos públicos, debe hacerse en el Sistema Electrónico de Contratación Pública ─ SECOP. Asimismo,</w:t>
      </w:r>
      <w:r w:rsidRPr="00A9405A">
        <w:rPr>
          <w:rFonts w:ascii="Verdana" w:eastAsia="Calibri" w:hAnsi="Verdana" w:cs="Arial"/>
          <w:lang w:val="es-ES_tradnl" w:eastAsia="es-ES_tradnl"/>
        </w:rPr>
        <w:t xml:space="preserve"> el artículo 8 –artículo 2.1.1.2.1.8. del Decreto 1081 de 2015–, de forma enunciativa, señala que se debe publicar la información relativa a la ejecución del contrato, como las aprobaciones, autorizaciones, requerimientos o informes del supervisor o interventor, que aprueben la ejecución del contrato</w:t>
      </w:r>
      <w:r w:rsidRPr="00A9405A">
        <w:rPr>
          <w:rFonts w:ascii="Verdana" w:eastAsia="Calibri" w:hAnsi="Verdana" w:cs="Arial"/>
          <w:vertAlign w:val="superscript"/>
          <w:lang w:val="es-ES_tradnl" w:eastAsia="es-ES_tradnl"/>
        </w:rPr>
        <w:footnoteReference w:id="10"/>
      </w:r>
      <w:r w:rsidRPr="00A9405A">
        <w:rPr>
          <w:rFonts w:ascii="Verdana" w:eastAsia="Calibri" w:hAnsi="Verdana" w:cs="Arial"/>
          <w:lang w:val="es-ES_tradnl" w:eastAsia="es-ES_tradnl"/>
        </w:rPr>
        <w:t xml:space="preserve">. Más adelante, el artículo 9 del Decreto 103 de 2015 –artículo 2.1.1.2.1.9. del Decreto 1081 de 2015– indica que las entidades deberán publicar los procedimientos, lineamientos y políticas en materia de adquisición, que no son otros que los previstos en el manual de contratación, que se haya expedido de acuerdo con los lineamientos de la </w:t>
      </w:r>
      <w:r w:rsidRPr="00A9405A">
        <w:rPr>
          <w:rFonts w:ascii="Verdana" w:eastAsia="Calibri" w:hAnsi="Verdana" w:cs="Arial"/>
          <w:lang w:val="es-ES_tradnl" w:eastAsia="es-ES_tradnl"/>
        </w:rPr>
        <w:lastRenderedPageBreak/>
        <w:t>Agencia Nacional de Contratación Pública – Colombia Compra Eficiente, el cual debe publicarse en el sitio web del sujeto obligado</w:t>
      </w:r>
      <w:r w:rsidRPr="00A9405A">
        <w:rPr>
          <w:rFonts w:ascii="Verdana" w:eastAsia="Calibri" w:hAnsi="Verdana" w:cs="Arial"/>
          <w:vertAlign w:val="superscript"/>
          <w:lang w:val="es-ES_tradnl" w:eastAsia="es-ES_tradnl"/>
        </w:rPr>
        <w:footnoteReference w:id="11"/>
      </w:r>
      <w:r w:rsidRPr="00A9405A">
        <w:rPr>
          <w:rFonts w:ascii="Verdana" w:eastAsia="Calibri" w:hAnsi="Verdana" w:cs="Arial"/>
          <w:lang w:val="es-ES_tradnl" w:eastAsia="es-ES_tradnl"/>
        </w:rPr>
        <w:t>. Finalmente, el artículo 10 del Decreto 103 de 2015 –</w:t>
      </w:r>
      <w:r w:rsidRPr="00A9405A">
        <w:rPr>
          <w:rFonts w:ascii="Verdana" w:eastAsia="Times New Roman" w:hAnsi="Verdana" w:cs="Arial"/>
          <w:lang w:val="es-ES_tradnl" w:eastAsia="es-ES_tradnl"/>
        </w:rPr>
        <w:t xml:space="preserve">artículo </w:t>
      </w:r>
      <w:r w:rsidRPr="00A9405A">
        <w:rPr>
          <w:rFonts w:ascii="Verdana" w:eastAsia="Calibri" w:hAnsi="Verdana" w:cs="Arial"/>
          <w:lang w:val="es-ES_tradnl" w:eastAsia="es-ES_tradnl"/>
        </w:rPr>
        <w:t>2.1.1.2.1.10. del Decreto 1081 de 2015– consagra la obligación que tienen las Entidades Estatales de publicar en el SECOP el Plan Anual de Adquisiciones</w:t>
      </w:r>
      <w:r w:rsidRPr="00A9405A">
        <w:rPr>
          <w:rFonts w:ascii="Verdana" w:eastAsia="Calibri" w:hAnsi="Verdana" w:cs="Arial"/>
          <w:vertAlign w:val="superscript"/>
          <w:lang w:val="es-ES_tradnl" w:eastAsia="es-ES_tradnl"/>
        </w:rPr>
        <w:footnoteReference w:id="12"/>
      </w:r>
      <w:r w:rsidRPr="00A9405A">
        <w:rPr>
          <w:rFonts w:ascii="Verdana" w:eastAsia="Calibri" w:hAnsi="Verdana" w:cs="Arial"/>
          <w:lang w:val="es-ES_tradnl" w:eastAsia="es-ES_tradnl"/>
        </w:rPr>
        <w:t>.</w:t>
      </w:r>
    </w:p>
    <w:p w14:paraId="1B1DFD40" w14:textId="77777777" w:rsidR="00FD3670" w:rsidRPr="00A9405A" w:rsidRDefault="00FD3670" w:rsidP="00FD3670">
      <w:pPr>
        <w:tabs>
          <w:tab w:val="left" w:pos="426"/>
        </w:tabs>
        <w:spacing w:after="120" w:line="276" w:lineRule="auto"/>
        <w:jc w:val="both"/>
        <w:rPr>
          <w:rFonts w:ascii="Verdana" w:eastAsia="Arial" w:hAnsi="Verdana" w:cs="Arial"/>
          <w:lang w:val="es-ES" w:eastAsia="es-ES_tradnl"/>
        </w:rPr>
      </w:pPr>
      <w:r w:rsidRPr="00A9405A">
        <w:rPr>
          <w:rFonts w:ascii="Verdana" w:eastAsia="Arial" w:hAnsi="Verdana" w:cs="Arial"/>
          <w:lang w:val="es-ES" w:eastAsia="es-ES_tradnl"/>
        </w:rPr>
        <w:tab/>
      </w:r>
      <w:r w:rsidRPr="00A9405A">
        <w:rPr>
          <w:rFonts w:ascii="Verdana" w:eastAsia="Arial" w:hAnsi="Verdana" w:cs="Arial"/>
          <w:lang w:val="es-ES" w:eastAsia="es-ES_tradnl"/>
        </w:rPr>
        <w:tab/>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w:t>
      </w:r>
      <w:r w:rsidRPr="00A9405A">
        <w:rPr>
          <w:rFonts w:ascii="Verdana" w:eastAsia="Arial" w:hAnsi="Verdana" w:cs="Arial"/>
          <w:i/>
          <w:iCs/>
          <w:lang w:val="es-ES" w:eastAsia="es-ES_tradnl"/>
        </w:rPr>
        <w:t>Documentos del Proceso</w:t>
      </w:r>
      <w:r w:rsidRPr="00A9405A">
        <w:rPr>
          <w:rFonts w:ascii="Verdana" w:eastAsia="Arial" w:hAnsi="Verdana" w:cs="Arial"/>
          <w:lang w:val="es-ES" w:eastAsia="es-ES_tradn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68894A0D" w14:textId="77777777" w:rsidR="00FD3670" w:rsidRPr="00A9405A" w:rsidRDefault="00FD3670" w:rsidP="00FD3670">
      <w:pPr>
        <w:widowControl w:val="0"/>
        <w:autoSpaceDE w:val="0"/>
        <w:autoSpaceDN w:val="0"/>
        <w:spacing w:after="120" w:line="276" w:lineRule="auto"/>
        <w:ind w:firstLine="709"/>
        <w:jc w:val="both"/>
        <w:rPr>
          <w:rFonts w:ascii="Verdana" w:eastAsia="Arial" w:hAnsi="Verdana" w:cs="Arial"/>
          <w:lang w:val="es-ES" w:eastAsia="es-ES_tradnl"/>
        </w:rPr>
      </w:pPr>
      <w:r w:rsidRPr="00A9405A">
        <w:rPr>
          <w:rFonts w:ascii="Verdana" w:eastAsia="Arial" w:hAnsi="Verdana" w:cs="Arial"/>
          <w:lang w:val="es-ES" w:eastAsia="es-ES_tradnl"/>
        </w:rPr>
        <w:t xml:space="preserve">No obstante, para identificar los documentos que deben publicarse, es </w:t>
      </w:r>
      <w:r w:rsidRPr="00A9405A">
        <w:rPr>
          <w:rFonts w:ascii="Verdana" w:eastAsia="Arial" w:hAnsi="Verdana" w:cs="Arial"/>
          <w:lang w:val="es-ES" w:eastAsia="es-ES_tradnl"/>
        </w:rPr>
        <w:lastRenderedPageBreak/>
        <w:t xml:space="preserve">necesario realizar una interpretación sistemática de las disposiciones del Decreto 1082 del 2015, ya que el anterior no es un listado taxativo, sino enunciativo, porque además de los documentos enlistados, el artículo 2.2.1.1.1.3.1 </w:t>
      </w:r>
      <w:r w:rsidRPr="00A9405A">
        <w:rPr>
          <w:rFonts w:ascii="Verdana" w:eastAsia="Arial" w:hAnsi="Verdana" w:cs="Arial"/>
          <w:i/>
          <w:iCs/>
          <w:lang w:val="es-ES" w:eastAsia="es-ES_tradnl"/>
        </w:rPr>
        <w:t>Ibidem</w:t>
      </w:r>
      <w:r w:rsidRPr="00A9405A">
        <w:rPr>
          <w:rFonts w:ascii="Verdana" w:eastAsia="Arial" w:hAnsi="Verdana" w:cs="Arial"/>
          <w:lang w:val="es-ES" w:eastAsia="es-ES_tradnl"/>
        </w:rPr>
        <w:t xml:space="preserve"> recoge en la noción de </w:t>
      </w:r>
      <w:r w:rsidRPr="00A9405A">
        <w:rPr>
          <w:rFonts w:ascii="Verdana" w:eastAsia="Arial" w:hAnsi="Verdana" w:cs="Arial"/>
          <w:i/>
          <w:iCs/>
          <w:lang w:val="es-ES" w:eastAsia="es-ES_tradnl"/>
        </w:rPr>
        <w:t>Documentos del Proceso</w:t>
      </w:r>
      <w:r w:rsidRPr="00A9405A">
        <w:rPr>
          <w:rFonts w:ascii="Verdana" w:eastAsia="Arial" w:hAnsi="Verdana" w:cs="Arial"/>
          <w:lang w:val="es-ES" w:eastAsia="es-ES_tradnl"/>
        </w:rPr>
        <w:t xml:space="preserve"> “cualquier otro documento expedido por la Entidad Estatal durante el </w:t>
      </w:r>
      <w:r w:rsidRPr="00A9405A">
        <w:rPr>
          <w:rFonts w:ascii="Verdana" w:eastAsia="Arial" w:hAnsi="Verdana" w:cs="Arial"/>
          <w:i/>
          <w:iCs/>
          <w:lang w:val="es-ES" w:eastAsia="es-ES_tradnl"/>
        </w:rPr>
        <w:t>Proceso de Contratación”</w:t>
      </w:r>
      <w:r w:rsidRPr="00A9405A">
        <w:rPr>
          <w:rFonts w:ascii="Verdana" w:eastAsia="Arial" w:hAnsi="Verdana" w:cs="Arial"/>
          <w:lang w:val="es-ES" w:eastAsia="es-ES_tradnl"/>
        </w:rPr>
        <w:t xml:space="preserve">. Este mismo artículo define la expresión </w:t>
      </w:r>
      <w:r w:rsidRPr="00A9405A">
        <w:rPr>
          <w:rFonts w:ascii="Verdana" w:eastAsia="Arial" w:hAnsi="Verdana" w:cs="Arial"/>
          <w:i/>
          <w:iCs/>
          <w:lang w:val="es-ES" w:eastAsia="es-ES_tradnl"/>
        </w:rPr>
        <w:t>Proceso de Contratación</w:t>
      </w:r>
      <w:r w:rsidRPr="00A9405A">
        <w:rPr>
          <w:rFonts w:ascii="Verdana" w:eastAsia="Arial" w:hAnsi="Verdana" w:cs="Arial"/>
          <w:lang w:val="es-ES" w:eastAsia="es-ES_tradn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5EAD1B3" w14:textId="77777777" w:rsidR="00FD3670" w:rsidRPr="00A9405A" w:rsidRDefault="00FD3670" w:rsidP="00FD3670">
      <w:pPr>
        <w:widowControl w:val="0"/>
        <w:autoSpaceDE w:val="0"/>
        <w:autoSpaceDN w:val="0"/>
        <w:spacing w:after="120" w:line="276" w:lineRule="auto"/>
        <w:ind w:firstLine="709"/>
        <w:jc w:val="both"/>
        <w:rPr>
          <w:rFonts w:ascii="Verdana" w:eastAsia="Arial" w:hAnsi="Verdana" w:cs="Arial"/>
          <w:lang w:val="es-ES" w:eastAsia="es-ES_tradnl"/>
        </w:rPr>
      </w:pPr>
      <w:r w:rsidRPr="00A9405A">
        <w:rPr>
          <w:rFonts w:ascii="Verdana" w:eastAsia="Arial" w:hAnsi="Verdana" w:cs="Arial"/>
          <w:lang w:val="es-ES" w:eastAsia="es-ES_tradnl"/>
        </w:rPr>
        <w:t xml:space="preserve">Nótese que la norma hace referencia a los documentos “expedidos por la entidad estatal” durante el proceso de contratación, excluyendo de la noción de </w:t>
      </w:r>
      <w:r w:rsidRPr="00A9405A">
        <w:rPr>
          <w:rFonts w:ascii="Verdana" w:eastAsia="Arial" w:hAnsi="Verdana" w:cs="Arial"/>
          <w:i/>
          <w:iCs/>
          <w:lang w:val="es-ES" w:eastAsia="es-ES_tradnl"/>
        </w:rPr>
        <w:t>Documentos de” Proceso</w:t>
      </w:r>
      <w:r w:rsidRPr="00A9405A">
        <w:rPr>
          <w:rFonts w:ascii="Verdana" w:eastAsia="Arial" w:hAnsi="Verdana" w:cs="Arial"/>
          <w:lang w:val="es-ES" w:eastAsia="es-ES_tradnl"/>
        </w:rPr>
        <w:t xml:space="preserve"> los expedidos por un sujeto distinto a la entidad, salvo la oferta, la cual se incluye expresamente en el artículo 2.2.1.1.1.3.1. </w:t>
      </w:r>
    </w:p>
    <w:p w14:paraId="4C7BBF55" w14:textId="77777777" w:rsidR="00FD3670" w:rsidRPr="00A9405A" w:rsidRDefault="00FD3670" w:rsidP="00FD3670">
      <w:pPr>
        <w:widowControl w:val="0"/>
        <w:autoSpaceDE w:val="0"/>
        <w:autoSpaceDN w:val="0"/>
        <w:spacing w:after="120" w:line="276" w:lineRule="auto"/>
        <w:ind w:firstLine="708"/>
        <w:jc w:val="both"/>
        <w:rPr>
          <w:rFonts w:ascii="Verdana" w:eastAsia="Arial" w:hAnsi="Verdana" w:cs="Arial"/>
          <w:lang w:val="es-ES" w:eastAsia="es-ES_tradnl"/>
        </w:rPr>
      </w:pPr>
      <w:r w:rsidRPr="00A9405A">
        <w:rPr>
          <w:rFonts w:ascii="Verdana" w:eastAsia="Arial" w:hAnsi="Verdana" w:cs="Arial"/>
          <w:lang w:val="es-ES" w:eastAsia="es-ES_tradnl"/>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A9405A">
        <w:rPr>
          <w:rFonts w:ascii="Verdana" w:eastAsia="Arial" w:hAnsi="Verdana" w:cs="Arial"/>
          <w:i/>
          <w:iCs/>
          <w:lang w:val="es-ES" w:eastAsia="es-ES_tradnl"/>
        </w:rPr>
        <w:t>Proceso de Contratación</w:t>
      </w:r>
      <w:r w:rsidRPr="00A9405A">
        <w:rPr>
          <w:rFonts w:ascii="Verdana" w:eastAsia="Arial" w:hAnsi="Verdana" w:cs="Arial"/>
          <w:lang w:val="es-ES" w:eastAsia="es-ES_tradnl"/>
        </w:rPr>
        <w:t>.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658EAEED" w14:textId="17C67738" w:rsidR="008F1F1A" w:rsidRPr="00A9405A" w:rsidRDefault="00FD3670" w:rsidP="008F1F1A">
      <w:pPr>
        <w:spacing w:after="120" w:line="276" w:lineRule="auto"/>
        <w:ind w:firstLine="709"/>
        <w:jc w:val="both"/>
        <w:rPr>
          <w:rFonts w:ascii="Verdana" w:eastAsia="Times New Roman" w:hAnsi="Verdana" w:cs="Arial"/>
          <w:lang w:val="es-ES" w:eastAsia="es-ES_tradnl"/>
        </w:rPr>
      </w:pPr>
      <w:r w:rsidRPr="00A9405A">
        <w:rPr>
          <w:rFonts w:ascii="Verdana" w:eastAsia="Times New Roman" w:hAnsi="Verdana" w:cs="Arial"/>
          <w:lang w:val="es-ES" w:eastAsia="es-ES_tradnl"/>
        </w:rPr>
        <w:t>Sin perjuicio de lo anterior, no debe perderse de vista que, en virtud del principio de transparencia, específicamente por cuenta de lo dispuesto en el numeral 4 del artículo 24 de la Ley 80 de 1993</w:t>
      </w:r>
      <w:r w:rsidRPr="00A9405A">
        <w:rPr>
          <w:rFonts w:ascii="Verdana" w:eastAsia="Times New Roman" w:hAnsi="Verdana" w:cs="Arial"/>
          <w:vertAlign w:val="superscript"/>
          <w:lang w:val="es-ES" w:eastAsia="es-ES_tradnl"/>
        </w:rPr>
        <w:footnoteReference w:id="13"/>
      </w:r>
      <w:r w:rsidRPr="00A9405A">
        <w:rPr>
          <w:rFonts w:ascii="Verdana" w:eastAsia="Times New Roman" w:hAnsi="Verdana" w:cs="Arial"/>
          <w:lang w:val="es-ES" w:eastAsia="es-ES_tradnl"/>
        </w:rPr>
        <w:t xml:space="preserve">, así como por el principio de </w:t>
      </w:r>
      <w:r w:rsidRPr="00A9405A">
        <w:rPr>
          <w:rFonts w:ascii="Verdana" w:eastAsia="Times New Roman" w:hAnsi="Verdana" w:cs="Arial"/>
          <w:lang w:val="es-ES" w:eastAsia="es-ES_tradnl"/>
        </w:rPr>
        <w:lastRenderedPageBreak/>
        <w:t>máxima publicidad establecido en el artículo 2 de la Ley 1712 de 2014</w:t>
      </w:r>
      <w:r w:rsidRPr="00A9405A">
        <w:rPr>
          <w:rFonts w:ascii="Verdana" w:eastAsia="Times New Roman" w:hAnsi="Verdana" w:cs="Arial"/>
          <w:vertAlign w:val="superscript"/>
          <w:lang w:val="es-ES" w:eastAsia="es-ES_tradnl"/>
        </w:rPr>
        <w:footnoteReference w:id="14"/>
      </w:r>
      <w:r w:rsidRPr="00A9405A">
        <w:rPr>
          <w:rFonts w:ascii="Verdana" w:eastAsia="Times New Roman" w:hAnsi="Verdana" w:cs="Arial"/>
          <w:lang w:val="es-ES" w:eastAsia="es-ES_tradnl"/>
        </w:rPr>
        <w:t>,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A9405A">
        <w:rPr>
          <w:rFonts w:ascii="Verdana" w:eastAsia="Times New Roman" w:hAnsi="Verdana" w:cs="Arial"/>
          <w:vertAlign w:val="superscript"/>
          <w:lang w:val="es-ES" w:eastAsia="es-ES_tradnl"/>
        </w:rPr>
        <w:footnoteReference w:id="15"/>
      </w:r>
      <w:r w:rsidRPr="00A9405A">
        <w:rPr>
          <w:rFonts w:ascii="Verdana" w:eastAsia="Times New Roman" w:hAnsi="Verdana" w:cs="Arial"/>
          <w:lang w:val="es-ES" w:eastAsia="es-ES_tradnl"/>
        </w:rPr>
        <w:t>. Esta posibilidad solo se encuentra limitada respecto de la documentación que tenga la calidad de reservada</w:t>
      </w:r>
      <w:r w:rsidRPr="00A9405A">
        <w:rPr>
          <w:rFonts w:ascii="Verdana" w:eastAsia="Times New Roman" w:hAnsi="Verdana" w:cs="Arial"/>
          <w:vertAlign w:val="superscript"/>
          <w:lang w:val="es-ES" w:eastAsia="es-ES_tradnl"/>
        </w:rPr>
        <w:footnoteReference w:id="16"/>
      </w:r>
      <w:r w:rsidRPr="00A9405A">
        <w:rPr>
          <w:rFonts w:ascii="Verdana" w:eastAsia="Times New Roman" w:hAnsi="Verdana" w:cs="Arial"/>
          <w:lang w:val="es-ES" w:eastAsia="es-ES_tradnl"/>
        </w:rPr>
        <w:t xml:space="preserve">, que deberá </w:t>
      </w:r>
      <w:r w:rsidRPr="00A9405A">
        <w:rPr>
          <w:rFonts w:ascii="Verdana" w:eastAsia="Times New Roman" w:hAnsi="Verdana" w:cs="Arial"/>
          <w:lang w:val="es-ES" w:eastAsia="es-ES_tradnl"/>
        </w:rPr>
        <w:lastRenderedPageBreak/>
        <w:t>someterse al tratamiento establecido en el artículo 36 del CPACA, en lo relativo a la formación de cuadernos separados</w:t>
      </w:r>
      <w:r w:rsidRPr="00A9405A">
        <w:rPr>
          <w:rFonts w:ascii="Verdana" w:eastAsia="Times New Roman" w:hAnsi="Verdana" w:cs="Arial"/>
          <w:vertAlign w:val="superscript"/>
          <w:lang w:val="es-ES" w:eastAsia="es-ES_tradnl"/>
        </w:rPr>
        <w:footnoteReference w:id="17"/>
      </w:r>
      <w:r w:rsidR="008F1F1A">
        <w:rPr>
          <w:rFonts w:ascii="Verdana" w:eastAsia="Times New Roman" w:hAnsi="Verdana" w:cs="Arial"/>
          <w:lang w:val="es-ES" w:eastAsia="es-ES_tradnl"/>
        </w:rPr>
        <w:t>.</w:t>
      </w:r>
    </w:p>
    <w:p w14:paraId="162CFF10" w14:textId="08452B8B" w:rsidR="00FD3670" w:rsidRPr="00A9405A" w:rsidRDefault="00A82E6D" w:rsidP="00FD3670">
      <w:pPr>
        <w:tabs>
          <w:tab w:val="left" w:pos="426"/>
        </w:tabs>
        <w:spacing w:after="120" w:line="276" w:lineRule="auto"/>
        <w:jc w:val="both"/>
        <w:rPr>
          <w:rFonts w:ascii="Verdana" w:eastAsia="Calibri" w:hAnsi="Verdana" w:cs="Arial"/>
          <w:color w:val="000000"/>
          <w:lang w:val="es-ES_tradnl" w:eastAsia="en-GB"/>
        </w:rPr>
      </w:pPr>
      <w:bookmarkStart w:id="2" w:name="_Hlk150762861"/>
      <w:r>
        <w:rPr>
          <w:rFonts w:ascii="Verdana" w:eastAsia="Calibri" w:hAnsi="Verdana" w:cs="Arial"/>
          <w:szCs w:val="24"/>
          <w:lang w:eastAsia="es-ES_tradnl"/>
        </w:rPr>
        <w:tab/>
      </w:r>
      <w:r>
        <w:rPr>
          <w:rFonts w:ascii="Verdana" w:eastAsia="Calibri" w:hAnsi="Verdana" w:cs="Arial"/>
          <w:szCs w:val="24"/>
          <w:lang w:eastAsia="es-ES_tradnl"/>
        </w:rPr>
        <w:tab/>
      </w:r>
      <w:bookmarkEnd w:id="2"/>
      <w:r w:rsidR="00FD3670" w:rsidRPr="00A9405A">
        <w:rPr>
          <w:rFonts w:ascii="Verdana" w:eastAsia="Calibri" w:hAnsi="Verdana" w:cs="Arial"/>
          <w:lang w:val="es-ES" w:eastAsia="es-ES_tradnl"/>
        </w:rPr>
        <w:t xml:space="preserve">No obstante, lo expresado,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5741CC52" w14:textId="77777777" w:rsidR="00FD3670" w:rsidRPr="00A9405A" w:rsidRDefault="00FD3670" w:rsidP="46576C03">
      <w:pPr>
        <w:spacing w:after="120" w:line="276" w:lineRule="auto"/>
        <w:ind w:firstLine="709"/>
        <w:jc w:val="both"/>
        <w:rPr>
          <w:rFonts w:ascii="Verdana" w:eastAsia="Calibri" w:hAnsi="Verdana" w:cs="Arial"/>
          <w:color w:val="000000"/>
          <w:lang w:val="es-ES" w:eastAsia="en-GB"/>
        </w:rPr>
      </w:pPr>
      <w:r w:rsidRPr="46576C03">
        <w:rPr>
          <w:rFonts w:ascii="Verdana" w:eastAsia="Calibri" w:hAnsi="Verdana" w:cs="Arial"/>
          <w:color w:val="000000" w:themeColor="text1"/>
          <w:lang w:val="es-ES"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46576C03">
        <w:rPr>
          <w:rFonts w:ascii="Verdana" w:eastAsia="Calibri" w:hAnsi="Verdana" w:cs="Arial"/>
          <w:i/>
          <w:iCs/>
          <w:color w:val="000000" w:themeColor="text1"/>
          <w:lang w:val="es-ES" w:eastAsia="en-GB"/>
        </w:rPr>
        <w:t>prima facie,</w:t>
      </w:r>
      <w:r w:rsidRPr="46576C03">
        <w:rPr>
          <w:rFonts w:ascii="Verdana" w:eastAsia="Calibri" w:hAnsi="Verdana"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w:t>
      </w:r>
    </w:p>
    <w:p w14:paraId="124858E2" w14:textId="77777777" w:rsidR="00FD3670" w:rsidRPr="00A9405A" w:rsidRDefault="00FD3670" w:rsidP="46576C03">
      <w:pPr>
        <w:spacing w:after="120" w:line="276" w:lineRule="auto"/>
        <w:ind w:firstLine="709"/>
        <w:jc w:val="both"/>
        <w:rPr>
          <w:rFonts w:ascii="Verdana" w:eastAsia="Calibri" w:hAnsi="Verdana" w:cs="Arial"/>
          <w:color w:val="000000"/>
          <w:lang w:val="es-ES" w:eastAsia="en-GB"/>
        </w:rPr>
      </w:pPr>
      <w:r w:rsidRPr="46576C03">
        <w:rPr>
          <w:rFonts w:ascii="Verdana" w:eastAsia="Calibri" w:hAnsi="Verdana" w:cs="Arial"/>
          <w:color w:val="000000"/>
          <w:lang w:val="es-ES" w:eastAsia="en-GB"/>
        </w:rPr>
        <w:t xml:space="preserve">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w:t>
      </w:r>
      <w:r w:rsidRPr="46576C03">
        <w:rPr>
          <w:rFonts w:ascii="Verdana" w:eastAsia="Calibri" w:hAnsi="Verdana" w:cs="Arial"/>
          <w:color w:val="000000"/>
          <w:lang w:val="es-ES" w:eastAsia="en-GB"/>
        </w:rPr>
        <w:lastRenderedPageBreak/>
        <w:t>sometida a reserva, pero también incluya información que no esté afectada por la reserva. Además, dicha disposición establece que la reserva de acceso a la información opera respecto al contenido de un documento público, pero no respecto de su existencia</w:t>
      </w:r>
      <w:r w:rsidRPr="46576C03">
        <w:rPr>
          <w:rFonts w:ascii="Verdana" w:eastAsia="Calibri" w:hAnsi="Verdana" w:cs="Arial"/>
          <w:color w:val="000000"/>
          <w:vertAlign w:val="superscript"/>
          <w:lang w:val="es-ES" w:eastAsia="en-GB"/>
        </w:rPr>
        <w:footnoteReference w:id="18"/>
      </w:r>
      <w:r w:rsidRPr="46576C03">
        <w:rPr>
          <w:rFonts w:ascii="Verdana" w:eastAsia="Calibri" w:hAnsi="Verdana" w:cs="Arial"/>
          <w:color w:val="000000"/>
          <w:lang w:val="es-ES" w:eastAsia="en-GB"/>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7C868993" w14:textId="77777777" w:rsidR="00FD3670" w:rsidRPr="00A9405A" w:rsidRDefault="00FD3670" w:rsidP="00FD3670">
      <w:pPr>
        <w:tabs>
          <w:tab w:val="left" w:pos="426"/>
        </w:tabs>
        <w:spacing w:after="120" w:line="276" w:lineRule="auto"/>
        <w:ind w:firstLine="709"/>
        <w:jc w:val="both"/>
        <w:rPr>
          <w:rFonts w:ascii="Verdana" w:eastAsia="Calibri" w:hAnsi="Verdana" w:cs="Arial"/>
          <w:color w:val="000000"/>
          <w:lang w:val="es-ES_tradnl" w:eastAsia="en-GB"/>
        </w:rPr>
      </w:pPr>
      <w:r w:rsidRPr="00A9405A">
        <w:rPr>
          <w:rFonts w:ascii="Verdana" w:eastAsia="Calibri" w:hAnsi="Verdana"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5058C470" w14:textId="77777777" w:rsidR="00FD3670" w:rsidRPr="00A9405A" w:rsidRDefault="00FD3670" w:rsidP="00FD3670">
      <w:pPr>
        <w:tabs>
          <w:tab w:val="left" w:pos="426"/>
        </w:tabs>
        <w:spacing w:after="120" w:line="276" w:lineRule="auto"/>
        <w:ind w:firstLine="709"/>
        <w:jc w:val="both"/>
        <w:rPr>
          <w:rFonts w:ascii="Verdana" w:eastAsia="Calibri" w:hAnsi="Verdana" w:cs="Arial"/>
          <w:color w:val="000000"/>
          <w:lang w:val="es-ES_tradnl" w:eastAsia="en-GB"/>
        </w:rPr>
      </w:pPr>
      <w:r w:rsidRPr="00A9405A">
        <w:rPr>
          <w:rFonts w:ascii="Verdana" w:eastAsia="Calibri" w:hAnsi="Verdana" w:cs="Arial"/>
          <w:color w:val="000000"/>
          <w:lang w:val="es-ES_tradnl" w:eastAsia="en-GB"/>
        </w:rPr>
        <w:t xml:space="preserve">Cuando el documento contractual tenga información sensible, clasificada o reservada, para proteger la reserva de información, las autoridades deben abstenerse de publicar en el SECOP la información que tiene protección especial </w:t>
      </w:r>
      <w:r w:rsidRPr="00A9405A">
        <w:rPr>
          <w:rFonts w:ascii="Verdana" w:eastAsia="Calibri" w:hAnsi="Verdana" w:cs="Arial"/>
          <w:color w:val="000000"/>
          <w:lang w:val="es-ES_tradnl" w:eastAsia="en-GB"/>
        </w:rPr>
        <w:lastRenderedPageBreak/>
        <w:t>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7874D639" w14:textId="77777777" w:rsidR="00FD3670" w:rsidRPr="00A9405A" w:rsidRDefault="00FD3670" w:rsidP="46576C03">
      <w:pPr>
        <w:tabs>
          <w:tab w:val="left" w:pos="426"/>
        </w:tabs>
        <w:spacing w:after="0" w:line="276" w:lineRule="auto"/>
        <w:ind w:firstLine="709"/>
        <w:jc w:val="both"/>
        <w:rPr>
          <w:rFonts w:ascii="Verdana" w:eastAsia="Calibri" w:hAnsi="Verdana" w:cs="Arial"/>
          <w:color w:val="000000"/>
          <w:lang w:val="es-ES" w:eastAsia="en-GB"/>
        </w:rPr>
      </w:pPr>
      <w:r w:rsidRPr="46576C03">
        <w:rPr>
          <w:rFonts w:ascii="Verdana" w:eastAsia="Calibri" w:hAnsi="Verdana" w:cs="Arial"/>
          <w:color w:val="000000" w:themeColor="text1"/>
          <w:lang w:val="es-ES"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En armonía con lo anterior, cabe reiterar lo que se afirmó anteriormente en el sentido de que la creación de reservas de información pública es un asunto reservado al constituyente o al legislador. </w:t>
      </w:r>
    </w:p>
    <w:p w14:paraId="7391D61A" w14:textId="77777777" w:rsidR="005514B7" w:rsidRPr="00FD3670" w:rsidRDefault="005514B7" w:rsidP="00871B59">
      <w:pPr>
        <w:widowControl w:val="0"/>
        <w:autoSpaceDE w:val="0"/>
        <w:autoSpaceDN w:val="0"/>
        <w:spacing w:after="0" w:line="276" w:lineRule="auto"/>
        <w:jc w:val="both"/>
        <w:rPr>
          <w:rFonts w:ascii="Verdana" w:hAnsi="Verdana" w:cs="Arial"/>
          <w:lang w:val="es-ES_tradnl"/>
        </w:rPr>
      </w:pPr>
    </w:p>
    <w:p w14:paraId="53133908" w14:textId="77777777" w:rsidR="00871B59" w:rsidRPr="007C1C9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C1C94">
        <w:rPr>
          <w:rFonts w:ascii="Verdana" w:eastAsia="Century Gothic" w:hAnsi="Verdana" w:cs="Century Gothic"/>
          <w:b/>
          <w:bCs/>
          <w:lang w:val="es-ES"/>
        </w:rPr>
        <w:t>Referencias normativas, jurisprudenciales y otras fuentes:</w:t>
      </w:r>
    </w:p>
    <w:p w14:paraId="237FD993" w14:textId="77777777" w:rsidR="00871B59" w:rsidRPr="007C1C94"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7C1C94" w14:paraId="150F7C2A" w14:textId="77777777" w:rsidTr="00A57D9A">
        <w:trPr>
          <w:trHeight w:val="650"/>
        </w:trPr>
        <w:tc>
          <w:tcPr>
            <w:tcW w:w="8647" w:type="dxa"/>
          </w:tcPr>
          <w:p w14:paraId="2A818FB8" w14:textId="285B44DE" w:rsidR="00183146" w:rsidRDefault="00183146" w:rsidP="00BC0378">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80 de 1993. Artículo 24.</w:t>
            </w:r>
          </w:p>
          <w:p w14:paraId="1173FC51" w14:textId="06634CAF" w:rsidR="00BC0378" w:rsidRPr="00912093" w:rsidRDefault="00BC0378" w:rsidP="00BC0378">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1150 de 2007. Artículo</w:t>
            </w:r>
            <w:r w:rsidR="00455E54">
              <w:rPr>
                <w:rFonts w:ascii="Verdana" w:hAnsi="Verdana" w:cs="Arial"/>
                <w:color w:val="000000" w:themeColor="text1"/>
              </w:rPr>
              <w:t xml:space="preserve"> 3.</w:t>
            </w:r>
          </w:p>
          <w:p w14:paraId="29A37184" w14:textId="4A257ADD" w:rsidR="00BC0378" w:rsidRDefault="007F672D" w:rsidP="00BC0378">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1712 de 2015. Artículos 2, 3 y 9.</w:t>
            </w:r>
          </w:p>
          <w:p w14:paraId="34EE4C7D" w14:textId="2B3C0806" w:rsidR="007F672D" w:rsidRDefault="007F672D" w:rsidP="00BC0378">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sidRPr="007F672D">
              <w:rPr>
                <w:rFonts w:ascii="Verdana" w:hAnsi="Verdana" w:cs="Arial"/>
                <w:color w:val="000000" w:themeColor="text1"/>
              </w:rPr>
              <w:t>Decreto 103 de 2015</w:t>
            </w:r>
            <w:r>
              <w:rPr>
                <w:rFonts w:ascii="Verdana" w:hAnsi="Verdana" w:cs="Arial"/>
                <w:color w:val="000000" w:themeColor="text1"/>
              </w:rPr>
              <w:t xml:space="preserve">. </w:t>
            </w:r>
            <w:r w:rsidRPr="007F672D">
              <w:rPr>
                <w:rFonts w:ascii="Verdana" w:hAnsi="Verdana" w:cs="Arial"/>
                <w:color w:val="000000" w:themeColor="text1"/>
              </w:rPr>
              <w:t>Artículo 8.</w:t>
            </w:r>
          </w:p>
          <w:p w14:paraId="4DE09C5F" w14:textId="2A092C6C" w:rsidR="00183146" w:rsidRPr="00183146" w:rsidRDefault="00183146" w:rsidP="00183146">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1437 de 2011. Artículo 24.</w:t>
            </w:r>
          </w:p>
          <w:p w14:paraId="6DF122EF" w14:textId="072F38FF" w:rsidR="00AD247D" w:rsidRDefault="00AD247D" w:rsidP="00BC0378">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sidRPr="00AD247D">
              <w:rPr>
                <w:rFonts w:ascii="Verdana" w:hAnsi="Verdana" w:cs="Arial"/>
                <w:color w:val="000000" w:themeColor="text1"/>
              </w:rPr>
              <w:t>MATALLANA CAMACHO Ernesto. Manual de Contratación de la Administración Pública. Reforma a la Ley 80 de 1993. Universidad Externado de Colombia, Cuarta edición, 2015</w:t>
            </w:r>
          </w:p>
          <w:p w14:paraId="6ACEA7FD" w14:textId="0268AA0D" w:rsidR="008B0CAA" w:rsidRPr="00AB564D" w:rsidRDefault="00455E54" w:rsidP="00AB564D">
            <w:pPr>
              <w:pStyle w:val="Prrafodelista"/>
              <w:widowControl w:val="0"/>
              <w:numPr>
                <w:ilvl w:val="0"/>
                <w:numId w:val="8"/>
              </w:numPr>
              <w:autoSpaceDE w:val="0"/>
              <w:autoSpaceDN w:val="0"/>
              <w:spacing w:after="120" w:line="276" w:lineRule="auto"/>
              <w:contextualSpacing w:val="0"/>
              <w:jc w:val="both"/>
              <w:rPr>
                <w:rFonts w:ascii="Verdana" w:hAnsi="Verdana" w:cs="Arial"/>
                <w:color w:val="000000" w:themeColor="text1"/>
              </w:rPr>
            </w:pPr>
            <w:r w:rsidRPr="00455E54">
              <w:rPr>
                <w:rFonts w:ascii="Verdana" w:hAnsi="Verdana" w:cs="Arial"/>
                <w:color w:val="000000" w:themeColor="text1"/>
              </w:rPr>
              <w:t xml:space="preserve">Corte Constitucional. Sentencia C- 341 del 4 de junio de 2014. M. P. </w:t>
            </w:r>
            <w:r w:rsidRPr="00455E54">
              <w:rPr>
                <w:rFonts w:ascii="Verdana" w:hAnsi="Verdana" w:cs="Arial"/>
                <w:color w:val="000000" w:themeColor="text1"/>
              </w:rPr>
              <w:lastRenderedPageBreak/>
              <w:t>Mauricio González Cuervo.</w:t>
            </w:r>
          </w:p>
        </w:tc>
      </w:tr>
    </w:tbl>
    <w:p w14:paraId="0E1B166D" w14:textId="77777777" w:rsidR="00871B59" w:rsidRPr="007C1C94"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7C1C9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C1C94">
        <w:rPr>
          <w:rFonts w:ascii="Verdana" w:eastAsia="Century Gothic" w:hAnsi="Verdana" w:cs="Century Gothic"/>
          <w:b/>
          <w:bCs/>
          <w:lang w:val="es-ES"/>
        </w:rPr>
        <w:t>Doctrina de la Agencia Nacional de Contratación Pública:</w:t>
      </w:r>
    </w:p>
    <w:p w14:paraId="41294D6D" w14:textId="77777777" w:rsidR="00871B59" w:rsidRPr="007C1C94" w:rsidRDefault="00871B59" w:rsidP="00871B59">
      <w:pPr>
        <w:widowControl w:val="0"/>
        <w:autoSpaceDE w:val="0"/>
        <w:autoSpaceDN w:val="0"/>
        <w:spacing w:after="0" w:line="276" w:lineRule="auto"/>
        <w:jc w:val="both"/>
        <w:rPr>
          <w:rFonts w:ascii="Verdana" w:hAnsi="Verdana" w:cs="Arial"/>
        </w:rPr>
      </w:pPr>
    </w:p>
    <w:p w14:paraId="688C30E7" w14:textId="5B30492B" w:rsidR="00871B59" w:rsidRPr="007C1C94" w:rsidRDefault="00BC0378" w:rsidP="00871B59">
      <w:pPr>
        <w:widowControl w:val="0"/>
        <w:autoSpaceDE w:val="0"/>
        <w:autoSpaceDN w:val="0"/>
        <w:spacing w:after="0" w:line="276" w:lineRule="auto"/>
        <w:jc w:val="both"/>
        <w:rPr>
          <w:rStyle w:val="normaltextrun"/>
          <w:rFonts w:ascii="Verdana" w:hAnsi="Verdana" w:cs="Arial"/>
          <w:shd w:val="clear" w:color="auto" w:fill="FFFFFF"/>
          <w:lang w:val="es-ES"/>
        </w:rPr>
      </w:pPr>
      <w:r w:rsidRPr="00BC0378">
        <w:rPr>
          <w:rFonts w:ascii="Verdana" w:eastAsia="Calibri" w:hAnsi="Verdana" w:cs="Arial"/>
          <w:lang w:val="es-ES_tradnl" w:eastAsia="es-ES_tradnl"/>
        </w:rPr>
        <w:t xml:space="preserve">Sobre </w:t>
      </w:r>
      <w:r w:rsidR="00F04963" w:rsidRPr="00F04963">
        <w:rPr>
          <w:rFonts w:ascii="Verdana" w:eastAsia="Calibri" w:hAnsi="Verdana" w:cs="Arial"/>
          <w:lang w:val="es-ES_tradnl" w:eastAsia="es-ES_tradnl"/>
        </w:rPr>
        <w:t>la publicación de documentación contractual en las plataformas SECOP I y SECOP II</w:t>
      </w:r>
      <w:r w:rsidRPr="00BC0378">
        <w:rPr>
          <w:rFonts w:ascii="Verdana" w:eastAsia="Calibri" w:hAnsi="Verdana" w:cs="Arial"/>
          <w:lang w:val="es-ES_tradnl" w:eastAsia="es-ES_tradnl"/>
        </w:rPr>
        <w:t xml:space="preserve">, esta Subdirección se ha referido en los Conceptos radicado </w:t>
      </w:r>
      <w:r w:rsidR="00F04963" w:rsidRPr="00F04963">
        <w:rPr>
          <w:rFonts w:ascii="Verdana" w:eastAsia="Calibri" w:hAnsi="Verdana" w:cs="Arial"/>
          <w:lang w:val="es-ES_tradnl" w:eastAsia="es-ES_tradnl"/>
        </w:rPr>
        <w:t>4201912000007253 del 4 de diciembre de 2019, reiterado en el concepto con radicado No. 4201912000007289 de la misma fecha, así como en el C-336 del 2 de junio de 2020, donde se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analizó el SECOP I como medio de publicidad de las actuaciones contractuales, la naturaleza transaccional y obligatoriedad de SECOP II y los documentos que deben publicarse en estas plataformas. Dichas ideas se unificaron en el concepto CU-367 del 23 de julio de 2020, reiterado en el C-672 del 11 de noviembre de 2020. Asimismo, en el concepto C-104 del 6 de abril de 2021, C-005 del 21 de febrero de 2023, C-230 del 28 de junio de 2023, C-649 del 9 de septiembre de 2022,</w:t>
      </w:r>
      <w:r w:rsidR="00F04963">
        <w:rPr>
          <w:rFonts w:ascii="Verdana" w:eastAsia="Calibri" w:hAnsi="Verdana" w:cs="Arial"/>
          <w:lang w:val="es-ES_tradnl" w:eastAsia="es-ES_tradnl"/>
        </w:rPr>
        <w:t xml:space="preserve"> C-391 del 14 de noviembre de 2023,</w:t>
      </w:r>
      <w:r w:rsidR="00F04963" w:rsidRPr="00F04963">
        <w:rPr>
          <w:rFonts w:ascii="Verdana" w:eastAsia="Calibri" w:hAnsi="Verdana" w:cs="Arial"/>
          <w:lang w:val="es-ES_tradnl" w:eastAsia="es-ES_tradnl"/>
        </w:rPr>
        <w:t xml:space="preserve"> se estudió la existencia de reservas como excepción al deber de publicar la información contractual en el SECOP</w:t>
      </w:r>
      <w:r w:rsidRPr="00BC0378">
        <w:rPr>
          <w:rFonts w:ascii="Verdana" w:eastAsia="Calibri" w:hAnsi="Verdana" w:cs="Arial"/>
          <w:lang w:val="es-ES_tradnl" w:eastAsia="es-ES_tradnl"/>
        </w:rPr>
        <w:t>, entre otros</w:t>
      </w:r>
      <w:r w:rsidR="00871B59" w:rsidRPr="007C1C94">
        <w:rPr>
          <w:rStyle w:val="normaltextrun"/>
          <w:rFonts w:ascii="Verdana" w:hAnsi="Verdana" w:cs="Arial"/>
          <w:shd w:val="clear" w:color="auto" w:fill="FFFFFF"/>
          <w:lang w:val="es-ES"/>
        </w:rPr>
        <w:t>. Es</w:t>
      </w:r>
      <w:r w:rsidR="00871B59" w:rsidRPr="007C1C94">
        <w:rPr>
          <w:rFonts w:ascii="Verdana" w:hAnsi="Verdana"/>
        </w:rPr>
        <w:t>tos y otros conceptos se encuentran disponibles para consulta en el Sistema de relatoría de la Agencia, al cual se puede acceder a través del siguiente enlace:</w:t>
      </w:r>
      <w:r w:rsidR="00871B59" w:rsidRPr="007C1C94">
        <w:rPr>
          <w:rStyle w:val="normaltextrun"/>
          <w:rFonts w:ascii="Verdana" w:hAnsi="Verdana" w:cs="Arial"/>
          <w:shd w:val="clear" w:color="auto" w:fill="FFFFFF"/>
          <w:lang w:val="es-ES"/>
        </w:rPr>
        <w:t xml:space="preserve"> </w:t>
      </w:r>
      <w:hyperlink r:id="rId13" w:history="1">
        <w:r w:rsidR="00871B59" w:rsidRPr="007C1C94">
          <w:rPr>
            <w:rStyle w:val="Hipervnculo"/>
            <w:rFonts w:ascii="Verdana" w:hAnsi="Verdana" w:cs="Arial"/>
            <w:color w:val="auto"/>
            <w:shd w:val="clear" w:color="auto" w:fill="FFFFFF"/>
            <w:lang w:val="es-ES"/>
          </w:rPr>
          <w:t>https://relatoria.colombiacompra.gov.co/busqueda/conceptos</w:t>
        </w:r>
      </w:hyperlink>
    </w:p>
    <w:p w14:paraId="653CF3BE" w14:textId="77777777" w:rsidR="00871B59" w:rsidRPr="007C1C94" w:rsidRDefault="00871B59" w:rsidP="00871B59">
      <w:pPr>
        <w:widowControl w:val="0"/>
        <w:autoSpaceDE w:val="0"/>
        <w:autoSpaceDN w:val="0"/>
        <w:spacing w:after="0" w:line="276" w:lineRule="auto"/>
        <w:jc w:val="both"/>
        <w:rPr>
          <w:rStyle w:val="normaltextrun"/>
          <w:rFonts w:ascii="Verdana" w:hAnsi="Verdana" w:cs="Arial"/>
          <w:shd w:val="clear" w:color="auto" w:fill="FFFFFF"/>
          <w:lang w:val="es-ES"/>
        </w:rPr>
      </w:pPr>
    </w:p>
    <w:p w14:paraId="34210AFF" w14:textId="77777777" w:rsidR="00AD423B" w:rsidRPr="00F12E6B" w:rsidRDefault="00AD423B" w:rsidP="00F12E6B">
      <w:pPr>
        <w:spacing w:after="0" w:line="276" w:lineRule="auto"/>
        <w:jc w:val="both"/>
        <w:rPr>
          <w:rFonts w:ascii="Verdana" w:hAnsi="Verdana" w:cs="Arial"/>
          <w:shd w:val="clear" w:color="auto" w:fill="FFFFFF"/>
        </w:rPr>
      </w:pPr>
      <w:r w:rsidRPr="00F12E6B">
        <w:rPr>
          <w:rFonts w:ascii="Verdana" w:hAnsi="Verdana" w:cs="Arial"/>
          <w:shd w:val="clear" w:color="auto" w:fill="FFFFFF"/>
        </w:rPr>
        <w:t>Te informamos que ya se encuentra disponible la </w:t>
      </w:r>
      <w:r w:rsidRPr="00F12E6B">
        <w:rPr>
          <w:rFonts w:ascii="Verdana" w:hAnsi="Verdana" w:cs="Arial"/>
          <w:b/>
          <w:bCs/>
          <w:shd w:val="clear" w:color="auto" w:fill="FFFFFF"/>
        </w:rPr>
        <w:t>Cartilla para incentivar y fortalecer el acceso a las compras y contratación pública de los pueblos y comunidades étnicas en Colombia.</w:t>
      </w:r>
      <w:r w:rsidRPr="00F12E6B">
        <w:rPr>
          <w:rFonts w:ascii="Verdana" w:hAnsi="Verdana" w:cs="Arial"/>
          <w:shd w:val="clear" w:color="auto" w:fill="FFFFFF"/>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w:t>
      </w:r>
      <w:r w:rsidRPr="00F12E6B">
        <w:rPr>
          <w:rFonts w:ascii="Verdana" w:hAnsi="Verdana" w:cs="Arial"/>
          <w:shd w:val="clear" w:color="auto" w:fill="FFFFFF"/>
        </w:rPr>
        <w:lastRenderedPageBreak/>
        <w:t>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F12E6B">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0386D79" w14:textId="77777777" w:rsidR="00AD423B" w:rsidRPr="00F12E6B" w:rsidRDefault="00AD423B" w:rsidP="00F12E6B">
      <w:pPr>
        <w:spacing w:after="0" w:line="276" w:lineRule="auto"/>
        <w:jc w:val="both"/>
        <w:rPr>
          <w:rFonts w:ascii="Verdana" w:hAnsi="Verdana" w:cs="Arial"/>
          <w:shd w:val="clear" w:color="auto" w:fill="FFFFFF"/>
        </w:rPr>
      </w:pPr>
    </w:p>
    <w:p w14:paraId="72AF988C" w14:textId="7F677D22" w:rsidR="00AD423B" w:rsidRPr="00F12E6B" w:rsidRDefault="00AD423B" w:rsidP="00F12E6B">
      <w:pPr>
        <w:spacing w:after="0" w:line="276" w:lineRule="auto"/>
        <w:jc w:val="both"/>
        <w:rPr>
          <w:rFonts w:ascii="Verdana" w:hAnsi="Verdana" w:cs="Arial"/>
          <w:shd w:val="clear" w:color="auto" w:fill="FFFFFF"/>
        </w:rPr>
      </w:pPr>
      <w:r w:rsidRPr="00F12E6B">
        <w:rPr>
          <w:rFonts w:ascii="Verdana" w:hAnsi="Verdana" w:cs="Arial"/>
          <w:shd w:val="clear" w:color="auto" w:fill="FFFFFF"/>
        </w:rPr>
        <w:t>De otra parte, te informamos que, con el objetivo de garantizar un conocimiento adecuado de las </w:t>
      </w:r>
      <w:r w:rsidRPr="00F12E6B">
        <w:rPr>
          <w:rFonts w:ascii="Verdana" w:hAnsi="Verdana" w:cs="Arial"/>
          <w:b/>
          <w:bCs/>
          <w:shd w:val="clear" w:color="auto" w:fill="FFFFFF"/>
        </w:rPr>
        <w:t>modificaciones y/o actualizaciones realizadas a los Documentos Tipo</w:t>
      </w:r>
      <w:r w:rsidRPr="00F12E6B">
        <w:rPr>
          <w:rFonts w:ascii="Verdana" w:hAnsi="Verdana" w:cs="Arial"/>
          <w:shd w:val="clear" w:color="auto" w:fill="FFFFFF"/>
        </w:rPr>
        <w:t>, hemos programado una serie de </w:t>
      </w:r>
      <w:r w:rsidRPr="00F12E6B">
        <w:rPr>
          <w:rFonts w:ascii="Verdana" w:hAnsi="Verdana" w:cs="Arial"/>
          <w:b/>
          <w:bCs/>
          <w:shd w:val="clear" w:color="auto" w:fill="FFFFFF"/>
        </w:rPr>
        <w:t>capacitaciones </w:t>
      </w:r>
      <w:r w:rsidRPr="00F12E6B">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F12E6B">
          <w:rPr>
            <w:rStyle w:val="Hipervnculo"/>
            <w:rFonts w:ascii="Verdana" w:hAnsi="Verdana" w:cs="Arial"/>
            <w:shd w:val="clear" w:color="auto" w:fill="FFFFFF"/>
          </w:rPr>
          <w:t>Calendario | Colombia Compra Eficiente | Agencia Nacional de Contratación Pública</w:t>
        </w:r>
      </w:hyperlink>
    </w:p>
    <w:p w14:paraId="794C4E5F" w14:textId="77777777" w:rsidR="00AD423B" w:rsidRPr="00F12E6B" w:rsidRDefault="00AD423B" w:rsidP="00F12E6B">
      <w:pPr>
        <w:spacing w:after="0" w:line="276" w:lineRule="auto"/>
        <w:jc w:val="both"/>
        <w:rPr>
          <w:rFonts w:ascii="Verdana" w:hAnsi="Verdana" w:cs="Arial"/>
          <w:shd w:val="clear" w:color="auto" w:fill="FFFFFF"/>
        </w:rPr>
      </w:pPr>
    </w:p>
    <w:p w14:paraId="557C30BD" w14:textId="3B6A5504" w:rsidR="00AD423B" w:rsidRPr="00F12E6B" w:rsidRDefault="00AD423B" w:rsidP="00F12E6B">
      <w:pPr>
        <w:spacing w:after="0" w:line="276" w:lineRule="auto"/>
        <w:jc w:val="both"/>
        <w:rPr>
          <w:rFonts w:ascii="Verdana" w:hAnsi="Verdana" w:cs="Arial"/>
          <w:shd w:val="clear" w:color="auto" w:fill="FFFFFF"/>
        </w:rPr>
      </w:pPr>
      <w:r w:rsidRPr="00F12E6B">
        <w:rPr>
          <w:rFonts w:ascii="Verdana" w:hAnsi="Verdana" w:cs="Arial"/>
          <w:shd w:val="clear" w:color="auto" w:fill="FFFFFF"/>
        </w:rPr>
        <w:t>También, te contamos que ya publicamos </w:t>
      </w:r>
      <w:r w:rsidRPr="00F12E6B">
        <w:rPr>
          <w:rFonts w:ascii="Verdana" w:hAnsi="Verdana" w:cs="Arial"/>
          <w:b/>
          <w:bCs/>
          <w:shd w:val="clear" w:color="auto" w:fill="FFFFFF"/>
        </w:rPr>
        <w:t>la nueva Guía de Contratación Pública Sostenible y Socialmente Responsable</w:t>
      </w:r>
      <w:r w:rsidRPr="00F12E6B">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F12E6B">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543F713" w14:textId="77777777" w:rsidR="00AD423B" w:rsidRPr="00F12E6B" w:rsidRDefault="00AD423B" w:rsidP="00F12E6B">
      <w:pPr>
        <w:spacing w:after="0" w:line="276" w:lineRule="auto"/>
        <w:jc w:val="both"/>
        <w:rPr>
          <w:rFonts w:ascii="Verdana" w:hAnsi="Verdana"/>
        </w:rPr>
      </w:pPr>
    </w:p>
    <w:p w14:paraId="1570ED43" w14:textId="2582C81E" w:rsidR="008815E5" w:rsidRPr="00F12E6B" w:rsidRDefault="008815E5" w:rsidP="00F12E6B">
      <w:pPr>
        <w:spacing w:after="0" w:line="276" w:lineRule="auto"/>
        <w:jc w:val="both"/>
        <w:rPr>
          <w:rFonts w:ascii="Verdana" w:hAnsi="Verdana"/>
        </w:rPr>
      </w:pPr>
      <w:r w:rsidRPr="00F12E6B">
        <w:rPr>
          <w:rFonts w:ascii="Verdana" w:hAnsi="Verdana"/>
        </w:rPr>
        <w:t xml:space="preserve">Por último, lo invitamos a seguirnos en las redes sociales en las cuales se difunde información institucional: </w:t>
      </w:r>
    </w:p>
    <w:p w14:paraId="284AF384" w14:textId="77777777" w:rsidR="008815E5" w:rsidRPr="00F12E6B" w:rsidRDefault="008815E5" w:rsidP="00F12E6B">
      <w:pPr>
        <w:spacing w:after="0" w:line="276" w:lineRule="auto"/>
        <w:jc w:val="both"/>
        <w:rPr>
          <w:rFonts w:ascii="Verdana" w:hAnsi="Verdana"/>
        </w:rPr>
      </w:pPr>
    </w:p>
    <w:p w14:paraId="5E6CD010" w14:textId="77777777" w:rsidR="008815E5" w:rsidRPr="00F12E6B" w:rsidRDefault="008815E5" w:rsidP="00F12E6B">
      <w:pPr>
        <w:spacing w:after="0" w:line="276" w:lineRule="auto"/>
        <w:jc w:val="both"/>
        <w:rPr>
          <w:rFonts w:ascii="Verdana" w:hAnsi="Verdana"/>
        </w:rPr>
      </w:pPr>
      <w:r w:rsidRPr="00F12E6B">
        <w:rPr>
          <w:rFonts w:ascii="Verdana" w:hAnsi="Verdana"/>
        </w:rPr>
        <w:t xml:space="preserve">Twitter: </w:t>
      </w:r>
      <w:r w:rsidRPr="00F12E6B">
        <w:rPr>
          <w:rStyle w:val="Hipervnculo"/>
          <w:rFonts w:ascii="Verdana" w:hAnsi="Verdana"/>
          <w:color w:val="auto"/>
        </w:rPr>
        <w:t>@colombiacompra</w:t>
      </w:r>
      <w:r w:rsidRPr="00F12E6B">
        <w:rPr>
          <w:rFonts w:ascii="Verdana" w:hAnsi="Verdana"/>
        </w:rPr>
        <w:t xml:space="preserve"> </w:t>
      </w:r>
    </w:p>
    <w:p w14:paraId="0F76F019" w14:textId="77777777" w:rsidR="008815E5" w:rsidRPr="00F12E6B" w:rsidRDefault="008815E5" w:rsidP="00F12E6B">
      <w:pPr>
        <w:spacing w:after="0" w:line="276" w:lineRule="auto"/>
        <w:jc w:val="both"/>
        <w:rPr>
          <w:rFonts w:ascii="Verdana" w:hAnsi="Verdana"/>
        </w:rPr>
      </w:pPr>
      <w:r w:rsidRPr="00F12E6B">
        <w:rPr>
          <w:rFonts w:ascii="Verdana" w:hAnsi="Verdana"/>
        </w:rPr>
        <w:t xml:space="preserve">Facebook: </w:t>
      </w:r>
      <w:r w:rsidRPr="00F12E6B">
        <w:rPr>
          <w:rStyle w:val="Hipervnculo"/>
          <w:rFonts w:ascii="Verdana" w:hAnsi="Verdana"/>
          <w:color w:val="auto"/>
        </w:rPr>
        <w:t>ColombiaCompraEficiente</w:t>
      </w:r>
    </w:p>
    <w:p w14:paraId="60E5B357" w14:textId="77777777" w:rsidR="008815E5" w:rsidRPr="00F12E6B" w:rsidRDefault="008815E5" w:rsidP="00F12E6B">
      <w:pPr>
        <w:spacing w:after="0" w:line="276" w:lineRule="auto"/>
        <w:jc w:val="both"/>
        <w:rPr>
          <w:rFonts w:ascii="Verdana" w:hAnsi="Verdana"/>
        </w:rPr>
      </w:pPr>
      <w:r w:rsidRPr="00F12E6B">
        <w:rPr>
          <w:rFonts w:ascii="Verdana" w:hAnsi="Verdana"/>
        </w:rPr>
        <w:t xml:space="preserve">LinkedIn: </w:t>
      </w:r>
      <w:r w:rsidRPr="00F12E6B">
        <w:rPr>
          <w:rStyle w:val="Hipervnculo"/>
          <w:rFonts w:ascii="Verdana" w:hAnsi="Verdana"/>
          <w:color w:val="auto"/>
        </w:rPr>
        <w:t>Agencia Nacional de Contratación Pública - Colombia Compra Eficiente</w:t>
      </w:r>
      <w:r w:rsidRPr="00F12E6B">
        <w:rPr>
          <w:rFonts w:ascii="Verdana" w:hAnsi="Verdana"/>
        </w:rPr>
        <w:t xml:space="preserve"> Instagram: </w:t>
      </w:r>
      <w:r w:rsidRPr="00F12E6B">
        <w:rPr>
          <w:rStyle w:val="Hipervnculo"/>
          <w:rFonts w:ascii="Verdana" w:hAnsi="Verdana"/>
          <w:color w:val="auto"/>
        </w:rPr>
        <w:t>@colombiacompraeficiente_cce</w:t>
      </w:r>
    </w:p>
    <w:p w14:paraId="6980ECB3" w14:textId="77777777" w:rsidR="00871B59" w:rsidRPr="007C1C94"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7C1C94" w:rsidRDefault="00871B59" w:rsidP="00871B59">
      <w:pPr>
        <w:widowControl w:val="0"/>
        <w:autoSpaceDE w:val="0"/>
        <w:autoSpaceDN w:val="0"/>
        <w:spacing w:after="0" w:line="276" w:lineRule="auto"/>
        <w:jc w:val="both"/>
        <w:rPr>
          <w:rFonts w:ascii="Verdana" w:hAnsi="Verdana" w:cs="Arial"/>
          <w:lang w:val="es-ES_tradnl"/>
        </w:rPr>
      </w:pPr>
      <w:r w:rsidRPr="007C1C94">
        <w:rPr>
          <w:rFonts w:ascii="Verdana" w:hAnsi="Verdana" w:cs="Arial"/>
        </w:rPr>
        <w:t xml:space="preserve">Este concepto tiene el alcance previsto en el artículo 28 del Código de Procedimiento Administrativo y de lo Contencioso Administrativo </w:t>
      </w:r>
      <w:r w:rsidRPr="007C1C94">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7C1C94"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7C1C94" w:rsidRDefault="00871B59" w:rsidP="00871B59">
      <w:pPr>
        <w:spacing w:after="0" w:line="240" w:lineRule="auto"/>
        <w:rPr>
          <w:rFonts w:ascii="Verdana" w:hAnsi="Verdana" w:cs="Arial"/>
          <w:lang w:eastAsia="es-CO"/>
        </w:rPr>
      </w:pPr>
      <w:r w:rsidRPr="007C1C94">
        <w:rPr>
          <w:rFonts w:ascii="Verdana" w:eastAsia="Times New Roman" w:hAnsi="Verdana" w:cs="Arial"/>
          <w:lang w:eastAsia="es-CO"/>
        </w:rPr>
        <w:t>Atentamente,</w:t>
      </w:r>
      <w:r w:rsidRPr="007C1C94">
        <w:rPr>
          <w:rFonts w:ascii="Verdana" w:hAnsi="Verdana" w:cs="Arial"/>
          <w:lang w:eastAsia="es-CO"/>
        </w:rPr>
        <w:t xml:space="preserve"> </w:t>
      </w:r>
    </w:p>
    <w:p w14:paraId="7B21B32E" w14:textId="5ABF2E38" w:rsidR="00871B59" w:rsidRPr="007C1C94" w:rsidRDefault="00243117" w:rsidP="00871B59">
      <w:pPr>
        <w:spacing w:line="276" w:lineRule="auto"/>
        <w:jc w:val="center"/>
        <w:rPr>
          <w:rFonts w:ascii="Verdana" w:hAnsi="Verdana" w:cs="Arial"/>
          <w:lang w:val="es-ES_tradnl" w:eastAsia="es-CO"/>
        </w:rPr>
      </w:pPr>
      <w:r>
        <w:rPr>
          <w:noProof/>
        </w:rPr>
        <w:drawing>
          <wp:inline distT="0" distB="0" distL="0" distR="0" wp14:anchorId="735D13BA" wp14:editId="54CAAA4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1C94" w:rsidRPr="007C1C94" w14:paraId="2A20789D" w14:textId="77777777" w:rsidTr="002607A7">
        <w:trPr>
          <w:trHeight w:val="315"/>
        </w:trPr>
        <w:tc>
          <w:tcPr>
            <w:tcW w:w="893" w:type="dxa"/>
            <w:vAlign w:val="center"/>
            <w:hideMark/>
          </w:tcPr>
          <w:p w14:paraId="56E3D941" w14:textId="77777777" w:rsidR="00871B59" w:rsidRPr="007C1C94" w:rsidRDefault="00871B59" w:rsidP="002607A7">
            <w:pPr>
              <w:contextualSpacing/>
              <w:rPr>
                <w:rFonts w:ascii="Verdana" w:hAnsi="Verdana" w:cs="Arial"/>
                <w:sz w:val="16"/>
                <w:szCs w:val="16"/>
                <w:lang w:val="es-ES" w:eastAsia="es-ES"/>
              </w:rPr>
            </w:pPr>
            <w:r w:rsidRPr="007C1C9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50E4DD2D" w:rsidR="00871B59" w:rsidRPr="00F12E6B" w:rsidRDefault="007C1C94" w:rsidP="002607A7">
            <w:pPr>
              <w:contextualSpacing/>
              <w:rPr>
                <w:rStyle w:val="normaltextrun"/>
              </w:rPr>
            </w:pPr>
            <w:r w:rsidRPr="00F12E6B">
              <w:rPr>
                <w:rStyle w:val="normaltextrun"/>
                <w:rFonts w:ascii="Verdana" w:hAnsi="Verdana"/>
                <w:sz w:val="16"/>
                <w:szCs w:val="16"/>
              </w:rPr>
              <w:t>Ximena Ríos López</w:t>
            </w:r>
          </w:p>
          <w:p w14:paraId="27134A92" w14:textId="1220420E" w:rsidR="00871B59" w:rsidRPr="007C1C94" w:rsidRDefault="007C1C94" w:rsidP="002607A7">
            <w:pPr>
              <w:contextualSpacing/>
              <w:rPr>
                <w:rFonts w:ascii="Verdana" w:eastAsia="Arial" w:hAnsi="Verdana" w:cs="Arial"/>
                <w:sz w:val="16"/>
                <w:szCs w:val="16"/>
              </w:rPr>
            </w:pPr>
            <w:r>
              <w:rPr>
                <w:rStyle w:val="normaltextrun"/>
                <w:rFonts w:ascii="Verdana" w:eastAsia="Arial" w:hAnsi="Verdana" w:cs="Arial"/>
                <w:sz w:val="16"/>
                <w:szCs w:val="16"/>
              </w:rPr>
              <w:t xml:space="preserve">Gestor T1-11 </w:t>
            </w:r>
            <w:r w:rsidR="00871B59" w:rsidRPr="007C1C94">
              <w:rPr>
                <w:rStyle w:val="normaltextrun"/>
                <w:rFonts w:ascii="Verdana" w:eastAsia="Arial" w:hAnsi="Verdana" w:cs="Arial"/>
                <w:sz w:val="16"/>
                <w:szCs w:val="16"/>
              </w:rPr>
              <w:t>de la Subdirección de Gestión Contractual</w:t>
            </w:r>
          </w:p>
        </w:tc>
      </w:tr>
      <w:tr w:rsidR="007C1C94" w:rsidRPr="007C1C94" w14:paraId="409BBACC" w14:textId="77777777" w:rsidTr="002607A7">
        <w:trPr>
          <w:trHeight w:val="330"/>
        </w:trPr>
        <w:tc>
          <w:tcPr>
            <w:tcW w:w="893" w:type="dxa"/>
            <w:vAlign w:val="center"/>
            <w:hideMark/>
          </w:tcPr>
          <w:p w14:paraId="3ABFF401" w14:textId="77777777" w:rsidR="00871B59" w:rsidRPr="007C1C94" w:rsidRDefault="00871B59" w:rsidP="002607A7">
            <w:pPr>
              <w:contextualSpacing/>
              <w:rPr>
                <w:rFonts w:ascii="Verdana" w:hAnsi="Verdana" w:cs="Arial"/>
                <w:sz w:val="16"/>
                <w:szCs w:val="16"/>
                <w:lang w:val="es-ES" w:eastAsia="es-ES"/>
              </w:rPr>
            </w:pPr>
            <w:r w:rsidRPr="007C1C9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265CA446" w:rsidR="00871B59" w:rsidRPr="00184489" w:rsidRDefault="00184489" w:rsidP="002607A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Diana Saavedra</w:t>
            </w:r>
          </w:p>
          <w:p w14:paraId="408B71DB" w14:textId="2CE0CEAA" w:rsidR="00871B59" w:rsidRPr="007C1C94" w:rsidRDefault="007C1C94" w:rsidP="002607A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00871B59" w:rsidRPr="007C1C94">
              <w:rPr>
                <w:rStyle w:val="normaltextrun"/>
                <w:rFonts w:ascii="Verdana" w:hAnsi="Verdana" w:cs="Arial"/>
                <w:sz w:val="16"/>
                <w:szCs w:val="16"/>
                <w:lang w:val="es-ES"/>
              </w:rPr>
              <w:t>de la Subdirección de Gestión Contractual</w:t>
            </w:r>
            <w:r w:rsidR="00871B59" w:rsidRPr="007C1C94">
              <w:rPr>
                <w:rStyle w:val="eop"/>
                <w:rFonts w:ascii="Verdana" w:hAnsi="Verdana" w:cs="Arial"/>
                <w:sz w:val="16"/>
                <w:szCs w:val="16"/>
              </w:rPr>
              <w:t> </w:t>
            </w:r>
          </w:p>
        </w:tc>
      </w:tr>
      <w:tr w:rsidR="00871B59" w:rsidRPr="007C1C94" w14:paraId="2A81CFC8" w14:textId="77777777" w:rsidTr="002607A7">
        <w:trPr>
          <w:trHeight w:val="300"/>
        </w:trPr>
        <w:tc>
          <w:tcPr>
            <w:tcW w:w="893" w:type="dxa"/>
            <w:vAlign w:val="center"/>
          </w:tcPr>
          <w:p w14:paraId="3159EE97" w14:textId="77777777" w:rsidR="00871B59" w:rsidRPr="007C1C94" w:rsidRDefault="00871B59" w:rsidP="002607A7">
            <w:pPr>
              <w:contextualSpacing/>
              <w:rPr>
                <w:rFonts w:ascii="Verdana" w:hAnsi="Verdana" w:cs="Arial"/>
                <w:sz w:val="16"/>
                <w:szCs w:val="16"/>
                <w:lang w:val="es-ES" w:eastAsia="es-ES"/>
              </w:rPr>
            </w:pPr>
            <w:r w:rsidRPr="007C1C9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7C1C94" w:rsidRDefault="00871B59" w:rsidP="002607A7">
            <w:pPr>
              <w:contextualSpacing/>
              <w:rPr>
                <w:rFonts w:ascii="Verdana" w:eastAsia="Calibri" w:hAnsi="Verdana" w:cs="Arial"/>
                <w:sz w:val="16"/>
                <w:szCs w:val="16"/>
                <w:lang w:val="pt-BR" w:eastAsia="es-ES"/>
              </w:rPr>
            </w:pPr>
            <w:r w:rsidRPr="007C1C94">
              <w:rPr>
                <w:rFonts w:ascii="Verdana" w:eastAsia="Calibri" w:hAnsi="Verdana" w:cs="Arial"/>
                <w:sz w:val="16"/>
                <w:szCs w:val="16"/>
                <w:lang w:val="pt-BR" w:eastAsia="es-ES"/>
              </w:rPr>
              <w:t>Carolina Quintero Gacharná</w:t>
            </w:r>
          </w:p>
          <w:p w14:paraId="6EE38C14" w14:textId="77777777" w:rsidR="00871B59" w:rsidRPr="007C1C94" w:rsidRDefault="00871B59" w:rsidP="002607A7">
            <w:pPr>
              <w:contextualSpacing/>
              <w:rPr>
                <w:rFonts w:ascii="Verdana" w:eastAsia="Calibri" w:hAnsi="Verdana" w:cs="Arial"/>
                <w:sz w:val="16"/>
                <w:szCs w:val="16"/>
                <w:lang w:val="pt-BR" w:eastAsia="es-ES"/>
              </w:rPr>
            </w:pPr>
            <w:r w:rsidRPr="007C1C94">
              <w:rPr>
                <w:rFonts w:ascii="Verdana" w:eastAsia="Calibri" w:hAnsi="Verdana" w:cs="Arial"/>
                <w:sz w:val="16"/>
                <w:szCs w:val="16"/>
                <w:lang w:eastAsia="es-ES"/>
              </w:rPr>
              <w:t>Subdirectora</w:t>
            </w:r>
            <w:r w:rsidRPr="007C1C94">
              <w:rPr>
                <w:rFonts w:ascii="Verdana" w:eastAsia="Calibri" w:hAnsi="Verdana" w:cs="Arial"/>
                <w:sz w:val="16"/>
                <w:szCs w:val="16"/>
                <w:lang w:val="pt-BR" w:eastAsia="es-ES"/>
              </w:rPr>
              <w:t xml:space="preserve"> de Gestión Contractual ANCP – CCE</w:t>
            </w:r>
          </w:p>
        </w:tc>
      </w:tr>
      <w:tr w:rsidR="00CE034A" w:rsidRPr="007C1C94" w14:paraId="54F16F13" w14:textId="77777777" w:rsidTr="002607A7">
        <w:trPr>
          <w:trHeight w:val="300"/>
        </w:trPr>
        <w:tc>
          <w:tcPr>
            <w:tcW w:w="893" w:type="dxa"/>
            <w:vAlign w:val="center"/>
          </w:tcPr>
          <w:p w14:paraId="56B00416" w14:textId="4B7D9C6F" w:rsidR="00CE034A" w:rsidRPr="007C1C94" w:rsidRDefault="00CE034A" w:rsidP="002607A7">
            <w:pPr>
              <w:contextualSpacing/>
              <w:rPr>
                <w:rFonts w:ascii="Verdana" w:hAnsi="Verdana" w:cs="Arial"/>
                <w:sz w:val="16"/>
                <w:szCs w:val="16"/>
                <w:lang w:val="es-ES" w:eastAsia="es-ES"/>
              </w:rPr>
            </w:pPr>
            <w:r>
              <w:rPr>
                <w:rFonts w:ascii="Verdana" w:hAnsi="Verdana" w:cs="Arial"/>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9999B8E" w14:textId="3DFF1AAA" w:rsidR="00CE034A" w:rsidRPr="007C1C94" w:rsidRDefault="00CE034A" w:rsidP="002607A7">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Respuesta IDT.</w:t>
            </w:r>
          </w:p>
        </w:tc>
      </w:tr>
    </w:tbl>
    <w:p w14:paraId="510CF084" w14:textId="77777777" w:rsidR="00871B59" w:rsidRPr="007C1C94" w:rsidRDefault="00871B59" w:rsidP="00871B59">
      <w:pPr>
        <w:spacing w:after="0" w:line="240" w:lineRule="auto"/>
        <w:rPr>
          <w:rFonts w:ascii="Verdana" w:eastAsia="Times New Roman" w:hAnsi="Verdana" w:cs="Arial"/>
          <w:sz w:val="24"/>
          <w:szCs w:val="24"/>
          <w:lang w:eastAsia="es-ES"/>
        </w:rPr>
      </w:pPr>
    </w:p>
    <w:p w14:paraId="0083C991" w14:textId="5C765C2F" w:rsidR="5D8505AD" w:rsidRPr="007C1C94" w:rsidRDefault="5D8505AD" w:rsidP="00871B59"/>
    <w:sectPr w:rsidR="5D8505AD" w:rsidRPr="007C1C94"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CFCE1" w14:textId="77777777" w:rsidR="00C122FA" w:rsidRDefault="00C122FA" w:rsidP="00B30448">
      <w:pPr>
        <w:spacing w:after="0" w:line="240" w:lineRule="auto"/>
      </w:pPr>
      <w:r>
        <w:separator/>
      </w:r>
    </w:p>
  </w:endnote>
  <w:endnote w:type="continuationSeparator" w:id="0">
    <w:p w14:paraId="22C0F741" w14:textId="77777777" w:rsidR="00C122FA" w:rsidRDefault="00C122FA" w:rsidP="00B30448">
      <w:pPr>
        <w:spacing w:after="0" w:line="240" w:lineRule="auto"/>
      </w:pPr>
      <w:r>
        <w:continuationSeparator/>
      </w:r>
    </w:p>
  </w:endnote>
  <w:endnote w:type="continuationNotice" w:id="1">
    <w:p w14:paraId="54E20617" w14:textId="77777777" w:rsidR="00C122FA" w:rsidRDefault="00C122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DFFB" w14:textId="77777777" w:rsidR="00C122FA" w:rsidRDefault="00C122FA" w:rsidP="00B30448">
      <w:pPr>
        <w:spacing w:after="0" w:line="240" w:lineRule="auto"/>
      </w:pPr>
      <w:r>
        <w:separator/>
      </w:r>
    </w:p>
  </w:footnote>
  <w:footnote w:type="continuationSeparator" w:id="0">
    <w:p w14:paraId="40540F3B" w14:textId="77777777" w:rsidR="00C122FA" w:rsidRDefault="00C122FA" w:rsidP="00B30448">
      <w:pPr>
        <w:spacing w:after="0" w:line="240" w:lineRule="auto"/>
      </w:pPr>
      <w:r>
        <w:continuationSeparator/>
      </w:r>
    </w:p>
  </w:footnote>
  <w:footnote w:type="continuationNotice" w:id="1">
    <w:p w14:paraId="6CFAFB78" w14:textId="77777777" w:rsidR="00C122FA" w:rsidRDefault="00C122FA">
      <w:pPr>
        <w:spacing w:after="0" w:line="240" w:lineRule="auto"/>
      </w:pPr>
    </w:p>
  </w:footnote>
  <w:footnote w:id="2">
    <w:p w14:paraId="354B4B3C" w14:textId="77777777" w:rsidR="00FD3670" w:rsidRDefault="00FD3670" w:rsidP="00FD3670">
      <w:pPr>
        <w:pStyle w:val="Textonotapie"/>
        <w:ind w:firstLine="709"/>
        <w:contextualSpacing/>
        <w:jc w:val="both"/>
        <w:rPr>
          <w:rFonts w:ascii="Verdana" w:hAnsi="Verdana" w:cs="Arial"/>
          <w:color w:val="000000" w:themeColor="text1"/>
          <w:sz w:val="18"/>
          <w:szCs w:val="18"/>
        </w:rPr>
      </w:pPr>
      <w:r w:rsidRPr="00424097">
        <w:rPr>
          <w:rStyle w:val="Refdenotaalpie"/>
          <w:rFonts w:ascii="Verdana" w:hAnsi="Verdana" w:cs="Arial"/>
          <w:color w:val="000000" w:themeColor="text1"/>
          <w:sz w:val="18"/>
          <w:szCs w:val="18"/>
        </w:rPr>
        <w:footnoteRef/>
      </w:r>
      <w:r w:rsidRPr="00424097">
        <w:rPr>
          <w:rFonts w:ascii="Verdana" w:hAnsi="Verdana" w:cs="Arial"/>
          <w:color w:val="000000" w:themeColor="text1"/>
          <w:sz w:val="18"/>
          <w:szCs w:val="18"/>
        </w:rPr>
        <w:t xml:space="preserve"> Corte Constitucional. Sentencia C- 341 del 4 de junio de 2014. M. P. Mauricio González Cuervo.</w:t>
      </w:r>
    </w:p>
    <w:p w14:paraId="3E410464" w14:textId="77777777" w:rsidR="00424097" w:rsidRPr="00424097" w:rsidRDefault="00424097" w:rsidP="00FD3670">
      <w:pPr>
        <w:pStyle w:val="Textonotapie"/>
        <w:ind w:firstLine="709"/>
        <w:contextualSpacing/>
        <w:jc w:val="both"/>
        <w:rPr>
          <w:rFonts w:ascii="Verdana" w:hAnsi="Verdana" w:cs="Arial"/>
          <w:color w:val="000000" w:themeColor="text1"/>
          <w:sz w:val="18"/>
          <w:szCs w:val="18"/>
        </w:rPr>
      </w:pPr>
    </w:p>
  </w:footnote>
  <w:footnote w:id="3">
    <w:p w14:paraId="24920076"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Style w:val="Refdenotaalpie"/>
          <w:rFonts w:ascii="Verdana" w:hAnsi="Verdana" w:cs="Arial"/>
          <w:color w:val="000000" w:themeColor="text1"/>
          <w:sz w:val="18"/>
          <w:szCs w:val="18"/>
        </w:rPr>
        <w:footnoteRef/>
      </w:r>
      <w:r w:rsidRPr="00424097">
        <w:rPr>
          <w:rFonts w:ascii="Verdana" w:hAnsi="Verdana"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028632C"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Lo anterior, sin perjuicio de las publicaciones previstas en el numeral 3 del artículo 30 de la Ley 80 de 1993.</w:t>
      </w:r>
    </w:p>
    <w:p w14:paraId="78713A37"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2AD348C4"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w:t>
      </w:r>
    </w:p>
    <w:p w14:paraId="069B598E" w14:textId="77777777" w:rsidR="00FD3670"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7153580B" w14:textId="77777777" w:rsidR="00424097" w:rsidRPr="00424097" w:rsidRDefault="00424097" w:rsidP="00FD3670">
      <w:pPr>
        <w:pStyle w:val="Textonotapie"/>
        <w:ind w:firstLine="709"/>
        <w:contextualSpacing/>
        <w:jc w:val="both"/>
        <w:rPr>
          <w:rFonts w:ascii="Verdana" w:hAnsi="Verdana" w:cs="Arial"/>
          <w:color w:val="000000" w:themeColor="text1"/>
          <w:sz w:val="18"/>
          <w:szCs w:val="18"/>
        </w:rPr>
      </w:pPr>
    </w:p>
  </w:footnote>
  <w:footnote w:id="4">
    <w:p w14:paraId="10C7419B" w14:textId="77777777" w:rsidR="00FD3670" w:rsidRPr="00424097" w:rsidRDefault="00FD3670" w:rsidP="00FD3670">
      <w:pPr>
        <w:spacing w:after="0" w:line="240" w:lineRule="auto"/>
        <w:ind w:firstLine="707"/>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vertAlign w:val="superscript"/>
        </w:rPr>
        <w:t xml:space="preserve"> </w:t>
      </w:r>
      <w:r w:rsidRPr="00424097">
        <w:rPr>
          <w:rFonts w:ascii="Verdana" w:hAnsi="Verdana" w:cs="Arial"/>
          <w:sz w:val="18"/>
          <w:szCs w:val="18"/>
        </w:rPr>
        <w:t>Ley 1712 de 2014: “Artículo 2. Toda información en posesión, bajo control o custodia de un sujeto obligado es pública y no podrá ser reservada o limitada sino por disposición constitucional o legal, de conformidad con la presente ley”.</w:t>
      </w:r>
    </w:p>
  </w:footnote>
  <w:footnote w:id="5">
    <w:p w14:paraId="43F1D90A" w14:textId="77777777" w:rsidR="00424097" w:rsidRDefault="00424097" w:rsidP="00FD3670">
      <w:pPr>
        <w:pStyle w:val="Textonotapie"/>
        <w:ind w:firstLine="707"/>
        <w:contextualSpacing/>
        <w:jc w:val="both"/>
        <w:rPr>
          <w:rFonts w:ascii="Verdana" w:hAnsi="Verdana" w:cs="Arial"/>
          <w:sz w:val="18"/>
          <w:szCs w:val="18"/>
          <w:vertAlign w:val="superscript"/>
        </w:rPr>
      </w:pPr>
    </w:p>
    <w:p w14:paraId="472C8072" w14:textId="25658D7E" w:rsidR="00FD3670" w:rsidRPr="00424097" w:rsidRDefault="00FD3670" w:rsidP="00FD3670">
      <w:pPr>
        <w:pStyle w:val="Textonotapie"/>
        <w:ind w:firstLine="707"/>
        <w:contextualSpacing/>
        <w:jc w:val="both"/>
        <w:rPr>
          <w:rFonts w:ascii="Verdana" w:hAnsi="Verdana" w:cs="Arial"/>
          <w:sz w:val="18"/>
          <w:szCs w:val="18"/>
          <w:lang w:val="es-CO"/>
        </w:rPr>
      </w:pPr>
      <w:r w:rsidRPr="00424097">
        <w:rPr>
          <w:rStyle w:val="Refdenotaalpie"/>
          <w:rFonts w:ascii="Verdana" w:hAnsi="Verdana" w:cs="Arial"/>
          <w:sz w:val="18"/>
          <w:szCs w:val="18"/>
        </w:rPr>
        <w:footnoteRef/>
      </w:r>
      <w:r w:rsidRPr="00424097">
        <w:rPr>
          <w:rFonts w:ascii="Verdana" w:hAnsi="Verdana" w:cs="Arial"/>
          <w:sz w:val="18"/>
          <w:szCs w:val="18"/>
          <w:vertAlign w:val="superscript"/>
        </w:rPr>
        <w:t xml:space="preserve"> </w:t>
      </w:r>
      <w:r w:rsidRPr="00424097">
        <w:rPr>
          <w:rFonts w:ascii="Verdana" w:hAnsi="Verdana" w:cs="Arial"/>
          <w:sz w:val="18"/>
          <w:szCs w:val="18"/>
        </w:rPr>
        <w:t xml:space="preserve">Ley 1712 de 2014: “Artículo 3. </w:t>
      </w:r>
      <w:bookmarkStart w:id="1" w:name="3"/>
      <w:r w:rsidRPr="00424097">
        <w:rPr>
          <w:rFonts w:ascii="Verdana" w:hAnsi="Verdana" w:cs="Arial"/>
          <w:sz w:val="18"/>
          <w:szCs w:val="18"/>
          <w:lang w:val="es-CO"/>
        </w:rPr>
        <w:t>Otros principios de la transparencia y acceso a la información pública.</w:t>
      </w:r>
      <w:bookmarkEnd w:id="1"/>
      <w:r w:rsidRPr="00424097">
        <w:rPr>
          <w:rFonts w:ascii="Verdana" w:hAnsi="Verdana" w:cs="Arial"/>
          <w:sz w:val="18"/>
          <w:szCs w:val="18"/>
          <w:lang w:val="es-CO"/>
        </w:rPr>
        <w:t> </w:t>
      </w:r>
    </w:p>
    <w:p w14:paraId="1148648B" w14:textId="77777777" w:rsidR="00FD3670" w:rsidRPr="00424097" w:rsidRDefault="00FD3670" w:rsidP="00FD3670">
      <w:pPr>
        <w:pStyle w:val="Textonotapie"/>
        <w:ind w:firstLine="707"/>
        <w:contextualSpacing/>
        <w:jc w:val="both"/>
        <w:rPr>
          <w:rFonts w:ascii="Verdana" w:hAnsi="Verdana" w:cs="Arial"/>
          <w:sz w:val="18"/>
          <w:szCs w:val="18"/>
          <w:lang w:val="es-CO"/>
        </w:rPr>
      </w:pPr>
      <w:r w:rsidRPr="00424097">
        <w:rPr>
          <w:rFonts w:ascii="Verdana" w:hAnsi="Verdana" w:cs="Arial"/>
          <w:sz w:val="18"/>
          <w:szCs w:val="18"/>
          <w:lang w:val="es-CO"/>
        </w:rPr>
        <w:t>[…]</w:t>
      </w:r>
    </w:p>
    <w:p w14:paraId="2145D4C8" w14:textId="77777777" w:rsidR="00FD3670" w:rsidRDefault="00FD3670" w:rsidP="00FD3670">
      <w:pPr>
        <w:pStyle w:val="Textonotapie"/>
        <w:ind w:firstLine="707"/>
        <w:contextualSpacing/>
        <w:jc w:val="both"/>
        <w:rPr>
          <w:rFonts w:ascii="Verdana" w:hAnsi="Verdana" w:cs="Arial"/>
          <w:sz w:val="18"/>
          <w:szCs w:val="18"/>
        </w:rPr>
      </w:pPr>
      <w:r w:rsidRPr="00424097">
        <w:rPr>
          <w:rStyle w:val="baj"/>
          <w:rFonts w:ascii="Verdana" w:hAnsi="Verdana" w:cs="Arial"/>
          <w:sz w:val="18"/>
          <w:szCs w:val="18"/>
        </w:rPr>
        <w:t>Principio de transparencia</w:t>
      </w:r>
      <w:r w:rsidRPr="00424097">
        <w:rPr>
          <w:rFonts w:ascii="Verdana" w:hAnsi="Verdana" w:cs="Arial"/>
          <w:sz w:val="18"/>
          <w:szCs w:val="18"/>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28F3229C" w14:textId="77777777" w:rsidR="00424097" w:rsidRPr="00424097" w:rsidRDefault="00424097" w:rsidP="00FD3670">
      <w:pPr>
        <w:pStyle w:val="Textonotapie"/>
        <w:ind w:firstLine="707"/>
        <w:contextualSpacing/>
        <w:jc w:val="both"/>
        <w:rPr>
          <w:rFonts w:ascii="Verdana" w:hAnsi="Verdana" w:cs="Arial"/>
          <w:sz w:val="18"/>
          <w:szCs w:val="18"/>
        </w:rPr>
      </w:pPr>
    </w:p>
  </w:footnote>
  <w:footnote w:id="6">
    <w:p w14:paraId="0F00BD8C" w14:textId="77777777" w:rsidR="00FD3670" w:rsidRPr="00424097" w:rsidRDefault="00FD3670" w:rsidP="00FD3670">
      <w:pPr>
        <w:pStyle w:val="Textonotapie"/>
        <w:ind w:firstLine="707"/>
        <w:contextualSpacing/>
        <w:jc w:val="both"/>
        <w:rPr>
          <w:rFonts w:ascii="Verdana" w:hAnsi="Verdana" w:cs="Arial"/>
          <w:sz w:val="18"/>
          <w:szCs w:val="18"/>
          <w:lang w:val="es-CO"/>
        </w:rPr>
      </w:pPr>
      <w:r w:rsidRPr="00424097">
        <w:rPr>
          <w:rStyle w:val="Refdenotaalpie"/>
          <w:rFonts w:ascii="Verdana" w:hAnsi="Verdana" w:cs="Arial"/>
          <w:sz w:val="18"/>
          <w:szCs w:val="18"/>
        </w:rPr>
        <w:footnoteRef/>
      </w:r>
      <w:r w:rsidRPr="00424097">
        <w:rPr>
          <w:rFonts w:ascii="Verdana" w:hAnsi="Verdana" w:cs="Arial"/>
          <w:sz w:val="18"/>
          <w:szCs w:val="18"/>
          <w:vertAlign w:val="superscript"/>
        </w:rPr>
        <w:t xml:space="preserve"> </w:t>
      </w:r>
      <w:r w:rsidRPr="00424097">
        <w:rPr>
          <w:rFonts w:ascii="Verdana" w:hAnsi="Verdana" w:cs="Arial"/>
          <w:sz w:val="18"/>
          <w:szCs w:val="18"/>
        </w:rPr>
        <w:t xml:space="preserve">Ley 1712 de 2014: “Artículo 3. </w:t>
      </w:r>
      <w:r w:rsidRPr="00424097">
        <w:rPr>
          <w:rFonts w:ascii="Verdana" w:hAnsi="Verdana" w:cs="Arial"/>
          <w:sz w:val="18"/>
          <w:szCs w:val="18"/>
          <w:lang w:val="es-CO"/>
        </w:rPr>
        <w:t>Otros principios de la transparencia y acceso a la información pública. </w:t>
      </w:r>
    </w:p>
    <w:p w14:paraId="2A7462E0" w14:textId="77777777" w:rsidR="00FD3670" w:rsidRPr="00424097" w:rsidRDefault="00FD3670" w:rsidP="00FD3670">
      <w:pPr>
        <w:pStyle w:val="Textonotapie"/>
        <w:ind w:firstLine="707"/>
        <w:contextualSpacing/>
        <w:jc w:val="both"/>
        <w:rPr>
          <w:rStyle w:val="baj"/>
          <w:rFonts w:ascii="Verdana" w:hAnsi="Verdana" w:cs="Arial"/>
          <w:sz w:val="18"/>
          <w:szCs w:val="18"/>
          <w:lang w:val="es-ES"/>
        </w:rPr>
      </w:pPr>
      <w:r w:rsidRPr="00424097">
        <w:rPr>
          <w:rFonts w:ascii="Verdana" w:hAnsi="Verdana" w:cs="Arial"/>
          <w:sz w:val="18"/>
          <w:szCs w:val="18"/>
          <w:lang w:val="es-ES"/>
        </w:rPr>
        <w:t>[…]</w:t>
      </w:r>
    </w:p>
    <w:p w14:paraId="4E01FBFF" w14:textId="77777777" w:rsidR="00FD3670" w:rsidRDefault="00FD3670" w:rsidP="00FD3670">
      <w:pPr>
        <w:pStyle w:val="Textonotapie"/>
        <w:ind w:firstLine="707"/>
        <w:contextualSpacing/>
        <w:jc w:val="both"/>
        <w:rPr>
          <w:rFonts w:ascii="Verdana" w:hAnsi="Verdana" w:cs="Arial"/>
          <w:sz w:val="18"/>
          <w:szCs w:val="18"/>
        </w:rPr>
      </w:pPr>
      <w:r w:rsidRPr="00424097">
        <w:rPr>
          <w:rStyle w:val="baj"/>
          <w:rFonts w:ascii="Verdana" w:hAnsi="Verdana" w:cs="Arial"/>
          <w:sz w:val="18"/>
          <w:szCs w:val="18"/>
        </w:rPr>
        <w:t>Principio de buena fe</w:t>
      </w:r>
      <w:r w:rsidRPr="00424097">
        <w:rPr>
          <w:rFonts w:ascii="Verdana" w:hAnsi="Verdana" w:cs="Arial"/>
          <w:sz w:val="18"/>
          <w:szCs w:val="18"/>
        </w:rPr>
        <w:t>. En virtud del cual todo sujeto obligado, al cumplir con las obligaciones derivadas del derecho de acceso a la información pública, lo hará con motivación honesta, leal y desprovista de cualquier intención dolosa o culposa.</w:t>
      </w:r>
    </w:p>
    <w:p w14:paraId="5D504D61" w14:textId="77777777" w:rsidR="00424097" w:rsidRPr="00424097" w:rsidRDefault="00424097" w:rsidP="00FD3670">
      <w:pPr>
        <w:pStyle w:val="Textonotapie"/>
        <w:ind w:firstLine="707"/>
        <w:contextualSpacing/>
        <w:jc w:val="both"/>
        <w:rPr>
          <w:rFonts w:ascii="Verdana" w:hAnsi="Verdana" w:cs="Arial"/>
          <w:sz w:val="18"/>
          <w:szCs w:val="18"/>
          <w:lang w:val="es-ES"/>
        </w:rPr>
      </w:pPr>
    </w:p>
  </w:footnote>
  <w:footnote w:id="7">
    <w:p w14:paraId="3D2D508F" w14:textId="77777777" w:rsidR="00FD3670" w:rsidRPr="00424097" w:rsidRDefault="00FD3670" w:rsidP="00FD3670">
      <w:pPr>
        <w:pStyle w:val="Textonotapie"/>
        <w:ind w:firstLine="707"/>
        <w:contextualSpacing/>
        <w:jc w:val="both"/>
        <w:rPr>
          <w:rFonts w:ascii="Verdana" w:hAnsi="Verdana" w:cs="Arial"/>
          <w:sz w:val="18"/>
          <w:szCs w:val="18"/>
          <w:shd w:val="clear" w:color="auto" w:fill="FFFFFF"/>
        </w:rPr>
      </w:pPr>
      <w:r w:rsidRPr="00424097">
        <w:rPr>
          <w:rStyle w:val="Refdenotaalpie"/>
          <w:rFonts w:ascii="Verdana" w:hAnsi="Verdana" w:cs="Arial"/>
          <w:sz w:val="18"/>
          <w:szCs w:val="18"/>
        </w:rPr>
        <w:footnoteRef/>
      </w:r>
      <w:r w:rsidRPr="00424097">
        <w:rPr>
          <w:rFonts w:ascii="Verdana" w:hAnsi="Verdana" w:cs="Arial"/>
          <w:sz w:val="18"/>
          <w:szCs w:val="18"/>
        </w:rPr>
        <w:t xml:space="preserve"> Ley 1712 de 2014: “Artículo 9. </w:t>
      </w:r>
      <w:r w:rsidRPr="00424097">
        <w:rPr>
          <w:rFonts w:ascii="Verdana" w:hAnsi="Verdana" w:cs="Arial"/>
          <w:sz w:val="18"/>
          <w:szCs w:val="18"/>
          <w:shd w:val="clear" w:color="auto" w:fill="FFFFFF"/>
        </w:rPr>
        <w:t> </w:t>
      </w:r>
      <w:r w:rsidRPr="00424097">
        <w:rPr>
          <w:rStyle w:val="nfasis"/>
          <w:rFonts w:ascii="Verdana" w:hAnsi="Verdana" w:cs="Arial"/>
          <w:sz w:val="18"/>
          <w:szCs w:val="18"/>
          <w:shd w:val="clear" w:color="auto" w:fill="FFFFFF"/>
        </w:rPr>
        <w:t>Información mínima obligatoria respecto a la estructura del sujeto obligado. </w:t>
      </w:r>
      <w:r w:rsidRPr="00424097">
        <w:rPr>
          <w:rFonts w:ascii="Verdana" w:hAnsi="Verdana" w:cs="Arial"/>
          <w:sz w:val="18"/>
          <w:szCs w:val="18"/>
          <w:shd w:val="clear" w:color="auto" w:fill="FFFFFF"/>
        </w:rPr>
        <w:t>Todo sujeto obligado deberá publicar la siguiente información mínima obligatoria de manera proactiva en los sistemas de información del Estado o herramientas que lo sustituyan:</w:t>
      </w:r>
    </w:p>
    <w:p w14:paraId="0E785F82" w14:textId="77777777" w:rsidR="00FD3670" w:rsidRPr="00424097" w:rsidRDefault="00FD3670" w:rsidP="00FD3670">
      <w:pPr>
        <w:pStyle w:val="Textonotapie"/>
        <w:ind w:firstLine="707"/>
        <w:contextualSpacing/>
        <w:jc w:val="both"/>
        <w:rPr>
          <w:rFonts w:ascii="Verdana" w:hAnsi="Verdana" w:cs="Arial"/>
          <w:sz w:val="18"/>
          <w:szCs w:val="18"/>
          <w:shd w:val="clear" w:color="auto" w:fill="FFFFFF"/>
        </w:rPr>
      </w:pPr>
      <w:r w:rsidRPr="00424097">
        <w:rPr>
          <w:rFonts w:ascii="Verdana" w:hAnsi="Verdana" w:cs="Arial"/>
          <w:sz w:val="18"/>
          <w:szCs w:val="18"/>
          <w:shd w:val="clear" w:color="auto" w:fill="FFFFFF"/>
        </w:rPr>
        <w:t>[…]</w:t>
      </w:r>
    </w:p>
    <w:p w14:paraId="3AF4C4BC" w14:textId="77777777" w:rsidR="00FD3670" w:rsidRPr="00424097" w:rsidRDefault="00FD3670" w:rsidP="00FD3670">
      <w:pPr>
        <w:pStyle w:val="Textonotapie"/>
        <w:ind w:firstLine="707"/>
        <w:contextualSpacing/>
        <w:jc w:val="both"/>
        <w:rPr>
          <w:rFonts w:ascii="Verdana" w:hAnsi="Verdana" w:cs="Arial"/>
          <w:sz w:val="18"/>
          <w:szCs w:val="18"/>
        </w:rPr>
      </w:pPr>
      <w:r w:rsidRPr="00424097">
        <w:rPr>
          <w:rFonts w:ascii="Verdana" w:hAnsi="Verdana" w:cs="Arial"/>
          <w:sz w:val="18"/>
          <w:szCs w:val="18"/>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424097">
        <w:rPr>
          <w:rFonts w:ascii="Verdana" w:hAnsi="Verdana" w:cs="Arial"/>
          <w:sz w:val="18"/>
          <w:szCs w:val="18"/>
        </w:rPr>
        <w:t xml:space="preserve"> </w:t>
      </w:r>
      <w:r w:rsidRPr="00424097">
        <w:rPr>
          <w:rFonts w:ascii="Verdana" w:hAnsi="Verdana" w:cs="Arial"/>
          <w:sz w:val="18"/>
          <w:szCs w:val="18"/>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424097">
        <w:rPr>
          <w:rFonts w:ascii="Verdana" w:hAnsi="Verdana" w:cs="Arial"/>
          <w:sz w:val="18"/>
          <w:szCs w:val="18"/>
        </w:rPr>
        <w:t>”.</w:t>
      </w:r>
    </w:p>
  </w:footnote>
  <w:footnote w:id="8">
    <w:p w14:paraId="05329616" w14:textId="77777777" w:rsidR="00424097" w:rsidRDefault="00424097" w:rsidP="00FD3670">
      <w:pPr>
        <w:spacing w:after="0" w:line="240" w:lineRule="auto"/>
        <w:ind w:firstLine="707"/>
        <w:contextualSpacing/>
        <w:jc w:val="both"/>
        <w:rPr>
          <w:rFonts w:ascii="Verdana" w:hAnsi="Verdana" w:cs="Arial"/>
          <w:sz w:val="18"/>
          <w:szCs w:val="18"/>
        </w:rPr>
      </w:pPr>
    </w:p>
    <w:p w14:paraId="5B2C3736" w14:textId="6CB5600C" w:rsidR="00FD3670" w:rsidRPr="00424097" w:rsidRDefault="00FD3670" w:rsidP="00FD3670">
      <w:pPr>
        <w:spacing w:after="0" w:line="240" w:lineRule="auto"/>
        <w:ind w:firstLine="707"/>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1712 de 2014: “Artículo 5. Ámbito de aplicación. Las disposiciones de esta ley serán aplicables a las siguientes personas en calidad de sujetos obligados:</w:t>
      </w:r>
    </w:p>
    <w:p w14:paraId="4A4F076E" w14:textId="77777777" w:rsidR="00FD3670" w:rsidRDefault="00FD3670" w:rsidP="00FD3670">
      <w:pPr>
        <w:spacing w:after="0" w:line="240" w:lineRule="auto"/>
        <w:ind w:firstLine="707"/>
        <w:contextualSpacing/>
        <w:jc w:val="both"/>
        <w:rPr>
          <w:rFonts w:ascii="Verdana" w:hAnsi="Verdana" w:cs="Arial"/>
          <w:sz w:val="18"/>
          <w:szCs w:val="18"/>
        </w:rPr>
      </w:pPr>
      <w:r w:rsidRPr="00424097">
        <w:rPr>
          <w:rFonts w:ascii="Verdana" w:hAnsi="Verdana" w:cs="Arial"/>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AF11944" w14:textId="77777777" w:rsidR="00424097" w:rsidRPr="00424097" w:rsidRDefault="00424097" w:rsidP="00FD3670">
      <w:pPr>
        <w:spacing w:after="0" w:line="240" w:lineRule="auto"/>
        <w:ind w:firstLine="707"/>
        <w:contextualSpacing/>
        <w:jc w:val="both"/>
        <w:rPr>
          <w:rFonts w:ascii="Verdana" w:hAnsi="Verdana" w:cs="Arial"/>
          <w:sz w:val="18"/>
          <w:szCs w:val="18"/>
        </w:rPr>
      </w:pPr>
    </w:p>
  </w:footnote>
  <w:footnote w:id="9">
    <w:p w14:paraId="54DCE79E" w14:textId="77777777" w:rsidR="00FD3670" w:rsidRPr="00424097" w:rsidRDefault="00FD3670" w:rsidP="00FD3670">
      <w:pPr>
        <w:ind w:firstLine="709"/>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39AE7E60" w14:textId="77777777" w:rsidR="00FD3670" w:rsidRPr="00424097" w:rsidRDefault="00FD3670" w:rsidP="00FD3670">
      <w:pPr>
        <w:spacing w:after="0" w:line="240" w:lineRule="auto"/>
        <w:ind w:firstLine="708"/>
        <w:contextualSpacing/>
        <w:jc w:val="both"/>
        <w:rPr>
          <w:rFonts w:ascii="Verdana" w:hAnsi="Verdana" w:cs="Arial"/>
          <w:sz w:val="18"/>
          <w:szCs w:val="18"/>
        </w:rPr>
      </w:pPr>
      <w:r w:rsidRPr="00424097">
        <w:rPr>
          <w:rFonts w:ascii="Verdana" w:hAnsi="Verdana" w:cs="Arial"/>
          <w:sz w:val="18"/>
          <w:szCs w:val="18"/>
        </w:rPr>
        <w:t>[…].</w:t>
      </w:r>
    </w:p>
    <w:p w14:paraId="76330AE1" w14:textId="77777777" w:rsidR="00FD3670" w:rsidRDefault="00FD3670" w:rsidP="00FD3670">
      <w:pPr>
        <w:spacing w:after="0" w:line="240" w:lineRule="auto"/>
        <w:ind w:firstLine="709"/>
        <w:contextualSpacing/>
        <w:jc w:val="both"/>
        <w:rPr>
          <w:rFonts w:ascii="Verdana" w:hAnsi="Verdana" w:cs="Arial"/>
          <w:sz w:val="18"/>
          <w:szCs w:val="18"/>
        </w:rPr>
      </w:pPr>
      <w:r w:rsidRPr="00424097">
        <w:rPr>
          <w:rFonts w:ascii="Verdana" w:hAnsi="Verdana" w:cs="Arial"/>
          <w:sz w:val="18"/>
          <w:szCs w:val="18"/>
        </w:rPr>
        <w:t>Los sujetos obligados que contratan con recursos públicos y recursos privados, deben publicar la información de su gestión contractual con cargo a recursos públicos en el Sistema Electrónico para la Contratación Pública [SECOP]”.</w:t>
      </w:r>
    </w:p>
    <w:p w14:paraId="313EA30A" w14:textId="77777777" w:rsidR="00424097" w:rsidRPr="00424097" w:rsidRDefault="00424097" w:rsidP="00FD3670">
      <w:pPr>
        <w:spacing w:after="0" w:line="240" w:lineRule="auto"/>
        <w:ind w:firstLine="709"/>
        <w:contextualSpacing/>
        <w:jc w:val="both"/>
        <w:rPr>
          <w:rFonts w:ascii="Verdana" w:hAnsi="Verdana" w:cs="Arial"/>
          <w:sz w:val="18"/>
          <w:szCs w:val="18"/>
        </w:rPr>
      </w:pPr>
    </w:p>
  </w:footnote>
  <w:footnote w:id="10">
    <w:p w14:paraId="1F354A0F" w14:textId="77777777" w:rsidR="00FD3670" w:rsidRDefault="00FD3670" w:rsidP="00FD3670">
      <w:pPr>
        <w:pStyle w:val="Textonotapie"/>
        <w:ind w:firstLine="709"/>
        <w:contextualSpacing/>
        <w:jc w:val="both"/>
        <w:rPr>
          <w:rFonts w:ascii="Verdana" w:hAnsi="Verdana" w:cs="Arial"/>
          <w:color w:val="000000" w:themeColor="text1"/>
          <w:sz w:val="18"/>
          <w:szCs w:val="18"/>
        </w:rPr>
      </w:pPr>
      <w:r w:rsidRPr="00424097">
        <w:rPr>
          <w:rStyle w:val="Refdenotaalpie"/>
          <w:rFonts w:ascii="Verdana" w:hAnsi="Verdana" w:cs="Arial"/>
          <w:color w:val="000000" w:themeColor="text1"/>
          <w:sz w:val="18"/>
          <w:szCs w:val="18"/>
        </w:rPr>
        <w:footnoteRef/>
      </w:r>
      <w:r w:rsidRPr="00424097">
        <w:rPr>
          <w:rFonts w:ascii="Verdana" w:hAnsi="Verdana"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134A4393" w14:textId="77777777" w:rsidR="00424097" w:rsidRPr="00424097" w:rsidRDefault="00424097" w:rsidP="00FD3670">
      <w:pPr>
        <w:pStyle w:val="Textonotapie"/>
        <w:ind w:firstLine="709"/>
        <w:contextualSpacing/>
        <w:jc w:val="both"/>
        <w:rPr>
          <w:rFonts w:ascii="Verdana" w:hAnsi="Verdana" w:cs="Arial"/>
          <w:color w:val="000000" w:themeColor="text1"/>
          <w:sz w:val="18"/>
          <w:szCs w:val="18"/>
        </w:rPr>
      </w:pPr>
    </w:p>
  </w:footnote>
  <w:footnote w:id="11">
    <w:p w14:paraId="5A66DFB7" w14:textId="77777777" w:rsidR="00FD3670" w:rsidRDefault="00FD3670" w:rsidP="00FD3670">
      <w:pPr>
        <w:pStyle w:val="Textonotapie"/>
        <w:ind w:firstLine="709"/>
        <w:contextualSpacing/>
        <w:jc w:val="both"/>
        <w:rPr>
          <w:rFonts w:ascii="Verdana" w:hAnsi="Verdana" w:cs="Arial"/>
          <w:color w:val="000000" w:themeColor="text1"/>
          <w:sz w:val="18"/>
          <w:szCs w:val="18"/>
        </w:rPr>
      </w:pPr>
      <w:r w:rsidRPr="00424097">
        <w:rPr>
          <w:rStyle w:val="Refdenotaalpie"/>
          <w:rFonts w:ascii="Verdana" w:hAnsi="Verdana" w:cs="Arial"/>
          <w:color w:val="000000" w:themeColor="text1"/>
          <w:sz w:val="18"/>
          <w:szCs w:val="18"/>
        </w:rPr>
        <w:footnoteRef/>
      </w:r>
      <w:r w:rsidRPr="00424097">
        <w:rPr>
          <w:rFonts w:ascii="Verdana" w:hAnsi="Verdana"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172D33E2" w14:textId="77777777" w:rsidR="00424097" w:rsidRPr="00424097" w:rsidRDefault="00424097" w:rsidP="00FD3670">
      <w:pPr>
        <w:pStyle w:val="Textonotapie"/>
        <w:ind w:firstLine="709"/>
        <w:contextualSpacing/>
        <w:jc w:val="both"/>
        <w:rPr>
          <w:rFonts w:ascii="Verdana" w:hAnsi="Verdana" w:cs="Arial"/>
          <w:color w:val="000000" w:themeColor="text1"/>
          <w:sz w:val="18"/>
          <w:szCs w:val="18"/>
        </w:rPr>
      </w:pPr>
    </w:p>
  </w:footnote>
  <w:footnote w:id="12">
    <w:p w14:paraId="37A14726"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Style w:val="Refdenotaalpie"/>
          <w:rFonts w:ascii="Verdana" w:hAnsi="Verdana" w:cs="Arial"/>
          <w:color w:val="000000" w:themeColor="text1"/>
          <w:sz w:val="18"/>
          <w:szCs w:val="18"/>
        </w:rPr>
        <w:footnoteRef/>
      </w:r>
      <w:r w:rsidRPr="00424097">
        <w:rPr>
          <w:rFonts w:ascii="Verdana" w:hAnsi="Verdana"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41334436"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Los sujetos obligados que no contratan con cargo a recursos públicos no están obligados a publicar su Plan Anual de Adquisiciones.</w:t>
      </w:r>
    </w:p>
    <w:p w14:paraId="66CCA96D" w14:textId="77777777" w:rsidR="00FD3670" w:rsidRPr="00424097"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548CA452" w14:textId="77777777" w:rsidR="00FD3670" w:rsidRDefault="00FD3670" w:rsidP="00FD3670">
      <w:pPr>
        <w:pStyle w:val="Textonotapie"/>
        <w:ind w:firstLine="709"/>
        <w:contextualSpacing/>
        <w:jc w:val="both"/>
        <w:rPr>
          <w:rFonts w:ascii="Verdana" w:hAnsi="Verdana" w:cs="Arial"/>
          <w:color w:val="000000" w:themeColor="text1"/>
          <w:sz w:val="18"/>
          <w:szCs w:val="18"/>
        </w:rPr>
      </w:pPr>
      <w:r w:rsidRPr="00424097">
        <w:rPr>
          <w:rFonts w:ascii="Verdana" w:hAnsi="Verdana"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p w14:paraId="047B0323" w14:textId="77777777" w:rsidR="00424097" w:rsidRPr="00424097" w:rsidRDefault="00424097" w:rsidP="00FD3670">
      <w:pPr>
        <w:pStyle w:val="Textonotapie"/>
        <w:ind w:firstLine="709"/>
        <w:contextualSpacing/>
        <w:jc w:val="both"/>
        <w:rPr>
          <w:rFonts w:ascii="Verdana" w:hAnsi="Verdana" w:cs="Arial"/>
          <w:color w:val="000000" w:themeColor="text1"/>
          <w:sz w:val="18"/>
          <w:szCs w:val="18"/>
        </w:rPr>
      </w:pPr>
    </w:p>
  </w:footnote>
  <w:footnote w:id="13">
    <w:p w14:paraId="3288C2F2"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80 de 1993 “Artículo 24. Del principio de transparencia. En virtud de este principio: </w:t>
      </w:r>
    </w:p>
    <w:p w14:paraId="43AB79A2"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w:t>
      </w:r>
    </w:p>
    <w:p w14:paraId="24660CC7" w14:textId="77777777" w:rsidR="00FD3670"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4o. Las autoridades expedirán a costa de aquellas personas que demuestren interés legítimo, copias de las actuaciones y propuestas recibidas, respetando la reserva de que gocen legalmente las patentes, procedimientos y privilegios”.</w:t>
      </w:r>
    </w:p>
    <w:p w14:paraId="1BC815A5" w14:textId="77777777" w:rsidR="00424097" w:rsidRPr="00424097" w:rsidRDefault="00424097" w:rsidP="00FD3670">
      <w:pPr>
        <w:pStyle w:val="Textonotapie"/>
        <w:ind w:firstLine="708"/>
        <w:contextualSpacing/>
        <w:jc w:val="both"/>
        <w:rPr>
          <w:rFonts w:ascii="Verdana" w:hAnsi="Verdana" w:cs="Arial"/>
          <w:sz w:val="18"/>
          <w:szCs w:val="18"/>
          <w:lang w:val="es-CO"/>
        </w:rPr>
      </w:pPr>
    </w:p>
  </w:footnote>
  <w:footnote w:id="14">
    <w:p w14:paraId="7A04E85C" w14:textId="0CBDB403" w:rsidR="00FD3670" w:rsidRPr="00424097" w:rsidRDefault="00FD3670" w:rsidP="00FD3670">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1712 de 2014 “Artículo 2</w:t>
      </w:r>
      <w:r w:rsidR="00424097" w:rsidRPr="00424097">
        <w:rPr>
          <w:rFonts w:ascii="Verdana" w:hAnsi="Verdana" w:cs="Arial"/>
          <w:sz w:val="18"/>
          <w:szCs w:val="18"/>
        </w:rPr>
        <w:t>°. Principio</w:t>
      </w:r>
      <w:r w:rsidRPr="00424097">
        <w:rPr>
          <w:rFonts w:ascii="Verdana" w:hAnsi="Verdana" w:cs="Arial"/>
          <w:sz w:val="18"/>
          <w:szCs w:val="18"/>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5">
    <w:p w14:paraId="295308DC"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MATALLANA CAMACHO Ernesto. Manual de Contratación de la Administración Pública. Reforma a la Ley 80 de 1993. Universidad Externado de Colombia, Cuarta edición, 2015, pp 139.</w:t>
      </w:r>
    </w:p>
  </w:footnote>
  <w:footnote w:id="16">
    <w:p w14:paraId="2E068654" w14:textId="77777777" w:rsidR="00424097" w:rsidRDefault="00424097" w:rsidP="00FD3670">
      <w:pPr>
        <w:pStyle w:val="Textonotapie"/>
        <w:ind w:firstLine="708"/>
        <w:contextualSpacing/>
        <w:jc w:val="both"/>
        <w:rPr>
          <w:rFonts w:ascii="Verdana" w:hAnsi="Verdana" w:cs="Arial"/>
          <w:sz w:val="18"/>
          <w:szCs w:val="18"/>
        </w:rPr>
      </w:pPr>
    </w:p>
    <w:p w14:paraId="7187A813" w14:textId="7E340DE8" w:rsidR="00FD3670" w:rsidRPr="00424097" w:rsidRDefault="00FD3670" w:rsidP="00FD3670">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7C47DE07"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1. Los relacionados con la defensa o seguridad nacionales.  </w:t>
      </w:r>
    </w:p>
    <w:p w14:paraId="6C1DBFEE"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2. Las instrucciones en materia diplomática o sobre negociaciones reservadas.  </w:t>
      </w:r>
    </w:p>
    <w:p w14:paraId="4C59045F"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E09948B"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0945EC8"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5. Los datos referentes a la información financiera y comercial, en los términos de la Ley Estatutaria 1266 de 2008.  </w:t>
      </w:r>
    </w:p>
    <w:p w14:paraId="7704E0AA"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6. Los protegidos por el secreto comercial o industrial, así como los planes estratégicos de las empresas públicas de servicios públicos.  </w:t>
      </w:r>
    </w:p>
    <w:p w14:paraId="112BDAF0"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7. Los amparados por el secreto profesional.  </w:t>
      </w:r>
    </w:p>
    <w:p w14:paraId="5A7AE25B"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8. Los datos genéticos humanos.  </w:t>
      </w:r>
    </w:p>
    <w:p w14:paraId="374AAD9A"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7">
    <w:p w14:paraId="238D4E34" w14:textId="77777777" w:rsidR="00424097" w:rsidRDefault="00424097" w:rsidP="00FD3670">
      <w:pPr>
        <w:pStyle w:val="Textonotapie"/>
        <w:ind w:firstLine="708"/>
        <w:contextualSpacing/>
        <w:jc w:val="both"/>
        <w:rPr>
          <w:rFonts w:ascii="Verdana" w:hAnsi="Verdana" w:cs="Arial"/>
          <w:sz w:val="18"/>
          <w:szCs w:val="18"/>
        </w:rPr>
      </w:pPr>
    </w:p>
    <w:p w14:paraId="46F2C00A" w14:textId="4B5C0088" w:rsidR="00FD3670" w:rsidRPr="00424097" w:rsidRDefault="00FD3670" w:rsidP="00FD3670">
      <w:pPr>
        <w:pStyle w:val="Textonotapie"/>
        <w:ind w:firstLine="708"/>
        <w:contextualSpacing/>
        <w:jc w:val="both"/>
        <w:rPr>
          <w:rFonts w:ascii="Verdana" w:eastAsia="Calibri"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424097">
        <w:rPr>
          <w:rFonts w:ascii="Verdana" w:eastAsia="Calibri" w:hAnsi="Verdana" w:cs="Arial"/>
          <w:sz w:val="18"/>
          <w:szCs w:val="18"/>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8">
    <w:p w14:paraId="69BE2A54"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3F6ACB88" w14:textId="77777777" w:rsidR="00FD3670" w:rsidRPr="00424097" w:rsidRDefault="00FD3670" w:rsidP="00FD3670">
      <w:pPr>
        <w:pStyle w:val="Textonotapie"/>
        <w:ind w:firstLine="708"/>
        <w:contextualSpacing/>
        <w:jc w:val="both"/>
        <w:rPr>
          <w:rFonts w:ascii="Verdana" w:hAnsi="Verdana" w:cs="Arial"/>
          <w:sz w:val="18"/>
          <w:szCs w:val="18"/>
        </w:rPr>
      </w:pPr>
      <w:r w:rsidRPr="00424097">
        <w:rPr>
          <w:rFonts w:ascii="Verdana" w:hAnsi="Verdana" w:cs="Arial"/>
          <w:sz w:val="18"/>
          <w:szCs w:val="18"/>
        </w:rPr>
        <w:t>Ninguna autoridad pública puede negarse a indicar si un documento obra o no en su poder o negar la divulgación de un documento, salvo que el daño causado al interés protegido sea mayor al interés público de obtener acceso a la información.</w:t>
      </w:r>
    </w:p>
    <w:p w14:paraId="7F0EF346" w14:textId="77777777" w:rsidR="00FD3670" w:rsidRPr="00424097" w:rsidRDefault="00FD3670" w:rsidP="00FD3670">
      <w:pPr>
        <w:pStyle w:val="Textonotapie"/>
        <w:ind w:firstLine="708"/>
        <w:contextualSpacing/>
        <w:jc w:val="both"/>
        <w:rPr>
          <w:rFonts w:ascii="Verdana" w:hAnsi="Verdana" w:cs="Arial"/>
          <w:sz w:val="18"/>
          <w:szCs w:val="18"/>
          <w:lang w:val="es-CO"/>
        </w:rPr>
      </w:pPr>
      <w:r w:rsidRPr="00424097">
        <w:rPr>
          <w:rFonts w:ascii="Verdana" w:hAnsi="Verdana" w:cs="Arial"/>
          <w:sz w:val="18"/>
          <w:szCs w:val="18"/>
        </w:rPr>
        <w:t>Las excepciones de acceso a la información contenidas en la presente ley no aplican en casos de violación de derechos humanos o delitos de lesa humanidad, y en todo caso deberán protegerse los derechos de las víctimas de dichas violaciones”.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671276C"/>
    <w:multiLevelType w:val="hybridMultilevel"/>
    <w:tmpl w:val="BB5AEB2E"/>
    <w:lvl w:ilvl="0" w:tplc="3724E7CA">
      <w:numFmt w:val="bullet"/>
      <w:lvlText w:val="-"/>
      <w:lvlJc w:val="left"/>
      <w:pPr>
        <w:ind w:left="1069" w:hanging="360"/>
      </w:pPr>
      <w:rPr>
        <w:rFonts w:ascii="Verdana" w:eastAsiaTheme="minorHAns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2E4F585B"/>
    <w:multiLevelType w:val="hybridMultilevel"/>
    <w:tmpl w:val="9B64DD2C"/>
    <w:lvl w:ilvl="0" w:tplc="B0B4764C">
      <w:numFmt w:val="bullet"/>
      <w:lvlText w:val="-"/>
      <w:lvlJc w:val="left"/>
      <w:pPr>
        <w:ind w:left="1069" w:hanging="360"/>
      </w:pPr>
      <w:rPr>
        <w:rFonts w:ascii="Verdana" w:eastAsiaTheme="minorHAns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7"/>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1971126687">
    <w:abstractNumId w:val="5"/>
  </w:num>
  <w:num w:numId="10" w16cid:durableId="560406513">
    <w:abstractNumId w:val="4"/>
  </w:num>
  <w:num w:numId="11" w16cid:durableId="1526446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138"/>
    <w:rsid w:val="000016F3"/>
    <w:rsid w:val="000037AE"/>
    <w:rsid w:val="00004C75"/>
    <w:rsid w:val="00005BB0"/>
    <w:rsid w:val="0001025F"/>
    <w:rsid w:val="0001222D"/>
    <w:rsid w:val="000135EB"/>
    <w:rsid w:val="00015D2B"/>
    <w:rsid w:val="0002334C"/>
    <w:rsid w:val="00031584"/>
    <w:rsid w:val="00032A0E"/>
    <w:rsid w:val="00037347"/>
    <w:rsid w:val="000442CC"/>
    <w:rsid w:val="00053D8C"/>
    <w:rsid w:val="000556D4"/>
    <w:rsid w:val="000716AB"/>
    <w:rsid w:val="00082E4C"/>
    <w:rsid w:val="000849D5"/>
    <w:rsid w:val="0008528F"/>
    <w:rsid w:val="000A6E0C"/>
    <w:rsid w:val="000A7A56"/>
    <w:rsid w:val="000B0DC3"/>
    <w:rsid w:val="000B1FF7"/>
    <w:rsid w:val="000B2513"/>
    <w:rsid w:val="000B4024"/>
    <w:rsid w:val="000C3C51"/>
    <w:rsid w:val="000C7262"/>
    <w:rsid w:val="000D0508"/>
    <w:rsid w:val="000D2A7F"/>
    <w:rsid w:val="000D4FCE"/>
    <w:rsid w:val="000E3B29"/>
    <w:rsid w:val="000F3C7B"/>
    <w:rsid w:val="001039E1"/>
    <w:rsid w:val="0011037E"/>
    <w:rsid w:val="0011183E"/>
    <w:rsid w:val="00111990"/>
    <w:rsid w:val="001363C7"/>
    <w:rsid w:val="001372AD"/>
    <w:rsid w:val="00141AC5"/>
    <w:rsid w:val="00146B11"/>
    <w:rsid w:val="00147A04"/>
    <w:rsid w:val="0015476D"/>
    <w:rsid w:val="001559F6"/>
    <w:rsid w:val="00161E13"/>
    <w:rsid w:val="00164AE0"/>
    <w:rsid w:val="00165E83"/>
    <w:rsid w:val="00166CD7"/>
    <w:rsid w:val="0017120C"/>
    <w:rsid w:val="00172F3A"/>
    <w:rsid w:val="00180E53"/>
    <w:rsid w:val="00183146"/>
    <w:rsid w:val="00184489"/>
    <w:rsid w:val="0019532A"/>
    <w:rsid w:val="0019670E"/>
    <w:rsid w:val="00197205"/>
    <w:rsid w:val="001A5DD4"/>
    <w:rsid w:val="001A67E9"/>
    <w:rsid w:val="001B143B"/>
    <w:rsid w:val="001B21CA"/>
    <w:rsid w:val="001B6507"/>
    <w:rsid w:val="001C04FC"/>
    <w:rsid w:val="001C25A3"/>
    <w:rsid w:val="001C5D03"/>
    <w:rsid w:val="001C7771"/>
    <w:rsid w:val="001D0E21"/>
    <w:rsid w:val="001D62FF"/>
    <w:rsid w:val="001F3F48"/>
    <w:rsid w:val="001F7239"/>
    <w:rsid w:val="002000AA"/>
    <w:rsid w:val="00204109"/>
    <w:rsid w:val="002058DA"/>
    <w:rsid w:val="002059F4"/>
    <w:rsid w:val="002069EC"/>
    <w:rsid w:val="00211E6E"/>
    <w:rsid w:val="00212A46"/>
    <w:rsid w:val="0021401D"/>
    <w:rsid w:val="002146B8"/>
    <w:rsid w:val="00215516"/>
    <w:rsid w:val="00215B77"/>
    <w:rsid w:val="00231C15"/>
    <w:rsid w:val="00240113"/>
    <w:rsid w:val="00240D33"/>
    <w:rsid w:val="00243117"/>
    <w:rsid w:val="00243AD9"/>
    <w:rsid w:val="0025087B"/>
    <w:rsid w:val="002508EA"/>
    <w:rsid w:val="002527C2"/>
    <w:rsid w:val="00253C3A"/>
    <w:rsid w:val="00254CA5"/>
    <w:rsid w:val="002631A9"/>
    <w:rsid w:val="00270443"/>
    <w:rsid w:val="00270EE2"/>
    <w:rsid w:val="00271AA0"/>
    <w:rsid w:val="00272972"/>
    <w:rsid w:val="002759A5"/>
    <w:rsid w:val="00286491"/>
    <w:rsid w:val="002A0F8D"/>
    <w:rsid w:val="002B6E44"/>
    <w:rsid w:val="002C3A76"/>
    <w:rsid w:val="002C46CC"/>
    <w:rsid w:val="002D473B"/>
    <w:rsid w:val="002D4880"/>
    <w:rsid w:val="002D7776"/>
    <w:rsid w:val="002E1DB5"/>
    <w:rsid w:val="002E26D9"/>
    <w:rsid w:val="002E7C82"/>
    <w:rsid w:val="002F0E85"/>
    <w:rsid w:val="002F6CCB"/>
    <w:rsid w:val="0030461E"/>
    <w:rsid w:val="003067E6"/>
    <w:rsid w:val="00307DE6"/>
    <w:rsid w:val="0031541E"/>
    <w:rsid w:val="00315721"/>
    <w:rsid w:val="0032394B"/>
    <w:rsid w:val="003244DC"/>
    <w:rsid w:val="0032756A"/>
    <w:rsid w:val="003324BA"/>
    <w:rsid w:val="00334EF8"/>
    <w:rsid w:val="00336408"/>
    <w:rsid w:val="00340DFB"/>
    <w:rsid w:val="0034404F"/>
    <w:rsid w:val="00356980"/>
    <w:rsid w:val="00366D54"/>
    <w:rsid w:val="00367462"/>
    <w:rsid w:val="00371ECA"/>
    <w:rsid w:val="00372748"/>
    <w:rsid w:val="0037332A"/>
    <w:rsid w:val="0038151A"/>
    <w:rsid w:val="0039082A"/>
    <w:rsid w:val="00390C21"/>
    <w:rsid w:val="003A0FEB"/>
    <w:rsid w:val="003A37BD"/>
    <w:rsid w:val="003B07D1"/>
    <w:rsid w:val="003B6D94"/>
    <w:rsid w:val="003C4C96"/>
    <w:rsid w:val="003C55E0"/>
    <w:rsid w:val="003D7A8B"/>
    <w:rsid w:val="003E4ED6"/>
    <w:rsid w:val="003F31B5"/>
    <w:rsid w:val="003F519B"/>
    <w:rsid w:val="00400755"/>
    <w:rsid w:val="00401284"/>
    <w:rsid w:val="0040544F"/>
    <w:rsid w:val="00406A19"/>
    <w:rsid w:val="00406EA9"/>
    <w:rsid w:val="0041222D"/>
    <w:rsid w:val="0041483E"/>
    <w:rsid w:val="00415369"/>
    <w:rsid w:val="00424097"/>
    <w:rsid w:val="00430492"/>
    <w:rsid w:val="00434A48"/>
    <w:rsid w:val="00450358"/>
    <w:rsid w:val="00450BE7"/>
    <w:rsid w:val="00455E54"/>
    <w:rsid w:val="0046741E"/>
    <w:rsid w:val="00472CC6"/>
    <w:rsid w:val="00477D16"/>
    <w:rsid w:val="0048026E"/>
    <w:rsid w:val="004807A9"/>
    <w:rsid w:val="004813EE"/>
    <w:rsid w:val="00484A92"/>
    <w:rsid w:val="004863DE"/>
    <w:rsid w:val="00493278"/>
    <w:rsid w:val="004943D9"/>
    <w:rsid w:val="004A0E7B"/>
    <w:rsid w:val="004A3498"/>
    <w:rsid w:val="004B0C45"/>
    <w:rsid w:val="004C0AB2"/>
    <w:rsid w:val="004C1619"/>
    <w:rsid w:val="004C1A26"/>
    <w:rsid w:val="004C1CC9"/>
    <w:rsid w:val="004C3755"/>
    <w:rsid w:val="004C4485"/>
    <w:rsid w:val="004C4B97"/>
    <w:rsid w:val="004D11AF"/>
    <w:rsid w:val="004D179A"/>
    <w:rsid w:val="004D5980"/>
    <w:rsid w:val="004F182B"/>
    <w:rsid w:val="00500DFA"/>
    <w:rsid w:val="005019AA"/>
    <w:rsid w:val="005021BB"/>
    <w:rsid w:val="005139E7"/>
    <w:rsid w:val="005147DA"/>
    <w:rsid w:val="00515FB5"/>
    <w:rsid w:val="00517373"/>
    <w:rsid w:val="0052365C"/>
    <w:rsid w:val="0052420D"/>
    <w:rsid w:val="005271EB"/>
    <w:rsid w:val="00536529"/>
    <w:rsid w:val="00537366"/>
    <w:rsid w:val="005426DB"/>
    <w:rsid w:val="0055082B"/>
    <w:rsid w:val="005514B7"/>
    <w:rsid w:val="00552503"/>
    <w:rsid w:val="00552B57"/>
    <w:rsid w:val="00557167"/>
    <w:rsid w:val="00557DA1"/>
    <w:rsid w:val="0056322C"/>
    <w:rsid w:val="00567EFD"/>
    <w:rsid w:val="0058743A"/>
    <w:rsid w:val="005A0B0A"/>
    <w:rsid w:val="005A4DB0"/>
    <w:rsid w:val="005A51AC"/>
    <w:rsid w:val="005A7B8E"/>
    <w:rsid w:val="005B012B"/>
    <w:rsid w:val="005B0C87"/>
    <w:rsid w:val="005D1DA0"/>
    <w:rsid w:val="005D23F6"/>
    <w:rsid w:val="005D2FA8"/>
    <w:rsid w:val="005E2281"/>
    <w:rsid w:val="005E649C"/>
    <w:rsid w:val="005E667C"/>
    <w:rsid w:val="005F077C"/>
    <w:rsid w:val="005F63D0"/>
    <w:rsid w:val="005F7973"/>
    <w:rsid w:val="00602A4D"/>
    <w:rsid w:val="006035A0"/>
    <w:rsid w:val="00614423"/>
    <w:rsid w:val="006155E0"/>
    <w:rsid w:val="0061690E"/>
    <w:rsid w:val="00626D61"/>
    <w:rsid w:val="00627361"/>
    <w:rsid w:val="0063017E"/>
    <w:rsid w:val="00631B28"/>
    <w:rsid w:val="006343BF"/>
    <w:rsid w:val="00643C7B"/>
    <w:rsid w:val="00645882"/>
    <w:rsid w:val="00645B90"/>
    <w:rsid w:val="00650991"/>
    <w:rsid w:val="006511D7"/>
    <w:rsid w:val="00663D75"/>
    <w:rsid w:val="00670AEF"/>
    <w:rsid w:val="00671241"/>
    <w:rsid w:val="00671CEA"/>
    <w:rsid w:val="00675678"/>
    <w:rsid w:val="00677012"/>
    <w:rsid w:val="00680E89"/>
    <w:rsid w:val="006825B4"/>
    <w:rsid w:val="00682AF2"/>
    <w:rsid w:val="006864DF"/>
    <w:rsid w:val="00690232"/>
    <w:rsid w:val="006917EE"/>
    <w:rsid w:val="006A3C8A"/>
    <w:rsid w:val="006A7552"/>
    <w:rsid w:val="006A7E89"/>
    <w:rsid w:val="006B45DF"/>
    <w:rsid w:val="006B5953"/>
    <w:rsid w:val="006B7A81"/>
    <w:rsid w:val="006C4BAC"/>
    <w:rsid w:val="006C52F3"/>
    <w:rsid w:val="006C632C"/>
    <w:rsid w:val="006E7F37"/>
    <w:rsid w:val="006F3B81"/>
    <w:rsid w:val="006F4F79"/>
    <w:rsid w:val="00705B37"/>
    <w:rsid w:val="00711FD9"/>
    <w:rsid w:val="00713AAD"/>
    <w:rsid w:val="007154D8"/>
    <w:rsid w:val="00720326"/>
    <w:rsid w:val="00723CC6"/>
    <w:rsid w:val="00725C7C"/>
    <w:rsid w:val="00731EDF"/>
    <w:rsid w:val="00735062"/>
    <w:rsid w:val="00735F20"/>
    <w:rsid w:val="00746BA5"/>
    <w:rsid w:val="00751D23"/>
    <w:rsid w:val="0076762D"/>
    <w:rsid w:val="00770577"/>
    <w:rsid w:val="00771C9B"/>
    <w:rsid w:val="00774D15"/>
    <w:rsid w:val="00777666"/>
    <w:rsid w:val="00777DE8"/>
    <w:rsid w:val="0078072A"/>
    <w:rsid w:val="0078159B"/>
    <w:rsid w:val="00782E10"/>
    <w:rsid w:val="0078706B"/>
    <w:rsid w:val="00790836"/>
    <w:rsid w:val="0079331A"/>
    <w:rsid w:val="00796AB7"/>
    <w:rsid w:val="00797131"/>
    <w:rsid w:val="007979D3"/>
    <w:rsid w:val="007A3C1D"/>
    <w:rsid w:val="007B285D"/>
    <w:rsid w:val="007C0F6A"/>
    <w:rsid w:val="007C1C94"/>
    <w:rsid w:val="007C27BE"/>
    <w:rsid w:val="007C6BC6"/>
    <w:rsid w:val="007D2D30"/>
    <w:rsid w:val="007D7932"/>
    <w:rsid w:val="007F4658"/>
    <w:rsid w:val="007F672D"/>
    <w:rsid w:val="00807D79"/>
    <w:rsid w:val="00813634"/>
    <w:rsid w:val="00822821"/>
    <w:rsid w:val="00826562"/>
    <w:rsid w:val="00831C29"/>
    <w:rsid w:val="008362C8"/>
    <w:rsid w:val="008431EF"/>
    <w:rsid w:val="008468E0"/>
    <w:rsid w:val="00855C18"/>
    <w:rsid w:val="00867417"/>
    <w:rsid w:val="008715B2"/>
    <w:rsid w:val="00871B59"/>
    <w:rsid w:val="00873D26"/>
    <w:rsid w:val="008772DE"/>
    <w:rsid w:val="00877D03"/>
    <w:rsid w:val="00877E96"/>
    <w:rsid w:val="008806CA"/>
    <w:rsid w:val="008815E5"/>
    <w:rsid w:val="00887B37"/>
    <w:rsid w:val="008909B9"/>
    <w:rsid w:val="00891DFC"/>
    <w:rsid w:val="008A1B16"/>
    <w:rsid w:val="008A280E"/>
    <w:rsid w:val="008B0CAA"/>
    <w:rsid w:val="008B12B4"/>
    <w:rsid w:val="008B7914"/>
    <w:rsid w:val="008C2AB1"/>
    <w:rsid w:val="008C5D2A"/>
    <w:rsid w:val="008C7AF4"/>
    <w:rsid w:val="008D01DE"/>
    <w:rsid w:val="008D529F"/>
    <w:rsid w:val="008E5FCB"/>
    <w:rsid w:val="008F1F1A"/>
    <w:rsid w:val="008F597B"/>
    <w:rsid w:val="008F5CC8"/>
    <w:rsid w:val="009061B8"/>
    <w:rsid w:val="00906FBC"/>
    <w:rsid w:val="0091008B"/>
    <w:rsid w:val="00911EA2"/>
    <w:rsid w:val="00916C7D"/>
    <w:rsid w:val="0092575D"/>
    <w:rsid w:val="009341DA"/>
    <w:rsid w:val="00942FAB"/>
    <w:rsid w:val="009430F9"/>
    <w:rsid w:val="009442E8"/>
    <w:rsid w:val="00944419"/>
    <w:rsid w:val="00946BD0"/>
    <w:rsid w:val="0095426C"/>
    <w:rsid w:val="00965A4B"/>
    <w:rsid w:val="00970087"/>
    <w:rsid w:val="00971074"/>
    <w:rsid w:val="00972F99"/>
    <w:rsid w:val="00973D41"/>
    <w:rsid w:val="0098475F"/>
    <w:rsid w:val="00995D86"/>
    <w:rsid w:val="009A5453"/>
    <w:rsid w:val="009B4B18"/>
    <w:rsid w:val="009B4D94"/>
    <w:rsid w:val="009B7F02"/>
    <w:rsid w:val="009C2871"/>
    <w:rsid w:val="009D00EF"/>
    <w:rsid w:val="009D075E"/>
    <w:rsid w:val="009D3C33"/>
    <w:rsid w:val="009D7F3A"/>
    <w:rsid w:val="009E4885"/>
    <w:rsid w:val="009F5D80"/>
    <w:rsid w:val="009F61F9"/>
    <w:rsid w:val="00A0692F"/>
    <w:rsid w:val="00A07DB6"/>
    <w:rsid w:val="00A07DE1"/>
    <w:rsid w:val="00A10A73"/>
    <w:rsid w:val="00A15B9D"/>
    <w:rsid w:val="00A170B3"/>
    <w:rsid w:val="00A223D5"/>
    <w:rsid w:val="00A22E4F"/>
    <w:rsid w:val="00A3719C"/>
    <w:rsid w:val="00A37D1C"/>
    <w:rsid w:val="00A42A2D"/>
    <w:rsid w:val="00A5453E"/>
    <w:rsid w:val="00A56F6C"/>
    <w:rsid w:val="00A5764B"/>
    <w:rsid w:val="00A57D9A"/>
    <w:rsid w:val="00A76C8C"/>
    <w:rsid w:val="00A82E6D"/>
    <w:rsid w:val="00A85F30"/>
    <w:rsid w:val="00A9099E"/>
    <w:rsid w:val="00A91FB7"/>
    <w:rsid w:val="00A9298F"/>
    <w:rsid w:val="00AA0222"/>
    <w:rsid w:val="00AA0351"/>
    <w:rsid w:val="00AA5F4A"/>
    <w:rsid w:val="00AB1984"/>
    <w:rsid w:val="00AB52B1"/>
    <w:rsid w:val="00AB564D"/>
    <w:rsid w:val="00AC3D2A"/>
    <w:rsid w:val="00AC4CB3"/>
    <w:rsid w:val="00AC778B"/>
    <w:rsid w:val="00AC780D"/>
    <w:rsid w:val="00AD036B"/>
    <w:rsid w:val="00AD1996"/>
    <w:rsid w:val="00AD247D"/>
    <w:rsid w:val="00AD4099"/>
    <w:rsid w:val="00AD423B"/>
    <w:rsid w:val="00AD4901"/>
    <w:rsid w:val="00AF36DC"/>
    <w:rsid w:val="00B02FE0"/>
    <w:rsid w:val="00B057B6"/>
    <w:rsid w:val="00B1527C"/>
    <w:rsid w:val="00B26C79"/>
    <w:rsid w:val="00B30448"/>
    <w:rsid w:val="00B34786"/>
    <w:rsid w:val="00B400EC"/>
    <w:rsid w:val="00B40162"/>
    <w:rsid w:val="00B40297"/>
    <w:rsid w:val="00B41ACE"/>
    <w:rsid w:val="00B47142"/>
    <w:rsid w:val="00B50156"/>
    <w:rsid w:val="00B518AD"/>
    <w:rsid w:val="00B60A96"/>
    <w:rsid w:val="00B678EC"/>
    <w:rsid w:val="00B76C94"/>
    <w:rsid w:val="00B772D0"/>
    <w:rsid w:val="00B836EA"/>
    <w:rsid w:val="00B84C05"/>
    <w:rsid w:val="00B91B81"/>
    <w:rsid w:val="00B97135"/>
    <w:rsid w:val="00BA4896"/>
    <w:rsid w:val="00BA7808"/>
    <w:rsid w:val="00BB3072"/>
    <w:rsid w:val="00BB63BB"/>
    <w:rsid w:val="00BC0378"/>
    <w:rsid w:val="00BC7632"/>
    <w:rsid w:val="00BC77AE"/>
    <w:rsid w:val="00BD48A9"/>
    <w:rsid w:val="00BD630F"/>
    <w:rsid w:val="00BD68DD"/>
    <w:rsid w:val="00BD7EC6"/>
    <w:rsid w:val="00BE2F5C"/>
    <w:rsid w:val="00BE73FA"/>
    <w:rsid w:val="00BF039E"/>
    <w:rsid w:val="00BF61BA"/>
    <w:rsid w:val="00BF6B4B"/>
    <w:rsid w:val="00C03E19"/>
    <w:rsid w:val="00C0511C"/>
    <w:rsid w:val="00C122FA"/>
    <w:rsid w:val="00C163BA"/>
    <w:rsid w:val="00C20ACF"/>
    <w:rsid w:val="00C22307"/>
    <w:rsid w:val="00C228C1"/>
    <w:rsid w:val="00C23469"/>
    <w:rsid w:val="00C276BF"/>
    <w:rsid w:val="00C30C62"/>
    <w:rsid w:val="00C371DF"/>
    <w:rsid w:val="00C42055"/>
    <w:rsid w:val="00C44B4C"/>
    <w:rsid w:val="00C46734"/>
    <w:rsid w:val="00C47A86"/>
    <w:rsid w:val="00C53220"/>
    <w:rsid w:val="00C66E0A"/>
    <w:rsid w:val="00C764BD"/>
    <w:rsid w:val="00C85D7E"/>
    <w:rsid w:val="00C94F75"/>
    <w:rsid w:val="00CA3347"/>
    <w:rsid w:val="00CC125C"/>
    <w:rsid w:val="00CC299A"/>
    <w:rsid w:val="00CC54CE"/>
    <w:rsid w:val="00CD03E3"/>
    <w:rsid w:val="00CD060A"/>
    <w:rsid w:val="00CE034A"/>
    <w:rsid w:val="00CE6BDA"/>
    <w:rsid w:val="00CF21BD"/>
    <w:rsid w:val="00D036BA"/>
    <w:rsid w:val="00D03DBE"/>
    <w:rsid w:val="00D072C0"/>
    <w:rsid w:val="00D20089"/>
    <w:rsid w:val="00D201E9"/>
    <w:rsid w:val="00D23B2E"/>
    <w:rsid w:val="00D306B3"/>
    <w:rsid w:val="00D30F09"/>
    <w:rsid w:val="00D33B37"/>
    <w:rsid w:val="00D34C82"/>
    <w:rsid w:val="00D3757A"/>
    <w:rsid w:val="00D37CA7"/>
    <w:rsid w:val="00D43FB7"/>
    <w:rsid w:val="00D45B2C"/>
    <w:rsid w:val="00D47F7E"/>
    <w:rsid w:val="00D504A9"/>
    <w:rsid w:val="00D5206D"/>
    <w:rsid w:val="00D706DB"/>
    <w:rsid w:val="00D7177D"/>
    <w:rsid w:val="00D72323"/>
    <w:rsid w:val="00D80F0D"/>
    <w:rsid w:val="00D81311"/>
    <w:rsid w:val="00D816A1"/>
    <w:rsid w:val="00D84E65"/>
    <w:rsid w:val="00D9324A"/>
    <w:rsid w:val="00D93DD1"/>
    <w:rsid w:val="00D9778E"/>
    <w:rsid w:val="00DA10AD"/>
    <w:rsid w:val="00DA1D81"/>
    <w:rsid w:val="00DA2916"/>
    <w:rsid w:val="00DB201E"/>
    <w:rsid w:val="00DC0932"/>
    <w:rsid w:val="00DC0E68"/>
    <w:rsid w:val="00DC525D"/>
    <w:rsid w:val="00DD25ED"/>
    <w:rsid w:val="00DD681A"/>
    <w:rsid w:val="00DE0D6E"/>
    <w:rsid w:val="00E05873"/>
    <w:rsid w:val="00E12CBF"/>
    <w:rsid w:val="00E1610C"/>
    <w:rsid w:val="00E16D73"/>
    <w:rsid w:val="00E16DC5"/>
    <w:rsid w:val="00E2231F"/>
    <w:rsid w:val="00E23E9E"/>
    <w:rsid w:val="00E25722"/>
    <w:rsid w:val="00E27F0A"/>
    <w:rsid w:val="00E31906"/>
    <w:rsid w:val="00E37D5E"/>
    <w:rsid w:val="00E4231E"/>
    <w:rsid w:val="00E4302C"/>
    <w:rsid w:val="00E44AC7"/>
    <w:rsid w:val="00E45F4B"/>
    <w:rsid w:val="00E46101"/>
    <w:rsid w:val="00E60A16"/>
    <w:rsid w:val="00E60BC5"/>
    <w:rsid w:val="00E616FF"/>
    <w:rsid w:val="00E62173"/>
    <w:rsid w:val="00E64869"/>
    <w:rsid w:val="00E82B6E"/>
    <w:rsid w:val="00E94258"/>
    <w:rsid w:val="00E96C18"/>
    <w:rsid w:val="00EA0330"/>
    <w:rsid w:val="00EA2E61"/>
    <w:rsid w:val="00EA7D7F"/>
    <w:rsid w:val="00EB02F4"/>
    <w:rsid w:val="00EB2FA2"/>
    <w:rsid w:val="00EB6E14"/>
    <w:rsid w:val="00EB769A"/>
    <w:rsid w:val="00EC3A35"/>
    <w:rsid w:val="00ED0764"/>
    <w:rsid w:val="00EE17F2"/>
    <w:rsid w:val="00EE3138"/>
    <w:rsid w:val="00EF2AC7"/>
    <w:rsid w:val="00EF400A"/>
    <w:rsid w:val="00EF6BE4"/>
    <w:rsid w:val="00EF6E5D"/>
    <w:rsid w:val="00EF7F12"/>
    <w:rsid w:val="00F04963"/>
    <w:rsid w:val="00F07764"/>
    <w:rsid w:val="00F12517"/>
    <w:rsid w:val="00F1265A"/>
    <w:rsid w:val="00F12E6B"/>
    <w:rsid w:val="00F131DD"/>
    <w:rsid w:val="00F16BA1"/>
    <w:rsid w:val="00F24435"/>
    <w:rsid w:val="00F27076"/>
    <w:rsid w:val="00F30C0F"/>
    <w:rsid w:val="00F314E8"/>
    <w:rsid w:val="00F323A2"/>
    <w:rsid w:val="00F33B57"/>
    <w:rsid w:val="00F33D5C"/>
    <w:rsid w:val="00F34E90"/>
    <w:rsid w:val="00F356D6"/>
    <w:rsid w:val="00F41368"/>
    <w:rsid w:val="00F53BE2"/>
    <w:rsid w:val="00F54E52"/>
    <w:rsid w:val="00F55684"/>
    <w:rsid w:val="00F64D5A"/>
    <w:rsid w:val="00F67F58"/>
    <w:rsid w:val="00F709CD"/>
    <w:rsid w:val="00F87769"/>
    <w:rsid w:val="00F906F4"/>
    <w:rsid w:val="00F90BE4"/>
    <w:rsid w:val="00FA0716"/>
    <w:rsid w:val="00FA7463"/>
    <w:rsid w:val="00FB4629"/>
    <w:rsid w:val="00FB6FB1"/>
    <w:rsid w:val="00FB7063"/>
    <w:rsid w:val="00FC273C"/>
    <w:rsid w:val="00FC7056"/>
    <w:rsid w:val="00FD1D12"/>
    <w:rsid w:val="00FD3670"/>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46576C03"/>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D84E65"/>
    <w:rPr>
      <w:rFonts w:ascii="Times New Roman" w:hAnsi="Times New Roman" w:cs="Times New Roman"/>
      <w:sz w:val="24"/>
      <w:szCs w:val="24"/>
    </w:rPr>
  </w:style>
  <w:style w:type="character" w:customStyle="1" w:styleId="baj">
    <w:name w:val="b_aj"/>
    <w:basedOn w:val="Fuentedeprrafopredeter"/>
    <w:rsid w:val="00FD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71807702">
      <w:bodyDiv w:val="1"/>
      <w:marLeft w:val="0"/>
      <w:marRight w:val="0"/>
      <w:marTop w:val="0"/>
      <w:marBottom w:val="0"/>
      <w:divBdr>
        <w:top w:val="none" w:sz="0" w:space="0" w:color="auto"/>
        <w:left w:val="none" w:sz="0" w:space="0" w:color="auto"/>
        <w:bottom w:val="none" w:sz="0" w:space="0" w:color="auto"/>
        <w:right w:val="none" w:sz="0" w:space="0" w:color="auto"/>
      </w:divBdr>
      <w:divsChild>
        <w:div w:id="534849979">
          <w:marLeft w:val="0"/>
          <w:marRight w:val="0"/>
          <w:marTop w:val="0"/>
          <w:marBottom w:val="160"/>
          <w:divBdr>
            <w:top w:val="none" w:sz="0" w:space="0" w:color="auto"/>
            <w:left w:val="none" w:sz="0" w:space="0" w:color="auto"/>
            <w:bottom w:val="none" w:sz="0" w:space="0" w:color="auto"/>
            <w:right w:val="none" w:sz="0" w:space="0" w:color="auto"/>
          </w:divBdr>
        </w:div>
        <w:div w:id="116726877">
          <w:marLeft w:val="0"/>
          <w:marRight w:val="0"/>
          <w:marTop w:val="0"/>
          <w:marBottom w:val="160"/>
          <w:divBdr>
            <w:top w:val="none" w:sz="0" w:space="0" w:color="auto"/>
            <w:left w:val="none" w:sz="0" w:space="0" w:color="auto"/>
            <w:bottom w:val="none" w:sz="0" w:space="0" w:color="auto"/>
            <w:right w:val="none" w:sz="0" w:space="0" w:color="auto"/>
          </w:divBdr>
        </w:div>
        <w:div w:id="962661507">
          <w:marLeft w:val="0"/>
          <w:marRight w:val="0"/>
          <w:marTop w:val="0"/>
          <w:marBottom w:val="160"/>
          <w:divBdr>
            <w:top w:val="none" w:sz="0" w:space="0" w:color="auto"/>
            <w:left w:val="none" w:sz="0" w:space="0" w:color="auto"/>
            <w:bottom w:val="none" w:sz="0" w:space="0" w:color="auto"/>
            <w:right w:val="none" w:sz="0" w:space="0" w:color="auto"/>
          </w:divBdr>
        </w:div>
      </w:divsChild>
    </w:div>
    <w:div w:id="486215157">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17337362">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2031449879">
      <w:bodyDiv w:val="1"/>
      <w:marLeft w:val="0"/>
      <w:marRight w:val="0"/>
      <w:marTop w:val="0"/>
      <w:marBottom w:val="0"/>
      <w:divBdr>
        <w:top w:val="none" w:sz="0" w:space="0" w:color="auto"/>
        <w:left w:val="none" w:sz="0" w:space="0" w:color="auto"/>
        <w:bottom w:val="none" w:sz="0" w:space="0" w:color="auto"/>
        <w:right w:val="none" w:sz="0" w:space="0" w:color="auto"/>
      </w:divBdr>
      <w:divsChild>
        <w:div w:id="1111776607">
          <w:marLeft w:val="0"/>
          <w:marRight w:val="0"/>
          <w:marTop w:val="0"/>
          <w:marBottom w:val="160"/>
          <w:divBdr>
            <w:top w:val="none" w:sz="0" w:space="0" w:color="auto"/>
            <w:left w:val="none" w:sz="0" w:space="0" w:color="auto"/>
            <w:bottom w:val="none" w:sz="0" w:space="0" w:color="auto"/>
            <w:right w:val="none" w:sz="0" w:space="0" w:color="auto"/>
          </w:divBdr>
        </w:div>
        <w:div w:id="953171072">
          <w:marLeft w:val="0"/>
          <w:marRight w:val="0"/>
          <w:marTop w:val="0"/>
          <w:marBottom w:val="160"/>
          <w:divBdr>
            <w:top w:val="none" w:sz="0" w:space="0" w:color="auto"/>
            <w:left w:val="none" w:sz="0" w:space="0" w:color="auto"/>
            <w:bottom w:val="none" w:sz="0" w:space="0" w:color="auto"/>
            <w:right w:val="none" w:sz="0" w:space="0" w:color="auto"/>
          </w:divBdr>
        </w:div>
        <w:div w:id="386875943">
          <w:marLeft w:val="0"/>
          <w:marRight w:val="0"/>
          <w:marTop w:val="0"/>
          <w:marBottom w:val="16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bogado.oscar.munoz@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4483</Words>
  <Characters>24661</Characters>
  <Application>Microsoft Office Word</Application>
  <DocSecurity>0</DocSecurity>
  <Lines>205</Lines>
  <Paragraphs>58</Paragraphs>
  <ScaleCrop>false</ScaleCrop>
  <Company/>
  <LinksUpToDate>false</LinksUpToDate>
  <CharactersWithSpaces>29086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42</cp:revision>
  <dcterms:created xsi:type="dcterms:W3CDTF">2025-04-22T04:02:00Z</dcterms:created>
  <dcterms:modified xsi:type="dcterms:W3CDTF">2025-06-18T21:46:00Z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