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1ADE9C" w14:textId="77777777" w:rsidR="00CD7352" w:rsidRPr="00045B35" w:rsidRDefault="00CD7352" w:rsidP="002C6742">
      <w:pPr>
        <w:spacing w:after="0" w:line="240" w:lineRule="auto"/>
        <w:jc w:val="both"/>
        <w:rPr>
          <w:rFonts w:ascii="Verdana" w:eastAsia="Geomanist Light" w:hAnsi="Verdana" w:cs="Arial"/>
          <w:lang w:val="es-MX"/>
        </w:rPr>
      </w:pPr>
    </w:p>
    <w:p w14:paraId="3D98486B" w14:textId="77777777" w:rsidR="002C6742" w:rsidRDefault="002C6742" w:rsidP="002C6742">
      <w:pPr>
        <w:spacing w:after="0" w:line="240" w:lineRule="auto"/>
        <w:jc w:val="both"/>
        <w:rPr>
          <w:rFonts w:ascii="Verdana" w:eastAsia="Geomanist Light" w:hAnsi="Verdana" w:cs="Arial"/>
          <w:lang w:val="es-MX"/>
        </w:rPr>
      </w:pPr>
    </w:p>
    <w:p w14:paraId="3F07A402" w14:textId="77777777" w:rsidR="002C6742" w:rsidRDefault="002C6742" w:rsidP="002C6742">
      <w:pPr>
        <w:spacing w:after="0" w:line="240" w:lineRule="auto"/>
        <w:jc w:val="both"/>
        <w:rPr>
          <w:rFonts w:ascii="Verdana" w:eastAsia="Geomanist Light" w:hAnsi="Verdana" w:cs="Arial"/>
          <w:lang w:val="es-MX"/>
        </w:rPr>
      </w:pPr>
    </w:p>
    <w:p w14:paraId="78318980" w14:textId="77777777" w:rsidR="002C6742" w:rsidRPr="002C6742" w:rsidRDefault="002C6742" w:rsidP="002C6742">
      <w:pPr>
        <w:spacing w:after="0" w:line="240" w:lineRule="auto"/>
        <w:jc w:val="both"/>
        <w:rPr>
          <w:rFonts w:ascii="Verdana" w:eastAsia="Geomanist Light" w:hAnsi="Verdana" w:cs="Arial"/>
          <w:b/>
          <w:bCs/>
          <w:lang w:val="es-ES"/>
        </w:rPr>
      </w:pPr>
      <w:r w:rsidRPr="002C6742">
        <w:rPr>
          <w:rFonts w:ascii="Verdana" w:eastAsia="Geomanist Light" w:hAnsi="Verdana" w:cs="Arial"/>
          <w:b/>
          <w:bCs/>
          <w:lang w:val="es-ES"/>
        </w:rPr>
        <w:t>CONTRATO DE INTERVENTORÍA – Finalidad – Ley 1474 de 2011 – Artículo 83</w:t>
      </w:r>
    </w:p>
    <w:p w14:paraId="1F74EFE2" w14:textId="77777777" w:rsidR="002C6742" w:rsidRPr="002C6742" w:rsidRDefault="002C6742" w:rsidP="002C6742">
      <w:pPr>
        <w:spacing w:after="0" w:line="240" w:lineRule="auto"/>
        <w:jc w:val="both"/>
        <w:rPr>
          <w:rFonts w:ascii="Verdana" w:eastAsia="Geomanist Light" w:hAnsi="Verdana" w:cs="Arial"/>
          <w:lang w:val="es-ES"/>
        </w:rPr>
      </w:pPr>
    </w:p>
    <w:p w14:paraId="642378A8" w14:textId="77777777" w:rsidR="002C6742" w:rsidRPr="002C6742" w:rsidRDefault="002C6742" w:rsidP="002C6742">
      <w:pPr>
        <w:spacing w:after="0" w:line="240" w:lineRule="auto"/>
        <w:jc w:val="both"/>
        <w:rPr>
          <w:rFonts w:ascii="Verdana" w:eastAsia="Geomanist Light" w:hAnsi="Verdana" w:cs="Arial"/>
          <w:lang w:val="es-ES"/>
        </w:rPr>
      </w:pPr>
      <w:r w:rsidRPr="002C6742">
        <w:rPr>
          <w:rFonts w:ascii="Verdana" w:eastAsia="Geomanist Light" w:hAnsi="Verdana" w:cs="Arial"/>
          <w:lang w:val="es-ES"/>
        </w:rPr>
        <w:t>La Ley 1474 de 2011 enmarcó el seguimiento, control y vigilancia de la ejecución del contrato estatal dentro del principio de moralidad administrativa. El artículo 83 ibidem señala: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Además, el legislador, en el mismo artículo, definió las nociones de supervisión en interventoría, como mecanismos que pueden usar las Entidades Estatales para vigilar el contrato […].</w:t>
      </w:r>
    </w:p>
    <w:p w14:paraId="3FD8B0C7" w14:textId="77777777" w:rsidR="002C6742" w:rsidRPr="002C6742" w:rsidRDefault="002C6742" w:rsidP="002C6742">
      <w:pPr>
        <w:spacing w:after="0" w:line="240" w:lineRule="auto"/>
        <w:jc w:val="both"/>
        <w:rPr>
          <w:rFonts w:ascii="Verdana" w:eastAsia="Geomanist Light" w:hAnsi="Verdana" w:cs="Arial"/>
          <w:lang w:val="es-ES"/>
        </w:rPr>
      </w:pPr>
    </w:p>
    <w:p w14:paraId="7702A3C6" w14:textId="77777777" w:rsidR="002C6742" w:rsidRPr="002C6742" w:rsidRDefault="002C6742" w:rsidP="002C6742">
      <w:pPr>
        <w:spacing w:after="0" w:line="240" w:lineRule="auto"/>
        <w:jc w:val="both"/>
        <w:rPr>
          <w:rFonts w:ascii="Verdana" w:eastAsia="Geomanist Light" w:hAnsi="Verdana" w:cs="Arial"/>
          <w:b/>
          <w:bCs/>
          <w:lang w:val="es-ES"/>
        </w:rPr>
      </w:pPr>
      <w:bookmarkStart w:id="0" w:name="_Hlk151804843"/>
      <w:r w:rsidRPr="002C6742">
        <w:rPr>
          <w:rFonts w:ascii="Verdana" w:eastAsia="Geomanist Light" w:hAnsi="Verdana" w:cs="Arial"/>
          <w:b/>
          <w:bCs/>
          <w:lang w:val="es-ES"/>
        </w:rPr>
        <w:t>CONTRATO DE INTERVENTORÍA – Características</w:t>
      </w:r>
    </w:p>
    <w:bookmarkEnd w:id="0"/>
    <w:p w14:paraId="3B51C8D5" w14:textId="77777777" w:rsidR="002C6742" w:rsidRPr="002C6742" w:rsidRDefault="002C6742" w:rsidP="002C6742">
      <w:pPr>
        <w:spacing w:after="0" w:line="240" w:lineRule="auto"/>
        <w:jc w:val="both"/>
        <w:rPr>
          <w:rFonts w:ascii="Verdana" w:eastAsia="Geomanist Light" w:hAnsi="Verdana" w:cs="Arial"/>
          <w:b/>
          <w:bCs/>
          <w:lang w:val="es-ES"/>
        </w:rPr>
      </w:pPr>
    </w:p>
    <w:p w14:paraId="4B926E6B" w14:textId="77777777" w:rsidR="002C6742" w:rsidRDefault="002C6742" w:rsidP="002C6742">
      <w:pPr>
        <w:spacing w:after="0" w:line="240" w:lineRule="auto"/>
        <w:jc w:val="both"/>
        <w:rPr>
          <w:rFonts w:ascii="Verdana" w:eastAsia="Geomanist Light" w:hAnsi="Verdana" w:cs="Arial"/>
          <w:lang w:val="es-ES"/>
        </w:rPr>
      </w:pPr>
      <w:r w:rsidRPr="002C6742">
        <w:rPr>
          <w:rFonts w:ascii="Verdana" w:eastAsia="Geomanist Light" w:hAnsi="Verdana" w:cs="Arial"/>
          <w:lang w:val="es-ES"/>
        </w:rPr>
        <w:t xml:space="preserve">[…]la interventoría puede caracterizarse de la siguiente manera: i) es un mecanismo de vigilancia contingente en la medida que sólo es obligatorio para el seguimiento de los contratos de obra adjudicados por licitación pública –art. 32, numeral 1–; en los demás casos se requerirá cuando “el seguimiento del contrato suponga conocimiento especializado en la materia, o cuando la complejidad o la extensión del mismo lo justifique” –art, 83, Ley 1474 de 2011–. </w:t>
      </w:r>
      <w:proofErr w:type="spellStart"/>
      <w:r w:rsidRPr="002C6742">
        <w:rPr>
          <w:rFonts w:ascii="Verdana" w:eastAsia="Geomanist Light" w:hAnsi="Verdana" w:cs="Arial"/>
          <w:lang w:val="es-ES"/>
        </w:rPr>
        <w:t>ii</w:t>
      </w:r>
      <w:proofErr w:type="spellEnd"/>
      <w:r w:rsidRPr="002C6742">
        <w:rPr>
          <w:rFonts w:ascii="Verdana" w:eastAsia="Geomanist Light" w:hAnsi="Verdana" w:cs="Arial"/>
          <w:lang w:val="es-ES"/>
        </w:rPr>
        <w:t xml:space="preserve">) Es un mecanismo de vigilancia que exige, en su ejecución, la utilización de conocimientos especializados. </w:t>
      </w:r>
      <w:proofErr w:type="spellStart"/>
      <w:r w:rsidRPr="002C6742">
        <w:rPr>
          <w:rFonts w:ascii="Verdana" w:eastAsia="Geomanist Light" w:hAnsi="Verdana" w:cs="Arial"/>
          <w:lang w:val="es-ES"/>
        </w:rPr>
        <w:t>iii</w:t>
      </w:r>
      <w:proofErr w:type="spellEnd"/>
      <w:r w:rsidRPr="002C6742">
        <w:rPr>
          <w:rFonts w:ascii="Verdana" w:eastAsia="Geomanist Light" w:hAnsi="Verdana" w:cs="Arial"/>
          <w:lang w:val="es-ES"/>
        </w:rPr>
        <w:t xml:space="preserve">) Por lo anterior, la entidad contrata un experto, por regla general, mediante la modalidad de selección de concurso de méritos, al tratarse la interventoría de una especia del contrato de consultoría – art. 32, numeral 2, inciso 2, Ley 80 de 1993 ‒, de manera que la interventoría es realizada por “una persona natural o jurídica contratada para tal fin por la Entidad Estatal” –art. 83, Ley 1474–. </w:t>
      </w:r>
      <w:proofErr w:type="spellStart"/>
      <w:r w:rsidRPr="002C6742">
        <w:rPr>
          <w:rFonts w:ascii="Verdana" w:eastAsia="Geomanist Light" w:hAnsi="Verdana" w:cs="Arial"/>
          <w:lang w:val="es-ES"/>
        </w:rPr>
        <w:t>iv</w:t>
      </w:r>
      <w:proofErr w:type="spellEnd"/>
      <w:r w:rsidRPr="002C6742">
        <w:rPr>
          <w:rFonts w:ascii="Verdana" w:eastAsia="Geomanist Light" w:hAnsi="Verdana" w:cs="Arial"/>
          <w:lang w:val="es-ES"/>
        </w:rPr>
        <w:t>)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 de que no se encomiende al interventor el seguimiento total del contrato, en el contrato de interventoría “se deberán indicar las actividades técnicas a cargo del interventor y las demás quedarán a cargo de la Entidad a través del supervisor” –art. 83, inciso 3–. Finalmente, vi) el contrato de interventoría será supervisado directamente por la entidad –art. 23, inciso 4–.</w:t>
      </w:r>
    </w:p>
    <w:p w14:paraId="4449B462" w14:textId="77777777" w:rsidR="002C6742" w:rsidRDefault="002C6742" w:rsidP="002C6742">
      <w:pPr>
        <w:spacing w:after="0" w:line="240" w:lineRule="auto"/>
        <w:jc w:val="both"/>
        <w:rPr>
          <w:rFonts w:ascii="Verdana" w:eastAsia="Geomanist Light" w:hAnsi="Verdana" w:cs="Arial"/>
          <w:lang w:val="es-ES"/>
        </w:rPr>
      </w:pPr>
    </w:p>
    <w:p w14:paraId="1073BB3F" w14:textId="77777777" w:rsidR="002C6742" w:rsidRPr="002C6742" w:rsidRDefault="002C6742" w:rsidP="002C6742">
      <w:pPr>
        <w:spacing w:after="0" w:line="240" w:lineRule="auto"/>
        <w:jc w:val="both"/>
        <w:rPr>
          <w:rFonts w:ascii="Verdana" w:eastAsia="Geomanist Light" w:hAnsi="Verdana" w:cs="Arial"/>
          <w:b/>
        </w:rPr>
      </w:pPr>
      <w:r w:rsidRPr="002C6742">
        <w:rPr>
          <w:rFonts w:ascii="Verdana" w:eastAsia="Geomanist Light" w:hAnsi="Verdana" w:cs="Arial"/>
          <w:b/>
        </w:rPr>
        <w:t>INTERVENTORÍA – Características</w:t>
      </w:r>
    </w:p>
    <w:p w14:paraId="42E31B28" w14:textId="77777777" w:rsidR="002C6742" w:rsidRPr="002C6742" w:rsidRDefault="002C6742" w:rsidP="002C6742">
      <w:pPr>
        <w:spacing w:after="0" w:line="240" w:lineRule="auto"/>
        <w:jc w:val="both"/>
        <w:rPr>
          <w:rFonts w:ascii="Verdana" w:eastAsia="Geomanist Light" w:hAnsi="Verdana" w:cs="Arial"/>
          <w:b/>
        </w:rPr>
      </w:pPr>
    </w:p>
    <w:p w14:paraId="1D959B02" w14:textId="41852BFD" w:rsidR="002C6742" w:rsidRPr="002C6742" w:rsidRDefault="002C6742" w:rsidP="002C6742">
      <w:pPr>
        <w:spacing w:after="0" w:line="240" w:lineRule="auto"/>
        <w:jc w:val="both"/>
        <w:rPr>
          <w:rFonts w:ascii="Verdana" w:eastAsia="Geomanist Light" w:hAnsi="Verdana" w:cs="Arial"/>
        </w:rPr>
      </w:pPr>
      <w:r w:rsidRPr="002C6742">
        <w:rPr>
          <w:rFonts w:ascii="Verdana" w:eastAsia="Geomanist Light" w:hAnsi="Verdana" w:cs="Arial"/>
        </w:rPr>
        <w:lastRenderedPageBreak/>
        <w:t xml:space="preserve">Por su parte la interventoría: i) será un mecanismo de vigilancia contingente en la medida que solo es obligatorio para el seguimiento de los contratos de obra adjudicados por licitación pública ―art. 32, numeral 1―; en los demás casos se requerirá cuando </w:t>
      </w:r>
      <w:r>
        <w:rPr>
          <w:rFonts w:ascii="Verdana" w:eastAsia="Geomanist Light" w:hAnsi="Verdana" w:cs="Arial"/>
        </w:rPr>
        <w:t>“</w:t>
      </w:r>
      <w:r w:rsidRPr="002C6742">
        <w:rPr>
          <w:rFonts w:ascii="Verdana" w:eastAsia="Geomanist Light" w:hAnsi="Verdana" w:cs="Arial"/>
        </w:rPr>
        <w:t>el seguimiento del contrato suponga conocimiento especializado en la materia, o cuando la complejidad o la extensión del mismo lo justifiquen</w:t>
      </w:r>
      <w:r>
        <w:rPr>
          <w:rFonts w:ascii="Verdana" w:eastAsia="Geomanist Light" w:hAnsi="Verdana" w:cs="Arial"/>
        </w:rPr>
        <w:t xml:space="preserve">” </w:t>
      </w:r>
      <w:r w:rsidRPr="002C6742">
        <w:rPr>
          <w:rFonts w:ascii="Verdana" w:eastAsia="Geomanist Light" w:hAnsi="Verdana" w:cs="Arial"/>
        </w:rPr>
        <w:t xml:space="preserve">―art. 83, Ley 1474 de 2011―. </w:t>
      </w:r>
      <w:proofErr w:type="spellStart"/>
      <w:r w:rsidRPr="002C6742">
        <w:rPr>
          <w:rFonts w:ascii="Verdana" w:eastAsia="Geomanist Light" w:hAnsi="Verdana" w:cs="Arial"/>
        </w:rPr>
        <w:t>ii</w:t>
      </w:r>
      <w:proofErr w:type="spellEnd"/>
      <w:r w:rsidRPr="002C6742">
        <w:rPr>
          <w:rFonts w:ascii="Verdana" w:eastAsia="Geomanist Light" w:hAnsi="Verdana" w:cs="Arial"/>
        </w:rPr>
        <w:t xml:space="preserve">) Este mecanismo de vigilancia exige, en su ejecución, la utilización de conocimientos especializados. </w:t>
      </w:r>
      <w:proofErr w:type="spellStart"/>
      <w:r w:rsidRPr="002C6742">
        <w:rPr>
          <w:rFonts w:ascii="Verdana" w:eastAsia="Geomanist Light" w:hAnsi="Verdana" w:cs="Arial"/>
        </w:rPr>
        <w:t>iii</w:t>
      </w:r>
      <w:proofErr w:type="spellEnd"/>
      <w:r w:rsidRPr="002C6742">
        <w:rPr>
          <w:rFonts w:ascii="Verdana" w:eastAsia="Geomanist Light" w:hAnsi="Verdana" w:cs="Arial"/>
        </w:rPr>
        <w:t xml:space="preserve">) Por lo anterior, la entidad contrata un experto a través de un concurso de méritos, al tratarse la interventoría de una especie del contrato de consultoría ―art. 32, numeral 2, inciso 2, Ley 80 de 1993 ―, de manera que la interventoría es realizada por una </w:t>
      </w:r>
      <w:r>
        <w:rPr>
          <w:rFonts w:ascii="Verdana" w:eastAsia="Geomanist Light" w:hAnsi="Verdana" w:cs="Arial"/>
        </w:rPr>
        <w:t>“</w:t>
      </w:r>
      <w:r w:rsidRPr="002C6742">
        <w:rPr>
          <w:rFonts w:ascii="Verdana" w:eastAsia="Geomanist Light" w:hAnsi="Verdana" w:cs="Arial"/>
        </w:rPr>
        <w:t>persona natural o jurídica contratada para tal fin por la Entidad Estatal</w:t>
      </w:r>
      <w:r>
        <w:rPr>
          <w:rFonts w:ascii="Verdana" w:eastAsia="Geomanist Light" w:hAnsi="Verdana" w:cs="Arial"/>
        </w:rPr>
        <w:t>”</w:t>
      </w:r>
      <w:r w:rsidRPr="002C6742">
        <w:rPr>
          <w:rFonts w:ascii="Verdana" w:eastAsia="Geomanist Light" w:hAnsi="Verdana" w:cs="Arial"/>
        </w:rPr>
        <w:t xml:space="preserve"> ―art. 83, Ley 1474―. </w:t>
      </w:r>
      <w:proofErr w:type="spellStart"/>
      <w:r w:rsidRPr="002C6742">
        <w:rPr>
          <w:rFonts w:ascii="Verdana" w:eastAsia="Geomanist Light" w:hAnsi="Verdana" w:cs="Arial"/>
        </w:rPr>
        <w:t>iv</w:t>
      </w:r>
      <w:proofErr w:type="spellEnd"/>
      <w:r w:rsidRPr="002C6742">
        <w:rPr>
          <w:rFonts w:ascii="Verdana" w:eastAsia="Geomanist Light" w:hAnsi="Verdana" w:cs="Arial"/>
        </w:rPr>
        <w:t xml:space="preserve">)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 de que no se encomiende al interventor el seguimiento total del contrato, dentro de sus obligaciones se debe estipular que </w:t>
      </w:r>
      <w:r>
        <w:rPr>
          <w:rFonts w:ascii="Verdana" w:eastAsia="Geomanist Light" w:hAnsi="Verdana" w:cs="Arial"/>
        </w:rPr>
        <w:t>“</w:t>
      </w:r>
      <w:r w:rsidRPr="002C6742">
        <w:rPr>
          <w:rFonts w:ascii="Verdana" w:eastAsia="Geomanist Light" w:hAnsi="Verdana" w:cs="Arial"/>
        </w:rPr>
        <w:t>las actividades técnicas a cargo del interventor y las demás quedarán a cargo de la Entidad a través del supervisor</w:t>
      </w:r>
      <w:r>
        <w:rPr>
          <w:rFonts w:ascii="Verdana" w:eastAsia="Geomanist Light" w:hAnsi="Verdana" w:cs="Arial"/>
        </w:rPr>
        <w:t>”</w:t>
      </w:r>
      <w:r w:rsidRPr="002C6742">
        <w:rPr>
          <w:rFonts w:ascii="Verdana" w:eastAsia="Geomanist Light" w:hAnsi="Verdana" w:cs="Arial"/>
        </w:rPr>
        <w:t xml:space="preserve"> ―art. 83, inciso 3―. vi) El contrato de interventoría será supervisado directamente por la entidad ―art. 83, inciso 4―.</w:t>
      </w:r>
    </w:p>
    <w:p w14:paraId="5C486FF7" w14:textId="77777777" w:rsidR="002C6742" w:rsidRDefault="002C6742" w:rsidP="002C6742">
      <w:pPr>
        <w:spacing w:after="0" w:line="240" w:lineRule="auto"/>
        <w:jc w:val="both"/>
        <w:rPr>
          <w:rFonts w:ascii="Verdana" w:eastAsia="Geomanist Light" w:hAnsi="Verdana" w:cs="Arial"/>
          <w:lang w:val="es-ES"/>
        </w:rPr>
      </w:pPr>
    </w:p>
    <w:p w14:paraId="5A564E64" w14:textId="77777777" w:rsidR="002C6742" w:rsidRPr="002C6742" w:rsidRDefault="002C6742" w:rsidP="002C6742">
      <w:pPr>
        <w:spacing w:after="0" w:line="240" w:lineRule="auto"/>
        <w:jc w:val="both"/>
        <w:rPr>
          <w:rFonts w:ascii="Verdana" w:eastAsia="Geomanist Light" w:hAnsi="Verdana" w:cs="Arial"/>
          <w:lang w:val="es-ES"/>
        </w:rPr>
      </w:pPr>
    </w:p>
    <w:p w14:paraId="5C9BE123" w14:textId="77777777" w:rsidR="002C6742" w:rsidRDefault="002C6742" w:rsidP="00CD7352">
      <w:pPr>
        <w:spacing w:after="0" w:line="240" w:lineRule="auto"/>
        <w:rPr>
          <w:rFonts w:ascii="Verdana" w:eastAsia="Geomanist Light" w:hAnsi="Verdana" w:cs="Arial"/>
          <w:lang w:val="es-MX"/>
        </w:rPr>
      </w:pPr>
    </w:p>
    <w:p w14:paraId="4A1BE1E3" w14:textId="77777777" w:rsidR="002C6742" w:rsidRDefault="002C6742" w:rsidP="00CD7352">
      <w:pPr>
        <w:spacing w:after="0" w:line="240" w:lineRule="auto"/>
        <w:rPr>
          <w:rFonts w:ascii="Verdana" w:eastAsia="Geomanist Light" w:hAnsi="Verdana" w:cs="Arial"/>
          <w:lang w:val="es-MX"/>
        </w:rPr>
      </w:pPr>
    </w:p>
    <w:p w14:paraId="15F3DB6A" w14:textId="77777777" w:rsidR="002C6742" w:rsidRDefault="002C6742" w:rsidP="00CD7352">
      <w:pPr>
        <w:spacing w:after="0" w:line="240" w:lineRule="auto"/>
        <w:rPr>
          <w:rFonts w:ascii="Verdana" w:eastAsia="Geomanist Light" w:hAnsi="Verdana" w:cs="Arial"/>
          <w:lang w:val="es-MX"/>
        </w:rPr>
      </w:pPr>
    </w:p>
    <w:p w14:paraId="5D2085FC" w14:textId="77777777" w:rsidR="002C6742" w:rsidRDefault="002C6742" w:rsidP="00CD7352">
      <w:pPr>
        <w:spacing w:after="0" w:line="240" w:lineRule="auto"/>
        <w:rPr>
          <w:rFonts w:ascii="Verdana" w:eastAsia="Geomanist Light" w:hAnsi="Verdana" w:cs="Arial"/>
          <w:lang w:val="es-MX"/>
        </w:rPr>
      </w:pPr>
    </w:p>
    <w:p w14:paraId="5D43A997" w14:textId="77777777" w:rsidR="002C6742" w:rsidRDefault="002C6742" w:rsidP="00CD7352">
      <w:pPr>
        <w:spacing w:after="0" w:line="240" w:lineRule="auto"/>
        <w:rPr>
          <w:rFonts w:ascii="Verdana" w:eastAsia="Geomanist Light" w:hAnsi="Verdana" w:cs="Arial"/>
          <w:lang w:val="es-MX"/>
        </w:rPr>
      </w:pPr>
    </w:p>
    <w:p w14:paraId="01FCCAF7" w14:textId="77777777" w:rsidR="002C6742" w:rsidRDefault="002C6742" w:rsidP="00CD7352">
      <w:pPr>
        <w:spacing w:after="0" w:line="240" w:lineRule="auto"/>
        <w:rPr>
          <w:rFonts w:ascii="Verdana" w:eastAsia="Geomanist Light" w:hAnsi="Verdana" w:cs="Arial"/>
          <w:lang w:val="es-MX"/>
        </w:rPr>
      </w:pPr>
    </w:p>
    <w:p w14:paraId="463DDD28" w14:textId="77777777" w:rsidR="002C6742" w:rsidRDefault="002C6742" w:rsidP="00CD7352">
      <w:pPr>
        <w:spacing w:after="0" w:line="240" w:lineRule="auto"/>
        <w:rPr>
          <w:rFonts w:ascii="Verdana" w:eastAsia="Geomanist Light" w:hAnsi="Verdana" w:cs="Arial"/>
          <w:lang w:val="es-MX"/>
        </w:rPr>
      </w:pPr>
    </w:p>
    <w:p w14:paraId="74C473E7" w14:textId="77777777" w:rsidR="002C6742" w:rsidRDefault="002C6742" w:rsidP="00CD7352">
      <w:pPr>
        <w:spacing w:after="0" w:line="240" w:lineRule="auto"/>
        <w:rPr>
          <w:rFonts w:ascii="Verdana" w:eastAsia="Geomanist Light" w:hAnsi="Verdana" w:cs="Arial"/>
          <w:lang w:val="es-MX"/>
        </w:rPr>
      </w:pPr>
    </w:p>
    <w:p w14:paraId="0EF77F08" w14:textId="77777777" w:rsidR="002C6742" w:rsidRDefault="002C6742" w:rsidP="00CD7352">
      <w:pPr>
        <w:spacing w:after="0" w:line="240" w:lineRule="auto"/>
        <w:rPr>
          <w:rFonts w:ascii="Verdana" w:eastAsia="Geomanist Light" w:hAnsi="Verdana" w:cs="Arial"/>
          <w:lang w:val="es-MX"/>
        </w:rPr>
      </w:pPr>
    </w:p>
    <w:p w14:paraId="3B0E1301" w14:textId="77777777" w:rsidR="002C6742" w:rsidRDefault="002C6742" w:rsidP="00CD7352">
      <w:pPr>
        <w:spacing w:after="0" w:line="240" w:lineRule="auto"/>
        <w:rPr>
          <w:rFonts w:ascii="Verdana" w:eastAsia="Geomanist Light" w:hAnsi="Verdana" w:cs="Arial"/>
          <w:lang w:val="es-MX"/>
        </w:rPr>
      </w:pPr>
    </w:p>
    <w:p w14:paraId="4BC7A8BA" w14:textId="77777777" w:rsidR="002C6742" w:rsidRDefault="002C6742" w:rsidP="00CD7352">
      <w:pPr>
        <w:spacing w:after="0" w:line="240" w:lineRule="auto"/>
        <w:rPr>
          <w:rFonts w:ascii="Verdana" w:eastAsia="Geomanist Light" w:hAnsi="Verdana" w:cs="Arial"/>
          <w:lang w:val="es-MX"/>
        </w:rPr>
      </w:pPr>
    </w:p>
    <w:p w14:paraId="42E68DCA" w14:textId="77777777" w:rsidR="002C6742" w:rsidRDefault="002C6742" w:rsidP="00CD7352">
      <w:pPr>
        <w:spacing w:after="0" w:line="240" w:lineRule="auto"/>
        <w:rPr>
          <w:rFonts w:ascii="Verdana" w:eastAsia="Geomanist Light" w:hAnsi="Verdana" w:cs="Arial"/>
          <w:lang w:val="es-MX"/>
        </w:rPr>
      </w:pPr>
    </w:p>
    <w:p w14:paraId="56D269BF" w14:textId="77777777" w:rsidR="002C6742" w:rsidRDefault="002C6742" w:rsidP="00CD7352">
      <w:pPr>
        <w:spacing w:after="0" w:line="240" w:lineRule="auto"/>
        <w:rPr>
          <w:rFonts w:ascii="Verdana" w:eastAsia="Geomanist Light" w:hAnsi="Verdana" w:cs="Arial"/>
          <w:lang w:val="es-MX"/>
        </w:rPr>
      </w:pPr>
    </w:p>
    <w:p w14:paraId="7F3CB60B" w14:textId="77777777" w:rsidR="002C6742" w:rsidRDefault="002C6742" w:rsidP="00CD7352">
      <w:pPr>
        <w:spacing w:after="0" w:line="240" w:lineRule="auto"/>
        <w:rPr>
          <w:rFonts w:ascii="Verdana" w:eastAsia="Geomanist Light" w:hAnsi="Verdana" w:cs="Arial"/>
          <w:lang w:val="es-MX"/>
        </w:rPr>
      </w:pPr>
    </w:p>
    <w:p w14:paraId="1E61724B" w14:textId="77777777" w:rsidR="002C6742" w:rsidRDefault="002C6742" w:rsidP="00CD7352">
      <w:pPr>
        <w:spacing w:after="0" w:line="240" w:lineRule="auto"/>
        <w:rPr>
          <w:rFonts w:ascii="Verdana" w:eastAsia="Geomanist Light" w:hAnsi="Verdana" w:cs="Arial"/>
          <w:lang w:val="es-MX"/>
        </w:rPr>
      </w:pPr>
    </w:p>
    <w:p w14:paraId="5EECE5EA" w14:textId="77777777" w:rsidR="002C6742" w:rsidRDefault="002C6742" w:rsidP="00CD7352">
      <w:pPr>
        <w:spacing w:after="0" w:line="240" w:lineRule="auto"/>
        <w:rPr>
          <w:rFonts w:ascii="Verdana" w:eastAsia="Geomanist Light" w:hAnsi="Verdana" w:cs="Arial"/>
          <w:lang w:val="es-MX"/>
        </w:rPr>
      </w:pPr>
    </w:p>
    <w:p w14:paraId="624DAF63" w14:textId="77777777" w:rsidR="002C6742" w:rsidRDefault="002C6742" w:rsidP="00CD7352">
      <w:pPr>
        <w:spacing w:after="0" w:line="240" w:lineRule="auto"/>
        <w:rPr>
          <w:rFonts w:ascii="Verdana" w:eastAsia="Geomanist Light" w:hAnsi="Verdana" w:cs="Arial"/>
          <w:lang w:val="es-MX"/>
        </w:rPr>
      </w:pPr>
    </w:p>
    <w:p w14:paraId="2DF4E183" w14:textId="77777777" w:rsidR="002C6742" w:rsidRDefault="002C6742" w:rsidP="00CD7352">
      <w:pPr>
        <w:spacing w:after="0" w:line="240" w:lineRule="auto"/>
        <w:rPr>
          <w:rFonts w:ascii="Verdana" w:eastAsia="Geomanist Light" w:hAnsi="Verdana" w:cs="Arial"/>
          <w:lang w:val="es-MX"/>
        </w:rPr>
      </w:pPr>
    </w:p>
    <w:p w14:paraId="062EC9E8" w14:textId="77777777" w:rsidR="002C6742" w:rsidRDefault="002C6742" w:rsidP="00CD7352">
      <w:pPr>
        <w:spacing w:after="0" w:line="240" w:lineRule="auto"/>
        <w:rPr>
          <w:rFonts w:ascii="Verdana" w:eastAsia="Geomanist Light" w:hAnsi="Verdana" w:cs="Arial"/>
          <w:lang w:val="es-MX"/>
        </w:rPr>
      </w:pPr>
    </w:p>
    <w:p w14:paraId="6083EF0E" w14:textId="77777777" w:rsidR="002C6742" w:rsidRDefault="002C6742" w:rsidP="00CD7352">
      <w:pPr>
        <w:spacing w:after="0" w:line="240" w:lineRule="auto"/>
        <w:rPr>
          <w:rFonts w:ascii="Verdana" w:eastAsia="Geomanist Light" w:hAnsi="Verdana" w:cs="Arial"/>
          <w:lang w:val="es-MX"/>
        </w:rPr>
      </w:pPr>
    </w:p>
    <w:p w14:paraId="2B625AEE" w14:textId="77777777" w:rsidR="002C6742" w:rsidRDefault="002C6742" w:rsidP="00CD7352">
      <w:pPr>
        <w:spacing w:after="0" w:line="240" w:lineRule="auto"/>
        <w:rPr>
          <w:rFonts w:ascii="Verdana" w:eastAsia="Geomanist Light" w:hAnsi="Verdana" w:cs="Arial"/>
          <w:lang w:val="es-MX"/>
        </w:rPr>
      </w:pPr>
    </w:p>
    <w:p w14:paraId="3CDAF292" w14:textId="4076DF53" w:rsidR="00CD7352" w:rsidRDefault="00CD7352" w:rsidP="00CD7352">
      <w:pPr>
        <w:spacing w:after="0" w:line="240" w:lineRule="auto"/>
        <w:rPr>
          <w:rFonts w:ascii="Verdana" w:eastAsia="Geomanist Light" w:hAnsi="Verdana" w:cs="Arial"/>
          <w:lang w:val="es-MX"/>
        </w:rPr>
      </w:pPr>
      <w:r w:rsidRPr="00045B35">
        <w:rPr>
          <w:rFonts w:ascii="Verdana" w:eastAsia="Geomanist Light" w:hAnsi="Verdana" w:cs="Arial"/>
          <w:lang w:val="es-MX"/>
        </w:rPr>
        <w:lastRenderedPageBreak/>
        <w:t>D.C., [Día] de [</w:t>
      </w:r>
      <w:proofErr w:type="spellStart"/>
      <w:r w:rsidRPr="00045B35">
        <w:rPr>
          <w:rFonts w:ascii="Verdana" w:eastAsia="Geomanist Light" w:hAnsi="Verdana" w:cs="Arial"/>
          <w:lang w:val="es-MX"/>
        </w:rPr>
        <w:t>Mes.NombreCapitalizado</w:t>
      </w:r>
      <w:proofErr w:type="spellEnd"/>
      <w:r w:rsidRPr="00045B35">
        <w:rPr>
          <w:rFonts w:ascii="Verdana" w:eastAsia="Geomanist Light" w:hAnsi="Verdana" w:cs="Arial"/>
          <w:lang w:val="es-MX"/>
        </w:rPr>
        <w:t>] de [Año]</w:t>
      </w:r>
    </w:p>
    <w:p w14:paraId="76495853" w14:textId="029BA2F9" w:rsidR="002C6742" w:rsidRDefault="002C6742" w:rsidP="00CD7352">
      <w:pPr>
        <w:spacing w:after="0" w:line="240" w:lineRule="auto"/>
        <w:rPr>
          <w:rFonts w:ascii="Verdana" w:eastAsia="Geomanist Light" w:hAnsi="Verdana" w:cs="Arial"/>
          <w:lang w:val="es-MX"/>
        </w:rPr>
      </w:pPr>
      <w:r w:rsidRPr="002C6742">
        <w:rPr>
          <w:rFonts w:ascii="Verdana" w:eastAsia="Geomanist Light" w:hAnsi="Verdana" w:cs="Arial"/>
          <w:noProof/>
          <w:lang w:val="es-MX"/>
        </w:rPr>
        <w:drawing>
          <wp:anchor distT="0" distB="0" distL="114300" distR="114300" simplePos="0" relativeHeight="251658240" behindDoc="1" locked="0" layoutInCell="1" allowOverlap="1" wp14:anchorId="124087D6" wp14:editId="76A652BE">
            <wp:simplePos x="0" y="0"/>
            <wp:positionH relativeFrom="column">
              <wp:posOffset>2051685</wp:posOffset>
            </wp:positionH>
            <wp:positionV relativeFrom="paragraph">
              <wp:posOffset>109220</wp:posOffset>
            </wp:positionV>
            <wp:extent cx="4057650" cy="1114425"/>
            <wp:effectExtent l="0" t="0" r="0" b="9525"/>
            <wp:wrapTight wrapText="bothSides">
              <wp:wrapPolygon edited="0">
                <wp:start x="0" y="0"/>
                <wp:lineTo x="0" y="21415"/>
                <wp:lineTo x="21499" y="21415"/>
                <wp:lineTo x="21499" y="0"/>
                <wp:lineTo x="0" y="0"/>
              </wp:wrapPolygon>
            </wp:wrapTight>
            <wp:docPr id="127500529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005294"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4057650" cy="1114425"/>
                    </a:xfrm>
                    <a:prstGeom prst="rect">
                      <a:avLst/>
                    </a:prstGeom>
                  </pic:spPr>
                </pic:pic>
              </a:graphicData>
            </a:graphic>
          </wp:anchor>
        </w:drawing>
      </w:r>
    </w:p>
    <w:p w14:paraId="46F0DAE6" w14:textId="5C8FE79D" w:rsidR="002C6742" w:rsidRDefault="002C6742" w:rsidP="00CD7352">
      <w:pPr>
        <w:spacing w:after="0" w:line="240" w:lineRule="auto"/>
        <w:rPr>
          <w:rFonts w:ascii="Verdana" w:eastAsia="Geomanist Light" w:hAnsi="Verdana" w:cs="Arial"/>
          <w:lang w:val="es-MX"/>
        </w:rPr>
      </w:pPr>
    </w:p>
    <w:p w14:paraId="2BAA4801" w14:textId="29D24486" w:rsidR="002C6742" w:rsidRDefault="002C6742" w:rsidP="00CD7352">
      <w:pPr>
        <w:spacing w:after="0" w:line="240" w:lineRule="auto"/>
        <w:rPr>
          <w:rFonts w:ascii="Verdana" w:eastAsia="Geomanist Light" w:hAnsi="Verdana" w:cs="Arial"/>
          <w:lang w:val="es-MX"/>
        </w:rPr>
      </w:pPr>
    </w:p>
    <w:p w14:paraId="1007D9D9" w14:textId="77777777" w:rsidR="002C6742" w:rsidRDefault="002C6742" w:rsidP="00CD7352">
      <w:pPr>
        <w:spacing w:after="0" w:line="240" w:lineRule="auto"/>
        <w:rPr>
          <w:rFonts w:ascii="Verdana" w:eastAsia="Geomanist Light" w:hAnsi="Verdana" w:cs="Arial"/>
          <w:lang w:val="es-MX"/>
        </w:rPr>
      </w:pPr>
    </w:p>
    <w:p w14:paraId="7A9E9113" w14:textId="77777777" w:rsidR="002C6742" w:rsidRDefault="002C6742" w:rsidP="00CD7352">
      <w:pPr>
        <w:spacing w:after="0" w:line="240" w:lineRule="auto"/>
        <w:rPr>
          <w:rFonts w:ascii="Verdana" w:eastAsia="Geomanist Light" w:hAnsi="Verdana" w:cs="Arial"/>
          <w:lang w:val="es-MX"/>
        </w:rPr>
      </w:pPr>
    </w:p>
    <w:p w14:paraId="4D70AFC4" w14:textId="77777777" w:rsidR="002C6742" w:rsidRDefault="002C6742" w:rsidP="00CD7352">
      <w:pPr>
        <w:spacing w:after="0" w:line="240" w:lineRule="auto"/>
        <w:rPr>
          <w:rFonts w:ascii="Verdana" w:eastAsia="Geomanist Light" w:hAnsi="Verdana" w:cs="Arial"/>
          <w:lang w:val="es-MX"/>
        </w:rPr>
      </w:pPr>
    </w:p>
    <w:p w14:paraId="4EF4A33E" w14:textId="77777777" w:rsidR="002C6742" w:rsidRDefault="002C6742" w:rsidP="00CD7352">
      <w:pPr>
        <w:spacing w:after="0" w:line="240" w:lineRule="auto"/>
        <w:rPr>
          <w:rFonts w:ascii="Verdana" w:eastAsia="Geomanist Light" w:hAnsi="Verdana" w:cs="Arial"/>
          <w:lang w:val="es-MX"/>
        </w:rPr>
      </w:pPr>
    </w:p>
    <w:p w14:paraId="74E8796F" w14:textId="1C52185C" w:rsidR="002C6742" w:rsidRPr="00045B35" w:rsidRDefault="002C6742" w:rsidP="00CD7352">
      <w:pPr>
        <w:spacing w:after="0" w:line="240" w:lineRule="auto"/>
        <w:rPr>
          <w:rFonts w:ascii="Verdana" w:eastAsia="Geomanist Light" w:hAnsi="Verdana" w:cs="Arial"/>
          <w:lang w:val="es-MX"/>
        </w:rPr>
      </w:pPr>
    </w:p>
    <w:p w14:paraId="36989418" w14:textId="77777777" w:rsidR="00CD7352" w:rsidRPr="00045B35" w:rsidRDefault="00CD7352" w:rsidP="00CD7352">
      <w:pPr>
        <w:spacing w:after="0" w:line="240" w:lineRule="auto"/>
        <w:jc w:val="both"/>
        <w:rPr>
          <w:rFonts w:ascii="Verdana" w:eastAsia="Calibri" w:hAnsi="Verdana" w:cs="Arial"/>
          <w:lang w:val="es-ES"/>
        </w:rPr>
      </w:pPr>
    </w:p>
    <w:p w14:paraId="16763A62" w14:textId="77777777" w:rsidR="00CD7352" w:rsidRPr="00045B35" w:rsidRDefault="00CD7352" w:rsidP="00CD7352">
      <w:pPr>
        <w:spacing w:after="0" w:line="240" w:lineRule="auto"/>
        <w:jc w:val="both"/>
        <w:rPr>
          <w:rFonts w:ascii="Verdana" w:eastAsia="Calibri" w:hAnsi="Verdana" w:cs="Arial"/>
          <w:lang w:val="es-ES" w:eastAsia="es-ES"/>
        </w:rPr>
      </w:pPr>
      <w:r w:rsidRPr="00045B35">
        <w:rPr>
          <w:rFonts w:ascii="Verdana" w:eastAsia="Calibri" w:hAnsi="Verdana" w:cs="Arial"/>
          <w:lang w:val="es-ES" w:eastAsia="es-ES"/>
        </w:rPr>
        <w:t>Señora</w:t>
      </w:r>
    </w:p>
    <w:p w14:paraId="50AA7706" w14:textId="77777777" w:rsidR="00CD7352" w:rsidRPr="00045B35" w:rsidRDefault="00CD7352" w:rsidP="00CD7352">
      <w:pPr>
        <w:spacing w:after="0" w:line="240" w:lineRule="auto"/>
        <w:rPr>
          <w:rFonts w:ascii="Verdana" w:eastAsia="Calibri" w:hAnsi="Verdana" w:cs="Arial"/>
          <w:b/>
          <w:lang w:val="es-ES_tradnl" w:eastAsia="es-ES_tradnl"/>
        </w:rPr>
      </w:pPr>
      <w:r w:rsidRPr="00045B35">
        <w:rPr>
          <w:rFonts w:ascii="Verdana" w:eastAsia="Calibri" w:hAnsi="Verdana" w:cs="Arial"/>
          <w:b/>
          <w:lang w:val="es-ES_tradnl" w:eastAsia="es-ES_tradnl"/>
        </w:rPr>
        <w:t>Lina Fernanda Ordoñez Pérez</w:t>
      </w:r>
    </w:p>
    <w:p w14:paraId="36A50E93" w14:textId="77777777" w:rsidR="00CD7352" w:rsidRPr="00045B35" w:rsidRDefault="00357BEC" w:rsidP="00CD7352">
      <w:pPr>
        <w:spacing w:after="0" w:line="240" w:lineRule="auto"/>
        <w:rPr>
          <w:rFonts w:ascii="Verdana" w:eastAsia="Calibri" w:hAnsi="Verdana" w:cs="Arial"/>
          <w:u w:val="single"/>
          <w:lang w:eastAsia="es-ES"/>
        </w:rPr>
      </w:pPr>
      <w:hyperlink r:id="rId11" w:history="1">
        <w:r w:rsidR="00CD7352" w:rsidRPr="00045B35">
          <w:rPr>
            <w:rFonts w:ascii="Verdana" w:eastAsia="Calibri" w:hAnsi="Verdana" w:cs="Arial"/>
            <w:u w:val="single"/>
            <w:lang w:eastAsia="es-ES"/>
          </w:rPr>
          <w:t>linaor_94@hotmail.com</w:t>
        </w:r>
      </w:hyperlink>
    </w:p>
    <w:p w14:paraId="752CFEBB" w14:textId="77777777" w:rsidR="00CD7352" w:rsidRPr="00045B35" w:rsidRDefault="00CD7352" w:rsidP="00CD7352">
      <w:pPr>
        <w:spacing w:after="0" w:line="240" w:lineRule="auto"/>
        <w:rPr>
          <w:rFonts w:ascii="Verdana" w:eastAsia="Calibri" w:hAnsi="Verdana" w:cs="Arial"/>
          <w:b/>
          <w:bCs/>
          <w:lang w:val="es-ES" w:eastAsia="es-ES"/>
        </w:rPr>
      </w:pPr>
      <w:r w:rsidRPr="00045B35">
        <w:rPr>
          <w:rFonts w:ascii="Verdana" w:eastAsia="Calibri" w:hAnsi="Verdana" w:cs="Arial"/>
          <w:lang w:val="es-ES" w:eastAsia="es-ES"/>
        </w:rPr>
        <w:t>Ciudad</w:t>
      </w:r>
    </w:p>
    <w:p w14:paraId="5A354A43" w14:textId="77777777" w:rsidR="00CD7352" w:rsidRPr="00045B35" w:rsidRDefault="00CD7352" w:rsidP="00CD7352">
      <w:pPr>
        <w:spacing w:after="0" w:line="240" w:lineRule="auto"/>
        <w:rPr>
          <w:rFonts w:ascii="Verdana" w:eastAsia="Calibri" w:hAnsi="Verdana" w:cs="Arial"/>
          <w:b/>
          <w:bCs/>
          <w:lang w:val="es-ES_tradnl" w:eastAsia="es-ES_tradnl"/>
        </w:rPr>
      </w:pPr>
    </w:p>
    <w:p w14:paraId="496ECFC5" w14:textId="77777777" w:rsidR="00CD7352" w:rsidRPr="00045B35" w:rsidRDefault="00CD7352" w:rsidP="00CD7352">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D7352" w:rsidRPr="00045B35" w14:paraId="763D2473" w14:textId="77777777" w:rsidTr="000E09F1">
        <w:trPr>
          <w:trHeight w:val="458"/>
        </w:trPr>
        <w:tc>
          <w:tcPr>
            <w:tcW w:w="2689" w:type="dxa"/>
          </w:tcPr>
          <w:p w14:paraId="3B2593D4" w14:textId="77777777" w:rsidR="00CD7352" w:rsidRPr="00045B35" w:rsidRDefault="00CD7352" w:rsidP="00CD7352">
            <w:pPr>
              <w:jc w:val="both"/>
              <w:rPr>
                <w:rFonts w:ascii="Verdana" w:eastAsia="Calibri" w:hAnsi="Verdana" w:cs="Arial"/>
                <w:b/>
                <w:bCs/>
                <w:lang w:val="es-ES_tradnl" w:eastAsia="es-ES_tradnl"/>
              </w:rPr>
            </w:pPr>
          </w:p>
        </w:tc>
        <w:tc>
          <w:tcPr>
            <w:tcW w:w="6100" w:type="dxa"/>
          </w:tcPr>
          <w:p w14:paraId="2BA50EFF" w14:textId="60E88AE1" w:rsidR="00CD7352" w:rsidRPr="00045B35" w:rsidRDefault="00CD7352" w:rsidP="00CD7352">
            <w:pPr>
              <w:jc w:val="both"/>
              <w:rPr>
                <w:rFonts w:ascii="Verdana" w:eastAsia="Calibri" w:hAnsi="Verdana" w:cs="Arial"/>
                <w:b/>
                <w:bCs/>
                <w:lang w:val="es-ES" w:eastAsia="es-ES"/>
              </w:rPr>
            </w:pPr>
            <w:r w:rsidRPr="000E09F1">
              <w:rPr>
                <w:rFonts w:ascii="Verdana" w:eastAsia="Calibri" w:hAnsi="Verdana" w:cs="Arial"/>
                <w:b/>
                <w:bCs/>
                <w:lang w:val="es-ES" w:eastAsia="es-ES"/>
              </w:rPr>
              <w:t xml:space="preserve">Concepto C- </w:t>
            </w:r>
            <w:r w:rsidR="000D0B04" w:rsidRPr="000E09F1">
              <w:rPr>
                <w:rFonts w:ascii="Verdana" w:eastAsia="Calibri" w:hAnsi="Verdana" w:cs="Arial"/>
                <w:b/>
                <w:bCs/>
                <w:lang w:val="es-ES" w:eastAsia="es-ES"/>
              </w:rPr>
              <w:t xml:space="preserve">274 </w:t>
            </w:r>
            <w:r w:rsidRPr="000E09F1">
              <w:rPr>
                <w:rFonts w:ascii="Verdana" w:eastAsia="Calibri" w:hAnsi="Verdana" w:cs="Arial"/>
                <w:b/>
                <w:bCs/>
                <w:lang w:val="es-ES" w:eastAsia="es-ES"/>
              </w:rPr>
              <w:t>de 2024</w:t>
            </w:r>
          </w:p>
        </w:tc>
      </w:tr>
      <w:tr w:rsidR="00CD7352" w:rsidRPr="00045B35" w14:paraId="7A4B8139" w14:textId="77777777" w:rsidTr="00E73FFA">
        <w:trPr>
          <w:trHeight w:val="884"/>
        </w:trPr>
        <w:tc>
          <w:tcPr>
            <w:tcW w:w="2689" w:type="dxa"/>
          </w:tcPr>
          <w:p w14:paraId="22AC4B7C" w14:textId="77777777" w:rsidR="00CD7352" w:rsidRPr="00045B35" w:rsidRDefault="00CD7352" w:rsidP="00CD7352">
            <w:pPr>
              <w:jc w:val="both"/>
              <w:rPr>
                <w:rFonts w:ascii="Verdana" w:eastAsia="Calibri" w:hAnsi="Verdana" w:cs="Arial"/>
                <w:lang w:val="es-ES_tradnl" w:eastAsia="es-ES_tradnl"/>
              </w:rPr>
            </w:pPr>
            <w:r w:rsidRPr="00045B35">
              <w:rPr>
                <w:rFonts w:ascii="Verdana" w:eastAsia="Calibri" w:hAnsi="Verdana" w:cs="Arial"/>
                <w:b/>
                <w:lang w:val="es-ES_tradnl" w:eastAsia="es-ES_tradnl"/>
              </w:rPr>
              <w:t>Temas:</w:t>
            </w:r>
            <w:r w:rsidRPr="00045B35">
              <w:rPr>
                <w:rFonts w:ascii="Verdana" w:eastAsia="Calibri" w:hAnsi="Verdana" w:cs="Arial"/>
                <w:lang w:val="es-ES_tradnl" w:eastAsia="es-ES_tradnl"/>
              </w:rPr>
              <w:t xml:space="preserve">                   </w:t>
            </w:r>
          </w:p>
        </w:tc>
        <w:tc>
          <w:tcPr>
            <w:tcW w:w="6100" w:type="dxa"/>
          </w:tcPr>
          <w:p w14:paraId="46D8A9B1" w14:textId="5424D30C" w:rsidR="00CD7352" w:rsidRPr="00045B35" w:rsidRDefault="00DC3A06" w:rsidP="00CD7352">
            <w:pPr>
              <w:spacing w:line="276" w:lineRule="auto"/>
              <w:jc w:val="both"/>
              <w:rPr>
                <w:rFonts w:ascii="Verdana" w:eastAsia="Calibri" w:hAnsi="Verdana" w:cs="Arial"/>
                <w:bCs/>
                <w:lang w:val="es-ES_tradnl" w:eastAsia="es-ES"/>
              </w:rPr>
            </w:pPr>
            <w:r w:rsidRPr="000E09F1">
              <w:rPr>
                <w:rFonts w:ascii="Verdana" w:hAnsi="Verdana" w:cs="Arial"/>
                <w:bCs/>
              </w:rPr>
              <w:t xml:space="preserve">CONTRATOS DE INTERVENTORÍA – Alcance – Objeto Control y vigilancia / INTERVENTORÍA – Características </w:t>
            </w:r>
            <w:r w:rsidR="00793B14" w:rsidRPr="000E09F1">
              <w:rPr>
                <w:rFonts w:ascii="Verdana" w:hAnsi="Verdana" w:cs="Arial"/>
                <w:bCs/>
              </w:rPr>
              <w:t>– Normativa</w:t>
            </w:r>
            <w:r w:rsidRPr="000E09F1">
              <w:rPr>
                <w:rFonts w:ascii="Verdana" w:hAnsi="Verdana" w:cs="Arial"/>
                <w:bCs/>
              </w:rPr>
              <w:t xml:space="preserve"> </w:t>
            </w:r>
            <w:r w:rsidR="00CD7352" w:rsidRPr="00045B35">
              <w:rPr>
                <w:rFonts w:ascii="Verdana" w:eastAsia="Calibri" w:hAnsi="Verdana" w:cs="Arial"/>
                <w:bCs/>
                <w:lang w:val="es-ES_tradnl" w:eastAsia="es-ES"/>
              </w:rPr>
              <w:t>/ CONCURRENCIA DE MODALIDADES DE SELECCIÓN – Mínima cuantía – Concurso de méritos</w:t>
            </w:r>
            <w:r w:rsidR="00793B14" w:rsidRPr="00045B35">
              <w:rPr>
                <w:rFonts w:ascii="Verdana" w:eastAsia="Calibri" w:hAnsi="Verdana" w:cs="Arial"/>
                <w:bCs/>
                <w:lang w:val="es-ES_tradnl" w:eastAsia="es-ES"/>
              </w:rPr>
              <w:t xml:space="preserve"> – Contratos sin valor determinado</w:t>
            </w:r>
          </w:p>
          <w:p w14:paraId="00F2B662" w14:textId="77777777" w:rsidR="00CD7352" w:rsidRPr="00045B35" w:rsidRDefault="00CD7352" w:rsidP="00CD7352">
            <w:pPr>
              <w:spacing w:line="276" w:lineRule="auto"/>
              <w:jc w:val="both"/>
              <w:rPr>
                <w:rFonts w:ascii="Verdana" w:eastAsia="Calibri" w:hAnsi="Verdana" w:cs="Arial"/>
                <w:lang w:val="es-ES_tradnl" w:eastAsia="es-ES"/>
              </w:rPr>
            </w:pPr>
          </w:p>
        </w:tc>
      </w:tr>
      <w:tr w:rsidR="00CD7352" w:rsidRPr="00045B35" w14:paraId="124DAD7C" w14:textId="77777777" w:rsidTr="00E73FFA">
        <w:tc>
          <w:tcPr>
            <w:tcW w:w="2689" w:type="dxa"/>
          </w:tcPr>
          <w:p w14:paraId="3DA96DAE" w14:textId="77777777" w:rsidR="00CD7352" w:rsidRPr="00045B35" w:rsidRDefault="00CD7352" w:rsidP="00CD7352">
            <w:pPr>
              <w:jc w:val="both"/>
              <w:rPr>
                <w:rFonts w:ascii="Verdana" w:eastAsia="Calibri" w:hAnsi="Verdana" w:cs="Arial"/>
                <w:b/>
                <w:lang w:val="es-ES_tradnl" w:eastAsia="es-ES_tradnl"/>
              </w:rPr>
            </w:pPr>
            <w:r w:rsidRPr="00045B35">
              <w:rPr>
                <w:rFonts w:ascii="Verdana" w:eastAsia="Calibri" w:hAnsi="Verdana" w:cs="Arial"/>
                <w:b/>
                <w:lang w:val="es-ES_tradnl" w:eastAsia="es-ES_tradnl"/>
              </w:rPr>
              <w:t>Radicación:</w:t>
            </w:r>
            <w:r w:rsidRPr="00045B35">
              <w:rPr>
                <w:rFonts w:ascii="Verdana" w:eastAsia="Calibri" w:hAnsi="Verdana" w:cs="Arial"/>
                <w:lang w:val="es-ES_tradnl" w:eastAsia="es-ES_tradnl"/>
              </w:rPr>
              <w:t xml:space="preserve">               </w:t>
            </w:r>
          </w:p>
        </w:tc>
        <w:tc>
          <w:tcPr>
            <w:tcW w:w="6100" w:type="dxa"/>
          </w:tcPr>
          <w:p w14:paraId="27E188E6" w14:textId="77777777" w:rsidR="00CD7352" w:rsidRPr="00045B35" w:rsidRDefault="00CD7352" w:rsidP="00CD7352">
            <w:pPr>
              <w:jc w:val="both"/>
              <w:rPr>
                <w:rFonts w:ascii="Verdana" w:eastAsia="Calibri" w:hAnsi="Verdana" w:cs="Arial"/>
                <w:lang w:val="es-ES_tradnl" w:eastAsia="es-ES_tradnl"/>
              </w:rPr>
            </w:pPr>
            <w:r w:rsidRPr="00045B35">
              <w:rPr>
                <w:rFonts w:ascii="Verdana" w:eastAsia="Calibri" w:hAnsi="Verdana" w:cs="Arial"/>
                <w:lang w:val="es-ES_tradnl" w:eastAsia="es-ES_tradnl"/>
              </w:rPr>
              <w:t>Respuesta a consulta con radicado No. P20240522005329</w:t>
            </w:r>
          </w:p>
        </w:tc>
      </w:tr>
    </w:tbl>
    <w:p w14:paraId="6459E98F" w14:textId="77777777" w:rsidR="00CD7352" w:rsidRPr="00045B35" w:rsidRDefault="00CD7352" w:rsidP="00CD7352">
      <w:pPr>
        <w:spacing w:after="0" w:line="240" w:lineRule="auto"/>
        <w:jc w:val="both"/>
        <w:rPr>
          <w:rFonts w:ascii="Verdana" w:eastAsia="Calibri" w:hAnsi="Verdana" w:cs="Arial"/>
          <w:lang w:val="es-ES_tradnl" w:eastAsia="es-ES_tradnl"/>
        </w:rPr>
      </w:pPr>
    </w:p>
    <w:p w14:paraId="6861F255" w14:textId="77777777" w:rsidR="00CD7352" w:rsidRPr="00045B35" w:rsidRDefault="00CD7352" w:rsidP="00CD7352">
      <w:pPr>
        <w:spacing w:after="0" w:line="276" w:lineRule="auto"/>
        <w:jc w:val="both"/>
        <w:rPr>
          <w:rFonts w:ascii="Verdana" w:eastAsia="Calibri" w:hAnsi="Verdana" w:cs="Arial"/>
          <w:lang w:val="es-ES" w:eastAsia="es-ES"/>
        </w:rPr>
      </w:pPr>
      <w:r w:rsidRPr="00045B35">
        <w:rPr>
          <w:rFonts w:ascii="Verdana" w:eastAsia="Calibri" w:hAnsi="Verdana" w:cs="Arial"/>
          <w:lang w:val="es-ES" w:eastAsia="es-ES"/>
        </w:rPr>
        <w:t xml:space="preserve">Estimada señora Ordoñez: </w:t>
      </w:r>
    </w:p>
    <w:p w14:paraId="109A897D" w14:textId="77777777" w:rsidR="00CD7352" w:rsidRPr="00045B35" w:rsidRDefault="00CD7352" w:rsidP="00CD7352">
      <w:pPr>
        <w:tabs>
          <w:tab w:val="left" w:pos="3768"/>
        </w:tabs>
        <w:spacing w:after="0" w:line="276" w:lineRule="auto"/>
        <w:jc w:val="both"/>
        <w:rPr>
          <w:rFonts w:ascii="Verdana" w:eastAsia="Calibri" w:hAnsi="Verdana" w:cs="Arial"/>
          <w:lang w:val="es-ES" w:eastAsia="es-ES"/>
        </w:rPr>
      </w:pPr>
      <w:r w:rsidRPr="00045B35">
        <w:rPr>
          <w:rFonts w:ascii="Verdana" w:eastAsia="Calibri" w:hAnsi="Verdana" w:cs="Arial"/>
          <w:lang w:val="es-ES" w:eastAsia="es-ES"/>
        </w:rPr>
        <w:tab/>
      </w:r>
    </w:p>
    <w:p w14:paraId="13993563" w14:textId="77777777" w:rsidR="00CD7352" w:rsidRPr="00045B35" w:rsidRDefault="00CD7352" w:rsidP="00CD7352">
      <w:pPr>
        <w:spacing w:after="0" w:line="276" w:lineRule="auto"/>
        <w:jc w:val="both"/>
        <w:rPr>
          <w:rFonts w:ascii="Verdana" w:eastAsia="Calibri" w:hAnsi="Verdana" w:cs="Arial"/>
          <w:lang w:val="es-ES" w:eastAsia="es-ES"/>
        </w:rPr>
      </w:pPr>
      <w:r w:rsidRPr="00045B35">
        <w:rPr>
          <w:rFonts w:ascii="Verdana" w:eastAsia="Calibri" w:hAnsi="Verdana" w:cs="Arial"/>
          <w:lang w:val="es-ES" w:eastAsia="es-ES"/>
        </w:rPr>
        <w:t>En ejercicio de la competencia otorgada por los artículos 3, numeral 5º, y 11, numeral 8º, del Decreto Ley 4170 de 2011,</w:t>
      </w:r>
      <w:r w:rsidRPr="00045B35">
        <w:rPr>
          <w:rFonts w:ascii="Verdana" w:eastAsia="Arial MT" w:hAnsi="Verdana" w:cs="Arial MT"/>
          <w:lang w:val="es-ES" w:eastAsia="es-ES"/>
        </w:rPr>
        <w:t xml:space="preserve"> </w:t>
      </w:r>
      <w:r w:rsidRPr="00045B35">
        <w:rPr>
          <w:rFonts w:ascii="Verdana" w:hAnsi="Verdana" w:cs="Arial"/>
        </w:rPr>
        <w:t xml:space="preserve">así como lo establecido en el artículo 4 de la Resolución 1707 de 2018 expedida por esta Entidad, </w:t>
      </w:r>
      <w:r w:rsidRPr="00045B35">
        <w:rPr>
          <w:rFonts w:ascii="Verdana" w:eastAsia="Calibri" w:hAnsi="Verdana" w:cs="Arial"/>
          <w:lang w:val="es-ES" w:eastAsia="es-ES"/>
        </w:rPr>
        <w:t xml:space="preserve">la Agencia Nacional de Contratación Pública – Colombia Compra Eficiente– responde su solicitud de consulta de fecha 22 de mayo de 2024, en la cual manifiesta lo siguiente: </w:t>
      </w:r>
    </w:p>
    <w:p w14:paraId="77A1DA8C" w14:textId="77777777" w:rsidR="00CD7352" w:rsidRPr="00045B35" w:rsidRDefault="00CD7352" w:rsidP="00CD7352">
      <w:pPr>
        <w:tabs>
          <w:tab w:val="left" w:pos="142"/>
          <w:tab w:val="left" w:pos="284"/>
        </w:tabs>
        <w:spacing w:line="276" w:lineRule="auto"/>
        <w:contextualSpacing/>
        <w:jc w:val="both"/>
        <w:rPr>
          <w:rFonts w:ascii="Verdana" w:eastAsia="Century Gothic" w:hAnsi="Verdana" w:cs="Century Gothic"/>
          <w:b/>
          <w:bCs/>
          <w:lang w:val="es-ES"/>
        </w:rPr>
      </w:pPr>
    </w:p>
    <w:p w14:paraId="174A26EC" w14:textId="77777777" w:rsidR="00CD7352" w:rsidRPr="00045B35" w:rsidRDefault="00CD7352" w:rsidP="00CD7352">
      <w:pPr>
        <w:spacing w:after="0" w:line="240" w:lineRule="auto"/>
        <w:ind w:left="709" w:right="709"/>
        <w:jc w:val="both"/>
        <w:rPr>
          <w:rFonts w:ascii="Verdana" w:hAnsi="Verdana" w:cs="Arial"/>
          <w:sz w:val="20"/>
          <w:szCs w:val="20"/>
          <w:shd w:val="clear" w:color="auto" w:fill="FFFFFF"/>
        </w:rPr>
      </w:pPr>
      <w:bookmarkStart w:id="1" w:name="_Hlk95313578"/>
      <w:r w:rsidRPr="00045B35">
        <w:rPr>
          <w:rFonts w:ascii="Verdana" w:eastAsia="Century Gothic" w:hAnsi="Verdana" w:cs="Century Gothic"/>
          <w:sz w:val="20"/>
          <w:szCs w:val="20"/>
          <w:lang w:val="es-ES"/>
        </w:rPr>
        <w:t>“</w:t>
      </w:r>
      <w:r w:rsidRPr="00045B35">
        <w:rPr>
          <w:rFonts w:ascii="Verdana" w:hAnsi="Verdana" w:cs="Arial"/>
          <w:sz w:val="20"/>
          <w:szCs w:val="20"/>
          <w:shd w:val="clear" w:color="auto" w:fill="FFFFFF"/>
        </w:rPr>
        <w:t>1. Una entidad a pesar de existir la modalidad de selección de concurso de méritos - para la cual no es determinante el valor - puede adelantar el proceso de contratación de interventoría por medio de modalidad de mínima cuantía señalando que el valor del proceso no supera el 10% de la menor cuantía de la entidad, sin tener en cuenta que la finalidad de la interventoría es el seguimiento especializado en una materia.</w:t>
      </w:r>
    </w:p>
    <w:p w14:paraId="12C3DB2B" w14:textId="77777777" w:rsidR="00CD7352" w:rsidRPr="00045B35" w:rsidRDefault="00CD7352" w:rsidP="00CD7352">
      <w:pPr>
        <w:spacing w:after="0" w:line="240" w:lineRule="auto"/>
        <w:ind w:left="709" w:right="709"/>
        <w:jc w:val="both"/>
        <w:rPr>
          <w:rFonts w:ascii="Verdana" w:hAnsi="Verdana" w:cs="Arial"/>
          <w:sz w:val="20"/>
          <w:szCs w:val="20"/>
          <w:shd w:val="clear" w:color="auto" w:fill="FFFFFF"/>
        </w:rPr>
      </w:pPr>
      <w:r w:rsidRPr="00045B35">
        <w:rPr>
          <w:rFonts w:ascii="Verdana" w:hAnsi="Verdana" w:cs="Arial"/>
          <w:sz w:val="20"/>
          <w:szCs w:val="20"/>
          <w:shd w:val="clear" w:color="auto" w:fill="FFFFFF"/>
        </w:rPr>
        <w:t> </w:t>
      </w:r>
    </w:p>
    <w:p w14:paraId="01D9562E" w14:textId="0B5AA364" w:rsidR="00CD7352" w:rsidRPr="00045B35" w:rsidRDefault="00CD7352" w:rsidP="00CD7352">
      <w:pPr>
        <w:spacing w:after="0" w:line="240" w:lineRule="auto"/>
        <w:ind w:left="709" w:right="709"/>
        <w:jc w:val="both"/>
        <w:rPr>
          <w:rFonts w:ascii="Verdana" w:eastAsia="Century Gothic" w:hAnsi="Verdana" w:cs="Century Gothic"/>
          <w:sz w:val="20"/>
          <w:szCs w:val="20"/>
          <w:lang w:val="es-ES"/>
        </w:rPr>
      </w:pPr>
      <w:r w:rsidRPr="00045B35">
        <w:rPr>
          <w:rFonts w:ascii="Verdana" w:hAnsi="Verdana" w:cs="Arial"/>
          <w:sz w:val="20"/>
          <w:szCs w:val="20"/>
          <w:shd w:val="clear" w:color="auto" w:fill="FFFFFF"/>
        </w:rPr>
        <w:lastRenderedPageBreak/>
        <w:t xml:space="preserve">2. </w:t>
      </w:r>
      <w:bookmarkStart w:id="2" w:name="_Hlk171326644"/>
      <w:r w:rsidRPr="00045B35">
        <w:rPr>
          <w:rFonts w:ascii="Verdana" w:hAnsi="Verdana" w:cs="Arial"/>
          <w:sz w:val="20"/>
          <w:szCs w:val="20"/>
          <w:shd w:val="clear" w:color="auto" w:fill="FFFFFF"/>
        </w:rPr>
        <w:t>¿Qué consecuencias trae para el proceso y contrato celebrado, la utilización de una modalidad de selección incorrecta?</w:t>
      </w:r>
      <w:bookmarkEnd w:id="2"/>
      <w:r w:rsidR="00EA5FCD" w:rsidRPr="00045B35">
        <w:rPr>
          <w:rFonts w:ascii="Verdana" w:hAnsi="Verdana" w:cs="Arial"/>
          <w:sz w:val="20"/>
          <w:szCs w:val="20"/>
          <w:shd w:val="clear" w:color="auto" w:fill="FFFFFF"/>
        </w:rPr>
        <w:t xml:space="preserve"> </w:t>
      </w:r>
      <w:r w:rsidRPr="00045B35">
        <w:rPr>
          <w:rFonts w:ascii="Verdana" w:hAnsi="Verdana" w:cs="Arial"/>
          <w:sz w:val="20"/>
          <w:szCs w:val="20"/>
          <w:shd w:val="clear" w:color="auto" w:fill="FFFFFF"/>
          <w:lang w:val="es-ES"/>
        </w:rPr>
        <w:t>[…]</w:t>
      </w:r>
      <w:r w:rsidRPr="00045B35">
        <w:rPr>
          <w:rFonts w:ascii="Verdana" w:eastAsia="Century Gothic" w:hAnsi="Verdana" w:cs="Century Gothic"/>
          <w:sz w:val="20"/>
          <w:szCs w:val="20"/>
          <w:lang w:val="es-ES"/>
        </w:rPr>
        <w:t>”</w:t>
      </w:r>
      <w:bookmarkEnd w:id="1"/>
      <w:r w:rsidRPr="00045B35">
        <w:rPr>
          <w:rFonts w:ascii="Verdana" w:eastAsia="Century Gothic" w:hAnsi="Verdana" w:cs="Century Gothic"/>
          <w:sz w:val="20"/>
          <w:szCs w:val="20"/>
          <w:lang w:val="es-ES"/>
        </w:rPr>
        <w:t>.</w:t>
      </w:r>
    </w:p>
    <w:p w14:paraId="09CBDCC9" w14:textId="77777777" w:rsidR="00CD7352" w:rsidRPr="00045B35" w:rsidRDefault="00CD7352" w:rsidP="00CD7352">
      <w:pPr>
        <w:tabs>
          <w:tab w:val="left" w:pos="142"/>
          <w:tab w:val="left" w:pos="284"/>
        </w:tabs>
        <w:spacing w:line="276" w:lineRule="auto"/>
        <w:contextualSpacing/>
        <w:jc w:val="both"/>
        <w:rPr>
          <w:rFonts w:ascii="Verdana" w:eastAsia="Century Gothic" w:hAnsi="Verdana" w:cs="Century Gothic"/>
          <w:b/>
          <w:bCs/>
          <w:lang w:val="es-ES"/>
        </w:rPr>
      </w:pPr>
    </w:p>
    <w:p w14:paraId="6CE1B5BB" w14:textId="77777777" w:rsidR="00CD7352" w:rsidRPr="00045B35" w:rsidRDefault="00CD7352" w:rsidP="00CD7352">
      <w:pPr>
        <w:spacing w:after="120" w:line="276" w:lineRule="auto"/>
        <w:ind w:firstLine="709"/>
        <w:jc w:val="both"/>
        <w:rPr>
          <w:rFonts w:ascii="Verdana" w:eastAsia="Calibri" w:hAnsi="Verdana" w:cs="Arial"/>
          <w:szCs w:val="24"/>
          <w:lang w:val="es-ES_tradnl" w:eastAsia="es-ES_tradnl"/>
        </w:rPr>
      </w:pPr>
      <w:r w:rsidRPr="00045B35">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045B35">
        <w:rPr>
          <w:rFonts w:ascii="Verdana" w:eastAsia="Calibri" w:hAnsi="Verdana" w:cs="Arial"/>
          <w:szCs w:val="24"/>
          <w:lang w:val="es-ES_tradnl" w:eastAsia="es-ES_tradnl"/>
        </w:rPr>
        <w:tab/>
      </w:r>
    </w:p>
    <w:p w14:paraId="2A05A5EF" w14:textId="77777777" w:rsidR="00CD7352" w:rsidRPr="00045B35" w:rsidRDefault="00CD7352" w:rsidP="00CD7352">
      <w:pPr>
        <w:spacing w:after="0" w:line="276" w:lineRule="auto"/>
        <w:ind w:firstLine="709"/>
        <w:jc w:val="both"/>
        <w:rPr>
          <w:rFonts w:ascii="Verdana" w:eastAsia="Calibri" w:hAnsi="Verdana" w:cs="Arial"/>
          <w:lang w:val="es-ES" w:eastAsia="es-ES"/>
        </w:rPr>
      </w:pPr>
      <w:r w:rsidRPr="00045B35">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35BB98D1" w14:textId="77777777" w:rsidR="00CD7352" w:rsidRPr="00045B35" w:rsidRDefault="00CD7352" w:rsidP="00CD7352">
      <w:pPr>
        <w:spacing w:after="0" w:line="276" w:lineRule="auto"/>
        <w:ind w:firstLine="709"/>
        <w:jc w:val="both"/>
        <w:rPr>
          <w:rFonts w:ascii="Verdana" w:eastAsia="Calibri" w:hAnsi="Verdana" w:cs="Arial"/>
          <w:lang w:val="es-ES" w:eastAsia="es-ES"/>
        </w:rPr>
      </w:pPr>
    </w:p>
    <w:p w14:paraId="78E25F57" w14:textId="77777777" w:rsidR="00CD7352" w:rsidRPr="00045B35" w:rsidRDefault="00CD7352" w:rsidP="00CD7352">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045B35">
        <w:rPr>
          <w:rFonts w:ascii="Verdana" w:eastAsia="Century Gothic" w:hAnsi="Verdana" w:cs="Century Gothic"/>
          <w:b/>
          <w:bCs/>
          <w:lang w:val="es-ES"/>
        </w:rPr>
        <w:t>Problema planteado:</w:t>
      </w:r>
    </w:p>
    <w:p w14:paraId="1F708F82" w14:textId="77777777" w:rsidR="00CD7352" w:rsidRPr="00045B35" w:rsidRDefault="00CD7352" w:rsidP="00CD7352">
      <w:pPr>
        <w:tabs>
          <w:tab w:val="left" w:pos="426"/>
        </w:tabs>
        <w:spacing w:after="0" w:line="276" w:lineRule="auto"/>
        <w:jc w:val="both"/>
        <w:rPr>
          <w:rFonts w:ascii="Verdana" w:eastAsia="Century Gothic" w:hAnsi="Verdana" w:cs="Century Gothic"/>
          <w:lang w:val="es-ES"/>
        </w:rPr>
      </w:pPr>
    </w:p>
    <w:p w14:paraId="52EF7B42" w14:textId="23C1501F" w:rsidR="00945EF4" w:rsidRPr="00045B35" w:rsidRDefault="00CD7352" w:rsidP="003B5F62">
      <w:pPr>
        <w:spacing w:after="0" w:line="276" w:lineRule="auto"/>
        <w:jc w:val="both"/>
        <w:rPr>
          <w:rFonts w:ascii="Verdana" w:eastAsia="Century Gothic" w:hAnsi="Verdana" w:cs="Century Gothic"/>
        </w:rPr>
      </w:pPr>
      <w:r w:rsidRPr="00045B35">
        <w:rPr>
          <w:rFonts w:ascii="Verdana" w:eastAsia="Century Gothic" w:hAnsi="Verdana" w:cs="Century Gothic"/>
        </w:rPr>
        <w:t xml:space="preserve">De acuerdo con el contenido de su solicitud, esta Agencia resolverá el siguiente problema jurídico: </w:t>
      </w:r>
      <w:r w:rsidR="00945EF4" w:rsidRPr="00045B35">
        <w:rPr>
          <w:rFonts w:ascii="Verdana" w:eastAsia="Century Gothic" w:hAnsi="Verdana" w:cs="Century Gothic"/>
        </w:rPr>
        <w:t>¿</w:t>
      </w:r>
      <w:r w:rsidR="00F90652" w:rsidRPr="00045B35">
        <w:rPr>
          <w:rFonts w:ascii="Verdana" w:eastAsia="Century Gothic" w:hAnsi="Verdana" w:cs="Century Gothic"/>
        </w:rPr>
        <w:t>Debe</w:t>
      </w:r>
      <w:r w:rsidR="00945EF4" w:rsidRPr="00045B35">
        <w:rPr>
          <w:rFonts w:ascii="Verdana" w:eastAsia="Century Gothic" w:hAnsi="Verdana" w:cs="Century Gothic"/>
        </w:rPr>
        <w:t xml:space="preserve"> </w:t>
      </w:r>
      <w:r w:rsidR="00F90652" w:rsidRPr="00045B35">
        <w:rPr>
          <w:rFonts w:ascii="Verdana" w:eastAsia="Century Gothic" w:hAnsi="Verdana" w:cs="Century Gothic"/>
        </w:rPr>
        <w:t>aplicarse la modalidad de selección de mínima cuantía para</w:t>
      </w:r>
      <w:r w:rsidR="00D06AA1">
        <w:rPr>
          <w:rFonts w:ascii="Verdana" w:eastAsia="Century Gothic" w:hAnsi="Verdana" w:cs="Century Gothic"/>
        </w:rPr>
        <w:t xml:space="preserve"> la</w:t>
      </w:r>
      <w:r w:rsidR="00F90652" w:rsidRPr="00045B35">
        <w:rPr>
          <w:rFonts w:ascii="Verdana" w:eastAsia="Century Gothic" w:hAnsi="Verdana" w:cs="Century Gothic"/>
        </w:rPr>
        <w:t xml:space="preserve"> </w:t>
      </w:r>
      <w:r w:rsidR="007D6162" w:rsidRPr="00045B35">
        <w:rPr>
          <w:rFonts w:ascii="Verdana" w:eastAsia="Century Gothic" w:hAnsi="Verdana" w:cs="Century Gothic"/>
        </w:rPr>
        <w:t xml:space="preserve">adjudicación de un </w:t>
      </w:r>
      <w:r w:rsidR="003F5E07" w:rsidRPr="00045B35">
        <w:rPr>
          <w:rFonts w:ascii="Verdana" w:eastAsia="Century Gothic" w:hAnsi="Verdana" w:cs="Century Gothic"/>
        </w:rPr>
        <w:t>contrato de interventoría sin un valor determinado</w:t>
      </w:r>
      <w:r w:rsidR="004F2F1C" w:rsidRPr="00045B35">
        <w:rPr>
          <w:rFonts w:ascii="Verdana" w:eastAsia="Century Gothic" w:hAnsi="Verdana" w:cs="Century Gothic"/>
        </w:rPr>
        <w:t>?</w:t>
      </w:r>
    </w:p>
    <w:p w14:paraId="3882B256" w14:textId="77777777" w:rsidR="00CD7352" w:rsidRPr="00045B35" w:rsidRDefault="00CD7352" w:rsidP="00CD7352">
      <w:pPr>
        <w:spacing w:after="0" w:line="276" w:lineRule="auto"/>
        <w:jc w:val="both"/>
        <w:rPr>
          <w:rFonts w:ascii="Verdana" w:eastAsia="Calibri" w:hAnsi="Verdana" w:cs="Arial"/>
          <w:lang w:val="es-ES"/>
        </w:rPr>
      </w:pPr>
    </w:p>
    <w:p w14:paraId="090064D6" w14:textId="77777777" w:rsidR="00CD7352" w:rsidRPr="00045B35" w:rsidRDefault="00CD7352" w:rsidP="00CD7352">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045B35">
        <w:rPr>
          <w:rFonts w:ascii="Verdana" w:eastAsia="Century Gothic" w:hAnsi="Verdana" w:cs="Century Gothic"/>
          <w:b/>
          <w:bCs/>
          <w:lang w:val="es-ES"/>
        </w:rPr>
        <w:t>Respuesta:</w:t>
      </w:r>
    </w:p>
    <w:p w14:paraId="6F29262E" w14:textId="77777777" w:rsidR="00CD7352" w:rsidRPr="00045B35" w:rsidRDefault="00CD7352" w:rsidP="00CD7352">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D7352" w:rsidRPr="00045B35" w14:paraId="4A3E37CF" w14:textId="77777777" w:rsidTr="00E73FFA">
        <w:tc>
          <w:tcPr>
            <w:tcW w:w="8828" w:type="dxa"/>
            <w:shd w:val="clear" w:color="auto" w:fill="auto"/>
          </w:tcPr>
          <w:p w14:paraId="6D9CF99E" w14:textId="3F9A8343" w:rsidR="00100B86" w:rsidRPr="00045B35" w:rsidRDefault="00100B86" w:rsidP="00100B86">
            <w:pPr>
              <w:spacing w:line="276" w:lineRule="auto"/>
              <w:jc w:val="both"/>
              <w:rPr>
                <w:rFonts w:ascii="Verdana" w:eastAsia="Calibri" w:hAnsi="Verdana" w:cs="Arial"/>
                <w:bCs/>
                <w:lang w:val="es-ES"/>
              </w:rPr>
            </w:pPr>
            <w:r w:rsidRPr="00045B35">
              <w:rPr>
                <w:rFonts w:ascii="Verdana" w:eastAsia="Calibri" w:hAnsi="Verdana" w:cs="Arial"/>
                <w:bCs/>
                <w:lang w:val="es-ES"/>
              </w:rPr>
              <w:t xml:space="preserve">La modalidad de selección aplicable a los contratos de interventoría </w:t>
            </w:r>
            <w:r w:rsidR="00757108" w:rsidRPr="00045B35">
              <w:rPr>
                <w:rFonts w:ascii="Verdana" w:eastAsia="Calibri" w:hAnsi="Verdana" w:cs="Arial"/>
                <w:bCs/>
                <w:lang w:val="es-ES"/>
              </w:rPr>
              <w:t>sin un valor determinado</w:t>
            </w:r>
            <w:r w:rsidRPr="00045B35">
              <w:rPr>
                <w:rFonts w:ascii="Verdana" w:eastAsia="Calibri" w:hAnsi="Verdana" w:cs="Arial"/>
                <w:bCs/>
                <w:lang w:val="es-ES"/>
              </w:rPr>
              <w:t xml:space="preserve"> es </w:t>
            </w:r>
            <w:r w:rsidR="008533FF" w:rsidRPr="00045B35">
              <w:rPr>
                <w:rFonts w:ascii="Verdana" w:eastAsia="Calibri" w:hAnsi="Verdana" w:cs="Arial"/>
                <w:bCs/>
                <w:lang w:val="es-ES"/>
              </w:rPr>
              <w:t xml:space="preserve">la </w:t>
            </w:r>
            <w:r w:rsidRPr="00045B35">
              <w:rPr>
                <w:rFonts w:ascii="Verdana" w:eastAsia="Calibri" w:hAnsi="Verdana" w:cs="Arial"/>
                <w:bCs/>
                <w:lang w:val="es-ES"/>
              </w:rPr>
              <w:t>prevista en el artículo 2, numeral 3 de la Ley 1150 de 2007, es</w:t>
            </w:r>
            <w:r w:rsidR="00B50137" w:rsidRPr="00045B35">
              <w:rPr>
                <w:rFonts w:ascii="Verdana" w:eastAsia="Calibri" w:hAnsi="Verdana" w:cs="Arial"/>
                <w:bCs/>
                <w:lang w:val="es-ES"/>
              </w:rPr>
              <w:t xml:space="preserve"> decir,</w:t>
            </w:r>
            <w:r w:rsidRPr="00045B35">
              <w:rPr>
                <w:rFonts w:ascii="Verdana" w:eastAsia="Calibri" w:hAnsi="Verdana" w:cs="Arial"/>
                <w:bCs/>
                <w:lang w:val="es-ES"/>
              </w:rPr>
              <w:t xml:space="preserve"> el concurso de méritos –abierto o con precalificación–, reglamentado en los artículos 2.2.1.2.1.3.1 a 2.2.1.2.1.3.7. del Decreto 1082 de 2015. </w:t>
            </w:r>
            <w:r w:rsidR="00B50137" w:rsidRPr="00045B35">
              <w:rPr>
                <w:rFonts w:ascii="Verdana" w:eastAsia="Calibri" w:hAnsi="Verdana" w:cs="Arial"/>
                <w:bCs/>
                <w:lang w:val="es-ES"/>
              </w:rPr>
              <w:t>E</w:t>
            </w:r>
            <w:r w:rsidR="008533FF" w:rsidRPr="00045B35">
              <w:rPr>
                <w:rFonts w:ascii="Verdana" w:eastAsia="Calibri" w:hAnsi="Verdana" w:cs="Arial"/>
                <w:bCs/>
                <w:lang w:val="es-ES"/>
              </w:rPr>
              <w:t>n</w:t>
            </w:r>
            <w:r w:rsidRPr="00045B35">
              <w:rPr>
                <w:rFonts w:ascii="Verdana" w:eastAsia="Calibri" w:hAnsi="Verdana" w:cs="Arial"/>
                <w:bCs/>
                <w:lang w:val="es-ES"/>
              </w:rPr>
              <w:t xml:space="preserve"> este supuesto no resulta aplicable la modalidad de mínima cuantía, ya que al no haber un valor determinado del negocio jurídico no se cumplirá la condición de procedencia de la modalidad de mínima cuantía, esto es, que el valor del contrato sea inferior al 10% de la menor cuantía, cuestión </w:t>
            </w:r>
            <w:r w:rsidRPr="00045B35">
              <w:rPr>
                <w:rFonts w:ascii="Verdana" w:eastAsia="Calibri" w:hAnsi="Verdana" w:cs="Arial"/>
                <w:bCs/>
                <w:lang w:val="es-ES"/>
              </w:rPr>
              <w:lastRenderedPageBreak/>
              <w:t xml:space="preserve">que resulta imposible constatar si no hay un valor determinado para el contrato. </w:t>
            </w:r>
          </w:p>
          <w:p w14:paraId="5187F61F" w14:textId="77777777" w:rsidR="008533FF" w:rsidRPr="00045B35" w:rsidRDefault="008533FF" w:rsidP="00100B86">
            <w:pPr>
              <w:spacing w:line="276" w:lineRule="auto"/>
              <w:jc w:val="both"/>
              <w:rPr>
                <w:rFonts w:ascii="Verdana" w:eastAsia="Calibri" w:hAnsi="Verdana" w:cs="Arial"/>
                <w:bCs/>
                <w:lang w:val="es-ES"/>
              </w:rPr>
            </w:pPr>
          </w:p>
          <w:p w14:paraId="30AA2C03" w14:textId="12ECCD82" w:rsidR="0091730A" w:rsidRDefault="003B5F62" w:rsidP="008C777F">
            <w:pPr>
              <w:spacing w:line="276" w:lineRule="auto"/>
              <w:jc w:val="both"/>
              <w:rPr>
                <w:rFonts w:ascii="Verdana" w:eastAsia="Calibri" w:hAnsi="Verdana" w:cs="Arial"/>
                <w:bCs/>
                <w:lang w:val="es-ES"/>
              </w:rPr>
            </w:pPr>
            <w:r w:rsidRPr="00045B35">
              <w:rPr>
                <w:rFonts w:ascii="Verdana" w:eastAsia="Calibri" w:hAnsi="Verdana" w:cs="Arial"/>
                <w:bCs/>
                <w:lang w:val="es-ES"/>
              </w:rPr>
              <w:t>Sin embargo</w:t>
            </w:r>
            <w:r w:rsidR="00100B86" w:rsidRPr="00045B35">
              <w:rPr>
                <w:rFonts w:ascii="Verdana" w:eastAsia="Calibri" w:hAnsi="Verdana" w:cs="Arial"/>
                <w:bCs/>
                <w:lang w:val="es-ES"/>
              </w:rPr>
              <w:t xml:space="preserve">, eventualmente podría aplicarse la modalidad de selección de mínima cuantía para la adjudicación de contratos de interventoría sin un valor determinado, pero determinable, cuando se haya previsto un presupuesto oficial limitativo–v.g. contratos por monto agotable– que no sobrepase el 10% de la menor cuantía de la Entidad Estatal. Esto comoquiera que, en este supuesto, el presupuesto oficial limitativo serviría para constatar que el valor al que podría ascender el contrato tras su ejecución no supere el umbral de la mínima cuantía.   </w:t>
            </w:r>
          </w:p>
          <w:p w14:paraId="0EBED6AC" w14:textId="77777777" w:rsidR="00CD7352" w:rsidRPr="00045B35" w:rsidRDefault="00CD7352" w:rsidP="008C777F">
            <w:pPr>
              <w:spacing w:line="276" w:lineRule="auto"/>
              <w:jc w:val="both"/>
              <w:rPr>
                <w:rFonts w:ascii="Verdana" w:eastAsia="Calibri" w:hAnsi="Verdana" w:cs="Arial"/>
                <w:lang w:val="es-ES_tradnl"/>
              </w:rPr>
            </w:pPr>
          </w:p>
        </w:tc>
      </w:tr>
    </w:tbl>
    <w:p w14:paraId="4FEFEA4C" w14:textId="77777777" w:rsidR="00CD7352" w:rsidRPr="00045B35" w:rsidRDefault="00CD7352" w:rsidP="00CD7352">
      <w:pPr>
        <w:tabs>
          <w:tab w:val="left" w:pos="142"/>
          <w:tab w:val="left" w:pos="284"/>
        </w:tabs>
        <w:spacing w:after="0" w:line="276" w:lineRule="auto"/>
        <w:jc w:val="both"/>
        <w:rPr>
          <w:rFonts w:ascii="Verdana" w:eastAsia="Century Gothic" w:hAnsi="Verdana" w:cs="Century Gothic"/>
          <w:b/>
          <w:bCs/>
          <w:lang w:val="es-ES"/>
        </w:rPr>
      </w:pPr>
    </w:p>
    <w:p w14:paraId="41FC473E" w14:textId="77777777" w:rsidR="00CD7352" w:rsidRPr="00045B35" w:rsidRDefault="00CD7352" w:rsidP="00CD7352">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045B35">
        <w:rPr>
          <w:rFonts w:ascii="Verdana" w:eastAsia="Century Gothic" w:hAnsi="Verdana" w:cs="Century Gothic"/>
          <w:b/>
          <w:bCs/>
          <w:lang w:val="es-ES"/>
        </w:rPr>
        <w:t>Razones de la respuesta:</w:t>
      </w:r>
    </w:p>
    <w:p w14:paraId="0645E301" w14:textId="77777777" w:rsidR="00CD7352" w:rsidRPr="00045B35" w:rsidRDefault="00CD7352" w:rsidP="00CD7352">
      <w:pPr>
        <w:spacing w:after="0" w:line="276" w:lineRule="auto"/>
        <w:jc w:val="both"/>
        <w:rPr>
          <w:rFonts w:ascii="Verdana" w:eastAsia="Calibri" w:hAnsi="Verdana" w:cs="Arial"/>
          <w:lang w:val="es-ES"/>
        </w:rPr>
      </w:pPr>
    </w:p>
    <w:p w14:paraId="422249CC" w14:textId="77777777" w:rsidR="00CD7352" w:rsidRPr="00045B35" w:rsidRDefault="00CD7352" w:rsidP="00CD7352">
      <w:pPr>
        <w:spacing w:after="0" w:line="276" w:lineRule="auto"/>
        <w:jc w:val="both"/>
        <w:rPr>
          <w:rFonts w:ascii="Verdana" w:eastAsia="Calibri" w:hAnsi="Verdana" w:cs="Arial"/>
          <w:lang w:val="es-ES"/>
        </w:rPr>
      </w:pPr>
      <w:r w:rsidRPr="00045B35">
        <w:rPr>
          <w:rFonts w:ascii="Verdana" w:eastAsia="Calibri" w:hAnsi="Verdana" w:cs="Arial"/>
          <w:lang w:val="es-ES"/>
        </w:rPr>
        <w:t xml:space="preserve">Lo anterior se sustenta en las siguientes consideraciones: </w:t>
      </w:r>
    </w:p>
    <w:p w14:paraId="3875E5EF" w14:textId="77777777" w:rsidR="00CD7352" w:rsidRPr="00045B35" w:rsidRDefault="00CD7352" w:rsidP="000E09F1">
      <w:pPr>
        <w:spacing w:after="0"/>
        <w:rPr>
          <w:rFonts w:ascii="Verdana" w:eastAsia="Calibri" w:hAnsi="Verdana" w:cs="Arial"/>
          <w:b/>
          <w:lang w:val="es-ES_tradnl"/>
        </w:rPr>
      </w:pPr>
    </w:p>
    <w:p w14:paraId="29921577" w14:textId="77777777" w:rsidR="008A3290" w:rsidRPr="000E09F1" w:rsidRDefault="008A3290" w:rsidP="000E09F1">
      <w:pPr>
        <w:pStyle w:val="Sinespaciado"/>
        <w:numPr>
          <w:ilvl w:val="0"/>
          <w:numId w:val="19"/>
        </w:numPr>
        <w:spacing w:after="240" w:line="276" w:lineRule="auto"/>
        <w:ind w:left="426"/>
        <w:jc w:val="both"/>
        <w:rPr>
          <w:rFonts w:ascii="Verdana" w:hAnsi="Verdana" w:cs="Arial"/>
          <w:sz w:val="22"/>
        </w:rPr>
      </w:pPr>
      <w:r w:rsidRPr="000E09F1">
        <w:rPr>
          <w:rFonts w:ascii="Verdana" w:hAnsi="Verdana" w:cs="Arial"/>
          <w:sz w:val="22"/>
        </w:rPr>
        <w:t xml:space="preserve">La Ley 1474 de 2011 enmarcó el seguimiento, control y vigilancia de la ejecución del contrato estatal dentro del principio de moralidad administrativa. El artículo 83 </w:t>
      </w:r>
      <w:r w:rsidRPr="000E09F1">
        <w:rPr>
          <w:rFonts w:ascii="Verdana" w:hAnsi="Verdana" w:cs="Arial"/>
          <w:i/>
          <w:iCs/>
          <w:sz w:val="22"/>
        </w:rPr>
        <w:t xml:space="preserve">ibidem </w:t>
      </w:r>
      <w:r w:rsidRPr="000E09F1">
        <w:rPr>
          <w:rFonts w:ascii="Verdana" w:hAnsi="Verdana" w:cs="Arial"/>
          <w:sz w:val="22"/>
        </w:rPr>
        <w:t xml:space="preserve">establece que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Además, el legislador, en el mismo artículo, definió las nociones de supervisión e interventoría, como mecanismos que pueden usar las entidades estatales para vigilar el contrato, en estos términos: </w:t>
      </w:r>
    </w:p>
    <w:p w14:paraId="644E41FB" w14:textId="40BFAA36" w:rsidR="008A3290" w:rsidRPr="00045B35" w:rsidRDefault="00F96DDF" w:rsidP="0063305A">
      <w:pPr>
        <w:pStyle w:val="Sinespaciado"/>
        <w:ind w:left="720" w:right="709"/>
        <w:jc w:val="both"/>
        <w:rPr>
          <w:rFonts w:ascii="Verdana" w:hAnsi="Verdana" w:cs="Arial"/>
          <w:sz w:val="20"/>
          <w:szCs w:val="20"/>
        </w:rPr>
      </w:pPr>
      <w:r w:rsidRPr="000E09F1">
        <w:rPr>
          <w:rFonts w:ascii="Verdana" w:hAnsi="Verdana" w:cs="Arial"/>
          <w:sz w:val="20"/>
          <w:szCs w:val="20"/>
        </w:rPr>
        <w:t>“</w:t>
      </w:r>
      <w:r w:rsidR="008A3290" w:rsidRPr="000E09F1">
        <w:rPr>
          <w:rFonts w:ascii="Verdana" w:hAnsi="Verdana" w:cs="Arial"/>
          <w:sz w:val="20"/>
          <w:szCs w:val="20"/>
        </w:rPr>
        <w:t>La supervisión consistirá en el seguimiento técnico, administrativo, financiero, contable, y jurídico que,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w:t>
      </w:r>
    </w:p>
    <w:p w14:paraId="3B56C385" w14:textId="77777777" w:rsidR="0063305A" w:rsidRPr="000E09F1" w:rsidRDefault="0063305A" w:rsidP="000E09F1">
      <w:pPr>
        <w:pStyle w:val="Sinespaciado"/>
        <w:ind w:left="720" w:right="709"/>
        <w:jc w:val="both"/>
        <w:rPr>
          <w:rFonts w:ascii="Verdana" w:hAnsi="Verdana" w:cs="Arial"/>
          <w:sz w:val="20"/>
          <w:szCs w:val="20"/>
        </w:rPr>
      </w:pPr>
    </w:p>
    <w:p w14:paraId="29462C87" w14:textId="25F938B2" w:rsidR="008A3290" w:rsidRPr="00045B35" w:rsidRDefault="008A3290" w:rsidP="0063305A">
      <w:pPr>
        <w:pStyle w:val="Sinespaciado"/>
        <w:ind w:left="720" w:right="709"/>
        <w:jc w:val="both"/>
        <w:rPr>
          <w:rFonts w:ascii="Verdana" w:hAnsi="Verdana" w:cs="Arial"/>
          <w:sz w:val="20"/>
          <w:szCs w:val="20"/>
        </w:rPr>
      </w:pPr>
      <w:r w:rsidRPr="000E09F1">
        <w:rPr>
          <w:rFonts w:ascii="Verdana" w:hAnsi="Verdana" w:cs="Arial"/>
          <w:sz w:val="20"/>
          <w:szCs w:val="20"/>
        </w:rPr>
        <w:t xml:space="preserve">La interventoría consistirá en el seguimiento técnico que sobre el cumplimiento del contrato que realice una persona natural o jurídica contratada para tal fin por la Entidad Estatal, cuando el seguimiento del contrato suponga conocimiento especializado en la materia, o cuando la complejidad o la extensión de este lo justifiquen. No obstante, lo anterior cuando la entidad lo encuentre justificado y acorde a la naturaleza del </w:t>
      </w:r>
      <w:r w:rsidRPr="000E09F1">
        <w:rPr>
          <w:rFonts w:ascii="Verdana" w:hAnsi="Verdana" w:cs="Arial"/>
          <w:sz w:val="20"/>
          <w:szCs w:val="20"/>
        </w:rPr>
        <w:lastRenderedPageBreak/>
        <w:t>contrato principal, podrá contratar el seguimiento administrativo, técnico, financiero, contable, jurídico del objeto o contrato dentro de la interventoría</w:t>
      </w:r>
      <w:r w:rsidR="00F96DDF" w:rsidRPr="000E09F1">
        <w:rPr>
          <w:rFonts w:ascii="Verdana" w:hAnsi="Verdana" w:cs="Arial"/>
          <w:sz w:val="20"/>
          <w:szCs w:val="20"/>
        </w:rPr>
        <w:t>”</w:t>
      </w:r>
      <w:r w:rsidRPr="000E09F1">
        <w:rPr>
          <w:rFonts w:ascii="Verdana" w:hAnsi="Verdana" w:cs="Arial"/>
          <w:sz w:val="20"/>
          <w:szCs w:val="20"/>
        </w:rPr>
        <w:t xml:space="preserve">. </w:t>
      </w:r>
    </w:p>
    <w:p w14:paraId="77779CBE" w14:textId="77777777" w:rsidR="0063305A" w:rsidRPr="000E09F1" w:rsidRDefault="0063305A" w:rsidP="000E09F1">
      <w:pPr>
        <w:pStyle w:val="Sinespaciado"/>
        <w:ind w:left="720" w:right="709"/>
        <w:jc w:val="both"/>
        <w:rPr>
          <w:rFonts w:ascii="Verdana" w:hAnsi="Verdana" w:cs="Arial"/>
          <w:sz w:val="20"/>
          <w:szCs w:val="20"/>
        </w:rPr>
      </w:pPr>
    </w:p>
    <w:p w14:paraId="0426F191" w14:textId="77777777" w:rsidR="008A3290" w:rsidRPr="000E09F1" w:rsidRDefault="008A3290" w:rsidP="000E09F1">
      <w:pPr>
        <w:pStyle w:val="Sinespaciado"/>
        <w:numPr>
          <w:ilvl w:val="0"/>
          <w:numId w:val="19"/>
        </w:numPr>
        <w:spacing w:after="120" w:line="276" w:lineRule="auto"/>
        <w:ind w:left="426"/>
        <w:jc w:val="both"/>
        <w:rPr>
          <w:rFonts w:ascii="Verdana" w:hAnsi="Verdana" w:cs="Arial"/>
          <w:sz w:val="22"/>
        </w:rPr>
      </w:pPr>
      <w:r w:rsidRPr="000E09F1">
        <w:rPr>
          <w:rFonts w:ascii="Verdana" w:hAnsi="Verdana" w:cs="Arial"/>
          <w:sz w:val="22"/>
        </w:rPr>
        <w:t xml:space="preserve">De este modo, la interventoría: i) será un mecanismo de vigilancia contingente en la medida que solo es obligatorio para el seguimiento de los contratos de obra adjudicados por licitación pública ‒art. 32, numeral 1, Ley 80 de 1993‒; en los demás casos se requerirá cuando “el seguimiento del contrato suponga conocimiento especializado en la materia, o cuando la complejidad o la extensión de este lo justifiquen” ‒art. 83, Ley 1474 de 2011‒. </w:t>
      </w:r>
      <w:proofErr w:type="spellStart"/>
      <w:r w:rsidRPr="000E09F1">
        <w:rPr>
          <w:rFonts w:ascii="Verdana" w:hAnsi="Verdana" w:cs="Arial"/>
          <w:sz w:val="22"/>
        </w:rPr>
        <w:t>ii</w:t>
      </w:r>
      <w:proofErr w:type="spellEnd"/>
      <w:r w:rsidRPr="000E09F1">
        <w:rPr>
          <w:rFonts w:ascii="Verdana" w:hAnsi="Verdana" w:cs="Arial"/>
          <w:sz w:val="22"/>
        </w:rPr>
        <w:t xml:space="preserve">) Este mecanismo de vigilancia exige, en su ejecución, la utilización de conocimientos especializados. </w:t>
      </w:r>
      <w:proofErr w:type="spellStart"/>
      <w:r w:rsidRPr="000E09F1">
        <w:rPr>
          <w:rFonts w:ascii="Verdana" w:hAnsi="Verdana" w:cs="Arial"/>
          <w:sz w:val="22"/>
        </w:rPr>
        <w:t>iii</w:t>
      </w:r>
      <w:proofErr w:type="spellEnd"/>
      <w:r w:rsidRPr="000E09F1">
        <w:rPr>
          <w:rFonts w:ascii="Verdana" w:hAnsi="Verdana" w:cs="Arial"/>
          <w:sz w:val="22"/>
        </w:rPr>
        <w:t>) Por lo anterior, la entidad contrata un experto, en principio, a través de un concurso de méritos, al tratarse la interventoría de una especie del contrato de consultoría ‒art. 32, numeral 2, inciso 2, Ley 80 de 1993</w:t>
      </w:r>
      <w:r w:rsidRPr="000E09F1">
        <w:rPr>
          <w:rStyle w:val="Refdenotaalpie"/>
          <w:rFonts w:ascii="Verdana" w:hAnsi="Verdana" w:cs="Arial"/>
          <w:sz w:val="22"/>
        </w:rPr>
        <w:footnoteReference w:id="1"/>
      </w:r>
      <w:r w:rsidRPr="000E09F1">
        <w:rPr>
          <w:rFonts w:ascii="Verdana" w:hAnsi="Verdana" w:cs="Arial"/>
          <w:sz w:val="22"/>
        </w:rPr>
        <w:t xml:space="preserve">‒, de manera que la interventoría es realizada por una “persona natural o jurídica contratada para tal fin por la Entidad Estatal” ‒art. 83, Ley 1474‒. </w:t>
      </w:r>
      <w:proofErr w:type="spellStart"/>
      <w:r w:rsidRPr="000E09F1">
        <w:rPr>
          <w:rFonts w:ascii="Verdana" w:hAnsi="Verdana" w:cs="Arial"/>
          <w:sz w:val="22"/>
        </w:rPr>
        <w:t>iv</w:t>
      </w:r>
      <w:proofErr w:type="spellEnd"/>
      <w:r w:rsidRPr="000E09F1">
        <w:rPr>
          <w:rFonts w:ascii="Verdana" w:hAnsi="Verdana" w:cs="Arial"/>
          <w:sz w:val="22"/>
        </w:rPr>
        <w:t>)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 de que no se encomiende al interventor el seguimiento total del contrato, en el contrato de interventoría “se deberán indicar las actividades técnicas a cargo del interventor y las demás quedarán a cargo de la Entidad a través del supervisor” ‒art. 83, inciso 3‒. Finalmente, vi) el contrato de interventoría será supervisado directamente por la entidad ‒art. 83, inciso 4.</w:t>
      </w:r>
    </w:p>
    <w:p w14:paraId="3AF671DE" w14:textId="49CA4402" w:rsidR="009E37BB" w:rsidRPr="000E09F1" w:rsidRDefault="009E37BB" w:rsidP="000E09F1">
      <w:pPr>
        <w:pStyle w:val="Sinespaciado"/>
        <w:numPr>
          <w:ilvl w:val="0"/>
          <w:numId w:val="19"/>
        </w:numPr>
        <w:spacing w:after="120" w:line="276" w:lineRule="auto"/>
        <w:ind w:left="426"/>
        <w:jc w:val="both"/>
        <w:rPr>
          <w:rFonts w:ascii="Verdana" w:hAnsi="Verdana" w:cs="Arial"/>
          <w:sz w:val="22"/>
        </w:rPr>
      </w:pPr>
      <w:bookmarkStart w:id="3" w:name="_Hlk171508041"/>
      <w:r w:rsidRPr="000E09F1">
        <w:rPr>
          <w:rFonts w:ascii="Verdana" w:hAnsi="Verdana" w:cs="Arial"/>
          <w:sz w:val="22"/>
        </w:rPr>
        <w:t>El artículo 32, numeral 2 de la Ley 80 de 1993 define los contratos de consultoría como aquellos que suscriben las entidades públicas que se refieran a los estudios necesarios para la ejecución de proyectos de inversión, estudios de diagnóstico, prefactibilidad o factibilidad para programas o proyectos específicos, así como las asesorías técnicas de coordinación, control y supervisión. Así mismo, son contratos de consultoría los que tienen por objeto la interventoría, asesoría, gerencia de obra o de proyectos, dirección, programación y la ejecución de diseños, planos, anteproyectos y proyectos</w:t>
      </w:r>
      <w:r w:rsidRPr="000E09F1">
        <w:rPr>
          <w:rStyle w:val="Refdenotaalpie"/>
          <w:rFonts w:ascii="Verdana" w:hAnsi="Verdana" w:cs="Arial"/>
          <w:sz w:val="22"/>
        </w:rPr>
        <w:footnoteReference w:id="2"/>
      </w:r>
      <w:r w:rsidRPr="000E09F1">
        <w:rPr>
          <w:rFonts w:ascii="Verdana" w:hAnsi="Verdana" w:cs="Arial"/>
          <w:sz w:val="22"/>
        </w:rPr>
        <w:t>.</w:t>
      </w:r>
    </w:p>
    <w:p w14:paraId="1B7B341B" w14:textId="6288ED55" w:rsidR="009E37BB" w:rsidRPr="000E09F1" w:rsidRDefault="009E37BB" w:rsidP="000E09F1">
      <w:pPr>
        <w:pStyle w:val="Sinespaciado"/>
        <w:numPr>
          <w:ilvl w:val="0"/>
          <w:numId w:val="19"/>
        </w:numPr>
        <w:tabs>
          <w:tab w:val="left" w:pos="709"/>
        </w:tabs>
        <w:spacing w:after="120" w:line="276" w:lineRule="auto"/>
        <w:ind w:left="426" w:hanging="425"/>
        <w:jc w:val="both"/>
        <w:rPr>
          <w:rFonts w:ascii="Verdana" w:hAnsi="Verdana"/>
          <w:sz w:val="22"/>
        </w:rPr>
      </w:pPr>
      <w:r w:rsidRPr="000E09F1">
        <w:rPr>
          <w:rFonts w:ascii="Verdana" w:hAnsi="Verdana"/>
          <w:sz w:val="22"/>
        </w:rPr>
        <w:lastRenderedPageBreak/>
        <w:t>La doctrina expresa que el art</w:t>
      </w:r>
      <w:r w:rsidRPr="000E09F1">
        <w:rPr>
          <w:rFonts w:ascii="Verdana" w:hAnsi="Verdana" w:hint="eastAsia"/>
          <w:sz w:val="22"/>
        </w:rPr>
        <w:t>í</w:t>
      </w:r>
      <w:r w:rsidRPr="000E09F1">
        <w:rPr>
          <w:rFonts w:ascii="Verdana" w:hAnsi="Verdana"/>
          <w:sz w:val="22"/>
        </w:rPr>
        <w:t>culo 32, numeral 2. no establece una definici</w:t>
      </w:r>
      <w:r w:rsidRPr="000E09F1">
        <w:rPr>
          <w:rFonts w:ascii="Verdana" w:hAnsi="Verdana" w:hint="eastAsia"/>
          <w:sz w:val="22"/>
        </w:rPr>
        <w:t>ó</w:t>
      </w:r>
      <w:r w:rsidRPr="000E09F1">
        <w:rPr>
          <w:rFonts w:ascii="Verdana" w:hAnsi="Verdana"/>
          <w:sz w:val="22"/>
        </w:rPr>
        <w:t>n de contrato de consultor</w:t>
      </w:r>
      <w:r w:rsidRPr="000E09F1">
        <w:rPr>
          <w:rFonts w:ascii="Verdana" w:hAnsi="Verdana" w:hint="eastAsia"/>
          <w:sz w:val="22"/>
        </w:rPr>
        <w:t>í</w:t>
      </w:r>
      <w:r w:rsidRPr="000E09F1">
        <w:rPr>
          <w:rFonts w:ascii="Verdana" w:hAnsi="Verdana"/>
          <w:sz w:val="22"/>
        </w:rPr>
        <w:t>a, sino que, simplemente, enuncia una serie de actividades que pueden hacer parte de este tipo contractual</w:t>
      </w:r>
      <w:r w:rsidRPr="000E09F1">
        <w:rPr>
          <w:rStyle w:val="Refdenotaalpie"/>
          <w:rFonts w:ascii="Verdana" w:hAnsi="Verdana"/>
          <w:sz w:val="22"/>
        </w:rPr>
        <w:footnoteReference w:id="3"/>
      </w:r>
      <w:r w:rsidRPr="000E09F1">
        <w:rPr>
          <w:rFonts w:ascii="Verdana" w:hAnsi="Verdana"/>
          <w:sz w:val="22"/>
        </w:rPr>
        <w:t>. Es decir, no hay un concepto propio de consultor</w:t>
      </w:r>
      <w:r w:rsidRPr="000E09F1">
        <w:rPr>
          <w:rFonts w:ascii="Verdana" w:hAnsi="Verdana" w:hint="eastAsia"/>
          <w:sz w:val="22"/>
        </w:rPr>
        <w:t>í</w:t>
      </w:r>
      <w:r w:rsidRPr="000E09F1">
        <w:rPr>
          <w:rFonts w:ascii="Verdana" w:hAnsi="Verdana"/>
          <w:sz w:val="22"/>
        </w:rPr>
        <w:t>a dentro de la Ley 80 de 1993, pero s</w:t>
      </w:r>
      <w:r w:rsidRPr="000E09F1">
        <w:rPr>
          <w:rFonts w:ascii="Verdana" w:hAnsi="Verdana" w:hint="eastAsia"/>
          <w:sz w:val="22"/>
        </w:rPr>
        <w:t>í</w:t>
      </w:r>
      <w:r w:rsidRPr="000E09F1">
        <w:rPr>
          <w:rFonts w:ascii="Verdana" w:hAnsi="Verdana"/>
          <w:sz w:val="22"/>
        </w:rPr>
        <w:t xml:space="preserve"> se establecen elementos o actividades que configuran este tipo de contratos. Al respecto, el Consejo de Estado expresa: </w:t>
      </w:r>
      <w:r w:rsidRPr="000E09F1">
        <w:rPr>
          <w:rFonts w:ascii="Verdana" w:hAnsi="Verdana" w:hint="eastAsia"/>
          <w:sz w:val="22"/>
        </w:rPr>
        <w:t>“</w:t>
      </w:r>
      <w:r w:rsidRPr="000E09F1">
        <w:rPr>
          <w:rFonts w:ascii="Verdana" w:hAnsi="Verdana"/>
          <w:sz w:val="22"/>
        </w:rPr>
        <w:t>Son de la esencia del contrato de consultor</w:t>
      </w:r>
      <w:r w:rsidRPr="000E09F1">
        <w:rPr>
          <w:rFonts w:ascii="Verdana" w:hAnsi="Verdana" w:hint="eastAsia"/>
          <w:sz w:val="22"/>
        </w:rPr>
        <w:t>í</w:t>
      </w:r>
      <w:r w:rsidRPr="000E09F1">
        <w:rPr>
          <w:rFonts w:ascii="Verdana" w:hAnsi="Verdana"/>
          <w:sz w:val="22"/>
        </w:rPr>
        <w:t>a el que una parte se obligue a prestar un servicio consistente en realizar estudios para la ejecuci</w:t>
      </w:r>
      <w:r w:rsidRPr="000E09F1">
        <w:rPr>
          <w:rFonts w:ascii="Verdana" w:hAnsi="Verdana" w:hint="eastAsia"/>
          <w:sz w:val="22"/>
        </w:rPr>
        <w:t>ó</w:t>
      </w:r>
      <w:r w:rsidRPr="000E09F1">
        <w:rPr>
          <w:rFonts w:ascii="Verdana" w:hAnsi="Verdana"/>
          <w:sz w:val="22"/>
        </w:rPr>
        <w:t>n de proyectos de inversi</w:t>
      </w:r>
      <w:r w:rsidRPr="000E09F1">
        <w:rPr>
          <w:rFonts w:ascii="Verdana" w:hAnsi="Verdana" w:hint="eastAsia"/>
          <w:sz w:val="22"/>
        </w:rPr>
        <w:t>ó</w:t>
      </w:r>
      <w:r w:rsidRPr="000E09F1">
        <w:rPr>
          <w:rFonts w:ascii="Verdana" w:hAnsi="Verdana"/>
          <w:sz w:val="22"/>
        </w:rPr>
        <w:t>n, estudios de diagn</w:t>
      </w:r>
      <w:r w:rsidRPr="000E09F1">
        <w:rPr>
          <w:rFonts w:ascii="Verdana" w:hAnsi="Verdana" w:hint="eastAsia"/>
          <w:sz w:val="22"/>
        </w:rPr>
        <w:t>ó</w:t>
      </w:r>
      <w:r w:rsidRPr="000E09F1">
        <w:rPr>
          <w:rFonts w:ascii="Verdana" w:hAnsi="Verdana"/>
          <w:sz w:val="22"/>
        </w:rPr>
        <w:t>stico, prefactibilidad o factibilidad para programas o proyectos determinados, prestar asesor</w:t>
      </w:r>
      <w:r w:rsidRPr="000E09F1">
        <w:rPr>
          <w:rFonts w:ascii="Verdana" w:hAnsi="Verdana" w:hint="eastAsia"/>
          <w:sz w:val="22"/>
        </w:rPr>
        <w:t>í</w:t>
      </w:r>
      <w:r w:rsidRPr="000E09F1">
        <w:rPr>
          <w:rFonts w:ascii="Verdana" w:hAnsi="Verdana"/>
          <w:sz w:val="22"/>
        </w:rPr>
        <w:t>a t</w:t>
      </w:r>
      <w:r w:rsidRPr="000E09F1">
        <w:rPr>
          <w:rFonts w:ascii="Verdana" w:hAnsi="Verdana" w:hint="eastAsia"/>
          <w:sz w:val="22"/>
        </w:rPr>
        <w:t>é</w:t>
      </w:r>
      <w:r w:rsidRPr="000E09F1">
        <w:rPr>
          <w:rFonts w:ascii="Verdana" w:hAnsi="Verdana"/>
          <w:sz w:val="22"/>
        </w:rPr>
        <w:t>cnica de coordinaci</w:t>
      </w:r>
      <w:r w:rsidRPr="000E09F1">
        <w:rPr>
          <w:rFonts w:ascii="Verdana" w:hAnsi="Verdana" w:hint="eastAsia"/>
          <w:sz w:val="22"/>
        </w:rPr>
        <w:t>ó</w:t>
      </w:r>
      <w:r w:rsidRPr="000E09F1">
        <w:rPr>
          <w:rFonts w:ascii="Verdana" w:hAnsi="Verdana"/>
          <w:sz w:val="22"/>
        </w:rPr>
        <w:t>n, control y supervisi</w:t>
      </w:r>
      <w:r w:rsidRPr="000E09F1">
        <w:rPr>
          <w:rFonts w:ascii="Verdana" w:hAnsi="Verdana" w:hint="eastAsia"/>
          <w:sz w:val="22"/>
        </w:rPr>
        <w:t>ó</w:t>
      </w:r>
      <w:r w:rsidRPr="000E09F1">
        <w:rPr>
          <w:rFonts w:ascii="Verdana" w:hAnsi="Verdana"/>
          <w:sz w:val="22"/>
        </w:rPr>
        <w:t>n, realizar actividades de interventor</w:t>
      </w:r>
      <w:r w:rsidRPr="000E09F1">
        <w:rPr>
          <w:rFonts w:ascii="Verdana" w:hAnsi="Verdana" w:hint="eastAsia"/>
          <w:sz w:val="22"/>
        </w:rPr>
        <w:t>í</w:t>
      </w:r>
      <w:r w:rsidRPr="000E09F1">
        <w:rPr>
          <w:rFonts w:ascii="Verdana" w:hAnsi="Verdana"/>
          <w:sz w:val="22"/>
        </w:rPr>
        <w:t>a, asesor</w:t>
      </w:r>
      <w:r w:rsidRPr="000E09F1">
        <w:rPr>
          <w:rFonts w:ascii="Verdana" w:hAnsi="Verdana" w:hint="eastAsia"/>
          <w:sz w:val="22"/>
        </w:rPr>
        <w:t>í</w:t>
      </w:r>
      <w:r w:rsidRPr="000E09F1">
        <w:rPr>
          <w:rFonts w:ascii="Verdana" w:hAnsi="Verdana"/>
          <w:sz w:val="22"/>
        </w:rPr>
        <w:t>a y gerencia de obra o de proyectos, as</w:t>
      </w:r>
      <w:r w:rsidRPr="000E09F1">
        <w:rPr>
          <w:rFonts w:ascii="Verdana" w:hAnsi="Verdana" w:hint="eastAsia"/>
          <w:sz w:val="22"/>
        </w:rPr>
        <w:t>í</w:t>
      </w:r>
      <w:r w:rsidRPr="000E09F1">
        <w:rPr>
          <w:rFonts w:ascii="Verdana" w:hAnsi="Verdana"/>
          <w:sz w:val="22"/>
        </w:rPr>
        <w:t xml:space="preserve"> como la direcci</w:t>
      </w:r>
      <w:r w:rsidRPr="000E09F1">
        <w:rPr>
          <w:rFonts w:ascii="Verdana" w:hAnsi="Verdana" w:hint="eastAsia"/>
          <w:sz w:val="22"/>
        </w:rPr>
        <w:t>ó</w:t>
      </w:r>
      <w:r w:rsidRPr="000E09F1">
        <w:rPr>
          <w:rFonts w:ascii="Verdana" w:hAnsi="Verdana"/>
          <w:sz w:val="22"/>
        </w:rPr>
        <w:t>n, programaci</w:t>
      </w:r>
      <w:r w:rsidRPr="000E09F1">
        <w:rPr>
          <w:rFonts w:ascii="Verdana" w:hAnsi="Verdana" w:hint="eastAsia"/>
          <w:sz w:val="22"/>
        </w:rPr>
        <w:t>ó</w:t>
      </w:r>
      <w:r w:rsidRPr="000E09F1">
        <w:rPr>
          <w:rFonts w:ascii="Verdana" w:hAnsi="Verdana"/>
          <w:sz w:val="22"/>
        </w:rPr>
        <w:t>n y la ejecuci</w:t>
      </w:r>
      <w:r w:rsidRPr="000E09F1">
        <w:rPr>
          <w:rFonts w:ascii="Verdana" w:hAnsi="Verdana" w:hint="eastAsia"/>
          <w:sz w:val="22"/>
        </w:rPr>
        <w:t>ó</w:t>
      </w:r>
      <w:r w:rsidRPr="000E09F1">
        <w:rPr>
          <w:rFonts w:ascii="Verdana" w:hAnsi="Verdana"/>
          <w:sz w:val="22"/>
        </w:rPr>
        <w:t>n de dise</w:t>
      </w:r>
      <w:r w:rsidRPr="000E09F1">
        <w:rPr>
          <w:rFonts w:ascii="Verdana" w:hAnsi="Verdana" w:hint="eastAsia"/>
          <w:sz w:val="22"/>
        </w:rPr>
        <w:t>ñ</w:t>
      </w:r>
      <w:r w:rsidRPr="000E09F1">
        <w:rPr>
          <w:rFonts w:ascii="Verdana" w:hAnsi="Verdana"/>
          <w:sz w:val="22"/>
        </w:rPr>
        <w:t>os, planos, anteproyectos y proyectos, y el que la otra se obligue a pagar una determinada remuneraci</w:t>
      </w:r>
      <w:r w:rsidRPr="000E09F1">
        <w:rPr>
          <w:rFonts w:ascii="Verdana" w:hAnsi="Verdana" w:hint="eastAsia"/>
          <w:sz w:val="22"/>
        </w:rPr>
        <w:t>ó</w:t>
      </w:r>
      <w:r w:rsidRPr="000E09F1">
        <w:rPr>
          <w:rFonts w:ascii="Verdana" w:hAnsi="Verdana"/>
          <w:sz w:val="22"/>
        </w:rPr>
        <w:t>n como retribuci</w:t>
      </w:r>
      <w:r w:rsidRPr="000E09F1">
        <w:rPr>
          <w:rFonts w:ascii="Verdana" w:hAnsi="Verdana" w:hint="eastAsia"/>
          <w:sz w:val="22"/>
        </w:rPr>
        <w:t>ó</w:t>
      </w:r>
      <w:r w:rsidRPr="000E09F1">
        <w:rPr>
          <w:rFonts w:ascii="Verdana" w:hAnsi="Verdana"/>
          <w:sz w:val="22"/>
        </w:rPr>
        <w:t>n por el servicio prestado</w:t>
      </w:r>
      <w:r w:rsidRPr="000E09F1">
        <w:rPr>
          <w:rFonts w:ascii="Verdana" w:hAnsi="Verdana" w:hint="eastAsia"/>
          <w:sz w:val="22"/>
        </w:rPr>
        <w:t>”</w:t>
      </w:r>
      <w:r w:rsidRPr="000E09F1">
        <w:rPr>
          <w:rStyle w:val="Refdenotaalpie"/>
          <w:rFonts w:ascii="Verdana" w:hAnsi="Verdana"/>
          <w:sz w:val="22"/>
        </w:rPr>
        <w:footnoteReference w:id="4"/>
      </w:r>
      <w:r w:rsidRPr="000E09F1">
        <w:rPr>
          <w:rFonts w:ascii="Verdana" w:hAnsi="Verdana"/>
          <w:sz w:val="22"/>
        </w:rPr>
        <w:t>.</w:t>
      </w:r>
    </w:p>
    <w:p w14:paraId="7008F167" w14:textId="77777777" w:rsidR="00A61B91" w:rsidRPr="000E09F1" w:rsidRDefault="00A61B91" w:rsidP="000E09F1">
      <w:pPr>
        <w:pStyle w:val="Sinespaciado"/>
        <w:numPr>
          <w:ilvl w:val="0"/>
          <w:numId w:val="19"/>
        </w:numPr>
        <w:spacing w:after="120" w:line="276" w:lineRule="auto"/>
        <w:ind w:left="426"/>
        <w:jc w:val="both"/>
        <w:rPr>
          <w:rFonts w:ascii="Verdana" w:hAnsi="Verdana"/>
          <w:sz w:val="22"/>
        </w:rPr>
      </w:pPr>
      <w:r w:rsidRPr="000E09F1">
        <w:rPr>
          <w:rFonts w:ascii="Verdana" w:hAnsi="Verdana"/>
          <w:sz w:val="22"/>
        </w:rPr>
        <w:t>Ahora bien, el art</w:t>
      </w:r>
      <w:r w:rsidRPr="000E09F1">
        <w:rPr>
          <w:rFonts w:ascii="Verdana" w:hAnsi="Verdana" w:hint="eastAsia"/>
          <w:sz w:val="22"/>
        </w:rPr>
        <w:t>í</w:t>
      </w:r>
      <w:r w:rsidRPr="000E09F1">
        <w:rPr>
          <w:rFonts w:ascii="Verdana" w:hAnsi="Verdana"/>
          <w:sz w:val="22"/>
        </w:rPr>
        <w:t>culo 2, numeral 3, de la Ley 1150 de 2007 establece que el concurso de m</w:t>
      </w:r>
      <w:r w:rsidRPr="000E09F1">
        <w:rPr>
          <w:rFonts w:ascii="Verdana" w:hAnsi="Verdana" w:hint="eastAsia"/>
          <w:sz w:val="22"/>
        </w:rPr>
        <w:t>é</w:t>
      </w:r>
      <w:r w:rsidRPr="000E09F1">
        <w:rPr>
          <w:rFonts w:ascii="Verdana" w:hAnsi="Verdana"/>
          <w:sz w:val="22"/>
        </w:rPr>
        <w:t>ritos es, en principio, la modalidad de selecci</w:t>
      </w:r>
      <w:r w:rsidRPr="000E09F1">
        <w:rPr>
          <w:rFonts w:ascii="Verdana" w:hAnsi="Verdana" w:hint="eastAsia"/>
          <w:sz w:val="22"/>
        </w:rPr>
        <w:t>ó</w:t>
      </w:r>
      <w:r w:rsidRPr="000E09F1">
        <w:rPr>
          <w:rFonts w:ascii="Verdana" w:hAnsi="Verdana"/>
          <w:sz w:val="22"/>
        </w:rPr>
        <w:t>n aplicable para la celebraci</w:t>
      </w:r>
      <w:r w:rsidRPr="000E09F1">
        <w:rPr>
          <w:rFonts w:ascii="Verdana" w:hAnsi="Verdana" w:hint="eastAsia"/>
          <w:sz w:val="22"/>
        </w:rPr>
        <w:t>ó</w:t>
      </w:r>
      <w:r w:rsidRPr="000E09F1">
        <w:rPr>
          <w:rFonts w:ascii="Verdana" w:hAnsi="Verdana"/>
          <w:sz w:val="22"/>
        </w:rPr>
        <w:t>n de este tipo de contratos</w:t>
      </w:r>
      <w:r w:rsidRPr="000E09F1">
        <w:rPr>
          <w:rStyle w:val="Refdenotaalpie"/>
          <w:rFonts w:ascii="Verdana" w:hAnsi="Verdana"/>
          <w:sz w:val="22"/>
        </w:rPr>
        <w:footnoteReference w:id="5"/>
      </w:r>
      <w:r w:rsidRPr="000E09F1">
        <w:rPr>
          <w:rFonts w:ascii="Verdana" w:hAnsi="Verdana"/>
          <w:sz w:val="22"/>
        </w:rPr>
        <w:t>. Al respecto, el Libro 2, Parte 2, T</w:t>
      </w:r>
      <w:r w:rsidRPr="000E09F1">
        <w:rPr>
          <w:rFonts w:ascii="Verdana" w:hAnsi="Verdana" w:hint="eastAsia"/>
          <w:sz w:val="22"/>
        </w:rPr>
        <w:t>í</w:t>
      </w:r>
      <w:r w:rsidRPr="000E09F1">
        <w:rPr>
          <w:rFonts w:ascii="Verdana" w:hAnsi="Verdana"/>
          <w:sz w:val="22"/>
        </w:rPr>
        <w:t>tulo 1, Cap</w:t>
      </w:r>
      <w:r w:rsidRPr="000E09F1">
        <w:rPr>
          <w:rFonts w:ascii="Verdana" w:hAnsi="Verdana" w:hint="eastAsia"/>
          <w:sz w:val="22"/>
        </w:rPr>
        <w:t>í</w:t>
      </w:r>
      <w:r w:rsidRPr="000E09F1">
        <w:rPr>
          <w:rFonts w:ascii="Verdana" w:hAnsi="Verdana"/>
          <w:sz w:val="22"/>
        </w:rPr>
        <w:t>tulo 2, Secci</w:t>
      </w:r>
      <w:r w:rsidRPr="000E09F1">
        <w:rPr>
          <w:rFonts w:ascii="Verdana" w:hAnsi="Verdana" w:hint="eastAsia"/>
          <w:sz w:val="22"/>
        </w:rPr>
        <w:t>ó</w:t>
      </w:r>
      <w:r w:rsidRPr="000E09F1">
        <w:rPr>
          <w:rFonts w:ascii="Verdana" w:hAnsi="Verdana"/>
          <w:sz w:val="22"/>
        </w:rPr>
        <w:t>n 1, Subsecci</w:t>
      </w:r>
      <w:r w:rsidRPr="000E09F1">
        <w:rPr>
          <w:rFonts w:ascii="Verdana" w:hAnsi="Verdana" w:hint="eastAsia"/>
          <w:sz w:val="22"/>
        </w:rPr>
        <w:t>ó</w:t>
      </w:r>
      <w:r w:rsidRPr="000E09F1">
        <w:rPr>
          <w:rFonts w:ascii="Verdana" w:hAnsi="Verdana"/>
          <w:sz w:val="22"/>
        </w:rPr>
        <w:t>n 3 del Decreto 1082 de 2015, regula las distintas modalidades del concurso de m</w:t>
      </w:r>
      <w:r w:rsidRPr="000E09F1">
        <w:rPr>
          <w:rFonts w:ascii="Verdana" w:hAnsi="Verdana" w:hint="eastAsia"/>
          <w:sz w:val="22"/>
        </w:rPr>
        <w:t>é</w:t>
      </w:r>
      <w:r w:rsidRPr="000E09F1">
        <w:rPr>
          <w:rFonts w:ascii="Verdana" w:hAnsi="Verdana"/>
          <w:sz w:val="22"/>
        </w:rPr>
        <w:t>ritos: i) concurso de m</w:t>
      </w:r>
      <w:r w:rsidRPr="000E09F1">
        <w:rPr>
          <w:rFonts w:ascii="Verdana" w:hAnsi="Verdana" w:hint="eastAsia"/>
          <w:sz w:val="22"/>
        </w:rPr>
        <w:t>é</w:t>
      </w:r>
      <w:r w:rsidRPr="000E09F1">
        <w:rPr>
          <w:rFonts w:ascii="Verdana" w:hAnsi="Verdana"/>
          <w:sz w:val="22"/>
        </w:rPr>
        <w:t>ritos abierto o sin precalificaci</w:t>
      </w:r>
      <w:r w:rsidRPr="000E09F1">
        <w:rPr>
          <w:rFonts w:ascii="Verdana" w:hAnsi="Verdana" w:hint="eastAsia"/>
          <w:sz w:val="22"/>
        </w:rPr>
        <w:t>ó</w:t>
      </w:r>
      <w:r w:rsidRPr="000E09F1">
        <w:rPr>
          <w:rFonts w:ascii="Verdana" w:hAnsi="Verdana"/>
          <w:sz w:val="22"/>
        </w:rPr>
        <w:t xml:space="preserve">n, </w:t>
      </w:r>
      <w:proofErr w:type="spellStart"/>
      <w:r w:rsidRPr="000E09F1">
        <w:rPr>
          <w:rFonts w:ascii="Verdana" w:hAnsi="Verdana"/>
          <w:sz w:val="22"/>
        </w:rPr>
        <w:t>ii</w:t>
      </w:r>
      <w:proofErr w:type="spellEnd"/>
      <w:r w:rsidRPr="000E09F1">
        <w:rPr>
          <w:rFonts w:ascii="Verdana" w:hAnsi="Verdana"/>
          <w:sz w:val="22"/>
        </w:rPr>
        <w:t>) concurso de m</w:t>
      </w:r>
      <w:r w:rsidRPr="000E09F1">
        <w:rPr>
          <w:rFonts w:ascii="Verdana" w:hAnsi="Verdana" w:hint="eastAsia"/>
          <w:sz w:val="22"/>
        </w:rPr>
        <w:t>é</w:t>
      </w:r>
      <w:r w:rsidRPr="000E09F1">
        <w:rPr>
          <w:rFonts w:ascii="Verdana" w:hAnsi="Verdana"/>
          <w:sz w:val="22"/>
        </w:rPr>
        <w:t>ritos cerrado o con precalificaci</w:t>
      </w:r>
      <w:r w:rsidRPr="000E09F1">
        <w:rPr>
          <w:rFonts w:ascii="Verdana" w:hAnsi="Verdana" w:hint="eastAsia"/>
          <w:sz w:val="22"/>
        </w:rPr>
        <w:t>ó</w:t>
      </w:r>
      <w:r w:rsidRPr="000E09F1">
        <w:rPr>
          <w:rFonts w:ascii="Verdana" w:hAnsi="Verdana"/>
          <w:sz w:val="22"/>
        </w:rPr>
        <w:t xml:space="preserve">n y </w:t>
      </w:r>
      <w:proofErr w:type="spellStart"/>
      <w:r w:rsidRPr="000E09F1">
        <w:rPr>
          <w:rFonts w:ascii="Verdana" w:hAnsi="Verdana"/>
          <w:sz w:val="22"/>
        </w:rPr>
        <w:t>iii</w:t>
      </w:r>
      <w:proofErr w:type="spellEnd"/>
      <w:r w:rsidRPr="000E09F1">
        <w:rPr>
          <w:rFonts w:ascii="Verdana" w:hAnsi="Verdana"/>
          <w:sz w:val="22"/>
        </w:rPr>
        <w:t>) concurso de m</w:t>
      </w:r>
      <w:r w:rsidRPr="000E09F1">
        <w:rPr>
          <w:rFonts w:ascii="Verdana" w:hAnsi="Verdana" w:hint="eastAsia"/>
          <w:sz w:val="22"/>
        </w:rPr>
        <w:t>é</w:t>
      </w:r>
      <w:r w:rsidRPr="000E09F1">
        <w:rPr>
          <w:rFonts w:ascii="Verdana" w:hAnsi="Verdana"/>
          <w:sz w:val="22"/>
        </w:rPr>
        <w:t xml:space="preserve">ritos </w:t>
      </w:r>
      <w:r w:rsidRPr="000E09F1">
        <w:rPr>
          <w:rFonts w:ascii="Verdana" w:hAnsi="Verdana" w:hint="eastAsia"/>
          <w:sz w:val="22"/>
        </w:rPr>
        <w:t>“</w:t>
      </w:r>
      <w:r w:rsidRPr="000E09F1">
        <w:rPr>
          <w:rFonts w:ascii="Verdana" w:hAnsi="Verdana"/>
          <w:sz w:val="22"/>
        </w:rPr>
        <w:t>para la selecci</w:t>
      </w:r>
      <w:r w:rsidRPr="000E09F1">
        <w:rPr>
          <w:rFonts w:ascii="Verdana" w:hAnsi="Verdana" w:hint="eastAsia"/>
          <w:sz w:val="22"/>
        </w:rPr>
        <w:t>ó</w:t>
      </w:r>
      <w:r w:rsidRPr="000E09F1">
        <w:rPr>
          <w:rFonts w:ascii="Verdana" w:hAnsi="Verdana"/>
          <w:sz w:val="22"/>
        </w:rPr>
        <w:t>n de consultores de dise</w:t>
      </w:r>
      <w:r w:rsidRPr="000E09F1">
        <w:rPr>
          <w:rFonts w:ascii="Verdana" w:hAnsi="Verdana" w:hint="eastAsia"/>
          <w:sz w:val="22"/>
        </w:rPr>
        <w:t>ñ</w:t>
      </w:r>
      <w:r w:rsidRPr="000E09F1">
        <w:rPr>
          <w:rFonts w:ascii="Verdana" w:hAnsi="Verdana"/>
          <w:sz w:val="22"/>
        </w:rPr>
        <w:t>o, planos, anteproyectos y proyectos arquitect</w:t>
      </w:r>
      <w:r w:rsidRPr="000E09F1">
        <w:rPr>
          <w:rFonts w:ascii="Verdana" w:hAnsi="Verdana" w:hint="eastAsia"/>
          <w:sz w:val="22"/>
        </w:rPr>
        <w:t>ó</w:t>
      </w:r>
      <w:r w:rsidRPr="000E09F1">
        <w:rPr>
          <w:rFonts w:ascii="Verdana" w:hAnsi="Verdana"/>
          <w:sz w:val="22"/>
        </w:rPr>
        <w:t>nicos</w:t>
      </w:r>
      <w:r w:rsidRPr="000E09F1">
        <w:rPr>
          <w:rFonts w:ascii="Verdana" w:hAnsi="Verdana" w:hint="eastAsia"/>
          <w:sz w:val="22"/>
        </w:rPr>
        <w:t>”</w:t>
      </w:r>
      <w:r w:rsidRPr="000E09F1">
        <w:rPr>
          <w:rFonts w:ascii="Verdana" w:hAnsi="Verdana"/>
          <w:sz w:val="22"/>
        </w:rPr>
        <w:t xml:space="preserve">. El primero </w:t>
      </w:r>
      <w:r w:rsidRPr="000E09F1">
        <w:rPr>
          <w:rFonts w:ascii="Verdana" w:hAnsi="Verdana"/>
          <w:sz w:val="22"/>
        </w:rPr>
        <w:lastRenderedPageBreak/>
        <w:t>est</w:t>
      </w:r>
      <w:r w:rsidRPr="000E09F1">
        <w:rPr>
          <w:rFonts w:ascii="Verdana" w:hAnsi="Verdana" w:hint="eastAsia"/>
          <w:sz w:val="22"/>
        </w:rPr>
        <w:t>á</w:t>
      </w:r>
      <w:r w:rsidRPr="000E09F1">
        <w:rPr>
          <w:rFonts w:ascii="Verdana" w:hAnsi="Verdana"/>
          <w:sz w:val="22"/>
        </w:rPr>
        <w:t xml:space="preserve"> regulado en los art</w:t>
      </w:r>
      <w:r w:rsidRPr="000E09F1">
        <w:rPr>
          <w:rFonts w:ascii="Verdana" w:hAnsi="Verdana" w:hint="eastAsia"/>
          <w:sz w:val="22"/>
        </w:rPr>
        <w:t>í</w:t>
      </w:r>
      <w:r w:rsidRPr="000E09F1">
        <w:rPr>
          <w:rFonts w:ascii="Verdana" w:hAnsi="Verdana"/>
          <w:sz w:val="22"/>
        </w:rPr>
        <w:t>culos 2.2.1.2.1.3.1. y 2.2.1.2.1.3.2. Ibidem. El segundo, adem</w:t>
      </w:r>
      <w:r w:rsidRPr="000E09F1">
        <w:rPr>
          <w:rFonts w:ascii="Verdana" w:hAnsi="Verdana" w:hint="eastAsia"/>
          <w:sz w:val="22"/>
        </w:rPr>
        <w:t>á</w:t>
      </w:r>
      <w:r w:rsidRPr="000E09F1">
        <w:rPr>
          <w:rFonts w:ascii="Verdana" w:hAnsi="Verdana"/>
          <w:sz w:val="22"/>
        </w:rPr>
        <w:t>s de los dos art</w:t>
      </w:r>
      <w:r w:rsidRPr="000E09F1">
        <w:rPr>
          <w:rFonts w:ascii="Verdana" w:hAnsi="Verdana" w:hint="eastAsia"/>
          <w:sz w:val="22"/>
        </w:rPr>
        <w:t>í</w:t>
      </w:r>
      <w:r w:rsidRPr="000E09F1">
        <w:rPr>
          <w:rFonts w:ascii="Verdana" w:hAnsi="Verdana"/>
          <w:sz w:val="22"/>
        </w:rPr>
        <w:t>culos anteriores, lo regulan los art</w:t>
      </w:r>
      <w:r w:rsidRPr="000E09F1">
        <w:rPr>
          <w:rFonts w:ascii="Verdana" w:hAnsi="Verdana" w:hint="eastAsia"/>
          <w:sz w:val="22"/>
        </w:rPr>
        <w:t>í</w:t>
      </w:r>
      <w:r w:rsidRPr="000E09F1">
        <w:rPr>
          <w:rFonts w:ascii="Verdana" w:hAnsi="Verdana"/>
          <w:sz w:val="22"/>
        </w:rPr>
        <w:t xml:space="preserve">culos 2.2.1.2.1.3.3. a 2.2.1.2.1.3.7. </w:t>
      </w:r>
      <w:proofErr w:type="spellStart"/>
      <w:r w:rsidRPr="000E09F1">
        <w:rPr>
          <w:rFonts w:ascii="Verdana" w:hAnsi="Verdana"/>
          <w:sz w:val="22"/>
        </w:rPr>
        <w:t>ejusdem</w:t>
      </w:r>
      <w:proofErr w:type="spellEnd"/>
      <w:r w:rsidRPr="000E09F1">
        <w:rPr>
          <w:rFonts w:ascii="Verdana" w:hAnsi="Verdana"/>
          <w:sz w:val="22"/>
        </w:rPr>
        <w:t>. El tercero lo regulan los art</w:t>
      </w:r>
      <w:r w:rsidRPr="000E09F1">
        <w:rPr>
          <w:rFonts w:ascii="Verdana" w:hAnsi="Verdana" w:hint="eastAsia"/>
          <w:sz w:val="22"/>
        </w:rPr>
        <w:t>í</w:t>
      </w:r>
      <w:r w:rsidRPr="000E09F1">
        <w:rPr>
          <w:rFonts w:ascii="Verdana" w:hAnsi="Verdana"/>
          <w:sz w:val="22"/>
        </w:rPr>
        <w:t>culos 2.2.1.2.1.3.8. a 2.2.1.2.1.3.25. del mencionado Decreto</w:t>
      </w:r>
      <w:r w:rsidRPr="000E09F1">
        <w:rPr>
          <w:rStyle w:val="Refdenotaalpie"/>
          <w:rFonts w:ascii="Verdana" w:hAnsi="Verdana"/>
          <w:sz w:val="22"/>
        </w:rPr>
        <w:footnoteReference w:id="6"/>
      </w:r>
      <w:r w:rsidRPr="000E09F1">
        <w:rPr>
          <w:rFonts w:ascii="Verdana" w:hAnsi="Verdana"/>
          <w:sz w:val="22"/>
        </w:rPr>
        <w:t>.</w:t>
      </w:r>
    </w:p>
    <w:p w14:paraId="2221F880" w14:textId="223C0B66" w:rsidR="00A61B91" w:rsidRPr="000E09F1" w:rsidRDefault="00A61B91" w:rsidP="000E09F1">
      <w:pPr>
        <w:pStyle w:val="Prrafodelista"/>
        <w:numPr>
          <w:ilvl w:val="0"/>
          <w:numId w:val="19"/>
        </w:numPr>
        <w:spacing w:after="120" w:line="276" w:lineRule="auto"/>
        <w:ind w:left="426"/>
        <w:jc w:val="both"/>
        <w:rPr>
          <w:rFonts w:ascii="Verdana" w:hAnsi="Verdana"/>
        </w:rPr>
      </w:pPr>
      <w:r w:rsidRPr="000E09F1">
        <w:rPr>
          <w:rFonts w:ascii="Verdana" w:hAnsi="Verdana"/>
        </w:rPr>
        <w:t>Sin embargo, no significa que los contratos de consultor</w:t>
      </w:r>
      <w:r w:rsidRPr="000E09F1">
        <w:rPr>
          <w:rFonts w:ascii="Verdana" w:hAnsi="Verdana" w:hint="eastAsia"/>
        </w:rPr>
        <w:t>í</w:t>
      </w:r>
      <w:r w:rsidRPr="000E09F1">
        <w:rPr>
          <w:rFonts w:ascii="Verdana" w:hAnsi="Verdana"/>
        </w:rPr>
        <w:t>a solo puedan perfeccionarse con la previa realizaci</w:t>
      </w:r>
      <w:r w:rsidRPr="000E09F1">
        <w:rPr>
          <w:rFonts w:ascii="Verdana" w:hAnsi="Verdana" w:hint="eastAsia"/>
        </w:rPr>
        <w:t>ó</w:t>
      </w:r>
      <w:r w:rsidRPr="000E09F1">
        <w:rPr>
          <w:rFonts w:ascii="Verdana" w:hAnsi="Verdana"/>
        </w:rPr>
        <w:t>n de la modalidad de selecci</w:t>
      </w:r>
      <w:r w:rsidRPr="000E09F1">
        <w:rPr>
          <w:rFonts w:ascii="Verdana" w:hAnsi="Verdana" w:hint="eastAsia"/>
        </w:rPr>
        <w:t>ó</w:t>
      </w:r>
      <w:r w:rsidRPr="000E09F1">
        <w:rPr>
          <w:rFonts w:ascii="Verdana" w:hAnsi="Verdana"/>
        </w:rPr>
        <w:t>n de un concurso de m</w:t>
      </w:r>
      <w:r w:rsidRPr="000E09F1">
        <w:rPr>
          <w:rFonts w:ascii="Verdana" w:hAnsi="Verdana" w:hint="eastAsia"/>
        </w:rPr>
        <w:t>é</w:t>
      </w:r>
      <w:r w:rsidRPr="000E09F1">
        <w:rPr>
          <w:rFonts w:ascii="Verdana" w:hAnsi="Verdana"/>
        </w:rPr>
        <w:t>ritos. El procedimiento que antecede su celebraci</w:t>
      </w:r>
      <w:r w:rsidRPr="000E09F1">
        <w:rPr>
          <w:rFonts w:ascii="Verdana" w:hAnsi="Verdana" w:hint="eastAsia"/>
        </w:rPr>
        <w:t>ó</w:t>
      </w:r>
      <w:r w:rsidRPr="000E09F1">
        <w:rPr>
          <w:rFonts w:ascii="Verdana" w:hAnsi="Verdana"/>
        </w:rPr>
        <w:t>n tambi</w:t>
      </w:r>
      <w:r w:rsidRPr="000E09F1">
        <w:rPr>
          <w:rFonts w:ascii="Verdana" w:hAnsi="Verdana" w:hint="eastAsia"/>
        </w:rPr>
        <w:t>é</w:t>
      </w:r>
      <w:r w:rsidRPr="000E09F1">
        <w:rPr>
          <w:rFonts w:ascii="Verdana" w:hAnsi="Verdana"/>
        </w:rPr>
        <w:t>n puede ser, excepcionalmente, desarrollado mediante el proceso de m</w:t>
      </w:r>
      <w:r w:rsidRPr="000E09F1">
        <w:rPr>
          <w:rFonts w:ascii="Verdana" w:hAnsi="Verdana" w:hint="eastAsia"/>
        </w:rPr>
        <w:t>í</w:t>
      </w:r>
      <w:r w:rsidRPr="000E09F1">
        <w:rPr>
          <w:rFonts w:ascii="Verdana" w:hAnsi="Verdana"/>
        </w:rPr>
        <w:t>nima cuant</w:t>
      </w:r>
      <w:r w:rsidRPr="000E09F1">
        <w:rPr>
          <w:rFonts w:ascii="Verdana" w:hAnsi="Verdana" w:hint="eastAsia"/>
        </w:rPr>
        <w:t>í</w:t>
      </w:r>
      <w:r w:rsidRPr="000E09F1">
        <w:rPr>
          <w:rFonts w:ascii="Verdana" w:hAnsi="Verdana"/>
        </w:rPr>
        <w:t xml:space="preserve">a </w:t>
      </w:r>
      <w:r w:rsidRPr="000E09F1">
        <w:rPr>
          <w:rFonts w:ascii="Verdana" w:hAnsi="Verdana" w:hint="eastAsia"/>
        </w:rPr>
        <w:t>–</w:t>
      </w:r>
      <w:r w:rsidRPr="000E09F1">
        <w:rPr>
          <w:rFonts w:ascii="Verdana" w:hAnsi="Verdana"/>
        </w:rPr>
        <w:t>cuando el presupuesto oficial no exceda el 10% de la menor cuant</w:t>
      </w:r>
      <w:r w:rsidRPr="000E09F1">
        <w:rPr>
          <w:rFonts w:ascii="Verdana" w:hAnsi="Verdana" w:hint="eastAsia"/>
        </w:rPr>
        <w:t>í</w:t>
      </w:r>
      <w:r w:rsidRPr="000E09F1">
        <w:rPr>
          <w:rFonts w:ascii="Verdana" w:hAnsi="Verdana"/>
        </w:rPr>
        <w:t>a</w:t>
      </w:r>
      <w:r w:rsidRPr="000E09F1">
        <w:rPr>
          <w:rFonts w:ascii="Verdana" w:hAnsi="Verdana" w:hint="eastAsia"/>
        </w:rPr>
        <w:t>–</w:t>
      </w:r>
      <w:r w:rsidRPr="000E09F1">
        <w:rPr>
          <w:rFonts w:ascii="Verdana" w:hAnsi="Verdana"/>
        </w:rPr>
        <w:t xml:space="preserve"> o el de contrataci</w:t>
      </w:r>
      <w:r w:rsidRPr="000E09F1">
        <w:rPr>
          <w:rFonts w:ascii="Verdana" w:hAnsi="Verdana" w:hint="eastAsia"/>
        </w:rPr>
        <w:t>ó</w:t>
      </w:r>
      <w:r w:rsidRPr="000E09F1">
        <w:rPr>
          <w:rFonts w:ascii="Verdana" w:hAnsi="Verdana"/>
        </w:rPr>
        <w:t>n directa, pues el art</w:t>
      </w:r>
      <w:r w:rsidRPr="000E09F1">
        <w:rPr>
          <w:rFonts w:ascii="Verdana" w:hAnsi="Verdana" w:hint="eastAsia"/>
        </w:rPr>
        <w:t>í</w:t>
      </w:r>
      <w:r w:rsidRPr="000E09F1">
        <w:rPr>
          <w:rFonts w:ascii="Verdana" w:hAnsi="Verdana"/>
        </w:rPr>
        <w:t>culo 2</w:t>
      </w:r>
      <w:r w:rsidRPr="000E09F1">
        <w:rPr>
          <w:rFonts w:ascii="Verdana" w:hAnsi="Verdana" w:hint="eastAsia"/>
        </w:rPr>
        <w:t>º</w:t>
      </w:r>
      <w:r w:rsidRPr="000E09F1">
        <w:rPr>
          <w:rFonts w:ascii="Verdana" w:hAnsi="Verdana"/>
        </w:rPr>
        <w:t>, numeral 4</w:t>
      </w:r>
      <w:r w:rsidRPr="000E09F1">
        <w:rPr>
          <w:rFonts w:ascii="Verdana" w:hAnsi="Verdana" w:hint="eastAsia"/>
        </w:rPr>
        <w:t>º</w:t>
      </w:r>
      <w:r w:rsidRPr="000E09F1">
        <w:rPr>
          <w:rFonts w:ascii="Verdana" w:hAnsi="Verdana"/>
        </w:rPr>
        <w:t xml:space="preserve"> de la Ley 1150 establece algunas circunstancias que as</w:t>
      </w:r>
      <w:r w:rsidRPr="000E09F1">
        <w:rPr>
          <w:rFonts w:ascii="Verdana" w:hAnsi="Verdana" w:hint="eastAsia"/>
        </w:rPr>
        <w:t>í</w:t>
      </w:r>
      <w:r w:rsidRPr="000E09F1">
        <w:rPr>
          <w:rFonts w:ascii="Verdana" w:hAnsi="Verdana"/>
        </w:rPr>
        <w:t xml:space="preserve"> lo permiten, como la urgencia manifiesta </w:t>
      </w:r>
      <w:r w:rsidRPr="000E09F1">
        <w:rPr>
          <w:rFonts w:ascii="Verdana" w:hAnsi="Verdana" w:hint="eastAsia"/>
        </w:rPr>
        <w:t>–</w:t>
      </w:r>
      <w:r w:rsidRPr="000E09F1">
        <w:rPr>
          <w:rFonts w:ascii="Verdana" w:hAnsi="Verdana"/>
        </w:rPr>
        <w:t>literal a)</w:t>
      </w:r>
      <w:r w:rsidRPr="000E09F1">
        <w:rPr>
          <w:rFonts w:ascii="Verdana" w:hAnsi="Verdana" w:hint="eastAsia"/>
        </w:rPr>
        <w:t>–</w:t>
      </w:r>
      <w:r w:rsidRPr="000E09F1">
        <w:rPr>
          <w:rFonts w:ascii="Verdana" w:hAnsi="Verdana"/>
        </w:rPr>
        <w:t xml:space="preserve"> o los contratos interadministrativos </w:t>
      </w:r>
      <w:r w:rsidRPr="000E09F1">
        <w:rPr>
          <w:rFonts w:ascii="Verdana" w:hAnsi="Verdana" w:hint="eastAsia"/>
        </w:rPr>
        <w:t>–</w:t>
      </w:r>
      <w:r w:rsidRPr="000E09F1">
        <w:rPr>
          <w:rFonts w:ascii="Verdana" w:hAnsi="Verdana"/>
        </w:rPr>
        <w:t>literal c)</w:t>
      </w:r>
      <w:r w:rsidRPr="000E09F1">
        <w:rPr>
          <w:rFonts w:ascii="Verdana" w:hAnsi="Verdana" w:hint="eastAsia"/>
        </w:rPr>
        <w:t>–</w:t>
      </w:r>
      <w:r w:rsidRPr="000E09F1">
        <w:rPr>
          <w:rFonts w:ascii="Verdana" w:hAnsi="Verdana"/>
        </w:rPr>
        <w:t xml:space="preserve">. </w:t>
      </w:r>
    </w:p>
    <w:bookmarkEnd w:id="3"/>
    <w:p w14:paraId="069716E3" w14:textId="77777777" w:rsidR="003A5DC7" w:rsidRPr="000E09F1" w:rsidRDefault="003A5DC7" w:rsidP="000E09F1">
      <w:pPr>
        <w:pStyle w:val="Prrafodelista"/>
        <w:spacing w:after="120" w:line="276" w:lineRule="auto"/>
        <w:ind w:left="426"/>
        <w:jc w:val="both"/>
        <w:rPr>
          <w:rFonts w:ascii="Verdana" w:hAnsi="Verdana"/>
        </w:rPr>
      </w:pPr>
    </w:p>
    <w:p w14:paraId="0C47188D" w14:textId="04406409" w:rsidR="00A61B91" w:rsidRPr="000E09F1" w:rsidRDefault="007D6162" w:rsidP="000E09F1">
      <w:pPr>
        <w:numPr>
          <w:ilvl w:val="0"/>
          <w:numId w:val="19"/>
        </w:numPr>
        <w:spacing w:after="0" w:line="276" w:lineRule="auto"/>
        <w:ind w:left="426"/>
        <w:contextualSpacing/>
        <w:jc w:val="both"/>
        <w:rPr>
          <w:rFonts w:ascii="Verdana" w:hAnsi="Verdana" w:cs="Arial"/>
        </w:rPr>
      </w:pPr>
      <w:r w:rsidRPr="00045B35">
        <w:rPr>
          <w:rFonts w:ascii="Verdana" w:eastAsia="Calibri" w:hAnsi="Verdana" w:cs="Arial"/>
          <w:lang w:val="es-ES_tradnl"/>
        </w:rPr>
        <w:t>La mínima cuantía es una modalidad de selección en virtud de la cual la entidad estatal realiza una convocatoria pública para recibir ofertas de bienes, obras o servicios cuyo valor no excede el diez por ciento (10%) de la menor cuantía. Fue creada por el artículo 94 de la Ley 1474 de 2011– que adicionó el numeral 5º al artículo 2 de la Ley 1150 de 2007–</w:t>
      </w:r>
      <w:r w:rsidRPr="000E09F1">
        <w:rPr>
          <w:rFonts w:ascii="Verdana" w:hAnsi="Verdana"/>
          <w:vertAlign w:val="superscript"/>
          <w:lang w:val="es-ES_tradnl"/>
        </w:rPr>
        <w:footnoteReference w:id="7"/>
      </w:r>
      <w:r w:rsidRPr="00045B35">
        <w:rPr>
          <w:rFonts w:ascii="Verdana" w:eastAsia="Calibri" w:hAnsi="Verdana" w:cs="Arial"/>
          <w:lang w:val="es-ES_tradnl"/>
        </w:rPr>
        <w:t>,</w:t>
      </w:r>
      <w:r w:rsidR="00CA09FC" w:rsidRPr="00045B35">
        <w:rPr>
          <w:rFonts w:ascii="Verdana" w:eastAsia="Calibri" w:hAnsi="Verdana" w:cs="Arial"/>
          <w:lang w:val="es-ES_tradnl"/>
        </w:rPr>
        <w:t xml:space="preserve"> modificado por el artículo 30 de la Ley 2069 de 2020,</w:t>
      </w:r>
      <w:r w:rsidRPr="00045B35">
        <w:rPr>
          <w:rFonts w:ascii="Verdana" w:eastAsia="Calibri" w:hAnsi="Verdana" w:cs="Arial"/>
          <w:lang w:val="es-ES_tradnl"/>
        </w:rPr>
        <w:t xml:space="preserve"> estableciendo que el factor determinante para llevar a cabo tal procedimiento es la cuantía –calculada como presupuesto oficial a partir del estudio del sector–, </w:t>
      </w:r>
      <w:r w:rsidRPr="00045B35">
        <w:rPr>
          <w:rFonts w:ascii="Verdana" w:eastAsia="Calibri" w:hAnsi="Verdana" w:cs="Arial"/>
        </w:rPr>
        <w:t>“</w:t>
      </w:r>
      <w:r w:rsidRPr="00045B35">
        <w:rPr>
          <w:rFonts w:ascii="Verdana" w:eastAsia="Calibri" w:hAnsi="Verdana" w:cs="Arial"/>
          <w:lang w:val="es-ES_tradnl"/>
        </w:rPr>
        <w:t>independientemente de su objeto</w:t>
      </w:r>
      <w:r w:rsidRPr="00045B35">
        <w:rPr>
          <w:rFonts w:ascii="Verdana" w:eastAsia="Calibri" w:hAnsi="Verdana" w:cs="Arial"/>
        </w:rPr>
        <w:t>”</w:t>
      </w:r>
      <w:r w:rsidRPr="000E09F1">
        <w:rPr>
          <w:rFonts w:ascii="Verdana" w:hAnsi="Verdana"/>
          <w:vertAlign w:val="superscript"/>
          <w:lang w:val="es-ES_tradnl"/>
        </w:rPr>
        <w:footnoteReference w:id="8"/>
      </w:r>
      <w:r w:rsidRPr="00045B35">
        <w:rPr>
          <w:rFonts w:ascii="Verdana" w:eastAsia="Calibri" w:hAnsi="Verdana" w:cs="Arial"/>
          <w:lang w:val="es-ES_tradnl"/>
        </w:rPr>
        <w:t xml:space="preserve">. </w:t>
      </w:r>
      <w:r w:rsidR="00CA09FC" w:rsidRPr="00045B35">
        <w:rPr>
          <w:rFonts w:ascii="Verdana" w:eastAsia="Calibri" w:hAnsi="Verdana" w:cs="Arial"/>
          <w:lang w:val="es-ES_tradnl"/>
        </w:rPr>
        <w:t xml:space="preserve">Con relación </w:t>
      </w:r>
      <w:r w:rsidR="00461753" w:rsidRPr="00045B35">
        <w:rPr>
          <w:rFonts w:ascii="Verdana" w:eastAsia="Calibri" w:hAnsi="Verdana" w:cs="Arial"/>
          <w:lang w:val="es-ES_tradnl"/>
        </w:rPr>
        <w:t xml:space="preserve">a esta modalidad, </w:t>
      </w:r>
      <w:r w:rsidR="00A61B91" w:rsidRPr="000E09F1">
        <w:rPr>
          <w:rFonts w:ascii="Verdana" w:hAnsi="Verdana" w:cs="Arial"/>
        </w:rPr>
        <w:t xml:space="preserve">la Agencia Nacional de Contratación Pública –Colombia Compra Eficiente, en el </w:t>
      </w:r>
      <w:r w:rsidR="00461753" w:rsidRPr="000E09F1">
        <w:rPr>
          <w:rFonts w:ascii="Verdana" w:hAnsi="Verdana" w:cs="Arial"/>
          <w:i/>
          <w:iCs/>
        </w:rPr>
        <w:t>“</w:t>
      </w:r>
      <w:r w:rsidR="00A61B91" w:rsidRPr="000E09F1">
        <w:rPr>
          <w:rFonts w:ascii="Verdana" w:hAnsi="Verdana" w:cs="Arial"/>
          <w:i/>
          <w:iCs/>
        </w:rPr>
        <w:t>Manual de la Modalidad de Selección de Mínima Cuantía</w:t>
      </w:r>
      <w:r w:rsidR="00461753" w:rsidRPr="000E09F1">
        <w:rPr>
          <w:rFonts w:ascii="Verdana" w:hAnsi="Verdana" w:cs="Arial"/>
          <w:i/>
          <w:iCs/>
        </w:rPr>
        <w:t>”</w:t>
      </w:r>
      <w:r w:rsidR="00461753" w:rsidRPr="00045B35">
        <w:rPr>
          <w:rFonts w:ascii="Verdana" w:hAnsi="Verdana" w:cs="Arial"/>
        </w:rPr>
        <w:t xml:space="preserve"> ha</w:t>
      </w:r>
      <w:r w:rsidR="00A61B91" w:rsidRPr="000E09F1">
        <w:rPr>
          <w:rFonts w:ascii="Verdana" w:hAnsi="Verdana" w:cs="Arial"/>
        </w:rPr>
        <w:t xml:space="preserve"> </w:t>
      </w:r>
      <w:r w:rsidR="00461753" w:rsidRPr="00045B35">
        <w:rPr>
          <w:rFonts w:ascii="Verdana" w:hAnsi="Verdana" w:cs="Arial"/>
        </w:rPr>
        <w:t>indicado</w:t>
      </w:r>
      <w:r w:rsidR="00A61B91" w:rsidRPr="000E09F1">
        <w:rPr>
          <w:rFonts w:ascii="Verdana" w:hAnsi="Verdana" w:cs="Arial"/>
        </w:rPr>
        <w:t>:</w:t>
      </w:r>
    </w:p>
    <w:p w14:paraId="09D2B8E1" w14:textId="77777777" w:rsidR="000657F8" w:rsidRPr="000E09F1" w:rsidRDefault="000657F8" w:rsidP="0063305A">
      <w:pPr>
        <w:pStyle w:val="Prrafodelista"/>
        <w:spacing w:after="240" w:line="240" w:lineRule="auto"/>
        <w:ind w:right="709"/>
        <w:jc w:val="both"/>
        <w:rPr>
          <w:rFonts w:ascii="Verdana" w:hAnsi="Verdana" w:cs="Arial"/>
          <w:lang w:val="es-CO"/>
        </w:rPr>
      </w:pPr>
    </w:p>
    <w:p w14:paraId="303F318F" w14:textId="074554CC" w:rsidR="0063305A" w:rsidRPr="000E09F1" w:rsidRDefault="00A61B91" w:rsidP="000E09F1">
      <w:pPr>
        <w:pStyle w:val="Prrafodelista"/>
        <w:spacing w:after="240" w:line="240" w:lineRule="auto"/>
        <w:ind w:right="709"/>
        <w:jc w:val="both"/>
        <w:rPr>
          <w:rFonts w:ascii="Verdana" w:hAnsi="Verdana" w:cs="Arial"/>
          <w:sz w:val="20"/>
          <w:szCs w:val="20"/>
        </w:rPr>
      </w:pPr>
      <w:r w:rsidRPr="000E09F1">
        <w:rPr>
          <w:rFonts w:ascii="Verdana" w:hAnsi="Verdana" w:cs="Arial"/>
          <w:sz w:val="20"/>
          <w:szCs w:val="20"/>
        </w:rPr>
        <w:t>“</w:t>
      </w:r>
      <w:r w:rsidR="0063305A" w:rsidRPr="000E09F1">
        <w:rPr>
          <w:rFonts w:ascii="Verdana" w:hAnsi="Verdana"/>
          <w:sz w:val="20"/>
          <w:szCs w:val="20"/>
        </w:rPr>
        <w:t xml:space="preserve">Las modalidades de selección de concurso de méritos y de mínima cuantía concurren cuando: (a) el presupuesto del Proceso de Contratación es menor o igual que la mínima cuantía de la Entidad Estatal; y (b) el objeto </w:t>
      </w:r>
      <w:r w:rsidR="0063305A" w:rsidRPr="000E09F1">
        <w:rPr>
          <w:rFonts w:ascii="Verdana" w:hAnsi="Verdana"/>
          <w:sz w:val="20"/>
          <w:szCs w:val="20"/>
        </w:rPr>
        <w:lastRenderedPageBreak/>
        <w:t xml:space="preserve">del Proceso de Contratación es la selección de consultores o proyectos, de conformidad con el numeral 3 del artículo 2 de la Ley 1150 de 2007. </w:t>
      </w:r>
    </w:p>
    <w:p w14:paraId="7F04BE0F" w14:textId="77777777" w:rsidR="0063305A" w:rsidRPr="000E09F1" w:rsidRDefault="0063305A" w:rsidP="000E09F1">
      <w:pPr>
        <w:pStyle w:val="Prrafodelista"/>
        <w:spacing w:after="240" w:line="240" w:lineRule="auto"/>
        <w:ind w:right="709"/>
        <w:jc w:val="both"/>
        <w:rPr>
          <w:rFonts w:ascii="Verdana" w:hAnsi="Verdana" w:cs="Arial"/>
          <w:sz w:val="20"/>
          <w:szCs w:val="20"/>
        </w:rPr>
      </w:pPr>
    </w:p>
    <w:p w14:paraId="03DB278F" w14:textId="11E0FADD" w:rsidR="00A61B91" w:rsidRPr="000E09F1" w:rsidRDefault="0063305A" w:rsidP="000E09F1">
      <w:pPr>
        <w:pStyle w:val="Prrafodelista"/>
        <w:spacing w:after="240" w:line="240" w:lineRule="auto"/>
        <w:ind w:right="709"/>
        <w:jc w:val="both"/>
        <w:rPr>
          <w:rFonts w:ascii="Verdana" w:hAnsi="Verdana" w:cs="Arial"/>
          <w:sz w:val="20"/>
          <w:szCs w:val="20"/>
        </w:rPr>
      </w:pPr>
      <w:r w:rsidRPr="000E09F1">
        <w:rPr>
          <w:rFonts w:ascii="Verdana" w:hAnsi="Verdana"/>
          <w:sz w:val="20"/>
          <w:szCs w:val="20"/>
        </w:rPr>
        <w:t>Dado que la selección de mínima cuantía es especial para cualquier objeto contractual, de conformidad con el inciso primero del artículo 30 de la Ley 2069 de 2020, en caso de concurrencia entre el concurso de méritos y la mínima cuantía, la modalidad de selección aplicable será la de mínima cuantía.</w:t>
      </w:r>
      <w:r w:rsidRPr="000E09F1">
        <w:rPr>
          <w:rFonts w:ascii="Verdana" w:hAnsi="Verdana" w:cs="Arial"/>
          <w:sz w:val="20"/>
          <w:szCs w:val="20"/>
        </w:rPr>
        <w:t>”</w:t>
      </w:r>
      <w:r w:rsidR="00A61B91" w:rsidRPr="000E09F1">
        <w:rPr>
          <w:rStyle w:val="Refdenotaalpie"/>
          <w:rFonts w:ascii="Verdana" w:hAnsi="Verdana" w:cs="Arial"/>
          <w:sz w:val="20"/>
          <w:szCs w:val="20"/>
        </w:rPr>
        <w:footnoteReference w:id="9"/>
      </w:r>
      <w:r w:rsidR="00A61B91" w:rsidRPr="000E09F1">
        <w:rPr>
          <w:rFonts w:ascii="Verdana" w:hAnsi="Verdana" w:cs="Arial"/>
          <w:sz w:val="20"/>
          <w:szCs w:val="20"/>
        </w:rPr>
        <w:t>.</w:t>
      </w:r>
    </w:p>
    <w:p w14:paraId="053F94BD" w14:textId="77777777" w:rsidR="0063305A" w:rsidRPr="000E09F1" w:rsidRDefault="0063305A" w:rsidP="000E09F1">
      <w:pPr>
        <w:pStyle w:val="Prrafodelista"/>
        <w:spacing w:after="240" w:line="240" w:lineRule="auto"/>
        <w:ind w:right="709"/>
        <w:jc w:val="both"/>
        <w:rPr>
          <w:rFonts w:ascii="Verdana" w:hAnsi="Verdana" w:cs="Arial"/>
        </w:rPr>
      </w:pPr>
    </w:p>
    <w:p w14:paraId="09894037" w14:textId="77777777" w:rsidR="00A61B91" w:rsidRPr="000E09F1" w:rsidRDefault="00A61B91" w:rsidP="000E09F1">
      <w:pPr>
        <w:pStyle w:val="Prrafodelista"/>
        <w:numPr>
          <w:ilvl w:val="0"/>
          <w:numId w:val="19"/>
        </w:numPr>
        <w:spacing w:after="120" w:line="276" w:lineRule="auto"/>
        <w:jc w:val="both"/>
        <w:rPr>
          <w:rFonts w:ascii="Verdana" w:hAnsi="Verdana" w:cs="Arial"/>
        </w:rPr>
      </w:pPr>
      <w:r w:rsidRPr="000E09F1">
        <w:rPr>
          <w:rFonts w:ascii="Verdana" w:hAnsi="Verdana" w:cs="Arial"/>
        </w:rPr>
        <w:t xml:space="preserve">De esta manera, la Agencia Nacional de Contratación Pública –Colombia Compra Eficiente– establece que hay una regla de especialidad de la modalidad de selección de mínima cuantía con respecto al concurso de méritos para la escogencia de consultores, pero con la </w:t>
      </w:r>
      <w:r w:rsidRPr="000E09F1">
        <w:rPr>
          <w:rFonts w:ascii="Verdana" w:eastAsia="Arial MT" w:hAnsi="Verdana" w:cs="Arial"/>
        </w:rPr>
        <w:t>condición de que el presupuesto de contratación sea menor o igual al dispuesto por la entidad</w:t>
      </w:r>
      <w:r w:rsidRPr="000E09F1">
        <w:rPr>
          <w:rFonts w:ascii="Verdana" w:eastAsia="Arial MT" w:hAnsi="Verdana" w:cs="Arial"/>
          <w:spacing w:val="1"/>
        </w:rPr>
        <w:t xml:space="preserve"> </w:t>
      </w:r>
      <w:r w:rsidRPr="000E09F1">
        <w:rPr>
          <w:rFonts w:ascii="Verdana" w:eastAsia="Arial MT" w:hAnsi="Verdana" w:cs="Arial"/>
        </w:rPr>
        <w:t>para</w:t>
      </w:r>
      <w:r w:rsidRPr="000E09F1">
        <w:rPr>
          <w:rFonts w:ascii="Verdana" w:eastAsia="Arial MT" w:hAnsi="Verdana" w:cs="Arial"/>
          <w:spacing w:val="-2"/>
        </w:rPr>
        <w:t xml:space="preserve"> </w:t>
      </w:r>
      <w:r w:rsidRPr="000E09F1">
        <w:rPr>
          <w:rFonts w:ascii="Verdana" w:eastAsia="Arial MT" w:hAnsi="Verdana" w:cs="Arial"/>
        </w:rPr>
        <w:t>el</w:t>
      </w:r>
      <w:r w:rsidRPr="000E09F1">
        <w:rPr>
          <w:rFonts w:ascii="Verdana" w:eastAsia="Arial MT" w:hAnsi="Verdana" w:cs="Arial"/>
          <w:spacing w:val="-1"/>
        </w:rPr>
        <w:t xml:space="preserve"> </w:t>
      </w:r>
      <w:r w:rsidRPr="000E09F1">
        <w:rPr>
          <w:rFonts w:ascii="Verdana" w:eastAsia="Arial MT" w:hAnsi="Verdana" w:cs="Arial"/>
        </w:rPr>
        <w:t>proceso</w:t>
      </w:r>
      <w:r w:rsidRPr="000E09F1">
        <w:rPr>
          <w:rFonts w:ascii="Verdana" w:eastAsia="Arial MT" w:hAnsi="Verdana" w:cs="Arial"/>
          <w:spacing w:val="-1"/>
        </w:rPr>
        <w:t xml:space="preserve"> </w:t>
      </w:r>
      <w:r w:rsidRPr="000E09F1">
        <w:rPr>
          <w:rFonts w:ascii="Verdana" w:eastAsia="Arial MT" w:hAnsi="Verdana" w:cs="Arial"/>
        </w:rPr>
        <w:t>de</w:t>
      </w:r>
      <w:r w:rsidRPr="000E09F1">
        <w:rPr>
          <w:rFonts w:ascii="Verdana" w:eastAsia="Arial MT" w:hAnsi="Verdana" w:cs="Arial"/>
          <w:spacing w:val="-1"/>
        </w:rPr>
        <w:t xml:space="preserve"> </w:t>
      </w:r>
      <w:r w:rsidRPr="000E09F1">
        <w:rPr>
          <w:rFonts w:ascii="Verdana" w:eastAsia="Arial MT" w:hAnsi="Verdana" w:cs="Arial"/>
        </w:rPr>
        <w:t>selección</w:t>
      </w:r>
      <w:r w:rsidRPr="000E09F1">
        <w:rPr>
          <w:rFonts w:ascii="Verdana" w:eastAsia="Arial MT" w:hAnsi="Verdana" w:cs="Arial"/>
          <w:spacing w:val="-1"/>
        </w:rPr>
        <w:t xml:space="preserve"> </w:t>
      </w:r>
      <w:r w:rsidRPr="000E09F1">
        <w:rPr>
          <w:rFonts w:ascii="Verdana" w:eastAsia="Arial MT" w:hAnsi="Verdana" w:cs="Arial"/>
        </w:rPr>
        <w:t>de</w:t>
      </w:r>
      <w:r w:rsidRPr="000E09F1">
        <w:rPr>
          <w:rFonts w:ascii="Verdana" w:eastAsia="Arial MT" w:hAnsi="Verdana" w:cs="Arial"/>
          <w:spacing w:val="-1"/>
        </w:rPr>
        <w:t xml:space="preserve"> </w:t>
      </w:r>
      <w:r w:rsidRPr="000E09F1">
        <w:rPr>
          <w:rFonts w:ascii="Verdana" w:eastAsia="Arial MT" w:hAnsi="Verdana" w:cs="Arial"/>
        </w:rPr>
        <w:t>mínima</w:t>
      </w:r>
      <w:r w:rsidRPr="000E09F1">
        <w:rPr>
          <w:rFonts w:ascii="Verdana" w:eastAsia="Arial MT" w:hAnsi="Verdana" w:cs="Arial"/>
          <w:spacing w:val="-1"/>
        </w:rPr>
        <w:t xml:space="preserve"> </w:t>
      </w:r>
      <w:r w:rsidRPr="000E09F1">
        <w:rPr>
          <w:rFonts w:ascii="Verdana" w:eastAsia="Arial MT" w:hAnsi="Verdana" w:cs="Arial"/>
        </w:rPr>
        <w:t>cuantía.</w:t>
      </w:r>
    </w:p>
    <w:p w14:paraId="71713859" w14:textId="0D36C902" w:rsidR="00A61B91" w:rsidRPr="000E09F1" w:rsidRDefault="00A61B91" w:rsidP="008E3BE1">
      <w:pPr>
        <w:pStyle w:val="Sinespaciado"/>
        <w:numPr>
          <w:ilvl w:val="0"/>
          <w:numId w:val="19"/>
        </w:numPr>
        <w:spacing w:after="120" w:line="276" w:lineRule="auto"/>
        <w:jc w:val="both"/>
        <w:rPr>
          <w:rFonts w:ascii="Verdana" w:eastAsia="Arial MT" w:hAnsi="Verdana" w:cs="Arial"/>
          <w:sz w:val="22"/>
        </w:rPr>
      </w:pPr>
      <w:bookmarkStart w:id="4" w:name="_Hlk171508375"/>
      <w:bookmarkStart w:id="5" w:name="_Hlk171508159"/>
      <w:r w:rsidRPr="000E09F1">
        <w:rPr>
          <w:rFonts w:ascii="Verdana" w:eastAsia="Arial MT" w:hAnsi="Verdana" w:cs="Arial"/>
          <w:sz w:val="22"/>
        </w:rPr>
        <w:t>Otra</w:t>
      </w:r>
      <w:r w:rsidRPr="000E09F1">
        <w:rPr>
          <w:rFonts w:ascii="Verdana" w:eastAsia="Arial MT" w:hAnsi="Verdana" w:cs="Arial"/>
          <w:spacing w:val="-7"/>
          <w:sz w:val="22"/>
        </w:rPr>
        <w:t xml:space="preserve"> </w:t>
      </w:r>
      <w:r w:rsidRPr="000E09F1">
        <w:rPr>
          <w:rFonts w:ascii="Verdana" w:eastAsia="Arial MT" w:hAnsi="Verdana" w:cs="Arial"/>
          <w:sz w:val="22"/>
        </w:rPr>
        <w:t>forma</w:t>
      </w:r>
      <w:r w:rsidRPr="000E09F1">
        <w:rPr>
          <w:rFonts w:ascii="Verdana" w:eastAsia="Arial MT" w:hAnsi="Verdana" w:cs="Arial"/>
          <w:spacing w:val="-6"/>
          <w:sz w:val="22"/>
        </w:rPr>
        <w:t xml:space="preserve"> </w:t>
      </w:r>
      <w:r w:rsidRPr="000E09F1">
        <w:rPr>
          <w:rFonts w:ascii="Verdana" w:eastAsia="Arial MT" w:hAnsi="Verdana" w:cs="Arial"/>
          <w:sz w:val="22"/>
        </w:rPr>
        <w:t>de</w:t>
      </w:r>
      <w:r w:rsidRPr="000E09F1">
        <w:rPr>
          <w:rFonts w:ascii="Verdana" w:eastAsia="Arial MT" w:hAnsi="Verdana" w:cs="Arial"/>
          <w:spacing w:val="-7"/>
          <w:sz w:val="22"/>
        </w:rPr>
        <w:t xml:space="preserve"> </w:t>
      </w:r>
      <w:r w:rsidRPr="000E09F1">
        <w:rPr>
          <w:rFonts w:ascii="Verdana" w:eastAsia="Arial MT" w:hAnsi="Verdana" w:cs="Arial"/>
          <w:sz w:val="22"/>
        </w:rPr>
        <w:t>celebrar</w:t>
      </w:r>
      <w:r w:rsidRPr="000E09F1">
        <w:rPr>
          <w:rFonts w:ascii="Verdana" w:eastAsia="Arial MT" w:hAnsi="Verdana" w:cs="Arial"/>
          <w:spacing w:val="-7"/>
          <w:sz w:val="22"/>
        </w:rPr>
        <w:t xml:space="preserve"> </w:t>
      </w:r>
      <w:r w:rsidRPr="000E09F1">
        <w:rPr>
          <w:rFonts w:ascii="Verdana" w:eastAsia="Arial MT" w:hAnsi="Verdana" w:cs="Arial"/>
          <w:sz w:val="22"/>
        </w:rPr>
        <w:t>un</w:t>
      </w:r>
      <w:r w:rsidRPr="000E09F1">
        <w:rPr>
          <w:rFonts w:ascii="Verdana" w:eastAsia="Arial MT" w:hAnsi="Verdana" w:cs="Arial"/>
          <w:spacing w:val="-7"/>
          <w:sz w:val="22"/>
        </w:rPr>
        <w:t xml:space="preserve"> </w:t>
      </w:r>
      <w:r w:rsidRPr="000E09F1">
        <w:rPr>
          <w:rFonts w:ascii="Verdana" w:eastAsia="Arial MT" w:hAnsi="Verdana" w:cs="Arial"/>
          <w:sz w:val="22"/>
        </w:rPr>
        <w:t>contrato</w:t>
      </w:r>
      <w:r w:rsidRPr="000E09F1">
        <w:rPr>
          <w:rFonts w:ascii="Verdana" w:eastAsia="Arial MT" w:hAnsi="Verdana" w:cs="Arial"/>
          <w:spacing w:val="-8"/>
          <w:sz w:val="22"/>
        </w:rPr>
        <w:t xml:space="preserve"> </w:t>
      </w:r>
      <w:r w:rsidRPr="000E09F1">
        <w:rPr>
          <w:rFonts w:ascii="Verdana" w:eastAsia="Arial MT" w:hAnsi="Verdana" w:cs="Arial"/>
          <w:sz w:val="22"/>
        </w:rPr>
        <w:t>de</w:t>
      </w:r>
      <w:r w:rsidRPr="000E09F1">
        <w:rPr>
          <w:rFonts w:ascii="Verdana" w:eastAsia="Arial MT" w:hAnsi="Verdana" w:cs="Arial"/>
          <w:spacing w:val="-7"/>
          <w:sz w:val="22"/>
        </w:rPr>
        <w:t xml:space="preserve"> </w:t>
      </w:r>
      <w:r w:rsidRPr="000E09F1">
        <w:rPr>
          <w:rFonts w:ascii="Verdana" w:eastAsia="Arial MT" w:hAnsi="Verdana" w:cs="Arial"/>
          <w:sz w:val="22"/>
        </w:rPr>
        <w:t>consultoría</w:t>
      </w:r>
      <w:r w:rsidRPr="000E09F1">
        <w:rPr>
          <w:rFonts w:ascii="Verdana" w:eastAsia="Arial MT" w:hAnsi="Verdana" w:cs="Arial"/>
          <w:spacing w:val="-7"/>
          <w:sz w:val="22"/>
        </w:rPr>
        <w:t xml:space="preserve"> </w:t>
      </w:r>
      <w:r w:rsidRPr="000E09F1">
        <w:rPr>
          <w:rFonts w:ascii="Verdana" w:eastAsia="Arial MT" w:hAnsi="Verdana" w:cs="Arial"/>
          <w:sz w:val="22"/>
        </w:rPr>
        <w:t>es</w:t>
      </w:r>
      <w:r w:rsidRPr="000E09F1">
        <w:rPr>
          <w:rFonts w:ascii="Verdana" w:eastAsia="Arial MT" w:hAnsi="Verdana" w:cs="Arial"/>
          <w:spacing w:val="-7"/>
          <w:sz w:val="22"/>
        </w:rPr>
        <w:t xml:space="preserve"> </w:t>
      </w:r>
      <w:r w:rsidRPr="000E09F1">
        <w:rPr>
          <w:rFonts w:ascii="Verdana" w:eastAsia="Arial MT" w:hAnsi="Verdana" w:cs="Arial"/>
          <w:sz w:val="22"/>
        </w:rPr>
        <w:t>de</w:t>
      </w:r>
      <w:r w:rsidRPr="000E09F1">
        <w:rPr>
          <w:rFonts w:ascii="Verdana" w:eastAsia="Arial MT" w:hAnsi="Verdana" w:cs="Arial"/>
          <w:spacing w:val="-7"/>
          <w:sz w:val="22"/>
        </w:rPr>
        <w:t xml:space="preserve"> </w:t>
      </w:r>
      <w:r w:rsidRPr="000E09F1">
        <w:rPr>
          <w:rFonts w:ascii="Verdana" w:eastAsia="Arial MT" w:hAnsi="Verdana" w:cs="Arial"/>
          <w:sz w:val="22"/>
        </w:rPr>
        <w:t>manera</w:t>
      </w:r>
      <w:r w:rsidRPr="000E09F1">
        <w:rPr>
          <w:rFonts w:ascii="Verdana" w:eastAsia="Arial MT" w:hAnsi="Verdana" w:cs="Arial"/>
          <w:spacing w:val="-8"/>
          <w:sz w:val="22"/>
        </w:rPr>
        <w:t xml:space="preserve"> </w:t>
      </w:r>
      <w:r w:rsidRPr="000E09F1">
        <w:rPr>
          <w:rFonts w:ascii="Verdana" w:eastAsia="Arial MT" w:hAnsi="Verdana" w:cs="Arial"/>
          <w:sz w:val="22"/>
        </w:rPr>
        <w:t>directa,</w:t>
      </w:r>
      <w:r w:rsidRPr="000E09F1">
        <w:rPr>
          <w:rFonts w:ascii="Verdana" w:eastAsia="Arial MT" w:hAnsi="Verdana" w:cs="Arial"/>
          <w:spacing w:val="-7"/>
          <w:sz w:val="22"/>
        </w:rPr>
        <w:t xml:space="preserve"> </w:t>
      </w:r>
      <w:r w:rsidRPr="000E09F1">
        <w:rPr>
          <w:rFonts w:ascii="Verdana" w:eastAsia="Arial MT" w:hAnsi="Verdana" w:cs="Arial"/>
          <w:sz w:val="22"/>
        </w:rPr>
        <w:t>si</w:t>
      </w:r>
      <w:r w:rsidRPr="000E09F1">
        <w:rPr>
          <w:rFonts w:ascii="Verdana" w:eastAsia="Arial MT" w:hAnsi="Verdana" w:cs="Arial"/>
          <w:spacing w:val="-7"/>
          <w:sz w:val="22"/>
        </w:rPr>
        <w:t xml:space="preserve"> </w:t>
      </w:r>
      <w:r w:rsidRPr="000E09F1">
        <w:rPr>
          <w:rFonts w:ascii="Verdana" w:eastAsia="Arial MT" w:hAnsi="Verdana" w:cs="Arial"/>
          <w:sz w:val="22"/>
        </w:rPr>
        <w:t>previamente se ha declarado la urgencia manifiesta, que está regulada en el artículo 2º, numeral 4º, literal a)</w:t>
      </w:r>
      <w:r w:rsidRPr="000E09F1">
        <w:rPr>
          <w:rFonts w:ascii="Verdana" w:eastAsia="Arial MT" w:hAnsi="Verdana" w:cs="Arial"/>
          <w:spacing w:val="1"/>
          <w:sz w:val="22"/>
        </w:rPr>
        <w:t xml:space="preserve"> </w:t>
      </w:r>
      <w:r w:rsidRPr="000E09F1">
        <w:rPr>
          <w:rFonts w:ascii="Verdana" w:eastAsia="Arial MT" w:hAnsi="Verdana" w:cs="Arial"/>
          <w:sz w:val="22"/>
        </w:rPr>
        <w:t>de</w:t>
      </w:r>
      <w:r w:rsidRPr="000E09F1">
        <w:rPr>
          <w:rFonts w:ascii="Verdana" w:eastAsia="Arial MT" w:hAnsi="Verdana" w:cs="Arial"/>
          <w:spacing w:val="-5"/>
          <w:sz w:val="22"/>
        </w:rPr>
        <w:t xml:space="preserve"> </w:t>
      </w:r>
      <w:r w:rsidRPr="000E09F1">
        <w:rPr>
          <w:rFonts w:ascii="Verdana" w:eastAsia="Arial MT" w:hAnsi="Verdana" w:cs="Arial"/>
          <w:sz w:val="22"/>
        </w:rPr>
        <w:t>la</w:t>
      </w:r>
      <w:r w:rsidRPr="000E09F1">
        <w:rPr>
          <w:rFonts w:ascii="Verdana" w:eastAsia="Arial MT" w:hAnsi="Verdana" w:cs="Arial"/>
          <w:spacing w:val="-4"/>
          <w:sz w:val="22"/>
        </w:rPr>
        <w:t xml:space="preserve"> </w:t>
      </w:r>
      <w:r w:rsidRPr="000E09F1">
        <w:rPr>
          <w:rFonts w:ascii="Verdana" w:eastAsia="Arial MT" w:hAnsi="Verdana" w:cs="Arial"/>
          <w:sz w:val="22"/>
        </w:rPr>
        <w:t>Ley</w:t>
      </w:r>
      <w:r w:rsidRPr="000E09F1">
        <w:rPr>
          <w:rFonts w:ascii="Verdana" w:eastAsia="Arial MT" w:hAnsi="Verdana" w:cs="Arial"/>
          <w:spacing w:val="-4"/>
          <w:sz w:val="22"/>
        </w:rPr>
        <w:t xml:space="preserve"> </w:t>
      </w:r>
      <w:r w:rsidRPr="000E09F1">
        <w:rPr>
          <w:rFonts w:ascii="Verdana" w:eastAsia="Arial MT" w:hAnsi="Verdana" w:cs="Arial"/>
          <w:sz w:val="22"/>
        </w:rPr>
        <w:t>1150</w:t>
      </w:r>
      <w:r w:rsidRPr="000E09F1">
        <w:rPr>
          <w:rFonts w:ascii="Verdana" w:eastAsia="Arial MT" w:hAnsi="Verdana" w:cs="Arial"/>
          <w:spacing w:val="-4"/>
          <w:sz w:val="22"/>
        </w:rPr>
        <w:t xml:space="preserve"> </w:t>
      </w:r>
      <w:r w:rsidRPr="000E09F1">
        <w:rPr>
          <w:rFonts w:ascii="Verdana" w:eastAsia="Arial MT" w:hAnsi="Verdana" w:cs="Arial"/>
          <w:sz w:val="22"/>
        </w:rPr>
        <w:t>y</w:t>
      </w:r>
      <w:r w:rsidRPr="000E09F1">
        <w:rPr>
          <w:rFonts w:ascii="Verdana" w:eastAsia="Arial MT" w:hAnsi="Verdana" w:cs="Arial"/>
          <w:spacing w:val="-5"/>
          <w:sz w:val="22"/>
        </w:rPr>
        <w:t xml:space="preserve"> </w:t>
      </w:r>
      <w:r w:rsidRPr="000E09F1">
        <w:rPr>
          <w:rFonts w:ascii="Verdana" w:eastAsia="Arial MT" w:hAnsi="Verdana" w:cs="Arial"/>
          <w:sz w:val="22"/>
        </w:rPr>
        <w:t>si</w:t>
      </w:r>
      <w:r w:rsidRPr="000E09F1">
        <w:rPr>
          <w:rFonts w:ascii="Verdana" w:eastAsia="Arial MT" w:hAnsi="Verdana" w:cs="Arial"/>
          <w:spacing w:val="-4"/>
          <w:sz w:val="22"/>
        </w:rPr>
        <w:t xml:space="preserve"> </w:t>
      </w:r>
      <w:r w:rsidRPr="000E09F1">
        <w:rPr>
          <w:rFonts w:ascii="Verdana" w:eastAsia="Arial MT" w:hAnsi="Verdana" w:cs="Arial"/>
          <w:sz w:val="22"/>
        </w:rPr>
        <w:t>la</w:t>
      </w:r>
      <w:r w:rsidRPr="000E09F1">
        <w:rPr>
          <w:rFonts w:ascii="Verdana" w:eastAsia="Arial MT" w:hAnsi="Verdana" w:cs="Arial"/>
          <w:spacing w:val="-4"/>
          <w:sz w:val="22"/>
        </w:rPr>
        <w:t xml:space="preserve"> </w:t>
      </w:r>
      <w:r w:rsidRPr="000E09F1">
        <w:rPr>
          <w:rFonts w:ascii="Verdana" w:eastAsia="Arial MT" w:hAnsi="Verdana" w:cs="Arial"/>
          <w:sz w:val="22"/>
        </w:rPr>
        <w:t>actividad</w:t>
      </w:r>
      <w:r w:rsidRPr="000E09F1">
        <w:rPr>
          <w:rFonts w:ascii="Verdana" w:eastAsia="Arial MT" w:hAnsi="Verdana" w:cs="Arial"/>
          <w:spacing w:val="-4"/>
          <w:sz w:val="22"/>
        </w:rPr>
        <w:t xml:space="preserve"> </w:t>
      </w:r>
      <w:r w:rsidRPr="000E09F1">
        <w:rPr>
          <w:rFonts w:ascii="Verdana" w:eastAsia="Arial MT" w:hAnsi="Verdana" w:cs="Arial"/>
          <w:sz w:val="22"/>
        </w:rPr>
        <w:t>de</w:t>
      </w:r>
      <w:r w:rsidRPr="000E09F1">
        <w:rPr>
          <w:rFonts w:ascii="Verdana" w:eastAsia="Arial MT" w:hAnsi="Verdana" w:cs="Arial"/>
          <w:spacing w:val="-5"/>
          <w:sz w:val="22"/>
        </w:rPr>
        <w:t xml:space="preserve"> </w:t>
      </w:r>
      <w:r w:rsidRPr="000E09F1">
        <w:rPr>
          <w:rFonts w:ascii="Verdana" w:eastAsia="Arial MT" w:hAnsi="Verdana" w:cs="Arial"/>
          <w:sz w:val="22"/>
        </w:rPr>
        <w:t>consultoría</w:t>
      </w:r>
      <w:r w:rsidRPr="000E09F1">
        <w:rPr>
          <w:rFonts w:ascii="Verdana" w:eastAsia="Arial MT" w:hAnsi="Verdana" w:cs="Arial"/>
          <w:spacing w:val="-4"/>
          <w:sz w:val="22"/>
        </w:rPr>
        <w:t xml:space="preserve"> </w:t>
      </w:r>
      <w:r w:rsidRPr="000E09F1">
        <w:rPr>
          <w:rFonts w:ascii="Verdana" w:eastAsia="Arial MT" w:hAnsi="Verdana" w:cs="Arial"/>
          <w:sz w:val="22"/>
        </w:rPr>
        <w:t>es</w:t>
      </w:r>
      <w:r w:rsidRPr="000E09F1">
        <w:rPr>
          <w:rFonts w:ascii="Verdana" w:eastAsia="Arial MT" w:hAnsi="Verdana" w:cs="Arial"/>
          <w:spacing w:val="-4"/>
          <w:sz w:val="22"/>
        </w:rPr>
        <w:t xml:space="preserve"> </w:t>
      </w:r>
      <w:r w:rsidRPr="000E09F1">
        <w:rPr>
          <w:rFonts w:ascii="Verdana" w:eastAsia="Arial MT" w:hAnsi="Verdana" w:cs="Arial"/>
          <w:sz w:val="22"/>
        </w:rPr>
        <w:t>indispensable</w:t>
      </w:r>
      <w:r w:rsidRPr="000E09F1">
        <w:rPr>
          <w:rFonts w:ascii="Verdana" w:eastAsia="Arial MT" w:hAnsi="Verdana" w:cs="Arial"/>
          <w:spacing w:val="-4"/>
          <w:sz w:val="22"/>
        </w:rPr>
        <w:t xml:space="preserve"> </w:t>
      </w:r>
      <w:r w:rsidRPr="000E09F1">
        <w:rPr>
          <w:rFonts w:ascii="Verdana" w:eastAsia="Arial MT" w:hAnsi="Verdana" w:cs="Arial"/>
          <w:sz w:val="22"/>
        </w:rPr>
        <w:t>para</w:t>
      </w:r>
      <w:r w:rsidRPr="000E09F1">
        <w:rPr>
          <w:rFonts w:ascii="Verdana" w:eastAsia="Arial MT" w:hAnsi="Verdana" w:cs="Arial"/>
          <w:spacing w:val="-5"/>
          <w:sz w:val="22"/>
        </w:rPr>
        <w:t xml:space="preserve"> </w:t>
      </w:r>
      <w:r w:rsidRPr="000E09F1">
        <w:rPr>
          <w:rFonts w:ascii="Verdana" w:eastAsia="Arial MT" w:hAnsi="Verdana" w:cs="Arial"/>
          <w:sz w:val="22"/>
        </w:rPr>
        <w:t>remediar</w:t>
      </w:r>
      <w:r w:rsidRPr="000E09F1">
        <w:rPr>
          <w:rFonts w:ascii="Verdana" w:eastAsia="Arial MT" w:hAnsi="Verdana" w:cs="Arial"/>
          <w:spacing w:val="-4"/>
          <w:sz w:val="22"/>
        </w:rPr>
        <w:t xml:space="preserve"> </w:t>
      </w:r>
      <w:r w:rsidRPr="000E09F1">
        <w:rPr>
          <w:rFonts w:ascii="Verdana" w:eastAsia="Arial MT" w:hAnsi="Verdana" w:cs="Arial"/>
          <w:sz w:val="22"/>
        </w:rPr>
        <w:t>o</w:t>
      </w:r>
      <w:r w:rsidRPr="000E09F1">
        <w:rPr>
          <w:rFonts w:ascii="Verdana" w:eastAsia="Arial MT" w:hAnsi="Verdana" w:cs="Arial"/>
          <w:spacing w:val="-4"/>
          <w:sz w:val="22"/>
        </w:rPr>
        <w:t xml:space="preserve"> </w:t>
      </w:r>
      <w:r w:rsidRPr="000E09F1">
        <w:rPr>
          <w:rFonts w:ascii="Verdana" w:eastAsia="Arial MT" w:hAnsi="Verdana" w:cs="Arial"/>
          <w:sz w:val="22"/>
        </w:rPr>
        <w:t>mitigar</w:t>
      </w:r>
      <w:r w:rsidRPr="000E09F1">
        <w:rPr>
          <w:rFonts w:ascii="Verdana" w:eastAsia="Arial MT" w:hAnsi="Verdana" w:cs="Arial"/>
          <w:spacing w:val="-4"/>
          <w:sz w:val="22"/>
        </w:rPr>
        <w:t xml:space="preserve"> </w:t>
      </w:r>
      <w:r w:rsidRPr="000E09F1">
        <w:rPr>
          <w:rFonts w:ascii="Verdana" w:eastAsia="Arial MT" w:hAnsi="Verdana" w:cs="Arial"/>
          <w:sz w:val="22"/>
        </w:rPr>
        <w:t>el</w:t>
      </w:r>
      <w:r w:rsidRPr="000E09F1">
        <w:rPr>
          <w:rFonts w:ascii="Verdana" w:eastAsia="Arial MT" w:hAnsi="Verdana" w:cs="Arial"/>
          <w:spacing w:val="-4"/>
          <w:sz w:val="22"/>
        </w:rPr>
        <w:t xml:space="preserve"> </w:t>
      </w:r>
      <w:r w:rsidRPr="000E09F1">
        <w:rPr>
          <w:rFonts w:ascii="Verdana" w:eastAsia="Arial MT" w:hAnsi="Verdana" w:cs="Arial"/>
          <w:sz w:val="22"/>
        </w:rPr>
        <w:t>evento urgente para entender la urgencia manifiesta hay que acudir al artículo 42 de la Ley 80 de 1993</w:t>
      </w:r>
      <w:r w:rsidRPr="000E09F1">
        <w:rPr>
          <w:rStyle w:val="Refdenotaalpie"/>
          <w:rFonts w:ascii="Verdana" w:eastAsia="Arial MT" w:hAnsi="Verdana" w:cs="Arial"/>
          <w:sz w:val="22"/>
        </w:rPr>
        <w:footnoteReference w:id="10"/>
      </w:r>
      <w:r w:rsidRPr="000E09F1">
        <w:rPr>
          <w:rFonts w:ascii="Verdana" w:eastAsia="Arial MT" w:hAnsi="Verdana" w:cs="Arial"/>
          <w:sz w:val="22"/>
        </w:rPr>
        <w:t>. que la define como una circunstancia que exige, con carácter apremiante, preservar la</w:t>
      </w:r>
      <w:r w:rsidRPr="000E09F1">
        <w:rPr>
          <w:rFonts w:ascii="Verdana" w:eastAsia="Arial MT" w:hAnsi="Verdana" w:cs="Arial"/>
          <w:spacing w:val="1"/>
          <w:sz w:val="22"/>
        </w:rPr>
        <w:t xml:space="preserve"> </w:t>
      </w:r>
      <w:r w:rsidRPr="000E09F1">
        <w:rPr>
          <w:rFonts w:ascii="Verdana" w:eastAsia="Arial MT" w:hAnsi="Verdana" w:cs="Arial"/>
          <w:sz w:val="22"/>
        </w:rPr>
        <w:t>continuidad</w:t>
      </w:r>
      <w:r w:rsidRPr="000E09F1">
        <w:rPr>
          <w:rFonts w:ascii="Verdana" w:eastAsia="Arial MT" w:hAnsi="Verdana" w:cs="Arial"/>
          <w:spacing w:val="1"/>
          <w:sz w:val="22"/>
        </w:rPr>
        <w:t xml:space="preserve"> </w:t>
      </w:r>
      <w:r w:rsidRPr="000E09F1">
        <w:rPr>
          <w:rFonts w:ascii="Verdana" w:eastAsia="Arial MT" w:hAnsi="Verdana" w:cs="Arial"/>
          <w:sz w:val="22"/>
        </w:rPr>
        <w:t>del</w:t>
      </w:r>
      <w:r w:rsidRPr="000E09F1">
        <w:rPr>
          <w:rFonts w:ascii="Verdana" w:eastAsia="Arial MT" w:hAnsi="Verdana" w:cs="Arial"/>
          <w:spacing w:val="1"/>
          <w:sz w:val="22"/>
        </w:rPr>
        <w:t xml:space="preserve"> </w:t>
      </w:r>
      <w:r w:rsidRPr="000E09F1">
        <w:rPr>
          <w:rFonts w:ascii="Verdana" w:eastAsia="Arial MT" w:hAnsi="Verdana" w:cs="Arial"/>
          <w:sz w:val="22"/>
        </w:rPr>
        <w:t>servicio,</w:t>
      </w:r>
      <w:r w:rsidRPr="000E09F1">
        <w:rPr>
          <w:rFonts w:ascii="Verdana" w:eastAsia="Arial MT" w:hAnsi="Verdana" w:cs="Arial"/>
          <w:spacing w:val="1"/>
          <w:sz w:val="22"/>
        </w:rPr>
        <w:t xml:space="preserve"> </w:t>
      </w:r>
      <w:r w:rsidRPr="000E09F1">
        <w:rPr>
          <w:rFonts w:ascii="Verdana" w:eastAsia="Arial MT" w:hAnsi="Verdana" w:cs="Arial"/>
          <w:sz w:val="22"/>
        </w:rPr>
        <w:t>cuando</w:t>
      </w:r>
      <w:r w:rsidRPr="000E09F1">
        <w:rPr>
          <w:rFonts w:ascii="Verdana" w:eastAsia="Arial MT" w:hAnsi="Verdana" w:cs="Arial"/>
          <w:spacing w:val="1"/>
          <w:sz w:val="22"/>
        </w:rPr>
        <w:t xml:space="preserve"> </w:t>
      </w:r>
      <w:r w:rsidRPr="000E09F1">
        <w:rPr>
          <w:rFonts w:ascii="Verdana" w:eastAsia="Arial MT" w:hAnsi="Verdana" w:cs="Arial"/>
          <w:sz w:val="22"/>
        </w:rPr>
        <w:t>se</w:t>
      </w:r>
      <w:r w:rsidRPr="000E09F1">
        <w:rPr>
          <w:rFonts w:ascii="Verdana" w:eastAsia="Arial MT" w:hAnsi="Verdana" w:cs="Arial"/>
          <w:spacing w:val="1"/>
          <w:sz w:val="22"/>
        </w:rPr>
        <w:t xml:space="preserve"> </w:t>
      </w:r>
      <w:r w:rsidRPr="000E09F1">
        <w:rPr>
          <w:rFonts w:ascii="Verdana" w:eastAsia="Arial MT" w:hAnsi="Verdana" w:cs="Arial"/>
          <w:sz w:val="22"/>
        </w:rPr>
        <w:t>afecta</w:t>
      </w:r>
      <w:r w:rsidRPr="000E09F1">
        <w:rPr>
          <w:rFonts w:ascii="Verdana" w:eastAsia="Arial MT" w:hAnsi="Verdana" w:cs="Arial"/>
          <w:spacing w:val="1"/>
          <w:sz w:val="22"/>
        </w:rPr>
        <w:t xml:space="preserve"> </w:t>
      </w:r>
      <w:r w:rsidRPr="000E09F1">
        <w:rPr>
          <w:rFonts w:ascii="Verdana" w:eastAsia="Arial MT" w:hAnsi="Verdana" w:cs="Arial"/>
          <w:sz w:val="22"/>
        </w:rPr>
        <w:t>por</w:t>
      </w:r>
      <w:r w:rsidRPr="000E09F1">
        <w:rPr>
          <w:rFonts w:ascii="Verdana" w:eastAsia="Arial MT" w:hAnsi="Verdana" w:cs="Arial"/>
          <w:spacing w:val="1"/>
          <w:sz w:val="22"/>
        </w:rPr>
        <w:t xml:space="preserve"> </w:t>
      </w:r>
      <w:r w:rsidRPr="000E09F1">
        <w:rPr>
          <w:rFonts w:ascii="Verdana" w:eastAsia="Arial MT" w:hAnsi="Verdana" w:cs="Arial"/>
          <w:sz w:val="22"/>
        </w:rPr>
        <w:t>situaciones</w:t>
      </w:r>
      <w:r w:rsidRPr="000E09F1">
        <w:rPr>
          <w:rFonts w:ascii="Verdana" w:eastAsia="Arial MT" w:hAnsi="Verdana" w:cs="Arial"/>
          <w:spacing w:val="1"/>
          <w:sz w:val="22"/>
        </w:rPr>
        <w:t xml:space="preserve"> </w:t>
      </w:r>
      <w:r w:rsidRPr="000E09F1">
        <w:rPr>
          <w:rFonts w:ascii="Verdana" w:eastAsia="Arial MT" w:hAnsi="Verdana" w:cs="Arial"/>
          <w:sz w:val="22"/>
        </w:rPr>
        <w:t>de</w:t>
      </w:r>
      <w:r w:rsidRPr="000E09F1">
        <w:rPr>
          <w:rFonts w:ascii="Verdana" w:eastAsia="Arial MT" w:hAnsi="Verdana" w:cs="Arial"/>
          <w:spacing w:val="1"/>
          <w:sz w:val="22"/>
        </w:rPr>
        <w:t xml:space="preserve"> </w:t>
      </w:r>
      <w:r w:rsidRPr="000E09F1">
        <w:rPr>
          <w:rFonts w:ascii="Verdana" w:eastAsia="Arial MT" w:hAnsi="Verdana" w:cs="Arial"/>
          <w:sz w:val="22"/>
        </w:rPr>
        <w:t>fuerza</w:t>
      </w:r>
      <w:r w:rsidRPr="000E09F1">
        <w:rPr>
          <w:rFonts w:ascii="Verdana" w:eastAsia="Arial MT" w:hAnsi="Verdana" w:cs="Arial"/>
          <w:spacing w:val="1"/>
          <w:sz w:val="22"/>
        </w:rPr>
        <w:t xml:space="preserve"> </w:t>
      </w:r>
      <w:r w:rsidRPr="000E09F1">
        <w:rPr>
          <w:rFonts w:ascii="Verdana" w:eastAsia="Arial MT" w:hAnsi="Verdana" w:cs="Arial"/>
          <w:sz w:val="22"/>
        </w:rPr>
        <w:t>mayor,</w:t>
      </w:r>
      <w:r w:rsidRPr="000E09F1">
        <w:rPr>
          <w:rFonts w:ascii="Verdana" w:eastAsia="Arial MT" w:hAnsi="Verdana" w:cs="Arial"/>
          <w:spacing w:val="1"/>
          <w:sz w:val="22"/>
        </w:rPr>
        <w:t xml:space="preserve"> </w:t>
      </w:r>
      <w:r w:rsidRPr="000E09F1">
        <w:rPr>
          <w:rFonts w:ascii="Verdana" w:eastAsia="Arial MT" w:hAnsi="Verdana" w:cs="Arial"/>
          <w:sz w:val="22"/>
        </w:rPr>
        <w:t>desastres,</w:t>
      </w:r>
      <w:r w:rsidRPr="000E09F1">
        <w:rPr>
          <w:rFonts w:ascii="Verdana" w:eastAsia="Arial MT" w:hAnsi="Verdana" w:cs="Arial"/>
          <w:spacing w:val="1"/>
          <w:sz w:val="22"/>
        </w:rPr>
        <w:t xml:space="preserve"> </w:t>
      </w:r>
      <w:r w:rsidRPr="000E09F1">
        <w:rPr>
          <w:rFonts w:ascii="Verdana" w:eastAsia="Arial MT" w:hAnsi="Verdana" w:cs="Arial"/>
          <w:sz w:val="22"/>
        </w:rPr>
        <w:t>calamidades o hechos relacionados con los estados de excepción. Por ello, para la doctrina, las</w:t>
      </w:r>
      <w:r w:rsidRPr="000E09F1">
        <w:rPr>
          <w:rFonts w:ascii="Verdana" w:eastAsia="Arial MT" w:hAnsi="Verdana" w:cs="Arial"/>
          <w:spacing w:val="-59"/>
          <w:sz w:val="22"/>
        </w:rPr>
        <w:t xml:space="preserve"> </w:t>
      </w:r>
      <w:r w:rsidRPr="000E09F1">
        <w:rPr>
          <w:rFonts w:ascii="Verdana" w:eastAsia="Arial MT" w:hAnsi="Verdana" w:cs="Arial"/>
          <w:sz w:val="22"/>
        </w:rPr>
        <w:t xml:space="preserve">situaciones de urgencia manifiesta deben ser concretas, inmediatas, </w:t>
      </w:r>
      <w:r w:rsidRPr="000E09F1">
        <w:rPr>
          <w:rFonts w:ascii="Verdana" w:eastAsia="Arial MT" w:hAnsi="Verdana" w:cs="Arial"/>
          <w:sz w:val="22"/>
        </w:rPr>
        <w:lastRenderedPageBreak/>
        <w:t>objetivas y probadas, pues</w:t>
      </w:r>
      <w:r w:rsidRPr="000E09F1">
        <w:rPr>
          <w:rFonts w:ascii="Verdana" w:eastAsia="Arial MT" w:hAnsi="Verdana" w:cs="Arial"/>
          <w:spacing w:val="-59"/>
          <w:sz w:val="22"/>
        </w:rPr>
        <w:t xml:space="preserve"> </w:t>
      </w:r>
      <w:r w:rsidRPr="000E09F1">
        <w:rPr>
          <w:rFonts w:ascii="Verdana" w:eastAsia="Arial MT" w:hAnsi="Verdana" w:cs="Arial"/>
          <w:sz w:val="22"/>
        </w:rPr>
        <w:t>se trata de circunstancias de hecho actuales, debidamente acreditadas y fundadas por estudios</w:t>
      </w:r>
      <w:r w:rsidRPr="000E09F1">
        <w:rPr>
          <w:rFonts w:ascii="Verdana" w:eastAsia="Arial MT" w:hAnsi="Verdana" w:cs="Arial"/>
          <w:spacing w:val="1"/>
          <w:sz w:val="22"/>
        </w:rPr>
        <w:t xml:space="preserve"> </w:t>
      </w:r>
      <w:r w:rsidRPr="000E09F1">
        <w:rPr>
          <w:rFonts w:ascii="Verdana" w:eastAsia="Arial MT" w:hAnsi="Verdana" w:cs="Arial"/>
          <w:sz w:val="22"/>
        </w:rPr>
        <w:t>técnicos,</w:t>
      </w:r>
      <w:r w:rsidRPr="000E09F1">
        <w:rPr>
          <w:rFonts w:ascii="Verdana" w:eastAsia="Arial MT" w:hAnsi="Verdana" w:cs="Arial"/>
          <w:spacing w:val="-1"/>
          <w:sz w:val="22"/>
        </w:rPr>
        <w:t xml:space="preserve"> </w:t>
      </w:r>
      <w:r w:rsidRPr="000E09F1">
        <w:rPr>
          <w:rFonts w:ascii="Verdana" w:eastAsia="Arial MT" w:hAnsi="Verdana" w:cs="Arial"/>
          <w:sz w:val="22"/>
        </w:rPr>
        <w:t>verificadas</w:t>
      </w:r>
      <w:r w:rsidRPr="000E09F1">
        <w:rPr>
          <w:rFonts w:ascii="Verdana" w:eastAsia="Arial MT" w:hAnsi="Verdana" w:cs="Arial"/>
          <w:spacing w:val="-1"/>
          <w:sz w:val="22"/>
        </w:rPr>
        <w:t xml:space="preserve"> </w:t>
      </w:r>
      <w:r w:rsidRPr="000E09F1">
        <w:rPr>
          <w:rFonts w:ascii="Verdana" w:eastAsia="Arial MT" w:hAnsi="Verdana" w:cs="Arial"/>
          <w:sz w:val="22"/>
        </w:rPr>
        <w:t>por</w:t>
      </w:r>
      <w:r w:rsidRPr="000E09F1">
        <w:rPr>
          <w:rFonts w:ascii="Verdana" w:eastAsia="Arial MT" w:hAnsi="Verdana" w:cs="Arial"/>
          <w:spacing w:val="-1"/>
          <w:sz w:val="22"/>
        </w:rPr>
        <w:t xml:space="preserve"> </w:t>
      </w:r>
      <w:r w:rsidRPr="000E09F1">
        <w:rPr>
          <w:rFonts w:ascii="Verdana" w:eastAsia="Arial MT" w:hAnsi="Verdana" w:cs="Arial"/>
          <w:sz w:val="22"/>
        </w:rPr>
        <w:t>la</w:t>
      </w:r>
      <w:r w:rsidRPr="000E09F1">
        <w:rPr>
          <w:rFonts w:ascii="Verdana" w:eastAsia="Arial MT" w:hAnsi="Verdana" w:cs="Arial"/>
          <w:spacing w:val="-1"/>
          <w:sz w:val="22"/>
        </w:rPr>
        <w:t xml:space="preserve"> </w:t>
      </w:r>
      <w:r w:rsidRPr="000E09F1">
        <w:rPr>
          <w:rFonts w:ascii="Verdana" w:eastAsia="Arial MT" w:hAnsi="Verdana" w:cs="Arial"/>
          <w:sz w:val="22"/>
        </w:rPr>
        <w:t>autoridad</w:t>
      </w:r>
      <w:r w:rsidRPr="000E09F1">
        <w:rPr>
          <w:rFonts w:ascii="Verdana" w:eastAsia="Arial MT" w:hAnsi="Verdana" w:cs="Arial"/>
          <w:spacing w:val="-1"/>
          <w:sz w:val="22"/>
        </w:rPr>
        <w:t xml:space="preserve"> </w:t>
      </w:r>
      <w:r w:rsidRPr="000E09F1">
        <w:rPr>
          <w:rFonts w:ascii="Verdana" w:eastAsia="Arial MT" w:hAnsi="Verdana" w:cs="Arial"/>
          <w:sz w:val="22"/>
        </w:rPr>
        <w:t>competente</w:t>
      </w:r>
      <w:r w:rsidRPr="000E09F1">
        <w:rPr>
          <w:rStyle w:val="Refdenotaalpie"/>
          <w:rFonts w:ascii="Verdana" w:eastAsia="Arial MT" w:hAnsi="Verdana" w:cs="Arial"/>
          <w:sz w:val="22"/>
        </w:rPr>
        <w:footnoteReference w:id="11"/>
      </w:r>
      <w:r w:rsidRPr="000E09F1">
        <w:rPr>
          <w:rFonts w:ascii="Verdana" w:eastAsia="Arial MT" w:hAnsi="Verdana" w:cs="Arial"/>
          <w:sz w:val="22"/>
        </w:rPr>
        <w:t>.</w:t>
      </w:r>
    </w:p>
    <w:bookmarkEnd w:id="4"/>
    <w:p w14:paraId="1F8B9B48" w14:textId="48A5F21B" w:rsidR="00A61B91" w:rsidRPr="000E09F1" w:rsidRDefault="00A61B91" w:rsidP="000E09F1">
      <w:pPr>
        <w:pStyle w:val="Prrafodelista"/>
        <w:widowControl w:val="0"/>
        <w:numPr>
          <w:ilvl w:val="0"/>
          <w:numId w:val="19"/>
        </w:numPr>
        <w:autoSpaceDE w:val="0"/>
        <w:autoSpaceDN w:val="0"/>
        <w:spacing w:after="120" w:line="276" w:lineRule="auto"/>
        <w:jc w:val="both"/>
        <w:rPr>
          <w:rFonts w:ascii="Verdana" w:eastAsia="Arial MT" w:hAnsi="Verdana" w:cs="Arial"/>
        </w:rPr>
      </w:pPr>
      <w:r w:rsidRPr="000E09F1">
        <w:rPr>
          <w:rFonts w:ascii="Verdana" w:eastAsia="Arial MT" w:hAnsi="Verdana" w:cs="Arial"/>
        </w:rPr>
        <w:t>En</w:t>
      </w:r>
      <w:r w:rsidRPr="000E09F1">
        <w:rPr>
          <w:rFonts w:ascii="Verdana" w:eastAsia="Arial MT" w:hAnsi="Verdana" w:cs="Arial"/>
          <w:spacing w:val="-14"/>
        </w:rPr>
        <w:t xml:space="preserve"> </w:t>
      </w:r>
      <w:r w:rsidRPr="000E09F1">
        <w:rPr>
          <w:rFonts w:ascii="Verdana" w:eastAsia="Arial MT" w:hAnsi="Verdana" w:cs="Arial"/>
        </w:rPr>
        <w:t>esos</w:t>
      </w:r>
      <w:r w:rsidRPr="000E09F1">
        <w:rPr>
          <w:rFonts w:ascii="Verdana" w:eastAsia="Arial MT" w:hAnsi="Verdana" w:cs="Arial"/>
          <w:spacing w:val="-14"/>
        </w:rPr>
        <w:t xml:space="preserve"> </w:t>
      </w:r>
      <w:r w:rsidRPr="000E09F1">
        <w:rPr>
          <w:rFonts w:ascii="Verdana" w:eastAsia="Arial MT" w:hAnsi="Verdana" w:cs="Arial"/>
        </w:rPr>
        <w:t>casos</w:t>
      </w:r>
      <w:r w:rsidRPr="000E09F1">
        <w:rPr>
          <w:rFonts w:ascii="Verdana" w:eastAsia="Arial MT" w:hAnsi="Verdana" w:cs="Arial"/>
          <w:spacing w:val="-14"/>
        </w:rPr>
        <w:t xml:space="preserve"> </w:t>
      </w:r>
      <w:r w:rsidRPr="000E09F1">
        <w:rPr>
          <w:rFonts w:ascii="Verdana" w:eastAsia="Arial MT" w:hAnsi="Verdana" w:cs="Arial"/>
        </w:rPr>
        <w:t>excepcionales,</w:t>
      </w:r>
      <w:r w:rsidRPr="000E09F1">
        <w:rPr>
          <w:rFonts w:ascii="Verdana" w:eastAsia="Arial MT" w:hAnsi="Verdana" w:cs="Arial"/>
          <w:spacing w:val="-14"/>
        </w:rPr>
        <w:t xml:space="preserve"> </w:t>
      </w:r>
      <w:r w:rsidRPr="000E09F1">
        <w:rPr>
          <w:rFonts w:ascii="Verdana" w:eastAsia="Arial MT" w:hAnsi="Verdana" w:cs="Arial"/>
        </w:rPr>
        <w:t>que</w:t>
      </w:r>
      <w:r w:rsidRPr="000E09F1">
        <w:rPr>
          <w:rFonts w:ascii="Verdana" w:eastAsia="Arial MT" w:hAnsi="Verdana" w:cs="Arial"/>
          <w:spacing w:val="-14"/>
        </w:rPr>
        <w:t xml:space="preserve"> </w:t>
      </w:r>
      <w:r w:rsidRPr="000E09F1">
        <w:rPr>
          <w:rFonts w:ascii="Verdana" w:eastAsia="Arial MT" w:hAnsi="Verdana" w:cs="Arial"/>
        </w:rPr>
        <w:t>comprometen</w:t>
      </w:r>
      <w:r w:rsidRPr="000E09F1">
        <w:rPr>
          <w:rFonts w:ascii="Verdana" w:eastAsia="Arial MT" w:hAnsi="Verdana" w:cs="Arial"/>
          <w:spacing w:val="-15"/>
        </w:rPr>
        <w:t xml:space="preserve"> </w:t>
      </w:r>
      <w:r w:rsidRPr="000E09F1">
        <w:rPr>
          <w:rFonts w:ascii="Verdana" w:eastAsia="Arial MT" w:hAnsi="Verdana" w:cs="Arial"/>
        </w:rPr>
        <w:t>fines</w:t>
      </w:r>
      <w:r w:rsidRPr="000E09F1">
        <w:rPr>
          <w:rFonts w:ascii="Verdana" w:eastAsia="Arial MT" w:hAnsi="Verdana" w:cs="Arial"/>
          <w:spacing w:val="-13"/>
        </w:rPr>
        <w:t xml:space="preserve"> </w:t>
      </w:r>
      <w:r w:rsidRPr="000E09F1">
        <w:rPr>
          <w:rFonts w:ascii="Verdana" w:eastAsia="Arial MT" w:hAnsi="Verdana" w:cs="Arial"/>
        </w:rPr>
        <w:t>superiores</w:t>
      </w:r>
      <w:r w:rsidRPr="000E09F1">
        <w:rPr>
          <w:rFonts w:ascii="Verdana" w:eastAsia="Arial MT" w:hAnsi="Verdana" w:cs="Arial"/>
          <w:spacing w:val="-15"/>
        </w:rPr>
        <w:t xml:space="preserve"> </w:t>
      </w:r>
      <w:r w:rsidRPr="000E09F1">
        <w:rPr>
          <w:rFonts w:ascii="Verdana" w:eastAsia="Arial MT" w:hAnsi="Verdana" w:cs="Arial"/>
        </w:rPr>
        <w:t>de</w:t>
      </w:r>
      <w:r w:rsidRPr="000E09F1">
        <w:rPr>
          <w:rFonts w:ascii="Verdana" w:eastAsia="Arial MT" w:hAnsi="Verdana" w:cs="Arial"/>
          <w:spacing w:val="-15"/>
        </w:rPr>
        <w:t xml:space="preserve"> </w:t>
      </w:r>
      <w:r w:rsidRPr="000E09F1">
        <w:rPr>
          <w:rFonts w:ascii="Verdana" w:eastAsia="Arial MT" w:hAnsi="Verdana" w:cs="Arial"/>
        </w:rPr>
        <w:t>interés</w:t>
      </w:r>
      <w:r w:rsidRPr="000E09F1">
        <w:rPr>
          <w:rFonts w:ascii="Verdana" w:eastAsia="Arial MT" w:hAnsi="Verdana" w:cs="Arial"/>
          <w:spacing w:val="-13"/>
        </w:rPr>
        <w:t xml:space="preserve"> </w:t>
      </w:r>
      <w:r w:rsidRPr="000E09F1">
        <w:rPr>
          <w:rFonts w:ascii="Verdana" w:eastAsia="Arial MT" w:hAnsi="Verdana" w:cs="Arial"/>
        </w:rPr>
        <w:t>colectivo,</w:t>
      </w:r>
      <w:r w:rsidRPr="000E09F1">
        <w:rPr>
          <w:rFonts w:ascii="Verdana" w:eastAsia="Arial MT" w:hAnsi="Verdana" w:cs="Arial"/>
          <w:spacing w:val="-15"/>
        </w:rPr>
        <w:t xml:space="preserve"> </w:t>
      </w:r>
      <w:r w:rsidRPr="000E09F1">
        <w:rPr>
          <w:rFonts w:ascii="Verdana" w:eastAsia="Arial MT" w:hAnsi="Verdana" w:cs="Arial"/>
        </w:rPr>
        <w:t>con</w:t>
      </w:r>
      <w:r w:rsidRPr="000E09F1">
        <w:rPr>
          <w:rFonts w:ascii="Verdana" w:eastAsia="Arial MT" w:hAnsi="Verdana" w:cs="Arial"/>
          <w:spacing w:val="-58"/>
        </w:rPr>
        <w:t xml:space="preserve"> </w:t>
      </w:r>
      <w:r w:rsidRPr="000E09F1">
        <w:rPr>
          <w:rFonts w:ascii="Verdana" w:eastAsia="Arial MT" w:hAnsi="Verdana" w:cs="Arial"/>
        </w:rPr>
        <w:t>mayor</w:t>
      </w:r>
      <w:r w:rsidRPr="000E09F1">
        <w:rPr>
          <w:rFonts w:ascii="Verdana" w:eastAsia="Arial MT" w:hAnsi="Verdana" w:cs="Arial"/>
          <w:spacing w:val="1"/>
        </w:rPr>
        <w:t xml:space="preserve"> </w:t>
      </w:r>
      <w:r w:rsidRPr="000E09F1">
        <w:rPr>
          <w:rFonts w:ascii="Verdana" w:eastAsia="Arial MT" w:hAnsi="Verdana" w:cs="Arial"/>
        </w:rPr>
        <w:t>razón,</w:t>
      </w:r>
      <w:r w:rsidRPr="000E09F1">
        <w:rPr>
          <w:rFonts w:ascii="Verdana" w:eastAsia="Arial MT" w:hAnsi="Verdana" w:cs="Arial"/>
          <w:spacing w:val="1"/>
        </w:rPr>
        <w:t xml:space="preserve"> </w:t>
      </w:r>
      <w:r w:rsidRPr="000E09F1">
        <w:rPr>
          <w:rFonts w:ascii="Verdana" w:eastAsia="Arial MT" w:hAnsi="Verdana" w:cs="Arial"/>
        </w:rPr>
        <w:t>son</w:t>
      </w:r>
      <w:r w:rsidRPr="000E09F1">
        <w:rPr>
          <w:rFonts w:ascii="Verdana" w:eastAsia="Arial MT" w:hAnsi="Verdana" w:cs="Arial"/>
          <w:spacing w:val="1"/>
        </w:rPr>
        <w:t xml:space="preserve"> </w:t>
      </w:r>
      <w:r w:rsidRPr="000E09F1">
        <w:rPr>
          <w:rFonts w:ascii="Verdana" w:eastAsia="Arial MT" w:hAnsi="Verdana" w:cs="Arial"/>
        </w:rPr>
        <w:t>de</w:t>
      </w:r>
      <w:r w:rsidRPr="000E09F1">
        <w:rPr>
          <w:rFonts w:ascii="Verdana" w:eastAsia="Arial MT" w:hAnsi="Verdana" w:cs="Arial"/>
          <w:spacing w:val="1"/>
        </w:rPr>
        <w:t xml:space="preserve"> </w:t>
      </w:r>
      <w:r w:rsidRPr="000E09F1">
        <w:rPr>
          <w:rFonts w:ascii="Verdana" w:eastAsia="Arial MT" w:hAnsi="Verdana" w:cs="Arial"/>
        </w:rPr>
        <w:t>obligatoria</w:t>
      </w:r>
      <w:r w:rsidRPr="000E09F1">
        <w:rPr>
          <w:rFonts w:ascii="Verdana" w:eastAsia="Arial MT" w:hAnsi="Verdana" w:cs="Arial"/>
          <w:spacing w:val="1"/>
        </w:rPr>
        <w:t xml:space="preserve"> </w:t>
      </w:r>
      <w:r w:rsidRPr="000E09F1">
        <w:rPr>
          <w:rFonts w:ascii="Verdana" w:eastAsia="Arial MT" w:hAnsi="Verdana" w:cs="Arial"/>
        </w:rPr>
        <w:t>aplicación</w:t>
      </w:r>
      <w:r w:rsidRPr="000E09F1">
        <w:rPr>
          <w:rFonts w:ascii="Verdana" w:eastAsia="Arial MT" w:hAnsi="Verdana" w:cs="Arial"/>
          <w:spacing w:val="1"/>
        </w:rPr>
        <w:t xml:space="preserve"> </w:t>
      </w:r>
      <w:r w:rsidRPr="000E09F1">
        <w:rPr>
          <w:rFonts w:ascii="Verdana" w:eastAsia="Arial MT" w:hAnsi="Verdana" w:cs="Arial"/>
        </w:rPr>
        <w:t>los</w:t>
      </w:r>
      <w:r w:rsidRPr="000E09F1">
        <w:rPr>
          <w:rFonts w:ascii="Verdana" w:eastAsia="Arial MT" w:hAnsi="Verdana" w:cs="Arial"/>
          <w:spacing w:val="1"/>
        </w:rPr>
        <w:t xml:space="preserve"> </w:t>
      </w:r>
      <w:r w:rsidRPr="000E09F1">
        <w:rPr>
          <w:rFonts w:ascii="Verdana" w:eastAsia="Arial MT" w:hAnsi="Verdana" w:cs="Arial"/>
        </w:rPr>
        <w:t>objetivos</w:t>
      </w:r>
      <w:r w:rsidRPr="000E09F1">
        <w:rPr>
          <w:rFonts w:ascii="Verdana" w:eastAsia="Arial MT" w:hAnsi="Verdana" w:cs="Arial"/>
          <w:spacing w:val="1"/>
        </w:rPr>
        <w:t xml:space="preserve"> </w:t>
      </w:r>
      <w:r w:rsidRPr="000E09F1">
        <w:rPr>
          <w:rFonts w:ascii="Verdana" w:eastAsia="Arial MT" w:hAnsi="Verdana" w:cs="Arial"/>
        </w:rPr>
        <w:t>de</w:t>
      </w:r>
      <w:r w:rsidRPr="000E09F1">
        <w:rPr>
          <w:rFonts w:ascii="Verdana" w:eastAsia="Arial MT" w:hAnsi="Verdana" w:cs="Arial"/>
          <w:spacing w:val="1"/>
        </w:rPr>
        <w:t xml:space="preserve"> </w:t>
      </w:r>
      <w:r w:rsidRPr="000E09F1">
        <w:rPr>
          <w:rFonts w:ascii="Verdana" w:eastAsia="Arial MT" w:hAnsi="Verdana" w:cs="Arial"/>
        </w:rPr>
        <w:t>la</w:t>
      </w:r>
      <w:r w:rsidRPr="000E09F1">
        <w:rPr>
          <w:rFonts w:ascii="Verdana" w:eastAsia="Arial MT" w:hAnsi="Verdana" w:cs="Arial"/>
          <w:spacing w:val="1"/>
        </w:rPr>
        <w:t xml:space="preserve"> </w:t>
      </w:r>
      <w:r w:rsidRPr="000E09F1">
        <w:rPr>
          <w:rFonts w:ascii="Verdana" w:eastAsia="Arial MT" w:hAnsi="Verdana" w:cs="Arial"/>
        </w:rPr>
        <w:t>contratación</w:t>
      </w:r>
      <w:r w:rsidRPr="000E09F1">
        <w:rPr>
          <w:rFonts w:ascii="Verdana" w:eastAsia="Arial MT" w:hAnsi="Verdana" w:cs="Arial"/>
          <w:spacing w:val="1"/>
        </w:rPr>
        <w:t xml:space="preserve"> </w:t>
      </w:r>
      <w:r w:rsidRPr="000E09F1">
        <w:rPr>
          <w:rFonts w:ascii="Verdana" w:eastAsia="Arial MT" w:hAnsi="Verdana" w:cs="Arial"/>
        </w:rPr>
        <w:t>administrativa,</w:t>
      </w:r>
      <w:r w:rsidRPr="000E09F1">
        <w:rPr>
          <w:rFonts w:ascii="Verdana" w:eastAsia="Arial MT" w:hAnsi="Verdana" w:cs="Arial"/>
          <w:spacing w:val="1"/>
        </w:rPr>
        <w:t xml:space="preserve"> </w:t>
      </w:r>
      <w:r w:rsidRPr="000E09F1">
        <w:rPr>
          <w:rFonts w:ascii="Verdana" w:eastAsia="Arial MT" w:hAnsi="Verdana" w:cs="Arial"/>
        </w:rPr>
        <w:t>previstos en el artículo 3 de la Ley 80 de 1993, pues el cumplimiento de los fines estatales, la</w:t>
      </w:r>
      <w:r w:rsidRPr="000E09F1">
        <w:rPr>
          <w:rFonts w:ascii="Verdana" w:eastAsia="Arial MT" w:hAnsi="Verdana" w:cs="Arial"/>
          <w:spacing w:val="1"/>
        </w:rPr>
        <w:t xml:space="preserve"> </w:t>
      </w:r>
      <w:r w:rsidRPr="000E09F1">
        <w:rPr>
          <w:rFonts w:ascii="Verdana" w:eastAsia="Arial MT" w:hAnsi="Verdana" w:cs="Arial"/>
        </w:rPr>
        <w:t>continua y eficiente prestación de los servicios públicos, y la efectividad de los derechos e</w:t>
      </w:r>
      <w:r w:rsidRPr="000E09F1">
        <w:rPr>
          <w:rFonts w:ascii="Verdana" w:eastAsia="Arial MT" w:hAnsi="Verdana" w:cs="Arial"/>
          <w:spacing w:val="1"/>
        </w:rPr>
        <w:t xml:space="preserve"> </w:t>
      </w:r>
      <w:r w:rsidRPr="000E09F1">
        <w:rPr>
          <w:rFonts w:ascii="Verdana" w:eastAsia="Arial MT" w:hAnsi="Verdana" w:cs="Arial"/>
        </w:rPr>
        <w:t>intereses de los administrados que colaboran con entidades y organismos del Estado en la</w:t>
      </w:r>
      <w:r w:rsidRPr="000E09F1">
        <w:rPr>
          <w:rFonts w:ascii="Verdana" w:eastAsia="Arial MT" w:hAnsi="Verdana" w:cs="Arial"/>
          <w:spacing w:val="1"/>
        </w:rPr>
        <w:t xml:space="preserve"> </w:t>
      </w:r>
      <w:r w:rsidRPr="000E09F1">
        <w:rPr>
          <w:rFonts w:ascii="Verdana" w:eastAsia="Arial MT" w:hAnsi="Verdana" w:cs="Arial"/>
        </w:rPr>
        <w:t>consecución</w:t>
      </w:r>
      <w:r w:rsidRPr="000E09F1">
        <w:rPr>
          <w:rFonts w:ascii="Verdana" w:eastAsia="Arial MT" w:hAnsi="Verdana" w:cs="Arial"/>
          <w:spacing w:val="1"/>
        </w:rPr>
        <w:t xml:space="preserve"> </w:t>
      </w:r>
      <w:r w:rsidRPr="000E09F1">
        <w:rPr>
          <w:rFonts w:ascii="Verdana" w:eastAsia="Arial MT" w:hAnsi="Verdana" w:cs="Arial"/>
        </w:rPr>
        <w:t>de</w:t>
      </w:r>
      <w:r w:rsidRPr="000E09F1">
        <w:rPr>
          <w:rFonts w:ascii="Verdana" w:eastAsia="Arial MT" w:hAnsi="Verdana" w:cs="Arial"/>
          <w:spacing w:val="1"/>
        </w:rPr>
        <w:t xml:space="preserve"> </w:t>
      </w:r>
      <w:r w:rsidRPr="000E09F1">
        <w:rPr>
          <w:rFonts w:ascii="Verdana" w:eastAsia="Arial MT" w:hAnsi="Verdana" w:cs="Arial"/>
        </w:rPr>
        <w:t>dichos</w:t>
      </w:r>
      <w:r w:rsidRPr="000E09F1">
        <w:rPr>
          <w:rFonts w:ascii="Verdana" w:eastAsia="Arial MT" w:hAnsi="Verdana" w:cs="Arial"/>
          <w:spacing w:val="1"/>
        </w:rPr>
        <w:t xml:space="preserve"> </w:t>
      </w:r>
      <w:r w:rsidRPr="000E09F1">
        <w:rPr>
          <w:rFonts w:ascii="Verdana" w:eastAsia="Arial MT" w:hAnsi="Verdana" w:cs="Arial"/>
        </w:rPr>
        <w:t>propósitos,</w:t>
      </w:r>
      <w:r w:rsidRPr="000E09F1">
        <w:rPr>
          <w:rFonts w:ascii="Verdana" w:eastAsia="Arial MT" w:hAnsi="Verdana" w:cs="Arial"/>
          <w:spacing w:val="1"/>
        </w:rPr>
        <w:t xml:space="preserve"> </w:t>
      </w:r>
      <w:r w:rsidRPr="000E09F1">
        <w:rPr>
          <w:rFonts w:ascii="Verdana" w:eastAsia="Arial MT" w:hAnsi="Verdana" w:cs="Arial"/>
        </w:rPr>
        <w:t>confieren</w:t>
      </w:r>
      <w:r w:rsidRPr="000E09F1">
        <w:rPr>
          <w:rFonts w:ascii="Verdana" w:eastAsia="Arial MT" w:hAnsi="Verdana" w:cs="Arial"/>
          <w:spacing w:val="1"/>
        </w:rPr>
        <w:t xml:space="preserve"> </w:t>
      </w:r>
      <w:r w:rsidRPr="000E09F1">
        <w:rPr>
          <w:rFonts w:ascii="Verdana" w:eastAsia="Arial MT" w:hAnsi="Verdana" w:cs="Arial"/>
        </w:rPr>
        <w:t>un</w:t>
      </w:r>
      <w:r w:rsidRPr="000E09F1">
        <w:rPr>
          <w:rFonts w:ascii="Verdana" w:eastAsia="Arial MT" w:hAnsi="Verdana" w:cs="Arial"/>
          <w:spacing w:val="1"/>
        </w:rPr>
        <w:t xml:space="preserve"> </w:t>
      </w:r>
      <w:r w:rsidRPr="000E09F1">
        <w:rPr>
          <w:rFonts w:ascii="Verdana" w:eastAsia="Arial MT" w:hAnsi="Verdana" w:cs="Arial"/>
        </w:rPr>
        <w:t>fundamento</w:t>
      </w:r>
      <w:r w:rsidRPr="000E09F1">
        <w:rPr>
          <w:rFonts w:ascii="Verdana" w:eastAsia="Arial MT" w:hAnsi="Verdana" w:cs="Arial"/>
          <w:spacing w:val="1"/>
        </w:rPr>
        <w:t xml:space="preserve"> </w:t>
      </w:r>
      <w:r w:rsidRPr="000E09F1">
        <w:rPr>
          <w:rFonts w:ascii="Verdana" w:eastAsia="Arial MT" w:hAnsi="Verdana" w:cs="Arial"/>
        </w:rPr>
        <w:t>adicional</w:t>
      </w:r>
      <w:r w:rsidRPr="000E09F1">
        <w:rPr>
          <w:rFonts w:ascii="Verdana" w:eastAsia="Arial MT" w:hAnsi="Verdana" w:cs="Arial"/>
          <w:spacing w:val="1"/>
        </w:rPr>
        <w:t xml:space="preserve"> </w:t>
      </w:r>
      <w:r w:rsidRPr="000E09F1">
        <w:rPr>
          <w:rFonts w:ascii="Verdana" w:eastAsia="Arial MT" w:hAnsi="Verdana" w:cs="Arial"/>
        </w:rPr>
        <w:t>a</w:t>
      </w:r>
      <w:r w:rsidRPr="000E09F1">
        <w:rPr>
          <w:rFonts w:ascii="Verdana" w:eastAsia="Arial MT" w:hAnsi="Verdana" w:cs="Arial"/>
          <w:spacing w:val="1"/>
        </w:rPr>
        <w:t xml:space="preserve"> </w:t>
      </w:r>
      <w:r w:rsidRPr="000E09F1">
        <w:rPr>
          <w:rFonts w:ascii="Verdana" w:eastAsia="Arial MT" w:hAnsi="Verdana" w:cs="Arial"/>
        </w:rPr>
        <w:t>esta</w:t>
      </w:r>
      <w:r w:rsidRPr="000E09F1">
        <w:rPr>
          <w:rFonts w:ascii="Verdana" w:eastAsia="Arial MT" w:hAnsi="Verdana" w:cs="Arial"/>
          <w:spacing w:val="1"/>
        </w:rPr>
        <w:t xml:space="preserve"> </w:t>
      </w:r>
      <w:r w:rsidRPr="000E09F1">
        <w:rPr>
          <w:rFonts w:ascii="Verdana" w:eastAsia="Arial MT" w:hAnsi="Verdana" w:cs="Arial"/>
        </w:rPr>
        <w:t>causal</w:t>
      </w:r>
      <w:r w:rsidRPr="000E09F1">
        <w:rPr>
          <w:rFonts w:ascii="Verdana" w:eastAsia="Arial MT" w:hAnsi="Verdana" w:cs="Arial"/>
          <w:spacing w:val="1"/>
        </w:rPr>
        <w:t xml:space="preserve"> </w:t>
      </w:r>
      <w:r w:rsidRPr="000E09F1">
        <w:rPr>
          <w:rFonts w:ascii="Verdana" w:eastAsia="Arial MT" w:hAnsi="Verdana" w:cs="Arial"/>
        </w:rPr>
        <w:t>de</w:t>
      </w:r>
      <w:r w:rsidRPr="000E09F1">
        <w:rPr>
          <w:rFonts w:ascii="Verdana" w:eastAsia="Arial MT" w:hAnsi="Verdana" w:cs="Arial"/>
          <w:spacing w:val="1"/>
        </w:rPr>
        <w:t xml:space="preserve"> </w:t>
      </w:r>
      <w:r w:rsidRPr="000E09F1">
        <w:rPr>
          <w:rFonts w:ascii="Verdana" w:eastAsia="Arial MT" w:hAnsi="Verdana" w:cs="Arial"/>
        </w:rPr>
        <w:t>contratación</w:t>
      </w:r>
      <w:r w:rsidRPr="000E09F1">
        <w:rPr>
          <w:rFonts w:ascii="Verdana" w:eastAsia="Arial MT" w:hAnsi="Verdana" w:cs="Arial"/>
          <w:spacing w:val="-7"/>
        </w:rPr>
        <w:t xml:space="preserve"> </w:t>
      </w:r>
      <w:r w:rsidRPr="000E09F1">
        <w:rPr>
          <w:rFonts w:ascii="Verdana" w:eastAsia="Arial MT" w:hAnsi="Verdana" w:cs="Arial"/>
        </w:rPr>
        <w:t>directa</w:t>
      </w:r>
      <w:r w:rsidRPr="000E09F1">
        <w:rPr>
          <w:rStyle w:val="Refdenotaalpie"/>
          <w:rFonts w:ascii="Verdana" w:eastAsia="Arial MT" w:hAnsi="Verdana" w:cs="Arial"/>
        </w:rPr>
        <w:footnoteReference w:id="12"/>
      </w:r>
      <w:r w:rsidRPr="000E09F1">
        <w:rPr>
          <w:rFonts w:ascii="Verdana" w:eastAsia="Arial MT" w:hAnsi="Verdana" w:cs="Arial"/>
        </w:rPr>
        <w:t>. Por</w:t>
      </w:r>
      <w:r w:rsidRPr="000E09F1">
        <w:rPr>
          <w:rFonts w:ascii="Verdana" w:eastAsia="Arial MT" w:hAnsi="Verdana" w:cs="Arial"/>
          <w:spacing w:val="-7"/>
        </w:rPr>
        <w:t xml:space="preserve"> </w:t>
      </w:r>
      <w:r w:rsidRPr="000E09F1">
        <w:rPr>
          <w:rFonts w:ascii="Verdana" w:eastAsia="Arial MT" w:hAnsi="Verdana" w:cs="Arial"/>
        </w:rPr>
        <w:t>ello,</w:t>
      </w:r>
      <w:r w:rsidRPr="000E09F1">
        <w:rPr>
          <w:rFonts w:ascii="Verdana" w:eastAsia="Arial MT" w:hAnsi="Verdana" w:cs="Arial"/>
          <w:spacing w:val="-6"/>
        </w:rPr>
        <w:t xml:space="preserve"> </w:t>
      </w:r>
      <w:r w:rsidRPr="000E09F1">
        <w:rPr>
          <w:rFonts w:ascii="Verdana" w:eastAsia="Arial MT" w:hAnsi="Verdana" w:cs="Arial"/>
        </w:rPr>
        <w:t>en</w:t>
      </w:r>
      <w:r w:rsidRPr="000E09F1">
        <w:rPr>
          <w:rFonts w:ascii="Verdana" w:eastAsia="Arial MT" w:hAnsi="Verdana" w:cs="Arial"/>
          <w:spacing w:val="-7"/>
        </w:rPr>
        <w:t xml:space="preserve"> </w:t>
      </w:r>
      <w:r w:rsidRPr="000E09F1">
        <w:rPr>
          <w:rFonts w:ascii="Verdana" w:eastAsia="Arial MT" w:hAnsi="Verdana" w:cs="Arial"/>
        </w:rPr>
        <w:t>los</w:t>
      </w:r>
      <w:r w:rsidRPr="000E09F1">
        <w:rPr>
          <w:rFonts w:ascii="Verdana" w:eastAsia="Arial MT" w:hAnsi="Verdana" w:cs="Arial"/>
          <w:spacing w:val="-6"/>
        </w:rPr>
        <w:t xml:space="preserve"> </w:t>
      </w:r>
      <w:r w:rsidRPr="000E09F1">
        <w:rPr>
          <w:rFonts w:ascii="Verdana" w:eastAsia="Arial MT" w:hAnsi="Verdana" w:cs="Arial"/>
        </w:rPr>
        <w:t>supuestos</w:t>
      </w:r>
      <w:r w:rsidRPr="000E09F1">
        <w:rPr>
          <w:rFonts w:ascii="Verdana" w:eastAsia="Arial MT" w:hAnsi="Verdana" w:cs="Arial"/>
          <w:spacing w:val="-7"/>
        </w:rPr>
        <w:t xml:space="preserve"> </w:t>
      </w:r>
      <w:r w:rsidRPr="000E09F1">
        <w:rPr>
          <w:rFonts w:ascii="Verdana" w:eastAsia="Arial MT" w:hAnsi="Verdana" w:cs="Arial"/>
        </w:rPr>
        <w:t>y</w:t>
      </w:r>
      <w:r w:rsidRPr="000E09F1">
        <w:rPr>
          <w:rFonts w:ascii="Verdana" w:eastAsia="Arial MT" w:hAnsi="Verdana" w:cs="Arial"/>
          <w:spacing w:val="-6"/>
        </w:rPr>
        <w:t xml:space="preserve"> </w:t>
      </w:r>
      <w:r w:rsidRPr="000E09F1">
        <w:rPr>
          <w:rFonts w:ascii="Verdana" w:eastAsia="Arial MT" w:hAnsi="Verdana" w:cs="Arial"/>
        </w:rPr>
        <w:t>en</w:t>
      </w:r>
      <w:r w:rsidRPr="000E09F1">
        <w:rPr>
          <w:rFonts w:ascii="Verdana" w:eastAsia="Arial MT" w:hAnsi="Verdana" w:cs="Arial"/>
          <w:spacing w:val="-7"/>
        </w:rPr>
        <w:t xml:space="preserve"> </w:t>
      </w:r>
      <w:r w:rsidRPr="000E09F1">
        <w:rPr>
          <w:rFonts w:ascii="Verdana" w:eastAsia="Arial MT" w:hAnsi="Verdana" w:cs="Arial"/>
        </w:rPr>
        <w:t>las</w:t>
      </w:r>
      <w:r w:rsidRPr="000E09F1">
        <w:rPr>
          <w:rFonts w:ascii="Verdana" w:eastAsia="Arial MT" w:hAnsi="Verdana" w:cs="Arial"/>
          <w:spacing w:val="-6"/>
        </w:rPr>
        <w:t xml:space="preserve"> </w:t>
      </w:r>
      <w:r w:rsidRPr="000E09F1">
        <w:rPr>
          <w:rFonts w:ascii="Verdana" w:eastAsia="Arial MT" w:hAnsi="Verdana" w:cs="Arial"/>
        </w:rPr>
        <w:t>condiciones</w:t>
      </w:r>
      <w:r w:rsidRPr="000E09F1">
        <w:rPr>
          <w:rFonts w:ascii="Verdana" w:eastAsia="Arial MT" w:hAnsi="Verdana" w:cs="Arial"/>
          <w:spacing w:val="-7"/>
        </w:rPr>
        <w:t xml:space="preserve"> </w:t>
      </w:r>
      <w:r w:rsidRPr="000E09F1">
        <w:rPr>
          <w:rFonts w:ascii="Verdana" w:eastAsia="Arial MT" w:hAnsi="Verdana" w:cs="Arial"/>
        </w:rPr>
        <w:t>de</w:t>
      </w:r>
      <w:r w:rsidRPr="000E09F1">
        <w:rPr>
          <w:rFonts w:ascii="Verdana" w:eastAsia="Arial MT" w:hAnsi="Verdana" w:cs="Arial"/>
          <w:spacing w:val="-6"/>
        </w:rPr>
        <w:t xml:space="preserve"> </w:t>
      </w:r>
      <w:r w:rsidRPr="000E09F1">
        <w:rPr>
          <w:rFonts w:ascii="Verdana" w:eastAsia="Arial MT" w:hAnsi="Verdana" w:cs="Arial"/>
        </w:rPr>
        <w:t>una</w:t>
      </w:r>
      <w:r w:rsidRPr="000E09F1">
        <w:rPr>
          <w:rFonts w:ascii="Verdana" w:eastAsia="Arial MT" w:hAnsi="Verdana" w:cs="Arial"/>
          <w:spacing w:val="-7"/>
        </w:rPr>
        <w:t xml:space="preserve"> </w:t>
      </w:r>
      <w:r w:rsidRPr="000E09F1">
        <w:rPr>
          <w:rFonts w:ascii="Verdana" w:eastAsia="Arial MT" w:hAnsi="Verdana" w:cs="Arial"/>
        </w:rPr>
        <w:t>urgencia</w:t>
      </w:r>
      <w:r w:rsidRPr="000E09F1">
        <w:rPr>
          <w:rFonts w:ascii="Verdana" w:eastAsia="Arial MT" w:hAnsi="Verdana" w:cs="Arial"/>
          <w:spacing w:val="-6"/>
        </w:rPr>
        <w:t xml:space="preserve"> </w:t>
      </w:r>
      <w:r w:rsidRPr="000E09F1">
        <w:rPr>
          <w:rFonts w:ascii="Verdana" w:eastAsia="Arial MT" w:hAnsi="Verdana" w:cs="Arial"/>
        </w:rPr>
        <w:t>manifiesta</w:t>
      </w:r>
      <w:r w:rsidRPr="000E09F1">
        <w:rPr>
          <w:rFonts w:ascii="Verdana" w:eastAsia="Arial MT" w:hAnsi="Verdana" w:cs="Arial"/>
          <w:spacing w:val="-59"/>
        </w:rPr>
        <w:t xml:space="preserve">    </w:t>
      </w:r>
      <w:r w:rsidRPr="000E09F1">
        <w:rPr>
          <w:rFonts w:ascii="Verdana" w:eastAsia="Arial MT" w:hAnsi="Verdana" w:cs="Arial"/>
        </w:rPr>
        <w:t>también</w:t>
      </w:r>
      <w:r w:rsidRPr="000E09F1">
        <w:rPr>
          <w:rFonts w:ascii="Verdana" w:eastAsia="Arial MT" w:hAnsi="Verdana" w:cs="Arial"/>
          <w:spacing w:val="-4"/>
        </w:rPr>
        <w:t xml:space="preserve"> </w:t>
      </w:r>
      <w:r w:rsidRPr="000E09F1">
        <w:rPr>
          <w:rFonts w:ascii="Verdana" w:eastAsia="Arial MT" w:hAnsi="Verdana" w:cs="Arial"/>
        </w:rPr>
        <w:t>podrá</w:t>
      </w:r>
      <w:r w:rsidRPr="000E09F1">
        <w:rPr>
          <w:rFonts w:ascii="Verdana" w:eastAsia="Arial MT" w:hAnsi="Verdana" w:cs="Arial"/>
          <w:spacing w:val="-3"/>
        </w:rPr>
        <w:t xml:space="preserve"> </w:t>
      </w:r>
      <w:r w:rsidRPr="000E09F1">
        <w:rPr>
          <w:rFonts w:ascii="Verdana" w:eastAsia="Arial MT" w:hAnsi="Verdana" w:cs="Arial"/>
        </w:rPr>
        <w:t>celebrarse</w:t>
      </w:r>
      <w:r w:rsidRPr="000E09F1">
        <w:rPr>
          <w:rFonts w:ascii="Verdana" w:eastAsia="Arial MT" w:hAnsi="Verdana" w:cs="Arial"/>
          <w:spacing w:val="-3"/>
        </w:rPr>
        <w:t xml:space="preserve"> </w:t>
      </w:r>
      <w:r w:rsidRPr="000E09F1">
        <w:rPr>
          <w:rFonts w:ascii="Verdana" w:eastAsia="Arial MT" w:hAnsi="Verdana" w:cs="Arial"/>
        </w:rPr>
        <w:t>un</w:t>
      </w:r>
      <w:r w:rsidRPr="000E09F1">
        <w:rPr>
          <w:rFonts w:ascii="Verdana" w:eastAsia="Arial MT" w:hAnsi="Verdana" w:cs="Arial"/>
          <w:spacing w:val="-3"/>
        </w:rPr>
        <w:t xml:space="preserve"> </w:t>
      </w:r>
      <w:r w:rsidRPr="000E09F1">
        <w:rPr>
          <w:rFonts w:ascii="Verdana" w:eastAsia="Arial MT" w:hAnsi="Verdana" w:cs="Arial"/>
        </w:rPr>
        <w:t>contrato</w:t>
      </w:r>
      <w:r w:rsidRPr="000E09F1">
        <w:rPr>
          <w:rFonts w:ascii="Verdana" w:eastAsia="Arial MT" w:hAnsi="Verdana" w:cs="Arial"/>
          <w:spacing w:val="-3"/>
        </w:rPr>
        <w:t xml:space="preserve"> </w:t>
      </w:r>
      <w:r w:rsidRPr="000E09F1">
        <w:rPr>
          <w:rFonts w:ascii="Verdana" w:eastAsia="Arial MT" w:hAnsi="Verdana" w:cs="Arial"/>
        </w:rPr>
        <w:t>de</w:t>
      </w:r>
      <w:r w:rsidRPr="000E09F1">
        <w:rPr>
          <w:rFonts w:ascii="Verdana" w:eastAsia="Arial MT" w:hAnsi="Verdana" w:cs="Arial"/>
          <w:spacing w:val="-3"/>
        </w:rPr>
        <w:t xml:space="preserve"> </w:t>
      </w:r>
      <w:r w:rsidRPr="000E09F1">
        <w:rPr>
          <w:rFonts w:ascii="Verdana" w:eastAsia="Arial MT" w:hAnsi="Verdana" w:cs="Arial"/>
        </w:rPr>
        <w:t>consultoría,</w:t>
      </w:r>
      <w:r w:rsidR="00DF64B8" w:rsidRPr="000E09F1">
        <w:rPr>
          <w:rFonts w:ascii="Verdana" w:eastAsia="Arial MT" w:hAnsi="Verdana" w:cs="Arial"/>
        </w:rPr>
        <w:t xml:space="preserve"> en la modalidad de interventoría,</w:t>
      </w:r>
      <w:r w:rsidRPr="000E09F1">
        <w:rPr>
          <w:rFonts w:ascii="Verdana" w:eastAsia="Arial MT" w:hAnsi="Verdana" w:cs="Arial"/>
          <w:spacing w:val="-3"/>
        </w:rPr>
        <w:t xml:space="preserve"> </w:t>
      </w:r>
      <w:r w:rsidRPr="000E09F1">
        <w:rPr>
          <w:rFonts w:ascii="Verdana" w:eastAsia="Arial MT" w:hAnsi="Verdana" w:cs="Arial"/>
        </w:rPr>
        <w:t>si</w:t>
      </w:r>
      <w:r w:rsidRPr="000E09F1">
        <w:rPr>
          <w:rFonts w:ascii="Verdana" w:eastAsia="Arial MT" w:hAnsi="Verdana" w:cs="Arial"/>
          <w:spacing w:val="-3"/>
        </w:rPr>
        <w:t xml:space="preserve"> </w:t>
      </w:r>
      <w:r w:rsidRPr="000E09F1">
        <w:rPr>
          <w:rFonts w:ascii="Verdana" w:eastAsia="Arial MT" w:hAnsi="Verdana" w:cs="Arial"/>
        </w:rPr>
        <w:t>este</w:t>
      </w:r>
      <w:r w:rsidRPr="000E09F1">
        <w:rPr>
          <w:rFonts w:ascii="Verdana" w:eastAsia="Arial MT" w:hAnsi="Verdana" w:cs="Arial"/>
          <w:spacing w:val="-3"/>
        </w:rPr>
        <w:t xml:space="preserve"> </w:t>
      </w:r>
      <w:r w:rsidRPr="000E09F1">
        <w:rPr>
          <w:rFonts w:ascii="Verdana" w:eastAsia="Arial MT" w:hAnsi="Verdana" w:cs="Arial"/>
        </w:rPr>
        <w:t>resulta</w:t>
      </w:r>
      <w:r w:rsidRPr="000E09F1">
        <w:rPr>
          <w:rFonts w:ascii="Verdana" w:eastAsia="Arial MT" w:hAnsi="Verdana" w:cs="Arial"/>
          <w:spacing w:val="-3"/>
        </w:rPr>
        <w:t xml:space="preserve"> </w:t>
      </w:r>
      <w:r w:rsidRPr="000E09F1">
        <w:rPr>
          <w:rFonts w:ascii="Verdana" w:eastAsia="Arial MT" w:hAnsi="Verdana" w:cs="Arial"/>
        </w:rPr>
        <w:t>estrictamente</w:t>
      </w:r>
      <w:r w:rsidRPr="000E09F1">
        <w:rPr>
          <w:rFonts w:ascii="Verdana" w:eastAsia="Arial MT" w:hAnsi="Verdana" w:cs="Arial"/>
          <w:spacing w:val="-3"/>
        </w:rPr>
        <w:t xml:space="preserve"> </w:t>
      </w:r>
      <w:r w:rsidRPr="000E09F1">
        <w:rPr>
          <w:rFonts w:ascii="Verdana" w:eastAsia="Arial MT" w:hAnsi="Verdana" w:cs="Arial"/>
        </w:rPr>
        <w:t>necesario.</w:t>
      </w:r>
    </w:p>
    <w:p w14:paraId="6AE82D47" w14:textId="2CB1FF8F" w:rsidR="00A61B91" w:rsidRPr="00045B35" w:rsidRDefault="00A61B91" w:rsidP="00DF64B8">
      <w:pPr>
        <w:pStyle w:val="Sinespaciado"/>
        <w:widowControl w:val="0"/>
        <w:numPr>
          <w:ilvl w:val="0"/>
          <w:numId w:val="19"/>
        </w:numPr>
        <w:autoSpaceDE w:val="0"/>
        <w:autoSpaceDN w:val="0"/>
        <w:spacing w:line="276" w:lineRule="auto"/>
        <w:jc w:val="both"/>
        <w:rPr>
          <w:rFonts w:ascii="Verdana" w:eastAsia="Arial MT" w:hAnsi="Verdana" w:cs="Arial"/>
          <w:sz w:val="22"/>
          <w:lang w:val="es-ES"/>
        </w:rPr>
      </w:pPr>
      <w:bookmarkStart w:id="6" w:name="_Hlk171508548"/>
      <w:r w:rsidRPr="000E09F1">
        <w:rPr>
          <w:rFonts w:ascii="Verdana" w:eastAsia="Arial MT" w:hAnsi="Verdana" w:cs="Arial"/>
          <w:sz w:val="22"/>
        </w:rPr>
        <w:t>Finalmente,</w:t>
      </w:r>
      <w:r w:rsidRPr="000E09F1">
        <w:rPr>
          <w:rFonts w:ascii="Verdana" w:eastAsia="Arial MT" w:hAnsi="Verdana" w:cs="Arial"/>
          <w:spacing w:val="-9"/>
          <w:sz w:val="22"/>
        </w:rPr>
        <w:t xml:space="preserve"> </w:t>
      </w:r>
      <w:r w:rsidRPr="000E09F1">
        <w:rPr>
          <w:rFonts w:ascii="Verdana" w:eastAsia="Arial MT" w:hAnsi="Verdana" w:cs="Arial"/>
          <w:sz w:val="22"/>
        </w:rPr>
        <w:t>otra</w:t>
      </w:r>
      <w:r w:rsidRPr="000E09F1">
        <w:rPr>
          <w:rFonts w:ascii="Verdana" w:eastAsia="Arial MT" w:hAnsi="Verdana" w:cs="Arial"/>
          <w:spacing w:val="-10"/>
          <w:sz w:val="22"/>
        </w:rPr>
        <w:t xml:space="preserve"> </w:t>
      </w:r>
      <w:r w:rsidRPr="000E09F1">
        <w:rPr>
          <w:rFonts w:ascii="Verdana" w:eastAsia="Arial MT" w:hAnsi="Verdana" w:cs="Arial"/>
          <w:sz w:val="22"/>
        </w:rPr>
        <w:t>forma</w:t>
      </w:r>
      <w:r w:rsidRPr="000E09F1">
        <w:rPr>
          <w:rFonts w:ascii="Verdana" w:eastAsia="Arial MT" w:hAnsi="Verdana" w:cs="Arial"/>
          <w:spacing w:val="-10"/>
          <w:sz w:val="22"/>
        </w:rPr>
        <w:t xml:space="preserve"> </w:t>
      </w:r>
      <w:r w:rsidRPr="000E09F1">
        <w:rPr>
          <w:rFonts w:ascii="Verdana" w:eastAsia="Arial MT" w:hAnsi="Verdana" w:cs="Arial"/>
          <w:sz w:val="22"/>
        </w:rPr>
        <w:t>para</w:t>
      </w:r>
      <w:r w:rsidRPr="000E09F1">
        <w:rPr>
          <w:rFonts w:ascii="Verdana" w:eastAsia="Arial MT" w:hAnsi="Verdana" w:cs="Arial"/>
          <w:spacing w:val="-10"/>
          <w:sz w:val="22"/>
        </w:rPr>
        <w:t xml:space="preserve"> </w:t>
      </w:r>
      <w:r w:rsidRPr="000E09F1">
        <w:rPr>
          <w:rFonts w:ascii="Verdana" w:eastAsia="Arial MT" w:hAnsi="Verdana" w:cs="Arial"/>
          <w:sz w:val="22"/>
        </w:rPr>
        <w:t>la</w:t>
      </w:r>
      <w:r w:rsidRPr="000E09F1">
        <w:rPr>
          <w:rFonts w:ascii="Verdana" w:eastAsia="Arial MT" w:hAnsi="Verdana" w:cs="Arial"/>
          <w:spacing w:val="-9"/>
          <w:sz w:val="22"/>
        </w:rPr>
        <w:t xml:space="preserve"> </w:t>
      </w:r>
      <w:r w:rsidRPr="000E09F1">
        <w:rPr>
          <w:rFonts w:ascii="Verdana" w:eastAsia="Arial MT" w:hAnsi="Verdana" w:cs="Arial"/>
          <w:sz w:val="22"/>
        </w:rPr>
        <w:t>configuración</w:t>
      </w:r>
      <w:r w:rsidRPr="000E09F1">
        <w:rPr>
          <w:rFonts w:ascii="Verdana" w:eastAsia="Arial MT" w:hAnsi="Verdana" w:cs="Arial"/>
          <w:spacing w:val="-10"/>
          <w:sz w:val="22"/>
        </w:rPr>
        <w:t xml:space="preserve"> </w:t>
      </w:r>
      <w:r w:rsidRPr="000E09F1">
        <w:rPr>
          <w:rFonts w:ascii="Verdana" w:eastAsia="Arial MT" w:hAnsi="Verdana" w:cs="Arial"/>
          <w:sz w:val="22"/>
        </w:rPr>
        <w:t>de</w:t>
      </w:r>
      <w:r w:rsidRPr="000E09F1">
        <w:rPr>
          <w:rFonts w:ascii="Verdana" w:eastAsia="Arial MT" w:hAnsi="Verdana" w:cs="Arial"/>
          <w:spacing w:val="-10"/>
          <w:sz w:val="22"/>
        </w:rPr>
        <w:t xml:space="preserve"> </w:t>
      </w:r>
      <w:r w:rsidRPr="000E09F1">
        <w:rPr>
          <w:rFonts w:ascii="Verdana" w:eastAsia="Arial MT" w:hAnsi="Verdana" w:cs="Arial"/>
          <w:sz w:val="22"/>
        </w:rPr>
        <w:t>un</w:t>
      </w:r>
      <w:r w:rsidRPr="000E09F1">
        <w:rPr>
          <w:rFonts w:ascii="Verdana" w:eastAsia="Arial MT" w:hAnsi="Verdana" w:cs="Arial"/>
          <w:spacing w:val="-10"/>
          <w:sz w:val="22"/>
        </w:rPr>
        <w:t xml:space="preserve"> </w:t>
      </w:r>
      <w:r w:rsidRPr="000E09F1">
        <w:rPr>
          <w:rFonts w:ascii="Verdana" w:eastAsia="Arial MT" w:hAnsi="Verdana" w:cs="Arial"/>
          <w:sz w:val="22"/>
        </w:rPr>
        <w:t>contrato</w:t>
      </w:r>
      <w:r w:rsidRPr="000E09F1">
        <w:rPr>
          <w:rFonts w:ascii="Verdana" w:eastAsia="Arial MT" w:hAnsi="Verdana" w:cs="Arial"/>
          <w:spacing w:val="-10"/>
          <w:sz w:val="22"/>
        </w:rPr>
        <w:t xml:space="preserve"> </w:t>
      </w:r>
      <w:r w:rsidRPr="000E09F1">
        <w:rPr>
          <w:rFonts w:ascii="Verdana" w:eastAsia="Arial MT" w:hAnsi="Verdana" w:cs="Arial"/>
          <w:sz w:val="22"/>
        </w:rPr>
        <w:t>de</w:t>
      </w:r>
      <w:r w:rsidRPr="000E09F1">
        <w:rPr>
          <w:rFonts w:ascii="Verdana" w:eastAsia="Arial MT" w:hAnsi="Verdana" w:cs="Arial"/>
          <w:spacing w:val="-10"/>
          <w:sz w:val="22"/>
        </w:rPr>
        <w:t xml:space="preserve"> </w:t>
      </w:r>
      <w:r w:rsidRPr="000E09F1">
        <w:rPr>
          <w:rFonts w:ascii="Verdana" w:eastAsia="Arial MT" w:hAnsi="Verdana" w:cs="Arial"/>
          <w:sz w:val="22"/>
        </w:rPr>
        <w:t>consultoría</w:t>
      </w:r>
      <w:r w:rsidRPr="000E09F1">
        <w:rPr>
          <w:rFonts w:ascii="Verdana" w:eastAsia="Arial MT" w:hAnsi="Verdana" w:cs="Arial"/>
          <w:spacing w:val="-10"/>
          <w:sz w:val="22"/>
        </w:rPr>
        <w:t xml:space="preserve"> </w:t>
      </w:r>
      <w:r w:rsidRPr="000E09F1">
        <w:rPr>
          <w:rFonts w:ascii="Verdana" w:eastAsia="Arial MT" w:hAnsi="Verdana" w:cs="Arial"/>
          <w:sz w:val="22"/>
        </w:rPr>
        <w:t>es</w:t>
      </w:r>
      <w:r w:rsidRPr="000E09F1">
        <w:rPr>
          <w:rFonts w:ascii="Verdana" w:eastAsia="Arial MT" w:hAnsi="Verdana" w:cs="Arial"/>
          <w:spacing w:val="-10"/>
          <w:sz w:val="22"/>
        </w:rPr>
        <w:t xml:space="preserve"> </w:t>
      </w:r>
      <w:r w:rsidRPr="000E09F1">
        <w:rPr>
          <w:rFonts w:ascii="Verdana" w:eastAsia="Arial MT" w:hAnsi="Verdana" w:cs="Arial"/>
          <w:sz w:val="22"/>
        </w:rPr>
        <w:t>por</w:t>
      </w:r>
      <w:r w:rsidRPr="000E09F1">
        <w:rPr>
          <w:rFonts w:ascii="Verdana" w:eastAsia="Arial MT" w:hAnsi="Verdana" w:cs="Arial"/>
          <w:spacing w:val="-10"/>
          <w:sz w:val="22"/>
        </w:rPr>
        <w:t xml:space="preserve"> </w:t>
      </w:r>
      <w:r w:rsidRPr="000E09F1">
        <w:rPr>
          <w:rFonts w:ascii="Verdana" w:eastAsia="Arial MT" w:hAnsi="Verdana" w:cs="Arial"/>
          <w:sz w:val="22"/>
        </w:rPr>
        <w:t>medio</w:t>
      </w:r>
      <w:r w:rsidRPr="000E09F1">
        <w:rPr>
          <w:rFonts w:ascii="Verdana" w:eastAsia="Arial MT" w:hAnsi="Verdana" w:cs="Arial"/>
          <w:spacing w:val="-59"/>
          <w:sz w:val="22"/>
        </w:rPr>
        <w:t xml:space="preserve"> </w:t>
      </w:r>
      <w:r w:rsidRPr="000E09F1">
        <w:rPr>
          <w:rFonts w:ascii="Verdana" w:eastAsia="Arial MT" w:hAnsi="Verdana" w:cs="Arial"/>
          <w:sz w:val="22"/>
        </w:rPr>
        <w:t>de</w:t>
      </w:r>
      <w:r w:rsidRPr="000E09F1">
        <w:rPr>
          <w:rFonts w:ascii="Verdana" w:eastAsia="Arial MT" w:hAnsi="Verdana" w:cs="Arial"/>
          <w:spacing w:val="1"/>
          <w:sz w:val="22"/>
        </w:rPr>
        <w:t xml:space="preserve"> </w:t>
      </w:r>
      <w:r w:rsidRPr="000E09F1">
        <w:rPr>
          <w:rFonts w:ascii="Verdana" w:eastAsia="Arial MT" w:hAnsi="Verdana" w:cs="Arial"/>
          <w:sz w:val="22"/>
        </w:rPr>
        <w:t>la</w:t>
      </w:r>
      <w:r w:rsidRPr="000E09F1">
        <w:rPr>
          <w:rFonts w:ascii="Verdana" w:eastAsia="Arial MT" w:hAnsi="Verdana" w:cs="Arial"/>
          <w:spacing w:val="1"/>
          <w:sz w:val="22"/>
        </w:rPr>
        <w:t xml:space="preserve"> </w:t>
      </w:r>
      <w:r w:rsidRPr="000E09F1">
        <w:rPr>
          <w:rFonts w:ascii="Verdana" w:eastAsia="Arial MT" w:hAnsi="Verdana" w:cs="Arial"/>
          <w:sz w:val="22"/>
        </w:rPr>
        <w:t>celebración</w:t>
      </w:r>
      <w:r w:rsidRPr="000E09F1">
        <w:rPr>
          <w:rFonts w:ascii="Verdana" w:eastAsia="Arial MT" w:hAnsi="Verdana" w:cs="Arial"/>
          <w:spacing w:val="1"/>
          <w:sz w:val="22"/>
        </w:rPr>
        <w:t xml:space="preserve"> </w:t>
      </w:r>
      <w:r w:rsidRPr="000E09F1">
        <w:rPr>
          <w:rFonts w:ascii="Verdana" w:eastAsia="Arial MT" w:hAnsi="Verdana" w:cs="Arial"/>
          <w:sz w:val="22"/>
        </w:rPr>
        <w:t>de</w:t>
      </w:r>
      <w:r w:rsidRPr="000E09F1">
        <w:rPr>
          <w:rFonts w:ascii="Verdana" w:eastAsia="Arial MT" w:hAnsi="Verdana" w:cs="Arial"/>
          <w:spacing w:val="1"/>
          <w:sz w:val="22"/>
        </w:rPr>
        <w:t xml:space="preserve"> </w:t>
      </w:r>
      <w:r w:rsidRPr="000E09F1">
        <w:rPr>
          <w:rFonts w:ascii="Verdana" w:eastAsia="Arial MT" w:hAnsi="Verdana" w:cs="Arial"/>
          <w:sz w:val="22"/>
        </w:rPr>
        <w:t>contratos</w:t>
      </w:r>
      <w:r w:rsidRPr="000E09F1">
        <w:rPr>
          <w:rFonts w:ascii="Verdana" w:eastAsia="Arial MT" w:hAnsi="Verdana" w:cs="Arial"/>
          <w:spacing w:val="1"/>
          <w:sz w:val="22"/>
        </w:rPr>
        <w:t xml:space="preserve"> </w:t>
      </w:r>
      <w:r w:rsidRPr="000E09F1">
        <w:rPr>
          <w:rFonts w:ascii="Verdana" w:eastAsia="Arial MT" w:hAnsi="Verdana" w:cs="Arial"/>
          <w:sz w:val="22"/>
        </w:rPr>
        <w:t>o</w:t>
      </w:r>
      <w:r w:rsidRPr="000E09F1">
        <w:rPr>
          <w:rFonts w:ascii="Verdana" w:eastAsia="Arial MT" w:hAnsi="Verdana" w:cs="Arial"/>
          <w:spacing w:val="1"/>
          <w:sz w:val="22"/>
        </w:rPr>
        <w:t xml:space="preserve"> </w:t>
      </w:r>
      <w:r w:rsidRPr="000E09F1">
        <w:rPr>
          <w:rFonts w:ascii="Verdana" w:eastAsia="Arial MT" w:hAnsi="Verdana" w:cs="Arial"/>
          <w:sz w:val="22"/>
        </w:rPr>
        <w:t>convenios</w:t>
      </w:r>
      <w:r w:rsidRPr="000E09F1">
        <w:rPr>
          <w:rFonts w:ascii="Verdana" w:eastAsia="Arial MT" w:hAnsi="Verdana" w:cs="Arial"/>
          <w:spacing w:val="1"/>
          <w:sz w:val="22"/>
        </w:rPr>
        <w:t xml:space="preserve"> </w:t>
      </w:r>
      <w:r w:rsidRPr="000E09F1">
        <w:rPr>
          <w:rFonts w:ascii="Verdana" w:eastAsia="Arial MT" w:hAnsi="Verdana" w:cs="Arial"/>
          <w:sz w:val="22"/>
        </w:rPr>
        <w:t>interadministrativos,</w:t>
      </w:r>
      <w:r w:rsidRPr="000E09F1">
        <w:rPr>
          <w:rFonts w:ascii="Verdana" w:eastAsia="Arial MT" w:hAnsi="Verdana" w:cs="Arial"/>
          <w:spacing w:val="1"/>
          <w:sz w:val="22"/>
        </w:rPr>
        <w:t xml:space="preserve"> </w:t>
      </w:r>
      <w:r w:rsidRPr="000E09F1">
        <w:rPr>
          <w:rFonts w:ascii="Verdana" w:eastAsia="Arial MT" w:hAnsi="Verdana" w:cs="Arial"/>
          <w:sz w:val="22"/>
        </w:rPr>
        <w:t>la</w:t>
      </w:r>
      <w:r w:rsidRPr="000E09F1">
        <w:rPr>
          <w:rFonts w:ascii="Verdana" w:eastAsia="Arial MT" w:hAnsi="Verdana" w:cs="Arial"/>
          <w:spacing w:val="1"/>
          <w:sz w:val="22"/>
        </w:rPr>
        <w:t xml:space="preserve"> </w:t>
      </w:r>
      <w:r w:rsidRPr="000E09F1">
        <w:rPr>
          <w:rFonts w:ascii="Verdana" w:eastAsia="Arial MT" w:hAnsi="Verdana" w:cs="Arial"/>
          <w:sz w:val="22"/>
        </w:rPr>
        <w:t>cual</w:t>
      </w:r>
      <w:r w:rsidRPr="000E09F1">
        <w:rPr>
          <w:rFonts w:ascii="Verdana" w:eastAsia="Arial MT" w:hAnsi="Verdana" w:cs="Arial"/>
          <w:spacing w:val="1"/>
          <w:sz w:val="22"/>
        </w:rPr>
        <w:t xml:space="preserve"> </w:t>
      </w:r>
      <w:r w:rsidRPr="000E09F1">
        <w:rPr>
          <w:rFonts w:ascii="Verdana" w:eastAsia="Arial MT" w:hAnsi="Verdana" w:cs="Arial"/>
          <w:sz w:val="22"/>
        </w:rPr>
        <w:t>es</w:t>
      </w:r>
      <w:r w:rsidRPr="000E09F1">
        <w:rPr>
          <w:rFonts w:ascii="Verdana" w:eastAsia="Arial MT" w:hAnsi="Verdana" w:cs="Arial"/>
          <w:spacing w:val="1"/>
          <w:sz w:val="22"/>
        </w:rPr>
        <w:t xml:space="preserve"> </w:t>
      </w:r>
      <w:r w:rsidRPr="000E09F1">
        <w:rPr>
          <w:rFonts w:ascii="Verdana" w:eastAsia="Arial MT" w:hAnsi="Verdana" w:cs="Arial"/>
          <w:sz w:val="22"/>
        </w:rPr>
        <w:t>una</w:t>
      </w:r>
      <w:r w:rsidRPr="000E09F1">
        <w:rPr>
          <w:rFonts w:ascii="Verdana" w:eastAsia="Arial MT" w:hAnsi="Verdana" w:cs="Arial"/>
          <w:spacing w:val="1"/>
          <w:sz w:val="22"/>
        </w:rPr>
        <w:t xml:space="preserve"> </w:t>
      </w:r>
      <w:r w:rsidRPr="000E09F1">
        <w:rPr>
          <w:rFonts w:ascii="Verdana" w:eastAsia="Arial MT" w:hAnsi="Verdana" w:cs="Arial"/>
          <w:sz w:val="22"/>
        </w:rPr>
        <w:t>causal</w:t>
      </w:r>
      <w:r w:rsidRPr="000E09F1">
        <w:rPr>
          <w:rFonts w:ascii="Verdana" w:eastAsia="Arial MT" w:hAnsi="Verdana" w:cs="Arial"/>
          <w:spacing w:val="1"/>
          <w:sz w:val="22"/>
        </w:rPr>
        <w:t xml:space="preserve"> </w:t>
      </w:r>
      <w:r w:rsidRPr="000E09F1">
        <w:rPr>
          <w:rFonts w:ascii="Verdana" w:eastAsia="Arial MT" w:hAnsi="Verdana" w:cs="Arial"/>
          <w:sz w:val="22"/>
        </w:rPr>
        <w:t>de contratación directa, que obedece, antes que nada, a la naturaleza de las partes. Es decir, para</w:t>
      </w:r>
      <w:r w:rsidRPr="000E09F1">
        <w:rPr>
          <w:rFonts w:ascii="Verdana" w:eastAsia="Arial MT" w:hAnsi="Verdana" w:cs="Arial"/>
          <w:spacing w:val="1"/>
          <w:sz w:val="22"/>
        </w:rPr>
        <w:t xml:space="preserve"> </w:t>
      </w:r>
      <w:r w:rsidRPr="000E09F1">
        <w:rPr>
          <w:rFonts w:ascii="Verdana" w:eastAsia="Arial MT" w:hAnsi="Verdana" w:cs="Arial"/>
          <w:sz w:val="22"/>
        </w:rPr>
        <w:t>suscribir un contrato o convenio de consultoría, en principio, no interesa el objeto del contrato,</w:t>
      </w:r>
      <w:r w:rsidRPr="000E09F1">
        <w:rPr>
          <w:rFonts w:ascii="Verdana" w:eastAsia="Arial MT" w:hAnsi="Verdana" w:cs="Arial"/>
          <w:spacing w:val="1"/>
          <w:sz w:val="22"/>
        </w:rPr>
        <w:t xml:space="preserve"> </w:t>
      </w:r>
      <w:r w:rsidRPr="000E09F1">
        <w:rPr>
          <w:rFonts w:ascii="Verdana" w:eastAsia="Arial MT" w:hAnsi="Verdana" w:cs="Arial"/>
          <w:sz w:val="22"/>
        </w:rPr>
        <w:t xml:space="preserve">pudiendo ser de obra pública, de </w:t>
      </w:r>
      <w:r w:rsidRPr="000E09F1">
        <w:rPr>
          <w:rFonts w:ascii="Verdana" w:eastAsia="Arial MT" w:hAnsi="Verdana" w:cs="Arial"/>
          <w:iCs/>
          <w:sz w:val="22"/>
        </w:rPr>
        <w:t>consultoría,</w:t>
      </w:r>
      <w:r w:rsidRPr="000E09F1">
        <w:rPr>
          <w:rFonts w:ascii="Verdana" w:eastAsia="Arial MT" w:hAnsi="Verdana" w:cs="Arial"/>
          <w:sz w:val="22"/>
        </w:rPr>
        <w:t xml:space="preserve"> de suministro, de prestación de servicios, de</w:t>
      </w:r>
      <w:r w:rsidRPr="000E09F1">
        <w:rPr>
          <w:rFonts w:ascii="Verdana" w:eastAsia="Arial MT" w:hAnsi="Verdana" w:cs="Arial"/>
          <w:spacing w:val="1"/>
          <w:sz w:val="22"/>
        </w:rPr>
        <w:t xml:space="preserve"> </w:t>
      </w:r>
      <w:r w:rsidRPr="000E09F1">
        <w:rPr>
          <w:rFonts w:ascii="Verdana" w:eastAsia="Arial MT" w:hAnsi="Verdana" w:cs="Arial"/>
          <w:sz w:val="22"/>
        </w:rPr>
        <w:t>arrendamiento,</w:t>
      </w:r>
      <w:r w:rsidRPr="000E09F1">
        <w:rPr>
          <w:rFonts w:ascii="Verdana" w:eastAsia="Arial MT" w:hAnsi="Verdana" w:cs="Arial"/>
          <w:spacing w:val="-8"/>
          <w:sz w:val="22"/>
        </w:rPr>
        <w:t xml:space="preserve"> </w:t>
      </w:r>
      <w:r w:rsidRPr="000E09F1">
        <w:rPr>
          <w:rFonts w:ascii="Verdana" w:eastAsia="Arial MT" w:hAnsi="Verdana" w:cs="Arial"/>
          <w:sz w:val="22"/>
        </w:rPr>
        <w:t>entre</w:t>
      </w:r>
      <w:r w:rsidRPr="000E09F1">
        <w:rPr>
          <w:rFonts w:ascii="Verdana" w:eastAsia="Arial MT" w:hAnsi="Verdana" w:cs="Arial"/>
          <w:spacing w:val="-8"/>
          <w:sz w:val="22"/>
        </w:rPr>
        <w:t xml:space="preserve"> </w:t>
      </w:r>
      <w:r w:rsidRPr="000E09F1">
        <w:rPr>
          <w:rFonts w:ascii="Verdana" w:eastAsia="Arial MT" w:hAnsi="Verdana" w:cs="Arial"/>
          <w:sz w:val="22"/>
        </w:rPr>
        <w:t>otros.</w:t>
      </w:r>
      <w:r w:rsidRPr="000E09F1">
        <w:rPr>
          <w:rFonts w:ascii="Verdana" w:eastAsia="Arial MT" w:hAnsi="Verdana" w:cs="Arial"/>
          <w:spacing w:val="-7"/>
          <w:sz w:val="22"/>
        </w:rPr>
        <w:t xml:space="preserve"> </w:t>
      </w:r>
      <w:r w:rsidRPr="000E09F1">
        <w:rPr>
          <w:rFonts w:ascii="Verdana" w:eastAsia="Arial MT" w:hAnsi="Verdana" w:cs="Arial"/>
          <w:sz w:val="22"/>
        </w:rPr>
        <w:t>Se</w:t>
      </w:r>
      <w:r w:rsidRPr="000E09F1">
        <w:rPr>
          <w:rFonts w:ascii="Verdana" w:eastAsia="Arial MT" w:hAnsi="Verdana" w:cs="Arial"/>
          <w:spacing w:val="-8"/>
          <w:sz w:val="22"/>
        </w:rPr>
        <w:t xml:space="preserve"> </w:t>
      </w:r>
      <w:r w:rsidRPr="000E09F1">
        <w:rPr>
          <w:rFonts w:ascii="Verdana" w:eastAsia="Arial MT" w:hAnsi="Verdana" w:cs="Arial"/>
          <w:sz w:val="22"/>
        </w:rPr>
        <w:t>establece</w:t>
      </w:r>
      <w:r w:rsidRPr="000E09F1">
        <w:rPr>
          <w:rFonts w:ascii="Verdana" w:eastAsia="Arial MT" w:hAnsi="Verdana" w:cs="Arial"/>
          <w:spacing w:val="-7"/>
          <w:sz w:val="22"/>
        </w:rPr>
        <w:t xml:space="preserve"> </w:t>
      </w:r>
      <w:r w:rsidRPr="000E09F1">
        <w:rPr>
          <w:rFonts w:ascii="Verdana" w:eastAsia="Arial MT" w:hAnsi="Verdana" w:cs="Arial"/>
          <w:sz w:val="22"/>
        </w:rPr>
        <w:t>que,</w:t>
      </w:r>
      <w:r w:rsidRPr="000E09F1">
        <w:rPr>
          <w:rFonts w:ascii="Verdana" w:eastAsia="Arial MT" w:hAnsi="Verdana" w:cs="Arial"/>
          <w:spacing w:val="-8"/>
          <w:sz w:val="22"/>
        </w:rPr>
        <w:t xml:space="preserve"> </w:t>
      </w:r>
      <w:r w:rsidRPr="000E09F1">
        <w:rPr>
          <w:rFonts w:ascii="Verdana" w:eastAsia="Arial MT" w:hAnsi="Verdana" w:cs="Arial"/>
          <w:sz w:val="22"/>
        </w:rPr>
        <w:t>en</w:t>
      </w:r>
      <w:r w:rsidRPr="000E09F1">
        <w:rPr>
          <w:rFonts w:ascii="Verdana" w:eastAsia="Arial MT" w:hAnsi="Verdana" w:cs="Arial"/>
          <w:spacing w:val="-8"/>
          <w:sz w:val="22"/>
        </w:rPr>
        <w:t xml:space="preserve"> </w:t>
      </w:r>
      <w:r w:rsidRPr="000E09F1">
        <w:rPr>
          <w:rFonts w:ascii="Verdana" w:eastAsia="Arial MT" w:hAnsi="Verdana" w:cs="Arial"/>
          <w:sz w:val="22"/>
        </w:rPr>
        <w:t>principio,</w:t>
      </w:r>
      <w:r w:rsidRPr="000E09F1">
        <w:rPr>
          <w:rFonts w:ascii="Verdana" w:eastAsia="Arial MT" w:hAnsi="Verdana" w:cs="Arial"/>
          <w:spacing w:val="-7"/>
          <w:sz w:val="22"/>
        </w:rPr>
        <w:t xml:space="preserve"> </w:t>
      </w:r>
      <w:r w:rsidRPr="000E09F1">
        <w:rPr>
          <w:rFonts w:ascii="Verdana" w:eastAsia="Arial MT" w:hAnsi="Verdana" w:cs="Arial"/>
          <w:sz w:val="22"/>
        </w:rPr>
        <w:t>no</w:t>
      </w:r>
      <w:r w:rsidRPr="000E09F1">
        <w:rPr>
          <w:rFonts w:ascii="Verdana" w:eastAsia="Arial MT" w:hAnsi="Verdana" w:cs="Arial"/>
          <w:spacing w:val="-8"/>
          <w:sz w:val="22"/>
        </w:rPr>
        <w:t xml:space="preserve"> </w:t>
      </w:r>
      <w:r w:rsidRPr="000E09F1">
        <w:rPr>
          <w:rFonts w:ascii="Verdana" w:eastAsia="Arial MT" w:hAnsi="Verdana" w:cs="Arial"/>
          <w:sz w:val="22"/>
        </w:rPr>
        <w:t>es</w:t>
      </w:r>
      <w:r w:rsidRPr="000E09F1">
        <w:rPr>
          <w:rFonts w:ascii="Verdana" w:eastAsia="Arial MT" w:hAnsi="Verdana" w:cs="Arial"/>
          <w:spacing w:val="-7"/>
          <w:sz w:val="22"/>
        </w:rPr>
        <w:t xml:space="preserve"> </w:t>
      </w:r>
      <w:r w:rsidRPr="000E09F1">
        <w:rPr>
          <w:rFonts w:ascii="Verdana" w:eastAsia="Arial MT" w:hAnsi="Verdana" w:cs="Arial"/>
          <w:sz w:val="22"/>
        </w:rPr>
        <w:t>relevante</w:t>
      </w:r>
      <w:r w:rsidRPr="000E09F1">
        <w:rPr>
          <w:rFonts w:ascii="Verdana" w:eastAsia="Arial MT" w:hAnsi="Verdana" w:cs="Arial"/>
          <w:spacing w:val="-8"/>
          <w:sz w:val="22"/>
        </w:rPr>
        <w:t xml:space="preserve"> </w:t>
      </w:r>
      <w:r w:rsidRPr="000E09F1">
        <w:rPr>
          <w:rFonts w:ascii="Verdana" w:eastAsia="Arial MT" w:hAnsi="Verdana" w:cs="Arial"/>
          <w:sz w:val="22"/>
        </w:rPr>
        <w:t>el</w:t>
      </w:r>
      <w:r w:rsidRPr="000E09F1">
        <w:rPr>
          <w:rFonts w:ascii="Verdana" w:eastAsia="Arial MT" w:hAnsi="Verdana" w:cs="Arial"/>
          <w:spacing w:val="-7"/>
          <w:sz w:val="22"/>
        </w:rPr>
        <w:t xml:space="preserve"> </w:t>
      </w:r>
      <w:r w:rsidRPr="000E09F1">
        <w:rPr>
          <w:rFonts w:ascii="Verdana" w:eastAsia="Arial MT" w:hAnsi="Verdana" w:cs="Arial"/>
          <w:sz w:val="22"/>
        </w:rPr>
        <w:t>objeto</w:t>
      </w:r>
      <w:r w:rsidRPr="000E09F1">
        <w:rPr>
          <w:rFonts w:ascii="Verdana" w:eastAsia="Arial MT" w:hAnsi="Verdana" w:cs="Arial"/>
          <w:spacing w:val="-8"/>
          <w:sz w:val="22"/>
        </w:rPr>
        <w:t xml:space="preserve"> </w:t>
      </w:r>
      <w:r w:rsidRPr="000E09F1">
        <w:rPr>
          <w:rFonts w:ascii="Verdana" w:eastAsia="Arial MT" w:hAnsi="Verdana" w:cs="Arial"/>
          <w:sz w:val="22"/>
        </w:rPr>
        <w:t>del</w:t>
      </w:r>
      <w:r w:rsidRPr="000E09F1">
        <w:rPr>
          <w:rFonts w:ascii="Verdana" w:eastAsia="Arial MT" w:hAnsi="Verdana" w:cs="Arial"/>
          <w:spacing w:val="-8"/>
          <w:sz w:val="22"/>
        </w:rPr>
        <w:t xml:space="preserve"> </w:t>
      </w:r>
      <w:r w:rsidRPr="000E09F1">
        <w:rPr>
          <w:rFonts w:ascii="Verdana" w:eastAsia="Arial MT" w:hAnsi="Verdana" w:cs="Arial"/>
          <w:sz w:val="22"/>
        </w:rPr>
        <w:t>contrato,</w:t>
      </w:r>
      <w:r w:rsidRPr="000E09F1">
        <w:rPr>
          <w:rFonts w:ascii="Verdana" w:eastAsia="Arial MT" w:hAnsi="Verdana" w:cs="Arial"/>
          <w:spacing w:val="-58"/>
          <w:sz w:val="22"/>
        </w:rPr>
        <w:t xml:space="preserve"> </w:t>
      </w:r>
      <w:r w:rsidRPr="000E09F1">
        <w:rPr>
          <w:rFonts w:ascii="Verdana" w:eastAsia="Arial MT" w:hAnsi="Verdana" w:cs="Arial"/>
          <w:sz w:val="22"/>
        </w:rPr>
        <w:t>porque</w:t>
      </w:r>
      <w:r w:rsidRPr="000E09F1">
        <w:rPr>
          <w:rFonts w:ascii="Verdana" w:eastAsia="Arial MT" w:hAnsi="Verdana" w:cs="Arial"/>
          <w:spacing w:val="-13"/>
          <w:sz w:val="22"/>
        </w:rPr>
        <w:t xml:space="preserve"> </w:t>
      </w:r>
      <w:r w:rsidRPr="000E09F1">
        <w:rPr>
          <w:rFonts w:ascii="Verdana" w:eastAsia="Arial MT" w:hAnsi="Verdana" w:cs="Arial"/>
          <w:sz w:val="22"/>
        </w:rPr>
        <w:t>el</w:t>
      </w:r>
      <w:r w:rsidRPr="000E09F1">
        <w:rPr>
          <w:rFonts w:ascii="Verdana" w:eastAsia="Arial MT" w:hAnsi="Verdana" w:cs="Arial"/>
          <w:spacing w:val="-12"/>
          <w:sz w:val="22"/>
        </w:rPr>
        <w:t xml:space="preserve"> </w:t>
      </w:r>
      <w:r w:rsidRPr="000E09F1">
        <w:rPr>
          <w:rFonts w:ascii="Verdana" w:eastAsia="Arial MT" w:hAnsi="Verdana" w:cs="Arial"/>
          <w:sz w:val="22"/>
        </w:rPr>
        <w:t>artículo</w:t>
      </w:r>
      <w:r w:rsidRPr="000E09F1">
        <w:rPr>
          <w:rFonts w:ascii="Verdana" w:eastAsia="Arial MT" w:hAnsi="Verdana" w:cs="Arial"/>
          <w:spacing w:val="-13"/>
          <w:sz w:val="22"/>
        </w:rPr>
        <w:t xml:space="preserve"> </w:t>
      </w:r>
      <w:r w:rsidRPr="000E09F1">
        <w:rPr>
          <w:rFonts w:ascii="Verdana" w:eastAsia="Arial MT" w:hAnsi="Verdana" w:cs="Arial"/>
          <w:sz w:val="22"/>
        </w:rPr>
        <w:t>2º,</w:t>
      </w:r>
      <w:r w:rsidRPr="000E09F1">
        <w:rPr>
          <w:rFonts w:ascii="Verdana" w:eastAsia="Arial MT" w:hAnsi="Verdana" w:cs="Arial"/>
          <w:spacing w:val="-12"/>
          <w:sz w:val="22"/>
        </w:rPr>
        <w:t xml:space="preserve"> </w:t>
      </w:r>
      <w:r w:rsidRPr="000E09F1">
        <w:rPr>
          <w:rFonts w:ascii="Verdana" w:eastAsia="Arial MT" w:hAnsi="Verdana" w:cs="Arial"/>
          <w:sz w:val="22"/>
        </w:rPr>
        <w:t>numeral</w:t>
      </w:r>
      <w:r w:rsidRPr="000E09F1">
        <w:rPr>
          <w:rFonts w:ascii="Verdana" w:eastAsia="Arial MT" w:hAnsi="Verdana" w:cs="Arial"/>
          <w:spacing w:val="-13"/>
          <w:sz w:val="22"/>
        </w:rPr>
        <w:t xml:space="preserve"> </w:t>
      </w:r>
      <w:r w:rsidRPr="000E09F1">
        <w:rPr>
          <w:rFonts w:ascii="Verdana" w:eastAsia="Arial MT" w:hAnsi="Verdana" w:cs="Arial"/>
          <w:sz w:val="22"/>
        </w:rPr>
        <w:t>4º,</w:t>
      </w:r>
      <w:r w:rsidRPr="000E09F1">
        <w:rPr>
          <w:rFonts w:ascii="Verdana" w:eastAsia="Arial MT" w:hAnsi="Verdana" w:cs="Arial"/>
          <w:spacing w:val="-12"/>
          <w:sz w:val="22"/>
        </w:rPr>
        <w:t xml:space="preserve"> </w:t>
      </w:r>
      <w:r w:rsidRPr="000E09F1">
        <w:rPr>
          <w:rFonts w:ascii="Verdana" w:eastAsia="Arial MT" w:hAnsi="Verdana" w:cs="Arial"/>
          <w:sz w:val="22"/>
        </w:rPr>
        <w:t>literal</w:t>
      </w:r>
      <w:r w:rsidRPr="000E09F1">
        <w:rPr>
          <w:rFonts w:ascii="Verdana" w:eastAsia="Arial MT" w:hAnsi="Verdana" w:cs="Arial"/>
          <w:spacing w:val="-12"/>
          <w:sz w:val="22"/>
        </w:rPr>
        <w:t xml:space="preserve"> </w:t>
      </w:r>
      <w:r w:rsidRPr="000E09F1">
        <w:rPr>
          <w:rFonts w:ascii="Verdana" w:eastAsia="Arial MT" w:hAnsi="Verdana" w:cs="Arial"/>
          <w:sz w:val="22"/>
        </w:rPr>
        <w:t>c),</w:t>
      </w:r>
      <w:r w:rsidRPr="000E09F1">
        <w:rPr>
          <w:rFonts w:ascii="Verdana" w:eastAsia="Arial MT" w:hAnsi="Verdana" w:cs="Arial"/>
          <w:spacing w:val="-13"/>
          <w:sz w:val="22"/>
        </w:rPr>
        <w:t xml:space="preserve"> </w:t>
      </w:r>
      <w:r w:rsidRPr="000E09F1">
        <w:rPr>
          <w:rFonts w:ascii="Verdana" w:eastAsia="Arial MT" w:hAnsi="Verdana" w:cs="Arial"/>
          <w:sz w:val="22"/>
        </w:rPr>
        <w:t>en</w:t>
      </w:r>
      <w:r w:rsidRPr="000E09F1">
        <w:rPr>
          <w:rFonts w:ascii="Verdana" w:eastAsia="Arial MT" w:hAnsi="Verdana" w:cs="Arial"/>
          <w:spacing w:val="-12"/>
          <w:sz w:val="22"/>
        </w:rPr>
        <w:t xml:space="preserve"> </w:t>
      </w:r>
      <w:r w:rsidRPr="000E09F1">
        <w:rPr>
          <w:rFonts w:ascii="Verdana" w:eastAsia="Arial MT" w:hAnsi="Verdana" w:cs="Arial"/>
          <w:sz w:val="22"/>
        </w:rPr>
        <w:t>su</w:t>
      </w:r>
      <w:r w:rsidRPr="000E09F1">
        <w:rPr>
          <w:rFonts w:ascii="Verdana" w:eastAsia="Arial MT" w:hAnsi="Verdana" w:cs="Arial"/>
          <w:spacing w:val="-13"/>
          <w:sz w:val="22"/>
        </w:rPr>
        <w:t xml:space="preserve"> </w:t>
      </w:r>
      <w:r w:rsidRPr="000E09F1">
        <w:rPr>
          <w:rFonts w:ascii="Verdana" w:eastAsia="Arial MT" w:hAnsi="Verdana" w:cs="Arial"/>
          <w:sz w:val="22"/>
        </w:rPr>
        <w:t>segundo</w:t>
      </w:r>
      <w:r w:rsidRPr="000E09F1">
        <w:rPr>
          <w:rFonts w:ascii="Verdana" w:eastAsia="Arial MT" w:hAnsi="Verdana" w:cs="Arial"/>
          <w:spacing w:val="-12"/>
          <w:sz w:val="22"/>
        </w:rPr>
        <w:t xml:space="preserve"> </w:t>
      </w:r>
      <w:r w:rsidRPr="000E09F1">
        <w:rPr>
          <w:rFonts w:ascii="Verdana" w:eastAsia="Arial MT" w:hAnsi="Verdana" w:cs="Arial"/>
          <w:sz w:val="22"/>
        </w:rPr>
        <w:t>inciso,</w:t>
      </w:r>
      <w:r w:rsidRPr="000E09F1">
        <w:rPr>
          <w:rFonts w:ascii="Verdana" w:eastAsia="Arial MT" w:hAnsi="Verdana" w:cs="Arial"/>
          <w:spacing w:val="-12"/>
          <w:sz w:val="22"/>
        </w:rPr>
        <w:t xml:space="preserve"> </w:t>
      </w:r>
      <w:r w:rsidRPr="000E09F1">
        <w:rPr>
          <w:rFonts w:ascii="Verdana" w:eastAsia="Arial MT" w:hAnsi="Verdana" w:cs="Arial"/>
          <w:sz w:val="22"/>
        </w:rPr>
        <w:t>establece</w:t>
      </w:r>
      <w:r w:rsidRPr="000E09F1">
        <w:rPr>
          <w:rFonts w:ascii="Verdana" w:eastAsia="Arial MT" w:hAnsi="Verdana" w:cs="Arial"/>
          <w:spacing w:val="-13"/>
          <w:sz w:val="22"/>
        </w:rPr>
        <w:t xml:space="preserve"> </w:t>
      </w:r>
      <w:r w:rsidRPr="000E09F1">
        <w:rPr>
          <w:rFonts w:ascii="Verdana" w:eastAsia="Arial MT" w:hAnsi="Verdana" w:cs="Arial"/>
          <w:sz w:val="22"/>
        </w:rPr>
        <w:t>una</w:t>
      </w:r>
      <w:r w:rsidRPr="000E09F1">
        <w:rPr>
          <w:rFonts w:ascii="Verdana" w:eastAsia="Arial MT" w:hAnsi="Verdana" w:cs="Arial"/>
          <w:spacing w:val="-12"/>
          <w:sz w:val="22"/>
        </w:rPr>
        <w:t xml:space="preserve"> </w:t>
      </w:r>
      <w:r w:rsidRPr="000E09F1">
        <w:rPr>
          <w:rFonts w:ascii="Verdana" w:eastAsia="Arial MT" w:hAnsi="Verdana" w:cs="Arial"/>
          <w:sz w:val="22"/>
        </w:rPr>
        <w:t>excepción</w:t>
      </w:r>
      <w:r w:rsidRPr="000E09F1">
        <w:rPr>
          <w:rFonts w:ascii="Verdana" w:eastAsia="Arial MT" w:hAnsi="Verdana" w:cs="Arial"/>
          <w:spacing w:val="-13"/>
          <w:sz w:val="22"/>
        </w:rPr>
        <w:t xml:space="preserve"> </w:t>
      </w:r>
      <w:r w:rsidRPr="000E09F1">
        <w:rPr>
          <w:rFonts w:ascii="Verdana" w:eastAsia="Arial MT" w:hAnsi="Verdana" w:cs="Arial"/>
          <w:sz w:val="22"/>
        </w:rPr>
        <w:t>a</w:t>
      </w:r>
      <w:r w:rsidRPr="000E09F1">
        <w:rPr>
          <w:rFonts w:ascii="Verdana" w:eastAsia="Arial MT" w:hAnsi="Verdana" w:cs="Arial"/>
          <w:spacing w:val="-12"/>
          <w:sz w:val="22"/>
        </w:rPr>
        <w:t xml:space="preserve"> </w:t>
      </w:r>
      <w:r w:rsidRPr="000E09F1">
        <w:rPr>
          <w:rFonts w:ascii="Verdana" w:eastAsia="Arial MT" w:hAnsi="Verdana" w:cs="Arial"/>
          <w:sz w:val="22"/>
        </w:rPr>
        <w:t>dicha</w:t>
      </w:r>
      <w:r w:rsidRPr="000E09F1">
        <w:rPr>
          <w:rFonts w:ascii="Verdana" w:eastAsia="Arial MT" w:hAnsi="Verdana" w:cs="Arial"/>
          <w:spacing w:val="1"/>
          <w:sz w:val="22"/>
        </w:rPr>
        <w:t xml:space="preserve"> </w:t>
      </w:r>
      <w:r w:rsidRPr="000E09F1">
        <w:rPr>
          <w:rFonts w:ascii="Verdana" w:eastAsia="Arial MT" w:hAnsi="Verdana" w:cs="Arial"/>
          <w:sz w:val="22"/>
        </w:rPr>
        <w:t>regla,</w:t>
      </w:r>
      <w:r w:rsidRPr="000E09F1">
        <w:rPr>
          <w:rFonts w:ascii="Verdana" w:eastAsia="Arial MT" w:hAnsi="Verdana" w:cs="Arial"/>
          <w:spacing w:val="1"/>
          <w:sz w:val="22"/>
        </w:rPr>
        <w:t xml:space="preserve"> </w:t>
      </w:r>
      <w:r w:rsidRPr="000E09F1">
        <w:rPr>
          <w:rFonts w:ascii="Verdana" w:eastAsia="Arial MT" w:hAnsi="Verdana" w:cs="Arial"/>
          <w:sz w:val="22"/>
        </w:rPr>
        <w:t>al</w:t>
      </w:r>
      <w:r w:rsidRPr="000E09F1">
        <w:rPr>
          <w:rFonts w:ascii="Verdana" w:eastAsia="Arial MT" w:hAnsi="Verdana" w:cs="Arial"/>
          <w:spacing w:val="1"/>
          <w:sz w:val="22"/>
        </w:rPr>
        <w:t xml:space="preserve"> </w:t>
      </w:r>
      <w:r w:rsidRPr="000E09F1">
        <w:rPr>
          <w:rFonts w:ascii="Verdana" w:eastAsia="Arial MT" w:hAnsi="Verdana" w:cs="Arial"/>
          <w:sz w:val="22"/>
        </w:rPr>
        <w:t>prohibir</w:t>
      </w:r>
      <w:r w:rsidRPr="000E09F1">
        <w:rPr>
          <w:rFonts w:ascii="Verdana" w:eastAsia="Arial MT" w:hAnsi="Verdana" w:cs="Arial"/>
          <w:spacing w:val="1"/>
          <w:sz w:val="22"/>
        </w:rPr>
        <w:t xml:space="preserve"> </w:t>
      </w:r>
      <w:r w:rsidRPr="000E09F1">
        <w:rPr>
          <w:rFonts w:ascii="Verdana" w:eastAsia="Arial MT" w:hAnsi="Verdana" w:cs="Arial"/>
          <w:sz w:val="22"/>
        </w:rPr>
        <w:t>que</w:t>
      </w:r>
      <w:r w:rsidRPr="000E09F1">
        <w:rPr>
          <w:rFonts w:ascii="Verdana" w:eastAsia="Arial MT" w:hAnsi="Verdana" w:cs="Arial"/>
          <w:spacing w:val="1"/>
          <w:sz w:val="22"/>
        </w:rPr>
        <w:t xml:space="preserve"> </w:t>
      </w:r>
      <w:r w:rsidRPr="000E09F1">
        <w:rPr>
          <w:rFonts w:ascii="Verdana" w:eastAsia="Arial MT" w:hAnsi="Verdana" w:cs="Arial"/>
          <w:sz w:val="22"/>
        </w:rPr>
        <w:t>determinados</w:t>
      </w:r>
      <w:r w:rsidRPr="000E09F1">
        <w:rPr>
          <w:rFonts w:ascii="Verdana" w:eastAsia="Arial MT" w:hAnsi="Verdana" w:cs="Arial"/>
          <w:spacing w:val="1"/>
          <w:sz w:val="22"/>
        </w:rPr>
        <w:t xml:space="preserve"> </w:t>
      </w:r>
      <w:r w:rsidRPr="000E09F1">
        <w:rPr>
          <w:rFonts w:ascii="Verdana" w:eastAsia="Arial MT" w:hAnsi="Verdana" w:cs="Arial"/>
          <w:sz w:val="22"/>
        </w:rPr>
        <w:t>contratos</w:t>
      </w:r>
      <w:r w:rsidRPr="000E09F1">
        <w:rPr>
          <w:rFonts w:ascii="Verdana" w:eastAsia="Arial MT" w:hAnsi="Verdana" w:cs="Arial"/>
          <w:spacing w:val="1"/>
          <w:sz w:val="22"/>
        </w:rPr>
        <w:t xml:space="preserve"> </w:t>
      </w:r>
      <w:r w:rsidRPr="000E09F1">
        <w:rPr>
          <w:rFonts w:ascii="Verdana" w:eastAsia="Arial MT" w:hAnsi="Verdana" w:cs="Arial"/>
          <w:sz w:val="22"/>
        </w:rPr>
        <w:t>interadministrativos</w:t>
      </w:r>
      <w:r w:rsidRPr="000E09F1">
        <w:rPr>
          <w:rFonts w:ascii="Verdana" w:eastAsia="Arial MT" w:hAnsi="Verdana" w:cs="Arial"/>
          <w:spacing w:val="1"/>
          <w:sz w:val="22"/>
        </w:rPr>
        <w:t xml:space="preserve"> </w:t>
      </w:r>
      <w:r w:rsidRPr="000E09F1">
        <w:rPr>
          <w:rFonts w:ascii="Verdana" w:eastAsia="Arial MT" w:hAnsi="Verdana" w:cs="Arial"/>
          <w:sz w:val="22"/>
        </w:rPr>
        <w:t>se</w:t>
      </w:r>
      <w:r w:rsidRPr="000E09F1">
        <w:rPr>
          <w:rFonts w:ascii="Verdana" w:eastAsia="Arial MT" w:hAnsi="Verdana" w:cs="Arial"/>
          <w:spacing w:val="1"/>
          <w:sz w:val="22"/>
        </w:rPr>
        <w:t xml:space="preserve"> </w:t>
      </w:r>
      <w:r w:rsidRPr="000E09F1">
        <w:rPr>
          <w:rFonts w:ascii="Verdana" w:eastAsia="Arial MT" w:hAnsi="Verdana" w:cs="Arial"/>
          <w:sz w:val="22"/>
        </w:rPr>
        <w:t>celebren</w:t>
      </w:r>
      <w:r w:rsidRPr="000E09F1">
        <w:rPr>
          <w:rFonts w:ascii="Verdana" w:eastAsia="Arial MT" w:hAnsi="Verdana" w:cs="Arial"/>
          <w:spacing w:val="1"/>
          <w:sz w:val="22"/>
        </w:rPr>
        <w:t xml:space="preserve"> </w:t>
      </w:r>
      <w:r w:rsidRPr="000E09F1">
        <w:rPr>
          <w:rFonts w:ascii="Verdana" w:eastAsia="Arial MT" w:hAnsi="Verdana" w:cs="Arial"/>
          <w:sz w:val="22"/>
        </w:rPr>
        <w:t>con</w:t>
      </w:r>
      <w:r w:rsidRPr="000E09F1">
        <w:rPr>
          <w:rFonts w:ascii="Verdana" w:eastAsia="Arial MT" w:hAnsi="Verdana" w:cs="Arial"/>
          <w:spacing w:val="1"/>
          <w:sz w:val="22"/>
        </w:rPr>
        <w:t xml:space="preserve"> </w:t>
      </w:r>
      <w:r w:rsidRPr="000E09F1">
        <w:rPr>
          <w:rFonts w:ascii="Verdana" w:eastAsia="Arial MT" w:hAnsi="Verdana" w:cs="Arial"/>
          <w:sz w:val="22"/>
        </w:rPr>
        <w:t>ciertas</w:t>
      </w:r>
      <w:r w:rsidRPr="000E09F1">
        <w:rPr>
          <w:rFonts w:ascii="Verdana" w:eastAsia="Arial MT" w:hAnsi="Verdana" w:cs="Arial"/>
          <w:spacing w:val="1"/>
          <w:sz w:val="22"/>
        </w:rPr>
        <w:t xml:space="preserve"> </w:t>
      </w:r>
      <w:r w:rsidRPr="000E09F1">
        <w:rPr>
          <w:rFonts w:ascii="Verdana" w:eastAsia="Arial MT" w:hAnsi="Verdana" w:cs="Arial"/>
          <w:sz w:val="22"/>
        </w:rPr>
        <w:t>entidades –dentro de las cuales están las instituciones de educación superior públicas– si no se</w:t>
      </w:r>
      <w:r w:rsidRPr="000E09F1">
        <w:rPr>
          <w:rFonts w:ascii="Verdana" w:eastAsia="Arial MT" w:hAnsi="Verdana" w:cs="Arial"/>
          <w:spacing w:val="-59"/>
          <w:sz w:val="22"/>
        </w:rPr>
        <w:t xml:space="preserve"> </w:t>
      </w:r>
      <w:r w:rsidRPr="000E09F1">
        <w:rPr>
          <w:rFonts w:ascii="Verdana" w:eastAsia="Arial MT" w:hAnsi="Verdana" w:cs="Arial"/>
          <w:spacing w:val="-1"/>
          <w:sz w:val="22"/>
        </w:rPr>
        <w:t>ha</w:t>
      </w:r>
      <w:r w:rsidRPr="000E09F1">
        <w:rPr>
          <w:rFonts w:ascii="Verdana" w:eastAsia="Arial MT" w:hAnsi="Verdana" w:cs="Arial"/>
          <w:spacing w:val="-14"/>
          <w:sz w:val="22"/>
        </w:rPr>
        <w:t xml:space="preserve"> </w:t>
      </w:r>
      <w:r w:rsidRPr="000E09F1">
        <w:rPr>
          <w:rFonts w:ascii="Verdana" w:eastAsia="Arial MT" w:hAnsi="Verdana" w:cs="Arial"/>
          <w:spacing w:val="-1"/>
          <w:sz w:val="22"/>
        </w:rPr>
        <w:t>adelantado</w:t>
      </w:r>
      <w:r w:rsidRPr="000E09F1">
        <w:rPr>
          <w:rFonts w:ascii="Verdana" w:eastAsia="Arial MT" w:hAnsi="Verdana" w:cs="Arial"/>
          <w:spacing w:val="-12"/>
          <w:sz w:val="22"/>
        </w:rPr>
        <w:t xml:space="preserve"> </w:t>
      </w:r>
      <w:r w:rsidRPr="000E09F1">
        <w:rPr>
          <w:rFonts w:ascii="Verdana" w:eastAsia="Arial MT" w:hAnsi="Verdana" w:cs="Arial"/>
          <w:spacing w:val="-1"/>
          <w:sz w:val="22"/>
        </w:rPr>
        <w:t>antes</w:t>
      </w:r>
      <w:r w:rsidRPr="000E09F1">
        <w:rPr>
          <w:rFonts w:ascii="Verdana" w:eastAsia="Arial MT" w:hAnsi="Verdana" w:cs="Arial"/>
          <w:spacing w:val="-13"/>
          <w:sz w:val="22"/>
        </w:rPr>
        <w:t xml:space="preserve"> </w:t>
      </w:r>
      <w:r w:rsidRPr="000E09F1">
        <w:rPr>
          <w:rFonts w:ascii="Verdana" w:eastAsia="Arial MT" w:hAnsi="Verdana" w:cs="Arial"/>
          <w:spacing w:val="-1"/>
          <w:sz w:val="22"/>
        </w:rPr>
        <w:t>el</w:t>
      </w:r>
      <w:r w:rsidRPr="000E09F1">
        <w:rPr>
          <w:rFonts w:ascii="Verdana" w:eastAsia="Arial MT" w:hAnsi="Verdana" w:cs="Arial"/>
          <w:spacing w:val="-14"/>
          <w:sz w:val="22"/>
        </w:rPr>
        <w:t xml:space="preserve"> </w:t>
      </w:r>
      <w:r w:rsidRPr="000E09F1">
        <w:rPr>
          <w:rFonts w:ascii="Verdana" w:eastAsia="Arial MT" w:hAnsi="Verdana" w:cs="Arial"/>
          <w:spacing w:val="-1"/>
          <w:sz w:val="22"/>
        </w:rPr>
        <w:t>correspondiente</w:t>
      </w:r>
      <w:r w:rsidRPr="000E09F1">
        <w:rPr>
          <w:rFonts w:ascii="Verdana" w:eastAsia="Arial MT" w:hAnsi="Verdana" w:cs="Arial"/>
          <w:spacing w:val="-13"/>
          <w:sz w:val="22"/>
        </w:rPr>
        <w:t xml:space="preserve"> </w:t>
      </w:r>
      <w:r w:rsidRPr="000E09F1">
        <w:rPr>
          <w:rFonts w:ascii="Verdana" w:eastAsia="Arial MT" w:hAnsi="Verdana" w:cs="Arial"/>
          <w:sz w:val="22"/>
        </w:rPr>
        <w:t>proceso</w:t>
      </w:r>
      <w:r w:rsidRPr="000E09F1">
        <w:rPr>
          <w:rFonts w:ascii="Verdana" w:eastAsia="Arial MT" w:hAnsi="Verdana" w:cs="Arial"/>
          <w:spacing w:val="-13"/>
          <w:sz w:val="22"/>
        </w:rPr>
        <w:t xml:space="preserve"> </w:t>
      </w:r>
      <w:r w:rsidRPr="000E09F1">
        <w:rPr>
          <w:rFonts w:ascii="Verdana" w:eastAsia="Arial MT" w:hAnsi="Verdana" w:cs="Arial"/>
          <w:sz w:val="22"/>
        </w:rPr>
        <w:t>de</w:t>
      </w:r>
      <w:r w:rsidRPr="000E09F1">
        <w:rPr>
          <w:rFonts w:ascii="Verdana" w:eastAsia="Arial MT" w:hAnsi="Verdana" w:cs="Arial"/>
          <w:spacing w:val="-13"/>
          <w:sz w:val="22"/>
        </w:rPr>
        <w:t xml:space="preserve"> </w:t>
      </w:r>
      <w:r w:rsidRPr="000E09F1">
        <w:rPr>
          <w:rFonts w:ascii="Verdana" w:eastAsia="Arial MT" w:hAnsi="Verdana" w:cs="Arial"/>
          <w:sz w:val="22"/>
        </w:rPr>
        <w:t>licitación</w:t>
      </w:r>
      <w:r w:rsidRPr="000E09F1">
        <w:rPr>
          <w:rFonts w:ascii="Verdana" w:eastAsia="Arial MT" w:hAnsi="Verdana" w:cs="Arial"/>
          <w:spacing w:val="-13"/>
          <w:sz w:val="22"/>
        </w:rPr>
        <w:t xml:space="preserve"> </w:t>
      </w:r>
      <w:r w:rsidRPr="000E09F1">
        <w:rPr>
          <w:rFonts w:ascii="Verdana" w:eastAsia="Arial MT" w:hAnsi="Verdana" w:cs="Arial"/>
          <w:sz w:val="22"/>
        </w:rPr>
        <w:t>pública</w:t>
      </w:r>
      <w:r w:rsidRPr="000E09F1">
        <w:rPr>
          <w:rFonts w:ascii="Verdana" w:eastAsia="Arial MT" w:hAnsi="Verdana" w:cs="Arial"/>
          <w:spacing w:val="-13"/>
          <w:sz w:val="22"/>
        </w:rPr>
        <w:t xml:space="preserve"> </w:t>
      </w:r>
      <w:r w:rsidRPr="000E09F1">
        <w:rPr>
          <w:rFonts w:ascii="Verdana" w:eastAsia="Arial MT" w:hAnsi="Verdana" w:cs="Arial"/>
          <w:sz w:val="22"/>
        </w:rPr>
        <w:t>o</w:t>
      </w:r>
      <w:r w:rsidRPr="000E09F1">
        <w:rPr>
          <w:rFonts w:ascii="Verdana" w:eastAsia="Arial MT" w:hAnsi="Verdana" w:cs="Arial"/>
          <w:spacing w:val="-13"/>
          <w:sz w:val="22"/>
        </w:rPr>
        <w:t xml:space="preserve"> </w:t>
      </w:r>
      <w:r w:rsidRPr="000E09F1">
        <w:rPr>
          <w:rFonts w:ascii="Verdana" w:eastAsia="Arial MT" w:hAnsi="Verdana" w:cs="Arial"/>
          <w:sz w:val="22"/>
        </w:rPr>
        <w:t>selección</w:t>
      </w:r>
      <w:r w:rsidRPr="000E09F1">
        <w:rPr>
          <w:rFonts w:ascii="Verdana" w:eastAsia="Arial MT" w:hAnsi="Verdana" w:cs="Arial"/>
          <w:spacing w:val="-14"/>
          <w:sz w:val="22"/>
        </w:rPr>
        <w:t xml:space="preserve"> </w:t>
      </w:r>
      <w:r w:rsidRPr="000E09F1">
        <w:rPr>
          <w:rFonts w:ascii="Verdana" w:eastAsia="Arial MT" w:hAnsi="Verdana" w:cs="Arial"/>
          <w:sz w:val="22"/>
        </w:rPr>
        <w:t>abreviada.</w:t>
      </w:r>
      <w:r w:rsidRPr="000E09F1">
        <w:rPr>
          <w:rFonts w:ascii="Verdana" w:eastAsia="Arial MT" w:hAnsi="Verdana" w:cs="Arial"/>
          <w:spacing w:val="-12"/>
          <w:sz w:val="22"/>
        </w:rPr>
        <w:t xml:space="preserve"> </w:t>
      </w:r>
      <w:r w:rsidRPr="000E09F1">
        <w:rPr>
          <w:rFonts w:ascii="Verdana" w:eastAsia="Arial MT" w:hAnsi="Verdana" w:cs="Arial"/>
          <w:sz w:val="22"/>
        </w:rPr>
        <w:t>Estos</w:t>
      </w:r>
      <w:r w:rsidRPr="000E09F1">
        <w:rPr>
          <w:rFonts w:ascii="Verdana" w:eastAsia="Arial MT" w:hAnsi="Verdana" w:cs="Arial"/>
          <w:spacing w:val="-59"/>
          <w:sz w:val="22"/>
        </w:rPr>
        <w:t xml:space="preserve"> </w:t>
      </w:r>
      <w:r w:rsidRPr="000E09F1">
        <w:rPr>
          <w:rFonts w:ascii="Verdana" w:eastAsia="Arial MT" w:hAnsi="Verdana" w:cs="Arial"/>
          <w:sz w:val="22"/>
        </w:rPr>
        <w:t>objetos,</w:t>
      </w:r>
      <w:r w:rsidRPr="000E09F1">
        <w:rPr>
          <w:rFonts w:ascii="Verdana" w:eastAsia="Arial MT" w:hAnsi="Verdana" w:cs="Arial"/>
          <w:spacing w:val="1"/>
          <w:sz w:val="22"/>
        </w:rPr>
        <w:t xml:space="preserve"> </w:t>
      </w:r>
      <w:r w:rsidRPr="000E09F1">
        <w:rPr>
          <w:rFonts w:ascii="Verdana" w:eastAsia="Arial MT" w:hAnsi="Verdana" w:cs="Arial"/>
          <w:sz w:val="22"/>
        </w:rPr>
        <w:t>se</w:t>
      </w:r>
      <w:r w:rsidRPr="000E09F1">
        <w:rPr>
          <w:rFonts w:ascii="Verdana" w:eastAsia="Arial MT" w:hAnsi="Verdana" w:cs="Arial"/>
          <w:spacing w:val="1"/>
          <w:sz w:val="22"/>
        </w:rPr>
        <w:t xml:space="preserve"> </w:t>
      </w:r>
      <w:r w:rsidRPr="000E09F1">
        <w:rPr>
          <w:rFonts w:ascii="Verdana" w:eastAsia="Arial MT" w:hAnsi="Verdana" w:cs="Arial"/>
          <w:sz w:val="22"/>
        </w:rPr>
        <w:t>recuerda,</w:t>
      </w:r>
      <w:r w:rsidRPr="000E09F1">
        <w:rPr>
          <w:rFonts w:ascii="Verdana" w:eastAsia="Arial MT" w:hAnsi="Verdana" w:cs="Arial"/>
          <w:spacing w:val="1"/>
          <w:sz w:val="22"/>
        </w:rPr>
        <w:t xml:space="preserve"> </w:t>
      </w:r>
      <w:r w:rsidRPr="000E09F1">
        <w:rPr>
          <w:rFonts w:ascii="Verdana" w:eastAsia="Arial MT" w:hAnsi="Verdana" w:cs="Arial"/>
          <w:sz w:val="22"/>
        </w:rPr>
        <w:t>son</w:t>
      </w:r>
      <w:r w:rsidRPr="000E09F1">
        <w:rPr>
          <w:rFonts w:ascii="Verdana" w:eastAsia="Arial MT" w:hAnsi="Verdana" w:cs="Arial"/>
          <w:spacing w:val="1"/>
          <w:sz w:val="22"/>
        </w:rPr>
        <w:t xml:space="preserve"> </w:t>
      </w:r>
      <w:r w:rsidRPr="000E09F1">
        <w:rPr>
          <w:rFonts w:ascii="Verdana" w:eastAsia="Arial MT" w:hAnsi="Verdana" w:cs="Arial"/>
          <w:sz w:val="22"/>
        </w:rPr>
        <w:t>“los</w:t>
      </w:r>
      <w:r w:rsidRPr="000E09F1">
        <w:rPr>
          <w:rFonts w:ascii="Verdana" w:eastAsia="Arial MT" w:hAnsi="Verdana" w:cs="Arial"/>
          <w:spacing w:val="1"/>
          <w:sz w:val="22"/>
        </w:rPr>
        <w:t xml:space="preserve"> </w:t>
      </w:r>
      <w:r w:rsidRPr="000E09F1">
        <w:rPr>
          <w:rFonts w:ascii="Verdana" w:eastAsia="Arial MT" w:hAnsi="Verdana" w:cs="Arial"/>
          <w:sz w:val="22"/>
        </w:rPr>
        <w:t>contratos</w:t>
      </w:r>
      <w:r w:rsidRPr="000E09F1">
        <w:rPr>
          <w:rFonts w:ascii="Verdana" w:eastAsia="Arial MT" w:hAnsi="Verdana" w:cs="Arial"/>
          <w:spacing w:val="1"/>
          <w:sz w:val="22"/>
        </w:rPr>
        <w:t xml:space="preserve"> </w:t>
      </w:r>
      <w:r w:rsidRPr="000E09F1">
        <w:rPr>
          <w:rFonts w:ascii="Verdana" w:eastAsia="Arial MT" w:hAnsi="Verdana" w:cs="Arial"/>
          <w:sz w:val="22"/>
        </w:rPr>
        <w:t>de</w:t>
      </w:r>
      <w:r w:rsidRPr="000E09F1">
        <w:rPr>
          <w:rFonts w:ascii="Verdana" w:eastAsia="Arial MT" w:hAnsi="Verdana" w:cs="Arial"/>
          <w:spacing w:val="1"/>
          <w:sz w:val="22"/>
        </w:rPr>
        <w:t xml:space="preserve"> </w:t>
      </w:r>
      <w:r w:rsidRPr="000E09F1">
        <w:rPr>
          <w:rFonts w:ascii="Verdana" w:eastAsia="Arial MT" w:hAnsi="Verdana" w:cs="Arial"/>
          <w:sz w:val="22"/>
        </w:rPr>
        <w:t>obra,</w:t>
      </w:r>
      <w:r w:rsidRPr="000E09F1">
        <w:rPr>
          <w:rFonts w:ascii="Verdana" w:eastAsia="Arial MT" w:hAnsi="Verdana" w:cs="Arial"/>
          <w:spacing w:val="1"/>
          <w:sz w:val="22"/>
        </w:rPr>
        <w:t xml:space="preserve"> </w:t>
      </w:r>
      <w:r w:rsidRPr="000E09F1">
        <w:rPr>
          <w:rFonts w:ascii="Verdana" w:eastAsia="Arial MT" w:hAnsi="Verdana" w:cs="Arial"/>
          <w:sz w:val="22"/>
        </w:rPr>
        <w:t>suministro,</w:t>
      </w:r>
      <w:r w:rsidRPr="000E09F1">
        <w:rPr>
          <w:rFonts w:ascii="Verdana" w:eastAsia="Arial MT" w:hAnsi="Verdana" w:cs="Arial"/>
          <w:spacing w:val="1"/>
          <w:sz w:val="22"/>
        </w:rPr>
        <w:t xml:space="preserve"> </w:t>
      </w:r>
      <w:r w:rsidRPr="000E09F1">
        <w:rPr>
          <w:rFonts w:ascii="Verdana" w:eastAsia="Arial MT" w:hAnsi="Verdana" w:cs="Arial"/>
          <w:sz w:val="22"/>
        </w:rPr>
        <w:t>prestación</w:t>
      </w:r>
      <w:r w:rsidRPr="000E09F1">
        <w:rPr>
          <w:rFonts w:ascii="Verdana" w:eastAsia="Arial MT" w:hAnsi="Verdana" w:cs="Arial"/>
          <w:spacing w:val="1"/>
          <w:sz w:val="22"/>
        </w:rPr>
        <w:t xml:space="preserve"> </w:t>
      </w:r>
      <w:r w:rsidRPr="000E09F1">
        <w:rPr>
          <w:rFonts w:ascii="Verdana" w:eastAsia="Arial MT" w:hAnsi="Verdana" w:cs="Arial"/>
          <w:sz w:val="22"/>
        </w:rPr>
        <w:t>de</w:t>
      </w:r>
      <w:r w:rsidRPr="000E09F1">
        <w:rPr>
          <w:rFonts w:ascii="Verdana" w:eastAsia="Arial MT" w:hAnsi="Verdana" w:cs="Arial"/>
          <w:spacing w:val="1"/>
          <w:sz w:val="22"/>
        </w:rPr>
        <w:t xml:space="preserve"> </w:t>
      </w:r>
      <w:r w:rsidRPr="000E09F1">
        <w:rPr>
          <w:rFonts w:ascii="Verdana" w:eastAsia="Arial MT" w:hAnsi="Verdana" w:cs="Arial"/>
          <w:sz w:val="22"/>
        </w:rPr>
        <w:t>servicios</w:t>
      </w:r>
      <w:r w:rsidRPr="000E09F1">
        <w:rPr>
          <w:rFonts w:ascii="Verdana" w:eastAsia="Arial MT" w:hAnsi="Verdana" w:cs="Arial"/>
          <w:spacing w:val="1"/>
          <w:sz w:val="22"/>
        </w:rPr>
        <w:t xml:space="preserve"> </w:t>
      </w:r>
      <w:r w:rsidRPr="000E09F1">
        <w:rPr>
          <w:rFonts w:ascii="Verdana" w:eastAsia="Arial MT" w:hAnsi="Verdana" w:cs="Arial"/>
          <w:sz w:val="22"/>
        </w:rPr>
        <w:t>de</w:t>
      </w:r>
      <w:r w:rsidRPr="000E09F1">
        <w:rPr>
          <w:rFonts w:ascii="Verdana" w:eastAsia="Arial MT" w:hAnsi="Verdana" w:cs="Arial"/>
          <w:spacing w:val="1"/>
          <w:sz w:val="22"/>
        </w:rPr>
        <w:t xml:space="preserve"> </w:t>
      </w:r>
      <w:r w:rsidRPr="000E09F1">
        <w:rPr>
          <w:rFonts w:ascii="Verdana" w:eastAsia="Arial MT" w:hAnsi="Verdana" w:cs="Arial"/>
          <w:sz w:val="22"/>
        </w:rPr>
        <w:t>evaluación</w:t>
      </w:r>
      <w:r w:rsidRPr="000E09F1">
        <w:rPr>
          <w:rFonts w:ascii="Verdana" w:eastAsia="Arial MT" w:hAnsi="Verdana" w:cs="Arial"/>
          <w:spacing w:val="-2"/>
          <w:sz w:val="22"/>
        </w:rPr>
        <w:t xml:space="preserve"> </w:t>
      </w:r>
      <w:r w:rsidRPr="000E09F1">
        <w:rPr>
          <w:rFonts w:ascii="Verdana" w:eastAsia="Arial MT" w:hAnsi="Verdana" w:cs="Arial"/>
          <w:sz w:val="22"/>
        </w:rPr>
        <w:t>de</w:t>
      </w:r>
      <w:r w:rsidRPr="000E09F1">
        <w:rPr>
          <w:rFonts w:ascii="Verdana" w:eastAsia="Arial MT" w:hAnsi="Verdana" w:cs="Arial"/>
          <w:spacing w:val="-2"/>
          <w:sz w:val="22"/>
        </w:rPr>
        <w:t xml:space="preserve"> </w:t>
      </w:r>
      <w:r w:rsidRPr="000E09F1">
        <w:rPr>
          <w:rFonts w:ascii="Verdana" w:eastAsia="Arial MT" w:hAnsi="Verdana" w:cs="Arial"/>
          <w:sz w:val="22"/>
        </w:rPr>
        <w:t>conformidad</w:t>
      </w:r>
      <w:r w:rsidRPr="000E09F1">
        <w:rPr>
          <w:rFonts w:ascii="Verdana" w:eastAsia="Arial MT" w:hAnsi="Verdana" w:cs="Arial"/>
          <w:spacing w:val="-2"/>
          <w:sz w:val="22"/>
        </w:rPr>
        <w:t xml:space="preserve"> </w:t>
      </w:r>
      <w:r w:rsidRPr="000E09F1">
        <w:rPr>
          <w:rFonts w:ascii="Verdana" w:eastAsia="Arial MT" w:hAnsi="Verdana" w:cs="Arial"/>
          <w:sz w:val="22"/>
        </w:rPr>
        <w:t>respecto</w:t>
      </w:r>
      <w:r w:rsidRPr="000E09F1">
        <w:rPr>
          <w:rFonts w:ascii="Verdana" w:eastAsia="Arial MT" w:hAnsi="Verdana" w:cs="Arial"/>
          <w:spacing w:val="-1"/>
          <w:sz w:val="22"/>
        </w:rPr>
        <w:t xml:space="preserve"> </w:t>
      </w:r>
      <w:r w:rsidRPr="000E09F1">
        <w:rPr>
          <w:rFonts w:ascii="Verdana" w:eastAsia="Arial MT" w:hAnsi="Verdana" w:cs="Arial"/>
          <w:sz w:val="22"/>
        </w:rPr>
        <w:t>de</w:t>
      </w:r>
      <w:r w:rsidRPr="000E09F1">
        <w:rPr>
          <w:rFonts w:ascii="Verdana" w:eastAsia="Arial MT" w:hAnsi="Verdana" w:cs="Arial"/>
          <w:spacing w:val="-2"/>
          <w:sz w:val="22"/>
        </w:rPr>
        <w:t xml:space="preserve"> </w:t>
      </w:r>
      <w:r w:rsidRPr="000E09F1">
        <w:rPr>
          <w:rFonts w:ascii="Verdana" w:eastAsia="Arial MT" w:hAnsi="Verdana" w:cs="Arial"/>
          <w:sz w:val="22"/>
        </w:rPr>
        <w:t>las</w:t>
      </w:r>
      <w:r w:rsidRPr="000E09F1">
        <w:rPr>
          <w:rFonts w:ascii="Verdana" w:eastAsia="Arial MT" w:hAnsi="Verdana" w:cs="Arial"/>
          <w:spacing w:val="-2"/>
          <w:sz w:val="22"/>
        </w:rPr>
        <w:t xml:space="preserve"> </w:t>
      </w:r>
      <w:r w:rsidRPr="000E09F1">
        <w:rPr>
          <w:rFonts w:ascii="Verdana" w:eastAsia="Arial MT" w:hAnsi="Verdana" w:cs="Arial"/>
          <w:sz w:val="22"/>
        </w:rPr>
        <w:t>normas</w:t>
      </w:r>
      <w:r w:rsidRPr="000E09F1">
        <w:rPr>
          <w:rFonts w:ascii="Verdana" w:eastAsia="Arial MT" w:hAnsi="Verdana" w:cs="Arial"/>
          <w:spacing w:val="-2"/>
          <w:sz w:val="22"/>
        </w:rPr>
        <w:t xml:space="preserve"> </w:t>
      </w:r>
      <w:r w:rsidRPr="000E09F1">
        <w:rPr>
          <w:rFonts w:ascii="Verdana" w:eastAsia="Arial MT" w:hAnsi="Verdana" w:cs="Arial"/>
          <w:sz w:val="22"/>
        </w:rPr>
        <w:t>o</w:t>
      </w:r>
      <w:r w:rsidRPr="000E09F1">
        <w:rPr>
          <w:rFonts w:ascii="Verdana" w:eastAsia="Arial MT" w:hAnsi="Verdana" w:cs="Arial"/>
          <w:spacing w:val="-1"/>
          <w:sz w:val="22"/>
        </w:rPr>
        <w:t xml:space="preserve"> </w:t>
      </w:r>
      <w:r w:rsidRPr="000E09F1">
        <w:rPr>
          <w:rFonts w:ascii="Verdana" w:eastAsia="Arial MT" w:hAnsi="Verdana" w:cs="Arial"/>
          <w:sz w:val="22"/>
        </w:rPr>
        <w:t>reglamentos</w:t>
      </w:r>
      <w:r w:rsidRPr="000E09F1">
        <w:rPr>
          <w:rFonts w:ascii="Verdana" w:eastAsia="Arial MT" w:hAnsi="Verdana" w:cs="Arial"/>
          <w:spacing w:val="-2"/>
          <w:sz w:val="22"/>
        </w:rPr>
        <w:t xml:space="preserve"> </w:t>
      </w:r>
      <w:r w:rsidRPr="000E09F1">
        <w:rPr>
          <w:rFonts w:ascii="Verdana" w:eastAsia="Arial MT" w:hAnsi="Verdana" w:cs="Arial"/>
          <w:sz w:val="22"/>
        </w:rPr>
        <w:t>técnicos,</w:t>
      </w:r>
      <w:r w:rsidRPr="000E09F1">
        <w:rPr>
          <w:rFonts w:ascii="Verdana" w:eastAsia="Arial MT" w:hAnsi="Verdana" w:cs="Arial"/>
          <w:spacing w:val="-1"/>
          <w:sz w:val="22"/>
        </w:rPr>
        <w:t xml:space="preserve"> </w:t>
      </w:r>
      <w:r w:rsidRPr="000E09F1">
        <w:rPr>
          <w:rFonts w:ascii="Verdana" w:eastAsia="Arial MT" w:hAnsi="Verdana" w:cs="Arial"/>
          <w:sz w:val="22"/>
        </w:rPr>
        <w:t>encargos</w:t>
      </w:r>
      <w:r w:rsidRPr="000E09F1">
        <w:rPr>
          <w:rFonts w:ascii="Verdana" w:eastAsia="Arial MT" w:hAnsi="Verdana" w:cs="Arial"/>
          <w:spacing w:val="-2"/>
          <w:sz w:val="22"/>
        </w:rPr>
        <w:t xml:space="preserve"> </w:t>
      </w:r>
      <w:r w:rsidRPr="000E09F1">
        <w:rPr>
          <w:rFonts w:ascii="Verdana" w:eastAsia="Arial MT" w:hAnsi="Verdana" w:cs="Arial"/>
          <w:sz w:val="22"/>
        </w:rPr>
        <w:t>fiduciarios y la fiducia pública”</w:t>
      </w:r>
      <w:r w:rsidRPr="000E09F1">
        <w:rPr>
          <w:rStyle w:val="Refdenotaalpie"/>
          <w:rFonts w:ascii="Verdana" w:eastAsia="Arial MT" w:hAnsi="Verdana" w:cs="Arial"/>
          <w:sz w:val="22"/>
        </w:rPr>
        <w:footnoteReference w:id="13"/>
      </w:r>
      <w:r w:rsidRPr="000E09F1">
        <w:rPr>
          <w:rFonts w:ascii="Verdana" w:eastAsia="Arial MT" w:hAnsi="Verdana" w:cs="Arial"/>
          <w:sz w:val="22"/>
        </w:rPr>
        <w:t>.</w:t>
      </w:r>
      <w:r w:rsidRPr="000E09F1">
        <w:rPr>
          <w:rFonts w:ascii="Verdana" w:eastAsia="Arial MT" w:hAnsi="Verdana" w:cs="Arial"/>
          <w:sz w:val="22"/>
          <w:lang w:val="es-ES"/>
        </w:rPr>
        <w:t xml:space="preserve">De este modo, podrán adelantarse mediante contratos </w:t>
      </w:r>
      <w:r w:rsidRPr="000E09F1">
        <w:rPr>
          <w:rFonts w:ascii="Verdana" w:eastAsia="Arial MT" w:hAnsi="Verdana" w:cs="Arial"/>
          <w:sz w:val="22"/>
          <w:lang w:val="es-ES"/>
        </w:rPr>
        <w:lastRenderedPageBreak/>
        <w:t>interadministrativos los de consultoría,</w:t>
      </w:r>
      <w:r w:rsidR="003A162A" w:rsidRPr="000E09F1">
        <w:rPr>
          <w:rFonts w:ascii="Verdana" w:eastAsia="Arial MT" w:hAnsi="Verdana" w:cs="Arial"/>
          <w:sz w:val="22"/>
        </w:rPr>
        <w:t xml:space="preserve"> en la modalidad de interventoría,</w:t>
      </w:r>
      <w:r w:rsidRPr="000E09F1">
        <w:rPr>
          <w:rFonts w:ascii="Verdana" w:eastAsia="Arial MT" w:hAnsi="Verdana" w:cs="Arial"/>
          <w:spacing w:val="1"/>
          <w:sz w:val="22"/>
          <w:lang w:val="es-ES"/>
        </w:rPr>
        <w:t xml:space="preserve"> </w:t>
      </w:r>
      <w:r w:rsidRPr="000E09F1">
        <w:rPr>
          <w:rFonts w:ascii="Verdana" w:eastAsia="Arial MT" w:hAnsi="Verdana" w:cs="Arial"/>
          <w:sz w:val="22"/>
          <w:lang w:val="es-ES"/>
        </w:rPr>
        <w:t>pues no se encuentra dentro de la restricción del artículo 2º, numeral</w:t>
      </w:r>
      <w:r w:rsidRPr="000E09F1">
        <w:rPr>
          <w:rFonts w:ascii="Verdana" w:eastAsia="Arial MT" w:hAnsi="Verdana" w:cs="Arial MT"/>
          <w:sz w:val="22"/>
          <w:lang w:val="es-ES"/>
        </w:rPr>
        <w:t xml:space="preserve"> 4º, </w:t>
      </w:r>
      <w:r w:rsidRPr="000E09F1">
        <w:rPr>
          <w:rFonts w:ascii="Verdana" w:eastAsia="Arial MT" w:hAnsi="Verdana" w:cs="Arial"/>
          <w:sz w:val="22"/>
          <w:lang w:val="es-ES"/>
        </w:rPr>
        <w:t>literal c), en el segundo</w:t>
      </w:r>
      <w:r w:rsidRPr="000E09F1">
        <w:rPr>
          <w:rFonts w:ascii="Verdana" w:eastAsia="Arial MT" w:hAnsi="Verdana" w:cs="Arial"/>
          <w:spacing w:val="-59"/>
          <w:sz w:val="22"/>
          <w:lang w:val="es-ES"/>
        </w:rPr>
        <w:t xml:space="preserve">    </w:t>
      </w:r>
      <w:r w:rsidRPr="000E09F1">
        <w:rPr>
          <w:rFonts w:ascii="Verdana" w:eastAsia="Arial MT" w:hAnsi="Verdana" w:cs="Arial"/>
          <w:sz w:val="22"/>
          <w:lang w:val="es-ES"/>
        </w:rPr>
        <w:t>inciso</w:t>
      </w:r>
      <w:r w:rsidRPr="000E09F1">
        <w:rPr>
          <w:rFonts w:ascii="Verdana" w:eastAsia="Arial MT" w:hAnsi="Verdana" w:cs="Arial"/>
          <w:spacing w:val="-2"/>
          <w:sz w:val="22"/>
          <w:lang w:val="es-ES"/>
        </w:rPr>
        <w:t xml:space="preserve"> </w:t>
      </w:r>
      <w:r w:rsidRPr="000E09F1">
        <w:rPr>
          <w:rFonts w:ascii="Verdana" w:eastAsia="Arial MT" w:hAnsi="Verdana" w:cs="Arial"/>
          <w:sz w:val="22"/>
          <w:lang w:val="es-ES"/>
        </w:rPr>
        <w:t>de</w:t>
      </w:r>
      <w:r w:rsidRPr="000E09F1">
        <w:rPr>
          <w:rFonts w:ascii="Verdana" w:eastAsia="Arial MT" w:hAnsi="Verdana" w:cs="Arial"/>
          <w:spacing w:val="-1"/>
          <w:sz w:val="22"/>
          <w:lang w:val="es-ES"/>
        </w:rPr>
        <w:t xml:space="preserve"> </w:t>
      </w:r>
      <w:r w:rsidRPr="000E09F1">
        <w:rPr>
          <w:rFonts w:ascii="Verdana" w:eastAsia="Arial MT" w:hAnsi="Verdana" w:cs="Arial"/>
          <w:sz w:val="22"/>
          <w:lang w:val="es-ES"/>
        </w:rPr>
        <w:t>la</w:t>
      </w:r>
      <w:r w:rsidRPr="000E09F1">
        <w:rPr>
          <w:rFonts w:ascii="Verdana" w:eastAsia="Arial MT" w:hAnsi="Verdana" w:cs="Arial"/>
          <w:spacing w:val="-1"/>
          <w:sz w:val="22"/>
          <w:lang w:val="es-ES"/>
        </w:rPr>
        <w:t xml:space="preserve"> </w:t>
      </w:r>
      <w:r w:rsidRPr="000E09F1">
        <w:rPr>
          <w:rFonts w:ascii="Verdana" w:eastAsia="Arial MT" w:hAnsi="Verdana" w:cs="Arial"/>
          <w:sz w:val="22"/>
          <w:lang w:val="es-ES"/>
        </w:rPr>
        <w:t>Ley</w:t>
      </w:r>
      <w:r w:rsidRPr="000E09F1">
        <w:rPr>
          <w:rFonts w:ascii="Verdana" w:eastAsia="Arial MT" w:hAnsi="Verdana" w:cs="Arial"/>
          <w:spacing w:val="-1"/>
          <w:sz w:val="22"/>
          <w:lang w:val="es-ES"/>
        </w:rPr>
        <w:t xml:space="preserve"> </w:t>
      </w:r>
      <w:r w:rsidRPr="000E09F1">
        <w:rPr>
          <w:rFonts w:ascii="Verdana" w:eastAsia="Arial MT" w:hAnsi="Verdana" w:cs="Arial"/>
          <w:sz w:val="22"/>
          <w:lang w:val="es-ES"/>
        </w:rPr>
        <w:t>1150</w:t>
      </w:r>
      <w:r w:rsidRPr="000E09F1">
        <w:rPr>
          <w:rFonts w:ascii="Verdana" w:eastAsia="Arial MT" w:hAnsi="Verdana" w:cs="Arial"/>
          <w:spacing w:val="-1"/>
          <w:sz w:val="22"/>
          <w:lang w:val="es-ES"/>
        </w:rPr>
        <w:t xml:space="preserve"> </w:t>
      </w:r>
      <w:r w:rsidRPr="000E09F1">
        <w:rPr>
          <w:rFonts w:ascii="Verdana" w:eastAsia="Arial MT" w:hAnsi="Verdana" w:cs="Arial"/>
          <w:sz w:val="22"/>
          <w:lang w:val="es-ES"/>
        </w:rPr>
        <w:t>de</w:t>
      </w:r>
      <w:r w:rsidRPr="000E09F1">
        <w:rPr>
          <w:rFonts w:ascii="Verdana" w:eastAsia="Arial MT" w:hAnsi="Verdana" w:cs="Arial"/>
          <w:spacing w:val="-1"/>
          <w:sz w:val="22"/>
          <w:lang w:val="es-ES"/>
        </w:rPr>
        <w:t xml:space="preserve"> </w:t>
      </w:r>
      <w:r w:rsidRPr="000E09F1">
        <w:rPr>
          <w:rFonts w:ascii="Verdana" w:eastAsia="Arial MT" w:hAnsi="Verdana" w:cs="Arial"/>
          <w:sz w:val="22"/>
          <w:lang w:val="es-ES"/>
        </w:rPr>
        <w:t>2007.</w:t>
      </w:r>
    </w:p>
    <w:bookmarkEnd w:id="5"/>
    <w:bookmarkEnd w:id="6"/>
    <w:p w14:paraId="69CC6E28" w14:textId="77777777" w:rsidR="003D74A4" w:rsidRPr="000E09F1" w:rsidRDefault="003D74A4" w:rsidP="000E09F1">
      <w:pPr>
        <w:pStyle w:val="Sinespaciado"/>
        <w:widowControl w:val="0"/>
        <w:autoSpaceDE w:val="0"/>
        <w:autoSpaceDN w:val="0"/>
        <w:spacing w:line="276" w:lineRule="auto"/>
        <w:ind w:left="720"/>
        <w:jc w:val="both"/>
        <w:rPr>
          <w:rFonts w:ascii="Verdana" w:eastAsia="Arial MT" w:hAnsi="Verdana" w:cs="Arial"/>
        </w:rPr>
      </w:pPr>
    </w:p>
    <w:p w14:paraId="3689EE9D" w14:textId="77777777" w:rsidR="000739BC" w:rsidRPr="00045B35" w:rsidRDefault="000739BC" w:rsidP="000739BC">
      <w:pPr>
        <w:numPr>
          <w:ilvl w:val="0"/>
          <w:numId w:val="19"/>
        </w:numPr>
        <w:spacing w:after="0" w:line="276" w:lineRule="auto"/>
        <w:contextualSpacing/>
        <w:jc w:val="both"/>
        <w:rPr>
          <w:rFonts w:ascii="Verdana" w:eastAsia="Calibri" w:hAnsi="Verdana" w:cs="Arial"/>
          <w:lang w:val="es-ES_tradnl"/>
        </w:rPr>
      </w:pPr>
      <w:r w:rsidRPr="00045B35">
        <w:rPr>
          <w:rFonts w:ascii="Verdana" w:eastAsia="Calibri" w:hAnsi="Verdana" w:cs="Arial"/>
          <w:lang w:val="es-ES_tradnl"/>
        </w:rPr>
        <w:t>De acuerdo con lo anterior, en respuesta a su consulta sobre cuál es la modalidad de selección aplicable a los contratos de interventoría con un valor</w:t>
      </w:r>
      <w:r>
        <w:rPr>
          <w:rFonts w:ascii="Verdana" w:eastAsia="Calibri" w:hAnsi="Verdana" w:cs="Arial"/>
          <w:lang w:val="es-ES_tradnl"/>
        </w:rPr>
        <w:t xml:space="preserve"> no determinado</w:t>
      </w:r>
      <w:r w:rsidRPr="00045B35">
        <w:rPr>
          <w:rFonts w:ascii="Verdana" w:eastAsia="Calibri" w:hAnsi="Verdana" w:cs="Arial"/>
          <w:lang w:val="es-ES_tradnl"/>
        </w:rPr>
        <w:t xml:space="preserve">, es forzoso concluir que, según la regla general prevista en el artículo 2, numeral 3 de la Ley 1150 de 2007, la modalidad aplicable es el concurso de méritos –abierto o con precalificación–, reglamentado en los artículos </w:t>
      </w:r>
      <w:r w:rsidRPr="007849D8">
        <w:rPr>
          <w:rStyle w:val="Textoennegrita"/>
          <w:rFonts w:ascii="Verdana" w:hAnsi="Verdana" w:cs="Arial"/>
          <w:b w:val="0"/>
          <w:bCs w:val="0"/>
          <w:color w:val="000000"/>
        </w:rPr>
        <w:t>2.2.1.2.1.3.1</w:t>
      </w:r>
      <w:r w:rsidRPr="00045B35">
        <w:rPr>
          <w:rFonts w:ascii="Verdana" w:eastAsia="Calibri" w:hAnsi="Verdana" w:cs="Arial"/>
          <w:lang w:val="es-ES_tradnl"/>
        </w:rPr>
        <w:t xml:space="preserve"> a </w:t>
      </w:r>
      <w:r w:rsidRPr="007849D8">
        <w:rPr>
          <w:rStyle w:val="Textoennegrita"/>
          <w:rFonts w:ascii="Verdana" w:hAnsi="Verdana" w:cs="Arial"/>
          <w:b w:val="0"/>
          <w:bCs w:val="0"/>
          <w:color w:val="000000"/>
        </w:rPr>
        <w:t>2.2.1.2.1.3.7. del Decreto 1082 de 2015.</w:t>
      </w:r>
      <w:r w:rsidRPr="00045B35">
        <w:rPr>
          <w:rFonts w:ascii="Verdana" w:eastAsia="Calibri" w:hAnsi="Verdana" w:cs="Arial"/>
          <w:lang w:val="es-ES_tradnl"/>
        </w:rPr>
        <w:t xml:space="preserve"> En este supuesto no resulta aplicable la modalidad de mínima cuantía, ya que al no haber un valor determinado del negocio jurídico no se cumplirá la condición de procedencia de la modalidad de mínima cuantía, esto es, que el valor del contrato sea inferior al 10% de la menor cuantía, cuestión que resulta imposible constatar si no hay un valor determinado para el contrato. </w:t>
      </w:r>
    </w:p>
    <w:p w14:paraId="6493DD51" w14:textId="77777777" w:rsidR="000739BC" w:rsidRPr="00045B35" w:rsidRDefault="000739BC" w:rsidP="000739BC">
      <w:pPr>
        <w:spacing w:line="276" w:lineRule="auto"/>
        <w:ind w:left="720"/>
        <w:contextualSpacing/>
        <w:jc w:val="both"/>
        <w:rPr>
          <w:rFonts w:ascii="Verdana" w:eastAsia="Calibri" w:hAnsi="Verdana" w:cs="Arial"/>
          <w:lang w:val="es-ES_tradnl"/>
        </w:rPr>
      </w:pPr>
    </w:p>
    <w:p w14:paraId="179E55ED" w14:textId="77777777" w:rsidR="000739BC" w:rsidRPr="00045B35" w:rsidRDefault="000739BC" w:rsidP="000739BC">
      <w:pPr>
        <w:numPr>
          <w:ilvl w:val="0"/>
          <w:numId w:val="19"/>
        </w:numPr>
        <w:spacing w:after="0" w:line="276" w:lineRule="auto"/>
        <w:contextualSpacing/>
        <w:jc w:val="both"/>
        <w:rPr>
          <w:rFonts w:ascii="Verdana" w:eastAsia="Calibri" w:hAnsi="Verdana" w:cs="Arial"/>
          <w:lang w:val="es-ES_tradnl"/>
        </w:rPr>
      </w:pPr>
      <w:r w:rsidRPr="00045B35">
        <w:rPr>
          <w:rFonts w:ascii="Verdana" w:eastAsia="Calibri" w:hAnsi="Verdana" w:cs="Arial"/>
          <w:lang w:val="es-ES_tradnl"/>
        </w:rPr>
        <w:t xml:space="preserve">No obstante, eventualmente podría aplicarse la modalidad de selección de mínima cuantía para la adjudicación de contratos de interventoría sin un valor determinado, pero determinable, cuando se haya previsto un presupuesto oficial limitativo–v.g. contratos por monto agotable– que no sobrepase el 10% de la menor cuantía de la Entidad Estatal. Esto comoquiera que, en este supuesto, el presupuesto oficial limitativo serviría para constatar que el valor al que podría ascender el contrato tras su ejecución no supere el umbral de la mínima cuantía.   </w:t>
      </w:r>
    </w:p>
    <w:p w14:paraId="30533559" w14:textId="77777777" w:rsidR="000739BC" w:rsidRPr="00045B35" w:rsidRDefault="000739BC" w:rsidP="000739BC">
      <w:pPr>
        <w:pStyle w:val="Prrafodelista"/>
        <w:rPr>
          <w:rFonts w:ascii="Verdana" w:eastAsia="Calibri" w:hAnsi="Verdana" w:cs="Arial"/>
          <w:lang w:val="es-ES_tradnl"/>
        </w:rPr>
      </w:pPr>
    </w:p>
    <w:p w14:paraId="03325F6B" w14:textId="77777777" w:rsidR="000739BC" w:rsidRPr="00045B35" w:rsidRDefault="000739BC" w:rsidP="057C4C74">
      <w:pPr>
        <w:pStyle w:val="Prrafodelista"/>
        <w:numPr>
          <w:ilvl w:val="0"/>
          <w:numId w:val="19"/>
        </w:numPr>
        <w:spacing w:line="276" w:lineRule="auto"/>
        <w:jc w:val="both"/>
        <w:rPr>
          <w:rFonts w:ascii="Verdana" w:eastAsia="Calibri" w:hAnsi="Verdana" w:cs="Arial"/>
        </w:rPr>
      </w:pPr>
      <w:r w:rsidRPr="057C4C74">
        <w:rPr>
          <w:rFonts w:ascii="Verdana" w:eastAsia="Calibri" w:hAnsi="Verdana" w:cs="Arial"/>
        </w:rPr>
        <w:t xml:space="preserve">Con todo, es importante anotar que, el valor es un elemento importante de los contratos estatales regidos por la Ley 80 de 1993, en tanto negocios jurídicos conmutativos, por lo que es uno de los aspectos que las Entidades Estatales deben establecer en la etapa de planeación del contrato, de manera que se refleje en los estudios previos y el pliego de condiciones, conforme se desprende de los artículos 2.2.1.1.2.1.1 y 2.2.1.1.2.1.3 del Decreto 1082 de 2015.  Establecer el valor del contrato además es una cuestión necesaria en aras de generar las apropiaciones </w:t>
      </w:r>
      <w:r w:rsidRPr="057C4C74">
        <w:rPr>
          <w:rFonts w:ascii="Verdana" w:eastAsia="Calibri" w:hAnsi="Verdana" w:cs="Arial"/>
        </w:rPr>
        <w:lastRenderedPageBreak/>
        <w:t xml:space="preserve">presupuestales requeridas para ejecución, de conformidad con el segundo inciso del artículo 41 de la Ley 80 de 1993.  En ese sentido, si bien la autonomía de la voluntad permite que se celebren contratos sin un valor especifico, es importante que durante la etapa de planeación se establezca al menos un valor estimado y la justificación del mismo, en aras de determinar el presupuesto oficial de la contratación. </w:t>
      </w:r>
    </w:p>
    <w:p w14:paraId="2A5F0CF8" w14:textId="77777777" w:rsidR="001119B6" w:rsidRPr="000E09F1" w:rsidRDefault="001119B6" w:rsidP="000E09F1">
      <w:pPr>
        <w:pStyle w:val="Prrafodelista"/>
        <w:rPr>
          <w:rFonts w:ascii="Verdana" w:eastAsia="Calibri" w:hAnsi="Verdana" w:cs="Arial"/>
          <w:lang w:val="es-ES_tradnl"/>
        </w:rPr>
      </w:pPr>
    </w:p>
    <w:p w14:paraId="028B76AF" w14:textId="33EDE130" w:rsidR="00AE07FC" w:rsidRPr="00045B35" w:rsidRDefault="001119B6" w:rsidP="00AE07FC">
      <w:pPr>
        <w:pStyle w:val="Prrafodelista"/>
        <w:numPr>
          <w:ilvl w:val="0"/>
          <w:numId w:val="19"/>
        </w:numPr>
        <w:spacing w:line="276" w:lineRule="auto"/>
        <w:jc w:val="both"/>
        <w:rPr>
          <w:rFonts w:ascii="Verdana" w:eastAsia="Calibri" w:hAnsi="Verdana" w:cs="Arial"/>
          <w:lang w:val="es-ES_tradnl"/>
        </w:rPr>
      </w:pPr>
      <w:r w:rsidRPr="00045B35">
        <w:rPr>
          <w:rFonts w:ascii="Verdana" w:eastAsia="Calibri" w:hAnsi="Verdana" w:cs="Arial"/>
          <w:lang w:val="es-ES_tradnl"/>
        </w:rPr>
        <w:t xml:space="preserve">Por último, en cuanto a las </w:t>
      </w:r>
      <w:r w:rsidR="00071065" w:rsidRPr="00045B35">
        <w:rPr>
          <w:rFonts w:ascii="Verdana" w:eastAsia="Calibri" w:hAnsi="Verdana" w:cs="Arial"/>
          <w:lang w:val="es-ES_tradnl"/>
        </w:rPr>
        <w:t>consecuencias de la aplicación incorrecta de las modalidades de selección</w:t>
      </w:r>
      <w:r w:rsidR="00951911" w:rsidRPr="00045B35">
        <w:rPr>
          <w:rFonts w:ascii="Verdana" w:eastAsia="Calibri" w:hAnsi="Verdana" w:cs="Arial"/>
          <w:lang w:val="es-ES_tradnl"/>
        </w:rPr>
        <w:t xml:space="preserve">, es necesario indicar que, </w:t>
      </w:r>
      <w:r w:rsidR="005975CF" w:rsidRPr="00045B35">
        <w:rPr>
          <w:rFonts w:ascii="Verdana" w:eastAsia="Calibri" w:hAnsi="Verdana" w:cs="Arial"/>
          <w:lang w:val="es-ES_tradnl"/>
        </w:rPr>
        <w:t xml:space="preserve">el alcance de la competencia consultiva de esta Agencia precisado </w:t>
      </w:r>
      <w:r w:rsidR="005975CF" w:rsidRPr="000E09F1">
        <w:rPr>
          <w:rFonts w:ascii="Verdana" w:eastAsia="Calibri" w:hAnsi="Verdana" w:cs="Arial"/>
          <w:i/>
          <w:iCs/>
          <w:lang w:val="es-ES_tradnl"/>
        </w:rPr>
        <w:t>ut supra</w:t>
      </w:r>
      <w:r w:rsidR="005975CF" w:rsidRPr="00045B35">
        <w:rPr>
          <w:rFonts w:ascii="Verdana" w:eastAsia="Calibri" w:hAnsi="Verdana" w:cs="Arial"/>
          <w:i/>
          <w:iCs/>
          <w:lang w:val="es-ES_tradnl"/>
        </w:rPr>
        <w:t xml:space="preserve">, </w:t>
      </w:r>
      <w:r w:rsidR="00951911" w:rsidRPr="00045B35">
        <w:rPr>
          <w:rFonts w:ascii="Verdana" w:eastAsia="Calibri" w:hAnsi="Verdana" w:cs="Arial"/>
          <w:lang w:val="es-ES_tradnl"/>
        </w:rPr>
        <w:t xml:space="preserve">no </w:t>
      </w:r>
      <w:r w:rsidR="005975CF" w:rsidRPr="00045B35">
        <w:rPr>
          <w:rFonts w:ascii="Verdana" w:eastAsia="Calibri" w:hAnsi="Verdana" w:cs="Arial"/>
          <w:lang w:val="es-ES_tradnl"/>
        </w:rPr>
        <w:t>le permite</w:t>
      </w:r>
      <w:r w:rsidR="00951911" w:rsidRPr="00045B35">
        <w:rPr>
          <w:rFonts w:ascii="Verdana" w:eastAsia="Calibri" w:hAnsi="Verdana" w:cs="Arial"/>
          <w:lang w:val="es-ES_tradnl"/>
        </w:rPr>
        <w:t xml:space="preserve"> a esta </w:t>
      </w:r>
      <w:r w:rsidR="00470C65" w:rsidRPr="00045B35">
        <w:rPr>
          <w:rFonts w:ascii="Verdana" w:eastAsia="Calibri" w:hAnsi="Verdana" w:cs="Arial"/>
          <w:lang w:val="es-ES_tradnl"/>
        </w:rPr>
        <w:t>e</w:t>
      </w:r>
      <w:r w:rsidR="00951911" w:rsidRPr="00045B35">
        <w:rPr>
          <w:rFonts w:ascii="Verdana" w:eastAsia="Calibri" w:hAnsi="Verdana" w:cs="Arial"/>
          <w:lang w:val="es-ES_tradnl"/>
        </w:rPr>
        <w:t>n</w:t>
      </w:r>
      <w:r w:rsidR="00035A11" w:rsidRPr="00045B35">
        <w:rPr>
          <w:rFonts w:ascii="Verdana" w:eastAsia="Calibri" w:hAnsi="Verdana" w:cs="Arial"/>
          <w:lang w:val="es-ES_tradnl"/>
        </w:rPr>
        <w:t xml:space="preserve">tidad </w:t>
      </w:r>
      <w:r w:rsidR="00470C65" w:rsidRPr="00045B35">
        <w:rPr>
          <w:rFonts w:ascii="Verdana" w:eastAsia="Calibri" w:hAnsi="Verdana" w:cs="Arial"/>
          <w:lang w:val="es-ES_tradnl"/>
        </w:rPr>
        <w:t>establecer juicios de valor sobre las actuaciones de otras Entidades Estatales</w:t>
      </w:r>
      <w:r w:rsidR="00770A31" w:rsidRPr="00045B35">
        <w:rPr>
          <w:rFonts w:ascii="Verdana" w:eastAsia="Calibri" w:hAnsi="Verdana" w:cs="Arial"/>
          <w:lang w:val="es-ES_tradnl"/>
        </w:rPr>
        <w:t xml:space="preserve">, cuestión que es del resorte de los órganos de control y entes judiciales. Sin perjuicio de esto, es importante poner de presente </w:t>
      </w:r>
      <w:r w:rsidR="00866E0B" w:rsidRPr="00045B35">
        <w:rPr>
          <w:rFonts w:ascii="Verdana" w:eastAsia="Calibri" w:hAnsi="Verdana" w:cs="Arial"/>
          <w:lang w:val="es-ES_tradnl"/>
        </w:rPr>
        <w:t xml:space="preserve">los artículos 44 </w:t>
      </w:r>
      <w:r w:rsidR="00FE7C83" w:rsidRPr="00045B35">
        <w:rPr>
          <w:rFonts w:ascii="Verdana" w:eastAsia="Calibri" w:hAnsi="Verdana" w:cs="Arial"/>
          <w:lang w:val="es-ES_tradnl"/>
        </w:rPr>
        <w:t xml:space="preserve">a 48 de la Ley 80 de 1993 regulan las nulidades en el contrato estatal, mientras que el artículo 51 </w:t>
      </w:r>
      <w:r w:rsidR="001F321B" w:rsidRPr="00045B35">
        <w:rPr>
          <w:rFonts w:ascii="Verdana" w:eastAsia="Calibri" w:hAnsi="Verdana" w:cs="Arial"/>
          <w:lang w:val="es-ES_tradnl"/>
        </w:rPr>
        <w:t xml:space="preserve">se refiere a la responsabilidad de los servidores públicos que intervienen en los procesos de contratación, normas que pudieran </w:t>
      </w:r>
      <w:r w:rsidR="00AE07FC" w:rsidRPr="00045B35">
        <w:rPr>
          <w:rFonts w:ascii="Verdana" w:eastAsia="Calibri" w:hAnsi="Verdana" w:cs="Arial"/>
          <w:lang w:val="es-ES_tradnl"/>
        </w:rPr>
        <w:t>ser relevantes para el análisis de esta cuestión.</w:t>
      </w:r>
    </w:p>
    <w:p w14:paraId="51C06620" w14:textId="77777777" w:rsidR="00AE07FC" w:rsidRPr="00045B35" w:rsidRDefault="00AE07FC" w:rsidP="000E09F1">
      <w:pPr>
        <w:pStyle w:val="Prrafodelista"/>
        <w:spacing w:after="0" w:line="276" w:lineRule="auto"/>
        <w:jc w:val="both"/>
        <w:rPr>
          <w:rFonts w:ascii="Verdana" w:eastAsia="Calibri" w:hAnsi="Verdana" w:cs="Arial"/>
          <w:lang w:val="es-ES_tradnl"/>
        </w:rPr>
      </w:pPr>
    </w:p>
    <w:p w14:paraId="12AC829B" w14:textId="77777777" w:rsidR="00CD7352" w:rsidRPr="00045B35" w:rsidRDefault="00CD7352" w:rsidP="00CD7352">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045B35">
        <w:rPr>
          <w:rFonts w:ascii="Verdana" w:eastAsia="Century Gothic" w:hAnsi="Verdana" w:cs="Century Gothic"/>
          <w:b/>
          <w:bCs/>
          <w:lang w:val="es-ES"/>
        </w:rPr>
        <w:t>Referencias normativas, jurisprudenciales y otras fuentes:</w:t>
      </w:r>
    </w:p>
    <w:p w14:paraId="7F1B23F6" w14:textId="77777777" w:rsidR="00CD7352" w:rsidRPr="00045B35" w:rsidRDefault="00CD7352" w:rsidP="00CD7352">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D7352" w:rsidRPr="00045B35" w14:paraId="5D3388C8" w14:textId="77777777" w:rsidTr="00E73FFA">
        <w:trPr>
          <w:trHeight w:val="870"/>
        </w:trPr>
        <w:tc>
          <w:tcPr>
            <w:tcW w:w="8647" w:type="dxa"/>
          </w:tcPr>
          <w:p w14:paraId="1743F00F" w14:textId="272B184A" w:rsidR="00CD7352" w:rsidRPr="00045B35" w:rsidRDefault="00CD7352" w:rsidP="00CD7352">
            <w:pPr>
              <w:widowControl w:val="0"/>
              <w:numPr>
                <w:ilvl w:val="0"/>
                <w:numId w:val="18"/>
              </w:numPr>
              <w:autoSpaceDE w:val="0"/>
              <w:autoSpaceDN w:val="0"/>
              <w:spacing w:after="120" w:line="276" w:lineRule="auto"/>
              <w:contextualSpacing/>
              <w:jc w:val="both"/>
              <w:rPr>
                <w:rFonts w:ascii="Verdana" w:hAnsi="Verdana" w:cs="Arial"/>
              </w:rPr>
            </w:pPr>
            <w:r w:rsidRPr="00045B35">
              <w:rPr>
                <w:rFonts w:ascii="Verdana" w:hAnsi="Verdana" w:cs="Arial"/>
              </w:rPr>
              <w:t>Ley 1150 de 2007, art</w:t>
            </w:r>
            <w:r w:rsidR="00D827C7" w:rsidRPr="00045B35">
              <w:rPr>
                <w:rFonts w:ascii="Verdana" w:hAnsi="Verdana" w:cs="Arial"/>
              </w:rPr>
              <w:t>í</w:t>
            </w:r>
            <w:r w:rsidRPr="00045B35">
              <w:rPr>
                <w:rFonts w:ascii="Verdana" w:hAnsi="Verdana" w:cs="Arial"/>
              </w:rPr>
              <w:t>culo 2, numerales  3, 4 y 5.</w:t>
            </w:r>
          </w:p>
          <w:p w14:paraId="3A2A5A38" w14:textId="77777777" w:rsidR="000A6607" w:rsidRDefault="000A6607" w:rsidP="000E09F1">
            <w:pPr>
              <w:widowControl w:val="0"/>
              <w:autoSpaceDE w:val="0"/>
              <w:autoSpaceDN w:val="0"/>
              <w:spacing w:after="120" w:line="276" w:lineRule="auto"/>
              <w:contextualSpacing/>
              <w:jc w:val="both"/>
              <w:rPr>
                <w:rFonts w:ascii="Verdana" w:hAnsi="Verdana" w:cs="Arial"/>
              </w:rPr>
            </w:pPr>
          </w:p>
          <w:p w14:paraId="6050AB14" w14:textId="00438AA4" w:rsidR="000A6607" w:rsidRDefault="000A6607" w:rsidP="000A6607">
            <w:pPr>
              <w:widowControl w:val="0"/>
              <w:numPr>
                <w:ilvl w:val="0"/>
                <w:numId w:val="18"/>
              </w:numPr>
              <w:autoSpaceDE w:val="0"/>
              <w:autoSpaceDN w:val="0"/>
              <w:spacing w:after="120" w:line="276" w:lineRule="auto"/>
              <w:contextualSpacing/>
              <w:jc w:val="both"/>
              <w:rPr>
                <w:rFonts w:ascii="Verdana" w:hAnsi="Verdana" w:cs="Arial"/>
              </w:rPr>
            </w:pPr>
            <w:r>
              <w:rPr>
                <w:rFonts w:ascii="Verdana" w:hAnsi="Verdana" w:cs="Arial"/>
              </w:rPr>
              <w:t>Ley 1474 de 2011, artículos 83, 84 y 85.</w:t>
            </w:r>
          </w:p>
          <w:p w14:paraId="3644924C" w14:textId="77777777" w:rsidR="000A6607" w:rsidRDefault="000A6607" w:rsidP="000E09F1">
            <w:pPr>
              <w:pStyle w:val="Prrafodelista"/>
              <w:rPr>
                <w:rFonts w:ascii="Verdana" w:hAnsi="Verdana" w:cs="Arial"/>
              </w:rPr>
            </w:pPr>
          </w:p>
          <w:p w14:paraId="21B7E597" w14:textId="77777777" w:rsidR="000A6607" w:rsidRPr="00045B35" w:rsidRDefault="000A6607" w:rsidP="000A6607">
            <w:pPr>
              <w:widowControl w:val="0"/>
              <w:numPr>
                <w:ilvl w:val="0"/>
                <w:numId w:val="18"/>
              </w:numPr>
              <w:autoSpaceDE w:val="0"/>
              <w:autoSpaceDN w:val="0"/>
              <w:spacing w:after="120" w:line="276" w:lineRule="auto"/>
              <w:contextualSpacing/>
              <w:jc w:val="both"/>
              <w:rPr>
                <w:rFonts w:ascii="Verdana" w:hAnsi="Verdana" w:cs="Arial"/>
              </w:rPr>
            </w:pPr>
            <w:r w:rsidRPr="00045B35">
              <w:rPr>
                <w:rFonts w:ascii="Verdana" w:hAnsi="Verdana" w:cs="Arial"/>
              </w:rPr>
              <w:t>Ley 1882 de 2018, artículo 4.</w:t>
            </w:r>
          </w:p>
          <w:p w14:paraId="5A01D16F" w14:textId="77777777" w:rsidR="000A6607" w:rsidRPr="00045B35" w:rsidRDefault="000A6607" w:rsidP="000E09F1">
            <w:pPr>
              <w:widowControl w:val="0"/>
              <w:autoSpaceDE w:val="0"/>
              <w:autoSpaceDN w:val="0"/>
              <w:spacing w:line="276" w:lineRule="auto"/>
              <w:jc w:val="both"/>
              <w:rPr>
                <w:rFonts w:ascii="Verdana" w:hAnsi="Verdana" w:cs="Arial"/>
              </w:rPr>
            </w:pPr>
          </w:p>
          <w:p w14:paraId="25426210" w14:textId="3B4F87C1" w:rsidR="00CD7352" w:rsidRPr="00045B35" w:rsidRDefault="00CD7352" w:rsidP="00CD7352">
            <w:pPr>
              <w:widowControl w:val="0"/>
              <w:numPr>
                <w:ilvl w:val="0"/>
                <w:numId w:val="18"/>
              </w:numPr>
              <w:autoSpaceDE w:val="0"/>
              <w:autoSpaceDN w:val="0"/>
              <w:spacing w:after="120" w:line="276" w:lineRule="auto"/>
              <w:contextualSpacing/>
              <w:jc w:val="both"/>
              <w:rPr>
                <w:rFonts w:ascii="Verdana" w:hAnsi="Verdana" w:cs="Arial"/>
              </w:rPr>
            </w:pPr>
            <w:r w:rsidRPr="00045B35">
              <w:rPr>
                <w:rFonts w:ascii="Verdana" w:hAnsi="Verdana" w:cs="Arial"/>
              </w:rPr>
              <w:t>Ley 2069 de 2020, art</w:t>
            </w:r>
            <w:r w:rsidR="00D827C7" w:rsidRPr="00045B35">
              <w:rPr>
                <w:rFonts w:ascii="Verdana" w:hAnsi="Verdana" w:cs="Arial"/>
              </w:rPr>
              <w:t>í</w:t>
            </w:r>
            <w:r w:rsidRPr="00045B35">
              <w:rPr>
                <w:rFonts w:ascii="Verdana" w:hAnsi="Verdana" w:cs="Arial"/>
              </w:rPr>
              <w:t>culo 30.</w:t>
            </w:r>
          </w:p>
          <w:p w14:paraId="0383F39A" w14:textId="00703240" w:rsidR="00EE74ED" w:rsidRPr="00045B35" w:rsidRDefault="00EE74ED" w:rsidP="000E09F1">
            <w:pPr>
              <w:pStyle w:val="Prrafodelista"/>
              <w:rPr>
                <w:rFonts w:ascii="Verdana" w:hAnsi="Verdana" w:cs="Arial"/>
              </w:rPr>
            </w:pPr>
          </w:p>
          <w:p w14:paraId="19CA5DFA" w14:textId="118C4CB0" w:rsidR="00EE74ED" w:rsidRPr="00045B35" w:rsidRDefault="00EE74ED" w:rsidP="00CD7352">
            <w:pPr>
              <w:widowControl w:val="0"/>
              <w:numPr>
                <w:ilvl w:val="0"/>
                <w:numId w:val="18"/>
              </w:numPr>
              <w:autoSpaceDE w:val="0"/>
              <w:autoSpaceDN w:val="0"/>
              <w:spacing w:after="120" w:line="276" w:lineRule="auto"/>
              <w:contextualSpacing/>
              <w:jc w:val="both"/>
              <w:rPr>
                <w:rFonts w:ascii="Verdana" w:hAnsi="Verdana" w:cs="Arial"/>
              </w:rPr>
            </w:pPr>
            <w:r w:rsidRPr="00045B35">
              <w:rPr>
                <w:rFonts w:ascii="Verdana" w:hAnsi="Verdana" w:cs="Arial"/>
              </w:rPr>
              <w:t xml:space="preserve">Decreto 1082 de 2015, artículos </w:t>
            </w:r>
            <w:r w:rsidRPr="00045B35">
              <w:rPr>
                <w:rStyle w:val="Textoennegrita"/>
                <w:rFonts w:ascii="Verdana" w:hAnsi="Verdana" w:cs="Arial"/>
                <w:b w:val="0"/>
                <w:bCs w:val="0"/>
                <w:color w:val="000000"/>
              </w:rPr>
              <w:t>2.2.1.2.1.3.1</w:t>
            </w:r>
            <w:r w:rsidRPr="00045B35">
              <w:rPr>
                <w:rFonts w:ascii="Verdana" w:eastAsia="Calibri" w:hAnsi="Verdana" w:cs="Arial"/>
                <w:lang w:val="es-ES_tradnl"/>
              </w:rPr>
              <w:t xml:space="preserve"> a </w:t>
            </w:r>
            <w:r w:rsidRPr="00045B35">
              <w:rPr>
                <w:rStyle w:val="Textoennegrita"/>
                <w:rFonts w:ascii="Verdana" w:hAnsi="Verdana" w:cs="Arial"/>
                <w:b w:val="0"/>
                <w:bCs w:val="0"/>
                <w:color w:val="000000"/>
              </w:rPr>
              <w:t>2.2.1.2.1.3.7</w:t>
            </w:r>
            <w:r w:rsidR="00D827C7" w:rsidRPr="00045B35">
              <w:rPr>
                <w:rStyle w:val="Textoennegrita"/>
                <w:rFonts w:ascii="Verdana" w:hAnsi="Verdana" w:cs="Arial"/>
                <w:b w:val="0"/>
                <w:bCs w:val="0"/>
                <w:color w:val="000000"/>
              </w:rPr>
              <w:t xml:space="preserve"> y 2.1.2.1.5.1. a 2.2.1.2.1.5.4.</w:t>
            </w:r>
            <w:r w:rsidRPr="00045B35">
              <w:rPr>
                <w:rStyle w:val="Textoennegrita"/>
                <w:rFonts w:ascii="Verdana" w:hAnsi="Verdana" w:cs="Arial"/>
                <w:b w:val="0"/>
                <w:bCs w:val="0"/>
                <w:color w:val="000000"/>
              </w:rPr>
              <w:t> </w:t>
            </w:r>
          </w:p>
          <w:p w14:paraId="14245A74" w14:textId="77777777" w:rsidR="00CD7352" w:rsidRPr="00045B35" w:rsidRDefault="00CD7352" w:rsidP="00CD7352">
            <w:pPr>
              <w:widowControl w:val="0"/>
              <w:autoSpaceDE w:val="0"/>
              <w:autoSpaceDN w:val="0"/>
              <w:spacing w:after="120" w:line="276" w:lineRule="auto"/>
              <w:ind w:left="720"/>
              <w:contextualSpacing/>
              <w:jc w:val="both"/>
              <w:rPr>
                <w:rFonts w:ascii="Verdana" w:hAnsi="Verdana" w:cs="Arial"/>
              </w:rPr>
            </w:pPr>
          </w:p>
          <w:p w14:paraId="51AECA3D" w14:textId="77777777" w:rsidR="00CD7352" w:rsidRPr="00045B35" w:rsidRDefault="00CD7352" w:rsidP="00CD7352">
            <w:pPr>
              <w:widowControl w:val="0"/>
              <w:numPr>
                <w:ilvl w:val="0"/>
                <w:numId w:val="18"/>
              </w:numPr>
              <w:autoSpaceDE w:val="0"/>
              <w:autoSpaceDN w:val="0"/>
              <w:spacing w:after="120" w:line="276" w:lineRule="auto"/>
              <w:jc w:val="both"/>
              <w:rPr>
                <w:rFonts w:ascii="Verdana" w:hAnsi="Verdana" w:cs="Arial"/>
              </w:rPr>
            </w:pPr>
            <w:r w:rsidRPr="00045B35">
              <w:rPr>
                <w:rFonts w:ascii="Verdana" w:hAnsi="Verdana" w:cs="Arial"/>
              </w:rPr>
              <w:t xml:space="preserve">Jurisprudencia del Consejo de Estado. Disponible en: </w:t>
            </w:r>
            <w:hyperlink r:id="rId12" w:history="1">
              <w:r w:rsidRPr="00045B35">
                <w:rPr>
                  <w:rFonts w:ascii="Verdana" w:hAnsi="Verdana" w:cs="Arial"/>
                  <w:color w:val="0563C1" w:themeColor="hyperlink"/>
                  <w:u w:val="single"/>
                </w:rPr>
                <w:t>https://relatoria.colombiacompra.gov.co/providencias-consejo-de-estado/</w:t>
              </w:r>
            </w:hyperlink>
            <w:r w:rsidRPr="00045B35">
              <w:rPr>
                <w:rFonts w:ascii="Verdana" w:hAnsi="Verdana" w:cs="Arial"/>
              </w:rPr>
              <w:t xml:space="preserve"> </w:t>
            </w:r>
          </w:p>
          <w:p w14:paraId="19F1681B" w14:textId="6B46F0B7" w:rsidR="00CD7352" w:rsidRPr="00045B35" w:rsidRDefault="003453E5" w:rsidP="000E09F1">
            <w:pPr>
              <w:widowControl w:val="0"/>
              <w:numPr>
                <w:ilvl w:val="0"/>
                <w:numId w:val="18"/>
              </w:numPr>
              <w:autoSpaceDE w:val="0"/>
              <w:autoSpaceDN w:val="0"/>
              <w:spacing w:after="120" w:line="276" w:lineRule="auto"/>
              <w:jc w:val="both"/>
              <w:rPr>
                <w:rFonts w:ascii="Verdana" w:hAnsi="Verdana" w:cs="Arial"/>
              </w:rPr>
            </w:pPr>
            <w:r w:rsidRPr="00045B35">
              <w:rPr>
                <w:rFonts w:ascii="Verdana" w:hAnsi="Verdana" w:cs="Arial"/>
              </w:rPr>
              <w:t>Manual de la Modalidad de Selección de Mínima Cuantía</w:t>
            </w:r>
            <w:r w:rsidR="00CD7352" w:rsidRPr="00045B35">
              <w:rPr>
                <w:rFonts w:ascii="Verdana" w:hAnsi="Verdana" w:cs="Arial"/>
              </w:rPr>
              <w:t>. Disponible en:</w:t>
            </w:r>
            <w:r w:rsidR="00CD7352" w:rsidRPr="000E09F1">
              <w:rPr>
                <w:rFonts w:ascii="Verdana" w:hAnsi="Verdana"/>
                <w:color w:val="7030A0"/>
              </w:rPr>
              <w:t xml:space="preserve"> </w:t>
            </w:r>
            <w:r w:rsidRPr="000E09F1">
              <w:rPr>
                <w:rFonts w:ascii="Verdana" w:hAnsi="Verdana"/>
                <w:color w:val="7030A0"/>
              </w:rPr>
              <w:t>https://www.colombiacompra.gov.co/sites/cce_public/files/cce_docu</w:t>
            </w:r>
            <w:r w:rsidRPr="000E09F1">
              <w:rPr>
                <w:rFonts w:ascii="Verdana" w:hAnsi="Verdana"/>
                <w:color w:val="7030A0"/>
              </w:rPr>
              <w:lastRenderedPageBreak/>
              <w:t>ments/manual_de_la_modalidad_de_seleccion_de_minima_cuantia.pdf</w:t>
            </w:r>
          </w:p>
        </w:tc>
      </w:tr>
    </w:tbl>
    <w:p w14:paraId="56312A01" w14:textId="60D40ACF" w:rsidR="00B50137" w:rsidRPr="00045B35" w:rsidRDefault="00B50137" w:rsidP="00CD7352">
      <w:pPr>
        <w:widowControl w:val="0"/>
        <w:autoSpaceDE w:val="0"/>
        <w:autoSpaceDN w:val="0"/>
        <w:spacing w:after="0" w:line="276" w:lineRule="auto"/>
        <w:jc w:val="both"/>
        <w:rPr>
          <w:rFonts w:ascii="Verdana" w:hAnsi="Verdana" w:cs="Arial"/>
        </w:rPr>
      </w:pPr>
    </w:p>
    <w:p w14:paraId="0821F002" w14:textId="77777777" w:rsidR="00CD7352" w:rsidRPr="00045B35" w:rsidRDefault="00CD7352" w:rsidP="00D827C7">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045B35">
        <w:rPr>
          <w:rFonts w:ascii="Verdana" w:eastAsia="Century Gothic" w:hAnsi="Verdana" w:cs="Century Gothic"/>
          <w:b/>
          <w:bCs/>
          <w:lang w:val="es-ES"/>
        </w:rPr>
        <w:t>Doctrina de la Agencia Nacional de Contratación Pública:</w:t>
      </w:r>
    </w:p>
    <w:p w14:paraId="19012C15" w14:textId="77777777" w:rsidR="00CD7352" w:rsidRPr="000E09F1" w:rsidRDefault="00CD7352" w:rsidP="00D827C7">
      <w:pPr>
        <w:widowControl w:val="0"/>
        <w:autoSpaceDE w:val="0"/>
        <w:autoSpaceDN w:val="0"/>
        <w:spacing w:after="0" w:line="276" w:lineRule="auto"/>
        <w:jc w:val="both"/>
        <w:rPr>
          <w:rFonts w:ascii="Verdana" w:hAnsi="Verdana" w:cs="Arial"/>
          <w:lang w:val="es-ES"/>
        </w:rPr>
      </w:pPr>
    </w:p>
    <w:p w14:paraId="220509B8" w14:textId="74E66405" w:rsidR="00CD7352" w:rsidRPr="00045B35" w:rsidRDefault="00CD7352" w:rsidP="00D827C7">
      <w:pPr>
        <w:widowControl w:val="0"/>
        <w:autoSpaceDE w:val="0"/>
        <w:autoSpaceDN w:val="0"/>
        <w:spacing w:after="0" w:line="276" w:lineRule="auto"/>
        <w:jc w:val="both"/>
        <w:rPr>
          <w:rFonts w:ascii="Verdana" w:hAnsi="Verdana" w:cs="Arial"/>
          <w:color w:val="FF0000"/>
          <w:shd w:val="clear" w:color="auto" w:fill="FFFFFF"/>
          <w:lang w:val="es-ES"/>
        </w:rPr>
      </w:pPr>
      <w:r w:rsidRPr="00045B35">
        <w:rPr>
          <w:rFonts w:ascii="Verdana" w:hAnsi="Verdana" w:cs="Arial"/>
          <w:shd w:val="clear" w:color="auto" w:fill="FFFFFF"/>
          <w:lang w:val="es-ES_tradnl"/>
        </w:rPr>
        <w:t xml:space="preserve">La Agencia Nacional de Contratación Pública – Colombia Compra Eficiente, se pronunció </w:t>
      </w:r>
      <w:r w:rsidR="0074763D" w:rsidRPr="000E09F1">
        <w:rPr>
          <w:rFonts w:ascii="Verdana" w:eastAsia="Calibri" w:hAnsi="Verdana" w:cs="Arial"/>
          <w:color w:val="000000"/>
        </w:rPr>
        <w:t xml:space="preserve">sobre la obligación de controlar y vigilar la ejecución de los contratos estatales, en los conceptos con radicado 4201913000004799 del 30 de agosto  de 2019 y 4201913000008240 del 20 de diciembre de 2019; y en los conceptos C-064 del 28 de febrero de 2020, C–077 del 18 de marzo de 2020, C–150 del 18 de marzo de 2020, C–134 del 30 de marzo de 2020, C–180 del 13 de abril de 2020, C-344 de 26 de mayo de 2020, C-765 de 1 de enero de 2021, C-603 de 02 de noviembre de 2021, C-745 de 3 de febrero de 2022, C-506 del 3 de agosto de 2022, C-577 del 15 de septiembre de 2022, C-620 del 27 de septiembre de 2022, C-930 de 30 de diciembre de 2022, C-095 del 12 de julio de 2024, entre otros. De igual manera, se ha pronunciado </w:t>
      </w:r>
      <w:r w:rsidRPr="00045B35">
        <w:rPr>
          <w:rFonts w:ascii="Verdana" w:hAnsi="Verdana" w:cs="Arial"/>
          <w:shd w:val="clear" w:color="auto" w:fill="FFFFFF"/>
          <w:lang w:val="es-ES_tradnl"/>
        </w:rPr>
        <w:t xml:space="preserve">sobre la concurrencia entre la mínima cuantía y otras modalidades de selección, mediante los conceptos C-108 del 3 de marzo de 2020, C-157 del 13 de abril de 2021 y C-557 de septiembre de 2022. Las ideas expuestas en dichas oportunidades se reiteran a continuación y se complementan en lo pertinente. </w:t>
      </w:r>
      <w:r w:rsidRPr="00045B35">
        <w:rPr>
          <w:rFonts w:ascii="Verdana" w:hAnsi="Verdana" w:cs="Arial"/>
          <w:shd w:val="clear" w:color="auto" w:fill="FFFFFF"/>
          <w:lang w:val="es-ES"/>
        </w:rPr>
        <w:t xml:space="preserve"> Es</w:t>
      </w:r>
      <w:r w:rsidRPr="00045B35">
        <w:rPr>
          <w:rFonts w:ascii="Verdana" w:hAnsi="Verdana"/>
        </w:rPr>
        <w:t>tos y otros conceptos se encuentran disponibles para consulta en el Sistema de relatoría de la Agencia, al cual se puede acceder a través del siguiente enlace:</w:t>
      </w:r>
      <w:r w:rsidRPr="00045B35">
        <w:rPr>
          <w:rFonts w:ascii="Verdana" w:hAnsi="Verdana" w:cs="Arial"/>
          <w:shd w:val="clear" w:color="auto" w:fill="FFFFFF"/>
          <w:lang w:val="es-ES"/>
        </w:rPr>
        <w:t xml:space="preserve"> </w:t>
      </w:r>
      <w:hyperlink r:id="rId13" w:history="1">
        <w:r w:rsidRPr="00045B35">
          <w:rPr>
            <w:rFonts w:ascii="Verdana" w:hAnsi="Verdana" w:cs="Arial"/>
            <w:color w:val="0563C1" w:themeColor="hyperlink"/>
            <w:u w:val="single"/>
            <w:shd w:val="clear" w:color="auto" w:fill="FFFFFF"/>
            <w:lang w:val="es-ES"/>
          </w:rPr>
          <w:t>https://relatoria.colombiacompra.gov.co/busqueda/conceptos</w:t>
        </w:r>
      </w:hyperlink>
      <w:r w:rsidRPr="00045B35">
        <w:rPr>
          <w:rFonts w:ascii="Verdana" w:hAnsi="Verdana" w:cs="Arial"/>
          <w:color w:val="FF0000"/>
          <w:shd w:val="clear" w:color="auto" w:fill="FFFFFF"/>
          <w:lang w:val="es-ES"/>
        </w:rPr>
        <w:t xml:space="preserve">. </w:t>
      </w:r>
    </w:p>
    <w:p w14:paraId="36529177" w14:textId="77777777" w:rsidR="00CD7352" w:rsidRPr="00045B35" w:rsidRDefault="00CD7352" w:rsidP="00D827C7">
      <w:pPr>
        <w:widowControl w:val="0"/>
        <w:autoSpaceDE w:val="0"/>
        <w:autoSpaceDN w:val="0"/>
        <w:spacing w:after="0" w:line="276" w:lineRule="auto"/>
        <w:jc w:val="both"/>
        <w:rPr>
          <w:rFonts w:ascii="Verdana" w:hAnsi="Verdana" w:cs="Arial"/>
          <w:color w:val="FF0000"/>
          <w:shd w:val="clear" w:color="auto" w:fill="FFFFFF"/>
          <w:lang w:val="es-ES"/>
        </w:rPr>
      </w:pPr>
    </w:p>
    <w:p w14:paraId="18A34FDC" w14:textId="77777777" w:rsidR="00CD7352" w:rsidRPr="00045B35" w:rsidRDefault="00CD7352" w:rsidP="00D827C7">
      <w:pPr>
        <w:widowControl w:val="0"/>
        <w:autoSpaceDE w:val="0"/>
        <w:autoSpaceDN w:val="0"/>
        <w:spacing w:after="0" w:line="276" w:lineRule="auto"/>
        <w:jc w:val="both"/>
        <w:rPr>
          <w:rFonts w:ascii="Verdana" w:hAnsi="Verdana" w:cs="Arial"/>
          <w:color w:val="FF0000"/>
          <w:shd w:val="clear" w:color="auto" w:fill="FFFFFF"/>
          <w:lang w:val="es-ES"/>
        </w:rPr>
      </w:pPr>
      <w:r w:rsidRPr="00045B35">
        <w:rPr>
          <w:rFonts w:ascii="Verdana" w:hAnsi="Verdana" w:cs="Arial"/>
          <w:shd w:val="clear" w:color="auto" w:fill="FFFFFF"/>
          <w:lang w:val="es-ES"/>
        </w:rPr>
        <w:t xml:space="preserve">También le invitamos a consultar las versiones I y II de 2024 del Boletín de Relatoría de la Subdirección de Gestión Contractual, las cuales puede descargar en la página web de la Agencia: </w:t>
      </w:r>
      <w:hyperlink r:id="rId14" w:history="1">
        <w:r w:rsidRPr="00045B35">
          <w:rPr>
            <w:rFonts w:ascii="Verdana" w:hAnsi="Verdana" w:cs="Arial"/>
            <w:color w:val="0563C1" w:themeColor="hyperlink"/>
            <w:u w:val="single"/>
            <w:shd w:val="clear" w:color="auto" w:fill="FFFFFF"/>
            <w:lang w:val="es-ES"/>
          </w:rPr>
          <w:t>https://www.colombiacompra.gov.co/sala-de-prensa/boletin-digital</w:t>
        </w:r>
      </w:hyperlink>
      <w:r w:rsidRPr="00045B35">
        <w:rPr>
          <w:rFonts w:ascii="Verdana" w:hAnsi="Verdana" w:cs="Arial"/>
          <w:color w:val="FF0000"/>
          <w:shd w:val="clear" w:color="auto" w:fill="FFFFFF"/>
          <w:lang w:val="es-ES"/>
        </w:rPr>
        <w:t xml:space="preserve">      </w:t>
      </w:r>
    </w:p>
    <w:p w14:paraId="5FFD3ED3" w14:textId="77777777" w:rsidR="0055453B" w:rsidRPr="00045B35" w:rsidRDefault="0055453B" w:rsidP="00D827C7">
      <w:pPr>
        <w:spacing w:after="0" w:line="276" w:lineRule="auto"/>
        <w:jc w:val="both"/>
        <w:rPr>
          <w:rFonts w:ascii="Verdana" w:hAnsi="Verdana"/>
        </w:rPr>
      </w:pPr>
    </w:p>
    <w:p w14:paraId="4C3B654A" w14:textId="372D4D5A" w:rsidR="00CD7352" w:rsidRPr="00045B35" w:rsidRDefault="00CD7352" w:rsidP="000E09F1">
      <w:pPr>
        <w:spacing w:after="0" w:line="276" w:lineRule="auto"/>
        <w:jc w:val="both"/>
        <w:rPr>
          <w:rFonts w:ascii="Verdana" w:hAnsi="Verdana"/>
        </w:rPr>
      </w:pPr>
      <w:r w:rsidRPr="00045B35">
        <w:rPr>
          <w:rFonts w:ascii="Verdana" w:hAnsi="Verdana"/>
        </w:rPr>
        <w:t xml:space="preserve">Por último, lo invitamos a seguirnos en las redes sociales en las cuales se difunde información institucional: </w:t>
      </w:r>
    </w:p>
    <w:p w14:paraId="1DA9B4D5" w14:textId="77777777" w:rsidR="00CD7352" w:rsidRPr="00045B35" w:rsidRDefault="00CD7352" w:rsidP="000E09F1">
      <w:pPr>
        <w:spacing w:after="0" w:line="276" w:lineRule="auto"/>
        <w:jc w:val="both"/>
        <w:rPr>
          <w:rFonts w:ascii="Verdana" w:hAnsi="Verdana"/>
        </w:rPr>
      </w:pPr>
    </w:p>
    <w:p w14:paraId="128B06E7" w14:textId="77777777" w:rsidR="00CD7352" w:rsidRPr="00045B35" w:rsidRDefault="00CD7352" w:rsidP="000E09F1">
      <w:pPr>
        <w:spacing w:after="0" w:line="276" w:lineRule="auto"/>
        <w:jc w:val="both"/>
        <w:rPr>
          <w:rFonts w:ascii="Verdana" w:hAnsi="Verdana"/>
        </w:rPr>
      </w:pPr>
      <w:r w:rsidRPr="00045B35">
        <w:rPr>
          <w:rFonts w:ascii="Verdana" w:hAnsi="Verdana"/>
        </w:rPr>
        <w:t xml:space="preserve">Twitter: </w:t>
      </w:r>
      <w:r w:rsidRPr="00045B35">
        <w:rPr>
          <w:rFonts w:ascii="Verdana" w:hAnsi="Verdana"/>
          <w:color w:val="4472C4" w:themeColor="accent1"/>
          <w:u w:val="single"/>
        </w:rPr>
        <w:t>@colombiacompra</w:t>
      </w:r>
      <w:r w:rsidRPr="00045B35">
        <w:rPr>
          <w:rFonts w:ascii="Verdana" w:hAnsi="Verdana"/>
          <w:color w:val="4472C4" w:themeColor="accent1"/>
        </w:rPr>
        <w:t xml:space="preserve"> </w:t>
      </w:r>
    </w:p>
    <w:p w14:paraId="7A94963E" w14:textId="77777777" w:rsidR="00CD7352" w:rsidRPr="00045B35" w:rsidRDefault="00CD7352" w:rsidP="000E09F1">
      <w:pPr>
        <w:spacing w:after="0" w:line="276" w:lineRule="auto"/>
        <w:jc w:val="both"/>
        <w:rPr>
          <w:rFonts w:ascii="Verdana" w:hAnsi="Verdana"/>
        </w:rPr>
      </w:pPr>
      <w:r w:rsidRPr="00045B35">
        <w:rPr>
          <w:rFonts w:ascii="Verdana" w:hAnsi="Verdana"/>
        </w:rPr>
        <w:t xml:space="preserve">Facebook: </w:t>
      </w:r>
      <w:proofErr w:type="spellStart"/>
      <w:r w:rsidRPr="00045B35">
        <w:rPr>
          <w:rFonts w:ascii="Verdana" w:hAnsi="Verdana"/>
          <w:color w:val="4472C4" w:themeColor="accent1"/>
          <w:u w:val="single"/>
        </w:rPr>
        <w:t>ColombiaCompraEficiente</w:t>
      </w:r>
      <w:proofErr w:type="spellEnd"/>
    </w:p>
    <w:p w14:paraId="3154CFEC" w14:textId="77777777" w:rsidR="00CD7352" w:rsidRPr="00045B35" w:rsidRDefault="00CD7352" w:rsidP="000E09F1">
      <w:pPr>
        <w:spacing w:after="0" w:line="276" w:lineRule="auto"/>
        <w:jc w:val="both"/>
        <w:rPr>
          <w:rFonts w:ascii="Verdana" w:hAnsi="Verdana"/>
        </w:rPr>
      </w:pPr>
      <w:r w:rsidRPr="00045B35">
        <w:rPr>
          <w:rFonts w:ascii="Verdana" w:hAnsi="Verdana"/>
        </w:rPr>
        <w:t xml:space="preserve">LinkedIn: </w:t>
      </w:r>
      <w:r w:rsidRPr="00045B35">
        <w:rPr>
          <w:rFonts w:ascii="Verdana" w:hAnsi="Verdana"/>
          <w:color w:val="4472C4" w:themeColor="accent1"/>
          <w:u w:val="single"/>
        </w:rPr>
        <w:t>Agencia Nacional de Contratación Pública - Colombia Compra Eficiente</w:t>
      </w:r>
      <w:r w:rsidRPr="00045B35">
        <w:rPr>
          <w:rFonts w:ascii="Verdana" w:hAnsi="Verdana"/>
          <w:color w:val="4472C4" w:themeColor="accent1"/>
        </w:rPr>
        <w:t xml:space="preserve"> </w:t>
      </w:r>
      <w:r w:rsidRPr="00045B35">
        <w:rPr>
          <w:rFonts w:ascii="Verdana" w:hAnsi="Verdana"/>
        </w:rPr>
        <w:t xml:space="preserve">Instagram: </w:t>
      </w:r>
      <w:r w:rsidRPr="00045B35">
        <w:rPr>
          <w:rFonts w:ascii="Verdana" w:hAnsi="Verdana"/>
          <w:color w:val="4472C4" w:themeColor="accent1"/>
          <w:u w:val="single"/>
        </w:rPr>
        <w:t>@colombiacompraeficiente_cce</w:t>
      </w:r>
    </w:p>
    <w:p w14:paraId="1DB94CE7" w14:textId="77777777" w:rsidR="00CD7352" w:rsidRPr="00045B35" w:rsidRDefault="00CD7352" w:rsidP="00D827C7">
      <w:pPr>
        <w:widowControl w:val="0"/>
        <w:autoSpaceDE w:val="0"/>
        <w:autoSpaceDN w:val="0"/>
        <w:spacing w:after="0" w:line="276" w:lineRule="auto"/>
        <w:jc w:val="both"/>
        <w:rPr>
          <w:rFonts w:ascii="Verdana" w:hAnsi="Verdana" w:cs="Arial"/>
        </w:rPr>
      </w:pPr>
    </w:p>
    <w:p w14:paraId="68C80E49" w14:textId="73119A7E" w:rsidR="00CD7352" w:rsidRPr="00045B35" w:rsidRDefault="00CD7352" w:rsidP="00CD7352">
      <w:pPr>
        <w:widowControl w:val="0"/>
        <w:autoSpaceDE w:val="0"/>
        <w:autoSpaceDN w:val="0"/>
        <w:spacing w:after="0" w:line="276" w:lineRule="auto"/>
        <w:jc w:val="both"/>
        <w:rPr>
          <w:rFonts w:ascii="Verdana" w:hAnsi="Verdana" w:cs="Arial"/>
          <w:lang w:val="es-ES_tradnl"/>
        </w:rPr>
      </w:pPr>
      <w:r w:rsidRPr="00045B35">
        <w:rPr>
          <w:rFonts w:ascii="Verdana" w:hAnsi="Verdana" w:cs="Arial"/>
        </w:rPr>
        <w:t xml:space="preserve">Este concepto tiene el alcance previsto en el artículo 28 del Código de </w:t>
      </w:r>
      <w:r w:rsidRPr="00045B35">
        <w:rPr>
          <w:rFonts w:ascii="Verdana" w:hAnsi="Verdana" w:cs="Arial"/>
        </w:rPr>
        <w:lastRenderedPageBreak/>
        <w:t>Procedimiento Administrativo y de lo Contencioso Administrativo</w:t>
      </w:r>
      <w:r w:rsidR="00390881">
        <w:rPr>
          <w:rFonts w:ascii="Verdana" w:hAnsi="Verdana" w:cs="Arial"/>
        </w:rPr>
        <w:t>,</w:t>
      </w:r>
    </w:p>
    <w:p w14:paraId="5DD8F496" w14:textId="77777777" w:rsidR="00CD7352" w:rsidRPr="00045B35" w:rsidRDefault="00CD7352" w:rsidP="00CD7352">
      <w:pPr>
        <w:widowControl w:val="0"/>
        <w:autoSpaceDE w:val="0"/>
        <w:autoSpaceDN w:val="0"/>
        <w:spacing w:after="0" w:line="276" w:lineRule="auto"/>
        <w:jc w:val="both"/>
        <w:rPr>
          <w:rFonts w:ascii="Verdana" w:hAnsi="Verdana" w:cs="Arial"/>
        </w:rPr>
      </w:pPr>
    </w:p>
    <w:p w14:paraId="672C182C" w14:textId="77777777" w:rsidR="00CD7352" w:rsidRPr="00045B35" w:rsidRDefault="00CD7352" w:rsidP="00CD7352">
      <w:pPr>
        <w:spacing w:after="0" w:line="240" w:lineRule="auto"/>
        <w:rPr>
          <w:rFonts w:ascii="Verdana" w:hAnsi="Verdana" w:cs="Arial"/>
          <w:lang w:eastAsia="es-CO"/>
        </w:rPr>
      </w:pPr>
      <w:r w:rsidRPr="00045B35">
        <w:rPr>
          <w:rFonts w:ascii="Verdana" w:eastAsia="Times New Roman" w:hAnsi="Verdana" w:cs="Arial"/>
          <w:lang w:eastAsia="es-CO"/>
        </w:rPr>
        <w:t>Atentamente,</w:t>
      </w:r>
      <w:r w:rsidRPr="00045B35">
        <w:rPr>
          <w:rFonts w:ascii="Verdana" w:hAnsi="Verdana" w:cs="Arial"/>
          <w:lang w:eastAsia="es-CO"/>
        </w:rPr>
        <w:t xml:space="preserve"> </w:t>
      </w:r>
    </w:p>
    <w:p w14:paraId="21A84F97" w14:textId="3564CB59" w:rsidR="00CD7352" w:rsidRPr="00045B35" w:rsidRDefault="002C6742" w:rsidP="00CD7352">
      <w:pPr>
        <w:spacing w:line="276" w:lineRule="auto"/>
        <w:jc w:val="center"/>
        <w:rPr>
          <w:rFonts w:ascii="Verdana" w:hAnsi="Verdana" w:cs="Arial"/>
          <w:color w:val="000000"/>
          <w:lang w:val="es-ES_tradnl" w:eastAsia="es-CO"/>
        </w:rPr>
      </w:pPr>
      <w:r w:rsidRPr="002C3AD6">
        <w:rPr>
          <w:rFonts w:ascii="Century Gothic" w:hAnsi="Century Gothic"/>
          <w:noProof/>
        </w:rPr>
        <w:drawing>
          <wp:inline distT="0" distB="0" distL="0" distR="0" wp14:anchorId="20256454" wp14:editId="5586A2C9">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D7352" w:rsidRPr="00045B35" w14:paraId="3BFA5AEF" w14:textId="77777777" w:rsidTr="00E73FFA">
        <w:trPr>
          <w:trHeight w:val="315"/>
        </w:trPr>
        <w:tc>
          <w:tcPr>
            <w:tcW w:w="893" w:type="dxa"/>
            <w:vAlign w:val="center"/>
            <w:hideMark/>
          </w:tcPr>
          <w:p w14:paraId="51021425" w14:textId="77777777" w:rsidR="00CD7352" w:rsidRPr="00045B35" w:rsidRDefault="00CD7352" w:rsidP="00CD7352">
            <w:pPr>
              <w:contextualSpacing/>
              <w:rPr>
                <w:rFonts w:ascii="Verdana" w:hAnsi="Verdana" w:cs="Arial"/>
                <w:sz w:val="16"/>
                <w:szCs w:val="16"/>
                <w:lang w:val="es-ES" w:eastAsia="es-ES"/>
              </w:rPr>
            </w:pPr>
            <w:r w:rsidRPr="00045B35">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7CBA36F" w14:textId="77777777" w:rsidR="00CD7352" w:rsidRPr="00045B35" w:rsidRDefault="00CD7352" w:rsidP="00CD7352">
            <w:pPr>
              <w:contextualSpacing/>
              <w:rPr>
                <w:rFonts w:ascii="Verdana" w:eastAsia="Arial" w:hAnsi="Verdana" w:cs="Arial"/>
                <w:sz w:val="16"/>
                <w:szCs w:val="16"/>
              </w:rPr>
            </w:pPr>
            <w:r w:rsidRPr="00045B35">
              <w:rPr>
                <w:rFonts w:ascii="Verdana" w:hAnsi="Verdana"/>
                <w:sz w:val="16"/>
                <w:szCs w:val="16"/>
              </w:rPr>
              <w:t>Juan Manuel Avendaño Robles</w:t>
            </w:r>
          </w:p>
          <w:p w14:paraId="3A49CAEB" w14:textId="77777777" w:rsidR="00CD7352" w:rsidRPr="00045B35" w:rsidRDefault="00CD7352" w:rsidP="00CD7352">
            <w:pPr>
              <w:contextualSpacing/>
              <w:rPr>
                <w:rFonts w:ascii="Verdana" w:eastAsia="Arial" w:hAnsi="Verdana" w:cs="Arial"/>
                <w:sz w:val="16"/>
                <w:szCs w:val="16"/>
              </w:rPr>
            </w:pPr>
            <w:r w:rsidRPr="00045B35">
              <w:rPr>
                <w:rFonts w:ascii="Verdana" w:eastAsia="Arial" w:hAnsi="Verdana" w:cs="Arial"/>
                <w:sz w:val="16"/>
                <w:szCs w:val="16"/>
              </w:rPr>
              <w:t>Contratista de la Subdirección de Gestión Contractual</w:t>
            </w:r>
          </w:p>
        </w:tc>
      </w:tr>
      <w:tr w:rsidR="00CD7352" w:rsidRPr="00045B35" w14:paraId="0A56843C" w14:textId="77777777" w:rsidTr="00E73FFA">
        <w:trPr>
          <w:trHeight w:val="330"/>
        </w:trPr>
        <w:tc>
          <w:tcPr>
            <w:tcW w:w="893" w:type="dxa"/>
            <w:vAlign w:val="center"/>
            <w:hideMark/>
          </w:tcPr>
          <w:p w14:paraId="0E7F5A32" w14:textId="77777777" w:rsidR="00CD7352" w:rsidRPr="00045B35" w:rsidRDefault="00CD7352" w:rsidP="00CD7352">
            <w:pPr>
              <w:contextualSpacing/>
              <w:rPr>
                <w:rFonts w:ascii="Verdana" w:hAnsi="Verdana" w:cs="Arial"/>
                <w:sz w:val="16"/>
                <w:szCs w:val="16"/>
                <w:lang w:val="es-ES" w:eastAsia="es-ES"/>
              </w:rPr>
            </w:pPr>
            <w:r w:rsidRPr="00045B35">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6B3DBB3" w14:textId="77777777" w:rsidR="00CD7352" w:rsidRPr="00045B35" w:rsidRDefault="00CD7352" w:rsidP="00CD7352">
            <w:pPr>
              <w:contextualSpacing/>
              <w:textAlignment w:val="baseline"/>
              <w:rPr>
                <w:rFonts w:ascii="Verdana" w:eastAsia="Times New Roman" w:hAnsi="Verdana" w:cs="Segoe UI"/>
                <w:sz w:val="16"/>
                <w:szCs w:val="16"/>
                <w:lang w:eastAsia="es-ES_tradnl"/>
              </w:rPr>
            </w:pPr>
            <w:r w:rsidRPr="00045B35">
              <w:rPr>
                <w:rFonts w:ascii="Verdana" w:eastAsia="Times New Roman" w:hAnsi="Verdana" w:cs="Arial"/>
                <w:sz w:val="16"/>
                <w:szCs w:val="16"/>
                <w:lang w:val="es-ES" w:eastAsia="es-ES_tradnl"/>
              </w:rPr>
              <w:t>Alejandro Sarmiento Gamboa</w:t>
            </w:r>
          </w:p>
          <w:p w14:paraId="7D0029F5" w14:textId="77777777" w:rsidR="00CD7352" w:rsidRPr="00045B35" w:rsidRDefault="00CD7352" w:rsidP="00CD7352">
            <w:pPr>
              <w:contextualSpacing/>
              <w:textAlignment w:val="baseline"/>
              <w:rPr>
                <w:rFonts w:ascii="Verdana" w:eastAsia="Times New Roman" w:hAnsi="Verdana" w:cs="Segoe UI"/>
                <w:sz w:val="16"/>
                <w:szCs w:val="16"/>
                <w:lang w:eastAsia="es-ES_tradnl"/>
              </w:rPr>
            </w:pPr>
            <w:r w:rsidRPr="00045B35">
              <w:rPr>
                <w:rFonts w:ascii="Verdana" w:eastAsia="Times New Roman" w:hAnsi="Verdana" w:cs="Arial"/>
                <w:sz w:val="16"/>
                <w:szCs w:val="16"/>
                <w:lang w:val="es-ES" w:eastAsia="es-ES_tradnl"/>
              </w:rPr>
              <w:t>Gestor T15 Grado 15 de la Subdirección de Gestión Contractual</w:t>
            </w:r>
            <w:r w:rsidRPr="00045B35">
              <w:rPr>
                <w:rFonts w:ascii="Verdana" w:eastAsia="Times New Roman" w:hAnsi="Verdana" w:cs="Arial"/>
                <w:sz w:val="16"/>
                <w:szCs w:val="16"/>
                <w:lang w:eastAsia="es-ES_tradnl"/>
              </w:rPr>
              <w:t> </w:t>
            </w:r>
          </w:p>
        </w:tc>
      </w:tr>
      <w:tr w:rsidR="00CD7352" w:rsidRPr="00045B35" w14:paraId="3D424318" w14:textId="77777777" w:rsidTr="00E73FFA">
        <w:trPr>
          <w:trHeight w:val="300"/>
        </w:trPr>
        <w:tc>
          <w:tcPr>
            <w:tcW w:w="893" w:type="dxa"/>
            <w:vAlign w:val="center"/>
          </w:tcPr>
          <w:p w14:paraId="341B9863" w14:textId="77777777" w:rsidR="00CD7352" w:rsidRPr="00045B35" w:rsidRDefault="00CD7352" w:rsidP="00CD7352">
            <w:pPr>
              <w:contextualSpacing/>
              <w:rPr>
                <w:rFonts w:ascii="Verdana" w:hAnsi="Verdana" w:cs="Arial"/>
                <w:sz w:val="16"/>
                <w:szCs w:val="16"/>
                <w:lang w:val="es-ES" w:eastAsia="es-ES"/>
              </w:rPr>
            </w:pPr>
            <w:r w:rsidRPr="00045B35">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1B1D659" w14:textId="77777777" w:rsidR="00CD7352" w:rsidRPr="00045B35" w:rsidRDefault="00CD7352" w:rsidP="00CD7352">
            <w:pPr>
              <w:contextualSpacing/>
              <w:rPr>
                <w:rFonts w:ascii="Verdana" w:eastAsia="Calibri" w:hAnsi="Verdana" w:cs="Arial"/>
                <w:sz w:val="16"/>
                <w:szCs w:val="16"/>
                <w:lang w:val="pt-BR" w:eastAsia="es-ES"/>
              </w:rPr>
            </w:pPr>
            <w:r w:rsidRPr="00045B35">
              <w:rPr>
                <w:rFonts w:ascii="Verdana" w:eastAsia="Calibri" w:hAnsi="Verdana" w:cs="Arial"/>
                <w:sz w:val="16"/>
                <w:szCs w:val="16"/>
                <w:lang w:val="pt-BR" w:eastAsia="es-ES"/>
              </w:rPr>
              <w:t xml:space="preserve">Carolina Quintero </w:t>
            </w:r>
            <w:proofErr w:type="spellStart"/>
            <w:r w:rsidRPr="00045B35">
              <w:rPr>
                <w:rFonts w:ascii="Verdana" w:eastAsia="Calibri" w:hAnsi="Verdana" w:cs="Arial"/>
                <w:sz w:val="16"/>
                <w:szCs w:val="16"/>
                <w:lang w:val="pt-BR" w:eastAsia="es-ES"/>
              </w:rPr>
              <w:t>Gacharná</w:t>
            </w:r>
            <w:proofErr w:type="spellEnd"/>
          </w:p>
          <w:p w14:paraId="3E78D9A4" w14:textId="77777777" w:rsidR="00CD7352" w:rsidRPr="00045B35" w:rsidRDefault="00CD7352" w:rsidP="00CD7352">
            <w:pPr>
              <w:contextualSpacing/>
              <w:rPr>
                <w:rFonts w:ascii="Verdana" w:eastAsia="Calibri" w:hAnsi="Verdana" w:cs="Arial"/>
                <w:sz w:val="16"/>
                <w:szCs w:val="16"/>
                <w:lang w:val="pt-BR" w:eastAsia="es-ES"/>
              </w:rPr>
            </w:pPr>
            <w:r w:rsidRPr="00045B35">
              <w:rPr>
                <w:rFonts w:ascii="Verdana" w:eastAsia="Calibri" w:hAnsi="Verdana" w:cs="Arial"/>
                <w:sz w:val="16"/>
                <w:szCs w:val="16"/>
                <w:lang w:eastAsia="es-ES"/>
              </w:rPr>
              <w:t>Subdirectora</w:t>
            </w:r>
            <w:r w:rsidRPr="00045B35">
              <w:rPr>
                <w:rFonts w:ascii="Verdana" w:eastAsia="Calibri" w:hAnsi="Verdana" w:cs="Arial"/>
                <w:sz w:val="16"/>
                <w:szCs w:val="16"/>
                <w:lang w:val="pt-BR" w:eastAsia="es-ES"/>
              </w:rPr>
              <w:t xml:space="preserve"> de </w:t>
            </w:r>
            <w:proofErr w:type="spellStart"/>
            <w:r w:rsidRPr="00045B35">
              <w:rPr>
                <w:rFonts w:ascii="Verdana" w:eastAsia="Calibri" w:hAnsi="Verdana" w:cs="Arial"/>
                <w:sz w:val="16"/>
                <w:szCs w:val="16"/>
                <w:lang w:val="pt-BR" w:eastAsia="es-ES"/>
              </w:rPr>
              <w:t>Gestión</w:t>
            </w:r>
            <w:proofErr w:type="spellEnd"/>
            <w:r w:rsidRPr="00045B35">
              <w:rPr>
                <w:rFonts w:ascii="Verdana" w:eastAsia="Calibri" w:hAnsi="Verdana" w:cs="Arial"/>
                <w:sz w:val="16"/>
                <w:szCs w:val="16"/>
                <w:lang w:val="pt-BR" w:eastAsia="es-ES"/>
              </w:rPr>
              <w:t xml:space="preserve"> </w:t>
            </w:r>
            <w:proofErr w:type="spellStart"/>
            <w:r w:rsidRPr="00045B35">
              <w:rPr>
                <w:rFonts w:ascii="Verdana" w:eastAsia="Calibri" w:hAnsi="Verdana" w:cs="Arial"/>
                <w:sz w:val="16"/>
                <w:szCs w:val="16"/>
                <w:lang w:val="pt-BR" w:eastAsia="es-ES"/>
              </w:rPr>
              <w:t>Contractual</w:t>
            </w:r>
            <w:proofErr w:type="spellEnd"/>
            <w:r w:rsidRPr="00045B35">
              <w:rPr>
                <w:rFonts w:ascii="Verdana" w:eastAsia="Calibri" w:hAnsi="Verdana" w:cs="Arial"/>
                <w:sz w:val="16"/>
                <w:szCs w:val="16"/>
                <w:lang w:val="pt-BR" w:eastAsia="es-ES"/>
              </w:rPr>
              <w:t xml:space="preserve"> ANCP – CCE</w:t>
            </w:r>
          </w:p>
        </w:tc>
      </w:tr>
    </w:tbl>
    <w:p w14:paraId="3214B361" w14:textId="77777777" w:rsidR="00CD7352" w:rsidRPr="00045B35" w:rsidRDefault="00CD7352" w:rsidP="00CD7352">
      <w:pPr>
        <w:spacing w:after="0" w:line="240" w:lineRule="auto"/>
        <w:rPr>
          <w:rFonts w:ascii="Verdana" w:eastAsia="Times New Roman" w:hAnsi="Verdana" w:cs="Arial"/>
          <w:sz w:val="24"/>
          <w:szCs w:val="24"/>
          <w:lang w:eastAsia="es-ES"/>
        </w:rPr>
      </w:pPr>
    </w:p>
    <w:p w14:paraId="5F326AE6" w14:textId="77777777" w:rsidR="00CD7352" w:rsidRPr="000E09F1" w:rsidRDefault="00CD7352" w:rsidP="00CD7352">
      <w:pPr>
        <w:rPr>
          <w:rFonts w:ascii="Verdana" w:hAnsi="Verdana"/>
        </w:rPr>
      </w:pPr>
    </w:p>
    <w:p w14:paraId="0F293BF4" w14:textId="7BBFAB11" w:rsidR="00127233" w:rsidRPr="000E09F1" w:rsidRDefault="00127233" w:rsidP="00CD7352">
      <w:pPr>
        <w:rPr>
          <w:rFonts w:ascii="Verdana" w:hAnsi="Verdana"/>
        </w:rPr>
      </w:pPr>
    </w:p>
    <w:sectPr w:rsidR="00127233" w:rsidRPr="000E09F1"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934DA8" w14:textId="77777777" w:rsidR="00745C6F" w:rsidRDefault="00745C6F" w:rsidP="004A1847">
      <w:pPr>
        <w:spacing w:after="0" w:line="240" w:lineRule="auto"/>
      </w:pPr>
      <w:r>
        <w:separator/>
      </w:r>
    </w:p>
  </w:endnote>
  <w:endnote w:type="continuationSeparator" w:id="0">
    <w:p w14:paraId="12B2D9AF" w14:textId="77777777" w:rsidR="00745C6F" w:rsidRDefault="00745C6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8C6E02" w14:textId="77777777" w:rsidR="00745C6F" w:rsidRDefault="00745C6F" w:rsidP="004A1847">
      <w:pPr>
        <w:spacing w:after="0" w:line="240" w:lineRule="auto"/>
      </w:pPr>
      <w:r>
        <w:separator/>
      </w:r>
    </w:p>
  </w:footnote>
  <w:footnote w:type="continuationSeparator" w:id="0">
    <w:p w14:paraId="0530285F" w14:textId="77777777" w:rsidR="00745C6F" w:rsidRDefault="00745C6F" w:rsidP="004A1847">
      <w:pPr>
        <w:spacing w:after="0" w:line="240" w:lineRule="auto"/>
      </w:pPr>
      <w:r>
        <w:continuationSeparator/>
      </w:r>
    </w:p>
  </w:footnote>
  <w:footnote w:id="1">
    <w:p w14:paraId="650DF5D4" w14:textId="4E2B8EA1" w:rsidR="008A3290" w:rsidRPr="000E09F1" w:rsidRDefault="008A3290" w:rsidP="008A3290">
      <w:pPr>
        <w:pStyle w:val="Textonotapie"/>
        <w:ind w:firstLine="720"/>
        <w:rPr>
          <w:rFonts w:ascii="Verdana" w:hAnsi="Verdana" w:cs="Arial"/>
          <w:color w:val="1A1A1A" w:themeColor="background1" w:themeShade="1A"/>
          <w:sz w:val="16"/>
          <w:szCs w:val="16"/>
        </w:rPr>
      </w:pPr>
      <w:r w:rsidRPr="000E09F1">
        <w:rPr>
          <w:rStyle w:val="Refdenotaalpie"/>
          <w:rFonts w:ascii="Verdana" w:hAnsi="Verdana" w:cs="Arial"/>
          <w:color w:val="1A1A1A" w:themeColor="background1" w:themeShade="1A"/>
          <w:sz w:val="16"/>
          <w:szCs w:val="16"/>
        </w:rPr>
        <w:footnoteRef/>
      </w:r>
      <w:r w:rsidRPr="000E09F1">
        <w:rPr>
          <w:rFonts w:ascii="Verdana" w:hAnsi="Verdana" w:cs="Arial"/>
          <w:color w:val="1A1A1A" w:themeColor="background1" w:themeShade="1A"/>
          <w:sz w:val="16"/>
          <w:szCs w:val="16"/>
        </w:rPr>
        <w:t xml:space="preserve"> “Son también contratos de consultoría los que tienen por objeto la interventoría […]”</w:t>
      </w:r>
      <w:r w:rsidR="00D827C7" w:rsidRPr="000E09F1">
        <w:rPr>
          <w:rFonts w:ascii="Verdana" w:hAnsi="Verdana" w:cs="Arial"/>
          <w:color w:val="1A1A1A" w:themeColor="background1" w:themeShade="1A"/>
          <w:sz w:val="16"/>
          <w:szCs w:val="16"/>
        </w:rPr>
        <w:t>.</w:t>
      </w:r>
    </w:p>
    <w:p w14:paraId="2C25C8DB" w14:textId="77777777" w:rsidR="00D827C7" w:rsidRPr="000E09F1" w:rsidRDefault="00D827C7" w:rsidP="008A3290">
      <w:pPr>
        <w:pStyle w:val="Textonotapie"/>
        <w:ind w:firstLine="720"/>
        <w:rPr>
          <w:rFonts w:ascii="Verdana" w:hAnsi="Verdana" w:cs="Arial"/>
          <w:color w:val="1A1A1A" w:themeColor="background1" w:themeShade="1A"/>
          <w:sz w:val="16"/>
          <w:szCs w:val="16"/>
          <w:lang w:val="es-CO"/>
        </w:rPr>
      </w:pPr>
    </w:p>
  </w:footnote>
  <w:footnote w:id="2">
    <w:p w14:paraId="608ABD35" w14:textId="77777777" w:rsidR="009E37BB" w:rsidRPr="000E09F1" w:rsidRDefault="009E37BB" w:rsidP="009E37BB">
      <w:pPr>
        <w:pStyle w:val="Textonotapie"/>
        <w:ind w:firstLine="720"/>
        <w:jc w:val="both"/>
        <w:rPr>
          <w:rFonts w:ascii="Verdana" w:hAnsi="Verdana" w:cs="Arial"/>
          <w:sz w:val="16"/>
          <w:szCs w:val="16"/>
        </w:rPr>
      </w:pPr>
      <w:r w:rsidRPr="000E09F1">
        <w:rPr>
          <w:rStyle w:val="Refdenotaalpie"/>
          <w:rFonts w:ascii="Verdana" w:hAnsi="Verdana" w:cs="Arial"/>
          <w:sz w:val="16"/>
          <w:szCs w:val="16"/>
        </w:rPr>
        <w:footnoteRef/>
      </w:r>
      <w:r w:rsidRPr="000E09F1">
        <w:rPr>
          <w:rFonts w:ascii="Verdana" w:hAnsi="Verdana" w:cs="Arial"/>
          <w:sz w:val="16"/>
          <w:szCs w:val="16"/>
        </w:rPr>
        <w:t xml:space="preserve"> Según este artículo: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 </w:t>
      </w:r>
    </w:p>
    <w:p w14:paraId="45898C72" w14:textId="77777777" w:rsidR="009E37BB" w:rsidRPr="000E09F1" w:rsidRDefault="009E37BB" w:rsidP="000E09F1">
      <w:pPr>
        <w:spacing w:after="0" w:line="240" w:lineRule="auto"/>
        <w:ind w:firstLine="708"/>
        <w:rPr>
          <w:rFonts w:ascii="Verdana" w:hAnsi="Verdana" w:cs="Arial"/>
          <w:sz w:val="16"/>
          <w:szCs w:val="16"/>
          <w:lang w:val="es-MX"/>
        </w:rPr>
      </w:pPr>
      <w:r w:rsidRPr="000E09F1">
        <w:rPr>
          <w:rFonts w:ascii="Verdana" w:hAnsi="Verdana" w:cs="Arial"/>
          <w:sz w:val="16"/>
          <w:szCs w:val="16"/>
          <w:lang w:val="es-MX"/>
        </w:rPr>
        <w:t xml:space="preserve">“Son también contratos de consultoría los que tienen por objeto la interventoría, asesoría, gerencia de obra o de proyectos, dirección, programación y la ejecución de diseños, planos, anteproyectos y proyectos. </w:t>
      </w:r>
    </w:p>
    <w:p w14:paraId="48DDC45C" w14:textId="77777777" w:rsidR="009E37BB" w:rsidRPr="000E09F1" w:rsidRDefault="009E37BB" w:rsidP="000E09F1">
      <w:pPr>
        <w:pStyle w:val="Textonotapie"/>
        <w:ind w:firstLine="708"/>
        <w:rPr>
          <w:rFonts w:ascii="Verdana" w:hAnsi="Verdana" w:cs="Arial"/>
          <w:sz w:val="16"/>
          <w:szCs w:val="16"/>
          <w:lang w:val="es-CO"/>
        </w:rPr>
      </w:pPr>
      <w:r w:rsidRPr="000E09F1">
        <w:rPr>
          <w:rFonts w:ascii="Verdana" w:hAnsi="Verdana" w:cs="Arial"/>
          <w:sz w:val="16"/>
          <w:szCs w:val="16"/>
          <w:lang w:val="es-CO"/>
        </w:rPr>
        <w:t>“Ninguna orden del interventor de una obra podrá darse verbalmente. Es obligatorio para el interventor entregar por escrito sus órdenes o sugerencias y ellas deben enmarcarse en los términos del respectivo contrato”.</w:t>
      </w:r>
    </w:p>
    <w:p w14:paraId="7EC2DA2E" w14:textId="77777777" w:rsidR="009E37BB" w:rsidRPr="000E09F1" w:rsidRDefault="009E37BB" w:rsidP="009E37BB">
      <w:pPr>
        <w:pStyle w:val="Textonotapie"/>
        <w:rPr>
          <w:rFonts w:ascii="Verdana" w:hAnsi="Verdana" w:cs="Arial"/>
          <w:sz w:val="16"/>
          <w:szCs w:val="16"/>
          <w:lang w:val="es-ES"/>
        </w:rPr>
      </w:pPr>
    </w:p>
  </w:footnote>
  <w:footnote w:id="3">
    <w:p w14:paraId="143911F9" w14:textId="77777777" w:rsidR="009E37BB" w:rsidRPr="000E09F1" w:rsidRDefault="009E37BB" w:rsidP="009E37BB">
      <w:pPr>
        <w:pStyle w:val="Textonotapie"/>
        <w:ind w:firstLine="708"/>
        <w:rPr>
          <w:rFonts w:ascii="Verdana" w:hAnsi="Verdana" w:cs="Arial"/>
          <w:sz w:val="16"/>
          <w:szCs w:val="16"/>
        </w:rPr>
      </w:pPr>
      <w:r w:rsidRPr="000E09F1">
        <w:rPr>
          <w:rStyle w:val="Refdenotaalpie"/>
          <w:rFonts w:ascii="Verdana" w:hAnsi="Verdana" w:cs="Arial"/>
          <w:sz w:val="16"/>
          <w:szCs w:val="16"/>
        </w:rPr>
        <w:footnoteRef/>
      </w:r>
      <w:r w:rsidRPr="000E09F1">
        <w:rPr>
          <w:rFonts w:ascii="Verdana" w:hAnsi="Verdana" w:cs="Arial"/>
          <w:sz w:val="16"/>
          <w:szCs w:val="16"/>
        </w:rPr>
        <w:t xml:space="preserve"> DÁVILA VINUEZA, Guillermo. Régimen jurídico de la contratación estatal. Bogotá: Legis, 2016. p. 849.</w:t>
      </w:r>
    </w:p>
  </w:footnote>
  <w:footnote w:id="4">
    <w:p w14:paraId="6C73294A" w14:textId="77777777" w:rsidR="009E37BB" w:rsidRPr="000E09F1" w:rsidRDefault="009E37BB" w:rsidP="009E37BB">
      <w:pPr>
        <w:pStyle w:val="Textonotapie"/>
        <w:ind w:firstLine="708"/>
        <w:rPr>
          <w:rFonts w:ascii="Verdana" w:hAnsi="Verdana" w:cs="Arial"/>
          <w:sz w:val="16"/>
          <w:szCs w:val="16"/>
          <w:lang w:val="es-ES"/>
        </w:rPr>
      </w:pPr>
      <w:r w:rsidRPr="000E09F1">
        <w:rPr>
          <w:rStyle w:val="Refdenotaalpie"/>
          <w:rFonts w:ascii="Verdana" w:hAnsi="Verdana" w:cs="Arial"/>
          <w:sz w:val="16"/>
          <w:szCs w:val="16"/>
        </w:rPr>
        <w:footnoteRef/>
      </w:r>
      <w:r w:rsidRPr="000E09F1">
        <w:rPr>
          <w:rFonts w:ascii="Verdana" w:hAnsi="Verdana" w:cs="Arial"/>
          <w:sz w:val="16"/>
          <w:szCs w:val="16"/>
        </w:rPr>
        <w:t xml:space="preserve"> CONSEJO DE ESTADO. Sección Tercera. Subsección C. Sentencia del 25 de abril del 2012. Radicado. 52001-23-31-000-2000-00173-01(22167). Magistrado Ponente: Jaime Orlando Santofimio Gamboa.</w:t>
      </w:r>
    </w:p>
  </w:footnote>
  <w:footnote w:id="5">
    <w:p w14:paraId="681DFBF2" w14:textId="77777777" w:rsidR="00A61B91" w:rsidRPr="000E09F1" w:rsidRDefault="00A61B91" w:rsidP="00A61B91">
      <w:pPr>
        <w:pStyle w:val="Textonotapie"/>
        <w:ind w:firstLine="708"/>
        <w:jc w:val="both"/>
        <w:rPr>
          <w:rFonts w:ascii="Verdana" w:hAnsi="Verdana" w:cs="Arial"/>
          <w:sz w:val="16"/>
          <w:szCs w:val="16"/>
        </w:rPr>
      </w:pPr>
    </w:p>
    <w:p w14:paraId="61575631" w14:textId="77777777" w:rsidR="00A61B91" w:rsidRPr="000E09F1" w:rsidRDefault="00A61B91" w:rsidP="00A61B91">
      <w:pPr>
        <w:pStyle w:val="Textonotapie"/>
        <w:ind w:firstLine="708"/>
        <w:jc w:val="both"/>
        <w:rPr>
          <w:rFonts w:ascii="Verdana" w:hAnsi="Verdana" w:cs="Arial"/>
          <w:sz w:val="16"/>
          <w:szCs w:val="16"/>
        </w:rPr>
      </w:pPr>
      <w:r w:rsidRPr="000E09F1">
        <w:rPr>
          <w:rStyle w:val="Refdenotaalpie"/>
          <w:rFonts w:ascii="Verdana" w:hAnsi="Verdana" w:cs="Arial"/>
          <w:sz w:val="16"/>
          <w:szCs w:val="16"/>
        </w:rPr>
        <w:footnoteRef/>
      </w:r>
      <w:r w:rsidRPr="000E09F1">
        <w:rPr>
          <w:rFonts w:ascii="Verdana" w:hAnsi="Verdana" w:cs="Arial"/>
          <w:sz w:val="16"/>
          <w:szCs w:val="16"/>
        </w:rPr>
        <w:t xml:space="preserve"> En efecto, este numeral, modificado por el artículo 219 del Decreto 19 de 2012, dispone que el concurso de méritos: “Corresponde a la modalidad prevista para la selección de consultores o proyectos, en la que se podrán utilizar sistemas de concurso abierto o de precalificación. En este último caso, la conformación de la lista de precalificados se hará mediante convocatoria pública, permitiéndose establecer listas limitadas de oferentes mediante resolución motivada, que se entenderá notificada en estrados a los interesados, en la audiencia pública de conformación de la lista, utilizando para el efecto, entre otros, criterios de experiencia, capacidad intelectual y de organización de los proponentes, según sea el caso.</w:t>
      </w:r>
    </w:p>
  </w:footnote>
  <w:footnote w:id="6">
    <w:p w14:paraId="6E92897D" w14:textId="77777777" w:rsidR="00A61B91" w:rsidRPr="000E09F1" w:rsidRDefault="00A61B91" w:rsidP="00A61B91">
      <w:pPr>
        <w:pStyle w:val="Textonotapie"/>
        <w:ind w:firstLine="708"/>
        <w:rPr>
          <w:rFonts w:ascii="Verdana" w:hAnsi="Verdana" w:cs="Arial"/>
          <w:sz w:val="16"/>
          <w:szCs w:val="16"/>
          <w:lang w:val="es-ES"/>
        </w:rPr>
      </w:pPr>
      <w:r w:rsidRPr="000E09F1">
        <w:rPr>
          <w:rStyle w:val="Refdenotaalpie"/>
          <w:rFonts w:ascii="Verdana" w:hAnsi="Verdana" w:cs="Arial"/>
          <w:sz w:val="16"/>
          <w:szCs w:val="16"/>
        </w:rPr>
        <w:footnoteRef/>
      </w:r>
      <w:r w:rsidRPr="000E09F1">
        <w:rPr>
          <w:rFonts w:ascii="Verdana" w:hAnsi="Verdana" w:cs="Arial"/>
          <w:sz w:val="16"/>
          <w:szCs w:val="16"/>
        </w:rPr>
        <w:t xml:space="preserve"> </w:t>
      </w:r>
      <w:r w:rsidRPr="000E09F1">
        <w:rPr>
          <w:rFonts w:ascii="Verdana" w:hAnsi="Verdana" w:cs="Arial"/>
          <w:sz w:val="16"/>
          <w:szCs w:val="16"/>
          <w:lang w:val="es-CO"/>
        </w:rPr>
        <w:t>La Sección Tercera del Consejo de Estado, en autos del 25 de julio de 2018 y del 20 de febrero de 2019, suspendió provisionalmente, por un lado, el numeral 6 del artículo 2.2.1.2.1.3.2. original del Decreto 1082 de 2015 –antes de la modificación realizada por el Decreto 399 del 13 de abril de 2021– y, por el otro, los numerales 3, 4 y 5 de la misma disposición, en su redacción original. Las normas suspendidas regulaban el concurso de méritos abierto o sin precalificación. Posteriormente, el artículo 2 del Decreto 399 de 2021 reformó la reglamentación del concurso de méritos, para adecuarla a los pronunciamientos del Consejo de Estado que habían suspendido provisionalmente algunos numerales del artículo 2.2.1.2.1.3.2. del Decreto 1082 de 2015.</w:t>
      </w:r>
    </w:p>
  </w:footnote>
  <w:footnote w:id="7">
    <w:p w14:paraId="330C8B5F" w14:textId="77777777" w:rsidR="007D6162" w:rsidRPr="000E09F1" w:rsidRDefault="007D6162" w:rsidP="007D6162">
      <w:pPr>
        <w:spacing w:before="120" w:after="120" w:line="276" w:lineRule="auto"/>
        <w:ind w:firstLine="709"/>
        <w:jc w:val="both"/>
        <w:rPr>
          <w:rFonts w:ascii="Verdana" w:eastAsia="Calibri" w:hAnsi="Verdana" w:cs="Arial"/>
          <w:color w:val="000000" w:themeColor="text1"/>
          <w:sz w:val="16"/>
          <w:szCs w:val="16"/>
          <w:lang w:val="es-ES_tradnl"/>
        </w:rPr>
      </w:pPr>
      <w:r w:rsidRPr="000E09F1">
        <w:rPr>
          <w:rStyle w:val="Refdenotaalpie"/>
          <w:rFonts w:ascii="Verdana" w:hAnsi="Verdana" w:cs="Arial"/>
          <w:sz w:val="16"/>
          <w:szCs w:val="16"/>
        </w:rPr>
        <w:footnoteRef/>
      </w:r>
      <w:r w:rsidRPr="000E09F1">
        <w:rPr>
          <w:rFonts w:ascii="Verdana" w:hAnsi="Verdana" w:cs="Arial"/>
          <w:sz w:val="16"/>
          <w:szCs w:val="16"/>
        </w:rPr>
        <w:t xml:space="preserve"> Cabe destacar que las reglas aplicables a la modalidad de selección de mínima cuantía es el artículo 30 de la Ley 2069 de 2020, y los artículos 2.1.2.1.5.1. al 2.2.1.2.1.5.4. del Decreto 1082 de 2015</w:t>
      </w:r>
    </w:p>
  </w:footnote>
  <w:footnote w:id="8">
    <w:p w14:paraId="034B925C" w14:textId="77777777" w:rsidR="007D6162" w:rsidRPr="000E09F1" w:rsidRDefault="007D6162" w:rsidP="007D6162">
      <w:pPr>
        <w:pStyle w:val="Textonotapie"/>
        <w:ind w:firstLine="709"/>
        <w:jc w:val="both"/>
        <w:rPr>
          <w:rFonts w:ascii="Verdana" w:hAnsi="Verdana" w:cs="Arial"/>
          <w:color w:val="000000" w:themeColor="text1"/>
          <w:sz w:val="16"/>
          <w:szCs w:val="16"/>
          <w:lang w:val="es-ES_tradnl"/>
        </w:rPr>
      </w:pPr>
      <w:r w:rsidRPr="000E09F1">
        <w:rPr>
          <w:rStyle w:val="Refdenotaalpie"/>
          <w:rFonts w:ascii="Verdana" w:hAnsi="Verdana" w:cs="Arial"/>
          <w:color w:val="000000" w:themeColor="text1"/>
          <w:sz w:val="16"/>
          <w:szCs w:val="16"/>
          <w:lang w:val="es-ES_tradnl"/>
        </w:rPr>
        <w:footnoteRef/>
      </w:r>
      <w:r w:rsidRPr="000E09F1">
        <w:rPr>
          <w:rFonts w:ascii="Verdana" w:hAnsi="Verdana" w:cs="Arial"/>
          <w:color w:val="000000" w:themeColor="text1"/>
          <w:sz w:val="16"/>
          <w:szCs w:val="16"/>
          <w:lang w:val="es-ES_tradnl"/>
        </w:rPr>
        <w:t xml:space="preserve"> Esto lo ratifica el artículo 2.2.1.2.1.5.2. del Decreto 1082 de 2015.</w:t>
      </w:r>
    </w:p>
    <w:p w14:paraId="053A748B" w14:textId="77777777" w:rsidR="007D6162" w:rsidRPr="000E09F1" w:rsidRDefault="007D6162" w:rsidP="007D6162">
      <w:pPr>
        <w:pStyle w:val="Textonotapie"/>
        <w:ind w:firstLine="709"/>
        <w:jc w:val="both"/>
        <w:rPr>
          <w:rFonts w:ascii="Verdana" w:hAnsi="Verdana" w:cs="Arial"/>
          <w:color w:val="000000" w:themeColor="text1"/>
          <w:sz w:val="16"/>
          <w:szCs w:val="16"/>
          <w:lang w:val="es-ES_tradnl"/>
        </w:rPr>
      </w:pPr>
    </w:p>
  </w:footnote>
  <w:footnote w:id="9">
    <w:p w14:paraId="06B16BA3" w14:textId="77777777" w:rsidR="00A61B91" w:rsidRPr="000E09F1" w:rsidRDefault="00A61B91" w:rsidP="00A61B91">
      <w:pPr>
        <w:pStyle w:val="Textonotapie"/>
        <w:ind w:firstLine="720"/>
        <w:jc w:val="both"/>
        <w:rPr>
          <w:rFonts w:ascii="Verdana" w:hAnsi="Verdana" w:cs="Arial"/>
          <w:sz w:val="16"/>
          <w:szCs w:val="16"/>
          <w:lang w:val="es-CO"/>
        </w:rPr>
      </w:pPr>
      <w:r w:rsidRPr="000E09F1">
        <w:rPr>
          <w:rStyle w:val="Refdenotaalpie"/>
          <w:rFonts w:ascii="Verdana" w:hAnsi="Verdana" w:cs="Arial"/>
          <w:sz w:val="16"/>
          <w:szCs w:val="16"/>
        </w:rPr>
        <w:footnoteRef/>
      </w:r>
      <w:r w:rsidRPr="000E09F1">
        <w:rPr>
          <w:rFonts w:ascii="Verdana" w:hAnsi="Verdana" w:cs="Arial"/>
          <w:sz w:val="16"/>
          <w:szCs w:val="16"/>
        </w:rPr>
        <w:t xml:space="preserve"> </w:t>
      </w:r>
      <w:r w:rsidRPr="000E09F1">
        <w:rPr>
          <w:rFonts w:ascii="Verdana" w:hAnsi="Verdana" w:cs="Arial"/>
          <w:sz w:val="16"/>
          <w:szCs w:val="16"/>
          <w:lang w:val="es-CO"/>
        </w:rPr>
        <w:t>AGENCIA NACIONAL DE CONTRATACIÓN PÚBLICA – COLOMBIA COMPRA EFIENTE-. Manual de la Modalidad de selección de mínima cuantía –M-MSMC-03–. p. 10. Así mismo, la Agencia en la versión 02 del Manual de la modalidad de selección de mínima cuantía expresó: “Las modalidades de selección de concurso de méritos y de mínima cuantía concurren cuando: (a) el presupuesto del Proceso de Contratación es menor o igual que la mínima cuantía de la Entidad Estatal; y (b) el objeto del Proceso de Contratación es la selección de consultores o proyectos, de conformidad con el numeral 3 del artículo 2 de la Ley 1150 de 2007. El principio de economía contenido en la Ley 80 de 1993 busca que, en la selección del contratista, la Entidad Estatal cumpla y establezca los procedimientos y etapas estrictamente necesarios para asegurar la selección objetiva de la propuesta más favorable, con austeridad de tiempo, medios y gastos. En consecuencia, dado que la selección de mínima cuantía es especial para cualquier objeto y que la selección de mínima cuantía permite obtener una mayor economía en el trámite del Proceso de Contratación, en caso de concurrencia del concurso de méritos y de mínima cuantía, Colombia Compra Eficiente considera que la modalidad de selección aplicable es la de mínima cuantía” (AGENCIA NACIONAL DE CONTRATACIÓN PÚBLICA – COLOMBIA COMPRA EFIENTE-. Manual de la Modalidad de selección de mínima cuantía –M-MSMC-02–. p. 10)</w:t>
      </w:r>
    </w:p>
    <w:p w14:paraId="430D93A3" w14:textId="77777777" w:rsidR="00D827C7" w:rsidRPr="000E09F1" w:rsidRDefault="00D827C7" w:rsidP="00A61B91">
      <w:pPr>
        <w:pStyle w:val="Textonotapie"/>
        <w:ind w:firstLine="720"/>
        <w:jc w:val="both"/>
        <w:rPr>
          <w:rFonts w:ascii="Verdana" w:hAnsi="Verdana" w:cs="Arial"/>
          <w:sz w:val="16"/>
          <w:szCs w:val="16"/>
          <w:lang w:val="es-CO"/>
        </w:rPr>
      </w:pPr>
    </w:p>
  </w:footnote>
  <w:footnote w:id="10">
    <w:p w14:paraId="5F7AFCFE" w14:textId="7A1F7640" w:rsidR="00A61B91" w:rsidRPr="000E09F1" w:rsidRDefault="00A61B91" w:rsidP="000E09F1">
      <w:pPr>
        <w:pStyle w:val="Textonotapie"/>
        <w:ind w:firstLine="708"/>
        <w:jc w:val="both"/>
        <w:rPr>
          <w:rFonts w:ascii="Verdana" w:hAnsi="Verdana" w:cs="Arial"/>
          <w:sz w:val="16"/>
          <w:szCs w:val="16"/>
        </w:rPr>
      </w:pPr>
      <w:r w:rsidRPr="000E09F1">
        <w:rPr>
          <w:rStyle w:val="Refdenotaalpie"/>
          <w:rFonts w:ascii="Verdana" w:hAnsi="Verdana" w:cs="Arial"/>
          <w:sz w:val="16"/>
          <w:szCs w:val="16"/>
        </w:rPr>
        <w:footnoteRef/>
      </w:r>
      <w:r w:rsidRPr="000E09F1">
        <w:rPr>
          <w:rFonts w:ascii="Verdana" w:hAnsi="Verdana" w:cs="Arial"/>
          <w:sz w:val="16"/>
          <w:szCs w:val="16"/>
        </w:rPr>
        <w:t xml:space="preserve"> </w:t>
      </w:r>
      <w:r w:rsidR="00D827C7" w:rsidRPr="000E09F1">
        <w:rPr>
          <w:rFonts w:ascii="Verdana" w:hAnsi="Verdana" w:cs="Arial"/>
          <w:sz w:val="16"/>
          <w:szCs w:val="16"/>
        </w:rPr>
        <w:t>“</w:t>
      </w:r>
      <w:r w:rsidRPr="000E09F1">
        <w:rPr>
          <w:rFonts w:ascii="Verdana" w:hAnsi="Verdana" w:cs="Arial"/>
          <w:sz w:val="16"/>
          <w:szCs w:val="16"/>
        </w:rPr>
        <w:t xml:space="preserve">ARTÍCULO 42. DE LA URGENCIA MANIFIESTA. Existe urgencia manifiesta cuando la continuidad del servicio exige el suministro de bienes, o la prestación de servicios, o la ejecución de obras en el inmediato futuro; cuando se presenten situaciones relacionadas con los estados de excepción; cuando se trate de conjurar situaciones excepcionales relacionadas con hechos de calamidad o constitutivos de fuerza mayor o desastre que demanden actuaciones inmediatas y, en general, cuando se trate de situaciones similares que imposibiliten acudir a los procedimientos de selección o concurso públicos. </w:t>
      </w:r>
    </w:p>
    <w:p w14:paraId="0C487FA2" w14:textId="77777777" w:rsidR="00A61B91" w:rsidRPr="000E09F1" w:rsidRDefault="00A61B91" w:rsidP="000E09F1">
      <w:pPr>
        <w:pStyle w:val="Textonotapie"/>
        <w:ind w:firstLine="708"/>
        <w:rPr>
          <w:rFonts w:ascii="Verdana" w:hAnsi="Verdana" w:cs="Arial"/>
          <w:sz w:val="16"/>
          <w:szCs w:val="16"/>
          <w:lang w:val="es-ES"/>
        </w:rPr>
      </w:pPr>
      <w:r w:rsidRPr="000E09F1">
        <w:rPr>
          <w:rFonts w:ascii="Verdana" w:hAnsi="Verdana" w:cs="Arial"/>
          <w:sz w:val="16"/>
          <w:szCs w:val="16"/>
        </w:rPr>
        <w:t>“La urgencia manifiesta se declarará mediante acto administrativo motivado […]”.</w:t>
      </w:r>
    </w:p>
  </w:footnote>
  <w:footnote w:id="11">
    <w:p w14:paraId="545517C8" w14:textId="77777777" w:rsidR="00A61B91" w:rsidRPr="000E09F1" w:rsidRDefault="00A61B91" w:rsidP="000E09F1">
      <w:pPr>
        <w:pStyle w:val="Textonotapie"/>
        <w:ind w:firstLine="708"/>
        <w:jc w:val="both"/>
        <w:rPr>
          <w:rFonts w:ascii="Verdana" w:hAnsi="Verdana" w:cs="Arial"/>
          <w:sz w:val="16"/>
          <w:szCs w:val="16"/>
          <w:lang w:val="es-CO"/>
        </w:rPr>
      </w:pPr>
      <w:r w:rsidRPr="000E09F1">
        <w:rPr>
          <w:rStyle w:val="Refdenotaalpie"/>
          <w:rFonts w:ascii="Verdana" w:hAnsi="Verdana" w:cs="Arial"/>
          <w:sz w:val="16"/>
          <w:szCs w:val="16"/>
        </w:rPr>
        <w:footnoteRef/>
      </w:r>
      <w:r w:rsidRPr="000E09F1">
        <w:rPr>
          <w:rFonts w:ascii="Verdana" w:hAnsi="Verdana" w:cs="Arial"/>
          <w:sz w:val="16"/>
          <w:szCs w:val="16"/>
        </w:rPr>
        <w:t xml:space="preserve"> DROMI, José Roberto. La licitación pública. Buenos Aires: Ciudad Argentina, 1980. p. 166-168</w:t>
      </w:r>
    </w:p>
  </w:footnote>
  <w:footnote w:id="12">
    <w:p w14:paraId="602DB8A3" w14:textId="77777777" w:rsidR="00D827C7" w:rsidRPr="000E09F1" w:rsidRDefault="00D827C7" w:rsidP="00102061">
      <w:pPr>
        <w:pStyle w:val="Textonotapie"/>
        <w:ind w:firstLine="708"/>
        <w:rPr>
          <w:rFonts w:ascii="Verdana" w:hAnsi="Verdana" w:cs="Arial"/>
          <w:sz w:val="16"/>
          <w:szCs w:val="16"/>
        </w:rPr>
      </w:pPr>
    </w:p>
    <w:p w14:paraId="5F7E3AC2" w14:textId="3326523D" w:rsidR="00A61B91" w:rsidRPr="000E09F1" w:rsidRDefault="00A61B91" w:rsidP="000E09F1">
      <w:pPr>
        <w:pStyle w:val="Textonotapie"/>
        <w:ind w:firstLine="708"/>
        <w:rPr>
          <w:rFonts w:ascii="Verdana" w:hAnsi="Verdana" w:cs="Arial"/>
          <w:sz w:val="16"/>
          <w:szCs w:val="16"/>
          <w:lang w:val="es-ES"/>
        </w:rPr>
      </w:pPr>
      <w:r w:rsidRPr="000E09F1">
        <w:rPr>
          <w:rStyle w:val="Refdenotaalpie"/>
          <w:rFonts w:ascii="Verdana" w:hAnsi="Verdana" w:cs="Arial"/>
          <w:sz w:val="16"/>
          <w:szCs w:val="16"/>
        </w:rPr>
        <w:footnoteRef/>
      </w:r>
      <w:r w:rsidRPr="000E09F1">
        <w:rPr>
          <w:rFonts w:ascii="Verdana" w:hAnsi="Verdana" w:cs="Arial"/>
          <w:sz w:val="16"/>
          <w:szCs w:val="16"/>
        </w:rPr>
        <w:t xml:space="preserve"> </w:t>
      </w:r>
      <w:r w:rsidRPr="000E09F1">
        <w:rPr>
          <w:rFonts w:ascii="Verdana" w:hAnsi="Verdana" w:cs="Arial"/>
          <w:sz w:val="16"/>
          <w:szCs w:val="16"/>
          <w:lang w:val="es-CO"/>
        </w:rPr>
        <w:t>CONSEJO DE ESTADO. Sala de Consulta y de Servicio Civil. Concepto del 28 de enero de 1998. Rad. 1.073. C.P. Javier Henao Hidrón.</w:t>
      </w:r>
    </w:p>
  </w:footnote>
  <w:footnote w:id="13">
    <w:p w14:paraId="28406088" w14:textId="77777777" w:rsidR="00102061" w:rsidRPr="000E09F1" w:rsidRDefault="00102061" w:rsidP="00102061">
      <w:pPr>
        <w:pStyle w:val="Textonotapie"/>
        <w:ind w:firstLine="708"/>
        <w:jc w:val="both"/>
        <w:rPr>
          <w:rFonts w:ascii="Verdana" w:hAnsi="Verdana" w:cs="Arial"/>
          <w:sz w:val="16"/>
          <w:szCs w:val="16"/>
        </w:rPr>
      </w:pPr>
    </w:p>
    <w:p w14:paraId="029FCAF9" w14:textId="189564BA" w:rsidR="00A61B91" w:rsidRPr="000E09F1" w:rsidRDefault="00A61B91" w:rsidP="000E09F1">
      <w:pPr>
        <w:pStyle w:val="Textonotapie"/>
        <w:ind w:firstLine="708"/>
        <w:jc w:val="both"/>
        <w:rPr>
          <w:rFonts w:ascii="Verdana" w:hAnsi="Verdana" w:cs="Arial"/>
          <w:sz w:val="16"/>
          <w:szCs w:val="16"/>
          <w:lang w:val="es-ES"/>
        </w:rPr>
      </w:pPr>
      <w:r w:rsidRPr="000E09F1">
        <w:rPr>
          <w:rStyle w:val="Refdenotaalpie"/>
          <w:rFonts w:ascii="Verdana" w:hAnsi="Verdana" w:cs="Arial"/>
          <w:sz w:val="16"/>
          <w:szCs w:val="16"/>
        </w:rPr>
        <w:footnoteRef/>
      </w:r>
      <w:r w:rsidRPr="000E09F1">
        <w:rPr>
          <w:rFonts w:ascii="Verdana" w:hAnsi="Verdana" w:cs="Arial"/>
          <w:sz w:val="16"/>
          <w:szCs w:val="16"/>
        </w:rPr>
        <w:t xml:space="preserve"> “El literal c, del numeral 4, del artículo 2 de la Ley 1150 de 2007, prescribe: c) Inciso 1o. modificado por el artículo 92 de la Ley 1474 de 2011. El nuevo texto es el siguiente: Contratos interadministrativos, siempre que las obligaciones derivadas del mismo tengan relación directa con el objeto de la entidad ejecutora señalado en la ley o en sus reglamentos”.</w:t>
      </w:r>
      <w:r w:rsidR="00D827C7" w:rsidRPr="000E09F1">
        <w:rPr>
          <w:rFonts w:ascii="Verdana" w:hAnsi="Verdana" w:cs="Arial"/>
          <w:sz w:val="16"/>
          <w:szCs w:val="16"/>
        </w:rPr>
        <w:t xml:space="preserve"> </w:t>
      </w:r>
      <w:r w:rsidRPr="000E09F1">
        <w:rPr>
          <w:rFonts w:ascii="Verdana" w:hAnsi="Verdana" w:cs="Arial"/>
          <w:sz w:val="16"/>
          <w:szCs w:val="16"/>
          <w:lang w:val="es-CO"/>
        </w:rPr>
        <w:t>“exceptúan los contratos de obra, suministro, prestación de servicios de evaluación de conformidad respecto de las normas o reglamentos técnicos, encargos fiduciarios y fiducia pública cuando las instituciones de educación superior públicas</w:t>
      </w:r>
      <w:r w:rsidR="00D827C7" w:rsidRPr="000E09F1">
        <w:rPr>
          <w:rFonts w:ascii="Verdana" w:hAnsi="Verdana" w:cs="Arial"/>
          <w:sz w:val="16"/>
          <w:szCs w:val="16"/>
          <w:lang w:val="es-CO"/>
        </w:rPr>
        <w:t xml:space="preserve"> </w:t>
      </w:r>
      <w:r w:rsidRPr="000E09F1">
        <w:rPr>
          <w:rFonts w:ascii="Verdana" w:hAnsi="Verdana" w:cs="Arial"/>
          <w:sz w:val="16"/>
          <w:szCs w:val="16"/>
          <w:lang w:val="es-CO"/>
        </w:rPr>
        <w:t>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4.25pt;height:14.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769791B"/>
    <w:multiLevelType w:val="hybridMultilevel"/>
    <w:tmpl w:val="9352198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5B5225FB"/>
    <w:multiLevelType w:val="hybridMultilevel"/>
    <w:tmpl w:val="B99AD6C4"/>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3" w15:restartNumberingAfterBreak="0">
    <w:nsid w:val="5EDB51AA"/>
    <w:multiLevelType w:val="hybridMultilevel"/>
    <w:tmpl w:val="0D78FAFA"/>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4"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2"/>
  </w:num>
  <w:num w:numId="3">
    <w:abstractNumId w:val="5"/>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7"/>
  </w:num>
  <w:num w:numId="7">
    <w:abstractNumId w:val="7"/>
  </w:num>
  <w:num w:numId="8">
    <w:abstractNumId w:val="16"/>
  </w:num>
  <w:num w:numId="9">
    <w:abstractNumId w:val="9"/>
  </w:num>
  <w:num w:numId="10">
    <w:abstractNumId w:val="15"/>
  </w:num>
  <w:num w:numId="11">
    <w:abstractNumId w:val="10"/>
  </w:num>
  <w:num w:numId="12">
    <w:abstractNumId w:val="1"/>
  </w:num>
  <w:num w:numId="13">
    <w:abstractNumId w:val="4"/>
  </w:num>
  <w:num w:numId="14">
    <w:abstractNumId w:val="18"/>
  </w:num>
  <w:num w:numId="15">
    <w:abstractNumId w:val="14"/>
  </w:num>
  <w:num w:numId="16">
    <w:abstractNumId w:val="0"/>
  </w:num>
  <w:num w:numId="17">
    <w:abstractNumId w:val="6"/>
  </w:num>
  <w:num w:numId="18">
    <w:abstractNumId w:val="11"/>
  </w:num>
  <w:num w:numId="19">
    <w:abstractNumId w:val="3"/>
  </w:num>
  <w:num w:numId="20">
    <w:abstractNumId w:val="12"/>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35A11"/>
    <w:rsid w:val="00045B35"/>
    <w:rsid w:val="000523B9"/>
    <w:rsid w:val="00053877"/>
    <w:rsid w:val="00061B2A"/>
    <w:rsid w:val="000657F8"/>
    <w:rsid w:val="00071065"/>
    <w:rsid w:val="000739BC"/>
    <w:rsid w:val="00082362"/>
    <w:rsid w:val="000A6607"/>
    <w:rsid w:val="000A683E"/>
    <w:rsid w:val="000B19B9"/>
    <w:rsid w:val="000D0334"/>
    <w:rsid w:val="000D0B04"/>
    <w:rsid w:val="000E09F1"/>
    <w:rsid w:val="000F6486"/>
    <w:rsid w:val="00100B86"/>
    <w:rsid w:val="00102061"/>
    <w:rsid w:val="00105EB7"/>
    <w:rsid w:val="001119B6"/>
    <w:rsid w:val="00120621"/>
    <w:rsid w:val="0012430D"/>
    <w:rsid w:val="00125105"/>
    <w:rsid w:val="00127233"/>
    <w:rsid w:val="00177FC7"/>
    <w:rsid w:val="00192A55"/>
    <w:rsid w:val="001E4177"/>
    <w:rsid w:val="001F0E89"/>
    <w:rsid w:val="001F321B"/>
    <w:rsid w:val="001F7DC6"/>
    <w:rsid w:val="00215B17"/>
    <w:rsid w:val="002421BB"/>
    <w:rsid w:val="0025796E"/>
    <w:rsid w:val="00257FD3"/>
    <w:rsid w:val="002707A2"/>
    <w:rsid w:val="00280AFF"/>
    <w:rsid w:val="002951A0"/>
    <w:rsid w:val="002962BC"/>
    <w:rsid w:val="002A093D"/>
    <w:rsid w:val="002A0DD0"/>
    <w:rsid w:val="002A49AC"/>
    <w:rsid w:val="002A64FD"/>
    <w:rsid w:val="002C6742"/>
    <w:rsid w:val="002C7A84"/>
    <w:rsid w:val="002E4FD9"/>
    <w:rsid w:val="00304158"/>
    <w:rsid w:val="00322A85"/>
    <w:rsid w:val="003238A1"/>
    <w:rsid w:val="00324168"/>
    <w:rsid w:val="00327A25"/>
    <w:rsid w:val="00336806"/>
    <w:rsid w:val="003448F4"/>
    <w:rsid w:val="003453E5"/>
    <w:rsid w:val="00357BEC"/>
    <w:rsid w:val="003741B0"/>
    <w:rsid w:val="00374F5E"/>
    <w:rsid w:val="00377E3E"/>
    <w:rsid w:val="00390881"/>
    <w:rsid w:val="00395DF4"/>
    <w:rsid w:val="003A162A"/>
    <w:rsid w:val="003A26D1"/>
    <w:rsid w:val="003A5DC7"/>
    <w:rsid w:val="003A779E"/>
    <w:rsid w:val="003B5F62"/>
    <w:rsid w:val="003C61A1"/>
    <w:rsid w:val="003D0F4D"/>
    <w:rsid w:val="003D5B0D"/>
    <w:rsid w:val="003D74A4"/>
    <w:rsid w:val="003E0499"/>
    <w:rsid w:val="003F0415"/>
    <w:rsid w:val="003F3941"/>
    <w:rsid w:val="003F5E07"/>
    <w:rsid w:val="00406575"/>
    <w:rsid w:val="0042722E"/>
    <w:rsid w:val="00444DC2"/>
    <w:rsid w:val="0044528D"/>
    <w:rsid w:val="00445F91"/>
    <w:rsid w:val="00461753"/>
    <w:rsid w:val="00470C65"/>
    <w:rsid w:val="004A1847"/>
    <w:rsid w:val="004A305D"/>
    <w:rsid w:val="004A30B3"/>
    <w:rsid w:val="004B36F0"/>
    <w:rsid w:val="004F21C4"/>
    <w:rsid w:val="004F2F1C"/>
    <w:rsid w:val="004F685F"/>
    <w:rsid w:val="0053672E"/>
    <w:rsid w:val="00551898"/>
    <w:rsid w:val="005544B4"/>
    <w:rsid w:val="0055453B"/>
    <w:rsid w:val="005566E8"/>
    <w:rsid w:val="00562BF9"/>
    <w:rsid w:val="00574867"/>
    <w:rsid w:val="00591460"/>
    <w:rsid w:val="00592628"/>
    <w:rsid w:val="00592A22"/>
    <w:rsid w:val="005975CF"/>
    <w:rsid w:val="005B3B82"/>
    <w:rsid w:val="005C3777"/>
    <w:rsid w:val="005C5CDC"/>
    <w:rsid w:val="005D476C"/>
    <w:rsid w:val="00610812"/>
    <w:rsid w:val="006142A4"/>
    <w:rsid w:val="00615557"/>
    <w:rsid w:val="006219F8"/>
    <w:rsid w:val="0063305A"/>
    <w:rsid w:val="00634310"/>
    <w:rsid w:val="00635805"/>
    <w:rsid w:val="00635C14"/>
    <w:rsid w:val="00650FF7"/>
    <w:rsid w:val="006613B7"/>
    <w:rsid w:val="00665D70"/>
    <w:rsid w:val="00671DAC"/>
    <w:rsid w:val="00676800"/>
    <w:rsid w:val="00677ABF"/>
    <w:rsid w:val="006900D9"/>
    <w:rsid w:val="006A1FD0"/>
    <w:rsid w:val="006B4A34"/>
    <w:rsid w:val="006D12F8"/>
    <w:rsid w:val="006D7AA9"/>
    <w:rsid w:val="006E5654"/>
    <w:rsid w:val="00706C16"/>
    <w:rsid w:val="00725D8D"/>
    <w:rsid w:val="00726389"/>
    <w:rsid w:val="0072766F"/>
    <w:rsid w:val="00745C6F"/>
    <w:rsid w:val="0074763D"/>
    <w:rsid w:val="00756841"/>
    <w:rsid w:val="00757108"/>
    <w:rsid w:val="007649AB"/>
    <w:rsid w:val="00770A31"/>
    <w:rsid w:val="00771D0C"/>
    <w:rsid w:val="00776734"/>
    <w:rsid w:val="007833AC"/>
    <w:rsid w:val="00793B14"/>
    <w:rsid w:val="007A7125"/>
    <w:rsid w:val="007B268C"/>
    <w:rsid w:val="007B7171"/>
    <w:rsid w:val="007C0C0F"/>
    <w:rsid w:val="007C3DC2"/>
    <w:rsid w:val="007D6162"/>
    <w:rsid w:val="007E5497"/>
    <w:rsid w:val="007E6EB0"/>
    <w:rsid w:val="007F27A2"/>
    <w:rsid w:val="00806F5F"/>
    <w:rsid w:val="00815B3B"/>
    <w:rsid w:val="00820278"/>
    <w:rsid w:val="00833204"/>
    <w:rsid w:val="008533FF"/>
    <w:rsid w:val="00866E0B"/>
    <w:rsid w:val="008843B6"/>
    <w:rsid w:val="00891928"/>
    <w:rsid w:val="008A303B"/>
    <w:rsid w:val="008A3290"/>
    <w:rsid w:val="008A446D"/>
    <w:rsid w:val="008B1D5F"/>
    <w:rsid w:val="008C0964"/>
    <w:rsid w:val="008C777F"/>
    <w:rsid w:val="008D180B"/>
    <w:rsid w:val="008E3BE1"/>
    <w:rsid w:val="008F0EA7"/>
    <w:rsid w:val="00913BA5"/>
    <w:rsid w:val="0091730A"/>
    <w:rsid w:val="00923EEF"/>
    <w:rsid w:val="00924B79"/>
    <w:rsid w:val="009419F9"/>
    <w:rsid w:val="00945EF4"/>
    <w:rsid w:val="00951911"/>
    <w:rsid w:val="0095346F"/>
    <w:rsid w:val="0095685E"/>
    <w:rsid w:val="00961B09"/>
    <w:rsid w:val="00965334"/>
    <w:rsid w:val="0097093E"/>
    <w:rsid w:val="00974356"/>
    <w:rsid w:val="0097725D"/>
    <w:rsid w:val="009A0DFA"/>
    <w:rsid w:val="009B2D26"/>
    <w:rsid w:val="009C0959"/>
    <w:rsid w:val="009C71FA"/>
    <w:rsid w:val="009C72E7"/>
    <w:rsid w:val="009D04F2"/>
    <w:rsid w:val="009D3058"/>
    <w:rsid w:val="009E37BB"/>
    <w:rsid w:val="009F18DC"/>
    <w:rsid w:val="009F3A13"/>
    <w:rsid w:val="00A122D3"/>
    <w:rsid w:val="00A141D2"/>
    <w:rsid w:val="00A17F13"/>
    <w:rsid w:val="00A20739"/>
    <w:rsid w:val="00A32B98"/>
    <w:rsid w:val="00A33C78"/>
    <w:rsid w:val="00A42994"/>
    <w:rsid w:val="00A61B91"/>
    <w:rsid w:val="00A67681"/>
    <w:rsid w:val="00A824F3"/>
    <w:rsid w:val="00A90DDC"/>
    <w:rsid w:val="00AB0ADB"/>
    <w:rsid w:val="00AB6C80"/>
    <w:rsid w:val="00AB7A72"/>
    <w:rsid w:val="00AE07FC"/>
    <w:rsid w:val="00AF33C8"/>
    <w:rsid w:val="00B01B1A"/>
    <w:rsid w:val="00B17043"/>
    <w:rsid w:val="00B17EC2"/>
    <w:rsid w:val="00B21AFD"/>
    <w:rsid w:val="00B260EE"/>
    <w:rsid w:val="00B37900"/>
    <w:rsid w:val="00B41ACE"/>
    <w:rsid w:val="00B50137"/>
    <w:rsid w:val="00B72CD3"/>
    <w:rsid w:val="00B72FFF"/>
    <w:rsid w:val="00B871E4"/>
    <w:rsid w:val="00B95E1F"/>
    <w:rsid w:val="00BC3D36"/>
    <w:rsid w:val="00BD7F72"/>
    <w:rsid w:val="00BF2B1C"/>
    <w:rsid w:val="00C04FB3"/>
    <w:rsid w:val="00C26F8A"/>
    <w:rsid w:val="00C330EB"/>
    <w:rsid w:val="00C44DF3"/>
    <w:rsid w:val="00C67D6A"/>
    <w:rsid w:val="00C754BE"/>
    <w:rsid w:val="00C76B1C"/>
    <w:rsid w:val="00C838E6"/>
    <w:rsid w:val="00CA09FC"/>
    <w:rsid w:val="00CB6357"/>
    <w:rsid w:val="00CC1B26"/>
    <w:rsid w:val="00CD7352"/>
    <w:rsid w:val="00CE2A02"/>
    <w:rsid w:val="00D06AA1"/>
    <w:rsid w:val="00D228E0"/>
    <w:rsid w:val="00D301EF"/>
    <w:rsid w:val="00D31C9A"/>
    <w:rsid w:val="00D423A2"/>
    <w:rsid w:val="00D520D8"/>
    <w:rsid w:val="00D63AC2"/>
    <w:rsid w:val="00D66D5D"/>
    <w:rsid w:val="00D7202C"/>
    <w:rsid w:val="00D737A3"/>
    <w:rsid w:val="00D7383B"/>
    <w:rsid w:val="00D827C7"/>
    <w:rsid w:val="00D905EF"/>
    <w:rsid w:val="00DA231B"/>
    <w:rsid w:val="00DA23A0"/>
    <w:rsid w:val="00DA6A8F"/>
    <w:rsid w:val="00DC39FC"/>
    <w:rsid w:val="00DC3A06"/>
    <w:rsid w:val="00DD0F4D"/>
    <w:rsid w:val="00DF5254"/>
    <w:rsid w:val="00DF64B8"/>
    <w:rsid w:val="00DF754A"/>
    <w:rsid w:val="00E16408"/>
    <w:rsid w:val="00E20894"/>
    <w:rsid w:val="00E2179C"/>
    <w:rsid w:val="00E245AB"/>
    <w:rsid w:val="00E2764C"/>
    <w:rsid w:val="00E27F2E"/>
    <w:rsid w:val="00E413EA"/>
    <w:rsid w:val="00E4404D"/>
    <w:rsid w:val="00E50AFE"/>
    <w:rsid w:val="00E535B8"/>
    <w:rsid w:val="00E620B6"/>
    <w:rsid w:val="00E75C92"/>
    <w:rsid w:val="00E771DC"/>
    <w:rsid w:val="00E8772A"/>
    <w:rsid w:val="00E90F6B"/>
    <w:rsid w:val="00E92C27"/>
    <w:rsid w:val="00E95A6D"/>
    <w:rsid w:val="00E95F64"/>
    <w:rsid w:val="00EA0E3D"/>
    <w:rsid w:val="00EA5FCD"/>
    <w:rsid w:val="00EC38A7"/>
    <w:rsid w:val="00EE1AA8"/>
    <w:rsid w:val="00EE2C0C"/>
    <w:rsid w:val="00EE74ED"/>
    <w:rsid w:val="00EF0B71"/>
    <w:rsid w:val="00EF2CBB"/>
    <w:rsid w:val="00F16A08"/>
    <w:rsid w:val="00F31EDC"/>
    <w:rsid w:val="00F462B3"/>
    <w:rsid w:val="00F5664F"/>
    <w:rsid w:val="00F666C4"/>
    <w:rsid w:val="00F76AFC"/>
    <w:rsid w:val="00F90652"/>
    <w:rsid w:val="00F96DDF"/>
    <w:rsid w:val="00FA0775"/>
    <w:rsid w:val="00FA47C0"/>
    <w:rsid w:val="00FB5DD1"/>
    <w:rsid w:val="00FC2B5D"/>
    <w:rsid w:val="00FD39E7"/>
    <w:rsid w:val="00FE7C83"/>
    <w:rsid w:val="00FF1449"/>
    <w:rsid w:val="00FF3438"/>
    <w:rsid w:val="057C4C74"/>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CD7352"/>
    <w:pPr>
      <w:spacing w:line="240" w:lineRule="exact"/>
    </w:pPr>
    <w:rPr>
      <w:vertAlign w:val="superscript"/>
    </w:rPr>
  </w:style>
  <w:style w:type="character" w:styleId="Refdecomentario">
    <w:name w:val="annotation reference"/>
    <w:basedOn w:val="Fuentedeprrafopredeter"/>
    <w:uiPriority w:val="99"/>
    <w:semiHidden/>
    <w:unhideWhenUsed/>
    <w:rsid w:val="00CD7352"/>
    <w:rPr>
      <w:sz w:val="16"/>
      <w:szCs w:val="16"/>
    </w:rPr>
  </w:style>
  <w:style w:type="paragraph" w:styleId="Textocomentario">
    <w:name w:val="annotation text"/>
    <w:basedOn w:val="Normal"/>
    <w:link w:val="TextocomentarioCar"/>
    <w:uiPriority w:val="99"/>
    <w:unhideWhenUsed/>
    <w:rsid w:val="00CD7352"/>
    <w:pPr>
      <w:spacing w:line="240" w:lineRule="auto"/>
    </w:pPr>
    <w:rPr>
      <w:sz w:val="20"/>
      <w:szCs w:val="20"/>
    </w:rPr>
  </w:style>
  <w:style w:type="character" w:customStyle="1" w:styleId="TextocomentarioCar">
    <w:name w:val="Texto comentario Car"/>
    <w:basedOn w:val="Fuentedeprrafopredeter"/>
    <w:link w:val="Textocomentario"/>
    <w:uiPriority w:val="99"/>
    <w:rsid w:val="00CD7352"/>
    <w:rPr>
      <w:sz w:val="20"/>
      <w:szCs w:val="20"/>
    </w:rPr>
  </w:style>
  <w:style w:type="paragraph" w:styleId="Sinespaciado">
    <w:name w:val="No Spacing"/>
    <w:aliases w:val="No Indent"/>
    <w:link w:val="SinespaciadoCar"/>
    <w:uiPriority w:val="3"/>
    <w:qFormat/>
    <w:rsid w:val="008A3290"/>
    <w:pPr>
      <w:spacing w:after="0" w:line="240" w:lineRule="auto"/>
    </w:pPr>
    <w:rPr>
      <w:sz w:val="24"/>
      <w:lang w:val="es-MX"/>
    </w:rPr>
  </w:style>
  <w:style w:type="character" w:customStyle="1" w:styleId="SinespaciadoCar">
    <w:name w:val="Sin espaciado Car"/>
    <w:aliases w:val="No Indent Car"/>
    <w:link w:val="Sinespaciado"/>
    <w:uiPriority w:val="3"/>
    <w:rsid w:val="008A3290"/>
    <w:rPr>
      <w:sz w:val="24"/>
      <w:lang w:val="es-MX"/>
    </w:rPr>
  </w:style>
  <w:style w:type="character" w:styleId="Textoennegrita">
    <w:name w:val="Strong"/>
    <w:basedOn w:val="Fuentedeprrafopredeter"/>
    <w:uiPriority w:val="22"/>
    <w:qFormat/>
    <w:rsid w:val="00CE2A02"/>
    <w:rPr>
      <w:b/>
      <w:bCs/>
    </w:rPr>
  </w:style>
  <w:style w:type="paragraph" w:styleId="Asuntodelcomentario">
    <w:name w:val="annotation subject"/>
    <w:basedOn w:val="Textocomentario"/>
    <w:next w:val="Textocomentario"/>
    <w:link w:val="AsuntodelcomentarioCar"/>
    <w:uiPriority w:val="99"/>
    <w:semiHidden/>
    <w:unhideWhenUsed/>
    <w:rsid w:val="00045B35"/>
    <w:rPr>
      <w:b/>
      <w:bCs/>
    </w:rPr>
  </w:style>
  <w:style w:type="character" w:customStyle="1" w:styleId="AsuntodelcomentarioCar">
    <w:name w:val="Asunto del comentario Car"/>
    <w:basedOn w:val="TextocomentarioCar"/>
    <w:link w:val="Asuntodelcomentario"/>
    <w:uiPriority w:val="99"/>
    <w:semiHidden/>
    <w:rsid w:val="00045B3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providencias-consejo-de-estad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inaor_94@hotmail.com"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sala-de-prensa/boletin-digita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SharedWithUsers xmlns="a6cb9e4b-f1d1-4245-83ec-6cad768d538a">
      <UserInfo>
        <DisplayName>Juan Manuel Avendaño Robles</DisplayName>
        <AccountId>639</AccountId>
        <AccountType/>
      </UserInfo>
      <UserInfo>
        <DisplayName>Alejandro Sarmiento</DisplayName>
        <AccountId>119</AccountId>
        <AccountType/>
      </UserInfo>
    </SharedWithUsers>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documentManagement/types"/>
    <ds:schemaRef ds:uri="9d85dbaf-23eb-4e57-a637-93dcacc8b1a1"/>
    <ds:schemaRef ds:uri="http://schemas.microsoft.com/office/2006/metadata/properties"/>
    <ds:schemaRef ds:uri="http://purl.org/dc/dcmitype/"/>
    <ds:schemaRef ds:uri="http://purl.org/dc/elements/1.1/"/>
    <ds:schemaRef ds:uri="http://purl.org/dc/terms/"/>
    <ds:schemaRef ds:uri="http://schemas.microsoft.com/office/infopath/2007/PartnerControls"/>
    <ds:schemaRef ds:uri="http://schemas.openxmlformats.org/package/2006/metadata/core-properties"/>
    <ds:schemaRef ds:uri="a6cb9e4b-f1d1-4245-83ec-6cad768d538a"/>
    <ds:schemaRef ds:uri="http://www.w3.org/XML/1998/namespace"/>
  </ds:schemaRefs>
</ds:datastoreItem>
</file>

<file path=customXml/itemProps3.xml><?xml version="1.0" encoding="utf-8"?>
<ds:datastoreItem xmlns:ds="http://schemas.openxmlformats.org/officeDocument/2006/customXml" ds:itemID="{269AB9DD-04BC-48DF-B21F-7C2E786367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14</Pages>
  <Words>4060</Words>
  <Characters>22336</Characters>
  <Application>Microsoft Office Word</Application>
  <DocSecurity>0</DocSecurity>
  <Lines>186</Lines>
  <Paragraphs>52</Paragraphs>
  <ScaleCrop>false</ScaleCrop>
  <Company/>
  <LinksUpToDate>false</LinksUpToDate>
  <CharactersWithSpaces>26344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helena Diaz</cp:lastModifiedBy>
  <cp:revision>2</cp:revision>
  <cp:lastPrinted>2023-01-10T21:18:00Z</cp:lastPrinted>
  <dcterms:created xsi:type="dcterms:W3CDTF">2024-08-26T00:57:00Z</dcterms:created>
  <dcterms:modified xsi:type="dcterms:W3CDTF">2024-08-26T00:57:00Z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