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1BEED" w14:textId="4BD36DC1" w:rsidR="00AB4030" w:rsidRPr="00DB4737" w:rsidRDefault="00AB4030" w:rsidP="00AB4030">
      <w:pPr>
        <w:spacing w:after="0" w:line="240" w:lineRule="auto"/>
        <w:jc w:val="both"/>
        <w:rPr>
          <w:rFonts w:ascii="Verdana" w:eastAsia="Calibri" w:hAnsi="Verdana" w:cs="Arial"/>
          <w:b/>
          <w:bCs/>
          <w:lang w:val="es-ES_tradnl" w:eastAsia="es-ES_tradnl"/>
        </w:rPr>
      </w:pPr>
      <w:bookmarkStart w:id="0" w:name="_Hlk186494164"/>
      <w:r w:rsidRPr="00DB4737">
        <w:rPr>
          <w:rFonts w:ascii="Verdana" w:eastAsia="Calibri" w:hAnsi="Verdana" w:cs="Arial"/>
          <w:b/>
          <w:bCs/>
          <w:lang w:val="es-ES_tradnl" w:eastAsia="es-ES_tradnl"/>
        </w:rPr>
        <w:t>CONTRATOS CON ESAL – Artículo 355 – Constitución – Fundamento</w:t>
      </w:r>
      <w:r w:rsidR="009239F1">
        <w:rPr>
          <w:rFonts w:ascii="Verdana" w:eastAsia="Calibri" w:hAnsi="Verdana" w:cs="Arial"/>
          <w:b/>
          <w:bCs/>
          <w:lang w:val="es-ES_tradnl" w:eastAsia="es-ES_tradnl"/>
        </w:rPr>
        <w:t>.</w:t>
      </w:r>
    </w:p>
    <w:p w14:paraId="75869323" w14:textId="77777777" w:rsidR="00AB4030" w:rsidRPr="00DB4737" w:rsidRDefault="00AB4030" w:rsidP="00AB4030">
      <w:pPr>
        <w:spacing w:after="0" w:line="240" w:lineRule="auto"/>
        <w:jc w:val="both"/>
        <w:rPr>
          <w:rFonts w:ascii="Verdana" w:eastAsia="Calibri" w:hAnsi="Verdana" w:cs="Arial"/>
          <w:color w:val="000000"/>
          <w:sz w:val="20"/>
          <w:szCs w:val="20"/>
        </w:rPr>
      </w:pPr>
    </w:p>
    <w:p w14:paraId="46C7AE75" w14:textId="77777777" w:rsidR="00AB4030" w:rsidRPr="00DB4737" w:rsidRDefault="00AB4030" w:rsidP="00AB4030">
      <w:pPr>
        <w:spacing w:after="0" w:line="240" w:lineRule="auto"/>
        <w:jc w:val="both"/>
        <w:rPr>
          <w:rFonts w:ascii="Verdana" w:eastAsia="Calibri" w:hAnsi="Verdana" w:cs="Arial"/>
          <w:color w:val="000000"/>
          <w:sz w:val="20"/>
          <w:szCs w:val="20"/>
        </w:rPr>
      </w:pPr>
      <w:r w:rsidRPr="00DB4737">
        <w:rPr>
          <w:rFonts w:ascii="Verdana" w:eastAsia="Calibri" w:hAnsi="Verdana" w:cs="Arial"/>
          <w:color w:val="000000"/>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w:t>
      </w:r>
    </w:p>
    <w:p w14:paraId="757CAB5F" w14:textId="77777777" w:rsidR="00AB4030" w:rsidRPr="00DB4737" w:rsidRDefault="00AB4030" w:rsidP="00AB4030">
      <w:pPr>
        <w:spacing w:after="0" w:line="240" w:lineRule="auto"/>
        <w:jc w:val="both"/>
        <w:rPr>
          <w:rFonts w:ascii="Verdana" w:eastAsia="Calibri" w:hAnsi="Verdana" w:cs="Arial"/>
          <w:b/>
          <w:bCs/>
          <w:sz w:val="20"/>
          <w:szCs w:val="20"/>
          <w:lang w:val="es-ES_tradnl" w:eastAsia="es-ES_tradnl"/>
        </w:rPr>
      </w:pPr>
    </w:p>
    <w:p w14:paraId="4516EFF1" w14:textId="77777777" w:rsidR="00AB4030" w:rsidRPr="00DB4737" w:rsidRDefault="00AB4030" w:rsidP="00AB4030">
      <w:pPr>
        <w:spacing w:after="0" w:line="240" w:lineRule="auto"/>
        <w:jc w:val="both"/>
        <w:rPr>
          <w:rFonts w:ascii="Verdana" w:eastAsia="Calibri" w:hAnsi="Verdana" w:cs="Arial"/>
          <w:b/>
          <w:bCs/>
          <w:sz w:val="20"/>
          <w:szCs w:val="20"/>
          <w:lang w:val="es-ES_tradnl" w:eastAsia="es-ES_tradnl"/>
        </w:rPr>
      </w:pPr>
    </w:p>
    <w:p w14:paraId="2385063F" w14:textId="7A7DEBFE" w:rsidR="00AB4030" w:rsidRPr="00075C16" w:rsidRDefault="00AB4030" w:rsidP="00AB4030">
      <w:pPr>
        <w:spacing w:after="0" w:line="240" w:lineRule="auto"/>
        <w:jc w:val="both"/>
        <w:rPr>
          <w:rFonts w:ascii="Verdana" w:hAnsi="Verdana" w:cs="Arial"/>
          <w:b/>
          <w:color w:val="000000"/>
          <w:kern w:val="2"/>
          <w14:ligatures w14:val="standardContextual"/>
        </w:rPr>
      </w:pPr>
      <w:r w:rsidRPr="00075C16">
        <w:rPr>
          <w:rFonts w:ascii="Verdana" w:hAnsi="Verdana" w:cs="Arial"/>
          <w:b/>
          <w:color w:val="000000"/>
          <w:kern w:val="2"/>
          <w14:ligatures w14:val="standardContextual"/>
        </w:rPr>
        <w:t>DECRETO 092 DE 2017 – Convenios de interés público – Convenios de asociación</w:t>
      </w:r>
      <w:r w:rsidR="009239F1">
        <w:rPr>
          <w:rFonts w:ascii="Verdana" w:hAnsi="Verdana" w:cs="Arial"/>
          <w:b/>
          <w:color w:val="000000"/>
          <w:kern w:val="2"/>
          <w14:ligatures w14:val="standardContextual"/>
        </w:rPr>
        <w:t>.</w:t>
      </w:r>
      <w:r w:rsidRPr="00075C16">
        <w:rPr>
          <w:rFonts w:ascii="Verdana" w:hAnsi="Verdana" w:cs="Arial"/>
          <w:b/>
          <w:color w:val="000000"/>
          <w:kern w:val="2"/>
          <w14:ligatures w14:val="standardContextual"/>
        </w:rPr>
        <w:t xml:space="preserve"> </w:t>
      </w:r>
    </w:p>
    <w:p w14:paraId="414D5B47" w14:textId="77777777" w:rsidR="00AB4030" w:rsidRDefault="00AB4030" w:rsidP="00AB4030">
      <w:pPr>
        <w:spacing w:after="0" w:line="240" w:lineRule="auto"/>
        <w:jc w:val="both"/>
        <w:rPr>
          <w:rFonts w:ascii="Verdana" w:hAnsi="Verdana" w:cs="Arial"/>
          <w:color w:val="000000"/>
          <w:kern w:val="2"/>
          <w14:ligatures w14:val="standardContextual"/>
        </w:rPr>
      </w:pPr>
    </w:p>
    <w:p w14:paraId="4FB39C11" w14:textId="77777777" w:rsidR="00AB4030" w:rsidRPr="00075C16" w:rsidRDefault="00AB4030" w:rsidP="00AB4030">
      <w:pPr>
        <w:spacing w:after="0" w:line="240" w:lineRule="auto"/>
        <w:jc w:val="both"/>
        <w:rPr>
          <w:rFonts w:ascii="Verdana" w:hAnsi="Verdana" w:cs="Arial"/>
          <w:color w:val="000000"/>
          <w:kern w:val="2"/>
          <w:sz w:val="20"/>
          <w:lang w:val="es-MX"/>
          <w14:ligatures w14:val="standardContextual"/>
        </w:rPr>
      </w:pPr>
      <w:r w:rsidRPr="00075C16">
        <w:rPr>
          <w:rFonts w:ascii="Verdana" w:hAnsi="Verdana" w:cs="Arial"/>
          <w:color w:val="000000"/>
          <w:kern w:val="2"/>
          <w:sz w:val="20"/>
          <w:lang w:val="es-MX"/>
          <w14:ligatures w14:val="standardContextual"/>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075C16">
        <w:rPr>
          <w:rFonts w:ascii="Verdana" w:hAnsi="Verdana" w:cs="Arial"/>
          <w:i/>
          <w:iCs/>
          <w:color w:val="000000"/>
          <w:kern w:val="2"/>
          <w:sz w:val="20"/>
          <w:lang w:val="es-MX"/>
          <w14:ligatures w14:val="standardContextual"/>
        </w:rPr>
        <w:t>contratos de colaboración</w:t>
      </w:r>
      <w:r w:rsidRPr="00075C16">
        <w:rPr>
          <w:rFonts w:ascii="Verdana" w:hAnsi="Verdana" w:cs="Arial"/>
          <w:color w:val="000000"/>
          <w:kern w:val="2"/>
          <w:sz w:val="20"/>
          <w:lang w:val="es-MX"/>
          <w14:ligatures w14:val="standardContextual"/>
        </w:rPr>
        <w:t xml:space="preserve"> o de interés público, con el fin impulsar programas y actividades de interés público de acuerdo con el Plan Nacional o los planes seccionales de desarrollo, en los términos del artículo 355 de la Constitución Política; y </w:t>
      </w:r>
      <w:proofErr w:type="spellStart"/>
      <w:r w:rsidRPr="00075C16">
        <w:rPr>
          <w:rFonts w:ascii="Verdana" w:hAnsi="Verdana" w:cs="Arial"/>
          <w:color w:val="000000"/>
          <w:kern w:val="2"/>
          <w:sz w:val="20"/>
          <w:lang w:val="es-MX"/>
          <w14:ligatures w14:val="standardContextual"/>
        </w:rPr>
        <w:t>ii</w:t>
      </w:r>
      <w:proofErr w:type="spellEnd"/>
      <w:r w:rsidRPr="00075C16">
        <w:rPr>
          <w:rFonts w:ascii="Verdana" w:hAnsi="Verdana" w:cs="Arial"/>
          <w:color w:val="000000"/>
          <w:kern w:val="2"/>
          <w:sz w:val="20"/>
          <w:lang w:val="es-MX"/>
          <w14:ligatures w14:val="standardContextual"/>
        </w:rPr>
        <w:t xml:space="preserve">) los </w:t>
      </w:r>
      <w:r w:rsidRPr="00075C16">
        <w:rPr>
          <w:rFonts w:ascii="Verdana" w:hAnsi="Verdana" w:cs="Arial"/>
          <w:i/>
          <w:iCs/>
          <w:color w:val="000000"/>
          <w:kern w:val="2"/>
          <w:sz w:val="20"/>
          <w:lang w:val="es-MX"/>
          <w14:ligatures w14:val="standardContextual"/>
        </w:rPr>
        <w:t>convenios de asociación</w:t>
      </w:r>
      <w:r w:rsidRPr="00075C16">
        <w:rPr>
          <w:rFonts w:ascii="Verdana" w:hAnsi="Verdana" w:cs="Arial"/>
          <w:color w:val="000000"/>
          <w:kern w:val="2"/>
          <w:sz w:val="20"/>
          <w:lang w:val="es-MX"/>
          <w14:ligatures w14:val="standardContextual"/>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075C16">
        <w:rPr>
          <w:rFonts w:ascii="Verdana" w:hAnsi="Verdana" w:cs="Arial"/>
          <w:i/>
          <w:iCs/>
          <w:color w:val="000000"/>
          <w:kern w:val="2"/>
          <w:sz w:val="20"/>
          <w:lang w:val="es-MX"/>
          <w14:ligatures w14:val="standardContextual"/>
        </w:rPr>
        <w:t>ibidem</w:t>
      </w:r>
      <w:r w:rsidRPr="00075C16">
        <w:rPr>
          <w:rFonts w:ascii="Verdana" w:hAnsi="Verdana" w:cs="Arial"/>
          <w:color w:val="000000"/>
          <w:kern w:val="2"/>
          <w:sz w:val="20"/>
          <w:lang w:val="es-MX"/>
          <w14:ligatures w14:val="standardContextual"/>
        </w:rPr>
        <w:t xml:space="preserve">. Es posible diferenciar, pues, los </w:t>
      </w:r>
      <w:r w:rsidRPr="00075C16">
        <w:rPr>
          <w:rFonts w:ascii="Verdana" w:hAnsi="Verdana" w:cs="Arial"/>
          <w:i/>
          <w:iCs/>
          <w:color w:val="000000"/>
          <w:kern w:val="2"/>
          <w:sz w:val="20"/>
          <w:lang w:val="es-MX"/>
          <w14:ligatures w14:val="standardContextual"/>
        </w:rPr>
        <w:t>convenios de asociación</w:t>
      </w:r>
      <w:r w:rsidRPr="00075C16">
        <w:rPr>
          <w:rFonts w:ascii="Verdana" w:hAnsi="Verdana" w:cs="Arial"/>
          <w:color w:val="000000"/>
          <w:kern w:val="2"/>
          <w:sz w:val="20"/>
          <w:lang w:val="es-MX"/>
          <w14:ligatures w14:val="standardContextual"/>
        </w:rPr>
        <w:t xml:space="preserve">, regulados en el artículo 5, de los </w:t>
      </w:r>
      <w:r w:rsidRPr="00075C16">
        <w:rPr>
          <w:rFonts w:ascii="Verdana" w:hAnsi="Verdana" w:cs="Arial"/>
          <w:i/>
          <w:iCs/>
          <w:color w:val="000000"/>
          <w:kern w:val="2"/>
          <w:sz w:val="20"/>
          <w:lang w:val="es-MX"/>
          <w14:ligatures w14:val="standardContextual"/>
        </w:rPr>
        <w:t>contratos de colaboración</w:t>
      </w:r>
      <w:r w:rsidRPr="00075C16">
        <w:rPr>
          <w:rFonts w:ascii="Verdana" w:hAnsi="Verdana" w:cs="Arial"/>
          <w:color w:val="000000"/>
          <w:kern w:val="2"/>
          <w:sz w:val="20"/>
          <w:lang w:val="es-MX"/>
          <w14:ligatures w14:val="standardContextual"/>
        </w:rPr>
        <w:t xml:space="preserve">, establecidos en el artículo 2 del Decreto 092 de 2017. </w:t>
      </w:r>
    </w:p>
    <w:p w14:paraId="387719E2" w14:textId="77777777" w:rsidR="00AB4030" w:rsidRPr="00075C16" w:rsidRDefault="00AB4030" w:rsidP="00AB4030">
      <w:pPr>
        <w:spacing w:after="0" w:line="240" w:lineRule="auto"/>
        <w:jc w:val="both"/>
        <w:rPr>
          <w:rFonts w:ascii="Verdana" w:hAnsi="Verdana" w:cs="Arial"/>
          <w:b/>
          <w:color w:val="000000"/>
          <w:kern w:val="2"/>
          <w14:ligatures w14:val="standardContextual"/>
        </w:rPr>
      </w:pPr>
    </w:p>
    <w:p w14:paraId="4C28C78C" w14:textId="7190C79B" w:rsidR="00AB4030" w:rsidRPr="00075C16" w:rsidRDefault="00AB4030" w:rsidP="00AB4030">
      <w:pPr>
        <w:spacing w:after="0" w:line="240" w:lineRule="auto"/>
        <w:jc w:val="both"/>
        <w:rPr>
          <w:rFonts w:ascii="Verdana" w:hAnsi="Verdana" w:cs="Arial"/>
          <w:b/>
          <w:color w:val="000000"/>
          <w:kern w:val="2"/>
          <w:lang w:val="es-ES"/>
          <w14:ligatures w14:val="standardContextual"/>
        </w:rPr>
      </w:pPr>
      <w:r w:rsidRPr="00075C16">
        <w:rPr>
          <w:rFonts w:ascii="Verdana" w:hAnsi="Verdana" w:cs="Arial"/>
          <w:b/>
          <w:color w:val="000000"/>
          <w:kern w:val="2"/>
          <w14:ligatures w14:val="standardContextual"/>
        </w:rPr>
        <w:t>DECRETO 092 DE 2017 – Convenios de colaboración o de interés público – Características – carácter no conmutativo</w:t>
      </w:r>
      <w:r w:rsidR="009239F1">
        <w:rPr>
          <w:rFonts w:ascii="Verdana" w:hAnsi="Verdana" w:cs="Arial"/>
          <w:b/>
          <w:color w:val="000000"/>
          <w:kern w:val="2"/>
          <w14:ligatures w14:val="standardContextual"/>
        </w:rPr>
        <w:t>.</w:t>
      </w:r>
      <w:r w:rsidRPr="00075C16">
        <w:rPr>
          <w:rFonts w:ascii="Verdana" w:hAnsi="Verdana" w:cs="Arial"/>
          <w:b/>
          <w:color w:val="000000"/>
          <w:kern w:val="2"/>
          <w:lang w:val="es-ES"/>
          <w14:ligatures w14:val="standardContextual"/>
        </w:rPr>
        <w:t xml:space="preserve"> </w:t>
      </w:r>
    </w:p>
    <w:p w14:paraId="537C1489" w14:textId="77777777" w:rsidR="00AB4030" w:rsidRDefault="00AB4030" w:rsidP="00AB4030">
      <w:pPr>
        <w:spacing w:after="0" w:line="240" w:lineRule="auto"/>
        <w:jc w:val="both"/>
        <w:rPr>
          <w:rFonts w:ascii="Verdana" w:hAnsi="Verdana" w:cs="Arial"/>
          <w:bCs/>
          <w:color w:val="000000"/>
          <w:kern w:val="2"/>
          <w14:ligatures w14:val="standardContextual"/>
        </w:rPr>
      </w:pPr>
    </w:p>
    <w:p w14:paraId="5A2C9AF8" w14:textId="77777777" w:rsidR="00AB4030" w:rsidRPr="00E561D3" w:rsidRDefault="00AB4030" w:rsidP="00AB4030">
      <w:pPr>
        <w:spacing w:after="0" w:line="240" w:lineRule="auto"/>
        <w:jc w:val="both"/>
        <w:rPr>
          <w:rFonts w:ascii="Verdana" w:hAnsi="Verdana" w:cs="Arial"/>
          <w:bCs/>
          <w:color w:val="000000"/>
          <w:kern w:val="2"/>
          <w:sz w:val="20"/>
          <w:lang w:val="es-ES_tradnl"/>
          <w14:ligatures w14:val="standardContextual"/>
        </w:rPr>
      </w:pPr>
      <w:r w:rsidRPr="00E561D3">
        <w:rPr>
          <w:rFonts w:ascii="Verdana" w:hAnsi="Verdana" w:cs="Arial"/>
          <w:bCs/>
          <w:color w:val="000000"/>
          <w:kern w:val="2"/>
          <w:sz w:val="20"/>
          <w14:ligatures w14:val="standardContextual"/>
        </w:rPr>
        <w:t xml:space="preserve">Por lo tanto, según el marco jurídico aplicable, se prohíbe que de dichos convenios emanen intereses onerosos, o produzca obligaciones entre los extremos con equivalencia entre sí, como sucede con los contratos de obra o de suministro. </w:t>
      </w:r>
      <w:r w:rsidRPr="00E561D3">
        <w:rPr>
          <w:rFonts w:ascii="Verdana" w:hAnsi="Verdana" w:cs="Arial"/>
          <w:bCs/>
          <w:color w:val="000000"/>
          <w:kern w:val="2"/>
          <w:sz w:val="20"/>
          <w:lang w:val="es-ES_tradnl"/>
          <w14:ligatures w14:val="standardContextua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 Puede estipularse que un determinado porcentaje o monto del aporte se destine a los gastos administrativos en los que se incurra para ejecutar la actividad a realizar. Conforme lo expuesto, dichas estipulaciones no deben entenderse como una contraprestación para algunas de las partes o no pueden estar destinadas a remunerar a la ESAL o a la entidad pública que participe del convenio. </w:t>
      </w:r>
      <w:r w:rsidRPr="00E561D3">
        <w:rPr>
          <w:rFonts w:ascii="Verdana" w:hAnsi="Verdana" w:cs="Arial"/>
          <w:bCs/>
          <w:color w:val="000000"/>
          <w:kern w:val="2"/>
          <w:sz w:val="20"/>
          <w14:ligatures w14:val="standardContextual"/>
        </w:rPr>
        <w:t xml:space="preserve">De las precisiones se infiere, que el </w:t>
      </w:r>
      <w:r w:rsidRPr="00E561D3">
        <w:rPr>
          <w:rFonts w:ascii="Verdana" w:hAnsi="Verdana" w:cs="Arial"/>
          <w:bCs/>
          <w:color w:val="000000"/>
          <w:kern w:val="2"/>
          <w:sz w:val="20"/>
          <w:lang w:val="es-ES"/>
          <w14:ligatures w14:val="standardContextual"/>
        </w:rPr>
        <w:t xml:space="preserve">literal b del artículo 2 del Decreto 092 del 2017, dispone que la contratación con entidades privadas sin ánimo de lucro y de reconocida idoneidad en los términos del </w:t>
      </w:r>
      <w:r w:rsidRPr="00E561D3">
        <w:rPr>
          <w:rFonts w:ascii="Verdana" w:hAnsi="Verdana" w:cs="Arial"/>
          <w:bCs/>
          <w:color w:val="000000"/>
          <w:kern w:val="2"/>
          <w:sz w:val="20"/>
          <w:lang w:val="es-ES"/>
          <w14:ligatures w14:val="standardContextual"/>
        </w:rPr>
        <w:lastRenderedPageBreak/>
        <w:t xml:space="preserve">artículo 355 de la Constitución Política y del Decreto 092 de 2017, no genera cargas equivalentes o recíprocas, </w:t>
      </w:r>
      <w:proofErr w:type="gramStart"/>
      <w:r w:rsidRPr="00E561D3">
        <w:rPr>
          <w:rFonts w:ascii="Verdana" w:hAnsi="Verdana" w:cs="Arial"/>
          <w:bCs/>
          <w:color w:val="000000"/>
          <w:kern w:val="2"/>
          <w:sz w:val="20"/>
          <w:lang w:val="es-ES"/>
          <w14:ligatures w14:val="standardContextual"/>
        </w:rPr>
        <w:t>y</w:t>
      </w:r>
      <w:proofErr w:type="gramEnd"/>
      <w:r w:rsidRPr="00E561D3">
        <w:rPr>
          <w:rFonts w:ascii="Verdana" w:hAnsi="Verdana" w:cs="Arial"/>
          <w:bCs/>
          <w:color w:val="000000"/>
          <w:kern w:val="2"/>
          <w:sz w:val="20"/>
          <w:lang w:val="es-ES"/>
          <w14:ligatures w14:val="standardContextual"/>
        </w:rPr>
        <w:t xml:space="preserve"> por tanto, la entidad estatal contratante no establece instrucciones precisas a la entidad privada sin ánimo de lucro para desarrollar los programas o actividades previstas en el marco de los planes de desarrollo. En tal sentido</w:t>
      </w:r>
      <w:r w:rsidRPr="00E561D3">
        <w:rPr>
          <w:rFonts w:ascii="Verdana" w:hAnsi="Verdana" w:cs="Arial"/>
          <w:bCs/>
          <w:color w:val="000000"/>
          <w:kern w:val="2"/>
          <w:sz w:val="20"/>
          <w14:ligatures w14:val="standardContextual"/>
        </w:rPr>
        <w:t xml:space="preserve">, no debe entenderse que la entidad contratante se desentienda de la ejecución del objeto contractual por no establecer instrucciones precisas, ya que, el artículo 83 de la Ley 1474 de 2011, aplicable en los convenios de interés público en virtud del artículo 8 del Decreto 092 de 2017, señala que el supervisor o el interventor, según sea el caso, deberá cumplir con las funciones propias del rol correspondiente, efectuando un verdadero seguimiento de carácter técnico, administrativo, financiero, contable y jurídico pertinente. Así las cosas, no pueden confundirse las reglas generales que se impartan al contratista por parte de las entidades contratantes en el marco del seguimiento y control a la ejecución contractual, con instrucciones precisas para el cumplimiento del objeto. En otras palabras, no establecer instrucciones precisas no significa que deje de realizar un seguimiento y control a la ejecución del convenio de colaboración. </w:t>
      </w:r>
    </w:p>
    <w:p w14:paraId="2F8D0F3A" w14:textId="77777777" w:rsidR="00887EC2" w:rsidRDefault="00887EC2" w:rsidP="00887EC2">
      <w:pPr>
        <w:spacing w:after="0" w:line="240" w:lineRule="auto"/>
        <w:rPr>
          <w:rFonts w:ascii="Verdana" w:eastAsia="Geomanist Light" w:hAnsi="Verdana" w:cs="Arial"/>
          <w:color w:val="000000" w:themeColor="text1"/>
          <w:lang w:val="es-MX"/>
        </w:rPr>
      </w:pPr>
    </w:p>
    <w:p w14:paraId="471B5BE2" w14:textId="77777777" w:rsidR="00AB4030" w:rsidRPr="00E561D3" w:rsidRDefault="00AB4030" w:rsidP="00AB4030">
      <w:pPr>
        <w:spacing w:after="0" w:line="240" w:lineRule="auto"/>
        <w:jc w:val="both"/>
        <w:rPr>
          <w:rFonts w:ascii="Verdana" w:hAnsi="Verdana"/>
          <w:b/>
        </w:rPr>
      </w:pPr>
      <w:r w:rsidRPr="00E561D3">
        <w:rPr>
          <w:rFonts w:ascii="Verdana" w:hAnsi="Verdana" w:cs="Arial"/>
          <w:b/>
          <w:color w:val="000000"/>
          <w:kern w:val="2"/>
          <w14:ligatures w14:val="standardContextual"/>
        </w:rPr>
        <w:t>SUSPENSIÓN PROVISIONAL PARCIAL – Decreto 092 de 2017 – Suspensión inciso segundo artículo 2; literales a) y c) e inciso quinto del artículo 2; inciso segundo artículo 3 e inciso final artículo 4</w:t>
      </w:r>
      <w:r w:rsidRPr="00E561D3">
        <w:rPr>
          <w:rFonts w:ascii="Verdana" w:hAnsi="Verdana" w:cs="Arial"/>
          <w:b/>
          <w:lang w:val="es-ES" w:eastAsia="es-ES"/>
        </w:rPr>
        <w:t>.</w:t>
      </w:r>
    </w:p>
    <w:p w14:paraId="7FA0C3B7" w14:textId="77777777" w:rsidR="00AB4030" w:rsidRDefault="00AB4030" w:rsidP="00AB4030">
      <w:pPr>
        <w:spacing w:after="0" w:line="240" w:lineRule="auto"/>
        <w:rPr>
          <w:rFonts w:ascii="Verdana" w:hAnsi="Verdana"/>
        </w:rPr>
      </w:pPr>
    </w:p>
    <w:p w14:paraId="558142C8" w14:textId="0ED46232" w:rsidR="00AB4030" w:rsidRPr="00E561D3" w:rsidRDefault="00AB4030" w:rsidP="00AB4030">
      <w:pPr>
        <w:spacing w:after="0" w:line="240" w:lineRule="auto"/>
        <w:jc w:val="both"/>
        <w:rPr>
          <w:rFonts w:ascii="Verdana" w:hAnsi="Verdana"/>
          <w:bCs/>
          <w:sz w:val="20"/>
        </w:rPr>
      </w:pPr>
      <w:r w:rsidRPr="00E561D3">
        <w:rPr>
          <w:rFonts w:ascii="Verdana" w:hAnsi="Verdana"/>
          <w:bCs/>
          <w:sz w:val="20"/>
        </w:rPr>
        <w:t xml:space="preserve">El Consejo de Estado, en el Auto del 6 de agosto de 2019 de la Sección Tercera, Subsección A, radicado No. 11001-03-26-000-2018-00113-00 (62.003), </w:t>
      </w:r>
      <w:proofErr w:type="gramStart"/>
      <w:r w:rsidRPr="00E561D3">
        <w:rPr>
          <w:rFonts w:ascii="Verdana" w:hAnsi="Verdana"/>
          <w:bCs/>
          <w:sz w:val="20"/>
        </w:rPr>
        <w:t>Consejero</w:t>
      </w:r>
      <w:proofErr w:type="gramEnd"/>
      <w:r w:rsidRPr="00E561D3">
        <w:rPr>
          <w:rFonts w:ascii="Verdana" w:hAnsi="Verdana"/>
          <w:bCs/>
          <w:sz w:val="20"/>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 Cabe precisar que las decisiones adoptadas en el auto indicado fueron mantenidas en su mayoría en el Auto del 15 de marzo de 2022 de la Sala Plena del Consejo de Estado,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w:t>
      </w:r>
      <w:r w:rsidR="001436FE">
        <w:rPr>
          <w:rFonts w:ascii="Verdana" w:hAnsi="Verdana"/>
          <w:bCs/>
          <w:sz w:val="20"/>
        </w:rPr>
        <w:t xml:space="preserve"> </w:t>
      </w:r>
      <w:r w:rsidRPr="00E561D3">
        <w:rPr>
          <w:rFonts w:ascii="Verdana" w:hAnsi="Verdana"/>
          <w:bCs/>
          <w:sz w:val="20"/>
        </w:rPr>
        <w:t xml:space="preserve">Posteriormente, la Sala Plena del Consejo de Estado en Auto del 15 de marzo de 2022 mantuvo la suspensión provisional del literal a) del artículo 2 del Decreto 092 de 2017 y, respecto al inciso final del artículo 4 </w:t>
      </w:r>
      <w:r w:rsidRPr="00E561D3">
        <w:rPr>
          <w:rFonts w:ascii="Verdana" w:hAnsi="Verdana"/>
          <w:bCs/>
          <w:i/>
          <w:iCs/>
          <w:sz w:val="20"/>
        </w:rPr>
        <w:t>ibidem</w:t>
      </w:r>
      <w:r w:rsidRPr="00E561D3">
        <w:rPr>
          <w:rFonts w:ascii="Verdana" w:hAnsi="Verdana"/>
          <w:bCs/>
          <w:sz w:val="20"/>
        </w:rPr>
        <w:t>, se mantuvo la medida cautelar al configurarse el cargo de violación del principio de igualdad, así como también mantuvo la posición frente al artículo 5, sostenida en el Auto citado al inicio del presente numeral. De lo anterior se desprende que la contratación con entidades sin ánimo de lucro, mediante convenios de asociación, se sigue rigiendo por el artículo 5 del Decreto 092 de 2017, salvo lo que fue objeto de suspensión provisional.</w:t>
      </w:r>
    </w:p>
    <w:p w14:paraId="4E10B3CD" w14:textId="77777777" w:rsidR="00887EC2" w:rsidRDefault="00887EC2" w:rsidP="00887EC2">
      <w:pPr>
        <w:spacing w:after="0" w:line="240" w:lineRule="auto"/>
        <w:rPr>
          <w:rFonts w:ascii="Verdana" w:eastAsia="Geomanist Light" w:hAnsi="Verdana" w:cs="Arial"/>
          <w:color w:val="000000" w:themeColor="text1"/>
          <w:lang w:val="es-MX"/>
        </w:rPr>
      </w:pPr>
    </w:p>
    <w:p w14:paraId="71CE9A0F" w14:textId="77777777" w:rsidR="00887EC2" w:rsidRDefault="00887EC2" w:rsidP="00887EC2">
      <w:pPr>
        <w:spacing w:after="0" w:line="240" w:lineRule="auto"/>
        <w:rPr>
          <w:rFonts w:ascii="Verdana" w:eastAsia="Geomanist Light" w:hAnsi="Verdana" w:cs="Arial"/>
          <w:color w:val="000000" w:themeColor="text1"/>
          <w:lang w:val="es-MX"/>
        </w:rPr>
      </w:pPr>
    </w:p>
    <w:p w14:paraId="1DF92272" w14:textId="77777777" w:rsidR="00887EC2" w:rsidRDefault="00887EC2" w:rsidP="00887EC2">
      <w:pPr>
        <w:spacing w:after="0" w:line="240" w:lineRule="auto"/>
        <w:rPr>
          <w:rFonts w:ascii="Verdana" w:eastAsia="Geomanist Light" w:hAnsi="Verdana" w:cs="Arial"/>
          <w:color w:val="000000" w:themeColor="text1"/>
          <w:lang w:val="es-MX"/>
        </w:rPr>
      </w:pPr>
    </w:p>
    <w:p w14:paraId="79AB1F97" w14:textId="77777777" w:rsidR="00887EC2" w:rsidRDefault="00887EC2" w:rsidP="00887EC2">
      <w:pPr>
        <w:spacing w:after="0" w:line="240" w:lineRule="auto"/>
        <w:rPr>
          <w:rFonts w:ascii="Verdana" w:eastAsia="Geomanist Light" w:hAnsi="Verdana" w:cs="Arial"/>
          <w:color w:val="000000" w:themeColor="text1"/>
          <w:lang w:val="es-MX"/>
        </w:rPr>
      </w:pPr>
    </w:p>
    <w:p w14:paraId="34E7DC31" w14:textId="77777777" w:rsidR="00887EC2" w:rsidRDefault="00887EC2" w:rsidP="00887EC2">
      <w:pPr>
        <w:spacing w:after="0" w:line="240" w:lineRule="auto"/>
        <w:rPr>
          <w:rFonts w:ascii="Verdana" w:eastAsia="Geomanist Light" w:hAnsi="Verdana" w:cs="Arial"/>
          <w:color w:val="000000" w:themeColor="text1"/>
          <w:lang w:val="es-MX"/>
        </w:rPr>
      </w:pPr>
    </w:p>
    <w:p w14:paraId="3DF712DA" w14:textId="77777777" w:rsidR="00887EC2" w:rsidRDefault="00887EC2" w:rsidP="00887EC2">
      <w:pPr>
        <w:spacing w:after="0" w:line="240" w:lineRule="auto"/>
        <w:rPr>
          <w:rFonts w:ascii="Verdana" w:eastAsia="Geomanist Light" w:hAnsi="Verdana" w:cs="Arial"/>
          <w:color w:val="000000" w:themeColor="text1"/>
          <w:lang w:val="es-MX"/>
        </w:rPr>
      </w:pPr>
    </w:p>
    <w:p w14:paraId="30430981" w14:textId="23DD70F3" w:rsidR="00F01A49" w:rsidRDefault="00831F6E" w:rsidP="00F01A49">
      <w:pPr>
        <w:spacing w:after="0"/>
        <w:rPr>
          <w:rFonts w:ascii="Verdana" w:hAnsi="Verdana"/>
        </w:rPr>
      </w:pPr>
      <w:r w:rsidRPr="0044528D">
        <w:rPr>
          <w:rFonts w:ascii="Verdana" w:hAnsi="Verdana"/>
        </w:rPr>
        <w:lastRenderedPageBreak/>
        <w:t xml:space="preserve">Bogotá D.C., </w:t>
      </w:r>
      <w:r w:rsidR="00F01A49">
        <w:rPr>
          <w:rFonts w:ascii="Verdana" w:hAnsi="Verdana"/>
        </w:rPr>
        <w:t>08 de abril de 2025.</w:t>
      </w:r>
    </w:p>
    <w:p w14:paraId="6A64901E" w14:textId="77777777" w:rsidR="00F01A49" w:rsidRDefault="00F01A49" w:rsidP="00F01A49">
      <w:pPr>
        <w:spacing w:after="0"/>
        <w:rPr>
          <w:rFonts w:ascii="Verdana" w:eastAsia="Calibri" w:hAnsi="Verdana" w:cs="Arial"/>
          <w:color w:val="000000"/>
          <w:lang w:val="es-ES"/>
        </w:rPr>
      </w:pPr>
    </w:p>
    <w:p w14:paraId="52365D21" w14:textId="6A4DCB7D" w:rsidR="00F01A49" w:rsidRDefault="00F01A49" w:rsidP="00370110">
      <w:pPr>
        <w:spacing w:after="0" w:line="240" w:lineRule="auto"/>
        <w:jc w:val="right"/>
        <w:rPr>
          <w:rFonts w:ascii="Verdana" w:eastAsia="Calibri" w:hAnsi="Verdana" w:cs="Arial"/>
          <w:color w:val="000000"/>
          <w:lang w:val="es-ES"/>
        </w:rPr>
      </w:pPr>
      <w:r>
        <w:rPr>
          <w:rFonts w:ascii="Verdana" w:eastAsia="Calibri" w:hAnsi="Verdana" w:cs="Arial"/>
          <w:noProof/>
          <w:color w:val="000000"/>
          <w:lang w:val="es-ES"/>
        </w:rPr>
        <w:drawing>
          <wp:inline distT="0" distB="0" distL="0" distR="0" wp14:anchorId="26D82FE6" wp14:editId="4381C9F7">
            <wp:extent cx="2984744" cy="962025"/>
            <wp:effectExtent l="0" t="0" r="6350" b="0"/>
            <wp:docPr id="969051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7739" cy="962990"/>
                    </a:xfrm>
                    <a:prstGeom prst="rect">
                      <a:avLst/>
                    </a:prstGeom>
                    <a:noFill/>
                    <a:ln>
                      <a:noFill/>
                    </a:ln>
                  </pic:spPr>
                </pic:pic>
              </a:graphicData>
            </a:graphic>
          </wp:inline>
        </w:drawing>
      </w:r>
    </w:p>
    <w:p w14:paraId="25BBCA99" w14:textId="77777777" w:rsidR="00F01A49" w:rsidRPr="00505CD6" w:rsidRDefault="00F01A49" w:rsidP="00370110">
      <w:pPr>
        <w:spacing w:after="0" w:line="240" w:lineRule="auto"/>
        <w:jc w:val="right"/>
        <w:rPr>
          <w:rFonts w:ascii="Verdana" w:eastAsia="Calibri" w:hAnsi="Verdana" w:cs="Arial"/>
          <w:color w:val="000000"/>
          <w:lang w:val="es-ES"/>
        </w:rPr>
      </w:pPr>
    </w:p>
    <w:p w14:paraId="4428D988" w14:textId="0F170FEE"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p>
    <w:p w14:paraId="0D00D542" w14:textId="52D6BB71" w:rsidR="008D75CE" w:rsidRDefault="008D75CE" w:rsidP="00505CD6">
      <w:pPr>
        <w:spacing w:after="0" w:line="240" w:lineRule="auto"/>
        <w:rPr>
          <w:rFonts w:ascii="Verdana" w:eastAsia="Calibri" w:hAnsi="Verdana" w:cs="Arial"/>
          <w:b/>
          <w:bCs/>
          <w:lang w:eastAsia="es-ES"/>
        </w:rPr>
      </w:pPr>
      <w:r w:rsidRPr="008D75CE">
        <w:rPr>
          <w:rFonts w:ascii="Verdana" w:eastAsia="Calibri" w:hAnsi="Verdana" w:cs="Arial"/>
          <w:b/>
          <w:bCs/>
          <w:lang w:eastAsia="es-ES"/>
        </w:rPr>
        <w:t>FERNANDO JOSE GUTI</w:t>
      </w:r>
      <w:r w:rsidR="00AB4030">
        <w:rPr>
          <w:rFonts w:ascii="Verdana" w:eastAsia="Calibri" w:hAnsi="Verdana" w:cs="Arial"/>
          <w:b/>
          <w:bCs/>
          <w:lang w:eastAsia="es-ES"/>
        </w:rPr>
        <w:t>È</w:t>
      </w:r>
      <w:r w:rsidRPr="008D75CE">
        <w:rPr>
          <w:rFonts w:ascii="Verdana" w:eastAsia="Calibri" w:hAnsi="Verdana" w:cs="Arial"/>
          <w:b/>
          <w:bCs/>
          <w:lang w:eastAsia="es-ES"/>
        </w:rPr>
        <w:t>RREZ IBAÑEZ</w:t>
      </w:r>
    </w:p>
    <w:p w14:paraId="27085029" w14:textId="0B012804" w:rsidR="008D75CE" w:rsidRPr="008D75CE" w:rsidRDefault="008D75CE" w:rsidP="00505CD6">
      <w:pPr>
        <w:spacing w:after="0" w:line="240" w:lineRule="auto"/>
        <w:rPr>
          <w:rFonts w:ascii="Verdana" w:hAnsi="Verdana" w:cstheme="minorHAnsi"/>
        </w:rPr>
      </w:pPr>
      <w:hyperlink r:id="rId12" w:history="1">
        <w:r w:rsidRPr="008D75CE">
          <w:rPr>
            <w:rStyle w:val="Hipervnculo"/>
            <w:rFonts w:ascii="Verdana" w:hAnsi="Verdana" w:cstheme="minorHAnsi"/>
          </w:rPr>
          <w:t>fernandog213@hotmail.com</w:t>
        </w:r>
      </w:hyperlink>
    </w:p>
    <w:p w14:paraId="3FE49E4D" w14:textId="095A12F2" w:rsidR="00505CD6" w:rsidRPr="00505CD6" w:rsidRDefault="008D75CE" w:rsidP="00505CD6">
      <w:pPr>
        <w:spacing w:after="0" w:line="240" w:lineRule="auto"/>
        <w:rPr>
          <w:rFonts w:ascii="Verdana" w:eastAsia="Calibri" w:hAnsi="Verdana" w:cs="Arial"/>
          <w:lang w:val="es-ES" w:eastAsia="es-ES"/>
        </w:rPr>
      </w:pPr>
      <w:r>
        <w:rPr>
          <w:rFonts w:ascii="Verdana" w:eastAsia="Calibri" w:hAnsi="Verdana" w:cs="Arial"/>
          <w:lang w:val="es-ES" w:eastAsia="es-ES"/>
        </w:rPr>
        <w:t>Valledupar (Cesar)</w:t>
      </w:r>
    </w:p>
    <w:p w14:paraId="4099BBBA" w14:textId="77777777" w:rsidR="00505CD6" w:rsidRPr="00505CD6" w:rsidRDefault="00505CD6" w:rsidP="00505C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505CD6" w:rsidRPr="00505CD6" w14:paraId="693DC68A" w14:textId="77777777" w:rsidTr="00CA638D">
        <w:trPr>
          <w:trHeight w:val="630"/>
        </w:trPr>
        <w:tc>
          <w:tcPr>
            <w:tcW w:w="2552" w:type="dxa"/>
          </w:tcPr>
          <w:p w14:paraId="64C39A8C" w14:textId="77777777" w:rsidR="00505CD6" w:rsidRPr="00505CD6" w:rsidRDefault="00505CD6" w:rsidP="00505CD6">
            <w:pPr>
              <w:jc w:val="both"/>
              <w:rPr>
                <w:rFonts w:ascii="Verdana" w:eastAsia="Calibri" w:hAnsi="Verdana" w:cs="Arial"/>
                <w:b/>
                <w:bCs/>
                <w:color w:val="7030A0"/>
                <w:lang w:val="es-ES_tradnl" w:eastAsia="es-ES_tradnl"/>
              </w:rPr>
            </w:pPr>
          </w:p>
        </w:tc>
        <w:tc>
          <w:tcPr>
            <w:tcW w:w="6237" w:type="dxa"/>
          </w:tcPr>
          <w:p w14:paraId="3F0CCDBE" w14:textId="3A5EB8CE"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sidR="001940E4">
              <w:rPr>
                <w:rFonts w:ascii="Verdana" w:eastAsia="Calibri" w:hAnsi="Verdana" w:cs="Arial"/>
                <w:b/>
                <w:bCs/>
                <w:lang w:val="es-ES" w:eastAsia="es-ES"/>
              </w:rPr>
              <w:t>2</w:t>
            </w:r>
            <w:r w:rsidR="008D75CE">
              <w:rPr>
                <w:rFonts w:ascii="Verdana" w:eastAsia="Calibri" w:hAnsi="Verdana" w:cs="Arial"/>
                <w:b/>
                <w:bCs/>
                <w:lang w:val="es-ES" w:eastAsia="es-ES"/>
              </w:rPr>
              <w:t>7</w:t>
            </w:r>
            <w:r w:rsidR="00F50102">
              <w:rPr>
                <w:rFonts w:ascii="Verdana" w:eastAsia="Calibri" w:hAnsi="Verdana" w:cs="Arial"/>
                <w:b/>
                <w:bCs/>
                <w:lang w:val="es-ES" w:eastAsia="es-ES"/>
              </w:rPr>
              <w:t>4</w:t>
            </w:r>
            <w:r w:rsidRPr="00505CD6">
              <w:rPr>
                <w:rFonts w:ascii="Verdana" w:eastAsia="Calibri" w:hAnsi="Verdana" w:cs="Arial"/>
                <w:b/>
                <w:bCs/>
                <w:lang w:val="es-ES" w:eastAsia="es-ES"/>
              </w:rPr>
              <w:t xml:space="preserve"> de 2025</w:t>
            </w:r>
          </w:p>
        </w:tc>
      </w:tr>
      <w:tr w:rsidR="00505CD6" w:rsidRPr="005525D6" w14:paraId="345204EE" w14:textId="77777777" w:rsidTr="00CA638D">
        <w:trPr>
          <w:trHeight w:val="884"/>
        </w:trPr>
        <w:tc>
          <w:tcPr>
            <w:tcW w:w="2552"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237" w:type="dxa"/>
          </w:tcPr>
          <w:p w14:paraId="31C78EA2" w14:textId="77777777" w:rsidR="009239F1" w:rsidRPr="009239F1" w:rsidRDefault="009239F1" w:rsidP="009239F1">
            <w:pPr>
              <w:jc w:val="both"/>
              <w:rPr>
                <w:rFonts w:ascii="Verdana" w:hAnsi="Verdana"/>
              </w:rPr>
            </w:pPr>
            <w:r w:rsidRPr="009239F1">
              <w:rPr>
                <w:rFonts w:ascii="Verdana" w:eastAsia="Calibri" w:hAnsi="Verdana" w:cs="Arial"/>
                <w:lang w:val="es-ES_tradnl" w:eastAsia="es-ES_tradnl"/>
              </w:rPr>
              <w:t xml:space="preserve">CONTRATOS CON ESAL – Artículo 355 – Constitución – Fundamento, </w:t>
            </w:r>
            <w:r w:rsidRPr="009239F1">
              <w:rPr>
                <w:rFonts w:ascii="Verdana" w:hAnsi="Verdana" w:cs="Arial"/>
                <w:color w:val="000000"/>
                <w:kern w:val="2"/>
                <w14:ligatures w14:val="standardContextual"/>
              </w:rPr>
              <w:t>DECRETO 092 DE 2017 – Convenios de interés público – Convenios de asociación- DECRETO 092 DE 2017 – Convenios de colaboración o de interés público – Características – carácter no conmutativo- SUSPENSIÓN PROVISIONAL PARCIAL – Decreto 092 de 2017 – Suspensión inciso segundo artículo 2; literales a) y c) e inciso quinto del artículo 2; inciso segundo artículo 3 e inciso final artículo 4</w:t>
            </w:r>
            <w:r w:rsidRPr="009239F1">
              <w:rPr>
                <w:rFonts w:ascii="Verdana" w:hAnsi="Verdana" w:cs="Arial"/>
                <w:lang w:val="es-ES" w:eastAsia="es-ES"/>
              </w:rPr>
              <w:t>.</w:t>
            </w:r>
          </w:p>
          <w:p w14:paraId="24A3A086" w14:textId="23CFB08D" w:rsidR="009525E5" w:rsidRPr="008D75CE" w:rsidRDefault="009525E5" w:rsidP="00F75206">
            <w:pPr>
              <w:jc w:val="both"/>
              <w:rPr>
                <w:rFonts w:ascii="Verdana" w:eastAsia="Calibri" w:hAnsi="Verdana" w:cs="Arial"/>
                <w:highlight w:val="yellow"/>
                <w:lang w:val="es-ES" w:eastAsia="es-ES"/>
              </w:rPr>
            </w:pPr>
          </w:p>
        </w:tc>
      </w:tr>
      <w:tr w:rsidR="00505CD6" w:rsidRPr="00505CD6" w14:paraId="0496523F" w14:textId="77777777" w:rsidTr="00CA638D">
        <w:tc>
          <w:tcPr>
            <w:tcW w:w="2552" w:type="dxa"/>
          </w:tcPr>
          <w:p w14:paraId="4993E68B" w14:textId="77777777"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237" w:type="dxa"/>
          </w:tcPr>
          <w:p w14:paraId="15F3DBAD" w14:textId="08B309BA" w:rsidR="005525D6" w:rsidRDefault="00505CD6" w:rsidP="00F75206">
            <w:pPr>
              <w:jc w:val="both"/>
              <w:rPr>
                <w:rFonts w:ascii="Verdana" w:hAnsi="Verdana"/>
                <w:color w:val="000000"/>
              </w:rPr>
            </w:pPr>
            <w:r w:rsidRPr="00505CD6">
              <w:rPr>
                <w:rFonts w:ascii="Verdana" w:eastAsia="Calibri" w:hAnsi="Verdana" w:cs="Arial"/>
                <w:lang w:val="es-ES_tradnl" w:eastAsia="es-ES_tradnl"/>
              </w:rPr>
              <w:t xml:space="preserve">Respuesta a la consulta con radicado No.   </w:t>
            </w:r>
            <w:r w:rsidR="008D75CE" w:rsidRPr="008D75CE">
              <w:rPr>
                <w:rFonts w:ascii="Verdana" w:eastAsia="Calibri" w:hAnsi="Verdana" w:cs="Arial"/>
                <w:lang w:val="es-ES_tradnl" w:eastAsia="es-ES_tradnl"/>
              </w:rPr>
              <w:t>P20250304002132</w:t>
            </w:r>
            <w:r w:rsidR="005525D6">
              <w:rPr>
                <w:rFonts w:ascii="Verdana" w:hAnsi="Verdana"/>
                <w:color w:val="000000"/>
              </w:rPr>
              <w:t>.</w:t>
            </w:r>
          </w:p>
          <w:p w14:paraId="4A00324B" w14:textId="523A385B" w:rsidR="00505CD6" w:rsidRPr="00505CD6" w:rsidRDefault="00505CD6" w:rsidP="00505CD6">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                                 </w:t>
            </w:r>
          </w:p>
        </w:tc>
      </w:tr>
    </w:tbl>
    <w:p w14:paraId="705B6F76" w14:textId="545A2704" w:rsidR="00505CD6" w:rsidRPr="00505CD6" w:rsidRDefault="00505CD6" w:rsidP="00505CD6">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Estimad</w:t>
      </w:r>
      <w:r w:rsidR="008D75CE">
        <w:rPr>
          <w:rFonts w:ascii="Verdana" w:eastAsia="Calibri" w:hAnsi="Verdana" w:cs="Arial"/>
          <w:lang w:val="es-ES" w:eastAsia="es-ES"/>
        </w:rPr>
        <w:t>o</w:t>
      </w:r>
      <w:r w:rsidRPr="00505CD6">
        <w:rPr>
          <w:rFonts w:ascii="Verdana" w:eastAsia="Calibri" w:hAnsi="Verdana" w:cs="Arial"/>
          <w:lang w:val="es-ES" w:eastAsia="es-ES"/>
        </w:rPr>
        <w:t xml:space="preserve"> señor </w:t>
      </w:r>
      <w:r w:rsidR="00AB4030">
        <w:rPr>
          <w:rFonts w:ascii="Verdana" w:eastAsia="Calibri" w:hAnsi="Verdana" w:cs="Arial"/>
          <w:lang w:val="es-ES" w:eastAsia="es-ES"/>
        </w:rPr>
        <w:t>Gutiérrez</w:t>
      </w:r>
      <w:r w:rsidR="008D75CE">
        <w:rPr>
          <w:rFonts w:ascii="Verdana" w:eastAsia="Calibri" w:hAnsi="Verdana" w:cs="Arial"/>
          <w:lang w:val="es-ES" w:eastAsia="es-ES"/>
        </w:rPr>
        <w:t>;</w:t>
      </w:r>
      <w:r w:rsidRPr="00505CD6">
        <w:rPr>
          <w:rFonts w:ascii="Verdana" w:eastAsia="Calibri" w:hAnsi="Verdana" w:cs="Arial"/>
          <w:lang w:val="es-ES" w:eastAsia="es-ES"/>
        </w:rPr>
        <w:t xml:space="preserve">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B5F1D50" w14:textId="036D4C6E" w:rsidR="00EF11B4" w:rsidRDefault="00505CD6" w:rsidP="00505CD6">
      <w:pPr>
        <w:spacing w:after="12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del </w:t>
      </w:r>
      <w:r w:rsidR="00EF11B4">
        <w:rPr>
          <w:rFonts w:ascii="Verdana" w:eastAsia="Calibri" w:hAnsi="Verdana" w:cs="Arial"/>
          <w:color w:val="000000" w:themeColor="text1"/>
          <w:lang w:val="es-ES" w:eastAsia="es-ES"/>
        </w:rPr>
        <w:t xml:space="preserve">radicada en esta entidad el </w:t>
      </w:r>
      <w:r w:rsidR="008C07BA">
        <w:rPr>
          <w:rFonts w:ascii="Verdana" w:eastAsia="Calibri" w:hAnsi="Verdana" w:cs="Arial"/>
          <w:color w:val="000000" w:themeColor="text1"/>
          <w:lang w:val="es-ES" w:eastAsia="es-ES"/>
        </w:rPr>
        <w:t>0</w:t>
      </w:r>
      <w:r w:rsidR="008D75CE">
        <w:rPr>
          <w:rFonts w:ascii="Verdana" w:eastAsia="Calibri" w:hAnsi="Verdana" w:cs="Arial"/>
          <w:color w:val="000000" w:themeColor="text1"/>
          <w:lang w:val="es-ES" w:eastAsia="es-ES"/>
        </w:rPr>
        <w:t>5</w:t>
      </w:r>
      <w:r w:rsidRPr="00505CD6">
        <w:rPr>
          <w:rFonts w:ascii="Verdana" w:eastAsia="Calibri" w:hAnsi="Verdana" w:cs="Arial"/>
          <w:lang w:val="es-ES" w:eastAsia="es-ES"/>
        </w:rPr>
        <w:t xml:space="preserve"> de </w:t>
      </w:r>
      <w:r w:rsidR="008C07BA">
        <w:rPr>
          <w:rFonts w:ascii="Verdana" w:eastAsia="Calibri" w:hAnsi="Verdana" w:cs="Arial"/>
          <w:lang w:val="es-ES" w:eastAsia="es-ES"/>
        </w:rPr>
        <w:t>marzo</w:t>
      </w:r>
      <w:r w:rsidRPr="00505CD6">
        <w:rPr>
          <w:rFonts w:ascii="Verdana" w:eastAsia="Calibri" w:hAnsi="Verdana" w:cs="Arial"/>
          <w:lang w:val="es-ES" w:eastAsia="es-ES"/>
        </w:rPr>
        <w:t xml:space="preserve"> de 2025, en la cual </w:t>
      </w:r>
      <w:r w:rsidR="00CD707C">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25AA936E" w14:textId="7B48865B" w:rsidR="0043354F" w:rsidRDefault="005525D6" w:rsidP="00272891">
      <w:pPr>
        <w:spacing w:after="120" w:line="276" w:lineRule="auto"/>
        <w:ind w:right="616"/>
        <w:jc w:val="both"/>
        <w:rPr>
          <w:rFonts w:ascii="Verdana" w:eastAsia="Calibri" w:hAnsi="Verdana" w:cs="Arial"/>
          <w:i/>
          <w:iCs/>
          <w:lang w:val="es-ES" w:eastAsia="es-ES"/>
        </w:rPr>
      </w:pPr>
      <w:r>
        <w:rPr>
          <w:rFonts w:ascii="Verdana" w:eastAsia="Calibri" w:hAnsi="Verdana" w:cs="Arial"/>
          <w:i/>
          <w:iCs/>
          <w:lang w:val="es-ES" w:eastAsia="es-ES"/>
        </w:rPr>
        <w:t xml:space="preserve">     </w:t>
      </w:r>
      <w:r w:rsidR="00EF11B4" w:rsidRPr="00CD707C">
        <w:rPr>
          <w:rFonts w:ascii="Verdana" w:eastAsia="Calibri" w:hAnsi="Verdana" w:cs="Arial"/>
          <w:i/>
          <w:iCs/>
          <w:lang w:val="es-ES" w:eastAsia="es-ES"/>
        </w:rPr>
        <w:t>(…)</w:t>
      </w:r>
    </w:p>
    <w:p w14:paraId="4AEB2560" w14:textId="13B6960D" w:rsidR="005525D6" w:rsidRDefault="008D75CE" w:rsidP="008D75CE">
      <w:pPr>
        <w:spacing w:after="120" w:line="276" w:lineRule="auto"/>
        <w:ind w:left="426" w:right="1183"/>
        <w:jc w:val="both"/>
        <w:rPr>
          <w:rFonts w:ascii="Verdana" w:eastAsia="Calibri" w:hAnsi="Verdana" w:cs="Arial"/>
          <w:i/>
          <w:iCs/>
          <w:lang w:val="es-ES" w:eastAsia="es-ES"/>
        </w:rPr>
      </w:pPr>
      <w:r>
        <w:rPr>
          <w:rFonts w:ascii="Verdana" w:eastAsia="Calibri" w:hAnsi="Verdana" w:cs="Arial"/>
          <w:i/>
          <w:iCs/>
          <w:lang w:eastAsia="es-ES"/>
        </w:rPr>
        <w:lastRenderedPageBreak/>
        <w:t>D</w:t>
      </w:r>
      <w:r w:rsidRPr="008D75CE">
        <w:rPr>
          <w:rFonts w:ascii="Verdana" w:eastAsia="Calibri" w:hAnsi="Verdana" w:cs="Arial"/>
          <w:i/>
          <w:iCs/>
          <w:lang w:eastAsia="es-ES"/>
        </w:rPr>
        <w:t>entro del decreto 092 de 2017, se encuentra estipulado el procedimiento de los</w:t>
      </w:r>
      <w:r>
        <w:rPr>
          <w:rFonts w:ascii="Verdana" w:eastAsia="Calibri" w:hAnsi="Verdana" w:cs="Arial"/>
          <w:i/>
          <w:iCs/>
          <w:lang w:eastAsia="es-ES"/>
        </w:rPr>
        <w:t xml:space="preserve"> </w:t>
      </w:r>
      <w:r w:rsidRPr="008D75CE">
        <w:rPr>
          <w:rFonts w:ascii="Verdana" w:eastAsia="Calibri" w:hAnsi="Verdana" w:cs="Arial"/>
          <w:i/>
          <w:iCs/>
          <w:lang w:eastAsia="es-ES"/>
        </w:rPr>
        <w:t>procesos competitivos, los cuales se estipulo que era solo para proyectos descritos</w:t>
      </w:r>
      <w:r>
        <w:rPr>
          <w:rFonts w:ascii="Verdana" w:eastAsia="Calibri" w:hAnsi="Verdana" w:cs="Arial"/>
          <w:i/>
          <w:iCs/>
          <w:lang w:eastAsia="es-ES"/>
        </w:rPr>
        <w:t xml:space="preserve"> </w:t>
      </w:r>
      <w:r w:rsidRPr="008D75CE">
        <w:rPr>
          <w:rFonts w:ascii="Verdana" w:eastAsia="Calibri" w:hAnsi="Verdana" w:cs="Arial"/>
          <w:i/>
          <w:iCs/>
          <w:lang w:eastAsia="es-ES"/>
        </w:rPr>
        <w:t>en el artículo 2 literal a, pero a raíz de la suspensión de los artículos quedo ese</w:t>
      </w:r>
      <w:r>
        <w:rPr>
          <w:rFonts w:ascii="Verdana" w:eastAsia="Calibri" w:hAnsi="Verdana" w:cs="Arial"/>
          <w:i/>
          <w:iCs/>
          <w:lang w:eastAsia="es-ES"/>
        </w:rPr>
        <w:t xml:space="preserve"> </w:t>
      </w:r>
      <w:r w:rsidRPr="008D75CE">
        <w:rPr>
          <w:rFonts w:ascii="Verdana" w:eastAsia="Calibri" w:hAnsi="Verdana" w:cs="Arial"/>
          <w:i/>
          <w:iCs/>
          <w:lang w:eastAsia="es-ES"/>
        </w:rPr>
        <w:t>procedimiento de acuerdo no solo a esos tipo de proyectos sino abierto a proyectos</w:t>
      </w:r>
      <w:r>
        <w:rPr>
          <w:rFonts w:ascii="Verdana" w:eastAsia="Calibri" w:hAnsi="Verdana" w:cs="Arial"/>
          <w:i/>
          <w:iCs/>
          <w:lang w:eastAsia="es-ES"/>
        </w:rPr>
        <w:t xml:space="preserve"> </w:t>
      </w:r>
      <w:r w:rsidRPr="008D75CE">
        <w:rPr>
          <w:rFonts w:ascii="Verdana" w:eastAsia="Calibri" w:hAnsi="Verdana" w:cs="Arial"/>
          <w:i/>
          <w:iCs/>
          <w:lang w:eastAsia="es-ES"/>
        </w:rPr>
        <w:t>que se encuentren en los planes de desarrollo, este tipo de procedimiento ESAL, se</w:t>
      </w:r>
      <w:r>
        <w:rPr>
          <w:rFonts w:ascii="Verdana" w:eastAsia="Calibri" w:hAnsi="Verdana" w:cs="Arial"/>
          <w:i/>
          <w:iCs/>
          <w:lang w:eastAsia="es-ES"/>
        </w:rPr>
        <w:t xml:space="preserve"> </w:t>
      </w:r>
      <w:r w:rsidRPr="008D75CE">
        <w:rPr>
          <w:rFonts w:ascii="Verdana" w:eastAsia="Calibri" w:hAnsi="Verdana" w:cs="Arial"/>
          <w:i/>
          <w:iCs/>
          <w:lang w:eastAsia="es-ES"/>
        </w:rPr>
        <w:t>puede aplicar a proyectos agrícolas, agropecuarios productivos para impulsar al</w:t>
      </w:r>
      <w:r>
        <w:rPr>
          <w:rFonts w:ascii="Verdana" w:eastAsia="Calibri" w:hAnsi="Verdana" w:cs="Arial"/>
          <w:i/>
          <w:iCs/>
          <w:lang w:eastAsia="es-ES"/>
        </w:rPr>
        <w:t xml:space="preserve"> </w:t>
      </w:r>
      <w:r w:rsidRPr="008D75CE">
        <w:rPr>
          <w:rFonts w:ascii="Verdana" w:eastAsia="Calibri" w:hAnsi="Verdana" w:cs="Arial"/>
          <w:i/>
          <w:iCs/>
          <w:lang w:eastAsia="es-ES"/>
        </w:rPr>
        <w:t>pequeño y mediano productor, con ESAL que hayan realizado ese tipo de proyectos</w:t>
      </w:r>
      <w:r>
        <w:rPr>
          <w:rFonts w:ascii="Verdana" w:eastAsia="Calibri" w:hAnsi="Verdana" w:cs="Arial"/>
          <w:i/>
          <w:iCs/>
          <w:lang w:eastAsia="es-ES"/>
        </w:rPr>
        <w:t xml:space="preserve"> </w:t>
      </w:r>
      <w:r w:rsidRPr="008D75CE">
        <w:rPr>
          <w:rFonts w:ascii="Verdana" w:eastAsia="Calibri" w:hAnsi="Verdana" w:cs="Arial"/>
          <w:i/>
          <w:iCs/>
          <w:lang w:eastAsia="es-ES"/>
        </w:rPr>
        <w:t>mediante un proceso competitivo?</w:t>
      </w:r>
      <w:r w:rsidR="008C07BA">
        <w:rPr>
          <w:rFonts w:ascii="Verdana" w:eastAsia="Calibri" w:hAnsi="Verdana" w:cs="Arial"/>
          <w:i/>
          <w:iCs/>
          <w:lang w:val="es-ES" w:eastAsia="es-ES"/>
        </w:rPr>
        <w:t xml:space="preserve"> </w:t>
      </w:r>
      <w:r w:rsidR="005525D6" w:rsidRPr="00CD707C">
        <w:rPr>
          <w:rFonts w:ascii="Verdana" w:eastAsia="Calibri" w:hAnsi="Verdana" w:cs="Arial"/>
          <w:i/>
          <w:iCs/>
          <w:lang w:val="es-ES" w:eastAsia="es-ES"/>
        </w:rPr>
        <w:t>(…)</w:t>
      </w:r>
    </w:p>
    <w:p w14:paraId="27870E03" w14:textId="1E96744E"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AE394E">
      <w:pPr>
        <w:numPr>
          <w:ilvl w:val="0"/>
          <w:numId w:val="1"/>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75A67BEC" w14:textId="113EF9BB" w:rsidR="00272891" w:rsidRDefault="00272891" w:rsidP="00272891">
      <w:pPr>
        <w:spacing w:after="0" w:line="276" w:lineRule="auto"/>
        <w:jc w:val="both"/>
        <w:rPr>
          <w:rFonts w:ascii="Verdana" w:eastAsia="Century Gothic" w:hAnsi="Verdana" w:cs="Century Gothic"/>
        </w:rPr>
      </w:pPr>
      <w:r w:rsidRPr="00CD2FA0">
        <w:rPr>
          <w:rFonts w:ascii="Verdana" w:eastAsia="Century Gothic" w:hAnsi="Verdana" w:cs="Century Gothic"/>
        </w:rPr>
        <w:t xml:space="preserve">De acuerdo con el contenido de su solicitud, </w:t>
      </w:r>
      <w:r w:rsidRPr="00167C84">
        <w:rPr>
          <w:rFonts w:ascii="Verdana" w:eastAsia="Century Gothic" w:hAnsi="Verdana" w:cs="Century Gothic"/>
        </w:rPr>
        <w:t>esta Subdirección se resolverán la siguiente pregunta:</w:t>
      </w:r>
      <w:r w:rsidR="00300DA4">
        <w:rPr>
          <w:rFonts w:ascii="Verdana" w:eastAsia="Century Gothic" w:hAnsi="Verdana" w:cs="Century Gothic"/>
        </w:rPr>
        <w:t xml:space="preserve"> </w:t>
      </w:r>
      <w:r w:rsidR="00A27A5B" w:rsidRPr="00A27A5B">
        <w:rPr>
          <w:rFonts w:ascii="Verdana" w:eastAsia="Century Gothic" w:hAnsi="Verdana" w:cs="Century Gothic"/>
        </w:rPr>
        <w:t xml:space="preserve">¿Es jurídicamente viable aplicar el procedimiento de procesos competitivos con Entidades Sin Ánimo de Lucro (ESAL), establecido en el Decreto 092 de 2017, a proyectos de carácter agrícola y agropecuario </w:t>
      </w:r>
      <w:r w:rsidR="00A27A5B" w:rsidRPr="00A27A5B">
        <w:rPr>
          <w:rFonts w:ascii="Verdana" w:eastAsia="Century Gothic" w:hAnsi="Verdana" w:cs="Century Gothic"/>
        </w:rPr>
        <w:lastRenderedPageBreak/>
        <w:t>productivo destinados a beneficiar al pequeño y mediano productor, cuando dichos proyectos estén contemplados en los planes de desarrollo y las ESAL tengan experiencia en proyectos similares?</w:t>
      </w:r>
    </w:p>
    <w:p w14:paraId="48419BC1" w14:textId="77777777" w:rsidR="00A27A5B" w:rsidRDefault="00A27A5B" w:rsidP="00272891">
      <w:pPr>
        <w:spacing w:after="0" w:line="276" w:lineRule="auto"/>
        <w:jc w:val="both"/>
        <w:rPr>
          <w:rFonts w:ascii="Verdana" w:eastAsia="Century Gothic" w:hAnsi="Verdana" w:cs="Century Gothic"/>
        </w:rPr>
      </w:pPr>
    </w:p>
    <w:p w14:paraId="66944936" w14:textId="01B9C214" w:rsidR="00505CD6" w:rsidRPr="00505CD6" w:rsidRDefault="00505CD6" w:rsidP="00272891">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5CD6" w:rsidRPr="00505CD6" w14:paraId="17CA5EBC" w14:textId="77777777" w:rsidTr="006C5D8A">
        <w:trPr>
          <w:jc w:val="center"/>
        </w:trPr>
        <w:tc>
          <w:tcPr>
            <w:tcW w:w="8828" w:type="dxa"/>
            <w:shd w:val="clear" w:color="auto" w:fill="auto"/>
          </w:tcPr>
          <w:p w14:paraId="20FB7020" w14:textId="77777777" w:rsidR="00A27A5B" w:rsidRDefault="00A27A5B" w:rsidP="00A27A5B">
            <w:pPr>
              <w:spacing w:line="276" w:lineRule="auto"/>
              <w:jc w:val="both"/>
              <w:rPr>
                <w:rFonts w:ascii="Verdana" w:hAnsi="Verdana" w:cs="Arial"/>
                <w:lang w:eastAsia="es-ES"/>
              </w:rPr>
            </w:pPr>
            <w:bookmarkStart w:id="1" w:name="_Hlk171694685"/>
          </w:p>
          <w:p w14:paraId="4B5412EE" w14:textId="43B6CA9F" w:rsidR="0018378B" w:rsidRPr="00DB4737" w:rsidRDefault="0018378B" w:rsidP="0018378B">
            <w:pPr>
              <w:spacing w:line="276" w:lineRule="auto"/>
              <w:jc w:val="both"/>
              <w:rPr>
                <w:rFonts w:ascii="Verdana" w:eastAsia="Aptos" w:hAnsi="Verdana" w:cs="Times New Roman"/>
              </w:rPr>
            </w:pPr>
            <w:r w:rsidRPr="00DB4737">
              <w:rPr>
                <w:rFonts w:ascii="Verdana" w:eastAsia="Aptos" w:hAnsi="Verdana" w:cs="Times New Roman"/>
              </w:rPr>
              <w:t xml:space="preserve">El Decreto 092 de 2017, </w:t>
            </w:r>
            <w:r w:rsidRPr="00A27A5B">
              <w:rPr>
                <w:rFonts w:ascii="Verdana" w:hAnsi="Verdana" w:cs="Arial"/>
                <w:lang w:eastAsia="es-ES"/>
              </w:rPr>
              <w:t>reglamentario del artículo 355 de la Constitución Política de Colombia</w:t>
            </w:r>
            <w:r>
              <w:rPr>
                <w:rFonts w:ascii="Verdana" w:hAnsi="Verdana" w:cs="Arial"/>
                <w:lang w:eastAsia="es-ES"/>
              </w:rPr>
              <w:t>,</w:t>
            </w:r>
            <w:r w:rsidRPr="00DB4737">
              <w:rPr>
                <w:rFonts w:ascii="Verdana" w:eastAsia="Aptos" w:hAnsi="Verdana" w:cs="Times New Roman"/>
              </w:rPr>
              <w:t xml:space="preserve"> resulta aplicable a las contrataciones que las Entidades Estatales realicen con las Entidades Privadas Sin Ánimo de Lucro y de Reconocida Idoneidad. Dicho decreto regula, particularmente, dos (2) tipos de contrataciones: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DB4737">
              <w:rPr>
                <w:rFonts w:ascii="Verdana" w:eastAsia="Aptos" w:hAnsi="Verdana" w:cs="Times New Roman"/>
              </w:rPr>
              <w:t>ii</w:t>
            </w:r>
            <w:proofErr w:type="spellEnd"/>
            <w:r w:rsidRPr="00DB4737">
              <w:rPr>
                <w:rFonts w:ascii="Verdana" w:eastAsia="Aptos" w:hAnsi="Verdana" w:cs="Times New Roman"/>
              </w:rPr>
              <w:t>)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ibidem. Es posible diferenciar, pues, los convenios de asociación, regulados en el artículo 5, de los contratos de colaboración, establecidos en el artículo 2 del Decreto 092 de 2017.</w:t>
            </w:r>
          </w:p>
          <w:p w14:paraId="28BA0AD6" w14:textId="77777777" w:rsidR="0018378B" w:rsidRDefault="0018378B" w:rsidP="00A27A5B">
            <w:pPr>
              <w:spacing w:line="276" w:lineRule="auto"/>
              <w:jc w:val="both"/>
              <w:rPr>
                <w:rFonts w:ascii="Verdana" w:hAnsi="Verdana" w:cs="Arial"/>
                <w:lang w:eastAsia="es-ES"/>
              </w:rPr>
            </w:pPr>
          </w:p>
          <w:p w14:paraId="081E8A7B" w14:textId="31643965" w:rsidR="00A27A5B" w:rsidRDefault="00A27A5B" w:rsidP="009B72F6">
            <w:pPr>
              <w:spacing w:line="276" w:lineRule="auto"/>
              <w:jc w:val="both"/>
              <w:rPr>
                <w:rFonts w:ascii="Verdana" w:hAnsi="Verdana" w:cs="Arial"/>
                <w:lang w:eastAsia="es-ES"/>
              </w:rPr>
            </w:pPr>
            <w:r w:rsidRPr="00A27A5B">
              <w:rPr>
                <w:rFonts w:ascii="Verdana" w:hAnsi="Verdana" w:cs="Arial"/>
                <w:lang w:eastAsia="es-ES"/>
              </w:rPr>
              <w:t xml:space="preserve">Originalmente, el artículo 2 literal a) de dicho decreto delimitaba las actividades susceptibles de contratación bajo este esquema. No obstante, tras la suspensión provisional de varios apartes del Decreto por parte del Consejo de Estado, </w:t>
            </w:r>
            <w:r w:rsidR="009B72F6">
              <w:rPr>
                <w:rFonts w:ascii="Verdana" w:hAnsi="Verdana" w:cs="Arial"/>
                <w:lang w:eastAsia="es-ES"/>
              </w:rPr>
              <w:t>no existe limitación legal para</w:t>
            </w:r>
            <w:r w:rsidR="009B72F6" w:rsidRPr="009B72F6">
              <w:rPr>
                <w:rFonts w:ascii="Verdana" w:hAnsi="Verdana" w:cs="Arial"/>
                <w:lang w:eastAsia="es-ES"/>
              </w:rPr>
              <w:t xml:space="preserve"> aplicar el procedimiento de procesos competitivos con ESAL, conforme al Decreto 092 de 2017, a proyectos agrícolas y agropecuarios productivos, siempre </w:t>
            </w:r>
            <w:r w:rsidR="009B72F6">
              <w:rPr>
                <w:rFonts w:ascii="Verdana" w:hAnsi="Verdana" w:cs="Arial"/>
                <w:lang w:eastAsia="es-ES"/>
              </w:rPr>
              <w:t>y cuando l</w:t>
            </w:r>
            <w:r w:rsidR="009B72F6" w:rsidRPr="009B72F6">
              <w:rPr>
                <w:rFonts w:ascii="Verdana" w:hAnsi="Verdana" w:cs="Arial"/>
                <w:lang w:eastAsia="es-ES"/>
              </w:rPr>
              <w:t xml:space="preserve">os proyectos estén </w:t>
            </w:r>
            <w:r w:rsidR="000B3DF5">
              <w:rPr>
                <w:rFonts w:ascii="Verdana" w:hAnsi="Verdana" w:cs="Arial"/>
                <w:lang w:eastAsia="es-ES"/>
              </w:rPr>
              <w:t>acordes con</w:t>
            </w:r>
            <w:r w:rsidR="000B3DF5" w:rsidRPr="009B72F6">
              <w:rPr>
                <w:rFonts w:ascii="Verdana" w:hAnsi="Verdana" w:cs="Arial"/>
                <w:lang w:eastAsia="es-ES"/>
              </w:rPr>
              <w:t xml:space="preserve"> </w:t>
            </w:r>
            <w:r w:rsidR="009B72F6" w:rsidRPr="009B72F6">
              <w:rPr>
                <w:rFonts w:ascii="Verdana" w:hAnsi="Verdana" w:cs="Arial"/>
                <w:lang w:eastAsia="es-ES"/>
              </w:rPr>
              <w:t>los planes de desarrollo territoriales o nacionales</w:t>
            </w:r>
            <w:r w:rsidR="009B72F6">
              <w:rPr>
                <w:rFonts w:ascii="Verdana" w:hAnsi="Verdana" w:cs="Arial"/>
                <w:lang w:eastAsia="es-ES"/>
              </w:rPr>
              <w:t>, la</w:t>
            </w:r>
            <w:r w:rsidR="009B72F6" w:rsidRPr="009B72F6">
              <w:rPr>
                <w:rFonts w:ascii="Verdana" w:hAnsi="Verdana" w:cs="Arial"/>
                <w:lang w:eastAsia="es-ES"/>
              </w:rPr>
              <w:t xml:space="preserve"> ESAL cuenten con experiencia comprobada en la ejecución de proyectos similares</w:t>
            </w:r>
            <w:r w:rsidR="009B72F6">
              <w:rPr>
                <w:rFonts w:ascii="Verdana" w:hAnsi="Verdana" w:cs="Arial"/>
                <w:lang w:eastAsia="es-ES"/>
              </w:rPr>
              <w:t xml:space="preserve"> y se</w:t>
            </w:r>
            <w:r w:rsidR="009B72F6" w:rsidRPr="009B72F6">
              <w:rPr>
                <w:rFonts w:ascii="Verdana" w:hAnsi="Verdana" w:cs="Arial"/>
                <w:lang w:eastAsia="es-ES"/>
              </w:rPr>
              <w:t xml:space="preserve"> realice un proceso competitivo bajo los principios de transparencia, selección objetiva y eficiencia del gasto público.</w:t>
            </w:r>
          </w:p>
          <w:p w14:paraId="32CA6747" w14:textId="77777777" w:rsidR="00A27A5B" w:rsidRDefault="00A27A5B" w:rsidP="005315F0">
            <w:pPr>
              <w:spacing w:line="276" w:lineRule="auto"/>
              <w:jc w:val="both"/>
              <w:rPr>
                <w:rFonts w:ascii="Verdana" w:hAnsi="Verdana" w:cs="Arial"/>
                <w:lang w:eastAsia="es-ES"/>
              </w:rPr>
            </w:pPr>
          </w:p>
          <w:p w14:paraId="4A46DFEE" w14:textId="73C40E92" w:rsidR="00300F40" w:rsidRDefault="009B72F6" w:rsidP="005315F0">
            <w:pPr>
              <w:spacing w:line="276" w:lineRule="auto"/>
              <w:jc w:val="both"/>
              <w:rPr>
                <w:rFonts w:ascii="Verdana" w:eastAsia="Calibri" w:hAnsi="Verdana" w:cs="Arial"/>
                <w:color w:val="000000"/>
                <w:lang w:val="es-MX"/>
              </w:rPr>
            </w:pPr>
            <w:r>
              <w:rPr>
                <w:rFonts w:ascii="Verdana" w:hAnsi="Verdana" w:cs="Arial"/>
                <w:lang w:eastAsia="es-ES"/>
              </w:rPr>
              <w:t xml:space="preserve">No </w:t>
            </w:r>
            <w:proofErr w:type="gramStart"/>
            <w:r>
              <w:rPr>
                <w:rFonts w:ascii="Verdana" w:hAnsi="Verdana" w:cs="Arial"/>
                <w:lang w:eastAsia="es-ES"/>
              </w:rPr>
              <w:t>obstante</w:t>
            </w:r>
            <w:proofErr w:type="gramEnd"/>
            <w:r>
              <w:rPr>
                <w:rFonts w:ascii="Verdana" w:hAnsi="Verdana" w:cs="Arial"/>
                <w:lang w:eastAsia="es-ES"/>
              </w:rPr>
              <w:t xml:space="preserve"> lo anterior, a</w:t>
            </w:r>
            <w:r w:rsidR="005315F0" w:rsidRPr="00301910">
              <w:rPr>
                <w:rFonts w:ascii="Verdana" w:hAnsi="Verdana" w:cs="Arial"/>
                <w:lang w:eastAsia="es-ES"/>
              </w:rPr>
              <w:t>l margen de la explicación precedente</w:t>
            </w:r>
            <w:r w:rsidR="005315F0">
              <w:rPr>
                <w:rFonts w:ascii="Verdana" w:hAnsi="Verdana" w:cs="Arial"/>
                <w:lang w:eastAsia="es-ES"/>
              </w:rPr>
              <w:t xml:space="preserve"> </w:t>
            </w:r>
            <w:r w:rsidR="005315F0" w:rsidRPr="00301910">
              <w:rPr>
                <w:rFonts w:ascii="Verdana" w:hAnsi="Verdana" w:cs="Arial"/>
                <w:lang w:eastAsia="es-ES"/>
              </w:rPr>
              <w:t>debe advertirse que el análisis requerido</w:t>
            </w:r>
            <w:r w:rsidR="005315F0">
              <w:rPr>
                <w:rFonts w:ascii="Verdana" w:hAnsi="Verdana" w:cs="Arial"/>
                <w:lang w:eastAsia="es-ES"/>
              </w:rPr>
              <w:t xml:space="preserve"> </w:t>
            </w:r>
            <w:r w:rsidR="005315F0" w:rsidRPr="00301910">
              <w:rPr>
                <w:rFonts w:ascii="Verdana" w:hAnsi="Verdana" w:cs="Arial"/>
                <w:lang w:eastAsia="es-ES"/>
              </w:rPr>
              <w:t>para</w:t>
            </w:r>
            <w:r w:rsidR="005315F0">
              <w:rPr>
                <w:rFonts w:ascii="Verdana" w:hAnsi="Verdana" w:cs="Arial"/>
                <w:lang w:eastAsia="es-ES"/>
              </w:rPr>
              <w:t xml:space="preserve"> resolver problemas específicos en torno </w:t>
            </w:r>
            <w:r>
              <w:rPr>
                <w:rFonts w:ascii="Verdana" w:hAnsi="Verdana" w:cs="Arial"/>
                <w:lang w:eastAsia="es-ES"/>
              </w:rPr>
              <w:t xml:space="preserve">a </w:t>
            </w:r>
            <w:r w:rsidRPr="00A27A5B">
              <w:rPr>
                <w:rFonts w:ascii="Verdana" w:hAnsi="Verdana" w:cs="Arial"/>
                <w:lang w:eastAsia="es-ES"/>
              </w:rPr>
              <w:t xml:space="preserve">las condiciones bajo las cuales las entidades estatales pueden celebrar </w:t>
            </w:r>
            <w:r w:rsidRPr="00A27A5B">
              <w:rPr>
                <w:rFonts w:ascii="Verdana" w:hAnsi="Verdana" w:cs="Arial"/>
                <w:lang w:eastAsia="es-ES"/>
              </w:rPr>
              <w:lastRenderedPageBreak/>
              <w:t xml:space="preserve">convenios con Entidades Sin Ánimo de Lucro (ESAL) </w:t>
            </w:r>
            <w:r w:rsidR="005315F0" w:rsidRPr="00301910">
              <w:rPr>
                <w:rFonts w:ascii="Verdana" w:hAnsi="Verdana" w:cs="Arial"/>
                <w:lang w:eastAsia="es-ES"/>
              </w:rPr>
              <w:t>debe ser realizado por</w:t>
            </w:r>
            <w:r w:rsidR="005315F0">
              <w:rPr>
                <w:rFonts w:ascii="Verdana" w:hAnsi="Verdana" w:cs="Arial"/>
                <w:lang w:eastAsia="es-ES"/>
              </w:rPr>
              <w:t xml:space="preserve"> </w:t>
            </w:r>
            <w:r w:rsidR="005315F0" w:rsidRPr="00301910">
              <w:rPr>
                <w:rFonts w:ascii="Verdana" w:hAnsi="Verdana" w:cs="Arial"/>
                <w:lang w:eastAsia="es-ES"/>
              </w:rPr>
              <w:t>quienes tengan interés en ello, de acuerdo con lo explicado</w:t>
            </w:r>
            <w:r w:rsidR="005315F0">
              <w:rPr>
                <w:rFonts w:ascii="Verdana" w:hAnsi="Verdana" w:cs="Arial"/>
                <w:lang w:eastAsia="es-ES"/>
              </w:rPr>
              <w:t xml:space="preserve"> </w:t>
            </w:r>
            <w:r w:rsidR="005315F0" w:rsidRPr="00301910">
              <w:rPr>
                <w:rFonts w:ascii="Verdana" w:hAnsi="Verdana" w:cs="Arial"/>
                <w:lang w:eastAsia="es-ES"/>
              </w:rPr>
              <w:t>la aclaración preliminar del presente oficio.</w:t>
            </w:r>
            <w:r w:rsidR="005315F0">
              <w:rPr>
                <w:rFonts w:ascii="Verdana" w:hAnsi="Verdana" w:cs="Arial"/>
                <w:lang w:eastAsia="es-ES"/>
              </w:rPr>
              <w:t xml:space="preserve"> </w:t>
            </w:r>
            <w:r w:rsidR="005315F0" w:rsidRPr="00301910">
              <w:rPr>
                <w:rFonts w:ascii="Verdana" w:hAnsi="Verdana" w:cs="Arial"/>
                <w:lang w:eastAsia="es-ES"/>
              </w:rPr>
              <w:t>Por lo anterior, previo concepto de sus asesores, la solución de situaciones particulares corresponde a los interesados</w:t>
            </w:r>
            <w:r w:rsidR="005315F0">
              <w:rPr>
                <w:rFonts w:ascii="Verdana" w:hAnsi="Verdana" w:cs="Arial"/>
                <w:lang w:eastAsia="es-ES"/>
              </w:rPr>
              <w:t xml:space="preserve"> </w:t>
            </w:r>
            <w:r w:rsidR="005315F0" w:rsidRPr="00301910">
              <w:rPr>
                <w:rFonts w:ascii="Verdana" w:hAnsi="Verdana" w:cs="Arial"/>
                <w:lang w:eastAsia="es-ES"/>
              </w:rPr>
              <w:t>adoptar la decisión correspondiente y, en caso de conflicto, a las autoridades judiciales, fiscales y disciplinarias.</w:t>
            </w:r>
            <w:r w:rsidR="005315F0">
              <w:rPr>
                <w:rFonts w:ascii="Verdana" w:hAnsi="Verdana" w:cs="Arial"/>
                <w:lang w:eastAsia="es-ES"/>
              </w:rPr>
              <w:t xml:space="preserve"> Así</w:t>
            </w:r>
            <w:r w:rsidR="005315F0" w:rsidRPr="00301910">
              <w:rPr>
                <w:rFonts w:ascii="Verdana" w:hAnsi="Verdana" w:cs="Arial"/>
                <w:lang w:eastAsia="es-ES"/>
              </w:rPr>
              <w:t>, cada entidad definirá la forma de adelantar su gestión contractual, sin que sea atribución de Colombia Compra Eficiente validar sus actuaciones.</w:t>
            </w:r>
          </w:p>
          <w:p w14:paraId="51251CB0" w14:textId="5BC623B1" w:rsidR="00F85287" w:rsidRPr="00505CD6" w:rsidRDefault="00F85287" w:rsidP="00DB2412">
            <w:pPr>
              <w:spacing w:line="276" w:lineRule="auto"/>
              <w:jc w:val="both"/>
              <w:rPr>
                <w:rFonts w:ascii="Verdana" w:eastAsia="Calibri" w:hAnsi="Verdana" w:cs="Arial"/>
                <w:color w:val="000000"/>
                <w:lang w:val="es-MX"/>
              </w:rPr>
            </w:pPr>
          </w:p>
        </w:tc>
      </w:tr>
      <w:tr w:rsidR="00757DC0" w:rsidRPr="00505CD6" w14:paraId="16743E8A" w14:textId="77777777" w:rsidTr="006C5D8A">
        <w:trPr>
          <w:jc w:val="center"/>
        </w:trPr>
        <w:tc>
          <w:tcPr>
            <w:tcW w:w="8828" w:type="dxa"/>
            <w:shd w:val="clear" w:color="auto" w:fill="auto"/>
          </w:tcPr>
          <w:p w14:paraId="1C1616C5" w14:textId="77777777" w:rsidR="00757DC0" w:rsidRDefault="00757DC0" w:rsidP="00034BF0">
            <w:pPr>
              <w:spacing w:after="120" w:line="276" w:lineRule="auto"/>
              <w:ind w:firstLine="709"/>
              <w:jc w:val="both"/>
              <w:rPr>
                <w:rFonts w:ascii="Verdana" w:eastAsia="Calibri" w:hAnsi="Verdana" w:cs="Arial"/>
                <w:color w:val="000000"/>
                <w:lang w:val="es-ES"/>
              </w:rPr>
            </w:pPr>
          </w:p>
        </w:tc>
      </w:tr>
    </w:tbl>
    <w:p w14:paraId="49A1211F"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bookmarkEnd w:id="1"/>
    <w:p w14:paraId="45807F66" w14:textId="04A71F4D"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 xml:space="preserve">Razones de </w:t>
      </w:r>
      <w:r w:rsidR="00757DC0" w:rsidRPr="00505CD6">
        <w:rPr>
          <w:rFonts w:ascii="Verdana" w:eastAsia="Century Gothic" w:hAnsi="Verdana" w:cs="Century Gothic"/>
          <w:b/>
          <w:bCs/>
          <w:lang w:val="es-ES"/>
        </w:rPr>
        <w:t>la respuesta</w:t>
      </w:r>
      <w:r w:rsidRPr="00505CD6">
        <w:rPr>
          <w:rFonts w:ascii="Verdana" w:eastAsia="Century Gothic" w:hAnsi="Verdana" w:cs="Century Gothic"/>
          <w:b/>
          <w:bCs/>
          <w:lang w:val="es-ES"/>
        </w:rPr>
        <w:t>:</w:t>
      </w:r>
    </w:p>
    <w:p w14:paraId="6DA43D6D" w14:textId="77777777" w:rsidR="00505CD6" w:rsidRPr="001B1E8B" w:rsidRDefault="00505CD6" w:rsidP="00505CD6">
      <w:pPr>
        <w:spacing w:after="0" w:line="276" w:lineRule="auto"/>
        <w:jc w:val="both"/>
        <w:rPr>
          <w:rFonts w:ascii="Verdana" w:eastAsia="Calibri" w:hAnsi="Verdana" w:cs="Arial"/>
          <w:color w:val="7030A0"/>
          <w:lang w:val="es-ES"/>
        </w:rPr>
      </w:pPr>
    </w:p>
    <w:p w14:paraId="2942FDB6" w14:textId="77777777" w:rsidR="003B63B7" w:rsidRPr="001B1E8B" w:rsidRDefault="003B63B7" w:rsidP="003B63B7">
      <w:pPr>
        <w:spacing w:after="0" w:line="276" w:lineRule="auto"/>
        <w:jc w:val="both"/>
        <w:rPr>
          <w:rFonts w:ascii="Verdana" w:eastAsia="Calibri" w:hAnsi="Verdana" w:cs="Arial"/>
          <w:lang w:val="es-ES"/>
        </w:rPr>
      </w:pPr>
      <w:r w:rsidRPr="001B1E8B">
        <w:rPr>
          <w:rFonts w:ascii="Verdana" w:eastAsia="Calibri" w:hAnsi="Verdana" w:cs="Arial"/>
          <w:lang w:val="es-ES"/>
        </w:rPr>
        <w:t xml:space="preserve">Lo anterior se sustenta en las siguientes consideraciones: </w:t>
      </w:r>
    </w:p>
    <w:p w14:paraId="0A0BF3C1" w14:textId="77777777" w:rsidR="003B63B7" w:rsidRPr="001B1E8B" w:rsidRDefault="003B63B7" w:rsidP="003B63B7">
      <w:pPr>
        <w:spacing w:after="0" w:line="276" w:lineRule="auto"/>
        <w:jc w:val="both"/>
        <w:rPr>
          <w:rFonts w:ascii="Verdana" w:eastAsia="Calibri" w:hAnsi="Verdana" w:cs="Arial"/>
          <w:color w:val="7030A0"/>
          <w:lang w:val="es-ES"/>
        </w:rPr>
      </w:pPr>
    </w:p>
    <w:p w14:paraId="0FAC4758" w14:textId="1C0CF3A5" w:rsidR="00F63A5C" w:rsidRPr="00DB4737" w:rsidRDefault="00F63A5C" w:rsidP="00F63A5C">
      <w:pPr>
        <w:spacing w:after="0" w:line="276" w:lineRule="auto"/>
        <w:ind w:firstLine="360"/>
        <w:contextualSpacing/>
        <w:jc w:val="both"/>
        <w:rPr>
          <w:rFonts w:ascii="Verdana" w:eastAsia="Calibri" w:hAnsi="Verdana" w:cs="Times New Roman"/>
          <w:lang w:val="es-ES"/>
        </w:rPr>
      </w:pPr>
      <w:r w:rsidRPr="00DB4737">
        <w:rPr>
          <w:rFonts w:ascii="Verdana" w:eastAsia="Calibri" w:hAnsi="Verdana" w:cs="Times New Roman"/>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y de reconocida idoneidad, en adelante ESAL, con el fin de impulsar programas y actividades de interés público acordes con el plan nacional y los planes seccionales de desarrollo</w:t>
      </w:r>
      <w:r w:rsidRPr="00DB4737">
        <w:rPr>
          <w:rFonts w:ascii="Aptos" w:eastAsia="Aptos" w:hAnsi="Aptos" w:cs="Times New Roman"/>
          <w:vertAlign w:val="superscript"/>
          <w:lang w:val="es-ES"/>
        </w:rPr>
        <w:footnoteReference w:id="2"/>
      </w:r>
      <w:r w:rsidRPr="00DB4737">
        <w:rPr>
          <w:rFonts w:ascii="Verdana" w:eastAsia="Calibri" w:hAnsi="Verdana" w:cs="Times New Roman"/>
          <w:lang w:val="es-ES"/>
        </w:rPr>
        <w:t xml:space="preserve">. </w:t>
      </w:r>
      <w:bookmarkStart w:id="2" w:name="_Hlk164688501"/>
      <w:r w:rsidRPr="00DB4737">
        <w:rPr>
          <w:rFonts w:ascii="Verdana" w:eastAsia="Calibri" w:hAnsi="Verdana" w:cs="Times New Roman"/>
          <w:lang w:val="es-ES"/>
        </w:rPr>
        <w:t>Por otra parte, el artículo 96 de la Ley 489 de 1998</w:t>
      </w:r>
      <w:r w:rsidRPr="00DB4737">
        <w:rPr>
          <w:rFonts w:ascii="Aptos" w:eastAsia="Aptos" w:hAnsi="Aptos" w:cs="Times New Roman"/>
          <w:vertAlign w:val="superscript"/>
          <w:lang w:val="es-ES"/>
        </w:rPr>
        <w:footnoteReference w:id="3"/>
      </w:r>
      <w:r w:rsidRPr="00DB4737">
        <w:rPr>
          <w:rFonts w:ascii="Verdana" w:eastAsia="Calibri" w:hAnsi="Verdana" w:cs="Times New Roman"/>
          <w:lang w:val="es-E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w:t>
      </w:r>
      <w:r w:rsidRPr="00DB4737">
        <w:rPr>
          <w:rFonts w:ascii="Verdana" w:eastAsia="Calibri" w:hAnsi="Verdana" w:cs="Times New Roman"/>
          <w:lang w:val="es-ES"/>
        </w:rPr>
        <w:lastRenderedPageBreak/>
        <w:t>desarrollar conjuntamente actividades relacionadas con los cometidos y funciones legales asignadas a la entidad</w:t>
      </w:r>
      <w:bookmarkEnd w:id="2"/>
      <w:r w:rsidRPr="00DB4737">
        <w:rPr>
          <w:rFonts w:ascii="Verdana" w:eastAsia="Calibri" w:hAnsi="Verdana" w:cs="Times New Roman"/>
          <w:lang w:val="es-ES"/>
        </w:rPr>
        <w:t>.</w:t>
      </w:r>
      <w:bookmarkStart w:id="4" w:name="_Hlk38819155"/>
    </w:p>
    <w:p w14:paraId="5F39B796" w14:textId="77777777" w:rsidR="00F63A5C" w:rsidRPr="00DB4737" w:rsidRDefault="00F63A5C" w:rsidP="00F63A5C">
      <w:pPr>
        <w:spacing w:after="0" w:line="276" w:lineRule="auto"/>
        <w:jc w:val="both"/>
        <w:rPr>
          <w:rFonts w:ascii="Verdana" w:eastAsia="Calibri" w:hAnsi="Verdana" w:cs="Times New Roman"/>
          <w:lang w:val="es-ES"/>
        </w:rPr>
      </w:pPr>
    </w:p>
    <w:p w14:paraId="4444CD4F" w14:textId="77777777" w:rsidR="00F63A5C" w:rsidRPr="00DB4737" w:rsidRDefault="00F63A5C" w:rsidP="00F63A5C">
      <w:pPr>
        <w:spacing w:after="0" w:line="276" w:lineRule="auto"/>
        <w:ind w:firstLine="360"/>
        <w:contextualSpacing/>
        <w:jc w:val="both"/>
        <w:rPr>
          <w:rFonts w:ascii="Verdana" w:eastAsia="Calibri" w:hAnsi="Verdana" w:cs="Times New Roman"/>
          <w:lang w:val="es-ES"/>
        </w:rPr>
      </w:pPr>
      <w:bookmarkStart w:id="5" w:name="_Hlk171946092"/>
      <w:r w:rsidRPr="00DB4737">
        <w:rPr>
          <w:rFonts w:ascii="Verdana" w:eastAsia="Calibri" w:hAnsi="Verdana" w:cs="Times New Roman"/>
          <w:lang w:val="es-ES"/>
        </w:rPr>
        <w:t xml:space="preserve">El Gobierno Nacional, en desarrollo del artículo 355 de la Constitución Política, expidió el Decreto 092 de 2017, que dispone las reglas para las contrataciones que realicen las Entidades Estatales con las ESAL. El Decreto regula dos (2)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DB4737">
        <w:rPr>
          <w:rFonts w:ascii="Verdana" w:eastAsia="Calibri" w:hAnsi="Verdana" w:cs="Times New Roman"/>
          <w:lang w:val="es-ES"/>
        </w:rPr>
        <w:t>ii</w:t>
      </w:r>
      <w:proofErr w:type="spellEnd"/>
      <w:r w:rsidRPr="00DB4737">
        <w:rPr>
          <w:rFonts w:ascii="Verdana" w:eastAsia="Calibri" w:hAnsi="Verdana" w:cs="Times New Roman"/>
          <w:lang w:val="es-ES"/>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ibidem. </w:t>
      </w:r>
      <w:bookmarkEnd w:id="5"/>
      <w:r w:rsidRPr="00DB4737">
        <w:rPr>
          <w:rFonts w:ascii="Verdana" w:eastAsia="Calibri" w:hAnsi="Verdana" w:cs="Times New Roman"/>
          <w:lang w:val="es-ES"/>
        </w:rPr>
        <w:t>Es posible diferenciar, pues, los convenios de asociación, regulados en el artículo 5, de los contratos de colaboración, establecidos en el artículo 2 del Decreto 092 de 2017</w:t>
      </w:r>
      <w:r w:rsidRPr="00DB4737">
        <w:rPr>
          <w:rFonts w:ascii="Aptos" w:eastAsia="Aptos" w:hAnsi="Aptos" w:cs="Times New Roman"/>
          <w:vertAlign w:val="superscript"/>
          <w:lang w:val="es-ES"/>
        </w:rPr>
        <w:footnoteReference w:id="4"/>
      </w:r>
      <w:r w:rsidRPr="00DB4737">
        <w:rPr>
          <w:rFonts w:ascii="Verdana" w:eastAsia="Calibri" w:hAnsi="Verdana" w:cs="Times New Roman"/>
          <w:lang w:val="es-ES"/>
        </w:rPr>
        <w:t>.</w:t>
      </w:r>
      <w:bookmarkEnd w:id="4"/>
    </w:p>
    <w:p w14:paraId="1E85250B" w14:textId="77777777" w:rsidR="00F63A5C" w:rsidRPr="00DB4737" w:rsidRDefault="00F63A5C" w:rsidP="00F63A5C">
      <w:pPr>
        <w:spacing w:after="0" w:line="276" w:lineRule="auto"/>
        <w:rPr>
          <w:rFonts w:ascii="Verdana" w:eastAsia="Calibri" w:hAnsi="Verdana" w:cs="Times New Roman"/>
          <w:lang w:val="es-ES"/>
        </w:rPr>
      </w:pPr>
    </w:p>
    <w:p w14:paraId="74EAEC90" w14:textId="77777777" w:rsidR="00F63A5C" w:rsidRPr="00DB4737" w:rsidRDefault="00F63A5C" w:rsidP="00F63A5C">
      <w:pPr>
        <w:spacing w:after="0" w:line="276" w:lineRule="auto"/>
        <w:ind w:firstLine="360"/>
        <w:contextualSpacing/>
        <w:jc w:val="both"/>
        <w:rPr>
          <w:rFonts w:ascii="Verdana" w:eastAsia="Calibri" w:hAnsi="Verdana" w:cs="Times New Roman"/>
          <w:lang w:val="es-ES"/>
        </w:rPr>
      </w:pPr>
      <w:bookmarkStart w:id="6" w:name="_Hlk171946110"/>
      <w:r w:rsidRPr="00DB4737">
        <w:rPr>
          <w:rFonts w:ascii="Verdana" w:eastAsia="Calibri" w:hAnsi="Verdana" w:cs="Times New Roman"/>
          <w:lang w:val="es-ES"/>
        </w:rPr>
        <w:t xml:space="preserve">De un lado, 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bookmarkEnd w:id="6"/>
    <w:p w14:paraId="73823AC8" w14:textId="77777777" w:rsidR="00F63A5C" w:rsidRPr="00DB4737" w:rsidRDefault="00F63A5C" w:rsidP="00F63A5C">
      <w:pPr>
        <w:spacing w:after="0" w:line="276" w:lineRule="auto"/>
        <w:rPr>
          <w:rFonts w:ascii="Verdana" w:eastAsia="Calibri" w:hAnsi="Verdana" w:cs="Times New Roman"/>
          <w:lang w:val="es-ES"/>
        </w:rPr>
      </w:pPr>
    </w:p>
    <w:p w14:paraId="66160F34" w14:textId="77777777" w:rsidR="00F63A5C" w:rsidRPr="00DB4737" w:rsidRDefault="00F63A5C" w:rsidP="00F63A5C">
      <w:pPr>
        <w:spacing w:after="0" w:line="276" w:lineRule="auto"/>
        <w:ind w:firstLine="360"/>
        <w:contextualSpacing/>
        <w:jc w:val="both"/>
        <w:rPr>
          <w:rFonts w:ascii="Verdana" w:eastAsia="Calibri" w:hAnsi="Verdana" w:cs="Times New Roman"/>
          <w:lang w:val="es-ES"/>
        </w:rPr>
      </w:pPr>
      <w:bookmarkStart w:id="7" w:name="_Hlk171946189"/>
      <w:r w:rsidRPr="00DB4737">
        <w:rPr>
          <w:rFonts w:ascii="Verdana" w:eastAsia="Calibri" w:hAnsi="Verdana" w:cs="Times New Roman"/>
          <w:lang w:val="es-ES"/>
        </w:rPr>
        <w:t>Por otra parte, los convenios de asociación “[…] [t]</w:t>
      </w:r>
      <w:proofErr w:type="spellStart"/>
      <w:r w:rsidRPr="00DB4737">
        <w:rPr>
          <w:rFonts w:ascii="Verdana" w:eastAsia="Calibri" w:hAnsi="Verdana" w:cs="Times New Roman"/>
          <w:lang w:val="es-ES"/>
        </w:rPr>
        <w:t>ienen</w:t>
      </w:r>
      <w:proofErr w:type="spellEnd"/>
      <w:r w:rsidRPr="00DB4737">
        <w:rPr>
          <w:rFonts w:ascii="Verdana" w:eastAsia="Calibri" w:hAnsi="Verdana" w:cs="Times New Roman"/>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DB4737">
        <w:rPr>
          <w:rFonts w:ascii="Aptos" w:eastAsia="Aptos" w:hAnsi="Aptos" w:cs="Times New Roman"/>
          <w:lang w:val="es-ES"/>
        </w:rPr>
        <w:footnoteReference w:id="5"/>
      </w:r>
      <w:r w:rsidRPr="00DB4737">
        <w:rPr>
          <w:rFonts w:ascii="Verdana" w:eastAsia="Calibri" w:hAnsi="Verdana" w:cs="Times New Roman"/>
          <w:lang w:val="es-ES"/>
        </w:rPr>
        <w:t xml:space="preserve">. </w:t>
      </w:r>
      <w:bookmarkEnd w:id="7"/>
      <w:r w:rsidRPr="00DB4737">
        <w:rPr>
          <w:rFonts w:ascii="Verdana" w:eastAsia="Calibri" w:hAnsi="Verdana" w:cs="Times New Roman"/>
          <w:lang w:val="es-ES"/>
        </w:rPr>
        <w:t xml:space="preserve">De conformidad con el inciso segundo </w:t>
      </w:r>
      <w:r w:rsidRPr="00DB4737">
        <w:rPr>
          <w:rFonts w:ascii="Verdana" w:eastAsia="Calibri" w:hAnsi="Verdana" w:cs="Times New Roman"/>
          <w:lang w:val="es-ES"/>
        </w:rPr>
        <w:lastRenderedPageBreak/>
        <w:t xml:space="preserve">del </w:t>
      </w:r>
      <w:bookmarkStart w:id="8" w:name="_Hlk171946223"/>
      <w:r w:rsidRPr="00DB4737">
        <w:rPr>
          <w:rFonts w:ascii="Verdana" w:eastAsia="Calibri" w:hAnsi="Verdana" w:cs="Times New Roman"/>
          <w:lang w:val="es-ES"/>
        </w:rPr>
        <w:t>artículo 96 de la Ley 489 de 1998</w:t>
      </w:r>
      <w:bookmarkEnd w:id="8"/>
      <w:r w:rsidRPr="00DB4737">
        <w:rPr>
          <w:rFonts w:ascii="Verdana" w:eastAsia="Calibri" w:hAnsi="Verdana" w:cs="Times New Roman"/>
          <w:lang w:val="es-ES"/>
        </w:rPr>
        <w:t xml:space="preserve">, en estos convenios debe determinarse “con precisión su objeto, término, obligaciones de las partes, aportes, coordinación y todos aquellos aspectos que se consideren pertinentes”. En estos convenios no existe contraprestación o pago, sino aportes, los cuales están dirigidos, exclusivamente, a lograr la ejecución del convenio no a remunerar la actividad o actuaciones del asociado. </w:t>
      </w:r>
    </w:p>
    <w:p w14:paraId="7752242A" w14:textId="77777777" w:rsidR="00F63A5C" w:rsidRPr="00DB4737" w:rsidRDefault="00F63A5C" w:rsidP="00F63A5C">
      <w:pPr>
        <w:ind w:left="720"/>
        <w:contextualSpacing/>
        <w:rPr>
          <w:rFonts w:ascii="Verdana" w:eastAsia="Calibri" w:hAnsi="Verdana" w:cs="Times New Roman"/>
          <w:lang w:val="es-ES"/>
        </w:rPr>
      </w:pPr>
    </w:p>
    <w:p w14:paraId="25425D24" w14:textId="77777777" w:rsidR="00F63A5C" w:rsidRPr="00DB4737" w:rsidRDefault="00F63A5C" w:rsidP="00F63A5C">
      <w:pPr>
        <w:spacing w:after="0" w:line="276" w:lineRule="auto"/>
        <w:ind w:firstLine="360"/>
        <w:jc w:val="both"/>
        <w:rPr>
          <w:rFonts w:ascii="Verdana" w:eastAsia="Calibri" w:hAnsi="Verdana" w:cs="Arial"/>
          <w:lang w:val="es-ES"/>
        </w:rPr>
      </w:pPr>
      <w:r w:rsidRPr="00DB4737">
        <w:rPr>
          <w:rFonts w:ascii="Verdana" w:eastAsia="Calibri" w:hAnsi="Verdana" w:cs="Times New Roman"/>
          <w:lang w:val="es-ES"/>
        </w:rPr>
        <w:t xml:space="preserve">En ese sentido, debe destacarse que </w:t>
      </w:r>
      <w:r w:rsidRPr="00DB4737">
        <w:rPr>
          <w:rFonts w:ascii="Verdana" w:eastAsia="Calibri" w:hAnsi="Verdana" w:cs="Arial"/>
          <w:lang w:val="es-ES"/>
        </w:rPr>
        <w:t>una característica esencial de los convenios a los que se refiere el inciso segundo del artículo 355 Constitucional –contratos de colaboración– es que su objeto esté determinado por la realización de programas y actividades de interés público acordes con el Plan Nacional de Desarrollo y los planes seccionales de desarrollo</w:t>
      </w:r>
      <w:r w:rsidRPr="00DB4737">
        <w:rPr>
          <w:rFonts w:ascii="Verdana" w:eastAsia="Calibri" w:hAnsi="Verdana" w:cs="Arial"/>
          <w:vertAlign w:val="superscript"/>
          <w:lang w:val="es-ES"/>
        </w:rPr>
        <w:footnoteReference w:id="6"/>
      </w:r>
      <w:r w:rsidRPr="00DB4737">
        <w:rPr>
          <w:rFonts w:ascii="Verdana" w:eastAsia="Calibri" w:hAnsi="Verdana" w:cs="Arial"/>
          <w:lang w:val="es-ES"/>
        </w:rPr>
        <w:t>, 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DB4737">
        <w:rPr>
          <w:rFonts w:ascii="Verdana" w:eastAsia="Calibri" w:hAnsi="Verdana" w:cs="Arial"/>
          <w:vertAlign w:val="superscript"/>
          <w:lang w:val="es-ES"/>
        </w:rPr>
        <w:footnoteReference w:id="7"/>
      </w:r>
      <w:r w:rsidRPr="00DB4737">
        <w:rPr>
          <w:rFonts w:ascii="Verdana" w:eastAsia="Calibri" w:hAnsi="Verdana" w:cs="Arial"/>
          <w:lang w:val="es-ES"/>
        </w:rPr>
        <w:t>.</w:t>
      </w:r>
    </w:p>
    <w:p w14:paraId="7DFBE78B" w14:textId="77777777" w:rsidR="00F63A5C" w:rsidRPr="00DB4737" w:rsidRDefault="00F63A5C" w:rsidP="00F63A5C">
      <w:pPr>
        <w:spacing w:after="0" w:line="276" w:lineRule="auto"/>
        <w:jc w:val="both"/>
        <w:rPr>
          <w:rFonts w:ascii="Verdana" w:eastAsia="Calibri" w:hAnsi="Verdana" w:cs="Arial"/>
          <w:lang w:val="es-ES"/>
        </w:rPr>
      </w:pPr>
    </w:p>
    <w:p w14:paraId="43EECBE9" w14:textId="27B2B8D1" w:rsidR="00F63A5C" w:rsidRPr="00DB4737" w:rsidRDefault="00F63A5C" w:rsidP="00F63A5C">
      <w:pPr>
        <w:spacing w:after="0" w:line="276" w:lineRule="auto"/>
        <w:ind w:firstLine="360"/>
        <w:jc w:val="both"/>
        <w:rPr>
          <w:rFonts w:ascii="Verdana" w:eastAsia="Calibri" w:hAnsi="Verdana" w:cs="Arial"/>
        </w:rPr>
      </w:pPr>
      <w:r w:rsidRPr="00DB4737">
        <w:rPr>
          <w:rFonts w:ascii="Verdana" w:eastAsia="Calibri" w:hAnsi="Verdana" w:cs="Arial"/>
        </w:rPr>
        <w:t>Respecto del objeto de los contratos de colaboración o cooperación, el Consejo de Estado, en el Auto del 6 de agosto de 2019</w:t>
      </w:r>
      <w:r w:rsidR="001436FE">
        <w:rPr>
          <w:rStyle w:val="Refdenotaalpie"/>
          <w:rFonts w:ascii="Verdana" w:eastAsia="Calibri" w:hAnsi="Verdana" w:cs="Arial"/>
        </w:rPr>
        <w:footnoteReference w:id="8"/>
      </w:r>
      <w:r w:rsidRPr="00DB4737">
        <w:rPr>
          <w:rFonts w:ascii="Verdana" w:eastAsia="Calibri" w:hAnsi="Verdana" w:cs="Arial"/>
        </w:rPr>
        <w:t xml:space="preserve">,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w:t>
      </w:r>
      <w:r w:rsidRPr="00DB4737">
        <w:rPr>
          <w:rFonts w:ascii="Verdana" w:eastAsia="Calibri" w:hAnsi="Verdana" w:cs="Arial"/>
        </w:rPr>
        <w:lastRenderedPageBreak/>
        <w:t>derecho a la educación, el derecho a la paz, las manifestaciones artísticas, culturales, deportivas y de promoción de la diversidad étnica colombiana</w:t>
      </w:r>
      <w:r w:rsidRPr="00DB4737">
        <w:rPr>
          <w:rFonts w:ascii="Verdana" w:eastAsia="Calibri" w:hAnsi="Verdana" w:cs="Arial"/>
          <w:vertAlign w:val="superscript"/>
        </w:rPr>
        <w:footnoteReference w:id="9"/>
      </w:r>
      <w:r w:rsidRPr="00DB4737">
        <w:rPr>
          <w:rFonts w:ascii="Verdana" w:eastAsia="Calibri" w:hAnsi="Verdana" w:cs="Arial"/>
        </w:rPr>
        <w:t>.</w:t>
      </w:r>
    </w:p>
    <w:p w14:paraId="3B1192C5" w14:textId="77777777" w:rsidR="00F63A5C" w:rsidRPr="00DB4737" w:rsidRDefault="00F63A5C" w:rsidP="00F63A5C">
      <w:pPr>
        <w:spacing w:after="0" w:line="276" w:lineRule="auto"/>
        <w:jc w:val="both"/>
        <w:rPr>
          <w:rFonts w:ascii="Verdana" w:eastAsia="Calibri" w:hAnsi="Verdana" w:cs="Arial"/>
        </w:rPr>
      </w:pPr>
    </w:p>
    <w:p w14:paraId="2C386356" w14:textId="77777777" w:rsidR="00F63A5C" w:rsidRPr="00DB4737" w:rsidRDefault="00F63A5C" w:rsidP="00F63A5C">
      <w:pPr>
        <w:spacing w:after="0" w:line="276" w:lineRule="auto"/>
        <w:ind w:firstLine="360"/>
        <w:jc w:val="both"/>
        <w:rPr>
          <w:rFonts w:ascii="Verdana" w:eastAsia="Calibri" w:hAnsi="Verdana" w:cs="Arial"/>
        </w:rPr>
      </w:pPr>
      <w:r w:rsidRPr="00DB4737">
        <w:rPr>
          <w:rFonts w:ascii="Verdana" w:eastAsia="Calibri" w:hAnsi="Verdana" w:cs="Arial"/>
        </w:rPr>
        <w:t xml:space="preserve">En relación con esta norma, encontró que el literal a) del artículo 2 ibidem establece dos (2)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explica que: </w:t>
      </w:r>
    </w:p>
    <w:p w14:paraId="0A47B6EF" w14:textId="77777777" w:rsidR="00F63A5C" w:rsidRPr="00DB4737" w:rsidRDefault="00F63A5C" w:rsidP="00F63A5C">
      <w:pPr>
        <w:spacing w:after="0" w:line="276" w:lineRule="auto"/>
        <w:ind w:left="360"/>
        <w:jc w:val="both"/>
        <w:rPr>
          <w:rFonts w:ascii="Verdana" w:eastAsia="Calibri" w:hAnsi="Verdana" w:cs="Arial"/>
        </w:rPr>
      </w:pPr>
    </w:p>
    <w:p w14:paraId="7C419662" w14:textId="77777777" w:rsidR="00F63A5C" w:rsidRPr="00DB4737" w:rsidRDefault="00F63A5C" w:rsidP="00F63A5C">
      <w:pPr>
        <w:spacing w:after="0" w:line="240" w:lineRule="auto"/>
        <w:ind w:left="1416" w:right="709"/>
        <w:jc w:val="both"/>
        <w:rPr>
          <w:rFonts w:ascii="Verdana" w:eastAsia="Calibri" w:hAnsi="Verdana" w:cs="Arial"/>
          <w:sz w:val="20"/>
          <w:szCs w:val="20"/>
        </w:rPr>
      </w:pPr>
      <w:r w:rsidRPr="00DB4737">
        <w:rPr>
          <w:rFonts w:ascii="Verdana" w:eastAsia="Calibri" w:hAnsi="Verdana" w:cs="Arial"/>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7B332A34" w14:textId="77777777" w:rsidR="00F63A5C" w:rsidRPr="00DB4737" w:rsidRDefault="00F63A5C" w:rsidP="00F63A5C">
      <w:pPr>
        <w:spacing w:after="0" w:line="276" w:lineRule="auto"/>
        <w:jc w:val="both"/>
        <w:rPr>
          <w:rFonts w:ascii="Verdana" w:eastAsia="Calibri" w:hAnsi="Verdana" w:cs="Arial"/>
        </w:rPr>
      </w:pPr>
    </w:p>
    <w:p w14:paraId="74E70FCA" w14:textId="77777777" w:rsidR="00F63A5C" w:rsidRPr="00DB4737" w:rsidRDefault="00F63A5C" w:rsidP="00F63A5C">
      <w:pPr>
        <w:spacing w:after="0" w:line="276" w:lineRule="auto"/>
        <w:ind w:firstLine="708"/>
        <w:contextualSpacing/>
        <w:jc w:val="both"/>
        <w:rPr>
          <w:rFonts w:ascii="Verdana" w:eastAsia="Calibri" w:hAnsi="Verdana" w:cs="Arial"/>
        </w:rPr>
      </w:pPr>
      <w:r w:rsidRPr="00DB4737">
        <w:rPr>
          <w:rFonts w:ascii="Verdana" w:eastAsia="Calibri" w:hAnsi="Verdana" w:cs="Arial"/>
        </w:rPr>
        <w:t xml:space="preserve">Asimismo, el Consejo de Estado consideró que el literal a) del artículo 2 del Decreto 092 de 2017,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5F559ECF" w14:textId="77777777" w:rsidR="00F63A5C" w:rsidRPr="00DB4737" w:rsidRDefault="00F63A5C" w:rsidP="00F63A5C">
      <w:pPr>
        <w:spacing w:after="0" w:line="276" w:lineRule="auto"/>
        <w:ind w:left="708"/>
        <w:jc w:val="both"/>
        <w:rPr>
          <w:rFonts w:ascii="Verdana" w:eastAsia="Calibri" w:hAnsi="Verdana" w:cs="Arial"/>
        </w:rPr>
      </w:pPr>
    </w:p>
    <w:p w14:paraId="72BA50B9" w14:textId="77777777" w:rsidR="00F63A5C" w:rsidRPr="00DB4737" w:rsidRDefault="00F63A5C" w:rsidP="00F63A5C">
      <w:pPr>
        <w:tabs>
          <w:tab w:val="left" w:pos="8080"/>
        </w:tabs>
        <w:spacing w:after="0" w:line="240" w:lineRule="auto"/>
        <w:ind w:left="1417" w:right="709"/>
        <w:jc w:val="both"/>
        <w:rPr>
          <w:rFonts w:ascii="Verdana" w:eastAsia="Calibri" w:hAnsi="Verdana" w:cs="Arial"/>
          <w:sz w:val="20"/>
          <w:szCs w:val="20"/>
        </w:rPr>
      </w:pPr>
      <w:r w:rsidRPr="00DB4737">
        <w:rPr>
          <w:rFonts w:ascii="Verdana" w:eastAsia="Calibri" w:hAnsi="Verdana" w:cs="Arial"/>
          <w:sz w:val="20"/>
          <w:szCs w:val="20"/>
        </w:rPr>
        <w:lastRenderedPageBreak/>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70B7CE21" w14:textId="77777777" w:rsidR="00F63A5C" w:rsidRPr="00DB4737" w:rsidRDefault="00F63A5C" w:rsidP="00F63A5C">
      <w:pPr>
        <w:spacing w:after="0" w:line="276" w:lineRule="auto"/>
        <w:ind w:left="708"/>
        <w:jc w:val="both"/>
        <w:rPr>
          <w:rFonts w:ascii="Verdana" w:eastAsia="Calibri" w:hAnsi="Verdana" w:cs="Arial"/>
        </w:rPr>
      </w:pPr>
    </w:p>
    <w:p w14:paraId="566BAAD1" w14:textId="77777777" w:rsidR="00F63A5C" w:rsidRPr="00DB4737" w:rsidRDefault="00F63A5C" w:rsidP="00F63A5C">
      <w:pPr>
        <w:spacing w:after="0" w:line="276" w:lineRule="auto"/>
        <w:ind w:firstLine="360"/>
        <w:contextualSpacing/>
        <w:jc w:val="both"/>
        <w:rPr>
          <w:rFonts w:ascii="Verdana" w:eastAsia="Calibri" w:hAnsi="Verdana" w:cs="Arial"/>
        </w:rPr>
      </w:pPr>
      <w:r w:rsidRPr="00DB4737">
        <w:rPr>
          <w:rFonts w:ascii="Verdana" w:eastAsia="Calibri" w:hAnsi="Verdana" w:cs="Arial"/>
        </w:rPr>
        <w:t xml:space="preserve">Por las anteriores razones, el Consejo de Estado </w:t>
      </w:r>
      <w:r w:rsidRPr="00F63A5C">
        <w:rPr>
          <w:rFonts w:ascii="Verdana" w:eastAsia="Calibri" w:hAnsi="Verdana" w:cs="Arial"/>
          <w:b/>
          <w:bCs/>
        </w:rPr>
        <w:t>suspendió provisionalmente el literal a) del artículo 2 ibidem, por lo cual el objeto de los contratos debe ser acorde con los planes nacionales o seccionales de desarrollo; y no necesariamente estar previstos directamente en ellos</w:t>
      </w:r>
      <w:r w:rsidRPr="00DB4737">
        <w:rPr>
          <w:rFonts w:ascii="Verdana" w:eastAsia="Calibri" w:hAnsi="Verdana" w:cs="Arial"/>
        </w:rPr>
        <w:t>. Por lo demás, no solo se pueden celebrar contratos para los objetos específicos señalados en el Decreto 092 de 2017.</w:t>
      </w:r>
    </w:p>
    <w:p w14:paraId="7B85043D" w14:textId="77777777" w:rsidR="00F63A5C" w:rsidRPr="00DB4737" w:rsidRDefault="00F63A5C" w:rsidP="00F63A5C">
      <w:pPr>
        <w:spacing w:after="0" w:line="276" w:lineRule="auto"/>
        <w:ind w:left="360"/>
        <w:jc w:val="both"/>
        <w:rPr>
          <w:rFonts w:ascii="Verdana" w:eastAsia="Calibri" w:hAnsi="Verdana" w:cs="Arial"/>
        </w:rPr>
      </w:pPr>
    </w:p>
    <w:p w14:paraId="3900A314" w14:textId="77777777" w:rsidR="00F63A5C" w:rsidRPr="00DB4737" w:rsidRDefault="00F63A5C" w:rsidP="00F63A5C">
      <w:pPr>
        <w:spacing w:after="0" w:line="276" w:lineRule="auto"/>
        <w:ind w:firstLine="360"/>
        <w:contextualSpacing/>
        <w:jc w:val="both"/>
        <w:rPr>
          <w:rFonts w:ascii="Verdana" w:eastAsia="Calibri" w:hAnsi="Verdana" w:cs="Arial"/>
        </w:rPr>
      </w:pPr>
      <w:r w:rsidRPr="00DB4737">
        <w:rPr>
          <w:rFonts w:ascii="Verdana" w:eastAsia="Calibri" w:hAnsi="Verdana" w:cs="Arial"/>
        </w:rPr>
        <w:t xml:space="preserve">En segundo lugar, el objeto del convenio de asociación es el desarrollo de cometidos y/o funciones públicas propias de las Entidades Estatales.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w:t>
      </w:r>
      <w:proofErr w:type="gramStart"/>
      <w:r w:rsidRPr="00DB4737">
        <w:rPr>
          <w:rFonts w:ascii="Verdana" w:eastAsia="Calibri" w:hAnsi="Verdana" w:cs="Arial"/>
        </w:rPr>
        <w:t>los mismos</w:t>
      </w:r>
      <w:proofErr w:type="gramEnd"/>
      <w:r w:rsidRPr="00DB4737">
        <w:rPr>
          <w:rFonts w:ascii="Verdana" w:eastAsia="Calibri" w:hAnsi="Verdana" w:cs="Arial"/>
        </w:rPr>
        <w:t xml:space="preserve"> a través del convenio a celebrarse</w:t>
      </w:r>
      <w:r w:rsidRPr="00DB4737">
        <w:rPr>
          <w:rFonts w:ascii="Aptos" w:eastAsia="Aptos" w:hAnsi="Aptos" w:cs="Times New Roman"/>
          <w:vertAlign w:val="superscript"/>
        </w:rPr>
        <w:footnoteReference w:id="10"/>
      </w:r>
      <w:r w:rsidRPr="00DB4737">
        <w:rPr>
          <w:rFonts w:ascii="Verdana" w:eastAsia="Calibri" w:hAnsi="Verdana" w:cs="Arial"/>
        </w:rPr>
        <w:t>.</w:t>
      </w:r>
    </w:p>
    <w:p w14:paraId="687D071C" w14:textId="77777777" w:rsidR="00F63A5C" w:rsidRPr="00DB4737" w:rsidRDefault="00F63A5C" w:rsidP="00F63A5C">
      <w:pPr>
        <w:ind w:left="720"/>
        <w:contextualSpacing/>
        <w:rPr>
          <w:rFonts w:ascii="Verdana" w:eastAsia="Calibri" w:hAnsi="Verdana" w:cs="Arial"/>
        </w:rPr>
      </w:pPr>
    </w:p>
    <w:p w14:paraId="1F86BD00" w14:textId="77777777" w:rsidR="00F63A5C" w:rsidRPr="00DB4737" w:rsidRDefault="00F63A5C" w:rsidP="00F63A5C">
      <w:pPr>
        <w:spacing w:line="276" w:lineRule="auto"/>
        <w:ind w:firstLine="360"/>
        <w:contextualSpacing/>
        <w:jc w:val="both"/>
        <w:rPr>
          <w:rFonts w:ascii="Verdana" w:eastAsia="Calibri" w:hAnsi="Verdana" w:cs="Arial"/>
        </w:rPr>
      </w:pPr>
      <w:r w:rsidRPr="00DB4737">
        <w:rPr>
          <w:rFonts w:ascii="Verdana" w:eastAsia="Calibri" w:hAnsi="Verdana" w:cs="Arial"/>
        </w:rPr>
        <w:lastRenderedPageBreak/>
        <w:t xml:space="preserve">Adicionalmente, se precisa que el artículo 4 del Decreto 092 de 2017, dispone que la escogencia de la ESAL debe realizarse a través de proceso competitivo cuando haya pluralidad de ellas en condiciones de idoneidad para desarrollar un programa o una actividad de interés público. El Decreto 092 de 2017 y la “Guía para la contratación con entidades privadas sin ánimo de lucro y de reconocida idoneidad” expedida por la Agencia Nacional de Contratación Pública – Colombia Compra Eficiente no prevén reglas particulares para el trámite del proceso competitivo, por lo que queda a consideración de la Entidad Estatal en cada caso concreto, aunque los dos instrumentos normativos sí contemplan unas etapas obligatorias. </w:t>
      </w:r>
    </w:p>
    <w:p w14:paraId="0F0D7E32" w14:textId="77777777" w:rsidR="00F63A5C" w:rsidRPr="00DB4737" w:rsidRDefault="00F63A5C" w:rsidP="00F63A5C">
      <w:pPr>
        <w:spacing w:after="0" w:line="276" w:lineRule="auto"/>
        <w:ind w:left="720"/>
        <w:contextualSpacing/>
        <w:jc w:val="both"/>
        <w:rPr>
          <w:rFonts w:ascii="Verdana" w:eastAsia="Calibri" w:hAnsi="Verdana" w:cs="Arial"/>
        </w:rPr>
      </w:pPr>
    </w:p>
    <w:p w14:paraId="13AF0BCC" w14:textId="77777777" w:rsidR="00F63A5C" w:rsidRPr="00DB4737" w:rsidRDefault="00F63A5C" w:rsidP="00F63A5C">
      <w:pPr>
        <w:spacing w:after="0" w:line="276" w:lineRule="auto"/>
        <w:ind w:firstLine="360"/>
        <w:jc w:val="both"/>
        <w:rPr>
          <w:rFonts w:ascii="Verdana" w:eastAsia="Calibri" w:hAnsi="Verdana" w:cs="Arial"/>
        </w:rPr>
      </w:pPr>
      <w:r w:rsidRPr="00DB4737">
        <w:rPr>
          <w:rFonts w:ascii="Verdana" w:eastAsia="Calibri" w:hAnsi="Verdana" w:cs="Arial"/>
        </w:rPr>
        <w:t>Por otro lado,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D645D76" w14:textId="77777777" w:rsidR="00F63A5C" w:rsidRPr="00DB4737" w:rsidRDefault="00F63A5C" w:rsidP="00F63A5C">
      <w:pPr>
        <w:spacing w:after="0" w:line="276" w:lineRule="auto"/>
        <w:ind w:left="720"/>
        <w:contextualSpacing/>
        <w:jc w:val="both"/>
        <w:rPr>
          <w:rFonts w:ascii="Verdana" w:eastAsia="Calibri" w:hAnsi="Verdana" w:cs="Times New Roman"/>
          <w:lang w:val="es-ES"/>
        </w:rPr>
      </w:pPr>
    </w:p>
    <w:p w14:paraId="4E62553A" w14:textId="77777777" w:rsidR="00F63A5C" w:rsidRPr="00DB4737" w:rsidRDefault="00F63A5C" w:rsidP="00F63A5C">
      <w:pPr>
        <w:spacing w:after="0" w:line="276" w:lineRule="auto"/>
        <w:ind w:firstLine="360"/>
        <w:jc w:val="both"/>
        <w:rPr>
          <w:rFonts w:ascii="Verdana" w:eastAsia="Calibri" w:hAnsi="Verdana" w:cs="Arial"/>
        </w:rPr>
      </w:pPr>
      <w:r w:rsidRPr="00DB4737">
        <w:rPr>
          <w:rFonts w:ascii="Verdana" w:eastAsia="Calibri" w:hAnsi="Verdana" w:cs="Arial"/>
        </w:rPr>
        <w:t>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2D6C7859" w14:textId="77777777" w:rsidR="00F63A5C" w:rsidRPr="00DB4737" w:rsidRDefault="00F63A5C" w:rsidP="00F63A5C">
      <w:pPr>
        <w:spacing w:after="0" w:line="276" w:lineRule="auto"/>
        <w:ind w:left="720"/>
        <w:jc w:val="both"/>
        <w:rPr>
          <w:rFonts w:ascii="Verdana" w:eastAsia="Calibri" w:hAnsi="Verdana" w:cs="Arial"/>
          <w:highlight w:val="yellow"/>
        </w:rPr>
      </w:pPr>
    </w:p>
    <w:p w14:paraId="3551C5D9" w14:textId="77777777" w:rsidR="00F63A5C" w:rsidRDefault="00F63A5C" w:rsidP="00F63A5C">
      <w:pPr>
        <w:spacing w:after="0" w:line="276" w:lineRule="auto"/>
        <w:ind w:firstLine="360"/>
        <w:contextualSpacing/>
        <w:jc w:val="both"/>
        <w:rPr>
          <w:rFonts w:ascii="Verdana" w:eastAsia="Calibri" w:hAnsi="Verdana" w:cs="Times New Roman"/>
          <w:lang w:val="es-ES"/>
        </w:rPr>
      </w:pPr>
      <w:r w:rsidRPr="00DB4737">
        <w:rPr>
          <w:rFonts w:ascii="Verdana" w:eastAsia="Calibri" w:hAnsi="Verdana" w:cs="Times New Roman"/>
          <w:lang w:val="es-ES"/>
        </w:rPr>
        <w:t>En suma, las Entidades Estatales son autónomas en la configuración del proceso competitivo en desarrollo de los artículos 4 y 5 del Decreto 092 de 2017. En todo caso, el proceso competitivo que definan las Entidades Estatales para sus contratos de colaboración y sus convenios de asociación debe garantizar la libre concurrencia, la pluralidad de interesados y la comparación objetiva de las ofertas. Este procedimiento puede ser análogo a otros donde existe competencia, como la licitación pública.</w:t>
      </w:r>
    </w:p>
    <w:p w14:paraId="04F3DD6A" w14:textId="77777777" w:rsidR="00F63A5C" w:rsidRDefault="00F63A5C" w:rsidP="00F63A5C">
      <w:pPr>
        <w:spacing w:after="0" w:line="276" w:lineRule="auto"/>
        <w:ind w:firstLine="360"/>
        <w:contextualSpacing/>
        <w:jc w:val="both"/>
        <w:rPr>
          <w:rFonts w:ascii="Verdana" w:eastAsia="Calibri" w:hAnsi="Verdana" w:cs="Times New Roman"/>
          <w:lang w:val="es-ES"/>
        </w:rPr>
      </w:pPr>
    </w:p>
    <w:p w14:paraId="7CAF944F" w14:textId="274E3ED7" w:rsidR="00F63A5C" w:rsidRDefault="00F63A5C" w:rsidP="00F63A5C">
      <w:pPr>
        <w:spacing w:after="0" w:line="276" w:lineRule="auto"/>
        <w:ind w:firstLine="360"/>
        <w:contextualSpacing/>
        <w:jc w:val="both"/>
        <w:rPr>
          <w:rFonts w:ascii="Verdana" w:eastAsia="Calibri" w:hAnsi="Verdana" w:cs="Times New Roman"/>
          <w:lang w:val="es-ES"/>
        </w:rPr>
      </w:pPr>
      <w:r>
        <w:rPr>
          <w:rFonts w:ascii="Verdana" w:hAnsi="Verdana" w:cs="Arial"/>
          <w:lang w:eastAsia="es-ES"/>
        </w:rPr>
        <w:t>En conclusión</w:t>
      </w:r>
      <w:r w:rsidRPr="00A27A5B">
        <w:rPr>
          <w:rFonts w:ascii="Verdana" w:hAnsi="Verdana" w:cs="Arial"/>
          <w:lang w:eastAsia="es-ES"/>
        </w:rPr>
        <w:t xml:space="preserve">, tras la suspensión provisional de varios apartes del Decreto por parte del Consejo de Estado, </w:t>
      </w:r>
      <w:r>
        <w:rPr>
          <w:rFonts w:ascii="Verdana" w:hAnsi="Verdana" w:cs="Arial"/>
          <w:lang w:eastAsia="es-ES"/>
        </w:rPr>
        <w:t>no existe limitación legal para</w:t>
      </w:r>
      <w:r w:rsidRPr="009B72F6">
        <w:rPr>
          <w:rFonts w:ascii="Verdana" w:hAnsi="Verdana" w:cs="Arial"/>
          <w:lang w:eastAsia="es-ES"/>
        </w:rPr>
        <w:t xml:space="preserve"> aplicar el procedimiento de procesos competitivos con ESAL, conforme al Decreto 092 de 2017</w:t>
      </w:r>
      <w:r>
        <w:rPr>
          <w:rFonts w:ascii="Verdana" w:hAnsi="Verdana" w:cs="Arial"/>
          <w:lang w:eastAsia="es-ES"/>
        </w:rPr>
        <w:t xml:space="preserve"> </w:t>
      </w:r>
      <w:r w:rsidRPr="009B72F6">
        <w:rPr>
          <w:rFonts w:ascii="Verdana" w:hAnsi="Verdana" w:cs="Arial"/>
          <w:lang w:eastAsia="es-ES"/>
        </w:rPr>
        <w:t xml:space="preserve">a proyectos agrícolas y agropecuarios productivos, siempre </w:t>
      </w:r>
      <w:r>
        <w:rPr>
          <w:rFonts w:ascii="Verdana" w:hAnsi="Verdana" w:cs="Arial"/>
          <w:lang w:eastAsia="es-ES"/>
        </w:rPr>
        <w:t>y cuando l</w:t>
      </w:r>
      <w:r w:rsidRPr="009B72F6">
        <w:rPr>
          <w:rFonts w:ascii="Verdana" w:hAnsi="Verdana" w:cs="Arial"/>
          <w:lang w:eastAsia="es-ES"/>
        </w:rPr>
        <w:t xml:space="preserve">os proyectos </w:t>
      </w:r>
      <w:r>
        <w:rPr>
          <w:rFonts w:ascii="Verdana" w:hAnsi="Verdana" w:cs="Arial"/>
          <w:lang w:eastAsia="es-ES"/>
        </w:rPr>
        <w:t>estén acordes con</w:t>
      </w:r>
      <w:r w:rsidRPr="009B72F6">
        <w:rPr>
          <w:rFonts w:ascii="Verdana" w:hAnsi="Verdana" w:cs="Arial"/>
          <w:lang w:eastAsia="es-ES"/>
        </w:rPr>
        <w:t xml:space="preserve"> los planes de desarrollo territoriales o nacionales</w:t>
      </w:r>
      <w:r>
        <w:rPr>
          <w:rFonts w:ascii="Verdana" w:hAnsi="Verdana" w:cs="Arial"/>
          <w:lang w:eastAsia="es-ES"/>
        </w:rPr>
        <w:t>, la</w:t>
      </w:r>
      <w:r w:rsidRPr="009B72F6">
        <w:rPr>
          <w:rFonts w:ascii="Verdana" w:hAnsi="Verdana" w:cs="Arial"/>
          <w:lang w:eastAsia="es-ES"/>
        </w:rPr>
        <w:t xml:space="preserve"> ESAL cuenten con experiencia comprobada en la ejecución de proyectos similares</w:t>
      </w:r>
      <w:r>
        <w:rPr>
          <w:rFonts w:ascii="Verdana" w:hAnsi="Verdana" w:cs="Arial"/>
          <w:lang w:eastAsia="es-ES"/>
        </w:rPr>
        <w:t xml:space="preserve"> y se</w:t>
      </w:r>
      <w:r w:rsidRPr="009B72F6">
        <w:rPr>
          <w:rFonts w:ascii="Verdana" w:hAnsi="Verdana" w:cs="Arial"/>
          <w:lang w:eastAsia="es-ES"/>
        </w:rPr>
        <w:t xml:space="preserve"> realice un proceso competitivo bajo los principios de transparencia, selección objetiva y eficiencia del gasto público</w:t>
      </w:r>
    </w:p>
    <w:p w14:paraId="1D1FF5AB" w14:textId="77777777" w:rsidR="00F63A5C" w:rsidRPr="00DB4737" w:rsidRDefault="00F63A5C" w:rsidP="00F63A5C">
      <w:pPr>
        <w:spacing w:after="0"/>
        <w:ind w:left="720"/>
        <w:contextualSpacing/>
        <w:rPr>
          <w:rFonts w:ascii="Verdana" w:eastAsia="Calibri" w:hAnsi="Verdana" w:cs="Times New Roman"/>
          <w:lang w:val="es-ES"/>
        </w:rPr>
      </w:pPr>
    </w:p>
    <w:p w14:paraId="6E2060CF" w14:textId="77777777" w:rsidR="00F63A5C" w:rsidRPr="00DB4737" w:rsidRDefault="00F63A5C" w:rsidP="00F63A5C">
      <w:pPr>
        <w:spacing w:after="0" w:line="276" w:lineRule="auto"/>
        <w:ind w:firstLine="360"/>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a la aplicabilidad del Decreto 092 de 2017 a un proceso de selección 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w:t>
      </w:r>
      <w:proofErr w:type="gramStart"/>
      <w:r w:rsidRPr="00DB4737">
        <w:rPr>
          <w:rFonts w:ascii="Verdana" w:eastAsia="Calibri" w:hAnsi="Verdana" w:cs="Times New Roman"/>
          <w:lang w:val="es-ES"/>
        </w:rPr>
        <w:t>particulares,</w:t>
      </w:r>
      <w:proofErr w:type="gramEnd"/>
      <w:r w:rsidRPr="00DB4737">
        <w:rPr>
          <w:rFonts w:ascii="Verdana" w:eastAsia="Calibri" w:hAnsi="Verdana" w:cs="Times New Roman"/>
          <w:lang w:val="es-ES"/>
        </w:rPr>
        <w:t xml:space="preserve"> corresponderá a los interesados de adoptar la decisión y, en caso de conflicto, a las autoridades judiciales, fiscales y disciplinarias.</w:t>
      </w:r>
    </w:p>
    <w:p w14:paraId="6B2ECE2C" w14:textId="77777777" w:rsidR="00F63A5C" w:rsidRPr="00DB4737" w:rsidRDefault="00F63A5C" w:rsidP="00F63A5C">
      <w:pPr>
        <w:spacing w:after="0"/>
        <w:ind w:left="720"/>
        <w:contextualSpacing/>
        <w:rPr>
          <w:rFonts w:ascii="Verdana" w:eastAsia="Calibri" w:hAnsi="Verdana" w:cs="Times New Roman"/>
          <w:lang w:val="es-ES"/>
        </w:rPr>
      </w:pPr>
    </w:p>
    <w:p w14:paraId="7DA85A41" w14:textId="77777777" w:rsidR="00F63A5C" w:rsidRPr="00DB4737" w:rsidRDefault="00F63A5C" w:rsidP="00F63A5C">
      <w:pPr>
        <w:spacing w:after="0" w:line="276" w:lineRule="auto"/>
        <w:ind w:firstLine="360"/>
        <w:contextualSpacing/>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5A69AFD" w14:textId="26B467E3" w:rsidR="00A5566B" w:rsidRPr="007A47F9" w:rsidRDefault="00A5566B" w:rsidP="00A5566B">
      <w:pPr>
        <w:spacing w:after="0" w:line="276" w:lineRule="auto"/>
        <w:jc w:val="both"/>
        <w:rPr>
          <w:rFonts w:ascii="Verdana" w:hAnsi="Verdana" w:cs="Arial"/>
          <w:bdr w:val="none" w:sz="0" w:space="0" w:color="auto" w:frame="1"/>
        </w:rPr>
      </w:pPr>
    </w:p>
    <w:p w14:paraId="73ADB084" w14:textId="47679EF0" w:rsidR="00505CD6" w:rsidRPr="00505CD6" w:rsidRDefault="00505CD6" w:rsidP="00A5566B">
      <w:pPr>
        <w:tabs>
          <w:tab w:val="left" w:pos="426"/>
        </w:tabs>
        <w:spacing w:after="12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Referencias normativas y jurisprudenciales:</w:t>
      </w:r>
    </w:p>
    <w:p w14:paraId="6959A8DE" w14:textId="77777777" w:rsidR="00505CD6" w:rsidRPr="00505CD6" w:rsidRDefault="00505CD6" w:rsidP="00505C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505CD6" w14:paraId="1BDBA78D" w14:textId="77777777" w:rsidTr="006C5D8A">
        <w:trPr>
          <w:trHeight w:val="870"/>
          <w:jc w:val="center"/>
        </w:trPr>
        <w:tc>
          <w:tcPr>
            <w:tcW w:w="8647" w:type="dxa"/>
          </w:tcPr>
          <w:p w14:paraId="36F82DE0" w14:textId="77777777" w:rsidR="001436FE" w:rsidRPr="00DB4737"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DB4737">
              <w:rPr>
                <w:rFonts w:ascii="Verdana" w:eastAsia="Calibri" w:hAnsi="Verdana" w:cs="Arial"/>
                <w:lang w:val="es-ES"/>
              </w:rPr>
              <w:t>Constitución Política: Artículo 355.</w:t>
            </w:r>
          </w:p>
          <w:p w14:paraId="6A04B9DF" w14:textId="77777777" w:rsidR="001436FE" w:rsidRPr="00DB4737"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DB4737">
              <w:rPr>
                <w:rFonts w:ascii="Verdana" w:eastAsia="Calibri" w:hAnsi="Verdana" w:cs="Arial"/>
                <w:lang w:val="es-ES"/>
              </w:rPr>
              <w:t>Ley 142 de 1994: Artículo 31 y 32.</w:t>
            </w:r>
          </w:p>
          <w:p w14:paraId="525B9580" w14:textId="77777777" w:rsidR="001436FE" w:rsidRPr="00DB4737"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DB4737">
              <w:rPr>
                <w:rFonts w:ascii="Verdana" w:eastAsia="Calibri" w:hAnsi="Verdana" w:cs="Arial"/>
                <w:lang w:val="es-ES"/>
              </w:rPr>
              <w:t>Ley 489 de 1998: Artículo 96.</w:t>
            </w:r>
          </w:p>
          <w:p w14:paraId="1E832226" w14:textId="77777777" w:rsidR="001436FE"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DB4737">
              <w:rPr>
                <w:rFonts w:ascii="Verdana" w:eastAsia="Calibri" w:hAnsi="Verdana" w:cs="Arial"/>
                <w:lang w:val="es-ES"/>
              </w:rPr>
              <w:t>Decreto 092 de 2017: Artículo 8.</w:t>
            </w:r>
          </w:p>
          <w:p w14:paraId="29156B7A" w14:textId="35C8E271" w:rsidR="001436FE"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1436FE">
              <w:rPr>
                <w:rFonts w:ascii="Verdana" w:eastAsia="Calibri" w:hAnsi="Verdana" w:cs="Arial"/>
                <w:lang w:val="es-ES"/>
              </w:rPr>
              <w:t>Corte Constitucional.  Sala Plena. Sentencia C-324 de 2009. M.P.: Juan Carlos Henao Pérez. En igual sentido, véase Corte Constitucional, Sala Plena. Sentencia C-027 de 2016.</w:t>
            </w:r>
          </w:p>
          <w:p w14:paraId="7080D286" w14:textId="77777777" w:rsidR="001436FE" w:rsidRDefault="001436FE" w:rsidP="001436FE">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1436FE">
              <w:rPr>
                <w:rFonts w:ascii="Verdana" w:eastAsia="Calibri" w:hAnsi="Verdana" w:cs="Arial"/>
                <w:lang w:val="es-ES"/>
              </w:rPr>
              <w:t xml:space="preserve">Auto del 6 de agosto de 2019 de la Sección Tercera, Subsección A, radicado No. 11001-03-26-000-2018-00113-00 (62.003), </w:t>
            </w:r>
            <w:proofErr w:type="gramStart"/>
            <w:r w:rsidRPr="001436FE">
              <w:rPr>
                <w:rFonts w:ascii="Verdana" w:eastAsia="Calibri" w:hAnsi="Verdana" w:cs="Arial"/>
                <w:lang w:val="es-ES"/>
              </w:rPr>
              <w:t>Consejero</w:t>
            </w:r>
            <w:proofErr w:type="gramEnd"/>
            <w:r w:rsidRPr="001436FE">
              <w:rPr>
                <w:rFonts w:ascii="Verdana" w:eastAsia="Calibri" w:hAnsi="Verdana" w:cs="Arial"/>
                <w:lang w:val="es-ES"/>
              </w:rPr>
              <w:t xml:space="preserve"> Ponente Carlos Alberto Zambrano Barrera.</w:t>
            </w:r>
          </w:p>
          <w:p w14:paraId="3DF95E28" w14:textId="774250E5" w:rsidR="001436FE" w:rsidRPr="00984D19" w:rsidRDefault="001436FE" w:rsidP="00292C70">
            <w:pPr>
              <w:widowControl w:val="0"/>
              <w:numPr>
                <w:ilvl w:val="0"/>
                <w:numId w:val="9"/>
              </w:numPr>
              <w:autoSpaceDE w:val="0"/>
              <w:autoSpaceDN w:val="0"/>
              <w:spacing w:after="120" w:line="276" w:lineRule="auto"/>
              <w:contextualSpacing/>
              <w:jc w:val="both"/>
              <w:rPr>
                <w:rFonts w:ascii="Verdana" w:eastAsia="Calibri" w:hAnsi="Verdana" w:cs="Arial"/>
                <w:lang w:val="es-ES"/>
              </w:rPr>
            </w:pPr>
            <w:r w:rsidRPr="00984D19">
              <w:rPr>
                <w:rFonts w:ascii="Verdana" w:eastAsia="Calibri" w:hAnsi="Verdana" w:cs="Arial"/>
                <w:lang w:val="es-ES"/>
              </w:rPr>
              <w:t xml:space="preserve">GÓMEZ Velásquez, Alejandro y DÍAZ Díez Cristian Andrés. Los convenios de interés público y de asociación en el régimen de contratación pública colombiana. Revista Derecho del Estado. Universidad Externado de Colombia. </w:t>
            </w:r>
          </w:p>
          <w:p w14:paraId="70FC587D" w14:textId="27C1CCB2" w:rsidR="00505CD6" w:rsidRPr="00505CD6" w:rsidRDefault="001436FE" w:rsidP="001436FE">
            <w:pPr>
              <w:widowControl w:val="0"/>
              <w:numPr>
                <w:ilvl w:val="0"/>
                <w:numId w:val="9"/>
              </w:numPr>
              <w:autoSpaceDE w:val="0"/>
              <w:autoSpaceDN w:val="0"/>
              <w:spacing w:line="276" w:lineRule="auto"/>
              <w:contextualSpacing/>
              <w:jc w:val="both"/>
              <w:rPr>
                <w:rFonts w:ascii="Verdana" w:hAnsi="Verdana" w:cs="Arial"/>
                <w:lang w:val="es-ES_tradnl"/>
              </w:rPr>
            </w:pPr>
            <w:r w:rsidRPr="00DB4737">
              <w:rPr>
                <w:rFonts w:ascii="Verdana" w:eastAsia="Calibri" w:hAnsi="Verdana" w:cs="Arial"/>
                <w:lang w:val="es-ES"/>
              </w:rPr>
              <w:t xml:space="preserve">Guía para la contratación con Entidades Privadas Sin Ánimo de Lucro y de Reconocida Idoneidad. Disponible </w:t>
            </w:r>
            <w:hyperlink r:id="rId13" w:history="1">
              <w:r w:rsidRPr="00DB4737">
                <w:rPr>
                  <w:rFonts w:ascii="Verdana" w:eastAsia="Calibri" w:hAnsi="Verdana" w:cs="Arial"/>
                  <w:color w:val="0000FF"/>
                  <w:u w:val="single"/>
                  <w:lang w:val="es-ES"/>
                </w:rPr>
                <w:t>aquí</w:t>
              </w:r>
            </w:hyperlink>
          </w:p>
        </w:tc>
      </w:tr>
    </w:tbl>
    <w:p w14:paraId="54B794AD" w14:textId="77777777" w:rsidR="00505CD6" w:rsidRPr="00505CD6" w:rsidRDefault="00505CD6" w:rsidP="00505CD6">
      <w:pPr>
        <w:widowControl w:val="0"/>
        <w:autoSpaceDE w:val="0"/>
        <w:autoSpaceDN w:val="0"/>
        <w:spacing w:after="0" w:line="276" w:lineRule="auto"/>
        <w:jc w:val="both"/>
        <w:rPr>
          <w:rFonts w:ascii="Verdana" w:hAnsi="Verdana" w:cs="Arial"/>
        </w:rPr>
      </w:pPr>
    </w:p>
    <w:p w14:paraId="21CFA37D" w14:textId="77777777" w:rsidR="00505CD6" w:rsidRPr="00505CD6" w:rsidRDefault="00505CD6" w:rsidP="007E61C1">
      <w:pPr>
        <w:numPr>
          <w:ilvl w:val="0"/>
          <w:numId w:val="1"/>
        </w:numPr>
        <w:tabs>
          <w:tab w:val="left" w:pos="142"/>
          <w:tab w:val="left" w:pos="284"/>
        </w:tabs>
        <w:spacing w:after="0" w:line="276" w:lineRule="auto"/>
        <w:ind w:left="567"/>
        <w:jc w:val="both"/>
        <w:rPr>
          <w:rFonts w:ascii="Verdana" w:eastAsia="Century Gothic" w:hAnsi="Verdana" w:cs="Century Gothic"/>
          <w:b/>
          <w:bCs/>
          <w:lang w:val="es-ES"/>
        </w:rPr>
      </w:pPr>
      <w:r w:rsidRPr="00505CD6">
        <w:rPr>
          <w:rFonts w:ascii="Verdana" w:eastAsia="Century Gothic" w:hAnsi="Verdana" w:cs="Century Gothic"/>
          <w:b/>
          <w:bCs/>
          <w:lang w:val="es-ES"/>
        </w:rPr>
        <w:t>Doctrina de la Agencia Nacional de Contratación Pública:</w:t>
      </w:r>
    </w:p>
    <w:p w14:paraId="35BFC8CE"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85865C8" w14:textId="27C66DED" w:rsidR="00A5566B" w:rsidRDefault="00984D19" w:rsidP="00505CD6">
      <w:pPr>
        <w:widowControl w:val="0"/>
        <w:autoSpaceDE w:val="0"/>
        <w:autoSpaceDN w:val="0"/>
        <w:spacing w:after="0" w:line="276" w:lineRule="auto"/>
        <w:jc w:val="both"/>
        <w:rPr>
          <w:rFonts w:ascii="Verdana" w:hAnsi="Verdana" w:cs="Arial"/>
          <w:shd w:val="clear" w:color="auto" w:fill="FFFFFF"/>
          <w:lang w:val="es-ES"/>
        </w:rPr>
      </w:pPr>
      <w:r w:rsidRPr="00DB4737">
        <w:rPr>
          <w:rFonts w:ascii="Verdana" w:eastAsia="Aptos" w:hAnsi="Verdana" w:cs="Arial"/>
          <w:shd w:val="clear" w:color="auto" w:fill="FFFFFF"/>
          <w:lang w:val="es-ES"/>
        </w:rPr>
        <w:t xml:space="preserve">Sobre la contratación regulada por el Decreto 092 de 2017, esta Subdirección se ha referido en los Concepto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2024s, C-005 del 11 de febrero 2025, C-081 del 19 de febrero de 2025, C-105 del 17 de febrero de 2025, C-130 del 08 de marzo de 2025, </w:t>
      </w:r>
      <w:r w:rsidR="002A2E9E">
        <w:rPr>
          <w:rFonts w:ascii="Verdana" w:eastAsia="Aptos" w:hAnsi="Verdana" w:cs="Arial"/>
          <w:shd w:val="clear" w:color="auto" w:fill="FFFFFF"/>
          <w:lang w:val="es-ES"/>
        </w:rPr>
        <w:t xml:space="preserve">C-280 del 03 de abril de 2025, </w:t>
      </w:r>
      <w:r w:rsidRPr="00DB4737">
        <w:rPr>
          <w:rFonts w:ascii="Verdana" w:eastAsia="Aptos" w:hAnsi="Verdana" w:cs="Arial"/>
          <w:shd w:val="clear" w:color="auto" w:fill="FFFFFF"/>
          <w:lang w:val="es-ES"/>
        </w:rPr>
        <w:t>entre otros</w:t>
      </w:r>
      <w:r w:rsidR="009F1519" w:rsidRPr="009F1519">
        <w:rPr>
          <w:rFonts w:ascii="Verdana" w:hAnsi="Verdana" w:cs="Arial"/>
          <w:shd w:val="clear" w:color="auto" w:fill="FFFFFF"/>
          <w:lang w:val="es-ES"/>
        </w:rPr>
        <w:t xml:space="preserve">. </w:t>
      </w:r>
    </w:p>
    <w:p w14:paraId="76502426" w14:textId="33D39DC5" w:rsidR="00505CD6" w:rsidRDefault="009F1519" w:rsidP="00505CD6">
      <w:pPr>
        <w:widowControl w:val="0"/>
        <w:autoSpaceDE w:val="0"/>
        <w:autoSpaceDN w:val="0"/>
        <w:spacing w:after="0" w:line="276" w:lineRule="auto"/>
        <w:jc w:val="both"/>
        <w:rPr>
          <w:rFonts w:ascii="Verdana" w:hAnsi="Verdana" w:cs="Arial"/>
          <w:shd w:val="clear" w:color="auto" w:fill="FFFFFF"/>
          <w:lang w:val="es-ES"/>
        </w:rPr>
      </w:pPr>
      <w:r w:rsidRPr="009F1519">
        <w:rPr>
          <w:rFonts w:ascii="Verdana" w:hAnsi="Verdana" w:cs="Arial"/>
          <w:shd w:val="clear" w:color="auto" w:fill="FFFFFF"/>
          <w:lang w:val="es-ES"/>
        </w:rPr>
        <w:t xml:space="preserve">Estos y otros conceptos se encuentran disponibles para consulta en el Sistema de relatoría de la Agencia, al cual se puede acceder a través del siguiente enlace: </w:t>
      </w:r>
      <w:hyperlink r:id="rId14" w:history="1">
        <w:r w:rsidRPr="00191357">
          <w:rPr>
            <w:rStyle w:val="Hipervnculo"/>
            <w:rFonts w:ascii="Verdana" w:hAnsi="Verdana" w:cs="Arial"/>
            <w:shd w:val="clear" w:color="auto" w:fill="FFFFFF"/>
            <w:lang w:val="es-ES"/>
          </w:rPr>
          <w:t>https://relatoria.colombiacompra.gov.co/busqueda/conceptos</w:t>
        </w:r>
      </w:hyperlink>
    </w:p>
    <w:p w14:paraId="36F0FAD9" w14:textId="77777777" w:rsidR="009F1519" w:rsidRPr="00505CD6" w:rsidRDefault="009F1519"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 xml:space="preserve">Nos complace informarte que ya están disponibles las nuevas versiones de los </w:t>
      </w:r>
      <w:r w:rsidRPr="00505CD6">
        <w:rPr>
          <w:rFonts w:ascii="Verdana" w:hAnsi="Verdana" w:cs="Arial"/>
          <w:color w:val="000000" w:themeColor="text1"/>
          <w:shd w:val="clear" w:color="auto" w:fill="FFFFFF"/>
        </w:rPr>
        <w:lastRenderedPageBreak/>
        <w:t>Documentos Tipo para Infraestructura de Transporte, recuerda que es de obligatoria observancia por TODAS las entidades sometidas al EGCAP y entidades de régimen especial, con las excepciones de ley:</w:t>
      </w:r>
    </w:p>
    <w:p w14:paraId="24311C20"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AB9AF3E" w14:textId="77777777" w:rsidR="00505CD6" w:rsidRPr="00505CD6" w:rsidRDefault="00505CD6" w:rsidP="00505CD6">
      <w:pPr>
        <w:widowControl w:val="0"/>
        <w:autoSpaceDE w:val="0"/>
        <w:autoSpaceDN w:val="0"/>
        <w:spacing w:after="0" w:line="276" w:lineRule="auto"/>
        <w:jc w:val="both"/>
        <w:rPr>
          <w:rFonts w:ascii="Verdana" w:eastAsia="Calibri" w:hAnsi="Verdana" w:cs="Arial"/>
          <w:color w:val="000000" w:themeColor="text1"/>
        </w:rPr>
      </w:pPr>
    </w:p>
    <w:p w14:paraId="30849606" w14:textId="77777777" w:rsidR="00505CD6" w:rsidRPr="00505CD6" w:rsidRDefault="00505CD6" w:rsidP="00505CD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97C2D02"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BD794D8" w14:textId="77777777" w:rsidR="00505CD6" w:rsidRPr="00505CD6" w:rsidRDefault="00505CD6" w:rsidP="00505CD6">
      <w:pPr>
        <w:spacing w:after="0" w:line="240" w:lineRule="auto"/>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8760A9E" w14:textId="3D46A2E5" w:rsidR="00505CD6" w:rsidRDefault="00505CD6" w:rsidP="00505CD6">
      <w:pPr>
        <w:spacing w:line="276" w:lineRule="auto"/>
        <w:jc w:val="center"/>
        <w:rPr>
          <w:noProof/>
        </w:rPr>
      </w:pPr>
    </w:p>
    <w:p w14:paraId="1D372358" w14:textId="10402239" w:rsidR="00831F6E" w:rsidRDefault="00831F6E" w:rsidP="00505CD6">
      <w:pPr>
        <w:spacing w:line="276" w:lineRule="auto"/>
        <w:jc w:val="center"/>
        <w:rPr>
          <w:rFonts w:ascii="Verdana" w:hAnsi="Verdana"/>
          <w:noProof/>
        </w:rPr>
      </w:pPr>
    </w:p>
    <w:p w14:paraId="14C43A1C" w14:textId="77777777" w:rsidR="00761920" w:rsidRDefault="00761920" w:rsidP="00505CD6">
      <w:pPr>
        <w:spacing w:line="276" w:lineRule="auto"/>
        <w:jc w:val="center"/>
        <w:rPr>
          <w:rFonts w:cs="Arial"/>
          <w:noProof/>
          <w:color w:val="000000"/>
          <w:lang w:val="es-ES_tradnl" w:eastAsia="es-CO"/>
        </w:rPr>
      </w:pPr>
    </w:p>
    <w:p w14:paraId="004AB4A8" w14:textId="77777777" w:rsidR="00761920" w:rsidRDefault="00761920" w:rsidP="00505CD6">
      <w:pPr>
        <w:spacing w:line="276" w:lineRule="auto"/>
        <w:jc w:val="center"/>
        <w:rPr>
          <w:rFonts w:cs="Arial"/>
          <w:noProof/>
          <w:color w:val="000000"/>
          <w:lang w:val="es-ES_tradnl" w:eastAsia="es-CO"/>
        </w:rPr>
      </w:pPr>
    </w:p>
    <w:p w14:paraId="46770C56" w14:textId="77777777" w:rsidR="00761920" w:rsidRDefault="00761920" w:rsidP="00505CD6">
      <w:pPr>
        <w:spacing w:line="276" w:lineRule="auto"/>
        <w:jc w:val="center"/>
        <w:rPr>
          <w:rFonts w:cs="Arial"/>
          <w:noProof/>
          <w:color w:val="000000"/>
          <w:lang w:val="es-ES_tradnl" w:eastAsia="es-CO"/>
        </w:rPr>
      </w:pPr>
    </w:p>
    <w:p w14:paraId="6EE3FD6D" w14:textId="772F1A7A" w:rsidR="00761920" w:rsidRPr="00761920" w:rsidRDefault="00761920" w:rsidP="00761920">
      <w:pPr>
        <w:spacing w:line="276" w:lineRule="auto"/>
        <w:jc w:val="center"/>
        <w:rPr>
          <w:rFonts w:cs="Arial"/>
          <w:noProof/>
          <w:color w:val="000000"/>
          <w:lang w:eastAsia="es-CO"/>
        </w:rPr>
      </w:pPr>
      <w:r w:rsidRPr="00761920">
        <w:rPr>
          <w:rFonts w:cs="Arial"/>
          <w:noProof/>
          <w:color w:val="000000"/>
          <w:lang w:eastAsia="es-CO"/>
        </w:rPr>
        <w:drawing>
          <wp:inline distT="0" distB="0" distL="0" distR="0" wp14:anchorId="1499E49C" wp14:editId="6570E694">
            <wp:extent cx="3973830" cy="1705896"/>
            <wp:effectExtent l="0" t="0" r="7620" b="8890"/>
            <wp:docPr id="20989074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6875" cy="170720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5CD6" w:rsidRPr="00505CD6" w14:paraId="6AD22D8F" w14:textId="77777777" w:rsidTr="006C5D8A">
        <w:trPr>
          <w:trHeight w:val="315"/>
        </w:trPr>
        <w:tc>
          <w:tcPr>
            <w:tcW w:w="893" w:type="dxa"/>
            <w:vAlign w:val="center"/>
            <w:hideMark/>
          </w:tcPr>
          <w:p w14:paraId="63823BAB"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7FB18" w14:textId="1ED75DF9" w:rsidR="00505CD6" w:rsidRPr="00505CD6" w:rsidRDefault="00A520B4" w:rsidP="00505CD6">
            <w:pPr>
              <w:contextualSpacing/>
              <w:rPr>
                <w:rFonts w:ascii="Verdana" w:hAnsi="Verdana"/>
                <w:sz w:val="16"/>
                <w:szCs w:val="16"/>
              </w:rPr>
            </w:pPr>
            <w:r>
              <w:rPr>
                <w:rFonts w:ascii="Verdana" w:hAnsi="Verdana"/>
                <w:sz w:val="16"/>
                <w:szCs w:val="16"/>
              </w:rPr>
              <w:t>Daniel Eduardo Rojas</w:t>
            </w:r>
          </w:p>
          <w:p w14:paraId="7CA897BD" w14:textId="77777777" w:rsidR="00505CD6" w:rsidRPr="00505CD6" w:rsidRDefault="00505CD6" w:rsidP="00505CD6">
            <w:pPr>
              <w:contextualSpacing/>
              <w:rPr>
                <w:rFonts w:ascii="Verdana" w:eastAsia="Arial" w:hAnsi="Verdana" w:cs="Arial"/>
                <w:sz w:val="16"/>
                <w:szCs w:val="16"/>
              </w:rPr>
            </w:pPr>
            <w:r w:rsidRPr="00505CD6">
              <w:rPr>
                <w:rFonts w:ascii="Verdana" w:hAnsi="Verdana"/>
                <w:sz w:val="16"/>
                <w:szCs w:val="16"/>
              </w:rPr>
              <w:t>Contratista de la Subdirección de Gestión Contractual</w:t>
            </w:r>
          </w:p>
        </w:tc>
      </w:tr>
      <w:tr w:rsidR="00505CD6" w:rsidRPr="00505CD6" w14:paraId="1F8F07BE" w14:textId="77777777" w:rsidTr="006C5D8A">
        <w:trPr>
          <w:trHeight w:val="330"/>
        </w:trPr>
        <w:tc>
          <w:tcPr>
            <w:tcW w:w="893" w:type="dxa"/>
            <w:vAlign w:val="center"/>
            <w:hideMark/>
          </w:tcPr>
          <w:p w14:paraId="1C2AC98D"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6DDA05" w14:textId="3631F0D8" w:rsidR="00AC121B" w:rsidRDefault="00A5566B" w:rsidP="00505CD6">
            <w:pPr>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Diana Lucia Saavedra</w:t>
            </w:r>
          </w:p>
          <w:p w14:paraId="2A5BD1DE" w14:textId="43026873" w:rsidR="00505CD6" w:rsidRPr="00505CD6" w:rsidRDefault="004F398D" w:rsidP="00505CD6">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 xml:space="preserve">Contratista </w:t>
            </w:r>
            <w:r w:rsidR="00505CD6" w:rsidRPr="00505CD6">
              <w:rPr>
                <w:rFonts w:ascii="Verdana" w:eastAsia="Times New Roman" w:hAnsi="Verdana" w:cs="Arial"/>
                <w:sz w:val="16"/>
                <w:szCs w:val="16"/>
                <w:lang w:val="es-ES" w:eastAsia="es-ES_tradnl"/>
              </w:rPr>
              <w:t>de la Subdirección de Gestión Contractual</w:t>
            </w:r>
            <w:r w:rsidR="00505CD6" w:rsidRPr="00505CD6">
              <w:rPr>
                <w:rFonts w:ascii="Verdana" w:eastAsia="Times New Roman" w:hAnsi="Verdana" w:cs="Arial"/>
                <w:sz w:val="16"/>
                <w:szCs w:val="16"/>
                <w:lang w:eastAsia="es-ES_tradnl"/>
              </w:rPr>
              <w:t> </w:t>
            </w:r>
          </w:p>
        </w:tc>
      </w:tr>
      <w:tr w:rsidR="00505CD6" w:rsidRPr="00505CD6" w14:paraId="0C71EA4D" w14:textId="77777777" w:rsidTr="006C5D8A">
        <w:trPr>
          <w:trHeight w:val="300"/>
        </w:trPr>
        <w:tc>
          <w:tcPr>
            <w:tcW w:w="893" w:type="dxa"/>
            <w:vAlign w:val="center"/>
          </w:tcPr>
          <w:p w14:paraId="4D28D28C"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val="pt-BR" w:eastAsia="es-ES"/>
              </w:rPr>
              <w:t xml:space="preserve">Carolina Quintero </w:t>
            </w:r>
            <w:proofErr w:type="spellStart"/>
            <w:r w:rsidRPr="00505CD6">
              <w:rPr>
                <w:rFonts w:ascii="Verdana" w:eastAsia="Calibri" w:hAnsi="Verdana" w:cs="Arial"/>
                <w:sz w:val="16"/>
                <w:szCs w:val="16"/>
                <w:lang w:val="pt-BR" w:eastAsia="es-ES"/>
              </w:rPr>
              <w:t>Gacharná</w:t>
            </w:r>
            <w:proofErr w:type="spellEnd"/>
          </w:p>
          <w:p w14:paraId="641172E7" w14:textId="122BEADF"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eastAsia="es-ES"/>
              </w:rPr>
              <w:t>Subdirectora</w:t>
            </w:r>
            <w:r w:rsidRPr="00505CD6">
              <w:rPr>
                <w:rFonts w:ascii="Verdana" w:eastAsia="Calibri" w:hAnsi="Verdana" w:cs="Arial"/>
                <w:sz w:val="16"/>
                <w:szCs w:val="16"/>
                <w:lang w:val="pt-BR" w:eastAsia="es-ES"/>
              </w:rPr>
              <w:t xml:space="preserve"> de Gestión </w:t>
            </w:r>
            <w:r w:rsidR="00F92CAE" w:rsidRPr="00505CD6">
              <w:rPr>
                <w:rFonts w:ascii="Verdana" w:eastAsia="Calibri" w:hAnsi="Verdana" w:cs="Arial"/>
                <w:sz w:val="16"/>
                <w:szCs w:val="16"/>
                <w:lang w:val="pt-BR" w:eastAsia="es-ES"/>
              </w:rPr>
              <w:t>Contratual</w:t>
            </w:r>
            <w:r w:rsidRPr="00505CD6">
              <w:rPr>
                <w:rFonts w:ascii="Verdana" w:eastAsia="Calibri" w:hAnsi="Verdana" w:cs="Arial"/>
                <w:sz w:val="16"/>
                <w:szCs w:val="16"/>
                <w:lang w:val="pt-BR" w:eastAsia="es-ES"/>
              </w:rPr>
              <w:t xml:space="preserve"> ANCP – CCE</w:t>
            </w:r>
          </w:p>
        </w:tc>
      </w:tr>
      <w:bookmarkEnd w:id="0"/>
    </w:tbl>
    <w:p w14:paraId="09365269" w14:textId="77777777" w:rsidR="00505CD6" w:rsidRPr="00505CD6" w:rsidRDefault="00505CD6" w:rsidP="00505CD6">
      <w:pPr>
        <w:spacing w:after="0" w:line="240" w:lineRule="auto"/>
        <w:rPr>
          <w:rFonts w:ascii="Verdana" w:eastAsia="Times New Roman" w:hAnsi="Verdana" w:cs="Arial"/>
          <w:sz w:val="24"/>
          <w:szCs w:val="24"/>
          <w:lang w:eastAsia="es-ES"/>
        </w:rPr>
      </w:pPr>
    </w:p>
    <w:sectPr w:rsidR="00505CD6" w:rsidRPr="00505CD6" w:rsidSect="007905BA">
      <w:headerReference w:type="even" r:id="rId19"/>
      <w:headerReference w:type="default" r:id="rId20"/>
      <w:footerReference w:type="even" r:id="rId21"/>
      <w:footerReference w:type="default" r:id="rId22"/>
      <w:headerReference w:type="first" r:id="rId23"/>
      <w:footerReference w:type="first" r:id="rId2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54BAE" w14:textId="77777777" w:rsidR="003B1938" w:rsidRDefault="003B1938" w:rsidP="00B30448">
      <w:pPr>
        <w:spacing w:after="0" w:line="240" w:lineRule="auto"/>
      </w:pPr>
      <w:r>
        <w:separator/>
      </w:r>
    </w:p>
  </w:endnote>
  <w:endnote w:type="continuationSeparator" w:id="0">
    <w:p w14:paraId="0168FB5F" w14:textId="77777777" w:rsidR="003B1938" w:rsidRDefault="003B1938" w:rsidP="00B30448">
      <w:pPr>
        <w:spacing w:after="0" w:line="240" w:lineRule="auto"/>
      </w:pPr>
      <w:r>
        <w:continuationSeparator/>
      </w:r>
    </w:p>
  </w:endnote>
  <w:endnote w:type="continuationNotice" w:id="1">
    <w:p w14:paraId="55096365" w14:textId="77777777" w:rsidR="003B1938" w:rsidRDefault="003B19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Times New Roman"/>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6B65" w14:textId="77777777" w:rsidR="00F11474" w:rsidRDefault="00F114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2B44" w14:textId="77777777" w:rsidR="00F11474" w:rsidRDefault="00F114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ACDB8" w14:textId="77777777" w:rsidR="003B1938" w:rsidRDefault="003B1938" w:rsidP="00B30448">
      <w:pPr>
        <w:spacing w:after="0" w:line="240" w:lineRule="auto"/>
      </w:pPr>
      <w:r>
        <w:separator/>
      </w:r>
    </w:p>
  </w:footnote>
  <w:footnote w:type="continuationSeparator" w:id="0">
    <w:p w14:paraId="76A0F29E" w14:textId="77777777" w:rsidR="003B1938" w:rsidRDefault="003B1938" w:rsidP="00B30448">
      <w:pPr>
        <w:spacing w:after="0" w:line="240" w:lineRule="auto"/>
      </w:pPr>
      <w:r>
        <w:continuationSeparator/>
      </w:r>
    </w:p>
  </w:footnote>
  <w:footnote w:type="continuationNotice" w:id="1">
    <w:p w14:paraId="6BB75404" w14:textId="77777777" w:rsidR="003B1938" w:rsidRDefault="003B1938">
      <w:pPr>
        <w:spacing w:after="0" w:line="240" w:lineRule="auto"/>
      </w:pPr>
    </w:p>
  </w:footnote>
  <w:footnote w:id="2">
    <w:p w14:paraId="69155997" w14:textId="6BC25885" w:rsidR="00F63A5C" w:rsidRPr="004D1013" w:rsidRDefault="00F63A5C" w:rsidP="00F63A5C">
      <w:pPr>
        <w:pStyle w:val="Textonotapie"/>
        <w:ind w:firstLine="709"/>
        <w:jc w:val="both"/>
        <w:rPr>
          <w:rFonts w:ascii="Verdana" w:hAnsi="Verdana" w:cs="Arial"/>
          <w:color w:val="000000"/>
          <w:sz w:val="16"/>
          <w:szCs w:val="16"/>
        </w:rPr>
      </w:pPr>
      <w:r w:rsidRPr="004D1013">
        <w:rPr>
          <w:rStyle w:val="Refdenotaalpie"/>
          <w:rFonts w:ascii="Verdana" w:hAnsi="Verdana" w:cs="Arial"/>
          <w:color w:val="000000"/>
          <w:sz w:val="16"/>
          <w:szCs w:val="16"/>
        </w:rPr>
        <w:footnoteRef/>
      </w:r>
      <w:r w:rsidRPr="004D1013">
        <w:rPr>
          <w:rFonts w:ascii="Verdana" w:hAnsi="Verdana" w:cs="Arial"/>
          <w:color w:val="000000"/>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w:t>
      </w:r>
    </w:p>
  </w:footnote>
  <w:footnote w:id="3">
    <w:p w14:paraId="731AD65C" w14:textId="77777777" w:rsidR="00F63A5C" w:rsidRPr="004D1013" w:rsidRDefault="00F63A5C" w:rsidP="00F63A5C">
      <w:pPr>
        <w:pStyle w:val="Textonotapie"/>
        <w:ind w:firstLine="709"/>
        <w:jc w:val="both"/>
        <w:rPr>
          <w:rFonts w:ascii="Verdana" w:hAnsi="Verdana" w:cs="Arial"/>
          <w:color w:val="000000"/>
          <w:sz w:val="16"/>
          <w:szCs w:val="16"/>
        </w:rPr>
      </w:pPr>
    </w:p>
    <w:p w14:paraId="679E85D3" w14:textId="77777777" w:rsidR="00F63A5C" w:rsidRPr="004D1013" w:rsidRDefault="00F63A5C" w:rsidP="00F63A5C">
      <w:pPr>
        <w:pStyle w:val="Textonotapie"/>
        <w:ind w:firstLine="709"/>
        <w:jc w:val="both"/>
        <w:rPr>
          <w:rFonts w:ascii="Verdana" w:hAnsi="Verdana" w:cs="Arial"/>
          <w:color w:val="000000"/>
          <w:sz w:val="16"/>
          <w:szCs w:val="16"/>
        </w:rPr>
      </w:pPr>
      <w:r w:rsidRPr="004D1013">
        <w:rPr>
          <w:rStyle w:val="Refdenotaalpie"/>
          <w:rFonts w:ascii="Verdana" w:hAnsi="Verdana" w:cs="Arial"/>
          <w:color w:val="000000"/>
          <w:sz w:val="16"/>
          <w:szCs w:val="16"/>
        </w:rPr>
        <w:footnoteRef/>
      </w:r>
      <w:r w:rsidRPr="004D1013">
        <w:rPr>
          <w:rFonts w:ascii="Verdana" w:hAnsi="Verdana" w:cs="Arial"/>
          <w:color w:val="000000"/>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780D9FA" w14:textId="77777777" w:rsidR="00F63A5C" w:rsidRPr="004D1013" w:rsidRDefault="00F63A5C" w:rsidP="00F63A5C">
      <w:pPr>
        <w:pStyle w:val="Textonotapie"/>
        <w:ind w:firstLine="709"/>
        <w:jc w:val="both"/>
        <w:rPr>
          <w:rFonts w:ascii="Verdana" w:hAnsi="Verdana" w:cs="Arial"/>
          <w:color w:val="000000"/>
          <w:sz w:val="16"/>
          <w:szCs w:val="16"/>
        </w:rPr>
      </w:pPr>
      <w:r w:rsidRPr="004D1013">
        <w:rPr>
          <w:rFonts w:ascii="Verdana" w:hAnsi="Verdana" w:cs="Arial"/>
          <w:color w:val="000000"/>
          <w:sz w:val="16"/>
          <w:szCs w:val="16"/>
        </w:rPr>
        <w:t xml:space="preserve">Los convenios de asociación a que se refiere el presente artículo </w:t>
      </w:r>
      <w:bookmarkStart w:id="3" w:name="_Hlk36023315"/>
      <w:r w:rsidRPr="004D1013">
        <w:rPr>
          <w:rFonts w:ascii="Verdana" w:hAnsi="Verdana" w:cs="Arial"/>
          <w:color w:val="000000"/>
          <w:sz w:val="16"/>
          <w:szCs w:val="16"/>
        </w:rPr>
        <w:t>se celebrarán de conformidad con lo dispuesto en el artículo 355 de la Constitución Política</w:t>
      </w:r>
      <w:bookmarkEnd w:id="3"/>
      <w:r w:rsidRPr="004D1013">
        <w:rPr>
          <w:rFonts w:ascii="Verdana" w:hAnsi="Verdana" w:cs="Arial"/>
          <w:color w:val="000000"/>
          <w:sz w:val="16"/>
          <w:szCs w:val="16"/>
        </w:rPr>
        <w:t>, en ellos se determinará con precisión su objeto, término, obligaciones de las partes, aportes, coordinación y todos aquellos aspectos que se consideren pertinentes”.</w:t>
      </w:r>
    </w:p>
  </w:footnote>
  <w:footnote w:id="4">
    <w:p w14:paraId="35371BFF" w14:textId="77777777" w:rsidR="00F63A5C" w:rsidRPr="004D1013" w:rsidRDefault="00F63A5C" w:rsidP="00F63A5C">
      <w:pPr>
        <w:pStyle w:val="Textonotapie"/>
        <w:ind w:firstLine="708"/>
        <w:jc w:val="both"/>
        <w:rPr>
          <w:rFonts w:ascii="Verdana" w:hAnsi="Verdana" w:cs="Arial"/>
          <w:color w:val="000000"/>
          <w:sz w:val="16"/>
          <w:szCs w:val="16"/>
        </w:rPr>
      </w:pPr>
      <w:r w:rsidRPr="004D1013">
        <w:rPr>
          <w:rStyle w:val="Refdenotaalpie"/>
          <w:rFonts w:ascii="Verdana" w:hAnsi="Verdana" w:cs="Arial"/>
          <w:color w:val="000000"/>
          <w:sz w:val="16"/>
          <w:szCs w:val="16"/>
        </w:rPr>
        <w:footnoteRef/>
      </w:r>
      <w:r w:rsidRPr="004D1013">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1E39C6C0" w14:textId="77777777" w:rsidR="00F63A5C" w:rsidRPr="004D1013" w:rsidRDefault="00F63A5C" w:rsidP="00F63A5C">
      <w:pPr>
        <w:pStyle w:val="Textonotapie"/>
        <w:ind w:firstLine="709"/>
        <w:jc w:val="both"/>
        <w:rPr>
          <w:rFonts w:ascii="Verdana" w:hAnsi="Verdana" w:cs="Arial"/>
          <w:color w:val="000000"/>
          <w:sz w:val="16"/>
          <w:szCs w:val="16"/>
        </w:rPr>
      </w:pPr>
    </w:p>
    <w:p w14:paraId="298A87AC" w14:textId="77777777" w:rsidR="00F63A5C" w:rsidRPr="004D1013" w:rsidRDefault="00F63A5C" w:rsidP="001436FE">
      <w:pPr>
        <w:pStyle w:val="Textonotapie"/>
        <w:ind w:firstLine="709"/>
        <w:contextualSpacing/>
        <w:jc w:val="both"/>
        <w:rPr>
          <w:rFonts w:ascii="Verdana" w:hAnsi="Verdana" w:cs="Arial"/>
          <w:color w:val="000000"/>
          <w:sz w:val="16"/>
          <w:szCs w:val="16"/>
        </w:rPr>
      </w:pPr>
      <w:r w:rsidRPr="004D1013">
        <w:rPr>
          <w:rStyle w:val="Refdenotaalpie"/>
          <w:rFonts w:ascii="Verdana" w:hAnsi="Verdana" w:cs="Arial"/>
          <w:color w:val="000000"/>
          <w:sz w:val="16"/>
          <w:szCs w:val="16"/>
        </w:rPr>
        <w:footnoteRef/>
      </w:r>
      <w:r w:rsidRPr="004D1013">
        <w:rPr>
          <w:rFonts w:ascii="Verdana" w:hAnsi="Verdana" w:cs="Arial"/>
          <w:color w:val="000000"/>
          <w:sz w:val="16"/>
          <w:szCs w:val="16"/>
        </w:rPr>
        <w:t xml:space="preserve"> Concepto del 3 de septiembre de 2019, con radicado No. 2201913000006512, dictado por la Agencia Nacional de Contratación Pública – Colombia Compra Eficiente.</w:t>
      </w:r>
    </w:p>
  </w:footnote>
  <w:footnote w:id="6">
    <w:p w14:paraId="428395BF" w14:textId="19CACFBE" w:rsidR="00F63A5C" w:rsidRPr="004D1013" w:rsidRDefault="00F63A5C" w:rsidP="001436FE">
      <w:pPr>
        <w:spacing w:after="0" w:line="240" w:lineRule="auto"/>
        <w:ind w:firstLine="708"/>
        <w:contextualSpacing/>
        <w:jc w:val="both"/>
        <w:rPr>
          <w:rFonts w:ascii="Verdana" w:eastAsia="Times New Roman" w:hAnsi="Verdana" w:cs="Times New Roman"/>
          <w:color w:val="000000"/>
          <w:sz w:val="16"/>
          <w:szCs w:val="16"/>
          <w:shd w:val="clear" w:color="auto" w:fill="FFFFFF"/>
          <w:lang w:eastAsia="es-ES_tradnl"/>
        </w:rPr>
      </w:pPr>
      <w:r w:rsidRPr="004D1013">
        <w:rPr>
          <w:rStyle w:val="Refdenotaalpie"/>
          <w:rFonts w:ascii="Verdana" w:hAnsi="Verdana"/>
          <w:color w:val="000000"/>
          <w:sz w:val="16"/>
          <w:szCs w:val="16"/>
        </w:rPr>
        <w:footnoteRef/>
      </w:r>
      <w:r w:rsidRPr="004D1013">
        <w:rPr>
          <w:rFonts w:ascii="Verdana" w:hAnsi="Verdana"/>
          <w:color w:val="000000"/>
          <w:sz w:val="16"/>
          <w:szCs w:val="16"/>
        </w:rPr>
        <w:t xml:space="preserve"> </w:t>
      </w:r>
      <w:r w:rsidRPr="004D1013">
        <w:rPr>
          <w:rStyle w:val="author-name"/>
          <w:rFonts w:ascii="Verdana" w:hAnsi="Verdana"/>
          <w:color w:val="000000"/>
          <w:sz w:val="16"/>
          <w:szCs w:val="16"/>
        </w:rPr>
        <w:t xml:space="preserve">GÓMEZ Velásquez, Alejandro y DÍAZ Díez Cristian Andrés. </w:t>
      </w:r>
      <w:r w:rsidRPr="004D1013">
        <w:rPr>
          <w:rFonts w:ascii="Verdana" w:eastAsia="Times New Roman" w:hAnsi="Verdana" w:cs="Times New Roman"/>
          <w:i/>
          <w:iCs/>
          <w:color w:val="000000"/>
          <w:sz w:val="16"/>
          <w:szCs w:val="16"/>
          <w:shd w:val="clear" w:color="auto" w:fill="FFFFFF"/>
          <w:lang w:eastAsia="es-ES_tradnl"/>
        </w:rPr>
        <w:t>Los convenios de interés público y de asociación en el régimen de contratación pública colombiana.</w:t>
      </w:r>
      <w:r w:rsidRPr="004D1013">
        <w:rPr>
          <w:rFonts w:ascii="Verdana" w:eastAsia="Times New Roman" w:hAnsi="Verdana" w:cs="Times New Roman"/>
          <w:color w:val="000000"/>
          <w:sz w:val="16"/>
          <w:szCs w:val="16"/>
          <w:shd w:val="clear" w:color="auto" w:fill="FFFFFF"/>
          <w:lang w:eastAsia="es-ES_tradnl"/>
        </w:rPr>
        <w:t xml:space="preserve"> Revista Derecho del Estado. Universidad Externado de Colombia.</w:t>
      </w:r>
      <w:r w:rsidRPr="004D1013">
        <w:rPr>
          <w:rFonts w:ascii="Verdana" w:eastAsia="Times New Roman" w:hAnsi="Verdana" w:cs="Times New Roman"/>
          <w:i/>
          <w:iCs/>
          <w:color w:val="000000"/>
          <w:sz w:val="16"/>
          <w:szCs w:val="16"/>
          <w:shd w:val="clear" w:color="auto" w:fill="FFFFFF"/>
          <w:lang w:eastAsia="es-ES_tradnl"/>
        </w:rPr>
        <w:t xml:space="preserve"> </w:t>
      </w:r>
      <w:r w:rsidRPr="004D1013">
        <w:rPr>
          <w:rFonts w:ascii="Verdana" w:eastAsia="Times New Roman" w:hAnsi="Verdana" w:cs="Times New Roman"/>
          <w:color w:val="000000"/>
          <w:sz w:val="16"/>
          <w:szCs w:val="16"/>
          <w:shd w:val="clear" w:color="auto" w:fill="FFFFFF"/>
          <w:lang w:eastAsia="es-ES_tradnl"/>
        </w:rPr>
        <w:t xml:space="preserve">Se puede consultar en el siguiente enlace: </w:t>
      </w:r>
      <w:hyperlink r:id="rId1" w:anchor="figures" w:history="1">
        <w:r w:rsidRPr="004D1013">
          <w:rPr>
            <w:rStyle w:val="Hipervnculo"/>
            <w:rFonts w:ascii="Verdana" w:eastAsia="Times New Roman" w:hAnsi="Verdana" w:cs="Times New Roman"/>
            <w:color w:val="000000"/>
            <w:sz w:val="16"/>
            <w:szCs w:val="16"/>
            <w:shd w:val="clear" w:color="auto" w:fill="FFFFFF"/>
            <w:lang w:eastAsia="es-ES_tradnl"/>
          </w:rPr>
          <w:t>https://revistas.uexternado.edu.co/index.php/derest/article/view/6151/8606#figures</w:t>
        </w:r>
      </w:hyperlink>
    </w:p>
  </w:footnote>
  <w:footnote w:id="7">
    <w:p w14:paraId="4D148612" w14:textId="77777777" w:rsidR="00F63A5C" w:rsidRPr="004D1013" w:rsidRDefault="00F63A5C" w:rsidP="001436FE">
      <w:pPr>
        <w:spacing w:after="0" w:line="240" w:lineRule="auto"/>
        <w:ind w:firstLine="708"/>
        <w:contextualSpacing/>
        <w:jc w:val="both"/>
        <w:rPr>
          <w:rFonts w:ascii="Verdana" w:hAnsi="Verdana"/>
          <w:sz w:val="16"/>
          <w:szCs w:val="16"/>
        </w:rPr>
      </w:pPr>
    </w:p>
    <w:p w14:paraId="27683788" w14:textId="77777777" w:rsidR="00F63A5C" w:rsidRPr="004D1013" w:rsidRDefault="00F63A5C" w:rsidP="001436FE">
      <w:pPr>
        <w:spacing w:after="0" w:line="240" w:lineRule="auto"/>
        <w:ind w:firstLine="708"/>
        <w:contextualSpacing/>
        <w:jc w:val="both"/>
        <w:rPr>
          <w:rFonts w:ascii="Verdana" w:eastAsia="Times New Roman" w:hAnsi="Verdana" w:cs="Times New Roman"/>
          <w:color w:val="000000"/>
          <w:sz w:val="16"/>
          <w:szCs w:val="16"/>
          <w:shd w:val="clear" w:color="auto" w:fill="FFFFFF"/>
          <w:lang w:eastAsia="es-ES_tradnl"/>
        </w:rPr>
      </w:pPr>
      <w:r w:rsidRPr="004D1013">
        <w:rPr>
          <w:rStyle w:val="Refdenotaalpie"/>
          <w:rFonts w:ascii="Verdana" w:hAnsi="Verdana"/>
          <w:sz w:val="16"/>
          <w:szCs w:val="16"/>
        </w:rPr>
        <w:footnoteRef/>
      </w:r>
      <w:r w:rsidRPr="004D1013">
        <w:rPr>
          <w:rFonts w:ascii="Verdana" w:hAnsi="Verdana"/>
          <w:sz w:val="16"/>
          <w:szCs w:val="16"/>
        </w:rPr>
        <w:t xml:space="preserve"> </w:t>
      </w:r>
      <w:bookmarkStart w:id="9" w:name="_Hlk171946540"/>
      <w:r w:rsidRPr="004D1013">
        <w:rPr>
          <w:rFonts w:ascii="Verdana" w:eastAsia="Times New Roman" w:hAnsi="Verdana" w:cs="Times New Roman"/>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9"/>
    </w:p>
  </w:footnote>
  <w:footnote w:id="8">
    <w:p w14:paraId="0E68F54F" w14:textId="398FB637" w:rsidR="001436FE" w:rsidRPr="001436FE" w:rsidRDefault="001436FE" w:rsidP="001436FE">
      <w:pPr>
        <w:pStyle w:val="Textonotapie"/>
        <w:ind w:firstLine="709"/>
        <w:contextualSpacing/>
        <w:jc w:val="both"/>
        <w:rPr>
          <w:lang w:val="es-ES"/>
        </w:rPr>
      </w:pPr>
      <w:r>
        <w:rPr>
          <w:rStyle w:val="Refdenotaalpie"/>
        </w:rPr>
        <w:footnoteRef/>
      </w:r>
      <w:r>
        <w:t xml:space="preserve"> </w:t>
      </w:r>
      <w:r w:rsidRPr="001436FE">
        <w:rPr>
          <w:rFonts w:ascii="Verdana" w:hAnsi="Verdana"/>
          <w:bCs/>
          <w:sz w:val="16"/>
          <w:szCs w:val="16"/>
        </w:rPr>
        <w:t>Auto del 6 de agosto de 2019 de la Sección Tercera, Subsección A, radicado No. 11001-03-26-000-2018-00113-00 (62.003), Consejero Ponente Carlos Alberto Zambrano Barrera</w:t>
      </w:r>
      <w:r>
        <w:rPr>
          <w:rFonts w:ascii="Verdana" w:hAnsi="Verdana"/>
          <w:bCs/>
          <w:sz w:val="16"/>
          <w:szCs w:val="16"/>
        </w:rPr>
        <w:t>.</w:t>
      </w:r>
    </w:p>
  </w:footnote>
  <w:footnote w:id="9">
    <w:p w14:paraId="642731D3" w14:textId="77777777" w:rsidR="00F63A5C" w:rsidRPr="00884B51" w:rsidRDefault="00F63A5C" w:rsidP="00F63A5C">
      <w:pPr>
        <w:spacing w:after="0" w:line="240" w:lineRule="auto"/>
        <w:ind w:firstLine="708"/>
        <w:jc w:val="both"/>
        <w:rPr>
          <w:rFonts w:ascii="Verdana" w:hAnsi="Verdana" w:cs="Arial"/>
          <w:color w:val="000000"/>
          <w:sz w:val="16"/>
          <w:szCs w:val="16"/>
        </w:rPr>
      </w:pPr>
    </w:p>
    <w:p w14:paraId="4EAF4830" w14:textId="77777777" w:rsidR="00F63A5C" w:rsidRPr="00884B51" w:rsidRDefault="00F63A5C" w:rsidP="00F63A5C">
      <w:pPr>
        <w:spacing w:after="0" w:line="240" w:lineRule="auto"/>
        <w:ind w:firstLine="708"/>
        <w:jc w:val="both"/>
        <w:rPr>
          <w:rFonts w:ascii="Verdana" w:hAnsi="Verdana" w:cs="Arial"/>
          <w:color w:val="000000"/>
          <w:sz w:val="16"/>
          <w:szCs w:val="16"/>
        </w:rPr>
      </w:pPr>
      <w:r w:rsidRPr="00884B51">
        <w:rPr>
          <w:rStyle w:val="Refdenotaalpie"/>
          <w:rFonts w:ascii="Verdana" w:hAnsi="Verdana" w:cs="Arial"/>
          <w:color w:val="000000"/>
          <w:sz w:val="16"/>
          <w:szCs w:val="16"/>
        </w:rPr>
        <w:footnoteRef/>
      </w:r>
      <w:r w:rsidRPr="00884B51">
        <w:rPr>
          <w:rFonts w:ascii="Verdana" w:hAnsi="Verdana" w:cs="Arial"/>
          <w:color w:val="000000"/>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0">
    <w:p w14:paraId="35713FCA" w14:textId="77777777" w:rsidR="00F63A5C" w:rsidRPr="00884B51" w:rsidRDefault="00F63A5C" w:rsidP="00F63A5C">
      <w:pPr>
        <w:pStyle w:val="Textonotapie"/>
        <w:ind w:firstLine="708"/>
        <w:jc w:val="both"/>
        <w:rPr>
          <w:rFonts w:ascii="Verdana" w:eastAsia="Times New Roman" w:hAnsi="Verdana" w:cs="Times New Roman"/>
          <w:color w:val="000000"/>
          <w:sz w:val="16"/>
          <w:szCs w:val="16"/>
          <w:u w:val="single"/>
          <w:shd w:val="clear" w:color="auto" w:fill="FFFFFF"/>
          <w:lang w:eastAsia="es-ES_tradnl"/>
        </w:rPr>
      </w:pPr>
      <w:r w:rsidRPr="004D1013">
        <w:rPr>
          <w:rStyle w:val="Refdenotaalpie"/>
          <w:rFonts w:ascii="Verdana" w:hAnsi="Verdana"/>
          <w:sz w:val="16"/>
          <w:szCs w:val="16"/>
        </w:rPr>
        <w:footnoteRef/>
      </w:r>
      <w:r w:rsidRPr="004D1013">
        <w:rPr>
          <w:rFonts w:ascii="Verdana" w:hAnsi="Verdana"/>
          <w:sz w:val="16"/>
          <w:szCs w:val="16"/>
        </w:rPr>
        <w:t xml:space="preserve"> </w:t>
      </w:r>
      <w:r w:rsidRPr="00884B51">
        <w:rPr>
          <w:rStyle w:val="author-name"/>
          <w:rFonts w:ascii="Verdana" w:hAnsi="Verdana"/>
          <w:color w:val="000000"/>
          <w:sz w:val="16"/>
          <w:szCs w:val="16"/>
        </w:rPr>
        <w:t xml:space="preserve">GÓMEZ Velásquez, Alejandro y DÍAZ Díez Cristian Andrés. </w:t>
      </w:r>
      <w:r w:rsidRPr="00884B51">
        <w:rPr>
          <w:rFonts w:ascii="Verdana" w:eastAsia="Times New Roman" w:hAnsi="Verdana" w:cs="Times New Roman"/>
          <w:i/>
          <w:iCs/>
          <w:color w:val="000000"/>
          <w:sz w:val="16"/>
          <w:szCs w:val="16"/>
          <w:shd w:val="clear" w:color="auto" w:fill="FFFFFF"/>
          <w:lang w:eastAsia="es-ES_tradnl"/>
        </w:rPr>
        <w:t>Los convenios de interés público y de asociación en el régimen de contratación pública colombiana.</w:t>
      </w:r>
      <w:r w:rsidRPr="00884B51">
        <w:rPr>
          <w:rFonts w:ascii="Verdana" w:eastAsia="Times New Roman" w:hAnsi="Verdana" w:cs="Times New Roman"/>
          <w:color w:val="000000"/>
          <w:sz w:val="16"/>
          <w:szCs w:val="16"/>
          <w:shd w:val="clear" w:color="auto" w:fill="FFFFFF"/>
          <w:lang w:eastAsia="es-ES_tradnl"/>
        </w:rPr>
        <w:t xml:space="preserve"> Revista Derecho del Estad. Universidad Externado de Colombia.</w:t>
      </w:r>
      <w:r w:rsidRPr="00884B51">
        <w:rPr>
          <w:rFonts w:ascii="Verdana" w:eastAsia="Times New Roman" w:hAnsi="Verdana" w:cs="Times New Roman"/>
          <w:i/>
          <w:iCs/>
          <w:color w:val="000000"/>
          <w:sz w:val="16"/>
          <w:szCs w:val="16"/>
          <w:shd w:val="clear" w:color="auto" w:fill="FFFFFF"/>
          <w:lang w:eastAsia="es-ES_tradnl"/>
        </w:rPr>
        <w:t xml:space="preserve"> </w:t>
      </w:r>
      <w:r w:rsidRPr="00884B51">
        <w:rPr>
          <w:rFonts w:ascii="Verdana" w:eastAsia="Times New Roman" w:hAnsi="Verdana" w:cs="Times New Roman"/>
          <w:color w:val="000000"/>
          <w:sz w:val="16"/>
          <w:szCs w:val="16"/>
          <w:shd w:val="clear" w:color="auto" w:fill="FFFFFF"/>
          <w:lang w:eastAsia="es-ES_tradnl"/>
        </w:rPr>
        <w:t xml:space="preserve">Se puede consultar en el siguiente enlace: </w:t>
      </w:r>
      <w:hyperlink r:id="rId2" w:anchor="figures" w:history="1">
        <w:r w:rsidRPr="00884B51">
          <w:rPr>
            <w:rStyle w:val="Hipervnculo"/>
            <w:rFonts w:ascii="Verdana" w:eastAsia="Times New Roman" w:hAnsi="Verdana" w:cs="Times New Roman"/>
            <w:color w:val="000000"/>
            <w:sz w:val="16"/>
            <w:szCs w:val="16"/>
            <w:shd w:val="clear" w:color="auto" w:fill="FFFFFF"/>
            <w:lang w:eastAsia="es-ES_tradnl"/>
          </w:rPr>
          <w:t>https://revistas.uexternado.edu.co/index.php/derest/article/view/6151/8606#figures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55D" w14:textId="77777777" w:rsidR="00F11474" w:rsidRDefault="00F1147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8C8B3BB"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6367702E" w:rsidR="00006F59" w:rsidRPr="00A211EE" w:rsidRDefault="00006F59" w:rsidP="001918F1">
    <w:pPr>
      <w:tabs>
        <w:tab w:val="left" w:pos="6217"/>
      </w:tabs>
      <w:spacing w:after="0"/>
      <w:rPr>
        <w:rFonts w:ascii="Verdana" w:hAnsi="Verdana"/>
        <w:b/>
        <w:bCs/>
        <w:sz w:val="24"/>
        <w:szCs w:val="24"/>
      </w:rPr>
    </w:pPr>
  </w:p>
  <w:p w14:paraId="68E0C024" w14:textId="62811F13" w:rsidR="00B30448" w:rsidRPr="00006F59" w:rsidRDefault="00B30448" w:rsidP="00006F5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A711" w14:textId="77777777" w:rsidR="00F11474" w:rsidRDefault="00F114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60431"/>
    <w:multiLevelType w:val="hybridMultilevel"/>
    <w:tmpl w:val="DCC894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298928FE"/>
    <w:multiLevelType w:val="hybridMultilevel"/>
    <w:tmpl w:val="4628E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264000C"/>
    <w:multiLevelType w:val="hybridMultilevel"/>
    <w:tmpl w:val="E38AC9C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A6C4E08"/>
    <w:multiLevelType w:val="hybridMultilevel"/>
    <w:tmpl w:val="7A8E03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376794"/>
    <w:multiLevelType w:val="hybridMultilevel"/>
    <w:tmpl w:val="14E62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6"/>
  </w:num>
  <w:num w:numId="3" w16cid:durableId="679089576">
    <w:abstractNumId w:val="8"/>
  </w:num>
  <w:num w:numId="4" w16cid:durableId="893472101">
    <w:abstractNumId w:val="4"/>
  </w:num>
  <w:num w:numId="5" w16cid:durableId="1982299905">
    <w:abstractNumId w:val="15"/>
  </w:num>
  <w:num w:numId="6" w16cid:durableId="130758360">
    <w:abstractNumId w:val="9"/>
  </w:num>
  <w:num w:numId="7" w16cid:durableId="262541512">
    <w:abstractNumId w:val="13"/>
  </w:num>
  <w:num w:numId="8" w16cid:durableId="104272583">
    <w:abstractNumId w:val="2"/>
  </w:num>
  <w:num w:numId="9" w16cid:durableId="1999337129">
    <w:abstractNumId w:val="14"/>
  </w:num>
  <w:num w:numId="10" w16cid:durableId="905800357">
    <w:abstractNumId w:val="3"/>
  </w:num>
  <w:num w:numId="11" w16cid:durableId="1044253173">
    <w:abstractNumId w:val="5"/>
  </w:num>
  <w:num w:numId="12" w16cid:durableId="289018737">
    <w:abstractNumId w:val="16"/>
  </w:num>
  <w:num w:numId="13" w16cid:durableId="1910656144">
    <w:abstractNumId w:val="1"/>
  </w:num>
  <w:num w:numId="14" w16cid:durableId="1180662790">
    <w:abstractNumId w:val="11"/>
  </w:num>
  <w:num w:numId="15" w16cid:durableId="1549102236">
    <w:abstractNumId w:val="12"/>
  </w:num>
  <w:num w:numId="16" w16cid:durableId="1608417226">
    <w:abstractNumId w:val="10"/>
  </w:num>
  <w:num w:numId="17" w16cid:durableId="1317221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359E"/>
    <w:rsid w:val="000A413A"/>
    <w:rsid w:val="000A66A1"/>
    <w:rsid w:val="000A69FB"/>
    <w:rsid w:val="000B1087"/>
    <w:rsid w:val="000B199A"/>
    <w:rsid w:val="000B1FF7"/>
    <w:rsid w:val="000B2529"/>
    <w:rsid w:val="000B2B7C"/>
    <w:rsid w:val="000B381D"/>
    <w:rsid w:val="000B3DF5"/>
    <w:rsid w:val="000B4024"/>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33C"/>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6FE"/>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78B"/>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6172"/>
    <w:rsid w:val="00197205"/>
    <w:rsid w:val="00197A9D"/>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5B"/>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572C"/>
    <w:rsid w:val="002267D2"/>
    <w:rsid w:val="00226C26"/>
    <w:rsid w:val="00230839"/>
    <w:rsid w:val="00231ADB"/>
    <w:rsid w:val="00232178"/>
    <w:rsid w:val="00232248"/>
    <w:rsid w:val="00232D12"/>
    <w:rsid w:val="002353E3"/>
    <w:rsid w:val="00235F30"/>
    <w:rsid w:val="00236287"/>
    <w:rsid w:val="002363FF"/>
    <w:rsid w:val="00236D10"/>
    <w:rsid w:val="00237EBB"/>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2E9E"/>
    <w:rsid w:val="002A4A82"/>
    <w:rsid w:val="002A4B33"/>
    <w:rsid w:val="002A5311"/>
    <w:rsid w:val="002A7F8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E7AD0"/>
    <w:rsid w:val="002F00B8"/>
    <w:rsid w:val="002F0106"/>
    <w:rsid w:val="002F03C8"/>
    <w:rsid w:val="002F188D"/>
    <w:rsid w:val="002F18A5"/>
    <w:rsid w:val="002F317F"/>
    <w:rsid w:val="002F5E95"/>
    <w:rsid w:val="002F63CA"/>
    <w:rsid w:val="002F67B4"/>
    <w:rsid w:val="002F6F73"/>
    <w:rsid w:val="002F7AA9"/>
    <w:rsid w:val="002F7F50"/>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6011"/>
    <w:rsid w:val="00327069"/>
    <w:rsid w:val="00327812"/>
    <w:rsid w:val="00327AFB"/>
    <w:rsid w:val="00327BAF"/>
    <w:rsid w:val="00327D10"/>
    <w:rsid w:val="0033265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EEE"/>
    <w:rsid w:val="00395132"/>
    <w:rsid w:val="00395D99"/>
    <w:rsid w:val="003968DF"/>
    <w:rsid w:val="0039733E"/>
    <w:rsid w:val="00397A64"/>
    <w:rsid w:val="003A099A"/>
    <w:rsid w:val="003A3927"/>
    <w:rsid w:val="003A3FF7"/>
    <w:rsid w:val="003A6E29"/>
    <w:rsid w:val="003B0BDB"/>
    <w:rsid w:val="003B0E88"/>
    <w:rsid w:val="003B17B0"/>
    <w:rsid w:val="003B1844"/>
    <w:rsid w:val="003B1938"/>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AF7"/>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F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B57"/>
    <w:rsid w:val="00552E53"/>
    <w:rsid w:val="00553E34"/>
    <w:rsid w:val="005547B7"/>
    <w:rsid w:val="005551E9"/>
    <w:rsid w:val="0055680D"/>
    <w:rsid w:val="00560094"/>
    <w:rsid w:val="00560C62"/>
    <w:rsid w:val="00562A61"/>
    <w:rsid w:val="005652D5"/>
    <w:rsid w:val="00565ECA"/>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7B"/>
    <w:rsid w:val="006941CC"/>
    <w:rsid w:val="00695F56"/>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31E"/>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920"/>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1C1"/>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DBC"/>
    <w:rsid w:val="007F6497"/>
    <w:rsid w:val="007F6836"/>
    <w:rsid w:val="007F7DF2"/>
    <w:rsid w:val="00800861"/>
    <w:rsid w:val="00800A35"/>
    <w:rsid w:val="00800D91"/>
    <w:rsid w:val="00801A0E"/>
    <w:rsid w:val="00804E4C"/>
    <w:rsid w:val="00805C64"/>
    <w:rsid w:val="0080662C"/>
    <w:rsid w:val="008070B2"/>
    <w:rsid w:val="00807D79"/>
    <w:rsid w:val="00810102"/>
    <w:rsid w:val="0081060F"/>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87EC2"/>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56A0"/>
    <w:rsid w:val="008B5AA1"/>
    <w:rsid w:val="008B5E61"/>
    <w:rsid w:val="008B64CE"/>
    <w:rsid w:val="008B7914"/>
    <w:rsid w:val="008C07BA"/>
    <w:rsid w:val="008C127A"/>
    <w:rsid w:val="008C1932"/>
    <w:rsid w:val="008C2C7F"/>
    <w:rsid w:val="008C2F0D"/>
    <w:rsid w:val="008C48BF"/>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5CE"/>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39F1"/>
    <w:rsid w:val="00924119"/>
    <w:rsid w:val="00925120"/>
    <w:rsid w:val="009255FA"/>
    <w:rsid w:val="009262E4"/>
    <w:rsid w:val="00927D4E"/>
    <w:rsid w:val="0093084C"/>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16C9"/>
    <w:rsid w:val="009725B2"/>
    <w:rsid w:val="009727DB"/>
    <w:rsid w:val="0097335C"/>
    <w:rsid w:val="009747AA"/>
    <w:rsid w:val="00974B99"/>
    <w:rsid w:val="00974BCB"/>
    <w:rsid w:val="009758CD"/>
    <w:rsid w:val="009763E4"/>
    <w:rsid w:val="0097654D"/>
    <w:rsid w:val="009766B7"/>
    <w:rsid w:val="00977778"/>
    <w:rsid w:val="00980A22"/>
    <w:rsid w:val="00980D85"/>
    <w:rsid w:val="009810BF"/>
    <w:rsid w:val="00983094"/>
    <w:rsid w:val="00983599"/>
    <w:rsid w:val="00984D1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2F6"/>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27A5B"/>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566B"/>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4030"/>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646"/>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3A28"/>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22EA"/>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07FC8"/>
    <w:rsid w:val="00C11A79"/>
    <w:rsid w:val="00C13607"/>
    <w:rsid w:val="00C137B1"/>
    <w:rsid w:val="00C13B43"/>
    <w:rsid w:val="00C14F1F"/>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4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9EC"/>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649"/>
    <w:rsid w:val="00E27F0A"/>
    <w:rsid w:val="00E309B0"/>
    <w:rsid w:val="00E326E9"/>
    <w:rsid w:val="00E352C3"/>
    <w:rsid w:val="00E35476"/>
    <w:rsid w:val="00E359A5"/>
    <w:rsid w:val="00E37212"/>
    <w:rsid w:val="00E372F7"/>
    <w:rsid w:val="00E37DC0"/>
    <w:rsid w:val="00E37EC6"/>
    <w:rsid w:val="00E40432"/>
    <w:rsid w:val="00E40850"/>
    <w:rsid w:val="00E40D52"/>
    <w:rsid w:val="00E41451"/>
    <w:rsid w:val="00E41585"/>
    <w:rsid w:val="00E4220D"/>
    <w:rsid w:val="00E4231E"/>
    <w:rsid w:val="00E42537"/>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1A49"/>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102"/>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3A5C"/>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5206"/>
    <w:rsid w:val="00F75481"/>
    <w:rsid w:val="00F76A4C"/>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73C"/>
    <w:rsid w:val="00FB183E"/>
    <w:rsid w:val="00FB1D54"/>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712"/>
    <w:rsid w:val="00FF37DC"/>
    <w:rsid w:val="00FF37F2"/>
    <w:rsid w:val="00FF5B3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9727DB"/>
    <w:rPr>
      <w:rFonts w:asciiTheme="majorHAnsi" w:eastAsiaTheme="majorEastAsia" w:hAnsiTheme="majorHAnsi" w:cstheme="majorBidi"/>
      <w:color w:val="1F3763" w:themeColor="accent1" w:themeShade="7F"/>
      <w:sz w:val="24"/>
      <w:szCs w:val="24"/>
    </w:rPr>
  </w:style>
  <w:style w:type="character" w:customStyle="1" w:styleId="NormalWebCar">
    <w:name w:val="Normal (Web) Car"/>
    <w:link w:val="NormalWeb"/>
    <w:uiPriority w:val="99"/>
    <w:rsid w:val="00A5566B"/>
    <w:rPr>
      <w:rFonts w:ascii="Times New Roman" w:hAnsi="Times New Roman" w:cs="Times New Roman"/>
      <w:sz w:val="24"/>
      <w:szCs w:val="24"/>
    </w:rPr>
  </w:style>
  <w:style w:type="character" w:customStyle="1" w:styleId="baj">
    <w:name w:val="b_aj"/>
    <w:basedOn w:val="Fuentedeprrafopredeter"/>
    <w:rsid w:val="00A5566B"/>
  </w:style>
  <w:style w:type="character" w:customStyle="1" w:styleId="author-name">
    <w:name w:val="author-name"/>
    <w:basedOn w:val="Fuentedeprrafopredeter"/>
    <w:rsid w:val="00F6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03382441">
      <w:bodyDiv w:val="1"/>
      <w:marLeft w:val="0"/>
      <w:marRight w:val="0"/>
      <w:marTop w:val="0"/>
      <w:marBottom w:val="0"/>
      <w:divBdr>
        <w:top w:val="none" w:sz="0" w:space="0" w:color="auto"/>
        <w:left w:val="none" w:sz="0" w:space="0" w:color="auto"/>
        <w:bottom w:val="none" w:sz="0" w:space="0" w:color="auto"/>
        <w:right w:val="none" w:sz="0" w:space="0" w:color="auto"/>
      </w:divBdr>
    </w:div>
    <w:div w:id="404229398">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833643204">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8077000">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691127">
      <w:bodyDiv w:val="1"/>
      <w:marLeft w:val="0"/>
      <w:marRight w:val="0"/>
      <w:marTop w:val="0"/>
      <w:marBottom w:val="0"/>
      <w:divBdr>
        <w:top w:val="none" w:sz="0" w:space="0" w:color="auto"/>
        <w:left w:val="none" w:sz="0" w:space="0" w:color="auto"/>
        <w:bottom w:val="none" w:sz="0" w:space="0" w:color="auto"/>
        <w:right w:val="none" w:sz="0" w:space="0" w:color="auto"/>
      </w:divBdr>
    </w:div>
    <w:div w:id="1460302775">
      <w:bodyDiv w:val="1"/>
      <w:marLeft w:val="0"/>
      <w:marRight w:val="0"/>
      <w:marTop w:val="0"/>
      <w:marBottom w:val="0"/>
      <w:divBdr>
        <w:top w:val="none" w:sz="0" w:space="0" w:color="auto"/>
        <w:left w:val="none" w:sz="0" w:space="0" w:color="auto"/>
        <w:bottom w:val="none" w:sz="0" w:space="0" w:color="auto"/>
        <w:right w:val="none" w:sz="0" w:space="0" w:color="auto"/>
      </w:divBdr>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sites/cce_public/files/cce_documents/cce_guia_esal.pdf"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5063</Words>
  <Characters>27848</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32846</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Betty helena Diaz</cp:lastModifiedBy>
  <cp:revision>2</cp:revision>
  <dcterms:created xsi:type="dcterms:W3CDTF">2025-04-21T05:09:00Z</dcterms:created>
  <dcterms:modified xsi:type="dcterms:W3CDTF">2025-04-21T05:09:00Z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