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8E5C" w14:textId="77777777" w:rsidR="00A31221" w:rsidRPr="00E7745C" w:rsidRDefault="00A31221" w:rsidP="00A31221">
      <w:pPr>
        <w:spacing w:after="0" w:line="276" w:lineRule="auto"/>
        <w:contextualSpacing/>
        <w:jc w:val="both"/>
        <w:rPr>
          <w:rFonts w:ascii="Verdana" w:eastAsia="Calibri" w:hAnsi="Verdana"/>
          <w:b/>
          <w:bCs/>
        </w:rPr>
      </w:pPr>
      <w:r w:rsidRPr="00E7745C">
        <w:rPr>
          <w:rFonts w:ascii="Verdana" w:eastAsia="Calibri" w:hAnsi="Verdana"/>
          <w:b/>
          <w:bCs/>
        </w:rPr>
        <w:t xml:space="preserve">REQUISITO HABILITANTE DE EXPERIENCIA – Concepto </w:t>
      </w:r>
    </w:p>
    <w:p w14:paraId="5FF63823" w14:textId="77777777" w:rsidR="00A31221" w:rsidRPr="00E7745C" w:rsidRDefault="00A31221" w:rsidP="00A31221">
      <w:pPr>
        <w:spacing w:after="0" w:line="276" w:lineRule="auto"/>
        <w:contextualSpacing/>
        <w:jc w:val="both"/>
        <w:rPr>
          <w:rFonts w:ascii="Verdana" w:eastAsia="Calibri" w:hAnsi="Verdana"/>
          <w:b/>
          <w:bCs/>
        </w:rPr>
      </w:pPr>
    </w:p>
    <w:p w14:paraId="03D472F5" w14:textId="77777777" w:rsidR="00A31221" w:rsidRPr="00632DC2" w:rsidRDefault="00A31221" w:rsidP="00A31221">
      <w:pPr>
        <w:spacing w:after="0" w:line="276" w:lineRule="auto"/>
        <w:contextualSpacing/>
        <w:jc w:val="both"/>
        <w:rPr>
          <w:rFonts w:ascii="Verdana" w:eastAsia="Calibri" w:hAnsi="Verdana" w:cs="Arial"/>
          <w:sz w:val="20"/>
          <w:szCs w:val="20"/>
          <w:lang w:eastAsia="es-CO"/>
        </w:rPr>
      </w:pPr>
      <w:r w:rsidRPr="00632DC2">
        <w:rPr>
          <w:rFonts w:ascii="Verdana" w:eastAsia="Calibri" w:hAnsi="Verdana"/>
          <w:sz w:val="20"/>
          <w:szCs w:val="20"/>
        </w:rPr>
        <w:t xml:space="preserve">[…] </w:t>
      </w:r>
      <w:r w:rsidRPr="00632DC2">
        <w:rPr>
          <w:rFonts w:ascii="Verdana" w:eastAsia="Calibri" w:hAnsi="Verdana" w:cs="Arial"/>
          <w:sz w:val="20"/>
          <w:szCs w:val="20"/>
          <w:lang w:eastAsia="es-CO"/>
        </w:rPr>
        <w:t>el “</w:t>
      </w:r>
      <w:r w:rsidRPr="00632DC2">
        <w:rPr>
          <w:rFonts w:ascii="Verdana" w:eastAsia="Calibri" w:hAnsi="Verdana" w:cs="Arial"/>
          <w:i/>
          <w:iCs/>
          <w:sz w:val="20"/>
          <w:szCs w:val="20"/>
          <w:lang w:eastAsia="es-CO"/>
        </w:rPr>
        <w:t>Manual para determinar y verificar requisitos habilitantes en los procesos de contratación”,</w:t>
      </w:r>
      <w:r w:rsidRPr="00632DC2">
        <w:rPr>
          <w:rFonts w:ascii="Verdana" w:eastAsia="Calibri" w:hAnsi="Verdana" w:cs="Arial"/>
          <w:sz w:val="20"/>
          <w:szCs w:val="20"/>
          <w:lang w:eastAsia="es-CO"/>
        </w:rPr>
        <w:t xml:space="preserve"> indica que la experiencia tiene un carácter personal, lo cual significa que la experiencia se obtiene en razón a la participación, con anterioridad, en actividades que le permitieron conocer cómo ejecutar determinado objeto contractual, que la entidad ahora pretende desarrollar.</w:t>
      </w:r>
    </w:p>
    <w:p w14:paraId="084AC520" w14:textId="77777777" w:rsidR="00A31221" w:rsidRPr="00E7745C" w:rsidRDefault="00A31221" w:rsidP="00A31221">
      <w:pPr>
        <w:spacing w:after="0" w:line="276" w:lineRule="auto"/>
        <w:contextualSpacing/>
        <w:jc w:val="both"/>
        <w:rPr>
          <w:rFonts w:ascii="Verdana" w:eastAsia="Calibri" w:hAnsi="Verdana" w:cs="Arial"/>
          <w:lang w:eastAsia="es-CO"/>
        </w:rPr>
      </w:pPr>
    </w:p>
    <w:p w14:paraId="3778FEDE" w14:textId="77777777" w:rsidR="00A31221" w:rsidRPr="00E7745C" w:rsidRDefault="00A31221" w:rsidP="00A31221">
      <w:pPr>
        <w:spacing w:line="276" w:lineRule="auto"/>
        <w:jc w:val="both"/>
        <w:rPr>
          <w:rFonts w:ascii="Verdana" w:eastAsia="Century Gothic" w:hAnsi="Verdana" w:cs="Century Gothic"/>
          <w:b/>
          <w:bCs/>
        </w:rPr>
      </w:pPr>
      <w:r w:rsidRPr="00E7745C">
        <w:rPr>
          <w:rFonts w:ascii="Verdana" w:eastAsia="Century Gothic" w:hAnsi="Verdana" w:cs="Century Gothic"/>
          <w:b/>
          <w:bCs/>
        </w:rPr>
        <w:t xml:space="preserve">REQUISITO HABILITANTE DE EXPERIENCIA – Forma de acreditación </w:t>
      </w:r>
    </w:p>
    <w:p w14:paraId="37D664DD" w14:textId="6CD08A04" w:rsidR="00A31221" w:rsidRPr="00632DC2" w:rsidRDefault="00A31221" w:rsidP="00A31221">
      <w:pPr>
        <w:spacing w:line="276" w:lineRule="auto"/>
        <w:jc w:val="both"/>
        <w:rPr>
          <w:rFonts w:ascii="Verdana" w:eastAsia="Calibri" w:hAnsi="Verdana" w:cs="Arial"/>
          <w:sz w:val="20"/>
          <w:szCs w:val="20"/>
          <w:lang w:eastAsia="es-CO"/>
        </w:rPr>
      </w:pPr>
      <w:r w:rsidRPr="00632DC2">
        <w:rPr>
          <w:rFonts w:ascii="Verdana" w:eastAsia="Century Gothic" w:hAnsi="Verdana" w:cs="Century Gothic"/>
          <w:sz w:val="20"/>
          <w:szCs w:val="20"/>
        </w:rPr>
        <w:t xml:space="preserve">En efecto, este requisito se acreditará a través del registro único de proponentes en los procesos de selección que así lo exija la norma. </w:t>
      </w:r>
      <w:r w:rsidRPr="00632DC2">
        <w:rPr>
          <w:rFonts w:ascii="Verdana" w:eastAsia="Calibri" w:hAnsi="Verdana" w:cs="Arial"/>
          <w:sz w:val="20"/>
          <w:szCs w:val="20"/>
          <w:lang w:eastAsia="es-CO"/>
        </w:rPr>
        <w:t xml:space="preserve">No </w:t>
      </w:r>
      <w:r w:rsidR="00E66E44" w:rsidRPr="00632DC2">
        <w:rPr>
          <w:rFonts w:ascii="Verdana" w:eastAsia="Calibri" w:hAnsi="Verdana" w:cs="Arial"/>
          <w:sz w:val="20"/>
          <w:szCs w:val="20"/>
          <w:lang w:eastAsia="es-CO"/>
        </w:rPr>
        <w:t>obstante,</w:t>
      </w:r>
      <w:r w:rsidRPr="00632DC2">
        <w:rPr>
          <w:rFonts w:ascii="Verdana" w:eastAsia="Calibri" w:hAnsi="Verdana" w:cs="Arial"/>
          <w:sz w:val="20"/>
          <w:szCs w:val="20"/>
          <w:lang w:eastAsia="es-CO"/>
        </w:rPr>
        <w:t xml:space="preserv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Lo mismo ocurre en los procesos de selección en los cuales no es exigible el RUP. En ambos escenarios,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cuáles documentos resultan ser adecuados y proporcionales para verificar el requisito de experiencia establecido. </w:t>
      </w:r>
    </w:p>
    <w:p w14:paraId="36E84070" w14:textId="77777777" w:rsidR="00A31221" w:rsidRPr="00632DC2" w:rsidRDefault="00A31221" w:rsidP="00A31221">
      <w:pPr>
        <w:spacing w:line="276" w:lineRule="auto"/>
        <w:jc w:val="both"/>
        <w:rPr>
          <w:rFonts w:ascii="Verdana" w:eastAsia="Calibri" w:hAnsi="Verdana" w:cs="Arial"/>
          <w:sz w:val="20"/>
          <w:szCs w:val="20"/>
          <w:lang w:eastAsia="es-CO"/>
        </w:rPr>
      </w:pPr>
      <w:r w:rsidRPr="00632DC2">
        <w:rPr>
          <w:rFonts w:ascii="Verdana" w:eastAsia="Calibri" w:hAnsi="Verdana" w:cs="Arial"/>
          <w:sz w:val="20"/>
          <w:szCs w:val="20"/>
          <w:lang w:eastAsia="es-CO"/>
        </w:rPr>
        <w:t xml:space="preserve">Las entidades por ejemplo suelen requerir documentos como actas de liquidación, actas de entrega, actas de terminación, o de recibo definitivo, certificaciones expedidas con posterioridad a la fecha de terminación del contrato, entre otros documentos. Estos documentos permiten que la entidad pueda comprobar la experiencia del proponente, como, por ejemplo, el objeto del contrato, las actividades desarrolladas, el valor del contrato o el valor debidamente ejecutado, esto es, cualquier información que le de certeza y seguridad a la entidad estatal en la verificación del requisito de experiencia. </w:t>
      </w:r>
    </w:p>
    <w:p w14:paraId="06FCCD7A" w14:textId="5D13CAEA" w:rsidR="00A31221" w:rsidRPr="00E7745C" w:rsidRDefault="00A31221" w:rsidP="00A31221">
      <w:pPr>
        <w:jc w:val="both"/>
        <w:rPr>
          <w:rFonts w:ascii="Verdana" w:eastAsia="Century Gothic" w:hAnsi="Verdana" w:cs="Century Gothic"/>
          <w:b/>
          <w:bCs/>
        </w:rPr>
      </w:pPr>
      <w:r w:rsidRPr="00E7745C">
        <w:rPr>
          <w:rFonts w:ascii="Verdana" w:eastAsia="Century Gothic" w:hAnsi="Verdana" w:cs="Century Gothic"/>
          <w:b/>
          <w:bCs/>
        </w:rPr>
        <w:t xml:space="preserve">REQUISITO HABILITANTE DE EXPERIENCIA – </w:t>
      </w:r>
      <w:r w:rsidR="003761CA">
        <w:rPr>
          <w:rFonts w:ascii="Verdana" w:eastAsia="Century Gothic" w:hAnsi="Verdana" w:cs="Century Gothic"/>
          <w:b/>
          <w:bCs/>
        </w:rPr>
        <w:t>A</w:t>
      </w:r>
      <w:r w:rsidRPr="00E7745C">
        <w:rPr>
          <w:rFonts w:ascii="Verdana" w:eastAsia="Century Gothic" w:hAnsi="Verdana" w:cs="Century Gothic"/>
          <w:b/>
          <w:bCs/>
        </w:rPr>
        <w:t xml:space="preserve">creditación del valor de los contratos </w:t>
      </w:r>
    </w:p>
    <w:p w14:paraId="7E0D9455" w14:textId="77777777" w:rsidR="00632DC2" w:rsidRDefault="00A31221" w:rsidP="00632DC2">
      <w:pPr>
        <w:spacing w:line="276" w:lineRule="auto"/>
        <w:jc w:val="both"/>
        <w:rPr>
          <w:rFonts w:ascii="Verdana" w:eastAsia="Calibri" w:hAnsi="Verdana" w:cs="Arial"/>
          <w:sz w:val="20"/>
          <w:szCs w:val="20"/>
          <w:lang w:eastAsia="es-CO"/>
        </w:rPr>
      </w:pPr>
      <w:r w:rsidRPr="00632DC2">
        <w:rPr>
          <w:rFonts w:ascii="Verdana" w:eastAsia="Calibri" w:hAnsi="Verdana" w:cs="Arial"/>
          <w:sz w:val="20"/>
          <w:szCs w:val="20"/>
          <w:lang w:eastAsia="es-CO"/>
        </w:rPr>
        <w:t xml:space="preserve">[…] la entidad estatal podrá adoptar, dentro de los términos que fija la ley, de manera proporcional y adecuada, alternativas que le permitan definir la verificación del valor ejecutado de un contrato como es dividir el valor ejecutado por el valor del salario mínimo legal mensual vigente del contrato realmente ejecutado. </w:t>
      </w:r>
    </w:p>
    <w:p w14:paraId="6700D6DA" w14:textId="63B3A6A9" w:rsidR="00871B59" w:rsidRPr="00632DC2" w:rsidRDefault="00B31EE1" w:rsidP="00632DC2">
      <w:pPr>
        <w:spacing w:line="276" w:lineRule="auto"/>
        <w:jc w:val="both"/>
        <w:rPr>
          <w:rFonts w:ascii="Verdana" w:eastAsia="Calibri" w:hAnsi="Verdana" w:cs="Arial"/>
          <w:sz w:val="20"/>
          <w:szCs w:val="20"/>
          <w:lang w:eastAsia="es-CO"/>
        </w:rPr>
      </w:pPr>
      <w:r w:rsidRPr="00B31EE1">
        <w:rPr>
          <w:rFonts w:ascii="Verdana" w:eastAsia="Geomanist Light" w:hAnsi="Verdana" w:cs="Arial"/>
        </w:rPr>
        <w:lastRenderedPageBreak/>
        <w:t>Bogotá D.C., 10 de Abril de 2025</w:t>
      </w:r>
    </w:p>
    <w:p w14:paraId="263F56BE" w14:textId="36CD4DF1" w:rsidR="00871B59" w:rsidRPr="00E7745C" w:rsidRDefault="00B31EE1" w:rsidP="00871B59">
      <w:pPr>
        <w:spacing w:after="0" w:line="240" w:lineRule="auto"/>
        <w:jc w:val="both"/>
        <w:rPr>
          <w:rFonts w:ascii="Verdana" w:eastAsia="Calibri" w:hAnsi="Verdana" w:cs="Arial"/>
          <w:lang w:val="es-ES"/>
        </w:rPr>
      </w:pPr>
      <w:r w:rsidRPr="00B31EE1">
        <w:rPr>
          <w:rFonts w:ascii="Verdana" w:eastAsia="Calibri" w:hAnsi="Verdana" w:cs="Arial"/>
          <w:noProof/>
          <w:lang w:val="es-ES" w:eastAsia="es-ES"/>
        </w:rPr>
        <w:drawing>
          <wp:anchor distT="0" distB="0" distL="114300" distR="114300" simplePos="0" relativeHeight="251658240" behindDoc="1" locked="0" layoutInCell="1" allowOverlap="1" wp14:anchorId="6C58118D" wp14:editId="4AA5BE92">
            <wp:simplePos x="0" y="0"/>
            <wp:positionH relativeFrom="column">
              <wp:posOffset>3428365</wp:posOffset>
            </wp:positionH>
            <wp:positionV relativeFrom="paragraph">
              <wp:posOffset>160020</wp:posOffset>
            </wp:positionV>
            <wp:extent cx="3041650" cy="795020"/>
            <wp:effectExtent l="0" t="0" r="6350" b="5080"/>
            <wp:wrapTight wrapText="bothSides">
              <wp:wrapPolygon edited="0">
                <wp:start x="0" y="0"/>
                <wp:lineTo x="0" y="21220"/>
                <wp:lineTo x="21510" y="21220"/>
                <wp:lineTo x="21510" y="0"/>
                <wp:lineTo x="0" y="0"/>
              </wp:wrapPolygon>
            </wp:wrapTight>
            <wp:docPr id="6101893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89348"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041650" cy="795020"/>
                    </a:xfrm>
                    <a:prstGeom prst="rect">
                      <a:avLst/>
                    </a:prstGeom>
                  </pic:spPr>
                </pic:pic>
              </a:graphicData>
            </a:graphic>
            <wp14:sizeRelH relativeFrom="page">
              <wp14:pctWidth>0</wp14:pctWidth>
            </wp14:sizeRelH>
            <wp14:sizeRelV relativeFrom="page">
              <wp14:pctHeight>0</wp14:pctHeight>
            </wp14:sizeRelV>
          </wp:anchor>
        </w:drawing>
      </w:r>
    </w:p>
    <w:p w14:paraId="66EF7FED" w14:textId="42C59323" w:rsidR="00871B59" w:rsidRPr="00E7745C" w:rsidRDefault="00871B59" w:rsidP="00871B59">
      <w:pPr>
        <w:spacing w:after="0" w:line="240" w:lineRule="auto"/>
        <w:jc w:val="both"/>
        <w:rPr>
          <w:rFonts w:ascii="Verdana" w:eastAsia="Calibri" w:hAnsi="Verdana" w:cs="Arial"/>
          <w:lang w:val="es-ES" w:eastAsia="es-ES"/>
        </w:rPr>
      </w:pPr>
      <w:r w:rsidRPr="00E7745C">
        <w:rPr>
          <w:rFonts w:ascii="Verdana" w:eastAsia="Calibri" w:hAnsi="Verdana" w:cs="Arial"/>
          <w:lang w:val="es-ES" w:eastAsia="es-ES"/>
        </w:rPr>
        <w:t>Señor</w:t>
      </w:r>
    </w:p>
    <w:p w14:paraId="0D0B9D30" w14:textId="4723AAFF" w:rsidR="00871B59" w:rsidRPr="00E7745C" w:rsidRDefault="00E66E44" w:rsidP="00871B59">
      <w:pPr>
        <w:spacing w:after="0" w:line="240" w:lineRule="auto"/>
        <w:rPr>
          <w:rFonts w:ascii="Verdana" w:eastAsia="Calibri" w:hAnsi="Verdana" w:cs="Arial"/>
          <w:b/>
          <w:lang w:val="es-ES_tradnl" w:eastAsia="es-ES_tradnl"/>
        </w:rPr>
      </w:pPr>
      <w:r w:rsidRPr="00E7745C">
        <w:rPr>
          <w:rFonts w:ascii="Verdana" w:eastAsia="Calibri" w:hAnsi="Verdana" w:cs="Arial"/>
          <w:b/>
          <w:lang w:val="es-ES_tradnl" w:eastAsia="es-ES_tradnl"/>
        </w:rPr>
        <w:t>BRAYAN STIVEN DUQUE ROMAN</w:t>
      </w:r>
    </w:p>
    <w:p w14:paraId="1199F81B" w14:textId="1B2D601F" w:rsidR="00871B59" w:rsidRPr="00E7745C" w:rsidRDefault="00E66E44" w:rsidP="00871B59">
      <w:pPr>
        <w:spacing w:after="0" w:line="240" w:lineRule="auto"/>
        <w:rPr>
          <w:rFonts w:ascii="Verdana" w:eastAsia="Calibri" w:hAnsi="Verdana" w:cs="Arial"/>
          <w:u w:val="single"/>
          <w:lang w:val="es-ES" w:eastAsia="es-ES"/>
        </w:rPr>
      </w:pPr>
      <w:r w:rsidRPr="00E7745C">
        <w:rPr>
          <w:rFonts w:ascii="Verdana" w:eastAsia="Calibri" w:hAnsi="Verdana" w:cs="Arial"/>
          <w:u w:val="single"/>
          <w:lang w:val="es-ES" w:eastAsia="es-ES"/>
        </w:rPr>
        <w:t>Sduqueroman14@gmail.com</w:t>
      </w:r>
    </w:p>
    <w:p w14:paraId="5ACFEA17" w14:textId="7F60A919" w:rsidR="00871B59" w:rsidRPr="00E7745C" w:rsidRDefault="00FA4E40" w:rsidP="00871B59">
      <w:pPr>
        <w:spacing w:after="0" w:line="240" w:lineRule="auto"/>
        <w:rPr>
          <w:rFonts w:ascii="Verdana" w:eastAsia="Calibri" w:hAnsi="Verdana" w:cs="Arial"/>
          <w:b/>
          <w:bCs/>
          <w:lang w:val="es-ES" w:eastAsia="es-ES"/>
        </w:rPr>
      </w:pPr>
      <w:r w:rsidRPr="00E7745C">
        <w:rPr>
          <w:rFonts w:ascii="Verdana" w:eastAsia="Calibri" w:hAnsi="Verdana" w:cs="Arial"/>
          <w:lang w:val="es-ES" w:eastAsia="es-ES"/>
        </w:rPr>
        <w:t>Pereira, Risaralda</w:t>
      </w:r>
    </w:p>
    <w:p w14:paraId="75545CBA" w14:textId="77777777" w:rsidR="00871B59" w:rsidRPr="00E7745C" w:rsidRDefault="00871B59" w:rsidP="00871B59">
      <w:pPr>
        <w:spacing w:after="0" w:line="240" w:lineRule="auto"/>
        <w:rPr>
          <w:rFonts w:ascii="Verdana" w:eastAsia="Calibri" w:hAnsi="Verdana" w:cs="Arial"/>
          <w:b/>
          <w:bCs/>
          <w:lang w:val="es-ES_tradnl" w:eastAsia="es-ES_tradnl"/>
        </w:rPr>
      </w:pPr>
    </w:p>
    <w:p w14:paraId="40764CBF" w14:textId="77777777" w:rsidR="00871B59" w:rsidRPr="00E7745C" w:rsidRDefault="00871B59" w:rsidP="00871B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7745C" w:rsidRPr="00E7745C" w14:paraId="6AC1791A" w14:textId="77777777" w:rsidTr="002607A7">
        <w:trPr>
          <w:trHeight w:val="884"/>
        </w:trPr>
        <w:tc>
          <w:tcPr>
            <w:tcW w:w="2689" w:type="dxa"/>
          </w:tcPr>
          <w:p w14:paraId="156B1AEC" w14:textId="77777777" w:rsidR="00871B59" w:rsidRPr="00E7745C" w:rsidRDefault="00871B59" w:rsidP="002607A7">
            <w:pPr>
              <w:jc w:val="both"/>
              <w:rPr>
                <w:rFonts w:ascii="Verdana" w:eastAsia="Calibri" w:hAnsi="Verdana" w:cs="Arial"/>
                <w:b/>
                <w:bCs/>
                <w:lang w:val="es-ES_tradnl" w:eastAsia="es-ES_tradnl"/>
              </w:rPr>
            </w:pPr>
          </w:p>
        </w:tc>
        <w:tc>
          <w:tcPr>
            <w:tcW w:w="6100" w:type="dxa"/>
          </w:tcPr>
          <w:p w14:paraId="48F499EA" w14:textId="108F038A" w:rsidR="00871B59" w:rsidRPr="00E7745C" w:rsidRDefault="00871B59" w:rsidP="002607A7">
            <w:pPr>
              <w:jc w:val="both"/>
              <w:rPr>
                <w:rFonts w:ascii="Verdana" w:eastAsia="Calibri" w:hAnsi="Verdana" w:cs="Arial"/>
                <w:b/>
                <w:bCs/>
                <w:lang w:val="es-ES" w:eastAsia="es-ES"/>
              </w:rPr>
            </w:pPr>
            <w:r w:rsidRPr="00E7745C">
              <w:rPr>
                <w:rFonts w:ascii="Verdana" w:eastAsia="Calibri" w:hAnsi="Verdana" w:cs="Arial"/>
                <w:b/>
                <w:bCs/>
                <w:lang w:val="es-ES" w:eastAsia="es-ES"/>
              </w:rPr>
              <w:t>Concepto C-</w:t>
            </w:r>
            <w:r w:rsidR="00605135">
              <w:rPr>
                <w:rFonts w:ascii="Verdana" w:eastAsia="Calibri" w:hAnsi="Verdana" w:cs="Arial"/>
                <w:b/>
                <w:bCs/>
                <w:lang w:val="es-ES" w:eastAsia="es-ES"/>
              </w:rPr>
              <w:t>275</w:t>
            </w:r>
            <w:r w:rsidRPr="00E7745C">
              <w:rPr>
                <w:rFonts w:ascii="Verdana" w:eastAsia="Calibri" w:hAnsi="Verdana" w:cs="Arial"/>
                <w:b/>
                <w:bCs/>
                <w:lang w:val="es-ES" w:eastAsia="es-ES"/>
              </w:rPr>
              <w:t xml:space="preserve"> de 202</w:t>
            </w:r>
            <w:r w:rsidR="00605135">
              <w:rPr>
                <w:rFonts w:ascii="Verdana" w:eastAsia="Calibri" w:hAnsi="Verdana" w:cs="Arial"/>
                <w:b/>
                <w:bCs/>
                <w:lang w:val="es-ES" w:eastAsia="es-ES"/>
              </w:rPr>
              <w:t>5</w:t>
            </w:r>
          </w:p>
        </w:tc>
      </w:tr>
      <w:tr w:rsidR="00E7745C" w:rsidRPr="00E7745C" w14:paraId="0DD246A7" w14:textId="77777777" w:rsidTr="002607A7">
        <w:trPr>
          <w:trHeight w:val="884"/>
        </w:trPr>
        <w:tc>
          <w:tcPr>
            <w:tcW w:w="2689" w:type="dxa"/>
          </w:tcPr>
          <w:p w14:paraId="1B4FC525" w14:textId="77777777" w:rsidR="00871B59" w:rsidRPr="00E7745C" w:rsidRDefault="00871B59" w:rsidP="002607A7">
            <w:pPr>
              <w:jc w:val="both"/>
              <w:rPr>
                <w:rFonts w:ascii="Verdana" w:eastAsia="Calibri" w:hAnsi="Verdana" w:cs="Arial"/>
                <w:lang w:val="es-ES_tradnl" w:eastAsia="es-ES_tradnl"/>
              </w:rPr>
            </w:pPr>
            <w:r w:rsidRPr="00E7745C">
              <w:rPr>
                <w:rFonts w:ascii="Verdana" w:eastAsia="Calibri" w:hAnsi="Verdana" w:cs="Arial"/>
                <w:b/>
                <w:lang w:val="es-ES_tradnl" w:eastAsia="es-ES_tradnl"/>
              </w:rPr>
              <w:t>Temas:</w:t>
            </w:r>
            <w:r w:rsidRPr="00E7745C">
              <w:rPr>
                <w:rFonts w:ascii="Verdana" w:eastAsia="Calibri" w:hAnsi="Verdana" w:cs="Arial"/>
                <w:lang w:val="es-ES_tradnl" w:eastAsia="es-ES_tradnl"/>
              </w:rPr>
              <w:t xml:space="preserve">                   </w:t>
            </w:r>
          </w:p>
        </w:tc>
        <w:tc>
          <w:tcPr>
            <w:tcW w:w="6100" w:type="dxa"/>
          </w:tcPr>
          <w:p w14:paraId="7ADD1096" w14:textId="4B8198A2" w:rsidR="00871B59" w:rsidRPr="00E7745C" w:rsidRDefault="00FA4E40" w:rsidP="00FA4E40">
            <w:pPr>
              <w:spacing w:line="276" w:lineRule="auto"/>
              <w:jc w:val="both"/>
              <w:rPr>
                <w:rFonts w:ascii="Verdana" w:eastAsia="Calibri" w:hAnsi="Verdana" w:cs="Arial"/>
                <w:lang w:val="es-ES" w:eastAsia="es-ES"/>
              </w:rPr>
            </w:pPr>
            <w:r w:rsidRPr="00E7745C">
              <w:rPr>
                <w:rFonts w:ascii="Verdana" w:eastAsia="Calibri" w:hAnsi="Verdana" w:cs="Arial"/>
                <w:lang w:val="es-ES" w:eastAsia="es-ES"/>
              </w:rPr>
              <w:t>REQUISITO HABILITANTE DE EXPERIENCIA</w:t>
            </w:r>
            <w:r w:rsidR="00871B59" w:rsidRPr="00E7745C">
              <w:rPr>
                <w:rFonts w:ascii="Verdana" w:eastAsia="Calibri" w:hAnsi="Verdana" w:cs="Arial"/>
                <w:lang w:val="es-ES" w:eastAsia="es-ES"/>
              </w:rPr>
              <w:t xml:space="preserve"> – Fundamento Normativo –</w:t>
            </w:r>
            <w:r w:rsidRPr="00E7745C">
              <w:rPr>
                <w:rFonts w:ascii="Verdana" w:eastAsia="Calibri" w:hAnsi="Verdana" w:cs="Arial"/>
                <w:lang w:val="es-ES" w:eastAsia="es-ES"/>
              </w:rPr>
              <w:t xml:space="preserve"> </w:t>
            </w:r>
            <w:r w:rsidR="00BD4587" w:rsidRPr="00BD4587">
              <w:rPr>
                <w:rFonts w:ascii="Verdana" w:eastAsia="Calibri" w:hAnsi="Verdana" w:cs="Arial"/>
                <w:lang w:val="es-ES" w:eastAsia="es-ES"/>
              </w:rPr>
              <w:t xml:space="preserve">REQUISITO HABILITANTE DE EXPERIENCIA – </w:t>
            </w:r>
            <w:r w:rsidR="00605135">
              <w:rPr>
                <w:rFonts w:ascii="Verdana" w:eastAsia="Calibri" w:hAnsi="Verdana" w:cs="Arial"/>
                <w:lang w:val="es-ES" w:eastAsia="es-ES"/>
              </w:rPr>
              <w:t>A</w:t>
            </w:r>
            <w:r w:rsidR="00BD4587" w:rsidRPr="00BD4587">
              <w:rPr>
                <w:rFonts w:ascii="Verdana" w:eastAsia="Calibri" w:hAnsi="Verdana" w:cs="Arial"/>
                <w:lang w:val="es-ES" w:eastAsia="es-ES"/>
              </w:rPr>
              <w:t xml:space="preserve">creditación del </w:t>
            </w:r>
            <w:r w:rsidR="00605135">
              <w:rPr>
                <w:rFonts w:ascii="Verdana" w:eastAsia="Calibri" w:hAnsi="Verdana" w:cs="Arial"/>
                <w:lang w:val="es-ES" w:eastAsia="es-ES"/>
              </w:rPr>
              <w:t>V</w:t>
            </w:r>
            <w:r w:rsidR="00BD4587" w:rsidRPr="00BD4587">
              <w:rPr>
                <w:rFonts w:ascii="Verdana" w:eastAsia="Calibri" w:hAnsi="Verdana" w:cs="Arial"/>
                <w:lang w:val="es-ES" w:eastAsia="es-ES"/>
              </w:rPr>
              <w:t xml:space="preserve">alor de los </w:t>
            </w:r>
            <w:r w:rsidR="00605135">
              <w:rPr>
                <w:rFonts w:ascii="Verdana" w:eastAsia="Calibri" w:hAnsi="Verdana" w:cs="Arial"/>
                <w:lang w:val="es-ES" w:eastAsia="es-ES"/>
              </w:rPr>
              <w:t>C</w:t>
            </w:r>
            <w:r w:rsidR="00BD4587" w:rsidRPr="00BD4587">
              <w:rPr>
                <w:rFonts w:ascii="Verdana" w:eastAsia="Calibri" w:hAnsi="Verdana" w:cs="Arial"/>
                <w:lang w:val="es-ES" w:eastAsia="es-ES"/>
              </w:rPr>
              <w:t>ontratos</w:t>
            </w:r>
          </w:p>
        </w:tc>
      </w:tr>
      <w:tr w:rsidR="00871B59" w:rsidRPr="00E7745C" w14:paraId="0A874006" w14:textId="77777777" w:rsidTr="002607A7">
        <w:tc>
          <w:tcPr>
            <w:tcW w:w="2689" w:type="dxa"/>
          </w:tcPr>
          <w:p w14:paraId="56ED2765" w14:textId="77777777" w:rsidR="00871B59" w:rsidRPr="00E7745C" w:rsidRDefault="00871B59" w:rsidP="002607A7">
            <w:pPr>
              <w:jc w:val="both"/>
              <w:rPr>
                <w:rFonts w:ascii="Verdana" w:eastAsia="Calibri" w:hAnsi="Verdana" w:cs="Arial"/>
                <w:b/>
                <w:lang w:val="es-ES_tradnl" w:eastAsia="es-ES_tradnl"/>
              </w:rPr>
            </w:pPr>
            <w:r w:rsidRPr="00E7745C">
              <w:rPr>
                <w:rFonts w:ascii="Verdana" w:eastAsia="Calibri" w:hAnsi="Verdana" w:cs="Arial"/>
                <w:b/>
                <w:lang w:val="es-ES_tradnl" w:eastAsia="es-ES_tradnl"/>
              </w:rPr>
              <w:t>Radicación:</w:t>
            </w:r>
            <w:r w:rsidRPr="00E7745C">
              <w:rPr>
                <w:rFonts w:ascii="Verdana" w:eastAsia="Calibri" w:hAnsi="Verdana" w:cs="Arial"/>
                <w:lang w:val="es-ES_tradnl" w:eastAsia="es-ES_tradnl"/>
              </w:rPr>
              <w:t xml:space="preserve">               </w:t>
            </w:r>
          </w:p>
        </w:tc>
        <w:tc>
          <w:tcPr>
            <w:tcW w:w="6100" w:type="dxa"/>
          </w:tcPr>
          <w:p w14:paraId="630D2668" w14:textId="11B8C89C" w:rsidR="00871B59" w:rsidRPr="00E7745C" w:rsidRDefault="00871B59" w:rsidP="002607A7">
            <w:pPr>
              <w:jc w:val="both"/>
              <w:rPr>
                <w:rFonts w:ascii="Verdana" w:eastAsia="Calibri" w:hAnsi="Verdana" w:cs="Arial"/>
                <w:lang w:val="es-ES_tradnl" w:eastAsia="es-ES_tradnl"/>
              </w:rPr>
            </w:pPr>
            <w:r w:rsidRPr="00E7745C">
              <w:rPr>
                <w:rFonts w:ascii="Verdana" w:eastAsia="Calibri" w:hAnsi="Verdana" w:cs="Arial"/>
                <w:lang w:val="es-ES_tradnl" w:eastAsia="es-ES_tradnl"/>
              </w:rPr>
              <w:t>Respuesta a consulta con radicado No. P202</w:t>
            </w:r>
            <w:r w:rsidR="00FA4E40" w:rsidRPr="00E7745C">
              <w:rPr>
                <w:rFonts w:ascii="Verdana" w:eastAsia="Calibri" w:hAnsi="Verdana" w:cs="Arial"/>
                <w:lang w:val="es-ES_tradnl" w:eastAsia="es-ES_tradnl"/>
              </w:rPr>
              <w:t>50305002141</w:t>
            </w:r>
          </w:p>
        </w:tc>
      </w:tr>
    </w:tbl>
    <w:p w14:paraId="01AFCA4D" w14:textId="77777777" w:rsidR="00871B59" w:rsidRPr="00E7745C"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E7745C" w:rsidRDefault="00871B59" w:rsidP="00871B59">
      <w:pPr>
        <w:spacing w:after="0" w:line="240" w:lineRule="auto"/>
        <w:jc w:val="both"/>
        <w:rPr>
          <w:rFonts w:ascii="Verdana" w:eastAsia="Calibri" w:hAnsi="Verdana" w:cs="Arial"/>
          <w:lang w:val="es-ES_tradnl" w:eastAsia="es-ES_tradnl"/>
        </w:rPr>
      </w:pPr>
    </w:p>
    <w:p w14:paraId="5A8CAE32" w14:textId="78876883" w:rsidR="00871B59" w:rsidRPr="00E7745C" w:rsidRDefault="00871B59" w:rsidP="00871B59">
      <w:pPr>
        <w:spacing w:after="0" w:line="276" w:lineRule="auto"/>
        <w:jc w:val="both"/>
        <w:rPr>
          <w:rFonts w:ascii="Verdana" w:eastAsia="Calibri" w:hAnsi="Verdana" w:cs="Arial"/>
          <w:lang w:val="es-ES" w:eastAsia="es-ES"/>
        </w:rPr>
      </w:pPr>
      <w:r w:rsidRPr="00E7745C">
        <w:rPr>
          <w:rFonts w:ascii="Verdana" w:eastAsia="Calibri" w:hAnsi="Verdana" w:cs="Arial"/>
          <w:lang w:val="es-ES" w:eastAsia="es-ES"/>
        </w:rPr>
        <w:t>Estimado señor</w:t>
      </w:r>
      <w:r w:rsidR="00FA4E40" w:rsidRPr="00E7745C">
        <w:rPr>
          <w:rFonts w:ascii="Verdana" w:eastAsia="Calibri" w:hAnsi="Verdana" w:cs="Arial"/>
          <w:lang w:val="es-ES" w:eastAsia="es-ES"/>
        </w:rPr>
        <w:t xml:space="preserve"> Duque</w:t>
      </w:r>
      <w:r w:rsidRPr="00E7745C">
        <w:rPr>
          <w:rFonts w:ascii="Verdana" w:eastAsia="Calibri" w:hAnsi="Verdana" w:cs="Arial"/>
          <w:lang w:val="es-ES" w:eastAsia="es-ES"/>
        </w:rPr>
        <w:t xml:space="preserve">: </w:t>
      </w:r>
    </w:p>
    <w:p w14:paraId="62039951" w14:textId="77777777" w:rsidR="00871B59" w:rsidRPr="00E7745C" w:rsidRDefault="00871B59" w:rsidP="00871B59">
      <w:pPr>
        <w:tabs>
          <w:tab w:val="left" w:pos="3768"/>
        </w:tabs>
        <w:spacing w:after="0" w:line="276" w:lineRule="auto"/>
        <w:jc w:val="both"/>
        <w:rPr>
          <w:rFonts w:ascii="Verdana" w:eastAsia="Calibri" w:hAnsi="Verdana" w:cs="Arial"/>
          <w:lang w:val="es-ES" w:eastAsia="es-ES"/>
        </w:rPr>
      </w:pPr>
      <w:r w:rsidRPr="00E7745C">
        <w:rPr>
          <w:rFonts w:ascii="Verdana" w:eastAsia="Calibri" w:hAnsi="Verdana" w:cs="Arial"/>
          <w:lang w:val="es-ES" w:eastAsia="es-ES"/>
        </w:rPr>
        <w:tab/>
      </w:r>
    </w:p>
    <w:p w14:paraId="3F1D9A82" w14:textId="65C10C66" w:rsidR="00871B59" w:rsidRPr="00E7745C" w:rsidRDefault="00871B59" w:rsidP="00871B59">
      <w:pPr>
        <w:spacing w:after="0" w:line="276" w:lineRule="auto"/>
        <w:jc w:val="both"/>
        <w:rPr>
          <w:rFonts w:ascii="Verdana" w:eastAsia="Calibri" w:hAnsi="Verdana" w:cs="Arial"/>
          <w:lang w:val="es-ES" w:eastAsia="es-ES"/>
        </w:rPr>
      </w:pPr>
      <w:r w:rsidRPr="00E7745C">
        <w:rPr>
          <w:rFonts w:ascii="Verdana" w:eastAsia="Calibri" w:hAnsi="Verdana" w:cs="Arial"/>
          <w:lang w:val="es-ES" w:eastAsia="es-ES"/>
        </w:rPr>
        <w:t>En ejercicio de la competencia otorgada por los artículos 3, numeral 5º, y 11, numeral 8º, del Decreto Ley 4170 de 2011,</w:t>
      </w:r>
      <w:r w:rsidRPr="00E7745C">
        <w:rPr>
          <w:rFonts w:ascii="Verdana" w:eastAsia="Arial MT" w:hAnsi="Verdana" w:cs="Arial MT"/>
          <w:lang w:val="es-ES" w:eastAsia="es-ES"/>
        </w:rPr>
        <w:t xml:space="preserve"> </w:t>
      </w:r>
      <w:r w:rsidRPr="00E7745C">
        <w:rPr>
          <w:rFonts w:ascii="Verdana" w:hAnsi="Verdana" w:cs="Arial"/>
        </w:rPr>
        <w:t xml:space="preserve">así como lo establecido en el artículo 4 de la Resolución 1707 de 2018 expedida por esta Entidad, </w:t>
      </w:r>
      <w:r w:rsidRPr="00E7745C">
        <w:rPr>
          <w:rFonts w:ascii="Verdana" w:eastAsia="Calibri" w:hAnsi="Verdana" w:cs="Arial"/>
          <w:lang w:val="es-ES" w:eastAsia="es-ES"/>
        </w:rPr>
        <w:t xml:space="preserve">la Agencia Nacional de Contratación Pública – Colombia Compra Eficiente– responde su solicitud de consulta de fecha </w:t>
      </w:r>
      <w:r w:rsidR="009E7AF9" w:rsidRPr="00E7745C">
        <w:rPr>
          <w:rFonts w:ascii="Verdana" w:eastAsia="Calibri" w:hAnsi="Verdana" w:cs="Arial"/>
          <w:lang w:val="es-ES" w:eastAsia="es-ES"/>
        </w:rPr>
        <w:t>05</w:t>
      </w:r>
      <w:r w:rsidRPr="00E7745C">
        <w:rPr>
          <w:rFonts w:ascii="Verdana" w:eastAsia="Calibri" w:hAnsi="Verdana" w:cs="Arial"/>
          <w:lang w:val="es-ES" w:eastAsia="es-ES"/>
        </w:rPr>
        <w:t xml:space="preserve"> de </w:t>
      </w:r>
      <w:r w:rsidR="009E7AF9" w:rsidRPr="00E7745C">
        <w:rPr>
          <w:rFonts w:ascii="Verdana" w:eastAsia="Calibri" w:hAnsi="Verdana" w:cs="Arial"/>
          <w:lang w:val="es-ES" w:eastAsia="es-ES"/>
        </w:rPr>
        <w:t>marzo</w:t>
      </w:r>
      <w:r w:rsidRPr="00E7745C">
        <w:rPr>
          <w:rFonts w:ascii="Verdana" w:eastAsia="Calibri" w:hAnsi="Verdana" w:cs="Arial"/>
          <w:lang w:val="es-ES" w:eastAsia="es-ES"/>
        </w:rPr>
        <w:t xml:space="preserve"> de 20</w:t>
      </w:r>
      <w:r w:rsidR="009E7AF9" w:rsidRPr="00E7745C">
        <w:rPr>
          <w:rFonts w:ascii="Verdana" w:eastAsia="Calibri" w:hAnsi="Verdana" w:cs="Arial"/>
          <w:lang w:val="es-ES" w:eastAsia="es-ES"/>
        </w:rPr>
        <w:t>25</w:t>
      </w:r>
      <w:r w:rsidRPr="00E7745C">
        <w:rPr>
          <w:rFonts w:ascii="Verdana" w:eastAsia="Calibri" w:hAnsi="Verdana" w:cs="Arial"/>
          <w:lang w:val="es-ES" w:eastAsia="es-ES"/>
        </w:rPr>
        <w:t xml:space="preserve">, en la cual manifiesta lo siguiente: </w:t>
      </w:r>
    </w:p>
    <w:p w14:paraId="6DBD3E26" w14:textId="77777777" w:rsidR="00871B59" w:rsidRPr="00E7745C"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18633917" w:rsidR="00871B59" w:rsidRPr="00E7745C" w:rsidRDefault="00871B59" w:rsidP="00871B59">
      <w:pPr>
        <w:spacing w:after="0" w:line="240" w:lineRule="auto"/>
        <w:ind w:left="709" w:right="709"/>
        <w:jc w:val="both"/>
        <w:rPr>
          <w:rFonts w:ascii="Verdana" w:eastAsia="Century Gothic" w:hAnsi="Verdana" w:cs="Century Gothic"/>
          <w:sz w:val="20"/>
          <w:szCs w:val="20"/>
          <w:lang w:val="es-ES"/>
        </w:rPr>
      </w:pPr>
      <w:bookmarkStart w:id="0" w:name="_Hlk95313578"/>
      <w:r w:rsidRPr="00E7745C">
        <w:rPr>
          <w:rFonts w:ascii="Verdana" w:eastAsia="Century Gothic" w:hAnsi="Verdana" w:cs="Century Gothic"/>
          <w:sz w:val="20"/>
          <w:szCs w:val="20"/>
          <w:lang w:val="es-ES"/>
        </w:rPr>
        <w:t>“</w:t>
      </w:r>
      <w:r w:rsidR="009E7AF9" w:rsidRPr="00E7745C">
        <w:rPr>
          <w:rFonts w:ascii="Verdana" w:eastAsia="Century Gothic" w:hAnsi="Verdana" w:cs="Century Gothic"/>
          <w:sz w:val="20"/>
          <w:szCs w:val="20"/>
        </w:rPr>
        <w:t>Cuando una empresa celebra una alianza con una entidad que ofrece un portafolio de servicios de educación al público (cursos, seminarios o diplomados), y esta alianza no tiene un valor económico ¿Cómo podría esa empresa acreditar su experiencia como oferente de este tipo de servicios en el SECOP? ¿Se puede a través de una certificación que no contará con valor asignado? Es válida la certificación que no cuenta con valores asignados por la prestación de un servicio que se puede considerar "gratuito"</w:t>
      </w:r>
      <w:r w:rsidRPr="00E7745C">
        <w:rPr>
          <w:rStyle w:val="normaltextrun"/>
          <w:rFonts w:ascii="Verdana" w:hAnsi="Verdana" w:cs="Arial"/>
          <w:sz w:val="20"/>
          <w:szCs w:val="20"/>
          <w:shd w:val="clear" w:color="auto" w:fill="FFFFFF"/>
          <w:lang w:val="es-ES"/>
        </w:rPr>
        <w:t>[…]</w:t>
      </w:r>
      <w:r w:rsidRPr="00E7745C">
        <w:rPr>
          <w:rFonts w:ascii="Verdana" w:eastAsia="Century Gothic" w:hAnsi="Verdana" w:cs="Century Gothic"/>
          <w:sz w:val="20"/>
          <w:szCs w:val="20"/>
          <w:lang w:val="es-ES"/>
        </w:rPr>
        <w:t>”</w:t>
      </w:r>
      <w:bookmarkEnd w:id="0"/>
      <w:r w:rsidRPr="00E7745C">
        <w:rPr>
          <w:rFonts w:ascii="Verdana" w:eastAsia="Century Gothic" w:hAnsi="Verdana" w:cs="Century Gothic"/>
          <w:sz w:val="20"/>
          <w:szCs w:val="20"/>
          <w:lang w:val="es-ES"/>
        </w:rPr>
        <w:t>.</w:t>
      </w:r>
    </w:p>
    <w:p w14:paraId="54DCAD4E" w14:textId="77777777" w:rsidR="00871B59" w:rsidRPr="00E7745C"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Pr="00E7745C" w:rsidRDefault="00871B59" w:rsidP="00871B59">
      <w:pPr>
        <w:spacing w:after="120" w:line="276" w:lineRule="auto"/>
        <w:ind w:firstLine="709"/>
        <w:jc w:val="both"/>
        <w:rPr>
          <w:rFonts w:ascii="Verdana" w:eastAsia="Calibri" w:hAnsi="Verdana" w:cs="Arial"/>
          <w:szCs w:val="24"/>
          <w:lang w:val="es-ES_tradnl" w:eastAsia="es-ES_tradnl"/>
        </w:rPr>
      </w:pPr>
      <w:r w:rsidRPr="00E7745C">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7745C">
        <w:rPr>
          <w:rFonts w:ascii="Verdana" w:eastAsia="Calibri" w:hAnsi="Verdana" w:cs="Arial"/>
          <w:szCs w:val="24"/>
          <w:lang w:val="es-ES_tradnl" w:eastAsia="es-ES_tradnl"/>
        </w:rPr>
        <w:tab/>
      </w:r>
    </w:p>
    <w:p w14:paraId="3B95778F" w14:textId="722F8768" w:rsidR="00871B59" w:rsidRPr="00E7745C" w:rsidRDefault="00871B59" w:rsidP="00871B59">
      <w:pPr>
        <w:spacing w:after="0" w:line="276" w:lineRule="auto"/>
        <w:ind w:firstLine="709"/>
        <w:jc w:val="both"/>
        <w:rPr>
          <w:rFonts w:ascii="Verdana" w:eastAsia="Calibri" w:hAnsi="Verdana" w:cs="Arial"/>
          <w:lang w:val="es-ES" w:eastAsia="es-ES"/>
        </w:rPr>
      </w:pPr>
      <w:r w:rsidRPr="00E7745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0187214" w14:textId="77777777" w:rsidR="00871B59" w:rsidRPr="00E7745C" w:rsidRDefault="00871B59" w:rsidP="00871B59">
      <w:pPr>
        <w:spacing w:after="0" w:line="276" w:lineRule="auto"/>
        <w:ind w:firstLine="709"/>
        <w:jc w:val="both"/>
        <w:rPr>
          <w:rFonts w:ascii="Verdana" w:eastAsia="Calibri" w:hAnsi="Verdana" w:cs="Arial"/>
          <w:lang w:val="es-ES" w:eastAsia="es-ES"/>
        </w:rPr>
      </w:pPr>
    </w:p>
    <w:p w14:paraId="74DD4DE4" w14:textId="77777777" w:rsidR="00871B59" w:rsidRPr="00E7745C"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7745C">
        <w:rPr>
          <w:rFonts w:ascii="Verdana" w:eastAsia="Century Gothic" w:hAnsi="Verdana" w:cs="Century Gothic"/>
          <w:b/>
          <w:bCs/>
          <w:lang w:val="es-ES"/>
        </w:rPr>
        <w:t>Problema planteado:</w:t>
      </w:r>
    </w:p>
    <w:p w14:paraId="690221EE" w14:textId="77777777" w:rsidR="00871B59" w:rsidRPr="00E7745C" w:rsidRDefault="00871B59" w:rsidP="00871B59">
      <w:pPr>
        <w:tabs>
          <w:tab w:val="left" w:pos="426"/>
        </w:tabs>
        <w:spacing w:after="0" w:line="276" w:lineRule="auto"/>
        <w:jc w:val="both"/>
        <w:rPr>
          <w:rFonts w:ascii="Verdana" w:eastAsia="Century Gothic" w:hAnsi="Verdana" w:cs="Century Gothic"/>
          <w:lang w:val="es-ES"/>
        </w:rPr>
      </w:pPr>
    </w:p>
    <w:p w14:paraId="11DC9C47" w14:textId="69717BAF" w:rsidR="00871B59" w:rsidRPr="00E7745C" w:rsidRDefault="00871B59" w:rsidP="00871B59">
      <w:pPr>
        <w:spacing w:after="0" w:line="276" w:lineRule="auto"/>
        <w:jc w:val="both"/>
        <w:rPr>
          <w:rFonts w:ascii="Verdana" w:eastAsia="Century Gothic" w:hAnsi="Verdana" w:cs="Century Gothic"/>
        </w:rPr>
      </w:pPr>
      <w:r w:rsidRPr="00E7745C">
        <w:rPr>
          <w:rFonts w:ascii="Verdana" w:eastAsia="Century Gothic" w:hAnsi="Verdana" w:cs="Century Gothic"/>
        </w:rPr>
        <w:t>De acuerdo con el contenido de su solicitud, esta Agencia resolverá el siguiente</w:t>
      </w:r>
      <w:r w:rsidR="000817F6" w:rsidRPr="00E7745C">
        <w:rPr>
          <w:rFonts w:ascii="Verdana" w:eastAsia="Century Gothic" w:hAnsi="Verdana" w:cs="Century Gothic"/>
        </w:rPr>
        <w:t xml:space="preserve"> </w:t>
      </w:r>
      <w:r w:rsidRPr="00E7745C">
        <w:rPr>
          <w:rFonts w:ascii="Verdana" w:eastAsia="Century Gothic" w:hAnsi="Verdana" w:cs="Century Gothic"/>
        </w:rPr>
        <w:t>problema jurídico: ¿</w:t>
      </w:r>
      <w:r w:rsidR="000817F6" w:rsidRPr="00E7745C">
        <w:rPr>
          <w:rFonts w:ascii="Verdana" w:eastAsia="Century Gothic" w:hAnsi="Verdana" w:cs="Century Gothic"/>
        </w:rPr>
        <w:t>Puede una empresa acreditar su experiencia en la prestación de servicios educativo</w:t>
      </w:r>
      <w:r w:rsidR="00BD4587">
        <w:rPr>
          <w:rFonts w:ascii="Verdana" w:eastAsia="Century Gothic" w:hAnsi="Verdana" w:cs="Century Gothic"/>
        </w:rPr>
        <w:t>s</w:t>
      </w:r>
      <w:r w:rsidR="000817F6" w:rsidRPr="00E7745C">
        <w:rPr>
          <w:rFonts w:ascii="Verdana" w:eastAsia="Century Gothic" w:hAnsi="Verdana" w:cs="Century Gothic"/>
        </w:rPr>
        <w:t xml:space="preserve"> mediante una certificación expedida por una entidad con la que celebró una alianza sin valor económico, y cuya prestación del servicio fue gratuita? ¿Es válida esta certificación para efectos de demostrar experiencia en procesos de contratación pública?</w:t>
      </w:r>
      <w:r w:rsidRPr="00E7745C">
        <w:rPr>
          <w:rFonts w:ascii="Verdana" w:eastAsia="Century Gothic" w:hAnsi="Verdana" w:cs="Century Gothic"/>
        </w:rPr>
        <w:t xml:space="preserve"> </w:t>
      </w:r>
    </w:p>
    <w:p w14:paraId="57640A16" w14:textId="77777777" w:rsidR="00871B59" w:rsidRPr="00E7745C" w:rsidRDefault="00871B59" w:rsidP="00871B59">
      <w:pPr>
        <w:spacing w:after="0" w:line="276" w:lineRule="auto"/>
        <w:jc w:val="both"/>
        <w:rPr>
          <w:rFonts w:ascii="Verdana" w:eastAsia="Calibri" w:hAnsi="Verdana" w:cs="Arial"/>
          <w:lang w:val="es-ES"/>
        </w:rPr>
      </w:pPr>
    </w:p>
    <w:p w14:paraId="33E3D3F8" w14:textId="77777777" w:rsidR="00871B59" w:rsidRPr="00E7745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7745C">
        <w:rPr>
          <w:rFonts w:ascii="Verdana" w:eastAsia="Century Gothic" w:hAnsi="Verdana" w:cs="Century Gothic"/>
          <w:b/>
          <w:bCs/>
          <w:lang w:val="es-ES"/>
        </w:rPr>
        <w:t>Respuesta:</w:t>
      </w:r>
    </w:p>
    <w:p w14:paraId="4647B31A" w14:textId="77777777" w:rsidR="00871B59" w:rsidRPr="00E7745C"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7745C" w:rsidRPr="00E7745C" w14:paraId="14984B9D" w14:textId="77777777" w:rsidTr="002607A7">
        <w:tc>
          <w:tcPr>
            <w:tcW w:w="8828" w:type="dxa"/>
            <w:shd w:val="clear" w:color="auto" w:fill="auto"/>
          </w:tcPr>
          <w:p w14:paraId="564026D3" w14:textId="77777777" w:rsidR="00E04FB1" w:rsidRPr="00E7745C" w:rsidRDefault="00E04FB1" w:rsidP="00E04FB1">
            <w:pPr>
              <w:spacing w:line="276" w:lineRule="auto"/>
              <w:jc w:val="both"/>
              <w:rPr>
                <w:rFonts w:ascii="Verdana" w:eastAsia="Calibri" w:hAnsi="Verdana" w:cs="Arial"/>
              </w:rPr>
            </w:pPr>
            <w:r w:rsidRPr="00E04FB1">
              <w:rPr>
                <w:rFonts w:ascii="Verdana" w:eastAsia="Calibri" w:hAnsi="Verdana" w:cs="Arial"/>
              </w:rPr>
              <w:t xml:space="preserve">El requisito habilitante de experiencia en los procesos de selección de contratación estatal está regulado en el artículo 2.2.1.1.1.7 del Decreto 1082 de 2015, el cual establece que la experiencia debe ser acreditada mediante contratos que especifiquen su cuantía, permitiendo su valoración en salarios </w:t>
            </w:r>
            <w:r w:rsidRPr="00E04FB1">
              <w:rPr>
                <w:rFonts w:ascii="Verdana" w:eastAsia="Calibri" w:hAnsi="Verdana" w:cs="Arial"/>
              </w:rPr>
              <w:lastRenderedPageBreak/>
              <w:t>mínimos legales mensuales vigentes (SMLMV), conforme a lo exigido en el Registro Único de Proponentes (RUP).</w:t>
            </w:r>
          </w:p>
          <w:p w14:paraId="6CFF3972" w14:textId="77777777" w:rsidR="00E04FB1" w:rsidRPr="00E04FB1" w:rsidRDefault="00E04FB1" w:rsidP="00E04FB1">
            <w:pPr>
              <w:spacing w:line="276" w:lineRule="auto"/>
              <w:jc w:val="both"/>
              <w:rPr>
                <w:rFonts w:ascii="Verdana" w:eastAsia="Calibri" w:hAnsi="Verdana" w:cs="Arial"/>
              </w:rPr>
            </w:pPr>
          </w:p>
          <w:p w14:paraId="761E5194" w14:textId="4C903880" w:rsidR="00E04FB1" w:rsidRPr="00E7745C" w:rsidRDefault="00E04FB1" w:rsidP="00E04FB1">
            <w:pPr>
              <w:spacing w:line="276" w:lineRule="auto"/>
              <w:jc w:val="both"/>
              <w:rPr>
                <w:rFonts w:ascii="Verdana" w:eastAsia="Calibri" w:hAnsi="Verdana" w:cs="Arial"/>
              </w:rPr>
            </w:pPr>
            <w:r w:rsidRPr="00E04FB1">
              <w:rPr>
                <w:rFonts w:ascii="Verdana" w:eastAsia="Calibri" w:hAnsi="Verdana" w:cs="Arial"/>
              </w:rPr>
              <w:t xml:space="preserve">No obstante, en los procesos en los que no sea exigible el RUP, la entidad contratante tiene la potestad de definir los criterios para acreditar la experiencia de los oferentes, dentro del marco de la autonomía y dirección del proceso de contratación. En estos casos, la entidad deberá establecer en </w:t>
            </w:r>
            <w:r w:rsidR="00BD4587">
              <w:rPr>
                <w:rFonts w:ascii="Verdana" w:eastAsia="Calibri" w:hAnsi="Verdana" w:cs="Arial"/>
              </w:rPr>
              <w:t>sus</w:t>
            </w:r>
            <w:r w:rsidRPr="00E04FB1">
              <w:rPr>
                <w:rFonts w:ascii="Verdana" w:eastAsia="Calibri" w:hAnsi="Verdana" w:cs="Arial"/>
              </w:rPr>
              <w:t xml:space="preserve"> pliegos de condiciones o </w:t>
            </w:r>
            <w:r w:rsidR="00BD4587">
              <w:rPr>
                <w:rFonts w:ascii="Verdana" w:eastAsia="Calibri" w:hAnsi="Verdana" w:cs="Arial"/>
              </w:rPr>
              <w:t xml:space="preserve">en su </w:t>
            </w:r>
            <w:r w:rsidRPr="00E04FB1">
              <w:rPr>
                <w:rFonts w:ascii="Verdana" w:eastAsia="Calibri" w:hAnsi="Verdana" w:cs="Arial"/>
              </w:rPr>
              <w:t>invitación los documentos o instrumentos que serán válidos para acreditar la experiencia, asegurando que estos sean adecuados y proporcionales al objeto del contrato.</w:t>
            </w:r>
          </w:p>
          <w:p w14:paraId="6FB53A40" w14:textId="77777777" w:rsidR="00E04FB1" w:rsidRPr="00E04FB1" w:rsidRDefault="00E04FB1" w:rsidP="00E04FB1">
            <w:pPr>
              <w:spacing w:line="276" w:lineRule="auto"/>
              <w:jc w:val="both"/>
              <w:rPr>
                <w:rFonts w:ascii="Verdana" w:eastAsia="Calibri" w:hAnsi="Verdana" w:cs="Arial"/>
              </w:rPr>
            </w:pPr>
          </w:p>
          <w:p w14:paraId="47AEB666" w14:textId="16A02E59" w:rsidR="00871B59" w:rsidRPr="00E7745C" w:rsidRDefault="00E04FB1" w:rsidP="00E04FB1">
            <w:pPr>
              <w:spacing w:line="276" w:lineRule="auto"/>
              <w:jc w:val="both"/>
              <w:rPr>
                <w:rFonts w:ascii="Verdana" w:eastAsia="Calibri" w:hAnsi="Verdana" w:cs="Arial"/>
              </w:rPr>
            </w:pPr>
            <w:r w:rsidRPr="00E04FB1">
              <w:rPr>
                <w:rFonts w:ascii="Verdana" w:eastAsia="Calibri" w:hAnsi="Verdana" w:cs="Arial"/>
              </w:rPr>
              <w:t xml:space="preserve">En consecuencia, si un oferente cuenta con experiencia derivada de la prestación de servicios gratuitos o sin contraprestación económica, su validez dependerá de lo que disponga la entidad contratante en el respectivo proceso. </w:t>
            </w:r>
          </w:p>
        </w:tc>
      </w:tr>
    </w:tbl>
    <w:p w14:paraId="3199705F" w14:textId="77777777" w:rsidR="00871B59" w:rsidRPr="00E7745C"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E7745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7745C">
        <w:rPr>
          <w:rFonts w:ascii="Verdana" w:eastAsia="Century Gothic" w:hAnsi="Verdana" w:cs="Century Gothic"/>
          <w:b/>
          <w:bCs/>
          <w:lang w:val="es-ES"/>
        </w:rPr>
        <w:t>Razones de la respuesta:</w:t>
      </w:r>
    </w:p>
    <w:p w14:paraId="40393512" w14:textId="77777777" w:rsidR="00871B59" w:rsidRPr="00E7745C" w:rsidRDefault="00871B59" w:rsidP="00871B59">
      <w:pPr>
        <w:spacing w:after="0" w:line="276" w:lineRule="auto"/>
        <w:jc w:val="both"/>
        <w:rPr>
          <w:rFonts w:ascii="Verdana" w:eastAsia="Calibri" w:hAnsi="Verdana" w:cs="Arial"/>
          <w:lang w:val="es-ES"/>
        </w:rPr>
      </w:pPr>
    </w:p>
    <w:p w14:paraId="6DB5BA6B" w14:textId="77777777" w:rsidR="00871B59" w:rsidRPr="00E7745C" w:rsidRDefault="00871B59" w:rsidP="00871B59">
      <w:pPr>
        <w:spacing w:after="0" w:line="276" w:lineRule="auto"/>
        <w:jc w:val="both"/>
        <w:rPr>
          <w:rFonts w:ascii="Verdana" w:eastAsia="Calibri" w:hAnsi="Verdana" w:cs="Arial"/>
          <w:lang w:val="es-ES"/>
        </w:rPr>
      </w:pPr>
      <w:r w:rsidRPr="00E7745C">
        <w:rPr>
          <w:rFonts w:ascii="Verdana" w:eastAsia="Calibri" w:hAnsi="Verdana" w:cs="Arial"/>
          <w:lang w:val="es-ES"/>
        </w:rPr>
        <w:t xml:space="preserve">Lo anterior se sustenta en las siguientes consideraciones: </w:t>
      </w:r>
    </w:p>
    <w:p w14:paraId="38908B24" w14:textId="77777777" w:rsidR="00E04FB1" w:rsidRPr="00E7745C" w:rsidRDefault="00E04FB1" w:rsidP="00871B59">
      <w:pPr>
        <w:spacing w:after="0" w:line="276" w:lineRule="auto"/>
        <w:jc w:val="both"/>
        <w:rPr>
          <w:rFonts w:ascii="Verdana" w:eastAsia="Calibri" w:hAnsi="Verdana" w:cs="Arial"/>
          <w:lang w:val="es-ES"/>
        </w:rPr>
      </w:pPr>
    </w:p>
    <w:p w14:paraId="015F87AE" w14:textId="77777777" w:rsidR="00E04FB1" w:rsidRPr="00E7745C" w:rsidRDefault="00E04FB1" w:rsidP="00E04FB1">
      <w:pPr>
        <w:spacing w:after="0" w:line="276" w:lineRule="auto"/>
        <w:ind w:firstLine="709"/>
        <w:contextualSpacing/>
        <w:jc w:val="both"/>
        <w:rPr>
          <w:rFonts w:ascii="Verdana" w:hAnsi="Verdana" w:cs="Arial"/>
          <w:lang w:val="es-ES"/>
        </w:rPr>
      </w:pPr>
      <w:r w:rsidRPr="00E7745C">
        <w:rPr>
          <w:rFonts w:ascii="Verdana" w:hAnsi="Verdana" w:cs="Arial"/>
          <w:lang w:val="es-ES"/>
        </w:rPr>
        <w:t xml:space="preserve">El artículo 5 de la Ley 1150 de 2007, establece que dentro de los procesos de contratación la escogencia del oferente se efectuará conforme al </w:t>
      </w:r>
      <w:r w:rsidRPr="00E7745C">
        <w:rPr>
          <w:rFonts w:ascii="Verdana" w:hAnsi="Verdana" w:cs="Arial"/>
        </w:rPr>
        <w:t xml:space="preserve">ofrecimiento más favorable a la entidad y a los fines que ella busca, sin tener en consideración factores de afecto o de interés y, en general, cualquier clase de motivación subjetiva. De tal manera que, se establecen unos </w:t>
      </w:r>
      <w:r w:rsidRPr="00E7745C">
        <w:rPr>
          <w:rFonts w:ascii="Verdana" w:hAnsi="Verdana" w:cs="Arial"/>
          <w:lang w:val="es-ES"/>
        </w:rPr>
        <w:t xml:space="preserve">criterios habilitantes para participar en un procedimiento contractual y que se establecerán en los pliegos de condiciones o el documento equivalente a este, los cuales deben fijarse de forma adecuada y proporcional.  </w:t>
      </w:r>
    </w:p>
    <w:p w14:paraId="48E4DAFA" w14:textId="77777777" w:rsidR="00E04FB1" w:rsidRPr="00E7745C" w:rsidRDefault="00E04FB1" w:rsidP="00E04FB1">
      <w:pPr>
        <w:spacing w:after="0" w:line="276" w:lineRule="auto"/>
        <w:ind w:firstLine="709"/>
        <w:contextualSpacing/>
        <w:jc w:val="both"/>
        <w:rPr>
          <w:rFonts w:ascii="Verdana" w:hAnsi="Verdana" w:cs="Arial"/>
          <w:lang w:val="es-ES"/>
        </w:rPr>
      </w:pPr>
    </w:p>
    <w:p w14:paraId="0EB18E94" w14:textId="77777777" w:rsidR="00E04FB1" w:rsidRPr="00E7745C" w:rsidRDefault="00E04FB1" w:rsidP="00E04FB1">
      <w:pPr>
        <w:spacing w:after="0" w:line="276" w:lineRule="auto"/>
        <w:ind w:firstLine="709"/>
        <w:contextualSpacing/>
        <w:jc w:val="both"/>
        <w:rPr>
          <w:rFonts w:ascii="Verdana" w:hAnsi="Verdana" w:cs="Arial"/>
          <w:lang w:val="es-ES"/>
        </w:rPr>
      </w:pPr>
      <w:r w:rsidRPr="00E7745C">
        <w:rPr>
          <w:rFonts w:ascii="Verdana" w:hAnsi="Verdana" w:cs="Arial"/>
          <w:lang w:val="es-ES"/>
        </w:rPr>
        <w:t xml:space="preserve">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w:t>
      </w:r>
    </w:p>
    <w:p w14:paraId="4CB775F8" w14:textId="77777777" w:rsidR="00E04FB1" w:rsidRPr="00E7745C" w:rsidRDefault="00E04FB1" w:rsidP="00E04FB1">
      <w:pPr>
        <w:spacing w:after="0" w:line="240" w:lineRule="auto"/>
        <w:ind w:firstLine="709"/>
        <w:contextualSpacing/>
        <w:jc w:val="both"/>
        <w:rPr>
          <w:rFonts w:ascii="Verdana" w:hAnsi="Verdana" w:cs="Arial"/>
          <w:lang w:val="es-ES"/>
        </w:rPr>
      </w:pPr>
    </w:p>
    <w:p w14:paraId="35357965" w14:textId="77777777" w:rsidR="00E04FB1" w:rsidRPr="00E7745C" w:rsidRDefault="00E04FB1" w:rsidP="00E04FB1">
      <w:pPr>
        <w:spacing w:after="0" w:line="276" w:lineRule="auto"/>
        <w:ind w:firstLine="709"/>
        <w:contextualSpacing/>
        <w:jc w:val="both"/>
        <w:rPr>
          <w:rFonts w:ascii="Verdana" w:eastAsia="Calibri" w:hAnsi="Verdana" w:cs="Arial"/>
          <w:lang w:val="es-ES" w:eastAsia="es-MX"/>
        </w:rPr>
      </w:pPr>
      <w:r w:rsidRPr="00E7745C">
        <w:rPr>
          <w:rFonts w:ascii="Verdana" w:eastAsia="Calibri" w:hAnsi="Verdana" w:cs="Arial"/>
          <w:lang w:val="es-ES" w:eastAsia="es-MX"/>
        </w:rPr>
        <w:lastRenderedPageBreak/>
        <w:t>Los requisitos habilitantes constituyen los requerimientos mínimos con los que deben cumplir los proponentes para participar en el procedimiento de selección, por tal razón éstos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5F7EEA69" w14:textId="77777777" w:rsidR="00E04FB1" w:rsidRPr="00E7745C" w:rsidRDefault="00E04FB1" w:rsidP="00E04FB1">
      <w:pPr>
        <w:spacing w:after="0" w:line="240" w:lineRule="auto"/>
        <w:ind w:firstLine="709"/>
        <w:contextualSpacing/>
        <w:jc w:val="both"/>
        <w:rPr>
          <w:rFonts w:ascii="Verdana" w:hAnsi="Verdana" w:cs="Arial"/>
          <w:lang w:val="es-ES"/>
        </w:rPr>
      </w:pPr>
    </w:p>
    <w:p w14:paraId="22F3AC5E" w14:textId="77777777" w:rsidR="00E04FB1" w:rsidRPr="00E7745C" w:rsidRDefault="00E04FB1" w:rsidP="00E04FB1">
      <w:pPr>
        <w:spacing w:after="120" w:line="276" w:lineRule="auto"/>
        <w:ind w:firstLine="708"/>
        <w:jc w:val="both"/>
        <w:rPr>
          <w:rFonts w:ascii="Verdana" w:eastAsia="Calibri" w:hAnsi="Verdana" w:cs="Arial"/>
          <w:lang w:val="es-ES" w:eastAsia="es-MX"/>
        </w:rPr>
      </w:pPr>
      <w:r w:rsidRPr="00E7745C">
        <w:rPr>
          <w:rFonts w:ascii="Verdana" w:hAnsi="Verdana"/>
        </w:rPr>
        <w:t>Ahora bien, 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w:t>
      </w:r>
      <w:r w:rsidRPr="00E7745C">
        <w:rPr>
          <w:rStyle w:val="Refdenotaalpie"/>
          <w:rFonts w:ascii="Verdana" w:eastAsia="Calibri" w:hAnsi="Verdana"/>
          <w:lang w:val="es-ES"/>
        </w:rPr>
        <w:footnoteReference w:id="2"/>
      </w:r>
      <w:r w:rsidRPr="00E7745C">
        <w:rPr>
          <w:rFonts w:ascii="Verdana" w:hAnsi="Verdana"/>
        </w:rPr>
        <w:t xml:space="preserve">”. En dicho registro constará la información relacionada previamente con la experiencia, capacidad jurídica, financiera y de organización del proponente y su clasificación la cual ha tenido que ser acreditada con certificaciones y soportes ante las Cámaras de Comercio para que se surta su inscripción. Estos soportes en el caso de la experiencia igual podrán provenir de empresas nacionales o extranjeras, entidades públicas o privadas.  </w:t>
      </w:r>
    </w:p>
    <w:p w14:paraId="79284D0A" w14:textId="77777777" w:rsidR="00E04FB1" w:rsidRPr="00E7745C" w:rsidRDefault="00E04FB1" w:rsidP="00E04FB1">
      <w:pPr>
        <w:spacing w:after="120" w:line="276" w:lineRule="auto"/>
        <w:ind w:firstLine="708"/>
        <w:jc w:val="both"/>
        <w:rPr>
          <w:rFonts w:ascii="Verdana" w:eastAsia="Calibri" w:hAnsi="Verdana" w:cs="Arial"/>
          <w:lang w:val="es-ES" w:eastAsia="es-MX"/>
        </w:rPr>
      </w:pPr>
      <w:r w:rsidRPr="00E7745C">
        <w:rPr>
          <w:rFonts w:ascii="Verdana" w:hAnsi="Verdana"/>
        </w:rPr>
        <w:t xml:space="preserve">No obstante lo anterior, la norma ibidem también prescribe que </w:t>
      </w:r>
      <w:r w:rsidRPr="00E7745C">
        <w:rPr>
          <w:rFonts w:ascii="Verdana" w:hAnsi="Verdana"/>
          <w:i/>
          <w:iCs/>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1A206FFF" w14:textId="77777777" w:rsidR="00E04FB1" w:rsidRPr="00E7745C" w:rsidRDefault="00E04FB1" w:rsidP="00E04FB1">
      <w:pPr>
        <w:spacing w:after="0" w:line="276" w:lineRule="auto"/>
        <w:ind w:firstLine="709"/>
        <w:contextualSpacing/>
        <w:jc w:val="both"/>
        <w:rPr>
          <w:rFonts w:ascii="Verdana" w:eastAsia="Calibri" w:hAnsi="Verdana"/>
        </w:rPr>
      </w:pPr>
      <w:r w:rsidRPr="00E7745C">
        <w:rPr>
          <w:rFonts w:ascii="Verdana" w:eastAsia="Calibri" w:hAnsi="Verdana"/>
        </w:rPr>
        <w:lastRenderedPageBreak/>
        <w:t>Por lo tanto,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enumeró las excepciones en las cuales las entidades tienen la obligación de verificar los requisitos habilitantes de los proponentes</w:t>
      </w:r>
      <w:r w:rsidRPr="00E7745C">
        <w:rPr>
          <w:rStyle w:val="Refdenotaalpie"/>
          <w:rFonts w:ascii="Verdana" w:eastAsia="Calibri" w:hAnsi="Verdana"/>
        </w:rPr>
        <w:footnoteReference w:id="3"/>
      </w:r>
      <w:r w:rsidRPr="00E7745C">
        <w:rPr>
          <w:rFonts w:ascii="Verdana" w:eastAsia="Calibri" w:hAnsi="Verdana"/>
        </w:rPr>
        <w:t>.</w:t>
      </w:r>
    </w:p>
    <w:p w14:paraId="69754ABF" w14:textId="77777777" w:rsidR="00E04FB1" w:rsidRPr="00E7745C" w:rsidRDefault="00E04FB1" w:rsidP="00E04FB1">
      <w:pPr>
        <w:spacing w:after="0" w:line="240" w:lineRule="auto"/>
        <w:contextualSpacing/>
        <w:jc w:val="both"/>
        <w:rPr>
          <w:rFonts w:ascii="Verdana" w:hAnsi="Verdana" w:cs="Arial"/>
          <w:lang w:val="es-ES"/>
        </w:rPr>
      </w:pPr>
    </w:p>
    <w:p w14:paraId="53C17BAB" w14:textId="77777777" w:rsidR="00E04FB1" w:rsidRPr="00E7745C" w:rsidRDefault="00E04FB1" w:rsidP="00E04FB1">
      <w:pPr>
        <w:spacing w:after="120" w:line="276" w:lineRule="auto"/>
        <w:ind w:firstLine="709"/>
        <w:jc w:val="both"/>
        <w:rPr>
          <w:rFonts w:ascii="Verdana" w:eastAsia="Times New Roman" w:hAnsi="Verdana" w:cs="Arial"/>
          <w:lang w:eastAsia="es-CO"/>
        </w:rPr>
      </w:pPr>
      <w:bookmarkStart w:id="1" w:name="_Hlk99548176"/>
      <w:r w:rsidRPr="00E7745C">
        <w:rPr>
          <w:rFonts w:ascii="Verdana" w:hAnsi="Verdana" w:cs="Arial"/>
          <w:lang w:val="es-ES"/>
        </w:rPr>
        <w:t xml:space="preserve">Con base en lo anterior, </w:t>
      </w:r>
      <w:r w:rsidRPr="00E7745C">
        <w:rPr>
          <w:rFonts w:ascii="Verdana" w:eastAsia="Times New Roman" w:hAnsi="Verdana" w:cs="Arial"/>
          <w:lang w:eastAsia="es-CO"/>
        </w:rPr>
        <w:t>para acreditar el cumplimiento de los requisitos habilitantes, las entidades estatales sometidas al Estatuto General de Contratación de la Administración Pública -EGCAP-,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E7745C">
        <w:rPr>
          <w:rFonts w:ascii="Verdana" w:eastAsia="Times New Roman" w:hAnsi="Verdana" w:cs="Times New Roman"/>
          <w:vertAlign w:val="superscript"/>
          <w:lang w:eastAsia="es-CO"/>
        </w:rPr>
        <w:footnoteReference w:id="4"/>
      </w:r>
      <w:r w:rsidRPr="00E7745C">
        <w:rPr>
          <w:rFonts w:ascii="Verdana" w:eastAsia="Times New Roman" w:hAnsi="Verdana" w:cs="Arial"/>
          <w:lang w:eastAsia="es-CO"/>
        </w:rPr>
        <w:t>,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w:t>
      </w:r>
    </w:p>
    <w:bookmarkEnd w:id="1"/>
    <w:p w14:paraId="40B239BF" w14:textId="2A1B6994" w:rsidR="00E04FB1" w:rsidRPr="00E7745C" w:rsidRDefault="00E04FB1" w:rsidP="00E04FB1">
      <w:pPr>
        <w:spacing w:after="120" w:line="276" w:lineRule="auto"/>
        <w:ind w:firstLine="708"/>
        <w:jc w:val="both"/>
        <w:rPr>
          <w:rFonts w:ascii="Verdana" w:eastAsia="Times New Roman" w:hAnsi="Verdana" w:cs="Arial"/>
          <w:lang w:eastAsia="es-CO"/>
        </w:rPr>
      </w:pPr>
      <w:r w:rsidRPr="00E7745C">
        <w:rPr>
          <w:rFonts w:ascii="Verdana" w:eastAsia="Times New Roman" w:hAnsi="Verdana" w:cs="Arial"/>
          <w:lang w:eastAsia="es-CO"/>
        </w:rPr>
        <w:lastRenderedPageBreak/>
        <w:t>Dicha información debe tenerse en cuenta por las entidades en los procedimientos de contratación en los que es exigible el RUP. Así las cosas, los requisitos habilitantes deberán ser verificad</w:t>
      </w:r>
      <w:r w:rsidR="00BD4587">
        <w:rPr>
          <w:rFonts w:ascii="Verdana" w:eastAsia="Times New Roman" w:hAnsi="Verdana" w:cs="Arial"/>
          <w:lang w:eastAsia="es-CO"/>
        </w:rPr>
        <w:t>o</w:t>
      </w:r>
      <w:r w:rsidRPr="00E7745C">
        <w:rPr>
          <w:rFonts w:ascii="Verdana" w:eastAsia="Times New Roman" w:hAnsi="Verdana" w:cs="Arial"/>
          <w:lang w:eastAsia="es-CO"/>
        </w:rPr>
        <w:t>s exclusivamente a través del Registro Único de Proponentes, pues de acuerdo con lo expuesto, este documento es plena prueba de la información financiera, de experiencia y de capacidad acreditada por la persona natural o jurídica</w:t>
      </w:r>
      <w:r w:rsidRPr="00E7745C">
        <w:rPr>
          <w:rFonts w:ascii="Verdana" w:eastAsia="Times New Roman" w:hAnsi="Verdana" w:cs="Arial"/>
          <w:vertAlign w:val="superscript"/>
          <w:lang w:eastAsia="es-CO"/>
        </w:rPr>
        <w:footnoteReference w:id="5"/>
      </w:r>
      <w:r w:rsidRPr="00E7745C">
        <w:rPr>
          <w:rFonts w:ascii="Verdana" w:eastAsia="Times New Roman" w:hAnsi="Verdana" w:cs="Arial"/>
          <w:lang w:eastAsia="es-CO"/>
        </w:rPr>
        <w:t>.</w:t>
      </w:r>
    </w:p>
    <w:p w14:paraId="105E1A13" w14:textId="77777777" w:rsidR="00E04FB1" w:rsidRPr="00E7745C" w:rsidRDefault="00E04FB1" w:rsidP="00E04FB1">
      <w:pPr>
        <w:spacing w:after="120" w:line="276" w:lineRule="auto"/>
        <w:ind w:firstLine="709"/>
        <w:jc w:val="both"/>
        <w:rPr>
          <w:rFonts w:ascii="Verdana" w:eastAsia="Times New Roman" w:hAnsi="Verdana" w:cs="Arial"/>
          <w:lang w:eastAsia="es-CO"/>
        </w:rPr>
      </w:pPr>
      <w:bookmarkStart w:id="2" w:name="_Hlk99548308"/>
      <w:r w:rsidRPr="00E7745C">
        <w:rPr>
          <w:rFonts w:ascii="Verdana" w:eastAsia="Times New Roman" w:hAnsi="Verdana" w:cs="Arial"/>
          <w:lang w:eastAsia="es-CO"/>
        </w:rPr>
        <w:t>Debe anotarse que el RUP no es exigible en algunos procedimientos de contratación atrás enunciados, razón por la cual las entidades estatales deben verificar directamente el cumplimiento de los requisitos habilitantes</w:t>
      </w:r>
      <w:bookmarkEnd w:id="2"/>
      <w:r w:rsidRPr="00E7745C">
        <w:rPr>
          <w:rFonts w:ascii="Verdana" w:eastAsia="Times New Roman" w:hAnsi="Verdana" w:cs="Arial"/>
          <w:vertAlign w:val="superscript"/>
          <w:lang w:eastAsia="es-CO"/>
        </w:rPr>
        <w:footnoteReference w:id="6"/>
      </w:r>
      <w:r w:rsidRPr="00E7745C">
        <w:rPr>
          <w:rFonts w:ascii="Verdana" w:eastAsia="Times New Roman" w:hAnsi="Verdana" w:cs="Arial"/>
          <w:lang w:eastAsia="es-CO"/>
        </w:rPr>
        <w:t xml:space="preserve">. </w:t>
      </w:r>
      <w:r w:rsidRPr="00E7745C">
        <w:rPr>
          <w:rFonts w:ascii="Verdana" w:eastAsia="Times New Roman" w:hAnsi="Verdana" w:cs="Arial"/>
          <w:lang w:val="es-ES_tradnl" w:eastAsia="es-CO"/>
        </w:rPr>
        <w:t xml:space="preserve">Estas excepciones son taxativas y se rigen por una interpretación restrictiva. Así lo dispone el artículo </w:t>
      </w:r>
      <w:bookmarkStart w:id="3" w:name="_Hlk190870073"/>
      <w:r w:rsidRPr="00E7745C">
        <w:rPr>
          <w:rFonts w:ascii="Verdana" w:eastAsia="Times New Roman" w:hAnsi="Verdana" w:cs="Arial"/>
          <w:lang w:val="es-ES_tradnl" w:eastAsia="es-CO"/>
        </w:rPr>
        <w:t>2.2.1.1.1.5.1. del Decreto 1082 de 2015</w:t>
      </w:r>
      <w:bookmarkEnd w:id="3"/>
      <w:r w:rsidRPr="00E7745C">
        <w:rPr>
          <w:rFonts w:ascii="Verdana" w:eastAsia="Times New Roman" w:hAnsi="Verdana" w:cs="Arial"/>
          <w:lang w:val="es-ES_tradnl" w:eastAsia="es-CO"/>
        </w:rPr>
        <w:t xml:space="preserve">, al prescribir que la inscripción en el RUP es imperativa para los sujetos mencionados en el primer inciso del artículo 6 de la Ley 1150 de 2007, salvo las excepciones previstas de forma taxativa en la ley. </w:t>
      </w:r>
      <w:r w:rsidRPr="00E7745C">
        <w:rPr>
          <w:rFonts w:ascii="Verdana" w:eastAsia="Times New Roman" w:hAnsi="Verdana" w:cs="Arial"/>
          <w:lang w:eastAsia="es-CO"/>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E7745C">
        <w:rPr>
          <w:rFonts w:ascii="Verdana" w:eastAsia="Times New Roman" w:hAnsi="Verdana" w:cs="Arial"/>
          <w:vertAlign w:val="superscript"/>
          <w:lang w:eastAsia="es-CO"/>
        </w:rPr>
        <w:footnoteReference w:id="7"/>
      </w:r>
      <w:r w:rsidRPr="00E7745C">
        <w:rPr>
          <w:rFonts w:ascii="Verdana" w:eastAsia="Times New Roman" w:hAnsi="Verdana" w:cs="Arial"/>
          <w:lang w:eastAsia="es-CO"/>
        </w:rPr>
        <w:t>.</w:t>
      </w:r>
    </w:p>
    <w:p w14:paraId="051AFB89" w14:textId="67F3A6DA" w:rsidR="00E04FB1" w:rsidRPr="00E7745C" w:rsidRDefault="00E04FB1" w:rsidP="00E04FB1">
      <w:pPr>
        <w:spacing w:after="120" w:line="276" w:lineRule="auto"/>
        <w:ind w:firstLine="709"/>
        <w:jc w:val="both"/>
        <w:rPr>
          <w:rFonts w:ascii="Verdana" w:eastAsia="Calibri" w:hAnsi="Verdana" w:cs="Arial"/>
          <w:lang w:eastAsia="es-CO"/>
        </w:rPr>
      </w:pPr>
      <w:bookmarkStart w:id="4" w:name="_Hlk63643037"/>
      <w:r w:rsidRPr="00E7745C">
        <w:rPr>
          <w:rFonts w:ascii="Verdana" w:eastAsia="Calibri" w:hAnsi="Verdana" w:cs="Arial"/>
          <w:lang w:eastAsia="es-CO"/>
        </w:rPr>
        <w:lastRenderedPageBreak/>
        <w:t>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E7745C">
        <w:rPr>
          <w:rFonts w:ascii="Verdana" w:eastAsia="Calibri" w:hAnsi="Verdana" w:cs="Arial"/>
          <w:vertAlign w:val="superscript"/>
          <w:lang w:eastAsia="es-CO"/>
        </w:rPr>
        <w:footnoteReference w:id="8"/>
      </w:r>
      <w:r w:rsidRPr="00E7745C">
        <w:rPr>
          <w:rFonts w:ascii="Verdana" w:eastAsia="Calibri" w:hAnsi="Verdana" w:cs="Arial"/>
          <w:lang w:eastAsia="es-CO"/>
        </w:rPr>
        <w:t xml:space="preserve">.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qué documentos son adecuados y proporcionales para verificar el requisito de experiencia establecido. </w:t>
      </w:r>
    </w:p>
    <w:bookmarkEnd w:id="4"/>
    <w:p w14:paraId="773065D2" w14:textId="77777777" w:rsidR="00E04FB1" w:rsidRPr="00E7745C" w:rsidRDefault="00E04FB1" w:rsidP="00E04FB1">
      <w:pPr>
        <w:spacing w:after="0" w:line="276" w:lineRule="auto"/>
        <w:ind w:firstLine="709"/>
        <w:contextualSpacing/>
        <w:jc w:val="both"/>
        <w:rPr>
          <w:rFonts w:ascii="Verdana" w:eastAsia="Calibri" w:hAnsi="Verdana" w:cs="Arial"/>
          <w:lang w:eastAsia="es-CO"/>
        </w:rPr>
      </w:pPr>
      <w:r w:rsidRPr="00E7745C">
        <w:rPr>
          <w:rFonts w:ascii="Verdana" w:eastAsia="Calibri" w:hAnsi="Verdana" w:cs="Arial"/>
          <w:lang w:eastAsia="es-CO"/>
        </w:rPr>
        <w:t xml:space="preserve">Ahora bien, </w:t>
      </w:r>
      <w:r w:rsidRPr="00E7745C">
        <w:rPr>
          <w:rFonts w:ascii="Verdana" w:hAnsi="Verdana" w:cs="Arial"/>
          <w:lang w:val="es-ES"/>
        </w:rPr>
        <w:t xml:space="preserve">con respecto al requisito habilitante </w:t>
      </w:r>
      <w:r w:rsidRPr="00E7745C">
        <w:rPr>
          <w:rFonts w:ascii="Verdana" w:eastAsia="Calibri" w:hAnsi="Verdana" w:cs="Arial"/>
          <w:lang w:eastAsia="es-CO"/>
        </w:rPr>
        <w:t>el “</w:t>
      </w:r>
      <w:r w:rsidRPr="00E7745C">
        <w:rPr>
          <w:rFonts w:ascii="Verdana" w:eastAsia="Calibri" w:hAnsi="Verdana" w:cs="Arial"/>
          <w:i/>
          <w:iCs/>
          <w:lang w:eastAsia="es-CO"/>
        </w:rPr>
        <w:t>Manual para determinar y verificar requisitos habilitantes en los procesos de contratación”,</w:t>
      </w:r>
      <w:r w:rsidRPr="00E7745C">
        <w:rPr>
          <w:rFonts w:ascii="Verdana" w:eastAsia="Calibri" w:hAnsi="Verdana" w:cs="Arial"/>
          <w:lang w:eastAsia="es-CO"/>
        </w:rPr>
        <w:t xml:space="preserve"> indica que la experiencia tiene un carácter personal, lo cual significa que la experiencia se obtiene en razón a la participación, con anterioridad, en actividades que le permitieron conocer cómo ejecutar determinado objeto contractual, que la entidad ahora pretende desarrollar</w:t>
      </w:r>
      <w:r w:rsidRPr="00E7745C">
        <w:rPr>
          <w:rFonts w:ascii="Verdana" w:eastAsia="Calibri" w:hAnsi="Verdana" w:cs="Arial"/>
          <w:vertAlign w:val="superscript"/>
          <w:lang w:eastAsia="es-CO"/>
        </w:rPr>
        <w:footnoteReference w:id="9"/>
      </w:r>
      <w:r w:rsidRPr="00E7745C">
        <w:rPr>
          <w:rFonts w:ascii="Verdana" w:eastAsia="Calibri" w:hAnsi="Verdana" w:cs="Arial"/>
          <w:lang w:eastAsia="es-CO"/>
        </w:rPr>
        <w:t>.</w:t>
      </w:r>
    </w:p>
    <w:p w14:paraId="16BF2C31" w14:textId="77777777" w:rsidR="00E04FB1" w:rsidRPr="00E7745C" w:rsidRDefault="00E04FB1" w:rsidP="00E04FB1">
      <w:pPr>
        <w:spacing w:after="0" w:line="276" w:lineRule="auto"/>
        <w:contextualSpacing/>
        <w:jc w:val="both"/>
        <w:rPr>
          <w:rFonts w:ascii="Verdana" w:hAnsi="Verdana" w:cs="Arial"/>
        </w:rPr>
      </w:pPr>
    </w:p>
    <w:p w14:paraId="16870E10" w14:textId="52F953BC" w:rsidR="00E510BB" w:rsidRPr="00E7745C" w:rsidRDefault="00E04FB1" w:rsidP="00E510BB">
      <w:pPr>
        <w:spacing w:line="276" w:lineRule="auto"/>
        <w:ind w:firstLine="709"/>
        <w:jc w:val="both"/>
        <w:rPr>
          <w:rFonts w:ascii="Verdana" w:eastAsia="Calibri" w:hAnsi="Verdana" w:cs="Arial"/>
          <w:lang w:eastAsia="es-CO"/>
        </w:rPr>
      </w:pPr>
      <w:bookmarkStart w:id="5" w:name="_Hlk190876018"/>
      <w:r w:rsidRPr="00E7745C">
        <w:rPr>
          <w:rFonts w:ascii="Verdana" w:eastAsia="Calibri" w:hAnsi="Verdana" w:cs="Arial"/>
          <w:lang w:eastAsia="es-CO"/>
        </w:rPr>
        <w:t xml:space="preserve">Del mismo modo, la entidad estatal podrá adoptar, dentro de los términos que fija la ley, de manera proporcional y adecuada, alternativas que le permitan definir la verificación del valor ejecutado de un contrato como es dividir el valor ejecutado por el valor del salario mínimo legal mensual vigente del contrato realmente ejecutado. </w:t>
      </w:r>
    </w:p>
    <w:p w14:paraId="21BBBB25" w14:textId="6AD7ED1E" w:rsidR="00E510BB" w:rsidRPr="00E7745C" w:rsidRDefault="00E510BB" w:rsidP="00BD4587">
      <w:pPr>
        <w:spacing w:line="276" w:lineRule="auto"/>
        <w:ind w:firstLine="709"/>
        <w:jc w:val="both"/>
        <w:rPr>
          <w:rFonts w:ascii="Verdana" w:eastAsia="Calibri" w:hAnsi="Verdana" w:cs="Arial"/>
          <w:lang w:eastAsia="es-CO"/>
        </w:rPr>
      </w:pPr>
      <w:r w:rsidRPr="00E7745C">
        <w:rPr>
          <w:rFonts w:ascii="Verdana" w:eastAsia="Calibri" w:hAnsi="Verdana" w:cs="Arial"/>
          <w:lang w:eastAsia="es-CO"/>
        </w:rPr>
        <w:t>Ahora bien, en atención a lo dispuesto por el artículo 2.2.1.1.1.7 del Decreto 1082 de 2015, el cual establece que la experiencia registrada en el Registro Único de Proponentes (RUP) debe clasificarse conforme a dos criterios esenciales: el objeto del contrato y su valor económico, expresado en salarios mínimos legales mensuales vigentes (SMLMV), ello implica que la experiencia acreditada en el RUP debe derivarse de contratos que hayan generado una contraprestación económica, permitiendo su cuantificación.</w:t>
      </w:r>
    </w:p>
    <w:p w14:paraId="403A24E3" w14:textId="099F5CF7" w:rsidR="00E510BB" w:rsidRPr="00E7745C" w:rsidRDefault="00E510BB" w:rsidP="00E7745C">
      <w:pPr>
        <w:spacing w:line="276" w:lineRule="auto"/>
        <w:ind w:firstLine="709"/>
        <w:jc w:val="both"/>
        <w:rPr>
          <w:rFonts w:ascii="Verdana" w:eastAsia="Calibri" w:hAnsi="Verdana" w:cs="Arial"/>
          <w:lang w:eastAsia="es-CO"/>
        </w:rPr>
      </w:pPr>
      <w:r w:rsidRPr="00E7745C">
        <w:rPr>
          <w:rFonts w:ascii="Verdana" w:eastAsia="Calibri" w:hAnsi="Verdana" w:cs="Arial"/>
          <w:lang w:eastAsia="es-CO"/>
        </w:rPr>
        <w:t>A su vez, el artículo 6 de la Ley 1150 de 2007 dispone que el RUP debe reflejar información relacionada con la capacidad jurídica, financiera, experiencia y organización de los oferentes.</w:t>
      </w:r>
    </w:p>
    <w:p w14:paraId="0CB7D670" w14:textId="6C8C791D" w:rsidR="00E510BB" w:rsidRPr="00E7745C" w:rsidRDefault="00E7745C" w:rsidP="00E7745C">
      <w:pPr>
        <w:spacing w:line="276" w:lineRule="auto"/>
        <w:ind w:firstLine="709"/>
        <w:jc w:val="both"/>
        <w:rPr>
          <w:rFonts w:ascii="Verdana" w:eastAsia="Calibri" w:hAnsi="Verdana" w:cs="Arial"/>
          <w:lang w:eastAsia="es-CO"/>
        </w:rPr>
      </w:pPr>
      <w:r w:rsidRPr="00E7745C">
        <w:rPr>
          <w:rFonts w:ascii="Verdana" w:eastAsia="Calibri" w:hAnsi="Verdana" w:cs="Arial"/>
          <w:lang w:eastAsia="es-CO"/>
        </w:rPr>
        <w:t>En conclusión, d</w:t>
      </w:r>
      <w:r w:rsidR="00E510BB" w:rsidRPr="00E7745C">
        <w:rPr>
          <w:rFonts w:ascii="Verdana" w:eastAsia="Calibri" w:hAnsi="Verdana" w:cs="Arial"/>
          <w:lang w:eastAsia="es-CO"/>
        </w:rPr>
        <w:t>ado que el RUP requiere que la experiencia registrada tenga un valor económico cuantificable, cualquier prestación de servicios que haya sido realizada de manera gratuita o sin remuneración en dinero no podrá ser incluida en dicho registro. En estos casos, si el oferente desea hacer valer esta experiencia, deberá evaluar su aplicabilidad en procesos de selección que no exijan la verificación del RUP</w:t>
      </w:r>
      <w:r w:rsidRPr="00E7745C">
        <w:rPr>
          <w:rFonts w:ascii="Verdana" w:eastAsia="Calibri" w:hAnsi="Verdana" w:cs="Arial"/>
          <w:lang w:eastAsia="es-CO"/>
        </w:rPr>
        <w:t xml:space="preserve"> tal como lo dispone el </w:t>
      </w:r>
      <w:r w:rsidR="00E510BB" w:rsidRPr="00E7745C">
        <w:rPr>
          <w:rFonts w:ascii="Verdana" w:eastAsia="Calibri" w:hAnsi="Verdana" w:cs="Arial"/>
          <w:lang w:eastAsia="es-CO"/>
        </w:rPr>
        <w:t>artículo 2.2.1.2.1.2 del Decreto 1082 de 2015</w:t>
      </w:r>
      <w:r w:rsidRPr="00E7745C">
        <w:rPr>
          <w:rFonts w:ascii="Verdana" w:eastAsia="Calibri" w:hAnsi="Verdana" w:cs="Arial"/>
          <w:lang w:eastAsia="es-CO"/>
        </w:rPr>
        <w:t>, el cual</w:t>
      </w:r>
      <w:r w:rsidR="00E510BB" w:rsidRPr="00E7745C">
        <w:rPr>
          <w:rFonts w:ascii="Verdana" w:eastAsia="Calibri" w:hAnsi="Verdana" w:cs="Arial"/>
          <w:lang w:eastAsia="es-CO"/>
        </w:rPr>
        <w:t xml:space="preserve"> establece que en los procesos en los cuales no se exige RUP, la entidad contratante cuenta con autonomía para definir los criterios de evaluación de la experiencia. En este sentido, si una empresa ha adquirido experiencia mediante alianzas, convenios o servicios gratuitos, podrá aportar </w:t>
      </w:r>
      <w:r w:rsidR="00E510BB" w:rsidRPr="00E7745C">
        <w:rPr>
          <w:rFonts w:ascii="Verdana" w:eastAsia="Calibri" w:hAnsi="Verdana" w:cs="Arial"/>
          <w:lang w:eastAsia="es-CO"/>
        </w:rPr>
        <w:lastRenderedPageBreak/>
        <w:t>certificaciones u otros documentos que respalden la prestación efectiva del servicio, siempre que la entidad contratante lo permita en los pliegos de condiciones o en la invitación al proceso.</w:t>
      </w:r>
    </w:p>
    <w:bookmarkEnd w:id="5"/>
    <w:p w14:paraId="7974654F" w14:textId="77777777" w:rsidR="00E04FB1" w:rsidRPr="00E7745C" w:rsidRDefault="00E04FB1" w:rsidP="00871B59">
      <w:pPr>
        <w:spacing w:after="0" w:line="276" w:lineRule="auto"/>
        <w:jc w:val="both"/>
        <w:rPr>
          <w:rFonts w:ascii="Verdana" w:eastAsia="Calibri" w:hAnsi="Verdana" w:cs="Arial"/>
          <w:lang w:val="es-ES"/>
        </w:rPr>
      </w:pPr>
    </w:p>
    <w:p w14:paraId="1691D791" w14:textId="77777777" w:rsidR="00983695" w:rsidRPr="00E7745C" w:rsidRDefault="00983695" w:rsidP="00983695">
      <w:pPr>
        <w:spacing w:after="0" w:line="276" w:lineRule="auto"/>
        <w:jc w:val="both"/>
        <w:rPr>
          <w:rFonts w:ascii="Verdana" w:eastAsia="Calibri" w:hAnsi="Verdana" w:cs="Arial"/>
          <w:lang w:val="es-ES"/>
        </w:rPr>
      </w:pPr>
    </w:p>
    <w:p w14:paraId="53133908" w14:textId="77777777" w:rsidR="00871B59" w:rsidRPr="00E7745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7745C">
        <w:rPr>
          <w:rFonts w:ascii="Verdana" w:eastAsia="Century Gothic" w:hAnsi="Verdana" w:cs="Century Gothic"/>
          <w:b/>
          <w:bCs/>
          <w:lang w:val="es-ES"/>
        </w:rPr>
        <w:t>Referencias normativas, jurisprudenciales y otras fuentes:</w:t>
      </w:r>
    </w:p>
    <w:p w14:paraId="237FD993" w14:textId="77777777" w:rsidR="00871B59" w:rsidRPr="00E7745C"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7745C" w:rsidRPr="00E7745C" w14:paraId="150F7C2A" w14:textId="77777777" w:rsidTr="002607A7">
        <w:trPr>
          <w:trHeight w:val="870"/>
        </w:trPr>
        <w:tc>
          <w:tcPr>
            <w:tcW w:w="8647" w:type="dxa"/>
          </w:tcPr>
          <w:p w14:paraId="0A6915AF" w14:textId="77777777" w:rsidR="00E7745C" w:rsidRPr="00E7745C" w:rsidRDefault="00E7745C" w:rsidP="00E7745C">
            <w:pPr>
              <w:pStyle w:val="Prrafodelista"/>
              <w:widowControl w:val="0"/>
              <w:numPr>
                <w:ilvl w:val="0"/>
                <w:numId w:val="8"/>
              </w:numPr>
              <w:autoSpaceDE w:val="0"/>
              <w:autoSpaceDN w:val="0"/>
              <w:spacing w:after="120" w:line="276" w:lineRule="auto"/>
              <w:jc w:val="both"/>
              <w:rPr>
                <w:rFonts w:ascii="Verdana" w:hAnsi="Verdana" w:cs="Arial"/>
              </w:rPr>
            </w:pPr>
            <w:r w:rsidRPr="00E7745C">
              <w:rPr>
                <w:rFonts w:ascii="Verdana" w:hAnsi="Verdana" w:cs="Arial"/>
              </w:rPr>
              <w:t>Ley 1150 de 2007: Artículo 5.</w:t>
            </w:r>
          </w:p>
          <w:p w14:paraId="7C7185A8" w14:textId="77777777" w:rsidR="00E7745C" w:rsidRPr="00E7745C" w:rsidRDefault="00E7745C" w:rsidP="00E7745C">
            <w:pPr>
              <w:pStyle w:val="Prrafodelista"/>
              <w:widowControl w:val="0"/>
              <w:numPr>
                <w:ilvl w:val="0"/>
                <w:numId w:val="8"/>
              </w:numPr>
              <w:autoSpaceDE w:val="0"/>
              <w:autoSpaceDN w:val="0"/>
              <w:spacing w:after="120" w:line="276" w:lineRule="auto"/>
              <w:jc w:val="both"/>
              <w:rPr>
                <w:rFonts w:ascii="Verdana" w:hAnsi="Verdana" w:cs="Arial"/>
              </w:rPr>
            </w:pPr>
            <w:r w:rsidRPr="00E7745C">
              <w:rPr>
                <w:rFonts w:ascii="Verdana" w:hAnsi="Verdana" w:cs="Arial"/>
              </w:rPr>
              <w:t xml:space="preserve">Decreto 1082 de 2015: Artículo 2.2.1.1.1.5.2, numerales 2.1. y 2.5. </w:t>
            </w:r>
          </w:p>
          <w:p w14:paraId="1F2A156B" w14:textId="77777777" w:rsidR="00BD4587" w:rsidRDefault="00E7745C" w:rsidP="00BD4587">
            <w:pPr>
              <w:pStyle w:val="Prrafodelista"/>
              <w:widowControl w:val="0"/>
              <w:numPr>
                <w:ilvl w:val="0"/>
                <w:numId w:val="8"/>
              </w:numPr>
              <w:autoSpaceDE w:val="0"/>
              <w:autoSpaceDN w:val="0"/>
              <w:spacing w:after="120" w:line="276" w:lineRule="auto"/>
              <w:jc w:val="both"/>
              <w:rPr>
                <w:rFonts w:ascii="Verdana" w:hAnsi="Verdana" w:cs="Arial"/>
              </w:rPr>
            </w:pPr>
            <w:r w:rsidRPr="00E7745C">
              <w:rPr>
                <w:rFonts w:ascii="Verdana" w:hAnsi="Verdana" w:cs="Arial"/>
              </w:rPr>
              <w:t>Consejo de Estado. Sala de lo Contencioso Administrativo. Sección Tercera Subsección C. Consejero Ponente: Enrique Gil Botero. Bogotá D.C., 24 de octubre de 2013. Radicación número: 24697.</w:t>
            </w:r>
          </w:p>
          <w:p w14:paraId="6ACEA7FD" w14:textId="571D6EA2" w:rsidR="00871B59" w:rsidRPr="00BD4587" w:rsidRDefault="00E7745C" w:rsidP="00BD4587">
            <w:pPr>
              <w:pStyle w:val="Prrafodelista"/>
              <w:widowControl w:val="0"/>
              <w:numPr>
                <w:ilvl w:val="0"/>
                <w:numId w:val="8"/>
              </w:numPr>
              <w:autoSpaceDE w:val="0"/>
              <w:autoSpaceDN w:val="0"/>
              <w:spacing w:after="120" w:line="276" w:lineRule="auto"/>
              <w:jc w:val="both"/>
              <w:rPr>
                <w:rFonts w:ascii="Verdana" w:hAnsi="Verdana" w:cs="Arial"/>
              </w:rPr>
            </w:pPr>
            <w:r w:rsidRPr="00BD4587">
              <w:rPr>
                <w:rFonts w:ascii="Verdana" w:hAnsi="Verdana" w:cs="Arial"/>
              </w:rPr>
              <w:t xml:space="preserve">“Manual para determinar y verificar requisitos habilitantes en los procesos de contratación”. Disponibles en: https://colombiacompra.gov.co/sites/cce_public/files/cce_documents/cce-eicp-ma-04._manual_requisitos_habilitantes_v3_29-09-2023.pdf </w:t>
            </w:r>
          </w:p>
        </w:tc>
      </w:tr>
    </w:tbl>
    <w:p w14:paraId="0E1B166D" w14:textId="77777777" w:rsidR="00871B59" w:rsidRPr="00E7745C"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E7745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7745C">
        <w:rPr>
          <w:rFonts w:ascii="Verdana" w:eastAsia="Century Gothic" w:hAnsi="Verdana" w:cs="Century Gothic"/>
          <w:b/>
          <w:bCs/>
          <w:lang w:val="es-ES"/>
        </w:rPr>
        <w:t>Doctrina de la Agencia Nacional de Contratación Pública:</w:t>
      </w:r>
    </w:p>
    <w:p w14:paraId="41294D6D" w14:textId="77777777" w:rsidR="00871B59" w:rsidRPr="00E7745C" w:rsidRDefault="00871B59" w:rsidP="00871B59">
      <w:pPr>
        <w:widowControl w:val="0"/>
        <w:autoSpaceDE w:val="0"/>
        <w:autoSpaceDN w:val="0"/>
        <w:spacing w:after="0" w:line="276" w:lineRule="auto"/>
        <w:jc w:val="both"/>
        <w:rPr>
          <w:rFonts w:ascii="Verdana" w:hAnsi="Verdana" w:cs="Arial"/>
        </w:rPr>
      </w:pPr>
    </w:p>
    <w:p w14:paraId="69A40588" w14:textId="77777777" w:rsidR="00E7745C" w:rsidRPr="00E7745C" w:rsidRDefault="00E7745C" w:rsidP="00E7745C">
      <w:pPr>
        <w:spacing w:after="0" w:line="276" w:lineRule="auto"/>
        <w:jc w:val="both"/>
        <w:rPr>
          <w:rFonts w:ascii="Verdana" w:eastAsia="Calibri" w:hAnsi="Verdana" w:cs="Arial"/>
          <w:szCs w:val="24"/>
          <w:lang w:val="es-ES"/>
        </w:rPr>
      </w:pPr>
      <w:r w:rsidRPr="00E7745C">
        <w:rPr>
          <w:rFonts w:ascii="Verdana" w:eastAsia="Calibri" w:hAnsi="Verdana" w:cs="Arial"/>
          <w:szCs w:val="24"/>
          <w:lang w:val="es-ES"/>
        </w:rPr>
        <w:t>La Agencia Nacional de Contratación Pública ‒ Colombia Compra Eficiente, estudi</w:t>
      </w:r>
      <w:r w:rsidRPr="00E7745C">
        <w:rPr>
          <w:rFonts w:ascii="Verdana" w:eastAsia="Calibri" w:hAnsi="Verdana" w:cs="Century Gothic"/>
          <w:szCs w:val="24"/>
          <w:lang w:val="es-ES"/>
        </w:rPr>
        <w:t>ó</w:t>
      </w:r>
      <w:r w:rsidRPr="00E7745C">
        <w:rPr>
          <w:rFonts w:ascii="Verdana" w:eastAsia="Calibri" w:hAnsi="Verdana" w:cs="Arial"/>
          <w:szCs w:val="24"/>
          <w:lang w:val="es-ES"/>
        </w:rPr>
        <w:t xml:space="preserve"> el tema de experiencia y su noci</w:t>
      </w:r>
      <w:r w:rsidRPr="00E7745C">
        <w:rPr>
          <w:rFonts w:ascii="Verdana" w:eastAsia="Calibri" w:hAnsi="Verdana" w:cs="Century Gothic"/>
          <w:szCs w:val="24"/>
          <w:lang w:val="es-ES"/>
        </w:rPr>
        <w:t>ó</w:t>
      </w:r>
      <w:r w:rsidRPr="00E7745C">
        <w:rPr>
          <w:rFonts w:ascii="Verdana" w:eastAsia="Calibri" w:hAnsi="Verdana" w:cs="Arial"/>
          <w:szCs w:val="24"/>
          <w:lang w:val="es-ES"/>
        </w:rPr>
        <w:t xml:space="preserve">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C-569 del 13 de septiembre de 2022, C-820 del 29 de noviembre de 2022 y C-121 de </w:t>
      </w:r>
      <w:r w:rsidRPr="00E7745C">
        <w:rPr>
          <w:rFonts w:ascii="Verdana" w:eastAsia="Calibri" w:hAnsi="Verdana" w:cs="Arial"/>
          <w:szCs w:val="24"/>
          <w:lang w:val="es-ES"/>
        </w:rPr>
        <w:lastRenderedPageBreak/>
        <w:t xml:space="preserve">12 de mayo de 2023, C-088 del 13 de junio de 2024, C-278 del 31 de julio de 2024, entre otros. </w:t>
      </w:r>
    </w:p>
    <w:p w14:paraId="54751ADB" w14:textId="77777777" w:rsidR="00E7745C" w:rsidRPr="00E7745C" w:rsidRDefault="00E7745C" w:rsidP="00E7745C">
      <w:pPr>
        <w:spacing w:after="0" w:line="276" w:lineRule="auto"/>
        <w:jc w:val="both"/>
        <w:rPr>
          <w:rFonts w:ascii="Verdana" w:eastAsia="Calibri" w:hAnsi="Verdana" w:cs="Arial"/>
          <w:szCs w:val="24"/>
          <w:lang w:val="es-ES"/>
        </w:rPr>
      </w:pPr>
      <w:r w:rsidRPr="00E7745C">
        <w:rPr>
          <w:rFonts w:ascii="Verdana" w:eastAsia="Calibri" w:hAnsi="Verdana" w:cs="Arial"/>
          <w:szCs w:val="24"/>
          <w:lang w:val="es-ES"/>
        </w:rPr>
        <w:t xml:space="preserve">Por otra parte, </w:t>
      </w:r>
      <w:r w:rsidRPr="00E7745C">
        <w:rPr>
          <w:rFonts w:ascii="Verdana" w:hAnsi="Verdana" w:cs="Arial"/>
          <w:lang w:val="es-ES_tradnl"/>
        </w:rPr>
        <w:t xml:space="preserve">sobre </w:t>
      </w:r>
      <w:r w:rsidRPr="00E7745C">
        <w:rPr>
          <w:rFonts w:ascii="Verdana" w:eastAsia="Calibri" w:hAnsi="Verdana" w:cs="Arial"/>
        </w:rPr>
        <w:t xml:space="preserve">el RUP, esta agencia se ha pronunciado en los siguientes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C-329 de 8 de julio de 2021 y </w:t>
      </w:r>
      <w:r w:rsidRPr="00E7745C">
        <w:rPr>
          <w:rFonts w:ascii="Verdana" w:eastAsia="Calibri" w:hAnsi="Verdana" w:cs="Arial"/>
          <w:lang w:val="es-ES_tradnl"/>
        </w:rPr>
        <w:t>C-142 de 2022</w:t>
      </w:r>
      <w:r w:rsidRPr="00E7745C">
        <w:rPr>
          <w:rFonts w:ascii="Verdana" w:eastAsia="Times New Roman" w:hAnsi="Verdana" w:cs="Arial"/>
          <w:lang w:val="es-ES_tradnl"/>
        </w:rPr>
        <w:t xml:space="preserve">. </w:t>
      </w:r>
      <w:r w:rsidRPr="00E7745C">
        <w:rPr>
          <w:rFonts w:ascii="Verdana" w:eastAsia="Calibri" w:hAnsi="Verdana" w:cs="Arial"/>
        </w:rPr>
        <w:t>Asimismo, Colombia Compra Eficiente se ha pronunciado en diferentes conceptos 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diciembre de 2019, C-052 del 18 de marzo de 2020,  C-017 del 22 de febrero de 2020, C- 522 del 1 de octubre de 2021, C-760 del 8 de febrero de 2022, C-223 del 25 de abril de 2024, entre otros.</w:t>
      </w:r>
    </w:p>
    <w:p w14:paraId="304BB201" w14:textId="77777777" w:rsidR="00E7745C" w:rsidRPr="00E7745C" w:rsidRDefault="00E7745C" w:rsidP="00E7745C">
      <w:pPr>
        <w:spacing w:after="0" w:line="276" w:lineRule="auto"/>
        <w:jc w:val="both"/>
        <w:rPr>
          <w:rStyle w:val="normaltextrun"/>
          <w:rFonts w:ascii="Verdana" w:eastAsia="Calibri" w:hAnsi="Verdana" w:cs="Arial"/>
          <w:szCs w:val="24"/>
          <w:lang w:val="es-ES"/>
        </w:rPr>
      </w:pPr>
      <w:r w:rsidRPr="00E7745C">
        <w:rPr>
          <w:rStyle w:val="normaltextrun"/>
          <w:rFonts w:ascii="Verdana" w:hAnsi="Verdana" w:cs="Arial"/>
          <w:shd w:val="clear" w:color="auto" w:fill="FFFFFF"/>
          <w:lang w:val="es-ES"/>
        </w:rPr>
        <w:t>Es</w:t>
      </w:r>
      <w:r w:rsidRPr="00E7745C">
        <w:rPr>
          <w:rFonts w:ascii="Verdana" w:hAnsi="Verdana"/>
        </w:rPr>
        <w:t>tos y otros conceptos se encuentran disponibles para consulta en el Sistema de relatoría de la Agencia, al cual se puede acceder a través del siguiente enlace:</w:t>
      </w:r>
      <w:r w:rsidRPr="00E7745C">
        <w:rPr>
          <w:rStyle w:val="normaltextrun"/>
          <w:rFonts w:ascii="Verdana" w:hAnsi="Verdana" w:cs="Arial"/>
          <w:shd w:val="clear" w:color="auto" w:fill="FFFFFF"/>
          <w:lang w:val="es-ES"/>
        </w:rPr>
        <w:t xml:space="preserve"> </w:t>
      </w:r>
      <w:hyperlink r:id="rId12" w:history="1">
        <w:r w:rsidRPr="00E7745C">
          <w:rPr>
            <w:rStyle w:val="Hipervnculo"/>
            <w:rFonts w:ascii="Verdana" w:hAnsi="Verdana" w:cs="Arial"/>
            <w:color w:val="auto"/>
            <w:shd w:val="clear" w:color="auto" w:fill="FFFFFF"/>
            <w:lang w:val="es-ES"/>
          </w:rPr>
          <w:t>https://relatoria.colombiacompra.gov.co/busqueda/conceptos</w:t>
        </w:r>
      </w:hyperlink>
      <w:r w:rsidRPr="00E7745C">
        <w:rPr>
          <w:rStyle w:val="normaltextrun"/>
          <w:rFonts w:ascii="Verdana" w:hAnsi="Verdana" w:cs="Arial"/>
          <w:shd w:val="clear" w:color="auto" w:fill="FFFFFF"/>
          <w:lang w:val="es-ES"/>
        </w:rPr>
        <w:t xml:space="preserve">. </w:t>
      </w:r>
    </w:p>
    <w:p w14:paraId="7453B05A" w14:textId="77777777" w:rsidR="00E7745C" w:rsidRPr="00E7745C" w:rsidRDefault="00E7745C" w:rsidP="00E7745C">
      <w:pPr>
        <w:spacing w:after="0" w:line="276" w:lineRule="auto"/>
        <w:jc w:val="both"/>
        <w:rPr>
          <w:rStyle w:val="normaltextrun"/>
          <w:rFonts w:ascii="Verdana" w:eastAsia="Calibri" w:hAnsi="Verdana" w:cs="Arial"/>
          <w:szCs w:val="24"/>
          <w:lang w:val="es-ES"/>
        </w:rPr>
      </w:pPr>
    </w:p>
    <w:p w14:paraId="4D18908D" w14:textId="77777777" w:rsidR="00E7745C" w:rsidRPr="00E7745C" w:rsidRDefault="00871B59" w:rsidP="00E7745C">
      <w:pPr>
        <w:spacing w:after="0" w:line="276" w:lineRule="auto"/>
        <w:jc w:val="both"/>
        <w:rPr>
          <w:rStyle w:val="normaltextrun"/>
          <w:rFonts w:ascii="Verdana" w:hAnsi="Verdana" w:cs="Arial"/>
          <w:shd w:val="clear" w:color="auto" w:fill="FFFFFF"/>
          <w:lang w:val="es-ES"/>
        </w:rPr>
      </w:pPr>
      <w:r w:rsidRPr="00E7745C">
        <w:rPr>
          <w:rStyle w:val="normaltextrun"/>
          <w:rFonts w:ascii="Verdana" w:hAnsi="Verdana" w:cs="Arial"/>
          <w:shd w:val="clear" w:color="auto" w:fill="FFFFFF"/>
          <w:lang w:val="es-ES"/>
        </w:rPr>
        <w:t>También le invitamos a consultar las versiones I y II de 2024 del Boletín de</w:t>
      </w:r>
      <w:r w:rsidR="00E7745C" w:rsidRPr="00E7745C">
        <w:rPr>
          <w:rStyle w:val="normaltextrun"/>
          <w:rFonts w:ascii="Verdana" w:hAnsi="Verdana" w:cs="Arial"/>
          <w:shd w:val="clear" w:color="auto" w:fill="FFFFFF"/>
          <w:lang w:val="es-ES"/>
        </w:rPr>
        <w:t xml:space="preserve"> </w:t>
      </w:r>
      <w:r w:rsidRPr="00E7745C">
        <w:rPr>
          <w:rStyle w:val="normaltextrun"/>
          <w:rFonts w:ascii="Verdana" w:hAnsi="Verdana" w:cs="Arial"/>
          <w:shd w:val="clear" w:color="auto" w:fill="FFFFFF"/>
          <w:lang w:val="es-ES"/>
        </w:rPr>
        <w:t xml:space="preserve">Relatoría de la Subdirección de Gestión Contractual, las cuales puede descargar en la página web de la Agencia: </w:t>
      </w:r>
      <w:hyperlink r:id="rId13" w:history="1">
        <w:r w:rsidRPr="00E7745C">
          <w:rPr>
            <w:rStyle w:val="Hipervnculo"/>
            <w:rFonts w:ascii="Verdana" w:hAnsi="Verdana" w:cs="Arial"/>
            <w:color w:val="auto"/>
            <w:shd w:val="clear" w:color="auto" w:fill="FFFFFF"/>
            <w:lang w:val="es-ES"/>
          </w:rPr>
          <w:t>https://www.colombiacompra.gov.co/sala-de-prensa/boletin-digital</w:t>
        </w:r>
      </w:hyperlink>
      <w:r w:rsidRPr="00E7745C">
        <w:rPr>
          <w:rStyle w:val="normaltextrun"/>
          <w:rFonts w:ascii="Verdana" w:hAnsi="Verdana" w:cs="Arial"/>
          <w:shd w:val="clear" w:color="auto" w:fill="FFFFFF"/>
          <w:lang w:val="es-ES"/>
        </w:rPr>
        <w:t xml:space="preserve">   </w:t>
      </w:r>
    </w:p>
    <w:p w14:paraId="6E5FBA74" w14:textId="49A153CC" w:rsidR="00871B59" w:rsidRPr="00E7745C" w:rsidRDefault="00871B59" w:rsidP="00E7745C">
      <w:pPr>
        <w:spacing w:after="0" w:line="276" w:lineRule="auto"/>
        <w:jc w:val="both"/>
        <w:rPr>
          <w:rStyle w:val="normaltextrun"/>
          <w:rFonts w:ascii="Verdana" w:eastAsia="Calibri" w:hAnsi="Verdana" w:cs="Arial"/>
          <w:szCs w:val="24"/>
          <w:lang w:val="es-ES"/>
        </w:rPr>
      </w:pPr>
      <w:r w:rsidRPr="00E7745C">
        <w:rPr>
          <w:rStyle w:val="normaltextrun"/>
          <w:rFonts w:ascii="Verdana" w:hAnsi="Verdana" w:cs="Arial"/>
          <w:shd w:val="clear" w:color="auto" w:fill="FFFFFF"/>
          <w:lang w:val="es-ES"/>
        </w:rPr>
        <w:t xml:space="preserve">   </w:t>
      </w:r>
    </w:p>
    <w:p w14:paraId="1570ED43" w14:textId="77777777" w:rsidR="008815E5" w:rsidRPr="00E7745C" w:rsidRDefault="008815E5" w:rsidP="008815E5">
      <w:pPr>
        <w:spacing w:after="0" w:line="240" w:lineRule="auto"/>
        <w:jc w:val="both"/>
        <w:rPr>
          <w:rFonts w:ascii="Verdana" w:hAnsi="Verdana"/>
        </w:rPr>
      </w:pPr>
      <w:r w:rsidRPr="00E7745C">
        <w:rPr>
          <w:rFonts w:ascii="Verdana" w:hAnsi="Verdana"/>
        </w:rPr>
        <w:t xml:space="preserve">Por último, lo invitamos a seguirnos en las redes sociales en las cuales se difunde información institucional: </w:t>
      </w:r>
    </w:p>
    <w:p w14:paraId="284AF384" w14:textId="77777777" w:rsidR="008815E5" w:rsidRPr="00E7745C" w:rsidRDefault="008815E5" w:rsidP="008815E5">
      <w:pPr>
        <w:spacing w:after="0" w:line="240" w:lineRule="auto"/>
        <w:jc w:val="both"/>
        <w:rPr>
          <w:rFonts w:ascii="Verdana" w:hAnsi="Verdana"/>
        </w:rPr>
      </w:pPr>
    </w:p>
    <w:p w14:paraId="5E6CD010" w14:textId="77777777" w:rsidR="008815E5" w:rsidRPr="00E7745C" w:rsidRDefault="008815E5" w:rsidP="008815E5">
      <w:pPr>
        <w:spacing w:after="0" w:line="240" w:lineRule="auto"/>
        <w:jc w:val="both"/>
        <w:rPr>
          <w:rFonts w:ascii="Verdana" w:hAnsi="Verdana"/>
        </w:rPr>
      </w:pPr>
      <w:r w:rsidRPr="00E7745C">
        <w:rPr>
          <w:rFonts w:ascii="Verdana" w:hAnsi="Verdana"/>
        </w:rPr>
        <w:t xml:space="preserve">Twitter: </w:t>
      </w:r>
      <w:r w:rsidRPr="00E7745C">
        <w:rPr>
          <w:rStyle w:val="Hipervnculo"/>
          <w:rFonts w:ascii="Verdana" w:hAnsi="Verdana"/>
          <w:color w:val="auto"/>
        </w:rPr>
        <w:t>@colombiacompra</w:t>
      </w:r>
      <w:r w:rsidRPr="00E7745C">
        <w:rPr>
          <w:rFonts w:ascii="Verdana" w:hAnsi="Verdana"/>
        </w:rPr>
        <w:t xml:space="preserve"> </w:t>
      </w:r>
    </w:p>
    <w:p w14:paraId="0F76F019" w14:textId="77777777" w:rsidR="008815E5" w:rsidRPr="00E7745C" w:rsidRDefault="008815E5" w:rsidP="008815E5">
      <w:pPr>
        <w:spacing w:after="0" w:line="240" w:lineRule="auto"/>
        <w:jc w:val="both"/>
        <w:rPr>
          <w:rFonts w:ascii="Verdana" w:hAnsi="Verdana"/>
        </w:rPr>
      </w:pPr>
      <w:r w:rsidRPr="00E7745C">
        <w:rPr>
          <w:rFonts w:ascii="Verdana" w:hAnsi="Verdana"/>
        </w:rPr>
        <w:t xml:space="preserve">Facebook: </w:t>
      </w:r>
      <w:r w:rsidRPr="00E7745C">
        <w:rPr>
          <w:rStyle w:val="Hipervnculo"/>
          <w:rFonts w:ascii="Verdana" w:hAnsi="Verdana"/>
          <w:color w:val="auto"/>
        </w:rPr>
        <w:t>ColombiaCompraEficiente</w:t>
      </w:r>
    </w:p>
    <w:p w14:paraId="60E5B357" w14:textId="77777777" w:rsidR="008815E5" w:rsidRPr="00E7745C" w:rsidRDefault="008815E5" w:rsidP="008815E5">
      <w:pPr>
        <w:spacing w:after="0" w:line="240" w:lineRule="auto"/>
        <w:jc w:val="both"/>
        <w:rPr>
          <w:rFonts w:ascii="Verdana" w:hAnsi="Verdana"/>
        </w:rPr>
      </w:pPr>
      <w:r w:rsidRPr="00E7745C">
        <w:rPr>
          <w:rFonts w:ascii="Verdana" w:hAnsi="Verdana"/>
        </w:rPr>
        <w:t xml:space="preserve">LinkedIn: </w:t>
      </w:r>
      <w:r w:rsidRPr="00E7745C">
        <w:rPr>
          <w:rStyle w:val="Hipervnculo"/>
          <w:rFonts w:ascii="Verdana" w:hAnsi="Verdana"/>
          <w:color w:val="auto"/>
        </w:rPr>
        <w:t>Agencia Nacional de Contratación Pública - Colombia Compra Eficiente</w:t>
      </w:r>
      <w:r w:rsidRPr="00E7745C">
        <w:rPr>
          <w:rFonts w:ascii="Verdana" w:hAnsi="Verdana"/>
        </w:rPr>
        <w:t xml:space="preserve"> Instagram: </w:t>
      </w:r>
      <w:r w:rsidRPr="00E7745C">
        <w:rPr>
          <w:rStyle w:val="Hipervnculo"/>
          <w:rFonts w:ascii="Verdana" w:hAnsi="Verdana"/>
          <w:color w:val="auto"/>
        </w:rPr>
        <w:t>@colombiacompraeficiente_cce</w:t>
      </w:r>
    </w:p>
    <w:p w14:paraId="6980ECB3" w14:textId="77777777" w:rsidR="00871B59" w:rsidRPr="00E7745C"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E7745C" w:rsidRDefault="00871B59" w:rsidP="00871B59">
      <w:pPr>
        <w:widowControl w:val="0"/>
        <w:autoSpaceDE w:val="0"/>
        <w:autoSpaceDN w:val="0"/>
        <w:spacing w:after="0" w:line="276" w:lineRule="auto"/>
        <w:jc w:val="both"/>
        <w:rPr>
          <w:rFonts w:ascii="Verdana" w:hAnsi="Verdana" w:cs="Arial"/>
          <w:lang w:val="es-ES_tradnl"/>
        </w:rPr>
      </w:pPr>
      <w:r w:rsidRPr="00E7745C">
        <w:rPr>
          <w:rFonts w:ascii="Verdana" w:hAnsi="Verdana" w:cs="Arial"/>
        </w:rPr>
        <w:t xml:space="preserve">Este concepto tiene el alcance previsto en el artículo 28 del Código de </w:t>
      </w:r>
      <w:r w:rsidRPr="00E7745C">
        <w:rPr>
          <w:rFonts w:ascii="Verdana" w:hAnsi="Verdana" w:cs="Arial"/>
        </w:rPr>
        <w:lastRenderedPageBreak/>
        <w:t xml:space="preserve">Procedimiento Administrativo y de lo Contencioso Administrativo </w:t>
      </w:r>
      <w:r w:rsidRPr="00E7745C">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E7745C"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E7745C" w:rsidRDefault="00871B59" w:rsidP="00871B59">
      <w:pPr>
        <w:spacing w:after="0" w:line="240" w:lineRule="auto"/>
        <w:rPr>
          <w:rFonts w:ascii="Verdana" w:hAnsi="Verdana" w:cs="Arial"/>
          <w:lang w:eastAsia="es-CO"/>
        </w:rPr>
      </w:pPr>
      <w:r w:rsidRPr="00E7745C">
        <w:rPr>
          <w:rFonts w:ascii="Verdana" w:eastAsia="Times New Roman" w:hAnsi="Verdana" w:cs="Arial"/>
          <w:lang w:eastAsia="es-CO"/>
        </w:rPr>
        <w:t>Atentamente,</w:t>
      </w:r>
      <w:r w:rsidRPr="00E7745C">
        <w:rPr>
          <w:rFonts w:ascii="Verdana" w:hAnsi="Verdana" w:cs="Arial"/>
          <w:lang w:eastAsia="es-CO"/>
        </w:rPr>
        <w:t xml:space="preserve"> </w:t>
      </w:r>
    </w:p>
    <w:p w14:paraId="7B21B32E" w14:textId="149D2CC5" w:rsidR="00871B59" w:rsidRPr="00E7745C" w:rsidRDefault="00B31EE1" w:rsidP="00871B59">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6CCB42AD" wp14:editId="4BE7E1B8">
            <wp:extent cx="3639058" cy="1343212"/>
            <wp:effectExtent l="0" t="0" r="0" b="0"/>
            <wp:docPr id="8005097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09746"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7745C" w:rsidRPr="00E7745C" w14:paraId="2A20789D" w14:textId="77777777" w:rsidTr="002607A7">
        <w:trPr>
          <w:trHeight w:val="315"/>
        </w:trPr>
        <w:tc>
          <w:tcPr>
            <w:tcW w:w="893" w:type="dxa"/>
            <w:vAlign w:val="center"/>
            <w:hideMark/>
          </w:tcPr>
          <w:p w14:paraId="56E3D941" w14:textId="77777777" w:rsidR="00871B59" w:rsidRPr="00E7745C" w:rsidRDefault="00871B59" w:rsidP="002607A7">
            <w:pPr>
              <w:contextualSpacing/>
              <w:rPr>
                <w:rFonts w:ascii="Verdana" w:hAnsi="Verdana" w:cs="Arial"/>
                <w:sz w:val="16"/>
                <w:szCs w:val="16"/>
                <w:lang w:val="es-ES" w:eastAsia="es-ES"/>
              </w:rPr>
            </w:pPr>
            <w:r w:rsidRPr="00E7745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13B52B84" w:rsidR="00871B59" w:rsidRPr="00E7745C" w:rsidRDefault="00E7745C" w:rsidP="002607A7">
            <w:pPr>
              <w:contextualSpacing/>
              <w:rPr>
                <w:rFonts w:ascii="Verdana" w:eastAsia="Arial" w:hAnsi="Verdana" w:cs="Arial"/>
                <w:sz w:val="16"/>
                <w:szCs w:val="16"/>
              </w:rPr>
            </w:pPr>
            <w:r>
              <w:rPr>
                <w:rFonts w:ascii="Verdana" w:eastAsia="Arial" w:hAnsi="Verdana" w:cs="Arial"/>
                <w:sz w:val="16"/>
                <w:szCs w:val="16"/>
              </w:rPr>
              <w:t>G</w:t>
            </w:r>
            <w:r>
              <w:rPr>
                <w:rFonts w:eastAsia="Arial" w:cs="Arial"/>
              </w:rPr>
              <w:t>loria Elizabeth Arango Builes</w:t>
            </w:r>
          </w:p>
          <w:p w14:paraId="27134A92" w14:textId="441C8F1A" w:rsidR="00871B59" w:rsidRPr="00E7745C" w:rsidRDefault="00E7745C" w:rsidP="002607A7">
            <w:pPr>
              <w:contextualSpacing/>
              <w:rPr>
                <w:rFonts w:ascii="Verdana" w:eastAsia="Arial" w:hAnsi="Verdana" w:cs="Arial"/>
                <w:sz w:val="16"/>
                <w:szCs w:val="16"/>
              </w:rPr>
            </w:pPr>
            <w:r>
              <w:rPr>
                <w:rStyle w:val="normaltextrun"/>
                <w:rFonts w:ascii="Verdana" w:eastAsia="Arial" w:hAnsi="Verdana" w:cs="Arial"/>
                <w:sz w:val="16"/>
                <w:szCs w:val="16"/>
              </w:rPr>
              <w:t>Contratista</w:t>
            </w:r>
            <w:r w:rsidR="00871B59" w:rsidRPr="00E7745C">
              <w:rPr>
                <w:rStyle w:val="normaltextrun"/>
                <w:rFonts w:ascii="Verdana" w:eastAsia="Arial" w:hAnsi="Verdana" w:cs="Arial"/>
                <w:sz w:val="16"/>
                <w:szCs w:val="16"/>
              </w:rPr>
              <w:t xml:space="preserve"> de la Subdirección de Gestión Contractual</w:t>
            </w:r>
          </w:p>
        </w:tc>
      </w:tr>
      <w:tr w:rsidR="00E7745C" w:rsidRPr="00E7745C" w14:paraId="409BBACC" w14:textId="77777777" w:rsidTr="002607A7">
        <w:trPr>
          <w:trHeight w:val="330"/>
        </w:trPr>
        <w:tc>
          <w:tcPr>
            <w:tcW w:w="893" w:type="dxa"/>
            <w:vAlign w:val="center"/>
            <w:hideMark/>
          </w:tcPr>
          <w:p w14:paraId="3ABFF401" w14:textId="77777777" w:rsidR="00871B59" w:rsidRPr="00E7745C" w:rsidRDefault="00871B59" w:rsidP="002607A7">
            <w:pPr>
              <w:contextualSpacing/>
              <w:rPr>
                <w:rFonts w:ascii="Verdana" w:hAnsi="Verdana" w:cs="Arial"/>
                <w:sz w:val="16"/>
                <w:szCs w:val="16"/>
                <w:lang w:val="es-ES" w:eastAsia="es-ES"/>
              </w:rPr>
            </w:pPr>
            <w:r w:rsidRPr="00E7745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3816E306" w:rsidR="00871B59" w:rsidRPr="00E7745C" w:rsidRDefault="00BD4587" w:rsidP="002607A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David Cárdenas Cabeza</w:t>
            </w:r>
          </w:p>
          <w:p w14:paraId="408B71DB" w14:textId="680C9ABA" w:rsidR="00871B59" w:rsidRPr="00E7745C" w:rsidRDefault="00BD4587" w:rsidP="002607A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w:t>
            </w:r>
            <w:r w:rsidR="00871B59" w:rsidRPr="00E7745C">
              <w:rPr>
                <w:rStyle w:val="normaltextrun"/>
                <w:rFonts w:ascii="Verdana" w:hAnsi="Verdana" w:cs="Arial"/>
                <w:sz w:val="16"/>
                <w:szCs w:val="16"/>
                <w:lang w:val="es-ES"/>
              </w:rPr>
              <w:t xml:space="preserve"> de la Subdirección de Gestión Contractual</w:t>
            </w:r>
            <w:r w:rsidR="00871B59" w:rsidRPr="00E7745C">
              <w:rPr>
                <w:rStyle w:val="eop"/>
                <w:rFonts w:ascii="Verdana" w:hAnsi="Verdana" w:cs="Arial"/>
                <w:sz w:val="16"/>
                <w:szCs w:val="16"/>
              </w:rPr>
              <w:t> </w:t>
            </w:r>
          </w:p>
        </w:tc>
      </w:tr>
      <w:tr w:rsidR="00871B59" w:rsidRPr="00E7745C" w14:paraId="2A81CFC8" w14:textId="77777777" w:rsidTr="002607A7">
        <w:trPr>
          <w:trHeight w:val="300"/>
        </w:trPr>
        <w:tc>
          <w:tcPr>
            <w:tcW w:w="893" w:type="dxa"/>
            <w:vAlign w:val="center"/>
          </w:tcPr>
          <w:p w14:paraId="3159EE97" w14:textId="77777777" w:rsidR="00871B59" w:rsidRPr="00E7745C" w:rsidRDefault="00871B59" w:rsidP="002607A7">
            <w:pPr>
              <w:contextualSpacing/>
              <w:rPr>
                <w:rFonts w:ascii="Verdana" w:hAnsi="Verdana" w:cs="Arial"/>
                <w:sz w:val="16"/>
                <w:szCs w:val="16"/>
                <w:lang w:val="es-ES" w:eastAsia="es-ES"/>
              </w:rPr>
            </w:pPr>
            <w:r w:rsidRPr="00E7745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E7745C" w:rsidRDefault="00871B59" w:rsidP="002607A7">
            <w:pPr>
              <w:contextualSpacing/>
              <w:rPr>
                <w:rFonts w:ascii="Verdana" w:eastAsia="Calibri" w:hAnsi="Verdana" w:cs="Arial"/>
                <w:sz w:val="16"/>
                <w:szCs w:val="16"/>
                <w:lang w:val="pt-BR" w:eastAsia="es-ES"/>
              </w:rPr>
            </w:pPr>
            <w:r w:rsidRPr="00E7745C">
              <w:rPr>
                <w:rFonts w:ascii="Verdana" w:eastAsia="Calibri" w:hAnsi="Verdana" w:cs="Arial"/>
                <w:sz w:val="16"/>
                <w:szCs w:val="16"/>
                <w:lang w:val="pt-BR" w:eastAsia="es-ES"/>
              </w:rPr>
              <w:t>Carolina Quintero Gacharná</w:t>
            </w:r>
          </w:p>
          <w:p w14:paraId="6EE38C14" w14:textId="77777777" w:rsidR="00871B59" w:rsidRPr="00E7745C" w:rsidRDefault="00871B59" w:rsidP="002607A7">
            <w:pPr>
              <w:contextualSpacing/>
              <w:rPr>
                <w:rFonts w:ascii="Verdana" w:eastAsia="Calibri" w:hAnsi="Verdana" w:cs="Arial"/>
                <w:sz w:val="16"/>
                <w:szCs w:val="16"/>
                <w:lang w:val="pt-BR" w:eastAsia="es-ES"/>
              </w:rPr>
            </w:pPr>
            <w:r w:rsidRPr="00E7745C">
              <w:rPr>
                <w:rFonts w:ascii="Verdana" w:eastAsia="Calibri" w:hAnsi="Verdana" w:cs="Arial"/>
                <w:sz w:val="16"/>
                <w:szCs w:val="16"/>
                <w:lang w:eastAsia="es-ES"/>
              </w:rPr>
              <w:t>Subdirectora</w:t>
            </w:r>
            <w:r w:rsidRPr="00E7745C">
              <w:rPr>
                <w:rFonts w:ascii="Verdana" w:eastAsia="Calibri" w:hAnsi="Verdana" w:cs="Arial"/>
                <w:sz w:val="16"/>
                <w:szCs w:val="16"/>
                <w:lang w:val="pt-BR" w:eastAsia="es-ES"/>
              </w:rPr>
              <w:t xml:space="preserve"> de Gestión Contractual ANCP – CCE</w:t>
            </w:r>
          </w:p>
        </w:tc>
      </w:tr>
    </w:tbl>
    <w:p w14:paraId="510CF084" w14:textId="77777777" w:rsidR="00871B59" w:rsidRPr="00E7745C" w:rsidRDefault="00871B59" w:rsidP="00871B59">
      <w:pPr>
        <w:spacing w:after="0" w:line="240" w:lineRule="auto"/>
        <w:rPr>
          <w:rFonts w:ascii="Verdana" w:eastAsia="Times New Roman" w:hAnsi="Verdana" w:cs="Arial"/>
          <w:sz w:val="24"/>
          <w:szCs w:val="24"/>
          <w:lang w:eastAsia="es-ES"/>
        </w:rPr>
      </w:pPr>
    </w:p>
    <w:p w14:paraId="0083C991" w14:textId="5C765C2F" w:rsidR="5D8505AD" w:rsidRPr="00E7745C" w:rsidRDefault="5D8505AD" w:rsidP="00871B59"/>
    <w:sectPr w:rsidR="5D8505AD" w:rsidRPr="00E7745C" w:rsidSect="00E45F4B">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A6E2" w14:textId="77777777" w:rsidR="0089574D" w:rsidRDefault="0089574D" w:rsidP="00B30448">
      <w:pPr>
        <w:spacing w:after="0" w:line="240" w:lineRule="auto"/>
      </w:pPr>
      <w:r>
        <w:separator/>
      </w:r>
    </w:p>
  </w:endnote>
  <w:endnote w:type="continuationSeparator" w:id="0">
    <w:p w14:paraId="4412AC82" w14:textId="77777777" w:rsidR="0089574D" w:rsidRDefault="0089574D" w:rsidP="00B30448">
      <w:pPr>
        <w:spacing w:after="0" w:line="240" w:lineRule="auto"/>
      </w:pPr>
      <w:r>
        <w:continuationSeparator/>
      </w:r>
    </w:p>
  </w:endnote>
  <w:endnote w:type="continuationNotice" w:id="1">
    <w:p w14:paraId="5330BDEA" w14:textId="77777777" w:rsidR="0089574D" w:rsidRDefault="008957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8E499" w14:textId="77777777" w:rsidR="0089574D" w:rsidRDefault="0089574D" w:rsidP="00B30448">
      <w:pPr>
        <w:spacing w:after="0" w:line="240" w:lineRule="auto"/>
      </w:pPr>
      <w:r>
        <w:separator/>
      </w:r>
    </w:p>
  </w:footnote>
  <w:footnote w:type="continuationSeparator" w:id="0">
    <w:p w14:paraId="205E5545" w14:textId="77777777" w:rsidR="0089574D" w:rsidRDefault="0089574D" w:rsidP="00B30448">
      <w:pPr>
        <w:spacing w:after="0" w:line="240" w:lineRule="auto"/>
      </w:pPr>
      <w:r>
        <w:continuationSeparator/>
      </w:r>
    </w:p>
  </w:footnote>
  <w:footnote w:type="continuationNotice" w:id="1">
    <w:p w14:paraId="5A1B4AA8" w14:textId="77777777" w:rsidR="0089574D" w:rsidRDefault="0089574D">
      <w:pPr>
        <w:spacing w:after="0" w:line="240" w:lineRule="auto"/>
      </w:pPr>
    </w:p>
  </w:footnote>
  <w:footnote w:id="2">
    <w:p w14:paraId="357426A8" w14:textId="77777777" w:rsidR="00E04FB1" w:rsidRPr="007C6133" w:rsidRDefault="00E04FB1" w:rsidP="00E04FB1">
      <w:pPr>
        <w:pStyle w:val="Textonotapie"/>
        <w:ind w:left="708"/>
        <w:rPr>
          <w:rFonts w:ascii="Verdana" w:hAnsi="Verdana"/>
          <w:sz w:val="16"/>
          <w:szCs w:val="16"/>
        </w:rPr>
      </w:pPr>
      <w:r w:rsidRPr="007C6133">
        <w:rPr>
          <w:rStyle w:val="Refdenotaalpie"/>
          <w:rFonts w:ascii="Verdana" w:hAnsi="Verdana"/>
          <w:sz w:val="16"/>
          <w:szCs w:val="16"/>
        </w:rPr>
        <w:footnoteRef/>
      </w:r>
      <w:r w:rsidRPr="007C6133">
        <w:rPr>
          <w:rFonts w:ascii="Verdana" w:hAnsi="Verdana"/>
          <w:sz w:val="16"/>
          <w:szCs w:val="16"/>
        </w:rPr>
        <w:t xml:space="preserve"> artículo 6 de la Ley 1150 de 2007.</w:t>
      </w:r>
    </w:p>
    <w:p w14:paraId="64441D3A" w14:textId="77777777" w:rsidR="007C6133" w:rsidRPr="007C6133" w:rsidRDefault="007C6133" w:rsidP="00E04FB1">
      <w:pPr>
        <w:pStyle w:val="Textonotapie"/>
        <w:ind w:left="708"/>
        <w:rPr>
          <w:rFonts w:ascii="Verdana" w:hAnsi="Verdana"/>
          <w:sz w:val="16"/>
          <w:szCs w:val="16"/>
          <w:lang w:val="es-ES"/>
        </w:rPr>
      </w:pPr>
    </w:p>
  </w:footnote>
  <w:footnote w:id="3">
    <w:p w14:paraId="43FBBE04" w14:textId="77777777" w:rsidR="00E04FB1" w:rsidRPr="007C6133" w:rsidRDefault="00E04FB1" w:rsidP="00E04FB1">
      <w:pPr>
        <w:pStyle w:val="Textonotapie"/>
        <w:ind w:firstLine="709"/>
        <w:jc w:val="both"/>
        <w:rPr>
          <w:rFonts w:ascii="Verdana" w:hAnsi="Verdana"/>
          <w:sz w:val="16"/>
          <w:szCs w:val="16"/>
          <w:lang w:val="es-CO"/>
        </w:rPr>
      </w:pPr>
      <w:r w:rsidRPr="007C6133">
        <w:rPr>
          <w:rStyle w:val="Refdenotaalpie"/>
          <w:rFonts w:ascii="Verdana" w:hAnsi="Verdana"/>
          <w:sz w:val="16"/>
          <w:szCs w:val="16"/>
        </w:rPr>
        <w:footnoteRef/>
      </w:r>
      <w:r w:rsidRPr="007C6133">
        <w:rPr>
          <w:rFonts w:ascii="Verdana" w:hAnsi="Verdana"/>
          <w:sz w:val="16"/>
          <w:szCs w:val="16"/>
        </w:rPr>
        <w:t xml:space="preserve"> </w:t>
      </w:r>
      <w:r w:rsidRPr="007C6133">
        <w:rPr>
          <w:rFonts w:ascii="Verdana" w:hAnsi="Verdana"/>
          <w:sz w:val="16"/>
          <w:szCs w:val="16"/>
          <w:lang w:val="es-CO"/>
        </w:rPr>
        <w:t xml:space="preserve">Consejo de Estado. Sala de Consulta y Servicio Civil. Consulta del 20 de mayo de 2010. Exp.1992. C. P. Enrique José Arboleda Perdomo. </w:t>
      </w:r>
    </w:p>
    <w:p w14:paraId="2BB58821" w14:textId="77777777" w:rsidR="00E04FB1" w:rsidRPr="00ED7249" w:rsidRDefault="00E04FB1" w:rsidP="00E04FB1">
      <w:pPr>
        <w:pStyle w:val="Textonotapie"/>
        <w:ind w:left="709" w:firstLine="709"/>
        <w:jc w:val="both"/>
        <w:rPr>
          <w:rFonts w:ascii="Verdana" w:hAnsi="Verdana"/>
          <w:sz w:val="12"/>
          <w:szCs w:val="12"/>
          <w:lang w:val="es-ES"/>
        </w:rPr>
      </w:pPr>
    </w:p>
  </w:footnote>
  <w:footnote w:id="4">
    <w:p w14:paraId="6E342A4F"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Style w:val="Refdenotaalpie"/>
          <w:rFonts w:ascii="Verdana" w:hAnsi="Verdana" w:cs="Arial"/>
          <w:sz w:val="16"/>
          <w:szCs w:val="16"/>
        </w:rPr>
        <w:footnoteRef/>
      </w:r>
      <w:r w:rsidRPr="00E510BB">
        <w:rPr>
          <w:rFonts w:ascii="Verdana" w:hAnsi="Verdana" w:cs="Arial"/>
          <w:sz w:val="16"/>
          <w:szCs w:val="16"/>
        </w:rPr>
        <w:t xml:space="preserve"> Ley 1150 de 2007: </w:t>
      </w:r>
      <w:r w:rsidRPr="00E510BB">
        <w:rPr>
          <w:rFonts w:ascii="Verdana" w:hAnsi="Verdana" w:cs="Arial"/>
          <w:i/>
          <w:iCs/>
          <w:sz w:val="16"/>
          <w:szCs w:val="16"/>
        </w:rPr>
        <w:t>“</w:t>
      </w:r>
      <w:r w:rsidRPr="00E510BB">
        <w:rPr>
          <w:rFonts w:ascii="Verdana" w:hAnsi="Verdana" w:cs="Arial"/>
          <w:sz w:val="16"/>
          <w:szCs w:val="16"/>
        </w:rPr>
        <w:t>Artículo 6. De la verificación de las condiciones de los proponentes.</w:t>
      </w:r>
    </w:p>
    <w:p w14:paraId="62480E1C"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Fonts w:ascii="Verdana" w:hAnsi="Verdana" w:cs="Arial"/>
          <w:sz w:val="16"/>
          <w:szCs w:val="16"/>
        </w:rPr>
        <w:t>[…]</w:t>
      </w:r>
    </w:p>
    <w:p w14:paraId="01523A4B"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Fonts w:ascii="Verdana" w:hAnsi="Verdana" w:cs="Arial"/>
          <w:i/>
          <w:iCs/>
          <w:sz w:val="16"/>
          <w:szCs w:val="16"/>
        </w:rPr>
        <w:t>“</w:t>
      </w:r>
      <w:r w:rsidRPr="00E510BB">
        <w:rPr>
          <w:rFonts w:ascii="Verdana" w:hAnsi="Verdana" w:cs="Arial"/>
          <w:sz w:val="16"/>
          <w:szCs w:val="16"/>
        </w:rPr>
        <w:t>6.1. […]</w:t>
      </w:r>
    </w:p>
    <w:p w14:paraId="4A92F4DC"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Fonts w:ascii="Verdana" w:hAnsi="Verdana" w:cs="Arial"/>
          <w:i/>
          <w:iCs/>
          <w:sz w:val="16"/>
          <w:szCs w:val="16"/>
        </w:rPr>
        <w:t>“</w:t>
      </w:r>
      <w:r w:rsidRPr="00E510BB">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2C87CCF"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Fonts w:ascii="Verdana" w:hAnsi="Verdana" w:cs="Arial"/>
          <w:i/>
          <w:iCs/>
          <w:sz w:val="16"/>
          <w:szCs w:val="16"/>
        </w:rPr>
        <w:t>“</w:t>
      </w:r>
      <w:r w:rsidRPr="00E510BB">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6068CAD1"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Fonts w:ascii="Verdana" w:hAnsi="Verdana" w:cs="Arial"/>
          <w:sz w:val="16"/>
          <w:szCs w:val="16"/>
        </w:rPr>
        <w:t>[…]</w:t>
      </w:r>
      <w:r w:rsidRPr="00E510BB">
        <w:rPr>
          <w:rFonts w:ascii="Verdana" w:hAnsi="Verdana" w:cs="Arial"/>
          <w:i/>
          <w:iCs/>
          <w:sz w:val="16"/>
          <w:szCs w:val="16"/>
        </w:rPr>
        <w:t>”</w:t>
      </w:r>
      <w:r w:rsidRPr="00E510BB">
        <w:rPr>
          <w:rFonts w:ascii="Verdana" w:hAnsi="Verdana" w:cs="Arial"/>
          <w:sz w:val="16"/>
          <w:szCs w:val="16"/>
        </w:rPr>
        <w:t>.</w:t>
      </w:r>
    </w:p>
    <w:p w14:paraId="2F39A7EB" w14:textId="77777777" w:rsidR="00E04FB1" w:rsidRPr="00E510BB" w:rsidRDefault="00E04FB1" w:rsidP="00E04FB1">
      <w:pPr>
        <w:pStyle w:val="Textonotapie"/>
        <w:ind w:firstLine="709"/>
        <w:contextualSpacing/>
        <w:jc w:val="both"/>
        <w:rPr>
          <w:rFonts w:ascii="Century Gothic" w:hAnsi="Century Gothic" w:cs="Arial"/>
          <w:sz w:val="16"/>
          <w:szCs w:val="16"/>
          <w:lang w:val="es-ES"/>
        </w:rPr>
      </w:pPr>
    </w:p>
  </w:footnote>
  <w:footnote w:id="5">
    <w:p w14:paraId="51EBB3BE"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Style w:val="Refdenotaalpie"/>
          <w:rFonts w:ascii="Verdana" w:hAnsi="Verdana" w:cs="Arial"/>
          <w:sz w:val="16"/>
          <w:szCs w:val="16"/>
        </w:rPr>
        <w:footnoteRef/>
      </w:r>
      <w:r w:rsidRPr="00E510BB">
        <w:rPr>
          <w:rFonts w:ascii="Verdana" w:hAnsi="Verdana" w:cs="Arial"/>
          <w:sz w:val="16"/>
          <w:szCs w:val="16"/>
        </w:rPr>
        <w:t xml:space="preserve"> Consejo de Estado. Sección Tercera. Subsección A. Sentencia del 12 de febrero de 2014. Exp. 31.753. C.P. Mauricio Fajardo Gómez: </w:t>
      </w:r>
      <w:r w:rsidRPr="00E510BB">
        <w:rPr>
          <w:rFonts w:ascii="Verdana" w:hAnsi="Verdana" w:cs="Arial"/>
          <w:i/>
          <w:iCs/>
          <w:sz w:val="16"/>
          <w:szCs w:val="16"/>
        </w:rPr>
        <w:t>“</w:t>
      </w:r>
      <w:r w:rsidRPr="00E510BB">
        <w:rPr>
          <w:rFonts w:ascii="Verdana" w:hAnsi="Verdana" w:cs="Arial"/>
          <w:sz w:val="16"/>
          <w:szCs w:val="16"/>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sidRPr="00E510BB">
        <w:rPr>
          <w:rFonts w:ascii="Verdana" w:hAnsi="Verdana" w:cs="Arial"/>
          <w:i/>
          <w:iCs/>
          <w:sz w:val="16"/>
          <w:szCs w:val="16"/>
        </w:rPr>
        <w:t>”</w:t>
      </w:r>
      <w:r w:rsidRPr="00E510BB">
        <w:rPr>
          <w:rFonts w:ascii="Verdana" w:hAnsi="Verdana" w:cs="Arial"/>
          <w:sz w:val="16"/>
          <w:szCs w:val="16"/>
        </w:rPr>
        <w:t>.</w:t>
      </w:r>
    </w:p>
    <w:p w14:paraId="5A5B63E7" w14:textId="77777777" w:rsidR="00E04FB1" w:rsidRPr="00E510BB" w:rsidRDefault="00E04FB1" w:rsidP="00E04FB1">
      <w:pPr>
        <w:pStyle w:val="Textonotapie"/>
        <w:ind w:firstLine="709"/>
        <w:contextualSpacing/>
        <w:jc w:val="both"/>
        <w:rPr>
          <w:rFonts w:ascii="Verdana" w:hAnsi="Verdana" w:cs="Arial"/>
          <w:sz w:val="16"/>
          <w:szCs w:val="16"/>
          <w:lang w:val="es-ES"/>
        </w:rPr>
      </w:pPr>
    </w:p>
  </w:footnote>
  <w:footnote w:id="6">
    <w:p w14:paraId="7F1473A0"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Style w:val="Refdenotaalpie"/>
          <w:rFonts w:ascii="Verdana" w:hAnsi="Verdana" w:cs="Arial"/>
          <w:sz w:val="16"/>
          <w:szCs w:val="16"/>
        </w:rPr>
        <w:footnoteRef/>
      </w:r>
      <w:r w:rsidRPr="00E510BB">
        <w:rPr>
          <w:rFonts w:ascii="Verdana" w:hAnsi="Verdana" w:cs="Arial"/>
          <w:sz w:val="16"/>
          <w:szCs w:val="16"/>
        </w:rPr>
        <w:t xml:space="preserve"> Ley 1150 de 2007: </w:t>
      </w:r>
      <w:r w:rsidRPr="00E510BB">
        <w:rPr>
          <w:rFonts w:ascii="Verdana" w:hAnsi="Verdana" w:cs="Arial"/>
          <w:i/>
          <w:iCs/>
          <w:sz w:val="16"/>
          <w:szCs w:val="16"/>
        </w:rPr>
        <w:t>“</w:t>
      </w:r>
      <w:r w:rsidRPr="00E510BB">
        <w:rPr>
          <w:rFonts w:ascii="Verdana" w:hAnsi="Verdana" w:cs="Arial"/>
          <w:sz w:val="16"/>
          <w:szCs w:val="16"/>
        </w:rPr>
        <w:t xml:space="preserve">Artículo 6.  De la verificación de las condiciones de los proponentes. </w:t>
      </w:r>
    </w:p>
    <w:p w14:paraId="4EA4B1BE" w14:textId="77777777" w:rsidR="00E04FB1" w:rsidRPr="00E510BB" w:rsidRDefault="00E04FB1" w:rsidP="00E04FB1">
      <w:pPr>
        <w:pStyle w:val="Textonotapie"/>
        <w:ind w:firstLine="709"/>
        <w:contextualSpacing/>
        <w:jc w:val="both"/>
        <w:rPr>
          <w:rFonts w:ascii="Verdana" w:hAnsi="Verdana" w:cs="Arial"/>
          <w:sz w:val="16"/>
          <w:szCs w:val="16"/>
        </w:rPr>
      </w:pPr>
      <w:r w:rsidRPr="00E510BB">
        <w:rPr>
          <w:rFonts w:ascii="Verdana" w:hAnsi="Verdana" w:cs="Arial"/>
          <w:sz w:val="16"/>
          <w:szCs w:val="16"/>
        </w:rPr>
        <w:t xml:space="preserve">[...] </w:t>
      </w:r>
    </w:p>
    <w:p w14:paraId="1F43A02A" w14:textId="77777777" w:rsidR="00E04FB1" w:rsidRPr="007C6133" w:rsidRDefault="00E04FB1" w:rsidP="00E04FB1">
      <w:pPr>
        <w:pStyle w:val="Textonotapie"/>
        <w:ind w:firstLine="709"/>
        <w:contextualSpacing/>
        <w:jc w:val="both"/>
        <w:rPr>
          <w:rFonts w:ascii="Verdana" w:hAnsi="Verdana" w:cs="Arial"/>
          <w:sz w:val="16"/>
          <w:szCs w:val="16"/>
        </w:rPr>
      </w:pPr>
      <w:r w:rsidRPr="00E510BB">
        <w:rPr>
          <w:rFonts w:ascii="Verdana" w:hAnsi="Verdana" w:cs="Arial"/>
          <w:i/>
          <w:iCs/>
          <w:sz w:val="16"/>
          <w:szCs w:val="16"/>
        </w:rPr>
        <w:t>“</w:t>
      </w:r>
      <w:r w:rsidRPr="00E510BB">
        <w:rPr>
          <w:rFonts w:ascii="Verdana" w:hAnsi="Verdana" w:cs="Arial"/>
          <w:sz w:val="16"/>
          <w:szCs w:val="16"/>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w:t>
      </w:r>
      <w:r w:rsidRPr="00AD628E">
        <w:rPr>
          <w:rFonts w:ascii="Verdana" w:hAnsi="Verdana" w:cs="Arial"/>
          <w:sz w:val="12"/>
          <w:szCs w:val="12"/>
        </w:rPr>
        <w:t xml:space="preserve"> </w:t>
      </w:r>
      <w:r w:rsidRPr="007C6133">
        <w:rPr>
          <w:rFonts w:ascii="Verdana" w:hAnsi="Verdana" w:cs="Arial"/>
          <w:sz w:val="16"/>
          <w:szCs w:val="16"/>
        </w:rPr>
        <w:t>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0643272" w14:textId="77777777" w:rsidR="00E04FB1" w:rsidRPr="007C6133" w:rsidRDefault="00E04FB1" w:rsidP="00E04FB1">
      <w:pPr>
        <w:pStyle w:val="Textonotapie"/>
        <w:ind w:firstLine="709"/>
        <w:contextualSpacing/>
        <w:jc w:val="both"/>
        <w:rPr>
          <w:rFonts w:ascii="Verdana" w:hAnsi="Verdana" w:cs="Arial"/>
          <w:sz w:val="16"/>
          <w:szCs w:val="16"/>
        </w:rPr>
      </w:pPr>
      <w:r w:rsidRPr="007C6133">
        <w:rPr>
          <w:rFonts w:ascii="Verdana" w:hAnsi="Verdana" w:cs="Arial"/>
          <w:sz w:val="16"/>
          <w:szCs w:val="16"/>
        </w:rPr>
        <w:t>[...]</w:t>
      </w:r>
      <w:r w:rsidRPr="007C6133">
        <w:rPr>
          <w:rFonts w:ascii="Verdana" w:hAnsi="Verdana" w:cs="Arial"/>
          <w:i/>
          <w:iCs/>
          <w:sz w:val="16"/>
          <w:szCs w:val="16"/>
        </w:rPr>
        <w:t>”</w:t>
      </w:r>
      <w:r w:rsidRPr="007C6133">
        <w:rPr>
          <w:rFonts w:ascii="Verdana" w:hAnsi="Verdana" w:cs="Arial"/>
          <w:sz w:val="16"/>
          <w:szCs w:val="16"/>
        </w:rPr>
        <w:t xml:space="preserve">. </w:t>
      </w:r>
    </w:p>
    <w:p w14:paraId="1EEFE1F5" w14:textId="77777777" w:rsidR="00E04FB1" w:rsidRPr="007C6133" w:rsidRDefault="00E04FB1" w:rsidP="00E04FB1">
      <w:pPr>
        <w:pStyle w:val="Textonotapie"/>
        <w:ind w:firstLine="709"/>
        <w:contextualSpacing/>
        <w:jc w:val="both"/>
        <w:rPr>
          <w:rFonts w:ascii="Verdana" w:hAnsi="Verdana" w:cs="Arial"/>
          <w:sz w:val="16"/>
          <w:szCs w:val="16"/>
        </w:rPr>
      </w:pPr>
    </w:p>
  </w:footnote>
  <w:footnote w:id="7">
    <w:p w14:paraId="73BC43BA" w14:textId="77777777" w:rsidR="00E04FB1" w:rsidRPr="007C6133" w:rsidRDefault="00E04FB1" w:rsidP="00E04FB1">
      <w:pPr>
        <w:pStyle w:val="Textonotapie"/>
        <w:ind w:firstLine="709"/>
        <w:contextualSpacing/>
        <w:jc w:val="both"/>
        <w:rPr>
          <w:rFonts w:ascii="Verdana" w:hAnsi="Verdana" w:cs="Arial"/>
          <w:sz w:val="16"/>
          <w:szCs w:val="16"/>
        </w:rPr>
      </w:pPr>
      <w:r w:rsidRPr="007C6133">
        <w:rPr>
          <w:rStyle w:val="Refdenotaalpie"/>
          <w:rFonts w:ascii="Verdana" w:hAnsi="Verdana" w:cs="Arial"/>
          <w:sz w:val="16"/>
          <w:szCs w:val="16"/>
        </w:rPr>
        <w:footnoteRef/>
      </w:r>
      <w:r w:rsidRPr="007C6133">
        <w:rPr>
          <w:rFonts w:ascii="Verdana" w:hAnsi="Verdana" w:cs="Arial"/>
          <w:sz w:val="16"/>
          <w:szCs w:val="16"/>
        </w:rPr>
        <w:t xml:space="preserve">  </w:t>
      </w:r>
      <w:r w:rsidRPr="007C6133">
        <w:rPr>
          <w:rFonts w:ascii="Verdana" w:hAnsi="Verdana" w:cs="Arial"/>
          <w:i/>
          <w:iCs/>
          <w:sz w:val="16"/>
          <w:szCs w:val="16"/>
        </w:rPr>
        <w:t>“</w:t>
      </w:r>
      <w:r w:rsidRPr="007C6133">
        <w:rPr>
          <w:rFonts w:ascii="Verdana" w:hAnsi="Verdana" w:cs="Arial"/>
          <w:sz w:val="16"/>
          <w:szCs w:val="16"/>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7C6133">
        <w:rPr>
          <w:rFonts w:ascii="Verdana" w:hAnsi="Verdana" w:cs="Arial"/>
          <w:i/>
          <w:iCs/>
          <w:sz w:val="16"/>
          <w:szCs w:val="16"/>
        </w:rPr>
        <w:t>”</w:t>
      </w:r>
      <w:r w:rsidRPr="007C6133">
        <w:rPr>
          <w:rFonts w:ascii="Verdana" w:hAnsi="Verdana" w:cs="Arial"/>
          <w:sz w:val="16"/>
          <w:szCs w:val="16"/>
        </w:rPr>
        <w:t>.</w:t>
      </w:r>
    </w:p>
    <w:p w14:paraId="187F28FD" w14:textId="77777777" w:rsidR="00E04FB1" w:rsidRPr="007C6133" w:rsidRDefault="00E04FB1" w:rsidP="00E04FB1">
      <w:pPr>
        <w:pStyle w:val="Textonotapie"/>
        <w:ind w:firstLine="709"/>
        <w:contextualSpacing/>
        <w:jc w:val="both"/>
        <w:rPr>
          <w:rFonts w:ascii="Verdana" w:hAnsi="Verdana" w:cs="Arial"/>
          <w:sz w:val="16"/>
          <w:szCs w:val="16"/>
        </w:rPr>
      </w:pPr>
    </w:p>
  </w:footnote>
  <w:footnote w:id="8">
    <w:p w14:paraId="61543379" w14:textId="77777777" w:rsidR="00E04FB1" w:rsidRPr="007C6133" w:rsidRDefault="00E04FB1" w:rsidP="00E04FB1">
      <w:pPr>
        <w:pStyle w:val="Textonotapie"/>
        <w:ind w:firstLine="708"/>
        <w:contextualSpacing/>
        <w:jc w:val="both"/>
        <w:rPr>
          <w:rFonts w:ascii="Verdana" w:hAnsi="Verdana" w:cs="Arial"/>
          <w:sz w:val="16"/>
          <w:szCs w:val="16"/>
        </w:rPr>
      </w:pPr>
      <w:r w:rsidRPr="007C6133">
        <w:rPr>
          <w:rStyle w:val="Refdenotaalpie"/>
          <w:rFonts w:ascii="Verdana" w:hAnsi="Verdana" w:cs="Arial"/>
          <w:sz w:val="16"/>
          <w:szCs w:val="16"/>
        </w:rPr>
        <w:footnoteRef/>
      </w:r>
      <w:r w:rsidRPr="007C6133">
        <w:rPr>
          <w:rFonts w:ascii="Verdana" w:hAnsi="Verdana"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76478052" w14:textId="77777777" w:rsidR="00E04FB1" w:rsidRPr="007C6133" w:rsidRDefault="00E04FB1" w:rsidP="00E04FB1">
      <w:pPr>
        <w:pStyle w:val="Textonotapie"/>
        <w:ind w:firstLine="708"/>
        <w:contextualSpacing/>
        <w:jc w:val="both"/>
        <w:rPr>
          <w:rFonts w:ascii="Verdana" w:hAnsi="Verdana" w:cs="Arial"/>
          <w:sz w:val="16"/>
          <w:szCs w:val="16"/>
          <w:lang w:val="es-CO"/>
        </w:rPr>
      </w:pPr>
    </w:p>
  </w:footnote>
  <w:footnote w:id="9">
    <w:p w14:paraId="3012C20D" w14:textId="77777777" w:rsidR="00E04FB1" w:rsidRPr="00E510BB" w:rsidRDefault="00E04FB1" w:rsidP="00E04FB1">
      <w:pPr>
        <w:pStyle w:val="Textonotapie"/>
        <w:ind w:firstLine="708"/>
        <w:jc w:val="both"/>
        <w:rPr>
          <w:rFonts w:ascii="Verdana" w:hAnsi="Verdana" w:cs="Arial"/>
          <w:sz w:val="16"/>
          <w:szCs w:val="16"/>
        </w:rPr>
      </w:pPr>
      <w:r w:rsidRPr="00E510BB">
        <w:rPr>
          <w:rStyle w:val="Refdenotaalpie"/>
          <w:rFonts w:ascii="Verdana" w:hAnsi="Verdana" w:cs="Arial"/>
          <w:sz w:val="16"/>
          <w:szCs w:val="16"/>
        </w:rPr>
        <w:footnoteRef/>
      </w:r>
      <w:r w:rsidRPr="00E510BB">
        <w:rPr>
          <w:rFonts w:ascii="Verdana" w:hAnsi="Verdana" w:cs="Arial"/>
          <w:sz w:val="16"/>
          <w:szCs w:val="16"/>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AAB34BA" w14:textId="77777777" w:rsidR="00E04FB1" w:rsidRPr="00E510BB" w:rsidRDefault="00E04FB1" w:rsidP="00E04FB1">
      <w:pPr>
        <w:pStyle w:val="Textonotapie"/>
        <w:ind w:firstLine="708"/>
        <w:jc w:val="both"/>
        <w:rPr>
          <w:rFonts w:ascii="Verdana" w:hAnsi="Verdana" w:cs="Arial"/>
          <w:sz w:val="16"/>
          <w:szCs w:val="16"/>
        </w:rPr>
      </w:pPr>
      <w:r w:rsidRPr="00E510BB">
        <w:rPr>
          <w:rFonts w:ascii="Verdana" w:hAnsi="Verdana" w:cs="Arial"/>
          <w:sz w:val="16"/>
          <w:szCs w:val="16"/>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512B2C3" w14:textId="77777777" w:rsidR="00E04FB1" w:rsidRPr="00E510BB" w:rsidRDefault="00E04FB1" w:rsidP="00E04FB1">
      <w:pPr>
        <w:pStyle w:val="Textonotapie"/>
        <w:ind w:firstLine="708"/>
        <w:jc w:val="both"/>
        <w:rPr>
          <w:rFonts w:ascii="Verdana" w:hAnsi="Verdana" w:cs="Arial"/>
          <w:sz w:val="16"/>
          <w:szCs w:val="16"/>
        </w:rPr>
      </w:pPr>
      <w:r w:rsidRPr="00E510BB">
        <w:rPr>
          <w:rFonts w:ascii="Verdana" w:hAnsi="Verdana" w:cs="Arial"/>
          <w:sz w:val="16"/>
          <w:szCs w:val="16"/>
        </w:rPr>
        <w:t>[...]</w:t>
      </w:r>
    </w:p>
    <w:p w14:paraId="6960D1F5" w14:textId="77777777" w:rsidR="00E04FB1" w:rsidRPr="00E510BB" w:rsidRDefault="00E04FB1" w:rsidP="00E04FB1">
      <w:pPr>
        <w:pStyle w:val="Textonotapie"/>
        <w:ind w:firstLine="708"/>
        <w:jc w:val="both"/>
        <w:rPr>
          <w:rFonts w:ascii="Verdana" w:hAnsi="Verdana" w:cs="Arial"/>
          <w:sz w:val="16"/>
          <w:szCs w:val="16"/>
        </w:rPr>
      </w:pPr>
      <w:r w:rsidRPr="00E510BB">
        <w:rPr>
          <w:rFonts w:ascii="Verdana" w:hAnsi="Verdana" w:cs="Arial"/>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42638C3B" w14:textId="77777777" w:rsidR="00E04FB1" w:rsidRPr="00E510BB" w:rsidRDefault="00E04FB1" w:rsidP="00E04FB1">
      <w:pPr>
        <w:pStyle w:val="Textonotapie"/>
        <w:ind w:firstLine="708"/>
        <w:jc w:val="both"/>
        <w:rPr>
          <w:rFonts w:ascii="Verdana" w:hAnsi="Verdana" w:cs="Arial"/>
          <w:sz w:val="16"/>
          <w:szCs w:val="16"/>
        </w:rPr>
      </w:pPr>
      <w:r w:rsidRPr="00E510BB">
        <w:rPr>
          <w:rFonts w:ascii="Verdana" w:hAnsi="Verdana" w:cs="Arial"/>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00078050" w14:textId="77777777" w:rsidR="00E04FB1" w:rsidRPr="00E510BB" w:rsidRDefault="00E04FB1" w:rsidP="00E04FB1">
      <w:pPr>
        <w:pStyle w:val="Textonotapie"/>
        <w:ind w:firstLine="708"/>
        <w:jc w:val="both"/>
        <w:rPr>
          <w:rFonts w:ascii="Verdana" w:hAnsi="Verdana" w:cs="Arial"/>
          <w:sz w:val="16"/>
          <w:szCs w:val="16"/>
        </w:rPr>
      </w:pPr>
      <w:r w:rsidRPr="00E510BB">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73AC"/>
    <w:rsid w:val="000817F6"/>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2418D"/>
    <w:rsid w:val="00243D56"/>
    <w:rsid w:val="002527C2"/>
    <w:rsid w:val="00270443"/>
    <w:rsid w:val="00270EE2"/>
    <w:rsid w:val="00272972"/>
    <w:rsid w:val="00286491"/>
    <w:rsid w:val="002A0F8D"/>
    <w:rsid w:val="002B6E44"/>
    <w:rsid w:val="002B74B1"/>
    <w:rsid w:val="002E1DB5"/>
    <w:rsid w:val="002F6CCB"/>
    <w:rsid w:val="0030461E"/>
    <w:rsid w:val="0032650D"/>
    <w:rsid w:val="0032756A"/>
    <w:rsid w:val="00334EF8"/>
    <w:rsid w:val="00336408"/>
    <w:rsid w:val="00340DFB"/>
    <w:rsid w:val="0034404F"/>
    <w:rsid w:val="00356980"/>
    <w:rsid w:val="00367462"/>
    <w:rsid w:val="00371ECA"/>
    <w:rsid w:val="00372748"/>
    <w:rsid w:val="0037332A"/>
    <w:rsid w:val="003761CA"/>
    <w:rsid w:val="0038151A"/>
    <w:rsid w:val="0039082A"/>
    <w:rsid w:val="00390C21"/>
    <w:rsid w:val="003A37BD"/>
    <w:rsid w:val="003B6D94"/>
    <w:rsid w:val="003C4C96"/>
    <w:rsid w:val="003C55E0"/>
    <w:rsid w:val="003F519B"/>
    <w:rsid w:val="003F644D"/>
    <w:rsid w:val="0040544F"/>
    <w:rsid w:val="00406A19"/>
    <w:rsid w:val="0041222D"/>
    <w:rsid w:val="0041483E"/>
    <w:rsid w:val="00415369"/>
    <w:rsid w:val="00430492"/>
    <w:rsid w:val="00450BE7"/>
    <w:rsid w:val="0046741E"/>
    <w:rsid w:val="00472CC6"/>
    <w:rsid w:val="00475DF2"/>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05135"/>
    <w:rsid w:val="0061690E"/>
    <w:rsid w:val="00627361"/>
    <w:rsid w:val="0063017E"/>
    <w:rsid w:val="00631B28"/>
    <w:rsid w:val="00632DC2"/>
    <w:rsid w:val="00645660"/>
    <w:rsid w:val="00645B90"/>
    <w:rsid w:val="00650991"/>
    <w:rsid w:val="006511D7"/>
    <w:rsid w:val="00663D75"/>
    <w:rsid w:val="00670AEF"/>
    <w:rsid w:val="00672A77"/>
    <w:rsid w:val="00674699"/>
    <w:rsid w:val="00675678"/>
    <w:rsid w:val="00677012"/>
    <w:rsid w:val="006825B4"/>
    <w:rsid w:val="00682AF2"/>
    <w:rsid w:val="006864DF"/>
    <w:rsid w:val="006A3C8A"/>
    <w:rsid w:val="006A7552"/>
    <w:rsid w:val="006B5953"/>
    <w:rsid w:val="006B7A81"/>
    <w:rsid w:val="006C4BAC"/>
    <w:rsid w:val="006C52F3"/>
    <w:rsid w:val="006D03C0"/>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3626"/>
    <w:rsid w:val="007A3C1D"/>
    <w:rsid w:val="007B285D"/>
    <w:rsid w:val="007C6133"/>
    <w:rsid w:val="007C6BC6"/>
    <w:rsid w:val="00807D79"/>
    <w:rsid w:val="00813634"/>
    <w:rsid w:val="00822821"/>
    <w:rsid w:val="00831C29"/>
    <w:rsid w:val="008431EF"/>
    <w:rsid w:val="008468E0"/>
    <w:rsid w:val="008526E9"/>
    <w:rsid w:val="00871B59"/>
    <w:rsid w:val="00877D03"/>
    <w:rsid w:val="00877E96"/>
    <w:rsid w:val="008806CA"/>
    <w:rsid w:val="008815E5"/>
    <w:rsid w:val="00887B37"/>
    <w:rsid w:val="008909B9"/>
    <w:rsid w:val="00891DFC"/>
    <w:rsid w:val="0089574D"/>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83695"/>
    <w:rsid w:val="00993A6B"/>
    <w:rsid w:val="00995D86"/>
    <w:rsid w:val="009A5453"/>
    <w:rsid w:val="009B4D94"/>
    <w:rsid w:val="009C2871"/>
    <w:rsid w:val="009D3C33"/>
    <w:rsid w:val="009D7F3A"/>
    <w:rsid w:val="009E4885"/>
    <w:rsid w:val="009E7AF9"/>
    <w:rsid w:val="009F215F"/>
    <w:rsid w:val="00A07DB6"/>
    <w:rsid w:val="00A10A73"/>
    <w:rsid w:val="00A170B3"/>
    <w:rsid w:val="00A223D5"/>
    <w:rsid w:val="00A31221"/>
    <w:rsid w:val="00A37D1C"/>
    <w:rsid w:val="00A4062B"/>
    <w:rsid w:val="00A5453E"/>
    <w:rsid w:val="00A56F6C"/>
    <w:rsid w:val="00A76C8C"/>
    <w:rsid w:val="00A85F30"/>
    <w:rsid w:val="00A9099E"/>
    <w:rsid w:val="00A91FB7"/>
    <w:rsid w:val="00A9298F"/>
    <w:rsid w:val="00AA0351"/>
    <w:rsid w:val="00AA5F4A"/>
    <w:rsid w:val="00AB1984"/>
    <w:rsid w:val="00AB4B61"/>
    <w:rsid w:val="00AB52B1"/>
    <w:rsid w:val="00AC4CB3"/>
    <w:rsid w:val="00AC780D"/>
    <w:rsid w:val="00AD036B"/>
    <w:rsid w:val="00AD1996"/>
    <w:rsid w:val="00AD4099"/>
    <w:rsid w:val="00AD4901"/>
    <w:rsid w:val="00B02FE0"/>
    <w:rsid w:val="00B057B6"/>
    <w:rsid w:val="00B2575B"/>
    <w:rsid w:val="00B30448"/>
    <w:rsid w:val="00B31EE1"/>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A3A71"/>
    <w:rsid w:val="00BB3072"/>
    <w:rsid w:val="00BC7632"/>
    <w:rsid w:val="00BD4587"/>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6BDA"/>
    <w:rsid w:val="00D03DBE"/>
    <w:rsid w:val="00D072C0"/>
    <w:rsid w:val="00D34C82"/>
    <w:rsid w:val="00D3757A"/>
    <w:rsid w:val="00D47CD4"/>
    <w:rsid w:val="00D504A9"/>
    <w:rsid w:val="00D5206D"/>
    <w:rsid w:val="00D54548"/>
    <w:rsid w:val="00D7177D"/>
    <w:rsid w:val="00D81311"/>
    <w:rsid w:val="00DB201E"/>
    <w:rsid w:val="00DC0E68"/>
    <w:rsid w:val="00DD25ED"/>
    <w:rsid w:val="00DE0D6E"/>
    <w:rsid w:val="00E04FB1"/>
    <w:rsid w:val="00E1610C"/>
    <w:rsid w:val="00E16D73"/>
    <w:rsid w:val="00E23E9E"/>
    <w:rsid w:val="00E25722"/>
    <w:rsid w:val="00E27F0A"/>
    <w:rsid w:val="00E4231E"/>
    <w:rsid w:val="00E4302C"/>
    <w:rsid w:val="00E44AC7"/>
    <w:rsid w:val="00E45F4B"/>
    <w:rsid w:val="00E510BB"/>
    <w:rsid w:val="00E60A16"/>
    <w:rsid w:val="00E628FA"/>
    <w:rsid w:val="00E66E44"/>
    <w:rsid w:val="00E72D20"/>
    <w:rsid w:val="00E7745C"/>
    <w:rsid w:val="00E82B6E"/>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24CD"/>
    <w:rsid w:val="00F53BE2"/>
    <w:rsid w:val="00F55684"/>
    <w:rsid w:val="00F64D5A"/>
    <w:rsid w:val="00F709CD"/>
    <w:rsid w:val="00F906F4"/>
    <w:rsid w:val="00FA0716"/>
    <w:rsid w:val="00FA4E40"/>
    <w:rsid w:val="00FB4629"/>
    <w:rsid w:val="00FB6FB1"/>
    <w:rsid w:val="00FB7063"/>
    <w:rsid w:val="00FC7056"/>
    <w:rsid w:val="00FD4D94"/>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682980145">
      <w:bodyDiv w:val="1"/>
      <w:marLeft w:val="0"/>
      <w:marRight w:val="0"/>
      <w:marTop w:val="0"/>
      <w:marBottom w:val="0"/>
      <w:divBdr>
        <w:top w:val="none" w:sz="0" w:space="0" w:color="auto"/>
        <w:left w:val="none" w:sz="0" w:space="0" w:color="auto"/>
        <w:bottom w:val="none" w:sz="0" w:space="0" w:color="auto"/>
        <w:right w:val="none" w:sz="0" w:space="0" w:color="auto"/>
      </w:divBdr>
    </w:div>
    <w:div w:id="729108623">
      <w:bodyDiv w:val="1"/>
      <w:marLeft w:val="0"/>
      <w:marRight w:val="0"/>
      <w:marTop w:val="0"/>
      <w:marBottom w:val="0"/>
      <w:divBdr>
        <w:top w:val="none" w:sz="0" w:space="0" w:color="auto"/>
        <w:left w:val="none" w:sz="0" w:space="0" w:color="auto"/>
        <w:bottom w:val="none" w:sz="0" w:space="0" w:color="auto"/>
        <w:right w:val="none" w:sz="0" w:space="0" w:color="auto"/>
      </w:divBdr>
    </w:div>
    <w:div w:id="747579004">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17973852">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3156</Words>
  <Characters>17361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5</cp:revision>
  <dcterms:created xsi:type="dcterms:W3CDTF">2025-04-11T09:50:00Z</dcterms:created>
  <dcterms:modified xsi:type="dcterms:W3CDTF">2025-04-14T14:04:00Z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