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90624" w14:textId="77777777" w:rsidR="008B21F8" w:rsidRPr="001B16C2" w:rsidRDefault="008B21F8" w:rsidP="008B21F8">
      <w:pPr>
        <w:jc w:val="both"/>
        <w:rPr>
          <w:rFonts w:ascii="Verdana" w:eastAsia="Calibri" w:hAnsi="Verdana" w:cs="Arial"/>
          <w:b/>
          <w:bCs/>
          <w:sz w:val="20"/>
          <w:szCs w:val="20"/>
          <w:lang w:eastAsia="es-ES"/>
        </w:rPr>
      </w:pPr>
      <w:bookmarkStart w:id="0" w:name="_Hlk186494164"/>
      <w:r w:rsidRPr="001B16C2">
        <w:rPr>
          <w:rFonts w:ascii="Verdana" w:eastAsia="Calibri" w:hAnsi="Verdana" w:cs="Arial"/>
          <w:b/>
          <w:bCs/>
          <w:sz w:val="20"/>
          <w:szCs w:val="20"/>
          <w:lang w:eastAsia="es-ES"/>
        </w:rPr>
        <w:t xml:space="preserve">CONTRATO DE PRESTACIÓN DE SERVICIOS – Características </w:t>
      </w:r>
    </w:p>
    <w:p w14:paraId="23AB059B" w14:textId="77777777" w:rsidR="00F05986" w:rsidRPr="001B16C2" w:rsidRDefault="00F05986" w:rsidP="00F05986">
      <w:pPr>
        <w:spacing w:line="240" w:lineRule="auto"/>
        <w:jc w:val="both"/>
        <w:rPr>
          <w:rFonts w:ascii="Verdana" w:eastAsia="Calibri" w:hAnsi="Verdana" w:cs="Arial"/>
          <w:b/>
          <w:bCs/>
          <w:color w:val="000000"/>
          <w:sz w:val="20"/>
          <w:szCs w:val="20"/>
          <w:lang w:val="es-ES_tradnl"/>
        </w:rPr>
      </w:pPr>
      <w:r w:rsidRPr="001B16C2">
        <w:rPr>
          <w:rFonts w:ascii="Verdana" w:hAnsi="Verdana"/>
          <w:sz w:val="20"/>
          <w:szCs w:val="20"/>
        </w:rPr>
        <w:t>A partir de las disposiciones citadas, así como de la reciente Sentencia de Unificación Jurisprudencial del 9 de septiembre de 2021, proferida por el Consejo de Estado, es posible señalar las siguientes características del contrato de prestación de servicios: i) Solo puede celebrarse para realizar “actividades relacionadas con la administración o funcionamiento de la entidad”, es decir, que hagan parte de su giro ordinario o quehacer cotidiano. 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iv) Deben ser temporales. La mencionada Sentencia de Unificación Jurisprudencial del Consejo de Estado, frente a la duración del contrato de prestación de servicios señaló que solo puede celebrarse por un “término estrictamente indispensable”. (…) v) Se celebran a través de la modalidad de contratación directa, independientemente de la cuantía y del tipo de servicio profesional, siempre que su objeto no sea la consultoría. (…) vi) Para su celebración no se requiere expedir un acto administrativo de justificación de la contratación directa. vii) El contrato admite la inclusión de cláusulas excepcionales (…) viii) No es obligatoria la liquidación de estos contratos, como lo establece el artículo 217 del Decreto 019 de 2012, que modificó el artículo 60 de la Ley 80 de 1993. ix) Para su celebración el contratista no requiere estar inscrito en el Registro Único de Proponentes –en adelante RUP–, como lo señala el artículo 6 de la Ley 1150 de 2007. x) No es obligatoria la exigencia de garantías. xi) Como los demás contratos estatales, se trata de un contrato solemne que debe constar por escrito y debe ser publicado en el SECOP. xii)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p>
    <w:p w14:paraId="03D95D0F" w14:textId="19791C8B" w:rsidR="001B16C2" w:rsidRPr="001B16C2" w:rsidRDefault="001B16C2" w:rsidP="001B16C2">
      <w:pPr>
        <w:jc w:val="both"/>
        <w:rPr>
          <w:rFonts w:ascii="Verdana" w:eastAsia="Calibri" w:hAnsi="Verdana" w:cs="Arial"/>
          <w:b/>
          <w:bCs/>
          <w:sz w:val="20"/>
          <w:szCs w:val="20"/>
          <w:lang w:eastAsia="es-ES"/>
        </w:rPr>
      </w:pPr>
      <w:r w:rsidRPr="001B16C2">
        <w:rPr>
          <w:rFonts w:ascii="Verdana" w:eastAsia="Calibri" w:hAnsi="Verdana" w:cs="Arial"/>
          <w:b/>
          <w:bCs/>
          <w:sz w:val="20"/>
          <w:szCs w:val="20"/>
          <w:lang w:eastAsia="es-ES"/>
        </w:rPr>
        <w:t>ESTABILIDAD LABORAL REFORZADA (PREPENSIONADOS) – Concepto - Unificación jurisprudencial – Procedencia</w:t>
      </w:r>
    </w:p>
    <w:p w14:paraId="5037BED2" w14:textId="06BCF7A2" w:rsidR="00F05986" w:rsidRPr="003A6529" w:rsidRDefault="00F05986" w:rsidP="00F05986">
      <w:pPr>
        <w:spacing w:line="240" w:lineRule="auto"/>
        <w:jc w:val="both"/>
        <w:rPr>
          <w:rFonts w:ascii="Verdana" w:hAnsi="Verdana"/>
          <w:sz w:val="20"/>
          <w:szCs w:val="20"/>
          <w:lang w:val="es-MX"/>
        </w:rPr>
      </w:pPr>
      <w:r w:rsidRPr="001B16C2">
        <w:rPr>
          <w:rFonts w:ascii="Verdana" w:hAnsi="Verdana"/>
          <w:sz w:val="20"/>
          <w:szCs w:val="20"/>
        </w:rPr>
        <w:t>Al respecto, la Corte Constitucional en sentencia SU-380 del 3 de noviembre de 2021 indicó que dicho principio da a lugar al derecho fundamental a la estabilidad laboral reforzada que surge a partir de distintos mandatos constitucionales y cobija a diversos grupos poblacionales. “</w:t>
      </w:r>
      <w:r w:rsidR="003A6529" w:rsidRPr="003A6529">
        <w:rPr>
          <w:rFonts w:ascii="Verdana" w:hAnsi="Verdana"/>
          <w:sz w:val="20"/>
          <w:szCs w:val="20"/>
          <w:lang w:val="es-MX"/>
        </w:rPr>
        <w:t>[…]</w:t>
      </w:r>
      <w:r w:rsidRPr="001B16C2">
        <w:rPr>
          <w:rFonts w:ascii="Verdana" w:hAnsi="Verdana"/>
          <w:sz w:val="20"/>
          <w:szCs w:val="20"/>
        </w:rPr>
        <w:t xml:space="preserve">Los titulares del derecho son, en principio las mujeres gestantes, las personas con discapacidad o en condición de debilidad manifiesta por razones de salud, los aforados de las organizaciones sindicales. En el ámbito de la función pública, a partir de la figura del retén social, el derecho también se ha desarrollado para la protección de personas próximas a pensionarse, mujeres cabeza de familia (y padres en situación de hecho análoga). </w:t>
      </w:r>
      <w:r w:rsidR="003A6529" w:rsidRPr="003A6529">
        <w:rPr>
          <w:rFonts w:ascii="Verdana" w:hAnsi="Verdana"/>
          <w:sz w:val="20"/>
          <w:szCs w:val="20"/>
        </w:rPr>
        <w:t>[…]</w:t>
      </w:r>
    </w:p>
    <w:p w14:paraId="05A06E9C" w14:textId="77777777" w:rsidR="00F05986" w:rsidRPr="001B16C2" w:rsidRDefault="00F05986" w:rsidP="00F05986">
      <w:pPr>
        <w:spacing w:line="240" w:lineRule="auto"/>
        <w:jc w:val="both"/>
        <w:rPr>
          <w:rFonts w:ascii="Verdana" w:hAnsi="Verdana"/>
          <w:sz w:val="20"/>
          <w:szCs w:val="20"/>
        </w:rPr>
      </w:pPr>
      <w:r w:rsidRPr="001B16C2">
        <w:rPr>
          <w:rFonts w:ascii="Verdana" w:hAnsi="Verdana"/>
          <w:sz w:val="20"/>
          <w:szCs w:val="20"/>
        </w:rPr>
        <w:lastRenderedPageBreak/>
        <w:t xml:space="preserve">La Corte Constitucional ha interpretado extensivamente el artículo 12 de la Ley 790 de 2002, y explica que la condición de prepensionado, como sujeto de especial protección, no necesita que la persona que alega pertenecer a dicho grupo poblacional se encuentre en el supuesto de hecho propio de la liquidación de una entidad estatal: incluso cobija a los trabajadores del sector privado que se encuentren próximos a cumplir los requisitos para acceder a una pensión. Por tanto, la jurisprudencia señala que, si bien para los trabajadores del sector privado no existe norma expresa que determine la estabilidad laboral cuando son prepensionados, los valores y principios constitucionales deben aplicarse cuando se observe la vulneración de derechos como la seguridad social, el trabajo y la igualdad. </w:t>
      </w:r>
    </w:p>
    <w:p w14:paraId="11CBA79B" w14:textId="0E595519" w:rsidR="003A6529" w:rsidRDefault="00F05986" w:rsidP="00F05986">
      <w:pPr>
        <w:spacing w:line="240" w:lineRule="auto"/>
        <w:jc w:val="both"/>
        <w:rPr>
          <w:rFonts w:ascii="Verdana" w:hAnsi="Verdana"/>
          <w:sz w:val="20"/>
          <w:szCs w:val="20"/>
        </w:rPr>
      </w:pPr>
      <w:r w:rsidRPr="001B16C2">
        <w:rPr>
          <w:rFonts w:ascii="Verdana" w:hAnsi="Verdana"/>
          <w:sz w:val="20"/>
          <w:szCs w:val="20"/>
        </w:rPr>
        <w:t>Las decisiones anteriormente citadas parten de la existencia de una relación laboral existente. Este aspecto se confirma en la Sentencia de la Corte Constitucional SU-003 de 2018 –con ponencia del Magistrado Carlos Bernal Pulido– cuando explica si “[…] el único requisito faltante para acceder a la pensión de vejez es el de edad, dado que se acredita el cumplimiento del número mínimo de semanas de cotización, no hay lugar a considerar que la persona es beneficiaria del fuero de estabilidad laboral reforzada de prepensionable, dado que el requisito faltante de edad puede ser cumplido de manera posterior, con o sin vinculación laboral vigente”.</w:t>
      </w:r>
    </w:p>
    <w:p w14:paraId="031A9011" w14:textId="638F8FE2" w:rsidR="003A6529" w:rsidRPr="003A6529" w:rsidRDefault="003A6529" w:rsidP="003A6529">
      <w:pPr>
        <w:spacing w:after="0" w:line="240" w:lineRule="auto"/>
        <w:ind w:right="709"/>
        <w:contextualSpacing/>
        <w:jc w:val="both"/>
        <w:rPr>
          <w:rFonts w:ascii="Verdana" w:eastAsia="Calibri" w:hAnsi="Verdana" w:cs="Arial"/>
          <w:color w:val="000000" w:themeColor="text1"/>
          <w:sz w:val="20"/>
          <w:szCs w:val="20"/>
          <w:lang w:val="es-MX"/>
        </w:rPr>
      </w:pPr>
      <w:r w:rsidRPr="00F53A5C">
        <w:rPr>
          <w:rFonts w:ascii="Verdana" w:eastAsia="Calibri" w:hAnsi="Verdana" w:cs="Arial"/>
          <w:color w:val="000000" w:themeColor="text1"/>
          <w:sz w:val="20"/>
          <w:szCs w:val="20"/>
          <w:lang w:val="es-MX"/>
        </w:rPr>
        <w:t>[…]</w:t>
      </w:r>
    </w:p>
    <w:p w14:paraId="3F593DCD" w14:textId="5EBEA99C" w:rsidR="008B21F8" w:rsidRPr="001B16C2" w:rsidRDefault="001B16C2" w:rsidP="008B21F8">
      <w:pPr>
        <w:jc w:val="both"/>
        <w:rPr>
          <w:rFonts w:ascii="Verdana" w:eastAsia="Calibri" w:hAnsi="Verdana" w:cs="Arial"/>
          <w:b/>
          <w:bCs/>
          <w:sz w:val="20"/>
          <w:szCs w:val="20"/>
          <w:lang w:eastAsia="es-ES"/>
        </w:rPr>
      </w:pPr>
      <w:r w:rsidRPr="001B16C2">
        <w:rPr>
          <w:rFonts w:ascii="Verdana" w:eastAsia="Calibri" w:hAnsi="Verdana" w:cs="Arial"/>
          <w:color w:val="000000"/>
          <w:sz w:val="20"/>
          <w:szCs w:val="20"/>
          <w:lang w:val="es-ES_tradnl"/>
        </w:rPr>
        <w:t xml:space="preserve">De acuerdo con las decisiones judiciales mencionadas en los párrafos precedentes, </w:t>
      </w:r>
      <w:r w:rsidRPr="001B16C2">
        <w:rPr>
          <w:rFonts w:ascii="Verdana" w:hAnsi="Verdana" w:cs="Times New Roman"/>
          <w:color w:val="000000" w:themeColor="text1"/>
          <w:sz w:val="20"/>
          <w:szCs w:val="20"/>
          <w:lang w:eastAsia="es-ES_tradnl"/>
        </w:rPr>
        <w:t xml:space="preserve">no existe una jurisprudencia consolidada de </w:t>
      </w:r>
      <w:r w:rsidRPr="001B16C2">
        <w:rPr>
          <w:rFonts w:ascii="Verdana" w:eastAsia="Calibri" w:hAnsi="Verdana" w:cs="Arial"/>
          <w:color w:val="000000"/>
          <w:sz w:val="20"/>
          <w:szCs w:val="20"/>
          <w:lang w:val="es-ES_tradnl"/>
        </w:rPr>
        <w:t>la Corte Constitucional o del Consejo de Estado</w:t>
      </w:r>
      <w:r w:rsidRPr="001B16C2">
        <w:rPr>
          <w:rFonts w:ascii="Verdana" w:hAnsi="Verdana" w:cs="Times New Roman"/>
          <w:color w:val="000000" w:themeColor="text1"/>
          <w:sz w:val="20"/>
          <w:szCs w:val="20"/>
          <w:lang w:eastAsia="es-ES_tradnl"/>
        </w:rPr>
        <w:t xml:space="preserve"> que haya definido el contenido y alcance de la </w:t>
      </w:r>
      <w:r w:rsidRPr="001B16C2">
        <w:rPr>
          <w:rFonts w:ascii="Verdana" w:eastAsia="Calibri" w:hAnsi="Verdana" w:cs="Arial"/>
          <w:color w:val="000000"/>
          <w:sz w:val="20"/>
          <w:szCs w:val="20"/>
          <w:lang w:val="es-ES_tradnl"/>
        </w:rPr>
        <w:t>estabilidad ocupacional reforzada en contratistas de prestación de servicios que tengan una condición de ser personas próximas para pensionarse, por lo que en principio deberá responderse de manera negativa la pregunta formulada.</w:t>
      </w:r>
    </w:p>
    <w:p w14:paraId="138A7F8C" w14:textId="77777777" w:rsidR="008B21F8" w:rsidRDefault="008B21F8" w:rsidP="008B21F8">
      <w:pPr>
        <w:jc w:val="both"/>
        <w:rPr>
          <w:rFonts w:ascii="Verdana" w:eastAsia="Calibri" w:hAnsi="Verdana" w:cs="Arial"/>
          <w:b/>
          <w:bCs/>
          <w:lang w:eastAsia="es-ES"/>
        </w:rPr>
      </w:pPr>
    </w:p>
    <w:p w14:paraId="48383C33" w14:textId="77777777" w:rsidR="003A6529" w:rsidRDefault="003A6529" w:rsidP="008B21F8">
      <w:pPr>
        <w:jc w:val="both"/>
        <w:rPr>
          <w:rFonts w:ascii="Verdana" w:eastAsia="Calibri" w:hAnsi="Verdana" w:cs="Arial"/>
          <w:b/>
          <w:bCs/>
          <w:lang w:eastAsia="es-ES"/>
        </w:rPr>
      </w:pPr>
    </w:p>
    <w:p w14:paraId="78634D70" w14:textId="77777777" w:rsidR="003A6529" w:rsidRDefault="003A6529" w:rsidP="008B21F8">
      <w:pPr>
        <w:jc w:val="both"/>
        <w:rPr>
          <w:rFonts w:ascii="Verdana" w:eastAsia="Calibri" w:hAnsi="Verdana" w:cs="Arial"/>
          <w:b/>
          <w:bCs/>
          <w:lang w:eastAsia="es-ES"/>
        </w:rPr>
      </w:pPr>
    </w:p>
    <w:p w14:paraId="297B59D6" w14:textId="77777777" w:rsidR="003A6529" w:rsidRDefault="003A6529" w:rsidP="008B21F8">
      <w:pPr>
        <w:jc w:val="both"/>
        <w:rPr>
          <w:rFonts w:ascii="Verdana" w:eastAsia="Calibri" w:hAnsi="Verdana" w:cs="Arial"/>
          <w:b/>
          <w:bCs/>
          <w:lang w:eastAsia="es-ES"/>
        </w:rPr>
      </w:pPr>
    </w:p>
    <w:p w14:paraId="2B5AEE8A" w14:textId="77777777" w:rsidR="003A6529" w:rsidRDefault="003A6529" w:rsidP="008B21F8">
      <w:pPr>
        <w:jc w:val="both"/>
        <w:rPr>
          <w:rFonts w:ascii="Verdana" w:eastAsia="Calibri" w:hAnsi="Verdana" w:cs="Arial"/>
          <w:b/>
          <w:bCs/>
          <w:lang w:eastAsia="es-ES"/>
        </w:rPr>
      </w:pPr>
    </w:p>
    <w:p w14:paraId="2D881683" w14:textId="77777777" w:rsidR="003A6529" w:rsidRDefault="003A6529" w:rsidP="008B21F8">
      <w:pPr>
        <w:jc w:val="both"/>
        <w:rPr>
          <w:rFonts w:ascii="Verdana" w:eastAsia="Calibri" w:hAnsi="Verdana" w:cs="Arial"/>
          <w:b/>
          <w:bCs/>
          <w:lang w:eastAsia="es-ES"/>
        </w:rPr>
      </w:pPr>
    </w:p>
    <w:p w14:paraId="670D279E" w14:textId="77777777" w:rsidR="003A6529" w:rsidRDefault="003A6529" w:rsidP="008B21F8">
      <w:pPr>
        <w:jc w:val="both"/>
        <w:rPr>
          <w:rFonts w:ascii="Verdana" w:eastAsia="Calibri" w:hAnsi="Verdana" w:cs="Arial"/>
          <w:b/>
          <w:bCs/>
          <w:lang w:eastAsia="es-ES"/>
        </w:rPr>
      </w:pPr>
    </w:p>
    <w:p w14:paraId="16259F45" w14:textId="77777777" w:rsidR="003A6529" w:rsidRPr="008B21F8" w:rsidRDefault="003A6529" w:rsidP="008B21F8">
      <w:pPr>
        <w:jc w:val="both"/>
        <w:rPr>
          <w:rFonts w:ascii="Verdana" w:eastAsia="Calibri" w:hAnsi="Verdana" w:cs="Arial"/>
          <w:b/>
          <w:bCs/>
          <w:lang w:eastAsia="es-ES"/>
        </w:rPr>
      </w:pPr>
    </w:p>
    <w:p w14:paraId="7B89AF55" w14:textId="77777777" w:rsidR="008B21F8" w:rsidRDefault="008B21F8" w:rsidP="00746B08">
      <w:pPr>
        <w:spacing w:after="0" w:line="240" w:lineRule="auto"/>
        <w:rPr>
          <w:rFonts w:ascii="Verdana" w:eastAsia="Geomanist Light" w:hAnsi="Verdana" w:cs="Arial"/>
          <w:color w:val="000000" w:themeColor="text1"/>
        </w:rPr>
      </w:pPr>
    </w:p>
    <w:p w14:paraId="78D1094F" w14:textId="77777777" w:rsidR="008B21F8" w:rsidRDefault="008B21F8" w:rsidP="00746B08">
      <w:pPr>
        <w:spacing w:after="0" w:line="240" w:lineRule="auto"/>
        <w:rPr>
          <w:rFonts w:ascii="Verdana" w:eastAsia="Geomanist Light" w:hAnsi="Verdana" w:cs="Arial"/>
          <w:color w:val="000000" w:themeColor="text1"/>
        </w:rPr>
      </w:pPr>
    </w:p>
    <w:p w14:paraId="0B22AEA2" w14:textId="77777777" w:rsidR="008B21F8" w:rsidRDefault="008B21F8" w:rsidP="00746B08">
      <w:pPr>
        <w:spacing w:after="0" w:line="240" w:lineRule="auto"/>
        <w:rPr>
          <w:rFonts w:ascii="Verdana" w:eastAsia="Geomanist Light" w:hAnsi="Verdana" w:cs="Arial"/>
          <w:color w:val="000000" w:themeColor="text1"/>
        </w:rPr>
      </w:pPr>
    </w:p>
    <w:p w14:paraId="2F965E06" w14:textId="15E11C50" w:rsidR="00746B08" w:rsidRPr="00C970D5" w:rsidRDefault="00746B08" w:rsidP="00C970D5">
      <w:pPr>
        <w:spacing w:after="0" w:line="240" w:lineRule="auto"/>
        <w:rPr>
          <w:rFonts w:ascii="Verdana" w:eastAsia="Geomanist Light" w:hAnsi="Verdana" w:cs="Arial"/>
          <w:color w:val="201F1E"/>
        </w:rPr>
      </w:pPr>
      <w:r w:rsidRPr="00F53A5C">
        <w:rPr>
          <w:rFonts w:ascii="Verdana" w:eastAsia="Geomanist Light" w:hAnsi="Verdana" w:cs="Arial"/>
          <w:color w:val="000000" w:themeColor="text1"/>
        </w:rPr>
        <w:lastRenderedPageBreak/>
        <w:t>Bogotá D.C., </w:t>
      </w:r>
      <w:r w:rsidR="00C970D5">
        <w:rPr>
          <w:rFonts w:ascii="Verdana" w:eastAsia="Geomanist Light" w:hAnsi="Verdana" w:cs="Arial"/>
          <w:color w:val="201F1E"/>
        </w:rPr>
        <w:t>7 de abril de 2025</w:t>
      </w:r>
    </w:p>
    <w:p w14:paraId="36A1D336" w14:textId="526950D9" w:rsidR="00746B08" w:rsidRPr="00F53A5C" w:rsidRDefault="00C970D5" w:rsidP="00C970D5">
      <w:pPr>
        <w:spacing w:after="0" w:line="240" w:lineRule="auto"/>
        <w:jc w:val="right"/>
        <w:rPr>
          <w:rFonts w:ascii="Verdana" w:eastAsia="Calibri" w:hAnsi="Verdana" w:cs="Arial"/>
          <w:color w:val="000000"/>
        </w:rPr>
      </w:pPr>
      <w:r w:rsidRPr="00C970D5">
        <w:rPr>
          <w:rFonts w:ascii="Verdana" w:eastAsia="Calibri" w:hAnsi="Verdana" w:cs="Arial"/>
          <w:noProof/>
          <w:color w:val="000000"/>
        </w:rPr>
        <w:drawing>
          <wp:inline distT="0" distB="0" distL="0" distR="0" wp14:anchorId="6CDE41AC" wp14:editId="330A1FB0">
            <wp:extent cx="2606040" cy="861060"/>
            <wp:effectExtent l="0" t="0" r="3810" b="0"/>
            <wp:docPr id="2144525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6040" cy="861060"/>
                    </a:xfrm>
                    <a:prstGeom prst="rect">
                      <a:avLst/>
                    </a:prstGeom>
                    <a:noFill/>
                    <a:ln>
                      <a:noFill/>
                    </a:ln>
                  </pic:spPr>
                </pic:pic>
              </a:graphicData>
            </a:graphic>
          </wp:inline>
        </w:drawing>
      </w:r>
    </w:p>
    <w:p w14:paraId="79309FF2" w14:textId="6DFAAB65" w:rsidR="00746B08" w:rsidRPr="00F53A5C" w:rsidRDefault="00746B08" w:rsidP="00746B08">
      <w:pPr>
        <w:spacing w:after="0" w:line="240" w:lineRule="auto"/>
        <w:jc w:val="both"/>
        <w:rPr>
          <w:rFonts w:ascii="Verdana" w:eastAsia="Calibri" w:hAnsi="Verdana" w:cs="Arial"/>
          <w:lang w:eastAsia="es-ES"/>
        </w:rPr>
      </w:pPr>
      <w:r w:rsidRPr="00F53A5C">
        <w:rPr>
          <w:rFonts w:ascii="Verdana" w:eastAsia="Calibri" w:hAnsi="Verdana" w:cs="Arial"/>
          <w:lang w:eastAsia="es-ES"/>
        </w:rPr>
        <w:t>Señor</w:t>
      </w:r>
    </w:p>
    <w:p w14:paraId="5975053E" w14:textId="77777777" w:rsidR="00746B08" w:rsidRPr="00F53A5C" w:rsidRDefault="00746B08" w:rsidP="00746B08">
      <w:pPr>
        <w:spacing w:after="0" w:line="240" w:lineRule="auto"/>
        <w:rPr>
          <w:rFonts w:ascii="Verdana" w:eastAsia="Calibri" w:hAnsi="Verdana" w:cs="Arial"/>
          <w:b/>
          <w:lang w:eastAsia="es-ES"/>
        </w:rPr>
      </w:pPr>
      <w:r w:rsidRPr="00F53A5C">
        <w:rPr>
          <w:rFonts w:ascii="Verdana" w:eastAsia="Calibri" w:hAnsi="Verdana" w:cs="Arial"/>
          <w:b/>
          <w:lang w:eastAsia="es-ES"/>
        </w:rPr>
        <w:t xml:space="preserve">Anónimo </w:t>
      </w:r>
    </w:p>
    <w:p w14:paraId="7956FEF3" w14:textId="77777777" w:rsidR="00746B08" w:rsidRPr="00F53A5C" w:rsidRDefault="00746B08" w:rsidP="00746B08">
      <w:pPr>
        <w:spacing w:after="0" w:line="240" w:lineRule="auto"/>
        <w:rPr>
          <w:rFonts w:ascii="Verdana" w:hAnsi="Verdana"/>
        </w:rPr>
      </w:pPr>
      <w:hyperlink r:id="rId12" w:history="1">
        <w:r w:rsidRPr="00F53A5C">
          <w:rPr>
            <w:rFonts w:ascii="Verdana" w:hAnsi="Verdana"/>
            <w:color w:val="0563C1" w:themeColor="hyperlink"/>
            <w:u w:val="single"/>
          </w:rPr>
          <w:t>felipe.ortiz23@gmail.com</w:t>
        </w:r>
      </w:hyperlink>
      <w:r w:rsidRPr="00F53A5C">
        <w:rPr>
          <w:rFonts w:ascii="Verdana" w:hAnsi="Verdana"/>
        </w:rPr>
        <w:t xml:space="preserve"> </w:t>
      </w:r>
    </w:p>
    <w:p w14:paraId="197FB1E8" w14:textId="77777777" w:rsidR="00746B08" w:rsidRPr="00F53A5C" w:rsidRDefault="00746B08" w:rsidP="00746B08">
      <w:pPr>
        <w:spacing w:after="0" w:line="240" w:lineRule="auto"/>
        <w:rPr>
          <w:rFonts w:ascii="Verdana" w:hAnsi="Verdana"/>
        </w:rPr>
      </w:pPr>
      <w:r w:rsidRPr="00F53A5C">
        <w:rPr>
          <w:rFonts w:ascii="Verdana" w:hAnsi="Verdana"/>
        </w:rPr>
        <w:t>Bogotá D.C.</w:t>
      </w:r>
    </w:p>
    <w:p w14:paraId="52D8CE0C" w14:textId="77777777" w:rsidR="00746B08" w:rsidRPr="00F53A5C" w:rsidRDefault="00746B08" w:rsidP="00746B08">
      <w:pPr>
        <w:spacing w:after="0" w:line="240" w:lineRule="auto"/>
        <w:rPr>
          <w:rFonts w:ascii="Verdana" w:eastAsia="Calibri" w:hAnsi="Verdana" w:cs="Arial"/>
          <w:lang w:eastAsia="es-ES"/>
        </w:rPr>
      </w:pPr>
    </w:p>
    <w:p w14:paraId="6265881C" w14:textId="77777777" w:rsidR="00746B08" w:rsidRPr="00F53A5C" w:rsidRDefault="00746B08" w:rsidP="00746B08">
      <w:pPr>
        <w:spacing w:after="0" w:line="240" w:lineRule="auto"/>
        <w:rPr>
          <w:rFonts w:ascii="Verdana" w:eastAsia="Calibri" w:hAnsi="Verdana" w:cs="Arial"/>
          <w:b/>
          <w:bCs/>
          <w:color w:val="000000"/>
          <w:lang w:eastAsia="es-ES_tradnl"/>
        </w:rPr>
      </w:pPr>
    </w:p>
    <w:p w14:paraId="6C238DA2" w14:textId="77777777" w:rsidR="00746B08" w:rsidRPr="00F53A5C" w:rsidRDefault="00746B08" w:rsidP="00746B08">
      <w:pPr>
        <w:jc w:val="center"/>
        <w:rPr>
          <w:rFonts w:ascii="Verdana" w:eastAsia="Calibri" w:hAnsi="Verdana" w:cs="Arial"/>
          <w:b/>
          <w:bCs/>
          <w:lang w:eastAsia="es-ES"/>
        </w:rPr>
      </w:pPr>
      <w:r w:rsidRPr="00F53A5C">
        <w:rPr>
          <w:rFonts w:ascii="Verdana" w:eastAsia="Calibri" w:hAnsi="Verdana" w:cs="Arial"/>
          <w:b/>
          <w:bCs/>
          <w:lang w:eastAsia="es-ES"/>
        </w:rPr>
        <w:t>Concepto C – 276 de 2025</w:t>
      </w:r>
    </w:p>
    <w:p w14:paraId="2AFD7C89" w14:textId="77777777" w:rsidR="00746B08" w:rsidRPr="00F53A5C" w:rsidRDefault="00746B08" w:rsidP="00746B08">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46B08" w:rsidRPr="00F53A5C" w14:paraId="5907F1C9" w14:textId="77777777" w:rsidTr="00150E1A">
        <w:trPr>
          <w:trHeight w:val="884"/>
        </w:trPr>
        <w:tc>
          <w:tcPr>
            <w:tcW w:w="2689" w:type="dxa"/>
          </w:tcPr>
          <w:p w14:paraId="599F50D6" w14:textId="77777777" w:rsidR="00746B08" w:rsidRPr="00F53A5C" w:rsidRDefault="00746B08" w:rsidP="00150E1A">
            <w:pPr>
              <w:jc w:val="both"/>
              <w:rPr>
                <w:rFonts w:ascii="Verdana" w:eastAsia="Calibri" w:hAnsi="Verdana" w:cs="Arial"/>
                <w:color w:val="000000"/>
                <w:lang w:eastAsia="es-ES_tradnl"/>
              </w:rPr>
            </w:pPr>
            <w:r w:rsidRPr="00F53A5C">
              <w:rPr>
                <w:rFonts w:ascii="Verdana" w:eastAsia="Calibri" w:hAnsi="Verdana" w:cs="Arial"/>
                <w:b/>
                <w:color w:val="000000"/>
                <w:lang w:eastAsia="es-ES_tradnl"/>
              </w:rPr>
              <w:t>Temas:</w:t>
            </w:r>
            <w:r w:rsidRPr="00F53A5C">
              <w:rPr>
                <w:rFonts w:ascii="Verdana" w:eastAsia="Calibri" w:hAnsi="Verdana" w:cs="Arial"/>
                <w:color w:val="000000"/>
                <w:lang w:eastAsia="es-ES_tradnl"/>
              </w:rPr>
              <w:t xml:space="preserve">                   </w:t>
            </w:r>
          </w:p>
        </w:tc>
        <w:tc>
          <w:tcPr>
            <w:tcW w:w="6100" w:type="dxa"/>
          </w:tcPr>
          <w:p w14:paraId="4FECFD01" w14:textId="77777777" w:rsidR="00746B08" w:rsidRPr="00F53A5C" w:rsidRDefault="00746B08" w:rsidP="00150E1A">
            <w:pPr>
              <w:jc w:val="both"/>
              <w:rPr>
                <w:rFonts w:ascii="Verdana" w:eastAsia="Calibri" w:hAnsi="Verdana" w:cs="Arial"/>
                <w:lang w:eastAsia="es-ES"/>
              </w:rPr>
            </w:pPr>
            <w:r w:rsidRPr="00F53A5C">
              <w:rPr>
                <w:rFonts w:ascii="Verdana" w:eastAsia="Calibri" w:hAnsi="Verdana" w:cs="Arial"/>
                <w:lang w:eastAsia="es-ES"/>
              </w:rPr>
              <w:t>CONTRATO DE PRESTACIÓN DE SERVICIOS – Características / ESTABILIDAD LABORAL REFORZADA (PREPENSIONADOS)</w:t>
            </w:r>
            <w:r>
              <w:rPr>
                <w:rFonts w:ascii="Verdana" w:eastAsia="Calibri" w:hAnsi="Verdana" w:cs="Arial"/>
                <w:lang w:eastAsia="es-ES"/>
              </w:rPr>
              <w:t xml:space="preserve"> </w:t>
            </w:r>
            <w:r w:rsidRPr="00F53A5C">
              <w:rPr>
                <w:rFonts w:ascii="Verdana" w:eastAsia="Calibri" w:hAnsi="Verdana" w:cs="Arial"/>
                <w:lang w:eastAsia="es-ES"/>
              </w:rPr>
              <w:t>– Concepto - Unificación jurisprudencial – Procedencia</w:t>
            </w:r>
          </w:p>
          <w:p w14:paraId="51B2F258" w14:textId="77777777" w:rsidR="00746B08" w:rsidRPr="00F53A5C" w:rsidRDefault="00746B08" w:rsidP="00150E1A">
            <w:pPr>
              <w:jc w:val="both"/>
              <w:rPr>
                <w:rFonts w:ascii="Verdana" w:eastAsia="Calibri" w:hAnsi="Verdana" w:cs="Arial"/>
                <w:lang w:eastAsia="es-ES"/>
              </w:rPr>
            </w:pPr>
          </w:p>
        </w:tc>
      </w:tr>
      <w:tr w:rsidR="00746B08" w:rsidRPr="00F53A5C" w14:paraId="185F412C" w14:textId="77777777" w:rsidTr="00150E1A">
        <w:tc>
          <w:tcPr>
            <w:tcW w:w="2689" w:type="dxa"/>
          </w:tcPr>
          <w:p w14:paraId="20D3815D" w14:textId="77777777" w:rsidR="00746B08" w:rsidRPr="00F53A5C" w:rsidRDefault="00746B08" w:rsidP="00150E1A">
            <w:pPr>
              <w:jc w:val="both"/>
              <w:rPr>
                <w:rFonts w:ascii="Verdana" w:eastAsia="Calibri" w:hAnsi="Verdana" w:cs="Arial"/>
                <w:b/>
                <w:lang w:eastAsia="es-ES_tradnl"/>
              </w:rPr>
            </w:pPr>
            <w:r w:rsidRPr="00F53A5C">
              <w:rPr>
                <w:rFonts w:ascii="Verdana" w:eastAsia="Calibri" w:hAnsi="Verdana" w:cs="Arial"/>
                <w:b/>
                <w:lang w:eastAsia="es-ES_tradnl"/>
              </w:rPr>
              <w:t>Radicación:</w:t>
            </w:r>
            <w:r w:rsidRPr="00F53A5C">
              <w:rPr>
                <w:rFonts w:ascii="Verdana" w:eastAsia="Calibri" w:hAnsi="Verdana" w:cs="Arial"/>
                <w:lang w:eastAsia="es-ES_tradnl"/>
              </w:rPr>
              <w:t xml:space="preserve">               </w:t>
            </w:r>
          </w:p>
        </w:tc>
        <w:tc>
          <w:tcPr>
            <w:tcW w:w="6100" w:type="dxa"/>
          </w:tcPr>
          <w:p w14:paraId="6D16A25A" w14:textId="77777777" w:rsidR="00746B08" w:rsidRPr="00F53A5C" w:rsidRDefault="00746B08" w:rsidP="00150E1A">
            <w:pPr>
              <w:jc w:val="both"/>
              <w:rPr>
                <w:rFonts w:ascii="Verdana" w:eastAsia="Calibri" w:hAnsi="Verdana" w:cs="Arial"/>
                <w:lang w:eastAsia="es-ES_tradnl"/>
              </w:rPr>
            </w:pPr>
            <w:r w:rsidRPr="00F53A5C">
              <w:rPr>
                <w:rFonts w:ascii="Verdana" w:eastAsia="Calibri" w:hAnsi="Verdana" w:cs="Arial"/>
                <w:lang w:eastAsia="es-ES_tradnl"/>
              </w:rPr>
              <w:t xml:space="preserve">Respuesta a la consulta con radicado No.   P20250305002145                               </w:t>
            </w:r>
          </w:p>
        </w:tc>
      </w:tr>
    </w:tbl>
    <w:p w14:paraId="1953ECCF" w14:textId="77777777" w:rsidR="00746B08" w:rsidRPr="00F53A5C" w:rsidRDefault="00746B08" w:rsidP="00746B08">
      <w:pPr>
        <w:spacing w:after="0" w:line="240" w:lineRule="auto"/>
        <w:jc w:val="both"/>
        <w:rPr>
          <w:rFonts w:ascii="Verdana" w:eastAsia="Calibri" w:hAnsi="Verdana" w:cs="Arial"/>
          <w:color w:val="000000"/>
          <w:lang w:eastAsia="es-ES_tradnl"/>
        </w:rPr>
      </w:pPr>
    </w:p>
    <w:p w14:paraId="43B0810A" w14:textId="77777777" w:rsidR="00746B08" w:rsidRPr="00F53A5C" w:rsidRDefault="00746B08" w:rsidP="00746B08">
      <w:pPr>
        <w:spacing w:after="0" w:line="240" w:lineRule="auto"/>
        <w:jc w:val="both"/>
        <w:rPr>
          <w:rFonts w:ascii="Verdana" w:eastAsia="Calibri" w:hAnsi="Verdana" w:cs="Arial"/>
          <w:color w:val="000000"/>
          <w:lang w:eastAsia="es-ES_tradnl"/>
        </w:rPr>
      </w:pPr>
    </w:p>
    <w:p w14:paraId="65532D2E" w14:textId="77777777" w:rsidR="00746B08" w:rsidRPr="00F53A5C" w:rsidRDefault="00746B08" w:rsidP="00746B08">
      <w:pPr>
        <w:spacing w:after="0" w:line="276" w:lineRule="auto"/>
        <w:jc w:val="both"/>
        <w:rPr>
          <w:rFonts w:ascii="Verdana" w:eastAsia="Calibri" w:hAnsi="Verdana" w:cs="Arial"/>
          <w:lang w:eastAsia="es-ES"/>
        </w:rPr>
      </w:pPr>
      <w:r w:rsidRPr="00F53A5C">
        <w:rPr>
          <w:rFonts w:ascii="Verdana" w:eastAsia="Calibri" w:hAnsi="Verdana" w:cs="Arial"/>
          <w:lang w:eastAsia="es-ES"/>
        </w:rPr>
        <w:t xml:space="preserve">Estimado (a) señor (a): </w:t>
      </w:r>
    </w:p>
    <w:p w14:paraId="42F921AA" w14:textId="77777777" w:rsidR="00746B08" w:rsidRPr="00F53A5C" w:rsidRDefault="00746B08" w:rsidP="00746B08">
      <w:pPr>
        <w:tabs>
          <w:tab w:val="left" w:pos="3768"/>
        </w:tabs>
        <w:spacing w:after="0" w:line="276" w:lineRule="auto"/>
        <w:jc w:val="both"/>
        <w:rPr>
          <w:rFonts w:ascii="Verdana" w:eastAsia="Calibri" w:hAnsi="Verdana" w:cs="Arial"/>
          <w:color w:val="000000" w:themeColor="text1"/>
          <w:lang w:eastAsia="es-ES"/>
        </w:rPr>
      </w:pPr>
      <w:r w:rsidRPr="00F53A5C">
        <w:rPr>
          <w:rFonts w:ascii="Verdana" w:eastAsia="Calibri" w:hAnsi="Verdana" w:cs="Arial"/>
          <w:color w:val="000000" w:themeColor="text1"/>
          <w:lang w:eastAsia="es-ES"/>
        </w:rPr>
        <w:tab/>
      </w:r>
    </w:p>
    <w:p w14:paraId="6A8D5C6F" w14:textId="77777777" w:rsidR="00746B08" w:rsidRPr="00F53A5C" w:rsidRDefault="00746B08" w:rsidP="00746B08">
      <w:pPr>
        <w:spacing w:after="0" w:line="276" w:lineRule="auto"/>
        <w:jc w:val="both"/>
        <w:rPr>
          <w:rFonts w:ascii="Verdana" w:eastAsia="Calibri" w:hAnsi="Verdana" w:cs="Arial"/>
          <w:i/>
          <w:iCs/>
          <w:lang w:eastAsia="es-ES"/>
        </w:rPr>
      </w:pPr>
      <w:r w:rsidRPr="00F53A5C">
        <w:rPr>
          <w:rFonts w:ascii="Verdana" w:eastAsia="Calibri" w:hAnsi="Verdana" w:cs="Arial"/>
          <w:color w:val="000000" w:themeColor="text1"/>
          <w:lang w:eastAsia="es-ES"/>
        </w:rPr>
        <w:t>En ejercicio de la competencia otorgada por los artículos 3, numeral 5º, y 11, numeral 8º, del Decreto Ley 4170 de 2011,</w:t>
      </w:r>
      <w:r w:rsidRPr="00F53A5C">
        <w:rPr>
          <w:rFonts w:ascii="Verdana" w:eastAsia="Arial MT" w:hAnsi="Verdana" w:cs="Arial MT"/>
          <w:lang w:eastAsia="es-ES"/>
        </w:rPr>
        <w:t xml:space="preserve"> </w:t>
      </w:r>
      <w:r w:rsidRPr="00F53A5C">
        <w:rPr>
          <w:rFonts w:ascii="Verdana" w:hAnsi="Verdana" w:cs="Arial"/>
        </w:rPr>
        <w:t xml:space="preserve">así como lo establecido en el artículo 4 de la Resolución 1707 de 2018 expedida por esta Entidad, </w:t>
      </w:r>
      <w:r w:rsidRPr="00F53A5C">
        <w:rPr>
          <w:rFonts w:ascii="Verdana" w:eastAsia="Calibri" w:hAnsi="Verdana" w:cs="Arial"/>
          <w:color w:val="000000" w:themeColor="text1"/>
          <w:lang w:eastAsia="es-ES"/>
        </w:rPr>
        <w:t>la Agencia Nacional de Contratación Pública – Colombia Compra Eficiente responde su solicitud de concepto trasladada por el Departamento Administrativo de la Función Pública el 5 de marzo de 2025,</w:t>
      </w:r>
      <w:r w:rsidRPr="00F53A5C">
        <w:rPr>
          <w:rFonts w:ascii="Verdana" w:eastAsia="Calibri" w:hAnsi="Verdana" w:cs="Arial"/>
          <w:lang w:eastAsia="es-ES"/>
        </w:rPr>
        <w:t xml:space="preserve"> en la cual consulta sobre lo siguiente:</w:t>
      </w:r>
      <w:r w:rsidRPr="00F53A5C">
        <w:rPr>
          <w:rFonts w:ascii="Verdana" w:eastAsia="Calibri" w:hAnsi="Verdana" w:cs="Arial"/>
          <w:i/>
          <w:iCs/>
          <w:lang w:eastAsia="es-ES"/>
        </w:rPr>
        <w:t xml:space="preserve"> </w:t>
      </w:r>
      <w:bookmarkStart w:id="1" w:name="_Hlk95313578"/>
    </w:p>
    <w:p w14:paraId="4C1FFAD2" w14:textId="77777777" w:rsidR="00746B08" w:rsidRPr="00F53A5C" w:rsidRDefault="00746B08" w:rsidP="00746B08">
      <w:pPr>
        <w:spacing w:after="0" w:line="276" w:lineRule="auto"/>
        <w:jc w:val="both"/>
        <w:rPr>
          <w:rFonts w:ascii="Verdana" w:eastAsia="Calibri" w:hAnsi="Verdana" w:cs="Arial"/>
          <w:i/>
          <w:iCs/>
          <w:lang w:eastAsia="es-ES"/>
        </w:rPr>
      </w:pPr>
    </w:p>
    <w:p w14:paraId="01E624BB" w14:textId="77777777" w:rsidR="00746B08" w:rsidRPr="00F53A5C" w:rsidRDefault="00746B08" w:rsidP="00746B08">
      <w:pPr>
        <w:spacing w:after="0" w:line="240" w:lineRule="auto"/>
        <w:ind w:left="709" w:right="709"/>
        <w:jc w:val="both"/>
        <w:rPr>
          <w:rFonts w:ascii="Verdana" w:eastAsia="Arial" w:hAnsi="Verdana" w:cs="Arial"/>
          <w:i/>
          <w:color w:val="000000"/>
          <w:sz w:val="20"/>
          <w:szCs w:val="20"/>
        </w:rPr>
      </w:pPr>
      <w:r w:rsidRPr="00F53A5C">
        <w:rPr>
          <w:rFonts w:ascii="Verdana" w:eastAsia="Arial" w:hAnsi="Verdana" w:cs="Arial"/>
          <w:i/>
          <w:color w:val="000000"/>
          <w:sz w:val="20"/>
          <w:szCs w:val="20"/>
        </w:rPr>
        <w:t>“</w:t>
      </w:r>
      <w:bookmarkEnd w:id="1"/>
      <w:r w:rsidRPr="00F53A5C">
        <w:rPr>
          <w:rFonts w:ascii="Verdana" w:eastAsia="Arial" w:hAnsi="Verdana" w:cs="Arial"/>
          <w:i/>
          <w:color w:val="000000"/>
          <w:sz w:val="20"/>
          <w:szCs w:val="20"/>
        </w:rPr>
        <w:t>(…) Me pueden aclarar cómo funciona el sistema de estabilidad laboral y/o ocupacional reforzada para contratos de prestación de servicios sucede que me encontraba vinculado a una entidad de la estado mediante OPS hasta diciembre de 2023 y no me fue renovado el contrato en 2024 teniendo en cuenta que me encuentro en la condición de prepensionado estando dentro de los 3 años próximos para recibir pensión y me faltaban en promedio 70 semanas de cotización (...) (sic)”</w:t>
      </w:r>
    </w:p>
    <w:p w14:paraId="751BD69F" w14:textId="77777777" w:rsidR="00746B08" w:rsidRPr="00F53A5C" w:rsidRDefault="00746B08" w:rsidP="00746B08">
      <w:pPr>
        <w:spacing w:after="0" w:line="276" w:lineRule="auto"/>
        <w:ind w:left="709" w:right="709"/>
        <w:jc w:val="both"/>
        <w:rPr>
          <w:rFonts w:ascii="Verdana" w:eastAsia="Arial" w:hAnsi="Verdana" w:cs="Arial"/>
          <w:i/>
          <w:color w:val="000000"/>
          <w:sz w:val="20"/>
          <w:szCs w:val="20"/>
        </w:rPr>
      </w:pPr>
    </w:p>
    <w:p w14:paraId="480596E9" w14:textId="77777777" w:rsidR="00746B08" w:rsidRPr="00F53A5C" w:rsidRDefault="00746B08" w:rsidP="00746B08">
      <w:pPr>
        <w:spacing w:after="120" w:line="276" w:lineRule="auto"/>
        <w:ind w:firstLine="709"/>
        <w:jc w:val="both"/>
        <w:rPr>
          <w:rFonts w:ascii="Verdana" w:eastAsia="Calibri" w:hAnsi="Verdana" w:cs="Arial"/>
          <w:color w:val="000000"/>
          <w:lang w:eastAsia="es-ES"/>
        </w:rPr>
      </w:pPr>
      <w:r w:rsidRPr="00F53A5C">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53A5C">
        <w:rPr>
          <w:rFonts w:ascii="Verdana" w:eastAsia="Calibri" w:hAnsi="Verdana" w:cs="Arial"/>
          <w:color w:val="000000"/>
          <w:szCs w:val="24"/>
          <w:lang w:eastAsia="es-ES_tradnl"/>
        </w:rPr>
        <w:tab/>
      </w:r>
    </w:p>
    <w:p w14:paraId="197B50DF" w14:textId="77777777" w:rsidR="00746B08" w:rsidRPr="00F53A5C" w:rsidRDefault="00746B08" w:rsidP="00746B08">
      <w:pPr>
        <w:spacing w:after="0" w:line="276" w:lineRule="auto"/>
        <w:ind w:firstLine="709"/>
        <w:jc w:val="both"/>
        <w:rPr>
          <w:rFonts w:ascii="Verdana" w:eastAsia="Calibri" w:hAnsi="Verdana" w:cs="Arial"/>
          <w:color w:val="000000"/>
          <w:lang w:eastAsia="es-ES"/>
        </w:rPr>
      </w:pPr>
      <w:r w:rsidRPr="00F53A5C">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F53A5C">
        <w:rPr>
          <w:rFonts w:ascii="Verdana" w:eastAsia="Calibri" w:hAnsi="Verdana" w:cs="Arial"/>
          <w:color w:val="7030A0"/>
          <w:lang w:eastAsia="es-ES"/>
        </w:rPr>
        <w:t xml:space="preserve"> </w:t>
      </w:r>
      <w:r w:rsidRPr="00F53A5C">
        <w:rPr>
          <w:rFonts w:ascii="Verdana" w:eastAsia="Calibri" w:hAnsi="Verdana" w:cs="Arial"/>
          <w:color w:val="000000"/>
          <w:lang w:eastAsia="es-ES"/>
        </w:rPr>
        <w:t>problema</w:t>
      </w:r>
      <w:r w:rsidRPr="00F53A5C">
        <w:rPr>
          <w:rFonts w:ascii="Verdana" w:eastAsia="Calibri" w:hAnsi="Verdana" w:cs="Arial"/>
          <w:color w:val="7030A0"/>
          <w:lang w:eastAsia="es-ES"/>
        </w:rPr>
        <w:t xml:space="preserve"> </w:t>
      </w:r>
      <w:r w:rsidRPr="00F53A5C">
        <w:rPr>
          <w:rFonts w:ascii="Verdana" w:eastAsia="Calibri" w:hAnsi="Verdana" w:cs="Arial"/>
          <w:color w:val="000000"/>
          <w:lang w:eastAsia="es-ES"/>
        </w:rPr>
        <w:t>jurídico</w:t>
      </w:r>
      <w:r w:rsidRPr="00F53A5C">
        <w:rPr>
          <w:rFonts w:ascii="Verdana" w:eastAsia="Calibri" w:hAnsi="Verdana" w:cs="Arial"/>
          <w:color w:val="7030A0"/>
          <w:lang w:eastAsia="es-ES"/>
        </w:rPr>
        <w:t xml:space="preserve"> </w:t>
      </w:r>
      <w:r w:rsidRPr="00F53A5C">
        <w:rPr>
          <w:rFonts w:ascii="Verdana" w:eastAsia="Calibri" w:hAnsi="Verdana" w:cs="Arial"/>
          <w:color w:val="000000"/>
          <w:lang w:eastAsia="es-ES"/>
        </w:rPr>
        <w:t xml:space="preserve">de su consulta. </w:t>
      </w:r>
    </w:p>
    <w:p w14:paraId="2ADA47E4" w14:textId="77777777" w:rsidR="00746B08" w:rsidRPr="00F53A5C" w:rsidRDefault="00746B08" w:rsidP="00746B08">
      <w:pPr>
        <w:spacing w:after="0" w:line="276" w:lineRule="auto"/>
        <w:ind w:firstLine="709"/>
        <w:jc w:val="both"/>
        <w:rPr>
          <w:rFonts w:ascii="Verdana" w:eastAsia="Calibri" w:hAnsi="Verdana" w:cs="Arial"/>
          <w:color w:val="000000"/>
          <w:lang w:eastAsia="es-ES"/>
        </w:rPr>
      </w:pPr>
    </w:p>
    <w:p w14:paraId="1304B73E" w14:textId="77777777" w:rsidR="00746B08" w:rsidRPr="00F53A5C" w:rsidRDefault="00746B08" w:rsidP="00746B08">
      <w:pPr>
        <w:numPr>
          <w:ilvl w:val="0"/>
          <w:numId w:val="1"/>
        </w:numPr>
        <w:tabs>
          <w:tab w:val="left" w:pos="142"/>
          <w:tab w:val="left" w:pos="284"/>
        </w:tabs>
        <w:spacing w:after="0" w:line="276" w:lineRule="auto"/>
        <w:jc w:val="both"/>
        <w:rPr>
          <w:rFonts w:ascii="Verdana" w:eastAsia="Century Gothic" w:hAnsi="Verdana" w:cs="Century Gothic"/>
          <w:b/>
          <w:bCs/>
        </w:rPr>
      </w:pPr>
      <w:r w:rsidRPr="00F53A5C">
        <w:rPr>
          <w:rFonts w:ascii="Verdana" w:eastAsia="Century Gothic" w:hAnsi="Verdana" w:cs="Century Gothic"/>
          <w:b/>
          <w:bCs/>
        </w:rPr>
        <w:t>Problemas planteados:</w:t>
      </w:r>
    </w:p>
    <w:p w14:paraId="36F68EF4" w14:textId="77777777" w:rsidR="00746B08" w:rsidRPr="00F53A5C" w:rsidRDefault="00746B08" w:rsidP="00746B08">
      <w:pPr>
        <w:tabs>
          <w:tab w:val="left" w:pos="426"/>
        </w:tabs>
        <w:spacing w:after="0" w:line="276" w:lineRule="auto"/>
        <w:jc w:val="both"/>
        <w:rPr>
          <w:rFonts w:ascii="Verdana" w:eastAsia="Century Gothic" w:hAnsi="Verdana" w:cs="Century Gothic"/>
        </w:rPr>
      </w:pPr>
    </w:p>
    <w:p w14:paraId="2BD700C8" w14:textId="77777777" w:rsidR="00746B08" w:rsidRPr="00F53A5C" w:rsidRDefault="00746B08" w:rsidP="00746B08">
      <w:pPr>
        <w:spacing w:after="0" w:line="276" w:lineRule="auto"/>
        <w:jc w:val="both"/>
        <w:rPr>
          <w:rFonts w:ascii="Verdana" w:eastAsia="Century Gothic" w:hAnsi="Verdana" w:cs="Arial"/>
        </w:rPr>
      </w:pPr>
      <w:r w:rsidRPr="00F53A5C">
        <w:rPr>
          <w:rFonts w:ascii="Verdana" w:eastAsia="Century Gothic" w:hAnsi="Verdana" w:cs="Century Gothic"/>
        </w:rPr>
        <w:t xml:space="preserve">De acuerdo con el contenido de su solicitud, esta Agencia resolverá el siguiente problema jurídico: “¿El fuero de estabilidad ocupacional reforzada de </w:t>
      </w:r>
      <w:r>
        <w:rPr>
          <w:rFonts w:ascii="Verdana" w:eastAsia="Century Gothic" w:hAnsi="Verdana" w:cs="Century Gothic"/>
        </w:rPr>
        <w:t xml:space="preserve">una </w:t>
      </w:r>
      <w:r w:rsidRPr="00F53A5C">
        <w:rPr>
          <w:rFonts w:ascii="Verdana" w:eastAsia="Century Gothic" w:hAnsi="Verdana" w:cs="Century Gothic"/>
        </w:rPr>
        <w:t xml:space="preserve">persona que se encuentre próxima a pensionarse aplica en el marco de un contrato de prestación de servicios? </w:t>
      </w:r>
    </w:p>
    <w:p w14:paraId="7245BFD6" w14:textId="77777777" w:rsidR="00746B08" w:rsidRPr="00F53A5C" w:rsidRDefault="00746B08" w:rsidP="00746B08">
      <w:pPr>
        <w:spacing w:after="0" w:line="276" w:lineRule="auto"/>
        <w:jc w:val="both"/>
        <w:rPr>
          <w:rFonts w:ascii="Verdana" w:eastAsia="Calibri" w:hAnsi="Verdana" w:cs="Arial"/>
          <w:color w:val="7030A0"/>
        </w:rPr>
      </w:pPr>
    </w:p>
    <w:p w14:paraId="78DD6402" w14:textId="77777777" w:rsidR="00746B08" w:rsidRPr="00F53A5C" w:rsidRDefault="00746B08" w:rsidP="00746B08">
      <w:pPr>
        <w:numPr>
          <w:ilvl w:val="0"/>
          <w:numId w:val="1"/>
        </w:numPr>
        <w:tabs>
          <w:tab w:val="left" w:pos="142"/>
          <w:tab w:val="left" w:pos="284"/>
        </w:tabs>
        <w:spacing w:after="0" w:line="276" w:lineRule="auto"/>
        <w:jc w:val="both"/>
        <w:rPr>
          <w:rFonts w:ascii="Verdana" w:eastAsia="Century Gothic" w:hAnsi="Verdana" w:cs="Century Gothic"/>
          <w:b/>
          <w:bCs/>
        </w:rPr>
      </w:pPr>
      <w:r w:rsidRPr="00F53A5C">
        <w:rPr>
          <w:rFonts w:ascii="Verdana" w:eastAsia="Century Gothic" w:hAnsi="Verdana" w:cs="Century Gothic"/>
          <w:b/>
          <w:bCs/>
        </w:rPr>
        <w:t>Respuestas:</w:t>
      </w:r>
    </w:p>
    <w:p w14:paraId="605296E3" w14:textId="77777777" w:rsidR="00746B08" w:rsidRPr="00F53A5C" w:rsidRDefault="00746B08" w:rsidP="00746B0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6B08" w:rsidRPr="00F53A5C" w14:paraId="28EA6B1E" w14:textId="77777777" w:rsidTr="00150E1A">
        <w:trPr>
          <w:jc w:val="center"/>
        </w:trPr>
        <w:tc>
          <w:tcPr>
            <w:tcW w:w="8828" w:type="dxa"/>
            <w:shd w:val="clear" w:color="auto" w:fill="auto"/>
          </w:tcPr>
          <w:p w14:paraId="5B736D89" w14:textId="77777777" w:rsidR="00746B08" w:rsidRPr="00F53A5C" w:rsidRDefault="00746B08" w:rsidP="00150E1A">
            <w:pPr>
              <w:spacing w:after="120" w:line="276" w:lineRule="auto"/>
              <w:jc w:val="both"/>
              <w:rPr>
                <w:rFonts w:ascii="Verdana" w:hAnsi="Verdana" w:cs="Arial"/>
              </w:rPr>
            </w:pPr>
            <w:bookmarkStart w:id="2" w:name="_Hlk171694685"/>
            <w:r w:rsidRPr="00F53A5C">
              <w:rPr>
                <w:rFonts w:ascii="Verdana" w:hAnsi="Verdana" w:cs="Arial"/>
              </w:rPr>
              <w:t>De acuerdo con lo expuesto en e</w:t>
            </w:r>
            <w:r>
              <w:rPr>
                <w:rFonts w:ascii="Verdana" w:hAnsi="Verdana" w:cs="Arial"/>
              </w:rPr>
              <w:t>l presente</w:t>
            </w:r>
            <w:r w:rsidRPr="00F53A5C">
              <w:rPr>
                <w:rFonts w:ascii="Verdana" w:hAnsi="Verdana" w:cs="Arial"/>
              </w:rPr>
              <w:t xml:space="preserve"> concepto, para esta Agencia es claro que en la actualidad nuestro ordenamiento jurídico contempla la estabilidad ocupacional reforzada como un derecho fundamental de origen constitucional, basado en el derecho al trabajo en todas sus modalidades y en condiciones dignas y justas, y por lo tanto, su protección deviene en el deber de solidaridad social, como principio fundante del Estado, en el mandato de no discriminación. </w:t>
            </w:r>
          </w:p>
          <w:p w14:paraId="763E1043" w14:textId="77777777" w:rsidR="00746B08" w:rsidRPr="00F53A5C" w:rsidRDefault="00746B08" w:rsidP="00150E1A">
            <w:pPr>
              <w:spacing w:after="120" w:line="276" w:lineRule="auto"/>
              <w:ind w:firstLine="708"/>
              <w:jc w:val="both"/>
              <w:rPr>
                <w:rFonts w:ascii="Verdana" w:eastAsia="Calibri" w:hAnsi="Verdana" w:cs="Arial"/>
                <w:color w:val="000000"/>
                <w:lang w:val="es-ES_tradnl"/>
              </w:rPr>
            </w:pPr>
            <w:r w:rsidRPr="00F53A5C">
              <w:rPr>
                <w:rFonts w:ascii="Verdana" w:eastAsia="Calibri" w:hAnsi="Verdana" w:cs="Arial"/>
                <w:color w:val="000000"/>
                <w:lang w:val="es-ES_tradnl"/>
              </w:rPr>
              <w:lastRenderedPageBreak/>
              <w:t>Sin embargo, hasta la fecha</w:t>
            </w:r>
            <w:r>
              <w:rPr>
                <w:rFonts w:ascii="Verdana" w:eastAsia="Calibri" w:hAnsi="Verdana" w:cs="Arial"/>
                <w:color w:val="000000"/>
                <w:lang w:val="es-ES_tradnl"/>
              </w:rPr>
              <w:t>,</w:t>
            </w:r>
            <w:r w:rsidRPr="00F53A5C">
              <w:rPr>
                <w:rFonts w:ascii="Verdana" w:eastAsia="Calibri" w:hAnsi="Verdana" w:cs="Arial"/>
                <w:color w:val="000000"/>
                <w:lang w:val="es-ES_tradnl"/>
              </w:rPr>
              <w:t xml:space="preserve"> </w:t>
            </w:r>
            <w:r w:rsidRPr="00F53A5C">
              <w:rPr>
                <w:rFonts w:ascii="Verdana" w:hAnsi="Verdana" w:cs="Times New Roman"/>
                <w:color w:val="000000" w:themeColor="text1"/>
                <w:lang w:eastAsia="es-ES_tradnl"/>
              </w:rPr>
              <w:t xml:space="preserve">no existe una jurisprudencia consolidada de </w:t>
            </w:r>
            <w:r w:rsidRPr="00F53A5C">
              <w:rPr>
                <w:rFonts w:ascii="Verdana" w:eastAsia="Calibri" w:hAnsi="Verdana" w:cs="Arial"/>
                <w:color w:val="000000"/>
                <w:lang w:val="es-ES_tradnl"/>
              </w:rPr>
              <w:t>la Corte Constitucional o del Consejo de Estado</w:t>
            </w:r>
            <w:r w:rsidRPr="00F53A5C">
              <w:rPr>
                <w:rFonts w:ascii="Verdana" w:hAnsi="Verdana" w:cs="Times New Roman"/>
                <w:color w:val="000000" w:themeColor="text1"/>
                <w:lang w:eastAsia="es-ES_tradnl"/>
              </w:rPr>
              <w:t xml:space="preserve"> que haya definido el contenido y alcance de la </w:t>
            </w:r>
            <w:r w:rsidRPr="00F53A5C">
              <w:rPr>
                <w:rFonts w:ascii="Verdana" w:eastAsia="Calibri" w:hAnsi="Verdana" w:cs="Arial"/>
                <w:color w:val="000000"/>
                <w:lang w:val="es-ES_tradnl"/>
              </w:rPr>
              <w:t xml:space="preserve">estabilidad ocupacional reforzada en contratistas de prestación de servicios que tengan una condición de ser personas próximas para pensionarse, por lo que en principio deberá responderse de manera negativa la pregunta formulada. No obstante, se reitera que cada Entidad Estatal podrá tener en cuenta la naturaleza del test de igualdad en la jurisprudencia constitucional, especialmente, cuando ésta ha extendido paulatinamente la protección a las personas en condiciones de debilidad manifiesta, bajo el entendido que </w:t>
            </w:r>
            <w:r w:rsidRPr="00F53A5C">
              <w:rPr>
                <w:rFonts w:ascii="Verdana" w:hAnsi="Verdana" w:cs="Arial"/>
                <w:lang w:val="es-ES"/>
              </w:rPr>
              <w:t>aplican los valores y principios superiores al observarse la vulneración de derechos fundamentales</w:t>
            </w:r>
            <w:r w:rsidRPr="00F53A5C">
              <w:rPr>
                <w:rFonts w:ascii="Verdana" w:eastAsia="Calibri" w:hAnsi="Verdana" w:cs="Arial"/>
                <w:color w:val="000000"/>
                <w:lang w:val="es-ES_tradnl"/>
              </w:rPr>
              <w:t xml:space="preserve">, que permite que cualquier juez pueda determinar si existen razones suficientes para mantener un trato igual frente a situaciones en alguna medida disímiles, o si existen razones suficientes para establecer un trato distinto entre situaciones con algún grado de similitud. </w:t>
            </w:r>
          </w:p>
          <w:p w14:paraId="4602BEF8" w14:textId="77777777" w:rsidR="00746B08" w:rsidRPr="00F53A5C" w:rsidRDefault="00746B08" w:rsidP="00150E1A">
            <w:pPr>
              <w:spacing w:after="120" w:line="276" w:lineRule="auto"/>
              <w:ind w:firstLine="708"/>
              <w:jc w:val="both"/>
              <w:rPr>
                <w:rFonts w:ascii="Verdana" w:eastAsia="Calibri" w:hAnsi="Verdana" w:cs="Arial"/>
                <w:color w:val="000000"/>
                <w:lang w:val="es-ES_tradnl"/>
              </w:rPr>
            </w:pPr>
            <w:r w:rsidRPr="00F53A5C">
              <w:rPr>
                <w:rFonts w:ascii="Verdana" w:eastAsia="Times New Roman" w:hAnsi="Verdana" w:cs="Arial"/>
                <w:lang w:val="es-ES" w:eastAsia="es-ES"/>
              </w:rPr>
              <w:t xml:space="preserve">Sin perjuicio de lo anterior, debe advertirse que </w:t>
            </w:r>
            <w:r w:rsidRPr="00F53A5C">
              <w:rPr>
                <w:rFonts w:ascii="Verdana" w:eastAsia="Times New Roman" w:hAnsi="Verdana" w:cs="Arial"/>
                <w:lang w:val="es-ES"/>
              </w:rPr>
              <w:t xml:space="preserve">la Entidad Estatal en uso de su autonomía y discrecionalidad podrá adicionar, prorrogar un contrato o suscribir un nuevo contrato con el contratista de prestación de servicios de persona en condición de </w:t>
            </w:r>
            <w:r w:rsidRPr="00F53A5C">
              <w:rPr>
                <w:rFonts w:ascii="Verdana" w:eastAsia="Times New Roman" w:hAnsi="Verdana" w:cs="Arial"/>
                <w:i/>
                <w:iCs/>
                <w:lang w:val="es-ES"/>
              </w:rPr>
              <w:t>prepensionada</w:t>
            </w:r>
            <w:r w:rsidRPr="00F53A5C">
              <w:rPr>
                <w:rFonts w:ascii="Verdana" w:eastAsia="Times New Roman" w:hAnsi="Verdana" w:cs="Arial"/>
                <w:lang w:val="es-ES"/>
              </w:rPr>
              <w:t>, siempre que se cumplan con los presupuestos legales y jurisprudenciales para que proceda la respectiva contratación.</w:t>
            </w:r>
          </w:p>
          <w:p w14:paraId="726507D5" w14:textId="77777777" w:rsidR="00746B08" w:rsidRPr="00F53A5C" w:rsidRDefault="00746B08" w:rsidP="00150E1A">
            <w:pPr>
              <w:tabs>
                <w:tab w:val="left" w:pos="426"/>
              </w:tabs>
              <w:spacing w:line="276" w:lineRule="auto"/>
              <w:jc w:val="both"/>
              <w:rPr>
                <w:rFonts w:ascii="Verdana" w:eastAsia="Calibri" w:hAnsi="Verdana" w:cs="Arial"/>
                <w:color w:val="000000" w:themeColor="text1"/>
                <w:lang w:val="es-ES"/>
              </w:rPr>
            </w:pPr>
            <w:r w:rsidRPr="00F53A5C">
              <w:rPr>
                <w:rFonts w:ascii="Verdana" w:eastAsia="Calibri" w:hAnsi="Verdana" w:cs="Arial"/>
                <w:color w:val="000000" w:themeColor="text1"/>
                <w:lang w:val="es-ES"/>
              </w:rPr>
              <w:tab/>
            </w:r>
            <w:r w:rsidRPr="00F53A5C">
              <w:rPr>
                <w:rFonts w:ascii="Verdana" w:eastAsia="Calibri" w:hAnsi="Verdana" w:cs="Arial"/>
                <w:color w:val="000000" w:themeColor="text1"/>
                <w:lang w:val="es-ES"/>
              </w:rPr>
              <w:tab/>
              <w:t xml:space="preserve">Así las cosas, la Entidad Estatal contratante valorará, en su caso particular, las posibilidades de extender la tesis de test de igualdad de la Corte Constitucional a los contratos de prestación de servicios, previo concepto de sus órganos asesores, pues se reitera que la solución de estos temas corresponde a la entidad de adoptar la decisión correspondiente y, en caso de conflicto, a las autoridades judiciales, fiscales y disciplinarias. </w:t>
            </w:r>
          </w:p>
        </w:tc>
      </w:tr>
    </w:tbl>
    <w:p w14:paraId="441C37BD" w14:textId="77777777" w:rsidR="00746B08" w:rsidRPr="00F53A5C" w:rsidRDefault="00746B08" w:rsidP="00746B08">
      <w:pPr>
        <w:tabs>
          <w:tab w:val="left" w:pos="142"/>
          <w:tab w:val="left" w:pos="284"/>
        </w:tabs>
        <w:spacing w:after="0" w:line="276" w:lineRule="auto"/>
        <w:jc w:val="both"/>
        <w:rPr>
          <w:rFonts w:ascii="Verdana" w:eastAsia="Century Gothic" w:hAnsi="Verdana" w:cs="Century Gothic"/>
          <w:b/>
          <w:bCs/>
        </w:rPr>
      </w:pPr>
    </w:p>
    <w:bookmarkEnd w:id="2"/>
    <w:p w14:paraId="09931F56" w14:textId="77777777" w:rsidR="00746B08" w:rsidRPr="00F53A5C" w:rsidRDefault="00746B08" w:rsidP="00746B08">
      <w:pPr>
        <w:numPr>
          <w:ilvl w:val="0"/>
          <w:numId w:val="1"/>
        </w:numPr>
        <w:tabs>
          <w:tab w:val="left" w:pos="142"/>
          <w:tab w:val="left" w:pos="284"/>
        </w:tabs>
        <w:spacing w:after="0" w:line="276" w:lineRule="auto"/>
        <w:jc w:val="both"/>
        <w:rPr>
          <w:rFonts w:ascii="Verdana" w:eastAsia="Century Gothic" w:hAnsi="Verdana" w:cs="Century Gothic"/>
          <w:b/>
          <w:bCs/>
        </w:rPr>
      </w:pPr>
      <w:r w:rsidRPr="00F53A5C">
        <w:rPr>
          <w:rFonts w:ascii="Verdana" w:eastAsia="Century Gothic" w:hAnsi="Verdana" w:cs="Century Gothic"/>
          <w:b/>
          <w:bCs/>
        </w:rPr>
        <w:t>Razones de las respuestas:</w:t>
      </w:r>
    </w:p>
    <w:p w14:paraId="6C25D944" w14:textId="77777777" w:rsidR="00746B08" w:rsidRPr="00F53A5C" w:rsidRDefault="00746B08" w:rsidP="00746B08">
      <w:pPr>
        <w:spacing w:after="0" w:line="276" w:lineRule="auto"/>
        <w:jc w:val="both"/>
        <w:rPr>
          <w:rFonts w:ascii="Verdana" w:eastAsia="Calibri" w:hAnsi="Verdana" w:cs="Arial"/>
          <w:color w:val="7030A0"/>
        </w:rPr>
      </w:pPr>
    </w:p>
    <w:p w14:paraId="030CFA4C" w14:textId="77777777" w:rsidR="00746B08" w:rsidRPr="00F53A5C" w:rsidRDefault="00746B08" w:rsidP="00746B08">
      <w:pPr>
        <w:spacing w:after="0" w:line="276" w:lineRule="auto"/>
        <w:jc w:val="both"/>
        <w:rPr>
          <w:rFonts w:ascii="Verdana" w:eastAsia="Calibri" w:hAnsi="Verdana" w:cs="Arial"/>
        </w:rPr>
      </w:pPr>
      <w:r w:rsidRPr="00F53A5C">
        <w:rPr>
          <w:rFonts w:ascii="Verdana" w:eastAsia="Calibri" w:hAnsi="Verdana" w:cs="Arial"/>
        </w:rPr>
        <w:t>Lo anterior se sustenta en las siguientes consideraciones:</w:t>
      </w:r>
    </w:p>
    <w:p w14:paraId="23EADB00" w14:textId="77777777" w:rsidR="00746B08" w:rsidRPr="00F53A5C" w:rsidRDefault="00746B08" w:rsidP="00746B08">
      <w:pPr>
        <w:spacing w:after="0" w:line="276" w:lineRule="auto"/>
        <w:jc w:val="both"/>
        <w:rPr>
          <w:rFonts w:ascii="Verdana" w:eastAsia="Calibri" w:hAnsi="Verdana" w:cs="Arial"/>
          <w:color w:val="000000" w:themeColor="text1"/>
        </w:rPr>
      </w:pPr>
    </w:p>
    <w:p w14:paraId="03E05AFC" w14:textId="77777777" w:rsidR="00746B08" w:rsidRPr="00F53A5C" w:rsidRDefault="00746B08" w:rsidP="00746B08">
      <w:pPr>
        <w:spacing w:after="120" w:line="276" w:lineRule="auto"/>
        <w:jc w:val="both"/>
        <w:rPr>
          <w:rFonts w:ascii="Verdana" w:eastAsia="Arial" w:hAnsi="Verdana" w:cs="Arial"/>
          <w:color w:val="000000"/>
        </w:rPr>
      </w:pPr>
      <w:r w:rsidRPr="00F53A5C">
        <w:rPr>
          <w:rFonts w:ascii="Verdana" w:eastAsia="Arial" w:hAnsi="Verdana" w:cs="Arial"/>
          <w:color w:val="000000"/>
        </w:rPr>
        <w:t xml:space="preserve">El contrato de prestación de servicios es un contrato estatal típico, regulado en el numeral 32.3 de la Ley 80 de 1993. Es definido como aquel que “celebren las entidades estatales para desarrollar actividades relacionadas con la </w:t>
      </w:r>
      <w:r w:rsidRPr="00F53A5C">
        <w:rPr>
          <w:rFonts w:ascii="Verdana" w:eastAsia="Arial" w:hAnsi="Verdana" w:cs="Arial"/>
          <w:color w:val="000000"/>
        </w:rPr>
        <w:lastRenderedPageBreak/>
        <w:t xml:space="preserve">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510F20B4" w14:textId="77777777" w:rsidR="00746B08" w:rsidRPr="00F53A5C" w:rsidRDefault="00746B08" w:rsidP="00746B08">
      <w:pPr>
        <w:spacing w:after="0" w:line="276" w:lineRule="auto"/>
        <w:ind w:firstLine="709"/>
        <w:jc w:val="both"/>
        <w:rPr>
          <w:rFonts w:ascii="Verdana" w:eastAsia="Arial" w:hAnsi="Verdana" w:cs="Arial"/>
          <w:color w:val="000000"/>
        </w:rPr>
      </w:pPr>
      <w:r w:rsidRPr="00F53A5C">
        <w:rPr>
          <w:rFonts w:ascii="Verdana" w:eastAsia="Arial" w:hAnsi="Verdana" w:cs="Arial"/>
          <w:color w:val="000000"/>
        </w:rPr>
        <w:t>La celebración de dicho contrato debe efectuarse a través de la modalidad de contratación directa. Así lo dispone el artículo 2, numeral 4°, literal h) de la Ley 1150 de 2007, el cual señala:</w:t>
      </w:r>
    </w:p>
    <w:p w14:paraId="4C668B35" w14:textId="77777777" w:rsidR="00746B08" w:rsidRPr="00F53A5C" w:rsidRDefault="00746B08" w:rsidP="00746B08">
      <w:pPr>
        <w:spacing w:after="0" w:line="276" w:lineRule="auto"/>
        <w:jc w:val="both"/>
        <w:rPr>
          <w:rFonts w:ascii="Verdana" w:eastAsia="Arial" w:hAnsi="Verdana" w:cs="Arial"/>
          <w:color w:val="000000"/>
        </w:rPr>
      </w:pPr>
    </w:p>
    <w:p w14:paraId="14F746B9"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r w:rsidRPr="00F53A5C">
        <w:rPr>
          <w:rFonts w:ascii="Verdana" w:eastAsia="Yu Gothic UI Semibold" w:hAnsi="Verdana" w:cs="Arial"/>
          <w:iCs/>
          <w:sz w:val="20"/>
          <w:szCs w:val="20"/>
          <w:lang w:eastAsia="es-MX"/>
        </w:rPr>
        <w:t>“</w:t>
      </w:r>
      <w:r w:rsidRPr="00F53A5C">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6D60F235"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r w:rsidRPr="00F53A5C">
        <w:rPr>
          <w:rFonts w:ascii="Verdana" w:eastAsia="Calibri" w:hAnsi="Verdana" w:cs="Arial"/>
          <w:color w:val="000000" w:themeColor="text1"/>
          <w:sz w:val="20"/>
          <w:szCs w:val="20"/>
          <w:lang w:val="es-MX"/>
        </w:rPr>
        <w:t>[…]</w:t>
      </w:r>
    </w:p>
    <w:p w14:paraId="3B38D4A3"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p>
    <w:p w14:paraId="0E4254F3"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r w:rsidRPr="00F53A5C">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21C198B0"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bookmarkStart w:id="3" w:name="_Hlk195037686"/>
      <w:r w:rsidRPr="00F53A5C">
        <w:rPr>
          <w:rFonts w:ascii="Verdana" w:eastAsia="Calibri" w:hAnsi="Verdana" w:cs="Arial"/>
          <w:color w:val="000000" w:themeColor="text1"/>
          <w:sz w:val="20"/>
          <w:szCs w:val="20"/>
          <w:lang w:val="es-MX"/>
        </w:rPr>
        <w:t>[…]</w:t>
      </w:r>
    </w:p>
    <w:bookmarkEnd w:id="3"/>
    <w:p w14:paraId="1B0B6A70"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p>
    <w:p w14:paraId="1FFEFDA4" w14:textId="77777777" w:rsidR="00746B08" w:rsidRPr="00F53A5C" w:rsidRDefault="00746B08" w:rsidP="00746B08">
      <w:pPr>
        <w:spacing w:after="0" w:line="240" w:lineRule="auto"/>
        <w:ind w:left="709" w:right="709"/>
        <w:contextualSpacing/>
        <w:jc w:val="both"/>
        <w:rPr>
          <w:rFonts w:ascii="Verdana" w:eastAsia="Calibri" w:hAnsi="Verdana" w:cs="Arial"/>
          <w:color w:val="000000" w:themeColor="text1"/>
          <w:sz w:val="20"/>
          <w:szCs w:val="20"/>
          <w:lang w:val="es-MX"/>
        </w:rPr>
      </w:pPr>
      <w:r w:rsidRPr="00F53A5C">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F53A5C">
        <w:rPr>
          <w:rFonts w:ascii="Verdana" w:eastAsia="Yu Gothic UI Semibold" w:hAnsi="Verdana" w:cs="Arial"/>
          <w:iCs/>
          <w:sz w:val="20"/>
          <w:szCs w:val="20"/>
          <w:lang w:eastAsia="es-MX"/>
        </w:rPr>
        <w:t>”</w:t>
      </w:r>
      <w:r w:rsidRPr="00F53A5C">
        <w:rPr>
          <w:rFonts w:ascii="Verdana" w:eastAsia="Calibri" w:hAnsi="Verdana" w:cs="Arial"/>
          <w:color w:val="000000" w:themeColor="text1"/>
          <w:sz w:val="20"/>
          <w:szCs w:val="20"/>
          <w:lang w:val="es-MX"/>
        </w:rPr>
        <w:t>.</w:t>
      </w:r>
    </w:p>
    <w:p w14:paraId="145543D7" w14:textId="77777777" w:rsidR="00746B08" w:rsidRPr="00F53A5C" w:rsidRDefault="00746B08" w:rsidP="00746B08">
      <w:pPr>
        <w:spacing w:after="0" w:line="276" w:lineRule="auto"/>
        <w:jc w:val="both"/>
        <w:rPr>
          <w:rFonts w:ascii="Verdana" w:eastAsia="Arial" w:hAnsi="Verdana" w:cs="Arial"/>
          <w:color w:val="000000"/>
        </w:rPr>
      </w:pPr>
    </w:p>
    <w:p w14:paraId="2618389E" w14:textId="77777777" w:rsidR="00746B08" w:rsidRPr="00F53A5C" w:rsidRDefault="00746B08" w:rsidP="00746B08">
      <w:pPr>
        <w:tabs>
          <w:tab w:val="left" w:pos="0"/>
        </w:tabs>
        <w:spacing w:after="0" w:line="276" w:lineRule="auto"/>
        <w:jc w:val="both"/>
        <w:rPr>
          <w:rFonts w:ascii="Verdana" w:eastAsia="Arial" w:hAnsi="Verdana" w:cs="Arial"/>
          <w:color w:val="000000"/>
        </w:rPr>
      </w:pPr>
      <w:r w:rsidRPr="00F53A5C">
        <w:rPr>
          <w:rFonts w:ascii="Verdana" w:eastAsia="Arial" w:hAnsi="Verdana" w:cs="Arial"/>
          <w:color w:val="000000"/>
        </w:rPr>
        <w:tab/>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0A40D101" w14:textId="77777777" w:rsidR="00746B08" w:rsidRPr="00F53A5C" w:rsidRDefault="00746B08" w:rsidP="00746B08">
      <w:pPr>
        <w:spacing w:after="0" w:line="276" w:lineRule="auto"/>
        <w:ind w:left="709" w:right="709"/>
        <w:jc w:val="both"/>
        <w:rPr>
          <w:rFonts w:ascii="Verdana" w:eastAsia="Yu Gothic UI Semibold" w:hAnsi="Verdana" w:cs="Arial"/>
          <w:iCs/>
          <w:sz w:val="21"/>
          <w:szCs w:val="21"/>
          <w:lang w:eastAsia="es-MX"/>
        </w:rPr>
      </w:pPr>
    </w:p>
    <w:p w14:paraId="739ED167" w14:textId="77777777" w:rsidR="00746B08" w:rsidRPr="00F53A5C" w:rsidRDefault="00746B08" w:rsidP="00746B08">
      <w:pPr>
        <w:spacing w:after="0" w:line="240" w:lineRule="auto"/>
        <w:ind w:left="709" w:right="709"/>
        <w:contextualSpacing/>
        <w:jc w:val="both"/>
        <w:rPr>
          <w:rFonts w:ascii="Verdana" w:hAnsi="Verdana" w:cs="Arial"/>
          <w:sz w:val="20"/>
          <w:szCs w:val="20"/>
          <w:lang w:val="es-MX"/>
        </w:rPr>
      </w:pPr>
      <w:r w:rsidRPr="00F53A5C">
        <w:rPr>
          <w:rFonts w:ascii="Verdana" w:eastAsia="Yu Gothic UI Semibold" w:hAnsi="Verdana" w:cs="Arial"/>
          <w:iCs/>
          <w:sz w:val="20"/>
          <w:szCs w:val="20"/>
          <w:lang w:eastAsia="es-MX"/>
        </w:rPr>
        <w:t>“</w:t>
      </w:r>
      <w:r w:rsidRPr="00F53A5C">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ED4458B" w14:textId="77777777" w:rsidR="00746B08" w:rsidRPr="00F53A5C" w:rsidRDefault="00746B08" w:rsidP="00746B08">
      <w:pPr>
        <w:spacing w:after="0" w:line="240" w:lineRule="auto"/>
        <w:ind w:left="709" w:right="709"/>
        <w:contextualSpacing/>
        <w:jc w:val="both"/>
        <w:rPr>
          <w:rFonts w:ascii="Verdana" w:hAnsi="Verdana" w:cs="Arial"/>
          <w:sz w:val="20"/>
          <w:szCs w:val="20"/>
          <w:lang w:val="es-MX"/>
        </w:rPr>
      </w:pPr>
    </w:p>
    <w:p w14:paraId="207CB958" w14:textId="77777777" w:rsidR="00746B08" w:rsidRPr="00F53A5C" w:rsidRDefault="00746B08" w:rsidP="00746B08">
      <w:pPr>
        <w:spacing w:after="0" w:line="240" w:lineRule="auto"/>
        <w:ind w:left="709" w:right="709"/>
        <w:contextualSpacing/>
        <w:jc w:val="both"/>
        <w:rPr>
          <w:rFonts w:ascii="Verdana" w:hAnsi="Verdana" w:cs="Arial"/>
          <w:sz w:val="20"/>
          <w:szCs w:val="20"/>
          <w:lang w:val="es-MX"/>
        </w:rPr>
      </w:pPr>
      <w:r w:rsidRPr="00F53A5C">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BDF2242" w14:textId="77777777" w:rsidR="00746B08" w:rsidRPr="00F53A5C" w:rsidRDefault="00746B08" w:rsidP="00746B08">
      <w:pPr>
        <w:spacing w:after="0" w:line="240" w:lineRule="auto"/>
        <w:ind w:left="709" w:right="709"/>
        <w:contextualSpacing/>
        <w:jc w:val="both"/>
        <w:rPr>
          <w:rFonts w:ascii="Verdana" w:hAnsi="Verdana" w:cs="Arial"/>
          <w:sz w:val="20"/>
          <w:szCs w:val="20"/>
          <w:lang w:val="es-MX"/>
        </w:rPr>
      </w:pPr>
    </w:p>
    <w:p w14:paraId="6A322E24" w14:textId="77777777" w:rsidR="00746B08" w:rsidRPr="00F53A5C" w:rsidRDefault="00746B08" w:rsidP="00746B08">
      <w:pPr>
        <w:spacing w:after="0" w:line="240" w:lineRule="auto"/>
        <w:ind w:left="709" w:right="709"/>
        <w:contextualSpacing/>
        <w:jc w:val="both"/>
        <w:rPr>
          <w:rFonts w:ascii="Verdana" w:hAnsi="Verdana" w:cs="Arial"/>
          <w:sz w:val="20"/>
          <w:szCs w:val="20"/>
          <w:lang w:val="es-MX"/>
        </w:rPr>
      </w:pPr>
      <w:r w:rsidRPr="00F53A5C">
        <w:rPr>
          <w:rFonts w:ascii="Verdana" w:hAnsi="Verdana" w:cs="Arial"/>
          <w:sz w:val="20"/>
          <w:szCs w:val="20"/>
          <w:lang w:val="es-MX"/>
        </w:rPr>
        <w:t>La Entidad Estatal, para la contratación de trabajos artísticos que solamente puedan en</w:t>
      </w:r>
      <w:r w:rsidRPr="00F53A5C">
        <w:rPr>
          <w:rFonts w:ascii="Verdana" w:hAnsi="Verdana" w:cs="Arial"/>
          <w:sz w:val="20"/>
          <w:szCs w:val="20"/>
          <w:lang w:val="es-MX"/>
        </w:rPr>
        <w:softHyphen/>
        <w:t>comendarse a determinadas personas naturales, debe justificar esta situación en los estudios y documentos previos</w:t>
      </w:r>
      <w:r w:rsidRPr="00F53A5C">
        <w:rPr>
          <w:rFonts w:ascii="Verdana" w:eastAsia="Yu Gothic UI Semibold" w:hAnsi="Verdana" w:cs="Arial"/>
          <w:iCs/>
          <w:sz w:val="20"/>
          <w:szCs w:val="20"/>
          <w:lang w:eastAsia="es-MX"/>
        </w:rPr>
        <w:t>”</w:t>
      </w:r>
      <w:r w:rsidRPr="00F53A5C">
        <w:rPr>
          <w:rFonts w:ascii="Verdana" w:hAnsi="Verdana" w:cs="Arial"/>
          <w:sz w:val="20"/>
          <w:szCs w:val="20"/>
          <w:lang w:val="es-MX"/>
        </w:rPr>
        <w:t>.</w:t>
      </w:r>
    </w:p>
    <w:p w14:paraId="22211823" w14:textId="77777777" w:rsidR="00746B08" w:rsidRPr="00F53A5C" w:rsidRDefault="00746B08" w:rsidP="00746B08">
      <w:pPr>
        <w:spacing w:after="0" w:line="276" w:lineRule="auto"/>
        <w:ind w:firstLine="709"/>
        <w:jc w:val="both"/>
        <w:rPr>
          <w:rFonts w:ascii="Verdana" w:eastAsia="Calibri" w:hAnsi="Verdana" w:cs="Arial"/>
          <w:color w:val="000000"/>
          <w:lang w:val="es-ES_tradnl" w:eastAsia="es-ES_tradnl"/>
        </w:rPr>
      </w:pPr>
      <w:r w:rsidRPr="00F53A5C">
        <w:rPr>
          <w:rFonts w:ascii="Verdana" w:eastAsia="Arial" w:hAnsi="Verdana" w:cs="Arial"/>
          <w:color w:val="000000"/>
        </w:rPr>
        <w:tab/>
      </w:r>
    </w:p>
    <w:p w14:paraId="6AA7B042" w14:textId="77777777" w:rsidR="00746B08" w:rsidRPr="00F53A5C" w:rsidRDefault="00746B08" w:rsidP="00746B08">
      <w:pPr>
        <w:spacing w:after="120" w:line="276" w:lineRule="auto"/>
        <w:ind w:firstLine="709"/>
        <w:jc w:val="both"/>
        <w:rPr>
          <w:rFonts w:ascii="Verdana" w:eastAsia="Calibri" w:hAnsi="Verdana" w:cs="Arial"/>
          <w:color w:val="000000"/>
          <w:lang w:val="es-ES_tradnl" w:eastAsia="es-ES_tradnl"/>
        </w:rPr>
      </w:pPr>
      <w:r w:rsidRPr="00F53A5C">
        <w:rPr>
          <w:rFonts w:ascii="Verdana" w:eastAsia="Calibri" w:hAnsi="Verdana"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3E21C0FF" w14:textId="77777777" w:rsidR="00746B08" w:rsidRPr="00F53A5C" w:rsidRDefault="00746B08" w:rsidP="00746B08">
      <w:pPr>
        <w:tabs>
          <w:tab w:val="left" w:pos="0"/>
        </w:tabs>
        <w:spacing w:after="120" w:line="276" w:lineRule="auto"/>
        <w:jc w:val="both"/>
        <w:rPr>
          <w:rFonts w:ascii="Verdana" w:hAnsi="Verdana" w:cs="Arial"/>
          <w:noProof/>
          <w:lang w:val="es-ES_tradnl"/>
        </w:rPr>
      </w:pPr>
      <w:r w:rsidRPr="00F53A5C">
        <w:rPr>
          <w:rFonts w:ascii="Verdana" w:eastAsia="Arial" w:hAnsi="Verdana" w:cs="Arial"/>
          <w:color w:val="000000"/>
          <w:lang w:val="es-ES"/>
        </w:rPr>
        <w:tab/>
        <w:t>i</w:t>
      </w:r>
      <w:r w:rsidRPr="00F53A5C">
        <w:rPr>
          <w:rFonts w:ascii="Verdana" w:eastAsia="Arial" w:hAnsi="Verdana" w:cs="Arial"/>
          <w:color w:val="000000"/>
        </w:rPr>
        <w:t>) Sólo puede celebrarse para realizar “actividades relacionadas con la administración o funcionamiento de la entidad”, es decir, que hagan parte de su giro ordinario o que hacer diario</w:t>
      </w:r>
      <w:r w:rsidRPr="00F53A5C">
        <w:rPr>
          <w:rFonts w:ascii="Verdana" w:hAnsi="Verdana"/>
          <w:noProof/>
          <w:vertAlign w:val="superscript"/>
          <w:lang w:val="es-ES_tradnl"/>
        </w:rPr>
        <w:footnoteReference w:id="2"/>
      </w:r>
      <w:r w:rsidRPr="00F53A5C">
        <w:rPr>
          <w:rFonts w:ascii="Verdana" w:hAnsi="Verdana" w:cs="Arial"/>
          <w:noProof/>
          <w:lang w:val="es-ES_tradnl"/>
        </w:rPr>
        <w:t>.</w:t>
      </w:r>
    </w:p>
    <w:p w14:paraId="2FF5DB7E" w14:textId="77777777" w:rsidR="00746B08" w:rsidRPr="00F53A5C" w:rsidRDefault="00746B08" w:rsidP="00746B08">
      <w:pPr>
        <w:spacing w:after="120" w:line="276" w:lineRule="auto"/>
        <w:ind w:firstLine="709"/>
        <w:jc w:val="both"/>
        <w:rPr>
          <w:rFonts w:ascii="Verdana" w:eastAsia="Calibri" w:hAnsi="Verdana" w:cs="Arial"/>
          <w:color w:val="000000"/>
          <w:lang w:val="es-ES" w:eastAsia="es-ES"/>
        </w:rPr>
      </w:pPr>
      <w:r w:rsidRPr="00F53A5C">
        <w:rPr>
          <w:rFonts w:ascii="Verdana" w:hAnsi="Verdana"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r w:rsidRPr="00F53A5C">
        <w:rPr>
          <w:rFonts w:ascii="Verdana" w:eastAsia="Calibri" w:hAnsi="Verdana" w:cs="Arial"/>
          <w:color w:val="000000"/>
          <w:lang w:val="es-ES"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razón por la cual sea necesario contratar los servicios de una persona natural que posea conocimiento y experiencia en el tema.</w:t>
      </w:r>
    </w:p>
    <w:p w14:paraId="05F236FC"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F53A5C">
        <w:rPr>
          <w:rFonts w:ascii="Verdana" w:hAnsi="Verdana" w:cs="Arial"/>
          <w:i/>
          <w:noProof/>
          <w:lang w:val="es-ES_tradnl"/>
        </w:rPr>
        <w:t xml:space="preserve">subordinación </w:t>
      </w:r>
      <w:r w:rsidRPr="00F53A5C">
        <w:rPr>
          <w:rFonts w:ascii="Verdana" w:hAnsi="Verdana" w:cs="Arial"/>
          <w:iCs/>
          <w:noProof/>
          <w:lang w:val="es-ES_tradnl"/>
        </w:rPr>
        <w:t>ni</w:t>
      </w:r>
      <w:r w:rsidRPr="00F53A5C">
        <w:rPr>
          <w:rFonts w:ascii="Verdana" w:hAnsi="Verdana" w:cs="Arial"/>
          <w:i/>
          <w:noProof/>
          <w:lang w:val="es-ES_tradnl"/>
        </w:rPr>
        <w:t xml:space="preserve"> dependencia</w:t>
      </w:r>
      <w:r w:rsidRPr="00F53A5C">
        <w:rPr>
          <w:rFonts w:ascii="Verdana" w:hAnsi="Verdana" w:cs="Arial"/>
          <w:iCs/>
          <w:noProof/>
          <w:lang w:val="es-ES_tradnl"/>
        </w:rPr>
        <w:t>,</w:t>
      </w:r>
      <w:r w:rsidRPr="00F53A5C">
        <w:rPr>
          <w:rFonts w:ascii="Verdana" w:hAnsi="Verdana" w:cs="Arial"/>
          <w:noProof/>
          <w:lang w:val="es-ES_tradnl"/>
        </w:rPr>
        <w:t xml:space="preserve"> que es uno de los elementos constitutivos del vínculo laboral</w:t>
      </w:r>
      <w:r w:rsidRPr="00F53A5C">
        <w:rPr>
          <w:rFonts w:ascii="Verdana" w:hAnsi="Verdana" w:cs="Arial"/>
          <w:noProof/>
          <w:vertAlign w:val="superscript"/>
          <w:lang w:val="es-ES_tradnl"/>
        </w:rPr>
        <w:footnoteReference w:id="3"/>
      </w:r>
      <w:r w:rsidRPr="00F53A5C">
        <w:rPr>
          <w:rFonts w:ascii="Verdana" w:hAnsi="Verdana" w:cs="Arial"/>
          <w:noProof/>
          <w:lang w:val="es-ES_tradnl"/>
        </w:rPr>
        <w:t xml:space="preserve">. </w:t>
      </w:r>
    </w:p>
    <w:p w14:paraId="38341C97"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lastRenderedPageBreak/>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F53A5C">
        <w:rPr>
          <w:rFonts w:ascii="Verdana" w:hAnsi="Verdana" w:cs="Arial"/>
          <w:i/>
          <w:noProof/>
          <w:lang w:val="es-ES_tradnl"/>
        </w:rPr>
        <w:t>no pueden</w:t>
      </w:r>
      <w:r w:rsidRPr="00F53A5C">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F53A5C">
        <w:rPr>
          <w:rFonts w:ascii="Verdana" w:hAnsi="Verdana" w:cs="Arial"/>
          <w:noProof/>
          <w:vertAlign w:val="superscript"/>
          <w:lang w:val="es-ES_tradnl"/>
        </w:rPr>
        <w:footnoteReference w:id="4"/>
      </w:r>
      <w:r w:rsidRPr="00F53A5C">
        <w:rPr>
          <w:rFonts w:ascii="Verdana" w:hAnsi="Verdana" w:cs="Arial"/>
          <w:noProof/>
          <w:lang w:val="es-ES_tradnl"/>
        </w:rPr>
        <w:t xml:space="preserve">. </w:t>
      </w:r>
    </w:p>
    <w:p w14:paraId="4239ABCA"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 xml:space="preserve">A pesar de este mandato deontológico, es posible que en la práctica se configure una relación laboral, pues el contrato de trabajo es </w:t>
      </w:r>
      <w:r w:rsidRPr="00F53A5C">
        <w:rPr>
          <w:rFonts w:ascii="Verdana" w:hAnsi="Verdana" w:cs="Arial"/>
          <w:i/>
          <w:iCs/>
          <w:noProof/>
          <w:lang w:val="es-ES_tradnl"/>
        </w:rPr>
        <w:t xml:space="preserve">de </w:t>
      </w:r>
      <w:r w:rsidRPr="00F53A5C">
        <w:rPr>
          <w:rFonts w:ascii="Verdana" w:hAnsi="Verdana" w:cs="Arial"/>
          <w:i/>
          <w:noProof/>
          <w:lang w:val="es-ES_tradnl"/>
        </w:rPr>
        <w:t>realidad</w:t>
      </w:r>
      <w:r w:rsidRPr="00F53A5C">
        <w:rPr>
          <w:rFonts w:ascii="Verdana" w:hAnsi="Verdana"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F53A5C">
        <w:rPr>
          <w:rFonts w:ascii="Verdana" w:hAnsi="Verdana" w:cs="Arial"/>
          <w:noProof/>
          <w:vertAlign w:val="superscript"/>
          <w:lang w:val="es-ES_tradnl"/>
        </w:rPr>
        <w:footnoteReference w:id="5"/>
      </w:r>
      <w:r w:rsidRPr="00F53A5C">
        <w:rPr>
          <w:rFonts w:ascii="Verdana" w:hAnsi="Verdana" w:cs="Arial"/>
          <w:noProof/>
          <w:lang w:val="es-ES_tradnl"/>
        </w:rPr>
        <w:t>.</w:t>
      </w:r>
    </w:p>
    <w:p w14:paraId="3980438B"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 xml:space="preserve">iv) Deben ser temporales. La </w:t>
      </w:r>
      <w:r w:rsidRPr="00F53A5C">
        <w:rPr>
          <w:rFonts w:ascii="Verdana" w:eastAsia="Arial" w:hAnsi="Verdana" w:cs="Arial"/>
          <w:color w:val="000000"/>
        </w:rPr>
        <w:t>Sentencia de Unificación Jurisprudencial de 09 de septiembre de 2021, proferida por el Consejo de Estado</w:t>
      </w:r>
      <w:r w:rsidRPr="00F53A5C">
        <w:rPr>
          <w:rFonts w:ascii="Verdana" w:hAnsi="Verdana" w:cs="Arial"/>
          <w:bCs/>
          <w:vertAlign w:val="superscript"/>
          <w:lang w:val="es-ES"/>
        </w:rPr>
        <w:footnoteReference w:id="6"/>
      </w:r>
      <w:r w:rsidRPr="00F53A5C">
        <w:rPr>
          <w:rFonts w:ascii="Verdana" w:hAnsi="Verdana"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w:t>
      </w:r>
      <w:r w:rsidRPr="00F53A5C">
        <w:rPr>
          <w:rFonts w:ascii="Verdana" w:hAnsi="Verdana" w:cs="Arial"/>
          <w:noProof/>
          <w:lang w:val="es-ES_tradnl"/>
        </w:rPr>
        <w:lastRenderedPageBreak/>
        <w:t xml:space="preserve">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p>
    <w:p w14:paraId="08ABF933" w14:textId="77777777" w:rsidR="00746B08" w:rsidRPr="00F53A5C" w:rsidRDefault="00746B08" w:rsidP="00746B08">
      <w:pPr>
        <w:spacing w:after="0" w:line="276" w:lineRule="auto"/>
        <w:ind w:firstLine="709"/>
        <w:jc w:val="both"/>
        <w:rPr>
          <w:rFonts w:ascii="Verdana" w:hAnsi="Verdana" w:cs="Arial"/>
          <w:noProof/>
          <w:lang w:val="es-ES_tradnl"/>
        </w:rPr>
      </w:pPr>
      <w:r w:rsidRPr="00F53A5C">
        <w:rPr>
          <w:rFonts w:ascii="Verdana" w:hAnsi="Verdana" w:cs="Arial"/>
          <w:lang w:val="es-MX"/>
        </w:rPr>
        <w:t xml:space="preserve">De igual manera, señaló que “no cabe su empleo para la cobertura indefinida de necesidades permanentes o recurrentes”. </w:t>
      </w:r>
      <w:r w:rsidRPr="00F53A5C">
        <w:rPr>
          <w:rFonts w:ascii="Verdana" w:hAnsi="Verdana" w:cs="Arial"/>
          <w:noProof/>
          <w:lang w:val="es-ES_tradnl"/>
        </w:rPr>
        <w:t>En sentido similar se manifestó la Corte Constitucional en la sentencia C-154 de 1997, expresando que:</w:t>
      </w:r>
    </w:p>
    <w:p w14:paraId="4883DADD" w14:textId="77777777" w:rsidR="00746B08" w:rsidRPr="00F53A5C" w:rsidRDefault="00746B08" w:rsidP="00746B08">
      <w:pPr>
        <w:spacing w:after="0" w:line="276" w:lineRule="auto"/>
        <w:jc w:val="both"/>
        <w:rPr>
          <w:rFonts w:ascii="Verdana" w:hAnsi="Verdana" w:cs="Arial"/>
          <w:noProof/>
          <w:lang w:val="es-ES_tradnl"/>
        </w:rPr>
      </w:pPr>
    </w:p>
    <w:p w14:paraId="0570391D" w14:textId="77777777" w:rsidR="00746B08" w:rsidRPr="00F53A5C" w:rsidRDefault="00746B08" w:rsidP="00746B08">
      <w:pPr>
        <w:spacing w:after="0" w:line="240" w:lineRule="auto"/>
        <w:ind w:left="709" w:right="709"/>
        <w:contextualSpacing/>
        <w:jc w:val="both"/>
        <w:rPr>
          <w:rFonts w:ascii="Verdana" w:hAnsi="Verdana" w:cs="Arial"/>
          <w:noProof/>
          <w:sz w:val="20"/>
          <w:szCs w:val="20"/>
          <w:lang w:val="es-ES_tradnl"/>
        </w:rPr>
      </w:pPr>
      <w:r w:rsidRPr="00F53A5C">
        <w:rPr>
          <w:rFonts w:ascii="Verdana" w:eastAsia="Yu Gothic UI Semibold" w:hAnsi="Verdana" w:cs="Arial"/>
          <w:iCs/>
          <w:sz w:val="20"/>
          <w:szCs w:val="20"/>
          <w:lang w:eastAsia="es-MX"/>
        </w:rPr>
        <w:t>“</w:t>
      </w:r>
      <w:r w:rsidRPr="00F53A5C">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F53A5C">
        <w:rPr>
          <w:rFonts w:ascii="Verdana" w:hAnsi="Verdana" w:cs="Arial"/>
          <w:noProof/>
          <w:sz w:val="20"/>
          <w:szCs w:val="20"/>
          <w:vertAlign w:val="superscript"/>
          <w:lang w:val="es-ES_tradnl"/>
        </w:rPr>
        <w:footnoteReference w:id="7"/>
      </w:r>
      <w:r w:rsidRPr="00F53A5C">
        <w:rPr>
          <w:rFonts w:ascii="Verdana" w:hAnsi="Verdana" w:cs="Arial"/>
          <w:noProof/>
          <w:sz w:val="20"/>
          <w:szCs w:val="20"/>
          <w:lang w:val="es-ES_tradnl"/>
        </w:rPr>
        <w:t>.</w:t>
      </w:r>
    </w:p>
    <w:p w14:paraId="3D4BC56F" w14:textId="77777777" w:rsidR="00746B08" w:rsidRPr="00F53A5C" w:rsidRDefault="00746B08" w:rsidP="00746B08">
      <w:pPr>
        <w:spacing w:after="0" w:line="276" w:lineRule="auto"/>
        <w:ind w:left="709" w:right="709"/>
        <w:jc w:val="both"/>
        <w:rPr>
          <w:rFonts w:ascii="Verdana" w:hAnsi="Verdana" w:cs="Arial"/>
          <w:noProof/>
          <w:lang w:val="es-ES_tradnl"/>
        </w:rPr>
      </w:pPr>
    </w:p>
    <w:p w14:paraId="1EE1FA22" w14:textId="77777777" w:rsidR="00746B08" w:rsidRPr="00F53A5C" w:rsidRDefault="00746B08" w:rsidP="00746B08">
      <w:pPr>
        <w:spacing w:after="120" w:line="276" w:lineRule="auto"/>
        <w:ind w:firstLine="709"/>
        <w:jc w:val="both"/>
        <w:rPr>
          <w:rFonts w:ascii="Verdana" w:eastAsia="Calibri" w:hAnsi="Verdana" w:cs="Arial"/>
          <w:color w:val="000000"/>
          <w:lang w:val="es-ES_tradnl" w:eastAsia="es-ES_tradnl"/>
        </w:rPr>
      </w:pPr>
      <w:r w:rsidRPr="00F53A5C">
        <w:rPr>
          <w:rFonts w:ascii="Verdana" w:hAnsi="Verdana" w:cs="Arial"/>
          <w:noProof/>
          <w:lang w:val="es-ES_tradnl"/>
        </w:rPr>
        <w:t xml:space="preserve">v) </w:t>
      </w:r>
      <w:r w:rsidRPr="00F53A5C">
        <w:rPr>
          <w:rFonts w:ascii="Verdana" w:eastAsia="Calibri" w:hAnsi="Verdana" w:cs="Arial"/>
          <w:color w:val="000000"/>
          <w:lang w:val="es-ES_tradnl" w:eastAsia="es-ES_tradnl"/>
        </w:rPr>
        <w:t xml:space="preserve">Los contratos de prestación de servicios constituyen un </w:t>
      </w:r>
      <w:r w:rsidRPr="00F53A5C">
        <w:rPr>
          <w:rFonts w:ascii="Verdana" w:eastAsia="Calibri" w:hAnsi="Verdana" w:cs="Arial"/>
          <w:i/>
          <w:iCs/>
          <w:color w:val="000000"/>
          <w:lang w:val="es-ES_tradnl" w:eastAsia="es-ES_tradnl"/>
        </w:rPr>
        <w:t>género</w:t>
      </w:r>
      <w:r w:rsidRPr="00F53A5C">
        <w:rPr>
          <w:rFonts w:ascii="Verdana" w:eastAsia="Calibri" w:hAnsi="Verdana" w:cs="Arial"/>
          <w:color w:val="000000"/>
          <w:lang w:val="es-ES_tradnl" w:eastAsia="es-ES_tradnl"/>
        </w:rPr>
        <w:t xml:space="preserve"> que incluye, como </w:t>
      </w:r>
      <w:r w:rsidRPr="00F53A5C">
        <w:rPr>
          <w:rFonts w:ascii="Verdana" w:eastAsia="Calibri" w:hAnsi="Verdana" w:cs="Arial"/>
          <w:i/>
          <w:iCs/>
          <w:color w:val="000000"/>
          <w:lang w:val="es-ES_tradnl" w:eastAsia="es-ES_tradnl"/>
        </w:rPr>
        <w:t>especies</w:t>
      </w:r>
      <w:r w:rsidRPr="00F53A5C">
        <w:rPr>
          <w:rFonts w:ascii="Verdana" w:eastAsia="Calibri" w:hAnsi="Verdana" w:cs="Arial"/>
          <w:color w:val="00000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F53A5C">
        <w:rPr>
          <w:rFonts w:ascii="Verdana" w:eastAsia="Calibri" w:hAnsi="Verdana" w:cs="Arial"/>
          <w:color w:val="000000"/>
          <w:vertAlign w:val="superscript"/>
          <w:lang w:val="es-ES_tradnl" w:eastAsia="es-ES_tradnl"/>
        </w:rPr>
        <w:footnoteReference w:id="8"/>
      </w:r>
      <w:r w:rsidRPr="00F53A5C">
        <w:rPr>
          <w:rFonts w:ascii="Verdana" w:eastAsia="Calibri" w:hAnsi="Verdana" w:cs="Arial"/>
          <w:color w:val="000000"/>
          <w:lang w:val="es-ES_tradnl" w:eastAsia="es-ES_tradnl"/>
        </w:rPr>
        <w:t xml:space="preserve">. La diferencia entre el contrato de prestación de servicios </w:t>
      </w:r>
      <w:r w:rsidRPr="00F53A5C">
        <w:rPr>
          <w:rFonts w:ascii="Verdana" w:eastAsia="Calibri" w:hAnsi="Verdana" w:cs="Arial"/>
          <w:i/>
          <w:color w:val="000000"/>
          <w:lang w:val="es-ES_tradnl" w:eastAsia="es-ES_tradnl"/>
        </w:rPr>
        <w:t>profesionales</w:t>
      </w:r>
      <w:r w:rsidRPr="00F53A5C">
        <w:rPr>
          <w:rFonts w:ascii="Verdana" w:eastAsia="Calibri" w:hAnsi="Verdana" w:cs="Arial"/>
          <w:color w:val="000000"/>
          <w:lang w:val="es-ES_tradnl" w:eastAsia="es-ES_tradnl"/>
        </w:rPr>
        <w:t xml:space="preserve"> con las otras dos especies del género en el cual se ubican radica </w:t>
      </w:r>
      <w:r w:rsidRPr="00F53A5C">
        <w:rPr>
          <w:rFonts w:ascii="Verdana" w:eastAsia="Calibri" w:hAnsi="Verdana" w:cs="Arial"/>
          <w:color w:val="000000"/>
          <w:lang w:val="es-ES_tradnl" w:eastAsia="es-ES_tradnl"/>
        </w:rPr>
        <w:lastRenderedPageBreak/>
        <w:t>en su contenido intelectual intangible y, al mismo tiempo, en la formación profesional que se exige para desempeñar la labor</w:t>
      </w:r>
      <w:r w:rsidRPr="00F53A5C">
        <w:rPr>
          <w:rFonts w:ascii="Verdana" w:eastAsia="Calibri" w:hAnsi="Verdana" w:cs="Arial"/>
          <w:color w:val="000000"/>
          <w:vertAlign w:val="superscript"/>
          <w:lang w:val="es-ES_tradnl" w:eastAsia="es-ES_tradnl"/>
        </w:rPr>
        <w:footnoteReference w:id="9"/>
      </w:r>
      <w:r w:rsidRPr="00F53A5C">
        <w:rPr>
          <w:rFonts w:ascii="Verdana" w:eastAsia="Calibri" w:hAnsi="Verdana" w:cs="Arial"/>
          <w:color w:val="000000"/>
          <w:lang w:val="es-ES_tradnl" w:eastAsia="es-ES_tradnl"/>
        </w:rPr>
        <w:t>.</w:t>
      </w:r>
    </w:p>
    <w:p w14:paraId="5E45B6C7" w14:textId="77777777" w:rsidR="00746B08" w:rsidRPr="00F53A5C" w:rsidRDefault="00746B08" w:rsidP="00746B08">
      <w:pPr>
        <w:spacing w:after="120" w:line="276" w:lineRule="auto"/>
        <w:ind w:firstLine="709"/>
        <w:jc w:val="both"/>
        <w:rPr>
          <w:rFonts w:ascii="Verdana" w:eastAsia="Calibri" w:hAnsi="Verdana" w:cs="Arial"/>
          <w:color w:val="000000"/>
          <w:lang w:val="es-ES" w:eastAsia="es-ES"/>
        </w:rPr>
      </w:pPr>
      <w:r w:rsidRPr="00F53A5C">
        <w:rPr>
          <w:rFonts w:ascii="Verdana" w:hAnsi="Verdana" w:cs="Arial"/>
          <w:noProof/>
          <w:lang w:val="es-ES_tradnl"/>
        </w:rPr>
        <w:t xml:space="preserve">vi) Se celebran a través de la modalidad de contratación directa, independientemente de la cuantía y del tipo de servicio profesional, siempre que su objeto no sea la consultoría. Esto por cuanto, como lo indicó </w:t>
      </w:r>
      <w:r w:rsidRPr="00F53A5C">
        <w:rPr>
          <w:rFonts w:ascii="Verdana" w:eastAsia="Arial" w:hAnsi="Verdana" w:cs="Arial"/>
          <w:color w:val="000000"/>
        </w:rPr>
        <w:t>Sentencia de Unificación Jurisprudencial de 09 de septiembre de 2021, proferida por el Consejo de Estado</w:t>
      </w:r>
      <w:r w:rsidRPr="00F53A5C">
        <w:rPr>
          <w:rFonts w:ascii="Verdana" w:hAnsi="Verdana" w:cs="Arial"/>
          <w:bCs/>
          <w:vertAlign w:val="superscript"/>
          <w:lang w:val="es-ES"/>
        </w:rPr>
        <w:footnoteReference w:id="10"/>
      </w:r>
      <w:r w:rsidRPr="00F53A5C">
        <w:rPr>
          <w:rFonts w:ascii="Verdana" w:hAnsi="Verdana" w:cs="Arial"/>
          <w:noProof/>
          <w:lang w:val="es-ES_tradnl"/>
        </w:rPr>
        <w:t>, si bien en ambos existe un componente intelectual y profesional, el objeto del contrato de consultoría es especial y debe celebrarse, por regla general, mediante un concurso de méritos</w:t>
      </w:r>
      <w:r w:rsidRPr="00F53A5C">
        <w:rPr>
          <w:rFonts w:ascii="Verdana" w:hAnsi="Verdana" w:cs="Arial"/>
          <w:noProof/>
          <w:vertAlign w:val="superscript"/>
          <w:lang w:val="es-ES_tradnl"/>
        </w:rPr>
        <w:footnoteReference w:id="11"/>
      </w:r>
      <w:r w:rsidRPr="00F53A5C">
        <w:rPr>
          <w:rFonts w:ascii="Verdana" w:hAnsi="Verdana" w:cs="Arial"/>
          <w:noProof/>
          <w:lang w:val="es-ES_tradnl"/>
        </w:rPr>
        <w:t>. Esto también se deriva d</w:t>
      </w:r>
      <w:r w:rsidRPr="00F53A5C">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F53A5C">
        <w:rPr>
          <w:rFonts w:ascii="Verdana" w:eastAsia="Calibri" w:hAnsi="Verdana" w:cs="Arial"/>
          <w:color w:val="000000"/>
          <w:lang w:val="es-ES" w:eastAsia="es-ES"/>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3381D49F"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vii) Para su celebración no se requiere expedir un acto administrativo de justificación de la contratación directa</w:t>
      </w:r>
      <w:r w:rsidRPr="00F53A5C">
        <w:rPr>
          <w:rFonts w:ascii="Verdana" w:hAnsi="Verdana" w:cs="Arial"/>
          <w:noProof/>
          <w:vertAlign w:val="superscript"/>
          <w:lang w:val="es-ES_tradnl"/>
        </w:rPr>
        <w:footnoteReference w:id="12"/>
      </w:r>
      <w:r w:rsidRPr="00F53A5C">
        <w:rPr>
          <w:rFonts w:ascii="Verdana" w:hAnsi="Verdana" w:cs="Arial"/>
          <w:noProof/>
          <w:lang w:val="es-ES_tradnl"/>
        </w:rPr>
        <w:t>.</w:t>
      </w:r>
    </w:p>
    <w:p w14:paraId="16C6B9EC"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 xml:space="preserve">viii) El contrato admite la inclusión de cláusulas excepcionales. En los contratos de prestación de servicios se puede pactar la caducidad, la modificación, interpretación o terminación unilateral, como acuerdos o </w:t>
      </w:r>
      <w:r w:rsidRPr="00F53A5C">
        <w:rPr>
          <w:rFonts w:ascii="Verdana" w:hAnsi="Verdana" w:cs="Arial"/>
          <w:noProof/>
          <w:lang w:val="es-ES_tradnl"/>
        </w:rPr>
        <w:lastRenderedPageBreak/>
        <w:t>elementos accidentales, así que para ejercer estas exorbitancias deben incluirse expresamente, porque no se entienden pactadas como cláusula de la naturaleza. Así se infiere del artículo 14, numeral 2º, de la Ley 80 de 1993</w:t>
      </w:r>
      <w:r w:rsidRPr="00F53A5C">
        <w:rPr>
          <w:rFonts w:ascii="Verdana" w:hAnsi="Verdana" w:cs="Arial"/>
          <w:noProof/>
          <w:vertAlign w:val="superscript"/>
          <w:lang w:val="es-ES_tradnl"/>
        </w:rPr>
        <w:footnoteReference w:id="13"/>
      </w:r>
      <w:r w:rsidRPr="00F53A5C">
        <w:rPr>
          <w:rFonts w:ascii="Verdana" w:hAnsi="Verdana" w:cs="Arial"/>
          <w:noProof/>
          <w:lang w:val="es-ES_tradnl"/>
        </w:rPr>
        <w:t>.</w:t>
      </w:r>
    </w:p>
    <w:p w14:paraId="60D74443"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ix) No es obligatoria la liquidación de estos contratos, como lo establece el artículo 217 del Decreto 019 de 2012, que modificó el artículo 60 de la Ley 80 de 1993</w:t>
      </w:r>
      <w:r w:rsidRPr="00F53A5C">
        <w:rPr>
          <w:rFonts w:ascii="Verdana" w:hAnsi="Verdana" w:cs="Arial"/>
          <w:noProof/>
          <w:vertAlign w:val="superscript"/>
          <w:lang w:val="es-ES_tradnl"/>
        </w:rPr>
        <w:footnoteReference w:id="14"/>
      </w:r>
      <w:r w:rsidRPr="00F53A5C">
        <w:rPr>
          <w:rFonts w:ascii="Verdana" w:hAnsi="Verdana" w:cs="Arial"/>
          <w:noProof/>
          <w:lang w:val="es-ES_tradnl"/>
        </w:rPr>
        <w:t>.</w:t>
      </w:r>
    </w:p>
    <w:p w14:paraId="3D629AA7"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x) Para su celebración el contratista no requiere estar inscrito en el Registro Único de Proponentes –en adelante RUP–, como lo señala el artículo 6 de la Ley 1150 de 2007</w:t>
      </w:r>
      <w:r w:rsidRPr="00F53A5C">
        <w:rPr>
          <w:rFonts w:ascii="Verdana" w:hAnsi="Verdana" w:cs="Arial"/>
          <w:noProof/>
          <w:vertAlign w:val="superscript"/>
          <w:lang w:val="es-ES_tradnl"/>
        </w:rPr>
        <w:footnoteReference w:id="15"/>
      </w:r>
      <w:r w:rsidRPr="00F53A5C">
        <w:rPr>
          <w:rFonts w:ascii="Verdana" w:hAnsi="Verdana" w:cs="Arial"/>
          <w:noProof/>
          <w:lang w:val="es-ES_tradnl"/>
        </w:rPr>
        <w:t>.</w:t>
      </w:r>
    </w:p>
    <w:p w14:paraId="0AD3CA1E" w14:textId="77777777" w:rsidR="00746B08" w:rsidRPr="00F53A5C" w:rsidRDefault="00746B08" w:rsidP="00746B08">
      <w:pPr>
        <w:spacing w:after="120" w:line="276" w:lineRule="auto"/>
        <w:ind w:firstLine="708"/>
        <w:jc w:val="both"/>
        <w:rPr>
          <w:rFonts w:ascii="Verdana" w:hAnsi="Verdana" w:cs="Arial"/>
          <w:noProof/>
          <w:lang w:val="es-ES_tradnl"/>
        </w:rPr>
      </w:pPr>
      <w:r w:rsidRPr="00F53A5C">
        <w:rPr>
          <w:rFonts w:ascii="Verdana" w:hAnsi="Verdana" w:cs="Arial"/>
          <w:noProof/>
          <w:lang w:val="es-ES_tradnl"/>
        </w:rPr>
        <w:t>xi) No es obligtoria la exigencia de garantías</w:t>
      </w:r>
      <w:r w:rsidRPr="00F53A5C">
        <w:rPr>
          <w:rFonts w:ascii="Verdana" w:hAnsi="Verdana" w:cs="Arial"/>
          <w:noProof/>
          <w:vertAlign w:val="superscript"/>
          <w:lang w:val="es-ES_tradnl"/>
        </w:rPr>
        <w:footnoteReference w:id="16"/>
      </w:r>
      <w:r w:rsidRPr="00F53A5C">
        <w:rPr>
          <w:rFonts w:ascii="Verdana" w:hAnsi="Verdana" w:cs="Arial"/>
          <w:noProof/>
          <w:lang w:val="es-ES_tradnl"/>
        </w:rPr>
        <w:t>.</w:t>
      </w:r>
    </w:p>
    <w:p w14:paraId="79FDA561"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hAnsi="Verdana" w:cs="Arial"/>
          <w:noProof/>
          <w:lang w:val="es-ES_tradnl"/>
        </w:rPr>
        <w:t>xii) Como los demás contratos estatales, se trata de un contrato solemne que debe constar por escrito y debe ser publicado en el SECOP.</w:t>
      </w:r>
    </w:p>
    <w:p w14:paraId="12BE7B31" w14:textId="77777777" w:rsidR="00746B08" w:rsidRPr="00F53A5C" w:rsidRDefault="00746B08" w:rsidP="00746B08">
      <w:pPr>
        <w:spacing w:after="120" w:line="276" w:lineRule="auto"/>
        <w:ind w:firstLine="709"/>
        <w:jc w:val="both"/>
        <w:rPr>
          <w:rFonts w:ascii="Verdana" w:hAnsi="Verdana" w:cs="Arial"/>
          <w:noProof/>
          <w:lang w:val="es-ES_tradnl"/>
        </w:rPr>
      </w:pPr>
      <w:r w:rsidRPr="00F53A5C">
        <w:rPr>
          <w:rFonts w:ascii="Verdana" w:eastAsia="Calibri" w:hAnsi="Verdana" w:cs="Arial"/>
          <w:bCs/>
          <w:color w:val="000000" w:themeColor="text1"/>
          <w:lang w:val="es-ES_tradnl"/>
        </w:rPr>
        <w:t xml:space="preserve">Precisado los rasgos generales del contrato de prestación de servicios profesionales, de apoyo a la gestión y de actividades artísticas, regulados por el Estatuto General de Contratación de la Administración Pública, conviene hacer referencia al tema de la consulta bajo análisis, en la que se indaga sobre la </w:t>
      </w:r>
      <w:r w:rsidRPr="00F53A5C">
        <w:rPr>
          <w:rFonts w:ascii="Verdana" w:hAnsi="Verdana" w:cs="Arial"/>
          <w:noProof/>
          <w:lang w:val="es-ES_tradnl"/>
        </w:rPr>
        <w:lastRenderedPageBreak/>
        <w:t xml:space="preserve">procedencia de la estabilidad ocupacional reforzada de las personas vinculadas mediante contratos de prestación de servicios que cumple con las condiciones de </w:t>
      </w:r>
      <w:r w:rsidRPr="00F53A5C">
        <w:rPr>
          <w:rFonts w:ascii="Verdana" w:hAnsi="Verdana" w:cs="Arial"/>
          <w:i/>
          <w:iCs/>
          <w:noProof/>
          <w:lang w:val="es-ES_tradnl"/>
        </w:rPr>
        <w:t>prepensionado.</w:t>
      </w:r>
      <w:r w:rsidRPr="00F53A5C">
        <w:rPr>
          <w:rFonts w:ascii="Verdana" w:hAnsi="Verdana" w:cs="Arial"/>
          <w:noProof/>
          <w:lang w:val="es-ES_tradnl"/>
        </w:rPr>
        <w:t xml:space="preserve"> </w:t>
      </w:r>
    </w:p>
    <w:p w14:paraId="3088D181" w14:textId="77777777" w:rsidR="00746B08" w:rsidRPr="00F53A5C" w:rsidRDefault="00746B08" w:rsidP="00746B08">
      <w:pPr>
        <w:spacing w:after="120" w:line="276" w:lineRule="auto"/>
        <w:ind w:firstLine="708"/>
        <w:jc w:val="both"/>
        <w:rPr>
          <w:rFonts w:ascii="Verdana" w:hAnsi="Verdana" w:cs="Arial"/>
          <w:lang w:val="es-ES"/>
        </w:rPr>
      </w:pPr>
      <w:r w:rsidRPr="00F53A5C">
        <w:rPr>
          <w:rFonts w:ascii="Verdana" w:hAnsi="Verdana" w:cs="Arial"/>
          <w:noProof/>
          <w:lang w:val="es-ES_tradnl"/>
        </w:rPr>
        <w:t xml:space="preserve">Al respecto, es </w:t>
      </w:r>
      <w:r w:rsidRPr="00F53A5C">
        <w:rPr>
          <w:rFonts w:ascii="Verdana" w:hAnsi="Verdana" w:cs="Arial"/>
          <w:shd w:val="clear" w:color="auto" w:fill="FFFFFF"/>
        </w:rPr>
        <w:t>importante señalar que, l</w:t>
      </w:r>
      <w:r w:rsidRPr="00F53A5C">
        <w:rPr>
          <w:rFonts w:ascii="Verdana" w:hAnsi="Verdana" w:cs="Times New Roman"/>
        </w:rPr>
        <w:t>a protección a la estabilidad laboral reforzada</w:t>
      </w:r>
      <w:r w:rsidRPr="00F53A5C">
        <w:rPr>
          <w:rFonts w:ascii="Century Gothic" w:hAnsi="Century Gothic" w:cs="Arial"/>
          <w:lang w:val="es-ES"/>
        </w:rPr>
        <w:t xml:space="preserve"> </w:t>
      </w:r>
      <w:r w:rsidRPr="00F53A5C">
        <w:rPr>
          <w:rFonts w:ascii="Verdana" w:hAnsi="Verdana" w:cs="Arial"/>
          <w:lang w:val="es-ES"/>
        </w:rPr>
        <w:t xml:space="preserve">a las personas que tienen el estatus de </w:t>
      </w:r>
      <w:r w:rsidRPr="00F53A5C">
        <w:rPr>
          <w:rFonts w:ascii="Verdana" w:hAnsi="Verdana" w:cs="Arial"/>
          <w:i/>
          <w:iCs/>
          <w:lang w:val="es-ES"/>
        </w:rPr>
        <w:t xml:space="preserve">prepensionados </w:t>
      </w:r>
      <w:r w:rsidRPr="00F53A5C">
        <w:rPr>
          <w:rFonts w:ascii="Verdana" w:hAnsi="Verdana" w:cs="Arial"/>
          <w:lang w:val="es-ES"/>
        </w:rPr>
        <w:t xml:space="preserve">o personas próximas a pensionarse, tiene su fundamento en </w:t>
      </w:r>
      <w:bookmarkStart w:id="4" w:name="_Hlk136363995"/>
      <w:r w:rsidRPr="00F53A5C">
        <w:rPr>
          <w:rFonts w:ascii="Verdana" w:hAnsi="Verdana" w:cs="Arial"/>
          <w:lang w:val="es-ES"/>
        </w:rPr>
        <w:t>el artículo 12 de la Ley 790 de 2002</w:t>
      </w:r>
      <w:bookmarkEnd w:id="4"/>
      <w:r w:rsidRPr="00F53A5C">
        <w:rPr>
          <w:rFonts w:ascii="Verdana" w:hAnsi="Verdana" w:cs="Arial"/>
          <w:lang w:val="es-ES"/>
        </w:rPr>
        <w:t xml:space="preserve">, </w:t>
      </w:r>
      <w:r w:rsidRPr="00F53A5C">
        <w:rPr>
          <w:rFonts w:ascii="Verdana" w:hAnsi="Verdana" w:cs="Arial"/>
          <w:i/>
          <w:iCs/>
          <w:lang w:val="es-ES"/>
        </w:rPr>
        <w:t>“Por la cual se expiden disposiciones para adelantar el programa de renovación de la administración pública y se otorgan unas facultades extraordinarias al Presidente de la República”.</w:t>
      </w:r>
      <w:r w:rsidRPr="00F53A5C">
        <w:rPr>
          <w:rFonts w:ascii="Verdana" w:hAnsi="Verdana" w:cs="Arial"/>
          <w:lang w:val="es-ES"/>
        </w:rPr>
        <w:t xml:space="preserve"> En lo pertinente, dicho artículo señala que “[…] no podrán ser retirados del servicio en el desarrollo del Programa de Renovación de la Administración Pública […] los servidores que cumplan con la totalidad de los requisitos, edad y tiempo de servicio, para disfrutar de su pensión de jubilación o de vejez en el término de tres (3) años contados a partir de la promulgación de la presente ley”. </w:t>
      </w:r>
    </w:p>
    <w:p w14:paraId="0BDA1F61" w14:textId="77777777" w:rsidR="00746B08" w:rsidRPr="00F53A5C" w:rsidRDefault="00746B08" w:rsidP="00746B08">
      <w:pPr>
        <w:spacing w:after="120" w:line="276" w:lineRule="auto"/>
        <w:ind w:firstLine="708"/>
        <w:jc w:val="both"/>
        <w:rPr>
          <w:rFonts w:ascii="Verdana" w:hAnsi="Verdana" w:cs="Arial"/>
          <w:lang w:val="es-ES"/>
        </w:rPr>
      </w:pPr>
      <w:r w:rsidRPr="00F53A5C">
        <w:rPr>
          <w:rFonts w:ascii="Verdana" w:hAnsi="Verdana" w:cs="Arial"/>
          <w:lang w:val="es-ES"/>
        </w:rPr>
        <w:t xml:space="preserve">Esta norma aplica especialmente a los servidores públicos, categoría delimitada por el inciso primero del artículo 122 de la Constitución Política de 1991 en los siguientes términos: </w:t>
      </w:r>
      <w:r w:rsidRPr="00F53A5C">
        <w:rPr>
          <w:rFonts w:ascii="Verdana" w:hAnsi="Verdana" w:cs="Arial"/>
          <w:i/>
          <w:iCs/>
          <w:lang w:val="es-ES"/>
        </w:rPr>
        <w:t>“Son servidores públicos los miembros de las corporaciones públicas, los empleados y trabajadores del Estado y de sus entidades descentralizadas territorialmente y por servicios</w:t>
      </w:r>
      <w:r w:rsidRPr="00F53A5C">
        <w:rPr>
          <w:rFonts w:ascii="Verdana" w:hAnsi="Verdana" w:cs="Arial"/>
          <w:lang w:val="es-ES"/>
        </w:rPr>
        <w:t xml:space="preserve">”. </w:t>
      </w:r>
      <w:r w:rsidRPr="00F53A5C">
        <w:rPr>
          <w:rFonts w:ascii="Verdana" w:eastAsia="Calibri" w:hAnsi="Verdana" w:cs="Arial"/>
          <w:bCs/>
          <w:color w:val="000000"/>
          <w:lang w:val="es-ES_tradnl"/>
        </w:rPr>
        <w:t xml:space="preserve">La naturaleza laboral de la relación con el Estado debe formalizarse bien mediante la estructuración de una relación legal o reglamentaria –como la de los empleados públicos– o bien a través de la celebración de un contrato de trabajo –como sucede, por ejemplo, con los trabajadores oficiales–. </w:t>
      </w:r>
      <w:r w:rsidRPr="00F53A5C">
        <w:rPr>
          <w:rFonts w:ascii="Verdana" w:hAnsi="Verdana" w:cs="Arial"/>
          <w:lang w:val="es-ES"/>
        </w:rPr>
        <w:t xml:space="preserve">Desde esta perspectiva, los particulares que colaboran con el Estado mediante un contrato de prestación de servicios o cualquier otro, tipificado en la </w:t>
      </w:r>
      <w:r>
        <w:rPr>
          <w:rFonts w:ascii="Verdana" w:hAnsi="Verdana" w:cs="Arial"/>
          <w:lang w:val="es-ES"/>
        </w:rPr>
        <w:t>L</w:t>
      </w:r>
      <w:r w:rsidRPr="00F53A5C">
        <w:rPr>
          <w:rFonts w:ascii="Verdana" w:hAnsi="Verdana" w:cs="Arial"/>
          <w:lang w:val="es-ES"/>
        </w:rPr>
        <w:t>ey 80 de 1993 o producto de la autonomía de la voluntad, no están subsumidos en el contexto de la función pública ni son servidores públicos</w:t>
      </w:r>
      <w:r w:rsidRPr="00F53A5C">
        <w:rPr>
          <w:rFonts w:ascii="Verdana" w:hAnsi="Verdana" w:cs="Arial"/>
          <w:vertAlign w:val="superscript"/>
        </w:rPr>
        <w:footnoteReference w:id="17"/>
      </w:r>
      <w:r w:rsidRPr="00F53A5C">
        <w:rPr>
          <w:rFonts w:ascii="Verdana" w:hAnsi="Verdana" w:cs="Arial"/>
          <w:lang w:val="es-ES"/>
        </w:rPr>
        <w:t>. Por tanto, conforme a una interpretación restrictiva, no serían destinatarios del artículo 12 de la Ley 790 de 2002.</w:t>
      </w:r>
    </w:p>
    <w:p w14:paraId="49F273BA" w14:textId="77777777" w:rsidR="00746B08" w:rsidRPr="00F53A5C" w:rsidRDefault="00746B08" w:rsidP="00746B08">
      <w:pPr>
        <w:spacing w:after="120" w:line="276" w:lineRule="auto"/>
        <w:ind w:firstLine="708"/>
        <w:jc w:val="both"/>
        <w:rPr>
          <w:rFonts w:ascii="Verdana" w:hAnsi="Verdana" w:cs="Arial"/>
          <w:lang w:val="es-ES"/>
        </w:rPr>
      </w:pPr>
      <w:r w:rsidRPr="00F53A5C">
        <w:rPr>
          <w:rFonts w:ascii="Verdana" w:hAnsi="Verdana" w:cs="Arial"/>
          <w:lang w:val="es-ES"/>
        </w:rPr>
        <w:t xml:space="preserve">No obstante, de acuerdo con la Sentencia C-795 de 2009 –Magistrado ponente Luís Ernesto Vargas Silva– la Corte Constitucional estima que la protección laboral de las personas próximas a pensionarse o prepensionados, es independiente del Programa de Renovación de la Administración Pública, criterio </w:t>
      </w:r>
      <w:r w:rsidRPr="00F53A5C">
        <w:rPr>
          <w:rFonts w:ascii="Verdana" w:hAnsi="Verdana" w:cs="Arial"/>
          <w:lang w:val="es-ES"/>
        </w:rPr>
        <w:lastRenderedPageBreak/>
        <w:t>que amplía el rango de la estabilidad reforzada de acuerdo con la protección que el artículo 13 constitucional brinda a las personas en circunstancias de debilidad manifiesta. En este contexto, “[…] El fundamento del reconocimiento de la estabilidad laboral de los prepensionados no se circunscribe al retén social, sino que deriva de mandatos especiales de protección contenidos en la Constitución Política y del principio de igualdad material que ordena dar un trato especial a grupos vulnerables. Esto debido a que dicha estabilidad opera como instrumento para la satisfacción de los derechos fundamentales de estos grupos poblacionales, que se verían gravemente interferidos por el retiro del empleo público. Por ende, no debe confundirse la estabilidad laboral de los prepensionados con la figura del retén social, para concluir erróneamente que la mencionada estabilidad solo es aplicable en el marco del Programa de Renovación de la Administración Pública […]”</w:t>
      </w:r>
      <w:r w:rsidRPr="00F53A5C">
        <w:rPr>
          <w:rFonts w:ascii="Verdana" w:hAnsi="Verdana" w:cs="Arial"/>
          <w:vertAlign w:val="superscript"/>
        </w:rPr>
        <w:footnoteReference w:id="18"/>
      </w:r>
      <w:r w:rsidRPr="00F53A5C">
        <w:rPr>
          <w:rFonts w:ascii="Verdana" w:hAnsi="Verdana" w:cs="Arial"/>
          <w:lang w:val="es-ES"/>
        </w:rPr>
        <w:t xml:space="preserve">. </w:t>
      </w:r>
    </w:p>
    <w:p w14:paraId="754E75D7" w14:textId="77777777" w:rsidR="00746B08" w:rsidRPr="00F53A5C" w:rsidRDefault="00746B08" w:rsidP="00746B08">
      <w:pPr>
        <w:spacing w:after="120" w:line="276" w:lineRule="auto"/>
        <w:ind w:firstLine="708"/>
        <w:jc w:val="both"/>
        <w:rPr>
          <w:rFonts w:ascii="Verdana" w:hAnsi="Verdana" w:cs="Arial"/>
          <w:lang w:val="es-ES"/>
        </w:rPr>
      </w:pPr>
      <w:r w:rsidRPr="00F53A5C">
        <w:rPr>
          <w:rFonts w:ascii="Verdana" w:hAnsi="Verdana" w:cs="Arial"/>
          <w:lang w:val="es-ES"/>
        </w:rPr>
        <w:t>Bajo esta interpretación, la Corte Constitucional ha interpretado extensivamente el artículo 12 de la Ley 790 de 2002, y explica que la condición de prepensionado, como sujeto de especial protección, no necesita que la persona que alega pertenecer a dicho grupo poblacional se encuentre en el supuesto de hecho propio de la liquidación de una Entidad Estatal</w:t>
      </w:r>
      <w:r>
        <w:rPr>
          <w:rFonts w:ascii="Verdana" w:hAnsi="Verdana" w:cs="Arial"/>
          <w:lang w:val="es-ES"/>
        </w:rPr>
        <w:t xml:space="preserve">, </w:t>
      </w:r>
      <w:r w:rsidRPr="00F53A5C">
        <w:rPr>
          <w:rFonts w:ascii="Verdana" w:hAnsi="Verdana" w:cs="Arial"/>
          <w:lang w:val="es-ES"/>
        </w:rPr>
        <w:t>incluso cobija a los trabajadores del sector privado que se encuentren próximos a cumplir los requisitos para acceder a una pensión</w:t>
      </w:r>
      <w:r w:rsidRPr="00F53A5C">
        <w:rPr>
          <w:rFonts w:ascii="Verdana" w:hAnsi="Verdana" w:cs="Arial"/>
          <w:vertAlign w:val="superscript"/>
        </w:rPr>
        <w:footnoteReference w:id="19"/>
      </w:r>
      <w:r w:rsidRPr="00F53A5C">
        <w:rPr>
          <w:rFonts w:ascii="Verdana" w:hAnsi="Verdana" w:cs="Arial"/>
          <w:lang w:val="es-ES"/>
        </w:rPr>
        <w:t>. Por tanto, la jurisprudencia señala que, si bien para los trabajadores del sector privado no existe norma expresa que determine la estabilidad laboral cuando son prepensionados, los valores y principios constitucionales deben aplicarse cuando se observe la vulneración de derechos como la seguridad social, el trabajo y la igualdad</w:t>
      </w:r>
      <w:r w:rsidRPr="00F53A5C">
        <w:rPr>
          <w:rFonts w:ascii="Verdana" w:hAnsi="Verdana" w:cs="Arial"/>
          <w:vertAlign w:val="superscript"/>
        </w:rPr>
        <w:footnoteReference w:id="20"/>
      </w:r>
      <w:r w:rsidRPr="00F53A5C">
        <w:rPr>
          <w:rFonts w:ascii="Verdana" w:hAnsi="Verdana" w:cs="Arial"/>
          <w:lang w:val="es-ES"/>
        </w:rPr>
        <w:t xml:space="preserve">.  </w:t>
      </w:r>
    </w:p>
    <w:p w14:paraId="5E0BC00D" w14:textId="77777777" w:rsidR="00746B08" w:rsidRPr="00F53A5C" w:rsidRDefault="00746B08" w:rsidP="00746B08">
      <w:pPr>
        <w:spacing w:after="120" w:line="276" w:lineRule="auto"/>
        <w:ind w:firstLine="708"/>
        <w:jc w:val="both"/>
        <w:rPr>
          <w:rFonts w:ascii="Verdana" w:hAnsi="Verdana" w:cs="Arial"/>
          <w:lang w:val="es-ES"/>
        </w:rPr>
      </w:pPr>
      <w:r w:rsidRPr="00F53A5C">
        <w:rPr>
          <w:rFonts w:ascii="Verdana" w:hAnsi="Verdana" w:cs="Arial"/>
          <w:lang w:val="es-ES"/>
        </w:rPr>
        <w:t xml:space="preserve">Las decisiones anteriormente citadas parten de la existencia de una relación laboral existente. Este aspecto se confirma en la Sentencia de la Corte Constitucional SU-003 de 2018 –con ponencia del Magistrado Carlos Bernal Pulido– cuando explica si </w:t>
      </w:r>
      <w:r w:rsidRPr="00F53A5C">
        <w:rPr>
          <w:rFonts w:ascii="Verdana" w:hAnsi="Verdana" w:cs="Arial"/>
          <w:i/>
          <w:iCs/>
          <w:lang w:val="es-ES"/>
        </w:rPr>
        <w:t xml:space="preserve">“[…] el único requisito faltante para acceder a la pensión de vejez es el de edad, dado que se acredita el cumplimiento del número mínimo de semanas de cotización, no hay lugar a considerar que la persona es beneficiaria del fuero de estabilidad laboral reforzada de prepensionable, dado </w:t>
      </w:r>
      <w:r w:rsidRPr="00F53A5C">
        <w:rPr>
          <w:rFonts w:ascii="Verdana" w:hAnsi="Verdana" w:cs="Arial"/>
          <w:i/>
          <w:iCs/>
          <w:lang w:val="es-ES"/>
        </w:rPr>
        <w:lastRenderedPageBreak/>
        <w:t xml:space="preserve">que el requisito faltante de edad puede ser cumplido de manera posterior, con o sin vinculación laboral vigente”. </w:t>
      </w:r>
    </w:p>
    <w:p w14:paraId="03D391D0" w14:textId="77777777" w:rsidR="00746B08" w:rsidRPr="00F53A5C" w:rsidRDefault="00746B08" w:rsidP="00746B08">
      <w:pPr>
        <w:snapToGrid w:val="0"/>
        <w:spacing w:after="0" w:line="276" w:lineRule="auto"/>
        <w:ind w:firstLine="709"/>
        <w:jc w:val="both"/>
        <w:rPr>
          <w:rFonts w:ascii="Verdana" w:eastAsia="Calibri" w:hAnsi="Verdana" w:cs="Arial"/>
          <w:bCs/>
          <w:color w:val="000000"/>
          <w:lang w:val="es-ES_tradnl"/>
        </w:rPr>
      </w:pPr>
      <w:r w:rsidRPr="00F53A5C">
        <w:rPr>
          <w:rFonts w:ascii="Verdana" w:hAnsi="Verdana" w:cs="Arial"/>
          <w:lang w:val="es-ES"/>
        </w:rPr>
        <w:t xml:space="preserve">Dicha relación laboral es diferente a la que surge de un contrato de prestación de servicios. </w:t>
      </w:r>
      <w:r w:rsidRPr="00F53A5C">
        <w:rPr>
          <w:rFonts w:ascii="Verdana" w:eastAsia="Calibri" w:hAnsi="Verdana" w:cs="Arial"/>
          <w:bCs/>
          <w:color w:val="000000"/>
          <w:lang w:val="es-ES_tradnl"/>
        </w:rPr>
        <w:t xml:space="preserve">En efecto, </w:t>
      </w:r>
      <w:r>
        <w:rPr>
          <w:rFonts w:ascii="Verdana" w:eastAsia="Calibri" w:hAnsi="Verdana" w:cs="Arial"/>
          <w:bCs/>
          <w:color w:val="000000"/>
          <w:lang w:val="es-ES_tradnl"/>
        </w:rPr>
        <w:t>tal y como se explicó en el presente concepto</w:t>
      </w:r>
      <w:r w:rsidRPr="00F53A5C">
        <w:rPr>
          <w:rFonts w:ascii="Verdana" w:eastAsia="Calibri" w:hAnsi="Verdana" w:cs="Arial"/>
          <w:bCs/>
          <w:color w:val="000000"/>
          <w:lang w:val="es-ES_tradnl"/>
        </w:rPr>
        <w:t>, el numeral 3 del artículo 32 de la Ley 80 de 1993 señala que “En ningún caso estos contratos generan relación laboral ni prestaciones sociales […]”. Ahora bien, la Corte Constitucional, en la Sentencia C-154 de 1997, declaró exequible este enunciado normativo “salvo que se acredite la existencia de una relación laboral subordinada”. Así razonó el alto tribunal:</w:t>
      </w:r>
    </w:p>
    <w:p w14:paraId="668D78EE" w14:textId="77777777" w:rsidR="00746B08" w:rsidRPr="00F53A5C" w:rsidRDefault="00746B08" w:rsidP="00746B08">
      <w:pPr>
        <w:snapToGrid w:val="0"/>
        <w:spacing w:after="0" w:line="240" w:lineRule="auto"/>
        <w:ind w:left="709" w:right="709"/>
        <w:jc w:val="both"/>
        <w:rPr>
          <w:rFonts w:ascii="Verdana" w:eastAsia="Calibri" w:hAnsi="Verdana" w:cs="Arial"/>
          <w:bCs/>
          <w:color w:val="000000"/>
          <w:lang w:val="es-ES_tradnl"/>
        </w:rPr>
      </w:pPr>
    </w:p>
    <w:p w14:paraId="5C652E48" w14:textId="77777777" w:rsidR="00746B08" w:rsidRDefault="00746B08" w:rsidP="00746B08">
      <w:pPr>
        <w:snapToGrid w:val="0"/>
        <w:spacing w:after="0" w:line="240" w:lineRule="auto"/>
        <w:ind w:left="709" w:right="709"/>
        <w:jc w:val="both"/>
        <w:rPr>
          <w:rFonts w:ascii="Verdana" w:eastAsia="Calibri" w:hAnsi="Verdana" w:cs="Arial"/>
          <w:color w:val="000000" w:themeColor="text1"/>
          <w:sz w:val="20"/>
          <w:szCs w:val="20"/>
          <w:lang w:val="es-ES"/>
        </w:rPr>
      </w:pPr>
      <w:r w:rsidRPr="00F53A5C">
        <w:rPr>
          <w:rFonts w:ascii="Verdana" w:eastAsia="Calibri" w:hAnsi="Verdana" w:cs="Arial"/>
          <w:color w:val="000000" w:themeColor="text1"/>
          <w:sz w:val="20"/>
          <w:szCs w:val="20"/>
          <w:lang w:val="es-ES"/>
        </w:rPr>
        <w:t>“Como es bien sabido, el contrato de trabajo tiene elementos diferentes al de prestación de servicios independientes. En efecto, para que aquél se configure se requiere la existencia de la prestación personal del servicio, la continuada subordinación laboral y la remuneración como contraprestación del mismo. En cambio, en el contrato de prestación de servicios, la actividad independiente desarrollada, puede provenir de una persona jurídica con la que no existe el elemento de la subordinación laboral o dependencia consistente en la potestad de impartir órdenes en la ejecución de la labor contratada.</w:t>
      </w:r>
    </w:p>
    <w:p w14:paraId="30AD689C" w14:textId="77777777" w:rsidR="00746B08" w:rsidRPr="00F53A5C" w:rsidRDefault="00746B08" w:rsidP="00746B08">
      <w:pPr>
        <w:snapToGrid w:val="0"/>
        <w:spacing w:after="0" w:line="240" w:lineRule="auto"/>
        <w:ind w:left="709" w:right="709"/>
        <w:jc w:val="both"/>
        <w:rPr>
          <w:rFonts w:ascii="Verdana" w:eastAsia="Calibri" w:hAnsi="Verdana" w:cs="Arial"/>
          <w:color w:val="000000"/>
          <w:sz w:val="20"/>
          <w:szCs w:val="20"/>
          <w:lang w:val="es-ES"/>
        </w:rPr>
      </w:pPr>
    </w:p>
    <w:p w14:paraId="0792E418" w14:textId="77777777" w:rsidR="00746B08" w:rsidRDefault="00746B08" w:rsidP="00746B08">
      <w:pPr>
        <w:snapToGrid w:val="0"/>
        <w:spacing w:after="0" w:line="240" w:lineRule="auto"/>
        <w:ind w:left="709" w:right="709"/>
        <w:jc w:val="both"/>
        <w:rPr>
          <w:rFonts w:ascii="Verdana" w:eastAsia="Calibri" w:hAnsi="Verdana" w:cs="Arial"/>
          <w:color w:val="000000" w:themeColor="text1"/>
          <w:sz w:val="20"/>
          <w:szCs w:val="20"/>
          <w:lang w:val="es-ES"/>
        </w:rPr>
      </w:pPr>
      <w:r w:rsidRPr="56B2664B">
        <w:rPr>
          <w:rFonts w:ascii="Verdana" w:eastAsia="Calibri" w:hAnsi="Verdana" w:cs="Arial"/>
          <w:color w:val="000000" w:themeColor="text1"/>
          <w:sz w:val="20"/>
          <w:szCs w:val="20"/>
          <w:lang w:val="es-ES"/>
        </w:rPr>
        <w:t>Del análisis comparativo de las dos modalidades contractuales -contrato de prestación de servicios y contrato de trabajo- se obtiene que sus elementos son bien diferentes, de manera que cada uno de ellos reviste singularidades propias y disímiles, que se hacen inconfundibles tanto para los fines perseguidos como por la naturaleza y objeto de los mismos.</w:t>
      </w:r>
    </w:p>
    <w:p w14:paraId="294521C5" w14:textId="77777777" w:rsidR="00746B08" w:rsidRPr="00F53A5C" w:rsidRDefault="00746B08" w:rsidP="00746B08">
      <w:pPr>
        <w:snapToGrid w:val="0"/>
        <w:spacing w:after="0" w:line="240" w:lineRule="auto"/>
        <w:ind w:left="709" w:right="709"/>
        <w:jc w:val="both"/>
        <w:rPr>
          <w:rFonts w:ascii="Verdana" w:eastAsia="Calibri" w:hAnsi="Verdana" w:cs="Arial"/>
          <w:color w:val="000000"/>
          <w:sz w:val="20"/>
          <w:szCs w:val="20"/>
          <w:lang w:val="es-ES"/>
        </w:rPr>
      </w:pPr>
    </w:p>
    <w:p w14:paraId="5C2D4D1E" w14:textId="77777777" w:rsidR="00746B08" w:rsidRPr="00F53A5C" w:rsidRDefault="00746B08" w:rsidP="00746B08">
      <w:pPr>
        <w:snapToGrid w:val="0"/>
        <w:spacing w:after="0" w:line="240" w:lineRule="auto"/>
        <w:ind w:left="709" w:right="709"/>
        <w:jc w:val="both"/>
        <w:rPr>
          <w:rFonts w:ascii="Verdana" w:eastAsia="Calibri" w:hAnsi="Verdana" w:cs="Arial"/>
          <w:bCs/>
          <w:color w:val="000000"/>
          <w:sz w:val="20"/>
          <w:szCs w:val="20"/>
          <w:lang w:val="es-ES_tradnl"/>
        </w:rPr>
      </w:pPr>
      <w:r w:rsidRPr="00F53A5C">
        <w:rPr>
          <w:rFonts w:ascii="Verdana" w:eastAsia="Calibri" w:hAnsi="Verdana" w:cs="Arial"/>
          <w:bCs/>
          <w:color w:val="000000"/>
          <w:sz w:val="20"/>
          <w:szCs w:val="20"/>
          <w:lang w:val="es-ES_tradnl"/>
        </w:rPr>
        <w:t>En síntesis, el elemento de subordinación o dependencia es el que determina la diferencia del contrato laboral frente al de prestación de servicios, ya que en el plano legal debe entenderse que quien celebra un contrato de esta naturaleza, como el previsto en la norma acusada, no puede tener frente a la administración sino la calidad de contratista independiente sin derecho a prestaciones sociales ; a contrario sensu, en caso de que se acredite la existencia de un trabajo subordinado o dependiente consistente en la actitud por parte de la administración contratante de impartir órdenes a quien presta el servicio con respecto a la ejecución de la labor contratada, así como la fijación de horario de trabajo para la prestación del servicio, se tipifica el contrato de trabajo con derecho al pago de prestaciones sociales, así se le haya dado la denominación de un contrato de prestación de servicios independiente.</w:t>
      </w:r>
    </w:p>
    <w:p w14:paraId="50F46DD6" w14:textId="77777777" w:rsidR="00746B08" w:rsidRPr="00F53A5C" w:rsidRDefault="00746B08" w:rsidP="00746B08">
      <w:pPr>
        <w:snapToGrid w:val="0"/>
        <w:spacing w:after="0" w:line="240" w:lineRule="auto"/>
        <w:ind w:left="709" w:right="709"/>
        <w:jc w:val="both"/>
        <w:rPr>
          <w:rFonts w:ascii="Verdana" w:eastAsia="Calibri" w:hAnsi="Verdana" w:cs="Arial"/>
          <w:bCs/>
          <w:color w:val="000000"/>
          <w:sz w:val="20"/>
          <w:szCs w:val="20"/>
          <w:lang w:val="es-ES_tradnl"/>
        </w:rPr>
      </w:pPr>
    </w:p>
    <w:p w14:paraId="4C2680D6" w14:textId="77777777" w:rsidR="00746B08" w:rsidRPr="00F53A5C" w:rsidRDefault="00746B08" w:rsidP="00746B08">
      <w:pPr>
        <w:snapToGrid w:val="0"/>
        <w:spacing w:after="0" w:line="240" w:lineRule="auto"/>
        <w:ind w:left="709" w:right="709"/>
        <w:jc w:val="both"/>
        <w:rPr>
          <w:rFonts w:ascii="Verdana" w:eastAsia="Calibri" w:hAnsi="Verdana" w:cs="Arial"/>
          <w:color w:val="000000"/>
          <w:sz w:val="20"/>
          <w:szCs w:val="20"/>
          <w:lang w:val="es-ES"/>
        </w:rPr>
      </w:pPr>
      <w:r w:rsidRPr="00F53A5C">
        <w:rPr>
          <w:rFonts w:ascii="Verdana" w:eastAsia="Calibri" w:hAnsi="Verdana" w:cs="Arial"/>
          <w:color w:val="000000"/>
          <w:sz w:val="20"/>
          <w:szCs w:val="20"/>
          <w:lang w:val="es-ES"/>
        </w:rPr>
        <w:t xml:space="preserve">Así las cosas, la entidad no está facultada para exigir subordinación o dependencia al contratista ni algo distinto del cumplimiento de los términos del contrato, ni pretender el pago de un salario como </w:t>
      </w:r>
      <w:r w:rsidRPr="00F53A5C">
        <w:rPr>
          <w:rFonts w:ascii="Verdana" w:eastAsia="Calibri" w:hAnsi="Verdana" w:cs="Arial"/>
          <w:color w:val="000000"/>
          <w:sz w:val="20"/>
          <w:szCs w:val="20"/>
          <w:lang w:val="es-ES"/>
        </w:rPr>
        <w:lastRenderedPageBreak/>
        <w:t>contraprestación de los servicios derivados del contrato de trabajo, sino, más bien, de honorarios profesionales a causa de la actividad del mandato respectivo”</w:t>
      </w:r>
      <w:r w:rsidRPr="00F53A5C">
        <w:rPr>
          <w:rFonts w:ascii="Verdana" w:eastAsia="Calibri" w:hAnsi="Verdana" w:cs="Arial"/>
          <w:color w:val="000000"/>
          <w:sz w:val="20"/>
          <w:szCs w:val="20"/>
          <w:vertAlign w:val="superscript"/>
        </w:rPr>
        <w:footnoteReference w:id="21"/>
      </w:r>
      <w:r w:rsidRPr="00F53A5C">
        <w:rPr>
          <w:rFonts w:ascii="Verdana" w:eastAsia="Calibri" w:hAnsi="Verdana" w:cs="Arial"/>
          <w:color w:val="000000"/>
          <w:sz w:val="20"/>
          <w:szCs w:val="20"/>
          <w:lang w:val="es-ES"/>
        </w:rPr>
        <w:t>.</w:t>
      </w:r>
    </w:p>
    <w:p w14:paraId="7C296044" w14:textId="77777777" w:rsidR="00746B08" w:rsidRPr="00F53A5C" w:rsidRDefault="00746B08" w:rsidP="00746B08">
      <w:pPr>
        <w:spacing w:after="0" w:line="276" w:lineRule="auto"/>
        <w:jc w:val="both"/>
        <w:rPr>
          <w:rFonts w:ascii="Verdana" w:hAnsi="Verdana" w:cs="Arial"/>
          <w:lang w:val="es-ES"/>
        </w:rPr>
      </w:pPr>
    </w:p>
    <w:p w14:paraId="5A5EF854" w14:textId="77777777" w:rsidR="00746B08" w:rsidRPr="00F53A5C" w:rsidRDefault="00746B08" w:rsidP="00746B08">
      <w:pPr>
        <w:spacing w:after="120" w:line="276" w:lineRule="auto"/>
        <w:jc w:val="both"/>
        <w:rPr>
          <w:rFonts w:ascii="Verdana" w:eastAsia="Calibri" w:hAnsi="Verdana" w:cs="Arial"/>
          <w:color w:val="000000"/>
          <w:lang w:val="es-ES"/>
        </w:rPr>
      </w:pPr>
      <w:r w:rsidRPr="00F53A5C">
        <w:rPr>
          <w:rFonts w:ascii="Verdana" w:hAnsi="Verdana" w:cs="Arial"/>
          <w:lang w:val="es-ES"/>
        </w:rPr>
        <w:tab/>
      </w:r>
      <w:r w:rsidRPr="56B2664B">
        <w:rPr>
          <w:rFonts w:ascii="Verdana" w:eastAsia="Calibri" w:hAnsi="Verdana" w:cs="Arial"/>
          <w:color w:val="000000"/>
          <w:lang w:val="es-ES"/>
        </w:rPr>
        <w:t xml:space="preserve">Los contratos de prestación de servicios profesionales </w:t>
      </w:r>
      <w:r w:rsidRPr="56B2664B">
        <w:rPr>
          <w:rFonts w:ascii="Verdana" w:eastAsia="Calibri" w:hAnsi="Verdana" w:cs="Arial"/>
          <w:i/>
          <w:color w:val="000000"/>
          <w:lang w:val="es-ES"/>
        </w:rPr>
        <w:t>no pueden</w:t>
      </w:r>
      <w:r w:rsidRPr="56B2664B">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la relación laboral está proscrita y es el contratista quien, como “trabajador independiente” debe cotizar por su cuenta y riesgo al Sistema de Seguridad Social Integral. </w:t>
      </w:r>
      <w:r w:rsidRPr="56B2664B">
        <w:rPr>
          <w:rFonts w:ascii="Verdana" w:eastAsia="Calibri" w:hAnsi="Verdana" w:cs="Arial"/>
          <w:color w:val="000000" w:themeColor="text1"/>
          <w:lang w:val="es-ES"/>
        </w:rPr>
        <w:t xml:space="preserve">En consecuencia, si los contratos de prestación de servicios no generan relaciones laborales, </w:t>
      </w:r>
      <w:r w:rsidRPr="56B2664B">
        <w:rPr>
          <w:rFonts w:ascii="Verdana" w:eastAsia="Calibri" w:hAnsi="Verdana" w:cs="Arial"/>
          <w:i/>
          <w:color w:val="000000" w:themeColor="text1"/>
          <w:lang w:val="es-ES"/>
        </w:rPr>
        <w:t>prima facie</w:t>
      </w:r>
      <w:r w:rsidRPr="56B2664B">
        <w:rPr>
          <w:rFonts w:ascii="Verdana" w:eastAsia="Calibri" w:hAnsi="Verdana" w:cs="Arial"/>
          <w:color w:val="000000" w:themeColor="text1"/>
          <w:lang w:val="es-ES"/>
        </w:rPr>
        <w:t>, podría decirse que no se aplican a estos contratos aspectos normativos propios de este tipo de relaciones, sino las del Estatuto General de Contratación de la Administración Pública y aquellas a las que remite expresamente este cuerpo normativo.</w:t>
      </w:r>
    </w:p>
    <w:p w14:paraId="08699073" w14:textId="77777777" w:rsidR="00746B08" w:rsidRDefault="00746B08" w:rsidP="00746B08">
      <w:pPr>
        <w:spacing w:after="120" w:line="276" w:lineRule="auto"/>
        <w:ind w:firstLine="709"/>
        <w:jc w:val="both"/>
        <w:rPr>
          <w:rFonts w:ascii="Verdana" w:eastAsia="Calibri" w:hAnsi="Verdana" w:cs="Arial"/>
          <w:color w:val="000000"/>
          <w:lang w:val="es-ES_tradnl"/>
        </w:rPr>
      </w:pPr>
      <w:bookmarkStart w:id="5" w:name="_Hlk195037630"/>
      <w:r w:rsidRPr="00F53A5C">
        <w:rPr>
          <w:rFonts w:ascii="Verdana" w:eastAsia="Calibri" w:hAnsi="Verdana" w:cs="Arial"/>
          <w:color w:val="000000"/>
          <w:lang w:val="es-ES_tradnl"/>
        </w:rPr>
        <w:t xml:space="preserve">De acuerdo con las decisiones judiciales mencionadas en los párrafos precedentes, </w:t>
      </w:r>
      <w:r w:rsidRPr="00F53A5C">
        <w:rPr>
          <w:rFonts w:ascii="Verdana" w:hAnsi="Verdana" w:cs="Times New Roman"/>
          <w:color w:val="000000" w:themeColor="text1"/>
          <w:lang w:eastAsia="es-ES_tradnl"/>
        </w:rPr>
        <w:t xml:space="preserve">no existe una jurisprudencia consolidada de </w:t>
      </w:r>
      <w:r w:rsidRPr="00F53A5C">
        <w:rPr>
          <w:rFonts w:ascii="Verdana" w:eastAsia="Calibri" w:hAnsi="Verdana" w:cs="Arial"/>
          <w:color w:val="000000"/>
          <w:lang w:val="es-ES_tradnl"/>
        </w:rPr>
        <w:t>la Corte Constitucional o del Consejo de Estado</w:t>
      </w:r>
      <w:r w:rsidRPr="00F53A5C">
        <w:rPr>
          <w:rFonts w:ascii="Verdana" w:hAnsi="Verdana" w:cs="Times New Roman"/>
          <w:color w:val="000000" w:themeColor="text1"/>
          <w:lang w:eastAsia="es-ES_tradnl"/>
        </w:rPr>
        <w:t xml:space="preserve"> que haya definido el contenido y alcance de la </w:t>
      </w:r>
      <w:r w:rsidRPr="00F53A5C">
        <w:rPr>
          <w:rFonts w:ascii="Verdana" w:eastAsia="Calibri" w:hAnsi="Verdana" w:cs="Arial"/>
          <w:color w:val="000000"/>
          <w:lang w:val="es-ES_tradnl"/>
        </w:rPr>
        <w:t>estabilidad ocupacional reforzada en contratistas de prestación de servicios que tengan una condición de ser personas próximas para pensionarse, por lo que en principio deberá responderse de manera negativa la pregunta formulada.</w:t>
      </w:r>
      <w:r w:rsidRPr="00F53A5C">
        <w:rPr>
          <w:rFonts w:ascii="Verdana" w:hAnsi="Verdana" w:cs="Times New Roman"/>
          <w:color w:val="000000" w:themeColor="text1"/>
          <w:lang w:eastAsia="es-ES_tradnl"/>
        </w:rPr>
        <w:t xml:space="preserve"> </w:t>
      </w:r>
      <w:bookmarkEnd w:id="5"/>
      <w:r w:rsidRPr="00F53A5C">
        <w:rPr>
          <w:rFonts w:ascii="Verdana" w:eastAsia="Calibri" w:hAnsi="Verdana" w:cs="Arial"/>
          <w:color w:val="000000"/>
          <w:lang w:val="es-ES_tradnl"/>
        </w:rPr>
        <w:t xml:space="preserve">No obstante, es necesario tener en cuenta la naturaleza del test de igualdad en la jurisprudencia constitucional, especialmente, cuando ésta ha extendido paulatinamente la protección a las personas en condiciones de debilidad manifiesta, bajo el entendido que </w:t>
      </w:r>
      <w:r w:rsidRPr="00F53A5C">
        <w:rPr>
          <w:rFonts w:ascii="Verdana" w:hAnsi="Verdana" w:cs="Arial"/>
          <w:lang w:val="es-ES"/>
        </w:rPr>
        <w:t>aplican los valores y principios superiores al observarse la vulneración de derechos fundamentales</w:t>
      </w:r>
      <w:r w:rsidRPr="00F53A5C">
        <w:rPr>
          <w:rFonts w:ascii="Verdana" w:eastAsia="Calibri" w:hAnsi="Verdana" w:cs="Arial"/>
          <w:color w:val="000000"/>
          <w:lang w:val="es-ES_tradnl"/>
        </w:rPr>
        <w:t xml:space="preserve">. </w:t>
      </w:r>
    </w:p>
    <w:p w14:paraId="54D74EC3" w14:textId="77777777" w:rsidR="00746B08" w:rsidRPr="00F53A5C" w:rsidRDefault="00746B08" w:rsidP="00746B08">
      <w:pPr>
        <w:spacing w:after="120" w:line="276" w:lineRule="auto"/>
        <w:ind w:firstLine="709"/>
        <w:jc w:val="both"/>
        <w:rPr>
          <w:rFonts w:ascii="Verdana" w:hAnsi="Verdana" w:cs="Times New Roman"/>
          <w:color w:val="000000" w:themeColor="text1"/>
          <w:lang w:eastAsia="es-ES_tradnl"/>
        </w:rPr>
      </w:pPr>
      <w:r w:rsidRPr="00F53A5C">
        <w:rPr>
          <w:rFonts w:ascii="Verdana" w:eastAsia="Calibri" w:hAnsi="Verdana" w:cs="Arial"/>
          <w:color w:val="000000"/>
          <w:lang w:val="es-ES_tradnl"/>
        </w:rPr>
        <w:t xml:space="preserve">Por ejemplo, la Sentencia T-340 de 2010 –con ponencia del Magistrado Juan Carlos Henao Pérez– explica que “[…] un juicio sobre la eventual violación al derecho a la igualdad, o sobre la mejor forma de aplicar este principio no parte entonces de presupuestos idénticos, ni tampoco de situaciones por completo diferentes, sino que se efectúa en relación con igualdades y desigualdades parciales, a partir de propiedades relevantes desde el punto de vista jurídico-constitucional. En los eventos en que concurren tanto igualdades como desigualdades, debe el juez determinar si existen razones suficientes para </w:t>
      </w:r>
      <w:r w:rsidRPr="00F53A5C">
        <w:rPr>
          <w:rFonts w:ascii="Verdana" w:eastAsia="Calibri" w:hAnsi="Verdana" w:cs="Arial"/>
          <w:color w:val="000000"/>
          <w:lang w:val="es-ES_tradnl"/>
        </w:rPr>
        <w:lastRenderedPageBreak/>
        <w:t xml:space="preserve">mantener un trato igual frente a situaciones en alguna medida disímiles, o si existen razones suficientes para establecer un trato distinto entre situaciones con algún grado de similitud. Por lo tanto, la primera tarea del juez constitucional consiste en verificar la existencia de características o criterios de comparación relevantes entre los grupos en comparación”.    </w:t>
      </w:r>
    </w:p>
    <w:p w14:paraId="62F57783" w14:textId="77777777" w:rsidR="00746B08" w:rsidRPr="00F53A5C" w:rsidRDefault="00746B08" w:rsidP="00746B08">
      <w:pPr>
        <w:spacing w:after="120" w:line="276" w:lineRule="auto"/>
        <w:ind w:firstLine="709"/>
        <w:jc w:val="both"/>
        <w:rPr>
          <w:rFonts w:ascii="Verdana" w:eastAsia="Times New Roman" w:hAnsi="Verdana" w:cs="Arial"/>
        </w:rPr>
      </w:pPr>
      <w:r w:rsidRPr="00F53A5C">
        <w:rPr>
          <w:rFonts w:ascii="Verdana" w:eastAsia="Times New Roman" w:hAnsi="Verdana" w:cs="Arial"/>
          <w:lang w:val="es-ES" w:eastAsia="es-ES"/>
        </w:rPr>
        <w:t xml:space="preserve">Sin perjuicio de lo anterior, debe advertirse que </w:t>
      </w:r>
      <w:r w:rsidRPr="00F53A5C">
        <w:rPr>
          <w:rFonts w:ascii="Verdana" w:eastAsia="Times New Roman" w:hAnsi="Verdana" w:cs="Arial"/>
          <w:lang w:val="es-ES"/>
        </w:rPr>
        <w:t xml:space="preserve">la Entidad Estatal en uso de su autonomía y discrecionalidad podrá adicionar, prorrogar un contrato o suscribir un nuevo contrato con el contratista de prestación de servicios de persona </w:t>
      </w:r>
      <w:r w:rsidRPr="00F53A5C">
        <w:rPr>
          <w:rFonts w:ascii="Verdana" w:eastAsia="Times New Roman" w:hAnsi="Verdana" w:cs="Arial"/>
          <w:i/>
          <w:iCs/>
          <w:lang w:val="es-ES"/>
        </w:rPr>
        <w:t>prepensionada</w:t>
      </w:r>
      <w:r w:rsidRPr="00F53A5C">
        <w:rPr>
          <w:rFonts w:ascii="Verdana" w:eastAsia="Times New Roman" w:hAnsi="Verdana" w:cs="Arial"/>
          <w:lang w:val="es-ES"/>
        </w:rPr>
        <w:t xml:space="preserve">, siempre que se cumplan con los presupuestos legales y jurisprudenciales para que proceda la respectiva contratación. </w:t>
      </w:r>
    </w:p>
    <w:p w14:paraId="7DF6D346" w14:textId="77777777" w:rsidR="00746B08" w:rsidRPr="00F53A5C" w:rsidRDefault="00746B08" w:rsidP="00746B08">
      <w:pPr>
        <w:spacing w:after="0" w:line="276" w:lineRule="auto"/>
        <w:ind w:firstLine="708"/>
        <w:jc w:val="both"/>
        <w:rPr>
          <w:rFonts w:ascii="Verdana" w:eastAsia="Calibri" w:hAnsi="Verdana" w:cs="Arial"/>
          <w:b/>
          <w:color w:val="000000" w:themeColor="text1"/>
          <w:lang w:val="es-ES"/>
        </w:rPr>
      </w:pPr>
      <w:r w:rsidRPr="00F53A5C">
        <w:rPr>
          <w:rFonts w:ascii="Verdana" w:eastAsia="Calibri" w:hAnsi="Verdana" w:cs="Arial"/>
          <w:color w:val="000000" w:themeColor="text1"/>
          <w:lang w:val="es-ES"/>
        </w:rPr>
        <w:t xml:space="preserve">Dentro de este marco general, la Entidad Estatal contratante valorará las posibilidades de extender la tesis de la Corte Constitucional a los contratos de prestación de servicios. Por lo anterior, previo concepto de sus órganos asesores, la solución de estos temas corresponde a la entidad de adoptar la decisión correspondiente y, en caso de conflicto, a las autoridades judiciales, fiscales y disciplinarias. </w:t>
      </w:r>
    </w:p>
    <w:p w14:paraId="011419D9" w14:textId="77777777" w:rsidR="00746B08" w:rsidRPr="00F53A5C" w:rsidRDefault="00746B08" w:rsidP="00746B08">
      <w:pPr>
        <w:widowControl w:val="0"/>
        <w:autoSpaceDE w:val="0"/>
        <w:autoSpaceDN w:val="0"/>
        <w:spacing w:after="0" w:line="276" w:lineRule="auto"/>
        <w:ind w:firstLine="709"/>
        <w:jc w:val="both"/>
        <w:rPr>
          <w:rFonts w:ascii="Verdana" w:eastAsia="Arial" w:hAnsi="Verdana" w:cs="Arial"/>
          <w:lang w:val="es-ES"/>
        </w:rPr>
      </w:pPr>
    </w:p>
    <w:p w14:paraId="7B303F38" w14:textId="77777777" w:rsidR="00746B08" w:rsidRPr="00F53A5C" w:rsidRDefault="00746B08" w:rsidP="00746B08">
      <w:pPr>
        <w:numPr>
          <w:ilvl w:val="0"/>
          <w:numId w:val="1"/>
        </w:numPr>
        <w:tabs>
          <w:tab w:val="left" w:pos="142"/>
          <w:tab w:val="left" w:pos="284"/>
        </w:tabs>
        <w:spacing w:after="0" w:line="276" w:lineRule="auto"/>
        <w:jc w:val="both"/>
        <w:rPr>
          <w:rFonts w:ascii="Verdana" w:eastAsia="Century Gothic" w:hAnsi="Verdana" w:cs="Century Gothic"/>
          <w:b/>
          <w:bCs/>
        </w:rPr>
      </w:pPr>
      <w:r w:rsidRPr="00F53A5C">
        <w:rPr>
          <w:rFonts w:ascii="Verdana" w:eastAsia="Century Gothic" w:hAnsi="Verdana" w:cs="Century Gothic"/>
          <w:b/>
          <w:bCs/>
        </w:rPr>
        <w:t>Referencias normativas y jurisprudenciales:</w:t>
      </w:r>
    </w:p>
    <w:p w14:paraId="04F639B0" w14:textId="77777777" w:rsidR="00746B08" w:rsidRPr="00F53A5C" w:rsidRDefault="00746B08" w:rsidP="00746B0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6B08" w:rsidRPr="00F53A5C" w14:paraId="081D7D1E" w14:textId="77777777" w:rsidTr="00150E1A">
        <w:trPr>
          <w:trHeight w:val="856"/>
          <w:jc w:val="center"/>
        </w:trPr>
        <w:tc>
          <w:tcPr>
            <w:tcW w:w="8647" w:type="dxa"/>
          </w:tcPr>
          <w:p w14:paraId="750FDAFE"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eastAsia="Calibri" w:hAnsi="Verdana" w:cs="Arial"/>
                <w:lang w:val="es-ES"/>
              </w:rPr>
            </w:pPr>
            <w:r w:rsidRPr="00F53A5C">
              <w:rPr>
                <w:rFonts w:ascii="Verdana" w:eastAsia="Calibri" w:hAnsi="Verdana" w:cs="Arial"/>
                <w:lang w:val="es-ES"/>
              </w:rPr>
              <w:t>Ley 80 de 1993: Artículos 14 y 32 numeral 2</w:t>
            </w:r>
          </w:p>
          <w:p w14:paraId="7C513C1A"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eastAsia="Calibri" w:hAnsi="Verdana" w:cs="Arial"/>
                <w:lang w:val="es-ES"/>
              </w:rPr>
            </w:pPr>
            <w:r w:rsidRPr="00F53A5C">
              <w:rPr>
                <w:rFonts w:ascii="Verdana" w:eastAsia="Calibri" w:hAnsi="Verdana" w:cs="Arial"/>
                <w:lang w:val="es-ES"/>
              </w:rPr>
              <w:t xml:space="preserve">Ley 1150 de 2007: Artículo 2, numeral 4°, literal h), artículo 6 </w:t>
            </w:r>
          </w:p>
          <w:p w14:paraId="537BBF22"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i/>
                <w:iCs/>
                <w:lang w:val="es-ES"/>
              </w:rPr>
            </w:pPr>
            <w:r w:rsidRPr="00F53A5C">
              <w:rPr>
                <w:rFonts w:ascii="Verdana" w:hAnsi="Verdana" w:cs="Arial"/>
                <w:lang w:val="es-ES"/>
              </w:rPr>
              <w:t>Código Sustantivo del Trabajo</w:t>
            </w:r>
            <w:r w:rsidRPr="007D57C2">
              <w:rPr>
                <w:rFonts w:ascii="Verdana" w:hAnsi="Verdana" w:cs="Arial"/>
                <w:lang w:val="es-ES"/>
              </w:rPr>
              <w:t>:</w:t>
            </w:r>
            <w:r w:rsidRPr="00F53A5C">
              <w:rPr>
                <w:rFonts w:ascii="Verdana" w:hAnsi="Verdana" w:cs="Arial"/>
                <w:i/>
                <w:iCs/>
                <w:lang w:val="es-ES"/>
              </w:rPr>
              <w:t xml:space="preserve"> </w:t>
            </w:r>
            <w:r w:rsidRPr="00F53A5C">
              <w:rPr>
                <w:rFonts w:ascii="Verdana" w:hAnsi="Verdana" w:cs="Arial"/>
                <w:lang w:val="es-ES"/>
              </w:rPr>
              <w:t>Artículo 22</w:t>
            </w:r>
            <w:r w:rsidRPr="00F53A5C">
              <w:rPr>
                <w:rFonts w:ascii="Verdana" w:hAnsi="Verdana" w:cs="Arial"/>
                <w:i/>
                <w:iCs/>
                <w:lang w:val="es-ES"/>
              </w:rPr>
              <w:t xml:space="preserve"> </w:t>
            </w:r>
          </w:p>
          <w:p w14:paraId="4D6067C6"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lang w:val="es-ES"/>
              </w:rPr>
            </w:pPr>
            <w:r w:rsidRPr="00F53A5C">
              <w:rPr>
                <w:rFonts w:ascii="Verdana" w:hAnsi="Verdana" w:cs="Arial"/>
                <w:lang w:val="es-ES"/>
              </w:rPr>
              <w:t>Ley 1955 de 2015</w:t>
            </w:r>
            <w:r>
              <w:rPr>
                <w:rFonts w:ascii="Verdana" w:hAnsi="Verdana" w:cs="Arial"/>
                <w:lang w:val="es-ES"/>
              </w:rPr>
              <w:t>:</w:t>
            </w:r>
            <w:r w:rsidRPr="00F53A5C">
              <w:rPr>
                <w:rFonts w:ascii="Verdana" w:hAnsi="Verdana" w:cs="Arial"/>
                <w:lang w:val="es-ES"/>
              </w:rPr>
              <w:t xml:space="preserve"> Artículo 244  </w:t>
            </w:r>
          </w:p>
          <w:p w14:paraId="0679EA67"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color w:val="000000"/>
                <w:lang w:val="es-ES"/>
              </w:rPr>
              <w:t>Decreto 1082 de 2015</w:t>
            </w:r>
            <w:r>
              <w:rPr>
                <w:rFonts w:ascii="Verdana" w:hAnsi="Verdana" w:cs="Arial"/>
                <w:color w:val="000000"/>
                <w:lang w:val="es-ES"/>
              </w:rPr>
              <w:t>:</w:t>
            </w:r>
            <w:r w:rsidRPr="00F53A5C">
              <w:rPr>
                <w:rFonts w:ascii="Verdana" w:hAnsi="Verdana" w:cs="Arial"/>
                <w:color w:val="000000"/>
                <w:lang w:val="es-ES"/>
              </w:rPr>
              <w:t xml:space="preserve"> Artículos 2.2.1.2.1.4.9.,</w:t>
            </w:r>
            <w:r w:rsidRPr="00F53A5C">
              <w:rPr>
                <w:rFonts w:ascii="Verdana" w:hAnsi="Verdana" w:cs="Arial"/>
                <w:color w:val="000000"/>
              </w:rPr>
              <w:t xml:space="preserve"> </w:t>
            </w:r>
            <w:r w:rsidRPr="00F53A5C">
              <w:rPr>
                <w:rFonts w:ascii="Verdana" w:hAnsi="Verdana" w:cs="Arial"/>
                <w:lang w:val="es-ES"/>
              </w:rPr>
              <w:t>2.2.1.2.1.4.1., 2.2.1.2.1.4.5.</w:t>
            </w:r>
          </w:p>
          <w:p w14:paraId="0E22323C" w14:textId="77777777" w:rsidR="00746B08" w:rsidRDefault="00746B08" w:rsidP="00746B08">
            <w:pPr>
              <w:widowControl w:val="0"/>
              <w:numPr>
                <w:ilvl w:val="0"/>
                <w:numId w:val="3"/>
              </w:numPr>
              <w:autoSpaceDE w:val="0"/>
              <w:autoSpaceDN w:val="0"/>
              <w:spacing w:after="120" w:line="276" w:lineRule="auto"/>
              <w:ind w:left="318" w:hanging="318"/>
              <w:jc w:val="both"/>
              <w:rPr>
                <w:rFonts w:ascii="Verdana" w:hAnsi="Verdana" w:cs="Arial"/>
                <w:lang w:val="es-ES"/>
              </w:rPr>
            </w:pPr>
            <w:r w:rsidRPr="00F53A5C">
              <w:rPr>
                <w:rFonts w:ascii="Verdana" w:hAnsi="Verdana" w:cs="Arial"/>
                <w:lang w:val="pt-BR"/>
              </w:rPr>
              <w:t xml:space="preserve">Corte Constitucional. Sentencia C-154 de 1997. </w:t>
            </w:r>
            <w:r w:rsidRPr="00F53A5C">
              <w:rPr>
                <w:rFonts w:ascii="Verdana" w:hAnsi="Verdana" w:cs="Arial"/>
                <w:lang w:val="es-ES"/>
              </w:rPr>
              <w:t>Magistrado Ponente: Hernando Herrera Vergara.</w:t>
            </w:r>
          </w:p>
          <w:p w14:paraId="50EDDFD8"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rPr>
              <w:t>Corte Constitucional. Sentencia T-326 de 2014. M.P. María Victoria Calle Correa.</w:t>
            </w:r>
          </w:p>
          <w:p w14:paraId="50B13636"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rPr>
              <w:t>Corte Constitucional. Sentencia T-357 de 2016. M.P. Jorge Iván Palacio Palacio</w:t>
            </w:r>
          </w:p>
          <w:p w14:paraId="3979A02A"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rPr>
              <w:t xml:space="preserve">Corte Constitucional. Sentencia T-638 de 2016. M.P. Jorge Iván Palacio </w:t>
            </w:r>
            <w:r w:rsidRPr="00F53A5C">
              <w:rPr>
                <w:rFonts w:ascii="Verdana" w:hAnsi="Verdana" w:cs="Arial"/>
              </w:rPr>
              <w:lastRenderedPageBreak/>
              <w:t>Palacio.</w:t>
            </w:r>
          </w:p>
          <w:p w14:paraId="0A025057"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lang w:val="es-ES"/>
              </w:rPr>
              <w:t>Corte Constitucional. Sentencia C-154 de 1997. M.P.: Hernando Herrera Vergara.</w:t>
            </w:r>
          </w:p>
          <w:p w14:paraId="15D0CE5C"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lang w:val="es-ES"/>
              </w:rPr>
            </w:pPr>
            <w:r w:rsidRPr="00F53A5C">
              <w:rPr>
                <w:rFonts w:ascii="Verdana" w:hAnsi="Verdana" w:cs="Arial"/>
                <w:lang w:val="es-ES"/>
              </w:rPr>
              <w:t>Corte Constitucional. SU-003 de 2018. M.P.: Carlos Bernal Pulido</w:t>
            </w:r>
          </w:p>
          <w:p w14:paraId="06894E1B"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color w:val="000000"/>
                <w:lang w:val="es-ES"/>
              </w:rPr>
              <w:t>Consejo De Estado. Sección Tercera. Subsección C. Sentencia del 2 de diciembre de 2013. Exp. 41719. Consejero Ponente: Jaime Orlando Santofimio Gamboa.</w:t>
            </w:r>
          </w:p>
          <w:p w14:paraId="5C861B81"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lang w:val="es-ES"/>
              </w:rPr>
            </w:pPr>
            <w:r w:rsidRPr="00F53A5C">
              <w:rPr>
                <w:rFonts w:ascii="Verdana" w:hAnsi="Verdana" w:cs="Arial"/>
                <w:lang w:val="es-ES"/>
              </w:rPr>
              <w:t>Consejo De Estado. Sección Tercera. Subsección C. Sentencia de Unificación del 2 de diciembre de 2013. Exp. 41.719. C.P. Jaime Orlando Santofimio Gamboa.</w:t>
            </w:r>
            <w:r w:rsidRPr="00F53A5C">
              <w:rPr>
                <w:rFonts w:ascii="Verdana" w:hAnsi="Verdana" w:cs="Arial"/>
              </w:rPr>
              <w:t xml:space="preserve"> </w:t>
            </w:r>
          </w:p>
          <w:p w14:paraId="1FD9F876" w14:textId="77777777" w:rsidR="00746B08" w:rsidRPr="00F53A5C" w:rsidRDefault="00746B08" w:rsidP="00746B08">
            <w:pPr>
              <w:widowControl w:val="0"/>
              <w:numPr>
                <w:ilvl w:val="0"/>
                <w:numId w:val="3"/>
              </w:numPr>
              <w:autoSpaceDE w:val="0"/>
              <w:autoSpaceDN w:val="0"/>
              <w:spacing w:after="120" w:line="276" w:lineRule="auto"/>
              <w:ind w:left="318" w:hanging="318"/>
              <w:jc w:val="both"/>
              <w:rPr>
                <w:rFonts w:ascii="Verdana" w:hAnsi="Verdana" w:cs="Arial"/>
                <w:color w:val="000000"/>
                <w:sz w:val="16"/>
                <w:szCs w:val="16"/>
                <w:lang w:val="es-ES"/>
              </w:rPr>
            </w:pPr>
            <w:r w:rsidRPr="00F53A5C">
              <w:rPr>
                <w:rFonts w:ascii="Verdana" w:hAnsi="Verdana" w:cs="Arial"/>
              </w:rPr>
              <w:t>Consejo de Estado. Sala de Consulta y Servicio Civil. Concepto del 10 de mayo de 2001. Rad. 1344. C.P. Flavio Augusto Rodríguez Arce.</w:t>
            </w:r>
          </w:p>
        </w:tc>
      </w:tr>
    </w:tbl>
    <w:p w14:paraId="6E55AEDA" w14:textId="77777777" w:rsidR="00746B08" w:rsidRPr="00F53A5C" w:rsidRDefault="00746B08" w:rsidP="00746B08">
      <w:pPr>
        <w:widowControl w:val="0"/>
        <w:autoSpaceDE w:val="0"/>
        <w:autoSpaceDN w:val="0"/>
        <w:spacing w:after="0" w:line="276" w:lineRule="auto"/>
        <w:jc w:val="both"/>
        <w:rPr>
          <w:rFonts w:ascii="Verdana" w:hAnsi="Verdana" w:cs="Arial"/>
        </w:rPr>
      </w:pPr>
    </w:p>
    <w:p w14:paraId="6821E1EC" w14:textId="77777777" w:rsidR="00746B08" w:rsidRPr="00F53A5C" w:rsidRDefault="00746B08" w:rsidP="00746B08">
      <w:pPr>
        <w:numPr>
          <w:ilvl w:val="0"/>
          <w:numId w:val="1"/>
        </w:numPr>
        <w:tabs>
          <w:tab w:val="left" w:pos="142"/>
          <w:tab w:val="left" w:pos="284"/>
        </w:tabs>
        <w:spacing w:after="0" w:line="276" w:lineRule="auto"/>
        <w:jc w:val="both"/>
        <w:rPr>
          <w:rFonts w:ascii="Verdana" w:eastAsia="Century Gothic" w:hAnsi="Verdana" w:cs="Century Gothic"/>
          <w:b/>
          <w:bCs/>
        </w:rPr>
      </w:pPr>
      <w:r w:rsidRPr="00F53A5C">
        <w:rPr>
          <w:rFonts w:ascii="Verdana" w:eastAsia="Century Gothic" w:hAnsi="Verdana" w:cs="Century Gothic"/>
          <w:b/>
          <w:bCs/>
        </w:rPr>
        <w:t>Doctrina de la Agencia Nacional de Contratación Pública:</w:t>
      </w:r>
    </w:p>
    <w:p w14:paraId="76E4F6F8" w14:textId="77777777" w:rsidR="00746B08" w:rsidRPr="00F53A5C" w:rsidRDefault="00746B08" w:rsidP="00746B08">
      <w:pPr>
        <w:widowControl w:val="0"/>
        <w:autoSpaceDE w:val="0"/>
        <w:autoSpaceDN w:val="0"/>
        <w:spacing w:after="0" w:line="276" w:lineRule="auto"/>
        <w:jc w:val="both"/>
        <w:rPr>
          <w:rFonts w:ascii="Verdana" w:hAnsi="Verdana" w:cs="Arial"/>
        </w:rPr>
      </w:pPr>
    </w:p>
    <w:p w14:paraId="48E378F0" w14:textId="77777777" w:rsidR="00746B08" w:rsidRPr="00F53A5C" w:rsidRDefault="00746B08" w:rsidP="00746B08">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F53A5C">
        <w:rPr>
          <w:rFonts w:ascii="Verdana" w:eastAsia="Aptos" w:hAnsi="Verdana" w:cs="Arial"/>
          <w:shd w:val="clear" w:color="auto" w:fill="FFFFFF"/>
        </w:rPr>
        <w:t xml:space="preserve">Sobre la estabilidad ocupacional reforzada esta Agencia ha emitido los siguientes conceptos: 2201913000006142 del 22 de agosto de 2019, 2201913000009150 del 11 de diciembre de 2019, 2201913000009571 del 24 de diciembre de 2019, C-712 del 7 de diciembre de 2022, C-789 del 22 de noviembre de 2022, C-920 del 14 de febrero de 2023, C-031 del 17 de marzo de 2023, C-135 de 25 de mayo de 2023, C-178 de 8 de junio de 2023, C-213 de 26 de junio de 2023 y C-439 de 20 de octubre de 2023, C-443 del 20 de octubre de 2023, C-859 del 18 de diciembre de 2024 y C-072 del 6 de marzo de 2025. </w:t>
      </w:r>
      <w:r w:rsidRPr="00F53A5C">
        <w:rPr>
          <w:rFonts w:ascii="Verdana" w:hAnsi="Verdana" w:cs="Arial"/>
          <w:shd w:val="clear" w:color="auto" w:fill="FFFFFF"/>
        </w:rPr>
        <w:t>Es</w:t>
      </w:r>
      <w:r w:rsidRPr="00F53A5C">
        <w:rPr>
          <w:rFonts w:ascii="Verdana" w:hAnsi="Verdana"/>
        </w:rPr>
        <w:t>te y otros conceptos se encuentran disponibles para consulta en el Sistema de relatoría de la Agencia, al cual se puede acceder a través del siguiente enlace:</w:t>
      </w:r>
      <w:r w:rsidRPr="00F53A5C">
        <w:rPr>
          <w:rFonts w:ascii="Verdana" w:hAnsi="Verdana" w:cs="Arial"/>
          <w:shd w:val="clear" w:color="auto" w:fill="FFFFFF"/>
        </w:rPr>
        <w:t xml:space="preserve"> </w:t>
      </w:r>
      <w:hyperlink r:id="rId13" w:history="1">
        <w:r w:rsidRPr="00F53A5C">
          <w:rPr>
            <w:rFonts w:ascii="Verdana" w:hAnsi="Verdana" w:cs="Arial"/>
            <w:color w:val="0563C1" w:themeColor="hyperlink"/>
            <w:u w:val="single"/>
            <w:shd w:val="clear" w:color="auto" w:fill="FFFFFF"/>
          </w:rPr>
          <w:t>https://relatoria.colombiacompra.gov.co/busqueda/conceptos</w:t>
        </w:r>
      </w:hyperlink>
      <w:r w:rsidRPr="00F53A5C">
        <w:rPr>
          <w:rFonts w:ascii="Verdana" w:hAnsi="Verdana" w:cs="Arial"/>
          <w:shd w:val="clear" w:color="auto" w:fill="FFFFFF"/>
        </w:rPr>
        <w:t>.</w:t>
      </w:r>
      <w:r w:rsidRPr="00F53A5C">
        <w:rPr>
          <w:rFonts w:ascii="Verdana" w:hAnsi="Verdana" w:cs="Arial"/>
          <w:color w:val="FF0000"/>
          <w:shd w:val="clear" w:color="auto" w:fill="FFFFFF"/>
        </w:rPr>
        <w:t xml:space="preserve"> </w:t>
      </w:r>
      <w:r w:rsidRPr="00F53A5C">
        <w:rPr>
          <w:rFonts w:ascii="Verdana" w:hAnsi="Verdana" w:cs="Arial"/>
          <w:color w:val="000000" w:themeColor="text1"/>
          <w:shd w:val="clear" w:color="auto" w:fill="FFFFFF"/>
        </w:rPr>
        <w:t>  </w:t>
      </w:r>
    </w:p>
    <w:p w14:paraId="59A357F1" w14:textId="77777777" w:rsidR="00746B08" w:rsidRPr="00F53A5C" w:rsidRDefault="00746B08" w:rsidP="00746B08">
      <w:pPr>
        <w:shd w:val="clear" w:color="auto" w:fill="FFFFFF"/>
        <w:spacing w:after="120" w:line="276" w:lineRule="auto"/>
        <w:ind w:firstLine="709"/>
        <w:jc w:val="both"/>
        <w:textAlignment w:val="baseline"/>
        <w:rPr>
          <w:rFonts w:ascii="Verdana" w:eastAsia="Times New Roman" w:hAnsi="Verdana" w:cs="Times New Roman"/>
          <w:lang w:eastAsia="es-CO"/>
        </w:rPr>
      </w:pPr>
      <w:r w:rsidRPr="00F53A5C">
        <w:rPr>
          <w:rFonts w:ascii="Verdana" w:eastAsia="Times New Roman" w:hAnsi="Verdana" w:cs="Times New Roman"/>
          <w:color w:val="000000"/>
          <w:bdr w:val="none" w:sz="0" w:space="0" w:color="auto" w:frame="1"/>
          <w:lang w:eastAsia="es-CO"/>
        </w:rPr>
        <w:t>Te informamos que ya se encuentra disponible la </w:t>
      </w:r>
      <w:r w:rsidRPr="00F53A5C">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F53A5C">
        <w:rPr>
          <w:rFonts w:ascii="Verdana" w:eastAsia="Times New Roman" w:hAnsi="Verdana" w:cs="Times New Roman"/>
          <w:color w:val="000000"/>
          <w:bdr w:val="none" w:sz="0" w:space="0" w:color="auto" w:frame="1"/>
          <w:lang w:eastAsia="es-CO"/>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w:t>
      </w:r>
      <w:r w:rsidRPr="00F53A5C">
        <w:rPr>
          <w:rFonts w:ascii="Verdana" w:eastAsia="Times New Roman" w:hAnsi="Verdana" w:cs="Times New Roman"/>
          <w:color w:val="000000"/>
          <w:bdr w:val="none" w:sz="0" w:space="0" w:color="auto" w:frame="1"/>
          <w:lang w:eastAsia="es-CO"/>
        </w:rPr>
        <w:lastRenderedPageBreak/>
        <w:t>en el siguiente enlace: </w:t>
      </w:r>
      <w:hyperlink r:id="rId14" w:tgtFrame="_blank" w:tooltip="Dirección URL original: https://www.colombiacompra.gov.co/manuales-guias-y-pliegos-tipo/manuales-y-guias/cartilla-para-incentivar-y-fortalecer-el-acceso-las. Haga clic o pulse si confía en este vínculo." w:history="1">
        <w:r w:rsidRPr="00F53A5C">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6A71A0B3" w14:textId="77777777" w:rsidR="00746B08" w:rsidRPr="00F53A5C" w:rsidRDefault="00746B08" w:rsidP="00746B08">
      <w:pPr>
        <w:spacing w:after="120" w:line="276" w:lineRule="auto"/>
        <w:ind w:firstLine="709"/>
        <w:jc w:val="both"/>
        <w:textAlignment w:val="baseline"/>
        <w:rPr>
          <w:rFonts w:ascii="Verdana" w:eastAsia="Times New Roman" w:hAnsi="Verdana" w:cs="Times New Roman"/>
          <w:lang w:eastAsia="es-CO"/>
        </w:rPr>
      </w:pPr>
      <w:r w:rsidRPr="00F53A5C">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F53A5C">
        <w:rPr>
          <w:rFonts w:ascii="Verdana" w:eastAsia="Times New Roman" w:hAnsi="Verdana" w:cs="Times New Roman"/>
          <w:b/>
          <w:bCs/>
          <w:color w:val="000000"/>
          <w:bdr w:val="none" w:sz="0" w:space="0" w:color="auto" w:frame="1"/>
          <w:lang w:eastAsia="es-CO"/>
        </w:rPr>
        <w:t>modificaciones y/o actualizaciones realizadas a los Documentos Tipo</w:t>
      </w:r>
      <w:r w:rsidRPr="00F53A5C">
        <w:rPr>
          <w:rFonts w:ascii="Verdana" w:eastAsia="Times New Roman" w:hAnsi="Verdana" w:cs="Times New Roman"/>
          <w:color w:val="000000"/>
          <w:bdr w:val="none" w:sz="0" w:space="0" w:color="auto" w:frame="1"/>
          <w:lang w:eastAsia="es-CO"/>
        </w:rPr>
        <w:t>, hemos programado una serie de </w:t>
      </w:r>
      <w:r w:rsidRPr="00F53A5C">
        <w:rPr>
          <w:rFonts w:ascii="Verdana" w:eastAsia="Times New Roman" w:hAnsi="Verdana" w:cs="Times New Roman"/>
          <w:b/>
          <w:bCs/>
          <w:color w:val="000000"/>
          <w:bdr w:val="none" w:sz="0" w:space="0" w:color="auto" w:frame="1"/>
          <w:lang w:eastAsia="es-CO"/>
        </w:rPr>
        <w:t>capacitaciones </w:t>
      </w:r>
      <w:r w:rsidRPr="00F53A5C">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F53A5C">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242EDF4D" w14:textId="77777777" w:rsidR="00746B08" w:rsidRPr="00F53A5C" w:rsidRDefault="00746B08" w:rsidP="00746B08">
      <w:pPr>
        <w:spacing w:after="0" w:line="276" w:lineRule="auto"/>
        <w:ind w:firstLine="709"/>
        <w:jc w:val="both"/>
        <w:textAlignment w:val="baseline"/>
        <w:rPr>
          <w:rFonts w:ascii="Verdana" w:eastAsia="Times New Roman" w:hAnsi="Verdana" w:cs="Times New Roman"/>
          <w:lang w:eastAsia="es-CO"/>
        </w:rPr>
      </w:pPr>
      <w:r w:rsidRPr="00F53A5C">
        <w:rPr>
          <w:rFonts w:ascii="Verdana" w:eastAsia="Times New Roman" w:hAnsi="Verdana" w:cs="Times New Roman"/>
          <w:color w:val="000000"/>
          <w:bdr w:val="none" w:sz="0" w:space="0" w:color="auto" w:frame="1"/>
          <w:lang w:eastAsia="es-CO"/>
        </w:rPr>
        <w:t>También, te contamos que ya publicamos </w:t>
      </w:r>
      <w:r w:rsidRPr="00F53A5C">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F53A5C">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F53A5C">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5395282" w14:textId="77777777" w:rsidR="00746B08" w:rsidRPr="00F53A5C" w:rsidRDefault="00746B08" w:rsidP="00746B08">
      <w:pPr>
        <w:widowControl w:val="0"/>
        <w:autoSpaceDE w:val="0"/>
        <w:autoSpaceDN w:val="0"/>
        <w:spacing w:after="0" w:line="276" w:lineRule="auto"/>
        <w:jc w:val="both"/>
        <w:rPr>
          <w:rFonts w:ascii="Verdana" w:eastAsia="Calibri" w:hAnsi="Verdana" w:cs="Arial"/>
          <w:color w:val="000000" w:themeColor="text1"/>
        </w:rPr>
      </w:pPr>
    </w:p>
    <w:p w14:paraId="731F0E47" w14:textId="77777777" w:rsidR="00746B08" w:rsidRPr="00F53A5C" w:rsidRDefault="00746B08" w:rsidP="00746B08">
      <w:pPr>
        <w:widowControl w:val="0"/>
        <w:autoSpaceDE w:val="0"/>
        <w:autoSpaceDN w:val="0"/>
        <w:spacing w:after="0" w:line="276" w:lineRule="auto"/>
        <w:jc w:val="both"/>
        <w:rPr>
          <w:rFonts w:ascii="Verdana" w:hAnsi="Verdana" w:cs="Arial"/>
        </w:rPr>
      </w:pPr>
      <w:r w:rsidRPr="00F53A5C">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73BDD2" w14:textId="77777777" w:rsidR="00746B08" w:rsidRPr="00F53A5C" w:rsidRDefault="00746B08" w:rsidP="00746B08">
      <w:pPr>
        <w:widowControl w:val="0"/>
        <w:autoSpaceDE w:val="0"/>
        <w:autoSpaceDN w:val="0"/>
        <w:spacing w:after="0" w:line="276" w:lineRule="auto"/>
        <w:jc w:val="both"/>
        <w:rPr>
          <w:rFonts w:ascii="Verdana" w:hAnsi="Verdana" w:cs="Arial"/>
        </w:rPr>
      </w:pPr>
    </w:p>
    <w:p w14:paraId="3845D6DD" w14:textId="77777777" w:rsidR="00746B08" w:rsidRPr="00F53A5C" w:rsidRDefault="00746B08" w:rsidP="00746B08">
      <w:pPr>
        <w:spacing w:after="0" w:line="240" w:lineRule="auto"/>
        <w:rPr>
          <w:rFonts w:ascii="Verdana" w:hAnsi="Verdana" w:cs="Arial"/>
          <w:lang w:eastAsia="es-CO"/>
        </w:rPr>
      </w:pPr>
      <w:r w:rsidRPr="00F53A5C">
        <w:rPr>
          <w:rFonts w:ascii="Verdana" w:eastAsia="Times New Roman" w:hAnsi="Verdana" w:cs="Arial"/>
          <w:lang w:eastAsia="es-CO"/>
        </w:rPr>
        <w:t>Atentamente,</w:t>
      </w:r>
      <w:r w:rsidRPr="00F53A5C">
        <w:rPr>
          <w:rFonts w:ascii="Verdana" w:hAnsi="Verdana" w:cs="Arial"/>
          <w:lang w:eastAsia="es-CO"/>
        </w:rPr>
        <w:t xml:space="preserve"> </w:t>
      </w:r>
    </w:p>
    <w:p w14:paraId="6A50B140" w14:textId="67261D3C" w:rsidR="00746B08" w:rsidRPr="00F53A5C" w:rsidRDefault="00B83E00" w:rsidP="00746B08">
      <w:pPr>
        <w:spacing w:line="276" w:lineRule="auto"/>
        <w:jc w:val="center"/>
        <w:rPr>
          <w:rFonts w:ascii="Verdana" w:hAnsi="Verdana" w:cs="Arial"/>
          <w:color w:val="000000"/>
          <w:lang w:eastAsia="es-CO"/>
        </w:rPr>
      </w:pPr>
      <w:r>
        <w:rPr>
          <w:noProof/>
        </w:rPr>
        <w:drawing>
          <wp:inline distT="0" distB="0" distL="0" distR="0" wp14:anchorId="3C3C753E" wp14:editId="766A9B52">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46B08" w:rsidRPr="00F53A5C" w14:paraId="0AA92FD7" w14:textId="77777777" w:rsidTr="00150E1A">
        <w:trPr>
          <w:trHeight w:val="315"/>
        </w:trPr>
        <w:tc>
          <w:tcPr>
            <w:tcW w:w="893" w:type="dxa"/>
            <w:vAlign w:val="center"/>
            <w:hideMark/>
          </w:tcPr>
          <w:p w14:paraId="34ACE3B4" w14:textId="77777777" w:rsidR="00746B08" w:rsidRPr="00F53A5C" w:rsidRDefault="00746B08" w:rsidP="00150E1A">
            <w:pPr>
              <w:contextualSpacing/>
              <w:rPr>
                <w:rFonts w:ascii="Verdana" w:hAnsi="Verdana" w:cs="Arial"/>
                <w:sz w:val="16"/>
                <w:szCs w:val="16"/>
                <w:lang w:eastAsia="es-ES"/>
              </w:rPr>
            </w:pPr>
            <w:r w:rsidRPr="00F53A5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7A8491B" w14:textId="77777777" w:rsidR="00746B08" w:rsidRPr="00F53A5C" w:rsidRDefault="00746B08" w:rsidP="00150E1A">
            <w:pPr>
              <w:contextualSpacing/>
              <w:rPr>
                <w:rFonts w:ascii="Verdana" w:hAnsi="Verdana"/>
                <w:sz w:val="16"/>
                <w:szCs w:val="16"/>
              </w:rPr>
            </w:pPr>
            <w:r w:rsidRPr="00F53A5C">
              <w:rPr>
                <w:rFonts w:ascii="Verdana" w:hAnsi="Verdana"/>
                <w:sz w:val="16"/>
                <w:szCs w:val="16"/>
              </w:rPr>
              <w:t>Tatiana Baquero Iguarán</w:t>
            </w:r>
          </w:p>
          <w:p w14:paraId="3E096D0C" w14:textId="77777777" w:rsidR="00746B08" w:rsidRPr="00F53A5C" w:rsidRDefault="00746B08" w:rsidP="00150E1A">
            <w:pPr>
              <w:contextualSpacing/>
              <w:rPr>
                <w:rFonts w:ascii="Verdana" w:eastAsia="Arial" w:hAnsi="Verdana" w:cs="Arial"/>
                <w:sz w:val="16"/>
                <w:szCs w:val="16"/>
              </w:rPr>
            </w:pPr>
            <w:r w:rsidRPr="00F53A5C">
              <w:rPr>
                <w:rFonts w:ascii="Verdana" w:hAnsi="Verdana"/>
                <w:sz w:val="16"/>
                <w:szCs w:val="16"/>
              </w:rPr>
              <w:t>Contratista de la Subdirección de Gestión Contractual</w:t>
            </w:r>
          </w:p>
        </w:tc>
      </w:tr>
      <w:tr w:rsidR="00746B08" w:rsidRPr="00F53A5C" w14:paraId="6601F5B1" w14:textId="77777777" w:rsidTr="00150E1A">
        <w:trPr>
          <w:trHeight w:val="330"/>
        </w:trPr>
        <w:tc>
          <w:tcPr>
            <w:tcW w:w="893" w:type="dxa"/>
            <w:vAlign w:val="center"/>
            <w:hideMark/>
          </w:tcPr>
          <w:p w14:paraId="179D13B7" w14:textId="77777777" w:rsidR="00746B08" w:rsidRPr="00F53A5C" w:rsidRDefault="00746B08" w:rsidP="00150E1A">
            <w:pPr>
              <w:contextualSpacing/>
              <w:rPr>
                <w:rFonts w:ascii="Verdana" w:hAnsi="Verdana" w:cs="Arial"/>
                <w:sz w:val="16"/>
                <w:szCs w:val="16"/>
                <w:lang w:eastAsia="es-ES"/>
              </w:rPr>
            </w:pPr>
            <w:r w:rsidRPr="00F53A5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0A0756" w14:textId="77777777" w:rsidR="00746B08" w:rsidRPr="00F53A5C" w:rsidRDefault="00746B08" w:rsidP="00150E1A">
            <w:pPr>
              <w:spacing w:before="100" w:beforeAutospacing="1" w:after="100" w:afterAutospacing="1"/>
              <w:contextualSpacing/>
              <w:textAlignment w:val="baseline"/>
              <w:rPr>
                <w:rFonts w:ascii="Verdana" w:eastAsia="Times New Roman" w:hAnsi="Verdana" w:cs="Arial"/>
                <w:sz w:val="16"/>
                <w:szCs w:val="16"/>
                <w:lang w:eastAsia="es-ES_tradnl"/>
              </w:rPr>
            </w:pPr>
            <w:r w:rsidRPr="00F53A5C">
              <w:rPr>
                <w:rFonts w:ascii="Verdana" w:eastAsia="Times New Roman" w:hAnsi="Verdana" w:cs="Arial"/>
                <w:sz w:val="16"/>
                <w:szCs w:val="16"/>
                <w:lang w:eastAsia="es-ES_tradnl"/>
              </w:rPr>
              <w:t>Diana Lucía Saavedra Castañeda</w:t>
            </w:r>
          </w:p>
          <w:p w14:paraId="1BC81608" w14:textId="77777777" w:rsidR="00746B08" w:rsidRPr="00F53A5C" w:rsidRDefault="00746B08" w:rsidP="00150E1A">
            <w:pPr>
              <w:contextualSpacing/>
              <w:textAlignment w:val="baseline"/>
              <w:rPr>
                <w:rFonts w:ascii="Verdana" w:eastAsia="Times New Roman" w:hAnsi="Verdana" w:cs="Segoe UI"/>
                <w:sz w:val="16"/>
                <w:szCs w:val="16"/>
                <w:lang w:eastAsia="es-ES_tradnl"/>
              </w:rPr>
            </w:pPr>
            <w:r w:rsidRPr="00F53A5C">
              <w:rPr>
                <w:rFonts w:ascii="Verdana" w:hAnsi="Verdana"/>
                <w:sz w:val="16"/>
                <w:szCs w:val="16"/>
              </w:rPr>
              <w:t>Contratista de la Subdirección de Gestión Contractual</w:t>
            </w:r>
          </w:p>
        </w:tc>
      </w:tr>
      <w:tr w:rsidR="00746B08" w:rsidRPr="00F53A5C" w14:paraId="6B6C4B96" w14:textId="77777777" w:rsidTr="00150E1A">
        <w:trPr>
          <w:trHeight w:val="300"/>
        </w:trPr>
        <w:tc>
          <w:tcPr>
            <w:tcW w:w="893" w:type="dxa"/>
            <w:vAlign w:val="center"/>
          </w:tcPr>
          <w:p w14:paraId="743B6509" w14:textId="77777777" w:rsidR="00746B08" w:rsidRPr="00F53A5C" w:rsidRDefault="00746B08" w:rsidP="00150E1A">
            <w:pPr>
              <w:contextualSpacing/>
              <w:rPr>
                <w:rFonts w:ascii="Verdana" w:hAnsi="Verdana" w:cs="Arial"/>
                <w:sz w:val="16"/>
                <w:szCs w:val="16"/>
                <w:lang w:eastAsia="es-ES"/>
              </w:rPr>
            </w:pPr>
            <w:r w:rsidRPr="00F53A5C">
              <w:rPr>
                <w:rFonts w:ascii="Verdana" w:hAnsi="Verdana" w:cs="Arial"/>
                <w:sz w:val="16"/>
                <w:szCs w:val="16"/>
                <w:lang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9FED07" w14:textId="77777777" w:rsidR="00746B08" w:rsidRPr="00F53A5C" w:rsidRDefault="00746B08" w:rsidP="00150E1A">
            <w:pPr>
              <w:contextualSpacing/>
              <w:rPr>
                <w:rFonts w:ascii="Verdana" w:eastAsia="Calibri" w:hAnsi="Verdana" w:cs="Arial"/>
                <w:sz w:val="16"/>
                <w:szCs w:val="16"/>
                <w:lang w:eastAsia="es-ES"/>
              </w:rPr>
            </w:pPr>
            <w:r w:rsidRPr="00F53A5C">
              <w:rPr>
                <w:rFonts w:ascii="Verdana" w:eastAsia="Calibri" w:hAnsi="Verdana" w:cs="Arial"/>
                <w:sz w:val="16"/>
                <w:szCs w:val="16"/>
                <w:lang w:eastAsia="es-ES"/>
              </w:rPr>
              <w:t>Carolina Quintero Gacharná</w:t>
            </w:r>
          </w:p>
          <w:p w14:paraId="0354E89C" w14:textId="77777777" w:rsidR="00746B08" w:rsidRPr="00F53A5C" w:rsidRDefault="00746B08" w:rsidP="00150E1A">
            <w:pPr>
              <w:contextualSpacing/>
              <w:rPr>
                <w:rFonts w:ascii="Verdana" w:eastAsia="Calibri" w:hAnsi="Verdana" w:cs="Arial"/>
                <w:sz w:val="16"/>
                <w:szCs w:val="16"/>
                <w:lang w:eastAsia="es-ES"/>
              </w:rPr>
            </w:pPr>
            <w:r w:rsidRPr="00F53A5C">
              <w:rPr>
                <w:rFonts w:ascii="Verdana" w:eastAsia="Calibri" w:hAnsi="Verdana" w:cs="Arial"/>
                <w:sz w:val="16"/>
                <w:szCs w:val="16"/>
                <w:lang w:eastAsia="es-ES"/>
              </w:rPr>
              <w:t>Subdirectora de Gestión Contractual ANCP – CCE</w:t>
            </w:r>
          </w:p>
        </w:tc>
      </w:tr>
      <w:bookmarkEnd w:id="0"/>
    </w:tbl>
    <w:p w14:paraId="349CAC10" w14:textId="77777777" w:rsidR="00746B08" w:rsidRPr="00F53A5C" w:rsidRDefault="00746B08" w:rsidP="00746B08"/>
    <w:p w14:paraId="7A3FD2DA" w14:textId="77777777" w:rsidR="00027CA9" w:rsidRPr="00746B08" w:rsidRDefault="00027CA9" w:rsidP="00746B08"/>
    <w:sectPr w:rsidR="00027CA9" w:rsidRPr="00746B08"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5C09" w14:textId="77777777" w:rsidR="0062228D" w:rsidRPr="009B7987" w:rsidRDefault="0062228D" w:rsidP="00B30448">
      <w:pPr>
        <w:spacing w:after="0" w:line="240" w:lineRule="auto"/>
      </w:pPr>
      <w:r w:rsidRPr="009B7987">
        <w:separator/>
      </w:r>
    </w:p>
  </w:endnote>
  <w:endnote w:type="continuationSeparator" w:id="0">
    <w:p w14:paraId="6F62E4D8" w14:textId="77777777" w:rsidR="0062228D" w:rsidRPr="009B7987" w:rsidRDefault="0062228D" w:rsidP="00B30448">
      <w:pPr>
        <w:spacing w:after="0" w:line="240" w:lineRule="auto"/>
      </w:pPr>
      <w:r w:rsidRPr="009B7987">
        <w:continuationSeparator/>
      </w:r>
    </w:p>
  </w:endnote>
  <w:endnote w:type="continuationNotice" w:id="1">
    <w:p w14:paraId="491047EC" w14:textId="77777777" w:rsidR="0062228D" w:rsidRPr="009B7987" w:rsidRDefault="006222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C547" w14:textId="77777777" w:rsidR="0062228D" w:rsidRPr="009B7987" w:rsidRDefault="0062228D" w:rsidP="00B30448">
      <w:pPr>
        <w:spacing w:after="0" w:line="240" w:lineRule="auto"/>
      </w:pPr>
      <w:r w:rsidRPr="009B7987">
        <w:separator/>
      </w:r>
    </w:p>
  </w:footnote>
  <w:footnote w:type="continuationSeparator" w:id="0">
    <w:p w14:paraId="113EF583" w14:textId="77777777" w:rsidR="0062228D" w:rsidRPr="009B7987" w:rsidRDefault="0062228D" w:rsidP="00B30448">
      <w:pPr>
        <w:spacing w:after="0" w:line="240" w:lineRule="auto"/>
      </w:pPr>
      <w:r w:rsidRPr="009B7987">
        <w:continuationSeparator/>
      </w:r>
    </w:p>
  </w:footnote>
  <w:footnote w:type="continuationNotice" w:id="1">
    <w:p w14:paraId="118529D1" w14:textId="77777777" w:rsidR="0062228D" w:rsidRPr="009B7987" w:rsidRDefault="0062228D">
      <w:pPr>
        <w:spacing w:after="0" w:line="240" w:lineRule="auto"/>
      </w:pPr>
    </w:p>
  </w:footnote>
  <w:footnote w:id="2">
    <w:p w14:paraId="1A35E3C2" w14:textId="77777777" w:rsidR="00746B08" w:rsidRPr="00E90262" w:rsidRDefault="00746B08" w:rsidP="00746B08">
      <w:pPr>
        <w:pStyle w:val="Textonotapie"/>
        <w:ind w:firstLine="708"/>
        <w:contextualSpacing/>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206F57EE" w14:textId="77777777" w:rsidR="00746B08" w:rsidRPr="00E90262" w:rsidRDefault="00746B08" w:rsidP="00746B08">
      <w:pPr>
        <w:pStyle w:val="Textonotapie"/>
        <w:ind w:firstLine="708"/>
        <w:contextualSpacing/>
        <w:jc w:val="both"/>
        <w:rPr>
          <w:rFonts w:ascii="Verdana" w:hAnsi="Verdana" w:cs="Arial"/>
          <w:sz w:val="14"/>
          <w:szCs w:val="14"/>
          <w:lang w:val="es-ES_tradnl"/>
        </w:rPr>
      </w:pPr>
    </w:p>
  </w:footnote>
  <w:footnote w:id="3">
    <w:p w14:paraId="6A8CFFC1" w14:textId="77777777" w:rsidR="00746B08" w:rsidRPr="00E90262" w:rsidRDefault="00746B08" w:rsidP="00746B08">
      <w:pPr>
        <w:pStyle w:val="Textonotapie"/>
        <w:ind w:firstLine="708"/>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3E3C7517"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4">
    <w:p w14:paraId="3064D55D"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75A1ABE"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6C0A937"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El Gobierno nacional reglamentará el mecanismo para realizar la mensualización de que trata el presente artículo.</w:t>
      </w:r>
    </w:p>
    <w:p w14:paraId="682873AD" w14:textId="77777777" w:rsidR="00746B08" w:rsidRPr="00E90262" w:rsidRDefault="00746B08" w:rsidP="00746B08">
      <w:pPr>
        <w:pStyle w:val="Textonotapie"/>
        <w:ind w:firstLine="709"/>
        <w:contextualSpacing/>
        <w:jc w:val="both"/>
        <w:rPr>
          <w:rFonts w:ascii="Verdana" w:hAnsi="Verdana" w:cs="Arial"/>
          <w:sz w:val="14"/>
          <w:szCs w:val="14"/>
          <w:lang w:val="pt-BR"/>
        </w:rPr>
      </w:pPr>
      <w:r w:rsidRPr="00E90262">
        <w:rPr>
          <w:rFonts w:ascii="Verdana" w:hAnsi="Verdana" w:cs="Arial"/>
          <w:sz w:val="14"/>
          <w:szCs w:val="14"/>
          <w:lang w:val="pt-BR"/>
        </w:rPr>
        <w:t>[…]”.</w:t>
      </w:r>
    </w:p>
    <w:p w14:paraId="72EAA5BC" w14:textId="77777777" w:rsidR="00746B08" w:rsidRPr="00E90262" w:rsidRDefault="00746B08" w:rsidP="00746B08">
      <w:pPr>
        <w:pStyle w:val="Textonotapie"/>
        <w:ind w:firstLine="709"/>
        <w:contextualSpacing/>
        <w:jc w:val="both"/>
        <w:rPr>
          <w:rFonts w:ascii="Verdana" w:hAnsi="Verdana" w:cs="Arial"/>
          <w:sz w:val="14"/>
          <w:szCs w:val="14"/>
          <w:lang w:val="pt-BR"/>
        </w:rPr>
      </w:pPr>
    </w:p>
  </w:footnote>
  <w:footnote w:id="5">
    <w:p w14:paraId="2EE52119"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lang w:val="pt-BR"/>
        </w:rPr>
        <w:t xml:space="preserve"> Corte Constitucional. Sentencia C-154 de 1997. </w:t>
      </w:r>
      <w:r w:rsidRPr="00E90262">
        <w:rPr>
          <w:rFonts w:ascii="Verdana" w:hAnsi="Verdana" w:cs="Arial"/>
          <w:sz w:val="14"/>
          <w:szCs w:val="14"/>
          <w:lang w:val="es-ES"/>
        </w:rPr>
        <w:t>Magistrado Ponente: Hernando Herrera Vergara.</w:t>
      </w:r>
    </w:p>
  </w:footnote>
  <w:footnote w:id="6">
    <w:p w14:paraId="2733830A" w14:textId="77777777" w:rsidR="00746B08" w:rsidRPr="00E90262" w:rsidRDefault="00746B08" w:rsidP="00746B08">
      <w:pPr>
        <w:spacing w:after="0" w:line="240" w:lineRule="auto"/>
        <w:contextualSpacing/>
        <w:rPr>
          <w:rFonts w:ascii="Verdana" w:hAnsi="Verdana"/>
          <w:sz w:val="14"/>
          <w:szCs w:val="14"/>
        </w:rPr>
      </w:pPr>
    </w:p>
  </w:footnote>
  <w:footnote w:id="7">
    <w:p w14:paraId="7E36F0FE"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Ibíd.</w:t>
      </w:r>
    </w:p>
    <w:p w14:paraId="1CC842BA"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8">
    <w:p w14:paraId="49B49630" w14:textId="77777777" w:rsidR="00746B08" w:rsidRPr="00E90262" w:rsidRDefault="00746B08" w:rsidP="00746B08">
      <w:pPr>
        <w:pStyle w:val="Textonotapie"/>
        <w:ind w:firstLine="709"/>
        <w:contextualSpacing/>
        <w:jc w:val="both"/>
        <w:rPr>
          <w:rFonts w:ascii="Verdana" w:hAnsi="Verdana" w:cs="Arial"/>
          <w:color w:val="000000"/>
          <w:sz w:val="14"/>
          <w:szCs w:val="14"/>
          <w:lang w:val="es-ES"/>
        </w:rPr>
      </w:pPr>
      <w:r w:rsidRPr="00E90262">
        <w:rPr>
          <w:rStyle w:val="Refdenotaalpie"/>
          <w:rFonts w:ascii="Verdana" w:hAnsi="Verdana" w:cs="Arial"/>
          <w:color w:val="000000"/>
          <w:sz w:val="14"/>
          <w:szCs w:val="14"/>
        </w:rPr>
        <w:footnoteRef/>
      </w:r>
      <w:r w:rsidRPr="00E90262">
        <w:rPr>
          <w:rFonts w:ascii="Verdana" w:hAnsi="Verdana" w:cs="Arial"/>
          <w:color w:val="000000"/>
          <w:sz w:val="14"/>
          <w:szCs w:val="14"/>
        </w:rPr>
        <w:t xml:space="preserve"> </w:t>
      </w:r>
      <w:r w:rsidRPr="00E90262">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FF28741" w14:textId="77777777" w:rsidR="00746B08" w:rsidRPr="00E90262" w:rsidRDefault="00746B08" w:rsidP="00746B08">
      <w:pPr>
        <w:pStyle w:val="Textonotapie"/>
        <w:ind w:firstLine="709"/>
        <w:contextualSpacing/>
        <w:jc w:val="both"/>
        <w:rPr>
          <w:rFonts w:ascii="Verdana" w:hAnsi="Verdana" w:cs="Arial"/>
          <w:color w:val="000000"/>
          <w:sz w:val="14"/>
          <w:szCs w:val="14"/>
          <w:lang w:val="es-ES"/>
        </w:rPr>
      </w:pPr>
      <w:r w:rsidRPr="00E90262">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63B9DF6" w14:textId="77777777" w:rsidR="00746B08" w:rsidRPr="00E90262" w:rsidRDefault="00746B08" w:rsidP="00746B08">
      <w:pPr>
        <w:pStyle w:val="Textonotapie"/>
        <w:ind w:firstLine="709"/>
        <w:contextualSpacing/>
        <w:jc w:val="both"/>
        <w:rPr>
          <w:rFonts w:ascii="Verdana" w:hAnsi="Verdana" w:cs="Arial"/>
          <w:color w:val="000000"/>
          <w:sz w:val="14"/>
          <w:szCs w:val="14"/>
          <w:lang w:val="es-ES"/>
        </w:rPr>
      </w:pPr>
      <w:r w:rsidRPr="00E90262">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p w14:paraId="38279593" w14:textId="77777777" w:rsidR="00746B08" w:rsidRPr="00E90262" w:rsidRDefault="00746B08" w:rsidP="00746B08">
      <w:pPr>
        <w:pStyle w:val="Textonotapie"/>
        <w:ind w:firstLine="709"/>
        <w:contextualSpacing/>
        <w:jc w:val="both"/>
        <w:rPr>
          <w:rFonts w:ascii="Verdana" w:hAnsi="Verdana" w:cs="Arial"/>
          <w:color w:val="000000"/>
          <w:sz w:val="14"/>
          <w:szCs w:val="14"/>
          <w:lang w:val="es-ES"/>
        </w:rPr>
      </w:pPr>
    </w:p>
  </w:footnote>
  <w:footnote w:id="9">
    <w:p w14:paraId="61A1EC83" w14:textId="77777777" w:rsidR="00746B08" w:rsidRPr="00E90262" w:rsidRDefault="00746B08" w:rsidP="00746B08">
      <w:pPr>
        <w:pStyle w:val="Textonotapie"/>
        <w:ind w:firstLine="709"/>
        <w:contextualSpacing/>
        <w:jc w:val="both"/>
        <w:rPr>
          <w:rFonts w:ascii="Verdana" w:hAnsi="Verdana" w:cs="Arial"/>
          <w:color w:val="000000"/>
          <w:sz w:val="14"/>
          <w:szCs w:val="14"/>
          <w:lang w:val="es-ES"/>
        </w:rPr>
      </w:pPr>
      <w:r w:rsidRPr="00E90262">
        <w:rPr>
          <w:rStyle w:val="Refdenotaalpie"/>
          <w:rFonts w:ascii="Verdana" w:hAnsi="Verdana" w:cs="Arial"/>
          <w:color w:val="000000"/>
          <w:sz w:val="14"/>
          <w:szCs w:val="14"/>
        </w:rPr>
        <w:footnoteRef/>
      </w:r>
      <w:r w:rsidRPr="00E90262">
        <w:rPr>
          <w:rFonts w:ascii="Verdana" w:hAnsi="Verdana" w:cs="Arial"/>
          <w:color w:val="000000"/>
          <w:sz w:val="14"/>
          <w:szCs w:val="14"/>
        </w:rPr>
        <w:t xml:space="preserve"> </w:t>
      </w:r>
      <w:r w:rsidRPr="00E90262">
        <w:rPr>
          <w:rFonts w:ascii="Verdana" w:hAnsi="Verdana" w:cs="Arial"/>
          <w:color w:val="000000"/>
          <w:sz w:val="14"/>
          <w:szCs w:val="14"/>
          <w:lang w:val="es-ES"/>
        </w:rPr>
        <w:t>Consejo De Estado. Sección Tercera. Subsección C. Sentencia del 2 de diciembre de 2013. Exp. 41719. Consejero Ponente: Jaime Orlando Santofimio Gamboa.</w:t>
      </w:r>
    </w:p>
  </w:footnote>
  <w:footnote w:id="10">
    <w:p w14:paraId="1BFB3BB4" w14:textId="77777777" w:rsidR="00746B08" w:rsidRPr="00E90262" w:rsidRDefault="00746B08" w:rsidP="00746B08">
      <w:pPr>
        <w:spacing w:after="0" w:line="240" w:lineRule="auto"/>
        <w:contextualSpacing/>
        <w:rPr>
          <w:rFonts w:ascii="Verdana" w:hAnsi="Verdana"/>
          <w:sz w:val="14"/>
          <w:szCs w:val="14"/>
        </w:rPr>
      </w:pPr>
    </w:p>
  </w:footnote>
  <w:footnote w:id="11">
    <w:p w14:paraId="102E2144" w14:textId="77777777" w:rsidR="00746B08" w:rsidRPr="00E90262" w:rsidRDefault="00746B08" w:rsidP="00746B08">
      <w:pPr>
        <w:pStyle w:val="Textonotapie"/>
        <w:ind w:firstLine="709"/>
        <w:contextualSpacing/>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Consejo De Estado. Sección Tercera. Subsección C. Sentencia de Unificación del 2 de diciembre de 2013. Exp. 41.719. C.P. Jaime Orlando Santofimio Gamboa.</w:t>
      </w:r>
      <w:r w:rsidRPr="00E90262">
        <w:rPr>
          <w:rFonts w:ascii="Verdana" w:hAnsi="Verdana" w:cs="Arial"/>
          <w:sz w:val="14"/>
          <w:szCs w:val="14"/>
        </w:rPr>
        <w:t xml:space="preserve"> </w:t>
      </w:r>
    </w:p>
    <w:p w14:paraId="54BEDC02"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90B1C4F"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Son también contratos de consultoría los que tienen por objeto la interventoría, asesoría, gerencia de obra o de proyectos, dirección, programación y la ejecución de diseños, planos, anteproyectos y proyectos.</w:t>
      </w:r>
    </w:p>
    <w:p w14:paraId="7A49C588"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Ninguna orden del interventor de una obra podrá darse verbalmente. Es obligatorio para el interventor entregar por escrito sus órdenes o sugerencias y ellas deben enmarcarse dentro de los términos del respectivo contrato”.</w:t>
      </w:r>
    </w:p>
    <w:p w14:paraId="7B2BF381"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12">
    <w:p w14:paraId="60299ADD"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Así lo dispone el artículo 2.2.1.2.1.4.1. del Decreto 1082 de 2015: “La Entidad Estatal debe señalar en un acto administrativo la justificación para contratar bajo la modalidad de contratación directa, el cual debe contener:</w:t>
      </w:r>
    </w:p>
    <w:p w14:paraId="37270BFE"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1. La causal que invoca para contratar directamente.</w:t>
      </w:r>
    </w:p>
    <w:p w14:paraId="7003E4D7"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2. El objeto del contrato.</w:t>
      </w:r>
    </w:p>
    <w:p w14:paraId="606EF694"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3. El presupuesto para la contratación y las condiciones que exigirá al contratista.</w:t>
      </w:r>
    </w:p>
    <w:p w14:paraId="1BF669F4"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4. El lugar en el cual los interesados pueden consultar los estudios y documentos previos.</w:t>
      </w:r>
    </w:p>
    <w:p w14:paraId="574B757A"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04E6C03C" w14:textId="77777777" w:rsidR="00746B08" w:rsidRPr="00E90262" w:rsidRDefault="00746B08" w:rsidP="00746B08">
      <w:pPr>
        <w:pStyle w:val="Textonotapie"/>
        <w:contextualSpacing/>
        <w:jc w:val="both"/>
        <w:rPr>
          <w:rFonts w:ascii="Verdana" w:hAnsi="Verdana" w:cs="Arial"/>
          <w:sz w:val="14"/>
          <w:szCs w:val="14"/>
        </w:rPr>
      </w:pPr>
    </w:p>
    <w:p w14:paraId="23697B64"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 xml:space="preserve">La norma expresa: “Art. 14. </w:t>
      </w:r>
      <w:r w:rsidRPr="00E90262">
        <w:rPr>
          <w:rFonts w:ascii="Verdana" w:hAnsi="Verdana" w:cs="Arial"/>
          <w:sz w:val="14"/>
          <w:szCs w:val="14"/>
        </w:rPr>
        <w:t>P</w:t>
      </w:r>
      <w:r w:rsidRPr="00E90262">
        <w:rPr>
          <w:rFonts w:ascii="Verdana" w:hAnsi="Verdana" w:cs="Arial"/>
          <w:sz w:val="14"/>
          <w:szCs w:val="14"/>
          <w:lang w:val="es-ES"/>
        </w:rPr>
        <w:t>ara el cumplimiento de los fines de la contratación, las entidades estatales al celebrar un contrato:</w:t>
      </w:r>
    </w:p>
    <w:p w14:paraId="20AF6AA5"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w:t>
      </w:r>
    </w:p>
    <w:p w14:paraId="049B0214"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9AB6D57"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Las entidades estatales podrán pactar estas cláusulas en los contratos de suministro y de prestación de servicios.</w:t>
      </w:r>
    </w:p>
    <w:p w14:paraId="508E85A9"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Fonts w:ascii="Verdana" w:hAnsi="Verdana" w:cs="Arial"/>
          <w:sz w:val="14"/>
          <w:szCs w:val="14"/>
          <w:lang w:val="es-ES"/>
        </w:rPr>
        <w:t>[…]”.</w:t>
      </w:r>
    </w:p>
    <w:p w14:paraId="06AA832F"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14">
    <w:p w14:paraId="56774CEF"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La norma dispone: “La liquidación a que se refiere el presente artículo no será obligatoria en los contratos de prestación de servicios profesionales y de apoyo a la gestión”.</w:t>
      </w:r>
    </w:p>
    <w:p w14:paraId="39CF42C5"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15">
    <w:p w14:paraId="5F414027" w14:textId="77777777" w:rsidR="00746B08" w:rsidRPr="00E90262" w:rsidRDefault="00746B08" w:rsidP="00746B08">
      <w:pPr>
        <w:pStyle w:val="Textonotapie"/>
        <w:ind w:firstLine="709"/>
        <w:contextualSpacing/>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5470809" w14:textId="77777777" w:rsidR="00746B08" w:rsidRPr="00E90262" w:rsidRDefault="00746B08" w:rsidP="00746B08">
      <w:pPr>
        <w:pStyle w:val="Textonotapie"/>
        <w:ind w:firstLine="709"/>
        <w:contextualSpacing/>
        <w:jc w:val="both"/>
        <w:rPr>
          <w:rFonts w:ascii="Verdana" w:hAnsi="Verdana" w:cs="Arial"/>
          <w:sz w:val="14"/>
          <w:szCs w:val="14"/>
        </w:rPr>
      </w:pPr>
      <w:r w:rsidRPr="00E90262">
        <w:rPr>
          <w:rFonts w:ascii="Verdana" w:hAnsi="Verdana" w:cs="Arial"/>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10C2260" w14:textId="77777777" w:rsidR="00746B08" w:rsidRPr="00E90262" w:rsidRDefault="00746B08" w:rsidP="00746B08">
      <w:pPr>
        <w:pStyle w:val="Textonotapie"/>
        <w:ind w:firstLine="709"/>
        <w:contextualSpacing/>
        <w:jc w:val="both"/>
        <w:rPr>
          <w:rFonts w:ascii="Verdana" w:hAnsi="Verdana" w:cs="Arial"/>
          <w:sz w:val="14"/>
          <w:szCs w:val="14"/>
        </w:rPr>
      </w:pPr>
      <w:r w:rsidRPr="00E90262">
        <w:rPr>
          <w:rFonts w:ascii="Verdana" w:hAnsi="Verdana" w:cs="Arial"/>
          <w:sz w:val="14"/>
          <w:szCs w:val="14"/>
        </w:rPr>
        <w:t>[…]”.</w:t>
      </w:r>
    </w:p>
    <w:p w14:paraId="798FA64C"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16">
    <w:p w14:paraId="16EBA155" w14:textId="77777777" w:rsidR="00746B08" w:rsidRPr="00E90262" w:rsidRDefault="00746B08" w:rsidP="00746B08">
      <w:pPr>
        <w:pStyle w:val="Textonotapie"/>
        <w:ind w:firstLine="709"/>
        <w:contextualSpacing/>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898E6C2" w14:textId="77777777" w:rsidR="00746B08" w:rsidRPr="00E90262" w:rsidRDefault="00746B08" w:rsidP="00746B08">
      <w:pPr>
        <w:pStyle w:val="Textonotapie"/>
        <w:ind w:firstLine="709"/>
        <w:contextualSpacing/>
        <w:jc w:val="both"/>
        <w:rPr>
          <w:rFonts w:ascii="Verdana" w:hAnsi="Verdana" w:cs="Arial"/>
          <w:sz w:val="14"/>
          <w:szCs w:val="14"/>
          <w:lang w:val="es-ES"/>
        </w:rPr>
      </w:pPr>
    </w:p>
  </w:footnote>
  <w:footnote w:id="17">
    <w:p w14:paraId="4CD9991C" w14:textId="77777777" w:rsidR="00746B08" w:rsidRPr="00E90262" w:rsidRDefault="00746B08" w:rsidP="00746B08">
      <w:pPr>
        <w:pStyle w:val="Textonotapie"/>
        <w:ind w:firstLine="708"/>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Consejo de Estado. Sala de Consulta y Servicio Civil. Concepto del 10 de mayo de 2001. Rad. 1344. C.P. Flavio Augusto Rodríguez Arce.</w:t>
      </w:r>
    </w:p>
    <w:p w14:paraId="52D3B1F2" w14:textId="77777777" w:rsidR="00746B08" w:rsidRPr="00E90262" w:rsidRDefault="00746B08" w:rsidP="00746B08">
      <w:pPr>
        <w:pStyle w:val="Textonotapie"/>
        <w:ind w:firstLine="708"/>
        <w:jc w:val="both"/>
        <w:rPr>
          <w:rFonts w:ascii="Verdana" w:hAnsi="Verdana" w:cs="Arial"/>
          <w:sz w:val="14"/>
          <w:szCs w:val="14"/>
        </w:rPr>
      </w:pPr>
    </w:p>
  </w:footnote>
  <w:footnote w:id="18">
    <w:p w14:paraId="1E5E6489" w14:textId="77777777" w:rsidR="00746B08" w:rsidRPr="00E90262" w:rsidRDefault="00746B08" w:rsidP="00746B08">
      <w:pPr>
        <w:pStyle w:val="Textonotapie"/>
        <w:ind w:firstLine="708"/>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Corte Constitucional. Sentencia T-326 de 2014. M.P. María Victoria Calle Correa.</w:t>
      </w:r>
    </w:p>
  </w:footnote>
  <w:footnote w:id="19">
    <w:p w14:paraId="2643AA85" w14:textId="77777777" w:rsidR="00746B08" w:rsidRPr="00E90262" w:rsidRDefault="00746B08" w:rsidP="00746B08">
      <w:pPr>
        <w:pStyle w:val="Textonotapie"/>
        <w:ind w:firstLine="708"/>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Corte Constitucional. Sentencia T-357 de 2016. M.P. Jorge Iván Palacio Palacio.</w:t>
      </w:r>
    </w:p>
  </w:footnote>
  <w:footnote w:id="20">
    <w:p w14:paraId="0CF1867D" w14:textId="77777777" w:rsidR="00746B08" w:rsidRPr="00E90262" w:rsidRDefault="00746B08" w:rsidP="00746B08">
      <w:pPr>
        <w:pStyle w:val="Textonotapie"/>
        <w:ind w:firstLine="708"/>
        <w:jc w:val="both"/>
        <w:rPr>
          <w:rFonts w:ascii="Verdana" w:hAnsi="Verdana" w:cs="Arial"/>
          <w:sz w:val="14"/>
          <w:szCs w:val="14"/>
        </w:rPr>
      </w:pPr>
      <w:r w:rsidRPr="00E90262">
        <w:rPr>
          <w:rStyle w:val="Refdenotaalpie"/>
          <w:rFonts w:ascii="Verdana" w:hAnsi="Verdana" w:cs="Arial"/>
          <w:sz w:val="14"/>
          <w:szCs w:val="14"/>
        </w:rPr>
        <w:footnoteRef/>
      </w:r>
      <w:r w:rsidRPr="00E90262">
        <w:rPr>
          <w:rFonts w:ascii="Verdana" w:hAnsi="Verdana" w:cs="Arial"/>
          <w:sz w:val="14"/>
          <w:szCs w:val="14"/>
        </w:rPr>
        <w:t xml:space="preserve"> Corte Constitucional. Sentencia T-638 de 2016. M.P. Jorge Iván Palacio Palacio.</w:t>
      </w:r>
    </w:p>
  </w:footnote>
  <w:footnote w:id="21">
    <w:p w14:paraId="28C1188B" w14:textId="77777777" w:rsidR="00746B08" w:rsidRPr="00E90262" w:rsidRDefault="00746B08" w:rsidP="00746B08">
      <w:pPr>
        <w:pStyle w:val="Textonotapie"/>
        <w:snapToGrid w:val="0"/>
        <w:ind w:firstLine="709"/>
        <w:jc w:val="both"/>
        <w:rPr>
          <w:rFonts w:ascii="Verdana" w:hAnsi="Verdana" w:cs="Arial"/>
          <w:sz w:val="14"/>
          <w:szCs w:val="14"/>
          <w:lang w:val="es-ES"/>
        </w:rPr>
      </w:pPr>
      <w:r w:rsidRPr="00E90262">
        <w:rPr>
          <w:rStyle w:val="Refdenotaalpie"/>
          <w:rFonts w:ascii="Verdana" w:hAnsi="Verdana" w:cs="Arial"/>
          <w:sz w:val="14"/>
          <w:szCs w:val="14"/>
        </w:rPr>
        <w:footnoteRef/>
      </w:r>
      <w:r w:rsidRPr="00E90262">
        <w:rPr>
          <w:rFonts w:ascii="Verdana" w:hAnsi="Verdana" w:cs="Arial"/>
          <w:sz w:val="14"/>
          <w:szCs w:val="14"/>
        </w:rPr>
        <w:t xml:space="preserve"> </w:t>
      </w:r>
      <w:r w:rsidRPr="00E90262">
        <w:rPr>
          <w:rFonts w:ascii="Verdana" w:hAnsi="Verdana" w:cs="Arial"/>
          <w:sz w:val="14"/>
          <w:szCs w:val="14"/>
          <w:lang w:val="es-ES"/>
        </w:rPr>
        <w:t>Corte Constitucional. Sentencia C-154 de 1997. M.P.: Hernando Herrera Vergara.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17"/>
  </w:num>
  <w:num w:numId="6" w16cid:durableId="130758360">
    <w:abstractNumId w:val="11"/>
  </w:num>
  <w:num w:numId="7" w16cid:durableId="262541512">
    <w:abstractNumId w:val="16"/>
  </w:num>
  <w:num w:numId="8" w16cid:durableId="1947226218">
    <w:abstractNumId w:val="7"/>
  </w:num>
  <w:num w:numId="9" w16cid:durableId="1180706126">
    <w:abstractNumId w:val="10"/>
  </w:num>
  <w:num w:numId="10" w16cid:durableId="2097506960">
    <w:abstractNumId w:val="14"/>
  </w:num>
  <w:num w:numId="11" w16cid:durableId="1977490869">
    <w:abstractNumId w:val="13"/>
  </w:num>
  <w:num w:numId="12" w16cid:durableId="158663248">
    <w:abstractNumId w:val="12"/>
  </w:num>
  <w:num w:numId="13" w16cid:durableId="2024085788">
    <w:abstractNumId w:val="1"/>
  </w:num>
  <w:num w:numId="14" w16cid:durableId="1885099950">
    <w:abstractNumId w:val="6"/>
  </w:num>
  <w:num w:numId="15" w16cid:durableId="32047459">
    <w:abstractNumId w:val="3"/>
  </w:num>
  <w:num w:numId="16" w16cid:durableId="1192261824">
    <w:abstractNumId w:val="4"/>
  </w:num>
  <w:num w:numId="17" w16cid:durableId="375933272">
    <w:abstractNumId w:val="9"/>
  </w:num>
  <w:num w:numId="18" w16cid:durableId="6109399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7FF8"/>
    <w:rsid w:val="000D0372"/>
    <w:rsid w:val="000D0ADE"/>
    <w:rsid w:val="000D1A8F"/>
    <w:rsid w:val="000D2914"/>
    <w:rsid w:val="000D2E60"/>
    <w:rsid w:val="000D2F50"/>
    <w:rsid w:val="000D3275"/>
    <w:rsid w:val="000D3A1B"/>
    <w:rsid w:val="000D3B86"/>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46E7C"/>
    <w:rsid w:val="00150492"/>
    <w:rsid w:val="001513CE"/>
    <w:rsid w:val="00151465"/>
    <w:rsid w:val="00151AD8"/>
    <w:rsid w:val="00151E77"/>
    <w:rsid w:val="00153287"/>
    <w:rsid w:val="001533E6"/>
    <w:rsid w:val="001538BE"/>
    <w:rsid w:val="00153C33"/>
    <w:rsid w:val="00155198"/>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646A"/>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FDD"/>
    <w:rsid w:val="001A2D8F"/>
    <w:rsid w:val="001A3D89"/>
    <w:rsid w:val="001A5458"/>
    <w:rsid w:val="001A545B"/>
    <w:rsid w:val="001A54DA"/>
    <w:rsid w:val="001A5E69"/>
    <w:rsid w:val="001A6861"/>
    <w:rsid w:val="001A6FEC"/>
    <w:rsid w:val="001A78AA"/>
    <w:rsid w:val="001B08B5"/>
    <w:rsid w:val="001B143B"/>
    <w:rsid w:val="001B1532"/>
    <w:rsid w:val="001B16C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54"/>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819"/>
    <w:rsid w:val="001F5034"/>
    <w:rsid w:val="001F61DE"/>
    <w:rsid w:val="001F63AA"/>
    <w:rsid w:val="001F7054"/>
    <w:rsid w:val="001F77E5"/>
    <w:rsid w:val="001F7DB7"/>
    <w:rsid w:val="002000AA"/>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944"/>
    <w:rsid w:val="00276964"/>
    <w:rsid w:val="002769AE"/>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532B"/>
    <w:rsid w:val="002C6AF5"/>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63CA"/>
    <w:rsid w:val="002F67B4"/>
    <w:rsid w:val="002F6F73"/>
    <w:rsid w:val="002F7AA9"/>
    <w:rsid w:val="003004E3"/>
    <w:rsid w:val="00301C0D"/>
    <w:rsid w:val="00301D7B"/>
    <w:rsid w:val="00301E19"/>
    <w:rsid w:val="003023DE"/>
    <w:rsid w:val="00303DC4"/>
    <w:rsid w:val="00304676"/>
    <w:rsid w:val="00306BE7"/>
    <w:rsid w:val="003110A2"/>
    <w:rsid w:val="00311B66"/>
    <w:rsid w:val="00311F29"/>
    <w:rsid w:val="00314036"/>
    <w:rsid w:val="00314347"/>
    <w:rsid w:val="00314C4F"/>
    <w:rsid w:val="00314FAF"/>
    <w:rsid w:val="003162A5"/>
    <w:rsid w:val="00316591"/>
    <w:rsid w:val="00320C6D"/>
    <w:rsid w:val="003213A8"/>
    <w:rsid w:val="00321FA8"/>
    <w:rsid w:val="00321FFD"/>
    <w:rsid w:val="003225AD"/>
    <w:rsid w:val="00322E18"/>
    <w:rsid w:val="00323C3D"/>
    <w:rsid w:val="00323D1D"/>
    <w:rsid w:val="00323F8A"/>
    <w:rsid w:val="00324D73"/>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6529"/>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4A52"/>
    <w:rsid w:val="003E78A9"/>
    <w:rsid w:val="003E7912"/>
    <w:rsid w:val="003F04E6"/>
    <w:rsid w:val="003F2CDD"/>
    <w:rsid w:val="003F45D7"/>
    <w:rsid w:val="003F5660"/>
    <w:rsid w:val="003F5717"/>
    <w:rsid w:val="003F5A39"/>
    <w:rsid w:val="003F5B56"/>
    <w:rsid w:val="003F5B9F"/>
    <w:rsid w:val="003F5C1A"/>
    <w:rsid w:val="003F6A6A"/>
    <w:rsid w:val="003F738D"/>
    <w:rsid w:val="003F7554"/>
    <w:rsid w:val="003F7FA1"/>
    <w:rsid w:val="003F7FA4"/>
    <w:rsid w:val="004006EA"/>
    <w:rsid w:val="004008DE"/>
    <w:rsid w:val="00400B4E"/>
    <w:rsid w:val="0040130D"/>
    <w:rsid w:val="00402E56"/>
    <w:rsid w:val="00403634"/>
    <w:rsid w:val="00404592"/>
    <w:rsid w:val="00404B58"/>
    <w:rsid w:val="0040544F"/>
    <w:rsid w:val="00405537"/>
    <w:rsid w:val="0040625C"/>
    <w:rsid w:val="004069D2"/>
    <w:rsid w:val="004076FF"/>
    <w:rsid w:val="00411B17"/>
    <w:rsid w:val="0041222D"/>
    <w:rsid w:val="004124F2"/>
    <w:rsid w:val="00412E6F"/>
    <w:rsid w:val="00413C5C"/>
    <w:rsid w:val="0041413F"/>
    <w:rsid w:val="0041567A"/>
    <w:rsid w:val="00415BAB"/>
    <w:rsid w:val="00415BCF"/>
    <w:rsid w:val="00416297"/>
    <w:rsid w:val="00417083"/>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12A4"/>
    <w:rsid w:val="0046153C"/>
    <w:rsid w:val="004624D2"/>
    <w:rsid w:val="004625C8"/>
    <w:rsid w:val="00462DCE"/>
    <w:rsid w:val="0046442A"/>
    <w:rsid w:val="00464BF1"/>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B06C3"/>
    <w:rsid w:val="004B0917"/>
    <w:rsid w:val="004B0B09"/>
    <w:rsid w:val="004B140F"/>
    <w:rsid w:val="004B14EB"/>
    <w:rsid w:val="004B21CF"/>
    <w:rsid w:val="004B2DE3"/>
    <w:rsid w:val="004B3FEA"/>
    <w:rsid w:val="004B53F1"/>
    <w:rsid w:val="004B5D6E"/>
    <w:rsid w:val="004B60BA"/>
    <w:rsid w:val="004B6946"/>
    <w:rsid w:val="004B6D89"/>
    <w:rsid w:val="004B6E81"/>
    <w:rsid w:val="004C0FFE"/>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37D9"/>
    <w:rsid w:val="004D41A2"/>
    <w:rsid w:val="004D502C"/>
    <w:rsid w:val="004D60A3"/>
    <w:rsid w:val="004D71CA"/>
    <w:rsid w:val="004E016A"/>
    <w:rsid w:val="004E0461"/>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9B2"/>
    <w:rsid w:val="0050741A"/>
    <w:rsid w:val="00510452"/>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5B59"/>
    <w:rsid w:val="005269C4"/>
    <w:rsid w:val="00526A20"/>
    <w:rsid w:val="00531966"/>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47E6D"/>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107D"/>
    <w:rsid w:val="005D123A"/>
    <w:rsid w:val="005D2506"/>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32C9"/>
    <w:rsid w:val="005E351B"/>
    <w:rsid w:val="005E38A8"/>
    <w:rsid w:val="005E39F9"/>
    <w:rsid w:val="005E4828"/>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9"/>
    <w:rsid w:val="006208AA"/>
    <w:rsid w:val="0062128D"/>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94E"/>
    <w:rsid w:val="00653B38"/>
    <w:rsid w:val="00656385"/>
    <w:rsid w:val="00656F19"/>
    <w:rsid w:val="00657BB7"/>
    <w:rsid w:val="00660552"/>
    <w:rsid w:val="00660DBE"/>
    <w:rsid w:val="00661113"/>
    <w:rsid w:val="0066127D"/>
    <w:rsid w:val="00661AB0"/>
    <w:rsid w:val="006623A4"/>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23FF"/>
    <w:rsid w:val="006D2F09"/>
    <w:rsid w:val="006D2FD2"/>
    <w:rsid w:val="006D33E6"/>
    <w:rsid w:val="006D3DC0"/>
    <w:rsid w:val="006D40C4"/>
    <w:rsid w:val="006D4162"/>
    <w:rsid w:val="006D453E"/>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5B37"/>
    <w:rsid w:val="0070658A"/>
    <w:rsid w:val="00706B65"/>
    <w:rsid w:val="007071AF"/>
    <w:rsid w:val="00707C1A"/>
    <w:rsid w:val="00710023"/>
    <w:rsid w:val="00710207"/>
    <w:rsid w:val="0071023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80A"/>
    <w:rsid w:val="007A257D"/>
    <w:rsid w:val="007A2CB0"/>
    <w:rsid w:val="007A343D"/>
    <w:rsid w:val="007A38CE"/>
    <w:rsid w:val="007A3F1C"/>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16E"/>
    <w:rsid w:val="007D1B24"/>
    <w:rsid w:val="007D267F"/>
    <w:rsid w:val="007D3341"/>
    <w:rsid w:val="007D3A3E"/>
    <w:rsid w:val="007D400A"/>
    <w:rsid w:val="007D4B0E"/>
    <w:rsid w:val="007D4DD2"/>
    <w:rsid w:val="007D5D0F"/>
    <w:rsid w:val="007D6EA8"/>
    <w:rsid w:val="007D7B3C"/>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69C"/>
    <w:rsid w:val="00827B6C"/>
    <w:rsid w:val="00827D77"/>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ADD"/>
    <w:rsid w:val="008616A2"/>
    <w:rsid w:val="00861C6C"/>
    <w:rsid w:val="00863862"/>
    <w:rsid w:val="00863AAD"/>
    <w:rsid w:val="00864644"/>
    <w:rsid w:val="00866296"/>
    <w:rsid w:val="008665C7"/>
    <w:rsid w:val="008707A3"/>
    <w:rsid w:val="00870A36"/>
    <w:rsid w:val="008711AE"/>
    <w:rsid w:val="00871A36"/>
    <w:rsid w:val="00872F21"/>
    <w:rsid w:val="00873736"/>
    <w:rsid w:val="0087378E"/>
    <w:rsid w:val="008737DF"/>
    <w:rsid w:val="008755E7"/>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2FC"/>
    <w:rsid w:val="008F5DEF"/>
    <w:rsid w:val="008F61F2"/>
    <w:rsid w:val="008F7C0A"/>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54A"/>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23FE"/>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ABF"/>
    <w:rsid w:val="009D3AD2"/>
    <w:rsid w:val="009D3E06"/>
    <w:rsid w:val="009D5843"/>
    <w:rsid w:val="009D638D"/>
    <w:rsid w:val="009D6393"/>
    <w:rsid w:val="009E0885"/>
    <w:rsid w:val="009E1CC8"/>
    <w:rsid w:val="009E2827"/>
    <w:rsid w:val="009E30D2"/>
    <w:rsid w:val="009E4885"/>
    <w:rsid w:val="009E508B"/>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254B"/>
    <w:rsid w:val="00A52BC1"/>
    <w:rsid w:val="00A5347F"/>
    <w:rsid w:val="00A534A0"/>
    <w:rsid w:val="00A537EA"/>
    <w:rsid w:val="00A539AD"/>
    <w:rsid w:val="00A53E3E"/>
    <w:rsid w:val="00A540B2"/>
    <w:rsid w:val="00A5414D"/>
    <w:rsid w:val="00A54A3E"/>
    <w:rsid w:val="00A556B7"/>
    <w:rsid w:val="00A564A6"/>
    <w:rsid w:val="00A56819"/>
    <w:rsid w:val="00A568AC"/>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6359"/>
    <w:rsid w:val="00A86FBC"/>
    <w:rsid w:val="00A879C5"/>
    <w:rsid w:val="00A902AD"/>
    <w:rsid w:val="00A90302"/>
    <w:rsid w:val="00A9099E"/>
    <w:rsid w:val="00A91FB7"/>
    <w:rsid w:val="00A9298F"/>
    <w:rsid w:val="00A9301E"/>
    <w:rsid w:val="00A93041"/>
    <w:rsid w:val="00A93E3A"/>
    <w:rsid w:val="00A95186"/>
    <w:rsid w:val="00A951AD"/>
    <w:rsid w:val="00A961BD"/>
    <w:rsid w:val="00A973B1"/>
    <w:rsid w:val="00AA027E"/>
    <w:rsid w:val="00AA1224"/>
    <w:rsid w:val="00AA14F2"/>
    <w:rsid w:val="00AA180B"/>
    <w:rsid w:val="00AA1D43"/>
    <w:rsid w:val="00AA2358"/>
    <w:rsid w:val="00AA2469"/>
    <w:rsid w:val="00AA2CD7"/>
    <w:rsid w:val="00AA2FA4"/>
    <w:rsid w:val="00AA3301"/>
    <w:rsid w:val="00AA3360"/>
    <w:rsid w:val="00AA386B"/>
    <w:rsid w:val="00AA6384"/>
    <w:rsid w:val="00AA6B93"/>
    <w:rsid w:val="00AA7A06"/>
    <w:rsid w:val="00AA7A7F"/>
    <w:rsid w:val="00AB1984"/>
    <w:rsid w:val="00AB1CBB"/>
    <w:rsid w:val="00AB215B"/>
    <w:rsid w:val="00AB266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D36"/>
    <w:rsid w:val="00AE0A0E"/>
    <w:rsid w:val="00AE0DED"/>
    <w:rsid w:val="00AE1D05"/>
    <w:rsid w:val="00AE2780"/>
    <w:rsid w:val="00AE284A"/>
    <w:rsid w:val="00AE307E"/>
    <w:rsid w:val="00AE3450"/>
    <w:rsid w:val="00AE392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D9B"/>
    <w:rsid w:val="00B66E51"/>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B2D"/>
    <w:rsid w:val="00B83117"/>
    <w:rsid w:val="00B8319C"/>
    <w:rsid w:val="00B83E00"/>
    <w:rsid w:val="00B90351"/>
    <w:rsid w:val="00B906F2"/>
    <w:rsid w:val="00B90D9B"/>
    <w:rsid w:val="00B91259"/>
    <w:rsid w:val="00B91B81"/>
    <w:rsid w:val="00B91FF0"/>
    <w:rsid w:val="00B926A8"/>
    <w:rsid w:val="00B92FFF"/>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72D9"/>
    <w:rsid w:val="00BB0AB5"/>
    <w:rsid w:val="00BB195B"/>
    <w:rsid w:val="00BB1BBA"/>
    <w:rsid w:val="00BB204A"/>
    <w:rsid w:val="00BB31DF"/>
    <w:rsid w:val="00BB33E9"/>
    <w:rsid w:val="00BB34B7"/>
    <w:rsid w:val="00BB3BE4"/>
    <w:rsid w:val="00BB44DB"/>
    <w:rsid w:val="00BB57D3"/>
    <w:rsid w:val="00BB58EE"/>
    <w:rsid w:val="00BB64EC"/>
    <w:rsid w:val="00BB7589"/>
    <w:rsid w:val="00BB7668"/>
    <w:rsid w:val="00BB7E42"/>
    <w:rsid w:val="00BC077E"/>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3607"/>
    <w:rsid w:val="00C137B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76EC"/>
    <w:rsid w:val="00C27C0A"/>
    <w:rsid w:val="00C31AD4"/>
    <w:rsid w:val="00C31C63"/>
    <w:rsid w:val="00C31CD9"/>
    <w:rsid w:val="00C32481"/>
    <w:rsid w:val="00C3394C"/>
    <w:rsid w:val="00C34581"/>
    <w:rsid w:val="00C34AD7"/>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6306"/>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910F8"/>
    <w:rsid w:val="00C91106"/>
    <w:rsid w:val="00C9117B"/>
    <w:rsid w:val="00C91D19"/>
    <w:rsid w:val="00C93B58"/>
    <w:rsid w:val="00C93C2F"/>
    <w:rsid w:val="00C9437C"/>
    <w:rsid w:val="00C946E4"/>
    <w:rsid w:val="00C946FF"/>
    <w:rsid w:val="00C94A14"/>
    <w:rsid w:val="00C94CDA"/>
    <w:rsid w:val="00C95BED"/>
    <w:rsid w:val="00C96725"/>
    <w:rsid w:val="00C970D5"/>
    <w:rsid w:val="00C97A66"/>
    <w:rsid w:val="00CA007B"/>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2518"/>
    <w:rsid w:val="00CB3920"/>
    <w:rsid w:val="00CB4C4C"/>
    <w:rsid w:val="00CB6413"/>
    <w:rsid w:val="00CB696F"/>
    <w:rsid w:val="00CB6A00"/>
    <w:rsid w:val="00CB7097"/>
    <w:rsid w:val="00CB77F4"/>
    <w:rsid w:val="00CC0F1C"/>
    <w:rsid w:val="00CC259D"/>
    <w:rsid w:val="00CC299A"/>
    <w:rsid w:val="00CC3039"/>
    <w:rsid w:val="00CC32B7"/>
    <w:rsid w:val="00CC36DE"/>
    <w:rsid w:val="00CC4F99"/>
    <w:rsid w:val="00CC5CDC"/>
    <w:rsid w:val="00CC5FC3"/>
    <w:rsid w:val="00CC6369"/>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1CB"/>
    <w:rsid w:val="00CF666F"/>
    <w:rsid w:val="00CF686F"/>
    <w:rsid w:val="00CF6CA7"/>
    <w:rsid w:val="00CF6E7D"/>
    <w:rsid w:val="00D00175"/>
    <w:rsid w:val="00D00223"/>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1435"/>
    <w:rsid w:val="00D2242C"/>
    <w:rsid w:val="00D224FA"/>
    <w:rsid w:val="00D23033"/>
    <w:rsid w:val="00D2402F"/>
    <w:rsid w:val="00D245C2"/>
    <w:rsid w:val="00D25660"/>
    <w:rsid w:val="00D258EB"/>
    <w:rsid w:val="00D25AEB"/>
    <w:rsid w:val="00D271CD"/>
    <w:rsid w:val="00D3064E"/>
    <w:rsid w:val="00D315CC"/>
    <w:rsid w:val="00D32067"/>
    <w:rsid w:val="00D327A3"/>
    <w:rsid w:val="00D34C82"/>
    <w:rsid w:val="00D36550"/>
    <w:rsid w:val="00D379EC"/>
    <w:rsid w:val="00D37C94"/>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2AB4"/>
    <w:rsid w:val="00D52F26"/>
    <w:rsid w:val="00D531F5"/>
    <w:rsid w:val="00D538C1"/>
    <w:rsid w:val="00D538D5"/>
    <w:rsid w:val="00D53B5C"/>
    <w:rsid w:val="00D54640"/>
    <w:rsid w:val="00D55455"/>
    <w:rsid w:val="00D559B5"/>
    <w:rsid w:val="00D56420"/>
    <w:rsid w:val="00D5658A"/>
    <w:rsid w:val="00D56A94"/>
    <w:rsid w:val="00D56C0C"/>
    <w:rsid w:val="00D570B4"/>
    <w:rsid w:val="00D5798B"/>
    <w:rsid w:val="00D60736"/>
    <w:rsid w:val="00D6170E"/>
    <w:rsid w:val="00D61972"/>
    <w:rsid w:val="00D61B58"/>
    <w:rsid w:val="00D6307D"/>
    <w:rsid w:val="00D63632"/>
    <w:rsid w:val="00D63732"/>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4A86"/>
    <w:rsid w:val="00D85152"/>
    <w:rsid w:val="00D85F2C"/>
    <w:rsid w:val="00D861BD"/>
    <w:rsid w:val="00D86D55"/>
    <w:rsid w:val="00D8789C"/>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D6D"/>
    <w:rsid w:val="00DA73C1"/>
    <w:rsid w:val="00DA7457"/>
    <w:rsid w:val="00DA770D"/>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6655"/>
    <w:rsid w:val="00DF6EB6"/>
    <w:rsid w:val="00DF7133"/>
    <w:rsid w:val="00DF722A"/>
    <w:rsid w:val="00DF764C"/>
    <w:rsid w:val="00DF7FBF"/>
    <w:rsid w:val="00E00BB4"/>
    <w:rsid w:val="00E00CAA"/>
    <w:rsid w:val="00E01441"/>
    <w:rsid w:val="00E01682"/>
    <w:rsid w:val="00E01D4A"/>
    <w:rsid w:val="00E02F4B"/>
    <w:rsid w:val="00E03D04"/>
    <w:rsid w:val="00E04332"/>
    <w:rsid w:val="00E043BB"/>
    <w:rsid w:val="00E04ECF"/>
    <w:rsid w:val="00E0502A"/>
    <w:rsid w:val="00E05902"/>
    <w:rsid w:val="00E067C4"/>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2143"/>
    <w:rsid w:val="00E326E9"/>
    <w:rsid w:val="00E33106"/>
    <w:rsid w:val="00E345C2"/>
    <w:rsid w:val="00E34D99"/>
    <w:rsid w:val="00E352C3"/>
    <w:rsid w:val="00E35476"/>
    <w:rsid w:val="00E355C0"/>
    <w:rsid w:val="00E359A5"/>
    <w:rsid w:val="00E35C28"/>
    <w:rsid w:val="00E372F7"/>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4AC7"/>
    <w:rsid w:val="00E45B2D"/>
    <w:rsid w:val="00E468F2"/>
    <w:rsid w:val="00E47A20"/>
    <w:rsid w:val="00E5084C"/>
    <w:rsid w:val="00E50871"/>
    <w:rsid w:val="00E50AD9"/>
    <w:rsid w:val="00E50B4C"/>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2A3F"/>
    <w:rsid w:val="00EC2E64"/>
    <w:rsid w:val="00EC3A35"/>
    <w:rsid w:val="00EC3C52"/>
    <w:rsid w:val="00EC3E69"/>
    <w:rsid w:val="00EC41A7"/>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9B7"/>
    <w:rsid w:val="00EF6C2B"/>
    <w:rsid w:val="00F00059"/>
    <w:rsid w:val="00F008BD"/>
    <w:rsid w:val="00F021A9"/>
    <w:rsid w:val="00F02C54"/>
    <w:rsid w:val="00F02D03"/>
    <w:rsid w:val="00F035DB"/>
    <w:rsid w:val="00F0448C"/>
    <w:rsid w:val="00F0553C"/>
    <w:rsid w:val="00F05986"/>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F06"/>
    <w:rsid w:val="00F314E8"/>
    <w:rsid w:val="00F316A2"/>
    <w:rsid w:val="00F323A2"/>
    <w:rsid w:val="00F332D4"/>
    <w:rsid w:val="00F33B57"/>
    <w:rsid w:val="00F33CA8"/>
    <w:rsid w:val="00F33D5C"/>
    <w:rsid w:val="00F356D6"/>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C62"/>
    <w:rsid w:val="00FA0F71"/>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529"/>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elipe.ortiz23@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6041</Words>
  <Characters>33229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39192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8</cp:revision>
  <dcterms:created xsi:type="dcterms:W3CDTF">2025-04-09T01:44:00Z</dcterms:created>
  <dcterms:modified xsi:type="dcterms:W3CDTF">2025-04-09T01:51:00Z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