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CAC71" w14:textId="5282EFA7" w:rsidR="002415B8" w:rsidRPr="00742BED" w:rsidRDefault="00B55C69" w:rsidP="008536BB">
      <w:pPr>
        <w:jc w:val="right"/>
        <w:rPr>
          <w:rFonts w:ascii="Arial" w:eastAsia="Calibri" w:hAnsi="Arial" w:cs="Arial"/>
          <w:b/>
          <w:color w:val="000000" w:themeColor="text1"/>
          <w:sz w:val="20"/>
          <w:szCs w:val="20"/>
          <w:lang w:val="es-ES_tradnl"/>
        </w:rPr>
      </w:pPr>
      <w:bookmarkStart w:id="0" w:name="_Hlk28946138"/>
      <w:bookmarkStart w:id="1" w:name="_Hlk29548183"/>
      <w:r w:rsidRPr="00742BED">
        <w:rPr>
          <w:rFonts w:ascii="Arial" w:hAnsi="Arial" w:cs="Arial"/>
          <w:bCs/>
          <w:color w:val="000000" w:themeColor="text1"/>
          <w:sz w:val="16"/>
          <w:szCs w:val="16"/>
          <w:lang w:val="es-ES_tradnl" w:eastAsia="es-ES"/>
        </w:rPr>
        <w:t>CCE-DES-FM-17</w:t>
      </w:r>
      <w:bookmarkEnd w:id="0"/>
      <w:bookmarkEnd w:id="1"/>
    </w:p>
    <w:p w14:paraId="55FBD910" w14:textId="77777777" w:rsidR="008536BB" w:rsidRPr="00742BED" w:rsidRDefault="008536BB" w:rsidP="00B95C30">
      <w:pPr>
        <w:spacing w:line="276" w:lineRule="auto"/>
        <w:jc w:val="both"/>
        <w:rPr>
          <w:rFonts w:ascii="Arial" w:hAnsi="Arial" w:cs="Arial"/>
          <w:noProof/>
          <w:color w:val="000000" w:themeColor="text1"/>
          <w:sz w:val="22"/>
          <w:lang w:val="es-ES_tradnl"/>
        </w:rPr>
      </w:pPr>
    </w:p>
    <w:p w14:paraId="6ADC901E" w14:textId="7DE227E0" w:rsidR="009D163B" w:rsidRPr="00742BED" w:rsidRDefault="00D65B2B" w:rsidP="00C978D4">
      <w:pPr>
        <w:jc w:val="both"/>
        <w:rPr>
          <w:rFonts w:ascii="Arial" w:eastAsia="Calibri" w:hAnsi="Arial" w:cs="Arial"/>
          <w:b/>
          <w:sz w:val="22"/>
          <w:lang w:val="es-ES_tradnl"/>
        </w:rPr>
      </w:pPr>
      <w:r w:rsidRPr="00742BED">
        <w:rPr>
          <w:rFonts w:ascii="Arial" w:eastAsia="Calibri" w:hAnsi="Arial" w:cs="Arial"/>
          <w:b/>
          <w:sz w:val="22"/>
          <w:lang w:val="es-ES_tradnl"/>
        </w:rPr>
        <w:t>CONCURSO DE MÉRITOS</w:t>
      </w:r>
      <w:r w:rsidR="009D163B" w:rsidRPr="00742BED">
        <w:rPr>
          <w:rFonts w:ascii="Arial" w:eastAsia="Calibri" w:hAnsi="Arial" w:cs="Arial"/>
          <w:b/>
          <w:sz w:val="22"/>
          <w:lang w:val="es-ES_tradnl"/>
        </w:rPr>
        <w:t xml:space="preserve"> – Concepto – Modalidades</w:t>
      </w:r>
    </w:p>
    <w:p w14:paraId="36CE69AD" w14:textId="3E3BBBB8" w:rsidR="009D163B" w:rsidRPr="00742BED" w:rsidRDefault="009D163B" w:rsidP="00C978D4">
      <w:pPr>
        <w:jc w:val="both"/>
        <w:rPr>
          <w:rFonts w:ascii="Arial" w:eastAsia="Calibri" w:hAnsi="Arial" w:cs="Arial"/>
          <w:b/>
          <w:sz w:val="22"/>
          <w:lang w:val="es-ES_tradnl"/>
        </w:rPr>
      </w:pPr>
    </w:p>
    <w:p w14:paraId="72DEC53C" w14:textId="77777777" w:rsidR="009D163B" w:rsidRPr="00742BED" w:rsidRDefault="009D163B" w:rsidP="009D163B">
      <w:pPr>
        <w:jc w:val="both"/>
        <w:rPr>
          <w:rFonts w:ascii="Arial" w:hAnsi="Arial" w:cs="Arial"/>
          <w:color w:val="000000" w:themeColor="text1"/>
          <w:sz w:val="20"/>
          <w:szCs w:val="20"/>
          <w:lang w:val="es-ES_tradnl"/>
        </w:rPr>
      </w:pPr>
      <w:r w:rsidRPr="00742BED">
        <w:rPr>
          <w:rFonts w:ascii="Arial" w:hAnsi="Arial" w:cs="Arial"/>
          <w:color w:val="000000" w:themeColor="text1"/>
          <w:sz w:val="20"/>
          <w:szCs w:val="20"/>
          <w:lang w:val="es-ES_tradnl"/>
        </w:rPr>
        <w:t xml:space="preserve">El </w:t>
      </w:r>
      <w:r w:rsidRPr="00742BED">
        <w:rPr>
          <w:rFonts w:ascii="Arial" w:hAnsi="Arial" w:cs="Arial"/>
          <w:i/>
          <w:iCs/>
          <w:color w:val="000000" w:themeColor="text1"/>
          <w:sz w:val="20"/>
          <w:szCs w:val="20"/>
          <w:lang w:val="es-ES_tradnl"/>
        </w:rPr>
        <w:t xml:space="preserve">concurso de méritos </w:t>
      </w:r>
      <w:r w:rsidRPr="00742BED">
        <w:rPr>
          <w:rFonts w:ascii="Arial" w:hAnsi="Arial" w:cs="Arial"/>
          <w:color w:val="000000" w:themeColor="text1"/>
          <w:sz w:val="20"/>
          <w:szCs w:val="20"/>
          <w:lang w:val="es-ES_tradnl"/>
        </w:rPr>
        <w:t xml:space="preserve">es un procedimiento de selección que deben realizar las entidades estatales para escoger «consultores y proyectos», es decir, para celebrar contratos de consultoría, entendidos estos últimos como aquellos «[…] que celebren las entidades estatales referidos a los estudios necesarios para la ejecución de proyectos de inversión, estudios de diagnóstico, </w:t>
      </w:r>
      <w:proofErr w:type="spellStart"/>
      <w:r w:rsidRPr="00742BED">
        <w:rPr>
          <w:rFonts w:ascii="Arial" w:hAnsi="Arial" w:cs="Arial"/>
          <w:color w:val="000000" w:themeColor="text1"/>
          <w:sz w:val="20"/>
          <w:szCs w:val="20"/>
          <w:lang w:val="es-ES_tradnl"/>
        </w:rPr>
        <w:t>prefactibilidad</w:t>
      </w:r>
      <w:proofErr w:type="spellEnd"/>
      <w:r w:rsidRPr="00742BED">
        <w:rPr>
          <w:rFonts w:ascii="Arial" w:hAnsi="Arial" w:cs="Arial"/>
          <w:color w:val="000000" w:themeColor="text1"/>
          <w:sz w:val="20"/>
          <w:szCs w:val="20"/>
          <w:lang w:val="es-ES_tradnl"/>
        </w:rPr>
        <w:t xml:space="preserve"> o factibilidad para programas o proyectos específicos, así como a las asesorías técnicas de coordinación, control y supervisión», según lo dispuesto en el artículo 32, numeral 2, de la Ley 80 de 1993.</w:t>
      </w:r>
    </w:p>
    <w:p w14:paraId="245BC8AB" w14:textId="77777777" w:rsidR="009D163B" w:rsidRPr="00742BED" w:rsidRDefault="009D163B" w:rsidP="009D163B">
      <w:pPr>
        <w:jc w:val="both"/>
        <w:rPr>
          <w:rFonts w:ascii="Arial" w:hAnsi="Arial" w:cs="Arial"/>
          <w:color w:val="000000" w:themeColor="text1"/>
          <w:sz w:val="20"/>
          <w:szCs w:val="20"/>
          <w:lang w:val="es-ES_tradnl"/>
        </w:rPr>
      </w:pPr>
    </w:p>
    <w:p w14:paraId="67419391" w14:textId="0C6F494D" w:rsidR="009D163B" w:rsidRPr="00742BED" w:rsidRDefault="009D163B" w:rsidP="009D163B">
      <w:pPr>
        <w:jc w:val="both"/>
        <w:rPr>
          <w:rFonts w:ascii="Arial" w:hAnsi="Arial" w:cs="Arial"/>
          <w:color w:val="000000" w:themeColor="text1"/>
          <w:sz w:val="20"/>
          <w:szCs w:val="20"/>
          <w:lang w:val="es-ES_tradnl"/>
        </w:rPr>
      </w:pPr>
      <w:r w:rsidRPr="00742BED">
        <w:rPr>
          <w:rFonts w:ascii="Arial" w:hAnsi="Arial" w:cs="Arial"/>
          <w:color w:val="000000" w:themeColor="text1"/>
          <w:sz w:val="20"/>
          <w:szCs w:val="20"/>
          <w:lang w:val="es-ES_tradnl"/>
        </w:rPr>
        <w:t xml:space="preserve">El Libro 2, Parte 2, Título 1, Capítulo 2, Sección 1, Subsección 3 del Decreto 1082 de 2015, regula las distintas modalidades del concurso de méritos: i) concurso de méritos abierto o sin precalificación, ii) concurso de méritos cerrado o con precalificación y iii) concurso de méritos «para la selección de consultores de diseño, planos, anteproyectos y proyectos arquitectónicos». El primero está regulado en los artículos 2.2.1.2.1.3.1. y 2.2.1.2.1.3.2. </w:t>
      </w:r>
      <w:r w:rsidRPr="00742BED">
        <w:rPr>
          <w:rFonts w:ascii="Arial" w:hAnsi="Arial" w:cs="Arial"/>
          <w:i/>
          <w:iCs/>
          <w:color w:val="000000" w:themeColor="text1"/>
          <w:sz w:val="20"/>
          <w:szCs w:val="20"/>
          <w:lang w:val="es-ES_tradnl"/>
        </w:rPr>
        <w:t>ibídem</w:t>
      </w:r>
      <w:r w:rsidRPr="00742BED">
        <w:rPr>
          <w:rFonts w:ascii="Arial" w:hAnsi="Arial" w:cs="Arial"/>
          <w:color w:val="000000" w:themeColor="text1"/>
          <w:sz w:val="20"/>
          <w:szCs w:val="20"/>
          <w:lang w:val="es-ES_tradnl"/>
        </w:rPr>
        <w:t xml:space="preserve">. El segundo, además de los dos artículos anteriores, lo regulan los artículos 2.2.1.2.1.3.3. a 2.2.1.2.1.3.7. </w:t>
      </w:r>
      <w:proofErr w:type="spellStart"/>
      <w:r w:rsidRPr="00742BED">
        <w:rPr>
          <w:rFonts w:ascii="Arial" w:hAnsi="Arial" w:cs="Arial"/>
          <w:i/>
          <w:iCs/>
          <w:color w:val="000000" w:themeColor="text1"/>
          <w:sz w:val="20"/>
          <w:szCs w:val="20"/>
          <w:lang w:val="es-ES_tradnl"/>
        </w:rPr>
        <w:t>ejusdem</w:t>
      </w:r>
      <w:proofErr w:type="spellEnd"/>
      <w:r w:rsidRPr="00742BED">
        <w:rPr>
          <w:rFonts w:ascii="Arial" w:hAnsi="Arial" w:cs="Arial"/>
          <w:color w:val="000000" w:themeColor="text1"/>
          <w:sz w:val="20"/>
          <w:szCs w:val="20"/>
          <w:lang w:val="es-ES_tradnl"/>
        </w:rPr>
        <w:t>. El tercero lo regulan los artículos 2.2.1.2.1.3.8. a 2.2.1.2.1.3.25. del mencionado Decreto.</w:t>
      </w:r>
    </w:p>
    <w:p w14:paraId="149D5551" w14:textId="34107518" w:rsidR="009D163B" w:rsidRPr="00742BED" w:rsidRDefault="009D163B" w:rsidP="00C978D4">
      <w:pPr>
        <w:jc w:val="both"/>
        <w:rPr>
          <w:rFonts w:ascii="Arial" w:eastAsia="Calibri" w:hAnsi="Arial" w:cs="Arial"/>
          <w:b/>
          <w:sz w:val="22"/>
          <w:lang w:val="es-ES_tradnl"/>
        </w:rPr>
      </w:pPr>
    </w:p>
    <w:p w14:paraId="30802736" w14:textId="71A88E72" w:rsidR="009D163B" w:rsidRPr="00742BED" w:rsidRDefault="009D163B" w:rsidP="009D163B">
      <w:pPr>
        <w:jc w:val="both"/>
        <w:rPr>
          <w:rFonts w:ascii="Arial" w:eastAsia="Calibri" w:hAnsi="Arial" w:cs="Arial"/>
          <w:b/>
          <w:sz w:val="22"/>
          <w:lang w:val="es-ES_tradnl"/>
        </w:rPr>
      </w:pPr>
      <w:r w:rsidRPr="00742BED">
        <w:rPr>
          <w:rFonts w:ascii="Arial" w:eastAsia="Calibri" w:hAnsi="Arial" w:cs="Arial"/>
          <w:b/>
          <w:sz w:val="22"/>
          <w:lang w:val="es-ES_tradnl"/>
        </w:rPr>
        <w:t xml:space="preserve">CONCURSO DE MÉRITOS – </w:t>
      </w:r>
      <w:r w:rsidR="00D205C7" w:rsidRPr="00742BED">
        <w:rPr>
          <w:rFonts w:ascii="Arial" w:eastAsia="Calibri" w:hAnsi="Arial" w:cs="Arial"/>
          <w:b/>
          <w:sz w:val="22"/>
          <w:lang w:val="es-ES_tradnl"/>
        </w:rPr>
        <w:t>Decreto 1082 de 2015</w:t>
      </w:r>
      <w:r w:rsidRPr="00742BED">
        <w:rPr>
          <w:rFonts w:ascii="Arial" w:eastAsia="Calibri" w:hAnsi="Arial" w:cs="Arial"/>
          <w:b/>
          <w:sz w:val="22"/>
          <w:lang w:val="es-ES_tradnl"/>
        </w:rPr>
        <w:t xml:space="preserve"> – </w:t>
      </w:r>
      <w:r w:rsidR="00D205C7" w:rsidRPr="00742BED">
        <w:rPr>
          <w:rFonts w:ascii="Arial" w:hAnsi="Arial" w:cs="Arial"/>
          <w:b/>
          <w:color w:val="000000" w:themeColor="text1"/>
          <w:sz w:val="20"/>
          <w:szCs w:val="20"/>
          <w:lang w:val="es-ES_tradnl"/>
        </w:rPr>
        <w:t xml:space="preserve">artículo 2.2.1.2.1.3.2 – </w:t>
      </w:r>
      <w:r w:rsidR="00D205C7" w:rsidRPr="00742BED">
        <w:rPr>
          <w:rFonts w:ascii="Arial" w:eastAsia="Calibri" w:hAnsi="Arial" w:cs="Arial"/>
          <w:b/>
          <w:sz w:val="22"/>
          <w:lang w:val="es-ES_tradnl"/>
        </w:rPr>
        <w:t>Suspensión provisional</w:t>
      </w:r>
    </w:p>
    <w:p w14:paraId="7668E0AC" w14:textId="507A7AF1" w:rsidR="009D163B" w:rsidRPr="00742BED" w:rsidRDefault="009D163B" w:rsidP="00C978D4">
      <w:pPr>
        <w:jc w:val="both"/>
        <w:rPr>
          <w:rFonts w:ascii="Arial" w:eastAsia="Calibri" w:hAnsi="Arial" w:cs="Arial"/>
          <w:b/>
          <w:sz w:val="22"/>
          <w:lang w:val="es-ES_tradnl"/>
        </w:rPr>
      </w:pPr>
    </w:p>
    <w:p w14:paraId="65D37014" w14:textId="30BDD792" w:rsidR="00D205C7" w:rsidRPr="00742BED" w:rsidRDefault="00D205C7" w:rsidP="00D205C7">
      <w:pPr>
        <w:jc w:val="both"/>
        <w:rPr>
          <w:rFonts w:ascii="Arial" w:hAnsi="Arial" w:cs="Arial"/>
          <w:color w:val="000000" w:themeColor="text1"/>
          <w:sz w:val="20"/>
          <w:szCs w:val="20"/>
          <w:lang w:val="es-ES_tradnl"/>
        </w:rPr>
      </w:pPr>
      <w:r w:rsidRPr="00742BED">
        <w:rPr>
          <w:rFonts w:ascii="Arial" w:hAnsi="Arial" w:cs="Arial"/>
          <w:color w:val="000000" w:themeColor="text1"/>
          <w:sz w:val="20"/>
          <w:szCs w:val="20"/>
          <w:lang w:val="es-ES_tradnl"/>
        </w:rPr>
        <w:t>El Consejo de Estado consideró que los numerales 3, 4 y 5 violarían el artículo 5, numeral 4, último inciso, de la Ley 1150 de 2007, pues señaló que: «en ningún caso se podrá incluir el precio, como factor de escogencia para la selección de consultores», así como el artículo 25, numeral 2, de la Ley 80 de 1993 que dispone lo siguiente: «[…] las normas de los procedimientos contractuales se interpretarán de tal manera que no den ocasión a seguir trámites distintos y adicionales a los expresamente previstos […]». En este sentido, el alto tribunal explicó que la verificación de la coherencia del precio con la disponibilidad presupuestal y la necesidad de que se logre un acuerdo en relación con el mismo desconocía el principio de selección objetiva, convirtiendo el precio en un factor de selección. En lo que respecta al artículo 6, este violaría especialmente el artículo 25.18 del Estatuto General y el artículo 5 de la Ley 1150 de 2007, pues la declaratoria de desierta solo procede cuando no es posible la selección objetiva del contratista.</w:t>
      </w:r>
    </w:p>
    <w:p w14:paraId="7E03CAC9" w14:textId="77777777" w:rsidR="00D205C7" w:rsidRPr="00742BED" w:rsidRDefault="00D205C7" w:rsidP="00D205C7">
      <w:pPr>
        <w:jc w:val="both"/>
        <w:rPr>
          <w:rFonts w:ascii="Arial" w:hAnsi="Arial" w:cs="Arial"/>
          <w:color w:val="000000" w:themeColor="text1"/>
          <w:sz w:val="20"/>
          <w:szCs w:val="20"/>
          <w:lang w:val="es-ES_tradnl"/>
        </w:rPr>
      </w:pPr>
    </w:p>
    <w:p w14:paraId="7B7FAEDD" w14:textId="2DFE0811" w:rsidR="00D205C7" w:rsidRPr="00742BED" w:rsidRDefault="00D205C7" w:rsidP="00D205C7">
      <w:pPr>
        <w:jc w:val="both"/>
        <w:rPr>
          <w:rFonts w:ascii="Arial" w:eastAsia="Calibri" w:hAnsi="Arial" w:cs="Arial"/>
          <w:color w:val="000000" w:themeColor="text1"/>
          <w:sz w:val="20"/>
          <w:szCs w:val="20"/>
          <w:lang w:val="es-ES_tradnl"/>
        </w:rPr>
      </w:pPr>
      <w:r w:rsidRPr="00742BED">
        <w:rPr>
          <w:rFonts w:ascii="Arial" w:hAnsi="Arial" w:cs="Arial"/>
          <w:color w:val="000000" w:themeColor="text1"/>
          <w:sz w:val="20"/>
          <w:szCs w:val="20"/>
          <w:lang w:val="es-ES_tradnl"/>
        </w:rPr>
        <w:t xml:space="preserve">En consecuencia, </w:t>
      </w:r>
      <w:r w:rsidRPr="00742BED">
        <w:rPr>
          <w:rFonts w:ascii="Arial" w:eastAsia="Calibri" w:hAnsi="Arial" w:cs="Arial"/>
          <w:color w:val="000000" w:themeColor="text1"/>
          <w:sz w:val="20"/>
          <w:szCs w:val="20"/>
          <w:lang w:val="es-ES_tradnl"/>
        </w:rPr>
        <w:t>con los autos de suspensión provisional, el concurso de méritos abierto debía desarrollarse aplicando únicamente los numerales 1 y 2 del</w:t>
      </w:r>
      <w:r w:rsidRPr="00742BED">
        <w:rPr>
          <w:rFonts w:ascii="Arial" w:hAnsi="Arial" w:cs="Arial"/>
          <w:color w:val="000000" w:themeColor="text1"/>
          <w:sz w:val="20"/>
          <w:szCs w:val="20"/>
          <w:lang w:val="es-ES_tradnl"/>
        </w:rPr>
        <w:t xml:space="preserve"> artículo 2.2.1.2.1.3.2 del Decreto 1082 de 2015. Por lo tanto, </w:t>
      </w:r>
      <w:r w:rsidRPr="00742BED">
        <w:rPr>
          <w:rFonts w:ascii="Arial" w:hAnsi="Arial" w:cs="Arial"/>
          <w:i/>
          <w:iCs/>
          <w:color w:val="000000" w:themeColor="text1"/>
          <w:sz w:val="20"/>
          <w:szCs w:val="20"/>
          <w:lang w:val="es-ES_tradnl"/>
        </w:rPr>
        <w:t>siempre que estuviera dentro del presupuesto oficial</w:t>
      </w:r>
      <w:r w:rsidRPr="00742BED">
        <w:rPr>
          <w:rFonts w:ascii="Arial" w:hAnsi="Arial" w:cs="Arial"/>
          <w:color w:val="000000" w:themeColor="text1"/>
          <w:sz w:val="20"/>
          <w:szCs w:val="20"/>
          <w:lang w:val="es-ES_tradnl"/>
        </w:rPr>
        <w:t>, la entidad estatal debía adjudicar el contrato al proponente que ocupara el primer puesto en el orden de elegibilidad, independientemente del valor ofrecido</w:t>
      </w:r>
      <w:r w:rsidRPr="00742BED">
        <w:rPr>
          <w:rFonts w:ascii="Arial" w:eastAsia="Calibri" w:hAnsi="Arial" w:cs="Arial"/>
          <w:color w:val="000000" w:themeColor="text1"/>
          <w:sz w:val="20"/>
          <w:szCs w:val="20"/>
          <w:lang w:val="es-ES_tradnl"/>
        </w:rPr>
        <w:t>.</w:t>
      </w:r>
    </w:p>
    <w:p w14:paraId="05883F2F" w14:textId="56EC9ABB" w:rsidR="00D205C7" w:rsidRPr="00742BED" w:rsidRDefault="00D205C7" w:rsidP="00D205C7">
      <w:pPr>
        <w:jc w:val="both"/>
        <w:rPr>
          <w:rFonts w:ascii="Arial" w:eastAsia="Calibri" w:hAnsi="Arial" w:cs="Arial"/>
          <w:color w:val="000000" w:themeColor="text1"/>
          <w:sz w:val="20"/>
          <w:szCs w:val="20"/>
          <w:lang w:val="es-ES_tradnl"/>
        </w:rPr>
      </w:pPr>
    </w:p>
    <w:p w14:paraId="5F0FD987" w14:textId="754C983D" w:rsidR="00D205C7" w:rsidRPr="00742BED" w:rsidRDefault="00D205C7" w:rsidP="00D205C7">
      <w:pPr>
        <w:jc w:val="both"/>
        <w:rPr>
          <w:rFonts w:ascii="Arial" w:eastAsia="Calibri" w:hAnsi="Arial" w:cs="Arial"/>
          <w:b/>
          <w:sz w:val="22"/>
          <w:lang w:val="es-ES_tradnl"/>
        </w:rPr>
      </w:pPr>
      <w:r w:rsidRPr="00742BED">
        <w:rPr>
          <w:rFonts w:ascii="Arial" w:eastAsia="Calibri" w:hAnsi="Arial" w:cs="Arial"/>
          <w:b/>
          <w:sz w:val="22"/>
          <w:lang w:val="es-ES_tradnl"/>
        </w:rPr>
        <w:t xml:space="preserve">CONCURSO DE MÉRITOS – Decreto 1082 de 2015 – </w:t>
      </w:r>
      <w:r w:rsidRPr="00742BED">
        <w:rPr>
          <w:rFonts w:ascii="Arial" w:hAnsi="Arial" w:cs="Arial"/>
          <w:b/>
          <w:color w:val="000000" w:themeColor="text1"/>
          <w:sz w:val="20"/>
          <w:szCs w:val="20"/>
          <w:lang w:val="es-ES_tradnl"/>
        </w:rPr>
        <w:t xml:space="preserve">artículo 2.2.1.2.1.3.2 – </w:t>
      </w:r>
      <w:r w:rsidRPr="00742BED">
        <w:rPr>
          <w:rFonts w:ascii="Arial" w:eastAsia="Calibri" w:hAnsi="Arial" w:cs="Arial"/>
          <w:b/>
          <w:sz w:val="22"/>
          <w:lang w:val="es-ES_tradnl"/>
        </w:rPr>
        <w:t xml:space="preserve">Decreto </w:t>
      </w:r>
      <w:r w:rsidR="00313222" w:rsidRPr="00742BED">
        <w:rPr>
          <w:rFonts w:ascii="Arial" w:eastAsia="Calibri" w:hAnsi="Arial" w:cs="Arial"/>
          <w:b/>
          <w:sz w:val="22"/>
          <w:lang w:val="es-ES_tradnl"/>
        </w:rPr>
        <w:t>399 de 2021 – Artículo 2</w:t>
      </w:r>
    </w:p>
    <w:p w14:paraId="4DF8DBAA" w14:textId="6DB9681E" w:rsidR="00D205C7" w:rsidRPr="00742BED" w:rsidRDefault="00D205C7" w:rsidP="00D205C7">
      <w:pPr>
        <w:jc w:val="both"/>
        <w:rPr>
          <w:rFonts w:ascii="Arial" w:hAnsi="Arial" w:cs="Arial"/>
          <w:color w:val="000000" w:themeColor="text1"/>
          <w:sz w:val="20"/>
          <w:szCs w:val="20"/>
          <w:lang w:val="es-ES_tradnl"/>
        </w:rPr>
      </w:pPr>
    </w:p>
    <w:p w14:paraId="279839AD" w14:textId="621A5BFA" w:rsidR="00313222" w:rsidRPr="00742BED" w:rsidRDefault="00313222" w:rsidP="00313222">
      <w:pPr>
        <w:jc w:val="both"/>
        <w:rPr>
          <w:rFonts w:ascii="Arial" w:eastAsia="Calibri" w:hAnsi="Arial" w:cs="Arial"/>
          <w:color w:val="000000" w:themeColor="text1"/>
          <w:sz w:val="20"/>
          <w:szCs w:val="20"/>
          <w:lang w:val="es-ES_tradnl"/>
        </w:rPr>
      </w:pPr>
      <w:r w:rsidRPr="00742BED">
        <w:rPr>
          <w:rFonts w:ascii="Arial" w:eastAsia="Calibri" w:hAnsi="Arial" w:cs="Arial"/>
          <w:color w:val="000000" w:themeColor="text1"/>
          <w:sz w:val="20"/>
          <w:szCs w:val="20"/>
          <w:lang w:val="es-ES_tradnl"/>
        </w:rPr>
        <w:t>[…], el artículo 2 del Decreto 399 de 2021 reformó la reglamentación del concurso de méritos, para adecuarla a los pronunciamientos del Consejo de Estado que habían suspendido provisionalmente algunos numerales del artículo 2.2.1.2.1.3.2. del Decreto 1082 de 2015. A diferencia de lo que establecía este artículo en su redacción inicial, con la entrada en vigencia del artículo 2 del Decreto 399 de 2021 se observan los siguientes cambios:</w:t>
      </w:r>
    </w:p>
    <w:p w14:paraId="1E1F7901" w14:textId="77777777" w:rsidR="00313222" w:rsidRPr="00742BED" w:rsidRDefault="00313222" w:rsidP="00313222">
      <w:pPr>
        <w:jc w:val="both"/>
        <w:rPr>
          <w:rFonts w:ascii="Arial" w:eastAsia="Calibri" w:hAnsi="Arial" w:cs="Arial"/>
          <w:color w:val="000000" w:themeColor="text1"/>
          <w:sz w:val="20"/>
          <w:szCs w:val="20"/>
          <w:lang w:val="es-ES_tradnl"/>
        </w:rPr>
      </w:pPr>
    </w:p>
    <w:p w14:paraId="15E973E6" w14:textId="5F00007C" w:rsidR="00313222" w:rsidRPr="00742BED" w:rsidRDefault="00313222" w:rsidP="00313222">
      <w:pPr>
        <w:jc w:val="both"/>
        <w:rPr>
          <w:rFonts w:ascii="Arial" w:eastAsia="Calibri" w:hAnsi="Arial" w:cs="Arial"/>
          <w:color w:val="000000" w:themeColor="text1"/>
          <w:sz w:val="20"/>
          <w:szCs w:val="20"/>
          <w:lang w:val="es-ES_tradnl"/>
        </w:rPr>
      </w:pPr>
      <w:r w:rsidRPr="00742BED">
        <w:rPr>
          <w:rFonts w:ascii="Arial" w:eastAsia="Calibri" w:hAnsi="Arial" w:cs="Arial"/>
          <w:color w:val="000000" w:themeColor="text1"/>
          <w:sz w:val="20"/>
          <w:szCs w:val="20"/>
          <w:lang w:val="es-ES_tradnl"/>
        </w:rPr>
        <w:lastRenderedPageBreak/>
        <w:t>i) El informe de evaluación, que la entidad debe publicar durante tres (3) días hábiles, debe contener ya no solamente la calificación técnica y el orden de elegibilidad, sino «[…] la evaluación de las ofertas frente a todos los requisitos exigidos en el pliego de condiciones, incluyendo los requisitos habilitantes y los de asignación de puntaje». Esta nueva disposición permite que los interesados ejerzan su derecho a conocer el informe de evaluación y a formular las observaciones que consideren pertinentes.</w:t>
      </w:r>
    </w:p>
    <w:p w14:paraId="02DF0B59" w14:textId="77777777" w:rsidR="00313222" w:rsidRPr="00742BED" w:rsidRDefault="00313222" w:rsidP="00313222">
      <w:pPr>
        <w:jc w:val="both"/>
        <w:rPr>
          <w:rFonts w:ascii="Arial" w:eastAsia="Calibri" w:hAnsi="Arial" w:cs="Arial"/>
          <w:color w:val="000000" w:themeColor="text1"/>
          <w:sz w:val="20"/>
          <w:szCs w:val="20"/>
          <w:lang w:val="es-ES_tradnl"/>
        </w:rPr>
      </w:pPr>
    </w:p>
    <w:p w14:paraId="380FEE0F" w14:textId="3871DAAE" w:rsidR="00313222" w:rsidRPr="00742BED" w:rsidRDefault="00313222" w:rsidP="00313222">
      <w:pPr>
        <w:jc w:val="both"/>
        <w:rPr>
          <w:rFonts w:ascii="Arial" w:eastAsia="Calibri" w:hAnsi="Arial" w:cs="Arial"/>
          <w:color w:val="000000" w:themeColor="text1"/>
          <w:sz w:val="20"/>
          <w:szCs w:val="20"/>
          <w:lang w:val="es-ES_tradnl"/>
        </w:rPr>
      </w:pPr>
      <w:r w:rsidRPr="00742BED">
        <w:rPr>
          <w:rFonts w:ascii="Arial" w:eastAsia="Calibri" w:hAnsi="Arial" w:cs="Arial"/>
          <w:color w:val="000000" w:themeColor="text1"/>
          <w:sz w:val="20"/>
          <w:szCs w:val="20"/>
          <w:lang w:val="es-ES_tradnl"/>
        </w:rPr>
        <w:t>ii) A diferencia de la reglamentación anterior prevista en la redacción original del artículo 2.2.1.2.1.3.2. del Decreto 1082 de 2015, que establecía que luego de la publicación del informe de evaluación la entidad estatal debía revisar la oferta económica, para constatar su correspondencia con el presupuesto oficial, y que posteriormente debía tratar de llegar a un acuerdo con el oferente calificado en el primer lugar o, en subsidio, con el calificado en segundo orden, el artículo 2 del Decreto 399 de 2021 introduce una modificación trascendental, pues elimina estas etapas y señala, en su lugar, que «Una vez resueltas las observaciones al informe de evaluación, la entidad adjudicará el contrato mediante acto administrativo al oferente que haya cumplido todos los requisitos exigidos en el pliego de condiciones y haya obtenido el mayor puntaje». O sea que después de la respuesta a las observaciones del informe de evaluación ya la entidad estatal no debe revisar que la oferta económica sea acorde al presupuesto oficial –pues esto lo debió hacer para elaborar el informe de evaluación– y tampoco debe proceder con una fase de «negociación» con el oferente calificado en primer lugar sobre el valor y alcance del contrato, sino que debe proceder a la adjudicación a quien haya presentado objetivamente la mejor oferta, teniendo en cuenta todos los requisitos exigidos en el pliego de condiciones.</w:t>
      </w:r>
    </w:p>
    <w:p w14:paraId="724CBDD6" w14:textId="77777777" w:rsidR="00313222" w:rsidRPr="00742BED" w:rsidRDefault="00313222" w:rsidP="00313222">
      <w:pPr>
        <w:jc w:val="both"/>
        <w:rPr>
          <w:rFonts w:ascii="Arial" w:eastAsia="Calibri" w:hAnsi="Arial" w:cs="Arial"/>
          <w:color w:val="000000" w:themeColor="text1"/>
          <w:sz w:val="20"/>
          <w:szCs w:val="20"/>
          <w:lang w:val="es-ES_tradnl"/>
        </w:rPr>
      </w:pPr>
    </w:p>
    <w:p w14:paraId="562C956E" w14:textId="41C30968" w:rsidR="00313222" w:rsidRPr="00742BED" w:rsidRDefault="00313222" w:rsidP="00313222">
      <w:pPr>
        <w:jc w:val="both"/>
        <w:rPr>
          <w:rFonts w:ascii="Arial" w:eastAsia="Calibri" w:hAnsi="Arial" w:cs="Arial"/>
          <w:color w:val="000000" w:themeColor="text1"/>
          <w:sz w:val="20"/>
          <w:szCs w:val="20"/>
          <w:lang w:val="es-ES_tradnl"/>
        </w:rPr>
      </w:pPr>
      <w:r w:rsidRPr="00742BED">
        <w:rPr>
          <w:rFonts w:ascii="Arial" w:eastAsia="Calibri" w:hAnsi="Arial" w:cs="Arial"/>
          <w:color w:val="000000" w:themeColor="text1"/>
          <w:sz w:val="20"/>
          <w:szCs w:val="20"/>
          <w:lang w:val="es-ES_tradnl"/>
        </w:rPr>
        <w:t>iii) Como el nuevo artículo 2.2.1.2.1.3.2. del Decreto 1082 de 2015, modificado por el artículo 2 del Decreto 399 de 2021, ya no establece una fase de negociación entre la entidad estatal y el oferente calificado en el primer lugar de elegibilidad, por sustracción de materia, la entidad estatal tampoco debe intentar un acuerdo con el oferente calificado en el segundo orden de elegibilidad, ni puede ampararse en el carácter fallido de dicho acuerdo para declarar desierto el proceso de selección.</w:t>
      </w:r>
    </w:p>
    <w:p w14:paraId="05CB5DA0" w14:textId="77777777" w:rsidR="00D205C7" w:rsidRPr="00742BED" w:rsidRDefault="00D205C7" w:rsidP="00C978D4">
      <w:pPr>
        <w:jc w:val="both"/>
        <w:rPr>
          <w:rFonts w:ascii="Arial" w:eastAsia="Calibri" w:hAnsi="Arial" w:cs="Arial"/>
          <w:b/>
          <w:sz w:val="22"/>
          <w:lang w:val="es-ES_tradnl"/>
        </w:rPr>
      </w:pPr>
    </w:p>
    <w:p w14:paraId="6A654097" w14:textId="2A91CF67" w:rsidR="00C978D4" w:rsidRPr="00742BED" w:rsidRDefault="00272945" w:rsidP="00C978D4">
      <w:pPr>
        <w:jc w:val="both"/>
        <w:rPr>
          <w:rFonts w:ascii="Arial" w:eastAsia="Calibri" w:hAnsi="Arial" w:cs="Arial"/>
          <w:b/>
          <w:sz w:val="22"/>
          <w:lang w:val="es-ES_tradnl"/>
        </w:rPr>
      </w:pPr>
      <w:r w:rsidRPr="00742BED">
        <w:rPr>
          <w:rFonts w:ascii="Arial" w:eastAsia="Calibri" w:hAnsi="Arial" w:cs="Arial"/>
          <w:b/>
          <w:sz w:val="22"/>
          <w:lang w:val="es-ES_tradnl"/>
        </w:rPr>
        <w:t>SELECCIÓN OBJETIVA</w:t>
      </w:r>
      <w:r w:rsidR="00C978D4" w:rsidRPr="00742BED">
        <w:rPr>
          <w:rFonts w:ascii="Arial" w:eastAsia="Calibri" w:hAnsi="Arial" w:cs="Arial"/>
          <w:b/>
          <w:sz w:val="22"/>
          <w:lang w:val="es-ES_tradnl"/>
        </w:rPr>
        <w:t xml:space="preserve"> </w:t>
      </w:r>
      <w:r w:rsidR="00C978D4" w:rsidRPr="00742BED">
        <w:rPr>
          <w:rFonts w:ascii="Arial" w:eastAsia="Calibri" w:hAnsi="Arial" w:cs="Arial"/>
          <w:b/>
          <w:color w:val="000000" w:themeColor="text1"/>
          <w:sz w:val="22"/>
          <w:lang w:val="es-ES_tradnl"/>
        </w:rPr>
        <w:t>–</w:t>
      </w:r>
      <w:r w:rsidR="00C978D4" w:rsidRPr="00742BED">
        <w:rPr>
          <w:rFonts w:ascii="Arial" w:eastAsia="Calibri" w:hAnsi="Arial" w:cs="Arial"/>
          <w:b/>
          <w:sz w:val="22"/>
          <w:lang w:val="es-ES_tradnl"/>
        </w:rPr>
        <w:t xml:space="preserve"> </w:t>
      </w:r>
      <w:r w:rsidR="00003D39" w:rsidRPr="00742BED">
        <w:rPr>
          <w:rFonts w:ascii="Arial" w:eastAsia="Calibri" w:hAnsi="Arial" w:cs="Arial"/>
          <w:b/>
          <w:sz w:val="22"/>
          <w:lang w:val="es-ES_tradnl"/>
        </w:rPr>
        <w:t>Contratación estatal</w:t>
      </w:r>
      <w:r w:rsidR="00616D7F" w:rsidRPr="00742BED">
        <w:rPr>
          <w:rFonts w:ascii="Arial" w:eastAsia="Calibri" w:hAnsi="Arial" w:cs="Arial"/>
          <w:b/>
          <w:sz w:val="22"/>
          <w:lang w:val="es-ES_tradnl"/>
        </w:rPr>
        <w:t xml:space="preserve"> </w:t>
      </w:r>
      <w:r w:rsidR="00C978D4" w:rsidRPr="00742BED">
        <w:rPr>
          <w:rFonts w:ascii="Arial" w:eastAsia="Calibri" w:hAnsi="Arial" w:cs="Arial"/>
          <w:b/>
          <w:color w:val="000000" w:themeColor="text1"/>
          <w:sz w:val="22"/>
          <w:lang w:val="es-ES_tradnl"/>
        </w:rPr>
        <w:t xml:space="preserve">– </w:t>
      </w:r>
      <w:r w:rsidRPr="00742BED">
        <w:rPr>
          <w:rFonts w:ascii="Arial" w:eastAsia="Calibri" w:hAnsi="Arial" w:cs="Arial"/>
          <w:b/>
          <w:color w:val="000000" w:themeColor="text1"/>
          <w:sz w:val="22"/>
          <w:lang w:val="es-ES_tradnl"/>
        </w:rPr>
        <w:t>Concepto</w:t>
      </w:r>
    </w:p>
    <w:p w14:paraId="4AAB8DDD" w14:textId="537B898C" w:rsidR="00C978D4" w:rsidRPr="00742BED" w:rsidRDefault="00C978D4" w:rsidP="0099531F">
      <w:pPr>
        <w:jc w:val="both"/>
        <w:rPr>
          <w:rFonts w:ascii="Arial" w:eastAsia="Calibri" w:hAnsi="Arial" w:cs="Arial"/>
          <w:b/>
          <w:sz w:val="22"/>
          <w:lang w:val="es-ES_tradnl"/>
        </w:rPr>
      </w:pPr>
    </w:p>
    <w:p w14:paraId="33E10CCB" w14:textId="24027DD7" w:rsidR="00636F88" w:rsidRPr="00742BED" w:rsidRDefault="00AF6DEC" w:rsidP="0099531F">
      <w:pPr>
        <w:jc w:val="both"/>
        <w:rPr>
          <w:rFonts w:ascii="Arial" w:eastAsia="Calibri" w:hAnsi="Arial" w:cs="Arial"/>
          <w:sz w:val="20"/>
          <w:szCs w:val="20"/>
          <w:lang w:val="es-ES_tradnl"/>
        </w:rPr>
      </w:pPr>
      <w:r w:rsidRPr="00742BED">
        <w:rPr>
          <w:rFonts w:ascii="Arial" w:eastAsia="Calibri" w:hAnsi="Arial" w:cs="Arial"/>
          <w:sz w:val="20"/>
          <w:szCs w:val="20"/>
          <w:lang w:val="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0EA25C4D" w14:textId="77777777" w:rsidR="00AF6DEC" w:rsidRPr="00742BED" w:rsidRDefault="00AF6DEC" w:rsidP="0099531F">
      <w:pPr>
        <w:jc w:val="both"/>
        <w:rPr>
          <w:rFonts w:ascii="Arial" w:eastAsia="Calibri" w:hAnsi="Arial" w:cs="Arial"/>
          <w:b/>
          <w:sz w:val="22"/>
          <w:lang w:val="es-ES_tradnl"/>
        </w:rPr>
      </w:pPr>
    </w:p>
    <w:p w14:paraId="73365DCF" w14:textId="63E2A713" w:rsidR="00272945" w:rsidRPr="00742BED" w:rsidRDefault="00B54215" w:rsidP="00272945">
      <w:pPr>
        <w:jc w:val="both"/>
        <w:rPr>
          <w:rFonts w:ascii="Arial" w:eastAsia="Calibri" w:hAnsi="Arial" w:cs="Arial"/>
          <w:b/>
          <w:sz w:val="22"/>
          <w:lang w:val="es-ES_tradnl"/>
        </w:rPr>
      </w:pPr>
      <w:r w:rsidRPr="00742BED">
        <w:rPr>
          <w:rFonts w:ascii="Arial" w:eastAsia="Calibri" w:hAnsi="Arial" w:cs="Arial"/>
          <w:b/>
          <w:sz w:val="22"/>
          <w:lang w:val="es-ES_tradnl"/>
        </w:rPr>
        <w:t>EMPATE</w:t>
      </w:r>
      <w:r w:rsidR="00272945" w:rsidRPr="00742BED">
        <w:rPr>
          <w:rFonts w:ascii="Arial" w:eastAsia="Calibri" w:hAnsi="Arial" w:cs="Arial"/>
          <w:b/>
          <w:sz w:val="22"/>
          <w:lang w:val="es-ES_tradnl"/>
        </w:rPr>
        <w:t xml:space="preserve"> </w:t>
      </w:r>
      <w:r w:rsidR="00272945" w:rsidRPr="00742BED">
        <w:rPr>
          <w:rFonts w:ascii="Arial" w:eastAsia="Calibri" w:hAnsi="Arial" w:cs="Arial"/>
          <w:b/>
          <w:color w:val="000000" w:themeColor="text1"/>
          <w:sz w:val="22"/>
          <w:lang w:val="es-ES_tradnl"/>
        </w:rPr>
        <w:t>–</w:t>
      </w:r>
      <w:r w:rsidR="00272945" w:rsidRPr="00742BED">
        <w:rPr>
          <w:rFonts w:ascii="Arial" w:eastAsia="Calibri" w:hAnsi="Arial" w:cs="Arial"/>
          <w:b/>
          <w:sz w:val="22"/>
          <w:lang w:val="es-ES_tradnl"/>
        </w:rPr>
        <w:t xml:space="preserve"> </w:t>
      </w:r>
      <w:r w:rsidRPr="00742BED">
        <w:rPr>
          <w:rFonts w:ascii="Arial" w:eastAsia="Calibri" w:hAnsi="Arial" w:cs="Arial"/>
          <w:b/>
          <w:sz w:val="22"/>
          <w:lang w:val="es-ES_tradnl"/>
        </w:rPr>
        <w:t>Procedimiento de selección</w:t>
      </w:r>
      <w:r w:rsidR="00272945" w:rsidRPr="00742BED">
        <w:rPr>
          <w:rFonts w:ascii="Arial" w:eastAsia="Calibri" w:hAnsi="Arial" w:cs="Arial"/>
          <w:b/>
          <w:sz w:val="22"/>
          <w:lang w:val="es-ES_tradnl"/>
        </w:rPr>
        <w:t xml:space="preserve"> </w:t>
      </w:r>
      <w:r w:rsidR="00272945" w:rsidRPr="00742BED">
        <w:rPr>
          <w:rFonts w:ascii="Arial" w:eastAsia="Calibri" w:hAnsi="Arial" w:cs="Arial"/>
          <w:b/>
          <w:color w:val="000000" w:themeColor="text1"/>
          <w:sz w:val="22"/>
          <w:lang w:val="es-ES_tradnl"/>
        </w:rPr>
        <w:t>– Concepto</w:t>
      </w:r>
    </w:p>
    <w:p w14:paraId="182F8CB9" w14:textId="246E5B50" w:rsidR="00272945" w:rsidRPr="00742BED" w:rsidRDefault="00272945" w:rsidP="0099531F">
      <w:pPr>
        <w:jc w:val="both"/>
        <w:rPr>
          <w:rFonts w:ascii="Arial" w:eastAsia="Calibri" w:hAnsi="Arial" w:cs="Arial"/>
          <w:b/>
          <w:sz w:val="22"/>
          <w:lang w:val="es-ES_tradnl"/>
        </w:rPr>
      </w:pPr>
    </w:p>
    <w:p w14:paraId="29DD8E0A" w14:textId="042C4C7A" w:rsidR="006F71F5" w:rsidRPr="00742BED" w:rsidRDefault="005C6D19" w:rsidP="005C6D19">
      <w:pPr>
        <w:jc w:val="both"/>
        <w:rPr>
          <w:rFonts w:ascii="Arial" w:hAnsi="Arial" w:cs="Arial"/>
          <w:noProof/>
          <w:color w:val="000000" w:themeColor="text1"/>
          <w:sz w:val="22"/>
          <w:lang w:val="es-ES_tradnl"/>
        </w:rPr>
      </w:pPr>
      <w:r w:rsidRPr="00742BED">
        <w:rPr>
          <w:rFonts w:ascii="Arial" w:eastAsia="Calibri" w:hAnsi="Arial" w:cs="Arial"/>
          <w:sz w:val="20"/>
          <w:szCs w:val="20"/>
          <w:lang w:val="es-ES_tradnl"/>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w:t>
      </w:r>
      <w:r w:rsidRPr="00742BED">
        <w:rPr>
          <w:rFonts w:ascii="Arial" w:eastAsia="Calibri" w:hAnsi="Arial" w:cs="Arial"/>
          <w:sz w:val="20"/>
          <w:szCs w:val="20"/>
          <w:lang w:val="es-ES_tradnl"/>
        </w:rPr>
        <w:lastRenderedPageBreak/>
        <w:t>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w:t>
      </w:r>
    </w:p>
    <w:p w14:paraId="2B2F279A" w14:textId="77777777" w:rsidR="005C6D19" w:rsidRPr="00742BED" w:rsidRDefault="005C6D19" w:rsidP="00DF71EA">
      <w:pPr>
        <w:jc w:val="both"/>
        <w:rPr>
          <w:rFonts w:ascii="Arial" w:eastAsia="Calibri" w:hAnsi="Arial" w:cs="Arial"/>
          <w:b/>
          <w:sz w:val="22"/>
          <w:lang w:val="es-ES_tradnl"/>
        </w:rPr>
      </w:pPr>
    </w:p>
    <w:p w14:paraId="04086EC5" w14:textId="5C2FA739" w:rsidR="00DF71EA" w:rsidRPr="00742BED" w:rsidRDefault="00D73881" w:rsidP="00DF71EA">
      <w:pPr>
        <w:jc w:val="both"/>
        <w:rPr>
          <w:rFonts w:ascii="Arial" w:eastAsia="Calibri" w:hAnsi="Arial" w:cs="Arial"/>
          <w:b/>
          <w:sz w:val="22"/>
          <w:lang w:val="es-ES_tradnl"/>
        </w:rPr>
      </w:pPr>
      <w:r w:rsidRPr="00742BED">
        <w:rPr>
          <w:rFonts w:ascii="Arial" w:eastAsia="Calibri" w:hAnsi="Arial" w:cs="Arial"/>
          <w:b/>
          <w:sz w:val="22"/>
          <w:lang w:val="es-ES_tradnl"/>
        </w:rPr>
        <w:t>FACTORES DE DESEMPATE</w:t>
      </w:r>
      <w:r w:rsidR="00DF71EA" w:rsidRPr="00742BED">
        <w:rPr>
          <w:rFonts w:ascii="Arial" w:eastAsia="Calibri" w:hAnsi="Arial" w:cs="Arial"/>
          <w:b/>
          <w:sz w:val="22"/>
          <w:lang w:val="es-ES_tradnl"/>
        </w:rPr>
        <w:t xml:space="preserve"> </w:t>
      </w:r>
      <w:r w:rsidR="00DF71EA" w:rsidRPr="00742BED">
        <w:rPr>
          <w:rFonts w:ascii="Arial" w:eastAsia="Calibri" w:hAnsi="Arial" w:cs="Arial"/>
          <w:b/>
          <w:color w:val="000000" w:themeColor="text1"/>
          <w:sz w:val="22"/>
          <w:lang w:val="es-ES_tradnl"/>
        </w:rPr>
        <w:t>–</w:t>
      </w:r>
      <w:r w:rsidR="00DF71EA" w:rsidRPr="00742BED">
        <w:rPr>
          <w:rFonts w:ascii="Arial" w:eastAsia="Calibri" w:hAnsi="Arial" w:cs="Arial"/>
          <w:b/>
          <w:sz w:val="22"/>
          <w:lang w:val="es-ES_tradnl"/>
        </w:rPr>
        <w:t xml:space="preserve"> </w:t>
      </w:r>
      <w:r w:rsidRPr="00742BED">
        <w:rPr>
          <w:rFonts w:ascii="Arial" w:eastAsia="Calibri" w:hAnsi="Arial" w:cs="Arial"/>
          <w:b/>
          <w:sz w:val="22"/>
          <w:lang w:val="es-ES_tradnl"/>
        </w:rPr>
        <w:t>Características</w:t>
      </w:r>
      <w:r w:rsidR="00DF71EA" w:rsidRPr="00742BED">
        <w:rPr>
          <w:rFonts w:ascii="Arial" w:eastAsia="Calibri" w:hAnsi="Arial" w:cs="Arial"/>
          <w:b/>
          <w:sz w:val="22"/>
          <w:lang w:val="es-ES_tradnl"/>
        </w:rPr>
        <w:t xml:space="preserve"> </w:t>
      </w:r>
      <w:r w:rsidR="00DF71EA" w:rsidRPr="00742BED">
        <w:rPr>
          <w:rFonts w:ascii="Arial" w:eastAsia="Calibri" w:hAnsi="Arial" w:cs="Arial"/>
          <w:b/>
          <w:color w:val="000000" w:themeColor="text1"/>
          <w:sz w:val="22"/>
          <w:lang w:val="es-ES_tradnl"/>
        </w:rPr>
        <w:t xml:space="preserve">– </w:t>
      </w:r>
      <w:r w:rsidRPr="00742BED">
        <w:rPr>
          <w:rFonts w:ascii="Arial" w:eastAsia="Calibri" w:hAnsi="Arial" w:cs="Arial"/>
          <w:b/>
          <w:color w:val="000000" w:themeColor="text1"/>
          <w:sz w:val="22"/>
          <w:lang w:val="es-ES_tradnl"/>
        </w:rPr>
        <w:t>Límites</w:t>
      </w:r>
    </w:p>
    <w:p w14:paraId="583F00A4" w14:textId="390EB1EB" w:rsidR="00DF71EA" w:rsidRPr="00742BED" w:rsidRDefault="00DF71EA" w:rsidP="00B95C30">
      <w:pPr>
        <w:spacing w:line="276" w:lineRule="auto"/>
        <w:jc w:val="both"/>
        <w:rPr>
          <w:rFonts w:ascii="Arial" w:hAnsi="Arial" w:cs="Arial"/>
          <w:noProof/>
          <w:color w:val="000000" w:themeColor="text1"/>
          <w:sz w:val="22"/>
          <w:lang w:val="es-ES_tradnl"/>
        </w:rPr>
      </w:pPr>
    </w:p>
    <w:p w14:paraId="66CA4DD9" w14:textId="52AF963D" w:rsidR="00D73881" w:rsidRPr="00742BED" w:rsidRDefault="005C6D19" w:rsidP="00D73881">
      <w:pPr>
        <w:jc w:val="both"/>
        <w:rPr>
          <w:rFonts w:ascii="Arial" w:eastAsia="Calibri" w:hAnsi="Arial" w:cs="Arial"/>
          <w:sz w:val="20"/>
          <w:szCs w:val="20"/>
          <w:lang w:val="es-ES_tradnl"/>
        </w:rPr>
      </w:pPr>
      <w:r w:rsidRPr="00742BED">
        <w:rPr>
          <w:rFonts w:ascii="Arial" w:eastAsia="Calibri" w:hAnsi="Arial" w:cs="Arial"/>
          <w:sz w:val="20"/>
          <w:szCs w:val="20"/>
          <w:lang w:val="es-ES_tradnl"/>
        </w:rPr>
        <w:t xml:space="preserve">Pero,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Precisamente, dentro de dichas disposiciones se halla el artículo 35 de la Ley </w:t>
      </w:r>
      <w:r w:rsidR="007B209C" w:rsidRPr="00742BED">
        <w:rPr>
          <w:rFonts w:ascii="Arial" w:eastAsia="Calibri" w:hAnsi="Arial" w:cs="Arial"/>
          <w:sz w:val="20"/>
          <w:szCs w:val="20"/>
          <w:lang w:val="es-ES_tradnl"/>
        </w:rPr>
        <w:t>2069</w:t>
      </w:r>
      <w:r w:rsidRPr="00742BED">
        <w:rPr>
          <w:rFonts w:ascii="Arial" w:eastAsia="Calibri" w:hAnsi="Arial" w:cs="Arial"/>
          <w:sz w:val="20"/>
          <w:szCs w:val="20"/>
          <w:lang w:val="es-ES_tradnl"/>
        </w:rPr>
        <w:t xml:space="preserve"> de 2020. La </w:t>
      </w:r>
      <w:r w:rsidR="000422EA" w:rsidRPr="00742BED">
        <w:rPr>
          <w:rFonts w:ascii="Arial" w:eastAsia="Calibri" w:hAnsi="Arial" w:cs="Arial"/>
          <w:sz w:val="20"/>
          <w:szCs w:val="20"/>
          <w:lang w:val="es-ES_tradnl"/>
        </w:rPr>
        <w:t>jurisprudencia</w:t>
      </w:r>
      <w:r w:rsidRPr="00742BED">
        <w:rPr>
          <w:rFonts w:ascii="Arial" w:eastAsia="Calibri" w:hAnsi="Arial" w:cs="Arial"/>
          <w:sz w:val="20"/>
          <w:szCs w:val="20"/>
          <w:lang w:val="es-ES_tradnl"/>
        </w:rPr>
        <w:t xml:space="preserve"> comparte la idea de que los criterios de desempate deben estar establecidos de antemano y constituyen un límite a la discrecionalidad administrativa en los procedimientos de selección.</w:t>
      </w:r>
    </w:p>
    <w:p w14:paraId="136CBDA3" w14:textId="77777777" w:rsidR="005C6D19" w:rsidRPr="00742BED" w:rsidRDefault="005C6D19" w:rsidP="00D73881">
      <w:pPr>
        <w:jc w:val="both"/>
        <w:rPr>
          <w:rFonts w:ascii="Arial" w:eastAsia="Calibri" w:hAnsi="Arial" w:cs="Arial"/>
          <w:sz w:val="20"/>
          <w:szCs w:val="20"/>
          <w:lang w:val="es-ES_tradnl"/>
        </w:rPr>
      </w:pPr>
    </w:p>
    <w:p w14:paraId="5204F243" w14:textId="3F3E942D" w:rsidR="00D73881" w:rsidRPr="00742BED" w:rsidRDefault="003D3F28" w:rsidP="00D73881">
      <w:pPr>
        <w:jc w:val="both"/>
        <w:rPr>
          <w:rFonts w:ascii="Arial" w:eastAsia="Calibri" w:hAnsi="Arial" w:cs="Arial"/>
          <w:sz w:val="20"/>
          <w:szCs w:val="20"/>
          <w:lang w:val="es-ES_tradnl"/>
        </w:rPr>
      </w:pPr>
      <w:r w:rsidRPr="00742BED">
        <w:rPr>
          <w:rFonts w:ascii="Arial" w:eastAsia="Calibri" w:hAnsi="Arial" w:cs="Arial"/>
          <w:sz w:val="20"/>
          <w:szCs w:val="20"/>
          <w:lang w:val="es-ES_tradnl"/>
        </w:rPr>
        <w:t>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 Es más, según el Consejo de Estado, ir en contra de los factores de desempate establecidos expresamente genera la nulidad del contrato, conforme al artículo 44, inciso 1º de la Ley 80 de 1993.</w:t>
      </w:r>
      <w:r w:rsidR="00D73881" w:rsidRPr="00742BED">
        <w:rPr>
          <w:rFonts w:ascii="Arial" w:eastAsia="Calibri" w:hAnsi="Arial" w:cs="Arial"/>
          <w:sz w:val="20"/>
          <w:szCs w:val="20"/>
          <w:lang w:val="es-ES_tradnl"/>
        </w:rPr>
        <w:t xml:space="preserve"> </w:t>
      </w:r>
    </w:p>
    <w:p w14:paraId="20087230" w14:textId="77777777" w:rsidR="00617D72" w:rsidRPr="00742BED" w:rsidRDefault="00617D72" w:rsidP="00D73881">
      <w:pPr>
        <w:jc w:val="both"/>
        <w:rPr>
          <w:rFonts w:ascii="Arial" w:eastAsia="Calibri" w:hAnsi="Arial" w:cs="Arial"/>
          <w:b/>
          <w:sz w:val="22"/>
          <w:lang w:val="es-ES_tradnl"/>
        </w:rPr>
      </w:pPr>
    </w:p>
    <w:p w14:paraId="7144E95B" w14:textId="6179FDBF" w:rsidR="00D73881" w:rsidRPr="00742BED" w:rsidRDefault="00D73881" w:rsidP="00D73881">
      <w:pPr>
        <w:jc w:val="both"/>
        <w:rPr>
          <w:rFonts w:ascii="Arial" w:eastAsia="Calibri" w:hAnsi="Arial" w:cs="Arial"/>
          <w:b/>
          <w:sz w:val="22"/>
          <w:lang w:val="es-ES_tradnl"/>
        </w:rPr>
      </w:pPr>
      <w:r w:rsidRPr="00742BED">
        <w:rPr>
          <w:rFonts w:ascii="Arial" w:eastAsia="Calibri" w:hAnsi="Arial" w:cs="Arial"/>
          <w:b/>
          <w:sz w:val="22"/>
          <w:lang w:val="es-ES_tradnl"/>
        </w:rPr>
        <w:t xml:space="preserve">LEY DE EMPRENDIMIENTO </w:t>
      </w:r>
      <w:r w:rsidRPr="00742BED">
        <w:rPr>
          <w:rFonts w:ascii="Arial" w:eastAsia="Calibri" w:hAnsi="Arial" w:cs="Arial"/>
          <w:b/>
          <w:color w:val="000000" w:themeColor="text1"/>
          <w:sz w:val="22"/>
          <w:lang w:val="es-ES_tradnl"/>
        </w:rPr>
        <w:t>–</w:t>
      </w:r>
      <w:r w:rsidRPr="00742BED">
        <w:rPr>
          <w:rFonts w:ascii="Arial" w:eastAsia="Calibri" w:hAnsi="Arial" w:cs="Arial"/>
          <w:b/>
          <w:sz w:val="22"/>
          <w:lang w:val="es-ES_tradnl"/>
        </w:rPr>
        <w:t xml:space="preserve"> Ley </w:t>
      </w:r>
      <w:r w:rsidR="007B209C" w:rsidRPr="00742BED">
        <w:rPr>
          <w:rFonts w:ascii="Arial" w:eastAsia="Calibri" w:hAnsi="Arial" w:cs="Arial"/>
          <w:b/>
          <w:sz w:val="22"/>
          <w:lang w:val="es-ES_tradnl"/>
        </w:rPr>
        <w:t>2069</w:t>
      </w:r>
      <w:r w:rsidRPr="00742BED">
        <w:rPr>
          <w:rFonts w:ascii="Arial" w:eastAsia="Calibri" w:hAnsi="Arial" w:cs="Arial"/>
          <w:b/>
          <w:sz w:val="22"/>
          <w:lang w:val="es-ES_tradnl"/>
        </w:rPr>
        <w:t xml:space="preserve"> de 2020 </w:t>
      </w:r>
      <w:r w:rsidRPr="00742BED">
        <w:rPr>
          <w:rFonts w:ascii="Arial" w:eastAsia="Calibri" w:hAnsi="Arial" w:cs="Arial"/>
          <w:b/>
          <w:color w:val="000000" w:themeColor="text1"/>
          <w:sz w:val="22"/>
          <w:lang w:val="es-ES_tradnl"/>
        </w:rPr>
        <w:t xml:space="preserve">– Vigencia </w:t>
      </w:r>
    </w:p>
    <w:p w14:paraId="0D3B8DEB" w14:textId="33C83BCF" w:rsidR="00D73881" w:rsidRPr="00742BED" w:rsidRDefault="00D73881" w:rsidP="00D73881">
      <w:pPr>
        <w:jc w:val="both"/>
        <w:rPr>
          <w:rFonts w:ascii="Arial" w:eastAsia="Calibri" w:hAnsi="Arial" w:cs="Arial"/>
          <w:b/>
          <w:sz w:val="22"/>
          <w:lang w:val="es-ES_tradnl"/>
        </w:rPr>
      </w:pPr>
    </w:p>
    <w:p w14:paraId="39668D0C" w14:textId="47082B69" w:rsidR="008410B1" w:rsidRPr="00742BED" w:rsidRDefault="008410B1" w:rsidP="008410B1">
      <w:pPr>
        <w:jc w:val="both"/>
        <w:rPr>
          <w:rFonts w:ascii="Arial" w:eastAsia="Calibri" w:hAnsi="Arial" w:cs="Arial"/>
          <w:sz w:val="20"/>
          <w:szCs w:val="20"/>
          <w:lang w:val="es-ES_tradnl"/>
        </w:rPr>
      </w:pPr>
      <w:r w:rsidRPr="00742BED">
        <w:rPr>
          <w:rFonts w:ascii="Arial" w:eastAsia="Calibri" w:hAnsi="Arial" w:cs="Arial"/>
          <w:sz w:val="20"/>
          <w:szCs w:val="20"/>
          <w:lang w:val="es-ES_tradnl"/>
        </w:rPr>
        <w:t xml:space="preserve">El 31 de diciembre de 2020 se promulgó la Ley </w:t>
      </w:r>
      <w:r w:rsidR="007B209C" w:rsidRPr="00742BED">
        <w:rPr>
          <w:rFonts w:ascii="Arial" w:eastAsia="Calibri" w:hAnsi="Arial" w:cs="Arial"/>
          <w:sz w:val="20"/>
          <w:szCs w:val="20"/>
          <w:lang w:val="es-ES_tradnl"/>
        </w:rPr>
        <w:t>2069</w:t>
      </w:r>
      <w:r w:rsidRPr="00742BED">
        <w:rPr>
          <w:rFonts w:ascii="Arial" w:eastAsia="Calibri" w:hAnsi="Arial" w:cs="Arial"/>
          <w:sz w:val="20"/>
          <w:szCs w:val="20"/>
          <w:lang w:val="es-ES_tradnl"/>
        </w:rPr>
        <w:t>,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dicha Ley.</w:t>
      </w:r>
    </w:p>
    <w:p w14:paraId="186BC4E6" w14:textId="77777777" w:rsidR="008410B1" w:rsidRPr="00742BED" w:rsidRDefault="008410B1" w:rsidP="008410B1">
      <w:pPr>
        <w:jc w:val="both"/>
        <w:rPr>
          <w:rFonts w:ascii="Arial" w:eastAsia="Calibri" w:hAnsi="Arial" w:cs="Arial"/>
          <w:sz w:val="20"/>
          <w:szCs w:val="20"/>
          <w:lang w:val="es-ES_tradnl"/>
        </w:rPr>
      </w:pPr>
    </w:p>
    <w:p w14:paraId="23AB3850" w14:textId="71F6214C" w:rsidR="008410B1" w:rsidRPr="00742BED" w:rsidRDefault="008410B1" w:rsidP="008410B1">
      <w:pPr>
        <w:jc w:val="both"/>
        <w:rPr>
          <w:rFonts w:ascii="Arial" w:eastAsia="Calibri" w:hAnsi="Arial" w:cs="Arial"/>
          <w:sz w:val="20"/>
          <w:szCs w:val="20"/>
          <w:lang w:val="es-ES_tradnl"/>
        </w:rPr>
      </w:pPr>
      <w:r w:rsidRPr="00742BED">
        <w:rPr>
          <w:rFonts w:ascii="Arial" w:eastAsia="Calibri" w:hAnsi="Arial" w:cs="Arial"/>
          <w:sz w:val="20"/>
          <w:szCs w:val="20"/>
          <w:lang w:val="es-ES_tradnl"/>
        </w:rPr>
        <w:t>En cuando al contenido de la Ley en comento, es importante señalar que, como lo expresa su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w:t>
      </w:r>
      <w:proofErr w:type="spellStart"/>
      <w:r w:rsidRPr="00742BED">
        <w:rPr>
          <w:rFonts w:ascii="Arial" w:eastAsia="Calibri" w:hAnsi="Arial" w:cs="Arial"/>
          <w:sz w:val="20"/>
          <w:szCs w:val="20"/>
          <w:lang w:val="es-ES_tradnl"/>
        </w:rPr>
        <w:t>mipymes</w:t>
      </w:r>
      <w:proofErr w:type="spellEnd"/>
      <w:r w:rsidRPr="00742BED">
        <w:rPr>
          <w:rFonts w:ascii="Arial" w:eastAsia="Calibri" w:hAnsi="Arial" w:cs="Arial"/>
          <w:sz w:val="20"/>
          <w:szCs w:val="20"/>
          <w:lang w:val="es-ES_tradnl"/>
        </w:rPr>
        <w:t>»–, mediante la racionalización y simplificación de los trámites y tarifas, así como la consagración de incentivos a favor de aquellas dentro del sistema de compras y contratación pública. También se consagran mecanismos de acceso al financiamiento, se unifican las fuentes de emprendimiento y de desarrollo empresarial, para fortalecer y promover los distintos sectores de la economía</w:t>
      </w:r>
      <w:r w:rsidR="00625642" w:rsidRPr="00742BED">
        <w:rPr>
          <w:rFonts w:ascii="Arial" w:eastAsia="Calibri" w:hAnsi="Arial" w:cs="Arial"/>
          <w:sz w:val="20"/>
          <w:szCs w:val="20"/>
          <w:lang w:val="es-ES_tradnl"/>
        </w:rPr>
        <w:t>,</w:t>
      </w:r>
      <w:r w:rsidR="00B74EF8" w:rsidRPr="00742BED">
        <w:rPr>
          <w:rFonts w:ascii="Arial" w:eastAsia="Calibri" w:hAnsi="Arial" w:cs="Arial"/>
          <w:sz w:val="20"/>
          <w:szCs w:val="20"/>
          <w:lang w:val="es-ES_tradnl"/>
        </w:rPr>
        <w:t xml:space="preserve"> </w:t>
      </w:r>
      <w:r w:rsidRPr="00742BED">
        <w:rPr>
          <w:rFonts w:ascii="Arial" w:eastAsia="Calibri" w:hAnsi="Arial" w:cs="Arial"/>
          <w:sz w:val="20"/>
          <w:szCs w:val="20"/>
          <w:lang w:val="es-ES_tradnl"/>
        </w:rPr>
        <w:t>y se prevén medidas de educación para el emprendimiento y la innovación.</w:t>
      </w:r>
    </w:p>
    <w:p w14:paraId="7B24A529" w14:textId="77777777" w:rsidR="008410B1" w:rsidRPr="00742BED" w:rsidRDefault="008410B1" w:rsidP="008410B1">
      <w:pPr>
        <w:jc w:val="both"/>
        <w:rPr>
          <w:rFonts w:ascii="Arial" w:eastAsia="Calibri" w:hAnsi="Arial" w:cs="Arial"/>
          <w:b/>
          <w:sz w:val="22"/>
          <w:lang w:val="es-ES_tradnl"/>
        </w:rPr>
      </w:pPr>
    </w:p>
    <w:p w14:paraId="5664A18A" w14:textId="77777777" w:rsidR="00D96F14" w:rsidRPr="00742BED" w:rsidRDefault="00D96F14" w:rsidP="00D73881">
      <w:pPr>
        <w:jc w:val="both"/>
        <w:rPr>
          <w:rFonts w:ascii="Arial" w:eastAsia="Calibri" w:hAnsi="Arial" w:cs="Arial"/>
          <w:b/>
          <w:sz w:val="22"/>
          <w:lang w:val="es-ES_tradnl"/>
        </w:rPr>
      </w:pPr>
    </w:p>
    <w:p w14:paraId="32998FFB" w14:textId="77777777" w:rsidR="00D96F14" w:rsidRPr="00742BED" w:rsidRDefault="00D96F14" w:rsidP="00D73881">
      <w:pPr>
        <w:jc w:val="both"/>
        <w:rPr>
          <w:rFonts w:ascii="Arial" w:eastAsia="Calibri" w:hAnsi="Arial" w:cs="Arial"/>
          <w:b/>
          <w:sz w:val="22"/>
          <w:lang w:val="es-ES_tradnl"/>
        </w:rPr>
      </w:pPr>
    </w:p>
    <w:p w14:paraId="402C2827" w14:textId="77777777" w:rsidR="00D96F14" w:rsidRPr="00742BED" w:rsidRDefault="00D96F14" w:rsidP="00D73881">
      <w:pPr>
        <w:jc w:val="both"/>
        <w:rPr>
          <w:rFonts w:ascii="Arial" w:eastAsia="Calibri" w:hAnsi="Arial" w:cs="Arial"/>
          <w:b/>
          <w:sz w:val="22"/>
          <w:lang w:val="es-ES_tradnl"/>
        </w:rPr>
      </w:pPr>
    </w:p>
    <w:p w14:paraId="5C894141" w14:textId="48354F33" w:rsidR="00D73881" w:rsidRPr="00742BED" w:rsidRDefault="00D73881" w:rsidP="00D73881">
      <w:pPr>
        <w:jc w:val="both"/>
        <w:rPr>
          <w:rFonts w:ascii="Arial" w:eastAsia="Calibri" w:hAnsi="Arial" w:cs="Arial"/>
          <w:b/>
          <w:sz w:val="22"/>
          <w:lang w:val="es-ES_tradnl"/>
        </w:rPr>
      </w:pPr>
      <w:r w:rsidRPr="00742BED">
        <w:rPr>
          <w:rFonts w:ascii="Arial" w:eastAsia="Calibri" w:hAnsi="Arial" w:cs="Arial"/>
          <w:b/>
          <w:sz w:val="22"/>
          <w:lang w:val="es-ES_tradnl"/>
        </w:rPr>
        <w:lastRenderedPageBreak/>
        <w:t xml:space="preserve">FACTORES DE DESEMPATE </w:t>
      </w:r>
      <w:r w:rsidRPr="00742BED">
        <w:rPr>
          <w:rFonts w:ascii="Arial" w:eastAsia="Calibri" w:hAnsi="Arial" w:cs="Arial"/>
          <w:b/>
          <w:color w:val="000000" w:themeColor="text1"/>
          <w:sz w:val="22"/>
          <w:lang w:val="es-ES_tradnl"/>
        </w:rPr>
        <w:t>–</w:t>
      </w:r>
      <w:r w:rsidRPr="00742BED">
        <w:rPr>
          <w:rFonts w:ascii="Arial" w:eastAsia="Calibri" w:hAnsi="Arial" w:cs="Arial"/>
          <w:b/>
          <w:sz w:val="22"/>
          <w:lang w:val="es-ES_tradnl"/>
        </w:rPr>
        <w:t xml:space="preserve"> Ley </w:t>
      </w:r>
      <w:r w:rsidR="007B209C" w:rsidRPr="00742BED">
        <w:rPr>
          <w:rFonts w:ascii="Arial" w:eastAsia="Calibri" w:hAnsi="Arial" w:cs="Arial"/>
          <w:b/>
          <w:sz w:val="22"/>
          <w:lang w:val="es-ES_tradnl"/>
        </w:rPr>
        <w:t>2069</w:t>
      </w:r>
      <w:r w:rsidRPr="00742BED">
        <w:rPr>
          <w:rFonts w:ascii="Arial" w:eastAsia="Calibri" w:hAnsi="Arial" w:cs="Arial"/>
          <w:b/>
          <w:sz w:val="22"/>
          <w:lang w:val="es-ES_tradnl"/>
        </w:rPr>
        <w:t xml:space="preserve"> </w:t>
      </w:r>
      <w:r w:rsidRPr="00742BED">
        <w:rPr>
          <w:rFonts w:ascii="Arial" w:eastAsia="Calibri" w:hAnsi="Arial" w:cs="Arial"/>
          <w:b/>
          <w:color w:val="000000" w:themeColor="text1"/>
          <w:sz w:val="22"/>
          <w:lang w:val="es-ES_tradnl"/>
        </w:rPr>
        <w:t xml:space="preserve">– Artículo 35 – </w:t>
      </w:r>
      <w:r w:rsidR="006B6F2B" w:rsidRPr="00742BED">
        <w:rPr>
          <w:rFonts w:ascii="Arial" w:eastAsia="Calibri" w:hAnsi="Arial" w:cs="Arial"/>
          <w:b/>
          <w:color w:val="000000" w:themeColor="text1"/>
          <w:sz w:val="22"/>
          <w:lang w:val="es-ES_tradnl"/>
        </w:rPr>
        <w:t xml:space="preserve">Numeral 2 – </w:t>
      </w:r>
      <w:r w:rsidRPr="00742BED">
        <w:rPr>
          <w:rFonts w:ascii="Arial" w:eastAsia="Calibri" w:hAnsi="Arial" w:cs="Arial"/>
          <w:b/>
          <w:color w:val="000000" w:themeColor="text1"/>
          <w:sz w:val="22"/>
          <w:lang w:val="es-ES_tradnl"/>
        </w:rPr>
        <w:t>Acreditación</w:t>
      </w:r>
    </w:p>
    <w:p w14:paraId="4D9EB4C1" w14:textId="20D03020" w:rsidR="00D73881" w:rsidRPr="00742BED" w:rsidRDefault="00D73881" w:rsidP="00B95C30">
      <w:pPr>
        <w:spacing w:line="276" w:lineRule="auto"/>
        <w:jc w:val="both"/>
        <w:rPr>
          <w:rFonts w:ascii="Arial" w:hAnsi="Arial" w:cs="Arial"/>
          <w:noProof/>
          <w:color w:val="000000" w:themeColor="text1"/>
          <w:sz w:val="22"/>
          <w:lang w:val="es-ES_tradnl"/>
        </w:rPr>
      </w:pPr>
    </w:p>
    <w:p w14:paraId="53B8D6C5" w14:textId="11A129F1" w:rsidR="003C5E8A" w:rsidRPr="00742BED" w:rsidRDefault="00160C01" w:rsidP="003C5E8A">
      <w:pPr>
        <w:jc w:val="both"/>
        <w:rPr>
          <w:rFonts w:ascii="Arial" w:eastAsia="Calibri" w:hAnsi="Arial" w:cs="Arial"/>
          <w:sz w:val="20"/>
          <w:szCs w:val="20"/>
          <w:lang w:val="es-ES_tradnl"/>
        </w:rPr>
      </w:pPr>
      <w:r w:rsidRPr="00742BED">
        <w:rPr>
          <w:rFonts w:ascii="Arial" w:eastAsia="Calibri" w:hAnsi="Arial" w:cs="Arial"/>
          <w:sz w:val="20"/>
          <w:szCs w:val="20"/>
          <w:lang w:val="es-ES_tradnl"/>
        </w:rPr>
        <w:t>[…]</w:t>
      </w:r>
      <w:r w:rsidR="00B02F7C" w:rsidRPr="00742BED">
        <w:rPr>
          <w:rFonts w:ascii="Arial" w:eastAsia="Calibri" w:hAnsi="Arial" w:cs="Arial"/>
          <w:sz w:val="20"/>
          <w:szCs w:val="20"/>
          <w:lang w:val="es-ES_tradnl"/>
        </w:rPr>
        <w:t>, est</w:t>
      </w:r>
      <w:r w:rsidR="006B6F2B" w:rsidRPr="00742BED">
        <w:rPr>
          <w:rFonts w:ascii="Arial" w:eastAsia="Calibri" w:hAnsi="Arial" w:cs="Arial"/>
          <w:sz w:val="20"/>
          <w:szCs w:val="20"/>
          <w:lang w:val="es-ES_tradnl"/>
        </w:rPr>
        <w:t>e</w:t>
      </w:r>
      <w:r w:rsidR="00B02F7C" w:rsidRPr="00742BED">
        <w:rPr>
          <w:rFonts w:ascii="Arial" w:eastAsia="Calibri" w:hAnsi="Arial" w:cs="Arial"/>
          <w:sz w:val="20"/>
          <w:szCs w:val="20"/>
          <w:lang w:val="es-ES_tradnl"/>
        </w:rPr>
        <w:t xml:space="preserve"> numeral</w:t>
      </w:r>
      <w:r w:rsidR="006B6F2B" w:rsidRPr="00742BED">
        <w:rPr>
          <w:rFonts w:ascii="Arial" w:eastAsia="Calibri" w:hAnsi="Arial" w:cs="Arial"/>
          <w:sz w:val="20"/>
          <w:szCs w:val="20"/>
          <w:lang w:val="es-ES_tradnl"/>
        </w:rPr>
        <w:t xml:space="preserve"> </w:t>
      </w:r>
      <w:r w:rsidR="00B02F7C" w:rsidRPr="00742BED">
        <w:rPr>
          <w:rFonts w:ascii="Arial" w:eastAsia="Calibri" w:hAnsi="Arial" w:cs="Arial"/>
          <w:sz w:val="20"/>
          <w:szCs w:val="20"/>
          <w:lang w:val="es-ES_tradnl"/>
        </w:rPr>
        <w:t xml:space="preserve">no establece un medio específico para acreditar las circunstancias a las que se refiere.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encuentra bajo la condición que permite aplicar la regla de desempate. Por supuesto, el decreto reglamentario que expida el gobierno nacional para garantizar la cumplida ejecución de la Ley </w:t>
      </w:r>
      <w:r w:rsidR="007B209C" w:rsidRPr="00742BED">
        <w:rPr>
          <w:rFonts w:ascii="Arial" w:eastAsia="Calibri" w:hAnsi="Arial" w:cs="Arial"/>
          <w:sz w:val="20"/>
          <w:szCs w:val="20"/>
          <w:lang w:val="es-ES_tradnl"/>
        </w:rPr>
        <w:t>2069</w:t>
      </w:r>
      <w:r w:rsidR="00B02F7C" w:rsidRPr="00742BED">
        <w:rPr>
          <w:rFonts w:ascii="Arial" w:eastAsia="Calibri" w:hAnsi="Arial" w:cs="Arial"/>
          <w:sz w:val="20"/>
          <w:szCs w:val="20"/>
          <w:lang w:val="es-ES_tradnl"/>
        </w:rPr>
        <w:t xml:space="preserve"> de 2020 podría establecer los medios de prueba, así como las autoridades encargadas de certificar las circunstancias del artículo 35. Sin embargo, mientras ello no suceda, deberá aplicarse el criterio indicado con anterioridad.</w:t>
      </w:r>
    </w:p>
    <w:p w14:paraId="5B078637" w14:textId="2B9BC186" w:rsidR="00B167C8" w:rsidRPr="00742BED" w:rsidRDefault="00B167C8" w:rsidP="00B95C30">
      <w:pPr>
        <w:spacing w:line="276" w:lineRule="auto"/>
        <w:jc w:val="both"/>
        <w:rPr>
          <w:rFonts w:ascii="Arial" w:hAnsi="Arial" w:cs="Arial"/>
          <w:noProof/>
          <w:color w:val="000000" w:themeColor="text1"/>
          <w:sz w:val="22"/>
          <w:lang w:val="es-ES_tradnl"/>
        </w:rPr>
      </w:pPr>
    </w:p>
    <w:p w14:paraId="0E4A9782" w14:textId="394CB435" w:rsidR="00357C44" w:rsidRPr="00742BED" w:rsidRDefault="00357C44" w:rsidP="00357C44">
      <w:pPr>
        <w:jc w:val="both"/>
        <w:rPr>
          <w:rFonts w:ascii="Arial" w:eastAsia="Calibri" w:hAnsi="Arial" w:cs="Arial"/>
          <w:b/>
          <w:sz w:val="22"/>
          <w:lang w:val="es-ES_tradnl"/>
        </w:rPr>
      </w:pPr>
      <w:r w:rsidRPr="00742BED">
        <w:rPr>
          <w:rFonts w:ascii="Arial" w:eastAsia="Calibri" w:hAnsi="Arial" w:cs="Arial"/>
          <w:b/>
          <w:sz w:val="22"/>
          <w:lang w:val="es-ES_tradnl"/>
        </w:rPr>
        <w:t xml:space="preserve">FORMA DE PAGO </w:t>
      </w:r>
      <w:r w:rsidRPr="00742BED">
        <w:rPr>
          <w:rFonts w:ascii="Arial" w:eastAsia="Calibri" w:hAnsi="Arial" w:cs="Arial"/>
          <w:b/>
          <w:color w:val="000000" w:themeColor="text1"/>
          <w:sz w:val="22"/>
          <w:lang w:val="es-ES_tradnl"/>
        </w:rPr>
        <w:t>–</w:t>
      </w:r>
      <w:r w:rsidRPr="00742BED">
        <w:rPr>
          <w:rFonts w:ascii="Arial" w:eastAsia="Calibri" w:hAnsi="Arial" w:cs="Arial"/>
          <w:b/>
          <w:sz w:val="22"/>
          <w:lang w:val="es-ES_tradnl"/>
        </w:rPr>
        <w:t xml:space="preserve"> Contrato estatal </w:t>
      </w:r>
      <w:r w:rsidRPr="00742BED">
        <w:rPr>
          <w:rFonts w:ascii="Arial" w:eastAsia="Calibri" w:hAnsi="Arial" w:cs="Arial"/>
          <w:b/>
          <w:color w:val="000000" w:themeColor="text1"/>
          <w:sz w:val="22"/>
          <w:lang w:val="es-ES_tradnl"/>
        </w:rPr>
        <w:t>– Autonomía de la voluntad – Metodología</w:t>
      </w:r>
    </w:p>
    <w:p w14:paraId="115BEAC7" w14:textId="6FF1CF1E" w:rsidR="00357C44" w:rsidRPr="00742BED" w:rsidRDefault="00357C44" w:rsidP="00B95C30">
      <w:pPr>
        <w:spacing w:line="276" w:lineRule="auto"/>
        <w:jc w:val="both"/>
        <w:rPr>
          <w:rFonts w:ascii="Arial" w:hAnsi="Arial" w:cs="Arial"/>
          <w:noProof/>
          <w:color w:val="000000" w:themeColor="text1"/>
          <w:sz w:val="22"/>
          <w:lang w:val="es-ES_tradnl"/>
        </w:rPr>
      </w:pPr>
    </w:p>
    <w:p w14:paraId="621A420A" w14:textId="00435BC9" w:rsidR="00357C44" w:rsidRPr="00742BED" w:rsidRDefault="00357C44" w:rsidP="00357C44">
      <w:pPr>
        <w:jc w:val="both"/>
        <w:rPr>
          <w:rFonts w:ascii="Arial" w:hAnsi="Arial" w:cs="Arial"/>
          <w:bCs/>
          <w:sz w:val="20"/>
          <w:szCs w:val="20"/>
          <w:lang w:val="es-ES_tradnl"/>
        </w:rPr>
      </w:pPr>
      <w:r w:rsidRPr="00742BED">
        <w:rPr>
          <w:rFonts w:ascii="Arial" w:hAnsi="Arial" w:cs="Arial"/>
          <w:bCs/>
          <w:sz w:val="20"/>
          <w:szCs w:val="20"/>
          <w:lang w:val="es-ES_tradnl"/>
        </w:rPr>
        <w:t>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w:t>
      </w:r>
    </w:p>
    <w:p w14:paraId="3324ED1C" w14:textId="77777777" w:rsidR="00357C44" w:rsidRPr="00742BED" w:rsidRDefault="00357C44" w:rsidP="00357C44">
      <w:pPr>
        <w:jc w:val="both"/>
        <w:rPr>
          <w:rFonts w:ascii="Arial" w:hAnsi="Arial" w:cs="Arial"/>
          <w:bCs/>
          <w:sz w:val="20"/>
          <w:szCs w:val="20"/>
          <w:lang w:val="es-ES_tradnl"/>
        </w:rPr>
      </w:pPr>
    </w:p>
    <w:p w14:paraId="246464EF" w14:textId="77777777" w:rsidR="00357C44" w:rsidRPr="00742BED" w:rsidRDefault="00357C44" w:rsidP="00357C44">
      <w:pPr>
        <w:jc w:val="both"/>
        <w:rPr>
          <w:rFonts w:ascii="Arial" w:hAnsi="Arial" w:cs="Arial"/>
          <w:bCs/>
          <w:sz w:val="20"/>
          <w:szCs w:val="20"/>
          <w:lang w:val="es-ES_tradnl"/>
        </w:rPr>
      </w:pPr>
      <w:r w:rsidRPr="00742BED">
        <w:rPr>
          <w:rFonts w:ascii="Arial" w:hAnsi="Arial" w:cs="Arial"/>
          <w:bCs/>
          <w:sz w:val="20"/>
          <w:szCs w:val="20"/>
          <w:lang w:val="es-ES_tradnl"/>
        </w:rPr>
        <w:t>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ii) el precio global –que equivale al monto total, sin discriminar unidades–, y iii) la administración delegada de recursos –en la que se distinguen los costos de inversión de los honorarios del administrador–.</w:t>
      </w:r>
    </w:p>
    <w:p w14:paraId="2AA39F12" w14:textId="35A78807" w:rsidR="00357C44" w:rsidRPr="00742BED" w:rsidRDefault="00357C44" w:rsidP="00B95C30">
      <w:pPr>
        <w:spacing w:line="276" w:lineRule="auto"/>
        <w:jc w:val="both"/>
        <w:rPr>
          <w:rFonts w:ascii="Arial" w:hAnsi="Arial" w:cs="Arial"/>
          <w:noProof/>
          <w:color w:val="000000" w:themeColor="text1"/>
          <w:sz w:val="22"/>
          <w:lang w:val="es-ES_tradnl"/>
        </w:rPr>
      </w:pPr>
    </w:p>
    <w:p w14:paraId="47BC5195" w14:textId="0C914B96" w:rsidR="00357C44" w:rsidRPr="00742BED" w:rsidRDefault="00357C44" w:rsidP="00357C44">
      <w:pPr>
        <w:jc w:val="both"/>
        <w:rPr>
          <w:rFonts w:ascii="Arial" w:eastAsia="Calibri" w:hAnsi="Arial" w:cs="Arial"/>
          <w:b/>
          <w:sz w:val="22"/>
          <w:lang w:val="es-ES_tradnl"/>
        </w:rPr>
      </w:pPr>
      <w:r w:rsidRPr="00742BED">
        <w:rPr>
          <w:rFonts w:ascii="Arial" w:eastAsia="Calibri" w:hAnsi="Arial" w:cs="Arial"/>
          <w:b/>
          <w:sz w:val="22"/>
          <w:lang w:val="es-ES_tradnl"/>
        </w:rPr>
        <w:t xml:space="preserve">ADICIÓN </w:t>
      </w:r>
      <w:r w:rsidRPr="00742BED">
        <w:rPr>
          <w:rFonts w:ascii="Arial" w:eastAsia="Calibri" w:hAnsi="Arial" w:cs="Arial"/>
          <w:b/>
          <w:color w:val="000000" w:themeColor="text1"/>
          <w:sz w:val="22"/>
          <w:lang w:val="es-ES_tradnl"/>
        </w:rPr>
        <w:t>–</w:t>
      </w:r>
      <w:r w:rsidRPr="00742BED">
        <w:rPr>
          <w:rFonts w:ascii="Arial" w:eastAsia="Calibri" w:hAnsi="Arial" w:cs="Arial"/>
          <w:b/>
          <w:sz w:val="22"/>
          <w:lang w:val="es-ES_tradnl"/>
        </w:rPr>
        <w:t xml:space="preserve"> Concepto </w:t>
      </w:r>
      <w:r w:rsidRPr="00742BED">
        <w:rPr>
          <w:rFonts w:ascii="Arial" w:eastAsia="Calibri" w:hAnsi="Arial" w:cs="Arial"/>
          <w:b/>
          <w:color w:val="000000" w:themeColor="text1"/>
          <w:sz w:val="22"/>
          <w:lang w:val="es-ES_tradnl"/>
        </w:rPr>
        <w:t>– Autonomía – Límites</w:t>
      </w:r>
    </w:p>
    <w:p w14:paraId="771A51AD" w14:textId="30C66202" w:rsidR="00357C44" w:rsidRPr="00742BED" w:rsidRDefault="00357C44" w:rsidP="00B95C30">
      <w:pPr>
        <w:spacing w:line="276" w:lineRule="auto"/>
        <w:jc w:val="both"/>
        <w:rPr>
          <w:rFonts w:ascii="Arial" w:hAnsi="Arial" w:cs="Arial"/>
          <w:noProof/>
          <w:color w:val="000000" w:themeColor="text1"/>
          <w:sz w:val="22"/>
          <w:lang w:val="es-ES_tradnl"/>
        </w:rPr>
      </w:pPr>
    </w:p>
    <w:p w14:paraId="405FE6BB" w14:textId="36C42E9C" w:rsidR="00357C44" w:rsidRPr="00742BED" w:rsidRDefault="00357C44" w:rsidP="00357C44">
      <w:pPr>
        <w:jc w:val="both"/>
        <w:rPr>
          <w:rFonts w:ascii="Arial" w:eastAsia="Calibri" w:hAnsi="Arial" w:cs="Arial"/>
          <w:sz w:val="20"/>
          <w:szCs w:val="20"/>
          <w:lang w:val="es-ES_tradnl"/>
        </w:rPr>
      </w:pPr>
      <w:r w:rsidRPr="00742BED">
        <w:rPr>
          <w:rFonts w:ascii="Arial" w:eastAsia="Calibri" w:hAnsi="Arial" w:cs="Arial"/>
          <w:sz w:val="20"/>
          <w:szCs w:val="20"/>
          <w:lang w:val="es-ES_tradnl"/>
        </w:rPr>
        <w:t xml:space="preserve">Ahora bien, la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identifican alguna de las siguientes situaciones: i) la necesidad de mayores cantidades de bienes o actividades inicialmente previstos, a lo que se le conoce como «mayores cantidades de obra», «obras adicionales» o adición de «ítems contractuales»; y ii)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w:t>
      </w:r>
    </w:p>
    <w:p w14:paraId="1F3CF78E" w14:textId="77777777" w:rsidR="00357C44" w:rsidRPr="00742BED" w:rsidRDefault="00357C44" w:rsidP="00357C44">
      <w:pPr>
        <w:jc w:val="both"/>
        <w:rPr>
          <w:rFonts w:ascii="Arial" w:eastAsia="Calibri" w:hAnsi="Arial" w:cs="Arial"/>
          <w:sz w:val="20"/>
          <w:szCs w:val="20"/>
          <w:lang w:val="es-ES_tradnl"/>
        </w:rPr>
      </w:pPr>
    </w:p>
    <w:p w14:paraId="3A236A07" w14:textId="38C466C5" w:rsidR="00357C44" w:rsidRPr="00742BED" w:rsidRDefault="00357C44" w:rsidP="00357C44">
      <w:pPr>
        <w:jc w:val="both"/>
        <w:rPr>
          <w:rFonts w:ascii="Arial" w:hAnsi="Arial" w:cs="Arial"/>
          <w:bCs/>
          <w:sz w:val="20"/>
          <w:szCs w:val="20"/>
          <w:lang w:val="es-ES_tradnl"/>
        </w:rPr>
      </w:pPr>
      <w:r w:rsidRPr="00742BED">
        <w:rPr>
          <w:rFonts w:ascii="Arial" w:eastAsia="Calibri" w:hAnsi="Arial" w:cs="Arial"/>
          <w:sz w:val="20"/>
          <w:szCs w:val="20"/>
          <w:lang w:val="es-ES_tradnl"/>
        </w:rPr>
        <w:t xml:space="preserve">No obstante, estos términos –algunos de ellos usualmente empleados en contratos de obra– son nociones doctrinarias que se utilizan en la práctica por las entidades estatales, que actualmente no tienen un fundamento particular en el ordenamiento jurídico, el cual no le asigna efectos específicos </w:t>
      </w:r>
      <w:r w:rsidRPr="00742BED">
        <w:rPr>
          <w:rFonts w:ascii="Arial" w:eastAsia="Calibri" w:hAnsi="Arial" w:cs="Arial"/>
          <w:sz w:val="20"/>
          <w:szCs w:val="20"/>
          <w:lang w:val="es-ES_tradnl"/>
        </w:rPr>
        <w:lastRenderedPageBreak/>
        <w:t xml:space="preserve">a cada uno de ellos. </w:t>
      </w:r>
      <w:r w:rsidRPr="00742BED">
        <w:rPr>
          <w:rFonts w:ascii="Arial" w:hAnsi="Arial" w:cs="Arial"/>
          <w:color w:val="000000" w:themeColor="text1"/>
          <w:sz w:val="20"/>
          <w:szCs w:val="20"/>
          <w:lang w:val="es-ES_tradnl"/>
        </w:rPr>
        <w:t xml:space="preserve">Lo importante es que frente a cualquier incremento del valor inicial del contrato, que es lo que implica una </w:t>
      </w:r>
      <w:r w:rsidRPr="00742BED">
        <w:rPr>
          <w:rFonts w:ascii="Arial" w:hAnsi="Arial" w:cs="Arial"/>
          <w:i/>
          <w:iCs/>
          <w:color w:val="000000" w:themeColor="text1"/>
          <w:sz w:val="20"/>
          <w:szCs w:val="20"/>
          <w:lang w:val="es-ES_tradnl"/>
        </w:rPr>
        <w:t xml:space="preserve">adición, </w:t>
      </w:r>
      <w:r w:rsidRPr="00742BED">
        <w:rPr>
          <w:rFonts w:ascii="Arial" w:hAnsi="Arial" w:cs="Arial"/>
          <w:color w:val="000000" w:themeColor="text1"/>
          <w:sz w:val="20"/>
          <w:szCs w:val="20"/>
          <w:lang w:val="es-ES_tradnl"/>
        </w:rPr>
        <w:t>por cualquiera de los dos supuesto señalados previamente, e independiente del nombre que se le dé al acuerdo,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se debe observar esta última disposición.</w:t>
      </w:r>
    </w:p>
    <w:p w14:paraId="45AAB148" w14:textId="58D5FC73" w:rsidR="00357C44" w:rsidRPr="00742BED" w:rsidRDefault="00357C44" w:rsidP="00B95C30">
      <w:pPr>
        <w:spacing w:line="276" w:lineRule="auto"/>
        <w:jc w:val="both"/>
        <w:rPr>
          <w:rFonts w:ascii="Arial" w:hAnsi="Arial" w:cs="Arial"/>
          <w:noProof/>
          <w:color w:val="000000" w:themeColor="text1"/>
          <w:sz w:val="22"/>
          <w:lang w:val="es-ES_tradnl"/>
        </w:rPr>
      </w:pPr>
    </w:p>
    <w:p w14:paraId="2EC87ECC" w14:textId="67DE5952" w:rsidR="00357C44" w:rsidRPr="00742BED" w:rsidRDefault="00357C44" w:rsidP="00357C44">
      <w:pPr>
        <w:jc w:val="both"/>
        <w:rPr>
          <w:rFonts w:ascii="Arial" w:eastAsia="Calibri" w:hAnsi="Arial" w:cs="Arial"/>
          <w:b/>
          <w:sz w:val="22"/>
          <w:lang w:val="es-ES_tradnl"/>
        </w:rPr>
      </w:pPr>
      <w:r w:rsidRPr="00742BED">
        <w:rPr>
          <w:rFonts w:ascii="Arial" w:eastAsia="Calibri" w:hAnsi="Arial" w:cs="Arial"/>
          <w:b/>
          <w:sz w:val="22"/>
          <w:lang w:val="es-ES_tradnl"/>
        </w:rPr>
        <w:t xml:space="preserve">TRANSACCIÓN </w:t>
      </w:r>
      <w:r w:rsidRPr="00742BED">
        <w:rPr>
          <w:rFonts w:ascii="Arial" w:eastAsia="Calibri" w:hAnsi="Arial" w:cs="Arial"/>
          <w:b/>
          <w:color w:val="000000" w:themeColor="text1"/>
          <w:sz w:val="22"/>
          <w:lang w:val="es-ES_tradnl"/>
        </w:rPr>
        <w:t>–</w:t>
      </w:r>
      <w:r w:rsidRPr="00742BED">
        <w:rPr>
          <w:rFonts w:ascii="Arial" w:eastAsia="Calibri" w:hAnsi="Arial" w:cs="Arial"/>
          <w:b/>
          <w:sz w:val="22"/>
          <w:lang w:val="es-ES_tradnl"/>
        </w:rPr>
        <w:t xml:space="preserve"> Concepto </w:t>
      </w:r>
      <w:r w:rsidRPr="00742BED">
        <w:rPr>
          <w:rFonts w:ascii="Arial" w:eastAsia="Calibri" w:hAnsi="Arial" w:cs="Arial"/>
          <w:b/>
          <w:color w:val="000000" w:themeColor="text1"/>
          <w:sz w:val="22"/>
          <w:lang w:val="es-ES_tradnl"/>
        </w:rPr>
        <w:t>– Arreglo directo – Procedencia</w:t>
      </w:r>
    </w:p>
    <w:p w14:paraId="2442B939" w14:textId="1D7EAF82" w:rsidR="00357C44" w:rsidRPr="00742BED" w:rsidRDefault="00357C44" w:rsidP="00357C44">
      <w:pPr>
        <w:jc w:val="both"/>
        <w:rPr>
          <w:rFonts w:ascii="Arial" w:hAnsi="Arial" w:cs="Arial"/>
          <w:noProof/>
          <w:color w:val="000000" w:themeColor="text1"/>
          <w:sz w:val="20"/>
          <w:szCs w:val="20"/>
          <w:lang w:val="es-ES_tradnl"/>
        </w:rPr>
      </w:pPr>
    </w:p>
    <w:p w14:paraId="7E599C6B" w14:textId="7C02285C" w:rsidR="00357C44" w:rsidRPr="00742BED" w:rsidRDefault="00357C44" w:rsidP="00357C44">
      <w:pPr>
        <w:jc w:val="both"/>
        <w:rPr>
          <w:rFonts w:ascii="Arial" w:hAnsi="Arial" w:cs="Arial"/>
          <w:color w:val="000000" w:themeColor="text1"/>
          <w:sz w:val="20"/>
          <w:szCs w:val="20"/>
          <w:lang w:val="es-ES_tradnl"/>
        </w:rPr>
      </w:pPr>
      <w:r w:rsidRPr="00742BED">
        <w:rPr>
          <w:rFonts w:ascii="Arial" w:hAnsi="Arial" w:cs="Arial"/>
          <w:color w:val="000000" w:themeColor="text1"/>
          <w:sz w:val="20"/>
          <w:szCs w:val="20"/>
          <w:lang w:val="es-ES_tradnl"/>
        </w:rPr>
        <w:t xml:space="preserve">[…], como lo indicó esta Agencia en el concepto C-807 del 29 de diciembre de 2020, las entidades estatales en su actividad contractual pueden acudir a los mecanismos alternativos de resolución de </w:t>
      </w:r>
      <w:r w:rsidR="009C65EB" w:rsidRPr="00742BED">
        <w:rPr>
          <w:rFonts w:ascii="Arial" w:hAnsi="Arial" w:cs="Arial"/>
          <w:color w:val="000000" w:themeColor="text1"/>
          <w:sz w:val="20"/>
          <w:szCs w:val="20"/>
          <w:lang w:val="es-ES_tradnl"/>
        </w:rPr>
        <w:t>conflictos</w:t>
      </w:r>
      <w:r w:rsidRPr="00742BED">
        <w:rPr>
          <w:rFonts w:ascii="Arial" w:hAnsi="Arial" w:cs="Arial"/>
          <w:color w:val="000000" w:themeColor="text1"/>
          <w:sz w:val="20"/>
          <w:szCs w:val="20"/>
          <w:lang w:val="es-ES_tradnl"/>
        </w:rPr>
        <w:t xml:space="preserve">, entre ellos la transacción, que </w:t>
      </w:r>
      <w:r w:rsidRPr="00742BED">
        <w:rPr>
          <w:rFonts w:ascii="Arial" w:eastAsia="Calibri" w:hAnsi="Arial" w:cs="Arial"/>
          <w:color w:val="000000" w:themeColor="text1"/>
          <w:sz w:val="20"/>
          <w:szCs w:val="20"/>
          <w:lang w:val="es-ES_tradnl"/>
        </w:rPr>
        <w:t xml:space="preserve">es un mecanismo alternativo de resolución de conflictos de carácter </w:t>
      </w:r>
      <w:r w:rsidRPr="00742BED">
        <w:rPr>
          <w:rFonts w:ascii="Arial" w:eastAsia="Calibri" w:hAnsi="Arial" w:cs="Arial"/>
          <w:i/>
          <w:iCs/>
          <w:color w:val="000000" w:themeColor="text1"/>
          <w:sz w:val="20"/>
          <w:szCs w:val="20"/>
          <w:lang w:val="es-ES_tradnl"/>
        </w:rPr>
        <w:t>autocompositivo</w:t>
      </w:r>
      <w:r w:rsidRPr="00742BED">
        <w:rPr>
          <w:rFonts w:ascii="Arial" w:eastAsia="Calibri" w:hAnsi="Arial" w:cs="Arial"/>
          <w:color w:val="000000" w:themeColor="text1"/>
          <w:sz w:val="20"/>
          <w:szCs w:val="20"/>
          <w:lang w:val="es-ES_tradnl"/>
        </w:rPr>
        <w:t xml:space="preserve">. En efecto, mediante la transacción las partes involucradas en una controversia acuerdan directamente la forma de resolverla, o sea que solucionan el conflicto por voluntad propia –efectuando concesiones recíprocas– y no por la imposición de un tercero. De ahí que la transacción revista los rasgos de un </w:t>
      </w:r>
      <w:r w:rsidRPr="00742BED">
        <w:rPr>
          <w:rFonts w:ascii="Arial" w:eastAsia="Calibri" w:hAnsi="Arial" w:cs="Arial"/>
          <w:i/>
          <w:iCs/>
          <w:color w:val="000000" w:themeColor="text1"/>
          <w:sz w:val="20"/>
          <w:szCs w:val="20"/>
          <w:lang w:val="es-ES_tradnl"/>
        </w:rPr>
        <w:t>negocio jurídico</w:t>
      </w:r>
      <w:r w:rsidRPr="00742BED">
        <w:rPr>
          <w:rFonts w:ascii="Arial" w:eastAsia="Calibri" w:hAnsi="Arial" w:cs="Arial"/>
          <w:color w:val="000000" w:themeColor="text1"/>
          <w:sz w:val="20"/>
          <w:szCs w:val="20"/>
          <w:lang w:val="es-ES_tradnl"/>
        </w:rPr>
        <w:t xml:space="preserve"> o </w:t>
      </w:r>
      <w:r w:rsidRPr="00742BED">
        <w:rPr>
          <w:rFonts w:ascii="Arial" w:eastAsia="Calibri" w:hAnsi="Arial" w:cs="Arial"/>
          <w:i/>
          <w:iCs/>
          <w:color w:val="000000" w:themeColor="text1"/>
          <w:sz w:val="20"/>
          <w:szCs w:val="20"/>
          <w:lang w:val="es-ES_tradnl"/>
        </w:rPr>
        <w:t>contrato</w:t>
      </w:r>
      <w:r w:rsidRPr="00742BED">
        <w:rPr>
          <w:rFonts w:ascii="Arial" w:eastAsia="Calibri" w:hAnsi="Arial" w:cs="Arial"/>
          <w:color w:val="000000" w:themeColor="text1"/>
          <w:sz w:val="20"/>
          <w:szCs w:val="20"/>
          <w:lang w:val="es-ES_tradnl"/>
        </w:rPr>
        <w:t xml:space="preserve">, pues es un acuerdo de voluntades para crear, modificar o extinguir derechos y obligaciones. Esto diferencia a la transacción de los mecanismos </w:t>
      </w:r>
      <w:r w:rsidRPr="00742BED">
        <w:rPr>
          <w:rFonts w:ascii="Arial" w:eastAsia="Calibri" w:hAnsi="Arial" w:cs="Arial"/>
          <w:i/>
          <w:iCs/>
          <w:color w:val="000000" w:themeColor="text1"/>
          <w:sz w:val="20"/>
          <w:szCs w:val="20"/>
          <w:lang w:val="es-ES_tradnl"/>
        </w:rPr>
        <w:t>heterocompositivos</w:t>
      </w:r>
      <w:r w:rsidRPr="00742BED">
        <w:rPr>
          <w:rFonts w:ascii="Arial" w:eastAsia="Calibri" w:hAnsi="Arial" w:cs="Arial"/>
          <w:color w:val="000000" w:themeColor="text1"/>
          <w:sz w:val="20"/>
          <w:szCs w:val="20"/>
          <w:lang w:val="es-ES_tradnl"/>
        </w:rPr>
        <w:t>, en los que un sujeto distinto a las partes decide con autoridad a cuál de ellas le asiste la razón.</w:t>
      </w:r>
    </w:p>
    <w:p w14:paraId="79181246" w14:textId="77777777" w:rsidR="00357C44" w:rsidRPr="00742BED" w:rsidRDefault="00357C44" w:rsidP="00357C44">
      <w:pPr>
        <w:jc w:val="both"/>
        <w:rPr>
          <w:rFonts w:ascii="Arial" w:eastAsia="Calibri" w:hAnsi="Arial" w:cs="Arial"/>
          <w:color w:val="000000" w:themeColor="text1"/>
          <w:sz w:val="20"/>
          <w:szCs w:val="20"/>
          <w:lang w:val="es-ES_tradnl"/>
        </w:rPr>
      </w:pPr>
    </w:p>
    <w:p w14:paraId="4ED2C15C" w14:textId="7AB7D29F" w:rsidR="00357C44" w:rsidRPr="00742BED" w:rsidRDefault="00357C44" w:rsidP="00357C44">
      <w:pPr>
        <w:jc w:val="both"/>
        <w:rPr>
          <w:rFonts w:ascii="Arial" w:eastAsia="Calibri" w:hAnsi="Arial" w:cs="Arial"/>
          <w:color w:val="000000" w:themeColor="text1"/>
          <w:sz w:val="20"/>
          <w:szCs w:val="20"/>
          <w:lang w:val="es-ES_tradnl"/>
        </w:rPr>
      </w:pPr>
      <w:r w:rsidRPr="00742BED">
        <w:rPr>
          <w:rFonts w:ascii="Arial" w:eastAsia="Calibri" w:hAnsi="Arial" w:cs="Arial"/>
          <w:color w:val="000000" w:themeColor="text1"/>
          <w:sz w:val="20"/>
          <w:szCs w:val="20"/>
          <w:lang w:val="es-ES_tradnl"/>
        </w:rPr>
        <w:t>El artículo 2.469 del Código Civil define la transacción como «[…] un contrato en que las partes terminan extrajudicialmente un litigio pendiente o precaven un litigio eventual». Adicionalmente, los artículos 2.470 a 2.487 establecen los requisitos del contrato de transacción, entre los que se destacan los siguientes: i) Solo procede sobre derechos inciertos y discutibles. ii) Las partes deben tener capacidad para disponer del objeto del negocio jurídico, lo que no obsta para que se otorgue poder mediante la celebración de un contrato de mandato. iii) No puede versar sobre materias prohibidas, como el estado civil de las personas, derechos ajenos o que no existen. iv) Únicamente surte efecto entre las partes. Además, el artículo 1.625, numeral 3, del mismo Código prevé la transacción como uno de los modos de extinción de las obligaciones.</w:t>
      </w:r>
    </w:p>
    <w:p w14:paraId="201FC873" w14:textId="77777777" w:rsidR="00357C44" w:rsidRPr="00742BED" w:rsidRDefault="00357C44" w:rsidP="00B95C30">
      <w:pPr>
        <w:spacing w:line="276" w:lineRule="auto"/>
        <w:jc w:val="both"/>
        <w:rPr>
          <w:rFonts w:ascii="Arial" w:hAnsi="Arial" w:cs="Arial"/>
          <w:noProof/>
          <w:color w:val="000000" w:themeColor="text1"/>
          <w:sz w:val="22"/>
          <w:lang w:val="es-ES_tradnl"/>
        </w:rPr>
      </w:pPr>
    </w:p>
    <w:p w14:paraId="13C27EB7" w14:textId="77777777" w:rsidR="00B167C8" w:rsidRPr="00742BED" w:rsidRDefault="00B167C8" w:rsidP="00B95C30">
      <w:pPr>
        <w:spacing w:line="276" w:lineRule="auto"/>
        <w:jc w:val="both"/>
        <w:rPr>
          <w:rFonts w:ascii="Arial" w:hAnsi="Arial" w:cs="Arial"/>
          <w:noProof/>
          <w:color w:val="000000" w:themeColor="text1"/>
          <w:sz w:val="22"/>
          <w:lang w:val="es-ES_tradnl"/>
        </w:rPr>
      </w:pPr>
    </w:p>
    <w:p w14:paraId="0AB212D3" w14:textId="77777777" w:rsidR="00B167C8" w:rsidRPr="00742BED" w:rsidRDefault="00B167C8" w:rsidP="00B95C30">
      <w:pPr>
        <w:spacing w:line="276" w:lineRule="auto"/>
        <w:jc w:val="both"/>
        <w:rPr>
          <w:rFonts w:ascii="Arial" w:hAnsi="Arial" w:cs="Arial"/>
          <w:noProof/>
          <w:color w:val="000000" w:themeColor="text1"/>
          <w:sz w:val="22"/>
          <w:lang w:val="es-ES_tradnl"/>
        </w:rPr>
      </w:pPr>
    </w:p>
    <w:p w14:paraId="5B23BC21" w14:textId="77777777" w:rsidR="00B167C8" w:rsidRPr="00742BED" w:rsidRDefault="00B167C8" w:rsidP="00B95C30">
      <w:pPr>
        <w:spacing w:line="276" w:lineRule="auto"/>
        <w:jc w:val="both"/>
        <w:rPr>
          <w:rFonts w:ascii="Arial" w:hAnsi="Arial" w:cs="Arial"/>
          <w:noProof/>
          <w:color w:val="000000" w:themeColor="text1"/>
          <w:sz w:val="22"/>
          <w:lang w:val="es-ES_tradnl"/>
        </w:rPr>
      </w:pPr>
    </w:p>
    <w:p w14:paraId="47C05A37" w14:textId="1069F92E" w:rsidR="00F53F4F" w:rsidRPr="00742BED" w:rsidRDefault="00F53F4F" w:rsidP="00B95C30">
      <w:pPr>
        <w:spacing w:line="276" w:lineRule="auto"/>
        <w:jc w:val="both"/>
        <w:rPr>
          <w:rFonts w:ascii="Arial" w:hAnsi="Arial" w:cs="Arial"/>
          <w:noProof/>
          <w:color w:val="000000" w:themeColor="text1"/>
          <w:sz w:val="22"/>
          <w:lang w:val="es-ES_tradnl"/>
        </w:rPr>
      </w:pPr>
    </w:p>
    <w:p w14:paraId="4C890ADD" w14:textId="4072A01E" w:rsidR="00160C01" w:rsidRPr="00742BED" w:rsidRDefault="00160C01" w:rsidP="00B95C30">
      <w:pPr>
        <w:spacing w:line="276" w:lineRule="auto"/>
        <w:jc w:val="both"/>
        <w:rPr>
          <w:rFonts w:ascii="Arial" w:hAnsi="Arial" w:cs="Arial"/>
          <w:noProof/>
          <w:color w:val="000000" w:themeColor="text1"/>
          <w:sz w:val="22"/>
          <w:lang w:val="es-ES_tradnl"/>
        </w:rPr>
      </w:pPr>
    </w:p>
    <w:p w14:paraId="087584F4" w14:textId="1F7A4741" w:rsidR="00160C01" w:rsidRPr="00742BED" w:rsidRDefault="00160C01" w:rsidP="00B95C30">
      <w:pPr>
        <w:spacing w:line="276" w:lineRule="auto"/>
        <w:jc w:val="both"/>
        <w:rPr>
          <w:rFonts w:ascii="Arial" w:hAnsi="Arial" w:cs="Arial"/>
          <w:noProof/>
          <w:color w:val="000000" w:themeColor="text1"/>
          <w:sz w:val="22"/>
          <w:lang w:val="es-ES_tradnl"/>
        </w:rPr>
      </w:pPr>
    </w:p>
    <w:p w14:paraId="310C4E73" w14:textId="402A5058" w:rsidR="00160C01" w:rsidRPr="00742BED" w:rsidRDefault="00160C01" w:rsidP="00B95C30">
      <w:pPr>
        <w:spacing w:line="276" w:lineRule="auto"/>
        <w:jc w:val="both"/>
        <w:rPr>
          <w:rFonts w:ascii="Arial" w:hAnsi="Arial" w:cs="Arial"/>
          <w:noProof/>
          <w:color w:val="000000" w:themeColor="text1"/>
          <w:sz w:val="22"/>
          <w:lang w:val="es-ES_tradnl"/>
        </w:rPr>
      </w:pPr>
    </w:p>
    <w:p w14:paraId="32590D25" w14:textId="1D5A21BB" w:rsidR="00160C01" w:rsidRPr="00742BED" w:rsidRDefault="00160C01" w:rsidP="00B95C30">
      <w:pPr>
        <w:spacing w:line="276" w:lineRule="auto"/>
        <w:jc w:val="both"/>
        <w:rPr>
          <w:rFonts w:ascii="Arial" w:hAnsi="Arial" w:cs="Arial"/>
          <w:noProof/>
          <w:color w:val="000000" w:themeColor="text1"/>
          <w:sz w:val="22"/>
          <w:lang w:val="es-ES_tradnl"/>
        </w:rPr>
      </w:pPr>
    </w:p>
    <w:p w14:paraId="25CCBBE2" w14:textId="3A508260" w:rsidR="00160C01" w:rsidRPr="00742BED" w:rsidRDefault="00160C01" w:rsidP="00B95C30">
      <w:pPr>
        <w:spacing w:line="276" w:lineRule="auto"/>
        <w:jc w:val="both"/>
        <w:rPr>
          <w:rFonts w:ascii="Arial" w:hAnsi="Arial" w:cs="Arial"/>
          <w:noProof/>
          <w:color w:val="000000" w:themeColor="text1"/>
          <w:sz w:val="22"/>
          <w:lang w:val="es-ES_tradnl"/>
        </w:rPr>
      </w:pPr>
    </w:p>
    <w:p w14:paraId="3DA67C56" w14:textId="77777777" w:rsidR="00160C01" w:rsidRPr="00742BED" w:rsidRDefault="00160C01" w:rsidP="00B95C30">
      <w:pPr>
        <w:spacing w:line="276" w:lineRule="auto"/>
        <w:jc w:val="both"/>
        <w:rPr>
          <w:rFonts w:ascii="Arial" w:hAnsi="Arial" w:cs="Arial"/>
          <w:noProof/>
          <w:color w:val="000000" w:themeColor="text1"/>
          <w:sz w:val="22"/>
          <w:lang w:val="es-ES_tradnl"/>
        </w:rPr>
      </w:pPr>
    </w:p>
    <w:p w14:paraId="12A9C41A" w14:textId="77777777" w:rsidR="00F53F4F" w:rsidRPr="00742BED" w:rsidRDefault="00F53F4F" w:rsidP="00B95C30">
      <w:pPr>
        <w:spacing w:line="276" w:lineRule="auto"/>
        <w:jc w:val="both"/>
        <w:rPr>
          <w:rFonts w:ascii="Arial" w:hAnsi="Arial" w:cs="Arial"/>
          <w:noProof/>
          <w:color w:val="000000" w:themeColor="text1"/>
          <w:sz w:val="22"/>
          <w:lang w:val="es-ES_tradnl"/>
        </w:rPr>
      </w:pPr>
    </w:p>
    <w:p w14:paraId="2A4FF5E1" w14:textId="77777777" w:rsidR="00402B33" w:rsidRPr="00742BED" w:rsidRDefault="00402B33" w:rsidP="00B95C30">
      <w:pPr>
        <w:spacing w:line="276" w:lineRule="auto"/>
        <w:jc w:val="both"/>
        <w:rPr>
          <w:rFonts w:ascii="Arial" w:hAnsi="Arial" w:cs="Arial"/>
          <w:noProof/>
          <w:color w:val="000000" w:themeColor="text1"/>
          <w:sz w:val="22"/>
          <w:lang w:val="es-ES_tradnl"/>
        </w:rPr>
      </w:pPr>
    </w:p>
    <w:p w14:paraId="6BE39B7C" w14:textId="77777777" w:rsidR="00402B33" w:rsidRPr="00742BED" w:rsidRDefault="00402B33" w:rsidP="00B95C30">
      <w:pPr>
        <w:spacing w:line="276" w:lineRule="auto"/>
        <w:jc w:val="both"/>
        <w:rPr>
          <w:rFonts w:ascii="Arial" w:hAnsi="Arial" w:cs="Arial"/>
          <w:noProof/>
          <w:color w:val="000000" w:themeColor="text1"/>
          <w:sz w:val="22"/>
          <w:lang w:val="es-ES_tradnl"/>
        </w:rPr>
      </w:pPr>
    </w:p>
    <w:p w14:paraId="074A7A2C" w14:textId="77777777" w:rsidR="00402B33" w:rsidRPr="00742BED" w:rsidRDefault="00402B33" w:rsidP="00B95C30">
      <w:pPr>
        <w:spacing w:line="276" w:lineRule="auto"/>
        <w:jc w:val="both"/>
        <w:rPr>
          <w:rFonts w:ascii="Arial" w:hAnsi="Arial" w:cs="Arial"/>
          <w:noProof/>
          <w:color w:val="000000" w:themeColor="text1"/>
          <w:sz w:val="22"/>
          <w:lang w:val="es-ES_tradnl"/>
        </w:rPr>
      </w:pPr>
    </w:p>
    <w:p w14:paraId="7B553D38" w14:textId="77777777" w:rsidR="00D96F14" w:rsidRPr="00742BED" w:rsidRDefault="00D96F14" w:rsidP="00B95C30">
      <w:pPr>
        <w:spacing w:line="276" w:lineRule="auto"/>
        <w:jc w:val="both"/>
        <w:rPr>
          <w:rFonts w:ascii="Arial" w:hAnsi="Arial" w:cs="Arial"/>
          <w:noProof/>
          <w:color w:val="000000" w:themeColor="text1"/>
          <w:sz w:val="22"/>
          <w:lang w:val="es-ES_tradnl"/>
        </w:rPr>
      </w:pPr>
    </w:p>
    <w:p w14:paraId="7DD48F49" w14:textId="7E430E6F" w:rsidR="00B95C30" w:rsidRPr="00742BED" w:rsidRDefault="00B95C30" w:rsidP="00B95C30">
      <w:pPr>
        <w:spacing w:line="276" w:lineRule="auto"/>
        <w:jc w:val="both"/>
        <w:rPr>
          <w:rFonts w:ascii="Arial" w:hAnsi="Arial" w:cs="Arial"/>
          <w:b/>
          <w:bCs/>
          <w:noProof/>
          <w:color w:val="000000" w:themeColor="text1"/>
          <w:sz w:val="22"/>
          <w:lang w:val="es-ES_tradnl"/>
        </w:rPr>
      </w:pPr>
      <w:r w:rsidRPr="00742BED">
        <w:rPr>
          <w:rFonts w:ascii="Arial" w:hAnsi="Arial" w:cs="Arial"/>
          <w:noProof/>
          <w:color w:val="000000" w:themeColor="text1"/>
          <w:sz w:val="22"/>
          <w:lang w:val="es-ES_tradnl"/>
        </w:rPr>
        <w:lastRenderedPageBreak/>
        <w:t xml:space="preserve">Bogotá D.C., </w:t>
      </w:r>
      <w:r w:rsidR="005D1511">
        <w:rPr>
          <w:rFonts w:ascii="Arial" w:hAnsi="Arial" w:cs="Arial"/>
          <w:b/>
          <w:color w:val="000000" w:themeColor="text1"/>
          <w:sz w:val="22"/>
          <w:lang w:val="es-ES_tradnl"/>
        </w:rPr>
        <w:t>21/06/2021 11:13:48</w:t>
      </w:r>
    </w:p>
    <w:p w14:paraId="1F928DBD" w14:textId="77777777" w:rsidR="00F53F4F" w:rsidRPr="00742BED" w:rsidRDefault="00F53F4F" w:rsidP="00B95C30">
      <w:pPr>
        <w:spacing w:line="276" w:lineRule="auto"/>
        <w:jc w:val="both"/>
        <w:rPr>
          <w:rFonts w:ascii="Arial" w:eastAsia="Calibri" w:hAnsi="Arial" w:cs="Arial"/>
          <w:noProof/>
          <w:color w:val="000000" w:themeColor="text1"/>
          <w:sz w:val="22"/>
          <w:szCs w:val="22"/>
          <w:lang w:val="es-ES_tradnl"/>
        </w:rPr>
      </w:pPr>
    </w:p>
    <w:p w14:paraId="708B07E1" w14:textId="6ED19EFC" w:rsidR="00417C00" w:rsidRPr="00742BED" w:rsidRDefault="005D1511" w:rsidP="00417C00">
      <w:pPr>
        <w:jc w:val="right"/>
        <w:rPr>
          <w:lang w:val="es-ES_tradnl"/>
        </w:rPr>
      </w:pPr>
      <w:r w:rsidRPr="005D1511">
        <w:rPr>
          <w:lang w:val="es-ES_tradnl"/>
        </w:rPr>
        <w:drawing>
          <wp:inline distT="0" distB="0" distL="0" distR="0" wp14:anchorId="7ACD2EEA" wp14:editId="2C8DD380">
            <wp:extent cx="2527300" cy="74930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527300" cy="749300"/>
                    </a:xfrm>
                    <a:prstGeom prst="rect">
                      <a:avLst/>
                    </a:prstGeom>
                  </pic:spPr>
                </pic:pic>
              </a:graphicData>
            </a:graphic>
          </wp:inline>
        </w:drawing>
      </w:r>
    </w:p>
    <w:p w14:paraId="6A8A869B" w14:textId="514D7C5B" w:rsidR="00B95C30" w:rsidRPr="00742BED" w:rsidRDefault="00B95C30" w:rsidP="00B95C30">
      <w:pPr>
        <w:jc w:val="both"/>
        <w:rPr>
          <w:rFonts w:ascii="Arial" w:hAnsi="Arial" w:cs="Arial"/>
          <w:b/>
          <w:color w:val="000000" w:themeColor="text1"/>
          <w:sz w:val="22"/>
          <w:lang w:val="es-ES_tradnl"/>
        </w:rPr>
      </w:pPr>
    </w:p>
    <w:p w14:paraId="24A88D3F" w14:textId="77777777" w:rsidR="00F53F4F" w:rsidRPr="00742BED" w:rsidRDefault="00F53F4F" w:rsidP="00B95C30">
      <w:pPr>
        <w:jc w:val="both"/>
        <w:rPr>
          <w:rFonts w:ascii="Arial" w:hAnsi="Arial" w:cs="Arial"/>
          <w:b/>
          <w:color w:val="000000" w:themeColor="text1"/>
          <w:sz w:val="22"/>
          <w:lang w:val="es-ES_tradnl"/>
        </w:rPr>
      </w:pPr>
    </w:p>
    <w:p w14:paraId="5F5AE9EF" w14:textId="50BEC1B4" w:rsidR="00B95C30" w:rsidRPr="00742BED" w:rsidRDefault="00BE4FBF" w:rsidP="00B95C30">
      <w:pPr>
        <w:jc w:val="both"/>
        <w:rPr>
          <w:rFonts w:ascii="Arial" w:eastAsia="Calibri" w:hAnsi="Arial" w:cs="Arial"/>
          <w:color w:val="000000" w:themeColor="text1"/>
          <w:sz w:val="22"/>
          <w:lang w:val="es-ES_tradnl"/>
        </w:rPr>
      </w:pPr>
      <w:r w:rsidRPr="00742BED">
        <w:rPr>
          <w:rFonts w:ascii="Arial" w:eastAsia="Calibri" w:hAnsi="Arial" w:cs="Arial"/>
          <w:color w:val="000000" w:themeColor="text1"/>
          <w:sz w:val="22"/>
          <w:lang w:val="es-ES_tradnl"/>
        </w:rPr>
        <w:t>Señor</w:t>
      </w:r>
      <w:r w:rsidR="00196FDB" w:rsidRPr="00742BED">
        <w:rPr>
          <w:rFonts w:ascii="Arial" w:eastAsia="Calibri" w:hAnsi="Arial" w:cs="Arial"/>
          <w:color w:val="000000" w:themeColor="text1"/>
          <w:sz w:val="22"/>
          <w:lang w:val="es-ES_tradnl"/>
        </w:rPr>
        <w:t>es</w:t>
      </w:r>
    </w:p>
    <w:p w14:paraId="6987FB13" w14:textId="77777777" w:rsidR="002311F0" w:rsidRPr="00742BED" w:rsidRDefault="002311F0" w:rsidP="002311F0">
      <w:pPr>
        <w:jc w:val="both"/>
        <w:rPr>
          <w:rFonts w:ascii="Arial" w:eastAsia="Calibri" w:hAnsi="Arial" w:cs="Arial"/>
          <w:b/>
          <w:color w:val="000000" w:themeColor="text1"/>
          <w:sz w:val="22"/>
          <w:lang w:val="es-ES_tradnl"/>
        </w:rPr>
      </w:pPr>
      <w:r w:rsidRPr="00742BED">
        <w:rPr>
          <w:rFonts w:ascii="Arial" w:eastAsia="Calibri" w:hAnsi="Arial" w:cs="Arial"/>
          <w:b/>
          <w:color w:val="000000" w:themeColor="text1"/>
          <w:sz w:val="22"/>
          <w:lang w:val="es-ES_tradnl"/>
        </w:rPr>
        <w:t>Yuli Victoria Zamora Ramírez</w:t>
      </w:r>
    </w:p>
    <w:p w14:paraId="3DCD58CE" w14:textId="29D313D2" w:rsidR="00B95C30" w:rsidRPr="00742BED" w:rsidRDefault="002766F9" w:rsidP="00B95C30">
      <w:pPr>
        <w:jc w:val="both"/>
        <w:rPr>
          <w:rFonts w:ascii="Arial" w:eastAsia="Calibri" w:hAnsi="Arial" w:cs="Arial"/>
          <w:b/>
          <w:color w:val="000000" w:themeColor="text1"/>
          <w:sz w:val="22"/>
          <w:lang w:val="es-ES_tradnl"/>
        </w:rPr>
      </w:pPr>
      <w:r w:rsidRPr="00742BED">
        <w:rPr>
          <w:rFonts w:ascii="Arial" w:eastAsia="Calibri" w:hAnsi="Arial" w:cs="Arial"/>
          <w:b/>
          <w:color w:val="000000" w:themeColor="text1"/>
          <w:sz w:val="22"/>
          <w:lang w:val="es-ES_tradnl"/>
        </w:rPr>
        <w:t>Juan Sebastián Forero Córdoba</w:t>
      </w:r>
    </w:p>
    <w:p w14:paraId="09D4AEA8" w14:textId="658189A9" w:rsidR="00B95C30" w:rsidRPr="00742BED" w:rsidRDefault="00716BB0" w:rsidP="00B95C30">
      <w:pPr>
        <w:jc w:val="both"/>
        <w:rPr>
          <w:rFonts w:ascii="Arial" w:eastAsia="Calibri" w:hAnsi="Arial" w:cs="Arial"/>
          <w:color w:val="000000" w:themeColor="text1"/>
          <w:sz w:val="22"/>
          <w:lang w:val="es-ES_tradnl"/>
        </w:rPr>
      </w:pPr>
      <w:r w:rsidRPr="00742BED">
        <w:rPr>
          <w:rFonts w:ascii="Arial" w:eastAsia="Calibri" w:hAnsi="Arial" w:cs="Arial"/>
          <w:color w:val="000000" w:themeColor="text1"/>
          <w:sz w:val="22"/>
          <w:lang w:val="es-ES_tradnl"/>
        </w:rPr>
        <w:t>Bogotá D.C.</w:t>
      </w:r>
    </w:p>
    <w:p w14:paraId="3B584A57" w14:textId="4528CA3D" w:rsidR="00F53F4F" w:rsidRPr="00742BED" w:rsidRDefault="00F53F4F" w:rsidP="00B95C30">
      <w:pPr>
        <w:jc w:val="both"/>
        <w:rPr>
          <w:rFonts w:ascii="Arial" w:eastAsia="Calibri" w:hAnsi="Arial" w:cs="Arial"/>
          <w:color w:val="000000" w:themeColor="text1"/>
          <w:sz w:val="22"/>
          <w:lang w:val="es-ES_tradnl"/>
        </w:rPr>
      </w:pPr>
    </w:p>
    <w:p w14:paraId="48E36FCF" w14:textId="77777777" w:rsidR="00F53F4F" w:rsidRPr="00742BED" w:rsidRDefault="00F53F4F" w:rsidP="00B95C30">
      <w:pPr>
        <w:jc w:val="both"/>
        <w:rPr>
          <w:rFonts w:ascii="Arial" w:eastAsia="Calibri" w:hAnsi="Arial" w:cs="Arial"/>
          <w:color w:val="000000" w:themeColor="text1"/>
          <w:sz w:val="22"/>
          <w:lang w:val="es-ES_tradnl"/>
        </w:rPr>
      </w:pPr>
    </w:p>
    <w:p w14:paraId="12E66182" w14:textId="1F8D44EB" w:rsidR="00B95C30" w:rsidRPr="00742BED" w:rsidRDefault="00F53F4F" w:rsidP="001D6CD2">
      <w:pPr>
        <w:rPr>
          <w:rFonts w:ascii="Arial" w:eastAsia="Calibri" w:hAnsi="Arial" w:cs="Arial"/>
          <w:b/>
          <w:bCs/>
          <w:color w:val="000000" w:themeColor="text1"/>
          <w:sz w:val="22"/>
          <w:lang w:val="es-ES_tradnl"/>
        </w:rPr>
      </w:pPr>
      <w:r w:rsidRPr="00742BED">
        <w:rPr>
          <w:rFonts w:ascii="Arial" w:eastAsia="Calibri" w:hAnsi="Arial" w:cs="Arial"/>
          <w:b/>
          <w:bCs/>
          <w:color w:val="000000" w:themeColor="text1"/>
          <w:sz w:val="22"/>
          <w:lang w:val="es-ES_tradnl"/>
        </w:rPr>
        <w:t xml:space="preserve">                                            </w:t>
      </w:r>
      <w:r w:rsidR="00B95C30" w:rsidRPr="00742BED">
        <w:rPr>
          <w:rFonts w:ascii="Arial" w:eastAsia="Calibri" w:hAnsi="Arial" w:cs="Arial"/>
          <w:b/>
          <w:bCs/>
          <w:color w:val="000000" w:themeColor="text1"/>
          <w:sz w:val="22"/>
          <w:lang w:val="es-ES_tradnl"/>
        </w:rPr>
        <w:t xml:space="preserve">Concepto C ‒ </w:t>
      </w:r>
      <w:r w:rsidR="0055518C" w:rsidRPr="00742BED">
        <w:rPr>
          <w:rFonts w:ascii="Arial" w:eastAsia="Calibri" w:hAnsi="Arial" w:cs="Arial"/>
          <w:b/>
          <w:bCs/>
          <w:color w:val="000000" w:themeColor="text1"/>
          <w:sz w:val="22"/>
          <w:lang w:val="es-ES_tradnl"/>
        </w:rPr>
        <w:t>277</w:t>
      </w:r>
      <w:r w:rsidR="00B95C30" w:rsidRPr="00742BED">
        <w:rPr>
          <w:rFonts w:ascii="Arial" w:eastAsia="Calibri" w:hAnsi="Arial" w:cs="Arial"/>
          <w:b/>
          <w:bCs/>
          <w:color w:val="000000" w:themeColor="text1"/>
          <w:sz w:val="22"/>
          <w:lang w:val="es-ES_tradnl"/>
        </w:rPr>
        <w:t xml:space="preserve"> de 202</w:t>
      </w:r>
      <w:r w:rsidR="005E781C" w:rsidRPr="00742BED">
        <w:rPr>
          <w:rFonts w:ascii="Arial" w:eastAsia="Calibri" w:hAnsi="Arial" w:cs="Arial"/>
          <w:b/>
          <w:bCs/>
          <w:color w:val="000000" w:themeColor="text1"/>
          <w:sz w:val="22"/>
          <w:lang w:val="es-ES_tradnl"/>
        </w:rPr>
        <w:t>1</w:t>
      </w:r>
    </w:p>
    <w:p w14:paraId="1BD594F9" w14:textId="77777777" w:rsidR="00B95C30" w:rsidRPr="00742BED"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742BED" w14:paraId="19DFC051" w14:textId="77777777" w:rsidTr="008F4163">
        <w:tc>
          <w:tcPr>
            <w:tcW w:w="2689" w:type="dxa"/>
          </w:tcPr>
          <w:p w14:paraId="6BC0D1AC" w14:textId="77777777" w:rsidR="00B95C30" w:rsidRPr="00742BED" w:rsidRDefault="00B95C30" w:rsidP="008F4163">
            <w:pPr>
              <w:jc w:val="both"/>
              <w:rPr>
                <w:rFonts w:ascii="Arial" w:eastAsia="Calibri" w:hAnsi="Arial" w:cs="Arial"/>
                <w:color w:val="000000" w:themeColor="text1"/>
                <w:sz w:val="22"/>
                <w:lang w:val="es-ES_tradnl"/>
              </w:rPr>
            </w:pPr>
            <w:r w:rsidRPr="00742BED">
              <w:rPr>
                <w:rFonts w:ascii="Arial" w:eastAsia="Calibri" w:hAnsi="Arial" w:cs="Arial"/>
                <w:b/>
                <w:color w:val="000000" w:themeColor="text1"/>
                <w:sz w:val="22"/>
                <w:lang w:val="es-ES_tradnl"/>
              </w:rPr>
              <w:t>Temas:</w:t>
            </w:r>
            <w:r w:rsidRPr="00742BED">
              <w:rPr>
                <w:rFonts w:ascii="Arial" w:eastAsia="Calibri" w:hAnsi="Arial" w:cs="Arial"/>
                <w:color w:val="000000" w:themeColor="text1"/>
                <w:sz w:val="22"/>
                <w:lang w:val="es-ES_tradnl"/>
              </w:rPr>
              <w:t xml:space="preserve">                                      </w:t>
            </w:r>
          </w:p>
        </w:tc>
        <w:tc>
          <w:tcPr>
            <w:tcW w:w="6237" w:type="dxa"/>
          </w:tcPr>
          <w:p w14:paraId="5F389CAF" w14:textId="0A035A53" w:rsidR="00B95C30" w:rsidRPr="00742BED" w:rsidRDefault="00357C44" w:rsidP="008F4163">
            <w:pPr>
              <w:jc w:val="both"/>
              <w:rPr>
                <w:rFonts w:ascii="Arial" w:eastAsia="Calibri" w:hAnsi="Arial" w:cs="Arial"/>
                <w:color w:val="000000" w:themeColor="text1"/>
                <w:sz w:val="22"/>
                <w:lang w:val="es-ES_tradnl"/>
              </w:rPr>
            </w:pPr>
            <w:r w:rsidRPr="00742BED">
              <w:rPr>
                <w:rFonts w:ascii="Arial" w:eastAsia="Calibri" w:hAnsi="Arial" w:cs="Arial"/>
                <w:bCs/>
                <w:sz w:val="22"/>
                <w:lang w:val="es-ES_tradnl"/>
              </w:rPr>
              <w:t>CONCURSO DE MÉRITOS – Concepto – Modalidades / CONCURSO DE MÉRITOS – Decreto 1082 de 2015 – artículo 2.2.1.2.1.3.2 – Suspensión provisional / CONCURSO DE MÉRITOS – Decreto 1082 de 2015 – artículo 2.2.1.2.1.3.2 – Decreto 399 de 2021 – Artículo 2</w:t>
            </w:r>
            <w:r w:rsidR="00402B33" w:rsidRPr="00742BED">
              <w:rPr>
                <w:rFonts w:ascii="Arial" w:eastAsia="Calibri" w:hAnsi="Arial" w:cs="Arial"/>
                <w:bCs/>
                <w:sz w:val="22"/>
                <w:lang w:val="es-ES_tradnl"/>
              </w:rPr>
              <w:t xml:space="preserve"> / SELECCIÓN OBJETIVA – Contratación estatal – Concepto / EMPATE – Procedimiento de selección – Concepto / FACTORES DE DESEMPATE – Características – Límites / LEY DE EMPRENDIMIENTO – Ley 2069 de 2020 – Vigencia / FACTORES DE DESEMPATE – Ley 2069 – Artículo 35 – Numeral 2 – Acreditación / FORMA DE PAGO – Contrato estatal – Autonomía de la voluntad – Metodología / ADICIÓN – Concepto – Autonomía – Límites / TRANSACCIÓN – Concepto – Arreglo directo – Procedencia</w:t>
            </w:r>
            <w:r w:rsidR="00B95C30" w:rsidRPr="00742BED">
              <w:rPr>
                <w:rFonts w:ascii="Arial" w:eastAsia="Arial" w:hAnsi="Arial" w:cs="Arial"/>
                <w:sz w:val="22"/>
                <w:lang w:val="es-ES_tradnl"/>
              </w:rPr>
              <w:t>.</w:t>
            </w:r>
          </w:p>
        </w:tc>
      </w:tr>
      <w:tr w:rsidR="00B95C30" w:rsidRPr="00742BED" w14:paraId="27CD52AB" w14:textId="77777777" w:rsidTr="008F4163">
        <w:tc>
          <w:tcPr>
            <w:tcW w:w="2689" w:type="dxa"/>
          </w:tcPr>
          <w:p w14:paraId="37E195A1" w14:textId="1BA218D5" w:rsidR="00B95C30" w:rsidRPr="00742BED" w:rsidRDefault="00B95C30" w:rsidP="008F4163">
            <w:pPr>
              <w:spacing w:before="120"/>
              <w:jc w:val="both"/>
              <w:rPr>
                <w:rFonts w:ascii="Arial" w:eastAsia="Calibri" w:hAnsi="Arial" w:cs="Arial"/>
                <w:b/>
                <w:color w:val="000000" w:themeColor="text1"/>
                <w:sz w:val="22"/>
                <w:lang w:val="es-ES_tradnl"/>
              </w:rPr>
            </w:pPr>
            <w:r w:rsidRPr="00742BED">
              <w:rPr>
                <w:rFonts w:ascii="Arial" w:eastAsia="Calibri" w:hAnsi="Arial" w:cs="Arial"/>
                <w:b/>
                <w:color w:val="000000" w:themeColor="text1"/>
                <w:sz w:val="22"/>
                <w:lang w:val="es-ES_tradnl"/>
              </w:rPr>
              <w:t>Radicación:</w:t>
            </w:r>
            <w:r w:rsidRPr="00742BED">
              <w:rPr>
                <w:rFonts w:ascii="Arial" w:eastAsia="Calibri" w:hAnsi="Arial" w:cs="Arial"/>
                <w:color w:val="000000" w:themeColor="text1"/>
                <w:sz w:val="22"/>
                <w:lang w:val="es-ES_tradnl"/>
              </w:rPr>
              <w:t xml:space="preserve">                              </w:t>
            </w:r>
          </w:p>
        </w:tc>
        <w:tc>
          <w:tcPr>
            <w:tcW w:w="6237" w:type="dxa"/>
          </w:tcPr>
          <w:p w14:paraId="09088B1B" w14:textId="1F9CC392" w:rsidR="00B95C30" w:rsidRPr="00742BED" w:rsidRDefault="00B95C30" w:rsidP="008F4163">
            <w:pPr>
              <w:spacing w:before="120"/>
              <w:jc w:val="both"/>
              <w:rPr>
                <w:rFonts w:ascii="Arial" w:eastAsia="Calibri" w:hAnsi="Arial" w:cs="Arial"/>
                <w:color w:val="000000" w:themeColor="text1"/>
                <w:sz w:val="22"/>
                <w:lang w:val="es-ES_tradnl"/>
              </w:rPr>
            </w:pPr>
            <w:r w:rsidRPr="00742BED">
              <w:rPr>
                <w:rFonts w:ascii="Arial" w:eastAsia="Calibri" w:hAnsi="Arial" w:cs="Arial"/>
                <w:color w:val="000000" w:themeColor="text1"/>
                <w:sz w:val="22"/>
                <w:lang w:val="es-ES_tradnl"/>
              </w:rPr>
              <w:t>Respuesta a consulta</w:t>
            </w:r>
            <w:r w:rsidR="002311F0" w:rsidRPr="00742BED">
              <w:rPr>
                <w:rFonts w:ascii="Arial" w:eastAsia="Calibri" w:hAnsi="Arial" w:cs="Arial"/>
                <w:color w:val="000000" w:themeColor="text1"/>
                <w:sz w:val="22"/>
                <w:lang w:val="es-ES_tradnl"/>
              </w:rPr>
              <w:t>s acumuladas</w:t>
            </w:r>
            <w:r w:rsidRPr="00742BED">
              <w:rPr>
                <w:rFonts w:ascii="Arial" w:eastAsia="Calibri" w:hAnsi="Arial" w:cs="Arial"/>
                <w:color w:val="000000" w:themeColor="text1"/>
                <w:sz w:val="22"/>
                <w:lang w:val="es-ES_tradnl"/>
              </w:rPr>
              <w:t xml:space="preserve"> # </w:t>
            </w:r>
            <w:r w:rsidR="00FC7221" w:rsidRPr="00742BED">
              <w:rPr>
                <w:rFonts w:ascii="Arial" w:eastAsia="Calibri" w:hAnsi="Arial" w:cs="Arial"/>
                <w:color w:val="000000" w:themeColor="text1"/>
                <w:sz w:val="22"/>
                <w:lang w:val="es-ES_tradnl"/>
              </w:rPr>
              <w:t>P20210428003613</w:t>
            </w:r>
            <w:r w:rsidR="002311F0" w:rsidRPr="00742BED">
              <w:rPr>
                <w:rFonts w:ascii="Arial" w:eastAsia="Calibri" w:hAnsi="Arial" w:cs="Arial"/>
                <w:color w:val="000000" w:themeColor="text1"/>
                <w:sz w:val="22"/>
                <w:lang w:val="es-ES_tradnl"/>
              </w:rPr>
              <w:t xml:space="preserve"> y P20210428003627.</w:t>
            </w:r>
          </w:p>
        </w:tc>
      </w:tr>
    </w:tbl>
    <w:p w14:paraId="61B55CA4" w14:textId="77777777" w:rsidR="00716BB0" w:rsidRPr="00742BED" w:rsidRDefault="00716BB0" w:rsidP="003C3339">
      <w:pPr>
        <w:jc w:val="both"/>
        <w:rPr>
          <w:rFonts w:ascii="Arial" w:eastAsia="Calibri" w:hAnsi="Arial" w:cs="Arial"/>
          <w:color w:val="000000" w:themeColor="text1"/>
          <w:sz w:val="22"/>
          <w:lang w:val="es-ES_tradnl"/>
        </w:rPr>
      </w:pPr>
    </w:p>
    <w:p w14:paraId="4B9B5156" w14:textId="77777777" w:rsidR="00716BB0" w:rsidRPr="00742BED" w:rsidRDefault="00716BB0" w:rsidP="003C3339">
      <w:pPr>
        <w:jc w:val="both"/>
        <w:rPr>
          <w:rFonts w:ascii="Arial" w:eastAsia="Calibri" w:hAnsi="Arial" w:cs="Arial"/>
          <w:color w:val="000000" w:themeColor="text1"/>
          <w:sz w:val="22"/>
          <w:lang w:val="es-ES_tradnl"/>
        </w:rPr>
      </w:pPr>
    </w:p>
    <w:p w14:paraId="1CF4AEA0" w14:textId="02C061F7" w:rsidR="003C3339" w:rsidRPr="00742BED" w:rsidRDefault="003C3339" w:rsidP="003C3339">
      <w:pPr>
        <w:jc w:val="both"/>
        <w:rPr>
          <w:rFonts w:ascii="Arial" w:eastAsia="Calibri" w:hAnsi="Arial" w:cs="Arial"/>
          <w:color w:val="000000" w:themeColor="text1"/>
          <w:sz w:val="22"/>
          <w:lang w:val="es-ES_tradnl"/>
        </w:rPr>
      </w:pPr>
      <w:r w:rsidRPr="00742BED">
        <w:rPr>
          <w:rFonts w:ascii="Arial" w:eastAsia="Calibri" w:hAnsi="Arial" w:cs="Arial"/>
          <w:color w:val="000000" w:themeColor="text1"/>
          <w:sz w:val="22"/>
          <w:lang w:val="es-ES_tradnl"/>
        </w:rPr>
        <w:t>Estimad</w:t>
      </w:r>
      <w:r w:rsidR="002311F0" w:rsidRPr="00742BED">
        <w:rPr>
          <w:rFonts w:ascii="Arial" w:eastAsia="Calibri" w:hAnsi="Arial" w:cs="Arial"/>
          <w:color w:val="000000" w:themeColor="text1"/>
          <w:sz w:val="22"/>
          <w:lang w:val="es-ES_tradnl"/>
        </w:rPr>
        <w:t>os</w:t>
      </w:r>
      <w:r w:rsidRPr="00742BED">
        <w:rPr>
          <w:rFonts w:ascii="Arial" w:eastAsia="Calibri" w:hAnsi="Arial" w:cs="Arial"/>
          <w:color w:val="000000" w:themeColor="text1"/>
          <w:sz w:val="22"/>
          <w:lang w:val="es-ES_tradnl"/>
        </w:rPr>
        <w:t xml:space="preserve"> </w:t>
      </w:r>
      <w:r w:rsidR="0063732C" w:rsidRPr="00742BED">
        <w:rPr>
          <w:rFonts w:ascii="Arial" w:eastAsia="Calibri" w:hAnsi="Arial" w:cs="Arial"/>
          <w:color w:val="000000" w:themeColor="text1"/>
          <w:sz w:val="22"/>
          <w:lang w:val="es-ES_tradnl"/>
        </w:rPr>
        <w:t>señor</w:t>
      </w:r>
      <w:r w:rsidR="002311F0" w:rsidRPr="00742BED">
        <w:rPr>
          <w:rFonts w:ascii="Arial" w:eastAsia="Calibri" w:hAnsi="Arial" w:cs="Arial"/>
          <w:color w:val="000000" w:themeColor="text1"/>
          <w:sz w:val="22"/>
          <w:lang w:val="es-ES_tradnl"/>
        </w:rPr>
        <w:t>es</w:t>
      </w:r>
      <w:r w:rsidR="00BE4FBF" w:rsidRPr="00742BED">
        <w:rPr>
          <w:rFonts w:ascii="Arial" w:eastAsia="Calibri" w:hAnsi="Arial" w:cs="Arial"/>
          <w:color w:val="000000" w:themeColor="text1"/>
          <w:sz w:val="22"/>
          <w:lang w:val="es-ES_tradnl"/>
        </w:rPr>
        <w:t xml:space="preserve"> </w:t>
      </w:r>
      <w:r w:rsidR="002311F0" w:rsidRPr="00742BED">
        <w:rPr>
          <w:rFonts w:ascii="Arial" w:eastAsia="Calibri" w:hAnsi="Arial" w:cs="Arial"/>
          <w:color w:val="000000" w:themeColor="text1"/>
          <w:sz w:val="22"/>
          <w:lang w:val="es-ES_tradnl"/>
        </w:rPr>
        <w:t>Zamora y Forero</w:t>
      </w:r>
      <w:r w:rsidRPr="00742BED">
        <w:rPr>
          <w:rFonts w:ascii="Arial" w:eastAsia="Calibri" w:hAnsi="Arial" w:cs="Arial"/>
          <w:color w:val="000000" w:themeColor="text1"/>
          <w:sz w:val="22"/>
          <w:lang w:val="es-ES_tradnl"/>
        </w:rPr>
        <w:t>:</w:t>
      </w:r>
    </w:p>
    <w:p w14:paraId="1EAE5543" w14:textId="77777777" w:rsidR="00DD5B04" w:rsidRPr="00742BED" w:rsidRDefault="00DD5B04" w:rsidP="00DF76A2">
      <w:pPr>
        <w:jc w:val="both"/>
        <w:rPr>
          <w:rFonts w:ascii="Arial" w:eastAsia="Calibri" w:hAnsi="Arial" w:cs="Arial"/>
          <w:color w:val="000000" w:themeColor="text1"/>
          <w:sz w:val="22"/>
          <w:lang w:val="es-ES_tradnl"/>
        </w:rPr>
      </w:pPr>
    </w:p>
    <w:p w14:paraId="2109B2D3" w14:textId="39C6A9EB" w:rsidR="00DD5B04" w:rsidRPr="00742BED" w:rsidRDefault="00DD5B04" w:rsidP="00DF76A2">
      <w:pPr>
        <w:spacing w:line="276" w:lineRule="auto"/>
        <w:jc w:val="both"/>
        <w:rPr>
          <w:rFonts w:ascii="Arial" w:eastAsia="Calibri" w:hAnsi="Arial" w:cs="Arial"/>
          <w:color w:val="000000" w:themeColor="text1"/>
          <w:sz w:val="22"/>
          <w:lang w:val="es-ES_tradnl"/>
        </w:rPr>
      </w:pPr>
      <w:r w:rsidRPr="00742BED">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8C3C57" w:rsidRPr="00742BED">
        <w:rPr>
          <w:rFonts w:ascii="Arial" w:eastAsia="Calibri" w:hAnsi="Arial" w:cs="Arial"/>
          <w:color w:val="000000" w:themeColor="text1"/>
          <w:sz w:val="22"/>
          <w:lang w:val="es-ES_tradnl"/>
        </w:rPr>
        <w:t xml:space="preserve"> </w:t>
      </w:r>
      <w:r w:rsidRPr="00742BED">
        <w:rPr>
          <w:rFonts w:ascii="Arial" w:eastAsia="Calibri" w:hAnsi="Arial" w:cs="Arial"/>
          <w:color w:val="000000" w:themeColor="text1"/>
          <w:sz w:val="22"/>
          <w:lang w:val="es-ES_tradnl"/>
        </w:rPr>
        <w:t>responde su</w:t>
      </w:r>
      <w:r w:rsidR="00637A68" w:rsidRPr="00742BED">
        <w:rPr>
          <w:rFonts w:ascii="Arial" w:eastAsia="Calibri" w:hAnsi="Arial" w:cs="Arial"/>
          <w:color w:val="000000" w:themeColor="text1"/>
          <w:sz w:val="22"/>
          <w:lang w:val="es-ES_tradnl"/>
        </w:rPr>
        <w:t>s</w:t>
      </w:r>
      <w:r w:rsidRPr="00742BED">
        <w:rPr>
          <w:rFonts w:ascii="Arial" w:eastAsia="Calibri" w:hAnsi="Arial" w:cs="Arial"/>
          <w:color w:val="000000" w:themeColor="text1"/>
          <w:sz w:val="22"/>
          <w:lang w:val="es-ES_tradnl"/>
        </w:rPr>
        <w:t xml:space="preserve"> consulta</w:t>
      </w:r>
      <w:r w:rsidR="00637A68" w:rsidRPr="00742BED">
        <w:rPr>
          <w:rFonts w:ascii="Arial" w:eastAsia="Calibri" w:hAnsi="Arial" w:cs="Arial"/>
          <w:color w:val="000000" w:themeColor="text1"/>
          <w:sz w:val="22"/>
          <w:lang w:val="es-ES_tradnl"/>
        </w:rPr>
        <w:t>s</w:t>
      </w:r>
      <w:r w:rsidRPr="00742BED">
        <w:rPr>
          <w:rFonts w:ascii="Arial" w:eastAsia="Calibri" w:hAnsi="Arial" w:cs="Arial"/>
          <w:color w:val="000000" w:themeColor="text1"/>
          <w:sz w:val="22"/>
          <w:lang w:val="es-ES_tradnl"/>
        </w:rPr>
        <w:t xml:space="preserve"> del </w:t>
      </w:r>
      <w:r w:rsidR="00D25027" w:rsidRPr="00742BED">
        <w:rPr>
          <w:rFonts w:ascii="Arial" w:eastAsia="Calibri" w:hAnsi="Arial" w:cs="Arial"/>
          <w:color w:val="000000" w:themeColor="text1"/>
          <w:sz w:val="22"/>
          <w:lang w:val="es-ES_tradnl"/>
        </w:rPr>
        <w:t>2</w:t>
      </w:r>
      <w:r w:rsidR="00637A68" w:rsidRPr="00742BED">
        <w:rPr>
          <w:rFonts w:ascii="Arial" w:eastAsia="Calibri" w:hAnsi="Arial" w:cs="Arial"/>
          <w:color w:val="000000" w:themeColor="text1"/>
          <w:sz w:val="22"/>
          <w:lang w:val="es-ES_tradnl"/>
        </w:rPr>
        <w:t>8</w:t>
      </w:r>
      <w:r w:rsidR="00FD4AF3" w:rsidRPr="00742BED">
        <w:rPr>
          <w:rFonts w:ascii="Arial" w:eastAsia="Calibri" w:hAnsi="Arial" w:cs="Arial"/>
          <w:color w:val="000000" w:themeColor="text1"/>
          <w:sz w:val="22"/>
          <w:lang w:val="es-ES_tradnl"/>
        </w:rPr>
        <w:t xml:space="preserve"> de </w:t>
      </w:r>
      <w:r w:rsidR="00D25027" w:rsidRPr="00742BED">
        <w:rPr>
          <w:rFonts w:ascii="Arial" w:eastAsia="Calibri" w:hAnsi="Arial" w:cs="Arial"/>
          <w:color w:val="000000" w:themeColor="text1"/>
          <w:sz w:val="22"/>
          <w:lang w:val="es-ES_tradnl"/>
        </w:rPr>
        <w:t>abril</w:t>
      </w:r>
      <w:r w:rsidRPr="00742BED">
        <w:rPr>
          <w:rFonts w:ascii="Arial" w:eastAsia="Calibri" w:hAnsi="Arial" w:cs="Arial"/>
          <w:color w:val="000000" w:themeColor="text1"/>
          <w:sz w:val="22"/>
          <w:lang w:val="es-ES_tradnl"/>
        </w:rPr>
        <w:t xml:space="preserve"> del</w:t>
      </w:r>
      <w:r w:rsidR="007E74BF" w:rsidRPr="00742BED">
        <w:rPr>
          <w:rFonts w:ascii="Arial" w:eastAsia="Calibri" w:hAnsi="Arial" w:cs="Arial"/>
          <w:color w:val="000000" w:themeColor="text1"/>
          <w:sz w:val="22"/>
          <w:lang w:val="es-ES_tradnl"/>
        </w:rPr>
        <w:t xml:space="preserve"> </w:t>
      </w:r>
      <w:r w:rsidRPr="00742BED">
        <w:rPr>
          <w:rFonts w:ascii="Arial" w:eastAsia="Calibri" w:hAnsi="Arial" w:cs="Arial"/>
          <w:color w:val="000000" w:themeColor="text1"/>
          <w:sz w:val="22"/>
          <w:lang w:val="es-ES_tradnl"/>
        </w:rPr>
        <w:t>202</w:t>
      </w:r>
      <w:r w:rsidR="00FB0880" w:rsidRPr="00742BED">
        <w:rPr>
          <w:rFonts w:ascii="Arial" w:eastAsia="Calibri" w:hAnsi="Arial" w:cs="Arial"/>
          <w:color w:val="000000" w:themeColor="text1"/>
          <w:sz w:val="22"/>
          <w:lang w:val="es-ES_tradnl"/>
        </w:rPr>
        <w:t>1</w:t>
      </w:r>
      <w:r w:rsidR="00637A68" w:rsidRPr="00742BED">
        <w:rPr>
          <w:rFonts w:ascii="Arial" w:eastAsia="Calibri" w:hAnsi="Arial" w:cs="Arial"/>
          <w:color w:val="000000" w:themeColor="text1"/>
          <w:sz w:val="22"/>
          <w:lang w:val="es-ES_tradnl"/>
        </w:rPr>
        <w:t>, las cuales tienen el mismo contenido</w:t>
      </w:r>
      <w:r w:rsidR="008C3C57" w:rsidRPr="00742BED">
        <w:rPr>
          <w:rFonts w:ascii="Arial" w:eastAsia="Calibri" w:hAnsi="Arial" w:cs="Arial"/>
          <w:color w:val="000000" w:themeColor="text1"/>
          <w:sz w:val="22"/>
          <w:lang w:val="es-ES_tradnl"/>
        </w:rPr>
        <w:t>.</w:t>
      </w:r>
    </w:p>
    <w:p w14:paraId="0C1E0712" w14:textId="77777777" w:rsidR="00DD5B04" w:rsidRPr="00742BED"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742BED"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742BED">
        <w:rPr>
          <w:rFonts w:ascii="Arial" w:eastAsia="Calibri" w:hAnsi="Arial" w:cs="Arial"/>
          <w:b/>
          <w:color w:val="000000" w:themeColor="text1"/>
          <w:sz w:val="22"/>
          <w:lang w:val="es-ES_tradnl"/>
        </w:rPr>
        <w:t xml:space="preserve">Problema planteado </w:t>
      </w:r>
    </w:p>
    <w:p w14:paraId="224B43D3" w14:textId="77777777" w:rsidR="00DD5B04" w:rsidRPr="00742BED"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3C575DE9" w14:textId="4865D065" w:rsidR="00443B55" w:rsidRPr="00742BED" w:rsidRDefault="00DD5B04" w:rsidP="0099583D">
      <w:pPr>
        <w:spacing w:line="276" w:lineRule="auto"/>
        <w:jc w:val="both"/>
        <w:rPr>
          <w:rFonts w:ascii="Arial" w:hAnsi="Arial" w:cs="Arial"/>
          <w:color w:val="000000" w:themeColor="text1"/>
          <w:sz w:val="22"/>
          <w:lang w:val="es-ES_tradnl"/>
        </w:rPr>
      </w:pPr>
      <w:r w:rsidRPr="00742BED">
        <w:rPr>
          <w:rFonts w:ascii="Arial" w:hAnsi="Arial" w:cs="Arial"/>
          <w:color w:val="000000" w:themeColor="text1"/>
          <w:sz w:val="22"/>
          <w:lang w:val="es-ES_tradnl"/>
        </w:rPr>
        <w:lastRenderedPageBreak/>
        <w:t>Usted</w:t>
      </w:r>
      <w:r w:rsidR="00637A68" w:rsidRPr="00742BED">
        <w:rPr>
          <w:rFonts w:ascii="Arial" w:hAnsi="Arial" w:cs="Arial"/>
          <w:color w:val="000000" w:themeColor="text1"/>
          <w:sz w:val="22"/>
          <w:lang w:val="es-ES_tradnl"/>
        </w:rPr>
        <w:t>es</w:t>
      </w:r>
      <w:r w:rsidRPr="00742BED">
        <w:rPr>
          <w:rFonts w:ascii="Arial" w:hAnsi="Arial" w:cs="Arial"/>
          <w:color w:val="000000" w:themeColor="text1"/>
          <w:sz w:val="22"/>
          <w:lang w:val="es-ES_tradnl"/>
        </w:rPr>
        <w:t xml:space="preserve"> </w:t>
      </w:r>
      <w:r w:rsidR="00B422C0" w:rsidRPr="00742BED">
        <w:rPr>
          <w:rFonts w:ascii="Arial" w:hAnsi="Arial" w:cs="Arial"/>
          <w:color w:val="000000" w:themeColor="text1"/>
          <w:sz w:val="22"/>
          <w:lang w:val="es-ES_tradnl"/>
        </w:rPr>
        <w:t>formula</w:t>
      </w:r>
      <w:r w:rsidR="00637A68" w:rsidRPr="00742BED">
        <w:rPr>
          <w:rFonts w:ascii="Arial" w:hAnsi="Arial" w:cs="Arial"/>
          <w:color w:val="000000" w:themeColor="text1"/>
          <w:sz w:val="22"/>
          <w:lang w:val="es-ES_tradnl"/>
        </w:rPr>
        <w:t>n</w:t>
      </w:r>
      <w:r w:rsidR="006D46A3" w:rsidRPr="00742BED">
        <w:rPr>
          <w:rFonts w:ascii="Arial" w:hAnsi="Arial" w:cs="Arial"/>
          <w:color w:val="000000" w:themeColor="text1"/>
          <w:sz w:val="22"/>
          <w:lang w:val="es-ES_tradnl"/>
        </w:rPr>
        <w:t xml:space="preserve"> la siguiente</w:t>
      </w:r>
      <w:r w:rsidR="00C028F5" w:rsidRPr="00742BED">
        <w:rPr>
          <w:rFonts w:ascii="Arial" w:hAnsi="Arial" w:cs="Arial"/>
          <w:color w:val="000000" w:themeColor="text1"/>
          <w:sz w:val="22"/>
          <w:lang w:val="es-ES_tradnl"/>
        </w:rPr>
        <w:t xml:space="preserve"> </w:t>
      </w:r>
      <w:r w:rsidR="00637A68" w:rsidRPr="00742BED">
        <w:rPr>
          <w:rFonts w:ascii="Arial" w:hAnsi="Arial" w:cs="Arial"/>
          <w:color w:val="000000" w:themeColor="text1"/>
          <w:sz w:val="22"/>
          <w:lang w:val="es-ES_tradnl"/>
        </w:rPr>
        <w:t>consulta</w:t>
      </w:r>
      <w:r w:rsidR="002074C2" w:rsidRPr="00742BED">
        <w:rPr>
          <w:rFonts w:ascii="Arial" w:hAnsi="Arial" w:cs="Arial"/>
          <w:color w:val="000000" w:themeColor="text1"/>
          <w:sz w:val="22"/>
          <w:lang w:val="es-ES_tradnl"/>
        </w:rPr>
        <w:t xml:space="preserve">, relacionada con tres aspectos: i) </w:t>
      </w:r>
      <w:r w:rsidR="00ED163A" w:rsidRPr="00742BED">
        <w:rPr>
          <w:rFonts w:ascii="Arial" w:hAnsi="Arial" w:cs="Arial"/>
          <w:color w:val="000000" w:themeColor="text1"/>
          <w:sz w:val="22"/>
          <w:lang w:val="es-ES_tradnl"/>
        </w:rPr>
        <w:t xml:space="preserve">la nueva reglamentación del concurso de méritos contenida en el Decreto 399 del 13 de abril de 2021, ii) </w:t>
      </w:r>
      <w:r w:rsidR="0029371B" w:rsidRPr="00742BED">
        <w:rPr>
          <w:rFonts w:ascii="Arial" w:hAnsi="Arial" w:cs="Arial"/>
          <w:color w:val="000000" w:themeColor="text1"/>
          <w:sz w:val="22"/>
          <w:lang w:val="es-ES_tradnl"/>
        </w:rPr>
        <w:t xml:space="preserve">los factores de desempate previstos en los numerales 2 y 4 del artículo 35 de la Ley 2069 de 2020 y ii) </w:t>
      </w:r>
      <w:r w:rsidR="00F9075B" w:rsidRPr="00742BED">
        <w:rPr>
          <w:rFonts w:ascii="Arial" w:hAnsi="Arial" w:cs="Arial"/>
          <w:color w:val="000000" w:themeColor="text1"/>
          <w:sz w:val="22"/>
          <w:lang w:val="es-ES_tradnl"/>
        </w:rPr>
        <w:t>la forma de pago en los contratos de obra e interventoría</w:t>
      </w:r>
      <w:r w:rsidR="00637A68" w:rsidRPr="00742BED">
        <w:rPr>
          <w:rFonts w:ascii="Arial" w:hAnsi="Arial" w:cs="Arial"/>
          <w:color w:val="000000" w:themeColor="text1"/>
          <w:sz w:val="22"/>
          <w:lang w:val="es-ES_tradnl"/>
        </w:rPr>
        <w:t>:</w:t>
      </w:r>
      <w:r w:rsidR="007E18DF" w:rsidRPr="00742BED">
        <w:rPr>
          <w:rFonts w:ascii="Arial" w:hAnsi="Arial" w:cs="Arial"/>
          <w:color w:val="000000" w:themeColor="text1"/>
          <w:sz w:val="22"/>
          <w:lang w:val="es-ES_tradnl"/>
        </w:rPr>
        <w:t xml:space="preserve"> </w:t>
      </w:r>
    </w:p>
    <w:p w14:paraId="559EE20C" w14:textId="77777777" w:rsidR="00443B55" w:rsidRPr="00742BED" w:rsidRDefault="00443B55" w:rsidP="0099583D">
      <w:pPr>
        <w:spacing w:line="276" w:lineRule="auto"/>
        <w:jc w:val="both"/>
        <w:rPr>
          <w:rFonts w:ascii="Arial" w:hAnsi="Arial" w:cs="Arial"/>
          <w:color w:val="000000" w:themeColor="text1"/>
          <w:sz w:val="22"/>
          <w:lang w:val="es-ES_tradnl"/>
        </w:rPr>
      </w:pPr>
    </w:p>
    <w:p w14:paraId="3BBF1B9D" w14:textId="239430F3" w:rsidR="001036B4" w:rsidRPr="00742BED" w:rsidRDefault="00EE77D4" w:rsidP="001036B4">
      <w:pPr>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w:t>
      </w:r>
      <w:r w:rsidR="00EA5A56" w:rsidRPr="00742BED">
        <w:rPr>
          <w:rFonts w:ascii="Arial" w:hAnsi="Arial" w:cs="Arial"/>
          <w:color w:val="000000" w:themeColor="text1"/>
          <w:sz w:val="21"/>
          <w:szCs w:val="21"/>
          <w:lang w:val="es-ES_tradnl"/>
        </w:rPr>
        <w:t xml:space="preserve">[…] </w:t>
      </w:r>
      <w:r w:rsidR="00AF1C77" w:rsidRPr="00742BED">
        <w:rPr>
          <w:rFonts w:ascii="Arial" w:hAnsi="Arial" w:cs="Arial"/>
          <w:color w:val="000000" w:themeColor="text1"/>
          <w:sz w:val="21"/>
          <w:szCs w:val="21"/>
          <w:lang w:val="es-ES_tradnl"/>
        </w:rPr>
        <w:t>¿Cómo (sic)</w:t>
      </w:r>
      <w:r w:rsidR="001036B4" w:rsidRPr="00742BED">
        <w:rPr>
          <w:rFonts w:ascii="Arial" w:hAnsi="Arial" w:cs="Arial"/>
          <w:color w:val="000000" w:themeColor="text1"/>
          <w:sz w:val="21"/>
          <w:szCs w:val="21"/>
          <w:lang w:val="es-ES_tradnl"/>
        </w:rPr>
        <w:t xml:space="preserve"> debe proceder la entidad a verificar el presupuesto en los concursos de </w:t>
      </w:r>
      <w:r w:rsidR="00EA5A56" w:rsidRPr="00742BED">
        <w:rPr>
          <w:rFonts w:ascii="Arial" w:hAnsi="Arial" w:cs="Arial"/>
          <w:color w:val="000000" w:themeColor="text1"/>
          <w:sz w:val="21"/>
          <w:szCs w:val="21"/>
          <w:lang w:val="es-ES_tradnl"/>
        </w:rPr>
        <w:t>méritos</w:t>
      </w:r>
      <w:r w:rsidR="001036B4" w:rsidRPr="00742BED">
        <w:rPr>
          <w:rFonts w:ascii="Arial" w:hAnsi="Arial" w:cs="Arial"/>
          <w:color w:val="000000" w:themeColor="text1"/>
          <w:sz w:val="21"/>
          <w:szCs w:val="21"/>
          <w:lang w:val="es-ES_tradnl"/>
        </w:rPr>
        <w:t>,</w:t>
      </w:r>
      <w:r w:rsidR="00EA5A56" w:rsidRPr="00742BED">
        <w:rPr>
          <w:rFonts w:ascii="Arial" w:hAnsi="Arial" w:cs="Arial"/>
          <w:color w:val="000000" w:themeColor="text1"/>
          <w:sz w:val="21"/>
          <w:szCs w:val="21"/>
          <w:lang w:val="es-ES_tradnl"/>
        </w:rPr>
        <w:t xml:space="preserve"> </w:t>
      </w:r>
      <w:r w:rsidR="001036B4" w:rsidRPr="00742BED">
        <w:rPr>
          <w:rFonts w:ascii="Arial" w:hAnsi="Arial" w:cs="Arial"/>
          <w:color w:val="000000" w:themeColor="text1"/>
          <w:sz w:val="21"/>
          <w:szCs w:val="21"/>
          <w:lang w:val="es-ES_tradnl"/>
        </w:rPr>
        <w:t xml:space="preserve">una vez el proponente haya cumplido con todos los requisitos exigidos y haya obtenido el mayor puntaje como lo establece el </w:t>
      </w:r>
      <w:r w:rsidR="00EA5A56" w:rsidRPr="00742BED">
        <w:rPr>
          <w:rFonts w:ascii="Arial" w:hAnsi="Arial" w:cs="Arial"/>
          <w:color w:val="000000" w:themeColor="text1"/>
          <w:sz w:val="21"/>
          <w:szCs w:val="21"/>
          <w:lang w:val="es-ES_tradnl"/>
        </w:rPr>
        <w:t>artículo</w:t>
      </w:r>
      <w:r w:rsidR="001036B4" w:rsidRPr="00742BED">
        <w:rPr>
          <w:rFonts w:ascii="Arial" w:hAnsi="Arial" w:cs="Arial"/>
          <w:color w:val="000000" w:themeColor="text1"/>
          <w:sz w:val="21"/>
          <w:szCs w:val="21"/>
          <w:lang w:val="es-ES_tradnl"/>
        </w:rPr>
        <w:t xml:space="preserve"> 2 del decreto 399 de 2021?</w:t>
      </w:r>
    </w:p>
    <w:p w14:paraId="1D56BD12" w14:textId="77777777" w:rsidR="003C5D7C" w:rsidRPr="00742BED" w:rsidRDefault="003C5D7C" w:rsidP="001036B4">
      <w:pPr>
        <w:ind w:left="709" w:right="709"/>
        <w:jc w:val="both"/>
        <w:rPr>
          <w:rFonts w:ascii="Arial" w:hAnsi="Arial" w:cs="Arial"/>
          <w:color w:val="000000" w:themeColor="text1"/>
          <w:sz w:val="21"/>
          <w:szCs w:val="21"/>
          <w:lang w:val="es-ES_tradnl"/>
        </w:rPr>
      </w:pPr>
    </w:p>
    <w:p w14:paraId="16EBEB44" w14:textId="0726AD87" w:rsidR="00F97459" w:rsidRPr="00742BED" w:rsidRDefault="00EE77D4" w:rsidP="001036B4">
      <w:pPr>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w:t>
      </w:r>
      <w:r w:rsidR="00EA5A56" w:rsidRPr="00742BED">
        <w:rPr>
          <w:rFonts w:ascii="Arial" w:hAnsi="Arial" w:cs="Arial"/>
          <w:color w:val="000000" w:themeColor="text1"/>
          <w:sz w:val="21"/>
          <w:szCs w:val="21"/>
          <w:lang w:val="es-ES_tradnl"/>
        </w:rPr>
        <w:t xml:space="preserve">[…] </w:t>
      </w:r>
      <w:r w:rsidR="00D7762A" w:rsidRPr="00742BED">
        <w:rPr>
          <w:rFonts w:ascii="Arial" w:hAnsi="Arial" w:cs="Arial"/>
          <w:color w:val="000000" w:themeColor="text1"/>
          <w:sz w:val="21"/>
          <w:szCs w:val="21"/>
          <w:lang w:val="es-ES_tradnl"/>
        </w:rPr>
        <w:t xml:space="preserve">¿Que (sic) </w:t>
      </w:r>
      <w:r w:rsidR="001036B4" w:rsidRPr="00742BED">
        <w:rPr>
          <w:rFonts w:ascii="Arial" w:hAnsi="Arial" w:cs="Arial"/>
          <w:color w:val="000000" w:themeColor="text1"/>
          <w:sz w:val="21"/>
          <w:szCs w:val="21"/>
          <w:lang w:val="es-ES_tradnl"/>
        </w:rPr>
        <w:t xml:space="preserve">criterios debe tener en cuenta la entidad en el caso que el presupuesto presentado por el proponente sea superior al asignado en el presupuesto oficial, ya que el </w:t>
      </w:r>
      <w:r w:rsidR="00EA5A56" w:rsidRPr="00742BED">
        <w:rPr>
          <w:rFonts w:ascii="Arial" w:hAnsi="Arial" w:cs="Arial"/>
          <w:color w:val="000000" w:themeColor="text1"/>
          <w:sz w:val="21"/>
          <w:szCs w:val="21"/>
          <w:lang w:val="es-ES_tradnl"/>
        </w:rPr>
        <w:t>artículo</w:t>
      </w:r>
      <w:r w:rsidR="001036B4" w:rsidRPr="00742BED">
        <w:rPr>
          <w:rFonts w:ascii="Arial" w:hAnsi="Arial" w:cs="Arial"/>
          <w:color w:val="000000" w:themeColor="text1"/>
          <w:sz w:val="21"/>
          <w:szCs w:val="21"/>
          <w:lang w:val="es-ES_tradnl"/>
        </w:rPr>
        <w:t xml:space="preserve"> 2 del decreto 399 de 2021, que modifica el 2.2.1.2.1.3.2., elimina lo relacionado con verificar la oferta </w:t>
      </w:r>
      <w:r w:rsidR="00EA5A56" w:rsidRPr="00742BED">
        <w:rPr>
          <w:rFonts w:ascii="Arial" w:hAnsi="Arial" w:cs="Arial"/>
          <w:color w:val="000000" w:themeColor="text1"/>
          <w:sz w:val="21"/>
          <w:szCs w:val="21"/>
          <w:lang w:val="es-ES_tradnl"/>
        </w:rPr>
        <w:t>económica</w:t>
      </w:r>
      <w:r w:rsidR="001036B4" w:rsidRPr="00742BED">
        <w:rPr>
          <w:rFonts w:ascii="Arial" w:hAnsi="Arial" w:cs="Arial"/>
          <w:color w:val="000000" w:themeColor="text1"/>
          <w:sz w:val="21"/>
          <w:szCs w:val="21"/>
          <w:lang w:val="es-ES_tradnl"/>
        </w:rPr>
        <w:t xml:space="preserve"> y verificar el rango del valor estimado consignado en los documentos y estudios previos?</w:t>
      </w:r>
    </w:p>
    <w:p w14:paraId="52FBE99E" w14:textId="77777777" w:rsidR="003C5D7C" w:rsidRPr="00742BED" w:rsidRDefault="003C5D7C" w:rsidP="001036B4">
      <w:pPr>
        <w:ind w:left="709" w:right="709"/>
        <w:jc w:val="both"/>
        <w:rPr>
          <w:rFonts w:ascii="Arial" w:hAnsi="Arial" w:cs="Arial"/>
          <w:color w:val="000000" w:themeColor="text1"/>
          <w:sz w:val="21"/>
          <w:szCs w:val="21"/>
          <w:lang w:val="es-ES_tradnl"/>
        </w:rPr>
      </w:pPr>
    </w:p>
    <w:p w14:paraId="74D5351C" w14:textId="458CE025" w:rsidR="003C5D7C" w:rsidRPr="00742BED" w:rsidRDefault="00EE77D4" w:rsidP="001036B4">
      <w:pPr>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 xml:space="preserve">» </w:t>
      </w:r>
      <w:r w:rsidR="00EA5A56" w:rsidRPr="00742BED">
        <w:rPr>
          <w:rFonts w:ascii="Arial" w:hAnsi="Arial" w:cs="Arial"/>
          <w:color w:val="000000" w:themeColor="text1"/>
          <w:sz w:val="21"/>
          <w:szCs w:val="21"/>
          <w:lang w:val="es-ES_tradnl"/>
        </w:rPr>
        <w:t xml:space="preserve">[…] </w:t>
      </w:r>
      <w:r w:rsidR="003C5D7C" w:rsidRPr="00742BED">
        <w:rPr>
          <w:rFonts w:ascii="Arial" w:hAnsi="Arial" w:cs="Arial"/>
          <w:color w:val="000000" w:themeColor="text1"/>
          <w:sz w:val="21"/>
          <w:szCs w:val="21"/>
          <w:lang w:val="es-ES_tradnl"/>
        </w:rPr>
        <w:t xml:space="preserve">¿La </w:t>
      </w:r>
      <w:r w:rsidR="00FF1CF7" w:rsidRPr="00742BED">
        <w:rPr>
          <w:rFonts w:ascii="Arial" w:hAnsi="Arial" w:cs="Arial"/>
          <w:color w:val="000000" w:themeColor="text1"/>
          <w:sz w:val="21"/>
          <w:szCs w:val="21"/>
          <w:lang w:val="es-ES_tradnl"/>
        </w:rPr>
        <w:t>modificación</w:t>
      </w:r>
      <w:r w:rsidR="003C5D7C" w:rsidRPr="00742BED">
        <w:rPr>
          <w:rFonts w:ascii="Arial" w:hAnsi="Arial" w:cs="Arial"/>
          <w:color w:val="000000" w:themeColor="text1"/>
          <w:sz w:val="21"/>
          <w:szCs w:val="21"/>
          <w:lang w:val="es-ES_tradnl"/>
        </w:rPr>
        <w:t xml:space="preserve"> introducida en el decreto 399 de 2021, en </w:t>
      </w:r>
      <w:r w:rsidR="00FF1CF7" w:rsidRPr="00742BED">
        <w:rPr>
          <w:rFonts w:ascii="Arial" w:hAnsi="Arial" w:cs="Arial"/>
          <w:color w:val="000000" w:themeColor="text1"/>
          <w:sz w:val="21"/>
          <w:szCs w:val="21"/>
          <w:lang w:val="es-ES_tradnl"/>
        </w:rPr>
        <w:t>relación</w:t>
      </w:r>
      <w:r w:rsidR="003C5D7C" w:rsidRPr="00742BED">
        <w:rPr>
          <w:rFonts w:ascii="Arial" w:hAnsi="Arial" w:cs="Arial"/>
          <w:color w:val="000000" w:themeColor="text1"/>
          <w:sz w:val="21"/>
          <w:szCs w:val="21"/>
          <w:lang w:val="es-ES_tradnl"/>
        </w:rPr>
        <w:t xml:space="preserve"> con lo que establece el </w:t>
      </w:r>
      <w:r w:rsidR="00FF1CF7" w:rsidRPr="00742BED">
        <w:rPr>
          <w:rFonts w:ascii="Arial" w:hAnsi="Arial" w:cs="Arial"/>
          <w:color w:val="000000" w:themeColor="text1"/>
          <w:sz w:val="21"/>
          <w:szCs w:val="21"/>
          <w:lang w:val="es-ES_tradnl"/>
        </w:rPr>
        <w:t>artículo</w:t>
      </w:r>
      <w:r w:rsidR="003C5D7C" w:rsidRPr="00742BED">
        <w:rPr>
          <w:rFonts w:ascii="Arial" w:hAnsi="Arial" w:cs="Arial"/>
          <w:color w:val="000000" w:themeColor="text1"/>
          <w:sz w:val="21"/>
          <w:szCs w:val="21"/>
          <w:lang w:val="es-ES_tradnl"/>
        </w:rPr>
        <w:t xml:space="preserve"> 2, conlleva </w:t>
      </w:r>
      <w:r w:rsidR="00FF1CF7" w:rsidRPr="00742BED">
        <w:rPr>
          <w:rFonts w:ascii="Arial" w:hAnsi="Arial" w:cs="Arial"/>
          <w:color w:val="000000" w:themeColor="text1"/>
          <w:sz w:val="21"/>
          <w:szCs w:val="21"/>
          <w:lang w:val="es-ES_tradnl"/>
        </w:rPr>
        <w:t>algún</w:t>
      </w:r>
      <w:r w:rsidR="003C5D7C" w:rsidRPr="00742BED">
        <w:rPr>
          <w:rFonts w:ascii="Arial" w:hAnsi="Arial" w:cs="Arial"/>
          <w:color w:val="000000" w:themeColor="text1"/>
          <w:sz w:val="21"/>
          <w:szCs w:val="21"/>
          <w:lang w:val="es-ES_tradnl"/>
        </w:rPr>
        <w:t xml:space="preserve"> ajuste en el </w:t>
      </w:r>
      <w:proofErr w:type="spellStart"/>
      <w:r w:rsidR="003C5D7C" w:rsidRPr="00742BED">
        <w:rPr>
          <w:rFonts w:ascii="Arial" w:hAnsi="Arial" w:cs="Arial"/>
          <w:color w:val="000000" w:themeColor="text1"/>
          <w:sz w:val="21"/>
          <w:szCs w:val="21"/>
          <w:lang w:val="es-ES_tradnl"/>
        </w:rPr>
        <w:t>Secop</w:t>
      </w:r>
      <w:proofErr w:type="spellEnd"/>
      <w:r w:rsidR="003C5D7C" w:rsidRPr="00742BED">
        <w:rPr>
          <w:rFonts w:ascii="Arial" w:hAnsi="Arial" w:cs="Arial"/>
          <w:color w:val="000000" w:themeColor="text1"/>
          <w:sz w:val="21"/>
          <w:szCs w:val="21"/>
          <w:lang w:val="es-ES_tradnl"/>
        </w:rPr>
        <w:t xml:space="preserve"> II?</w:t>
      </w:r>
    </w:p>
    <w:p w14:paraId="19BDBADF" w14:textId="661DC71B" w:rsidR="004958F6" w:rsidRPr="00742BED" w:rsidRDefault="004958F6" w:rsidP="001036B4">
      <w:pPr>
        <w:ind w:left="709" w:right="709"/>
        <w:jc w:val="both"/>
        <w:rPr>
          <w:rFonts w:ascii="Arial" w:hAnsi="Arial" w:cs="Arial"/>
          <w:color w:val="000000" w:themeColor="text1"/>
          <w:sz w:val="21"/>
          <w:szCs w:val="21"/>
          <w:lang w:val="es-ES_tradnl"/>
        </w:rPr>
      </w:pPr>
    </w:p>
    <w:p w14:paraId="1F6C35AC" w14:textId="7DFA26E6" w:rsidR="0072359F" w:rsidRPr="00742BED" w:rsidRDefault="00EE77D4" w:rsidP="001036B4">
      <w:pPr>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 xml:space="preserve">» </w:t>
      </w:r>
      <w:r w:rsidR="0072359F" w:rsidRPr="00742BED">
        <w:rPr>
          <w:rFonts w:ascii="Arial" w:hAnsi="Arial" w:cs="Arial"/>
          <w:color w:val="000000" w:themeColor="text1"/>
          <w:sz w:val="21"/>
          <w:szCs w:val="21"/>
          <w:lang w:val="es-ES_tradnl"/>
        </w:rPr>
        <w:t>[…]</w:t>
      </w:r>
    </w:p>
    <w:p w14:paraId="46613A1E" w14:textId="1E7D32C6" w:rsidR="004958F6" w:rsidRPr="00742BED" w:rsidRDefault="00EE77D4" w:rsidP="004958F6">
      <w:pPr>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 xml:space="preserve">» </w:t>
      </w:r>
      <w:r w:rsidR="00EA5A56" w:rsidRPr="00742BED">
        <w:rPr>
          <w:rFonts w:ascii="Arial" w:hAnsi="Arial" w:cs="Arial"/>
          <w:color w:val="000000" w:themeColor="text1"/>
          <w:sz w:val="21"/>
          <w:szCs w:val="21"/>
          <w:lang w:val="es-ES_tradnl"/>
        </w:rPr>
        <w:t xml:space="preserve">[…] </w:t>
      </w:r>
      <w:r w:rsidR="004958F6" w:rsidRPr="00742BED">
        <w:rPr>
          <w:rFonts w:ascii="Arial" w:hAnsi="Arial" w:cs="Arial"/>
          <w:color w:val="000000" w:themeColor="text1"/>
          <w:sz w:val="21"/>
          <w:szCs w:val="21"/>
          <w:lang w:val="es-ES_tradnl"/>
        </w:rPr>
        <w:t>¿</w:t>
      </w:r>
      <w:r w:rsidR="0027111F" w:rsidRPr="00742BED">
        <w:rPr>
          <w:rFonts w:ascii="Arial" w:hAnsi="Arial" w:cs="Arial"/>
          <w:color w:val="000000" w:themeColor="text1"/>
          <w:sz w:val="21"/>
          <w:szCs w:val="21"/>
          <w:lang w:val="es-ES_tradnl"/>
        </w:rPr>
        <w:t>Cuál</w:t>
      </w:r>
      <w:r w:rsidR="004958F6" w:rsidRPr="00742BED">
        <w:rPr>
          <w:rFonts w:ascii="Arial" w:hAnsi="Arial" w:cs="Arial"/>
          <w:color w:val="000000" w:themeColor="text1"/>
          <w:sz w:val="21"/>
          <w:szCs w:val="21"/>
          <w:lang w:val="es-ES_tradnl"/>
        </w:rPr>
        <w:t xml:space="preserve"> es la </w:t>
      </w:r>
      <w:r w:rsidR="0027111F" w:rsidRPr="00742BED">
        <w:rPr>
          <w:rFonts w:ascii="Arial" w:hAnsi="Arial" w:cs="Arial"/>
          <w:color w:val="000000" w:themeColor="text1"/>
          <w:sz w:val="21"/>
          <w:szCs w:val="21"/>
          <w:lang w:val="es-ES_tradnl"/>
        </w:rPr>
        <w:t>posición</w:t>
      </w:r>
      <w:r w:rsidR="004958F6" w:rsidRPr="00742BED">
        <w:rPr>
          <w:rFonts w:ascii="Arial" w:hAnsi="Arial" w:cs="Arial"/>
          <w:color w:val="000000" w:themeColor="text1"/>
          <w:sz w:val="21"/>
          <w:szCs w:val="21"/>
          <w:lang w:val="es-ES_tradnl"/>
        </w:rPr>
        <w:t xml:space="preserve"> o fundamento </w:t>
      </w:r>
      <w:r w:rsidR="0027111F" w:rsidRPr="00742BED">
        <w:rPr>
          <w:rFonts w:ascii="Arial" w:hAnsi="Arial" w:cs="Arial"/>
          <w:color w:val="000000" w:themeColor="text1"/>
          <w:sz w:val="21"/>
          <w:szCs w:val="21"/>
          <w:lang w:val="es-ES_tradnl"/>
        </w:rPr>
        <w:t>jurídico</w:t>
      </w:r>
      <w:r w:rsidR="004958F6" w:rsidRPr="00742BED">
        <w:rPr>
          <w:rFonts w:ascii="Arial" w:hAnsi="Arial" w:cs="Arial"/>
          <w:color w:val="000000" w:themeColor="text1"/>
          <w:sz w:val="21"/>
          <w:szCs w:val="21"/>
          <w:lang w:val="es-ES_tradnl"/>
        </w:rPr>
        <w:t xml:space="preserve"> para establecer en el criterio de desempate de la mujer cabeza de familia o </w:t>
      </w:r>
      <w:r w:rsidR="0027111F" w:rsidRPr="00742BED">
        <w:rPr>
          <w:rFonts w:ascii="Arial" w:hAnsi="Arial" w:cs="Arial"/>
          <w:color w:val="000000" w:themeColor="text1"/>
          <w:sz w:val="21"/>
          <w:szCs w:val="21"/>
          <w:lang w:val="es-ES_tradnl"/>
        </w:rPr>
        <w:t>víctima</w:t>
      </w:r>
      <w:r w:rsidR="004958F6" w:rsidRPr="00742BED">
        <w:rPr>
          <w:rFonts w:ascii="Arial" w:hAnsi="Arial" w:cs="Arial"/>
          <w:color w:val="000000" w:themeColor="text1"/>
          <w:sz w:val="21"/>
          <w:szCs w:val="21"/>
          <w:lang w:val="es-ES_tradnl"/>
        </w:rPr>
        <w:t xml:space="preserve"> de la violencia deba tener una </w:t>
      </w:r>
      <w:r w:rsidR="0027111F" w:rsidRPr="00742BED">
        <w:rPr>
          <w:rFonts w:ascii="Arial" w:hAnsi="Arial" w:cs="Arial"/>
          <w:color w:val="000000" w:themeColor="text1"/>
          <w:sz w:val="21"/>
          <w:szCs w:val="21"/>
          <w:lang w:val="es-ES_tradnl"/>
        </w:rPr>
        <w:t>participación</w:t>
      </w:r>
      <w:r w:rsidR="004958F6" w:rsidRPr="00742BED">
        <w:rPr>
          <w:rFonts w:ascii="Arial" w:hAnsi="Arial" w:cs="Arial"/>
          <w:color w:val="000000" w:themeColor="text1"/>
          <w:sz w:val="21"/>
          <w:szCs w:val="21"/>
          <w:lang w:val="es-ES_tradnl"/>
        </w:rPr>
        <w:t xml:space="preserve"> mayor al 50%?</w:t>
      </w:r>
      <w:r w:rsidR="00232AF1" w:rsidRPr="00742BED">
        <w:rPr>
          <w:rFonts w:ascii="Arial" w:hAnsi="Arial" w:cs="Arial"/>
          <w:color w:val="000000" w:themeColor="text1"/>
          <w:sz w:val="21"/>
          <w:szCs w:val="21"/>
          <w:lang w:val="es-ES_tradnl"/>
        </w:rPr>
        <w:t xml:space="preserve"> (sic)</w:t>
      </w:r>
      <w:r w:rsidR="004958F6" w:rsidRPr="00742BED">
        <w:rPr>
          <w:rFonts w:ascii="Arial" w:hAnsi="Arial" w:cs="Arial"/>
          <w:color w:val="000000" w:themeColor="text1"/>
          <w:sz w:val="21"/>
          <w:szCs w:val="21"/>
          <w:lang w:val="es-ES_tradnl"/>
        </w:rPr>
        <w:t xml:space="preserve">. Lo anterior, teniendo en cuenta que la Ley hace referencia </w:t>
      </w:r>
      <w:r w:rsidR="0027111F" w:rsidRPr="00742BED">
        <w:rPr>
          <w:rFonts w:ascii="Arial" w:hAnsi="Arial" w:cs="Arial"/>
          <w:color w:val="000000" w:themeColor="text1"/>
          <w:sz w:val="21"/>
          <w:szCs w:val="21"/>
          <w:lang w:val="es-ES_tradnl"/>
        </w:rPr>
        <w:t>únicamente</w:t>
      </w:r>
      <w:r w:rsidR="004958F6" w:rsidRPr="00742BED">
        <w:rPr>
          <w:rFonts w:ascii="Arial" w:hAnsi="Arial" w:cs="Arial"/>
          <w:color w:val="000000" w:themeColor="text1"/>
          <w:sz w:val="21"/>
          <w:szCs w:val="21"/>
          <w:lang w:val="es-ES_tradnl"/>
        </w:rPr>
        <w:t xml:space="preserve"> a "</w:t>
      </w:r>
      <w:r w:rsidR="0027111F" w:rsidRPr="00742BED">
        <w:rPr>
          <w:rFonts w:ascii="Arial" w:hAnsi="Arial" w:cs="Arial"/>
          <w:color w:val="000000" w:themeColor="text1"/>
          <w:sz w:val="21"/>
          <w:szCs w:val="21"/>
          <w:lang w:val="es-ES_tradnl"/>
        </w:rPr>
        <w:t>participación</w:t>
      </w:r>
      <w:r w:rsidR="004958F6" w:rsidRPr="00742BED">
        <w:rPr>
          <w:rFonts w:ascii="Arial" w:hAnsi="Arial" w:cs="Arial"/>
          <w:color w:val="000000" w:themeColor="text1"/>
          <w:sz w:val="21"/>
          <w:szCs w:val="21"/>
          <w:lang w:val="es-ES_tradnl"/>
        </w:rPr>
        <w:t xml:space="preserve"> mayoritaria" pero no dispone que la misma sea o deba ser igual al 50%. No obstante, los documentos expedidos para la </w:t>
      </w:r>
      <w:r w:rsidR="0027111F" w:rsidRPr="00742BED">
        <w:rPr>
          <w:rFonts w:ascii="Arial" w:hAnsi="Arial" w:cs="Arial"/>
          <w:color w:val="000000" w:themeColor="text1"/>
          <w:sz w:val="21"/>
          <w:szCs w:val="21"/>
          <w:lang w:val="es-ES_tradnl"/>
        </w:rPr>
        <w:t>acreditación</w:t>
      </w:r>
      <w:r w:rsidR="004958F6" w:rsidRPr="00742BED">
        <w:rPr>
          <w:rFonts w:ascii="Arial" w:hAnsi="Arial" w:cs="Arial"/>
          <w:color w:val="000000" w:themeColor="text1"/>
          <w:sz w:val="21"/>
          <w:szCs w:val="21"/>
          <w:lang w:val="es-ES_tradnl"/>
        </w:rPr>
        <w:t xml:space="preserve"> de estos requisitos en los acuerdos marco e inclusive en procesos de la Entidad, sí lo establecen de esta manera. Luego, porque</w:t>
      </w:r>
      <w:r w:rsidR="00D23094" w:rsidRPr="00742BED">
        <w:rPr>
          <w:rFonts w:ascii="Arial" w:hAnsi="Arial" w:cs="Arial"/>
          <w:color w:val="000000" w:themeColor="text1"/>
          <w:sz w:val="21"/>
          <w:szCs w:val="21"/>
          <w:lang w:val="es-ES_tradnl"/>
        </w:rPr>
        <w:t xml:space="preserve"> (sic)</w:t>
      </w:r>
      <w:r w:rsidR="004958F6" w:rsidRPr="00742BED">
        <w:rPr>
          <w:rFonts w:ascii="Arial" w:hAnsi="Arial" w:cs="Arial"/>
          <w:color w:val="000000" w:themeColor="text1"/>
          <w:sz w:val="21"/>
          <w:szCs w:val="21"/>
          <w:lang w:val="es-ES_tradnl"/>
        </w:rPr>
        <w:t xml:space="preserve"> no se aplica una </w:t>
      </w:r>
      <w:r w:rsidR="0027111F" w:rsidRPr="00742BED">
        <w:rPr>
          <w:rFonts w:ascii="Arial" w:hAnsi="Arial" w:cs="Arial"/>
          <w:color w:val="000000" w:themeColor="text1"/>
          <w:sz w:val="21"/>
          <w:szCs w:val="21"/>
          <w:lang w:val="es-ES_tradnl"/>
        </w:rPr>
        <w:t>mayoría</w:t>
      </w:r>
      <w:r w:rsidR="004958F6" w:rsidRPr="00742BED">
        <w:rPr>
          <w:rFonts w:ascii="Arial" w:hAnsi="Arial" w:cs="Arial"/>
          <w:color w:val="000000" w:themeColor="text1"/>
          <w:sz w:val="21"/>
          <w:szCs w:val="21"/>
          <w:lang w:val="es-ES_tradnl"/>
        </w:rPr>
        <w:t xml:space="preserve"> simple para </w:t>
      </w:r>
      <w:r w:rsidR="0027111F" w:rsidRPr="00742BED">
        <w:rPr>
          <w:rFonts w:ascii="Arial" w:hAnsi="Arial" w:cs="Arial"/>
          <w:color w:val="000000" w:themeColor="text1"/>
          <w:sz w:val="21"/>
          <w:szCs w:val="21"/>
          <w:lang w:val="es-ES_tradnl"/>
        </w:rPr>
        <w:t>acreditación</w:t>
      </w:r>
      <w:r w:rsidR="004958F6" w:rsidRPr="00742BED">
        <w:rPr>
          <w:rFonts w:ascii="Arial" w:hAnsi="Arial" w:cs="Arial"/>
          <w:color w:val="000000" w:themeColor="text1"/>
          <w:sz w:val="21"/>
          <w:szCs w:val="21"/>
          <w:lang w:val="es-ES_tradnl"/>
        </w:rPr>
        <w:t xml:space="preserve"> de dicho criterio, es decir, por ejemplo: preferir a una persona </w:t>
      </w:r>
      <w:r w:rsidR="0027111F" w:rsidRPr="00742BED">
        <w:rPr>
          <w:rFonts w:ascii="Arial" w:hAnsi="Arial" w:cs="Arial"/>
          <w:color w:val="000000" w:themeColor="text1"/>
          <w:sz w:val="21"/>
          <w:szCs w:val="21"/>
          <w:lang w:val="es-ES_tradnl"/>
        </w:rPr>
        <w:t>jurídica</w:t>
      </w:r>
      <w:r w:rsidR="004958F6" w:rsidRPr="00742BED">
        <w:rPr>
          <w:rFonts w:ascii="Arial" w:hAnsi="Arial" w:cs="Arial"/>
          <w:color w:val="000000" w:themeColor="text1"/>
          <w:sz w:val="21"/>
          <w:szCs w:val="21"/>
          <w:lang w:val="es-ES_tradnl"/>
        </w:rPr>
        <w:t xml:space="preserve"> cuya </w:t>
      </w:r>
      <w:r w:rsidR="0027111F" w:rsidRPr="00742BED">
        <w:rPr>
          <w:rFonts w:ascii="Arial" w:hAnsi="Arial" w:cs="Arial"/>
          <w:color w:val="000000" w:themeColor="text1"/>
          <w:sz w:val="21"/>
          <w:szCs w:val="21"/>
          <w:lang w:val="es-ES_tradnl"/>
        </w:rPr>
        <w:t>participación</w:t>
      </w:r>
      <w:r w:rsidR="004958F6" w:rsidRPr="00742BED">
        <w:rPr>
          <w:rFonts w:ascii="Arial" w:hAnsi="Arial" w:cs="Arial"/>
          <w:color w:val="000000" w:themeColor="text1"/>
          <w:sz w:val="21"/>
          <w:szCs w:val="21"/>
          <w:lang w:val="es-ES_tradnl"/>
        </w:rPr>
        <w:t xml:space="preserve"> se divida en 34% para la mujer en las condiciones referidas en la Ley; 33% y 33% para los </w:t>
      </w:r>
      <w:r w:rsidR="0027111F" w:rsidRPr="00742BED">
        <w:rPr>
          <w:rFonts w:ascii="Arial" w:hAnsi="Arial" w:cs="Arial"/>
          <w:color w:val="000000" w:themeColor="text1"/>
          <w:sz w:val="21"/>
          <w:szCs w:val="21"/>
          <w:lang w:val="es-ES_tradnl"/>
        </w:rPr>
        <w:t>demás</w:t>
      </w:r>
      <w:r w:rsidR="004958F6" w:rsidRPr="00742BED">
        <w:rPr>
          <w:rFonts w:ascii="Arial" w:hAnsi="Arial" w:cs="Arial"/>
          <w:color w:val="000000" w:themeColor="text1"/>
          <w:sz w:val="21"/>
          <w:szCs w:val="21"/>
          <w:lang w:val="es-ES_tradnl"/>
        </w:rPr>
        <w:t xml:space="preserve"> miembros?</w:t>
      </w:r>
    </w:p>
    <w:p w14:paraId="72B2296F" w14:textId="77777777" w:rsidR="004C5160" w:rsidRPr="00742BED" w:rsidRDefault="004C5160" w:rsidP="004958F6">
      <w:pPr>
        <w:ind w:left="709" w:right="709"/>
        <w:jc w:val="both"/>
        <w:rPr>
          <w:rFonts w:ascii="Arial" w:hAnsi="Arial" w:cs="Arial"/>
          <w:color w:val="000000" w:themeColor="text1"/>
          <w:sz w:val="21"/>
          <w:szCs w:val="21"/>
          <w:lang w:val="es-ES_tradnl"/>
        </w:rPr>
      </w:pPr>
    </w:p>
    <w:p w14:paraId="1AFF6100" w14:textId="1F6EC7DD" w:rsidR="004958F6" w:rsidRPr="00742BED" w:rsidRDefault="00EE77D4" w:rsidP="004958F6">
      <w:pPr>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 xml:space="preserve">» </w:t>
      </w:r>
      <w:r w:rsidR="00EA5A56" w:rsidRPr="00742BED">
        <w:rPr>
          <w:rFonts w:ascii="Arial" w:hAnsi="Arial" w:cs="Arial"/>
          <w:color w:val="000000" w:themeColor="text1"/>
          <w:sz w:val="21"/>
          <w:szCs w:val="21"/>
          <w:lang w:val="es-ES_tradnl"/>
        </w:rPr>
        <w:t xml:space="preserve">[…] </w:t>
      </w:r>
      <w:r w:rsidR="004958F6" w:rsidRPr="00742BED">
        <w:rPr>
          <w:rFonts w:ascii="Arial" w:hAnsi="Arial" w:cs="Arial"/>
          <w:color w:val="000000" w:themeColor="text1"/>
          <w:sz w:val="21"/>
          <w:szCs w:val="21"/>
          <w:lang w:val="es-ES_tradnl"/>
        </w:rPr>
        <w:t xml:space="preserve">¿Para la </w:t>
      </w:r>
      <w:r w:rsidR="0027111F" w:rsidRPr="00742BED">
        <w:rPr>
          <w:rFonts w:ascii="Arial" w:hAnsi="Arial" w:cs="Arial"/>
          <w:color w:val="000000" w:themeColor="text1"/>
          <w:sz w:val="21"/>
          <w:szCs w:val="21"/>
          <w:lang w:val="es-ES_tradnl"/>
        </w:rPr>
        <w:t>aplicación</w:t>
      </w:r>
      <w:r w:rsidR="004958F6" w:rsidRPr="00742BED">
        <w:rPr>
          <w:rFonts w:ascii="Arial" w:hAnsi="Arial" w:cs="Arial"/>
          <w:color w:val="000000" w:themeColor="text1"/>
          <w:sz w:val="21"/>
          <w:szCs w:val="21"/>
          <w:lang w:val="es-ES_tradnl"/>
        </w:rPr>
        <w:t xml:space="preserve"> del criterio de desempate de "Mujer </w:t>
      </w:r>
      <w:r w:rsidR="0027111F" w:rsidRPr="00742BED">
        <w:rPr>
          <w:rFonts w:ascii="Arial" w:hAnsi="Arial" w:cs="Arial"/>
          <w:color w:val="000000" w:themeColor="text1"/>
          <w:sz w:val="21"/>
          <w:szCs w:val="21"/>
          <w:lang w:val="es-ES_tradnl"/>
        </w:rPr>
        <w:t>víctima</w:t>
      </w:r>
      <w:r w:rsidR="004958F6" w:rsidRPr="00742BED">
        <w:rPr>
          <w:rFonts w:ascii="Arial" w:hAnsi="Arial" w:cs="Arial"/>
          <w:color w:val="000000" w:themeColor="text1"/>
          <w:sz w:val="21"/>
          <w:szCs w:val="21"/>
          <w:lang w:val="es-ES_tradnl"/>
        </w:rPr>
        <w:t xml:space="preserve"> de la violencia o cabeza de familia" ¿es aplicable el concepto de identidad de </w:t>
      </w:r>
      <w:r w:rsidR="0027111F" w:rsidRPr="00742BED">
        <w:rPr>
          <w:rFonts w:ascii="Arial" w:hAnsi="Arial" w:cs="Arial"/>
          <w:color w:val="000000" w:themeColor="text1"/>
          <w:sz w:val="21"/>
          <w:szCs w:val="21"/>
          <w:lang w:val="es-ES_tradnl"/>
        </w:rPr>
        <w:t>género</w:t>
      </w:r>
      <w:r w:rsidR="004958F6" w:rsidRPr="00742BED">
        <w:rPr>
          <w:rFonts w:ascii="Arial" w:hAnsi="Arial" w:cs="Arial"/>
          <w:color w:val="000000" w:themeColor="text1"/>
          <w:sz w:val="21"/>
          <w:szCs w:val="21"/>
          <w:lang w:val="es-ES_tradnl"/>
        </w:rPr>
        <w:t>?; en el evento en que la respuesta sea afirmativa, ¿</w:t>
      </w:r>
      <w:r w:rsidR="0027111F" w:rsidRPr="00742BED">
        <w:rPr>
          <w:rFonts w:ascii="Arial" w:hAnsi="Arial" w:cs="Arial"/>
          <w:color w:val="000000" w:themeColor="text1"/>
          <w:sz w:val="21"/>
          <w:szCs w:val="21"/>
          <w:lang w:val="es-ES_tradnl"/>
        </w:rPr>
        <w:t>cómo</w:t>
      </w:r>
      <w:r w:rsidR="004958F6" w:rsidRPr="00742BED">
        <w:rPr>
          <w:rFonts w:ascii="Arial" w:hAnsi="Arial" w:cs="Arial"/>
          <w:color w:val="000000" w:themeColor="text1"/>
          <w:sz w:val="21"/>
          <w:szCs w:val="21"/>
          <w:lang w:val="es-ES_tradnl"/>
        </w:rPr>
        <w:t xml:space="preserve"> se acredita?</w:t>
      </w:r>
    </w:p>
    <w:p w14:paraId="059154F8" w14:textId="77777777" w:rsidR="004C5160" w:rsidRPr="00742BED" w:rsidRDefault="004C5160" w:rsidP="004958F6">
      <w:pPr>
        <w:ind w:left="709" w:right="709"/>
        <w:jc w:val="both"/>
        <w:rPr>
          <w:rFonts w:ascii="Arial" w:hAnsi="Arial" w:cs="Arial"/>
          <w:color w:val="000000" w:themeColor="text1"/>
          <w:sz w:val="21"/>
          <w:szCs w:val="21"/>
          <w:lang w:val="es-ES_tradnl"/>
        </w:rPr>
      </w:pPr>
    </w:p>
    <w:p w14:paraId="5238F725" w14:textId="50511AD1" w:rsidR="004958F6" w:rsidRPr="00742BED" w:rsidRDefault="00EE77D4" w:rsidP="004958F6">
      <w:pPr>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w:t>
      </w:r>
      <w:r w:rsidR="00EA5A56" w:rsidRPr="00742BED">
        <w:rPr>
          <w:rFonts w:ascii="Arial" w:hAnsi="Arial" w:cs="Arial"/>
          <w:color w:val="000000" w:themeColor="text1"/>
          <w:sz w:val="21"/>
          <w:szCs w:val="21"/>
          <w:lang w:val="es-ES_tradnl"/>
        </w:rPr>
        <w:t xml:space="preserve">[…] </w:t>
      </w:r>
      <w:r w:rsidR="004958F6" w:rsidRPr="00742BED">
        <w:rPr>
          <w:rFonts w:ascii="Arial" w:hAnsi="Arial" w:cs="Arial"/>
          <w:color w:val="000000" w:themeColor="text1"/>
          <w:sz w:val="21"/>
          <w:szCs w:val="21"/>
          <w:lang w:val="es-ES_tradnl"/>
        </w:rPr>
        <w:t>¿</w:t>
      </w:r>
      <w:r w:rsidR="0027111F" w:rsidRPr="00742BED">
        <w:rPr>
          <w:rFonts w:ascii="Arial" w:hAnsi="Arial" w:cs="Arial"/>
          <w:color w:val="000000" w:themeColor="text1"/>
          <w:sz w:val="21"/>
          <w:szCs w:val="21"/>
          <w:lang w:val="es-ES_tradnl"/>
        </w:rPr>
        <w:t>Cómo</w:t>
      </w:r>
      <w:r w:rsidR="004958F6" w:rsidRPr="00742BED">
        <w:rPr>
          <w:rFonts w:ascii="Arial" w:hAnsi="Arial" w:cs="Arial"/>
          <w:color w:val="000000" w:themeColor="text1"/>
          <w:sz w:val="21"/>
          <w:szCs w:val="21"/>
          <w:lang w:val="es-ES_tradnl"/>
        </w:rPr>
        <w:t xml:space="preserve"> se aplica el criterio de desempate No? 2 (mujer victima de la violencia o cabeza de familia) a un proponente plural, conformado por dos personas naturales cada uno con una </w:t>
      </w:r>
      <w:r w:rsidR="0027111F" w:rsidRPr="00742BED">
        <w:rPr>
          <w:rFonts w:ascii="Arial" w:hAnsi="Arial" w:cs="Arial"/>
          <w:color w:val="000000" w:themeColor="text1"/>
          <w:sz w:val="21"/>
          <w:szCs w:val="21"/>
          <w:lang w:val="es-ES_tradnl"/>
        </w:rPr>
        <w:t>participación</w:t>
      </w:r>
      <w:r w:rsidR="004958F6" w:rsidRPr="00742BED">
        <w:rPr>
          <w:rFonts w:ascii="Arial" w:hAnsi="Arial" w:cs="Arial"/>
          <w:color w:val="000000" w:themeColor="text1"/>
          <w:sz w:val="21"/>
          <w:szCs w:val="21"/>
          <w:lang w:val="es-ES_tradnl"/>
        </w:rPr>
        <w:t xml:space="preserve"> del 50%, donde una de esas personas es mujer cabeza de familia?</w:t>
      </w:r>
    </w:p>
    <w:p w14:paraId="26FF71C7" w14:textId="77777777" w:rsidR="004C5160" w:rsidRPr="00742BED" w:rsidRDefault="004C5160" w:rsidP="004958F6">
      <w:pPr>
        <w:ind w:left="709" w:right="709"/>
        <w:jc w:val="both"/>
        <w:rPr>
          <w:rFonts w:ascii="Arial" w:hAnsi="Arial" w:cs="Arial"/>
          <w:color w:val="000000" w:themeColor="text1"/>
          <w:sz w:val="21"/>
          <w:szCs w:val="21"/>
          <w:lang w:val="es-ES_tradnl"/>
        </w:rPr>
      </w:pPr>
    </w:p>
    <w:p w14:paraId="33C257E2" w14:textId="489CA296" w:rsidR="004958F6" w:rsidRPr="00742BED" w:rsidRDefault="00EE77D4" w:rsidP="00050A89">
      <w:pPr>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w:t>
      </w:r>
      <w:r w:rsidR="00EA5A56" w:rsidRPr="00742BED">
        <w:rPr>
          <w:rFonts w:ascii="Arial" w:hAnsi="Arial" w:cs="Arial"/>
          <w:color w:val="000000" w:themeColor="text1"/>
          <w:sz w:val="21"/>
          <w:szCs w:val="21"/>
          <w:lang w:val="es-ES_tradnl"/>
        </w:rPr>
        <w:t xml:space="preserve">[…] </w:t>
      </w:r>
      <w:r w:rsidR="004958F6" w:rsidRPr="00742BED">
        <w:rPr>
          <w:rFonts w:ascii="Arial" w:hAnsi="Arial" w:cs="Arial"/>
          <w:color w:val="000000" w:themeColor="text1"/>
          <w:sz w:val="21"/>
          <w:szCs w:val="21"/>
          <w:lang w:val="es-ES_tradnl"/>
        </w:rPr>
        <w:t>¿Se puede aplicar el criterio de desempate No? 2</w:t>
      </w:r>
      <w:r w:rsidR="00050A89" w:rsidRPr="00742BED">
        <w:rPr>
          <w:rFonts w:ascii="Arial" w:hAnsi="Arial" w:cs="Arial"/>
          <w:color w:val="000000" w:themeColor="text1"/>
          <w:sz w:val="21"/>
          <w:szCs w:val="21"/>
          <w:lang w:val="es-ES_tradnl"/>
        </w:rPr>
        <w:t xml:space="preserve"> </w:t>
      </w:r>
      <w:r w:rsidR="004958F6" w:rsidRPr="00742BED">
        <w:rPr>
          <w:rFonts w:ascii="Arial" w:hAnsi="Arial" w:cs="Arial"/>
          <w:color w:val="000000" w:themeColor="text1"/>
          <w:sz w:val="21"/>
          <w:szCs w:val="21"/>
          <w:lang w:val="es-ES_tradnl"/>
        </w:rPr>
        <w:t>(mujer victima de la violencia o cabeza de familia) a</w:t>
      </w:r>
      <w:r w:rsidR="00050A89" w:rsidRPr="00742BED">
        <w:rPr>
          <w:rFonts w:ascii="Arial" w:hAnsi="Arial" w:cs="Arial"/>
          <w:color w:val="000000" w:themeColor="text1"/>
          <w:sz w:val="21"/>
          <w:szCs w:val="21"/>
          <w:lang w:val="es-ES_tradnl"/>
        </w:rPr>
        <w:t xml:space="preserve"> </w:t>
      </w:r>
      <w:r w:rsidR="004958F6" w:rsidRPr="00742BED">
        <w:rPr>
          <w:rFonts w:ascii="Arial" w:hAnsi="Arial" w:cs="Arial"/>
          <w:color w:val="000000" w:themeColor="text1"/>
          <w:sz w:val="21"/>
          <w:szCs w:val="21"/>
          <w:lang w:val="es-ES_tradnl"/>
        </w:rPr>
        <w:t>un proponente plural, conformado por dos personas</w:t>
      </w:r>
      <w:r w:rsidR="00050A89" w:rsidRPr="00742BED">
        <w:rPr>
          <w:rFonts w:ascii="Arial" w:hAnsi="Arial" w:cs="Arial"/>
          <w:color w:val="000000" w:themeColor="text1"/>
          <w:sz w:val="21"/>
          <w:szCs w:val="21"/>
          <w:lang w:val="es-ES_tradnl"/>
        </w:rPr>
        <w:t xml:space="preserve"> </w:t>
      </w:r>
      <w:r w:rsidR="004958F6" w:rsidRPr="00742BED">
        <w:rPr>
          <w:rFonts w:ascii="Arial" w:hAnsi="Arial" w:cs="Arial"/>
          <w:color w:val="000000" w:themeColor="text1"/>
          <w:sz w:val="21"/>
          <w:szCs w:val="21"/>
          <w:lang w:val="es-ES_tradnl"/>
        </w:rPr>
        <w:t>naturales, donde solo una de ellas sea mujer</w:t>
      </w:r>
      <w:r w:rsidR="00050A89" w:rsidRPr="00742BED">
        <w:rPr>
          <w:rFonts w:ascii="Arial" w:hAnsi="Arial" w:cs="Arial"/>
          <w:color w:val="000000" w:themeColor="text1"/>
          <w:sz w:val="21"/>
          <w:szCs w:val="21"/>
          <w:lang w:val="es-ES_tradnl"/>
        </w:rPr>
        <w:t xml:space="preserve"> </w:t>
      </w:r>
      <w:r w:rsidR="004958F6" w:rsidRPr="00742BED">
        <w:rPr>
          <w:rFonts w:ascii="Arial" w:hAnsi="Arial" w:cs="Arial"/>
          <w:color w:val="000000" w:themeColor="text1"/>
          <w:sz w:val="21"/>
          <w:szCs w:val="21"/>
          <w:lang w:val="es-ES_tradnl"/>
        </w:rPr>
        <w:t>cabeza de familia?</w:t>
      </w:r>
      <w:r w:rsidR="00403FDE" w:rsidRPr="00742BED">
        <w:rPr>
          <w:rFonts w:ascii="Arial" w:hAnsi="Arial" w:cs="Arial"/>
          <w:color w:val="000000" w:themeColor="text1"/>
          <w:sz w:val="21"/>
          <w:szCs w:val="21"/>
          <w:lang w:val="es-ES_tradnl"/>
        </w:rPr>
        <w:t xml:space="preserve"> (sic)</w:t>
      </w:r>
    </w:p>
    <w:p w14:paraId="716D0038" w14:textId="77777777" w:rsidR="00D46B43" w:rsidRPr="00742BED" w:rsidRDefault="00D46B43" w:rsidP="004958F6">
      <w:pPr>
        <w:ind w:left="709" w:right="709"/>
        <w:jc w:val="both"/>
        <w:rPr>
          <w:rFonts w:ascii="Arial" w:hAnsi="Arial" w:cs="Arial"/>
          <w:color w:val="000000" w:themeColor="text1"/>
          <w:sz w:val="21"/>
          <w:szCs w:val="21"/>
          <w:lang w:val="es-ES_tradnl"/>
        </w:rPr>
      </w:pPr>
    </w:p>
    <w:p w14:paraId="623FCE9B" w14:textId="0FD69D9D" w:rsidR="004958F6" w:rsidRPr="00742BED" w:rsidRDefault="00EE77D4" w:rsidP="00895E48">
      <w:pPr>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w:t>
      </w:r>
      <w:r w:rsidR="00EA5A56" w:rsidRPr="00742BED">
        <w:rPr>
          <w:rFonts w:ascii="Arial" w:hAnsi="Arial" w:cs="Arial"/>
          <w:color w:val="000000" w:themeColor="text1"/>
          <w:sz w:val="21"/>
          <w:szCs w:val="21"/>
          <w:lang w:val="es-ES_tradnl"/>
        </w:rPr>
        <w:t xml:space="preserve">[…] </w:t>
      </w:r>
      <w:r w:rsidR="004958F6" w:rsidRPr="00742BED">
        <w:rPr>
          <w:rFonts w:ascii="Arial" w:hAnsi="Arial" w:cs="Arial"/>
          <w:color w:val="000000" w:themeColor="text1"/>
          <w:sz w:val="21"/>
          <w:szCs w:val="21"/>
          <w:lang w:val="es-ES_tradnl"/>
        </w:rPr>
        <w:t xml:space="preserve">¿Para el criterio </w:t>
      </w:r>
      <w:r w:rsidR="0027111F" w:rsidRPr="00742BED">
        <w:rPr>
          <w:rFonts w:ascii="Arial" w:hAnsi="Arial" w:cs="Arial"/>
          <w:color w:val="000000" w:themeColor="text1"/>
          <w:sz w:val="21"/>
          <w:szCs w:val="21"/>
          <w:lang w:val="es-ES_tradnl"/>
        </w:rPr>
        <w:t>número</w:t>
      </w:r>
      <w:r w:rsidR="004958F6" w:rsidRPr="00742BED">
        <w:rPr>
          <w:rFonts w:ascii="Arial" w:hAnsi="Arial" w:cs="Arial"/>
          <w:color w:val="000000" w:themeColor="text1"/>
          <w:sz w:val="21"/>
          <w:szCs w:val="21"/>
          <w:lang w:val="es-ES_tradnl"/>
        </w:rPr>
        <w:t xml:space="preserve"> 4 de personas mayores sin </w:t>
      </w:r>
      <w:r w:rsidR="0027111F" w:rsidRPr="00742BED">
        <w:rPr>
          <w:rFonts w:ascii="Arial" w:hAnsi="Arial" w:cs="Arial"/>
          <w:color w:val="000000" w:themeColor="text1"/>
          <w:sz w:val="21"/>
          <w:szCs w:val="21"/>
          <w:lang w:val="es-ES_tradnl"/>
        </w:rPr>
        <w:t>pensión</w:t>
      </w:r>
      <w:r w:rsidR="004958F6" w:rsidRPr="00742BED">
        <w:rPr>
          <w:rFonts w:ascii="Arial" w:hAnsi="Arial" w:cs="Arial"/>
          <w:color w:val="000000" w:themeColor="text1"/>
          <w:sz w:val="21"/>
          <w:szCs w:val="21"/>
          <w:lang w:val="es-ES_tradnl"/>
        </w:rPr>
        <w:t>, el anexo refiere:</w:t>
      </w:r>
      <w:r w:rsidR="00895E48" w:rsidRPr="00742BED">
        <w:rPr>
          <w:rFonts w:ascii="Arial" w:hAnsi="Arial" w:cs="Arial"/>
          <w:color w:val="000000" w:themeColor="text1"/>
          <w:sz w:val="21"/>
          <w:szCs w:val="21"/>
          <w:lang w:val="es-ES_tradnl"/>
        </w:rPr>
        <w:t xml:space="preserve"> </w:t>
      </w:r>
      <w:r w:rsidR="004958F6" w:rsidRPr="00742BED">
        <w:rPr>
          <w:rFonts w:ascii="Arial" w:hAnsi="Arial" w:cs="Arial"/>
          <w:color w:val="000000" w:themeColor="text1"/>
          <w:sz w:val="21"/>
          <w:szCs w:val="21"/>
          <w:lang w:val="es-ES_tradnl"/>
        </w:rPr>
        <w:t xml:space="preserve">“La mayor </w:t>
      </w:r>
      <w:r w:rsidR="0027111F" w:rsidRPr="00742BED">
        <w:rPr>
          <w:rFonts w:ascii="Arial" w:hAnsi="Arial" w:cs="Arial"/>
          <w:color w:val="000000" w:themeColor="text1"/>
          <w:sz w:val="21"/>
          <w:szCs w:val="21"/>
          <w:lang w:val="es-ES_tradnl"/>
        </w:rPr>
        <w:t>proporción</w:t>
      </w:r>
      <w:r w:rsidR="00895E48" w:rsidRPr="00742BED">
        <w:rPr>
          <w:rFonts w:ascii="Arial" w:hAnsi="Arial" w:cs="Arial"/>
          <w:color w:val="000000" w:themeColor="text1"/>
          <w:sz w:val="21"/>
          <w:szCs w:val="21"/>
          <w:lang w:val="es-ES_tradnl"/>
        </w:rPr>
        <w:t xml:space="preserve"> </w:t>
      </w:r>
      <w:r w:rsidR="004958F6" w:rsidRPr="00742BED">
        <w:rPr>
          <w:rFonts w:ascii="Arial" w:hAnsi="Arial" w:cs="Arial"/>
          <w:color w:val="000000" w:themeColor="text1"/>
          <w:sz w:val="21"/>
          <w:szCs w:val="21"/>
          <w:lang w:val="es-ES_tradnl"/>
        </w:rPr>
        <w:t xml:space="preserve">se </w:t>
      </w:r>
      <w:r w:rsidR="0027111F" w:rsidRPr="00742BED">
        <w:rPr>
          <w:rFonts w:ascii="Arial" w:hAnsi="Arial" w:cs="Arial"/>
          <w:color w:val="000000" w:themeColor="text1"/>
          <w:sz w:val="21"/>
          <w:szCs w:val="21"/>
          <w:lang w:val="es-ES_tradnl"/>
        </w:rPr>
        <w:t>definirá</w:t>
      </w:r>
      <w:r w:rsidR="004958F6" w:rsidRPr="00742BED">
        <w:rPr>
          <w:rFonts w:ascii="Arial" w:hAnsi="Arial" w:cs="Arial"/>
          <w:color w:val="000000" w:themeColor="text1"/>
          <w:sz w:val="21"/>
          <w:szCs w:val="21"/>
          <w:lang w:val="es-ES_tradnl"/>
        </w:rPr>
        <w:t xml:space="preserve"> en </w:t>
      </w:r>
      <w:r w:rsidR="0027111F" w:rsidRPr="00742BED">
        <w:rPr>
          <w:rFonts w:ascii="Arial" w:hAnsi="Arial" w:cs="Arial"/>
          <w:color w:val="000000" w:themeColor="text1"/>
          <w:sz w:val="21"/>
          <w:szCs w:val="21"/>
          <w:lang w:val="es-ES_tradnl"/>
        </w:rPr>
        <w:t>relación</w:t>
      </w:r>
      <w:r w:rsidR="004958F6" w:rsidRPr="00742BED">
        <w:rPr>
          <w:rFonts w:ascii="Arial" w:hAnsi="Arial" w:cs="Arial"/>
          <w:color w:val="000000" w:themeColor="text1"/>
          <w:sz w:val="21"/>
          <w:szCs w:val="21"/>
          <w:lang w:val="es-ES_tradnl"/>
        </w:rPr>
        <w:t xml:space="preserve"> con el </w:t>
      </w:r>
      <w:r w:rsidR="0027111F" w:rsidRPr="00742BED">
        <w:rPr>
          <w:rFonts w:ascii="Arial" w:hAnsi="Arial" w:cs="Arial"/>
          <w:color w:val="000000" w:themeColor="text1"/>
          <w:sz w:val="21"/>
          <w:szCs w:val="21"/>
          <w:lang w:val="es-ES_tradnl"/>
        </w:rPr>
        <w:t>número</w:t>
      </w:r>
      <w:r w:rsidR="004958F6" w:rsidRPr="00742BED">
        <w:rPr>
          <w:rFonts w:ascii="Arial" w:hAnsi="Arial" w:cs="Arial"/>
          <w:color w:val="000000" w:themeColor="text1"/>
          <w:sz w:val="21"/>
          <w:szCs w:val="21"/>
          <w:lang w:val="es-ES_tradnl"/>
        </w:rPr>
        <w:t xml:space="preserve"> total de </w:t>
      </w:r>
      <w:r w:rsidR="004958F6" w:rsidRPr="00742BED">
        <w:rPr>
          <w:rFonts w:ascii="Arial" w:hAnsi="Arial" w:cs="Arial"/>
          <w:color w:val="000000" w:themeColor="text1"/>
          <w:sz w:val="21"/>
          <w:szCs w:val="21"/>
          <w:lang w:val="es-ES_tradnl"/>
        </w:rPr>
        <w:lastRenderedPageBreak/>
        <w:t>personas de</w:t>
      </w:r>
      <w:r w:rsidR="00895E48" w:rsidRPr="00742BED">
        <w:rPr>
          <w:rFonts w:ascii="Arial" w:hAnsi="Arial" w:cs="Arial"/>
          <w:color w:val="000000" w:themeColor="text1"/>
          <w:sz w:val="21"/>
          <w:szCs w:val="21"/>
          <w:lang w:val="es-ES_tradnl"/>
        </w:rPr>
        <w:t xml:space="preserve"> </w:t>
      </w:r>
      <w:r w:rsidR="004958F6" w:rsidRPr="00742BED">
        <w:rPr>
          <w:rFonts w:ascii="Arial" w:hAnsi="Arial" w:cs="Arial"/>
          <w:color w:val="000000" w:themeColor="text1"/>
          <w:sz w:val="21"/>
          <w:szCs w:val="21"/>
          <w:lang w:val="es-ES_tradnl"/>
        </w:rPr>
        <w:t>personas mayores que no sean beneficiarios</w:t>
      </w:r>
      <w:r w:rsidR="00895E48" w:rsidRPr="00742BED">
        <w:rPr>
          <w:rFonts w:ascii="Arial" w:hAnsi="Arial" w:cs="Arial"/>
          <w:color w:val="000000" w:themeColor="text1"/>
          <w:sz w:val="21"/>
          <w:szCs w:val="21"/>
          <w:lang w:val="es-ES_tradnl"/>
        </w:rPr>
        <w:t xml:space="preserve"> </w:t>
      </w:r>
      <w:r w:rsidR="004958F6" w:rsidRPr="00742BED">
        <w:rPr>
          <w:rFonts w:ascii="Arial" w:hAnsi="Arial" w:cs="Arial"/>
          <w:color w:val="000000" w:themeColor="text1"/>
          <w:sz w:val="21"/>
          <w:szCs w:val="21"/>
          <w:lang w:val="es-ES_tradnl"/>
        </w:rPr>
        <w:t xml:space="preserve">de la </w:t>
      </w:r>
      <w:r w:rsidR="0027111F" w:rsidRPr="00742BED">
        <w:rPr>
          <w:rFonts w:ascii="Arial" w:hAnsi="Arial" w:cs="Arial"/>
          <w:color w:val="000000" w:themeColor="text1"/>
          <w:sz w:val="21"/>
          <w:szCs w:val="21"/>
          <w:lang w:val="es-ES_tradnl"/>
        </w:rPr>
        <w:t>pensión</w:t>
      </w:r>
      <w:r w:rsidR="004958F6" w:rsidRPr="00742BED">
        <w:rPr>
          <w:rFonts w:ascii="Arial" w:hAnsi="Arial" w:cs="Arial"/>
          <w:color w:val="000000" w:themeColor="text1"/>
          <w:sz w:val="21"/>
          <w:szCs w:val="21"/>
          <w:lang w:val="es-ES_tradnl"/>
        </w:rPr>
        <w:t xml:space="preserve"> de vejez vinculadas</w:t>
      </w:r>
      <w:r w:rsidR="00895E48" w:rsidRPr="00742BED">
        <w:rPr>
          <w:rFonts w:ascii="Arial" w:hAnsi="Arial" w:cs="Arial"/>
          <w:color w:val="000000" w:themeColor="text1"/>
          <w:sz w:val="21"/>
          <w:szCs w:val="21"/>
          <w:lang w:val="es-ES_tradnl"/>
        </w:rPr>
        <w:t xml:space="preserve"> </w:t>
      </w:r>
      <w:r w:rsidR="004958F6" w:rsidRPr="00742BED">
        <w:rPr>
          <w:rFonts w:ascii="Arial" w:hAnsi="Arial" w:cs="Arial"/>
          <w:color w:val="000000" w:themeColor="text1"/>
          <w:sz w:val="21"/>
          <w:szCs w:val="21"/>
          <w:lang w:val="es-ES_tradnl"/>
        </w:rPr>
        <w:t xml:space="preserve">por contrato laboral o contrato de </w:t>
      </w:r>
      <w:r w:rsidR="0027111F" w:rsidRPr="00742BED">
        <w:rPr>
          <w:rFonts w:ascii="Arial" w:hAnsi="Arial" w:cs="Arial"/>
          <w:color w:val="000000" w:themeColor="text1"/>
          <w:sz w:val="21"/>
          <w:szCs w:val="21"/>
          <w:lang w:val="es-ES_tradnl"/>
        </w:rPr>
        <w:t>prestación</w:t>
      </w:r>
      <w:r w:rsidR="004958F6" w:rsidRPr="00742BED">
        <w:rPr>
          <w:rFonts w:ascii="Arial" w:hAnsi="Arial" w:cs="Arial"/>
          <w:color w:val="000000" w:themeColor="text1"/>
          <w:sz w:val="21"/>
          <w:szCs w:val="21"/>
          <w:lang w:val="es-ES_tradnl"/>
        </w:rPr>
        <w:t xml:space="preserve"> de servicios, ¿por lo</w:t>
      </w:r>
      <w:r w:rsidR="00895E48" w:rsidRPr="00742BED">
        <w:rPr>
          <w:rFonts w:ascii="Arial" w:hAnsi="Arial" w:cs="Arial"/>
          <w:color w:val="000000" w:themeColor="text1"/>
          <w:sz w:val="21"/>
          <w:szCs w:val="21"/>
          <w:lang w:val="es-ES_tradnl"/>
        </w:rPr>
        <w:t xml:space="preserve"> </w:t>
      </w:r>
      <w:r w:rsidR="004958F6" w:rsidRPr="00742BED">
        <w:rPr>
          <w:rFonts w:ascii="Arial" w:hAnsi="Arial" w:cs="Arial"/>
          <w:color w:val="000000" w:themeColor="text1"/>
          <w:sz w:val="21"/>
          <w:szCs w:val="21"/>
          <w:lang w:val="es-ES_tradnl"/>
        </w:rPr>
        <w:t xml:space="preserve">que se </w:t>
      </w:r>
      <w:r w:rsidR="0027111F" w:rsidRPr="00742BED">
        <w:rPr>
          <w:rFonts w:ascii="Arial" w:hAnsi="Arial" w:cs="Arial"/>
          <w:color w:val="000000" w:themeColor="text1"/>
          <w:sz w:val="21"/>
          <w:szCs w:val="21"/>
          <w:lang w:val="es-ES_tradnl"/>
        </w:rPr>
        <w:t>preferirá</w:t>
      </w:r>
      <w:r w:rsidR="004958F6" w:rsidRPr="00742BED">
        <w:rPr>
          <w:rFonts w:ascii="Arial" w:hAnsi="Arial" w:cs="Arial"/>
          <w:color w:val="000000" w:themeColor="text1"/>
          <w:sz w:val="21"/>
          <w:szCs w:val="21"/>
          <w:lang w:val="es-ES_tradnl"/>
        </w:rPr>
        <w:t xml:space="preserve"> al Proveedor que acredite un porcentaje mayor?", en este caso, no es claro el</w:t>
      </w:r>
      <w:r w:rsidR="00895E48" w:rsidRPr="00742BED">
        <w:rPr>
          <w:rFonts w:ascii="Arial" w:hAnsi="Arial" w:cs="Arial"/>
          <w:color w:val="000000" w:themeColor="text1"/>
          <w:sz w:val="21"/>
          <w:szCs w:val="21"/>
          <w:lang w:val="es-ES_tradnl"/>
        </w:rPr>
        <w:t xml:space="preserve"> </w:t>
      </w:r>
      <w:r w:rsidR="004958F6" w:rsidRPr="00742BED">
        <w:rPr>
          <w:rFonts w:ascii="Arial" w:hAnsi="Arial" w:cs="Arial"/>
          <w:color w:val="000000" w:themeColor="text1"/>
          <w:sz w:val="21"/>
          <w:szCs w:val="21"/>
          <w:lang w:val="es-ES_tradnl"/>
        </w:rPr>
        <w:t>tema</w:t>
      </w:r>
      <w:r w:rsidR="00895E48" w:rsidRPr="00742BED">
        <w:rPr>
          <w:rFonts w:ascii="Arial" w:hAnsi="Arial" w:cs="Arial"/>
          <w:color w:val="000000" w:themeColor="text1"/>
          <w:sz w:val="21"/>
          <w:szCs w:val="21"/>
          <w:lang w:val="es-ES_tradnl"/>
        </w:rPr>
        <w:t xml:space="preserve"> </w:t>
      </w:r>
      <w:r w:rsidR="004958F6" w:rsidRPr="00742BED">
        <w:rPr>
          <w:rFonts w:ascii="Arial" w:hAnsi="Arial" w:cs="Arial"/>
          <w:color w:val="000000" w:themeColor="text1"/>
          <w:sz w:val="21"/>
          <w:szCs w:val="21"/>
          <w:lang w:val="es-ES_tradnl"/>
        </w:rPr>
        <w:t xml:space="preserve">de la mayor </w:t>
      </w:r>
      <w:r w:rsidR="0027111F" w:rsidRPr="00742BED">
        <w:rPr>
          <w:rFonts w:ascii="Arial" w:hAnsi="Arial" w:cs="Arial"/>
          <w:color w:val="000000" w:themeColor="text1"/>
          <w:sz w:val="21"/>
          <w:szCs w:val="21"/>
          <w:lang w:val="es-ES_tradnl"/>
        </w:rPr>
        <w:t>proporción</w:t>
      </w:r>
      <w:r w:rsidR="004958F6" w:rsidRPr="00742BED">
        <w:rPr>
          <w:rFonts w:ascii="Arial" w:hAnsi="Arial" w:cs="Arial"/>
          <w:color w:val="000000" w:themeColor="text1"/>
          <w:sz w:val="21"/>
          <w:szCs w:val="21"/>
          <w:lang w:val="es-ES_tradnl"/>
        </w:rPr>
        <w:t>.</w:t>
      </w:r>
      <w:r w:rsidR="00895E48" w:rsidRPr="00742BED">
        <w:rPr>
          <w:rFonts w:ascii="Arial" w:hAnsi="Arial" w:cs="Arial"/>
          <w:color w:val="000000" w:themeColor="text1"/>
          <w:sz w:val="21"/>
          <w:szCs w:val="21"/>
          <w:lang w:val="es-ES_tradnl"/>
        </w:rPr>
        <w:t xml:space="preserve"> </w:t>
      </w:r>
      <w:r w:rsidR="004958F6" w:rsidRPr="00742BED">
        <w:rPr>
          <w:rFonts w:ascii="Arial" w:hAnsi="Arial" w:cs="Arial"/>
          <w:color w:val="000000" w:themeColor="text1"/>
          <w:sz w:val="21"/>
          <w:szCs w:val="21"/>
          <w:lang w:val="es-ES_tradnl"/>
        </w:rPr>
        <w:t xml:space="preserve">¿No </w:t>
      </w:r>
      <w:r w:rsidR="0027111F" w:rsidRPr="00742BED">
        <w:rPr>
          <w:rFonts w:ascii="Arial" w:hAnsi="Arial" w:cs="Arial"/>
          <w:color w:val="000000" w:themeColor="text1"/>
          <w:sz w:val="21"/>
          <w:szCs w:val="21"/>
          <w:lang w:val="es-ES_tradnl"/>
        </w:rPr>
        <w:t>debería</w:t>
      </w:r>
      <w:r w:rsidR="004958F6" w:rsidRPr="00742BED">
        <w:rPr>
          <w:rFonts w:ascii="Arial" w:hAnsi="Arial" w:cs="Arial"/>
          <w:color w:val="000000" w:themeColor="text1"/>
          <w:sz w:val="21"/>
          <w:szCs w:val="21"/>
          <w:lang w:val="es-ES_tradnl"/>
        </w:rPr>
        <w:t xml:space="preserve"> corresponder la mayor </w:t>
      </w:r>
      <w:r w:rsidR="0027111F" w:rsidRPr="00742BED">
        <w:rPr>
          <w:rFonts w:ascii="Arial" w:hAnsi="Arial" w:cs="Arial"/>
          <w:color w:val="000000" w:themeColor="text1"/>
          <w:sz w:val="21"/>
          <w:szCs w:val="21"/>
          <w:lang w:val="es-ES_tradnl"/>
        </w:rPr>
        <w:t>proporción</w:t>
      </w:r>
      <w:r w:rsidR="004958F6" w:rsidRPr="00742BED">
        <w:rPr>
          <w:rFonts w:ascii="Arial" w:hAnsi="Arial" w:cs="Arial"/>
          <w:color w:val="000000" w:themeColor="text1"/>
          <w:sz w:val="21"/>
          <w:szCs w:val="21"/>
          <w:lang w:val="es-ES_tradnl"/>
        </w:rPr>
        <w:t xml:space="preserve"> a la </w:t>
      </w:r>
      <w:r w:rsidR="0027111F" w:rsidRPr="00742BED">
        <w:rPr>
          <w:rFonts w:ascii="Arial" w:hAnsi="Arial" w:cs="Arial"/>
          <w:color w:val="000000" w:themeColor="text1"/>
          <w:sz w:val="21"/>
          <w:szCs w:val="21"/>
          <w:lang w:val="es-ES_tradnl"/>
        </w:rPr>
        <w:t>comparación</w:t>
      </w:r>
      <w:r w:rsidR="004958F6" w:rsidRPr="00742BED">
        <w:rPr>
          <w:rFonts w:ascii="Arial" w:hAnsi="Arial" w:cs="Arial"/>
          <w:color w:val="000000" w:themeColor="text1"/>
          <w:sz w:val="21"/>
          <w:szCs w:val="21"/>
          <w:lang w:val="es-ES_tradnl"/>
        </w:rPr>
        <w:t xml:space="preserve"> del </w:t>
      </w:r>
      <w:r w:rsidR="0027111F" w:rsidRPr="00742BED">
        <w:rPr>
          <w:rFonts w:ascii="Arial" w:hAnsi="Arial" w:cs="Arial"/>
          <w:color w:val="000000" w:themeColor="text1"/>
          <w:sz w:val="21"/>
          <w:szCs w:val="21"/>
          <w:lang w:val="es-ES_tradnl"/>
        </w:rPr>
        <w:t>número</w:t>
      </w:r>
      <w:r w:rsidR="00895E48" w:rsidRPr="00742BED">
        <w:rPr>
          <w:rFonts w:ascii="Arial" w:hAnsi="Arial" w:cs="Arial"/>
          <w:color w:val="000000" w:themeColor="text1"/>
          <w:sz w:val="21"/>
          <w:szCs w:val="21"/>
          <w:lang w:val="es-ES_tradnl"/>
        </w:rPr>
        <w:t xml:space="preserve"> </w:t>
      </w:r>
      <w:r w:rsidR="004958F6" w:rsidRPr="00742BED">
        <w:rPr>
          <w:rFonts w:ascii="Arial" w:hAnsi="Arial" w:cs="Arial"/>
          <w:color w:val="000000" w:themeColor="text1"/>
          <w:sz w:val="21"/>
          <w:szCs w:val="21"/>
          <w:lang w:val="es-ES_tradnl"/>
        </w:rPr>
        <w:t>total de empleados que hayan alcanzado la edad de</w:t>
      </w:r>
      <w:r w:rsidR="00895E48" w:rsidRPr="00742BED">
        <w:rPr>
          <w:rFonts w:ascii="Arial" w:hAnsi="Arial" w:cs="Arial"/>
          <w:color w:val="000000" w:themeColor="text1"/>
          <w:sz w:val="21"/>
          <w:szCs w:val="21"/>
          <w:lang w:val="es-ES_tradnl"/>
        </w:rPr>
        <w:t xml:space="preserve"> </w:t>
      </w:r>
      <w:r w:rsidR="0027111F" w:rsidRPr="00742BED">
        <w:rPr>
          <w:rFonts w:ascii="Arial" w:hAnsi="Arial" w:cs="Arial"/>
          <w:color w:val="000000" w:themeColor="text1"/>
          <w:sz w:val="21"/>
          <w:szCs w:val="21"/>
          <w:lang w:val="es-ES_tradnl"/>
        </w:rPr>
        <w:t>pensión</w:t>
      </w:r>
      <w:r w:rsidR="004958F6" w:rsidRPr="00742BED">
        <w:rPr>
          <w:rFonts w:ascii="Arial" w:hAnsi="Arial" w:cs="Arial"/>
          <w:color w:val="000000" w:themeColor="text1"/>
          <w:sz w:val="21"/>
          <w:szCs w:val="21"/>
          <w:lang w:val="es-ES_tradnl"/>
        </w:rPr>
        <w:t xml:space="preserve"> y no sean beneficiarios FRENTE AL</w:t>
      </w:r>
      <w:r w:rsidR="00895E48" w:rsidRPr="00742BED">
        <w:rPr>
          <w:rFonts w:ascii="Arial" w:hAnsi="Arial" w:cs="Arial"/>
          <w:color w:val="000000" w:themeColor="text1"/>
          <w:sz w:val="21"/>
          <w:szCs w:val="21"/>
          <w:lang w:val="es-ES_tradnl"/>
        </w:rPr>
        <w:t xml:space="preserve"> </w:t>
      </w:r>
      <w:r w:rsidR="004958F6" w:rsidRPr="00742BED">
        <w:rPr>
          <w:rFonts w:ascii="Arial" w:hAnsi="Arial" w:cs="Arial"/>
          <w:color w:val="000000" w:themeColor="text1"/>
          <w:sz w:val="21"/>
          <w:szCs w:val="21"/>
          <w:lang w:val="es-ES_tradnl"/>
        </w:rPr>
        <w:t>NUMERO TOTAL DE EMPLEADOS?</w:t>
      </w:r>
    </w:p>
    <w:p w14:paraId="260F8F98" w14:textId="77777777" w:rsidR="00895E48" w:rsidRPr="00742BED" w:rsidRDefault="00895E48" w:rsidP="004958F6">
      <w:pPr>
        <w:ind w:left="709" w:right="709"/>
        <w:jc w:val="both"/>
        <w:rPr>
          <w:rFonts w:ascii="Arial" w:hAnsi="Arial" w:cs="Arial"/>
          <w:color w:val="000000" w:themeColor="text1"/>
          <w:sz w:val="21"/>
          <w:szCs w:val="21"/>
          <w:lang w:val="es-ES_tradnl"/>
        </w:rPr>
      </w:pPr>
    </w:p>
    <w:p w14:paraId="44E5E8F3" w14:textId="1C732FB5" w:rsidR="004958F6" w:rsidRPr="00742BED" w:rsidRDefault="00EE77D4" w:rsidP="002074C2">
      <w:pPr>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w:t>
      </w:r>
      <w:r w:rsidR="00EA5A56" w:rsidRPr="00742BED">
        <w:rPr>
          <w:rFonts w:ascii="Arial" w:hAnsi="Arial" w:cs="Arial"/>
          <w:color w:val="000000" w:themeColor="text1"/>
          <w:sz w:val="21"/>
          <w:szCs w:val="21"/>
          <w:lang w:val="es-ES_tradnl"/>
        </w:rPr>
        <w:t xml:space="preserve">[…] </w:t>
      </w:r>
      <w:r w:rsidR="004958F6" w:rsidRPr="00742BED">
        <w:rPr>
          <w:rFonts w:ascii="Arial" w:hAnsi="Arial" w:cs="Arial"/>
          <w:color w:val="000000" w:themeColor="text1"/>
          <w:sz w:val="21"/>
          <w:szCs w:val="21"/>
          <w:lang w:val="es-ES_tradnl"/>
        </w:rPr>
        <w:t>¿En el caso del criterio No 4, en el evento en que se esté evaluando a un proponente plural,</w:t>
      </w:r>
      <w:r w:rsidR="002074C2" w:rsidRPr="00742BED">
        <w:rPr>
          <w:rFonts w:ascii="Arial" w:hAnsi="Arial" w:cs="Arial"/>
          <w:color w:val="000000" w:themeColor="text1"/>
          <w:sz w:val="21"/>
          <w:szCs w:val="21"/>
          <w:lang w:val="es-ES_tradnl"/>
        </w:rPr>
        <w:t xml:space="preserve"> </w:t>
      </w:r>
      <w:r w:rsidR="004958F6" w:rsidRPr="00742BED">
        <w:rPr>
          <w:rFonts w:ascii="Arial" w:hAnsi="Arial" w:cs="Arial"/>
          <w:color w:val="000000" w:themeColor="text1"/>
          <w:sz w:val="21"/>
          <w:szCs w:val="21"/>
          <w:lang w:val="es-ES_tradnl"/>
        </w:rPr>
        <w:t>¿corresponde a la Entidad a efectos de verificar el mayor</w:t>
      </w:r>
      <w:r w:rsidR="002074C2" w:rsidRPr="00742BED">
        <w:rPr>
          <w:rFonts w:ascii="Arial" w:hAnsi="Arial" w:cs="Arial"/>
          <w:color w:val="000000" w:themeColor="text1"/>
          <w:sz w:val="21"/>
          <w:szCs w:val="21"/>
          <w:lang w:val="es-ES_tradnl"/>
        </w:rPr>
        <w:t xml:space="preserve"> </w:t>
      </w:r>
      <w:r w:rsidR="004958F6" w:rsidRPr="00742BED">
        <w:rPr>
          <w:rFonts w:ascii="Arial" w:hAnsi="Arial" w:cs="Arial"/>
          <w:color w:val="000000" w:themeColor="text1"/>
          <w:sz w:val="21"/>
          <w:szCs w:val="21"/>
          <w:lang w:val="es-ES_tradnl"/>
        </w:rPr>
        <w:t xml:space="preserve">porcentaje de </w:t>
      </w:r>
      <w:r w:rsidR="0027111F" w:rsidRPr="00742BED">
        <w:rPr>
          <w:rFonts w:ascii="Arial" w:hAnsi="Arial" w:cs="Arial"/>
          <w:color w:val="000000" w:themeColor="text1"/>
          <w:sz w:val="21"/>
          <w:szCs w:val="21"/>
          <w:lang w:val="es-ES_tradnl"/>
        </w:rPr>
        <w:t>vinculación</w:t>
      </w:r>
      <w:r w:rsidR="004958F6" w:rsidRPr="00742BED">
        <w:rPr>
          <w:rFonts w:ascii="Arial" w:hAnsi="Arial" w:cs="Arial"/>
          <w:color w:val="000000" w:themeColor="text1"/>
          <w:sz w:val="21"/>
          <w:szCs w:val="21"/>
          <w:lang w:val="es-ES_tradnl"/>
        </w:rPr>
        <w:t>, sumar todas las</w:t>
      </w:r>
      <w:r w:rsidR="002074C2" w:rsidRPr="00742BED">
        <w:rPr>
          <w:rFonts w:ascii="Arial" w:hAnsi="Arial" w:cs="Arial"/>
          <w:color w:val="000000" w:themeColor="text1"/>
          <w:sz w:val="21"/>
          <w:szCs w:val="21"/>
          <w:lang w:val="es-ES_tradnl"/>
        </w:rPr>
        <w:t xml:space="preserve"> </w:t>
      </w:r>
      <w:r w:rsidR="004958F6" w:rsidRPr="00742BED">
        <w:rPr>
          <w:rFonts w:ascii="Arial" w:hAnsi="Arial" w:cs="Arial"/>
          <w:color w:val="000000" w:themeColor="text1"/>
          <w:sz w:val="21"/>
          <w:szCs w:val="21"/>
          <w:lang w:val="es-ES_tradnl"/>
        </w:rPr>
        <w:t>plantas de personal de los miembros</w:t>
      </w:r>
      <w:r w:rsidR="002074C2" w:rsidRPr="00742BED">
        <w:rPr>
          <w:rFonts w:ascii="Arial" w:hAnsi="Arial" w:cs="Arial"/>
          <w:color w:val="000000" w:themeColor="text1"/>
          <w:sz w:val="21"/>
          <w:szCs w:val="21"/>
          <w:lang w:val="es-ES_tradnl"/>
        </w:rPr>
        <w:t xml:space="preserve"> </w:t>
      </w:r>
      <w:r w:rsidR="004958F6" w:rsidRPr="00742BED">
        <w:rPr>
          <w:rFonts w:ascii="Arial" w:hAnsi="Arial" w:cs="Arial"/>
          <w:color w:val="000000" w:themeColor="text1"/>
          <w:sz w:val="21"/>
          <w:szCs w:val="21"/>
          <w:lang w:val="es-ES_tradnl"/>
        </w:rPr>
        <w:t>que los conforman, sumar la cantidad total de personas en la</w:t>
      </w:r>
      <w:r w:rsidR="002074C2" w:rsidRPr="00742BED">
        <w:rPr>
          <w:rFonts w:ascii="Arial" w:hAnsi="Arial" w:cs="Arial"/>
          <w:color w:val="000000" w:themeColor="text1"/>
          <w:sz w:val="21"/>
          <w:szCs w:val="21"/>
          <w:lang w:val="es-ES_tradnl"/>
        </w:rPr>
        <w:t xml:space="preserve"> </w:t>
      </w:r>
      <w:r w:rsidR="0027111F" w:rsidRPr="00742BED">
        <w:rPr>
          <w:rFonts w:ascii="Arial" w:hAnsi="Arial" w:cs="Arial"/>
          <w:color w:val="000000" w:themeColor="text1"/>
          <w:sz w:val="21"/>
          <w:szCs w:val="21"/>
          <w:lang w:val="es-ES_tradnl"/>
        </w:rPr>
        <w:t>condición</w:t>
      </w:r>
      <w:r w:rsidR="004958F6" w:rsidRPr="00742BED">
        <w:rPr>
          <w:rFonts w:ascii="Arial" w:hAnsi="Arial" w:cs="Arial"/>
          <w:color w:val="000000" w:themeColor="text1"/>
          <w:sz w:val="21"/>
          <w:szCs w:val="21"/>
          <w:lang w:val="es-ES_tradnl"/>
        </w:rPr>
        <w:t xml:space="preserve"> referida</w:t>
      </w:r>
      <w:r w:rsidR="002074C2" w:rsidRPr="00742BED">
        <w:rPr>
          <w:rFonts w:ascii="Arial" w:hAnsi="Arial" w:cs="Arial"/>
          <w:color w:val="000000" w:themeColor="text1"/>
          <w:sz w:val="21"/>
          <w:szCs w:val="21"/>
          <w:lang w:val="es-ES_tradnl"/>
        </w:rPr>
        <w:t xml:space="preserve"> </w:t>
      </w:r>
      <w:r w:rsidR="004958F6" w:rsidRPr="00742BED">
        <w:rPr>
          <w:rFonts w:ascii="Arial" w:hAnsi="Arial" w:cs="Arial"/>
          <w:color w:val="000000" w:themeColor="text1"/>
          <w:sz w:val="21"/>
          <w:szCs w:val="21"/>
          <w:lang w:val="es-ES_tradnl"/>
        </w:rPr>
        <w:t>en el criterio de desempate y frente a estos dos puntos concluir el porcentaje?</w:t>
      </w:r>
    </w:p>
    <w:p w14:paraId="06B1B5BC" w14:textId="77777777" w:rsidR="002074C2" w:rsidRPr="00742BED" w:rsidRDefault="002074C2" w:rsidP="002074C2">
      <w:pPr>
        <w:ind w:left="709" w:right="709"/>
        <w:jc w:val="both"/>
        <w:rPr>
          <w:rFonts w:ascii="Arial" w:hAnsi="Arial" w:cs="Arial"/>
          <w:color w:val="000000" w:themeColor="text1"/>
          <w:sz w:val="21"/>
          <w:szCs w:val="21"/>
          <w:lang w:val="es-ES_tradnl"/>
        </w:rPr>
      </w:pPr>
    </w:p>
    <w:p w14:paraId="254F5EE3" w14:textId="5233406B" w:rsidR="00CB61F2" w:rsidRPr="00742BED" w:rsidRDefault="00EE77D4" w:rsidP="00CB61F2">
      <w:pPr>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w:t>
      </w:r>
      <w:r w:rsidR="00EA5A56" w:rsidRPr="00742BED">
        <w:rPr>
          <w:rFonts w:ascii="Arial" w:hAnsi="Arial" w:cs="Arial"/>
          <w:color w:val="000000" w:themeColor="text1"/>
          <w:sz w:val="21"/>
          <w:szCs w:val="21"/>
          <w:lang w:val="es-ES_tradnl"/>
        </w:rPr>
        <w:t xml:space="preserve">[…] </w:t>
      </w:r>
      <w:r w:rsidR="004958F6" w:rsidRPr="00742BED">
        <w:rPr>
          <w:rFonts w:ascii="Arial" w:hAnsi="Arial" w:cs="Arial"/>
          <w:color w:val="000000" w:themeColor="text1"/>
          <w:sz w:val="21"/>
          <w:szCs w:val="21"/>
          <w:lang w:val="es-ES_tradnl"/>
        </w:rPr>
        <w:t xml:space="preserve">¿En el criterio de desempate No. 4, ¿se pueden aplicar los porcentajes de </w:t>
      </w:r>
      <w:r w:rsidR="0027111F" w:rsidRPr="00742BED">
        <w:rPr>
          <w:rFonts w:ascii="Arial" w:hAnsi="Arial" w:cs="Arial"/>
          <w:color w:val="000000" w:themeColor="text1"/>
          <w:sz w:val="21"/>
          <w:szCs w:val="21"/>
          <w:lang w:val="es-ES_tradnl"/>
        </w:rPr>
        <w:t>participación</w:t>
      </w:r>
      <w:r w:rsidR="004958F6" w:rsidRPr="00742BED">
        <w:rPr>
          <w:rFonts w:ascii="Arial" w:hAnsi="Arial" w:cs="Arial"/>
          <w:color w:val="000000" w:themeColor="text1"/>
          <w:sz w:val="21"/>
          <w:szCs w:val="21"/>
          <w:lang w:val="es-ES_tradnl"/>
        </w:rPr>
        <w:t xml:space="preserve"> de los</w:t>
      </w:r>
      <w:r w:rsidR="002074C2" w:rsidRPr="00742BED">
        <w:rPr>
          <w:rFonts w:ascii="Arial" w:hAnsi="Arial" w:cs="Arial"/>
          <w:color w:val="000000" w:themeColor="text1"/>
          <w:sz w:val="21"/>
          <w:szCs w:val="21"/>
          <w:lang w:val="es-ES_tradnl"/>
        </w:rPr>
        <w:t xml:space="preserve"> </w:t>
      </w:r>
      <w:r w:rsidR="004958F6" w:rsidRPr="00742BED">
        <w:rPr>
          <w:rFonts w:ascii="Arial" w:hAnsi="Arial" w:cs="Arial"/>
          <w:color w:val="000000" w:themeColor="text1"/>
          <w:sz w:val="21"/>
          <w:szCs w:val="21"/>
          <w:lang w:val="es-ES_tradnl"/>
        </w:rPr>
        <w:t>miembros del proponente plural para establecer dichos</w:t>
      </w:r>
      <w:r w:rsidR="002074C2" w:rsidRPr="00742BED">
        <w:rPr>
          <w:rFonts w:ascii="Arial" w:hAnsi="Arial" w:cs="Arial"/>
          <w:color w:val="000000" w:themeColor="text1"/>
          <w:sz w:val="21"/>
          <w:szCs w:val="21"/>
          <w:lang w:val="es-ES_tradnl"/>
        </w:rPr>
        <w:t xml:space="preserve"> </w:t>
      </w:r>
      <w:r w:rsidR="004958F6" w:rsidRPr="00742BED">
        <w:rPr>
          <w:rFonts w:ascii="Arial" w:hAnsi="Arial" w:cs="Arial"/>
          <w:color w:val="000000" w:themeColor="text1"/>
          <w:sz w:val="21"/>
          <w:szCs w:val="21"/>
          <w:lang w:val="es-ES_tradnl"/>
        </w:rPr>
        <w:t>porcentajes?; ¿se pueden tomar los</w:t>
      </w:r>
      <w:r w:rsidR="002074C2" w:rsidRPr="00742BED">
        <w:rPr>
          <w:rFonts w:ascii="Arial" w:hAnsi="Arial" w:cs="Arial"/>
          <w:color w:val="000000" w:themeColor="text1"/>
          <w:sz w:val="21"/>
          <w:szCs w:val="21"/>
          <w:lang w:val="es-ES_tradnl"/>
        </w:rPr>
        <w:t xml:space="preserve"> </w:t>
      </w:r>
      <w:r w:rsidR="004958F6" w:rsidRPr="00742BED">
        <w:rPr>
          <w:rFonts w:ascii="Arial" w:hAnsi="Arial" w:cs="Arial"/>
          <w:color w:val="000000" w:themeColor="text1"/>
          <w:sz w:val="21"/>
          <w:szCs w:val="21"/>
          <w:lang w:val="es-ES_tradnl"/>
        </w:rPr>
        <w:t>porcentajes arrojados por cada miembro del</w:t>
      </w:r>
      <w:r w:rsidR="002074C2" w:rsidRPr="00742BED">
        <w:rPr>
          <w:rFonts w:ascii="Arial" w:hAnsi="Arial" w:cs="Arial"/>
          <w:color w:val="000000" w:themeColor="text1"/>
          <w:sz w:val="21"/>
          <w:szCs w:val="21"/>
          <w:lang w:val="es-ES_tradnl"/>
        </w:rPr>
        <w:t xml:space="preserve"> </w:t>
      </w:r>
      <w:r w:rsidR="004958F6" w:rsidRPr="00742BED">
        <w:rPr>
          <w:rFonts w:ascii="Arial" w:hAnsi="Arial" w:cs="Arial"/>
          <w:color w:val="000000" w:themeColor="text1"/>
          <w:sz w:val="21"/>
          <w:szCs w:val="21"/>
          <w:lang w:val="es-ES_tradnl"/>
        </w:rPr>
        <w:t>proponente plural y realizar la sumatoria total del</w:t>
      </w:r>
      <w:r w:rsidR="002074C2" w:rsidRPr="00742BED">
        <w:rPr>
          <w:rFonts w:ascii="Arial" w:hAnsi="Arial" w:cs="Arial"/>
          <w:color w:val="000000" w:themeColor="text1"/>
          <w:sz w:val="21"/>
          <w:szCs w:val="21"/>
          <w:lang w:val="es-ES_tradnl"/>
        </w:rPr>
        <w:t xml:space="preserve"> </w:t>
      </w:r>
      <w:r w:rsidR="004958F6" w:rsidRPr="00742BED">
        <w:rPr>
          <w:rFonts w:ascii="Arial" w:hAnsi="Arial" w:cs="Arial"/>
          <w:color w:val="000000" w:themeColor="text1"/>
          <w:sz w:val="21"/>
          <w:szCs w:val="21"/>
          <w:lang w:val="es-ES_tradnl"/>
        </w:rPr>
        <w:t>proponente?</w:t>
      </w:r>
    </w:p>
    <w:p w14:paraId="70F02DE0" w14:textId="084D2131" w:rsidR="00CB61F2" w:rsidRPr="00742BED" w:rsidRDefault="00CB61F2" w:rsidP="00CB61F2">
      <w:pPr>
        <w:ind w:left="709" w:right="709"/>
        <w:jc w:val="both"/>
        <w:rPr>
          <w:rFonts w:ascii="Arial" w:hAnsi="Arial" w:cs="Arial"/>
          <w:color w:val="000000" w:themeColor="text1"/>
          <w:sz w:val="21"/>
          <w:szCs w:val="21"/>
          <w:lang w:val="es-ES_tradnl"/>
        </w:rPr>
      </w:pPr>
    </w:p>
    <w:p w14:paraId="11FF0402" w14:textId="1322E858" w:rsidR="00C940D9" w:rsidRPr="00742BED" w:rsidRDefault="00EE77D4" w:rsidP="00CB61F2">
      <w:pPr>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w:t>
      </w:r>
      <w:r w:rsidR="00C940D9" w:rsidRPr="00742BED">
        <w:rPr>
          <w:rFonts w:ascii="Arial" w:hAnsi="Arial" w:cs="Arial"/>
          <w:color w:val="000000" w:themeColor="text1"/>
          <w:sz w:val="21"/>
          <w:szCs w:val="21"/>
          <w:lang w:val="es-ES_tradnl"/>
        </w:rPr>
        <w:t>[…]</w:t>
      </w:r>
    </w:p>
    <w:p w14:paraId="2766A19C" w14:textId="39209C5D" w:rsidR="008C67A2" w:rsidRPr="00742BED" w:rsidRDefault="006D4A81" w:rsidP="00CB61F2">
      <w:pPr>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w:t>
      </w:r>
      <w:r w:rsidR="00EA5A56" w:rsidRPr="00742BED">
        <w:rPr>
          <w:rFonts w:ascii="Arial" w:hAnsi="Arial" w:cs="Arial"/>
          <w:color w:val="000000" w:themeColor="text1"/>
          <w:sz w:val="21"/>
          <w:szCs w:val="21"/>
          <w:lang w:val="es-ES_tradnl"/>
        </w:rPr>
        <w:t xml:space="preserve">[…] </w:t>
      </w:r>
      <w:r w:rsidR="008C67A2" w:rsidRPr="00742BED">
        <w:rPr>
          <w:rFonts w:ascii="Arial" w:hAnsi="Arial" w:cs="Arial"/>
          <w:color w:val="000000" w:themeColor="text1"/>
          <w:sz w:val="21"/>
          <w:szCs w:val="21"/>
          <w:lang w:val="es-ES_tradnl"/>
        </w:rPr>
        <w:t xml:space="preserve">¿Puede un contratista de obra pagar los costos de </w:t>
      </w:r>
      <w:r w:rsidR="0027111F" w:rsidRPr="00742BED">
        <w:rPr>
          <w:rFonts w:ascii="Arial" w:hAnsi="Arial" w:cs="Arial"/>
          <w:color w:val="000000" w:themeColor="text1"/>
          <w:sz w:val="21"/>
          <w:szCs w:val="21"/>
          <w:lang w:val="es-ES_tradnl"/>
        </w:rPr>
        <w:t>interventoría</w:t>
      </w:r>
      <w:r w:rsidR="008C67A2" w:rsidRPr="00742BED">
        <w:rPr>
          <w:rFonts w:ascii="Arial" w:hAnsi="Arial" w:cs="Arial"/>
          <w:color w:val="000000" w:themeColor="text1"/>
          <w:sz w:val="21"/>
          <w:szCs w:val="21"/>
          <w:lang w:val="es-ES_tradnl"/>
        </w:rPr>
        <w:t xml:space="preserve"> en el evento que solicite una </w:t>
      </w:r>
      <w:r w:rsidR="0027111F" w:rsidRPr="00742BED">
        <w:rPr>
          <w:rFonts w:ascii="Arial" w:hAnsi="Arial" w:cs="Arial"/>
          <w:color w:val="000000" w:themeColor="text1"/>
          <w:sz w:val="21"/>
          <w:szCs w:val="21"/>
          <w:lang w:val="es-ES_tradnl"/>
        </w:rPr>
        <w:t>prórroga</w:t>
      </w:r>
      <w:r w:rsidR="008C67A2" w:rsidRPr="00742BED">
        <w:rPr>
          <w:rFonts w:ascii="Arial" w:hAnsi="Arial" w:cs="Arial"/>
          <w:color w:val="000000" w:themeColor="text1"/>
          <w:sz w:val="21"/>
          <w:szCs w:val="21"/>
          <w:lang w:val="es-ES_tradnl"/>
        </w:rPr>
        <w:t xml:space="preserve"> por no poderse cumplir el objeto contractual dentro del plazo inicial propuesto por la Entidad en los</w:t>
      </w:r>
      <w:r w:rsidR="00CB61F2" w:rsidRPr="00742BED">
        <w:rPr>
          <w:rFonts w:ascii="Arial" w:hAnsi="Arial" w:cs="Arial"/>
          <w:color w:val="000000" w:themeColor="text1"/>
          <w:sz w:val="21"/>
          <w:szCs w:val="21"/>
          <w:lang w:val="es-ES_tradnl"/>
        </w:rPr>
        <w:t xml:space="preserve"> </w:t>
      </w:r>
      <w:r w:rsidR="008C67A2" w:rsidRPr="00742BED">
        <w:rPr>
          <w:rFonts w:ascii="Arial" w:hAnsi="Arial" w:cs="Arial"/>
          <w:color w:val="000000" w:themeColor="text1"/>
          <w:sz w:val="21"/>
          <w:szCs w:val="21"/>
          <w:lang w:val="es-ES_tradnl"/>
        </w:rPr>
        <w:t>pliegos y el contrato?</w:t>
      </w:r>
    </w:p>
    <w:p w14:paraId="5729E483" w14:textId="77777777" w:rsidR="00CB61F2" w:rsidRPr="00742BED" w:rsidRDefault="00CB61F2" w:rsidP="00CB61F2">
      <w:pPr>
        <w:ind w:left="709" w:right="709"/>
        <w:jc w:val="both"/>
        <w:rPr>
          <w:rFonts w:ascii="Arial" w:hAnsi="Arial" w:cs="Arial"/>
          <w:color w:val="000000" w:themeColor="text1"/>
          <w:sz w:val="21"/>
          <w:szCs w:val="21"/>
          <w:lang w:val="es-ES_tradnl"/>
        </w:rPr>
      </w:pPr>
    </w:p>
    <w:p w14:paraId="27529831" w14:textId="3D93A2C8" w:rsidR="008C67A2" w:rsidRPr="00742BED" w:rsidRDefault="006D4A81" w:rsidP="008C67A2">
      <w:pPr>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w:t>
      </w:r>
      <w:r w:rsidR="00EA5A56" w:rsidRPr="00742BED">
        <w:rPr>
          <w:rFonts w:ascii="Arial" w:hAnsi="Arial" w:cs="Arial"/>
          <w:color w:val="000000" w:themeColor="text1"/>
          <w:sz w:val="21"/>
          <w:szCs w:val="21"/>
          <w:lang w:val="es-ES_tradnl"/>
        </w:rPr>
        <w:t xml:space="preserve">[…] </w:t>
      </w:r>
      <w:r w:rsidR="008C67A2" w:rsidRPr="00742BED">
        <w:rPr>
          <w:rFonts w:ascii="Arial" w:hAnsi="Arial" w:cs="Arial"/>
          <w:color w:val="000000" w:themeColor="text1"/>
          <w:sz w:val="21"/>
          <w:szCs w:val="21"/>
          <w:lang w:val="es-ES_tradnl"/>
        </w:rPr>
        <w:t xml:space="preserve">¿Puede constituir conflicto de intereses pactarse el reconocimiento de los costos de </w:t>
      </w:r>
      <w:r w:rsidR="0027111F" w:rsidRPr="00742BED">
        <w:rPr>
          <w:rFonts w:ascii="Arial" w:hAnsi="Arial" w:cs="Arial"/>
          <w:color w:val="000000" w:themeColor="text1"/>
          <w:sz w:val="21"/>
          <w:szCs w:val="21"/>
          <w:lang w:val="es-ES_tradnl"/>
        </w:rPr>
        <w:t>interventoría</w:t>
      </w:r>
      <w:r w:rsidR="008C67A2" w:rsidRPr="00742BED">
        <w:rPr>
          <w:rFonts w:ascii="Arial" w:hAnsi="Arial" w:cs="Arial"/>
          <w:color w:val="000000" w:themeColor="text1"/>
          <w:sz w:val="21"/>
          <w:szCs w:val="21"/>
          <w:lang w:val="es-ES_tradnl"/>
        </w:rPr>
        <w:t xml:space="preserve"> por parte del contratista de obra supervisado?</w:t>
      </w:r>
    </w:p>
    <w:p w14:paraId="2E8F2FC2" w14:textId="77777777" w:rsidR="008625EC" w:rsidRPr="00742BED" w:rsidRDefault="008625EC" w:rsidP="008C67A2">
      <w:pPr>
        <w:ind w:left="709" w:right="709"/>
        <w:jc w:val="both"/>
        <w:rPr>
          <w:rFonts w:ascii="Arial" w:hAnsi="Arial" w:cs="Arial"/>
          <w:color w:val="000000" w:themeColor="text1"/>
          <w:sz w:val="21"/>
          <w:szCs w:val="21"/>
          <w:lang w:val="es-ES_tradnl"/>
        </w:rPr>
      </w:pPr>
    </w:p>
    <w:p w14:paraId="3C873467" w14:textId="14E25CC2" w:rsidR="008C67A2" w:rsidRPr="00742BED" w:rsidRDefault="006D4A81" w:rsidP="008625EC">
      <w:pPr>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w:t>
      </w:r>
      <w:r w:rsidR="00EA5A56" w:rsidRPr="00742BED">
        <w:rPr>
          <w:rFonts w:ascii="Arial" w:hAnsi="Arial" w:cs="Arial"/>
          <w:color w:val="000000" w:themeColor="text1"/>
          <w:sz w:val="21"/>
          <w:szCs w:val="21"/>
          <w:lang w:val="es-ES_tradnl"/>
        </w:rPr>
        <w:t xml:space="preserve">[…] </w:t>
      </w:r>
      <w:r w:rsidR="008C67A2" w:rsidRPr="00742BED">
        <w:rPr>
          <w:rFonts w:ascii="Arial" w:hAnsi="Arial" w:cs="Arial"/>
          <w:color w:val="000000" w:themeColor="text1"/>
          <w:sz w:val="21"/>
          <w:szCs w:val="21"/>
          <w:lang w:val="es-ES_tradnl"/>
        </w:rPr>
        <w:t xml:space="preserve">¿En el evento en que dicha circunstancia sea posible, ¿se puede hablar de </w:t>
      </w:r>
      <w:r w:rsidR="0027111F" w:rsidRPr="00742BED">
        <w:rPr>
          <w:rFonts w:ascii="Arial" w:hAnsi="Arial" w:cs="Arial"/>
          <w:color w:val="000000" w:themeColor="text1"/>
          <w:sz w:val="21"/>
          <w:szCs w:val="21"/>
          <w:lang w:val="es-ES_tradnl"/>
        </w:rPr>
        <w:t>adición</w:t>
      </w:r>
      <w:r w:rsidR="008C67A2" w:rsidRPr="00742BED">
        <w:rPr>
          <w:rFonts w:ascii="Arial" w:hAnsi="Arial" w:cs="Arial"/>
          <w:color w:val="000000" w:themeColor="text1"/>
          <w:sz w:val="21"/>
          <w:szCs w:val="21"/>
          <w:lang w:val="es-ES_tradnl"/>
        </w:rPr>
        <w:t xml:space="preserve"> al valor del contrato</w:t>
      </w:r>
      <w:r w:rsidR="008625EC" w:rsidRPr="00742BED">
        <w:rPr>
          <w:rFonts w:ascii="Arial" w:hAnsi="Arial" w:cs="Arial"/>
          <w:color w:val="000000" w:themeColor="text1"/>
          <w:sz w:val="21"/>
          <w:szCs w:val="21"/>
          <w:lang w:val="es-ES_tradnl"/>
        </w:rPr>
        <w:t xml:space="preserve"> </w:t>
      </w:r>
      <w:r w:rsidR="008C67A2" w:rsidRPr="00742BED">
        <w:rPr>
          <w:rFonts w:ascii="Arial" w:hAnsi="Arial" w:cs="Arial"/>
          <w:color w:val="000000" w:themeColor="text1"/>
          <w:sz w:val="21"/>
          <w:szCs w:val="21"/>
          <w:lang w:val="es-ES_tradnl"/>
        </w:rPr>
        <w:t xml:space="preserve">de </w:t>
      </w:r>
      <w:r w:rsidR="0027111F" w:rsidRPr="00742BED">
        <w:rPr>
          <w:rFonts w:ascii="Arial" w:hAnsi="Arial" w:cs="Arial"/>
          <w:color w:val="000000" w:themeColor="text1"/>
          <w:sz w:val="21"/>
          <w:szCs w:val="21"/>
          <w:lang w:val="es-ES_tradnl"/>
        </w:rPr>
        <w:t>interventoría</w:t>
      </w:r>
      <w:r w:rsidR="008C67A2" w:rsidRPr="00742BED">
        <w:rPr>
          <w:rFonts w:ascii="Arial" w:hAnsi="Arial" w:cs="Arial"/>
          <w:color w:val="000000" w:themeColor="text1"/>
          <w:sz w:val="21"/>
          <w:szCs w:val="21"/>
          <w:lang w:val="es-ES_tradnl"/>
        </w:rPr>
        <w:t xml:space="preserve"> y efectivamente celebrarse sin que exista en ese momento disponibilidad presupuestal por parte de la Entidad? Lo anterior, habida cuenta que la </w:t>
      </w:r>
      <w:r w:rsidR="0027111F" w:rsidRPr="00742BED">
        <w:rPr>
          <w:rFonts w:ascii="Arial" w:hAnsi="Arial" w:cs="Arial"/>
          <w:color w:val="000000" w:themeColor="text1"/>
          <w:sz w:val="21"/>
          <w:szCs w:val="21"/>
          <w:lang w:val="es-ES_tradnl"/>
        </w:rPr>
        <w:t>obligación</w:t>
      </w:r>
      <w:r w:rsidR="008C67A2" w:rsidRPr="00742BED">
        <w:rPr>
          <w:rFonts w:ascii="Arial" w:hAnsi="Arial" w:cs="Arial"/>
          <w:color w:val="000000" w:themeColor="text1"/>
          <w:sz w:val="21"/>
          <w:szCs w:val="21"/>
          <w:lang w:val="es-ES_tradnl"/>
        </w:rPr>
        <w:t xml:space="preserve"> de pago </w:t>
      </w:r>
      <w:r w:rsidR="0027111F" w:rsidRPr="00742BED">
        <w:rPr>
          <w:rFonts w:ascii="Arial" w:hAnsi="Arial" w:cs="Arial"/>
          <w:color w:val="000000" w:themeColor="text1"/>
          <w:sz w:val="21"/>
          <w:szCs w:val="21"/>
          <w:lang w:val="es-ES_tradnl"/>
        </w:rPr>
        <w:t>estaría</w:t>
      </w:r>
      <w:r w:rsidR="008C67A2" w:rsidRPr="00742BED">
        <w:rPr>
          <w:rFonts w:ascii="Arial" w:hAnsi="Arial" w:cs="Arial"/>
          <w:color w:val="000000" w:themeColor="text1"/>
          <w:sz w:val="21"/>
          <w:szCs w:val="21"/>
          <w:lang w:val="es-ES_tradnl"/>
        </w:rPr>
        <w:t xml:space="preserve"> a cargo del contratista de obra y se </w:t>
      </w:r>
      <w:r w:rsidR="0027111F" w:rsidRPr="00742BED">
        <w:rPr>
          <w:rFonts w:ascii="Arial" w:hAnsi="Arial" w:cs="Arial"/>
          <w:color w:val="000000" w:themeColor="text1"/>
          <w:sz w:val="21"/>
          <w:szCs w:val="21"/>
          <w:lang w:val="es-ES_tradnl"/>
        </w:rPr>
        <w:t>causaría</w:t>
      </w:r>
      <w:r w:rsidR="008C67A2" w:rsidRPr="00742BED">
        <w:rPr>
          <w:rFonts w:ascii="Arial" w:hAnsi="Arial" w:cs="Arial"/>
          <w:color w:val="000000" w:themeColor="text1"/>
          <w:sz w:val="21"/>
          <w:szCs w:val="21"/>
          <w:lang w:val="es-ES_tradnl"/>
        </w:rPr>
        <w:t xml:space="preserve"> mes vencido contra </w:t>
      </w:r>
      <w:r w:rsidR="0027111F" w:rsidRPr="00742BED">
        <w:rPr>
          <w:rFonts w:ascii="Arial" w:hAnsi="Arial" w:cs="Arial"/>
          <w:color w:val="000000" w:themeColor="text1"/>
          <w:sz w:val="21"/>
          <w:szCs w:val="21"/>
          <w:lang w:val="es-ES_tradnl"/>
        </w:rPr>
        <w:t>retención</w:t>
      </w:r>
      <w:r w:rsidR="008C67A2" w:rsidRPr="00742BED">
        <w:rPr>
          <w:rFonts w:ascii="Arial" w:hAnsi="Arial" w:cs="Arial"/>
          <w:color w:val="000000" w:themeColor="text1"/>
          <w:sz w:val="21"/>
          <w:szCs w:val="21"/>
          <w:lang w:val="es-ES_tradnl"/>
        </w:rPr>
        <w:t xml:space="preserve"> del pago del contratista de obra y giro</w:t>
      </w:r>
      <w:r w:rsidR="008625EC" w:rsidRPr="00742BED">
        <w:rPr>
          <w:rFonts w:ascii="Arial" w:hAnsi="Arial" w:cs="Arial"/>
          <w:color w:val="000000" w:themeColor="text1"/>
          <w:sz w:val="21"/>
          <w:szCs w:val="21"/>
          <w:lang w:val="es-ES_tradnl"/>
        </w:rPr>
        <w:t xml:space="preserve"> </w:t>
      </w:r>
      <w:r w:rsidR="008C67A2" w:rsidRPr="00742BED">
        <w:rPr>
          <w:rFonts w:ascii="Arial" w:hAnsi="Arial" w:cs="Arial"/>
          <w:color w:val="000000" w:themeColor="text1"/>
          <w:sz w:val="21"/>
          <w:szCs w:val="21"/>
          <w:lang w:val="es-ES_tradnl"/>
        </w:rPr>
        <w:t xml:space="preserve">a la </w:t>
      </w:r>
      <w:r w:rsidR="0027111F" w:rsidRPr="00742BED">
        <w:rPr>
          <w:rFonts w:ascii="Arial" w:hAnsi="Arial" w:cs="Arial"/>
          <w:color w:val="000000" w:themeColor="text1"/>
          <w:sz w:val="21"/>
          <w:szCs w:val="21"/>
          <w:lang w:val="es-ES_tradnl"/>
        </w:rPr>
        <w:t>interventoría</w:t>
      </w:r>
      <w:r w:rsidR="008C67A2" w:rsidRPr="00742BED">
        <w:rPr>
          <w:rFonts w:ascii="Arial" w:hAnsi="Arial" w:cs="Arial"/>
          <w:color w:val="000000" w:themeColor="text1"/>
          <w:sz w:val="21"/>
          <w:szCs w:val="21"/>
          <w:lang w:val="es-ES_tradnl"/>
        </w:rPr>
        <w:t>?</w:t>
      </w:r>
    </w:p>
    <w:p w14:paraId="04F79BE7" w14:textId="77777777" w:rsidR="008625EC" w:rsidRPr="00742BED" w:rsidRDefault="008625EC" w:rsidP="008C67A2">
      <w:pPr>
        <w:ind w:left="709" w:right="709"/>
        <w:jc w:val="both"/>
        <w:rPr>
          <w:rFonts w:ascii="Arial" w:hAnsi="Arial" w:cs="Arial"/>
          <w:color w:val="000000" w:themeColor="text1"/>
          <w:sz w:val="21"/>
          <w:szCs w:val="21"/>
          <w:lang w:val="es-ES_tradnl"/>
        </w:rPr>
      </w:pPr>
    </w:p>
    <w:p w14:paraId="1336B7EB" w14:textId="07C49570" w:rsidR="00DE3789" w:rsidRPr="00742BED" w:rsidRDefault="006D4A81" w:rsidP="008625EC">
      <w:pPr>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w:t>
      </w:r>
      <w:r w:rsidR="00EA5A56" w:rsidRPr="00742BED">
        <w:rPr>
          <w:rFonts w:ascii="Arial" w:hAnsi="Arial" w:cs="Arial"/>
          <w:color w:val="000000" w:themeColor="text1"/>
          <w:sz w:val="21"/>
          <w:szCs w:val="21"/>
          <w:lang w:val="es-ES_tradnl"/>
        </w:rPr>
        <w:t xml:space="preserve">[…] </w:t>
      </w:r>
      <w:r w:rsidR="008C67A2" w:rsidRPr="00742BED">
        <w:rPr>
          <w:rFonts w:ascii="Arial" w:hAnsi="Arial" w:cs="Arial"/>
          <w:color w:val="000000" w:themeColor="text1"/>
          <w:sz w:val="21"/>
          <w:szCs w:val="21"/>
          <w:lang w:val="es-ES_tradnl"/>
        </w:rPr>
        <w:t xml:space="preserve">¿Si la forma de pago de una </w:t>
      </w:r>
      <w:r w:rsidR="0027111F" w:rsidRPr="00742BED">
        <w:rPr>
          <w:rFonts w:ascii="Arial" w:hAnsi="Arial" w:cs="Arial"/>
          <w:color w:val="000000" w:themeColor="text1"/>
          <w:sz w:val="21"/>
          <w:szCs w:val="21"/>
          <w:lang w:val="es-ES_tradnl"/>
        </w:rPr>
        <w:t>interventoría</w:t>
      </w:r>
      <w:r w:rsidR="008C67A2" w:rsidRPr="00742BED">
        <w:rPr>
          <w:rFonts w:ascii="Arial" w:hAnsi="Arial" w:cs="Arial"/>
          <w:color w:val="000000" w:themeColor="text1"/>
          <w:sz w:val="21"/>
          <w:szCs w:val="21"/>
          <w:lang w:val="es-ES_tradnl"/>
        </w:rPr>
        <w:t xml:space="preserve"> es conforme avance de obra, y </w:t>
      </w:r>
      <w:r w:rsidR="00423E8D" w:rsidRPr="00742BED">
        <w:rPr>
          <w:rFonts w:ascii="Arial" w:hAnsi="Arial" w:cs="Arial"/>
          <w:color w:val="000000" w:themeColor="text1"/>
          <w:sz w:val="21"/>
          <w:szCs w:val="21"/>
          <w:lang w:val="es-ES_tradnl"/>
        </w:rPr>
        <w:t>habiéndose</w:t>
      </w:r>
      <w:r w:rsidR="008C67A2" w:rsidRPr="00742BED">
        <w:rPr>
          <w:rFonts w:ascii="Arial" w:hAnsi="Arial" w:cs="Arial"/>
          <w:color w:val="000000" w:themeColor="text1"/>
          <w:sz w:val="21"/>
          <w:szCs w:val="21"/>
          <w:lang w:val="es-ES_tradnl"/>
        </w:rPr>
        <w:t xml:space="preserve"> cumplido el plazo se llega a un avance del 40%; no obstante, se pacta una </w:t>
      </w:r>
      <w:r w:rsidR="00423E8D" w:rsidRPr="00742BED">
        <w:rPr>
          <w:rFonts w:ascii="Arial" w:hAnsi="Arial" w:cs="Arial"/>
          <w:color w:val="000000" w:themeColor="text1"/>
          <w:sz w:val="21"/>
          <w:szCs w:val="21"/>
          <w:lang w:val="es-ES_tradnl"/>
        </w:rPr>
        <w:t>prórroga</w:t>
      </w:r>
      <w:r w:rsidR="008C67A2" w:rsidRPr="00742BED">
        <w:rPr>
          <w:rFonts w:ascii="Arial" w:hAnsi="Arial" w:cs="Arial"/>
          <w:color w:val="000000" w:themeColor="text1"/>
          <w:sz w:val="21"/>
          <w:szCs w:val="21"/>
          <w:lang w:val="es-ES_tradnl"/>
        </w:rPr>
        <w:t xml:space="preserve"> y la </w:t>
      </w:r>
      <w:r w:rsidR="00423E8D" w:rsidRPr="00742BED">
        <w:rPr>
          <w:rFonts w:ascii="Arial" w:hAnsi="Arial" w:cs="Arial"/>
          <w:color w:val="000000" w:themeColor="text1"/>
          <w:sz w:val="21"/>
          <w:szCs w:val="21"/>
          <w:lang w:val="es-ES_tradnl"/>
        </w:rPr>
        <w:t>adición</w:t>
      </w:r>
      <w:r w:rsidR="008C67A2" w:rsidRPr="00742BED">
        <w:rPr>
          <w:rFonts w:ascii="Arial" w:hAnsi="Arial" w:cs="Arial"/>
          <w:color w:val="000000" w:themeColor="text1"/>
          <w:sz w:val="21"/>
          <w:szCs w:val="21"/>
          <w:lang w:val="es-ES_tradnl"/>
        </w:rPr>
        <w:t xml:space="preserve"> en valor a cargo del contratista de obra, </w:t>
      </w:r>
      <w:r w:rsidR="00423E8D" w:rsidRPr="00742BED">
        <w:rPr>
          <w:rFonts w:ascii="Arial" w:hAnsi="Arial" w:cs="Arial"/>
          <w:color w:val="000000" w:themeColor="text1"/>
          <w:sz w:val="21"/>
          <w:szCs w:val="21"/>
          <w:lang w:val="es-ES_tradnl"/>
        </w:rPr>
        <w:t>cambiándose</w:t>
      </w:r>
      <w:r w:rsidR="008C67A2" w:rsidRPr="00742BED">
        <w:rPr>
          <w:rFonts w:ascii="Arial" w:hAnsi="Arial" w:cs="Arial"/>
          <w:color w:val="000000" w:themeColor="text1"/>
          <w:sz w:val="21"/>
          <w:szCs w:val="21"/>
          <w:lang w:val="es-ES_tradnl"/>
        </w:rPr>
        <w:t xml:space="preserve"> la forma de pago a pagos mensuales a cargo del contratista de obra; ¿puede la entidad continuar pagando acuerdo avance de obra e igualmente el contratista de obra</w:t>
      </w:r>
      <w:r w:rsidR="008625EC" w:rsidRPr="00742BED">
        <w:rPr>
          <w:rFonts w:ascii="Arial" w:hAnsi="Arial" w:cs="Arial"/>
          <w:color w:val="000000" w:themeColor="text1"/>
          <w:sz w:val="21"/>
          <w:szCs w:val="21"/>
          <w:lang w:val="es-ES_tradnl"/>
        </w:rPr>
        <w:t xml:space="preserve"> </w:t>
      </w:r>
      <w:r w:rsidR="008C67A2" w:rsidRPr="00742BED">
        <w:rPr>
          <w:rFonts w:ascii="Arial" w:hAnsi="Arial" w:cs="Arial"/>
          <w:color w:val="000000" w:themeColor="text1"/>
          <w:sz w:val="21"/>
          <w:szCs w:val="21"/>
          <w:lang w:val="es-ES_tradnl"/>
        </w:rPr>
        <w:t>pagar el valor causado mensualmente?</w:t>
      </w:r>
      <w:r w:rsidRPr="00742BED">
        <w:rPr>
          <w:rFonts w:ascii="Arial" w:hAnsi="Arial" w:cs="Arial"/>
          <w:color w:val="000000" w:themeColor="text1"/>
          <w:sz w:val="21"/>
          <w:szCs w:val="21"/>
          <w:lang w:val="es-ES_tradnl"/>
        </w:rPr>
        <w:t>»</w:t>
      </w:r>
      <w:r w:rsidR="00E2490F" w:rsidRPr="00742BED">
        <w:rPr>
          <w:rFonts w:ascii="Arial" w:hAnsi="Arial" w:cs="Arial"/>
          <w:color w:val="000000" w:themeColor="text1"/>
          <w:sz w:val="21"/>
          <w:szCs w:val="21"/>
          <w:lang w:val="es-ES_tradnl"/>
        </w:rPr>
        <w:t xml:space="preserve"> (sic)</w:t>
      </w:r>
    </w:p>
    <w:p w14:paraId="4D07550D" w14:textId="77777777" w:rsidR="002074C2" w:rsidRPr="00742BED" w:rsidRDefault="002074C2" w:rsidP="002074C2">
      <w:pPr>
        <w:ind w:left="709" w:right="709"/>
        <w:jc w:val="both"/>
        <w:rPr>
          <w:rFonts w:ascii="Arial" w:hAnsi="Arial" w:cs="Arial"/>
          <w:color w:val="000000" w:themeColor="text1"/>
          <w:sz w:val="21"/>
          <w:szCs w:val="21"/>
          <w:lang w:val="es-ES_tradnl"/>
        </w:rPr>
      </w:pPr>
    </w:p>
    <w:p w14:paraId="124D2DCA" w14:textId="77777777" w:rsidR="00DD5B04" w:rsidRPr="00742BED"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742BED">
        <w:rPr>
          <w:rFonts w:ascii="Arial" w:eastAsia="Calibri" w:hAnsi="Arial" w:cs="Arial"/>
          <w:b/>
          <w:color w:val="000000" w:themeColor="text1"/>
          <w:sz w:val="22"/>
          <w:lang w:val="es-ES_tradnl"/>
        </w:rPr>
        <w:t>Consideraciones</w:t>
      </w:r>
    </w:p>
    <w:p w14:paraId="7D050D2E" w14:textId="77777777" w:rsidR="00435703" w:rsidRPr="00742BED" w:rsidRDefault="00435703" w:rsidP="00DF76A2">
      <w:pPr>
        <w:spacing w:line="276" w:lineRule="auto"/>
        <w:jc w:val="both"/>
        <w:rPr>
          <w:rFonts w:ascii="Arial" w:eastAsia="Calibri" w:hAnsi="Arial" w:cs="Arial"/>
          <w:color w:val="000000" w:themeColor="text1"/>
          <w:sz w:val="22"/>
          <w:szCs w:val="22"/>
          <w:lang w:val="es-ES_tradnl"/>
        </w:rPr>
      </w:pPr>
    </w:p>
    <w:p w14:paraId="305BC2F1" w14:textId="5E6FB566" w:rsidR="003C4317" w:rsidRPr="00742BED" w:rsidRDefault="008E30C4" w:rsidP="00271230">
      <w:pPr>
        <w:spacing w:line="276" w:lineRule="auto"/>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t xml:space="preserve">La Subdirección de Gestión Contractual responderá </w:t>
      </w:r>
      <w:r w:rsidR="00271230" w:rsidRPr="00742BED">
        <w:rPr>
          <w:rFonts w:ascii="Arial" w:eastAsia="Calibri" w:hAnsi="Arial" w:cs="Arial"/>
          <w:color w:val="000000" w:themeColor="text1"/>
          <w:sz w:val="22"/>
          <w:szCs w:val="22"/>
          <w:lang w:val="es-ES_tradnl"/>
        </w:rPr>
        <w:t>la consulta</w:t>
      </w:r>
      <w:r w:rsidRPr="00742BED">
        <w:rPr>
          <w:rFonts w:ascii="Arial" w:eastAsia="Calibri" w:hAnsi="Arial" w:cs="Arial"/>
          <w:color w:val="000000" w:themeColor="text1"/>
          <w:sz w:val="22"/>
          <w:szCs w:val="22"/>
          <w:lang w:val="es-ES_tradnl"/>
        </w:rPr>
        <w:t xml:space="preserve">, </w:t>
      </w:r>
      <w:r w:rsidR="00271230" w:rsidRPr="00742BED">
        <w:rPr>
          <w:rFonts w:ascii="Arial" w:eastAsia="Calibri" w:hAnsi="Arial" w:cs="Arial"/>
          <w:color w:val="000000" w:themeColor="text1"/>
          <w:sz w:val="22"/>
          <w:szCs w:val="22"/>
          <w:lang w:val="es-ES_tradnl"/>
        </w:rPr>
        <w:t>luego de analizar los</w:t>
      </w:r>
      <w:r w:rsidR="00822EC4" w:rsidRPr="00742BED">
        <w:rPr>
          <w:rFonts w:ascii="Arial" w:eastAsia="Calibri" w:hAnsi="Arial" w:cs="Arial"/>
          <w:color w:val="000000" w:themeColor="text1"/>
          <w:sz w:val="22"/>
          <w:szCs w:val="22"/>
          <w:lang w:val="es-ES_tradnl"/>
        </w:rPr>
        <w:t xml:space="preserve"> siguientes temas: </w:t>
      </w:r>
      <w:r w:rsidR="00D93049" w:rsidRPr="00742BED">
        <w:rPr>
          <w:rFonts w:ascii="Arial" w:eastAsia="Calibri" w:hAnsi="Arial" w:cs="Arial"/>
          <w:color w:val="000000" w:themeColor="text1"/>
          <w:sz w:val="22"/>
          <w:szCs w:val="22"/>
          <w:lang w:val="es-ES_tradnl"/>
        </w:rPr>
        <w:t xml:space="preserve">i) </w:t>
      </w:r>
      <w:r w:rsidR="00AD7773" w:rsidRPr="00742BED">
        <w:rPr>
          <w:rFonts w:ascii="Arial" w:eastAsia="Calibri" w:hAnsi="Arial" w:cs="Arial"/>
          <w:color w:val="000000" w:themeColor="text1"/>
          <w:sz w:val="22"/>
          <w:szCs w:val="22"/>
          <w:lang w:val="es-ES_tradnl"/>
        </w:rPr>
        <w:t>reglamentación</w:t>
      </w:r>
      <w:r w:rsidR="0002702E" w:rsidRPr="00742BED">
        <w:rPr>
          <w:rFonts w:ascii="Arial" w:eastAsia="Calibri" w:hAnsi="Arial" w:cs="Arial"/>
          <w:color w:val="000000" w:themeColor="text1"/>
          <w:sz w:val="22"/>
          <w:szCs w:val="22"/>
          <w:lang w:val="es-ES_tradnl"/>
        </w:rPr>
        <w:t xml:space="preserve"> de</w:t>
      </w:r>
      <w:r w:rsidR="00AD7773" w:rsidRPr="00742BED">
        <w:rPr>
          <w:rFonts w:ascii="Arial" w:eastAsia="Calibri" w:hAnsi="Arial" w:cs="Arial"/>
          <w:color w:val="000000" w:themeColor="text1"/>
          <w:sz w:val="22"/>
          <w:szCs w:val="22"/>
          <w:lang w:val="es-ES_tradnl"/>
        </w:rPr>
        <w:t>l</w:t>
      </w:r>
      <w:r w:rsidR="0002702E" w:rsidRPr="00742BED">
        <w:rPr>
          <w:rFonts w:ascii="Arial" w:eastAsia="Calibri" w:hAnsi="Arial" w:cs="Arial"/>
          <w:color w:val="000000" w:themeColor="text1"/>
          <w:sz w:val="22"/>
          <w:szCs w:val="22"/>
          <w:lang w:val="es-ES_tradnl"/>
        </w:rPr>
        <w:t xml:space="preserve"> concurso de mé</w:t>
      </w:r>
      <w:r w:rsidR="00273A94" w:rsidRPr="00742BED">
        <w:rPr>
          <w:rFonts w:ascii="Arial" w:eastAsia="Calibri" w:hAnsi="Arial" w:cs="Arial"/>
          <w:color w:val="000000" w:themeColor="text1"/>
          <w:sz w:val="22"/>
          <w:szCs w:val="22"/>
          <w:lang w:val="es-ES_tradnl"/>
        </w:rPr>
        <w:t xml:space="preserve">ritos </w:t>
      </w:r>
      <w:r w:rsidR="00AD7773" w:rsidRPr="00742BED">
        <w:rPr>
          <w:rFonts w:ascii="Arial" w:eastAsia="Calibri" w:hAnsi="Arial" w:cs="Arial"/>
          <w:color w:val="000000" w:themeColor="text1"/>
          <w:sz w:val="22"/>
          <w:szCs w:val="22"/>
          <w:lang w:val="es-ES_tradnl"/>
        </w:rPr>
        <w:t xml:space="preserve">en el Decreto </w:t>
      </w:r>
      <w:r w:rsidR="00E57D8F" w:rsidRPr="00742BED">
        <w:rPr>
          <w:rFonts w:ascii="Arial" w:eastAsia="Calibri" w:hAnsi="Arial" w:cs="Arial"/>
          <w:color w:val="000000" w:themeColor="text1"/>
          <w:sz w:val="22"/>
          <w:szCs w:val="22"/>
          <w:lang w:val="es-ES_tradnl"/>
        </w:rPr>
        <w:t xml:space="preserve">399 de 2021, </w:t>
      </w:r>
      <w:r w:rsidR="00833ADA" w:rsidRPr="00742BED">
        <w:rPr>
          <w:rFonts w:ascii="Arial" w:eastAsia="Calibri" w:hAnsi="Arial" w:cs="Arial"/>
          <w:color w:val="000000" w:themeColor="text1"/>
          <w:sz w:val="22"/>
          <w:szCs w:val="22"/>
          <w:lang w:val="es-ES_tradnl"/>
        </w:rPr>
        <w:t>i</w:t>
      </w:r>
      <w:r w:rsidR="00D32784" w:rsidRPr="00742BED">
        <w:rPr>
          <w:rFonts w:ascii="Arial" w:eastAsia="Calibri" w:hAnsi="Arial" w:cs="Arial"/>
          <w:color w:val="000000" w:themeColor="text1"/>
          <w:sz w:val="22"/>
          <w:szCs w:val="22"/>
          <w:lang w:val="es-ES_tradnl"/>
        </w:rPr>
        <w:t>i</w:t>
      </w:r>
      <w:r w:rsidR="00833ADA" w:rsidRPr="00742BED">
        <w:rPr>
          <w:rFonts w:ascii="Arial" w:eastAsia="Calibri" w:hAnsi="Arial" w:cs="Arial"/>
          <w:color w:val="000000" w:themeColor="text1"/>
          <w:sz w:val="22"/>
          <w:szCs w:val="22"/>
          <w:lang w:val="es-ES_tradnl"/>
        </w:rPr>
        <w:t xml:space="preserve">) definición de los criterios de desempate en la contratación estatal, </w:t>
      </w:r>
      <w:r w:rsidR="00822EC4" w:rsidRPr="00742BED">
        <w:rPr>
          <w:rFonts w:ascii="Arial" w:eastAsia="Calibri" w:hAnsi="Arial" w:cs="Arial"/>
          <w:color w:val="000000" w:themeColor="text1"/>
          <w:sz w:val="22"/>
          <w:szCs w:val="22"/>
          <w:lang w:val="es-ES_tradnl"/>
        </w:rPr>
        <w:t>i</w:t>
      </w:r>
      <w:r w:rsidR="00833ADA" w:rsidRPr="00742BED">
        <w:rPr>
          <w:rFonts w:ascii="Arial" w:eastAsia="Calibri" w:hAnsi="Arial" w:cs="Arial"/>
          <w:color w:val="000000" w:themeColor="text1"/>
          <w:sz w:val="22"/>
          <w:szCs w:val="22"/>
          <w:lang w:val="es-ES_tradnl"/>
        </w:rPr>
        <w:t>i</w:t>
      </w:r>
      <w:r w:rsidR="00D32784" w:rsidRPr="00742BED">
        <w:rPr>
          <w:rFonts w:ascii="Arial" w:eastAsia="Calibri" w:hAnsi="Arial" w:cs="Arial"/>
          <w:color w:val="000000" w:themeColor="text1"/>
          <w:sz w:val="22"/>
          <w:szCs w:val="22"/>
          <w:lang w:val="es-ES_tradnl"/>
        </w:rPr>
        <w:t>i</w:t>
      </w:r>
      <w:r w:rsidR="00822EC4" w:rsidRPr="00742BED">
        <w:rPr>
          <w:rFonts w:ascii="Arial" w:eastAsia="Calibri" w:hAnsi="Arial" w:cs="Arial"/>
          <w:color w:val="000000" w:themeColor="text1"/>
          <w:sz w:val="22"/>
          <w:szCs w:val="22"/>
          <w:lang w:val="es-ES_tradnl"/>
        </w:rPr>
        <w:t>)</w:t>
      </w:r>
      <w:r w:rsidR="00A12574" w:rsidRPr="00742BED">
        <w:rPr>
          <w:rFonts w:ascii="Arial" w:eastAsia="Calibri" w:hAnsi="Arial" w:cs="Arial"/>
          <w:color w:val="000000" w:themeColor="text1"/>
          <w:sz w:val="22"/>
          <w:szCs w:val="22"/>
          <w:lang w:val="es-ES_tradnl"/>
        </w:rPr>
        <w:t xml:space="preserve"> vigencia y ámbito de aplicación de la Ley </w:t>
      </w:r>
      <w:r w:rsidR="007B209C" w:rsidRPr="00742BED">
        <w:rPr>
          <w:rFonts w:ascii="Arial" w:eastAsia="Calibri" w:hAnsi="Arial" w:cs="Arial"/>
          <w:color w:val="000000" w:themeColor="text1"/>
          <w:sz w:val="22"/>
          <w:szCs w:val="22"/>
          <w:lang w:val="es-ES_tradnl"/>
        </w:rPr>
        <w:t>2069</w:t>
      </w:r>
      <w:r w:rsidR="00A12574" w:rsidRPr="00742BED">
        <w:rPr>
          <w:rFonts w:ascii="Arial" w:eastAsia="Calibri" w:hAnsi="Arial" w:cs="Arial"/>
          <w:color w:val="000000" w:themeColor="text1"/>
          <w:sz w:val="22"/>
          <w:szCs w:val="22"/>
          <w:lang w:val="es-ES_tradnl"/>
        </w:rPr>
        <w:t xml:space="preserve"> de 2020</w:t>
      </w:r>
      <w:r w:rsidR="00D32784" w:rsidRPr="00742BED">
        <w:rPr>
          <w:rFonts w:ascii="Arial" w:eastAsia="Calibri" w:hAnsi="Arial" w:cs="Arial"/>
          <w:color w:val="000000" w:themeColor="text1"/>
          <w:sz w:val="22"/>
          <w:szCs w:val="22"/>
          <w:lang w:val="es-ES_tradnl"/>
        </w:rPr>
        <w:t xml:space="preserve">, </w:t>
      </w:r>
      <w:r w:rsidR="00523F41" w:rsidRPr="00742BED">
        <w:rPr>
          <w:rFonts w:ascii="Arial" w:eastAsia="Calibri" w:hAnsi="Arial" w:cs="Arial"/>
          <w:color w:val="000000" w:themeColor="text1"/>
          <w:sz w:val="22"/>
          <w:szCs w:val="22"/>
          <w:lang w:val="es-ES_tradnl"/>
        </w:rPr>
        <w:t>i</w:t>
      </w:r>
      <w:r w:rsidR="00D32784" w:rsidRPr="00742BED">
        <w:rPr>
          <w:rFonts w:ascii="Arial" w:eastAsia="Calibri" w:hAnsi="Arial" w:cs="Arial"/>
          <w:color w:val="000000" w:themeColor="text1"/>
          <w:sz w:val="22"/>
          <w:szCs w:val="22"/>
          <w:lang w:val="es-ES_tradnl"/>
        </w:rPr>
        <w:t>v</w:t>
      </w:r>
      <w:r w:rsidR="00523F41" w:rsidRPr="00742BED">
        <w:rPr>
          <w:rFonts w:ascii="Arial" w:eastAsia="Calibri" w:hAnsi="Arial" w:cs="Arial"/>
          <w:color w:val="000000" w:themeColor="text1"/>
          <w:sz w:val="22"/>
          <w:szCs w:val="22"/>
          <w:lang w:val="es-ES_tradnl"/>
        </w:rPr>
        <w:t xml:space="preserve">) </w:t>
      </w:r>
      <w:r w:rsidR="003C4317" w:rsidRPr="00742BED">
        <w:rPr>
          <w:rFonts w:ascii="Arial" w:eastAsia="Calibri" w:hAnsi="Arial" w:cs="Arial"/>
          <w:color w:val="000000" w:themeColor="text1"/>
          <w:sz w:val="22"/>
          <w:szCs w:val="22"/>
          <w:lang w:val="es-ES_tradnl"/>
        </w:rPr>
        <w:t xml:space="preserve">forma de </w:t>
      </w:r>
      <w:r w:rsidR="009D6909" w:rsidRPr="00742BED">
        <w:rPr>
          <w:rFonts w:ascii="Arial" w:eastAsia="Calibri" w:hAnsi="Arial" w:cs="Arial"/>
          <w:color w:val="000000" w:themeColor="text1"/>
          <w:sz w:val="22"/>
          <w:szCs w:val="22"/>
          <w:lang w:val="es-ES_tradnl"/>
        </w:rPr>
        <w:t>acreditación de los factores de desempate</w:t>
      </w:r>
      <w:r w:rsidR="003C4317" w:rsidRPr="00742BED">
        <w:rPr>
          <w:rFonts w:ascii="Arial" w:eastAsia="Calibri" w:hAnsi="Arial" w:cs="Arial"/>
          <w:color w:val="000000" w:themeColor="text1"/>
          <w:sz w:val="22"/>
          <w:szCs w:val="22"/>
          <w:lang w:val="es-ES_tradnl"/>
        </w:rPr>
        <w:t xml:space="preserve"> </w:t>
      </w:r>
      <w:r w:rsidR="003C4317" w:rsidRPr="00742BED">
        <w:rPr>
          <w:rFonts w:ascii="Arial" w:eastAsia="Calibri" w:hAnsi="Arial" w:cs="Arial"/>
          <w:color w:val="000000" w:themeColor="text1"/>
          <w:sz w:val="22"/>
          <w:szCs w:val="22"/>
          <w:lang w:val="es-ES_tradnl"/>
        </w:rPr>
        <w:lastRenderedPageBreak/>
        <w:t>consagrados en el artículo 35 de la mencionada Ley</w:t>
      </w:r>
      <w:r w:rsidR="00285943" w:rsidRPr="00742BED">
        <w:rPr>
          <w:rFonts w:ascii="Arial" w:eastAsia="Calibri" w:hAnsi="Arial" w:cs="Arial"/>
          <w:color w:val="000000" w:themeColor="text1"/>
          <w:sz w:val="22"/>
          <w:szCs w:val="22"/>
          <w:lang w:val="es-ES_tradnl"/>
        </w:rPr>
        <w:t xml:space="preserve"> y v) límites de la autonomía de la voluntad para pactar la forma de pago </w:t>
      </w:r>
      <w:r w:rsidR="006525BD" w:rsidRPr="00742BED">
        <w:rPr>
          <w:rFonts w:ascii="Arial" w:eastAsia="Calibri" w:hAnsi="Arial" w:cs="Arial"/>
          <w:color w:val="000000" w:themeColor="text1"/>
          <w:sz w:val="22"/>
          <w:szCs w:val="22"/>
          <w:lang w:val="es-ES_tradnl"/>
        </w:rPr>
        <w:t>y procedencia de los mecanismos de arreglo directo entre las partes del contrato</w:t>
      </w:r>
      <w:r w:rsidR="00CD405A" w:rsidRPr="00742BED">
        <w:rPr>
          <w:rFonts w:ascii="Arial" w:eastAsia="Calibri" w:hAnsi="Arial" w:cs="Arial"/>
          <w:color w:val="000000" w:themeColor="text1"/>
          <w:sz w:val="22"/>
          <w:szCs w:val="22"/>
          <w:lang w:val="es-ES_tradnl"/>
        </w:rPr>
        <w:t xml:space="preserve"> estatal</w:t>
      </w:r>
      <w:r w:rsidR="006525BD" w:rsidRPr="00742BED">
        <w:rPr>
          <w:rFonts w:ascii="Arial" w:eastAsia="Calibri" w:hAnsi="Arial" w:cs="Arial"/>
          <w:color w:val="000000" w:themeColor="text1"/>
          <w:sz w:val="22"/>
          <w:szCs w:val="22"/>
          <w:lang w:val="es-ES_tradnl"/>
        </w:rPr>
        <w:t>.</w:t>
      </w:r>
    </w:p>
    <w:p w14:paraId="76B3327F" w14:textId="77777777" w:rsidR="0075543A" w:rsidRPr="00742BED" w:rsidRDefault="00EC1DAE" w:rsidP="00C8331F">
      <w:pPr>
        <w:spacing w:before="120" w:line="276" w:lineRule="auto"/>
        <w:ind w:firstLine="709"/>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t>E</w:t>
      </w:r>
      <w:r w:rsidR="00C8331F" w:rsidRPr="00742BED">
        <w:rPr>
          <w:rFonts w:ascii="Arial" w:eastAsia="Calibri" w:hAnsi="Arial" w:cs="Arial"/>
          <w:color w:val="000000" w:themeColor="text1"/>
          <w:sz w:val="22"/>
          <w:szCs w:val="22"/>
          <w:lang w:val="es-ES_tradnl"/>
        </w:rPr>
        <w:t>s importante destacar que la Agencia Nacional de Contratación Pública</w:t>
      </w:r>
      <w:r w:rsidRPr="00742BED">
        <w:rPr>
          <w:rFonts w:ascii="Arial" w:eastAsia="Calibri" w:hAnsi="Arial" w:cs="Arial"/>
          <w:color w:val="000000" w:themeColor="text1"/>
          <w:sz w:val="22"/>
          <w:szCs w:val="22"/>
          <w:lang w:val="es-ES_tradnl"/>
        </w:rPr>
        <w:t xml:space="preserve"> – Colombia Compra Eficiente se pronunció, en términos generales, sobre los factores de desempate en los procedimientos de contratación estatal</w:t>
      </w:r>
      <w:r w:rsidR="00442D13" w:rsidRPr="00742BED">
        <w:rPr>
          <w:rFonts w:ascii="Arial" w:eastAsia="Calibri" w:hAnsi="Arial" w:cs="Arial"/>
          <w:color w:val="000000" w:themeColor="text1"/>
          <w:sz w:val="22"/>
          <w:szCs w:val="22"/>
          <w:lang w:val="es-ES_tradnl"/>
        </w:rPr>
        <w:t>,</w:t>
      </w:r>
      <w:r w:rsidR="0091310F" w:rsidRPr="00742BED">
        <w:rPr>
          <w:rFonts w:ascii="Arial" w:eastAsia="Calibri" w:hAnsi="Arial" w:cs="Arial"/>
          <w:color w:val="000000" w:themeColor="text1"/>
          <w:sz w:val="22"/>
          <w:szCs w:val="22"/>
          <w:lang w:val="es-ES_tradnl"/>
        </w:rPr>
        <w:t xml:space="preserve"> en los conceptos C-285 del </w:t>
      </w:r>
      <w:r w:rsidR="00677212" w:rsidRPr="00742BED">
        <w:rPr>
          <w:rFonts w:ascii="Arial" w:eastAsia="Calibri" w:hAnsi="Arial" w:cs="Arial"/>
          <w:color w:val="000000" w:themeColor="text1"/>
          <w:sz w:val="22"/>
          <w:szCs w:val="22"/>
          <w:lang w:val="es-ES_tradnl"/>
        </w:rPr>
        <w:t>4</w:t>
      </w:r>
      <w:r w:rsidR="0091310F" w:rsidRPr="00742BED">
        <w:rPr>
          <w:rFonts w:ascii="Arial" w:eastAsia="Calibri" w:hAnsi="Arial" w:cs="Arial"/>
          <w:color w:val="000000" w:themeColor="text1"/>
          <w:sz w:val="22"/>
          <w:szCs w:val="22"/>
          <w:lang w:val="es-ES_tradnl"/>
        </w:rPr>
        <w:t xml:space="preserve"> de </w:t>
      </w:r>
      <w:r w:rsidR="00677212" w:rsidRPr="00742BED">
        <w:rPr>
          <w:rFonts w:ascii="Arial" w:eastAsia="Calibri" w:hAnsi="Arial" w:cs="Arial"/>
          <w:color w:val="000000" w:themeColor="text1"/>
          <w:sz w:val="22"/>
          <w:szCs w:val="22"/>
          <w:lang w:val="es-ES_tradnl"/>
        </w:rPr>
        <w:t>mayo</w:t>
      </w:r>
      <w:r w:rsidR="0091310F" w:rsidRPr="00742BED">
        <w:rPr>
          <w:rFonts w:ascii="Arial" w:eastAsia="Calibri" w:hAnsi="Arial" w:cs="Arial"/>
          <w:color w:val="000000" w:themeColor="text1"/>
          <w:sz w:val="22"/>
          <w:szCs w:val="22"/>
          <w:lang w:val="es-ES_tradnl"/>
        </w:rPr>
        <w:t xml:space="preserve"> de 2020, </w:t>
      </w:r>
      <w:r w:rsidR="006361C9" w:rsidRPr="00742BED">
        <w:rPr>
          <w:rFonts w:ascii="Arial" w:eastAsia="Calibri" w:hAnsi="Arial" w:cs="Arial"/>
          <w:color w:val="000000" w:themeColor="text1"/>
          <w:sz w:val="22"/>
          <w:szCs w:val="22"/>
          <w:lang w:val="es-ES_tradnl"/>
        </w:rPr>
        <w:t xml:space="preserve">C-481 del </w:t>
      </w:r>
      <w:r w:rsidR="004060DC" w:rsidRPr="00742BED">
        <w:rPr>
          <w:rFonts w:ascii="Arial" w:eastAsia="Calibri" w:hAnsi="Arial" w:cs="Arial"/>
          <w:color w:val="000000" w:themeColor="text1"/>
          <w:sz w:val="22"/>
          <w:szCs w:val="22"/>
          <w:lang w:val="es-ES_tradnl"/>
        </w:rPr>
        <w:t>27</w:t>
      </w:r>
      <w:r w:rsidR="00184219" w:rsidRPr="00742BED">
        <w:rPr>
          <w:rFonts w:ascii="Arial" w:eastAsia="Calibri" w:hAnsi="Arial" w:cs="Arial"/>
          <w:color w:val="000000" w:themeColor="text1"/>
          <w:sz w:val="22"/>
          <w:szCs w:val="22"/>
          <w:lang w:val="es-ES_tradnl"/>
        </w:rPr>
        <w:t xml:space="preserve"> de julio de 2020</w:t>
      </w:r>
      <w:r w:rsidR="006606A4" w:rsidRPr="00742BED">
        <w:rPr>
          <w:rFonts w:ascii="Arial" w:eastAsia="Calibri" w:hAnsi="Arial" w:cs="Arial"/>
          <w:color w:val="000000" w:themeColor="text1"/>
          <w:sz w:val="22"/>
          <w:szCs w:val="22"/>
          <w:lang w:val="es-ES_tradnl"/>
        </w:rPr>
        <w:t xml:space="preserve">, C-514 </w:t>
      </w:r>
      <w:r w:rsidR="002F7961" w:rsidRPr="00742BED">
        <w:rPr>
          <w:rFonts w:ascii="Arial" w:eastAsia="Calibri" w:hAnsi="Arial" w:cs="Arial"/>
          <w:color w:val="000000" w:themeColor="text1"/>
          <w:sz w:val="22"/>
          <w:szCs w:val="22"/>
          <w:lang w:val="es-ES_tradnl"/>
        </w:rPr>
        <w:t xml:space="preserve">y C-535 </w:t>
      </w:r>
      <w:r w:rsidR="006606A4" w:rsidRPr="00742BED">
        <w:rPr>
          <w:rFonts w:ascii="Arial" w:eastAsia="Calibri" w:hAnsi="Arial" w:cs="Arial"/>
          <w:color w:val="000000" w:themeColor="text1"/>
          <w:sz w:val="22"/>
          <w:szCs w:val="22"/>
          <w:lang w:val="es-ES_tradnl"/>
        </w:rPr>
        <w:t>del 26 de agosto de 2020</w:t>
      </w:r>
      <w:r w:rsidR="004060DC" w:rsidRPr="00742BED">
        <w:rPr>
          <w:rFonts w:ascii="Arial" w:eastAsia="Calibri" w:hAnsi="Arial" w:cs="Arial"/>
          <w:color w:val="000000" w:themeColor="text1"/>
          <w:sz w:val="22"/>
          <w:szCs w:val="22"/>
          <w:lang w:val="es-ES_tradnl"/>
        </w:rPr>
        <w:t xml:space="preserve"> y </w:t>
      </w:r>
      <w:r w:rsidR="00F96079" w:rsidRPr="00742BED">
        <w:rPr>
          <w:rFonts w:ascii="Arial" w:eastAsia="Calibri" w:hAnsi="Arial" w:cs="Arial"/>
          <w:color w:val="000000" w:themeColor="text1"/>
          <w:sz w:val="22"/>
          <w:szCs w:val="22"/>
          <w:lang w:val="es-ES_tradnl"/>
        </w:rPr>
        <w:t xml:space="preserve">C-556 del </w:t>
      </w:r>
      <w:r w:rsidR="00E820F4" w:rsidRPr="00742BED">
        <w:rPr>
          <w:rFonts w:ascii="Arial" w:eastAsia="Calibri" w:hAnsi="Arial" w:cs="Arial"/>
          <w:color w:val="000000" w:themeColor="text1"/>
          <w:sz w:val="22"/>
          <w:szCs w:val="22"/>
          <w:lang w:val="es-ES_tradnl"/>
        </w:rPr>
        <w:t>31 de agosto de 2020</w:t>
      </w:r>
      <w:r w:rsidR="004060DC" w:rsidRPr="00742BED">
        <w:rPr>
          <w:rFonts w:ascii="Arial" w:eastAsia="Calibri" w:hAnsi="Arial" w:cs="Arial"/>
          <w:color w:val="000000" w:themeColor="text1"/>
          <w:sz w:val="22"/>
          <w:szCs w:val="22"/>
          <w:lang w:val="es-ES_tradnl"/>
        </w:rPr>
        <w:t xml:space="preserve">. </w:t>
      </w:r>
      <w:r w:rsidR="001A04E2" w:rsidRPr="00742BED">
        <w:rPr>
          <w:rFonts w:ascii="Arial" w:eastAsia="Calibri" w:hAnsi="Arial" w:cs="Arial"/>
          <w:color w:val="000000" w:themeColor="text1"/>
          <w:sz w:val="22"/>
          <w:szCs w:val="22"/>
          <w:lang w:val="es-ES_tradnl"/>
        </w:rPr>
        <w:t>De igual manera, en los conceptos C-009, C-012, C-013, C-015, C-016, C-026 del 04 de febrero de 2021, C-006 del 5 de febrero de 2021, C-043 del 9 de febrero de 2021,</w:t>
      </w:r>
      <w:r w:rsidR="00FF48C9" w:rsidRPr="00742BED">
        <w:rPr>
          <w:rFonts w:ascii="Arial" w:eastAsia="Calibri" w:hAnsi="Arial" w:cs="Arial"/>
          <w:color w:val="000000" w:themeColor="text1"/>
          <w:sz w:val="22"/>
          <w:szCs w:val="22"/>
          <w:lang w:val="es-ES_tradnl"/>
        </w:rPr>
        <w:t xml:space="preserve"> </w:t>
      </w:r>
      <w:r w:rsidR="001A04E2" w:rsidRPr="00742BED">
        <w:rPr>
          <w:rFonts w:ascii="Arial" w:eastAsia="Calibri" w:hAnsi="Arial" w:cs="Arial"/>
          <w:color w:val="000000" w:themeColor="text1"/>
          <w:sz w:val="22"/>
          <w:szCs w:val="22"/>
          <w:lang w:val="es-ES_tradnl"/>
        </w:rPr>
        <w:t>C-008 del 16 de febrero de 2021, C-081, C-087 y C-089 del 23 de febrero de 2021, C-044 del de marzo de 2021, C-056 del 8 de marzo de 2021 y C‒055 del 10 de marzo de 2021 se estudiaron los factores de desempate del artículo 35 de la Ley 2069 de 2020.</w:t>
      </w:r>
      <w:r w:rsidR="005D6573" w:rsidRPr="00742BED">
        <w:rPr>
          <w:rFonts w:ascii="Arial" w:eastAsia="Calibri" w:hAnsi="Arial" w:cs="Arial"/>
          <w:color w:val="000000" w:themeColor="text1"/>
          <w:sz w:val="22"/>
          <w:szCs w:val="22"/>
          <w:lang w:val="es-ES_tradnl"/>
        </w:rPr>
        <w:t xml:space="preserve"> </w:t>
      </w:r>
    </w:p>
    <w:p w14:paraId="1144E6B3" w14:textId="240DE472" w:rsidR="00C8331F" w:rsidRPr="00742BED" w:rsidRDefault="00332386" w:rsidP="00C8331F">
      <w:pPr>
        <w:spacing w:before="120" w:line="276" w:lineRule="auto"/>
        <w:ind w:firstLine="709"/>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lang w:val="es-ES_tradnl"/>
        </w:rPr>
        <w:t>Asimismo</w:t>
      </w:r>
      <w:r w:rsidR="00FF48C9" w:rsidRPr="00742BED">
        <w:rPr>
          <w:rFonts w:ascii="Arial" w:eastAsia="Calibri" w:hAnsi="Arial" w:cs="Arial"/>
          <w:color w:val="000000" w:themeColor="text1"/>
          <w:sz w:val="22"/>
          <w:lang w:val="es-ES_tradnl"/>
        </w:rPr>
        <w:t>,</w:t>
      </w:r>
      <w:r w:rsidR="005D6573" w:rsidRPr="00742BED">
        <w:rPr>
          <w:rFonts w:ascii="Arial" w:eastAsia="Calibri" w:hAnsi="Arial" w:cs="Arial"/>
          <w:color w:val="000000" w:themeColor="text1"/>
          <w:sz w:val="22"/>
          <w:lang w:val="es-ES_tradnl"/>
        </w:rPr>
        <w:t xml:space="preserve"> esta Subdirección expidió los </w:t>
      </w:r>
      <w:r w:rsidRPr="00742BED">
        <w:rPr>
          <w:rFonts w:ascii="Arial" w:eastAsia="Calibri" w:hAnsi="Arial" w:cs="Arial"/>
          <w:color w:val="000000" w:themeColor="text1"/>
          <w:sz w:val="22"/>
          <w:lang w:val="es-ES_tradnl"/>
        </w:rPr>
        <w:t>c</w:t>
      </w:r>
      <w:r w:rsidR="005D6573" w:rsidRPr="00742BED">
        <w:rPr>
          <w:rFonts w:ascii="Arial" w:eastAsia="Calibri" w:hAnsi="Arial" w:cs="Arial"/>
          <w:color w:val="000000" w:themeColor="text1"/>
          <w:sz w:val="22"/>
          <w:lang w:val="es-ES_tradnl"/>
        </w:rPr>
        <w:t xml:space="preserve">onceptos </w:t>
      </w:r>
      <w:r w:rsidR="00874B90" w:rsidRPr="00742BED">
        <w:rPr>
          <w:rFonts w:ascii="Arial" w:eastAsia="Calibri" w:hAnsi="Arial" w:cs="Arial"/>
          <w:color w:val="000000" w:themeColor="text1"/>
          <w:sz w:val="22"/>
          <w:lang w:val="es-ES_tradnl"/>
        </w:rPr>
        <w:t xml:space="preserve">C-124 del 25 de marzo de 2020, </w:t>
      </w:r>
      <w:r w:rsidR="005D6573" w:rsidRPr="00742BED">
        <w:rPr>
          <w:rFonts w:ascii="Arial" w:eastAsia="Calibri" w:hAnsi="Arial" w:cs="Arial"/>
          <w:color w:val="000000" w:themeColor="text1"/>
          <w:sz w:val="22"/>
          <w:lang w:val="es-ES_tradnl"/>
        </w:rPr>
        <w:t>C-406 y C-477 del 13 de julio de 2020 y C-612 del 2 de octubre de 2020</w:t>
      </w:r>
      <w:r w:rsidR="00113E22" w:rsidRPr="00742BED">
        <w:rPr>
          <w:rFonts w:ascii="Arial" w:eastAsia="Calibri" w:hAnsi="Arial" w:cs="Arial"/>
          <w:color w:val="000000" w:themeColor="text1"/>
          <w:sz w:val="22"/>
          <w:lang w:val="es-ES_tradnl"/>
        </w:rPr>
        <w:t xml:space="preserve"> y </w:t>
      </w:r>
      <w:r w:rsidR="00874B90" w:rsidRPr="00742BED">
        <w:rPr>
          <w:rFonts w:ascii="Arial" w:eastAsia="Calibri" w:hAnsi="Arial" w:cs="Arial"/>
          <w:color w:val="000000" w:themeColor="text1"/>
          <w:sz w:val="22"/>
          <w:lang w:val="es-ES_tradnl"/>
        </w:rPr>
        <w:t>C-761 del 5 de enero de 2021,</w:t>
      </w:r>
      <w:r w:rsidR="005D6573" w:rsidRPr="00742BED">
        <w:rPr>
          <w:rFonts w:ascii="Arial" w:eastAsia="Calibri" w:hAnsi="Arial" w:cs="Arial"/>
          <w:color w:val="000000" w:themeColor="text1"/>
          <w:sz w:val="22"/>
          <w:lang w:val="es-ES_tradnl"/>
        </w:rPr>
        <w:t xml:space="preserve"> </w:t>
      </w:r>
      <w:r w:rsidR="00874B90" w:rsidRPr="00742BED">
        <w:rPr>
          <w:rFonts w:ascii="Arial" w:eastAsia="Calibri" w:hAnsi="Arial" w:cs="Arial"/>
          <w:color w:val="000000" w:themeColor="text1"/>
          <w:sz w:val="22"/>
          <w:lang w:val="es-ES_tradnl"/>
        </w:rPr>
        <w:t>en los cuales analizó la forma como se debe desarrollar el concurso de méritos, luego de los pronunciamientos del Consejo de Estado que suspendieron provisionalmente algunos</w:t>
      </w:r>
      <w:r w:rsidR="00D309A0" w:rsidRPr="00742BED">
        <w:rPr>
          <w:rFonts w:ascii="Arial" w:eastAsia="Calibri" w:hAnsi="Arial" w:cs="Arial"/>
          <w:color w:val="000000" w:themeColor="text1"/>
          <w:sz w:val="22"/>
          <w:lang w:val="es-ES_tradnl"/>
        </w:rPr>
        <w:t xml:space="preserve"> numerales del artículo </w:t>
      </w:r>
      <w:r w:rsidR="00C36FEA" w:rsidRPr="00742BED">
        <w:rPr>
          <w:rFonts w:ascii="Arial" w:eastAsia="Calibri" w:hAnsi="Arial" w:cs="Arial"/>
          <w:color w:val="000000" w:themeColor="text1"/>
          <w:sz w:val="22"/>
          <w:lang w:val="es-ES_tradnl"/>
        </w:rPr>
        <w:t>2.2.1.2.1.3.2. del Decreto 1082 de 2015</w:t>
      </w:r>
      <w:r w:rsidR="005D6573" w:rsidRPr="00742BED">
        <w:rPr>
          <w:rFonts w:ascii="Arial" w:eastAsia="Calibri" w:hAnsi="Arial" w:cs="Arial"/>
          <w:color w:val="000000" w:themeColor="text1"/>
          <w:sz w:val="22"/>
          <w:lang w:val="es-ES_tradnl"/>
        </w:rPr>
        <w:t>.</w:t>
      </w:r>
      <w:r w:rsidR="00763D5A" w:rsidRPr="00742BED">
        <w:rPr>
          <w:rFonts w:ascii="Arial" w:eastAsia="Calibri" w:hAnsi="Arial" w:cs="Arial"/>
          <w:color w:val="000000" w:themeColor="text1"/>
          <w:sz w:val="22"/>
          <w:lang w:val="es-ES_tradnl"/>
        </w:rPr>
        <w:t xml:space="preserve"> También </w:t>
      </w:r>
      <w:r w:rsidR="00042746" w:rsidRPr="00742BED">
        <w:rPr>
          <w:rFonts w:ascii="Arial" w:eastAsia="Calibri" w:hAnsi="Arial" w:cs="Arial"/>
          <w:color w:val="000000" w:themeColor="text1"/>
          <w:sz w:val="22"/>
          <w:lang w:val="es-ES_tradnl"/>
        </w:rPr>
        <w:t>profirió los conceptos C-2</w:t>
      </w:r>
      <w:r w:rsidR="00300BA5" w:rsidRPr="00742BED">
        <w:rPr>
          <w:rFonts w:ascii="Arial" w:eastAsia="Calibri" w:hAnsi="Arial" w:cs="Arial"/>
          <w:color w:val="000000" w:themeColor="text1"/>
          <w:sz w:val="22"/>
          <w:lang w:val="es-ES_tradnl"/>
        </w:rPr>
        <w:t>88 y C-297</w:t>
      </w:r>
      <w:r w:rsidR="009A0369" w:rsidRPr="00742BED">
        <w:rPr>
          <w:rFonts w:ascii="Arial" w:eastAsia="Calibri" w:hAnsi="Arial" w:cs="Arial"/>
          <w:color w:val="000000" w:themeColor="text1"/>
          <w:sz w:val="22"/>
          <w:lang w:val="es-ES_tradnl"/>
        </w:rPr>
        <w:t>, ambos del 17 de junio de 2021,</w:t>
      </w:r>
      <w:r w:rsidR="00300BA5" w:rsidRPr="00742BED">
        <w:rPr>
          <w:rFonts w:ascii="Arial" w:eastAsia="Calibri" w:hAnsi="Arial" w:cs="Arial"/>
          <w:color w:val="000000" w:themeColor="text1"/>
          <w:sz w:val="22"/>
          <w:lang w:val="es-ES_tradnl"/>
        </w:rPr>
        <w:t xml:space="preserve"> en los cuales se refirió a la interpretación del Decreto 399 de 2021, que modifica el trámite del concurso de méritos.</w:t>
      </w:r>
      <w:r w:rsidR="000C3239" w:rsidRPr="00742BED">
        <w:rPr>
          <w:rFonts w:ascii="Arial" w:eastAsia="Calibri" w:hAnsi="Arial" w:cs="Arial"/>
          <w:color w:val="000000" w:themeColor="text1"/>
          <w:sz w:val="22"/>
          <w:lang w:val="es-ES_tradnl"/>
        </w:rPr>
        <w:t xml:space="preserve"> </w:t>
      </w:r>
      <w:r w:rsidR="00300BA5" w:rsidRPr="00742BED">
        <w:rPr>
          <w:rFonts w:ascii="Arial" w:eastAsia="Calibri" w:hAnsi="Arial" w:cs="Arial"/>
          <w:color w:val="000000" w:themeColor="text1"/>
          <w:sz w:val="22"/>
          <w:lang w:val="es-ES_tradnl"/>
        </w:rPr>
        <w:t>E</w:t>
      </w:r>
      <w:r w:rsidR="000C3239" w:rsidRPr="00742BED">
        <w:rPr>
          <w:rFonts w:ascii="Arial" w:eastAsia="Calibri" w:hAnsi="Arial" w:cs="Arial"/>
          <w:color w:val="000000" w:themeColor="text1"/>
          <w:sz w:val="22"/>
          <w:lang w:val="es-ES_tradnl"/>
        </w:rPr>
        <w:t xml:space="preserve">n los conceptos </w:t>
      </w:r>
      <w:r w:rsidR="00322805" w:rsidRPr="00742BED">
        <w:rPr>
          <w:rFonts w:ascii="Arial" w:eastAsia="Calibri" w:hAnsi="Arial" w:cs="Arial"/>
          <w:sz w:val="22"/>
          <w:lang w:val="es-ES_tradnl"/>
        </w:rPr>
        <w:t>C–037 del 28 de enero de 2020, 4202012000000664 del 30 de enero de 2020, C-191 del 16 de marzo de 2020, C-211 del 8 de abril de 2020</w:t>
      </w:r>
      <w:r w:rsidR="0006088D" w:rsidRPr="00742BED">
        <w:rPr>
          <w:rFonts w:ascii="Arial" w:eastAsia="Calibri" w:hAnsi="Arial" w:cs="Arial"/>
          <w:color w:val="000000" w:themeColor="text1"/>
          <w:sz w:val="22"/>
          <w:lang w:val="es-ES_tradnl"/>
        </w:rPr>
        <w:t xml:space="preserve">, </w:t>
      </w:r>
      <w:r w:rsidR="00482194" w:rsidRPr="00742BED">
        <w:rPr>
          <w:rFonts w:ascii="Arial" w:eastAsia="Calibri" w:hAnsi="Arial" w:cs="Arial"/>
          <w:color w:val="000000" w:themeColor="text1"/>
          <w:sz w:val="22"/>
          <w:lang w:val="es-ES_tradnl"/>
        </w:rPr>
        <w:t>C-714 del 9 de diciembre de 2020</w:t>
      </w:r>
      <w:r w:rsidR="0006088D" w:rsidRPr="00742BED">
        <w:rPr>
          <w:rFonts w:ascii="Arial" w:eastAsia="Calibri" w:hAnsi="Arial" w:cs="Arial"/>
          <w:color w:val="000000" w:themeColor="text1"/>
          <w:sz w:val="22"/>
          <w:lang w:val="es-ES_tradnl"/>
        </w:rPr>
        <w:t xml:space="preserve"> y C-807 del 209 de diciembre de 2020, </w:t>
      </w:r>
      <w:r w:rsidR="000C3239" w:rsidRPr="00742BED">
        <w:rPr>
          <w:rFonts w:ascii="Arial" w:eastAsia="Calibri" w:hAnsi="Arial" w:cs="Arial"/>
          <w:color w:val="000000" w:themeColor="text1"/>
          <w:sz w:val="22"/>
          <w:lang w:val="es-ES_tradnl"/>
        </w:rPr>
        <w:t xml:space="preserve">se </w:t>
      </w:r>
      <w:r w:rsidR="00322805" w:rsidRPr="00742BED">
        <w:rPr>
          <w:rFonts w:ascii="Arial" w:eastAsia="Calibri" w:hAnsi="Arial" w:cs="Arial"/>
          <w:color w:val="000000" w:themeColor="text1"/>
          <w:sz w:val="22"/>
          <w:lang w:val="es-ES_tradnl"/>
        </w:rPr>
        <w:t xml:space="preserve">estudió el alcance de </w:t>
      </w:r>
      <w:r w:rsidR="000C3239" w:rsidRPr="00742BED">
        <w:rPr>
          <w:rFonts w:ascii="Arial" w:eastAsia="Calibri" w:hAnsi="Arial" w:cs="Arial"/>
          <w:color w:val="000000" w:themeColor="text1"/>
          <w:sz w:val="22"/>
          <w:lang w:val="es-ES_tradnl"/>
        </w:rPr>
        <w:t>la autonomía de la voluntad para pactar el precio</w:t>
      </w:r>
      <w:r w:rsidR="0006088D" w:rsidRPr="00742BED">
        <w:rPr>
          <w:rFonts w:ascii="Arial" w:eastAsia="Calibri" w:hAnsi="Arial" w:cs="Arial"/>
          <w:color w:val="000000" w:themeColor="text1"/>
          <w:sz w:val="22"/>
          <w:lang w:val="es-ES_tradnl"/>
        </w:rPr>
        <w:t xml:space="preserve">, </w:t>
      </w:r>
      <w:r w:rsidR="000C3239" w:rsidRPr="00742BED">
        <w:rPr>
          <w:rFonts w:ascii="Arial" w:eastAsia="Calibri" w:hAnsi="Arial" w:cs="Arial"/>
          <w:color w:val="000000" w:themeColor="text1"/>
          <w:sz w:val="22"/>
          <w:lang w:val="es-ES_tradnl"/>
        </w:rPr>
        <w:t>la forma de pago</w:t>
      </w:r>
      <w:r w:rsidR="0006088D" w:rsidRPr="00742BED">
        <w:rPr>
          <w:rFonts w:ascii="Arial" w:eastAsia="Calibri" w:hAnsi="Arial" w:cs="Arial"/>
          <w:color w:val="000000" w:themeColor="text1"/>
          <w:sz w:val="22"/>
          <w:lang w:val="es-ES_tradnl"/>
        </w:rPr>
        <w:t xml:space="preserve"> y los mecanismos de arreglo directo</w:t>
      </w:r>
      <w:r w:rsidR="000C3239" w:rsidRPr="00742BED">
        <w:rPr>
          <w:rFonts w:ascii="Arial" w:eastAsia="Calibri" w:hAnsi="Arial" w:cs="Arial"/>
          <w:color w:val="000000" w:themeColor="text1"/>
          <w:sz w:val="22"/>
          <w:lang w:val="es-ES_tradnl"/>
        </w:rPr>
        <w:t xml:space="preserve"> en los contratos estatales. </w:t>
      </w:r>
      <w:r w:rsidR="002D6504" w:rsidRPr="00742BED">
        <w:rPr>
          <w:rFonts w:ascii="Arial" w:eastAsia="Calibri" w:hAnsi="Arial" w:cs="Arial"/>
          <w:color w:val="000000" w:themeColor="text1"/>
          <w:sz w:val="22"/>
          <w:szCs w:val="22"/>
          <w:lang w:val="es-ES_tradnl"/>
        </w:rPr>
        <w:t>Algunas de las consideraciones de estos conceptos se reiteran a continuación.</w:t>
      </w:r>
    </w:p>
    <w:p w14:paraId="331D0ECA" w14:textId="3305F48F" w:rsidR="003C4317" w:rsidRPr="00742BED" w:rsidRDefault="003C4317" w:rsidP="00271230">
      <w:pPr>
        <w:spacing w:line="276" w:lineRule="auto"/>
        <w:jc w:val="both"/>
        <w:rPr>
          <w:rFonts w:ascii="Arial" w:eastAsia="Calibri" w:hAnsi="Arial" w:cs="Arial"/>
          <w:color w:val="000000" w:themeColor="text1"/>
          <w:sz w:val="22"/>
          <w:szCs w:val="22"/>
          <w:lang w:val="es-ES_tradnl"/>
        </w:rPr>
      </w:pPr>
    </w:p>
    <w:p w14:paraId="0B0B37D0" w14:textId="6222A353" w:rsidR="00942641" w:rsidRPr="00742BED" w:rsidRDefault="00942641" w:rsidP="00942641">
      <w:pPr>
        <w:spacing w:line="276" w:lineRule="auto"/>
        <w:jc w:val="both"/>
        <w:rPr>
          <w:rFonts w:ascii="Arial" w:eastAsia="Calibri" w:hAnsi="Arial" w:cs="Arial"/>
          <w:b/>
          <w:bCs/>
          <w:color w:val="000000" w:themeColor="text1"/>
          <w:sz w:val="22"/>
          <w:lang w:val="es-ES_tradnl"/>
        </w:rPr>
      </w:pPr>
      <w:r w:rsidRPr="00742BED">
        <w:rPr>
          <w:rFonts w:ascii="Arial" w:eastAsia="Calibri" w:hAnsi="Arial" w:cs="Arial"/>
          <w:b/>
          <w:bCs/>
          <w:color w:val="000000" w:themeColor="text1"/>
          <w:sz w:val="22"/>
          <w:lang w:val="es-ES_tradnl"/>
        </w:rPr>
        <w:t>2.1. Procedimiento del concurso de méritos después de los autos de suspensión provisional del Consejo de Estado</w:t>
      </w:r>
      <w:r w:rsidR="000B4861" w:rsidRPr="00742BED">
        <w:rPr>
          <w:rFonts w:ascii="Arial" w:eastAsia="Calibri" w:hAnsi="Arial" w:cs="Arial"/>
          <w:b/>
          <w:bCs/>
          <w:color w:val="000000" w:themeColor="text1"/>
          <w:sz w:val="22"/>
          <w:lang w:val="es-ES_tradnl"/>
        </w:rPr>
        <w:t xml:space="preserve"> y del Decreto 399 de 2021</w:t>
      </w:r>
    </w:p>
    <w:p w14:paraId="4868DB03" w14:textId="77777777" w:rsidR="00942641" w:rsidRPr="00742BED" w:rsidRDefault="00942641" w:rsidP="00942641">
      <w:pPr>
        <w:spacing w:line="276" w:lineRule="auto"/>
        <w:jc w:val="both"/>
        <w:rPr>
          <w:rFonts w:ascii="Arial" w:eastAsia="Calibri" w:hAnsi="Arial" w:cs="Arial"/>
          <w:b/>
          <w:bCs/>
          <w:color w:val="000000" w:themeColor="text1"/>
          <w:sz w:val="22"/>
          <w:lang w:val="es-ES_tradnl"/>
        </w:rPr>
      </w:pPr>
    </w:p>
    <w:p w14:paraId="79A6E19F" w14:textId="77777777" w:rsidR="00942641" w:rsidRPr="00742BED" w:rsidRDefault="00942641" w:rsidP="00942641">
      <w:pPr>
        <w:spacing w:line="276" w:lineRule="auto"/>
        <w:jc w:val="both"/>
        <w:rPr>
          <w:rFonts w:ascii="Arial" w:hAnsi="Arial" w:cs="Arial"/>
          <w:color w:val="000000" w:themeColor="text1"/>
          <w:sz w:val="22"/>
          <w:lang w:val="es-ES_tradnl"/>
        </w:rPr>
      </w:pPr>
      <w:r w:rsidRPr="00742BED">
        <w:rPr>
          <w:rFonts w:ascii="Arial" w:hAnsi="Arial" w:cs="Arial"/>
          <w:color w:val="000000" w:themeColor="text1"/>
          <w:sz w:val="22"/>
          <w:lang w:val="es-ES_tradnl"/>
        </w:rPr>
        <w:t xml:space="preserve">El </w:t>
      </w:r>
      <w:r w:rsidRPr="00742BED">
        <w:rPr>
          <w:rFonts w:ascii="Arial" w:hAnsi="Arial" w:cs="Arial"/>
          <w:i/>
          <w:iCs/>
          <w:color w:val="000000" w:themeColor="text1"/>
          <w:sz w:val="22"/>
          <w:lang w:val="es-ES_tradnl"/>
        </w:rPr>
        <w:t xml:space="preserve">concurso de méritos </w:t>
      </w:r>
      <w:r w:rsidRPr="00742BED">
        <w:rPr>
          <w:rFonts w:ascii="Arial" w:hAnsi="Arial" w:cs="Arial"/>
          <w:color w:val="000000" w:themeColor="text1"/>
          <w:sz w:val="22"/>
          <w:lang w:val="es-ES_tradnl"/>
        </w:rPr>
        <w:t xml:space="preserve">es un procedimiento de selección que deben realizar las entidades estatales para escoger «consultores y proyectos», es decir, para celebrar contratos de consultoría, entendidos estos últimos como aquellos «[…] que celebren las entidades estatales referidos a los estudios necesarios para la ejecución de proyectos de inversión, estudios de diagnóstico, </w:t>
      </w:r>
      <w:proofErr w:type="spellStart"/>
      <w:r w:rsidRPr="00742BED">
        <w:rPr>
          <w:rFonts w:ascii="Arial" w:hAnsi="Arial" w:cs="Arial"/>
          <w:color w:val="000000" w:themeColor="text1"/>
          <w:sz w:val="22"/>
          <w:lang w:val="es-ES_tradnl"/>
        </w:rPr>
        <w:t>prefactibilidad</w:t>
      </w:r>
      <w:proofErr w:type="spellEnd"/>
      <w:r w:rsidRPr="00742BED">
        <w:rPr>
          <w:rFonts w:ascii="Arial" w:hAnsi="Arial" w:cs="Arial"/>
          <w:color w:val="000000" w:themeColor="text1"/>
          <w:sz w:val="22"/>
          <w:lang w:val="es-ES_tradnl"/>
        </w:rPr>
        <w:t xml:space="preserve"> o factibilidad para programas o proyectos específicos, así como a las asesorías técnicas de coordinación, control y supervisión», según lo dispuesto en el artículo 32, numeral 2, de la Ley 80 de 1993.</w:t>
      </w:r>
    </w:p>
    <w:p w14:paraId="122A814F" w14:textId="09369DA9" w:rsidR="00942641" w:rsidRPr="00742BED" w:rsidRDefault="00942641" w:rsidP="00942641">
      <w:pPr>
        <w:spacing w:before="120" w:line="276" w:lineRule="auto"/>
        <w:ind w:firstLine="708"/>
        <w:jc w:val="both"/>
        <w:rPr>
          <w:rFonts w:ascii="Arial" w:hAnsi="Arial" w:cs="Arial"/>
          <w:color w:val="000000" w:themeColor="text1"/>
          <w:sz w:val="22"/>
          <w:lang w:val="es-ES_tradnl"/>
        </w:rPr>
      </w:pPr>
      <w:r w:rsidRPr="00742BED">
        <w:rPr>
          <w:rFonts w:ascii="Arial" w:hAnsi="Arial" w:cs="Arial"/>
          <w:color w:val="000000" w:themeColor="text1"/>
          <w:sz w:val="22"/>
          <w:lang w:val="es-ES_tradnl"/>
        </w:rPr>
        <w:t>El Libro 2, Parte 2, Título 1, Capítulo 2, Sección 1, Subsección 3 del Decreto 1082 de 2015</w:t>
      </w:r>
      <w:r w:rsidR="00F81100" w:rsidRPr="00742BED">
        <w:rPr>
          <w:rFonts w:ascii="Arial" w:hAnsi="Arial" w:cs="Arial"/>
          <w:color w:val="000000" w:themeColor="text1"/>
          <w:sz w:val="22"/>
          <w:lang w:val="es-ES_tradnl"/>
        </w:rPr>
        <w:t>,</w:t>
      </w:r>
      <w:r w:rsidRPr="00742BED">
        <w:rPr>
          <w:rFonts w:ascii="Arial" w:hAnsi="Arial" w:cs="Arial"/>
          <w:color w:val="000000" w:themeColor="text1"/>
          <w:sz w:val="22"/>
          <w:lang w:val="es-ES_tradnl"/>
        </w:rPr>
        <w:t xml:space="preserve"> regula </w:t>
      </w:r>
      <w:r w:rsidR="00515625" w:rsidRPr="00742BED">
        <w:rPr>
          <w:rFonts w:ascii="Arial" w:hAnsi="Arial" w:cs="Arial"/>
          <w:color w:val="000000" w:themeColor="text1"/>
          <w:sz w:val="22"/>
          <w:lang w:val="es-ES_tradnl"/>
        </w:rPr>
        <w:t>las distintas modalidades d</w:t>
      </w:r>
      <w:r w:rsidRPr="00742BED">
        <w:rPr>
          <w:rFonts w:ascii="Arial" w:hAnsi="Arial" w:cs="Arial"/>
          <w:color w:val="000000" w:themeColor="text1"/>
          <w:sz w:val="22"/>
          <w:lang w:val="es-ES_tradnl"/>
        </w:rPr>
        <w:t xml:space="preserve">el concurso de méritos: i) concurso de méritos abierto o sin precalificación, ii) concurso de méritos cerrado o con precalificación y iii) </w:t>
      </w:r>
      <w:r w:rsidRPr="00742BED">
        <w:rPr>
          <w:rFonts w:ascii="Arial" w:hAnsi="Arial" w:cs="Arial"/>
          <w:color w:val="000000" w:themeColor="text1"/>
          <w:sz w:val="22"/>
          <w:lang w:val="es-ES_tradnl"/>
        </w:rPr>
        <w:lastRenderedPageBreak/>
        <w:t xml:space="preserve">concurso de méritos «para la selección de consultores de diseño, planos, anteproyectos y proyectos arquitectónicos». El primero está regulado en los artículos 2.2.1.2.1.3.1. y 2.2.1.2.1.3.2. </w:t>
      </w:r>
      <w:r w:rsidRPr="00742BED">
        <w:rPr>
          <w:rFonts w:ascii="Arial" w:hAnsi="Arial" w:cs="Arial"/>
          <w:i/>
          <w:iCs/>
          <w:color w:val="000000" w:themeColor="text1"/>
          <w:sz w:val="22"/>
          <w:lang w:val="es-ES_tradnl"/>
        </w:rPr>
        <w:t>ibídem</w:t>
      </w:r>
      <w:r w:rsidRPr="00742BED">
        <w:rPr>
          <w:rFonts w:ascii="Arial" w:hAnsi="Arial" w:cs="Arial"/>
          <w:color w:val="000000" w:themeColor="text1"/>
          <w:sz w:val="22"/>
          <w:lang w:val="es-ES_tradnl"/>
        </w:rPr>
        <w:t xml:space="preserve">. El segundo, además de los dos artículos anteriores, lo regulan los artículos 2.2.1.2.1.3.3. a 2.2.1.2.1.3.7. </w:t>
      </w:r>
      <w:proofErr w:type="spellStart"/>
      <w:r w:rsidRPr="00742BED">
        <w:rPr>
          <w:rFonts w:ascii="Arial" w:hAnsi="Arial" w:cs="Arial"/>
          <w:i/>
          <w:iCs/>
          <w:color w:val="000000" w:themeColor="text1"/>
          <w:sz w:val="22"/>
          <w:lang w:val="es-ES_tradnl"/>
        </w:rPr>
        <w:t>ejusdem</w:t>
      </w:r>
      <w:proofErr w:type="spellEnd"/>
      <w:r w:rsidRPr="00742BED">
        <w:rPr>
          <w:rFonts w:ascii="Arial" w:hAnsi="Arial" w:cs="Arial"/>
          <w:color w:val="000000" w:themeColor="text1"/>
          <w:sz w:val="22"/>
          <w:lang w:val="es-ES_tradnl"/>
        </w:rPr>
        <w:t>. El tercero lo regulan los artículos 2.2.1.2.1.3.8. a 2.2.1.2.1.3.25. del mencionado Decreto.</w:t>
      </w:r>
    </w:p>
    <w:p w14:paraId="03AF6096" w14:textId="06A6480E" w:rsidR="00942641" w:rsidRPr="00742BED" w:rsidRDefault="00942641" w:rsidP="00942641">
      <w:pPr>
        <w:spacing w:before="120" w:line="276" w:lineRule="auto"/>
        <w:ind w:firstLine="708"/>
        <w:jc w:val="both"/>
        <w:rPr>
          <w:rFonts w:ascii="Arial" w:hAnsi="Arial" w:cs="Arial"/>
          <w:color w:val="000000" w:themeColor="text1"/>
          <w:sz w:val="22"/>
          <w:lang w:val="es-ES_tradnl"/>
        </w:rPr>
      </w:pPr>
      <w:r w:rsidRPr="00742BED">
        <w:rPr>
          <w:rFonts w:ascii="Arial" w:hAnsi="Arial" w:cs="Arial"/>
          <w:color w:val="000000" w:themeColor="text1"/>
          <w:sz w:val="22"/>
          <w:lang w:val="es-ES_tradnl"/>
        </w:rPr>
        <w:t xml:space="preserve">Ahora bien, </w:t>
      </w:r>
      <w:bookmarkStart w:id="2" w:name="_Hlk43918348"/>
      <w:r w:rsidRPr="00742BED">
        <w:rPr>
          <w:rFonts w:ascii="Arial" w:hAnsi="Arial" w:cs="Arial"/>
          <w:color w:val="000000" w:themeColor="text1"/>
          <w:sz w:val="22"/>
          <w:lang w:val="es-ES_tradnl"/>
        </w:rPr>
        <w:t>la Sección Tercera del Consejo de Estado, en autos del 25 de julio de 2018</w:t>
      </w:r>
      <w:r w:rsidRPr="00742BED">
        <w:rPr>
          <w:rStyle w:val="Refdenotaalpie"/>
          <w:rFonts w:ascii="Arial" w:hAnsi="Arial" w:cs="Arial"/>
          <w:color w:val="000000" w:themeColor="text1"/>
          <w:sz w:val="22"/>
          <w:lang w:val="es-ES_tradnl"/>
        </w:rPr>
        <w:footnoteReference w:id="2"/>
      </w:r>
      <w:r w:rsidRPr="00742BED">
        <w:rPr>
          <w:rFonts w:ascii="Arial" w:hAnsi="Arial" w:cs="Arial"/>
          <w:color w:val="000000" w:themeColor="text1"/>
          <w:sz w:val="22"/>
          <w:lang w:val="es-ES_tradnl"/>
        </w:rPr>
        <w:t xml:space="preserve"> y del 20 de febrero de 2019</w:t>
      </w:r>
      <w:r w:rsidRPr="00742BED">
        <w:rPr>
          <w:rStyle w:val="Refdenotaalpie"/>
          <w:rFonts w:ascii="Arial" w:hAnsi="Arial" w:cs="Arial"/>
          <w:color w:val="000000" w:themeColor="text1"/>
          <w:sz w:val="22"/>
          <w:lang w:val="es-ES_tradnl"/>
        </w:rPr>
        <w:footnoteReference w:id="3"/>
      </w:r>
      <w:r w:rsidRPr="00742BED">
        <w:rPr>
          <w:rFonts w:ascii="Arial" w:hAnsi="Arial" w:cs="Arial"/>
          <w:color w:val="000000" w:themeColor="text1"/>
          <w:sz w:val="22"/>
          <w:lang w:val="es-ES_tradnl"/>
        </w:rPr>
        <w:t>, suspendió provisionalmente, por un lado, el numeral 6 del artículo 2.2.1.2.1.3.2. del Decreto 1082 de 2015 y, por el otro, los numerales 3, 4 y 5 de la misma disposición. Las normas suspendidas regula</w:t>
      </w:r>
      <w:r w:rsidR="009B7FFD" w:rsidRPr="00742BED">
        <w:rPr>
          <w:rFonts w:ascii="Arial" w:hAnsi="Arial" w:cs="Arial"/>
          <w:color w:val="000000" w:themeColor="text1"/>
          <w:sz w:val="22"/>
          <w:lang w:val="es-ES_tradnl"/>
        </w:rPr>
        <w:t>ba</w:t>
      </w:r>
      <w:r w:rsidRPr="00742BED">
        <w:rPr>
          <w:rFonts w:ascii="Arial" w:hAnsi="Arial" w:cs="Arial"/>
          <w:color w:val="000000" w:themeColor="text1"/>
          <w:sz w:val="22"/>
          <w:lang w:val="es-ES_tradnl"/>
        </w:rPr>
        <w:t>n el concurso de méritos abierto o sin precalificación</w:t>
      </w:r>
      <w:bookmarkEnd w:id="2"/>
      <w:r w:rsidRPr="00742BED">
        <w:rPr>
          <w:rFonts w:ascii="Arial" w:hAnsi="Arial" w:cs="Arial"/>
          <w:color w:val="000000" w:themeColor="text1"/>
          <w:sz w:val="22"/>
          <w:lang w:val="es-ES_tradnl"/>
        </w:rPr>
        <w:t xml:space="preserve">. El texto de estos numerales </w:t>
      </w:r>
      <w:r w:rsidR="009B7FFD" w:rsidRPr="00742BED">
        <w:rPr>
          <w:rFonts w:ascii="Arial" w:hAnsi="Arial" w:cs="Arial"/>
          <w:color w:val="000000" w:themeColor="text1"/>
          <w:sz w:val="22"/>
          <w:lang w:val="es-ES_tradnl"/>
        </w:rPr>
        <w:t>disponía</w:t>
      </w:r>
      <w:r w:rsidRPr="00742BED">
        <w:rPr>
          <w:rFonts w:ascii="Arial" w:hAnsi="Arial" w:cs="Arial"/>
          <w:color w:val="000000" w:themeColor="text1"/>
          <w:sz w:val="22"/>
          <w:lang w:val="es-ES_tradnl"/>
        </w:rPr>
        <w:t xml:space="preserve"> lo siguiente: </w:t>
      </w:r>
    </w:p>
    <w:p w14:paraId="7A190666" w14:textId="77777777" w:rsidR="00942641" w:rsidRPr="00742BED" w:rsidRDefault="00942641" w:rsidP="00942641">
      <w:pPr>
        <w:pStyle w:val="Sinespaciado"/>
        <w:spacing w:line="276" w:lineRule="auto"/>
        <w:jc w:val="both"/>
        <w:rPr>
          <w:rFonts w:ascii="Arial" w:hAnsi="Arial" w:cs="Arial"/>
          <w:color w:val="000000" w:themeColor="text1"/>
          <w:lang w:val="es-ES_tradnl"/>
        </w:rPr>
      </w:pPr>
    </w:p>
    <w:p w14:paraId="2D1761D4" w14:textId="77777777" w:rsidR="00942641" w:rsidRPr="00742BED" w:rsidRDefault="00942641" w:rsidP="00942641">
      <w:pPr>
        <w:pStyle w:val="Sinespaciado"/>
        <w:spacing w:after="120"/>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Artículo 2.2.1.2.1.3.2. Procedimiento del concurso de méritos. Además de las reglas generales previstas en la ley y en el presente título, las siguientes reglas son aplicables al concurso de méritos abierto o con precalificación:</w:t>
      </w:r>
    </w:p>
    <w:p w14:paraId="7510D5B5" w14:textId="77777777" w:rsidR="00942641" w:rsidRPr="00742BED" w:rsidRDefault="00942641" w:rsidP="00942641">
      <w:pPr>
        <w:pStyle w:val="Sinespaciado"/>
        <w:spacing w:after="120"/>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1. La Entidad Estatal en los pliegos de condiciones debe indicar la forma como calificará, entre otros, los siguientes criterios: a) la experiencia del interesado y del equipo de trabajo, y b) la formación académica y las publicaciones técnicas y científicas del equipo de trabajo.</w:t>
      </w:r>
    </w:p>
    <w:p w14:paraId="21E37CD6" w14:textId="77777777" w:rsidR="00942641" w:rsidRPr="00742BED" w:rsidRDefault="00942641" w:rsidP="00942641">
      <w:pPr>
        <w:pStyle w:val="Sinespaciado"/>
        <w:spacing w:after="120"/>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2. La Entidad Estatal debe publicar durante tres (3) días hábiles el informe de evaluación, el cual debe contener la calificación técnica y el orden de elegibilidad.</w:t>
      </w:r>
    </w:p>
    <w:p w14:paraId="2F38EFCA" w14:textId="77777777" w:rsidR="00942641" w:rsidRPr="00742BED" w:rsidRDefault="00942641" w:rsidP="00942641">
      <w:pPr>
        <w:pStyle w:val="Sinespaciado"/>
        <w:spacing w:after="120"/>
        <w:ind w:left="709" w:right="709"/>
        <w:jc w:val="both"/>
        <w:rPr>
          <w:rFonts w:ascii="Arial" w:hAnsi="Arial" w:cs="Arial"/>
          <w:i/>
          <w:color w:val="000000" w:themeColor="text1"/>
          <w:sz w:val="21"/>
          <w:szCs w:val="21"/>
          <w:lang w:val="es-ES_tradnl"/>
        </w:rPr>
      </w:pPr>
      <w:r w:rsidRPr="00742BED">
        <w:rPr>
          <w:rFonts w:ascii="Arial" w:hAnsi="Arial" w:cs="Arial"/>
          <w:i/>
          <w:color w:val="000000" w:themeColor="text1"/>
          <w:sz w:val="21"/>
          <w:szCs w:val="21"/>
          <w:lang w:val="es-ES_tradnl"/>
        </w:rPr>
        <w:t>3. La Entidad Estatal debe revisar la oferta económica y verificar que está en el rango del valor estimado consignado en los documentos y estudios previos y del presupuesto asignado para el contrato.</w:t>
      </w:r>
    </w:p>
    <w:p w14:paraId="3653EE40" w14:textId="77777777" w:rsidR="00942641" w:rsidRPr="00742BED" w:rsidRDefault="00942641" w:rsidP="00942641">
      <w:pPr>
        <w:pStyle w:val="Sinespaciado"/>
        <w:spacing w:after="120"/>
        <w:ind w:left="709" w:right="709"/>
        <w:jc w:val="both"/>
        <w:rPr>
          <w:rFonts w:ascii="Arial" w:hAnsi="Arial" w:cs="Arial"/>
          <w:i/>
          <w:color w:val="000000" w:themeColor="text1"/>
          <w:sz w:val="21"/>
          <w:szCs w:val="21"/>
          <w:lang w:val="es-ES_tradnl"/>
        </w:rPr>
      </w:pPr>
      <w:r w:rsidRPr="00742BED">
        <w:rPr>
          <w:rFonts w:ascii="Arial" w:hAnsi="Arial" w:cs="Arial"/>
          <w:i/>
          <w:color w:val="000000" w:themeColor="text1"/>
          <w:sz w:val="21"/>
          <w:szCs w:val="21"/>
          <w:lang w:val="es-ES_tradnl"/>
        </w:rPr>
        <w:t>4. La Entidad Estatal debe revisar con el oferente calificado en el primer lugar de elegibilidad la coherencia y consistencia entre: i) la necesidad identificada por la Entidad Estatal y el alcance de la oferta; ii) la consultoría ofrecida y el precio ofrecido, y iii) el precio ofrecido y la disponibilidad presupuestal del respectivo Proceso de Contratación. Si la Entidad Estatal y el oferente llegan a un acuerdo sobre el alcance y el valor del contrato, dejarán constancia del mismo y firmarán el contrato.</w:t>
      </w:r>
    </w:p>
    <w:p w14:paraId="4CE7ED3C" w14:textId="77777777" w:rsidR="00942641" w:rsidRPr="00742BED" w:rsidRDefault="00942641" w:rsidP="00942641">
      <w:pPr>
        <w:pStyle w:val="Sinespaciado"/>
        <w:spacing w:after="120"/>
        <w:ind w:left="709" w:right="709"/>
        <w:jc w:val="both"/>
        <w:rPr>
          <w:rFonts w:ascii="Arial" w:hAnsi="Arial" w:cs="Arial"/>
          <w:i/>
          <w:color w:val="000000" w:themeColor="text1"/>
          <w:sz w:val="21"/>
          <w:szCs w:val="21"/>
          <w:lang w:val="es-ES_tradnl"/>
        </w:rPr>
      </w:pPr>
      <w:r w:rsidRPr="00742BED">
        <w:rPr>
          <w:rFonts w:ascii="Arial" w:hAnsi="Arial" w:cs="Arial"/>
          <w:i/>
          <w:color w:val="000000" w:themeColor="text1"/>
          <w:sz w:val="21"/>
          <w:szCs w:val="21"/>
          <w:lang w:val="es-ES_tradnl"/>
        </w:rPr>
        <w:t>5. Si la Entidad Estatal y el oferente calificado en el primer lugar de elegibilidad no llegan a un acuerdo dejarán constancia de ello y la Entidad Estatal revisará con el oferente calificado en el segundo lugar de elegibilidad los aspectos a los que se refiere el numeral anterior. Si la Entidad Estatal y el oferente llegan a un acuerdo dejarán constancia del mismo y firmarán el contrato.</w:t>
      </w:r>
    </w:p>
    <w:p w14:paraId="7884E46B" w14:textId="77777777" w:rsidR="00942641" w:rsidRPr="00742BED" w:rsidRDefault="00942641" w:rsidP="00942641">
      <w:pPr>
        <w:pStyle w:val="Sinespaciado"/>
        <w:ind w:left="709" w:right="709"/>
        <w:jc w:val="both"/>
        <w:rPr>
          <w:rFonts w:ascii="Arial" w:hAnsi="Arial" w:cs="Arial"/>
          <w:color w:val="000000" w:themeColor="text1"/>
          <w:sz w:val="21"/>
          <w:szCs w:val="21"/>
          <w:lang w:val="es-ES_tradnl"/>
        </w:rPr>
      </w:pPr>
      <w:r w:rsidRPr="00742BED">
        <w:rPr>
          <w:rFonts w:ascii="Arial" w:hAnsi="Arial" w:cs="Arial"/>
          <w:i/>
          <w:color w:val="000000" w:themeColor="text1"/>
          <w:sz w:val="21"/>
          <w:szCs w:val="21"/>
          <w:lang w:val="es-ES_tradnl"/>
        </w:rPr>
        <w:lastRenderedPageBreak/>
        <w:t>6. Si la Entidad Estatal y el oferente calificado en el segundo lugar de elegibilidad no llegan a un acuerdo, la Entidad Estatal debe declarar desierto el Proceso de Contratación</w:t>
      </w:r>
      <w:r w:rsidRPr="00742BED">
        <w:rPr>
          <w:rFonts w:ascii="Arial" w:hAnsi="Arial" w:cs="Arial"/>
          <w:color w:val="000000" w:themeColor="text1"/>
          <w:sz w:val="21"/>
          <w:szCs w:val="21"/>
          <w:lang w:val="es-ES_tradnl"/>
        </w:rPr>
        <w:t>. (Énfasis fuera de texto)</w:t>
      </w:r>
    </w:p>
    <w:p w14:paraId="1D3BE3F8" w14:textId="77777777" w:rsidR="00942641" w:rsidRPr="00742BED" w:rsidRDefault="00942641" w:rsidP="00942641">
      <w:pPr>
        <w:jc w:val="both"/>
        <w:rPr>
          <w:rFonts w:ascii="Arial" w:hAnsi="Arial" w:cs="Arial"/>
          <w:color w:val="000000" w:themeColor="text1"/>
          <w:sz w:val="22"/>
          <w:lang w:val="es-ES_tradnl"/>
        </w:rPr>
      </w:pPr>
    </w:p>
    <w:p w14:paraId="1DA567C1" w14:textId="7B34B38A" w:rsidR="00942641" w:rsidRPr="00742BED" w:rsidRDefault="00942641" w:rsidP="00942641">
      <w:pPr>
        <w:spacing w:after="120" w:line="276" w:lineRule="auto"/>
        <w:ind w:firstLine="709"/>
        <w:jc w:val="both"/>
        <w:rPr>
          <w:rFonts w:ascii="Arial" w:hAnsi="Arial" w:cs="Arial"/>
          <w:color w:val="000000" w:themeColor="text1"/>
          <w:sz w:val="22"/>
          <w:lang w:val="es-ES_tradnl"/>
        </w:rPr>
      </w:pPr>
      <w:r w:rsidRPr="00742BED">
        <w:rPr>
          <w:rFonts w:ascii="Arial" w:hAnsi="Arial" w:cs="Arial"/>
          <w:color w:val="000000" w:themeColor="text1"/>
          <w:sz w:val="22"/>
          <w:lang w:val="es-ES_tradnl"/>
        </w:rPr>
        <w:t xml:space="preserve">Los citados numerales 3, 4 y 5 </w:t>
      </w:r>
      <w:r w:rsidR="00237D1D" w:rsidRPr="00742BED">
        <w:rPr>
          <w:rFonts w:ascii="Arial" w:hAnsi="Arial" w:cs="Arial"/>
          <w:color w:val="000000" w:themeColor="text1"/>
          <w:sz w:val="22"/>
          <w:lang w:val="es-ES_tradnl"/>
        </w:rPr>
        <w:t>disponían</w:t>
      </w:r>
      <w:r w:rsidRPr="00742BED">
        <w:rPr>
          <w:rFonts w:ascii="Arial" w:hAnsi="Arial" w:cs="Arial"/>
          <w:color w:val="000000" w:themeColor="text1"/>
          <w:sz w:val="22"/>
          <w:lang w:val="es-ES_tradnl"/>
        </w:rPr>
        <w:t xml:space="preserve"> la verificación del precio. Por un lado, los numerales 3 y 4 </w:t>
      </w:r>
      <w:r w:rsidR="00237D1D" w:rsidRPr="00742BED">
        <w:rPr>
          <w:rFonts w:ascii="Arial" w:hAnsi="Arial" w:cs="Arial"/>
          <w:color w:val="000000" w:themeColor="text1"/>
          <w:sz w:val="22"/>
          <w:lang w:val="es-ES_tradnl"/>
        </w:rPr>
        <w:t>exigían</w:t>
      </w:r>
      <w:r w:rsidRPr="00742BED">
        <w:rPr>
          <w:rFonts w:ascii="Arial" w:hAnsi="Arial" w:cs="Arial"/>
          <w:color w:val="000000" w:themeColor="text1"/>
          <w:sz w:val="22"/>
          <w:lang w:val="es-ES_tradnl"/>
        </w:rPr>
        <w:t xml:space="preserve"> que </w:t>
      </w:r>
      <w:r w:rsidR="00237D1D" w:rsidRPr="00742BED">
        <w:rPr>
          <w:rFonts w:ascii="Arial" w:hAnsi="Arial" w:cs="Arial"/>
          <w:color w:val="000000" w:themeColor="text1"/>
          <w:sz w:val="22"/>
          <w:lang w:val="es-ES_tradnl"/>
        </w:rPr>
        <w:t>estuviera</w:t>
      </w:r>
      <w:r w:rsidRPr="00742BED">
        <w:rPr>
          <w:rFonts w:ascii="Arial" w:hAnsi="Arial" w:cs="Arial"/>
          <w:color w:val="000000" w:themeColor="text1"/>
          <w:sz w:val="22"/>
          <w:lang w:val="es-ES_tradnl"/>
        </w:rPr>
        <w:t xml:space="preserve"> dentro del presupuesto disponible y que este aspecto </w:t>
      </w:r>
      <w:r w:rsidR="002A38C8" w:rsidRPr="00742BED">
        <w:rPr>
          <w:rFonts w:ascii="Arial" w:hAnsi="Arial" w:cs="Arial"/>
          <w:color w:val="000000" w:themeColor="text1"/>
          <w:sz w:val="22"/>
          <w:lang w:val="es-ES_tradnl"/>
        </w:rPr>
        <w:t>fuera</w:t>
      </w:r>
      <w:r w:rsidRPr="00742BED">
        <w:rPr>
          <w:rFonts w:ascii="Arial" w:hAnsi="Arial" w:cs="Arial"/>
          <w:color w:val="000000" w:themeColor="text1"/>
          <w:sz w:val="22"/>
          <w:lang w:val="es-ES_tradnl"/>
        </w:rPr>
        <w:t xml:space="preserve"> producto del acuerdo entre la entidad y el oferente calificado en primer lugar. Por otro lado, el numeral 5 </w:t>
      </w:r>
      <w:r w:rsidR="002A38C8" w:rsidRPr="00742BED">
        <w:rPr>
          <w:rFonts w:ascii="Arial" w:hAnsi="Arial" w:cs="Arial"/>
          <w:color w:val="000000" w:themeColor="text1"/>
          <w:sz w:val="22"/>
          <w:lang w:val="es-ES_tradnl"/>
        </w:rPr>
        <w:t>disponía</w:t>
      </w:r>
      <w:r w:rsidRPr="00742BED">
        <w:rPr>
          <w:rFonts w:ascii="Arial" w:hAnsi="Arial" w:cs="Arial"/>
          <w:color w:val="000000" w:themeColor="text1"/>
          <w:sz w:val="22"/>
          <w:lang w:val="es-ES_tradnl"/>
        </w:rPr>
        <w:t xml:space="preserve"> el procedimiento a seguir en el evento en que la entidad estatal y el calificado en primer orden de elegibilidad no lleg</w:t>
      </w:r>
      <w:r w:rsidR="002A38C8" w:rsidRPr="00742BED">
        <w:rPr>
          <w:rFonts w:ascii="Arial" w:hAnsi="Arial" w:cs="Arial"/>
          <w:color w:val="000000" w:themeColor="text1"/>
          <w:sz w:val="22"/>
          <w:lang w:val="es-ES_tradnl"/>
        </w:rPr>
        <w:t>aran</w:t>
      </w:r>
      <w:r w:rsidRPr="00742BED">
        <w:rPr>
          <w:rFonts w:ascii="Arial" w:hAnsi="Arial" w:cs="Arial"/>
          <w:color w:val="000000" w:themeColor="text1"/>
          <w:sz w:val="22"/>
          <w:lang w:val="es-ES_tradnl"/>
        </w:rPr>
        <w:t xml:space="preserve"> a un acuerdo sobre el precio del contrato. Además, el numeral 6 solo permit</w:t>
      </w:r>
      <w:r w:rsidR="002A38C8" w:rsidRPr="00742BED">
        <w:rPr>
          <w:rFonts w:ascii="Arial" w:hAnsi="Arial" w:cs="Arial"/>
          <w:color w:val="000000" w:themeColor="text1"/>
          <w:sz w:val="22"/>
          <w:lang w:val="es-ES_tradnl"/>
        </w:rPr>
        <w:t>ía</w:t>
      </w:r>
      <w:r w:rsidRPr="00742BED">
        <w:rPr>
          <w:rFonts w:ascii="Arial" w:hAnsi="Arial" w:cs="Arial"/>
          <w:color w:val="000000" w:themeColor="text1"/>
          <w:sz w:val="22"/>
          <w:lang w:val="es-ES_tradnl"/>
        </w:rPr>
        <w:t xml:space="preserve"> negociar el precio con el proponente que ocup</w:t>
      </w:r>
      <w:r w:rsidR="002A38C8" w:rsidRPr="00742BED">
        <w:rPr>
          <w:rFonts w:ascii="Arial" w:hAnsi="Arial" w:cs="Arial"/>
          <w:color w:val="000000" w:themeColor="text1"/>
          <w:sz w:val="22"/>
          <w:lang w:val="es-ES_tradnl"/>
        </w:rPr>
        <w:t>ara</w:t>
      </w:r>
      <w:r w:rsidRPr="00742BED">
        <w:rPr>
          <w:rFonts w:ascii="Arial" w:hAnsi="Arial" w:cs="Arial"/>
          <w:color w:val="000000" w:themeColor="text1"/>
          <w:sz w:val="22"/>
          <w:lang w:val="es-ES_tradnl"/>
        </w:rPr>
        <w:t xml:space="preserve"> e</w:t>
      </w:r>
      <w:r w:rsidR="002A38C8" w:rsidRPr="00742BED">
        <w:rPr>
          <w:rFonts w:ascii="Arial" w:hAnsi="Arial" w:cs="Arial"/>
          <w:color w:val="000000" w:themeColor="text1"/>
          <w:sz w:val="22"/>
          <w:lang w:val="es-ES_tradnl"/>
        </w:rPr>
        <w:t>l</w:t>
      </w:r>
      <w:r w:rsidRPr="00742BED">
        <w:rPr>
          <w:rFonts w:ascii="Arial" w:hAnsi="Arial" w:cs="Arial"/>
          <w:color w:val="000000" w:themeColor="text1"/>
          <w:sz w:val="22"/>
          <w:lang w:val="es-ES_tradnl"/>
        </w:rPr>
        <w:t xml:space="preserve"> segundo orden de elegibilidad, por lo que si no </w:t>
      </w:r>
      <w:r w:rsidR="002A38C8" w:rsidRPr="00742BED">
        <w:rPr>
          <w:rFonts w:ascii="Arial" w:hAnsi="Arial" w:cs="Arial"/>
          <w:color w:val="000000" w:themeColor="text1"/>
          <w:sz w:val="22"/>
          <w:lang w:val="es-ES_tradnl"/>
        </w:rPr>
        <w:t>era</w:t>
      </w:r>
      <w:r w:rsidRPr="00742BED">
        <w:rPr>
          <w:rFonts w:ascii="Arial" w:hAnsi="Arial" w:cs="Arial"/>
          <w:color w:val="000000" w:themeColor="text1"/>
          <w:sz w:val="22"/>
          <w:lang w:val="es-ES_tradnl"/>
        </w:rPr>
        <w:t xml:space="preserve"> posible llegar a un acuerdo con este, procedía la declaración de desierta. </w:t>
      </w:r>
    </w:p>
    <w:p w14:paraId="6D8A159A" w14:textId="7614BEC5" w:rsidR="00942641" w:rsidRPr="00742BED" w:rsidRDefault="00942641" w:rsidP="00942641">
      <w:pPr>
        <w:spacing w:after="120" w:line="276" w:lineRule="auto"/>
        <w:ind w:firstLine="709"/>
        <w:jc w:val="both"/>
        <w:rPr>
          <w:rFonts w:ascii="Arial" w:hAnsi="Arial" w:cs="Arial"/>
          <w:color w:val="000000" w:themeColor="text1"/>
          <w:sz w:val="22"/>
          <w:lang w:val="es-ES_tradnl"/>
        </w:rPr>
      </w:pPr>
      <w:bookmarkStart w:id="4" w:name="_Hlk43918393"/>
      <w:r w:rsidRPr="00742BED">
        <w:rPr>
          <w:rFonts w:ascii="Arial" w:hAnsi="Arial" w:cs="Arial"/>
          <w:color w:val="000000" w:themeColor="text1"/>
          <w:sz w:val="22"/>
          <w:lang w:val="es-ES_tradnl"/>
        </w:rPr>
        <w:t>El Consejo de Estado consider</w:t>
      </w:r>
      <w:r w:rsidR="00E1119F" w:rsidRPr="00742BED">
        <w:rPr>
          <w:rFonts w:ascii="Arial" w:hAnsi="Arial" w:cs="Arial"/>
          <w:color w:val="000000" w:themeColor="text1"/>
          <w:sz w:val="22"/>
          <w:lang w:val="es-ES_tradnl"/>
        </w:rPr>
        <w:t>ó</w:t>
      </w:r>
      <w:r w:rsidRPr="00742BED">
        <w:rPr>
          <w:rFonts w:ascii="Arial" w:hAnsi="Arial" w:cs="Arial"/>
          <w:color w:val="000000" w:themeColor="text1"/>
          <w:sz w:val="22"/>
          <w:lang w:val="es-ES_tradnl"/>
        </w:rPr>
        <w:t xml:space="preserve"> que los numerales 3, 4 y 5 violarían el artículo 5, numeral 4, último inciso, de la Ley 1150 de 2007, pues señal</w:t>
      </w:r>
      <w:r w:rsidR="00390C0B" w:rsidRPr="00742BED">
        <w:rPr>
          <w:rFonts w:ascii="Arial" w:hAnsi="Arial" w:cs="Arial"/>
          <w:color w:val="000000" w:themeColor="text1"/>
          <w:sz w:val="22"/>
          <w:lang w:val="es-ES_tradnl"/>
        </w:rPr>
        <w:t>ó</w:t>
      </w:r>
      <w:r w:rsidRPr="00742BED">
        <w:rPr>
          <w:rFonts w:ascii="Arial" w:hAnsi="Arial" w:cs="Arial"/>
          <w:color w:val="000000" w:themeColor="text1"/>
          <w:sz w:val="22"/>
          <w:lang w:val="es-ES_tradnl"/>
        </w:rPr>
        <w:t xml:space="preserve"> que: «en ningún caso se podrá incluir el precio, como factor de escogencia para la selección de consultores», así como el artículo 25, numeral 2, de la Ley 80 de 1993 que dispone lo siguiente: «[…] las normas de los procedimientos contractuales se interpretarán de tal manera que no den ocasión a seguir trámites distintos y adicionales a los expresamente previstos […]». En este sentido, </w:t>
      </w:r>
      <w:r w:rsidR="00F70F72" w:rsidRPr="00742BED">
        <w:rPr>
          <w:rFonts w:ascii="Arial" w:hAnsi="Arial" w:cs="Arial"/>
          <w:color w:val="000000" w:themeColor="text1"/>
          <w:sz w:val="22"/>
          <w:lang w:val="es-ES_tradnl"/>
        </w:rPr>
        <w:t xml:space="preserve">el alto tribunal </w:t>
      </w:r>
      <w:r w:rsidRPr="00742BED">
        <w:rPr>
          <w:rFonts w:ascii="Arial" w:hAnsi="Arial" w:cs="Arial"/>
          <w:color w:val="000000" w:themeColor="text1"/>
          <w:sz w:val="22"/>
          <w:lang w:val="es-ES_tradnl"/>
        </w:rPr>
        <w:t>expli</w:t>
      </w:r>
      <w:r w:rsidR="00F70F72" w:rsidRPr="00742BED">
        <w:rPr>
          <w:rFonts w:ascii="Arial" w:hAnsi="Arial" w:cs="Arial"/>
          <w:color w:val="000000" w:themeColor="text1"/>
          <w:sz w:val="22"/>
          <w:lang w:val="es-ES_tradnl"/>
        </w:rPr>
        <w:t xml:space="preserve">có </w:t>
      </w:r>
      <w:r w:rsidRPr="00742BED">
        <w:rPr>
          <w:rFonts w:ascii="Arial" w:hAnsi="Arial" w:cs="Arial"/>
          <w:color w:val="000000" w:themeColor="text1"/>
          <w:sz w:val="22"/>
          <w:lang w:val="es-ES_tradnl"/>
        </w:rPr>
        <w:t>que la verificación de la coherencia del precio con la disponibilidad presupuestal y la necesidad de que se logre un acuerdo en relación con el mismo desconoc</w:t>
      </w:r>
      <w:r w:rsidR="0023548D" w:rsidRPr="00742BED">
        <w:rPr>
          <w:rFonts w:ascii="Arial" w:hAnsi="Arial" w:cs="Arial"/>
          <w:color w:val="000000" w:themeColor="text1"/>
          <w:sz w:val="22"/>
          <w:lang w:val="es-ES_tradnl"/>
        </w:rPr>
        <w:t>ía</w:t>
      </w:r>
      <w:r w:rsidRPr="00742BED">
        <w:rPr>
          <w:rFonts w:ascii="Arial" w:hAnsi="Arial" w:cs="Arial"/>
          <w:color w:val="000000" w:themeColor="text1"/>
          <w:sz w:val="22"/>
          <w:lang w:val="es-ES_tradnl"/>
        </w:rPr>
        <w:t xml:space="preserve"> el principio de selección objetiva, convirtiendo el precio en un factor de selección</w:t>
      </w:r>
      <w:r w:rsidRPr="00742BED">
        <w:rPr>
          <w:rStyle w:val="Refdenotaalpie"/>
          <w:rFonts w:ascii="Arial" w:hAnsi="Arial" w:cs="Arial"/>
          <w:color w:val="000000" w:themeColor="text1"/>
          <w:sz w:val="22"/>
          <w:lang w:val="es-ES_tradnl"/>
        </w:rPr>
        <w:footnoteReference w:id="4"/>
      </w:r>
      <w:r w:rsidRPr="00742BED">
        <w:rPr>
          <w:rFonts w:ascii="Arial" w:hAnsi="Arial" w:cs="Arial"/>
          <w:color w:val="000000" w:themeColor="text1"/>
          <w:sz w:val="22"/>
          <w:lang w:val="es-ES_tradnl"/>
        </w:rPr>
        <w:t xml:space="preserve">. En lo que respecta al artículo 6, este violaría especialmente el artículo 25.18 del </w:t>
      </w:r>
      <w:r w:rsidRPr="00742BED">
        <w:rPr>
          <w:rFonts w:ascii="Arial" w:hAnsi="Arial" w:cs="Arial"/>
          <w:color w:val="000000" w:themeColor="text1"/>
          <w:sz w:val="22"/>
          <w:lang w:val="es-ES_tradnl"/>
        </w:rPr>
        <w:lastRenderedPageBreak/>
        <w:t>Estatuto General y el artículo 5 de la Ley 1150 de 2007, pues la declaratoria de desierta solo procede cuando no es posible la selección objetiva del contratista</w:t>
      </w:r>
      <w:bookmarkEnd w:id="4"/>
      <w:r w:rsidRPr="00742BED">
        <w:rPr>
          <w:rStyle w:val="Refdenotaalpie"/>
          <w:rFonts w:ascii="Arial" w:hAnsi="Arial" w:cs="Arial"/>
          <w:color w:val="000000" w:themeColor="text1"/>
          <w:sz w:val="22"/>
          <w:lang w:val="es-ES_tradnl"/>
        </w:rPr>
        <w:footnoteReference w:id="5"/>
      </w:r>
      <w:r w:rsidRPr="00742BED">
        <w:rPr>
          <w:rFonts w:ascii="Arial" w:hAnsi="Arial" w:cs="Arial"/>
          <w:color w:val="000000" w:themeColor="text1"/>
          <w:sz w:val="22"/>
          <w:lang w:val="es-ES_tradnl"/>
        </w:rPr>
        <w:t>.</w:t>
      </w:r>
    </w:p>
    <w:p w14:paraId="7C66CDA8" w14:textId="4B34A61C" w:rsidR="008E51C2" w:rsidRPr="00742BED" w:rsidRDefault="00035A1B" w:rsidP="002A6CB8">
      <w:pPr>
        <w:spacing w:after="120" w:line="276" w:lineRule="auto"/>
        <w:ind w:firstLine="709"/>
        <w:jc w:val="both"/>
        <w:rPr>
          <w:rFonts w:ascii="Arial" w:hAnsi="Arial" w:cs="Arial"/>
          <w:color w:val="000000" w:themeColor="text1"/>
          <w:sz w:val="22"/>
          <w:lang w:val="es-ES_tradnl"/>
        </w:rPr>
      </w:pPr>
      <w:bookmarkStart w:id="5" w:name="_Hlk43916091"/>
      <w:r w:rsidRPr="00742BED">
        <w:rPr>
          <w:rFonts w:ascii="Arial" w:hAnsi="Arial" w:cs="Arial"/>
          <w:color w:val="000000" w:themeColor="text1"/>
          <w:sz w:val="22"/>
          <w:lang w:val="es-ES_tradnl"/>
        </w:rPr>
        <w:t xml:space="preserve">En consecuencia, </w:t>
      </w:r>
      <w:r w:rsidR="00942641" w:rsidRPr="00742BED">
        <w:rPr>
          <w:rFonts w:ascii="Arial" w:eastAsia="Calibri" w:hAnsi="Arial" w:cs="Arial"/>
          <w:color w:val="000000" w:themeColor="text1"/>
          <w:sz w:val="22"/>
          <w:lang w:val="es-ES_tradnl"/>
        </w:rPr>
        <w:t>con los autos de suspensión provisional</w:t>
      </w:r>
      <w:r w:rsidRPr="00742BED">
        <w:rPr>
          <w:rFonts w:ascii="Arial" w:eastAsia="Calibri" w:hAnsi="Arial" w:cs="Arial"/>
          <w:color w:val="000000" w:themeColor="text1"/>
          <w:sz w:val="22"/>
          <w:lang w:val="es-ES_tradnl"/>
        </w:rPr>
        <w:t>,</w:t>
      </w:r>
      <w:r w:rsidR="00942641" w:rsidRPr="00742BED">
        <w:rPr>
          <w:rFonts w:ascii="Arial" w:eastAsia="Calibri" w:hAnsi="Arial" w:cs="Arial"/>
          <w:color w:val="000000" w:themeColor="text1"/>
          <w:sz w:val="22"/>
          <w:lang w:val="es-ES_tradnl"/>
        </w:rPr>
        <w:t xml:space="preserve"> el concurso de méritos abierto </w:t>
      </w:r>
      <w:r w:rsidRPr="00742BED">
        <w:rPr>
          <w:rFonts w:ascii="Arial" w:eastAsia="Calibri" w:hAnsi="Arial" w:cs="Arial"/>
          <w:color w:val="000000" w:themeColor="text1"/>
          <w:sz w:val="22"/>
          <w:lang w:val="es-ES_tradnl"/>
        </w:rPr>
        <w:t>debía desarrollarse</w:t>
      </w:r>
      <w:r w:rsidR="00942641" w:rsidRPr="00742BED">
        <w:rPr>
          <w:rFonts w:ascii="Arial" w:eastAsia="Calibri" w:hAnsi="Arial" w:cs="Arial"/>
          <w:color w:val="000000" w:themeColor="text1"/>
          <w:sz w:val="22"/>
          <w:lang w:val="es-ES_tradnl"/>
        </w:rPr>
        <w:t xml:space="preserve"> aplicando únicamente los numerales 1 y 2 del</w:t>
      </w:r>
      <w:r w:rsidR="00942641" w:rsidRPr="00742BED">
        <w:rPr>
          <w:rFonts w:ascii="Arial" w:hAnsi="Arial" w:cs="Arial"/>
          <w:color w:val="000000" w:themeColor="text1"/>
          <w:sz w:val="22"/>
          <w:lang w:val="es-ES_tradnl"/>
        </w:rPr>
        <w:t xml:space="preserve"> artículo 2.2.1.2.1.3.2 del Decreto 1082 de 2015.</w:t>
      </w:r>
      <w:bookmarkStart w:id="6" w:name="_Hlk43916290"/>
      <w:bookmarkEnd w:id="5"/>
      <w:r w:rsidR="002A6CB8" w:rsidRPr="00742BED">
        <w:rPr>
          <w:rFonts w:ascii="Arial" w:hAnsi="Arial" w:cs="Arial"/>
          <w:color w:val="000000" w:themeColor="text1"/>
          <w:sz w:val="22"/>
          <w:lang w:val="es-ES_tradnl"/>
        </w:rPr>
        <w:t xml:space="preserve"> </w:t>
      </w:r>
      <w:r w:rsidR="00942641" w:rsidRPr="00742BED">
        <w:rPr>
          <w:rFonts w:ascii="Arial" w:hAnsi="Arial" w:cs="Arial"/>
          <w:color w:val="000000" w:themeColor="text1"/>
          <w:sz w:val="22"/>
          <w:lang w:val="es-ES_tradnl"/>
        </w:rPr>
        <w:t xml:space="preserve">Por lo tanto, </w:t>
      </w:r>
      <w:r w:rsidR="00942641" w:rsidRPr="00742BED">
        <w:rPr>
          <w:rFonts w:ascii="Arial" w:hAnsi="Arial" w:cs="Arial"/>
          <w:i/>
          <w:iCs/>
          <w:color w:val="000000" w:themeColor="text1"/>
          <w:sz w:val="22"/>
          <w:lang w:val="es-ES_tradnl"/>
        </w:rPr>
        <w:t xml:space="preserve">siempre que </w:t>
      </w:r>
      <w:r w:rsidR="009D0815" w:rsidRPr="00742BED">
        <w:rPr>
          <w:rFonts w:ascii="Arial" w:hAnsi="Arial" w:cs="Arial"/>
          <w:i/>
          <w:iCs/>
          <w:color w:val="000000" w:themeColor="text1"/>
          <w:sz w:val="22"/>
          <w:lang w:val="es-ES_tradnl"/>
        </w:rPr>
        <w:t>estuviera</w:t>
      </w:r>
      <w:r w:rsidR="00942641" w:rsidRPr="00742BED">
        <w:rPr>
          <w:rFonts w:ascii="Arial" w:hAnsi="Arial" w:cs="Arial"/>
          <w:i/>
          <w:iCs/>
          <w:color w:val="000000" w:themeColor="text1"/>
          <w:sz w:val="22"/>
          <w:lang w:val="es-ES_tradnl"/>
        </w:rPr>
        <w:t xml:space="preserve"> dentro del presupuesto oficial</w:t>
      </w:r>
      <w:r w:rsidR="00942641" w:rsidRPr="00742BED">
        <w:rPr>
          <w:rFonts w:ascii="Arial" w:hAnsi="Arial" w:cs="Arial"/>
          <w:color w:val="000000" w:themeColor="text1"/>
          <w:sz w:val="22"/>
          <w:lang w:val="es-ES_tradnl"/>
        </w:rPr>
        <w:t>, la entidad</w:t>
      </w:r>
      <w:r w:rsidR="009D0815" w:rsidRPr="00742BED">
        <w:rPr>
          <w:rFonts w:ascii="Arial" w:hAnsi="Arial" w:cs="Arial"/>
          <w:color w:val="000000" w:themeColor="text1"/>
          <w:sz w:val="22"/>
          <w:lang w:val="es-ES_tradnl"/>
        </w:rPr>
        <w:t xml:space="preserve"> estatal</w:t>
      </w:r>
      <w:r w:rsidR="00942641" w:rsidRPr="00742BED">
        <w:rPr>
          <w:rFonts w:ascii="Arial" w:hAnsi="Arial" w:cs="Arial"/>
          <w:color w:val="000000" w:themeColor="text1"/>
          <w:sz w:val="22"/>
          <w:lang w:val="es-ES_tradnl"/>
        </w:rPr>
        <w:t xml:space="preserve"> </w:t>
      </w:r>
      <w:r w:rsidR="009D0815" w:rsidRPr="00742BED">
        <w:rPr>
          <w:rFonts w:ascii="Arial" w:hAnsi="Arial" w:cs="Arial"/>
          <w:color w:val="000000" w:themeColor="text1"/>
          <w:sz w:val="22"/>
          <w:lang w:val="es-ES_tradnl"/>
        </w:rPr>
        <w:t>debía</w:t>
      </w:r>
      <w:r w:rsidR="00942641" w:rsidRPr="00742BED">
        <w:rPr>
          <w:rFonts w:ascii="Arial" w:hAnsi="Arial" w:cs="Arial"/>
          <w:color w:val="000000" w:themeColor="text1"/>
          <w:sz w:val="22"/>
          <w:lang w:val="es-ES_tradnl"/>
        </w:rPr>
        <w:t xml:space="preserve"> adjudicar el contrato al proponente que ocup</w:t>
      </w:r>
      <w:r w:rsidR="009D0815" w:rsidRPr="00742BED">
        <w:rPr>
          <w:rFonts w:ascii="Arial" w:hAnsi="Arial" w:cs="Arial"/>
          <w:color w:val="000000" w:themeColor="text1"/>
          <w:sz w:val="22"/>
          <w:lang w:val="es-ES_tradnl"/>
        </w:rPr>
        <w:t>ara</w:t>
      </w:r>
      <w:r w:rsidR="00942641" w:rsidRPr="00742BED">
        <w:rPr>
          <w:rFonts w:ascii="Arial" w:hAnsi="Arial" w:cs="Arial"/>
          <w:color w:val="000000" w:themeColor="text1"/>
          <w:sz w:val="22"/>
          <w:lang w:val="es-ES_tradnl"/>
        </w:rPr>
        <w:t xml:space="preserve"> el primer puesto en el orden de elegibilidad, independientemente del valor ofrecido</w:t>
      </w:r>
      <w:r w:rsidR="00942641" w:rsidRPr="00742BED">
        <w:rPr>
          <w:rFonts w:ascii="Arial" w:eastAsia="Calibri" w:hAnsi="Arial" w:cs="Arial"/>
          <w:color w:val="000000" w:themeColor="text1"/>
          <w:sz w:val="22"/>
          <w:lang w:val="es-ES_tradnl"/>
        </w:rPr>
        <w:t>.</w:t>
      </w:r>
    </w:p>
    <w:p w14:paraId="2890CFFD" w14:textId="7F7C996D" w:rsidR="00DE67D2" w:rsidRPr="00742BED" w:rsidRDefault="008F462B" w:rsidP="00607460">
      <w:pPr>
        <w:spacing w:line="276" w:lineRule="auto"/>
        <w:ind w:firstLine="709"/>
        <w:jc w:val="both"/>
        <w:rPr>
          <w:rFonts w:ascii="Arial" w:eastAsia="Calibri" w:hAnsi="Arial" w:cs="Arial"/>
          <w:color w:val="000000" w:themeColor="text1"/>
          <w:sz w:val="22"/>
          <w:lang w:val="es-ES_tradnl"/>
        </w:rPr>
      </w:pPr>
      <w:r w:rsidRPr="00742BED">
        <w:rPr>
          <w:rFonts w:ascii="Arial" w:eastAsia="Calibri" w:hAnsi="Arial" w:cs="Arial"/>
          <w:color w:val="000000" w:themeColor="text1"/>
          <w:sz w:val="22"/>
          <w:lang w:val="es-ES_tradnl"/>
        </w:rPr>
        <w:t>E</w:t>
      </w:r>
      <w:r w:rsidR="008E51C2" w:rsidRPr="00742BED">
        <w:rPr>
          <w:rFonts w:ascii="Arial" w:eastAsia="Calibri" w:hAnsi="Arial" w:cs="Arial"/>
          <w:color w:val="000000" w:themeColor="text1"/>
          <w:sz w:val="22"/>
          <w:lang w:val="es-ES_tradnl"/>
        </w:rPr>
        <w:t xml:space="preserve">l </w:t>
      </w:r>
      <w:r w:rsidR="00E068BB" w:rsidRPr="00742BED">
        <w:rPr>
          <w:rFonts w:ascii="Arial" w:eastAsia="Calibri" w:hAnsi="Arial" w:cs="Arial"/>
          <w:color w:val="000000" w:themeColor="text1"/>
          <w:sz w:val="22"/>
          <w:lang w:val="es-ES_tradnl"/>
        </w:rPr>
        <w:t xml:space="preserve">artículo 2 del </w:t>
      </w:r>
      <w:r w:rsidR="008E51C2" w:rsidRPr="00742BED">
        <w:rPr>
          <w:rFonts w:ascii="Arial" w:eastAsia="Calibri" w:hAnsi="Arial" w:cs="Arial"/>
          <w:color w:val="000000" w:themeColor="text1"/>
          <w:sz w:val="22"/>
          <w:lang w:val="es-ES_tradnl"/>
        </w:rPr>
        <w:t>Decreto 399 de 2021</w:t>
      </w:r>
      <w:r w:rsidR="00E068BB" w:rsidRPr="00742BED">
        <w:rPr>
          <w:rFonts w:ascii="Arial" w:eastAsia="Calibri" w:hAnsi="Arial" w:cs="Arial"/>
          <w:color w:val="000000" w:themeColor="text1"/>
          <w:sz w:val="22"/>
          <w:lang w:val="es-ES_tradnl"/>
        </w:rPr>
        <w:t xml:space="preserve"> modificó el artículo 2.2.1.2.1.3.2.</w:t>
      </w:r>
      <w:r w:rsidR="00E57CC5" w:rsidRPr="00742BED">
        <w:rPr>
          <w:rFonts w:ascii="Arial" w:eastAsia="Calibri" w:hAnsi="Arial" w:cs="Arial"/>
          <w:color w:val="000000" w:themeColor="text1"/>
          <w:sz w:val="22"/>
          <w:lang w:val="es-ES_tradnl"/>
        </w:rPr>
        <w:t xml:space="preserve"> del Decreto 1082 de 2015,</w:t>
      </w:r>
      <w:r w:rsidR="00DE67D2" w:rsidRPr="00742BED">
        <w:rPr>
          <w:rFonts w:ascii="Arial" w:eastAsia="Calibri" w:hAnsi="Arial" w:cs="Arial"/>
          <w:color w:val="000000" w:themeColor="text1"/>
          <w:sz w:val="22"/>
          <w:lang w:val="es-ES_tradnl"/>
        </w:rPr>
        <w:t xml:space="preserve"> en los siguientes términos:</w:t>
      </w:r>
    </w:p>
    <w:p w14:paraId="65D1A6CB" w14:textId="77777777" w:rsidR="00607460" w:rsidRPr="00742BED" w:rsidRDefault="00607460" w:rsidP="00DE67D2">
      <w:pPr>
        <w:shd w:val="clear" w:color="auto" w:fill="FFFFFF"/>
        <w:ind w:left="709" w:right="709"/>
        <w:jc w:val="both"/>
        <w:rPr>
          <w:rFonts w:ascii="Arial" w:hAnsi="Arial" w:cs="Arial"/>
          <w:color w:val="000000" w:themeColor="text1"/>
          <w:sz w:val="21"/>
          <w:szCs w:val="21"/>
          <w:lang w:val="es-ES_tradnl"/>
        </w:rPr>
      </w:pPr>
    </w:p>
    <w:p w14:paraId="71A0E597" w14:textId="52D4E75E" w:rsidR="00DE67D2" w:rsidRPr="00742BED" w:rsidRDefault="00900FC5" w:rsidP="00DE67D2">
      <w:pPr>
        <w:shd w:val="clear" w:color="auto" w:fill="FFFFFF"/>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Artículo</w:t>
      </w:r>
      <w:r w:rsidR="00DE67D2" w:rsidRPr="00742BED">
        <w:rPr>
          <w:rFonts w:ascii="Arial" w:hAnsi="Arial" w:cs="Arial"/>
          <w:color w:val="000000" w:themeColor="text1"/>
          <w:sz w:val="21"/>
          <w:szCs w:val="21"/>
          <w:lang w:val="es-ES_tradnl"/>
        </w:rPr>
        <w:t> </w:t>
      </w:r>
      <w:bookmarkStart w:id="7" w:name="2"/>
      <w:r w:rsidR="00DE67D2" w:rsidRPr="00742BED">
        <w:rPr>
          <w:rFonts w:ascii="Arial" w:hAnsi="Arial" w:cs="Arial"/>
          <w:color w:val="000000" w:themeColor="text1"/>
          <w:sz w:val="21"/>
          <w:szCs w:val="21"/>
          <w:lang w:val="es-ES_tradnl"/>
        </w:rPr>
        <w:t> </w:t>
      </w:r>
      <w:bookmarkEnd w:id="7"/>
      <w:r w:rsidR="00DE67D2" w:rsidRPr="00742BED">
        <w:rPr>
          <w:rFonts w:ascii="Arial" w:hAnsi="Arial" w:cs="Arial"/>
          <w:color w:val="000000" w:themeColor="text1"/>
          <w:sz w:val="21"/>
          <w:szCs w:val="21"/>
          <w:lang w:val="es-ES_tradnl"/>
        </w:rPr>
        <w:t>2. Modificación del artículo </w:t>
      </w:r>
      <w:hyperlink r:id="rId12" w:anchor="2.2.1.2.1.3.2" w:history="1">
        <w:r w:rsidR="00DE67D2" w:rsidRPr="00742BED">
          <w:rPr>
            <w:rStyle w:val="Hipervnculo"/>
            <w:rFonts w:ascii="Arial" w:hAnsi="Arial" w:cs="Arial"/>
            <w:color w:val="000000" w:themeColor="text1"/>
            <w:sz w:val="21"/>
            <w:szCs w:val="21"/>
            <w:u w:val="none"/>
            <w:lang w:val="es-ES_tradnl"/>
          </w:rPr>
          <w:t>2.2.1.2.1.3.2</w:t>
        </w:r>
      </w:hyperlink>
      <w:r w:rsidR="00DE67D2" w:rsidRPr="00742BED">
        <w:rPr>
          <w:rFonts w:ascii="Arial" w:hAnsi="Arial" w:cs="Arial"/>
          <w:color w:val="000000" w:themeColor="text1"/>
          <w:sz w:val="21"/>
          <w:szCs w:val="21"/>
          <w:lang w:val="es-ES_tradnl"/>
        </w:rPr>
        <w:t>. del Decreto 1082 de 2015, Único Reglamentario del Sector Administrativo de Planeación Nacional. Modifíquese el artículo 2.2.1.2.1.3.2. de la Subsección 3 de la Sección 1 del Capítulo 2 del Título 1 de la Parte 2 del Libro 2 del Decreto 1082 de 2015, Único Reglamentario del Sector Administrativo de Planeación Nacional, el cual quedará así:</w:t>
      </w:r>
    </w:p>
    <w:p w14:paraId="4494BB0E" w14:textId="77777777" w:rsidR="00DE67D2" w:rsidRPr="00742BED" w:rsidRDefault="00DE67D2" w:rsidP="00DE67D2">
      <w:pPr>
        <w:shd w:val="clear" w:color="auto" w:fill="FFFFFF"/>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 </w:t>
      </w:r>
    </w:p>
    <w:p w14:paraId="18D8E2D4" w14:textId="6382EC38" w:rsidR="00DE67D2" w:rsidRPr="00742BED" w:rsidRDefault="00DE67D2" w:rsidP="00DE67D2">
      <w:pPr>
        <w:shd w:val="clear" w:color="auto" w:fill="FFFFFF"/>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w:t>
      </w:r>
      <w:r w:rsidR="00900FC5" w:rsidRPr="00742BED">
        <w:rPr>
          <w:rFonts w:ascii="Arial" w:hAnsi="Arial" w:cs="Arial"/>
          <w:color w:val="000000" w:themeColor="text1"/>
          <w:sz w:val="21"/>
          <w:szCs w:val="21"/>
          <w:lang w:val="es-ES_tradnl"/>
        </w:rPr>
        <w:t>Artículo</w:t>
      </w:r>
      <w:r w:rsidRPr="00742BED">
        <w:rPr>
          <w:rFonts w:ascii="Arial" w:hAnsi="Arial" w:cs="Arial"/>
          <w:color w:val="000000" w:themeColor="text1"/>
          <w:sz w:val="21"/>
          <w:szCs w:val="21"/>
          <w:lang w:val="es-ES_tradnl"/>
        </w:rPr>
        <w:t xml:space="preserve"> 2.2.1.2.1.3.2. Procedimiento del concurso de méritos. Además de las reglas generales previstas en la ley y en el presente título, las siguientes reglas son aplicables al concurso de méritos abierto o con precalificación:</w:t>
      </w:r>
    </w:p>
    <w:p w14:paraId="53829137" w14:textId="77777777" w:rsidR="00DE67D2" w:rsidRPr="00742BED" w:rsidRDefault="00DE67D2" w:rsidP="00DE67D2">
      <w:pPr>
        <w:shd w:val="clear" w:color="auto" w:fill="FFFFFF"/>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 </w:t>
      </w:r>
    </w:p>
    <w:p w14:paraId="5309DFA5" w14:textId="77777777" w:rsidR="00DE67D2" w:rsidRPr="00742BED" w:rsidRDefault="00DE67D2" w:rsidP="00DE67D2">
      <w:pPr>
        <w:shd w:val="clear" w:color="auto" w:fill="FFFFFF"/>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1. La Entidad Estatal en los pliegos de condiciones debe indicar la forma como calificará, entre otros, los siguientes criterios: a) la experiencia del interesado y del equipo de trabajo y b) la formación académica del equipo de trabajo.</w:t>
      </w:r>
    </w:p>
    <w:p w14:paraId="3CD58FAA" w14:textId="77777777" w:rsidR="00DE67D2" w:rsidRPr="00742BED" w:rsidRDefault="00DE67D2" w:rsidP="00DE67D2">
      <w:pPr>
        <w:shd w:val="clear" w:color="auto" w:fill="FFFFFF"/>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 </w:t>
      </w:r>
    </w:p>
    <w:p w14:paraId="67F5349D" w14:textId="77777777" w:rsidR="00DE67D2" w:rsidRPr="00742BED" w:rsidRDefault="00DE67D2" w:rsidP="00DE67D2">
      <w:pPr>
        <w:shd w:val="clear" w:color="auto" w:fill="FFFFFF"/>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2. La Entidad Estatal debe publicar durante tres (3) días hábiles el informe de evaluación, el cual debe contener la evaluación de las ofertas frente a todos los requisitos exigidos en el pliego de condiciones, incluyendo los requisitos habilitantes y los de asignación de puntaje.</w:t>
      </w:r>
    </w:p>
    <w:p w14:paraId="44F04C4B" w14:textId="77777777" w:rsidR="00DE67D2" w:rsidRPr="00742BED" w:rsidRDefault="00DE67D2" w:rsidP="00DE67D2">
      <w:pPr>
        <w:shd w:val="clear" w:color="auto" w:fill="FFFFFF"/>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 </w:t>
      </w:r>
    </w:p>
    <w:p w14:paraId="51ABAA3E" w14:textId="77777777" w:rsidR="00DE67D2" w:rsidRPr="00742BED" w:rsidRDefault="00DE67D2" w:rsidP="00DE67D2">
      <w:pPr>
        <w:shd w:val="clear" w:color="auto" w:fill="FFFFFF"/>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3. Una vez resueltas las observaciones al informe de evaluación, la entidad adjudicará el contrato mediante acto administrativo al oferente que haya cumplido todos los requisitos exigidos en el pliego de condiciones y haya obtenido el mayor puntaje".</w:t>
      </w:r>
    </w:p>
    <w:p w14:paraId="41AEF3ED" w14:textId="77777777" w:rsidR="00DE67D2" w:rsidRPr="00742BED" w:rsidRDefault="00DE67D2" w:rsidP="00DE67D2">
      <w:pPr>
        <w:rPr>
          <w:color w:val="000000" w:themeColor="text1"/>
          <w:lang w:val="es-ES_tradnl"/>
        </w:rPr>
      </w:pPr>
    </w:p>
    <w:p w14:paraId="1A70CA59" w14:textId="58CB88B7" w:rsidR="0013756B" w:rsidRPr="00742BED" w:rsidRDefault="0013756B" w:rsidP="0013756B">
      <w:pPr>
        <w:spacing w:line="276" w:lineRule="auto"/>
        <w:ind w:firstLine="709"/>
        <w:jc w:val="both"/>
        <w:rPr>
          <w:rFonts w:ascii="Arial" w:eastAsia="Calibri" w:hAnsi="Arial" w:cs="Arial"/>
          <w:color w:val="000000" w:themeColor="text1"/>
          <w:sz w:val="22"/>
          <w:lang w:val="es-ES_tradnl"/>
        </w:rPr>
      </w:pPr>
      <w:r w:rsidRPr="00742BED">
        <w:rPr>
          <w:rFonts w:ascii="Arial" w:eastAsia="Calibri" w:hAnsi="Arial" w:cs="Arial"/>
          <w:color w:val="000000" w:themeColor="text1"/>
          <w:sz w:val="22"/>
          <w:lang w:val="es-ES_tradnl"/>
        </w:rPr>
        <w:t>Como se observa,</w:t>
      </w:r>
      <w:r w:rsidR="0061163C" w:rsidRPr="00742BED">
        <w:rPr>
          <w:rFonts w:ascii="Arial" w:eastAsia="Calibri" w:hAnsi="Arial" w:cs="Arial"/>
          <w:color w:val="000000" w:themeColor="text1"/>
          <w:sz w:val="22"/>
          <w:lang w:val="es-ES_tradnl"/>
        </w:rPr>
        <w:t xml:space="preserve"> el artículo 2 del Decreto 399 de 2021</w:t>
      </w:r>
      <w:r w:rsidR="00CE026B" w:rsidRPr="00742BED">
        <w:rPr>
          <w:rFonts w:ascii="Arial" w:eastAsia="Calibri" w:hAnsi="Arial" w:cs="Arial"/>
          <w:color w:val="000000" w:themeColor="text1"/>
          <w:sz w:val="22"/>
          <w:lang w:val="es-ES_tradnl"/>
        </w:rPr>
        <w:t xml:space="preserve"> </w:t>
      </w:r>
      <w:r w:rsidR="00390C0B" w:rsidRPr="00742BED">
        <w:rPr>
          <w:rFonts w:ascii="Arial" w:eastAsia="Calibri" w:hAnsi="Arial" w:cs="Arial"/>
          <w:color w:val="000000" w:themeColor="text1"/>
          <w:sz w:val="22"/>
          <w:lang w:val="es-ES_tradnl"/>
        </w:rPr>
        <w:t>reformó</w:t>
      </w:r>
      <w:r w:rsidR="00CE026B" w:rsidRPr="00742BED">
        <w:rPr>
          <w:rFonts w:ascii="Arial" w:eastAsia="Calibri" w:hAnsi="Arial" w:cs="Arial"/>
          <w:color w:val="000000" w:themeColor="text1"/>
          <w:sz w:val="22"/>
          <w:lang w:val="es-ES_tradnl"/>
        </w:rPr>
        <w:t xml:space="preserve"> la reglamentación del concurso de méritos, para adecuarla a los pronunciamientos del Consejo de Estado que </w:t>
      </w:r>
      <w:r w:rsidR="00CE026B" w:rsidRPr="00742BED">
        <w:rPr>
          <w:rFonts w:ascii="Arial" w:eastAsia="Calibri" w:hAnsi="Arial" w:cs="Arial"/>
          <w:color w:val="000000" w:themeColor="text1"/>
          <w:sz w:val="22"/>
          <w:lang w:val="es-ES_tradnl"/>
        </w:rPr>
        <w:lastRenderedPageBreak/>
        <w:t xml:space="preserve">habían suspendido provisionalmente algunos numerales del artículo </w:t>
      </w:r>
      <w:r w:rsidR="00A475B4" w:rsidRPr="00742BED">
        <w:rPr>
          <w:rFonts w:ascii="Arial" w:eastAsia="Calibri" w:hAnsi="Arial" w:cs="Arial"/>
          <w:color w:val="000000" w:themeColor="text1"/>
          <w:sz w:val="22"/>
          <w:lang w:val="es-ES_tradnl"/>
        </w:rPr>
        <w:t>2.2.1.2.1.3.2. del Decreto 1082 de 2015</w:t>
      </w:r>
      <w:r w:rsidR="00A475B4" w:rsidRPr="00742BED">
        <w:rPr>
          <w:rStyle w:val="Refdenotaalpie"/>
          <w:rFonts w:ascii="Arial" w:eastAsia="Calibri" w:hAnsi="Arial" w:cs="Arial"/>
          <w:color w:val="000000" w:themeColor="text1"/>
          <w:sz w:val="22"/>
          <w:lang w:val="es-ES_tradnl"/>
        </w:rPr>
        <w:footnoteReference w:id="6"/>
      </w:r>
      <w:r w:rsidR="00022FD5" w:rsidRPr="00742BED">
        <w:rPr>
          <w:rFonts w:ascii="Arial" w:eastAsia="Calibri" w:hAnsi="Arial" w:cs="Arial"/>
          <w:color w:val="000000" w:themeColor="text1"/>
          <w:sz w:val="22"/>
          <w:lang w:val="es-ES_tradnl"/>
        </w:rPr>
        <w:t xml:space="preserve">. </w:t>
      </w:r>
      <w:r w:rsidR="00467EE3" w:rsidRPr="00742BED">
        <w:rPr>
          <w:rFonts w:ascii="Arial" w:eastAsia="Calibri" w:hAnsi="Arial" w:cs="Arial"/>
          <w:color w:val="000000" w:themeColor="text1"/>
          <w:sz w:val="22"/>
          <w:lang w:val="es-ES_tradnl"/>
        </w:rPr>
        <w:t xml:space="preserve">A diferencia de lo que establecía este artículo en su redacción inicial, con la </w:t>
      </w:r>
      <w:r w:rsidR="00DB244B" w:rsidRPr="00742BED">
        <w:rPr>
          <w:rFonts w:ascii="Arial" w:eastAsia="Calibri" w:hAnsi="Arial" w:cs="Arial"/>
          <w:color w:val="000000" w:themeColor="text1"/>
          <w:sz w:val="22"/>
          <w:lang w:val="es-ES_tradnl"/>
        </w:rPr>
        <w:t>entrada en vigencia del artículo 2 del Decreto 399 de 2021 se observan los siguientes cambios:</w:t>
      </w:r>
    </w:p>
    <w:p w14:paraId="69870692" w14:textId="77777777" w:rsidR="009E28B6" w:rsidRPr="00742BED" w:rsidRDefault="00DB244B" w:rsidP="00521A91">
      <w:pPr>
        <w:spacing w:before="120" w:line="276" w:lineRule="auto"/>
        <w:ind w:firstLine="709"/>
        <w:jc w:val="both"/>
        <w:rPr>
          <w:rFonts w:ascii="Arial" w:eastAsia="Calibri" w:hAnsi="Arial" w:cs="Arial"/>
          <w:color w:val="000000" w:themeColor="text1"/>
          <w:sz w:val="22"/>
          <w:lang w:val="es-ES_tradnl"/>
        </w:rPr>
      </w:pPr>
      <w:r w:rsidRPr="00742BED">
        <w:rPr>
          <w:rFonts w:ascii="Arial" w:eastAsia="Calibri" w:hAnsi="Arial" w:cs="Arial"/>
          <w:color w:val="000000" w:themeColor="text1"/>
          <w:sz w:val="22"/>
          <w:lang w:val="es-ES_tradnl"/>
        </w:rPr>
        <w:t xml:space="preserve">i) </w:t>
      </w:r>
      <w:r w:rsidR="003B242E" w:rsidRPr="00742BED">
        <w:rPr>
          <w:rFonts w:ascii="Arial" w:eastAsia="Calibri" w:hAnsi="Arial" w:cs="Arial"/>
          <w:color w:val="000000" w:themeColor="text1"/>
          <w:sz w:val="22"/>
          <w:lang w:val="es-ES_tradnl"/>
        </w:rPr>
        <w:t>E</w:t>
      </w:r>
      <w:r w:rsidR="00521A91" w:rsidRPr="00742BED">
        <w:rPr>
          <w:rFonts w:ascii="Arial" w:eastAsia="Calibri" w:hAnsi="Arial" w:cs="Arial"/>
          <w:color w:val="000000" w:themeColor="text1"/>
          <w:sz w:val="22"/>
          <w:lang w:val="es-ES_tradnl"/>
        </w:rPr>
        <w:t xml:space="preserve">l informe de evaluación, que la entidad debe publicar </w:t>
      </w:r>
      <w:r w:rsidR="003B242E" w:rsidRPr="00742BED">
        <w:rPr>
          <w:rFonts w:ascii="Arial" w:eastAsia="Calibri" w:hAnsi="Arial" w:cs="Arial"/>
          <w:color w:val="000000" w:themeColor="text1"/>
          <w:sz w:val="22"/>
          <w:lang w:val="es-ES_tradnl"/>
        </w:rPr>
        <w:t xml:space="preserve">durante tres (3) días hábiles, debe contener ya no solamente </w:t>
      </w:r>
      <w:r w:rsidR="00AA0A87" w:rsidRPr="00742BED">
        <w:rPr>
          <w:rFonts w:ascii="Arial" w:eastAsia="Calibri" w:hAnsi="Arial" w:cs="Arial"/>
          <w:color w:val="000000" w:themeColor="text1"/>
          <w:sz w:val="22"/>
          <w:lang w:val="es-ES_tradnl"/>
        </w:rPr>
        <w:t>la calificación técnica y el orden de elegibilidad, sino «[…] la evaluación de las ofertas frente a todos los requisitos exigidos en el pliego de condiciones, incluyendo los requisitos habilitantes y los de asignación de puntaje».</w:t>
      </w:r>
      <w:r w:rsidR="009E28B6" w:rsidRPr="00742BED">
        <w:rPr>
          <w:rFonts w:ascii="Arial" w:eastAsia="Calibri" w:hAnsi="Arial" w:cs="Arial"/>
          <w:color w:val="000000" w:themeColor="text1"/>
          <w:sz w:val="22"/>
          <w:lang w:val="es-ES_tradnl"/>
        </w:rPr>
        <w:t xml:space="preserve"> Esta nueva disposición permite que los interesados ejerzan su derecho a conocer el informe de evaluación y a formular las observaciones que consideren pertinentes.</w:t>
      </w:r>
    </w:p>
    <w:p w14:paraId="2DC53642" w14:textId="614A3258" w:rsidR="00E806D9" w:rsidRPr="00742BED" w:rsidRDefault="009E28B6" w:rsidP="00521A91">
      <w:pPr>
        <w:spacing w:before="120" w:line="276" w:lineRule="auto"/>
        <w:ind w:firstLine="709"/>
        <w:jc w:val="both"/>
        <w:rPr>
          <w:rFonts w:ascii="Arial" w:eastAsia="Calibri" w:hAnsi="Arial" w:cs="Arial"/>
          <w:color w:val="000000" w:themeColor="text1"/>
          <w:sz w:val="22"/>
          <w:lang w:val="es-ES_tradnl"/>
        </w:rPr>
      </w:pPr>
      <w:r w:rsidRPr="00742BED">
        <w:rPr>
          <w:rFonts w:ascii="Arial" w:eastAsia="Calibri" w:hAnsi="Arial" w:cs="Arial"/>
          <w:color w:val="000000" w:themeColor="text1"/>
          <w:sz w:val="22"/>
          <w:lang w:val="es-ES_tradnl"/>
        </w:rPr>
        <w:t>ii)</w:t>
      </w:r>
      <w:r w:rsidR="00080D30" w:rsidRPr="00742BED">
        <w:rPr>
          <w:rFonts w:ascii="Arial" w:eastAsia="Calibri" w:hAnsi="Arial" w:cs="Arial"/>
          <w:color w:val="000000" w:themeColor="text1"/>
          <w:sz w:val="22"/>
          <w:lang w:val="es-ES_tradnl"/>
        </w:rPr>
        <w:t xml:space="preserve"> A diferencia de </w:t>
      </w:r>
      <w:r w:rsidR="00D23732" w:rsidRPr="00742BED">
        <w:rPr>
          <w:rFonts w:ascii="Arial" w:eastAsia="Calibri" w:hAnsi="Arial" w:cs="Arial"/>
          <w:color w:val="000000" w:themeColor="text1"/>
          <w:sz w:val="22"/>
          <w:lang w:val="es-ES_tradnl"/>
        </w:rPr>
        <w:t xml:space="preserve">la reglamentación anterior prevista en la redacción original del artículo 2.2.1.2.1.3.2. del Decreto 1082 de 2015, </w:t>
      </w:r>
      <w:r w:rsidR="00FD16ED" w:rsidRPr="00742BED">
        <w:rPr>
          <w:rFonts w:ascii="Arial" w:eastAsia="Calibri" w:hAnsi="Arial" w:cs="Arial"/>
          <w:color w:val="000000" w:themeColor="text1"/>
          <w:sz w:val="22"/>
          <w:lang w:val="es-ES_tradnl"/>
        </w:rPr>
        <w:t>que establecía que luego de la publicación del informe de evaluación la entidad estatal debía revisar la oferta económica</w:t>
      </w:r>
      <w:r w:rsidR="003A6219" w:rsidRPr="00742BED">
        <w:rPr>
          <w:rFonts w:ascii="Arial" w:eastAsia="Calibri" w:hAnsi="Arial" w:cs="Arial"/>
          <w:color w:val="000000" w:themeColor="text1"/>
          <w:sz w:val="22"/>
          <w:lang w:val="es-ES_tradnl"/>
        </w:rPr>
        <w:t>,</w:t>
      </w:r>
      <w:r w:rsidR="00522E0D" w:rsidRPr="00742BED">
        <w:rPr>
          <w:rFonts w:ascii="Arial" w:eastAsia="Calibri" w:hAnsi="Arial" w:cs="Arial"/>
          <w:color w:val="000000" w:themeColor="text1"/>
          <w:sz w:val="22"/>
          <w:lang w:val="es-ES_tradnl"/>
        </w:rPr>
        <w:t xml:space="preserve"> para constatar su</w:t>
      </w:r>
      <w:r w:rsidR="003A6219" w:rsidRPr="00742BED">
        <w:rPr>
          <w:rFonts w:ascii="Arial" w:eastAsia="Calibri" w:hAnsi="Arial" w:cs="Arial"/>
          <w:color w:val="000000" w:themeColor="text1"/>
          <w:sz w:val="22"/>
          <w:lang w:val="es-ES_tradnl"/>
        </w:rPr>
        <w:t xml:space="preserve"> correspondencia con el presupuesto oficial, y que posteriormente debía tratar de llegar a un acuerdo</w:t>
      </w:r>
      <w:r w:rsidR="001D4874" w:rsidRPr="00742BED">
        <w:rPr>
          <w:rFonts w:ascii="Arial" w:eastAsia="Calibri" w:hAnsi="Arial" w:cs="Arial"/>
          <w:color w:val="000000" w:themeColor="text1"/>
          <w:sz w:val="22"/>
          <w:lang w:val="es-ES_tradnl"/>
        </w:rPr>
        <w:t xml:space="preserve"> con el oferente calificado en el primer lugar</w:t>
      </w:r>
      <w:r w:rsidR="00E24670" w:rsidRPr="00742BED">
        <w:rPr>
          <w:rFonts w:ascii="Arial" w:eastAsia="Calibri" w:hAnsi="Arial" w:cs="Arial"/>
          <w:color w:val="000000" w:themeColor="text1"/>
          <w:sz w:val="22"/>
          <w:lang w:val="es-ES_tradnl"/>
        </w:rPr>
        <w:t xml:space="preserve"> o, en subsidio, con el calificado en segundo </w:t>
      </w:r>
      <w:r w:rsidR="002B5DA7" w:rsidRPr="00742BED">
        <w:rPr>
          <w:rFonts w:ascii="Arial" w:eastAsia="Calibri" w:hAnsi="Arial" w:cs="Arial"/>
          <w:color w:val="000000" w:themeColor="text1"/>
          <w:sz w:val="22"/>
          <w:lang w:val="es-ES_tradnl"/>
        </w:rPr>
        <w:t>orden</w:t>
      </w:r>
      <w:r w:rsidR="001D4874" w:rsidRPr="00742BED">
        <w:rPr>
          <w:rFonts w:ascii="Arial" w:eastAsia="Calibri" w:hAnsi="Arial" w:cs="Arial"/>
          <w:color w:val="000000" w:themeColor="text1"/>
          <w:sz w:val="22"/>
          <w:lang w:val="es-ES_tradnl"/>
        </w:rPr>
        <w:t>, el artículo 2 del Decreto 399 de 2021 introduce una modificación trascendental,</w:t>
      </w:r>
      <w:r w:rsidR="008D3330" w:rsidRPr="00742BED">
        <w:rPr>
          <w:rFonts w:ascii="Arial" w:eastAsia="Calibri" w:hAnsi="Arial" w:cs="Arial"/>
          <w:color w:val="000000" w:themeColor="text1"/>
          <w:sz w:val="22"/>
          <w:lang w:val="es-ES_tradnl"/>
        </w:rPr>
        <w:t xml:space="preserve"> pues elimina estas etapas</w:t>
      </w:r>
      <w:r w:rsidR="00BB26A6" w:rsidRPr="00742BED">
        <w:rPr>
          <w:rFonts w:ascii="Arial" w:eastAsia="Calibri" w:hAnsi="Arial" w:cs="Arial"/>
          <w:color w:val="000000" w:themeColor="text1"/>
          <w:sz w:val="22"/>
          <w:lang w:val="es-ES_tradnl"/>
        </w:rPr>
        <w:t xml:space="preserve"> y señala, en su lugar, que «Una vez resueltas las observaciones al informe de evaluación, la entidad adjudicará el contrato mediante acto administrativo al oferente que haya cumplido todos los requisitos exigidos en el pliego de condiciones y haya obtenido el mayor puntaje».</w:t>
      </w:r>
      <w:r w:rsidR="00DE2E9B" w:rsidRPr="00742BED">
        <w:rPr>
          <w:rFonts w:ascii="Arial" w:eastAsia="Calibri" w:hAnsi="Arial" w:cs="Arial"/>
          <w:color w:val="000000" w:themeColor="text1"/>
          <w:sz w:val="22"/>
          <w:lang w:val="es-ES_tradnl"/>
        </w:rPr>
        <w:t xml:space="preserve"> O sea que después de </w:t>
      </w:r>
      <w:r w:rsidR="00613746" w:rsidRPr="00742BED">
        <w:rPr>
          <w:rFonts w:ascii="Arial" w:eastAsia="Calibri" w:hAnsi="Arial" w:cs="Arial"/>
          <w:color w:val="000000" w:themeColor="text1"/>
          <w:sz w:val="22"/>
          <w:lang w:val="es-ES_tradnl"/>
        </w:rPr>
        <w:t xml:space="preserve">la respuesta a las observaciones del informe de evaluación ya la entidad estatal no debe </w:t>
      </w:r>
      <w:r w:rsidR="00931165" w:rsidRPr="00742BED">
        <w:rPr>
          <w:rFonts w:ascii="Arial" w:eastAsia="Calibri" w:hAnsi="Arial" w:cs="Arial"/>
          <w:color w:val="000000" w:themeColor="text1"/>
          <w:sz w:val="22"/>
          <w:lang w:val="es-ES_tradnl"/>
        </w:rPr>
        <w:t xml:space="preserve">revisar que la oferta económica sea acorde al presupuesto oficial –pues esto lo debió hacer </w:t>
      </w:r>
      <w:r w:rsidR="009F7ED3" w:rsidRPr="00742BED">
        <w:rPr>
          <w:rFonts w:ascii="Arial" w:eastAsia="Calibri" w:hAnsi="Arial" w:cs="Arial"/>
          <w:color w:val="000000" w:themeColor="text1"/>
          <w:sz w:val="22"/>
          <w:lang w:val="es-ES_tradnl"/>
        </w:rPr>
        <w:t xml:space="preserve">para elaborar el informe de evaluación– y tampoco debe proceder con una fase de «negociación» con </w:t>
      </w:r>
      <w:r w:rsidR="00E13234" w:rsidRPr="00742BED">
        <w:rPr>
          <w:rFonts w:ascii="Arial" w:eastAsia="Calibri" w:hAnsi="Arial" w:cs="Arial"/>
          <w:color w:val="000000" w:themeColor="text1"/>
          <w:sz w:val="22"/>
          <w:lang w:val="es-ES_tradnl"/>
        </w:rPr>
        <w:t>el</w:t>
      </w:r>
      <w:r w:rsidR="009F7ED3" w:rsidRPr="00742BED">
        <w:rPr>
          <w:rFonts w:ascii="Arial" w:eastAsia="Calibri" w:hAnsi="Arial" w:cs="Arial"/>
          <w:color w:val="000000" w:themeColor="text1"/>
          <w:sz w:val="22"/>
          <w:lang w:val="es-ES_tradnl"/>
        </w:rPr>
        <w:t xml:space="preserve"> oferente calificado en primer lugar</w:t>
      </w:r>
      <w:r w:rsidR="001620B3" w:rsidRPr="00742BED">
        <w:rPr>
          <w:rFonts w:ascii="Arial" w:eastAsia="Calibri" w:hAnsi="Arial" w:cs="Arial"/>
          <w:color w:val="000000" w:themeColor="text1"/>
          <w:sz w:val="22"/>
          <w:lang w:val="es-ES_tradnl"/>
        </w:rPr>
        <w:t xml:space="preserve"> sobre el valor y alcance del contrato, sino que debe proceder a la </w:t>
      </w:r>
      <w:r w:rsidR="00E80ADE" w:rsidRPr="00742BED">
        <w:rPr>
          <w:rFonts w:ascii="Arial" w:eastAsia="Calibri" w:hAnsi="Arial" w:cs="Arial"/>
          <w:color w:val="000000" w:themeColor="text1"/>
          <w:sz w:val="22"/>
          <w:lang w:val="es-ES_tradnl"/>
        </w:rPr>
        <w:t>adjudicación a quien haya presentado objetivamente la mejor ofert</w:t>
      </w:r>
      <w:r w:rsidR="00F905BE" w:rsidRPr="00742BED">
        <w:rPr>
          <w:rFonts w:ascii="Arial" w:eastAsia="Calibri" w:hAnsi="Arial" w:cs="Arial"/>
          <w:color w:val="000000" w:themeColor="text1"/>
          <w:sz w:val="22"/>
          <w:lang w:val="es-ES_tradnl"/>
        </w:rPr>
        <w:t>a, teniendo en cuenta todos los requisitos exigidos en el pliego de condiciones.</w:t>
      </w:r>
    </w:p>
    <w:p w14:paraId="64E4BE93" w14:textId="27396970" w:rsidR="00EE365D" w:rsidRPr="00742BED" w:rsidRDefault="00E806D9" w:rsidP="00521A91">
      <w:pPr>
        <w:spacing w:before="120" w:line="276" w:lineRule="auto"/>
        <w:ind w:firstLine="709"/>
        <w:jc w:val="both"/>
        <w:rPr>
          <w:rFonts w:ascii="Arial" w:eastAsia="Calibri" w:hAnsi="Arial" w:cs="Arial"/>
          <w:color w:val="000000" w:themeColor="text1"/>
          <w:sz w:val="22"/>
          <w:lang w:val="es-ES_tradnl"/>
        </w:rPr>
      </w:pPr>
      <w:r w:rsidRPr="00742BED">
        <w:rPr>
          <w:rFonts w:ascii="Arial" w:eastAsia="Calibri" w:hAnsi="Arial" w:cs="Arial"/>
          <w:color w:val="000000" w:themeColor="text1"/>
          <w:sz w:val="22"/>
          <w:lang w:val="es-ES_tradnl"/>
        </w:rPr>
        <w:t xml:space="preserve">iii) </w:t>
      </w:r>
      <w:r w:rsidR="005C1D8B" w:rsidRPr="00742BED">
        <w:rPr>
          <w:rFonts w:ascii="Arial" w:eastAsia="Calibri" w:hAnsi="Arial" w:cs="Arial"/>
          <w:color w:val="000000" w:themeColor="text1"/>
          <w:sz w:val="22"/>
          <w:lang w:val="es-ES_tradnl"/>
        </w:rPr>
        <w:t>C</w:t>
      </w:r>
      <w:r w:rsidRPr="00742BED">
        <w:rPr>
          <w:rFonts w:ascii="Arial" w:eastAsia="Calibri" w:hAnsi="Arial" w:cs="Arial"/>
          <w:color w:val="000000" w:themeColor="text1"/>
          <w:sz w:val="22"/>
          <w:lang w:val="es-ES_tradnl"/>
        </w:rPr>
        <w:t>omo el nuevo artículo 2.2.1.2.1.3.2. del Decreto 1082 de 2015, modificado por el artículo 2 del Decreto 399 de 2021</w:t>
      </w:r>
      <w:r w:rsidR="005C1D8B" w:rsidRPr="00742BED">
        <w:rPr>
          <w:rFonts w:ascii="Arial" w:eastAsia="Calibri" w:hAnsi="Arial" w:cs="Arial"/>
          <w:color w:val="000000" w:themeColor="text1"/>
          <w:sz w:val="22"/>
          <w:lang w:val="es-ES_tradnl"/>
        </w:rPr>
        <w:t>,</w:t>
      </w:r>
      <w:r w:rsidRPr="00742BED">
        <w:rPr>
          <w:rFonts w:ascii="Arial" w:eastAsia="Calibri" w:hAnsi="Arial" w:cs="Arial"/>
          <w:color w:val="000000" w:themeColor="text1"/>
          <w:sz w:val="22"/>
          <w:lang w:val="es-ES_tradnl"/>
        </w:rPr>
        <w:t xml:space="preserve"> ya no establece</w:t>
      </w:r>
      <w:r w:rsidR="005C1D8B" w:rsidRPr="00742BED">
        <w:rPr>
          <w:rFonts w:ascii="Arial" w:eastAsia="Calibri" w:hAnsi="Arial" w:cs="Arial"/>
          <w:color w:val="000000" w:themeColor="text1"/>
          <w:sz w:val="22"/>
          <w:lang w:val="es-ES_tradnl"/>
        </w:rPr>
        <w:t xml:space="preserve"> </w:t>
      </w:r>
      <w:r w:rsidR="00C033EC" w:rsidRPr="00742BED">
        <w:rPr>
          <w:rFonts w:ascii="Arial" w:eastAsia="Calibri" w:hAnsi="Arial" w:cs="Arial"/>
          <w:color w:val="000000" w:themeColor="text1"/>
          <w:sz w:val="22"/>
          <w:lang w:val="es-ES_tradnl"/>
        </w:rPr>
        <w:t>una</w:t>
      </w:r>
      <w:r w:rsidR="005C1D8B" w:rsidRPr="00742BED">
        <w:rPr>
          <w:rFonts w:ascii="Arial" w:eastAsia="Calibri" w:hAnsi="Arial" w:cs="Arial"/>
          <w:color w:val="000000" w:themeColor="text1"/>
          <w:sz w:val="22"/>
          <w:lang w:val="es-ES_tradnl"/>
        </w:rPr>
        <w:t xml:space="preserve"> fase </w:t>
      </w:r>
      <w:r w:rsidR="00C033EC" w:rsidRPr="00742BED">
        <w:rPr>
          <w:rFonts w:ascii="Arial" w:eastAsia="Calibri" w:hAnsi="Arial" w:cs="Arial"/>
          <w:color w:val="000000" w:themeColor="text1"/>
          <w:sz w:val="22"/>
          <w:lang w:val="es-ES_tradnl"/>
        </w:rPr>
        <w:t>de negociación</w:t>
      </w:r>
      <w:r w:rsidR="005C1D8B" w:rsidRPr="00742BED">
        <w:rPr>
          <w:rFonts w:ascii="Arial" w:eastAsia="Calibri" w:hAnsi="Arial" w:cs="Arial"/>
          <w:color w:val="000000" w:themeColor="text1"/>
          <w:sz w:val="22"/>
          <w:lang w:val="es-ES_tradnl"/>
        </w:rPr>
        <w:t xml:space="preserve"> entre la entidad estatal y el oferente calificado en el primer lugar de elegibilidad, por sustracción de materia</w:t>
      </w:r>
      <w:r w:rsidR="00023FC9" w:rsidRPr="00742BED">
        <w:rPr>
          <w:rFonts w:ascii="Arial" w:eastAsia="Calibri" w:hAnsi="Arial" w:cs="Arial"/>
          <w:color w:val="000000" w:themeColor="text1"/>
          <w:sz w:val="22"/>
          <w:lang w:val="es-ES_tradnl"/>
        </w:rPr>
        <w:t>,</w:t>
      </w:r>
      <w:r w:rsidR="005C1D8B" w:rsidRPr="00742BED">
        <w:rPr>
          <w:rFonts w:ascii="Arial" w:eastAsia="Calibri" w:hAnsi="Arial" w:cs="Arial"/>
          <w:color w:val="000000" w:themeColor="text1"/>
          <w:sz w:val="22"/>
          <w:lang w:val="es-ES_tradnl"/>
        </w:rPr>
        <w:t xml:space="preserve"> </w:t>
      </w:r>
      <w:r w:rsidR="00023FC9" w:rsidRPr="00742BED">
        <w:rPr>
          <w:rFonts w:ascii="Arial" w:eastAsia="Calibri" w:hAnsi="Arial" w:cs="Arial"/>
          <w:color w:val="000000" w:themeColor="text1"/>
          <w:sz w:val="22"/>
          <w:lang w:val="es-ES_tradnl"/>
        </w:rPr>
        <w:t xml:space="preserve">la entidad estatal </w:t>
      </w:r>
      <w:r w:rsidR="005C1D8B" w:rsidRPr="00742BED">
        <w:rPr>
          <w:rFonts w:ascii="Arial" w:eastAsia="Calibri" w:hAnsi="Arial" w:cs="Arial"/>
          <w:color w:val="000000" w:themeColor="text1"/>
          <w:sz w:val="22"/>
          <w:lang w:val="es-ES_tradnl"/>
        </w:rPr>
        <w:t xml:space="preserve">tampoco </w:t>
      </w:r>
      <w:r w:rsidR="00C033EC" w:rsidRPr="00742BED">
        <w:rPr>
          <w:rFonts w:ascii="Arial" w:eastAsia="Calibri" w:hAnsi="Arial" w:cs="Arial"/>
          <w:color w:val="000000" w:themeColor="text1"/>
          <w:sz w:val="22"/>
          <w:lang w:val="es-ES_tradnl"/>
        </w:rPr>
        <w:t xml:space="preserve">debe intentar un acuerdo con el oferente </w:t>
      </w:r>
      <w:r w:rsidR="00FF25D7" w:rsidRPr="00742BED">
        <w:rPr>
          <w:rFonts w:ascii="Arial" w:eastAsia="Calibri" w:hAnsi="Arial" w:cs="Arial"/>
          <w:color w:val="000000" w:themeColor="text1"/>
          <w:sz w:val="22"/>
          <w:lang w:val="es-ES_tradnl"/>
        </w:rPr>
        <w:t xml:space="preserve">calificado en </w:t>
      </w:r>
      <w:r w:rsidR="00FF25D7" w:rsidRPr="00742BED">
        <w:rPr>
          <w:rFonts w:ascii="Arial" w:eastAsia="Calibri" w:hAnsi="Arial" w:cs="Arial"/>
          <w:color w:val="000000" w:themeColor="text1"/>
          <w:sz w:val="22"/>
          <w:lang w:val="es-ES_tradnl"/>
        </w:rPr>
        <w:lastRenderedPageBreak/>
        <w:t>el segundo orden de elegibilidad</w:t>
      </w:r>
      <w:r w:rsidR="00D9502A" w:rsidRPr="00742BED">
        <w:rPr>
          <w:rFonts w:ascii="Arial" w:eastAsia="Calibri" w:hAnsi="Arial" w:cs="Arial"/>
          <w:color w:val="000000" w:themeColor="text1"/>
          <w:sz w:val="22"/>
          <w:lang w:val="es-ES_tradnl"/>
        </w:rPr>
        <w:t>,</w:t>
      </w:r>
      <w:r w:rsidR="00FF25D7" w:rsidRPr="00742BED">
        <w:rPr>
          <w:rFonts w:ascii="Arial" w:eastAsia="Calibri" w:hAnsi="Arial" w:cs="Arial"/>
          <w:color w:val="000000" w:themeColor="text1"/>
          <w:sz w:val="22"/>
          <w:lang w:val="es-ES_tradnl"/>
        </w:rPr>
        <w:t xml:space="preserve"> ni puede ampararse en el carácter fallido de dicho acuerdo para declarar desierto el proceso de selección.</w:t>
      </w:r>
    </w:p>
    <w:p w14:paraId="3C919BB3" w14:textId="4357DB00" w:rsidR="00BB15EE" w:rsidRPr="00742BED" w:rsidRDefault="00EE365D" w:rsidP="00BB15EE">
      <w:pPr>
        <w:spacing w:before="120" w:line="276" w:lineRule="auto"/>
        <w:ind w:firstLine="709"/>
        <w:jc w:val="both"/>
        <w:rPr>
          <w:rFonts w:ascii="Arial" w:eastAsia="Calibri" w:hAnsi="Arial" w:cs="Arial"/>
          <w:color w:val="000000" w:themeColor="text1"/>
          <w:sz w:val="22"/>
          <w:lang w:val="es-ES_tradnl"/>
        </w:rPr>
      </w:pPr>
      <w:r w:rsidRPr="00742BED">
        <w:rPr>
          <w:rFonts w:ascii="Arial" w:eastAsia="Calibri" w:hAnsi="Arial" w:cs="Arial"/>
          <w:color w:val="000000" w:themeColor="text1"/>
          <w:sz w:val="22"/>
          <w:lang w:val="es-ES_tradnl"/>
        </w:rPr>
        <w:t>Un aspecto igualmente importante</w:t>
      </w:r>
      <w:r w:rsidR="008F698E" w:rsidRPr="00742BED">
        <w:rPr>
          <w:rFonts w:ascii="Arial" w:eastAsia="Calibri" w:hAnsi="Arial" w:cs="Arial"/>
          <w:color w:val="000000" w:themeColor="text1"/>
          <w:sz w:val="22"/>
          <w:lang w:val="es-ES_tradnl"/>
        </w:rPr>
        <w:t xml:space="preserve"> que introduce el Decreto 399 de 2021</w:t>
      </w:r>
      <w:r w:rsidR="000450D0" w:rsidRPr="00742BED">
        <w:rPr>
          <w:rFonts w:ascii="Arial" w:eastAsia="Calibri" w:hAnsi="Arial" w:cs="Arial"/>
          <w:color w:val="000000" w:themeColor="text1"/>
          <w:sz w:val="22"/>
          <w:lang w:val="es-ES_tradnl"/>
        </w:rPr>
        <w:t xml:space="preserve"> y que incide sobre el trámite del concurso de méritos,</w:t>
      </w:r>
      <w:r w:rsidR="008F698E" w:rsidRPr="00742BED">
        <w:rPr>
          <w:rFonts w:ascii="Arial" w:eastAsia="Calibri" w:hAnsi="Arial" w:cs="Arial"/>
          <w:color w:val="000000" w:themeColor="text1"/>
          <w:sz w:val="22"/>
          <w:lang w:val="es-ES_tradnl"/>
        </w:rPr>
        <w:t xml:space="preserve"> tiene que ver con</w:t>
      </w:r>
      <w:r w:rsidR="007C1CFF" w:rsidRPr="00742BED">
        <w:rPr>
          <w:rFonts w:ascii="Arial" w:eastAsia="Calibri" w:hAnsi="Arial" w:cs="Arial"/>
          <w:color w:val="000000" w:themeColor="text1"/>
          <w:sz w:val="22"/>
          <w:lang w:val="es-ES_tradnl"/>
        </w:rPr>
        <w:t xml:space="preserve"> el contenido de los estudios y documentos previos que soportan el proceso de contratación.</w:t>
      </w:r>
      <w:r w:rsidR="00845523" w:rsidRPr="00742BED">
        <w:rPr>
          <w:rFonts w:ascii="Arial" w:eastAsia="Calibri" w:hAnsi="Arial" w:cs="Arial"/>
          <w:color w:val="000000" w:themeColor="text1"/>
          <w:sz w:val="22"/>
          <w:lang w:val="es-ES_tradnl"/>
        </w:rPr>
        <w:t xml:space="preserve"> Recuérdese que el numeral 4 del artículo 2.2.1.1.2.1.1. del Decreto 1082 de 2015 establecía que </w:t>
      </w:r>
      <w:r w:rsidR="000B5EE5" w:rsidRPr="00742BED">
        <w:rPr>
          <w:rFonts w:ascii="Arial" w:eastAsia="Calibri" w:hAnsi="Arial" w:cs="Arial"/>
          <w:color w:val="000000" w:themeColor="text1"/>
          <w:sz w:val="22"/>
          <w:lang w:val="es-ES_tradnl"/>
        </w:rPr>
        <w:t xml:space="preserve">la entidad estatal no debía </w:t>
      </w:r>
      <w:r w:rsidR="006572DA" w:rsidRPr="00742BED">
        <w:rPr>
          <w:rFonts w:ascii="Arial" w:eastAsia="Calibri" w:hAnsi="Arial" w:cs="Arial"/>
          <w:color w:val="000000" w:themeColor="text1"/>
          <w:sz w:val="22"/>
          <w:lang w:val="es-ES_tradnl"/>
        </w:rPr>
        <w:t>«[…] publicar las variables utilizadas para calcular el valor estimado del contrato cuando la modalidad de selección del contratista sea en concurso de méritos».</w:t>
      </w:r>
      <w:r w:rsidR="00E45F35" w:rsidRPr="00742BED">
        <w:rPr>
          <w:rFonts w:ascii="Arial" w:eastAsia="Calibri" w:hAnsi="Arial" w:cs="Arial"/>
          <w:color w:val="000000" w:themeColor="text1"/>
          <w:sz w:val="22"/>
          <w:lang w:val="es-ES_tradnl"/>
        </w:rPr>
        <w:t xml:space="preserve"> Pues bien, </w:t>
      </w:r>
      <w:r w:rsidR="009F60AF" w:rsidRPr="00742BED">
        <w:rPr>
          <w:rFonts w:ascii="Arial" w:eastAsia="Calibri" w:hAnsi="Arial" w:cs="Arial"/>
          <w:color w:val="000000" w:themeColor="text1"/>
          <w:sz w:val="22"/>
          <w:lang w:val="es-ES_tradnl"/>
        </w:rPr>
        <w:t xml:space="preserve">el artículo </w:t>
      </w:r>
      <w:r w:rsidR="00E72791" w:rsidRPr="00742BED">
        <w:rPr>
          <w:rFonts w:ascii="Arial" w:eastAsia="Calibri" w:hAnsi="Arial" w:cs="Arial"/>
          <w:color w:val="000000" w:themeColor="text1"/>
          <w:sz w:val="22"/>
          <w:lang w:val="es-ES_tradnl"/>
        </w:rPr>
        <w:t>1 del Decreto 399 de 2021 elimina esta prohibición, para garantizar que los interesados conozcan la información relacionada con el valor estimado del contrato en los concursos de méritos y</w:t>
      </w:r>
      <w:r w:rsidR="005B6F69" w:rsidRPr="00742BED">
        <w:rPr>
          <w:rFonts w:ascii="Arial" w:eastAsia="Calibri" w:hAnsi="Arial" w:cs="Arial"/>
          <w:color w:val="000000" w:themeColor="text1"/>
          <w:sz w:val="22"/>
          <w:lang w:val="es-ES_tradnl"/>
        </w:rPr>
        <w:t xml:space="preserve"> potenciar la garantía </w:t>
      </w:r>
      <w:r w:rsidR="000C0933" w:rsidRPr="00742BED">
        <w:rPr>
          <w:rFonts w:ascii="Arial" w:eastAsia="Calibri" w:hAnsi="Arial" w:cs="Arial"/>
          <w:color w:val="000000" w:themeColor="text1"/>
          <w:sz w:val="22"/>
          <w:lang w:val="es-ES_tradnl"/>
        </w:rPr>
        <w:t>de los</w:t>
      </w:r>
      <w:r w:rsidR="005B6F69" w:rsidRPr="00742BED">
        <w:rPr>
          <w:rFonts w:ascii="Arial" w:eastAsia="Calibri" w:hAnsi="Arial" w:cs="Arial"/>
          <w:color w:val="000000" w:themeColor="text1"/>
          <w:sz w:val="22"/>
          <w:lang w:val="es-ES_tradnl"/>
        </w:rPr>
        <w:t xml:space="preserve"> principio</w:t>
      </w:r>
      <w:r w:rsidR="000C0933" w:rsidRPr="00742BED">
        <w:rPr>
          <w:rFonts w:ascii="Arial" w:eastAsia="Calibri" w:hAnsi="Arial" w:cs="Arial"/>
          <w:color w:val="000000" w:themeColor="text1"/>
          <w:sz w:val="22"/>
          <w:lang w:val="es-ES_tradnl"/>
        </w:rPr>
        <w:t>s</w:t>
      </w:r>
      <w:r w:rsidR="005B6F69" w:rsidRPr="00742BED">
        <w:rPr>
          <w:rFonts w:ascii="Arial" w:eastAsia="Calibri" w:hAnsi="Arial" w:cs="Arial"/>
          <w:color w:val="000000" w:themeColor="text1"/>
          <w:sz w:val="22"/>
          <w:lang w:val="es-ES_tradnl"/>
        </w:rPr>
        <w:t xml:space="preserve"> de </w:t>
      </w:r>
      <w:r w:rsidR="000C0933" w:rsidRPr="00742BED">
        <w:rPr>
          <w:rFonts w:ascii="Arial" w:eastAsia="Calibri" w:hAnsi="Arial" w:cs="Arial"/>
          <w:color w:val="000000" w:themeColor="text1"/>
          <w:sz w:val="22"/>
          <w:lang w:val="es-ES_tradnl"/>
        </w:rPr>
        <w:t xml:space="preserve">publicidad y </w:t>
      </w:r>
      <w:r w:rsidR="005B6F69" w:rsidRPr="00742BED">
        <w:rPr>
          <w:rFonts w:ascii="Arial" w:eastAsia="Calibri" w:hAnsi="Arial" w:cs="Arial"/>
          <w:color w:val="000000" w:themeColor="text1"/>
          <w:sz w:val="22"/>
          <w:lang w:val="es-ES_tradnl"/>
        </w:rPr>
        <w:t xml:space="preserve">transparencia. En efecto, así lo justifica el gobierno nacional en las consideraciones </w:t>
      </w:r>
      <w:r w:rsidR="00BB15EE" w:rsidRPr="00742BED">
        <w:rPr>
          <w:rFonts w:ascii="Arial" w:eastAsia="Calibri" w:hAnsi="Arial" w:cs="Arial"/>
          <w:color w:val="000000" w:themeColor="text1"/>
          <w:sz w:val="22"/>
          <w:lang w:val="es-ES_tradnl"/>
        </w:rPr>
        <w:t xml:space="preserve">de dicho Decreto: </w:t>
      </w:r>
    </w:p>
    <w:p w14:paraId="41ABA02D" w14:textId="77777777" w:rsidR="00BB15EE" w:rsidRPr="00742BED" w:rsidRDefault="00BB15EE" w:rsidP="00BB15EE">
      <w:pPr>
        <w:shd w:val="clear" w:color="auto" w:fill="FFFFFF"/>
        <w:ind w:left="709" w:right="709"/>
        <w:jc w:val="both"/>
        <w:rPr>
          <w:rFonts w:ascii="Arial" w:hAnsi="Arial" w:cs="Arial"/>
          <w:color w:val="000000" w:themeColor="text1"/>
          <w:sz w:val="21"/>
          <w:szCs w:val="21"/>
          <w:lang w:val="es-ES_tradnl"/>
        </w:rPr>
      </w:pPr>
    </w:p>
    <w:p w14:paraId="288C55CB" w14:textId="44851CB8" w:rsidR="00BB15EE" w:rsidRPr="00742BED" w:rsidRDefault="00BB15EE" w:rsidP="00BB15EE">
      <w:pPr>
        <w:shd w:val="clear" w:color="auto" w:fill="FFFFFF"/>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Que en consideración a la importancia de conocer los valores y criterios utilizados por las entidades estatales que sirvan de soporte para definir el valor estimado del contrato en la modalidad de selección de concurso de méritos, y ante la inexistencia de una reserva legal de esta información, es necesario eliminar la restricción respecto al deber de publicación de dichos análisis.</w:t>
      </w:r>
    </w:p>
    <w:p w14:paraId="2AC41C06" w14:textId="77777777" w:rsidR="00BB15EE" w:rsidRPr="00742BED" w:rsidRDefault="00BB15EE" w:rsidP="00BB15EE">
      <w:pPr>
        <w:shd w:val="clear" w:color="auto" w:fill="FFFFFF"/>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 </w:t>
      </w:r>
    </w:p>
    <w:p w14:paraId="61BCEA8C" w14:textId="15A47CB1" w:rsidR="00DB244B" w:rsidRPr="00742BED" w:rsidRDefault="00BB15EE" w:rsidP="00691A1A">
      <w:pPr>
        <w:shd w:val="clear" w:color="auto" w:fill="FFFFFF"/>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Que se considera conveniente dar publicidad a la forma como se calcula el valor del contrato en los concursos de méritos, con la finalidad de garantizar al máximo los principios de publicidad y transparencia. Además, para que los interesados, de conformidad con el artículo 8 de la Ley 1150 de 2007, puedan realizar observaciones al proyecto de pliego de condiciones, que debe incluir el valor estimado del contrato.</w:t>
      </w:r>
      <w:r w:rsidR="000B5EE5" w:rsidRPr="00742BED">
        <w:rPr>
          <w:rFonts w:ascii="Arial" w:eastAsia="Calibri" w:hAnsi="Arial" w:cs="Arial"/>
          <w:color w:val="000000" w:themeColor="text1"/>
          <w:sz w:val="22"/>
          <w:lang w:val="es-ES_tradnl"/>
        </w:rPr>
        <w:t xml:space="preserve"> </w:t>
      </w:r>
      <w:r w:rsidR="008F698E" w:rsidRPr="00742BED">
        <w:rPr>
          <w:rFonts w:ascii="Arial" w:eastAsia="Calibri" w:hAnsi="Arial" w:cs="Arial"/>
          <w:color w:val="000000" w:themeColor="text1"/>
          <w:sz w:val="22"/>
          <w:lang w:val="es-ES_tradnl"/>
        </w:rPr>
        <w:t xml:space="preserve"> </w:t>
      </w:r>
    </w:p>
    <w:p w14:paraId="3E356215" w14:textId="77777777" w:rsidR="00691A1A" w:rsidRPr="00742BED" w:rsidRDefault="00691A1A" w:rsidP="00691A1A">
      <w:pPr>
        <w:spacing w:line="276" w:lineRule="auto"/>
        <w:ind w:firstLine="709"/>
        <w:jc w:val="both"/>
        <w:rPr>
          <w:rFonts w:ascii="Arial" w:eastAsia="Calibri" w:hAnsi="Arial" w:cs="Arial"/>
          <w:color w:val="000000" w:themeColor="text1"/>
          <w:sz w:val="22"/>
          <w:lang w:val="es-ES_tradnl"/>
        </w:rPr>
      </w:pPr>
    </w:p>
    <w:p w14:paraId="501431F0" w14:textId="3983951C" w:rsidR="00CE24D3" w:rsidRPr="00742BED" w:rsidRDefault="002041DD" w:rsidP="00DA1863">
      <w:pPr>
        <w:spacing w:line="276" w:lineRule="auto"/>
        <w:ind w:firstLine="709"/>
        <w:jc w:val="both"/>
        <w:rPr>
          <w:rFonts w:ascii="Arial" w:eastAsia="Calibri" w:hAnsi="Arial" w:cs="Arial"/>
          <w:color w:val="000000" w:themeColor="text1"/>
          <w:sz w:val="22"/>
          <w:lang w:val="es-ES_tradnl"/>
        </w:rPr>
      </w:pPr>
      <w:r w:rsidRPr="00742BED">
        <w:rPr>
          <w:rFonts w:ascii="Arial" w:eastAsia="Calibri" w:hAnsi="Arial" w:cs="Arial"/>
          <w:color w:val="000000" w:themeColor="text1"/>
          <w:sz w:val="22"/>
          <w:lang w:val="es-ES_tradnl"/>
        </w:rPr>
        <w:t>Por lo tanto, a partir de la entrada en vigencia del Decreto 399 de 2021</w:t>
      </w:r>
      <w:r w:rsidR="00DE2C0C" w:rsidRPr="00742BED">
        <w:rPr>
          <w:rFonts w:ascii="Arial" w:eastAsia="Calibri" w:hAnsi="Arial" w:cs="Arial"/>
          <w:color w:val="000000" w:themeColor="text1"/>
          <w:sz w:val="22"/>
          <w:lang w:val="es-ES_tradnl"/>
        </w:rPr>
        <w:t>, las entidades estatales deben incluir en los estudios previos</w:t>
      </w:r>
      <w:r w:rsidR="008D3BF8" w:rsidRPr="00742BED">
        <w:rPr>
          <w:rFonts w:ascii="Arial" w:eastAsia="Calibri" w:hAnsi="Arial" w:cs="Arial"/>
          <w:color w:val="000000" w:themeColor="text1"/>
          <w:sz w:val="22"/>
          <w:lang w:val="es-ES_tradnl"/>
        </w:rPr>
        <w:t xml:space="preserve"> del concurso de méritos </w:t>
      </w:r>
      <w:r w:rsidR="00F00EDC" w:rsidRPr="00742BED">
        <w:rPr>
          <w:rFonts w:ascii="Arial" w:eastAsia="Calibri" w:hAnsi="Arial" w:cs="Arial"/>
          <w:color w:val="000000" w:themeColor="text1"/>
          <w:sz w:val="22"/>
          <w:lang w:val="es-ES_tradnl"/>
        </w:rPr>
        <w:t xml:space="preserve">la información correspondiente </w:t>
      </w:r>
      <w:r w:rsidR="00F23069" w:rsidRPr="00742BED">
        <w:rPr>
          <w:rFonts w:ascii="Arial" w:eastAsia="Calibri" w:hAnsi="Arial" w:cs="Arial"/>
          <w:color w:val="000000" w:themeColor="text1"/>
          <w:sz w:val="22"/>
          <w:lang w:val="es-ES_tradnl"/>
        </w:rPr>
        <w:t>a las variables empleadas para calcular el valor estimado del contrato</w:t>
      </w:r>
      <w:r w:rsidR="00A53EAB" w:rsidRPr="00742BED">
        <w:rPr>
          <w:rFonts w:ascii="Arial" w:eastAsia="Calibri" w:hAnsi="Arial" w:cs="Arial"/>
          <w:color w:val="000000" w:themeColor="text1"/>
          <w:sz w:val="22"/>
          <w:lang w:val="es-ES_tradnl"/>
        </w:rPr>
        <w:t>, determinando así el presupuesto oficial</w:t>
      </w:r>
      <w:r w:rsidR="00FF0EC4" w:rsidRPr="00742BED">
        <w:rPr>
          <w:rFonts w:ascii="Arial" w:eastAsia="Calibri" w:hAnsi="Arial" w:cs="Arial"/>
          <w:color w:val="000000" w:themeColor="text1"/>
          <w:sz w:val="22"/>
          <w:lang w:val="es-ES_tradnl"/>
        </w:rPr>
        <w:t>.</w:t>
      </w:r>
      <w:r w:rsidR="00E34376" w:rsidRPr="00742BED">
        <w:rPr>
          <w:rFonts w:ascii="Arial" w:eastAsia="Calibri" w:hAnsi="Arial" w:cs="Arial"/>
          <w:color w:val="000000" w:themeColor="text1"/>
          <w:sz w:val="22"/>
          <w:lang w:val="es-ES_tradnl"/>
        </w:rPr>
        <w:t xml:space="preserve"> </w:t>
      </w:r>
      <w:r w:rsidR="00FF0EC4" w:rsidRPr="00742BED">
        <w:rPr>
          <w:rFonts w:ascii="Arial" w:eastAsia="Calibri" w:hAnsi="Arial" w:cs="Arial"/>
          <w:color w:val="000000" w:themeColor="text1"/>
          <w:sz w:val="22"/>
          <w:lang w:val="es-ES_tradnl"/>
        </w:rPr>
        <w:t xml:space="preserve">Además, </w:t>
      </w:r>
      <w:r w:rsidR="00E34376" w:rsidRPr="00742BED">
        <w:rPr>
          <w:rFonts w:ascii="Arial" w:eastAsia="Calibri" w:hAnsi="Arial" w:cs="Arial"/>
          <w:color w:val="000000" w:themeColor="text1"/>
          <w:sz w:val="22"/>
          <w:lang w:val="es-ES_tradnl"/>
        </w:rPr>
        <w:t>los interesados pueden formular observaciones al proyecto de pliego de condiciones sobre este tema.</w:t>
      </w:r>
      <w:r w:rsidR="00E70412" w:rsidRPr="00742BED">
        <w:rPr>
          <w:rFonts w:ascii="Arial" w:eastAsia="Calibri" w:hAnsi="Arial" w:cs="Arial"/>
          <w:color w:val="000000" w:themeColor="text1"/>
          <w:sz w:val="22"/>
          <w:lang w:val="es-ES_tradnl"/>
        </w:rPr>
        <w:t xml:space="preserve"> </w:t>
      </w:r>
      <w:r w:rsidR="00E34376" w:rsidRPr="00742BED">
        <w:rPr>
          <w:rFonts w:ascii="Arial" w:eastAsia="Calibri" w:hAnsi="Arial" w:cs="Arial"/>
          <w:color w:val="000000" w:themeColor="text1"/>
          <w:sz w:val="22"/>
          <w:lang w:val="es-ES_tradnl"/>
        </w:rPr>
        <w:t xml:space="preserve">Adicionalmente, </w:t>
      </w:r>
      <w:r w:rsidR="00C518CF" w:rsidRPr="00742BED">
        <w:rPr>
          <w:rFonts w:ascii="Arial" w:eastAsia="Calibri" w:hAnsi="Arial" w:cs="Arial"/>
          <w:color w:val="000000" w:themeColor="text1"/>
          <w:sz w:val="22"/>
          <w:lang w:val="es-ES_tradnl"/>
        </w:rPr>
        <w:t xml:space="preserve">en el pliego de condiciones deben establecerse con claridad los requisitos habilitantes y criterios de </w:t>
      </w:r>
      <w:r w:rsidR="00BF0F20" w:rsidRPr="00742BED">
        <w:rPr>
          <w:rFonts w:ascii="Arial" w:eastAsia="Calibri" w:hAnsi="Arial" w:cs="Arial"/>
          <w:color w:val="000000" w:themeColor="text1"/>
          <w:sz w:val="22"/>
          <w:lang w:val="es-ES_tradnl"/>
        </w:rPr>
        <w:t>calificación</w:t>
      </w:r>
      <w:r w:rsidR="00067AA8" w:rsidRPr="00742BED">
        <w:rPr>
          <w:rFonts w:ascii="Arial" w:eastAsia="Calibri" w:hAnsi="Arial" w:cs="Arial"/>
          <w:color w:val="000000" w:themeColor="text1"/>
          <w:sz w:val="22"/>
          <w:lang w:val="es-ES_tradnl"/>
        </w:rPr>
        <w:t xml:space="preserve"> con fundament</w:t>
      </w:r>
      <w:r w:rsidR="00BF0F20" w:rsidRPr="00742BED">
        <w:rPr>
          <w:rFonts w:ascii="Arial" w:eastAsia="Calibri" w:hAnsi="Arial" w:cs="Arial"/>
          <w:color w:val="000000" w:themeColor="text1"/>
          <w:sz w:val="22"/>
          <w:lang w:val="es-ES_tradnl"/>
        </w:rPr>
        <w:t>o en los cuales la entidad estatal elaborará el informe de evaluación respectivo.</w:t>
      </w:r>
      <w:r w:rsidR="00275CBF" w:rsidRPr="00742BED">
        <w:rPr>
          <w:rFonts w:ascii="Arial" w:eastAsia="Calibri" w:hAnsi="Arial" w:cs="Arial"/>
          <w:color w:val="000000" w:themeColor="text1"/>
          <w:sz w:val="22"/>
          <w:lang w:val="es-ES_tradnl"/>
        </w:rPr>
        <w:t xml:space="preserve"> Al respecto</w:t>
      </w:r>
      <w:r w:rsidR="00D753E7" w:rsidRPr="00742BED">
        <w:rPr>
          <w:rFonts w:ascii="Arial" w:eastAsia="Calibri" w:hAnsi="Arial" w:cs="Arial"/>
          <w:color w:val="000000" w:themeColor="text1"/>
          <w:sz w:val="22"/>
          <w:lang w:val="es-ES_tradnl"/>
        </w:rPr>
        <w:t xml:space="preserve">, </w:t>
      </w:r>
      <w:r w:rsidR="00780D19" w:rsidRPr="00742BED">
        <w:rPr>
          <w:rFonts w:ascii="Arial" w:eastAsia="Calibri" w:hAnsi="Arial" w:cs="Arial"/>
          <w:color w:val="000000" w:themeColor="text1"/>
          <w:sz w:val="22"/>
          <w:lang w:val="es-ES_tradnl"/>
        </w:rPr>
        <w:t>se aclara que</w:t>
      </w:r>
      <w:r w:rsidR="00D753E7" w:rsidRPr="00742BED">
        <w:rPr>
          <w:rFonts w:ascii="Arial" w:eastAsia="Calibri" w:hAnsi="Arial" w:cs="Arial"/>
          <w:color w:val="000000" w:themeColor="text1"/>
          <w:sz w:val="22"/>
          <w:lang w:val="es-ES_tradnl"/>
        </w:rPr>
        <w:t xml:space="preserve"> </w:t>
      </w:r>
      <w:r w:rsidR="00275CBF" w:rsidRPr="00742BED">
        <w:rPr>
          <w:rFonts w:ascii="Arial" w:eastAsia="Calibri" w:hAnsi="Arial" w:cs="Arial"/>
          <w:color w:val="000000" w:themeColor="text1"/>
          <w:sz w:val="22"/>
          <w:lang w:val="es-ES_tradnl"/>
        </w:rPr>
        <w:t>el</w:t>
      </w:r>
      <w:r w:rsidR="00780D19" w:rsidRPr="00742BED">
        <w:rPr>
          <w:rFonts w:ascii="Arial" w:eastAsia="Calibri" w:hAnsi="Arial" w:cs="Arial"/>
          <w:color w:val="000000" w:themeColor="text1"/>
          <w:sz w:val="22"/>
          <w:lang w:val="es-ES_tradnl"/>
        </w:rPr>
        <w:t xml:space="preserve"> Decreto 399 de 2021 en ningún caso</w:t>
      </w:r>
      <w:r w:rsidR="002530A0" w:rsidRPr="00742BED">
        <w:rPr>
          <w:rFonts w:ascii="Arial" w:eastAsia="Calibri" w:hAnsi="Arial" w:cs="Arial"/>
          <w:color w:val="000000" w:themeColor="text1"/>
          <w:sz w:val="22"/>
          <w:lang w:val="es-ES_tradnl"/>
        </w:rPr>
        <w:t xml:space="preserve"> contradice lo establecido en el</w:t>
      </w:r>
      <w:r w:rsidR="00275CBF" w:rsidRPr="00742BED">
        <w:rPr>
          <w:rFonts w:ascii="Arial" w:eastAsia="Calibri" w:hAnsi="Arial" w:cs="Arial"/>
          <w:color w:val="000000" w:themeColor="text1"/>
          <w:sz w:val="22"/>
          <w:lang w:val="es-ES_tradnl"/>
        </w:rPr>
        <w:t xml:space="preserve"> artículo 5, numeral 4</w:t>
      </w:r>
      <w:r w:rsidR="002530A0" w:rsidRPr="00742BED">
        <w:rPr>
          <w:rFonts w:ascii="Arial" w:eastAsia="Calibri" w:hAnsi="Arial" w:cs="Arial"/>
          <w:color w:val="000000" w:themeColor="text1"/>
          <w:sz w:val="22"/>
          <w:lang w:val="es-ES_tradnl"/>
        </w:rPr>
        <w:t>, de la Ley 1150 de 2007</w:t>
      </w:r>
      <w:r w:rsidR="00FF0EC4" w:rsidRPr="00742BED">
        <w:rPr>
          <w:rFonts w:ascii="Arial" w:eastAsia="Calibri" w:hAnsi="Arial" w:cs="Arial"/>
          <w:color w:val="000000" w:themeColor="text1"/>
          <w:sz w:val="22"/>
          <w:lang w:val="es-ES_tradnl"/>
        </w:rPr>
        <w:t>;</w:t>
      </w:r>
      <w:r w:rsidR="002530A0" w:rsidRPr="00742BED">
        <w:rPr>
          <w:rFonts w:ascii="Arial" w:eastAsia="Calibri" w:hAnsi="Arial" w:cs="Arial"/>
          <w:color w:val="000000" w:themeColor="text1"/>
          <w:sz w:val="22"/>
          <w:lang w:val="es-ES_tradnl"/>
        </w:rPr>
        <w:t xml:space="preserve"> </w:t>
      </w:r>
      <w:r w:rsidR="001935FF" w:rsidRPr="00742BED">
        <w:rPr>
          <w:rFonts w:ascii="Arial" w:eastAsia="Calibri" w:hAnsi="Arial" w:cs="Arial"/>
          <w:color w:val="000000" w:themeColor="text1"/>
          <w:sz w:val="22"/>
          <w:lang w:val="es-ES_tradnl"/>
        </w:rPr>
        <w:t xml:space="preserve">norma que dispone que «En los procesos para la selección de consultores se hará uso de factores de calificación destinados a valorar los aspectos técnicos de la oferta o proyecto […]» y que </w:t>
      </w:r>
      <w:r w:rsidR="00DA1863" w:rsidRPr="00742BED">
        <w:rPr>
          <w:rFonts w:ascii="Arial" w:eastAsia="Calibri" w:hAnsi="Arial" w:cs="Arial"/>
          <w:color w:val="000000" w:themeColor="text1"/>
          <w:sz w:val="22"/>
          <w:lang w:val="es-ES_tradnl"/>
        </w:rPr>
        <w:t>«En ningún caso se podrá incluir el precio, como factor de escogencia para la selección de consultores».</w:t>
      </w:r>
      <w:r w:rsidR="00976256" w:rsidRPr="00742BED">
        <w:rPr>
          <w:rFonts w:ascii="Arial" w:eastAsia="Calibri" w:hAnsi="Arial" w:cs="Arial"/>
          <w:color w:val="000000" w:themeColor="text1"/>
          <w:sz w:val="22"/>
          <w:lang w:val="es-ES_tradnl"/>
        </w:rPr>
        <w:t xml:space="preserve"> El hecho de que desaparezca la etapa en la cual la entidad estatal </w:t>
      </w:r>
      <w:r w:rsidR="0048757F" w:rsidRPr="00742BED">
        <w:rPr>
          <w:rFonts w:ascii="Arial" w:eastAsia="Calibri" w:hAnsi="Arial" w:cs="Arial"/>
          <w:color w:val="000000" w:themeColor="text1"/>
          <w:sz w:val="22"/>
          <w:lang w:val="es-ES_tradnl"/>
        </w:rPr>
        <w:t>debía intentar</w:t>
      </w:r>
      <w:r w:rsidR="00976256" w:rsidRPr="00742BED">
        <w:rPr>
          <w:rFonts w:ascii="Arial" w:eastAsia="Calibri" w:hAnsi="Arial" w:cs="Arial"/>
          <w:color w:val="000000" w:themeColor="text1"/>
          <w:sz w:val="22"/>
          <w:lang w:val="es-ES_tradnl"/>
        </w:rPr>
        <w:t xml:space="preserve"> un acuerdo sobre el</w:t>
      </w:r>
      <w:r w:rsidR="0048757F" w:rsidRPr="00742BED">
        <w:rPr>
          <w:rFonts w:ascii="Arial" w:eastAsia="Calibri" w:hAnsi="Arial" w:cs="Arial"/>
          <w:color w:val="000000" w:themeColor="text1"/>
          <w:sz w:val="22"/>
          <w:lang w:val="es-ES_tradnl"/>
        </w:rPr>
        <w:t xml:space="preserve"> alcance y el valor del contrato</w:t>
      </w:r>
      <w:r w:rsidR="00976256" w:rsidRPr="00742BED">
        <w:rPr>
          <w:rFonts w:ascii="Arial" w:eastAsia="Calibri" w:hAnsi="Arial" w:cs="Arial"/>
          <w:color w:val="000000" w:themeColor="text1"/>
          <w:sz w:val="22"/>
          <w:lang w:val="es-ES_tradnl"/>
        </w:rPr>
        <w:t xml:space="preserve"> con el oferente calificado en el primer orden de elegibilidad</w:t>
      </w:r>
      <w:r w:rsidR="0048757F" w:rsidRPr="00742BED">
        <w:rPr>
          <w:rFonts w:ascii="Arial" w:eastAsia="Calibri" w:hAnsi="Arial" w:cs="Arial"/>
          <w:color w:val="000000" w:themeColor="text1"/>
          <w:sz w:val="22"/>
          <w:lang w:val="es-ES_tradnl"/>
        </w:rPr>
        <w:t xml:space="preserve"> no significa que </w:t>
      </w:r>
      <w:r w:rsidR="00E70412" w:rsidRPr="00742BED">
        <w:rPr>
          <w:rFonts w:ascii="Arial" w:eastAsia="Calibri" w:hAnsi="Arial" w:cs="Arial"/>
          <w:color w:val="000000" w:themeColor="text1"/>
          <w:sz w:val="22"/>
          <w:lang w:val="es-ES_tradnl"/>
        </w:rPr>
        <w:t xml:space="preserve">se esté introduciendo el precio como factor de </w:t>
      </w:r>
      <w:r w:rsidR="00E70412" w:rsidRPr="00742BED">
        <w:rPr>
          <w:rFonts w:ascii="Arial" w:eastAsia="Calibri" w:hAnsi="Arial" w:cs="Arial"/>
          <w:color w:val="000000" w:themeColor="text1"/>
          <w:sz w:val="22"/>
          <w:lang w:val="es-ES_tradnl"/>
        </w:rPr>
        <w:lastRenderedPageBreak/>
        <w:t xml:space="preserve">escogencia. Lo que se deduce del artículo 2 del Decreto 399 de 2021 es que </w:t>
      </w:r>
      <w:r w:rsidR="00B5644C" w:rsidRPr="00742BED">
        <w:rPr>
          <w:rFonts w:ascii="Arial" w:eastAsia="Calibri" w:hAnsi="Arial" w:cs="Arial"/>
          <w:color w:val="000000" w:themeColor="text1"/>
          <w:sz w:val="22"/>
          <w:lang w:val="es-ES_tradnl"/>
        </w:rPr>
        <w:t>en el pliego de condiciones debe quedar claramente establecido el presupuesto oficial</w:t>
      </w:r>
      <w:r w:rsidR="002C15BF" w:rsidRPr="00742BED">
        <w:rPr>
          <w:rFonts w:ascii="Arial" w:eastAsia="Calibri" w:hAnsi="Arial" w:cs="Arial"/>
          <w:color w:val="000000" w:themeColor="text1"/>
          <w:sz w:val="22"/>
          <w:lang w:val="es-ES_tradnl"/>
        </w:rPr>
        <w:t>, así como la prohibición de superar</w:t>
      </w:r>
      <w:r w:rsidR="000E40E4" w:rsidRPr="00742BED">
        <w:rPr>
          <w:rFonts w:ascii="Arial" w:eastAsia="Calibri" w:hAnsi="Arial" w:cs="Arial"/>
          <w:color w:val="000000" w:themeColor="text1"/>
          <w:sz w:val="22"/>
          <w:lang w:val="es-ES_tradnl"/>
        </w:rPr>
        <w:t xml:space="preserve">lo </w:t>
      </w:r>
      <w:r w:rsidR="002C15BF" w:rsidRPr="00742BED">
        <w:rPr>
          <w:rFonts w:ascii="Arial" w:eastAsia="Calibri" w:hAnsi="Arial" w:cs="Arial"/>
          <w:color w:val="000000" w:themeColor="text1"/>
          <w:sz w:val="22"/>
          <w:lang w:val="es-ES_tradnl"/>
        </w:rPr>
        <w:t>como requisito habilitante dentro del concurso de méritos. En consecuencia, cuando</w:t>
      </w:r>
      <w:r w:rsidR="004F33FA" w:rsidRPr="00742BED">
        <w:rPr>
          <w:rFonts w:ascii="Arial" w:eastAsia="Calibri" w:hAnsi="Arial" w:cs="Arial"/>
          <w:color w:val="000000" w:themeColor="text1"/>
          <w:sz w:val="22"/>
          <w:lang w:val="es-ES_tradnl"/>
        </w:rPr>
        <w:t xml:space="preserve"> el valor de la oferta exceda </w:t>
      </w:r>
      <w:r w:rsidR="00344A9D" w:rsidRPr="00742BED">
        <w:rPr>
          <w:rFonts w:ascii="Arial" w:eastAsia="Calibri" w:hAnsi="Arial" w:cs="Arial"/>
          <w:color w:val="000000" w:themeColor="text1"/>
          <w:sz w:val="22"/>
          <w:lang w:val="es-ES_tradnl"/>
        </w:rPr>
        <w:t>dicho presupuesto oficial</w:t>
      </w:r>
      <w:r w:rsidR="000D1546" w:rsidRPr="00742BED">
        <w:rPr>
          <w:rFonts w:ascii="Arial" w:eastAsia="Calibri" w:hAnsi="Arial" w:cs="Arial"/>
          <w:color w:val="000000" w:themeColor="text1"/>
          <w:sz w:val="22"/>
          <w:lang w:val="es-ES_tradnl"/>
        </w:rPr>
        <w:t xml:space="preserve"> y </w:t>
      </w:r>
      <w:r w:rsidR="007E1AE5" w:rsidRPr="00742BED">
        <w:rPr>
          <w:rFonts w:ascii="Arial" w:eastAsia="Calibri" w:hAnsi="Arial" w:cs="Arial"/>
          <w:color w:val="000000" w:themeColor="text1"/>
          <w:sz w:val="22"/>
          <w:lang w:val="es-ES_tradnl"/>
        </w:rPr>
        <w:t>tal</w:t>
      </w:r>
      <w:r w:rsidR="000D1546" w:rsidRPr="00742BED">
        <w:rPr>
          <w:rFonts w:ascii="Arial" w:eastAsia="Calibri" w:hAnsi="Arial" w:cs="Arial"/>
          <w:color w:val="000000" w:themeColor="text1"/>
          <w:sz w:val="22"/>
          <w:lang w:val="es-ES_tradnl"/>
        </w:rPr>
        <w:t xml:space="preserve"> inconsistencia no sea subsanada</w:t>
      </w:r>
      <w:r w:rsidR="004F33FA" w:rsidRPr="00742BED">
        <w:rPr>
          <w:rFonts w:ascii="Arial" w:eastAsia="Calibri" w:hAnsi="Arial" w:cs="Arial"/>
          <w:color w:val="000000" w:themeColor="text1"/>
          <w:sz w:val="22"/>
          <w:lang w:val="es-ES_tradnl"/>
        </w:rPr>
        <w:t>, deberá procederse con el rechazo y esto debe quedar consignado en el informe de evaluación</w:t>
      </w:r>
      <w:r w:rsidR="005B43D0" w:rsidRPr="00742BED">
        <w:rPr>
          <w:rStyle w:val="Refdenotaalpie"/>
          <w:rFonts w:ascii="Arial" w:eastAsia="Calibri" w:hAnsi="Arial" w:cs="Arial"/>
          <w:color w:val="000000" w:themeColor="text1"/>
          <w:sz w:val="22"/>
          <w:lang w:val="es-ES_tradnl"/>
        </w:rPr>
        <w:footnoteReference w:id="7"/>
      </w:r>
      <w:r w:rsidR="004F33FA" w:rsidRPr="00742BED">
        <w:rPr>
          <w:rFonts w:ascii="Arial" w:eastAsia="Calibri" w:hAnsi="Arial" w:cs="Arial"/>
          <w:color w:val="000000" w:themeColor="text1"/>
          <w:sz w:val="22"/>
          <w:lang w:val="es-ES_tradnl"/>
        </w:rPr>
        <w:t>.</w:t>
      </w:r>
      <w:r w:rsidR="002C15BF" w:rsidRPr="00742BED">
        <w:rPr>
          <w:rFonts w:ascii="Arial" w:eastAsia="Calibri" w:hAnsi="Arial" w:cs="Arial"/>
          <w:color w:val="000000" w:themeColor="text1"/>
          <w:sz w:val="22"/>
          <w:lang w:val="es-ES_tradnl"/>
        </w:rPr>
        <w:t xml:space="preserve"> </w:t>
      </w:r>
    </w:p>
    <w:p w14:paraId="3ACBD486" w14:textId="7DD05C42" w:rsidR="00DA1863" w:rsidRPr="00742BED" w:rsidRDefault="002820DA" w:rsidP="00CE24D3">
      <w:pPr>
        <w:spacing w:before="120" w:line="276" w:lineRule="auto"/>
        <w:ind w:firstLine="709"/>
        <w:jc w:val="both"/>
        <w:rPr>
          <w:rFonts w:ascii="Arial" w:eastAsia="Calibri" w:hAnsi="Arial" w:cs="Arial"/>
          <w:color w:val="000000" w:themeColor="text1"/>
          <w:sz w:val="22"/>
          <w:lang w:val="es-ES_tradnl"/>
        </w:rPr>
      </w:pPr>
      <w:r w:rsidRPr="00742BED">
        <w:rPr>
          <w:rFonts w:ascii="Arial" w:eastAsia="Calibri" w:hAnsi="Arial" w:cs="Arial"/>
          <w:color w:val="000000" w:themeColor="text1"/>
          <w:sz w:val="22"/>
          <w:lang w:val="es-ES_tradnl"/>
        </w:rPr>
        <w:t>Dicho de otro modo, una vez verificado el cumplimiento de los requisitos habilitantes –entre los cuales está no superar el presupuesto oficial– y de ponderar</w:t>
      </w:r>
      <w:r w:rsidR="004068CD" w:rsidRPr="00742BED">
        <w:rPr>
          <w:rFonts w:ascii="Arial" w:eastAsia="Calibri" w:hAnsi="Arial" w:cs="Arial"/>
          <w:color w:val="000000" w:themeColor="text1"/>
          <w:sz w:val="22"/>
          <w:lang w:val="es-ES_tradnl"/>
        </w:rPr>
        <w:t xml:space="preserve"> los factores de calificación, se deberá elaborar el informe de evaluación respectivo</w:t>
      </w:r>
      <w:r w:rsidR="00991361" w:rsidRPr="00742BED">
        <w:rPr>
          <w:rFonts w:ascii="Arial" w:eastAsia="Calibri" w:hAnsi="Arial" w:cs="Arial"/>
          <w:color w:val="000000" w:themeColor="text1"/>
          <w:sz w:val="22"/>
          <w:lang w:val="es-ES_tradnl"/>
        </w:rPr>
        <w:t xml:space="preserve"> –el cual es susceptible de observaciones–</w:t>
      </w:r>
      <w:r w:rsidR="004068CD" w:rsidRPr="00742BED">
        <w:rPr>
          <w:rFonts w:ascii="Arial" w:eastAsia="Calibri" w:hAnsi="Arial" w:cs="Arial"/>
          <w:color w:val="000000" w:themeColor="text1"/>
          <w:sz w:val="22"/>
          <w:lang w:val="es-ES_tradnl"/>
        </w:rPr>
        <w:t xml:space="preserve"> y </w:t>
      </w:r>
      <w:r w:rsidRPr="00742BED">
        <w:rPr>
          <w:rFonts w:ascii="Arial" w:eastAsia="Calibri" w:hAnsi="Arial" w:cs="Arial"/>
          <w:color w:val="000000" w:themeColor="text1"/>
          <w:sz w:val="22"/>
          <w:lang w:val="es-ES_tradnl"/>
        </w:rPr>
        <w:t>solo se podrá adjudicar el contrato a quien ocupe el primer orden de elegibilidad según los criterios de calificación.</w:t>
      </w:r>
      <w:r w:rsidR="00F45756" w:rsidRPr="00742BED">
        <w:rPr>
          <w:rFonts w:ascii="Arial" w:eastAsia="Calibri" w:hAnsi="Arial" w:cs="Arial"/>
          <w:color w:val="000000" w:themeColor="text1"/>
          <w:sz w:val="22"/>
          <w:lang w:val="es-ES_tradnl"/>
        </w:rPr>
        <w:t xml:space="preserve"> Esto significa que luego de </w:t>
      </w:r>
      <w:r w:rsidR="00CE24D3" w:rsidRPr="00742BED">
        <w:rPr>
          <w:rFonts w:ascii="Arial" w:eastAsia="Calibri" w:hAnsi="Arial" w:cs="Arial"/>
          <w:color w:val="000000" w:themeColor="text1"/>
          <w:sz w:val="22"/>
          <w:lang w:val="es-ES_tradnl"/>
        </w:rPr>
        <w:t>resolver las observaciones al informe de</w:t>
      </w:r>
      <w:r w:rsidR="00F45756" w:rsidRPr="00742BED">
        <w:rPr>
          <w:rFonts w:ascii="Arial" w:eastAsia="Calibri" w:hAnsi="Arial" w:cs="Arial"/>
          <w:color w:val="000000" w:themeColor="text1"/>
          <w:sz w:val="22"/>
          <w:lang w:val="es-ES_tradnl"/>
        </w:rPr>
        <w:t xml:space="preserve"> evaluación</w:t>
      </w:r>
      <w:r w:rsidR="00CE24D3" w:rsidRPr="00742BED">
        <w:rPr>
          <w:rFonts w:ascii="Arial" w:eastAsia="Calibri" w:hAnsi="Arial" w:cs="Arial"/>
          <w:color w:val="000000" w:themeColor="text1"/>
          <w:sz w:val="22"/>
          <w:lang w:val="es-ES_tradnl"/>
        </w:rPr>
        <w:t xml:space="preserve"> y de quedar en firme est</w:t>
      </w:r>
      <w:r w:rsidR="00BD7522" w:rsidRPr="00742BED">
        <w:rPr>
          <w:rFonts w:ascii="Arial" w:eastAsia="Calibri" w:hAnsi="Arial" w:cs="Arial"/>
          <w:color w:val="000000" w:themeColor="text1"/>
          <w:sz w:val="22"/>
          <w:lang w:val="es-ES_tradnl"/>
        </w:rPr>
        <w:t>e</w:t>
      </w:r>
      <w:r w:rsidR="00CE24D3" w:rsidRPr="00742BED">
        <w:rPr>
          <w:rFonts w:ascii="Arial" w:eastAsia="Calibri" w:hAnsi="Arial" w:cs="Arial"/>
          <w:color w:val="000000" w:themeColor="text1"/>
          <w:sz w:val="22"/>
          <w:lang w:val="es-ES_tradnl"/>
        </w:rPr>
        <w:t>,</w:t>
      </w:r>
      <w:r w:rsidR="00F45756" w:rsidRPr="00742BED">
        <w:rPr>
          <w:rFonts w:ascii="Arial" w:eastAsia="Calibri" w:hAnsi="Arial" w:cs="Arial"/>
          <w:color w:val="000000" w:themeColor="text1"/>
          <w:sz w:val="22"/>
          <w:lang w:val="es-ES_tradnl"/>
        </w:rPr>
        <w:t xml:space="preserve"> ya la entidad estatal no puede revisar</w:t>
      </w:r>
      <w:r w:rsidR="00FA4034" w:rsidRPr="00742BED">
        <w:rPr>
          <w:rFonts w:ascii="Arial" w:eastAsia="Calibri" w:hAnsi="Arial" w:cs="Arial"/>
          <w:color w:val="000000" w:themeColor="text1"/>
          <w:sz w:val="22"/>
          <w:lang w:val="es-ES_tradnl"/>
        </w:rPr>
        <w:t xml:space="preserve"> la conformidad de la oferta económica con el presupuesto oficial –pues esto debió hacerlo antes de publicar el informe de evaluación–</w:t>
      </w:r>
      <w:r w:rsidR="00F45756" w:rsidRPr="00742BED">
        <w:rPr>
          <w:rFonts w:ascii="Arial" w:eastAsia="Calibri" w:hAnsi="Arial" w:cs="Arial"/>
          <w:color w:val="000000" w:themeColor="text1"/>
          <w:sz w:val="22"/>
          <w:lang w:val="es-ES_tradnl"/>
        </w:rPr>
        <w:t xml:space="preserve">, ni </w:t>
      </w:r>
      <w:r w:rsidR="00FA4034" w:rsidRPr="00742BED">
        <w:rPr>
          <w:rFonts w:ascii="Arial" w:eastAsia="Calibri" w:hAnsi="Arial" w:cs="Arial"/>
          <w:color w:val="000000" w:themeColor="text1"/>
          <w:sz w:val="22"/>
          <w:lang w:val="es-ES_tradnl"/>
        </w:rPr>
        <w:t>intentar un acuerdo sobre el precio</w:t>
      </w:r>
      <w:r w:rsidR="00501525" w:rsidRPr="00742BED">
        <w:rPr>
          <w:rFonts w:ascii="Arial" w:eastAsia="Calibri" w:hAnsi="Arial" w:cs="Arial"/>
          <w:color w:val="000000" w:themeColor="text1"/>
          <w:sz w:val="22"/>
          <w:lang w:val="es-ES_tradnl"/>
        </w:rPr>
        <w:t xml:space="preserve">, como sí lo permitían los numerales </w:t>
      </w:r>
      <w:r w:rsidR="00D2374F" w:rsidRPr="00742BED">
        <w:rPr>
          <w:rFonts w:ascii="Arial" w:eastAsia="Calibri" w:hAnsi="Arial" w:cs="Arial"/>
          <w:color w:val="000000" w:themeColor="text1"/>
          <w:sz w:val="22"/>
          <w:lang w:val="es-ES_tradnl"/>
        </w:rPr>
        <w:t>4 y 5 del artículo 2.2.1.2.1.3.2. del Decreto 1082 de 2015 en su redacción inicial</w:t>
      </w:r>
      <w:r w:rsidR="00FA4034" w:rsidRPr="00742BED">
        <w:rPr>
          <w:rFonts w:ascii="Arial" w:eastAsia="Calibri" w:hAnsi="Arial" w:cs="Arial"/>
          <w:color w:val="000000" w:themeColor="text1"/>
          <w:sz w:val="22"/>
          <w:lang w:val="es-ES_tradnl"/>
        </w:rPr>
        <w:t>.</w:t>
      </w:r>
      <w:r w:rsidR="00CE24D3" w:rsidRPr="00742BED">
        <w:rPr>
          <w:rFonts w:ascii="Arial" w:eastAsia="Calibri" w:hAnsi="Arial" w:cs="Arial"/>
          <w:color w:val="000000" w:themeColor="text1"/>
          <w:sz w:val="22"/>
          <w:lang w:val="es-ES_tradnl"/>
        </w:rPr>
        <w:t xml:space="preserve"> Lo que procede</w:t>
      </w:r>
      <w:r w:rsidR="00D2374F" w:rsidRPr="00742BED">
        <w:rPr>
          <w:rFonts w:ascii="Arial" w:eastAsia="Calibri" w:hAnsi="Arial" w:cs="Arial"/>
          <w:color w:val="000000" w:themeColor="text1"/>
          <w:sz w:val="22"/>
          <w:lang w:val="es-ES_tradnl"/>
        </w:rPr>
        <w:t xml:space="preserve"> una vez resueltas las observaciones al informe de </w:t>
      </w:r>
      <w:r w:rsidR="00EC22AD" w:rsidRPr="00742BED">
        <w:rPr>
          <w:rFonts w:ascii="Arial" w:eastAsia="Calibri" w:hAnsi="Arial" w:cs="Arial"/>
          <w:color w:val="000000" w:themeColor="text1"/>
          <w:sz w:val="22"/>
          <w:lang w:val="es-ES_tradnl"/>
        </w:rPr>
        <w:t>evaluación</w:t>
      </w:r>
      <w:r w:rsidR="00CE24D3" w:rsidRPr="00742BED">
        <w:rPr>
          <w:rFonts w:ascii="Arial" w:eastAsia="Calibri" w:hAnsi="Arial" w:cs="Arial"/>
          <w:color w:val="000000" w:themeColor="text1"/>
          <w:sz w:val="22"/>
          <w:lang w:val="es-ES_tradnl"/>
        </w:rPr>
        <w:t xml:space="preserve"> es la adjudicación del contrato o la declaratoria de desierta</w:t>
      </w:r>
      <w:r w:rsidR="00D2374F" w:rsidRPr="00742BED">
        <w:rPr>
          <w:rFonts w:ascii="Arial" w:eastAsia="Calibri" w:hAnsi="Arial" w:cs="Arial"/>
          <w:color w:val="000000" w:themeColor="text1"/>
          <w:sz w:val="22"/>
          <w:lang w:val="es-ES_tradnl"/>
        </w:rPr>
        <w:t>,</w:t>
      </w:r>
      <w:r w:rsidR="00CE24D3" w:rsidRPr="00742BED">
        <w:rPr>
          <w:rFonts w:ascii="Arial" w:eastAsia="Calibri" w:hAnsi="Arial" w:cs="Arial"/>
          <w:color w:val="000000" w:themeColor="text1"/>
          <w:sz w:val="22"/>
          <w:lang w:val="es-ES_tradnl"/>
        </w:rPr>
        <w:t xml:space="preserve"> si ninguno de los oferentes cumple los requisitos </w:t>
      </w:r>
      <w:r w:rsidR="00A37094" w:rsidRPr="00742BED">
        <w:rPr>
          <w:rFonts w:ascii="Arial" w:eastAsia="Calibri" w:hAnsi="Arial" w:cs="Arial"/>
          <w:color w:val="000000" w:themeColor="text1"/>
          <w:sz w:val="22"/>
          <w:lang w:val="es-ES_tradnl"/>
        </w:rPr>
        <w:t>establecidos en el pliego de condiciones</w:t>
      </w:r>
      <w:r w:rsidR="00CE24D3" w:rsidRPr="00742BED">
        <w:rPr>
          <w:rFonts w:ascii="Arial" w:eastAsia="Calibri" w:hAnsi="Arial" w:cs="Arial"/>
          <w:color w:val="000000" w:themeColor="text1"/>
          <w:sz w:val="22"/>
          <w:lang w:val="es-ES_tradnl"/>
        </w:rPr>
        <w:t>.</w:t>
      </w:r>
    </w:p>
    <w:p w14:paraId="4BDF8AAC" w14:textId="77777777" w:rsidR="00E007AA" w:rsidRPr="00742BED" w:rsidRDefault="00614E21" w:rsidP="00E007AA">
      <w:pPr>
        <w:spacing w:before="120" w:line="276" w:lineRule="auto"/>
        <w:ind w:firstLine="709"/>
        <w:jc w:val="both"/>
        <w:rPr>
          <w:rFonts w:ascii="Arial" w:eastAsia="Calibri" w:hAnsi="Arial" w:cs="Arial"/>
          <w:color w:val="000000" w:themeColor="text1"/>
          <w:sz w:val="22"/>
          <w:lang w:val="es-ES_tradnl"/>
        </w:rPr>
      </w:pPr>
      <w:r w:rsidRPr="00742BED">
        <w:rPr>
          <w:rFonts w:ascii="Arial" w:eastAsia="Calibri" w:hAnsi="Arial" w:cs="Arial"/>
          <w:color w:val="000000" w:themeColor="text1"/>
          <w:sz w:val="22"/>
          <w:lang w:val="es-ES_tradnl"/>
        </w:rPr>
        <w:t>En cuanto a</w:t>
      </w:r>
      <w:r w:rsidR="0048690F" w:rsidRPr="00742BED">
        <w:rPr>
          <w:rFonts w:ascii="Arial" w:eastAsia="Calibri" w:hAnsi="Arial" w:cs="Arial"/>
          <w:color w:val="000000" w:themeColor="text1"/>
          <w:sz w:val="22"/>
          <w:lang w:val="es-ES_tradnl"/>
        </w:rPr>
        <w:t xml:space="preserve"> si el artículo 2 del Decreto 399 de 2021 supone</w:t>
      </w:r>
      <w:r w:rsidR="00CC4F87" w:rsidRPr="00742BED">
        <w:rPr>
          <w:rFonts w:ascii="Arial" w:eastAsia="Calibri" w:hAnsi="Arial" w:cs="Arial"/>
          <w:color w:val="000000" w:themeColor="text1"/>
          <w:sz w:val="22"/>
          <w:lang w:val="es-ES_tradnl"/>
        </w:rPr>
        <w:t xml:space="preserve"> </w:t>
      </w:r>
      <w:r w:rsidR="0048690F" w:rsidRPr="00742BED">
        <w:rPr>
          <w:rFonts w:ascii="Arial" w:eastAsia="Calibri" w:hAnsi="Arial" w:cs="Arial"/>
          <w:color w:val="000000" w:themeColor="text1"/>
          <w:sz w:val="22"/>
          <w:lang w:val="es-ES_tradnl"/>
        </w:rPr>
        <w:t>realizar ajustes</w:t>
      </w:r>
      <w:r w:rsidR="00CC4F87" w:rsidRPr="00742BED">
        <w:rPr>
          <w:rFonts w:ascii="Arial" w:eastAsia="Calibri" w:hAnsi="Arial" w:cs="Arial"/>
          <w:color w:val="000000" w:themeColor="text1"/>
          <w:sz w:val="22"/>
          <w:lang w:val="es-ES_tradnl"/>
        </w:rPr>
        <w:t xml:space="preserve"> en la plataforma electrónica SECOP II</w:t>
      </w:r>
      <w:r w:rsidR="0048690F" w:rsidRPr="00742BED">
        <w:rPr>
          <w:rFonts w:ascii="Arial" w:eastAsia="Calibri" w:hAnsi="Arial" w:cs="Arial"/>
          <w:color w:val="000000" w:themeColor="text1"/>
          <w:sz w:val="22"/>
          <w:lang w:val="es-ES_tradnl"/>
        </w:rPr>
        <w:t xml:space="preserve"> para el trámite de los concursos de méritos</w:t>
      </w:r>
      <w:r w:rsidR="000975D1" w:rsidRPr="00742BED">
        <w:rPr>
          <w:rFonts w:ascii="Arial" w:eastAsia="Calibri" w:hAnsi="Arial" w:cs="Arial"/>
          <w:color w:val="000000" w:themeColor="text1"/>
          <w:sz w:val="22"/>
          <w:lang w:val="es-ES_tradnl"/>
        </w:rPr>
        <w:t>, la Subdirección de Información y Desarrollo Tecnológico de la Agencia Nacional de Contratación Pública – Colombia Compra Eficiente</w:t>
      </w:r>
      <w:r w:rsidR="00A66FA8" w:rsidRPr="00742BED">
        <w:rPr>
          <w:rFonts w:ascii="Arial" w:eastAsia="Calibri" w:hAnsi="Arial" w:cs="Arial"/>
          <w:color w:val="000000" w:themeColor="text1"/>
          <w:sz w:val="22"/>
          <w:lang w:val="es-ES_tradnl"/>
        </w:rPr>
        <w:t xml:space="preserve"> informa lo siguiente:</w:t>
      </w:r>
    </w:p>
    <w:p w14:paraId="4C4B6610" w14:textId="77CD3AC6" w:rsidR="00E007AA" w:rsidRPr="00742BED" w:rsidRDefault="00E007AA" w:rsidP="0024794C">
      <w:pPr>
        <w:spacing w:before="120" w:line="276" w:lineRule="auto"/>
        <w:ind w:firstLine="709"/>
        <w:jc w:val="both"/>
        <w:rPr>
          <w:rFonts w:ascii="Arial" w:eastAsia="Calibri" w:hAnsi="Arial" w:cs="Arial"/>
          <w:color w:val="000000" w:themeColor="text1"/>
          <w:sz w:val="22"/>
          <w:lang w:val="es-ES_tradnl"/>
        </w:rPr>
      </w:pPr>
      <w:r w:rsidRPr="00742BED">
        <w:rPr>
          <w:rFonts w:ascii="Arial" w:eastAsia="Calibri" w:hAnsi="Arial" w:cs="Arial"/>
          <w:color w:val="000000" w:themeColor="text1"/>
          <w:sz w:val="22"/>
          <w:lang w:val="es-ES_tradnl"/>
        </w:rPr>
        <w:t>El Decreto Ley 4170 de 2011 otorga a la Agencia Nacional de Contratación Pública – Colombia Compra Eficiente la competencia de administrar y desarrollar el Sistema Electrónico para la Contratación Pública</w:t>
      </w:r>
      <w:r w:rsidR="0024794C" w:rsidRPr="00742BED">
        <w:rPr>
          <w:rFonts w:ascii="Arial" w:eastAsia="Calibri" w:hAnsi="Arial" w:cs="Arial"/>
          <w:color w:val="000000" w:themeColor="text1"/>
          <w:sz w:val="22"/>
          <w:lang w:val="es-ES_tradnl"/>
        </w:rPr>
        <w:t xml:space="preserve"> – </w:t>
      </w:r>
      <w:r w:rsidRPr="00742BED">
        <w:rPr>
          <w:rFonts w:ascii="Arial" w:eastAsia="Calibri" w:hAnsi="Arial" w:cs="Arial"/>
          <w:color w:val="000000" w:themeColor="text1"/>
          <w:sz w:val="22"/>
          <w:lang w:val="es-ES_tradnl"/>
        </w:rPr>
        <w:t xml:space="preserve">SECOP, el cual está conformado por tres plataformas: SECOP I, SECOP II y Tienda Virtual del Estado Colombiano -TVEC. </w:t>
      </w:r>
    </w:p>
    <w:p w14:paraId="522B84E5" w14:textId="0AABF766" w:rsidR="00E007AA" w:rsidRPr="00742BED" w:rsidRDefault="00E007AA" w:rsidP="00EC6170">
      <w:pPr>
        <w:spacing w:before="120" w:line="276" w:lineRule="auto"/>
        <w:ind w:firstLine="709"/>
        <w:jc w:val="both"/>
        <w:rPr>
          <w:rFonts w:ascii="Arial" w:eastAsia="Calibri" w:hAnsi="Arial" w:cs="Arial"/>
          <w:color w:val="000000" w:themeColor="text1"/>
          <w:sz w:val="22"/>
          <w:lang w:val="es-ES_tradnl"/>
        </w:rPr>
      </w:pPr>
      <w:r w:rsidRPr="00742BED">
        <w:rPr>
          <w:rFonts w:ascii="Arial" w:eastAsia="Calibri" w:hAnsi="Arial" w:cs="Arial"/>
          <w:color w:val="000000" w:themeColor="text1"/>
          <w:sz w:val="22"/>
          <w:lang w:val="es-ES_tradnl"/>
        </w:rPr>
        <w:lastRenderedPageBreak/>
        <w:t xml:space="preserve">El SECOP II se rige por las normas del Sistema de Compras y Contratación Pública y por aquellas que </w:t>
      </w:r>
      <w:r w:rsidR="00493521" w:rsidRPr="00742BED">
        <w:rPr>
          <w:rFonts w:ascii="Arial" w:eastAsia="Calibri" w:hAnsi="Arial" w:cs="Arial"/>
          <w:color w:val="000000" w:themeColor="text1"/>
          <w:sz w:val="22"/>
          <w:lang w:val="es-ES_tradnl"/>
        </w:rPr>
        <w:t>regulan</w:t>
      </w:r>
      <w:r w:rsidRPr="00742BED">
        <w:rPr>
          <w:rFonts w:ascii="Arial" w:eastAsia="Calibri" w:hAnsi="Arial" w:cs="Arial"/>
          <w:color w:val="000000" w:themeColor="text1"/>
          <w:sz w:val="22"/>
          <w:lang w:val="es-ES_tradnl"/>
        </w:rPr>
        <w:t xml:space="preserve"> el comercio electrónico. Por lo anterior, las Entidades Estatales, los Proveedores y en general los usuarios del Sistema Electrónico de Contratación Pública - SECOP II están sujetos a los Términos y Condiciones de Uso de la plataforma en virtud de su aceptación al momento de realizar la creación del usuario y/o cuenta respectivamente.</w:t>
      </w:r>
      <w:r w:rsidR="00493521" w:rsidRPr="00742BED">
        <w:rPr>
          <w:rFonts w:ascii="Arial" w:eastAsia="Calibri" w:hAnsi="Arial" w:cs="Arial"/>
          <w:color w:val="000000" w:themeColor="text1"/>
          <w:sz w:val="22"/>
          <w:lang w:val="es-ES_tradnl"/>
        </w:rPr>
        <w:t xml:space="preserve"> </w:t>
      </w:r>
      <w:r w:rsidRPr="00742BED">
        <w:rPr>
          <w:rFonts w:ascii="Arial" w:eastAsia="Calibri" w:hAnsi="Arial" w:cs="Arial"/>
          <w:color w:val="000000" w:themeColor="text1"/>
          <w:sz w:val="22"/>
          <w:lang w:val="es-ES_tradnl"/>
        </w:rPr>
        <w:t xml:space="preserve">Adicionalmente, con la aceptación expresa y voluntaria, los usuarios del SECOP II deben aplicar los protocolos, lineamientos y procedimientos descritos en el </w:t>
      </w:r>
      <w:r w:rsidR="00493521" w:rsidRPr="00742BED">
        <w:rPr>
          <w:rFonts w:ascii="Arial" w:eastAsia="Calibri" w:hAnsi="Arial" w:cs="Arial"/>
          <w:color w:val="000000" w:themeColor="text1"/>
          <w:sz w:val="22"/>
          <w:lang w:val="es-ES_tradnl"/>
        </w:rPr>
        <w:t>«</w:t>
      </w:r>
      <w:proofErr w:type="spellStart"/>
      <w:r w:rsidRPr="00742BED">
        <w:rPr>
          <w:rFonts w:ascii="Arial" w:eastAsia="Calibri" w:hAnsi="Arial" w:cs="Arial"/>
          <w:color w:val="000000" w:themeColor="text1"/>
          <w:sz w:val="22"/>
          <w:lang w:val="es-ES_tradnl"/>
        </w:rPr>
        <w:t>Minisitio</w:t>
      </w:r>
      <w:proofErr w:type="spellEnd"/>
      <w:r w:rsidR="00493521" w:rsidRPr="00742BED">
        <w:rPr>
          <w:rFonts w:ascii="Arial" w:eastAsia="Calibri" w:hAnsi="Arial" w:cs="Arial"/>
          <w:color w:val="000000" w:themeColor="text1"/>
          <w:sz w:val="22"/>
          <w:lang w:val="es-ES_tradnl"/>
        </w:rPr>
        <w:t>»</w:t>
      </w:r>
      <w:r w:rsidRPr="00742BED">
        <w:rPr>
          <w:rFonts w:ascii="Arial" w:eastAsia="Calibri" w:hAnsi="Arial" w:cs="Arial"/>
          <w:color w:val="000000" w:themeColor="text1"/>
          <w:sz w:val="22"/>
          <w:lang w:val="es-ES_tradnl"/>
        </w:rPr>
        <w:t xml:space="preserve"> del SECOP II, los cuales incluyen los manuales, conceptos y guías de uso. Cualquier actuación que contradiga lo establecido en estos es responsabilidad exclusiva de los usuarios.</w:t>
      </w:r>
    </w:p>
    <w:p w14:paraId="2A3E66F6" w14:textId="24436374" w:rsidR="00E007AA" w:rsidRPr="00742BED" w:rsidRDefault="00E007AA" w:rsidP="00025D7D">
      <w:pPr>
        <w:spacing w:before="120" w:line="276" w:lineRule="auto"/>
        <w:ind w:firstLine="709"/>
        <w:jc w:val="both"/>
        <w:rPr>
          <w:rFonts w:ascii="Arial" w:eastAsia="Calibri" w:hAnsi="Arial" w:cs="Arial"/>
          <w:color w:val="000000" w:themeColor="text1"/>
          <w:sz w:val="22"/>
          <w:lang w:val="es-ES_tradnl"/>
        </w:rPr>
      </w:pPr>
      <w:r w:rsidRPr="00742BED">
        <w:rPr>
          <w:rFonts w:ascii="Arial" w:eastAsia="Calibri" w:hAnsi="Arial" w:cs="Arial"/>
          <w:color w:val="000000" w:themeColor="text1"/>
          <w:sz w:val="22"/>
          <w:lang w:val="es-ES_tradnl"/>
        </w:rPr>
        <w:t xml:space="preserve">Desde la </w:t>
      </w:r>
      <w:r w:rsidR="00EC6170" w:rsidRPr="00742BED">
        <w:rPr>
          <w:rFonts w:ascii="Arial" w:eastAsia="Calibri" w:hAnsi="Arial" w:cs="Arial"/>
          <w:color w:val="000000" w:themeColor="text1"/>
          <w:sz w:val="22"/>
          <w:lang w:val="es-ES_tradnl"/>
        </w:rPr>
        <w:t>Agencia Nacional de Contratación Pública – Colombia Compra Eficiente</w:t>
      </w:r>
      <w:r w:rsidRPr="00742BED">
        <w:rPr>
          <w:rFonts w:ascii="Arial" w:eastAsia="Calibri" w:hAnsi="Arial" w:cs="Arial"/>
          <w:color w:val="000000" w:themeColor="text1"/>
          <w:sz w:val="22"/>
          <w:lang w:val="es-ES_tradnl"/>
        </w:rPr>
        <w:t xml:space="preserve"> buscamos desarrollar e impulsar políticas públicas y herramientas, orientadas a la organización y articulación de los partícipes en los procesos de compras y contratación pública con el fin de lograr una mayor eficiencia, transparencia y optimización de los recursos del Estado.</w:t>
      </w:r>
      <w:r w:rsidR="00EC6170" w:rsidRPr="00742BED">
        <w:rPr>
          <w:rFonts w:ascii="Arial" w:eastAsia="Calibri" w:hAnsi="Arial" w:cs="Arial"/>
          <w:color w:val="000000" w:themeColor="text1"/>
          <w:sz w:val="22"/>
          <w:lang w:val="es-ES_tradnl"/>
        </w:rPr>
        <w:t xml:space="preserve"> </w:t>
      </w:r>
      <w:r w:rsidRPr="00742BED">
        <w:rPr>
          <w:rFonts w:ascii="Arial" w:eastAsia="Calibri" w:hAnsi="Arial" w:cs="Arial"/>
          <w:color w:val="000000" w:themeColor="text1"/>
          <w:sz w:val="22"/>
          <w:lang w:val="es-ES_tradnl"/>
        </w:rPr>
        <w:t xml:space="preserve">Así mismo, para mejorar la experiencia de los usuarios y con el fin de que la plataforma del SECOP II se articule y esté en armonía con la normativa, desde la Subdirección de Información y Desarrollo Tecnológico </w:t>
      </w:r>
      <w:r w:rsidR="00025D7D" w:rsidRPr="00742BED">
        <w:rPr>
          <w:rFonts w:ascii="Arial" w:eastAsia="Calibri" w:hAnsi="Arial" w:cs="Arial"/>
          <w:color w:val="000000" w:themeColor="text1"/>
          <w:sz w:val="22"/>
          <w:lang w:val="es-ES_tradnl"/>
        </w:rPr>
        <w:t>se trabaja</w:t>
      </w:r>
      <w:r w:rsidRPr="00742BED">
        <w:rPr>
          <w:rFonts w:ascii="Arial" w:eastAsia="Calibri" w:hAnsi="Arial" w:cs="Arial"/>
          <w:color w:val="000000" w:themeColor="text1"/>
          <w:sz w:val="22"/>
          <w:lang w:val="es-ES_tradnl"/>
        </w:rPr>
        <w:t xml:space="preserve"> constantemente en la implementación de mejoras evolutivas que son analizadas con el equipo de trabajo y que requieren un tiempo estimado para su puesta en producción.</w:t>
      </w:r>
    </w:p>
    <w:p w14:paraId="02E3DDFD" w14:textId="13ACFBC1" w:rsidR="00E007AA" w:rsidRPr="00742BED" w:rsidRDefault="00E007AA" w:rsidP="002654B1">
      <w:pPr>
        <w:spacing w:before="120" w:line="276" w:lineRule="auto"/>
        <w:ind w:firstLine="709"/>
        <w:jc w:val="both"/>
        <w:rPr>
          <w:rFonts w:ascii="Arial" w:eastAsia="Calibri" w:hAnsi="Arial" w:cs="Arial"/>
          <w:color w:val="000000" w:themeColor="text1"/>
          <w:sz w:val="22"/>
          <w:lang w:val="es-ES_tradnl"/>
        </w:rPr>
      </w:pPr>
      <w:r w:rsidRPr="00742BED">
        <w:rPr>
          <w:rFonts w:ascii="Arial" w:eastAsia="Calibri" w:hAnsi="Arial" w:cs="Arial"/>
          <w:color w:val="000000" w:themeColor="text1"/>
          <w:sz w:val="22"/>
          <w:lang w:val="es-ES_tradnl"/>
        </w:rPr>
        <w:t>Los mantenimientos evolutivos en los que se implementan nuevas funcionalidades tienen un costo en horas que son definidos por el proveedor de la aplicación.</w:t>
      </w:r>
      <w:r w:rsidR="00F354D0" w:rsidRPr="00742BED">
        <w:rPr>
          <w:rFonts w:ascii="Arial" w:eastAsia="Calibri" w:hAnsi="Arial" w:cs="Arial"/>
          <w:color w:val="000000" w:themeColor="text1"/>
          <w:sz w:val="22"/>
          <w:lang w:val="es-ES_tradnl"/>
        </w:rPr>
        <w:t xml:space="preserve"> </w:t>
      </w:r>
      <w:r w:rsidRPr="00742BED">
        <w:rPr>
          <w:rFonts w:ascii="Arial" w:eastAsia="Calibri" w:hAnsi="Arial" w:cs="Arial"/>
          <w:color w:val="000000" w:themeColor="text1"/>
          <w:sz w:val="22"/>
          <w:lang w:val="es-ES_tradnl"/>
        </w:rPr>
        <w:t xml:space="preserve">En cuanto al proveedor referenciado </w:t>
      </w:r>
      <w:r w:rsidR="00F354D0" w:rsidRPr="00742BED">
        <w:rPr>
          <w:rFonts w:ascii="Arial" w:eastAsia="Calibri" w:hAnsi="Arial" w:cs="Arial"/>
          <w:color w:val="000000" w:themeColor="text1"/>
          <w:sz w:val="22"/>
          <w:lang w:val="es-ES_tradnl"/>
        </w:rPr>
        <w:t>–</w:t>
      </w:r>
      <w:r w:rsidRPr="00742BED">
        <w:rPr>
          <w:rFonts w:ascii="Arial" w:eastAsia="Calibri" w:hAnsi="Arial" w:cs="Arial"/>
          <w:color w:val="000000" w:themeColor="text1"/>
          <w:sz w:val="22"/>
          <w:lang w:val="es-ES_tradnl"/>
        </w:rPr>
        <w:t>VORTAL</w:t>
      </w:r>
      <w:r w:rsidR="00F354D0" w:rsidRPr="00742BED">
        <w:rPr>
          <w:rFonts w:ascii="Arial" w:eastAsia="Calibri" w:hAnsi="Arial" w:cs="Arial"/>
          <w:color w:val="000000" w:themeColor="text1"/>
          <w:sz w:val="22"/>
          <w:lang w:val="es-ES_tradnl"/>
        </w:rPr>
        <w:t>–</w:t>
      </w:r>
      <w:r w:rsidRPr="00742BED">
        <w:rPr>
          <w:rFonts w:ascii="Arial" w:eastAsia="Calibri" w:hAnsi="Arial" w:cs="Arial"/>
          <w:color w:val="000000" w:themeColor="text1"/>
          <w:sz w:val="22"/>
          <w:lang w:val="es-ES_tradnl"/>
        </w:rPr>
        <w:t xml:space="preserve">, es necesario aclarar que es el encargado de la gestión de incidentes, problemas y mejoras en la plataforma del SECOP II. Si bien hemos enunciado que la </w:t>
      </w:r>
      <w:r w:rsidR="00F354D0" w:rsidRPr="00742BED">
        <w:rPr>
          <w:rFonts w:ascii="Arial" w:eastAsia="Calibri" w:hAnsi="Arial" w:cs="Arial"/>
          <w:color w:val="000000" w:themeColor="text1"/>
          <w:sz w:val="22"/>
          <w:lang w:val="es-ES_tradnl"/>
        </w:rPr>
        <w:t>Agencia Nacional de Contratación Pública – Colombia Compra Eficiente</w:t>
      </w:r>
      <w:r w:rsidRPr="00742BED">
        <w:rPr>
          <w:rFonts w:ascii="Arial" w:eastAsia="Calibri" w:hAnsi="Arial" w:cs="Arial"/>
          <w:color w:val="000000" w:themeColor="text1"/>
          <w:sz w:val="22"/>
          <w:lang w:val="es-ES_tradnl"/>
        </w:rPr>
        <w:t xml:space="preserve"> es el administrador de las plataformas que componen el SECOP, para el caso específico del SECOP II, se cuenta con la administración, más no tenemos el alcance de desarrollar nuevas funcionalidades.</w:t>
      </w:r>
    </w:p>
    <w:p w14:paraId="03F397D6" w14:textId="4C3981BA" w:rsidR="006C0273" w:rsidRPr="00742BED" w:rsidRDefault="00E007AA" w:rsidP="00654DCE">
      <w:pPr>
        <w:spacing w:before="120" w:line="276" w:lineRule="auto"/>
        <w:ind w:firstLine="709"/>
        <w:jc w:val="both"/>
        <w:rPr>
          <w:rFonts w:ascii="Arial" w:eastAsia="Calibri" w:hAnsi="Arial" w:cs="Arial"/>
          <w:color w:val="000000" w:themeColor="text1"/>
          <w:sz w:val="22"/>
          <w:lang w:val="es-ES_tradnl"/>
        </w:rPr>
      </w:pPr>
      <w:r w:rsidRPr="00742BED">
        <w:rPr>
          <w:rFonts w:ascii="Arial" w:eastAsia="Calibri" w:hAnsi="Arial" w:cs="Arial"/>
          <w:color w:val="000000" w:themeColor="text1"/>
          <w:sz w:val="22"/>
          <w:lang w:val="es-ES_tradnl"/>
        </w:rPr>
        <w:t>De esta manera, debemos resaltar que desde la Agencia Nacional de Contratación Pública – Colombia Compra Eficiente no desconocemos la situación de los cambios al procedimiento del Concurso de Méritos, incluidos en el Decreto 399 de 2021, el cual se encuentra articulado a los pronunciamientos del Consejo de Estado que habían suspendido provisionalmente algunos numerales del artículo 2.2.1.2.1.3.2. del Decreto 1082 de 2015</w:t>
      </w:r>
      <w:r w:rsidR="002654B1" w:rsidRPr="00742BED">
        <w:rPr>
          <w:rFonts w:ascii="Arial" w:eastAsia="Calibri" w:hAnsi="Arial" w:cs="Arial"/>
          <w:color w:val="000000" w:themeColor="text1"/>
          <w:sz w:val="22"/>
          <w:lang w:val="es-ES_tradnl"/>
        </w:rPr>
        <w:t>.</w:t>
      </w:r>
      <w:r w:rsidRPr="00742BED">
        <w:rPr>
          <w:rFonts w:ascii="Arial" w:eastAsia="Calibri" w:hAnsi="Arial" w:cs="Arial"/>
          <w:color w:val="000000" w:themeColor="text1"/>
          <w:sz w:val="22"/>
          <w:lang w:val="es-ES_tradnl"/>
        </w:rPr>
        <w:t xml:space="preserve"> </w:t>
      </w:r>
      <w:r w:rsidR="002654B1" w:rsidRPr="00742BED">
        <w:rPr>
          <w:rFonts w:ascii="Arial" w:eastAsia="Calibri" w:hAnsi="Arial" w:cs="Arial"/>
          <w:color w:val="000000" w:themeColor="text1"/>
          <w:sz w:val="22"/>
          <w:lang w:val="es-ES_tradnl"/>
        </w:rPr>
        <w:t>N</w:t>
      </w:r>
      <w:r w:rsidRPr="00742BED">
        <w:rPr>
          <w:rFonts w:ascii="Arial" w:eastAsia="Calibri" w:hAnsi="Arial" w:cs="Arial"/>
          <w:color w:val="000000" w:themeColor="text1"/>
          <w:sz w:val="22"/>
          <w:lang w:val="es-ES_tradnl"/>
        </w:rPr>
        <w:t>o obstante, como administradores de la plataforma, brindamos las soluciones de carácter técnico con el fin de mitigar el impacto y garantizar la no paralización de la actividad contractual de las entidades estatales a consecuencia de la presente funcionalidad.</w:t>
      </w:r>
      <w:r w:rsidR="00715EF5" w:rsidRPr="00742BED">
        <w:rPr>
          <w:rFonts w:ascii="Arial" w:eastAsia="Calibri" w:hAnsi="Arial" w:cs="Arial"/>
          <w:color w:val="000000" w:themeColor="text1"/>
          <w:sz w:val="22"/>
          <w:lang w:val="es-ES_tradnl"/>
        </w:rPr>
        <w:t xml:space="preserve"> </w:t>
      </w:r>
      <w:r w:rsidRPr="00742BED">
        <w:rPr>
          <w:rFonts w:ascii="Arial" w:eastAsia="Calibri" w:hAnsi="Arial" w:cs="Arial"/>
          <w:color w:val="000000" w:themeColor="text1"/>
          <w:sz w:val="22"/>
          <w:lang w:val="es-ES_tradnl"/>
        </w:rPr>
        <w:t>Actualmente, estamos en proceso de estructuración de un control de cambios correspondiente a la habilitación de dos módulos para el Concurso de Méritos Abierto y de Precalificación que se ajusten al procedimiento del Decreto 399 de 2021.</w:t>
      </w:r>
      <w:r w:rsidR="00715EF5" w:rsidRPr="00742BED">
        <w:rPr>
          <w:rFonts w:ascii="Arial" w:eastAsia="Calibri" w:hAnsi="Arial" w:cs="Arial"/>
          <w:color w:val="000000" w:themeColor="text1"/>
          <w:sz w:val="22"/>
          <w:lang w:val="es-ES_tradnl"/>
        </w:rPr>
        <w:t xml:space="preserve"> </w:t>
      </w:r>
      <w:r w:rsidRPr="00742BED">
        <w:rPr>
          <w:rFonts w:ascii="Arial" w:eastAsia="Calibri" w:hAnsi="Arial" w:cs="Arial"/>
          <w:color w:val="000000" w:themeColor="text1"/>
          <w:sz w:val="22"/>
          <w:lang w:val="es-ES_tradnl"/>
        </w:rPr>
        <w:t xml:space="preserve">A continuación, </w:t>
      </w:r>
      <w:r w:rsidRPr="00742BED">
        <w:rPr>
          <w:rFonts w:ascii="Arial" w:eastAsia="Calibri" w:hAnsi="Arial" w:cs="Arial"/>
          <w:color w:val="000000" w:themeColor="text1"/>
          <w:sz w:val="22"/>
          <w:lang w:val="es-ES_tradnl"/>
        </w:rPr>
        <w:lastRenderedPageBreak/>
        <w:t>detallamos las actividades que se ejecutan y que están cronológicamente definidas para realizar los cambios en la plataforma:</w:t>
      </w:r>
    </w:p>
    <w:p w14:paraId="4A61A6EA" w14:textId="04B7542B" w:rsidR="006C0273" w:rsidRPr="00742BED" w:rsidRDefault="006C0273" w:rsidP="006C0273">
      <w:pPr>
        <w:spacing w:before="120" w:line="276" w:lineRule="auto"/>
        <w:ind w:firstLine="709"/>
        <w:jc w:val="both"/>
        <w:rPr>
          <w:rFonts w:ascii="Arial" w:eastAsia="Calibri" w:hAnsi="Arial" w:cs="Arial"/>
          <w:color w:val="000000" w:themeColor="text1"/>
          <w:sz w:val="22"/>
          <w:lang w:val="es-ES_tradnl"/>
        </w:rPr>
      </w:pPr>
      <w:r w:rsidRPr="00742BED">
        <w:rPr>
          <w:rFonts w:ascii="Arial" w:eastAsia="Calibri" w:hAnsi="Arial" w:cs="Arial"/>
          <w:color w:val="000000" w:themeColor="text1"/>
          <w:sz w:val="22"/>
          <w:lang w:val="es-ES_tradnl"/>
        </w:rPr>
        <w:t xml:space="preserve">a) </w:t>
      </w:r>
      <w:r w:rsidR="00E007AA" w:rsidRPr="00742BED">
        <w:rPr>
          <w:rFonts w:ascii="Arial" w:eastAsia="Calibri" w:hAnsi="Arial" w:cs="Arial"/>
          <w:color w:val="000000" w:themeColor="text1"/>
          <w:sz w:val="22"/>
          <w:lang w:val="es-ES_tradnl"/>
        </w:rPr>
        <w:t>Se define el requerimiento, se perfecciona desde el punto de vista técnico-normativo y se socializa con los equipos de trabajo involucrados.</w:t>
      </w:r>
    </w:p>
    <w:p w14:paraId="46F8D854" w14:textId="118E8A27" w:rsidR="00E007AA" w:rsidRPr="00742BED" w:rsidRDefault="006C0273" w:rsidP="006C0273">
      <w:pPr>
        <w:spacing w:before="120" w:line="276" w:lineRule="auto"/>
        <w:ind w:firstLine="709"/>
        <w:jc w:val="both"/>
        <w:rPr>
          <w:rFonts w:ascii="Arial" w:eastAsia="Calibri" w:hAnsi="Arial" w:cs="Arial"/>
          <w:color w:val="000000" w:themeColor="text1"/>
          <w:sz w:val="22"/>
          <w:lang w:val="es-ES_tradnl"/>
        </w:rPr>
      </w:pPr>
      <w:r w:rsidRPr="00742BED">
        <w:rPr>
          <w:rFonts w:ascii="Arial" w:eastAsia="Calibri" w:hAnsi="Arial" w:cs="Arial"/>
          <w:color w:val="000000" w:themeColor="text1"/>
          <w:sz w:val="22"/>
          <w:lang w:val="es-ES_tradnl"/>
        </w:rPr>
        <w:t xml:space="preserve">b) </w:t>
      </w:r>
      <w:r w:rsidR="000A171D" w:rsidRPr="00742BED">
        <w:rPr>
          <w:rFonts w:ascii="Arial" w:eastAsia="Calibri" w:hAnsi="Arial" w:cs="Arial"/>
          <w:color w:val="000000" w:themeColor="text1"/>
          <w:sz w:val="22"/>
          <w:lang w:val="es-ES_tradnl"/>
        </w:rPr>
        <w:t>Como e</w:t>
      </w:r>
      <w:r w:rsidR="00E007AA" w:rsidRPr="00742BED">
        <w:rPr>
          <w:rFonts w:ascii="Arial" w:eastAsia="Calibri" w:hAnsi="Arial" w:cs="Arial"/>
          <w:color w:val="000000" w:themeColor="text1"/>
          <w:sz w:val="22"/>
          <w:lang w:val="es-ES_tradnl"/>
        </w:rPr>
        <w:t>l SECOP II</w:t>
      </w:r>
      <w:r w:rsidRPr="00742BED">
        <w:rPr>
          <w:rFonts w:ascii="Arial" w:eastAsia="Calibri" w:hAnsi="Arial" w:cs="Arial"/>
          <w:color w:val="000000" w:themeColor="text1"/>
          <w:sz w:val="22"/>
          <w:lang w:val="es-ES_tradnl"/>
        </w:rPr>
        <w:t xml:space="preserve"> </w:t>
      </w:r>
      <w:r w:rsidR="00E007AA" w:rsidRPr="00742BED">
        <w:rPr>
          <w:rFonts w:ascii="Arial" w:eastAsia="Calibri" w:hAnsi="Arial" w:cs="Arial"/>
          <w:color w:val="000000" w:themeColor="text1"/>
          <w:sz w:val="22"/>
          <w:lang w:val="es-ES_tradnl"/>
        </w:rPr>
        <w:t xml:space="preserve">es una plataforma contratada </w:t>
      </w:r>
      <w:r w:rsidR="000A171D" w:rsidRPr="00742BED">
        <w:rPr>
          <w:rFonts w:ascii="Arial" w:eastAsia="Calibri" w:hAnsi="Arial" w:cs="Arial"/>
          <w:color w:val="000000" w:themeColor="text1"/>
          <w:sz w:val="22"/>
          <w:lang w:val="es-ES_tradnl"/>
        </w:rPr>
        <w:t>con</w:t>
      </w:r>
      <w:r w:rsidR="00E007AA" w:rsidRPr="00742BED">
        <w:rPr>
          <w:rFonts w:ascii="Arial" w:eastAsia="Calibri" w:hAnsi="Arial" w:cs="Arial"/>
          <w:color w:val="000000" w:themeColor="text1"/>
          <w:sz w:val="22"/>
          <w:lang w:val="es-ES_tradnl"/>
        </w:rPr>
        <w:t xml:space="preserve"> un proveedor externo</w:t>
      </w:r>
      <w:r w:rsidR="000A171D" w:rsidRPr="00742BED">
        <w:rPr>
          <w:rFonts w:ascii="Arial" w:eastAsia="Calibri" w:hAnsi="Arial" w:cs="Arial"/>
          <w:color w:val="000000" w:themeColor="text1"/>
          <w:sz w:val="22"/>
          <w:lang w:val="es-ES_tradnl"/>
        </w:rPr>
        <w:t xml:space="preserve"> –</w:t>
      </w:r>
      <w:r w:rsidR="00E007AA" w:rsidRPr="00742BED">
        <w:rPr>
          <w:rFonts w:ascii="Arial" w:eastAsia="Calibri" w:hAnsi="Arial" w:cs="Arial"/>
          <w:color w:val="000000" w:themeColor="text1"/>
          <w:sz w:val="22"/>
          <w:lang w:val="es-ES_tradnl"/>
        </w:rPr>
        <w:t>VORTAL</w:t>
      </w:r>
      <w:r w:rsidR="000A171D" w:rsidRPr="00742BED">
        <w:rPr>
          <w:rFonts w:ascii="Arial" w:eastAsia="Calibri" w:hAnsi="Arial" w:cs="Arial"/>
          <w:color w:val="000000" w:themeColor="text1"/>
          <w:sz w:val="22"/>
          <w:lang w:val="es-ES_tradnl"/>
        </w:rPr>
        <w:t xml:space="preserve">–, se le </w:t>
      </w:r>
      <w:r w:rsidR="00654DCE" w:rsidRPr="00742BED">
        <w:rPr>
          <w:rFonts w:ascii="Arial" w:eastAsia="Calibri" w:hAnsi="Arial" w:cs="Arial"/>
          <w:color w:val="000000" w:themeColor="text1"/>
          <w:sz w:val="22"/>
          <w:lang w:val="es-ES_tradnl"/>
        </w:rPr>
        <w:t>comparten</w:t>
      </w:r>
      <w:r w:rsidR="000A171D" w:rsidRPr="00742BED">
        <w:rPr>
          <w:rFonts w:ascii="Arial" w:eastAsia="Calibri" w:hAnsi="Arial" w:cs="Arial"/>
          <w:color w:val="000000" w:themeColor="text1"/>
          <w:sz w:val="22"/>
          <w:lang w:val="es-ES_tradnl"/>
        </w:rPr>
        <w:t xml:space="preserve"> </w:t>
      </w:r>
      <w:r w:rsidR="00E007AA" w:rsidRPr="00742BED">
        <w:rPr>
          <w:rFonts w:ascii="Arial" w:eastAsia="Calibri" w:hAnsi="Arial" w:cs="Arial"/>
          <w:color w:val="000000" w:themeColor="text1"/>
          <w:sz w:val="22"/>
          <w:lang w:val="es-ES_tradnl"/>
        </w:rPr>
        <w:t>los requerimientos para iniciar su análisis y estimación</w:t>
      </w:r>
      <w:r w:rsidR="00654DCE" w:rsidRPr="00742BED">
        <w:rPr>
          <w:rFonts w:ascii="Arial" w:eastAsia="Calibri" w:hAnsi="Arial" w:cs="Arial"/>
          <w:color w:val="000000" w:themeColor="text1"/>
          <w:sz w:val="22"/>
          <w:lang w:val="es-ES_tradnl"/>
        </w:rPr>
        <w:t>. E</w:t>
      </w:r>
      <w:r w:rsidR="00E007AA" w:rsidRPr="00742BED">
        <w:rPr>
          <w:rFonts w:ascii="Arial" w:eastAsia="Calibri" w:hAnsi="Arial" w:cs="Arial"/>
          <w:color w:val="000000" w:themeColor="text1"/>
          <w:sz w:val="22"/>
          <w:lang w:val="es-ES_tradnl"/>
        </w:rPr>
        <w:t>s importante tener en cuenta que para el desarrollo de nuevas funcionalidades se requiere</w:t>
      </w:r>
      <w:r w:rsidR="0029534C" w:rsidRPr="00742BED">
        <w:rPr>
          <w:rFonts w:ascii="Arial" w:eastAsia="Calibri" w:hAnsi="Arial" w:cs="Arial"/>
          <w:color w:val="000000" w:themeColor="text1"/>
          <w:sz w:val="22"/>
          <w:lang w:val="es-ES_tradnl"/>
        </w:rPr>
        <w:t xml:space="preserve"> como</w:t>
      </w:r>
      <w:r w:rsidR="00E007AA" w:rsidRPr="00742BED">
        <w:rPr>
          <w:rFonts w:ascii="Arial" w:eastAsia="Calibri" w:hAnsi="Arial" w:cs="Arial"/>
          <w:color w:val="000000" w:themeColor="text1"/>
          <w:sz w:val="22"/>
          <w:lang w:val="es-ES_tradnl"/>
        </w:rPr>
        <w:t xml:space="preserve"> mínimo </w:t>
      </w:r>
      <w:r w:rsidR="0029534C" w:rsidRPr="00742BED">
        <w:rPr>
          <w:rFonts w:ascii="Arial" w:eastAsia="Calibri" w:hAnsi="Arial" w:cs="Arial"/>
          <w:color w:val="000000" w:themeColor="text1"/>
          <w:sz w:val="22"/>
          <w:lang w:val="es-ES_tradnl"/>
        </w:rPr>
        <w:t xml:space="preserve">de </w:t>
      </w:r>
      <w:r w:rsidR="00E007AA" w:rsidRPr="00742BED">
        <w:rPr>
          <w:rFonts w:ascii="Arial" w:eastAsia="Calibri" w:hAnsi="Arial" w:cs="Arial"/>
          <w:color w:val="000000" w:themeColor="text1"/>
          <w:sz w:val="22"/>
          <w:lang w:val="es-ES_tradnl"/>
        </w:rPr>
        <w:t>tres meses</w:t>
      </w:r>
      <w:r w:rsidR="0029534C" w:rsidRPr="00742BED">
        <w:rPr>
          <w:rFonts w:ascii="Arial" w:eastAsia="Calibri" w:hAnsi="Arial" w:cs="Arial"/>
          <w:color w:val="000000" w:themeColor="text1"/>
          <w:sz w:val="22"/>
          <w:lang w:val="es-ES_tradnl"/>
        </w:rPr>
        <w:t>. A</w:t>
      </w:r>
      <w:r w:rsidR="00E007AA" w:rsidRPr="00742BED">
        <w:rPr>
          <w:rFonts w:ascii="Arial" w:eastAsia="Calibri" w:hAnsi="Arial" w:cs="Arial"/>
          <w:color w:val="000000" w:themeColor="text1"/>
          <w:sz w:val="22"/>
          <w:lang w:val="es-ES_tradnl"/>
        </w:rPr>
        <w:t>dicionalmente</w:t>
      </w:r>
      <w:r w:rsidR="0029534C" w:rsidRPr="00742BED">
        <w:rPr>
          <w:rFonts w:ascii="Arial" w:eastAsia="Calibri" w:hAnsi="Arial" w:cs="Arial"/>
          <w:color w:val="000000" w:themeColor="text1"/>
          <w:sz w:val="22"/>
          <w:lang w:val="es-ES_tradnl"/>
        </w:rPr>
        <w:t>,</w:t>
      </w:r>
      <w:r w:rsidR="00E007AA" w:rsidRPr="00742BED">
        <w:rPr>
          <w:rFonts w:ascii="Arial" w:eastAsia="Calibri" w:hAnsi="Arial" w:cs="Arial"/>
          <w:color w:val="000000" w:themeColor="text1"/>
          <w:sz w:val="22"/>
          <w:lang w:val="es-ES_tradnl"/>
        </w:rPr>
        <w:t xml:space="preserve"> se debe incluir el tiempo para las pruebas y puesta en producción.</w:t>
      </w:r>
    </w:p>
    <w:p w14:paraId="5439FEFC" w14:textId="423DC372" w:rsidR="00540617" w:rsidRPr="00742BED" w:rsidRDefault="0029534C" w:rsidP="00540617">
      <w:pPr>
        <w:spacing w:before="120" w:line="276" w:lineRule="auto"/>
        <w:ind w:firstLine="709"/>
        <w:jc w:val="both"/>
        <w:rPr>
          <w:rFonts w:ascii="Arial" w:eastAsia="Calibri" w:hAnsi="Arial" w:cs="Arial"/>
          <w:color w:val="000000" w:themeColor="text1"/>
          <w:sz w:val="22"/>
          <w:lang w:val="es-ES_tradnl"/>
        </w:rPr>
      </w:pPr>
      <w:r w:rsidRPr="00742BED">
        <w:rPr>
          <w:rFonts w:ascii="Arial" w:eastAsia="Calibri" w:hAnsi="Arial" w:cs="Arial"/>
          <w:color w:val="000000" w:themeColor="text1"/>
          <w:sz w:val="22"/>
          <w:lang w:val="es-ES_tradnl"/>
        </w:rPr>
        <w:t>En tal sentido, la Subdirección de</w:t>
      </w:r>
      <w:r w:rsidR="00BC20A1" w:rsidRPr="00742BED">
        <w:rPr>
          <w:rFonts w:ascii="Arial" w:eastAsia="Calibri" w:hAnsi="Arial" w:cs="Arial"/>
          <w:color w:val="000000" w:themeColor="text1"/>
          <w:sz w:val="22"/>
          <w:lang w:val="es-ES_tradnl"/>
        </w:rPr>
        <w:t xml:space="preserve"> Información y Desarrollo Tecnológico</w:t>
      </w:r>
      <w:r w:rsidRPr="00742BED">
        <w:rPr>
          <w:rFonts w:ascii="Arial" w:eastAsia="Calibri" w:hAnsi="Arial" w:cs="Arial"/>
          <w:color w:val="000000" w:themeColor="text1"/>
          <w:sz w:val="22"/>
          <w:lang w:val="es-ES_tradnl"/>
        </w:rPr>
        <w:t xml:space="preserve"> </w:t>
      </w:r>
      <w:r w:rsidR="00BC20A1" w:rsidRPr="00742BED">
        <w:rPr>
          <w:rFonts w:ascii="Arial" w:eastAsia="Calibri" w:hAnsi="Arial" w:cs="Arial"/>
          <w:color w:val="000000" w:themeColor="text1"/>
          <w:sz w:val="22"/>
          <w:lang w:val="es-ES_tradnl"/>
        </w:rPr>
        <w:t xml:space="preserve">aclara </w:t>
      </w:r>
      <w:r w:rsidR="00E007AA" w:rsidRPr="00742BED">
        <w:rPr>
          <w:rFonts w:ascii="Arial" w:eastAsia="Calibri" w:hAnsi="Arial" w:cs="Arial"/>
          <w:color w:val="000000" w:themeColor="text1"/>
          <w:sz w:val="22"/>
          <w:lang w:val="es-ES_tradnl"/>
        </w:rPr>
        <w:t xml:space="preserve">que no </w:t>
      </w:r>
      <w:r w:rsidR="00BC20A1" w:rsidRPr="00742BED">
        <w:rPr>
          <w:rFonts w:ascii="Arial" w:eastAsia="Calibri" w:hAnsi="Arial" w:cs="Arial"/>
          <w:color w:val="000000" w:themeColor="text1"/>
          <w:sz w:val="22"/>
          <w:lang w:val="es-ES_tradnl"/>
        </w:rPr>
        <w:t>desconoce</w:t>
      </w:r>
      <w:r w:rsidRPr="00742BED">
        <w:rPr>
          <w:rFonts w:ascii="Arial" w:eastAsia="Calibri" w:hAnsi="Arial" w:cs="Arial"/>
          <w:color w:val="000000" w:themeColor="text1"/>
          <w:sz w:val="22"/>
          <w:lang w:val="es-ES_tradnl"/>
        </w:rPr>
        <w:t xml:space="preserve"> </w:t>
      </w:r>
      <w:r w:rsidR="00E007AA" w:rsidRPr="00742BED">
        <w:rPr>
          <w:rFonts w:ascii="Arial" w:eastAsia="Calibri" w:hAnsi="Arial" w:cs="Arial"/>
          <w:color w:val="000000" w:themeColor="text1"/>
          <w:sz w:val="22"/>
          <w:lang w:val="es-ES_tradnl"/>
        </w:rPr>
        <w:t>que la plataforma requiere mejoras de carácter técnico</w:t>
      </w:r>
      <w:r w:rsidRPr="00742BED">
        <w:rPr>
          <w:rFonts w:ascii="Arial" w:eastAsia="Calibri" w:hAnsi="Arial" w:cs="Arial"/>
          <w:color w:val="000000" w:themeColor="text1"/>
          <w:sz w:val="22"/>
          <w:lang w:val="es-ES_tradnl"/>
        </w:rPr>
        <w:t>.</w:t>
      </w:r>
      <w:r w:rsidR="00E007AA" w:rsidRPr="00742BED">
        <w:rPr>
          <w:rFonts w:ascii="Arial" w:eastAsia="Calibri" w:hAnsi="Arial" w:cs="Arial"/>
          <w:color w:val="000000" w:themeColor="text1"/>
          <w:sz w:val="22"/>
          <w:lang w:val="es-ES_tradnl"/>
        </w:rPr>
        <w:t xml:space="preserve"> </w:t>
      </w:r>
      <w:r w:rsidRPr="00742BED">
        <w:rPr>
          <w:rFonts w:ascii="Arial" w:eastAsia="Calibri" w:hAnsi="Arial" w:cs="Arial"/>
          <w:color w:val="000000" w:themeColor="text1"/>
          <w:sz w:val="22"/>
          <w:lang w:val="es-ES_tradnl"/>
        </w:rPr>
        <w:t>S</w:t>
      </w:r>
      <w:r w:rsidR="00E007AA" w:rsidRPr="00742BED">
        <w:rPr>
          <w:rFonts w:ascii="Arial" w:eastAsia="Calibri" w:hAnsi="Arial" w:cs="Arial"/>
          <w:color w:val="000000" w:themeColor="text1"/>
          <w:sz w:val="22"/>
          <w:lang w:val="es-ES_tradnl"/>
        </w:rPr>
        <w:t>in embargo,</w:t>
      </w:r>
      <w:r w:rsidR="00BC20A1" w:rsidRPr="00742BED">
        <w:rPr>
          <w:rFonts w:ascii="Arial" w:eastAsia="Calibri" w:hAnsi="Arial" w:cs="Arial"/>
          <w:color w:val="000000" w:themeColor="text1"/>
          <w:sz w:val="22"/>
          <w:lang w:val="es-ES_tradnl"/>
        </w:rPr>
        <w:t xml:space="preserve"> indica que</w:t>
      </w:r>
      <w:r w:rsidR="00E007AA" w:rsidRPr="00742BED">
        <w:rPr>
          <w:rFonts w:ascii="Arial" w:eastAsia="Calibri" w:hAnsi="Arial" w:cs="Arial"/>
          <w:color w:val="000000" w:themeColor="text1"/>
          <w:sz w:val="22"/>
          <w:lang w:val="es-ES_tradnl"/>
        </w:rPr>
        <w:t xml:space="preserve"> este tipo de soluciones requiere de un presupuesto.</w:t>
      </w:r>
      <w:r w:rsidRPr="00742BED">
        <w:rPr>
          <w:rFonts w:ascii="Arial" w:eastAsia="Calibri" w:hAnsi="Arial" w:cs="Arial"/>
          <w:color w:val="000000" w:themeColor="text1"/>
          <w:sz w:val="22"/>
          <w:lang w:val="es-ES_tradnl"/>
        </w:rPr>
        <w:t xml:space="preserve"> </w:t>
      </w:r>
      <w:r w:rsidR="00BC20A1" w:rsidRPr="00742BED">
        <w:rPr>
          <w:rFonts w:ascii="Arial" w:eastAsia="Calibri" w:hAnsi="Arial" w:cs="Arial"/>
          <w:color w:val="000000" w:themeColor="text1"/>
          <w:sz w:val="22"/>
          <w:lang w:val="es-ES_tradnl"/>
        </w:rPr>
        <w:t>Por lo tanto, señala que u</w:t>
      </w:r>
      <w:r w:rsidR="00E007AA" w:rsidRPr="00742BED">
        <w:rPr>
          <w:rFonts w:ascii="Arial" w:eastAsia="Calibri" w:hAnsi="Arial" w:cs="Arial"/>
          <w:color w:val="000000" w:themeColor="text1"/>
          <w:sz w:val="22"/>
          <w:lang w:val="es-ES_tradnl"/>
        </w:rPr>
        <w:t xml:space="preserve">na vez </w:t>
      </w:r>
      <w:r w:rsidR="00BC20A1" w:rsidRPr="00742BED">
        <w:rPr>
          <w:rFonts w:ascii="Arial" w:eastAsia="Calibri" w:hAnsi="Arial" w:cs="Arial"/>
          <w:color w:val="000000" w:themeColor="text1"/>
          <w:sz w:val="22"/>
          <w:lang w:val="es-ES_tradnl"/>
        </w:rPr>
        <w:t>se tenga la</w:t>
      </w:r>
      <w:r w:rsidR="00E007AA" w:rsidRPr="00742BED">
        <w:rPr>
          <w:rFonts w:ascii="Arial" w:eastAsia="Calibri" w:hAnsi="Arial" w:cs="Arial"/>
          <w:color w:val="000000" w:themeColor="text1"/>
          <w:sz w:val="22"/>
          <w:lang w:val="es-ES_tradnl"/>
        </w:rPr>
        <w:t xml:space="preserve"> asignación presupuestal y la funcionalidad sea implementada, </w:t>
      </w:r>
      <w:r w:rsidR="00BC20A1" w:rsidRPr="00742BED">
        <w:rPr>
          <w:rFonts w:ascii="Arial" w:eastAsia="Calibri" w:hAnsi="Arial" w:cs="Arial"/>
          <w:color w:val="000000" w:themeColor="text1"/>
          <w:sz w:val="22"/>
          <w:lang w:val="es-ES_tradnl"/>
        </w:rPr>
        <w:t>se notificará</w:t>
      </w:r>
      <w:r w:rsidR="00E007AA" w:rsidRPr="00742BED">
        <w:rPr>
          <w:rFonts w:ascii="Arial" w:eastAsia="Calibri" w:hAnsi="Arial" w:cs="Arial"/>
          <w:color w:val="000000" w:themeColor="text1"/>
          <w:sz w:val="22"/>
          <w:lang w:val="es-ES_tradnl"/>
        </w:rPr>
        <w:t xml:space="preserve"> a todos los usuarios a través de nuestros canales oficiales.</w:t>
      </w:r>
      <w:bookmarkEnd w:id="6"/>
    </w:p>
    <w:p w14:paraId="567FD550" w14:textId="21104890" w:rsidR="00A37094" w:rsidRPr="00742BED" w:rsidRDefault="00A37094" w:rsidP="00540617">
      <w:pPr>
        <w:spacing w:before="120" w:line="276" w:lineRule="auto"/>
        <w:ind w:firstLine="709"/>
        <w:jc w:val="both"/>
        <w:rPr>
          <w:rFonts w:ascii="Arial" w:eastAsia="Calibri" w:hAnsi="Arial" w:cs="Arial"/>
          <w:color w:val="000000" w:themeColor="text1"/>
          <w:sz w:val="22"/>
          <w:lang w:val="es-ES_tradnl"/>
        </w:rPr>
      </w:pPr>
      <w:r w:rsidRPr="00742BED">
        <w:rPr>
          <w:rFonts w:ascii="Arial" w:eastAsia="Calibri" w:hAnsi="Arial" w:cs="Arial"/>
          <w:color w:val="000000" w:themeColor="text1"/>
          <w:sz w:val="22"/>
          <w:lang w:val="es-ES_tradnl"/>
        </w:rPr>
        <w:t>En relación con lo anterior, cabe aclarar que teniendo en cuenta la dificultad advertida</w:t>
      </w:r>
      <w:r w:rsidR="00A24B95" w:rsidRPr="00742BED">
        <w:rPr>
          <w:rFonts w:ascii="Arial" w:eastAsia="Calibri" w:hAnsi="Arial" w:cs="Arial"/>
          <w:color w:val="000000" w:themeColor="text1"/>
          <w:sz w:val="22"/>
          <w:lang w:val="es-ES_tradnl"/>
        </w:rPr>
        <w:t>,</w:t>
      </w:r>
      <w:r w:rsidRPr="00742BED">
        <w:rPr>
          <w:rFonts w:ascii="Arial" w:eastAsia="Calibri" w:hAnsi="Arial" w:cs="Arial"/>
          <w:color w:val="000000" w:themeColor="text1"/>
          <w:sz w:val="22"/>
          <w:lang w:val="es-ES_tradnl"/>
        </w:rPr>
        <w:t xml:space="preserve"> la Agencia Nacional de Contratación Pública – Colombia Compra Eficiente </w:t>
      </w:r>
      <w:r w:rsidR="00A24B95" w:rsidRPr="00742BED">
        <w:rPr>
          <w:rFonts w:ascii="Arial" w:eastAsia="Calibri" w:hAnsi="Arial" w:cs="Arial"/>
          <w:color w:val="000000" w:themeColor="text1"/>
          <w:sz w:val="22"/>
          <w:lang w:val="es-ES_tradnl"/>
        </w:rPr>
        <w:t xml:space="preserve">recientemente </w:t>
      </w:r>
      <w:r w:rsidRPr="00742BED">
        <w:rPr>
          <w:rFonts w:ascii="Arial" w:eastAsia="Calibri" w:hAnsi="Arial" w:cs="Arial"/>
          <w:color w:val="000000" w:themeColor="text1"/>
          <w:sz w:val="22"/>
          <w:lang w:val="es-ES_tradnl"/>
        </w:rPr>
        <w:t xml:space="preserve">expidió la Circular </w:t>
      </w:r>
      <w:r w:rsidR="00A24B95" w:rsidRPr="00742BED">
        <w:rPr>
          <w:rFonts w:ascii="Arial" w:eastAsia="Calibri" w:hAnsi="Arial" w:cs="Arial"/>
          <w:color w:val="000000" w:themeColor="text1"/>
          <w:sz w:val="22"/>
          <w:lang w:val="es-ES_tradnl"/>
        </w:rPr>
        <w:t>Externa 002 del 8 de junio de 2021, donde estableció lo siguiente, en relación con la publicidad temporal de los concursos de méritos:</w:t>
      </w:r>
    </w:p>
    <w:p w14:paraId="08BC81C6" w14:textId="77777777" w:rsidR="00A24B95" w:rsidRPr="00742BED" w:rsidRDefault="00A24B95" w:rsidP="000F5CE5">
      <w:pPr>
        <w:spacing w:line="276" w:lineRule="auto"/>
        <w:ind w:firstLine="709"/>
        <w:jc w:val="both"/>
        <w:rPr>
          <w:rFonts w:ascii="Arial" w:eastAsia="Calibri" w:hAnsi="Arial" w:cs="Arial"/>
          <w:color w:val="000000" w:themeColor="text1"/>
          <w:sz w:val="22"/>
          <w:lang w:val="es-ES_tradnl"/>
        </w:rPr>
      </w:pPr>
    </w:p>
    <w:p w14:paraId="69402364" w14:textId="435EB0A7" w:rsidR="00A24B95" w:rsidRPr="00742BED" w:rsidRDefault="00A24B95" w:rsidP="000F5CE5">
      <w:pPr>
        <w:shd w:val="clear" w:color="auto" w:fill="FFFFFF"/>
        <w:spacing w:after="120"/>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Así las cosas, el Concurso de Méritos definido en el artículo 2.2.1.2.1.3.1. del Decreto 1082 de 2015, y de acuerdo con el procedimiento establecido en el artículo 2.2.1.2.1.3.2. modificado por el artículo 2 del Decreto 399 de 2021, deberá adelantarse y publicarse de manera temporal a través del Sistema Electrónico de Contratación Pública – SECOP I.</w:t>
      </w:r>
    </w:p>
    <w:p w14:paraId="2E10EEB5" w14:textId="3143BDCE" w:rsidR="00A24B95" w:rsidRPr="00742BED" w:rsidRDefault="00A24B95" w:rsidP="000F5CE5">
      <w:pPr>
        <w:shd w:val="clear" w:color="auto" w:fill="FFFFFF"/>
        <w:spacing w:after="120"/>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En tal sentido, a las Entidades Estatales se les habilitará temporalmente el SECOP I para que publiquen los documentos del concurso de méritos abierto o con precalificación dentro de los tres (3) días siguientes a su expedición, como lo ordena el artículo 2.2.1.1.1.7.1. del Decreto 1082 de 2015.</w:t>
      </w:r>
    </w:p>
    <w:p w14:paraId="6B839885" w14:textId="2AAEE31A" w:rsidR="00A24B95" w:rsidRPr="00742BED" w:rsidRDefault="00A24B95" w:rsidP="000F5CE5">
      <w:pPr>
        <w:shd w:val="clear" w:color="auto" w:fill="FFFFFF"/>
        <w:spacing w:after="120"/>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Los procedimientos de selección que se realicen utilizando los documentos tipo adoptados por la Agencia Nacional de Contratación Pública – Colombia Compra Eficiente, que se adelanten por la modalidad de selección de Concurso de Méritos, también se publicarán transitoriamente en la plataforma SECOP I, mientras se habilita el módulo de Concurso de Méritos en la plataforma SECOP II, teniendo en cuenta la regulación establecida en el Decreto 399 de 2021.</w:t>
      </w:r>
    </w:p>
    <w:p w14:paraId="101DEC00" w14:textId="699F50BA" w:rsidR="00A24B95" w:rsidRPr="00742BED" w:rsidRDefault="00A24B95" w:rsidP="000F5CE5">
      <w:pPr>
        <w:shd w:val="clear" w:color="auto" w:fill="FFFFFF"/>
        <w:spacing w:after="120"/>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Una vez la funcionalidad para la publicación de Concurso de Méritos (abierto o con precalif</w:t>
      </w:r>
      <w:r w:rsidR="00F310FF" w:rsidRPr="00742BED">
        <w:rPr>
          <w:rFonts w:ascii="Arial" w:hAnsi="Arial" w:cs="Arial"/>
          <w:color w:val="000000" w:themeColor="text1"/>
          <w:sz w:val="21"/>
          <w:szCs w:val="21"/>
          <w:lang w:val="es-ES_tradnl"/>
        </w:rPr>
        <w:t>icación) sea implementada en el SECOP II, notificaremos a todos nuestros usuarios a través de nuestros canales oficiales.</w:t>
      </w:r>
    </w:p>
    <w:p w14:paraId="3A7D07C1" w14:textId="76348C5A" w:rsidR="00F310FF" w:rsidRPr="00742BED" w:rsidRDefault="00F310FF" w:rsidP="000F5CE5">
      <w:pPr>
        <w:shd w:val="clear" w:color="auto" w:fill="FFFFFF"/>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La habilitación de permisos en el SECOP I se verá reflejada a partir del 08 de junio 2021.</w:t>
      </w:r>
    </w:p>
    <w:p w14:paraId="55AC124D" w14:textId="30FFDF3E" w:rsidR="00A24B95" w:rsidRPr="00742BED" w:rsidRDefault="00A24B95" w:rsidP="00F310FF">
      <w:pPr>
        <w:spacing w:line="276" w:lineRule="auto"/>
        <w:jc w:val="both"/>
        <w:rPr>
          <w:rFonts w:ascii="Arial" w:eastAsia="Calibri" w:hAnsi="Arial" w:cs="Arial"/>
          <w:color w:val="000000" w:themeColor="text1"/>
          <w:sz w:val="22"/>
          <w:lang w:val="es-ES_tradnl"/>
        </w:rPr>
      </w:pPr>
    </w:p>
    <w:p w14:paraId="63241142" w14:textId="3619A873" w:rsidR="00F310FF" w:rsidRPr="00742BED" w:rsidRDefault="00F310FF" w:rsidP="000F5CE5">
      <w:pPr>
        <w:spacing w:line="276" w:lineRule="auto"/>
        <w:jc w:val="both"/>
        <w:rPr>
          <w:rFonts w:ascii="Arial" w:eastAsia="Calibri" w:hAnsi="Arial" w:cs="Arial"/>
          <w:color w:val="000000" w:themeColor="text1"/>
          <w:sz w:val="22"/>
          <w:lang w:val="es-ES_tradnl"/>
        </w:rPr>
      </w:pPr>
      <w:r w:rsidRPr="00742BED">
        <w:rPr>
          <w:rFonts w:ascii="Arial" w:eastAsia="Calibri" w:hAnsi="Arial" w:cs="Arial"/>
          <w:color w:val="000000" w:themeColor="text1"/>
          <w:sz w:val="22"/>
          <w:lang w:val="es-ES_tradnl"/>
        </w:rPr>
        <w:lastRenderedPageBreak/>
        <w:tab/>
        <w:t>Teniendo en cuenta lo establecido en la Circular citada, mientras se realizan los ajustes a la plataforma del SECOP II, de manera que resulte acorde con la regulación establecida por el Decreto 399 de 2021, las entidades estatales adelantarán los concursos de méritos transitoriamente en la plataforma SECOP I.</w:t>
      </w:r>
    </w:p>
    <w:p w14:paraId="5D22A64C" w14:textId="77777777" w:rsidR="00540617" w:rsidRPr="00742BED" w:rsidRDefault="00540617" w:rsidP="005244FC">
      <w:pPr>
        <w:spacing w:line="276" w:lineRule="auto"/>
        <w:jc w:val="both"/>
        <w:rPr>
          <w:rFonts w:ascii="Arial" w:eastAsia="Calibri" w:hAnsi="Arial" w:cs="Arial"/>
          <w:b/>
          <w:bCs/>
          <w:color w:val="000000" w:themeColor="text1"/>
          <w:sz w:val="22"/>
          <w:szCs w:val="22"/>
          <w:lang w:val="es-ES_tradnl"/>
        </w:rPr>
      </w:pPr>
    </w:p>
    <w:p w14:paraId="0F39B6EF" w14:textId="6FC113D4" w:rsidR="005244FC" w:rsidRPr="00742BED" w:rsidRDefault="005244FC" w:rsidP="005244FC">
      <w:pPr>
        <w:spacing w:line="276" w:lineRule="auto"/>
        <w:jc w:val="both"/>
        <w:rPr>
          <w:rFonts w:ascii="Arial" w:eastAsia="Calibri" w:hAnsi="Arial" w:cs="Arial"/>
          <w:b/>
          <w:bCs/>
          <w:color w:val="000000" w:themeColor="text1"/>
          <w:sz w:val="22"/>
          <w:szCs w:val="22"/>
          <w:lang w:val="es-ES_tradnl"/>
        </w:rPr>
      </w:pPr>
      <w:r w:rsidRPr="00742BED">
        <w:rPr>
          <w:rFonts w:ascii="Arial" w:eastAsia="Calibri" w:hAnsi="Arial" w:cs="Arial"/>
          <w:b/>
          <w:bCs/>
          <w:color w:val="000000" w:themeColor="text1"/>
          <w:sz w:val="22"/>
          <w:szCs w:val="22"/>
          <w:lang w:val="es-ES_tradnl"/>
        </w:rPr>
        <w:t>2.</w:t>
      </w:r>
      <w:r w:rsidR="0024561A" w:rsidRPr="00742BED">
        <w:rPr>
          <w:rFonts w:ascii="Arial" w:eastAsia="Calibri" w:hAnsi="Arial" w:cs="Arial"/>
          <w:b/>
          <w:bCs/>
          <w:color w:val="000000" w:themeColor="text1"/>
          <w:sz w:val="22"/>
          <w:szCs w:val="22"/>
          <w:lang w:val="es-ES_tradnl"/>
        </w:rPr>
        <w:t>2</w:t>
      </w:r>
      <w:r w:rsidRPr="00742BED">
        <w:rPr>
          <w:rFonts w:ascii="Arial" w:eastAsia="Calibri" w:hAnsi="Arial" w:cs="Arial"/>
          <w:b/>
          <w:bCs/>
          <w:color w:val="000000" w:themeColor="text1"/>
          <w:sz w:val="22"/>
          <w:szCs w:val="22"/>
          <w:lang w:val="es-ES_tradnl"/>
        </w:rPr>
        <w:t>. Factores de desempate en la contratación estatal: concepto y características</w:t>
      </w:r>
    </w:p>
    <w:p w14:paraId="342BA812" w14:textId="77777777" w:rsidR="005244FC" w:rsidRPr="00742BED" w:rsidRDefault="005244FC" w:rsidP="005244FC">
      <w:pPr>
        <w:spacing w:line="276" w:lineRule="auto"/>
        <w:jc w:val="both"/>
        <w:rPr>
          <w:rFonts w:ascii="Arial" w:eastAsia="Calibri" w:hAnsi="Arial" w:cs="Arial"/>
          <w:color w:val="000000" w:themeColor="text1"/>
          <w:sz w:val="22"/>
          <w:szCs w:val="22"/>
          <w:lang w:val="es-ES_tradnl"/>
        </w:rPr>
      </w:pPr>
    </w:p>
    <w:p w14:paraId="09DB8BB1" w14:textId="6FCC584B" w:rsidR="005244FC" w:rsidRPr="00742BED" w:rsidRDefault="005244FC" w:rsidP="005244FC">
      <w:pPr>
        <w:spacing w:line="276" w:lineRule="auto"/>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468AADE9" w14:textId="2F8018D9" w:rsidR="005244FC" w:rsidRPr="00742BED" w:rsidRDefault="005244FC" w:rsidP="005244FC">
      <w:pPr>
        <w:spacing w:before="120" w:line="276" w:lineRule="auto"/>
        <w:ind w:firstLine="709"/>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t xml:space="preserve">En esta perspectiva, los requisitos habilitantes o de participación, así como los criterios de evaluación o de calificación con puntos, son instrumentos por medio de los cuales se pretende </w:t>
      </w:r>
      <w:r w:rsidR="00060569" w:rsidRPr="00742BED">
        <w:rPr>
          <w:rFonts w:ascii="Arial" w:eastAsia="Calibri" w:hAnsi="Arial" w:cs="Arial"/>
          <w:color w:val="000000" w:themeColor="text1"/>
          <w:sz w:val="22"/>
          <w:szCs w:val="22"/>
          <w:lang w:val="es-ES_tradnl"/>
        </w:rPr>
        <w:t>materializar el</w:t>
      </w:r>
      <w:r w:rsidRPr="00742BED">
        <w:rPr>
          <w:rFonts w:ascii="Arial" w:eastAsia="Calibri" w:hAnsi="Arial" w:cs="Arial"/>
          <w:color w:val="000000" w:themeColor="text1"/>
          <w:sz w:val="22"/>
          <w:szCs w:val="22"/>
          <w:lang w:val="es-ES_tradnl"/>
        </w:rPr>
        <w:t xml:space="preserve"> principio de selección objetiva en la contratación pública. Sin embargo, en algunas ocasiones, así se establezcan requisitos habilitantes y factores de calificación </w:t>
      </w:r>
      <w:r w:rsidR="00961595" w:rsidRPr="00742BED">
        <w:rPr>
          <w:rFonts w:ascii="Arial" w:eastAsia="Calibri" w:hAnsi="Arial" w:cs="Arial"/>
          <w:color w:val="000000" w:themeColor="text1"/>
          <w:sz w:val="22"/>
          <w:szCs w:val="22"/>
          <w:lang w:val="es-ES_tradnl"/>
        </w:rPr>
        <w:t>adecuados</w:t>
      </w:r>
      <w:r w:rsidRPr="00742BED">
        <w:rPr>
          <w:rFonts w:ascii="Arial" w:eastAsia="Calibri" w:hAnsi="Arial" w:cs="Arial"/>
          <w:color w:val="000000" w:themeColor="text1"/>
          <w:sz w:val="22"/>
          <w:szCs w:val="22"/>
          <w:lang w:val="es-ES_tradnl"/>
        </w:rPr>
        <w:t xml:space="preserve">,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w:t>
      </w:r>
      <w:r w:rsidR="00961595" w:rsidRPr="00742BED">
        <w:rPr>
          <w:rFonts w:ascii="Arial" w:eastAsia="Calibri" w:hAnsi="Arial" w:cs="Arial"/>
          <w:color w:val="000000" w:themeColor="text1"/>
          <w:sz w:val="22"/>
          <w:szCs w:val="22"/>
          <w:lang w:val="es-ES_tradnl"/>
        </w:rPr>
        <w:t>equivalente</w:t>
      </w:r>
      <w:r w:rsidRPr="00742BED">
        <w:rPr>
          <w:rFonts w:ascii="Arial" w:eastAsia="Calibri" w:hAnsi="Arial" w:cs="Arial"/>
          <w:color w:val="000000" w:themeColor="text1"/>
          <w:sz w:val="22"/>
          <w:szCs w:val="22"/>
          <w:lang w:val="es-ES_tradnl"/>
        </w:rPr>
        <w:t xml:space="preserve">, al ponderarse los criterios de calificación que, en principio, aplican al procedimiento de selección. </w:t>
      </w:r>
    </w:p>
    <w:p w14:paraId="513EAEB7" w14:textId="60460F67" w:rsidR="005244FC" w:rsidRPr="00742BED" w:rsidRDefault="00961595" w:rsidP="005244FC">
      <w:pPr>
        <w:spacing w:before="120" w:line="276" w:lineRule="auto"/>
        <w:ind w:firstLine="709"/>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t>Sin embargo</w:t>
      </w:r>
      <w:r w:rsidR="005244FC" w:rsidRPr="00742BED">
        <w:rPr>
          <w:rFonts w:ascii="Arial" w:eastAsia="Calibri" w:hAnsi="Arial" w:cs="Arial"/>
          <w:color w:val="000000" w:themeColor="text1"/>
          <w:sz w:val="22"/>
          <w:szCs w:val="22"/>
          <w:lang w:val="es-ES_tradnl"/>
        </w:rPr>
        <w:t xml:space="preserve">, 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Precisamente, dentro de dichas disposiciones se </w:t>
      </w:r>
      <w:r w:rsidR="002742D0" w:rsidRPr="00742BED">
        <w:rPr>
          <w:rFonts w:ascii="Arial" w:eastAsia="Calibri" w:hAnsi="Arial" w:cs="Arial"/>
          <w:color w:val="000000" w:themeColor="text1"/>
          <w:sz w:val="22"/>
          <w:szCs w:val="22"/>
          <w:lang w:val="es-ES_tradnl"/>
        </w:rPr>
        <w:t>encuentra</w:t>
      </w:r>
      <w:r w:rsidR="005244FC" w:rsidRPr="00742BED">
        <w:rPr>
          <w:rFonts w:ascii="Arial" w:eastAsia="Calibri" w:hAnsi="Arial" w:cs="Arial"/>
          <w:color w:val="000000" w:themeColor="text1"/>
          <w:sz w:val="22"/>
          <w:szCs w:val="22"/>
          <w:lang w:val="es-ES_tradnl"/>
        </w:rPr>
        <w:t xml:space="preserve"> el artículo 35 de la Ley </w:t>
      </w:r>
      <w:r w:rsidR="007B209C" w:rsidRPr="00742BED">
        <w:rPr>
          <w:rFonts w:ascii="Arial" w:eastAsia="Calibri" w:hAnsi="Arial" w:cs="Arial"/>
          <w:color w:val="000000" w:themeColor="text1"/>
          <w:sz w:val="22"/>
          <w:szCs w:val="22"/>
          <w:lang w:val="es-ES_tradnl"/>
        </w:rPr>
        <w:t>2069</w:t>
      </w:r>
      <w:r w:rsidR="005244FC" w:rsidRPr="00742BED">
        <w:rPr>
          <w:rFonts w:ascii="Arial" w:eastAsia="Calibri" w:hAnsi="Arial" w:cs="Arial"/>
          <w:color w:val="000000" w:themeColor="text1"/>
          <w:sz w:val="22"/>
          <w:szCs w:val="22"/>
          <w:lang w:val="es-ES_tradnl"/>
        </w:rPr>
        <w:t xml:space="preserve"> de 2020. La </w:t>
      </w:r>
      <w:r w:rsidR="009B6863" w:rsidRPr="00742BED">
        <w:rPr>
          <w:rFonts w:ascii="Arial" w:eastAsia="Calibri" w:hAnsi="Arial" w:cs="Arial"/>
          <w:color w:val="000000" w:themeColor="text1"/>
          <w:sz w:val="22"/>
          <w:szCs w:val="22"/>
          <w:lang w:val="es-ES_tradnl"/>
        </w:rPr>
        <w:t>jurisprudencia</w:t>
      </w:r>
      <w:r w:rsidR="005244FC" w:rsidRPr="00742BED">
        <w:rPr>
          <w:rFonts w:ascii="Arial" w:eastAsia="Calibri" w:hAnsi="Arial" w:cs="Arial"/>
          <w:color w:val="000000" w:themeColor="text1"/>
          <w:sz w:val="22"/>
          <w:szCs w:val="22"/>
          <w:lang w:val="es-ES_tradnl"/>
        </w:rPr>
        <w:t xml:space="preserve"> comparte la idea de que los criterios de desempate deben estar establecidos de antemano </w:t>
      </w:r>
      <w:r w:rsidR="005244FC" w:rsidRPr="00742BED">
        <w:rPr>
          <w:rFonts w:ascii="Arial" w:eastAsia="Calibri" w:hAnsi="Arial" w:cs="Arial"/>
          <w:color w:val="000000" w:themeColor="text1"/>
          <w:sz w:val="22"/>
          <w:szCs w:val="22"/>
          <w:lang w:val="es-ES_tradnl"/>
        </w:rPr>
        <w:lastRenderedPageBreak/>
        <w:t>y constituyen un límite a la discrecionalidad administrativa en los procedimientos de selección</w:t>
      </w:r>
      <w:r w:rsidR="008C1918" w:rsidRPr="00742BED">
        <w:rPr>
          <w:rStyle w:val="Refdenotaalpie"/>
          <w:rFonts w:ascii="Arial" w:hAnsi="Arial" w:cs="Arial"/>
          <w:sz w:val="21"/>
          <w:szCs w:val="21"/>
          <w:lang w:val="es-ES_tradnl"/>
        </w:rPr>
        <w:footnoteReference w:id="8"/>
      </w:r>
      <w:r w:rsidR="005244FC" w:rsidRPr="00742BED">
        <w:rPr>
          <w:rFonts w:ascii="Arial" w:eastAsia="Calibri" w:hAnsi="Arial" w:cs="Arial"/>
          <w:color w:val="000000" w:themeColor="text1"/>
          <w:sz w:val="22"/>
          <w:szCs w:val="22"/>
          <w:lang w:val="es-ES_tradnl"/>
        </w:rPr>
        <w:t xml:space="preserve">. </w:t>
      </w:r>
    </w:p>
    <w:p w14:paraId="6CC191F9" w14:textId="1C112037" w:rsidR="005244FC" w:rsidRPr="00742BED" w:rsidRDefault="005244FC" w:rsidP="005244FC">
      <w:pPr>
        <w:spacing w:before="120" w:line="276" w:lineRule="auto"/>
        <w:ind w:firstLine="709"/>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t>En tal sentido, la Corte Constitucional explica que cuando la ley establece factores de desempate obligatorios, las entidades estatales no pueden inaplicarlos, porque ello podría vulnerar el principio de igualdad, especialmente, cuando algunos de estos criterios surgen como acciones afirmativas para ciertos sectores de la población</w:t>
      </w:r>
      <w:r w:rsidRPr="00742BED">
        <w:rPr>
          <w:rStyle w:val="Refdenotaalpie"/>
          <w:rFonts w:ascii="Arial" w:eastAsia="Calibri" w:hAnsi="Arial" w:cs="Arial"/>
          <w:color w:val="000000" w:themeColor="text1"/>
          <w:sz w:val="22"/>
          <w:szCs w:val="22"/>
          <w:lang w:val="es-ES_tradnl"/>
        </w:rPr>
        <w:footnoteReference w:id="9"/>
      </w:r>
      <w:r w:rsidRPr="00742BED">
        <w:rPr>
          <w:rFonts w:ascii="Arial" w:eastAsia="Calibri" w:hAnsi="Arial" w:cs="Arial"/>
          <w:color w:val="000000" w:themeColor="text1"/>
          <w:sz w:val="22"/>
          <w:szCs w:val="22"/>
          <w:lang w:val="es-ES_tradnl"/>
        </w:rPr>
        <w:t xml:space="preserve">. </w:t>
      </w:r>
      <w:r w:rsidR="003B7257">
        <w:rPr>
          <w:rFonts w:ascii="Arial" w:eastAsia="Calibri" w:hAnsi="Arial" w:cs="Arial"/>
          <w:color w:val="000000" w:themeColor="text1"/>
          <w:sz w:val="22"/>
          <w:szCs w:val="22"/>
          <w:lang w:val="es-ES_tradnl"/>
        </w:rPr>
        <w:t>Más aún</w:t>
      </w:r>
      <w:r w:rsidRPr="00742BED">
        <w:rPr>
          <w:rFonts w:ascii="Arial" w:eastAsia="Calibri" w:hAnsi="Arial" w:cs="Arial"/>
          <w:color w:val="000000" w:themeColor="text1"/>
          <w:sz w:val="22"/>
          <w:szCs w:val="22"/>
          <w:lang w:val="es-ES_tradnl"/>
        </w:rPr>
        <w:t>, según el Consejo de Estado, ir en contra de los factores de desempate establecidos expresamente genera la nulidad del contrato, conforme al artículo 44, inciso 1º de la Ley 80 de 1993</w:t>
      </w:r>
      <w:r w:rsidRPr="00742BED">
        <w:rPr>
          <w:rStyle w:val="Refdenotaalpie"/>
          <w:rFonts w:ascii="Arial" w:eastAsia="Calibri" w:hAnsi="Arial" w:cs="Arial"/>
          <w:color w:val="000000" w:themeColor="text1"/>
          <w:sz w:val="22"/>
          <w:szCs w:val="22"/>
          <w:lang w:val="es-ES_tradnl"/>
        </w:rPr>
        <w:footnoteReference w:id="10"/>
      </w:r>
      <w:r w:rsidRPr="00742BED">
        <w:rPr>
          <w:rFonts w:ascii="Arial" w:eastAsia="Calibri" w:hAnsi="Arial" w:cs="Arial"/>
          <w:color w:val="000000" w:themeColor="text1"/>
          <w:sz w:val="22"/>
          <w:szCs w:val="22"/>
          <w:lang w:val="es-ES_tradnl"/>
        </w:rPr>
        <w:t>.</w:t>
      </w:r>
    </w:p>
    <w:p w14:paraId="5909E216" w14:textId="77777777" w:rsidR="005244FC" w:rsidRPr="00742BED" w:rsidRDefault="005244FC" w:rsidP="005244FC">
      <w:pPr>
        <w:spacing w:before="120" w:line="276" w:lineRule="auto"/>
        <w:ind w:firstLine="709"/>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t xml:space="preserve">Ahora bien, en cumplimiento de los principios de reciprocidad y de </w:t>
      </w:r>
      <w:r w:rsidRPr="00742BED">
        <w:rPr>
          <w:rFonts w:ascii="Arial" w:eastAsia="Calibri" w:hAnsi="Arial" w:cs="Arial"/>
          <w:i/>
          <w:iCs/>
          <w:color w:val="000000" w:themeColor="text1"/>
          <w:sz w:val="22"/>
          <w:szCs w:val="22"/>
          <w:lang w:val="es-ES_tradnl"/>
        </w:rPr>
        <w:t xml:space="preserve">pacta </w:t>
      </w:r>
      <w:proofErr w:type="spellStart"/>
      <w:r w:rsidRPr="00742BED">
        <w:rPr>
          <w:rFonts w:ascii="Arial" w:eastAsia="Calibri" w:hAnsi="Arial" w:cs="Arial"/>
          <w:i/>
          <w:iCs/>
          <w:color w:val="000000" w:themeColor="text1"/>
          <w:sz w:val="22"/>
          <w:szCs w:val="22"/>
          <w:lang w:val="es-ES_tradnl"/>
        </w:rPr>
        <w:t>sunt</w:t>
      </w:r>
      <w:proofErr w:type="spellEnd"/>
      <w:r w:rsidRPr="00742BED">
        <w:rPr>
          <w:rFonts w:ascii="Arial" w:eastAsia="Calibri" w:hAnsi="Arial" w:cs="Arial"/>
          <w:i/>
          <w:iCs/>
          <w:color w:val="000000" w:themeColor="text1"/>
          <w:sz w:val="22"/>
          <w:szCs w:val="22"/>
          <w:lang w:val="es-ES_tradnl"/>
        </w:rPr>
        <w:t xml:space="preserve"> </w:t>
      </w:r>
      <w:proofErr w:type="spellStart"/>
      <w:r w:rsidRPr="00742BED">
        <w:rPr>
          <w:rFonts w:ascii="Arial" w:eastAsia="Calibri" w:hAnsi="Arial" w:cs="Arial"/>
          <w:i/>
          <w:iCs/>
          <w:color w:val="000000" w:themeColor="text1"/>
          <w:sz w:val="22"/>
          <w:szCs w:val="22"/>
          <w:lang w:val="es-ES_tradnl"/>
        </w:rPr>
        <w:t>servanda</w:t>
      </w:r>
      <w:proofErr w:type="spellEnd"/>
      <w:r w:rsidRPr="00742BED">
        <w:rPr>
          <w:rFonts w:ascii="Arial" w:eastAsia="Calibri" w:hAnsi="Arial" w:cs="Arial"/>
          <w:color w:val="000000" w:themeColor="text1"/>
          <w:sz w:val="22"/>
          <w:szCs w:val="22"/>
          <w:lang w:val="es-ES_tradnl"/>
        </w:rPr>
        <w:t xml:space="preserve">, los factores de desempate que rigen la contratación estatal deben guardar armonía con los tratados comerciales internacionales suscritos por el Estado colombiano. Por tanto, las normas internas deben acoplarse a lo establecido en los acuerdos, pues estos prevalecen. Así lo precisó la Agencia Nacional de Contratación Pública – Colombia Compra Eficiente en el numeral IV, literal C, del «Manual para el manejo de los incentivos en los procesos de contratación». </w:t>
      </w:r>
    </w:p>
    <w:p w14:paraId="6B333DBB" w14:textId="77777777" w:rsidR="005244FC" w:rsidRPr="00742BED" w:rsidRDefault="005244FC" w:rsidP="005244FC">
      <w:pPr>
        <w:spacing w:line="276" w:lineRule="auto"/>
        <w:rPr>
          <w:rFonts w:ascii="Arial" w:eastAsia="Calibri" w:hAnsi="Arial" w:cs="Arial"/>
          <w:color w:val="000000" w:themeColor="text1"/>
          <w:sz w:val="22"/>
          <w:szCs w:val="22"/>
          <w:lang w:val="es-ES_tradnl"/>
        </w:rPr>
      </w:pPr>
    </w:p>
    <w:p w14:paraId="27D423AC" w14:textId="2EFC1546" w:rsidR="005244FC" w:rsidRPr="00742BED" w:rsidRDefault="005244FC" w:rsidP="005244FC">
      <w:pPr>
        <w:spacing w:line="276" w:lineRule="auto"/>
        <w:jc w:val="both"/>
        <w:rPr>
          <w:rFonts w:ascii="Arial" w:eastAsia="Calibri" w:hAnsi="Arial" w:cs="Arial"/>
          <w:b/>
          <w:bCs/>
          <w:color w:val="000000" w:themeColor="text1"/>
          <w:sz w:val="22"/>
          <w:szCs w:val="22"/>
          <w:lang w:val="es-ES_tradnl"/>
        </w:rPr>
      </w:pPr>
      <w:r w:rsidRPr="00742BED">
        <w:rPr>
          <w:rFonts w:ascii="Arial" w:eastAsia="Calibri" w:hAnsi="Arial" w:cs="Arial"/>
          <w:b/>
          <w:bCs/>
          <w:color w:val="000000" w:themeColor="text1"/>
          <w:sz w:val="22"/>
          <w:szCs w:val="22"/>
          <w:lang w:val="es-ES_tradnl"/>
        </w:rPr>
        <w:t>2.</w:t>
      </w:r>
      <w:r w:rsidR="00AE5964" w:rsidRPr="00742BED">
        <w:rPr>
          <w:rFonts w:ascii="Arial" w:eastAsia="Calibri" w:hAnsi="Arial" w:cs="Arial"/>
          <w:b/>
          <w:bCs/>
          <w:color w:val="000000" w:themeColor="text1"/>
          <w:sz w:val="22"/>
          <w:szCs w:val="22"/>
          <w:lang w:val="es-ES_tradnl"/>
        </w:rPr>
        <w:t>3</w:t>
      </w:r>
      <w:r w:rsidRPr="00742BED">
        <w:rPr>
          <w:rFonts w:ascii="Arial" w:eastAsia="Calibri" w:hAnsi="Arial" w:cs="Arial"/>
          <w:b/>
          <w:bCs/>
          <w:color w:val="000000" w:themeColor="text1"/>
          <w:sz w:val="22"/>
          <w:szCs w:val="22"/>
          <w:lang w:val="es-ES_tradnl"/>
        </w:rPr>
        <w:t xml:space="preserve">. Vigencia y ámbito de aplicación de la Ley </w:t>
      </w:r>
      <w:r w:rsidR="007B209C" w:rsidRPr="00742BED">
        <w:rPr>
          <w:rFonts w:ascii="Arial" w:eastAsia="Calibri" w:hAnsi="Arial" w:cs="Arial"/>
          <w:b/>
          <w:bCs/>
          <w:color w:val="000000" w:themeColor="text1"/>
          <w:sz w:val="22"/>
          <w:szCs w:val="22"/>
          <w:lang w:val="es-ES_tradnl"/>
        </w:rPr>
        <w:t>2069</w:t>
      </w:r>
      <w:r w:rsidRPr="00742BED">
        <w:rPr>
          <w:rFonts w:ascii="Arial" w:eastAsia="Calibri" w:hAnsi="Arial" w:cs="Arial"/>
          <w:b/>
          <w:bCs/>
          <w:color w:val="000000" w:themeColor="text1"/>
          <w:sz w:val="22"/>
          <w:szCs w:val="22"/>
          <w:lang w:val="es-ES_tradnl"/>
        </w:rPr>
        <w:t xml:space="preserve"> de 2020</w:t>
      </w:r>
    </w:p>
    <w:p w14:paraId="10695754" w14:textId="77777777" w:rsidR="005244FC" w:rsidRPr="00742BED" w:rsidRDefault="005244FC" w:rsidP="005244FC">
      <w:pPr>
        <w:spacing w:line="276" w:lineRule="auto"/>
        <w:jc w:val="both"/>
        <w:rPr>
          <w:rFonts w:ascii="Arial" w:eastAsia="Calibri" w:hAnsi="Arial" w:cs="Arial"/>
          <w:color w:val="000000" w:themeColor="text1"/>
          <w:sz w:val="22"/>
          <w:szCs w:val="22"/>
          <w:lang w:val="es-ES_tradnl"/>
        </w:rPr>
      </w:pPr>
    </w:p>
    <w:p w14:paraId="37909170" w14:textId="77777777" w:rsidR="00CC1C03" w:rsidRPr="00742BED" w:rsidRDefault="00CC1C03" w:rsidP="00CC1C03">
      <w:pPr>
        <w:spacing w:line="276" w:lineRule="auto"/>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t>El 31 de diciembre de 2020 se promulgó la Ley 2069, «Por medio de la cual se impulsa el emprendimiento en Colombia». De acuerdo con el artículo 84 de dicho cuerpo normativo,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expida el decreto correspondiente que permita la cumplida ejecución de esta Ley.</w:t>
      </w:r>
    </w:p>
    <w:p w14:paraId="40284C15" w14:textId="7AC9C2B3" w:rsidR="00CC1C03" w:rsidRPr="00742BED" w:rsidRDefault="00CC1C03" w:rsidP="00CC1C03">
      <w:pPr>
        <w:spacing w:before="120" w:line="276" w:lineRule="auto"/>
        <w:ind w:firstLine="709"/>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t xml:space="preserve">En cuanto a su contenido, es importante señalar que, como dispone el artículo 1, aquella «tiene por objeto establecer un marco regulatorio que propicie el emprendimiento y el crecimiento, consolidación y sostenibilidad de las empresas, con el fin de aumentar el </w:t>
      </w:r>
      <w:r w:rsidRPr="00742BED">
        <w:rPr>
          <w:rFonts w:ascii="Arial" w:eastAsia="Calibri" w:hAnsi="Arial" w:cs="Arial"/>
          <w:color w:val="000000" w:themeColor="text1"/>
          <w:sz w:val="22"/>
          <w:szCs w:val="22"/>
          <w:lang w:val="es-ES_tradnl"/>
        </w:rPr>
        <w:lastRenderedPageBreak/>
        <w:t xml:space="preserve">bienestar social y generar equidad». </w:t>
      </w:r>
      <w:r w:rsidR="0084008B" w:rsidRPr="00742BED">
        <w:rPr>
          <w:rFonts w:ascii="Arial" w:eastAsia="Calibri" w:hAnsi="Arial" w:cs="Arial"/>
          <w:color w:val="000000" w:themeColor="text1"/>
          <w:sz w:val="22"/>
          <w:szCs w:val="22"/>
          <w:lang w:val="es-ES_tradnl"/>
        </w:rPr>
        <w:t>Lo anterior</w:t>
      </w:r>
      <w:r w:rsidRPr="00742BED">
        <w:rPr>
          <w:rFonts w:ascii="Arial" w:eastAsia="Calibri" w:hAnsi="Arial" w:cs="Arial"/>
          <w:color w:val="000000" w:themeColor="text1"/>
          <w:sz w:val="22"/>
          <w:szCs w:val="22"/>
          <w:lang w:val="es-ES_tradnl"/>
        </w:rPr>
        <w:t>, a partir de «[…] un enfoque regionalizado de acuerdo a las realidades socioeconómicas de cada región». En desarrollo de esta finalidad, se establecen medidas de apoyo para las micro, pequeñas y medianas empresas –</w:t>
      </w:r>
      <w:proofErr w:type="spellStart"/>
      <w:r w:rsidRPr="00742BED">
        <w:rPr>
          <w:rFonts w:ascii="Arial" w:eastAsia="Calibri" w:hAnsi="Arial" w:cs="Arial"/>
          <w:color w:val="000000" w:themeColor="text1"/>
          <w:sz w:val="22"/>
          <w:szCs w:val="22"/>
          <w:lang w:val="es-ES_tradnl"/>
        </w:rPr>
        <w:t>mipymes</w:t>
      </w:r>
      <w:proofErr w:type="spellEnd"/>
      <w:r w:rsidRPr="00742BED">
        <w:rPr>
          <w:rFonts w:ascii="Arial" w:eastAsia="Calibri" w:hAnsi="Arial" w:cs="Arial"/>
          <w:color w:val="000000" w:themeColor="text1"/>
          <w:sz w:val="22"/>
          <w:szCs w:val="22"/>
          <w:lang w:val="es-ES_tradnl"/>
        </w:rPr>
        <w:t>–, mediante la racionalización y simplificación de los trámites y tarifas</w:t>
      </w:r>
      <w:r w:rsidRPr="00742BED">
        <w:rPr>
          <w:rStyle w:val="Refdenotaalpie"/>
          <w:rFonts w:ascii="Arial" w:eastAsia="Calibri" w:hAnsi="Arial" w:cs="Arial"/>
          <w:color w:val="000000" w:themeColor="text1"/>
          <w:sz w:val="22"/>
          <w:szCs w:val="22"/>
          <w:lang w:val="es-ES_tradnl"/>
        </w:rPr>
        <w:footnoteReference w:id="11"/>
      </w:r>
      <w:r w:rsidRPr="00742BED">
        <w:rPr>
          <w:rFonts w:ascii="Arial" w:eastAsia="Calibri" w:hAnsi="Arial" w:cs="Arial"/>
          <w:color w:val="000000" w:themeColor="text1"/>
          <w:sz w:val="22"/>
          <w:szCs w:val="22"/>
          <w:lang w:val="es-ES_tradnl"/>
        </w:rPr>
        <w:t>, así como incentivos a favor de aquellas dentro del sistema de compras y contratación pública</w:t>
      </w:r>
      <w:r w:rsidRPr="00742BED">
        <w:rPr>
          <w:rStyle w:val="Refdenotaalpie"/>
          <w:rFonts w:ascii="Arial" w:eastAsia="Calibri" w:hAnsi="Arial" w:cs="Arial"/>
          <w:color w:val="000000" w:themeColor="text1"/>
          <w:sz w:val="22"/>
          <w:szCs w:val="22"/>
          <w:lang w:val="es-ES_tradnl"/>
        </w:rPr>
        <w:footnoteReference w:id="12"/>
      </w:r>
      <w:r w:rsidRPr="00742BED">
        <w:rPr>
          <w:rFonts w:ascii="Arial" w:eastAsia="Calibri" w:hAnsi="Arial" w:cs="Arial"/>
          <w:color w:val="000000" w:themeColor="text1"/>
          <w:sz w:val="22"/>
          <w:szCs w:val="22"/>
          <w:lang w:val="es-ES_tradnl"/>
        </w:rPr>
        <w:t>. De igual forma, se consagran mecanismos de acceso al financiamiento</w:t>
      </w:r>
      <w:r w:rsidRPr="00742BED">
        <w:rPr>
          <w:rStyle w:val="Refdenotaalpie"/>
          <w:rFonts w:ascii="Arial" w:eastAsia="Calibri" w:hAnsi="Arial" w:cs="Arial"/>
          <w:color w:val="000000" w:themeColor="text1"/>
          <w:sz w:val="22"/>
          <w:szCs w:val="22"/>
          <w:lang w:val="es-ES_tradnl"/>
        </w:rPr>
        <w:footnoteReference w:id="13"/>
      </w:r>
      <w:r w:rsidRPr="00742BED">
        <w:rPr>
          <w:rFonts w:ascii="Arial" w:eastAsia="Calibri" w:hAnsi="Arial" w:cs="Arial"/>
          <w:color w:val="000000" w:themeColor="text1"/>
          <w:sz w:val="22"/>
          <w:szCs w:val="22"/>
          <w:lang w:val="es-ES_tradnl"/>
        </w:rPr>
        <w:t>, se unifican las fuentes de emprendimiento y de desarrollo empresarial, para fortalecer y promover los distintos sectores de la economía</w:t>
      </w:r>
      <w:r w:rsidRPr="00742BED">
        <w:rPr>
          <w:rStyle w:val="Refdenotaalpie"/>
          <w:rFonts w:ascii="Arial" w:eastAsia="Calibri" w:hAnsi="Arial" w:cs="Arial"/>
          <w:color w:val="000000" w:themeColor="text1"/>
          <w:sz w:val="22"/>
          <w:szCs w:val="22"/>
          <w:lang w:val="es-ES_tradnl"/>
        </w:rPr>
        <w:footnoteReference w:id="14"/>
      </w:r>
      <w:r w:rsidRPr="00742BED">
        <w:rPr>
          <w:rFonts w:ascii="Arial" w:eastAsia="Calibri" w:hAnsi="Arial" w:cs="Arial"/>
          <w:color w:val="000000" w:themeColor="text1"/>
          <w:sz w:val="22"/>
          <w:szCs w:val="22"/>
          <w:lang w:val="es-ES_tradnl"/>
        </w:rPr>
        <w:t xml:space="preserve"> y se prevén medidas de educación para el emprendimiento y la innovación</w:t>
      </w:r>
      <w:r w:rsidRPr="00742BED">
        <w:rPr>
          <w:rStyle w:val="Refdenotaalpie"/>
          <w:rFonts w:ascii="Arial" w:eastAsia="Calibri" w:hAnsi="Arial" w:cs="Arial"/>
          <w:color w:val="000000" w:themeColor="text1"/>
          <w:sz w:val="22"/>
          <w:szCs w:val="22"/>
          <w:lang w:val="es-ES_tradnl"/>
        </w:rPr>
        <w:footnoteReference w:id="15"/>
      </w:r>
      <w:r w:rsidRPr="00742BED">
        <w:rPr>
          <w:rFonts w:ascii="Arial" w:eastAsia="Calibri" w:hAnsi="Arial" w:cs="Arial"/>
          <w:color w:val="000000" w:themeColor="text1"/>
          <w:sz w:val="22"/>
          <w:szCs w:val="22"/>
          <w:lang w:val="es-ES_tradnl"/>
        </w:rPr>
        <w:t>.</w:t>
      </w:r>
    </w:p>
    <w:p w14:paraId="64FB85A9" w14:textId="77777777" w:rsidR="00CC1C03" w:rsidRPr="00742BED" w:rsidRDefault="00CC1C03" w:rsidP="00CC1C03">
      <w:pPr>
        <w:spacing w:before="120" w:line="276" w:lineRule="auto"/>
        <w:ind w:firstLine="709"/>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w:t>
      </w:r>
      <w:proofErr w:type="spellStart"/>
      <w:r w:rsidRPr="00742BED">
        <w:rPr>
          <w:rFonts w:ascii="Arial" w:eastAsia="Calibri" w:hAnsi="Arial" w:cs="Arial"/>
          <w:color w:val="000000" w:themeColor="text1"/>
          <w:sz w:val="22"/>
          <w:szCs w:val="22"/>
          <w:lang w:val="es-ES_tradnl"/>
        </w:rPr>
        <w:t>mipymes</w:t>
      </w:r>
      <w:proofErr w:type="spellEnd"/>
      <w:r w:rsidRPr="00742BED">
        <w:rPr>
          <w:rFonts w:ascii="Arial" w:eastAsia="Calibri" w:hAnsi="Arial" w:cs="Arial"/>
          <w:color w:val="000000" w:themeColor="text1"/>
          <w:sz w:val="22"/>
          <w:szCs w:val="22"/>
          <w:lang w:val="es-ES_tradnl"/>
        </w:rPr>
        <w:t xml:space="preserve"> en el procedimiento de mínima cuantía, ii) criterios diferenciales para </w:t>
      </w:r>
      <w:proofErr w:type="spellStart"/>
      <w:r w:rsidRPr="00742BED">
        <w:rPr>
          <w:rFonts w:ascii="Arial" w:eastAsia="Calibri" w:hAnsi="Arial" w:cs="Arial"/>
          <w:color w:val="000000" w:themeColor="text1"/>
          <w:sz w:val="22"/>
          <w:szCs w:val="22"/>
          <w:lang w:val="es-ES_tradnl"/>
        </w:rPr>
        <w:t>mipymes</w:t>
      </w:r>
      <w:proofErr w:type="spellEnd"/>
      <w:r w:rsidRPr="00742BED">
        <w:rPr>
          <w:rFonts w:ascii="Arial" w:eastAsia="Calibri" w:hAnsi="Arial" w:cs="Arial"/>
          <w:color w:val="000000" w:themeColor="text1"/>
          <w:sz w:val="22"/>
          <w:szCs w:val="22"/>
          <w:lang w:val="es-ES_tradnl"/>
        </w:rPr>
        <w:t xml:space="preserve"> en el sistema de compras públicas, iii) criterios diferenciales para emprendimientos y empresas de mujeres en el sistema de compras públicas, iv) promoción del acceso de las </w:t>
      </w:r>
      <w:proofErr w:type="spellStart"/>
      <w:r w:rsidRPr="00742BED">
        <w:rPr>
          <w:rFonts w:ascii="Arial" w:eastAsia="Calibri" w:hAnsi="Arial" w:cs="Arial"/>
          <w:color w:val="000000" w:themeColor="text1"/>
          <w:sz w:val="22"/>
          <w:szCs w:val="22"/>
          <w:lang w:val="es-ES_tradnl"/>
        </w:rPr>
        <w:t>mipymes</w:t>
      </w:r>
      <w:proofErr w:type="spellEnd"/>
      <w:r w:rsidRPr="00742BED">
        <w:rPr>
          <w:rFonts w:ascii="Arial" w:eastAsia="Calibri" w:hAnsi="Arial" w:cs="Arial"/>
          <w:color w:val="000000" w:themeColor="text1"/>
          <w:sz w:val="22"/>
          <w:szCs w:val="22"/>
          <w:lang w:val="es-ES_tradnl"/>
        </w:rPr>
        <w:t xml:space="preserve">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ley, a continuación se estudiará el contenido y alcance de dicha norma.  </w:t>
      </w:r>
    </w:p>
    <w:p w14:paraId="76F598EA" w14:textId="77777777" w:rsidR="006C189C" w:rsidRPr="00742BED" w:rsidRDefault="006C189C" w:rsidP="00833ADA">
      <w:pPr>
        <w:spacing w:line="276" w:lineRule="auto"/>
        <w:jc w:val="both"/>
        <w:rPr>
          <w:rFonts w:ascii="Arial" w:eastAsia="Calibri" w:hAnsi="Arial" w:cs="Arial"/>
          <w:color w:val="000000" w:themeColor="text1"/>
          <w:sz w:val="22"/>
          <w:szCs w:val="22"/>
          <w:lang w:val="es-ES_tradnl"/>
        </w:rPr>
      </w:pPr>
    </w:p>
    <w:p w14:paraId="2C2833A6" w14:textId="293F3687" w:rsidR="00833ADA" w:rsidRPr="00742BED" w:rsidRDefault="00523F41" w:rsidP="00833ADA">
      <w:pPr>
        <w:spacing w:line="276" w:lineRule="auto"/>
        <w:jc w:val="both"/>
        <w:rPr>
          <w:rFonts w:ascii="Arial" w:eastAsia="Calibri" w:hAnsi="Arial" w:cs="Arial"/>
          <w:b/>
          <w:bCs/>
          <w:color w:val="000000" w:themeColor="text1"/>
          <w:sz w:val="22"/>
          <w:szCs w:val="22"/>
          <w:lang w:val="es-ES_tradnl"/>
        </w:rPr>
      </w:pPr>
      <w:r w:rsidRPr="00742BED">
        <w:rPr>
          <w:rFonts w:ascii="Arial" w:eastAsia="Calibri" w:hAnsi="Arial" w:cs="Arial"/>
          <w:b/>
          <w:bCs/>
          <w:color w:val="000000" w:themeColor="text1"/>
          <w:sz w:val="22"/>
          <w:szCs w:val="22"/>
          <w:lang w:val="es-ES_tradnl"/>
        </w:rPr>
        <w:t>2.</w:t>
      </w:r>
      <w:r w:rsidR="00AE5964" w:rsidRPr="00742BED">
        <w:rPr>
          <w:rFonts w:ascii="Arial" w:eastAsia="Calibri" w:hAnsi="Arial" w:cs="Arial"/>
          <w:b/>
          <w:bCs/>
          <w:color w:val="000000" w:themeColor="text1"/>
          <w:sz w:val="22"/>
          <w:szCs w:val="22"/>
          <w:lang w:val="es-ES_tradnl"/>
        </w:rPr>
        <w:t>4</w:t>
      </w:r>
      <w:r w:rsidRPr="00742BED">
        <w:rPr>
          <w:rFonts w:ascii="Arial" w:eastAsia="Calibri" w:hAnsi="Arial" w:cs="Arial"/>
          <w:b/>
          <w:bCs/>
          <w:color w:val="000000" w:themeColor="text1"/>
          <w:sz w:val="22"/>
          <w:szCs w:val="22"/>
          <w:lang w:val="es-ES_tradnl"/>
        </w:rPr>
        <w:t>.</w:t>
      </w:r>
      <w:r w:rsidR="00833ADA" w:rsidRPr="00742BED">
        <w:rPr>
          <w:rFonts w:ascii="Arial" w:eastAsia="Calibri" w:hAnsi="Arial" w:cs="Arial"/>
          <w:b/>
          <w:bCs/>
          <w:color w:val="000000" w:themeColor="text1"/>
          <w:sz w:val="22"/>
          <w:szCs w:val="22"/>
          <w:lang w:val="es-ES_tradnl"/>
        </w:rPr>
        <w:t xml:space="preserve"> Forma de acreditación de los factores de desempate consagrados en el artículo 35 de la</w:t>
      </w:r>
      <w:r w:rsidR="00755229" w:rsidRPr="00742BED">
        <w:rPr>
          <w:rFonts w:ascii="Arial" w:eastAsia="Calibri" w:hAnsi="Arial" w:cs="Arial"/>
          <w:b/>
          <w:bCs/>
          <w:color w:val="000000" w:themeColor="text1"/>
          <w:sz w:val="22"/>
          <w:szCs w:val="22"/>
          <w:lang w:val="es-ES_tradnl"/>
        </w:rPr>
        <w:t xml:space="preserve"> Ley </w:t>
      </w:r>
      <w:r w:rsidR="007B209C" w:rsidRPr="00742BED">
        <w:rPr>
          <w:rFonts w:ascii="Arial" w:eastAsia="Calibri" w:hAnsi="Arial" w:cs="Arial"/>
          <w:b/>
          <w:bCs/>
          <w:color w:val="000000" w:themeColor="text1"/>
          <w:sz w:val="22"/>
          <w:szCs w:val="22"/>
          <w:lang w:val="es-ES_tradnl"/>
        </w:rPr>
        <w:t>2069</w:t>
      </w:r>
      <w:r w:rsidR="00755229" w:rsidRPr="00742BED">
        <w:rPr>
          <w:rFonts w:ascii="Arial" w:eastAsia="Calibri" w:hAnsi="Arial" w:cs="Arial"/>
          <w:b/>
          <w:bCs/>
          <w:color w:val="000000" w:themeColor="text1"/>
          <w:sz w:val="22"/>
          <w:szCs w:val="22"/>
          <w:lang w:val="es-ES_tradnl"/>
        </w:rPr>
        <w:t xml:space="preserve"> de 2020</w:t>
      </w:r>
      <w:r w:rsidR="00961595" w:rsidRPr="00742BED">
        <w:rPr>
          <w:rFonts w:ascii="Arial" w:eastAsia="Calibri" w:hAnsi="Arial" w:cs="Arial"/>
          <w:b/>
          <w:bCs/>
          <w:color w:val="000000" w:themeColor="text1"/>
          <w:sz w:val="22"/>
          <w:szCs w:val="22"/>
          <w:lang w:val="es-ES_tradnl"/>
        </w:rPr>
        <w:t>, e</w:t>
      </w:r>
      <w:r w:rsidR="00076817" w:rsidRPr="00742BED">
        <w:rPr>
          <w:rFonts w:ascii="Arial" w:eastAsia="Calibri" w:hAnsi="Arial" w:cs="Arial"/>
          <w:b/>
          <w:bCs/>
          <w:color w:val="000000" w:themeColor="text1"/>
          <w:sz w:val="22"/>
          <w:szCs w:val="22"/>
          <w:lang w:val="es-ES_tradnl"/>
        </w:rPr>
        <w:t xml:space="preserve">n especial, el previsto en </w:t>
      </w:r>
      <w:r w:rsidR="00AE5964" w:rsidRPr="00742BED">
        <w:rPr>
          <w:rFonts w:ascii="Arial" w:eastAsia="Calibri" w:hAnsi="Arial" w:cs="Arial"/>
          <w:b/>
          <w:bCs/>
          <w:color w:val="000000" w:themeColor="text1"/>
          <w:sz w:val="22"/>
          <w:szCs w:val="22"/>
          <w:lang w:val="es-ES_tradnl"/>
        </w:rPr>
        <w:t>los</w:t>
      </w:r>
      <w:r w:rsidR="00076817" w:rsidRPr="00742BED">
        <w:rPr>
          <w:rFonts w:ascii="Arial" w:eastAsia="Calibri" w:hAnsi="Arial" w:cs="Arial"/>
          <w:b/>
          <w:bCs/>
          <w:color w:val="000000" w:themeColor="text1"/>
          <w:sz w:val="22"/>
          <w:szCs w:val="22"/>
          <w:lang w:val="es-ES_tradnl"/>
        </w:rPr>
        <w:t xml:space="preserve"> numeral 2</w:t>
      </w:r>
      <w:r w:rsidR="00AE5964" w:rsidRPr="00742BED">
        <w:rPr>
          <w:rFonts w:ascii="Arial" w:eastAsia="Calibri" w:hAnsi="Arial" w:cs="Arial"/>
          <w:b/>
          <w:bCs/>
          <w:color w:val="000000" w:themeColor="text1"/>
          <w:sz w:val="22"/>
          <w:szCs w:val="22"/>
          <w:lang w:val="es-ES_tradnl"/>
        </w:rPr>
        <w:t xml:space="preserve"> y 4</w:t>
      </w:r>
    </w:p>
    <w:p w14:paraId="39B77F09" w14:textId="77777777" w:rsidR="00FC6DB9" w:rsidRPr="00742BED" w:rsidRDefault="00FC6DB9" w:rsidP="00271230">
      <w:pPr>
        <w:spacing w:line="276" w:lineRule="auto"/>
        <w:jc w:val="both"/>
        <w:rPr>
          <w:rFonts w:ascii="Arial" w:eastAsia="Calibri" w:hAnsi="Arial" w:cs="Arial"/>
          <w:color w:val="000000" w:themeColor="text1"/>
          <w:sz w:val="22"/>
          <w:szCs w:val="22"/>
          <w:lang w:val="es-ES_tradnl"/>
        </w:rPr>
      </w:pPr>
    </w:p>
    <w:p w14:paraId="3844CB8E" w14:textId="77777777" w:rsidR="00C2296B" w:rsidRPr="00742BED" w:rsidRDefault="00C2296B" w:rsidP="00C2296B">
      <w:pPr>
        <w:spacing w:line="276" w:lineRule="auto"/>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t xml:space="preserve">El artículo 35 de la Ley 2069 de 2020 modifica la regulación de los factores de desempate en la contratación estatal. En consideración a que en la consulta se solicita que la Agencia Nacional de Contratación Pública – Colombia Compra Eficiente efectúe ciertas precisiones hermenéuticas sobre algunos numerales de dicho artículo, la Subdirección de Gestión Contractual se pronunciará sobre el alcance que otorga a tales disposiciones, sin pasar por alto la novedad de la Ley 2069 de 2020 –dada su reciente entrada en vigencia– y la </w:t>
      </w:r>
      <w:r w:rsidRPr="00742BED">
        <w:rPr>
          <w:rFonts w:ascii="Arial" w:eastAsia="Calibri" w:hAnsi="Arial" w:cs="Arial"/>
          <w:color w:val="000000" w:themeColor="text1"/>
          <w:sz w:val="22"/>
          <w:szCs w:val="22"/>
          <w:lang w:val="es-ES_tradnl"/>
        </w:rPr>
        <w:lastRenderedPageBreak/>
        <w:t>ausencia de pronunciamientos jurisprudenciales o estudios doctrinarios sobre el tema, que seguramente contribuirán a decantar la interpretación de las normas en comento.</w:t>
      </w:r>
    </w:p>
    <w:p w14:paraId="4241EAFD" w14:textId="77777777" w:rsidR="00C2296B" w:rsidRPr="00742BED" w:rsidRDefault="00C2296B" w:rsidP="00C2296B">
      <w:pPr>
        <w:spacing w:before="120" w:line="276" w:lineRule="auto"/>
        <w:ind w:firstLine="709"/>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t xml:space="preserve">Al respecto, </w:t>
      </w:r>
      <w:r w:rsidRPr="00742BED">
        <w:rPr>
          <w:rFonts w:ascii="Arial" w:eastAsia="Calibri" w:hAnsi="Arial" w:cs="Arial"/>
          <w:sz w:val="22"/>
          <w:szCs w:val="22"/>
          <w:lang w:val="es-ES_tradnl"/>
        </w:rPr>
        <w:t>pese a que el parágrafo 3 dispone que el Gobierno Nacional podrá regular los supuestos en que concurran dos o más factores de desempate,</w:t>
      </w:r>
      <w:r w:rsidRPr="00742BED">
        <w:rPr>
          <w:rFonts w:ascii="Arial" w:eastAsia="Calibri" w:hAnsi="Arial" w:cs="Arial"/>
          <w:color w:val="000000" w:themeColor="text1"/>
          <w:sz w:val="22"/>
          <w:szCs w:val="22"/>
          <w:lang w:val="es-ES_tradnl"/>
        </w:rPr>
        <w:t xml:space="preserve"> se considera que el artículo 35 de la Ley 2069 de 2020 goza de aplicación directa desde la fecha de su promulgación, es decir, no requiere de una reglamentación previa como presupuesto para su eficacia. Esta precisión reviste importancia, porque algunos enunciados normativos de la Ley bajo análisis establecen un mandato de reglamentación, dirigido al gobierno nacional, como condición para aplicar lo dispuesto en dicha Ley. </w:t>
      </w:r>
    </w:p>
    <w:p w14:paraId="4D598E0A" w14:textId="0B2ABB49" w:rsidR="00C2296B" w:rsidRPr="00742BED" w:rsidRDefault="00C2296B">
      <w:pPr>
        <w:spacing w:before="120" w:line="276" w:lineRule="auto"/>
        <w:ind w:firstLine="709"/>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t>Por ejemplo, el artículo 31, en el segundo inciso, determina que «El Gobierno Nacional reglamentará la definición de los criterios diferenciales, sobre reglas objetivas que podrán implementar las Entidades Estatales». Del mismo modo, el parágrafo primero del artículo 32 establece que «La definición de emprendimientos y empresas de mujeres se reglamentará por el gobierno nacional», en tanto que el inciso cuarto del artículo 12 de la Ley 1150 de 2007, modificado por el artículo 34 de la Ley 2069 de 2020, indica que en los pliegos de condiciones las entidades estatales deben prever mecanismos que garanticen la provisión de bienes y servicios por parte de sujetos de especial protección constitucional «[…] en las condiciones que señale el reglamento».</w:t>
      </w:r>
    </w:p>
    <w:p w14:paraId="7FAAF277" w14:textId="77777777" w:rsidR="00C2296B" w:rsidRPr="00742BED" w:rsidRDefault="00C2296B" w:rsidP="00C2296B">
      <w:pPr>
        <w:spacing w:before="120" w:line="276" w:lineRule="auto"/>
        <w:ind w:firstLine="709"/>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t>Lo mismo no sucede con el artículo 35</w:t>
      </w:r>
      <w:r w:rsidRPr="00742BED">
        <w:rPr>
          <w:rFonts w:ascii="Arial" w:eastAsia="Calibri" w:hAnsi="Arial" w:cs="Arial"/>
          <w:sz w:val="22"/>
          <w:szCs w:val="22"/>
          <w:lang w:val="es-ES_tradnl"/>
        </w:rPr>
        <w:t xml:space="preserve">. En efecto, </w:t>
      </w:r>
      <w:r w:rsidRPr="00742BED">
        <w:rPr>
          <w:rFonts w:ascii="Arial" w:hAnsi="Arial" w:cs="Arial"/>
          <w:color w:val="000000" w:themeColor="text1"/>
          <w:sz w:val="22"/>
          <w:szCs w:val="22"/>
          <w:lang w:val="es-ES_tradnl"/>
        </w:rPr>
        <w:t>si bien los factores de desempate regulados en el artículo 35 deben aplicarse «</w:t>
      </w:r>
      <w:r w:rsidRPr="00742BED">
        <w:rPr>
          <w:rFonts w:ascii="Arial" w:hAnsi="Arial" w:cs="Arial"/>
          <w:lang w:val="es-ES_tradnl"/>
        </w:rPr>
        <w:t xml:space="preserve">[…] </w:t>
      </w:r>
      <w:r w:rsidRPr="00742BED">
        <w:rPr>
          <w:rFonts w:ascii="Arial" w:hAnsi="Arial" w:cs="Arial"/>
          <w:color w:val="000000" w:themeColor="text1"/>
          <w:sz w:val="22"/>
          <w:szCs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w:t>
      </w:r>
      <w:r w:rsidRPr="00742BED">
        <w:rPr>
          <w:rFonts w:ascii="Arial" w:eastAsia="Calibri" w:hAnsi="Arial" w:cs="Arial"/>
          <w:color w:val="000000" w:themeColor="text1"/>
          <w:sz w:val="22"/>
          <w:szCs w:val="22"/>
          <w:lang w:val="es-ES_tradnl"/>
        </w:rPr>
        <w:t xml:space="preserve">  </w:t>
      </w:r>
    </w:p>
    <w:p w14:paraId="5C24C174" w14:textId="77777777" w:rsidR="00C2296B" w:rsidRPr="00742BED" w:rsidRDefault="00C2296B" w:rsidP="00C2296B">
      <w:pPr>
        <w:spacing w:before="120" w:line="276" w:lineRule="auto"/>
        <w:ind w:firstLine="709"/>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t xml:space="preserve">A continuación, el artículo en mención establece los factores de desempate que se deben seguir de manera sucesiva, sin indicar tampoco en cada numeral que su eficacia dependa de lo que determine el reglamento. La única alusión que se hace al reglamento se encuentra en el parágrafo tercero del artículo que se viene comentando, no para condicionar la aplicación de todo lo dispuesto en aquel, sino para indicar que «El Gobierno Nacional </w:t>
      </w:r>
      <w:r w:rsidRPr="00742BED">
        <w:rPr>
          <w:rFonts w:ascii="Arial" w:eastAsia="Calibri" w:hAnsi="Arial" w:cs="Arial"/>
          <w:i/>
          <w:iCs/>
          <w:color w:val="000000" w:themeColor="text1"/>
          <w:sz w:val="22"/>
          <w:szCs w:val="22"/>
          <w:lang w:val="es-ES_tradnl"/>
        </w:rPr>
        <w:t>podrá reglamentar</w:t>
      </w:r>
      <w:r w:rsidRPr="00742BED">
        <w:rPr>
          <w:rFonts w:ascii="Arial" w:eastAsia="Calibri" w:hAnsi="Arial" w:cs="Arial"/>
          <w:color w:val="000000" w:themeColor="text1"/>
          <w:sz w:val="22"/>
          <w:szCs w:val="22"/>
          <w:lang w:val="es-ES_tradnl"/>
        </w:rPr>
        <w:t xml:space="preserve"> la aplicación de factores de desempate en casos en que concurran dos o más de los factores aquí previstos» (Énfasis fuera de texto).</w:t>
      </w:r>
    </w:p>
    <w:p w14:paraId="091E73A8" w14:textId="04B5C1A4" w:rsidR="00C2296B" w:rsidRPr="00742BED" w:rsidRDefault="00C2296B" w:rsidP="00C2296B">
      <w:pPr>
        <w:spacing w:before="120" w:line="276" w:lineRule="auto"/>
        <w:ind w:firstLine="709"/>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t>Como se observa</w:t>
      </w:r>
      <w:r w:rsidR="00961595" w:rsidRPr="00742BED">
        <w:rPr>
          <w:rFonts w:ascii="Arial" w:eastAsia="Calibri" w:hAnsi="Arial" w:cs="Arial"/>
          <w:color w:val="000000" w:themeColor="text1"/>
          <w:sz w:val="22"/>
          <w:szCs w:val="22"/>
          <w:lang w:val="es-ES_tradnl"/>
        </w:rPr>
        <w:t>,</w:t>
      </w:r>
      <w:r w:rsidRPr="00742BED">
        <w:rPr>
          <w:rFonts w:ascii="Arial" w:eastAsia="Calibri" w:hAnsi="Arial" w:cs="Arial"/>
          <w:color w:val="000000" w:themeColor="text1"/>
          <w:sz w:val="22"/>
          <w:szCs w:val="22"/>
          <w:lang w:val="es-ES_tradnl"/>
        </w:rPr>
        <w:t xml:space="preserve"> se trata de una competencia que, en concordancia con el artículo 189.11 superior, el gobierno nacional puede ejercer discrecionalmente para la ejecución de las leyes. Por tanto, sin perjuicio de que el Gobierno Nacional ejerza la potestad reglamentaria para regular los casos en que concurren dos o más de los factores de </w:t>
      </w:r>
      <w:r w:rsidRPr="00742BED">
        <w:rPr>
          <w:rFonts w:ascii="Arial" w:eastAsia="Calibri" w:hAnsi="Arial" w:cs="Arial"/>
          <w:color w:val="000000" w:themeColor="text1"/>
          <w:sz w:val="22"/>
          <w:szCs w:val="22"/>
          <w:lang w:val="es-ES_tradnl"/>
        </w:rPr>
        <w:lastRenderedPageBreak/>
        <w:t>desempate, no es necesaria la existencia del reglamento como presupuesto necesario para aplicar el artículo 35 de la Ley 2069 de 2020. De este modo, se concluye que los factores de desempate del artículo citado son exigibles desde la fecha de su promulgación, es decir, deben tenerse en cuenta en los procesos de selección que se inicien después del 31 de diciembre de 2020.</w:t>
      </w:r>
    </w:p>
    <w:p w14:paraId="23E38CFB" w14:textId="77777777" w:rsidR="00D2376E" w:rsidRPr="00742BED" w:rsidRDefault="00C43A17" w:rsidP="00B92871">
      <w:pPr>
        <w:spacing w:before="120" w:line="276" w:lineRule="auto"/>
        <w:ind w:firstLine="709"/>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t xml:space="preserve">Además, conviene destacar </w:t>
      </w:r>
      <w:r w:rsidR="003A3902" w:rsidRPr="00742BED">
        <w:rPr>
          <w:rFonts w:ascii="Arial" w:eastAsia="Calibri" w:hAnsi="Arial" w:cs="Arial"/>
          <w:color w:val="000000" w:themeColor="text1"/>
          <w:sz w:val="22"/>
          <w:szCs w:val="22"/>
          <w:lang w:val="es-ES_tradnl"/>
        </w:rPr>
        <w:t>–según lo señala su inciso primero</w:t>
      </w:r>
      <w:r w:rsidR="003A3902" w:rsidRPr="00742BED">
        <w:rPr>
          <w:rFonts w:ascii="Arial" w:eastAsia="Calibri" w:hAnsi="Arial" w:cs="Arial"/>
          <w:color w:val="000000" w:themeColor="text1"/>
          <w:sz w:val="22"/>
          <w:szCs w:val="22"/>
          <w:lang w:val="es-ES_tradnl"/>
        </w:rPr>
        <w:softHyphen/>
        <w:t xml:space="preserve">– </w:t>
      </w:r>
      <w:r w:rsidRPr="00742BED">
        <w:rPr>
          <w:rFonts w:ascii="Arial" w:eastAsia="Calibri" w:hAnsi="Arial" w:cs="Arial"/>
          <w:color w:val="000000" w:themeColor="text1"/>
          <w:sz w:val="22"/>
          <w:szCs w:val="22"/>
          <w:lang w:val="es-ES_tradnl"/>
        </w:rPr>
        <w:t>que los factores de desempate previstos en el artículo 35 de la Ley 2069 de 2020 son obligatorios</w:t>
      </w:r>
      <w:r w:rsidR="00AD6D07" w:rsidRPr="00742BED">
        <w:rPr>
          <w:rFonts w:ascii="Arial" w:eastAsia="Calibri" w:hAnsi="Arial" w:cs="Arial"/>
          <w:color w:val="000000" w:themeColor="text1"/>
          <w:sz w:val="22"/>
          <w:szCs w:val="22"/>
          <w:lang w:val="es-ES_tradnl"/>
        </w:rPr>
        <w:t xml:space="preserve"> </w:t>
      </w:r>
      <w:r w:rsidRPr="00742BED">
        <w:rPr>
          <w:rFonts w:ascii="Arial" w:eastAsia="Calibri" w:hAnsi="Arial" w:cs="Arial"/>
          <w:color w:val="000000" w:themeColor="text1"/>
          <w:sz w:val="22"/>
          <w:szCs w:val="22"/>
          <w:lang w:val="es-ES_tradnl"/>
        </w:rPr>
        <w:t xml:space="preserve">«[…] en los Procesos de Contratación realizados con cargo a recursos públicos, los Procesos de Contratación realizados por las Entidades Estatales </w:t>
      </w:r>
      <w:r w:rsidRPr="00742BED">
        <w:rPr>
          <w:rFonts w:ascii="Arial" w:eastAsia="Calibri" w:hAnsi="Arial" w:cs="Arial"/>
          <w:i/>
          <w:iCs/>
          <w:color w:val="000000" w:themeColor="text1"/>
          <w:sz w:val="22"/>
          <w:szCs w:val="22"/>
          <w:lang w:val="es-ES_tradnl"/>
        </w:rPr>
        <w:t>indistintamente de su régimen de contratación</w:t>
      </w:r>
      <w:r w:rsidRPr="00742BED">
        <w:rPr>
          <w:rFonts w:ascii="Arial" w:eastAsia="Calibri" w:hAnsi="Arial" w:cs="Arial"/>
          <w:color w:val="000000" w:themeColor="text1"/>
          <w:sz w:val="22"/>
          <w:szCs w:val="22"/>
          <w:lang w:val="es-ES_tradnl"/>
        </w:rPr>
        <w:t>, así como los celebrados por los Procesos de Contratación de los patrimonios autónomos constituidos por Entidades Estatales» (cursiva fuera de texto). En consecuencia, bien sea que la entidad estatal contratante se rija por el Estatuto General de Contratación de la Administración Pública</w:t>
      </w:r>
      <w:r w:rsidR="007B3B3B" w:rsidRPr="00742BED">
        <w:rPr>
          <w:rFonts w:ascii="Arial" w:eastAsia="Calibri" w:hAnsi="Arial" w:cs="Arial"/>
          <w:color w:val="000000" w:themeColor="text1"/>
          <w:sz w:val="22"/>
          <w:szCs w:val="22"/>
          <w:lang w:val="es-ES_tradnl"/>
        </w:rPr>
        <w:t xml:space="preserve"> o por el derecho privado, </w:t>
      </w:r>
      <w:r w:rsidR="007B3B3B" w:rsidRPr="00742BED">
        <w:rPr>
          <w:rFonts w:ascii="Arial" w:eastAsia="Calibri" w:hAnsi="Arial" w:cs="Arial"/>
          <w:i/>
          <w:iCs/>
          <w:color w:val="000000" w:themeColor="text1"/>
          <w:sz w:val="22"/>
          <w:szCs w:val="22"/>
          <w:lang w:val="es-ES_tradnl"/>
        </w:rPr>
        <w:t>debe</w:t>
      </w:r>
      <w:r w:rsidR="007B3B3B" w:rsidRPr="00742BED">
        <w:rPr>
          <w:rFonts w:ascii="Arial" w:eastAsia="Calibri" w:hAnsi="Arial" w:cs="Arial"/>
          <w:color w:val="000000" w:themeColor="text1"/>
          <w:sz w:val="22"/>
          <w:szCs w:val="22"/>
          <w:lang w:val="es-ES_tradnl"/>
        </w:rPr>
        <w:t xml:space="preserve"> aplicar los criterios de desempate establecidos en </w:t>
      </w:r>
      <w:r w:rsidR="00EF7F76" w:rsidRPr="00742BED">
        <w:rPr>
          <w:rFonts w:ascii="Arial" w:eastAsia="Calibri" w:hAnsi="Arial" w:cs="Arial"/>
          <w:color w:val="000000" w:themeColor="text1"/>
          <w:sz w:val="22"/>
          <w:szCs w:val="22"/>
          <w:lang w:val="es-ES_tradnl"/>
        </w:rPr>
        <w:t>el referido artículo 35</w:t>
      </w:r>
      <w:r w:rsidR="004220E2" w:rsidRPr="00742BED">
        <w:rPr>
          <w:rFonts w:ascii="Arial" w:eastAsia="Calibri" w:hAnsi="Arial" w:cs="Arial"/>
          <w:color w:val="000000" w:themeColor="text1"/>
          <w:sz w:val="22"/>
          <w:szCs w:val="22"/>
          <w:lang w:val="es-ES_tradnl"/>
        </w:rPr>
        <w:t xml:space="preserve">. </w:t>
      </w:r>
      <w:r w:rsidR="005E5022" w:rsidRPr="00742BED">
        <w:rPr>
          <w:rFonts w:ascii="Arial" w:eastAsia="Calibri" w:hAnsi="Arial" w:cs="Arial"/>
          <w:color w:val="000000" w:themeColor="text1"/>
          <w:sz w:val="22"/>
          <w:szCs w:val="22"/>
          <w:lang w:val="es-ES_tradnl"/>
        </w:rPr>
        <w:t>Esta norma es imperativa y, por consiguiente, su inobservancia podría</w:t>
      </w:r>
      <w:r w:rsidR="00FA6D46" w:rsidRPr="00742BED">
        <w:rPr>
          <w:rFonts w:ascii="Arial" w:eastAsia="Calibri" w:hAnsi="Arial" w:cs="Arial"/>
          <w:color w:val="000000" w:themeColor="text1"/>
          <w:sz w:val="22"/>
          <w:szCs w:val="22"/>
          <w:lang w:val="es-ES_tradnl"/>
        </w:rPr>
        <w:t xml:space="preserve"> hacer incurrir </w:t>
      </w:r>
      <w:r w:rsidR="00A74B91" w:rsidRPr="00742BED">
        <w:rPr>
          <w:rFonts w:ascii="Arial" w:eastAsia="Calibri" w:hAnsi="Arial" w:cs="Arial"/>
          <w:color w:val="000000" w:themeColor="text1"/>
          <w:sz w:val="22"/>
          <w:szCs w:val="22"/>
          <w:lang w:val="es-ES_tradnl"/>
        </w:rPr>
        <w:t xml:space="preserve">en </w:t>
      </w:r>
      <w:r w:rsidR="00A74B91" w:rsidRPr="00742BED">
        <w:rPr>
          <w:rFonts w:ascii="Arial" w:eastAsia="Calibri" w:hAnsi="Arial" w:cs="Arial"/>
          <w:i/>
          <w:iCs/>
          <w:color w:val="000000" w:themeColor="text1"/>
          <w:sz w:val="22"/>
          <w:szCs w:val="22"/>
          <w:lang w:val="es-ES_tradnl"/>
        </w:rPr>
        <w:t>objeto ilícito</w:t>
      </w:r>
      <w:r w:rsidR="00A74B91" w:rsidRPr="00742BED">
        <w:rPr>
          <w:rFonts w:ascii="Arial" w:eastAsia="Calibri" w:hAnsi="Arial" w:cs="Arial"/>
          <w:color w:val="000000" w:themeColor="text1"/>
          <w:sz w:val="22"/>
          <w:szCs w:val="22"/>
          <w:lang w:val="es-ES_tradnl"/>
        </w:rPr>
        <w:t xml:space="preserve"> </w:t>
      </w:r>
      <w:r w:rsidR="00FA6D46" w:rsidRPr="00742BED">
        <w:rPr>
          <w:rFonts w:ascii="Arial" w:eastAsia="Calibri" w:hAnsi="Arial" w:cs="Arial"/>
          <w:color w:val="000000" w:themeColor="text1"/>
          <w:sz w:val="22"/>
          <w:szCs w:val="22"/>
          <w:lang w:val="es-ES_tradnl"/>
        </w:rPr>
        <w:t xml:space="preserve">el contrato que llegare a celebrarse, pues, según el artículo 1519 del Código Civil, </w:t>
      </w:r>
      <w:r w:rsidR="00C939D1" w:rsidRPr="00742BED">
        <w:rPr>
          <w:rFonts w:ascii="Arial" w:eastAsia="Calibri" w:hAnsi="Arial" w:cs="Arial"/>
          <w:color w:val="000000" w:themeColor="text1"/>
          <w:sz w:val="22"/>
          <w:szCs w:val="22"/>
          <w:lang w:val="es-ES_tradnl"/>
        </w:rPr>
        <w:t>«Hay un objeto ilícito en todo lo que contraviene al derecho público de la nación».</w:t>
      </w:r>
      <w:r w:rsidR="005E5022" w:rsidRPr="00742BED">
        <w:rPr>
          <w:rFonts w:ascii="Arial" w:eastAsia="Calibri" w:hAnsi="Arial" w:cs="Arial"/>
          <w:color w:val="000000" w:themeColor="text1"/>
          <w:sz w:val="22"/>
          <w:szCs w:val="22"/>
          <w:lang w:val="es-ES_tradnl"/>
        </w:rPr>
        <w:t xml:space="preserve"> </w:t>
      </w:r>
    </w:p>
    <w:p w14:paraId="71D02173" w14:textId="25435A15" w:rsidR="00B92871" w:rsidRPr="00742BED" w:rsidRDefault="00652F4D" w:rsidP="00B92871">
      <w:pPr>
        <w:spacing w:before="120" w:line="276" w:lineRule="auto"/>
        <w:ind w:firstLine="709"/>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t>Esta causal debe ser declarada en un proceso judicial, es decir que no opera de pleno derecho, como se deduce del artículo 1742 del Código Civil</w:t>
      </w:r>
      <w:r w:rsidRPr="00742BED">
        <w:rPr>
          <w:rStyle w:val="Refdenotaalpie"/>
          <w:rFonts w:ascii="Arial" w:eastAsia="Calibri" w:hAnsi="Arial" w:cs="Arial"/>
          <w:color w:val="000000" w:themeColor="text1"/>
          <w:sz w:val="22"/>
          <w:szCs w:val="22"/>
          <w:lang w:val="es-ES_tradnl"/>
        </w:rPr>
        <w:footnoteReference w:id="16"/>
      </w:r>
      <w:r w:rsidRPr="00742BED">
        <w:rPr>
          <w:rFonts w:ascii="Arial" w:eastAsia="Calibri" w:hAnsi="Arial" w:cs="Arial"/>
          <w:color w:val="000000" w:themeColor="text1"/>
          <w:sz w:val="22"/>
          <w:szCs w:val="22"/>
          <w:lang w:val="es-ES_tradnl"/>
        </w:rPr>
        <w:t xml:space="preserve">. </w:t>
      </w:r>
      <w:r w:rsidR="0050309C" w:rsidRPr="00742BED">
        <w:rPr>
          <w:rFonts w:ascii="Arial" w:eastAsia="Calibri" w:hAnsi="Arial" w:cs="Arial"/>
          <w:color w:val="000000" w:themeColor="text1"/>
          <w:sz w:val="22"/>
          <w:szCs w:val="22"/>
          <w:lang w:val="es-ES_tradnl"/>
        </w:rPr>
        <w:t>Dicha</w:t>
      </w:r>
      <w:r w:rsidR="003D370F" w:rsidRPr="00742BED">
        <w:rPr>
          <w:rFonts w:ascii="Arial" w:eastAsia="Calibri" w:hAnsi="Arial" w:cs="Arial"/>
          <w:color w:val="000000" w:themeColor="text1"/>
          <w:sz w:val="22"/>
          <w:szCs w:val="22"/>
          <w:lang w:val="es-ES_tradnl"/>
        </w:rPr>
        <w:t xml:space="preserve"> causal de nulidad absoluta también se reconoce en el artículo 44 de la Ley 80 de 1993 para las entidades estatales que se rigen por </w:t>
      </w:r>
      <w:r w:rsidR="0050309C" w:rsidRPr="00742BED">
        <w:rPr>
          <w:rFonts w:ascii="Arial" w:eastAsia="Calibri" w:hAnsi="Arial" w:cs="Arial"/>
          <w:color w:val="000000" w:themeColor="text1"/>
          <w:sz w:val="22"/>
          <w:szCs w:val="22"/>
          <w:lang w:val="es-ES_tradnl"/>
        </w:rPr>
        <w:t>esta</w:t>
      </w:r>
      <w:r w:rsidR="0050309C" w:rsidRPr="00742BED">
        <w:rPr>
          <w:rStyle w:val="Refdenotaalpie"/>
          <w:rFonts w:ascii="Arial" w:eastAsia="Calibri" w:hAnsi="Arial" w:cs="Arial"/>
          <w:color w:val="000000" w:themeColor="text1"/>
          <w:sz w:val="22"/>
          <w:szCs w:val="22"/>
          <w:lang w:val="es-ES_tradnl"/>
        </w:rPr>
        <w:footnoteReference w:id="17"/>
      </w:r>
      <w:r w:rsidR="001C0C86" w:rsidRPr="00742BED">
        <w:rPr>
          <w:rFonts w:ascii="Arial" w:eastAsia="Calibri" w:hAnsi="Arial" w:cs="Arial"/>
          <w:color w:val="000000" w:themeColor="text1"/>
          <w:sz w:val="22"/>
          <w:szCs w:val="22"/>
          <w:lang w:val="es-ES_tradnl"/>
        </w:rPr>
        <w:t>. La Sección Tercera del Consejo de Estado ha admitido la consecuencia jurídica de la nulidad absoluta del contrato por</w:t>
      </w:r>
      <w:r w:rsidR="0036086B" w:rsidRPr="00742BED">
        <w:rPr>
          <w:rFonts w:ascii="Arial" w:eastAsia="Calibri" w:hAnsi="Arial" w:cs="Arial"/>
          <w:color w:val="000000" w:themeColor="text1"/>
          <w:sz w:val="22"/>
          <w:szCs w:val="22"/>
          <w:lang w:val="es-ES_tradnl"/>
        </w:rPr>
        <w:t xml:space="preserve"> omitir los factores de desempate en el pliego de condiciones o documento equivalente, </w:t>
      </w:r>
      <w:r w:rsidR="004836D7" w:rsidRPr="00742BED">
        <w:rPr>
          <w:rFonts w:ascii="Arial" w:eastAsia="Calibri" w:hAnsi="Arial" w:cs="Arial"/>
          <w:color w:val="000000" w:themeColor="text1"/>
          <w:sz w:val="22"/>
          <w:szCs w:val="22"/>
          <w:lang w:val="es-ES_tradnl"/>
        </w:rPr>
        <w:t xml:space="preserve">afirmando que </w:t>
      </w:r>
      <w:r w:rsidR="00BD6265" w:rsidRPr="00742BED">
        <w:rPr>
          <w:rFonts w:ascii="Arial" w:eastAsia="Calibri" w:hAnsi="Arial" w:cs="Arial"/>
          <w:color w:val="000000" w:themeColor="text1"/>
          <w:sz w:val="22"/>
          <w:szCs w:val="22"/>
          <w:lang w:val="es-ES_tradnl"/>
        </w:rPr>
        <w:t>«</w:t>
      </w:r>
      <w:r w:rsidR="0036086B" w:rsidRPr="00742BED">
        <w:rPr>
          <w:rFonts w:ascii="Arial" w:eastAsia="Calibri" w:hAnsi="Arial" w:cs="Arial"/>
          <w:color w:val="000000" w:themeColor="text1"/>
          <w:sz w:val="22"/>
          <w:szCs w:val="22"/>
          <w:lang w:val="es-ES_tradnl"/>
        </w:rPr>
        <w:t>[…</w:t>
      </w:r>
      <w:r w:rsidR="004836D7" w:rsidRPr="00742BED">
        <w:rPr>
          <w:rFonts w:ascii="Arial" w:eastAsia="Calibri" w:hAnsi="Arial" w:cs="Arial"/>
          <w:color w:val="000000" w:themeColor="text1"/>
          <w:sz w:val="22"/>
          <w:szCs w:val="22"/>
          <w:lang w:val="es-ES_tradnl"/>
        </w:rPr>
        <w:t>]</w:t>
      </w:r>
      <w:r w:rsidR="0036086B" w:rsidRPr="00742BED">
        <w:rPr>
          <w:rFonts w:ascii="Arial" w:eastAsia="Calibri" w:hAnsi="Arial" w:cs="Arial"/>
          <w:color w:val="000000" w:themeColor="text1"/>
          <w:sz w:val="22"/>
          <w:szCs w:val="22"/>
          <w:lang w:val="es-ES_tradnl"/>
        </w:rPr>
        <w:t xml:space="preserve">, existen criterios de desempate que se incorporan por Ley al contenido mínimo de las reglas del proceso de selección y que son de obligatoria observancia por parte de las entidades </w:t>
      </w:r>
      <w:r w:rsidR="0036086B" w:rsidRPr="00742BED">
        <w:rPr>
          <w:rFonts w:ascii="Arial" w:eastAsia="Calibri" w:hAnsi="Arial" w:cs="Arial"/>
          <w:color w:val="000000" w:themeColor="text1"/>
          <w:sz w:val="22"/>
          <w:szCs w:val="22"/>
          <w:lang w:val="es-ES_tradnl"/>
        </w:rPr>
        <w:lastRenderedPageBreak/>
        <w:t>públicas</w:t>
      </w:r>
      <w:r w:rsidR="00BD6265" w:rsidRPr="00742BED">
        <w:rPr>
          <w:rFonts w:ascii="Arial" w:eastAsia="Calibri" w:hAnsi="Arial" w:cs="Arial"/>
          <w:color w:val="000000" w:themeColor="text1"/>
          <w:sz w:val="22"/>
          <w:szCs w:val="22"/>
          <w:lang w:val="es-ES_tradnl"/>
        </w:rPr>
        <w:t>»</w:t>
      </w:r>
      <w:r w:rsidR="005B0293" w:rsidRPr="00742BED">
        <w:rPr>
          <w:rStyle w:val="Refdenotaalpie"/>
          <w:rFonts w:ascii="Arial" w:eastAsia="Calibri" w:hAnsi="Arial" w:cs="Arial"/>
          <w:color w:val="000000" w:themeColor="text1"/>
          <w:sz w:val="22"/>
          <w:szCs w:val="22"/>
          <w:lang w:val="es-ES_tradnl"/>
        </w:rPr>
        <w:footnoteReference w:id="18"/>
      </w:r>
      <w:r w:rsidR="008A38DE" w:rsidRPr="00742BED">
        <w:rPr>
          <w:rFonts w:ascii="Arial" w:eastAsia="Calibri" w:hAnsi="Arial" w:cs="Arial"/>
          <w:color w:val="000000" w:themeColor="text1"/>
          <w:sz w:val="22"/>
          <w:szCs w:val="22"/>
          <w:lang w:val="es-ES_tradnl"/>
        </w:rPr>
        <w:t xml:space="preserve">, de manera que cuando se selecciona al futuro contratista sin haber considerado los criterios de desempate obligatorios, </w:t>
      </w:r>
      <w:r w:rsidR="00A169E2" w:rsidRPr="00742BED">
        <w:rPr>
          <w:rFonts w:ascii="Arial" w:eastAsia="Calibri" w:hAnsi="Arial" w:cs="Arial"/>
          <w:color w:val="000000" w:themeColor="text1"/>
          <w:sz w:val="22"/>
          <w:szCs w:val="22"/>
          <w:lang w:val="es-ES_tradnl"/>
        </w:rPr>
        <w:t xml:space="preserve">se atenta contra normas de orden público. Lo anterior, por cuanto: </w:t>
      </w:r>
    </w:p>
    <w:p w14:paraId="2FFD78FA" w14:textId="77777777" w:rsidR="00B92871" w:rsidRPr="00742BED" w:rsidRDefault="00B92871" w:rsidP="00B92871">
      <w:pPr>
        <w:ind w:left="709" w:right="709"/>
        <w:jc w:val="both"/>
        <w:rPr>
          <w:rFonts w:ascii="Arial" w:eastAsia="Calibri" w:hAnsi="Arial" w:cs="Arial"/>
          <w:color w:val="000000" w:themeColor="text1"/>
          <w:sz w:val="22"/>
          <w:szCs w:val="22"/>
          <w:lang w:val="es-ES_tradnl"/>
        </w:rPr>
      </w:pPr>
    </w:p>
    <w:p w14:paraId="148334B2" w14:textId="0962CBF7" w:rsidR="00B92871" w:rsidRPr="00742BED" w:rsidRDefault="00B92871" w:rsidP="00B92871">
      <w:pPr>
        <w:ind w:left="709" w:right="709"/>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t>[…] es imposible seleccionar a un contratista en esas condiciones, pues esta será ajena al principio de selección objetiva y, por ende, se está en presencia de la causal de nulidad absoluta de la relación contractual así perfeccionada, contenida en el artículo 6 del Código Civil ─incorporada en el Estatuto Contractual del Estado en el inciso primero del artículo 44 de la Ley 80─, consistente en la vulneración de normas de orden público u objeto ilícito , siendo que se inobservó el contenido del literal b) del numeral 5 del artículo 24 y el artículo 29 de la Ley 80 de 1993</w:t>
      </w:r>
      <w:r w:rsidRPr="00742BED">
        <w:rPr>
          <w:rStyle w:val="Refdenotaalpie"/>
          <w:rFonts w:ascii="Arial" w:eastAsia="Calibri" w:hAnsi="Arial" w:cs="Arial"/>
          <w:color w:val="000000" w:themeColor="text1"/>
          <w:sz w:val="22"/>
          <w:szCs w:val="22"/>
          <w:lang w:val="es-ES_tradnl"/>
        </w:rPr>
        <w:footnoteReference w:id="19"/>
      </w:r>
      <w:r w:rsidRPr="00742BED">
        <w:rPr>
          <w:rFonts w:ascii="Arial" w:eastAsia="Calibri" w:hAnsi="Arial" w:cs="Arial"/>
          <w:color w:val="000000" w:themeColor="text1"/>
          <w:sz w:val="22"/>
          <w:szCs w:val="22"/>
          <w:lang w:val="es-ES_tradnl"/>
        </w:rPr>
        <w:t xml:space="preserve">.  </w:t>
      </w:r>
    </w:p>
    <w:p w14:paraId="6EE95B5C" w14:textId="77777777" w:rsidR="00B92871" w:rsidRPr="00742BED" w:rsidRDefault="00B92871" w:rsidP="00B92871">
      <w:pPr>
        <w:spacing w:line="276" w:lineRule="auto"/>
        <w:ind w:firstLine="709"/>
        <w:jc w:val="both"/>
        <w:rPr>
          <w:rFonts w:ascii="Arial" w:eastAsia="Calibri" w:hAnsi="Arial" w:cs="Arial"/>
          <w:color w:val="000000" w:themeColor="text1"/>
          <w:sz w:val="22"/>
          <w:szCs w:val="22"/>
          <w:lang w:val="es-ES_tradnl"/>
        </w:rPr>
      </w:pPr>
    </w:p>
    <w:p w14:paraId="6525352B" w14:textId="1649FA06" w:rsidR="00325AD9" w:rsidRPr="00742BED" w:rsidRDefault="009F210A" w:rsidP="00B92871">
      <w:pPr>
        <w:spacing w:line="276" w:lineRule="auto"/>
        <w:ind w:firstLine="709"/>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t>Luego</w:t>
      </w:r>
      <w:r w:rsidR="00D82A7D" w:rsidRPr="00742BED">
        <w:rPr>
          <w:rFonts w:ascii="Arial" w:eastAsia="Calibri" w:hAnsi="Arial" w:cs="Arial"/>
          <w:color w:val="000000" w:themeColor="text1"/>
          <w:sz w:val="22"/>
          <w:szCs w:val="22"/>
          <w:lang w:val="es-ES_tradnl"/>
        </w:rPr>
        <w:t xml:space="preserve"> de aclarar</w:t>
      </w:r>
      <w:r w:rsidR="00325AD9" w:rsidRPr="00742BED">
        <w:rPr>
          <w:rFonts w:ascii="Arial" w:eastAsia="Calibri" w:hAnsi="Arial" w:cs="Arial"/>
          <w:color w:val="000000" w:themeColor="text1"/>
          <w:sz w:val="22"/>
          <w:szCs w:val="22"/>
          <w:lang w:val="es-ES_tradnl"/>
        </w:rPr>
        <w:t xml:space="preserve"> que el artículo 35 de la Ley </w:t>
      </w:r>
      <w:r w:rsidR="007B209C" w:rsidRPr="00742BED">
        <w:rPr>
          <w:rFonts w:ascii="Arial" w:eastAsia="Calibri" w:hAnsi="Arial" w:cs="Arial"/>
          <w:color w:val="000000" w:themeColor="text1"/>
          <w:sz w:val="22"/>
          <w:szCs w:val="22"/>
          <w:lang w:val="es-ES_tradnl"/>
        </w:rPr>
        <w:t>2069</w:t>
      </w:r>
      <w:r w:rsidR="00325AD9" w:rsidRPr="00742BED">
        <w:rPr>
          <w:rFonts w:ascii="Arial" w:eastAsia="Calibri" w:hAnsi="Arial" w:cs="Arial"/>
          <w:color w:val="000000" w:themeColor="text1"/>
          <w:sz w:val="22"/>
          <w:szCs w:val="22"/>
          <w:lang w:val="es-ES_tradnl"/>
        </w:rPr>
        <w:t xml:space="preserve"> de 2020 se encuentra vigente y que no requiere </w:t>
      </w:r>
      <w:r w:rsidR="00D82A7D" w:rsidRPr="00742BED">
        <w:rPr>
          <w:rFonts w:ascii="Arial" w:eastAsia="Calibri" w:hAnsi="Arial" w:cs="Arial"/>
          <w:color w:val="000000" w:themeColor="text1"/>
          <w:sz w:val="22"/>
          <w:szCs w:val="22"/>
          <w:lang w:val="es-ES_tradnl"/>
        </w:rPr>
        <w:t>reglamentación</w:t>
      </w:r>
      <w:r w:rsidR="00325AD9" w:rsidRPr="00742BED">
        <w:rPr>
          <w:rFonts w:ascii="Arial" w:eastAsia="Calibri" w:hAnsi="Arial" w:cs="Arial"/>
          <w:color w:val="000000" w:themeColor="text1"/>
          <w:sz w:val="22"/>
          <w:szCs w:val="22"/>
          <w:lang w:val="es-ES_tradnl"/>
        </w:rPr>
        <w:t xml:space="preserve"> previa para que </w:t>
      </w:r>
      <w:r w:rsidR="0041674B" w:rsidRPr="00742BED">
        <w:rPr>
          <w:rFonts w:ascii="Arial" w:eastAsia="Calibri" w:hAnsi="Arial" w:cs="Arial"/>
          <w:color w:val="000000" w:themeColor="text1"/>
          <w:sz w:val="22"/>
          <w:szCs w:val="22"/>
          <w:lang w:val="es-ES_tradnl"/>
        </w:rPr>
        <w:t xml:space="preserve">sea exigible en los procedimientos de selección, es </w:t>
      </w:r>
      <w:r w:rsidR="00961595" w:rsidRPr="00742BED">
        <w:rPr>
          <w:rFonts w:ascii="Arial" w:eastAsia="Calibri" w:hAnsi="Arial" w:cs="Arial"/>
          <w:color w:val="000000" w:themeColor="text1"/>
          <w:sz w:val="22"/>
          <w:szCs w:val="22"/>
          <w:lang w:val="es-ES_tradnl"/>
        </w:rPr>
        <w:t xml:space="preserve">necesario </w:t>
      </w:r>
      <w:r w:rsidR="0041674B" w:rsidRPr="00742BED">
        <w:rPr>
          <w:rFonts w:ascii="Arial" w:eastAsia="Calibri" w:hAnsi="Arial" w:cs="Arial"/>
          <w:color w:val="000000" w:themeColor="text1"/>
          <w:sz w:val="22"/>
          <w:szCs w:val="22"/>
          <w:lang w:val="es-ES_tradnl"/>
        </w:rPr>
        <w:t xml:space="preserve">hacer referencia al objeto de </w:t>
      </w:r>
      <w:r w:rsidR="00A00F5E" w:rsidRPr="00742BED">
        <w:rPr>
          <w:rFonts w:ascii="Arial" w:eastAsia="Calibri" w:hAnsi="Arial" w:cs="Arial"/>
          <w:color w:val="000000" w:themeColor="text1"/>
          <w:sz w:val="22"/>
          <w:szCs w:val="22"/>
          <w:lang w:val="es-ES_tradnl"/>
        </w:rPr>
        <w:t>la</w:t>
      </w:r>
      <w:r w:rsidR="0041674B" w:rsidRPr="00742BED">
        <w:rPr>
          <w:rFonts w:ascii="Arial" w:eastAsia="Calibri" w:hAnsi="Arial" w:cs="Arial"/>
          <w:color w:val="000000" w:themeColor="text1"/>
          <w:sz w:val="22"/>
          <w:szCs w:val="22"/>
          <w:lang w:val="es-ES_tradnl"/>
        </w:rPr>
        <w:t xml:space="preserve"> consulta. En ella se </w:t>
      </w:r>
      <w:r w:rsidR="00030DFB" w:rsidRPr="00742BED">
        <w:rPr>
          <w:rFonts w:ascii="Arial" w:eastAsia="Calibri" w:hAnsi="Arial" w:cs="Arial"/>
          <w:color w:val="000000" w:themeColor="text1"/>
          <w:sz w:val="22"/>
          <w:szCs w:val="22"/>
          <w:lang w:val="es-ES_tradnl"/>
        </w:rPr>
        <w:t xml:space="preserve">formulan preguntas sobre </w:t>
      </w:r>
      <w:r w:rsidR="0030257B" w:rsidRPr="00742BED">
        <w:rPr>
          <w:rFonts w:ascii="Arial" w:eastAsia="Calibri" w:hAnsi="Arial" w:cs="Arial"/>
          <w:color w:val="000000" w:themeColor="text1"/>
          <w:sz w:val="22"/>
          <w:szCs w:val="22"/>
          <w:lang w:val="es-ES_tradnl"/>
        </w:rPr>
        <w:t xml:space="preserve">el sentido y forma de acreditación </w:t>
      </w:r>
      <w:r w:rsidR="004F2480" w:rsidRPr="00742BED">
        <w:rPr>
          <w:rFonts w:ascii="Arial" w:eastAsia="Calibri" w:hAnsi="Arial" w:cs="Arial"/>
          <w:color w:val="000000" w:themeColor="text1"/>
          <w:sz w:val="22"/>
          <w:szCs w:val="22"/>
          <w:lang w:val="es-ES_tradnl"/>
        </w:rPr>
        <w:t>del</w:t>
      </w:r>
      <w:r w:rsidR="0030257B" w:rsidRPr="00742BED">
        <w:rPr>
          <w:rFonts w:ascii="Arial" w:eastAsia="Calibri" w:hAnsi="Arial" w:cs="Arial"/>
          <w:color w:val="000000" w:themeColor="text1"/>
          <w:sz w:val="22"/>
          <w:szCs w:val="22"/>
          <w:lang w:val="es-ES_tradnl"/>
        </w:rPr>
        <w:t xml:space="preserve"> factor</w:t>
      </w:r>
      <w:r w:rsidR="004F2480" w:rsidRPr="00742BED">
        <w:rPr>
          <w:rFonts w:ascii="Arial" w:eastAsia="Calibri" w:hAnsi="Arial" w:cs="Arial"/>
          <w:color w:val="000000" w:themeColor="text1"/>
          <w:sz w:val="22"/>
          <w:szCs w:val="22"/>
          <w:lang w:val="es-ES_tradnl"/>
        </w:rPr>
        <w:t xml:space="preserve"> </w:t>
      </w:r>
      <w:r w:rsidR="0030257B" w:rsidRPr="00742BED">
        <w:rPr>
          <w:rFonts w:ascii="Arial" w:eastAsia="Calibri" w:hAnsi="Arial" w:cs="Arial"/>
          <w:color w:val="000000" w:themeColor="text1"/>
          <w:sz w:val="22"/>
          <w:szCs w:val="22"/>
          <w:lang w:val="es-ES_tradnl"/>
        </w:rPr>
        <w:t xml:space="preserve">de desempate previsto en </w:t>
      </w:r>
      <w:r w:rsidR="004F2480" w:rsidRPr="00742BED">
        <w:rPr>
          <w:rFonts w:ascii="Arial" w:eastAsia="Calibri" w:hAnsi="Arial" w:cs="Arial"/>
          <w:color w:val="000000" w:themeColor="text1"/>
          <w:sz w:val="22"/>
          <w:szCs w:val="22"/>
          <w:lang w:val="es-ES_tradnl"/>
        </w:rPr>
        <w:t>el</w:t>
      </w:r>
      <w:r w:rsidR="0030257B" w:rsidRPr="00742BED">
        <w:rPr>
          <w:rFonts w:ascii="Arial" w:eastAsia="Calibri" w:hAnsi="Arial" w:cs="Arial"/>
          <w:color w:val="000000" w:themeColor="text1"/>
          <w:sz w:val="22"/>
          <w:szCs w:val="22"/>
          <w:lang w:val="es-ES_tradnl"/>
        </w:rPr>
        <w:t xml:space="preserve"> numeral 2</w:t>
      </w:r>
      <w:r w:rsidR="005F4596" w:rsidRPr="00742BED">
        <w:rPr>
          <w:rFonts w:ascii="Arial" w:eastAsia="Calibri" w:hAnsi="Arial" w:cs="Arial"/>
          <w:color w:val="000000" w:themeColor="text1"/>
          <w:sz w:val="22"/>
          <w:szCs w:val="22"/>
          <w:lang w:val="es-ES_tradnl"/>
        </w:rPr>
        <w:t xml:space="preserve"> </w:t>
      </w:r>
      <w:r w:rsidR="009C2210" w:rsidRPr="00742BED">
        <w:rPr>
          <w:rFonts w:ascii="Arial" w:eastAsia="Calibri" w:hAnsi="Arial" w:cs="Arial"/>
          <w:color w:val="000000" w:themeColor="text1"/>
          <w:sz w:val="22"/>
          <w:szCs w:val="22"/>
          <w:lang w:val="es-ES_tradnl"/>
        </w:rPr>
        <w:t>del artículo 35</w:t>
      </w:r>
      <w:r w:rsidR="00454DF8" w:rsidRPr="00742BED">
        <w:rPr>
          <w:rFonts w:ascii="Arial" w:eastAsia="Calibri" w:hAnsi="Arial" w:cs="Arial"/>
          <w:color w:val="000000" w:themeColor="text1"/>
          <w:sz w:val="22"/>
          <w:szCs w:val="22"/>
          <w:lang w:val="es-ES_tradnl"/>
        </w:rPr>
        <w:t xml:space="preserve">. </w:t>
      </w:r>
      <w:r w:rsidR="00E073FC" w:rsidRPr="00742BED">
        <w:rPr>
          <w:rFonts w:ascii="Arial" w:eastAsia="Calibri" w:hAnsi="Arial" w:cs="Arial"/>
          <w:color w:val="000000" w:themeColor="text1"/>
          <w:sz w:val="22"/>
          <w:szCs w:val="22"/>
          <w:lang w:val="es-ES_tradnl"/>
        </w:rPr>
        <w:t>La</w:t>
      </w:r>
      <w:r w:rsidR="00454DF8" w:rsidRPr="00742BED">
        <w:rPr>
          <w:rFonts w:ascii="Arial" w:eastAsia="Calibri" w:hAnsi="Arial" w:cs="Arial"/>
          <w:color w:val="000000" w:themeColor="text1"/>
          <w:sz w:val="22"/>
          <w:szCs w:val="22"/>
          <w:lang w:val="es-ES_tradnl"/>
        </w:rPr>
        <w:t xml:space="preserve"> disposici</w:t>
      </w:r>
      <w:r w:rsidR="004560FE" w:rsidRPr="00742BED">
        <w:rPr>
          <w:rFonts w:ascii="Arial" w:eastAsia="Calibri" w:hAnsi="Arial" w:cs="Arial"/>
          <w:color w:val="000000" w:themeColor="text1"/>
          <w:sz w:val="22"/>
          <w:szCs w:val="22"/>
          <w:lang w:val="es-ES_tradnl"/>
        </w:rPr>
        <w:t>ón</w:t>
      </w:r>
      <w:r w:rsidR="00454DF8" w:rsidRPr="00742BED">
        <w:rPr>
          <w:rFonts w:ascii="Arial" w:eastAsia="Calibri" w:hAnsi="Arial" w:cs="Arial"/>
          <w:color w:val="000000" w:themeColor="text1"/>
          <w:sz w:val="22"/>
          <w:szCs w:val="22"/>
          <w:lang w:val="es-ES_tradnl"/>
        </w:rPr>
        <w:t xml:space="preserve"> </w:t>
      </w:r>
      <w:r w:rsidR="00E073FC" w:rsidRPr="00742BED">
        <w:rPr>
          <w:rFonts w:ascii="Arial" w:eastAsia="Calibri" w:hAnsi="Arial" w:cs="Arial"/>
          <w:color w:val="000000" w:themeColor="text1"/>
          <w:sz w:val="22"/>
          <w:szCs w:val="22"/>
          <w:lang w:val="es-ES_tradnl"/>
        </w:rPr>
        <w:t>objeto de consulta</w:t>
      </w:r>
      <w:r w:rsidR="004560FE" w:rsidRPr="00742BED">
        <w:rPr>
          <w:rFonts w:ascii="Arial" w:eastAsia="Calibri" w:hAnsi="Arial" w:cs="Arial"/>
          <w:color w:val="000000" w:themeColor="text1"/>
          <w:sz w:val="22"/>
          <w:szCs w:val="22"/>
          <w:lang w:val="es-ES_tradnl"/>
        </w:rPr>
        <w:t xml:space="preserve"> </w:t>
      </w:r>
      <w:r w:rsidR="00694E8B" w:rsidRPr="00742BED">
        <w:rPr>
          <w:rFonts w:ascii="Arial" w:eastAsia="Calibri" w:hAnsi="Arial" w:cs="Arial"/>
          <w:color w:val="000000" w:themeColor="text1"/>
          <w:sz w:val="22"/>
          <w:szCs w:val="22"/>
          <w:lang w:val="es-ES_tradnl"/>
        </w:rPr>
        <w:t>está redactada de la siguiente manera</w:t>
      </w:r>
      <w:r w:rsidR="00BB606C" w:rsidRPr="00742BED">
        <w:rPr>
          <w:rFonts w:ascii="Arial" w:hAnsi="Arial" w:cs="Arial"/>
          <w:color w:val="000000" w:themeColor="text1"/>
          <w:sz w:val="22"/>
          <w:szCs w:val="22"/>
          <w:lang w:val="es-ES_tradnl"/>
        </w:rPr>
        <w:t>:</w:t>
      </w:r>
      <w:r w:rsidR="00E073FC" w:rsidRPr="00742BED">
        <w:rPr>
          <w:rFonts w:ascii="Arial" w:hAnsi="Arial" w:cs="Arial"/>
          <w:color w:val="000000" w:themeColor="text1"/>
          <w:sz w:val="22"/>
          <w:szCs w:val="22"/>
          <w:lang w:val="es-ES_tradnl"/>
        </w:rPr>
        <w:t xml:space="preserve"> </w:t>
      </w:r>
    </w:p>
    <w:p w14:paraId="0F63709A" w14:textId="74E372D9" w:rsidR="00BB606C" w:rsidRPr="00742BED" w:rsidRDefault="00BB606C" w:rsidP="004B205A">
      <w:pPr>
        <w:spacing w:line="276" w:lineRule="auto"/>
        <w:ind w:firstLine="709"/>
        <w:jc w:val="both"/>
        <w:rPr>
          <w:rFonts w:ascii="Arial" w:hAnsi="Arial" w:cs="Arial"/>
          <w:color w:val="000000" w:themeColor="text1"/>
          <w:sz w:val="21"/>
          <w:szCs w:val="21"/>
          <w:lang w:val="es-ES_tradnl"/>
        </w:rPr>
      </w:pPr>
    </w:p>
    <w:p w14:paraId="0BC827BE" w14:textId="77777777" w:rsidR="00530458" w:rsidRPr="00742BED" w:rsidRDefault="00530458" w:rsidP="00C0167E">
      <w:pPr>
        <w:spacing w:after="120"/>
        <w:ind w:left="709" w:right="709"/>
        <w:jc w:val="both"/>
        <w:rPr>
          <w:rFonts w:ascii="Arial" w:eastAsia="Calibri" w:hAnsi="Arial" w:cs="Arial"/>
          <w:color w:val="000000" w:themeColor="text1"/>
          <w:sz w:val="21"/>
          <w:szCs w:val="21"/>
          <w:lang w:val="es-ES_tradnl"/>
        </w:rPr>
      </w:pPr>
      <w:r w:rsidRPr="00742BED">
        <w:rPr>
          <w:rFonts w:ascii="Arial" w:eastAsia="Calibri" w:hAnsi="Arial" w:cs="Arial"/>
          <w:color w:val="000000" w:themeColor="text1"/>
          <w:sz w:val="21"/>
          <w:szCs w:val="21"/>
          <w:lang w:val="es-ES_tradnl"/>
        </w:rPr>
        <w:t>En caso de empate en el puntaje total de dos o más ofertas 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el contratante deberá utilizar las siguientes reglas de forma sucesiva y excluyente para seleccionar al oferente favorecido, respetando en todo caso los compromisos internacionales vigentes</w:t>
      </w:r>
    </w:p>
    <w:p w14:paraId="217A8E4B" w14:textId="77777777" w:rsidR="00530458" w:rsidRPr="00742BED" w:rsidRDefault="00530458" w:rsidP="004B205A">
      <w:pPr>
        <w:spacing w:after="120"/>
        <w:ind w:left="709" w:right="709"/>
        <w:jc w:val="both"/>
        <w:rPr>
          <w:rFonts w:ascii="Arial" w:eastAsia="Calibri" w:hAnsi="Arial" w:cs="Arial"/>
          <w:color w:val="000000" w:themeColor="text1"/>
          <w:sz w:val="21"/>
          <w:szCs w:val="21"/>
          <w:lang w:val="es-ES_tradnl"/>
        </w:rPr>
      </w:pPr>
      <w:r w:rsidRPr="00742BED">
        <w:rPr>
          <w:rFonts w:ascii="Arial" w:eastAsia="Calibri" w:hAnsi="Arial" w:cs="Arial"/>
          <w:color w:val="000000" w:themeColor="text1"/>
          <w:sz w:val="21"/>
          <w:szCs w:val="21"/>
          <w:lang w:val="es-ES_tradnl"/>
        </w:rPr>
        <w:t>[…]</w:t>
      </w:r>
    </w:p>
    <w:p w14:paraId="55242CC7" w14:textId="36E152E9" w:rsidR="007D2A8A" w:rsidRPr="00742BED" w:rsidRDefault="00BB606C" w:rsidP="00C0167E">
      <w:pPr>
        <w:spacing w:after="120"/>
        <w:ind w:left="709" w:right="709"/>
        <w:jc w:val="both"/>
        <w:rPr>
          <w:rFonts w:ascii="Arial" w:eastAsia="Calibri" w:hAnsi="Arial" w:cs="Arial"/>
          <w:color w:val="000000" w:themeColor="text1"/>
          <w:sz w:val="21"/>
          <w:szCs w:val="21"/>
          <w:lang w:val="es-ES_tradnl"/>
        </w:rPr>
      </w:pPr>
      <w:r w:rsidRPr="00742BED">
        <w:rPr>
          <w:rFonts w:ascii="Arial" w:eastAsia="Calibri" w:hAnsi="Arial" w:cs="Arial"/>
          <w:color w:val="000000" w:themeColor="text1"/>
          <w:sz w:val="21"/>
          <w:szCs w:val="21"/>
          <w:lang w:val="es-ES_tradnl"/>
        </w:rPr>
        <w:t>2. Preferir la propuesta de la mujer cabeza de familia, mujeres víctimas de la violencia intrafamiliar o de la persona jurídica en la cual participe o participen mayoritariamente; o, la de un proponente plural constituido por mujeres cabeza de familia, mujeres víctimas de violencia intrafamiliar y/o personas jurídicas en las cuales participe o participen mayoritariamente.</w:t>
      </w:r>
    </w:p>
    <w:p w14:paraId="0CDD4CD6" w14:textId="77777777" w:rsidR="00E643A3" w:rsidRPr="00742BED" w:rsidRDefault="00E643A3" w:rsidP="00E643A3">
      <w:pPr>
        <w:spacing w:after="120"/>
        <w:ind w:left="709" w:right="709"/>
        <w:jc w:val="both"/>
        <w:rPr>
          <w:rFonts w:ascii="Arial" w:eastAsia="Calibri" w:hAnsi="Arial" w:cs="Arial"/>
          <w:sz w:val="21"/>
          <w:szCs w:val="21"/>
          <w:lang w:val="es-ES_tradnl"/>
        </w:rPr>
      </w:pPr>
      <w:r w:rsidRPr="00742BED">
        <w:rPr>
          <w:rFonts w:ascii="Arial" w:eastAsia="Calibri" w:hAnsi="Arial" w:cs="Arial"/>
          <w:sz w:val="21"/>
          <w:szCs w:val="21"/>
          <w:lang w:val="es-ES_tradnl"/>
        </w:rPr>
        <w:t>[…]</w:t>
      </w:r>
    </w:p>
    <w:p w14:paraId="20D973A7" w14:textId="520CC0A6" w:rsidR="00E643A3" w:rsidRPr="00742BED" w:rsidRDefault="00E643A3" w:rsidP="00E643A3">
      <w:pPr>
        <w:spacing w:after="120"/>
        <w:ind w:left="709" w:right="709"/>
        <w:jc w:val="both"/>
        <w:rPr>
          <w:rFonts w:ascii="Arial" w:eastAsia="Calibri" w:hAnsi="Arial" w:cs="Arial"/>
          <w:sz w:val="21"/>
          <w:szCs w:val="21"/>
          <w:lang w:val="es-ES_tradnl"/>
        </w:rPr>
      </w:pPr>
      <w:r w:rsidRPr="00742BED">
        <w:rPr>
          <w:rFonts w:ascii="Arial" w:eastAsia="Calibri" w:hAnsi="Arial" w:cs="Arial"/>
          <w:sz w:val="21"/>
          <w:szCs w:val="21"/>
          <w:lang w:val="es-ES_tradnl"/>
        </w:rPr>
        <w:t xml:space="preserve">4. Preferir la propuesta presentada por el oferente que acredite la vinculación en mayor proporción de personas mayores que no sean beneficiarios de la pensión </w:t>
      </w:r>
      <w:r w:rsidRPr="00742BED">
        <w:rPr>
          <w:rFonts w:ascii="Arial" w:eastAsia="Calibri" w:hAnsi="Arial" w:cs="Arial"/>
          <w:sz w:val="21"/>
          <w:szCs w:val="21"/>
          <w:lang w:val="es-ES_tradnl"/>
        </w:rPr>
        <w:lastRenderedPageBreak/>
        <w:t>de vejez, familiar o de sobrevivencia y que hayan cumplido el requisito de edad de pensión establecido en la Ley.</w:t>
      </w:r>
    </w:p>
    <w:p w14:paraId="297E7416" w14:textId="77777777" w:rsidR="00FF26FB" w:rsidRPr="00742BED" w:rsidRDefault="00FF26FB" w:rsidP="00FF26FB">
      <w:pPr>
        <w:spacing w:after="120"/>
        <w:ind w:left="709" w:right="709"/>
        <w:jc w:val="both"/>
        <w:rPr>
          <w:rFonts w:ascii="Arial" w:eastAsia="Calibri" w:hAnsi="Arial" w:cs="Arial"/>
          <w:sz w:val="21"/>
          <w:szCs w:val="21"/>
          <w:lang w:val="es-ES_tradnl"/>
        </w:rPr>
      </w:pPr>
      <w:r w:rsidRPr="00742BED">
        <w:rPr>
          <w:rFonts w:ascii="Arial" w:eastAsia="Calibri" w:hAnsi="Arial" w:cs="Arial"/>
          <w:sz w:val="21"/>
          <w:szCs w:val="21"/>
          <w:lang w:val="es-ES_tradnl"/>
        </w:rPr>
        <w:t>[…]</w:t>
      </w:r>
    </w:p>
    <w:p w14:paraId="5E1207E2" w14:textId="74C55D63" w:rsidR="00766D49" w:rsidRPr="00742BED" w:rsidRDefault="00766D49" w:rsidP="00FF26FB">
      <w:pPr>
        <w:ind w:right="709"/>
        <w:jc w:val="both"/>
        <w:rPr>
          <w:rFonts w:ascii="Arial" w:eastAsia="Calibri" w:hAnsi="Arial" w:cs="Arial"/>
          <w:color w:val="000000" w:themeColor="text1"/>
          <w:sz w:val="21"/>
          <w:szCs w:val="21"/>
          <w:lang w:val="es-ES_tradnl"/>
        </w:rPr>
      </w:pPr>
    </w:p>
    <w:p w14:paraId="085ABD8E" w14:textId="5F182324" w:rsidR="00380B96" w:rsidRPr="00742BED" w:rsidRDefault="00CC4EF4" w:rsidP="00277EC1">
      <w:pPr>
        <w:spacing w:line="276" w:lineRule="auto"/>
        <w:ind w:firstLine="709"/>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t xml:space="preserve">Como se advierte, </w:t>
      </w:r>
      <w:r w:rsidR="004560FE" w:rsidRPr="00742BED">
        <w:rPr>
          <w:rFonts w:ascii="Arial" w:eastAsia="Calibri" w:hAnsi="Arial" w:cs="Arial"/>
          <w:color w:val="000000" w:themeColor="text1"/>
          <w:sz w:val="22"/>
          <w:szCs w:val="22"/>
          <w:lang w:val="es-ES_tradnl"/>
        </w:rPr>
        <w:t>este</w:t>
      </w:r>
      <w:r w:rsidRPr="00742BED">
        <w:rPr>
          <w:rFonts w:ascii="Arial" w:eastAsia="Calibri" w:hAnsi="Arial" w:cs="Arial"/>
          <w:color w:val="000000" w:themeColor="text1"/>
          <w:sz w:val="22"/>
          <w:szCs w:val="22"/>
          <w:lang w:val="es-ES_tradnl"/>
        </w:rPr>
        <w:t xml:space="preserve"> numeral </w:t>
      </w:r>
      <w:bookmarkStart w:id="8" w:name="_Hlk62459524"/>
      <w:r w:rsidRPr="00742BED">
        <w:rPr>
          <w:rFonts w:ascii="Arial" w:eastAsia="Calibri" w:hAnsi="Arial" w:cs="Arial"/>
          <w:color w:val="000000" w:themeColor="text1"/>
          <w:sz w:val="22"/>
          <w:szCs w:val="22"/>
          <w:lang w:val="es-ES_tradnl"/>
        </w:rPr>
        <w:t xml:space="preserve">no establece un medio específico para acreditar las circunstancias a las que se refiere. Por lo tanto, corresponde a la entidad contratante analizar si el ordenamiento jurídico, en otras disposiciones legales o reglamentarias, exige un documento especial o si, por el contrario, hay libertad probatoria. Este análisis debe realizarse de manera independiente frente a cada numeral. 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w:t>
      </w:r>
      <w:r w:rsidR="00345965" w:rsidRPr="00742BED">
        <w:rPr>
          <w:rFonts w:ascii="Arial" w:eastAsia="Calibri" w:hAnsi="Arial" w:cs="Arial"/>
          <w:color w:val="000000" w:themeColor="text1"/>
          <w:sz w:val="22"/>
          <w:szCs w:val="22"/>
          <w:lang w:val="es-ES_tradnl"/>
        </w:rPr>
        <w:t>encuentra</w:t>
      </w:r>
      <w:r w:rsidRPr="00742BED">
        <w:rPr>
          <w:rFonts w:ascii="Arial" w:eastAsia="Calibri" w:hAnsi="Arial" w:cs="Arial"/>
          <w:color w:val="000000" w:themeColor="text1"/>
          <w:sz w:val="22"/>
          <w:szCs w:val="22"/>
          <w:lang w:val="es-ES_tradnl"/>
        </w:rPr>
        <w:t xml:space="preserve"> bajo la condición que permite aplicar la regla de desempate. Por supuesto, el decreto reglamentario que expida el gobierno nacional para garantizar la cumplida ejecución de la Ley </w:t>
      </w:r>
      <w:r w:rsidR="007B209C" w:rsidRPr="00742BED">
        <w:rPr>
          <w:rFonts w:ascii="Arial" w:eastAsia="Calibri" w:hAnsi="Arial" w:cs="Arial"/>
          <w:color w:val="000000" w:themeColor="text1"/>
          <w:sz w:val="22"/>
          <w:szCs w:val="22"/>
          <w:lang w:val="es-ES_tradnl"/>
        </w:rPr>
        <w:t>2069</w:t>
      </w:r>
      <w:r w:rsidRPr="00742BED">
        <w:rPr>
          <w:rFonts w:ascii="Arial" w:eastAsia="Calibri" w:hAnsi="Arial" w:cs="Arial"/>
          <w:color w:val="000000" w:themeColor="text1"/>
          <w:sz w:val="22"/>
          <w:szCs w:val="22"/>
          <w:lang w:val="es-ES_tradnl"/>
        </w:rPr>
        <w:t xml:space="preserve"> de 2020 podría establecer los medios de prueba, así como las autoridades encargadas de certificar las circunstancias del artículo 35. Sin embargo, mientras ello no suceda, deberá aplicarse el criterio indicado con anterioridad.</w:t>
      </w:r>
    </w:p>
    <w:bookmarkEnd w:id="8"/>
    <w:p w14:paraId="5BDB94EE" w14:textId="6560A1CD" w:rsidR="00BD6D41" w:rsidRPr="00742BED" w:rsidRDefault="004567DA" w:rsidP="00336CD9">
      <w:pPr>
        <w:spacing w:before="120" w:line="276" w:lineRule="auto"/>
        <w:ind w:firstLine="709"/>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t xml:space="preserve">Así, en relación con el numeral 2 del artículo 35, como lo ha indicado la Corte Constitucional, </w:t>
      </w:r>
      <w:r w:rsidR="00974CBD" w:rsidRPr="00742BED">
        <w:rPr>
          <w:rFonts w:ascii="Arial" w:eastAsia="Calibri" w:hAnsi="Arial" w:cs="Arial"/>
          <w:color w:val="000000" w:themeColor="text1"/>
          <w:sz w:val="22"/>
          <w:szCs w:val="22"/>
          <w:lang w:val="es-ES_tradnl"/>
        </w:rPr>
        <w:t>«[…] la condición de padre o madre cabeza de familia se acredita cuando la persona (i) tiene la responsabilidad permanente de hijos menores o personas incapacitadas para trabajar, (ii) no cuenta con la ayuda de otros miembros de la familia y (iii) su pareja murió, está ausente de manera permanente o abandonó el hogar y se demuestra que esta se sustrae del cumplimiento de sus obligaciones, o cuando su pareja se encuentre presente pero no asuma la responsabilidad que le corresponde por motivos como la incapacidad física, sensorial, síquica o mental»</w:t>
      </w:r>
      <w:r w:rsidR="00974CBD" w:rsidRPr="00742BED">
        <w:rPr>
          <w:rStyle w:val="Refdenotaalpie"/>
          <w:rFonts w:ascii="Arial" w:eastAsia="Calibri" w:hAnsi="Arial" w:cs="Arial"/>
          <w:color w:val="000000" w:themeColor="text1"/>
          <w:sz w:val="22"/>
          <w:szCs w:val="22"/>
          <w:lang w:val="es-ES_tradnl"/>
        </w:rPr>
        <w:footnoteReference w:id="20"/>
      </w:r>
      <w:r w:rsidR="00974CBD" w:rsidRPr="00742BED">
        <w:rPr>
          <w:rFonts w:ascii="Arial" w:eastAsia="Calibri" w:hAnsi="Arial" w:cs="Arial"/>
          <w:color w:val="000000" w:themeColor="text1"/>
          <w:sz w:val="22"/>
          <w:szCs w:val="22"/>
          <w:lang w:val="es-ES_tradnl"/>
        </w:rPr>
        <w:t>.</w:t>
      </w:r>
      <w:r w:rsidR="0022609C" w:rsidRPr="00742BED">
        <w:rPr>
          <w:rFonts w:ascii="Arial" w:eastAsia="Calibri" w:hAnsi="Arial" w:cs="Arial"/>
          <w:color w:val="000000" w:themeColor="text1"/>
          <w:sz w:val="22"/>
          <w:szCs w:val="22"/>
          <w:lang w:val="es-ES_tradnl"/>
        </w:rPr>
        <w:t xml:space="preserve"> El </w:t>
      </w:r>
      <w:r w:rsidR="002F40E2" w:rsidRPr="00742BED">
        <w:rPr>
          <w:rFonts w:ascii="Arial" w:eastAsia="Calibri" w:hAnsi="Arial" w:cs="Arial"/>
          <w:color w:val="000000" w:themeColor="text1"/>
          <w:sz w:val="22"/>
          <w:szCs w:val="22"/>
          <w:lang w:val="es-ES_tradnl"/>
        </w:rPr>
        <w:t>proponente</w:t>
      </w:r>
      <w:r w:rsidR="0022609C" w:rsidRPr="00742BED">
        <w:rPr>
          <w:rFonts w:ascii="Arial" w:eastAsia="Calibri" w:hAnsi="Arial" w:cs="Arial"/>
          <w:color w:val="000000" w:themeColor="text1"/>
          <w:sz w:val="22"/>
          <w:szCs w:val="22"/>
          <w:lang w:val="es-ES_tradnl"/>
        </w:rPr>
        <w:t xml:space="preserve"> también podrá acreditar que la</w:t>
      </w:r>
      <w:r w:rsidR="002F40E2" w:rsidRPr="00742BED">
        <w:rPr>
          <w:rFonts w:ascii="Arial" w:eastAsia="Calibri" w:hAnsi="Arial" w:cs="Arial"/>
          <w:color w:val="000000" w:themeColor="text1"/>
          <w:sz w:val="22"/>
          <w:szCs w:val="22"/>
          <w:lang w:val="es-ES_tradnl"/>
        </w:rPr>
        <w:t xml:space="preserve"> oferta ha sido presentada por mujeres víctimas de la violencia intrafamiliar, situación que, como también ha precisado la Corte Constitucional, se define como «[…] aquella que se propicia por el daño físico, emocional, sexual, psicológico o económico que se causa entre los miembros de la familia y al interior de la unidad doméstica. Esta se puede dar por acción u omisión de cualquier miembro de la familia»</w:t>
      </w:r>
      <w:r w:rsidR="002F40E2" w:rsidRPr="00742BED">
        <w:rPr>
          <w:rStyle w:val="Refdenotaalpie"/>
          <w:rFonts w:ascii="Arial" w:eastAsia="Calibri" w:hAnsi="Arial" w:cs="Arial"/>
          <w:color w:val="000000" w:themeColor="text1"/>
          <w:sz w:val="22"/>
          <w:szCs w:val="22"/>
          <w:lang w:val="es-ES_tradnl"/>
        </w:rPr>
        <w:footnoteReference w:id="21"/>
      </w:r>
      <w:r w:rsidR="00F62227" w:rsidRPr="00742BED">
        <w:rPr>
          <w:rFonts w:ascii="Arial" w:eastAsia="Calibri" w:hAnsi="Arial" w:cs="Arial"/>
          <w:color w:val="000000" w:themeColor="text1"/>
          <w:sz w:val="22"/>
          <w:szCs w:val="22"/>
          <w:lang w:val="es-ES_tradnl"/>
        </w:rPr>
        <w:t>.</w:t>
      </w:r>
      <w:r w:rsidR="007651EF" w:rsidRPr="00742BED">
        <w:rPr>
          <w:rFonts w:ascii="Arial" w:eastAsia="Calibri" w:hAnsi="Arial" w:cs="Arial"/>
          <w:color w:val="000000" w:themeColor="text1"/>
          <w:sz w:val="22"/>
          <w:szCs w:val="22"/>
          <w:lang w:val="es-ES_tradnl"/>
        </w:rPr>
        <w:t xml:space="preserve"> </w:t>
      </w:r>
    </w:p>
    <w:p w14:paraId="27A795A3" w14:textId="77777777" w:rsidR="007E7657" w:rsidRPr="00742BED" w:rsidRDefault="0093360C" w:rsidP="007E7657">
      <w:pPr>
        <w:spacing w:before="120" w:line="276" w:lineRule="auto"/>
        <w:ind w:firstLine="709"/>
        <w:jc w:val="both"/>
        <w:rPr>
          <w:rFonts w:ascii="Arial" w:hAnsi="Arial" w:cs="Arial"/>
          <w:color w:val="000000" w:themeColor="text1"/>
          <w:sz w:val="22"/>
          <w:szCs w:val="22"/>
          <w:lang w:val="es-ES_tradnl"/>
        </w:rPr>
      </w:pPr>
      <w:bookmarkStart w:id="9" w:name="_Hlk62481891"/>
      <w:r w:rsidRPr="00742BED">
        <w:rPr>
          <w:rFonts w:ascii="Arial" w:hAnsi="Arial" w:cs="Arial"/>
          <w:color w:val="000000" w:themeColor="text1"/>
          <w:sz w:val="22"/>
          <w:szCs w:val="22"/>
          <w:lang w:val="es-ES_tradnl"/>
        </w:rPr>
        <w:t xml:space="preserve">El parágrafo del artículo 2 de la Ley 82 de 1993 –«Por la cual se expiden normas para apoyar de manera especial a la mujer cabeza de familia»– establece que «La condición de Mujer Cabeza de Familia y la cesación de la misma, desde el momento en que ocurra el respectivo evento, deberá ser declarada ante notario por cada una de ellas, expresando las </w:t>
      </w:r>
      <w:r w:rsidRPr="00742BED">
        <w:rPr>
          <w:rFonts w:ascii="Arial" w:hAnsi="Arial" w:cs="Arial"/>
          <w:color w:val="000000" w:themeColor="text1"/>
          <w:sz w:val="22"/>
          <w:szCs w:val="22"/>
          <w:lang w:val="es-ES_tradnl"/>
        </w:rPr>
        <w:lastRenderedPageBreak/>
        <w:t>circunstancias básicas del respectivo caso y sin que por este concepto se causen emolumentos notariales a su cargo». Por lo tanto, a menos que una norma posterior disponga lo contrario, tal declaración basta para acreditar la condición de mujer cabeza de familia</w:t>
      </w:r>
      <w:r w:rsidRPr="00742BED">
        <w:rPr>
          <w:rStyle w:val="Refdenotaalpie"/>
          <w:rFonts w:ascii="Arial" w:hAnsi="Arial" w:cs="Arial"/>
          <w:color w:val="000000" w:themeColor="text1"/>
          <w:sz w:val="22"/>
          <w:szCs w:val="22"/>
          <w:lang w:val="es-ES_tradnl"/>
        </w:rPr>
        <w:footnoteReference w:id="22"/>
      </w:r>
      <w:r w:rsidRPr="00742BED">
        <w:rPr>
          <w:rFonts w:ascii="Arial" w:hAnsi="Arial" w:cs="Arial"/>
          <w:color w:val="000000" w:themeColor="text1"/>
          <w:sz w:val="22"/>
          <w:szCs w:val="22"/>
          <w:lang w:val="es-ES_tradnl"/>
        </w:rPr>
        <w:t>.</w:t>
      </w:r>
      <w:r w:rsidR="007E7657" w:rsidRPr="00742BED">
        <w:rPr>
          <w:rFonts w:ascii="Arial" w:hAnsi="Arial" w:cs="Arial"/>
          <w:color w:val="000000" w:themeColor="text1"/>
          <w:sz w:val="22"/>
          <w:szCs w:val="22"/>
          <w:lang w:val="es-ES_tradnl"/>
        </w:rPr>
        <w:t xml:space="preserve"> </w:t>
      </w:r>
    </w:p>
    <w:bookmarkEnd w:id="9"/>
    <w:p w14:paraId="472C2CE9" w14:textId="649ECBE8" w:rsidR="0093360C" w:rsidRPr="00742BED" w:rsidRDefault="007E7657" w:rsidP="007E7657">
      <w:pPr>
        <w:spacing w:before="120" w:line="276" w:lineRule="auto"/>
        <w:ind w:firstLine="709"/>
        <w:jc w:val="both"/>
        <w:rPr>
          <w:rFonts w:ascii="Arial" w:hAnsi="Arial" w:cs="Arial"/>
          <w:color w:val="000000" w:themeColor="text1"/>
          <w:sz w:val="22"/>
          <w:szCs w:val="22"/>
          <w:lang w:val="es-ES_tradnl"/>
        </w:rPr>
      </w:pPr>
      <w:r w:rsidRPr="00742BED">
        <w:rPr>
          <w:rFonts w:ascii="Arial" w:hAnsi="Arial" w:cs="Arial"/>
          <w:color w:val="000000" w:themeColor="text1"/>
          <w:sz w:val="22"/>
          <w:szCs w:val="22"/>
          <w:lang w:val="es-ES_tradnl"/>
        </w:rPr>
        <w:t>Por su parte, el artículo 21 de la Ley 1257 de 2008</w:t>
      </w:r>
      <w:r w:rsidR="0044361F" w:rsidRPr="00742BED">
        <w:rPr>
          <w:rFonts w:ascii="Arial" w:hAnsi="Arial" w:cs="Arial"/>
          <w:color w:val="000000" w:themeColor="text1"/>
          <w:sz w:val="22"/>
          <w:szCs w:val="22"/>
          <w:lang w:val="es-ES_tradnl"/>
        </w:rPr>
        <w:t>, p</w:t>
      </w:r>
      <w:r w:rsidRPr="00742BED">
        <w:rPr>
          <w:rFonts w:ascii="Arial" w:hAnsi="Arial" w:cs="Arial"/>
          <w:color w:val="000000" w:themeColor="text1"/>
          <w:sz w:val="22"/>
          <w:szCs w:val="22"/>
          <w:lang w:val="es-ES_tradnl"/>
        </w:rPr>
        <w:t xml:space="preserve">or la cual se dictan normas de sensibilización, prevención y sanción de formas de violencia y discriminación contra las mujeres, se reforman los Códigos Penal, de Procedimiento Penal, la Ley 294 de 1996 y se dictan otras disposiciones, dispone que «Las situaciones de violencia que dan lugar a la atención de las mujeres, sus hijos e hijas, se acreditarán con la medida de protección expedida por la autoridad competente, sin que puedan exigirse requisitos adicionales». </w:t>
      </w:r>
      <w:bookmarkStart w:id="10" w:name="_Hlk62482124"/>
      <w:r w:rsidRPr="00742BED">
        <w:rPr>
          <w:rFonts w:ascii="Arial" w:hAnsi="Arial" w:cs="Arial"/>
          <w:color w:val="000000" w:themeColor="text1"/>
          <w:sz w:val="22"/>
          <w:szCs w:val="22"/>
          <w:lang w:val="es-ES_tradnl"/>
        </w:rPr>
        <w:t>Según los artículos 16 y 17 de la Ley 1257 de 2008, la medida de protección la debe impartir el comisario de familia del lugar donde ocurrieron los hechos y a falta de este el juez civil municipal o promiscuo municipal, o la autoridad indígena –en los casos de violencia intrafamiliar en las comunidades indígenas–. La medida de protección se debe emitir en una providencia motivada. Por lo tanto, este documento permite acreditar la situación de mujer víctima de violencia intrafamiliar. Las autoridades competentes mencionadas con anterioridad deben «[…] remitir todos los casos de violencia intrafamiliar a la Fiscalía General de la Nación para efectos de la investigación del delito de violencia intrafamiliar y posibles delitos conexos», según lo determina el parágrafo 3 del artículo 17 de la referida Ley. En consecuencia, no basta la copia de la denuncia en la Fiscalía para acreditar que se es víctima de violencia intrafamiliar, pues se requiere la providencia que establezca la medida de protección procedente.</w:t>
      </w:r>
    </w:p>
    <w:bookmarkEnd w:id="10"/>
    <w:p w14:paraId="210237BF" w14:textId="1B5F1092" w:rsidR="009D460F" w:rsidRPr="00742BED" w:rsidRDefault="003A41C5" w:rsidP="003A41C5">
      <w:pPr>
        <w:spacing w:before="120" w:line="276" w:lineRule="auto"/>
        <w:ind w:firstLine="709"/>
        <w:jc w:val="both"/>
        <w:rPr>
          <w:rFonts w:ascii="Arial" w:hAnsi="Arial" w:cs="Arial"/>
          <w:color w:val="000000" w:themeColor="text1"/>
          <w:sz w:val="22"/>
          <w:szCs w:val="22"/>
          <w:lang w:val="es-ES_tradnl"/>
        </w:rPr>
      </w:pPr>
      <w:r w:rsidRPr="00742BED">
        <w:rPr>
          <w:rFonts w:ascii="Arial" w:hAnsi="Arial" w:cs="Arial"/>
          <w:color w:val="000000" w:themeColor="text1"/>
          <w:sz w:val="22"/>
          <w:szCs w:val="22"/>
          <w:lang w:val="es-ES_tradnl"/>
        </w:rPr>
        <w:t>Ahora bien, el numeral 2 del artículo 35</w:t>
      </w:r>
      <w:r w:rsidR="0093360C" w:rsidRPr="00742BED">
        <w:rPr>
          <w:rFonts w:ascii="Arial" w:hAnsi="Arial" w:cs="Arial"/>
          <w:color w:val="000000" w:themeColor="text1"/>
          <w:sz w:val="22"/>
          <w:szCs w:val="22"/>
          <w:lang w:val="es-ES_tradnl"/>
        </w:rPr>
        <w:t xml:space="preserve"> de la Ley </w:t>
      </w:r>
      <w:r w:rsidR="007B209C" w:rsidRPr="00742BED">
        <w:rPr>
          <w:rFonts w:ascii="Arial" w:hAnsi="Arial" w:cs="Arial"/>
          <w:color w:val="000000" w:themeColor="text1"/>
          <w:sz w:val="22"/>
          <w:szCs w:val="22"/>
          <w:lang w:val="es-ES_tradnl"/>
        </w:rPr>
        <w:t>2069</w:t>
      </w:r>
      <w:r w:rsidR="0093360C" w:rsidRPr="00742BED">
        <w:rPr>
          <w:rFonts w:ascii="Arial" w:hAnsi="Arial" w:cs="Arial"/>
          <w:color w:val="000000" w:themeColor="text1"/>
          <w:sz w:val="22"/>
          <w:szCs w:val="22"/>
          <w:lang w:val="es-ES_tradnl"/>
        </w:rPr>
        <w:t xml:space="preserve"> de 2020</w:t>
      </w:r>
      <w:r w:rsidRPr="00742BED">
        <w:rPr>
          <w:rFonts w:ascii="Arial" w:hAnsi="Arial" w:cs="Arial"/>
          <w:color w:val="000000" w:themeColor="text1"/>
          <w:sz w:val="22"/>
          <w:szCs w:val="22"/>
          <w:lang w:val="es-ES_tradnl"/>
        </w:rPr>
        <w:t xml:space="preserve"> no establece que este factor de desempate únicamente puede aplicarse cuando en la persona jurídica existe participación mayoritaria </w:t>
      </w:r>
      <w:r w:rsidRPr="00742BED">
        <w:rPr>
          <w:rFonts w:ascii="Arial" w:hAnsi="Arial" w:cs="Arial"/>
          <w:i/>
          <w:iCs/>
          <w:color w:val="000000" w:themeColor="text1"/>
          <w:sz w:val="22"/>
          <w:szCs w:val="22"/>
          <w:lang w:val="es-ES_tradnl"/>
        </w:rPr>
        <w:t>solo</w:t>
      </w:r>
      <w:r w:rsidRPr="00742BED">
        <w:rPr>
          <w:rFonts w:ascii="Arial" w:hAnsi="Arial" w:cs="Arial"/>
          <w:color w:val="000000" w:themeColor="text1"/>
          <w:sz w:val="22"/>
          <w:szCs w:val="22"/>
          <w:lang w:val="es-ES_tradnl"/>
        </w:rPr>
        <w:t xml:space="preserve"> de mujeres cabeza de familia o </w:t>
      </w:r>
      <w:r w:rsidRPr="00742BED">
        <w:rPr>
          <w:rFonts w:ascii="Arial" w:hAnsi="Arial" w:cs="Arial"/>
          <w:i/>
          <w:iCs/>
          <w:color w:val="000000" w:themeColor="text1"/>
          <w:sz w:val="22"/>
          <w:szCs w:val="22"/>
          <w:lang w:val="es-ES_tradnl"/>
        </w:rPr>
        <w:t>solo</w:t>
      </w:r>
      <w:r w:rsidRPr="00742BED">
        <w:rPr>
          <w:rFonts w:ascii="Arial" w:hAnsi="Arial" w:cs="Arial"/>
          <w:color w:val="000000" w:themeColor="text1"/>
          <w:sz w:val="22"/>
          <w:szCs w:val="22"/>
          <w:lang w:val="es-ES_tradnl"/>
        </w:rPr>
        <w:t xml:space="preserve"> de mujeres víctimas de la violencia intrafamiliar. Lo que </w:t>
      </w:r>
      <w:r w:rsidR="0044361F" w:rsidRPr="00742BED">
        <w:rPr>
          <w:rFonts w:ascii="Arial" w:hAnsi="Arial" w:cs="Arial"/>
          <w:color w:val="000000" w:themeColor="text1"/>
          <w:sz w:val="22"/>
          <w:szCs w:val="22"/>
          <w:lang w:val="es-ES_tradnl"/>
        </w:rPr>
        <w:t>dispone</w:t>
      </w:r>
      <w:r w:rsidRPr="00742BED">
        <w:rPr>
          <w:rFonts w:ascii="Arial" w:hAnsi="Arial" w:cs="Arial"/>
          <w:color w:val="000000" w:themeColor="text1"/>
          <w:sz w:val="22"/>
          <w:szCs w:val="22"/>
          <w:lang w:val="es-ES_tradnl"/>
        </w:rPr>
        <w:t xml:space="preserve"> es que se debe «Preferir la propuesta de la mujer cabeza de familia, mujeres víctimas de la violencia intrafamiliar o de la persona jurídica en la cual participe </w:t>
      </w:r>
      <w:r w:rsidRPr="00742BED">
        <w:rPr>
          <w:rFonts w:ascii="Arial" w:hAnsi="Arial" w:cs="Arial"/>
          <w:i/>
          <w:iCs/>
          <w:color w:val="000000" w:themeColor="text1"/>
          <w:sz w:val="22"/>
          <w:szCs w:val="22"/>
          <w:lang w:val="es-ES_tradnl"/>
        </w:rPr>
        <w:t>o participen</w:t>
      </w:r>
      <w:r w:rsidRPr="00742BED">
        <w:rPr>
          <w:rFonts w:ascii="Arial" w:hAnsi="Arial" w:cs="Arial"/>
          <w:color w:val="000000" w:themeColor="text1"/>
          <w:sz w:val="22"/>
          <w:szCs w:val="22"/>
          <w:lang w:val="es-ES_tradnl"/>
        </w:rPr>
        <w:t xml:space="preserve"> mayoritariamente; o, la de un proponente plural constituido por mujeres cabeza de familia, mujeres víctimas de violencia intrafamiliar y/o personas jurídicas en las cuales participe </w:t>
      </w:r>
      <w:r w:rsidRPr="00742BED">
        <w:rPr>
          <w:rFonts w:ascii="Arial" w:hAnsi="Arial" w:cs="Arial"/>
          <w:i/>
          <w:iCs/>
          <w:color w:val="000000" w:themeColor="text1"/>
          <w:sz w:val="22"/>
          <w:szCs w:val="22"/>
          <w:lang w:val="es-ES_tradnl"/>
        </w:rPr>
        <w:t xml:space="preserve">o participen </w:t>
      </w:r>
      <w:r w:rsidRPr="00742BED">
        <w:rPr>
          <w:rFonts w:ascii="Arial" w:hAnsi="Arial" w:cs="Arial"/>
          <w:color w:val="000000" w:themeColor="text1"/>
          <w:sz w:val="22"/>
          <w:szCs w:val="22"/>
          <w:lang w:val="es-ES_tradnl"/>
        </w:rPr>
        <w:t xml:space="preserve">mayoritariamente» </w:t>
      </w:r>
      <w:r w:rsidR="00961595" w:rsidRPr="00742BED">
        <w:rPr>
          <w:rFonts w:ascii="Arial" w:hAnsi="Arial" w:cs="Arial"/>
          <w:color w:val="000000" w:themeColor="text1"/>
          <w:sz w:val="22"/>
          <w:szCs w:val="22"/>
          <w:lang w:val="es-ES_tradnl"/>
        </w:rPr>
        <w:t>(</w:t>
      </w:r>
      <w:r w:rsidRPr="00742BED">
        <w:rPr>
          <w:rFonts w:ascii="Arial" w:hAnsi="Arial" w:cs="Arial"/>
          <w:color w:val="000000" w:themeColor="text1"/>
          <w:sz w:val="22"/>
          <w:szCs w:val="22"/>
          <w:lang w:val="es-ES_tradnl"/>
        </w:rPr>
        <w:t>cursiva fuera de texto</w:t>
      </w:r>
      <w:r w:rsidR="00961595" w:rsidRPr="00742BED">
        <w:rPr>
          <w:rFonts w:ascii="Arial" w:hAnsi="Arial" w:cs="Arial"/>
          <w:color w:val="000000" w:themeColor="text1"/>
          <w:sz w:val="22"/>
          <w:szCs w:val="22"/>
          <w:lang w:val="es-ES_tradnl"/>
        </w:rPr>
        <w:t>)</w:t>
      </w:r>
      <w:r w:rsidRPr="00742BED">
        <w:rPr>
          <w:rFonts w:ascii="Arial" w:hAnsi="Arial" w:cs="Arial"/>
          <w:color w:val="000000" w:themeColor="text1"/>
          <w:sz w:val="22"/>
          <w:szCs w:val="22"/>
          <w:lang w:val="es-ES_tradnl"/>
        </w:rPr>
        <w:t>. Como se observa, la norma utiliza la expresión «[…] o participen […]», lo que significa que permite aplicar el factor de desempate cuando en una misma persona jurídica participen mayoritariamente mujeres cabeza de familia y mujeres víctimas de la violencia intrafamiliar.</w:t>
      </w:r>
    </w:p>
    <w:p w14:paraId="115D70FB" w14:textId="77777777" w:rsidR="00B32E31" w:rsidRPr="00742BED" w:rsidRDefault="009D460F" w:rsidP="00B32E31">
      <w:pPr>
        <w:spacing w:before="120" w:line="276" w:lineRule="auto"/>
        <w:ind w:firstLine="709"/>
        <w:jc w:val="both"/>
        <w:rPr>
          <w:rFonts w:ascii="Arial" w:hAnsi="Arial" w:cs="Arial"/>
          <w:color w:val="000000" w:themeColor="text1"/>
          <w:sz w:val="22"/>
          <w:szCs w:val="22"/>
          <w:lang w:val="es-ES_tradnl"/>
        </w:rPr>
      </w:pPr>
      <w:r w:rsidRPr="00742BED">
        <w:rPr>
          <w:rFonts w:ascii="Arial" w:hAnsi="Arial" w:cs="Arial"/>
          <w:color w:val="000000" w:themeColor="text1"/>
          <w:sz w:val="22"/>
          <w:szCs w:val="22"/>
          <w:lang w:val="es-ES_tradnl"/>
        </w:rPr>
        <w:t xml:space="preserve">Para poderse beneficiar del factor de desempate, el proponente plural debe estar constituido i) por mujeres cabeza de familia o mujeres víctimas de violencia intrafamiliar y/o ii) por personas jurídicas en las cuales tales mujeres participen mayoritariamente. Como la </w:t>
      </w:r>
      <w:r w:rsidRPr="00742BED">
        <w:rPr>
          <w:rFonts w:ascii="Arial" w:hAnsi="Arial" w:cs="Arial"/>
          <w:color w:val="000000" w:themeColor="text1"/>
          <w:sz w:val="22"/>
          <w:szCs w:val="22"/>
          <w:lang w:val="es-ES_tradnl"/>
        </w:rPr>
        <w:lastRenderedPageBreak/>
        <w:t>norma exige que la participación mayoritaria sea en la «persona jurídica», en caso de existir varias personas jurídicas integrando el proponente plural, cada una de ellas debe acreditar la participación mayoritaria de mujeres cabeza de familia o mujeres víctimas de violencia intrafamiliar.</w:t>
      </w:r>
    </w:p>
    <w:p w14:paraId="236730E2" w14:textId="3D12BF20" w:rsidR="00E5768D" w:rsidRPr="00742BED" w:rsidRDefault="008A41F8" w:rsidP="00B32E31">
      <w:pPr>
        <w:spacing w:before="120" w:line="276" w:lineRule="auto"/>
        <w:ind w:firstLine="709"/>
        <w:jc w:val="both"/>
        <w:rPr>
          <w:rFonts w:ascii="Arial" w:hAnsi="Arial" w:cs="Arial"/>
          <w:color w:val="000000" w:themeColor="text1"/>
          <w:sz w:val="22"/>
          <w:szCs w:val="22"/>
          <w:lang w:val="es-ES_tradnl"/>
        </w:rPr>
      </w:pPr>
      <w:r w:rsidRPr="00742BED">
        <w:rPr>
          <w:rFonts w:ascii="Arial" w:hAnsi="Arial" w:cs="Arial"/>
          <w:color w:val="000000" w:themeColor="text1"/>
          <w:sz w:val="22"/>
          <w:szCs w:val="22"/>
          <w:lang w:val="es-ES_tradnl"/>
        </w:rPr>
        <w:t xml:space="preserve">El artículo 35, numeral 2, de la Ley </w:t>
      </w:r>
      <w:r w:rsidR="007B209C" w:rsidRPr="00742BED">
        <w:rPr>
          <w:rFonts w:ascii="Arial" w:hAnsi="Arial" w:cs="Arial"/>
          <w:color w:val="000000" w:themeColor="text1"/>
          <w:sz w:val="22"/>
          <w:szCs w:val="22"/>
          <w:lang w:val="es-ES_tradnl"/>
        </w:rPr>
        <w:t>2069</w:t>
      </w:r>
      <w:r w:rsidRPr="00742BED">
        <w:rPr>
          <w:rFonts w:ascii="Arial" w:hAnsi="Arial" w:cs="Arial"/>
          <w:color w:val="000000" w:themeColor="text1"/>
          <w:sz w:val="22"/>
          <w:szCs w:val="22"/>
          <w:lang w:val="es-ES_tradnl"/>
        </w:rPr>
        <w:t xml:space="preserve"> de 2020</w:t>
      </w:r>
      <w:r w:rsidR="008510A1" w:rsidRPr="00742BED">
        <w:rPr>
          <w:rFonts w:ascii="Arial" w:hAnsi="Arial" w:cs="Arial"/>
          <w:color w:val="000000" w:themeColor="text1"/>
          <w:sz w:val="22"/>
          <w:szCs w:val="22"/>
          <w:lang w:val="es-ES_tradnl"/>
        </w:rPr>
        <w:t xml:space="preserve"> </w:t>
      </w:r>
      <w:r w:rsidRPr="00742BED">
        <w:rPr>
          <w:rFonts w:ascii="Arial" w:hAnsi="Arial" w:cs="Arial"/>
          <w:color w:val="000000" w:themeColor="text1"/>
          <w:sz w:val="22"/>
          <w:szCs w:val="22"/>
          <w:lang w:val="es-ES_tradnl"/>
        </w:rPr>
        <w:t xml:space="preserve">utiliza un concepto jurídico indeterminado, cuando se refiere a la participación mayoritaria de las mujeres cabeza de familia o mujeres víctimas de la violencia intrafamiliar en la persona jurídica o en el proponente plural. El decreto reglamentario que se expida podría precisar con mayor nitidez este requisito. A menos </w:t>
      </w:r>
      <w:r w:rsidR="00B237E6" w:rsidRPr="00742BED">
        <w:rPr>
          <w:rFonts w:ascii="Arial" w:hAnsi="Arial" w:cs="Arial"/>
          <w:color w:val="000000" w:themeColor="text1"/>
          <w:sz w:val="22"/>
          <w:szCs w:val="22"/>
          <w:lang w:val="es-ES_tradnl"/>
        </w:rPr>
        <w:t>que se</w:t>
      </w:r>
      <w:r w:rsidRPr="00742BED">
        <w:rPr>
          <w:rFonts w:ascii="Arial" w:hAnsi="Arial" w:cs="Arial"/>
          <w:color w:val="000000" w:themeColor="text1"/>
          <w:sz w:val="22"/>
          <w:szCs w:val="22"/>
          <w:lang w:val="es-ES_tradnl"/>
        </w:rPr>
        <w:t xml:space="preserve"> indicar</w:t>
      </w:r>
      <w:r w:rsidR="00B237E6" w:rsidRPr="00742BED">
        <w:rPr>
          <w:rFonts w:ascii="Arial" w:hAnsi="Arial" w:cs="Arial"/>
          <w:color w:val="000000" w:themeColor="text1"/>
          <w:sz w:val="22"/>
          <w:szCs w:val="22"/>
          <w:lang w:val="es-ES_tradnl"/>
        </w:rPr>
        <w:t>a</w:t>
      </w:r>
      <w:r w:rsidRPr="00742BED">
        <w:rPr>
          <w:rFonts w:ascii="Arial" w:hAnsi="Arial" w:cs="Arial"/>
          <w:color w:val="000000" w:themeColor="text1"/>
          <w:sz w:val="22"/>
          <w:szCs w:val="22"/>
          <w:lang w:val="es-ES_tradnl"/>
        </w:rPr>
        <w:t xml:space="preserve"> lo contrario en dicha reglamentación, debe aplicarse lo dispuesto en el artículo 28 del Código Civil, según el cual «Las palabras de la ley se entenderán en su sentido natural y obvio, según el uso general de las mismas palabras; pero cuando el legislador las haya definido expresamente para ciertas materias, se les dará en éstas su significado legal». </w:t>
      </w:r>
    </w:p>
    <w:p w14:paraId="393E7D10" w14:textId="5BBD35E2" w:rsidR="001B6BD0" w:rsidRPr="00742BED" w:rsidRDefault="008A41F8" w:rsidP="00B32E31">
      <w:pPr>
        <w:spacing w:before="120" w:line="276" w:lineRule="auto"/>
        <w:ind w:firstLine="709"/>
        <w:jc w:val="both"/>
        <w:rPr>
          <w:rFonts w:ascii="Arial" w:hAnsi="Arial" w:cs="Arial"/>
          <w:color w:val="000000" w:themeColor="text1"/>
          <w:sz w:val="22"/>
          <w:szCs w:val="22"/>
          <w:lang w:val="es-ES_tradnl"/>
        </w:rPr>
      </w:pPr>
      <w:r w:rsidRPr="00742BED">
        <w:rPr>
          <w:rFonts w:ascii="Arial" w:hAnsi="Arial" w:cs="Arial"/>
          <w:color w:val="000000" w:themeColor="text1"/>
          <w:sz w:val="22"/>
          <w:szCs w:val="22"/>
          <w:lang w:val="es-ES_tradnl"/>
        </w:rPr>
        <w:t>En tal sentido, teniendo en cuenta que no hay definición legal expresa, el Diccionario de la Lengua Española dice que «participar» es «Tener parte en una sociedad o negocio o ser socio de ellos»</w:t>
      </w:r>
      <w:r w:rsidRPr="00742BED">
        <w:rPr>
          <w:rStyle w:val="Refdenotaalpie"/>
          <w:rFonts w:ascii="Arial" w:hAnsi="Arial" w:cs="Arial"/>
          <w:color w:val="000000" w:themeColor="text1"/>
          <w:sz w:val="22"/>
          <w:szCs w:val="22"/>
          <w:lang w:val="es-ES_tradnl"/>
        </w:rPr>
        <w:footnoteReference w:id="23"/>
      </w:r>
      <w:r w:rsidRPr="00742BED">
        <w:rPr>
          <w:rFonts w:ascii="Arial" w:hAnsi="Arial" w:cs="Arial"/>
          <w:color w:val="000000" w:themeColor="text1"/>
          <w:sz w:val="22"/>
          <w:szCs w:val="22"/>
          <w:lang w:val="es-ES_tradnl"/>
        </w:rPr>
        <w:t xml:space="preserve">. Esta noción es acorde con el derecho societario, </w:t>
      </w:r>
      <w:r w:rsidR="00961595" w:rsidRPr="00742BED">
        <w:rPr>
          <w:rFonts w:ascii="Arial" w:hAnsi="Arial" w:cs="Arial"/>
          <w:color w:val="000000" w:themeColor="text1"/>
          <w:sz w:val="22"/>
          <w:szCs w:val="22"/>
          <w:lang w:val="es-ES_tradnl"/>
        </w:rPr>
        <w:t>bajo el entendimiento que</w:t>
      </w:r>
      <w:r w:rsidRPr="00742BED">
        <w:rPr>
          <w:rFonts w:ascii="Arial" w:hAnsi="Arial" w:cs="Arial"/>
          <w:color w:val="000000" w:themeColor="text1"/>
          <w:sz w:val="22"/>
          <w:szCs w:val="22"/>
          <w:lang w:val="es-ES_tradnl"/>
        </w:rPr>
        <w:t xml:space="preserve"> la participación recae en algunos casos en proporción a las acciones –en las sociedades por acciones– o de acuerdo </w:t>
      </w:r>
      <w:r w:rsidR="00961595" w:rsidRPr="00742BED">
        <w:rPr>
          <w:rFonts w:ascii="Arial" w:hAnsi="Arial" w:cs="Arial"/>
          <w:color w:val="000000" w:themeColor="text1"/>
          <w:sz w:val="22"/>
          <w:szCs w:val="22"/>
          <w:lang w:val="es-ES_tradnl"/>
        </w:rPr>
        <w:t>con</w:t>
      </w:r>
      <w:r w:rsidRPr="00742BED">
        <w:rPr>
          <w:rFonts w:ascii="Arial" w:hAnsi="Arial" w:cs="Arial"/>
          <w:color w:val="000000" w:themeColor="text1"/>
          <w:sz w:val="22"/>
          <w:szCs w:val="22"/>
          <w:lang w:val="es-ES_tradnl"/>
        </w:rPr>
        <w:t xml:space="preserve"> la industria o trabajo personal del socio –como sucede usualmente en las sociedades de personas–. Así lo señalan, entre otros, los artículos 130, 137, 138, 141, 150, 380 y 462 del Código de Comercio.</w:t>
      </w:r>
    </w:p>
    <w:p w14:paraId="5CF357C4" w14:textId="011E2E80" w:rsidR="001C1E2B" w:rsidRPr="00742BED" w:rsidRDefault="003B6273" w:rsidP="001C1E2B">
      <w:pPr>
        <w:spacing w:before="120" w:line="276" w:lineRule="auto"/>
        <w:ind w:firstLine="709"/>
        <w:jc w:val="both"/>
        <w:rPr>
          <w:rFonts w:ascii="Arial" w:hAnsi="Arial" w:cs="Arial"/>
          <w:sz w:val="22"/>
          <w:szCs w:val="22"/>
          <w:lang w:val="es-ES_tradnl"/>
        </w:rPr>
      </w:pPr>
      <w:r w:rsidRPr="00742BED">
        <w:rPr>
          <w:rFonts w:ascii="Arial" w:hAnsi="Arial" w:cs="Arial"/>
          <w:sz w:val="22"/>
          <w:szCs w:val="22"/>
          <w:lang w:val="es-ES_tradnl"/>
        </w:rPr>
        <w:t xml:space="preserve">Ahora bien, teniendo en cuenta que su consulta se refiere al entendimiento </w:t>
      </w:r>
      <w:r w:rsidR="005A0AE0" w:rsidRPr="00742BED">
        <w:rPr>
          <w:rFonts w:ascii="Arial" w:hAnsi="Arial" w:cs="Arial"/>
          <w:sz w:val="22"/>
          <w:szCs w:val="22"/>
          <w:lang w:val="es-ES_tradnl"/>
        </w:rPr>
        <w:t>de</w:t>
      </w:r>
      <w:r w:rsidRPr="00742BED">
        <w:rPr>
          <w:rFonts w:ascii="Arial" w:hAnsi="Arial" w:cs="Arial"/>
          <w:sz w:val="22"/>
          <w:szCs w:val="22"/>
          <w:lang w:val="es-ES_tradnl"/>
        </w:rPr>
        <w:t xml:space="preserve"> la expresión «mayoritariamente»,</w:t>
      </w:r>
      <w:r w:rsidR="009D6B46" w:rsidRPr="00742BED">
        <w:rPr>
          <w:rFonts w:ascii="Arial" w:hAnsi="Arial" w:cs="Arial"/>
          <w:sz w:val="22"/>
          <w:szCs w:val="22"/>
          <w:lang w:val="es-ES_tradnl"/>
        </w:rPr>
        <w:t xml:space="preserve"> </w:t>
      </w:r>
      <w:r w:rsidRPr="00742BED">
        <w:rPr>
          <w:rFonts w:ascii="Arial" w:hAnsi="Arial" w:cs="Arial"/>
          <w:sz w:val="22"/>
          <w:szCs w:val="22"/>
          <w:lang w:val="es-ES_tradnl"/>
        </w:rPr>
        <w:t xml:space="preserve">debe decirse que, si bien la </w:t>
      </w:r>
      <w:r w:rsidR="005A0AE0" w:rsidRPr="00742BED">
        <w:rPr>
          <w:rFonts w:ascii="Arial" w:hAnsi="Arial" w:cs="Arial"/>
          <w:sz w:val="22"/>
          <w:szCs w:val="22"/>
          <w:lang w:val="es-ES_tradnl"/>
        </w:rPr>
        <w:t>norma en comento</w:t>
      </w:r>
      <w:r w:rsidRPr="00742BED">
        <w:rPr>
          <w:rFonts w:ascii="Arial" w:hAnsi="Arial" w:cs="Arial"/>
          <w:sz w:val="22"/>
          <w:szCs w:val="22"/>
          <w:lang w:val="es-ES_tradnl"/>
        </w:rPr>
        <w:t xml:space="preserve"> no definió lo que debe entenderse por «participación mayoritaria», se puede </w:t>
      </w:r>
      <w:r w:rsidR="009D6B46" w:rsidRPr="00742BED">
        <w:rPr>
          <w:rFonts w:ascii="Arial" w:hAnsi="Arial" w:cs="Arial"/>
          <w:sz w:val="22"/>
          <w:szCs w:val="22"/>
          <w:lang w:val="es-ES_tradnl"/>
        </w:rPr>
        <w:t>afirmar</w:t>
      </w:r>
      <w:r w:rsidR="005A0AE0" w:rsidRPr="00742BED">
        <w:rPr>
          <w:rFonts w:ascii="Arial" w:hAnsi="Arial" w:cs="Arial"/>
          <w:sz w:val="22"/>
          <w:szCs w:val="22"/>
          <w:lang w:val="es-ES_tradnl"/>
        </w:rPr>
        <w:t xml:space="preserve"> </w:t>
      </w:r>
      <w:r w:rsidRPr="00742BED">
        <w:rPr>
          <w:rFonts w:ascii="Arial" w:hAnsi="Arial" w:cs="Arial"/>
          <w:sz w:val="22"/>
          <w:szCs w:val="22"/>
          <w:lang w:val="es-ES_tradnl"/>
        </w:rPr>
        <w:t xml:space="preserve">–acorde con el derecho societario– </w:t>
      </w:r>
      <w:r w:rsidR="005A0AE0" w:rsidRPr="00742BED">
        <w:rPr>
          <w:rFonts w:ascii="Arial" w:hAnsi="Arial" w:cs="Arial"/>
          <w:sz w:val="22"/>
          <w:szCs w:val="22"/>
          <w:lang w:val="es-ES_tradnl"/>
        </w:rPr>
        <w:t xml:space="preserve">que </w:t>
      </w:r>
      <w:r w:rsidRPr="00742BED">
        <w:rPr>
          <w:rFonts w:ascii="Arial" w:hAnsi="Arial" w:cs="Arial"/>
          <w:sz w:val="22"/>
          <w:szCs w:val="22"/>
          <w:lang w:val="es-ES_tradnl"/>
        </w:rPr>
        <w:t xml:space="preserve">por </w:t>
      </w:r>
      <w:r w:rsidR="009D6B46" w:rsidRPr="00742BED">
        <w:rPr>
          <w:rFonts w:ascii="Arial" w:hAnsi="Arial" w:cs="Arial"/>
          <w:sz w:val="22"/>
          <w:szCs w:val="22"/>
          <w:lang w:val="es-ES_tradnl"/>
        </w:rPr>
        <w:t>e</w:t>
      </w:r>
      <w:r w:rsidRPr="00742BED">
        <w:rPr>
          <w:rFonts w:ascii="Arial" w:hAnsi="Arial" w:cs="Arial"/>
          <w:sz w:val="22"/>
          <w:szCs w:val="22"/>
          <w:lang w:val="es-ES_tradnl"/>
        </w:rPr>
        <w:t xml:space="preserve">sta se entiende la posición de un </w:t>
      </w:r>
      <w:r w:rsidR="005E3D4B" w:rsidRPr="00742BED">
        <w:rPr>
          <w:rFonts w:ascii="Arial" w:hAnsi="Arial" w:cs="Arial"/>
          <w:sz w:val="22"/>
          <w:szCs w:val="22"/>
          <w:lang w:val="es-ES_tradnl"/>
        </w:rPr>
        <w:t>socio</w:t>
      </w:r>
      <w:r w:rsidRPr="00742BED">
        <w:rPr>
          <w:rFonts w:ascii="Arial" w:hAnsi="Arial" w:cs="Arial"/>
          <w:sz w:val="22"/>
          <w:szCs w:val="22"/>
          <w:lang w:val="es-ES_tradnl"/>
        </w:rPr>
        <w:t xml:space="preserve"> cuando tiene más del cincuenta por ciento (50%) de participación en la sociedad.</w:t>
      </w:r>
      <w:r w:rsidR="001D34C3" w:rsidRPr="00742BED">
        <w:rPr>
          <w:rFonts w:ascii="Arial" w:hAnsi="Arial" w:cs="Arial"/>
          <w:sz w:val="22"/>
          <w:szCs w:val="22"/>
          <w:lang w:val="es-ES_tradnl"/>
        </w:rPr>
        <w:t xml:space="preserve"> </w:t>
      </w:r>
      <w:r w:rsidRPr="00742BED">
        <w:rPr>
          <w:rFonts w:ascii="Arial" w:hAnsi="Arial" w:cs="Arial"/>
          <w:sz w:val="22"/>
          <w:szCs w:val="22"/>
          <w:lang w:val="es-ES_tradnl"/>
        </w:rPr>
        <w:t xml:space="preserve">Conforme a lo anterior, la expresión «mayoritariamente», contenida en el numeral 2 del artículo 35 de la ley 2069 de 2020 </w:t>
      </w:r>
      <w:r w:rsidR="005E3D4B" w:rsidRPr="00742BED">
        <w:rPr>
          <w:rFonts w:ascii="Arial" w:hAnsi="Arial" w:cs="Arial"/>
          <w:sz w:val="22"/>
          <w:szCs w:val="22"/>
          <w:lang w:val="es-ES_tradnl"/>
        </w:rPr>
        <w:t xml:space="preserve">exige </w:t>
      </w:r>
      <w:r w:rsidRPr="00742BED">
        <w:rPr>
          <w:rFonts w:ascii="Arial" w:hAnsi="Arial" w:cs="Arial"/>
          <w:sz w:val="22"/>
          <w:szCs w:val="22"/>
          <w:lang w:val="es-ES_tradnl"/>
        </w:rPr>
        <w:t xml:space="preserve">que </w:t>
      </w:r>
      <w:r w:rsidR="00801577" w:rsidRPr="00742BED">
        <w:rPr>
          <w:rFonts w:ascii="Arial" w:hAnsi="Arial" w:cs="Arial"/>
          <w:sz w:val="22"/>
          <w:szCs w:val="22"/>
          <w:lang w:val="es-ES_tradnl"/>
        </w:rPr>
        <w:t xml:space="preserve">las </w:t>
      </w:r>
      <w:r w:rsidR="008369E8" w:rsidRPr="00742BED">
        <w:rPr>
          <w:rFonts w:ascii="Arial" w:hAnsi="Arial" w:cs="Arial"/>
          <w:sz w:val="22"/>
          <w:szCs w:val="22"/>
          <w:lang w:val="es-ES_tradnl"/>
        </w:rPr>
        <w:t>mujeres</w:t>
      </w:r>
      <w:r w:rsidR="00801577" w:rsidRPr="00742BED">
        <w:rPr>
          <w:rFonts w:ascii="Arial" w:hAnsi="Arial" w:cs="Arial"/>
          <w:sz w:val="22"/>
          <w:szCs w:val="22"/>
          <w:lang w:val="es-ES_tradnl"/>
        </w:rPr>
        <w:t xml:space="preserve"> cabeza de familia o </w:t>
      </w:r>
      <w:r w:rsidR="008369E8" w:rsidRPr="00742BED">
        <w:rPr>
          <w:rFonts w:ascii="Arial" w:hAnsi="Arial" w:cs="Arial"/>
          <w:sz w:val="22"/>
          <w:szCs w:val="22"/>
          <w:lang w:val="es-ES_tradnl"/>
        </w:rPr>
        <w:t xml:space="preserve">mujeres </w:t>
      </w:r>
      <w:r w:rsidR="00801577" w:rsidRPr="00742BED">
        <w:rPr>
          <w:rFonts w:ascii="Arial" w:hAnsi="Arial" w:cs="Arial"/>
          <w:sz w:val="22"/>
          <w:szCs w:val="22"/>
          <w:lang w:val="es-ES_tradnl"/>
        </w:rPr>
        <w:t xml:space="preserve">víctimas de la violencia </w:t>
      </w:r>
      <w:r w:rsidR="00EC22AD" w:rsidRPr="00742BED">
        <w:rPr>
          <w:rFonts w:ascii="Arial" w:hAnsi="Arial" w:cs="Arial"/>
          <w:sz w:val="22"/>
          <w:szCs w:val="22"/>
          <w:lang w:val="es-ES_tradnl"/>
        </w:rPr>
        <w:t>intrafamiliar</w:t>
      </w:r>
      <w:r w:rsidR="00801577" w:rsidRPr="00742BED">
        <w:rPr>
          <w:rFonts w:ascii="Arial" w:hAnsi="Arial" w:cs="Arial"/>
          <w:sz w:val="22"/>
          <w:szCs w:val="22"/>
          <w:lang w:val="es-ES_tradnl"/>
        </w:rPr>
        <w:t xml:space="preserve"> cuenten</w:t>
      </w:r>
      <w:r w:rsidR="008369E8" w:rsidRPr="00742BED">
        <w:rPr>
          <w:rFonts w:ascii="Arial" w:hAnsi="Arial" w:cs="Arial"/>
          <w:sz w:val="22"/>
          <w:szCs w:val="22"/>
          <w:lang w:val="es-ES_tradnl"/>
        </w:rPr>
        <w:t xml:space="preserve"> –</w:t>
      </w:r>
      <w:r w:rsidR="005A200E" w:rsidRPr="00742BED">
        <w:rPr>
          <w:rFonts w:ascii="Arial" w:hAnsi="Arial" w:cs="Arial"/>
          <w:sz w:val="22"/>
          <w:szCs w:val="22"/>
          <w:lang w:val="es-ES_tradnl"/>
        </w:rPr>
        <w:t xml:space="preserve">singular o conjuntamente– </w:t>
      </w:r>
      <w:r w:rsidRPr="00742BED">
        <w:rPr>
          <w:rFonts w:ascii="Arial" w:hAnsi="Arial" w:cs="Arial"/>
          <w:sz w:val="22"/>
          <w:szCs w:val="22"/>
          <w:lang w:val="es-ES_tradnl"/>
        </w:rPr>
        <w:t xml:space="preserve">con una participación superior al (50%) en la sociedad, para que </w:t>
      </w:r>
      <w:r w:rsidR="005A200E" w:rsidRPr="00742BED">
        <w:rPr>
          <w:rFonts w:ascii="Arial" w:hAnsi="Arial" w:cs="Arial"/>
          <w:sz w:val="22"/>
          <w:szCs w:val="22"/>
          <w:lang w:val="es-ES_tradnl"/>
        </w:rPr>
        <w:t xml:space="preserve">esta </w:t>
      </w:r>
      <w:r w:rsidRPr="00742BED">
        <w:rPr>
          <w:rFonts w:ascii="Arial" w:hAnsi="Arial" w:cs="Arial"/>
          <w:sz w:val="22"/>
          <w:szCs w:val="22"/>
          <w:lang w:val="es-ES_tradnl"/>
        </w:rPr>
        <w:t>pueda ser considerada como mayoritaria. Lo anterior sin perjuicio que</w:t>
      </w:r>
      <w:r w:rsidR="001C2BA4" w:rsidRPr="00742BED">
        <w:rPr>
          <w:rFonts w:ascii="Arial" w:hAnsi="Arial" w:cs="Arial"/>
          <w:sz w:val="22"/>
          <w:szCs w:val="22"/>
          <w:lang w:val="es-ES_tradnl"/>
        </w:rPr>
        <w:t>,</w:t>
      </w:r>
      <w:r w:rsidRPr="00742BED">
        <w:rPr>
          <w:rFonts w:ascii="Arial" w:hAnsi="Arial" w:cs="Arial"/>
          <w:sz w:val="22"/>
          <w:szCs w:val="22"/>
          <w:lang w:val="es-ES_tradnl"/>
        </w:rPr>
        <w:t xml:space="preserve"> como se mencionó anteriormente, el gobierno nacional, por vía reglamentaria, le otorgue un alcance diferente al enunciado normativo analizado.</w:t>
      </w:r>
    </w:p>
    <w:p w14:paraId="6EF5EF33" w14:textId="13ABDA11" w:rsidR="003B6273" w:rsidRPr="00742BED" w:rsidRDefault="003B74E8" w:rsidP="003B74E8">
      <w:pPr>
        <w:spacing w:before="120" w:line="276" w:lineRule="auto"/>
        <w:ind w:firstLine="709"/>
        <w:jc w:val="both"/>
        <w:rPr>
          <w:rFonts w:ascii="Arial" w:eastAsia="Calibri" w:hAnsi="Arial" w:cs="Arial"/>
          <w:bCs/>
          <w:color w:val="000000" w:themeColor="text1"/>
          <w:sz w:val="22"/>
          <w:szCs w:val="22"/>
          <w:lang w:val="es-ES_tradnl" w:eastAsia="en-US"/>
        </w:rPr>
      </w:pPr>
      <w:r w:rsidRPr="00742BED">
        <w:rPr>
          <w:rFonts w:ascii="Arial" w:hAnsi="Arial" w:cs="Arial"/>
          <w:sz w:val="22"/>
          <w:szCs w:val="22"/>
          <w:lang w:val="es-ES_tradnl"/>
        </w:rPr>
        <w:t>S</w:t>
      </w:r>
      <w:r w:rsidR="003B6273" w:rsidRPr="00742BED">
        <w:rPr>
          <w:rFonts w:ascii="Arial" w:hAnsi="Arial" w:cs="Arial"/>
          <w:sz w:val="22"/>
          <w:szCs w:val="22"/>
          <w:lang w:val="es-ES_tradnl"/>
        </w:rPr>
        <w:t xml:space="preserve">in perjuicio de lo anterior, también es preciso mencionar que la Agencia, en el marco de la competencia atribuida por el artículo 1 de la Ley 2022 de 2020, </w:t>
      </w:r>
      <w:r w:rsidR="00224B1C">
        <w:rPr>
          <w:rFonts w:ascii="Arial" w:hAnsi="Arial" w:cs="Arial"/>
          <w:sz w:val="22"/>
          <w:szCs w:val="22"/>
          <w:lang w:val="es-ES_tradnl"/>
        </w:rPr>
        <w:t>estandarizó</w:t>
      </w:r>
      <w:r w:rsidR="003B6273" w:rsidRPr="00742BED">
        <w:rPr>
          <w:rFonts w:ascii="Arial" w:hAnsi="Arial" w:cs="Arial"/>
          <w:sz w:val="22"/>
          <w:szCs w:val="22"/>
          <w:lang w:val="es-ES_tradnl"/>
        </w:rPr>
        <w:t xml:space="preserve"> la acreditación de los factores de desempate del artículo 35 de la Ley 2069 de 2020, dirigido a procesos de selección que deban adelantarse con documentos tipo</w:t>
      </w:r>
      <w:r w:rsidR="00224B1C">
        <w:rPr>
          <w:rFonts w:ascii="Arial" w:hAnsi="Arial" w:cs="Arial"/>
          <w:sz w:val="22"/>
          <w:szCs w:val="22"/>
          <w:lang w:val="es-ES_tradnl"/>
        </w:rPr>
        <w:t>, mediante la Resolución No. 161 de 2021</w:t>
      </w:r>
      <w:r w:rsidR="003B6273" w:rsidRPr="00742BED">
        <w:rPr>
          <w:rFonts w:ascii="Arial" w:hAnsi="Arial" w:cs="Arial"/>
          <w:sz w:val="22"/>
          <w:szCs w:val="22"/>
          <w:lang w:val="es-ES_tradnl"/>
        </w:rPr>
        <w:t xml:space="preserve">. En ese sentido, en relación con el criterio de desempate contenido en el numeral 2 del artículo 35 de la ley 2069 de 2020 la resolución contempla </w:t>
      </w:r>
      <w:r w:rsidR="003B6273" w:rsidRPr="00742BED">
        <w:rPr>
          <w:rFonts w:ascii="Arial" w:hAnsi="Arial" w:cs="Arial"/>
          <w:sz w:val="22"/>
          <w:szCs w:val="22"/>
          <w:lang w:val="es-ES_tradnl"/>
        </w:rPr>
        <w:lastRenderedPageBreak/>
        <w:t xml:space="preserve">que la «Participación mayoritaria de mujeres cabeza de familia y/o mujeres víctimas de violencia intrafamiliar» debe entenderse que es </w:t>
      </w:r>
      <w:r w:rsidR="003B6273" w:rsidRPr="00742BED">
        <w:rPr>
          <w:rFonts w:ascii="Arial" w:hAnsi="Arial" w:cs="Arial"/>
          <w:i/>
          <w:iCs/>
          <w:sz w:val="22"/>
          <w:szCs w:val="22"/>
          <w:lang w:val="es-ES_tradnl"/>
        </w:rPr>
        <w:t>más del 50% de la composición accionaria</w:t>
      </w:r>
      <w:r w:rsidR="003B6273" w:rsidRPr="00742BED">
        <w:rPr>
          <w:rFonts w:ascii="Arial" w:hAnsi="Arial" w:cs="Arial"/>
          <w:sz w:val="22"/>
          <w:szCs w:val="22"/>
          <w:lang w:val="es-ES_tradnl"/>
        </w:rPr>
        <w:t xml:space="preserve"> </w:t>
      </w:r>
      <w:r w:rsidR="003B6273" w:rsidRPr="00742BED">
        <w:rPr>
          <w:rFonts w:ascii="Arial" w:hAnsi="Arial" w:cs="Arial"/>
          <w:i/>
          <w:iCs/>
          <w:sz w:val="22"/>
          <w:szCs w:val="22"/>
          <w:lang w:val="es-ES_tradnl"/>
        </w:rPr>
        <w:t xml:space="preserve">o cuota parte </w:t>
      </w:r>
      <w:r w:rsidR="003B6273" w:rsidRPr="00742BED">
        <w:rPr>
          <w:rFonts w:ascii="Arial" w:hAnsi="Arial" w:cs="Arial"/>
          <w:sz w:val="22"/>
          <w:szCs w:val="22"/>
          <w:lang w:val="es-ES_tradnl"/>
        </w:rPr>
        <w:t xml:space="preserve">de la persona jurídica está constituida por mujeres cabeza de familia y/o mujeres víctimas de violencia intrafamiliar. </w:t>
      </w:r>
    </w:p>
    <w:p w14:paraId="176EE98B" w14:textId="668167A0" w:rsidR="003B48C4" w:rsidRPr="00742BED" w:rsidRDefault="00C5602D" w:rsidP="00931491">
      <w:pPr>
        <w:spacing w:before="120" w:line="276" w:lineRule="auto"/>
        <w:ind w:firstLine="709"/>
        <w:jc w:val="both"/>
        <w:rPr>
          <w:rFonts w:ascii="Arial" w:hAnsi="Arial" w:cs="Arial"/>
          <w:color w:val="000000" w:themeColor="text1"/>
          <w:sz w:val="22"/>
          <w:szCs w:val="22"/>
          <w:lang w:val="es-ES_tradnl"/>
        </w:rPr>
      </w:pPr>
      <w:r w:rsidRPr="00742BED">
        <w:rPr>
          <w:rFonts w:ascii="Arial" w:hAnsi="Arial" w:cs="Arial"/>
          <w:color w:val="000000" w:themeColor="text1"/>
          <w:sz w:val="22"/>
          <w:szCs w:val="22"/>
          <w:lang w:val="es-ES_tradnl"/>
        </w:rPr>
        <w:t>Así</w:t>
      </w:r>
      <w:r w:rsidR="003B48C4" w:rsidRPr="00742BED">
        <w:rPr>
          <w:rFonts w:ascii="Arial" w:hAnsi="Arial" w:cs="Arial"/>
          <w:color w:val="000000" w:themeColor="text1"/>
          <w:sz w:val="22"/>
          <w:szCs w:val="22"/>
          <w:lang w:val="es-ES_tradnl"/>
        </w:rPr>
        <w:t xml:space="preserve">, de conformidad con el artículo 35, numeral 2 de la Ley </w:t>
      </w:r>
      <w:r w:rsidR="00D75232" w:rsidRPr="00742BED">
        <w:rPr>
          <w:rFonts w:ascii="Arial" w:hAnsi="Arial" w:cs="Arial"/>
          <w:color w:val="000000" w:themeColor="text1"/>
          <w:sz w:val="22"/>
          <w:szCs w:val="22"/>
          <w:lang w:val="es-ES_tradnl"/>
        </w:rPr>
        <w:t>2069</w:t>
      </w:r>
      <w:r w:rsidR="003B48C4" w:rsidRPr="00742BED">
        <w:rPr>
          <w:rFonts w:ascii="Arial" w:hAnsi="Arial" w:cs="Arial"/>
          <w:color w:val="000000" w:themeColor="text1"/>
          <w:sz w:val="22"/>
          <w:szCs w:val="22"/>
          <w:lang w:val="es-ES_tradnl"/>
        </w:rPr>
        <w:t xml:space="preserve"> de 2020, si en un procedimiento de selección se presenta una persona jurídica en l</w:t>
      </w:r>
      <w:r w:rsidR="00961595" w:rsidRPr="00742BED">
        <w:rPr>
          <w:rFonts w:ascii="Arial" w:hAnsi="Arial" w:cs="Arial"/>
          <w:color w:val="000000" w:themeColor="text1"/>
          <w:sz w:val="22"/>
          <w:szCs w:val="22"/>
          <w:lang w:val="es-ES_tradnl"/>
        </w:rPr>
        <w:t>a</w:t>
      </w:r>
      <w:r w:rsidR="003B48C4" w:rsidRPr="00742BED">
        <w:rPr>
          <w:rFonts w:ascii="Arial" w:hAnsi="Arial" w:cs="Arial"/>
          <w:color w:val="000000" w:themeColor="text1"/>
          <w:sz w:val="22"/>
          <w:szCs w:val="22"/>
          <w:lang w:val="es-ES_tradnl"/>
        </w:rPr>
        <w:t xml:space="preserve"> que la participación mayoritaria </w:t>
      </w:r>
      <w:r w:rsidR="00961595" w:rsidRPr="00742BED">
        <w:rPr>
          <w:rFonts w:ascii="Arial" w:hAnsi="Arial" w:cs="Arial"/>
          <w:color w:val="000000" w:themeColor="text1"/>
          <w:sz w:val="22"/>
          <w:szCs w:val="22"/>
          <w:lang w:val="es-ES_tradnl"/>
        </w:rPr>
        <w:t>sea</w:t>
      </w:r>
      <w:r w:rsidR="003B48C4" w:rsidRPr="00742BED">
        <w:rPr>
          <w:rFonts w:ascii="Arial" w:hAnsi="Arial" w:cs="Arial"/>
          <w:color w:val="000000" w:themeColor="text1"/>
          <w:sz w:val="22"/>
          <w:szCs w:val="22"/>
          <w:lang w:val="es-ES_tradnl"/>
        </w:rPr>
        <w:t xml:space="preserve"> de las mujeres cabeza de familia o mujeres víctimas de la violencia intrafamiliar, se prefiere a este sobre los demás oferentes. En relación con la coexistencia de causales, se debe aplicar lo que determina el parágrafo del artículo 35 de la mencionada Ley, según el cual «El Gobierno Nacional podrá reglamentar la aplicación de factores de desempate en casos en que concurran dos o más de los factores aquí previstos». En ausencia de esta reglamentación, conforme al inciso primero de la norma citada, las entidades deberán aplicar los factores de desempate en forma sucesiva y excluyente. </w:t>
      </w:r>
    </w:p>
    <w:p w14:paraId="128F8B09" w14:textId="0B2808A9" w:rsidR="00272E89" w:rsidRPr="00742BED" w:rsidRDefault="00961595" w:rsidP="00272E89">
      <w:pPr>
        <w:spacing w:before="120" w:line="276" w:lineRule="auto"/>
        <w:ind w:firstLine="709"/>
        <w:jc w:val="both"/>
        <w:rPr>
          <w:rFonts w:ascii="Arial" w:hAnsi="Arial" w:cs="Arial"/>
          <w:color w:val="000000" w:themeColor="text1"/>
          <w:sz w:val="22"/>
          <w:szCs w:val="22"/>
          <w:lang w:val="es-ES_tradnl"/>
        </w:rPr>
      </w:pPr>
      <w:r w:rsidRPr="00742BED">
        <w:rPr>
          <w:rFonts w:ascii="Arial" w:hAnsi="Arial" w:cs="Arial"/>
          <w:color w:val="000000" w:themeColor="text1"/>
          <w:sz w:val="22"/>
          <w:szCs w:val="22"/>
          <w:lang w:val="es-ES_tradnl"/>
        </w:rPr>
        <w:t>Teniendo en cuenta que participar debe entenderse –a menos que el reglamento disponga lo contrario– como tomar parte en la sociedad, de acuerdo con el aporte en dinero o trabajo, esta Agencia considera que no basta con que una mujer cabeza de familia o víctima de la violencia intrafamiliar esté vinculada laboralmente o prestando un servicio, para asumir que está «participando»; sino que la participación debe entenderse en términos de la composición accionaria o cuotas parte, de conformidad con las disposiciones indicadas del derecho societario, como ya se explicó. En consecuencia, no basta con que un proponente tenga en su planta a mujeres que reúnan dicha condición, sino que se debe demostrar la participación de las mismas, según el certificado de existencia y representación legal. Sin embargo, se aclara que esta es la interpretación que por ahora la Agencia considera más razonable y que no desconoce la posibilidad de que el gobierno nacional, por vía reglamentaria, le otorgue un alcance diferente al enunciado normativo.</w:t>
      </w:r>
    </w:p>
    <w:p w14:paraId="70CFCC92" w14:textId="19E0E296" w:rsidR="00785815" w:rsidRPr="00742BED" w:rsidRDefault="006A7B11" w:rsidP="00785815">
      <w:pPr>
        <w:spacing w:before="120" w:line="276" w:lineRule="auto"/>
        <w:ind w:firstLine="709"/>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t>De otro lado, e</w:t>
      </w:r>
      <w:r w:rsidR="00785815" w:rsidRPr="00742BED">
        <w:rPr>
          <w:rFonts w:ascii="Arial" w:eastAsia="Calibri" w:hAnsi="Arial" w:cs="Arial"/>
          <w:color w:val="000000" w:themeColor="text1"/>
          <w:sz w:val="22"/>
          <w:szCs w:val="22"/>
          <w:lang w:val="es-ES_tradnl"/>
        </w:rPr>
        <w:t>n relación con lo previsto en el numeral 4 del artículo en comento, cuando el legislador alude al concepto de «personas mayores» que no sean beneficiarias de la pensión de vejez, familiar o de sobrevivencia y que hayan cumplido la edad para obtenerla, una posible interpretación es entender que la norma se refiere al «adulto mayor». Este concepto lo define el artículo 3 de la Ley 1251 de 2008 –«Por la cual se dictan normas tendientes a procurar la protección, promoción y defensa de los derechos de los adultos mayores»– como «[…] aquella persona que cuenta con sesenta (60) años de edad o más», lo cual se puede acreditar con el documento de identidad correspondiente. En todo caso, sin perjuicio de lo que defina el reglamento, también existe la posibilidad de entender que esta causal aplica a todas las personas que –en el rango de edad correspondiente a cada género– no han alcanzado la pensión, interpretación que está mas ajustada al principio de favorabilidad.</w:t>
      </w:r>
    </w:p>
    <w:p w14:paraId="6EE7F4FF" w14:textId="57D5385D" w:rsidR="00785815" w:rsidRPr="00742BED" w:rsidRDefault="00785815" w:rsidP="00785815">
      <w:pPr>
        <w:spacing w:before="120" w:line="276" w:lineRule="auto"/>
        <w:ind w:firstLine="709"/>
        <w:jc w:val="both"/>
        <w:rPr>
          <w:rFonts w:ascii="Arial" w:hAnsi="Arial" w:cs="Arial"/>
          <w:color w:val="000000" w:themeColor="text1"/>
          <w:sz w:val="22"/>
          <w:szCs w:val="22"/>
          <w:lang w:val="es-ES_tradnl"/>
        </w:rPr>
      </w:pPr>
      <w:r w:rsidRPr="00742BED">
        <w:rPr>
          <w:rFonts w:ascii="Arial" w:hAnsi="Arial" w:cs="Arial"/>
          <w:color w:val="000000" w:themeColor="text1"/>
          <w:sz w:val="22"/>
          <w:szCs w:val="22"/>
          <w:lang w:val="es-ES_tradnl"/>
        </w:rPr>
        <w:lastRenderedPageBreak/>
        <w:t>El numeral dice que en dicho evento la regla de desempate se aplica a favor del «[…] oferente que acredite la vinculación en mayor proporción de personas mayores que no sean beneficiarios de la pensión de vejez, familiar o de sobrevivencia y que hayan cumplido el requisito de edad de pensión establecido en la Ley». De este modo, cuando la norma se refiere a la «mayor proporción» alude al número de personas vinculadas por el oferente y que además reúnan la condición de ser mayores y que «no sean beneficiarios de la pensión de vejez, familiar o de sobrevivencia y que hayan cumplido el requisito de edad de pensión establecido en la Ley». El reglamento podría establecer un método diferente, por ejemplo</w:t>
      </w:r>
      <w:r w:rsidR="006A7B11" w:rsidRPr="00742BED">
        <w:rPr>
          <w:rFonts w:ascii="Arial" w:hAnsi="Arial" w:cs="Arial"/>
          <w:color w:val="000000" w:themeColor="text1"/>
          <w:sz w:val="22"/>
          <w:szCs w:val="22"/>
          <w:lang w:val="es-ES_tradnl"/>
        </w:rPr>
        <w:t>,</w:t>
      </w:r>
      <w:r w:rsidRPr="00742BED">
        <w:rPr>
          <w:rFonts w:ascii="Arial" w:hAnsi="Arial" w:cs="Arial"/>
          <w:color w:val="000000" w:themeColor="text1"/>
          <w:sz w:val="22"/>
          <w:szCs w:val="22"/>
          <w:lang w:val="es-ES_tradnl"/>
        </w:rPr>
        <w:t xml:space="preserve"> definiendo porcentajes, pero hasta ahora esto no ha sucedido.</w:t>
      </w:r>
    </w:p>
    <w:p w14:paraId="53AED37F" w14:textId="77777777" w:rsidR="00785815" w:rsidRPr="00742BED" w:rsidRDefault="00785815" w:rsidP="00785815">
      <w:pPr>
        <w:spacing w:before="120" w:line="276" w:lineRule="auto"/>
        <w:ind w:firstLine="709"/>
        <w:jc w:val="both"/>
        <w:rPr>
          <w:rFonts w:ascii="Arial" w:hAnsi="Arial" w:cs="Arial"/>
          <w:color w:val="000000" w:themeColor="text1"/>
          <w:sz w:val="22"/>
          <w:szCs w:val="22"/>
          <w:lang w:val="es-ES_tradnl"/>
        </w:rPr>
      </w:pPr>
      <w:r w:rsidRPr="00742BED">
        <w:rPr>
          <w:rFonts w:ascii="Arial" w:hAnsi="Arial" w:cs="Arial"/>
          <w:color w:val="000000" w:themeColor="text1"/>
          <w:sz w:val="22"/>
          <w:szCs w:val="22"/>
          <w:lang w:val="es-ES_tradnl"/>
        </w:rPr>
        <w:t>Teniendo en cuenta que el numeral no distingue tipos de oferente, dicho criterio de desempate se debe aplicar también a proponentes plurales. En este caso el proponente plural debe acreditar la proporción de personas mayores vinculadas a aquel y que además «no sean beneficiarios de la pensión de vejez, familiar o de sobrevivencia y que hayan cumplido el requisito de edad de pensión establecido en la Ley», para beneficiarse del factor de desempate. La norma guarda silencio sobre la acreditación de la condición que da lugar al factor de desempate. Por tanto, esta Agencia considera que, sin perjuicio de que el reglamento que expida el gobierno nacional determine un medio de acreditación especial, existe libertad probatoria sobre el tema. En consecuencia, la entidad contratante puede determinar en el pliego de condiciones o documento equivalente cuál será el medio para evidenciar la vinculación de las personas mayores por parte del oferente.</w:t>
      </w:r>
    </w:p>
    <w:p w14:paraId="74F48886" w14:textId="77777777" w:rsidR="00785815" w:rsidRPr="00742BED" w:rsidRDefault="00785815" w:rsidP="00785815">
      <w:pPr>
        <w:spacing w:before="120" w:line="276" w:lineRule="auto"/>
        <w:ind w:firstLine="709"/>
        <w:jc w:val="both"/>
        <w:rPr>
          <w:rFonts w:ascii="Arial" w:hAnsi="Arial" w:cs="Arial"/>
          <w:color w:val="000000" w:themeColor="text1"/>
          <w:sz w:val="22"/>
          <w:szCs w:val="22"/>
          <w:lang w:val="es-ES_tradnl"/>
        </w:rPr>
      </w:pPr>
      <w:r w:rsidRPr="00742BED">
        <w:rPr>
          <w:rFonts w:ascii="Arial" w:hAnsi="Arial" w:cs="Arial"/>
          <w:color w:val="000000" w:themeColor="text1"/>
          <w:sz w:val="22"/>
          <w:szCs w:val="22"/>
          <w:lang w:val="es-ES_tradnl"/>
        </w:rPr>
        <w:t xml:space="preserve">El numeral 4 del artículo 35 de la Ley 2069 de 2020 exige que la vinculación de personas mayores sea de carácter laboral –es decir, a través de un contrato de trabajo–, por lo cual Colombia Compra Eficiente considera que, en principio y salvo que el decreto reglamentario proferido por el gobierno nacional disponga lo contrario, resultaría inadmisible la vinculación de dichas personas a través de otros tipos contractuales, como, por ejemplo, el contrato de prestación de servicios. Para estos efectos, la palabra «vinculación» debe entenderse en concordancia con el parágrafo 2 de la norma en comento, el cual dispone que «Para los criterios enunciados que involucren la </w:t>
      </w:r>
      <w:r w:rsidRPr="00742BED">
        <w:rPr>
          <w:rFonts w:ascii="Arial" w:hAnsi="Arial" w:cs="Arial"/>
          <w:i/>
          <w:iCs/>
          <w:color w:val="000000" w:themeColor="text1"/>
          <w:sz w:val="22"/>
          <w:szCs w:val="22"/>
          <w:lang w:val="es-ES_tradnl"/>
        </w:rPr>
        <w:t>vinculación de capital humano</w:t>
      </w:r>
      <w:r w:rsidRPr="00742BED">
        <w:rPr>
          <w:rFonts w:ascii="Arial" w:hAnsi="Arial" w:cs="Arial"/>
          <w:color w:val="000000" w:themeColor="text1"/>
          <w:sz w:val="22"/>
          <w:szCs w:val="22"/>
          <w:lang w:val="es-ES_tradnl"/>
        </w:rPr>
        <w:t xml:space="preserve">, el oferente deberá acreditar una antigüedad igual o mayor a un año. Para los casos de constitución inferior a un año </w:t>
      </w:r>
      <w:r w:rsidRPr="00742BED">
        <w:rPr>
          <w:rFonts w:ascii="Arial" w:hAnsi="Arial" w:cs="Arial"/>
          <w:i/>
          <w:iCs/>
          <w:color w:val="000000" w:themeColor="text1"/>
          <w:sz w:val="22"/>
          <w:szCs w:val="22"/>
          <w:lang w:val="es-ES_tradnl"/>
        </w:rPr>
        <w:t>se tendrá en cuenta a aquellos trabajadores</w:t>
      </w:r>
      <w:r w:rsidRPr="00742BED">
        <w:rPr>
          <w:rFonts w:ascii="Arial" w:hAnsi="Arial" w:cs="Arial"/>
          <w:color w:val="000000" w:themeColor="text1"/>
          <w:sz w:val="22"/>
          <w:szCs w:val="22"/>
          <w:lang w:val="es-ES_tradnl"/>
        </w:rPr>
        <w:t xml:space="preserve"> que hayan estado vinculados desde el momento de constitución de la misma» (Énfasis fuera de texto). Como se observa la norma se refiere a la vinculación de trabajadores, lo cual excluye la posibilidad de acreditar el factor de desempate con prestadores de servicios.  </w:t>
      </w:r>
    </w:p>
    <w:p w14:paraId="08005E80" w14:textId="77777777" w:rsidR="005F361A" w:rsidRPr="00742BED" w:rsidRDefault="002A7D84" w:rsidP="00FD5443">
      <w:pPr>
        <w:spacing w:before="120" w:line="276" w:lineRule="auto"/>
        <w:ind w:firstLine="709"/>
        <w:jc w:val="both"/>
        <w:rPr>
          <w:rFonts w:ascii="Arial" w:hAnsi="Arial" w:cs="Arial"/>
          <w:color w:val="000000" w:themeColor="text1"/>
          <w:sz w:val="22"/>
          <w:szCs w:val="22"/>
          <w:lang w:val="es-ES_tradnl"/>
        </w:rPr>
      </w:pPr>
      <w:r w:rsidRPr="00742BED">
        <w:rPr>
          <w:rFonts w:ascii="Arial" w:hAnsi="Arial" w:cs="Arial"/>
          <w:color w:val="000000" w:themeColor="text1"/>
          <w:sz w:val="22"/>
          <w:szCs w:val="22"/>
          <w:lang w:val="es-ES_tradnl"/>
        </w:rPr>
        <w:t>Finalmente, si bien los factores de desempate regulados en el artículo 35 deben aplicarse «</w:t>
      </w:r>
      <w:r w:rsidRPr="00742BED">
        <w:rPr>
          <w:rFonts w:ascii="Arial" w:hAnsi="Arial" w:cs="Arial"/>
          <w:sz w:val="22"/>
          <w:szCs w:val="22"/>
          <w:lang w:val="es-ES_tradnl"/>
        </w:rPr>
        <w:t xml:space="preserve">[…] </w:t>
      </w:r>
      <w:r w:rsidRPr="00742BED">
        <w:rPr>
          <w:rFonts w:ascii="Arial" w:hAnsi="Arial" w:cs="Arial"/>
          <w:color w:val="000000" w:themeColor="text1"/>
          <w:sz w:val="22"/>
          <w:szCs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w:t>
      </w:r>
      <w:r w:rsidRPr="00742BED">
        <w:rPr>
          <w:rFonts w:ascii="Arial" w:hAnsi="Arial" w:cs="Arial"/>
          <w:color w:val="000000" w:themeColor="text1"/>
          <w:sz w:val="22"/>
          <w:szCs w:val="22"/>
          <w:lang w:val="es-ES_tradnl"/>
        </w:rPr>
        <w:lastRenderedPageBreak/>
        <w:t>asigna potestad reglamentaria al gobierno nacional para definir factores que permitan desempatar las ofertas en aquellos casos en que varios oferentes reúnan al tiempo dos o más de los factores previstos en el artículo 35.</w:t>
      </w:r>
    </w:p>
    <w:p w14:paraId="1523A9FF" w14:textId="0A221ED7" w:rsidR="0016204B" w:rsidRPr="00742BED" w:rsidRDefault="005F361A" w:rsidP="00AC4AD2">
      <w:pPr>
        <w:spacing w:before="120" w:line="276" w:lineRule="auto"/>
        <w:ind w:firstLine="709"/>
        <w:jc w:val="both"/>
        <w:rPr>
          <w:rFonts w:ascii="Arial" w:hAnsi="Arial" w:cs="Arial"/>
          <w:color w:val="000000" w:themeColor="text1"/>
          <w:sz w:val="22"/>
          <w:szCs w:val="22"/>
          <w:lang w:val="es-ES_tradnl"/>
        </w:rPr>
      </w:pPr>
      <w:r w:rsidRPr="00742BED">
        <w:rPr>
          <w:rFonts w:ascii="Arial" w:hAnsi="Arial" w:cs="Arial"/>
          <w:color w:val="000000" w:themeColor="text1"/>
          <w:sz w:val="22"/>
          <w:szCs w:val="22"/>
          <w:lang w:val="es-ES_tradnl"/>
        </w:rPr>
        <w:t>S</w:t>
      </w:r>
      <w:r w:rsidR="00FD5443" w:rsidRPr="00742BED">
        <w:rPr>
          <w:rFonts w:ascii="Arial" w:hAnsi="Arial" w:cs="Arial"/>
          <w:color w:val="000000" w:themeColor="text1"/>
          <w:sz w:val="22"/>
          <w:szCs w:val="22"/>
          <w:lang w:val="es-ES_tradnl"/>
        </w:rPr>
        <w:t xml:space="preserve">i existe un tratado o acuerdo comercial que establezca disposiciones especiales en materia de compras y contratación pública, prevalece la regulación contenida en aquel. Esta conclusión también se fundamenta en el artículo 2.2.1.2.4.1.1. del Decreto 1082 de 2015, según el cual «Las Entidades Estatales deben adelantar los Procesos de Contratación de acuerdo con lo previsto en los Acuerdos Comerciales, cuando estos les sean aplicables».​ La Ley </w:t>
      </w:r>
      <w:r w:rsidR="007B209C" w:rsidRPr="00742BED">
        <w:rPr>
          <w:rFonts w:ascii="Arial" w:hAnsi="Arial" w:cs="Arial"/>
          <w:color w:val="000000" w:themeColor="text1"/>
          <w:sz w:val="22"/>
          <w:szCs w:val="22"/>
          <w:lang w:val="es-ES_tradnl"/>
        </w:rPr>
        <w:t>2069</w:t>
      </w:r>
      <w:r w:rsidR="00FD5443" w:rsidRPr="00742BED">
        <w:rPr>
          <w:rFonts w:ascii="Arial" w:hAnsi="Arial" w:cs="Arial"/>
          <w:color w:val="000000" w:themeColor="text1"/>
          <w:sz w:val="22"/>
          <w:szCs w:val="22"/>
          <w:lang w:val="es-ES_tradnl"/>
        </w:rPr>
        <w:t xml:space="preserve"> de 2020 no establece que ante la existencia de tratados o acuerdos comerciales que rijan el procedimiento de selección el órgano contratante se debe abstener de aplicar algunos numerales del artículo 35, sino que lo que indica es que la entidad estatal debe consultar en cada caso cuáles son las disposiciones del acuerdo comercial y si son o no compatibles con los factores de desempate. En caso negativo, prevalece el tratado.</w:t>
      </w:r>
      <w:r w:rsidR="002A7D84" w:rsidRPr="00742BED">
        <w:rPr>
          <w:rFonts w:ascii="Arial" w:hAnsi="Arial" w:cs="Arial"/>
          <w:color w:val="000000" w:themeColor="text1"/>
          <w:sz w:val="22"/>
          <w:szCs w:val="22"/>
          <w:lang w:val="es-ES_tradnl"/>
        </w:rPr>
        <w:t xml:space="preserve"> </w:t>
      </w:r>
    </w:p>
    <w:p w14:paraId="1F9D5A40" w14:textId="09E060AD" w:rsidR="00CF1EB8" w:rsidRPr="00742BED" w:rsidRDefault="00CF1EB8" w:rsidP="00510DE9">
      <w:pPr>
        <w:tabs>
          <w:tab w:val="left" w:pos="0"/>
        </w:tabs>
        <w:jc w:val="both"/>
        <w:rPr>
          <w:rFonts w:ascii="Arial" w:eastAsia="Calibri" w:hAnsi="Arial" w:cs="Arial"/>
          <w:b/>
          <w:color w:val="000000" w:themeColor="text1"/>
          <w:sz w:val="22"/>
          <w:lang w:val="es-ES_tradnl"/>
        </w:rPr>
      </w:pPr>
    </w:p>
    <w:p w14:paraId="3BAD84AC" w14:textId="22FD5B88" w:rsidR="002655EF" w:rsidRPr="00742BED" w:rsidRDefault="002655EF" w:rsidP="002655EF">
      <w:pPr>
        <w:spacing w:line="276" w:lineRule="auto"/>
        <w:jc w:val="both"/>
        <w:rPr>
          <w:rFonts w:ascii="Arial" w:hAnsi="Arial" w:cs="Arial"/>
          <w:b/>
          <w:sz w:val="22"/>
          <w:lang w:val="es-ES_tradnl"/>
        </w:rPr>
      </w:pPr>
      <w:r w:rsidRPr="00742BED">
        <w:rPr>
          <w:rFonts w:ascii="Arial" w:hAnsi="Arial" w:cs="Arial"/>
          <w:b/>
          <w:sz w:val="22"/>
          <w:lang w:val="es-ES_tradnl"/>
        </w:rPr>
        <w:t>2.</w:t>
      </w:r>
      <w:r w:rsidR="009A66D6" w:rsidRPr="00742BED">
        <w:rPr>
          <w:rFonts w:ascii="Arial" w:hAnsi="Arial" w:cs="Arial"/>
          <w:b/>
          <w:sz w:val="22"/>
          <w:lang w:val="es-ES_tradnl"/>
        </w:rPr>
        <w:t>5</w:t>
      </w:r>
      <w:r w:rsidRPr="00742BED">
        <w:rPr>
          <w:rFonts w:ascii="Arial" w:hAnsi="Arial" w:cs="Arial"/>
          <w:b/>
          <w:sz w:val="22"/>
          <w:lang w:val="es-ES_tradnl"/>
        </w:rPr>
        <w:t>. Autonomía</w:t>
      </w:r>
      <w:r w:rsidR="00930823" w:rsidRPr="00742BED">
        <w:rPr>
          <w:rFonts w:ascii="Arial" w:hAnsi="Arial" w:cs="Arial"/>
          <w:b/>
          <w:sz w:val="22"/>
          <w:lang w:val="es-ES_tradnl"/>
        </w:rPr>
        <w:t xml:space="preserve"> de la voluntad </w:t>
      </w:r>
      <w:r w:rsidRPr="00742BED">
        <w:rPr>
          <w:rFonts w:ascii="Arial" w:hAnsi="Arial" w:cs="Arial"/>
          <w:b/>
          <w:sz w:val="22"/>
          <w:lang w:val="es-ES_tradnl"/>
        </w:rPr>
        <w:t>para calcular el precio</w:t>
      </w:r>
      <w:r w:rsidR="00930823" w:rsidRPr="00742BED">
        <w:rPr>
          <w:rFonts w:ascii="Arial" w:hAnsi="Arial" w:cs="Arial"/>
          <w:b/>
          <w:sz w:val="22"/>
          <w:lang w:val="es-ES_tradnl"/>
        </w:rPr>
        <w:t xml:space="preserve"> y la forma de pago</w:t>
      </w:r>
      <w:r w:rsidR="006B5D71" w:rsidRPr="00742BED">
        <w:rPr>
          <w:rFonts w:ascii="Arial" w:hAnsi="Arial" w:cs="Arial"/>
          <w:b/>
          <w:sz w:val="22"/>
          <w:lang w:val="es-ES_tradnl"/>
        </w:rPr>
        <w:t>. Procedencia de los mecanismos de arreglo directo entre las partes del contrato</w:t>
      </w:r>
      <w:r w:rsidR="003C2B2B" w:rsidRPr="00742BED">
        <w:rPr>
          <w:rFonts w:ascii="Arial" w:hAnsi="Arial" w:cs="Arial"/>
          <w:b/>
          <w:sz w:val="22"/>
          <w:lang w:val="es-ES_tradnl"/>
        </w:rPr>
        <w:t xml:space="preserve"> estatal</w:t>
      </w:r>
    </w:p>
    <w:p w14:paraId="0AC77B73" w14:textId="77777777" w:rsidR="002655EF" w:rsidRPr="00742BED" w:rsidRDefault="002655EF" w:rsidP="002655EF">
      <w:pPr>
        <w:spacing w:line="276" w:lineRule="auto"/>
        <w:jc w:val="both"/>
        <w:rPr>
          <w:rFonts w:ascii="Arial" w:hAnsi="Arial" w:cs="Arial"/>
          <w:bCs/>
          <w:sz w:val="22"/>
          <w:lang w:val="es-ES_tradnl"/>
        </w:rPr>
      </w:pPr>
    </w:p>
    <w:p w14:paraId="21D7B0C3" w14:textId="77777777" w:rsidR="002655EF" w:rsidRPr="00742BED" w:rsidRDefault="002655EF" w:rsidP="002655EF">
      <w:pPr>
        <w:spacing w:after="120" w:line="276" w:lineRule="auto"/>
        <w:jc w:val="both"/>
        <w:rPr>
          <w:rFonts w:ascii="Arial" w:hAnsi="Arial" w:cs="Arial"/>
          <w:bCs/>
          <w:sz w:val="22"/>
          <w:lang w:val="es-ES_tradnl"/>
        </w:rPr>
      </w:pPr>
      <w:r w:rsidRPr="00742BED">
        <w:rPr>
          <w:rFonts w:ascii="Arial" w:hAnsi="Arial" w:cs="Arial"/>
          <w:bCs/>
          <w:sz w:val="22"/>
          <w:lang w:val="es-ES_tradnl"/>
        </w:rPr>
        <w:t xml:space="preserve">Como es sabido, uno de los elementos más comunes en los contratos estatales es el </w:t>
      </w:r>
      <w:r w:rsidRPr="00742BED">
        <w:rPr>
          <w:rFonts w:ascii="Arial" w:hAnsi="Arial" w:cs="Arial"/>
          <w:bCs/>
          <w:i/>
          <w:iCs/>
          <w:sz w:val="22"/>
          <w:lang w:val="es-ES_tradnl"/>
        </w:rPr>
        <w:t>precio</w:t>
      </w:r>
      <w:r w:rsidRPr="00742BED">
        <w:rPr>
          <w:rFonts w:ascii="Arial" w:hAnsi="Arial" w:cs="Arial"/>
          <w:bCs/>
          <w:sz w:val="22"/>
          <w:lang w:val="es-ES_tradnl"/>
        </w:rPr>
        <w:t>, también conocido como valor. Aunque no todo contrato lo incluye –pues también existen negocios gratuitos– lo usual es que los contratos estatales se perfeccionen como onerosos y, la mayoría de las veces, como conmutativos. Adicionalmente, el precio suele ser el elemento más importante para el contratista, porque equivale a la remuneración que la entidad contratante le pagará por la ejecución del objeto contractual.</w:t>
      </w:r>
    </w:p>
    <w:p w14:paraId="4BDB9F7C" w14:textId="636147E4" w:rsidR="00F72DD9" w:rsidRPr="00742BED" w:rsidRDefault="002655EF" w:rsidP="002655EF">
      <w:pPr>
        <w:spacing w:before="120" w:after="120" w:line="276" w:lineRule="auto"/>
        <w:ind w:firstLine="709"/>
        <w:jc w:val="both"/>
        <w:rPr>
          <w:rFonts w:ascii="Arial" w:hAnsi="Arial" w:cs="Arial"/>
          <w:bCs/>
          <w:sz w:val="22"/>
          <w:lang w:val="es-ES_tradnl"/>
        </w:rPr>
      </w:pPr>
      <w:r w:rsidRPr="00742BED">
        <w:rPr>
          <w:rFonts w:ascii="Arial" w:hAnsi="Arial" w:cs="Arial"/>
          <w:bCs/>
          <w:sz w:val="22"/>
          <w:lang w:val="es-ES_tradnl"/>
        </w:rPr>
        <w:t xml:space="preserve">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w:t>
      </w:r>
      <w:r w:rsidR="006A7B11" w:rsidRPr="00742BED">
        <w:rPr>
          <w:rFonts w:ascii="Arial" w:hAnsi="Arial" w:cs="Arial"/>
          <w:bCs/>
          <w:sz w:val="22"/>
          <w:lang w:val="es-ES_tradnl"/>
        </w:rPr>
        <w:t xml:space="preserve">entidad </w:t>
      </w:r>
      <w:r w:rsidRPr="00742BED">
        <w:rPr>
          <w:rFonts w:ascii="Arial" w:hAnsi="Arial" w:cs="Arial"/>
          <w:bCs/>
          <w:sz w:val="22"/>
          <w:lang w:val="es-ES_tradnl"/>
        </w:rPr>
        <w:t>usará para estipular el precio. Tal metodología generalmente depende del tipo de contrato, pues hay algunas modalidades más comunes en los de obra pública; otras más utilizadas en los de prestación de servicios y otras más indicadas para los de concesión, por mencionar algunos ejemplos</w:t>
      </w:r>
      <w:r w:rsidRPr="00742BED">
        <w:rPr>
          <w:rStyle w:val="Refdenotaalpie"/>
          <w:rFonts w:ascii="Arial" w:hAnsi="Arial" w:cs="Arial"/>
          <w:bCs/>
          <w:sz w:val="22"/>
          <w:lang w:val="es-ES_tradnl"/>
        </w:rPr>
        <w:footnoteReference w:id="24"/>
      </w:r>
      <w:r w:rsidRPr="00742BED">
        <w:rPr>
          <w:rFonts w:ascii="Arial" w:hAnsi="Arial" w:cs="Arial"/>
          <w:bCs/>
          <w:sz w:val="22"/>
          <w:lang w:val="es-ES_tradnl"/>
        </w:rPr>
        <w:t>.</w:t>
      </w:r>
    </w:p>
    <w:p w14:paraId="6AA4F557" w14:textId="31DB79C7" w:rsidR="002655EF" w:rsidRPr="00742BED" w:rsidRDefault="002655EF" w:rsidP="002655EF">
      <w:pPr>
        <w:spacing w:before="120" w:after="120" w:line="276" w:lineRule="auto"/>
        <w:ind w:firstLine="709"/>
        <w:jc w:val="both"/>
        <w:rPr>
          <w:rFonts w:ascii="Arial" w:hAnsi="Arial" w:cs="Arial"/>
          <w:bCs/>
          <w:sz w:val="22"/>
          <w:lang w:val="es-ES_tradnl"/>
        </w:rPr>
      </w:pPr>
      <w:r w:rsidRPr="00742BED">
        <w:rPr>
          <w:rFonts w:ascii="Arial" w:hAnsi="Arial" w:cs="Arial"/>
          <w:bCs/>
          <w:sz w:val="22"/>
          <w:lang w:val="es-ES_tradnl"/>
        </w:rPr>
        <w:lastRenderedPageBreak/>
        <w:t>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ii) el precio global –que equivale al monto total, sin discriminar unidades–, y iii) la administración delegada de recursos –en la que se distinguen los costos de inversión de los honorarios del administrador–.</w:t>
      </w:r>
    </w:p>
    <w:p w14:paraId="76CBF741" w14:textId="6103B4FE" w:rsidR="002655EF" w:rsidRPr="00742BED" w:rsidRDefault="00936517" w:rsidP="000D1101">
      <w:pPr>
        <w:spacing w:line="276" w:lineRule="auto"/>
        <w:ind w:firstLine="709"/>
        <w:jc w:val="both"/>
        <w:rPr>
          <w:rFonts w:ascii="Arial" w:hAnsi="Arial" w:cs="Arial"/>
          <w:bCs/>
          <w:sz w:val="22"/>
          <w:lang w:val="es-ES_tradnl"/>
        </w:rPr>
      </w:pPr>
      <w:r w:rsidRPr="00742BED">
        <w:rPr>
          <w:rFonts w:ascii="Arial" w:hAnsi="Arial" w:cs="Arial"/>
          <w:bCs/>
          <w:sz w:val="22"/>
          <w:lang w:val="es-ES_tradnl"/>
        </w:rPr>
        <w:t>Por ejemplo</w:t>
      </w:r>
      <w:r w:rsidR="002655EF" w:rsidRPr="00742BED">
        <w:rPr>
          <w:rFonts w:ascii="Arial" w:hAnsi="Arial" w:cs="Arial"/>
          <w:bCs/>
          <w:sz w:val="22"/>
          <w:lang w:val="es-ES_tradnl"/>
        </w:rPr>
        <w:t xml:space="preserve">, en los contratos cuyo precio se estructura a partir del sistema de precios unitarios, ha hecho parte de la práctica de los negocios que el contratante le solicite al potencial contratista que separe en su propuesta los costos directos –es decir, los que están directamente implicados en la ejecución del objeto–, de los costos indirectos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 En tal sentido, mientras que los costos directos se evidencian en el análisis de precios unitarios –APU–, como la sumatoria de los valores de los </w:t>
      </w:r>
      <w:r w:rsidR="002655EF" w:rsidRPr="00742BED">
        <w:rPr>
          <w:rFonts w:ascii="Arial" w:hAnsi="Arial" w:cs="Arial"/>
          <w:bCs/>
          <w:i/>
          <w:iCs/>
          <w:sz w:val="22"/>
          <w:lang w:val="es-ES_tradnl"/>
        </w:rPr>
        <w:t>ítems</w:t>
      </w:r>
      <w:r w:rsidR="002655EF" w:rsidRPr="00742BED">
        <w:rPr>
          <w:rFonts w:ascii="Arial" w:hAnsi="Arial" w:cs="Arial"/>
          <w:bCs/>
          <w:sz w:val="22"/>
          <w:lang w:val="es-ES_tradnl"/>
        </w:rPr>
        <w:t xml:space="preserve"> según su unidad de medida, los costos indirectos se suelen abreviar en las variables que integran el acrónimo AIU –Administración, Imprevistos y Utilidad–, que se calcula como un porcentaje aplicado a los costos indirectos</w:t>
      </w:r>
      <w:r w:rsidR="002655EF" w:rsidRPr="00742BED">
        <w:rPr>
          <w:rStyle w:val="Refdenotaalpie"/>
          <w:rFonts w:ascii="Arial" w:hAnsi="Arial" w:cs="Arial"/>
          <w:sz w:val="21"/>
          <w:szCs w:val="21"/>
          <w:lang w:val="es-ES_tradnl"/>
        </w:rPr>
        <w:footnoteReference w:id="25"/>
      </w:r>
      <w:r w:rsidR="002655EF" w:rsidRPr="00742BED">
        <w:rPr>
          <w:rFonts w:ascii="Arial" w:hAnsi="Arial" w:cs="Arial"/>
          <w:sz w:val="21"/>
          <w:szCs w:val="21"/>
          <w:lang w:val="es-ES_tradnl"/>
        </w:rPr>
        <w:t>.</w:t>
      </w:r>
    </w:p>
    <w:p w14:paraId="76FCA3B6" w14:textId="77777777" w:rsidR="00E02144" w:rsidRPr="00742BED" w:rsidRDefault="00727799" w:rsidP="00E02144">
      <w:pPr>
        <w:spacing w:before="120" w:line="276" w:lineRule="auto"/>
        <w:ind w:firstLine="709"/>
        <w:jc w:val="both"/>
        <w:rPr>
          <w:rFonts w:ascii="Arial" w:hAnsi="Arial" w:cs="Arial"/>
          <w:bCs/>
          <w:sz w:val="22"/>
          <w:lang w:val="es-ES_tradnl"/>
        </w:rPr>
      </w:pPr>
      <w:r w:rsidRPr="00742BED">
        <w:rPr>
          <w:rFonts w:ascii="Arial" w:hAnsi="Arial" w:cs="Arial"/>
          <w:bCs/>
          <w:sz w:val="22"/>
          <w:lang w:val="es-ES_tradnl"/>
        </w:rPr>
        <w:t>En este orden de ideas</w:t>
      </w:r>
      <w:r w:rsidR="002655EF" w:rsidRPr="00742BED">
        <w:rPr>
          <w:rFonts w:ascii="Arial" w:hAnsi="Arial" w:cs="Arial"/>
          <w:bCs/>
          <w:sz w:val="22"/>
          <w:lang w:val="es-ES_tradnl"/>
        </w:rPr>
        <w:t>, tanto las entidades sometidas al Estatuto General de Contratación de la Administración Pública, como las excluidas de este –es decir, las que tienen un régimen especial– gozan de autonomía para configurar el precio y para establecer el sistema de pago más apropiado para satisfacer los fines de la contratación, respetando los límites previstos en el ordenamiento.</w:t>
      </w:r>
      <w:r w:rsidR="004826AE" w:rsidRPr="00742BED">
        <w:rPr>
          <w:rFonts w:ascii="Arial" w:hAnsi="Arial" w:cs="Arial"/>
          <w:bCs/>
          <w:sz w:val="22"/>
          <w:lang w:val="es-ES_tradnl"/>
        </w:rPr>
        <w:t xml:space="preserve"> Para las entidades que se rigen por el Estatuto </w:t>
      </w:r>
      <w:r w:rsidR="004826AE" w:rsidRPr="00742BED">
        <w:rPr>
          <w:rFonts w:ascii="Arial" w:hAnsi="Arial" w:cs="Arial"/>
          <w:bCs/>
          <w:sz w:val="22"/>
          <w:lang w:val="es-ES_tradnl"/>
        </w:rPr>
        <w:lastRenderedPageBreak/>
        <w:t xml:space="preserve">General de Contratación de la Administración Pública, tal autonomía está reconocida en </w:t>
      </w:r>
      <w:r w:rsidR="002655EF" w:rsidRPr="00742BED">
        <w:rPr>
          <w:rFonts w:ascii="Arial" w:hAnsi="Arial" w:cs="Arial"/>
          <w:bCs/>
          <w:sz w:val="22"/>
          <w:lang w:val="es-ES_tradnl"/>
        </w:rPr>
        <w:t xml:space="preserve">los artículos 13, 32 y 40 </w:t>
      </w:r>
      <w:r w:rsidR="00CE68EF" w:rsidRPr="00742BED">
        <w:rPr>
          <w:rFonts w:ascii="Arial" w:hAnsi="Arial" w:cs="Arial"/>
          <w:bCs/>
          <w:sz w:val="22"/>
          <w:lang w:val="es-ES_tradnl"/>
        </w:rPr>
        <w:t>de la Ley 80 de 1993.</w:t>
      </w:r>
    </w:p>
    <w:p w14:paraId="7D8D0A17" w14:textId="77777777" w:rsidR="00E02144" w:rsidRPr="00742BED" w:rsidRDefault="00CE68EF" w:rsidP="00E02144">
      <w:pPr>
        <w:spacing w:before="120" w:line="276" w:lineRule="auto"/>
        <w:ind w:firstLine="709"/>
        <w:jc w:val="both"/>
        <w:rPr>
          <w:rFonts w:ascii="Arial" w:eastAsia="Calibri" w:hAnsi="Arial" w:cs="Arial"/>
          <w:sz w:val="22"/>
          <w:lang w:val="es-ES_tradnl"/>
        </w:rPr>
      </w:pPr>
      <w:r w:rsidRPr="00742BED">
        <w:rPr>
          <w:rFonts w:ascii="Arial" w:eastAsia="Calibri" w:hAnsi="Arial" w:cs="Arial"/>
          <w:sz w:val="22"/>
          <w:lang w:val="es-ES_tradnl"/>
        </w:rPr>
        <w:t>Ahora bien, l</w:t>
      </w:r>
      <w:r w:rsidR="00D13FE4" w:rsidRPr="00742BED">
        <w:rPr>
          <w:rFonts w:ascii="Arial" w:eastAsia="Calibri" w:hAnsi="Arial" w:cs="Arial"/>
          <w:sz w:val="22"/>
          <w:lang w:val="es-ES_tradnl"/>
        </w:rPr>
        <w:t xml:space="preserve">a ejecución de los contratos estatales está sujeta a los cambios propios del paso del tiempo. Así, durante la etapa de planeación, las entidades públicas estiman y determinan las prestaciones que demanda la satisfacción de la necesidad de interés colectivo que pretende satisfacer. No obstante, durante la ejecución del contrato, las partes identifican alguna de las siguientes situaciones: i) la necesidad de mayores cantidades de bienes o actividades inicialmente previstos, a lo que se le conoce como «mayores cantidades de obra», «obras adicionales» o adición de «ítems contractuales»; y ii)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w:t>
      </w:r>
    </w:p>
    <w:p w14:paraId="5B64671E" w14:textId="55216784" w:rsidR="0029745A" w:rsidRPr="00742BED" w:rsidRDefault="00D13FE4" w:rsidP="00E02144">
      <w:pPr>
        <w:spacing w:before="120" w:line="276" w:lineRule="auto"/>
        <w:ind w:firstLine="709"/>
        <w:jc w:val="both"/>
        <w:rPr>
          <w:rFonts w:ascii="Arial" w:hAnsi="Arial" w:cs="Arial"/>
          <w:bCs/>
          <w:sz w:val="22"/>
          <w:lang w:val="es-ES_tradnl"/>
        </w:rPr>
      </w:pPr>
      <w:r w:rsidRPr="00742BED">
        <w:rPr>
          <w:rFonts w:ascii="Arial" w:eastAsia="Calibri" w:hAnsi="Arial" w:cs="Arial"/>
          <w:sz w:val="22"/>
          <w:lang w:val="es-ES_tradnl"/>
        </w:rPr>
        <w:t>No obstante, estos términos –algunos de ellos usualmente empleados en contratos de obra– son nociones doctrinarias que se utilizan en la práctica por las entidades estatales, que actualmente no tienen un fundamento particular en el ordenamiento jurídico, el cual no le asigna efectos específicos a cada uno de ellos.</w:t>
      </w:r>
      <w:r w:rsidR="0029745A" w:rsidRPr="00742BED">
        <w:rPr>
          <w:rFonts w:ascii="Arial" w:eastAsia="Calibri" w:hAnsi="Arial" w:cs="Arial"/>
          <w:sz w:val="22"/>
          <w:lang w:val="es-ES_tradnl"/>
        </w:rPr>
        <w:t xml:space="preserve"> </w:t>
      </w:r>
      <w:r w:rsidR="0029745A" w:rsidRPr="00742BED">
        <w:rPr>
          <w:rFonts w:ascii="Arial" w:hAnsi="Arial" w:cs="Arial"/>
          <w:color w:val="000000" w:themeColor="text1"/>
          <w:sz w:val="22"/>
          <w:lang w:val="es-ES_tradnl"/>
        </w:rPr>
        <w:t xml:space="preserve">Lo importante es que frente a cualquier incremento del valor inicial del contrato, que es lo que implica una </w:t>
      </w:r>
      <w:r w:rsidR="0029745A" w:rsidRPr="00742BED">
        <w:rPr>
          <w:rFonts w:ascii="Arial" w:hAnsi="Arial" w:cs="Arial"/>
          <w:i/>
          <w:iCs/>
          <w:color w:val="000000" w:themeColor="text1"/>
          <w:sz w:val="22"/>
          <w:lang w:val="es-ES_tradnl"/>
        </w:rPr>
        <w:t xml:space="preserve">adición, </w:t>
      </w:r>
      <w:r w:rsidR="0029745A" w:rsidRPr="00742BED">
        <w:rPr>
          <w:rFonts w:ascii="Arial" w:hAnsi="Arial" w:cs="Arial"/>
          <w:color w:val="000000" w:themeColor="text1"/>
          <w:sz w:val="22"/>
          <w:lang w:val="es-ES_tradnl"/>
        </w:rPr>
        <w:t>por cualquiera de los dos supuesto señalados previamente, e independiente del nombre que se le dé al acuerdo,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se debe observar esta última disposición</w:t>
      </w:r>
      <w:r w:rsidR="0029745A" w:rsidRPr="00742BED">
        <w:rPr>
          <w:rStyle w:val="Refdenotaalpie"/>
          <w:rFonts w:ascii="Arial" w:hAnsi="Arial" w:cs="Arial"/>
          <w:color w:val="000000" w:themeColor="text1"/>
          <w:sz w:val="22"/>
          <w:lang w:val="es-ES_tradnl"/>
        </w:rPr>
        <w:footnoteReference w:id="26"/>
      </w:r>
      <w:r w:rsidR="0029745A" w:rsidRPr="00742BED">
        <w:rPr>
          <w:rFonts w:ascii="Arial" w:hAnsi="Arial" w:cs="Arial"/>
          <w:color w:val="000000" w:themeColor="text1"/>
          <w:sz w:val="22"/>
          <w:lang w:val="es-ES_tradnl"/>
        </w:rPr>
        <w:t>.</w:t>
      </w:r>
    </w:p>
    <w:p w14:paraId="6A5A8F35" w14:textId="62C4B4FA" w:rsidR="00A23C69" w:rsidRPr="00742BED" w:rsidRDefault="0029745A" w:rsidP="00A23C69">
      <w:pPr>
        <w:spacing w:before="120" w:line="276" w:lineRule="auto"/>
        <w:ind w:firstLine="709"/>
        <w:jc w:val="both"/>
        <w:rPr>
          <w:rFonts w:ascii="Arial" w:hAnsi="Arial" w:cs="Arial"/>
          <w:color w:val="000000" w:themeColor="text1"/>
          <w:sz w:val="22"/>
          <w:lang w:val="es-ES_tradnl"/>
        </w:rPr>
      </w:pPr>
      <w:r w:rsidRPr="00742BED">
        <w:rPr>
          <w:rFonts w:ascii="Arial" w:hAnsi="Arial" w:cs="Arial"/>
          <w:color w:val="000000" w:themeColor="text1"/>
          <w:sz w:val="22"/>
          <w:lang w:val="es-ES_tradnl"/>
        </w:rPr>
        <w:t xml:space="preserve">Dicha norma además de consagrar una prohibición trae implícita una autorización, consistente en la posibilidad de adicionar los contratos estatales, siempre que no se supere el tope establecido. Ahora bien, teniendo en cuenta que la peticionaria solicita se aclare como debe hacerse el cálculo de la adición, basta con remitirse a lo dispuesto en el parágrafo del artículo 40 de la Ley 80 de 1993 «Los contratos no podrán adicionarse en más del cincuenta por ciento (50%) de su valor inicial, expresado éste en salarios mínimos legales mensuales». </w:t>
      </w:r>
      <w:r w:rsidR="00D732AC" w:rsidRPr="00742BED">
        <w:rPr>
          <w:rFonts w:ascii="Arial" w:hAnsi="Arial" w:cs="Arial"/>
          <w:color w:val="000000" w:themeColor="text1"/>
          <w:sz w:val="22"/>
          <w:lang w:val="es-ES_tradnl"/>
        </w:rPr>
        <w:t>Esto, sin perjuic</w:t>
      </w:r>
      <w:r w:rsidR="006A7B11" w:rsidRPr="00742BED">
        <w:rPr>
          <w:rFonts w:ascii="Arial" w:hAnsi="Arial" w:cs="Arial"/>
          <w:color w:val="000000" w:themeColor="text1"/>
          <w:sz w:val="22"/>
          <w:lang w:val="es-ES_tradnl"/>
        </w:rPr>
        <w:t>i</w:t>
      </w:r>
      <w:r w:rsidR="00D732AC" w:rsidRPr="00742BED">
        <w:rPr>
          <w:rFonts w:ascii="Arial" w:hAnsi="Arial" w:cs="Arial"/>
          <w:color w:val="000000" w:themeColor="text1"/>
          <w:sz w:val="22"/>
          <w:lang w:val="es-ES_tradnl"/>
        </w:rPr>
        <w:t xml:space="preserve">o de los dos incisos agregados por el </w:t>
      </w:r>
      <w:r w:rsidR="00A23C69" w:rsidRPr="00742BED">
        <w:rPr>
          <w:rFonts w:ascii="Arial" w:hAnsi="Arial" w:cs="Arial"/>
          <w:color w:val="000000" w:themeColor="text1"/>
          <w:sz w:val="22"/>
          <w:lang w:val="es-ES_tradnl"/>
        </w:rPr>
        <w:t>artículo 8 del Decreto 537 de 2020, que dicen:</w:t>
      </w:r>
    </w:p>
    <w:p w14:paraId="427E7032" w14:textId="77777777" w:rsidR="00A23C69" w:rsidRPr="00742BED" w:rsidRDefault="00A23C69" w:rsidP="00A23C69">
      <w:pPr>
        <w:ind w:left="709" w:right="709"/>
        <w:jc w:val="both"/>
        <w:rPr>
          <w:rFonts w:ascii="Arial" w:hAnsi="Arial" w:cs="Arial"/>
          <w:color w:val="000000" w:themeColor="text1"/>
          <w:sz w:val="21"/>
          <w:szCs w:val="21"/>
          <w:lang w:val="es-ES_tradnl"/>
        </w:rPr>
      </w:pPr>
    </w:p>
    <w:p w14:paraId="174E49E8" w14:textId="24C5BED2" w:rsidR="00A23C69" w:rsidRPr="00742BED" w:rsidRDefault="00A23C69" w:rsidP="00BA5D92">
      <w:pPr>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lastRenderedPageBreak/>
        <w:t>Durante la vigencia de la Emergencia Sanitaria declarada por el Ministerio de Salud y Protección Social, con ocasión de la pandemia derivada del Coronavirus COVID-19, todos los contratos celebrados por las entidades estatales que se relacionen con bienes, obras o servicios que permitan una mejor gestión y mitigación de la situación de emergencia con ocasión de la pandemia derivada del Coronavirus COVID-19, podrán adicionarse sin limitación al valor. Para este propósito, la entidad estatal deberá justificar previamente la necesidad y la forma como dichos bienes y servicios contribuirán a gestionar o mitigar la situación de emergencia.</w:t>
      </w:r>
    </w:p>
    <w:p w14:paraId="2BFCA5E1" w14:textId="77777777" w:rsidR="00BA5D92" w:rsidRPr="00742BED" w:rsidRDefault="00BA5D92" w:rsidP="00A23C69">
      <w:pPr>
        <w:ind w:left="709" w:right="709"/>
        <w:jc w:val="both"/>
        <w:rPr>
          <w:rFonts w:ascii="Arial" w:hAnsi="Arial" w:cs="Arial"/>
          <w:color w:val="000000" w:themeColor="text1"/>
          <w:sz w:val="21"/>
          <w:szCs w:val="21"/>
          <w:lang w:val="es-ES_tradnl"/>
        </w:rPr>
      </w:pPr>
    </w:p>
    <w:p w14:paraId="226A86CB" w14:textId="51365235" w:rsidR="00A23C69" w:rsidRPr="00742BED" w:rsidRDefault="00A23C69" w:rsidP="00A23C69">
      <w:pPr>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Igualmente, esta disposición se aplicará a los contratos que se celebren durante la vigencia de la Emergencia Sanitaria declarada por el Ministerio de Salud y Protección Social, con ocasión de la pandemia derivada del Coronavirus COVID-19, y durante el término que dicho estado esté vigente.</w:t>
      </w:r>
    </w:p>
    <w:p w14:paraId="7CC36CE6" w14:textId="77777777" w:rsidR="00A23C69" w:rsidRPr="00742BED" w:rsidRDefault="00A23C69" w:rsidP="006B5D71">
      <w:pPr>
        <w:spacing w:line="276" w:lineRule="auto"/>
        <w:ind w:firstLine="709"/>
        <w:jc w:val="both"/>
        <w:rPr>
          <w:rFonts w:ascii="Arial" w:hAnsi="Arial" w:cs="Arial"/>
          <w:color w:val="000000" w:themeColor="text1"/>
          <w:sz w:val="22"/>
          <w:lang w:val="es-ES_tradnl"/>
        </w:rPr>
      </w:pPr>
    </w:p>
    <w:p w14:paraId="417C77C5" w14:textId="3A8433C9" w:rsidR="0029745A" w:rsidRPr="00742BED" w:rsidRDefault="0029745A" w:rsidP="00A23C69">
      <w:pPr>
        <w:spacing w:after="120" w:line="276" w:lineRule="auto"/>
        <w:ind w:firstLine="709"/>
        <w:jc w:val="both"/>
        <w:rPr>
          <w:rFonts w:ascii="Arial" w:hAnsi="Arial" w:cs="Arial"/>
          <w:color w:val="000000" w:themeColor="text1"/>
          <w:sz w:val="22"/>
          <w:lang w:val="es-ES_tradnl"/>
        </w:rPr>
      </w:pPr>
      <w:r w:rsidRPr="00742BED">
        <w:rPr>
          <w:rFonts w:ascii="Arial" w:hAnsi="Arial" w:cs="Arial"/>
          <w:color w:val="000000" w:themeColor="text1"/>
          <w:sz w:val="22"/>
          <w:lang w:val="es-ES_tradnl"/>
        </w:rPr>
        <w:t xml:space="preserve">En consecuencia, al momento de hacer la adición se debe tener en cuenta que el cálculo del límite debe hacerse en salarios mínimos para efectos de que el cálculo del tope sea preciso; de manera que para adicionar un contrato debe dividirse el valor inicial por el salario mínimo vigente al momento de la suscripción del contrato, y luego dividirlo por 2; el resultado obtenido constituirá el número de SMLMV por los cuales podrá adicionarse el contrato. En este sentido, para evitar equivocaciones, lo ideal es que cada que se efectúe una adición, se estime su valor en salarios mínimos, que se calcularán con base en el vigente al momento de la adición, de manera que se descuenten estos de los salarios mínimos que restan por adicionar, ya que las modificaciones podrían hacerse en diferentes años, porque si el contrato se ejecuta sin existir variación en el valor del salario mínimo la operación sería la misma si se toma el monto en pesos. </w:t>
      </w:r>
    </w:p>
    <w:p w14:paraId="5F0B8533" w14:textId="260FE6E6" w:rsidR="0029745A" w:rsidRPr="00742BED" w:rsidRDefault="0029745A" w:rsidP="0029745A">
      <w:pPr>
        <w:spacing w:before="120" w:line="276" w:lineRule="auto"/>
        <w:ind w:firstLine="709"/>
        <w:jc w:val="both"/>
        <w:rPr>
          <w:rFonts w:ascii="Arial" w:hAnsi="Arial" w:cs="Arial"/>
          <w:color w:val="000000" w:themeColor="text1"/>
          <w:sz w:val="22"/>
          <w:lang w:val="es-ES_tradnl"/>
        </w:rPr>
      </w:pPr>
      <w:r w:rsidRPr="00742BED">
        <w:rPr>
          <w:rFonts w:ascii="Arial" w:hAnsi="Arial" w:cs="Arial"/>
          <w:color w:val="000000" w:themeColor="text1"/>
          <w:sz w:val="22"/>
          <w:lang w:val="es-ES_tradnl"/>
        </w:rPr>
        <w:t xml:space="preserve">El razonamiento anterior se soporta en la forma como la Ley 80 estableció el tope para las adiciones, acudiendo a una forma de actualización del valor, de acuerdo </w:t>
      </w:r>
      <w:r w:rsidR="008D7B59" w:rsidRPr="00742BED">
        <w:rPr>
          <w:rFonts w:ascii="Arial" w:hAnsi="Arial" w:cs="Arial"/>
          <w:color w:val="000000" w:themeColor="text1"/>
          <w:sz w:val="22"/>
          <w:lang w:val="es-ES_tradnl"/>
        </w:rPr>
        <w:t>con</w:t>
      </w:r>
      <w:r w:rsidRPr="00742BED">
        <w:rPr>
          <w:rFonts w:ascii="Arial" w:hAnsi="Arial" w:cs="Arial"/>
          <w:color w:val="000000" w:themeColor="text1"/>
          <w:sz w:val="22"/>
          <w:lang w:val="es-ES_tradnl"/>
        </w:rPr>
        <w:t xml:space="preserve"> los incrementos que tenga el salario mínimo, lo que resulta especialmente relevante en contratos de larga duración.</w:t>
      </w:r>
    </w:p>
    <w:p w14:paraId="3464A07A" w14:textId="62115E61" w:rsidR="00BC566B" w:rsidRPr="00742BED" w:rsidRDefault="00A23C69" w:rsidP="0081338F">
      <w:pPr>
        <w:spacing w:before="120" w:line="276" w:lineRule="auto"/>
        <w:ind w:firstLine="709"/>
        <w:jc w:val="both"/>
        <w:rPr>
          <w:rFonts w:ascii="Arial" w:hAnsi="Arial" w:cs="Arial"/>
          <w:color w:val="000000" w:themeColor="text1"/>
          <w:sz w:val="22"/>
          <w:lang w:val="es-ES_tradnl"/>
        </w:rPr>
      </w:pPr>
      <w:r w:rsidRPr="00742BED">
        <w:rPr>
          <w:rFonts w:ascii="Arial" w:hAnsi="Arial" w:cs="Arial"/>
          <w:color w:val="000000" w:themeColor="text1"/>
          <w:sz w:val="22"/>
          <w:lang w:val="es-ES_tradnl"/>
        </w:rPr>
        <w:t xml:space="preserve">Finalmente, </w:t>
      </w:r>
      <w:r w:rsidR="00A04712" w:rsidRPr="00742BED">
        <w:rPr>
          <w:rFonts w:ascii="Arial" w:hAnsi="Arial" w:cs="Arial"/>
          <w:color w:val="000000" w:themeColor="text1"/>
          <w:sz w:val="22"/>
          <w:lang w:val="es-ES_tradnl"/>
        </w:rPr>
        <w:t xml:space="preserve">como lo indicó esta Agencia en el concepto C-807 del </w:t>
      </w:r>
      <w:r w:rsidR="00BC566B" w:rsidRPr="00742BED">
        <w:rPr>
          <w:rFonts w:ascii="Arial" w:hAnsi="Arial" w:cs="Arial"/>
          <w:color w:val="000000" w:themeColor="text1"/>
          <w:sz w:val="22"/>
          <w:lang w:val="es-ES_tradnl"/>
        </w:rPr>
        <w:t xml:space="preserve">29 de diciembre de 2020, las entidades estatales en su actividad contractual pueden acudir a los mecanismos alternativos de resolución de </w:t>
      </w:r>
      <w:r w:rsidR="00EC22AD" w:rsidRPr="00742BED">
        <w:rPr>
          <w:rFonts w:ascii="Arial" w:hAnsi="Arial" w:cs="Arial"/>
          <w:color w:val="000000" w:themeColor="text1"/>
          <w:sz w:val="22"/>
          <w:lang w:val="es-ES_tradnl"/>
        </w:rPr>
        <w:t>conflictos</w:t>
      </w:r>
      <w:r w:rsidR="00BC566B" w:rsidRPr="00742BED">
        <w:rPr>
          <w:rFonts w:ascii="Arial" w:hAnsi="Arial" w:cs="Arial"/>
          <w:color w:val="000000" w:themeColor="text1"/>
          <w:sz w:val="22"/>
          <w:lang w:val="es-ES_tradnl"/>
        </w:rPr>
        <w:t>, entre ellos la transacción</w:t>
      </w:r>
      <w:r w:rsidR="0081338F" w:rsidRPr="00742BED">
        <w:rPr>
          <w:rFonts w:ascii="Arial" w:hAnsi="Arial" w:cs="Arial"/>
          <w:color w:val="000000" w:themeColor="text1"/>
          <w:sz w:val="22"/>
          <w:lang w:val="es-ES_tradnl"/>
        </w:rPr>
        <w:t xml:space="preserve">, que </w:t>
      </w:r>
      <w:r w:rsidR="00BC566B" w:rsidRPr="00742BED">
        <w:rPr>
          <w:rFonts w:ascii="Arial" w:eastAsia="Calibri" w:hAnsi="Arial" w:cs="Arial"/>
          <w:color w:val="000000" w:themeColor="text1"/>
          <w:sz w:val="22"/>
          <w:szCs w:val="22"/>
          <w:lang w:val="es-ES_tradnl"/>
        </w:rPr>
        <w:t xml:space="preserve">es un mecanismo alternativo de resolución de conflictos de carácter </w:t>
      </w:r>
      <w:r w:rsidR="00BC566B" w:rsidRPr="00742BED">
        <w:rPr>
          <w:rFonts w:ascii="Arial" w:eastAsia="Calibri" w:hAnsi="Arial" w:cs="Arial"/>
          <w:i/>
          <w:iCs/>
          <w:color w:val="000000" w:themeColor="text1"/>
          <w:sz w:val="22"/>
          <w:szCs w:val="22"/>
          <w:lang w:val="es-ES_tradnl"/>
        </w:rPr>
        <w:t>autocompositivo</w:t>
      </w:r>
      <w:r w:rsidR="00BC566B" w:rsidRPr="00742BED">
        <w:rPr>
          <w:rFonts w:ascii="Arial" w:eastAsia="Calibri" w:hAnsi="Arial" w:cs="Arial"/>
          <w:color w:val="000000" w:themeColor="text1"/>
          <w:sz w:val="22"/>
          <w:szCs w:val="22"/>
          <w:lang w:val="es-ES_tradnl"/>
        </w:rPr>
        <w:t xml:space="preserve">. En efecto, mediante la transacción las partes involucradas en una controversia acuerdan directamente la forma de resolverla, o sea que solucionan el conflicto por voluntad propia –efectuando concesiones recíprocas– y no por la imposición de un tercero. De ahí que la transacción revista los rasgos de un </w:t>
      </w:r>
      <w:r w:rsidR="00BC566B" w:rsidRPr="00742BED">
        <w:rPr>
          <w:rFonts w:ascii="Arial" w:eastAsia="Calibri" w:hAnsi="Arial" w:cs="Arial"/>
          <w:i/>
          <w:iCs/>
          <w:color w:val="000000" w:themeColor="text1"/>
          <w:sz w:val="22"/>
          <w:szCs w:val="22"/>
          <w:lang w:val="es-ES_tradnl"/>
        </w:rPr>
        <w:t>negocio jurídico</w:t>
      </w:r>
      <w:r w:rsidR="00BC566B" w:rsidRPr="00742BED">
        <w:rPr>
          <w:rFonts w:ascii="Arial" w:eastAsia="Calibri" w:hAnsi="Arial" w:cs="Arial"/>
          <w:color w:val="000000" w:themeColor="text1"/>
          <w:sz w:val="22"/>
          <w:szCs w:val="22"/>
          <w:lang w:val="es-ES_tradnl"/>
        </w:rPr>
        <w:t xml:space="preserve"> o </w:t>
      </w:r>
      <w:r w:rsidR="00BC566B" w:rsidRPr="00742BED">
        <w:rPr>
          <w:rFonts w:ascii="Arial" w:eastAsia="Calibri" w:hAnsi="Arial" w:cs="Arial"/>
          <w:i/>
          <w:iCs/>
          <w:color w:val="000000" w:themeColor="text1"/>
          <w:sz w:val="22"/>
          <w:szCs w:val="22"/>
          <w:lang w:val="es-ES_tradnl"/>
        </w:rPr>
        <w:t>contrato</w:t>
      </w:r>
      <w:r w:rsidR="00BC566B" w:rsidRPr="00742BED">
        <w:rPr>
          <w:rFonts w:ascii="Arial" w:eastAsia="Calibri" w:hAnsi="Arial" w:cs="Arial"/>
          <w:color w:val="000000" w:themeColor="text1"/>
          <w:sz w:val="22"/>
          <w:szCs w:val="22"/>
          <w:lang w:val="es-ES_tradnl"/>
        </w:rPr>
        <w:t xml:space="preserve">, pues es un acuerdo de voluntades para </w:t>
      </w:r>
      <w:r w:rsidR="00BC566B" w:rsidRPr="00742BED">
        <w:rPr>
          <w:rFonts w:ascii="Arial" w:eastAsia="Calibri" w:hAnsi="Arial" w:cs="Arial"/>
          <w:color w:val="000000" w:themeColor="text1"/>
          <w:sz w:val="22"/>
          <w:szCs w:val="22"/>
          <w:lang w:val="es-ES_tradnl"/>
        </w:rPr>
        <w:lastRenderedPageBreak/>
        <w:t>crear, modificar o extinguir derechos y obligaciones</w:t>
      </w:r>
      <w:r w:rsidR="00BC566B" w:rsidRPr="00742BED">
        <w:rPr>
          <w:rStyle w:val="Refdenotaalpie"/>
          <w:rFonts w:ascii="Arial" w:eastAsia="Calibri" w:hAnsi="Arial" w:cs="Arial"/>
          <w:color w:val="000000" w:themeColor="text1"/>
          <w:sz w:val="22"/>
          <w:szCs w:val="22"/>
          <w:lang w:val="es-ES_tradnl"/>
        </w:rPr>
        <w:footnoteReference w:id="27"/>
      </w:r>
      <w:r w:rsidR="00BC566B" w:rsidRPr="00742BED">
        <w:rPr>
          <w:rFonts w:ascii="Arial" w:eastAsia="Calibri" w:hAnsi="Arial" w:cs="Arial"/>
          <w:color w:val="000000" w:themeColor="text1"/>
          <w:sz w:val="22"/>
          <w:szCs w:val="22"/>
          <w:lang w:val="es-ES_tradnl"/>
        </w:rPr>
        <w:t xml:space="preserve">. Esto diferencia a la transacción de los mecanismos </w:t>
      </w:r>
      <w:r w:rsidR="00BC566B" w:rsidRPr="00742BED">
        <w:rPr>
          <w:rFonts w:ascii="Arial" w:eastAsia="Calibri" w:hAnsi="Arial" w:cs="Arial"/>
          <w:i/>
          <w:iCs/>
          <w:color w:val="000000" w:themeColor="text1"/>
          <w:sz w:val="22"/>
          <w:szCs w:val="22"/>
          <w:lang w:val="es-ES_tradnl"/>
        </w:rPr>
        <w:t>heterocompositivos</w:t>
      </w:r>
      <w:r w:rsidR="00BC566B" w:rsidRPr="00742BED">
        <w:rPr>
          <w:rFonts w:ascii="Arial" w:eastAsia="Calibri" w:hAnsi="Arial" w:cs="Arial"/>
          <w:color w:val="000000" w:themeColor="text1"/>
          <w:sz w:val="22"/>
          <w:szCs w:val="22"/>
          <w:lang w:val="es-ES_tradnl"/>
        </w:rPr>
        <w:t>, en los que un sujeto distinto a las partes decide con autoridad a cuál de ellas le asiste la razón.</w:t>
      </w:r>
    </w:p>
    <w:p w14:paraId="136D48AE" w14:textId="696F72B1" w:rsidR="00BC566B" w:rsidRPr="00742BED" w:rsidRDefault="00BC566B" w:rsidP="00BC566B">
      <w:pPr>
        <w:spacing w:before="120" w:line="276" w:lineRule="auto"/>
        <w:ind w:firstLine="709"/>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t>El artículo 2469 del Código Civil define la transacción como «[…] un contrato en que las partes terminan extrajudicialmente un litigio pendiente o precaven un litigio eventual». Adicionalmente, los artículos 2470 a 2487 establecen los requisitos del contrato de transacción, entre los que se destacan los siguientes: i) Solo procede sobre derechos inciertos y discutibles. ii) Las partes deben tener capacidad para disponer del objeto del negocio jurídico, lo que no obsta para que se otorgue poder mediante la celebración de un contrato de mandato. iii) No puede versar sobre materias prohibidas, como el estado civil de las personas, derechos ajenos o que no existen. iv) Únicamente surte efecto entre las partes. Además, el artículo 1625, numeral 3, del mismo Código prevé la transacción como uno de los modos de extinción de las obligaciones</w:t>
      </w:r>
      <w:r w:rsidRPr="00742BED">
        <w:rPr>
          <w:rStyle w:val="Refdenotaalpie"/>
          <w:rFonts w:ascii="Arial" w:eastAsia="Calibri" w:hAnsi="Arial" w:cs="Arial"/>
          <w:color w:val="000000" w:themeColor="text1"/>
          <w:sz w:val="22"/>
          <w:szCs w:val="22"/>
          <w:lang w:val="es-ES_tradnl"/>
        </w:rPr>
        <w:footnoteReference w:id="28"/>
      </w:r>
      <w:r w:rsidRPr="00742BED">
        <w:rPr>
          <w:rFonts w:ascii="Arial" w:eastAsia="Calibri" w:hAnsi="Arial" w:cs="Arial"/>
          <w:color w:val="000000" w:themeColor="text1"/>
          <w:sz w:val="22"/>
          <w:szCs w:val="22"/>
          <w:lang w:val="es-ES_tradnl"/>
        </w:rPr>
        <w:t>.</w:t>
      </w:r>
    </w:p>
    <w:p w14:paraId="628A0550" w14:textId="738FCF4F" w:rsidR="00BC566B" w:rsidRPr="00742BED" w:rsidRDefault="00BC566B" w:rsidP="00BC566B">
      <w:pPr>
        <w:spacing w:before="120" w:line="276" w:lineRule="auto"/>
        <w:ind w:firstLine="709"/>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t xml:space="preserve">La transacción, como mecanismo alternativo de resolución de conflictos, puede ser </w:t>
      </w:r>
      <w:r w:rsidRPr="00742BED">
        <w:rPr>
          <w:rFonts w:ascii="Arial" w:eastAsia="Calibri" w:hAnsi="Arial" w:cs="Arial"/>
          <w:i/>
          <w:iCs/>
          <w:color w:val="000000" w:themeColor="text1"/>
          <w:sz w:val="22"/>
          <w:szCs w:val="22"/>
          <w:lang w:val="es-ES_tradnl"/>
        </w:rPr>
        <w:t>judicial</w:t>
      </w:r>
      <w:r w:rsidRPr="00742BED">
        <w:rPr>
          <w:rFonts w:ascii="Arial" w:eastAsia="Calibri" w:hAnsi="Arial" w:cs="Arial"/>
          <w:color w:val="000000" w:themeColor="text1"/>
          <w:sz w:val="22"/>
          <w:szCs w:val="22"/>
          <w:lang w:val="es-ES_tradnl"/>
        </w:rPr>
        <w:t xml:space="preserve"> o </w:t>
      </w:r>
      <w:r w:rsidRPr="00742BED">
        <w:rPr>
          <w:rFonts w:ascii="Arial" w:eastAsia="Calibri" w:hAnsi="Arial" w:cs="Arial"/>
          <w:i/>
          <w:iCs/>
          <w:color w:val="000000" w:themeColor="text1"/>
          <w:sz w:val="22"/>
          <w:szCs w:val="22"/>
          <w:lang w:val="es-ES_tradnl"/>
        </w:rPr>
        <w:t>extrajudicial</w:t>
      </w:r>
      <w:r w:rsidRPr="00742BED">
        <w:rPr>
          <w:rFonts w:ascii="Arial" w:eastAsia="Calibri" w:hAnsi="Arial" w:cs="Arial"/>
          <w:color w:val="000000" w:themeColor="text1"/>
          <w:sz w:val="22"/>
          <w:szCs w:val="22"/>
          <w:lang w:val="es-ES_tradnl"/>
        </w:rPr>
        <w:t xml:space="preserve">, dependiendo de si se da o no para terminar un proceso judicial vigente. El artículo 2469 del Código Civil es el fundamento jurídico de la transacción extrajudicial, pues indica que mediante este contrato las partes «[…] terminan extrajudicialmente un litigio pendiente </w:t>
      </w:r>
      <w:r w:rsidRPr="00742BED">
        <w:rPr>
          <w:rFonts w:ascii="Arial" w:eastAsia="Calibri" w:hAnsi="Arial" w:cs="Arial"/>
          <w:i/>
          <w:iCs/>
          <w:color w:val="000000" w:themeColor="text1"/>
          <w:sz w:val="22"/>
          <w:szCs w:val="22"/>
          <w:lang w:val="es-ES_tradnl"/>
        </w:rPr>
        <w:t>o precaven un litigio eventual</w:t>
      </w:r>
      <w:r w:rsidRPr="00742BED">
        <w:rPr>
          <w:rFonts w:ascii="Arial" w:eastAsia="Calibri" w:hAnsi="Arial" w:cs="Arial"/>
          <w:color w:val="000000" w:themeColor="text1"/>
          <w:sz w:val="22"/>
          <w:szCs w:val="22"/>
          <w:lang w:val="es-ES_tradnl"/>
        </w:rPr>
        <w:t xml:space="preserve">» (cursiva fuera de texto). A su vez, los códigos procesales han reconocido la transacción judicial como forma de terminación anticipada de los litigios. Verbigracia, el artículo 176 del Código de Procedimiento Administrativo y de lo Contencioso Administrativo –Ley 1437 de 2011– </w:t>
      </w:r>
      <w:r w:rsidRPr="00742BED">
        <w:rPr>
          <w:rFonts w:ascii="Arial" w:eastAsia="Calibri" w:hAnsi="Arial" w:cs="Arial"/>
          <w:color w:val="000000" w:themeColor="text1"/>
          <w:sz w:val="22"/>
          <w:szCs w:val="22"/>
          <w:lang w:val="es-ES_tradnl"/>
        </w:rPr>
        <w:lastRenderedPageBreak/>
        <w:t>establece que el proceso judicial puede terminar por transacción</w:t>
      </w:r>
      <w:r w:rsidRPr="00742BED">
        <w:rPr>
          <w:rStyle w:val="Refdenotaalpie"/>
          <w:rFonts w:ascii="Arial" w:eastAsia="Calibri" w:hAnsi="Arial" w:cs="Arial"/>
          <w:color w:val="000000" w:themeColor="text1"/>
          <w:sz w:val="22"/>
          <w:szCs w:val="22"/>
          <w:lang w:val="es-ES_tradnl"/>
        </w:rPr>
        <w:footnoteReference w:id="29"/>
      </w:r>
      <w:r w:rsidRPr="00742BED">
        <w:rPr>
          <w:rFonts w:ascii="Arial" w:eastAsia="Calibri" w:hAnsi="Arial" w:cs="Arial"/>
          <w:color w:val="000000" w:themeColor="text1"/>
          <w:sz w:val="22"/>
          <w:szCs w:val="22"/>
          <w:lang w:val="es-ES_tradnl"/>
        </w:rPr>
        <w:t>. De la misma manera, el artículo 103 del Estatuto de Arbitraje Nacional e Internacional –Ley 1563 de 2012– permite la terminación del proceso arbitral por transacción entre las partes</w:t>
      </w:r>
      <w:r w:rsidRPr="00742BED">
        <w:rPr>
          <w:rStyle w:val="Refdenotaalpie"/>
          <w:rFonts w:ascii="Arial" w:eastAsia="Calibri" w:hAnsi="Arial" w:cs="Arial"/>
          <w:color w:val="000000" w:themeColor="text1"/>
          <w:sz w:val="22"/>
          <w:szCs w:val="22"/>
          <w:lang w:val="es-ES_tradnl"/>
        </w:rPr>
        <w:footnoteReference w:id="30"/>
      </w:r>
      <w:r w:rsidRPr="00742BED">
        <w:rPr>
          <w:rFonts w:ascii="Arial" w:eastAsia="Calibri" w:hAnsi="Arial" w:cs="Arial"/>
          <w:color w:val="000000" w:themeColor="text1"/>
          <w:sz w:val="22"/>
          <w:szCs w:val="22"/>
          <w:lang w:val="es-ES_tradnl"/>
        </w:rPr>
        <w:t>. El artículo 313 del Código General del Proceso –Ley 1564 de 2012–, por su parte, dispone que «Los representantes de la nación, departamentos y municipios no podrán transigir sin autorización del Gobierno Nacional, del gobernador o alcalde, según fuere el caso»; pero esta última norma –valga resaltar– solo aplica en los procesos jurisdiccionales conforme lo determina el objeto del mismo Código General del Proceso.</w:t>
      </w:r>
    </w:p>
    <w:p w14:paraId="63FAC08D" w14:textId="77777777" w:rsidR="00BC566B" w:rsidRPr="00742BED" w:rsidRDefault="00BC566B" w:rsidP="00BC566B">
      <w:pPr>
        <w:spacing w:before="120" w:line="276" w:lineRule="auto"/>
        <w:ind w:firstLine="709"/>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t>En el ámbito de la contratación estatal, la jurisprudencia del Consejo de Estado</w:t>
      </w:r>
      <w:r w:rsidRPr="00742BED">
        <w:rPr>
          <w:rStyle w:val="Refdenotaalpie"/>
          <w:rFonts w:ascii="Arial" w:eastAsia="Calibri" w:hAnsi="Arial" w:cs="Arial"/>
          <w:color w:val="000000" w:themeColor="text1"/>
          <w:sz w:val="22"/>
          <w:szCs w:val="22"/>
          <w:lang w:val="es-ES_tradnl"/>
        </w:rPr>
        <w:footnoteReference w:id="31"/>
      </w:r>
      <w:r w:rsidRPr="00742BED">
        <w:rPr>
          <w:rFonts w:ascii="Arial" w:eastAsia="Calibri" w:hAnsi="Arial" w:cs="Arial"/>
          <w:color w:val="000000" w:themeColor="text1"/>
          <w:sz w:val="22"/>
          <w:szCs w:val="22"/>
          <w:lang w:val="es-ES_tradnl"/>
        </w:rPr>
        <w:t xml:space="preserve"> y la doctrina</w:t>
      </w:r>
      <w:r w:rsidRPr="00742BED">
        <w:rPr>
          <w:rStyle w:val="Refdenotaalpie"/>
          <w:rFonts w:ascii="Arial" w:eastAsia="Calibri" w:hAnsi="Arial" w:cs="Arial"/>
          <w:color w:val="000000" w:themeColor="text1"/>
          <w:sz w:val="22"/>
          <w:szCs w:val="22"/>
          <w:lang w:val="es-ES_tradnl"/>
        </w:rPr>
        <w:footnoteReference w:id="32"/>
      </w:r>
      <w:r w:rsidRPr="00742BED">
        <w:rPr>
          <w:rFonts w:ascii="Arial" w:eastAsia="Calibri" w:hAnsi="Arial" w:cs="Arial"/>
          <w:color w:val="000000" w:themeColor="text1"/>
          <w:sz w:val="22"/>
          <w:szCs w:val="22"/>
          <w:lang w:val="es-ES_tradnl"/>
        </w:rPr>
        <w:t xml:space="preserve"> han reconocido la procedencia de la transacción extrajudicial, como mecanismo apropiado para precaver litigios eventuales o para resolver controversias entre las entidades estatales y sus contratistas. La Subdirección de Gestión Contractual está de acuerdo con dicha postura, pues tanto en las normas civiles –según se explicó–, como en el Estatuto General de Contratación de la Administración Pública, se encuentra la habilitación legal para que las entidades públicas celebren contratos de transacción. Más aún, los órganos del Estado que se rigen por la Ley 80 de 1993 y sus normas complementarias, no solo tienen la facultad de transigir, sino que además están obligados a resolver oportunamente las controversias contractuales, para evitar que los conflictos </w:t>
      </w:r>
      <w:r w:rsidRPr="00742BED">
        <w:rPr>
          <w:rFonts w:ascii="Arial" w:eastAsia="Calibri" w:hAnsi="Arial" w:cs="Arial"/>
          <w:color w:val="000000" w:themeColor="text1"/>
          <w:sz w:val="22"/>
          <w:szCs w:val="22"/>
          <w:lang w:val="es-ES_tradnl"/>
        </w:rPr>
        <w:lastRenderedPageBreak/>
        <w:t xml:space="preserve">escalen y se generen consecuencias jurídicas y pecuniarias más gravosas para el erario público. </w:t>
      </w:r>
    </w:p>
    <w:p w14:paraId="25B9D00B" w14:textId="77777777" w:rsidR="00BC566B" w:rsidRPr="00742BED" w:rsidRDefault="00BC566B" w:rsidP="00BC566B">
      <w:pPr>
        <w:spacing w:before="120" w:line="276" w:lineRule="auto"/>
        <w:ind w:firstLine="709"/>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t>Para ilustrar mejor lo anterior, conviene señalar que la transacción se encuentra consagrada en varias disposiciones normativas de la Ley 80 de 1993, como mecanismo alternativo de resolución de conflictos al que pueden acudir las entidades estatales y los contratistas para poner fin a sus diferencias o precaver litigios eventuales. Como muestra de ello, el artículo 4, numeral 9, de dicho cuerpo normativo establece que las entidades estatales «Actuarán de tal modo que por causas a ellas imputables, no sobrevenga una mayor onerosidad en el cumplimiento de las obligaciones a cargo del contratista» y que «Con este fin, en el menor tiempo posible, corregirán los desajustes que pudieren presentarse y acordarán los mecanismos y procedimientos pertinentes para precaver o solucionar rápida y eficazmente las diferencias o situaciones litigiosas que llegaren a presentarse». En otras palabras, es deber de las entidades estatales buscar la solución oportuna de las controversias, para evitar que estas cada vez se tornen más complejas. Con ello se logran reducir, en gran medida, los litigios y, por lo tanto, la congestión judicial. Además, la resolución rápida de una situación controversial impide que se incrementen los perjuicios de la parte afectada y que el Estado tenga que soportar condenas cuantiosas en el escenario jurisdiccional.</w:t>
      </w:r>
    </w:p>
    <w:p w14:paraId="646F0245" w14:textId="77777777" w:rsidR="00BC566B" w:rsidRPr="00742BED" w:rsidRDefault="00BC566B" w:rsidP="00BC566B">
      <w:pPr>
        <w:spacing w:before="120" w:line="276" w:lineRule="auto"/>
        <w:ind w:firstLine="709"/>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t>Por otra parte, el artículo 60 de la Ley 80 de 1993 reconoce la procedencia de la transacción en la etapa de liquidación del contrato, estableciendo que «En el acta de liquidación constarán los acuerdos, conciliaciones y transacciones a que llegaren las partes para poner fin a las divergencias presentadas y poder declararse a paz y salvo». Los beneficios de la transacción en el acta de liquidación bilateral han sido puestos de presente por la doctrina, afirmando que aquella «[…] es un verdadero negocio jurídico que envuelve una transacción, es decir, con su suscripción, cada una de las partes puede tener certeza de la finalización de la relación negocial. Además, los principios de buena fe y del respeto del acto propio guían la ejecución de los contratos, por lo cual si una parte no manifestó explícitamente los motivos de su inconformidad no le es dable volver judicialmente sobre un acto en el que pareció expresar su conformidad con la forma en que quedó finiquitada la relación negocial»</w:t>
      </w:r>
      <w:r w:rsidRPr="00742BED">
        <w:rPr>
          <w:rStyle w:val="Refdenotaalpie"/>
          <w:rFonts w:ascii="Arial" w:eastAsia="Calibri" w:hAnsi="Arial" w:cs="Arial"/>
          <w:color w:val="000000" w:themeColor="text1"/>
          <w:sz w:val="22"/>
          <w:szCs w:val="22"/>
          <w:lang w:val="es-ES_tradnl"/>
        </w:rPr>
        <w:footnoteReference w:id="33"/>
      </w:r>
      <w:r w:rsidRPr="00742BED">
        <w:rPr>
          <w:rFonts w:ascii="Arial" w:eastAsia="Calibri" w:hAnsi="Arial" w:cs="Arial"/>
          <w:color w:val="000000" w:themeColor="text1"/>
          <w:sz w:val="22"/>
          <w:szCs w:val="22"/>
          <w:lang w:val="es-ES_tradnl"/>
        </w:rPr>
        <w:t xml:space="preserve">.    </w:t>
      </w:r>
    </w:p>
    <w:p w14:paraId="11B70DD3" w14:textId="77CD61AB" w:rsidR="00BC566B" w:rsidRPr="00742BED" w:rsidRDefault="00BC566B" w:rsidP="00BC566B">
      <w:pPr>
        <w:spacing w:before="120" w:line="276" w:lineRule="auto"/>
        <w:ind w:firstLine="709"/>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t xml:space="preserve"> Adicionalmente, el artículo 25, numeral 5, de la Ley 80 de 1993 dispone que, en virtud del principio de economía, se deben adoptar «[…] procedimientos que garanticen la pronta solución de las diferencias y controversias que con motivo de la celebración y ejecución del contrato se presenten». Por otra parte, los artículos 32 y 40 permiten a las entidades estatales celebrar todos los contratos que tengan su fuente en el ejercicio de la autonomía de la voluntad, así como en las normas civiles y comerciales. Siendo el de </w:t>
      </w:r>
      <w:r w:rsidRPr="00742BED">
        <w:rPr>
          <w:rFonts w:ascii="Arial" w:eastAsia="Calibri" w:hAnsi="Arial" w:cs="Arial"/>
          <w:color w:val="000000" w:themeColor="text1"/>
          <w:sz w:val="22"/>
          <w:szCs w:val="22"/>
          <w:lang w:val="es-ES_tradnl"/>
        </w:rPr>
        <w:lastRenderedPageBreak/>
        <w:t>transacción un contrato consagrado en las normas civiles –concretamente, en el artículo 2469 del Código Civil–, es entonces un negocio jurídico que pueden celebrar las entidades estatales en el marco de la ejecución de otro contrato. Además, como se indicó, el artículo 1625, numeral 3, del Código Civil establece que la transacción es un modo de extinguir las obligaciones. Esta norma también resulta aplicable en la contratación estatal, en virtud de la remisión a las normas civiles que realiza el artículo 13 de la Ley 80 de 1993, según el cual: «Los contratos que celebren las entidades a que se refiere el artículo 2o. del presente estatuto se regirán por las disposiciones comerciales y civiles pertinentes, salvo en las materias particularmente reguladas en esta ley».</w:t>
      </w:r>
    </w:p>
    <w:p w14:paraId="369A1BB0" w14:textId="77777777" w:rsidR="00BC566B" w:rsidRPr="00742BED" w:rsidRDefault="00BC566B" w:rsidP="00BC566B">
      <w:pPr>
        <w:spacing w:before="120" w:line="276" w:lineRule="auto"/>
        <w:ind w:firstLine="709"/>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t>Por tal razón, la Sección Tercera del Consejo de Estado sostiene desde hace varios años que «Con esta perspectiva, la Sala no ha dudado en la procedencia de la celebración de transacciones bajo el imperio de las normas civiles por parte de entidades estatales, con la sola diferencia que en materia de contratación estatal el contrato es solemne y no consensual (arts. 39 y 41 de la ley 80 de 1993). Máxime cuando, como lo ha señalado la doctrina, la resolución de conflictos es un deber de la Administración contratante, la cual a la luz de la ley 80 de 1993 goza de cierta autonomía en la solución de sus eventuales litigios contractuales»</w:t>
      </w:r>
      <w:r w:rsidRPr="00742BED">
        <w:rPr>
          <w:rStyle w:val="Refdenotaalpie"/>
          <w:rFonts w:ascii="Arial" w:eastAsia="Calibri" w:hAnsi="Arial" w:cs="Arial"/>
          <w:color w:val="000000" w:themeColor="text1"/>
          <w:sz w:val="22"/>
          <w:szCs w:val="22"/>
          <w:lang w:val="es-ES_tradnl"/>
        </w:rPr>
        <w:footnoteReference w:id="34"/>
      </w:r>
      <w:r w:rsidRPr="00742BED">
        <w:rPr>
          <w:rFonts w:ascii="Arial" w:eastAsia="Calibri" w:hAnsi="Arial" w:cs="Arial"/>
          <w:color w:val="000000" w:themeColor="text1"/>
          <w:sz w:val="22"/>
          <w:szCs w:val="22"/>
          <w:lang w:val="es-ES_tradnl"/>
        </w:rPr>
        <w:t>.</w:t>
      </w:r>
    </w:p>
    <w:p w14:paraId="51250614" w14:textId="77777777" w:rsidR="00BC566B" w:rsidRPr="00742BED" w:rsidRDefault="00BC566B" w:rsidP="00BC566B">
      <w:pPr>
        <w:spacing w:before="120" w:line="276" w:lineRule="auto"/>
        <w:ind w:firstLine="709"/>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t>La transacción se ha destacado así como un mecanismo alternativo de resolución de conflictos que aporta beneficios a las partes del contrato estatal, cuando es realizada de manera adecuada. En tal sentido, jurisprudencialmente se ha señalado que «</w:t>
      </w:r>
      <w:r w:rsidRPr="00742BED">
        <w:rPr>
          <w:rFonts w:ascii="Arial" w:hAnsi="Arial" w:cs="Arial"/>
          <w:sz w:val="22"/>
          <w:szCs w:val="22"/>
          <w:lang w:val="es-ES_tradnl"/>
        </w:rPr>
        <w:t xml:space="preserve">[…] </w:t>
      </w:r>
      <w:r w:rsidRPr="00742BED">
        <w:rPr>
          <w:rFonts w:ascii="Arial" w:eastAsia="Calibri" w:hAnsi="Arial" w:cs="Arial"/>
          <w:color w:val="000000" w:themeColor="text1"/>
          <w:sz w:val="22"/>
          <w:szCs w:val="22"/>
          <w:lang w:val="es-ES_tradnl"/>
        </w:rPr>
        <w:t>uno de los principales efectos que genera el acuerdo transaccional es el de cosa juzgada, por el pacto de voluntades; en consecuencia, cuando se transa sobre la totalidad de los asuntos discutidos, las partes no pueden reavivar el conflicto acudiendo a la jurisdicción o, en caso que haya un proceso judicial en curso, habrá lugar a la terminación anormal del mismo»</w:t>
      </w:r>
      <w:r w:rsidRPr="00742BED">
        <w:rPr>
          <w:rStyle w:val="Refdenotaalpie"/>
          <w:rFonts w:ascii="Arial" w:eastAsia="Calibri" w:hAnsi="Arial" w:cs="Arial"/>
          <w:color w:val="000000" w:themeColor="text1"/>
          <w:sz w:val="22"/>
          <w:szCs w:val="22"/>
          <w:lang w:val="es-ES_tradnl"/>
        </w:rPr>
        <w:footnoteReference w:id="35"/>
      </w:r>
      <w:r w:rsidRPr="00742BED">
        <w:rPr>
          <w:rFonts w:ascii="Arial" w:eastAsia="Calibri" w:hAnsi="Arial" w:cs="Arial"/>
          <w:color w:val="000000" w:themeColor="text1"/>
          <w:sz w:val="22"/>
          <w:szCs w:val="22"/>
          <w:lang w:val="es-ES_tradnl"/>
        </w:rPr>
        <w:t>. Adicionalmente, se ha indicado que la transacción es un modo válido de llegar a acuerdos sobre los aspectos económicos del contrato estatal</w:t>
      </w:r>
      <w:r w:rsidRPr="00742BED">
        <w:rPr>
          <w:rStyle w:val="Refdenotaalpie"/>
          <w:rFonts w:ascii="Arial" w:eastAsia="Calibri" w:hAnsi="Arial" w:cs="Arial"/>
          <w:color w:val="000000" w:themeColor="text1"/>
          <w:sz w:val="22"/>
          <w:szCs w:val="22"/>
          <w:lang w:val="es-ES_tradnl"/>
        </w:rPr>
        <w:footnoteReference w:id="36"/>
      </w:r>
      <w:r w:rsidRPr="00742BED">
        <w:rPr>
          <w:rFonts w:ascii="Arial" w:eastAsia="Calibri" w:hAnsi="Arial" w:cs="Arial"/>
          <w:color w:val="000000" w:themeColor="text1"/>
          <w:sz w:val="22"/>
          <w:szCs w:val="22"/>
          <w:lang w:val="es-ES_tradnl"/>
        </w:rPr>
        <w:t>, sin afectar los derechos colectivos a la moralidad administrativa y al patrimonio público</w:t>
      </w:r>
      <w:r w:rsidRPr="00742BED">
        <w:rPr>
          <w:rStyle w:val="Refdenotaalpie"/>
          <w:rFonts w:ascii="Arial" w:eastAsia="Calibri" w:hAnsi="Arial" w:cs="Arial"/>
          <w:color w:val="000000" w:themeColor="text1"/>
          <w:sz w:val="22"/>
          <w:szCs w:val="22"/>
          <w:lang w:val="es-ES_tradnl"/>
        </w:rPr>
        <w:footnoteReference w:id="37"/>
      </w:r>
      <w:r w:rsidRPr="00742BED">
        <w:rPr>
          <w:rFonts w:ascii="Arial" w:eastAsia="Calibri" w:hAnsi="Arial" w:cs="Arial"/>
          <w:color w:val="000000" w:themeColor="text1"/>
          <w:sz w:val="22"/>
          <w:szCs w:val="22"/>
          <w:lang w:val="es-ES_tradnl"/>
        </w:rPr>
        <w:t xml:space="preserve">. Específicamente, el Consejo de Estado también ha concebido la transacción como un mecanismo óptimo para restablecer el </w:t>
      </w:r>
      <w:r w:rsidRPr="00742BED">
        <w:rPr>
          <w:rFonts w:ascii="Arial" w:eastAsia="Calibri" w:hAnsi="Arial" w:cs="Arial"/>
          <w:color w:val="000000" w:themeColor="text1"/>
          <w:sz w:val="22"/>
          <w:szCs w:val="22"/>
          <w:lang w:val="es-ES_tradnl"/>
        </w:rPr>
        <w:lastRenderedPageBreak/>
        <w:t>equilibrio económico del contrato, en cumplimiento del mandato contenido en el artículo 4, numeral 9, de la Ley 80 de 1993</w:t>
      </w:r>
      <w:r w:rsidRPr="00742BED">
        <w:rPr>
          <w:rStyle w:val="Refdenotaalpie"/>
          <w:rFonts w:ascii="Arial" w:eastAsia="Calibri" w:hAnsi="Arial" w:cs="Arial"/>
          <w:color w:val="000000" w:themeColor="text1"/>
          <w:sz w:val="22"/>
          <w:szCs w:val="22"/>
          <w:lang w:val="es-ES_tradnl"/>
        </w:rPr>
        <w:footnoteReference w:id="38"/>
      </w:r>
      <w:r w:rsidRPr="00742BED">
        <w:rPr>
          <w:rFonts w:ascii="Arial" w:eastAsia="Calibri" w:hAnsi="Arial" w:cs="Arial"/>
          <w:color w:val="000000" w:themeColor="text1"/>
          <w:sz w:val="22"/>
          <w:szCs w:val="22"/>
          <w:lang w:val="es-ES_tradnl"/>
        </w:rPr>
        <w:t xml:space="preserve">. </w:t>
      </w:r>
    </w:p>
    <w:p w14:paraId="197AA663" w14:textId="772B1F03" w:rsidR="00D13FE4" w:rsidRPr="00742BED" w:rsidRDefault="00BC566B" w:rsidP="0081338F">
      <w:pPr>
        <w:spacing w:before="120" w:line="276" w:lineRule="auto"/>
        <w:ind w:firstLine="709"/>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t>Sin embargo, para que la transacción reporte ventajas a las partes, debe satisfacer las exigencias decantadas por la jurisprudencia. Según el Consejo de Estado: «</w:t>
      </w:r>
      <w:r w:rsidRPr="00742BED">
        <w:rPr>
          <w:rFonts w:ascii="Arial" w:hAnsi="Arial" w:cs="Arial"/>
          <w:sz w:val="22"/>
          <w:szCs w:val="22"/>
          <w:lang w:val="es-ES_tradnl"/>
        </w:rPr>
        <w:t xml:space="preserve">[…] </w:t>
      </w:r>
      <w:r w:rsidRPr="00742BED">
        <w:rPr>
          <w:rFonts w:ascii="Arial" w:eastAsia="Calibri" w:hAnsi="Arial" w:cs="Arial"/>
          <w:color w:val="000000" w:themeColor="text1"/>
          <w:sz w:val="22"/>
          <w:szCs w:val="22"/>
          <w:lang w:val="es-ES_tradnl"/>
        </w:rPr>
        <w:t>jurisprudencialmente se ha agregado como elemento esencial de la transacción, las concesiones o sacrificios recíprocos entre las partes»</w:t>
      </w:r>
      <w:r w:rsidRPr="00742BED">
        <w:rPr>
          <w:rStyle w:val="Refdenotaalpie"/>
          <w:rFonts w:ascii="Arial" w:eastAsia="Calibri" w:hAnsi="Arial" w:cs="Arial"/>
          <w:color w:val="000000" w:themeColor="text1"/>
          <w:sz w:val="22"/>
          <w:szCs w:val="22"/>
          <w:lang w:val="es-ES_tradnl"/>
        </w:rPr>
        <w:footnoteReference w:id="39"/>
      </w:r>
      <w:r w:rsidRPr="00742BED">
        <w:rPr>
          <w:rFonts w:ascii="Arial" w:eastAsia="Calibri" w:hAnsi="Arial" w:cs="Arial"/>
          <w:color w:val="000000" w:themeColor="text1"/>
          <w:sz w:val="22"/>
          <w:szCs w:val="22"/>
          <w:lang w:val="es-ES_tradnl"/>
        </w:rPr>
        <w:t>; es decir, el arreglo directo no puede «[…] mostrarse abiertamente desproporcionado». Por lo tanto, el acuerdo transaccional no puede implicar un reconocimiento exorbitante para el contratista, que no tenga ningún sustento, ni una renuncia infundada para la entidad estatal a reclamar la indemnización de los perjuicios que le hayan sido causados. Debe ser, por el contrario, un arreglo basado en elementos objetivos que permitan justificar la utilización de este mecanismo.</w:t>
      </w:r>
      <w:r w:rsidR="00D13FE4" w:rsidRPr="00742BED">
        <w:rPr>
          <w:rFonts w:ascii="Arial" w:eastAsia="Calibri" w:hAnsi="Arial" w:cs="Arial"/>
          <w:sz w:val="22"/>
          <w:lang w:val="es-ES_tradnl"/>
        </w:rPr>
        <w:t xml:space="preserve"> </w:t>
      </w:r>
    </w:p>
    <w:p w14:paraId="75AB8E56" w14:textId="77777777" w:rsidR="0081338F" w:rsidRPr="00742BED" w:rsidRDefault="0081338F" w:rsidP="00510DE9">
      <w:pPr>
        <w:tabs>
          <w:tab w:val="left" w:pos="0"/>
        </w:tabs>
        <w:jc w:val="both"/>
        <w:rPr>
          <w:rFonts w:ascii="Arial" w:eastAsia="Calibri" w:hAnsi="Arial" w:cs="Arial"/>
          <w:b/>
          <w:color w:val="000000" w:themeColor="text1"/>
          <w:sz w:val="22"/>
          <w:lang w:val="es-ES_tradnl"/>
        </w:rPr>
      </w:pPr>
    </w:p>
    <w:p w14:paraId="37CA9805" w14:textId="4C51B578" w:rsidR="00DD5B04" w:rsidRPr="00742BED" w:rsidRDefault="004177A6" w:rsidP="00510DE9">
      <w:pPr>
        <w:tabs>
          <w:tab w:val="left" w:pos="0"/>
        </w:tabs>
        <w:jc w:val="both"/>
        <w:rPr>
          <w:rFonts w:ascii="Arial" w:eastAsia="Calibri" w:hAnsi="Arial" w:cs="Arial"/>
          <w:b/>
          <w:color w:val="000000" w:themeColor="text1"/>
          <w:sz w:val="22"/>
          <w:lang w:val="es-ES_tradnl"/>
        </w:rPr>
      </w:pPr>
      <w:r w:rsidRPr="00742BED">
        <w:rPr>
          <w:rFonts w:ascii="Arial" w:eastAsia="Calibri" w:hAnsi="Arial" w:cs="Arial"/>
          <w:b/>
          <w:color w:val="000000" w:themeColor="text1"/>
          <w:sz w:val="22"/>
          <w:lang w:val="es-ES_tradnl"/>
        </w:rPr>
        <w:t>3</w:t>
      </w:r>
      <w:r w:rsidR="00B011A9" w:rsidRPr="00742BED">
        <w:rPr>
          <w:rFonts w:ascii="Arial" w:eastAsia="Calibri" w:hAnsi="Arial" w:cs="Arial"/>
          <w:b/>
          <w:color w:val="000000" w:themeColor="text1"/>
          <w:sz w:val="22"/>
          <w:lang w:val="es-ES_tradnl"/>
        </w:rPr>
        <w:t xml:space="preserve">. </w:t>
      </w:r>
      <w:r w:rsidR="00DD5B04" w:rsidRPr="00742BED">
        <w:rPr>
          <w:rFonts w:ascii="Arial" w:eastAsia="Calibri" w:hAnsi="Arial" w:cs="Arial"/>
          <w:b/>
          <w:color w:val="000000" w:themeColor="text1"/>
          <w:sz w:val="22"/>
          <w:lang w:val="es-ES_tradnl"/>
        </w:rPr>
        <w:t>Respuesta</w:t>
      </w:r>
    </w:p>
    <w:p w14:paraId="0B74D5B8" w14:textId="571E2881" w:rsidR="00C4581D" w:rsidRPr="00742BED" w:rsidRDefault="00C4581D" w:rsidP="00510DE9">
      <w:pPr>
        <w:tabs>
          <w:tab w:val="left" w:pos="0"/>
        </w:tabs>
        <w:jc w:val="both"/>
        <w:rPr>
          <w:rFonts w:ascii="Arial" w:eastAsia="Calibri" w:hAnsi="Arial" w:cs="Arial"/>
          <w:color w:val="000000" w:themeColor="text1"/>
          <w:sz w:val="22"/>
          <w:lang w:val="es-ES_tradnl"/>
        </w:rPr>
      </w:pPr>
    </w:p>
    <w:p w14:paraId="40E751C9" w14:textId="77777777" w:rsidR="00697010" w:rsidRPr="00742BED" w:rsidRDefault="00697010" w:rsidP="00697010">
      <w:pPr>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 ¿Cómo (sic) debe proceder la entidad a verificar el presupuesto en los concursos de méritos, una vez el proponente haya cumplido con todos los requisitos exigidos y haya obtenido el mayor puntaje como lo establece el artículo 2 del decreto 399 de 2021?</w:t>
      </w:r>
    </w:p>
    <w:p w14:paraId="05395886" w14:textId="77777777" w:rsidR="00697010" w:rsidRPr="00742BED" w:rsidRDefault="00697010" w:rsidP="00697010">
      <w:pPr>
        <w:ind w:left="709" w:right="709"/>
        <w:jc w:val="both"/>
        <w:rPr>
          <w:rFonts w:ascii="Arial" w:hAnsi="Arial" w:cs="Arial"/>
          <w:color w:val="000000" w:themeColor="text1"/>
          <w:sz w:val="21"/>
          <w:szCs w:val="21"/>
          <w:lang w:val="es-ES_tradnl"/>
        </w:rPr>
      </w:pPr>
    </w:p>
    <w:p w14:paraId="0405D19E" w14:textId="30633524" w:rsidR="00697010" w:rsidRPr="00742BED" w:rsidRDefault="00697010" w:rsidP="00697010">
      <w:pPr>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 ¿Que (sic) criterios debe tener en cuenta la entidad en el caso que el presupuesto presentado por el proponente sea superior al asignado en el presupuesto oficial, ya que el artículo 2 del decreto 399 de 2021, que modifica el 2.2.1.2.1.3.2., elimina lo relacionado con verificar la oferta económica y verificar el rango del valor estimado consignado en los documentos y estudios previos?</w:t>
      </w:r>
      <w:r w:rsidR="00E41E97" w:rsidRPr="00742BED">
        <w:rPr>
          <w:rFonts w:ascii="Arial" w:hAnsi="Arial" w:cs="Arial"/>
          <w:color w:val="000000" w:themeColor="text1"/>
          <w:sz w:val="21"/>
          <w:szCs w:val="21"/>
          <w:lang w:val="es-ES_tradnl"/>
        </w:rPr>
        <w:t>»</w:t>
      </w:r>
    </w:p>
    <w:p w14:paraId="6E475211" w14:textId="0E7E7D23" w:rsidR="00697010" w:rsidRPr="00742BED" w:rsidRDefault="00697010" w:rsidP="007F172C">
      <w:pPr>
        <w:ind w:right="709"/>
        <w:jc w:val="both"/>
        <w:rPr>
          <w:rFonts w:ascii="Arial" w:hAnsi="Arial" w:cs="Arial"/>
          <w:color w:val="000000" w:themeColor="text1"/>
          <w:sz w:val="21"/>
          <w:szCs w:val="21"/>
          <w:lang w:val="es-ES_tradnl"/>
        </w:rPr>
      </w:pPr>
    </w:p>
    <w:p w14:paraId="7EE67428" w14:textId="3756F335" w:rsidR="00FE24ED" w:rsidRPr="00742BED" w:rsidRDefault="00FE24ED" w:rsidP="00FE24ED">
      <w:pPr>
        <w:spacing w:line="276" w:lineRule="auto"/>
        <w:jc w:val="both"/>
        <w:rPr>
          <w:rFonts w:ascii="Arial" w:eastAsia="Calibri" w:hAnsi="Arial" w:cs="Arial"/>
          <w:color w:val="000000" w:themeColor="text1"/>
          <w:sz w:val="22"/>
          <w:lang w:val="es-ES_tradnl"/>
        </w:rPr>
      </w:pPr>
      <w:r w:rsidRPr="00742BED">
        <w:rPr>
          <w:rFonts w:ascii="Arial" w:eastAsia="Calibri" w:hAnsi="Arial" w:cs="Arial"/>
          <w:color w:val="000000" w:themeColor="text1"/>
          <w:sz w:val="22"/>
          <w:lang w:val="es-ES_tradnl"/>
        </w:rPr>
        <w:t xml:space="preserve">A partir de la entrada en vigencia del Decreto 399 de 2021, las entidades estatales deben incluir en los estudios previos del concurso de méritos la información correspondiente a las variables empleadas para calcular el valor estimado del contrato, determinando así el presupuesto oficial. Además, los interesados pueden formular observaciones al proyecto de pliego de condiciones sobre este tema. Adicionalmente, en el pliego de condiciones deben establecerse con claridad los requisitos habilitantes y criterios de calificación con fundamento en los cuales la entidad estatal elaborará el informe de evaluación respectivo. Al respecto, se aclara que el Decreto 399 de 2021 en ningún caso contradice lo establecido en el artículo 5, numeral 4, de la Ley 1150 de 2007; norma que dispone que «En los procesos para la selección de consultores se hará uso de factores de calificación destinados a valorar los aspectos técnicos de la oferta o proyecto […]» y que «En ningún caso se podrá incluir el precio, como factor de escogencia para la selección de consultores». El hecho de </w:t>
      </w:r>
      <w:r w:rsidRPr="00742BED">
        <w:rPr>
          <w:rFonts w:ascii="Arial" w:eastAsia="Calibri" w:hAnsi="Arial" w:cs="Arial"/>
          <w:color w:val="000000" w:themeColor="text1"/>
          <w:sz w:val="22"/>
          <w:lang w:val="es-ES_tradnl"/>
        </w:rPr>
        <w:lastRenderedPageBreak/>
        <w:t>que desaparezca la etapa en la cual la entidad estatal debía intentar un acuerdo sobre el alcance y el valor del contrato con el oferente calificado en el primer orden de elegibilidad no significa que se esté introduciendo el precio como factor de escogencia. Lo que se deduce del artículo 2 del Decreto 399 de 2021 es que en el pliego de condiciones debe quedar claramente establecido el presupuesto oficial, así como la prohibición de superar</w:t>
      </w:r>
      <w:r w:rsidR="000E40E4" w:rsidRPr="00742BED">
        <w:rPr>
          <w:rFonts w:ascii="Arial" w:eastAsia="Calibri" w:hAnsi="Arial" w:cs="Arial"/>
          <w:color w:val="000000" w:themeColor="text1"/>
          <w:sz w:val="22"/>
          <w:lang w:val="es-ES_tradnl"/>
        </w:rPr>
        <w:t xml:space="preserve">lo </w:t>
      </w:r>
      <w:r w:rsidRPr="00742BED">
        <w:rPr>
          <w:rFonts w:ascii="Arial" w:eastAsia="Calibri" w:hAnsi="Arial" w:cs="Arial"/>
          <w:color w:val="000000" w:themeColor="text1"/>
          <w:sz w:val="22"/>
          <w:lang w:val="es-ES_tradnl"/>
        </w:rPr>
        <w:t xml:space="preserve">como requisito habilitante dentro del concurso de méritos. En consecuencia, cuando el valor de la oferta exceda dicho presupuesto oficial y tal inconsistencia no sea subsanada, deberá procederse con el rechazo y esto debe quedar consignado en el informe de evaluación. </w:t>
      </w:r>
    </w:p>
    <w:p w14:paraId="6A0313D2" w14:textId="3851A6FB" w:rsidR="00FE24ED" w:rsidRPr="00742BED" w:rsidRDefault="00FE24ED" w:rsidP="00FE24ED">
      <w:pPr>
        <w:spacing w:before="120" w:line="276" w:lineRule="auto"/>
        <w:ind w:firstLine="709"/>
        <w:jc w:val="both"/>
        <w:rPr>
          <w:rFonts w:ascii="Arial" w:eastAsia="Calibri" w:hAnsi="Arial" w:cs="Arial"/>
          <w:color w:val="000000" w:themeColor="text1"/>
          <w:sz w:val="22"/>
          <w:lang w:val="es-ES_tradnl"/>
        </w:rPr>
      </w:pPr>
      <w:r w:rsidRPr="00742BED">
        <w:rPr>
          <w:rFonts w:ascii="Arial" w:eastAsia="Calibri" w:hAnsi="Arial" w:cs="Arial"/>
          <w:color w:val="000000" w:themeColor="text1"/>
          <w:sz w:val="22"/>
          <w:lang w:val="es-ES_tradnl"/>
        </w:rPr>
        <w:t>Dicho de otro modo, una vez verificado el cumplimiento de los requisitos habilitantes –entre los cuales está no superar el presupuesto oficial– y de ponderar los factores de calificación, se deberá elaborar el informe de evaluación respectivo –el cual es susceptible de observaciones– y solo se podrá adjudicar el contrato a quien ocupe el primer orden de elegibilidad según los criterios de calificación. Esto significa que luego de resolver las observaciones al informe de evaluación y de quedar en firme est</w:t>
      </w:r>
      <w:r w:rsidR="00BD7522" w:rsidRPr="00742BED">
        <w:rPr>
          <w:rFonts w:ascii="Arial" w:eastAsia="Calibri" w:hAnsi="Arial" w:cs="Arial"/>
          <w:color w:val="000000" w:themeColor="text1"/>
          <w:sz w:val="22"/>
          <w:lang w:val="es-ES_tradnl"/>
        </w:rPr>
        <w:t>e</w:t>
      </w:r>
      <w:r w:rsidRPr="00742BED">
        <w:rPr>
          <w:rFonts w:ascii="Arial" w:eastAsia="Calibri" w:hAnsi="Arial" w:cs="Arial"/>
          <w:color w:val="000000" w:themeColor="text1"/>
          <w:sz w:val="22"/>
          <w:lang w:val="es-ES_tradnl"/>
        </w:rPr>
        <w:t xml:space="preserve">, ya la entidad estatal no puede revisar la conformidad de la oferta económica con el presupuesto oficial –pues esto debió hacerlo antes de publicar el informe de evaluación–, ni intentar un acuerdo sobre el precio, como sí lo permitían los numerales 4 y 5 del artículo 2.2.1.2.1.3.2. del Decreto 1082 de 2015 en su redacción inicial. Lo que procede una vez resueltas las observaciones al informe de </w:t>
      </w:r>
      <w:r w:rsidR="00031011" w:rsidRPr="00742BED">
        <w:rPr>
          <w:rFonts w:ascii="Arial" w:eastAsia="Calibri" w:hAnsi="Arial" w:cs="Arial"/>
          <w:color w:val="000000" w:themeColor="text1"/>
          <w:sz w:val="22"/>
          <w:lang w:val="es-ES_tradnl"/>
        </w:rPr>
        <w:t>evaluación</w:t>
      </w:r>
      <w:r w:rsidRPr="00742BED">
        <w:rPr>
          <w:rFonts w:ascii="Arial" w:eastAsia="Calibri" w:hAnsi="Arial" w:cs="Arial"/>
          <w:color w:val="000000" w:themeColor="text1"/>
          <w:sz w:val="22"/>
          <w:lang w:val="es-ES_tradnl"/>
        </w:rPr>
        <w:t xml:space="preserve"> es la adjudicación del contrato o la declaratoria de desierta, si ninguno de los oferentes cumple los requisitos habilitantes.</w:t>
      </w:r>
    </w:p>
    <w:p w14:paraId="25936B74" w14:textId="77777777" w:rsidR="007F172C" w:rsidRPr="00742BED" w:rsidRDefault="007F172C" w:rsidP="007F172C">
      <w:pPr>
        <w:ind w:right="709"/>
        <w:jc w:val="both"/>
        <w:rPr>
          <w:rFonts w:ascii="Arial" w:hAnsi="Arial" w:cs="Arial"/>
          <w:color w:val="000000" w:themeColor="text1"/>
          <w:sz w:val="21"/>
          <w:szCs w:val="21"/>
          <w:lang w:val="es-ES_tradnl"/>
        </w:rPr>
      </w:pPr>
    </w:p>
    <w:p w14:paraId="412454CE" w14:textId="327E62B2" w:rsidR="00697010" w:rsidRPr="00742BED" w:rsidRDefault="00BA5D92" w:rsidP="00697010">
      <w:pPr>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w:t>
      </w:r>
      <w:r w:rsidR="00697010" w:rsidRPr="00742BED">
        <w:rPr>
          <w:rFonts w:ascii="Arial" w:hAnsi="Arial" w:cs="Arial"/>
          <w:color w:val="000000" w:themeColor="text1"/>
          <w:sz w:val="21"/>
          <w:szCs w:val="21"/>
          <w:lang w:val="es-ES_tradnl"/>
        </w:rPr>
        <w:t xml:space="preserve">[…] ¿La modificación introducida en el decreto 399 de 2021, en </w:t>
      </w:r>
      <w:r w:rsidR="00F57FB7" w:rsidRPr="00742BED">
        <w:rPr>
          <w:rFonts w:ascii="Arial" w:hAnsi="Arial" w:cs="Arial"/>
          <w:color w:val="000000" w:themeColor="text1"/>
          <w:sz w:val="21"/>
          <w:szCs w:val="21"/>
          <w:lang w:val="es-ES_tradnl"/>
        </w:rPr>
        <w:t>relación</w:t>
      </w:r>
      <w:r w:rsidR="00697010" w:rsidRPr="00742BED">
        <w:rPr>
          <w:rFonts w:ascii="Arial" w:hAnsi="Arial" w:cs="Arial"/>
          <w:color w:val="000000" w:themeColor="text1"/>
          <w:sz w:val="21"/>
          <w:szCs w:val="21"/>
          <w:lang w:val="es-ES_tradnl"/>
        </w:rPr>
        <w:t xml:space="preserve"> con lo que establece el </w:t>
      </w:r>
      <w:r w:rsidR="00F57FB7" w:rsidRPr="00742BED">
        <w:rPr>
          <w:rFonts w:ascii="Arial" w:hAnsi="Arial" w:cs="Arial"/>
          <w:color w:val="000000" w:themeColor="text1"/>
          <w:sz w:val="21"/>
          <w:szCs w:val="21"/>
          <w:lang w:val="es-ES_tradnl"/>
        </w:rPr>
        <w:t>artículo</w:t>
      </w:r>
      <w:r w:rsidR="00697010" w:rsidRPr="00742BED">
        <w:rPr>
          <w:rFonts w:ascii="Arial" w:hAnsi="Arial" w:cs="Arial"/>
          <w:color w:val="000000" w:themeColor="text1"/>
          <w:sz w:val="21"/>
          <w:szCs w:val="21"/>
          <w:lang w:val="es-ES_tradnl"/>
        </w:rPr>
        <w:t xml:space="preserve"> 2, conlleva </w:t>
      </w:r>
      <w:r w:rsidR="00F57FB7" w:rsidRPr="00742BED">
        <w:rPr>
          <w:rFonts w:ascii="Arial" w:hAnsi="Arial" w:cs="Arial"/>
          <w:color w:val="000000" w:themeColor="text1"/>
          <w:sz w:val="21"/>
          <w:szCs w:val="21"/>
          <w:lang w:val="es-ES_tradnl"/>
        </w:rPr>
        <w:t>algún</w:t>
      </w:r>
      <w:r w:rsidR="00697010" w:rsidRPr="00742BED">
        <w:rPr>
          <w:rFonts w:ascii="Arial" w:hAnsi="Arial" w:cs="Arial"/>
          <w:color w:val="000000" w:themeColor="text1"/>
          <w:sz w:val="21"/>
          <w:szCs w:val="21"/>
          <w:lang w:val="es-ES_tradnl"/>
        </w:rPr>
        <w:t xml:space="preserve"> ajuste en el </w:t>
      </w:r>
      <w:proofErr w:type="spellStart"/>
      <w:r w:rsidR="00697010" w:rsidRPr="00742BED">
        <w:rPr>
          <w:rFonts w:ascii="Arial" w:hAnsi="Arial" w:cs="Arial"/>
          <w:color w:val="000000" w:themeColor="text1"/>
          <w:sz w:val="21"/>
          <w:szCs w:val="21"/>
          <w:lang w:val="es-ES_tradnl"/>
        </w:rPr>
        <w:t>Secop</w:t>
      </w:r>
      <w:proofErr w:type="spellEnd"/>
      <w:r w:rsidR="00697010" w:rsidRPr="00742BED">
        <w:rPr>
          <w:rFonts w:ascii="Arial" w:hAnsi="Arial" w:cs="Arial"/>
          <w:color w:val="000000" w:themeColor="text1"/>
          <w:sz w:val="21"/>
          <w:szCs w:val="21"/>
          <w:lang w:val="es-ES_tradnl"/>
        </w:rPr>
        <w:t xml:space="preserve"> II?</w:t>
      </w:r>
      <w:r w:rsidRPr="00742BED">
        <w:rPr>
          <w:rFonts w:ascii="Arial" w:hAnsi="Arial" w:cs="Arial"/>
          <w:color w:val="000000" w:themeColor="text1"/>
          <w:sz w:val="21"/>
          <w:szCs w:val="21"/>
          <w:lang w:val="es-ES_tradnl"/>
        </w:rPr>
        <w:t>»</w:t>
      </w:r>
    </w:p>
    <w:p w14:paraId="29D63BC7" w14:textId="28F53EE2" w:rsidR="00697010" w:rsidRPr="00742BED" w:rsidRDefault="00697010" w:rsidP="00697010">
      <w:pPr>
        <w:ind w:left="709" w:right="709"/>
        <w:jc w:val="both"/>
        <w:rPr>
          <w:rFonts w:ascii="Arial" w:hAnsi="Arial" w:cs="Arial"/>
          <w:color w:val="000000" w:themeColor="text1"/>
          <w:sz w:val="21"/>
          <w:szCs w:val="21"/>
          <w:lang w:val="es-ES_tradnl"/>
        </w:rPr>
      </w:pPr>
    </w:p>
    <w:p w14:paraId="637A2D01" w14:textId="6FDFBD96" w:rsidR="00C4709B" w:rsidRPr="00742BED" w:rsidRDefault="007E2FEB" w:rsidP="00C4709B">
      <w:pPr>
        <w:spacing w:line="276" w:lineRule="auto"/>
        <w:jc w:val="both"/>
        <w:rPr>
          <w:rFonts w:ascii="Arial" w:hAnsi="Arial" w:cs="Arial"/>
          <w:sz w:val="22"/>
          <w:szCs w:val="22"/>
          <w:lang w:val="es-ES_tradnl"/>
        </w:rPr>
      </w:pPr>
      <w:r w:rsidRPr="00742BED">
        <w:rPr>
          <w:rFonts w:ascii="Arial" w:hAnsi="Arial" w:cs="Arial"/>
          <w:sz w:val="22"/>
          <w:szCs w:val="22"/>
          <w:lang w:val="es-ES_tradnl"/>
        </w:rPr>
        <w:t>Como se expresó en las consideraciones de este concepto, l</w:t>
      </w:r>
      <w:r w:rsidR="00B211C6" w:rsidRPr="00742BED">
        <w:rPr>
          <w:rFonts w:ascii="Arial" w:hAnsi="Arial" w:cs="Arial"/>
          <w:sz w:val="22"/>
          <w:szCs w:val="22"/>
          <w:lang w:val="es-ES_tradnl"/>
        </w:rPr>
        <w:t xml:space="preserve">a Subdirección de Información y Desarrollo Tecnológico de la Agencia Nacional de Contratación Pública – Colombia Compra Eficiente actualmente </w:t>
      </w:r>
      <w:r w:rsidRPr="00742BED">
        <w:rPr>
          <w:rFonts w:ascii="Arial" w:hAnsi="Arial" w:cs="Arial"/>
          <w:sz w:val="22"/>
          <w:szCs w:val="22"/>
          <w:lang w:val="es-ES_tradnl"/>
        </w:rPr>
        <w:t>está realizando los trámites administrativos y presupuestales necesarios para hacer los ajustes que requiere el SECOP II</w:t>
      </w:r>
      <w:r w:rsidR="002E6F4A" w:rsidRPr="00742BED">
        <w:rPr>
          <w:rFonts w:ascii="Arial" w:hAnsi="Arial" w:cs="Arial"/>
          <w:sz w:val="22"/>
          <w:szCs w:val="22"/>
          <w:lang w:val="es-ES_tradnl"/>
        </w:rPr>
        <w:t>,</w:t>
      </w:r>
      <w:r w:rsidR="00CA2697" w:rsidRPr="00742BED">
        <w:rPr>
          <w:rFonts w:ascii="Arial" w:hAnsi="Arial" w:cs="Arial"/>
          <w:sz w:val="22"/>
          <w:szCs w:val="22"/>
          <w:lang w:val="es-ES_tradnl"/>
        </w:rPr>
        <w:t xml:space="preserve"> de manera que se adecue a las exigencias del artículo 2 del Decreto 399 de 2021.</w:t>
      </w:r>
      <w:r w:rsidR="00F51991" w:rsidRPr="00742BED">
        <w:rPr>
          <w:rFonts w:ascii="Arial" w:hAnsi="Arial" w:cs="Arial"/>
          <w:sz w:val="22"/>
          <w:szCs w:val="22"/>
          <w:lang w:val="es-ES_tradnl"/>
        </w:rPr>
        <w:t xml:space="preserve"> De otro lado, como se expresó en las consideraciones, esta Agencia expidió la </w:t>
      </w:r>
      <w:r w:rsidR="00F51991" w:rsidRPr="00742BED">
        <w:rPr>
          <w:rFonts w:ascii="Arial" w:eastAsia="Calibri" w:hAnsi="Arial" w:cs="Arial"/>
          <w:color w:val="000000" w:themeColor="text1"/>
          <w:sz w:val="22"/>
          <w:lang w:val="es-ES_tradnl"/>
        </w:rPr>
        <w:t>Circular Externa 002 del 8 de junio de 2021, donde se estableció que mientras se realizan los ajustes a la plataforma del SECOP II, de manera que resulte acorde con la regulación establecida por el Decreto 399 de 2021, las entidades estatales adelantarán los concursos de méritos transitoriamente en la plataforma SECOP I.</w:t>
      </w:r>
    </w:p>
    <w:p w14:paraId="341E0552" w14:textId="77777777" w:rsidR="00C4709B" w:rsidRPr="00742BED" w:rsidRDefault="00C4709B" w:rsidP="00697010">
      <w:pPr>
        <w:ind w:left="709" w:right="709"/>
        <w:jc w:val="both"/>
        <w:rPr>
          <w:rFonts w:ascii="Arial" w:hAnsi="Arial" w:cs="Arial"/>
          <w:color w:val="000000" w:themeColor="text1"/>
          <w:sz w:val="21"/>
          <w:szCs w:val="21"/>
          <w:lang w:val="es-ES_tradnl"/>
        </w:rPr>
      </w:pPr>
    </w:p>
    <w:p w14:paraId="549BF304" w14:textId="44FE8B39" w:rsidR="00697010" w:rsidRPr="00742BED" w:rsidRDefault="009D77B9" w:rsidP="00697010">
      <w:pPr>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w:t>
      </w:r>
      <w:r w:rsidR="00697010" w:rsidRPr="00742BED">
        <w:rPr>
          <w:rFonts w:ascii="Arial" w:hAnsi="Arial" w:cs="Arial"/>
          <w:color w:val="000000" w:themeColor="text1"/>
          <w:sz w:val="21"/>
          <w:szCs w:val="21"/>
          <w:lang w:val="es-ES_tradnl"/>
        </w:rPr>
        <w:t>[…] ¿</w:t>
      </w:r>
      <w:r w:rsidR="00F57FB7" w:rsidRPr="00742BED">
        <w:rPr>
          <w:rFonts w:ascii="Arial" w:hAnsi="Arial" w:cs="Arial"/>
          <w:color w:val="000000" w:themeColor="text1"/>
          <w:sz w:val="21"/>
          <w:szCs w:val="21"/>
          <w:lang w:val="es-ES_tradnl"/>
        </w:rPr>
        <w:t>Cuál</w:t>
      </w:r>
      <w:r w:rsidR="00697010" w:rsidRPr="00742BED">
        <w:rPr>
          <w:rFonts w:ascii="Arial" w:hAnsi="Arial" w:cs="Arial"/>
          <w:color w:val="000000" w:themeColor="text1"/>
          <w:sz w:val="21"/>
          <w:szCs w:val="21"/>
          <w:lang w:val="es-ES_tradnl"/>
        </w:rPr>
        <w:t xml:space="preserve"> es la </w:t>
      </w:r>
      <w:r w:rsidR="00F57FB7" w:rsidRPr="00742BED">
        <w:rPr>
          <w:rFonts w:ascii="Arial" w:hAnsi="Arial" w:cs="Arial"/>
          <w:color w:val="000000" w:themeColor="text1"/>
          <w:sz w:val="21"/>
          <w:szCs w:val="21"/>
          <w:lang w:val="es-ES_tradnl"/>
        </w:rPr>
        <w:t>posición</w:t>
      </w:r>
      <w:r w:rsidR="00697010" w:rsidRPr="00742BED">
        <w:rPr>
          <w:rFonts w:ascii="Arial" w:hAnsi="Arial" w:cs="Arial"/>
          <w:color w:val="000000" w:themeColor="text1"/>
          <w:sz w:val="21"/>
          <w:szCs w:val="21"/>
          <w:lang w:val="es-ES_tradnl"/>
        </w:rPr>
        <w:t xml:space="preserve"> o fundamento </w:t>
      </w:r>
      <w:r w:rsidR="00F57FB7" w:rsidRPr="00742BED">
        <w:rPr>
          <w:rFonts w:ascii="Arial" w:hAnsi="Arial" w:cs="Arial"/>
          <w:color w:val="000000" w:themeColor="text1"/>
          <w:sz w:val="21"/>
          <w:szCs w:val="21"/>
          <w:lang w:val="es-ES_tradnl"/>
        </w:rPr>
        <w:t>jurídico</w:t>
      </w:r>
      <w:r w:rsidR="00697010" w:rsidRPr="00742BED">
        <w:rPr>
          <w:rFonts w:ascii="Arial" w:hAnsi="Arial" w:cs="Arial"/>
          <w:color w:val="000000" w:themeColor="text1"/>
          <w:sz w:val="21"/>
          <w:szCs w:val="21"/>
          <w:lang w:val="es-ES_tradnl"/>
        </w:rPr>
        <w:t xml:space="preserve"> para establecer en el criterio de desempate de la mujer cabeza de familia o </w:t>
      </w:r>
      <w:r w:rsidR="00F57FB7" w:rsidRPr="00742BED">
        <w:rPr>
          <w:rFonts w:ascii="Arial" w:hAnsi="Arial" w:cs="Arial"/>
          <w:color w:val="000000" w:themeColor="text1"/>
          <w:sz w:val="21"/>
          <w:szCs w:val="21"/>
          <w:lang w:val="es-ES_tradnl"/>
        </w:rPr>
        <w:t>víctima</w:t>
      </w:r>
      <w:r w:rsidR="00697010" w:rsidRPr="00742BED">
        <w:rPr>
          <w:rFonts w:ascii="Arial" w:hAnsi="Arial" w:cs="Arial"/>
          <w:color w:val="000000" w:themeColor="text1"/>
          <w:sz w:val="21"/>
          <w:szCs w:val="21"/>
          <w:lang w:val="es-ES_tradnl"/>
        </w:rPr>
        <w:t xml:space="preserve"> de la violencia deba tener una </w:t>
      </w:r>
      <w:r w:rsidR="00F57FB7" w:rsidRPr="00742BED">
        <w:rPr>
          <w:rFonts w:ascii="Arial" w:hAnsi="Arial" w:cs="Arial"/>
          <w:color w:val="000000" w:themeColor="text1"/>
          <w:sz w:val="21"/>
          <w:szCs w:val="21"/>
          <w:lang w:val="es-ES_tradnl"/>
        </w:rPr>
        <w:t>participación</w:t>
      </w:r>
      <w:r w:rsidR="00697010" w:rsidRPr="00742BED">
        <w:rPr>
          <w:rFonts w:ascii="Arial" w:hAnsi="Arial" w:cs="Arial"/>
          <w:color w:val="000000" w:themeColor="text1"/>
          <w:sz w:val="21"/>
          <w:szCs w:val="21"/>
          <w:lang w:val="es-ES_tradnl"/>
        </w:rPr>
        <w:t xml:space="preserve"> mayor al 50%? (sic). Lo anterior, teniendo en cuenta que la Ley hace referencia </w:t>
      </w:r>
      <w:r w:rsidR="00F57FB7" w:rsidRPr="00742BED">
        <w:rPr>
          <w:rFonts w:ascii="Arial" w:hAnsi="Arial" w:cs="Arial"/>
          <w:color w:val="000000" w:themeColor="text1"/>
          <w:sz w:val="21"/>
          <w:szCs w:val="21"/>
          <w:lang w:val="es-ES_tradnl"/>
        </w:rPr>
        <w:t>únicamente</w:t>
      </w:r>
      <w:r w:rsidR="00697010" w:rsidRPr="00742BED">
        <w:rPr>
          <w:rFonts w:ascii="Arial" w:hAnsi="Arial" w:cs="Arial"/>
          <w:color w:val="000000" w:themeColor="text1"/>
          <w:sz w:val="21"/>
          <w:szCs w:val="21"/>
          <w:lang w:val="es-ES_tradnl"/>
        </w:rPr>
        <w:t xml:space="preserve"> a "</w:t>
      </w:r>
      <w:r w:rsidR="00F57FB7" w:rsidRPr="00742BED">
        <w:rPr>
          <w:rFonts w:ascii="Arial" w:hAnsi="Arial" w:cs="Arial"/>
          <w:color w:val="000000" w:themeColor="text1"/>
          <w:sz w:val="21"/>
          <w:szCs w:val="21"/>
          <w:lang w:val="es-ES_tradnl"/>
        </w:rPr>
        <w:t>participación</w:t>
      </w:r>
      <w:r w:rsidR="00697010" w:rsidRPr="00742BED">
        <w:rPr>
          <w:rFonts w:ascii="Arial" w:hAnsi="Arial" w:cs="Arial"/>
          <w:color w:val="000000" w:themeColor="text1"/>
          <w:sz w:val="21"/>
          <w:szCs w:val="21"/>
          <w:lang w:val="es-ES_tradnl"/>
        </w:rPr>
        <w:t xml:space="preserve"> mayoritaria" pero no dispone que la misma sea o deba ser igual al 50%. No obstante, los documentos expedidos para la </w:t>
      </w:r>
      <w:r w:rsidR="00907E97" w:rsidRPr="00742BED">
        <w:rPr>
          <w:rFonts w:ascii="Arial" w:hAnsi="Arial" w:cs="Arial"/>
          <w:color w:val="000000" w:themeColor="text1"/>
          <w:sz w:val="21"/>
          <w:szCs w:val="21"/>
          <w:lang w:val="es-ES_tradnl"/>
        </w:rPr>
        <w:t>acreditación</w:t>
      </w:r>
      <w:r w:rsidR="00697010" w:rsidRPr="00742BED">
        <w:rPr>
          <w:rFonts w:ascii="Arial" w:hAnsi="Arial" w:cs="Arial"/>
          <w:color w:val="000000" w:themeColor="text1"/>
          <w:sz w:val="21"/>
          <w:szCs w:val="21"/>
          <w:lang w:val="es-ES_tradnl"/>
        </w:rPr>
        <w:t xml:space="preserve"> de estos requisitos en los acuerdos marco e inclusive en procesos de la Entidad, sí lo establecen de esta manera. Luego, porque (sic) no se aplica una </w:t>
      </w:r>
      <w:r w:rsidR="00907E97" w:rsidRPr="00742BED">
        <w:rPr>
          <w:rFonts w:ascii="Arial" w:hAnsi="Arial" w:cs="Arial"/>
          <w:color w:val="000000" w:themeColor="text1"/>
          <w:sz w:val="21"/>
          <w:szCs w:val="21"/>
          <w:lang w:val="es-ES_tradnl"/>
        </w:rPr>
        <w:t>mayoría</w:t>
      </w:r>
      <w:r w:rsidR="00697010" w:rsidRPr="00742BED">
        <w:rPr>
          <w:rFonts w:ascii="Arial" w:hAnsi="Arial" w:cs="Arial"/>
          <w:color w:val="000000" w:themeColor="text1"/>
          <w:sz w:val="21"/>
          <w:szCs w:val="21"/>
          <w:lang w:val="es-ES_tradnl"/>
        </w:rPr>
        <w:t xml:space="preserve"> simple para </w:t>
      </w:r>
      <w:r w:rsidR="00907E97" w:rsidRPr="00742BED">
        <w:rPr>
          <w:rFonts w:ascii="Arial" w:hAnsi="Arial" w:cs="Arial"/>
          <w:color w:val="000000" w:themeColor="text1"/>
          <w:sz w:val="21"/>
          <w:szCs w:val="21"/>
          <w:lang w:val="es-ES_tradnl"/>
        </w:rPr>
        <w:t>acreditación</w:t>
      </w:r>
      <w:r w:rsidR="00697010" w:rsidRPr="00742BED">
        <w:rPr>
          <w:rFonts w:ascii="Arial" w:hAnsi="Arial" w:cs="Arial"/>
          <w:color w:val="000000" w:themeColor="text1"/>
          <w:sz w:val="21"/>
          <w:szCs w:val="21"/>
          <w:lang w:val="es-ES_tradnl"/>
        </w:rPr>
        <w:t xml:space="preserve"> de dicho criterio, es decir, por </w:t>
      </w:r>
      <w:r w:rsidR="00697010" w:rsidRPr="00742BED">
        <w:rPr>
          <w:rFonts w:ascii="Arial" w:hAnsi="Arial" w:cs="Arial"/>
          <w:color w:val="000000" w:themeColor="text1"/>
          <w:sz w:val="21"/>
          <w:szCs w:val="21"/>
          <w:lang w:val="es-ES_tradnl"/>
        </w:rPr>
        <w:lastRenderedPageBreak/>
        <w:t xml:space="preserve">ejemplo: preferir a una persona </w:t>
      </w:r>
      <w:r w:rsidR="00907E97" w:rsidRPr="00742BED">
        <w:rPr>
          <w:rFonts w:ascii="Arial" w:hAnsi="Arial" w:cs="Arial"/>
          <w:color w:val="000000" w:themeColor="text1"/>
          <w:sz w:val="21"/>
          <w:szCs w:val="21"/>
          <w:lang w:val="es-ES_tradnl"/>
        </w:rPr>
        <w:t>jurídica</w:t>
      </w:r>
      <w:r w:rsidR="00697010" w:rsidRPr="00742BED">
        <w:rPr>
          <w:rFonts w:ascii="Arial" w:hAnsi="Arial" w:cs="Arial"/>
          <w:color w:val="000000" w:themeColor="text1"/>
          <w:sz w:val="21"/>
          <w:szCs w:val="21"/>
          <w:lang w:val="es-ES_tradnl"/>
        </w:rPr>
        <w:t xml:space="preserve"> cuya </w:t>
      </w:r>
      <w:r w:rsidR="00907E97" w:rsidRPr="00742BED">
        <w:rPr>
          <w:rFonts w:ascii="Arial" w:hAnsi="Arial" w:cs="Arial"/>
          <w:color w:val="000000" w:themeColor="text1"/>
          <w:sz w:val="21"/>
          <w:szCs w:val="21"/>
          <w:lang w:val="es-ES_tradnl"/>
        </w:rPr>
        <w:t>participación</w:t>
      </w:r>
      <w:r w:rsidR="00697010" w:rsidRPr="00742BED">
        <w:rPr>
          <w:rFonts w:ascii="Arial" w:hAnsi="Arial" w:cs="Arial"/>
          <w:color w:val="000000" w:themeColor="text1"/>
          <w:sz w:val="21"/>
          <w:szCs w:val="21"/>
          <w:lang w:val="es-ES_tradnl"/>
        </w:rPr>
        <w:t xml:space="preserve"> se divida en 34% para la mujer en las condiciones referidas en la Ley; 33% y 33% para los </w:t>
      </w:r>
      <w:r w:rsidR="00907E97" w:rsidRPr="00742BED">
        <w:rPr>
          <w:rFonts w:ascii="Arial" w:hAnsi="Arial" w:cs="Arial"/>
          <w:color w:val="000000" w:themeColor="text1"/>
          <w:sz w:val="21"/>
          <w:szCs w:val="21"/>
          <w:lang w:val="es-ES_tradnl"/>
        </w:rPr>
        <w:t>demás</w:t>
      </w:r>
      <w:r w:rsidR="00697010" w:rsidRPr="00742BED">
        <w:rPr>
          <w:rFonts w:ascii="Arial" w:hAnsi="Arial" w:cs="Arial"/>
          <w:color w:val="000000" w:themeColor="text1"/>
          <w:sz w:val="21"/>
          <w:szCs w:val="21"/>
          <w:lang w:val="es-ES_tradnl"/>
        </w:rPr>
        <w:t xml:space="preserve"> miembros?</w:t>
      </w:r>
      <w:r w:rsidRPr="00742BED">
        <w:rPr>
          <w:rFonts w:ascii="Arial" w:hAnsi="Arial" w:cs="Arial"/>
          <w:color w:val="000000" w:themeColor="text1"/>
          <w:sz w:val="21"/>
          <w:szCs w:val="21"/>
          <w:lang w:val="es-ES_tradnl"/>
        </w:rPr>
        <w:t>»</w:t>
      </w:r>
    </w:p>
    <w:p w14:paraId="7DC6D08B" w14:textId="48BFB3F9" w:rsidR="00697010" w:rsidRPr="00742BED" w:rsidRDefault="00697010" w:rsidP="00697010">
      <w:pPr>
        <w:ind w:left="709" w:right="709"/>
        <w:jc w:val="both"/>
        <w:rPr>
          <w:rFonts w:ascii="Arial" w:hAnsi="Arial" w:cs="Arial"/>
          <w:color w:val="000000" w:themeColor="text1"/>
          <w:sz w:val="21"/>
          <w:szCs w:val="21"/>
          <w:lang w:val="es-ES_tradnl"/>
        </w:rPr>
      </w:pPr>
    </w:p>
    <w:p w14:paraId="2459FE34" w14:textId="1D28CC3E" w:rsidR="007F2BEC" w:rsidRPr="00742BED" w:rsidRDefault="007F2BEC" w:rsidP="007F2BEC">
      <w:pPr>
        <w:spacing w:after="120" w:line="276" w:lineRule="auto"/>
        <w:jc w:val="both"/>
        <w:rPr>
          <w:rFonts w:ascii="Arial" w:hAnsi="Arial" w:cs="Arial"/>
          <w:sz w:val="22"/>
          <w:szCs w:val="22"/>
          <w:lang w:val="es-ES_tradnl"/>
        </w:rPr>
      </w:pPr>
      <w:r w:rsidRPr="00742BED">
        <w:rPr>
          <w:rFonts w:ascii="Arial" w:hAnsi="Arial" w:cs="Arial"/>
          <w:sz w:val="22"/>
          <w:szCs w:val="22"/>
          <w:lang w:val="es-ES_tradnl"/>
        </w:rPr>
        <w:t xml:space="preserve">El artículo 35, numeral 2, de la Ley 2069 de 2020 utiliza un concepto jurídico indeterminado, cuando se refiere a la participación mayoritaria de las mujeres cabeza de familia o mujeres víctimas de la violencia intrafamiliar en la persona jurídica. El decreto reglamentario que se expida podría precisar con mayor claridad este requisito. A menos de indicarse lo contrario en dicha reglamentación, debe aplicarse lo dispuesto en el artículo 28 del Código Civil, según el cual «Las palabras de la ley se entenderán en su sentido natural y obvio, según el uso general de las mismas palabras; pero cuando el legislador las haya definido expresamente para ciertas materias, se les dará en éstas su significado legal». </w:t>
      </w:r>
    </w:p>
    <w:p w14:paraId="2B79C51E" w14:textId="6F8A2AD7" w:rsidR="007F2BEC" w:rsidRPr="00742BED" w:rsidRDefault="007F2BEC" w:rsidP="007F2BEC">
      <w:pPr>
        <w:spacing w:line="276" w:lineRule="auto"/>
        <w:ind w:firstLine="708"/>
        <w:jc w:val="both"/>
        <w:rPr>
          <w:rFonts w:ascii="Arial" w:hAnsi="Arial" w:cs="Arial"/>
          <w:sz w:val="22"/>
          <w:szCs w:val="22"/>
          <w:lang w:val="es-ES_tradnl"/>
        </w:rPr>
      </w:pPr>
      <w:r w:rsidRPr="00742BED">
        <w:rPr>
          <w:rFonts w:ascii="Arial" w:hAnsi="Arial" w:cs="Arial"/>
          <w:sz w:val="22"/>
          <w:szCs w:val="22"/>
          <w:lang w:val="es-ES_tradnl"/>
        </w:rPr>
        <w:t xml:space="preserve">En tal sentido, teniendo en cuenta que no hay definición legal expresa, el Diccionario de la Lengua Española dice que «participar» es «Tener parte en una sociedad o negocio o ser socio de ellos». Esta noción es acorde con el derecho societario, en el cual se indica que la participación recae en algunos casos en proporción a las acciones –en las sociedades por acciones– o de acuerdo </w:t>
      </w:r>
      <w:r w:rsidR="00F51991" w:rsidRPr="00742BED">
        <w:rPr>
          <w:rFonts w:ascii="Arial" w:hAnsi="Arial" w:cs="Arial"/>
          <w:sz w:val="22"/>
          <w:szCs w:val="22"/>
          <w:lang w:val="es-ES_tradnl"/>
        </w:rPr>
        <w:t>con</w:t>
      </w:r>
      <w:r w:rsidRPr="00742BED">
        <w:rPr>
          <w:rFonts w:ascii="Arial" w:hAnsi="Arial" w:cs="Arial"/>
          <w:sz w:val="22"/>
          <w:szCs w:val="22"/>
          <w:lang w:val="es-ES_tradnl"/>
        </w:rPr>
        <w:t xml:space="preserve"> la industria o trabajo personal del socio –como sucede usualmente en las sociedades de personas–. Así lo señalan, entre otros, los artículos 130, 137, 138, 141, 150, 380 y 462 del Código de Comercio. </w:t>
      </w:r>
    </w:p>
    <w:p w14:paraId="798BDA86" w14:textId="7382002D" w:rsidR="007F2BEC" w:rsidRPr="00742BED" w:rsidRDefault="007F2BEC" w:rsidP="007F2BEC">
      <w:pPr>
        <w:spacing w:before="120" w:line="276" w:lineRule="auto"/>
        <w:ind w:firstLine="709"/>
        <w:jc w:val="both"/>
        <w:rPr>
          <w:rFonts w:ascii="Arial" w:hAnsi="Arial" w:cs="Arial"/>
          <w:sz w:val="22"/>
          <w:szCs w:val="22"/>
          <w:lang w:val="es-ES_tradnl"/>
        </w:rPr>
      </w:pPr>
      <w:r w:rsidRPr="00742BED">
        <w:rPr>
          <w:rFonts w:ascii="Arial" w:hAnsi="Arial" w:cs="Arial"/>
          <w:sz w:val="22"/>
          <w:szCs w:val="22"/>
          <w:lang w:val="es-ES_tradnl"/>
        </w:rPr>
        <w:t xml:space="preserve">Por lo tanto, de conformidad con el artículo 35, numeral 2 de la Ley 2069 de 2020, si en un procedimiento de selección se presenta una persona jurídica </w:t>
      </w:r>
      <w:r w:rsidR="00F51991" w:rsidRPr="00742BED">
        <w:rPr>
          <w:rFonts w:ascii="Arial" w:hAnsi="Arial" w:cs="Arial"/>
          <w:sz w:val="22"/>
          <w:szCs w:val="22"/>
          <w:lang w:val="es-ES_tradnl"/>
        </w:rPr>
        <w:t>en la</w:t>
      </w:r>
      <w:r w:rsidRPr="00742BED">
        <w:rPr>
          <w:rFonts w:ascii="Arial" w:hAnsi="Arial" w:cs="Arial"/>
          <w:sz w:val="22"/>
          <w:szCs w:val="22"/>
          <w:lang w:val="es-ES_tradnl"/>
        </w:rPr>
        <w:t xml:space="preserve"> que la participación mayoritaria –o sea, mayor al 50%–, se prefiere a este sobre los demás oferentes. Teniendo en cuenta que participar debe entenderse –a menos que el reglamento disponga lo contrario– como tomar parte en la sociedad, de acuerdo </w:t>
      </w:r>
      <w:r w:rsidR="00F51991" w:rsidRPr="00742BED">
        <w:rPr>
          <w:rFonts w:ascii="Arial" w:hAnsi="Arial" w:cs="Arial"/>
          <w:sz w:val="22"/>
          <w:szCs w:val="22"/>
          <w:lang w:val="es-ES_tradnl"/>
        </w:rPr>
        <w:t xml:space="preserve">con el </w:t>
      </w:r>
      <w:r w:rsidRPr="00742BED">
        <w:rPr>
          <w:rFonts w:ascii="Arial" w:hAnsi="Arial" w:cs="Arial"/>
          <w:sz w:val="22"/>
          <w:szCs w:val="22"/>
          <w:lang w:val="es-ES_tradnl"/>
        </w:rPr>
        <w:t>aporte en dinero o trabajo, esta Agencia considera que no basta con que una mujer cabeza de familia o víctima de la violencia intrafamiliar esté vinculada laboralmente o prestando un servicio, para asumir que está «participando»</w:t>
      </w:r>
      <w:r w:rsidR="00F51991" w:rsidRPr="00742BED">
        <w:rPr>
          <w:rFonts w:ascii="Arial" w:hAnsi="Arial" w:cs="Arial"/>
          <w:sz w:val="22"/>
          <w:szCs w:val="22"/>
          <w:lang w:val="es-ES_tradnl"/>
        </w:rPr>
        <w:t xml:space="preserve">; </w:t>
      </w:r>
      <w:r w:rsidR="00F51991" w:rsidRPr="00742BED">
        <w:rPr>
          <w:rFonts w:ascii="Arial" w:hAnsi="Arial" w:cs="Arial"/>
          <w:color w:val="000000" w:themeColor="text1"/>
          <w:sz w:val="22"/>
          <w:szCs w:val="22"/>
          <w:lang w:val="es-ES_tradnl"/>
        </w:rPr>
        <w:t>sino que la participación debe entenderse en términos de la composición accionaria o cuotas parte.</w:t>
      </w:r>
    </w:p>
    <w:p w14:paraId="054B4397" w14:textId="773F569B" w:rsidR="007F2BEC" w:rsidRPr="00742BED" w:rsidRDefault="007F2BEC" w:rsidP="007F2BEC">
      <w:pPr>
        <w:spacing w:before="120" w:line="276" w:lineRule="auto"/>
        <w:ind w:firstLine="709"/>
        <w:jc w:val="both"/>
        <w:rPr>
          <w:rFonts w:ascii="Arial" w:hAnsi="Arial" w:cs="Arial"/>
          <w:sz w:val="22"/>
          <w:szCs w:val="22"/>
          <w:lang w:val="es-ES_tradnl"/>
        </w:rPr>
      </w:pPr>
      <w:r w:rsidRPr="00742BED">
        <w:rPr>
          <w:rFonts w:ascii="Arial" w:hAnsi="Arial" w:cs="Arial"/>
          <w:sz w:val="22"/>
          <w:szCs w:val="22"/>
          <w:lang w:val="es-ES_tradnl"/>
        </w:rPr>
        <w:t xml:space="preserve">En otras palabras, teniendo en cuenta que su consulta se refiere al entendimiento de la expresión «mayoritariamente», debe decirse que, si bien la norma en comento no definió lo que debe entenderse por «participación mayoritaria», se puede afirmar –acorde con el derecho societario– que por esta se entiende la posición de </w:t>
      </w:r>
      <w:r w:rsidR="00F51991" w:rsidRPr="00742BED">
        <w:rPr>
          <w:rFonts w:ascii="Arial" w:hAnsi="Arial" w:cs="Arial"/>
          <w:sz w:val="22"/>
          <w:szCs w:val="22"/>
          <w:lang w:val="es-ES_tradnl"/>
        </w:rPr>
        <w:t>algunos</w:t>
      </w:r>
      <w:r w:rsidRPr="00742BED">
        <w:rPr>
          <w:rFonts w:ascii="Arial" w:hAnsi="Arial" w:cs="Arial"/>
          <w:sz w:val="22"/>
          <w:szCs w:val="22"/>
          <w:lang w:val="es-ES_tradnl"/>
        </w:rPr>
        <w:t xml:space="preserve"> socio</w:t>
      </w:r>
      <w:r w:rsidR="00F51991" w:rsidRPr="00742BED">
        <w:rPr>
          <w:rFonts w:ascii="Arial" w:hAnsi="Arial" w:cs="Arial"/>
          <w:sz w:val="22"/>
          <w:szCs w:val="22"/>
          <w:lang w:val="es-ES_tradnl"/>
        </w:rPr>
        <w:t>s</w:t>
      </w:r>
      <w:r w:rsidRPr="00742BED">
        <w:rPr>
          <w:rFonts w:ascii="Arial" w:hAnsi="Arial" w:cs="Arial"/>
          <w:sz w:val="22"/>
          <w:szCs w:val="22"/>
          <w:lang w:val="es-ES_tradnl"/>
        </w:rPr>
        <w:t xml:space="preserve"> cuando tiene</w:t>
      </w:r>
      <w:r w:rsidR="00F51991" w:rsidRPr="00742BED">
        <w:rPr>
          <w:rFonts w:ascii="Arial" w:hAnsi="Arial" w:cs="Arial"/>
          <w:sz w:val="22"/>
          <w:szCs w:val="22"/>
          <w:lang w:val="es-ES_tradnl"/>
        </w:rPr>
        <w:t>n</w:t>
      </w:r>
      <w:r w:rsidRPr="00742BED">
        <w:rPr>
          <w:rFonts w:ascii="Arial" w:hAnsi="Arial" w:cs="Arial"/>
          <w:sz w:val="22"/>
          <w:szCs w:val="22"/>
          <w:lang w:val="es-ES_tradnl"/>
        </w:rPr>
        <w:t xml:space="preserve"> más del cincuenta por ciento (50%) de participación en la sociedad. Conforme a lo anterior, la expresión «mayoritariamente», contenida en el numeral 2 del artículo 35 de la ley 2069 de 2020 exige que las mujeres cabeza de familia o mujeres víctimas de la violencia </w:t>
      </w:r>
      <w:r w:rsidR="00031011" w:rsidRPr="00742BED">
        <w:rPr>
          <w:rFonts w:ascii="Arial" w:hAnsi="Arial" w:cs="Arial"/>
          <w:sz w:val="22"/>
          <w:szCs w:val="22"/>
          <w:lang w:val="es-ES_tradnl"/>
        </w:rPr>
        <w:t>intrafamiliar</w:t>
      </w:r>
      <w:r w:rsidRPr="00742BED">
        <w:rPr>
          <w:rFonts w:ascii="Arial" w:hAnsi="Arial" w:cs="Arial"/>
          <w:sz w:val="22"/>
          <w:szCs w:val="22"/>
          <w:lang w:val="es-ES_tradnl"/>
        </w:rPr>
        <w:t xml:space="preserve"> cuenten –singular o conjuntamente– con una participación superior al (50%) en la sociedad, para que esta pueda ser considerada como mayoritaria. Lo anterior sin perjuicio que, como se mencionó anteriormente, el gobierno nacional, por vía reglamentaria, le otorgue un alcance diferente al enunciado normativo analizado.</w:t>
      </w:r>
    </w:p>
    <w:p w14:paraId="7D684633" w14:textId="77777777" w:rsidR="007F2BEC" w:rsidRPr="00742BED" w:rsidRDefault="007F2BEC" w:rsidP="00697010">
      <w:pPr>
        <w:ind w:left="709" w:right="709"/>
        <w:jc w:val="both"/>
        <w:rPr>
          <w:rFonts w:ascii="Arial" w:hAnsi="Arial" w:cs="Arial"/>
          <w:color w:val="000000" w:themeColor="text1"/>
          <w:sz w:val="21"/>
          <w:szCs w:val="21"/>
          <w:lang w:val="es-ES_tradnl"/>
        </w:rPr>
      </w:pPr>
    </w:p>
    <w:p w14:paraId="4F3B5A82" w14:textId="2C66518D" w:rsidR="00697010" w:rsidRPr="00742BED" w:rsidRDefault="009D77B9" w:rsidP="009D77B9">
      <w:pPr>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lastRenderedPageBreak/>
        <w:t>«</w:t>
      </w:r>
      <w:r w:rsidR="00697010" w:rsidRPr="00742BED">
        <w:rPr>
          <w:rFonts w:ascii="Arial" w:hAnsi="Arial" w:cs="Arial"/>
          <w:color w:val="000000" w:themeColor="text1"/>
          <w:sz w:val="21"/>
          <w:szCs w:val="21"/>
          <w:lang w:val="es-ES_tradnl"/>
        </w:rPr>
        <w:t xml:space="preserve">[…] ¿Para la </w:t>
      </w:r>
      <w:r w:rsidR="00E5501E" w:rsidRPr="00742BED">
        <w:rPr>
          <w:rFonts w:ascii="Arial" w:hAnsi="Arial" w:cs="Arial"/>
          <w:color w:val="000000" w:themeColor="text1"/>
          <w:sz w:val="21"/>
          <w:szCs w:val="21"/>
          <w:lang w:val="es-ES_tradnl"/>
        </w:rPr>
        <w:t>aplicación</w:t>
      </w:r>
      <w:r w:rsidR="00697010" w:rsidRPr="00742BED">
        <w:rPr>
          <w:rFonts w:ascii="Arial" w:hAnsi="Arial" w:cs="Arial"/>
          <w:color w:val="000000" w:themeColor="text1"/>
          <w:sz w:val="21"/>
          <w:szCs w:val="21"/>
          <w:lang w:val="es-ES_tradnl"/>
        </w:rPr>
        <w:t xml:space="preserve"> del criterio de desempate de "Mujer </w:t>
      </w:r>
      <w:r w:rsidR="00E5501E" w:rsidRPr="00742BED">
        <w:rPr>
          <w:rFonts w:ascii="Arial" w:hAnsi="Arial" w:cs="Arial"/>
          <w:color w:val="000000" w:themeColor="text1"/>
          <w:sz w:val="21"/>
          <w:szCs w:val="21"/>
          <w:lang w:val="es-ES_tradnl"/>
        </w:rPr>
        <w:t>víctima</w:t>
      </w:r>
      <w:r w:rsidR="00697010" w:rsidRPr="00742BED">
        <w:rPr>
          <w:rFonts w:ascii="Arial" w:hAnsi="Arial" w:cs="Arial"/>
          <w:color w:val="000000" w:themeColor="text1"/>
          <w:sz w:val="21"/>
          <w:szCs w:val="21"/>
          <w:lang w:val="es-ES_tradnl"/>
        </w:rPr>
        <w:t xml:space="preserve"> de la violencia o cabeza de familia" ¿es aplicable el concepto de identidad de </w:t>
      </w:r>
      <w:r w:rsidR="00E5501E" w:rsidRPr="00742BED">
        <w:rPr>
          <w:rFonts w:ascii="Arial" w:hAnsi="Arial" w:cs="Arial"/>
          <w:color w:val="000000" w:themeColor="text1"/>
          <w:sz w:val="21"/>
          <w:szCs w:val="21"/>
          <w:lang w:val="es-ES_tradnl"/>
        </w:rPr>
        <w:t>género</w:t>
      </w:r>
      <w:r w:rsidR="00697010" w:rsidRPr="00742BED">
        <w:rPr>
          <w:rFonts w:ascii="Arial" w:hAnsi="Arial" w:cs="Arial"/>
          <w:color w:val="000000" w:themeColor="text1"/>
          <w:sz w:val="21"/>
          <w:szCs w:val="21"/>
          <w:lang w:val="es-ES_tradnl"/>
        </w:rPr>
        <w:t>?; en el evento en que la respuesta sea afirmativa, ¿</w:t>
      </w:r>
      <w:r w:rsidR="00E5501E" w:rsidRPr="00742BED">
        <w:rPr>
          <w:rFonts w:ascii="Arial" w:hAnsi="Arial" w:cs="Arial"/>
          <w:color w:val="000000" w:themeColor="text1"/>
          <w:sz w:val="21"/>
          <w:szCs w:val="21"/>
          <w:lang w:val="es-ES_tradnl"/>
        </w:rPr>
        <w:t>cómo</w:t>
      </w:r>
      <w:r w:rsidR="00697010" w:rsidRPr="00742BED">
        <w:rPr>
          <w:rFonts w:ascii="Arial" w:hAnsi="Arial" w:cs="Arial"/>
          <w:color w:val="000000" w:themeColor="text1"/>
          <w:sz w:val="21"/>
          <w:szCs w:val="21"/>
          <w:lang w:val="es-ES_tradnl"/>
        </w:rPr>
        <w:t xml:space="preserve"> se acredita?</w:t>
      </w:r>
      <w:r w:rsidRPr="00742BED">
        <w:rPr>
          <w:rFonts w:ascii="Arial" w:hAnsi="Arial" w:cs="Arial"/>
          <w:color w:val="000000" w:themeColor="text1"/>
          <w:sz w:val="21"/>
          <w:szCs w:val="21"/>
          <w:lang w:val="es-ES_tradnl"/>
        </w:rPr>
        <w:t>»</w:t>
      </w:r>
    </w:p>
    <w:p w14:paraId="330C0A5D" w14:textId="669EC211" w:rsidR="00697010" w:rsidRPr="00742BED" w:rsidRDefault="00697010" w:rsidP="00697010">
      <w:pPr>
        <w:ind w:left="709" w:right="709"/>
        <w:jc w:val="both"/>
        <w:rPr>
          <w:rFonts w:ascii="Arial" w:hAnsi="Arial" w:cs="Arial"/>
          <w:color w:val="000000" w:themeColor="text1"/>
          <w:sz w:val="21"/>
          <w:szCs w:val="21"/>
          <w:lang w:val="es-ES_tradnl"/>
        </w:rPr>
      </w:pPr>
    </w:p>
    <w:p w14:paraId="42F3D9B9" w14:textId="2F292AA2" w:rsidR="00CA6B2F" w:rsidRPr="00742BED" w:rsidRDefault="00CA6B2F" w:rsidP="002C6BAA">
      <w:pPr>
        <w:spacing w:line="276" w:lineRule="auto"/>
        <w:jc w:val="both"/>
        <w:rPr>
          <w:rFonts w:ascii="Arial" w:eastAsia="Calibri" w:hAnsi="Arial" w:cs="Arial"/>
          <w:color w:val="000000" w:themeColor="text1"/>
          <w:sz w:val="22"/>
          <w:szCs w:val="22"/>
          <w:lang w:val="es-ES_tradnl"/>
        </w:rPr>
      </w:pPr>
      <w:r w:rsidRPr="00742BED">
        <w:rPr>
          <w:rFonts w:ascii="Arial" w:eastAsia="Calibri" w:hAnsi="Arial" w:cs="Arial"/>
          <w:color w:val="000000" w:themeColor="text1"/>
          <w:sz w:val="22"/>
          <w:szCs w:val="22"/>
          <w:lang w:val="es-ES_tradnl"/>
        </w:rPr>
        <w:t>El numeral 2 del artículo 35</w:t>
      </w:r>
      <w:r w:rsidR="000F6084" w:rsidRPr="00742BED">
        <w:rPr>
          <w:rFonts w:ascii="Arial" w:eastAsia="Calibri" w:hAnsi="Arial" w:cs="Arial"/>
          <w:color w:val="000000" w:themeColor="text1"/>
          <w:sz w:val="22"/>
          <w:szCs w:val="22"/>
          <w:lang w:val="es-ES_tradnl"/>
        </w:rPr>
        <w:t xml:space="preserve"> no utiliza el concepto de identidad de género, sino de «</w:t>
      </w:r>
      <w:r w:rsidR="003872D3" w:rsidRPr="00742BED">
        <w:rPr>
          <w:rFonts w:ascii="Arial" w:eastAsia="Calibri" w:hAnsi="Arial" w:cs="Arial"/>
          <w:color w:val="000000" w:themeColor="text1"/>
          <w:sz w:val="22"/>
          <w:szCs w:val="22"/>
          <w:lang w:val="es-ES_tradnl"/>
        </w:rPr>
        <w:t>mujer cabeza de familia» y «mujeres víctimas de la violencia intrafamiliar»</w:t>
      </w:r>
      <w:r w:rsidR="000F6084" w:rsidRPr="00742BED">
        <w:rPr>
          <w:rFonts w:ascii="Arial" w:eastAsia="Calibri" w:hAnsi="Arial" w:cs="Arial"/>
          <w:color w:val="000000" w:themeColor="text1"/>
          <w:sz w:val="22"/>
          <w:szCs w:val="22"/>
          <w:lang w:val="es-ES_tradnl"/>
        </w:rPr>
        <w:t>.</w:t>
      </w:r>
      <w:r w:rsidR="003872D3" w:rsidRPr="00742BED">
        <w:rPr>
          <w:rFonts w:ascii="Arial" w:eastAsia="Calibri" w:hAnsi="Arial" w:cs="Arial"/>
          <w:color w:val="000000" w:themeColor="text1"/>
          <w:sz w:val="22"/>
          <w:szCs w:val="22"/>
          <w:lang w:val="es-ES_tradnl"/>
        </w:rPr>
        <w:t xml:space="preserve"> C</w:t>
      </w:r>
      <w:r w:rsidRPr="00742BED">
        <w:rPr>
          <w:rFonts w:ascii="Arial" w:eastAsia="Calibri" w:hAnsi="Arial" w:cs="Arial"/>
          <w:color w:val="000000" w:themeColor="text1"/>
          <w:sz w:val="22"/>
          <w:szCs w:val="22"/>
          <w:lang w:val="es-ES_tradnl"/>
        </w:rPr>
        <w:t>omo lo ha indicado la Corte Constitucional, «[…] la condición de padre o madre cabeza de familia se acredita cuando la persona (i) tiene la responsabilidad permanente de hijos menores o personas incapacitadas para trabajar, (ii) no cuenta con la ayuda de otros miembros de la familia y (iii) su pareja murió, está ausente de manera permanente o abandonó el hogar y se demuestra que esta se sustrae del cumplimiento de sus obligaciones, o cuando su pareja se encuentre presente pero no asuma la responsabilidad que le corresponde por motivos como la incapacidad física, sensorial, síquica o mental»</w:t>
      </w:r>
      <w:r w:rsidRPr="00742BED">
        <w:rPr>
          <w:rStyle w:val="Refdenotaalpie"/>
          <w:rFonts w:ascii="Arial" w:eastAsia="Calibri" w:hAnsi="Arial" w:cs="Arial"/>
          <w:color w:val="000000" w:themeColor="text1"/>
          <w:sz w:val="22"/>
          <w:szCs w:val="22"/>
          <w:lang w:val="es-ES_tradnl"/>
        </w:rPr>
        <w:footnoteReference w:id="40"/>
      </w:r>
      <w:r w:rsidRPr="00742BED">
        <w:rPr>
          <w:rFonts w:ascii="Arial" w:eastAsia="Calibri" w:hAnsi="Arial" w:cs="Arial"/>
          <w:color w:val="000000" w:themeColor="text1"/>
          <w:sz w:val="22"/>
          <w:szCs w:val="22"/>
          <w:lang w:val="es-ES_tradnl"/>
        </w:rPr>
        <w:t>. El proponente también podrá acreditar que la oferta ha sido presentada por mujeres víctimas de la violencia intrafamiliar, situación que, como también ha precisado la Corte Constitucional, se define como «[…] aquella que se propicia por el daño físico, emocional, sexual, psicológico o económico que se causa entre los miembros de la familia y al interior de la unidad doméstica. Esta se puede dar por acción u omisión de cualquier miembro de la familia»</w:t>
      </w:r>
      <w:r w:rsidRPr="00742BED">
        <w:rPr>
          <w:rStyle w:val="Refdenotaalpie"/>
          <w:rFonts w:ascii="Arial" w:eastAsia="Calibri" w:hAnsi="Arial" w:cs="Arial"/>
          <w:color w:val="000000" w:themeColor="text1"/>
          <w:sz w:val="22"/>
          <w:szCs w:val="22"/>
          <w:lang w:val="es-ES_tradnl"/>
        </w:rPr>
        <w:footnoteReference w:id="41"/>
      </w:r>
      <w:r w:rsidRPr="00742BED">
        <w:rPr>
          <w:rFonts w:ascii="Arial" w:eastAsia="Calibri" w:hAnsi="Arial" w:cs="Arial"/>
          <w:color w:val="000000" w:themeColor="text1"/>
          <w:sz w:val="22"/>
          <w:szCs w:val="22"/>
          <w:lang w:val="es-ES_tradnl"/>
        </w:rPr>
        <w:t xml:space="preserve">. </w:t>
      </w:r>
    </w:p>
    <w:p w14:paraId="1FF46640" w14:textId="77777777" w:rsidR="00CA6B2F" w:rsidRPr="00742BED" w:rsidRDefault="00CA6B2F" w:rsidP="00CA6B2F">
      <w:pPr>
        <w:spacing w:before="120" w:line="276" w:lineRule="auto"/>
        <w:ind w:firstLine="709"/>
        <w:jc w:val="both"/>
        <w:rPr>
          <w:rFonts w:ascii="Arial" w:hAnsi="Arial" w:cs="Arial"/>
          <w:color w:val="000000" w:themeColor="text1"/>
          <w:sz w:val="22"/>
          <w:szCs w:val="22"/>
          <w:lang w:val="es-ES_tradnl"/>
        </w:rPr>
      </w:pPr>
      <w:r w:rsidRPr="00742BED">
        <w:rPr>
          <w:rFonts w:ascii="Arial" w:hAnsi="Arial" w:cs="Arial"/>
          <w:color w:val="000000" w:themeColor="text1"/>
          <w:sz w:val="22"/>
          <w:szCs w:val="22"/>
          <w:lang w:val="es-ES_tradnl"/>
        </w:rPr>
        <w:t>El parágrafo del artículo 2 de la Ley 82 de 1993 –«Por la cual se expiden normas para apoyar de manera especial a la mujer cabeza de familia»– establece que «La condición de Mujer Cabeza de Familia y la cesación de la misma, desde el momento en que ocurra el respectivo evento, deberá ser declarada ante notario por cada una de ellas, expresando las circunstancias básicas del respectivo caso y sin que por este concepto se causen emolumentos notariales a su cargo». Por lo tanto, a menos que una norma posterior disponga lo contrario, tal declaración basta para acreditar la condición de mujer cabeza de familia</w:t>
      </w:r>
      <w:r w:rsidRPr="00742BED">
        <w:rPr>
          <w:rStyle w:val="Refdenotaalpie"/>
          <w:rFonts w:ascii="Arial" w:hAnsi="Arial" w:cs="Arial"/>
          <w:color w:val="000000" w:themeColor="text1"/>
          <w:sz w:val="22"/>
          <w:szCs w:val="22"/>
          <w:lang w:val="es-ES_tradnl"/>
        </w:rPr>
        <w:footnoteReference w:id="42"/>
      </w:r>
      <w:r w:rsidRPr="00742BED">
        <w:rPr>
          <w:rFonts w:ascii="Arial" w:hAnsi="Arial" w:cs="Arial"/>
          <w:color w:val="000000" w:themeColor="text1"/>
          <w:sz w:val="22"/>
          <w:szCs w:val="22"/>
          <w:lang w:val="es-ES_tradnl"/>
        </w:rPr>
        <w:t xml:space="preserve">. </w:t>
      </w:r>
    </w:p>
    <w:p w14:paraId="7E036922" w14:textId="77777777" w:rsidR="00CA6B2F" w:rsidRPr="00742BED" w:rsidRDefault="00CA6B2F" w:rsidP="00CA6B2F">
      <w:pPr>
        <w:spacing w:before="120" w:line="276" w:lineRule="auto"/>
        <w:ind w:firstLine="709"/>
        <w:jc w:val="both"/>
        <w:rPr>
          <w:rFonts w:ascii="Arial" w:hAnsi="Arial" w:cs="Arial"/>
          <w:color w:val="000000" w:themeColor="text1"/>
          <w:sz w:val="22"/>
          <w:szCs w:val="22"/>
          <w:lang w:val="es-ES_tradnl"/>
        </w:rPr>
      </w:pPr>
      <w:r w:rsidRPr="00742BED">
        <w:rPr>
          <w:rFonts w:ascii="Arial" w:hAnsi="Arial" w:cs="Arial"/>
          <w:color w:val="000000" w:themeColor="text1"/>
          <w:sz w:val="22"/>
          <w:szCs w:val="22"/>
          <w:lang w:val="es-ES_tradnl"/>
        </w:rPr>
        <w:t xml:space="preserve">Por su parte, el artículo 21 de la Ley 1257 de 2008, por la cual se dictan normas de sensibilización, prevención y sanción de formas de violencia y discriminación contra las mujeres, se reforman los Códigos Penal, de Procedimiento Penal, la Ley 294 de 1996 y se dictan otras disposiciones, dispone que «Las situaciones de violencia que dan lugar a la atención de las mujeres, sus hijos e hijas, se acreditarán con la medida de protección expedida por la autoridad competente, sin que puedan exigirse requisitos adicionales». Según los artículos 16 y 17 de la Ley 1257 de 2008, la medida de protección la debe impartir el comisario de familia del lugar donde ocurrieron los hechos y a falta de este el juez civil </w:t>
      </w:r>
      <w:r w:rsidRPr="00742BED">
        <w:rPr>
          <w:rFonts w:ascii="Arial" w:hAnsi="Arial" w:cs="Arial"/>
          <w:color w:val="000000" w:themeColor="text1"/>
          <w:sz w:val="22"/>
          <w:szCs w:val="22"/>
          <w:lang w:val="es-ES_tradnl"/>
        </w:rPr>
        <w:lastRenderedPageBreak/>
        <w:t>municipal o promiscuo municipal, o la autoridad indígena –en los casos de violencia intrafamiliar en las comunidades indígenas–. La medida de protección se debe emitir en una providencia motivada. Por lo tanto, este documento permite acreditar la situación de mujer víctima de violencia intrafamiliar. Las autoridades competentes mencionadas con anterioridad deben «[…] remitir todos los casos de violencia intrafamiliar a la Fiscalía General de la Nación para efectos de la investigación del delito de violencia intrafamiliar y posibles delitos conexos», según lo determina el parágrafo 3 del artículo 17 de la referida Ley. En consecuencia, no basta la copia de la denuncia en la Fiscalía para acreditar que se es víctima de violencia intrafamiliar, pues se requiere la providencia que establezca la medida de protección procedente.</w:t>
      </w:r>
    </w:p>
    <w:p w14:paraId="7387FCA2" w14:textId="77777777" w:rsidR="00CA6B2F" w:rsidRPr="00742BED" w:rsidRDefault="00CA6B2F" w:rsidP="00697010">
      <w:pPr>
        <w:ind w:left="709" w:right="709"/>
        <w:jc w:val="both"/>
        <w:rPr>
          <w:rFonts w:ascii="Arial" w:hAnsi="Arial" w:cs="Arial"/>
          <w:color w:val="000000" w:themeColor="text1"/>
          <w:sz w:val="21"/>
          <w:szCs w:val="21"/>
          <w:lang w:val="es-ES_tradnl"/>
        </w:rPr>
      </w:pPr>
    </w:p>
    <w:p w14:paraId="6FF66328" w14:textId="6E7F49C5" w:rsidR="00697010" w:rsidRPr="00742BED" w:rsidRDefault="00B94C95" w:rsidP="00697010">
      <w:pPr>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w:t>
      </w:r>
      <w:r w:rsidR="00697010" w:rsidRPr="00742BED">
        <w:rPr>
          <w:rFonts w:ascii="Arial" w:hAnsi="Arial" w:cs="Arial"/>
          <w:color w:val="000000" w:themeColor="text1"/>
          <w:sz w:val="21"/>
          <w:szCs w:val="21"/>
          <w:lang w:val="es-ES_tradnl"/>
        </w:rPr>
        <w:t>[…] ¿</w:t>
      </w:r>
      <w:r w:rsidR="00E5501E" w:rsidRPr="00742BED">
        <w:rPr>
          <w:rFonts w:ascii="Arial" w:hAnsi="Arial" w:cs="Arial"/>
          <w:color w:val="000000" w:themeColor="text1"/>
          <w:sz w:val="21"/>
          <w:szCs w:val="21"/>
          <w:lang w:val="es-ES_tradnl"/>
        </w:rPr>
        <w:t>Cómo</w:t>
      </w:r>
      <w:r w:rsidR="00697010" w:rsidRPr="00742BED">
        <w:rPr>
          <w:rFonts w:ascii="Arial" w:hAnsi="Arial" w:cs="Arial"/>
          <w:color w:val="000000" w:themeColor="text1"/>
          <w:sz w:val="21"/>
          <w:szCs w:val="21"/>
          <w:lang w:val="es-ES_tradnl"/>
        </w:rPr>
        <w:t xml:space="preserve"> se aplica el criterio de desempate No? 2 (mujer victima de la violencia o cabeza de familia) a un proponente plural, conformado por dos personas naturales cada uno con una </w:t>
      </w:r>
      <w:r w:rsidR="00E5501E" w:rsidRPr="00742BED">
        <w:rPr>
          <w:rFonts w:ascii="Arial" w:hAnsi="Arial" w:cs="Arial"/>
          <w:color w:val="000000" w:themeColor="text1"/>
          <w:sz w:val="21"/>
          <w:szCs w:val="21"/>
          <w:lang w:val="es-ES_tradnl"/>
        </w:rPr>
        <w:t>participación</w:t>
      </w:r>
      <w:r w:rsidR="00697010" w:rsidRPr="00742BED">
        <w:rPr>
          <w:rFonts w:ascii="Arial" w:hAnsi="Arial" w:cs="Arial"/>
          <w:color w:val="000000" w:themeColor="text1"/>
          <w:sz w:val="21"/>
          <w:szCs w:val="21"/>
          <w:lang w:val="es-ES_tradnl"/>
        </w:rPr>
        <w:t xml:space="preserve"> del 50%, donde una de esas personas es mujer cabeza de familia?</w:t>
      </w:r>
    </w:p>
    <w:p w14:paraId="5A46D969" w14:textId="77777777" w:rsidR="00697010" w:rsidRPr="00742BED" w:rsidRDefault="00697010" w:rsidP="00697010">
      <w:pPr>
        <w:ind w:left="709" w:right="709"/>
        <w:jc w:val="both"/>
        <w:rPr>
          <w:rFonts w:ascii="Arial" w:hAnsi="Arial" w:cs="Arial"/>
          <w:color w:val="000000" w:themeColor="text1"/>
          <w:sz w:val="21"/>
          <w:szCs w:val="21"/>
          <w:lang w:val="es-ES_tradnl"/>
        </w:rPr>
      </w:pPr>
    </w:p>
    <w:p w14:paraId="6B0F6FED" w14:textId="5D6BFE20" w:rsidR="00697010" w:rsidRPr="00742BED" w:rsidRDefault="00697010" w:rsidP="00697010">
      <w:pPr>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 ¿Se puede aplicar el criterio de desempate No? 2 (mujer victima de la violencia o cabeza de familia) a un proponente plural, conformado por dos personas naturales, donde solo una de ellas sea mujer cabeza de familia?</w:t>
      </w:r>
      <w:r w:rsidR="00B94C95" w:rsidRPr="00742BED">
        <w:rPr>
          <w:rFonts w:ascii="Arial" w:hAnsi="Arial" w:cs="Arial"/>
          <w:color w:val="000000" w:themeColor="text1"/>
          <w:sz w:val="21"/>
          <w:szCs w:val="21"/>
          <w:lang w:val="es-ES_tradnl"/>
        </w:rPr>
        <w:t>»</w:t>
      </w:r>
      <w:r w:rsidRPr="00742BED">
        <w:rPr>
          <w:rFonts w:ascii="Arial" w:hAnsi="Arial" w:cs="Arial"/>
          <w:color w:val="000000" w:themeColor="text1"/>
          <w:sz w:val="21"/>
          <w:szCs w:val="21"/>
          <w:lang w:val="es-ES_tradnl"/>
        </w:rPr>
        <w:t xml:space="preserve"> (sic)</w:t>
      </w:r>
    </w:p>
    <w:p w14:paraId="4A45CEAF" w14:textId="5D43EE93" w:rsidR="00697010" w:rsidRPr="00742BED" w:rsidRDefault="00697010" w:rsidP="00697010">
      <w:pPr>
        <w:ind w:left="709" w:right="709"/>
        <w:jc w:val="both"/>
        <w:rPr>
          <w:rFonts w:ascii="Arial" w:hAnsi="Arial" w:cs="Arial"/>
          <w:color w:val="000000" w:themeColor="text1"/>
          <w:sz w:val="21"/>
          <w:szCs w:val="21"/>
          <w:lang w:val="es-ES_tradnl"/>
        </w:rPr>
      </w:pPr>
    </w:p>
    <w:p w14:paraId="19A09B43" w14:textId="7D8F3204" w:rsidR="00967507" w:rsidRPr="00742BED" w:rsidRDefault="00967507" w:rsidP="00B94C95">
      <w:pPr>
        <w:spacing w:line="276" w:lineRule="auto"/>
        <w:jc w:val="both"/>
        <w:rPr>
          <w:rFonts w:ascii="Arial" w:hAnsi="Arial" w:cs="Arial"/>
          <w:color w:val="000000" w:themeColor="text1"/>
          <w:sz w:val="22"/>
          <w:szCs w:val="22"/>
          <w:lang w:val="es-ES_tradnl"/>
        </w:rPr>
      </w:pPr>
      <w:r w:rsidRPr="00742BED">
        <w:rPr>
          <w:rFonts w:ascii="Arial" w:hAnsi="Arial" w:cs="Arial"/>
          <w:color w:val="000000" w:themeColor="text1"/>
          <w:sz w:val="22"/>
          <w:szCs w:val="22"/>
          <w:lang w:val="es-ES_tradnl"/>
        </w:rPr>
        <w:t xml:space="preserve">El numeral 2 del artículo 35 de la Ley 2069 de 2020 no establece que este factor de desempate únicamente puede aplicarse cuando en la persona jurídica existe participación mayoritaria </w:t>
      </w:r>
      <w:r w:rsidRPr="00742BED">
        <w:rPr>
          <w:rFonts w:ascii="Arial" w:hAnsi="Arial" w:cs="Arial"/>
          <w:i/>
          <w:iCs/>
          <w:color w:val="000000" w:themeColor="text1"/>
          <w:sz w:val="22"/>
          <w:szCs w:val="22"/>
          <w:lang w:val="es-ES_tradnl"/>
        </w:rPr>
        <w:t>solo</w:t>
      </w:r>
      <w:r w:rsidRPr="00742BED">
        <w:rPr>
          <w:rFonts w:ascii="Arial" w:hAnsi="Arial" w:cs="Arial"/>
          <w:color w:val="000000" w:themeColor="text1"/>
          <w:sz w:val="22"/>
          <w:szCs w:val="22"/>
          <w:lang w:val="es-ES_tradnl"/>
        </w:rPr>
        <w:t xml:space="preserve"> de mujeres cabeza de familia o </w:t>
      </w:r>
      <w:r w:rsidRPr="00742BED">
        <w:rPr>
          <w:rFonts w:ascii="Arial" w:hAnsi="Arial" w:cs="Arial"/>
          <w:i/>
          <w:iCs/>
          <w:color w:val="000000" w:themeColor="text1"/>
          <w:sz w:val="22"/>
          <w:szCs w:val="22"/>
          <w:lang w:val="es-ES_tradnl"/>
        </w:rPr>
        <w:t>solo</w:t>
      </w:r>
      <w:r w:rsidRPr="00742BED">
        <w:rPr>
          <w:rFonts w:ascii="Arial" w:hAnsi="Arial" w:cs="Arial"/>
          <w:color w:val="000000" w:themeColor="text1"/>
          <w:sz w:val="22"/>
          <w:szCs w:val="22"/>
          <w:lang w:val="es-ES_tradnl"/>
        </w:rPr>
        <w:t xml:space="preserve"> de mujeres víctimas de la violencia intrafamiliar. Lo que dispone es que se debe «Preferir la propuesta de la mujer cabeza de familia, mujeres víctimas de la violencia intrafamiliar o de la persona jurídica en la cual participe </w:t>
      </w:r>
      <w:r w:rsidRPr="00742BED">
        <w:rPr>
          <w:rFonts w:ascii="Arial" w:hAnsi="Arial" w:cs="Arial"/>
          <w:i/>
          <w:iCs/>
          <w:color w:val="000000" w:themeColor="text1"/>
          <w:sz w:val="22"/>
          <w:szCs w:val="22"/>
          <w:lang w:val="es-ES_tradnl"/>
        </w:rPr>
        <w:t>o participen</w:t>
      </w:r>
      <w:r w:rsidRPr="00742BED">
        <w:rPr>
          <w:rFonts w:ascii="Arial" w:hAnsi="Arial" w:cs="Arial"/>
          <w:color w:val="000000" w:themeColor="text1"/>
          <w:sz w:val="22"/>
          <w:szCs w:val="22"/>
          <w:lang w:val="es-ES_tradnl"/>
        </w:rPr>
        <w:t xml:space="preserve"> mayoritariamente; o, la de un proponente plural constituido por mujeres cabeza de familia, mujeres víctimas de violencia intrafamiliar y/o personas jurídicas en las cuales participe </w:t>
      </w:r>
      <w:r w:rsidRPr="00742BED">
        <w:rPr>
          <w:rFonts w:ascii="Arial" w:hAnsi="Arial" w:cs="Arial"/>
          <w:i/>
          <w:iCs/>
          <w:color w:val="000000" w:themeColor="text1"/>
          <w:sz w:val="22"/>
          <w:szCs w:val="22"/>
          <w:lang w:val="es-ES_tradnl"/>
        </w:rPr>
        <w:t xml:space="preserve">o participen </w:t>
      </w:r>
      <w:r w:rsidRPr="00742BED">
        <w:rPr>
          <w:rFonts w:ascii="Arial" w:hAnsi="Arial" w:cs="Arial"/>
          <w:color w:val="000000" w:themeColor="text1"/>
          <w:sz w:val="22"/>
          <w:szCs w:val="22"/>
          <w:lang w:val="es-ES_tradnl"/>
        </w:rPr>
        <w:t>mayoritariamente» [cursiva fuera de texto]. Como se observa, la norma utiliza la expresión «[…] o participen […]», lo que significa que permite aplicar el factor de desempate cuando en una misma persona jurídica participen mayoritariamente mujeres cabeza de familia y mujeres víctimas de la violencia intrafamiliar.</w:t>
      </w:r>
    </w:p>
    <w:p w14:paraId="41712AF0" w14:textId="77777777" w:rsidR="00967507" w:rsidRPr="00742BED" w:rsidRDefault="00967507" w:rsidP="00967507">
      <w:pPr>
        <w:spacing w:before="120" w:line="276" w:lineRule="auto"/>
        <w:ind w:firstLine="709"/>
        <w:jc w:val="both"/>
        <w:rPr>
          <w:rFonts w:ascii="Arial" w:hAnsi="Arial" w:cs="Arial"/>
          <w:color w:val="000000" w:themeColor="text1"/>
          <w:sz w:val="22"/>
          <w:szCs w:val="22"/>
          <w:lang w:val="es-ES_tradnl"/>
        </w:rPr>
      </w:pPr>
      <w:r w:rsidRPr="00742BED">
        <w:rPr>
          <w:rFonts w:ascii="Arial" w:hAnsi="Arial" w:cs="Arial"/>
          <w:color w:val="000000" w:themeColor="text1"/>
          <w:sz w:val="22"/>
          <w:szCs w:val="22"/>
          <w:lang w:val="es-ES_tradnl"/>
        </w:rPr>
        <w:t>Para poderse beneficiar del factor de desempate, el proponente plural debe estar constituido i) por mujeres cabeza de familia o mujeres víctimas de violencia intrafamiliar y/o ii) por personas jurídicas en las cuales tales mujeres participen mayoritariamente. Como la norma exige que la participación mayoritaria sea en la «persona jurídica», en caso de existir varias personas jurídicas integrando el proponente plural, cada una de ellas debe acreditar la participación mayoritaria de mujeres cabeza de familia o mujeres víctimas de violencia intrafamiliar.</w:t>
      </w:r>
    </w:p>
    <w:p w14:paraId="6855D2DA" w14:textId="77777777" w:rsidR="00C1066C" w:rsidRPr="00742BED" w:rsidRDefault="00C1066C" w:rsidP="00967507">
      <w:pPr>
        <w:ind w:right="709"/>
        <w:jc w:val="both"/>
        <w:rPr>
          <w:rFonts w:ascii="Arial" w:hAnsi="Arial" w:cs="Arial"/>
          <w:color w:val="000000" w:themeColor="text1"/>
          <w:sz w:val="21"/>
          <w:szCs w:val="21"/>
          <w:lang w:val="es-ES_tradnl"/>
        </w:rPr>
      </w:pPr>
    </w:p>
    <w:p w14:paraId="7316E584" w14:textId="5CB41415" w:rsidR="00697010" w:rsidRPr="00742BED" w:rsidRDefault="00B94C95" w:rsidP="00697010">
      <w:pPr>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w:t>
      </w:r>
      <w:r w:rsidR="00697010" w:rsidRPr="00742BED">
        <w:rPr>
          <w:rFonts w:ascii="Arial" w:hAnsi="Arial" w:cs="Arial"/>
          <w:color w:val="000000" w:themeColor="text1"/>
          <w:sz w:val="21"/>
          <w:szCs w:val="21"/>
          <w:lang w:val="es-ES_tradnl"/>
        </w:rPr>
        <w:t xml:space="preserve">[…] ¿Para el criterio </w:t>
      </w:r>
      <w:r w:rsidR="00AB6BBF" w:rsidRPr="00742BED">
        <w:rPr>
          <w:rFonts w:ascii="Arial" w:hAnsi="Arial" w:cs="Arial"/>
          <w:color w:val="000000" w:themeColor="text1"/>
          <w:sz w:val="21"/>
          <w:szCs w:val="21"/>
          <w:lang w:val="es-ES_tradnl"/>
        </w:rPr>
        <w:t>número</w:t>
      </w:r>
      <w:r w:rsidR="00697010" w:rsidRPr="00742BED">
        <w:rPr>
          <w:rFonts w:ascii="Arial" w:hAnsi="Arial" w:cs="Arial"/>
          <w:color w:val="000000" w:themeColor="text1"/>
          <w:sz w:val="21"/>
          <w:szCs w:val="21"/>
          <w:lang w:val="es-ES_tradnl"/>
        </w:rPr>
        <w:t xml:space="preserve"> 4 de personas mayores sin </w:t>
      </w:r>
      <w:r w:rsidR="00AB6BBF" w:rsidRPr="00742BED">
        <w:rPr>
          <w:rFonts w:ascii="Arial" w:hAnsi="Arial" w:cs="Arial"/>
          <w:color w:val="000000" w:themeColor="text1"/>
          <w:sz w:val="21"/>
          <w:szCs w:val="21"/>
          <w:lang w:val="es-ES_tradnl"/>
        </w:rPr>
        <w:t>pensión</w:t>
      </w:r>
      <w:r w:rsidR="00697010" w:rsidRPr="00742BED">
        <w:rPr>
          <w:rFonts w:ascii="Arial" w:hAnsi="Arial" w:cs="Arial"/>
          <w:color w:val="000000" w:themeColor="text1"/>
          <w:sz w:val="21"/>
          <w:szCs w:val="21"/>
          <w:lang w:val="es-ES_tradnl"/>
        </w:rPr>
        <w:t xml:space="preserve">, el anexo refiere: “La mayor </w:t>
      </w:r>
      <w:r w:rsidR="00AB6BBF" w:rsidRPr="00742BED">
        <w:rPr>
          <w:rFonts w:ascii="Arial" w:hAnsi="Arial" w:cs="Arial"/>
          <w:color w:val="000000" w:themeColor="text1"/>
          <w:sz w:val="21"/>
          <w:szCs w:val="21"/>
          <w:lang w:val="es-ES_tradnl"/>
        </w:rPr>
        <w:t>proporción</w:t>
      </w:r>
      <w:r w:rsidR="00697010" w:rsidRPr="00742BED">
        <w:rPr>
          <w:rFonts w:ascii="Arial" w:hAnsi="Arial" w:cs="Arial"/>
          <w:color w:val="000000" w:themeColor="text1"/>
          <w:sz w:val="21"/>
          <w:szCs w:val="21"/>
          <w:lang w:val="es-ES_tradnl"/>
        </w:rPr>
        <w:t xml:space="preserve"> se </w:t>
      </w:r>
      <w:r w:rsidR="00AB6BBF" w:rsidRPr="00742BED">
        <w:rPr>
          <w:rFonts w:ascii="Arial" w:hAnsi="Arial" w:cs="Arial"/>
          <w:color w:val="000000" w:themeColor="text1"/>
          <w:sz w:val="21"/>
          <w:szCs w:val="21"/>
          <w:lang w:val="es-ES_tradnl"/>
        </w:rPr>
        <w:t>definirá</w:t>
      </w:r>
      <w:r w:rsidR="00697010" w:rsidRPr="00742BED">
        <w:rPr>
          <w:rFonts w:ascii="Arial" w:hAnsi="Arial" w:cs="Arial"/>
          <w:color w:val="000000" w:themeColor="text1"/>
          <w:sz w:val="21"/>
          <w:szCs w:val="21"/>
          <w:lang w:val="es-ES_tradnl"/>
        </w:rPr>
        <w:t xml:space="preserve"> en </w:t>
      </w:r>
      <w:r w:rsidR="00AB6BBF" w:rsidRPr="00742BED">
        <w:rPr>
          <w:rFonts w:ascii="Arial" w:hAnsi="Arial" w:cs="Arial"/>
          <w:color w:val="000000" w:themeColor="text1"/>
          <w:sz w:val="21"/>
          <w:szCs w:val="21"/>
          <w:lang w:val="es-ES_tradnl"/>
        </w:rPr>
        <w:t>relación</w:t>
      </w:r>
      <w:r w:rsidR="00697010" w:rsidRPr="00742BED">
        <w:rPr>
          <w:rFonts w:ascii="Arial" w:hAnsi="Arial" w:cs="Arial"/>
          <w:color w:val="000000" w:themeColor="text1"/>
          <w:sz w:val="21"/>
          <w:szCs w:val="21"/>
          <w:lang w:val="es-ES_tradnl"/>
        </w:rPr>
        <w:t xml:space="preserve"> con el </w:t>
      </w:r>
      <w:r w:rsidR="00AB6BBF" w:rsidRPr="00742BED">
        <w:rPr>
          <w:rFonts w:ascii="Arial" w:hAnsi="Arial" w:cs="Arial"/>
          <w:color w:val="000000" w:themeColor="text1"/>
          <w:sz w:val="21"/>
          <w:szCs w:val="21"/>
          <w:lang w:val="es-ES_tradnl"/>
        </w:rPr>
        <w:t>número</w:t>
      </w:r>
      <w:r w:rsidR="00697010" w:rsidRPr="00742BED">
        <w:rPr>
          <w:rFonts w:ascii="Arial" w:hAnsi="Arial" w:cs="Arial"/>
          <w:color w:val="000000" w:themeColor="text1"/>
          <w:sz w:val="21"/>
          <w:szCs w:val="21"/>
          <w:lang w:val="es-ES_tradnl"/>
        </w:rPr>
        <w:t xml:space="preserve"> total de personas de personas mayores que no sean beneficiarios de la </w:t>
      </w:r>
      <w:r w:rsidR="00AB6BBF" w:rsidRPr="00742BED">
        <w:rPr>
          <w:rFonts w:ascii="Arial" w:hAnsi="Arial" w:cs="Arial"/>
          <w:color w:val="000000" w:themeColor="text1"/>
          <w:sz w:val="21"/>
          <w:szCs w:val="21"/>
          <w:lang w:val="es-ES_tradnl"/>
        </w:rPr>
        <w:t>pensión</w:t>
      </w:r>
      <w:r w:rsidR="00697010" w:rsidRPr="00742BED">
        <w:rPr>
          <w:rFonts w:ascii="Arial" w:hAnsi="Arial" w:cs="Arial"/>
          <w:color w:val="000000" w:themeColor="text1"/>
          <w:sz w:val="21"/>
          <w:szCs w:val="21"/>
          <w:lang w:val="es-ES_tradnl"/>
        </w:rPr>
        <w:t xml:space="preserve"> de vejez </w:t>
      </w:r>
      <w:r w:rsidR="00697010" w:rsidRPr="00742BED">
        <w:rPr>
          <w:rFonts w:ascii="Arial" w:hAnsi="Arial" w:cs="Arial"/>
          <w:color w:val="000000" w:themeColor="text1"/>
          <w:sz w:val="21"/>
          <w:szCs w:val="21"/>
          <w:lang w:val="es-ES_tradnl"/>
        </w:rPr>
        <w:lastRenderedPageBreak/>
        <w:t xml:space="preserve">vinculadas por contrato laboral o contrato de </w:t>
      </w:r>
      <w:r w:rsidR="00AB6BBF" w:rsidRPr="00742BED">
        <w:rPr>
          <w:rFonts w:ascii="Arial" w:hAnsi="Arial" w:cs="Arial"/>
          <w:color w:val="000000" w:themeColor="text1"/>
          <w:sz w:val="21"/>
          <w:szCs w:val="21"/>
          <w:lang w:val="es-ES_tradnl"/>
        </w:rPr>
        <w:t>prestación</w:t>
      </w:r>
      <w:r w:rsidR="00697010" w:rsidRPr="00742BED">
        <w:rPr>
          <w:rFonts w:ascii="Arial" w:hAnsi="Arial" w:cs="Arial"/>
          <w:color w:val="000000" w:themeColor="text1"/>
          <w:sz w:val="21"/>
          <w:szCs w:val="21"/>
          <w:lang w:val="es-ES_tradnl"/>
        </w:rPr>
        <w:t xml:space="preserve"> de servicios, ¿por lo que se </w:t>
      </w:r>
      <w:r w:rsidR="00AB6BBF" w:rsidRPr="00742BED">
        <w:rPr>
          <w:rFonts w:ascii="Arial" w:hAnsi="Arial" w:cs="Arial"/>
          <w:color w:val="000000" w:themeColor="text1"/>
          <w:sz w:val="21"/>
          <w:szCs w:val="21"/>
          <w:lang w:val="es-ES_tradnl"/>
        </w:rPr>
        <w:t>preferirá</w:t>
      </w:r>
      <w:r w:rsidR="00697010" w:rsidRPr="00742BED">
        <w:rPr>
          <w:rFonts w:ascii="Arial" w:hAnsi="Arial" w:cs="Arial"/>
          <w:color w:val="000000" w:themeColor="text1"/>
          <w:sz w:val="21"/>
          <w:szCs w:val="21"/>
          <w:lang w:val="es-ES_tradnl"/>
        </w:rPr>
        <w:t xml:space="preserve"> al Proveedor que acredite un porcentaje mayor?", en este caso, no es claro el tema de la mayor </w:t>
      </w:r>
      <w:r w:rsidR="00AB6BBF" w:rsidRPr="00742BED">
        <w:rPr>
          <w:rFonts w:ascii="Arial" w:hAnsi="Arial" w:cs="Arial"/>
          <w:color w:val="000000" w:themeColor="text1"/>
          <w:sz w:val="21"/>
          <w:szCs w:val="21"/>
          <w:lang w:val="es-ES_tradnl"/>
        </w:rPr>
        <w:t>proporción</w:t>
      </w:r>
      <w:r w:rsidR="00697010" w:rsidRPr="00742BED">
        <w:rPr>
          <w:rFonts w:ascii="Arial" w:hAnsi="Arial" w:cs="Arial"/>
          <w:color w:val="000000" w:themeColor="text1"/>
          <w:sz w:val="21"/>
          <w:szCs w:val="21"/>
          <w:lang w:val="es-ES_tradnl"/>
        </w:rPr>
        <w:t xml:space="preserve">. ¿No </w:t>
      </w:r>
      <w:r w:rsidR="00AB6BBF" w:rsidRPr="00742BED">
        <w:rPr>
          <w:rFonts w:ascii="Arial" w:hAnsi="Arial" w:cs="Arial"/>
          <w:color w:val="000000" w:themeColor="text1"/>
          <w:sz w:val="21"/>
          <w:szCs w:val="21"/>
          <w:lang w:val="es-ES_tradnl"/>
        </w:rPr>
        <w:t>debería</w:t>
      </w:r>
      <w:r w:rsidR="00697010" w:rsidRPr="00742BED">
        <w:rPr>
          <w:rFonts w:ascii="Arial" w:hAnsi="Arial" w:cs="Arial"/>
          <w:color w:val="000000" w:themeColor="text1"/>
          <w:sz w:val="21"/>
          <w:szCs w:val="21"/>
          <w:lang w:val="es-ES_tradnl"/>
        </w:rPr>
        <w:t xml:space="preserve"> corresponder la mayor </w:t>
      </w:r>
      <w:r w:rsidR="00AB6BBF" w:rsidRPr="00742BED">
        <w:rPr>
          <w:rFonts w:ascii="Arial" w:hAnsi="Arial" w:cs="Arial"/>
          <w:color w:val="000000" w:themeColor="text1"/>
          <w:sz w:val="21"/>
          <w:szCs w:val="21"/>
          <w:lang w:val="es-ES_tradnl"/>
        </w:rPr>
        <w:t>proporción</w:t>
      </w:r>
      <w:r w:rsidR="00697010" w:rsidRPr="00742BED">
        <w:rPr>
          <w:rFonts w:ascii="Arial" w:hAnsi="Arial" w:cs="Arial"/>
          <w:color w:val="000000" w:themeColor="text1"/>
          <w:sz w:val="21"/>
          <w:szCs w:val="21"/>
          <w:lang w:val="es-ES_tradnl"/>
        </w:rPr>
        <w:t xml:space="preserve"> a la </w:t>
      </w:r>
      <w:r w:rsidR="00AB6BBF" w:rsidRPr="00742BED">
        <w:rPr>
          <w:rFonts w:ascii="Arial" w:hAnsi="Arial" w:cs="Arial"/>
          <w:color w:val="000000" w:themeColor="text1"/>
          <w:sz w:val="21"/>
          <w:szCs w:val="21"/>
          <w:lang w:val="es-ES_tradnl"/>
        </w:rPr>
        <w:t>comparación</w:t>
      </w:r>
      <w:r w:rsidR="00697010" w:rsidRPr="00742BED">
        <w:rPr>
          <w:rFonts w:ascii="Arial" w:hAnsi="Arial" w:cs="Arial"/>
          <w:color w:val="000000" w:themeColor="text1"/>
          <w:sz w:val="21"/>
          <w:szCs w:val="21"/>
          <w:lang w:val="es-ES_tradnl"/>
        </w:rPr>
        <w:t xml:space="preserve"> del </w:t>
      </w:r>
      <w:r w:rsidR="00AB6BBF" w:rsidRPr="00742BED">
        <w:rPr>
          <w:rFonts w:ascii="Arial" w:hAnsi="Arial" w:cs="Arial"/>
          <w:color w:val="000000" w:themeColor="text1"/>
          <w:sz w:val="21"/>
          <w:szCs w:val="21"/>
          <w:lang w:val="es-ES_tradnl"/>
        </w:rPr>
        <w:t>número</w:t>
      </w:r>
      <w:r w:rsidR="00697010" w:rsidRPr="00742BED">
        <w:rPr>
          <w:rFonts w:ascii="Arial" w:hAnsi="Arial" w:cs="Arial"/>
          <w:color w:val="000000" w:themeColor="text1"/>
          <w:sz w:val="21"/>
          <w:szCs w:val="21"/>
          <w:lang w:val="es-ES_tradnl"/>
        </w:rPr>
        <w:t xml:space="preserve"> total de empleados que hayan alcanzado la edad de </w:t>
      </w:r>
      <w:r w:rsidR="00AB6BBF" w:rsidRPr="00742BED">
        <w:rPr>
          <w:rFonts w:ascii="Arial" w:hAnsi="Arial" w:cs="Arial"/>
          <w:color w:val="000000" w:themeColor="text1"/>
          <w:sz w:val="21"/>
          <w:szCs w:val="21"/>
          <w:lang w:val="es-ES_tradnl"/>
        </w:rPr>
        <w:t>pensión</w:t>
      </w:r>
      <w:r w:rsidR="00697010" w:rsidRPr="00742BED">
        <w:rPr>
          <w:rFonts w:ascii="Arial" w:hAnsi="Arial" w:cs="Arial"/>
          <w:color w:val="000000" w:themeColor="text1"/>
          <w:sz w:val="21"/>
          <w:szCs w:val="21"/>
          <w:lang w:val="es-ES_tradnl"/>
        </w:rPr>
        <w:t xml:space="preserve"> y no sean beneficiarios FRENTE AL NUMERO TOTAL DE EMPLEADOS?</w:t>
      </w:r>
    </w:p>
    <w:p w14:paraId="506FDFE7" w14:textId="77777777" w:rsidR="00697010" w:rsidRPr="00742BED" w:rsidRDefault="00697010" w:rsidP="00697010">
      <w:pPr>
        <w:ind w:left="709" w:right="709"/>
        <w:jc w:val="both"/>
        <w:rPr>
          <w:rFonts w:ascii="Arial" w:hAnsi="Arial" w:cs="Arial"/>
          <w:color w:val="000000" w:themeColor="text1"/>
          <w:sz w:val="21"/>
          <w:szCs w:val="21"/>
          <w:lang w:val="es-ES_tradnl"/>
        </w:rPr>
      </w:pPr>
    </w:p>
    <w:p w14:paraId="6EED90EF" w14:textId="2972AC9D" w:rsidR="00697010" w:rsidRPr="00742BED" w:rsidRDefault="00697010" w:rsidP="00697010">
      <w:pPr>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 xml:space="preserve">»[…] ¿En el caso del criterio No 4, en el evento en que se esté evaluando a un proponente plural, ¿corresponde a la Entidad a efectos de verificar el mayor porcentaje de </w:t>
      </w:r>
      <w:r w:rsidR="00AB6BBF" w:rsidRPr="00742BED">
        <w:rPr>
          <w:rFonts w:ascii="Arial" w:hAnsi="Arial" w:cs="Arial"/>
          <w:color w:val="000000" w:themeColor="text1"/>
          <w:sz w:val="21"/>
          <w:szCs w:val="21"/>
          <w:lang w:val="es-ES_tradnl"/>
        </w:rPr>
        <w:t>vinculación</w:t>
      </w:r>
      <w:r w:rsidRPr="00742BED">
        <w:rPr>
          <w:rFonts w:ascii="Arial" w:hAnsi="Arial" w:cs="Arial"/>
          <w:color w:val="000000" w:themeColor="text1"/>
          <w:sz w:val="21"/>
          <w:szCs w:val="21"/>
          <w:lang w:val="es-ES_tradnl"/>
        </w:rPr>
        <w:t xml:space="preserve">, sumar todas las plantas de personal de los miembros que los conforman, sumar la cantidad total de personas en la </w:t>
      </w:r>
      <w:r w:rsidR="00AB6BBF" w:rsidRPr="00742BED">
        <w:rPr>
          <w:rFonts w:ascii="Arial" w:hAnsi="Arial" w:cs="Arial"/>
          <w:color w:val="000000" w:themeColor="text1"/>
          <w:sz w:val="21"/>
          <w:szCs w:val="21"/>
          <w:lang w:val="es-ES_tradnl"/>
        </w:rPr>
        <w:t>condición</w:t>
      </w:r>
      <w:r w:rsidRPr="00742BED">
        <w:rPr>
          <w:rFonts w:ascii="Arial" w:hAnsi="Arial" w:cs="Arial"/>
          <w:color w:val="000000" w:themeColor="text1"/>
          <w:sz w:val="21"/>
          <w:szCs w:val="21"/>
          <w:lang w:val="es-ES_tradnl"/>
        </w:rPr>
        <w:t xml:space="preserve"> referida en el criterio de desempate y frente a estos dos puntos concluir el porcentaje?</w:t>
      </w:r>
    </w:p>
    <w:p w14:paraId="2ADE0FDF" w14:textId="77777777" w:rsidR="00697010" w:rsidRPr="00742BED" w:rsidRDefault="00697010" w:rsidP="00697010">
      <w:pPr>
        <w:ind w:left="709" w:right="709"/>
        <w:jc w:val="both"/>
        <w:rPr>
          <w:rFonts w:ascii="Arial" w:hAnsi="Arial" w:cs="Arial"/>
          <w:color w:val="000000" w:themeColor="text1"/>
          <w:sz w:val="21"/>
          <w:szCs w:val="21"/>
          <w:lang w:val="es-ES_tradnl"/>
        </w:rPr>
      </w:pPr>
    </w:p>
    <w:p w14:paraId="241398FB" w14:textId="65AA4F0B" w:rsidR="00697010" w:rsidRPr="00742BED" w:rsidRDefault="00697010" w:rsidP="00697010">
      <w:pPr>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 xml:space="preserve">»[…] ¿En el criterio de desempate No. 4, ¿se pueden aplicar los porcentajes de </w:t>
      </w:r>
      <w:r w:rsidR="00AB6BBF" w:rsidRPr="00742BED">
        <w:rPr>
          <w:rFonts w:ascii="Arial" w:hAnsi="Arial" w:cs="Arial"/>
          <w:color w:val="000000" w:themeColor="text1"/>
          <w:sz w:val="21"/>
          <w:szCs w:val="21"/>
          <w:lang w:val="es-ES_tradnl"/>
        </w:rPr>
        <w:t>participación</w:t>
      </w:r>
      <w:r w:rsidRPr="00742BED">
        <w:rPr>
          <w:rFonts w:ascii="Arial" w:hAnsi="Arial" w:cs="Arial"/>
          <w:color w:val="000000" w:themeColor="text1"/>
          <w:sz w:val="21"/>
          <w:szCs w:val="21"/>
          <w:lang w:val="es-ES_tradnl"/>
        </w:rPr>
        <w:t xml:space="preserve"> de los miembros del proponente plural para establecer dichos porcentajes?; ¿se pueden tomar los porcentajes arrojados por cada miembro del proponente plural y realizar la sumatoria total del proponente?</w:t>
      </w:r>
      <w:r w:rsidR="00B94C95" w:rsidRPr="00742BED">
        <w:rPr>
          <w:rFonts w:ascii="Arial" w:hAnsi="Arial" w:cs="Arial"/>
          <w:color w:val="000000" w:themeColor="text1"/>
          <w:sz w:val="21"/>
          <w:szCs w:val="21"/>
          <w:lang w:val="es-ES_tradnl"/>
        </w:rPr>
        <w:t>»</w:t>
      </w:r>
    </w:p>
    <w:p w14:paraId="1EE0AD27" w14:textId="728D907D" w:rsidR="00697010" w:rsidRPr="00742BED" w:rsidRDefault="00697010" w:rsidP="00697010">
      <w:pPr>
        <w:ind w:left="709" w:right="709"/>
        <w:jc w:val="both"/>
        <w:rPr>
          <w:rFonts w:ascii="Arial" w:hAnsi="Arial" w:cs="Arial"/>
          <w:color w:val="000000" w:themeColor="text1"/>
          <w:sz w:val="21"/>
          <w:szCs w:val="21"/>
          <w:lang w:val="es-ES_tradnl"/>
        </w:rPr>
      </w:pPr>
    </w:p>
    <w:p w14:paraId="106D5194" w14:textId="5D4DB7F4" w:rsidR="00E41FFC" w:rsidRPr="00742BED" w:rsidRDefault="00E41FFC" w:rsidP="00E41FFC">
      <w:pPr>
        <w:spacing w:line="276" w:lineRule="auto"/>
        <w:jc w:val="both"/>
        <w:rPr>
          <w:rFonts w:ascii="Arial" w:hAnsi="Arial" w:cs="Arial"/>
          <w:color w:val="000000" w:themeColor="text1"/>
          <w:sz w:val="22"/>
          <w:szCs w:val="22"/>
          <w:lang w:val="es-ES_tradnl"/>
        </w:rPr>
      </w:pPr>
      <w:r w:rsidRPr="00742BED">
        <w:rPr>
          <w:rFonts w:ascii="Arial" w:hAnsi="Arial" w:cs="Arial"/>
          <w:color w:val="000000" w:themeColor="text1"/>
          <w:sz w:val="22"/>
          <w:szCs w:val="22"/>
          <w:lang w:val="es-ES_tradnl"/>
        </w:rPr>
        <w:t xml:space="preserve">En opinión de esta Agencia la interpretación más razonable es entender que </w:t>
      </w:r>
      <w:r w:rsidR="00B0224B" w:rsidRPr="00742BED">
        <w:rPr>
          <w:rFonts w:ascii="Arial" w:hAnsi="Arial" w:cs="Arial"/>
          <w:color w:val="000000" w:themeColor="text1"/>
          <w:sz w:val="22"/>
          <w:szCs w:val="22"/>
          <w:lang w:val="es-ES_tradnl"/>
        </w:rPr>
        <w:t>el numeral 4 del artículo 35 establece que el factor de desempate opera a favor del proponente que acredite</w:t>
      </w:r>
      <w:r w:rsidR="004D1162" w:rsidRPr="00742BED">
        <w:rPr>
          <w:rFonts w:ascii="Arial" w:hAnsi="Arial" w:cs="Arial"/>
          <w:color w:val="000000" w:themeColor="text1"/>
          <w:sz w:val="22"/>
          <w:szCs w:val="22"/>
          <w:lang w:val="es-ES_tradnl"/>
        </w:rPr>
        <w:t>,</w:t>
      </w:r>
      <w:r w:rsidR="00B0224B" w:rsidRPr="00742BED">
        <w:rPr>
          <w:rFonts w:ascii="Arial" w:hAnsi="Arial" w:cs="Arial"/>
          <w:color w:val="000000" w:themeColor="text1"/>
          <w:sz w:val="22"/>
          <w:szCs w:val="22"/>
          <w:lang w:val="es-ES_tradnl"/>
        </w:rPr>
        <w:t xml:space="preserve"> entre los demás oferentes</w:t>
      </w:r>
      <w:r w:rsidR="004D1162" w:rsidRPr="00742BED">
        <w:rPr>
          <w:rFonts w:ascii="Arial" w:hAnsi="Arial" w:cs="Arial"/>
          <w:color w:val="000000" w:themeColor="text1"/>
          <w:sz w:val="22"/>
          <w:szCs w:val="22"/>
          <w:lang w:val="es-ES_tradnl"/>
        </w:rPr>
        <w:t>,</w:t>
      </w:r>
      <w:r w:rsidR="00B0224B" w:rsidRPr="00742BED">
        <w:rPr>
          <w:rFonts w:ascii="Arial" w:hAnsi="Arial" w:cs="Arial"/>
          <w:color w:val="000000" w:themeColor="text1"/>
          <w:sz w:val="22"/>
          <w:szCs w:val="22"/>
          <w:lang w:val="es-ES_tradnl"/>
        </w:rPr>
        <w:t xml:space="preserve"> </w:t>
      </w:r>
      <w:r w:rsidR="00C925F1" w:rsidRPr="00742BED">
        <w:rPr>
          <w:rFonts w:ascii="Arial" w:hAnsi="Arial" w:cs="Arial"/>
          <w:color w:val="000000" w:themeColor="text1"/>
          <w:sz w:val="22"/>
          <w:szCs w:val="22"/>
          <w:lang w:val="es-ES_tradnl"/>
        </w:rPr>
        <w:t>la vinculación</w:t>
      </w:r>
      <w:r w:rsidR="004D1162" w:rsidRPr="00742BED">
        <w:rPr>
          <w:rFonts w:ascii="Arial" w:hAnsi="Arial" w:cs="Arial"/>
          <w:color w:val="000000" w:themeColor="text1"/>
          <w:sz w:val="22"/>
          <w:szCs w:val="22"/>
          <w:lang w:val="es-ES_tradnl"/>
        </w:rPr>
        <w:t>,</w:t>
      </w:r>
      <w:r w:rsidR="00C925F1" w:rsidRPr="00742BED">
        <w:rPr>
          <w:rFonts w:ascii="Arial" w:hAnsi="Arial" w:cs="Arial"/>
          <w:color w:val="000000" w:themeColor="text1"/>
          <w:sz w:val="22"/>
          <w:szCs w:val="22"/>
          <w:lang w:val="es-ES_tradnl"/>
        </w:rPr>
        <w:t xml:space="preserve"> en </w:t>
      </w:r>
      <w:r w:rsidR="008374C8" w:rsidRPr="00742BED">
        <w:rPr>
          <w:rFonts w:ascii="Arial" w:hAnsi="Arial" w:cs="Arial"/>
          <w:color w:val="000000" w:themeColor="text1"/>
          <w:sz w:val="22"/>
          <w:szCs w:val="22"/>
          <w:lang w:val="es-ES_tradnl"/>
        </w:rPr>
        <w:t>mayor proporción</w:t>
      </w:r>
      <w:r w:rsidR="004D1162" w:rsidRPr="00742BED">
        <w:rPr>
          <w:rFonts w:ascii="Arial" w:hAnsi="Arial" w:cs="Arial"/>
          <w:color w:val="000000" w:themeColor="text1"/>
          <w:sz w:val="22"/>
          <w:szCs w:val="22"/>
          <w:lang w:val="es-ES_tradnl"/>
        </w:rPr>
        <w:t>,</w:t>
      </w:r>
      <w:r w:rsidR="00C925F1" w:rsidRPr="00742BED">
        <w:rPr>
          <w:rFonts w:ascii="Arial" w:hAnsi="Arial" w:cs="Arial"/>
          <w:color w:val="000000" w:themeColor="text1"/>
          <w:sz w:val="22"/>
          <w:szCs w:val="22"/>
          <w:lang w:val="es-ES_tradnl"/>
        </w:rPr>
        <w:t xml:space="preserve"> de </w:t>
      </w:r>
      <w:r w:rsidR="005872A0" w:rsidRPr="00742BED">
        <w:rPr>
          <w:rFonts w:ascii="Arial" w:hAnsi="Arial" w:cs="Arial"/>
          <w:color w:val="000000" w:themeColor="text1"/>
          <w:sz w:val="22"/>
          <w:szCs w:val="22"/>
          <w:lang w:val="es-ES_tradnl"/>
        </w:rPr>
        <w:t>«</w:t>
      </w:r>
      <w:r w:rsidR="00C925F1" w:rsidRPr="00742BED">
        <w:rPr>
          <w:rFonts w:ascii="Arial" w:hAnsi="Arial" w:cs="Arial"/>
          <w:color w:val="000000" w:themeColor="text1"/>
          <w:sz w:val="22"/>
          <w:szCs w:val="22"/>
          <w:lang w:val="es-ES_tradnl"/>
        </w:rPr>
        <w:t>personas mayores que no sean beneficiarios de la pensión de vejez, familiar</w:t>
      </w:r>
      <w:r w:rsidR="005872A0" w:rsidRPr="00742BED">
        <w:rPr>
          <w:rFonts w:ascii="Arial" w:hAnsi="Arial" w:cs="Arial"/>
          <w:color w:val="000000" w:themeColor="text1"/>
          <w:sz w:val="22"/>
          <w:szCs w:val="22"/>
          <w:lang w:val="es-ES_tradnl"/>
        </w:rPr>
        <w:t xml:space="preserve"> o de sobrevivencia y que hayan cumplido el requisito de edad de pensión establecido en la Ley»</w:t>
      </w:r>
      <w:r w:rsidRPr="00742BED">
        <w:rPr>
          <w:rFonts w:ascii="Arial" w:hAnsi="Arial" w:cs="Arial"/>
          <w:color w:val="000000" w:themeColor="text1"/>
          <w:sz w:val="22"/>
          <w:szCs w:val="22"/>
          <w:lang w:val="es-ES_tradnl"/>
        </w:rPr>
        <w:t>. De este modo, cuando la norma se refiere a la «mayor proporción» alude al número de personas vinculadas por el oferente y que además reúnan la condición de ser mayores y que «no sean beneficiarios de la pensión de vejez, familiar o de sobrevivencia y que hayan cumplido el requisito de edad de pensión establecido en la Ley».</w:t>
      </w:r>
    </w:p>
    <w:p w14:paraId="028FF110" w14:textId="61A05813" w:rsidR="00083546" w:rsidRPr="00742BED" w:rsidRDefault="00083546" w:rsidP="00083546">
      <w:pPr>
        <w:spacing w:before="120" w:line="276" w:lineRule="auto"/>
        <w:ind w:firstLine="709"/>
        <w:jc w:val="both"/>
        <w:rPr>
          <w:rFonts w:ascii="Arial" w:hAnsi="Arial" w:cs="Arial"/>
          <w:color w:val="000000" w:themeColor="text1"/>
          <w:sz w:val="22"/>
          <w:szCs w:val="22"/>
          <w:lang w:val="es-ES_tradnl"/>
        </w:rPr>
      </w:pPr>
      <w:r w:rsidRPr="00742BED">
        <w:rPr>
          <w:rFonts w:ascii="Arial" w:hAnsi="Arial" w:cs="Arial"/>
          <w:color w:val="000000" w:themeColor="text1"/>
          <w:sz w:val="22"/>
          <w:szCs w:val="22"/>
          <w:lang w:val="es-ES_tradnl"/>
        </w:rPr>
        <w:t>Teniendo en cuenta que el numeral 4 del artículo 35 no distingue tipos de oferente, dicho criterio de desempate se debe aplicar también a proponentes plurales. En este caso el proponente plural debe acreditar la proporción de personas mayores vinculadas a aquel y que además «no sean beneficiarios de la pensión de vejez, familiar o de sobrevivencia y que hayan cumplido el requisito de edad de pensión establecido en la Ley», para beneficiarse del factor de desempate.</w:t>
      </w:r>
      <w:r w:rsidR="008374C8" w:rsidRPr="00742BED">
        <w:rPr>
          <w:rFonts w:ascii="Arial" w:hAnsi="Arial" w:cs="Arial"/>
          <w:color w:val="000000" w:themeColor="text1"/>
          <w:sz w:val="22"/>
          <w:szCs w:val="22"/>
          <w:lang w:val="es-ES_tradnl"/>
        </w:rPr>
        <w:t xml:space="preserve"> Lo anterior, como se ha indicado, sin perjuicio de la reglamentación que expida el gobierno nacional precisando el contenido de dichos conceptos.</w:t>
      </w:r>
    </w:p>
    <w:p w14:paraId="3BED0F36" w14:textId="77777777" w:rsidR="00E41FFC" w:rsidRPr="00742BED" w:rsidRDefault="00E41FFC" w:rsidP="007A293F">
      <w:pPr>
        <w:ind w:right="709"/>
        <w:jc w:val="both"/>
        <w:rPr>
          <w:rFonts w:ascii="Arial" w:hAnsi="Arial" w:cs="Arial"/>
          <w:color w:val="000000" w:themeColor="text1"/>
          <w:sz w:val="21"/>
          <w:szCs w:val="21"/>
          <w:lang w:val="es-ES_tradnl"/>
        </w:rPr>
      </w:pPr>
    </w:p>
    <w:p w14:paraId="640F0F51" w14:textId="0160F062" w:rsidR="00697010" w:rsidRPr="00742BED" w:rsidRDefault="00C37FA6" w:rsidP="00697010">
      <w:pPr>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w:t>
      </w:r>
      <w:r w:rsidR="00697010" w:rsidRPr="00742BED">
        <w:rPr>
          <w:rFonts w:ascii="Arial" w:hAnsi="Arial" w:cs="Arial"/>
          <w:color w:val="000000" w:themeColor="text1"/>
          <w:sz w:val="21"/>
          <w:szCs w:val="21"/>
          <w:lang w:val="es-ES_tradnl"/>
        </w:rPr>
        <w:t xml:space="preserve">[…] ¿Puede un contratista de obra pagar los costos de </w:t>
      </w:r>
      <w:r w:rsidR="00AB6BBF" w:rsidRPr="00742BED">
        <w:rPr>
          <w:rFonts w:ascii="Arial" w:hAnsi="Arial" w:cs="Arial"/>
          <w:color w:val="000000" w:themeColor="text1"/>
          <w:sz w:val="21"/>
          <w:szCs w:val="21"/>
          <w:lang w:val="es-ES_tradnl"/>
        </w:rPr>
        <w:t>interventoría</w:t>
      </w:r>
      <w:r w:rsidR="00697010" w:rsidRPr="00742BED">
        <w:rPr>
          <w:rFonts w:ascii="Arial" w:hAnsi="Arial" w:cs="Arial"/>
          <w:color w:val="000000" w:themeColor="text1"/>
          <w:sz w:val="21"/>
          <w:szCs w:val="21"/>
          <w:lang w:val="es-ES_tradnl"/>
        </w:rPr>
        <w:t xml:space="preserve"> en el evento que solicite una </w:t>
      </w:r>
      <w:r w:rsidR="00AB6BBF" w:rsidRPr="00742BED">
        <w:rPr>
          <w:rFonts w:ascii="Arial" w:hAnsi="Arial" w:cs="Arial"/>
          <w:color w:val="000000" w:themeColor="text1"/>
          <w:sz w:val="21"/>
          <w:szCs w:val="21"/>
          <w:lang w:val="es-ES_tradnl"/>
        </w:rPr>
        <w:t>prórroga</w:t>
      </w:r>
      <w:r w:rsidR="00697010" w:rsidRPr="00742BED">
        <w:rPr>
          <w:rFonts w:ascii="Arial" w:hAnsi="Arial" w:cs="Arial"/>
          <w:color w:val="000000" w:themeColor="text1"/>
          <w:sz w:val="21"/>
          <w:szCs w:val="21"/>
          <w:lang w:val="es-ES_tradnl"/>
        </w:rPr>
        <w:t xml:space="preserve"> por no poderse cumplir el objeto contractual dentro del plazo inicial propuesto por la Entidad en los pliegos y el contrato?</w:t>
      </w:r>
    </w:p>
    <w:p w14:paraId="30CB81A6" w14:textId="77777777" w:rsidR="00697010" w:rsidRPr="00742BED" w:rsidRDefault="00697010" w:rsidP="00697010">
      <w:pPr>
        <w:ind w:left="709" w:right="709"/>
        <w:jc w:val="both"/>
        <w:rPr>
          <w:rFonts w:ascii="Arial" w:hAnsi="Arial" w:cs="Arial"/>
          <w:color w:val="000000" w:themeColor="text1"/>
          <w:sz w:val="21"/>
          <w:szCs w:val="21"/>
          <w:lang w:val="es-ES_tradnl"/>
        </w:rPr>
      </w:pPr>
    </w:p>
    <w:p w14:paraId="0A399460" w14:textId="3C152B86" w:rsidR="00697010" w:rsidRPr="00742BED" w:rsidRDefault="00697010" w:rsidP="00697010">
      <w:pPr>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 xml:space="preserve">»[…] ¿Puede constituir conflicto de intereses pactarse el reconocimiento de los costos de </w:t>
      </w:r>
      <w:r w:rsidR="00AB6BBF" w:rsidRPr="00742BED">
        <w:rPr>
          <w:rFonts w:ascii="Arial" w:hAnsi="Arial" w:cs="Arial"/>
          <w:color w:val="000000" w:themeColor="text1"/>
          <w:sz w:val="21"/>
          <w:szCs w:val="21"/>
          <w:lang w:val="es-ES_tradnl"/>
        </w:rPr>
        <w:t>interventoría</w:t>
      </w:r>
      <w:r w:rsidRPr="00742BED">
        <w:rPr>
          <w:rFonts w:ascii="Arial" w:hAnsi="Arial" w:cs="Arial"/>
          <w:color w:val="000000" w:themeColor="text1"/>
          <w:sz w:val="21"/>
          <w:szCs w:val="21"/>
          <w:lang w:val="es-ES_tradnl"/>
        </w:rPr>
        <w:t xml:space="preserve"> por parte del contratista de obra supervisado?</w:t>
      </w:r>
    </w:p>
    <w:p w14:paraId="5DFDDCE6" w14:textId="77777777" w:rsidR="00697010" w:rsidRPr="00742BED" w:rsidRDefault="00697010" w:rsidP="00697010">
      <w:pPr>
        <w:ind w:left="709" w:right="709"/>
        <w:jc w:val="both"/>
        <w:rPr>
          <w:rFonts w:ascii="Arial" w:hAnsi="Arial" w:cs="Arial"/>
          <w:color w:val="000000" w:themeColor="text1"/>
          <w:sz w:val="21"/>
          <w:szCs w:val="21"/>
          <w:lang w:val="es-ES_tradnl"/>
        </w:rPr>
      </w:pPr>
    </w:p>
    <w:p w14:paraId="6F103BF8" w14:textId="75A3DA63" w:rsidR="00697010" w:rsidRPr="00742BED" w:rsidRDefault="00697010" w:rsidP="00697010">
      <w:pPr>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lastRenderedPageBreak/>
        <w:t xml:space="preserve">»[…] ¿En el evento en que dicha circunstancia sea posible, ¿se puede hablar de </w:t>
      </w:r>
      <w:r w:rsidR="00AB6BBF" w:rsidRPr="00742BED">
        <w:rPr>
          <w:rFonts w:ascii="Arial" w:hAnsi="Arial" w:cs="Arial"/>
          <w:color w:val="000000" w:themeColor="text1"/>
          <w:sz w:val="21"/>
          <w:szCs w:val="21"/>
          <w:lang w:val="es-ES_tradnl"/>
        </w:rPr>
        <w:t>adición</w:t>
      </w:r>
      <w:r w:rsidRPr="00742BED">
        <w:rPr>
          <w:rFonts w:ascii="Arial" w:hAnsi="Arial" w:cs="Arial"/>
          <w:color w:val="000000" w:themeColor="text1"/>
          <w:sz w:val="21"/>
          <w:szCs w:val="21"/>
          <w:lang w:val="es-ES_tradnl"/>
        </w:rPr>
        <w:t xml:space="preserve"> al valor del contrato de </w:t>
      </w:r>
      <w:r w:rsidR="00AB6BBF" w:rsidRPr="00742BED">
        <w:rPr>
          <w:rFonts w:ascii="Arial" w:hAnsi="Arial" w:cs="Arial"/>
          <w:color w:val="000000" w:themeColor="text1"/>
          <w:sz w:val="21"/>
          <w:szCs w:val="21"/>
          <w:lang w:val="es-ES_tradnl"/>
        </w:rPr>
        <w:t>interventoría</w:t>
      </w:r>
      <w:r w:rsidRPr="00742BED">
        <w:rPr>
          <w:rFonts w:ascii="Arial" w:hAnsi="Arial" w:cs="Arial"/>
          <w:color w:val="000000" w:themeColor="text1"/>
          <w:sz w:val="21"/>
          <w:szCs w:val="21"/>
          <w:lang w:val="es-ES_tradnl"/>
        </w:rPr>
        <w:t xml:space="preserve"> y efectivamente celebrarse sin que exista en ese momento disponibilidad presupuestal por parte de la Entidad? Lo anterior, habida cuenta que la </w:t>
      </w:r>
      <w:r w:rsidR="00AB6BBF" w:rsidRPr="00742BED">
        <w:rPr>
          <w:rFonts w:ascii="Arial" w:hAnsi="Arial" w:cs="Arial"/>
          <w:color w:val="000000" w:themeColor="text1"/>
          <w:sz w:val="21"/>
          <w:szCs w:val="21"/>
          <w:lang w:val="es-ES_tradnl"/>
        </w:rPr>
        <w:t>obligación</w:t>
      </w:r>
      <w:r w:rsidRPr="00742BED">
        <w:rPr>
          <w:rFonts w:ascii="Arial" w:hAnsi="Arial" w:cs="Arial"/>
          <w:color w:val="000000" w:themeColor="text1"/>
          <w:sz w:val="21"/>
          <w:szCs w:val="21"/>
          <w:lang w:val="es-ES_tradnl"/>
        </w:rPr>
        <w:t xml:space="preserve"> de pago </w:t>
      </w:r>
      <w:r w:rsidR="00AB6BBF" w:rsidRPr="00742BED">
        <w:rPr>
          <w:rFonts w:ascii="Arial" w:hAnsi="Arial" w:cs="Arial"/>
          <w:color w:val="000000" w:themeColor="text1"/>
          <w:sz w:val="21"/>
          <w:szCs w:val="21"/>
          <w:lang w:val="es-ES_tradnl"/>
        </w:rPr>
        <w:t>estaría</w:t>
      </w:r>
      <w:r w:rsidRPr="00742BED">
        <w:rPr>
          <w:rFonts w:ascii="Arial" w:hAnsi="Arial" w:cs="Arial"/>
          <w:color w:val="000000" w:themeColor="text1"/>
          <w:sz w:val="21"/>
          <w:szCs w:val="21"/>
          <w:lang w:val="es-ES_tradnl"/>
        </w:rPr>
        <w:t xml:space="preserve"> a cargo del contratista de obra y se </w:t>
      </w:r>
      <w:r w:rsidR="00AB6BBF" w:rsidRPr="00742BED">
        <w:rPr>
          <w:rFonts w:ascii="Arial" w:hAnsi="Arial" w:cs="Arial"/>
          <w:color w:val="000000" w:themeColor="text1"/>
          <w:sz w:val="21"/>
          <w:szCs w:val="21"/>
          <w:lang w:val="es-ES_tradnl"/>
        </w:rPr>
        <w:t>causaría</w:t>
      </w:r>
      <w:r w:rsidRPr="00742BED">
        <w:rPr>
          <w:rFonts w:ascii="Arial" w:hAnsi="Arial" w:cs="Arial"/>
          <w:color w:val="000000" w:themeColor="text1"/>
          <w:sz w:val="21"/>
          <w:szCs w:val="21"/>
          <w:lang w:val="es-ES_tradnl"/>
        </w:rPr>
        <w:t xml:space="preserve"> mes vencido contra </w:t>
      </w:r>
      <w:r w:rsidR="00AB6BBF" w:rsidRPr="00742BED">
        <w:rPr>
          <w:rFonts w:ascii="Arial" w:hAnsi="Arial" w:cs="Arial"/>
          <w:color w:val="000000" w:themeColor="text1"/>
          <w:sz w:val="21"/>
          <w:szCs w:val="21"/>
          <w:lang w:val="es-ES_tradnl"/>
        </w:rPr>
        <w:t>retención</w:t>
      </w:r>
      <w:r w:rsidRPr="00742BED">
        <w:rPr>
          <w:rFonts w:ascii="Arial" w:hAnsi="Arial" w:cs="Arial"/>
          <w:color w:val="000000" w:themeColor="text1"/>
          <w:sz w:val="21"/>
          <w:szCs w:val="21"/>
          <w:lang w:val="es-ES_tradnl"/>
        </w:rPr>
        <w:t xml:space="preserve"> del pago del contratista de obra y giro a la </w:t>
      </w:r>
      <w:r w:rsidR="00AB6BBF" w:rsidRPr="00742BED">
        <w:rPr>
          <w:rFonts w:ascii="Arial" w:hAnsi="Arial" w:cs="Arial"/>
          <w:color w:val="000000" w:themeColor="text1"/>
          <w:sz w:val="21"/>
          <w:szCs w:val="21"/>
          <w:lang w:val="es-ES_tradnl"/>
        </w:rPr>
        <w:t>interventoría</w:t>
      </w:r>
      <w:r w:rsidRPr="00742BED">
        <w:rPr>
          <w:rFonts w:ascii="Arial" w:hAnsi="Arial" w:cs="Arial"/>
          <w:color w:val="000000" w:themeColor="text1"/>
          <w:sz w:val="21"/>
          <w:szCs w:val="21"/>
          <w:lang w:val="es-ES_tradnl"/>
        </w:rPr>
        <w:t>?</w:t>
      </w:r>
    </w:p>
    <w:p w14:paraId="5CD97FD2" w14:textId="77777777" w:rsidR="00697010" w:rsidRPr="00742BED" w:rsidRDefault="00697010" w:rsidP="00697010">
      <w:pPr>
        <w:ind w:left="709" w:right="709"/>
        <w:jc w:val="both"/>
        <w:rPr>
          <w:rFonts w:ascii="Arial" w:hAnsi="Arial" w:cs="Arial"/>
          <w:color w:val="000000" w:themeColor="text1"/>
          <w:sz w:val="21"/>
          <w:szCs w:val="21"/>
          <w:lang w:val="es-ES_tradnl"/>
        </w:rPr>
      </w:pPr>
    </w:p>
    <w:p w14:paraId="1F097654" w14:textId="4944130B" w:rsidR="00697010" w:rsidRPr="00742BED" w:rsidRDefault="00697010" w:rsidP="00697010">
      <w:pPr>
        <w:ind w:left="709" w:right="709"/>
        <w:jc w:val="both"/>
        <w:rPr>
          <w:rFonts w:ascii="Arial" w:hAnsi="Arial" w:cs="Arial"/>
          <w:color w:val="000000" w:themeColor="text1"/>
          <w:sz w:val="21"/>
          <w:szCs w:val="21"/>
          <w:lang w:val="es-ES_tradnl"/>
        </w:rPr>
      </w:pPr>
      <w:r w:rsidRPr="00742BED">
        <w:rPr>
          <w:rFonts w:ascii="Arial" w:hAnsi="Arial" w:cs="Arial"/>
          <w:color w:val="000000" w:themeColor="text1"/>
          <w:sz w:val="21"/>
          <w:szCs w:val="21"/>
          <w:lang w:val="es-ES_tradnl"/>
        </w:rPr>
        <w:t xml:space="preserve">»[…] ¿Si la forma de pago de una </w:t>
      </w:r>
      <w:r w:rsidR="00AB6BBF" w:rsidRPr="00742BED">
        <w:rPr>
          <w:rFonts w:ascii="Arial" w:hAnsi="Arial" w:cs="Arial"/>
          <w:color w:val="000000" w:themeColor="text1"/>
          <w:sz w:val="21"/>
          <w:szCs w:val="21"/>
          <w:lang w:val="es-ES_tradnl"/>
        </w:rPr>
        <w:t>interventoría</w:t>
      </w:r>
      <w:r w:rsidRPr="00742BED">
        <w:rPr>
          <w:rFonts w:ascii="Arial" w:hAnsi="Arial" w:cs="Arial"/>
          <w:color w:val="000000" w:themeColor="text1"/>
          <w:sz w:val="21"/>
          <w:szCs w:val="21"/>
          <w:lang w:val="es-ES_tradnl"/>
        </w:rPr>
        <w:t xml:space="preserve"> es conforme avance de obra, y </w:t>
      </w:r>
      <w:r w:rsidR="00AB6BBF" w:rsidRPr="00742BED">
        <w:rPr>
          <w:rFonts w:ascii="Arial" w:hAnsi="Arial" w:cs="Arial"/>
          <w:color w:val="000000" w:themeColor="text1"/>
          <w:sz w:val="21"/>
          <w:szCs w:val="21"/>
          <w:lang w:val="es-ES_tradnl"/>
        </w:rPr>
        <w:t>habiéndose</w:t>
      </w:r>
      <w:r w:rsidRPr="00742BED">
        <w:rPr>
          <w:rFonts w:ascii="Arial" w:hAnsi="Arial" w:cs="Arial"/>
          <w:color w:val="000000" w:themeColor="text1"/>
          <w:sz w:val="21"/>
          <w:szCs w:val="21"/>
          <w:lang w:val="es-ES_tradnl"/>
        </w:rPr>
        <w:t xml:space="preserve"> cumplido el plazo se llega a un avance del 40%; no obstante, se pacta una </w:t>
      </w:r>
      <w:r w:rsidR="00AB6BBF" w:rsidRPr="00742BED">
        <w:rPr>
          <w:rFonts w:ascii="Arial" w:hAnsi="Arial" w:cs="Arial"/>
          <w:color w:val="000000" w:themeColor="text1"/>
          <w:sz w:val="21"/>
          <w:szCs w:val="21"/>
          <w:lang w:val="es-ES_tradnl"/>
        </w:rPr>
        <w:t>prórroga</w:t>
      </w:r>
      <w:r w:rsidRPr="00742BED">
        <w:rPr>
          <w:rFonts w:ascii="Arial" w:hAnsi="Arial" w:cs="Arial"/>
          <w:color w:val="000000" w:themeColor="text1"/>
          <w:sz w:val="21"/>
          <w:szCs w:val="21"/>
          <w:lang w:val="es-ES_tradnl"/>
        </w:rPr>
        <w:t xml:space="preserve"> y la </w:t>
      </w:r>
      <w:r w:rsidR="00AB6BBF" w:rsidRPr="00742BED">
        <w:rPr>
          <w:rFonts w:ascii="Arial" w:hAnsi="Arial" w:cs="Arial"/>
          <w:color w:val="000000" w:themeColor="text1"/>
          <w:sz w:val="21"/>
          <w:szCs w:val="21"/>
          <w:lang w:val="es-ES_tradnl"/>
        </w:rPr>
        <w:t>adición</w:t>
      </w:r>
      <w:r w:rsidRPr="00742BED">
        <w:rPr>
          <w:rFonts w:ascii="Arial" w:hAnsi="Arial" w:cs="Arial"/>
          <w:color w:val="000000" w:themeColor="text1"/>
          <w:sz w:val="21"/>
          <w:szCs w:val="21"/>
          <w:lang w:val="es-ES_tradnl"/>
        </w:rPr>
        <w:t xml:space="preserve"> en valor a cargo del contratista de obra, </w:t>
      </w:r>
      <w:r w:rsidR="00AB6BBF" w:rsidRPr="00742BED">
        <w:rPr>
          <w:rFonts w:ascii="Arial" w:hAnsi="Arial" w:cs="Arial"/>
          <w:color w:val="000000" w:themeColor="text1"/>
          <w:sz w:val="21"/>
          <w:szCs w:val="21"/>
          <w:lang w:val="es-ES_tradnl"/>
        </w:rPr>
        <w:t>cambiándose</w:t>
      </w:r>
      <w:r w:rsidRPr="00742BED">
        <w:rPr>
          <w:rFonts w:ascii="Arial" w:hAnsi="Arial" w:cs="Arial"/>
          <w:color w:val="000000" w:themeColor="text1"/>
          <w:sz w:val="21"/>
          <w:szCs w:val="21"/>
          <w:lang w:val="es-ES_tradnl"/>
        </w:rPr>
        <w:t xml:space="preserve"> la forma de pago a pagos mensuales a cargo del contratista de obra; ¿puede la entidad continuar pagando acuerdo avance de obra e igualmente el contratista de obra pagar el valor causado mensualmente?» (sic)</w:t>
      </w:r>
    </w:p>
    <w:p w14:paraId="3B04C431" w14:textId="490D4297" w:rsidR="00697010" w:rsidRPr="00742BED" w:rsidRDefault="00697010" w:rsidP="00510DE9">
      <w:pPr>
        <w:tabs>
          <w:tab w:val="left" w:pos="0"/>
        </w:tabs>
        <w:jc w:val="both"/>
        <w:rPr>
          <w:rFonts w:ascii="Arial" w:eastAsia="Calibri" w:hAnsi="Arial" w:cs="Arial"/>
          <w:color w:val="000000" w:themeColor="text1"/>
          <w:sz w:val="22"/>
          <w:lang w:val="es-ES_tradnl"/>
        </w:rPr>
      </w:pPr>
    </w:p>
    <w:p w14:paraId="3B15B633" w14:textId="77777777" w:rsidR="00D77CF4" w:rsidRPr="00742BED" w:rsidRDefault="004F6F6D" w:rsidP="000F6693">
      <w:pPr>
        <w:spacing w:before="120" w:line="276" w:lineRule="auto"/>
        <w:jc w:val="both"/>
        <w:rPr>
          <w:rFonts w:ascii="Arial" w:hAnsi="Arial" w:cs="Arial"/>
          <w:bCs/>
          <w:sz w:val="22"/>
          <w:lang w:val="es-ES_tradnl"/>
        </w:rPr>
      </w:pPr>
      <w:r w:rsidRPr="00742BED">
        <w:rPr>
          <w:rFonts w:ascii="Arial" w:hAnsi="Arial" w:cs="Arial"/>
          <w:color w:val="000000" w:themeColor="text1"/>
          <w:sz w:val="22"/>
          <w:szCs w:val="22"/>
          <w:lang w:val="es-ES_tradnl"/>
        </w:rPr>
        <w:t xml:space="preserve">Como se indicó en las consideraciones de este concepto, </w:t>
      </w:r>
      <w:r w:rsidRPr="00742BED">
        <w:rPr>
          <w:rFonts w:ascii="Arial" w:hAnsi="Arial" w:cs="Arial"/>
          <w:bCs/>
          <w:sz w:val="22"/>
          <w:lang w:val="es-ES_tradnl"/>
        </w:rPr>
        <w:t>tanto las entidades estatales sometidas al Estatuto General de Contratación de la Administración Pública, como las excluidas de este –es decir, las que tienen un régimen especial– gozan de autonomía</w:t>
      </w:r>
      <w:r w:rsidR="00D77CF4" w:rsidRPr="00742BED">
        <w:rPr>
          <w:rFonts w:ascii="Arial" w:hAnsi="Arial" w:cs="Arial"/>
          <w:bCs/>
          <w:sz w:val="22"/>
          <w:lang w:val="es-ES_tradnl"/>
        </w:rPr>
        <w:t xml:space="preserve"> de la voluntad</w:t>
      </w:r>
      <w:r w:rsidRPr="00742BED">
        <w:rPr>
          <w:rFonts w:ascii="Arial" w:hAnsi="Arial" w:cs="Arial"/>
          <w:bCs/>
          <w:sz w:val="22"/>
          <w:lang w:val="es-ES_tradnl"/>
        </w:rPr>
        <w:t xml:space="preserve"> para configurar el precio y para establecer el sistema de pago más apropiado para satisfacer los fines de la contratación, respetando los límites previstos en el ordenamiento. Para las entidades que se rigen por el Estatuto General de Contratación de la Administración Pública, tal autonomía está reconocida en los artículos 13, 32 y 40 de la Ley 80 de 1993</w:t>
      </w:r>
      <w:r w:rsidR="00D77CF4" w:rsidRPr="00742BED">
        <w:rPr>
          <w:rFonts w:ascii="Arial" w:hAnsi="Arial" w:cs="Arial"/>
          <w:bCs/>
          <w:sz w:val="22"/>
          <w:lang w:val="es-ES_tradnl"/>
        </w:rPr>
        <w:t>.</w:t>
      </w:r>
    </w:p>
    <w:p w14:paraId="4895B6FB" w14:textId="11E80C00" w:rsidR="00415E6A" w:rsidRPr="00742BED" w:rsidRDefault="00415E6A" w:rsidP="00415E6A">
      <w:pPr>
        <w:spacing w:before="120" w:after="120" w:line="276" w:lineRule="auto"/>
        <w:ind w:firstLine="709"/>
        <w:jc w:val="both"/>
        <w:rPr>
          <w:rFonts w:ascii="Arial" w:hAnsi="Arial" w:cs="Arial"/>
          <w:bCs/>
          <w:sz w:val="22"/>
          <w:lang w:val="es-ES_tradnl"/>
        </w:rPr>
      </w:pPr>
      <w:r w:rsidRPr="00742BED">
        <w:rPr>
          <w:rFonts w:ascii="Arial" w:hAnsi="Arial" w:cs="Arial"/>
          <w:bCs/>
          <w:sz w:val="22"/>
          <w:lang w:val="es-ES_tradnl"/>
        </w:rPr>
        <w:t>Desde la etapa de planeación, en la fase precontractual, las entidades estatales deben calcular el presupuesto oficial, mediante la realización del análisis del sector –que incluye el estudio del mercado– y definir la metodología con la cual estructurarán el precio del contrato. Dicho de otro modo, hace parte de los estudios previos la definición del esquema que la Administración usará para estipular el precio.</w:t>
      </w:r>
      <w:r w:rsidR="00927128" w:rsidRPr="00742BED">
        <w:rPr>
          <w:rFonts w:ascii="Arial" w:hAnsi="Arial" w:cs="Arial"/>
          <w:bCs/>
          <w:sz w:val="22"/>
          <w:lang w:val="es-ES_tradnl"/>
        </w:rPr>
        <w:t xml:space="preserve"> </w:t>
      </w:r>
      <w:r w:rsidRPr="00742BED">
        <w:rPr>
          <w:rFonts w:ascii="Arial" w:hAnsi="Arial" w:cs="Arial"/>
          <w:bCs/>
          <w:sz w:val="22"/>
          <w:lang w:val="es-ES_tradnl"/>
        </w:rPr>
        <w:t>Tal metodología generalmente depende del tipo de contrato, pues hay algunas modalidades más comunes en los de obra pública; otras más utilizadas en los de prestación de servicios y otras más indicadas para los de concesión, por mencionar algunos ejemplos.</w:t>
      </w:r>
    </w:p>
    <w:p w14:paraId="3299A7E8" w14:textId="27E24FE5" w:rsidR="00415E6A" w:rsidRPr="00742BED" w:rsidRDefault="00415E6A" w:rsidP="00415E6A">
      <w:pPr>
        <w:spacing w:before="120" w:after="120" w:line="276" w:lineRule="auto"/>
        <w:ind w:firstLine="709"/>
        <w:jc w:val="both"/>
        <w:rPr>
          <w:rFonts w:ascii="Arial" w:hAnsi="Arial" w:cs="Arial"/>
          <w:bCs/>
          <w:sz w:val="22"/>
          <w:lang w:val="es-ES_tradnl"/>
        </w:rPr>
      </w:pPr>
      <w:r w:rsidRPr="00742BED">
        <w:rPr>
          <w:rFonts w:ascii="Arial" w:hAnsi="Arial" w:cs="Arial"/>
          <w:bCs/>
          <w:sz w:val="22"/>
          <w:lang w:val="es-ES_tradnl"/>
        </w:rPr>
        <w:t>No hay, pues,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ii) el precio global –que equivale al monto total, sin discriminar unidades–, y iii) la administración delegada de recursos –en la que se distinguen los costos de inversión de los honorarios del administrador–.</w:t>
      </w:r>
    </w:p>
    <w:p w14:paraId="301FD710" w14:textId="593F8DE9" w:rsidR="00927128" w:rsidRPr="00742BED" w:rsidRDefault="00927128" w:rsidP="00927128">
      <w:pPr>
        <w:spacing w:before="120" w:after="120" w:line="276" w:lineRule="auto"/>
        <w:ind w:firstLine="709"/>
        <w:jc w:val="both"/>
        <w:rPr>
          <w:rFonts w:ascii="Arial" w:eastAsia="Calibri" w:hAnsi="Arial" w:cs="Arial"/>
          <w:sz w:val="22"/>
          <w:lang w:val="es-ES_tradnl"/>
        </w:rPr>
      </w:pPr>
      <w:r w:rsidRPr="00742BED">
        <w:rPr>
          <w:rFonts w:ascii="Arial" w:eastAsia="Calibri" w:hAnsi="Arial" w:cs="Arial"/>
          <w:sz w:val="22"/>
          <w:lang w:val="es-ES_tradnl"/>
        </w:rPr>
        <w:t xml:space="preserve">Ahora bien, la ejecución de los contratos estatales está sujeta a los cambios propios del paso del tiempo. Así, durante la etapa de planeación, las entidades públicas estiman y determinan las prestaciones que demanda la satisfacción de la necesidad de interés </w:t>
      </w:r>
      <w:r w:rsidRPr="00742BED">
        <w:rPr>
          <w:rFonts w:ascii="Arial" w:eastAsia="Calibri" w:hAnsi="Arial" w:cs="Arial"/>
          <w:sz w:val="22"/>
          <w:lang w:val="es-ES_tradnl"/>
        </w:rPr>
        <w:lastRenderedPageBreak/>
        <w:t xml:space="preserve">colectivo que pretende satisfacer. No obstante, durante la ejecución del contrato, las partes identifican alguna de las siguientes situaciones: i) la necesidad de mayores cantidades de bienes o actividades inicialmente previstos, a lo que se le conoce como «mayores cantidades de obra», «obras adicionales» o adición de «ítems contractuales»; y ii)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w:t>
      </w:r>
    </w:p>
    <w:p w14:paraId="14618841" w14:textId="7E133231" w:rsidR="00865AF2" w:rsidRPr="00742BED" w:rsidRDefault="00D65C15" w:rsidP="00865AF2">
      <w:pPr>
        <w:spacing w:before="120" w:after="120" w:line="276" w:lineRule="auto"/>
        <w:ind w:firstLine="709"/>
        <w:jc w:val="both"/>
        <w:rPr>
          <w:rFonts w:ascii="Arial" w:hAnsi="Arial" w:cs="Arial"/>
          <w:bCs/>
          <w:sz w:val="22"/>
          <w:lang w:val="es-ES_tradnl"/>
        </w:rPr>
      </w:pPr>
      <w:r w:rsidRPr="00742BED">
        <w:rPr>
          <w:rFonts w:ascii="Arial" w:hAnsi="Arial" w:cs="Arial"/>
          <w:bCs/>
          <w:sz w:val="22"/>
          <w:lang w:val="es-ES_tradnl"/>
        </w:rPr>
        <w:t xml:space="preserve">Sin embargo, la Agencia Nacional de Contratación Pública –Colombia Compra Eficiente– no tiene competencia para </w:t>
      </w:r>
      <w:r w:rsidR="00E025C0" w:rsidRPr="00742BED">
        <w:rPr>
          <w:rFonts w:ascii="Arial" w:hAnsi="Arial" w:cs="Arial"/>
          <w:bCs/>
          <w:sz w:val="22"/>
          <w:lang w:val="es-ES_tradnl"/>
        </w:rPr>
        <w:t xml:space="preserve">validar en sede consultiva </w:t>
      </w:r>
      <w:r w:rsidR="006D6575" w:rsidRPr="00742BED">
        <w:rPr>
          <w:rFonts w:ascii="Arial" w:hAnsi="Arial" w:cs="Arial"/>
          <w:bCs/>
          <w:sz w:val="22"/>
          <w:lang w:val="es-ES_tradnl"/>
        </w:rPr>
        <w:t>la viabilidad de una forma de pago para un contrato en particular</w:t>
      </w:r>
      <w:r w:rsidR="00D028B5" w:rsidRPr="00742BED">
        <w:rPr>
          <w:rFonts w:ascii="Arial" w:hAnsi="Arial" w:cs="Arial"/>
          <w:bCs/>
          <w:sz w:val="22"/>
          <w:lang w:val="es-ES_tradnl"/>
        </w:rPr>
        <w:t xml:space="preserve"> o </w:t>
      </w:r>
      <w:r w:rsidR="00046C0A" w:rsidRPr="00742BED">
        <w:rPr>
          <w:rFonts w:ascii="Arial" w:hAnsi="Arial" w:cs="Arial"/>
          <w:bCs/>
          <w:sz w:val="22"/>
          <w:lang w:val="es-ES_tradnl"/>
        </w:rPr>
        <w:t xml:space="preserve">la procedencia de una adición financiada con recursos </w:t>
      </w:r>
      <w:r w:rsidR="00D605BB" w:rsidRPr="00742BED">
        <w:rPr>
          <w:rFonts w:ascii="Arial" w:hAnsi="Arial" w:cs="Arial"/>
          <w:bCs/>
          <w:sz w:val="22"/>
          <w:lang w:val="es-ES_tradnl"/>
        </w:rPr>
        <w:t>de otro contratista</w:t>
      </w:r>
      <w:r w:rsidR="006D6575" w:rsidRPr="00742BED">
        <w:rPr>
          <w:rFonts w:ascii="Arial" w:hAnsi="Arial" w:cs="Arial"/>
          <w:bCs/>
          <w:sz w:val="22"/>
          <w:lang w:val="es-ES_tradnl"/>
        </w:rPr>
        <w:t xml:space="preserve">, ya que este análisis lo deben efectuar en cada caso las entidades estatales, teniendo en cuenta el objeto y alcance del contrato, </w:t>
      </w:r>
      <w:r w:rsidR="00E337CC" w:rsidRPr="00742BED">
        <w:rPr>
          <w:rFonts w:ascii="Arial" w:hAnsi="Arial" w:cs="Arial"/>
          <w:bCs/>
          <w:sz w:val="22"/>
          <w:lang w:val="es-ES_tradnl"/>
        </w:rPr>
        <w:t>la disponibilidad presupuestal</w:t>
      </w:r>
      <w:r w:rsidR="006D6575" w:rsidRPr="00742BED">
        <w:rPr>
          <w:rFonts w:ascii="Arial" w:hAnsi="Arial" w:cs="Arial"/>
          <w:bCs/>
          <w:sz w:val="22"/>
          <w:lang w:val="es-ES_tradnl"/>
        </w:rPr>
        <w:t>, los riesgos inherentes a la contratación</w:t>
      </w:r>
      <w:r w:rsidR="00435530" w:rsidRPr="00742BED">
        <w:rPr>
          <w:rFonts w:ascii="Arial" w:hAnsi="Arial" w:cs="Arial"/>
          <w:bCs/>
          <w:sz w:val="22"/>
          <w:lang w:val="es-ES_tradnl"/>
        </w:rPr>
        <w:t xml:space="preserve"> y la información relativa a la ejecución del </w:t>
      </w:r>
      <w:r w:rsidR="009B15C4" w:rsidRPr="00742BED">
        <w:rPr>
          <w:rFonts w:ascii="Arial" w:hAnsi="Arial" w:cs="Arial"/>
          <w:bCs/>
          <w:sz w:val="22"/>
          <w:lang w:val="es-ES_tradnl"/>
        </w:rPr>
        <w:t>negocio</w:t>
      </w:r>
      <w:r w:rsidR="00435530" w:rsidRPr="00742BED">
        <w:rPr>
          <w:rFonts w:ascii="Arial" w:hAnsi="Arial" w:cs="Arial"/>
          <w:bCs/>
          <w:sz w:val="22"/>
          <w:lang w:val="es-ES_tradnl"/>
        </w:rPr>
        <w:t>.</w:t>
      </w:r>
      <w:r w:rsidR="00AF49CE" w:rsidRPr="00742BED">
        <w:rPr>
          <w:rFonts w:ascii="Arial" w:hAnsi="Arial" w:cs="Arial"/>
          <w:bCs/>
          <w:sz w:val="22"/>
          <w:lang w:val="es-ES_tradnl"/>
        </w:rPr>
        <w:t xml:space="preserve"> </w:t>
      </w:r>
      <w:r w:rsidR="00865AF2" w:rsidRPr="00742BED">
        <w:rPr>
          <w:rFonts w:ascii="Arial" w:hAnsi="Arial" w:cs="Arial"/>
          <w:bCs/>
          <w:sz w:val="22"/>
          <w:lang w:val="es-ES_tradnl"/>
        </w:rPr>
        <w:t xml:space="preserve">En principio, el segundo inciso del artículo 40 de la Ley 80 de 1993 establece que «Las entidades podrán celebrar los contratos y acuerdos que permitan la autonomía de la voluntad y requieran el cumplimiento de los fines estatales», siempre que </w:t>
      </w:r>
      <w:r w:rsidR="007E3F27" w:rsidRPr="00742BED">
        <w:rPr>
          <w:rFonts w:ascii="Arial" w:hAnsi="Arial" w:cs="Arial"/>
          <w:bCs/>
          <w:sz w:val="22"/>
          <w:lang w:val="es-ES_tradnl"/>
        </w:rPr>
        <w:t>estén debidamente justificados y no aten</w:t>
      </w:r>
      <w:r w:rsidR="00526181" w:rsidRPr="00742BED">
        <w:rPr>
          <w:rFonts w:ascii="Arial" w:hAnsi="Arial" w:cs="Arial"/>
          <w:bCs/>
          <w:sz w:val="22"/>
          <w:lang w:val="es-ES_tradnl"/>
        </w:rPr>
        <w:t>t</w:t>
      </w:r>
      <w:r w:rsidR="007E3F27" w:rsidRPr="00742BED">
        <w:rPr>
          <w:rFonts w:ascii="Arial" w:hAnsi="Arial" w:cs="Arial"/>
          <w:bCs/>
          <w:sz w:val="22"/>
          <w:lang w:val="es-ES_tradnl"/>
        </w:rPr>
        <w:t>en contra las normas de orden público.</w:t>
      </w:r>
    </w:p>
    <w:p w14:paraId="49795F79" w14:textId="4A91379F" w:rsidR="00D65C15" w:rsidRPr="00742BED" w:rsidRDefault="00AF49CE" w:rsidP="00415E6A">
      <w:pPr>
        <w:spacing w:before="120" w:after="120" w:line="276" w:lineRule="auto"/>
        <w:ind w:firstLine="709"/>
        <w:jc w:val="both"/>
        <w:rPr>
          <w:rFonts w:ascii="Arial" w:hAnsi="Arial" w:cs="Arial"/>
          <w:bCs/>
          <w:sz w:val="22"/>
          <w:lang w:val="es-ES_tradnl"/>
        </w:rPr>
      </w:pPr>
      <w:r w:rsidRPr="00742BED">
        <w:rPr>
          <w:rFonts w:ascii="Arial" w:hAnsi="Arial" w:cs="Arial"/>
          <w:bCs/>
          <w:sz w:val="22"/>
          <w:lang w:val="es-ES_tradnl"/>
        </w:rPr>
        <w:t xml:space="preserve">De esta manera, es la entidad estatal la que debe </w:t>
      </w:r>
      <w:r w:rsidR="00DD47D3" w:rsidRPr="00742BED">
        <w:rPr>
          <w:rFonts w:ascii="Arial" w:hAnsi="Arial" w:cs="Arial"/>
          <w:bCs/>
          <w:sz w:val="22"/>
          <w:lang w:val="es-ES_tradnl"/>
        </w:rPr>
        <w:t xml:space="preserve">valorar si </w:t>
      </w:r>
      <w:r w:rsidR="00ED7609" w:rsidRPr="00742BED">
        <w:rPr>
          <w:rFonts w:ascii="Arial" w:hAnsi="Arial" w:cs="Arial"/>
          <w:bCs/>
          <w:sz w:val="22"/>
          <w:lang w:val="es-ES_tradnl"/>
        </w:rPr>
        <w:t>la no culminación</w:t>
      </w:r>
      <w:r w:rsidR="00DD47D3" w:rsidRPr="00742BED">
        <w:rPr>
          <w:rFonts w:ascii="Arial" w:hAnsi="Arial" w:cs="Arial"/>
          <w:bCs/>
          <w:sz w:val="22"/>
          <w:lang w:val="es-ES_tradnl"/>
        </w:rPr>
        <w:t xml:space="preserve"> de</w:t>
      </w:r>
      <w:r w:rsidR="00ED7609" w:rsidRPr="00742BED">
        <w:rPr>
          <w:rFonts w:ascii="Arial" w:hAnsi="Arial" w:cs="Arial"/>
          <w:bCs/>
          <w:sz w:val="22"/>
          <w:lang w:val="es-ES_tradnl"/>
        </w:rPr>
        <w:t xml:space="preserve"> la actividad contractual en el plazo pactado</w:t>
      </w:r>
      <w:r w:rsidR="00DD47D3" w:rsidRPr="00742BED">
        <w:rPr>
          <w:rFonts w:ascii="Arial" w:hAnsi="Arial" w:cs="Arial"/>
          <w:bCs/>
          <w:sz w:val="22"/>
          <w:lang w:val="es-ES_tradnl"/>
        </w:rPr>
        <w:t xml:space="preserve"> es imputable </w:t>
      </w:r>
      <w:r w:rsidR="00066D6D" w:rsidRPr="00742BED">
        <w:rPr>
          <w:rFonts w:ascii="Arial" w:hAnsi="Arial" w:cs="Arial"/>
          <w:bCs/>
          <w:sz w:val="22"/>
          <w:lang w:val="es-ES_tradnl"/>
        </w:rPr>
        <w:t xml:space="preserve">o no </w:t>
      </w:r>
      <w:r w:rsidR="00DD47D3" w:rsidRPr="00742BED">
        <w:rPr>
          <w:rFonts w:ascii="Arial" w:hAnsi="Arial" w:cs="Arial"/>
          <w:bCs/>
          <w:sz w:val="22"/>
          <w:lang w:val="es-ES_tradnl"/>
        </w:rPr>
        <w:t xml:space="preserve">al contratista y </w:t>
      </w:r>
      <w:r w:rsidR="00125A2E" w:rsidRPr="00742BED">
        <w:rPr>
          <w:rFonts w:ascii="Arial" w:hAnsi="Arial" w:cs="Arial"/>
          <w:bCs/>
          <w:sz w:val="22"/>
          <w:lang w:val="es-ES_tradnl"/>
        </w:rPr>
        <w:t>si procede llegar</w:t>
      </w:r>
      <w:r w:rsidR="00435530" w:rsidRPr="00742BED">
        <w:rPr>
          <w:rFonts w:ascii="Arial" w:hAnsi="Arial" w:cs="Arial"/>
          <w:bCs/>
          <w:sz w:val="22"/>
          <w:lang w:val="es-ES_tradnl"/>
        </w:rPr>
        <w:t xml:space="preserve"> </w:t>
      </w:r>
      <w:r w:rsidR="00125A2E" w:rsidRPr="00742BED">
        <w:rPr>
          <w:rFonts w:ascii="Arial" w:hAnsi="Arial" w:cs="Arial"/>
          <w:bCs/>
          <w:sz w:val="22"/>
          <w:lang w:val="es-ES_tradnl"/>
        </w:rPr>
        <w:t xml:space="preserve">a un acuerdo con </w:t>
      </w:r>
      <w:r w:rsidR="00ED7609" w:rsidRPr="00742BED">
        <w:rPr>
          <w:rFonts w:ascii="Arial" w:hAnsi="Arial" w:cs="Arial"/>
          <w:bCs/>
          <w:sz w:val="22"/>
          <w:lang w:val="es-ES_tradnl"/>
        </w:rPr>
        <w:t>él, a modo de transacción</w:t>
      </w:r>
      <w:r w:rsidR="00125A2E" w:rsidRPr="00742BED">
        <w:rPr>
          <w:rFonts w:ascii="Arial" w:hAnsi="Arial" w:cs="Arial"/>
          <w:bCs/>
          <w:sz w:val="22"/>
          <w:lang w:val="es-ES_tradnl"/>
        </w:rPr>
        <w:t>.</w:t>
      </w:r>
      <w:r w:rsidR="005A33BF" w:rsidRPr="00742BED">
        <w:rPr>
          <w:rFonts w:ascii="Arial" w:hAnsi="Arial" w:cs="Arial"/>
          <w:bCs/>
          <w:sz w:val="22"/>
          <w:lang w:val="es-ES_tradnl"/>
        </w:rPr>
        <w:t xml:space="preserve"> Así mismo, </w:t>
      </w:r>
      <w:r w:rsidR="00066D6D" w:rsidRPr="00742BED">
        <w:rPr>
          <w:rFonts w:ascii="Arial" w:hAnsi="Arial" w:cs="Arial"/>
          <w:bCs/>
          <w:sz w:val="22"/>
          <w:lang w:val="es-ES_tradnl"/>
        </w:rPr>
        <w:t>corresponde a</w:t>
      </w:r>
      <w:r w:rsidR="005A33BF" w:rsidRPr="00742BED">
        <w:rPr>
          <w:rFonts w:ascii="Arial" w:hAnsi="Arial" w:cs="Arial"/>
          <w:bCs/>
          <w:sz w:val="22"/>
          <w:lang w:val="es-ES_tradnl"/>
        </w:rPr>
        <w:t xml:space="preserve"> la entidad determinar la fuente financiera de los recursos que requiera adicionarle a un contrato, cumpliendo con las normas presupuestales sobre la materia</w:t>
      </w:r>
      <w:r w:rsidR="000A622F" w:rsidRPr="00742BED">
        <w:rPr>
          <w:rFonts w:ascii="Arial" w:hAnsi="Arial" w:cs="Arial"/>
          <w:bCs/>
          <w:sz w:val="22"/>
          <w:lang w:val="es-ES_tradnl"/>
        </w:rPr>
        <w:t xml:space="preserve">. Finalmente, no debe olvidarse que en la suscripción de las modificaciones contractuales </w:t>
      </w:r>
      <w:r w:rsidR="00535FC3" w:rsidRPr="00742BED">
        <w:rPr>
          <w:rFonts w:ascii="Arial" w:hAnsi="Arial" w:cs="Arial"/>
          <w:bCs/>
          <w:sz w:val="22"/>
          <w:lang w:val="es-ES_tradnl"/>
        </w:rPr>
        <w:t xml:space="preserve">y en los mecanismos de arreglo directo –uno de los cuales es la transacción– </w:t>
      </w:r>
      <w:r w:rsidR="000A622F" w:rsidRPr="00742BED">
        <w:rPr>
          <w:rFonts w:ascii="Arial" w:hAnsi="Arial" w:cs="Arial"/>
          <w:bCs/>
          <w:sz w:val="22"/>
          <w:lang w:val="es-ES_tradnl"/>
        </w:rPr>
        <w:t>deben garantizarse los principios de planeación, de la función administrativa y de la gestión fiscal.</w:t>
      </w:r>
    </w:p>
    <w:p w14:paraId="18B33146" w14:textId="584EC35D" w:rsidR="002306BF" w:rsidRPr="00742BED" w:rsidRDefault="002306BF" w:rsidP="009E03C7">
      <w:pPr>
        <w:spacing w:line="276" w:lineRule="auto"/>
        <w:jc w:val="both"/>
        <w:rPr>
          <w:rFonts w:ascii="Arial" w:hAnsi="Arial" w:cs="Arial"/>
          <w:color w:val="000000" w:themeColor="text1"/>
          <w:sz w:val="22"/>
          <w:szCs w:val="22"/>
          <w:lang w:val="es-ES_tradnl"/>
        </w:rPr>
      </w:pPr>
    </w:p>
    <w:p w14:paraId="7B2C921D" w14:textId="0F929B38" w:rsidR="00DD5B04" w:rsidRPr="00742BED" w:rsidRDefault="00DD5B04" w:rsidP="00DF76A2">
      <w:pPr>
        <w:spacing w:line="276" w:lineRule="auto"/>
        <w:jc w:val="both"/>
        <w:rPr>
          <w:rFonts w:ascii="Arial" w:hAnsi="Arial" w:cs="Arial"/>
          <w:color w:val="000000" w:themeColor="text1"/>
          <w:sz w:val="22"/>
          <w:lang w:val="es-ES_tradnl"/>
        </w:rPr>
      </w:pPr>
      <w:r w:rsidRPr="00742BED">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742BED"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692FC307" w14:textId="4E321F3B" w:rsidR="00921304" w:rsidRPr="00742BED" w:rsidRDefault="00DD5B04"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742BED">
        <w:rPr>
          <w:rFonts w:ascii="Arial" w:hAnsi="Arial" w:cs="Arial"/>
          <w:color w:val="000000" w:themeColor="text1"/>
          <w:sz w:val="22"/>
          <w:szCs w:val="22"/>
          <w:lang w:val="es-ES_tradnl"/>
        </w:rPr>
        <w:t>Atentamente,</w:t>
      </w:r>
    </w:p>
    <w:p w14:paraId="30AA3DC7" w14:textId="02C2A602" w:rsidR="00921304" w:rsidRPr="00742BED" w:rsidRDefault="00A154D5" w:rsidP="00F90C4D">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00673EFF" wp14:editId="13E86CD2">
            <wp:extent cx="2518154" cy="1116000"/>
            <wp:effectExtent l="0" t="0" r="0" b="1905"/>
            <wp:docPr id="1881124724" name="Imagen 188112472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2518154" cy="1116000"/>
                    </a:xfrm>
                    <a:prstGeom prst="rect">
                      <a:avLst/>
                    </a:prstGeom>
                  </pic:spPr>
                </pic:pic>
              </a:graphicData>
            </a:graphic>
          </wp:inline>
        </w:drawing>
      </w:r>
    </w:p>
    <w:p w14:paraId="5CBAE239" w14:textId="77777777" w:rsidR="00425C43" w:rsidRPr="00742BED" w:rsidRDefault="00425C43" w:rsidP="00B37657">
      <w:pPr>
        <w:jc w:val="center"/>
        <w:rPr>
          <w:rFonts w:ascii="Arial" w:hAnsi="Arial" w:cs="Arial"/>
          <w:color w:val="000000" w:themeColor="text1"/>
          <w:sz w:val="18"/>
          <w:szCs w:val="20"/>
          <w:lang w:val="es-ES_tradnl" w:eastAsia="es-CO"/>
        </w:rPr>
      </w:pPr>
    </w:p>
    <w:p w14:paraId="49730030" w14:textId="217D35F3" w:rsidR="00DD5B04" w:rsidRPr="00742BED" w:rsidRDefault="00DD5B04" w:rsidP="00B37657">
      <w:pPr>
        <w:jc w:val="center"/>
        <w:rPr>
          <w:rFonts w:ascii="Arial"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742BED" w14:paraId="0C7DC5F7" w14:textId="77777777" w:rsidTr="008F4163">
        <w:trPr>
          <w:trHeight w:val="315"/>
        </w:trPr>
        <w:tc>
          <w:tcPr>
            <w:tcW w:w="812" w:type="dxa"/>
            <w:vAlign w:val="center"/>
            <w:hideMark/>
          </w:tcPr>
          <w:p w14:paraId="5BDB1AC9" w14:textId="77777777" w:rsidR="00DD5B04" w:rsidRPr="00742BED" w:rsidRDefault="00DD5B04" w:rsidP="00DF76A2">
            <w:pPr>
              <w:jc w:val="both"/>
              <w:rPr>
                <w:rFonts w:ascii="Arial" w:hAnsi="Arial" w:cs="Arial"/>
                <w:color w:val="000000" w:themeColor="text1"/>
                <w:sz w:val="16"/>
                <w:szCs w:val="16"/>
                <w:lang w:val="es-ES_tradnl" w:eastAsia="es-ES"/>
              </w:rPr>
            </w:pPr>
            <w:r w:rsidRPr="00742BED">
              <w:rPr>
                <w:rFonts w:ascii="Arial" w:hAnsi="Arial" w:cs="Arial"/>
                <w:color w:val="000000" w:themeColor="text1"/>
                <w:sz w:val="16"/>
                <w:szCs w:val="16"/>
                <w:lang w:val="es-ES_tradnl" w:eastAsia="es-ES"/>
              </w:rPr>
              <w:lastRenderedPageBreak/>
              <w:t>Elaboró:</w:t>
            </w:r>
          </w:p>
        </w:tc>
        <w:tc>
          <w:tcPr>
            <w:tcW w:w="4413" w:type="dxa"/>
            <w:tcBorders>
              <w:top w:val="nil"/>
              <w:left w:val="nil"/>
              <w:bottom w:val="dotted" w:sz="4" w:space="0" w:color="7F7F7F" w:themeColor="text1" w:themeTint="80"/>
              <w:right w:val="nil"/>
            </w:tcBorders>
            <w:vAlign w:val="center"/>
            <w:hideMark/>
          </w:tcPr>
          <w:p w14:paraId="7F9F79B1" w14:textId="77777777" w:rsidR="00DD5B04" w:rsidRPr="00742BED" w:rsidRDefault="00DD5B04" w:rsidP="00DF76A2">
            <w:pPr>
              <w:jc w:val="both"/>
              <w:rPr>
                <w:rFonts w:ascii="Arial" w:hAnsi="Arial" w:cs="Arial"/>
                <w:color w:val="000000" w:themeColor="text1"/>
                <w:sz w:val="16"/>
                <w:szCs w:val="16"/>
                <w:lang w:val="es-ES_tradnl" w:eastAsia="es-ES"/>
              </w:rPr>
            </w:pPr>
            <w:r w:rsidRPr="00742BED">
              <w:rPr>
                <w:rFonts w:ascii="Arial" w:hAnsi="Arial" w:cs="Arial"/>
                <w:color w:val="000000" w:themeColor="text1"/>
                <w:sz w:val="16"/>
                <w:szCs w:val="16"/>
                <w:lang w:val="es-ES_tradnl" w:eastAsia="es-ES"/>
              </w:rPr>
              <w:t>Cristian Andrés Díaz Díez</w:t>
            </w:r>
          </w:p>
          <w:p w14:paraId="240C71FD" w14:textId="31312C95" w:rsidR="00DD5B04" w:rsidRPr="00742BED" w:rsidRDefault="00DD5B04" w:rsidP="00DF76A2">
            <w:pPr>
              <w:jc w:val="both"/>
              <w:rPr>
                <w:rFonts w:ascii="Arial" w:hAnsi="Arial" w:cs="Arial"/>
                <w:color w:val="000000" w:themeColor="text1"/>
                <w:sz w:val="16"/>
                <w:szCs w:val="16"/>
                <w:lang w:val="es-ES_tradnl" w:eastAsia="es-ES"/>
              </w:rPr>
            </w:pPr>
            <w:r w:rsidRPr="00742BED">
              <w:rPr>
                <w:rFonts w:ascii="Arial" w:hAnsi="Arial" w:cs="Arial"/>
                <w:color w:val="000000" w:themeColor="text1"/>
                <w:sz w:val="16"/>
                <w:szCs w:val="16"/>
                <w:lang w:val="es-ES_tradnl" w:eastAsia="es-ES"/>
              </w:rPr>
              <w:t>Contratista</w:t>
            </w:r>
            <w:r w:rsidR="00FF0050" w:rsidRPr="00742BED">
              <w:rPr>
                <w:rFonts w:ascii="Arial" w:hAnsi="Arial" w:cs="Arial"/>
                <w:color w:val="000000" w:themeColor="text1"/>
                <w:sz w:val="16"/>
                <w:szCs w:val="16"/>
                <w:lang w:val="es-ES_tradnl" w:eastAsia="es-ES"/>
              </w:rPr>
              <w:t xml:space="preserve"> de la </w:t>
            </w:r>
            <w:r w:rsidRPr="00742BED">
              <w:rPr>
                <w:rFonts w:ascii="Arial" w:hAnsi="Arial" w:cs="Arial"/>
                <w:color w:val="000000" w:themeColor="text1"/>
                <w:sz w:val="16"/>
                <w:szCs w:val="16"/>
                <w:lang w:val="es-ES_tradnl" w:eastAsia="es-ES"/>
              </w:rPr>
              <w:t>Subdirección de Gestión Contractual</w:t>
            </w:r>
          </w:p>
        </w:tc>
      </w:tr>
      <w:tr w:rsidR="00DD5B04" w:rsidRPr="00742BED" w14:paraId="2F8FD650" w14:textId="77777777" w:rsidTr="008F4163">
        <w:trPr>
          <w:trHeight w:val="330"/>
        </w:trPr>
        <w:tc>
          <w:tcPr>
            <w:tcW w:w="812" w:type="dxa"/>
            <w:vAlign w:val="center"/>
            <w:hideMark/>
          </w:tcPr>
          <w:p w14:paraId="50203A0B" w14:textId="77777777" w:rsidR="00DD5B04" w:rsidRPr="00742BED" w:rsidRDefault="00DD5B04" w:rsidP="00DF76A2">
            <w:pPr>
              <w:jc w:val="both"/>
              <w:rPr>
                <w:rFonts w:ascii="Arial" w:hAnsi="Arial" w:cs="Arial"/>
                <w:color w:val="000000" w:themeColor="text1"/>
                <w:sz w:val="16"/>
                <w:szCs w:val="16"/>
                <w:lang w:val="es-ES_tradnl" w:eastAsia="es-ES"/>
              </w:rPr>
            </w:pPr>
            <w:r w:rsidRPr="00742BED">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9E5EF6C" w14:textId="77777777" w:rsidR="00F1085C" w:rsidRPr="00742BED" w:rsidRDefault="00F1085C" w:rsidP="00F1085C">
            <w:pPr>
              <w:jc w:val="both"/>
              <w:rPr>
                <w:rFonts w:ascii="Arial" w:hAnsi="Arial" w:cs="Arial"/>
                <w:color w:val="000000" w:themeColor="text1"/>
                <w:sz w:val="16"/>
                <w:szCs w:val="16"/>
                <w:lang w:val="es-ES_tradnl" w:eastAsia="es-ES"/>
              </w:rPr>
            </w:pPr>
            <w:r w:rsidRPr="00742BED">
              <w:rPr>
                <w:rFonts w:ascii="Arial" w:hAnsi="Arial" w:cs="Arial"/>
                <w:color w:val="000000" w:themeColor="text1"/>
                <w:sz w:val="16"/>
                <w:szCs w:val="16"/>
                <w:lang w:val="es-ES_tradnl" w:eastAsia="es-ES"/>
              </w:rPr>
              <w:t>Sebastián Ramírez Grisales</w:t>
            </w:r>
          </w:p>
          <w:p w14:paraId="130B3228" w14:textId="551EBD21" w:rsidR="00DD5B04" w:rsidRPr="00742BED" w:rsidRDefault="00F1085C" w:rsidP="00F1085C">
            <w:pPr>
              <w:jc w:val="both"/>
              <w:rPr>
                <w:rFonts w:ascii="Arial" w:hAnsi="Arial" w:cs="Arial"/>
                <w:color w:val="000000" w:themeColor="text1"/>
                <w:sz w:val="16"/>
                <w:szCs w:val="16"/>
                <w:lang w:val="es-ES_tradnl" w:eastAsia="es-ES"/>
              </w:rPr>
            </w:pPr>
            <w:r w:rsidRPr="00742BED">
              <w:rPr>
                <w:rFonts w:ascii="Arial" w:hAnsi="Arial" w:cs="Arial"/>
                <w:color w:val="000000" w:themeColor="text1"/>
                <w:sz w:val="16"/>
                <w:szCs w:val="16"/>
                <w:lang w:val="es-ES_tradnl" w:eastAsia="es-ES"/>
              </w:rPr>
              <w:t>Gestor T1-15 de la Subdirección de Gestión Contractual</w:t>
            </w:r>
          </w:p>
        </w:tc>
      </w:tr>
      <w:tr w:rsidR="00DD5B04" w:rsidRPr="009C65EB" w14:paraId="0FCBCA4A" w14:textId="77777777" w:rsidTr="008F4163">
        <w:trPr>
          <w:trHeight w:val="300"/>
        </w:trPr>
        <w:tc>
          <w:tcPr>
            <w:tcW w:w="812" w:type="dxa"/>
            <w:vAlign w:val="center"/>
            <w:hideMark/>
          </w:tcPr>
          <w:p w14:paraId="3C1D943A" w14:textId="77777777" w:rsidR="00DD5B04" w:rsidRPr="00742BED" w:rsidRDefault="00DD5B04" w:rsidP="00DF76A2">
            <w:pPr>
              <w:jc w:val="both"/>
              <w:rPr>
                <w:rFonts w:ascii="Arial" w:hAnsi="Arial" w:cs="Arial"/>
                <w:color w:val="000000" w:themeColor="text1"/>
                <w:sz w:val="16"/>
                <w:szCs w:val="16"/>
                <w:lang w:val="es-ES_tradnl" w:eastAsia="es-ES"/>
              </w:rPr>
            </w:pPr>
            <w:r w:rsidRPr="00742BED">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742BED" w:rsidRDefault="00C05A61" w:rsidP="00DF76A2">
            <w:pPr>
              <w:jc w:val="both"/>
              <w:rPr>
                <w:rFonts w:ascii="Arial" w:hAnsi="Arial" w:cs="Arial"/>
                <w:color w:val="000000" w:themeColor="text1"/>
                <w:sz w:val="16"/>
                <w:szCs w:val="16"/>
                <w:lang w:val="es-ES_tradnl" w:eastAsia="es-ES"/>
              </w:rPr>
            </w:pPr>
            <w:r w:rsidRPr="00742BED">
              <w:rPr>
                <w:rFonts w:ascii="Arial" w:hAnsi="Arial" w:cs="Arial"/>
                <w:color w:val="000000" w:themeColor="text1"/>
                <w:sz w:val="16"/>
                <w:szCs w:val="16"/>
                <w:lang w:val="es-ES_tradnl" w:eastAsia="es-ES"/>
              </w:rPr>
              <w:t xml:space="preserve">Jorge </w:t>
            </w:r>
            <w:r w:rsidR="00647A36" w:rsidRPr="00742BED">
              <w:rPr>
                <w:rFonts w:ascii="Arial" w:hAnsi="Arial" w:cs="Arial"/>
                <w:color w:val="000000" w:themeColor="text1"/>
                <w:sz w:val="16"/>
                <w:szCs w:val="16"/>
                <w:lang w:val="es-ES_tradnl" w:eastAsia="es-ES"/>
              </w:rPr>
              <w:t xml:space="preserve">Augusto </w:t>
            </w:r>
            <w:r w:rsidRPr="00742BED">
              <w:rPr>
                <w:rFonts w:ascii="Arial" w:hAnsi="Arial" w:cs="Arial"/>
                <w:color w:val="000000" w:themeColor="text1"/>
                <w:sz w:val="16"/>
                <w:szCs w:val="16"/>
                <w:lang w:val="es-ES_tradnl" w:eastAsia="es-ES"/>
              </w:rPr>
              <w:t>Tirado Navarro</w:t>
            </w:r>
          </w:p>
          <w:p w14:paraId="1ADC483B" w14:textId="2E3B66D0" w:rsidR="00DD5B04" w:rsidRPr="009C65EB" w:rsidRDefault="00DD5B04" w:rsidP="00DF76A2">
            <w:pPr>
              <w:jc w:val="both"/>
              <w:rPr>
                <w:rFonts w:ascii="Arial" w:hAnsi="Arial" w:cs="Arial"/>
                <w:color w:val="000000" w:themeColor="text1"/>
                <w:sz w:val="16"/>
                <w:szCs w:val="16"/>
                <w:lang w:val="es-ES_tradnl" w:eastAsia="es-ES"/>
              </w:rPr>
            </w:pPr>
            <w:r w:rsidRPr="00742BED">
              <w:rPr>
                <w:rFonts w:ascii="Arial" w:hAnsi="Arial" w:cs="Arial"/>
                <w:color w:val="000000" w:themeColor="text1"/>
                <w:sz w:val="16"/>
                <w:szCs w:val="16"/>
                <w:lang w:val="es-ES_tradnl" w:eastAsia="es-ES"/>
              </w:rPr>
              <w:t>Subdirector de Gestión Contractual</w:t>
            </w:r>
            <w:r w:rsidR="008201DE" w:rsidRPr="00742BED">
              <w:rPr>
                <w:rFonts w:ascii="Arial" w:hAnsi="Arial" w:cs="Arial"/>
                <w:color w:val="000000" w:themeColor="text1"/>
                <w:sz w:val="16"/>
                <w:szCs w:val="16"/>
                <w:lang w:val="es-ES_tradnl" w:eastAsia="es-ES"/>
              </w:rPr>
              <w:t xml:space="preserve"> ANCP – CCE</w:t>
            </w:r>
          </w:p>
        </w:tc>
      </w:tr>
    </w:tbl>
    <w:p w14:paraId="271FA271" w14:textId="50773E21" w:rsidR="00AB6BBF" w:rsidRPr="00AB6BBF" w:rsidRDefault="00AB6BBF" w:rsidP="00AB6BBF">
      <w:pPr>
        <w:tabs>
          <w:tab w:val="left" w:pos="2232"/>
        </w:tabs>
        <w:rPr>
          <w:rFonts w:ascii="Arial" w:hAnsi="Arial" w:cs="Arial"/>
          <w:lang w:val="es-ES_tradnl"/>
        </w:rPr>
      </w:pPr>
    </w:p>
    <w:sectPr w:rsidR="00AB6BBF" w:rsidRPr="00AB6BBF" w:rsidSect="005D791B">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FEC7F2" w14:textId="77777777" w:rsidR="00942ED3" w:rsidRDefault="00942ED3">
      <w:r>
        <w:separator/>
      </w:r>
    </w:p>
  </w:endnote>
  <w:endnote w:type="continuationSeparator" w:id="0">
    <w:p w14:paraId="4A75E61E" w14:textId="77777777" w:rsidR="00942ED3" w:rsidRDefault="00942ED3">
      <w:r>
        <w:continuationSeparator/>
      </w:r>
    </w:p>
  </w:endnote>
  <w:endnote w:type="continuationNotice" w:id="1">
    <w:p w14:paraId="1DFFBCAE" w14:textId="77777777" w:rsidR="00942ED3" w:rsidRDefault="00942E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F4163" w:rsidRDefault="008F4163" w:rsidP="00322937">
    <w:pPr>
      <w:pStyle w:val="Sinespaciado"/>
      <w:jc w:val="right"/>
      <w:rPr>
        <w:rFonts w:ascii="Arial" w:hAnsi="Arial" w:cs="Arial"/>
        <w:sz w:val="18"/>
        <w:szCs w:val="18"/>
      </w:rPr>
    </w:pPr>
  </w:p>
  <w:p w14:paraId="7A3785F3" w14:textId="2EF28465" w:rsidR="008F4163" w:rsidRPr="008217B7" w:rsidRDefault="008F416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8F4163" w:rsidRDefault="008F4163" w:rsidP="00322937">
    <w:pPr>
      <w:pStyle w:val="Piedepgina"/>
      <w:jc w:val="center"/>
      <w:rPr>
        <w:lang w:val="es-ES"/>
      </w:rPr>
    </w:pPr>
    <w:r>
      <w:rPr>
        <w:noProof/>
        <w:lang w:val="es-ES_tradnl" w:eastAsia="es-ES_tradnl"/>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8F4163" w:rsidRDefault="008F4163" w:rsidP="007B0854">
    <w:pPr>
      <w:pStyle w:val="Piedepgina"/>
      <w:jc w:val="center"/>
      <w:rPr>
        <w:lang w:val="es-ES"/>
      </w:rPr>
    </w:pPr>
  </w:p>
  <w:p w14:paraId="6C0EFC49" w14:textId="77777777" w:rsidR="008F4163" w:rsidRPr="007B0854" w:rsidRDefault="008F416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6FAEB7" w14:textId="77777777" w:rsidR="00942ED3" w:rsidRDefault="00942ED3">
      <w:r>
        <w:separator/>
      </w:r>
    </w:p>
  </w:footnote>
  <w:footnote w:type="continuationSeparator" w:id="0">
    <w:p w14:paraId="55AF30B7" w14:textId="77777777" w:rsidR="00942ED3" w:rsidRDefault="00942ED3">
      <w:r>
        <w:continuationSeparator/>
      </w:r>
    </w:p>
  </w:footnote>
  <w:footnote w:type="continuationNotice" w:id="1">
    <w:p w14:paraId="634D04A1" w14:textId="77777777" w:rsidR="00942ED3" w:rsidRDefault="00942ED3"/>
  </w:footnote>
  <w:footnote w:id="2">
    <w:p w14:paraId="40F67198" w14:textId="77777777" w:rsidR="00942641" w:rsidRPr="00263EC5" w:rsidRDefault="00942641" w:rsidP="00263EC5">
      <w:pPr>
        <w:pStyle w:val="Textonotapie"/>
        <w:ind w:firstLine="709"/>
        <w:jc w:val="both"/>
        <w:rPr>
          <w:rFonts w:ascii="Arial" w:hAnsi="Arial" w:cs="Arial"/>
          <w:color w:val="000000" w:themeColor="text1"/>
          <w:sz w:val="19"/>
          <w:szCs w:val="19"/>
        </w:rPr>
      </w:pPr>
      <w:r w:rsidRPr="00263EC5">
        <w:rPr>
          <w:rStyle w:val="Refdenotaalpie"/>
          <w:rFonts w:ascii="Arial" w:hAnsi="Arial" w:cs="Arial"/>
          <w:color w:val="000000" w:themeColor="text1"/>
          <w:sz w:val="19"/>
          <w:szCs w:val="19"/>
        </w:rPr>
        <w:footnoteRef/>
      </w:r>
      <w:r w:rsidRPr="00263EC5">
        <w:rPr>
          <w:rFonts w:ascii="Arial" w:hAnsi="Arial" w:cs="Arial"/>
          <w:color w:val="000000" w:themeColor="text1"/>
          <w:sz w:val="19"/>
          <w:szCs w:val="19"/>
        </w:rPr>
        <w:t xml:space="preserve"> CONSEJO DE ESTADO. Sección Tercera. Subsección A. Auto del 25 de julio de 2018. Rad. 56.165A. C.P. Marta Nubia Velásquez Rico. </w:t>
      </w:r>
    </w:p>
    <w:p w14:paraId="4970B819" w14:textId="77777777" w:rsidR="00942641" w:rsidRPr="00263EC5" w:rsidRDefault="00942641" w:rsidP="00263EC5">
      <w:pPr>
        <w:pStyle w:val="Textonotapie"/>
        <w:ind w:firstLine="709"/>
        <w:jc w:val="both"/>
        <w:rPr>
          <w:rFonts w:ascii="Arial" w:hAnsi="Arial" w:cs="Arial"/>
          <w:color w:val="000000" w:themeColor="text1"/>
          <w:sz w:val="19"/>
          <w:szCs w:val="19"/>
          <w:lang w:val="es-ES"/>
        </w:rPr>
      </w:pPr>
    </w:p>
  </w:footnote>
  <w:footnote w:id="3">
    <w:p w14:paraId="045375CC" w14:textId="77777777" w:rsidR="00942641" w:rsidRPr="00263EC5" w:rsidRDefault="00942641" w:rsidP="00263EC5">
      <w:pPr>
        <w:pStyle w:val="Textonotapie"/>
        <w:ind w:firstLine="709"/>
        <w:jc w:val="both"/>
        <w:rPr>
          <w:rFonts w:ascii="Arial" w:hAnsi="Arial" w:cs="Arial"/>
          <w:color w:val="000000" w:themeColor="text1"/>
          <w:sz w:val="19"/>
          <w:szCs w:val="19"/>
          <w:lang w:val="es-ES"/>
        </w:rPr>
      </w:pPr>
      <w:r w:rsidRPr="00263EC5">
        <w:rPr>
          <w:rStyle w:val="Refdenotaalpie"/>
          <w:rFonts w:ascii="Arial" w:hAnsi="Arial" w:cs="Arial"/>
          <w:color w:val="000000" w:themeColor="text1"/>
          <w:sz w:val="19"/>
          <w:szCs w:val="19"/>
        </w:rPr>
        <w:footnoteRef/>
      </w:r>
      <w:r w:rsidRPr="00263EC5">
        <w:rPr>
          <w:rFonts w:ascii="Arial" w:hAnsi="Arial" w:cs="Arial"/>
          <w:color w:val="000000" w:themeColor="text1"/>
          <w:sz w:val="19"/>
          <w:szCs w:val="19"/>
        </w:rPr>
        <w:t xml:space="preserve"> </w:t>
      </w:r>
      <w:bookmarkStart w:id="3" w:name="_Hlk43903111"/>
      <w:r w:rsidRPr="00263EC5">
        <w:rPr>
          <w:rFonts w:ascii="Arial" w:hAnsi="Arial" w:cs="Arial"/>
          <w:color w:val="000000" w:themeColor="text1"/>
          <w:sz w:val="19"/>
          <w:szCs w:val="19"/>
        </w:rPr>
        <w:t>CONSEJO DE ESTADO. Sección Tercera. Subsección A. Auto del 20 de febrero de 2019. Rad. 61.463. C.P. Carlos Alberto Zambrano Barrera.</w:t>
      </w:r>
      <w:bookmarkEnd w:id="3"/>
    </w:p>
  </w:footnote>
  <w:footnote w:id="4">
    <w:p w14:paraId="10DAB701" w14:textId="428765A6" w:rsidR="00942641" w:rsidRPr="00263EC5" w:rsidRDefault="00942641" w:rsidP="00263EC5">
      <w:pPr>
        <w:pStyle w:val="Textonotapie"/>
        <w:ind w:firstLine="709"/>
        <w:jc w:val="both"/>
        <w:rPr>
          <w:rFonts w:ascii="Arial" w:hAnsi="Arial" w:cs="Arial"/>
          <w:sz w:val="19"/>
          <w:szCs w:val="19"/>
        </w:rPr>
      </w:pPr>
      <w:r w:rsidRPr="00263EC5">
        <w:rPr>
          <w:rStyle w:val="Refdenotaalpie"/>
          <w:rFonts w:ascii="Arial" w:hAnsi="Arial" w:cs="Arial"/>
          <w:sz w:val="19"/>
          <w:szCs w:val="19"/>
        </w:rPr>
        <w:footnoteRef/>
      </w:r>
      <w:r w:rsidRPr="00263EC5">
        <w:rPr>
          <w:rFonts w:ascii="Arial" w:hAnsi="Arial" w:cs="Arial"/>
          <w:sz w:val="19"/>
          <w:szCs w:val="19"/>
        </w:rPr>
        <w:t xml:space="preserve"> Sobre este aspecto, «[…] los numerales 3, 4 y 5 del artículo 2.2.1.2.1.3.2 del decreto acusado resultan violatorios del citado artículo 5, numeral 4, de la Ley 1150 de 2007, pues, en efecto, revisar la coherencia del «</w:t>
      </w:r>
      <w:r w:rsidR="008E0A71">
        <w:rPr>
          <w:rFonts w:ascii="Arial" w:hAnsi="Arial" w:cs="Arial"/>
          <w:sz w:val="19"/>
          <w:szCs w:val="19"/>
        </w:rPr>
        <w:t>[</w:t>
      </w:r>
      <w:r w:rsidRPr="00263EC5">
        <w:rPr>
          <w:rFonts w:ascii="Arial" w:hAnsi="Arial" w:cs="Arial"/>
          <w:sz w:val="19"/>
          <w:szCs w:val="19"/>
        </w:rPr>
        <w:t>…</w:t>
      </w:r>
      <w:r w:rsidR="008E0A71">
        <w:rPr>
          <w:rFonts w:ascii="Arial" w:hAnsi="Arial" w:cs="Arial"/>
          <w:sz w:val="19"/>
          <w:szCs w:val="19"/>
        </w:rPr>
        <w:t xml:space="preserve">] </w:t>
      </w:r>
      <w:r w:rsidRPr="00263EC5">
        <w:rPr>
          <w:rFonts w:ascii="Arial" w:hAnsi="Arial" w:cs="Arial"/>
          <w:sz w:val="19"/>
          <w:szCs w:val="19"/>
        </w:rPr>
        <w:t xml:space="preserve">precio ofrecido </w:t>
      </w:r>
      <w:r w:rsidR="008E0A71">
        <w:rPr>
          <w:rFonts w:ascii="Arial" w:hAnsi="Arial" w:cs="Arial"/>
          <w:sz w:val="19"/>
          <w:szCs w:val="19"/>
        </w:rPr>
        <w:t>[</w:t>
      </w:r>
      <w:r w:rsidRPr="00263EC5">
        <w:rPr>
          <w:rFonts w:ascii="Arial" w:hAnsi="Arial" w:cs="Arial"/>
          <w:sz w:val="19"/>
          <w:szCs w:val="19"/>
        </w:rPr>
        <w:t>…</w:t>
      </w:r>
      <w:r w:rsidR="008E0A71">
        <w:rPr>
          <w:rFonts w:ascii="Arial" w:hAnsi="Arial" w:cs="Arial"/>
          <w:sz w:val="19"/>
          <w:szCs w:val="19"/>
        </w:rPr>
        <w:t>]</w:t>
      </w:r>
      <w:r w:rsidRPr="00263EC5">
        <w:rPr>
          <w:rFonts w:ascii="Arial" w:hAnsi="Arial" w:cs="Arial"/>
          <w:sz w:val="19"/>
          <w:szCs w:val="19"/>
        </w:rPr>
        <w:t>» con la disponibilidad presupuestal (núm. 4, art. 2.2.1.2.1.3.2), así como disponer que se debe llegar a un «acuerdo» sobre el mismo (numerales 4 y 5, art. 2.2.1.2.1.3.2), como lo hace el decreto acusado, desconoce el principio de selección objetiva, en la medida en que incluir factores económicos en los concursos de méritos implica, necesariamente, que el precio se torne determinante para la escogencia de los contratistas, circunstancia que, como se ve, viola la citada norma, pues en ningún caso el precio puede ser factor de escogencia bajo la modalidad del concurso de méritos.</w:t>
      </w:r>
    </w:p>
    <w:p w14:paraId="31AB5511" w14:textId="47B4FB6A" w:rsidR="00942641" w:rsidRPr="00263EC5" w:rsidRDefault="00942641" w:rsidP="00263EC5">
      <w:pPr>
        <w:pStyle w:val="Textonotapie"/>
        <w:ind w:firstLine="709"/>
        <w:jc w:val="both"/>
        <w:rPr>
          <w:rFonts w:ascii="Arial" w:hAnsi="Arial" w:cs="Arial"/>
          <w:sz w:val="19"/>
          <w:szCs w:val="19"/>
        </w:rPr>
      </w:pPr>
      <w:r w:rsidRPr="00263EC5">
        <w:rPr>
          <w:rFonts w:ascii="Arial" w:hAnsi="Arial" w:cs="Arial"/>
          <w:sz w:val="19"/>
          <w:szCs w:val="19"/>
        </w:rPr>
        <w:t>»Sumado a lo anterior, el Despacho encuentra que los numerales 4 y 5 del artículo 2.2.1.2.1.3.2 del decreto acusado violan lo dispuesto en el numeral 2 del artículo 25 de la ley 80 de 1993, pues es claro que se siguen «</w:t>
      </w:r>
      <w:r w:rsidR="008E0A71">
        <w:rPr>
          <w:rFonts w:ascii="Arial" w:hAnsi="Arial" w:cs="Arial"/>
          <w:sz w:val="19"/>
          <w:szCs w:val="19"/>
        </w:rPr>
        <w:t>[</w:t>
      </w:r>
      <w:r w:rsidRPr="00263EC5">
        <w:rPr>
          <w:rFonts w:ascii="Arial" w:hAnsi="Arial" w:cs="Arial"/>
          <w:sz w:val="19"/>
          <w:szCs w:val="19"/>
        </w:rPr>
        <w:t>…</w:t>
      </w:r>
      <w:r w:rsidR="008E0A71">
        <w:rPr>
          <w:rFonts w:ascii="Arial" w:hAnsi="Arial" w:cs="Arial"/>
          <w:sz w:val="19"/>
          <w:szCs w:val="19"/>
        </w:rPr>
        <w:t xml:space="preserve">] </w:t>
      </w:r>
      <w:r w:rsidRPr="00263EC5">
        <w:rPr>
          <w:rFonts w:ascii="Arial" w:hAnsi="Arial" w:cs="Arial"/>
          <w:sz w:val="19"/>
          <w:szCs w:val="19"/>
        </w:rPr>
        <w:t xml:space="preserve">trámites distintos y adicionales a los expresamente previstos </w:t>
      </w:r>
      <w:r w:rsidR="008E0A71">
        <w:rPr>
          <w:rFonts w:ascii="Arial" w:hAnsi="Arial" w:cs="Arial"/>
          <w:sz w:val="19"/>
          <w:szCs w:val="19"/>
        </w:rPr>
        <w:t>[</w:t>
      </w:r>
      <w:r w:rsidRPr="00263EC5">
        <w:rPr>
          <w:rFonts w:ascii="Arial" w:hAnsi="Arial" w:cs="Arial"/>
          <w:sz w:val="19"/>
          <w:szCs w:val="19"/>
        </w:rPr>
        <w:t>…</w:t>
      </w:r>
      <w:r w:rsidR="008E0A71">
        <w:rPr>
          <w:rFonts w:ascii="Arial" w:hAnsi="Arial" w:cs="Arial"/>
          <w:sz w:val="19"/>
          <w:szCs w:val="19"/>
        </w:rPr>
        <w:t>]</w:t>
      </w:r>
      <w:r w:rsidRPr="00263EC5">
        <w:rPr>
          <w:rFonts w:ascii="Arial" w:hAnsi="Arial" w:cs="Arial"/>
          <w:sz w:val="19"/>
          <w:szCs w:val="19"/>
        </w:rPr>
        <w:t>» en la ley; en efecto, celebrar un «acuerdo» sobre el precio ofrecido es una situación que, de una u otra forma, aboca a la entidad a una segunda evaluación de lo que para ella sería la oferta más favorable –según el precio–, cuando para este segundo momento se supone que ya se debió haber verificado el cumplimiento de los requisitos exigidos en los pliegos de condiciones para la escogencia del contratista; en consecuencia, no se entiende porqué, luego de agotado todo el procedimiento de selección objetiva, se tenga que realizar un acuerdo sobre el precio ofrecido» (CONSEJO DE ESTADO. Sección Tercera. Subsección A. Auto del 20 de febrero de 2019. Rad. 61.463. C.P. Carlos Alberto Zambrano Barrera).</w:t>
      </w:r>
    </w:p>
    <w:p w14:paraId="14EB2D64" w14:textId="77777777" w:rsidR="00942641" w:rsidRPr="00263EC5" w:rsidRDefault="00942641" w:rsidP="00263EC5">
      <w:pPr>
        <w:pStyle w:val="Textonotapie"/>
        <w:ind w:firstLine="709"/>
        <w:jc w:val="both"/>
        <w:rPr>
          <w:rFonts w:ascii="Arial" w:hAnsi="Arial" w:cs="Arial"/>
          <w:sz w:val="19"/>
          <w:szCs w:val="19"/>
          <w:lang w:val="es-ES"/>
        </w:rPr>
      </w:pPr>
    </w:p>
  </w:footnote>
  <w:footnote w:id="5">
    <w:p w14:paraId="1D39225B" w14:textId="77777777" w:rsidR="00942641" w:rsidRPr="00263EC5" w:rsidRDefault="00942641" w:rsidP="00263EC5">
      <w:pPr>
        <w:pStyle w:val="Textonotapie"/>
        <w:ind w:firstLine="709"/>
        <w:jc w:val="both"/>
        <w:rPr>
          <w:rFonts w:ascii="Arial" w:hAnsi="Arial" w:cs="Arial"/>
          <w:color w:val="000000" w:themeColor="text1"/>
          <w:sz w:val="19"/>
          <w:szCs w:val="19"/>
        </w:rPr>
      </w:pPr>
      <w:r w:rsidRPr="00263EC5">
        <w:rPr>
          <w:rStyle w:val="Refdenotaalpie"/>
          <w:rFonts w:ascii="Arial" w:hAnsi="Arial" w:cs="Arial"/>
          <w:sz w:val="19"/>
          <w:szCs w:val="19"/>
        </w:rPr>
        <w:footnoteRef/>
      </w:r>
      <w:r w:rsidRPr="00263EC5">
        <w:rPr>
          <w:rFonts w:ascii="Arial" w:hAnsi="Arial" w:cs="Arial"/>
          <w:sz w:val="19"/>
          <w:szCs w:val="19"/>
        </w:rPr>
        <w:t xml:space="preserve"> En efecto, «[…] cuando el numeral 6 del artículo 2.2.1.2.1.3.2 del Decreto 1082 de 2015 dispuso que la entidad estatal debe declarar desierto el concurso de méritos cuando aquella no llegue a un acuerdo con el segundo lugar de elegibilidad, sí excedió el contenido de los artículos 25 (numeral 18) de la Ley 80 de 1993 y 5 de la Ley 1150 de 2007, puesto que, se reitera, dado que el legislador previó dicha decisión para cuando se presentaran motivos que impidieran la selección objetiva, sin restringirlos» (</w:t>
      </w:r>
      <w:r w:rsidRPr="00263EC5">
        <w:rPr>
          <w:rFonts w:ascii="Arial" w:hAnsi="Arial" w:cs="Arial"/>
          <w:color w:val="000000" w:themeColor="text1"/>
          <w:sz w:val="19"/>
          <w:szCs w:val="19"/>
        </w:rPr>
        <w:t>CONSEJO DE ESTADO. Sección Tercera. Subsección A. Auto del 25 de julio de 2018. Rad. 56.165A. C.P. Marta Nubia Velásquez Rico)</w:t>
      </w:r>
      <w:r w:rsidRPr="00263EC5">
        <w:rPr>
          <w:rFonts w:ascii="Arial" w:hAnsi="Arial" w:cs="Arial"/>
          <w:sz w:val="19"/>
          <w:szCs w:val="19"/>
        </w:rPr>
        <w:t>.</w:t>
      </w:r>
    </w:p>
  </w:footnote>
  <w:footnote w:id="6">
    <w:p w14:paraId="23A09604" w14:textId="6E118BA6" w:rsidR="00263EC5" w:rsidRPr="00263EC5" w:rsidRDefault="00A475B4" w:rsidP="00263EC5">
      <w:pPr>
        <w:ind w:firstLine="709"/>
        <w:jc w:val="both"/>
        <w:rPr>
          <w:rFonts w:ascii="Arial" w:eastAsiaTheme="minorHAnsi" w:hAnsi="Arial" w:cs="Arial"/>
          <w:sz w:val="19"/>
          <w:szCs w:val="19"/>
          <w:lang w:val="es-ES" w:eastAsia="en-US"/>
        </w:rPr>
      </w:pPr>
      <w:r w:rsidRPr="00263EC5">
        <w:rPr>
          <w:rStyle w:val="Refdenotaalpie"/>
          <w:rFonts w:ascii="Arial" w:hAnsi="Arial" w:cs="Arial"/>
          <w:sz w:val="19"/>
          <w:szCs w:val="19"/>
        </w:rPr>
        <w:footnoteRef/>
      </w:r>
      <w:r w:rsidRPr="00263EC5">
        <w:rPr>
          <w:rFonts w:ascii="Arial" w:hAnsi="Arial" w:cs="Arial"/>
          <w:sz w:val="19"/>
          <w:szCs w:val="19"/>
        </w:rPr>
        <w:t xml:space="preserve"> </w:t>
      </w:r>
      <w:r w:rsidRPr="00263EC5">
        <w:rPr>
          <w:rFonts w:ascii="Arial" w:hAnsi="Arial" w:cs="Arial"/>
          <w:sz w:val="19"/>
          <w:szCs w:val="19"/>
          <w:lang w:val="es-ES"/>
        </w:rPr>
        <w:t>En efecto, dentro de las</w:t>
      </w:r>
      <w:r w:rsidR="00263EC5" w:rsidRPr="00263EC5">
        <w:rPr>
          <w:rFonts w:ascii="Arial" w:hAnsi="Arial" w:cs="Arial"/>
          <w:sz w:val="19"/>
          <w:szCs w:val="19"/>
          <w:lang w:val="es-ES"/>
        </w:rPr>
        <w:t xml:space="preserve"> consideraciones que motivan el Decreto 399 de 2021 se lee la siguiente: «</w:t>
      </w:r>
      <w:r w:rsidR="00263EC5" w:rsidRPr="00263EC5">
        <w:rPr>
          <w:rFonts w:ascii="Arial" w:eastAsiaTheme="minorHAnsi" w:hAnsi="Arial" w:cs="Arial"/>
          <w:sz w:val="19"/>
          <w:szCs w:val="19"/>
          <w:lang w:val="es-ES" w:eastAsia="en-US"/>
        </w:rPr>
        <w:t xml:space="preserve">Que teniendo en cuenta que el Auto del 20 de febrero de 2019 </w:t>
      </w:r>
      <w:r w:rsidR="00263EC5" w:rsidRPr="00263EC5">
        <w:rPr>
          <w:rFonts w:ascii="Arial" w:eastAsiaTheme="minorHAnsi" w:hAnsi="Arial" w:cs="Arial"/>
          <w:sz w:val="19"/>
          <w:szCs w:val="19"/>
          <w:lang w:val="es-ES" w:eastAsia="en-US"/>
        </w:rPr>
        <w:t>Exp. 61.463 de la Subsección A de la Sección Tercera del Consejo de Estado suspendió provisionalmente los numerales 3, 4 y 5 del artículo 2.2.1.2.1.3.2. del Decreto 1082 de 2015, Único Reglamentario del Sector Administrativo de Planeación Nacional y que el Auto del 25 de julio de 2018 Exp. 56.165 de la Subsección A de la Sección Tercera del Consejo de Estado suspendió provisionalmente el numeral 6 de la misma disposición, los cuales están relacionados con las reglas aplicables al procedimiento de concurso de méritos, es necesario modificar dicho artículo para establecer las reglas aplicables a esta modalidad de selección».</w:t>
      </w:r>
    </w:p>
    <w:p w14:paraId="21C35D60" w14:textId="62A7E60D" w:rsidR="00A475B4" w:rsidRPr="00263EC5" w:rsidRDefault="00A475B4" w:rsidP="00263EC5">
      <w:pPr>
        <w:pStyle w:val="Textonotapie"/>
        <w:ind w:firstLine="709"/>
        <w:jc w:val="both"/>
        <w:rPr>
          <w:rFonts w:ascii="Arial" w:hAnsi="Arial" w:cs="Arial"/>
          <w:sz w:val="19"/>
          <w:szCs w:val="19"/>
          <w:lang w:val="es-CO"/>
        </w:rPr>
      </w:pPr>
    </w:p>
  </w:footnote>
  <w:footnote w:id="7">
    <w:p w14:paraId="07FC2C91" w14:textId="4D433B97" w:rsidR="005B43D0" w:rsidRDefault="005B43D0" w:rsidP="005B43D0">
      <w:pPr>
        <w:pStyle w:val="Textonotapie"/>
        <w:ind w:firstLine="708"/>
        <w:jc w:val="both"/>
        <w:rPr>
          <w:rFonts w:ascii="Arial" w:hAnsi="Arial" w:cs="Arial"/>
          <w:sz w:val="19"/>
          <w:szCs w:val="19"/>
        </w:rPr>
      </w:pPr>
      <w:r>
        <w:rPr>
          <w:rStyle w:val="Refdenotaalpie"/>
        </w:rPr>
        <w:footnoteRef/>
      </w:r>
      <w:r>
        <w:t xml:space="preserve"> </w:t>
      </w:r>
      <w:r w:rsidRPr="000F5CE5">
        <w:rPr>
          <w:rFonts w:ascii="Arial" w:hAnsi="Arial" w:cs="Arial"/>
          <w:sz w:val="19"/>
          <w:szCs w:val="19"/>
        </w:rPr>
        <w:t>Lo indicado es coherente con lo establecido en el artículo 25, numeral 6</w:t>
      </w:r>
      <w:r w:rsidR="00877D6C">
        <w:rPr>
          <w:rFonts w:ascii="Arial" w:hAnsi="Arial" w:cs="Arial"/>
          <w:sz w:val="19"/>
          <w:szCs w:val="19"/>
        </w:rPr>
        <w:t>, de la Ley 80 de 1993</w:t>
      </w:r>
      <w:r w:rsidRPr="000F5CE5">
        <w:rPr>
          <w:rFonts w:ascii="Arial" w:hAnsi="Arial" w:cs="Arial"/>
          <w:sz w:val="19"/>
          <w:szCs w:val="19"/>
        </w:rPr>
        <w:t xml:space="preserve"> que establece que: «</w:t>
      </w:r>
      <w:r w:rsidR="00685479">
        <w:rPr>
          <w:rFonts w:ascii="Arial" w:hAnsi="Arial" w:cs="Arial"/>
          <w:sz w:val="19"/>
          <w:szCs w:val="19"/>
        </w:rPr>
        <w:t>A</w:t>
      </w:r>
      <w:r w:rsidR="00685479" w:rsidRPr="00685479">
        <w:rPr>
          <w:rFonts w:ascii="Arial" w:hAnsi="Arial" w:cs="Arial"/>
          <w:sz w:val="19"/>
          <w:szCs w:val="19"/>
        </w:rPr>
        <w:t xml:space="preserve">rtículo 25. </w:t>
      </w:r>
      <w:r w:rsidR="00685479">
        <w:rPr>
          <w:rFonts w:ascii="Arial" w:hAnsi="Arial" w:cs="Arial"/>
          <w:sz w:val="19"/>
          <w:szCs w:val="19"/>
        </w:rPr>
        <w:t>D</w:t>
      </w:r>
      <w:r w:rsidR="00685479" w:rsidRPr="00685479">
        <w:rPr>
          <w:rFonts w:ascii="Arial" w:hAnsi="Arial" w:cs="Arial"/>
          <w:sz w:val="19"/>
          <w:szCs w:val="19"/>
        </w:rPr>
        <w:t>el principio de economía</w:t>
      </w:r>
      <w:r w:rsidRPr="000F5CE5">
        <w:rPr>
          <w:rFonts w:ascii="Arial" w:hAnsi="Arial" w:cs="Arial"/>
          <w:sz w:val="19"/>
          <w:szCs w:val="19"/>
        </w:rPr>
        <w:t>. En virtud de este principio: […] 6o. Las entidades estatales abrirán licitaciones e iniciarán procesos de suscripción de contratos, cuando existan las respectivas partidas o disponibilidades presupuestales</w:t>
      </w:r>
      <w:r w:rsidR="00685479">
        <w:rPr>
          <w:rFonts w:ascii="Arial" w:hAnsi="Arial" w:cs="Arial"/>
          <w:sz w:val="19"/>
          <w:szCs w:val="19"/>
        </w:rPr>
        <w:t>»</w:t>
      </w:r>
      <w:r w:rsidRPr="000F5CE5">
        <w:rPr>
          <w:rFonts w:ascii="Arial" w:hAnsi="Arial" w:cs="Arial"/>
          <w:sz w:val="19"/>
          <w:szCs w:val="19"/>
        </w:rPr>
        <w:t>.</w:t>
      </w:r>
    </w:p>
    <w:p w14:paraId="0B632A17" w14:textId="268BB75E" w:rsidR="00685479" w:rsidRPr="00685479" w:rsidRDefault="00685479" w:rsidP="00685479">
      <w:pPr>
        <w:pStyle w:val="Textonotapie"/>
        <w:ind w:firstLine="708"/>
        <w:jc w:val="both"/>
        <w:rPr>
          <w:rFonts w:ascii="Arial" w:hAnsi="Arial" w:cs="Arial"/>
          <w:sz w:val="19"/>
          <w:szCs w:val="19"/>
        </w:rPr>
      </w:pPr>
      <w:r>
        <w:rPr>
          <w:rFonts w:ascii="Arial" w:hAnsi="Arial" w:cs="Arial"/>
          <w:sz w:val="19"/>
          <w:szCs w:val="19"/>
        </w:rPr>
        <w:t>Además, guarda armonía con lo establecido en el artículo 41 de la Ley 80 de 1993, respecto a los requisitos de perfeccionamiento y ejecución de los contratos estatales: «A</w:t>
      </w:r>
      <w:r w:rsidRPr="00685479">
        <w:rPr>
          <w:rFonts w:ascii="Arial" w:hAnsi="Arial" w:cs="Arial"/>
          <w:sz w:val="19"/>
          <w:szCs w:val="19"/>
        </w:rPr>
        <w:t xml:space="preserve">rtículo 41. </w:t>
      </w:r>
      <w:r>
        <w:rPr>
          <w:rFonts w:ascii="Arial" w:hAnsi="Arial" w:cs="Arial"/>
          <w:sz w:val="19"/>
          <w:szCs w:val="19"/>
        </w:rPr>
        <w:t>D</w:t>
      </w:r>
      <w:r w:rsidRPr="00685479">
        <w:rPr>
          <w:rFonts w:ascii="Arial" w:hAnsi="Arial" w:cs="Arial"/>
          <w:sz w:val="19"/>
          <w:szCs w:val="19"/>
        </w:rPr>
        <w:t xml:space="preserve">el perfeccionamiento del contrato. </w:t>
      </w:r>
      <w:r w:rsidRPr="000F5CE5">
        <w:rPr>
          <w:rFonts w:ascii="Arial" w:hAnsi="Arial" w:cs="Arial"/>
          <w:i/>
          <w:iCs/>
          <w:sz w:val="19"/>
          <w:szCs w:val="19"/>
        </w:rPr>
        <w:t>Los contratos del Estado se perfeccionan cuando se logre acuerdo sobre el objeto y la contraprestación y éste se eleve a escrito</w:t>
      </w:r>
      <w:r w:rsidRPr="00685479">
        <w:rPr>
          <w:rFonts w:ascii="Arial" w:hAnsi="Arial" w:cs="Arial"/>
          <w:sz w:val="19"/>
          <w:szCs w:val="19"/>
        </w:rPr>
        <w:t>.</w:t>
      </w:r>
    </w:p>
    <w:p w14:paraId="2CCB5336" w14:textId="251F938E" w:rsidR="00685479" w:rsidRPr="000F5CE5" w:rsidRDefault="00685479" w:rsidP="000F5CE5">
      <w:pPr>
        <w:pStyle w:val="Textonotapie"/>
        <w:ind w:firstLine="708"/>
        <w:jc w:val="both"/>
        <w:rPr>
          <w:rFonts w:ascii="Arial" w:hAnsi="Arial" w:cs="Arial"/>
          <w:sz w:val="19"/>
          <w:szCs w:val="19"/>
          <w:lang w:val="es-CO"/>
        </w:rPr>
      </w:pPr>
      <w:r>
        <w:rPr>
          <w:rFonts w:ascii="Arial" w:hAnsi="Arial" w:cs="Arial"/>
          <w:sz w:val="19"/>
          <w:szCs w:val="19"/>
        </w:rPr>
        <w:t>»</w:t>
      </w:r>
      <w:r w:rsidRPr="00685479">
        <w:rPr>
          <w:rFonts w:ascii="Arial" w:hAnsi="Arial" w:cs="Arial"/>
          <w:sz w:val="19"/>
          <w:szCs w:val="19"/>
        </w:rPr>
        <w:t xml:space="preserve">Para la ejecución se requerirá de la aprobación de la garantía y </w:t>
      </w:r>
      <w:r w:rsidRPr="000F5CE5">
        <w:rPr>
          <w:rFonts w:ascii="Arial" w:hAnsi="Arial" w:cs="Arial"/>
          <w:i/>
          <w:iCs/>
          <w:sz w:val="19"/>
          <w:szCs w:val="19"/>
        </w:rPr>
        <w:t>de la existencia de las disponibilidades presupuestales correspondientes</w:t>
      </w:r>
      <w:r w:rsidRPr="00685479">
        <w:rPr>
          <w:rFonts w:ascii="Arial" w:hAnsi="Arial" w:cs="Arial"/>
          <w:sz w:val="19"/>
          <w:szCs w:val="19"/>
        </w:rPr>
        <w:t>,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r>
        <w:rPr>
          <w:rFonts w:ascii="Arial" w:hAnsi="Arial" w:cs="Arial"/>
          <w:sz w:val="19"/>
          <w:szCs w:val="19"/>
        </w:rPr>
        <w:t>» (Cursiva fuera de texto)</w:t>
      </w:r>
      <w:r w:rsidRPr="00685479">
        <w:rPr>
          <w:rFonts w:ascii="Arial" w:hAnsi="Arial" w:cs="Arial"/>
          <w:sz w:val="19"/>
          <w:szCs w:val="19"/>
        </w:rPr>
        <w:t>.</w:t>
      </w:r>
      <w:r>
        <w:rPr>
          <w:rFonts w:ascii="Arial" w:hAnsi="Arial" w:cs="Arial"/>
          <w:sz w:val="19"/>
          <w:szCs w:val="19"/>
        </w:rPr>
        <w:t xml:space="preserve"> </w:t>
      </w:r>
    </w:p>
  </w:footnote>
  <w:footnote w:id="8">
    <w:p w14:paraId="6CB661EA" w14:textId="77777777" w:rsidR="008C1918" w:rsidRPr="00263EC5" w:rsidRDefault="008C1918" w:rsidP="00263EC5">
      <w:pPr>
        <w:pStyle w:val="Textonotapie"/>
        <w:ind w:firstLine="709"/>
        <w:jc w:val="both"/>
        <w:rPr>
          <w:rFonts w:ascii="Arial" w:hAnsi="Arial" w:cs="Arial"/>
          <w:sz w:val="19"/>
          <w:szCs w:val="19"/>
          <w:lang w:val="es-ES"/>
        </w:rPr>
      </w:pPr>
      <w:r w:rsidRPr="00263EC5">
        <w:rPr>
          <w:rStyle w:val="Refdenotaalpie"/>
          <w:rFonts w:ascii="Arial" w:hAnsi="Arial" w:cs="Arial"/>
          <w:sz w:val="19"/>
          <w:szCs w:val="19"/>
        </w:rPr>
        <w:footnoteRef/>
      </w:r>
      <w:r w:rsidRPr="00263EC5">
        <w:rPr>
          <w:rFonts w:ascii="Arial" w:hAnsi="Arial" w:cs="Arial"/>
          <w:sz w:val="19"/>
          <w:szCs w:val="19"/>
        </w:rPr>
        <w:t xml:space="preserve"> </w:t>
      </w:r>
      <w:r w:rsidRPr="00263EC5">
        <w:rPr>
          <w:rFonts w:ascii="Arial" w:hAnsi="Arial" w:cs="Arial"/>
          <w:sz w:val="19"/>
          <w:szCs w:val="19"/>
          <w:lang w:val="es-ES"/>
        </w:rPr>
        <w:t>Consejo de Estado. Sección Tercera. Sentencia del 29 de octubre de 2.015. Consejera Ponente: Stella Conto Díaz Del Castillo. Expediente: 31.918.</w:t>
      </w:r>
    </w:p>
    <w:p w14:paraId="2BD73BDB" w14:textId="77777777" w:rsidR="008C1918" w:rsidRPr="00263EC5" w:rsidRDefault="008C1918" w:rsidP="00263EC5">
      <w:pPr>
        <w:pStyle w:val="Textonotapie"/>
        <w:ind w:firstLine="709"/>
        <w:jc w:val="both"/>
        <w:rPr>
          <w:rFonts w:ascii="Arial" w:hAnsi="Arial" w:cs="Arial"/>
          <w:sz w:val="19"/>
          <w:szCs w:val="19"/>
          <w:lang w:val="es-ES"/>
        </w:rPr>
      </w:pPr>
    </w:p>
  </w:footnote>
  <w:footnote w:id="9">
    <w:p w14:paraId="2906F437" w14:textId="77777777" w:rsidR="005244FC" w:rsidRPr="00263EC5" w:rsidRDefault="005244FC" w:rsidP="00263EC5">
      <w:pPr>
        <w:pStyle w:val="Textonotapie"/>
        <w:ind w:firstLine="709"/>
        <w:jc w:val="both"/>
        <w:rPr>
          <w:rFonts w:ascii="Arial" w:hAnsi="Arial" w:cs="Arial"/>
          <w:sz w:val="19"/>
          <w:szCs w:val="19"/>
          <w:lang w:val="es-ES"/>
        </w:rPr>
      </w:pPr>
      <w:r w:rsidRPr="00263EC5">
        <w:rPr>
          <w:rStyle w:val="Refdenotaalpie"/>
          <w:rFonts w:ascii="Arial" w:hAnsi="Arial" w:cs="Arial"/>
          <w:sz w:val="19"/>
          <w:szCs w:val="19"/>
        </w:rPr>
        <w:footnoteRef/>
      </w:r>
      <w:r w:rsidRPr="00263EC5">
        <w:rPr>
          <w:rFonts w:ascii="Arial" w:hAnsi="Arial" w:cs="Arial"/>
          <w:sz w:val="19"/>
          <w:szCs w:val="19"/>
        </w:rPr>
        <w:t xml:space="preserve"> </w:t>
      </w:r>
      <w:r w:rsidRPr="00263EC5">
        <w:rPr>
          <w:rFonts w:ascii="Arial" w:hAnsi="Arial" w:cs="Arial"/>
          <w:sz w:val="19"/>
          <w:szCs w:val="19"/>
          <w:lang w:val="es-ES"/>
        </w:rPr>
        <w:t>Corte Constitucional. Sentencia T-684A del 14 de septiembre de 2011. Magistrado Ponente: Mauricio González Cuervo.</w:t>
      </w:r>
    </w:p>
    <w:p w14:paraId="0AD3B7A1" w14:textId="77777777" w:rsidR="005244FC" w:rsidRPr="00263EC5" w:rsidRDefault="005244FC" w:rsidP="00263EC5">
      <w:pPr>
        <w:pStyle w:val="Textonotapie"/>
        <w:ind w:firstLine="709"/>
        <w:jc w:val="both"/>
        <w:rPr>
          <w:rFonts w:ascii="Arial" w:hAnsi="Arial" w:cs="Arial"/>
          <w:sz w:val="19"/>
          <w:szCs w:val="19"/>
          <w:lang w:val="es-ES"/>
        </w:rPr>
      </w:pPr>
    </w:p>
  </w:footnote>
  <w:footnote w:id="10">
    <w:p w14:paraId="77384033" w14:textId="77777777" w:rsidR="005244FC" w:rsidRPr="00263EC5" w:rsidRDefault="005244FC" w:rsidP="00263EC5">
      <w:pPr>
        <w:pStyle w:val="Textonotapie"/>
        <w:ind w:firstLine="709"/>
        <w:jc w:val="both"/>
        <w:rPr>
          <w:rFonts w:ascii="Arial" w:hAnsi="Arial" w:cs="Arial"/>
          <w:sz w:val="19"/>
          <w:szCs w:val="19"/>
          <w:lang w:val="es-ES"/>
        </w:rPr>
      </w:pPr>
      <w:r w:rsidRPr="00263EC5">
        <w:rPr>
          <w:rStyle w:val="Refdenotaalpie"/>
          <w:rFonts w:ascii="Arial" w:hAnsi="Arial" w:cs="Arial"/>
          <w:sz w:val="19"/>
          <w:szCs w:val="19"/>
        </w:rPr>
        <w:footnoteRef/>
      </w:r>
      <w:r w:rsidRPr="00263EC5">
        <w:rPr>
          <w:rFonts w:ascii="Arial" w:hAnsi="Arial" w:cs="Arial"/>
          <w:sz w:val="19"/>
          <w:szCs w:val="19"/>
        </w:rPr>
        <w:t xml:space="preserve"> </w:t>
      </w:r>
      <w:r w:rsidRPr="00263EC5">
        <w:rPr>
          <w:rFonts w:ascii="Arial" w:hAnsi="Arial" w:cs="Arial"/>
          <w:sz w:val="19"/>
          <w:szCs w:val="19"/>
          <w:lang w:val="es-ES"/>
        </w:rPr>
        <w:t xml:space="preserve">Consejo de Estado. Sección Tercera. Sentencia del 6 de diciembre de 2.013. Consejera Ponente: Stella Conto Díaz Del Castillo. Expediente: 27.506. En efecto, el artículo 44, inciso 1º,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p w14:paraId="4403E4E1" w14:textId="77777777" w:rsidR="005244FC" w:rsidRPr="00263EC5" w:rsidRDefault="005244FC" w:rsidP="00263EC5">
      <w:pPr>
        <w:pStyle w:val="Textonotapie"/>
        <w:ind w:firstLine="709"/>
        <w:jc w:val="both"/>
        <w:rPr>
          <w:rFonts w:ascii="Arial" w:hAnsi="Arial" w:cs="Arial"/>
          <w:sz w:val="19"/>
          <w:szCs w:val="19"/>
          <w:lang w:val="es-CO"/>
        </w:rPr>
      </w:pPr>
    </w:p>
  </w:footnote>
  <w:footnote w:id="11">
    <w:p w14:paraId="2043A1E7" w14:textId="77777777" w:rsidR="00CC1C03" w:rsidRPr="00427BDA" w:rsidRDefault="00CC1C03" w:rsidP="00CC1C03">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Artículos 2 al 29.</w:t>
      </w:r>
    </w:p>
    <w:p w14:paraId="5DA6D7E8" w14:textId="77777777" w:rsidR="00CC1C03" w:rsidRPr="00427BDA" w:rsidRDefault="00CC1C03" w:rsidP="00CC1C03">
      <w:pPr>
        <w:pStyle w:val="Textonotapie"/>
        <w:ind w:firstLine="709"/>
        <w:jc w:val="both"/>
        <w:rPr>
          <w:rFonts w:ascii="Arial" w:hAnsi="Arial" w:cs="Arial"/>
          <w:sz w:val="19"/>
          <w:szCs w:val="19"/>
          <w:lang w:val="es-ES"/>
        </w:rPr>
      </w:pPr>
    </w:p>
  </w:footnote>
  <w:footnote w:id="12">
    <w:p w14:paraId="64B5D9F0" w14:textId="77777777" w:rsidR="00CC1C03" w:rsidRPr="00427BDA" w:rsidRDefault="00CC1C03" w:rsidP="00CC1C03">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Artículos 30 al 36.</w:t>
      </w:r>
    </w:p>
    <w:p w14:paraId="2F76B34A" w14:textId="77777777" w:rsidR="00CC1C03" w:rsidRPr="00427BDA" w:rsidRDefault="00CC1C03" w:rsidP="00CC1C03">
      <w:pPr>
        <w:pStyle w:val="Textonotapie"/>
        <w:ind w:firstLine="709"/>
        <w:jc w:val="both"/>
        <w:rPr>
          <w:rFonts w:ascii="Arial" w:hAnsi="Arial" w:cs="Arial"/>
          <w:sz w:val="19"/>
          <w:szCs w:val="19"/>
          <w:lang w:val="es-ES"/>
        </w:rPr>
      </w:pPr>
    </w:p>
  </w:footnote>
  <w:footnote w:id="13">
    <w:p w14:paraId="77C8F552" w14:textId="77777777" w:rsidR="00CC1C03" w:rsidRPr="00427BDA" w:rsidRDefault="00CC1C03" w:rsidP="00CC1C03">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Artículos 37 al 45.</w:t>
      </w:r>
    </w:p>
    <w:p w14:paraId="73784A04" w14:textId="77777777" w:rsidR="00CC1C03" w:rsidRPr="00427BDA" w:rsidRDefault="00CC1C03" w:rsidP="00CC1C03">
      <w:pPr>
        <w:pStyle w:val="Textonotapie"/>
        <w:ind w:firstLine="709"/>
        <w:jc w:val="both"/>
        <w:rPr>
          <w:rFonts w:ascii="Arial" w:hAnsi="Arial" w:cs="Arial"/>
          <w:sz w:val="19"/>
          <w:szCs w:val="19"/>
          <w:lang w:val="es-ES"/>
        </w:rPr>
      </w:pPr>
    </w:p>
  </w:footnote>
  <w:footnote w:id="14">
    <w:p w14:paraId="68BC65C6" w14:textId="77777777" w:rsidR="00CC1C03" w:rsidRPr="00427BDA" w:rsidRDefault="00CC1C03" w:rsidP="00CC1C03">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Artículos 46 al 73.</w:t>
      </w:r>
    </w:p>
    <w:p w14:paraId="1E99538B" w14:textId="77777777" w:rsidR="00CC1C03" w:rsidRPr="00427BDA" w:rsidRDefault="00CC1C03" w:rsidP="00CC1C03">
      <w:pPr>
        <w:pStyle w:val="Textonotapie"/>
        <w:ind w:firstLine="709"/>
        <w:jc w:val="both"/>
        <w:rPr>
          <w:rFonts w:ascii="Arial" w:hAnsi="Arial" w:cs="Arial"/>
          <w:sz w:val="19"/>
          <w:szCs w:val="19"/>
          <w:lang w:val="es-ES"/>
        </w:rPr>
      </w:pPr>
    </w:p>
  </w:footnote>
  <w:footnote w:id="15">
    <w:p w14:paraId="7B26C393" w14:textId="77777777" w:rsidR="00CC1C03" w:rsidRPr="00427BDA" w:rsidRDefault="00CC1C03" w:rsidP="00CC1C03">
      <w:pPr>
        <w:pStyle w:val="Textonotapie"/>
        <w:ind w:firstLine="709"/>
        <w:jc w:val="both"/>
        <w:rPr>
          <w:rFonts w:ascii="Arial" w:hAnsi="Arial" w:cs="Arial"/>
          <w:sz w:val="19"/>
          <w:szCs w:val="19"/>
          <w:lang w:val="es-ES"/>
        </w:rPr>
      </w:pPr>
      <w:r w:rsidRPr="00427BDA">
        <w:rPr>
          <w:rStyle w:val="Refdenotaalpie"/>
          <w:rFonts w:ascii="Arial" w:hAnsi="Arial" w:cs="Arial"/>
          <w:sz w:val="19"/>
          <w:szCs w:val="19"/>
        </w:rPr>
        <w:footnoteRef/>
      </w:r>
      <w:r w:rsidRPr="00427BDA">
        <w:rPr>
          <w:rFonts w:ascii="Arial" w:hAnsi="Arial" w:cs="Arial"/>
          <w:sz w:val="19"/>
          <w:szCs w:val="19"/>
        </w:rPr>
        <w:t xml:space="preserve"> </w:t>
      </w:r>
      <w:r w:rsidRPr="00427BDA">
        <w:rPr>
          <w:rFonts w:ascii="Arial" w:hAnsi="Arial" w:cs="Arial"/>
          <w:sz w:val="19"/>
          <w:szCs w:val="19"/>
          <w:lang w:val="es-ES"/>
        </w:rPr>
        <w:t>Artículos 74 al 83.</w:t>
      </w:r>
    </w:p>
    <w:p w14:paraId="1929D491" w14:textId="77777777" w:rsidR="00CC1C03" w:rsidRPr="00427BDA" w:rsidRDefault="00CC1C03" w:rsidP="00CC1C03">
      <w:pPr>
        <w:pStyle w:val="Textonotapie"/>
        <w:ind w:firstLine="709"/>
        <w:jc w:val="both"/>
        <w:rPr>
          <w:rFonts w:ascii="Arial" w:hAnsi="Arial" w:cs="Arial"/>
          <w:sz w:val="19"/>
          <w:szCs w:val="19"/>
          <w:lang w:val="es-ES"/>
        </w:rPr>
      </w:pPr>
    </w:p>
  </w:footnote>
  <w:footnote w:id="16">
    <w:p w14:paraId="5C91C0FC" w14:textId="429E3698" w:rsidR="003E1E64" w:rsidRPr="00263EC5" w:rsidRDefault="00652F4D" w:rsidP="00263EC5">
      <w:pPr>
        <w:ind w:firstLine="709"/>
        <w:jc w:val="both"/>
        <w:rPr>
          <w:rFonts w:ascii="Arial" w:eastAsiaTheme="minorHAnsi" w:hAnsi="Arial" w:cs="Arial"/>
          <w:sz w:val="19"/>
          <w:szCs w:val="19"/>
          <w:lang w:val="es-MX" w:eastAsia="en-US"/>
        </w:rPr>
      </w:pPr>
      <w:r w:rsidRPr="00DE1B18">
        <w:rPr>
          <w:rStyle w:val="Refdenotaalpie"/>
          <w:rFonts w:ascii="Arial" w:hAnsi="Arial" w:cs="Arial"/>
          <w:sz w:val="19"/>
          <w:szCs w:val="19"/>
        </w:rPr>
        <w:footnoteRef/>
      </w:r>
      <w:r w:rsidRPr="00DE1B18">
        <w:rPr>
          <w:rFonts w:ascii="Arial" w:hAnsi="Arial" w:cs="Arial"/>
          <w:sz w:val="19"/>
          <w:szCs w:val="19"/>
        </w:rPr>
        <w:t xml:space="preserve"> </w:t>
      </w:r>
      <w:r w:rsidR="00EF0B6B" w:rsidRPr="00DE1B18">
        <w:rPr>
          <w:rFonts w:ascii="Arial" w:hAnsi="Arial" w:cs="Arial"/>
          <w:sz w:val="19"/>
          <w:szCs w:val="19"/>
        </w:rPr>
        <w:t xml:space="preserve">Esta norma dispone: </w:t>
      </w:r>
      <w:r w:rsidR="003E1E64" w:rsidRPr="00DE1B18">
        <w:rPr>
          <w:rFonts w:ascii="Arial" w:hAnsi="Arial" w:cs="Arial"/>
          <w:sz w:val="19"/>
          <w:szCs w:val="19"/>
        </w:rPr>
        <w:t>«</w:t>
      </w:r>
      <w:r w:rsidR="003E1E64" w:rsidRPr="00DE1B18">
        <w:rPr>
          <w:rFonts w:ascii="Arial" w:eastAsiaTheme="minorHAnsi" w:hAnsi="Arial" w:cs="Arial"/>
          <w:sz w:val="19"/>
          <w:szCs w:val="19"/>
          <w:lang w:val="es-MX" w:eastAsia="en-US"/>
        </w:rPr>
        <w:t>La nulidad absoluta puede y debe ser declarada por el juez, aún sin petición de parte, cuando aparezca de manifiesto en el acto o contrato; puede alegarse por todo el que tenga interés en ello; puede así mismo pedirse su declaración por el Ministerio Público en el interés de la moral o de la ley. Cuando no es generada por objeto o causa ilícitos, puede sanearse por la ratificación de las partes y en todo caso por prescripción extraordinaria».</w:t>
      </w:r>
    </w:p>
    <w:p w14:paraId="674D3F7F" w14:textId="5EA57E21" w:rsidR="00652F4D" w:rsidRPr="00263EC5" w:rsidRDefault="00652F4D" w:rsidP="00263EC5">
      <w:pPr>
        <w:pStyle w:val="Textonotapie"/>
        <w:ind w:firstLine="709"/>
        <w:jc w:val="both"/>
        <w:rPr>
          <w:rFonts w:ascii="Arial" w:hAnsi="Arial" w:cs="Arial"/>
          <w:sz w:val="19"/>
          <w:szCs w:val="19"/>
          <w:lang w:val="es-CO"/>
        </w:rPr>
      </w:pPr>
    </w:p>
  </w:footnote>
  <w:footnote w:id="17">
    <w:p w14:paraId="58D37C81" w14:textId="585AC675" w:rsidR="0050309C" w:rsidRPr="00DE1B18" w:rsidRDefault="0050309C" w:rsidP="00263EC5">
      <w:pPr>
        <w:pStyle w:val="Textonotapie"/>
        <w:ind w:firstLine="709"/>
        <w:jc w:val="both"/>
        <w:rPr>
          <w:rFonts w:ascii="Arial" w:hAnsi="Arial" w:cs="Arial"/>
          <w:sz w:val="19"/>
          <w:szCs w:val="19"/>
          <w:lang w:val="es-ES"/>
        </w:rPr>
      </w:pPr>
      <w:r w:rsidRPr="00DE1B18">
        <w:rPr>
          <w:rStyle w:val="Refdenotaalpie"/>
          <w:rFonts w:ascii="Arial" w:hAnsi="Arial" w:cs="Arial"/>
          <w:sz w:val="19"/>
          <w:szCs w:val="19"/>
        </w:rPr>
        <w:footnoteRef/>
      </w:r>
      <w:r w:rsidRPr="00DE1B18">
        <w:rPr>
          <w:rFonts w:ascii="Arial" w:hAnsi="Arial" w:cs="Arial"/>
          <w:sz w:val="19"/>
          <w:szCs w:val="19"/>
        </w:rPr>
        <w:t xml:space="preserve"> </w:t>
      </w:r>
      <w:r w:rsidRPr="00DE1B18">
        <w:rPr>
          <w:rFonts w:ascii="Arial" w:hAnsi="Arial" w:cs="Arial"/>
          <w:sz w:val="19"/>
          <w:szCs w:val="19"/>
          <w:lang w:val="es-ES"/>
        </w:rPr>
        <w:t>En efecto, tal disposición establece: «Los contratos del Estado son absolutamente nulos en los casos previstos en el derecho común y además cuando:</w:t>
      </w:r>
    </w:p>
    <w:p w14:paraId="43EBE663" w14:textId="6B2809AB" w:rsidR="0050309C" w:rsidRPr="00DE1B18" w:rsidRDefault="0050309C" w:rsidP="00263EC5">
      <w:pPr>
        <w:pStyle w:val="Textonotapie"/>
        <w:ind w:firstLine="709"/>
        <w:jc w:val="both"/>
        <w:rPr>
          <w:rFonts w:ascii="Arial" w:hAnsi="Arial" w:cs="Arial"/>
          <w:sz w:val="19"/>
          <w:szCs w:val="19"/>
          <w:lang w:val="es-ES"/>
        </w:rPr>
      </w:pPr>
      <w:r w:rsidRPr="00DE1B18">
        <w:rPr>
          <w:rFonts w:ascii="Arial" w:hAnsi="Arial" w:cs="Arial"/>
          <w:sz w:val="19"/>
          <w:szCs w:val="19"/>
          <w:lang w:val="es-ES"/>
        </w:rPr>
        <w:t>»1o. Se celebren con personas incursas en causales de inhabilidad o incompatibilidad previstas en la Constitución y la ley;</w:t>
      </w:r>
    </w:p>
    <w:p w14:paraId="24937808" w14:textId="7A07DCC7" w:rsidR="0050309C" w:rsidRPr="00DE1B18" w:rsidRDefault="0050309C" w:rsidP="00263EC5">
      <w:pPr>
        <w:pStyle w:val="Textonotapie"/>
        <w:ind w:firstLine="709"/>
        <w:jc w:val="both"/>
        <w:rPr>
          <w:rFonts w:ascii="Arial" w:hAnsi="Arial" w:cs="Arial"/>
          <w:sz w:val="19"/>
          <w:szCs w:val="19"/>
          <w:lang w:val="es-ES"/>
        </w:rPr>
      </w:pPr>
      <w:r w:rsidRPr="00DE1B18">
        <w:rPr>
          <w:rFonts w:ascii="Arial" w:hAnsi="Arial" w:cs="Arial"/>
          <w:sz w:val="19"/>
          <w:szCs w:val="19"/>
          <w:lang w:val="es-ES"/>
        </w:rPr>
        <w:t>»2o. Se celebren contra expresa prohibición constitucional o legal;</w:t>
      </w:r>
    </w:p>
    <w:p w14:paraId="20A170C6" w14:textId="1AADC1A5" w:rsidR="0050309C" w:rsidRPr="00DE1B18" w:rsidRDefault="0050309C" w:rsidP="00263EC5">
      <w:pPr>
        <w:pStyle w:val="Textonotapie"/>
        <w:ind w:firstLine="709"/>
        <w:jc w:val="both"/>
        <w:rPr>
          <w:rFonts w:ascii="Arial" w:hAnsi="Arial" w:cs="Arial"/>
          <w:sz w:val="19"/>
          <w:szCs w:val="19"/>
          <w:lang w:val="es-ES"/>
        </w:rPr>
      </w:pPr>
      <w:r w:rsidRPr="00DE1B18">
        <w:rPr>
          <w:rFonts w:ascii="Arial" w:hAnsi="Arial" w:cs="Arial"/>
          <w:sz w:val="19"/>
          <w:szCs w:val="19"/>
          <w:lang w:val="es-ES"/>
        </w:rPr>
        <w:t>»3o. Se celebren con abuso o desviación de poder;</w:t>
      </w:r>
    </w:p>
    <w:p w14:paraId="23C0C6CC" w14:textId="2C617703" w:rsidR="0050309C" w:rsidRPr="00DE1B18" w:rsidRDefault="00816515" w:rsidP="00263EC5">
      <w:pPr>
        <w:pStyle w:val="Textonotapie"/>
        <w:ind w:firstLine="709"/>
        <w:jc w:val="both"/>
        <w:rPr>
          <w:rFonts w:ascii="Arial" w:hAnsi="Arial" w:cs="Arial"/>
          <w:sz w:val="19"/>
          <w:szCs w:val="19"/>
          <w:lang w:val="es-ES"/>
        </w:rPr>
      </w:pPr>
      <w:r w:rsidRPr="00DE1B18">
        <w:rPr>
          <w:rFonts w:ascii="Arial" w:hAnsi="Arial" w:cs="Arial"/>
          <w:sz w:val="19"/>
          <w:szCs w:val="19"/>
          <w:lang w:val="es-ES"/>
        </w:rPr>
        <w:t>»</w:t>
      </w:r>
      <w:r w:rsidR="0050309C" w:rsidRPr="00DE1B18">
        <w:rPr>
          <w:rFonts w:ascii="Arial" w:hAnsi="Arial" w:cs="Arial"/>
          <w:sz w:val="19"/>
          <w:szCs w:val="19"/>
          <w:lang w:val="es-ES"/>
        </w:rPr>
        <w:t>4o. Se declaren nulos los actos administrativos en que se fundamenten; y</w:t>
      </w:r>
    </w:p>
    <w:p w14:paraId="3FDBE7AB" w14:textId="79CEFF42" w:rsidR="0050309C" w:rsidRPr="00DE1B18" w:rsidRDefault="00816515" w:rsidP="00263EC5">
      <w:pPr>
        <w:pStyle w:val="Textonotapie"/>
        <w:ind w:firstLine="709"/>
        <w:jc w:val="both"/>
        <w:rPr>
          <w:rFonts w:ascii="Arial" w:hAnsi="Arial" w:cs="Arial"/>
          <w:sz w:val="19"/>
          <w:szCs w:val="19"/>
          <w:lang w:val="es-ES"/>
        </w:rPr>
      </w:pPr>
      <w:r w:rsidRPr="00DE1B18">
        <w:rPr>
          <w:rFonts w:ascii="Arial" w:hAnsi="Arial" w:cs="Arial"/>
          <w:sz w:val="19"/>
          <w:szCs w:val="19"/>
          <w:lang w:val="es-ES"/>
        </w:rPr>
        <w:t>»</w:t>
      </w:r>
      <w:r w:rsidR="0050309C" w:rsidRPr="00DE1B18">
        <w:rPr>
          <w:rFonts w:ascii="Arial" w:hAnsi="Arial" w:cs="Arial"/>
          <w:sz w:val="19"/>
          <w:szCs w:val="19"/>
          <w:lang w:val="es-ES"/>
        </w:rPr>
        <w:t>5o. Se hubieren celebrado con desconocimiento de los criterios previstos en el artículo 21 sobre tratamiento de ofertas nacionales y extranjeras o con violación de la reciprocidad de que trata esta ley</w:t>
      </w:r>
      <w:r w:rsidRPr="00DE1B18">
        <w:rPr>
          <w:rFonts w:ascii="Arial" w:hAnsi="Arial" w:cs="Arial"/>
          <w:sz w:val="19"/>
          <w:szCs w:val="19"/>
          <w:lang w:val="es-ES"/>
        </w:rPr>
        <w:t>»</w:t>
      </w:r>
      <w:r w:rsidR="0050309C" w:rsidRPr="00DE1B18">
        <w:rPr>
          <w:rFonts w:ascii="Arial" w:hAnsi="Arial" w:cs="Arial"/>
          <w:sz w:val="19"/>
          <w:szCs w:val="19"/>
          <w:lang w:val="es-ES"/>
        </w:rPr>
        <w:t>.</w:t>
      </w:r>
    </w:p>
  </w:footnote>
  <w:footnote w:id="18">
    <w:p w14:paraId="0A2EBE07" w14:textId="77777777" w:rsidR="00A201DB" w:rsidRPr="00DE1B18" w:rsidRDefault="00A201DB" w:rsidP="00263EC5">
      <w:pPr>
        <w:pStyle w:val="Textonotapie"/>
        <w:ind w:firstLine="709"/>
        <w:jc w:val="both"/>
        <w:rPr>
          <w:rFonts w:ascii="Arial" w:hAnsi="Arial" w:cs="Arial"/>
          <w:sz w:val="19"/>
          <w:szCs w:val="19"/>
        </w:rPr>
      </w:pPr>
    </w:p>
    <w:p w14:paraId="7393E0AA" w14:textId="5730E785" w:rsidR="005B0293" w:rsidRPr="00DE1B18" w:rsidRDefault="005B0293" w:rsidP="00263EC5">
      <w:pPr>
        <w:pStyle w:val="Textonotapie"/>
        <w:ind w:firstLine="709"/>
        <w:jc w:val="both"/>
        <w:rPr>
          <w:rFonts w:ascii="Arial" w:hAnsi="Arial" w:cs="Arial"/>
          <w:sz w:val="19"/>
          <w:szCs w:val="19"/>
          <w:lang w:val="es-ES"/>
        </w:rPr>
      </w:pPr>
      <w:r w:rsidRPr="00DE1B18">
        <w:rPr>
          <w:rStyle w:val="Refdenotaalpie"/>
          <w:rFonts w:ascii="Arial" w:hAnsi="Arial" w:cs="Arial"/>
          <w:sz w:val="19"/>
          <w:szCs w:val="19"/>
        </w:rPr>
        <w:footnoteRef/>
      </w:r>
      <w:r w:rsidRPr="00DE1B18">
        <w:rPr>
          <w:rFonts w:ascii="Arial" w:hAnsi="Arial" w:cs="Arial"/>
          <w:sz w:val="19"/>
          <w:szCs w:val="19"/>
        </w:rPr>
        <w:t xml:space="preserve"> </w:t>
      </w:r>
      <w:r w:rsidRPr="00DE1B18">
        <w:rPr>
          <w:rFonts w:ascii="Arial" w:hAnsi="Arial" w:cs="Arial"/>
          <w:sz w:val="19"/>
          <w:szCs w:val="19"/>
          <w:lang w:val="es-ES"/>
        </w:rPr>
        <w:t>Consejo de Estado. Sección Tercera. Subsección B. Sentencia</w:t>
      </w:r>
      <w:r w:rsidR="00633D6C" w:rsidRPr="00DE1B18">
        <w:rPr>
          <w:rFonts w:ascii="Arial" w:hAnsi="Arial" w:cs="Arial"/>
          <w:sz w:val="19"/>
          <w:szCs w:val="19"/>
          <w:lang w:val="es-ES"/>
        </w:rPr>
        <w:t xml:space="preserve"> del 27 de marzo de 2014. Consejero Ponente: Ramiro de Jesús Pazos Guerrero. Expediente: </w:t>
      </w:r>
      <w:r w:rsidR="00F663DD" w:rsidRPr="00DE1B18">
        <w:rPr>
          <w:rFonts w:ascii="Arial" w:hAnsi="Arial" w:cs="Arial"/>
          <w:sz w:val="19"/>
          <w:szCs w:val="19"/>
          <w:lang w:val="es-ES"/>
        </w:rPr>
        <w:t>27.453.</w:t>
      </w:r>
    </w:p>
    <w:p w14:paraId="49D073F8" w14:textId="77777777" w:rsidR="00F663DD" w:rsidRPr="00DE1B18" w:rsidRDefault="00F663DD" w:rsidP="00263EC5">
      <w:pPr>
        <w:pStyle w:val="Textonotapie"/>
        <w:ind w:firstLine="709"/>
        <w:jc w:val="both"/>
        <w:rPr>
          <w:rFonts w:ascii="Arial" w:hAnsi="Arial" w:cs="Arial"/>
          <w:sz w:val="19"/>
          <w:szCs w:val="19"/>
          <w:lang w:val="es-ES"/>
        </w:rPr>
      </w:pPr>
    </w:p>
  </w:footnote>
  <w:footnote w:id="19">
    <w:p w14:paraId="2E3779CE" w14:textId="5BEF3156" w:rsidR="00B92871" w:rsidRPr="00263EC5" w:rsidRDefault="00B92871" w:rsidP="00263EC5">
      <w:pPr>
        <w:pStyle w:val="Textonotapie"/>
        <w:ind w:firstLine="709"/>
        <w:jc w:val="both"/>
        <w:rPr>
          <w:rFonts w:ascii="Arial" w:hAnsi="Arial" w:cs="Arial"/>
          <w:sz w:val="19"/>
          <w:szCs w:val="19"/>
          <w:lang w:val="es-ES"/>
        </w:rPr>
      </w:pPr>
      <w:r w:rsidRPr="00DE1B18">
        <w:rPr>
          <w:rStyle w:val="Refdenotaalpie"/>
          <w:rFonts w:ascii="Arial" w:hAnsi="Arial" w:cs="Arial"/>
          <w:sz w:val="19"/>
          <w:szCs w:val="19"/>
        </w:rPr>
        <w:footnoteRef/>
      </w:r>
      <w:r w:rsidRPr="00DE1B18">
        <w:rPr>
          <w:rFonts w:ascii="Arial" w:hAnsi="Arial" w:cs="Arial"/>
          <w:sz w:val="19"/>
          <w:szCs w:val="19"/>
        </w:rPr>
        <w:t xml:space="preserve"> </w:t>
      </w:r>
      <w:r w:rsidR="00F663DD" w:rsidRPr="00DE1B18">
        <w:rPr>
          <w:rFonts w:ascii="Arial" w:hAnsi="Arial" w:cs="Arial"/>
          <w:sz w:val="19"/>
          <w:szCs w:val="19"/>
        </w:rPr>
        <w:t>Ibíd.</w:t>
      </w:r>
    </w:p>
  </w:footnote>
  <w:footnote w:id="20">
    <w:p w14:paraId="260D678A" w14:textId="1CD5D6B9" w:rsidR="00974CBD" w:rsidRPr="00263EC5" w:rsidRDefault="00974CBD" w:rsidP="00263EC5">
      <w:pPr>
        <w:pStyle w:val="Textonotapie"/>
        <w:ind w:firstLine="709"/>
        <w:jc w:val="both"/>
        <w:rPr>
          <w:rFonts w:ascii="Arial" w:hAnsi="Arial" w:cs="Arial"/>
          <w:sz w:val="19"/>
          <w:szCs w:val="19"/>
          <w:lang w:val="es-ES"/>
        </w:rPr>
      </w:pPr>
      <w:r w:rsidRPr="00263EC5">
        <w:rPr>
          <w:rStyle w:val="Refdenotaalpie"/>
          <w:rFonts w:ascii="Arial" w:hAnsi="Arial" w:cs="Arial"/>
          <w:sz w:val="19"/>
          <w:szCs w:val="19"/>
        </w:rPr>
        <w:footnoteRef/>
      </w:r>
      <w:r w:rsidRPr="00263EC5">
        <w:rPr>
          <w:rFonts w:ascii="Arial" w:hAnsi="Arial" w:cs="Arial"/>
          <w:sz w:val="19"/>
          <w:szCs w:val="19"/>
        </w:rPr>
        <w:t xml:space="preserve"> </w:t>
      </w:r>
      <w:r w:rsidR="0015623B" w:rsidRPr="00263EC5">
        <w:rPr>
          <w:rFonts w:ascii="Arial" w:hAnsi="Arial" w:cs="Arial"/>
          <w:sz w:val="19"/>
          <w:szCs w:val="19"/>
          <w:lang w:val="es-ES"/>
        </w:rPr>
        <w:t xml:space="preserve">Sentencia T-003 de 2018. Magistrada Ponente: Cristina Pardo </w:t>
      </w:r>
      <w:r w:rsidR="0015623B" w:rsidRPr="00263EC5">
        <w:rPr>
          <w:rFonts w:ascii="Arial" w:hAnsi="Arial" w:cs="Arial"/>
          <w:sz w:val="19"/>
          <w:szCs w:val="19"/>
          <w:lang w:val="es-ES"/>
        </w:rPr>
        <w:t>Schlesinger.</w:t>
      </w:r>
    </w:p>
    <w:p w14:paraId="529B3D57" w14:textId="77777777" w:rsidR="00F62227" w:rsidRPr="00263EC5" w:rsidRDefault="00F62227" w:rsidP="00263EC5">
      <w:pPr>
        <w:pStyle w:val="Textonotapie"/>
        <w:ind w:firstLine="709"/>
        <w:jc w:val="both"/>
        <w:rPr>
          <w:rFonts w:ascii="Arial" w:hAnsi="Arial" w:cs="Arial"/>
          <w:sz w:val="19"/>
          <w:szCs w:val="19"/>
          <w:lang w:val="es-CO"/>
        </w:rPr>
      </w:pPr>
    </w:p>
  </w:footnote>
  <w:footnote w:id="21">
    <w:p w14:paraId="3C693AC2" w14:textId="48BDDA13" w:rsidR="002F40E2" w:rsidRPr="00263EC5" w:rsidRDefault="002F40E2" w:rsidP="00263EC5">
      <w:pPr>
        <w:pStyle w:val="Textonotapie"/>
        <w:ind w:firstLine="709"/>
        <w:jc w:val="both"/>
        <w:rPr>
          <w:rFonts w:ascii="Arial" w:hAnsi="Arial" w:cs="Arial"/>
          <w:sz w:val="19"/>
          <w:szCs w:val="19"/>
          <w:lang w:val="es-ES"/>
        </w:rPr>
      </w:pPr>
      <w:r w:rsidRPr="00263EC5">
        <w:rPr>
          <w:rStyle w:val="Refdenotaalpie"/>
          <w:rFonts w:ascii="Arial" w:hAnsi="Arial" w:cs="Arial"/>
          <w:sz w:val="19"/>
          <w:szCs w:val="19"/>
        </w:rPr>
        <w:footnoteRef/>
      </w:r>
      <w:r w:rsidRPr="00263EC5">
        <w:rPr>
          <w:rFonts w:ascii="Arial" w:hAnsi="Arial" w:cs="Arial"/>
          <w:sz w:val="19"/>
          <w:szCs w:val="19"/>
        </w:rPr>
        <w:t xml:space="preserve"> </w:t>
      </w:r>
      <w:r w:rsidR="00F62227" w:rsidRPr="00263EC5">
        <w:rPr>
          <w:rFonts w:ascii="Arial" w:hAnsi="Arial" w:cs="Arial"/>
          <w:sz w:val="19"/>
          <w:szCs w:val="19"/>
          <w:lang w:val="es-ES"/>
        </w:rPr>
        <w:t>Sentencia T-967 de 2014. Magistrada Ponente: Gloria Stella Ortiz Delgado.</w:t>
      </w:r>
    </w:p>
    <w:p w14:paraId="3663EC63" w14:textId="77777777" w:rsidR="008E2BE6" w:rsidRPr="00263EC5" w:rsidRDefault="008E2BE6" w:rsidP="00263EC5">
      <w:pPr>
        <w:pStyle w:val="Textonotapie"/>
        <w:ind w:firstLine="709"/>
        <w:jc w:val="both"/>
        <w:rPr>
          <w:rFonts w:ascii="Arial" w:hAnsi="Arial" w:cs="Arial"/>
          <w:sz w:val="19"/>
          <w:szCs w:val="19"/>
          <w:lang w:val="es-CO"/>
        </w:rPr>
      </w:pPr>
    </w:p>
  </w:footnote>
  <w:footnote w:id="22">
    <w:p w14:paraId="6210057F" w14:textId="77777777" w:rsidR="0093360C" w:rsidRPr="00263EC5" w:rsidRDefault="0093360C" w:rsidP="00263EC5">
      <w:pPr>
        <w:pStyle w:val="Textonotapie"/>
        <w:ind w:firstLine="709"/>
        <w:jc w:val="both"/>
        <w:rPr>
          <w:rFonts w:ascii="Arial" w:hAnsi="Arial" w:cs="Arial"/>
          <w:sz w:val="19"/>
          <w:szCs w:val="19"/>
          <w:lang w:val="es-CO"/>
        </w:rPr>
      </w:pPr>
      <w:r w:rsidRPr="00263EC5">
        <w:rPr>
          <w:rStyle w:val="Refdenotaalpie"/>
          <w:rFonts w:ascii="Arial" w:hAnsi="Arial" w:cs="Arial"/>
          <w:sz w:val="19"/>
          <w:szCs w:val="19"/>
        </w:rPr>
        <w:footnoteRef/>
      </w:r>
      <w:r w:rsidRPr="00263EC5">
        <w:rPr>
          <w:rFonts w:ascii="Arial" w:hAnsi="Arial" w:cs="Arial"/>
          <w:sz w:val="19"/>
          <w:szCs w:val="19"/>
        </w:rPr>
        <w:t xml:space="preserve"> </w:t>
      </w:r>
      <w:r w:rsidRPr="00263EC5">
        <w:rPr>
          <w:rFonts w:ascii="Arial" w:hAnsi="Arial" w:cs="Arial"/>
          <w:sz w:val="19"/>
          <w:szCs w:val="19"/>
          <w:lang w:val="es-ES"/>
        </w:rPr>
        <w:t>Así lo admitió el Departamento Administrativo de la Función Pública en Concepto con radicado No. 20206000017881, del 22 de enero de 2020. Disponible en: https://www.funcionpublica.gov.co/eva/gestornormativo/norma.php?i=115437</w:t>
      </w:r>
    </w:p>
  </w:footnote>
  <w:footnote w:id="23">
    <w:p w14:paraId="1BB84D39" w14:textId="77777777" w:rsidR="008A41F8" w:rsidRPr="00263EC5" w:rsidRDefault="008A41F8" w:rsidP="00263EC5">
      <w:pPr>
        <w:pStyle w:val="Textonotapie"/>
        <w:ind w:firstLine="709"/>
        <w:jc w:val="both"/>
        <w:rPr>
          <w:rFonts w:ascii="Arial" w:hAnsi="Arial" w:cs="Arial"/>
          <w:sz w:val="19"/>
          <w:szCs w:val="19"/>
          <w:lang w:val="es-ES"/>
        </w:rPr>
      </w:pPr>
      <w:r w:rsidRPr="00263EC5">
        <w:rPr>
          <w:rStyle w:val="Refdenotaalpie"/>
          <w:rFonts w:ascii="Arial" w:hAnsi="Arial" w:cs="Arial"/>
          <w:sz w:val="19"/>
          <w:szCs w:val="19"/>
        </w:rPr>
        <w:footnoteRef/>
      </w:r>
      <w:r w:rsidRPr="00263EC5">
        <w:rPr>
          <w:rFonts w:ascii="Arial" w:hAnsi="Arial" w:cs="Arial"/>
          <w:sz w:val="19"/>
          <w:szCs w:val="19"/>
        </w:rPr>
        <w:t xml:space="preserve"> </w:t>
      </w:r>
      <w:r w:rsidRPr="00263EC5">
        <w:rPr>
          <w:rFonts w:ascii="Arial" w:hAnsi="Arial" w:cs="Arial"/>
          <w:sz w:val="19"/>
          <w:szCs w:val="19"/>
          <w:lang w:val="es-ES"/>
        </w:rPr>
        <w:t>Diccionario de la Lengua Española. En: https://dle.rae.es/participar</w:t>
      </w:r>
    </w:p>
  </w:footnote>
  <w:footnote w:id="24">
    <w:p w14:paraId="0A213A48" w14:textId="77777777" w:rsidR="002655EF" w:rsidRPr="00263EC5" w:rsidRDefault="002655EF" w:rsidP="00263EC5">
      <w:pPr>
        <w:pStyle w:val="Textonotapie"/>
        <w:ind w:firstLine="709"/>
        <w:jc w:val="both"/>
        <w:rPr>
          <w:rFonts w:ascii="Arial" w:hAnsi="Arial" w:cs="Arial"/>
          <w:sz w:val="19"/>
          <w:szCs w:val="19"/>
          <w:lang w:val="es-ES"/>
        </w:rPr>
      </w:pPr>
      <w:r w:rsidRPr="00263EC5">
        <w:rPr>
          <w:rStyle w:val="Refdenotaalpie"/>
          <w:rFonts w:ascii="Arial" w:hAnsi="Arial" w:cs="Arial"/>
          <w:sz w:val="19"/>
          <w:szCs w:val="19"/>
        </w:rPr>
        <w:footnoteRef/>
      </w:r>
      <w:r w:rsidRPr="00263EC5">
        <w:rPr>
          <w:rFonts w:ascii="Arial" w:hAnsi="Arial" w:cs="Arial"/>
          <w:sz w:val="19"/>
          <w:szCs w:val="19"/>
        </w:rPr>
        <w:t xml:space="preserve"> </w:t>
      </w:r>
      <w:r w:rsidRPr="00263EC5">
        <w:rPr>
          <w:rFonts w:ascii="Arial" w:hAnsi="Arial" w:cs="Arial"/>
          <w:sz w:val="19"/>
          <w:szCs w:val="19"/>
          <w:lang w:val="es-ES"/>
        </w:rPr>
        <w:t>«La manera como las ofertas presentan el precio varía demasiado, incluso por razón de la costumbre que se impone en determinados negocios. Por ejemplo, tratándose de la compraventa, del suministro o la prestación de servicios profesionales –entre otros contratos, que de hecho son la mayoría– el valor que se ofrece no se desglosa para revelar al destinatario su estructura de costos. El proponente se limita a establecer una cifra por la que está dispuesto a asumir ciertas obligaciones, pero el comprador desconoce cómo se compone internamente, es decir, no sabe –ni usualmente le interesa conocerlo– qué parte del valor corresponde a gastos de mano de obra, de transporte, de energía, cuál es la utilidad esperada, entre otros conceptos. En estos casos se limita a conocer con claridad absoluta cuánto le costará el bien o el servicio, porque es lo que pagará.</w:t>
      </w:r>
    </w:p>
    <w:p w14:paraId="37C5976D" w14:textId="77777777" w:rsidR="002655EF" w:rsidRPr="00263EC5" w:rsidRDefault="002655EF" w:rsidP="00263EC5">
      <w:pPr>
        <w:pStyle w:val="Textonotapie"/>
        <w:ind w:firstLine="709"/>
        <w:jc w:val="both"/>
        <w:rPr>
          <w:rFonts w:ascii="Arial" w:hAnsi="Arial" w:cs="Arial"/>
          <w:sz w:val="19"/>
          <w:szCs w:val="19"/>
          <w:lang w:val="es-ES"/>
        </w:rPr>
      </w:pPr>
      <w:r w:rsidRPr="00263EC5">
        <w:rPr>
          <w:rFonts w:ascii="Arial" w:hAnsi="Arial" w:cs="Arial"/>
          <w:sz w:val="19"/>
          <w:szCs w:val="19"/>
          <w:lang w:val="es-ES"/>
        </w:rPr>
        <w:t xml:space="preserve">»Sin embargo, en otros negocios, como la obra pública, la concesión y la consultoría, el Estado está acostumbrado a que se desglosen intensamente los costos, exigiendo no sólo el precio total sino una distinción entre los </w:t>
      </w:r>
      <w:r w:rsidRPr="00263EC5">
        <w:rPr>
          <w:rFonts w:ascii="Arial" w:hAnsi="Arial" w:cs="Arial"/>
          <w:i/>
          <w:iCs/>
          <w:sz w:val="19"/>
          <w:szCs w:val="19"/>
          <w:lang w:val="es-ES"/>
        </w:rPr>
        <w:t>costos directos</w:t>
      </w:r>
      <w:r w:rsidRPr="00263EC5">
        <w:rPr>
          <w:rFonts w:ascii="Arial" w:hAnsi="Arial" w:cs="Arial"/>
          <w:sz w:val="19"/>
          <w:szCs w:val="19"/>
          <w:lang w:val="es-ES"/>
        </w:rPr>
        <w:t xml:space="preserve"> y los</w:t>
      </w:r>
      <w:r w:rsidRPr="00263EC5">
        <w:rPr>
          <w:rFonts w:ascii="Arial" w:hAnsi="Arial" w:cs="Arial"/>
          <w:i/>
          <w:iCs/>
          <w:sz w:val="19"/>
          <w:szCs w:val="19"/>
          <w:lang w:val="es-ES"/>
        </w:rPr>
        <w:t xml:space="preserve"> costos indirectos</w:t>
      </w:r>
      <w:r w:rsidRPr="00263EC5">
        <w:rPr>
          <w:rFonts w:ascii="Arial" w:hAnsi="Arial" w:cs="Arial"/>
          <w:sz w:val="19"/>
          <w:szCs w:val="19"/>
          <w:lang w:val="es-ES"/>
        </w:rPr>
        <w:t xml:space="preserve">. Los primeros son los gastos imprescindibles para ejecutar la obra, entre los que se encuentra: la adquisición de materiales, insumos y suministros, la inversión en equipos, el pago de la mano de obra de las cuadrillas de trabajadores obreros y otros gastos afines –representados en los </w:t>
      </w:r>
      <w:r w:rsidRPr="00263EC5">
        <w:rPr>
          <w:rFonts w:ascii="Arial" w:hAnsi="Arial" w:cs="Arial"/>
          <w:i/>
          <w:iCs/>
          <w:sz w:val="19"/>
          <w:szCs w:val="19"/>
          <w:lang w:val="es-ES"/>
        </w:rPr>
        <w:t>ítems</w:t>
      </w:r>
      <w:r w:rsidRPr="00263EC5">
        <w:rPr>
          <w:rFonts w:ascii="Arial" w:hAnsi="Arial" w:cs="Arial"/>
          <w:sz w:val="19"/>
          <w:szCs w:val="19"/>
          <w:lang w:val="es-ES"/>
        </w:rPr>
        <w:t xml:space="preserve"> que componen el contrato–. Los costos </w:t>
      </w:r>
      <w:r w:rsidRPr="00263EC5">
        <w:rPr>
          <w:rFonts w:ascii="Arial" w:hAnsi="Arial" w:cs="Arial"/>
          <w:i/>
          <w:iCs/>
          <w:sz w:val="19"/>
          <w:szCs w:val="19"/>
          <w:lang w:val="es-ES"/>
        </w:rPr>
        <w:t>indirectos</w:t>
      </w:r>
      <w:r w:rsidRPr="00263EC5">
        <w:rPr>
          <w:rFonts w:ascii="Arial" w:hAnsi="Arial" w:cs="Arial"/>
          <w:sz w:val="19"/>
          <w:szCs w:val="19"/>
          <w:lang w:val="es-ES"/>
        </w:rPr>
        <w:t xml:space="preserve"> aluden a los gastos que también son necesarios para la obra, pero que no hacen parte de los elementos mismos con los que se construye, es decir, se trata de los costos de administración de la obra, los imprevistos que se presentan durante su ejecución y la utilidad esperada» (MARÍN CORTÉS, Fabián. El precio. Serie: Las cláusulas del contrato estatal. Medellín: Librería Jurídica Sánchez y Centro de Estudios de Derecho Administrativo –CEDA–, 2012. pp. 63-64).</w:t>
      </w:r>
    </w:p>
  </w:footnote>
  <w:footnote w:id="25">
    <w:p w14:paraId="324EFE13" w14:textId="77777777" w:rsidR="002655EF" w:rsidRPr="00263EC5" w:rsidRDefault="002655EF" w:rsidP="00263EC5">
      <w:pPr>
        <w:pStyle w:val="Textonotapie"/>
        <w:ind w:firstLine="709"/>
        <w:jc w:val="both"/>
        <w:rPr>
          <w:rFonts w:ascii="Arial" w:hAnsi="Arial" w:cs="Arial"/>
          <w:sz w:val="19"/>
          <w:szCs w:val="19"/>
        </w:rPr>
      </w:pPr>
      <w:r w:rsidRPr="00263EC5">
        <w:rPr>
          <w:rStyle w:val="Refdenotaalpie"/>
          <w:rFonts w:ascii="Arial" w:hAnsi="Arial" w:cs="Arial"/>
          <w:sz w:val="19"/>
          <w:szCs w:val="19"/>
        </w:rPr>
        <w:footnoteRef/>
      </w:r>
      <w:r w:rsidRPr="00263EC5">
        <w:rPr>
          <w:rFonts w:ascii="Arial" w:hAnsi="Arial" w:cs="Arial"/>
          <w:sz w:val="19"/>
          <w:szCs w:val="19"/>
        </w:rPr>
        <w:t xml:space="preserve"> Consejo de Estado. Sección Tercera. Subsección B. Sentencia del 14 de octubre de 2011. Exp. 20811, C.P. Ruth Stella Correa Palacio.</w:t>
      </w:r>
    </w:p>
    <w:p w14:paraId="1B75F1B3" w14:textId="77777777" w:rsidR="002655EF" w:rsidRPr="00263EC5" w:rsidRDefault="002655EF" w:rsidP="00263EC5">
      <w:pPr>
        <w:pStyle w:val="Textonotapie"/>
        <w:ind w:firstLine="709"/>
        <w:jc w:val="both"/>
        <w:rPr>
          <w:rFonts w:ascii="Arial" w:hAnsi="Arial" w:cs="Arial"/>
          <w:sz w:val="19"/>
          <w:szCs w:val="19"/>
          <w:lang w:val="es-ES"/>
        </w:rPr>
      </w:pPr>
    </w:p>
  </w:footnote>
  <w:footnote w:id="26">
    <w:p w14:paraId="5AB08179" w14:textId="77777777" w:rsidR="0029745A" w:rsidRPr="005C1F67" w:rsidRDefault="0029745A" w:rsidP="0029745A">
      <w:pPr>
        <w:pStyle w:val="Textonotapie"/>
        <w:ind w:firstLine="708"/>
        <w:jc w:val="both"/>
        <w:rPr>
          <w:rFonts w:ascii="Arial" w:hAnsi="Arial" w:cs="Arial"/>
          <w:color w:val="000000" w:themeColor="text1"/>
          <w:sz w:val="19"/>
          <w:szCs w:val="19"/>
          <w:lang w:val="es-CO"/>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Lo anterior, sin perjuicio de lo prescrito por la Ley 1474 de 2011, que en su artículo 85, en relación con los contratos de interventoría, excepciona la aplicación de la restricción analizada, de manera que podrán adicionarse sin importar su monto: «Artículo 85. Continuidad de la interventoría. 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p>
  </w:footnote>
  <w:footnote w:id="27">
    <w:p w14:paraId="50F5780E" w14:textId="77777777" w:rsidR="00BC566B" w:rsidRPr="000E0D71" w:rsidRDefault="00BC566B" w:rsidP="00BC566B">
      <w:pPr>
        <w:pStyle w:val="Textonotapie"/>
        <w:ind w:firstLine="709"/>
        <w:jc w:val="both"/>
        <w:rPr>
          <w:rFonts w:ascii="Arial" w:hAnsi="Arial" w:cs="Arial"/>
          <w:b/>
          <w:bCs/>
          <w:sz w:val="19"/>
          <w:szCs w:val="19"/>
        </w:rPr>
      </w:pPr>
      <w:r w:rsidRPr="000E0D71">
        <w:rPr>
          <w:rStyle w:val="Refdenotaalpie"/>
          <w:rFonts w:ascii="Arial" w:hAnsi="Arial" w:cs="Arial"/>
          <w:sz w:val="19"/>
          <w:szCs w:val="19"/>
        </w:rPr>
        <w:footnoteRef/>
      </w:r>
      <w:r w:rsidRPr="000E0D71">
        <w:rPr>
          <w:rFonts w:ascii="Arial" w:hAnsi="Arial" w:cs="Arial"/>
          <w:sz w:val="19"/>
          <w:szCs w:val="19"/>
        </w:rPr>
        <w:t xml:space="preserve"> Procuraduría General de la Nación. Los mecanismos alternativos de solución de conflictos en Colombia. MASC. Estudios, caracterización y compilación normativa y jurisprudencial. Tomo III, p. 53. En: https://www.procuraduria.gov.co/iemp/media/file/img/noticias/Los%20mecanismos%20alternativos%20%20de%20soluci%C3%B3n%20de%20conflictos%20en%20Colombia%20+%20MASC.pdf</w:t>
      </w:r>
    </w:p>
  </w:footnote>
  <w:footnote w:id="28">
    <w:p w14:paraId="740B982F" w14:textId="77777777" w:rsidR="00BC566B" w:rsidRPr="000E0D71" w:rsidRDefault="00BC566B" w:rsidP="00BC566B">
      <w:pPr>
        <w:pStyle w:val="NormalWeb"/>
        <w:spacing w:before="0" w:beforeAutospacing="0" w:after="0" w:afterAutospacing="0"/>
        <w:ind w:firstLine="709"/>
        <w:jc w:val="both"/>
        <w:rPr>
          <w:rFonts w:ascii="Arial" w:hAnsi="Arial" w:cs="Arial"/>
          <w:color w:val="000000" w:themeColor="text1"/>
          <w:sz w:val="19"/>
          <w:szCs w:val="19"/>
        </w:rPr>
      </w:pPr>
      <w:r w:rsidRPr="000E0D71">
        <w:rPr>
          <w:rStyle w:val="Refdenotaalpie"/>
          <w:rFonts w:ascii="Arial" w:hAnsi="Arial" w:cs="Arial"/>
          <w:color w:val="000000" w:themeColor="text1"/>
          <w:sz w:val="19"/>
          <w:szCs w:val="19"/>
        </w:rPr>
        <w:footnoteRef/>
      </w:r>
      <w:r w:rsidRPr="000E0D71">
        <w:rPr>
          <w:rFonts w:ascii="Arial" w:hAnsi="Arial" w:cs="Arial"/>
          <w:color w:val="000000" w:themeColor="text1"/>
          <w:sz w:val="19"/>
          <w:szCs w:val="19"/>
        </w:rPr>
        <w:t xml:space="preserve"> </w:t>
      </w:r>
      <w:r w:rsidRPr="000E0D71">
        <w:rPr>
          <w:rFonts w:ascii="Arial" w:hAnsi="Arial" w:cs="Arial"/>
          <w:color w:val="000000" w:themeColor="text1"/>
          <w:sz w:val="19"/>
          <w:szCs w:val="19"/>
          <w:lang w:val="es-ES"/>
        </w:rPr>
        <w:t>La redacción del artículo 1.625 es la siguiente: «</w:t>
      </w:r>
      <w:r w:rsidRPr="000E0D71">
        <w:rPr>
          <w:rFonts w:ascii="Arial" w:hAnsi="Arial" w:cs="Arial"/>
          <w:color w:val="000000" w:themeColor="text1"/>
          <w:sz w:val="19"/>
          <w:szCs w:val="19"/>
        </w:rPr>
        <w:t>Toda obligación puede extinguirse por una convención en que las partes interesadas, siendo capaces de disponer libremente de lo suyo, consientan en darla por nula.</w:t>
      </w:r>
    </w:p>
    <w:p w14:paraId="7BDA40E0" w14:textId="77777777" w:rsidR="00BC566B" w:rsidRPr="000E0D71" w:rsidRDefault="00BC566B" w:rsidP="00BC566B">
      <w:pPr>
        <w:pStyle w:val="NormalWeb"/>
        <w:spacing w:before="0" w:beforeAutospacing="0" w:after="0" w:afterAutospacing="0"/>
        <w:ind w:firstLine="709"/>
        <w:jc w:val="both"/>
        <w:rPr>
          <w:rFonts w:ascii="Arial" w:hAnsi="Arial" w:cs="Arial"/>
          <w:color w:val="000000" w:themeColor="text1"/>
          <w:sz w:val="19"/>
          <w:szCs w:val="19"/>
        </w:rPr>
      </w:pPr>
      <w:r w:rsidRPr="000E0D71">
        <w:rPr>
          <w:rFonts w:ascii="Arial" w:hAnsi="Arial" w:cs="Arial"/>
          <w:color w:val="000000" w:themeColor="text1"/>
          <w:sz w:val="19"/>
          <w:szCs w:val="19"/>
        </w:rPr>
        <w:t>»Las obligaciones se extinguen además en todo o en parte:</w:t>
      </w:r>
    </w:p>
    <w:p w14:paraId="7EF7D0AD" w14:textId="77777777" w:rsidR="00BC566B" w:rsidRPr="000E0D71" w:rsidRDefault="00BC566B" w:rsidP="00BC566B">
      <w:pPr>
        <w:pStyle w:val="NormalWeb"/>
        <w:spacing w:before="0" w:beforeAutospacing="0" w:after="0" w:afterAutospacing="0"/>
        <w:ind w:firstLine="709"/>
        <w:jc w:val="both"/>
        <w:rPr>
          <w:rFonts w:ascii="Arial" w:hAnsi="Arial" w:cs="Arial"/>
          <w:color w:val="000000" w:themeColor="text1"/>
          <w:sz w:val="19"/>
          <w:szCs w:val="19"/>
        </w:rPr>
      </w:pPr>
      <w:r w:rsidRPr="000E0D71">
        <w:rPr>
          <w:rFonts w:ascii="Arial" w:hAnsi="Arial" w:cs="Arial"/>
          <w:color w:val="000000" w:themeColor="text1"/>
          <w:sz w:val="19"/>
          <w:szCs w:val="19"/>
        </w:rPr>
        <w:t>»1o.) Por la solución o pago efectivo.</w:t>
      </w:r>
    </w:p>
    <w:p w14:paraId="040D6E11" w14:textId="77777777" w:rsidR="00BC566B" w:rsidRPr="000E0D71" w:rsidRDefault="00BC566B" w:rsidP="00BC566B">
      <w:pPr>
        <w:pStyle w:val="NormalWeb"/>
        <w:spacing w:before="0" w:beforeAutospacing="0" w:after="0" w:afterAutospacing="0"/>
        <w:ind w:firstLine="709"/>
        <w:jc w:val="both"/>
        <w:rPr>
          <w:rFonts w:ascii="Arial" w:hAnsi="Arial" w:cs="Arial"/>
          <w:color w:val="000000" w:themeColor="text1"/>
          <w:sz w:val="19"/>
          <w:szCs w:val="19"/>
        </w:rPr>
      </w:pPr>
      <w:r w:rsidRPr="000E0D71">
        <w:rPr>
          <w:rFonts w:ascii="Arial" w:hAnsi="Arial" w:cs="Arial"/>
          <w:color w:val="000000" w:themeColor="text1"/>
          <w:sz w:val="19"/>
          <w:szCs w:val="19"/>
        </w:rPr>
        <w:t>»2o.) Por la novación.</w:t>
      </w:r>
    </w:p>
    <w:p w14:paraId="12444756" w14:textId="77777777" w:rsidR="00BC566B" w:rsidRPr="000E0D71" w:rsidRDefault="00BC566B" w:rsidP="00BC566B">
      <w:pPr>
        <w:pStyle w:val="NormalWeb"/>
        <w:spacing w:before="0" w:beforeAutospacing="0" w:after="0" w:afterAutospacing="0"/>
        <w:ind w:firstLine="709"/>
        <w:jc w:val="both"/>
        <w:rPr>
          <w:rFonts w:ascii="Arial" w:hAnsi="Arial" w:cs="Arial"/>
          <w:color w:val="000000" w:themeColor="text1"/>
          <w:sz w:val="19"/>
          <w:szCs w:val="19"/>
        </w:rPr>
      </w:pPr>
      <w:r w:rsidRPr="000E0D71">
        <w:rPr>
          <w:rFonts w:ascii="Arial" w:hAnsi="Arial" w:cs="Arial"/>
          <w:color w:val="000000" w:themeColor="text1"/>
          <w:sz w:val="19"/>
          <w:szCs w:val="19"/>
        </w:rPr>
        <w:t>»3o.) Por la transacción.</w:t>
      </w:r>
    </w:p>
    <w:p w14:paraId="60717AD1" w14:textId="77777777" w:rsidR="00BC566B" w:rsidRPr="000E0D71" w:rsidRDefault="00BC566B" w:rsidP="00BC566B">
      <w:pPr>
        <w:pStyle w:val="NormalWeb"/>
        <w:spacing w:before="0" w:beforeAutospacing="0" w:after="0" w:afterAutospacing="0"/>
        <w:ind w:firstLine="709"/>
        <w:jc w:val="both"/>
        <w:rPr>
          <w:rFonts w:ascii="Arial" w:hAnsi="Arial" w:cs="Arial"/>
          <w:color w:val="000000" w:themeColor="text1"/>
          <w:sz w:val="19"/>
          <w:szCs w:val="19"/>
        </w:rPr>
      </w:pPr>
      <w:r w:rsidRPr="000E0D71">
        <w:rPr>
          <w:rFonts w:ascii="Arial" w:hAnsi="Arial" w:cs="Arial"/>
          <w:color w:val="000000" w:themeColor="text1"/>
          <w:sz w:val="19"/>
          <w:szCs w:val="19"/>
        </w:rPr>
        <w:t>»4o.) Por la remisión.</w:t>
      </w:r>
    </w:p>
    <w:p w14:paraId="7C819630" w14:textId="77777777" w:rsidR="00BC566B" w:rsidRPr="000E0D71" w:rsidRDefault="00BC566B" w:rsidP="00BC566B">
      <w:pPr>
        <w:pStyle w:val="NormalWeb"/>
        <w:spacing w:before="0" w:beforeAutospacing="0" w:after="0" w:afterAutospacing="0"/>
        <w:ind w:firstLine="709"/>
        <w:jc w:val="both"/>
        <w:rPr>
          <w:rFonts w:ascii="Arial" w:hAnsi="Arial" w:cs="Arial"/>
          <w:color w:val="000000" w:themeColor="text1"/>
          <w:sz w:val="19"/>
          <w:szCs w:val="19"/>
        </w:rPr>
      </w:pPr>
      <w:r w:rsidRPr="000E0D71">
        <w:rPr>
          <w:rFonts w:ascii="Arial" w:hAnsi="Arial" w:cs="Arial"/>
          <w:color w:val="000000" w:themeColor="text1"/>
          <w:sz w:val="19"/>
          <w:szCs w:val="19"/>
        </w:rPr>
        <w:t>»5o.) Por la compensación.</w:t>
      </w:r>
    </w:p>
    <w:p w14:paraId="126BAFB8" w14:textId="77777777" w:rsidR="00BC566B" w:rsidRPr="000E0D71" w:rsidRDefault="00BC566B" w:rsidP="00BC566B">
      <w:pPr>
        <w:pStyle w:val="NormalWeb"/>
        <w:spacing w:before="0" w:beforeAutospacing="0" w:after="0" w:afterAutospacing="0"/>
        <w:ind w:firstLine="709"/>
        <w:jc w:val="both"/>
        <w:rPr>
          <w:rFonts w:ascii="Arial" w:hAnsi="Arial" w:cs="Arial"/>
          <w:color w:val="000000" w:themeColor="text1"/>
          <w:sz w:val="19"/>
          <w:szCs w:val="19"/>
        </w:rPr>
      </w:pPr>
      <w:r w:rsidRPr="000E0D71">
        <w:rPr>
          <w:rFonts w:ascii="Arial" w:hAnsi="Arial" w:cs="Arial"/>
          <w:color w:val="000000" w:themeColor="text1"/>
          <w:sz w:val="19"/>
          <w:szCs w:val="19"/>
        </w:rPr>
        <w:t>»6o.) Por la confusión.</w:t>
      </w:r>
    </w:p>
    <w:p w14:paraId="4840D81F" w14:textId="77777777" w:rsidR="00BC566B" w:rsidRPr="000E0D71" w:rsidRDefault="00BC566B" w:rsidP="00BC566B">
      <w:pPr>
        <w:pStyle w:val="NormalWeb"/>
        <w:spacing w:before="0" w:beforeAutospacing="0" w:after="0" w:afterAutospacing="0"/>
        <w:ind w:firstLine="709"/>
        <w:jc w:val="both"/>
        <w:rPr>
          <w:rFonts w:ascii="Arial" w:hAnsi="Arial" w:cs="Arial"/>
          <w:color w:val="000000" w:themeColor="text1"/>
          <w:sz w:val="19"/>
          <w:szCs w:val="19"/>
        </w:rPr>
      </w:pPr>
      <w:r w:rsidRPr="000E0D71">
        <w:rPr>
          <w:rFonts w:ascii="Arial" w:hAnsi="Arial" w:cs="Arial"/>
          <w:color w:val="000000" w:themeColor="text1"/>
          <w:sz w:val="19"/>
          <w:szCs w:val="19"/>
        </w:rPr>
        <w:t>»7o.) Por la pérdida de la cosa que se debe.</w:t>
      </w:r>
    </w:p>
    <w:p w14:paraId="7AAFF287" w14:textId="77777777" w:rsidR="00BC566B" w:rsidRPr="000E0D71" w:rsidRDefault="00BC566B" w:rsidP="00BC566B">
      <w:pPr>
        <w:pStyle w:val="NormalWeb"/>
        <w:spacing w:before="0" w:beforeAutospacing="0" w:after="0" w:afterAutospacing="0"/>
        <w:ind w:firstLine="709"/>
        <w:jc w:val="both"/>
        <w:rPr>
          <w:rFonts w:ascii="Arial" w:hAnsi="Arial" w:cs="Arial"/>
          <w:color w:val="000000" w:themeColor="text1"/>
          <w:sz w:val="19"/>
          <w:szCs w:val="19"/>
        </w:rPr>
      </w:pPr>
      <w:r w:rsidRPr="000E0D71">
        <w:rPr>
          <w:rFonts w:ascii="Arial" w:hAnsi="Arial" w:cs="Arial"/>
          <w:color w:val="000000" w:themeColor="text1"/>
          <w:sz w:val="19"/>
          <w:szCs w:val="19"/>
        </w:rPr>
        <w:t>»8o.) Por la declaración de nulidad o por la rescisión.</w:t>
      </w:r>
    </w:p>
    <w:p w14:paraId="4AF81A01" w14:textId="77777777" w:rsidR="00BC566B" w:rsidRPr="000E0D71" w:rsidRDefault="00BC566B" w:rsidP="00BC566B">
      <w:pPr>
        <w:pStyle w:val="NormalWeb"/>
        <w:spacing w:before="0" w:beforeAutospacing="0" w:after="0" w:afterAutospacing="0"/>
        <w:ind w:firstLine="709"/>
        <w:jc w:val="both"/>
        <w:rPr>
          <w:rFonts w:ascii="Arial" w:hAnsi="Arial" w:cs="Arial"/>
          <w:color w:val="000000" w:themeColor="text1"/>
          <w:sz w:val="19"/>
          <w:szCs w:val="19"/>
        </w:rPr>
      </w:pPr>
      <w:r w:rsidRPr="000E0D71">
        <w:rPr>
          <w:rFonts w:ascii="Arial" w:hAnsi="Arial" w:cs="Arial"/>
          <w:color w:val="000000" w:themeColor="text1"/>
          <w:sz w:val="19"/>
          <w:szCs w:val="19"/>
        </w:rPr>
        <w:t>»9o.) Por el evento de la condición resolutoria.</w:t>
      </w:r>
    </w:p>
    <w:p w14:paraId="2B0A8709" w14:textId="77777777" w:rsidR="00BC566B" w:rsidRPr="000E0D71" w:rsidRDefault="00BC566B" w:rsidP="00BC566B">
      <w:pPr>
        <w:pStyle w:val="NormalWeb"/>
        <w:spacing w:before="0" w:beforeAutospacing="0" w:after="0" w:afterAutospacing="0"/>
        <w:ind w:firstLine="709"/>
        <w:jc w:val="both"/>
        <w:rPr>
          <w:rFonts w:ascii="Arial" w:hAnsi="Arial" w:cs="Arial"/>
          <w:color w:val="000000" w:themeColor="text1"/>
          <w:sz w:val="19"/>
          <w:szCs w:val="19"/>
        </w:rPr>
      </w:pPr>
      <w:r w:rsidRPr="000E0D71">
        <w:rPr>
          <w:rFonts w:ascii="Arial" w:hAnsi="Arial" w:cs="Arial"/>
          <w:color w:val="000000" w:themeColor="text1"/>
          <w:sz w:val="19"/>
          <w:szCs w:val="19"/>
        </w:rPr>
        <w:t>»10.) Por la prescripción.</w:t>
      </w:r>
    </w:p>
    <w:p w14:paraId="4DEB229C" w14:textId="77777777" w:rsidR="00BC566B" w:rsidRPr="000E0D71" w:rsidRDefault="00BC566B" w:rsidP="00BC566B">
      <w:pPr>
        <w:pStyle w:val="NormalWeb"/>
        <w:spacing w:before="0" w:beforeAutospacing="0" w:after="0" w:afterAutospacing="0"/>
        <w:ind w:firstLine="709"/>
        <w:jc w:val="both"/>
        <w:rPr>
          <w:rFonts w:ascii="Arial" w:hAnsi="Arial" w:cs="Arial"/>
          <w:color w:val="000000" w:themeColor="text1"/>
          <w:sz w:val="19"/>
          <w:szCs w:val="19"/>
        </w:rPr>
      </w:pPr>
      <w:r w:rsidRPr="000E0D71">
        <w:rPr>
          <w:rFonts w:ascii="Arial" w:hAnsi="Arial" w:cs="Arial"/>
          <w:color w:val="000000" w:themeColor="text1"/>
          <w:sz w:val="19"/>
          <w:szCs w:val="19"/>
        </w:rPr>
        <w:t>»De la transacción y la prescripción se tratará al fin de este libro; de la condición resolutoria se ha tratado en el título De las obligaciones condicionales».</w:t>
      </w:r>
    </w:p>
    <w:p w14:paraId="509B994E" w14:textId="77777777" w:rsidR="00BC566B" w:rsidRPr="000E0D71" w:rsidRDefault="00BC566B" w:rsidP="00BC566B">
      <w:pPr>
        <w:pStyle w:val="Textonotapie"/>
        <w:ind w:firstLine="709"/>
        <w:jc w:val="both"/>
        <w:rPr>
          <w:rFonts w:ascii="Arial" w:hAnsi="Arial" w:cs="Arial"/>
          <w:color w:val="000000" w:themeColor="text1"/>
          <w:sz w:val="19"/>
          <w:szCs w:val="19"/>
          <w:lang w:val="es-CO"/>
        </w:rPr>
      </w:pPr>
    </w:p>
  </w:footnote>
  <w:footnote w:id="29">
    <w:p w14:paraId="7C552EFB" w14:textId="77777777" w:rsidR="00BC566B" w:rsidRPr="000E0D71" w:rsidRDefault="00BC566B" w:rsidP="00BC566B">
      <w:pPr>
        <w:pStyle w:val="Textonotapie"/>
        <w:ind w:firstLine="709"/>
        <w:jc w:val="both"/>
        <w:rPr>
          <w:rFonts w:ascii="Arial" w:hAnsi="Arial" w:cs="Arial"/>
          <w:sz w:val="19"/>
          <w:szCs w:val="19"/>
          <w:lang w:val="es-ES"/>
        </w:rPr>
      </w:pPr>
      <w:r w:rsidRPr="000E0D71">
        <w:rPr>
          <w:rStyle w:val="Refdenotaalpie"/>
          <w:rFonts w:ascii="Arial" w:hAnsi="Arial" w:cs="Arial"/>
          <w:sz w:val="19"/>
          <w:szCs w:val="19"/>
        </w:rPr>
        <w:footnoteRef/>
      </w:r>
      <w:r w:rsidRPr="000E0D71">
        <w:rPr>
          <w:rFonts w:ascii="Arial" w:hAnsi="Arial" w:cs="Arial"/>
          <w:sz w:val="19"/>
          <w:szCs w:val="19"/>
        </w:rPr>
        <w:t xml:space="preserve"> Así lo indica la norma: </w:t>
      </w:r>
      <w:r w:rsidRPr="000E0D71">
        <w:rPr>
          <w:rFonts w:ascii="Arial" w:hAnsi="Arial" w:cs="Arial"/>
          <w:sz w:val="19"/>
          <w:szCs w:val="19"/>
          <w:lang w:val="es-ES"/>
        </w:rPr>
        <w:t>«Cuando la pretensión comprenda aspectos que por su naturaleza son conciliables, para allanarse a la demanda la Nación requerirá autorización del Gobierno Nacional y las demás entidades públicas requerirán previa autorización expresa y escrita del Ministro, Jefe de Departamento Administrativo, Gobernador o Alcalde o de la autoridad que las represente o a cuyo Despacho estén vinculadas o adscritas. En los casos de órganos u organismos autónomos e independientes, tal autorización deberá expedirla el servidor de mayor jerarquía en la entidad.</w:t>
      </w:r>
    </w:p>
    <w:p w14:paraId="6AF857BB" w14:textId="77777777" w:rsidR="00BC566B" w:rsidRPr="000E0D71" w:rsidRDefault="00BC566B" w:rsidP="00BC566B">
      <w:pPr>
        <w:pStyle w:val="Textonotapie"/>
        <w:ind w:firstLine="709"/>
        <w:jc w:val="both"/>
        <w:rPr>
          <w:rFonts w:ascii="Arial" w:hAnsi="Arial" w:cs="Arial"/>
          <w:sz w:val="19"/>
          <w:szCs w:val="19"/>
          <w:lang w:val="es-ES"/>
        </w:rPr>
      </w:pPr>
      <w:r w:rsidRPr="000E0D71">
        <w:rPr>
          <w:rFonts w:ascii="Arial" w:hAnsi="Arial" w:cs="Arial"/>
          <w:sz w:val="19"/>
          <w:szCs w:val="19"/>
          <w:lang w:val="es-ES"/>
        </w:rPr>
        <w:t>»En el evento de allanamiento se dictará inmediatamente sentencia. Sin embargo, el juez podrá rechazar el allanamiento y decretar pruebas de oficio cuando advierta fraude o colusión o lo pida un tercero que intervenga en el proceso.</w:t>
      </w:r>
    </w:p>
    <w:p w14:paraId="544A8736" w14:textId="77777777" w:rsidR="00BC566B" w:rsidRPr="000E0D71" w:rsidRDefault="00BC566B" w:rsidP="00BC566B">
      <w:pPr>
        <w:pStyle w:val="Textonotapie"/>
        <w:ind w:firstLine="709"/>
        <w:jc w:val="both"/>
        <w:rPr>
          <w:rFonts w:ascii="Arial" w:hAnsi="Arial" w:cs="Arial"/>
          <w:sz w:val="19"/>
          <w:szCs w:val="19"/>
          <w:lang w:val="es-ES"/>
        </w:rPr>
      </w:pPr>
      <w:r w:rsidRPr="000E0D71">
        <w:rPr>
          <w:rFonts w:ascii="Arial" w:hAnsi="Arial" w:cs="Arial"/>
          <w:sz w:val="19"/>
          <w:szCs w:val="19"/>
          <w:lang w:val="es-ES"/>
        </w:rPr>
        <w:t>»Con las mismas formalidades anteriores podrá terminar el proceso por transacción».</w:t>
      </w:r>
    </w:p>
    <w:p w14:paraId="4A31FA35" w14:textId="77777777" w:rsidR="00BC566B" w:rsidRPr="000E0D71" w:rsidRDefault="00BC566B" w:rsidP="00BC566B">
      <w:pPr>
        <w:pStyle w:val="Textonotapie"/>
        <w:ind w:firstLine="709"/>
        <w:jc w:val="both"/>
        <w:rPr>
          <w:rFonts w:ascii="Arial" w:hAnsi="Arial" w:cs="Arial"/>
          <w:sz w:val="19"/>
          <w:szCs w:val="19"/>
          <w:lang w:val="es-CO"/>
        </w:rPr>
      </w:pPr>
    </w:p>
  </w:footnote>
  <w:footnote w:id="30">
    <w:p w14:paraId="7A58AA0D" w14:textId="77777777" w:rsidR="00BC566B" w:rsidRPr="000E0D71" w:rsidRDefault="00BC566B" w:rsidP="00BC566B">
      <w:pPr>
        <w:pStyle w:val="Textonotapie"/>
        <w:ind w:firstLine="709"/>
        <w:jc w:val="both"/>
        <w:rPr>
          <w:rFonts w:ascii="Arial" w:hAnsi="Arial" w:cs="Arial"/>
          <w:sz w:val="19"/>
          <w:szCs w:val="19"/>
        </w:rPr>
      </w:pPr>
      <w:r w:rsidRPr="000E0D71">
        <w:rPr>
          <w:rStyle w:val="Refdenotaalpie"/>
          <w:rFonts w:ascii="Arial" w:hAnsi="Arial" w:cs="Arial"/>
          <w:sz w:val="19"/>
          <w:szCs w:val="19"/>
        </w:rPr>
        <w:footnoteRef/>
      </w:r>
      <w:r w:rsidRPr="000E0D71">
        <w:rPr>
          <w:rFonts w:ascii="Arial" w:hAnsi="Arial" w:cs="Arial"/>
          <w:sz w:val="19"/>
          <w:szCs w:val="19"/>
        </w:rPr>
        <w:t xml:space="preserve"> «Si durante las actuaciones arbitrales las partes llegan a una transacción o a una conciliación o mediación que resuelva el litigio, el tribunal dará por terminadas las actuaciones. Caso de que lo pidan ambas partes y el tribunal no se oponga, este verterá en un laudo los términos convenidos por aquellas.</w:t>
      </w:r>
    </w:p>
    <w:p w14:paraId="3680BD05" w14:textId="77777777" w:rsidR="00BC566B" w:rsidRPr="000E0D71" w:rsidRDefault="00BC566B" w:rsidP="00BC566B">
      <w:pPr>
        <w:pStyle w:val="Textonotapie"/>
        <w:ind w:firstLine="709"/>
        <w:jc w:val="both"/>
        <w:rPr>
          <w:rFonts w:ascii="Arial" w:hAnsi="Arial" w:cs="Arial"/>
          <w:sz w:val="19"/>
          <w:szCs w:val="19"/>
        </w:rPr>
      </w:pPr>
      <w:r w:rsidRPr="000E0D71">
        <w:rPr>
          <w:rFonts w:ascii="Arial" w:hAnsi="Arial" w:cs="Arial"/>
          <w:sz w:val="19"/>
          <w:szCs w:val="19"/>
        </w:rPr>
        <w:t>»Dicho laudo tendrá los mismos efectos que cualquier otro laudo dictado sobre el fondo del litigio».</w:t>
      </w:r>
    </w:p>
    <w:p w14:paraId="03E02BE2" w14:textId="77777777" w:rsidR="00BC566B" w:rsidRPr="000E0D71" w:rsidRDefault="00BC566B" w:rsidP="00BC566B">
      <w:pPr>
        <w:pStyle w:val="Textonotapie"/>
        <w:ind w:firstLine="709"/>
        <w:jc w:val="both"/>
        <w:rPr>
          <w:rFonts w:ascii="Arial" w:hAnsi="Arial" w:cs="Arial"/>
          <w:sz w:val="19"/>
          <w:szCs w:val="19"/>
          <w:lang w:val="es-CO"/>
        </w:rPr>
      </w:pPr>
    </w:p>
  </w:footnote>
  <w:footnote w:id="31">
    <w:p w14:paraId="4A002005" w14:textId="77777777" w:rsidR="00BC566B" w:rsidRPr="000E0D71" w:rsidRDefault="00BC566B" w:rsidP="00BC566B">
      <w:pPr>
        <w:pStyle w:val="Textonotapie"/>
        <w:ind w:firstLine="709"/>
        <w:jc w:val="both"/>
        <w:rPr>
          <w:rFonts w:ascii="Arial" w:hAnsi="Arial" w:cs="Arial"/>
          <w:sz w:val="19"/>
          <w:szCs w:val="19"/>
          <w:lang w:val="es-ES"/>
        </w:rPr>
      </w:pPr>
      <w:r w:rsidRPr="000E0D71">
        <w:rPr>
          <w:rStyle w:val="Refdenotaalpie"/>
          <w:rFonts w:ascii="Arial" w:hAnsi="Arial" w:cs="Arial"/>
          <w:sz w:val="19"/>
          <w:szCs w:val="19"/>
        </w:rPr>
        <w:footnoteRef/>
      </w:r>
      <w:r w:rsidRPr="000E0D71">
        <w:rPr>
          <w:rFonts w:ascii="Arial" w:hAnsi="Arial" w:cs="Arial"/>
          <w:sz w:val="19"/>
          <w:szCs w:val="19"/>
        </w:rPr>
        <w:t xml:space="preserve"> </w:t>
      </w:r>
      <w:r w:rsidRPr="000E0D71">
        <w:rPr>
          <w:rFonts w:ascii="Arial" w:hAnsi="Arial" w:cs="Arial"/>
          <w:sz w:val="19"/>
          <w:szCs w:val="19"/>
          <w:lang w:val="es-ES"/>
        </w:rPr>
        <w:t>Entre las múltiples providencias de la Sección Tercera del Consejo de Estado que han aceptado la transacción como mecanismo de arreglo directo entre las partes en la contratación estatal, pueden consultarse las siguientes, que son las más recientes: Consejo de Estado. Sección Tercera. Auto del 2 de octubre de 2020. Consejero Ponente: Jaime Enrique Rodríguez Navas. Expediente: 64.066A. / Sentencia del 12 de agosto de 2019. Consejera Ponente: María Adriana Marín. Expediente: 38.603. / Auto del 8 de mayo de 2019. Consejero Ponente: Alberto Montaña Plata. Expediente: 41.868 / Sentencia del 2 de marzo de 2017. Consejero Ponente: Ramiro Pazos Guerrero. Expediente: 35.818.</w:t>
      </w:r>
    </w:p>
    <w:p w14:paraId="01D92C06" w14:textId="77777777" w:rsidR="00BC566B" w:rsidRPr="000E0D71" w:rsidRDefault="00BC566B" w:rsidP="00BC566B">
      <w:pPr>
        <w:pStyle w:val="Textonotapie"/>
        <w:ind w:firstLine="709"/>
        <w:jc w:val="both"/>
        <w:rPr>
          <w:rFonts w:ascii="Arial" w:hAnsi="Arial" w:cs="Arial"/>
          <w:sz w:val="19"/>
          <w:szCs w:val="19"/>
          <w:lang w:val="es-CO"/>
        </w:rPr>
      </w:pPr>
    </w:p>
  </w:footnote>
  <w:footnote w:id="32">
    <w:p w14:paraId="037A8B3F" w14:textId="77777777" w:rsidR="00BC566B" w:rsidRPr="000E0D71" w:rsidRDefault="00BC566B" w:rsidP="00BC566B">
      <w:pPr>
        <w:pStyle w:val="Textonotapie"/>
        <w:ind w:firstLine="709"/>
        <w:jc w:val="both"/>
        <w:rPr>
          <w:rFonts w:ascii="Arial" w:hAnsi="Arial" w:cs="Arial"/>
          <w:sz w:val="19"/>
          <w:szCs w:val="19"/>
        </w:rPr>
      </w:pPr>
      <w:r w:rsidRPr="000E0D71">
        <w:rPr>
          <w:rStyle w:val="Refdenotaalpie"/>
          <w:rFonts w:ascii="Arial" w:hAnsi="Arial" w:cs="Arial"/>
          <w:sz w:val="19"/>
          <w:szCs w:val="19"/>
        </w:rPr>
        <w:footnoteRef/>
      </w:r>
      <w:r w:rsidRPr="000E0D71">
        <w:rPr>
          <w:rFonts w:ascii="Arial" w:hAnsi="Arial" w:cs="Arial"/>
          <w:sz w:val="19"/>
          <w:szCs w:val="19"/>
        </w:rPr>
        <w:t xml:space="preserve"> CARRILLO, Fernando y GÓMEZ, Iván. En: Procuraduría General de la Nación, Op. Cit., pp. 53-60.</w:t>
      </w:r>
    </w:p>
    <w:p w14:paraId="0F3C91AF" w14:textId="77777777" w:rsidR="00BC566B" w:rsidRPr="000E0D71" w:rsidRDefault="00BC566B" w:rsidP="00BC566B">
      <w:pPr>
        <w:pStyle w:val="Textonotapie"/>
        <w:ind w:firstLine="709"/>
        <w:jc w:val="both"/>
        <w:rPr>
          <w:rFonts w:ascii="Arial" w:hAnsi="Arial" w:cs="Arial"/>
          <w:sz w:val="19"/>
          <w:szCs w:val="19"/>
          <w:lang w:val="es-ES"/>
        </w:rPr>
      </w:pPr>
    </w:p>
  </w:footnote>
  <w:footnote w:id="33">
    <w:p w14:paraId="21ADADF9" w14:textId="77777777" w:rsidR="00BC566B" w:rsidRPr="000E0D71" w:rsidRDefault="00BC566B" w:rsidP="00BC566B">
      <w:pPr>
        <w:pStyle w:val="Textonotapie"/>
        <w:ind w:firstLine="709"/>
        <w:jc w:val="both"/>
        <w:rPr>
          <w:rFonts w:ascii="Arial" w:hAnsi="Arial" w:cs="Arial"/>
          <w:sz w:val="19"/>
          <w:szCs w:val="19"/>
          <w:lang w:val="es-ES_tradnl"/>
        </w:rPr>
      </w:pPr>
      <w:r w:rsidRPr="000E0D71">
        <w:rPr>
          <w:rStyle w:val="Refdenotaalpie"/>
          <w:rFonts w:ascii="Arial" w:hAnsi="Arial" w:cs="Arial"/>
          <w:sz w:val="19"/>
          <w:szCs w:val="19"/>
        </w:rPr>
        <w:footnoteRef/>
      </w:r>
      <w:r w:rsidRPr="000E0D71">
        <w:rPr>
          <w:rFonts w:ascii="Arial" w:hAnsi="Arial" w:cs="Arial"/>
          <w:sz w:val="19"/>
          <w:szCs w:val="19"/>
        </w:rPr>
        <w:t xml:space="preserve"> EXPÓSITO VÉLEZ, Juan Carlos. La liquidación bilateral de los contratos estatales: un mecanismo alternativo de solución de conflictos. En: Revista Digital de Derecho Administrativo, No. 1, 2009, pp. 18-19. En: https://revistas.uexternado.edu.co/index.php/Deradm/article/view/2591</w:t>
      </w:r>
    </w:p>
  </w:footnote>
  <w:footnote w:id="34">
    <w:p w14:paraId="1EF7F806" w14:textId="77777777" w:rsidR="00BC566B" w:rsidRPr="000E0D71" w:rsidRDefault="00BC566B" w:rsidP="00BC566B">
      <w:pPr>
        <w:ind w:firstLine="709"/>
        <w:jc w:val="both"/>
        <w:rPr>
          <w:rFonts w:ascii="Arial" w:hAnsi="Arial" w:cs="Arial"/>
          <w:sz w:val="19"/>
          <w:szCs w:val="19"/>
        </w:rPr>
      </w:pPr>
      <w:r w:rsidRPr="000E0D71">
        <w:rPr>
          <w:rStyle w:val="Refdenotaalpie"/>
          <w:rFonts w:ascii="Arial" w:hAnsi="Arial" w:cs="Arial"/>
          <w:sz w:val="19"/>
          <w:szCs w:val="19"/>
        </w:rPr>
        <w:footnoteRef/>
      </w:r>
      <w:r w:rsidRPr="000E0D71">
        <w:rPr>
          <w:rFonts w:ascii="Arial" w:hAnsi="Arial" w:cs="Arial"/>
          <w:sz w:val="19"/>
          <w:szCs w:val="19"/>
        </w:rPr>
        <w:t xml:space="preserve"> Consejo de Estado. Sección Tercera. Sentencia del 19 de mayo de 2005. Consejera Ponente: María Elena Giraldo Gómez. Radicación número: 63001-23-31-000-2002-00719-02.</w:t>
      </w:r>
    </w:p>
    <w:p w14:paraId="29F2AFBF" w14:textId="77777777" w:rsidR="00BC566B" w:rsidRPr="000E0D71" w:rsidRDefault="00BC566B" w:rsidP="00BC566B">
      <w:pPr>
        <w:pStyle w:val="Textonotapie"/>
        <w:ind w:firstLine="709"/>
        <w:jc w:val="both"/>
        <w:rPr>
          <w:rFonts w:ascii="Arial" w:hAnsi="Arial" w:cs="Arial"/>
          <w:sz w:val="19"/>
          <w:szCs w:val="19"/>
        </w:rPr>
      </w:pPr>
    </w:p>
  </w:footnote>
  <w:footnote w:id="35">
    <w:p w14:paraId="5E4CFF00" w14:textId="77777777" w:rsidR="00BC566B" w:rsidRPr="000E0D71" w:rsidRDefault="00BC566B" w:rsidP="00BC566B">
      <w:pPr>
        <w:pStyle w:val="Textonotapie"/>
        <w:ind w:firstLine="709"/>
        <w:jc w:val="both"/>
        <w:rPr>
          <w:rFonts w:ascii="Arial" w:hAnsi="Arial" w:cs="Arial"/>
          <w:sz w:val="19"/>
          <w:szCs w:val="19"/>
        </w:rPr>
      </w:pPr>
      <w:r w:rsidRPr="000E0D71">
        <w:rPr>
          <w:rStyle w:val="Refdenotaalpie"/>
          <w:rFonts w:ascii="Arial" w:hAnsi="Arial" w:cs="Arial"/>
          <w:sz w:val="19"/>
          <w:szCs w:val="19"/>
        </w:rPr>
        <w:footnoteRef/>
      </w:r>
      <w:r w:rsidRPr="000E0D71">
        <w:rPr>
          <w:rFonts w:ascii="Arial" w:hAnsi="Arial" w:cs="Arial"/>
          <w:sz w:val="19"/>
          <w:szCs w:val="19"/>
        </w:rPr>
        <w:t xml:space="preserve"> Consejo de Estado. Sección Tercera. Auto del 25 de octubre de 2019. Consejero Ponente: Carlos Alberto Zambrano Barrera. Expediente: 64.054.</w:t>
      </w:r>
    </w:p>
    <w:p w14:paraId="4ADF8591" w14:textId="77777777" w:rsidR="00BC566B" w:rsidRPr="000E0D71" w:rsidRDefault="00BC566B" w:rsidP="00BC566B">
      <w:pPr>
        <w:pStyle w:val="Textonotapie"/>
        <w:ind w:firstLine="709"/>
        <w:jc w:val="both"/>
        <w:rPr>
          <w:rFonts w:ascii="Arial" w:hAnsi="Arial" w:cs="Arial"/>
          <w:sz w:val="19"/>
          <w:szCs w:val="19"/>
        </w:rPr>
      </w:pPr>
    </w:p>
  </w:footnote>
  <w:footnote w:id="36">
    <w:p w14:paraId="7C13F6AC" w14:textId="77777777" w:rsidR="00BC566B" w:rsidRPr="000E0D71" w:rsidRDefault="00BC566B" w:rsidP="00BC566B">
      <w:pPr>
        <w:ind w:firstLine="709"/>
        <w:jc w:val="both"/>
        <w:rPr>
          <w:rFonts w:ascii="Arial" w:hAnsi="Arial" w:cs="Arial"/>
          <w:color w:val="000000"/>
          <w:sz w:val="19"/>
          <w:szCs w:val="19"/>
        </w:rPr>
      </w:pPr>
      <w:r w:rsidRPr="000E0D71">
        <w:rPr>
          <w:rStyle w:val="Refdenotaalpie"/>
          <w:rFonts w:ascii="Arial" w:hAnsi="Arial" w:cs="Arial"/>
          <w:sz w:val="19"/>
          <w:szCs w:val="19"/>
        </w:rPr>
        <w:footnoteRef/>
      </w:r>
      <w:r w:rsidRPr="000E0D71">
        <w:rPr>
          <w:rFonts w:ascii="Arial" w:hAnsi="Arial" w:cs="Arial"/>
          <w:sz w:val="19"/>
          <w:szCs w:val="19"/>
        </w:rPr>
        <w:t xml:space="preserve"> Consejo de Estado. Sección Tercera. Sentencia del 12 de agosto de 2019. Consejera Ponente: María Adriana Marín. Expediente: </w:t>
      </w:r>
      <w:r w:rsidRPr="000E0D71">
        <w:rPr>
          <w:rFonts w:ascii="Arial" w:hAnsi="Arial" w:cs="Arial"/>
          <w:color w:val="000000"/>
          <w:sz w:val="19"/>
          <w:szCs w:val="19"/>
        </w:rPr>
        <w:t>38.603.</w:t>
      </w:r>
    </w:p>
    <w:p w14:paraId="24EB0D03" w14:textId="77777777" w:rsidR="00BC566B" w:rsidRPr="000E0D71" w:rsidRDefault="00BC566B" w:rsidP="00BC566B">
      <w:pPr>
        <w:ind w:firstLine="709"/>
        <w:jc w:val="both"/>
        <w:rPr>
          <w:rFonts w:ascii="Arial" w:hAnsi="Arial" w:cs="Arial"/>
          <w:sz w:val="19"/>
          <w:szCs w:val="19"/>
        </w:rPr>
      </w:pPr>
    </w:p>
  </w:footnote>
  <w:footnote w:id="37">
    <w:p w14:paraId="685EEE8D" w14:textId="77777777" w:rsidR="00BC566B" w:rsidRPr="000E0D71" w:rsidRDefault="00BC566B" w:rsidP="00BC566B">
      <w:pPr>
        <w:pStyle w:val="Textonotapie"/>
        <w:ind w:firstLine="709"/>
        <w:jc w:val="both"/>
        <w:rPr>
          <w:rFonts w:ascii="Arial" w:hAnsi="Arial" w:cs="Arial"/>
          <w:sz w:val="19"/>
          <w:szCs w:val="19"/>
        </w:rPr>
      </w:pPr>
      <w:r w:rsidRPr="000E0D71">
        <w:rPr>
          <w:rStyle w:val="Refdenotaalpie"/>
          <w:rFonts w:ascii="Arial" w:hAnsi="Arial" w:cs="Arial"/>
          <w:sz w:val="19"/>
          <w:szCs w:val="19"/>
        </w:rPr>
        <w:footnoteRef/>
      </w:r>
      <w:r w:rsidRPr="000E0D71">
        <w:rPr>
          <w:rFonts w:ascii="Arial" w:hAnsi="Arial" w:cs="Arial"/>
          <w:sz w:val="19"/>
          <w:szCs w:val="19"/>
        </w:rPr>
        <w:t xml:space="preserve"> Consejo de Estado. Sección Tercera. Sentencia del 19 de mayo de 2005. Consejera Ponente: María Elena Giraldo Gómez. Radicación número: 63001-23-31-000-2002-00719-02.</w:t>
      </w:r>
    </w:p>
    <w:p w14:paraId="1CF2757C" w14:textId="77777777" w:rsidR="00BC566B" w:rsidRPr="000E0D71" w:rsidRDefault="00BC566B" w:rsidP="00BC566B">
      <w:pPr>
        <w:pStyle w:val="Textonotapie"/>
        <w:ind w:firstLine="709"/>
        <w:jc w:val="both"/>
        <w:rPr>
          <w:rFonts w:ascii="Arial" w:hAnsi="Arial" w:cs="Arial"/>
          <w:sz w:val="19"/>
          <w:szCs w:val="19"/>
        </w:rPr>
      </w:pPr>
    </w:p>
  </w:footnote>
  <w:footnote w:id="38">
    <w:p w14:paraId="1C91DCDB" w14:textId="77777777" w:rsidR="00BC566B" w:rsidRPr="000E0D71" w:rsidRDefault="00BC566B" w:rsidP="00BC566B">
      <w:pPr>
        <w:pStyle w:val="Textonotapie"/>
        <w:ind w:firstLine="709"/>
        <w:jc w:val="both"/>
        <w:rPr>
          <w:rFonts w:ascii="Arial" w:hAnsi="Arial" w:cs="Arial"/>
          <w:sz w:val="19"/>
          <w:szCs w:val="19"/>
        </w:rPr>
      </w:pPr>
      <w:r w:rsidRPr="000E0D71">
        <w:rPr>
          <w:rStyle w:val="Refdenotaalpie"/>
          <w:rFonts w:ascii="Arial" w:hAnsi="Arial" w:cs="Arial"/>
          <w:sz w:val="19"/>
          <w:szCs w:val="19"/>
        </w:rPr>
        <w:footnoteRef/>
      </w:r>
      <w:r w:rsidRPr="000E0D71">
        <w:rPr>
          <w:rFonts w:ascii="Arial" w:hAnsi="Arial" w:cs="Arial"/>
          <w:sz w:val="19"/>
          <w:szCs w:val="19"/>
        </w:rPr>
        <w:t xml:space="preserve"> Consejo de Estado. Sección Tercera. Auto del 14 de febrero de 2019. Consejera Ponente: Marta Nubia Velásquez Rico. Expediente: 60.049.</w:t>
      </w:r>
    </w:p>
    <w:p w14:paraId="22D289FD" w14:textId="77777777" w:rsidR="00BC566B" w:rsidRPr="000E0D71" w:rsidRDefault="00BC566B" w:rsidP="00BC566B">
      <w:pPr>
        <w:pStyle w:val="Textonotapie"/>
        <w:ind w:firstLine="709"/>
        <w:jc w:val="both"/>
        <w:rPr>
          <w:rFonts w:ascii="Arial" w:hAnsi="Arial" w:cs="Arial"/>
          <w:sz w:val="19"/>
          <w:szCs w:val="19"/>
        </w:rPr>
      </w:pPr>
    </w:p>
  </w:footnote>
  <w:footnote w:id="39">
    <w:p w14:paraId="02046CE1" w14:textId="77777777" w:rsidR="00BC566B" w:rsidRPr="000E0D71" w:rsidRDefault="00BC566B" w:rsidP="00BC566B">
      <w:pPr>
        <w:pStyle w:val="Textonotapie"/>
        <w:ind w:firstLine="709"/>
        <w:jc w:val="both"/>
        <w:rPr>
          <w:rFonts w:ascii="Arial" w:hAnsi="Arial" w:cs="Arial"/>
          <w:sz w:val="19"/>
          <w:szCs w:val="19"/>
          <w:lang w:val="es-CO"/>
        </w:rPr>
      </w:pPr>
      <w:r w:rsidRPr="000E0D71">
        <w:rPr>
          <w:rStyle w:val="Refdenotaalpie"/>
          <w:rFonts w:ascii="Arial" w:hAnsi="Arial" w:cs="Arial"/>
          <w:sz w:val="19"/>
          <w:szCs w:val="19"/>
        </w:rPr>
        <w:footnoteRef/>
      </w:r>
      <w:r w:rsidRPr="000E0D71">
        <w:rPr>
          <w:rFonts w:ascii="Arial" w:hAnsi="Arial" w:cs="Arial"/>
          <w:sz w:val="19"/>
          <w:szCs w:val="19"/>
        </w:rPr>
        <w:t xml:space="preserve"> Consejo de Estado. Sección Tercera. Sentencia del 25 de junio de 2014. Consejero Ponente: Hernán Andrade Rincón. Expediente: 28.067.</w:t>
      </w:r>
    </w:p>
  </w:footnote>
  <w:footnote w:id="40">
    <w:p w14:paraId="63E52CEB" w14:textId="77777777" w:rsidR="00CA6B2F" w:rsidRPr="00263EC5" w:rsidRDefault="00CA6B2F" w:rsidP="00263EC5">
      <w:pPr>
        <w:pStyle w:val="Textonotapie"/>
        <w:ind w:firstLine="709"/>
        <w:jc w:val="both"/>
        <w:rPr>
          <w:rFonts w:ascii="Arial" w:hAnsi="Arial" w:cs="Arial"/>
          <w:sz w:val="19"/>
          <w:szCs w:val="19"/>
          <w:lang w:val="es-ES"/>
        </w:rPr>
      </w:pPr>
      <w:r w:rsidRPr="00263EC5">
        <w:rPr>
          <w:rStyle w:val="Refdenotaalpie"/>
          <w:rFonts w:ascii="Arial" w:hAnsi="Arial" w:cs="Arial"/>
          <w:sz w:val="19"/>
          <w:szCs w:val="19"/>
        </w:rPr>
        <w:footnoteRef/>
      </w:r>
      <w:r w:rsidRPr="00263EC5">
        <w:rPr>
          <w:rFonts w:ascii="Arial" w:hAnsi="Arial" w:cs="Arial"/>
          <w:sz w:val="19"/>
          <w:szCs w:val="19"/>
        </w:rPr>
        <w:t xml:space="preserve"> </w:t>
      </w:r>
      <w:r w:rsidRPr="00263EC5">
        <w:rPr>
          <w:rFonts w:ascii="Arial" w:hAnsi="Arial" w:cs="Arial"/>
          <w:sz w:val="19"/>
          <w:szCs w:val="19"/>
          <w:lang w:val="es-ES"/>
        </w:rPr>
        <w:t xml:space="preserve">Sentencia T-003 de 2018. Magistrada Ponente: Cristina Pardo </w:t>
      </w:r>
      <w:r w:rsidRPr="00263EC5">
        <w:rPr>
          <w:rFonts w:ascii="Arial" w:hAnsi="Arial" w:cs="Arial"/>
          <w:sz w:val="19"/>
          <w:szCs w:val="19"/>
          <w:lang w:val="es-ES"/>
        </w:rPr>
        <w:t>Schlesinger.</w:t>
      </w:r>
    </w:p>
    <w:p w14:paraId="69F91F0A" w14:textId="77777777" w:rsidR="00CA6B2F" w:rsidRPr="00263EC5" w:rsidRDefault="00CA6B2F" w:rsidP="00263EC5">
      <w:pPr>
        <w:pStyle w:val="Textonotapie"/>
        <w:ind w:firstLine="709"/>
        <w:jc w:val="both"/>
        <w:rPr>
          <w:rFonts w:ascii="Arial" w:hAnsi="Arial" w:cs="Arial"/>
          <w:sz w:val="19"/>
          <w:szCs w:val="19"/>
          <w:lang w:val="es-CO"/>
        </w:rPr>
      </w:pPr>
    </w:p>
  </w:footnote>
  <w:footnote w:id="41">
    <w:p w14:paraId="1528C383" w14:textId="77777777" w:rsidR="00CA6B2F" w:rsidRPr="00263EC5" w:rsidRDefault="00CA6B2F" w:rsidP="00263EC5">
      <w:pPr>
        <w:pStyle w:val="Textonotapie"/>
        <w:ind w:firstLine="709"/>
        <w:jc w:val="both"/>
        <w:rPr>
          <w:rFonts w:ascii="Arial" w:hAnsi="Arial" w:cs="Arial"/>
          <w:sz w:val="19"/>
          <w:szCs w:val="19"/>
          <w:lang w:val="es-ES"/>
        </w:rPr>
      </w:pPr>
      <w:r w:rsidRPr="00263EC5">
        <w:rPr>
          <w:rStyle w:val="Refdenotaalpie"/>
          <w:rFonts w:ascii="Arial" w:hAnsi="Arial" w:cs="Arial"/>
          <w:sz w:val="19"/>
          <w:szCs w:val="19"/>
        </w:rPr>
        <w:footnoteRef/>
      </w:r>
      <w:r w:rsidRPr="00263EC5">
        <w:rPr>
          <w:rFonts w:ascii="Arial" w:hAnsi="Arial" w:cs="Arial"/>
          <w:sz w:val="19"/>
          <w:szCs w:val="19"/>
        </w:rPr>
        <w:t xml:space="preserve"> </w:t>
      </w:r>
      <w:r w:rsidRPr="00263EC5">
        <w:rPr>
          <w:rFonts w:ascii="Arial" w:hAnsi="Arial" w:cs="Arial"/>
          <w:sz w:val="19"/>
          <w:szCs w:val="19"/>
          <w:lang w:val="es-ES"/>
        </w:rPr>
        <w:t>Sentencia T-967 de 2014. Magistrada Ponente: Gloria Stella Ortiz Delgado.</w:t>
      </w:r>
    </w:p>
    <w:p w14:paraId="57E13C40" w14:textId="77777777" w:rsidR="00CA6B2F" w:rsidRPr="00263EC5" w:rsidRDefault="00CA6B2F" w:rsidP="00263EC5">
      <w:pPr>
        <w:pStyle w:val="Textonotapie"/>
        <w:ind w:firstLine="709"/>
        <w:jc w:val="both"/>
        <w:rPr>
          <w:rFonts w:ascii="Arial" w:hAnsi="Arial" w:cs="Arial"/>
          <w:sz w:val="19"/>
          <w:szCs w:val="19"/>
          <w:lang w:val="es-CO"/>
        </w:rPr>
      </w:pPr>
    </w:p>
  </w:footnote>
  <w:footnote w:id="42">
    <w:p w14:paraId="76D13DE9" w14:textId="77777777" w:rsidR="00CA6B2F" w:rsidRPr="00263EC5" w:rsidRDefault="00CA6B2F" w:rsidP="00263EC5">
      <w:pPr>
        <w:pStyle w:val="Textonotapie"/>
        <w:ind w:firstLine="709"/>
        <w:jc w:val="both"/>
        <w:rPr>
          <w:rFonts w:ascii="Arial" w:hAnsi="Arial" w:cs="Arial"/>
          <w:sz w:val="19"/>
          <w:szCs w:val="19"/>
          <w:lang w:val="es-CO"/>
        </w:rPr>
      </w:pPr>
      <w:r w:rsidRPr="00263EC5">
        <w:rPr>
          <w:rStyle w:val="Refdenotaalpie"/>
          <w:rFonts w:ascii="Arial" w:hAnsi="Arial" w:cs="Arial"/>
          <w:sz w:val="19"/>
          <w:szCs w:val="19"/>
        </w:rPr>
        <w:footnoteRef/>
      </w:r>
      <w:r w:rsidRPr="00263EC5">
        <w:rPr>
          <w:rFonts w:ascii="Arial" w:hAnsi="Arial" w:cs="Arial"/>
          <w:sz w:val="19"/>
          <w:szCs w:val="19"/>
        </w:rPr>
        <w:t xml:space="preserve"> </w:t>
      </w:r>
      <w:r w:rsidRPr="00263EC5">
        <w:rPr>
          <w:rFonts w:ascii="Arial" w:hAnsi="Arial" w:cs="Arial"/>
          <w:sz w:val="19"/>
          <w:szCs w:val="19"/>
          <w:lang w:val="es-ES"/>
        </w:rPr>
        <w:t>Así lo admitió el Departamento Administrativo de la Función Pública en Concepto con radicado No. 20206000017881, del 22 de enero de 2020. Disponible en: https://www.funcionpublica.gov.co/eva/gestornormativo/norma.php?i=115437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8F4163" w:rsidRDefault="008F4163">
    <w:pPr>
      <w:pStyle w:val="Encabezado"/>
    </w:pPr>
    <w:r>
      <w:rPr>
        <w:noProof/>
        <w:lang w:val="es-ES_tradnl" w:eastAsia="es-ES_tradnl"/>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0"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2"/>
  </w:num>
  <w:num w:numId="4">
    <w:abstractNumId w:val="15"/>
  </w:num>
  <w:num w:numId="5">
    <w:abstractNumId w:val="19"/>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1"/>
  </w:num>
  <w:num w:numId="14">
    <w:abstractNumId w:val="6"/>
  </w:num>
  <w:num w:numId="15">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13"/>
  </w:num>
  <w:num w:numId="19">
    <w:abstractNumId w:val="2"/>
  </w:num>
  <w:num w:numId="20">
    <w:abstractNumId w:val="22"/>
  </w:num>
  <w:num w:numId="21">
    <w:abstractNumId w:val="14"/>
  </w:num>
  <w:num w:numId="22">
    <w:abstractNumId w:val="5"/>
  </w:num>
  <w:num w:numId="23">
    <w:abstractNumId w:val="4"/>
  </w:num>
  <w:num w:numId="24">
    <w:abstractNumId w:val="20"/>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52"/>
  <w:proofState w:spelling="clean"/>
  <w:attachedTemplate r:id="rId1"/>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2173"/>
    <w:rsid w:val="000031A8"/>
    <w:rsid w:val="00003C5C"/>
    <w:rsid w:val="00003D39"/>
    <w:rsid w:val="000040D7"/>
    <w:rsid w:val="0000433A"/>
    <w:rsid w:val="00004556"/>
    <w:rsid w:val="000051AF"/>
    <w:rsid w:val="000059D3"/>
    <w:rsid w:val="00005B6D"/>
    <w:rsid w:val="0000600A"/>
    <w:rsid w:val="00006081"/>
    <w:rsid w:val="00007750"/>
    <w:rsid w:val="000077FD"/>
    <w:rsid w:val="00007E37"/>
    <w:rsid w:val="00010C40"/>
    <w:rsid w:val="000112B4"/>
    <w:rsid w:val="00011DCC"/>
    <w:rsid w:val="00012532"/>
    <w:rsid w:val="00012B9E"/>
    <w:rsid w:val="00012F37"/>
    <w:rsid w:val="00012FBA"/>
    <w:rsid w:val="00013875"/>
    <w:rsid w:val="00013C6B"/>
    <w:rsid w:val="0001406B"/>
    <w:rsid w:val="000143F8"/>
    <w:rsid w:val="00014624"/>
    <w:rsid w:val="00015B44"/>
    <w:rsid w:val="00016081"/>
    <w:rsid w:val="000165AC"/>
    <w:rsid w:val="00016651"/>
    <w:rsid w:val="000171A2"/>
    <w:rsid w:val="00017B65"/>
    <w:rsid w:val="00020158"/>
    <w:rsid w:val="000207E0"/>
    <w:rsid w:val="000209E2"/>
    <w:rsid w:val="00020B09"/>
    <w:rsid w:val="00020F8F"/>
    <w:rsid w:val="00021A95"/>
    <w:rsid w:val="00021C8A"/>
    <w:rsid w:val="0002256F"/>
    <w:rsid w:val="00022FD5"/>
    <w:rsid w:val="00023DAE"/>
    <w:rsid w:val="00023FC9"/>
    <w:rsid w:val="00024896"/>
    <w:rsid w:val="000255FA"/>
    <w:rsid w:val="00025D0A"/>
    <w:rsid w:val="00025D7D"/>
    <w:rsid w:val="000263F0"/>
    <w:rsid w:val="00026407"/>
    <w:rsid w:val="00026608"/>
    <w:rsid w:val="0002702E"/>
    <w:rsid w:val="00027787"/>
    <w:rsid w:val="000278D2"/>
    <w:rsid w:val="00030DFB"/>
    <w:rsid w:val="00031011"/>
    <w:rsid w:val="00031364"/>
    <w:rsid w:val="000315E1"/>
    <w:rsid w:val="0003236E"/>
    <w:rsid w:val="0003339A"/>
    <w:rsid w:val="000341F2"/>
    <w:rsid w:val="00035046"/>
    <w:rsid w:val="000351F2"/>
    <w:rsid w:val="00035768"/>
    <w:rsid w:val="00035A1B"/>
    <w:rsid w:val="00036E03"/>
    <w:rsid w:val="000406DB"/>
    <w:rsid w:val="0004094D"/>
    <w:rsid w:val="00041029"/>
    <w:rsid w:val="00041357"/>
    <w:rsid w:val="0004149B"/>
    <w:rsid w:val="00041FC6"/>
    <w:rsid w:val="000422EA"/>
    <w:rsid w:val="00042746"/>
    <w:rsid w:val="00042961"/>
    <w:rsid w:val="00042C25"/>
    <w:rsid w:val="00042D03"/>
    <w:rsid w:val="00043086"/>
    <w:rsid w:val="000430A0"/>
    <w:rsid w:val="00043D3B"/>
    <w:rsid w:val="0004418C"/>
    <w:rsid w:val="00044204"/>
    <w:rsid w:val="0004477A"/>
    <w:rsid w:val="000449D4"/>
    <w:rsid w:val="000450D0"/>
    <w:rsid w:val="0004600D"/>
    <w:rsid w:val="000463B5"/>
    <w:rsid w:val="00046717"/>
    <w:rsid w:val="00046A63"/>
    <w:rsid w:val="00046C09"/>
    <w:rsid w:val="00046C0A"/>
    <w:rsid w:val="0004716A"/>
    <w:rsid w:val="00047385"/>
    <w:rsid w:val="000473E8"/>
    <w:rsid w:val="000504DE"/>
    <w:rsid w:val="00050A89"/>
    <w:rsid w:val="00051074"/>
    <w:rsid w:val="000526F0"/>
    <w:rsid w:val="0005273D"/>
    <w:rsid w:val="00052B79"/>
    <w:rsid w:val="00052E4B"/>
    <w:rsid w:val="00052EA0"/>
    <w:rsid w:val="000536A7"/>
    <w:rsid w:val="000536E3"/>
    <w:rsid w:val="00053896"/>
    <w:rsid w:val="00053A00"/>
    <w:rsid w:val="0005474D"/>
    <w:rsid w:val="00055CB9"/>
    <w:rsid w:val="00056F66"/>
    <w:rsid w:val="0005702F"/>
    <w:rsid w:val="00060569"/>
    <w:rsid w:val="0006088D"/>
    <w:rsid w:val="00061010"/>
    <w:rsid w:val="00061D06"/>
    <w:rsid w:val="00062CDD"/>
    <w:rsid w:val="00062DB3"/>
    <w:rsid w:val="00063472"/>
    <w:rsid w:val="000640AF"/>
    <w:rsid w:val="00064940"/>
    <w:rsid w:val="00064CAE"/>
    <w:rsid w:val="00064DB7"/>
    <w:rsid w:val="00064FA7"/>
    <w:rsid w:val="00065195"/>
    <w:rsid w:val="0006536C"/>
    <w:rsid w:val="0006626E"/>
    <w:rsid w:val="00066D6D"/>
    <w:rsid w:val="00067AA8"/>
    <w:rsid w:val="00070AF1"/>
    <w:rsid w:val="000714DE"/>
    <w:rsid w:val="0007254F"/>
    <w:rsid w:val="0007357C"/>
    <w:rsid w:val="00073C30"/>
    <w:rsid w:val="00074305"/>
    <w:rsid w:val="000744D0"/>
    <w:rsid w:val="00074B2A"/>
    <w:rsid w:val="00074EEE"/>
    <w:rsid w:val="000753D5"/>
    <w:rsid w:val="00075B3E"/>
    <w:rsid w:val="00076456"/>
    <w:rsid w:val="00076817"/>
    <w:rsid w:val="00076BD9"/>
    <w:rsid w:val="0007779B"/>
    <w:rsid w:val="000777E7"/>
    <w:rsid w:val="0007790A"/>
    <w:rsid w:val="000779F2"/>
    <w:rsid w:val="0008017B"/>
    <w:rsid w:val="00080ACD"/>
    <w:rsid w:val="00080D30"/>
    <w:rsid w:val="000811ED"/>
    <w:rsid w:val="00081D62"/>
    <w:rsid w:val="00082832"/>
    <w:rsid w:val="00082B74"/>
    <w:rsid w:val="00083099"/>
    <w:rsid w:val="00083259"/>
    <w:rsid w:val="00083546"/>
    <w:rsid w:val="00083EDC"/>
    <w:rsid w:val="00084B97"/>
    <w:rsid w:val="0008510E"/>
    <w:rsid w:val="000856DE"/>
    <w:rsid w:val="00085F17"/>
    <w:rsid w:val="00085FB0"/>
    <w:rsid w:val="00085FB3"/>
    <w:rsid w:val="0008686B"/>
    <w:rsid w:val="00086B2A"/>
    <w:rsid w:val="00086ED2"/>
    <w:rsid w:val="00087A64"/>
    <w:rsid w:val="0009082C"/>
    <w:rsid w:val="00090C39"/>
    <w:rsid w:val="000914D6"/>
    <w:rsid w:val="00091569"/>
    <w:rsid w:val="00092CDB"/>
    <w:rsid w:val="00092DCA"/>
    <w:rsid w:val="00093851"/>
    <w:rsid w:val="000942EB"/>
    <w:rsid w:val="00095B70"/>
    <w:rsid w:val="0009617E"/>
    <w:rsid w:val="0009628D"/>
    <w:rsid w:val="0009670F"/>
    <w:rsid w:val="000970E4"/>
    <w:rsid w:val="000975D1"/>
    <w:rsid w:val="000979CF"/>
    <w:rsid w:val="000A03C8"/>
    <w:rsid w:val="000A05F2"/>
    <w:rsid w:val="000A06C4"/>
    <w:rsid w:val="000A0861"/>
    <w:rsid w:val="000A0B6F"/>
    <w:rsid w:val="000A0EC4"/>
    <w:rsid w:val="000A0ED1"/>
    <w:rsid w:val="000A12DB"/>
    <w:rsid w:val="000A137E"/>
    <w:rsid w:val="000A171D"/>
    <w:rsid w:val="000A17C8"/>
    <w:rsid w:val="000A1B74"/>
    <w:rsid w:val="000A20D7"/>
    <w:rsid w:val="000A2128"/>
    <w:rsid w:val="000A362F"/>
    <w:rsid w:val="000A3B49"/>
    <w:rsid w:val="000A46FE"/>
    <w:rsid w:val="000A47E6"/>
    <w:rsid w:val="000A52C0"/>
    <w:rsid w:val="000A5AAF"/>
    <w:rsid w:val="000A5ACE"/>
    <w:rsid w:val="000A5F97"/>
    <w:rsid w:val="000A622F"/>
    <w:rsid w:val="000A648E"/>
    <w:rsid w:val="000A7268"/>
    <w:rsid w:val="000A73BB"/>
    <w:rsid w:val="000A73E8"/>
    <w:rsid w:val="000A7EF4"/>
    <w:rsid w:val="000B0A15"/>
    <w:rsid w:val="000B103F"/>
    <w:rsid w:val="000B1437"/>
    <w:rsid w:val="000B1470"/>
    <w:rsid w:val="000B244D"/>
    <w:rsid w:val="000B2A1A"/>
    <w:rsid w:val="000B2B86"/>
    <w:rsid w:val="000B2CFF"/>
    <w:rsid w:val="000B3051"/>
    <w:rsid w:val="000B419B"/>
    <w:rsid w:val="000B4861"/>
    <w:rsid w:val="000B5781"/>
    <w:rsid w:val="000B5CB1"/>
    <w:rsid w:val="000B5EE5"/>
    <w:rsid w:val="000B75F4"/>
    <w:rsid w:val="000C0185"/>
    <w:rsid w:val="000C0933"/>
    <w:rsid w:val="000C0F81"/>
    <w:rsid w:val="000C128D"/>
    <w:rsid w:val="000C17A3"/>
    <w:rsid w:val="000C1D4B"/>
    <w:rsid w:val="000C2DC4"/>
    <w:rsid w:val="000C3239"/>
    <w:rsid w:val="000C3260"/>
    <w:rsid w:val="000C3B77"/>
    <w:rsid w:val="000C3F6D"/>
    <w:rsid w:val="000C4F49"/>
    <w:rsid w:val="000C5861"/>
    <w:rsid w:val="000C5BDE"/>
    <w:rsid w:val="000C639D"/>
    <w:rsid w:val="000C6C31"/>
    <w:rsid w:val="000C6DBC"/>
    <w:rsid w:val="000C6F79"/>
    <w:rsid w:val="000C7476"/>
    <w:rsid w:val="000C7480"/>
    <w:rsid w:val="000C7711"/>
    <w:rsid w:val="000C7AA2"/>
    <w:rsid w:val="000D0462"/>
    <w:rsid w:val="000D053D"/>
    <w:rsid w:val="000D0ED2"/>
    <w:rsid w:val="000D107D"/>
    <w:rsid w:val="000D1101"/>
    <w:rsid w:val="000D13FD"/>
    <w:rsid w:val="000D1546"/>
    <w:rsid w:val="000D1CEB"/>
    <w:rsid w:val="000D2322"/>
    <w:rsid w:val="000D2563"/>
    <w:rsid w:val="000D25BF"/>
    <w:rsid w:val="000D2FE4"/>
    <w:rsid w:val="000D3FDC"/>
    <w:rsid w:val="000D490B"/>
    <w:rsid w:val="000D4E38"/>
    <w:rsid w:val="000D50DB"/>
    <w:rsid w:val="000D60A1"/>
    <w:rsid w:val="000D6288"/>
    <w:rsid w:val="000D728B"/>
    <w:rsid w:val="000D7541"/>
    <w:rsid w:val="000D75E1"/>
    <w:rsid w:val="000E22CF"/>
    <w:rsid w:val="000E2977"/>
    <w:rsid w:val="000E2CC0"/>
    <w:rsid w:val="000E30AC"/>
    <w:rsid w:val="000E3B46"/>
    <w:rsid w:val="000E3E11"/>
    <w:rsid w:val="000E40E4"/>
    <w:rsid w:val="000E4596"/>
    <w:rsid w:val="000E4927"/>
    <w:rsid w:val="000E4B94"/>
    <w:rsid w:val="000E4D50"/>
    <w:rsid w:val="000E5768"/>
    <w:rsid w:val="000E5843"/>
    <w:rsid w:val="000E6139"/>
    <w:rsid w:val="000E63B7"/>
    <w:rsid w:val="000E653C"/>
    <w:rsid w:val="000E6BE1"/>
    <w:rsid w:val="000E7E0B"/>
    <w:rsid w:val="000F0136"/>
    <w:rsid w:val="000F078A"/>
    <w:rsid w:val="000F0F27"/>
    <w:rsid w:val="000F122D"/>
    <w:rsid w:val="000F1450"/>
    <w:rsid w:val="000F14E8"/>
    <w:rsid w:val="000F1BBD"/>
    <w:rsid w:val="000F290F"/>
    <w:rsid w:val="000F4403"/>
    <w:rsid w:val="000F480B"/>
    <w:rsid w:val="000F4E17"/>
    <w:rsid w:val="000F5615"/>
    <w:rsid w:val="000F5CE5"/>
    <w:rsid w:val="000F6084"/>
    <w:rsid w:val="000F6578"/>
    <w:rsid w:val="000F6693"/>
    <w:rsid w:val="000F6F92"/>
    <w:rsid w:val="000F725D"/>
    <w:rsid w:val="000F7E8F"/>
    <w:rsid w:val="000F7FBB"/>
    <w:rsid w:val="001000FB"/>
    <w:rsid w:val="00100A9E"/>
    <w:rsid w:val="00100F6A"/>
    <w:rsid w:val="00101638"/>
    <w:rsid w:val="00101EE8"/>
    <w:rsid w:val="00102605"/>
    <w:rsid w:val="00102686"/>
    <w:rsid w:val="00102745"/>
    <w:rsid w:val="001036B4"/>
    <w:rsid w:val="00103795"/>
    <w:rsid w:val="00103915"/>
    <w:rsid w:val="001039AA"/>
    <w:rsid w:val="00103EA0"/>
    <w:rsid w:val="00104149"/>
    <w:rsid w:val="00104F1C"/>
    <w:rsid w:val="00105096"/>
    <w:rsid w:val="001051E5"/>
    <w:rsid w:val="00105A74"/>
    <w:rsid w:val="00105ACB"/>
    <w:rsid w:val="00105AEF"/>
    <w:rsid w:val="00106259"/>
    <w:rsid w:val="001068EB"/>
    <w:rsid w:val="001073F0"/>
    <w:rsid w:val="001078CE"/>
    <w:rsid w:val="00110F61"/>
    <w:rsid w:val="001111BD"/>
    <w:rsid w:val="001113DF"/>
    <w:rsid w:val="0011165A"/>
    <w:rsid w:val="00111B2B"/>
    <w:rsid w:val="00112774"/>
    <w:rsid w:val="00112B2E"/>
    <w:rsid w:val="00113003"/>
    <w:rsid w:val="00113062"/>
    <w:rsid w:val="0011359A"/>
    <w:rsid w:val="00113705"/>
    <w:rsid w:val="00113975"/>
    <w:rsid w:val="00113B64"/>
    <w:rsid w:val="00113CFC"/>
    <w:rsid w:val="00113E22"/>
    <w:rsid w:val="00113FEA"/>
    <w:rsid w:val="00114A22"/>
    <w:rsid w:val="00114E9D"/>
    <w:rsid w:val="0011507B"/>
    <w:rsid w:val="001156A7"/>
    <w:rsid w:val="00115C37"/>
    <w:rsid w:val="00115DA5"/>
    <w:rsid w:val="00116328"/>
    <w:rsid w:val="001163CF"/>
    <w:rsid w:val="00116EC5"/>
    <w:rsid w:val="001174C9"/>
    <w:rsid w:val="001177FE"/>
    <w:rsid w:val="00117E69"/>
    <w:rsid w:val="00121103"/>
    <w:rsid w:val="00121B78"/>
    <w:rsid w:val="00121BAB"/>
    <w:rsid w:val="00121E3C"/>
    <w:rsid w:val="00122B23"/>
    <w:rsid w:val="00122B7E"/>
    <w:rsid w:val="00123E27"/>
    <w:rsid w:val="00123FB5"/>
    <w:rsid w:val="0012400F"/>
    <w:rsid w:val="001249DC"/>
    <w:rsid w:val="0012572D"/>
    <w:rsid w:val="00125A2E"/>
    <w:rsid w:val="00125BED"/>
    <w:rsid w:val="00125C59"/>
    <w:rsid w:val="00125D4F"/>
    <w:rsid w:val="00127004"/>
    <w:rsid w:val="0012770B"/>
    <w:rsid w:val="00127AF2"/>
    <w:rsid w:val="00127EDC"/>
    <w:rsid w:val="00127F42"/>
    <w:rsid w:val="00127F6D"/>
    <w:rsid w:val="00130355"/>
    <w:rsid w:val="00130365"/>
    <w:rsid w:val="001304E5"/>
    <w:rsid w:val="00131B5A"/>
    <w:rsid w:val="001329BC"/>
    <w:rsid w:val="00132C30"/>
    <w:rsid w:val="00132EFD"/>
    <w:rsid w:val="00133AED"/>
    <w:rsid w:val="0013490B"/>
    <w:rsid w:val="00134BCD"/>
    <w:rsid w:val="00134E09"/>
    <w:rsid w:val="001350AB"/>
    <w:rsid w:val="00135DB9"/>
    <w:rsid w:val="00135E5D"/>
    <w:rsid w:val="0013695C"/>
    <w:rsid w:val="00136BF7"/>
    <w:rsid w:val="00136C78"/>
    <w:rsid w:val="0013756B"/>
    <w:rsid w:val="001378B9"/>
    <w:rsid w:val="00137FFA"/>
    <w:rsid w:val="00140109"/>
    <w:rsid w:val="0014029B"/>
    <w:rsid w:val="00140464"/>
    <w:rsid w:val="00140A4F"/>
    <w:rsid w:val="001413AB"/>
    <w:rsid w:val="00141DBF"/>
    <w:rsid w:val="00142EFD"/>
    <w:rsid w:val="00144335"/>
    <w:rsid w:val="0014502F"/>
    <w:rsid w:val="00145282"/>
    <w:rsid w:val="001453B0"/>
    <w:rsid w:val="001454D9"/>
    <w:rsid w:val="00145D8E"/>
    <w:rsid w:val="00146083"/>
    <w:rsid w:val="001462F7"/>
    <w:rsid w:val="001471AB"/>
    <w:rsid w:val="00147F35"/>
    <w:rsid w:val="00150005"/>
    <w:rsid w:val="0015117F"/>
    <w:rsid w:val="00151AEB"/>
    <w:rsid w:val="00151B99"/>
    <w:rsid w:val="00151E79"/>
    <w:rsid w:val="001521B2"/>
    <w:rsid w:val="00152EDD"/>
    <w:rsid w:val="00153491"/>
    <w:rsid w:val="0015361C"/>
    <w:rsid w:val="0015372F"/>
    <w:rsid w:val="00153BFB"/>
    <w:rsid w:val="0015407E"/>
    <w:rsid w:val="0015448E"/>
    <w:rsid w:val="00154A6F"/>
    <w:rsid w:val="00154B68"/>
    <w:rsid w:val="00155BED"/>
    <w:rsid w:val="00155D08"/>
    <w:rsid w:val="0015623B"/>
    <w:rsid w:val="00156BE5"/>
    <w:rsid w:val="00157232"/>
    <w:rsid w:val="00157B92"/>
    <w:rsid w:val="00160401"/>
    <w:rsid w:val="00160C01"/>
    <w:rsid w:val="00160D4E"/>
    <w:rsid w:val="00161DDA"/>
    <w:rsid w:val="00161E62"/>
    <w:rsid w:val="00161F1C"/>
    <w:rsid w:val="0016200B"/>
    <w:rsid w:val="0016204B"/>
    <w:rsid w:val="001620B3"/>
    <w:rsid w:val="00163D7A"/>
    <w:rsid w:val="00163E11"/>
    <w:rsid w:val="00164281"/>
    <w:rsid w:val="00165703"/>
    <w:rsid w:val="00165E5C"/>
    <w:rsid w:val="00166204"/>
    <w:rsid w:val="00166797"/>
    <w:rsid w:val="0016685F"/>
    <w:rsid w:val="0016712F"/>
    <w:rsid w:val="00167503"/>
    <w:rsid w:val="001676A9"/>
    <w:rsid w:val="00167A15"/>
    <w:rsid w:val="00167A50"/>
    <w:rsid w:val="00167D1A"/>
    <w:rsid w:val="00167DF5"/>
    <w:rsid w:val="00167FD3"/>
    <w:rsid w:val="00170001"/>
    <w:rsid w:val="00172198"/>
    <w:rsid w:val="00172612"/>
    <w:rsid w:val="00172817"/>
    <w:rsid w:val="001734E3"/>
    <w:rsid w:val="001742BF"/>
    <w:rsid w:val="001742E1"/>
    <w:rsid w:val="00175E49"/>
    <w:rsid w:val="0017649F"/>
    <w:rsid w:val="0017655B"/>
    <w:rsid w:val="00177C21"/>
    <w:rsid w:val="00177EAA"/>
    <w:rsid w:val="001805C1"/>
    <w:rsid w:val="00180823"/>
    <w:rsid w:val="00180A2E"/>
    <w:rsid w:val="001813AF"/>
    <w:rsid w:val="001826C9"/>
    <w:rsid w:val="001829CD"/>
    <w:rsid w:val="00182F01"/>
    <w:rsid w:val="00184219"/>
    <w:rsid w:val="00184F27"/>
    <w:rsid w:val="0018519B"/>
    <w:rsid w:val="00185966"/>
    <w:rsid w:val="00185A2D"/>
    <w:rsid w:val="00185AFE"/>
    <w:rsid w:val="00185E78"/>
    <w:rsid w:val="00187177"/>
    <w:rsid w:val="00187ABD"/>
    <w:rsid w:val="00190089"/>
    <w:rsid w:val="001904E3"/>
    <w:rsid w:val="0019087A"/>
    <w:rsid w:val="00190B04"/>
    <w:rsid w:val="00191C5A"/>
    <w:rsid w:val="00191CEB"/>
    <w:rsid w:val="00191D7D"/>
    <w:rsid w:val="00191E63"/>
    <w:rsid w:val="00192AF3"/>
    <w:rsid w:val="00192D68"/>
    <w:rsid w:val="001935FF"/>
    <w:rsid w:val="0019388B"/>
    <w:rsid w:val="00193ADE"/>
    <w:rsid w:val="00193B9A"/>
    <w:rsid w:val="001940ED"/>
    <w:rsid w:val="001946AE"/>
    <w:rsid w:val="001946D5"/>
    <w:rsid w:val="001949C4"/>
    <w:rsid w:val="00194E8C"/>
    <w:rsid w:val="001962EC"/>
    <w:rsid w:val="001963DD"/>
    <w:rsid w:val="001965DB"/>
    <w:rsid w:val="00196B5A"/>
    <w:rsid w:val="00196D01"/>
    <w:rsid w:val="00196DC9"/>
    <w:rsid w:val="00196E95"/>
    <w:rsid w:val="00196FDB"/>
    <w:rsid w:val="00197758"/>
    <w:rsid w:val="001A0236"/>
    <w:rsid w:val="001A04E2"/>
    <w:rsid w:val="001A0915"/>
    <w:rsid w:val="001A0AF8"/>
    <w:rsid w:val="001A0E1B"/>
    <w:rsid w:val="001A1490"/>
    <w:rsid w:val="001A18D5"/>
    <w:rsid w:val="001A1A38"/>
    <w:rsid w:val="001A1BE0"/>
    <w:rsid w:val="001A1D4A"/>
    <w:rsid w:val="001A3011"/>
    <w:rsid w:val="001A3078"/>
    <w:rsid w:val="001A4A9B"/>
    <w:rsid w:val="001A4B32"/>
    <w:rsid w:val="001A4DAF"/>
    <w:rsid w:val="001A54CD"/>
    <w:rsid w:val="001A66DF"/>
    <w:rsid w:val="001A67D0"/>
    <w:rsid w:val="001A6863"/>
    <w:rsid w:val="001A7591"/>
    <w:rsid w:val="001A75B1"/>
    <w:rsid w:val="001A7B06"/>
    <w:rsid w:val="001B0366"/>
    <w:rsid w:val="001B0444"/>
    <w:rsid w:val="001B096B"/>
    <w:rsid w:val="001B0F9F"/>
    <w:rsid w:val="001B123C"/>
    <w:rsid w:val="001B1A0D"/>
    <w:rsid w:val="001B1BF1"/>
    <w:rsid w:val="001B20A6"/>
    <w:rsid w:val="001B21AC"/>
    <w:rsid w:val="001B2456"/>
    <w:rsid w:val="001B449C"/>
    <w:rsid w:val="001B4AA2"/>
    <w:rsid w:val="001B4ADE"/>
    <w:rsid w:val="001B5530"/>
    <w:rsid w:val="001B5DAE"/>
    <w:rsid w:val="001B5EF8"/>
    <w:rsid w:val="001B6BD0"/>
    <w:rsid w:val="001B71E8"/>
    <w:rsid w:val="001C033E"/>
    <w:rsid w:val="001C07C6"/>
    <w:rsid w:val="001C0C86"/>
    <w:rsid w:val="001C120D"/>
    <w:rsid w:val="001C16DA"/>
    <w:rsid w:val="001C19CD"/>
    <w:rsid w:val="001C1E2B"/>
    <w:rsid w:val="001C22D5"/>
    <w:rsid w:val="001C2515"/>
    <w:rsid w:val="001C26FB"/>
    <w:rsid w:val="001C2BA4"/>
    <w:rsid w:val="001C33C1"/>
    <w:rsid w:val="001C3E30"/>
    <w:rsid w:val="001C3E5C"/>
    <w:rsid w:val="001C5072"/>
    <w:rsid w:val="001C5B2A"/>
    <w:rsid w:val="001C600B"/>
    <w:rsid w:val="001C6898"/>
    <w:rsid w:val="001C6DD8"/>
    <w:rsid w:val="001C76FA"/>
    <w:rsid w:val="001C79A4"/>
    <w:rsid w:val="001C7C7B"/>
    <w:rsid w:val="001D068D"/>
    <w:rsid w:val="001D12D1"/>
    <w:rsid w:val="001D15DF"/>
    <w:rsid w:val="001D2EEE"/>
    <w:rsid w:val="001D30F3"/>
    <w:rsid w:val="001D31A0"/>
    <w:rsid w:val="001D338E"/>
    <w:rsid w:val="001D34C3"/>
    <w:rsid w:val="001D4562"/>
    <w:rsid w:val="001D46A9"/>
    <w:rsid w:val="001D4874"/>
    <w:rsid w:val="001D56E9"/>
    <w:rsid w:val="001D59D9"/>
    <w:rsid w:val="001D6944"/>
    <w:rsid w:val="001D6CD2"/>
    <w:rsid w:val="001D796A"/>
    <w:rsid w:val="001D7A84"/>
    <w:rsid w:val="001D7C79"/>
    <w:rsid w:val="001E003B"/>
    <w:rsid w:val="001E1CC4"/>
    <w:rsid w:val="001E1D38"/>
    <w:rsid w:val="001E28A0"/>
    <w:rsid w:val="001E302E"/>
    <w:rsid w:val="001E3FFE"/>
    <w:rsid w:val="001E4258"/>
    <w:rsid w:val="001E5140"/>
    <w:rsid w:val="001E55E6"/>
    <w:rsid w:val="001E5D6A"/>
    <w:rsid w:val="001E6A94"/>
    <w:rsid w:val="001E70FB"/>
    <w:rsid w:val="001E780A"/>
    <w:rsid w:val="001F0806"/>
    <w:rsid w:val="001F0D15"/>
    <w:rsid w:val="001F0FA0"/>
    <w:rsid w:val="001F1349"/>
    <w:rsid w:val="001F14C3"/>
    <w:rsid w:val="001F1863"/>
    <w:rsid w:val="001F2356"/>
    <w:rsid w:val="001F2A68"/>
    <w:rsid w:val="001F2C47"/>
    <w:rsid w:val="001F3221"/>
    <w:rsid w:val="001F4773"/>
    <w:rsid w:val="001F4F91"/>
    <w:rsid w:val="001F5008"/>
    <w:rsid w:val="001F56AA"/>
    <w:rsid w:val="001F57EB"/>
    <w:rsid w:val="001F58AA"/>
    <w:rsid w:val="001F5A4E"/>
    <w:rsid w:val="001F5EF6"/>
    <w:rsid w:val="001F657F"/>
    <w:rsid w:val="001F68FA"/>
    <w:rsid w:val="001F6FB6"/>
    <w:rsid w:val="001F72BB"/>
    <w:rsid w:val="001F7978"/>
    <w:rsid w:val="001F7A0E"/>
    <w:rsid w:val="001F7A4B"/>
    <w:rsid w:val="0020022E"/>
    <w:rsid w:val="0020054E"/>
    <w:rsid w:val="00201508"/>
    <w:rsid w:val="00201AC4"/>
    <w:rsid w:val="00201C45"/>
    <w:rsid w:val="00201F1E"/>
    <w:rsid w:val="0020247D"/>
    <w:rsid w:val="00202761"/>
    <w:rsid w:val="0020299B"/>
    <w:rsid w:val="00202B2A"/>
    <w:rsid w:val="00202E44"/>
    <w:rsid w:val="002037AA"/>
    <w:rsid w:val="00203FE3"/>
    <w:rsid w:val="002041DD"/>
    <w:rsid w:val="002042D8"/>
    <w:rsid w:val="00204515"/>
    <w:rsid w:val="00204BF5"/>
    <w:rsid w:val="00204E6B"/>
    <w:rsid w:val="002053EF"/>
    <w:rsid w:val="002058D4"/>
    <w:rsid w:val="002060D6"/>
    <w:rsid w:val="0020632A"/>
    <w:rsid w:val="0020697F"/>
    <w:rsid w:val="0020726E"/>
    <w:rsid w:val="00207389"/>
    <w:rsid w:val="002074C2"/>
    <w:rsid w:val="002110EB"/>
    <w:rsid w:val="00211338"/>
    <w:rsid w:val="00211387"/>
    <w:rsid w:val="00211388"/>
    <w:rsid w:val="0021148C"/>
    <w:rsid w:val="00211694"/>
    <w:rsid w:val="0021201A"/>
    <w:rsid w:val="00212545"/>
    <w:rsid w:val="002138FE"/>
    <w:rsid w:val="00213A1F"/>
    <w:rsid w:val="00213C63"/>
    <w:rsid w:val="00214502"/>
    <w:rsid w:val="00214741"/>
    <w:rsid w:val="00214938"/>
    <w:rsid w:val="0021539A"/>
    <w:rsid w:val="00215852"/>
    <w:rsid w:val="00215B01"/>
    <w:rsid w:val="00215B8E"/>
    <w:rsid w:val="00216264"/>
    <w:rsid w:val="002169A0"/>
    <w:rsid w:val="002176B6"/>
    <w:rsid w:val="0021792D"/>
    <w:rsid w:val="00217DB8"/>
    <w:rsid w:val="002202CE"/>
    <w:rsid w:val="0022032A"/>
    <w:rsid w:val="0022194E"/>
    <w:rsid w:val="002220B1"/>
    <w:rsid w:val="002221CE"/>
    <w:rsid w:val="00222B1D"/>
    <w:rsid w:val="00222BE8"/>
    <w:rsid w:val="00222DF6"/>
    <w:rsid w:val="00223102"/>
    <w:rsid w:val="002232CB"/>
    <w:rsid w:val="00224022"/>
    <w:rsid w:val="00224B1C"/>
    <w:rsid w:val="00226055"/>
    <w:rsid w:val="0022609C"/>
    <w:rsid w:val="0022613F"/>
    <w:rsid w:val="0022614F"/>
    <w:rsid w:val="00226236"/>
    <w:rsid w:val="002266AF"/>
    <w:rsid w:val="002270C9"/>
    <w:rsid w:val="00227A8B"/>
    <w:rsid w:val="002306BF"/>
    <w:rsid w:val="002311F0"/>
    <w:rsid w:val="0023146B"/>
    <w:rsid w:val="002315A0"/>
    <w:rsid w:val="00231748"/>
    <w:rsid w:val="00231CBD"/>
    <w:rsid w:val="00231DCC"/>
    <w:rsid w:val="00231EC7"/>
    <w:rsid w:val="00232AF1"/>
    <w:rsid w:val="00232E15"/>
    <w:rsid w:val="00233079"/>
    <w:rsid w:val="0023382C"/>
    <w:rsid w:val="00233977"/>
    <w:rsid w:val="00233C58"/>
    <w:rsid w:val="00233C71"/>
    <w:rsid w:val="002345B6"/>
    <w:rsid w:val="002347A6"/>
    <w:rsid w:val="00234B84"/>
    <w:rsid w:val="0023548D"/>
    <w:rsid w:val="00236016"/>
    <w:rsid w:val="00237065"/>
    <w:rsid w:val="00237589"/>
    <w:rsid w:val="0023758D"/>
    <w:rsid w:val="002375A7"/>
    <w:rsid w:val="00237D1D"/>
    <w:rsid w:val="0024019A"/>
    <w:rsid w:val="00240A1F"/>
    <w:rsid w:val="00240EC1"/>
    <w:rsid w:val="0024120F"/>
    <w:rsid w:val="0024131D"/>
    <w:rsid w:val="002415B8"/>
    <w:rsid w:val="00241B82"/>
    <w:rsid w:val="0024296E"/>
    <w:rsid w:val="00242D5F"/>
    <w:rsid w:val="00242D62"/>
    <w:rsid w:val="002430D0"/>
    <w:rsid w:val="002431D7"/>
    <w:rsid w:val="00244058"/>
    <w:rsid w:val="0024561A"/>
    <w:rsid w:val="00245718"/>
    <w:rsid w:val="002457E9"/>
    <w:rsid w:val="00245E07"/>
    <w:rsid w:val="0024665E"/>
    <w:rsid w:val="00247712"/>
    <w:rsid w:val="0024794C"/>
    <w:rsid w:val="00250A9E"/>
    <w:rsid w:val="00250EC6"/>
    <w:rsid w:val="002515C7"/>
    <w:rsid w:val="00251866"/>
    <w:rsid w:val="00251A9F"/>
    <w:rsid w:val="00251E66"/>
    <w:rsid w:val="00252492"/>
    <w:rsid w:val="00252B35"/>
    <w:rsid w:val="00253070"/>
    <w:rsid w:val="002530A0"/>
    <w:rsid w:val="0025316D"/>
    <w:rsid w:val="00253A02"/>
    <w:rsid w:val="00253B81"/>
    <w:rsid w:val="00254AE9"/>
    <w:rsid w:val="002554DE"/>
    <w:rsid w:val="00255575"/>
    <w:rsid w:val="00255E11"/>
    <w:rsid w:val="002564B7"/>
    <w:rsid w:val="00256835"/>
    <w:rsid w:val="002569F0"/>
    <w:rsid w:val="00256C01"/>
    <w:rsid w:val="00256E1A"/>
    <w:rsid w:val="00256ECF"/>
    <w:rsid w:val="00257730"/>
    <w:rsid w:val="0025782B"/>
    <w:rsid w:val="00257999"/>
    <w:rsid w:val="002604AA"/>
    <w:rsid w:val="0026129B"/>
    <w:rsid w:val="00261560"/>
    <w:rsid w:val="00261715"/>
    <w:rsid w:val="00261CF9"/>
    <w:rsid w:val="00261EC0"/>
    <w:rsid w:val="0026231B"/>
    <w:rsid w:val="00263101"/>
    <w:rsid w:val="002631D1"/>
    <w:rsid w:val="00263201"/>
    <w:rsid w:val="00263A37"/>
    <w:rsid w:val="00263EC5"/>
    <w:rsid w:val="00264266"/>
    <w:rsid w:val="002646A3"/>
    <w:rsid w:val="0026471F"/>
    <w:rsid w:val="0026480D"/>
    <w:rsid w:val="002653A6"/>
    <w:rsid w:val="002654B1"/>
    <w:rsid w:val="002655EF"/>
    <w:rsid w:val="002661F1"/>
    <w:rsid w:val="00266316"/>
    <w:rsid w:val="00266DB6"/>
    <w:rsid w:val="0027111F"/>
    <w:rsid w:val="002711A4"/>
    <w:rsid w:val="00271230"/>
    <w:rsid w:val="00271F13"/>
    <w:rsid w:val="00272945"/>
    <w:rsid w:val="00272E89"/>
    <w:rsid w:val="00273A94"/>
    <w:rsid w:val="002742D0"/>
    <w:rsid w:val="0027482E"/>
    <w:rsid w:val="002748F1"/>
    <w:rsid w:val="00274DB5"/>
    <w:rsid w:val="00275BB1"/>
    <w:rsid w:val="00275CBF"/>
    <w:rsid w:val="002766F9"/>
    <w:rsid w:val="00276EF7"/>
    <w:rsid w:val="0027770B"/>
    <w:rsid w:val="00277933"/>
    <w:rsid w:val="00277EC1"/>
    <w:rsid w:val="00277F8D"/>
    <w:rsid w:val="00277FA7"/>
    <w:rsid w:val="00280046"/>
    <w:rsid w:val="0028068C"/>
    <w:rsid w:val="00280806"/>
    <w:rsid w:val="00280B4F"/>
    <w:rsid w:val="00280F3D"/>
    <w:rsid w:val="0028106A"/>
    <w:rsid w:val="00281EB4"/>
    <w:rsid w:val="002820DA"/>
    <w:rsid w:val="00282E03"/>
    <w:rsid w:val="0028308E"/>
    <w:rsid w:val="002834E9"/>
    <w:rsid w:val="002837BA"/>
    <w:rsid w:val="00283A52"/>
    <w:rsid w:val="00283C5E"/>
    <w:rsid w:val="00283E26"/>
    <w:rsid w:val="0028428F"/>
    <w:rsid w:val="00284CFC"/>
    <w:rsid w:val="0028552A"/>
    <w:rsid w:val="00285832"/>
    <w:rsid w:val="00285943"/>
    <w:rsid w:val="00285969"/>
    <w:rsid w:val="0028599C"/>
    <w:rsid w:val="00285DE7"/>
    <w:rsid w:val="0028663B"/>
    <w:rsid w:val="00286CEC"/>
    <w:rsid w:val="002870F9"/>
    <w:rsid w:val="002871A9"/>
    <w:rsid w:val="00287505"/>
    <w:rsid w:val="00287BDB"/>
    <w:rsid w:val="00290781"/>
    <w:rsid w:val="00291784"/>
    <w:rsid w:val="002920DF"/>
    <w:rsid w:val="00292139"/>
    <w:rsid w:val="002928A3"/>
    <w:rsid w:val="002929BB"/>
    <w:rsid w:val="0029371B"/>
    <w:rsid w:val="00294368"/>
    <w:rsid w:val="00294B78"/>
    <w:rsid w:val="0029534C"/>
    <w:rsid w:val="00295416"/>
    <w:rsid w:val="00295949"/>
    <w:rsid w:val="00295D7C"/>
    <w:rsid w:val="0029624A"/>
    <w:rsid w:val="00296922"/>
    <w:rsid w:val="00297098"/>
    <w:rsid w:val="0029745A"/>
    <w:rsid w:val="002A05D4"/>
    <w:rsid w:val="002A06DB"/>
    <w:rsid w:val="002A09FF"/>
    <w:rsid w:val="002A0E60"/>
    <w:rsid w:val="002A12F1"/>
    <w:rsid w:val="002A1A58"/>
    <w:rsid w:val="002A1B02"/>
    <w:rsid w:val="002A1C53"/>
    <w:rsid w:val="002A1F84"/>
    <w:rsid w:val="002A244B"/>
    <w:rsid w:val="002A28FC"/>
    <w:rsid w:val="002A2B44"/>
    <w:rsid w:val="002A2EA5"/>
    <w:rsid w:val="002A301E"/>
    <w:rsid w:val="002A3555"/>
    <w:rsid w:val="002A38C8"/>
    <w:rsid w:val="002A3D94"/>
    <w:rsid w:val="002A4736"/>
    <w:rsid w:val="002A4B1C"/>
    <w:rsid w:val="002A55FE"/>
    <w:rsid w:val="002A625C"/>
    <w:rsid w:val="002A632B"/>
    <w:rsid w:val="002A6AFB"/>
    <w:rsid w:val="002A6CB8"/>
    <w:rsid w:val="002A733D"/>
    <w:rsid w:val="002A7559"/>
    <w:rsid w:val="002A774A"/>
    <w:rsid w:val="002A7840"/>
    <w:rsid w:val="002A78F3"/>
    <w:rsid w:val="002A7D84"/>
    <w:rsid w:val="002A7E5C"/>
    <w:rsid w:val="002A7F6D"/>
    <w:rsid w:val="002B0D83"/>
    <w:rsid w:val="002B1342"/>
    <w:rsid w:val="002B1F83"/>
    <w:rsid w:val="002B27C8"/>
    <w:rsid w:val="002B2A7F"/>
    <w:rsid w:val="002B330B"/>
    <w:rsid w:val="002B39BE"/>
    <w:rsid w:val="002B3A3B"/>
    <w:rsid w:val="002B3D38"/>
    <w:rsid w:val="002B438C"/>
    <w:rsid w:val="002B48DB"/>
    <w:rsid w:val="002B4B34"/>
    <w:rsid w:val="002B541A"/>
    <w:rsid w:val="002B5DA7"/>
    <w:rsid w:val="002B5EAB"/>
    <w:rsid w:val="002B5F2E"/>
    <w:rsid w:val="002B6407"/>
    <w:rsid w:val="002B6416"/>
    <w:rsid w:val="002B6459"/>
    <w:rsid w:val="002B6F22"/>
    <w:rsid w:val="002B7014"/>
    <w:rsid w:val="002B73B0"/>
    <w:rsid w:val="002C15BF"/>
    <w:rsid w:val="002C24B4"/>
    <w:rsid w:val="002C2B3A"/>
    <w:rsid w:val="002C2B87"/>
    <w:rsid w:val="002C3CF4"/>
    <w:rsid w:val="002C441A"/>
    <w:rsid w:val="002C4A73"/>
    <w:rsid w:val="002C4B84"/>
    <w:rsid w:val="002C4C0C"/>
    <w:rsid w:val="002C5016"/>
    <w:rsid w:val="002C5C2F"/>
    <w:rsid w:val="002C5D0F"/>
    <w:rsid w:val="002C60B9"/>
    <w:rsid w:val="002C6BAA"/>
    <w:rsid w:val="002C6F77"/>
    <w:rsid w:val="002C704D"/>
    <w:rsid w:val="002D0845"/>
    <w:rsid w:val="002D0933"/>
    <w:rsid w:val="002D1555"/>
    <w:rsid w:val="002D15B6"/>
    <w:rsid w:val="002D19BB"/>
    <w:rsid w:val="002D1A9B"/>
    <w:rsid w:val="002D1F51"/>
    <w:rsid w:val="002D20F8"/>
    <w:rsid w:val="002D22BD"/>
    <w:rsid w:val="002D22C5"/>
    <w:rsid w:val="002D302A"/>
    <w:rsid w:val="002D36C6"/>
    <w:rsid w:val="002D37C1"/>
    <w:rsid w:val="002D444B"/>
    <w:rsid w:val="002D46A6"/>
    <w:rsid w:val="002D46B4"/>
    <w:rsid w:val="002D46CE"/>
    <w:rsid w:val="002D49C2"/>
    <w:rsid w:val="002D4A45"/>
    <w:rsid w:val="002D4B42"/>
    <w:rsid w:val="002D4B43"/>
    <w:rsid w:val="002D5A1B"/>
    <w:rsid w:val="002D6504"/>
    <w:rsid w:val="002D6558"/>
    <w:rsid w:val="002D65BC"/>
    <w:rsid w:val="002E055C"/>
    <w:rsid w:val="002E1050"/>
    <w:rsid w:val="002E107E"/>
    <w:rsid w:val="002E18E5"/>
    <w:rsid w:val="002E1953"/>
    <w:rsid w:val="002E2C3F"/>
    <w:rsid w:val="002E2CB5"/>
    <w:rsid w:val="002E2D7D"/>
    <w:rsid w:val="002E32D0"/>
    <w:rsid w:val="002E3D76"/>
    <w:rsid w:val="002E40A1"/>
    <w:rsid w:val="002E48EC"/>
    <w:rsid w:val="002E4B44"/>
    <w:rsid w:val="002E4ECB"/>
    <w:rsid w:val="002E4F23"/>
    <w:rsid w:val="002E61AE"/>
    <w:rsid w:val="002E635A"/>
    <w:rsid w:val="002E6D68"/>
    <w:rsid w:val="002E6F4A"/>
    <w:rsid w:val="002E7847"/>
    <w:rsid w:val="002F0073"/>
    <w:rsid w:val="002F1B27"/>
    <w:rsid w:val="002F1C67"/>
    <w:rsid w:val="002F240B"/>
    <w:rsid w:val="002F24DA"/>
    <w:rsid w:val="002F2F50"/>
    <w:rsid w:val="002F33EC"/>
    <w:rsid w:val="002F34E3"/>
    <w:rsid w:val="002F3601"/>
    <w:rsid w:val="002F40E2"/>
    <w:rsid w:val="002F45F6"/>
    <w:rsid w:val="002F5A6F"/>
    <w:rsid w:val="002F692F"/>
    <w:rsid w:val="002F7031"/>
    <w:rsid w:val="002F7961"/>
    <w:rsid w:val="002F7B66"/>
    <w:rsid w:val="00300BA5"/>
    <w:rsid w:val="00300CB4"/>
    <w:rsid w:val="00300E24"/>
    <w:rsid w:val="00300F9A"/>
    <w:rsid w:val="0030257B"/>
    <w:rsid w:val="003033BA"/>
    <w:rsid w:val="00303866"/>
    <w:rsid w:val="00303C19"/>
    <w:rsid w:val="003043A3"/>
    <w:rsid w:val="0030462D"/>
    <w:rsid w:val="00304BD4"/>
    <w:rsid w:val="00304F54"/>
    <w:rsid w:val="0030500A"/>
    <w:rsid w:val="003052EB"/>
    <w:rsid w:val="00305FCB"/>
    <w:rsid w:val="003063C3"/>
    <w:rsid w:val="003069DC"/>
    <w:rsid w:val="00306A13"/>
    <w:rsid w:val="00306B44"/>
    <w:rsid w:val="00306F2B"/>
    <w:rsid w:val="00307C44"/>
    <w:rsid w:val="0031040A"/>
    <w:rsid w:val="0031088E"/>
    <w:rsid w:val="00310D01"/>
    <w:rsid w:val="00311376"/>
    <w:rsid w:val="00311A1F"/>
    <w:rsid w:val="00311B47"/>
    <w:rsid w:val="00311D52"/>
    <w:rsid w:val="00312190"/>
    <w:rsid w:val="003125E0"/>
    <w:rsid w:val="0031271D"/>
    <w:rsid w:val="00313222"/>
    <w:rsid w:val="003132BB"/>
    <w:rsid w:val="00313337"/>
    <w:rsid w:val="00313447"/>
    <w:rsid w:val="003135CC"/>
    <w:rsid w:val="00313748"/>
    <w:rsid w:val="00313EA3"/>
    <w:rsid w:val="003151FE"/>
    <w:rsid w:val="00315365"/>
    <w:rsid w:val="00315457"/>
    <w:rsid w:val="003161A4"/>
    <w:rsid w:val="00316955"/>
    <w:rsid w:val="0031713F"/>
    <w:rsid w:val="0031720A"/>
    <w:rsid w:val="0031749B"/>
    <w:rsid w:val="003174E5"/>
    <w:rsid w:val="00317C9D"/>
    <w:rsid w:val="00317CD2"/>
    <w:rsid w:val="00317D99"/>
    <w:rsid w:val="003203BF"/>
    <w:rsid w:val="0032078D"/>
    <w:rsid w:val="00320ADF"/>
    <w:rsid w:val="0032137B"/>
    <w:rsid w:val="00321A70"/>
    <w:rsid w:val="00321BD6"/>
    <w:rsid w:val="00321FA3"/>
    <w:rsid w:val="003227D3"/>
    <w:rsid w:val="00322805"/>
    <w:rsid w:val="00322937"/>
    <w:rsid w:val="00323881"/>
    <w:rsid w:val="00324885"/>
    <w:rsid w:val="003251A8"/>
    <w:rsid w:val="003254B1"/>
    <w:rsid w:val="00325AD9"/>
    <w:rsid w:val="00325D98"/>
    <w:rsid w:val="0032682A"/>
    <w:rsid w:val="00327A5C"/>
    <w:rsid w:val="003305BD"/>
    <w:rsid w:val="0033092C"/>
    <w:rsid w:val="0033122A"/>
    <w:rsid w:val="003315AC"/>
    <w:rsid w:val="00331932"/>
    <w:rsid w:val="00331F74"/>
    <w:rsid w:val="00332382"/>
    <w:rsid w:val="00332386"/>
    <w:rsid w:val="00332453"/>
    <w:rsid w:val="0033251B"/>
    <w:rsid w:val="00333A88"/>
    <w:rsid w:val="00335B15"/>
    <w:rsid w:val="00335B21"/>
    <w:rsid w:val="00335D3F"/>
    <w:rsid w:val="00336104"/>
    <w:rsid w:val="00336729"/>
    <w:rsid w:val="00336CD9"/>
    <w:rsid w:val="0033726D"/>
    <w:rsid w:val="00337CA8"/>
    <w:rsid w:val="00340D3F"/>
    <w:rsid w:val="0034174B"/>
    <w:rsid w:val="0034177C"/>
    <w:rsid w:val="003420E9"/>
    <w:rsid w:val="00342345"/>
    <w:rsid w:val="00342C27"/>
    <w:rsid w:val="003430C8"/>
    <w:rsid w:val="003432C8"/>
    <w:rsid w:val="003434B3"/>
    <w:rsid w:val="00343536"/>
    <w:rsid w:val="00343EFB"/>
    <w:rsid w:val="00344760"/>
    <w:rsid w:val="00344A9D"/>
    <w:rsid w:val="003454E8"/>
    <w:rsid w:val="00345574"/>
    <w:rsid w:val="00345965"/>
    <w:rsid w:val="0034680A"/>
    <w:rsid w:val="00346C62"/>
    <w:rsid w:val="00347202"/>
    <w:rsid w:val="0034778E"/>
    <w:rsid w:val="00347A5A"/>
    <w:rsid w:val="003501E2"/>
    <w:rsid w:val="00351E10"/>
    <w:rsid w:val="0035252F"/>
    <w:rsid w:val="003533F4"/>
    <w:rsid w:val="003536F6"/>
    <w:rsid w:val="00353DD5"/>
    <w:rsid w:val="00353F36"/>
    <w:rsid w:val="00355131"/>
    <w:rsid w:val="00355F74"/>
    <w:rsid w:val="003560DB"/>
    <w:rsid w:val="003564DB"/>
    <w:rsid w:val="00356F87"/>
    <w:rsid w:val="00357C44"/>
    <w:rsid w:val="00357E83"/>
    <w:rsid w:val="0036086B"/>
    <w:rsid w:val="00360CF3"/>
    <w:rsid w:val="00361A59"/>
    <w:rsid w:val="00363348"/>
    <w:rsid w:val="003634D4"/>
    <w:rsid w:val="00363857"/>
    <w:rsid w:val="00363D59"/>
    <w:rsid w:val="00363F08"/>
    <w:rsid w:val="003640F7"/>
    <w:rsid w:val="00364969"/>
    <w:rsid w:val="003651FD"/>
    <w:rsid w:val="003658F2"/>
    <w:rsid w:val="0036594A"/>
    <w:rsid w:val="00365D3A"/>
    <w:rsid w:val="003664FF"/>
    <w:rsid w:val="00366BD2"/>
    <w:rsid w:val="003670B8"/>
    <w:rsid w:val="003704A3"/>
    <w:rsid w:val="003706F2"/>
    <w:rsid w:val="003709E8"/>
    <w:rsid w:val="0037124F"/>
    <w:rsid w:val="00373827"/>
    <w:rsid w:val="0037401C"/>
    <w:rsid w:val="0037507B"/>
    <w:rsid w:val="00375C7C"/>
    <w:rsid w:val="00377027"/>
    <w:rsid w:val="00377135"/>
    <w:rsid w:val="00377EAC"/>
    <w:rsid w:val="00380272"/>
    <w:rsid w:val="003805DB"/>
    <w:rsid w:val="00380B96"/>
    <w:rsid w:val="00380C7F"/>
    <w:rsid w:val="0038152A"/>
    <w:rsid w:val="0038245D"/>
    <w:rsid w:val="00382BAD"/>
    <w:rsid w:val="003835FD"/>
    <w:rsid w:val="00383EDF"/>
    <w:rsid w:val="00384C5E"/>
    <w:rsid w:val="00384DF1"/>
    <w:rsid w:val="00384FF3"/>
    <w:rsid w:val="00386456"/>
    <w:rsid w:val="003865A9"/>
    <w:rsid w:val="003872D3"/>
    <w:rsid w:val="0039092B"/>
    <w:rsid w:val="00390BD9"/>
    <w:rsid w:val="00390C0B"/>
    <w:rsid w:val="00390F32"/>
    <w:rsid w:val="0039135E"/>
    <w:rsid w:val="0039285D"/>
    <w:rsid w:val="0039319C"/>
    <w:rsid w:val="00393577"/>
    <w:rsid w:val="00393CAE"/>
    <w:rsid w:val="003945F4"/>
    <w:rsid w:val="00394EB5"/>
    <w:rsid w:val="003953B4"/>
    <w:rsid w:val="0039615F"/>
    <w:rsid w:val="003966A0"/>
    <w:rsid w:val="00396A29"/>
    <w:rsid w:val="00397FF0"/>
    <w:rsid w:val="003A0878"/>
    <w:rsid w:val="003A1561"/>
    <w:rsid w:val="003A1D25"/>
    <w:rsid w:val="003A22A2"/>
    <w:rsid w:val="003A2447"/>
    <w:rsid w:val="003A2AA1"/>
    <w:rsid w:val="003A31A5"/>
    <w:rsid w:val="003A329A"/>
    <w:rsid w:val="003A3603"/>
    <w:rsid w:val="003A36AC"/>
    <w:rsid w:val="003A3851"/>
    <w:rsid w:val="003A3902"/>
    <w:rsid w:val="003A39DD"/>
    <w:rsid w:val="003A40DB"/>
    <w:rsid w:val="003A4199"/>
    <w:rsid w:val="003A41C5"/>
    <w:rsid w:val="003A4A8E"/>
    <w:rsid w:val="003A563C"/>
    <w:rsid w:val="003A581E"/>
    <w:rsid w:val="003A5E7E"/>
    <w:rsid w:val="003A6160"/>
    <w:rsid w:val="003A6219"/>
    <w:rsid w:val="003A65A5"/>
    <w:rsid w:val="003A65AC"/>
    <w:rsid w:val="003A72F5"/>
    <w:rsid w:val="003A78E5"/>
    <w:rsid w:val="003B0341"/>
    <w:rsid w:val="003B15F3"/>
    <w:rsid w:val="003B1961"/>
    <w:rsid w:val="003B1E57"/>
    <w:rsid w:val="003B1E5C"/>
    <w:rsid w:val="003B242E"/>
    <w:rsid w:val="003B2EF3"/>
    <w:rsid w:val="003B48C4"/>
    <w:rsid w:val="003B4ADC"/>
    <w:rsid w:val="003B534F"/>
    <w:rsid w:val="003B5391"/>
    <w:rsid w:val="003B58CE"/>
    <w:rsid w:val="003B6273"/>
    <w:rsid w:val="003B65D7"/>
    <w:rsid w:val="003B65E0"/>
    <w:rsid w:val="003B6A15"/>
    <w:rsid w:val="003B6BD4"/>
    <w:rsid w:val="003B6F4D"/>
    <w:rsid w:val="003B6FE7"/>
    <w:rsid w:val="003B7257"/>
    <w:rsid w:val="003B74E8"/>
    <w:rsid w:val="003C0491"/>
    <w:rsid w:val="003C0C0F"/>
    <w:rsid w:val="003C0D1F"/>
    <w:rsid w:val="003C116A"/>
    <w:rsid w:val="003C1AF4"/>
    <w:rsid w:val="003C1CB8"/>
    <w:rsid w:val="003C22DA"/>
    <w:rsid w:val="003C2550"/>
    <w:rsid w:val="003C287F"/>
    <w:rsid w:val="003C2B2B"/>
    <w:rsid w:val="003C3339"/>
    <w:rsid w:val="003C375A"/>
    <w:rsid w:val="003C4317"/>
    <w:rsid w:val="003C4D9F"/>
    <w:rsid w:val="003C4EA9"/>
    <w:rsid w:val="003C5247"/>
    <w:rsid w:val="003C5B02"/>
    <w:rsid w:val="003C5D7C"/>
    <w:rsid w:val="003C5E8A"/>
    <w:rsid w:val="003C622C"/>
    <w:rsid w:val="003C6505"/>
    <w:rsid w:val="003C73C7"/>
    <w:rsid w:val="003C7CFB"/>
    <w:rsid w:val="003D050B"/>
    <w:rsid w:val="003D0B98"/>
    <w:rsid w:val="003D0C3C"/>
    <w:rsid w:val="003D0DE5"/>
    <w:rsid w:val="003D1351"/>
    <w:rsid w:val="003D15B3"/>
    <w:rsid w:val="003D21C1"/>
    <w:rsid w:val="003D370F"/>
    <w:rsid w:val="003D3B15"/>
    <w:rsid w:val="003D3B2E"/>
    <w:rsid w:val="003D3F28"/>
    <w:rsid w:val="003D4101"/>
    <w:rsid w:val="003D484D"/>
    <w:rsid w:val="003D49CB"/>
    <w:rsid w:val="003D5F10"/>
    <w:rsid w:val="003D6B8F"/>
    <w:rsid w:val="003D7566"/>
    <w:rsid w:val="003E0224"/>
    <w:rsid w:val="003E09BB"/>
    <w:rsid w:val="003E13D2"/>
    <w:rsid w:val="003E159D"/>
    <w:rsid w:val="003E1E64"/>
    <w:rsid w:val="003E20EA"/>
    <w:rsid w:val="003E210C"/>
    <w:rsid w:val="003E2294"/>
    <w:rsid w:val="003E2F55"/>
    <w:rsid w:val="003E324A"/>
    <w:rsid w:val="003E34DB"/>
    <w:rsid w:val="003E3833"/>
    <w:rsid w:val="003E3AF9"/>
    <w:rsid w:val="003E4A70"/>
    <w:rsid w:val="003E4C48"/>
    <w:rsid w:val="003E4CD9"/>
    <w:rsid w:val="003E52C2"/>
    <w:rsid w:val="003E54B3"/>
    <w:rsid w:val="003E56AC"/>
    <w:rsid w:val="003E5780"/>
    <w:rsid w:val="003E5B9F"/>
    <w:rsid w:val="003E6072"/>
    <w:rsid w:val="003E60D6"/>
    <w:rsid w:val="003E6AB6"/>
    <w:rsid w:val="003E6E0B"/>
    <w:rsid w:val="003E71CD"/>
    <w:rsid w:val="003E78DA"/>
    <w:rsid w:val="003E7A8B"/>
    <w:rsid w:val="003F060E"/>
    <w:rsid w:val="003F0F7F"/>
    <w:rsid w:val="003F115C"/>
    <w:rsid w:val="003F153A"/>
    <w:rsid w:val="003F300D"/>
    <w:rsid w:val="003F391F"/>
    <w:rsid w:val="003F4599"/>
    <w:rsid w:val="003F45E1"/>
    <w:rsid w:val="003F4F6C"/>
    <w:rsid w:val="003F559E"/>
    <w:rsid w:val="003F6181"/>
    <w:rsid w:val="003F6BFC"/>
    <w:rsid w:val="003F7343"/>
    <w:rsid w:val="00400002"/>
    <w:rsid w:val="00400054"/>
    <w:rsid w:val="00400DC1"/>
    <w:rsid w:val="004016A3"/>
    <w:rsid w:val="00401B31"/>
    <w:rsid w:val="0040202B"/>
    <w:rsid w:val="0040219D"/>
    <w:rsid w:val="00402B33"/>
    <w:rsid w:val="00402DE1"/>
    <w:rsid w:val="00402EEB"/>
    <w:rsid w:val="004037C2"/>
    <w:rsid w:val="00403FDE"/>
    <w:rsid w:val="00404041"/>
    <w:rsid w:val="004040D4"/>
    <w:rsid w:val="00404B43"/>
    <w:rsid w:val="00404C61"/>
    <w:rsid w:val="00405487"/>
    <w:rsid w:val="00405B8A"/>
    <w:rsid w:val="0040602B"/>
    <w:rsid w:val="0040606C"/>
    <w:rsid w:val="004060DC"/>
    <w:rsid w:val="004068CD"/>
    <w:rsid w:val="00406DF5"/>
    <w:rsid w:val="00406F35"/>
    <w:rsid w:val="004077D0"/>
    <w:rsid w:val="00407A7A"/>
    <w:rsid w:val="00407ABC"/>
    <w:rsid w:val="00407F1E"/>
    <w:rsid w:val="004103B3"/>
    <w:rsid w:val="00410A88"/>
    <w:rsid w:val="00410CC8"/>
    <w:rsid w:val="00411317"/>
    <w:rsid w:val="00411692"/>
    <w:rsid w:val="00411A9E"/>
    <w:rsid w:val="0041259F"/>
    <w:rsid w:val="00412B1B"/>
    <w:rsid w:val="00412B4D"/>
    <w:rsid w:val="00412C51"/>
    <w:rsid w:val="00413262"/>
    <w:rsid w:val="0041329C"/>
    <w:rsid w:val="004139F4"/>
    <w:rsid w:val="00413FFA"/>
    <w:rsid w:val="00414246"/>
    <w:rsid w:val="0041463D"/>
    <w:rsid w:val="00414D9A"/>
    <w:rsid w:val="00415194"/>
    <w:rsid w:val="00415816"/>
    <w:rsid w:val="00415B88"/>
    <w:rsid w:val="00415D32"/>
    <w:rsid w:val="00415E6A"/>
    <w:rsid w:val="004160A2"/>
    <w:rsid w:val="0041674B"/>
    <w:rsid w:val="004170D7"/>
    <w:rsid w:val="004177A6"/>
    <w:rsid w:val="00417C00"/>
    <w:rsid w:val="00417C23"/>
    <w:rsid w:val="00417EFD"/>
    <w:rsid w:val="004200EE"/>
    <w:rsid w:val="00420786"/>
    <w:rsid w:val="004209D2"/>
    <w:rsid w:val="00420BBA"/>
    <w:rsid w:val="00420D6E"/>
    <w:rsid w:val="00420F50"/>
    <w:rsid w:val="0042158C"/>
    <w:rsid w:val="00421617"/>
    <w:rsid w:val="004217A7"/>
    <w:rsid w:val="00421BD2"/>
    <w:rsid w:val="00421E00"/>
    <w:rsid w:val="00421FCB"/>
    <w:rsid w:val="004220E2"/>
    <w:rsid w:val="00422DCA"/>
    <w:rsid w:val="00423D04"/>
    <w:rsid w:val="00423E8D"/>
    <w:rsid w:val="00423F9F"/>
    <w:rsid w:val="00424C5B"/>
    <w:rsid w:val="00425C43"/>
    <w:rsid w:val="004273FA"/>
    <w:rsid w:val="004275A7"/>
    <w:rsid w:val="00427BDA"/>
    <w:rsid w:val="00430186"/>
    <w:rsid w:val="00430F17"/>
    <w:rsid w:val="00431CC7"/>
    <w:rsid w:val="0043218E"/>
    <w:rsid w:val="0043260C"/>
    <w:rsid w:val="0043269A"/>
    <w:rsid w:val="00432E92"/>
    <w:rsid w:val="004333C2"/>
    <w:rsid w:val="00434787"/>
    <w:rsid w:val="00434C13"/>
    <w:rsid w:val="00434D8B"/>
    <w:rsid w:val="00435294"/>
    <w:rsid w:val="00435530"/>
    <w:rsid w:val="00435703"/>
    <w:rsid w:val="00435BD5"/>
    <w:rsid w:val="00435C7F"/>
    <w:rsid w:val="00436323"/>
    <w:rsid w:val="004367DE"/>
    <w:rsid w:val="0043683F"/>
    <w:rsid w:val="00436C94"/>
    <w:rsid w:val="00436F40"/>
    <w:rsid w:val="004370FA"/>
    <w:rsid w:val="00440096"/>
    <w:rsid w:val="004403DD"/>
    <w:rsid w:val="00440CF3"/>
    <w:rsid w:val="00440DB0"/>
    <w:rsid w:val="00440DDC"/>
    <w:rsid w:val="00440FAD"/>
    <w:rsid w:val="00441291"/>
    <w:rsid w:val="00441E04"/>
    <w:rsid w:val="004420AB"/>
    <w:rsid w:val="004422D6"/>
    <w:rsid w:val="004427AC"/>
    <w:rsid w:val="00442C7D"/>
    <w:rsid w:val="00442D13"/>
    <w:rsid w:val="00442D4D"/>
    <w:rsid w:val="0044361F"/>
    <w:rsid w:val="0044374D"/>
    <w:rsid w:val="00443B55"/>
    <w:rsid w:val="00443D27"/>
    <w:rsid w:val="0044500B"/>
    <w:rsid w:val="004451C5"/>
    <w:rsid w:val="00446037"/>
    <w:rsid w:val="00446270"/>
    <w:rsid w:val="0044642F"/>
    <w:rsid w:val="0044772C"/>
    <w:rsid w:val="00450846"/>
    <w:rsid w:val="00451A52"/>
    <w:rsid w:val="0045271D"/>
    <w:rsid w:val="00452755"/>
    <w:rsid w:val="00452803"/>
    <w:rsid w:val="004529C6"/>
    <w:rsid w:val="00452EAD"/>
    <w:rsid w:val="004533D1"/>
    <w:rsid w:val="004534D1"/>
    <w:rsid w:val="004540B8"/>
    <w:rsid w:val="00454548"/>
    <w:rsid w:val="00454717"/>
    <w:rsid w:val="00454C0F"/>
    <w:rsid w:val="00454DF8"/>
    <w:rsid w:val="00455004"/>
    <w:rsid w:val="00455047"/>
    <w:rsid w:val="00455354"/>
    <w:rsid w:val="0045558D"/>
    <w:rsid w:val="00455BD3"/>
    <w:rsid w:val="004560FE"/>
    <w:rsid w:val="004567DA"/>
    <w:rsid w:val="00456970"/>
    <w:rsid w:val="00456BB1"/>
    <w:rsid w:val="00456CD4"/>
    <w:rsid w:val="00456DDB"/>
    <w:rsid w:val="00456E61"/>
    <w:rsid w:val="00457031"/>
    <w:rsid w:val="00460915"/>
    <w:rsid w:val="00460946"/>
    <w:rsid w:val="004614A9"/>
    <w:rsid w:val="00461E97"/>
    <w:rsid w:val="0046268F"/>
    <w:rsid w:val="0046284F"/>
    <w:rsid w:val="00462B10"/>
    <w:rsid w:val="00462C04"/>
    <w:rsid w:val="0046320A"/>
    <w:rsid w:val="00463347"/>
    <w:rsid w:val="004636CC"/>
    <w:rsid w:val="004638E2"/>
    <w:rsid w:val="00464030"/>
    <w:rsid w:val="004647F8"/>
    <w:rsid w:val="004647FB"/>
    <w:rsid w:val="00465347"/>
    <w:rsid w:val="00465677"/>
    <w:rsid w:val="00466616"/>
    <w:rsid w:val="00466A0C"/>
    <w:rsid w:val="00466A53"/>
    <w:rsid w:val="00467EE3"/>
    <w:rsid w:val="00470A6A"/>
    <w:rsid w:val="00470C12"/>
    <w:rsid w:val="00470D73"/>
    <w:rsid w:val="00470D92"/>
    <w:rsid w:val="00471DF7"/>
    <w:rsid w:val="004734CF"/>
    <w:rsid w:val="00473A5B"/>
    <w:rsid w:val="00473F33"/>
    <w:rsid w:val="0047586C"/>
    <w:rsid w:val="00475A31"/>
    <w:rsid w:val="00475C5A"/>
    <w:rsid w:val="00475C9C"/>
    <w:rsid w:val="0047676B"/>
    <w:rsid w:val="0047773C"/>
    <w:rsid w:val="00477C5F"/>
    <w:rsid w:val="00480050"/>
    <w:rsid w:val="0048011C"/>
    <w:rsid w:val="004808DE"/>
    <w:rsid w:val="00480F9A"/>
    <w:rsid w:val="00481912"/>
    <w:rsid w:val="00481AC4"/>
    <w:rsid w:val="00481DC1"/>
    <w:rsid w:val="00482194"/>
    <w:rsid w:val="00482507"/>
    <w:rsid w:val="0048268A"/>
    <w:rsid w:val="004826AE"/>
    <w:rsid w:val="00482A64"/>
    <w:rsid w:val="004835CA"/>
    <w:rsid w:val="004836D7"/>
    <w:rsid w:val="004836F8"/>
    <w:rsid w:val="004836FE"/>
    <w:rsid w:val="00483DF1"/>
    <w:rsid w:val="00484A39"/>
    <w:rsid w:val="00484F0F"/>
    <w:rsid w:val="00484F40"/>
    <w:rsid w:val="0048540C"/>
    <w:rsid w:val="004861B4"/>
    <w:rsid w:val="00486226"/>
    <w:rsid w:val="0048690F"/>
    <w:rsid w:val="00486BD0"/>
    <w:rsid w:val="00486D00"/>
    <w:rsid w:val="00486FF7"/>
    <w:rsid w:val="00487263"/>
    <w:rsid w:val="0048734F"/>
    <w:rsid w:val="0048757F"/>
    <w:rsid w:val="0049029D"/>
    <w:rsid w:val="0049030C"/>
    <w:rsid w:val="004903C0"/>
    <w:rsid w:val="0049114B"/>
    <w:rsid w:val="004912A8"/>
    <w:rsid w:val="00491577"/>
    <w:rsid w:val="004918E1"/>
    <w:rsid w:val="0049196A"/>
    <w:rsid w:val="0049196E"/>
    <w:rsid w:val="0049241A"/>
    <w:rsid w:val="00492844"/>
    <w:rsid w:val="00492C1F"/>
    <w:rsid w:val="00492E4C"/>
    <w:rsid w:val="00493521"/>
    <w:rsid w:val="00493664"/>
    <w:rsid w:val="004938FD"/>
    <w:rsid w:val="00493E04"/>
    <w:rsid w:val="004940E3"/>
    <w:rsid w:val="0049530F"/>
    <w:rsid w:val="004958F6"/>
    <w:rsid w:val="00496664"/>
    <w:rsid w:val="00496786"/>
    <w:rsid w:val="0049695B"/>
    <w:rsid w:val="00496D8F"/>
    <w:rsid w:val="00497463"/>
    <w:rsid w:val="004A054C"/>
    <w:rsid w:val="004A08D1"/>
    <w:rsid w:val="004A16C1"/>
    <w:rsid w:val="004A1CE2"/>
    <w:rsid w:val="004A34D2"/>
    <w:rsid w:val="004A3EEA"/>
    <w:rsid w:val="004A4301"/>
    <w:rsid w:val="004A4D93"/>
    <w:rsid w:val="004A546E"/>
    <w:rsid w:val="004A58EE"/>
    <w:rsid w:val="004A59B7"/>
    <w:rsid w:val="004A6051"/>
    <w:rsid w:val="004A623B"/>
    <w:rsid w:val="004A6A04"/>
    <w:rsid w:val="004A6A52"/>
    <w:rsid w:val="004B09B0"/>
    <w:rsid w:val="004B0A44"/>
    <w:rsid w:val="004B0F0B"/>
    <w:rsid w:val="004B205A"/>
    <w:rsid w:val="004B2197"/>
    <w:rsid w:val="004B298A"/>
    <w:rsid w:val="004B2BB8"/>
    <w:rsid w:val="004B50CB"/>
    <w:rsid w:val="004B578D"/>
    <w:rsid w:val="004B5BE7"/>
    <w:rsid w:val="004B5E2D"/>
    <w:rsid w:val="004B6C07"/>
    <w:rsid w:val="004B74D3"/>
    <w:rsid w:val="004B755E"/>
    <w:rsid w:val="004B788E"/>
    <w:rsid w:val="004B7E5D"/>
    <w:rsid w:val="004C1198"/>
    <w:rsid w:val="004C22F7"/>
    <w:rsid w:val="004C2B27"/>
    <w:rsid w:val="004C3929"/>
    <w:rsid w:val="004C4160"/>
    <w:rsid w:val="004C5160"/>
    <w:rsid w:val="004C5212"/>
    <w:rsid w:val="004C5EF0"/>
    <w:rsid w:val="004C64C9"/>
    <w:rsid w:val="004C7226"/>
    <w:rsid w:val="004C74C9"/>
    <w:rsid w:val="004C7915"/>
    <w:rsid w:val="004C7D70"/>
    <w:rsid w:val="004D02F9"/>
    <w:rsid w:val="004D03FE"/>
    <w:rsid w:val="004D0446"/>
    <w:rsid w:val="004D06A3"/>
    <w:rsid w:val="004D0F95"/>
    <w:rsid w:val="004D106A"/>
    <w:rsid w:val="004D1162"/>
    <w:rsid w:val="004D1C7E"/>
    <w:rsid w:val="004D245A"/>
    <w:rsid w:val="004D31EE"/>
    <w:rsid w:val="004D36AF"/>
    <w:rsid w:val="004D3BD1"/>
    <w:rsid w:val="004D4BA1"/>
    <w:rsid w:val="004D584D"/>
    <w:rsid w:val="004D5A7E"/>
    <w:rsid w:val="004D6120"/>
    <w:rsid w:val="004D6826"/>
    <w:rsid w:val="004D7497"/>
    <w:rsid w:val="004E023F"/>
    <w:rsid w:val="004E03E8"/>
    <w:rsid w:val="004E0546"/>
    <w:rsid w:val="004E0556"/>
    <w:rsid w:val="004E0742"/>
    <w:rsid w:val="004E0C64"/>
    <w:rsid w:val="004E0F6B"/>
    <w:rsid w:val="004E1545"/>
    <w:rsid w:val="004E1F1C"/>
    <w:rsid w:val="004E2A35"/>
    <w:rsid w:val="004E2C09"/>
    <w:rsid w:val="004E2CCF"/>
    <w:rsid w:val="004E3B71"/>
    <w:rsid w:val="004E40CE"/>
    <w:rsid w:val="004E5736"/>
    <w:rsid w:val="004E5A3C"/>
    <w:rsid w:val="004E5B36"/>
    <w:rsid w:val="004E5D5D"/>
    <w:rsid w:val="004E6045"/>
    <w:rsid w:val="004E67D0"/>
    <w:rsid w:val="004E6F43"/>
    <w:rsid w:val="004E7200"/>
    <w:rsid w:val="004E787E"/>
    <w:rsid w:val="004E7AA1"/>
    <w:rsid w:val="004F0805"/>
    <w:rsid w:val="004F0960"/>
    <w:rsid w:val="004F0A5C"/>
    <w:rsid w:val="004F1596"/>
    <w:rsid w:val="004F163F"/>
    <w:rsid w:val="004F18A0"/>
    <w:rsid w:val="004F1A08"/>
    <w:rsid w:val="004F1A54"/>
    <w:rsid w:val="004F2480"/>
    <w:rsid w:val="004F2B64"/>
    <w:rsid w:val="004F31B8"/>
    <w:rsid w:val="004F33FA"/>
    <w:rsid w:val="004F375E"/>
    <w:rsid w:val="004F3764"/>
    <w:rsid w:val="004F3EEF"/>
    <w:rsid w:val="004F5129"/>
    <w:rsid w:val="004F5180"/>
    <w:rsid w:val="004F57C9"/>
    <w:rsid w:val="004F5930"/>
    <w:rsid w:val="004F5970"/>
    <w:rsid w:val="004F5F0C"/>
    <w:rsid w:val="004F6121"/>
    <w:rsid w:val="004F6161"/>
    <w:rsid w:val="004F66BC"/>
    <w:rsid w:val="004F6C26"/>
    <w:rsid w:val="004F6F6D"/>
    <w:rsid w:val="004F7AC9"/>
    <w:rsid w:val="0050062F"/>
    <w:rsid w:val="00500E74"/>
    <w:rsid w:val="005013EB"/>
    <w:rsid w:val="00501525"/>
    <w:rsid w:val="0050160F"/>
    <w:rsid w:val="0050284E"/>
    <w:rsid w:val="0050306F"/>
    <w:rsid w:val="0050309C"/>
    <w:rsid w:val="00503A17"/>
    <w:rsid w:val="00505892"/>
    <w:rsid w:val="00505DCB"/>
    <w:rsid w:val="0050674C"/>
    <w:rsid w:val="00507066"/>
    <w:rsid w:val="005075CA"/>
    <w:rsid w:val="00507B06"/>
    <w:rsid w:val="00507BF1"/>
    <w:rsid w:val="0051074C"/>
    <w:rsid w:val="00510DE9"/>
    <w:rsid w:val="005111E2"/>
    <w:rsid w:val="00511231"/>
    <w:rsid w:val="00511741"/>
    <w:rsid w:val="0051255B"/>
    <w:rsid w:val="00512C4F"/>
    <w:rsid w:val="00513042"/>
    <w:rsid w:val="0051334F"/>
    <w:rsid w:val="00513399"/>
    <w:rsid w:val="00513AF2"/>
    <w:rsid w:val="00514575"/>
    <w:rsid w:val="00514C03"/>
    <w:rsid w:val="00514D67"/>
    <w:rsid w:val="0051522A"/>
    <w:rsid w:val="00515515"/>
    <w:rsid w:val="005155E3"/>
    <w:rsid w:val="00515625"/>
    <w:rsid w:val="0051635C"/>
    <w:rsid w:val="00516C5B"/>
    <w:rsid w:val="00516DB7"/>
    <w:rsid w:val="005172DA"/>
    <w:rsid w:val="00517612"/>
    <w:rsid w:val="00517CFB"/>
    <w:rsid w:val="00517F85"/>
    <w:rsid w:val="0052002F"/>
    <w:rsid w:val="00520235"/>
    <w:rsid w:val="005203F6"/>
    <w:rsid w:val="00520899"/>
    <w:rsid w:val="00520922"/>
    <w:rsid w:val="005209FC"/>
    <w:rsid w:val="00520C09"/>
    <w:rsid w:val="00521A30"/>
    <w:rsid w:val="00521A91"/>
    <w:rsid w:val="00521D7C"/>
    <w:rsid w:val="00521EA7"/>
    <w:rsid w:val="005224E5"/>
    <w:rsid w:val="00522E0D"/>
    <w:rsid w:val="0052311A"/>
    <w:rsid w:val="0052370B"/>
    <w:rsid w:val="00523903"/>
    <w:rsid w:val="005239B6"/>
    <w:rsid w:val="00523C45"/>
    <w:rsid w:val="00523F41"/>
    <w:rsid w:val="00524165"/>
    <w:rsid w:val="005244FC"/>
    <w:rsid w:val="005246E7"/>
    <w:rsid w:val="00524B08"/>
    <w:rsid w:val="00524C38"/>
    <w:rsid w:val="00524FD2"/>
    <w:rsid w:val="00525621"/>
    <w:rsid w:val="00526181"/>
    <w:rsid w:val="00526431"/>
    <w:rsid w:val="00527532"/>
    <w:rsid w:val="00527DEB"/>
    <w:rsid w:val="00527E57"/>
    <w:rsid w:val="00527F2C"/>
    <w:rsid w:val="00530405"/>
    <w:rsid w:val="00530458"/>
    <w:rsid w:val="00530522"/>
    <w:rsid w:val="005305E5"/>
    <w:rsid w:val="0053086F"/>
    <w:rsid w:val="00530CBA"/>
    <w:rsid w:val="00530F38"/>
    <w:rsid w:val="00531F26"/>
    <w:rsid w:val="00532501"/>
    <w:rsid w:val="0053277C"/>
    <w:rsid w:val="005327C0"/>
    <w:rsid w:val="00532AB8"/>
    <w:rsid w:val="00533101"/>
    <w:rsid w:val="00533CA9"/>
    <w:rsid w:val="005346AD"/>
    <w:rsid w:val="00534EFB"/>
    <w:rsid w:val="00534F60"/>
    <w:rsid w:val="005357F1"/>
    <w:rsid w:val="005359BF"/>
    <w:rsid w:val="00535B2F"/>
    <w:rsid w:val="00535C73"/>
    <w:rsid w:val="00535D15"/>
    <w:rsid w:val="00535FC3"/>
    <w:rsid w:val="00536053"/>
    <w:rsid w:val="005363C6"/>
    <w:rsid w:val="005369E6"/>
    <w:rsid w:val="005371AC"/>
    <w:rsid w:val="00537672"/>
    <w:rsid w:val="005376B5"/>
    <w:rsid w:val="0053772F"/>
    <w:rsid w:val="00537A70"/>
    <w:rsid w:val="00537B64"/>
    <w:rsid w:val="00537B77"/>
    <w:rsid w:val="00540617"/>
    <w:rsid w:val="00540C4C"/>
    <w:rsid w:val="00540DC5"/>
    <w:rsid w:val="00541469"/>
    <w:rsid w:val="00541571"/>
    <w:rsid w:val="005419DA"/>
    <w:rsid w:val="00541B1F"/>
    <w:rsid w:val="0054275A"/>
    <w:rsid w:val="005428B8"/>
    <w:rsid w:val="005428BE"/>
    <w:rsid w:val="00542BD7"/>
    <w:rsid w:val="00542D08"/>
    <w:rsid w:val="00543084"/>
    <w:rsid w:val="00543584"/>
    <w:rsid w:val="00543A9E"/>
    <w:rsid w:val="0054413A"/>
    <w:rsid w:val="00544288"/>
    <w:rsid w:val="005446BB"/>
    <w:rsid w:val="00544DA5"/>
    <w:rsid w:val="00544F43"/>
    <w:rsid w:val="00545997"/>
    <w:rsid w:val="00545E30"/>
    <w:rsid w:val="00545EA3"/>
    <w:rsid w:val="00546C9B"/>
    <w:rsid w:val="00546F81"/>
    <w:rsid w:val="00547378"/>
    <w:rsid w:val="00547BF6"/>
    <w:rsid w:val="00547FB3"/>
    <w:rsid w:val="00551098"/>
    <w:rsid w:val="00551598"/>
    <w:rsid w:val="0055162B"/>
    <w:rsid w:val="00551A56"/>
    <w:rsid w:val="00551BFF"/>
    <w:rsid w:val="00551D68"/>
    <w:rsid w:val="00551DFF"/>
    <w:rsid w:val="005525C9"/>
    <w:rsid w:val="00552B3E"/>
    <w:rsid w:val="00553A23"/>
    <w:rsid w:val="00554578"/>
    <w:rsid w:val="00554D57"/>
    <w:rsid w:val="0055518C"/>
    <w:rsid w:val="005551AA"/>
    <w:rsid w:val="00555BCE"/>
    <w:rsid w:val="005564CA"/>
    <w:rsid w:val="005568BD"/>
    <w:rsid w:val="005568EA"/>
    <w:rsid w:val="00557140"/>
    <w:rsid w:val="0055715A"/>
    <w:rsid w:val="0055729E"/>
    <w:rsid w:val="00557436"/>
    <w:rsid w:val="00557984"/>
    <w:rsid w:val="00557A3F"/>
    <w:rsid w:val="00560BC1"/>
    <w:rsid w:val="00560C87"/>
    <w:rsid w:val="00560F51"/>
    <w:rsid w:val="00561249"/>
    <w:rsid w:val="0056182B"/>
    <w:rsid w:val="00561A88"/>
    <w:rsid w:val="00561AF3"/>
    <w:rsid w:val="00561E0B"/>
    <w:rsid w:val="00562141"/>
    <w:rsid w:val="00562D86"/>
    <w:rsid w:val="005640CA"/>
    <w:rsid w:val="00564704"/>
    <w:rsid w:val="00564712"/>
    <w:rsid w:val="005657A8"/>
    <w:rsid w:val="00565952"/>
    <w:rsid w:val="00566866"/>
    <w:rsid w:val="005670A5"/>
    <w:rsid w:val="00567285"/>
    <w:rsid w:val="00567723"/>
    <w:rsid w:val="0056772D"/>
    <w:rsid w:val="005678F5"/>
    <w:rsid w:val="00567AB8"/>
    <w:rsid w:val="00570A26"/>
    <w:rsid w:val="00570CFD"/>
    <w:rsid w:val="00570E4C"/>
    <w:rsid w:val="00571872"/>
    <w:rsid w:val="0057221F"/>
    <w:rsid w:val="00572421"/>
    <w:rsid w:val="00572539"/>
    <w:rsid w:val="00573355"/>
    <w:rsid w:val="0057337D"/>
    <w:rsid w:val="00573504"/>
    <w:rsid w:val="0057355F"/>
    <w:rsid w:val="00573BA3"/>
    <w:rsid w:val="00574708"/>
    <w:rsid w:val="00574D81"/>
    <w:rsid w:val="005756AA"/>
    <w:rsid w:val="00576814"/>
    <w:rsid w:val="0057696F"/>
    <w:rsid w:val="005774FE"/>
    <w:rsid w:val="0058040C"/>
    <w:rsid w:val="00580D6D"/>
    <w:rsid w:val="00580FD8"/>
    <w:rsid w:val="005813DE"/>
    <w:rsid w:val="00581796"/>
    <w:rsid w:val="0058195C"/>
    <w:rsid w:val="00581B45"/>
    <w:rsid w:val="00582480"/>
    <w:rsid w:val="00582805"/>
    <w:rsid w:val="0058290E"/>
    <w:rsid w:val="00582CAB"/>
    <w:rsid w:val="00582FA6"/>
    <w:rsid w:val="005836D5"/>
    <w:rsid w:val="0058375E"/>
    <w:rsid w:val="005838D5"/>
    <w:rsid w:val="00584233"/>
    <w:rsid w:val="0058425C"/>
    <w:rsid w:val="005842D0"/>
    <w:rsid w:val="005845FB"/>
    <w:rsid w:val="005855AE"/>
    <w:rsid w:val="00585829"/>
    <w:rsid w:val="00585CA8"/>
    <w:rsid w:val="00586412"/>
    <w:rsid w:val="005864B9"/>
    <w:rsid w:val="00586564"/>
    <w:rsid w:val="005866C4"/>
    <w:rsid w:val="005872A0"/>
    <w:rsid w:val="00590F1A"/>
    <w:rsid w:val="00591C03"/>
    <w:rsid w:val="00591E2A"/>
    <w:rsid w:val="00592240"/>
    <w:rsid w:val="005923C4"/>
    <w:rsid w:val="0059397D"/>
    <w:rsid w:val="00593EA2"/>
    <w:rsid w:val="00593F75"/>
    <w:rsid w:val="005940A0"/>
    <w:rsid w:val="0059429A"/>
    <w:rsid w:val="00594CBE"/>
    <w:rsid w:val="00596AF7"/>
    <w:rsid w:val="00596CCE"/>
    <w:rsid w:val="005A0AE0"/>
    <w:rsid w:val="005A1976"/>
    <w:rsid w:val="005A200E"/>
    <w:rsid w:val="005A2120"/>
    <w:rsid w:val="005A2501"/>
    <w:rsid w:val="005A2C80"/>
    <w:rsid w:val="005A3066"/>
    <w:rsid w:val="005A33BF"/>
    <w:rsid w:val="005A3B35"/>
    <w:rsid w:val="005A3C4B"/>
    <w:rsid w:val="005A3E5A"/>
    <w:rsid w:val="005A43F3"/>
    <w:rsid w:val="005A496F"/>
    <w:rsid w:val="005A4A56"/>
    <w:rsid w:val="005A4F3C"/>
    <w:rsid w:val="005A5259"/>
    <w:rsid w:val="005A5608"/>
    <w:rsid w:val="005A5A3D"/>
    <w:rsid w:val="005A6035"/>
    <w:rsid w:val="005A6B75"/>
    <w:rsid w:val="005A6E00"/>
    <w:rsid w:val="005A718A"/>
    <w:rsid w:val="005A72DD"/>
    <w:rsid w:val="005A7885"/>
    <w:rsid w:val="005B0293"/>
    <w:rsid w:val="005B12B2"/>
    <w:rsid w:val="005B143B"/>
    <w:rsid w:val="005B19BD"/>
    <w:rsid w:val="005B1E45"/>
    <w:rsid w:val="005B21C4"/>
    <w:rsid w:val="005B2A28"/>
    <w:rsid w:val="005B35AB"/>
    <w:rsid w:val="005B3621"/>
    <w:rsid w:val="005B3EBE"/>
    <w:rsid w:val="005B43D0"/>
    <w:rsid w:val="005B4948"/>
    <w:rsid w:val="005B501D"/>
    <w:rsid w:val="005B54CC"/>
    <w:rsid w:val="005B6F69"/>
    <w:rsid w:val="005B71BB"/>
    <w:rsid w:val="005B74AD"/>
    <w:rsid w:val="005B7E96"/>
    <w:rsid w:val="005C0429"/>
    <w:rsid w:val="005C06A5"/>
    <w:rsid w:val="005C084F"/>
    <w:rsid w:val="005C0EE9"/>
    <w:rsid w:val="005C169F"/>
    <w:rsid w:val="005C16A8"/>
    <w:rsid w:val="005C1716"/>
    <w:rsid w:val="005C1954"/>
    <w:rsid w:val="005C1C0B"/>
    <w:rsid w:val="005C1D8B"/>
    <w:rsid w:val="005C2011"/>
    <w:rsid w:val="005C3EA3"/>
    <w:rsid w:val="005C44DE"/>
    <w:rsid w:val="005C5011"/>
    <w:rsid w:val="005C5241"/>
    <w:rsid w:val="005C529E"/>
    <w:rsid w:val="005C57BA"/>
    <w:rsid w:val="005C5C52"/>
    <w:rsid w:val="005C5D3D"/>
    <w:rsid w:val="005C5DB6"/>
    <w:rsid w:val="005C5F05"/>
    <w:rsid w:val="005C6186"/>
    <w:rsid w:val="005C6CF7"/>
    <w:rsid w:val="005C6D19"/>
    <w:rsid w:val="005C7E45"/>
    <w:rsid w:val="005C7F3E"/>
    <w:rsid w:val="005D06D3"/>
    <w:rsid w:val="005D0C3B"/>
    <w:rsid w:val="005D103E"/>
    <w:rsid w:val="005D1051"/>
    <w:rsid w:val="005D1511"/>
    <w:rsid w:val="005D1606"/>
    <w:rsid w:val="005D1D10"/>
    <w:rsid w:val="005D2044"/>
    <w:rsid w:val="005D209E"/>
    <w:rsid w:val="005D2917"/>
    <w:rsid w:val="005D2EB2"/>
    <w:rsid w:val="005D2F48"/>
    <w:rsid w:val="005D3902"/>
    <w:rsid w:val="005D3B32"/>
    <w:rsid w:val="005D464B"/>
    <w:rsid w:val="005D466F"/>
    <w:rsid w:val="005D49F0"/>
    <w:rsid w:val="005D51F7"/>
    <w:rsid w:val="005D51FA"/>
    <w:rsid w:val="005D53E8"/>
    <w:rsid w:val="005D5A9D"/>
    <w:rsid w:val="005D5D15"/>
    <w:rsid w:val="005D6573"/>
    <w:rsid w:val="005D6651"/>
    <w:rsid w:val="005D691D"/>
    <w:rsid w:val="005D6A72"/>
    <w:rsid w:val="005D6F38"/>
    <w:rsid w:val="005D791B"/>
    <w:rsid w:val="005D7CF2"/>
    <w:rsid w:val="005D7F92"/>
    <w:rsid w:val="005E062C"/>
    <w:rsid w:val="005E0D7B"/>
    <w:rsid w:val="005E1595"/>
    <w:rsid w:val="005E1F1D"/>
    <w:rsid w:val="005E273D"/>
    <w:rsid w:val="005E3278"/>
    <w:rsid w:val="005E363B"/>
    <w:rsid w:val="005E3736"/>
    <w:rsid w:val="005E3D4B"/>
    <w:rsid w:val="005E4B72"/>
    <w:rsid w:val="005E5022"/>
    <w:rsid w:val="005E52C9"/>
    <w:rsid w:val="005E781C"/>
    <w:rsid w:val="005F2856"/>
    <w:rsid w:val="005F2D8B"/>
    <w:rsid w:val="005F305B"/>
    <w:rsid w:val="005F3361"/>
    <w:rsid w:val="005F361A"/>
    <w:rsid w:val="005F3B47"/>
    <w:rsid w:val="005F4481"/>
    <w:rsid w:val="005F4596"/>
    <w:rsid w:val="005F47AC"/>
    <w:rsid w:val="005F49AF"/>
    <w:rsid w:val="005F4A58"/>
    <w:rsid w:val="005F54D1"/>
    <w:rsid w:val="005F54DF"/>
    <w:rsid w:val="005F5888"/>
    <w:rsid w:val="005F5984"/>
    <w:rsid w:val="005F5A9D"/>
    <w:rsid w:val="005F5EAB"/>
    <w:rsid w:val="005F6CE2"/>
    <w:rsid w:val="005F6EC8"/>
    <w:rsid w:val="005F6F24"/>
    <w:rsid w:val="005F72E9"/>
    <w:rsid w:val="005F780B"/>
    <w:rsid w:val="0060009C"/>
    <w:rsid w:val="00600473"/>
    <w:rsid w:val="0060139A"/>
    <w:rsid w:val="006013C9"/>
    <w:rsid w:val="00602931"/>
    <w:rsid w:val="00602B45"/>
    <w:rsid w:val="00603499"/>
    <w:rsid w:val="006035F5"/>
    <w:rsid w:val="00603CC2"/>
    <w:rsid w:val="006047D1"/>
    <w:rsid w:val="006048A4"/>
    <w:rsid w:val="00604A55"/>
    <w:rsid w:val="00604D4E"/>
    <w:rsid w:val="00604E3E"/>
    <w:rsid w:val="00605AC3"/>
    <w:rsid w:val="00606908"/>
    <w:rsid w:val="00607460"/>
    <w:rsid w:val="0060776B"/>
    <w:rsid w:val="00607996"/>
    <w:rsid w:val="00607A37"/>
    <w:rsid w:val="00607E9F"/>
    <w:rsid w:val="006102D8"/>
    <w:rsid w:val="00610407"/>
    <w:rsid w:val="0061085E"/>
    <w:rsid w:val="006112A7"/>
    <w:rsid w:val="00611398"/>
    <w:rsid w:val="006113B4"/>
    <w:rsid w:val="006115F7"/>
    <w:rsid w:val="0061163C"/>
    <w:rsid w:val="0061186D"/>
    <w:rsid w:val="00612322"/>
    <w:rsid w:val="006123C0"/>
    <w:rsid w:val="006129AB"/>
    <w:rsid w:val="00613191"/>
    <w:rsid w:val="006133F9"/>
    <w:rsid w:val="006134B3"/>
    <w:rsid w:val="00613746"/>
    <w:rsid w:val="00613DE1"/>
    <w:rsid w:val="0061401F"/>
    <w:rsid w:val="00614166"/>
    <w:rsid w:val="00614817"/>
    <w:rsid w:val="006149CC"/>
    <w:rsid w:val="00614E21"/>
    <w:rsid w:val="006157A9"/>
    <w:rsid w:val="0061591D"/>
    <w:rsid w:val="00615ED0"/>
    <w:rsid w:val="0061604C"/>
    <w:rsid w:val="00616C2B"/>
    <w:rsid w:val="00616D7F"/>
    <w:rsid w:val="006178D1"/>
    <w:rsid w:val="00617D72"/>
    <w:rsid w:val="00620719"/>
    <w:rsid w:val="006212C9"/>
    <w:rsid w:val="0062131B"/>
    <w:rsid w:val="00621D0C"/>
    <w:rsid w:val="00622185"/>
    <w:rsid w:val="00622229"/>
    <w:rsid w:val="00622470"/>
    <w:rsid w:val="00622725"/>
    <w:rsid w:val="00622785"/>
    <w:rsid w:val="00622B63"/>
    <w:rsid w:val="006231AA"/>
    <w:rsid w:val="00623482"/>
    <w:rsid w:val="00623AC2"/>
    <w:rsid w:val="00623EBC"/>
    <w:rsid w:val="0062475D"/>
    <w:rsid w:val="00625642"/>
    <w:rsid w:val="00625DF2"/>
    <w:rsid w:val="006266D7"/>
    <w:rsid w:val="00626D42"/>
    <w:rsid w:val="00626EE3"/>
    <w:rsid w:val="006274AD"/>
    <w:rsid w:val="00627519"/>
    <w:rsid w:val="00627532"/>
    <w:rsid w:val="006302AA"/>
    <w:rsid w:val="006310C3"/>
    <w:rsid w:val="0063161E"/>
    <w:rsid w:val="00631BB5"/>
    <w:rsid w:val="00631DD0"/>
    <w:rsid w:val="00633D6C"/>
    <w:rsid w:val="00633DBF"/>
    <w:rsid w:val="00634122"/>
    <w:rsid w:val="0063444B"/>
    <w:rsid w:val="00634BEF"/>
    <w:rsid w:val="00635E32"/>
    <w:rsid w:val="006360FC"/>
    <w:rsid w:val="006361C9"/>
    <w:rsid w:val="00636405"/>
    <w:rsid w:val="006365DE"/>
    <w:rsid w:val="00636BE4"/>
    <w:rsid w:val="00636F88"/>
    <w:rsid w:val="0063732C"/>
    <w:rsid w:val="00637802"/>
    <w:rsid w:val="00637836"/>
    <w:rsid w:val="00637A68"/>
    <w:rsid w:val="00637C26"/>
    <w:rsid w:val="00637F44"/>
    <w:rsid w:val="00641078"/>
    <w:rsid w:val="00641242"/>
    <w:rsid w:val="00641761"/>
    <w:rsid w:val="00642126"/>
    <w:rsid w:val="00642A32"/>
    <w:rsid w:val="00642B8E"/>
    <w:rsid w:val="00642F7C"/>
    <w:rsid w:val="006433D5"/>
    <w:rsid w:val="00643412"/>
    <w:rsid w:val="00645844"/>
    <w:rsid w:val="00645CEB"/>
    <w:rsid w:val="00645E63"/>
    <w:rsid w:val="00646B20"/>
    <w:rsid w:val="00646D0F"/>
    <w:rsid w:val="00647A36"/>
    <w:rsid w:val="00647DCC"/>
    <w:rsid w:val="00647E8E"/>
    <w:rsid w:val="00647EFA"/>
    <w:rsid w:val="00647F14"/>
    <w:rsid w:val="00650027"/>
    <w:rsid w:val="0065040E"/>
    <w:rsid w:val="00650E89"/>
    <w:rsid w:val="006516E6"/>
    <w:rsid w:val="00651B9C"/>
    <w:rsid w:val="00651C47"/>
    <w:rsid w:val="006525BD"/>
    <w:rsid w:val="00652E70"/>
    <w:rsid w:val="00652F4D"/>
    <w:rsid w:val="0065339A"/>
    <w:rsid w:val="00653469"/>
    <w:rsid w:val="0065443A"/>
    <w:rsid w:val="00654A38"/>
    <w:rsid w:val="00654DCE"/>
    <w:rsid w:val="00655301"/>
    <w:rsid w:val="00655371"/>
    <w:rsid w:val="00655507"/>
    <w:rsid w:val="006564A5"/>
    <w:rsid w:val="00656C4B"/>
    <w:rsid w:val="00656FA2"/>
    <w:rsid w:val="006572A7"/>
    <w:rsid w:val="006572DA"/>
    <w:rsid w:val="006573EA"/>
    <w:rsid w:val="006577C9"/>
    <w:rsid w:val="006606A4"/>
    <w:rsid w:val="00661029"/>
    <w:rsid w:val="006610C3"/>
    <w:rsid w:val="0066135A"/>
    <w:rsid w:val="00661A38"/>
    <w:rsid w:val="0066272D"/>
    <w:rsid w:val="00662E58"/>
    <w:rsid w:val="00662F39"/>
    <w:rsid w:val="0066352A"/>
    <w:rsid w:val="006635A0"/>
    <w:rsid w:val="00663D26"/>
    <w:rsid w:val="00664351"/>
    <w:rsid w:val="00665968"/>
    <w:rsid w:val="00665BF7"/>
    <w:rsid w:val="00665E65"/>
    <w:rsid w:val="006660F0"/>
    <w:rsid w:val="00666178"/>
    <w:rsid w:val="0066639E"/>
    <w:rsid w:val="00666473"/>
    <w:rsid w:val="006665B0"/>
    <w:rsid w:val="00666B49"/>
    <w:rsid w:val="00666C72"/>
    <w:rsid w:val="00666E6C"/>
    <w:rsid w:val="0066707F"/>
    <w:rsid w:val="00667ED8"/>
    <w:rsid w:val="0067064C"/>
    <w:rsid w:val="00670B20"/>
    <w:rsid w:val="00670E12"/>
    <w:rsid w:val="00670F27"/>
    <w:rsid w:val="00672E80"/>
    <w:rsid w:val="0067333F"/>
    <w:rsid w:val="006739E4"/>
    <w:rsid w:val="00673ECF"/>
    <w:rsid w:val="0067426B"/>
    <w:rsid w:val="00674A1B"/>
    <w:rsid w:val="00674D08"/>
    <w:rsid w:val="00674F1C"/>
    <w:rsid w:val="006754F8"/>
    <w:rsid w:val="00676127"/>
    <w:rsid w:val="00676AED"/>
    <w:rsid w:val="00677212"/>
    <w:rsid w:val="006776D3"/>
    <w:rsid w:val="00677F26"/>
    <w:rsid w:val="006800EE"/>
    <w:rsid w:val="006802A7"/>
    <w:rsid w:val="00680A86"/>
    <w:rsid w:val="00680FEA"/>
    <w:rsid w:val="006811C9"/>
    <w:rsid w:val="006812CE"/>
    <w:rsid w:val="006817D5"/>
    <w:rsid w:val="006826C1"/>
    <w:rsid w:val="00682C89"/>
    <w:rsid w:val="006832B8"/>
    <w:rsid w:val="00683329"/>
    <w:rsid w:val="006837B2"/>
    <w:rsid w:val="00683800"/>
    <w:rsid w:val="00684462"/>
    <w:rsid w:val="00684C0D"/>
    <w:rsid w:val="00684C8A"/>
    <w:rsid w:val="00684CF5"/>
    <w:rsid w:val="00685479"/>
    <w:rsid w:val="0068553E"/>
    <w:rsid w:val="00685D37"/>
    <w:rsid w:val="00685E7B"/>
    <w:rsid w:val="00686551"/>
    <w:rsid w:val="00686CAB"/>
    <w:rsid w:val="00686E5A"/>
    <w:rsid w:val="0068717F"/>
    <w:rsid w:val="0068730C"/>
    <w:rsid w:val="00687504"/>
    <w:rsid w:val="00687A14"/>
    <w:rsid w:val="00687A8C"/>
    <w:rsid w:val="00690839"/>
    <w:rsid w:val="006908DB"/>
    <w:rsid w:val="00690DE9"/>
    <w:rsid w:val="00691563"/>
    <w:rsid w:val="00691A1A"/>
    <w:rsid w:val="00691DE9"/>
    <w:rsid w:val="00691EAA"/>
    <w:rsid w:val="00692245"/>
    <w:rsid w:val="00692745"/>
    <w:rsid w:val="00692FFA"/>
    <w:rsid w:val="00693772"/>
    <w:rsid w:val="00693984"/>
    <w:rsid w:val="00693B77"/>
    <w:rsid w:val="00694160"/>
    <w:rsid w:val="00694E8B"/>
    <w:rsid w:val="006959A5"/>
    <w:rsid w:val="00695C0C"/>
    <w:rsid w:val="00696736"/>
    <w:rsid w:val="00696A05"/>
    <w:rsid w:val="00697010"/>
    <w:rsid w:val="00697665"/>
    <w:rsid w:val="00697C9A"/>
    <w:rsid w:val="00697E68"/>
    <w:rsid w:val="00697FC1"/>
    <w:rsid w:val="006A0274"/>
    <w:rsid w:val="006A27BC"/>
    <w:rsid w:val="006A2A43"/>
    <w:rsid w:val="006A2BF1"/>
    <w:rsid w:val="006A2F9A"/>
    <w:rsid w:val="006A34E4"/>
    <w:rsid w:val="006A35AC"/>
    <w:rsid w:val="006A3A5A"/>
    <w:rsid w:val="006A44CF"/>
    <w:rsid w:val="006A457D"/>
    <w:rsid w:val="006A4B5A"/>
    <w:rsid w:val="006A4C06"/>
    <w:rsid w:val="006A55EE"/>
    <w:rsid w:val="006A575B"/>
    <w:rsid w:val="006A59DE"/>
    <w:rsid w:val="006A64C6"/>
    <w:rsid w:val="006A6655"/>
    <w:rsid w:val="006A6BF9"/>
    <w:rsid w:val="006A7AB8"/>
    <w:rsid w:val="006A7B11"/>
    <w:rsid w:val="006A7CB5"/>
    <w:rsid w:val="006A7FD0"/>
    <w:rsid w:val="006B025C"/>
    <w:rsid w:val="006B04DB"/>
    <w:rsid w:val="006B08ED"/>
    <w:rsid w:val="006B2170"/>
    <w:rsid w:val="006B2534"/>
    <w:rsid w:val="006B2CB2"/>
    <w:rsid w:val="006B347D"/>
    <w:rsid w:val="006B3E19"/>
    <w:rsid w:val="006B4488"/>
    <w:rsid w:val="006B4736"/>
    <w:rsid w:val="006B4D5D"/>
    <w:rsid w:val="006B50C4"/>
    <w:rsid w:val="006B53AE"/>
    <w:rsid w:val="006B58B4"/>
    <w:rsid w:val="006B5D71"/>
    <w:rsid w:val="006B67AC"/>
    <w:rsid w:val="006B6F2B"/>
    <w:rsid w:val="006B786A"/>
    <w:rsid w:val="006B7E4E"/>
    <w:rsid w:val="006C003A"/>
    <w:rsid w:val="006C0273"/>
    <w:rsid w:val="006C107C"/>
    <w:rsid w:val="006C189C"/>
    <w:rsid w:val="006C2454"/>
    <w:rsid w:val="006C2551"/>
    <w:rsid w:val="006C27B9"/>
    <w:rsid w:val="006C37CA"/>
    <w:rsid w:val="006C39AE"/>
    <w:rsid w:val="006C40D2"/>
    <w:rsid w:val="006C441D"/>
    <w:rsid w:val="006C4B85"/>
    <w:rsid w:val="006C4BBD"/>
    <w:rsid w:val="006C551E"/>
    <w:rsid w:val="006C5B15"/>
    <w:rsid w:val="006C5D32"/>
    <w:rsid w:val="006C5DCB"/>
    <w:rsid w:val="006C6475"/>
    <w:rsid w:val="006C70C4"/>
    <w:rsid w:val="006C741F"/>
    <w:rsid w:val="006D04DA"/>
    <w:rsid w:val="006D10F6"/>
    <w:rsid w:val="006D1544"/>
    <w:rsid w:val="006D1688"/>
    <w:rsid w:val="006D1BE1"/>
    <w:rsid w:val="006D1DD3"/>
    <w:rsid w:val="006D1FF3"/>
    <w:rsid w:val="006D2C65"/>
    <w:rsid w:val="006D3097"/>
    <w:rsid w:val="006D32C6"/>
    <w:rsid w:val="006D360E"/>
    <w:rsid w:val="006D3697"/>
    <w:rsid w:val="006D39D2"/>
    <w:rsid w:val="006D3A94"/>
    <w:rsid w:val="006D3F2A"/>
    <w:rsid w:val="006D4370"/>
    <w:rsid w:val="006D46A3"/>
    <w:rsid w:val="006D4A81"/>
    <w:rsid w:val="006D5DCB"/>
    <w:rsid w:val="006D62E0"/>
    <w:rsid w:val="006D6575"/>
    <w:rsid w:val="006D658F"/>
    <w:rsid w:val="006D66B2"/>
    <w:rsid w:val="006D6A12"/>
    <w:rsid w:val="006D712D"/>
    <w:rsid w:val="006D7687"/>
    <w:rsid w:val="006D7D1F"/>
    <w:rsid w:val="006D7D8A"/>
    <w:rsid w:val="006E046C"/>
    <w:rsid w:val="006E0572"/>
    <w:rsid w:val="006E05D8"/>
    <w:rsid w:val="006E08EE"/>
    <w:rsid w:val="006E0F32"/>
    <w:rsid w:val="006E155A"/>
    <w:rsid w:val="006E2C34"/>
    <w:rsid w:val="006E359B"/>
    <w:rsid w:val="006E39D1"/>
    <w:rsid w:val="006E3B05"/>
    <w:rsid w:val="006E437F"/>
    <w:rsid w:val="006E4D5B"/>
    <w:rsid w:val="006E602F"/>
    <w:rsid w:val="006E6720"/>
    <w:rsid w:val="006E7275"/>
    <w:rsid w:val="006E77B8"/>
    <w:rsid w:val="006E7AAF"/>
    <w:rsid w:val="006F0838"/>
    <w:rsid w:val="006F0F74"/>
    <w:rsid w:val="006F13BA"/>
    <w:rsid w:val="006F15CC"/>
    <w:rsid w:val="006F15F6"/>
    <w:rsid w:val="006F1716"/>
    <w:rsid w:val="006F36EA"/>
    <w:rsid w:val="006F4147"/>
    <w:rsid w:val="006F4315"/>
    <w:rsid w:val="006F4CB0"/>
    <w:rsid w:val="006F4F78"/>
    <w:rsid w:val="006F547E"/>
    <w:rsid w:val="006F5CCF"/>
    <w:rsid w:val="006F6F04"/>
    <w:rsid w:val="006F71F5"/>
    <w:rsid w:val="006F72A8"/>
    <w:rsid w:val="006F79BB"/>
    <w:rsid w:val="007000A6"/>
    <w:rsid w:val="00700610"/>
    <w:rsid w:val="00700AD7"/>
    <w:rsid w:val="0070138A"/>
    <w:rsid w:val="0070157E"/>
    <w:rsid w:val="007030D4"/>
    <w:rsid w:val="00703279"/>
    <w:rsid w:val="00703B61"/>
    <w:rsid w:val="00703E11"/>
    <w:rsid w:val="00704102"/>
    <w:rsid w:val="0070437C"/>
    <w:rsid w:val="0070461C"/>
    <w:rsid w:val="00704F37"/>
    <w:rsid w:val="00705631"/>
    <w:rsid w:val="00705818"/>
    <w:rsid w:val="00705F62"/>
    <w:rsid w:val="00706321"/>
    <w:rsid w:val="00706813"/>
    <w:rsid w:val="0070773F"/>
    <w:rsid w:val="00707A2E"/>
    <w:rsid w:val="00707ED3"/>
    <w:rsid w:val="007101B7"/>
    <w:rsid w:val="00710668"/>
    <w:rsid w:val="00711019"/>
    <w:rsid w:val="007110F4"/>
    <w:rsid w:val="007112B1"/>
    <w:rsid w:val="0071130F"/>
    <w:rsid w:val="007118D2"/>
    <w:rsid w:val="00712714"/>
    <w:rsid w:val="007129AB"/>
    <w:rsid w:val="00712B63"/>
    <w:rsid w:val="00712E5F"/>
    <w:rsid w:val="00713526"/>
    <w:rsid w:val="00713FC5"/>
    <w:rsid w:val="00714DCA"/>
    <w:rsid w:val="007150F3"/>
    <w:rsid w:val="00715BBF"/>
    <w:rsid w:val="00715C29"/>
    <w:rsid w:val="00715CBD"/>
    <w:rsid w:val="00715EAA"/>
    <w:rsid w:val="00715EF5"/>
    <w:rsid w:val="00716119"/>
    <w:rsid w:val="00716630"/>
    <w:rsid w:val="00716BB0"/>
    <w:rsid w:val="00716CAD"/>
    <w:rsid w:val="00716CD3"/>
    <w:rsid w:val="00716F18"/>
    <w:rsid w:val="00717363"/>
    <w:rsid w:val="0071765C"/>
    <w:rsid w:val="00717786"/>
    <w:rsid w:val="00717ACB"/>
    <w:rsid w:val="0072138B"/>
    <w:rsid w:val="00721BFF"/>
    <w:rsid w:val="007227B6"/>
    <w:rsid w:val="007232EE"/>
    <w:rsid w:val="00723475"/>
    <w:rsid w:val="0072359F"/>
    <w:rsid w:val="007236C4"/>
    <w:rsid w:val="00724635"/>
    <w:rsid w:val="00724F21"/>
    <w:rsid w:val="00725134"/>
    <w:rsid w:val="0072554B"/>
    <w:rsid w:val="0072571F"/>
    <w:rsid w:val="00725AFD"/>
    <w:rsid w:val="00726603"/>
    <w:rsid w:val="007266AC"/>
    <w:rsid w:val="00727799"/>
    <w:rsid w:val="00727B1D"/>
    <w:rsid w:val="00727DDC"/>
    <w:rsid w:val="00730CD6"/>
    <w:rsid w:val="00730F74"/>
    <w:rsid w:val="0073114B"/>
    <w:rsid w:val="00731CAA"/>
    <w:rsid w:val="00732151"/>
    <w:rsid w:val="00732EBC"/>
    <w:rsid w:val="00734952"/>
    <w:rsid w:val="00734987"/>
    <w:rsid w:val="00734990"/>
    <w:rsid w:val="00734FF5"/>
    <w:rsid w:val="00735B78"/>
    <w:rsid w:val="00735DA7"/>
    <w:rsid w:val="00736700"/>
    <w:rsid w:val="007368B4"/>
    <w:rsid w:val="007378E0"/>
    <w:rsid w:val="00737A4D"/>
    <w:rsid w:val="0074040E"/>
    <w:rsid w:val="00740529"/>
    <w:rsid w:val="00740876"/>
    <w:rsid w:val="00741358"/>
    <w:rsid w:val="007414B3"/>
    <w:rsid w:val="00741626"/>
    <w:rsid w:val="00742332"/>
    <w:rsid w:val="00742886"/>
    <w:rsid w:val="00742A3A"/>
    <w:rsid w:val="00742BED"/>
    <w:rsid w:val="00742DD2"/>
    <w:rsid w:val="007437C6"/>
    <w:rsid w:val="007441A2"/>
    <w:rsid w:val="00744E80"/>
    <w:rsid w:val="00745035"/>
    <w:rsid w:val="0074531C"/>
    <w:rsid w:val="00745547"/>
    <w:rsid w:val="007459D0"/>
    <w:rsid w:val="0074623A"/>
    <w:rsid w:val="00746420"/>
    <w:rsid w:val="00746499"/>
    <w:rsid w:val="007465DD"/>
    <w:rsid w:val="00746618"/>
    <w:rsid w:val="00746A60"/>
    <w:rsid w:val="00746E04"/>
    <w:rsid w:val="00746E08"/>
    <w:rsid w:val="00746E3D"/>
    <w:rsid w:val="007473B9"/>
    <w:rsid w:val="00747C96"/>
    <w:rsid w:val="00750075"/>
    <w:rsid w:val="007502EC"/>
    <w:rsid w:val="00750382"/>
    <w:rsid w:val="0075094E"/>
    <w:rsid w:val="00750FA8"/>
    <w:rsid w:val="00750FB5"/>
    <w:rsid w:val="007520F0"/>
    <w:rsid w:val="007522E8"/>
    <w:rsid w:val="007529DB"/>
    <w:rsid w:val="007534AD"/>
    <w:rsid w:val="00753BAC"/>
    <w:rsid w:val="00754A0B"/>
    <w:rsid w:val="00755229"/>
    <w:rsid w:val="007552DB"/>
    <w:rsid w:val="0075543A"/>
    <w:rsid w:val="0075549F"/>
    <w:rsid w:val="00755B08"/>
    <w:rsid w:val="00755DD0"/>
    <w:rsid w:val="0075647A"/>
    <w:rsid w:val="00756A2F"/>
    <w:rsid w:val="007573E1"/>
    <w:rsid w:val="0075749E"/>
    <w:rsid w:val="00757722"/>
    <w:rsid w:val="00757B2D"/>
    <w:rsid w:val="00757BAD"/>
    <w:rsid w:val="00757D62"/>
    <w:rsid w:val="00760021"/>
    <w:rsid w:val="00760561"/>
    <w:rsid w:val="00760867"/>
    <w:rsid w:val="00760EB6"/>
    <w:rsid w:val="007616DB"/>
    <w:rsid w:val="00761AB7"/>
    <w:rsid w:val="00761CE6"/>
    <w:rsid w:val="0076228A"/>
    <w:rsid w:val="00762440"/>
    <w:rsid w:val="00762499"/>
    <w:rsid w:val="0076275B"/>
    <w:rsid w:val="007629B7"/>
    <w:rsid w:val="00762E60"/>
    <w:rsid w:val="00762F54"/>
    <w:rsid w:val="007634AD"/>
    <w:rsid w:val="00763D5A"/>
    <w:rsid w:val="0076445F"/>
    <w:rsid w:val="00764EC5"/>
    <w:rsid w:val="007651EF"/>
    <w:rsid w:val="00766D49"/>
    <w:rsid w:val="00766ECC"/>
    <w:rsid w:val="007672F3"/>
    <w:rsid w:val="007673F2"/>
    <w:rsid w:val="007677B5"/>
    <w:rsid w:val="007678B1"/>
    <w:rsid w:val="007708A8"/>
    <w:rsid w:val="00772100"/>
    <w:rsid w:val="00772275"/>
    <w:rsid w:val="00772C9A"/>
    <w:rsid w:val="007734E4"/>
    <w:rsid w:val="0077380D"/>
    <w:rsid w:val="00773BC8"/>
    <w:rsid w:val="007742CB"/>
    <w:rsid w:val="00774549"/>
    <w:rsid w:val="0077466F"/>
    <w:rsid w:val="007752B7"/>
    <w:rsid w:val="007759A8"/>
    <w:rsid w:val="00775C27"/>
    <w:rsid w:val="00775D98"/>
    <w:rsid w:val="00776624"/>
    <w:rsid w:val="00776B93"/>
    <w:rsid w:val="00776FE5"/>
    <w:rsid w:val="00777101"/>
    <w:rsid w:val="007774E7"/>
    <w:rsid w:val="0077768C"/>
    <w:rsid w:val="00777696"/>
    <w:rsid w:val="00777EDF"/>
    <w:rsid w:val="00777FF4"/>
    <w:rsid w:val="00780251"/>
    <w:rsid w:val="007804FE"/>
    <w:rsid w:val="00780D19"/>
    <w:rsid w:val="00780F32"/>
    <w:rsid w:val="00781049"/>
    <w:rsid w:val="0078122E"/>
    <w:rsid w:val="00781939"/>
    <w:rsid w:val="00781D29"/>
    <w:rsid w:val="007825EF"/>
    <w:rsid w:val="0078286B"/>
    <w:rsid w:val="00782D2C"/>
    <w:rsid w:val="00782FC2"/>
    <w:rsid w:val="0078347A"/>
    <w:rsid w:val="0078410A"/>
    <w:rsid w:val="00784938"/>
    <w:rsid w:val="00784FC4"/>
    <w:rsid w:val="00785815"/>
    <w:rsid w:val="00785BBB"/>
    <w:rsid w:val="00786937"/>
    <w:rsid w:val="00786FAD"/>
    <w:rsid w:val="00787B1B"/>
    <w:rsid w:val="00787CCC"/>
    <w:rsid w:val="00787D90"/>
    <w:rsid w:val="00787F5E"/>
    <w:rsid w:val="00790164"/>
    <w:rsid w:val="007905C6"/>
    <w:rsid w:val="00790A24"/>
    <w:rsid w:val="00790A37"/>
    <w:rsid w:val="00790A60"/>
    <w:rsid w:val="0079146D"/>
    <w:rsid w:val="00791C32"/>
    <w:rsid w:val="00791FF0"/>
    <w:rsid w:val="007923D0"/>
    <w:rsid w:val="00792765"/>
    <w:rsid w:val="007930D3"/>
    <w:rsid w:val="0079381F"/>
    <w:rsid w:val="00793A57"/>
    <w:rsid w:val="00793B2E"/>
    <w:rsid w:val="007948F5"/>
    <w:rsid w:val="00795647"/>
    <w:rsid w:val="007963F6"/>
    <w:rsid w:val="00796DC8"/>
    <w:rsid w:val="00796E80"/>
    <w:rsid w:val="0079744F"/>
    <w:rsid w:val="0079776F"/>
    <w:rsid w:val="007979AD"/>
    <w:rsid w:val="00797A9C"/>
    <w:rsid w:val="007A0502"/>
    <w:rsid w:val="007A0EAB"/>
    <w:rsid w:val="007A2341"/>
    <w:rsid w:val="007A2754"/>
    <w:rsid w:val="007A293F"/>
    <w:rsid w:val="007A38A1"/>
    <w:rsid w:val="007A3BBE"/>
    <w:rsid w:val="007A4766"/>
    <w:rsid w:val="007A5947"/>
    <w:rsid w:val="007A603C"/>
    <w:rsid w:val="007A717B"/>
    <w:rsid w:val="007A7714"/>
    <w:rsid w:val="007B0302"/>
    <w:rsid w:val="007B0313"/>
    <w:rsid w:val="007B0854"/>
    <w:rsid w:val="007B0E48"/>
    <w:rsid w:val="007B19DE"/>
    <w:rsid w:val="007B1D1B"/>
    <w:rsid w:val="007B1F16"/>
    <w:rsid w:val="007B209C"/>
    <w:rsid w:val="007B21AA"/>
    <w:rsid w:val="007B2504"/>
    <w:rsid w:val="007B2549"/>
    <w:rsid w:val="007B303E"/>
    <w:rsid w:val="007B32C0"/>
    <w:rsid w:val="007B32F7"/>
    <w:rsid w:val="007B3659"/>
    <w:rsid w:val="007B38B5"/>
    <w:rsid w:val="007B3B3B"/>
    <w:rsid w:val="007B3BF3"/>
    <w:rsid w:val="007B431B"/>
    <w:rsid w:val="007B4558"/>
    <w:rsid w:val="007B4632"/>
    <w:rsid w:val="007B46A2"/>
    <w:rsid w:val="007B4828"/>
    <w:rsid w:val="007B4B2D"/>
    <w:rsid w:val="007B4D4A"/>
    <w:rsid w:val="007B5428"/>
    <w:rsid w:val="007B59B7"/>
    <w:rsid w:val="007B6C64"/>
    <w:rsid w:val="007B6EC8"/>
    <w:rsid w:val="007B6F81"/>
    <w:rsid w:val="007B7EA2"/>
    <w:rsid w:val="007C097D"/>
    <w:rsid w:val="007C0AF2"/>
    <w:rsid w:val="007C1672"/>
    <w:rsid w:val="007C17AE"/>
    <w:rsid w:val="007C1CFF"/>
    <w:rsid w:val="007C24EE"/>
    <w:rsid w:val="007C312A"/>
    <w:rsid w:val="007C3538"/>
    <w:rsid w:val="007C3570"/>
    <w:rsid w:val="007C3F3B"/>
    <w:rsid w:val="007C4097"/>
    <w:rsid w:val="007C4241"/>
    <w:rsid w:val="007C425E"/>
    <w:rsid w:val="007C55FF"/>
    <w:rsid w:val="007C6339"/>
    <w:rsid w:val="007C753F"/>
    <w:rsid w:val="007C796C"/>
    <w:rsid w:val="007C7C43"/>
    <w:rsid w:val="007C7E15"/>
    <w:rsid w:val="007C7F0D"/>
    <w:rsid w:val="007D06E3"/>
    <w:rsid w:val="007D09E4"/>
    <w:rsid w:val="007D1134"/>
    <w:rsid w:val="007D231B"/>
    <w:rsid w:val="007D23F7"/>
    <w:rsid w:val="007D2566"/>
    <w:rsid w:val="007D2A8A"/>
    <w:rsid w:val="007D2C18"/>
    <w:rsid w:val="007D2D74"/>
    <w:rsid w:val="007D3693"/>
    <w:rsid w:val="007D3C6D"/>
    <w:rsid w:val="007D481A"/>
    <w:rsid w:val="007D4B96"/>
    <w:rsid w:val="007D4ED0"/>
    <w:rsid w:val="007D5648"/>
    <w:rsid w:val="007D58C5"/>
    <w:rsid w:val="007D5DE8"/>
    <w:rsid w:val="007D7CFC"/>
    <w:rsid w:val="007E0812"/>
    <w:rsid w:val="007E0825"/>
    <w:rsid w:val="007E18DF"/>
    <w:rsid w:val="007E1AE5"/>
    <w:rsid w:val="007E214A"/>
    <w:rsid w:val="007E238D"/>
    <w:rsid w:val="007E2C36"/>
    <w:rsid w:val="007E2FEB"/>
    <w:rsid w:val="007E350D"/>
    <w:rsid w:val="007E3ACA"/>
    <w:rsid w:val="007E3F27"/>
    <w:rsid w:val="007E3F4A"/>
    <w:rsid w:val="007E4F0D"/>
    <w:rsid w:val="007E564D"/>
    <w:rsid w:val="007E5C4A"/>
    <w:rsid w:val="007E6135"/>
    <w:rsid w:val="007E64D4"/>
    <w:rsid w:val="007E6566"/>
    <w:rsid w:val="007E66E9"/>
    <w:rsid w:val="007E69F2"/>
    <w:rsid w:val="007E7432"/>
    <w:rsid w:val="007E74BF"/>
    <w:rsid w:val="007E7657"/>
    <w:rsid w:val="007E7D2E"/>
    <w:rsid w:val="007F14D3"/>
    <w:rsid w:val="007F172C"/>
    <w:rsid w:val="007F1814"/>
    <w:rsid w:val="007F1D9D"/>
    <w:rsid w:val="007F1E28"/>
    <w:rsid w:val="007F1F63"/>
    <w:rsid w:val="007F22A0"/>
    <w:rsid w:val="007F2902"/>
    <w:rsid w:val="007F2903"/>
    <w:rsid w:val="007F2BEC"/>
    <w:rsid w:val="007F2F90"/>
    <w:rsid w:val="007F3320"/>
    <w:rsid w:val="007F3AC1"/>
    <w:rsid w:val="007F4976"/>
    <w:rsid w:val="007F4B40"/>
    <w:rsid w:val="007F4C94"/>
    <w:rsid w:val="007F5A56"/>
    <w:rsid w:val="007F5D42"/>
    <w:rsid w:val="007F616E"/>
    <w:rsid w:val="007F6B46"/>
    <w:rsid w:val="007F72CB"/>
    <w:rsid w:val="007F736A"/>
    <w:rsid w:val="007F7635"/>
    <w:rsid w:val="007F785F"/>
    <w:rsid w:val="007F7961"/>
    <w:rsid w:val="007F7AF6"/>
    <w:rsid w:val="007F7E36"/>
    <w:rsid w:val="00800E6D"/>
    <w:rsid w:val="008014D9"/>
    <w:rsid w:val="0080150F"/>
    <w:rsid w:val="0080153A"/>
    <w:rsid w:val="00801577"/>
    <w:rsid w:val="00801A2A"/>
    <w:rsid w:val="00802041"/>
    <w:rsid w:val="008022C9"/>
    <w:rsid w:val="00802605"/>
    <w:rsid w:val="00802F9E"/>
    <w:rsid w:val="00803700"/>
    <w:rsid w:val="00803D9D"/>
    <w:rsid w:val="0080548A"/>
    <w:rsid w:val="008059C6"/>
    <w:rsid w:val="00805AD7"/>
    <w:rsid w:val="00805BD6"/>
    <w:rsid w:val="00805C3B"/>
    <w:rsid w:val="00805DE3"/>
    <w:rsid w:val="00807C35"/>
    <w:rsid w:val="00807F35"/>
    <w:rsid w:val="00807F69"/>
    <w:rsid w:val="008100F7"/>
    <w:rsid w:val="00810206"/>
    <w:rsid w:val="0081022B"/>
    <w:rsid w:val="00810A15"/>
    <w:rsid w:val="0081154C"/>
    <w:rsid w:val="00811898"/>
    <w:rsid w:val="00811CDC"/>
    <w:rsid w:val="008124D8"/>
    <w:rsid w:val="0081338F"/>
    <w:rsid w:val="00813A7B"/>
    <w:rsid w:val="00813F04"/>
    <w:rsid w:val="0081513E"/>
    <w:rsid w:val="00815DA5"/>
    <w:rsid w:val="00816221"/>
    <w:rsid w:val="00816515"/>
    <w:rsid w:val="008174F3"/>
    <w:rsid w:val="0081766B"/>
    <w:rsid w:val="008201DE"/>
    <w:rsid w:val="008205AC"/>
    <w:rsid w:val="00820705"/>
    <w:rsid w:val="00820CBF"/>
    <w:rsid w:val="00820FA8"/>
    <w:rsid w:val="008212FD"/>
    <w:rsid w:val="00821489"/>
    <w:rsid w:val="0082168D"/>
    <w:rsid w:val="008217B7"/>
    <w:rsid w:val="0082239B"/>
    <w:rsid w:val="0082292E"/>
    <w:rsid w:val="00822D06"/>
    <w:rsid w:val="00822EC4"/>
    <w:rsid w:val="0082348D"/>
    <w:rsid w:val="008236BE"/>
    <w:rsid w:val="00824183"/>
    <w:rsid w:val="008241CE"/>
    <w:rsid w:val="00825240"/>
    <w:rsid w:val="00825B43"/>
    <w:rsid w:val="00826F71"/>
    <w:rsid w:val="00827CC0"/>
    <w:rsid w:val="008306AB"/>
    <w:rsid w:val="00831026"/>
    <w:rsid w:val="0083119B"/>
    <w:rsid w:val="00831BAE"/>
    <w:rsid w:val="00832216"/>
    <w:rsid w:val="00832513"/>
    <w:rsid w:val="00832CD0"/>
    <w:rsid w:val="00833430"/>
    <w:rsid w:val="00833ADA"/>
    <w:rsid w:val="00834128"/>
    <w:rsid w:val="0083417F"/>
    <w:rsid w:val="00835143"/>
    <w:rsid w:val="0083569B"/>
    <w:rsid w:val="00835741"/>
    <w:rsid w:val="008369E8"/>
    <w:rsid w:val="00836A50"/>
    <w:rsid w:val="00836E74"/>
    <w:rsid w:val="00836EAB"/>
    <w:rsid w:val="008374C8"/>
    <w:rsid w:val="00837673"/>
    <w:rsid w:val="00837937"/>
    <w:rsid w:val="00837D82"/>
    <w:rsid w:val="0084008B"/>
    <w:rsid w:val="00840893"/>
    <w:rsid w:val="00840E88"/>
    <w:rsid w:val="00840ECC"/>
    <w:rsid w:val="008410B1"/>
    <w:rsid w:val="008423EC"/>
    <w:rsid w:val="008429A6"/>
    <w:rsid w:val="00843615"/>
    <w:rsid w:val="00843698"/>
    <w:rsid w:val="00843A4B"/>
    <w:rsid w:val="00843B57"/>
    <w:rsid w:val="00843B60"/>
    <w:rsid w:val="00843D33"/>
    <w:rsid w:val="008444F0"/>
    <w:rsid w:val="00844D4F"/>
    <w:rsid w:val="00844F38"/>
    <w:rsid w:val="00845523"/>
    <w:rsid w:val="00845AE3"/>
    <w:rsid w:val="008466A0"/>
    <w:rsid w:val="00847535"/>
    <w:rsid w:val="00847B6D"/>
    <w:rsid w:val="0085092D"/>
    <w:rsid w:val="008509A5"/>
    <w:rsid w:val="00850B75"/>
    <w:rsid w:val="00850C79"/>
    <w:rsid w:val="00850D82"/>
    <w:rsid w:val="00850F79"/>
    <w:rsid w:val="0085100B"/>
    <w:rsid w:val="008510A1"/>
    <w:rsid w:val="00851636"/>
    <w:rsid w:val="0085192D"/>
    <w:rsid w:val="0085304C"/>
    <w:rsid w:val="008536BB"/>
    <w:rsid w:val="00853A3C"/>
    <w:rsid w:val="008548CA"/>
    <w:rsid w:val="008563B0"/>
    <w:rsid w:val="00856C06"/>
    <w:rsid w:val="0085790B"/>
    <w:rsid w:val="008579B9"/>
    <w:rsid w:val="00857C95"/>
    <w:rsid w:val="00857E78"/>
    <w:rsid w:val="00860AEF"/>
    <w:rsid w:val="00860B18"/>
    <w:rsid w:val="00860D5E"/>
    <w:rsid w:val="0086122C"/>
    <w:rsid w:val="00861310"/>
    <w:rsid w:val="00861530"/>
    <w:rsid w:val="00861C4D"/>
    <w:rsid w:val="00861F53"/>
    <w:rsid w:val="008625EC"/>
    <w:rsid w:val="0086289E"/>
    <w:rsid w:val="008629CB"/>
    <w:rsid w:val="0086328E"/>
    <w:rsid w:val="0086394E"/>
    <w:rsid w:val="00863F8A"/>
    <w:rsid w:val="00863FE3"/>
    <w:rsid w:val="008640C4"/>
    <w:rsid w:val="00864241"/>
    <w:rsid w:val="008645AA"/>
    <w:rsid w:val="0086468A"/>
    <w:rsid w:val="00865059"/>
    <w:rsid w:val="008650BE"/>
    <w:rsid w:val="00865AF2"/>
    <w:rsid w:val="00865EAF"/>
    <w:rsid w:val="0086633B"/>
    <w:rsid w:val="00866495"/>
    <w:rsid w:val="00866881"/>
    <w:rsid w:val="00866931"/>
    <w:rsid w:val="00867512"/>
    <w:rsid w:val="008678A3"/>
    <w:rsid w:val="00867C13"/>
    <w:rsid w:val="00867C1D"/>
    <w:rsid w:val="0087033C"/>
    <w:rsid w:val="008715ED"/>
    <w:rsid w:val="008717D8"/>
    <w:rsid w:val="00871E3C"/>
    <w:rsid w:val="00872F97"/>
    <w:rsid w:val="00874607"/>
    <w:rsid w:val="008747E9"/>
    <w:rsid w:val="00874915"/>
    <w:rsid w:val="00874B89"/>
    <w:rsid w:val="00874B90"/>
    <w:rsid w:val="00875403"/>
    <w:rsid w:val="00875434"/>
    <w:rsid w:val="00875C1F"/>
    <w:rsid w:val="00876215"/>
    <w:rsid w:val="0087646C"/>
    <w:rsid w:val="00876815"/>
    <w:rsid w:val="00877932"/>
    <w:rsid w:val="00877D6C"/>
    <w:rsid w:val="008808C7"/>
    <w:rsid w:val="0088106B"/>
    <w:rsid w:val="0088107D"/>
    <w:rsid w:val="0088187A"/>
    <w:rsid w:val="00881E64"/>
    <w:rsid w:val="00882E39"/>
    <w:rsid w:val="00883559"/>
    <w:rsid w:val="008850EB"/>
    <w:rsid w:val="00885228"/>
    <w:rsid w:val="008857E3"/>
    <w:rsid w:val="00886DF2"/>
    <w:rsid w:val="00886FB9"/>
    <w:rsid w:val="00887057"/>
    <w:rsid w:val="00887080"/>
    <w:rsid w:val="00887C79"/>
    <w:rsid w:val="008908DC"/>
    <w:rsid w:val="0089107B"/>
    <w:rsid w:val="008913CC"/>
    <w:rsid w:val="008914AE"/>
    <w:rsid w:val="008919CF"/>
    <w:rsid w:val="00891F84"/>
    <w:rsid w:val="00891FC3"/>
    <w:rsid w:val="008928EC"/>
    <w:rsid w:val="00892A15"/>
    <w:rsid w:val="00892E5D"/>
    <w:rsid w:val="00893265"/>
    <w:rsid w:val="008935CF"/>
    <w:rsid w:val="0089436B"/>
    <w:rsid w:val="00894436"/>
    <w:rsid w:val="00894BB1"/>
    <w:rsid w:val="008951D0"/>
    <w:rsid w:val="00895442"/>
    <w:rsid w:val="0089582D"/>
    <w:rsid w:val="008959C6"/>
    <w:rsid w:val="00895E48"/>
    <w:rsid w:val="0089606D"/>
    <w:rsid w:val="00896129"/>
    <w:rsid w:val="00896316"/>
    <w:rsid w:val="0089713C"/>
    <w:rsid w:val="0089774F"/>
    <w:rsid w:val="00897875"/>
    <w:rsid w:val="00897B8F"/>
    <w:rsid w:val="00897F59"/>
    <w:rsid w:val="008A00D9"/>
    <w:rsid w:val="008A07D5"/>
    <w:rsid w:val="008A1C96"/>
    <w:rsid w:val="008A1FB7"/>
    <w:rsid w:val="008A229A"/>
    <w:rsid w:val="008A2A23"/>
    <w:rsid w:val="008A2AF5"/>
    <w:rsid w:val="008A2B5A"/>
    <w:rsid w:val="008A38DE"/>
    <w:rsid w:val="008A3F9D"/>
    <w:rsid w:val="008A41F8"/>
    <w:rsid w:val="008A5474"/>
    <w:rsid w:val="008A5C9A"/>
    <w:rsid w:val="008A6005"/>
    <w:rsid w:val="008A614F"/>
    <w:rsid w:val="008A6A55"/>
    <w:rsid w:val="008A6DF0"/>
    <w:rsid w:val="008A6F6E"/>
    <w:rsid w:val="008A7888"/>
    <w:rsid w:val="008A796E"/>
    <w:rsid w:val="008B0862"/>
    <w:rsid w:val="008B088C"/>
    <w:rsid w:val="008B1BF5"/>
    <w:rsid w:val="008B263F"/>
    <w:rsid w:val="008B3045"/>
    <w:rsid w:val="008B3E9E"/>
    <w:rsid w:val="008B47A6"/>
    <w:rsid w:val="008B5C7C"/>
    <w:rsid w:val="008B63FE"/>
    <w:rsid w:val="008B672C"/>
    <w:rsid w:val="008B7108"/>
    <w:rsid w:val="008B71E6"/>
    <w:rsid w:val="008C065F"/>
    <w:rsid w:val="008C0743"/>
    <w:rsid w:val="008C0B4C"/>
    <w:rsid w:val="008C11D9"/>
    <w:rsid w:val="008C11F0"/>
    <w:rsid w:val="008C1918"/>
    <w:rsid w:val="008C1DBA"/>
    <w:rsid w:val="008C24E7"/>
    <w:rsid w:val="008C2500"/>
    <w:rsid w:val="008C2CAC"/>
    <w:rsid w:val="008C3C57"/>
    <w:rsid w:val="008C3E2A"/>
    <w:rsid w:val="008C45BD"/>
    <w:rsid w:val="008C4B19"/>
    <w:rsid w:val="008C62D4"/>
    <w:rsid w:val="008C67A2"/>
    <w:rsid w:val="008C6B89"/>
    <w:rsid w:val="008C6B97"/>
    <w:rsid w:val="008C7EF7"/>
    <w:rsid w:val="008D094D"/>
    <w:rsid w:val="008D18AA"/>
    <w:rsid w:val="008D1A2A"/>
    <w:rsid w:val="008D1ADE"/>
    <w:rsid w:val="008D3199"/>
    <w:rsid w:val="008D3330"/>
    <w:rsid w:val="008D35D9"/>
    <w:rsid w:val="008D3B36"/>
    <w:rsid w:val="008D3B85"/>
    <w:rsid w:val="008D3BF8"/>
    <w:rsid w:val="008D462D"/>
    <w:rsid w:val="008D6084"/>
    <w:rsid w:val="008D64AC"/>
    <w:rsid w:val="008D656F"/>
    <w:rsid w:val="008D66CA"/>
    <w:rsid w:val="008D69B1"/>
    <w:rsid w:val="008D7338"/>
    <w:rsid w:val="008D785E"/>
    <w:rsid w:val="008D7B59"/>
    <w:rsid w:val="008D7D66"/>
    <w:rsid w:val="008E0012"/>
    <w:rsid w:val="008E0A71"/>
    <w:rsid w:val="008E0DF7"/>
    <w:rsid w:val="008E0FAD"/>
    <w:rsid w:val="008E11E4"/>
    <w:rsid w:val="008E1252"/>
    <w:rsid w:val="008E1347"/>
    <w:rsid w:val="008E16E0"/>
    <w:rsid w:val="008E1C15"/>
    <w:rsid w:val="008E1C9A"/>
    <w:rsid w:val="008E28BD"/>
    <w:rsid w:val="008E2BE6"/>
    <w:rsid w:val="008E30C4"/>
    <w:rsid w:val="008E38B4"/>
    <w:rsid w:val="008E3BA4"/>
    <w:rsid w:val="008E3F17"/>
    <w:rsid w:val="008E44AB"/>
    <w:rsid w:val="008E4CAE"/>
    <w:rsid w:val="008E5179"/>
    <w:rsid w:val="008E51C2"/>
    <w:rsid w:val="008E57FE"/>
    <w:rsid w:val="008E6598"/>
    <w:rsid w:val="008E710F"/>
    <w:rsid w:val="008E7214"/>
    <w:rsid w:val="008E7471"/>
    <w:rsid w:val="008E7497"/>
    <w:rsid w:val="008E7884"/>
    <w:rsid w:val="008E7D6E"/>
    <w:rsid w:val="008F1056"/>
    <w:rsid w:val="008F2E8D"/>
    <w:rsid w:val="008F361D"/>
    <w:rsid w:val="008F387B"/>
    <w:rsid w:val="008F3DD9"/>
    <w:rsid w:val="008F4163"/>
    <w:rsid w:val="008F462B"/>
    <w:rsid w:val="008F4814"/>
    <w:rsid w:val="008F4B18"/>
    <w:rsid w:val="008F4DA6"/>
    <w:rsid w:val="008F4DFD"/>
    <w:rsid w:val="008F538E"/>
    <w:rsid w:val="008F5A20"/>
    <w:rsid w:val="008F5ABA"/>
    <w:rsid w:val="008F6157"/>
    <w:rsid w:val="008F698E"/>
    <w:rsid w:val="008F71AB"/>
    <w:rsid w:val="008F7905"/>
    <w:rsid w:val="008F7989"/>
    <w:rsid w:val="00900912"/>
    <w:rsid w:val="00900FC5"/>
    <w:rsid w:val="00901F1D"/>
    <w:rsid w:val="00902142"/>
    <w:rsid w:val="009028E8"/>
    <w:rsid w:val="00902E5C"/>
    <w:rsid w:val="0090363E"/>
    <w:rsid w:val="00903788"/>
    <w:rsid w:val="009046E5"/>
    <w:rsid w:val="009047C5"/>
    <w:rsid w:val="00907E97"/>
    <w:rsid w:val="00910683"/>
    <w:rsid w:val="00910E00"/>
    <w:rsid w:val="00910E04"/>
    <w:rsid w:val="009116CE"/>
    <w:rsid w:val="00911714"/>
    <w:rsid w:val="00911D04"/>
    <w:rsid w:val="00911EFF"/>
    <w:rsid w:val="0091310F"/>
    <w:rsid w:val="009136D4"/>
    <w:rsid w:val="00914B9A"/>
    <w:rsid w:val="00914C3F"/>
    <w:rsid w:val="00914F33"/>
    <w:rsid w:val="00915EFE"/>
    <w:rsid w:val="00915FCE"/>
    <w:rsid w:val="00916AFE"/>
    <w:rsid w:val="00916FC8"/>
    <w:rsid w:val="009170D3"/>
    <w:rsid w:val="0091759C"/>
    <w:rsid w:val="00920026"/>
    <w:rsid w:val="009203E2"/>
    <w:rsid w:val="00920BF5"/>
    <w:rsid w:val="00920F61"/>
    <w:rsid w:val="00921304"/>
    <w:rsid w:val="00921395"/>
    <w:rsid w:val="00921805"/>
    <w:rsid w:val="00921E63"/>
    <w:rsid w:val="00923396"/>
    <w:rsid w:val="00923F56"/>
    <w:rsid w:val="009242A6"/>
    <w:rsid w:val="00924770"/>
    <w:rsid w:val="00924D7D"/>
    <w:rsid w:val="00925346"/>
    <w:rsid w:val="00925743"/>
    <w:rsid w:val="0092579F"/>
    <w:rsid w:val="00927128"/>
    <w:rsid w:val="00927E8D"/>
    <w:rsid w:val="00927F23"/>
    <w:rsid w:val="009307CD"/>
    <w:rsid w:val="00930823"/>
    <w:rsid w:val="00931165"/>
    <w:rsid w:val="00931364"/>
    <w:rsid w:val="00931365"/>
    <w:rsid w:val="00931451"/>
    <w:rsid w:val="00931491"/>
    <w:rsid w:val="009314FA"/>
    <w:rsid w:val="0093194F"/>
    <w:rsid w:val="00931BF3"/>
    <w:rsid w:val="00931C55"/>
    <w:rsid w:val="0093228F"/>
    <w:rsid w:val="00933333"/>
    <w:rsid w:val="0093349A"/>
    <w:rsid w:val="0093360C"/>
    <w:rsid w:val="009338BA"/>
    <w:rsid w:val="00933FCB"/>
    <w:rsid w:val="009346C8"/>
    <w:rsid w:val="00934CEC"/>
    <w:rsid w:val="00934E69"/>
    <w:rsid w:val="00935745"/>
    <w:rsid w:val="00935E70"/>
    <w:rsid w:val="0093609A"/>
    <w:rsid w:val="00936517"/>
    <w:rsid w:val="00937401"/>
    <w:rsid w:val="009376FB"/>
    <w:rsid w:val="00937D6B"/>
    <w:rsid w:val="00940477"/>
    <w:rsid w:val="00940876"/>
    <w:rsid w:val="00940A53"/>
    <w:rsid w:val="00940F3C"/>
    <w:rsid w:val="009410E0"/>
    <w:rsid w:val="00941FA9"/>
    <w:rsid w:val="00942641"/>
    <w:rsid w:val="00942ED3"/>
    <w:rsid w:val="009439B6"/>
    <w:rsid w:val="009444B4"/>
    <w:rsid w:val="00944644"/>
    <w:rsid w:val="00946A24"/>
    <w:rsid w:val="009470D4"/>
    <w:rsid w:val="00947337"/>
    <w:rsid w:val="00947E6E"/>
    <w:rsid w:val="009512FA"/>
    <w:rsid w:val="009516A9"/>
    <w:rsid w:val="00951E57"/>
    <w:rsid w:val="00952350"/>
    <w:rsid w:val="00952505"/>
    <w:rsid w:val="00953018"/>
    <w:rsid w:val="009533E2"/>
    <w:rsid w:val="00953554"/>
    <w:rsid w:val="0095385A"/>
    <w:rsid w:val="00954F3A"/>
    <w:rsid w:val="0095562A"/>
    <w:rsid w:val="00955DFD"/>
    <w:rsid w:val="0095674F"/>
    <w:rsid w:val="0095780A"/>
    <w:rsid w:val="009578C3"/>
    <w:rsid w:val="009579E4"/>
    <w:rsid w:val="00957AA4"/>
    <w:rsid w:val="00957ACB"/>
    <w:rsid w:val="00957F27"/>
    <w:rsid w:val="00960BDB"/>
    <w:rsid w:val="0096105C"/>
    <w:rsid w:val="0096147D"/>
    <w:rsid w:val="00961595"/>
    <w:rsid w:val="00961C14"/>
    <w:rsid w:val="00961D53"/>
    <w:rsid w:val="00961E5F"/>
    <w:rsid w:val="009625C6"/>
    <w:rsid w:val="009629B5"/>
    <w:rsid w:val="00962A50"/>
    <w:rsid w:val="00963550"/>
    <w:rsid w:val="00964138"/>
    <w:rsid w:val="009648D6"/>
    <w:rsid w:val="00964B3F"/>
    <w:rsid w:val="00964C98"/>
    <w:rsid w:val="00967507"/>
    <w:rsid w:val="00971441"/>
    <w:rsid w:val="00971555"/>
    <w:rsid w:val="009715D4"/>
    <w:rsid w:val="0097179A"/>
    <w:rsid w:val="00971B0A"/>
    <w:rsid w:val="009731F4"/>
    <w:rsid w:val="009732A4"/>
    <w:rsid w:val="00973AB3"/>
    <w:rsid w:val="00973C05"/>
    <w:rsid w:val="0097494E"/>
    <w:rsid w:val="00974999"/>
    <w:rsid w:val="009749BB"/>
    <w:rsid w:val="00974B58"/>
    <w:rsid w:val="00974CBD"/>
    <w:rsid w:val="00975445"/>
    <w:rsid w:val="009761ED"/>
    <w:rsid w:val="00976256"/>
    <w:rsid w:val="0097737D"/>
    <w:rsid w:val="00980209"/>
    <w:rsid w:val="0098022F"/>
    <w:rsid w:val="009810DE"/>
    <w:rsid w:val="00981B91"/>
    <w:rsid w:val="009822D7"/>
    <w:rsid w:val="009827E6"/>
    <w:rsid w:val="00982F84"/>
    <w:rsid w:val="009831C3"/>
    <w:rsid w:val="0098427D"/>
    <w:rsid w:val="00984567"/>
    <w:rsid w:val="00985102"/>
    <w:rsid w:val="009854BC"/>
    <w:rsid w:val="00985A66"/>
    <w:rsid w:val="0098606C"/>
    <w:rsid w:val="009865D5"/>
    <w:rsid w:val="009876F2"/>
    <w:rsid w:val="00987C77"/>
    <w:rsid w:val="00987FED"/>
    <w:rsid w:val="00990345"/>
    <w:rsid w:val="00990701"/>
    <w:rsid w:val="0099119C"/>
    <w:rsid w:val="00991361"/>
    <w:rsid w:val="0099137A"/>
    <w:rsid w:val="0099211C"/>
    <w:rsid w:val="00993013"/>
    <w:rsid w:val="009930AB"/>
    <w:rsid w:val="00993B78"/>
    <w:rsid w:val="00994F3F"/>
    <w:rsid w:val="00995119"/>
    <w:rsid w:val="0099531F"/>
    <w:rsid w:val="009953AD"/>
    <w:rsid w:val="009957D7"/>
    <w:rsid w:val="0099583D"/>
    <w:rsid w:val="00996020"/>
    <w:rsid w:val="0099629E"/>
    <w:rsid w:val="009968CF"/>
    <w:rsid w:val="00996992"/>
    <w:rsid w:val="00996E1E"/>
    <w:rsid w:val="00997148"/>
    <w:rsid w:val="00997392"/>
    <w:rsid w:val="0099747C"/>
    <w:rsid w:val="0099771C"/>
    <w:rsid w:val="00997A88"/>
    <w:rsid w:val="009A01E4"/>
    <w:rsid w:val="009A0369"/>
    <w:rsid w:val="009A0917"/>
    <w:rsid w:val="009A0A33"/>
    <w:rsid w:val="009A0CC0"/>
    <w:rsid w:val="009A10B2"/>
    <w:rsid w:val="009A1351"/>
    <w:rsid w:val="009A1AAB"/>
    <w:rsid w:val="009A2041"/>
    <w:rsid w:val="009A2435"/>
    <w:rsid w:val="009A35DC"/>
    <w:rsid w:val="009A38AB"/>
    <w:rsid w:val="009A39EE"/>
    <w:rsid w:val="009A3A33"/>
    <w:rsid w:val="009A3D47"/>
    <w:rsid w:val="009A4D63"/>
    <w:rsid w:val="009A5356"/>
    <w:rsid w:val="009A5468"/>
    <w:rsid w:val="009A55D8"/>
    <w:rsid w:val="009A5D99"/>
    <w:rsid w:val="009A608C"/>
    <w:rsid w:val="009A66D6"/>
    <w:rsid w:val="009A6FDF"/>
    <w:rsid w:val="009A715F"/>
    <w:rsid w:val="009A76D6"/>
    <w:rsid w:val="009A7970"/>
    <w:rsid w:val="009B03F1"/>
    <w:rsid w:val="009B15C4"/>
    <w:rsid w:val="009B2374"/>
    <w:rsid w:val="009B28D6"/>
    <w:rsid w:val="009B2E29"/>
    <w:rsid w:val="009B3163"/>
    <w:rsid w:val="009B422F"/>
    <w:rsid w:val="009B46BC"/>
    <w:rsid w:val="009B4D1A"/>
    <w:rsid w:val="009B519D"/>
    <w:rsid w:val="009B558B"/>
    <w:rsid w:val="009B60FE"/>
    <w:rsid w:val="009B663F"/>
    <w:rsid w:val="009B6863"/>
    <w:rsid w:val="009B6D21"/>
    <w:rsid w:val="009B7460"/>
    <w:rsid w:val="009B78ED"/>
    <w:rsid w:val="009B7FFD"/>
    <w:rsid w:val="009C181C"/>
    <w:rsid w:val="009C1A44"/>
    <w:rsid w:val="009C1C7F"/>
    <w:rsid w:val="009C1EC7"/>
    <w:rsid w:val="009C2210"/>
    <w:rsid w:val="009C28A2"/>
    <w:rsid w:val="009C3239"/>
    <w:rsid w:val="009C3828"/>
    <w:rsid w:val="009C3AD3"/>
    <w:rsid w:val="009C3AF4"/>
    <w:rsid w:val="009C3D2C"/>
    <w:rsid w:val="009C4987"/>
    <w:rsid w:val="009C4FDE"/>
    <w:rsid w:val="009C523F"/>
    <w:rsid w:val="009C59BF"/>
    <w:rsid w:val="009C5E4F"/>
    <w:rsid w:val="009C5F64"/>
    <w:rsid w:val="009C5F82"/>
    <w:rsid w:val="009C60EA"/>
    <w:rsid w:val="009C65EB"/>
    <w:rsid w:val="009C6BFC"/>
    <w:rsid w:val="009C70F8"/>
    <w:rsid w:val="009C78A3"/>
    <w:rsid w:val="009C7E68"/>
    <w:rsid w:val="009D00D7"/>
    <w:rsid w:val="009D0156"/>
    <w:rsid w:val="009D03B4"/>
    <w:rsid w:val="009D05DA"/>
    <w:rsid w:val="009D0815"/>
    <w:rsid w:val="009D11F6"/>
    <w:rsid w:val="009D163B"/>
    <w:rsid w:val="009D1A14"/>
    <w:rsid w:val="009D1E2A"/>
    <w:rsid w:val="009D1FA0"/>
    <w:rsid w:val="009D2BDF"/>
    <w:rsid w:val="009D3736"/>
    <w:rsid w:val="009D4529"/>
    <w:rsid w:val="009D460F"/>
    <w:rsid w:val="009D4E02"/>
    <w:rsid w:val="009D604F"/>
    <w:rsid w:val="009D61BB"/>
    <w:rsid w:val="009D6410"/>
    <w:rsid w:val="009D68BB"/>
    <w:rsid w:val="009D6909"/>
    <w:rsid w:val="009D6B46"/>
    <w:rsid w:val="009D700F"/>
    <w:rsid w:val="009D70C2"/>
    <w:rsid w:val="009D7244"/>
    <w:rsid w:val="009D77B9"/>
    <w:rsid w:val="009D7ADB"/>
    <w:rsid w:val="009D7B33"/>
    <w:rsid w:val="009E03C7"/>
    <w:rsid w:val="009E0490"/>
    <w:rsid w:val="009E06C3"/>
    <w:rsid w:val="009E0703"/>
    <w:rsid w:val="009E1035"/>
    <w:rsid w:val="009E16DA"/>
    <w:rsid w:val="009E1CD4"/>
    <w:rsid w:val="009E2391"/>
    <w:rsid w:val="009E28B6"/>
    <w:rsid w:val="009E2A11"/>
    <w:rsid w:val="009E476A"/>
    <w:rsid w:val="009E4A16"/>
    <w:rsid w:val="009E4E05"/>
    <w:rsid w:val="009E56FF"/>
    <w:rsid w:val="009E5CB1"/>
    <w:rsid w:val="009E5E56"/>
    <w:rsid w:val="009E61EA"/>
    <w:rsid w:val="009E6990"/>
    <w:rsid w:val="009E6FEE"/>
    <w:rsid w:val="009F00B9"/>
    <w:rsid w:val="009F060F"/>
    <w:rsid w:val="009F0781"/>
    <w:rsid w:val="009F0850"/>
    <w:rsid w:val="009F15A8"/>
    <w:rsid w:val="009F1950"/>
    <w:rsid w:val="009F1BDF"/>
    <w:rsid w:val="009F1EAE"/>
    <w:rsid w:val="009F210A"/>
    <w:rsid w:val="009F2732"/>
    <w:rsid w:val="009F2848"/>
    <w:rsid w:val="009F369D"/>
    <w:rsid w:val="009F36FE"/>
    <w:rsid w:val="009F3971"/>
    <w:rsid w:val="009F3A42"/>
    <w:rsid w:val="009F4990"/>
    <w:rsid w:val="009F4F25"/>
    <w:rsid w:val="009F59C2"/>
    <w:rsid w:val="009F60AF"/>
    <w:rsid w:val="009F7263"/>
    <w:rsid w:val="009F73B6"/>
    <w:rsid w:val="009F76EA"/>
    <w:rsid w:val="009F78EB"/>
    <w:rsid w:val="009F7A81"/>
    <w:rsid w:val="009F7DB2"/>
    <w:rsid w:val="009F7EB8"/>
    <w:rsid w:val="009F7ED3"/>
    <w:rsid w:val="009F7F32"/>
    <w:rsid w:val="009F7FEB"/>
    <w:rsid w:val="00A003D5"/>
    <w:rsid w:val="00A0056C"/>
    <w:rsid w:val="00A00F5E"/>
    <w:rsid w:val="00A0120D"/>
    <w:rsid w:val="00A01852"/>
    <w:rsid w:val="00A0188B"/>
    <w:rsid w:val="00A01C35"/>
    <w:rsid w:val="00A01E73"/>
    <w:rsid w:val="00A023E7"/>
    <w:rsid w:val="00A02B88"/>
    <w:rsid w:val="00A03160"/>
    <w:rsid w:val="00A036AC"/>
    <w:rsid w:val="00A03C54"/>
    <w:rsid w:val="00A03DE5"/>
    <w:rsid w:val="00A041BC"/>
    <w:rsid w:val="00A0447F"/>
    <w:rsid w:val="00A046D2"/>
    <w:rsid w:val="00A04712"/>
    <w:rsid w:val="00A04A54"/>
    <w:rsid w:val="00A058B8"/>
    <w:rsid w:val="00A05B4B"/>
    <w:rsid w:val="00A066C3"/>
    <w:rsid w:val="00A06754"/>
    <w:rsid w:val="00A069E0"/>
    <w:rsid w:val="00A06E4A"/>
    <w:rsid w:val="00A070E9"/>
    <w:rsid w:val="00A078FB"/>
    <w:rsid w:val="00A10209"/>
    <w:rsid w:val="00A1036D"/>
    <w:rsid w:val="00A1069F"/>
    <w:rsid w:val="00A10ACA"/>
    <w:rsid w:val="00A10D08"/>
    <w:rsid w:val="00A1181E"/>
    <w:rsid w:val="00A11E78"/>
    <w:rsid w:val="00A12355"/>
    <w:rsid w:val="00A12574"/>
    <w:rsid w:val="00A127D2"/>
    <w:rsid w:val="00A1284E"/>
    <w:rsid w:val="00A13CF5"/>
    <w:rsid w:val="00A143EC"/>
    <w:rsid w:val="00A149E8"/>
    <w:rsid w:val="00A1500F"/>
    <w:rsid w:val="00A154D5"/>
    <w:rsid w:val="00A15621"/>
    <w:rsid w:val="00A15670"/>
    <w:rsid w:val="00A157A0"/>
    <w:rsid w:val="00A1585B"/>
    <w:rsid w:val="00A15C19"/>
    <w:rsid w:val="00A15FE9"/>
    <w:rsid w:val="00A16809"/>
    <w:rsid w:val="00A16864"/>
    <w:rsid w:val="00A169E2"/>
    <w:rsid w:val="00A16F53"/>
    <w:rsid w:val="00A17584"/>
    <w:rsid w:val="00A17769"/>
    <w:rsid w:val="00A17AF6"/>
    <w:rsid w:val="00A17EA2"/>
    <w:rsid w:val="00A201DB"/>
    <w:rsid w:val="00A20264"/>
    <w:rsid w:val="00A20997"/>
    <w:rsid w:val="00A210D4"/>
    <w:rsid w:val="00A213DD"/>
    <w:rsid w:val="00A21454"/>
    <w:rsid w:val="00A216CE"/>
    <w:rsid w:val="00A216F9"/>
    <w:rsid w:val="00A22025"/>
    <w:rsid w:val="00A22498"/>
    <w:rsid w:val="00A22571"/>
    <w:rsid w:val="00A2298D"/>
    <w:rsid w:val="00A235E1"/>
    <w:rsid w:val="00A23C69"/>
    <w:rsid w:val="00A24560"/>
    <w:rsid w:val="00A24B95"/>
    <w:rsid w:val="00A25B0F"/>
    <w:rsid w:val="00A25BBB"/>
    <w:rsid w:val="00A27FB6"/>
    <w:rsid w:val="00A30121"/>
    <w:rsid w:val="00A30368"/>
    <w:rsid w:val="00A3043A"/>
    <w:rsid w:val="00A30E02"/>
    <w:rsid w:val="00A30F6A"/>
    <w:rsid w:val="00A31060"/>
    <w:rsid w:val="00A314EE"/>
    <w:rsid w:val="00A31C3E"/>
    <w:rsid w:val="00A32B2D"/>
    <w:rsid w:val="00A34538"/>
    <w:rsid w:val="00A34677"/>
    <w:rsid w:val="00A3540F"/>
    <w:rsid w:val="00A35630"/>
    <w:rsid w:val="00A35914"/>
    <w:rsid w:val="00A36189"/>
    <w:rsid w:val="00A3677A"/>
    <w:rsid w:val="00A37094"/>
    <w:rsid w:val="00A37E73"/>
    <w:rsid w:val="00A37FB6"/>
    <w:rsid w:val="00A409E2"/>
    <w:rsid w:val="00A4104A"/>
    <w:rsid w:val="00A41081"/>
    <w:rsid w:val="00A411CA"/>
    <w:rsid w:val="00A42080"/>
    <w:rsid w:val="00A42096"/>
    <w:rsid w:val="00A426F3"/>
    <w:rsid w:val="00A42FDF"/>
    <w:rsid w:val="00A430A9"/>
    <w:rsid w:val="00A431FE"/>
    <w:rsid w:val="00A4384F"/>
    <w:rsid w:val="00A439E5"/>
    <w:rsid w:val="00A4414E"/>
    <w:rsid w:val="00A4497A"/>
    <w:rsid w:val="00A44AB5"/>
    <w:rsid w:val="00A44BE8"/>
    <w:rsid w:val="00A44C96"/>
    <w:rsid w:val="00A44CDD"/>
    <w:rsid w:val="00A44F54"/>
    <w:rsid w:val="00A44FE3"/>
    <w:rsid w:val="00A45F9B"/>
    <w:rsid w:val="00A46574"/>
    <w:rsid w:val="00A475B4"/>
    <w:rsid w:val="00A47701"/>
    <w:rsid w:val="00A47849"/>
    <w:rsid w:val="00A500B1"/>
    <w:rsid w:val="00A5140D"/>
    <w:rsid w:val="00A51906"/>
    <w:rsid w:val="00A52A53"/>
    <w:rsid w:val="00A52EE5"/>
    <w:rsid w:val="00A53037"/>
    <w:rsid w:val="00A532B9"/>
    <w:rsid w:val="00A5351D"/>
    <w:rsid w:val="00A53E79"/>
    <w:rsid w:val="00A53EAB"/>
    <w:rsid w:val="00A54031"/>
    <w:rsid w:val="00A5426D"/>
    <w:rsid w:val="00A54FC2"/>
    <w:rsid w:val="00A55122"/>
    <w:rsid w:val="00A55806"/>
    <w:rsid w:val="00A55CEA"/>
    <w:rsid w:val="00A55DBA"/>
    <w:rsid w:val="00A56DE7"/>
    <w:rsid w:val="00A57EB2"/>
    <w:rsid w:val="00A6009E"/>
    <w:rsid w:val="00A60265"/>
    <w:rsid w:val="00A60540"/>
    <w:rsid w:val="00A60B1F"/>
    <w:rsid w:val="00A6144B"/>
    <w:rsid w:val="00A61C60"/>
    <w:rsid w:val="00A62589"/>
    <w:rsid w:val="00A62AD0"/>
    <w:rsid w:val="00A62C3A"/>
    <w:rsid w:val="00A6319C"/>
    <w:rsid w:val="00A63812"/>
    <w:rsid w:val="00A63DF7"/>
    <w:rsid w:val="00A6454D"/>
    <w:rsid w:val="00A64767"/>
    <w:rsid w:val="00A64F2F"/>
    <w:rsid w:val="00A6611E"/>
    <w:rsid w:val="00A668BA"/>
    <w:rsid w:val="00A66FA7"/>
    <w:rsid w:val="00A66FA8"/>
    <w:rsid w:val="00A67170"/>
    <w:rsid w:val="00A67E16"/>
    <w:rsid w:val="00A67EB1"/>
    <w:rsid w:val="00A67F1C"/>
    <w:rsid w:val="00A703CC"/>
    <w:rsid w:val="00A70C5C"/>
    <w:rsid w:val="00A710A2"/>
    <w:rsid w:val="00A71EA7"/>
    <w:rsid w:val="00A730AD"/>
    <w:rsid w:val="00A73855"/>
    <w:rsid w:val="00A73D64"/>
    <w:rsid w:val="00A74216"/>
    <w:rsid w:val="00A74360"/>
    <w:rsid w:val="00A744B4"/>
    <w:rsid w:val="00A74B91"/>
    <w:rsid w:val="00A751E3"/>
    <w:rsid w:val="00A7536B"/>
    <w:rsid w:val="00A753B9"/>
    <w:rsid w:val="00A7549A"/>
    <w:rsid w:val="00A75504"/>
    <w:rsid w:val="00A75FD7"/>
    <w:rsid w:val="00A77168"/>
    <w:rsid w:val="00A7723B"/>
    <w:rsid w:val="00A773C3"/>
    <w:rsid w:val="00A778FA"/>
    <w:rsid w:val="00A7793C"/>
    <w:rsid w:val="00A77D21"/>
    <w:rsid w:val="00A80085"/>
    <w:rsid w:val="00A80276"/>
    <w:rsid w:val="00A8043B"/>
    <w:rsid w:val="00A807DA"/>
    <w:rsid w:val="00A80DA0"/>
    <w:rsid w:val="00A81323"/>
    <w:rsid w:val="00A820CB"/>
    <w:rsid w:val="00A82342"/>
    <w:rsid w:val="00A8236F"/>
    <w:rsid w:val="00A82D06"/>
    <w:rsid w:val="00A83BEF"/>
    <w:rsid w:val="00A84443"/>
    <w:rsid w:val="00A8487F"/>
    <w:rsid w:val="00A849A3"/>
    <w:rsid w:val="00A84A0E"/>
    <w:rsid w:val="00A8575D"/>
    <w:rsid w:val="00A861F4"/>
    <w:rsid w:val="00A86E0B"/>
    <w:rsid w:val="00A87199"/>
    <w:rsid w:val="00A90F12"/>
    <w:rsid w:val="00A91DAA"/>
    <w:rsid w:val="00A93101"/>
    <w:rsid w:val="00A93239"/>
    <w:rsid w:val="00A9413E"/>
    <w:rsid w:val="00A94293"/>
    <w:rsid w:val="00A9496E"/>
    <w:rsid w:val="00A949F0"/>
    <w:rsid w:val="00A94BDE"/>
    <w:rsid w:val="00A94FCA"/>
    <w:rsid w:val="00A95BDE"/>
    <w:rsid w:val="00A95E4C"/>
    <w:rsid w:val="00A96C60"/>
    <w:rsid w:val="00A9740B"/>
    <w:rsid w:val="00A9766C"/>
    <w:rsid w:val="00A977F8"/>
    <w:rsid w:val="00A979DB"/>
    <w:rsid w:val="00A97C93"/>
    <w:rsid w:val="00AA06C6"/>
    <w:rsid w:val="00AA08E7"/>
    <w:rsid w:val="00AA0A06"/>
    <w:rsid w:val="00AA0A87"/>
    <w:rsid w:val="00AA1351"/>
    <w:rsid w:val="00AA184C"/>
    <w:rsid w:val="00AA1AF4"/>
    <w:rsid w:val="00AA1C84"/>
    <w:rsid w:val="00AA1E3E"/>
    <w:rsid w:val="00AA3D7B"/>
    <w:rsid w:val="00AA42A0"/>
    <w:rsid w:val="00AA442B"/>
    <w:rsid w:val="00AA46A4"/>
    <w:rsid w:val="00AA515A"/>
    <w:rsid w:val="00AA5779"/>
    <w:rsid w:val="00AA58A1"/>
    <w:rsid w:val="00AA61C7"/>
    <w:rsid w:val="00AA669D"/>
    <w:rsid w:val="00AA66ED"/>
    <w:rsid w:val="00AA6B59"/>
    <w:rsid w:val="00AA6BE1"/>
    <w:rsid w:val="00AA7416"/>
    <w:rsid w:val="00AA7A60"/>
    <w:rsid w:val="00AA7B42"/>
    <w:rsid w:val="00AB041C"/>
    <w:rsid w:val="00AB14E8"/>
    <w:rsid w:val="00AB1B1D"/>
    <w:rsid w:val="00AB1CD8"/>
    <w:rsid w:val="00AB2216"/>
    <w:rsid w:val="00AB358D"/>
    <w:rsid w:val="00AB37A1"/>
    <w:rsid w:val="00AB3BAD"/>
    <w:rsid w:val="00AB3CFD"/>
    <w:rsid w:val="00AB49BC"/>
    <w:rsid w:val="00AB4DEE"/>
    <w:rsid w:val="00AB4E32"/>
    <w:rsid w:val="00AB5C19"/>
    <w:rsid w:val="00AB6BBF"/>
    <w:rsid w:val="00AB724B"/>
    <w:rsid w:val="00AB726C"/>
    <w:rsid w:val="00AB72B4"/>
    <w:rsid w:val="00AB7549"/>
    <w:rsid w:val="00AB7A7A"/>
    <w:rsid w:val="00AC02AA"/>
    <w:rsid w:val="00AC0537"/>
    <w:rsid w:val="00AC0A84"/>
    <w:rsid w:val="00AC0F74"/>
    <w:rsid w:val="00AC1508"/>
    <w:rsid w:val="00AC2A0B"/>
    <w:rsid w:val="00AC2BEE"/>
    <w:rsid w:val="00AC2E53"/>
    <w:rsid w:val="00AC3208"/>
    <w:rsid w:val="00AC484F"/>
    <w:rsid w:val="00AC4AD2"/>
    <w:rsid w:val="00AC4B20"/>
    <w:rsid w:val="00AC5395"/>
    <w:rsid w:val="00AC55C7"/>
    <w:rsid w:val="00AC56F2"/>
    <w:rsid w:val="00AC5D9D"/>
    <w:rsid w:val="00AC71C3"/>
    <w:rsid w:val="00AC7F29"/>
    <w:rsid w:val="00AD09F7"/>
    <w:rsid w:val="00AD1EFA"/>
    <w:rsid w:val="00AD2072"/>
    <w:rsid w:val="00AD21B5"/>
    <w:rsid w:val="00AD2DBD"/>
    <w:rsid w:val="00AD2FBF"/>
    <w:rsid w:val="00AD33A1"/>
    <w:rsid w:val="00AD340E"/>
    <w:rsid w:val="00AD455D"/>
    <w:rsid w:val="00AD463C"/>
    <w:rsid w:val="00AD47C9"/>
    <w:rsid w:val="00AD4F60"/>
    <w:rsid w:val="00AD5044"/>
    <w:rsid w:val="00AD5114"/>
    <w:rsid w:val="00AD6236"/>
    <w:rsid w:val="00AD69D5"/>
    <w:rsid w:val="00AD6D07"/>
    <w:rsid w:val="00AD7619"/>
    <w:rsid w:val="00AD7770"/>
    <w:rsid w:val="00AD7773"/>
    <w:rsid w:val="00AE1772"/>
    <w:rsid w:val="00AE1990"/>
    <w:rsid w:val="00AE25E8"/>
    <w:rsid w:val="00AE2AD4"/>
    <w:rsid w:val="00AE2CA7"/>
    <w:rsid w:val="00AE2F1D"/>
    <w:rsid w:val="00AE4A7D"/>
    <w:rsid w:val="00AE4C81"/>
    <w:rsid w:val="00AE4E63"/>
    <w:rsid w:val="00AE586F"/>
    <w:rsid w:val="00AE5964"/>
    <w:rsid w:val="00AE62FE"/>
    <w:rsid w:val="00AE6582"/>
    <w:rsid w:val="00AE6DC5"/>
    <w:rsid w:val="00AE7686"/>
    <w:rsid w:val="00AE799A"/>
    <w:rsid w:val="00AF0340"/>
    <w:rsid w:val="00AF0E81"/>
    <w:rsid w:val="00AF117A"/>
    <w:rsid w:val="00AF134E"/>
    <w:rsid w:val="00AF16CA"/>
    <w:rsid w:val="00AF186E"/>
    <w:rsid w:val="00AF19DF"/>
    <w:rsid w:val="00AF1C77"/>
    <w:rsid w:val="00AF1D41"/>
    <w:rsid w:val="00AF26CF"/>
    <w:rsid w:val="00AF3124"/>
    <w:rsid w:val="00AF344D"/>
    <w:rsid w:val="00AF39B3"/>
    <w:rsid w:val="00AF3C1F"/>
    <w:rsid w:val="00AF3FED"/>
    <w:rsid w:val="00AF4402"/>
    <w:rsid w:val="00AF44CE"/>
    <w:rsid w:val="00AF4639"/>
    <w:rsid w:val="00AF49CE"/>
    <w:rsid w:val="00AF4E92"/>
    <w:rsid w:val="00AF554B"/>
    <w:rsid w:val="00AF5C9B"/>
    <w:rsid w:val="00AF5D53"/>
    <w:rsid w:val="00AF5E2D"/>
    <w:rsid w:val="00AF644B"/>
    <w:rsid w:val="00AF69EB"/>
    <w:rsid w:val="00AF6CA6"/>
    <w:rsid w:val="00AF6DEC"/>
    <w:rsid w:val="00AF6EB6"/>
    <w:rsid w:val="00AF776A"/>
    <w:rsid w:val="00AF7796"/>
    <w:rsid w:val="00B003DB"/>
    <w:rsid w:val="00B011A9"/>
    <w:rsid w:val="00B01BAF"/>
    <w:rsid w:val="00B0224B"/>
    <w:rsid w:val="00B024ED"/>
    <w:rsid w:val="00B026B8"/>
    <w:rsid w:val="00B02EB3"/>
    <w:rsid w:val="00B02F7C"/>
    <w:rsid w:val="00B02FCB"/>
    <w:rsid w:val="00B033AF"/>
    <w:rsid w:val="00B033F8"/>
    <w:rsid w:val="00B03C1E"/>
    <w:rsid w:val="00B03FE4"/>
    <w:rsid w:val="00B04400"/>
    <w:rsid w:val="00B04493"/>
    <w:rsid w:val="00B04835"/>
    <w:rsid w:val="00B04DFA"/>
    <w:rsid w:val="00B05A55"/>
    <w:rsid w:val="00B05DE1"/>
    <w:rsid w:val="00B06595"/>
    <w:rsid w:val="00B06645"/>
    <w:rsid w:val="00B06862"/>
    <w:rsid w:val="00B10109"/>
    <w:rsid w:val="00B10351"/>
    <w:rsid w:val="00B1085E"/>
    <w:rsid w:val="00B10FD1"/>
    <w:rsid w:val="00B112D5"/>
    <w:rsid w:val="00B11378"/>
    <w:rsid w:val="00B1219D"/>
    <w:rsid w:val="00B12735"/>
    <w:rsid w:val="00B12F44"/>
    <w:rsid w:val="00B13C48"/>
    <w:rsid w:val="00B13E35"/>
    <w:rsid w:val="00B13EC0"/>
    <w:rsid w:val="00B14102"/>
    <w:rsid w:val="00B14778"/>
    <w:rsid w:val="00B14D32"/>
    <w:rsid w:val="00B1507C"/>
    <w:rsid w:val="00B1557C"/>
    <w:rsid w:val="00B155DC"/>
    <w:rsid w:val="00B15766"/>
    <w:rsid w:val="00B15E4A"/>
    <w:rsid w:val="00B1666A"/>
    <w:rsid w:val="00B167C8"/>
    <w:rsid w:val="00B1686D"/>
    <w:rsid w:val="00B16BF7"/>
    <w:rsid w:val="00B17129"/>
    <w:rsid w:val="00B1741D"/>
    <w:rsid w:val="00B17447"/>
    <w:rsid w:val="00B17719"/>
    <w:rsid w:val="00B1771D"/>
    <w:rsid w:val="00B17B91"/>
    <w:rsid w:val="00B20209"/>
    <w:rsid w:val="00B203C9"/>
    <w:rsid w:val="00B2088D"/>
    <w:rsid w:val="00B208FF"/>
    <w:rsid w:val="00B211C6"/>
    <w:rsid w:val="00B21271"/>
    <w:rsid w:val="00B22E22"/>
    <w:rsid w:val="00B22F5F"/>
    <w:rsid w:val="00B23353"/>
    <w:rsid w:val="00B237E6"/>
    <w:rsid w:val="00B23813"/>
    <w:rsid w:val="00B23DA0"/>
    <w:rsid w:val="00B23FD9"/>
    <w:rsid w:val="00B24591"/>
    <w:rsid w:val="00B245D5"/>
    <w:rsid w:val="00B245EF"/>
    <w:rsid w:val="00B24C36"/>
    <w:rsid w:val="00B24D9F"/>
    <w:rsid w:val="00B24F94"/>
    <w:rsid w:val="00B25126"/>
    <w:rsid w:val="00B25703"/>
    <w:rsid w:val="00B25A52"/>
    <w:rsid w:val="00B25EAF"/>
    <w:rsid w:val="00B25FC3"/>
    <w:rsid w:val="00B2692F"/>
    <w:rsid w:val="00B27875"/>
    <w:rsid w:val="00B3008D"/>
    <w:rsid w:val="00B30884"/>
    <w:rsid w:val="00B30E11"/>
    <w:rsid w:val="00B30EAE"/>
    <w:rsid w:val="00B30EEB"/>
    <w:rsid w:val="00B31423"/>
    <w:rsid w:val="00B317AE"/>
    <w:rsid w:val="00B323E0"/>
    <w:rsid w:val="00B32DC0"/>
    <w:rsid w:val="00B32E31"/>
    <w:rsid w:val="00B3346C"/>
    <w:rsid w:val="00B335E4"/>
    <w:rsid w:val="00B33C23"/>
    <w:rsid w:val="00B345B4"/>
    <w:rsid w:val="00B348B1"/>
    <w:rsid w:val="00B34A28"/>
    <w:rsid w:val="00B35046"/>
    <w:rsid w:val="00B357F4"/>
    <w:rsid w:val="00B35B6A"/>
    <w:rsid w:val="00B36D2B"/>
    <w:rsid w:val="00B37657"/>
    <w:rsid w:val="00B37AFD"/>
    <w:rsid w:val="00B37B07"/>
    <w:rsid w:val="00B4046F"/>
    <w:rsid w:val="00B406B3"/>
    <w:rsid w:val="00B40A36"/>
    <w:rsid w:val="00B41BCA"/>
    <w:rsid w:val="00B41D39"/>
    <w:rsid w:val="00B422C0"/>
    <w:rsid w:val="00B426CA"/>
    <w:rsid w:val="00B426E1"/>
    <w:rsid w:val="00B4387A"/>
    <w:rsid w:val="00B44746"/>
    <w:rsid w:val="00B44854"/>
    <w:rsid w:val="00B44BA5"/>
    <w:rsid w:val="00B458D0"/>
    <w:rsid w:val="00B4792C"/>
    <w:rsid w:val="00B50CAE"/>
    <w:rsid w:val="00B512AD"/>
    <w:rsid w:val="00B5196C"/>
    <w:rsid w:val="00B525CB"/>
    <w:rsid w:val="00B52697"/>
    <w:rsid w:val="00B53D1A"/>
    <w:rsid w:val="00B54215"/>
    <w:rsid w:val="00B54D8F"/>
    <w:rsid w:val="00B55857"/>
    <w:rsid w:val="00B55C69"/>
    <w:rsid w:val="00B5644C"/>
    <w:rsid w:val="00B56851"/>
    <w:rsid w:val="00B56D6E"/>
    <w:rsid w:val="00B572F7"/>
    <w:rsid w:val="00B57B9D"/>
    <w:rsid w:val="00B57DAF"/>
    <w:rsid w:val="00B60094"/>
    <w:rsid w:val="00B6022C"/>
    <w:rsid w:val="00B6040C"/>
    <w:rsid w:val="00B614F8"/>
    <w:rsid w:val="00B61994"/>
    <w:rsid w:val="00B61B18"/>
    <w:rsid w:val="00B61FD4"/>
    <w:rsid w:val="00B6235B"/>
    <w:rsid w:val="00B62880"/>
    <w:rsid w:val="00B63872"/>
    <w:rsid w:val="00B63CB2"/>
    <w:rsid w:val="00B64246"/>
    <w:rsid w:val="00B64EDB"/>
    <w:rsid w:val="00B65938"/>
    <w:rsid w:val="00B65C8A"/>
    <w:rsid w:val="00B65CE2"/>
    <w:rsid w:val="00B660AD"/>
    <w:rsid w:val="00B66109"/>
    <w:rsid w:val="00B66349"/>
    <w:rsid w:val="00B669B3"/>
    <w:rsid w:val="00B67FBF"/>
    <w:rsid w:val="00B70832"/>
    <w:rsid w:val="00B71376"/>
    <w:rsid w:val="00B716D7"/>
    <w:rsid w:val="00B72110"/>
    <w:rsid w:val="00B72B91"/>
    <w:rsid w:val="00B73019"/>
    <w:rsid w:val="00B7315F"/>
    <w:rsid w:val="00B7323A"/>
    <w:rsid w:val="00B7353B"/>
    <w:rsid w:val="00B737FB"/>
    <w:rsid w:val="00B73E5D"/>
    <w:rsid w:val="00B73EF3"/>
    <w:rsid w:val="00B7423D"/>
    <w:rsid w:val="00B74D05"/>
    <w:rsid w:val="00B74EF8"/>
    <w:rsid w:val="00B75893"/>
    <w:rsid w:val="00B771F4"/>
    <w:rsid w:val="00B7762A"/>
    <w:rsid w:val="00B777FA"/>
    <w:rsid w:val="00B77850"/>
    <w:rsid w:val="00B7796B"/>
    <w:rsid w:val="00B80C72"/>
    <w:rsid w:val="00B8101E"/>
    <w:rsid w:val="00B817DF"/>
    <w:rsid w:val="00B81964"/>
    <w:rsid w:val="00B81E6F"/>
    <w:rsid w:val="00B82123"/>
    <w:rsid w:val="00B8225B"/>
    <w:rsid w:val="00B82BB5"/>
    <w:rsid w:val="00B83182"/>
    <w:rsid w:val="00B839F0"/>
    <w:rsid w:val="00B851E4"/>
    <w:rsid w:val="00B854CE"/>
    <w:rsid w:val="00B85681"/>
    <w:rsid w:val="00B857EB"/>
    <w:rsid w:val="00B858AD"/>
    <w:rsid w:val="00B86162"/>
    <w:rsid w:val="00B86877"/>
    <w:rsid w:val="00B86930"/>
    <w:rsid w:val="00B8695D"/>
    <w:rsid w:val="00B86E66"/>
    <w:rsid w:val="00B873BA"/>
    <w:rsid w:val="00B8746F"/>
    <w:rsid w:val="00B8760D"/>
    <w:rsid w:val="00B87706"/>
    <w:rsid w:val="00B90A49"/>
    <w:rsid w:val="00B90A73"/>
    <w:rsid w:val="00B91B8E"/>
    <w:rsid w:val="00B92531"/>
    <w:rsid w:val="00B92618"/>
    <w:rsid w:val="00B92751"/>
    <w:rsid w:val="00B92871"/>
    <w:rsid w:val="00B92B69"/>
    <w:rsid w:val="00B92CC6"/>
    <w:rsid w:val="00B935C9"/>
    <w:rsid w:val="00B93E3D"/>
    <w:rsid w:val="00B94C95"/>
    <w:rsid w:val="00B95464"/>
    <w:rsid w:val="00B95C30"/>
    <w:rsid w:val="00B95E3D"/>
    <w:rsid w:val="00B9691F"/>
    <w:rsid w:val="00B96EEC"/>
    <w:rsid w:val="00B97392"/>
    <w:rsid w:val="00B976C7"/>
    <w:rsid w:val="00B97A73"/>
    <w:rsid w:val="00BA0C54"/>
    <w:rsid w:val="00BA1382"/>
    <w:rsid w:val="00BA15E3"/>
    <w:rsid w:val="00BA1A8C"/>
    <w:rsid w:val="00BA20B6"/>
    <w:rsid w:val="00BA20D8"/>
    <w:rsid w:val="00BA22FC"/>
    <w:rsid w:val="00BA27B6"/>
    <w:rsid w:val="00BA2C2A"/>
    <w:rsid w:val="00BA2F30"/>
    <w:rsid w:val="00BA35D9"/>
    <w:rsid w:val="00BA3982"/>
    <w:rsid w:val="00BA405F"/>
    <w:rsid w:val="00BA4771"/>
    <w:rsid w:val="00BA482B"/>
    <w:rsid w:val="00BA5027"/>
    <w:rsid w:val="00BA5D92"/>
    <w:rsid w:val="00BA665B"/>
    <w:rsid w:val="00BA6FE8"/>
    <w:rsid w:val="00BA732D"/>
    <w:rsid w:val="00BA7370"/>
    <w:rsid w:val="00BA778B"/>
    <w:rsid w:val="00BB0888"/>
    <w:rsid w:val="00BB0DF1"/>
    <w:rsid w:val="00BB0E49"/>
    <w:rsid w:val="00BB0E9B"/>
    <w:rsid w:val="00BB15EE"/>
    <w:rsid w:val="00BB26A6"/>
    <w:rsid w:val="00BB2841"/>
    <w:rsid w:val="00BB300F"/>
    <w:rsid w:val="00BB32C9"/>
    <w:rsid w:val="00BB35C5"/>
    <w:rsid w:val="00BB4048"/>
    <w:rsid w:val="00BB4C8E"/>
    <w:rsid w:val="00BB5324"/>
    <w:rsid w:val="00BB57ED"/>
    <w:rsid w:val="00BB5A2D"/>
    <w:rsid w:val="00BB606C"/>
    <w:rsid w:val="00BB65C3"/>
    <w:rsid w:val="00BB662E"/>
    <w:rsid w:val="00BB67A9"/>
    <w:rsid w:val="00BB6C01"/>
    <w:rsid w:val="00BB7942"/>
    <w:rsid w:val="00BB7CD1"/>
    <w:rsid w:val="00BC0F33"/>
    <w:rsid w:val="00BC14A7"/>
    <w:rsid w:val="00BC17CC"/>
    <w:rsid w:val="00BC209F"/>
    <w:rsid w:val="00BC20A1"/>
    <w:rsid w:val="00BC24AD"/>
    <w:rsid w:val="00BC2898"/>
    <w:rsid w:val="00BC2928"/>
    <w:rsid w:val="00BC29BD"/>
    <w:rsid w:val="00BC2BB1"/>
    <w:rsid w:val="00BC34A3"/>
    <w:rsid w:val="00BC3FF9"/>
    <w:rsid w:val="00BC4834"/>
    <w:rsid w:val="00BC4A97"/>
    <w:rsid w:val="00BC566B"/>
    <w:rsid w:val="00BC5A25"/>
    <w:rsid w:val="00BC5FDD"/>
    <w:rsid w:val="00BC68B4"/>
    <w:rsid w:val="00BC7277"/>
    <w:rsid w:val="00BD0140"/>
    <w:rsid w:val="00BD02CC"/>
    <w:rsid w:val="00BD088E"/>
    <w:rsid w:val="00BD0F18"/>
    <w:rsid w:val="00BD182E"/>
    <w:rsid w:val="00BD2063"/>
    <w:rsid w:val="00BD28C4"/>
    <w:rsid w:val="00BD2950"/>
    <w:rsid w:val="00BD337A"/>
    <w:rsid w:val="00BD33D9"/>
    <w:rsid w:val="00BD38C5"/>
    <w:rsid w:val="00BD3A6D"/>
    <w:rsid w:val="00BD3AF1"/>
    <w:rsid w:val="00BD3DEA"/>
    <w:rsid w:val="00BD3E97"/>
    <w:rsid w:val="00BD40E4"/>
    <w:rsid w:val="00BD52FE"/>
    <w:rsid w:val="00BD6265"/>
    <w:rsid w:val="00BD62CF"/>
    <w:rsid w:val="00BD67B2"/>
    <w:rsid w:val="00BD68E2"/>
    <w:rsid w:val="00BD6D41"/>
    <w:rsid w:val="00BD7522"/>
    <w:rsid w:val="00BD76E5"/>
    <w:rsid w:val="00BD78FE"/>
    <w:rsid w:val="00BD7FA3"/>
    <w:rsid w:val="00BE0149"/>
    <w:rsid w:val="00BE0767"/>
    <w:rsid w:val="00BE07A6"/>
    <w:rsid w:val="00BE0CDF"/>
    <w:rsid w:val="00BE0F24"/>
    <w:rsid w:val="00BE12D7"/>
    <w:rsid w:val="00BE1372"/>
    <w:rsid w:val="00BE1775"/>
    <w:rsid w:val="00BE18DA"/>
    <w:rsid w:val="00BE1A14"/>
    <w:rsid w:val="00BE26C0"/>
    <w:rsid w:val="00BE3442"/>
    <w:rsid w:val="00BE37CD"/>
    <w:rsid w:val="00BE47B2"/>
    <w:rsid w:val="00BE4881"/>
    <w:rsid w:val="00BE48C7"/>
    <w:rsid w:val="00BE4F66"/>
    <w:rsid w:val="00BE4FBF"/>
    <w:rsid w:val="00BE5238"/>
    <w:rsid w:val="00BE5742"/>
    <w:rsid w:val="00BE6074"/>
    <w:rsid w:val="00BE6D73"/>
    <w:rsid w:val="00BE7257"/>
    <w:rsid w:val="00BE792A"/>
    <w:rsid w:val="00BF020D"/>
    <w:rsid w:val="00BF0532"/>
    <w:rsid w:val="00BF0609"/>
    <w:rsid w:val="00BF0EE8"/>
    <w:rsid w:val="00BF0F20"/>
    <w:rsid w:val="00BF10ED"/>
    <w:rsid w:val="00BF15F2"/>
    <w:rsid w:val="00BF1D48"/>
    <w:rsid w:val="00BF1DD2"/>
    <w:rsid w:val="00BF23A3"/>
    <w:rsid w:val="00BF2A7E"/>
    <w:rsid w:val="00BF2CD0"/>
    <w:rsid w:val="00BF3331"/>
    <w:rsid w:val="00BF3A45"/>
    <w:rsid w:val="00BF436F"/>
    <w:rsid w:val="00BF5C05"/>
    <w:rsid w:val="00BF6A12"/>
    <w:rsid w:val="00BF6FC6"/>
    <w:rsid w:val="00BF7B1E"/>
    <w:rsid w:val="00BF7C52"/>
    <w:rsid w:val="00BF7F99"/>
    <w:rsid w:val="00C00713"/>
    <w:rsid w:val="00C009A0"/>
    <w:rsid w:val="00C0167E"/>
    <w:rsid w:val="00C01F74"/>
    <w:rsid w:val="00C020C1"/>
    <w:rsid w:val="00C02558"/>
    <w:rsid w:val="00C025FE"/>
    <w:rsid w:val="00C0285F"/>
    <w:rsid w:val="00C028F5"/>
    <w:rsid w:val="00C02F35"/>
    <w:rsid w:val="00C03305"/>
    <w:rsid w:val="00C033EC"/>
    <w:rsid w:val="00C03515"/>
    <w:rsid w:val="00C03738"/>
    <w:rsid w:val="00C037A6"/>
    <w:rsid w:val="00C04221"/>
    <w:rsid w:val="00C043F5"/>
    <w:rsid w:val="00C044E3"/>
    <w:rsid w:val="00C04607"/>
    <w:rsid w:val="00C04BDB"/>
    <w:rsid w:val="00C052C6"/>
    <w:rsid w:val="00C056DF"/>
    <w:rsid w:val="00C05A61"/>
    <w:rsid w:val="00C05FBA"/>
    <w:rsid w:val="00C05FEE"/>
    <w:rsid w:val="00C066B4"/>
    <w:rsid w:val="00C06CCF"/>
    <w:rsid w:val="00C0794D"/>
    <w:rsid w:val="00C1066C"/>
    <w:rsid w:val="00C10E78"/>
    <w:rsid w:val="00C1159D"/>
    <w:rsid w:val="00C1233E"/>
    <w:rsid w:val="00C1276C"/>
    <w:rsid w:val="00C12FB3"/>
    <w:rsid w:val="00C138BC"/>
    <w:rsid w:val="00C13D85"/>
    <w:rsid w:val="00C14575"/>
    <w:rsid w:val="00C14639"/>
    <w:rsid w:val="00C14E82"/>
    <w:rsid w:val="00C14FF6"/>
    <w:rsid w:val="00C157F1"/>
    <w:rsid w:val="00C15A85"/>
    <w:rsid w:val="00C1637C"/>
    <w:rsid w:val="00C1641B"/>
    <w:rsid w:val="00C1641F"/>
    <w:rsid w:val="00C165FC"/>
    <w:rsid w:val="00C16DCE"/>
    <w:rsid w:val="00C176D5"/>
    <w:rsid w:val="00C17918"/>
    <w:rsid w:val="00C17D24"/>
    <w:rsid w:val="00C2082C"/>
    <w:rsid w:val="00C20EB0"/>
    <w:rsid w:val="00C21004"/>
    <w:rsid w:val="00C21005"/>
    <w:rsid w:val="00C218DF"/>
    <w:rsid w:val="00C220B6"/>
    <w:rsid w:val="00C2296B"/>
    <w:rsid w:val="00C22D7C"/>
    <w:rsid w:val="00C22DDE"/>
    <w:rsid w:val="00C2338B"/>
    <w:rsid w:val="00C233CE"/>
    <w:rsid w:val="00C237DD"/>
    <w:rsid w:val="00C238F4"/>
    <w:rsid w:val="00C2393A"/>
    <w:rsid w:val="00C23A99"/>
    <w:rsid w:val="00C23AB5"/>
    <w:rsid w:val="00C245EE"/>
    <w:rsid w:val="00C24AE1"/>
    <w:rsid w:val="00C24B8D"/>
    <w:rsid w:val="00C24BD7"/>
    <w:rsid w:val="00C24F7A"/>
    <w:rsid w:val="00C25813"/>
    <w:rsid w:val="00C26C71"/>
    <w:rsid w:val="00C27143"/>
    <w:rsid w:val="00C2725D"/>
    <w:rsid w:val="00C27490"/>
    <w:rsid w:val="00C27556"/>
    <w:rsid w:val="00C27D37"/>
    <w:rsid w:val="00C309E8"/>
    <w:rsid w:val="00C31583"/>
    <w:rsid w:val="00C32017"/>
    <w:rsid w:val="00C32571"/>
    <w:rsid w:val="00C325CD"/>
    <w:rsid w:val="00C3322E"/>
    <w:rsid w:val="00C337F5"/>
    <w:rsid w:val="00C3383E"/>
    <w:rsid w:val="00C33B90"/>
    <w:rsid w:val="00C34161"/>
    <w:rsid w:val="00C34B5F"/>
    <w:rsid w:val="00C358D4"/>
    <w:rsid w:val="00C365C6"/>
    <w:rsid w:val="00C366F4"/>
    <w:rsid w:val="00C36785"/>
    <w:rsid w:val="00C36FEA"/>
    <w:rsid w:val="00C3711C"/>
    <w:rsid w:val="00C37256"/>
    <w:rsid w:val="00C37A7B"/>
    <w:rsid w:val="00C37DC1"/>
    <w:rsid w:val="00C37FA6"/>
    <w:rsid w:val="00C37FFE"/>
    <w:rsid w:val="00C40B50"/>
    <w:rsid w:val="00C419E3"/>
    <w:rsid w:val="00C419F4"/>
    <w:rsid w:val="00C41E6A"/>
    <w:rsid w:val="00C42150"/>
    <w:rsid w:val="00C42247"/>
    <w:rsid w:val="00C428E7"/>
    <w:rsid w:val="00C438A2"/>
    <w:rsid w:val="00C439BE"/>
    <w:rsid w:val="00C43A17"/>
    <w:rsid w:val="00C451B2"/>
    <w:rsid w:val="00C4539B"/>
    <w:rsid w:val="00C45466"/>
    <w:rsid w:val="00C455C1"/>
    <w:rsid w:val="00C4581D"/>
    <w:rsid w:val="00C46CA4"/>
    <w:rsid w:val="00C4709B"/>
    <w:rsid w:val="00C47472"/>
    <w:rsid w:val="00C500F0"/>
    <w:rsid w:val="00C504A7"/>
    <w:rsid w:val="00C506C9"/>
    <w:rsid w:val="00C50A16"/>
    <w:rsid w:val="00C518CF"/>
    <w:rsid w:val="00C51C9A"/>
    <w:rsid w:val="00C52C68"/>
    <w:rsid w:val="00C52D98"/>
    <w:rsid w:val="00C52DA1"/>
    <w:rsid w:val="00C53D24"/>
    <w:rsid w:val="00C54640"/>
    <w:rsid w:val="00C547A6"/>
    <w:rsid w:val="00C54A3A"/>
    <w:rsid w:val="00C55C32"/>
    <w:rsid w:val="00C5602D"/>
    <w:rsid w:val="00C56A67"/>
    <w:rsid w:val="00C56CC2"/>
    <w:rsid w:val="00C56D8D"/>
    <w:rsid w:val="00C57498"/>
    <w:rsid w:val="00C5763C"/>
    <w:rsid w:val="00C5780C"/>
    <w:rsid w:val="00C5796B"/>
    <w:rsid w:val="00C57C64"/>
    <w:rsid w:val="00C612C4"/>
    <w:rsid w:val="00C619A1"/>
    <w:rsid w:val="00C62370"/>
    <w:rsid w:val="00C62BBB"/>
    <w:rsid w:val="00C6305F"/>
    <w:rsid w:val="00C6325B"/>
    <w:rsid w:val="00C63888"/>
    <w:rsid w:val="00C63DDD"/>
    <w:rsid w:val="00C63E99"/>
    <w:rsid w:val="00C649B8"/>
    <w:rsid w:val="00C64A64"/>
    <w:rsid w:val="00C65151"/>
    <w:rsid w:val="00C657F4"/>
    <w:rsid w:val="00C6598D"/>
    <w:rsid w:val="00C660FE"/>
    <w:rsid w:val="00C66119"/>
    <w:rsid w:val="00C66292"/>
    <w:rsid w:val="00C672A3"/>
    <w:rsid w:val="00C672F1"/>
    <w:rsid w:val="00C673D0"/>
    <w:rsid w:val="00C6742E"/>
    <w:rsid w:val="00C67B0B"/>
    <w:rsid w:val="00C67C0E"/>
    <w:rsid w:val="00C70012"/>
    <w:rsid w:val="00C70539"/>
    <w:rsid w:val="00C707DD"/>
    <w:rsid w:val="00C71767"/>
    <w:rsid w:val="00C71E2A"/>
    <w:rsid w:val="00C733BA"/>
    <w:rsid w:val="00C742F6"/>
    <w:rsid w:val="00C760DC"/>
    <w:rsid w:val="00C77777"/>
    <w:rsid w:val="00C8082B"/>
    <w:rsid w:val="00C80C6B"/>
    <w:rsid w:val="00C81A88"/>
    <w:rsid w:val="00C81D46"/>
    <w:rsid w:val="00C82298"/>
    <w:rsid w:val="00C82DC7"/>
    <w:rsid w:val="00C8331F"/>
    <w:rsid w:val="00C833B4"/>
    <w:rsid w:val="00C84284"/>
    <w:rsid w:val="00C84E33"/>
    <w:rsid w:val="00C85FFC"/>
    <w:rsid w:val="00C861FC"/>
    <w:rsid w:val="00C86C87"/>
    <w:rsid w:val="00C9005E"/>
    <w:rsid w:val="00C90111"/>
    <w:rsid w:val="00C9038E"/>
    <w:rsid w:val="00C9077B"/>
    <w:rsid w:val="00C90B39"/>
    <w:rsid w:val="00C90CA9"/>
    <w:rsid w:val="00C90F88"/>
    <w:rsid w:val="00C915F2"/>
    <w:rsid w:val="00C917B1"/>
    <w:rsid w:val="00C9193C"/>
    <w:rsid w:val="00C91B77"/>
    <w:rsid w:val="00C920E2"/>
    <w:rsid w:val="00C925F1"/>
    <w:rsid w:val="00C9370F"/>
    <w:rsid w:val="00C93765"/>
    <w:rsid w:val="00C93877"/>
    <w:rsid w:val="00C939D1"/>
    <w:rsid w:val="00C93D8C"/>
    <w:rsid w:val="00C93E07"/>
    <w:rsid w:val="00C93F2A"/>
    <w:rsid w:val="00C940D9"/>
    <w:rsid w:val="00C946CC"/>
    <w:rsid w:val="00C959BD"/>
    <w:rsid w:val="00C95DFE"/>
    <w:rsid w:val="00C95F44"/>
    <w:rsid w:val="00C96331"/>
    <w:rsid w:val="00C96D1B"/>
    <w:rsid w:val="00C97106"/>
    <w:rsid w:val="00C978D4"/>
    <w:rsid w:val="00CA0031"/>
    <w:rsid w:val="00CA0413"/>
    <w:rsid w:val="00CA043A"/>
    <w:rsid w:val="00CA0E51"/>
    <w:rsid w:val="00CA1691"/>
    <w:rsid w:val="00CA2697"/>
    <w:rsid w:val="00CA41E7"/>
    <w:rsid w:val="00CA4A99"/>
    <w:rsid w:val="00CA4CCC"/>
    <w:rsid w:val="00CA5173"/>
    <w:rsid w:val="00CA5520"/>
    <w:rsid w:val="00CA5812"/>
    <w:rsid w:val="00CA5984"/>
    <w:rsid w:val="00CA5BD4"/>
    <w:rsid w:val="00CA5C14"/>
    <w:rsid w:val="00CA6B2F"/>
    <w:rsid w:val="00CA7019"/>
    <w:rsid w:val="00CA76FC"/>
    <w:rsid w:val="00CA7E7B"/>
    <w:rsid w:val="00CB0236"/>
    <w:rsid w:val="00CB0C97"/>
    <w:rsid w:val="00CB0CB1"/>
    <w:rsid w:val="00CB137C"/>
    <w:rsid w:val="00CB1881"/>
    <w:rsid w:val="00CB1969"/>
    <w:rsid w:val="00CB19E3"/>
    <w:rsid w:val="00CB2C3A"/>
    <w:rsid w:val="00CB2D38"/>
    <w:rsid w:val="00CB2F5E"/>
    <w:rsid w:val="00CB4137"/>
    <w:rsid w:val="00CB50D0"/>
    <w:rsid w:val="00CB52D0"/>
    <w:rsid w:val="00CB5578"/>
    <w:rsid w:val="00CB5671"/>
    <w:rsid w:val="00CB591C"/>
    <w:rsid w:val="00CB5943"/>
    <w:rsid w:val="00CB61B3"/>
    <w:rsid w:val="00CB61F2"/>
    <w:rsid w:val="00CB6801"/>
    <w:rsid w:val="00CB6F83"/>
    <w:rsid w:val="00CB72AE"/>
    <w:rsid w:val="00CC00CD"/>
    <w:rsid w:val="00CC0579"/>
    <w:rsid w:val="00CC090E"/>
    <w:rsid w:val="00CC0AF3"/>
    <w:rsid w:val="00CC0BC6"/>
    <w:rsid w:val="00CC0E68"/>
    <w:rsid w:val="00CC1780"/>
    <w:rsid w:val="00CC194E"/>
    <w:rsid w:val="00CC1C03"/>
    <w:rsid w:val="00CC21AC"/>
    <w:rsid w:val="00CC232E"/>
    <w:rsid w:val="00CC2514"/>
    <w:rsid w:val="00CC2D34"/>
    <w:rsid w:val="00CC2F69"/>
    <w:rsid w:val="00CC315F"/>
    <w:rsid w:val="00CC3D38"/>
    <w:rsid w:val="00CC3F2F"/>
    <w:rsid w:val="00CC40C3"/>
    <w:rsid w:val="00CC4CB4"/>
    <w:rsid w:val="00CC4E5D"/>
    <w:rsid w:val="00CC4EF4"/>
    <w:rsid w:val="00CC4F87"/>
    <w:rsid w:val="00CC50AE"/>
    <w:rsid w:val="00CC5FFE"/>
    <w:rsid w:val="00CC61B7"/>
    <w:rsid w:val="00CC61CA"/>
    <w:rsid w:val="00CC69EC"/>
    <w:rsid w:val="00CC71D3"/>
    <w:rsid w:val="00CC743D"/>
    <w:rsid w:val="00CD02ED"/>
    <w:rsid w:val="00CD050A"/>
    <w:rsid w:val="00CD1017"/>
    <w:rsid w:val="00CD109C"/>
    <w:rsid w:val="00CD205D"/>
    <w:rsid w:val="00CD2A22"/>
    <w:rsid w:val="00CD2B50"/>
    <w:rsid w:val="00CD3172"/>
    <w:rsid w:val="00CD405A"/>
    <w:rsid w:val="00CD4506"/>
    <w:rsid w:val="00CD520B"/>
    <w:rsid w:val="00CD592E"/>
    <w:rsid w:val="00CD5982"/>
    <w:rsid w:val="00CD5A1A"/>
    <w:rsid w:val="00CD5C26"/>
    <w:rsid w:val="00CD6126"/>
    <w:rsid w:val="00CD6CAB"/>
    <w:rsid w:val="00CD7EFA"/>
    <w:rsid w:val="00CE020E"/>
    <w:rsid w:val="00CE026B"/>
    <w:rsid w:val="00CE0566"/>
    <w:rsid w:val="00CE1CD4"/>
    <w:rsid w:val="00CE24D3"/>
    <w:rsid w:val="00CE2761"/>
    <w:rsid w:val="00CE28FC"/>
    <w:rsid w:val="00CE314E"/>
    <w:rsid w:val="00CE3A85"/>
    <w:rsid w:val="00CE3D5C"/>
    <w:rsid w:val="00CE3E09"/>
    <w:rsid w:val="00CE3E14"/>
    <w:rsid w:val="00CE44C7"/>
    <w:rsid w:val="00CE53CC"/>
    <w:rsid w:val="00CE5F60"/>
    <w:rsid w:val="00CE65A7"/>
    <w:rsid w:val="00CE68EF"/>
    <w:rsid w:val="00CE68FE"/>
    <w:rsid w:val="00CE69CC"/>
    <w:rsid w:val="00CE6EC4"/>
    <w:rsid w:val="00CE7F26"/>
    <w:rsid w:val="00CF021C"/>
    <w:rsid w:val="00CF1226"/>
    <w:rsid w:val="00CF1ABB"/>
    <w:rsid w:val="00CF1E1D"/>
    <w:rsid w:val="00CF1EB8"/>
    <w:rsid w:val="00CF24FE"/>
    <w:rsid w:val="00CF287F"/>
    <w:rsid w:val="00CF305E"/>
    <w:rsid w:val="00CF35D0"/>
    <w:rsid w:val="00CF3B57"/>
    <w:rsid w:val="00CF3D61"/>
    <w:rsid w:val="00CF3DD5"/>
    <w:rsid w:val="00CF43E7"/>
    <w:rsid w:val="00CF4AF7"/>
    <w:rsid w:val="00CF4D20"/>
    <w:rsid w:val="00CF5EC0"/>
    <w:rsid w:val="00CF73F8"/>
    <w:rsid w:val="00CF7675"/>
    <w:rsid w:val="00CF7928"/>
    <w:rsid w:val="00CF7CA2"/>
    <w:rsid w:val="00D00911"/>
    <w:rsid w:val="00D00A8E"/>
    <w:rsid w:val="00D00DE0"/>
    <w:rsid w:val="00D00F79"/>
    <w:rsid w:val="00D012BF"/>
    <w:rsid w:val="00D01760"/>
    <w:rsid w:val="00D01838"/>
    <w:rsid w:val="00D028B5"/>
    <w:rsid w:val="00D0368E"/>
    <w:rsid w:val="00D03AC3"/>
    <w:rsid w:val="00D03D2D"/>
    <w:rsid w:val="00D03E7B"/>
    <w:rsid w:val="00D0401A"/>
    <w:rsid w:val="00D047E0"/>
    <w:rsid w:val="00D04B9F"/>
    <w:rsid w:val="00D04D43"/>
    <w:rsid w:val="00D04F94"/>
    <w:rsid w:val="00D04FFB"/>
    <w:rsid w:val="00D055FE"/>
    <w:rsid w:val="00D058E9"/>
    <w:rsid w:val="00D0612A"/>
    <w:rsid w:val="00D06693"/>
    <w:rsid w:val="00D1060D"/>
    <w:rsid w:val="00D10D14"/>
    <w:rsid w:val="00D10E7C"/>
    <w:rsid w:val="00D11182"/>
    <w:rsid w:val="00D1137B"/>
    <w:rsid w:val="00D11508"/>
    <w:rsid w:val="00D11807"/>
    <w:rsid w:val="00D11881"/>
    <w:rsid w:val="00D11DB3"/>
    <w:rsid w:val="00D12D82"/>
    <w:rsid w:val="00D12F77"/>
    <w:rsid w:val="00D1306E"/>
    <w:rsid w:val="00D130B7"/>
    <w:rsid w:val="00D134CD"/>
    <w:rsid w:val="00D13FE4"/>
    <w:rsid w:val="00D1401E"/>
    <w:rsid w:val="00D14B5F"/>
    <w:rsid w:val="00D14E13"/>
    <w:rsid w:val="00D14F23"/>
    <w:rsid w:val="00D160F6"/>
    <w:rsid w:val="00D16740"/>
    <w:rsid w:val="00D16A8B"/>
    <w:rsid w:val="00D16E39"/>
    <w:rsid w:val="00D171DE"/>
    <w:rsid w:val="00D172A4"/>
    <w:rsid w:val="00D17951"/>
    <w:rsid w:val="00D17AD8"/>
    <w:rsid w:val="00D205C7"/>
    <w:rsid w:val="00D2104A"/>
    <w:rsid w:val="00D21A58"/>
    <w:rsid w:val="00D21BB5"/>
    <w:rsid w:val="00D21FFC"/>
    <w:rsid w:val="00D223B6"/>
    <w:rsid w:val="00D223E8"/>
    <w:rsid w:val="00D224E1"/>
    <w:rsid w:val="00D22DC8"/>
    <w:rsid w:val="00D23094"/>
    <w:rsid w:val="00D23732"/>
    <w:rsid w:val="00D2374F"/>
    <w:rsid w:val="00D2376E"/>
    <w:rsid w:val="00D2477B"/>
    <w:rsid w:val="00D24F93"/>
    <w:rsid w:val="00D25027"/>
    <w:rsid w:val="00D2522A"/>
    <w:rsid w:val="00D2531C"/>
    <w:rsid w:val="00D25428"/>
    <w:rsid w:val="00D2553E"/>
    <w:rsid w:val="00D2587F"/>
    <w:rsid w:val="00D2742F"/>
    <w:rsid w:val="00D2754F"/>
    <w:rsid w:val="00D277C5"/>
    <w:rsid w:val="00D279D9"/>
    <w:rsid w:val="00D309A0"/>
    <w:rsid w:val="00D312DC"/>
    <w:rsid w:val="00D31B84"/>
    <w:rsid w:val="00D31C6A"/>
    <w:rsid w:val="00D31EDF"/>
    <w:rsid w:val="00D31FF9"/>
    <w:rsid w:val="00D32149"/>
    <w:rsid w:val="00D32256"/>
    <w:rsid w:val="00D32784"/>
    <w:rsid w:val="00D32A27"/>
    <w:rsid w:val="00D32ABC"/>
    <w:rsid w:val="00D33D9B"/>
    <w:rsid w:val="00D33EE9"/>
    <w:rsid w:val="00D33FA4"/>
    <w:rsid w:val="00D34B25"/>
    <w:rsid w:val="00D34C7F"/>
    <w:rsid w:val="00D34F4E"/>
    <w:rsid w:val="00D357F3"/>
    <w:rsid w:val="00D35C0E"/>
    <w:rsid w:val="00D36FBF"/>
    <w:rsid w:val="00D373A8"/>
    <w:rsid w:val="00D379A5"/>
    <w:rsid w:val="00D37BB3"/>
    <w:rsid w:val="00D37C5D"/>
    <w:rsid w:val="00D401BE"/>
    <w:rsid w:val="00D4043A"/>
    <w:rsid w:val="00D40DB0"/>
    <w:rsid w:val="00D41093"/>
    <w:rsid w:val="00D41858"/>
    <w:rsid w:val="00D41EEB"/>
    <w:rsid w:val="00D422DB"/>
    <w:rsid w:val="00D4289B"/>
    <w:rsid w:val="00D42AC2"/>
    <w:rsid w:val="00D4498E"/>
    <w:rsid w:val="00D4515F"/>
    <w:rsid w:val="00D451E8"/>
    <w:rsid w:val="00D45EE8"/>
    <w:rsid w:val="00D466C9"/>
    <w:rsid w:val="00D46B43"/>
    <w:rsid w:val="00D47275"/>
    <w:rsid w:val="00D517F6"/>
    <w:rsid w:val="00D51AB7"/>
    <w:rsid w:val="00D51E15"/>
    <w:rsid w:val="00D51FBC"/>
    <w:rsid w:val="00D52B7E"/>
    <w:rsid w:val="00D52E2F"/>
    <w:rsid w:val="00D52F59"/>
    <w:rsid w:val="00D53445"/>
    <w:rsid w:val="00D536E0"/>
    <w:rsid w:val="00D53C61"/>
    <w:rsid w:val="00D53E3E"/>
    <w:rsid w:val="00D54620"/>
    <w:rsid w:val="00D55904"/>
    <w:rsid w:val="00D55DFF"/>
    <w:rsid w:val="00D5614E"/>
    <w:rsid w:val="00D5616F"/>
    <w:rsid w:val="00D57940"/>
    <w:rsid w:val="00D60327"/>
    <w:rsid w:val="00D605BB"/>
    <w:rsid w:val="00D61384"/>
    <w:rsid w:val="00D61526"/>
    <w:rsid w:val="00D61C39"/>
    <w:rsid w:val="00D61F81"/>
    <w:rsid w:val="00D62088"/>
    <w:rsid w:val="00D620A6"/>
    <w:rsid w:val="00D623C0"/>
    <w:rsid w:val="00D62631"/>
    <w:rsid w:val="00D62BE6"/>
    <w:rsid w:val="00D62F00"/>
    <w:rsid w:val="00D63359"/>
    <w:rsid w:val="00D63706"/>
    <w:rsid w:val="00D63766"/>
    <w:rsid w:val="00D63912"/>
    <w:rsid w:val="00D63923"/>
    <w:rsid w:val="00D6451B"/>
    <w:rsid w:val="00D64B57"/>
    <w:rsid w:val="00D650F4"/>
    <w:rsid w:val="00D651A1"/>
    <w:rsid w:val="00D6535E"/>
    <w:rsid w:val="00D65B2B"/>
    <w:rsid w:val="00D65C15"/>
    <w:rsid w:val="00D65DEA"/>
    <w:rsid w:val="00D6650F"/>
    <w:rsid w:val="00D66579"/>
    <w:rsid w:val="00D66CF2"/>
    <w:rsid w:val="00D676D3"/>
    <w:rsid w:val="00D67B06"/>
    <w:rsid w:val="00D67BC7"/>
    <w:rsid w:val="00D67C3B"/>
    <w:rsid w:val="00D701F1"/>
    <w:rsid w:val="00D705D3"/>
    <w:rsid w:val="00D70E00"/>
    <w:rsid w:val="00D70F7C"/>
    <w:rsid w:val="00D715AC"/>
    <w:rsid w:val="00D71851"/>
    <w:rsid w:val="00D718CF"/>
    <w:rsid w:val="00D728F5"/>
    <w:rsid w:val="00D72BC3"/>
    <w:rsid w:val="00D72E9D"/>
    <w:rsid w:val="00D73249"/>
    <w:rsid w:val="00D732AC"/>
    <w:rsid w:val="00D73419"/>
    <w:rsid w:val="00D73437"/>
    <w:rsid w:val="00D73881"/>
    <w:rsid w:val="00D73CA9"/>
    <w:rsid w:val="00D751B7"/>
    <w:rsid w:val="00D75232"/>
    <w:rsid w:val="00D7524B"/>
    <w:rsid w:val="00D75396"/>
    <w:rsid w:val="00D753E7"/>
    <w:rsid w:val="00D759C0"/>
    <w:rsid w:val="00D75E99"/>
    <w:rsid w:val="00D765CE"/>
    <w:rsid w:val="00D766C7"/>
    <w:rsid w:val="00D7692B"/>
    <w:rsid w:val="00D7734F"/>
    <w:rsid w:val="00D7762A"/>
    <w:rsid w:val="00D7791D"/>
    <w:rsid w:val="00D77CF4"/>
    <w:rsid w:val="00D77D89"/>
    <w:rsid w:val="00D8039E"/>
    <w:rsid w:val="00D8044C"/>
    <w:rsid w:val="00D805D6"/>
    <w:rsid w:val="00D8075E"/>
    <w:rsid w:val="00D80860"/>
    <w:rsid w:val="00D80D4C"/>
    <w:rsid w:val="00D8184D"/>
    <w:rsid w:val="00D81A7B"/>
    <w:rsid w:val="00D8223C"/>
    <w:rsid w:val="00D82A7D"/>
    <w:rsid w:val="00D82B57"/>
    <w:rsid w:val="00D82CE5"/>
    <w:rsid w:val="00D82DFA"/>
    <w:rsid w:val="00D831E3"/>
    <w:rsid w:val="00D8342C"/>
    <w:rsid w:val="00D84983"/>
    <w:rsid w:val="00D84C00"/>
    <w:rsid w:val="00D85494"/>
    <w:rsid w:val="00D8582C"/>
    <w:rsid w:val="00D85D61"/>
    <w:rsid w:val="00D8616D"/>
    <w:rsid w:val="00D8711B"/>
    <w:rsid w:val="00D87384"/>
    <w:rsid w:val="00D87882"/>
    <w:rsid w:val="00D9015D"/>
    <w:rsid w:val="00D90683"/>
    <w:rsid w:val="00D90B2A"/>
    <w:rsid w:val="00D91483"/>
    <w:rsid w:val="00D915C8"/>
    <w:rsid w:val="00D93049"/>
    <w:rsid w:val="00D9310B"/>
    <w:rsid w:val="00D931F3"/>
    <w:rsid w:val="00D93726"/>
    <w:rsid w:val="00D93F3E"/>
    <w:rsid w:val="00D9405B"/>
    <w:rsid w:val="00D94942"/>
    <w:rsid w:val="00D9502A"/>
    <w:rsid w:val="00D95145"/>
    <w:rsid w:val="00D96594"/>
    <w:rsid w:val="00D96678"/>
    <w:rsid w:val="00D967CB"/>
    <w:rsid w:val="00D968D4"/>
    <w:rsid w:val="00D96EE0"/>
    <w:rsid w:val="00D96F14"/>
    <w:rsid w:val="00D97BD1"/>
    <w:rsid w:val="00D97EF0"/>
    <w:rsid w:val="00DA00C3"/>
    <w:rsid w:val="00DA01E9"/>
    <w:rsid w:val="00DA06B8"/>
    <w:rsid w:val="00DA14A9"/>
    <w:rsid w:val="00DA1863"/>
    <w:rsid w:val="00DA1CE7"/>
    <w:rsid w:val="00DA286D"/>
    <w:rsid w:val="00DA2969"/>
    <w:rsid w:val="00DA29B7"/>
    <w:rsid w:val="00DA2E5F"/>
    <w:rsid w:val="00DA337C"/>
    <w:rsid w:val="00DA422F"/>
    <w:rsid w:val="00DA4842"/>
    <w:rsid w:val="00DA4C97"/>
    <w:rsid w:val="00DA5989"/>
    <w:rsid w:val="00DA5AB1"/>
    <w:rsid w:val="00DA5F9D"/>
    <w:rsid w:val="00DA6719"/>
    <w:rsid w:val="00DA69B2"/>
    <w:rsid w:val="00DA7462"/>
    <w:rsid w:val="00DA7AD0"/>
    <w:rsid w:val="00DB02D7"/>
    <w:rsid w:val="00DB03CC"/>
    <w:rsid w:val="00DB12D4"/>
    <w:rsid w:val="00DB14F0"/>
    <w:rsid w:val="00DB1745"/>
    <w:rsid w:val="00DB177C"/>
    <w:rsid w:val="00DB19BB"/>
    <w:rsid w:val="00DB1A00"/>
    <w:rsid w:val="00DB1AFF"/>
    <w:rsid w:val="00DB219A"/>
    <w:rsid w:val="00DB244B"/>
    <w:rsid w:val="00DB3165"/>
    <w:rsid w:val="00DB4292"/>
    <w:rsid w:val="00DB5023"/>
    <w:rsid w:val="00DB52D2"/>
    <w:rsid w:val="00DB6E46"/>
    <w:rsid w:val="00DB7117"/>
    <w:rsid w:val="00DB7760"/>
    <w:rsid w:val="00DB7DD4"/>
    <w:rsid w:val="00DC00B4"/>
    <w:rsid w:val="00DC0954"/>
    <w:rsid w:val="00DC0DF8"/>
    <w:rsid w:val="00DC15BA"/>
    <w:rsid w:val="00DC18CD"/>
    <w:rsid w:val="00DC1A68"/>
    <w:rsid w:val="00DC2072"/>
    <w:rsid w:val="00DC30B8"/>
    <w:rsid w:val="00DC478F"/>
    <w:rsid w:val="00DC61AC"/>
    <w:rsid w:val="00DC62E5"/>
    <w:rsid w:val="00DC6D70"/>
    <w:rsid w:val="00DC6DAA"/>
    <w:rsid w:val="00DC6F33"/>
    <w:rsid w:val="00DC7349"/>
    <w:rsid w:val="00DC7389"/>
    <w:rsid w:val="00DD0EA9"/>
    <w:rsid w:val="00DD14D8"/>
    <w:rsid w:val="00DD1599"/>
    <w:rsid w:val="00DD16F1"/>
    <w:rsid w:val="00DD1B03"/>
    <w:rsid w:val="00DD1E43"/>
    <w:rsid w:val="00DD1EDF"/>
    <w:rsid w:val="00DD1FF6"/>
    <w:rsid w:val="00DD2A62"/>
    <w:rsid w:val="00DD2F2F"/>
    <w:rsid w:val="00DD2F7A"/>
    <w:rsid w:val="00DD36D2"/>
    <w:rsid w:val="00DD37C4"/>
    <w:rsid w:val="00DD3885"/>
    <w:rsid w:val="00DD47D3"/>
    <w:rsid w:val="00DD5808"/>
    <w:rsid w:val="00DD5946"/>
    <w:rsid w:val="00DD5B04"/>
    <w:rsid w:val="00DD5DAE"/>
    <w:rsid w:val="00DD5EC6"/>
    <w:rsid w:val="00DD605F"/>
    <w:rsid w:val="00DD6A79"/>
    <w:rsid w:val="00DD72A0"/>
    <w:rsid w:val="00DD735D"/>
    <w:rsid w:val="00DD7F7D"/>
    <w:rsid w:val="00DE0159"/>
    <w:rsid w:val="00DE064A"/>
    <w:rsid w:val="00DE082D"/>
    <w:rsid w:val="00DE1410"/>
    <w:rsid w:val="00DE1B18"/>
    <w:rsid w:val="00DE20C6"/>
    <w:rsid w:val="00DE2C0C"/>
    <w:rsid w:val="00DE2E9B"/>
    <w:rsid w:val="00DE3119"/>
    <w:rsid w:val="00DE3789"/>
    <w:rsid w:val="00DE3C24"/>
    <w:rsid w:val="00DE3FF0"/>
    <w:rsid w:val="00DE4105"/>
    <w:rsid w:val="00DE4BEA"/>
    <w:rsid w:val="00DE5189"/>
    <w:rsid w:val="00DE67D2"/>
    <w:rsid w:val="00DE7108"/>
    <w:rsid w:val="00DE78D1"/>
    <w:rsid w:val="00DE78FF"/>
    <w:rsid w:val="00DE7B11"/>
    <w:rsid w:val="00DF0263"/>
    <w:rsid w:val="00DF0EB4"/>
    <w:rsid w:val="00DF158B"/>
    <w:rsid w:val="00DF170E"/>
    <w:rsid w:val="00DF193C"/>
    <w:rsid w:val="00DF1E36"/>
    <w:rsid w:val="00DF236B"/>
    <w:rsid w:val="00DF258A"/>
    <w:rsid w:val="00DF2A91"/>
    <w:rsid w:val="00DF3889"/>
    <w:rsid w:val="00DF3CC9"/>
    <w:rsid w:val="00DF4451"/>
    <w:rsid w:val="00DF49FF"/>
    <w:rsid w:val="00DF4FFB"/>
    <w:rsid w:val="00DF5236"/>
    <w:rsid w:val="00DF651F"/>
    <w:rsid w:val="00DF6F43"/>
    <w:rsid w:val="00DF71EA"/>
    <w:rsid w:val="00DF752F"/>
    <w:rsid w:val="00DF76A2"/>
    <w:rsid w:val="00E007AA"/>
    <w:rsid w:val="00E00B25"/>
    <w:rsid w:val="00E00B7A"/>
    <w:rsid w:val="00E01677"/>
    <w:rsid w:val="00E02144"/>
    <w:rsid w:val="00E02186"/>
    <w:rsid w:val="00E025C0"/>
    <w:rsid w:val="00E025C2"/>
    <w:rsid w:val="00E026BB"/>
    <w:rsid w:val="00E027C5"/>
    <w:rsid w:val="00E03124"/>
    <w:rsid w:val="00E031C3"/>
    <w:rsid w:val="00E03951"/>
    <w:rsid w:val="00E03DB8"/>
    <w:rsid w:val="00E03F17"/>
    <w:rsid w:val="00E0420C"/>
    <w:rsid w:val="00E04EDD"/>
    <w:rsid w:val="00E057B6"/>
    <w:rsid w:val="00E05E70"/>
    <w:rsid w:val="00E064BC"/>
    <w:rsid w:val="00E068BB"/>
    <w:rsid w:val="00E070C1"/>
    <w:rsid w:val="00E07225"/>
    <w:rsid w:val="00E073FC"/>
    <w:rsid w:val="00E076B4"/>
    <w:rsid w:val="00E07B55"/>
    <w:rsid w:val="00E10579"/>
    <w:rsid w:val="00E109DD"/>
    <w:rsid w:val="00E1119F"/>
    <w:rsid w:val="00E11229"/>
    <w:rsid w:val="00E114CA"/>
    <w:rsid w:val="00E127D1"/>
    <w:rsid w:val="00E13234"/>
    <w:rsid w:val="00E13867"/>
    <w:rsid w:val="00E1397F"/>
    <w:rsid w:val="00E13AB8"/>
    <w:rsid w:val="00E1482E"/>
    <w:rsid w:val="00E16382"/>
    <w:rsid w:val="00E1699C"/>
    <w:rsid w:val="00E16E75"/>
    <w:rsid w:val="00E1746D"/>
    <w:rsid w:val="00E2012A"/>
    <w:rsid w:val="00E205A2"/>
    <w:rsid w:val="00E20BA4"/>
    <w:rsid w:val="00E210D0"/>
    <w:rsid w:val="00E21887"/>
    <w:rsid w:val="00E21CC0"/>
    <w:rsid w:val="00E226EF"/>
    <w:rsid w:val="00E23137"/>
    <w:rsid w:val="00E23980"/>
    <w:rsid w:val="00E23AB0"/>
    <w:rsid w:val="00E241E9"/>
    <w:rsid w:val="00E243D8"/>
    <w:rsid w:val="00E24670"/>
    <w:rsid w:val="00E2490F"/>
    <w:rsid w:val="00E257C3"/>
    <w:rsid w:val="00E25CB3"/>
    <w:rsid w:val="00E25DA4"/>
    <w:rsid w:val="00E26237"/>
    <w:rsid w:val="00E26CB8"/>
    <w:rsid w:val="00E26D16"/>
    <w:rsid w:val="00E26FCF"/>
    <w:rsid w:val="00E27165"/>
    <w:rsid w:val="00E275D9"/>
    <w:rsid w:val="00E3044A"/>
    <w:rsid w:val="00E30E49"/>
    <w:rsid w:val="00E312B1"/>
    <w:rsid w:val="00E31A4A"/>
    <w:rsid w:val="00E3344A"/>
    <w:rsid w:val="00E337CC"/>
    <w:rsid w:val="00E33B29"/>
    <w:rsid w:val="00E33B62"/>
    <w:rsid w:val="00E3403D"/>
    <w:rsid w:val="00E340E4"/>
    <w:rsid w:val="00E34376"/>
    <w:rsid w:val="00E344BD"/>
    <w:rsid w:val="00E34548"/>
    <w:rsid w:val="00E34E6C"/>
    <w:rsid w:val="00E353E2"/>
    <w:rsid w:val="00E36345"/>
    <w:rsid w:val="00E36C86"/>
    <w:rsid w:val="00E36CEB"/>
    <w:rsid w:val="00E37A28"/>
    <w:rsid w:val="00E400C7"/>
    <w:rsid w:val="00E40430"/>
    <w:rsid w:val="00E40690"/>
    <w:rsid w:val="00E40AEB"/>
    <w:rsid w:val="00E40E82"/>
    <w:rsid w:val="00E41141"/>
    <w:rsid w:val="00E4143A"/>
    <w:rsid w:val="00E41E97"/>
    <w:rsid w:val="00E41FFC"/>
    <w:rsid w:val="00E424C8"/>
    <w:rsid w:val="00E4251D"/>
    <w:rsid w:val="00E427EF"/>
    <w:rsid w:val="00E43D00"/>
    <w:rsid w:val="00E43FCB"/>
    <w:rsid w:val="00E443B4"/>
    <w:rsid w:val="00E445E4"/>
    <w:rsid w:val="00E457CB"/>
    <w:rsid w:val="00E45D47"/>
    <w:rsid w:val="00E45DE4"/>
    <w:rsid w:val="00E45E63"/>
    <w:rsid w:val="00E45F35"/>
    <w:rsid w:val="00E47027"/>
    <w:rsid w:val="00E4759C"/>
    <w:rsid w:val="00E50A7B"/>
    <w:rsid w:val="00E50B0B"/>
    <w:rsid w:val="00E50C57"/>
    <w:rsid w:val="00E510FE"/>
    <w:rsid w:val="00E514BA"/>
    <w:rsid w:val="00E51E25"/>
    <w:rsid w:val="00E5205B"/>
    <w:rsid w:val="00E521AE"/>
    <w:rsid w:val="00E529A3"/>
    <w:rsid w:val="00E533EE"/>
    <w:rsid w:val="00E53A21"/>
    <w:rsid w:val="00E53BCA"/>
    <w:rsid w:val="00E53DE2"/>
    <w:rsid w:val="00E53F02"/>
    <w:rsid w:val="00E5428D"/>
    <w:rsid w:val="00E54534"/>
    <w:rsid w:val="00E548C3"/>
    <w:rsid w:val="00E54C6E"/>
    <w:rsid w:val="00E54F27"/>
    <w:rsid w:val="00E5501E"/>
    <w:rsid w:val="00E55FF1"/>
    <w:rsid w:val="00E56090"/>
    <w:rsid w:val="00E56408"/>
    <w:rsid w:val="00E565B9"/>
    <w:rsid w:val="00E56E7B"/>
    <w:rsid w:val="00E5733B"/>
    <w:rsid w:val="00E5756C"/>
    <w:rsid w:val="00E5768D"/>
    <w:rsid w:val="00E57811"/>
    <w:rsid w:val="00E57CC5"/>
    <w:rsid w:val="00E57D8F"/>
    <w:rsid w:val="00E57FB0"/>
    <w:rsid w:val="00E601BE"/>
    <w:rsid w:val="00E60A44"/>
    <w:rsid w:val="00E60B5F"/>
    <w:rsid w:val="00E613AE"/>
    <w:rsid w:val="00E61429"/>
    <w:rsid w:val="00E61ABB"/>
    <w:rsid w:val="00E61FD7"/>
    <w:rsid w:val="00E623E6"/>
    <w:rsid w:val="00E62BBF"/>
    <w:rsid w:val="00E62C76"/>
    <w:rsid w:val="00E630A2"/>
    <w:rsid w:val="00E630C0"/>
    <w:rsid w:val="00E63107"/>
    <w:rsid w:val="00E6312C"/>
    <w:rsid w:val="00E634E6"/>
    <w:rsid w:val="00E63DCE"/>
    <w:rsid w:val="00E642EF"/>
    <w:rsid w:val="00E643A3"/>
    <w:rsid w:val="00E64700"/>
    <w:rsid w:val="00E65074"/>
    <w:rsid w:val="00E65857"/>
    <w:rsid w:val="00E65E70"/>
    <w:rsid w:val="00E66087"/>
    <w:rsid w:val="00E66D79"/>
    <w:rsid w:val="00E66FF9"/>
    <w:rsid w:val="00E6706F"/>
    <w:rsid w:val="00E673A2"/>
    <w:rsid w:val="00E67856"/>
    <w:rsid w:val="00E679C8"/>
    <w:rsid w:val="00E70314"/>
    <w:rsid w:val="00E70412"/>
    <w:rsid w:val="00E724E7"/>
    <w:rsid w:val="00E72791"/>
    <w:rsid w:val="00E72B41"/>
    <w:rsid w:val="00E7347B"/>
    <w:rsid w:val="00E73792"/>
    <w:rsid w:val="00E73D03"/>
    <w:rsid w:val="00E7471C"/>
    <w:rsid w:val="00E7498A"/>
    <w:rsid w:val="00E7514E"/>
    <w:rsid w:val="00E76537"/>
    <w:rsid w:val="00E77784"/>
    <w:rsid w:val="00E77A46"/>
    <w:rsid w:val="00E77AF5"/>
    <w:rsid w:val="00E8035B"/>
    <w:rsid w:val="00E806D9"/>
    <w:rsid w:val="00E80ADE"/>
    <w:rsid w:val="00E820F4"/>
    <w:rsid w:val="00E82263"/>
    <w:rsid w:val="00E823F9"/>
    <w:rsid w:val="00E82C1F"/>
    <w:rsid w:val="00E83671"/>
    <w:rsid w:val="00E83D1E"/>
    <w:rsid w:val="00E840EE"/>
    <w:rsid w:val="00E84314"/>
    <w:rsid w:val="00E849CA"/>
    <w:rsid w:val="00E84A71"/>
    <w:rsid w:val="00E8556F"/>
    <w:rsid w:val="00E86556"/>
    <w:rsid w:val="00E86D35"/>
    <w:rsid w:val="00E86DC2"/>
    <w:rsid w:val="00E86E32"/>
    <w:rsid w:val="00E86F2E"/>
    <w:rsid w:val="00E8732E"/>
    <w:rsid w:val="00E9011F"/>
    <w:rsid w:val="00E906EB"/>
    <w:rsid w:val="00E9170E"/>
    <w:rsid w:val="00E919FB"/>
    <w:rsid w:val="00E9241E"/>
    <w:rsid w:val="00E92460"/>
    <w:rsid w:val="00E92E62"/>
    <w:rsid w:val="00E93804"/>
    <w:rsid w:val="00E9429D"/>
    <w:rsid w:val="00E95434"/>
    <w:rsid w:val="00E96467"/>
    <w:rsid w:val="00E966DA"/>
    <w:rsid w:val="00E96948"/>
    <w:rsid w:val="00E9737B"/>
    <w:rsid w:val="00E97A3F"/>
    <w:rsid w:val="00E97F0A"/>
    <w:rsid w:val="00EA0100"/>
    <w:rsid w:val="00EA0455"/>
    <w:rsid w:val="00EA0BCE"/>
    <w:rsid w:val="00EA10E4"/>
    <w:rsid w:val="00EA17BC"/>
    <w:rsid w:val="00EA2744"/>
    <w:rsid w:val="00EA37B9"/>
    <w:rsid w:val="00EA39F7"/>
    <w:rsid w:val="00EA3DC2"/>
    <w:rsid w:val="00EA434E"/>
    <w:rsid w:val="00EA4757"/>
    <w:rsid w:val="00EA560B"/>
    <w:rsid w:val="00EA5669"/>
    <w:rsid w:val="00EA5A56"/>
    <w:rsid w:val="00EA5CC6"/>
    <w:rsid w:val="00EA63EF"/>
    <w:rsid w:val="00EA7026"/>
    <w:rsid w:val="00EA7CBF"/>
    <w:rsid w:val="00EB0A89"/>
    <w:rsid w:val="00EB0BD8"/>
    <w:rsid w:val="00EB1573"/>
    <w:rsid w:val="00EB1910"/>
    <w:rsid w:val="00EB2564"/>
    <w:rsid w:val="00EB2D83"/>
    <w:rsid w:val="00EB2E97"/>
    <w:rsid w:val="00EB3416"/>
    <w:rsid w:val="00EB497D"/>
    <w:rsid w:val="00EB4AE1"/>
    <w:rsid w:val="00EB52F4"/>
    <w:rsid w:val="00EB5694"/>
    <w:rsid w:val="00EB5779"/>
    <w:rsid w:val="00EB5D2F"/>
    <w:rsid w:val="00EB67F1"/>
    <w:rsid w:val="00EB6ADA"/>
    <w:rsid w:val="00EB7132"/>
    <w:rsid w:val="00EB72CD"/>
    <w:rsid w:val="00EB749A"/>
    <w:rsid w:val="00EB76B6"/>
    <w:rsid w:val="00EB7D8A"/>
    <w:rsid w:val="00EC04F7"/>
    <w:rsid w:val="00EC05E2"/>
    <w:rsid w:val="00EC0E84"/>
    <w:rsid w:val="00EC16E2"/>
    <w:rsid w:val="00EC1CE7"/>
    <w:rsid w:val="00EC1DAE"/>
    <w:rsid w:val="00EC22AD"/>
    <w:rsid w:val="00EC26F1"/>
    <w:rsid w:val="00EC2E9D"/>
    <w:rsid w:val="00EC3BA2"/>
    <w:rsid w:val="00EC3C94"/>
    <w:rsid w:val="00EC44DF"/>
    <w:rsid w:val="00EC4FB9"/>
    <w:rsid w:val="00EC5393"/>
    <w:rsid w:val="00EC5741"/>
    <w:rsid w:val="00EC5DA3"/>
    <w:rsid w:val="00EC6014"/>
    <w:rsid w:val="00EC6170"/>
    <w:rsid w:val="00EC6565"/>
    <w:rsid w:val="00EC6B3E"/>
    <w:rsid w:val="00EC73DE"/>
    <w:rsid w:val="00EC7637"/>
    <w:rsid w:val="00EC7C07"/>
    <w:rsid w:val="00EC7CF2"/>
    <w:rsid w:val="00ED046C"/>
    <w:rsid w:val="00ED053A"/>
    <w:rsid w:val="00ED163A"/>
    <w:rsid w:val="00ED1F03"/>
    <w:rsid w:val="00ED249D"/>
    <w:rsid w:val="00ED2D27"/>
    <w:rsid w:val="00ED2E91"/>
    <w:rsid w:val="00ED3347"/>
    <w:rsid w:val="00ED3441"/>
    <w:rsid w:val="00ED3860"/>
    <w:rsid w:val="00ED3954"/>
    <w:rsid w:val="00ED39AC"/>
    <w:rsid w:val="00ED43A2"/>
    <w:rsid w:val="00ED4967"/>
    <w:rsid w:val="00ED5140"/>
    <w:rsid w:val="00ED538C"/>
    <w:rsid w:val="00ED5771"/>
    <w:rsid w:val="00ED587F"/>
    <w:rsid w:val="00ED5964"/>
    <w:rsid w:val="00ED623F"/>
    <w:rsid w:val="00ED63A5"/>
    <w:rsid w:val="00ED69BA"/>
    <w:rsid w:val="00ED6D1A"/>
    <w:rsid w:val="00ED72E9"/>
    <w:rsid w:val="00ED732E"/>
    <w:rsid w:val="00ED74B3"/>
    <w:rsid w:val="00ED7609"/>
    <w:rsid w:val="00ED77F0"/>
    <w:rsid w:val="00ED7825"/>
    <w:rsid w:val="00ED7FBC"/>
    <w:rsid w:val="00EE0253"/>
    <w:rsid w:val="00EE0297"/>
    <w:rsid w:val="00EE1258"/>
    <w:rsid w:val="00EE13DA"/>
    <w:rsid w:val="00EE1668"/>
    <w:rsid w:val="00EE1EDB"/>
    <w:rsid w:val="00EE24E2"/>
    <w:rsid w:val="00EE2A20"/>
    <w:rsid w:val="00EE365D"/>
    <w:rsid w:val="00EE366D"/>
    <w:rsid w:val="00EE40A4"/>
    <w:rsid w:val="00EE5454"/>
    <w:rsid w:val="00EE59B5"/>
    <w:rsid w:val="00EE5FB7"/>
    <w:rsid w:val="00EE6783"/>
    <w:rsid w:val="00EE678B"/>
    <w:rsid w:val="00EE77D4"/>
    <w:rsid w:val="00EE7B54"/>
    <w:rsid w:val="00EE7C47"/>
    <w:rsid w:val="00EE7C88"/>
    <w:rsid w:val="00EE7C8B"/>
    <w:rsid w:val="00EF0209"/>
    <w:rsid w:val="00EF0B6B"/>
    <w:rsid w:val="00EF0EA4"/>
    <w:rsid w:val="00EF13A6"/>
    <w:rsid w:val="00EF1E97"/>
    <w:rsid w:val="00EF2436"/>
    <w:rsid w:val="00EF2547"/>
    <w:rsid w:val="00EF28D8"/>
    <w:rsid w:val="00EF2B2B"/>
    <w:rsid w:val="00EF2E1C"/>
    <w:rsid w:val="00EF2FD6"/>
    <w:rsid w:val="00EF326A"/>
    <w:rsid w:val="00EF397D"/>
    <w:rsid w:val="00EF41E8"/>
    <w:rsid w:val="00EF427A"/>
    <w:rsid w:val="00EF45DF"/>
    <w:rsid w:val="00EF4944"/>
    <w:rsid w:val="00EF4952"/>
    <w:rsid w:val="00EF498F"/>
    <w:rsid w:val="00EF4A42"/>
    <w:rsid w:val="00EF510C"/>
    <w:rsid w:val="00EF55C4"/>
    <w:rsid w:val="00EF57BC"/>
    <w:rsid w:val="00EF5CA8"/>
    <w:rsid w:val="00EF6784"/>
    <w:rsid w:val="00EF688A"/>
    <w:rsid w:val="00EF6A03"/>
    <w:rsid w:val="00EF6DC2"/>
    <w:rsid w:val="00EF7506"/>
    <w:rsid w:val="00EF760B"/>
    <w:rsid w:val="00EF7BF4"/>
    <w:rsid w:val="00EF7F76"/>
    <w:rsid w:val="00F0030F"/>
    <w:rsid w:val="00F00674"/>
    <w:rsid w:val="00F00EDC"/>
    <w:rsid w:val="00F01657"/>
    <w:rsid w:val="00F01E67"/>
    <w:rsid w:val="00F02744"/>
    <w:rsid w:val="00F02BFD"/>
    <w:rsid w:val="00F02D25"/>
    <w:rsid w:val="00F02FF4"/>
    <w:rsid w:val="00F03A9C"/>
    <w:rsid w:val="00F03C3D"/>
    <w:rsid w:val="00F0435D"/>
    <w:rsid w:val="00F04580"/>
    <w:rsid w:val="00F04ECA"/>
    <w:rsid w:val="00F04F8B"/>
    <w:rsid w:val="00F06E19"/>
    <w:rsid w:val="00F06F84"/>
    <w:rsid w:val="00F076E7"/>
    <w:rsid w:val="00F07A86"/>
    <w:rsid w:val="00F07AA1"/>
    <w:rsid w:val="00F102E0"/>
    <w:rsid w:val="00F105AE"/>
    <w:rsid w:val="00F10618"/>
    <w:rsid w:val="00F1085C"/>
    <w:rsid w:val="00F10E7D"/>
    <w:rsid w:val="00F1108B"/>
    <w:rsid w:val="00F114FA"/>
    <w:rsid w:val="00F11768"/>
    <w:rsid w:val="00F11951"/>
    <w:rsid w:val="00F12262"/>
    <w:rsid w:val="00F12564"/>
    <w:rsid w:val="00F12AF8"/>
    <w:rsid w:val="00F12C52"/>
    <w:rsid w:val="00F13381"/>
    <w:rsid w:val="00F13828"/>
    <w:rsid w:val="00F13E62"/>
    <w:rsid w:val="00F13F51"/>
    <w:rsid w:val="00F148B7"/>
    <w:rsid w:val="00F14EA9"/>
    <w:rsid w:val="00F15505"/>
    <w:rsid w:val="00F15BFF"/>
    <w:rsid w:val="00F1634B"/>
    <w:rsid w:val="00F16E4F"/>
    <w:rsid w:val="00F171B2"/>
    <w:rsid w:val="00F17244"/>
    <w:rsid w:val="00F20931"/>
    <w:rsid w:val="00F20ECE"/>
    <w:rsid w:val="00F213A0"/>
    <w:rsid w:val="00F21D54"/>
    <w:rsid w:val="00F21EF4"/>
    <w:rsid w:val="00F221A2"/>
    <w:rsid w:val="00F22697"/>
    <w:rsid w:val="00F23069"/>
    <w:rsid w:val="00F23113"/>
    <w:rsid w:val="00F23145"/>
    <w:rsid w:val="00F23255"/>
    <w:rsid w:val="00F23393"/>
    <w:rsid w:val="00F23759"/>
    <w:rsid w:val="00F24644"/>
    <w:rsid w:val="00F24BB1"/>
    <w:rsid w:val="00F25947"/>
    <w:rsid w:val="00F262D6"/>
    <w:rsid w:val="00F26F33"/>
    <w:rsid w:val="00F273D5"/>
    <w:rsid w:val="00F2748A"/>
    <w:rsid w:val="00F2786C"/>
    <w:rsid w:val="00F300A8"/>
    <w:rsid w:val="00F302C6"/>
    <w:rsid w:val="00F30400"/>
    <w:rsid w:val="00F3079E"/>
    <w:rsid w:val="00F310FF"/>
    <w:rsid w:val="00F31289"/>
    <w:rsid w:val="00F3232D"/>
    <w:rsid w:val="00F32D60"/>
    <w:rsid w:val="00F3399B"/>
    <w:rsid w:val="00F33F4B"/>
    <w:rsid w:val="00F346ED"/>
    <w:rsid w:val="00F34945"/>
    <w:rsid w:val="00F34E1E"/>
    <w:rsid w:val="00F354D0"/>
    <w:rsid w:val="00F3570C"/>
    <w:rsid w:val="00F363A4"/>
    <w:rsid w:val="00F36765"/>
    <w:rsid w:val="00F368FF"/>
    <w:rsid w:val="00F37068"/>
    <w:rsid w:val="00F37E5F"/>
    <w:rsid w:val="00F37F3F"/>
    <w:rsid w:val="00F40992"/>
    <w:rsid w:val="00F40F72"/>
    <w:rsid w:val="00F41596"/>
    <w:rsid w:val="00F41D8B"/>
    <w:rsid w:val="00F42121"/>
    <w:rsid w:val="00F421F2"/>
    <w:rsid w:val="00F424B3"/>
    <w:rsid w:val="00F428B1"/>
    <w:rsid w:val="00F428B4"/>
    <w:rsid w:val="00F4345D"/>
    <w:rsid w:val="00F4387B"/>
    <w:rsid w:val="00F45756"/>
    <w:rsid w:val="00F45921"/>
    <w:rsid w:val="00F45B91"/>
    <w:rsid w:val="00F46639"/>
    <w:rsid w:val="00F476FD"/>
    <w:rsid w:val="00F50183"/>
    <w:rsid w:val="00F50D92"/>
    <w:rsid w:val="00F51765"/>
    <w:rsid w:val="00F51991"/>
    <w:rsid w:val="00F51A51"/>
    <w:rsid w:val="00F51BC6"/>
    <w:rsid w:val="00F51CB4"/>
    <w:rsid w:val="00F51DE0"/>
    <w:rsid w:val="00F52200"/>
    <w:rsid w:val="00F52324"/>
    <w:rsid w:val="00F52950"/>
    <w:rsid w:val="00F52C9D"/>
    <w:rsid w:val="00F533F1"/>
    <w:rsid w:val="00F53F4F"/>
    <w:rsid w:val="00F55185"/>
    <w:rsid w:val="00F55679"/>
    <w:rsid w:val="00F561E3"/>
    <w:rsid w:val="00F565E6"/>
    <w:rsid w:val="00F56AFA"/>
    <w:rsid w:val="00F575E2"/>
    <w:rsid w:val="00F579FF"/>
    <w:rsid w:val="00F57FB7"/>
    <w:rsid w:val="00F600E0"/>
    <w:rsid w:val="00F605EC"/>
    <w:rsid w:val="00F60F60"/>
    <w:rsid w:val="00F612CE"/>
    <w:rsid w:val="00F6133C"/>
    <w:rsid w:val="00F61405"/>
    <w:rsid w:val="00F62227"/>
    <w:rsid w:val="00F624A7"/>
    <w:rsid w:val="00F62AB6"/>
    <w:rsid w:val="00F630AC"/>
    <w:rsid w:val="00F65559"/>
    <w:rsid w:val="00F659BB"/>
    <w:rsid w:val="00F65A3C"/>
    <w:rsid w:val="00F66009"/>
    <w:rsid w:val="00F66282"/>
    <w:rsid w:val="00F6639E"/>
    <w:rsid w:val="00F663DD"/>
    <w:rsid w:val="00F670E9"/>
    <w:rsid w:val="00F6749F"/>
    <w:rsid w:val="00F67AF1"/>
    <w:rsid w:val="00F67D8B"/>
    <w:rsid w:val="00F700CD"/>
    <w:rsid w:val="00F701C5"/>
    <w:rsid w:val="00F705A2"/>
    <w:rsid w:val="00F70961"/>
    <w:rsid w:val="00F70A8F"/>
    <w:rsid w:val="00F70F72"/>
    <w:rsid w:val="00F71397"/>
    <w:rsid w:val="00F72389"/>
    <w:rsid w:val="00F72516"/>
    <w:rsid w:val="00F72DD9"/>
    <w:rsid w:val="00F72FB4"/>
    <w:rsid w:val="00F732CF"/>
    <w:rsid w:val="00F735E5"/>
    <w:rsid w:val="00F73B82"/>
    <w:rsid w:val="00F73E80"/>
    <w:rsid w:val="00F7469C"/>
    <w:rsid w:val="00F7492E"/>
    <w:rsid w:val="00F74945"/>
    <w:rsid w:val="00F749A3"/>
    <w:rsid w:val="00F74AE8"/>
    <w:rsid w:val="00F76C11"/>
    <w:rsid w:val="00F77021"/>
    <w:rsid w:val="00F770AB"/>
    <w:rsid w:val="00F77E61"/>
    <w:rsid w:val="00F80221"/>
    <w:rsid w:val="00F80A0A"/>
    <w:rsid w:val="00F80C81"/>
    <w:rsid w:val="00F81100"/>
    <w:rsid w:val="00F815AC"/>
    <w:rsid w:val="00F83B33"/>
    <w:rsid w:val="00F83CAE"/>
    <w:rsid w:val="00F840BF"/>
    <w:rsid w:val="00F8427A"/>
    <w:rsid w:val="00F843DF"/>
    <w:rsid w:val="00F84646"/>
    <w:rsid w:val="00F8476E"/>
    <w:rsid w:val="00F84899"/>
    <w:rsid w:val="00F85585"/>
    <w:rsid w:val="00F859F0"/>
    <w:rsid w:val="00F85CC1"/>
    <w:rsid w:val="00F86B5D"/>
    <w:rsid w:val="00F87634"/>
    <w:rsid w:val="00F87C13"/>
    <w:rsid w:val="00F87C5A"/>
    <w:rsid w:val="00F87E29"/>
    <w:rsid w:val="00F87F18"/>
    <w:rsid w:val="00F87F68"/>
    <w:rsid w:val="00F905BE"/>
    <w:rsid w:val="00F9075B"/>
    <w:rsid w:val="00F90C4D"/>
    <w:rsid w:val="00F91098"/>
    <w:rsid w:val="00F9167D"/>
    <w:rsid w:val="00F91CB2"/>
    <w:rsid w:val="00F927E8"/>
    <w:rsid w:val="00F9289C"/>
    <w:rsid w:val="00F92FC1"/>
    <w:rsid w:val="00F932D1"/>
    <w:rsid w:val="00F93DBC"/>
    <w:rsid w:val="00F93E41"/>
    <w:rsid w:val="00F94644"/>
    <w:rsid w:val="00F952E4"/>
    <w:rsid w:val="00F9537B"/>
    <w:rsid w:val="00F96079"/>
    <w:rsid w:val="00F963FC"/>
    <w:rsid w:val="00F97459"/>
    <w:rsid w:val="00F97CF1"/>
    <w:rsid w:val="00FA015F"/>
    <w:rsid w:val="00FA0FAC"/>
    <w:rsid w:val="00FA10F7"/>
    <w:rsid w:val="00FA1C4A"/>
    <w:rsid w:val="00FA1DA2"/>
    <w:rsid w:val="00FA313F"/>
    <w:rsid w:val="00FA3414"/>
    <w:rsid w:val="00FA347A"/>
    <w:rsid w:val="00FA3CDE"/>
    <w:rsid w:val="00FA4034"/>
    <w:rsid w:val="00FA49B7"/>
    <w:rsid w:val="00FA5043"/>
    <w:rsid w:val="00FA60C1"/>
    <w:rsid w:val="00FA65A3"/>
    <w:rsid w:val="00FA6BCA"/>
    <w:rsid w:val="00FA6D46"/>
    <w:rsid w:val="00FA6F8B"/>
    <w:rsid w:val="00FA727C"/>
    <w:rsid w:val="00FA7A30"/>
    <w:rsid w:val="00FB033F"/>
    <w:rsid w:val="00FB0880"/>
    <w:rsid w:val="00FB12E3"/>
    <w:rsid w:val="00FB1570"/>
    <w:rsid w:val="00FB193B"/>
    <w:rsid w:val="00FB1FBC"/>
    <w:rsid w:val="00FB27B7"/>
    <w:rsid w:val="00FB2E0B"/>
    <w:rsid w:val="00FB35E3"/>
    <w:rsid w:val="00FB40BA"/>
    <w:rsid w:val="00FB4C98"/>
    <w:rsid w:val="00FB4CE3"/>
    <w:rsid w:val="00FB583C"/>
    <w:rsid w:val="00FB630E"/>
    <w:rsid w:val="00FB6738"/>
    <w:rsid w:val="00FB691B"/>
    <w:rsid w:val="00FB6BE6"/>
    <w:rsid w:val="00FB731C"/>
    <w:rsid w:val="00FB7628"/>
    <w:rsid w:val="00FC0363"/>
    <w:rsid w:val="00FC05A0"/>
    <w:rsid w:val="00FC0811"/>
    <w:rsid w:val="00FC09B3"/>
    <w:rsid w:val="00FC1196"/>
    <w:rsid w:val="00FC15EB"/>
    <w:rsid w:val="00FC162C"/>
    <w:rsid w:val="00FC18DC"/>
    <w:rsid w:val="00FC2477"/>
    <w:rsid w:val="00FC2AC4"/>
    <w:rsid w:val="00FC2F73"/>
    <w:rsid w:val="00FC3A9B"/>
    <w:rsid w:val="00FC3AE1"/>
    <w:rsid w:val="00FC3DFC"/>
    <w:rsid w:val="00FC3EF4"/>
    <w:rsid w:val="00FC431B"/>
    <w:rsid w:val="00FC434C"/>
    <w:rsid w:val="00FC472C"/>
    <w:rsid w:val="00FC4FDF"/>
    <w:rsid w:val="00FC5CF4"/>
    <w:rsid w:val="00FC5D64"/>
    <w:rsid w:val="00FC61D6"/>
    <w:rsid w:val="00FC6A39"/>
    <w:rsid w:val="00FC6DB9"/>
    <w:rsid w:val="00FC7221"/>
    <w:rsid w:val="00FC76A9"/>
    <w:rsid w:val="00FC79AB"/>
    <w:rsid w:val="00FC7BE7"/>
    <w:rsid w:val="00FC7DAC"/>
    <w:rsid w:val="00FD005D"/>
    <w:rsid w:val="00FD0216"/>
    <w:rsid w:val="00FD04AE"/>
    <w:rsid w:val="00FD0DFA"/>
    <w:rsid w:val="00FD16ED"/>
    <w:rsid w:val="00FD1890"/>
    <w:rsid w:val="00FD1994"/>
    <w:rsid w:val="00FD3508"/>
    <w:rsid w:val="00FD393C"/>
    <w:rsid w:val="00FD3AFF"/>
    <w:rsid w:val="00FD43BB"/>
    <w:rsid w:val="00FD4AF3"/>
    <w:rsid w:val="00FD5443"/>
    <w:rsid w:val="00FD6675"/>
    <w:rsid w:val="00FD6DC5"/>
    <w:rsid w:val="00FD72B1"/>
    <w:rsid w:val="00FD798D"/>
    <w:rsid w:val="00FE141E"/>
    <w:rsid w:val="00FE144E"/>
    <w:rsid w:val="00FE1768"/>
    <w:rsid w:val="00FE1DD5"/>
    <w:rsid w:val="00FE1FCD"/>
    <w:rsid w:val="00FE24ED"/>
    <w:rsid w:val="00FE24F4"/>
    <w:rsid w:val="00FE2560"/>
    <w:rsid w:val="00FE35D0"/>
    <w:rsid w:val="00FE42ED"/>
    <w:rsid w:val="00FE4E06"/>
    <w:rsid w:val="00FE55A7"/>
    <w:rsid w:val="00FE5C5A"/>
    <w:rsid w:val="00FE601E"/>
    <w:rsid w:val="00FE6432"/>
    <w:rsid w:val="00FE72A0"/>
    <w:rsid w:val="00FF0050"/>
    <w:rsid w:val="00FF045F"/>
    <w:rsid w:val="00FF05D7"/>
    <w:rsid w:val="00FF0816"/>
    <w:rsid w:val="00FF0EC4"/>
    <w:rsid w:val="00FF13D4"/>
    <w:rsid w:val="00FF1CF7"/>
    <w:rsid w:val="00FF2053"/>
    <w:rsid w:val="00FF22E8"/>
    <w:rsid w:val="00FF25D7"/>
    <w:rsid w:val="00FF26FB"/>
    <w:rsid w:val="00FF3B37"/>
    <w:rsid w:val="00FF3CC7"/>
    <w:rsid w:val="00FF3D6F"/>
    <w:rsid w:val="00FF441A"/>
    <w:rsid w:val="00FF48C9"/>
    <w:rsid w:val="00FF4BD8"/>
    <w:rsid w:val="00FF4D11"/>
    <w:rsid w:val="00FF5214"/>
    <w:rsid w:val="00FF54D2"/>
    <w:rsid w:val="00FF596E"/>
    <w:rsid w:val="00FF5B59"/>
    <w:rsid w:val="00FF5BFD"/>
    <w:rsid w:val="00FF6095"/>
    <w:rsid w:val="00FF62FE"/>
    <w:rsid w:val="00FF6553"/>
    <w:rsid w:val="00FF70BD"/>
    <w:rsid w:val="00FF7124"/>
    <w:rsid w:val="00FF77F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styleId="Mencinsinresolver">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character" w:customStyle="1" w:styleId="tabchar">
    <w:name w:val="tabchar"/>
    <w:basedOn w:val="Fuentedeprrafopredeter"/>
    <w:rsid w:val="00C272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51722">
      <w:bodyDiv w:val="1"/>
      <w:marLeft w:val="0"/>
      <w:marRight w:val="0"/>
      <w:marTop w:val="0"/>
      <w:marBottom w:val="0"/>
      <w:divBdr>
        <w:top w:val="none" w:sz="0" w:space="0" w:color="auto"/>
        <w:left w:val="none" w:sz="0" w:space="0" w:color="auto"/>
        <w:bottom w:val="none" w:sz="0" w:space="0" w:color="auto"/>
        <w:right w:val="none" w:sz="0" w:space="0" w:color="auto"/>
      </w:divBdr>
      <w:divsChild>
        <w:div w:id="2023972410">
          <w:marLeft w:val="0"/>
          <w:marRight w:val="0"/>
          <w:marTop w:val="0"/>
          <w:marBottom w:val="0"/>
          <w:divBdr>
            <w:top w:val="none" w:sz="0" w:space="0" w:color="auto"/>
            <w:left w:val="none" w:sz="0" w:space="0" w:color="auto"/>
            <w:bottom w:val="none" w:sz="0" w:space="0" w:color="auto"/>
            <w:right w:val="none" w:sz="0" w:space="0" w:color="auto"/>
          </w:divBdr>
          <w:divsChild>
            <w:div w:id="1518273839">
              <w:marLeft w:val="0"/>
              <w:marRight w:val="0"/>
              <w:marTop w:val="0"/>
              <w:marBottom w:val="0"/>
              <w:divBdr>
                <w:top w:val="none" w:sz="0" w:space="0" w:color="auto"/>
                <w:left w:val="none" w:sz="0" w:space="0" w:color="auto"/>
                <w:bottom w:val="none" w:sz="0" w:space="0" w:color="auto"/>
                <w:right w:val="none" w:sz="0" w:space="0" w:color="auto"/>
              </w:divBdr>
              <w:divsChild>
                <w:div w:id="136428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5715773">
      <w:bodyDiv w:val="1"/>
      <w:marLeft w:val="0"/>
      <w:marRight w:val="0"/>
      <w:marTop w:val="0"/>
      <w:marBottom w:val="0"/>
      <w:divBdr>
        <w:top w:val="none" w:sz="0" w:space="0" w:color="auto"/>
        <w:left w:val="none" w:sz="0" w:space="0" w:color="auto"/>
        <w:bottom w:val="none" w:sz="0" w:space="0" w:color="auto"/>
        <w:right w:val="none" w:sz="0" w:space="0" w:color="auto"/>
      </w:divBdr>
      <w:divsChild>
        <w:div w:id="180780418">
          <w:marLeft w:val="0"/>
          <w:marRight w:val="0"/>
          <w:marTop w:val="0"/>
          <w:marBottom w:val="0"/>
          <w:divBdr>
            <w:top w:val="none" w:sz="0" w:space="0" w:color="auto"/>
            <w:left w:val="none" w:sz="0" w:space="0" w:color="auto"/>
            <w:bottom w:val="none" w:sz="0" w:space="0" w:color="auto"/>
            <w:right w:val="none" w:sz="0" w:space="0" w:color="auto"/>
          </w:divBdr>
          <w:divsChild>
            <w:div w:id="135420010">
              <w:marLeft w:val="0"/>
              <w:marRight w:val="0"/>
              <w:marTop w:val="0"/>
              <w:marBottom w:val="0"/>
              <w:divBdr>
                <w:top w:val="none" w:sz="0" w:space="0" w:color="auto"/>
                <w:left w:val="none" w:sz="0" w:space="0" w:color="auto"/>
                <w:bottom w:val="none" w:sz="0" w:space="0" w:color="auto"/>
                <w:right w:val="none" w:sz="0" w:space="0" w:color="auto"/>
              </w:divBdr>
              <w:divsChild>
                <w:div w:id="185580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44344">
      <w:bodyDiv w:val="1"/>
      <w:marLeft w:val="0"/>
      <w:marRight w:val="0"/>
      <w:marTop w:val="0"/>
      <w:marBottom w:val="0"/>
      <w:divBdr>
        <w:top w:val="none" w:sz="0" w:space="0" w:color="auto"/>
        <w:left w:val="none" w:sz="0" w:space="0" w:color="auto"/>
        <w:bottom w:val="none" w:sz="0" w:space="0" w:color="auto"/>
        <w:right w:val="none" w:sz="0" w:space="0" w:color="auto"/>
      </w:divBdr>
      <w:divsChild>
        <w:div w:id="1610551597">
          <w:marLeft w:val="0"/>
          <w:marRight w:val="0"/>
          <w:marTop w:val="0"/>
          <w:marBottom w:val="0"/>
          <w:divBdr>
            <w:top w:val="none" w:sz="0" w:space="0" w:color="auto"/>
            <w:left w:val="none" w:sz="0" w:space="0" w:color="auto"/>
            <w:bottom w:val="none" w:sz="0" w:space="0" w:color="auto"/>
            <w:right w:val="none" w:sz="0" w:space="0" w:color="auto"/>
          </w:divBdr>
          <w:divsChild>
            <w:div w:id="2038459412">
              <w:marLeft w:val="0"/>
              <w:marRight w:val="0"/>
              <w:marTop w:val="0"/>
              <w:marBottom w:val="0"/>
              <w:divBdr>
                <w:top w:val="none" w:sz="0" w:space="0" w:color="auto"/>
                <w:left w:val="none" w:sz="0" w:space="0" w:color="auto"/>
                <w:bottom w:val="none" w:sz="0" w:space="0" w:color="auto"/>
                <w:right w:val="none" w:sz="0" w:space="0" w:color="auto"/>
              </w:divBdr>
              <w:divsChild>
                <w:div w:id="20606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705607">
      <w:bodyDiv w:val="1"/>
      <w:marLeft w:val="0"/>
      <w:marRight w:val="0"/>
      <w:marTop w:val="0"/>
      <w:marBottom w:val="0"/>
      <w:divBdr>
        <w:top w:val="none" w:sz="0" w:space="0" w:color="auto"/>
        <w:left w:val="none" w:sz="0" w:space="0" w:color="auto"/>
        <w:bottom w:val="none" w:sz="0" w:space="0" w:color="auto"/>
        <w:right w:val="none" w:sz="0" w:space="0" w:color="auto"/>
      </w:divBdr>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5637734">
      <w:bodyDiv w:val="1"/>
      <w:marLeft w:val="0"/>
      <w:marRight w:val="0"/>
      <w:marTop w:val="0"/>
      <w:marBottom w:val="0"/>
      <w:divBdr>
        <w:top w:val="none" w:sz="0" w:space="0" w:color="auto"/>
        <w:left w:val="none" w:sz="0" w:space="0" w:color="auto"/>
        <w:bottom w:val="none" w:sz="0" w:space="0" w:color="auto"/>
        <w:right w:val="none" w:sz="0" w:space="0" w:color="auto"/>
      </w:divBdr>
      <w:divsChild>
        <w:div w:id="2103181439">
          <w:marLeft w:val="0"/>
          <w:marRight w:val="0"/>
          <w:marTop w:val="0"/>
          <w:marBottom w:val="0"/>
          <w:divBdr>
            <w:top w:val="none" w:sz="0" w:space="0" w:color="auto"/>
            <w:left w:val="none" w:sz="0" w:space="0" w:color="auto"/>
            <w:bottom w:val="none" w:sz="0" w:space="0" w:color="auto"/>
            <w:right w:val="none" w:sz="0" w:space="0" w:color="auto"/>
          </w:divBdr>
          <w:divsChild>
            <w:div w:id="2070616539">
              <w:marLeft w:val="0"/>
              <w:marRight w:val="0"/>
              <w:marTop w:val="0"/>
              <w:marBottom w:val="0"/>
              <w:divBdr>
                <w:top w:val="none" w:sz="0" w:space="0" w:color="auto"/>
                <w:left w:val="none" w:sz="0" w:space="0" w:color="auto"/>
                <w:bottom w:val="none" w:sz="0" w:space="0" w:color="auto"/>
                <w:right w:val="none" w:sz="0" w:space="0" w:color="auto"/>
              </w:divBdr>
              <w:divsChild>
                <w:div w:id="758605140">
                  <w:marLeft w:val="0"/>
                  <w:marRight w:val="0"/>
                  <w:marTop w:val="0"/>
                  <w:marBottom w:val="0"/>
                  <w:divBdr>
                    <w:top w:val="none" w:sz="0" w:space="0" w:color="auto"/>
                    <w:left w:val="none" w:sz="0" w:space="0" w:color="auto"/>
                    <w:bottom w:val="none" w:sz="0" w:space="0" w:color="auto"/>
                    <w:right w:val="none" w:sz="0" w:space="0" w:color="auto"/>
                  </w:divBdr>
                  <w:divsChild>
                    <w:div w:id="184531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44900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1653461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90619">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0048198">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76891374">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3010207">
      <w:bodyDiv w:val="1"/>
      <w:marLeft w:val="0"/>
      <w:marRight w:val="0"/>
      <w:marTop w:val="0"/>
      <w:marBottom w:val="0"/>
      <w:divBdr>
        <w:top w:val="none" w:sz="0" w:space="0" w:color="auto"/>
        <w:left w:val="none" w:sz="0" w:space="0" w:color="auto"/>
        <w:bottom w:val="none" w:sz="0" w:space="0" w:color="auto"/>
        <w:right w:val="none" w:sz="0" w:space="0" w:color="auto"/>
      </w:divBdr>
      <w:divsChild>
        <w:div w:id="2048749202">
          <w:marLeft w:val="0"/>
          <w:marRight w:val="0"/>
          <w:marTop w:val="0"/>
          <w:marBottom w:val="0"/>
          <w:divBdr>
            <w:top w:val="none" w:sz="0" w:space="0" w:color="auto"/>
            <w:left w:val="none" w:sz="0" w:space="0" w:color="auto"/>
            <w:bottom w:val="none" w:sz="0" w:space="0" w:color="auto"/>
            <w:right w:val="none" w:sz="0" w:space="0" w:color="auto"/>
          </w:divBdr>
          <w:divsChild>
            <w:div w:id="394548460">
              <w:marLeft w:val="0"/>
              <w:marRight w:val="0"/>
              <w:marTop w:val="0"/>
              <w:marBottom w:val="0"/>
              <w:divBdr>
                <w:top w:val="none" w:sz="0" w:space="0" w:color="auto"/>
                <w:left w:val="none" w:sz="0" w:space="0" w:color="auto"/>
                <w:bottom w:val="none" w:sz="0" w:space="0" w:color="auto"/>
                <w:right w:val="none" w:sz="0" w:space="0" w:color="auto"/>
              </w:divBdr>
              <w:divsChild>
                <w:div w:id="70479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68900729">
      <w:bodyDiv w:val="1"/>
      <w:marLeft w:val="0"/>
      <w:marRight w:val="0"/>
      <w:marTop w:val="0"/>
      <w:marBottom w:val="0"/>
      <w:divBdr>
        <w:top w:val="none" w:sz="0" w:space="0" w:color="auto"/>
        <w:left w:val="none" w:sz="0" w:space="0" w:color="auto"/>
        <w:bottom w:val="none" w:sz="0" w:space="0" w:color="auto"/>
        <w:right w:val="none" w:sz="0" w:space="0" w:color="auto"/>
      </w:divBdr>
    </w:div>
    <w:div w:id="282688623">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266046">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55149140">
      <w:bodyDiv w:val="1"/>
      <w:marLeft w:val="0"/>
      <w:marRight w:val="0"/>
      <w:marTop w:val="0"/>
      <w:marBottom w:val="0"/>
      <w:divBdr>
        <w:top w:val="none" w:sz="0" w:space="0" w:color="auto"/>
        <w:left w:val="none" w:sz="0" w:space="0" w:color="auto"/>
        <w:bottom w:val="none" w:sz="0" w:space="0" w:color="auto"/>
        <w:right w:val="none" w:sz="0" w:space="0" w:color="auto"/>
      </w:divBdr>
    </w:div>
    <w:div w:id="461339907">
      <w:bodyDiv w:val="1"/>
      <w:marLeft w:val="0"/>
      <w:marRight w:val="0"/>
      <w:marTop w:val="0"/>
      <w:marBottom w:val="0"/>
      <w:divBdr>
        <w:top w:val="none" w:sz="0" w:space="0" w:color="auto"/>
        <w:left w:val="none" w:sz="0" w:space="0" w:color="auto"/>
        <w:bottom w:val="none" w:sz="0" w:space="0" w:color="auto"/>
        <w:right w:val="none" w:sz="0" w:space="0" w:color="auto"/>
      </w:divBdr>
      <w:divsChild>
        <w:div w:id="1982536059">
          <w:marLeft w:val="0"/>
          <w:marRight w:val="0"/>
          <w:marTop w:val="0"/>
          <w:marBottom w:val="0"/>
          <w:divBdr>
            <w:top w:val="none" w:sz="0" w:space="0" w:color="auto"/>
            <w:left w:val="none" w:sz="0" w:space="0" w:color="auto"/>
            <w:bottom w:val="none" w:sz="0" w:space="0" w:color="auto"/>
            <w:right w:val="none" w:sz="0" w:space="0" w:color="auto"/>
          </w:divBdr>
          <w:divsChild>
            <w:div w:id="2022706307">
              <w:marLeft w:val="0"/>
              <w:marRight w:val="0"/>
              <w:marTop w:val="0"/>
              <w:marBottom w:val="0"/>
              <w:divBdr>
                <w:top w:val="none" w:sz="0" w:space="0" w:color="auto"/>
                <w:left w:val="none" w:sz="0" w:space="0" w:color="auto"/>
                <w:bottom w:val="none" w:sz="0" w:space="0" w:color="auto"/>
                <w:right w:val="none" w:sz="0" w:space="0" w:color="auto"/>
              </w:divBdr>
              <w:divsChild>
                <w:div w:id="894196165">
                  <w:marLeft w:val="0"/>
                  <w:marRight w:val="0"/>
                  <w:marTop w:val="0"/>
                  <w:marBottom w:val="0"/>
                  <w:divBdr>
                    <w:top w:val="none" w:sz="0" w:space="0" w:color="auto"/>
                    <w:left w:val="none" w:sz="0" w:space="0" w:color="auto"/>
                    <w:bottom w:val="none" w:sz="0" w:space="0" w:color="auto"/>
                    <w:right w:val="none" w:sz="0" w:space="0" w:color="auto"/>
                  </w:divBdr>
                  <w:divsChild>
                    <w:div w:id="3801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41010">
      <w:bodyDiv w:val="1"/>
      <w:marLeft w:val="0"/>
      <w:marRight w:val="0"/>
      <w:marTop w:val="0"/>
      <w:marBottom w:val="0"/>
      <w:divBdr>
        <w:top w:val="none" w:sz="0" w:space="0" w:color="auto"/>
        <w:left w:val="none" w:sz="0" w:space="0" w:color="auto"/>
        <w:bottom w:val="none" w:sz="0" w:space="0" w:color="auto"/>
        <w:right w:val="none" w:sz="0" w:space="0" w:color="auto"/>
      </w:divBdr>
      <w:divsChild>
        <w:div w:id="2075425971">
          <w:marLeft w:val="0"/>
          <w:marRight w:val="0"/>
          <w:marTop w:val="0"/>
          <w:marBottom w:val="0"/>
          <w:divBdr>
            <w:top w:val="none" w:sz="0" w:space="0" w:color="auto"/>
            <w:left w:val="none" w:sz="0" w:space="0" w:color="auto"/>
            <w:bottom w:val="none" w:sz="0" w:space="0" w:color="auto"/>
            <w:right w:val="none" w:sz="0" w:space="0" w:color="auto"/>
          </w:divBdr>
          <w:divsChild>
            <w:div w:id="205337403">
              <w:marLeft w:val="0"/>
              <w:marRight w:val="0"/>
              <w:marTop w:val="0"/>
              <w:marBottom w:val="0"/>
              <w:divBdr>
                <w:top w:val="none" w:sz="0" w:space="0" w:color="auto"/>
                <w:left w:val="none" w:sz="0" w:space="0" w:color="auto"/>
                <w:bottom w:val="none" w:sz="0" w:space="0" w:color="auto"/>
                <w:right w:val="none" w:sz="0" w:space="0" w:color="auto"/>
              </w:divBdr>
              <w:divsChild>
                <w:div w:id="1457597653">
                  <w:marLeft w:val="0"/>
                  <w:marRight w:val="0"/>
                  <w:marTop w:val="0"/>
                  <w:marBottom w:val="0"/>
                  <w:divBdr>
                    <w:top w:val="none" w:sz="0" w:space="0" w:color="auto"/>
                    <w:left w:val="none" w:sz="0" w:space="0" w:color="auto"/>
                    <w:bottom w:val="none" w:sz="0" w:space="0" w:color="auto"/>
                    <w:right w:val="none" w:sz="0" w:space="0" w:color="auto"/>
                  </w:divBdr>
                  <w:divsChild>
                    <w:div w:id="145216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19860012">
      <w:bodyDiv w:val="1"/>
      <w:marLeft w:val="0"/>
      <w:marRight w:val="0"/>
      <w:marTop w:val="0"/>
      <w:marBottom w:val="0"/>
      <w:divBdr>
        <w:top w:val="none" w:sz="0" w:space="0" w:color="auto"/>
        <w:left w:val="none" w:sz="0" w:space="0" w:color="auto"/>
        <w:bottom w:val="none" w:sz="0" w:space="0" w:color="auto"/>
        <w:right w:val="none" w:sz="0" w:space="0" w:color="auto"/>
      </w:divBdr>
      <w:divsChild>
        <w:div w:id="935869752">
          <w:marLeft w:val="0"/>
          <w:marRight w:val="0"/>
          <w:marTop w:val="0"/>
          <w:marBottom w:val="0"/>
          <w:divBdr>
            <w:top w:val="none" w:sz="0" w:space="0" w:color="auto"/>
            <w:left w:val="none" w:sz="0" w:space="0" w:color="auto"/>
            <w:bottom w:val="none" w:sz="0" w:space="0" w:color="auto"/>
            <w:right w:val="none" w:sz="0" w:space="0" w:color="auto"/>
          </w:divBdr>
          <w:divsChild>
            <w:div w:id="1469087117">
              <w:marLeft w:val="0"/>
              <w:marRight w:val="0"/>
              <w:marTop w:val="0"/>
              <w:marBottom w:val="0"/>
              <w:divBdr>
                <w:top w:val="none" w:sz="0" w:space="0" w:color="auto"/>
                <w:left w:val="none" w:sz="0" w:space="0" w:color="auto"/>
                <w:bottom w:val="none" w:sz="0" w:space="0" w:color="auto"/>
                <w:right w:val="none" w:sz="0" w:space="0" w:color="auto"/>
              </w:divBdr>
              <w:divsChild>
                <w:div w:id="1080370908">
                  <w:marLeft w:val="0"/>
                  <w:marRight w:val="0"/>
                  <w:marTop w:val="0"/>
                  <w:marBottom w:val="0"/>
                  <w:divBdr>
                    <w:top w:val="none" w:sz="0" w:space="0" w:color="auto"/>
                    <w:left w:val="none" w:sz="0" w:space="0" w:color="auto"/>
                    <w:bottom w:val="none" w:sz="0" w:space="0" w:color="auto"/>
                    <w:right w:val="none" w:sz="0" w:space="0" w:color="auto"/>
                  </w:divBdr>
                  <w:divsChild>
                    <w:div w:id="1690063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61969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69076510">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08127359">
      <w:bodyDiv w:val="1"/>
      <w:marLeft w:val="0"/>
      <w:marRight w:val="0"/>
      <w:marTop w:val="0"/>
      <w:marBottom w:val="0"/>
      <w:divBdr>
        <w:top w:val="none" w:sz="0" w:space="0" w:color="auto"/>
        <w:left w:val="none" w:sz="0" w:space="0" w:color="auto"/>
        <w:bottom w:val="none" w:sz="0" w:space="0" w:color="auto"/>
        <w:right w:val="none" w:sz="0" w:space="0" w:color="auto"/>
      </w:divBdr>
      <w:divsChild>
        <w:div w:id="1523393933">
          <w:marLeft w:val="0"/>
          <w:marRight w:val="0"/>
          <w:marTop w:val="0"/>
          <w:marBottom w:val="0"/>
          <w:divBdr>
            <w:top w:val="none" w:sz="0" w:space="0" w:color="auto"/>
            <w:left w:val="none" w:sz="0" w:space="0" w:color="auto"/>
            <w:bottom w:val="none" w:sz="0" w:space="0" w:color="auto"/>
            <w:right w:val="none" w:sz="0" w:space="0" w:color="auto"/>
          </w:divBdr>
          <w:divsChild>
            <w:div w:id="668682271">
              <w:marLeft w:val="0"/>
              <w:marRight w:val="0"/>
              <w:marTop w:val="0"/>
              <w:marBottom w:val="0"/>
              <w:divBdr>
                <w:top w:val="none" w:sz="0" w:space="0" w:color="auto"/>
                <w:left w:val="none" w:sz="0" w:space="0" w:color="auto"/>
                <w:bottom w:val="none" w:sz="0" w:space="0" w:color="auto"/>
                <w:right w:val="none" w:sz="0" w:space="0" w:color="auto"/>
              </w:divBdr>
              <w:divsChild>
                <w:div w:id="89994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39269798">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85861657">
      <w:bodyDiv w:val="1"/>
      <w:marLeft w:val="0"/>
      <w:marRight w:val="0"/>
      <w:marTop w:val="0"/>
      <w:marBottom w:val="0"/>
      <w:divBdr>
        <w:top w:val="none" w:sz="0" w:space="0" w:color="auto"/>
        <w:left w:val="none" w:sz="0" w:space="0" w:color="auto"/>
        <w:bottom w:val="none" w:sz="0" w:space="0" w:color="auto"/>
        <w:right w:val="none" w:sz="0" w:space="0" w:color="auto"/>
      </w:divBdr>
    </w:div>
    <w:div w:id="688533712">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7239180">
      <w:bodyDiv w:val="1"/>
      <w:marLeft w:val="0"/>
      <w:marRight w:val="0"/>
      <w:marTop w:val="0"/>
      <w:marBottom w:val="0"/>
      <w:divBdr>
        <w:top w:val="none" w:sz="0" w:space="0" w:color="auto"/>
        <w:left w:val="none" w:sz="0" w:space="0" w:color="auto"/>
        <w:bottom w:val="none" w:sz="0" w:space="0" w:color="auto"/>
        <w:right w:val="none" w:sz="0" w:space="0" w:color="auto"/>
      </w:divBdr>
      <w:divsChild>
        <w:div w:id="1031154432">
          <w:marLeft w:val="0"/>
          <w:marRight w:val="0"/>
          <w:marTop w:val="0"/>
          <w:marBottom w:val="0"/>
          <w:divBdr>
            <w:top w:val="none" w:sz="0" w:space="0" w:color="auto"/>
            <w:left w:val="none" w:sz="0" w:space="0" w:color="auto"/>
            <w:bottom w:val="none" w:sz="0" w:space="0" w:color="auto"/>
            <w:right w:val="none" w:sz="0" w:space="0" w:color="auto"/>
          </w:divBdr>
        </w:div>
      </w:divsChild>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27996429">
      <w:bodyDiv w:val="1"/>
      <w:marLeft w:val="0"/>
      <w:marRight w:val="0"/>
      <w:marTop w:val="0"/>
      <w:marBottom w:val="0"/>
      <w:divBdr>
        <w:top w:val="none" w:sz="0" w:space="0" w:color="auto"/>
        <w:left w:val="none" w:sz="0" w:space="0" w:color="auto"/>
        <w:bottom w:val="none" w:sz="0" w:space="0" w:color="auto"/>
        <w:right w:val="none" w:sz="0" w:space="0" w:color="auto"/>
      </w:divBdr>
      <w:divsChild>
        <w:div w:id="1994790054">
          <w:marLeft w:val="0"/>
          <w:marRight w:val="0"/>
          <w:marTop w:val="0"/>
          <w:marBottom w:val="0"/>
          <w:divBdr>
            <w:top w:val="none" w:sz="0" w:space="0" w:color="auto"/>
            <w:left w:val="none" w:sz="0" w:space="0" w:color="auto"/>
            <w:bottom w:val="none" w:sz="0" w:space="0" w:color="auto"/>
            <w:right w:val="none" w:sz="0" w:space="0" w:color="auto"/>
          </w:divBdr>
          <w:divsChild>
            <w:div w:id="1492988414">
              <w:marLeft w:val="0"/>
              <w:marRight w:val="0"/>
              <w:marTop w:val="0"/>
              <w:marBottom w:val="0"/>
              <w:divBdr>
                <w:top w:val="none" w:sz="0" w:space="0" w:color="auto"/>
                <w:left w:val="none" w:sz="0" w:space="0" w:color="auto"/>
                <w:bottom w:val="none" w:sz="0" w:space="0" w:color="auto"/>
                <w:right w:val="none" w:sz="0" w:space="0" w:color="auto"/>
              </w:divBdr>
              <w:divsChild>
                <w:div w:id="634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542292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2238690">
      <w:bodyDiv w:val="1"/>
      <w:marLeft w:val="0"/>
      <w:marRight w:val="0"/>
      <w:marTop w:val="0"/>
      <w:marBottom w:val="0"/>
      <w:divBdr>
        <w:top w:val="none" w:sz="0" w:space="0" w:color="auto"/>
        <w:left w:val="none" w:sz="0" w:space="0" w:color="auto"/>
        <w:bottom w:val="none" w:sz="0" w:space="0" w:color="auto"/>
        <w:right w:val="none" w:sz="0" w:space="0" w:color="auto"/>
      </w:divBdr>
      <w:divsChild>
        <w:div w:id="1005858410">
          <w:marLeft w:val="0"/>
          <w:marRight w:val="0"/>
          <w:marTop w:val="0"/>
          <w:marBottom w:val="0"/>
          <w:divBdr>
            <w:top w:val="none" w:sz="0" w:space="0" w:color="auto"/>
            <w:left w:val="none" w:sz="0" w:space="0" w:color="auto"/>
            <w:bottom w:val="none" w:sz="0" w:space="0" w:color="auto"/>
            <w:right w:val="none" w:sz="0" w:space="0" w:color="auto"/>
          </w:divBdr>
          <w:divsChild>
            <w:div w:id="874081206">
              <w:marLeft w:val="0"/>
              <w:marRight w:val="0"/>
              <w:marTop w:val="0"/>
              <w:marBottom w:val="0"/>
              <w:divBdr>
                <w:top w:val="none" w:sz="0" w:space="0" w:color="auto"/>
                <w:left w:val="none" w:sz="0" w:space="0" w:color="auto"/>
                <w:bottom w:val="none" w:sz="0" w:space="0" w:color="auto"/>
                <w:right w:val="none" w:sz="0" w:space="0" w:color="auto"/>
              </w:divBdr>
              <w:divsChild>
                <w:div w:id="1299800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6798332">
      <w:bodyDiv w:val="1"/>
      <w:marLeft w:val="0"/>
      <w:marRight w:val="0"/>
      <w:marTop w:val="0"/>
      <w:marBottom w:val="0"/>
      <w:divBdr>
        <w:top w:val="none" w:sz="0" w:space="0" w:color="auto"/>
        <w:left w:val="none" w:sz="0" w:space="0" w:color="auto"/>
        <w:bottom w:val="none" w:sz="0" w:space="0" w:color="auto"/>
        <w:right w:val="none" w:sz="0" w:space="0" w:color="auto"/>
      </w:divBdr>
      <w:divsChild>
        <w:div w:id="642001577">
          <w:marLeft w:val="0"/>
          <w:marRight w:val="0"/>
          <w:marTop w:val="0"/>
          <w:marBottom w:val="0"/>
          <w:divBdr>
            <w:top w:val="none" w:sz="0" w:space="0" w:color="auto"/>
            <w:left w:val="none" w:sz="0" w:space="0" w:color="auto"/>
            <w:bottom w:val="none" w:sz="0" w:space="0" w:color="auto"/>
            <w:right w:val="none" w:sz="0" w:space="0" w:color="auto"/>
          </w:divBdr>
          <w:divsChild>
            <w:div w:id="1454715168">
              <w:marLeft w:val="0"/>
              <w:marRight w:val="0"/>
              <w:marTop w:val="0"/>
              <w:marBottom w:val="0"/>
              <w:divBdr>
                <w:top w:val="none" w:sz="0" w:space="0" w:color="auto"/>
                <w:left w:val="none" w:sz="0" w:space="0" w:color="auto"/>
                <w:bottom w:val="none" w:sz="0" w:space="0" w:color="auto"/>
                <w:right w:val="none" w:sz="0" w:space="0" w:color="auto"/>
              </w:divBdr>
              <w:divsChild>
                <w:div w:id="9739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187581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291622">
      <w:bodyDiv w:val="1"/>
      <w:marLeft w:val="0"/>
      <w:marRight w:val="0"/>
      <w:marTop w:val="0"/>
      <w:marBottom w:val="0"/>
      <w:divBdr>
        <w:top w:val="none" w:sz="0" w:space="0" w:color="auto"/>
        <w:left w:val="none" w:sz="0" w:space="0" w:color="auto"/>
        <w:bottom w:val="none" w:sz="0" w:space="0" w:color="auto"/>
        <w:right w:val="none" w:sz="0" w:space="0" w:color="auto"/>
      </w:divBdr>
      <w:divsChild>
        <w:div w:id="790710805">
          <w:marLeft w:val="0"/>
          <w:marRight w:val="0"/>
          <w:marTop w:val="0"/>
          <w:marBottom w:val="0"/>
          <w:divBdr>
            <w:top w:val="none" w:sz="0" w:space="0" w:color="auto"/>
            <w:left w:val="none" w:sz="0" w:space="0" w:color="auto"/>
            <w:bottom w:val="none" w:sz="0" w:space="0" w:color="auto"/>
            <w:right w:val="none" w:sz="0" w:space="0" w:color="auto"/>
          </w:divBdr>
          <w:divsChild>
            <w:div w:id="986281473">
              <w:marLeft w:val="0"/>
              <w:marRight w:val="0"/>
              <w:marTop w:val="0"/>
              <w:marBottom w:val="0"/>
              <w:divBdr>
                <w:top w:val="none" w:sz="0" w:space="0" w:color="auto"/>
                <w:left w:val="none" w:sz="0" w:space="0" w:color="auto"/>
                <w:bottom w:val="none" w:sz="0" w:space="0" w:color="auto"/>
                <w:right w:val="none" w:sz="0" w:space="0" w:color="auto"/>
              </w:divBdr>
              <w:divsChild>
                <w:div w:id="1367755429">
                  <w:marLeft w:val="0"/>
                  <w:marRight w:val="0"/>
                  <w:marTop w:val="0"/>
                  <w:marBottom w:val="0"/>
                  <w:divBdr>
                    <w:top w:val="none" w:sz="0" w:space="0" w:color="auto"/>
                    <w:left w:val="none" w:sz="0" w:space="0" w:color="auto"/>
                    <w:bottom w:val="none" w:sz="0" w:space="0" w:color="auto"/>
                    <w:right w:val="none" w:sz="0" w:space="0" w:color="auto"/>
                  </w:divBdr>
                  <w:divsChild>
                    <w:div w:id="151607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68177788">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894463004">
      <w:bodyDiv w:val="1"/>
      <w:marLeft w:val="0"/>
      <w:marRight w:val="0"/>
      <w:marTop w:val="0"/>
      <w:marBottom w:val="0"/>
      <w:divBdr>
        <w:top w:val="none" w:sz="0" w:space="0" w:color="auto"/>
        <w:left w:val="none" w:sz="0" w:space="0" w:color="auto"/>
        <w:bottom w:val="none" w:sz="0" w:space="0" w:color="auto"/>
        <w:right w:val="none" w:sz="0" w:space="0" w:color="auto"/>
      </w:divBdr>
      <w:divsChild>
        <w:div w:id="68617061">
          <w:marLeft w:val="0"/>
          <w:marRight w:val="0"/>
          <w:marTop w:val="0"/>
          <w:marBottom w:val="0"/>
          <w:divBdr>
            <w:top w:val="none" w:sz="0" w:space="0" w:color="auto"/>
            <w:left w:val="none" w:sz="0" w:space="0" w:color="auto"/>
            <w:bottom w:val="none" w:sz="0" w:space="0" w:color="auto"/>
            <w:right w:val="none" w:sz="0" w:space="0" w:color="auto"/>
          </w:divBdr>
          <w:divsChild>
            <w:div w:id="1053651746">
              <w:marLeft w:val="0"/>
              <w:marRight w:val="0"/>
              <w:marTop w:val="0"/>
              <w:marBottom w:val="0"/>
              <w:divBdr>
                <w:top w:val="none" w:sz="0" w:space="0" w:color="auto"/>
                <w:left w:val="none" w:sz="0" w:space="0" w:color="auto"/>
                <w:bottom w:val="none" w:sz="0" w:space="0" w:color="auto"/>
                <w:right w:val="none" w:sz="0" w:space="0" w:color="auto"/>
              </w:divBdr>
              <w:divsChild>
                <w:div w:id="443117741">
                  <w:marLeft w:val="0"/>
                  <w:marRight w:val="0"/>
                  <w:marTop w:val="0"/>
                  <w:marBottom w:val="0"/>
                  <w:divBdr>
                    <w:top w:val="none" w:sz="0" w:space="0" w:color="auto"/>
                    <w:left w:val="none" w:sz="0" w:space="0" w:color="auto"/>
                    <w:bottom w:val="none" w:sz="0" w:space="0" w:color="auto"/>
                    <w:right w:val="none" w:sz="0" w:space="0" w:color="auto"/>
                  </w:divBdr>
                  <w:divsChild>
                    <w:div w:id="302927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3296817">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0675878">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6565552">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38163578">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338786">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8046331">
      <w:bodyDiv w:val="1"/>
      <w:marLeft w:val="0"/>
      <w:marRight w:val="0"/>
      <w:marTop w:val="0"/>
      <w:marBottom w:val="0"/>
      <w:divBdr>
        <w:top w:val="none" w:sz="0" w:space="0" w:color="auto"/>
        <w:left w:val="none" w:sz="0" w:space="0" w:color="auto"/>
        <w:bottom w:val="none" w:sz="0" w:space="0" w:color="auto"/>
        <w:right w:val="none" w:sz="0" w:space="0" w:color="auto"/>
      </w:divBdr>
      <w:divsChild>
        <w:div w:id="1363172650">
          <w:marLeft w:val="0"/>
          <w:marRight w:val="0"/>
          <w:marTop w:val="0"/>
          <w:marBottom w:val="0"/>
          <w:divBdr>
            <w:top w:val="none" w:sz="0" w:space="0" w:color="auto"/>
            <w:left w:val="none" w:sz="0" w:space="0" w:color="auto"/>
            <w:bottom w:val="none" w:sz="0" w:space="0" w:color="auto"/>
            <w:right w:val="none" w:sz="0" w:space="0" w:color="auto"/>
          </w:divBdr>
          <w:divsChild>
            <w:div w:id="1155224784">
              <w:marLeft w:val="0"/>
              <w:marRight w:val="0"/>
              <w:marTop w:val="0"/>
              <w:marBottom w:val="0"/>
              <w:divBdr>
                <w:top w:val="none" w:sz="0" w:space="0" w:color="auto"/>
                <w:left w:val="none" w:sz="0" w:space="0" w:color="auto"/>
                <w:bottom w:val="none" w:sz="0" w:space="0" w:color="auto"/>
                <w:right w:val="none" w:sz="0" w:space="0" w:color="auto"/>
              </w:divBdr>
              <w:divsChild>
                <w:div w:id="160584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55221749">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02355599">
      <w:bodyDiv w:val="1"/>
      <w:marLeft w:val="0"/>
      <w:marRight w:val="0"/>
      <w:marTop w:val="0"/>
      <w:marBottom w:val="0"/>
      <w:divBdr>
        <w:top w:val="none" w:sz="0" w:space="0" w:color="auto"/>
        <w:left w:val="none" w:sz="0" w:space="0" w:color="auto"/>
        <w:bottom w:val="none" w:sz="0" w:space="0" w:color="auto"/>
        <w:right w:val="none" w:sz="0" w:space="0" w:color="auto"/>
      </w:divBdr>
      <w:divsChild>
        <w:div w:id="994988833">
          <w:marLeft w:val="0"/>
          <w:marRight w:val="0"/>
          <w:marTop w:val="0"/>
          <w:marBottom w:val="0"/>
          <w:divBdr>
            <w:top w:val="none" w:sz="0" w:space="0" w:color="auto"/>
            <w:left w:val="none" w:sz="0" w:space="0" w:color="auto"/>
            <w:bottom w:val="none" w:sz="0" w:space="0" w:color="auto"/>
            <w:right w:val="none" w:sz="0" w:space="0" w:color="auto"/>
          </w:divBdr>
          <w:divsChild>
            <w:div w:id="167017869">
              <w:marLeft w:val="0"/>
              <w:marRight w:val="0"/>
              <w:marTop w:val="0"/>
              <w:marBottom w:val="0"/>
              <w:divBdr>
                <w:top w:val="none" w:sz="0" w:space="0" w:color="auto"/>
                <w:left w:val="none" w:sz="0" w:space="0" w:color="auto"/>
                <w:bottom w:val="none" w:sz="0" w:space="0" w:color="auto"/>
                <w:right w:val="none" w:sz="0" w:space="0" w:color="auto"/>
              </w:divBdr>
              <w:divsChild>
                <w:div w:id="190136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29728175">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67736845">
      <w:bodyDiv w:val="1"/>
      <w:marLeft w:val="0"/>
      <w:marRight w:val="0"/>
      <w:marTop w:val="0"/>
      <w:marBottom w:val="0"/>
      <w:divBdr>
        <w:top w:val="none" w:sz="0" w:space="0" w:color="auto"/>
        <w:left w:val="none" w:sz="0" w:space="0" w:color="auto"/>
        <w:bottom w:val="none" w:sz="0" w:space="0" w:color="auto"/>
        <w:right w:val="none" w:sz="0" w:space="0" w:color="auto"/>
      </w:divBdr>
      <w:divsChild>
        <w:div w:id="1452167976">
          <w:marLeft w:val="0"/>
          <w:marRight w:val="0"/>
          <w:marTop w:val="0"/>
          <w:marBottom w:val="0"/>
          <w:divBdr>
            <w:top w:val="none" w:sz="0" w:space="0" w:color="auto"/>
            <w:left w:val="none" w:sz="0" w:space="0" w:color="auto"/>
            <w:bottom w:val="none" w:sz="0" w:space="0" w:color="auto"/>
            <w:right w:val="none" w:sz="0" w:space="0" w:color="auto"/>
          </w:divBdr>
          <w:divsChild>
            <w:div w:id="2031253661">
              <w:marLeft w:val="0"/>
              <w:marRight w:val="0"/>
              <w:marTop w:val="0"/>
              <w:marBottom w:val="0"/>
              <w:divBdr>
                <w:top w:val="none" w:sz="0" w:space="0" w:color="auto"/>
                <w:left w:val="none" w:sz="0" w:space="0" w:color="auto"/>
                <w:bottom w:val="none" w:sz="0" w:space="0" w:color="auto"/>
                <w:right w:val="none" w:sz="0" w:space="0" w:color="auto"/>
              </w:divBdr>
              <w:divsChild>
                <w:div w:id="1322352162">
                  <w:marLeft w:val="0"/>
                  <w:marRight w:val="0"/>
                  <w:marTop w:val="0"/>
                  <w:marBottom w:val="0"/>
                  <w:divBdr>
                    <w:top w:val="none" w:sz="0" w:space="0" w:color="auto"/>
                    <w:left w:val="none" w:sz="0" w:space="0" w:color="auto"/>
                    <w:bottom w:val="none" w:sz="0" w:space="0" w:color="auto"/>
                    <w:right w:val="none" w:sz="0" w:space="0" w:color="auto"/>
                  </w:divBdr>
                  <w:divsChild>
                    <w:div w:id="1548450850">
                      <w:marLeft w:val="0"/>
                      <w:marRight w:val="0"/>
                      <w:marTop w:val="0"/>
                      <w:marBottom w:val="0"/>
                      <w:divBdr>
                        <w:top w:val="none" w:sz="0" w:space="0" w:color="auto"/>
                        <w:left w:val="none" w:sz="0" w:space="0" w:color="auto"/>
                        <w:bottom w:val="none" w:sz="0" w:space="0" w:color="auto"/>
                        <w:right w:val="none" w:sz="0" w:space="0" w:color="auto"/>
                      </w:divBdr>
                    </w:div>
                  </w:divsChild>
                </w:div>
                <w:div w:id="972716266">
                  <w:marLeft w:val="0"/>
                  <w:marRight w:val="0"/>
                  <w:marTop w:val="0"/>
                  <w:marBottom w:val="0"/>
                  <w:divBdr>
                    <w:top w:val="none" w:sz="0" w:space="0" w:color="auto"/>
                    <w:left w:val="none" w:sz="0" w:space="0" w:color="auto"/>
                    <w:bottom w:val="none" w:sz="0" w:space="0" w:color="auto"/>
                    <w:right w:val="none" w:sz="0" w:space="0" w:color="auto"/>
                  </w:divBdr>
                  <w:divsChild>
                    <w:div w:id="403794229">
                      <w:marLeft w:val="0"/>
                      <w:marRight w:val="0"/>
                      <w:marTop w:val="0"/>
                      <w:marBottom w:val="0"/>
                      <w:divBdr>
                        <w:top w:val="none" w:sz="0" w:space="0" w:color="auto"/>
                        <w:left w:val="none" w:sz="0" w:space="0" w:color="auto"/>
                        <w:bottom w:val="none" w:sz="0" w:space="0" w:color="auto"/>
                        <w:right w:val="none" w:sz="0" w:space="0" w:color="auto"/>
                      </w:divBdr>
                    </w:div>
                  </w:divsChild>
                </w:div>
                <w:div w:id="653948564">
                  <w:marLeft w:val="0"/>
                  <w:marRight w:val="0"/>
                  <w:marTop w:val="0"/>
                  <w:marBottom w:val="0"/>
                  <w:divBdr>
                    <w:top w:val="none" w:sz="0" w:space="0" w:color="auto"/>
                    <w:left w:val="none" w:sz="0" w:space="0" w:color="auto"/>
                    <w:bottom w:val="none" w:sz="0" w:space="0" w:color="auto"/>
                    <w:right w:val="none" w:sz="0" w:space="0" w:color="auto"/>
                  </w:divBdr>
                  <w:divsChild>
                    <w:div w:id="1319920641">
                      <w:marLeft w:val="0"/>
                      <w:marRight w:val="0"/>
                      <w:marTop w:val="0"/>
                      <w:marBottom w:val="0"/>
                      <w:divBdr>
                        <w:top w:val="none" w:sz="0" w:space="0" w:color="auto"/>
                        <w:left w:val="none" w:sz="0" w:space="0" w:color="auto"/>
                        <w:bottom w:val="none" w:sz="0" w:space="0" w:color="auto"/>
                        <w:right w:val="none" w:sz="0" w:space="0" w:color="auto"/>
                      </w:divBdr>
                    </w:div>
                  </w:divsChild>
                </w:div>
                <w:div w:id="150560135">
                  <w:marLeft w:val="0"/>
                  <w:marRight w:val="0"/>
                  <w:marTop w:val="0"/>
                  <w:marBottom w:val="0"/>
                  <w:divBdr>
                    <w:top w:val="none" w:sz="0" w:space="0" w:color="auto"/>
                    <w:left w:val="none" w:sz="0" w:space="0" w:color="auto"/>
                    <w:bottom w:val="none" w:sz="0" w:space="0" w:color="auto"/>
                    <w:right w:val="none" w:sz="0" w:space="0" w:color="auto"/>
                  </w:divBdr>
                  <w:divsChild>
                    <w:div w:id="1063941499">
                      <w:marLeft w:val="0"/>
                      <w:marRight w:val="0"/>
                      <w:marTop w:val="0"/>
                      <w:marBottom w:val="0"/>
                      <w:divBdr>
                        <w:top w:val="none" w:sz="0" w:space="0" w:color="auto"/>
                        <w:left w:val="none" w:sz="0" w:space="0" w:color="auto"/>
                        <w:bottom w:val="none" w:sz="0" w:space="0" w:color="auto"/>
                        <w:right w:val="none" w:sz="0" w:space="0" w:color="auto"/>
                      </w:divBdr>
                    </w:div>
                  </w:divsChild>
                </w:div>
                <w:div w:id="1060667264">
                  <w:marLeft w:val="0"/>
                  <w:marRight w:val="0"/>
                  <w:marTop w:val="0"/>
                  <w:marBottom w:val="0"/>
                  <w:divBdr>
                    <w:top w:val="none" w:sz="0" w:space="0" w:color="auto"/>
                    <w:left w:val="none" w:sz="0" w:space="0" w:color="auto"/>
                    <w:bottom w:val="none" w:sz="0" w:space="0" w:color="auto"/>
                    <w:right w:val="none" w:sz="0" w:space="0" w:color="auto"/>
                  </w:divBdr>
                  <w:divsChild>
                    <w:div w:id="1510219111">
                      <w:marLeft w:val="0"/>
                      <w:marRight w:val="0"/>
                      <w:marTop w:val="0"/>
                      <w:marBottom w:val="0"/>
                      <w:divBdr>
                        <w:top w:val="none" w:sz="0" w:space="0" w:color="auto"/>
                        <w:left w:val="none" w:sz="0" w:space="0" w:color="auto"/>
                        <w:bottom w:val="none" w:sz="0" w:space="0" w:color="auto"/>
                        <w:right w:val="none" w:sz="0" w:space="0" w:color="auto"/>
                      </w:divBdr>
                      <w:divsChild>
                        <w:div w:id="657804586">
                          <w:marLeft w:val="0"/>
                          <w:marRight w:val="0"/>
                          <w:marTop w:val="0"/>
                          <w:marBottom w:val="0"/>
                          <w:divBdr>
                            <w:top w:val="none" w:sz="0" w:space="0" w:color="auto"/>
                            <w:left w:val="none" w:sz="0" w:space="0" w:color="auto"/>
                            <w:bottom w:val="none" w:sz="0" w:space="0" w:color="auto"/>
                            <w:right w:val="none" w:sz="0" w:space="0" w:color="auto"/>
                          </w:divBdr>
                        </w:div>
                      </w:divsChild>
                    </w:div>
                    <w:div w:id="374543059">
                      <w:marLeft w:val="0"/>
                      <w:marRight w:val="0"/>
                      <w:marTop w:val="0"/>
                      <w:marBottom w:val="0"/>
                      <w:divBdr>
                        <w:top w:val="none" w:sz="0" w:space="0" w:color="auto"/>
                        <w:left w:val="none" w:sz="0" w:space="0" w:color="auto"/>
                        <w:bottom w:val="none" w:sz="0" w:space="0" w:color="auto"/>
                        <w:right w:val="none" w:sz="0" w:space="0" w:color="auto"/>
                      </w:divBdr>
                      <w:divsChild>
                        <w:div w:id="160320244">
                          <w:marLeft w:val="0"/>
                          <w:marRight w:val="0"/>
                          <w:marTop w:val="0"/>
                          <w:marBottom w:val="0"/>
                          <w:divBdr>
                            <w:top w:val="none" w:sz="0" w:space="0" w:color="auto"/>
                            <w:left w:val="none" w:sz="0" w:space="0" w:color="auto"/>
                            <w:bottom w:val="none" w:sz="0" w:space="0" w:color="auto"/>
                            <w:right w:val="none" w:sz="0" w:space="0" w:color="auto"/>
                          </w:divBdr>
                        </w:div>
                      </w:divsChild>
                    </w:div>
                    <w:div w:id="351343690">
                      <w:marLeft w:val="0"/>
                      <w:marRight w:val="0"/>
                      <w:marTop w:val="0"/>
                      <w:marBottom w:val="0"/>
                      <w:divBdr>
                        <w:top w:val="none" w:sz="0" w:space="0" w:color="auto"/>
                        <w:left w:val="none" w:sz="0" w:space="0" w:color="auto"/>
                        <w:bottom w:val="none" w:sz="0" w:space="0" w:color="auto"/>
                        <w:right w:val="none" w:sz="0" w:space="0" w:color="auto"/>
                      </w:divBdr>
                      <w:divsChild>
                        <w:div w:id="1203666416">
                          <w:marLeft w:val="0"/>
                          <w:marRight w:val="0"/>
                          <w:marTop w:val="0"/>
                          <w:marBottom w:val="0"/>
                          <w:divBdr>
                            <w:top w:val="none" w:sz="0" w:space="0" w:color="auto"/>
                            <w:left w:val="none" w:sz="0" w:space="0" w:color="auto"/>
                            <w:bottom w:val="none" w:sz="0" w:space="0" w:color="auto"/>
                            <w:right w:val="none" w:sz="0" w:space="0" w:color="auto"/>
                          </w:divBdr>
                        </w:div>
                      </w:divsChild>
                    </w:div>
                    <w:div w:id="312952423">
                      <w:marLeft w:val="0"/>
                      <w:marRight w:val="0"/>
                      <w:marTop w:val="0"/>
                      <w:marBottom w:val="0"/>
                      <w:divBdr>
                        <w:top w:val="none" w:sz="0" w:space="0" w:color="auto"/>
                        <w:left w:val="none" w:sz="0" w:space="0" w:color="auto"/>
                        <w:bottom w:val="none" w:sz="0" w:space="0" w:color="auto"/>
                        <w:right w:val="none" w:sz="0" w:space="0" w:color="auto"/>
                      </w:divBdr>
                      <w:divsChild>
                        <w:div w:id="1575046170">
                          <w:marLeft w:val="0"/>
                          <w:marRight w:val="0"/>
                          <w:marTop w:val="0"/>
                          <w:marBottom w:val="0"/>
                          <w:divBdr>
                            <w:top w:val="none" w:sz="0" w:space="0" w:color="auto"/>
                            <w:left w:val="none" w:sz="0" w:space="0" w:color="auto"/>
                            <w:bottom w:val="none" w:sz="0" w:space="0" w:color="auto"/>
                            <w:right w:val="none" w:sz="0" w:space="0" w:color="auto"/>
                          </w:divBdr>
                        </w:div>
                      </w:divsChild>
                    </w:div>
                    <w:div w:id="1598558344">
                      <w:marLeft w:val="0"/>
                      <w:marRight w:val="0"/>
                      <w:marTop w:val="0"/>
                      <w:marBottom w:val="0"/>
                      <w:divBdr>
                        <w:top w:val="none" w:sz="0" w:space="0" w:color="auto"/>
                        <w:left w:val="none" w:sz="0" w:space="0" w:color="auto"/>
                        <w:bottom w:val="none" w:sz="0" w:space="0" w:color="auto"/>
                        <w:right w:val="none" w:sz="0" w:space="0" w:color="auto"/>
                      </w:divBdr>
                      <w:divsChild>
                        <w:div w:id="63839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41602">
      <w:bodyDiv w:val="1"/>
      <w:marLeft w:val="0"/>
      <w:marRight w:val="0"/>
      <w:marTop w:val="0"/>
      <w:marBottom w:val="0"/>
      <w:divBdr>
        <w:top w:val="none" w:sz="0" w:space="0" w:color="auto"/>
        <w:left w:val="none" w:sz="0" w:space="0" w:color="auto"/>
        <w:bottom w:val="none" w:sz="0" w:space="0" w:color="auto"/>
        <w:right w:val="none" w:sz="0" w:space="0" w:color="auto"/>
      </w:divBdr>
      <w:divsChild>
        <w:div w:id="1004476359">
          <w:marLeft w:val="0"/>
          <w:marRight w:val="0"/>
          <w:marTop w:val="0"/>
          <w:marBottom w:val="0"/>
          <w:divBdr>
            <w:top w:val="none" w:sz="0" w:space="0" w:color="auto"/>
            <w:left w:val="none" w:sz="0" w:space="0" w:color="auto"/>
            <w:bottom w:val="none" w:sz="0" w:space="0" w:color="auto"/>
            <w:right w:val="none" w:sz="0" w:space="0" w:color="auto"/>
          </w:divBdr>
          <w:divsChild>
            <w:div w:id="1039665925">
              <w:marLeft w:val="0"/>
              <w:marRight w:val="0"/>
              <w:marTop w:val="0"/>
              <w:marBottom w:val="0"/>
              <w:divBdr>
                <w:top w:val="none" w:sz="0" w:space="0" w:color="auto"/>
                <w:left w:val="none" w:sz="0" w:space="0" w:color="auto"/>
                <w:bottom w:val="none" w:sz="0" w:space="0" w:color="auto"/>
                <w:right w:val="none" w:sz="0" w:space="0" w:color="auto"/>
              </w:divBdr>
              <w:divsChild>
                <w:div w:id="110495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4484622">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4288308">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251202">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4014264">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13872">
      <w:bodyDiv w:val="1"/>
      <w:marLeft w:val="0"/>
      <w:marRight w:val="0"/>
      <w:marTop w:val="0"/>
      <w:marBottom w:val="0"/>
      <w:divBdr>
        <w:top w:val="none" w:sz="0" w:space="0" w:color="auto"/>
        <w:left w:val="none" w:sz="0" w:space="0" w:color="auto"/>
        <w:bottom w:val="none" w:sz="0" w:space="0" w:color="auto"/>
        <w:right w:val="none" w:sz="0" w:space="0" w:color="auto"/>
      </w:divBdr>
      <w:divsChild>
        <w:div w:id="694817135">
          <w:marLeft w:val="0"/>
          <w:marRight w:val="0"/>
          <w:marTop w:val="0"/>
          <w:marBottom w:val="0"/>
          <w:divBdr>
            <w:top w:val="none" w:sz="0" w:space="0" w:color="auto"/>
            <w:left w:val="none" w:sz="0" w:space="0" w:color="auto"/>
            <w:bottom w:val="none" w:sz="0" w:space="0" w:color="auto"/>
            <w:right w:val="none" w:sz="0" w:space="0" w:color="auto"/>
          </w:divBdr>
          <w:divsChild>
            <w:div w:id="1524246835">
              <w:marLeft w:val="0"/>
              <w:marRight w:val="0"/>
              <w:marTop w:val="0"/>
              <w:marBottom w:val="0"/>
              <w:divBdr>
                <w:top w:val="none" w:sz="0" w:space="0" w:color="auto"/>
                <w:left w:val="none" w:sz="0" w:space="0" w:color="auto"/>
                <w:bottom w:val="none" w:sz="0" w:space="0" w:color="auto"/>
                <w:right w:val="none" w:sz="0" w:space="0" w:color="auto"/>
              </w:divBdr>
              <w:divsChild>
                <w:div w:id="667445988">
                  <w:marLeft w:val="0"/>
                  <w:marRight w:val="0"/>
                  <w:marTop w:val="0"/>
                  <w:marBottom w:val="0"/>
                  <w:divBdr>
                    <w:top w:val="none" w:sz="0" w:space="0" w:color="auto"/>
                    <w:left w:val="none" w:sz="0" w:space="0" w:color="auto"/>
                    <w:bottom w:val="none" w:sz="0" w:space="0" w:color="auto"/>
                    <w:right w:val="none" w:sz="0" w:space="0" w:color="auto"/>
                  </w:divBdr>
                  <w:divsChild>
                    <w:div w:id="1787580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50199100">
      <w:bodyDiv w:val="1"/>
      <w:marLeft w:val="0"/>
      <w:marRight w:val="0"/>
      <w:marTop w:val="0"/>
      <w:marBottom w:val="0"/>
      <w:divBdr>
        <w:top w:val="none" w:sz="0" w:space="0" w:color="auto"/>
        <w:left w:val="none" w:sz="0" w:space="0" w:color="auto"/>
        <w:bottom w:val="none" w:sz="0" w:space="0" w:color="auto"/>
        <w:right w:val="none" w:sz="0" w:space="0" w:color="auto"/>
      </w:divBdr>
      <w:divsChild>
        <w:div w:id="1101296270">
          <w:marLeft w:val="0"/>
          <w:marRight w:val="0"/>
          <w:marTop w:val="0"/>
          <w:marBottom w:val="0"/>
          <w:divBdr>
            <w:top w:val="none" w:sz="0" w:space="0" w:color="auto"/>
            <w:left w:val="none" w:sz="0" w:space="0" w:color="auto"/>
            <w:bottom w:val="none" w:sz="0" w:space="0" w:color="auto"/>
            <w:right w:val="none" w:sz="0" w:space="0" w:color="auto"/>
          </w:divBdr>
          <w:divsChild>
            <w:div w:id="2140220424">
              <w:marLeft w:val="0"/>
              <w:marRight w:val="0"/>
              <w:marTop w:val="0"/>
              <w:marBottom w:val="0"/>
              <w:divBdr>
                <w:top w:val="none" w:sz="0" w:space="0" w:color="auto"/>
                <w:left w:val="none" w:sz="0" w:space="0" w:color="auto"/>
                <w:bottom w:val="none" w:sz="0" w:space="0" w:color="auto"/>
                <w:right w:val="none" w:sz="0" w:space="0" w:color="auto"/>
              </w:divBdr>
              <w:divsChild>
                <w:div w:id="159358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76794065">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238503">
      <w:bodyDiv w:val="1"/>
      <w:marLeft w:val="0"/>
      <w:marRight w:val="0"/>
      <w:marTop w:val="0"/>
      <w:marBottom w:val="0"/>
      <w:divBdr>
        <w:top w:val="none" w:sz="0" w:space="0" w:color="auto"/>
        <w:left w:val="none" w:sz="0" w:space="0" w:color="auto"/>
        <w:bottom w:val="none" w:sz="0" w:space="0" w:color="auto"/>
        <w:right w:val="none" w:sz="0" w:space="0" w:color="auto"/>
      </w:divBdr>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01329495">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2418497">
      <w:bodyDiv w:val="1"/>
      <w:marLeft w:val="0"/>
      <w:marRight w:val="0"/>
      <w:marTop w:val="0"/>
      <w:marBottom w:val="0"/>
      <w:divBdr>
        <w:top w:val="none" w:sz="0" w:space="0" w:color="auto"/>
        <w:left w:val="none" w:sz="0" w:space="0" w:color="auto"/>
        <w:bottom w:val="none" w:sz="0" w:space="0" w:color="auto"/>
        <w:right w:val="none" w:sz="0" w:space="0" w:color="auto"/>
      </w:divBdr>
      <w:divsChild>
        <w:div w:id="1985574549">
          <w:marLeft w:val="0"/>
          <w:marRight w:val="0"/>
          <w:marTop w:val="0"/>
          <w:marBottom w:val="0"/>
          <w:divBdr>
            <w:top w:val="none" w:sz="0" w:space="0" w:color="auto"/>
            <w:left w:val="none" w:sz="0" w:space="0" w:color="auto"/>
            <w:bottom w:val="none" w:sz="0" w:space="0" w:color="auto"/>
            <w:right w:val="none" w:sz="0" w:space="0" w:color="auto"/>
          </w:divBdr>
          <w:divsChild>
            <w:div w:id="632835754">
              <w:marLeft w:val="0"/>
              <w:marRight w:val="0"/>
              <w:marTop w:val="0"/>
              <w:marBottom w:val="0"/>
              <w:divBdr>
                <w:top w:val="none" w:sz="0" w:space="0" w:color="auto"/>
                <w:left w:val="none" w:sz="0" w:space="0" w:color="auto"/>
                <w:bottom w:val="none" w:sz="0" w:space="0" w:color="auto"/>
                <w:right w:val="none" w:sz="0" w:space="0" w:color="auto"/>
              </w:divBdr>
              <w:divsChild>
                <w:div w:id="841696715">
                  <w:marLeft w:val="0"/>
                  <w:marRight w:val="0"/>
                  <w:marTop w:val="0"/>
                  <w:marBottom w:val="0"/>
                  <w:divBdr>
                    <w:top w:val="none" w:sz="0" w:space="0" w:color="auto"/>
                    <w:left w:val="none" w:sz="0" w:space="0" w:color="auto"/>
                    <w:bottom w:val="none" w:sz="0" w:space="0" w:color="auto"/>
                    <w:right w:val="none" w:sz="0" w:space="0" w:color="auto"/>
                  </w:divBdr>
                  <w:divsChild>
                    <w:div w:id="1419786072">
                      <w:marLeft w:val="0"/>
                      <w:marRight w:val="0"/>
                      <w:marTop w:val="0"/>
                      <w:marBottom w:val="0"/>
                      <w:divBdr>
                        <w:top w:val="none" w:sz="0" w:space="0" w:color="auto"/>
                        <w:left w:val="none" w:sz="0" w:space="0" w:color="auto"/>
                        <w:bottom w:val="none" w:sz="0" w:space="0" w:color="auto"/>
                        <w:right w:val="none" w:sz="0" w:space="0" w:color="auto"/>
                      </w:divBdr>
                    </w:div>
                  </w:divsChild>
                </w:div>
                <w:div w:id="192773848">
                  <w:marLeft w:val="0"/>
                  <w:marRight w:val="0"/>
                  <w:marTop w:val="0"/>
                  <w:marBottom w:val="0"/>
                  <w:divBdr>
                    <w:top w:val="none" w:sz="0" w:space="0" w:color="auto"/>
                    <w:left w:val="none" w:sz="0" w:space="0" w:color="auto"/>
                    <w:bottom w:val="none" w:sz="0" w:space="0" w:color="auto"/>
                    <w:right w:val="none" w:sz="0" w:space="0" w:color="auto"/>
                  </w:divBdr>
                  <w:divsChild>
                    <w:div w:id="280655086">
                      <w:marLeft w:val="0"/>
                      <w:marRight w:val="0"/>
                      <w:marTop w:val="0"/>
                      <w:marBottom w:val="0"/>
                      <w:divBdr>
                        <w:top w:val="none" w:sz="0" w:space="0" w:color="auto"/>
                        <w:left w:val="none" w:sz="0" w:space="0" w:color="auto"/>
                        <w:bottom w:val="none" w:sz="0" w:space="0" w:color="auto"/>
                        <w:right w:val="none" w:sz="0" w:space="0" w:color="auto"/>
                      </w:divBdr>
                    </w:div>
                  </w:divsChild>
                </w:div>
                <w:div w:id="195237933">
                  <w:marLeft w:val="0"/>
                  <w:marRight w:val="0"/>
                  <w:marTop w:val="0"/>
                  <w:marBottom w:val="0"/>
                  <w:divBdr>
                    <w:top w:val="none" w:sz="0" w:space="0" w:color="auto"/>
                    <w:left w:val="none" w:sz="0" w:space="0" w:color="auto"/>
                    <w:bottom w:val="none" w:sz="0" w:space="0" w:color="auto"/>
                    <w:right w:val="none" w:sz="0" w:space="0" w:color="auto"/>
                  </w:divBdr>
                  <w:divsChild>
                    <w:div w:id="1656907643">
                      <w:marLeft w:val="0"/>
                      <w:marRight w:val="0"/>
                      <w:marTop w:val="0"/>
                      <w:marBottom w:val="0"/>
                      <w:divBdr>
                        <w:top w:val="none" w:sz="0" w:space="0" w:color="auto"/>
                        <w:left w:val="none" w:sz="0" w:space="0" w:color="auto"/>
                        <w:bottom w:val="none" w:sz="0" w:space="0" w:color="auto"/>
                        <w:right w:val="none" w:sz="0" w:space="0" w:color="auto"/>
                      </w:divBdr>
                    </w:div>
                  </w:divsChild>
                </w:div>
                <w:div w:id="716704166">
                  <w:marLeft w:val="0"/>
                  <w:marRight w:val="0"/>
                  <w:marTop w:val="0"/>
                  <w:marBottom w:val="0"/>
                  <w:divBdr>
                    <w:top w:val="none" w:sz="0" w:space="0" w:color="auto"/>
                    <w:left w:val="none" w:sz="0" w:space="0" w:color="auto"/>
                    <w:bottom w:val="none" w:sz="0" w:space="0" w:color="auto"/>
                    <w:right w:val="none" w:sz="0" w:space="0" w:color="auto"/>
                  </w:divBdr>
                  <w:divsChild>
                    <w:div w:id="2095979600">
                      <w:marLeft w:val="0"/>
                      <w:marRight w:val="0"/>
                      <w:marTop w:val="0"/>
                      <w:marBottom w:val="0"/>
                      <w:divBdr>
                        <w:top w:val="none" w:sz="0" w:space="0" w:color="auto"/>
                        <w:left w:val="none" w:sz="0" w:space="0" w:color="auto"/>
                        <w:bottom w:val="none" w:sz="0" w:space="0" w:color="auto"/>
                        <w:right w:val="none" w:sz="0" w:space="0" w:color="auto"/>
                      </w:divBdr>
                    </w:div>
                  </w:divsChild>
                </w:div>
                <w:div w:id="1268347137">
                  <w:marLeft w:val="0"/>
                  <w:marRight w:val="0"/>
                  <w:marTop w:val="0"/>
                  <w:marBottom w:val="0"/>
                  <w:divBdr>
                    <w:top w:val="none" w:sz="0" w:space="0" w:color="auto"/>
                    <w:left w:val="none" w:sz="0" w:space="0" w:color="auto"/>
                    <w:bottom w:val="none" w:sz="0" w:space="0" w:color="auto"/>
                    <w:right w:val="none" w:sz="0" w:space="0" w:color="auto"/>
                  </w:divBdr>
                  <w:divsChild>
                    <w:div w:id="1949847721">
                      <w:marLeft w:val="0"/>
                      <w:marRight w:val="0"/>
                      <w:marTop w:val="0"/>
                      <w:marBottom w:val="0"/>
                      <w:divBdr>
                        <w:top w:val="none" w:sz="0" w:space="0" w:color="auto"/>
                        <w:left w:val="none" w:sz="0" w:space="0" w:color="auto"/>
                        <w:bottom w:val="none" w:sz="0" w:space="0" w:color="auto"/>
                        <w:right w:val="none" w:sz="0" w:space="0" w:color="auto"/>
                      </w:divBdr>
                      <w:divsChild>
                        <w:div w:id="854269243">
                          <w:marLeft w:val="0"/>
                          <w:marRight w:val="0"/>
                          <w:marTop w:val="0"/>
                          <w:marBottom w:val="0"/>
                          <w:divBdr>
                            <w:top w:val="none" w:sz="0" w:space="0" w:color="auto"/>
                            <w:left w:val="none" w:sz="0" w:space="0" w:color="auto"/>
                            <w:bottom w:val="none" w:sz="0" w:space="0" w:color="auto"/>
                            <w:right w:val="none" w:sz="0" w:space="0" w:color="auto"/>
                          </w:divBdr>
                        </w:div>
                      </w:divsChild>
                    </w:div>
                    <w:div w:id="722950558">
                      <w:marLeft w:val="0"/>
                      <w:marRight w:val="0"/>
                      <w:marTop w:val="0"/>
                      <w:marBottom w:val="0"/>
                      <w:divBdr>
                        <w:top w:val="none" w:sz="0" w:space="0" w:color="auto"/>
                        <w:left w:val="none" w:sz="0" w:space="0" w:color="auto"/>
                        <w:bottom w:val="none" w:sz="0" w:space="0" w:color="auto"/>
                        <w:right w:val="none" w:sz="0" w:space="0" w:color="auto"/>
                      </w:divBdr>
                      <w:divsChild>
                        <w:div w:id="2074771069">
                          <w:marLeft w:val="0"/>
                          <w:marRight w:val="0"/>
                          <w:marTop w:val="0"/>
                          <w:marBottom w:val="0"/>
                          <w:divBdr>
                            <w:top w:val="none" w:sz="0" w:space="0" w:color="auto"/>
                            <w:left w:val="none" w:sz="0" w:space="0" w:color="auto"/>
                            <w:bottom w:val="none" w:sz="0" w:space="0" w:color="auto"/>
                            <w:right w:val="none" w:sz="0" w:space="0" w:color="auto"/>
                          </w:divBdr>
                        </w:div>
                      </w:divsChild>
                    </w:div>
                    <w:div w:id="1059399072">
                      <w:marLeft w:val="0"/>
                      <w:marRight w:val="0"/>
                      <w:marTop w:val="0"/>
                      <w:marBottom w:val="0"/>
                      <w:divBdr>
                        <w:top w:val="none" w:sz="0" w:space="0" w:color="auto"/>
                        <w:left w:val="none" w:sz="0" w:space="0" w:color="auto"/>
                        <w:bottom w:val="none" w:sz="0" w:space="0" w:color="auto"/>
                        <w:right w:val="none" w:sz="0" w:space="0" w:color="auto"/>
                      </w:divBdr>
                      <w:divsChild>
                        <w:div w:id="318121348">
                          <w:marLeft w:val="0"/>
                          <w:marRight w:val="0"/>
                          <w:marTop w:val="0"/>
                          <w:marBottom w:val="0"/>
                          <w:divBdr>
                            <w:top w:val="none" w:sz="0" w:space="0" w:color="auto"/>
                            <w:left w:val="none" w:sz="0" w:space="0" w:color="auto"/>
                            <w:bottom w:val="none" w:sz="0" w:space="0" w:color="auto"/>
                            <w:right w:val="none" w:sz="0" w:space="0" w:color="auto"/>
                          </w:divBdr>
                        </w:div>
                      </w:divsChild>
                    </w:div>
                    <w:div w:id="985545809">
                      <w:marLeft w:val="0"/>
                      <w:marRight w:val="0"/>
                      <w:marTop w:val="0"/>
                      <w:marBottom w:val="0"/>
                      <w:divBdr>
                        <w:top w:val="none" w:sz="0" w:space="0" w:color="auto"/>
                        <w:left w:val="none" w:sz="0" w:space="0" w:color="auto"/>
                        <w:bottom w:val="none" w:sz="0" w:space="0" w:color="auto"/>
                        <w:right w:val="none" w:sz="0" w:space="0" w:color="auto"/>
                      </w:divBdr>
                      <w:divsChild>
                        <w:div w:id="127481684">
                          <w:marLeft w:val="0"/>
                          <w:marRight w:val="0"/>
                          <w:marTop w:val="0"/>
                          <w:marBottom w:val="0"/>
                          <w:divBdr>
                            <w:top w:val="none" w:sz="0" w:space="0" w:color="auto"/>
                            <w:left w:val="none" w:sz="0" w:space="0" w:color="auto"/>
                            <w:bottom w:val="none" w:sz="0" w:space="0" w:color="auto"/>
                            <w:right w:val="none" w:sz="0" w:space="0" w:color="auto"/>
                          </w:divBdr>
                        </w:div>
                      </w:divsChild>
                    </w:div>
                    <w:div w:id="970745688">
                      <w:marLeft w:val="0"/>
                      <w:marRight w:val="0"/>
                      <w:marTop w:val="0"/>
                      <w:marBottom w:val="0"/>
                      <w:divBdr>
                        <w:top w:val="none" w:sz="0" w:space="0" w:color="auto"/>
                        <w:left w:val="none" w:sz="0" w:space="0" w:color="auto"/>
                        <w:bottom w:val="none" w:sz="0" w:space="0" w:color="auto"/>
                        <w:right w:val="none" w:sz="0" w:space="0" w:color="auto"/>
                      </w:divBdr>
                      <w:divsChild>
                        <w:div w:id="401102041">
                          <w:marLeft w:val="0"/>
                          <w:marRight w:val="0"/>
                          <w:marTop w:val="0"/>
                          <w:marBottom w:val="0"/>
                          <w:divBdr>
                            <w:top w:val="none" w:sz="0" w:space="0" w:color="auto"/>
                            <w:left w:val="none" w:sz="0" w:space="0" w:color="auto"/>
                            <w:bottom w:val="none" w:sz="0" w:space="0" w:color="auto"/>
                            <w:right w:val="none" w:sz="0" w:space="0" w:color="auto"/>
                          </w:divBdr>
                        </w:div>
                      </w:divsChild>
                    </w:div>
                    <w:div w:id="1597516611">
                      <w:marLeft w:val="0"/>
                      <w:marRight w:val="0"/>
                      <w:marTop w:val="0"/>
                      <w:marBottom w:val="0"/>
                      <w:divBdr>
                        <w:top w:val="none" w:sz="0" w:space="0" w:color="auto"/>
                        <w:left w:val="none" w:sz="0" w:space="0" w:color="auto"/>
                        <w:bottom w:val="none" w:sz="0" w:space="0" w:color="auto"/>
                        <w:right w:val="none" w:sz="0" w:space="0" w:color="auto"/>
                      </w:divBdr>
                      <w:divsChild>
                        <w:div w:id="1309628741">
                          <w:marLeft w:val="0"/>
                          <w:marRight w:val="0"/>
                          <w:marTop w:val="0"/>
                          <w:marBottom w:val="0"/>
                          <w:divBdr>
                            <w:top w:val="none" w:sz="0" w:space="0" w:color="auto"/>
                            <w:left w:val="none" w:sz="0" w:space="0" w:color="auto"/>
                            <w:bottom w:val="none" w:sz="0" w:space="0" w:color="auto"/>
                            <w:right w:val="none" w:sz="0" w:space="0" w:color="auto"/>
                          </w:divBdr>
                        </w:div>
                      </w:divsChild>
                    </w:div>
                    <w:div w:id="1517386018">
                      <w:marLeft w:val="0"/>
                      <w:marRight w:val="0"/>
                      <w:marTop w:val="0"/>
                      <w:marBottom w:val="0"/>
                      <w:divBdr>
                        <w:top w:val="none" w:sz="0" w:space="0" w:color="auto"/>
                        <w:left w:val="none" w:sz="0" w:space="0" w:color="auto"/>
                        <w:bottom w:val="none" w:sz="0" w:space="0" w:color="auto"/>
                        <w:right w:val="none" w:sz="0" w:space="0" w:color="auto"/>
                      </w:divBdr>
                      <w:divsChild>
                        <w:div w:id="99171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997603">
                  <w:marLeft w:val="0"/>
                  <w:marRight w:val="0"/>
                  <w:marTop w:val="0"/>
                  <w:marBottom w:val="0"/>
                  <w:divBdr>
                    <w:top w:val="none" w:sz="0" w:space="0" w:color="auto"/>
                    <w:left w:val="none" w:sz="0" w:space="0" w:color="auto"/>
                    <w:bottom w:val="none" w:sz="0" w:space="0" w:color="auto"/>
                    <w:right w:val="none" w:sz="0" w:space="0" w:color="auto"/>
                  </w:divBdr>
                  <w:divsChild>
                    <w:div w:id="1418089279">
                      <w:marLeft w:val="0"/>
                      <w:marRight w:val="0"/>
                      <w:marTop w:val="0"/>
                      <w:marBottom w:val="0"/>
                      <w:divBdr>
                        <w:top w:val="none" w:sz="0" w:space="0" w:color="auto"/>
                        <w:left w:val="none" w:sz="0" w:space="0" w:color="auto"/>
                        <w:bottom w:val="none" w:sz="0" w:space="0" w:color="auto"/>
                        <w:right w:val="none" w:sz="0" w:space="0" w:color="auto"/>
                      </w:divBdr>
                    </w:div>
                  </w:divsChild>
                </w:div>
                <w:div w:id="82410784">
                  <w:marLeft w:val="0"/>
                  <w:marRight w:val="0"/>
                  <w:marTop w:val="0"/>
                  <w:marBottom w:val="0"/>
                  <w:divBdr>
                    <w:top w:val="none" w:sz="0" w:space="0" w:color="auto"/>
                    <w:left w:val="none" w:sz="0" w:space="0" w:color="auto"/>
                    <w:bottom w:val="none" w:sz="0" w:space="0" w:color="auto"/>
                    <w:right w:val="none" w:sz="0" w:space="0" w:color="auto"/>
                  </w:divBdr>
                  <w:divsChild>
                    <w:div w:id="635183734">
                      <w:marLeft w:val="0"/>
                      <w:marRight w:val="0"/>
                      <w:marTop w:val="0"/>
                      <w:marBottom w:val="0"/>
                      <w:divBdr>
                        <w:top w:val="none" w:sz="0" w:space="0" w:color="auto"/>
                        <w:left w:val="none" w:sz="0" w:space="0" w:color="auto"/>
                        <w:bottom w:val="none" w:sz="0" w:space="0" w:color="auto"/>
                        <w:right w:val="none" w:sz="0" w:space="0" w:color="auto"/>
                      </w:divBdr>
                      <w:divsChild>
                        <w:div w:id="352734594">
                          <w:marLeft w:val="0"/>
                          <w:marRight w:val="0"/>
                          <w:marTop w:val="0"/>
                          <w:marBottom w:val="0"/>
                          <w:divBdr>
                            <w:top w:val="none" w:sz="0" w:space="0" w:color="auto"/>
                            <w:left w:val="none" w:sz="0" w:space="0" w:color="auto"/>
                            <w:bottom w:val="none" w:sz="0" w:space="0" w:color="auto"/>
                            <w:right w:val="none" w:sz="0" w:space="0" w:color="auto"/>
                          </w:divBdr>
                        </w:div>
                      </w:divsChild>
                    </w:div>
                    <w:div w:id="897395353">
                      <w:marLeft w:val="0"/>
                      <w:marRight w:val="0"/>
                      <w:marTop w:val="0"/>
                      <w:marBottom w:val="0"/>
                      <w:divBdr>
                        <w:top w:val="none" w:sz="0" w:space="0" w:color="auto"/>
                        <w:left w:val="none" w:sz="0" w:space="0" w:color="auto"/>
                        <w:bottom w:val="none" w:sz="0" w:space="0" w:color="auto"/>
                        <w:right w:val="none" w:sz="0" w:space="0" w:color="auto"/>
                      </w:divBdr>
                      <w:divsChild>
                        <w:div w:id="208301509">
                          <w:marLeft w:val="0"/>
                          <w:marRight w:val="0"/>
                          <w:marTop w:val="0"/>
                          <w:marBottom w:val="0"/>
                          <w:divBdr>
                            <w:top w:val="none" w:sz="0" w:space="0" w:color="auto"/>
                            <w:left w:val="none" w:sz="0" w:space="0" w:color="auto"/>
                            <w:bottom w:val="none" w:sz="0" w:space="0" w:color="auto"/>
                            <w:right w:val="none" w:sz="0" w:space="0" w:color="auto"/>
                          </w:divBdr>
                        </w:div>
                      </w:divsChild>
                    </w:div>
                    <w:div w:id="1125780052">
                      <w:marLeft w:val="0"/>
                      <w:marRight w:val="0"/>
                      <w:marTop w:val="0"/>
                      <w:marBottom w:val="0"/>
                      <w:divBdr>
                        <w:top w:val="none" w:sz="0" w:space="0" w:color="auto"/>
                        <w:left w:val="none" w:sz="0" w:space="0" w:color="auto"/>
                        <w:bottom w:val="none" w:sz="0" w:space="0" w:color="auto"/>
                        <w:right w:val="none" w:sz="0" w:space="0" w:color="auto"/>
                      </w:divBdr>
                      <w:divsChild>
                        <w:div w:id="1094129664">
                          <w:marLeft w:val="0"/>
                          <w:marRight w:val="0"/>
                          <w:marTop w:val="0"/>
                          <w:marBottom w:val="0"/>
                          <w:divBdr>
                            <w:top w:val="none" w:sz="0" w:space="0" w:color="auto"/>
                            <w:left w:val="none" w:sz="0" w:space="0" w:color="auto"/>
                            <w:bottom w:val="none" w:sz="0" w:space="0" w:color="auto"/>
                            <w:right w:val="none" w:sz="0" w:space="0" w:color="auto"/>
                          </w:divBdr>
                        </w:div>
                      </w:divsChild>
                    </w:div>
                    <w:div w:id="94250647">
                      <w:marLeft w:val="0"/>
                      <w:marRight w:val="0"/>
                      <w:marTop w:val="0"/>
                      <w:marBottom w:val="0"/>
                      <w:divBdr>
                        <w:top w:val="none" w:sz="0" w:space="0" w:color="auto"/>
                        <w:left w:val="none" w:sz="0" w:space="0" w:color="auto"/>
                        <w:bottom w:val="none" w:sz="0" w:space="0" w:color="auto"/>
                        <w:right w:val="none" w:sz="0" w:space="0" w:color="auto"/>
                      </w:divBdr>
                      <w:divsChild>
                        <w:div w:id="104144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777734">
                  <w:marLeft w:val="0"/>
                  <w:marRight w:val="0"/>
                  <w:marTop w:val="0"/>
                  <w:marBottom w:val="0"/>
                  <w:divBdr>
                    <w:top w:val="none" w:sz="0" w:space="0" w:color="auto"/>
                    <w:left w:val="none" w:sz="0" w:space="0" w:color="auto"/>
                    <w:bottom w:val="none" w:sz="0" w:space="0" w:color="auto"/>
                    <w:right w:val="none" w:sz="0" w:space="0" w:color="auto"/>
                  </w:divBdr>
                  <w:divsChild>
                    <w:div w:id="1421369443">
                      <w:marLeft w:val="0"/>
                      <w:marRight w:val="0"/>
                      <w:marTop w:val="0"/>
                      <w:marBottom w:val="0"/>
                      <w:divBdr>
                        <w:top w:val="none" w:sz="0" w:space="0" w:color="auto"/>
                        <w:left w:val="none" w:sz="0" w:space="0" w:color="auto"/>
                        <w:bottom w:val="none" w:sz="0" w:space="0" w:color="auto"/>
                        <w:right w:val="none" w:sz="0" w:space="0" w:color="auto"/>
                      </w:divBdr>
                    </w:div>
                  </w:divsChild>
                </w:div>
                <w:div w:id="440150556">
                  <w:marLeft w:val="0"/>
                  <w:marRight w:val="0"/>
                  <w:marTop w:val="0"/>
                  <w:marBottom w:val="0"/>
                  <w:divBdr>
                    <w:top w:val="none" w:sz="0" w:space="0" w:color="auto"/>
                    <w:left w:val="none" w:sz="0" w:space="0" w:color="auto"/>
                    <w:bottom w:val="none" w:sz="0" w:space="0" w:color="auto"/>
                    <w:right w:val="none" w:sz="0" w:space="0" w:color="auto"/>
                  </w:divBdr>
                  <w:divsChild>
                    <w:div w:id="109975684">
                      <w:marLeft w:val="0"/>
                      <w:marRight w:val="0"/>
                      <w:marTop w:val="0"/>
                      <w:marBottom w:val="0"/>
                      <w:divBdr>
                        <w:top w:val="none" w:sz="0" w:space="0" w:color="auto"/>
                        <w:left w:val="none" w:sz="0" w:space="0" w:color="auto"/>
                        <w:bottom w:val="none" w:sz="0" w:space="0" w:color="auto"/>
                        <w:right w:val="none" w:sz="0" w:space="0" w:color="auto"/>
                      </w:divBdr>
                    </w:div>
                  </w:divsChild>
                </w:div>
                <w:div w:id="542720054">
                  <w:marLeft w:val="0"/>
                  <w:marRight w:val="0"/>
                  <w:marTop w:val="0"/>
                  <w:marBottom w:val="0"/>
                  <w:divBdr>
                    <w:top w:val="none" w:sz="0" w:space="0" w:color="auto"/>
                    <w:left w:val="none" w:sz="0" w:space="0" w:color="auto"/>
                    <w:bottom w:val="none" w:sz="0" w:space="0" w:color="auto"/>
                    <w:right w:val="none" w:sz="0" w:space="0" w:color="auto"/>
                  </w:divBdr>
                  <w:divsChild>
                    <w:div w:id="1986087135">
                      <w:marLeft w:val="0"/>
                      <w:marRight w:val="0"/>
                      <w:marTop w:val="0"/>
                      <w:marBottom w:val="0"/>
                      <w:divBdr>
                        <w:top w:val="none" w:sz="0" w:space="0" w:color="auto"/>
                        <w:left w:val="none" w:sz="0" w:space="0" w:color="auto"/>
                        <w:bottom w:val="none" w:sz="0" w:space="0" w:color="auto"/>
                        <w:right w:val="none" w:sz="0" w:space="0" w:color="auto"/>
                      </w:divBdr>
                    </w:div>
                  </w:divsChild>
                </w:div>
                <w:div w:id="1797020092">
                  <w:marLeft w:val="0"/>
                  <w:marRight w:val="0"/>
                  <w:marTop w:val="0"/>
                  <w:marBottom w:val="0"/>
                  <w:divBdr>
                    <w:top w:val="none" w:sz="0" w:space="0" w:color="auto"/>
                    <w:left w:val="none" w:sz="0" w:space="0" w:color="auto"/>
                    <w:bottom w:val="none" w:sz="0" w:space="0" w:color="auto"/>
                    <w:right w:val="none" w:sz="0" w:space="0" w:color="auto"/>
                  </w:divBdr>
                  <w:divsChild>
                    <w:div w:id="190803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0284887">
      <w:bodyDiv w:val="1"/>
      <w:marLeft w:val="0"/>
      <w:marRight w:val="0"/>
      <w:marTop w:val="0"/>
      <w:marBottom w:val="0"/>
      <w:divBdr>
        <w:top w:val="none" w:sz="0" w:space="0" w:color="auto"/>
        <w:left w:val="none" w:sz="0" w:space="0" w:color="auto"/>
        <w:bottom w:val="none" w:sz="0" w:space="0" w:color="auto"/>
        <w:right w:val="none" w:sz="0" w:space="0" w:color="auto"/>
      </w:divBdr>
      <w:divsChild>
        <w:div w:id="927079769">
          <w:marLeft w:val="0"/>
          <w:marRight w:val="0"/>
          <w:marTop w:val="0"/>
          <w:marBottom w:val="0"/>
          <w:divBdr>
            <w:top w:val="none" w:sz="0" w:space="0" w:color="auto"/>
            <w:left w:val="none" w:sz="0" w:space="0" w:color="auto"/>
            <w:bottom w:val="none" w:sz="0" w:space="0" w:color="auto"/>
            <w:right w:val="none" w:sz="0" w:space="0" w:color="auto"/>
          </w:divBdr>
          <w:divsChild>
            <w:div w:id="1644701967">
              <w:marLeft w:val="0"/>
              <w:marRight w:val="0"/>
              <w:marTop w:val="0"/>
              <w:marBottom w:val="0"/>
              <w:divBdr>
                <w:top w:val="none" w:sz="0" w:space="0" w:color="auto"/>
                <w:left w:val="none" w:sz="0" w:space="0" w:color="auto"/>
                <w:bottom w:val="none" w:sz="0" w:space="0" w:color="auto"/>
                <w:right w:val="none" w:sz="0" w:space="0" w:color="auto"/>
              </w:divBdr>
              <w:divsChild>
                <w:div w:id="371923142">
                  <w:marLeft w:val="0"/>
                  <w:marRight w:val="0"/>
                  <w:marTop w:val="0"/>
                  <w:marBottom w:val="0"/>
                  <w:divBdr>
                    <w:top w:val="none" w:sz="0" w:space="0" w:color="auto"/>
                    <w:left w:val="none" w:sz="0" w:space="0" w:color="auto"/>
                    <w:bottom w:val="none" w:sz="0" w:space="0" w:color="auto"/>
                    <w:right w:val="none" w:sz="0" w:space="0" w:color="auto"/>
                  </w:divBdr>
                  <w:divsChild>
                    <w:div w:id="195251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9769040">
      <w:bodyDiv w:val="1"/>
      <w:marLeft w:val="0"/>
      <w:marRight w:val="0"/>
      <w:marTop w:val="0"/>
      <w:marBottom w:val="0"/>
      <w:divBdr>
        <w:top w:val="none" w:sz="0" w:space="0" w:color="auto"/>
        <w:left w:val="none" w:sz="0" w:space="0" w:color="auto"/>
        <w:bottom w:val="none" w:sz="0" w:space="0" w:color="auto"/>
        <w:right w:val="none" w:sz="0" w:space="0" w:color="auto"/>
      </w:divBdr>
      <w:divsChild>
        <w:div w:id="1846508715">
          <w:marLeft w:val="0"/>
          <w:marRight w:val="0"/>
          <w:marTop w:val="0"/>
          <w:marBottom w:val="0"/>
          <w:divBdr>
            <w:top w:val="none" w:sz="0" w:space="0" w:color="auto"/>
            <w:left w:val="none" w:sz="0" w:space="0" w:color="auto"/>
            <w:bottom w:val="none" w:sz="0" w:space="0" w:color="auto"/>
            <w:right w:val="none" w:sz="0" w:space="0" w:color="auto"/>
          </w:divBdr>
          <w:divsChild>
            <w:div w:id="600843179">
              <w:marLeft w:val="0"/>
              <w:marRight w:val="0"/>
              <w:marTop w:val="0"/>
              <w:marBottom w:val="0"/>
              <w:divBdr>
                <w:top w:val="none" w:sz="0" w:space="0" w:color="auto"/>
                <w:left w:val="none" w:sz="0" w:space="0" w:color="auto"/>
                <w:bottom w:val="none" w:sz="0" w:space="0" w:color="auto"/>
                <w:right w:val="none" w:sz="0" w:space="0" w:color="auto"/>
              </w:divBdr>
              <w:divsChild>
                <w:div w:id="163283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3193784">
      <w:bodyDiv w:val="1"/>
      <w:marLeft w:val="0"/>
      <w:marRight w:val="0"/>
      <w:marTop w:val="0"/>
      <w:marBottom w:val="0"/>
      <w:divBdr>
        <w:top w:val="none" w:sz="0" w:space="0" w:color="auto"/>
        <w:left w:val="none" w:sz="0" w:space="0" w:color="auto"/>
        <w:bottom w:val="none" w:sz="0" w:space="0" w:color="auto"/>
        <w:right w:val="none" w:sz="0" w:space="0" w:color="auto"/>
      </w:divBdr>
      <w:divsChild>
        <w:div w:id="1417903108">
          <w:marLeft w:val="0"/>
          <w:marRight w:val="0"/>
          <w:marTop w:val="0"/>
          <w:marBottom w:val="0"/>
          <w:divBdr>
            <w:top w:val="none" w:sz="0" w:space="0" w:color="auto"/>
            <w:left w:val="none" w:sz="0" w:space="0" w:color="auto"/>
            <w:bottom w:val="none" w:sz="0" w:space="0" w:color="auto"/>
            <w:right w:val="none" w:sz="0" w:space="0" w:color="auto"/>
          </w:divBdr>
          <w:divsChild>
            <w:div w:id="1264530621">
              <w:marLeft w:val="0"/>
              <w:marRight w:val="0"/>
              <w:marTop w:val="0"/>
              <w:marBottom w:val="0"/>
              <w:divBdr>
                <w:top w:val="none" w:sz="0" w:space="0" w:color="auto"/>
                <w:left w:val="none" w:sz="0" w:space="0" w:color="auto"/>
                <w:bottom w:val="none" w:sz="0" w:space="0" w:color="auto"/>
                <w:right w:val="none" w:sz="0" w:space="0" w:color="auto"/>
              </w:divBdr>
              <w:divsChild>
                <w:div w:id="19606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2419156">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6732616">
      <w:bodyDiv w:val="1"/>
      <w:marLeft w:val="0"/>
      <w:marRight w:val="0"/>
      <w:marTop w:val="0"/>
      <w:marBottom w:val="0"/>
      <w:divBdr>
        <w:top w:val="none" w:sz="0" w:space="0" w:color="auto"/>
        <w:left w:val="none" w:sz="0" w:space="0" w:color="auto"/>
        <w:bottom w:val="none" w:sz="0" w:space="0" w:color="auto"/>
        <w:right w:val="none" w:sz="0" w:space="0" w:color="auto"/>
      </w:divBdr>
      <w:divsChild>
        <w:div w:id="590891673">
          <w:marLeft w:val="0"/>
          <w:marRight w:val="0"/>
          <w:marTop w:val="0"/>
          <w:marBottom w:val="0"/>
          <w:divBdr>
            <w:top w:val="none" w:sz="0" w:space="0" w:color="auto"/>
            <w:left w:val="none" w:sz="0" w:space="0" w:color="auto"/>
            <w:bottom w:val="none" w:sz="0" w:space="0" w:color="auto"/>
            <w:right w:val="none" w:sz="0" w:space="0" w:color="auto"/>
          </w:divBdr>
          <w:divsChild>
            <w:div w:id="1439565445">
              <w:marLeft w:val="0"/>
              <w:marRight w:val="0"/>
              <w:marTop w:val="0"/>
              <w:marBottom w:val="0"/>
              <w:divBdr>
                <w:top w:val="none" w:sz="0" w:space="0" w:color="auto"/>
                <w:left w:val="none" w:sz="0" w:space="0" w:color="auto"/>
                <w:bottom w:val="none" w:sz="0" w:space="0" w:color="auto"/>
                <w:right w:val="none" w:sz="0" w:space="0" w:color="auto"/>
              </w:divBdr>
              <w:divsChild>
                <w:div w:id="1181165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8769308">
      <w:bodyDiv w:val="1"/>
      <w:marLeft w:val="0"/>
      <w:marRight w:val="0"/>
      <w:marTop w:val="0"/>
      <w:marBottom w:val="0"/>
      <w:divBdr>
        <w:top w:val="none" w:sz="0" w:space="0" w:color="auto"/>
        <w:left w:val="none" w:sz="0" w:space="0" w:color="auto"/>
        <w:bottom w:val="none" w:sz="0" w:space="0" w:color="auto"/>
        <w:right w:val="none" w:sz="0" w:space="0" w:color="auto"/>
      </w:divBdr>
      <w:divsChild>
        <w:div w:id="849875501">
          <w:marLeft w:val="0"/>
          <w:marRight w:val="0"/>
          <w:marTop w:val="0"/>
          <w:marBottom w:val="0"/>
          <w:divBdr>
            <w:top w:val="none" w:sz="0" w:space="0" w:color="auto"/>
            <w:left w:val="none" w:sz="0" w:space="0" w:color="auto"/>
            <w:bottom w:val="none" w:sz="0" w:space="0" w:color="auto"/>
            <w:right w:val="none" w:sz="0" w:space="0" w:color="auto"/>
          </w:divBdr>
          <w:divsChild>
            <w:div w:id="627515589">
              <w:marLeft w:val="0"/>
              <w:marRight w:val="0"/>
              <w:marTop w:val="0"/>
              <w:marBottom w:val="0"/>
              <w:divBdr>
                <w:top w:val="none" w:sz="0" w:space="0" w:color="auto"/>
                <w:left w:val="none" w:sz="0" w:space="0" w:color="auto"/>
                <w:bottom w:val="none" w:sz="0" w:space="0" w:color="auto"/>
                <w:right w:val="none" w:sz="0" w:space="0" w:color="auto"/>
              </w:divBdr>
              <w:divsChild>
                <w:div w:id="2104102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3262592">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4473260">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3115059">
      <w:bodyDiv w:val="1"/>
      <w:marLeft w:val="0"/>
      <w:marRight w:val="0"/>
      <w:marTop w:val="0"/>
      <w:marBottom w:val="0"/>
      <w:divBdr>
        <w:top w:val="none" w:sz="0" w:space="0" w:color="auto"/>
        <w:left w:val="none" w:sz="0" w:space="0" w:color="auto"/>
        <w:bottom w:val="none" w:sz="0" w:space="0" w:color="auto"/>
        <w:right w:val="none" w:sz="0" w:space="0" w:color="auto"/>
      </w:divBdr>
      <w:divsChild>
        <w:div w:id="798455519">
          <w:marLeft w:val="0"/>
          <w:marRight w:val="0"/>
          <w:marTop w:val="0"/>
          <w:marBottom w:val="0"/>
          <w:divBdr>
            <w:top w:val="none" w:sz="0" w:space="0" w:color="auto"/>
            <w:left w:val="none" w:sz="0" w:space="0" w:color="auto"/>
            <w:bottom w:val="none" w:sz="0" w:space="0" w:color="auto"/>
            <w:right w:val="none" w:sz="0" w:space="0" w:color="auto"/>
          </w:divBdr>
          <w:divsChild>
            <w:div w:id="752972302">
              <w:marLeft w:val="0"/>
              <w:marRight w:val="0"/>
              <w:marTop w:val="0"/>
              <w:marBottom w:val="0"/>
              <w:divBdr>
                <w:top w:val="none" w:sz="0" w:space="0" w:color="auto"/>
                <w:left w:val="none" w:sz="0" w:space="0" w:color="auto"/>
                <w:bottom w:val="none" w:sz="0" w:space="0" w:color="auto"/>
                <w:right w:val="none" w:sz="0" w:space="0" w:color="auto"/>
              </w:divBdr>
              <w:divsChild>
                <w:div w:id="162978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085538">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4808483">
      <w:bodyDiv w:val="1"/>
      <w:marLeft w:val="0"/>
      <w:marRight w:val="0"/>
      <w:marTop w:val="0"/>
      <w:marBottom w:val="0"/>
      <w:divBdr>
        <w:top w:val="none" w:sz="0" w:space="0" w:color="auto"/>
        <w:left w:val="none" w:sz="0" w:space="0" w:color="auto"/>
        <w:bottom w:val="none" w:sz="0" w:space="0" w:color="auto"/>
        <w:right w:val="none" w:sz="0" w:space="0" w:color="auto"/>
      </w:divBdr>
    </w:div>
    <w:div w:id="1831403781">
      <w:bodyDiv w:val="1"/>
      <w:marLeft w:val="0"/>
      <w:marRight w:val="0"/>
      <w:marTop w:val="0"/>
      <w:marBottom w:val="0"/>
      <w:divBdr>
        <w:top w:val="none" w:sz="0" w:space="0" w:color="auto"/>
        <w:left w:val="none" w:sz="0" w:space="0" w:color="auto"/>
        <w:bottom w:val="none" w:sz="0" w:space="0" w:color="auto"/>
        <w:right w:val="none" w:sz="0" w:space="0" w:color="auto"/>
      </w:divBdr>
      <w:divsChild>
        <w:div w:id="191847310">
          <w:marLeft w:val="0"/>
          <w:marRight w:val="0"/>
          <w:marTop w:val="0"/>
          <w:marBottom w:val="0"/>
          <w:divBdr>
            <w:top w:val="none" w:sz="0" w:space="0" w:color="auto"/>
            <w:left w:val="none" w:sz="0" w:space="0" w:color="auto"/>
            <w:bottom w:val="none" w:sz="0" w:space="0" w:color="auto"/>
            <w:right w:val="none" w:sz="0" w:space="0" w:color="auto"/>
          </w:divBdr>
          <w:divsChild>
            <w:div w:id="1736853169">
              <w:marLeft w:val="0"/>
              <w:marRight w:val="0"/>
              <w:marTop w:val="0"/>
              <w:marBottom w:val="0"/>
              <w:divBdr>
                <w:top w:val="none" w:sz="0" w:space="0" w:color="auto"/>
                <w:left w:val="none" w:sz="0" w:space="0" w:color="auto"/>
                <w:bottom w:val="none" w:sz="0" w:space="0" w:color="auto"/>
                <w:right w:val="none" w:sz="0" w:space="0" w:color="auto"/>
              </w:divBdr>
              <w:divsChild>
                <w:div w:id="774059411">
                  <w:marLeft w:val="0"/>
                  <w:marRight w:val="0"/>
                  <w:marTop w:val="0"/>
                  <w:marBottom w:val="0"/>
                  <w:divBdr>
                    <w:top w:val="none" w:sz="0" w:space="0" w:color="auto"/>
                    <w:left w:val="none" w:sz="0" w:space="0" w:color="auto"/>
                    <w:bottom w:val="none" w:sz="0" w:space="0" w:color="auto"/>
                    <w:right w:val="none" w:sz="0" w:space="0" w:color="auto"/>
                  </w:divBdr>
                  <w:divsChild>
                    <w:div w:id="190868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3786389">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08612517">
      <w:bodyDiv w:val="1"/>
      <w:marLeft w:val="0"/>
      <w:marRight w:val="0"/>
      <w:marTop w:val="0"/>
      <w:marBottom w:val="0"/>
      <w:divBdr>
        <w:top w:val="none" w:sz="0" w:space="0" w:color="auto"/>
        <w:left w:val="none" w:sz="0" w:space="0" w:color="auto"/>
        <w:bottom w:val="none" w:sz="0" w:space="0" w:color="auto"/>
        <w:right w:val="none" w:sz="0" w:space="0" w:color="auto"/>
      </w:divBdr>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333555">
      <w:bodyDiv w:val="1"/>
      <w:marLeft w:val="0"/>
      <w:marRight w:val="0"/>
      <w:marTop w:val="0"/>
      <w:marBottom w:val="0"/>
      <w:divBdr>
        <w:top w:val="none" w:sz="0" w:space="0" w:color="auto"/>
        <w:left w:val="none" w:sz="0" w:space="0" w:color="auto"/>
        <w:bottom w:val="none" w:sz="0" w:space="0" w:color="auto"/>
        <w:right w:val="none" w:sz="0" w:space="0" w:color="auto"/>
      </w:divBdr>
      <w:divsChild>
        <w:div w:id="1618832351">
          <w:marLeft w:val="0"/>
          <w:marRight w:val="0"/>
          <w:marTop w:val="0"/>
          <w:marBottom w:val="0"/>
          <w:divBdr>
            <w:top w:val="none" w:sz="0" w:space="0" w:color="auto"/>
            <w:left w:val="none" w:sz="0" w:space="0" w:color="auto"/>
            <w:bottom w:val="none" w:sz="0" w:space="0" w:color="auto"/>
            <w:right w:val="none" w:sz="0" w:space="0" w:color="auto"/>
          </w:divBdr>
          <w:divsChild>
            <w:div w:id="438573280">
              <w:marLeft w:val="0"/>
              <w:marRight w:val="0"/>
              <w:marTop w:val="0"/>
              <w:marBottom w:val="0"/>
              <w:divBdr>
                <w:top w:val="none" w:sz="0" w:space="0" w:color="auto"/>
                <w:left w:val="none" w:sz="0" w:space="0" w:color="auto"/>
                <w:bottom w:val="none" w:sz="0" w:space="0" w:color="auto"/>
                <w:right w:val="none" w:sz="0" w:space="0" w:color="auto"/>
              </w:divBdr>
              <w:divsChild>
                <w:div w:id="371198100">
                  <w:marLeft w:val="0"/>
                  <w:marRight w:val="0"/>
                  <w:marTop w:val="0"/>
                  <w:marBottom w:val="0"/>
                  <w:divBdr>
                    <w:top w:val="none" w:sz="0" w:space="0" w:color="auto"/>
                    <w:left w:val="none" w:sz="0" w:space="0" w:color="auto"/>
                    <w:bottom w:val="none" w:sz="0" w:space="0" w:color="auto"/>
                    <w:right w:val="none" w:sz="0" w:space="0" w:color="auto"/>
                  </w:divBdr>
                  <w:divsChild>
                    <w:div w:id="9152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7619228">
      <w:bodyDiv w:val="1"/>
      <w:marLeft w:val="0"/>
      <w:marRight w:val="0"/>
      <w:marTop w:val="0"/>
      <w:marBottom w:val="0"/>
      <w:divBdr>
        <w:top w:val="none" w:sz="0" w:space="0" w:color="auto"/>
        <w:left w:val="none" w:sz="0" w:space="0" w:color="auto"/>
        <w:bottom w:val="none" w:sz="0" w:space="0" w:color="auto"/>
        <w:right w:val="none" w:sz="0" w:space="0" w:color="auto"/>
      </w:divBdr>
      <w:divsChild>
        <w:div w:id="1073091653">
          <w:marLeft w:val="0"/>
          <w:marRight w:val="0"/>
          <w:marTop w:val="0"/>
          <w:marBottom w:val="0"/>
          <w:divBdr>
            <w:top w:val="none" w:sz="0" w:space="0" w:color="auto"/>
            <w:left w:val="none" w:sz="0" w:space="0" w:color="auto"/>
            <w:bottom w:val="none" w:sz="0" w:space="0" w:color="auto"/>
            <w:right w:val="none" w:sz="0" w:space="0" w:color="auto"/>
          </w:divBdr>
        </w:div>
        <w:div w:id="989165463">
          <w:marLeft w:val="0"/>
          <w:marRight w:val="0"/>
          <w:marTop w:val="0"/>
          <w:marBottom w:val="0"/>
          <w:divBdr>
            <w:top w:val="none" w:sz="0" w:space="0" w:color="auto"/>
            <w:left w:val="none" w:sz="0" w:space="0" w:color="auto"/>
            <w:bottom w:val="none" w:sz="0" w:space="0" w:color="auto"/>
            <w:right w:val="none" w:sz="0" w:space="0" w:color="auto"/>
          </w:divBdr>
        </w:div>
        <w:div w:id="2059669214">
          <w:marLeft w:val="0"/>
          <w:marRight w:val="0"/>
          <w:marTop w:val="0"/>
          <w:marBottom w:val="0"/>
          <w:divBdr>
            <w:top w:val="none" w:sz="0" w:space="0" w:color="auto"/>
            <w:left w:val="none" w:sz="0" w:space="0" w:color="auto"/>
            <w:bottom w:val="none" w:sz="0" w:space="0" w:color="auto"/>
            <w:right w:val="none" w:sz="0" w:space="0" w:color="auto"/>
          </w:divBdr>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7396015">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22047850">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952717">
      <w:bodyDiv w:val="1"/>
      <w:marLeft w:val="0"/>
      <w:marRight w:val="0"/>
      <w:marTop w:val="0"/>
      <w:marBottom w:val="0"/>
      <w:divBdr>
        <w:top w:val="none" w:sz="0" w:space="0" w:color="auto"/>
        <w:left w:val="none" w:sz="0" w:space="0" w:color="auto"/>
        <w:bottom w:val="none" w:sz="0" w:space="0" w:color="auto"/>
        <w:right w:val="none" w:sz="0" w:space="0" w:color="auto"/>
      </w:divBdr>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45056635">
      <w:bodyDiv w:val="1"/>
      <w:marLeft w:val="0"/>
      <w:marRight w:val="0"/>
      <w:marTop w:val="0"/>
      <w:marBottom w:val="0"/>
      <w:divBdr>
        <w:top w:val="none" w:sz="0" w:space="0" w:color="auto"/>
        <w:left w:val="none" w:sz="0" w:space="0" w:color="auto"/>
        <w:bottom w:val="none" w:sz="0" w:space="0" w:color="auto"/>
        <w:right w:val="none" w:sz="0" w:space="0" w:color="auto"/>
      </w:divBdr>
    </w:div>
    <w:div w:id="2065136020">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6803058">
      <w:bodyDiv w:val="1"/>
      <w:marLeft w:val="0"/>
      <w:marRight w:val="0"/>
      <w:marTop w:val="0"/>
      <w:marBottom w:val="0"/>
      <w:divBdr>
        <w:top w:val="none" w:sz="0" w:space="0" w:color="auto"/>
        <w:left w:val="none" w:sz="0" w:space="0" w:color="auto"/>
        <w:bottom w:val="none" w:sz="0" w:space="0" w:color="auto"/>
        <w:right w:val="none" w:sz="0" w:space="0" w:color="auto"/>
      </w:divBdr>
      <w:divsChild>
        <w:div w:id="177240049">
          <w:marLeft w:val="0"/>
          <w:marRight w:val="0"/>
          <w:marTop w:val="0"/>
          <w:marBottom w:val="0"/>
          <w:divBdr>
            <w:top w:val="none" w:sz="0" w:space="0" w:color="auto"/>
            <w:left w:val="none" w:sz="0" w:space="0" w:color="auto"/>
            <w:bottom w:val="none" w:sz="0" w:space="0" w:color="auto"/>
            <w:right w:val="none" w:sz="0" w:space="0" w:color="auto"/>
          </w:divBdr>
          <w:divsChild>
            <w:div w:id="1581257025">
              <w:marLeft w:val="0"/>
              <w:marRight w:val="0"/>
              <w:marTop w:val="0"/>
              <w:marBottom w:val="0"/>
              <w:divBdr>
                <w:top w:val="none" w:sz="0" w:space="0" w:color="auto"/>
                <w:left w:val="none" w:sz="0" w:space="0" w:color="auto"/>
                <w:bottom w:val="none" w:sz="0" w:space="0" w:color="auto"/>
                <w:right w:val="none" w:sz="0" w:space="0" w:color="auto"/>
              </w:divBdr>
              <w:divsChild>
                <w:div w:id="81048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308994">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4550049">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uncionpublica.gov.co/eva/gestornormativo/norma.php?i=77653"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F8521671-D56A-F342-8BC5-FA15744391E7}">
  <ds:schemaRefs>
    <ds:schemaRef ds:uri="http://schemas.openxmlformats.org/officeDocument/2006/bibliography"/>
  </ds:schemaRefs>
</ds:datastoreItem>
</file>

<file path=customXml/itemProps3.xml><?xml version="1.0" encoding="utf-8"?>
<ds:datastoreItem xmlns:ds="http://schemas.openxmlformats.org/officeDocument/2006/customXml" ds:itemID="{4B821723-319E-4517-B6A2-BC96C2B62B48}"/>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88</TotalTime>
  <Pages>45</Pages>
  <Words>18600</Words>
  <Characters>102302</Characters>
  <Application>Microsoft Office Word</Application>
  <DocSecurity>0</DocSecurity>
  <Lines>852</Lines>
  <Paragraphs>241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120661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CRISTIAN ANDRES DIAZ DIEZ</cp:lastModifiedBy>
  <cp:revision>130</cp:revision>
  <cp:lastPrinted>2020-01-30T15:05:00Z</cp:lastPrinted>
  <dcterms:created xsi:type="dcterms:W3CDTF">2021-06-21T13:42:00Z</dcterms:created>
  <dcterms:modified xsi:type="dcterms:W3CDTF">2021-06-21T16:33:00Z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