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55DF23" w14:textId="77777777" w:rsidR="00F06958" w:rsidRPr="00F06958" w:rsidRDefault="00F06958" w:rsidP="00B1111E">
      <w:pPr>
        <w:tabs>
          <w:tab w:val="left" w:pos="426"/>
        </w:tabs>
        <w:spacing w:after="0" w:line="240" w:lineRule="auto"/>
        <w:jc w:val="both"/>
        <w:rPr>
          <w:rFonts w:ascii="Arial" w:eastAsia="Calibri" w:hAnsi="Arial" w:cs="Arial"/>
          <w:b/>
          <w:bCs/>
          <w:lang w:val="es-MX"/>
        </w:rPr>
      </w:pPr>
      <w:bookmarkStart w:id="0" w:name="_Hlk77152637"/>
      <w:bookmarkStart w:id="1" w:name="_Hlk77157066"/>
      <w:bookmarkStart w:id="2" w:name="_Hlk78821436"/>
      <w:r w:rsidRPr="00F06958">
        <w:rPr>
          <w:rFonts w:ascii="Arial" w:eastAsia="Calibri" w:hAnsi="Arial" w:cs="Arial"/>
          <w:b/>
          <w:bCs/>
          <w:lang w:val="es-MX"/>
        </w:rPr>
        <w:t>LEY DE GARANTÍAS ELECTORALES ‒</w:t>
      </w:r>
      <w:bookmarkEnd w:id="0"/>
      <w:r w:rsidRPr="00F06958">
        <w:rPr>
          <w:rFonts w:ascii="Arial" w:eastAsia="Calibri" w:hAnsi="Arial" w:cs="Arial"/>
          <w:b/>
          <w:bCs/>
          <w:lang w:val="es-MX"/>
        </w:rPr>
        <w:t xml:space="preserve"> Tipos de restricciones </w:t>
      </w:r>
      <w:bookmarkStart w:id="3" w:name="_Hlk77157034"/>
      <w:r w:rsidRPr="00F06958">
        <w:rPr>
          <w:rFonts w:ascii="Arial" w:eastAsia="Calibri" w:hAnsi="Arial" w:cs="Arial"/>
          <w:b/>
          <w:bCs/>
          <w:lang w:val="es-MX"/>
        </w:rPr>
        <w:t xml:space="preserve">‒ </w:t>
      </w:r>
      <w:bookmarkStart w:id="4" w:name="_Hlk77153098"/>
      <w:bookmarkEnd w:id="3"/>
      <w:r w:rsidRPr="00F06958">
        <w:rPr>
          <w:rFonts w:ascii="Arial" w:eastAsia="Calibri" w:hAnsi="Arial" w:cs="Arial"/>
          <w:b/>
          <w:bCs/>
          <w:lang w:val="es-MX"/>
        </w:rPr>
        <w:t xml:space="preserve">Ámbito temporal </w:t>
      </w:r>
      <w:bookmarkEnd w:id="4"/>
    </w:p>
    <w:p w14:paraId="115E3110" w14:textId="77777777" w:rsidR="00F06958" w:rsidRPr="00F06958" w:rsidRDefault="00F06958" w:rsidP="00B1111E">
      <w:pPr>
        <w:tabs>
          <w:tab w:val="left" w:pos="426"/>
        </w:tabs>
        <w:spacing w:after="0" w:line="240" w:lineRule="auto"/>
        <w:jc w:val="both"/>
        <w:rPr>
          <w:rFonts w:ascii="Arial" w:eastAsia="Calibri" w:hAnsi="Arial" w:cs="Arial"/>
          <w:b/>
          <w:bCs/>
          <w:sz w:val="20"/>
          <w:szCs w:val="20"/>
          <w:lang w:val="es-MX"/>
        </w:rPr>
      </w:pPr>
    </w:p>
    <w:bookmarkEnd w:id="1"/>
    <w:p w14:paraId="658CEEAE" w14:textId="64A152CC" w:rsidR="00F06958" w:rsidRPr="00F06958" w:rsidRDefault="00F06958" w:rsidP="00B1111E">
      <w:pPr>
        <w:tabs>
          <w:tab w:val="left" w:pos="426"/>
        </w:tabs>
        <w:spacing w:after="0" w:line="240" w:lineRule="auto"/>
        <w:jc w:val="both"/>
        <w:rPr>
          <w:rFonts w:ascii="Arial" w:eastAsia="Calibri" w:hAnsi="Arial" w:cs="Arial"/>
          <w:noProof/>
          <w:sz w:val="20"/>
          <w:szCs w:val="20"/>
          <w:lang w:val="es-ES_tradnl"/>
        </w:rPr>
      </w:pPr>
      <w:r w:rsidRPr="00F06958">
        <w:rPr>
          <w:rFonts w:ascii="Arial" w:eastAsia="Calibri" w:hAnsi="Arial" w:cs="Arial"/>
          <w:noProof/>
          <w:sz w:val="20"/>
          <w:szCs w:val="20"/>
          <w:lang w:val="es-ES_tradnl"/>
        </w:rPr>
        <w:t xml:space="preserve">[…] </w:t>
      </w:r>
      <w:r w:rsidR="00672126" w:rsidRPr="00672126">
        <w:rPr>
          <w:rFonts w:ascii="Arial" w:eastAsia="Calibri" w:hAnsi="Arial" w:cs="Arial"/>
          <w:noProof/>
          <w:sz w:val="20"/>
          <w:szCs w:val="20"/>
          <w:lang w:val="es-ES_tradnl"/>
        </w:rPr>
        <w:t>la Ley 996 de 2005 establece dos (2) tipos de restricciones en materia de contratación, las cuales coinciden parcialmente. En primer lugar,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En segundo lugar,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6AAD6811" w14:textId="77777777" w:rsidR="00F06958" w:rsidRPr="00F06958" w:rsidRDefault="00F06958" w:rsidP="00B1111E">
      <w:pPr>
        <w:tabs>
          <w:tab w:val="left" w:pos="426"/>
        </w:tabs>
        <w:spacing w:after="0" w:line="240" w:lineRule="auto"/>
        <w:jc w:val="both"/>
        <w:rPr>
          <w:rFonts w:ascii="Arial" w:eastAsia="Calibri" w:hAnsi="Arial" w:cs="Arial"/>
          <w:noProof/>
          <w:sz w:val="20"/>
          <w:szCs w:val="20"/>
          <w:lang w:val="es-ES_tradnl"/>
        </w:rPr>
      </w:pPr>
    </w:p>
    <w:p w14:paraId="197E52BB" w14:textId="77777777" w:rsidR="00F06958" w:rsidRPr="00F06958" w:rsidRDefault="00F06958" w:rsidP="00B1111E">
      <w:pPr>
        <w:tabs>
          <w:tab w:val="left" w:pos="426"/>
        </w:tabs>
        <w:spacing w:after="0" w:line="240" w:lineRule="auto"/>
        <w:jc w:val="both"/>
        <w:rPr>
          <w:rFonts w:ascii="Arial" w:eastAsia="Calibri" w:hAnsi="Arial" w:cs="Arial"/>
          <w:b/>
          <w:bCs/>
          <w:lang w:val="es-MX"/>
        </w:rPr>
      </w:pPr>
      <w:bookmarkStart w:id="5" w:name="_Hlk77165666"/>
      <w:r w:rsidRPr="00F06958">
        <w:rPr>
          <w:rFonts w:ascii="Arial" w:eastAsia="Calibri" w:hAnsi="Arial" w:cs="Arial"/>
          <w:b/>
          <w:bCs/>
          <w:lang w:val="es-MX"/>
        </w:rPr>
        <w:t xml:space="preserve">LEY DE GARANTÍAS ELECTORALES ─ Prohibición ‒ </w:t>
      </w:r>
      <w:bookmarkEnd w:id="5"/>
      <w:r w:rsidRPr="00F06958">
        <w:rPr>
          <w:rFonts w:ascii="Arial" w:eastAsia="Calibri" w:hAnsi="Arial" w:cs="Arial"/>
          <w:b/>
          <w:bCs/>
          <w:lang w:val="es-MX"/>
        </w:rPr>
        <w:t xml:space="preserve">Contratación directa ‒ Alcance – </w:t>
      </w:r>
      <w:r w:rsidRPr="00F06958">
        <w:rPr>
          <w:rFonts w:ascii="Arial" w:eastAsia="Times New Roman" w:hAnsi="Arial" w:cs="Arial"/>
          <w:b/>
          <w:bCs/>
          <w:lang w:eastAsia="es-CO"/>
        </w:rPr>
        <w:t>Excepciones</w:t>
      </w:r>
      <w:r w:rsidRPr="00F06958">
        <w:rPr>
          <w:rFonts w:ascii="Arial" w:eastAsia="Calibri" w:hAnsi="Arial" w:cs="Arial"/>
          <w:b/>
          <w:bCs/>
          <w:lang w:val="es-MX"/>
        </w:rPr>
        <w:t xml:space="preserve"> </w:t>
      </w:r>
    </w:p>
    <w:p w14:paraId="1E38A1C2" w14:textId="77777777" w:rsidR="00F06958" w:rsidRPr="00F06958" w:rsidRDefault="00F06958" w:rsidP="00B1111E">
      <w:pPr>
        <w:tabs>
          <w:tab w:val="left" w:pos="426"/>
        </w:tabs>
        <w:spacing w:after="0" w:line="240" w:lineRule="auto"/>
        <w:jc w:val="both"/>
        <w:rPr>
          <w:rFonts w:ascii="Arial" w:eastAsia="Calibri" w:hAnsi="Arial" w:cs="Arial"/>
          <w:noProof/>
          <w:sz w:val="20"/>
          <w:szCs w:val="20"/>
          <w:lang w:val="es-MX"/>
        </w:rPr>
      </w:pPr>
    </w:p>
    <w:p w14:paraId="7DA25070" w14:textId="7DAAB5F6" w:rsidR="00F06958" w:rsidRPr="00F06958" w:rsidRDefault="00F06958" w:rsidP="00B1111E">
      <w:pPr>
        <w:tabs>
          <w:tab w:val="left" w:pos="426"/>
        </w:tabs>
        <w:spacing w:after="0" w:line="240" w:lineRule="auto"/>
        <w:jc w:val="both"/>
        <w:rPr>
          <w:rFonts w:ascii="Arial" w:eastAsia="Times New Roman" w:hAnsi="Arial" w:cs="Arial"/>
          <w:sz w:val="20"/>
          <w:szCs w:val="20"/>
          <w:lang w:val="es-MX" w:eastAsia="es-ES"/>
        </w:rPr>
      </w:pPr>
      <w:r w:rsidRPr="00F06958">
        <w:rPr>
          <w:rFonts w:ascii="Arial" w:eastAsia="Calibri" w:hAnsi="Arial" w:cs="Arial"/>
          <w:noProof/>
          <w:sz w:val="20"/>
          <w:szCs w:val="20"/>
          <w:lang w:val="es-MX"/>
        </w:rPr>
        <w:t xml:space="preserve">[…] </w:t>
      </w:r>
      <w:r w:rsidR="00672126" w:rsidRPr="00672126">
        <w:rPr>
          <w:rFonts w:ascii="Arial" w:eastAsia="Calibri" w:hAnsi="Arial" w:cs="Arial"/>
          <w:noProof/>
          <w:sz w:val="20"/>
          <w:szCs w:val="20"/>
          <w:lang w:val="es-MX"/>
        </w:rPr>
        <w:t>la prohibición del artículo 33 de la Ley de Garantías Electorales se refiere a «cualquier sistema que no implique convocatoria pública y posibilidad de pluralidad de oferentes», por lo que excluye las demás modalidades de contratación previstas en la Ley 1150 de 2007, es decir, la licitación pública, la selección abreviada, el concurso de méritos y la mínima cuantía u otros previstos en normas especiales, que contemplen en alguna de sus etapas la posible participación de pluralidad de oferentes. Esta posición es congruente con la expedición de la Ley 1150 de 2007 que, entre otras reformas, introdujo la selección abreviada, rediseñó el concurso de méritos y sistematizó las causales de contratación directa , además, lo es con la posterior regulación de la modalidad de mínima cuantía, establecida actualmente en el numeral 5 del artículo 2 de la Ley 1150 de 2007, de acuerdo con las modificaciones realizadas por leyes posteriores.</w:t>
      </w:r>
    </w:p>
    <w:p w14:paraId="56F4C508" w14:textId="77777777" w:rsidR="00F06958" w:rsidRPr="00F06958" w:rsidRDefault="00F06958" w:rsidP="00B1111E">
      <w:pPr>
        <w:shd w:val="clear" w:color="auto" w:fill="FFFFFF"/>
        <w:spacing w:after="0" w:line="240" w:lineRule="auto"/>
        <w:jc w:val="both"/>
        <w:rPr>
          <w:rFonts w:ascii="Arial" w:eastAsia="Times New Roman" w:hAnsi="Arial" w:cs="Arial"/>
          <w:sz w:val="20"/>
          <w:szCs w:val="20"/>
          <w:lang w:eastAsia="es-CO"/>
        </w:rPr>
      </w:pPr>
    </w:p>
    <w:p w14:paraId="0737B6ED" w14:textId="3F29F605" w:rsidR="00F06958" w:rsidRPr="00F06958" w:rsidRDefault="00F06958" w:rsidP="00B1111E">
      <w:pPr>
        <w:tabs>
          <w:tab w:val="left" w:pos="426"/>
        </w:tabs>
        <w:spacing w:after="0" w:line="240" w:lineRule="auto"/>
        <w:jc w:val="both"/>
        <w:rPr>
          <w:rFonts w:ascii="Arial" w:eastAsia="Calibri" w:hAnsi="Arial" w:cs="Arial"/>
          <w:sz w:val="20"/>
          <w:szCs w:val="20"/>
          <w:lang w:val="es-MX"/>
        </w:rPr>
      </w:pPr>
      <w:r w:rsidRPr="00F06958">
        <w:rPr>
          <w:rFonts w:ascii="Arial" w:eastAsia="Times New Roman" w:hAnsi="Arial" w:cs="Arial"/>
          <w:sz w:val="20"/>
          <w:szCs w:val="20"/>
          <w:lang w:eastAsia="x-none"/>
        </w:rPr>
        <w:t xml:space="preserve">[…] </w:t>
      </w:r>
      <w:r w:rsidR="00672126" w:rsidRPr="00672126">
        <w:rPr>
          <w:rFonts w:ascii="Arial" w:eastAsia="Times New Roman" w:hAnsi="Arial" w:cs="Arial"/>
          <w:sz w:val="20"/>
          <w:szCs w:val="20"/>
          <w:lang w:eastAsia="x-none"/>
        </w:rPr>
        <w:t xml:space="preserve">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00672126" w:rsidRPr="00672126">
        <w:rPr>
          <w:rFonts w:ascii="Arial" w:eastAsia="Times New Roman" w:hAnsi="Arial" w:cs="Arial"/>
          <w:sz w:val="20"/>
          <w:szCs w:val="20"/>
          <w:lang w:eastAsia="x-none"/>
        </w:rPr>
        <w:t>ii</w:t>
      </w:r>
      <w:proofErr w:type="spellEnd"/>
      <w:r w:rsidR="00672126" w:rsidRPr="00672126">
        <w:rPr>
          <w:rFonts w:ascii="Arial" w:eastAsia="Times New Roman" w:hAnsi="Arial" w:cs="Arial"/>
          <w:sz w:val="20"/>
          <w:szCs w:val="20"/>
          <w:lang w:eastAsia="x-none"/>
        </w:rPr>
        <w:t xml:space="preserve">) los contratos de crédito público; </w:t>
      </w:r>
      <w:proofErr w:type="spellStart"/>
      <w:r w:rsidR="00672126" w:rsidRPr="00672126">
        <w:rPr>
          <w:rFonts w:ascii="Arial" w:eastAsia="Times New Roman" w:hAnsi="Arial" w:cs="Arial"/>
          <w:sz w:val="20"/>
          <w:szCs w:val="20"/>
          <w:lang w:eastAsia="x-none"/>
        </w:rPr>
        <w:t>iii</w:t>
      </w:r>
      <w:proofErr w:type="spellEnd"/>
      <w:r w:rsidR="00672126" w:rsidRPr="00672126">
        <w:rPr>
          <w:rFonts w:ascii="Arial" w:eastAsia="Times New Roman" w:hAnsi="Arial" w:cs="Arial"/>
          <w:sz w:val="20"/>
          <w:szCs w:val="20"/>
          <w:lang w:eastAsia="x-none"/>
        </w:rPr>
        <w:t xml:space="preserve">) los requeridos para cubrir las emergencias educativas, sanitarias y desastres; </w:t>
      </w:r>
      <w:proofErr w:type="spellStart"/>
      <w:r w:rsidR="00672126" w:rsidRPr="00672126">
        <w:rPr>
          <w:rFonts w:ascii="Arial" w:eastAsia="Times New Roman" w:hAnsi="Arial" w:cs="Arial"/>
          <w:sz w:val="20"/>
          <w:szCs w:val="20"/>
          <w:lang w:eastAsia="x-none"/>
        </w:rPr>
        <w:t>iv</w:t>
      </w:r>
      <w:proofErr w:type="spellEnd"/>
      <w:r w:rsidR="00672126" w:rsidRPr="00672126">
        <w:rPr>
          <w:rFonts w:ascii="Arial" w:eastAsia="Times New Roman" w:hAnsi="Arial" w:cs="Arial"/>
          <w:sz w:val="20"/>
          <w:szCs w:val="20"/>
          <w:lang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7F714E9A" w14:textId="77777777" w:rsidR="00F06958" w:rsidRPr="00260595" w:rsidRDefault="00F06958" w:rsidP="00B1111E">
      <w:pPr>
        <w:tabs>
          <w:tab w:val="left" w:pos="426"/>
        </w:tabs>
        <w:spacing w:after="0" w:line="240" w:lineRule="auto"/>
        <w:jc w:val="both"/>
        <w:rPr>
          <w:rFonts w:ascii="Arial" w:eastAsia="Calibri" w:hAnsi="Arial" w:cs="Arial"/>
          <w:noProof/>
        </w:rPr>
      </w:pPr>
    </w:p>
    <w:p w14:paraId="38E1661A" w14:textId="77777777" w:rsidR="00F06958" w:rsidRPr="00F06958" w:rsidRDefault="00F06958" w:rsidP="00B1111E">
      <w:pPr>
        <w:spacing w:after="0" w:line="240" w:lineRule="auto"/>
        <w:jc w:val="both"/>
        <w:rPr>
          <w:rFonts w:ascii="Arial" w:eastAsia="Times New Roman" w:hAnsi="Arial" w:cs="Arial"/>
          <w:b/>
          <w:lang w:val="es-ES" w:eastAsia="es-CO"/>
        </w:rPr>
      </w:pPr>
      <w:r w:rsidRPr="00F06958">
        <w:rPr>
          <w:rFonts w:ascii="Arial" w:eastAsia="Times New Roman" w:hAnsi="Arial" w:cs="Arial"/>
          <w:b/>
          <w:bCs/>
          <w:lang w:eastAsia="es-CO"/>
        </w:rPr>
        <w:t xml:space="preserve">LEY DE GARANTÍAS ELECTORALES </w:t>
      </w:r>
      <w:bookmarkStart w:id="6" w:name="_Hlk77166669"/>
      <w:r w:rsidRPr="00F06958">
        <w:rPr>
          <w:rFonts w:ascii="Arial" w:eastAsia="Times New Roman" w:hAnsi="Arial" w:cs="Arial"/>
          <w:b/>
          <w:bCs/>
          <w:lang w:eastAsia="es-CO"/>
        </w:rPr>
        <w:t>‒</w:t>
      </w:r>
      <w:bookmarkEnd w:id="6"/>
      <w:r w:rsidRPr="00F06958">
        <w:rPr>
          <w:rFonts w:ascii="Arial" w:eastAsia="Times New Roman" w:hAnsi="Arial" w:cs="Arial"/>
          <w:b/>
          <w:bCs/>
          <w:lang w:eastAsia="es-CO"/>
        </w:rPr>
        <w:t xml:space="preserve"> </w:t>
      </w:r>
      <w:r w:rsidRPr="00F06958">
        <w:rPr>
          <w:rFonts w:ascii="Arial" w:eastAsia="Times New Roman" w:hAnsi="Arial" w:cs="Arial"/>
          <w:b/>
          <w:lang w:val="es-ES" w:eastAsia="es-CO"/>
        </w:rPr>
        <w:t xml:space="preserve">Prohibición del artículo 33 </w:t>
      </w:r>
      <w:r w:rsidRPr="00F06958">
        <w:rPr>
          <w:rFonts w:ascii="Arial" w:eastAsia="Times New Roman" w:hAnsi="Arial" w:cs="Arial"/>
          <w:b/>
          <w:bCs/>
          <w:lang w:eastAsia="es-CO"/>
        </w:rPr>
        <w:t>‒ Destinatarios</w:t>
      </w:r>
    </w:p>
    <w:p w14:paraId="3A16CC89" w14:textId="77777777" w:rsidR="00F06958" w:rsidRPr="00F06958" w:rsidRDefault="00F06958" w:rsidP="00B1111E">
      <w:pPr>
        <w:tabs>
          <w:tab w:val="left" w:pos="426"/>
        </w:tabs>
        <w:spacing w:after="0" w:line="240" w:lineRule="auto"/>
        <w:jc w:val="both"/>
        <w:rPr>
          <w:rFonts w:ascii="Arial" w:eastAsia="Calibri" w:hAnsi="Arial" w:cs="Arial"/>
          <w:noProof/>
          <w:sz w:val="20"/>
          <w:szCs w:val="20"/>
          <w:lang w:val="es-ES"/>
        </w:rPr>
      </w:pPr>
    </w:p>
    <w:p w14:paraId="17B17C7D" w14:textId="4E64CB9F" w:rsidR="00F06958" w:rsidRPr="00F06958" w:rsidRDefault="00260595" w:rsidP="00B1111E">
      <w:pPr>
        <w:tabs>
          <w:tab w:val="left" w:pos="426"/>
        </w:tabs>
        <w:spacing w:after="0" w:line="240" w:lineRule="auto"/>
        <w:jc w:val="both"/>
        <w:rPr>
          <w:rFonts w:ascii="Arial" w:eastAsia="Calibri" w:hAnsi="Arial" w:cs="Arial"/>
          <w:noProof/>
          <w:sz w:val="20"/>
          <w:szCs w:val="20"/>
        </w:rPr>
      </w:pPr>
      <w:r w:rsidRPr="00260595">
        <w:rPr>
          <w:rFonts w:ascii="Arial" w:eastAsia="Calibri" w:hAnsi="Arial" w:cs="Arial"/>
          <w:noProof/>
          <w:sz w:val="20"/>
          <w:szCs w:val="20"/>
        </w:rPr>
        <w:t xml:space="preserve">En relación con los destinatarios de la restricción analizada, el artículo 33 de la Ley 996 de 2005 los señala expresamente,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w:t>
      </w:r>
      <w:r w:rsidRPr="00260595">
        <w:rPr>
          <w:rFonts w:ascii="Arial" w:eastAsia="Calibri" w:hAnsi="Arial" w:cs="Arial"/>
          <w:noProof/>
          <w:sz w:val="20"/>
          <w:szCs w:val="20"/>
        </w:rPr>
        <w:lastRenderedPageBreak/>
        <w:t>ámbito de aplicación del Estatuto General de Contratación de la Administración Pública. La Sala de Consulta y Servicio Civil del Consejo de Estado, en Concepto 1727 del 20 de febrero de 2006, consideró que 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 .</w:t>
      </w:r>
    </w:p>
    <w:bookmarkEnd w:id="2"/>
    <w:p w14:paraId="5F304EB7" w14:textId="77777777" w:rsidR="00F06958" w:rsidRPr="00F06958" w:rsidRDefault="00F06958" w:rsidP="00B1111E">
      <w:pPr>
        <w:tabs>
          <w:tab w:val="left" w:pos="426"/>
        </w:tabs>
        <w:spacing w:after="0" w:line="240" w:lineRule="auto"/>
        <w:jc w:val="both"/>
        <w:rPr>
          <w:rFonts w:ascii="Arial" w:eastAsia="Times New Roman" w:hAnsi="Arial" w:cs="Arial"/>
          <w:sz w:val="18"/>
          <w:szCs w:val="18"/>
          <w:lang w:val="es-MX" w:eastAsia="es-CO"/>
        </w:rPr>
      </w:pPr>
    </w:p>
    <w:p w14:paraId="0E174B24" w14:textId="36397AC2" w:rsidR="00F06958" w:rsidRPr="00F06958" w:rsidRDefault="00957EF9" w:rsidP="00260595">
      <w:pPr>
        <w:spacing w:after="120" w:line="240" w:lineRule="auto"/>
        <w:contextualSpacing/>
        <w:jc w:val="both"/>
        <w:rPr>
          <w:rFonts w:ascii="Arial" w:eastAsia="Calibri" w:hAnsi="Arial" w:cs="Arial"/>
          <w:b/>
          <w:bCs/>
          <w:lang w:val="es-MX"/>
        </w:rPr>
      </w:pPr>
      <w:r w:rsidRPr="00957EF9">
        <w:rPr>
          <w:rFonts w:ascii="Arial" w:eastAsia="Calibri" w:hAnsi="Arial" w:cs="Arial"/>
          <w:sz w:val="20"/>
          <w:szCs w:val="20"/>
          <w:lang w:val="es-MX"/>
        </w:rPr>
        <w:t xml:space="preserve">[…] </w:t>
      </w:r>
      <w:r w:rsidR="00260595" w:rsidRPr="00260595">
        <w:rPr>
          <w:rFonts w:ascii="Arial" w:eastAsia="Calibri" w:hAnsi="Arial" w:cs="Arial"/>
          <w:sz w:val="20"/>
          <w:szCs w:val="20"/>
          <w:lang w:val="es-MX"/>
        </w:rPr>
        <w:t>la restricción prevista en la Ley 996 de 2005, teniendo en cuenta la finalidad de la ley de garantías electorales, cobija a cualquier ente público que pueda a través de la contratación directa romper el equilibrio entre los candidatos en desarrollo de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normas especiales.</w:t>
      </w:r>
    </w:p>
    <w:p w14:paraId="39386A7D" w14:textId="77777777" w:rsidR="00260595" w:rsidRDefault="00260595" w:rsidP="00F06958">
      <w:pPr>
        <w:spacing w:after="0" w:line="276" w:lineRule="auto"/>
        <w:jc w:val="right"/>
        <w:rPr>
          <w:rFonts w:ascii="Arial" w:eastAsia="Times New Roman" w:hAnsi="Arial" w:cs="Arial"/>
          <w:b/>
          <w:bCs/>
          <w:sz w:val="16"/>
          <w:szCs w:val="16"/>
          <w:lang w:eastAsia="es-ES"/>
        </w:rPr>
      </w:pPr>
      <w:bookmarkStart w:id="7" w:name="_Hlk29890381"/>
      <w:bookmarkEnd w:id="7"/>
    </w:p>
    <w:p w14:paraId="4DEA730D" w14:textId="77777777" w:rsidR="00260595" w:rsidRDefault="00260595" w:rsidP="00F06958">
      <w:pPr>
        <w:spacing w:after="0" w:line="276" w:lineRule="auto"/>
        <w:jc w:val="right"/>
        <w:rPr>
          <w:rFonts w:ascii="Arial" w:eastAsia="Times New Roman" w:hAnsi="Arial" w:cs="Arial"/>
          <w:b/>
          <w:bCs/>
          <w:sz w:val="16"/>
          <w:szCs w:val="16"/>
          <w:lang w:eastAsia="es-ES"/>
        </w:rPr>
      </w:pPr>
    </w:p>
    <w:p w14:paraId="35F90821" w14:textId="77777777" w:rsidR="00260595" w:rsidRDefault="00260595" w:rsidP="00F06958">
      <w:pPr>
        <w:spacing w:after="0" w:line="276" w:lineRule="auto"/>
        <w:jc w:val="right"/>
        <w:rPr>
          <w:rFonts w:ascii="Arial" w:eastAsia="Times New Roman" w:hAnsi="Arial" w:cs="Arial"/>
          <w:b/>
          <w:bCs/>
          <w:sz w:val="16"/>
          <w:szCs w:val="16"/>
          <w:lang w:eastAsia="es-ES"/>
        </w:rPr>
      </w:pPr>
    </w:p>
    <w:p w14:paraId="4499E733" w14:textId="77777777" w:rsidR="00260595" w:rsidRDefault="00260595" w:rsidP="00F06958">
      <w:pPr>
        <w:spacing w:after="0" w:line="276" w:lineRule="auto"/>
        <w:jc w:val="right"/>
        <w:rPr>
          <w:rFonts w:ascii="Arial" w:eastAsia="Times New Roman" w:hAnsi="Arial" w:cs="Arial"/>
          <w:b/>
          <w:bCs/>
          <w:sz w:val="16"/>
          <w:szCs w:val="16"/>
          <w:lang w:eastAsia="es-ES"/>
        </w:rPr>
      </w:pPr>
    </w:p>
    <w:p w14:paraId="5456CDA7" w14:textId="77777777" w:rsidR="00260595" w:rsidRDefault="00260595" w:rsidP="00F06958">
      <w:pPr>
        <w:spacing w:after="0" w:line="276" w:lineRule="auto"/>
        <w:jc w:val="right"/>
        <w:rPr>
          <w:rFonts w:ascii="Arial" w:eastAsia="Times New Roman" w:hAnsi="Arial" w:cs="Arial"/>
          <w:b/>
          <w:bCs/>
          <w:sz w:val="16"/>
          <w:szCs w:val="16"/>
          <w:lang w:eastAsia="es-ES"/>
        </w:rPr>
      </w:pPr>
    </w:p>
    <w:p w14:paraId="58353B4D" w14:textId="77777777" w:rsidR="00260595" w:rsidRDefault="00260595" w:rsidP="00F06958">
      <w:pPr>
        <w:spacing w:after="0" w:line="276" w:lineRule="auto"/>
        <w:jc w:val="right"/>
        <w:rPr>
          <w:rFonts w:ascii="Arial" w:eastAsia="Times New Roman" w:hAnsi="Arial" w:cs="Arial"/>
          <w:b/>
          <w:bCs/>
          <w:sz w:val="16"/>
          <w:szCs w:val="16"/>
          <w:lang w:eastAsia="es-ES"/>
        </w:rPr>
      </w:pPr>
    </w:p>
    <w:p w14:paraId="2802857B" w14:textId="77777777" w:rsidR="00260595" w:rsidRDefault="00260595" w:rsidP="00F06958">
      <w:pPr>
        <w:spacing w:after="0" w:line="276" w:lineRule="auto"/>
        <w:jc w:val="right"/>
        <w:rPr>
          <w:rFonts w:ascii="Arial" w:eastAsia="Times New Roman" w:hAnsi="Arial" w:cs="Arial"/>
          <w:b/>
          <w:bCs/>
          <w:sz w:val="16"/>
          <w:szCs w:val="16"/>
          <w:lang w:eastAsia="es-ES"/>
        </w:rPr>
      </w:pPr>
    </w:p>
    <w:p w14:paraId="1B119E96" w14:textId="77777777" w:rsidR="00260595" w:rsidRDefault="00260595" w:rsidP="00F06958">
      <w:pPr>
        <w:spacing w:after="0" w:line="276" w:lineRule="auto"/>
        <w:jc w:val="right"/>
        <w:rPr>
          <w:rFonts w:ascii="Arial" w:eastAsia="Times New Roman" w:hAnsi="Arial" w:cs="Arial"/>
          <w:b/>
          <w:bCs/>
          <w:sz w:val="16"/>
          <w:szCs w:val="16"/>
          <w:lang w:eastAsia="es-ES"/>
        </w:rPr>
      </w:pPr>
    </w:p>
    <w:p w14:paraId="58021626" w14:textId="77777777" w:rsidR="00260595" w:rsidRDefault="00260595" w:rsidP="00F06958">
      <w:pPr>
        <w:spacing w:after="0" w:line="276" w:lineRule="auto"/>
        <w:jc w:val="right"/>
        <w:rPr>
          <w:rFonts w:ascii="Arial" w:eastAsia="Times New Roman" w:hAnsi="Arial" w:cs="Arial"/>
          <w:b/>
          <w:bCs/>
          <w:sz w:val="16"/>
          <w:szCs w:val="16"/>
          <w:lang w:eastAsia="es-ES"/>
        </w:rPr>
      </w:pPr>
    </w:p>
    <w:p w14:paraId="3EFAF566" w14:textId="77777777" w:rsidR="00260595" w:rsidRDefault="00260595" w:rsidP="00F06958">
      <w:pPr>
        <w:spacing w:after="0" w:line="276" w:lineRule="auto"/>
        <w:jc w:val="right"/>
        <w:rPr>
          <w:rFonts w:ascii="Arial" w:eastAsia="Times New Roman" w:hAnsi="Arial" w:cs="Arial"/>
          <w:b/>
          <w:bCs/>
          <w:sz w:val="16"/>
          <w:szCs w:val="16"/>
          <w:lang w:eastAsia="es-ES"/>
        </w:rPr>
      </w:pPr>
    </w:p>
    <w:p w14:paraId="26283C53" w14:textId="77777777" w:rsidR="00260595" w:rsidRDefault="00260595" w:rsidP="00F06958">
      <w:pPr>
        <w:spacing w:after="0" w:line="276" w:lineRule="auto"/>
        <w:jc w:val="right"/>
        <w:rPr>
          <w:rFonts w:ascii="Arial" w:eastAsia="Times New Roman" w:hAnsi="Arial" w:cs="Arial"/>
          <w:b/>
          <w:bCs/>
          <w:sz w:val="16"/>
          <w:szCs w:val="16"/>
          <w:lang w:eastAsia="es-ES"/>
        </w:rPr>
      </w:pPr>
    </w:p>
    <w:p w14:paraId="1C86E339" w14:textId="77777777" w:rsidR="00260595" w:rsidRDefault="00260595" w:rsidP="00F06958">
      <w:pPr>
        <w:spacing w:after="0" w:line="276" w:lineRule="auto"/>
        <w:jc w:val="right"/>
        <w:rPr>
          <w:rFonts w:ascii="Arial" w:eastAsia="Times New Roman" w:hAnsi="Arial" w:cs="Arial"/>
          <w:b/>
          <w:bCs/>
          <w:sz w:val="16"/>
          <w:szCs w:val="16"/>
          <w:lang w:eastAsia="es-ES"/>
        </w:rPr>
      </w:pPr>
    </w:p>
    <w:p w14:paraId="73AC44A7" w14:textId="77777777" w:rsidR="00260595" w:rsidRDefault="00260595" w:rsidP="00F06958">
      <w:pPr>
        <w:spacing w:after="0" w:line="276" w:lineRule="auto"/>
        <w:jc w:val="right"/>
        <w:rPr>
          <w:rFonts w:ascii="Arial" w:eastAsia="Times New Roman" w:hAnsi="Arial" w:cs="Arial"/>
          <w:b/>
          <w:bCs/>
          <w:sz w:val="16"/>
          <w:szCs w:val="16"/>
          <w:lang w:eastAsia="es-ES"/>
        </w:rPr>
      </w:pPr>
    </w:p>
    <w:p w14:paraId="5A3244EE" w14:textId="77777777" w:rsidR="00260595" w:rsidRDefault="00260595" w:rsidP="00F06958">
      <w:pPr>
        <w:spacing w:after="0" w:line="276" w:lineRule="auto"/>
        <w:jc w:val="right"/>
        <w:rPr>
          <w:rFonts w:ascii="Arial" w:eastAsia="Times New Roman" w:hAnsi="Arial" w:cs="Arial"/>
          <w:b/>
          <w:bCs/>
          <w:sz w:val="16"/>
          <w:szCs w:val="16"/>
          <w:lang w:eastAsia="es-ES"/>
        </w:rPr>
      </w:pPr>
    </w:p>
    <w:p w14:paraId="59045341" w14:textId="77777777" w:rsidR="00260595" w:rsidRDefault="00260595" w:rsidP="00F06958">
      <w:pPr>
        <w:spacing w:after="0" w:line="276" w:lineRule="auto"/>
        <w:jc w:val="right"/>
        <w:rPr>
          <w:rFonts w:ascii="Arial" w:eastAsia="Times New Roman" w:hAnsi="Arial" w:cs="Arial"/>
          <w:b/>
          <w:bCs/>
          <w:sz w:val="16"/>
          <w:szCs w:val="16"/>
          <w:lang w:eastAsia="es-ES"/>
        </w:rPr>
      </w:pPr>
    </w:p>
    <w:p w14:paraId="533D6DB6" w14:textId="77777777" w:rsidR="00260595" w:rsidRDefault="00260595" w:rsidP="00F06958">
      <w:pPr>
        <w:spacing w:after="0" w:line="276" w:lineRule="auto"/>
        <w:jc w:val="right"/>
        <w:rPr>
          <w:rFonts w:ascii="Arial" w:eastAsia="Times New Roman" w:hAnsi="Arial" w:cs="Arial"/>
          <w:b/>
          <w:bCs/>
          <w:sz w:val="16"/>
          <w:szCs w:val="16"/>
          <w:lang w:eastAsia="es-ES"/>
        </w:rPr>
      </w:pPr>
    </w:p>
    <w:p w14:paraId="77206902" w14:textId="77777777" w:rsidR="00260595" w:rsidRDefault="00260595" w:rsidP="00F06958">
      <w:pPr>
        <w:spacing w:after="0" w:line="276" w:lineRule="auto"/>
        <w:jc w:val="right"/>
        <w:rPr>
          <w:rFonts w:ascii="Arial" w:eastAsia="Times New Roman" w:hAnsi="Arial" w:cs="Arial"/>
          <w:b/>
          <w:bCs/>
          <w:sz w:val="16"/>
          <w:szCs w:val="16"/>
          <w:lang w:eastAsia="es-ES"/>
        </w:rPr>
      </w:pPr>
    </w:p>
    <w:p w14:paraId="316D7570" w14:textId="77777777" w:rsidR="00260595" w:rsidRDefault="00260595" w:rsidP="00F06958">
      <w:pPr>
        <w:spacing w:after="0" w:line="276" w:lineRule="auto"/>
        <w:jc w:val="right"/>
        <w:rPr>
          <w:rFonts w:ascii="Arial" w:eastAsia="Times New Roman" w:hAnsi="Arial" w:cs="Arial"/>
          <w:b/>
          <w:bCs/>
          <w:sz w:val="16"/>
          <w:szCs w:val="16"/>
          <w:lang w:eastAsia="es-ES"/>
        </w:rPr>
      </w:pPr>
    </w:p>
    <w:p w14:paraId="43BBA9CB" w14:textId="77777777" w:rsidR="00260595" w:rsidRDefault="00260595" w:rsidP="00F06958">
      <w:pPr>
        <w:spacing w:after="0" w:line="276" w:lineRule="auto"/>
        <w:jc w:val="right"/>
        <w:rPr>
          <w:rFonts w:ascii="Arial" w:eastAsia="Times New Roman" w:hAnsi="Arial" w:cs="Arial"/>
          <w:b/>
          <w:bCs/>
          <w:sz w:val="16"/>
          <w:szCs w:val="16"/>
          <w:lang w:eastAsia="es-ES"/>
        </w:rPr>
      </w:pPr>
    </w:p>
    <w:p w14:paraId="376CABB5" w14:textId="77777777" w:rsidR="00260595" w:rsidRDefault="00260595" w:rsidP="00F06958">
      <w:pPr>
        <w:spacing w:after="0" w:line="276" w:lineRule="auto"/>
        <w:jc w:val="right"/>
        <w:rPr>
          <w:rFonts w:ascii="Arial" w:eastAsia="Times New Roman" w:hAnsi="Arial" w:cs="Arial"/>
          <w:b/>
          <w:bCs/>
          <w:sz w:val="16"/>
          <w:szCs w:val="16"/>
          <w:lang w:eastAsia="es-ES"/>
        </w:rPr>
      </w:pPr>
    </w:p>
    <w:p w14:paraId="3AE2B462" w14:textId="77777777" w:rsidR="00260595" w:rsidRDefault="00260595" w:rsidP="00F06958">
      <w:pPr>
        <w:spacing w:after="0" w:line="276" w:lineRule="auto"/>
        <w:jc w:val="right"/>
        <w:rPr>
          <w:rFonts w:ascii="Arial" w:eastAsia="Times New Roman" w:hAnsi="Arial" w:cs="Arial"/>
          <w:b/>
          <w:bCs/>
          <w:sz w:val="16"/>
          <w:szCs w:val="16"/>
          <w:lang w:eastAsia="es-ES"/>
        </w:rPr>
      </w:pPr>
    </w:p>
    <w:p w14:paraId="70B40117" w14:textId="77777777" w:rsidR="00260595" w:rsidRDefault="00260595" w:rsidP="00F06958">
      <w:pPr>
        <w:spacing w:after="0" w:line="276" w:lineRule="auto"/>
        <w:jc w:val="right"/>
        <w:rPr>
          <w:rFonts w:ascii="Arial" w:eastAsia="Times New Roman" w:hAnsi="Arial" w:cs="Arial"/>
          <w:b/>
          <w:bCs/>
          <w:sz w:val="16"/>
          <w:szCs w:val="16"/>
          <w:lang w:eastAsia="es-ES"/>
        </w:rPr>
      </w:pPr>
    </w:p>
    <w:p w14:paraId="02BD4B41" w14:textId="77777777" w:rsidR="00260595" w:rsidRDefault="00260595" w:rsidP="00F06958">
      <w:pPr>
        <w:spacing w:after="0" w:line="276" w:lineRule="auto"/>
        <w:jc w:val="right"/>
        <w:rPr>
          <w:rFonts w:ascii="Arial" w:eastAsia="Times New Roman" w:hAnsi="Arial" w:cs="Arial"/>
          <w:b/>
          <w:bCs/>
          <w:sz w:val="16"/>
          <w:szCs w:val="16"/>
          <w:lang w:eastAsia="es-ES"/>
        </w:rPr>
      </w:pPr>
    </w:p>
    <w:p w14:paraId="2235DCF5" w14:textId="77777777" w:rsidR="00260595" w:rsidRDefault="00260595" w:rsidP="00F06958">
      <w:pPr>
        <w:spacing w:after="0" w:line="276" w:lineRule="auto"/>
        <w:jc w:val="right"/>
        <w:rPr>
          <w:rFonts w:ascii="Arial" w:eastAsia="Times New Roman" w:hAnsi="Arial" w:cs="Arial"/>
          <w:b/>
          <w:bCs/>
          <w:sz w:val="16"/>
          <w:szCs w:val="16"/>
          <w:lang w:eastAsia="es-ES"/>
        </w:rPr>
      </w:pPr>
    </w:p>
    <w:p w14:paraId="15847E5C" w14:textId="77777777" w:rsidR="00260595" w:rsidRDefault="00260595" w:rsidP="00F06958">
      <w:pPr>
        <w:spacing w:after="0" w:line="276" w:lineRule="auto"/>
        <w:jc w:val="right"/>
        <w:rPr>
          <w:rFonts w:ascii="Arial" w:eastAsia="Times New Roman" w:hAnsi="Arial" w:cs="Arial"/>
          <w:b/>
          <w:bCs/>
          <w:sz w:val="16"/>
          <w:szCs w:val="16"/>
          <w:lang w:eastAsia="es-ES"/>
        </w:rPr>
      </w:pPr>
    </w:p>
    <w:p w14:paraId="1A320401" w14:textId="77777777" w:rsidR="00260595" w:rsidRDefault="00260595" w:rsidP="00F06958">
      <w:pPr>
        <w:spacing w:after="0" w:line="276" w:lineRule="auto"/>
        <w:jc w:val="right"/>
        <w:rPr>
          <w:rFonts w:ascii="Arial" w:eastAsia="Times New Roman" w:hAnsi="Arial" w:cs="Arial"/>
          <w:b/>
          <w:bCs/>
          <w:sz w:val="16"/>
          <w:szCs w:val="16"/>
          <w:lang w:eastAsia="es-ES"/>
        </w:rPr>
      </w:pPr>
    </w:p>
    <w:p w14:paraId="54EA58E0" w14:textId="77777777" w:rsidR="00260595" w:rsidRDefault="00260595" w:rsidP="00F06958">
      <w:pPr>
        <w:spacing w:after="0" w:line="276" w:lineRule="auto"/>
        <w:jc w:val="right"/>
        <w:rPr>
          <w:rFonts w:ascii="Arial" w:eastAsia="Times New Roman" w:hAnsi="Arial" w:cs="Arial"/>
          <w:b/>
          <w:bCs/>
          <w:sz w:val="16"/>
          <w:szCs w:val="16"/>
          <w:lang w:eastAsia="es-ES"/>
        </w:rPr>
      </w:pPr>
    </w:p>
    <w:p w14:paraId="36D93A7F" w14:textId="77777777" w:rsidR="00260595" w:rsidRDefault="00260595" w:rsidP="00F06958">
      <w:pPr>
        <w:spacing w:after="0" w:line="276" w:lineRule="auto"/>
        <w:jc w:val="right"/>
        <w:rPr>
          <w:rFonts w:ascii="Arial" w:eastAsia="Times New Roman" w:hAnsi="Arial" w:cs="Arial"/>
          <w:b/>
          <w:bCs/>
          <w:sz w:val="16"/>
          <w:szCs w:val="16"/>
          <w:lang w:eastAsia="es-ES"/>
        </w:rPr>
      </w:pPr>
    </w:p>
    <w:p w14:paraId="66EC96BB" w14:textId="77777777" w:rsidR="00260595" w:rsidRDefault="00260595" w:rsidP="00F06958">
      <w:pPr>
        <w:spacing w:after="0" w:line="276" w:lineRule="auto"/>
        <w:jc w:val="right"/>
        <w:rPr>
          <w:rFonts w:ascii="Arial" w:eastAsia="Times New Roman" w:hAnsi="Arial" w:cs="Arial"/>
          <w:b/>
          <w:bCs/>
          <w:sz w:val="16"/>
          <w:szCs w:val="16"/>
          <w:lang w:eastAsia="es-ES"/>
        </w:rPr>
      </w:pPr>
    </w:p>
    <w:p w14:paraId="7462C420" w14:textId="77777777" w:rsidR="00260595" w:rsidRDefault="00260595" w:rsidP="00F06958">
      <w:pPr>
        <w:spacing w:after="0" w:line="276" w:lineRule="auto"/>
        <w:jc w:val="right"/>
        <w:rPr>
          <w:rFonts w:ascii="Arial" w:eastAsia="Times New Roman" w:hAnsi="Arial" w:cs="Arial"/>
          <w:b/>
          <w:bCs/>
          <w:sz w:val="16"/>
          <w:szCs w:val="16"/>
          <w:lang w:eastAsia="es-ES"/>
        </w:rPr>
      </w:pPr>
    </w:p>
    <w:p w14:paraId="1BB7C8C4" w14:textId="77777777" w:rsidR="00260595" w:rsidRDefault="00260595" w:rsidP="00F06958">
      <w:pPr>
        <w:spacing w:after="0" w:line="276" w:lineRule="auto"/>
        <w:jc w:val="right"/>
        <w:rPr>
          <w:rFonts w:ascii="Arial" w:eastAsia="Times New Roman" w:hAnsi="Arial" w:cs="Arial"/>
          <w:b/>
          <w:bCs/>
          <w:sz w:val="16"/>
          <w:szCs w:val="16"/>
          <w:lang w:eastAsia="es-ES"/>
        </w:rPr>
      </w:pPr>
    </w:p>
    <w:p w14:paraId="65AFED1C" w14:textId="77777777" w:rsidR="00260595" w:rsidRDefault="00260595" w:rsidP="00F06958">
      <w:pPr>
        <w:spacing w:after="0" w:line="276" w:lineRule="auto"/>
        <w:jc w:val="right"/>
        <w:rPr>
          <w:rFonts w:ascii="Arial" w:eastAsia="Times New Roman" w:hAnsi="Arial" w:cs="Arial"/>
          <w:b/>
          <w:bCs/>
          <w:sz w:val="16"/>
          <w:szCs w:val="16"/>
          <w:lang w:eastAsia="es-ES"/>
        </w:rPr>
      </w:pPr>
    </w:p>
    <w:p w14:paraId="05CFE25E" w14:textId="77777777" w:rsidR="00260595" w:rsidRDefault="00260595" w:rsidP="00F06958">
      <w:pPr>
        <w:spacing w:after="0" w:line="276" w:lineRule="auto"/>
        <w:jc w:val="right"/>
        <w:rPr>
          <w:rFonts w:ascii="Arial" w:eastAsia="Times New Roman" w:hAnsi="Arial" w:cs="Arial"/>
          <w:b/>
          <w:bCs/>
          <w:sz w:val="16"/>
          <w:szCs w:val="16"/>
          <w:lang w:eastAsia="es-ES"/>
        </w:rPr>
      </w:pPr>
    </w:p>
    <w:p w14:paraId="15104B14" w14:textId="77777777" w:rsidR="00260595" w:rsidRDefault="00260595" w:rsidP="00F06958">
      <w:pPr>
        <w:spacing w:after="0" w:line="276" w:lineRule="auto"/>
        <w:jc w:val="right"/>
        <w:rPr>
          <w:rFonts w:ascii="Arial" w:eastAsia="Times New Roman" w:hAnsi="Arial" w:cs="Arial"/>
          <w:b/>
          <w:bCs/>
          <w:sz w:val="16"/>
          <w:szCs w:val="16"/>
          <w:lang w:eastAsia="es-ES"/>
        </w:rPr>
      </w:pPr>
    </w:p>
    <w:p w14:paraId="49A9A0BF" w14:textId="77777777" w:rsidR="00260595" w:rsidRDefault="00260595" w:rsidP="00F06958">
      <w:pPr>
        <w:spacing w:after="0" w:line="276" w:lineRule="auto"/>
        <w:jc w:val="right"/>
        <w:rPr>
          <w:rFonts w:ascii="Arial" w:eastAsia="Times New Roman" w:hAnsi="Arial" w:cs="Arial"/>
          <w:b/>
          <w:bCs/>
          <w:sz w:val="16"/>
          <w:szCs w:val="16"/>
          <w:lang w:eastAsia="es-ES"/>
        </w:rPr>
      </w:pPr>
    </w:p>
    <w:p w14:paraId="1556761F" w14:textId="77777777" w:rsidR="00260595" w:rsidRDefault="00260595" w:rsidP="00F06958">
      <w:pPr>
        <w:spacing w:after="0" w:line="276" w:lineRule="auto"/>
        <w:jc w:val="right"/>
        <w:rPr>
          <w:rFonts w:ascii="Arial" w:eastAsia="Times New Roman" w:hAnsi="Arial" w:cs="Arial"/>
          <w:b/>
          <w:bCs/>
          <w:sz w:val="16"/>
          <w:szCs w:val="16"/>
          <w:lang w:eastAsia="es-ES"/>
        </w:rPr>
      </w:pPr>
    </w:p>
    <w:p w14:paraId="23DCFE74" w14:textId="77777777" w:rsidR="00260595" w:rsidRDefault="00260595" w:rsidP="00F06958">
      <w:pPr>
        <w:spacing w:after="0" w:line="276" w:lineRule="auto"/>
        <w:jc w:val="right"/>
        <w:rPr>
          <w:rFonts w:ascii="Arial" w:eastAsia="Times New Roman" w:hAnsi="Arial" w:cs="Arial"/>
          <w:b/>
          <w:bCs/>
          <w:sz w:val="16"/>
          <w:szCs w:val="16"/>
          <w:lang w:eastAsia="es-ES"/>
        </w:rPr>
      </w:pPr>
    </w:p>
    <w:p w14:paraId="42A05B60" w14:textId="77777777" w:rsidR="00260595" w:rsidRDefault="00260595" w:rsidP="00F06958">
      <w:pPr>
        <w:spacing w:after="0" w:line="276" w:lineRule="auto"/>
        <w:jc w:val="right"/>
        <w:rPr>
          <w:rFonts w:ascii="Arial" w:eastAsia="Times New Roman" w:hAnsi="Arial" w:cs="Arial"/>
          <w:b/>
          <w:bCs/>
          <w:sz w:val="16"/>
          <w:szCs w:val="16"/>
          <w:lang w:eastAsia="es-ES"/>
        </w:rPr>
      </w:pPr>
    </w:p>
    <w:p w14:paraId="165F04EA" w14:textId="77777777" w:rsidR="00260595" w:rsidRDefault="00260595" w:rsidP="00F06958">
      <w:pPr>
        <w:spacing w:after="0" w:line="276" w:lineRule="auto"/>
        <w:jc w:val="right"/>
        <w:rPr>
          <w:rFonts w:ascii="Arial" w:eastAsia="Times New Roman" w:hAnsi="Arial" w:cs="Arial"/>
          <w:b/>
          <w:bCs/>
          <w:sz w:val="16"/>
          <w:szCs w:val="16"/>
          <w:lang w:eastAsia="es-ES"/>
        </w:rPr>
      </w:pPr>
    </w:p>
    <w:p w14:paraId="479DE202" w14:textId="77777777" w:rsidR="00260595" w:rsidRDefault="00260595" w:rsidP="00F06958">
      <w:pPr>
        <w:spacing w:after="0" w:line="276" w:lineRule="auto"/>
        <w:jc w:val="right"/>
        <w:rPr>
          <w:rFonts w:ascii="Arial" w:eastAsia="Times New Roman" w:hAnsi="Arial" w:cs="Arial"/>
          <w:b/>
          <w:bCs/>
          <w:sz w:val="16"/>
          <w:szCs w:val="16"/>
          <w:lang w:eastAsia="es-ES"/>
        </w:rPr>
      </w:pPr>
    </w:p>
    <w:p w14:paraId="2EAA6950" w14:textId="0EF445F7" w:rsidR="00F06958" w:rsidRPr="00F06958" w:rsidRDefault="00F06958" w:rsidP="00F06958">
      <w:pPr>
        <w:spacing w:after="0" w:line="276" w:lineRule="auto"/>
        <w:jc w:val="right"/>
        <w:rPr>
          <w:rFonts w:ascii="Arial" w:eastAsia="Calibri" w:hAnsi="Arial" w:cs="Arial"/>
          <w:b/>
          <w:bCs/>
          <w:sz w:val="16"/>
          <w:szCs w:val="16"/>
        </w:rPr>
      </w:pPr>
      <w:r w:rsidRPr="00F06958">
        <w:rPr>
          <w:rFonts w:ascii="Arial" w:eastAsia="Times New Roman" w:hAnsi="Arial" w:cs="Arial"/>
          <w:b/>
          <w:bCs/>
          <w:sz w:val="16"/>
          <w:szCs w:val="16"/>
          <w:lang w:eastAsia="es-ES"/>
        </w:rPr>
        <w:t>CCE-DES-FM-17</w:t>
      </w:r>
    </w:p>
    <w:p w14:paraId="5A96F59B" w14:textId="77777777" w:rsidR="00F06958" w:rsidRPr="00F06958" w:rsidRDefault="00F06958" w:rsidP="00F06958">
      <w:pPr>
        <w:tabs>
          <w:tab w:val="left" w:pos="3374"/>
        </w:tabs>
        <w:spacing w:after="0" w:line="240" w:lineRule="auto"/>
        <w:jc w:val="both"/>
        <w:rPr>
          <w:rFonts w:ascii="Arial" w:eastAsia="Calibri" w:hAnsi="Arial" w:cs="Arial"/>
          <w:lang w:val="es-MX"/>
        </w:rPr>
      </w:pPr>
    </w:p>
    <w:p w14:paraId="6C592973" w14:textId="77777777" w:rsidR="00F06958" w:rsidRPr="00F06958" w:rsidRDefault="00F06958" w:rsidP="00F06958">
      <w:pPr>
        <w:tabs>
          <w:tab w:val="left" w:pos="3374"/>
        </w:tabs>
        <w:spacing w:after="0" w:line="240" w:lineRule="auto"/>
        <w:jc w:val="right"/>
        <w:rPr>
          <w:rFonts w:ascii="Arial" w:eastAsia="Calibri" w:hAnsi="Arial" w:cs="Arial"/>
          <w:lang w:val="es-MX"/>
        </w:rPr>
      </w:pPr>
    </w:p>
    <w:p w14:paraId="44BD9508" w14:textId="193DBEEE" w:rsidR="00F06958" w:rsidRDefault="00F06958" w:rsidP="00F06958">
      <w:pPr>
        <w:spacing w:after="0" w:line="240" w:lineRule="auto"/>
        <w:jc w:val="right"/>
        <w:rPr>
          <w:rFonts w:ascii="Arial" w:eastAsia="Calibri" w:hAnsi="Arial" w:cs="Arial"/>
        </w:rPr>
      </w:pPr>
    </w:p>
    <w:p w14:paraId="70D26A3A" w14:textId="05E7F266" w:rsidR="00B1111E" w:rsidRDefault="00AA2105" w:rsidP="00F06958">
      <w:pPr>
        <w:spacing w:after="0" w:line="240" w:lineRule="auto"/>
        <w:jc w:val="right"/>
        <w:rPr>
          <w:rFonts w:ascii="Arial" w:eastAsia="Calibri" w:hAnsi="Arial" w:cs="Arial"/>
        </w:rPr>
      </w:pPr>
      <w:r>
        <w:rPr>
          <w:rFonts w:ascii="Arial" w:eastAsia="Calibri" w:hAnsi="Arial" w:cs="Arial"/>
          <w:noProof/>
        </w:rPr>
        <w:drawing>
          <wp:inline distT="0" distB="0" distL="0" distR="0" wp14:anchorId="2E4AE329" wp14:editId="45EE2E81">
            <wp:extent cx="2758483" cy="728190"/>
            <wp:effectExtent l="0" t="0" r="3810" b="0"/>
            <wp:docPr id="1"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2788058" cy="735997"/>
                    </a:xfrm>
                    <a:prstGeom prst="rect">
                      <a:avLst/>
                    </a:prstGeom>
                  </pic:spPr>
                </pic:pic>
              </a:graphicData>
            </a:graphic>
          </wp:inline>
        </w:drawing>
      </w:r>
    </w:p>
    <w:p w14:paraId="1E6C5B77" w14:textId="77777777" w:rsidR="00B1111E" w:rsidRPr="00F06958" w:rsidRDefault="00B1111E" w:rsidP="00F06958">
      <w:pPr>
        <w:spacing w:after="0" w:line="240" w:lineRule="auto"/>
        <w:jc w:val="right"/>
        <w:rPr>
          <w:rFonts w:ascii="Arial" w:eastAsia="Calibri" w:hAnsi="Arial" w:cs="Arial"/>
        </w:rPr>
      </w:pPr>
    </w:p>
    <w:p w14:paraId="480A60AB" w14:textId="77777777" w:rsidR="00AA2105" w:rsidRDefault="00AA2105" w:rsidP="00F06958">
      <w:pPr>
        <w:spacing w:after="0" w:line="240" w:lineRule="auto"/>
        <w:jc w:val="both"/>
        <w:rPr>
          <w:rFonts w:ascii="Arial" w:eastAsia="Calibri" w:hAnsi="Arial" w:cs="Arial"/>
        </w:rPr>
      </w:pPr>
      <w:bookmarkStart w:id="8" w:name="_Hlk96417464"/>
      <w:bookmarkStart w:id="9" w:name="_Hlk106355763"/>
    </w:p>
    <w:p w14:paraId="380B3A2F" w14:textId="62072B06" w:rsidR="00F06958" w:rsidRPr="00F06958" w:rsidRDefault="00F06958" w:rsidP="00F06958">
      <w:pPr>
        <w:spacing w:after="0" w:line="240" w:lineRule="auto"/>
        <w:jc w:val="both"/>
        <w:rPr>
          <w:rFonts w:ascii="Arial" w:eastAsia="Calibri" w:hAnsi="Arial" w:cs="Arial"/>
        </w:rPr>
      </w:pPr>
      <w:r w:rsidRPr="00F06958">
        <w:rPr>
          <w:rFonts w:ascii="Arial" w:eastAsia="Calibri" w:hAnsi="Arial" w:cs="Arial"/>
        </w:rPr>
        <w:t>Señor</w:t>
      </w:r>
    </w:p>
    <w:p w14:paraId="21C3F498" w14:textId="029D2DAB" w:rsidR="00F06958" w:rsidRPr="00F06958" w:rsidRDefault="00720E67" w:rsidP="00F06958">
      <w:pPr>
        <w:spacing w:after="0" w:line="240" w:lineRule="auto"/>
        <w:jc w:val="both"/>
        <w:rPr>
          <w:rFonts w:ascii="Arial" w:eastAsia="Calibri" w:hAnsi="Arial" w:cs="Arial"/>
          <w:b/>
        </w:rPr>
      </w:pPr>
      <w:r>
        <w:rPr>
          <w:rFonts w:ascii="Arial" w:eastAsia="Calibri" w:hAnsi="Arial" w:cs="Arial"/>
          <w:b/>
        </w:rPr>
        <w:t>Juan Manuel Noguera Martínez</w:t>
      </w:r>
    </w:p>
    <w:p w14:paraId="7F8E26C9" w14:textId="095FF46C" w:rsidR="008E372F" w:rsidRDefault="008E372F" w:rsidP="00F06958">
      <w:pPr>
        <w:spacing w:after="0" w:line="240" w:lineRule="auto"/>
        <w:jc w:val="both"/>
        <w:rPr>
          <w:rFonts w:ascii="Arial" w:eastAsia="Calibri" w:hAnsi="Arial" w:cs="Arial"/>
        </w:rPr>
      </w:pPr>
      <w:r>
        <w:rPr>
          <w:rFonts w:ascii="Arial" w:eastAsia="Calibri" w:hAnsi="Arial" w:cs="Arial"/>
        </w:rPr>
        <w:t>Director de Acceso a Tierras</w:t>
      </w:r>
    </w:p>
    <w:p w14:paraId="758B24B0" w14:textId="6568C659" w:rsidR="00F06958" w:rsidRPr="00F06958" w:rsidRDefault="008E372F" w:rsidP="00F06958">
      <w:pPr>
        <w:spacing w:after="0" w:line="240" w:lineRule="auto"/>
        <w:jc w:val="both"/>
        <w:rPr>
          <w:rFonts w:ascii="Arial" w:eastAsia="Calibri" w:hAnsi="Arial" w:cs="Arial"/>
        </w:rPr>
      </w:pPr>
      <w:r>
        <w:rPr>
          <w:rFonts w:ascii="Arial" w:eastAsia="Calibri" w:hAnsi="Arial" w:cs="Arial"/>
        </w:rPr>
        <w:t>Bogotá, D.C.</w:t>
      </w:r>
    </w:p>
    <w:p w14:paraId="760B59FD" w14:textId="77777777" w:rsidR="00F06958" w:rsidRPr="00F06958" w:rsidRDefault="00F06958" w:rsidP="00F06958">
      <w:pPr>
        <w:spacing w:after="0" w:line="240" w:lineRule="auto"/>
        <w:jc w:val="both"/>
        <w:rPr>
          <w:rFonts w:ascii="Arial" w:eastAsia="Calibri" w:hAnsi="Arial" w:cs="Arial"/>
        </w:rPr>
      </w:pPr>
    </w:p>
    <w:p w14:paraId="2C882809" w14:textId="77777777" w:rsidR="00F06958" w:rsidRPr="00F06958" w:rsidRDefault="00F06958" w:rsidP="00F06958">
      <w:pPr>
        <w:spacing w:after="0" w:line="240" w:lineRule="auto"/>
        <w:jc w:val="both"/>
        <w:rPr>
          <w:rFonts w:ascii="Arial" w:eastAsia="Calibri" w:hAnsi="Arial" w:cs="Arial"/>
        </w:rPr>
      </w:pPr>
    </w:p>
    <w:p w14:paraId="7E74B51C" w14:textId="46472ED3" w:rsidR="00F06958" w:rsidRPr="00F06958" w:rsidRDefault="00F06958" w:rsidP="00F06958">
      <w:pPr>
        <w:spacing w:after="0" w:line="240" w:lineRule="auto"/>
        <w:jc w:val="both"/>
        <w:rPr>
          <w:rFonts w:ascii="Arial" w:eastAsia="Calibri" w:hAnsi="Arial" w:cs="Arial"/>
        </w:rPr>
      </w:pPr>
      <w:r w:rsidRPr="00F06958">
        <w:rPr>
          <w:rFonts w:ascii="Arial" w:eastAsia="Calibri" w:hAnsi="Arial" w:cs="Arial"/>
        </w:rPr>
        <w:t xml:space="preserve">                                            </w:t>
      </w:r>
      <w:r w:rsidRPr="00F06958">
        <w:rPr>
          <w:rFonts w:ascii="Arial" w:eastAsia="Calibri" w:hAnsi="Arial" w:cs="Arial"/>
          <w:b/>
        </w:rPr>
        <w:t xml:space="preserve">Concepto C – </w:t>
      </w:r>
      <w:r w:rsidR="0014281C">
        <w:rPr>
          <w:rFonts w:ascii="Arial" w:eastAsia="Calibri" w:hAnsi="Arial" w:cs="Arial"/>
          <w:b/>
        </w:rPr>
        <w:t>279</w:t>
      </w:r>
      <w:r w:rsidRPr="00F06958">
        <w:rPr>
          <w:rFonts w:ascii="Arial" w:eastAsia="Calibri" w:hAnsi="Arial" w:cs="Arial"/>
          <w:b/>
        </w:rPr>
        <w:t xml:space="preserve"> de 2022</w:t>
      </w:r>
      <w:r w:rsidRPr="00F06958">
        <w:rPr>
          <w:rFonts w:ascii="Arial" w:eastAsia="Calibri" w:hAnsi="Arial" w:cs="Arial"/>
        </w:rPr>
        <w:t xml:space="preserve"> </w:t>
      </w:r>
    </w:p>
    <w:p w14:paraId="5E54FD30" w14:textId="77777777" w:rsidR="00F06958" w:rsidRPr="00F06958" w:rsidRDefault="00F06958" w:rsidP="00F06958">
      <w:pPr>
        <w:spacing w:after="0" w:line="240" w:lineRule="auto"/>
        <w:jc w:val="both"/>
        <w:rPr>
          <w:rFonts w:ascii="Arial" w:eastAsia="Calibri" w:hAnsi="Arial" w:cs="Arial"/>
          <w:b/>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06958" w:rsidRPr="00F06958" w14:paraId="5887358F" w14:textId="77777777" w:rsidTr="00B66771">
        <w:trPr>
          <w:trHeight w:val="485"/>
        </w:trPr>
        <w:tc>
          <w:tcPr>
            <w:tcW w:w="2689" w:type="dxa"/>
            <w:hideMark/>
          </w:tcPr>
          <w:p w14:paraId="7D820AC0" w14:textId="77777777" w:rsidR="00F06958" w:rsidRPr="00F06958" w:rsidRDefault="00F06958" w:rsidP="00F06958">
            <w:pPr>
              <w:contextualSpacing/>
              <w:rPr>
                <w:rFonts w:ascii="Arial" w:eastAsia="Calibri" w:hAnsi="Arial" w:cs="Arial"/>
                <w:noProof/>
                <w:lang w:val="es-ES_tradnl"/>
              </w:rPr>
            </w:pPr>
            <w:r w:rsidRPr="00F06958">
              <w:rPr>
                <w:rFonts w:ascii="Arial" w:eastAsia="Calibri" w:hAnsi="Arial" w:cs="Arial"/>
                <w:b/>
                <w:noProof/>
                <w:lang w:val="es-ES_tradnl"/>
              </w:rPr>
              <w:t>Temas:</w:t>
            </w:r>
            <w:r w:rsidRPr="00F06958">
              <w:rPr>
                <w:rFonts w:ascii="Arial" w:eastAsia="Calibri" w:hAnsi="Arial" w:cs="Arial"/>
                <w:noProof/>
                <w:lang w:val="es-ES_tradnl"/>
              </w:rPr>
              <w:t xml:space="preserve">        </w:t>
            </w:r>
          </w:p>
        </w:tc>
        <w:tc>
          <w:tcPr>
            <w:tcW w:w="6237" w:type="dxa"/>
            <w:hideMark/>
          </w:tcPr>
          <w:p w14:paraId="00E372AC" w14:textId="6DA6A2F3" w:rsidR="00F06958" w:rsidRPr="00F06958" w:rsidRDefault="00F06958" w:rsidP="00F06958">
            <w:pPr>
              <w:spacing w:after="120"/>
              <w:ind w:right="703"/>
              <w:jc w:val="both"/>
              <w:rPr>
                <w:rFonts w:ascii="Arial" w:eastAsia="Calibri" w:hAnsi="Arial" w:cs="Arial"/>
                <w:bCs/>
                <w:lang w:val="es-MX"/>
              </w:rPr>
            </w:pPr>
            <w:r w:rsidRPr="00B11607">
              <w:rPr>
                <w:rFonts w:ascii="Arial" w:eastAsia="Calibri" w:hAnsi="Arial" w:cs="Arial"/>
                <w:bCs/>
                <w:lang w:val="es-MX"/>
              </w:rPr>
              <w:t>LEY DE GARANTÍAS ELECTORALES ‒ Tipos de restricciones ‒ Ámbito temporal / LEY DE GARANTÍAS ELECTORALES ─ Prohibición ‒ Contratación directa ‒ Alcance – Excepciones / LEY DE GARANTÍAS ELECTORALES ‒ Prohibición del artículo 33 ‒ Destinatarios</w:t>
            </w:r>
            <w:r w:rsidRPr="00F06958">
              <w:rPr>
                <w:rFonts w:ascii="Arial" w:eastAsia="Calibri" w:hAnsi="Arial" w:cs="Arial"/>
                <w:bCs/>
                <w:lang w:val="es-MX"/>
              </w:rPr>
              <w:t xml:space="preserve"> </w:t>
            </w:r>
          </w:p>
          <w:p w14:paraId="30B2DAF8" w14:textId="77777777" w:rsidR="00F06958" w:rsidRPr="00F06958" w:rsidRDefault="00F06958" w:rsidP="00F06958">
            <w:pPr>
              <w:spacing w:after="120"/>
              <w:rPr>
                <w:rFonts w:ascii="Arial" w:eastAsia="Calibri" w:hAnsi="Arial" w:cs="Arial"/>
                <w:bCs/>
                <w:lang w:val="es-MX"/>
              </w:rPr>
            </w:pPr>
          </w:p>
        </w:tc>
      </w:tr>
      <w:tr w:rsidR="00F06958" w:rsidRPr="00F06958" w14:paraId="69AD5E67" w14:textId="77777777" w:rsidTr="00B66771">
        <w:tc>
          <w:tcPr>
            <w:tcW w:w="2689" w:type="dxa"/>
          </w:tcPr>
          <w:p w14:paraId="561E8FA5" w14:textId="77777777" w:rsidR="00F06958" w:rsidRPr="00F06958" w:rsidRDefault="00F06958" w:rsidP="00F06958">
            <w:pPr>
              <w:contextualSpacing/>
              <w:rPr>
                <w:rFonts w:ascii="Arial" w:eastAsia="Calibri" w:hAnsi="Arial" w:cs="Arial"/>
                <w:b/>
                <w:noProof/>
                <w:lang w:val="es-ES_tradnl"/>
              </w:rPr>
            </w:pPr>
            <w:r w:rsidRPr="00F06958">
              <w:rPr>
                <w:rFonts w:ascii="Arial" w:eastAsia="Calibri" w:hAnsi="Arial" w:cs="Arial"/>
                <w:b/>
                <w:noProof/>
                <w:lang w:val="es-ES_tradnl"/>
              </w:rPr>
              <w:t>Radicación:</w:t>
            </w:r>
            <w:r w:rsidRPr="00F06958">
              <w:rPr>
                <w:rFonts w:ascii="Arial" w:eastAsia="Calibri" w:hAnsi="Arial" w:cs="Arial"/>
                <w:noProof/>
                <w:lang w:val="es-ES_tradnl"/>
              </w:rPr>
              <w:t xml:space="preserve">                              </w:t>
            </w:r>
          </w:p>
        </w:tc>
        <w:tc>
          <w:tcPr>
            <w:tcW w:w="6237" w:type="dxa"/>
          </w:tcPr>
          <w:p w14:paraId="6D798342" w14:textId="3F42FFBB" w:rsidR="00F06958" w:rsidRPr="00F06958" w:rsidRDefault="00F06958" w:rsidP="00F06958">
            <w:pPr>
              <w:contextualSpacing/>
              <w:jc w:val="both"/>
              <w:rPr>
                <w:rFonts w:ascii="Arial" w:eastAsia="Calibri" w:hAnsi="Arial" w:cs="Arial"/>
                <w:noProof/>
                <w:lang w:val="es-ES_tradnl"/>
              </w:rPr>
            </w:pPr>
            <w:r w:rsidRPr="00F06958">
              <w:rPr>
                <w:rFonts w:ascii="Arial" w:eastAsia="Calibri" w:hAnsi="Arial" w:cs="Arial"/>
                <w:noProof/>
                <w:lang w:val="es-ES_tradnl"/>
              </w:rPr>
              <w:t xml:space="preserve">Respuesta a consulta </w:t>
            </w:r>
            <w:r w:rsidR="0045660C" w:rsidRPr="0045660C">
              <w:rPr>
                <w:rFonts w:ascii="Arial" w:eastAsia="Calibri" w:hAnsi="Arial" w:cs="Arial"/>
                <w:noProof/>
                <w:lang w:val="es-ES_tradnl"/>
              </w:rPr>
              <w:t>P20220324002949</w:t>
            </w:r>
          </w:p>
        </w:tc>
      </w:tr>
    </w:tbl>
    <w:p w14:paraId="3B0B971F" w14:textId="77777777" w:rsidR="00F06958" w:rsidRPr="00F06958" w:rsidRDefault="00F06958" w:rsidP="00F06958">
      <w:pPr>
        <w:spacing w:after="0" w:line="240" w:lineRule="auto"/>
        <w:jc w:val="both"/>
        <w:rPr>
          <w:rFonts w:ascii="Arial" w:eastAsia="Calibri" w:hAnsi="Arial" w:cs="Arial"/>
        </w:rPr>
      </w:pPr>
    </w:p>
    <w:p w14:paraId="46B143D9" w14:textId="77777777" w:rsidR="00F06958" w:rsidRPr="00F06958" w:rsidRDefault="00F06958" w:rsidP="00F06958">
      <w:pPr>
        <w:spacing w:after="0" w:line="240" w:lineRule="auto"/>
        <w:jc w:val="both"/>
        <w:rPr>
          <w:rFonts w:ascii="Arial" w:eastAsia="Calibri" w:hAnsi="Arial" w:cs="Arial"/>
        </w:rPr>
      </w:pPr>
    </w:p>
    <w:p w14:paraId="1984AF88" w14:textId="19EC0E97" w:rsidR="00F06958" w:rsidRPr="00F06958" w:rsidRDefault="00F06958" w:rsidP="00F06958">
      <w:pPr>
        <w:spacing w:after="0" w:line="276" w:lineRule="auto"/>
        <w:jc w:val="both"/>
        <w:rPr>
          <w:rFonts w:ascii="Arial" w:eastAsia="Calibri" w:hAnsi="Arial" w:cs="Arial"/>
        </w:rPr>
      </w:pPr>
      <w:r w:rsidRPr="00F06958">
        <w:rPr>
          <w:rFonts w:ascii="Arial" w:eastAsia="Calibri" w:hAnsi="Arial" w:cs="Arial"/>
        </w:rPr>
        <w:t>Estimad</w:t>
      </w:r>
      <w:r w:rsidR="00597226">
        <w:rPr>
          <w:rFonts w:ascii="Arial" w:eastAsia="Calibri" w:hAnsi="Arial" w:cs="Arial"/>
        </w:rPr>
        <w:t>o señor Noguera Martínez</w:t>
      </w:r>
      <w:r w:rsidRPr="00F06958">
        <w:rPr>
          <w:rFonts w:ascii="Arial" w:eastAsia="Calibri" w:hAnsi="Arial" w:cs="Arial"/>
        </w:rPr>
        <w:t>:</w:t>
      </w:r>
    </w:p>
    <w:p w14:paraId="124EA3C4" w14:textId="77777777" w:rsidR="00F06958" w:rsidRPr="00F06958" w:rsidRDefault="00F06958" w:rsidP="00F06958">
      <w:pPr>
        <w:spacing w:after="0" w:line="276" w:lineRule="auto"/>
        <w:ind w:firstLine="709"/>
        <w:jc w:val="both"/>
        <w:rPr>
          <w:rFonts w:ascii="Arial" w:eastAsia="Calibri" w:hAnsi="Arial" w:cs="Arial"/>
        </w:rPr>
      </w:pPr>
    </w:p>
    <w:p w14:paraId="6DED41E2" w14:textId="570E32FC" w:rsidR="00F06958" w:rsidRPr="00F06958" w:rsidRDefault="00F06958" w:rsidP="00F06958">
      <w:pPr>
        <w:spacing w:after="0" w:line="276" w:lineRule="auto"/>
        <w:ind w:right="51"/>
        <w:jc w:val="both"/>
        <w:rPr>
          <w:rFonts w:ascii="Arial" w:eastAsia="Calibri" w:hAnsi="Arial" w:cs="Arial"/>
        </w:rPr>
      </w:pPr>
      <w:r w:rsidRPr="00F06958">
        <w:rPr>
          <w:rFonts w:ascii="Arial" w:eastAsia="Calibri" w:hAnsi="Arial" w:cs="Arial"/>
        </w:rPr>
        <w:t xml:space="preserve">En ejercicio de la competencia otorgada por el numeral 8 del artículo 11 y el numeral 5 del artículo 3 del Decreto Ley 4170 de 2011, la Agencia Nacional de Contratación Pública – Colombia Compra Eficiente responde </w:t>
      </w:r>
      <w:r w:rsidR="00734534">
        <w:rPr>
          <w:rFonts w:ascii="Arial" w:eastAsia="Calibri" w:hAnsi="Arial" w:cs="Arial"/>
        </w:rPr>
        <w:t xml:space="preserve">su consulta del </w:t>
      </w:r>
      <w:r w:rsidRPr="00F06958">
        <w:rPr>
          <w:rFonts w:ascii="Arial" w:eastAsia="Calibri" w:hAnsi="Arial" w:cs="Arial"/>
        </w:rPr>
        <w:t>2</w:t>
      </w:r>
      <w:r w:rsidR="002E4C1B">
        <w:rPr>
          <w:rFonts w:ascii="Arial" w:eastAsia="Calibri" w:hAnsi="Arial" w:cs="Arial"/>
        </w:rPr>
        <w:t xml:space="preserve">4 </w:t>
      </w:r>
      <w:r w:rsidRPr="00F06958">
        <w:rPr>
          <w:rFonts w:ascii="Arial" w:eastAsia="Calibri" w:hAnsi="Arial" w:cs="Arial"/>
        </w:rPr>
        <w:t xml:space="preserve">de </w:t>
      </w:r>
      <w:r>
        <w:rPr>
          <w:rFonts w:ascii="Arial" w:eastAsia="Calibri" w:hAnsi="Arial" w:cs="Arial"/>
        </w:rPr>
        <w:t>marzo</w:t>
      </w:r>
      <w:r w:rsidRPr="00F06958">
        <w:rPr>
          <w:rFonts w:ascii="Arial" w:eastAsia="Calibri" w:hAnsi="Arial" w:cs="Arial"/>
        </w:rPr>
        <w:t xml:space="preserve"> de 2022. Esta consulta fue </w:t>
      </w:r>
      <w:r>
        <w:rPr>
          <w:rFonts w:ascii="Arial" w:eastAsia="Calibri" w:hAnsi="Arial" w:cs="Arial"/>
        </w:rPr>
        <w:t xml:space="preserve">remitida por la </w:t>
      </w:r>
      <w:r w:rsidR="002E4C1B">
        <w:rPr>
          <w:rFonts w:ascii="Arial" w:eastAsia="Calibri" w:hAnsi="Arial" w:cs="Arial"/>
        </w:rPr>
        <w:t xml:space="preserve">Procuraduría General de la Nación, mediante oficio </w:t>
      </w:r>
      <w:r w:rsidRPr="00F06958">
        <w:rPr>
          <w:rFonts w:ascii="Arial" w:eastAsia="Calibri" w:hAnsi="Arial" w:cs="Arial"/>
        </w:rPr>
        <w:t xml:space="preserve">con radicado No. </w:t>
      </w:r>
      <w:r w:rsidR="004D79D1">
        <w:rPr>
          <w:rFonts w:ascii="Arial" w:eastAsia="Calibri" w:hAnsi="Arial" w:cs="Arial"/>
        </w:rPr>
        <w:t>S</w:t>
      </w:r>
      <w:r w:rsidR="005F2B5C">
        <w:rPr>
          <w:rFonts w:ascii="Arial" w:eastAsia="Calibri" w:hAnsi="Arial" w:cs="Arial"/>
        </w:rPr>
        <w:t>-2022-029056</w:t>
      </w:r>
      <w:r>
        <w:rPr>
          <w:rFonts w:ascii="Arial" w:eastAsia="Calibri" w:hAnsi="Arial" w:cs="Arial"/>
        </w:rPr>
        <w:t xml:space="preserve"> </w:t>
      </w:r>
      <w:r w:rsidRPr="00F06958">
        <w:rPr>
          <w:rFonts w:ascii="Arial" w:eastAsia="Calibri" w:hAnsi="Arial" w:cs="Arial"/>
        </w:rPr>
        <w:t>de la misma fecha</w:t>
      </w:r>
      <w:r w:rsidR="00B1111E">
        <w:rPr>
          <w:rStyle w:val="Refdenotaalpie"/>
          <w:rFonts w:ascii="Arial" w:eastAsia="Calibri" w:hAnsi="Arial" w:cs="Arial"/>
        </w:rPr>
        <w:footnoteReference w:id="1"/>
      </w:r>
      <w:r w:rsidRPr="00F06958">
        <w:rPr>
          <w:rFonts w:ascii="Arial" w:eastAsia="Calibri" w:hAnsi="Arial" w:cs="Arial"/>
        </w:rPr>
        <w:t xml:space="preserve">. </w:t>
      </w:r>
    </w:p>
    <w:p w14:paraId="42057755" w14:textId="77777777" w:rsidR="00F06958" w:rsidRPr="00F06958" w:rsidRDefault="00F06958" w:rsidP="00F06958">
      <w:pPr>
        <w:spacing w:after="0" w:line="276" w:lineRule="auto"/>
        <w:jc w:val="both"/>
        <w:rPr>
          <w:rFonts w:ascii="Arial" w:eastAsia="Calibri" w:hAnsi="Arial" w:cs="Arial"/>
        </w:rPr>
      </w:pPr>
    </w:p>
    <w:p w14:paraId="66BFD803" w14:textId="77777777" w:rsidR="00F06958" w:rsidRPr="00F06958" w:rsidRDefault="00F06958" w:rsidP="00F06958">
      <w:pPr>
        <w:tabs>
          <w:tab w:val="left" w:pos="284"/>
        </w:tabs>
        <w:spacing w:after="0" w:line="276" w:lineRule="auto"/>
        <w:jc w:val="both"/>
        <w:rPr>
          <w:rFonts w:ascii="Arial" w:eastAsia="Calibri" w:hAnsi="Arial" w:cs="Arial"/>
          <w:b/>
        </w:rPr>
      </w:pPr>
      <w:r w:rsidRPr="00F06958">
        <w:rPr>
          <w:rFonts w:ascii="Arial" w:eastAsia="Calibri" w:hAnsi="Arial" w:cs="Arial"/>
          <w:b/>
        </w:rPr>
        <w:t xml:space="preserve">1. Problema planteado </w:t>
      </w:r>
    </w:p>
    <w:p w14:paraId="68CEC6A6" w14:textId="77777777" w:rsidR="00F06958" w:rsidRPr="00F06958" w:rsidRDefault="00F06958" w:rsidP="00F06958">
      <w:pPr>
        <w:tabs>
          <w:tab w:val="left" w:pos="284"/>
        </w:tabs>
        <w:spacing w:after="0" w:line="276" w:lineRule="auto"/>
        <w:ind w:firstLine="709"/>
        <w:contextualSpacing/>
        <w:jc w:val="both"/>
        <w:rPr>
          <w:rFonts w:ascii="Arial" w:eastAsia="Calibri" w:hAnsi="Arial" w:cs="Arial"/>
          <w:b/>
        </w:rPr>
      </w:pPr>
    </w:p>
    <w:p w14:paraId="5FA7CD28" w14:textId="25D9B816" w:rsidR="00F06958" w:rsidRPr="00F06958" w:rsidRDefault="00426CB3" w:rsidP="00F06958">
      <w:pPr>
        <w:spacing w:after="0" w:line="276" w:lineRule="auto"/>
        <w:jc w:val="both"/>
        <w:rPr>
          <w:rFonts w:ascii="Arial" w:eastAsia="Times New Roman" w:hAnsi="Arial" w:cs="Arial"/>
          <w:szCs w:val="24"/>
          <w:lang w:eastAsia="es-CO"/>
        </w:rPr>
      </w:pPr>
      <w:bookmarkStart w:id="10" w:name="_Hlk58917991"/>
      <w:bookmarkStart w:id="11" w:name="_Hlk56103000"/>
      <w:r>
        <w:rPr>
          <w:rFonts w:ascii="Arial" w:eastAsia="Times New Roman" w:hAnsi="Arial" w:cs="Arial"/>
          <w:szCs w:val="24"/>
          <w:lang w:eastAsia="es-CO"/>
        </w:rPr>
        <w:t>U</w:t>
      </w:r>
      <w:r w:rsidR="00F06958" w:rsidRPr="00F06958">
        <w:rPr>
          <w:rFonts w:ascii="Arial" w:eastAsia="Times New Roman" w:hAnsi="Arial" w:cs="Arial"/>
          <w:szCs w:val="24"/>
          <w:lang w:eastAsia="es-CO"/>
        </w:rPr>
        <w:t>sted realiza las siguientes preguntas:</w:t>
      </w:r>
    </w:p>
    <w:p w14:paraId="4376653A" w14:textId="77777777" w:rsidR="00F06958" w:rsidRPr="00F06958" w:rsidRDefault="00F06958" w:rsidP="00F06958">
      <w:pPr>
        <w:spacing w:after="0" w:line="276" w:lineRule="auto"/>
        <w:jc w:val="both"/>
        <w:rPr>
          <w:rFonts w:ascii="Arial" w:eastAsia="Times New Roman" w:hAnsi="Arial" w:cs="Arial"/>
          <w:szCs w:val="24"/>
          <w:lang w:eastAsia="es-CO"/>
        </w:rPr>
      </w:pPr>
    </w:p>
    <w:p w14:paraId="301638EA" w14:textId="02567EEA" w:rsidR="00F06958" w:rsidRDefault="00BA1A14" w:rsidP="007E50E8">
      <w:pPr>
        <w:spacing w:after="0" w:line="240" w:lineRule="auto"/>
        <w:ind w:left="709" w:right="709"/>
        <w:jc w:val="both"/>
        <w:rPr>
          <w:rFonts w:ascii="Arial" w:eastAsia="Times New Roman" w:hAnsi="Arial" w:cs="Arial"/>
          <w:sz w:val="21"/>
          <w:szCs w:val="21"/>
          <w:lang w:eastAsia="es-CO"/>
        </w:rPr>
      </w:pPr>
      <w:r>
        <w:rPr>
          <w:rFonts w:ascii="Arial" w:eastAsia="Times New Roman" w:hAnsi="Arial" w:cs="Arial"/>
          <w:sz w:val="21"/>
          <w:szCs w:val="21"/>
          <w:lang w:eastAsia="es-CO"/>
        </w:rPr>
        <w:t>«</w:t>
      </w:r>
      <w:r w:rsidR="00014BE8">
        <w:rPr>
          <w:rFonts w:ascii="Arial" w:eastAsia="Times New Roman" w:hAnsi="Arial" w:cs="Arial"/>
          <w:sz w:val="21"/>
          <w:szCs w:val="21"/>
          <w:lang w:eastAsia="es-CO"/>
        </w:rPr>
        <w:t>1.</w:t>
      </w:r>
      <w:r w:rsidR="00426CB3">
        <w:rPr>
          <w:rFonts w:ascii="Arial" w:eastAsia="Times New Roman" w:hAnsi="Arial" w:cs="Arial"/>
          <w:sz w:val="21"/>
          <w:szCs w:val="21"/>
          <w:lang w:eastAsia="es-CO"/>
        </w:rPr>
        <w:t xml:space="preserve"> </w:t>
      </w:r>
      <w:r w:rsidR="00DB6E8F" w:rsidRPr="00DB6E8F">
        <w:rPr>
          <w:rFonts w:ascii="Arial" w:eastAsia="Times New Roman" w:hAnsi="Arial" w:cs="Arial"/>
          <w:sz w:val="21"/>
          <w:szCs w:val="21"/>
          <w:lang w:eastAsia="es-CO"/>
        </w:rPr>
        <w:t>¿La restricción sobre la contratación directa hacen referencia únicamente a los</w:t>
      </w:r>
      <w:r w:rsidR="00DB6E8F">
        <w:rPr>
          <w:rFonts w:ascii="Arial" w:eastAsia="Times New Roman" w:hAnsi="Arial" w:cs="Arial"/>
          <w:sz w:val="21"/>
          <w:szCs w:val="21"/>
          <w:lang w:eastAsia="es-CO"/>
        </w:rPr>
        <w:t xml:space="preserve"> </w:t>
      </w:r>
      <w:r w:rsidR="00DB6E8F" w:rsidRPr="00DB6E8F">
        <w:rPr>
          <w:rFonts w:ascii="Arial" w:eastAsia="Times New Roman" w:hAnsi="Arial" w:cs="Arial"/>
          <w:sz w:val="21"/>
          <w:szCs w:val="21"/>
          <w:lang w:eastAsia="es-CO"/>
        </w:rPr>
        <w:t>procesos de selección directa iniciados bajo el régimen de contratación pública</w:t>
      </w:r>
      <w:r w:rsidR="00DB6E8F">
        <w:rPr>
          <w:rFonts w:ascii="Arial" w:eastAsia="Times New Roman" w:hAnsi="Arial" w:cs="Arial"/>
          <w:sz w:val="21"/>
          <w:szCs w:val="21"/>
          <w:lang w:eastAsia="es-CO"/>
        </w:rPr>
        <w:t xml:space="preserve"> </w:t>
      </w:r>
      <w:r w:rsidR="00DB6E8F" w:rsidRPr="00DB6E8F">
        <w:rPr>
          <w:rFonts w:ascii="Arial" w:eastAsia="Times New Roman" w:hAnsi="Arial" w:cs="Arial"/>
          <w:sz w:val="21"/>
          <w:szCs w:val="21"/>
          <w:lang w:eastAsia="es-CO"/>
        </w:rPr>
        <w:t xml:space="preserve">de Ley 80 de 1993 o también incluye los procesos propios de las </w:t>
      </w:r>
      <w:r w:rsidR="00DB6E8F" w:rsidRPr="00DB6E8F">
        <w:rPr>
          <w:rFonts w:ascii="Arial" w:eastAsia="Times New Roman" w:hAnsi="Arial" w:cs="Arial"/>
          <w:sz w:val="21"/>
          <w:szCs w:val="21"/>
          <w:lang w:eastAsia="es-CO"/>
        </w:rPr>
        <w:lastRenderedPageBreak/>
        <w:t>actuaciones</w:t>
      </w:r>
      <w:r w:rsidR="00DB6E8F">
        <w:rPr>
          <w:rFonts w:ascii="Arial" w:eastAsia="Times New Roman" w:hAnsi="Arial" w:cs="Arial"/>
          <w:sz w:val="21"/>
          <w:szCs w:val="21"/>
          <w:lang w:eastAsia="es-CO"/>
        </w:rPr>
        <w:t xml:space="preserve"> </w:t>
      </w:r>
      <w:r w:rsidR="00DB6E8F" w:rsidRPr="00DB6E8F">
        <w:rPr>
          <w:rFonts w:ascii="Arial" w:eastAsia="Times New Roman" w:hAnsi="Arial" w:cs="Arial"/>
          <w:sz w:val="21"/>
          <w:szCs w:val="21"/>
          <w:lang w:eastAsia="es-CO"/>
        </w:rPr>
        <w:t>administrativas misionales que culminan con la suscripción de un contrato de</w:t>
      </w:r>
      <w:r w:rsidR="007E50E8">
        <w:rPr>
          <w:rFonts w:ascii="Arial" w:eastAsia="Times New Roman" w:hAnsi="Arial" w:cs="Arial"/>
          <w:sz w:val="21"/>
          <w:szCs w:val="21"/>
          <w:lang w:eastAsia="es-CO"/>
        </w:rPr>
        <w:t xml:space="preserve"> </w:t>
      </w:r>
      <w:r w:rsidR="007E50E8" w:rsidRPr="007E50E8">
        <w:rPr>
          <w:rFonts w:ascii="Arial" w:eastAsia="Times New Roman" w:hAnsi="Arial" w:cs="Arial"/>
          <w:sz w:val="21"/>
          <w:szCs w:val="21"/>
          <w:lang w:eastAsia="es-CO"/>
        </w:rPr>
        <w:t>arrendamiento o comodato, como lo es</w:t>
      </w:r>
      <w:r w:rsidR="007E50E8">
        <w:rPr>
          <w:rFonts w:ascii="Arial" w:eastAsia="Times New Roman" w:hAnsi="Arial" w:cs="Arial"/>
          <w:sz w:val="21"/>
          <w:szCs w:val="21"/>
          <w:lang w:eastAsia="es-CO"/>
        </w:rPr>
        <w:t xml:space="preserve"> </w:t>
      </w:r>
      <w:r w:rsidR="007E50E8" w:rsidRPr="007E50E8">
        <w:rPr>
          <w:rFonts w:ascii="Arial" w:eastAsia="Times New Roman" w:hAnsi="Arial" w:cs="Arial"/>
          <w:sz w:val="21"/>
          <w:szCs w:val="21"/>
          <w:lang w:eastAsia="es-CO"/>
        </w:rPr>
        <w:t>la administración de predios de la</w:t>
      </w:r>
      <w:r w:rsidR="007E50E8">
        <w:rPr>
          <w:rFonts w:ascii="Arial" w:eastAsia="Times New Roman" w:hAnsi="Arial" w:cs="Arial"/>
          <w:sz w:val="21"/>
          <w:szCs w:val="21"/>
          <w:lang w:eastAsia="es-CO"/>
        </w:rPr>
        <w:t xml:space="preserve"> </w:t>
      </w:r>
      <w:r w:rsidR="007E50E8" w:rsidRPr="007E50E8">
        <w:rPr>
          <w:rFonts w:ascii="Arial" w:eastAsia="Times New Roman" w:hAnsi="Arial" w:cs="Arial"/>
          <w:sz w:val="21"/>
          <w:szCs w:val="21"/>
          <w:lang w:eastAsia="es-CO"/>
        </w:rPr>
        <w:t>Nación?</w:t>
      </w:r>
    </w:p>
    <w:p w14:paraId="4B4F77E7" w14:textId="42B7A8CB" w:rsidR="008379B2" w:rsidRDefault="008379B2" w:rsidP="007E50E8">
      <w:pPr>
        <w:spacing w:after="0" w:line="240" w:lineRule="auto"/>
        <w:ind w:left="709" w:right="709"/>
        <w:jc w:val="both"/>
        <w:rPr>
          <w:rFonts w:ascii="Arial" w:eastAsia="Times New Roman" w:hAnsi="Arial" w:cs="Arial"/>
          <w:sz w:val="21"/>
          <w:szCs w:val="21"/>
          <w:lang w:eastAsia="es-CO"/>
        </w:rPr>
      </w:pPr>
    </w:p>
    <w:p w14:paraId="1AD3565B" w14:textId="6FA4167D" w:rsidR="008379B2" w:rsidRDefault="00B62B22" w:rsidP="008379B2">
      <w:pPr>
        <w:spacing w:after="0" w:line="240" w:lineRule="auto"/>
        <w:ind w:left="709" w:right="709"/>
        <w:jc w:val="both"/>
        <w:rPr>
          <w:rFonts w:ascii="Arial" w:eastAsia="Times New Roman" w:hAnsi="Arial" w:cs="Arial"/>
          <w:sz w:val="21"/>
          <w:szCs w:val="21"/>
          <w:lang w:eastAsia="es-CO"/>
        </w:rPr>
      </w:pPr>
      <w:r>
        <w:rPr>
          <w:rFonts w:ascii="Arial" w:eastAsia="Times New Roman" w:hAnsi="Arial" w:cs="Arial"/>
          <w:sz w:val="21"/>
          <w:szCs w:val="21"/>
          <w:lang w:eastAsia="es-CO"/>
        </w:rPr>
        <w:t xml:space="preserve">2. </w:t>
      </w:r>
      <w:r w:rsidR="008379B2" w:rsidRPr="008379B2">
        <w:rPr>
          <w:rFonts w:ascii="Arial" w:eastAsia="Times New Roman" w:hAnsi="Arial" w:cs="Arial"/>
          <w:sz w:val="21"/>
          <w:szCs w:val="21"/>
          <w:lang w:eastAsia="es-CO"/>
        </w:rPr>
        <w:t>Teniendo en cuenta que la Subdirección de Administración de Tierras de la</w:t>
      </w:r>
      <w:r w:rsidR="008379B2">
        <w:rPr>
          <w:rFonts w:ascii="Arial" w:eastAsia="Times New Roman" w:hAnsi="Arial" w:cs="Arial"/>
          <w:sz w:val="21"/>
          <w:szCs w:val="21"/>
          <w:lang w:eastAsia="es-CO"/>
        </w:rPr>
        <w:t xml:space="preserve"> </w:t>
      </w:r>
      <w:r w:rsidR="008379B2" w:rsidRPr="008379B2">
        <w:rPr>
          <w:rFonts w:ascii="Arial" w:eastAsia="Times New Roman" w:hAnsi="Arial" w:cs="Arial"/>
          <w:sz w:val="21"/>
          <w:szCs w:val="21"/>
          <w:lang w:eastAsia="es-CO"/>
        </w:rPr>
        <w:t>Nación es la competente para la administración de los bienes baldíos del</w:t>
      </w:r>
      <w:r w:rsidR="008379B2">
        <w:rPr>
          <w:rFonts w:ascii="Arial" w:eastAsia="Times New Roman" w:hAnsi="Arial" w:cs="Arial"/>
          <w:sz w:val="21"/>
          <w:szCs w:val="21"/>
          <w:lang w:eastAsia="es-CO"/>
        </w:rPr>
        <w:t xml:space="preserve"> </w:t>
      </w:r>
      <w:r w:rsidR="008379B2" w:rsidRPr="008379B2">
        <w:rPr>
          <w:rFonts w:ascii="Arial" w:eastAsia="Times New Roman" w:hAnsi="Arial" w:cs="Arial"/>
          <w:sz w:val="21"/>
          <w:szCs w:val="21"/>
          <w:lang w:eastAsia="es-CO"/>
        </w:rPr>
        <w:t>Estado, ¿existe algún tipo de prohibición o restricción para la</w:t>
      </w:r>
      <w:r w:rsidR="008379B2">
        <w:rPr>
          <w:rFonts w:ascii="Arial" w:eastAsia="Times New Roman" w:hAnsi="Arial" w:cs="Arial"/>
          <w:sz w:val="21"/>
          <w:szCs w:val="21"/>
          <w:lang w:eastAsia="es-CO"/>
        </w:rPr>
        <w:t xml:space="preserve"> </w:t>
      </w:r>
      <w:r w:rsidR="008379B2" w:rsidRPr="008379B2">
        <w:rPr>
          <w:rFonts w:ascii="Arial" w:eastAsia="Times New Roman" w:hAnsi="Arial" w:cs="Arial"/>
          <w:sz w:val="21"/>
          <w:szCs w:val="21"/>
          <w:lang w:eastAsia="es-CO"/>
        </w:rPr>
        <w:t>celebración de</w:t>
      </w:r>
      <w:r w:rsidR="008379B2">
        <w:rPr>
          <w:rFonts w:ascii="Arial" w:eastAsia="Times New Roman" w:hAnsi="Arial" w:cs="Arial"/>
          <w:sz w:val="21"/>
          <w:szCs w:val="21"/>
          <w:lang w:eastAsia="es-CO"/>
        </w:rPr>
        <w:t xml:space="preserve"> </w:t>
      </w:r>
      <w:r w:rsidR="008379B2" w:rsidRPr="008379B2">
        <w:rPr>
          <w:rFonts w:ascii="Arial" w:eastAsia="Times New Roman" w:hAnsi="Arial" w:cs="Arial"/>
          <w:sz w:val="21"/>
          <w:szCs w:val="21"/>
          <w:lang w:eastAsia="es-CO"/>
        </w:rPr>
        <w:t>contratos de arrendamiento o comodato en el marco del proceso misional</w:t>
      </w:r>
      <w:r w:rsidR="008379B2">
        <w:rPr>
          <w:rFonts w:ascii="Arial" w:eastAsia="Times New Roman" w:hAnsi="Arial" w:cs="Arial"/>
          <w:sz w:val="21"/>
          <w:szCs w:val="21"/>
          <w:lang w:eastAsia="es-CO"/>
        </w:rPr>
        <w:t xml:space="preserve"> </w:t>
      </w:r>
      <w:r w:rsidR="008379B2" w:rsidRPr="008379B2">
        <w:rPr>
          <w:rFonts w:ascii="Arial" w:eastAsia="Times New Roman" w:hAnsi="Arial" w:cs="Arial"/>
          <w:sz w:val="21"/>
          <w:szCs w:val="21"/>
          <w:lang w:eastAsia="es-CO"/>
        </w:rPr>
        <w:t>definido en el Acuerdo 106 de 2019 expedido por el Consejo Directivo de la</w:t>
      </w:r>
      <w:r w:rsidR="008379B2">
        <w:rPr>
          <w:rFonts w:ascii="Arial" w:eastAsia="Times New Roman" w:hAnsi="Arial" w:cs="Arial"/>
          <w:sz w:val="21"/>
          <w:szCs w:val="21"/>
          <w:lang w:eastAsia="es-CO"/>
        </w:rPr>
        <w:t xml:space="preserve"> </w:t>
      </w:r>
      <w:r w:rsidR="008379B2" w:rsidRPr="008379B2">
        <w:rPr>
          <w:rFonts w:ascii="Arial" w:eastAsia="Times New Roman" w:hAnsi="Arial" w:cs="Arial"/>
          <w:sz w:val="21"/>
          <w:szCs w:val="21"/>
          <w:lang w:eastAsia="es-CO"/>
        </w:rPr>
        <w:t>ANT?</w:t>
      </w:r>
    </w:p>
    <w:p w14:paraId="04C5D1E2" w14:textId="34116FF8" w:rsidR="005E7207" w:rsidRDefault="005E7207" w:rsidP="008379B2">
      <w:pPr>
        <w:spacing w:after="0" w:line="240" w:lineRule="auto"/>
        <w:ind w:left="709" w:right="709"/>
        <w:jc w:val="both"/>
        <w:rPr>
          <w:rFonts w:ascii="Arial" w:eastAsia="Times New Roman" w:hAnsi="Arial" w:cs="Arial"/>
          <w:sz w:val="21"/>
          <w:szCs w:val="21"/>
          <w:lang w:eastAsia="es-CO"/>
        </w:rPr>
      </w:pPr>
    </w:p>
    <w:p w14:paraId="1C013EA9" w14:textId="645D5508" w:rsidR="005E7207" w:rsidRPr="00F06958" w:rsidRDefault="005E7207" w:rsidP="00260595">
      <w:pPr>
        <w:spacing w:after="0" w:line="240" w:lineRule="auto"/>
        <w:ind w:left="709" w:right="709"/>
        <w:jc w:val="both"/>
        <w:rPr>
          <w:rFonts w:ascii="Arial" w:eastAsia="Times New Roman" w:hAnsi="Arial" w:cs="Arial"/>
          <w:sz w:val="21"/>
          <w:szCs w:val="21"/>
          <w:lang w:eastAsia="es-CO"/>
        </w:rPr>
      </w:pPr>
      <w:r>
        <w:rPr>
          <w:rFonts w:ascii="Arial" w:eastAsia="Times New Roman" w:hAnsi="Arial" w:cs="Arial"/>
          <w:sz w:val="21"/>
          <w:szCs w:val="21"/>
          <w:lang w:eastAsia="es-CO"/>
        </w:rPr>
        <w:t xml:space="preserve">a. </w:t>
      </w:r>
      <w:r w:rsidRPr="005E7207">
        <w:rPr>
          <w:rFonts w:ascii="Arial" w:eastAsia="Times New Roman" w:hAnsi="Arial" w:cs="Arial"/>
          <w:sz w:val="21"/>
          <w:szCs w:val="21"/>
          <w:lang w:eastAsia="es-CO"/>
        </w:rPr>
        <w:t>En caso de ser la respuesta afirmativa, agradecemos que se ponga de</w:t>
      </w:r>
      <w:r w:rsidR="00260595">
        <w:rPr>
          <w:rFonts w:ascii="Arial" w:eastAsia="Times New Roman" w:hAnsi="Arial" w:cs="Arial"/>
          <w:sz w:val="21"/>
          <w:szCs w:val="21"/>
          <w:lang w:eastAsia="es-CO"/>
        </w:rPr>
        <w:t xml:space="preserve"> </w:t>
      </w:r>
      <w:r w:rsidRPr="005E7207">
        <w:rPr>
          <w:rFonts w:ascii="Arial" w:eastAsia="Times New Roman" w:hAnsi="Arial" w:cs="Arial"/>
          <w:sz w:val="21"/>
          <w:szCs w:val="21"/>
          <w:lang w:eastAsia="es-CO"/>
        </w:rPr>
        <w:t>presente el fundamento jurídico o normativo para dicha prohibición</w:t>
      </w:r>
      <w:r w:rsidR="00B62B22">
        <w:rPr>
          <w:rFonts w:ascii="Arial" w:eastAsia="Times New Roman" w:hAnsi="Arial" w:cs="Arial"/>
          <w:sz w:val="21"/>
          <w:szCs w:val="21"/>
          <w:lang w:eastAsia="es-CO"/>
        </w:rPr>
        <w:t>»</w:t>
      </w:r>
      <w:r w:rsidRPr="005E7207">
        <w:rPr>
          <w:rFonts w:ascii="Arial" w:eastAsia="Times New Roman" w:hAnsi="Arial" w:cs="Arial"/>
          <w:sz w:val="21"/>
          <w:szCs w:val="21"/>
          <w:lang w:eastAsia="es-CO"/>
        </w:rPr>
        <w:t>.</w:t>
      </w:r>
    </w:p>
    <w:p w14:paraId="6E88E70A" w14:textId="77777777" w:rsidR="00F06958" w:rsidRPr="00F06958" w:rsidRDefault="00F06958" w:rsidP="00F06958">
      <w:pPr>
        <w:tabs>
          <w:tab w:val="left" w:pos="426"/>
        </w:tabs>
        <w:spacing w:after="0" w:line="276" w:lineRule="auto"/>
        <w:jc w:val="both"/>
        <w:rPr>
          <w:rFonts w:ascii="Arial" w:eastAsia="Calibri" w:hAnsi="Arial" w:cs="Arial"/>
        </w:rPr>
      </w:pPr>
    </w:p>
    <w:bookmarkEnd w:id="10"/>
    <w:bookmarkEnd w:id="11"/>
    <w:p w14:paraId="1514502A" w14:textId="77777777" w:rsidR="00F06958" w:rsidRPr="00F06958" w:rsidRDefault="00F06958" w:rsidP="00F06958">
      <w:pPr>
        <w:tabs>
          <w:tab w:val="left" w:pos="284"/>
        </w:tabs>
        <w:spacing w:after="0" w:line="276" w:lineRule="auto"/>
        <w:jc w:val="both"/>
        <w:rPr>
          <w:rFonts w:ascii="Arial" w:eastAsia="Calibri" w:hAnsi="Arial" w:cs="Arial"/>
          <w:b/>
        </w:rPr>
      </w:pPr>
      <w:r w:rsidRPr="00F06958">
        <w:rPr>
          <w:rFonts w:ascii="Arial" w:eastAsia="Calibri" w:hAnsi="Arial" w:cs="Arial"/>
          <w:b/>
        </w:rPr>
        <w:t>2. Consideraciones</w:t>
      </w:r>
    </w:p>
    <w:p w14:paraId="47541387" w14:textId="77777777" w:rsidR="00F06958" w:rsidRPr="00F06958" w:rsidRDefault="00F06958" w:rsidP="00F06958">
      <w:pPr>
        <w:tabs>
          <w:tab w:val="left" w:pos="426"/>
        </w:tabs>
        <w:spacing w:after="0" w:line="240" w:lineRule="auto"/>
        <w:ind w:firstLine="709"/>
        <w:jc w:val="both"/>
        <w:rPr>
          <w:rFonts w:ascii="Arial" w:eastAsia="Calibri" w:hAnsi="Arial" w:cs="Arial"/>
          <w:bCs/>
        </w:rPr>
      </w:pPr>
    </w:p>
    <w:p w14:paraId="15171698" w14:textId="77777777" w:rsidR="00B5206D" w:rsidRPr="00B5206D" w:rsidRDefault="00B5206D" w:rsidP="00B5206D">
      <w:pPr>
        <w:spacing w:after="120" w:line="276" w:lineRule="auto"/>
        <w:jc w:val="both"/>
        <w:rPr>
          <w:rFonts w:ascii="Arial" w:hAnsi="Arial" w:cs="Arial"/>
          <w:bCs/>
          <w:lang w:val="es-MX"/>
        </w:rPr>
      </w:pPr>
      <w:bookmarkStart w:id="12" w:name="_Hlk96420693"/>
      <w:r w:rsidRPr="00B5206D">
        <w:rPr>
          <w:rFonts w:ascii="Arial" w:hAnsi="Arial" w:cs="Arial"/>
          <w:bCs/>
          <w:lang w:val="es-MX"/>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31CA75D9" w14:textId="0ED92EBA" w:rsidR="00B5206D" w:rsidRPr="00B5206D" w:rsidRDefault="00B5206D" w:rsidP="00B5206D">
      <w:pPr>
        <w:spacing w:after="120" w:line="276" w:lineRule="auto"/>
        <w:ind w:firstLine="708"/>
        <w:jc w:val="both"/>
        <w:rPr>
          <w:rFonts w:ascii="Arial" w:hAnsi="Arial" w:cs="Arial"/>
          <w:lang w:val="es-ES"/>
        </w:rPr>
      </w:pPr>
      <w:bookmarkStart w:id="13" w:name="_Hlk61701014"/>
      <w:bookmarkStart w:id="14" w:name="_Hlk62136649"/>
      <w:r w:rsidRPr="00B5206D">
        <w:rPr>
          <w:rFonts w:ascii="Arial" w:hAnsi="Arial" w:cs="Arial"/>
          <w:lang w:val="es-ES"/>
        </w:rPr>
        <w:t xml:space="preserve">Es necesario tener en cuenta que </w:t>
      </w:r>
      <w:bookmarkStart w:id="15" w:name="_Hlk61026958"/>
      <w:r w:rsidRPr="00B5206D">
        <w:rPr>
          <w:rFonts w:ascii="Arial" w:hAnsi="Arial"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B5206D">
        <w:rPr>
          <w:rFonts w:ascii="Arial" w:hAnsi="Arial" w:cs="Arial"/>
          <w:bCs/>
          <w:lang w:val="es-MX"/>
        </w:rPr>
        <w:t xml:space="preserve"> de todos los partícipes de la contratación estatal.</w:t>
      </w:r>
      <w:r w:rsidR="00C30320">
        <w:rPr>
          <w:rFonts w:ascii="Arial" w:hAnsi="Arial" w:cs="Arial"/>
          <w:bCs/>
          <w:lang w:val="es-MX"/>
        </w:rPr>
        <w:t xml:space="preserve"> </w:t>
      </w:r>
      <w:r w:rsidRPr="00B5206D">
        <w:rPr>
          <w:rFonts w:ascii="Arial" w:hAnsi="Arial"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B5206D">
        <w:rPr>
          <w:rFonts w:ascii="Arial" w:hAnsi="Arial" w:cs="Arial"/>
          <w:vertAlign w:val="superscript"/>
          <w:lang w:val="es-ES"/>
        </w:rPr>
        <w:footnoteReference w:id="2"/>
      </w:r>
      <w:r w:rsidRPr="00B5206D">
        <w:rPr>
          <w:rFonts w:ascii="Arial" w:hAnsi="Arial" w:cs="Arial"/>
          <w:lang w:val="es-ES"/>
        </w:rPr>
        <w:t xml:space="preserve">. </w:t>
      </w:r>
    </w:p>
    <w:p w14:paraId="316BD160" w14:textId="77777777" w:rsidR="00B5206D" w:rsidRDefault="00B5206D" w:rsidP="00B5206D">
      <w:pPr>
        <w:spacing w:after="120" w:line="276" w:lineRule="auto"/>
        <w:ind w:firstLine="708"/>
        <w:jc w:val="both"/>
        <w:rPr>
          <w:rFonts w:ascii="Arial" w:eastAsia="Calibri" w:hAnsi="Arial" w:cs="Arial"/>
          <w:color w:val="000000" w:themeColor="text1"/>
          <w:lang w:val="es-ES"/>
        </w:rPr>
      </w:pPr>
      <w:r w:rsidRPr="00B5206D">
        <w:rPr>
          <w:rFonts w:ascii="Arial" w:hAnsi="Arial" w:cs="Arial"/>
          <w:lang w:val="es-ES"/>
        </w:rPr>
        <w:t>Esta competencia de interpretación de normas generales, por definición, no puede extenderse a la resolución de controversias, ni a brindar asesorías sobre casos puntuales.</w:t>
      </w:r>
      <w:bookmarkEnd w:id="15"/>
      <w:r w:rsidRPr="00B5206D">
        <w:rPr>
          <w:rFonts w:ascii="Arial" w:hAnsi="Arial" w:cs="Arial"/>
          <w:lang w:val="es-ES"/>
        </w:rPr>
        <w:t xml:space="preserve"> Por lo anterior, previo concepto de sus órganos asesores, la solución de estos temas corresponde a la entidad que adelanta el procedimiento de selección y, en caso de que se presenten irregularidades, a las autoridades judiciales, fiscales y disciplinarias</w:t>
      </w:r>
      <w:bookmarkEnd w:id="13"/>
      <w:r w:rsidRPr="00B5206D">
        <w:rPr>
          <w:rFonts w:ascii="Arial" w:hAnsi="Arial" w:cs="Arial"/>
          <w:lang w:val="es-ES"/>
        </w:rPr>
        <w:t>.</w:t>
      </w:r>
      <w:r w:rsidRPr="00B5206D">
        <w:rPr>
          <w:rFonts w:ascii="Arial" w:eastAsia="Calibri" w:hAnsi="Arial" w:cs="Arial"/>
          <w:color w:val="000000" w:themeColor="text1"/>
          <w:lang w:val="es-MX"/>
        </w:rPr>
        <w:t xml:space="preserve"> </w:t>
      </w:r>
      <w:bookmarkEnd w:id="14"/>
      <w:r w:rsidRPr="00B5206D">
        <w:rPr>
          <w:rFonts w:ascii="Arial" w:eastAsia="Calibri" w:hAnsi="Arial" w:cs="Arial"/>
          <w:color w:val="000000" w:themeColor="text1"/>
          <w:lang w:val="es-MX"/>
        </w:rPr>
        <w:t xml:space="preserve">En todo caso, </w:t>
      </w:r>
      <w:r w:rsidRPr="00B5206D">
        <w:rPr>
          <w:rFonts w:ascii="Arial" w:eastAsia="Calibri" w:hAnsi="Arial" w:cs="Arial"/>
          <w:color w:val="000000" w:themeColor="text1"/>
          <w:lang w:val="es-ES"/>
        </w:rPr>
        <w:t xml:space="preserve">la Subdirección –dentro de los límites de sus atribuciones, esto es, haciendo </w:t>
      </w:r>
      <w:r w:rsidRPr="00B5206D">
        <w:rPr>
          <w:rFonts w:ascii="Arial" w:eastAsia="Calibri" w:hAnsi="Arial" w:cs="Arial"/>
          <w:color w:val="000000" w:themeColor="text1"/>
          <w:lang w:val="es-ES"/>
        </w:rPr>
        <w:lastRenderedPageBreak/>
        <w:t xml:space="preserve">abstracción del caso puntual objeto de consulta– resolverá la petición conforme a las normas generales en materia de contratación estatal. </w:t>
      </w:r>
    </w:p>
    <w:p w14:paraId="2B9AB1AC" w14:textId="526CC26E" w:rsidR="00F06958" w:rsidRPr="00B5206D" w:rsidRDefault="00F06958" w:rsidP="0083390D">
      <w:pPr>
        <w:spacing w:after="0" w:line="276" w:lineRule="auto"/>
        <w:ind w:firstLine="709"/>
        <w:jc w:val="both"/>
        <w:rPr>
          <w:rFonts w:ascii="Arial" w:eastAsia="Calibri" w:hAnsi="Arial" w:cs="Arial"/>
          <w:color w:val="000000" w:themeColor="text1"/>
          <w:lang w:val="es-ES"/>
        </w:rPr>
      </w:pPr>
      <w:r w:rsidRPr="00F06958">
        <w:rPr>
          <w:rFonts w:ascii="Arial" w:eastAsia="Calibri" w:hAnsi="Arial" w:cs="Arial"/>
          <w:bCs/>
        </w:rPr>
        <w:t>La Agencia Nacional de Contratación Pública – Colombia Compra Eficiente ha impartido lineamientos sobre la aplicación de la Ley 996 de 2005 y también se ha pronunciado al respecto, entre otros, en los Conceptos 4201912000004632 del 6 de agosto de 2019, 2201913000005655 del 8 de agosto de 2019, 2201913000006283 del 27 de agosto de 2019, 2201913000006521 del 3 de septiembre de 2019, 2201913000006634 del 6 de septiembre de 2019, 2201913000006639 del 9 de septiembre de 2019, 2201913000007430 del 7 de octubre de 2019, 2201913000007565 del 10 de octubre de 2019, 2201913000008259 del 6 de noviembre de 2019, C-074 del 17 de marzo de 2021, C-075 del 16 de marzo de 2021, C-227 de 2021 del 5 de mayo de 2021, C-259 del 2 de junio de 2021, C-296 del 22 de junio de 2021, C-337 del 13 de julio de 2021, C-350 del 16 de julio de 2021, C-352 del 27 de julio de 2021, C-374 del 16 de septiembre de 2021, C-381 del 2 de agosto de 2021, C-391 del 11 de agosto de 2021, C-396 del 13 de agosto de 2021, C-401 del 10 de agosto de 2021, C-413 del 17 de agosto de 2021, C-439  del 27 de agosto de 2021, C-456 del 3 de septiembre de 2021, C-481 del 98 de septiembre de 2021, C-495 del 15 de septiembre de 2021, C-497 del 15 de septiembre de 2021, C-499 del 15 de septiembre de 2021, C-523 del 10 de octubre de 2021, C-528 del 27 de septiembre de 2021, C-543 del 9 de noviembre de 2021, C-550 del 5 de octubre de 2021, C-557 del 7 de octubre de 2021, C-563 del 8 de octubre de 2021, C-606 del 3 de noviembre de 2021, C-614 del 2 de noviembre de 2021, C-633 del 11 de noviembre de 2021, C-634 del 11 de noviembre de 2021, C-636 del 16 de noviembre de 2021, C-674 del 6 de diciembre de 2021, C-677 del 4 de diciembre de 2021, C-695 del 22 de diciembre de 2021, C-699 del 6 de enero de 2022, C-700 del 6 de enero de 2021, C-723 del 28 de diciembre de 2021, C-715 del 21 de enero de 2022, C-718 del 24 de enero de 2022, C-726 del 24 de enero de 2022, C-002 del 15 de febrero de 2022</w:t>
      </w:r>
      <w:r w:rsidR="00F4207E">
        <w:rPr>
          <w:rFonts w:ascii="Arial" w:eastAsia="Calibri" w:hAnsi="Arial" w:cs="Arial"/>
          <w:bCs/>
        </w:rPr>
        <w:t xml:space="preserve">, </w:t>
      </w:r>
      <w:r w:rsidRPr="00F06958">
        <w:rPr>
          <w:rFonts w:ascii="Arial" w:eastAsia="Calibri" w:hAnsi="Arial" w:cs="Arial"/>
          <w:bCs/>
        </w:rPr>
        <w:t>C-116 del 18 de febrero de 2022</w:t>
      </w:r>
      <w:r w:rsidR="00F4207E">
        <w:rPr>
          <w:rFonts w:ascii="Arial" w:eastAsia="Calibri" w:hAnsi="Arial" w:cs="Arial"/>
          <w:bCs/>
        </w:rPr>
        <w:t xml:space="preserve"> y C-163 del 29 de marzo de 2022</w:t>
      </w:r>
      <w:r w:rsidRPr="00F06958">
        <w:rPr>
          <w:rFonts w:ascii="Arial" w:eastAsia="Calibri" w:hAnsi="Arial" w:cs="Arial"/>
          <w:bCs/>
        </w:rPr>
        <w:t>. La tesis desarrollada en estos conceptos se reitera y complementa a continuación:</w:t>
      </w:r>
    </w:p>
    <w:bookmarkEnd w:id="12"/>
    <w:p w14:paraId="689ECCF4" w14:textId="77777777" w:rsidR="00F06958" w:rsidRPr="00F06958" w:rsidRDefault="00F06958" w:rsidP="00F06958">
      <w:pPr>
        <w:tabs>
          <w:tab w:val="left" w:pos="426"/>
        </w:tabs>
        <w:spacing w:after="0" w:line="276" w:lineRule="auto"/>
        <w:ind w:firstLine="709"/>
        <w:jc w:val="both"/>
        <w:rPr>
          <w:rFonts w:ascii="Arial" w:eastAsia="Calibri" w:hAnsi="Arial" w:cs="Arial"/>
          <w:b/>
          <w:bCs/>
        </w:rPr>
      </w:pPr>
    </w:p>
    <w:p w14:paraId="2F2992B2" w14:textId="77777777" w:rsidR="00F06958" w:rsidRPr="00F06958" w:rsidRDefault="00F06958" w:rsidP="0083390D">
      <w:pPr>
        <w:tabs>
          <w:tab w:val="left" w:pos="426"/>
        </w:tabs>
        <w:spacing w:after="0" w:line="276" w:lineRule="auto"/>
        <w:jc w:val="both"/>
        <w:rPr>
          <w:rFonts w:ascii="Arial" w:eastAsia="Calibri" w:hAnsi="Arial" w:cs="Arial"/>
          <w:b/>
          <w:bCs/>
        </w:rPr>
      </w:pPr>
      <w:r w:rsidRPr="00F06958">
        <w:rPr>
          <w:rFonts w:ascii="Arial" w:eastAsia="Calibri" w:hAnsi="Arial" w:cs="Arial"/>
          <w:b/>
          <w:bCs/>
        </w:rPr>
        <w:t>2.1. Definición y finalidad de la Ley de Garantías Electorales: alcance de las restricciones</w:t>
      </w:r>
    </w:p>
    <w:p w14:paraId="68ED7946" w14:textId="77777777" w:rsidR="00F06958" w:rsidRPr="00F06958" w:rsidRDefault="00F06958" w:rsidP="00F06958">
      <w:pPr>
        <w:tabs>
          <w:tab w:val="left" w:pos="426"/>
        </w:tabs>
        <w:spacing w:after="0" w:line="276" w:lineRule="auto"/>
        <w:ind w:firstLine="709"/>
        <w:jc w:val="both"/>
        <w:rPr>
          <w:rFonts w:ascii="Arial" w:eastAsia="Calibri" w:hAnsi="Arial" w:cs="Arial"/>
          <w:bCs/>
        </w:rPr>
      </w:pPr>
    </w:p>
    <w:p w14:paraId="79525E9F" w14:textId="77777777" w:rsidR="00F06958" w:rsidRPr="00F06958" w:rsidRDefault="00F06958" w:rsidP="0083390D">
      <w:pPr>
        <w:tabs>
          <w:tab w:val="left" w:pos="426"/>
        </w:tabs>
        <w:spacing w:after="120" w:line="276" w:lineRule="auto"/>
        <w:jc w:val="both"/>
        <w:rPr>
          <w:rFonts w:ascii="Arial" w:eastAsia="Times New Roman" w:hAnsi="Arial" w:cs="Arial"/>
          <w:bCs/>
          <w:lang w:eastAsia="es-CO"/>
        </w:rPr>
      </w:pPr>
      <w:r w:rsidRPr="00F06958">
        <w:rPr>
          <w:rFonts w:ascii="Arial" w:eastAsia="Calibri" w:hAnsi="Arial" w:cs="Arial"/>
          <w:bCs/>
        </w:rPr>
        <w:t>El ordenamiento jurídico colombiano contempla previsiones claras para evitar la obtención de beneficios personales en asuntos propios de la administración pública</w:t>
      </w:r>
      <w:r w:rsidRPr="00F06958">
        <w:rPr>
          <w:rFonts w:ascii="Arial" w:eastAsia="Calibri" w:hAnsi="Arial" w:cs="Arial"/>
          <w:bCs/>
          <w:i/>
          <w:iCs/>
        </w:rPr>
        <w:t xml:space="preserve">. </w:t>
      </w:r>
      <w:r w:rsidRPr="00F06958">
        <w:rPr>
          <w:rFonts w:ascii="Arial" w:eastAsia="Calibri" w:hAnsi="Arial" w:cs="Arial"/>
          <w:bCs/>
        </w:rPr>
        <w:t>Por ejemplo, el artículo 127 de la Constitución Política establece una prohibición contractual a los servidores públicos y en cuanto a aspectos políticos establece restricciones a ciertos empleados del Estado, incluso en época no electoral</w:t>
      </w:r>
      <w:r w:rsidRPr="00F06958">
        <w:rPr>
          <w:rFonts w:ascii="Arial" w:eastAsia="Calibri" w:hAnsi="Arial" w:cs="Arial"/>
          <w:bCs/>
          <w:vertAlign w:val="superscript"/>
        </w:rPr>
        <w:footnoteReference w:id="3"/>
      </w:r>
      <w:r w:rsidRPr="00F06958">
        <w:rPr>
          <w:rFonts w:ascii="Arial" w:eastAsia="Calibri" w:hAnsi="Arial" w:cs="Arial"/>
          <w:bCs/>
        </w:rPr>
        <w:t xml:space="preserve">. </w:t>
      </w:r>
    </w:p>
    <w:p w14:paraId="6805050D" w14:textId="77777777" w:rsidR="00F06958" w:rsidRPr="00F06958" w:rsidRDefault="00F06958" w:rsidP="00F06958">
      <w:pPr>
        <w:tabs>
          <w:tab w:val="left" w:pos="426"/>
        </w:tabs>
        <w:spacing w:after="0" w:line="276" w:lineRule="auto"/>
        <w:ind w:firstLine="709"/>
        <w:jc w:val="both"/>
        <w:rPr>
          <w:rFonts w:ascii="Arial" w:eastAsia="Times New Roman" w:hAnsi="Arial" w:cs="Arial"/>
          <w:bCs/>
          <w:lang w:val="es-MX" w:eastAsia="es-CO"/>
        </w:rPr>
      </w:pPr>
      <w:r w:rsidRPr="00F06958">
        <w:rPr>
          <w:rFonts w:ascii="Arial" w:eastAsia="Times New Roman" w:hAnsi="Arial" w:cs="Arial"/>
          <w:bCs/>
          <w:lang w:eastAsia="es-CO"/>
        </w:rPr>
        <w:lastRenderedPageBreak/>
        <w:t>En el mismo sentido</w:t>
      </w:r>
      <w:r w:rsidRPr="00F06958">
        <w:rPr>
          <w:rFonts w:ascii="Arial" w:eastAsia="Times New Roman" w:hAnsi="Arial" w:cs="Arial"/>
          <w:bCs/>
          <w:lang w:val="es-MX" w:eastAsia="es-CO"/>
        </w:rPr>
        <w:t>,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F06958">
        <w:rPr>
          <w:rFonts w:ascii="Arial" w:eastAsia="Times New Roman" w:hAnsi="Arial" w:cs="Arial"/>
          <w:bCs/>
          <w:vertAlign w:val="superscript"/>
          <w:lang w:val="es-MX" w:eastAsia="es-CO"/>
        </w:rPr>
        <w:footnoteReference w:id="4"/>
      </w:r>
      <w:r w:rsidRPr="00F06958">
        <w:rPr>
          <w:rFonts w:ascii="Arial" w:eastAsia="Times New Roman" w:hAnsi="Arial" w:cs="Arial"/>
          <w:bCs/>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F06958">
        <w:rPr>
          <w:rFonts w:ascii="Arial" w:eastAsia="Calibri" w:hAnsi="Arial" w:cs="Arial"/>
          <w:noProof/>
          <w:lang w:val="es-ES_tradnl"/>
        </w:rPr>
        <w:t xml:space="preserve"> </w:t>
      </w:r>
      <w:r w:rsidRPr="00F06958">
        <w:rPr>
          <w:rFonts w:ascii="Arial" w:eastAsia="Times New Roman" w:hAnsi="Arial" w:cs="Arial"/>
          <w:bCs/>
          <w:lang w:val="es-MX" w:eastAsia="es-CO"/>
        </w:rPr>
        <w:t>En armonía con lo anterior, la Corte Constitucional ha abordado la definición de la Ley de Garantías Electorales. De esta manera, explica que tiene como propósito:</w:t>
      </w:r>
    </w:p>
    <w:p w14:paraId="239FB757" w14:textId="77777777" w:rsidR="00F06958" w:rsidRPr="00F06958" w:rsidRDefault="00F06958" w:rsidP="00F06958">
      <w:pPr>
        <w:spacing w:after="0" w:line="276" w:lineRule="auto"/>
        <w:ind w:right="709"/>
        <w:jc w:val="both"/>
        <w:rPr>
          <w:rFonts w:ascii="Arial" w:eastAsia="Times New Roman" w:hAnsi="Arial" w:cs="Arial"/>
          <w:sz w:val="21"/>
          <w:szCs w:val="21"/>
          <w:lang w:val="es-ES" w:eastAsia="es-CO"/>
        </w:rPr>
      </w:pPr>
    </w:p>
    <w:p w14:paraId="4149427F" w14:textId="77777777" w:rsidR="00F06958" w:rsidRPr="00F06958" w:rsidRDefault="00F06958" w:rsidP="00F06958">
      <w:pPr>
        <w:spacing w:after="0" w:line="240" w:lineRule="auto"/>
        <w:ind w:left="709" w:right="709"/>
        <w:jc w:val="both"/>
        <w:rPr>
          <w:rFonts w:ascii="Arial" w:eastAsia="Times New Roman" w:hAnsi="Arial" w:cs="Arial"/>
          <w:bCs/>
          <w:sz w:val="21"/>
          <w:szCs w:val="21"/>
          <w:lang w:val="es-MX" w:eastAsia="es-CO"/>
        </w:rPr>
      </w:pPr>
      <w:r w:rsidRPr="00F06958">
        <w:rPr>
          <w:rFonts w:ascii="Arial" w:eastAsia="Times New Roman" w:hAnsi="Arial" w:cs="Arial"/>
          <w:sz w:val="21"/>
          <w:szCs w:val="21"/>
          <w:lang w:val="es-ES" w:eastAsia="es-CO"/>
        </w:rPr>
        <w:t xml:space="preserve">[…] </w:t>
      </w:r>
      <w:r w:rsidRPr="00F06958">
        <w:rPr>
          <w:rFonts w:ascii="Arial" w:eastAsia="Times New Roman" w:hAnsi="Arial" w:cs="Arial"/>
          <w:bCs/>
          <w:sz w:val="21"/>
          <w:szCs w:val="21"/>
          <w:lang w:val="es-MX" w:eastAsia="es-CO"/>
        </w:rPr>
        <w:t>la definición de reglas claras que permitan acceder a los canales de expresión democrática de manera efectiva e igualitaria. El objetivo de una ley de garantías es definir esas reglas.</w:t>
      </w:r>
    </w:p>
    <w:p w14:paraId="3288DD53" w14:textId="77777777" w:rsidR="00F06958" w:rsidRPr="00F06958" w:rsidRDefault="00F06958" w:rsidP="00F06958">
      <w:pPr>
        <w:spacing w:after="120" w:line="240" w:lineRule="auto"/>
        <w:ind w:left="709" w:right="709"/>
        <w:jc w:val="both"/>
        <w:rPr>
          <w:rFonts w:ascii="Arial" w:eastAsia="Times New Roman" w:hAnsi="Arial" w:cs="Arial"/>
          <w:bCs/>
          <w:sz w:val="21"/>
          <w:szCs w:val="21"/>
          <w:lang w:val="es-MX" w:eastAsia="es-CO"/>
        </w:rPr>
      </w:pPr>
      <w:r w:rsidRPr="00F06958">
        <w:rPr>
          <w:rFonts w:ascii="Arial" w:eastAsia="Times New Roman" w:hAnsi="Arial" w:cs="Arial"/>
          <w:bCs/>
          <w:sz w:val="21"/>
          <w:szCs w:val="21"/>
          <w:lang w:val="es-MX" w:eastAsia="es-CO"/>
        </w:rPr>
        <w:t xml:space="preserve">[…] </w:t>
      </w:r>
    </w:p>
    <w:p w14:paraId="479F952A" w14:textId="77777777" w:rsidR="00F06958" w:rsidRPr="00F06958" w:rsidRDefault="00F06958" w:rsidP="00F06958">
      <w:pPr>
        <w:spacing w:after="0" w:line="240" w:lineRule="auto"/>
        <w:ind w:left="709" w:right="709"/>
        <w:jc w:val="both"/>
        <w:rPr>
          <w:rFonts w:ascii="Arial" w:eastAsia="Times New Roman" w:hAnsi="Arial" w:cs="Arial"/>
          <w:bCs/>
          <w:sz w:val="21"/>
          <w:szCs w:val="21"/>
          <w:lang w:val="es-MX" w:eastAsia="es-CO"/>
        </w:rPr>
      </w:pPr>
      <w:r w:rsidRPr="00F06958">
        <w:rPr>
          <w:rFonts w:ascii="Arial" w:eastAsia="Times New Roman" w:hAnsi="Arial" w:cs="Arial"/>
          <w:bCs/>
          <w:sz w:val="21"/>
          <w:szCs w:val="21"/>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F06958">
        <w:rPr>
          <w:rFonts w:ascii="Arial" w:eastAsia="Calibri" w:hAnsi="Arial" w:cs="Arial"/>
          <w:sz w:val="20"/>
          <w:szCs w:val="20"/>
          <w:vertAlign w:val="superscript"/>
          <w:lang w:val="es-MX"/>
        </w:rPr>
        <w:footnoteReference w:id="5"/>
      </w:r>
    </w:p>
    <w:p w14:paraId="502A4832" w14:textId="77777777" w:rsidR="00F06958" w:rsidRPr="00F06958" w:rsidRDefault="00F06958" w:rsidP="00F06958">
      <w:pPr>
        <w:spacing w:after="0" w:line="276" w:lineRule="auto"/>
        <w:ind w:left="709" w:right="709"/>
        <w:jc w:val="both"/>
        <w:rPr>
          <w:rFonts w:ascii="Arial" w:eastAsia="Times New Roman" w:hAnsi="Arial" w:cs="Arial"/>
          <w:bCs/>
          <w:sz w:val="21"/>
          <w:szCs w:val="21"/>
          <w:lang w:val="es-MX" w:eastAsia="es-CO"/>
        </w:rPr>
      </w:pPr>
    </w:p>
    <w:p w14:paraId="01207B23" w14:textId="77777777" w:rsidR="00F06958" w:rsidRPr="00F06958" w:rsidRDefault="00F06958" w:rsidP="00F06958">
      <w:pPr>
        <w:spacing w:after="0" w:line="276" w:lineRule="auto"/>
        <w:ind w:firstLine="709"/>
        <w:jc w:val="both"/>
        <w:rPr>
          <w:rFonts w:ascii="Arial" w:eastAsia="Times New Roman" w:hAnsi="Arial" w:cs="Arial"/>
          <w:bCs/>
          <w:lang w:val="es-MX" w:eastAsia="es-CO"/>
        </w:rPr>
      </w:pPr>
      <w:bookmarkStart w:id="16" w:name="_Hlk78818186"/>
      <w:r w:rsidRPr="00F06958">
        <w:rPr>
          <w:rFonts w:ascii="Arial" w:eastAsia="Times New Roman" w:hAnsi="Arial" w:cs="Arial"/>
          <w:bCs/>
          <w:lang w:val="es-MX"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16"/>
      <w:r w:rsidRPr="00F06958">
        <w:rPr>
          <w:rFonts w:ascii="Arial" w:eastAsia="Times New Roman" w:hAnsi="Arial" w:cs="Arial"/>
          <w:bCs/>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5620A071" w14:textId="77777777" w:rsidR="00F06958" w:rsidRPr="00F06958" w:rsidRDefault="00F06958" w:rsidP="00F06958">
      <w:pPr>
        <w:spacing w:after="0" w:line="276" w:lineRule="auto"/>
        <w:ind w:firstLine="709"/>
        <w:jc w:val="both"/>
        <w:rPr>
          <w:rFonts w:ascii="Arial" w:eastAsia="Times New Roman" w:hAnsi="Arial" w:cs="Arial"/>
          <w:bCs/>
          <w:lang w:val="es-MX" w:eastAsia="es-CO"/>
        </w:rPr>
      </w:pPr>
    </w:p>
    <w:p w14:paraId="3CB7E7C4" w14:textId="77777777" w:rsidR="00F06958" w:rsidRPr="00F06958" w:rsidRDefault="00F06958" w:rsidP="00F06958">
      <w:pPr>
        <w:spacing w:after="120" w:line="240" w:lineRule="auto"/>
        <w:ind w:left="709" w:right="709"/>
        <w:jc w:val="both"/>
        <w:rPr>
          <w:rFonts w:ascii="Arial" w:eastAsia="Times New Roman" w:hAnsi="Arial" w:cs="Arial"/>
          <w:bCs/>
          <w:sz w:val="21"/>
          <w:szCs w:val="21"/>
          <w:lang w:val="es-MX" w:eastAsia="es-CO"/>
        </w:rPr>
      </w:pPr>
      <w:r w:rsidRPr="00F06958">
        <w:rPr>
          <w:rFonts w:ascii="Arial" w:eastAsia="Times New Roman" w:hAnsi="Arial" w:cs="Arial"/>
          <w:bCs/>
          <w:sz w:val="21"/>
          <w:szCs w:val="21"/>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w:t>
      </w:r>
      <w:r w:rsidRPr="00F06958">
        <w:rPr>
          <w:rFonts w:ascii="Arial" w:eastAsia="Times New Roman" w:hAnsi="Arial" w:cs="Arial"/>
          <w:bCs/>
          <w:sz w:val="21"/>
          <w:szCs w:val="21"/>
          <w:lang w:val="es-MX" w:eastAsia="es-CO"/>
        </w:rPr>
        <w:lastRenderedPageBreak/>
        <w:t>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764331E7" w14:textId="77777777" w:rsidR="00F06958" w:rsidRPr="00F06958" w:rsidRDefault="00F06958" w:rsidP="00F06958">
      <w:pPr>
        <w:spacing w:after="0" w:line="240" w:lineRule="auto"/>
        <w:ind w:left="709" w:right="709"/>
        <w:jc w:val="both"/>
        <w:rPr>
          <w:rFonts w:ascii="Arial" w:eastAsia="Times New Roman" w:hAnsi="Arial" w:cs="Arial"/>
          <w:bCs/>
          <w:sz w:val="21"/>
          <w:szCs w:val="21"/>
          <w:lang w:val="es-MX" w:eastAsia="es-CO"/>
        </w:rPr>
      </w:pPr>
      <w:r w:rsidRPr="00F06958">
        <w:rPr>
          <w:rFonts w:ascii="Arial" w:eastAsia="Times New Roman" w:hAnsi="Arial" w:cs="Arial"/>
          <w:bCs/>
          <w:sz w:val="21"/>
          <w:szCs w:val="21"/>
          <w:lang w:val="es-MX" w:eastAsia="es-CO"/>
        </w:rPr>
        <w:t>La jurisprudencia de la Corte Constitucional</w:t>
      </w:r>
      <w:r w:rsidRPr="00F06958">
        <w:rPr>
          <w:rFonts w:ascii="Arial" w:eastAsia="Times New Roman" w:hAnsi="Arial" w:cs="Arial"/>
          <w:bCs/>
          <w:sz w:val="21"/>
          <w:szCs w:val="21"/>
          <w:vertAlign w:val="superscript"/>
          <w:lang w:val="es-MX" w:eastAsia="es-CO"/>
        </w:rPr>
        <w:footnoteReference w:id="6"/>
      </w:r>
      <w:r w:rsidRPr="00F06958">
        <w:rPr>
          <w:rFonts w:ascii="Arial" w:eastAsia="Times New Roman" w:hAnsi="Arial" w:cs="Arial"/>
          <w:bCs/>
          <w:sz w:val="21"/>
          <w:szCs w:val="21"/>
          <w:lang w:val="es-MX" w:eastAsia="es-CO"/>
        </w:rPr>
        <w:t> y del Consejo de Estado</w:t>
      </w:r>
      <w:r w:rsidRPr="00F06958">
        <w:rPr>
          <w:rFonts w:ascii="Arial" w:eastAsia="Times New Roman" w:hAnsi="Arial" w:cs="Arial"/>
          <w:bCs/>
          <w:sz w:val="21"/>
          <w:szCs w:val="21"/>
          <w:vertAlign w:val="superscript"/>
          <w:lang w:val="es-MX" w:eastAsia="es-CO"/>
        </w:rPr>
        <w:footnoteReference w:id="7"/>
      </w:r>
      <w:r w:rsidRPr="00F06958">
        <w:rPr>
          <w:rFonts w:ascii="Arial" w:eastAsia="Times New Roman" w:hAnsi="Arial" w:cs="Arial"/>
          <w:bCs/>
          <w:sz w:val="21"/>
          <w:szCs w:val="21"/>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F06958">
        <w:rPr>
          <w:rFonts w:ascii="Arial" w:eastAsia="Times New Roman" w:hAnsi="Arial" w:cs="Arial"/>
          <w:bCs/>
          <w:vertAlign w:val="superscript"/>
          <w:lang w:val="es-MX" w:eastAsia="es-CO"/>
        </w:rPr>
        <w:footnoteReference w:id="8"/>
      </w:r>
      <w:r w:rsidRPr="00F06958">
        <w:rPr>
          <w:rFonts w:ascii="Arial" w:eastAsia="Times New Roman" w:hAnsi="Arial" w:cs="Arial"/>
          <w:bCs/>
          <w:sz w:val="21"/>
          <w:szCs w:val="21"/>
          <w:lang w:val="es-MX" w:eastAsia="es-CO"/>
        </w:rPr>
        <w:t>.</w:t>
      </w:r>
    </w:p>
    <w:p w14:paraId="0ADE53BF" w14:textId="77777777" w:rsidR="00F06958" w:rsidRPr="00F06958" w:rsidRDefault="00F06958" w:rsidP="00F06958">
      <w:pPr>
        <w:spacing w:after="0" w:line="276" w:lineRule="auto"/>
        <w:ind w:right="709"/>
        <w:jc w:val="both"/>
        <w:rPr>
          <w:rFonts w:ascii="Arial" w:eastAsia="Times New Roman" w:hAnsi="Arial" w:cs="Arial"/>
          <w:bCs/>
          <w:sz w:val="21"/>
          <w:szCs w:val="21"/>
          <w:lang w:val="es-MX" w:eastAsia="es-CO"/>
        </w:rPr>
      </w:pPr>
    </w:p>
    <w:p w14:paraId="0E3F7E5D" w14:textId="77777777" w:rsidR="00F06958" w:rsidRPr="00F06958" w:rsidRDefault="00F06958" w:rsidP="00F06958">
      <w:pPr>
        <w:spacing w:after="120" w:line="276" w:lineRule="auto"/>
        <w:jc w:val="both"/>
        <w:rPr>
          <w:rFonts w:ascii="Arial" w:eastAsia="Arial" w:hAnsi="Arial" w:cs="Arial"/>
          <w:lang w:val="es-ES" w:eastAsia="es-ES" w:bidi="es-ES"/>
        </w:rPr>
      </w:pPr>
      <w:r w:rsidRPr="00F06958">
        <w:rPr>
          <w:rFonts w:ascii="Arial" w:eastAsia="Times New Roman" w:hAnsi="Arial" w:cs="Arial"/>
          <w:bCs/>
          <w:lang w:val="es-MX" w:eastAsia="es-CO"/>
        </w:rPr>
        <w:tab/>
        <w:t>De</w:t>
      </w:r>
      <w:r w:rsidRPr="00F06958">
        <w:rPr>
          <w:rFonts w:ascii="Arial" w:eastAsia="Arial" w:hAnsi="Arial" w:cs="Arial"/>
          <w:lang w:val="es-ES" w:eastAsia="es-ES" w:bidi="es-ES"/>
        </w:rPr>
        <w:t xml:space="preserve"> conformidad con lo anterior, </w:t>
      </w:r>
      <w:bookmarkStart w:id="17" w:name="_Hlk77236098"/>
      <w:r w:rsidRPr="00F06958">
        <w:rPr>
          <w:rFonts w:ascii="Arial" w:eastAsia="Arial" w:hAnsi="Arial" w:cs="Arial"/>
          <w:lang w:val="es-ES" w:eastAsia="es-ES" w:bidi="es-ES"/>
        </w:rPr>
        <w:t>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bookmarkEnd w:id="17"/>
    </w:p>
    <w:p w14:paraId="34DF5D33" w14:textId="77777777" w:rsidR="00F06958" w:rsidRPr="00F06958" w:rsidRDefault="00F06958" w:rsidP="00F06958">
      <w:pPr>
        <w:spacing w:after="120" w:line="276" w:lineRule="auto"/>
        <w:ind w:firstLine="708"/>
        <w:jc w:val="both"/>
        <w:rPr>
          <w:rFonts w:ascii="Arial" w:eastAsia="Calibri" w:hAnsi="Arial" w:cs="Arial"/>
        </w:rPr>
      </w:pPr>
      <w:r w:rsidRPr="00F06958">
        <w:rPr>
          <w:rFonts w:ascii="Arial" w:eastAsia="Calibri" w:hAnsi="Arial" w:cs="Arial"/>
        </w:rPr>
        <w:t xml:space="preserve">Por un lado, el artículo 33 de la Ley 996 de 2005 prohíbe </w:t>
      </w:r>
      <w:r w:rsidRPr="00F06958">
        <w:rPr>
          <w:rFonts w:ascii="Arial" w:eastAsia="Calibri" w:hAnsi="Arial" w:cs="Arial"/>
          <w:bCs/>
        </w:rPr>
        <w:t xml:space="preserve">«[…] </w:t>
      </w:r>
      <w:r w:rsidRPr="00F06958">
        <w:rPr>
          <w:rFonts w:ascii="Arial" w:eastAsia="Calibri" w:hAnsi="Arial" w:cs="Arial"/>
        </w:rPr>
        <w:t>la contratación directa por parte de todos los entes del Estado</w:t>
      </w:r>
      <w:r w:rsidRPr="00F06958">
        <w:rPr>
          <w:rFonts w:ascii="Arial" w:eastAsia="Calibri" w:hAnsi="Arial" w:cs="Arial"/>
          <w:bCs/>
        </w:rPr>
        <w:t>»</w:t>
      </w:r>
      <w:r w:rsidRPr="00F06958">
        <w:rPr>
          <w:rFonts w:ascii="Arial" w:eastAsia="Calibri" w:hAnsi="Arial" w:cs="Arial"/>
        </w:rPr>
        <w:t xml:space="preserve"> durante los cuatro (4) meses anteriores a las elecciones presidenciales, salvo </w:t>
      </w:r>
      <w:r w:rsidRPr="00F06958">
        <w:rPr>
          <w:rFonts w:ascii="Arial" w:eastAsia="Calibri" w:hAnsi="Arial" w:cs="Arial"/>
          <w:bCs/>
        </w:rPr>
        <w:t xml:space="preserve">«[…] </w:t>
      </w:r>
      <w:r w:rsidRPr="00F06958">
        <w:rPr>
          <w:rFonts w:ascii="Arial" w:eastAsia="Calibri" w:hAnsi="Arial" w:cs="Arial"/>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F06958">
        <w:rPr>
          <w:rFonts w:ascii="Arial" w:eastAsia="Calibri" w:hAnsi="Arial" w:cs="Arial"/>
          <w:bCs/>
        </w:rPr>
        <w:t>»</w:t>
      </w:r>
      <w:r w:rsidRPr="00F06958">
        <w:rPr>
          <w:rFonts w:ascii="Arial" w:eastAsia="Calibri" w:hAnsi="Arial" w:cs="Arial"/>
          <w:bCs/>
          <w:vertAlign w:val="superscript"/>
        </w:rPr>
        <w:footnoteReference w:id="9"/>
      </w:r>
      <w:r w:rsidRPr="00F06958">
        <w:rPr>
          <w:rFonts w:ascii="Arial" w:eastAsia="Calibri" w:hAnsi="Arial" w:cs="Arial"/>
        </w:rPr>
        <w:t>.</w:t>
      </w:r>
    </w:p>
    <w:p w14:paraId="780735D4" w14:textId="77777777" w:rsidR="00F06958" w:rsidRPr="00F06958" w:rsidRDefault="00F06958" w:rsidP="00F06958">
      <w:pPr>
        <w:widowControl w:val="0"/>
        <w:autoSpaceDE w:val="0"/>
        <w:autoSpaceDN w:val="0"/>
        <w:spacing w:after="0" w:line="276" w:lineRule="auto"/>
        <w:ind w:right="113" w:firstLine="708"/>
        <w:jc w:val="both"/>
        <w:rPr>
          <w:rFonts w:ascii="Arial" w:eastAsia="Arial" w:hAnsi="Arial" w:cs="Arial"/>
          <w:lang w:val="es-ES" w:eastAsia="es-ES" w:bidi="es-ES"/>
        </w:rPr>
      </w:pPr>
      <w:r w:rsidRPr="00F06958">
        <w:rPr>
          <w:rFonts w:ascii="Arial" w:eastAsia="Calibri" w:hAnsi="Arial" w:cs="Arial"/>
        </w:rPr>
        <w:lastRenderedPageBreak/>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F06958">
        <w:rPr>
          <w:rFonts w:ascii="Arial" w:eastAsia="Calibri" w:hAnsi="Arial" w:cs="Arial"/>
          <w:bCs/>
        </w:rPr>
        <w:t xml:space="preserve">«[…] </w:t>
      </w:r>
      <w:r w:rsidRPr="00F06958">
        <w:rPr>
          <w:rFonts w:ascii="Arial" w:eastAsia="Calibri" w:hAnsi="Arial"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F06958">
        <w:rPr>
          <w:rFonts w:ascii="Arial" w:eastAsia="Calibri" w:hAnsi="Arial" w:cs="Arial"/>
          <w:bCs/>
          <w:sz w:val="19"/>
          <w:szCs w:val="19"/>
        </w:rPr>
        <w:t>»</w:t>
      </w:r>
      <w:r w:rsidRPr="00F06958">
        <w:rPr>
          <w:rFonts w:ascii="Arial" w:eastAsia="Calibri" w:hAnsi="Arial" w:cs="Arial"/>
          <w:bCs/>
          <w:sz w:val="19"/>
          <w:szCs w:val="19"/>
          <w:vertAlign w:val="superscript"/>
        </w:rPr>
        <w:footnoteReference w:id="10"/>
      </w:r>
      <w:r w:rsidRPr="00F06958">
        <w:rPr>
          <w:rFonts w:ascii="Arial" w:eastAsia="Calibri" w:hAnsi="Arial" w:cs="Arial"/>
          <w:lang w:val="es-MX"/>
        </w:rPr>
        <w:t>.</w:t>
      </w:r>
      <w:r w:rsidRPr="00F06958">
        <w:rPr>
          <w:rFonts w:ascii="Arial" w:eastAsia="Arial" w:hAnsi="Arial" w:cs="Arial"/>
          <w:lang w:val="es-ES"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47A91115" w14:textId="77777777" w:rsidR="00F06958" w:rsidRPr="00F06958" w:rsidRDefault="00F06958" w:rsidP="00F06958">
      <w:pPr>
        <w:widowControl w:val="0"/>
        <w:autoSpaceDE w:val="0"/>
        <w:autoSpaceDN w:val="0"/>
        <w:spacing w:after="0" w:line="276" w:lineRule="auto"/>
        <w:ind w:left="805" w:right="812"/>
        <w:jc w:val="both"/>
        <w:rPr>
          <w:rFonts w:ascii="Arial" w:eastAsia="Arial" w:hAnsi="Arial" w:cs="Arial"/>
          <w:lang w:val="es-ES" w:eastAsia="es-ES" w:bidi="es-ES"/>
        </w:rPr>
      </w:pPr>
    </w:p>
    <w:p w14:paraId="3C013144" w14:textId="77777777" w:rsidR="00F06958" w:rsidRPr="00F06958" w:rsidRDefault="00F06958" w:rsidP="00F06958">
      <w:pPr>
        <w:widowControl w:val="0"/>
        <w:autoSpaceDE w:val="0"/>
        <w:autoSpaceDN w:val="0"/>
        <w:spacing w:after="0" w:line="240" w:lineRule="auto"/>
        <w:ind w:left="709" w:right="709"/>
        <w:jc w:val="both"/>
        <w:rPr>
          <w:rFonts w:ascii="Arial" w:eastAsia="Arial" w:hAnsi="Arial" w:cs="Arial"/>
          <w:sz w:val="21"/>
          <w:szCs w:val="21"/>
          <w:lang w:val="es-ES" w:eastAsia="es-ES" w:bidi="es-ES"/>
        </w:rPr>
      </w:pPr>
      <w:r w:rsidRPr="00F06958">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20" w:name="_Hlk76109421"/>
      <w:r w:rsidRPr="00F06958">
        <w:rPr>
          <w:rFonts w:ascii="Arial" w:eastAsia="Arial" w:hAnsi="Arial" w:cs="Arial"/>
          <w:sz w:val="21"/>
          <w:szCs w:val="21"/>
          <w:lang w:val="es-ES" w:eastAsia="es-ES" w:bidi="es-ES"/>
        </w:rPr>
        <w:t>se integran parcialmente</w:t>
      </w:r>
      <w:bookmarkEnd w:id="20"/>
      <w:r w:rsidRPr="00F06958">
        <w:rPr>
          <w:rFonts w:ascii="Arial" w:eastAsia="Arial" w:hAnsi="Arial" w:cs="Arial"/>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F06958">
        <w:rPr>
          <w:rFonts w:ascii="Arial" w:eastAsia="Arial" w:hAnsi="Arial" w:cs="Arial"/>
          <w:bCs/>
          <w:sz w:val="21"/>
          <w:szCs w:val="21"/>
          <w:lang w:val="es-ES" w:eastAsia="es-ES" w:bidi="es-ES"/>
        </w:rPr>
        <w:t xml:space="preserve">En cambio, para elecciones en general, excluyendo las correspondientes a </w:t>
      </w:r>
      <w:proofErr w:type="gramStart"/>
      <w:r w:rsidRPr="00F06958">
        <w:rPr>
          <w:rFonts w:ascii="Arial" w:eastAsia="Arial" w:hAnsi="Arial" w:cs="Arial"/>
          <w:bCs/>
          <w:sz w:val="21"/>
          <w:szCs w:val="21"/>
          <w:lang w:val="es-ES" w:eastAsia="es-ES" w:bidi="es-ES"/>
        </w:rPr>
        <w:t>Presidente</w:t>
      </w:r>
      <w:proofErr w:type="gramEnd"/>
      <w:r w:rsidRPr="00F06958">
        <w:rPr>
          <w:rFonts w:ascii="Arial" w:eastAsia="Arial" w:hAnsi="Arial" w:cs="Arial"/>
          <w:bCs/>
          <w:sz w:val="21"/>
          <w:szCs w:val="21"/>
          <w:lang w:val="es-ES" w:eastAsia="es-ES" w:bidi="es-ES"/>
        </w:rPr>
        <w:t xml:space="preserve"> de la República, a las autoridades territoriales allí mencionadas sólo se aplican las restricciones contenidas en el parágrafo del artículo 38</w:t>
      </w:r>
      <w:r w:rsidRPr="00F06958">
        <w:rPr>
          <w:rFonts w:ascii="Arial" w:eastAsia="Arial" w:hAnsi="Arial" w:cs="Arial"/>
          <w:sz w:val="21"/>
          <w:szCs w:val="21"/>
          <w:lang w:val="es-ES" w:eastAsia="es-ES" w:bidi="es-ES"/>
        </w:rPr>
        <w:t>.</w:t>
      </w:r>
      <w:r w:rsidRPr="00F06958">
        <w:rPr>
          <w:rFonts w:ascii="Arial" w:eastAsia="Arial" w:hAnsi="Arial" w:cs="Arial"/>
          <w:sz w:val="21"/>
          <w:szCs w:val="21"/>
          <w:vertAlign w:val="superscript"/>
          <w:lang w:val="es-ES" w:eastAsia="es-ES" w:bidi="es-ES"/>
        </w:rPr>
        <w:footnoteReference w:id="11"/>
      </w:r>
    </w:p>
    <w:p w14:paraId="14CBC0FE" w14:textId="77777777" w:rsidR="00F06958" w:rsidRPr="00F06958" w:rsidRDefault="00F06958" w:rsidP="00F06958">
      <w:pPr>
        <w:widowControl w:val="0"/>
        <w:autoSpaceDE w:val="0"/>
        <w:autoSpaceDN w:val="0"/>
        <w:spacing w:before="8" w:after="0" w:line="276" w:lineRule="auto"/>
        <w:rPr>
          <w:rFonts w:ascii="Arial" w:eastAsia="Arial" w:hAnsi="Arial" w:cs="Arial"/>
          <w:lang w:val="es-ES" w:eastAsia="es-ES" w:bidi="es-ES"/>
        </w:rPr>
      </w:pPr>
    </w:p>
    <w:p w14:paraId="67B78818" w14:textId="77777777" w:rsidR="00F06958" w:rsidRPr="00F06958" w:rsidRDefault="00F06958" w:rsidP="00F06958">
      <w:pPr>
        <w:spacing w:after="120" w:line="276" w:lineRule="auto"/>
        <w:ind w:firstLine="709"/>
        <w:jc w:val="both"/>
        <w:rPr>
          <w:rFonts w:ascii="Arial" w:eastAsia="Arial" w:hAnsi="Arial" w:cs="Arial"/>
          <w:lang w:val="es-ES" w:eastAsia="es-ES" w:bidi="es-ES"/>
        </w:rPr>
      </w:pPr>
      <w:r w:rsidRPr="00F06958">
        <w:rPr>
          <w:rFonts w:ascii="Arial" w:eastAsia="Arial" w:hAnsi="Arial" w:cs="Arial"/>
          <w:lang w:val="es-ES" w:eastAsia="es-ES" w:bidi="es-ES"/>
        </w:rPr>
        <w:t>De conformidad con lo anterior</w:t>
      </w:r>
      <w:bookmarkStart w:id="21" w:name="_Hlk99438241"/>
      <w:r w:rsidRPr="00F06958">
        <w:rPr>
          <w:rFonts w:ascii="Arial" w:eastAsia="Arial" w:hAnsi="Arial" w:cs="Arial"/>
          <w:lang w:val="es-ES" w:eastAsia="es-ES" w:bidi="es-ES"/>
        </w:rPr>
        <w:t xml:space="preserve">, </w:t>
      </w:r>
      <w:bookmarkStart w:id="22" w:name="_Hlk77236420"/>
      <w:bookmarkStart w:id="23" w:name="_Hlk78818435"/>
      <w:bookmarkStart w:id="24" w:name="_Hlk75780333"/>
      <w:r w:rsidRPr="00F06958">
        <w:rPr>
          <w:rFonts w:ascii="Arial" w:eastAsia="Arial" w:hAnsi="Arial" w:cs="Arial"/>
          <w:lang w:val="es-ES" w:eastAsia="es-ES" w:bidi="es-ES"/>
        </w:rPr>
        <w:t xml:space="preserve">la Ley 996 de 2005 establece dos (2) tipos de restricciones en materia de contratación, las cuales coinciden parcialmente. </w:t>
      </w:r>
      <w:r w:rsidRPr="00F06958">
        <w:rPr>
          <w:rFonts w:ascii="Arial" w:eastAsia="Arial" w:hAnsi="Arial" w:cs="Arial"/>
          <w:i/>
          <w:iCs/>
          <w:lang w:val="es-ES" w:eastAsia="es-ES" w:bidi="es-ES"/>
        </w:rPr>
        <w:t>En primer lugar</w:t>
      </w:r>
      <w:r w:rsidRPr="00F06958">
        <w:rPr>
          <w:rFonts w:ascii="Arial" w:eastAsia="Arial" w:hAnsi="Arial" w:cs="Arial"/>
          <w:lang w:val="es-ES" w:eastAsia="es-ES" w:bidi="es-ES"/>
        </w:rPr>
        <w:t xml:space="preserve">, la del artículo 33 que opera solo respecto de las elecciones presidenciales, en virtud de la cual queda proscrita la contratación directa dentro de los cuatro (4) meses anteriores a la </w:t>
      </w:r>
      <w:r w:rsidRPr="00F06958">
        <w:rPr>
          <w:rFonts w:ascii="Arial" w:eastAsia="Arial" w:hAnsi="Arial" w:cs="Arial"/>
          <w:lang w:val="es-ES" w:eastAsia="es-ES" w:bidi="es-ES"/>
        </w:rPr>
        <w:lastRenderedPageBreak/>
        <w:t xml:space="preserve">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F06958">
        <w:rPr>
          <w:rFonts w:ascii="Arial" w:eastAsia="Arial" w:hAnsi="Arial" w:cs="Arial"/>
          <w:i/>
          <w:iCs/>
          <w:lang w:val="es-ES" w:eastAsia="es-ES" w:bidi="es-ES"/>
        </w:rPr>
        <w:t>En segundo lugar</w:t>
      </w:r>
      <w:r w:rsidRPr="00F06958">
        <w:rPr>
          <w:rFonts w:ascii="Arial" w:eastAsia="Arial" w:hAnsi="Arial"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22"/>
    </w:p>
    <w:bookmarkEnd w:id="21"/>
    <w:bookmarkEnd w:id="23"/>
    <w:p w14:paraId="06ECE6ED" w14:textId="77777777" w:rsidR="00F06958" w:rsidRPr="00F06958" w:rsidRDefault="00F06958" w:rsidP="00F06958">
      <w:pPr>
        <w:spacing w:after="120" w:line="276" w:lineRule="auto"/>
        <w:ind w:firstLine="709"/>
        <w:jc w:val="both"/>
        <w:rPr>
          <w:rFonts w:ascii="Arial" w:eastAsia="Arial" w:hAnsi="Arial" w:cs="Arial"/>
          <w:lang w:val="es-ES" w:eastAsia="es-ES" w:bidi="es-ES"/>
        </w:rPr>
      </w:pPr>
      <w:r w:rsidRPr="00F06958">
        <w:rPr>
          <w:rFonts w:ascii="Arial" w:eastAsia="Arial" w:hAnsi="Arial" w:cs="Arial"/>
          <w:lang w:val="es-ES" w:eastAsia="es-ES" w:bidi="es-ES"/>
        </w:rPr>
        <w:t xml:space="preserve">Ambas restricciones no son excluyentes, lo que permite concluir que en el período preelectoral para elección de </w:t>
      </w:r>
      <w:proofErr w:type="gramStart"/>
      <w:r w:rsidRPr="00F06958">
        <w:rPr>
          <w:rFonts w:ascii="Arial" w:eastAsia="Arial" w:hAnsi="Arial" w:cs="Arial"/>
          <w:lang w:val="es-ES" w:eastAsia="es-ES" w:bidi="es-ES"/>
        </w:rPr>
        <w:t>Presidente</w:t>
      </w:r>
      <w:proofErr w:type="gramEnd"/>
      <w:r w:rsidRPr="00F06958">
        <w:rPr>
          <w:rFonts w:ascii="Arial" w:eastAsia="Arial" w:hAnsi="Arial"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F06958">
        <w:rPr>
          <w:rFonts w:ascii="Arial" w:eastAsia="Arial" w:hAnsi="Arial" w:cs="Arial"/>
          <w:lang w:val="es-ES" w:eastAsia="es-ES" w:bidi="es-ES"/>
        </w:rPr>
        <w:t>Presidente</w:t>
      </w:r>
      <w:proofErr w:type="gramEnd"/>
      <w:r w:rsidRPr="00F06958">
        <w:rPr>
          <w:rFonts w:ascii="Arial" w:eastAsia="Arial" w:hAnsi="Arial" w:cs="Arial"/>
          <w:lang w:val="es-ES" w:eastAsia="es-ES" w:bidi="es-ES"/>
        </w:rPr>
        <w:t xml:space="preserve"> de la República, las autoridades allí mencionadas sólo deben aplicar las restricciones contenidas en el parágrafo del artículo 38.</w:t>
      </w:r>
    </w:p>
    <w:bookmarkEnd w:id="24"/>
    <w:p w14:paraId="4963BC48" w14:textId="6AE4F1A9" w:rsidR="00F06958" w:rsidRPr="00F06958" w:rsidRDefault="00F06958" w:rsidP="0042362A">
      <w:pPr>
        <w:spacing w:after="0" w:line="276" w:lineRule="auto"/>
        <w:ind w:firstLine="708"/>
        <w:jc w:val="both"/>
        <w:rPr>
          <w:rFonts w:ascii="Arial" w:eastAsia="Arial" w:hAnsi="Arial" w:cs="Arial"/>
          <w:lang w:val="es-ES" w:eastAsia="es-ES" w:bidi="es-ES"/>
        </w:rPr>
      </w:pPr>
      <w:r w:rsidRPr="00F06958">
        <w:rPr>
          <w:rFonts w:ascii="Arial" w:eastAsia="Arial" w:hAnsi="Arial"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F06958">
        <w:rPr>
          <w:rFonts w:ascii="Arial" w:eastAsia="Arial" w:hAnsi="Arial" w:cs="Arial"/>
          <w:lang w:val="es-ES" w:eastAsia="es-ES" w:bidi="es-ES"/>
        </w:rPr>
        <w:t>Presidente</w:t>
      </w:r>
      <w:proofErr w:type="gramEnd"/>
      <w:r w:rsidRPr="00F06958">
        <w:rPr>
          <w:rFonts w:ascii="Arial" w:eastAsia="Arial" w:hAnsi="Arial" w:cs="Arial"/>
          <w:lang w:val="es-ES" w:eastAsia="es-ES" w:bidi="es-ES"/>
        </w:rPr>
        <w:t xml:space="preserv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123AFA1D" w14:textId="77777777" w:rsidR="00F06958" w:rsidRPr="00F06958" w:rsidRDefault="00F06958" w:rsidP="00F06958">
      <w:pPr>
        <w:spacing w:after="0" w:line="276" w:lineRule="auto"/>
        <w:jc w:val="both"/>
        <w:rPr>
          <w:rFonts w:ascii="Arial" w:eastAsia="Times New Roman" w:hAnsi="Arial" w:cs="Arial"/>
          <w:bCs/>
          <w:lang w:val="es-ES" w:eastAsia="es-CO"/>
        </w:rPr>
      </w:pPr>
    </w:p>
    <w:p w14:paraId="7A9D4500" w14:textId="77777777" w:rsidR="00C456EA" w:rsidRPr="004A1D82" w:rsidRDefault="00F06958" w:rsidP="00997D5A">
      <w:pPr>
        <w:spacing w:after="0" w:line="276" w:lineRule="auto"/>
        <w:jc w:val="both"/>
        <w:rPr>
          <w:rFonts w:ascii="Arial" w:hAnsi="Arial" w:cs="Arial"/>
          <w:b/>
          <w:color w:val="000000" w:themeColor="text1"/>
          <w:lang w:val="es-ES_tradnl" w:eastAsia="es-CO"/>
        </w:rPr>
      </w:pPr>
      <w:r w:rsidRPr="00F06958">
        <w:rPr>
          <w:rFonts w:ascii="Arial" w:eastAsia="Times New Roman" w:hAnsi="Arial" w:cs="Arial"/>
          <w:b/>
          <w:lang w:val="es-ES" w:eastAsia="es-CO"/>
        </w:rPr>
        <w:t xml:space="preserve">2.2. </w:t>
      </w:r>
      <w:r w:rsidRPr="00F06958">
        <w:rPr>
          <w:rFonts w:ascii="Arial" w:eastAsia="Times New Roman" w:hAnsi="Arial" w:cs="Arial"/>
          <w:b/>
          <w:bCs/>
          <w:lang w:val="es-MX" w:eastAsia="es-CO"/>
        </w:rPr>
        <w:t>Restricciones en elecciones presidenciales</w:t>
      </w:r>
      <w:r w:rsidR="00C456EA">
        <w:rPr>
          <w:rFonts w:ascii="Arial" w:eastAsia="Times New Roman" w:hAnsi="Arial" w:cs="Arial"/>
          <w:b/>
          <w:bCs/>
          <w:lang w:val="es-MX" w:eastAsia="es-CO"/>
        </w:rPr>
        <w:t xml:space="preserve">: </w:t>
      </w:r>
      <w:r w:rsidR="00C456EA" w:rsidRPr="004A1D82">
        <w:rPr>
          <w:rFonts w:ascii="Arial" w:hAnsi="Arial" w:cs="Arial"/>
          <w:b/>
          <w:bCs/>
          <w:color w:val="000000" w:themeColor="text1"/>
          <w:lang w:val="es-ES_tradnl" w:eastAsia="es-CO"/>
        </w:rPr>
        <w:t>prohibición del artículo 33 de la Ley 996 de 2005</w:t>
      </w:r>
    </w:p>
    <w:p w14:paraId="7B99E9D9" w14:textId="76C5C0BA" w:rsidR="00F06958" w:rsidRPr="00F06958" w:rsidRDefault="00F06958" w:rsidP="00F06958">
      <w:pPr>
        <w:spacing w:after="0" w:line="276" w:lineRule="auto"/>
        <w:jc w:val="both"/>
        <w:rPr>
          <w:rFonts w:ascii="Arial" w:eastAsia="Times New Roman" w:hAnsi="Arial" w:cs="Arial"/>
          <w:b/>
          <w:lang w:val="es-ES" w:eastAsia="es-CO"/>
        </w:rPr>
      </w:pPr>
    </w:p>
    <w:p w14:paraId="3D3E6EF4" w14:textId="77777777" w:rsidR="00F06958" w:rsidRPr="00F06958" w:rsidRDefault="00F06958" w:rsidP="00F06958">
      <w:pPr>
        <w:spacing w:after="0" w:line="276" w:lineRule="auto"/>
        <w:jc w:val="both"/>
        <w:rPr>
          <w:rFonts w:ascii="Arial" w:eastAsia="Times New Roman" w:hAnsi="Arial" w:cs="Arial"/>
          <w:bCs/>
          <w:lang w:val="es-MX" w:eastAsia="es-CO"/>
        </w:rPr>
      </w:pPr>
      <w:r w:rsidRPr="00F06958">
        <w:rPr>
          <w:rFonts w:ascii="Arial" w:eastAsia="Times New Roman" w:hAnsi="Arial" w:cs="Arial"/>
          <w:bCs/>
          <w:lang w:val="es-MX" w:eastAsia="x-none"/>
        </w:rPr>
        <w:t xml:space="preserve">El ámbito material de la prohibición contenida </w:t>
      </w:r>
      <w:bookmarkStart w:id="25" w:name="_Hlk75628761"/>
      <w:r w:rsidRPr="00F06958">
        <w:rPr>
          <w:rFonts w:ascii="Arial" w:eastAsia="Times New Roman" w:hAnsi="Arial" w:cs="Arial"/>
          <w:bCs/>
          <w:lang w:val="es-MX" w:eastAsia="x-none"/>
        </w:rPr>
        <w:t xml:space="preserve">en el artículo 33 de la ley 996 de 2005 </w:t>
      </w:r>
      <w:bookmarkEnd w:id="25"/>
      <w:r w:rsidRPr="00F06958">
        <w:rPr>
          <w:rFonts w:ascii="Arial" w:eastAsia="Times New Roman" w:hAnsi="Arial" w:cs="Arial"/>
          <w:bCs/>
          <w:lang w:val="es-MX" w:eastAsia="x-none"/>
        </w:rPr>
        <w:t xml:space="preserve">está delimitado por la expresión </w:t>
      </w:r>
      <w:r w:rsidRPr="00F06958">
        <w:rPr>
          <w:rFonts w:ascii="Arial" w:eastAsia="Calibri" w:hAnsi="Arial" w:cs="Arial"/>
          <w:bCs/>
          <w:sz w:val="20"/>
          <w:szCs w:val="20"/>
          <w:lang w:val="es-MX"/>
        </w:rPr>
        <w:t>«</w:t>
      </w:r>
      <w:r w:rsidRPr="00F06958">
        <w:rPr>
          <w:rFonts w:ascii="Arial" w:eastAsia="Times New Roman" w:hAnsi="Arial" w:cs="Arial"/>
          <w:bCs/>
          <w:lang w:val="es-MX" w:eastAsia="x-none"/>
        </w:rPr>
        <w:t>queda prohibida la contratación directa</w:t>
      </w:r>
      <w:r w:rsidRPr="00F06958">
        <w:rPr>
          <w:rFonts w:ascii="Arial" w:eastAsia="Calibri" w:hAnsi="Arial" w:cs="Arial"/>
          <w:sz w:val="20"/>
          <w:szCs w:val="20"/>
          <w:lang w:val="es-MX"/>
        </w:rPr>
        <w:t>»</w:t>
      </w:r>
      <w:r w:rsidRPr="00F06958">
        <w:rPr>
          <w:rFonts w:ascii="Arial" w:eastAsia="Times New Roman" w:hAnsi="Arial" w:cs="Arial"/>
          <w:bCs/>
          <w:lang w:val="es-MX" w:eastAsia="x-none"/>
        </w:rPr>
        <w:t>.</w:t>
      </w:r>
      <w:r w:rsidRPr="00F06958">
        <w:rPr>
          <w:rFonts w:ascii="Arial" w:eastAsia="Times New Roman" w:hAnsi="Arial" w:cs="Arial"/>
          <w:lang w:val="es-MX" w:eastAsia="es-CO"/>
        </w:rPr>
        <w:t xml:space="preserve"> A propósito de </w:t>
      </w:r>
      <w:r w:rsidRPr="00F06958">
        <w:rPr>
          <w:rFonts w:ascii="Arial" w:eastAsia="Times New Roman" w:hAnsi="Arial" w:cs="Arial"/>
          <w:lang w:eastAsia="es-CO"/>
        </w:rPr>
        <w:t>esta restricción de la Ley de Garantías Electorales, la Sala de Consulta y Servicio Civil del Consejo de Estado ha considerado que:</w:t>
      </w:r>
    </w:p>
    <w:p w14:paraId="1F3369B3" w14:textId="77777777" w:rsidR="00F06958" w:rsidRPr="00F06958" w:rsidRDefault="00F06958" w:rsidP="00F06958">
      <w:pPr>
        <w:spacing w:after="0" w:line="276" w:lineRule="auto"/>
        <w:ind w:left="708" w:right="709"/>
        <w:jc w:val="both"/>
        <w:rPr>
          <w:rFonts w:ascii="Arial" w:eastAsia="Calibri" w:hAnsi="Arial" w:cs="Arial"/>
          <w:sz w:val="21"/>
          <w:szCs w:val="21"/>
          <w:lang w:val="es-MX"/>
        </w:rPr>
      </w:pPr>
    </w:p>
    <w:p w14:paraId="126AB074" w14:textId="77777777" w:rsidR="00F06958" w:rsidRPr="00F06958" w:rsidRDefault="00F06958" w:rsidP="00F06958">
      <w:pPr>
        <w:spacing w:after="120" w:line="240" w:lineRule="auto"/>
        <w:ind w:left="709" w:right="709"/>
        <w:jc w:val="both"/>
        <w:rPr>
          <w:rFonts w:ascii="Arial" w:eastAsia="Calibri" w:hAnsi="Arial" w:cs="Arial"/>
          <w:sz w:val="21"/>
          <w:szCs w:val="21"/>
          <w:lang w:val="es-MX"/>
        </w:rPr>
      </w:pPr>
      <w:r w:rsidRPr="00F06958">
        <w:rPr>
          <w:rFonts w:ascii="Arial" w:eastAsia="Calibri" w:hAnsi="Arial" w:cs="Arial"/>
          <w:sz w:val="21"/>
          <w:szCs w:val="21"/>
          <w:lang w:val="es-MX"/>
        </w:rPr>
        <w:t xml:space="preserve">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w:t>
      </w:r>
      <w:r w:rsidRPr="00F06958">
        <w:rPr>
          <w:rFonts w:ascii="Arial" w:eastAsia="Calibri" w:hAnsi="Arial" w:cs="Arial"/>
          <w:sz w:val="21"/>
          <w:szCs w:val="21"/>
          <w:lang w:val="es-MX"/>
        </w:rPr>
        <w:lastRenderedPageBreak/>
        <w:t>taxativamente señale la ley (numeral 4, artículo 2, ley 1150 de 2007), y cumpliendo siempre los principios que rigen la contratación pública</w:t>
      </w:r>
      <w:r w:rsidRPr="00F06958">
        <w:rPr>
          <w:rFonts w:ascii="Arial" w:eastAsia="Times New Roman" w:hAnsi="Arial" w:cs="Arial"/>
          <w:vertAlign w:val="superscript"/>
          <w:lang w:eastAsia="es-CO"/>
        </w:rPr>
        <w:footnoteReference w:id="12"/>
      </w:r>
      <w:r w:rsidRPr="00F06958">
        <w:rPr>
          <w:rFonts w:ascii="Arial" w:eastAsia="Calibri" w:hAnsi="Arial" w:cs="Arial"/>
          <w:sz w:val="21"/>
          <w:szCs w:val="21"/>
          <w:lang w:val="es-MX"/>
        </w:rPr>
        <w:t>.</w:t>
      </w:r>
    </w:p>
    <w:p w14:paraId="21FFFD00" w14:textId="77777777" w:rsidR="00F06958" w:rsidRPr="00F06958" w:rsidRDefault="00F06958" w:rsidP="00F06958">
      <w:pPr>
        <w:spacing w:after="0" w:line="240" w:lineRule="auto"/>
        <w:ind w:left="708" w:right="709"/>
        <w:jc w:val="both"/>
        <w:rPr>
          <w:rFonts w:ascii="Arial" w:eastAsia="Calibri" w:hAnsi="Arial" w:cs="Arial"/>
          <w:sz w:val="21"/>
          <w:szCs w:val="21"/>
          <w:lang w:val="es-MX"/>
        </w:rPr>
      </w:pPr>
      <w:r w:rsidRPr="00F06958">
        <w:rPr>
          <w:rFonts w:ascii="Arial" w:eastAsia="Calibri" w:hAnsi="Arial" w:cs="Arial"/>
          <w:sz w:val="21"/>
          <w:szCs w:val="21"/>
          <w:lang w:val="es-MX"/>
        </w:rPr>
        <w:t xml:space="preserve">Esta Sala ha entendido que para los efectos de la ley de garantías, y dada su finalidad, el enunciado ´contratación directa´ es sinónimo </w:t>
      </w:r>
      <w:bookmarkStart w:id="28" w:name="_Hlk75741738"/>
      <w:r w:rsidRPr="00F06958">
        <w:rPr>
          <w:rFonts w:ascii="Arial" w:eastAsia="Calibri" w:hAnsi="Arial" w:cs="Arial"/>
          <w:sz w:val="21"/>
          <w:szCs w:val="21"/>
          <w:lang w:val="es-MX"/>
        </w:rPr>
        <w:t xml:space="preserve">de cualquier sistema que no implique convocatoria pública y posibilidad de pluralidad de oferentes, </w:t>
      </w:r>
      <w:bookmarkEnd w:id="28"/>
      <w:r w:rsidRPr="00F06958">
        <w:rPr>
          <w:rFonts w:ascii="Arial" w:eastAsia="Calibri" w:hAnsi="Arial" w:cs="Arial"/>
          <w:sz w:val="21"/>
          <w:szCs w:val="21"/>
          <w:lang w:val="es-MX"/>
        </w:rPr>
        <w:t>y que, además, no necesariamente hace referencia al procedimiento especial regulado por la ley de contratación estatal, sino a cualquier otro que prescinda de un proceso de licitación pública o concurso</w:t>
      </w:r>
      <w:r w:rsidRPr="00F06958">
        <w:rPr>
          <w:rFonts w:ascii="Arial" w:eastAsia="Times New Roman" w:hAnsi="Arial" w:cs="Arial"/>
          <w:sz w:val="21"/>
          <w:szCs w:val="21"/>
          <w:vertAlign w:val="superscript"/>
          <w:lang w:val="es-MX"/>
        </w:rPr>
        <w:footnoteReference w:id="13"/>
      </w:r>
      <w:r w:rsidRPr="00F06958">
        <w:rPr>
          <w:rFonts w:ascii="Arial" w:eastAsia="Times New Roman" w:hAnsi="Arial" w:cs="Arial"/>
          <w:sz w:val="21"/>
          <w:szCs w:val="21"/>
          <w:vertAlign w:val="superscript"/>
          <w:lang w:val="es-MX"/>
        </w:rPr>
        <w:t>.</w:t>
      </w:r>
      <w:r w:rsidRPr="00F06958">
        <w:rPr>
          <w:rFonts w:ascii="Arial" w:eastAsia="Calibri" w:hAnsi="Arial" w:cs="Arial"/>
          <w:sz w:val="21"/>
          <w:szCs w:val="21"/>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F06958">
        <w:rPr>
          <w:rFonts w:ascii="Arial" w:eastAsia="Times New Roman" w:hAnsi="Arial" w:cs="Arial"/>
          <w:vertAlign w:val="superscript"/>
          <w:lang w:eastAsia="es-CO"/>
        </w:rPr>
        <w:footnoteReference w:id="14"/>
      </w:r>
      <w:r w:rsidRPr="00F06958">
        <w:rPr>
          <w:rFonts w:ascii="Arial" w:eastAsia="Calibri" w:hAnsi="Arial" w:cs="Arial"/>
          <w:sz w:val="21"/>
          <w:szCs w:val="21"/>
          <w:lang w:val="es-MX"/>
        </w:rPr>
        <w:t xml:space="preserve"> .</w:t>
      </w:r>
    </w:p>
    <w:p w14:paraId="7499BEF1" w14:textId="77777777" w:rsidR="00F06958" w:rsidRPr="00F06958" w:rsidRDefault="00F06958" w:rsidP="00F06958">
      <w:pPr>
        <w:shd w:val="clear" w:color="auto" w:fill="FFFFFF"/>
        <w:spacing w:after="0" w:line="276" w:lineRule="auto"/>
        <w:ind w:firstLine="709"/>
        <w:jc w:val="both"/>
        <w:rPr>
          <w:rFonts w:ascii="Arial" w:eastAsia="Times New Roman" w:hAnsi="Arial" w:cs="Arial"/>
          <w:lang w:eastAsia="x-none"/>
        </w:rPr>
      </w:pPr>
    </w:p>
    <w:p w14:paraId="493F0A81" w14:textId="4B469DF5" w:rsidR="00F06958" w:rsidRPr="00F06958" w:rsidRDefault="00C456EA" w:rsidP="00F06958">
      <w:pPr>
        <w:spacing w:after="120" w:line="276" w:lineRule="auto"/>
        <w:ind w:firstLine="708"/>
        <w:jc w:val="both"/>
        <w:rPr>
          <w:rFonts w:ascii="Arial" w:eastAsia="Times New Roman" w:hAnsi="Arial" w:cs="Arial"/>
          <w:bCs/>
          <w:lang w:eastAsia="x-none"/>
        </w:rPr>
      </w:pPr>
      <w:bookmarkStart w:id="30" w:name="_Hlk94521748"/>
      <w:r w:rsidRPr="004A1D82">
        <w:rPr>
          <w:rFonts w:ascii="Arial" w:hAnsi="Arial" w:cs="Arial"/>
          <w:color w:val="000000" w:themeColor="text1"/>
          <w:lang w:val="es-ES_tradnl" w:eastAsia="x-none"/>
        </w:rPr>
        <w:t xml:space="preserve">De acuerdo con el citado concepto, </w:t>
      </w:r>
      <w:bookmarkStart w:id="31" w:name="_Hlk98519748"/>
      <w:r w:rsidRPr="004A1D82">
        <w:rPr>
          <w:rFonts w:ascii="Arial" w:hAnsi="Arial" w:cs="Arial"/>
          <w:color w:val="000000" w:themeColor="text1"/>
          <w:lang w:val="es-ES_tradnl" w:eastAsia="x-none"/>
        </w:rPr>
        <w:t xml:space="preserve">la prohibición del artículo 33 de la Ley de Garantías Electorales se refiere a </w:t>
      </w:r>
      <w:r w:rsidRPr="004A1D82">
        <w:rPr>
          <w:rFonts w:ascii="Arial" w:hAnsi="Arial" w:cs="Arial"/>
          <w:color w:val="000000" w:themeColor="text1"/>
          <w:sz w:val="19"/>
          <w:szCs w:val="19"/>
          <w:lang w:val="es-ES_tradnl"/>
        </w:rPr>
        <w:t>«</w:t>
      </w:r>
      <w:r w:rsidRPr="004A1D82">
        <w:rPr>
          <w:rFonts w:ascii="Arial" w:hAnsi="Arial" w:cs="Arial"/>
          <w:color w:val="000000" w:themeColor="text1"/>
          <w:lang w:val="es-ES_tradnl" w:eastAsia="x-none"/>
        </w:rPr>
        <w:t>cualquier sistema que no implique convocatoria pública y posibilidad de pluralidad de oferentes</w:t>
      </w:r>
      <w:r w:rsidRPr="004A1D82">
        <w:rPr>
          <w:rFonts w:ascii="Arial" w:hAnsi="Arial" w:cs="Arial"/>
          <w:color w:val="000000" w:themeColor="text1"/>
          <w:lang w:val="es-ES_tradnl"/>
        </w:rPr>
        <w:t>»</w:t>
      </w:r>
      <w:r w:rsidRPr="004A1D82">
        <w:rPr>
          <w:rFonts w:ascii="Arial" w:hAnsi="Arial" w:cs="Arial"/>
          <w:color w:val="000000" w:themeColor="text1"/>
          <w:lang w:val="es-ES_tradnl" w:eastAsia="x-none"/>
        </w:rPr>
        <w:t>, por lo que excluye las demás modalidades de contratación previstas en la Ley 1150 de 2007, es decir, la licitación pública, la selección abreviada, el concurso de méritos y la mínima cuantía u otros previstos en normas especiales, que contemplen en alguna de sus etapas la posible participación de pluralidad de oferentes.</w:t>
      </w:r>
      <w:bookmarkEnd w:id="31"/>
      <w:r w:rsidRPr="004A1D82">
        <w:rPr>
          <w:rFonts w:ascii="Arial" w:hAnsi="Arial" w:cs="Arial"/>
          <w:color w:val="000000" w:themeColor="text1"/>
          <w:lang w:val="es-ES_tradnl" w:eastAsia="x-none"/>
        </w:rPr>
        <w:t xml:space="preserve"> Esta posición es congruente con la expedición de la Ley 1150 de 2007 que, entre otras reformas, introdujo la selección abreviada, rediseñó el concurso de méritos</w:t>
      </w:r>
      <w:r w:rsidRPr="004A1D82">
        <w:rPr>
          <w:rFonts w:ascii="Arial" w:hAnsi="Arial" w:cs="Arial"/>
          <w:color w:val="000000" w:themeColor="text1"/>
          <w:vertAlign w:val="superscript"/>
          <w:lang w:eastAsia="es-ES_tradnl"/>
        </w:rPr>
        <w:footnoteReference w:id="15"/>
      </w:r>
      <w:r w:rsidRPr="004A1D82">
        <w:rPr>
          <w:rFonts w:ascii="Arial" w:hAnsi="Arial" w:cs="Arial"/>
          <w:color w:val="000000" w:themeColor="text1"/>
          <w:lang w:val="es-ES_tradnl" w:eastAsia="x-none"/>
        </w:rPr>
        <w:t xml:space="preserve"> y sistematizó las causales de contratación directa</w:t>
      </w:r>
      <w:r w:rsidRPr="004A1D82">
        <w:rPr>
          <w:rFonts w:ascii="Arial" w:hAnsi="Arial" w:cs="Arial"/>
          <w:color w:val="000000" w:themeColor="text1"/>
          <w:vertAlign w:val="superscript"/>
          <w:lang w:eastAsia="es-ES_tradnl"/>
        </w:rPr>
        <w:footnoteReference w:id="16"/>
      </w:r>
      <w:r w:rsidRPr="004A1D82">
        <w:rPr>
          <w:rFonts w:ascii="Arial" w:hAnsi="Arial" w:cs="Arial"/>
          <w:color w:val="000000" w:themeColor="text1"/>
          <w:lang w:val="es-ES_tradnl" w:eastAsia="x-none"/>
        </w:rPr>
        <w:t xml:space="preserve">, </w:t>
      </w:r>
      <w:r w:rsidRPr="004A1D82">
        <w:rPr>
          <w:rFonts w:ascii="Arial" w:hAnsi="Arial" w:cs="Arial"/>
          <w:color w:val="000000" w:themeColor="text1"/>
          <w:lang w:eastAsia="x-none"/>
        </w:rPr>
        <w:t>además</w:t>
      </w:r>
      <w:r>
        <w:rPr>
          <w:rFonts w:ascii="Arial" w:hAnsi="Arial" w:cs="Arial"/>
          <w:color w:val="000000" w:themeColor="text1"/>
          <w:lang w:eastAsia="x-none"/>
        </w:rPr>
        <w:t>,</w:t>
      </w:r>
      <w:r w:rsidRPr="004A1D82">
        <w:rPr>
          <w:rFonts w:ascii="Arial" w:hAnsi="Arial" w:cs="Arial"/>
          <w:color w:val="000000" w:themeColor="text1"/>
          <w:lang w:eastAsia="x-none"/>
        </w:rPr>
        <w:t xml:space="preserve"> lo es con la posterior </w:t>
      </w:r>
      <w:r>
        <w:rPr>
          <w:rFonts w:ascii="Arial" w:hAnsi="Arial" w:cs="Arial"/>
          <w:color w:val="000000" w:themeColor="text1"/>
          <w:lang w:eastAsia="x-none"/>
        </w:rPr>
        <w:t xml:space="preserve">regulación </w:t>
      </w:r>
      <w:r w:rsidRPr="004A1D82">
        <w:rPr>
          <w:rFonts w:ascii="Arial" w:hAnsi="Arial" w:cs="Arial"/>
          <w:color w:val="000000" w:themeColor="text1"/>
          <w:lang w:eastAsia="x-none"/>
        </w:rPr>
        <w:t>de la modalidad de mínima cuantía</w:t>
      </w:r>
      <w:r>
        <w:rPr>
          <w:rFonts w:ascii="Arial" w:hAnsi="Arial" w:cs="Arial"/>
          <w:color w:val="000000" w:themeColor="text1"/>
          <w:lang w:eastAsia="x-none"/>
        </w:rPr>
        <w:t>,</w:t>
      </w:r>
      <w:r w:rsidRPr="004A1D82">
        <w:rPr>
          <w:rFonts w:ascii="Arial" w:hAnsi="Arial" w:cs="Arial"/>
          <w:color w:val="000000" w:themeColor="text1"/>
          <w:lang w:eastAsia="x-none"/>
        </w:rPr>
        <w:t xml:space="preserve"> establecida actualmente en el numeral 5 del artículo 2 de la Ley 1150 de 2007, de acuerdo con las modificaciones realizadas por leyes posteriores.</w:t>
      </w:r>
      <w:bookmarkEnd w:id="30"/>
    </w:p>
    <w:p w14:paraId="1282C085" w14:textId="1CD111EE" w:rsidR="00F06958" w:rsidRPr="00F06958" w:rsidRDefault="00F06958" w:rsidP="00F06958">
      <w:pPr>
        <w:spacing w:after="120" w:line="276" w:lineRule="auto"/>
        <w:ind w:firstLine="708"/>
        <w:jc w:val="both"/>
        <w:rPr>
          <w:rFonts w:ascii="Arial" w:eastAsia="Times New Roman" w:hAnsi="Arial" w:cs="Arial"/>
          <w:lang w:val="es-MX" w:eastAsia="x-none"/>
        </w:rPr>
      </w:pPr>
      <w:r w:rsidRPr="00F06958">
        <w:rPr>
          <w:rFonts w:ascii="Arial" w:eastAsia="Times New Roman" w:hAnsi="Arial" w:cs="Arial"/>
          <w:lang w:eastAsia="x-none"/>
        </w:rPr>
        <w:t xml:space="preserve">De esta forma, se ha depurado la noción de </w:t>
      </w:r>
      <w:r w:rsidRPr="00F06958">
        <w:rPr>
          <w:rFonts w:ascii="Arial" w:eastAsia="Times New Roman" w:hAnsi="Arial" w:cs="Arial"/>
          <w:sz w:val="19"/>
          <w:szCs w:val="19"/>
          <w:lang w:eastAsia="en-GB"/>
        </w:rPr>
        <w:t>«</w:t>
      </w:r>
      <w:r w:rsidRPr="00F06958">
        <w:rPr>
          <w:rFonts w:ascii="Arial" w:eastAsia="Times New Roman" w:hAnsi="Arial" w:cs="Arial"/>
          <w:lang w:eastAsia="x-none"/>
        </w:rPr>
        <w:t>contratación directa</w:t>
      </w:r>
      <w:r w:rsidRPr="00F06958">
        <w:rPr>
          <w:rFonts w:ascii="Arial" w:eastAsia="Times New Roman" w:hAnsi="Arial" w:cs="Arial"/>
          <w:lang w:eastAsia="en-GB"/>
        </w:rPr>
        <w:t>»</w:t>
      </w:r>
      <w:r w:rsidRPr="00F06958">
        <w:rPr>
          <w:rFonts w:ascii="Arial" w:eastAsia="Times New Roman" w:hAnsi="Arial" w:cs="Arial"/>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w:t>
      </w:r>
      <w:r w:rsidR="00EB65B6">
        <w:rPr>
          <w:rFonts w:ascii="Arial" w:eastAsia="Times New Roman" w:hAnsi="Arial" w:cs="Arial"/>
          <w:lang w:eastAsia="x-none"/>
        </w:rPr>
        <w:t xml:space="preserve"> </w:t>
      </w:r>
      <w:r w:rsidRPr="00F06958">
        <w:rPr>
          <w:rFonts w:ascii="Arial" w:eastAsia="Times New Roman" w:hAnsi="Arial" w:cs="Arial"/>
          <w:lang w:eastAsia="x-none"/>
        </w:rPr>
        <w:t xml:space="preserve">Contratación de la Administración Pública, sino </w:t>
      </w:r>
      <w:r w:rsidRPr="00F06958">
        <w:rPr>
          <w:rFonts w:ascii="Arial" w:eastAsia="Times New Roman" w:hAnsi="Arial" w:cs="Arial"/>
          <w:lang w:eastAsia="x-none"/>
        </w:rPr>
        <w:lastRenderedPageBreak/>
        <w:t>también en leyes especiales e, incluso, en el derecho privado</w:t>
      </w:r>
      <w:r w:rsidRPr="00F06958">
        <w:rPr>
          <w:rFonts w:ascii="Arial" w:eastAsia="Times New Roman" w:hAnsi="Arial" w:cs="Arial"/>
          <w:vertAlign w:val="superscript"/>
          <w:lang w:val="en-GB" w:eastAsia="x-none"/>
        </w:rPr>
        <w:footnoteReference w:id="17"/>
      </w:r>
      <w:r w:rsidRPr="00F06958">
        <w:rPr>
          <w:rFonts w:ascii="Arial" w:eastAsia="Times New Roman" w:hAnsi="Arial" w:cs="Arial"/>
          <w:lang w:eastAsia="x-none"/>
        </w:rPr>
        <w:t>, han establecido sistemas de contratación que implican convocatoria pública y participación de varios oferentes</w:t>
      </w:r>
      <w:r w:rsidRPr="00F06958">
        <w:rPr>
          <w:rFonts w:ascii="Arial" w:eastAsia="Times New Roman" w:hAnsi="Arial" w:cs="Arial"/>
          <w:lang w:eastAsia="en-GB"/>
        </w:rPr>
        <w:t>»</w:t>
      </w:r>
      <w:r w:rsidRPr="00F06958">
        <w:rPr>
          <w:rFonts w:ascii="Arial" w:eastAsia="Times New Roman" w:hAnsi="Arial" w:cs="Arial"/>
          <w:lang w:eastAsia="x-none"/>
        </w:rPr>
        <w:t xml:space="preserve">. </w:t>
      </w:r>
    </w:p>
    <w:p w14:paraId="3D2076FF" w14:textId="77777777" w:rsidR="00F06958" w:rsidRPr="00F06958" w:rsidRDefault="00F06958" w:rsidP="00F06958">
      <w:pPr>
        <w:spacing w:after="120" w:line="276" w:lineRule="auto"/>
        <w:ind w:firstLine="708"/>
        <w:jc w:val="both"/>
        <w:rPr>
          <w:rFonts w:ascii="Arial" w:eastAsia="Times New Roman" w:hAnsi="Arial" w:cs="Arial"/>
          <w:bCs/>
          <w:lang w:val="es-MX" w:eastAsia="es-CO"/>
        </w:rPr>
      </w:pPr>
      <w:r w:rsidRPr="00F06958">
        <w:rPr>
          <w:rFonts w:ascii="Arial" w:eastAsia="Times New Roman" w:hAnsi="Arial" w:cs="Arial"/>
          <w:bCs/>
          <w:lang w:val="es-MX" w:eastAsia="x-none"/>
        </w:rPr>
        <w:t>E</w:t>
      </w:r>
      <w:r w:rsidRPr="00F06958">
        <w:rPr>
          <w:rFonts w:ascii="Arial" w:eastAsia="Times New Roman" w:hAnsi="Arial" w:cs="Arial"/>
          <w:lang w:eastAsia="x-none"/>
        </w:rPr>
        <w:t xml:space="preserve">n efecto, vale la pena mencionar que, </w:t>
      </w:r>
      <w:bookmarkStart w:id="33" w:name="_Hlk75636073"/>
      <w:r w:rsidRPr="00F06958">
        <w:rPr>
          <w:rFonts w:ascii="Arial" w:eastAsia="Times New Roman" w:hAnsi="Arial" w:cs="Arial"/>
          <w:lang w:eastAsia="x-none"/>
        </w:rPr>
        <w:t>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bookmarkEnd w:id="33"/>
      <w:r w:rsidRPr="00F06958">
        <w:rPr>
          <w:rFonts w:ascii="Arial" w:eastAsia="Times New Roman" w:hAnsi="Arial" w:cs="Arial"/>
          <w:vertAlign w:val="superscript"/>
          <w:lang w:eastAsia="x-none"/>
        </w:rPr>
        <w:footnoteReference w:id="18"/>
      </w:r>
      <w:r w:rsidRPr="00F06958">
        <w:rPr>
          <w:rFonts w:ascii="Arial" w:eastAsia="Times New Roman" w:hAnsi="Arial" w:cs="Arial"/>
          <w:lang w:eastAsia="x-none"/>
        </w:rPr>
        <w:t xml:space="preserve">. </w:t>
      </w:r>
    </w:p>
    <w:p w14:paraId="2181F5D2" w14:textId="723E0E08" w:rsidR="00F06958" w:rsidRPr="00F06958" w:rsidRDefault="00F06958" w:rsidP="00F06958">
      <w:pPr>
        <w:spacing w:after="120" w:line="276" w:lineRule="auto"/>
        <w:ind w:firstLine="708"/>
        <w:jc w:val="both"/>
        <w:rPr>
          <w:rFonts w:ascii="Arial" w:eastAsia="Times New Roman" w:hAnsi="Arial" w:cs="Arial"/>
          <w:bCs/>
          <w:lang w:val="es-MX" w:eastAsia="es-CO"/>
        </w:rPr>
      </w:pPr>
      <w:r w:rsidRPr="00F06958">
        <w:rPr>
          <w:rFonts w:ascii="Arial" w:eastAsia="Times New Roman" w:hAnsi="Arial" w:cs="Arial"/>
          <w:bCs/>
          <w:lang w:val="es-MX" w:eastAsia="es-CO"/>
        </w:rPr>
        <w:t xml:space="preserve">Como se advierte de lo anterior, el Consejo de Estado realiza una interpretación amplia de la contratación directa, para efectos de aplicar las restricciones establecidas en la Ley de Garantías, al señalar que no solo aplica frente a las entidades sometidas al Estatuto </w:t>
      </w:r>
      <w:r w:rsidR="00EA298A">
        <w:rPr>
          <w:rFonts w:ascii="Arial" w:eastAsia="Times New Roman" w:hAnsi="Arial" w:cs="Arial"/>
          <w:bCs/>
          <w:lang w:val="es-MX" w:eastAsia="es-CO"/>
        </w:rPr>
        <w:t>G</w:t>
      </w:r>
      <w:r w:rsidRPr="00F06958">
        <w:rPr>
          <w:rFonts w:ascii="Arial" w:eastAsia="Times New Roman" w:hAnsi="Arial" w:cs="Arial"/>
          <w:bCs/>
          <w:lang w:val="es-MX" w:eastAsia="es-CO"/>
        </w:rPr>
        <w:t>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11C04352" w14:textId="77777777" w:rsidR="00F06958" w:rsidRPr="00F06958" w:rsidRDefault="00F06958" w:rsidP="00F06958">
      <w:pPr>
        <w:spacing w:after="120" w:line="276" w:lineRule="auto"/>
        <w:ind w:firstLine="708"/>
        <w:jc w:val="both"/>
        <w:rPr>
          <w:rFonts w:ascii="Arial" w:eastAsia="Times New Roman" w:hAnsi="Arial" w:cs="Arial"/>
          <w:bCs/>
          <w:lang w:val="es-MX" w:eastAsia="x-none"/>
        </w:rPr>
      </w:pPr>
      <w:bookmarkStart w:id="34" w:name="_Hlk78818796"/>
      <w:r w:rsidRPr="00F06958">
        <w:rPr>
          <w:rFonts w:ascii="Arial" w:eastAsia="Times New Roman" w:hAnsi="Arial" w:cs="Arial"/>
          <w:bCs/>
          <w:lang w:val="es-MX"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F06958">
        <w:rPr>
          <w:rFonts w:ascii="Arial" w:eastAsia="Times New Roman" w:hAnsi="Arial" w:cs="Arial"/>
          <w:vertAlign w:val="superscript"/>
          <w:lang w:eastAsia="x-none"/>
        </w:rPr>
        <w:footnoteReference w:id="19"/>
      </w:r>
      <w:r w:rsidRPr="00F06958">
        <w:rPr>
          <w:rFonts w:ascii="Arial" w:eastAsia="Times New Roman" w:hAnsi="Arial" w:cs="Arial"/>
          <w:bCs/>
          <w:lang w:val="es-MX" w:eastAsia="x-none"/>
        </w:rPr>
        <w:t>.</w:t>
      </w:r>
      <w:r w:rsidRPr="00F06958">
        <w:rPr>
          <w:rFonts w:ascii="Arial" w:eastAsia="Times New Roman" w:hAnsi="Arial" w:cs="Arial"/>
          <w:vertAlign w:val="superscript"/>
          <w:lang w:eastAsia="x-none"/>
        </w:rPr>
        <w:t xml:space="preserve"> </w:t>
      </w:r>
    </w:p>
    <w:p w14:paraId="526C06F1" w14:textId="77777777" w:rsidR="00C456EA" w:rsidRPr="004A1D82" w:rsidRDefault="00C456EA" w:rsidP="00C456EA">
      <w:pPr>
        <w:spacing w:after="120" w:line="276" w:lineRule="auto"/>
        <w:ind w:firstLine="708"/>
        <w:jc w:val="both"/>
        <w:rPr>
          <w:rFonts w:ascii="Arial" w:hAnsi="Arial" w:cs="Arial"/>
          <w:color w:val="000000" w:themeColor="text1"/>
          <w:lang w:val="es-ES_tradnl" w:eastAsia="x-none"/>
        </w:rPr>
      </w:pPr>
      <w:bookmarkStart w:id="35" w:name="_Hlk98519874"/>
      <w:bookmarkEnd w:id="34"/>
      <w:r w:rsidRPr="004A1D82">
        <w:rPr>
          <w:rFonts w:ascii="Arial" w:hAnsi="Arial" w:cs="Arial"/>
          <w:bCs/>
          <w:color w:val="000000" w:themeColor="text1"/>
          <w:lang w:val="es-ES_tradnl" w:eastAsia="x-none"/>
        </w:rPr>
        <w:t>De lo anterior se desprende que la restricción aplica, sin perjuicio de las excepciones establecidas en la misma ley, para celebrar cualquier contrato de forma directa, esto es, sin que exista un proceso abierto y competitivo.</w:t>
      </w:r>
      <w:r w:rsidRPr="004A1D82">
        <w:rPr>
          <w:rFonts w:ascii="Arial" w:hAnsi="Arial" w:cs="Arial"/>
          <w:color w:val="000000" w:themeColor="text1"/>
          <w:lang w:val="es-ES_tradnl" w:eastAsia="x-none"/>
        </w:rPr>
        <w:t xml:space="preserve"> </w:t>
      </w:r>
      <w:bookmarkEnd w:id="35"/>
      <w:r w:rsidRPr="004A1D82">
        <w:rPr>
          <w:rFonts w:ascii="Arial" w:hAnsi="Arial" w:cs="Arial"/>
          <w:color w:val="000000" w:themeColor="text1"/>
          <w:lang w:val="es-ES_tradnl" w:eastAsia="x-none"/>
        </w:rPr>
        <w:t>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procedimientos</w:t>
      </w:r>
      <w:r>
        <w:rPr>
          <w:rFonts w:ascii="Arial" w:hAnsi="Arial" w:cs="Arial"/>
          <w:color w:val="000000" w:themeColor="text1"/>
          <w:lang w:val="es-ES_tradnl" w:eastAsia="x-none"/>
        </w:rPr>
        <w:t xml:space="preserve"> de selección</w:t>
      </w:r>
      <w:r w:rsidRPr="004A1D82">
        <w:rPr>
          <w:rFonts w:ascii="Arial" w:hAnsi="Arial" w:cs="Arial"/>
          <w:color w:val="000000" w:themeColor="text1"/>
          <w:lang w:val="es-ES_tradnl" w:eastAsia="x-none"/>
        </w:rPr>
        <w:t>.</w:t>
      </w:r>
    </w:p>
    <w:p w14:paraId="09CAE7DC" w14:textId="77777777" w:rsidR="00F06958" w:rsidRPr="00F06958" w:rsidRDefault="00F06958" w:rsidP="00F06958">
      <w:pPr>
        <w:spacing w:after="120" w:line="276" w:lineRule="auto"/>
        <w:ind w:firstLine="708"/>
        <w:jc w:val="both"/>
        <w:rPr>
          <w:rFonts w:ascii="Arial" w:eastAsia="Times New Roman" w:hAnsi="Arial" w:cs="Arial"/>
          <w:bCs/>
          <w:lang w:val="es-MX" w:eastAsia="x-none"/>
        </w:rPr>
      </w:pPr>
      <w:bookmarkStart w:id="36" w:name="_Hlk77237094"/>
      <w:r w:rsidRPr="00F06958">
        <w:rPr>
          <w:rFonts w:ascii="Arial" w:eastAsia="Times New Roman" w:hAnsi="Arial" w:cs="Arial"/>
          <w:bCs/>
          <w:lang w:val="es-MX" w:eastAsia="es-CO"/>
        </w:rPr>
        <w:t xml:space="preserve">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w:t>
      </w:r>
      <w:r w:rsidRPr="00F06958">
        <w:rPr>
          <w:rFonts w:ascii="Arial" w:eastAsia="Times New Roman" w:hAnsi="Arial" w:cs="Arial"/>
          <w:bCs/>
          <w:lang w:val="es-MX" w:eastAsia="es-CO"/>
        </w:rPr>
        <w:lastRenderedPageBreak/>
        <w:t>contratación directa y siempre que cumplan los principios de planeación, transparencia y responsabilidad.</w:t>
      </w:r>
      <w:bookmarkEnd w:id="36"/>
    </w:p>
    <w:p w14:paraId="482D8876" w14:textId="5BDF8F4F" w:rsidR="00F06958" w:rsidRPr="00F06958" w:rsidRDefault="00F06958" w:rsidP="00F06958">
      <w:pPr>
        <w:spacing w:after="120" w:line="276" w:lineRule="auto"/>
        <w:ind w:firstLine="708"/>
        <w:jc w:val="both"/>
        <w:rPr>
          <w:rFonts w:ascii="Arial" w:eastAsia="Times New Roman" w:hAnsi="Arial" w:cs="Arial"/>
          <w:bCs/>
          <w:lang w:val="es-MX" w:eastAsia="es-CO"/>
        </w:rPr>
      </w:pPr>
      <w:r w:rsidRPr="00F06958">
        <w:rPr>
          <w:rFonts w:ascii="Arial" w:eastAsia="Times New Roman" w:hAnsi="Arial" w:cs="Arial"/>
          <w:bCs/>
          <w:lang w:val="es-MX" w:eastAsia="x-none"/>
        </w:rPr>
        <w:t>De otro lado,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w:t>
      </w:r>
      <w:r w:rsidR="00C456EA">
        <w:rPr>
          <w:rFonts w:ascii="Arial" w:eastAsia="Times New Roman" w:hAnsi="Arial" w:cs="Arial"/>
          <w:bCs/>
          <w:lang w:val="es-MX" w:eastAsia="x-none"/>
        </w:rPr>
        <w:t>:</w:t>
      </w:r>
      <w:r w:rsidRPr="00F06958">
        <w:rPr>
          <w:rFonts w:ascii="Arial" w:eastAsia="Times New Roman" w:hAnsi="Arial" w:cs="Arial"/>
          <w:bCs/>
          <w:lang w:val="es-MX" w:eastAsia="x-none"/>
        </w:rPr>
        <w:t xml:space="preserve">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F06958">
        <w:rPr>
          <w:rFonts w:ascii="Arial" w:eastAsia="Times New Roman" w:hAnsi="Arial" w:cs="Arial"/>
          <w:bCs/>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15D8F0C9" w14:textId="0651C10B" w:rsidR="00F06958" w:rsidRPr="00F06958" w:rsidRDefault="00F06958" w:rsidP="00F06958">
      <w:pPr>
        <w:spacing w:after="0" w:line="276" w:lineRule="auto"/>
        <w:ind w:firstLine="708"/>
        <w:jc w:val="both"/>
        <w:rPr>
          <w:rFonts w:ascii="Arial" w:eastAsia="Times New Roman" w:hAnsi="Arial" w:cs="Arial"/>
          <w:bCs/>
          <w:lang w:val="es-MX" w:eastAsia="x-none"/>
        </w:rPr>
      </w:pPr>
      <w:r w:rsidRPr="00F06958">
        <w:rPr>
          <w:rFonts w:ascii="Arial" w:eastAsia="Times New Roman" w:hAnsi="Arial" w:cs="Arial"/>
          <w:bCs/>
          <w:lang w:val="es-MX" w:eastAsia="x-none"/>
        </w:rPr>
        <w:t>En esta labor es importante tener en cuenta, como lo anotó la Corte Constitucional, en Sentencia C-1153 de noviembre 11 de 2005</w:t>
      </w:r>
      <w:r w:rsidR="003D2E3F">
        <w:rPr>
          <w:rFonts w:ascii="Arial" w:eastAsia="Times New Roman" w:hAnsi="Arial" w:cs="Arial"/>
          <w:bCs/>
          <w:lang w:val="es-MX" w:eastAsia="x-none"/>
        </w:rPr>
        <w:t>,</w:t>
      </w:r>
      <w:r w:rsidRPr="00F06958">
        <w:rPr>
          <w:rFonts w:ascii="Arial" w:eastAsia="Times New Roman" w:hAnsi="Arial" w:cs="Arial"/>
          <w:bCs/>
          <w:lang w:val="es-MX" w:eastAsia="x-none"/>
        </w:rPr>
        <w:t xml:space="preserve"> </w:t>
      </w:r>
      <w:bookmarkStart w:id="37" w:name="_Hlk74309042"/>
      <w:r w:rsidRPr="00F06958">
        <w:rPr>
          <w:rFonts w:ascii="Arial" w:eastAsia="Times New Roman" w:hAnsi="Arial" w:cs="Arial"/>
          <w:bCs/>
          <w:lang w:val="es-MX" w:eastAsia="x-none"/>
        </w:rPr>
        <w:t>que «</w:t>
      </w:r>
      <w:bookmarkEnd w:id="37"/>
      <w:r w:rsidRPr="00F06958">
        <w:rPr>
          <w:rFonts w:ascii="Arial" w:eastAsia="Times New Roman" w:hAnsi="Arial" w:cs="Arial"/>
          <w:bCs/>
          <w:lang w:val="es-MX" w:eastAsia="x-none"/>
        </w:rPr>
        <w:t xml:space="preserve">si bien la limitación garantiza la igualdad de condiciones, también es necesario que tal limitación que pretende la igualdad </w:t>
      </w:r>
      <w:bookmarkStart w:id="38" w:name="_Hlk75768308"/>
      <w:r w:rsidRPr="00F06958">
        <w:rPr>
          <w:rFonts w:ascii="Arial" w:eastAsia="Times New Roman" w:hAnsi="Arial" w:cs="Arial"/>
          <w:bCs/>
          <w:lang w:val="es-MX" w:eastAsia="x-none"/>
        </w:rPr>
        <w:t>no termine yendo en detrimento de intereses públicos, cuya garantía está en cabeza del ejecutivo, como son los inmersos en las excepciones para la prohibición de contratación</w:t>
      </w:r>
      <w:bookmarkStart w:id="39" w:name="_Hlk74309060"/>
      <w:r w:rsidRPr="00F06958">
        <w:rPr>
          <w:rFonts w:ascii="Arial" w:eastAsia="Times New Roman" w:hAnsi="Arial" w:cs="Arial"/>
          <w:bCs/>
          <w:lang w:val="es-MX" w:eastAsia="x-none"/>
        </w:rPr>
        <w:t>»</w:t>
      </w:r>
      <w:bookmarkEnd w:id="39"/>
      <w:r w:rsidRPr="00F06958">
        <w:rPr>
          <w:rFonts w:ascii="Arial" w:eastAsia="Calibri" w:hAnsi="Arial" w:cs="Arial"/>
          <w:vertAlign w:val="superscript"/>
          <w:lang w:val="es-MX"/>
        </w:rPr>
        <w:footnoteReference w:id="20"/>
      </w:r>
      <w:r w:rsidRPr="00F06958">
        <w:rPr>
          <w:rFonts w:ascii="Arial" w:eastAsia="Times New Roman" w:hAnsi="Arial" w:cs="Arial"/>
          <w:bCs/>
          <w:lang w:val="es-MX" w:eastAsia="x-none"/>
        </w:rPr>
        <w:t>. De ahí que la Corte haya hecho particular énfasis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bookmarkStart w:id="40" w:name="_Hlk75783800"/>
      <w:bookmarkEnd w:id="38"/>
    </w:p>
    <w:p w14:paraId="3E9A014C" w14:textId="77777777" w:rsidR="00F06958" w:rsidRPr="00F06958" w:rsidRDefault="00F06958" w:rsidP="00F06958">
      <w:pPr>
        <w:spacing w:after="0" w:line="276" w:lineRule="auto"/>
        <w:ind w:firstLine="708"/>
        <w:jc w:val="both"/>
        <w:rPr>
          <w:rFonts w:ascii="Arial" w:eastAsia="Times New Roman" w:hAnsi="Arial" w:cs="Arial"/>
          <w:bCs/>
          <w:lang w:val="es-MX" w:eastAsia="x-none"/>
        </w:rPr>
      </w:pPr>
    </w:p>
    <w:p w14:paraId="353095E1" w14:textId="77777777" w:rsidR="00F06958" w:rsidRPr="00F06958" w:rsidRDefault="00F06958" w:rsidP="00F06958">
      <w:pPr>
        <w:spacing w:after="0" w:line="276" w:lineRule="auto"/>
        <w:jc w:val="both"/>
        <w:rPr>
          <w:rFonts w:ascii="Arial" w:eastAsia="Times New Roman" w:hAnsi="Arial" w:cs="Arial"/>
          <w:b/>
          <w:lang w:val="es-MX" w:eastAsia="x-none"/>
        </w:rPr>
      </w:pPr>
      <w:r w:rsidRPr="00F06958">
        <w:rPr>
          <w:rFonts w:ascii="Arial" w:eastAsia="Times New Roman" w:hAnsi="Arial" w:cs="Arial"/>
          <w:b/>
          <w:lang w:val="es-MX" w:eastAsia="x-none"/>
        </w:rPr>
        <w:t>2.3.  Destinatarios de la restricción del artículo 33 de la Ley 996 de 2005</w:t>
      </w:r>
    </w:p>
    <w:p w14:paraId="23F2A757" w14:textId="77777777" w:rsidR="00F06958" w:rsidRPr="00F06958" w:rsidRDefault="00F06958" w:rsidP="00F06958">
      <w:pPr>
        <w:spacing w:after="0" w:line="276" w:lineRule="auto"/>
        <w:jc w:val="both"/>
        <w:rPr>
          <w:rFonts w:ascii="Arial" w:eastAsia="Times New Roman" w:hAnsi="Arial" w:cs="Arial"/>
          <w:bCs/>
          <w:lang w:val="es-MX" w:eastAsia="x-none"/>
        </w:rPr>
      </w:pPr>
    </w:p>
    <w:p w14:paraId="41C4E82F" w14:textId="77777777" w:rsidR="00C456EA" w:rsidRPr="004A1D82" w:rsidRDefault="00C456EA" w:rsidP="00997D5A">
      <w:pPr>
        <w:spacing w:after="120" w:line="276" w:lineRule="auto"/>
        <w:jc w:val="both"/>
        <w:rPr>
          <w:rFonts w:ascii="Arial" w:hAnsi="Arial" w:cs="Arial"/>
          <w:bCs/>
          <w:color w:val="000000" w:themeColor="text1"/>
          <w:lang w:val="es-ES_tradnl" w:eastAsia="es-CO"/>
        </w:rPr>
      </w:pPr>
      <w:bookmarkStart w:id="41" w:name="_Hlk106178149"/>
      <w:bookmarkStart w:id="42" w:name="_Hlk99438356"/>
      <w:r w:rsidRPr="004A1D82">
        <w:rPr>
          <w:rFonts w:ascii="Arial" w:hAnsi="Arial" w:cs="Arial"/>
          <w:bCs/>
          <w:color w:val="000000" w:themeColor="text1"/>
          <w:lang w:val="es-MX" w:eastAsia="x-none"/>
        </w:rPr>
        <w:t xml:space="preserve">En relación con los destinatarios de la restricción analizada, el artículo 33 de la Ley 996 de 2005 los señala expresamente,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La Sala de Consulta y Servicio Civil del Consejo de Estado, en Concepto 1727 del 20 de febrero de 2006, consideró que el </w:t>
      </w:r>
      <w:r w:rsidRPr="004A1D82">
        <w:rPr>
          <w:rFonts w:ascii="Arial" w:hAnsi="Arial" w:cs="Arial"/>
          <w:bCs/>
          <w:color w:val="000000" w:themeColor="text1"/>
          <w:lang w:val="es-MX" w:eastAsia="x-none"/>
        </w:rPr>
        <w:lastRenderedPageBreak/>
        <w:t>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4A1D82">
        <w:rPr>
          <w:rFonts w:ascii="Arial" w:hAnsi="Arial" w:cs="Arial"/>
          <w:bCs/>
          <w:color w:val="000000" w:themeColor="text1"/>
          <w:vertAlign w:val="superscript"/>
          <w:lang w:val="es-MX" w:eastAsia="x-none"/>
        </w:rPr>
        <w:footnoteReference w:id="21"/>
      </w:r>
      <w:r w:rsidRPr="004A1D82">
        <w:rPr>
          <w:rFonts w:ascii="Arial" w:hAnsi="Arial" w:cs="Arial"/>
          <w:bCs/>
          <w:color w:val="000000" w:themeColor="text1"/>
          <w:lang w:val="es-MX" w:eastAsia="x-none"/>
        </w:rPr>
        <w:t xml:space="preserve">. </w:t>
      </w:r>
    </w:p>
    <w:bookmarkEnd w:id="41"/>
    <w:p w14:paraId="0093F9A4" w14:textId="305D8D4B" w:rsidR="00C456EA" w:rsidRPr="004A1D82" w:rsidRDefault="00C456EA" w:rsidP="00997D5A">
      <w:pPr>
        <w:spacing w:line="276" w:lineRule="auto"/>
        <w:ind w:firstLine="708"/>
        <w:jc w:val="both"/>
        <w:rPr>
          <w:rFonts w:ascii="Arial" w:hAnsi="Arial" w:cs="Arial"/>
          <w:color w:val="000000" w:themeColor="text1"/>
          <w:lang w:val="es-ES_tradnl"/>
        </w:rPr>
      </w:pPr>
      <w:r w:rsidRPr="004A1D82">
        <w:rPr>
          <w:rFonts w:ascii="Arial" w:hAnsi="Arial" w:cs="Arial"/>
          <w:bCs/>
          <w:color w:val="000000" w:themeColor="text1"/>
          <w:lang w:val="es-ES_tradnl" w:eastAsia="x-none"/>
        </w:rPr>
        <w:t>De igual forma, en Concepto 1738 de 6 de abril de 2006, también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r w:rsidRPr="004A1D82">
        <w:rPr>
          <w:rFonts w:ascii="Arial" w:hAnsi="Arial" w:cs="Arial"/>
          <w:color w:val="000000" w:themeColor="text1"/>
          <w:vertAlign w:val="superscript"/>
          <w:lang w:eastAsia="es-ES_tradnl"/>
        </w:rPr>
        <w:footnoteReference w:id="22"/>
      </w:r>
      <w:r w:rsidRPr="004A1D82">
        <w:rPr>
          <w:rFonts w:ascii="Arial" w:hAnsi="Arial" w:cs="Arial"/>
          <w:bCs/>
          <w:color w:val="000000" w:themeColor="text1"/>
          <w:lang w:val="es-ES_tradnl" w:eastAsia="x-none"/>
        </w:rPr>
        <w:t>.</w:t>
      </w:r>
      <w:r w:rsidRPr="004A1D82">
        <w:rPr>
          <w:rFonts w:ascii="Arial" w:hAnsi="Arial" w:cs="Arial"/>
          <w:color w:val="000000" w:themeColor="text1"/>
          <w:lang w:val="es-ES_tradnl"/>
        </w:rPr>
        <w:t xml:space="preserve"> Sin embargo, debe precisarse el siguiente aspecto que distinguió la Sala de Consulta y Servicio Civil:</w:t>
      </w:r>
    </w:p>
    <w:p w14:paraId="47DCB456" w14:textId="77777777" w:rsidR="00C456EA" w:rsidRPr="004A1D82" w:rsidRDefault="00C456EA" w:rsidP="00C456EA">
      <w:pPr>
        <w:ind w:left="708" w:right="709"/>
        <w:jc w:val="both"/>
        <w:rPr>
          <w:rFonts w:ascii="Arial" w:hAnsi="Arial" w:cs="Arial"/>
          <w:color w:val="000000" w:themeColor="text1"/>
          <w:sz w:val="21"/>
          <w:szCs w:val="21"/>
          <w:lang w:val="es-ES_tradnl"/>
        </w:rPr>
      </w:pPr>
      <w:r w:rsidRPr="004A1D82">
        <w:rPr>
          <w:rFonts w:ascii="Arial" w:hAnsi="Arial" w:cs="Arial"/>
          <w:color w:val="000000" w:themeColor="text1"/>
          <w:sz w:val="21"/>
          <w:szCs w:val="21"/>
          <w:lang w:val="es-ES_tradnl"/>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sidRPr="004A1D82">
        <w:rPr>
          <w:rFonts w:ascii="Arial" w:hAnsi="Arial" w:cs="Arial"/>
          <w:color w:val="000000" w:themeColor="text1"/>
          <w:vertAlign w:val="superscript"/>
          <w:lang w:eastAsia="es-ES_tradnl"/>
        </w:rPr>
        <w:footnoteReference w:id="23"/>
      </w:r>
      <w:r w:rsidRPr="004A1D82">
        <w:rPr>
          <w:rFonts w:ascii="Arial" w:hAnsi="Arial" w:cs="Arial"/>
          <w:bCs/>
          <w:color w:val="000000" w:themeColor="text1"/>
          <w:lang w:val="es-ES_tradnl" w:eastAsia="x-none"/>
        </w:rPr>
        <w:t>.</w:t>
      </w:r>
    </w:p>
    <w:p w14:paraId="78FF2414" w14:textId="77777777" w:rsidR="00C456EA" w:rsidRPr="004A1D82" w:rsidRDefault="00C456EA" w:rsidP="00C456EA">
      <w:pPr>
        <w:spacing w:line="276" w:lineRule="auto"/>
        <w:jc w:val="both"/>
        <w:rPr>
          <w:rFonts w:ascii="Arial" w:hAnsi="Arial" w:cs="Arial"/>
          <w:color w:val="000000" w:themeColor="text1"/>
          <w:lang w:val="es-ES_tradnl"/>
        </w:rPr>
      </w:pPr>
    </w:p>
    <w:p w14:paraId="6F17FA97" w14:textId="77777777" w:rsidR="00C456EA" w:rsidRPr="004A1D82" w:rsidRDefault="00C456EA" w:rsidP="00C456EA">
      <w:pPr>
        <w:spacing w:after="120" w:line="276" w:lineRule="auto"/>
        <w:ind w:firstLine="709"/>
        <w:jc w:val="both"/>
        <w:rPr>
          <w:rFonts w:ascii="Arial" w:hAnsi="Arial" w:cs="Arial"/>
          <w:bCs/>
          <w:color w:val="000000" w:themeColor="text1"/>
          <w:lang w:val="es-ES_tradnl" w:eastAsia="x-none"/>
        </w:rPr>
      </w:pPr>
      <w:r w:rsidRPr="004A1D82">
        <w:rPr>
          <w:rFonts w:ascii="Arial" w:hAnsi="Arial" w:cs="Arial"/>
          <w:color w:val="000000" w:themeColor="text1"/>
          <w:lang w:val="es-ES_tradnl"/>
        </w:rPr>
        <w:t>Aplicando este razonamiento, se tiene, por ejemplo, que las empresas industriales y comerciales del estado y a las empresas de servicios públicos oficiales y mixtas no pueden adquirir los suministros de bienes y servicios necesarios para la realización de su actividad por contratación directa sino por mecanismos competitivos que impliquen convocatoria pública y la posibilidad de pluralidad de oferentes, pero «es obvio que si una de éstas entidades va a prestar un servicio […] a un particular, lo puede hacer, pues éstos se ofrecen a toda la comunidad en condiciones de igualdad. Si se supusiera que está prohibida su contratación directa, significaría la parálisis de tal actividad de interés público, lo que de ninguna manera es lo querido por la ley 996 de 2005»</w:t>
      </w:r>
      <w:r w:rsidRPr="004A1D82">
        <w:rPr>
          <w:rFonts w:ascii="Arial" w:hAnsi="Arial" w:cs="Arial"/>
          <w:color w:val="000000" w:themeColor="text1"/>
          <w:vertAlign w:val="superscript"/>
          <w:lang w:val="es-ES_tradnl"/>
        </w:rPr>
        <w:t xml:space="preserve"> </w:t>
      </w:r>
      <w:r w:rsidRPr="004A1D82">
        <w:rPr>
          <w:rFonts w:ascii="Arial" w:hAnsi="Arial" w:cs="Arial"/>
          <w:color w:val="000000" w:themeColor="text1"/>
          <w:vertAlign w:val="superscript"/>
          <w:lang w:eastAsia="es-ES_tradnl"/>
        </w:rPr>
        <w:footnoteReference w:id="24"/>
      </w:r>
      <w:r w:rsidRPr="004A1D82">
        <w:rPr>
          <w:rFonts w:ascii="Arial" w:hAnsi="Arial" w:cs="Arial"/>
          <w:color w:val="000000" w:themeColor="text1"/>
          <w:lang w:val="es-ES_tradnl"/>
        </w:rPr>
        <w:t>.</w:t>
      </w:r>
    </w:p>
    <w:p w14:paraId="05F55F48" w14:textId="77777777" w:rsidR="00C456EA" w:rsidRPr="004A1D82" w:rsidRDefault="00C456EA" w:rsidP="00C456EA">
      <w:pPr>
        <w:spacing w:after="120" w:line="276" w:lineRule="auto"/>
        <w:ind w:firstLine="709"/>
        <w:jc w:val="both"/>
        <w:rPr>
          <w:rFonts w:ascii="Arial" w:hAnsi="Arial" w:cs="Arial"/>
          <w:bCs/>
          <w:color w:val="000000" w:themeColor="text1"/>
          <w:lang w:val="es-ES_tradnl" w:eastAsia="x-none"/>
        </w:rPr>
      </w:pPr>
      <w:r w:rsidRPr="004A1D82">
        <w:rPr>
          <w:rFonts w:ascii="Arial" w:hAnsi="Arial" w:cs="Arial"/>
          <w:color w:val="000000" w:themeColor="text1"/>
          <w:lang w:val="es-ES_tradnl"/>
        </w:rPr>
        <w:t xml:space="preserve">Por lo tanto, </w:t>
      </w:r>
      <w:bookmarkStart w:id="43" w:name="_Hlk106355389"/>
      <w:r w:rsidRPr="004A1D82">
        <w:rPr>
          <w:rFonts w:ascii="Arial" w:hAnsi="Arial" w:cs="Arial"/>
          <w:color w:val="000000" w:themeColor="text1"/>
          <w:lang w:val="es-ES_tradnl"/>
        </w:rPr>
        <w:t xml:space="preserve">la restricción prevista en la Ley 996 de 2005, </w:t>
      </w:r>
      <w:r w:rsidRPr="004A1D82">
        <w:rPr>
          <w:rFonts w:ascii="Arial" w:hAnsi="Arial" w:cs="Arial"/>
          <w:bCs/>
          <w:color w:val="000000" w:themeColor="text1"/>
          <w:lang w:val="es-ES_tradnl" w:eastAsia="x-none"/>
        </w:rPr>
        <w:t xml:space="preserve">teniendo en cuenta la finalidad de la ley de garantías electorales, cobija a cualquier ente público que pueda a través de la contratación directa romper el equilibrio entre los candidatos en desarrollo de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normas especiales. </w:t>
      </w:r>
    </w:p>
    <w:bookmarkEnd w:id="40"/>
    <w:bookmarkEnd w:id="42"/>
    <w:bookmarkEnd w:id="43"/>
    <w:p w14:paraId="5EAAEFFC" w14:textId="77777777" w:rsidR="00F06958" w:rsidRPr="00F06958" w:rsidRDefault="00F06958" w:rsidP="00F06958">
      <w:pPr>
        <w:spacing w:after="0" w:line="276" w:lineRule="auto"/>
        <w:jc w:val="both"/>
        <w:rPr>
          <w:rFonts w:ascii="Arial" w:eastAsia="Calibri" w:hAnsi="Arial" w:cs="Arial"/>
          <w:b/>
        </w:rPr>
      </w:pPr>
    </w:p>
    <w:p w14:paraId="5EC5703C" w14:textId="77777777" w:rsidR="00F06958" w:rsidRPr="00F06958" w:rsidRDefault="00F06958" w:rsidP="00F06958">
      <w:pPr>
        <w:spacing w:after="0" w:line="276" w:lineRule="auto"/>
        <w:jc w:val="both"/>
        <w:rPr>
          <w:rFonts w:ascii="Arial" w:eastAsia="Times New Roman" w:hAnsi="Arial" w:cs="Arial"/>
          <w:color w:val="1A1A1A"/>
          <w:szCs w:val="24"/>
          <w:lang w:eastAsia="es-ES_tradnl"/>
        </w:rPr>
      </w:pPr>
      <w:r w:rsidRPr="00F06958">
        <w:rPr>
          <w:rFonts w:ascii="Arial" w:eastAsia="Calibri" w:hAnsi="Arial" w:cs="Arial"/>
          <w:b/>
        </w:rPr>
        <w:t>3. Respuesta</w:t>
      </w:r>
    </w:p>
    <w:p w14:paraId="576F97E5" w14:textId="77777777" w:rsidR="00F06958" w:rsidRPr="00F06958" w:rsidRDefault="00F06958" w:rsidP="00F06958">
      <w:pPr>
        <w:spacing w:after="0" w:line="276" w:lineRule="auto"/>
        <w:jc w:val="both"/>
        <w:rPr>
          <w:rFonts w:ascii="Arial" w:eastAsia="Calibri" w:hAnsi="Arial" w:cs="Arial"/>
          <w:bCs/>
        </w:rPr>
      </w:pPr>
    </w:p>
    <w:p w14:paraId="4BA1687A" w14:textId="5E1B6A36" w:rsidR="00302DC5" w:rsidRDefault="00302DC5" w:rsidP="00302DC5">
      <w:pPr>
        <w:spacing w:after="0" w:line="240" w:lineRule="auto"/>
        <w:ind w:left="709" w:right="709"/>
        <w:jc w:val="both"/>
        <w:rPr>
          <w:rFonts w:ascii="Arial" w:eastAsia="Times New Roman" w:hAnsi="Arial" w:cs="Arial"/>
          <w:sz w:val="21"/>
          <w:szCs w:val="21"/>
          <w:lang w:eastAsia="es-CO"/>
        </w:rPr>
      </w:pPr>
      <w:bookmarkStart w:id="44" w:name="_Hlk57650395"/>
      <w:r>
        <w:rPr>
          <w:rFonts w:ascii="Arial" w:eastAsia="Times New Roman" w:hAnsi="Arial" w:cs="Arial"/>
          <w:sz w:val="21"/>
          <w:szCs w:val="21"/>
          <w:lang w:eastAsia="es-CO"/>
        </w:rPr>
        <w:t xml:space="preserve">«1. </w:t>
      </w:r>
      <w:r w:rsidRPr="00DB6E8F">
        <w:rPr>
          <w:rFonts w:ascii="Arial" w:eastAsia="Times New Roman" w:hAnsi="Arial" w:cs="Arial"/>
          <w:sz w:val="21"/>
          <w:szCs w:val="21"/>
          <w:lang w:eastAsia="es-CO"/>
        </w:rPr>
        <w:t>¿La restricción sobre la contratación directa hacen referencia únicamente a los</w:t>
      </w:r>
      <w:r>
        <w:rPr>
          <w:rFonts w:ascii="Arial" w:eastAsia="Times New Roman" w:hAnsi="Arial" w:cs="Arial"/>
          <w:sz w:val="21"/>
          <w:szCs w:val="21"/>
          <w:lang w:eastAsia="es-CO"/>
        </w:rPr>
        <w:t xml:space="preserve"> </w:t>
      </w:r>
      <w:r w:rsidRPr="00DB6E8F">
        <w:rPr>
          <w:rFonts w:ascii="Arial" w:eastAsia="Times New Roman" w:hAnsi="Arial" w:cs="Arial"/>
          <w:sz w:val="21"/>
          <w:szCs w:val="21"/>
          <w:lang w:eastAsia="es-CO"/>
        </w:rPr>
        <w:t>procesos de selección directa iniciados bajo el régimen de contratación pública</w:t>
      </w:r>
      <w:r>
        <w:rPr>
          <w:rFonts w:ascii="Arial" w:eastAsia="Times New Roman" w:hAnsi="Arial" w:cs="Arial"/>
          <w:sz w:val="21"/>
          <w:szCs w:val="21"/>
          <w:lang w:eastAsia="es-CO"/>
        </w:rPr>
        <w:t xml:space="preserve"> </w:t>
      </w:r>
      <w:r w:rsidRPr="00DB6E8F">
        <w:rPr>
          <w:rFonts w:ascii="Arial" w:eastAsia="Times New Roman" w:hAnsi="Arial" w:cs="Arial"/>
          <w:sz w:val="21"/>
          <w:szCs w:val="21"/>
          <w:lang w:eastAsia="es-CO"/>
        </w:rPr>
        <w:t>de Ley 80 de 1993 o también incluye los procesos propios de las actuaciones</w:t>
      </w:r>
      <w:r>
        <w:rPr>
          <w:rFonts w:ascii="Arial" w:eastAsia="Times New Roman" w:hAnsi="Arial" w:cs="Arial"/>
          <w:sz w:val="21"/>
          <w:szCs w:val="21"/>
          <w:lang w:eastAsia="es-CO"/>
        </w:rPr>
        <w:t xml:space="preserve"> </w:t>
      </w:r>
      <w:r w:rsidRPr="00DB6E8F">
        <w:rPr>
          <w:rFonts w:ascii="Arial" w:eastAsia="Times New Roman" w:hAnsi="Arial" w:cs="Arial"/>
          <w:sz w:val="21"/>
          <w:szCs w:val="21"/>
          <w:lang w:eastAsia="es-CO"/>
        </w:rPr>
        <w:t>administrativas misionales que culminan con la suscripción de un contrato de</w:t>
      </w:r>
      <w:r>
        <w:rPr>
          <w:rFonts w:ascii="Arial" w:eastAsia="Times New Roman" w:hAnsi="Arial" w:cs="Arial"/>
          <w:sz w:val="21"/>
          <w:szCs w:val="21"/>
          <w:lang w:eastAsia="es-CO"/>
        </w:rPr>
        <w:t xml:space="preserve"> </w:t>
      </w:r>
      <w:r w:rsidRPr="007E50E8">
        <w:rPr>
          <w:rFonts w:ascii="Arial" w:eastAsia="Times New Roman" w:hAnsi="Arial" w:cs="Arial"/>
          <w:sz w:val="21"/>
          <w:szCs w:val="21"/>
          <w:lang w:eastAsia="es-CO"/>
        </w:rPr>
        <w:t>arrendamiento o comodato, como lo es</w:t>
      </w:r>
      <w:r>
        <w:rPr>
          <w:rFonts w:ascii="Arial" w:eastAsia="Times New Roman" w:hAnsi="Arial" w:cs="Arial"/>
          <w:sz w:val="21"/>
          <w:szCs w:val="21"/>
          <w:lang w:eastAsia="es-CO"/>
        </w:rPr>
        <w:t xml:space="preserve"> </w:t>
      </w:r>
      <w:r w:rsidRPr="007E50E8">
        <w:rPr>
          <w:rFonts w:ascii="Arial" w:eastAsia="Times New Roman" w:hAnsi="Arial" w:cs="Arial"/>
          <w:sz w:val="21"/>
          <w:szCs w:val="21"/>
          <w:lang w:eastAsia="es-CO"/>
        </w:rPr>
        <w:t>la administración de predios de la</w:t>
      </w:r>
      <w:r>
        <w:rPr>
          <w:rFonts w:ascii="Arial" w:eastAsia="Times New Roman" w:hAnsi="Arial" w:cs="Arial"/>
          <w:sz w:val="21"/>
          <w:szCs w:val="21"/>
          <w:lang w:eastAsia="es-CO"/>
        </w:rPr>
        <w:t xml:space="preserve"> </w:t>
      </w:r>
      <w:r w:rsidRPr="007E50E8">
        <w:rPr>
          <w:rFonts w:ascii="Arial" w:eastAsia="Times New Roman" w:hAnsi="Arial" w:cs="Arial"/>
          <w:sz w:val="21"/>
          <w:szCs w:val="21"/>
          <w:lang w:eastAsia="es-CO"/>
        </w:rPr>
        <w:t>Nación?</w:t>
      </w:r>
    </w:p>
    <w:p w14:paraId="0A31DABA" w14:textId="77777777" w:rsidR="00302DC5" w:rsidRDefault="00302DC5" w:rsidP="00302DC5">
      <w:pPr>
        <w:spacing w:after="0" w:line="240" w:lineRule="auto"/>
        <w:ind w:left="709" w:right="709"/>
        <w:jc w:val="both"/>
        <w:rPr>
          <w:rFonts w:ascii="Arial" w:eastAsia="Times New Roman" w:hAnsi="Arial" w:cs="Arial"/>
          <w:sz w:val="21"/>
          <w:szCs w:val="21"/>
          <w:lang w:eastAsia="es-CO"/>
        </w:rPr>
      </w:pPr>
    </w:p>
    <w:p w14:paraId="35A0D335" w14:textId="77777777" w:rsidR="00302DC5" w:rsidRDefault="00302DC5" w:rsidP="00302DC5">
      <w:pPr>
        <w:spacing w:after="0" w:line="240" w:lineRule="auto"/>
        <w:ind w:left="709" w:right="709"/>
        <w:jc w:val="both"/>
        <w:rPr>
          <w:rFonts w:ascii="Arial" w:eastAsia="Times New Roman" w:hAnsi="Arial" w:cs="Arial"/>
          <w:sz w:val="21"/>
          <w:szCs w:val="21"/>
          <w:lang w:eastAsia="es-CO"/>
        </w:rPr>
      </w:pPr>
      <w:r>
        <w:rPr>
          <w:rFonts w:ascii="Arial" w:eastAsia="Times New Roman" w:hAnsi="Arial" w:cs="Arial"/>
          <w:sz w:val="21"/>
          <w:szCs w:val="21"/>
          <w:lang w:eastAsia="es-CO"/>
        </w:rPr>
        <w:t xml:space="preserve">2. </w:t>
      </w:r>
      <w:r w:rsidRPr="008379B2">
        <w:rPr>
          <w:rFonts w:ascii="Arial" w:eastAsia="Times New Roman" w:hAnsi="Arial" w:cs="Arial"/>
          <w:sz w:val="21"/>
          <w:szCs w:val="21"/>
          <w:lang w:eastAsia="es-CO"/>
        </w:rPr>
        <w:t>Teniendo en cuenta que la Subdirección de Administración de Tierras de la</w:t>
      </w:r>
      <w:r>
        <w:rPr>
          <w:rFonts w:ascii="Arial" w:eastAsia="Times New Roman" w:hAnsi="Arial" w:cs="Arial"/>
          <w:sz w:val="21"/>
          <w:szCs w:val="21"/>
          <w:lang w:eastAsia="es-CO"/>
        </w:rPr>
        <w:t xml:space="preserve"> </w:t>
      </w:r>
      <w:r w:rsidRPr="008379B2">
        <w:rPr>
          <w:rFonts w:ascii="Arial" w:eastAsia="Times New Roman" w:hAnsi="Arial" w:cs="Arial"/>
          <w:sz w:val="21"/>
          <w:szCs w:val="21"/>
          <w:lang w:eastAsia="es-CO"/>
        </w:rPr>
        <w:t>Nación es la competente para la administración de los bienes baldíos del</w:t>
      </w:r>
      <w:r>
        <w:rPr>
          <w:rFonts w:ascii="Arial" w:eastAsia="Times New Roman" w:hAnsi="Arial" w:cs="Arial"/>
          <w:sz w:val="21"/>
          <w:szCs w:val="21"/>
          <w:lang w:eastAsia="es-CO"/>
        </w:rPr>
        <w:t xml:space="preserve"> </w:t>
      </w:r>
      <w:r w:rsidRPr="008379B2">
        <w:rPr>
          <w:rFonts w:ascii="Arial" w:eastAsia="Times New Roman" w:hAnsi="Arial" w:cs="Arial"/>
          <w:sz w:val="21"/>
          <w:szCs w:val="21"/>
          <w:lang w:eastAsia="es-CO"/>
        </w:rPr>
        <w:t>Estado, ¿existe algún tipo de prohibición o restricción para la</w:t>
      </w:r>
      <w:r>
        <w:rPr>
          <w:rFonts w:ascii="Arial" w:eastAsia="Times New Roman" w:hAnsi="Arial" w:cs="Arial"/>
          <w:sz w:val="21"/>
          <w:szCs w:val="21"/>
          <w:lang w:eastAsia="es-CO"/>
        </w:rPr>
        <w:t xml:space="preserve"> </w:t>
      </w:r>
      <w:r w:rsidRPr="008379B2">
        <w:rPr>
          <w:rFonts w:ascii="Arial" w:eastAsia="Times New Roman" w:hAnsi="Arial" w:cs="Arial"/>
          <w:sz w:val="21"/>
          <w:szCs w:val="21"/>
          <w:lang w:eastAsia="es-CO"/>
        </w:rPr>
        <w:t>celebración de</w:t>
      </w:r>
      <w:r>
        <w:rPr>
          <w:rFonts w:ascii="Arial" w:eastAsia="Times New Roman" w:hAnsi="Arial" w:cs="Arial"/>
          <w:sz w:val="21"/>
          <w:szCs w:val="21"/>
          <w:lang w:eastAsia="es-CO"/>
        </w:rPr>
        <w:t xml:space="preserve"> </w:t>
      </w:r>
      <w:r w:rsidRPr="008379B2">
        <w:rPr>
          <w:rFonts w:ascii="Arial" w:eastAsia="Times New Roman" w:hAnsi="Arial" w:cs="Arial"/>
          <w:sz w:val="21"/>
          <w:szCs w:val="21"/>
          <w:lang w:eastAsia="es-CO"/>
        </w:rPr>
        <w:t>contratos de arrendamiento o comodato en el marco del proceso misional</w:t>
      </w:r>
      <w:r>
        <w:rPr>
          <w:rFonts w:ascii="Arial" w:eastAsia="Times New Roman" w:hAnsi="Arial" w:cs="Arial"/>
          <w:sz w:val="21"/>
          <w:szCs w:val="21"/>
          <w:lang w:eastAsia="es-CO"/>
        </w:rPr>
        <w:t xml:space="preserve"> </w:t>
      </w:r>
      <w:r w:rsidRPr="008379B2">
        <w:rPr>
          <w:rFonts w:ascii="Arial" w:eastAsia="Times New Roman" w:hAnsi="Arial" w:cs="Arial"/>
          <w:sz w:val="21"/>
          <w:szCs w:val="21"/>
          <w:lang w:eastAsia="es-CO"/>
        </w:rPr>
        <w:t>definido en el Acuerdo 106 de 2019 expedido por el Consejo Directivo de la</w:t>
      </w:r>
      <w:r>
        <w:rPr>
          <w:rFonts w:ascii="Arial" w:eastAsia="Times New Roman" w:hAnsi="Arial" w:cs="Arial"/>
          <w:sz w:val="21"/>
          <w:szCs w:val="21"/>
          <w:lang w:eastAsia="es-CO"/>
        </w:rPr>
        <w:t xml:space="preserve"> </w:t>
      </w:r>
      <w:r w:rsidRPr="008379B2">
        <w:rPr>
          <w:rFonts w:ascii="Arial" w:eastAsia="Times New Roman" w:hAnsi="Arial" w:cs="Arial"/>
          <w:sz w:val="21"/>
          <w:szCs w:val="21"/>
          <w:lang w:eastAsia="es-CO"/>
        </w:rPr>
        <w:t>ANT?</w:t>
      </w:r>
    </w:p>
    <w:p w14:paraId="75D37696" w14:textId="77777777" w:rsidR="00302DC5" w:rsidRDefault="00302DC5" w:rsidP="00302DC5">
      <w:pPr>
        <w:spacing w:after="0" w:line="240" w:lineRule="auto"/>
        <w:ind w:left="709" w:right="709"/>
        <w:jc w:val="both"/>
        <w:rPr>
          <w:rFonts w:ascii="Arial" w:eastAsia="Times New Roman" w:hAnsi="Arial" w:cs="Arial"/>
          <w:sz w:val="21"/>
          <w:szCs w:val="21"/>
          <w:lang w:eastAsia="es-CO"/>
        </w:rPr>
      </w:pPr>
    </w:p>
    <w:p w14:paraId="4C794CA1" w14:textId="77777777" w:rsidR="00302DC5" w:rsidRPr="005E7207" w:rsidRDefault="00302DC5" w:rsidP="00302DC5">
      <w:pPr>
        <w:spacing w:after="0" w:line="240" w:lineRule="auto"/>
        <w:ind w:left="709" w:right="709"/>
        <w:jc w:val="both"/>
        <w:rPr>
          <w:rFonts w:ascii="Arial" w:eastAsia="Times New Roman" w:hAnsi="Arial" w:cs="Arial"/>
          <w:sz w:val="21"/>
          <w:szCs w:val="21"/>
          <w:lang w:eastAsia="es-CO"/>
        </w:rPr>
      </w:pPr>
      <w:r>
        <w:rPr>
          <w:rFonts w:ascii="Arial" w:eastAsia="Times New Roman" w:hAnsi="Arial" w:cs="Arial"/>
          <w:sz w:val="21"/>
          <w:szCs w:val="21"/>
          <w:lang w:eastAsia="es-CO"/>
        </w:rPr>
        <w:t xml:space="preserve">a. </w:t>
      </w:r>
      <w:r w:rsidRPr="005E7207">
        <w:rPr>
          <w:rFonts w:ascii="Arial" w:eastAsia="Times New Roman" w:hAnsi="Arial" w:cs="Arial"/>
          <w:sz w:val="21"/>
          <w:szCs w:val="21"/>
          <w:lang w:eastAsia="es-CO"/>
        </w:rPr>
        <w:t>En caso de ser la respuesta afirmativa, agradecemos que se ponga de</w:t>
      </w:r>
    </w:p>
    <w:p w14:paraId="647DAB4E" w14:textId="77777777" w:rsidR="00302DC5" w:rsidRPr="00F06958" w:rsidRDefault="00302DC5" w:rsidP="00302DC5">
      <w:pPr>
        <w:spacing w:after="0" w:line="240" w:lineRule="auto"/>
        <w:ind w:left="709" w:right="709"/>
        <w:jc w:val="both"/>
        <w:rPr>
          <w:rFonts w:ascii="Arial" w:eastAsia="Times New Roman" w:hAnsi="Arial" w:cs="Arial"/>
          <w:sz w:val="21"/>
          <w:szCs w:val="21"/>
          <w:lang w:eastAsia="es-CO"/>
        </w:rPr>
      </w:pPr>
      <w:r w:rsidRPr="005E7207">
        <w:rPr>
          <w:rFonts w:ascii="Arial" w:eastAsia="Times New Roman" w:hAnsi="Arial" w:cs="Arial"/>
          <w:sz w:val="21"/>
          <w:szCs w:val="21"/>
          <w:lang w:eastAsia="es-CO"/>
        </w:rPr>
        <w:t>presente el fundamento jurídico o normativo para dicha prohibición</w:t>
      </w:r>
      <w:r>
        <w:rPr>
          <w:rFonts w:ascii="Arial" w:eastAsia="Times New Roman" w:hAnsi="Arial" w:cs="Arial"/>
          <w:sz w:val="21"/>
          <w:szCs w:val="21"/>
          <w:lang w:eastAsia="es-CO"/>
        </w:rPr>
        <w:t>»</w:t>
      </w:r>
      <w:r w:rsidRPr="005E7207">
        <w:rPr>
          <w:rFonts w:ascii="Arial" w:eastAsia="Times New Roman" w:hAnsi="Arial" w:cs="Arial"/>
          <w:sz w:val="21"/>
          <w:szCs w:val="21"/>
          <w:lang w:eastAsia="es-CO"/>
        </w:rPr>
        <w:t>.</w:t>
      </w:r>
    </w:p>
    <w:p w14:paraId="0E30EE97" w14:textId="77777777" w:rsidR="00F06958" w:rsidRPr="00F06958" w:rsidRDefault="00F06958" w:rsidP="00F06958">
      <w:pPr>
        <w:spacing w:after="0" w:line="276" w:lineRule="auto"/>
        <w:ind w:right="709"/>
        <w:jc w:val="both"/>
        <w:rPr>
          <w:rFonts w:ascii="Arial" w:eastAsia="Times New Roman" w:hAnsi="Arial" w:cs="Arial"/>
          <w:lang w:eastAsia="es-ES_tradnl"/>
        </w:rPr>
      </w:pPr>
    </w:p>
    <w:p w14:paraId="063DC564" w14:textId="77777777" w:rsidR="00F06958" w:rsidRPr="00F06958" w:rsidRDefault="00F06958" w:rsidP="00F06958">
      <w:pPr>
        <w:spacing w:after="120" w:line="276" w:lineRule="auto"/>
        <w:jc w:val="both"/>
        <w:rPr>
          <w:rFonts w:ascii="Arial" w:eastAsia="Calibri" w:hAnsi="Arial" w:cs="Arial"/>
          <w:bCs/>
          <w:color w:val="000000"/>
          <w:lang w:val="es-ES_tradnl"/>
        </w:rPr>
      </w:pPr>
      <w:r w:rsidRPr="00F06958">
        <w:rPr>
          <w:rFonts w:ascii="Arial" w:eastAsia="Times New Roman" w:hAnsi="Arial" w:cs="Arial"/>
          <w:bCs/>
          <w:lang w:val="es-MX" w:eastAsia="es-CO"/>
        </w:rPr>
        <w:t xml:space="preserve">De acuerdo con la explicación precedente, </w:t>
      </w:r>
      <w:r w:rsidRPr="00F06958">
        <w:rPr>
          <w:rFonts w:ascii="Arial" w:eastAsia="Calibri" w:hAnsi="Arial" w:cs="Arial"/>
          <w:bCs/>
          <w:color w:val="000000"/>
          <w:lang w:val="es-ES_tradnl"/>
        </w:rPr>
        <w:t xml:space="preserve">de la Ley 996 de 2005 se derivan dos prohibiciones diferentes aplicables a periodos preelectorales distintos. Una es la prohibición </w:t>
      </w:r>
      <w:r w:rsidRPr="00F06958">
        <w:rPr>
          <w:rFonts w:ascii="Arial" w:eastAsia="Calibri" w:hAnsi="Arial" w:cs="Arial"/>
          <w:bCs/>
          <w:color w:val="000000"/>
          <w:lang w:val="es-ES_tradnl"/>
        </w:rPr>
        <w:lastRenderedPageBreak/>
        <w:t xml:space="preserve">que se deriva de lo establecido en el artículo 33, respecto a las elecciones presidenciales, y otra la originada en el parágrafo del artículo 38 que aplica frente a elecciones para cualquier cargo de elección popular, lo que también incluye las presidenciales. Particularmente, la restricción del artículo 33 prohíbe la contratación directa por parte de todos los entes del Estado, durante los cuatro (4) meses anteriores a la elección presidencial y hasta la realización de la elección en la segunda vuelta, en caso de que se presente. </w:t>
      </w:r>
    </w:p>
    <w:p w14:paraId="0ACA3917" w14:textId="17DE1FAF" w:rsidR="00F06958" w:rsidRDefault="00F06958" w:rsidP="00F06958">
      <w:pPr>
        <w:spacing w:after="120" w:line="276" w:lineRule="auto"/>
        <w:ind w:firstLine="708"/>
        <w:jc w:val="both"/>
        <w:rPr>
          <w:rFonts w:ascii="Arial" w:eastAsia="Times New Roman" w:hAnsi="Arial" w:cs="Arial"/>
          <w:bCs/>
          <w:lang w:val="es-MX" w:eastAsia="es-CO"/>
        </w:rPr>
      </w:pPr>
      <w:r w:rsidRPr="00F06958">
        <w:rPr>
          <w:rFonts w:ascii="Arial" w:eastAsia="Calibri" w:hAnsi="Arial" w:cs="Arial"/>
          <w:bCs/>
          <w:color w:val="000000"/>
          <w:lang w:val="es-ES_tradnl"/>
        </w:rPr>
        <w:t xml:space="preserve">Sin perjuicio de lo anterior, el inciso segundo de dicha disposición establece algunas excepciones a esta prohibición, en los siguientes términos: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 </w:t>
      </w:r>
      <w:r w:rsidRPr="00F06958">
        <w:rPr>
          <w:rFonts w:ascii="Arial" w:eastAsia="Times New Roman" w:hAnsi="Arial" w:cs="Arial"/>
          <w:bCs/>
          <w:lang w:val="es-MX" w:eastAsia="es-CO"/>
        </w:rPr>
        <w:t>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1C798B33" w14:textId="661C2879" w:rsidR="00DC3185" w:rsidRPr="001F7A77" w:rsidRDefault="00F06958" w:rsidP="001F7A77">
      <w:pPr>
        <w:spacing w:after="120" w:line="276" w:lineRule="auto"/>
        <w:ind w:firstLine="709"/>
        <w:jc w:val="both"/>
        <w:rPr>
          <w:rFonts w:ascii="Arial" w:eastAsia="Calibri" w:hAnsi="Arial" w:cs="Arial"/>
          <w:bCs/>
          <w:color w:val="000000"/>
          <w:lang w:val="es-ES_tradnl"/>
        </w:rPr>
      </w:pPr>
      <w:r w:rsidRPr="00F06958">
        <w:rPr>
          <w:rFonts w:ascii="Arial" w:eastAsia="Calibri" w:hAnsi="Arial" w:cs="Arial"/>
          <w:bCs/>
          <w:color w:val="000000"/>
        </w:rPr>
        <w:t>Por lo demás, la prohibición del artículo 33 de la Ley de Garantías Electorales</w:t>
      </w:r>
      <w:r w:rsidR="00F800F7">
        <w:rPr>
          <w:rFonts w:ascii="Arial" w:eastAsia="Calibri" w:hAnsi="Arial" w:cs="Arial"/>
          <w:bCs/>
          <w:color w:val="000000"/>
        </w:rPr>
        <w:t>,</w:t>
      </w:r>
      <w:r w:rsidRPr="00F06958">
        <w:rPr>
          <w:rFonts w:ascii="Arial" w:eastAsia="Calibri" w:hAnsi="Arial" w:cs="Arial"/>
          <w:bCs/>
          <w:color w:val="000000"/>
        </w:rPr>
        <w:t xml:space="preserve"> se refiere a «cualquier sistema que no implique convocatoria pública y posibilidad de pluralidad de oferentes»</w:t>
      </w:r>
      <w:r w:rsidR="00547D00">
        <w:rPr>
          <w:rStyle w:val="Refdenotaalpie"/>
          <w:rFonts w:ascii="Arial" w:eastAsia="Calibri" w:hAnsi="Arial" w:cs="Arial"/>
          <w:bCs/>
          <w:color w:val="000000"/>
        </w:rPr>
        <w:footnoteReference w:id="25"/>
      </w:r>
      <w:r w:rsidRPr="00F06958">
        <w:rPr>
          <w:rFonts w:ascii="Arial" w:eastAsia="Calibri" w:hAnsi="Arial" w:cs="Arial"/>
          <w:bCs/>
          <w:color w:val="000000"/>
        </w:rPr>
        <w:t>, por lo que excluye las demás modalidades de contratación previstas en la Ley 1150 de 2007, es decir, la licitación pública, la selección abreviada</w:t>
      </w:r>
      <w:r w:rsidR="00547D00">
        <w:rPr>
          <w:rFonts w:ascii="Arial" w:eastAsia="Calibri" w:hAnsi="Arial" w:cs="Arial"/>
          <w:bCs/>
          <w:color w:val="000000"/>
        </w:rPr>
        <w:t>,</w:t>
      </w:r>
      <w:r w:rsidRPr="00F06958">
        <w:rPr>
          <w:rFonts w:ascii="Arial" w:eastAsia="Calibri" w:hAnsi="Arial" w:cs="Arial"/>
          <w:bCs/>
          <w:color w:val="000000"/>
        </w:rPr>
        <w:t xml:space="preserve"> el concurso de méritos</w:t>
      </w:r>
      <w:r w:rsidR="00547D00">
        <w:rPr>
          <w:rFonts w:ascii="Arial" w:eastAsia="Calibri" w:hAnsi="Arial" w:cs="Arial"/>
          <w:bCs/>
          <w:color w:val="000000"/>
        </w:rPr>
        <w:t>, la mínima cuantía</w:t>
      </w:r>
      <w:r w:rsidRPr="00F06958">
        <w:rPr>
          <w:rFonts w:ascii="Arial" w:eastAsia="Calibri" w:hAnsi="Arial" w:cs="Arial"/>
          <w:bCs/>
          <w:color w:val="000000"/>
        </w:rPr>
        <w:t xml:space="preserve"> u otros </w:t>
      </w:r>
      <w:r w:rsidR="00F800F7">
        <w:rPr>
          <w:rFonts w:ascii="Arial" w:eastAsia="Calibri" w:hAnsi="Arial" w:cs="Arial"/>
          <w:bCs/>
          <w:color w:val="000000"/>
        </w:rPr>
        <w:t xml:space="preserve">procesos competitivos </w:t>
      </w:r>
      <w:r w:rsidRPr="00F06958">
        <w:rPr>
          <w:rFonts w:ascii="Arial" w:eastAsia="Calibri" w:hAnsi="Arial" w:cs="Arial"/>
          <w:bCs/>
          <w:color w:val="000000"/>
        </w:rPr>
        <w:t>previstos en normas especiales.</w:t>
      </w:r>
      <w:r w:rsidR="001F7A77">
        <w:rPr>
          <w:rFonts w:ascii="Arial" w:eastAsia="Calibri" w:hAnsi="Arial" w:cs="Arial"/>
          <w:bCs/>
          <w:color w:val="000000"/>
          <w:lang w:val="es-ES_tradnl"/>
        </w:rPr>
        <w:t xml:space="preserve"> </w:t>
      </w:r>
      <w:r w:rsidRPr="00F06958">
        <w:rPr>
          <w:rFonts w:ascii="Arial" w:eastAsia="Times New Roman" w:hAnsi="Arial" w:cs="Arial"/>
          <w:bCs/>
          <w:lang w:val="es-MX" w:eastAsia="es-CO"/>
        </w:rPr>
        <w:t xml:space="preserve">Esto sin perjuicio de la posibilidad de que se celebren contratos de manera directa al amparo de alguna de las mencionadas </w:t>
      </w:r>
      <w:r w:rsidR="00547D00">
        <w:rPr>
          <w:rFonts w:ascii="Arial" w:eastAsia="Times New Roman" w:hAnsi="Arial" w:cs="Arial"/>
          <w:bCs/>
          <w:lang w:val="es-MX" w:eastAsia="es-CO"/>
        </w:rPr>
        <w:t xml:space="preserve">excepciones a la prohibición señaladas en el párrafo </w:t>
      </w:r>
      <w:r w:rsidR="00397E97">
        <w:rPr>
          <w:rFonts w:ascii="Arial" w:eastAsia="Times New Roman" w:hAnsi="Arial" w:cs="Arial"/>
          <w:bCs/>
          <w:lang w:val="es-MX" w:eastAsia="es-CO"/>
        </w:rPr>
        <w:t>precedente</w:t>
      </w:r>
      <w:r w:rsidR="00547D00" w:rsidRPr="00F06958">
        <w:rPr>
          <w:rFonts w:ascii="Arial" w:eastAsia="Times New Roman" w:hAnsi="Arial" w:cs="Arial"/>
          <w:bCs/>
          <w:lang w:val="es-MX" w:eastAsia="es-CO"/>
        </w:rPr>
        <w:t xml:space="preserve"> </w:t>
      </w:r>
      <w:r w:rsidRPr="00F06958">
        <w:rPr>
          <w:rFonts w:ascii="Arial" w:eastAsia="Times New Roman" w:hAnsi="Arial" w:cs="Arial"/>
          <w:bCs/>
          <w:lang w:val="es-MX" w:eastAsia="es-CO"/>
        </w:rPr>
        <w:t xml:space="preserve">o tras el adelantamiento de </w:t>
      </w:r>
      <w:r w:rsidR="00BC20B0">
        <w:rPr>
          <w:rFonts w:ascii="Arial" w:eastAsia="Times New Roman" w:hAnsi="Arial" w:cs="Arial"/>
          <w:bCs/>
          <w:lang w:val="es-MX" w:eastAsia="es-CO"/>
        </w:rPr>
        <w:t>procesos contractuales con</w:t>
      </w:r>
      <w:r w:rsidR="00BC20B0" w:rsidRPr="004A1D82">
        <w:rPr>
          <w:rFonts w:ascii="Arial" w:hAnsi="Arial" w:cs="Arial"/>
          <w:color w:val="000000" w:themeColor="text1"/>
          <w:lang w:val="es-ES_tradnl"/>
        </w:rPr>
        <w:t xml:space="preserve"> mecanismos competitivos que </w:t>
      </w:r>
      <w:r w:rsidR="00BC20B0">
        <w:rPr>
          <w:rFonts w:ascii="Arial" w:hAnsi="Arial" w:cs="Arial"/>
          <w:color w:val="000000" w:themeColor="text1"/>
          <w:lang w:val="es-ES_tradnl"/>
        </w:rPr>
        <w:t>permitan la</w:t>
      </w:r>
      <w:r w:rsidR="00BC20B0" w:rsidRPr="004A1D82">
        <w:rPr>
          <w:rFonts w:ascii="Arial" w:hAnsi="Arial" w:cs="Arial"/>
          <w:color w:val="000000" w:themeColor="text1"/>
          <w:lang w:val="es-ES_tradnl"/>
        </w:rPr>
        <w:t xml:space="preserve"> convocatoria pública y la posibilidad de</w:t>
      </w:r>
      <w:r w:rsidR="00BC20B0">
        <w:rPr>
          <w:rFonts w:ascii="Arial" w:hAnsi="Arial" w:cs="Arial"/>
          <w:color w:val="000000" w:themeColor="text1"/>
          <w:lang w:val="es-ES_tradnl"/>
        </w:rPr>
        <w:t xml:space="preserve"> participación de</w:t>
      </w:r>
      <w:r w:rsidR="00BC20B0" w:rsidRPr="004A1D82">
        <w:rPr>
          <w:rFonts w:ascii="Arial" w:hAnsi="Arial" w:cs="Arial"/>
          <w:color w:val="000000" w:themeColor="text1"/>
          <w:lang w:val="es-ES_tradnl"/>
        </w:rPr>
        <w:t xml:space="preserve"> pluralidad de oferentes</w:t>
      </w:r>
      <w:r w:rsidRPr="00F06958">
        <w:rPr>
          <w:rFonts w:ascii="Arial" w:eastAsia="Times New Roman" w:hAnsi="Arial" w:cs="Arial"/>
          <w:bCs/>
          <w:lang w:val="es-MX" w:eastAsia="es-CO"/>
        </w:rPr>
        <w:t xml:space="preserve">.  </w:t>
      </w:r>
    </w:p>
    <w:p w14:paraId="29BDD0B4" w14:textId="62F98316" w:rsidR="0065039F" w:rsidRDefault="0065039F" w:rsidP="00DC3185">
      <w:pPr>
        <w:spacing w:after="0" w:line="276" w:lineRule="auto"/>
        <w:ind w:firstLine="709"/>
        <w:jc w:val="both"/>
        <w:rPr>
          <w:rFonts w:ascii="Arial" w:eastAsia="Times New Roman" w:hAnsi="Arial" w:cs="Arial"/>
          <w:bCs/>
          <w:lang w:val="es-MX" w:eastAsia="es-CO"/>
        </w:rPr>
      </w:pPr>
      <w:r>
        <w:rPr>
          <w:rFonts w:ascii="Arial" w:eastAsia="Times New Roman" w:hAnsi="Arial" w:cs="Arial"/>
          <w:bCs/>
          <w:lang w:val="es-MX" w:eastAsia="es-CO"/>
        </w:rPr>
        <w:t>A</w:t>
      </w:r>
      <w:r w:rsidR="0037222F">
        <w:rPr>
          <w:rFonts w:ascii="Arial" w:eastAsia="Times New Roman" w:hAnsi="Arial" w:cs="Arial"/>
          <w:bCs/>
          <w:lang w:val="es-MX" w:eastAsia="es-CO"/>
        </w:rPr>
        <w:t>sí mismo, la prohibición en cuestión es aplicable respecto de la modalidad de selección</w:t>
      </w:r>
      <w:r w:rsidR="00BF5701">
        <w:rPr>
          <w:rFonts w:ascii="Arial" w:eastAsia="Times New Roman" w:hAnsi="Arial" w:cs="Arial"/>
          <w:bCs/>
          <w:lang w:val="es-MX" w:eastAsia="es-CO"/>
        </w:rPr>
        <w:t xml:space="preserve"> </w:t>
      </w:r>
      <w:r w:rsidR="00933339">
        <w:rPr>
          <w:rFonts w:ascii="Arial" w:eastAsia="Times New Roman" w:hAnsi="Arial" w:cs="Arial"/>
          <w:bCs/>
          <w:lang w:val="es-MX" w:eastAsia="es-CO"/>
        </w:rPr>
        <w:t xml:space="preserve">y no </w:t>
      </w:r>
      <w:r w:rsidR="000E24D2">
        <w:rPr>
          <w:rFonts w:ascii="Arial" w:eastAsia="Times New Roman" w:hAnsi="Arial" w:cs="Arial"/>
          <w:bCs/>
          <w:lang w:val="es-MX" w:eastAsia="es-CO"/>
        </w:rPr>
        <w:t>sobre</w:t>
      </w:r>
      <w:r w:rsidR="00933339">
        <w:rPr>
          <w:rFonts w:ascii="Arial" w:eastAsia="Times New Roman" w:hAnsi="Arial" w:cs="Arial"/>
          <w:bCs/>
          <w:lang w:val="es-MX" w:eastAsia="es-CO"/>
        </w:rPr>
        <w:t xml:space="preserve"> con la tipología contractual</w:t>
      </w:r>
      <w:r w:rsidR="00946BD1">
        <w:rPr>
          <w:rFonts w:ascii="Arial" w:eastAsia="Times New Roman" w:hAnsi="Arial" w:cs="Arial"/>
          <w:bCs/>
          <w:lang w:val="es-MX" w:eastAsia="es-CO"/>
        </w:rPr>
        <w:t xml:space="preserve">, </w:t>
      </w:r>
      <w:r w:rsidR="00CE3B4C">
        <w:rPr>
          <w:rFonts w:ascii="Arial" w:eastAsia="Times New Roman" w:hAnsi="Arial" w:cs="Arial"/>
          <w:bCs/>
          <w:lang w:val="es-MX" w:eastAsia="es-CO"/>
        </w:rPr>
        <w:t>esto es</w:t>
      </w:r>
      <w:r w:rsidR="00946BD1">
        <w:rPr>
          <w:rFonts w:ascii="Arial" w:eastAsia="Times New Roman" w:hAnsi="Arial" w:cs="Arial"/>
          <w:bCs/>
          <w:lang w:val="es-MX" w:eastAsia="es-CO"/>
        </w:rPr>
        <w:t xml:space="preserve">, no </w:t>
      </w:r>
      <w:r w:rsidR="00B02BF8">
        <w:rPr>
          <w:rFonts w:ascii="Arial" w:eastAsia="Times New Roman" w:hAnsi="Arial" w:cs="Arial"/>
          <w:bCs/>
          <w:lang w:val="es-MX" w:eastAsia="es-CO"/>
        </w:rPr>
        <w:t xml:space="preserve">hay una prohibición sobre </w:t>
      </w:r>
      <w:r w:rsidR="00CE3B4C">
        <w:rPr>
          <w:rFonts w:ascii="Arial" w:eastAsia="Times New Roman" w:hAnsi="Arial" w:cs="Arial"/>
          <w:bCs/>
          <w:lang w:val="es-MX" w:eastAsia="es-CO"/>
        </w:rPr>
        <w:t xml:space="preserve">la celebración </w:t>
      </w:r>
      <w:r w:rsidR="008E598C">
        <w:rPr>
          <w:rFonts w:ascii="Arial" w:eastAsia="Times New Roman" w:hAnsi="Arial" w:cs="Arial"/>
          <w:bCs/>
          <w:lang w:val="es-MX" w:eastAsia="es-CO"/>
        </w:rPr>
        <w:t>de un</w:t>
      </w:r>
      <w:r w:rsidR="00B02BF8">
        <w:rPr>
          <w:rFonts w:ascii="Arial" w:eastAsia="Times New Roman" w:hAnsi="Arial" w:cs="Arial"/>
          <w:bCs/>
          <w:lang w:val="es-MX" w:eastAsia="es-CO"/>
        </w:rPr>
        <w:t xml:space="preserve"> contrato específico, sino sobre l</w:t>
      </w:r>
      <w:r w:rsidR="008E598C">
        <w:rPr>
          <w:rFonts w:ascii="Arial" w:eastAsia="Times New Roman" w:hAnsi="Arial" w:cs="Arial"/>
          <w:bCs/>
          <w:lang w:val="es-MX" w:eastAsia="es-CO"/>
        </w:rPr>
        <w:t>a</w:t>
      </w:r>
      <w:r w:rsidR="00B02BF8">
        <w:rPr>
          <w:rFonts w:ascii="Arial" w:eastAsia="Times New Roman" w:hAnsi="Arial" w:cs="Arial"/>
          <w:bCs/>
          <w:lang w:val="es-MX" w:eastAsia="es-CO"/>
        </w:rPr>
        <w:t xml:space="preserve"> contratación directa</w:t>
      </w:r>
      <w:r w:rsidR="00397E97">
        <w:rPr>
          <w:rFonts w:ascii="Arial" w:eastAsia="Times New Roman" w:hAnsi="Arial" w:cs="Arial"/>
          <w:bCs/>
          <w:lang w:val="es-MX" w:eastAsia="es-CO"/>
        </w:rPr>
        <w:t xml:space="preserve"> independientemente del objeto contractual</w:t>
      </w:r>
      <w:r w:rsidR="00B02BF8">
        <w:rPr>
          <w:rFonts w:ascii="Arial" w:eastAsia="Times New Roman" w:hAnsi="Arial" w:cs="Arial"/>
          <w:bCs/>
          <w:lang w:val="es-MX" w:eastAsia="es-CO"/>
        </w:rPr>
        <w:t>, en los términos ya indicados.</w:t>
      </w:r>
      <w:r w:rsidR="00933339">
        <w:rPr>
          <w:rFonts w:ascii="Arial" w:eastAsia="Times New Roman" w:hAnsi="Arial" w:cs="Arial"/>
          <w:bCs/>
          <w:lang w:val="es-MX" w:eastAsia="es-CO"/>
        </w:rPr>
        <w:t xml:space="preserve"> </w:t>
      </w:r>
      <w:r w:rsidR="00651ABA">
        <w:rPr>
          <w:rFonts w:ascii="Arial" w:eastAsia="Times New Roman" w:hAnsi="Arial" w:cs="Arial"/>
          <w:bCs/>
          <w:lang w:val="es-MX" w:eastAsia="es-CO"/>
        </w:rPr>
        <w:t>De esta forma</w:t>
      </w:r>
      <w:r w:rsidR="006B369C">
        <w:rPr>
          <w:rFonts w:ascii="Arial" w:eastAsia="Times New Roman" w:hAnsi="Arial" w:cs="Arial"/>
          <w:bCs/>
          <w:lang w:val="es-MX" w:eastAsia="es-CO"/>
        </w:rPr>
        <w:t xml:space="preserve">, el análisis </w:t>
      </w:r>
      <w:r w:rsidR="000F24D1">
        <w:rPr>
          <w:rFonts w:ascii="Arial" w:eastAsia="Times New Roman" w:hAnsi="Arial" w:cs="Arial"/>
          <w:bCs/>
          <w:lang w:val="es-MX" w:eastAsia="es-CO"/>
        </w:rPr>
        <w:t>que realice la</w:t>
      </w:r>
      <w:r w:rsidR="008E598C">
        <w:rPr>
          <w:rFonts w:ascii="Arial" w:eastAsia="Times New Roman" w:hAnsi="Arial" w:cs="Arial"/>
          <w:bCs/>
          <w:lang w:val="es-MX" w:eastAsia="es-CO"/>
        </w:rPr>
        <w:t xml:space="preserve"> respectiva</w:t>
      </w:r>
      <w:r w:rsidR="000F24D1">
        <w:rPr>
          <w:rFonts w:ascii="Arial" w:eastAsia="Times New Roman" w:hAnsi="Arial" w:cs="Arial"/>
          <w:bCs/>
          <w:lang w:val="es-MX" w:eastAsia="es-CO"/>
        </w:rPr>
        <w:t xml:space="preserve"> entidad estatal sobre l</w:t>
      </w:r>
      <w:r w:rsidR="009B27BA">
        <w:rPr>
          <w:rFonts w:ascii="Arial" w:eastAsia="Times New Roman" w:hAnsi="Arial" w:cs="Arial"/>
          <w:bCs/>
          <w:lang w:val="es-MX" w:eastAsia="es-CO"/>
        </w:rPr>
        <w:t>a</w:t>
      </w:r>
      <w:r w:rsidR="000F24D1">
        <w:rPr>
          <w:rFonts w:ascii="Arial" w:eastAsia="Times New Roman" w:hAnsi="Arial" w:cs="Arial"/>
          <w:bCs/>
          <w:lang w:val="es-MX" w:eastAsia="es-CO"/>
        </w:rPr>
        <w:t xml:space="preserve"> restricc</w:t>
      </w:r>
      <w:r w:rsidR="00BF5701">
        <w:rPr>
          <w:rFonts w:ascii="Arial" w:eastAsia="Times New Roman" w:hAnsi="Arial" w:cs="Arial"/>
          <w:bCs/>
          <w:lang w:val="es-MX" w:eastAsia="es-CO"/>
        </w:rPr>
        <w:t>i</w:t>
      </w:r>
      <w:r w:rsidR="000F24D1">
        <w:rPr>
          <w:rFonts w:ascii="Arial" w:eastAsia="Times New Roman" w:hAnsi="Arial" w:cs="Arial"/>
          <w:bCs/>
          <w:lang w:val="es-MX" w:eastAsia="es-CO"/>
        </w:rPr>
        <w:t>ón del artículo 33 deberá hacer</w:t>
      </w:r>
      <w:r w:rsidR="008E598C">
        <w:rPr>
          <w:rFonts w:ascii="Arial" w:eastAsia="Times New Roman" w:hAnsi="Arial" w:cs="Arial"/>
          <w:bCs/>
          <w:lang w:val="es-MX" w:eastAsia="es-CO"/>
        </w:rPr>
        <w:t>lo</w:t>
      </w:r>
      <w:r w:rsidR="000F24D1">
        <w:rPr>
          <w:rFonts w:ascii="Arial" w:eastAsia="Times New Roman" w:hAnsi="Arial" w:cs="Arial"/>
          <w:bCs/>
          <w:lang w:val="es-MX" w:eastAsia="es-CO"/>
        </w:rPr>
        <w:t xml:space="preserve"> </w:t>
      </w:r>
      <w:r w:rsidR="0085740E">
        <w:rPr>
          <w:rFonts w:ascii="Arial" w:eastAsia="Times New Roman" w:hAnsi="Arial" w:cs="Arial"/>
          <w:bCs/>
          <w:lang w:val="es-MX" w:eastAsia="es-CO"/>
        </w:rPr>
        <w:t xml:space="preserve">en relación con la modalidad de contratación en virtud de la cual pretenda celebrar </w:t>
      </w:r>
      <w:r w:rsidR="008E598C">
        <w:rPr>
          <w:rFonts w:ascii="Arial" w:eastAsia="Times New Roman" w:hAnsi="Arial" w:cs="Arial"/>
          <w:bCs/>
          <w:lang w:val="es-MX" w:eastAsia="es-CO"/>
        </w:rPr>
        <w:t>un negocio jurídico.</w:t>
      </w:r>
    </w:p>
    <w:p w14:paraId="0B7ADE8E" w14:textId="64196740" w:rsidR="00DC3185" w:rsidRPr="00F06958" w:rsidDel="009C7648" w:rsidRDefault="00DC3185" w:rsidP="00997D5A">
      <w:pPr>
        <w:spacing w:before="120" w:after="120" w:line="276" w:lineRule="auto"/>
        <w:jc w:val="both"/>
        <w:rPr>
          <w:rFonts w:ascii="Arial" w:eastAsia="Times New Roman" w:hAnsi="Arial" w:cs="Arial"/>
          <w:bCs/>
          <w:lang w:val="es-MX" w:eastAsia="es-CO"/>
        </w:rPr>
      </w:pPr>
      <w:r>
        <w:rPr>
          <w:rFonts w:ascii="Arial" w:eastAsia="Times New Roman" w:hAnsi="Arial" w:cs="Arial"/>
          <w:bCs/>
          <w:lang w:val="es-MX" w:eastAsia="es-CO"/>
        </w:rPr>
        <w:lastRenderedPageBreak/>
        <w:t>Finalmente, e</w:t>
      </w:r>
      <w:r w:rsidRPr="00F06958">
        <w:rPr>
          <w:rFonts w:ascii="Arial" w:eastAsia="Times New Roman" w:hAnsi="Arial" w:cs="Arial"/>
          <w:bCs/>
          <w:lang w:val="es-MX" w:eastAsia="x-none"/>
        </w:rPr>
        <w:t>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F06958">
        <w:rPr>
          <w:rFonts w:ascii="Calibri" w:eastAsia="Calibri" w:hAnsi="Calibri" w:cs="Times New Roman"/>
          <w:sz w:val="24"/>
          <w:lang w:val="es-MX"/>
        </w:rPr>
        <w:t xml:space="preserve"> </w:t>
      </w:r>
      <w:r w:rsidRPr="00F06958">
        <w:rPr>
          <w:rFonts w:ascii="Arial" w:eastAsia="Times New Roman" w:hAnsi="Arial" w:cs="Arial"/>
          <w:bCs/>
          <w:lang w:val="es-MX" w:eastAsia="x-none"/>
        </w:rPr>
        <w:t>En efecto,</w:t>
      </w:r>
      <w:r>
        <w:rPr>
          <w:rFonts w:ascii="Arial" w:eastAsia="Times New Roman" w:hAnsi="Arial" w:cs="Arial"/>
          <w:bCs/>
          <w:lang w:val="es-MX" w:eastAsia="x-none"/>
        </w:rPr>
        <w:t xml:space="preserve"> teniendo en cuenta las consideraciones realizadas en este concepto, el</w:t>
      </w:r>
      <w:r w:rsidRPr="00F06958">
        <w:rPr>
          <w:rFonts w:ascii="Arial" w:eastAsia="Times New Roman" w:hAnsi="Arial" w:cs="Arial"/>
          <w:bCs/>
          <w:lang w:val="es-MX" w:eastAsia="x-none"/>
        </w:rPr>
        <w:t xml:space="preserve"> vocablo «todos» utilizado por el legislador comprende</w:t>
      </w:r>
      <w:r w:rsidRPr="00F06958">
        <w:rPr>
          <w:rFonts w:ascii="Calibri" w:eastAsia="Calibri" w:hAnsi="Calibri" w:cs="Times New Roman"/>
          <w:sz w:val="24"/>
          <w:lang w:val="es-MX"/>
        </w:rPr>
        <w:t xml:space="preserve"> </w:t>
      </w:r>
      <w:r w:rsidRPr="00F06958">
        <w:rPr>
          <w:rFonts w:ascii="Arial" w:eastAsia="Times New Roman" w:hAnsi="Arial" w:cs="Arial"/>
          <w:bCs/>
          <w:lang w:val="es-MX" w:eastAsia="x-none"/>
        </w:rPr>
        <w:t xml:space="preserve">a la totalidad de los entes del Estado, sin distinción del régimen jurídico, forma de organización o naturaleza, su pertenencia a una u otra rama del poder público o su autonomía, e incluso si las entidades estatales tienen </w:t>
      </w:r>
      <w:r w:rsidR="00397E97">
        <w:rPr>
          <w:rFonts w:ascii="Arial" w:eastAsia="Times New Roman" w:hAnsi="Arial" w:cs="Arial"/>
          <w:bCs/>
          <w:lang w:val="es-MX" w:eastAsia="x-none"/>
        </w:rPr>
        <w:t xml:space="preserve">un </w:t>
      </w:r>
      <w:r w:rsidRPr="00F06958">
        <w:rPr>
          <w:rFonts w:ascii="Arial" w:eastAsia="Times New Roman" w:hAnsi="Arial" w:cs="Arial"/>
          <w:bCs/>
          <w:lang w:val="es-MX" w:eastAsia="x-none"/>
        </w:rPr>
        <w:t>régimen especial de contratación y están exceptuadas del ámbito de aplicación del Estatuto General de Contratación de la Administración Pública.</w:t>
      </w:r>
      <w:r w:rsidR="00397E97">
        <w:rPr>
          <w:rFonts w:ascii="Arial" w:eastAsia="Times New Roman" w:hAnsi="Arial" w:cs="Arial"/>
          <w:bCs/>
          <w:lang w:val="es-MX" w:eastAsia="x-none"/>
        </w:rPr>
        <w:t xml:space="preserve"> </w:t>
      </w:r>
      <w:r>
        <w:rPr>
          <w:rFonts w:ascii="Arial" w:eastAsia="Times New Roman" w:hAnsi="Arial" w:cs="Arial"/>
          <w:bCs/>
          <w:lang w:val="es-MX" w:eastAsia="x-none"/>
        </w:rPr>
        <w:t xml:space="preserve">En consecuencia, </w:t>
      </w:r>
      <w:r w:rsidR="00E9704D">
        <w:rPr>
          <w:rFonts w:ascii="Arial" w:eastAsia="Times New Roman" w:hAnsi="Arial" w:cs="Arial"/>
          <w:bCs/>
          <w:lang w:val="es-MX" w:eastAsia="x-none"/>
        </w:rPr>
        <w:t xml:space="preserve">esta prohibición </w:t>
      </w:r>
      <w:r>
        <w:rPr>
          <w:rFonts w:ascii="Arial" w:eastAsia="Times New Roman" w:hAnsi="Arial" w:cs="Arial"/>
          <w:bCs/>
          <w:lang w:val="es-MX" w:eastAsia="x-none"/>
        </w:rPr>
        <w:t xml:space="preserve">es aplicable a la actividad contractual de todas las entidades públicas, con independencia de su régimen de contratación o de su ubicación dentro de la estructura del Estado. </w:t>
      </w:r>
    </w:p>
    <w:p w14:paraId="4CD72ABD" w14:textId="77777777" w:rsidR="00F06958" w:rsidRPr="00F06958" w:rsidRDefault="00F06958" w:rsidP="00F06958">
      <w:pPr>
        <w:spacing w:after="0" w:line="276" w:lineRule="auto"/>
        <w:jc w:val="both"/>
        <w:rPr>
          <w:rFonts w:ascii="Arial" w:eastAsia="Calibri" w:hAnsi="Arial" w:cs="Arial"/>
          <w:bCs/>
          <w:color w:val="000000"/>
          <w:lang w:val="es-ES_tradnl"/>
        </w:rPr>
      </w:pPr>
      <w:r w:rsidRPr="00F06958">
        <w:rPr>
          <w:rFonts w:ascii="Arial" w:eastAsia="Calibri" w:hAnsi="Arial" w:cs="Arial"/>
          <w:bCs/>
          <w:color w:val="000000"/>
          <w:lang w:val="es-ES_tradnl"/>
        </w:rPr>
        <w:tab/>
      </w:r>
    </w:p>
    <w:p w14:paraId="758F71DE" w14:textId="77777777" w:rsidR="00F06958" w:rsidRPr="00F06958" w:rsidRDefault="00F06958" w:rsidP="00F06958">
      <w:pPr>
        <w:spacing w:after="0" w:line="276" w:lineRule="auto"/>
        <w:jc w:val="both"/>
        <w:rPr>
          <w:rFonts w:ascii="Times New Roman" w:eastAsia="Times New Roman" w:hAnsi="Times New Roman" w:cs="Times New Roman"/>
          <w:sz w:val="24"/>
          <w:szCs w:val="24"/>
          <w:lang w:eastAsia="es-ES_tradnl"/>
        </w:rPr>
      </w:pPr>
      <w:r w:rsidRPr="00F06958">
        <w:rPr>
          <w:rFonts w:ascii="Arial" w:eastAsia="Calibri" w:hAnsi="Arial" w:cs="Arial"/>
        </w:rPr>
        <w:t>Este concepto tiene el alcance previsto en el artículo 28 del Código de Procedimiento Administrativo y de lo Contencioso Administrativo.</w:t>
      </w:r>
    </w:p>
    <w:p w14:paraId="1B10505B" w14:textId="77777777" w:rsidR="00F06958" w:rsidRPr="00F06958" w:rsidRDefault="00F06958" w:rsidP="00F06958">
      <w:pPr>
        <w:spacing w:after="0" w:line="276" w:lineRule="auto"/>
        <w:jc w:val="both"/>
        <w:rPr>
          <w:rFonts w:ascii="Times New Roman" w:eastAsia="Times New Roman" w:hAnsi="Times New Roman" w:cs="Times New Roman"/>
          <w:sz w:val="24"/>
          <w:szCs w:val="24"/>
          <w:lang w:eastAsia="es-ES_tradnl"/>
        </w:rPr>
      </w:pPr>
    </w:p>
    <w:p w14:paraId="5BE76C87" w14:textId="77777777" w:rsidR="00F06958" w:rsidRPr="00F06958" w:rsidRDefault="00F06958" w:rsidP="00F06958">
      <w:pPr>
        <w:spacing w:after="200" w:line="276" w:lineRule="auto"/>
        <w:jc w:val="both"/>
        <w:rPr>
          <w:rFonts w:ascii="Arial" w:eastAsia="Times New Roman" w:hAnsi="Arial" w:cs="Arial"/>
          <w:lang w:eastAsia="es-CO"/>
        </w:rPr>
      </w:pPr>
      <w:r w:rsidRPr="00F06958">
        <w:rPr>
          <w:rFonts w:ascii="Arial" w:eastAsia="Times New Roman" w:hAnsi="Arial" w:cs="Arial"/>
          <w:lang w:eastAsia="es-CO"/>
        </w:rPr>
        <w:t>Atentamente,</w:t>
      </w:r>
    </w:p>
    <w:p w14:paraId="583B5D18" w14:textId="78F85DE2" w:rsidR="00F06958" w:rsidRPr="00F06958" w:rsidRDefault="00D03052" w:rsidP="00F06958">
      <w:pPr>
        <w:spacing w:after="200" w:line="276" w:lineRule="auto"/>
        <w:jc w:val="center"/>
        <w:rPr>
          <w:rFonts w:ascii="Arial" w:eastAsia="Times New Roman" w:hAnsi="Arial" w:cs="Arial"/>
          <w:color w:val="000000"/>
          <w:sz w:val="18"/>
          <w:szCs w:val="20"/>
          <w:lang w:val="es-MX" w:eastAsia="es-CO"/>
        </w:rPr>
      </w:pPr>
      <w:r>
        <w:rPr>
          <w:rFonts w:ascii="Arial" w:hAnsi="Arial" w:cs="Arial"/>
          <w:noProof/>
          <w:color w:val="000000" w:themeColor="text1"/>
          <w:lang w:val="es-ES_tradnl"/>
        </w:rPr>
        <w:drawing>
          <wp:inline distT="0" distB="0" distL="0" distR="0" wp14:anchorId="6B36B0AB" wp14:editId="2C247CD8">
            <wp:extent cx="2514600" cy="1114425"/>
            <wp:effectExtent l="0" t="0" r="0" b="9525"/>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a:ln>
                      <a:noFill/>
                    </a:ln>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F06958" w:rsidRPr="00F06958" w14:paraId="7BF56659" w14:textId="77777777" w:rsidTr="00F06958">
        <w:trPr>
          <w:trHeight w:val="315"/>
        </w:trPr>
        <w:tc>
          <w:tcPr>
            <w:tcW w:w="812" w:type="dxa"/>
            <w:vAlign w:val="center"/>
            <w:hideMark/>
          </w:tcPr>
          <w:p w14:paraId="786F4AB1" w14:textId="77777777" w:rsidR="00F06958" w:rsidRPr="00F06958" w:rsidRDefault="00F06958" w:rsidP="00F06958">
            <w:pPr>
              <w:rPr>
                <w:rFonts w:ascii="Arial" w:eastAsia="Times New Roman" w:hAnsi="Arial" w:cs="Arial"/>
                <w:color w:val="000000"/>
                <w:sz w:val="16"/>
                <w:szCs w:val="16"/>
                <w:lang w:eastAsia="es-ES"/>
              </w:rPr>
            </w:pPr>
            <w:r w:rsidRPr="00F06958">
              <w:rPr>
                <w:rFonts w:ascii="Arial" w:eastAsia="Times New Roman" w:hAnsi="Arial" w:cs="Arial"/>
                <w:color w:val="000000"/>
                <w:sz w:val="16"/>
                <w:szCs w:val="16"/>
                <w:lang w:eastAsia="es-ES"/>
              </w:rPr>
              <w:t>Elaboró:</w:t>
            </w:r>
          </w:p>
        </w:tc>
        <w:tc>
          <w:tcPr>
            <w:tcW w:w="4291" w:type="dxa"/>
            <w:tcBorders>
              <w:top w:val="nil"/>
              <w:left w:val="nil"/>
              <w:bottom w:val="dotted" w:sz="4" w:space="0" w:color="7F7F7F"/>
              <w:right w:val="nil"/>
            </w:tcBorders>
            <w:vAlign w:val="center"/>
            <w:hideMark/>
          </w:tcPr>
          <w:p w14:paraId="6091547F" w14:textId="77777777" w:rsidR="00F06958" w:rsidRPr="00F06958" w:rsidRDefault="00F06958" w:rsidP="00F06958">
            <w:pPr>
              <w:rPr>
                <w:rFonts w:ascii="Arial" w:eastAsia="Times New Roman" w:hAnsi="Arial" w:cs="Arial"/>
                <w:color w:val="000000"/>
                <w:sz w:val="16"/>
                <w:szCs w:val="16"/>
                <w:lang w:eastAsia="es-ES"/>
              </w:rPr>
            </w:pPr>
            <w:r w:rsidRPr="00F06958">
              <w:rPr>
                <w:rFonts w:ascii="Arial" w:eastAsia="Times New Roman" w:hAnsi="Arial" w:cs="Arial"/>
                <w:color w:val="000000"/>
                <w:sz w:val="16"/>
                <w:szCs w:val="16"/>
                <w:lang w:eastAsia="es-ES"/>
              </w:rPr>
              <w:t>Kevin Arlid Herrera Santa</w:t>
            </w:r>
          </w:p>
          <w:p w14:paraId="42637111" w14:textId="77777777" w:rsidR="00F06958" w:rsidRPr="00F06958" w:rsidRDefault="00F06958" w:rsidP="00F06958">
            <w:pPr>
              <w:rPr>
                <w:rFonts w:ascii="Arial" w:eastAsia="Times New Roman" w:hAnsi="Arial" w:cs="Arial"/>
                <w:color w:val="000000"/>
                <w:sz w:val="16"/>
                <w:szCs w:val="16"/>
                <w:lang w:eastAsia="es-ES"/>
              </w:rPr>
            </w:pPr>
            <w:r w:rsidRPr="00F06958">
              <w:rPr>
                <w:rFonts w:ascii="Arial" w:eastAsia="Times New Roman" w:hAnsi="Arial" w:cs="Arial"/>
                <w:color w:val="000000"/>
                <w:sz w:val="16"/>
                <w:szCs w:val="16"/>
                <w:lang w:eastAsia="es-ES"/>
              </w:rPr>
              <w:t>Analista T2-04 de la Subdirección de Gestión Contractual</w:t>
            </w:r>
          </w:p>
        </w:tc>
      </w:tr>
      <w:tr w:rsidR="00F06958" w:rsidRPr="00F06958" w14:paraId="65960D7E" w14:textId="77777777" w:rsidTr="00F06958">
        <w:trPr>
          <w:trHeight w:val="330"/>
        </w:trPr>
        <w:tc>
          <w:tcPr>
            <w:tcW w:w="812" w:type="dxa"/>
            <w:vAlign w:val="center"/>
            <w:hideMark/>
          </w:tcPr>
          <w:p w14:paraId="106467FC" w14:textId="77777777" w:rsidR="00F06958" w:rsidRPr="00F06958" w:rsidRDefault="00F06958" w:rsidP="00F06958">
            <w:pPr>
              <w:rPr>
                <w:rFonts w:ascii="Arial" w:eastAsia="Times New Roman" w:hAnsi="Arial" w:cs="Arial"/>
                <w:color w:val="000000"/>
                <w:sz w:val="16"/>
                <w:szCs w:val="16"/>
                <w:lang w:eastAsia="es-ES"/>
              </w:rPr>
            </w:pPr>
            <w:r w:rsidRPr="00F06958">
              <w:rPr>
                <w:rFonts w:ascii="Arial" w:eastAsia="Times New Roman" w:hAnsi="Arial" w:cs="Arial"/>
                <w:color w:val="000000"/>
                <w:sz w:val="16"/>
                <w:szCs w:val="16"/>
                <w:lang w:eastAsia="es-ES"/>
              </w:rPr>
              <w:t>Revisó:</w:t>
            </w:r>
          </w:p>
        </w:tc>
        <w:tc>
          <w:tcPr>
            <w:tcW w:w="4291" w:type="dxa"/>
            <w:tcBorders>
              <w:top w:val="dotted" w:sz="4" w:space="0" w:color="7F7F7F"/>
              <w:left w:val="nil"/>
              <w:bottom w:val="dotted" w:sz="4" w:space="0" w:color="7F7F7F"/>
              <w:right w:val="nil"/>
            </w:tcBorders>
            <w:vAlign w:val="center"/>
            <w:hideMark/>
          </w:tcPr>
          <w:p w14:paraId="76F5E790" w14:textId="6C9E45AB" w:rsidR="00F06958" w:rsidRPr="00F06958" w:rsidRDefault="004E205F" w:rsidP="00F06958">
            <w:pPr>
              <w:rPr>
                <w:rFonts w:ascii="Arial" w:eastAsia="Times New Roman" w:hAnsi="Arial" w:cs="Arial"/>
                <w:color w:val="000000"/>
                <w:sz w:val="16"/>
                <w:szCs w:val="16"/>
                <w:lang w:eastAsia="es-ES"/>
              </w:rPr>
            </w:pPr>
            <w:r>
              <w:rPr>
                <w:rFonts w:ascii="Arial" w:eastAsia="Times New Roman" w:hAnsi="Arial" w:cs="Arial"/>
                <w:color w:val="000000"/>
                <w:sz w:val="16"/>
                <w:szCs w:val="16"/>
                <w:lang w:eastAsia="es-ES"/>
              </w:rPr>
              <w:t>Sebastián Ramírez Grisales</w:t>
            </w:r>
          </w:p>
          <w:p w14:paraId="52C18848" w14:textId="6CD22E7E" w:rsidR="00F06958" w:rsidRPr="00F06958" w:rsidRDefault="00F13D57" w:rsidP="00F06958">
            <w:pPr>
              <w:rPr>
                <w:rFonts w:ascii="Arial" w:eastAsia="Times New Roman" w:hAnsi="Arial" w:cs="Arial"/>
                <w:color w:val="000000"/>
                <w:sz w:val="16"/>
                <w:szCs w:val="16"/>
                <w:lang w:eastAsia="es-ES"/>
              </w:rPr>
            </w:pPr>
            <w:r>
              <w:rPr>
                <w:rFonts w:ascii="Arial" w:eastAsia="Times New Roman" w:hAnsi="Arial" w:cs="Arial"/>
                <w:color w:val="000000"/>
                <w:sz w:val="16"/>
                <w:szCs w:val="16"/>
                <w:lang w:eastAsia="es-ES"/>
              </w:rPr>
              <w:t xml:space="preserve">Contratista </w:t>
            </w:r>
            <w:r w:rsidR="00F06958" w:rsidRPr="00F06958">
              <w:rPr>
                <w:rFonts w:ascii="Arial" w:eastAsia="Times New Roman" w:hAnsi="Arial" w:cs="Arial"/>
                <w:color w:val="000000"/>
                <w:sz w:val="16"/>
                <w:szCs w:val="16"/>
                <w:lang w:eastAsia="es-ES"/>
              </w:rPr>
              <w:t>de la Subdirección de Gestión Contractual</w:t>
            </w:r>
          </w:p>
        </w:tc>
      </w:tr>
      <w:tr w:rsidR="00F06958" w:rsidRPr="00F06958" w14:paraId="5A988643" w14:textId="77777777" w:rsidTr="00F06958">
        <w:trPr>
          <w:trHeight w:val="300"/>
        </w:trPr>
        <w:tc>
          <w:tcPr>
            <w:tcW w:w="812" w:type="dxa"/>
            <w:vAlign w:val="center"/>
            <w:hideMark/>
          </w:tcPr>
          <w:p w14:paraId="489084B9" w14:textId="77777777" w:rsidR="00F06958" w:rsidRPr="00F06958" w:rsidRDefault="00F06958" w:rsidP="00F06958">
            <w:pPr>
              <w:rPr>
                <w:rFonts w:ascii="Arial" w:eastAsia="Times New Roman" w:hAnsi="Arial" w:cs="Arial"/>
                <w:color w:val="000000"/>
                <w:sz w:val="16"/>
                <w:szCs w:val="16"/>
                <w:lang w:eastAsia="es-ES"/>
              </w:rPr>
            </w:pPr>
            <w:r w:rsidRPr="00F06958">
              <w:rPr>
                <w:rFonts w:ascii="Arial" w:eastAsia="Times New Roman" w:hAnsi="Arial" w:cs="Arial"/>
                <w:color w:val="000000"/>
                <w:sz w:val="16"/>
                <w:szCs w:val="16"/>
                <w:lang w:eastAsia="es-ES"/>
              </w:rPr>
              <w:t>Aprobó:</w:t>
            </w:r>
          </w:p>
        </w:tc>
        <w:tc>
          <w:tcPr>
            <w:tcW w:w="4291" w:type="dxa"/>
            <w:tcBorders>
              <w:top w:val="dotted" w:sz="4" w:space="0" w:color="7F7F7F"/>
              <w:left w:val="nil"/>
              <w:bottom w:val="dotted" w:sz="4" w:space="0" w:color="7F7F7F"/>
              <w:right w:val="nil"/>
            </w:tcBorders>
            <w:vAlign w:val="center"/>
            <w:hideMark/>
          </w:tcPr>
          <w:p w14:paraId="6B4080E6" w14:textId="77777777" w:rsidR="00F06958" w:rsidRPr="00F06958" w:rsidRDefault="00F06958" w:rsidP="00F06958">
            <w:pPr>
              <w:rPr>
                <w:rFonts w:ascii="Arial" w:eastAsia="Times New Roman" w:hAnsi="Arial" w:cs="Arial"/>
                <w:color w:val="000000"/>
                <w:sz w:val="16"/>
                <w:szCs w:val="16"/>
                <w:lang w:eastAsia="es-ES"/>
              </w:rPr>
            </w:pPr>
            <w:r w:rsidRPr="00F06958">
              <w:rPr>
                <w:rFonts w:ascii="Arial" w:eastAsia="Times New Roman" w:hAnsi="Arial" w:cs="Arial"/>
                <w:color w:val="000000"/>
                <w:sz w:val="16"/>
                <w:szCs w:val="16"/>
                <w:lang w:eastAsia="es-ES"/>
              </w:rPr>
              <w:t>Jorge Augusto Tirado Navarro</w:t>
            </w:r>
          </w:p>
          <w:p w14:paraId="249DF3A3" w14:textId="77777777" w:rsidR="00F06958" w:rsidRPr="00F06958" w:rsidRDefault="00F06958" w:rsidP="00F06958">
            <w:pPr>
              <w:rPr>
                <w:rFonts w:ascii="Arial" w:eastAsia="Times New Roman" w:hAnsi="Arial" w:cs="Arial"/>
                <w:color w:val="000000"/>
                <w:sz w:val="16"/>
                <w:szCs w:val="16"/>
                <w:lang w:eastAsia="es-ES"/>
              </w:rPr>
            </w:pPr>
            <w:r w:rsidRPr="00F06958">
              <w:rPr>
                <w:rFonts w:ascii="Arial" w:eastAsia="Times New Roman" w:hAnsi="Arial" w:cs="Arial"/>
                <w:color w:val="000000"/>
                <w:sz w:val="16"/>
                <w:szCs w:val="16"/>
                <w:lang w:eastAsia="es-ES"/>
              </w:rPr>
              <w:t>Subdirector de Gestión Contractual ANCP – CCE</w:t>
            </w:r>
          </w:p>
        </w:tc>
      </w:tr>
      <w:bookmarkEnd w:id="8"/>
      <w:bookmarkEnd w:id="44"/>
    </w:tbl>
    <w:p w14:paraId="28638E36" w14:textId="77777777" w:rsidR="00F06958" w:rsidRPr="00F06958" w:rsidRDefault="00F06958" w:rsidP="00F06958">
      <w:pPr>
        <w:spacing w:after="120" w:line="276" w:lineRule="auto"/>
        <w:contextualSpacing/>
        <w:jc w:val="both"/>
        <w:rPr>
          <w:rFonts w:ascii="Arial" w:eastAsia="Calibri" w:hAnsi="Arial" w:cs="Arial"/>
          <w:b/>
          <w:bCs/>
          <w:sz w:val="20"/>
          <w:szCs w:val="20"/>
          <w:lang w:val="es-MX"/>
        </w:rPr>
      </w:pPr>
    </w:p>
    <w:bookmarkEnd w:id="9"/>
    <w:p w14:paraId="21D64FB0" w14:textId="77777777" w:rsidR="00F06958" w:rsidRDefault="00F06958"/>
    <w:sectPr w:rsidR="00F06958" w:rsidSect="00997D5A">
      <w:headerReference w:type="default" r:id="rId12"/>
      <w:footerReference w:type="default" r:id="rId13"/>
      <w:pgSz w:w="12240" w:h="15840"/>
      <w:pgMar w:top="408" w:right="1701"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2C9210" w14:textId="77777777" w:rsidR="00D0458D" w:rsidRDefault="00D0458D" w:rsidP="00F06958">
      <w:pPr>
        <w:spacing w:after="0" w:line="240" w:lineRule="auto"/>
      </w:pPr>
      <w:r>
        <w:separator/>
      </w:r>
    </w:p>
  </w:endnote>
  <w:endnote w:type="continuationSeparator" w:id="0">
    <w:p w14:paraId="223E14A3" w14:textId="77777777" w:rsidR="00D0458D" w:rsidRDefault="00D0458D" w:rsidP="00F069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7BEFA" w14:textId="77777777" w:rsidR="00412132" w:rsidRDefault="00A0553D" w:rsidP="00B6444C">
    <w:pPr>
      <w:pStyle w:val="Sinespaciado"/>
      <w:rPr>
        <w:rFonts w:ascii="Arial" w:hAnsi="Arial" w:cs="Arial"/>
        <w:sz w:val="18"/>
        <w:szCs w:val="18"/>
      </w:rPr>
    </w:pPr>
  </w:p>
  <w:p w14:paraId="0856625A" w14:textId="77777777" w:rsidR="00412132" w:rsidRDefault="00A0553D" w:rsidP="00B6444C">
    <w:pPr>
      <w:pStyle w:val="Sinespaciado"/>
      <w:rPr>
        <w:rFonts w:ascii="Arial" w:hAnsi="Arial" w:cs="Arial"/>
        <w:sz w:val="18"/>
        <w:szCs w:val="18"/>
      </w:rPr>
    </w:pPr>
  </w:p>
  <w:p w14:paraId="7507CEE3" w14:textId="77777777" w:rsidR="00412132" w:rsidRPr="00F06958" w:rsidRDefault="00E521C0" w:rsidP="005A79FE">
    <w:pPr>
      <w:pStyle w:val="Piedepgina"/>
      <w:jc w:val="right"/>
      <w:rPr>
        <w:rFonts w:ascii="Arial" w:hAnsi="Arial" w:cs="Arial"/>
        <w:color w:val="7F7F7F"/>
        <w:sz w:val="16"/>
        <w:szCs w:val="16"/>
      </w:rPr>
    </w:pPr>
    <w:r w:rsidRPr="00F06958">
      <w:rPr>
        <w:rFonts w:ascii="Arial" w:hAnsi="Arial" w:cs="Arial"/>
        <w:bCs/>
        <w:color w:val="7F7F7F"/>
        <w:sz w:val="16"/>
        <w:szCs w:val="16"/>
      </w:rPr>
      <w:t xml:space="preserve">Página </w:t>
    </w:r>
    <w:r w:rsidRPr="00F06958">
      <w:rPr>
        <w:rFonts w:ascii="Arial" w:hAnsi="Arial" w:cs="Arial"/>
        <w:b/>
        <w:bCs/>
        <w:color w:val="7F7F7F"/>
        <w:sz w:val="16"/>
        <w:szCs w:val="16"/>
      </w:rPr>
      <w:fldChar w:fldCharType="begin"/>
    </w:r>
    <w:r w:rsidRPr="00F06958">
      <w:rPr>
        <w:rFonts w:ascii="Arial" w:hAnsi="Arial" w:cs="Arial"/>
        <w:b/>
        <w:bCs/>
        <w:color w:val="7F7F7F"/>
        <w:sz w:val="16"/>
        <w:szCs w:val="16"/>
      </w:rPr>
      <w:instrText>PAGE  \* Arabic  \* MERGEFORMAT</w:instrText>
    </w:r>
    <w:r w:rsidRPr="00F06958">
      <w:rPr>
        <w:rFonts w:ascii="Arial" w:hAnsi="Arial" w:cs="Arial"/>
        <w:b/>
        <w:bCs/>
        <w:color w:val="7F7F7F"/>
        <w:sz w:val="16"/>
        <w:szCs w:val="16"/>
      </w:rPr>
      <w:fldChar w:fldCharType="separate"/>
    </w:r>
    <w:r w:rsidRPr="00F06958">
      <w:rPr>
        <w:rFonts w:ascii="Arial" w:hAnsi="Arial" w:cs="Arial"/>
        <w:b/>
        <w:bCs/>
        <w:noProof/>
        <w:color w:val="7F7F7F"/>
        <w:sz w:val="16"/>
        <w:szCs w:val="16"/>
      </w:rPr>
      <w:t>17</w:t>
    </w:r>
    <w:r w:rsidRPr="00F06958">
      <w:rPr>
        <w:rFonts w:ascii="Arial" w:hAnsi="Arial" w:cs="Arial"/>
        <w:b/>
        <w:bCs/>
        <w:color w:val="7F7F7F"/>
        <w:sz w:val="16"/>
        <w:szCs w:val="16"/>
      </w:rPr>
      <w:fldChar w:fldCharType="end"/>
    </w:r>
    <w:r w:rsidRPr="00F06958">
      <w:rPr>
        <w:rFonts w:ascii="Arial" w:hAnsi="Arial" w:cs="Arial"/>
        <w:color w:val="7F7F7F"/>
        <w:sz w:val="16"/>
        <w:szCs w:val="16"/>
      </w:rPr>
      <w:t xml:space="preserve"> de </w:t>
    </w:r>
    <w:r w:rsidRPr="00F06958">
      <w:rPr>
        <w:rFonts w:ascii="Arial" w:hAnsi="Arial" w:cs="Arial"/>
        <w:b/>
        <w:bCs/>
        <w:color w:val="7F7F7F"/>
        <w:sz w:val="16"/>
        <w:szCs w:val="16"/>
      </w:rPr>
      <w:fldChar w:fldCharType="begin"/>
    </w:r>
    <w:r w:rsidRPr="00F06958">
      <w:rPr>
        <w:rFonts w:ascii="Arial" w:hAnsi="Arial" w:cs="Arial"/>
        <w:b/>
        <w:bCs/>
        <w:color w:val="7F7F7F"/>
        <w:sz w:val="16"/>
        <w:szCs w:val="16"/>
      </w:rPr>
      <w:instrText>NUMPAGES  \* Arabic  \* MERGEFORMAT</w:instrText>
    </w:r>
    <w:r w:rsidRPr="00F06958">
      <w:rPr>
        <w:rFonts w:ascii="Arial" w:hAnsi="Arial" w:cs="Arial"/>
        <w:b/>
        <w:bCs/>
        <w:color w:val="7F7F7F"/>
        <w:sz w:val="16"/>
        <w:szCs w:val="16"/>
      </w:rPr>
      <w:fldChar w:fldCharType="separate"/>
    </w:r>
    <w:r w:rsidRPr="00F06958">
      <w:rPr>
        <w:rFonts w:ascii="Arial" w:hAnsi="Arial" w:cs="Arial"/>
        <w:b/>
        <w:bCs/>
        <w:noProof/>
        <w:color w:val="7F7F7F"/>
        <w:sz w:val="16"/>
        <w:szCs w:val="16"/>
      </w:rPr>
      <w:t>17</w:t>
    </w:r>
    <w:r w:rsidRPr="00F06958">
      <w:rPr>
        <w:rFonts w:ascii="Arial" w:hAnsi="Arial" w:cs="Arial"/>
        <w:b/>
        <w:bCs/>
        <w:color w:val="7F7F7F"/>
        <w:sz w:val="16"/>
        <w:szCs w:val="16"/>
      </w:rPr>
      <w:fldChar w:fldCharType="end"/>
    </w:r>
  </w:p>
  <w:p w14:paraId="4798E382" w14:textId="77777777" w:rsidR="00412132" w:rsidRDefault="00E521C0" w:rsidP="007B0854">
    <w:pPr>
      <w:pStyle w:val="Piedepgina"/>
      <w:jc w:val="center"/>
      <w:rPr>
        <w:lang w:val="es-ES"/>
      </w:rPr>
    </w:pPr>
    <w:r>
      <w:rPr>
        <w:noProof/>
        <w:lang w:eastAsia="es-CO"/>
      </w:rPr>
      <w:drawing>
        <wp:inline distT="0" distB="0" distL="0" distR="0" wp14:anchorId="3E392814" wp14:editId="31C35784">
          <wp:extent cx="4241994" cy="595165"/>
          <wp:effectExtent l="0" t="0" r="6350" b="0"/>
          <wp:docPr id="6"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4F5CD49B" w14:textId="77777777" w:rsidR="00412132" w:rsidRDefault="00A0553D" w:rsidP="007B0854">
    <w:pPr>
      <w:pStyle w:val="Piedepgina"/>
      <w:jc w:val="center"/>
      <w:rPr>
        <w:lang w:val="es-ES"/>
      </w:rPr>
    </w:pPr>
  </w:p>
  <w:p w14:paraId="37552B1B" w14:textId="77777777" w:rsidR="00412132" w:rsidRPr="007B0854" w:rsidRDefault="00A0553D"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D42518" w14:textId="77777777" w:rsidR="00D0458D" w:rsidRDefault="00D0458D" w:rsidP="00F06958">
      <w:pPr>
        <w:spacing w:after="0" w:line="240" w:lineRule="auto"/>
      </w:pPr>
      <w:r>
        <w:separator/>
      </w:r>
    </w:p>
  </w:footnote>
  <w:footnote w:type="continuationSeparator" w:id="0">
    <w:p w14:paraId="130B5B86" w14:textId="77777777" w:rsidR="00D0458D" w:rsidRDefault="00D0458D" w:rsidP="00F06958">
      <w:pPr>
        <w:spacing w:after="0" w:line="240" w:lineRule="auto"/>
      </w:pPr>
      <w:r>
        <w:continuationSeparator/>
      </w:r>
    </w:p>
  </w:footnote>
  <w:footnote w:id="1">
    <w:p w14:paraId="56C6C06B" w14:textId="184CAEE1" w:rsidR="00B1111E" w:rsidRPr="00997D5A" w:rsidRDefault="00B1111E" w:rsidP="00997D5A">
      <w:pPr>
        <w:pStyle w:val="Textonotapie"/>
        <w:ind w:firstLine="708"/>
        <w:jc w:val="both"/>
        <w:rPr>
          <w:rFonts w:ascii="Arial" w:hAnsi="Arial" w:cs="Arial"/>
          <w:sz w:val="19"/>
          <w:szCs w:val="19"/>
        </w:rPr>
      </w:pPr>
      <w:r w:rsidRPr="00997D5A">
        <w:rPr>
          <w:rStyle w:val="Refdenotaalpie"/>
          <w:rFonts w:ascii="Arial" w:hAnsi="Arial" w:cs="Arial"/>
          <w:sz w:val="19"/>
          <w:szCs w:val="19"/>
        </w:rPr>
        <w:footnoteRef/>
      </w:r>
      <w:r w:rsidRPr="00997D5A">
        <w:rPr>
          <w:rFonts w:ascii="Arial" w:hAnsi="Arial" w:cs="Arial"/>
          <w:sz w:val="19"/>
          <w:szCs w:val="19"/>
        </w:rPr>
        <w:t xml:space="preserve"> Cabe precisar que</w:t>
      </w:r>
      <w:r w:rsidRPr="00547D00">
        <w:rPr>
          <w:rFonts w:ascii="Arial" w:hAnsi="Arial" w:cs="Arial"/>
          <w:sz w:val="19"/>
          <w:szCs w:val="19"/>
        </w:rPr>
        <w:t>,</w:t>
      </w:r>
      <w:r w:rsidRPr="00997D5A">
        <w:rPr>
          <w:rFonts w:ascii="Arial" w:hAnsi="Arial" w:cs="Arial"/>
          <w:sz w:val="19"/>
          <w:szCs w:val="19"/>
        </w:rPr>
        <w:t xml:space="preserve"> mediante comunicado del 5 de mayo de 2022, esta Agencia amplió el término de respuesta a la solicitud de la referencia.</w:t>
      </w:r>
    </w:p>
  </w:footnote>
  <w:footnote w:id="2">
    <w:p w14:paraId="114302CA" w14:textId="77777777" w:rsidR="00B5206D" w:rsidRPr="00547D00" w:rsidRDefault="00B5206D" w:rsidP="00547D00">
      <w:pPr>
        <w:pStyle w:val="Textonotapie"/>
        <w:ind w:firstLine="708"/>
        <w:jc w:val="both"/>
        <w:rPr>
          <w:rFonts w:ascii="Arial" w:hAnsi="Arial" w:cs="Arial"/>
          <w:sz w:val="19"/>
          <w:szCs w:val="19"/>
          <w:lang w:val="es-ES"/>
        </w:rPr>
      </w:pPr>
      <w:r w:rsidRPr="00547D00">
        <w:rPr>
          <w:rStyle w:val="Refdenotaalpie"/>
          <w:rFonts w:ascii="Arial" w:hAnsi="Arial" w:cs="Arial"/>
          <w:sz w:val="19"/>
          <w:szCs w:val="19"/>
        </w:rPr>
        <w:footnoteRef/>
      </w:r>
      <w:r w:rsidRPr="00547D00">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547D00">
        <w:rPr>
          <w:rFonts w:ascii="Arial" w:hAnsi="Arial" w:cs="Arial"/>
          <w:i/>
          <w:iCs/>
          <w:sz w:val="19"/>
          <w:szCs w:val="19"/>
        </w:rPr>
        <w:t xml:space="preserve">ibidem </w:t>
      </w:r>
      <w:r w:rsidRPr="00547D00">
        <w:rPr>
          <w:rFonts w:ascii="Arial" w:hAnsi="Arial" w:cs="Arial"/>
          <w:sz w:val="19"/>
          <w:szCs w:val="19"/>
        </w:rPr>
        <w:t xml:space="preserve">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w:t>
      </w:r>
      <w:r w:rsidRPr="00547D00">
        <w:rPr>
          <w:rFonts w:ascii="Arial" w:hAnsi="Arial" w:cs="Arial"/>
          <w:i/>
          <w:iCs/>
          <w:sz w:val="19"/>
          <w:szCs w:val="19"/>
        </w:rPr>
        <w:t>ibidem</w:t>
      </w:r>
      <w:r w:rsidRPr="00547D00">
        <w:rPr>
          <w:rFonts w:ascii="Arial" w:hAnsi="Arial" w:cs="Arial"/>
          <w:sz w:val="19"/>
          <w:szCs w:val="19"/>
        </w:rPr>
        <w:t xml:space="preserve"> señala que es función de la Subdirección de Gestión Contractual: «[a]bsolver consultas sobre la aplicación de normas de carácter general».</w:t>
      </w:r>
    </w:p>
  </w:footnote>
  <w:footnote w:id="3">
    <w:p w14:paraId="76E291B1" w14:textId="77777777" w:rsidR="00F06958" w:rsidRPr="00997D5A" w:rsidRDefault="00F06958" w:rsidP="00547D00">
      <w:pPr>
        <w:pStyle w:val="Textonotapie"/>
        <w:ind w:firstLine="709"/>
        <w:jc w:val="both"/>
        <w:rPr>
          <w:rFonts w:ascii="Arial" w:hAnsi="Arial" w:cs="Arial"/>
          <w:sz w:val="19"/>
          <w:szCs w:val="19"/>
        </w:rPr>
      </w:pPr>
      <w:r w:rsidRPr="00997D5A">
        <w:rPr>
          <w:rStyle w:val="Refdenotaalpie"/>
          <w:rFonts w:ascii="Arial" w:hAnsi="Arial" w:cs="Arial"/>
          <w:sz w:val="19"/>
          <w:szCs w:val="19"/>
        </w:rPr>
        <w:footnoteRef/>
      </w:r>
      <w:r w:rsidRPr="00997D5A">
        <w:rPr>
          <w:rFonts w:ascii="Arial" w:hAnsi="Arial" w:cs="Arial"/>
          <w:sz w:val="19"/>
          <w:szCs w:val="19"/>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6CFC378C" w14:textId="77777777" w:rsidR="00F06958" w:rsidRPr="00997D5A" w:rsidRDefault="00F06958" w:rsidP="00547D00">
      <w:pPr>
        <w:pStyle w:val="Textonotapie"/>
        <w:ind w:firstLine="709"/>
        <w:jc w:val="both"/>
        <w:rPr>
          <w:rFonts w:ascii="Arial" w:hAnsi="Arial" w:cs="Arial"/>
          <w:sz w:val="19"/>
          <w:szCs w:val="19"/>
        </w:rPr>
      </w:pPr>
      <w:r w:rsidRPr="00997D5A">
        <w:rPr>
          <w:rFonts w:ascii="Arial" w:hAnsi="Arial" w:cs="Arial"/>
          <w:sz w:val="19"/>
          <w:szCs w:val="19"/>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4">
    <w:p w14:paraId="22EBE6A1" w14:textId="77777777" w:rsidR="00F06958" w:rsidRPr="00997D5A" w:rsidRDefault="00F06958" w:rsidP="00547D00">
      <w:pPr>
        <w:pStyle w:val="Textonotapie"/>
        <w:ind w:firstLine="709"/>
        <w:jc w:val="both"/>
        <w:rPr>
          <w:rFonts w:ascii="Arial" w:hAnsi="Arial" w:cs="Arial"/>
          <w:sz w:val="19"/>
          <w:szCs w:val="19"/>
        </w:rPr>
      </w:pPr>
      <w:r w:rsidRPr="00997D5A">
        <w:rPr>
          <w:rStyle w:val="Refdenotaalpie"/>
          <w:rFonts w:ascii="Arial" w:hAnsi="Arial" w:cs="Arial"/>
          <w:sz w:val="19"/>
          <w:szCs w:val="19"/>
        </w:rPr>
        <w:footnoteRef/>
      </w:r>
      <w:r w:rsidRPr="00997D5A">
        <w:rPr>
          <w:rFonts w:ascii="Arial" w:hAnsi="Arial" w:cs="Arial"/>
          <w:sz w:val="19"/>
          <w:szCs w:val="19"/>
        </w:rPr>
        <w:t xml:space="preserve"> Gaceta del Congreso de la República No. 71 del 2005.</w:t>
      </w:r>
    </w:p>
    <w:p w14:paraId="4EFB7033" w14:textId="77777777" w:rsidR="00F06958" w:rsidRPr="00997D5A" w:rsidRDefault="00F06958" w:rsidP="00547D00">
      <w:pPr>
        <w:pStyle w:val="Textonotapie"/>
        <w:ind w:firstLine="709"/>
        <w:jc w:val="both"/>
        <w:rPr>
          <w:rFonts w:ascii="Arial" w:hAnsi="Arial" w:cs="Arial"/>
          <w:sz w:val="19"/>
          <w:szCs w:val="19"/>
        </w:rPr>
      </w:pPr>
    </w:p>
  </w:footnote>
  <w:footnote w:id="5">
    <w:p w14:paraId="1F0C39D5" w14:textId="77777777" w:rsidR="00F06958" w:rsidRPr="00997D5A" w:rsidRDefault="00F06958" w:rsidP="00547D00">
      <w:pPr>
        <w:pStyle w:val="Textonotapie"/>
        <w:ind w:firstLine="709"/>
        <w:jc w:val="both"/>
        <w:rPr>
          <w:rFonts w:ascii="Arial" w:hAnsi="Arial" w:cs="Arial"/>
          <w:sz w:val="19"/>
          <w:szCs w:val="19"/>
        </w:rPr>
      </w:pPr>
      <w:r w:rsidRPr="00997D5A">
        <w:rPr>
          <w:rStyle w:val="Refdenotaalpie"/>
          <w:rFonts w:ascii="Arial" w:hAnsi="Arial" w:cs="Arial"/>
          <w:sz w:val="19"/>
          <w:szCs w:val="19"/>
        </w:rPr>
        <w:footnoteRef/>
      </w:r>
      <w:r w:rsidRPr="00997D5A">
        <w:rPr>
          <w:rFonts w:ascii="Arial" w:hAnsi="Arial" w:cs="Arial"/>
          <w:sz w:val="19"/>
          <w:szCs w:val="19"/>
        </w:rPr>
        <w:t xml:space="preserve"> Corte Constitucional, Sentencia C- 1153 de 2005, M.P. Marco Gerardo Monroy Cabra.</w:t>
      </w:r>
    </w:p>
  </w:footnote>
  <w:footnote w:id="6">
    <w:p w14:paraId="33136A09" w14:textId="77777777" w:rsidR="00F06958" w:rsidRPr="00997D5A" w:rsidRDefault="00F06958" w:rsidP="00547D00">
      <w:pPr>
        <w:pStyle w:val="Textonotapie"/>
        <w:ind w:firstLine="709"/>
        <w:jc w:val="both"/>
        <w:rPr>
          <w:rFonts w:ascii="Arial" w:hAnsi="Arial" w:cs="Arial"/>
          <w:sz w:val="19"/>
          <w:szCs w:val="19"/>
        </w:rPr>
      </w:pPr>
      <w:r w:rsidRPr="00997D5A">
        <w:rPr>
          <w:rStyle w:val="Refdenotaalpie"/>
          <w:rFonts w:ascii="Arial" w:hAnsi="Arial" w:cs="Arial"/>
          <w:sz w:val="19"/>
          <w:szCs w:val="19"/>
        </w:rPr>
        <w:footnoteRef/>
      </w:r>
      <w:r w:rsidRPr="00997D5A">
        <w:rPr>
          <w:rFonts w:ascii="Arial" w:hAnsi="Arial" w:cs="Arial"/>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7">
    <w:p w14:paraId="0AD7A3F4" w14:textId="77777777" w:rsidR="00F06958" w:rsidRPr="00997D5A" w:rsidRDefault="00F06958" w:rsidP="00547D00">
      <w:pPr>
        <w:pStyle w:val="Textonotapie"/>
        <w:ind w:firstLine="709"/>
        <w:jc w:val="both"/>
        <w:rPr>
          <w:rFonts w:ascii="Arial" w:hAnsi="Arial" w:cs="Arial"/>
          <w:sz w:val="19"/>
          <w:szCs w:val="19"/>
        </w:rPr>
      </w:pPr>
      <w:r w:rsidRPr="00997D5A">
        <w:rPr>
          <w:rStyle w:val="Refdenotaalpie"/>
          <w:rFonts w:ascii="Arial" w:hAnsi="Arial" w:cs="Arial"/>
          <w:sz w:val="19"/>
          <w:szCs w:val="19"/>
        </w:rPr>
        <w:footnoteRef/>
      </w:r>
      <w:r w:rsidRPr="00997D5A">
        <w:rPr>
          <w:rFonts w:ascii="Arial" w:hAnsi="Arial" w:cs="Arial"/>
          <w:sz w:val="19"/>
          <w:szCs w:val="19"/>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8">
    <w:p w14:paraId="0DB98276" w14:textId="77777777" w:rsidR="00F06958" w:rsidRPr="00997D5A" w:rsidRDefault="00F06958" w:rsidP="00547D00">
      <w:pPr>
        <w:pStyle w:val="Textonotapie"/>
        <w:ind w:firstLine="709"/>
        <w:jc w:val="both"/>
        <w:rPr>
          <w:rFonts w:ascii="Arial" w:hAnsi="Arial" w:cs="Arial"/>
          <w:sz w:val="19"/>
          <w:szCs w:val="19"/>
        </w:rPr>
      </w:pPr>
      <w:r w:rsidRPr="00997D5A">
        <w:rPr>
          <w:rStyle w:val="Refdenotaalpie"/>
          <w:rFonts w:ascii="Arial" w:hAnsi="Arial" w:cs="Arial"/>
          <w:sz w:val="19"/>
          <w:szCs w:val="19"/>
        </w:rPr>
        <w:footnoteRef/>
      </w:r>
      <w:r w:rsidRPr="00997D5A">
        <w:rPr>
          <w:rFonts w:ascii="Arial" w:hAnsi="Arial" w:cs="Arial"/>
          <w:sz w:val="19"/>
          <w:szCs w:val="19"/>
        </w:rPr>
        <w:t xml:space="preserve"> Consejo de Estado, Sala de Consulta y Servicio Civil de fecha 24 de julio de 2013, radicado 2166, Consejero Ponente: Álvaro Namén Vargas.  </w:t>
      </w:r>
    </w:p>
  </w:footnote>
  <w:footnote w:id="9">
    <w:p w14:paraId="20CEB2E6" w14:textId="77777777" w:rsidR="00F06958" w:rsidRPr="00997D5A" w:rsidRDefault="00F06958" w:rsidP="00547D00">
      <w:pPr>
        <w:spacing w:after="0" w:line="240" w:lineRule="auto"/>
        <w:ind w:firstLine="709"/>
        <w:jc w:val="both"/>
        <w:rPr>
          <w:rFonts w:ascii="Arial" w:eastAsia="Times New Roman" w:hAnsi="Arial" w:cs="Arial"/>
          <w:sz w:val="19"/>
          <w:szCs w:val="19"/>
        </w:rPr>
      </w:pPr>
      <w:r w:rsidRPr="00997D5A">
        <w:rPr>
          <w:rStyle w:val="Refdenotaalpie"/>
          <w:rFonts w:ascii="Arial" w:hAnsi="Arial" w:cs="Arial"/>
          <w:sz w:val="19"/>
          <w:szCs w:val="19"/>
        </w:rPr>
        <w:footnoteRef/>
      </w:r>
      <w:r w:rsidRPr="00997D5A">
        <w:rPr>
          <w:rFonts w:ascii="Arial" w:hAnsi="Arial" w:cs="Arial"/>
          <w:sz w:val="19"/>
          <w:szCs w:val="19"/>
        </w:rPr>
        <w:t xml:space="preserve"> </w:t>
      </w:r>
      <w:bookmarkStart w:id="18" w:name="33"/>
      <w:r w:rsidRPr="00997D5A">
        <w:rPr>
          <w:rFonts w:ascii="Arial" w:eastAsia="Calibri" w:hAnsi="Arial" w:cs="Arial"/>
          <w:bCs/>
          <w:color w:val="000000"/>
          <w:sz w:val="19"/>
          <w:szCs w:val="19"/>
        </w:rPr>
        <w:t>«</w:t>
      </w:r>
      <w:r w:rsidRPr="00997D5A">
        <w:rPr>
          <w:rFonts w:ascii="Arial" w:eastAsia="Times New Roman" w:hAnsi="Arial" w:cs="Arial"/>
          <w:sz w:val="19"/>
          <w:szCs w:val="19"/>
        </w:rPr>
        <w:t>Artículo 33. Restricciones a la contratación pública.</w:t>
      </w:r>
      <w:bookmarkEnd w:id="18"/>
      <w:r w:rsidRPr="00997D5A">
        <w:rPr>
          <w:rFonts w:ascii="Arial" w:eastAsia="Times New Roman" w:hAnsi="Arial" w:cs="Arial"/>
          <w:sz w:val="19"/>
          <w:szCs w:val="19"/>
        </w:rPr>
        <w:t> Durante los cuatro (4) meses anteriores a la elección presidencial y hasta la realización de la elección en la segunda vuelta, si fuere el caso, queda prohibida la contratación directa por parte de todos los entes del Estado.</w:t>
      </w:r>
    </w:p>
    <w:p w14:paraId="34B1E6B7" w14:textId="77777777" w:rsidR="00F06958" w:rsidRPr="00997D5A" w:rsidRDefault="00F06958" w:rsidP="00547D00">
      <w:pPr>
        <w:spacing w:after="0" w:line="240" w:lineRule="auto"/>
        <w:ind w:firstLine="709"/>
        <w:jc w:val="both"/>
        <w:rPr>
          <w:rFonts w:ascii="Arial" w:eastAsia="Times New Roman" w:hAnsi="Arial" w:cs="Arial"/>
          <w:sz w:val="19"/>
          <w:szCs w:val="19"/>
        </w:rPr>
      </w:pPr>
      <w:r w:rsidRPr="00997D5A">
        <w:rPr>
          <w:rFonts w:ascii="Arial" w:eastAsia="Calibri" w:hAnsi="Arial" w:cs="Arial"/>
          <w:bCs/>
          <w:color w:val="000000"/>
          <w:sz w:val="19"/>
          <w:szCs w:val="19"/>
        </w:rPr>
        <w:t>»</w:t>
      </w:r>
      <w:r w:rsidRPr="00997D5A">
        <w:rPr>
          <w:rFonts w:ascii="Arial" w:eastAsia="Times New Roman" w:hAnsi="Arial" w:cs="Arial"/>
          <w:sz w:val="19"/>
          <w:szCs w:val="19"/>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997D5A">
        <w:rPr>
          <w:rFonts w:ascii="Arial" w:eastAsia="Calibri" w:hAnsi="Arial" w:cs="Arial"/>
          <w:bCs/>
          <w:color w:val="000000"/>
          <w:sz w:val="19"/>
          <w:szCs w:val="19"/>
        </w:rPr>
        <w:t>»</w:t>
      </w:r>
      <w:r w:rsidRPr="00997D5A">
        <w:rPr>
          <w:rFonts w:ascii="Arial" w:eastAsia="Times New Roman" w:hAnsi="Arial" w:cs="Arial"/>
          <w:sz w:val="19"/>
          <w:szCs w:val="19"/>
        </w:rPr>
        <w:t>.</w:t>
      </w:r>
    </w:p>
  </w:footnote>
  <w:footnote w:id="10">
    <w:p w14:paraId="27ECC70F" w14:textId="77777777" w:rsidR="00F06958" w:rsidRPr="00997D5A" w:rsidRDefault="00F06958" w:rsidP="00547D00">
      <w:pPr>
        <w:pStyle w:val="NormalWeb"/>
        <w:spacing w:after="0" w:line="240" w:lineRule="auto"/>
        <w:ind w:firstLine="709"/>
        <w:jc w:val="both"/>
        <w:rPr>
          <w:rFonts w:ascii="Arial" w:hAnsi="Arial" w:cs="Arial"/>
          <w:sz w:val="19"/>
          <w:szCs w:val="19"/>
          <w:lang w:val="es-MX"/>
        </w:rPr>
      </w:pPr>
      <w:r w:rsidRPr="00997D5A">
        <w:rPr>
          <w:rStyle w:val="Refdenotaalpie"/>
          <w:rFonts w:ascii="Arial" w:hAnsi="Arial" w:cs="Arial"/>
          <w:sz w:val="19"/>
          <w:szCs w:val="19"/>
        </w:rPr>
        <w:footnoteRef/>
      </w:r>
      <w:r w:rsidRPr="00997D5A">
        <w:rPr>
          <w:rFonts w:ascii="Arial" w:hAnsi="Arial" w:cs="Arial"/>
          <w:sz w:val="19"/>
          <w:szCs w:val="19"/>
        </w:rPr>
        <w:t xml:space="preserve"> </w:t>
      </w:r>
      <w:bookmarkStart w:id="19" w:name="38"/>
      <w:r w:rsidRPr="00997D5A">
        <w:rPr>
          <w:rFonts w:ascii="Arial" w:eastAsia="Calibri" w:hAnsi="Arial" w:cs="Arial"/>
          <w:bCs/>
          <w:color w:val="000000"/>
          <w:sz w:val="19"/>
          <w:szCs w:val="19"/>
        </w:rPr>
        <w:t>«</w:t>
      </w:r>
      <w:r w:rsidRPr="00997D5A">
        <w:rPr>
          <w:rFonts w:ascii="Arial" w:hAnsi="Arial" w:cs="Arial"/>
          <w:sz w:val="19"/>
          <w:szCs w:val="19"/>
          <w:lang w:val="es-MX"/>
        </w:rPr>
        <w:t>Artículo 38. Prohibiciones para los servidores públicos. A los empleados del Estado les está prohibido:</w:t>
      </w:r>
      <w:bookmarkEnd w:id="19"/>
    </w:p>
    <w:p w14:paraId="419D565A" w14:textId="77777777" w:rsidR="00F06958" w:rsidRPr="00997D5A" w:rsidRDefault="00F06958" w:rsidP="00547D00">
      <w:pPr>
        <w:pStyle w:val="NormalWeb"/>
        <w:spacing w:after="0" w:line="240" w:lineRule="auto"/>
        <w:ind w:firstLine="709"/>
        <w:jc w:val="both"/>
        <w:rPr>
          <w:rFonts w:ascii="Arial" w:hAnsi="Arial" w:cs="Arial"/>
          <w:sz w:val="19"/>
          <w:szCs w:val="19"/>
          <w:lang w:val="es-MX"/>
        </w:rPr>
      </w:pPr>
      <w:r w:rsidRPr="00997D5A">
        <w:rPr>
          <w:rFonts w:ascii="Arial" w:eastAsia="Calibri" w:hAnsi="Arial" w:cs="Arial"/>
          <w:bCs/>
          <w:color w:val="000000"/>
          <w:sz w:val="19"/>
          <w:szCs w:val="19"/>
        </w:rPr>
        <w:t>»</w:t>
      </w:r>
      <w:r w:rsidRPr="00997D5A">
        <w:rPr>
          <w:rFonts w:ascii="Arial" w:hAnsi="Arial" w:cs="Arial"/>
          <w:sz w:val="19"/>
          <w:szCs w:val="19"/>
          <w:lang w:val="es-MX"/>
        </w:rPr>
        <w:t xml:space="preserve"> […]</w:t>
      </w:r>
    </w:p>
    <w:p w14:paraId="4C06949C" w14:textId="77777777" w:rsidR="00F06958" w:rsidRPr="00997D5A" w:rsidRDefault="00F06958" w:rsidP="00547D00">
      <w:pPr>
        <w:pStyle w:val="NormalWeb"/>
        <w:spacing w:after="0" w:line="240" w:lineRule="auto"/>
        <w:ind w:firstLine="709"/>
        <w:jc w:val="both"/>
        <w:rPr>
          <w:rFonts w:ascii="Arial" w:hAnsi="Arial" w:cs="Arial"/>
          <w:sz w:val="19"/>
          <w:szCs w:val="19"/>
          <w:lang w:val="es-MX"/>
        </w:rPr>
      </w:pPr>
      <w:r w:rsidRPr="00997D5A">
        <w:rPr>
          <w:rFonts w:ascii="Arial" w:eastAsia="Calibri" w:hAnsi="Arial" w:cs="Arial"/>
          <w:bCs/>
          <w:color w:val="000000"/>
          <w:sz w:val="19"/>
          <w:szCs w:val="19"/>
        </w:rPr>
        <w:t>»</w:t>
      </w:r>
      <w:r w:rsidRPr="00997D5A">
        <w:rPr>
          <w:rStyle w:val="baj"/>
          <w:rFonts w:ascii="Arial" w:hAnsi="Arial" w:cs="Arial"/>
          <w:sz w:val="19"/>
          <w:szCs w:val="19"/>
          <w:lang w:val="es-MX"/>
        </w:rPr>
        <w:t xml:space="preserve"> Parágrafo.</w:t>
      </w:r>
      <w:r w:rsidRPr="00997D5A">
        <w:rPr>
          <w:rFonts w:ascii="Arial" w:hAnsi="Arial" w:cs="Arial"/>
          <w:sz w:val="19"/>
          <w:szCs w:val="19"/>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997D5A">
        <w:rPr>
          <w:rFonts w:ascii="Arial" w:eastAsia="Calibri" w:hAnsi="Arial" w:cs="Arial"/>
          <w:bCs/>
          <w:color w:val="000000"/>
          <w:sz w:val="19"/>
          <w:szCs w:val="19"/>
        </w:rPr>
        <w:t>»</w:t>
      </w:r>
      <w:r w:rsidRPr="00997D5A">
        <w:rPr>
          <w:rFonts w:ascii="Arial" w:hAnsi="Arial" w:cs="Arial"/>
          <w:sz w:val="19"/>
          <w:szCs w:val="19"/>
          <w:lang w:val="es-MX"/>
        </w:rPr>
        <w:t>.</w:t>
      </w:r>
    </w:p>
  </w:footnote>
  <w:footnote w:id="11">
    <w:p w14:paraId="337FFD50" w14:textId="77777777" w:rsidR="00F06958" w:rsidRPr="00997D5A" w:rsidRDefault="00F06958" w:rsidP="00547D00">
      <w:pPr>
        <w:spacing w:after="0" w:line="240" w:lineRule="auto"/>
        <w:ind w:left="100" w:right="244" w:firstLine="709"/>
        <w:jc w:val="both"/>
        <w:rPr>
          <w:rFonts w:ascii="Arial" w:hAnsi="Arial" w:cs="Arial"/>
          <w:sz w:val="19"/>
          <w:szCs w:val="19"/>
          <w:lang w:val="es-ES"/>
        </w:rPr>
      </w:pPr>
      <w:r w:rsidRPr="00997D5A">
        <w:rPr>
          <w:rStyle w:val="Refdenotaalpie"/>
          <w:rFonts w:ascii="Arial" w:hAnsi="Arial" w:cs="Arial"/>
          <w:sz w:val="19"/>
          <w:szCs w:val="19"/>
        </w:rPr>
        <w:footnoteRef/>
      </w:r>
      <w:r w:rsidRPr="00997D5A">
        <w:rPr>
          <w:rFonts w:ascii="Arial" w:hAnsi="Arial" w:cs="Arial"/>
          <w:sz w:val="19"/>
          <w:szCs w:val="19"/>
        </w:rPr>
        <w:t xml:space="preserve"> Consejo de Estado. Sala de Consulta y Servicio Civil. Concepto del 17 de febrero de 2015. C.P. William Zambrano Cetina. Radicación No. 11001-03-06-000-2015-00164-00(2269).</w:t>
      </w:r>
    </w:p>
  </w:footnote>
  <w:footnote w:id="12">
    <w:p w14:paraId="5025BB55" w14:textId="77777777" w:rsidR="00F06958" w:rsidRPr="00997D5A" w:rsidRDefault="00F06958" w:rsidP="00547D00">
      <w:pPr>
        <w:pStyle w:val="Textonotapie"/>
        <w:ind w:right="51" w:firstLine="709"/>
        <w:jc w:val="both"/>
        <w:rPr>
          <w:rFonts w:ascii="Arial" w:hAnsi="Arial" w:cs="Arial"/>
          <w:sz w:val="19"/>
          <w:szCs w:val="19"/>
        </w:rPr>
      </w:pPr>
      <w:r w:rsidRPr="00997D5A">
        <w:rPr>
          <w:rStyle w:val="Refdenotaalpie"/>
          <w:rFonts w:ascii="Arial" w:hAnsi="Arial" w:cs="Arial"/>
          <w:sz w:val="19"/>
          <w:szCs w:val="19"/>
        </w:rPr>
        <w:footnoteRef/>
      </w:r>
      <w:r w:rsidRPr="00997D5A">
        <w:rPr>
          <w:rFonts w:ascii="Arial" w:hAnsi="Arial" w:cs="Arial"/>
          <w:sz w:val="19"/>
          <w:szCs w:val="19"/>
        </w:rPr>
        <w:t xml:space="preserve"> </w:t>
      </w:r>
      <w:bookmarkStart w:id="26" w:name="_Hlk74272731"/>
      <w:r w:rsidRPr="00997D5A">
        <w:rPr>
          <w:rFonts w:ascii="Arial" w:hAnsi="Arial" w:cs="Arial"/>
          <w:sz w:val="19"/>
          <w:szCs w:val="19"/>
        </w:rPr>
        <w:t>«</w:t>
      </w:r>
      <w:bookmarkEnd w:id="26"/>
      <w:r w:rsidRPr="00997D5A">
        <w:rPr>
          <w:rFonts w:ascii="Arial" w:hAnsi="Arial" w:cs="Arial"/>
          <w:sz w:val="19"/>
          <w:szCs w:val="19"/>
          <w:lang w:val="es-ES"/>
        </w:rPr>
        <w:t xml:space="preserve">[25] </w:t>
      </w:r>
      <w:r w:rsidRPr="00997D5A">
        <w:rPr>
          <w:rFonts w:ascii="Arial" w:hAnsi="Arial" w:cs="Arial"/>
          <w:sz w:val="19"/>
          <w:szCs w:val="19"/>
        </w:rPr>
        <w:t>Cfr. Consejo de Estado. Sección Tercera. Sentencia de 3 de diciembre de 2007. Radicados: 24.715, 25.206, 25.409, 24.524, 27.834, 25.410, 26.105, 28.244, 31.447 -acumulados-</w:t>
      </w:r>
      <w:bookmarkStart w:id="27" w:name="_Hlk74271358"/>
      <w:r w:rsidRPr="00997D5A">
        <w:rPr>
          <w:rFonts w:ascii="Arial" w:hAnsi="Arial" w:cs="Arial"/>
          <w:sz w:val="19"/>
          <w:szCs w:val="19"/>
        </w:rPr>
        <w:t>»</w:t>
      </w:r>
      <w:bookmarkEnd w:id="27"/>
      <w:r w:rsidRPr="00997D5A">
        <w:rPr>
          <w:rFonts w:ascii="Arial" w:hAnsi="Arial" w:cs="Arial"/>
          <w:sz w:val="19"/>
          <w:szCs w:val="19"/>
        </w:rPr>
        <w:t>.</w:t>
      </w:r>
    </w:p>
    <w:p w14:paraId="52907A7A" w14:textId="77777777" w:rsidR="00F06958" w:rsidRPr="00997D5A" w:rsidRDefault="00F06958" w:rsidP="00547D00">
      <w:pPr>
        <w:pStyle w:val="Textonotapie"/>
        <w:ind w:right="51" w:firstLine="709"/>
        <w:jc w:val="both"/>
        <w:rPr>
          <w:rFonts w:ascii="Arial" w:hAnsi="Arial" w:cs="Arial"/>
          <w:sz w:val="19"/>
          <w:szCs w:val="19"/>
        </w:rPr>
      </w:pPr>
    </w:p>
  </w:footnote>
  <w:footnote w:id="13">
    <w:p w14:paraId="0BB788EB" w14:textId="77777777" w:rsidR="00F06958" w:rsidRPr="00997D5A" w:rsidRDefault="00F06958" w:rsidP="00547D00">
      <w:pPr>
        <w:pStyle w:val="Textonotapie"/>
        <w:ind w:right="51" w:firstLine="709"/>
        <w:jc w:val="both"/>
        <w:rPr>
          <w:rFonts w:ascii="Arial" w:hAnsi="Arial" w:cs="Arial"/>
          <w:sz w:val="19"/>
          <w:szCs w:val="19"/>
        </w:rPr>
      </w:pPr>
      <w:r w:rsidRPr="00997D5A">
        <w:rPr>
          <w:rStyle w:val="Refdenotaalpie"/>
          <w:rFonts w:ascii="Arial" w:hAnsi="Arial" w:cs="Arial"/>
          <w:sz w:val="19"/>
          <w:szCs w:val="19"/>
        </w:rPr>
        <w:footnoteRef/>
      </w:r>
      <w:r w:rsidRPr="00997D5A">
        <w:rPr>
          <w:rFonts w:ascii="Arial" w:hAnsi="Arial" w:cs="Arial"/>
          <w:sz w:val="19"/>
          <w:szCs w:val="19"/>
        </w:rPr>
        <w:t xml:space="preserve"> </w:t>
      </w:r>
      <w:bookmarkStart w:id="29" w:name="_Hlk74294506"/>
      <w:r w:rsidRPr="00997D5A">
        <w:rPr>
          <w:rFonts w:ascii="Arial" w:hAnsi="Arial" w:cs="Arial"/>
          <w:sz w:val="19"/>
          <w:szCs w:val="19"/>
        </w:rPr>
        <w:t>«</w:t>
      </w:r>
      <w:r w:rsidRPr="00997D5A">
        <w:rPr>
          <w:rFonts w:ascii="Arial" w:hAnsi="Arial" w:cs="Arial"/>
          <w:sz w:val="19"/>
          <w:szCs w:val="19"/>
          <w:lang w:val="es-ES"/>
        </w:rPr>
        <w:t xml:space="preserve">[26] </w:t>
      </w:r>
      <w:bookmarkEnd w:id="29"/>
      <w:r w:rsidRPr="00997D5A">
        <w:rPr>
          <w:rFonts w:ascii="Arial" w:hAnsi="Arial" w:cs="Arial"/>
          <w:sz w:val="19"/>
          <w:szCs w:val="19"/>
        </w:rPr>
        <w:t>Al respecto ver el concepto 1712 de 2 de febrero de 2006. Consejo de Estado Sala de Consulta y Servicio Civil».</w:t>
      </w:r>
    </w:p>
  </w:footnote>
  <w:footnote w:id="14">
    <w:p w14:paraId="1B0C56BF" w14:textId="2B50A8BA" w:rsidR="00F06958" w:rsidRPr="00997D5A" w:rsidRDefault="00F06958" w:rsidP="00547D00">
      <w:pPr>
        <w:pStyle w:val="Textonotapie"/>
        <w:ind w:firstLine="709"/>
        <w:jc w:val="both"/>
        <w:rPr>
          <w:rFonts w:ascii="Arial" w:hAnsi="Arial" w:cs="Arial"/>
          <w:sz w:val="19"/>
          <w:szCs w:val="19"/>
        </w:rPr>
      </w:pPr>
      <w:r w:rsidRPr="00997D5A">
        <w:rPr>
          <w:rStyle w:val="Refdenotaalpie"/>
          <w:rFonts w:ascii="Arial" w:hAnsi="Arial" w:cs="Arial"/>
          <w:sz w:val="19"/>
          <w:szCs w:val="19"/>
        </w:rPr>
        <w:footnoteRef/>
      </w:r>
      <w:r w:rsidRPr="00997D5A">
        <w:rPr>
          <w:rFonts w:ascii="Arial" w:hAnsi="Arial" w:cs="Arial"/>
          <w:sz w:val="19"/>
          <w:szCs w:val="19"/>
        </w:rPr>
        <w:t xml:space="preserve"> Consejo de Estado. Sala de Consulta y Servicio Civil. Concepto del 2 de septiembre de 2013. Radicación número: 11001-03-06-000-2013-00412-00 (2</w:t>
      </w:r>
      <w:r w:rsidR="00547D00" w:rsidRPr="00547D00">
        <w:rPr>
          <w:rFonts w:ascii="Arial" w:hAnsi="Arial" w:cs="Arial"/>
          <w:sz w:val="19"/>
          <w:szCs w:val="19"/>
        </w:rPr>
        <w:t>.</w:t>
      </w:r>
      <w:r w:rsidRPr="00997D5A">
        <w:rPr>
          <w:rFonts w:ascii="Arial" w:hAnsi="Arial" w:cs="Arial"/>
          <w:sz w:val="19"/>
          <w:szCs w:val="19"/>
        </w:rPr>
        <w:t>168). Consejero Ponente: Álvaro Namén Vargas.</w:t>
      </w:r>
    </w:p>
  </w:footnote>
  <w:footnote w:id="15">
    <w:p w14:paraId="0E93A584" w14:textId="77777777" w:rsidR="00C456EA" w:rsidRPr="00997D5A" w:rsidRDefault="00C456EA" w:rsidP="00997D5A">
      <w:pPr>
        <w:pStyle w:val="Textonotapie"/>
        <w:ind w:firstLine="709"/>
        <w:jc w:val="both"/>
        <w:rPr>
          <w:rFonts w:ascii="Arial" w:hAnsi="Arial" w:cs="Arial"/>
          <w:sz w:val="19"/>
          <w:szCs w:val="19"/>
          <w:lang w:val="es-ES"/>
        </w:rPr>
      </w:pPr>
      <w:r w:rsidRPr="00997D5A">
        <w:rPr>
          <w:rStyle w:val="Refdenotaalpie"/>
          <w:rFonts w:ascii="Arial" w:hAnsi="Arial" w:cs="Arial"/>
          <w:sz w:val="19"/>
          <w:szCs w:val="19"/>
        </w:rPr>
        <w:footnoteRef/>
      </w:r>
      <w:r w:rsidRPr="00997D5A">
        <w:rPr>
          <w:rFonts w:ascii="Arial" w:hAnsi="Arial" w:cs="Arial"/>
          <w:sz w:val="19"/>
          <w:szCs w:val="19"/>
        </w:rPr>
        <w:t xml:space="preserve"> </w:t>
      </w:r>
      <w:r w:rsidRPr="00997D5A">
        <w:rPr>
          <w:rFonts w:ascii="Arial" w:hAnsi="Arial" w:cs="Arial"/>
          <w:sz w:val="19"/>
          <w:szCs w:val="19"/>
          <w:lang w:val="es-ES"/>
        </w:rPr>
        <w:t xml:space="preserve">Artículo 2. </w:t>
      </w:r>
    </w:p>
    <w:p w14:paraId="51416D2D" w14:textId="77777777" w:rsidR="00C456EA" w:rsidRPr="00997D5A" w:rsidRDefault="00C456EA" w:rsidP="00997D5A">
      <w:pPr>
        <w:pStyle w:val="Textonotapie"/>
        <w:ind w:firstLine="709"/>
        <w:jc w:val="both"/>
        <w:rPr>
          <w:rFonts w:ascii="Arial" w:hAnsi="Arial" w:cs="Arial"/>
          <w:sz w:val="19"/>
          <w:szCs w:val="19"/>
          <w:lang w:val="es-ES"/>
        </w:rPr>
      </w:pPr>
    </w:p>
  </w:footnote>
  <w:footnote w:id="16">
    <w:p w14:paraId="56064857" w14:textId="77777777" w:rsidR="00C456EA" w:rsidRPr="00997D5A" w:rsidRDefault="00C456EA" w:rsidP="00997D5A">
      <w:pPr>
        <w:pStyle w:val="Textonotapie"/>
        <w:ind w:firstLine="709"/>
        <w:jc w:val="both"/>
        <w:rPr>
          <w:rFonts w:ascii="Arial" w:hAnsi="Arial" w:cs="Arial"/>
          <w:sz w:val="19"/>
          <w:szCs w:val="19"/>
          <w:lang w:val="es-ES"/>
        </w:rPr>
      </w:pPr>
      <w:r w:rsidRPr="00997D5A">
        <w:rPr>
          <w:rStyle w:val="Refdenotaalpie"/>
          <w:rFonts w:ascii="Arial" w:hAnsi="Arial" w:cs="Arial"/>
          <w:sz w:val="19"/>
          <w:szCs w:val="19"/>
        </w:rPr>
        <w:footnoteRef/>
      </w:r>
      <w:r w:rsidRPr="00997D5A">
        <w:rPr>
          <w:rFonts w:ascii="Arial" w:hAnsi="Arial" w:cs="Arial"/>
          <w:sz w:val="19"/>
          <w:szCs w:val="19"/>
        </w:rPr>
        <w:t xml:space="preserve"> </w:t>
      </w:r>
      <w:r w:rsidRPr="00997D5A">
        <w:rPr>
          <w:rFonts w:ascii="Arial" w:hAnsi="Arial" w:cs="Arial"/>
          <w:i/>
          <w:sz w:val="19"/>
          <w:szCs w:val="19"/>
          <w:lang w:val="es-ES"/>
        </w:rPr>
        <w:t>Ídem</w:t>
      </w:r>
      <w:r w:rsidRPr="00997D5A">
        <w:rPr>
          <w:rFonts w:ascii="Arial" w:hAnsi="Arial" w:cs="Arial"/>
          <w:sz w:val="19"/>
          <w:szCs w:val="19"/>
          <w:lang w:val="es-ES"/>
        </w:rPr>
        <w:t>.</w:t>
      </w:r>
    </w:p>
    <w:p w14:paraId="4A120826" w14:textId="77777777" w:rsidR="00C456EA" w:rsidRPr="00997D5A" w:rsidRDefault="00C456EA" w:rsidP="00997D5A">
      <w:pPr>
        <w:pStyle w:val="Textonotapie"/>
        <w:ind w:firstLine="709"/>
        <w:jc w:val="both"/>
        <w:rPr>
          <w:rFonts w:ascii="Arial" w:hAnsi="Arial" w:cs="Arial"/>
          <w:sz w:val="19"/>
          <w:szCs w:val="19"/>
          <w:lang w:val="es-ES"/>
        </w:rPr>
      </w:pPr>
    </w:p>
  </w:footnote>
  <w:footnote w:id="17">
    <w:p w14:paraId="2305000C" w14:textId="77777777" w:rsidR="00F06958" w:rsidRPr="00997D5A" w:rsidRDefault="00F06958" w:rsidP="00547D00">
      <w:pPr>
        <w:pStyle w:val="Textonotapie"/>
        <w:jc w:val="both"/>
        <w:rPr>
          <w:rFonts w:ascii="Arial" w:hAnsi="Arial" w:cs="Arial"/>
          <w:sz w:val="19"/>
          <w:szCs w:val="19"/>
        </w:rPr>
      </w:pPr>
    </w:p>
    <w:p w14:paraId="11DF9B0A" w14:textId="77777777" w:rsidR="00F06958" w:rsidRPr="00997D5A" w:rsidRDefault="00F06958" w:rsidP="00547D00">
      <w:pPr>
        <w:pStyle w:val="Textonotapie"/>
        <w:ind w:firstLine="709"/>
        <w:jc w:val="both"/>
        <w:rPr>
          <w:rFonts w:ascii="Arial" w:hAnsi="Arial" w:cs="Arial"/>
          <w:sz w:val="19"/>
          <w:szCs w:val="19"/>
          <w:lang w:val="es-ES"/>
        </w:rPr>
      </w:pPr>
      <w:r w:rsidRPr="00997D5A">
        <w:rPr>
          <w:rStyle w:val="Refdenotaalpie"/>
          <w:rFonts w:ascii="Arial" w:hAnsi="Arial" w:cs="Arial"/>
          <w:sz w:val="19"/>
          <w:szCs w:val="19"/>
        </w:rPr>
        <w:footnoteRef/>
      </w:r>
      <w:r w:rsidRPr="00997D5A">
        <w:rPr>
          <w:rStyle w:val="Refdenotaalpie"/>
          <w:rFonts w:ascii="Arial" w:hAnsi="Arial" w:cs="Arial"/>
          <w:sz w:val="19"/>
          <w:szCs w:val="19"/>
        </w:rPr>
        <w:t xml:space="preserve"> </w:t>
      </w:r>
      <w:bookmarkStart w:id="32" w:name="_Hlk74297130"/>
      <w:r w:rsidRPr="00997D5A">
        <w:rPr>
          <w:rFonts w:ascii="Arial" w:hAnsi="Arial" w:cs="Arial"/>
          <w:sz w:val="19"/>
          <w:szCs w:val="19"/>
          <w:lang w:val="es-ES"/>
        </w:rPr>
        <w:t>«</w:t>
      </w:r>
      <w:bookmarkEnd w:id="32"/>
      <w:r w:rsidRPr="00997D5A">
        <w:rPr>
          <w:rFonts w:ascii="Arial" w:hAnsi="Arial" w:cs="Arial"/>
          <w:sz w:val="19"/>
          <w:szCs w:val="19"/>
          <w:lang w:val="es-ES"/>
        </w:rPr>
        <w:t xml:space="preserve">[…] A este respecto, cabe recordar que el artículo 860 del Código de Comercio regula la licitación en el derecho privado». </w:t>
      </w:r>
    </w:p>
  </w:footnote>
  <w:footnote w:id="18">
    <w:p w14:paraId="4A4B7778" w14:textId="110AF43A" w:rsidR="00F06958" w:rsidRPr="00997D5A" w:rsidRDefault="00F06958" w:rsidP="00547D00">
      <w:pPr>
        <w:shd w:val="clear" w:color="auto" w:fill="FFFFFF"/>
        <w:spacing w:after="0" w:line="240" w:lineRule="auto"/>
        <w:ind w:firstLine="709"/>
        <w:jc w:val="both"/>
        <w:rPr>
          <w:rFonts w:ascii="Arial" w:hAnsi="Arial" w:cs="Arial"/>
          <w:sz w:val="19"/>
          <w:szCs w:val="19"/>
          <w:lang w:val="es-ES"/>
        </w:rPr>
      </w:pPr>
      <w:r w:rsidRPr="00997D5A">
        <w:rPr>
          <w:rStyle w:val="Refdenotaalpie"/>
          <w:rFonts w:ascii="Arial" w:hAnsi="Arial" w:cs="Arial"/>
          <w:sz w:val="19"/>
          <w:szCs w:val="19"/>
        </w:rPr>
        <w:footnoteRef/>
      </w:r>
      <w:r w:rsidRPr="00997D5A">
        <w:rPr>
          <w:rStyle w:val="Refdenotaalpie"/>
          <w:rFonts w:ascii="Arial" w:hAnsi="Arial" w:cs="Arial"/>
          <w:sz w:val="19"/>
          <w:szCs w:val="19"/>
        </w:rPr>
        <w:t xml:space="preserve"> </w:t>
      </w:r>
      <w:r w:rsidRPr="00997D5A">
        <w:rPr>
          <w:rFonts w:ascii="Arial" w:hAnsi="Arial" w:cs="Arial"/>
          <w:sz w:val="19"/>
          <w:szCs w:val="19"/>
          <w:lang w:val="es-ES"/>
        </w:rPr>
        <w:t>Consejo de Estado. Sala de Consulta y Servicio Civil, Concepto de 8 de mayo de 2018. Radicación Número: 11001-03-06-000-2018-00095-00</w:t>
      </w:r>
      <w:r w:rsidR="00547D00" w:rsidRPr="00547D00">
        <w:rPr>
          <w:rFonts w:ascii="Arial" w:hAnsi="Arial" w:cs="Arial"/>
          <w:sz w:val="19"/>
          <w:szCs w:val="19"/>
          <w:lang w:val="es-ES"/>
        </w:rPr>
        <w:t xml:space="preserve"> </w:t>
      </w:r>
      <w:r w:rsidRPr="00997D5A">
        <w:rPr>
          <w:rFonts w:ascii="Arial" w:hAnsi="Arial" w:cs="Arial"/>
          <w:sz w:val="19"/>
          <w:szCs w:val="19"/>
          <w:lang w:val="es-ES"/>
        </w:rPr>
        <w:t>(2</w:t>
      </w:r>
      <w:r w:rsidR="00547D00" w:rsidRPr="00547D00">
        <w:rPr>
          <w:rFonts w:ascii="Arial" w:hAnsi="Arial" w:cs="Arial"/>
          <w:sz w:val="19"/>
          <w:szCs w:val="19"/>
          <w:lang w:val="es-ES"/>
        </w:rPr>
        <w:t>.</w:t>
      </w:r>
      <w:r w:rsidRPr="00997D5A">
        <w:rPr>
          <w:rFonts w:ascii="Arial" w:hAnsi="Arial" w:cs="Arial"/>
          <w:sz w:val="19"/>
          <w:szCs w:val="19"/>
          <w:lang w:val="es-ES"/>
        </w:rPr>
        <w:t>382). Consejero Ponente: Álvaro Namén Vargas.</w:t>
      </w:r>
    </w:p>
  </w:footnote>
  <w:footnote w:id="19">
    <w:p w14:paraId="4C331035" w14:textId="77777777" w:rsidR="00F06958" w:rsidRPr="00997D5A" w:rsidRDefault="00F06958" w:rsidP="00547D00">
      <w:pPr>
        <w:pStyle w:val="Textonotapie"/>
        <w:ind w:firstLine="709"/>
        <w:jc w:val="both"/>
        <w:rPr>
          <w:rFonts w:ascii="Arial" w:hAnsi="Arial" w:cs="Arial"/>
          <w:sz w:val="19"/>
          <w:szCs w:val="19"/>
        </w:rPr>
      </w:pPr>
      <w:r w:rsidRPr="00997D5A">
        <w:rPr>
          <w:rStyle w:val="Refdenotaalpie"/>
          <w:rFonts w:ascii="Arial" w:hAnsi="Arial" w:cs="Arial"/>
          <w:sz w:val="19"/>
          <w:szCs w:val="19"/>
        </w:rPr>
        <w:footnoteRef/>
      </w:r>
      <w:r w:rsidRPr="00997D5A">
        <w:rPr>
          <w:rFonts w:ascii="Arial" w:hAnsi="Arial" w:cs="Arial"/>
          <w:sz w:val="19"/>
          <w:szCs w:val="19"/>
        </w:rPr>
        <w:t xml:space="preserve"> Consejo de Estado. Sala de Consulta y Servicio Civil. Concepto del 08 de mayo de 2018. Exp. 2.382. C.P. Álvaro Namén Vargas.</w:t>
      </w:r>
    </w:p>
  </w:footnote>
  <w:footnote w:id="20">
    <w:p w14:paraId="5E01A462" w14:textId="77777777" w:rsidR="00F06958" w:rsidRPr="00997D5A" w:rsidRDefault="00F06958" w:rsidP="00547D00">
      <w:pPr>
        <w:pStyle w:val="Textonotapie"/>
        <w:ind w:firstLine="709"/>
        <w:jc w:val="both"/>
        <w:rPr>
          <w:rFonts w:ascii="Arial" w:hAnsi="Arial" w:cs="Arial"/>
          <w:sz w:val="19"/>
          <w:szCs w:val="19"/>
        </w:rPr>
      </w:pPr>
      <w:r w:rsidRPr="00997D5A">
        <w:rPr>
          <w:rStyle w:val="Refdenotaalpie"/>
          <w:rFonts w:ascii="Arial" w:hAnsi="Arial" w:cs="Arial"/>
          <w:sz w:val="19"/>
          <w:szCs w:val="19"/>
        </w:rPr>
        <w:footnoteRef/>
      </w:r>
      <w:r w:rsidRPr="00997D5A">
        <w:rPr>
          <w:rFonts w:ascii="Arial" w:hAnsi="Arial" w:cs="Arial"/>
          <w:sz w:val="19"/>
          <w:szCs w:val="19"/>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1">
    <w:p w14:paraId="2414A364" w14:textId="100233EA" w:rsidR="00C456EA" w:rsidRPr="00997D5A" w:rsidRDefault="00C456EA" w:rsidP="00997D5A">
      <w:pPr>
        <w:ind w:firstLine="709"/>
        <w:jc w:val="both"/>
        <w:rPr>
          <w:rFonts w:ascii="Arial" w:hAnsi="Arial" w:cs="Arial"/>
          <w:color w:val="000000" w:themeColor="text1"/>
          <w:sz w:val="19"/>
          <w:szCs w:val="19"/>
        </w:rPr>
      </w:pPr>
      <w:r w:rsidRPr="00997D5A">
        <w:rPr>
          <w:rStyle w:val="Refdenotaalpie"/>
          <w:rFonts w:ascii="Arial" w:hAnsi="Arial" w:cs="Arial"/>
          <w:color w:val="000000" w:themeColor="text1"/>
          <w:sz w:val="19"/>
          <w:szCs w:val="19"/>
        </w:rPr>
        <w:footnoteRef/>
      </w:r>
      <w:r w:rsidRPr="00997D5A">
        <w:rPr>
          <w:rFonts w:ascii="Arial" w:hAnsi="Arial" w:cs="Arial"/>
          <w:color w:val="000000" w:themeColor="text1"/>
          <w:sz w:val="19"/>
          <w:szCs w:val="19"/>
        </w:rPr>
        <w:t xml:space="preserve"> Consejo de Estado. Sala de Consulta y Servicio Civil. Concepto de 20 de febrero de 2006. Radicación Número: 11001-03-06-000-2006-00026-00 (1727).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2">
    <w:p w14:paraId="46CCE741" w14:textId="77777777" w:rsidR="00C456EA" w:rsidRPr="00997D5A" w:rsidRDefault="00C456EA" w:rsidP="00997D5A">
      <w:pPr>
        <w:pStyle w:val="Textonotapie"/>
        <w:ind w:firstLine="709"/>
        <w:jc w:val="both"/>
        <w:rPr>
          <w:rFonts w:ascii="Arial" w:eastAsia="Times New Roman" w:hAnsi="Arial" w:cs="Arial"/>
          <w:bCs/>
          <w:sz w:val="19"/>
          <w:szCs w:val="19"/>
          <w:lang w:eastAsia="x-none"/>
        </w:rPr>
      </w:pPr>
      <w:r w:rsidRPr="00997D5A">
        <w:rPr>
          <w:rStyle w:val="Refdenotaalpie"/>
          <w:rFonts w:ascii="Arial" w:hAnsi="Arial" w:cs="Arial"/>
          <w:sz w:val="19"/>
          <w:szCs w:val="19"/>
        </w:rPr>
        <w:footnoteRef/>
      </w:r>
      <w:r w:rsidRPr="00997D5A">
        <w:rPr>
          <w:rFonts w:ascii="Arial" w:hAnsi="Arial" w:cs="Arial"/>
          <w:sz w:val="19"/>
          <w:szCs w:val="19"/>
        </w:rPr>
        <w:t xml:space="preserve"> Consejo de Estado. Sala de Consulta y Servicio Civil. Concepto de 6 de abril de 2006. Radicación Número: 11001-03-06-000-2006-00038-00(1738). Consejero Ponente: Enrique José Arboleda Perdomo:</w:t>
      </w:r>
      <w:r w:rsidRPr="00997D5A">
        <w:rPr>
          <w:rFonts w:ascii="Arial" w:eastAsia="Times New Roman" w:hAnsi="Arial" w:cs="Arial"/>
          <w:bCs/>
          <w:sz w:val="19"/>
          <w:szCs w:val="19"/>
          <w:lang w:eastAsia="x-none"/>
        </w:rPr>
        <w:t xml:space="preserve"> «</w:t>
      </w:r>
      <w:r w:rsidRPr="00997D5A">
        <w:rPr>
          <w:rFonts w:ascii="Arial" w:hAnsi="Arial" w:cs="Arial"/>
          <w:sz w:val="19"/>
          <w:szCs w:val="19"/>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997D5A">
        <w:rPr>
          <w:rFonts w:ascii="Arial" w:eastAsia="Times New Roman" w:hAnsi="Arial" w:cs="Arial"/>
          <w:bCs/>
          <w:sz w:val="19"/>
          <w:szCs w:val="19"/>
          <w:lang w:eastAsia="x-none"/>
        </w:rPr>
        <w:t>».</w:t>
      </w:r>
    </w:p>
    <w:p w14:paraId="3DD07DBB" w14:textId="77777777" w:rsidR="00C456EA" w:rsidRPr="00997D5A" w:rsidRDefault="00C456EA" w:rsidP="00997D5A">
      <w:pPr>
        <w:pStyle w:val="Textonotapie"/>
        <w:ind w:firstLine="709"/>
        <w:jc w:val="both"/>
        <w:rPr>
          <w:rFonts w:ascii="Arial" w:eastAsia="Times New Roman" w:hAnsi="Arial" w:cs="Arial"/>
          <w:bCs/>
          <w:sz w:val="19"/>
          <w:szCs w:val="19"/>
          <w:lang w:eastAsia="x-none"/>
        </w:rPr>
      </w:pPr>
    </w:p>
  </w:footnote>
  <w:footnote w:id="23">
    <w:p w14:paraId="027455F7" w14:textId="77777777" w:rsidR="00C456EA" w:rsidRPr="00997D5A" w:rsidRDefault="00C456EA" w:rsidP="00997D5A">
      <w:pPr>
        <w:pStyle w:val="Textonotapie"/>
        <w:ind w:firstLine="709"/>
        <w:jc w:val="both"/>
        <w:rPr>
          <w:rFonts w:ascii="Arial" w:hAnsi="Arial" w:cs="Arial"/>
          <w:sz w:val="19"/>
          <w:szCs w:val="19"/>
        </w:rPr>
      </w:pPr>
      <w:r w:rsidRPr="00997D5A">
        <w:rPr>
          <w:rStyle w:val="Refdenotaalpie"/>
          <w:rFonts w:ascii="Arial" w:hAnsi="Arial" w:cs="Arial"/>
          <w:sz w:val="19"/>
          <w:szCs w:val="19"/>
        </w:rPr>
        <w:footnoteRef/>
      </w:r>
      <w:r w:rsidRPr="00997D5A">
        <w:rPr>
          <w:rFonts w:ascii="Arial" w:hAnsi="Arial" w:cs="Arial"/>
          <w:sz w:val="19"/>
          <w:szCs w:val="19"/>
        </w:rPr>
        <w:t xml:space="preserve"> Consejo de Estado. Sala de Consulta y Servicio Civil. Concepto de 6 de abril de 2006. Radicación Número: 11001-03-06-000-2006-00038-00(1738). Consejero Ponente: Enrique José Arboleda Perdomo.</w:t>
      </w:r>
    </w:p>
    <w:p w14:paraId="44128ED7" w14:textId="77777777" w:rsidR="00C456EA" w:rsidRPr="00547D00" w:rsidRDefault="00C456EA" w:rsidP="00997D5A">
      <w:pPr>
        <w:pStyle w:val="Textonotapie"/>
        <w:ind w:firstLine="709"/>
        <w:jc w:val="both"/>
        <w:rPr>
          <w:rFonts w:ascii="Arial" w:hAnsi="Arial" w:cs="Arial"/>
          <w:sz w:val="19"/>
          <w:szCs w:val="19"/>
        </w:rPr>
      </w:pPr>
    </w:p>
  </w:footnote>
  <w:footnote w:id="24">
    <w:p w14:paraId="16FEAB19" w14:textId="77777777" w:rsidR="00C456EA" w:rsidRPr="00997D5A" w:rsidRDefault="00C456EA" w:rsidP="00997D5A">
      <w:pPr>
        <w:pStyle w:val="Textonotapie"/>
        <w:ind w:firstLine="709"/>
        <w:jc w:val="both"/>
        <w:rPr>
          <w:rFonts w:ascii="Arial" w:hAnsi="Arial" w:cs="Arial"/>
          <w:sz w:val="19"/>
          <w:szCs w:val="19"/>
        </w:rPr>
      </w:pPr>
      <w:r w:rsidRPr="00997D5A">
        <w:rPr>
          <w:rStyle w:val="Refdenotaalpie"/>
          <w:rFonts w:ascii="Arial" w:hAnsi="Arial" w:cs="Arial"/>
          <w:sz w:val="19"/>
          <w:szCs w:val="19"/>
        </w:rPr>
        <w:footnoteRef/>
      </w:r>
      <w:r w:rsidRPr="00997D5A">
        <w:rPr>
          <w:rFonts w:ascii="Arial" w:hAnsi="Arial" w:cs="Arial"/>
          <w:sz w:val="19"/>
          <w:szCs w:val="19"/>
        </w:rPr>
        <w:t xml:space="preserve"> Consejo de Estado. Sala de Consulta y Servicio Civil, ídem.</w:t>
      </w:r>
    </w:p>
    <w:p w14:paraId="42F69228" w14:textId="77777777" w:rsidR="00C456EA" w:rsidRPr="00997D5A" w:rsidRDefault="00C456EA" w:rsidP="00997D5A">
      <w:pPr>
        <w:pStyle w:val="Textonotapie"/>
        <w:ind w:firstLine="709"/>
        <w:jc w:val="both"/>
        <w:rPr>
          <w:rFonts w:ascii="Arial" w:hAnsi="Arial" w:cs="Arial"/>
          <w:sz w:val="19"/>
          <w:szCs w:val="19"/>
        </w:rPr>
      </w:pPr>
    </w:p>
  </w:footnote>
  <w:footnote w:id="25">
    <w:p w14:paraId="42BDA328" w14:textId="1DC9A7E0" w:rsidR="00547D00" w:rsidRPr="00997D5A" w:rsidRDefault="00547D00" w:rsidP="00997D5A">
      <w:pPr>
        <w:pStyle w:val="Textonotapie"/>
        <w:ind w:firstLine="708"/>
        <w:jc w:val="both"/>
        <w:rPr>
          <w:rFonts w:ascii="Arial" w:hAnsi="Arial" w:cs="Arial"/>
          <w:sz w:val="19"/>
          <w:szCs w:val="19"/>
          <w:lang w:val="es-MX"/>
        </w:rPr>
      </w:pPr>
      <w:r w:rsidRPr="00997D5A">
        <w:rPr>
          <w:rStyle w:val="Refdenotaalpie"/>
          <w:rFonts w:ascii="Arial" w:hAnsi="Arial" w:cs="Arial"/>
          <w:sz w:val="19"/>
          <w:szCs w:val="19"/>
        </w:rPr>
        <w:footnoteRef/>
      </w:r>
      <w:r w:rsidRPr="00997D5A">
        <w:rPr>
          <w:rFonts w:ascii="Arial" w:hAnsi="Arial" w:cs="Arial"/>
          <w:sz w:val="19"/>
          <w:szCs w:val="19"/>
        </w:rPr>
        <w:t xml:space="preserve"> </w:t>
      </w:r>
      <w:r>
        <w:rPr>
          <w:rFonts w:ascii="Arial" w:hAnsi="Arial" w:cs="Arial"/>
          <w:sz w:val="19"/>
          <w:szCs w:val="19"/>
        </w:rPr>
        <w:t>«</w:t>
      </w:r>
      <w:r w:rsidRPr="00997D5A">
        <w:rPr>
          <w:rFonts w:ascii="Arial" w:eastAsia="Calibri" w:hAnsi="Arial" w:cs="Arial"/>
          <w:sz w:val="19"/>
          <w:szCs w:val="19"/>
          <w:lang w:val="es-MX"/>
        </w:rPr>
        <w:t xml:space="preserve">Esta Sala ha entendido </w:t>
      </w:r>
      <w:r w:rsidRPr="00997D5A">
        <w:rPr>
          <w:rFonts w:ascii="Arial" w:eastAsia="Calibri" w:hAnsi="Arial" w:cs="Arial"/>
          <w:sz w:val="19"/>
          <w:szCs w:val="19"/>
          <w:lang w:val="es-MX"/>
        </w:rPr>
        <w:t xml:space="preserve">que para los efectos de la ley de garantías, y dada su finalidad, el enunciado </w:t>
      </w:r>
      <w:r>
        <w:rPr>
          <w:rFonts w:ascii="Arial" w:eastAsia="Calibri" w:hAnsi="Arial" w:cs="Arial"/>
          <w:sz w:val="19"/>
          <w:szCs w:val="19"/>
          <w:lang w:val="es-MX"/>
        </w:rPr>
        <w:t>“</w:t>
      </w:r>
      <w:r w:rsidRPr="00997D5A">
        <w:rPr>
          <w:rFonts w:ascii="Arial" w:eastAsia="Calibri" w:hAnsi="Arial" w:cs="Arial"/>
          <w:sz w:val="19"/>
          <w:szCs w:val="19"/>
          <w:lang w:val="es-MX"/>
        </w:rPr>
        <w:t>contratación directa</w:t>
      </w:r>
      <w:r>
        <w:rPr>
          <w:rFonts w:ascii="Arial" w:eastAsia="Calibri" w:hAnsi="Arial" w:cs="Arial"/>
          <w:sz w:val="19"/>
          <w:szCs w:val="19"/>
          <w:lang w:val="es-MX"/>
        </w:rPr>
        <w:t>”</w:t>
      </w:r>
      <w:r w:rsidRPr="00997D5A">
        <w:rPr>
          <w:rFonts w:ascii="Arial" w:eastAsia="Calibri" w:hAnsi="Arial" w:cs="Arial"/>
          <w:sz w:val="19"/>
          <w:szCs w:val="19"/>
          <w:lang w:val="es-MX"/>
        </w:rPr>
        <w:t xml:space="preserve"> es sinónimo de cualquier sistema que no implique convocatoria pública y posibilidad de pluralidad de oferentes, y que, además, no necesariamente hace referencia al procedimiento especial regulado por la ley de contratación estatal […] (</w:t>
      </w:r>
      <w:r w:rsidRPr="00547D00">
        <w:rPr>
          <w:rFonts w:ascii="Arial" w:hAnsi="Arial" w:cs="Arial"/>
          <w:sz w:val="19"/>
          <w:szCs w:val="19"/>
        </w:rPr>
        <w:t>Consejo de Estado. Sala de Consulta y Servicio Civil. Concepto del 2 de septiembre de 2013. Radicación número: 11001-03-06-000-2013-00412-00 (2.168). Consejero Ponente: Álvaro Namén Vargas).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32BC4" w14:textId="2CCCD38F" w:rsidR="00412132" w:rsidRDefault="00E521C0">
    <w:pPr>
      <w:pStyle w:val="Encabezado"/>
    </w:pPr>
    <w:r>
      <w:rPr>
        <w:noProof/>
        <w:lang w:eastAsia="es-CO"/>
      </w:rPr>
      <w:drawing>
        <wp:anchor distT="0" distB="0" distL="114300" distR="114300" simplePos="0" relativeHeight="251659264" behindDoc="1" locked="0" layoutInCell="1" allowOverlap="1" wp14:anchorId="5869370C" wp14:editId="5771A7A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AE2F32A" w14:textId="77777777" w:rsidR="00FE0395" w:rsidRDefault="00A0553D" w:rsidP="00FE0395">
    <w:pPr>
      <w:pStyle w:val="Encabezado"/>
    </w:pPr>
  </w:p>
  <w:p w14:paraId="1F9780EE" w14:textId="5A607F7E" w:rsidR="00412132" w:rsidRDefault="00A0553D">
    <w:pPr>
      <w:pStyle w:val="Encabezado"/>
    </w:pPr>
  </w:p>
  <w:p w14:paraId="4307DA1E" w14:textId="77777777" w:rsidR="00DE576A" w:rsidRDefault="00DE576A">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958"/>
    <w:rsid w:val="00010B76"/>
    <w:rsid w:val="00014BE8"/>
    <w:rsid w:val="00061AF9"/>
    <w:rsid w:val="000E24D2"/>
    <w:rsid w:val="000F24D1"/>
    <w:rsid w:val="00111D57"/>
    <w:rsid w:val="0014059A"/>
    <w:rsid w:val="0014281C"/>
    <w:rsid w:val="00185AFA"/>
    <w:rsid w:val="001F7A77"/>
    <w:rsid w:val="00260595"/>
    <w:rsid w:val="002B6118"/>
    <w:rsid w:val="002E4C1B"/>
    <w:rsid w:val="00302DC5"/>
    <w:rsid w:val="00313561"/>
    <w:rsid w:val="0037222F"/>
    <w:rsid w:val="00397E97"/>
    <w:rsid w:val="003D2E3F"/>
    <w:rsid w:val="0042362A"/>
    <w:rsid w:val="00426CB3"/>
    <w:rsid w:val="0045660C"/>
    <w:rsid w:val="004B1A7F"/>
    <w:rsid w:val="004D79D1"/>
    <w:rsid w:val="004E205F"/>
    <w:rsid w:val="00547D00"/>
    <w:rsid w:val="00597226"/>
    <w:rsid w:val="005E7207"/>
    <w:rsid w:val="005F2B5C"/>
    <w:rsid w:val="005F5307"/>
    <w:rsid w:val="0065039F"/>
    <w:rsid w:val="00651ABA"/>
    <w:rsid w:val="00672126"/>
    <w:rsid w:val="00683D4E"/>
    <w:rsid w:val="006B369C"/>
    <w:rsid w:val="00720E67"/>
    <w:rsid w:val="00734534"/>
    <w:rsid w:val="007E50E8"/>
    <w:rsid w:val="0083390D"/>
    <w:rsid w:val="008379B2"/>
    <w:rsid w:val="0085740E"/>
    <w:rsid w:val="008E372F"/>
    <w:rsid w:val="008E598C"/>
    <w:rsid w:val="00933339"/>
    <w:rsid w:val="00946BD1"/>
    <w:rsid w:val="00957EF9"/>
    <w:rsid w:val="00997D5A"/>
    <w:rsid w:val="009B27BA"/>
    <w:rsid w:val="00A0553D"/>
    <w:rsid w:val="00A116C7"/>
    <w:rsid w:val="00A174AB"/>
    <w:rsid w:val="00AA2105"/>
    <w:rsid w:val="00AB600C"/>
    <w:rsid w:val="00B02BF8"/>
    <w:rsid w:val="00B1111E"/>
    <w:rsid w:val="00B11607"/>
    <w:rsid w:val="00B5206D"/>
    <w:rsid w:val="00B62B22"/>
    <w:rsid w:val="00BA1A14"/>
    <w:rsid w:val="00BC20B0"/>
    <w:rsid w:val="00BF5701"/>
    <w:rsid w:val="00C30320"/>
    <w:rsid w:val="00C456EA"/>
    <w:rsid w:val="00CE3B4C"/>
    <w:rsid w:val="00D03052"/>
    <w:rsid w:val="00D0458D"/>
    <w:rsid w:val="00D233E5"/>
    <w:rsid w:val="00DB6E8F"/>
    <w:rsid w:val="00DC3185"/>
    <w:rsid w:val="00DD7731"/>
    <w:rsid w:val="00DE576A"/>
    <w:rsid w:val="00E30981"/>
    <w:rsid w:val="00E521C0"/>
    <w:rsid w:val="00E955EC"/>
    <w:rsid w:val="00E9704D"/>
    <w:rsid w:val="00EA298A"/>
    <w:rsid w:val="00EB65B6"/>
    <w:rsid w:val="00F06958"/>
    <w:rsid w:val="00F13D57"/>
    <w:rsid w:val="00F4207E"/>
    <w:rsid w:val="00F5407E"/>
    <w:rsid w:val="00F800F7"/>
    <w:rsid w:val="00FE6A3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B08D6"/>
  <w15:chartTrackingRefBased/>
  <w15:docId w15:val="{A52C5E27-B049-4350-9B54-5BCBE0D2D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F0695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06958"/>
  </w:style>
  <w:style w:type="paragraph" w:styleId="Encabezado">
    <w:name w:val="header"/>
    <w:basedOn w:val="Normal"/>
    <w:link w:val="EncabezadoCar"/>
    <w:uiPriority w:val="99"/>
    <w:unhideWhenUsed/>
    <w:rsid w:val="00F0695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06958"/>
  </w:style>
  <w:style w:type="paragraph" w:styleId="NormalWeb">
    <w:name w:val="Normal (Web)"/>
    <w:basedOn w:val="Normal"/>
    <w:uiPriority w:val="99"/>
    <w:semiHidden/>
    <w:unhideWhenUsed/>
    <w:rsid w:val="00F06958"/>
    <w:rPr>
      <w:rFonts w:ascii="Times New Roman" w:hAnsi="Times New Roman" w:cs="Times New Roman"/>
      <w:sz w:val="24"/>
      <w:szCs w:val="24"/>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Car,ft"/>
    <w:basedOn w:val="Normal"/>
    <w:link w:val="TextonotapieCar"/>
    <w:uiPriority w:val="99"/>
    <w:unhideWhenUsed/>
    <w:qFormat/>
    <w:rsid w:val="00F06958"/>
    <w:pPr>
      <w:spacing w:after="0" w:line="240" w:lineRule="auto"/>
    </w:pPr>
    <w:rPr>
      <w:sz w:val="20"/>
      <w:szCs w:val="20"/>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rsid w:val="00F06958"/>
    <w:rPr>
      <w:sz w:val="20"/>
      <w:szCs w:val="20"/>
    </w:rPr>
  </w:style>
  <w:style w:type="table" w:styleId="Tablaconcuadrcula">
    <w:name w:val="Table Grid"/>
    <w:basedOn w:val="Tablanormal"/>
    <w:uiPriority w:val="39"/>
    <w:rsid w:val="00F0695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F06958"/>
    <w:pPr>
      <w:spacing w:after="0" w:line="240" w:lineRule="auto"/>
      <w:jc w:val="both"/>
    </w:pPr>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F06958"/>
    <w:rPr>
      <w:vertAlign w:val="superscript"/>
    </w:rPr>
  </w:style>
  <w:style w:type="paragraph" w:customStyle="1" w:styleId="Appelnotedebasde">
    <w:name w:val="Appel note de bas de..."/>
    <w:basedOn w:val="Normal"/>
    <w:link w:val="Refdenotaalpie"/>
    <w:uiPriority w:val="99"/>
    <w:rsid w:val="00F06958"/>
    <w:pPr>
      <w:spacing w:line="240" w:lineRule="exact"/>
      <w:jc w:val="both"/>
    </w:pPr>
    <w:rPr>
      <w:vertAlign w:val="superscript"/>
    </w:rPr>
  </w:style>
  <w:style w:type="table" w:customStyle="1" w:styleId="Tablaconcuadrcula1">
    <w:name w:val="Tabla con cuadrícula1"/>
    <w:basedOn w:val="Tablanormal"/>
    <w:next w:val="Tablaconcuadrcula"/>
    <w:uiPriority w:val="39"/>
    <w:rsid w:val="00F069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F06958"/>
  </w:style>
  <w:style w:type="paragraph" w:styleId="Prrafodelista">
    <w:name w:val="List Paragraph"/>
    <w:basedOn w:val="Normal"/>
    <w:uiPriority w:val="34"/>
    <w:qFormat/>
    <w:rsid w:val="00426CB3"/>
    <w:pPr>
      <w:ind w:left="720"/>
      <w:contextualSpacing/>
    </w:pPr>
  </w:style>
  <w:style w:type="character" w:styleId="Refdecomentario">
    <w:name w:val="annotation reference"/>
    <w:basedOn w:val="Fuentedeprrafopredeter"/>
    <w:uiPriority w:val="99"/>
    <w:semiHidden/>
    <w:unhideWhenUsed/>
    <w:rsid w:val="0014059A"/>
    <w:rPr>
      <w:sz w:val="16"/>
      <w:szCs w:val="16"/>
    </w:rPr>
  </w:style>
  <w:style w:type="paragraph" w:styleId="Textocomentario">
    <w:name w:val="annotation text"/>
    <w:basedOn w:val="Normal"/>
    <w:link w:val="TextocomentarioCar"/>
    <w:uiPriority w:val="99"/>
    <w:unhideWhenUsed/>
    <w:rsid w:val="0014059A"/>
    <w:pPr>
      <w:spacing w:line="240" w:lineRule="auto"/>
    </w:pPr>
    <w:rPr>
      <w:sz w:val="20"/>
      <w:szCs w:val="20"/>
    </w:rPr>
  </w:style>
  <w:style w:type="character" w:customStyle="1" w:styleId="TextocomentarioCar">
    <w:name w:val="Texto comentario Car"/>
    <w:basedOn w:val="Fuentedeprrafopredeter"/>
    <w:link w:val="Textocomentario"/>
    <w:uiPriority w:val="99"/>
    <w:rsid w:val="0014059A"/>
    <w:rPr>
      <w:sz w:val="20"/>
      <w:szCs w:val="20"/>
    </w:rPr>
  </w:style>
  <w:style w:type="paragraph" w:styleId="Asuntodelcomentario">
    <w:name w:val="annotation subject"/>
    <w:basedOn w:val="Textocomentario"/>
    <w:next w:val="Textocomentario"/>
    <w:link w:val="AsuntodelcomentarioCar"/>
    <w:uiPriority w:val="99"/>
    <w:semiHidden/>
    <w:unhideWhenUsed/>
    <w:rsid w:val="0014059A"/>
    <w:rPr>
      <w:b/>
      <w:bCs/>
    </w:rPr>
  </w:style>
  <w:style w:type="character" w:customStyle="1" w:styleId="AsuntodelcomentarioCar">
    <w:name w:val="Asunto del comentario Car"/>
    <w:basedOn w:val="TextocomentarioCar"/>
    <w:link w:val="Asuntodelcomentario"/>
    <w:uiPriority w:val="99"/>
    <w:semiHidden/>
    <w:rsid w:val="0014059A"/>
    <w:rPr>
      <w:b/>
      <w:bCs/>
      <w:sz w:val="20"/>
      <w:szCs w:val="20"/>
    </w:rPr>
  </w:style>
  <w:style w:type="paragraph" w:styleId="Revisin">
    <w:name w:val="Revision"/>
    <w:hidden/>
    <w:uiPriority w:val="99"/>
    <w:semiHidden/>
    <w:rsid w:val="00B1111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A00AF2-4E20-4AA0-9258-31D1380957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B0599E-4C08-4C15-9DF2-CD8BE81914ED}">
  <ds:schemaRefs>
    <ds:schemaRef ds:uri="http://schemas.openxmlformats.org/officeDocument/2006/bibliography"/>
  </ds:schemaRefs>
</ds:datastoreItem>
</file>

<file path=customXml/itemProps3.xml><?xml version="1.0" encoding="utf-8"?>
<ds:datastoreItem xmlns:ds="http://schemas.openxmlformats.org/officeDocument/2006/customXml" ds:itemID="{A6F8E5E1-8BD6-4E1F-91BF-1A484FBFD98A}">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EA5470FB-719F-4B54-99F9-CBA0BD53EF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6135</Words>
  <Characters>33747</Characters>
  <Application>Microsoft Office Word</Application>
  <DocSecurity>0</DocSecurity>
  <Lines>281</Lines>
  <Paragraphs>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Arlid Herrera Santa</dc:creator>
  <cp:keywords/>
  <dc:description/>
  <cp:lastModifiedBy>MARIA CLAUDIA DE LA OSSA BOBADILLA</cp:lastModifiedBy>
  <cp:revision>2</cp:revision>
  <dcterms:created xsi:type="dcterms:W3CDTF">2022-07-25T18:55:00Z</dcterms:created>
  <dcterms:modified xsi:type="dcterms:W3CDTF">2022-07-25T18:55:00Z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