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F451DD" w:rsidR="00DE5124" w:rsidP="00DE5124" w:rsidRDefault="00DE5124" w14:paraId="6209D3A9" w14:textId="54FE324E">
      <w:pPr>
        <w:jc w:val="right"/>
        <w:rPr>
          <w:rFonts w:ascii="Arial" w:hAnsi="Arial" w:cs="Arial"/>
          <w:b/>
          <w:color w:val="000000" w:themeColor="text1"/>
          <w:sz w:val="16"/>
          <w:szCs w:val="16"/>
          <w:lang w:eastAsia="es-ES"/>
        </w:rPr>
      </w:pPr>
      <w:bookmarkStart w:name="_Hlk29548183" w:id="0"/>
      <w:bookmarkStart w:name="_Hlk28946138" w:id="1"/>
      <w:r w:rsidRPr="003A746C">
        <w:rPr>
          <w:rFonts w:ascii="Arial" w:hAnsi="Arial" w:cs="Arial"/>
          <w:b/>
          <w:color w:val="000000" w:themeColor="text1"/>
          <w:sz w:val="18"/>
          <w:szCs w:val="18"/>
          <w:lang w:eastAsia="es-ES"/>
        </w:rPr>
        <w:t>CCE-DES-FM-17</w:t>
      </w:r>
      <w:bookmarkEnd w:id="0"/>
      <w:bookmarkEnd w:id="1"/>
    </w:p>
    <w:p w:rsidRPr="00F451DD" w:rsidR="00DB06D2" w:rsidP="00DE5124" w:rsidRDefault="00DB06D2" w14:paraId="36DCAA96" w14:textId="77777777">
      <w:pPr>
        <w:jc w:val="right"/>
        <w:rPr>
          <w:rFonts w:ascii="Arial" w:hAnsi="Arial" w:cs="Arial"/>
          <w:b/>
          <w:color w:val="000000" w:themeColor="text1"/>
          <w:sz w:val="16"/>
          <w:szCs w:val="16"/>
          <w:lang w:eastAsia="es-ES"/>
        </w:rPr>
      </w:pPr>
    </w:p>
    <w:p w:rsidRPr="003A746C" w:rsidR="000474DA" w:rsidP="0009685F" w:rsidRDefault="0009685F" w14:paraId="501A3B07" w14:textId="19575024">
      <w:pPr>
        <w:jc w:val="both"/>
        <w:rPr>
          <w:rFonts w:ascii="Arial" w:hAnsi="Arial" w:eastAsia="Calibri" w:cs="Arial"/>
          <w:b/>
          <w:color w:val="000000" w:themeColor="text1"/>
          <w:sz w:val="22"/>
          <w:lang w:val="es-ES_tradnl"/>
        </w:rPr>
      </w:pPr>
      <w:r w:rsidRPr="003A746C">
        <w:rPr>
          <w:rFonts w:ascii="Arial" w:hAnsi="Arial" w:eastAsia="Calibri" w:cs="Arial"/>
          <w:b/>
          <w:color w:val="000000" w:themeColor="text1"/>
          <w:sz w:val="22"/>
          <w:lang w:val="es-ES_tradnl"/>
        </w:rPr>
        <w:t xml:space="preserve">PRINCIPIO DE SELECCIÓN OBJETIVA – Rechazo de ofertas </w:t>
      </w:r>
    </w:p>
    <w:p w:rsidRPr="003A746C" w:rsidR="0009685F" w:rsidP="0009685F" w:rsidRDefault="0009685F" w14:paraId="177D7885" w14:textId="77777777">
      <w:pPr>
        <w:jc w:val="both"/>
        <w:rPr>
          <w:rFonts w:ascii="Arial" w:hAnsi="Arial" w:eastAsia="Calibri" w:cs="Arial"/>
          <w:color w:val="000000" w:themeColor="text1"/>
          <w:sz w:val="20"/>
          <w:szCs w:val="20"/>
          <w:lang w:val="es-ES_tradnl"/>
        </w:rPr>
      </w:pPr>
    </w:p>
    <w:p w:rsidRPr="003A746C" w:rsidR="0009685F" w:rsidP="761FEA0E" w:rsidRDefault="0009685F" w14:paraId="43853DFD" w14:textId="2B83A313">
      <w:pPr>
        <w:jc w:val="both"/>
        <w:rPr>
          <w:rFonts w:ascii="Arial" w:hAnsi="Arial" w:eastAsia="Calibri" w:cs="Arial"/>
          <w:color w:val="000000" w:themeColor="text1"/>
          <w:sz w:val="20"/>
          <w:szCs w:val="20"/>
          <w:lang w:val="es-ES"/>
        </w:rPr>
      </w:pPr>
      <w:r w:rsidRPr="761FEA0E" w:rsidR="0009685F">
        <w:rPr>
          <w:rFonts w:ascii="Arial" w:hAnsi="Arial" w:eastAsia="Calibri" w:cs="Arial"/>
          <w:color w:val="000000" w:themeColor="text1" w:themeTint="FF" w:themeShade="FF"/>
          <w:sz w:val="20"/>
          <w:szCs w:val="20"/>
          <w:lang w:val="es-ES"/>
        </w:rPr>
        <w:t>[</w:t>
      </w:r>
      <w:r w:rsidRPr="761FEA0E" w:rsidR="003A746C">
        <w:rPr>
          <w:rFonts w:ascii="Arial" w:hAnsi="Arial" w:eastAsia="Calibri" w:cs="Arial"/>
          <w:color w:val="000000" w:themeColor="text1" w:themeTint="FF" w:themeShade="FF"/>
          <w:sz w:val="20"/>
          <w:szCs w:val="20"/>
          <w:lang w:val="es-ES"/>
        </w:rPr>
        <w:t>…</w:t>
      </w:r>
      <w:r w:rsidRPr="761FEA0E" w:rsidR="0009685F">
        <w:rPr>
          <w:rFonts w:ascii="Arial" w:hAnsi="Arial" w:eastAsia="Calibri" w:cs="Arial"/>
          <w:color w:val="000000" w:themeColor="text1" w:themeTint="FF" w:themeShade="FF"/>
          <w:sz w:val="20"/>
          <w:szCs w:val="20"/>
          <w:lang w:val="es-ES"/>
        </w:rPr>
        <w:t>]</w:t>
      </w:r>
      <w:r w:rsidRPr="761FEA0E" w:rsidR="003A746C">
        <w:rPr>
          <w:rFonts w:ascii="Arial" w:hAnsi="Arial" w:eastAsia="Calibri" w:cs="Arial"/>
          <w:color w:val="000000" w:themeColor="text1" w:themeTint="FF" w:themeShade="FF"/>
          <w:sz w:val="20"/>
          <w:szCs w:val="20"/>
          <w:lang w:val="es-ES"/>
        </w:rPr>
        <w:t xml:space="preserve"> </w:t>
      </w:r>
      <w:r w:rsidRPr="761FEA0E" w:rsidR="698858A9">
        <w:rPr>
          <w:rFonts w:ascii="Arial" w:hAnsi="Arial" w:eastAsia="Calibri" w:cs="Arial"/>
          <w:color w:val="000000" w:themeColor="text1" w:themeTint="FF" w:themeShade="FF"/>
          <w:sz w:val="20"/>
          <w:szCs w:val="20"/>
          <w:lang w:val="es-ES"/>
        </w:rPr>
        <w:t>p</w:t>
      </w:r>
      <w:r w:rsidRPr="761FEA0E" w:rsidR="0009685F">
        <w:rPr>
          <w:rFonts w:ascii="Arial" w:hAnsi="Arial" w:eastAsia="Calibri" w:cs="Arial"/>
          <w:color w:val="000000" w:themeColor="text1" w:themeTint="FF" w:themeShade="FF"/>
          <w:sz w:val="20"/>
          <w:szCs w:val="20"/>
          <w:lang w:val="es-ES"/>
        </w:rPr>
        <w:t>ara garantizar el principio de selección</w:t>
      </w:r>
      <w:r w:rsidRPr="761FEA0E" w:rsidR="0009685F">
        <w:rPr>
          <w:rFonts w:ascii="Arial" w:hAnsi="Arial" w:eastAsia="Calibri" w:cs="Arial"/>
          <w:color w:val="000000" w:themeColor="text1" w:themeTint="FF" w:themeShade="FF"/>
          <w:sz w:val="20"/>
          <w:szCs w:val="20"/>
          <w:lang w:val="es-ES"/>
        </w:rPr>
        <w:t xml:space="preserve">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subsanar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permite que los proponentes completen o corrijan la información relacionada con los requisitos que no asignan puntaje, como mecanismo para hacer prevalecer el derecho sustancial sobre las formalidades.</w:t>
      </w:r>
    </w:p>
    <w:p w:rsidRPr="003A746C" w:rsidR="008F6ABB" w:rsidP="008F6ABB" w:rsidRDefault="008F6ABB" w14:paraId="142C3880" w14:textId="77777777">
      <w:pPr>
        <w:jc w:val="both"/>
        <w:rPr>
          <w:rFonts w:ascii="Arial" w:hAnsi="Arial" w:eastAsia="Calibri" w:cs="Arial"/>
          <w:color w:val="000000" w:themeColor="text1"/>
          <w:sz w:val="20"/>
          <w:szCs w:val="20"/>
          <w:lang w:val="es-ES_tradnl"/>
        </w:rPr>
      </w:pPr>
    </w:p>
    <w:p w:rsidRPr="003A746C" w:rsidR="008F6ABB" w:rsidP="4460810D" w:rsidRDefault="008F6ABB" w14:paraId="7F804D74" w14:textId="0B1E5523">
      <w:pPr>
        <w:pStyle w:val="Normal"/>
        <w:jc w:val="both"/>
        <w:rPr>
          <w:rFonts w:ascii="Arial" w:hAnsi="Arial" w:eastAsia="Calibri" w:cs="Arial"/>
          <w:b w:val="1"/>
          <w:bCs w:val="1"/>
          <w:color w:val="000000" w:themeColor="text1"/>
          <w:sz w:val="22"/>
          <w:szCs w:val="22"/>
          <w:lang w:val="es-ES"/>
        </w:rPr>
      </w:pPr>
      <w:r w:rsidRPr="4460810D" w:rsidR="008F6ABB">
        <w:rPr>
          <w:rFonts w:ascii="Arial" w:hAnsi="Arial" w:eastAsia="Calibri" w:cs="Arial"/>
          <w:b w:val="1"/>
          <w:bCs w:val="1"/>
          <w:color w:val="000000" w:themeColor="text1" w:themeTint="FF" w:themeShade="FF"/>
          <w:sz w:val="22"/>
          <w:szCs w:val="22"/>
          <w:lang w:val="es-ES"/>
        </w:rPr>
        <w:t xml:space="preserve">SUBSANABILIDAD </w:t>
      </w:r>
      <w:r w:rsidRPr="4460810D" w:rsidR="0009685F">
        <w:rPr>
          <w:rFonts w:ascii="Arial" w:hAnsi="Arial" w:eastAsia="Calibri" w:cs="Arial"/>
          <w:b w:val="1"/>
          <w:bCs w:val="1"/>
          <w:color w:val="000000" w:themeColor="text1" w:themeTint="FF" w:themeShade="FF"/>
          <w:sz w:val="22"/>
          <w:szCs w:val="22"/>
          <w:lang w:val="es-ES"/>
        </w:rPr>
        <w:t>–</w:t>
      </w:r>
      <w:r w:rsidRPr="4460810D" w:rsidR="008F6ABB">
        <w:rPr>
          <w:rFonts w:ascii="Arial" w:hAnsi="Arial" w:eastAsia="Calibri" w:cs="Arial"/>
          <w:b w:val="1"/>
          <w:bCs w:val="1"/>
          <w:color w:val="000000" w:themeColor="text1" w:themeTint="FF" w:themeShade="FF"/>
          <w:sz w:val="22"/>
          <w:szCs w:val="22"/>
          <w:lang w:val="es-ES"/>
        </w:rPr>
        <w:t xml:space="preserve"> Concepto de unificación </w:t>
      </w:r>
      <w:r w:rsidRPr="4460810D" w:rsidR="0009685F">
        <w:rPr>
          <w:rFonts w:ascii="Arial" w:hAnsi="Arial" w:eastAsia="Calibri" w:cs="Arial"/>
          <w:b w:val="1"/>
          <w:bCs w:val="1"/>
          <w:color w:val="000000" w:themeColor="text1" w:themeTint="FF" w:themeShade="FF"/>
          <w:sz w:val="22"/>
          <w:szCs w:val="22"/>
          <w:lang w:val="es-ES"/>
        </w:rPr>
        <w:t>–</w:t>
      </w:r>
      <w:r w:rsidRPr="4460810D" w:rsidR="008F6ABB">
        <w:rPr>
          <w:rFonts w:ascii="Arial" w:hAnsi="Arial" w:eastAsia="Calibri" w:cs="Arial"/>
          <w:b w:val="1"/>
          <w:bCs w:val="1"/>
          <w:color w:val="000000" w:themeColor="text1" w:themeTint="FF" w:themeShade="FF"/>
          <w:sz w:val="22"/>
          <w:szCs w:val="22"/>
          <w:lang w:val="es-ES"/>
        </w:rPr>
        <w:t xml:space="preserve"> Aplicación </w:t>
      </w:r>
      <w:r w:rsidRPr="4460810D" w:rsidR="0009685F">
        <w:rPr>
          <w:rFonts w:ascii="Arial" w:hAnsi="Arial" w:eastAsia="Calibri" w:cs="Arial"/>
          <w:b w:val="1"/>
          <w:bCs w:val="1"/>
          <w:color w:val="000000" w:themeColor="text1" w:themeTint="FF" w:themeShade="FF"/>
          <w:sz w:val="22"/>
          <w:szCs w:val="22"/>
          <w:lang w:val="es-ES"/>
        </w:rPr>
        <w:t>–</w:t>
      </w:r>
      <w:r w:rsidRPr="4460810D" w:rsidR="008F6ABB">
        <w:rPr>
          <w:rFonts w:ascii="Arial" w:hAnsi="Arial" w:eastAsia="Calibri" w:cs="Arial"/>
          <w:b w:val="1"/>
          <w:bCs w:val="1"/>
          <w:color w:val="000000" w:themeColor="text1" w:themeTint="FF" w:themeShade="FF"/>
          <w:sz w:val="22"/>
          <w:szCs w:val="22"/>
          <w:lang w:val="es-ES"/>
        </w:rPr>
        <w:t xml:space="preserve"> Improcedencia </w:t>
      </w:r>
      <w:r w:rsidRPr="4460810D" w:rsidR="0009685F">
        <w:rPr>
          <w:rFonts w:ascii="Arial" w:hAnsi="Arial" w:eastAsia="Calibri" w:cs="Arial"/>
          <w:b w:val="1"/>
          <w:bCs w:val="1"/>
          <w:color w:val="000000" w:themeColor="text1" w:themeTint="FF" w:themeShade="FF"/>
          <w:sz w:val="22"/>
          <w:szCs w:val="22"/>
          <w:lang w:val="es-ES"/>
        </w:rPr>
        <w:t>–</w:t>
      </w:r>
      <w:r w:rsidRPr="4460810D" w:rsidR="008F6ABB">
        <w:rPr>
          <w:rFonts w:ascii="Arial" w:hAnsi="Arial" w:eastAsia="Calibri" w:cs="Arial"/>
          <w:b w:val="1"/>
          <w:bCs w:val="1"/>
          <w:color w:val="000000" w:themeColor="text1" w:themeTint="FF" w:themeShade="FF"/>
          <w:sz w:val="22"/>
          <w:szCs w:val="22"/>
          <w:lang w:val="es-ES"/>
        </w:rPr>
        <w:t xml:space="preserve"> Circunstancias posteriores </w:t>
      </w:r>
      <w:r w:rsidRPr="4460810D" w:rsidR="3FF3156C">
        <w:rPr>
          <w:rFonts w:ascii="Arial" w:hAnsi="Arial" w:eastAsia="Calibri" w:cs="Arial"/>
          <w:b w:val="1"/>
          <w:bCs w:val="1"/>
          <w:color w:val="000000" w:themeColor="text1" w:themeTint="FF" w:themeShade="FF"/>
          <w:sz w:val="22"/>
          <w:szCs w:val="22"/>
          <w:lang w:val="es-ES"/>
        </w:rPr>
        <w:t>– Cierre del proceso</w:t>
      </w:r>
    </w:p>
    <w:p w:rsidRPr="003A746C" w:rsidR="008F6ABB" w:rsidP="008F6ABB" w:rsidRDefault="008F6ABB" w14:paraId="78285BDD" w14:textId="77777777">
      <w:pPr>
        <w:jc w:val="both"/>
        <w:rPr>
          <w:rFonts w:ascii="Arial" w:hAnsi="Arial" w:eastAsia="Calibri" w:cs="Arial"/>
          <w:color w:val="000000" w:themeColor="text1"/>
          <w:sz w:val="20"/>
          <w:szCs w:val="20"/>
          <w:lang w:val="es-ES_tradnl"/>
        </w:rPr>
      </w:pPr>
    </w:p>
    <w:p w:rsidRPr="003A746C" w:rsidR="0009685F" w:rsidP="003144A3" w:rsidRDefault="008F6ABB" w14:paraId="4F689A96" w14:textId="1902C4CB">
      <w:pPr>
        <w:jc w:val="both"/>
        <w:rPr>
          <w:rFonts w:ascii="Arial" w:hAnsi="Arial" w:cs="Arial"/>
          <w:b/>
          <w:bCs/>
          <w:color w:val="000000" w:themeColor="text1"/>
          <w:sz w:val="20"/>
          <w:szCs w:val="20"/>
          <w:lang w:val="es-ES_tradnl"/>
        </w:rPr>
      </w:pPr>
      <w:r w:rsidRPr="003A746C">
        <w:rPr>
          <w:rFonts w:ascii="Arial" w:hAnsi="Arial" w:eastAsia="Calibri" w:cs="Arial"/>
          <w:color w:val="000000" w:themeColor="text1"/>
          <w:sz w:val="20"/>
          <w:szCs w:val="20"/>
          <w:lang w:val="es-ES_tradnl"/>
        </w:rPr>
        <w:t xml:space="preserve">La regla de la </w:t>
      </w:r>
      <w:proofErr w:type="spellStart"/>
      <w:r w:rsidRPr="003A746C">
        <w:rPr>
          <w:rFonts w:ascii="Arial" w:hAnsi="Arial" w:eastAsia="Calibri" w:cs="Arial"/>
          <w:color w:val="000000" w:themeColor="text1"/>
          <w:sz w:val="20"/>
          <w:szCs w:val="20"/>
          <w:lang w:val="es-ES_tradnl"/>
        </w:rPr>
        <w:t>subsanabilidad</w:t>
      </w:r>
      <w:proofErr w:type="spellEnd"/>
      <w:r w:rsidRPr="003A746C">
        <w:rPr>
          <w:rFonts w:ascii="Arial" w:hAnsi="Arial" w:eastAsia="Calibri" w:cs="Arial"/>
          <w:color w:val="000000" w:themeColor="text1"/>
          <w:sz w:val="20"/>
          <w:szCs w:val="20"/>
          <w:lang w:val="es-ES_tradnl"/>
        </w:rPr>
        <w:t xml:space="preserve">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w:t>
      </w:r>
      <w:proofErr w:type="spellStart"/>
      <w:r w:rsidRPr="003A746C">
        <w:rPr>
          <w:rFonts w:ascii="Arial" w:hAnsi="Arial" w:eastAsia="Calibri" w:cs="Arial"/>
          <w:color w:val="000000" w:themeColor="text1"/>
          <w:sz w:val="20"/>
          <w:szCs w:val="20"/>
          <w:lang w:val="es-ES_tradnl"/>
        </w:rPr>
        <w:t>subsanabilidad</w:t>
      </w:r>
      <w:proofErr w:type="spellEnd"/>
      <w:r w:rsidRPr="003A746C">
        <w:rPr>
          <w:rFonts w:ascii="Arial" w:hAnsi="Arial" w:eastAsia="Calibri" w:cs="Arial"/>
          <w:color w:val="000000" w:themeColor="text1"/>
          <w:sz w:val="20"/>
          <w:szCs w:val="20"/>
          <w:lang w:val="es-ES_tradnl"/>
        </w:rPr>
        <w:t xml:space="preserve"> de las ofertas debe interpretarse como una regla general en relación con la falta de entrega o con los defectos de los requisitos habilitantes.</w:t>
      </w:r>
    </w:p>
    <w:p w:rsidR="00B31B2D" w:rsidP="00B31B2D" w:rsidRDefault="00B31B2D" w14:paraId="17FF089D" w14:textId="59355C4D">
      <w:pPr>
        <w:autoSpaceDE w:val="0"/>
        <w:autoSpaceDN w:val="0"/>
        <w:adjustRightInd w:val="0"/>
        <w:rPr>
          <w:rFonts w:ascii="Arial" w:hAnsi="Arial" w:cs="Arial"/>
          <w:color w:val="000000" w:themeColor="text1"/>
          <w:sz w:val="20"/>
          <w:szCs w:val="20"/>
          <w:lang w:val="es-CO"/>
        </w:rPr>
      </w:pPr>
    </w:p>
    <w:p w:rsidRPr="00B31B2D" w:rsidR="00F451DD" w:rsidP="00B31B2D" w:rsidRDefault="00F451DD" w14:paraId="6F22C89E" w14:textId="77777777">
      <w:pPr>
        <w:autoSpaceDE w:val="0"/>
        <w:autoSpaceDN w:val="0"/>
        <w:adjustRightInd w:val="0"/>
        <w:rPr>
          <w:rFonts w:ascii="Arial" w:hAnsi="Arial" w:cs="Arial"/>
          <w:color w:val="000000" w:themeColor="text1"/>
          <w:sz w:val="20"/>
          <w:szCs w:val="20"/>
          <w:lang w:val="es-CO"/>
        </w:rPr>
      </w:pPr>
    </w:p>
    <w:p w:rsidRPr="00B31B2D" w:rsidR="00B31B2D" w:rsidP="00B31B2D" w:rsidRDefault="00B31B2D" w14:paraId="2DFA3F23" w14:textId="774CA4D4">
      <w:pPr>
        <w:autoSpaceDE w:val="0"/>
        <w:autoSpaceDN w:val="0"/>
        <w:adjustRightInd w:val="0"/>
        <w:rPr>
          <w:rFonts w:ascii="Arial" w:hAnsi="Arial" w:cs="Arial"/>
          <w:color w:val="000000" w:themeColor="text1"/>
          <w:sz w:val="22"/>
          <w:lang w:val="es-CO"/>
        </w:rPr>
      </w:pPr>
      <w:r w:rsidRPr="00B31B2D">
        <w:rPr>
          <w:rFonts w:ascii="Arial" w:hAnsi="Arial" w:cs="Arial"/>
          <w:color w:val="000000" w:themeColor="text1"/>
          <w:sz w:val="22"/>
          <w:lang w:val="es-CO"/>
        </w:rPr>
        <w:t xml:space="preserve">Bogotá D.C., </w:t>
      </w:r>
      <w:r w:rsidRPr="00B31B2D">
        <w:rPr>
          <w:rFonts w:ascii="Arial" w:hAnsi="Arial" w:cs="Arial"/>
          <w:b/>
          <w:bCs/>
          <w:color w:val="000000" w:themeColor="text1"/>
          <w:sz w:val="22"/>
          <w:lang w:val="es-CO"/>
        </w:rPr>
        <w:t xml:space="preserve">04/05/2020 Hora 12:1:28s </w:t>
      </w:r>
    </w:p>
    <w:p w:rsidRPr="003A746C" w:rsidR="000D6359" w:rsidP="00B31B2D" w:rsidRDefault="00B31B2D" w14:paraId="39C90A81" w14:textId="7454DBDB">
      <w:pPr>
        <w:jc w:val="right"/>
        <w:rPr>
          <w:rFonts w:ascii="Arial" w:hAnsi="Arial" w:eastAsia="Calibri" w:cs="Arial"/>
          <w:color w:val="000000" w:themeColor="text1"/>
          <w:sz w:val="22"/>
        </w:rPr>
      </w:pPr>
      <w:proofErr w:type="spellStart"/>
      <w:r w:rsidRPr="003A746C">
        <w:rPr>
          <w:rFonts w:ascii="Arial" w:hAnsi="Arial" w:cs="Arial"/>
          <w:b/>
          <w:bCs/>
          <w:color w:val="000000" w:themeColor="text1"/>
          <w:sz w:val="22"/>
          <w:lang w:val="es-CO"/>
        </w:rPr>
        <w:t>N°</w:t>
      </w:r>
      <w:proofErr w:type="spellEnd"/>
      <w:r w:rsidRPr="003A746C">
        <w:rPr>
          <w:rFonts w:ascii="Arial" w:hAnsi="Arial" w:cs="Arial"/>
          <w:b/>
          <w:bCs/>
          <w:color w:val="000000" w:themeColor="text1"/>
          <w:sz w:val="22"/>
          <w:lang w:val="es-CO"/>
        </w:rPr>
        <w:t xml:space="preserve"> Radicado: 2202013000003320</w:t>
      </w:r>
    </w:p>
    <w:p w:rsidRPr="003A746C" w:rsidR="000D6359" w:rsidP="00B10353" w:rsidRDefault="000D6359" w14:paraId="61FA099F" w14:textId="77777777">
      <w:pPr>
        <w:rPr>
          <w:rFonts w:ascii="Arial" w:hAnsi="Arial" w:eastAsia="Calibri" w:cs="Arial"/>
          <w:color w:val="000000" w:themeColor="text1"/>
          <w:sz w:val="22"/>
        </w:rPr>
      </w:pPr>
    </w:p>
    <w:p w:rsidRPr="003A746C" w:rsidR="00BA22A9" w:rsidP="00B10353" w:rsidRDefault="00BA22A9" w14:paraId="20147739" w14:textId="22D7F34A">
      <w:pPr>
        <w:rPr>
          <w:rFonts w:ascii="Arial" w:hAnsi="Arial" w:eastAsia="Calibri" w:cs="Arial"/>
          <w:color w:val="000000" w:themeColor="text1"/>
          <w:sz w:val="22"/>
        </w:rPr>
      </w:pPr>
      <w:r w:rsidRPr="003A746C">
        <w:rPr>
          <w:rFonts w:ascii="Arial" w:hAnsi="Arial" w:eastAsia="Calibri" w:cs="Arial"/>
          <w:color w:val="000000" w:themeColor="text1"/>
          <w:sz w:val="22"/>
        </w:rPr>
        <w:t>Señor</w:t>
      </w:r>
      <w:r w:rsidRPr="003A746C" w:rsidR="00A90C55">
        <w:rPr>
          <w:rFonts w:ascii="Arial" w:hAnsi="Arial" w:eastAsia="Calibri" w:cs="Arial"/>
          <w:color w:val="000000" w:themeColor="text1"/>
          <w:sz w:val="22"/>
        </w:rPr>
        <w:t>a</w:t>
      </w:r>
    </w:p>
    <w:p w:rsidRPr="003A746C" w:rsidR="00FB4750" w:rsidP="00B10353" w:rsidRDefault="00FB4750" w14:paraId="0D587D08" w14:textId="72AD9A27">
      <w:pPr>
        <w:rPr>
          <w:rFonts w:ascii="Arial" w:hAnsi="Arial" w:eastAsia="Calibri" w:cs="Arial"/>
          <w:b/>
          <w:color w:val="000000" w:themeColor="text1"/>
          <w:sz w:val="22"/>
        </w:rPr>
      </w:pPr>
      <w:r w:rsidRPr="003A746C">
        <w:rPr>
          <w:rFonts w:ascii="Arial" w:hAnsi="Arial" w:eastAsia="Calibri" w:cs="Arial"/>
          <w:b/>
          <w:color w:val="000000" w:themeColor="text1"/>
          <w:sz w:val="22"/>
        </w:rPr>
        <w:t>Sol Margarita Lancheros</w:t>
      </w:r>
    </w:p>
    <w:p w:rsidRPr="003A746C" w:rsidR="00BA22A9" w:rsidP="00B10353" w:rsidRDefault="00875469" w14:paraId="31138D68" w14:textId="31BF1D4E">
      <w:pPr>
        <w:rPr>
          <w:rFonts w:ascii="Arial" w:hAnsi="Arial" w:eastAsia="Calibri" w:cs="Arial"/>
          <w:color w:val="000000" w:themeColor="text1"/>
          <w:sz w:val="22"/>
        </w:rPr>
      </w:pPr>
      <w:r w:rsidRPr="003A746C">
        <w:rPr>
          <w:rFonts w:ascii="Arial" w:hAnsi="Arial" w:eastAsia="Calibri" w:cs="Arial"/>
          <w:color w:val="000000" w:themeColor="text1"/>
          <w:sz w:val="22"/>
        </w:rPr>
        <w:t>C</w:t>
      </w:r>
      <w:r w:rsidRPr="003A746C" w:rsidR="00FB4750">
        <w:rPr>
          <w:rFonts w:ascii="Arial" w:hAnsi="Arial" w:eastAsia="Calibri" w:cs="Arial"/>
          <w:color w:val="000000" w:themeColor="text1"/>
          <w:sz w:val="22"/>
        </w:rPr>
        <w:t>hía, Cundinamarca</w:t>
      </w:r>
    </w:p>
    <w:p w:rsidR="00BA22A9" w:rsidP="00B10353" w:rsidRDefault="00BA22A9" w14:paraId="56435A7F" w14:textId="2570115F">
      <w:pPr>
        <w:jc w:val="center"/>
        <w:rPr>
          <w:rFonts w:ascii="Arial" w:hAnsi="Arial" w:eastAsia="Calibri" w:cs="Arial"/>
          <w:b/>
          <w:color w:val="000000" w:themeColor="text1"/>
          <w:sz w:val="22"/>
        </w:rPr>
      </w:pPr>
      <w:r w:rsidRPr="003A746C">
        <w:rPr>
          <w:rFonts w:ascii="Arial" w:hAnsi="Arial" w:eastAsia="Calibri" w:cs="Arial"/>
          <w:b/>
          <w:color w:val="000000" w:themeColor="text1"/>
          <w:sz w:val="22"/>
        </w:rPr>
        <w:t>Concepto C</w:t>
      </w:r>
      <w:r w:rsidRPr="003A746C" w:rsidR="00FA3B3B">
        <w:rPr>
          <w:rFonts w:ascii="Arial" w:hAnsi="Arial" w:eastAsia="Calibri" w:cs="Arial"/>
          <w:b/>
          <w:color w:val="000000" w:themeColor="text1"/>
          <w:sz w:val="22"/>
        </w:rPr>
        <w:t xml:space="preserve"> ― </w:t>
      </w:r>
      <w:r w:rsidRPr="003A746C" w:rsidR="00036F29">
        <w:rPr>
          <w:rFonts w:ascii="Arial" w:hAnsi="Arial" w:eastAsia="Calibri" w:cs="Arial"/>
          <w:b/>
          <w:color w:val="000000" w:themeColor="text1"/>
          <w:sz w:val="22"/>
        </w:rPr>
        <w:t>283</w:t>
      </w:r>
      <w:r w:rsidRPr="003A746C" w:rsidR="0085175C">
        <w:rPr>
          <w:rFonts w:ascii="Arial" w:hAnsi="Arial" w:eastAsia="Calibri" w:cs="Arial"/>
          <w:b/>
          <w:color w:val="000000" w:themeColor="text1"/>
          <w:sz w:val="22"/>
        </w:rPr>
        <w:t xml:space="preserve"> </w:t>
      </w:r>
      <w:r w:rsidRPr="003A746C">
        <w:rPr>
          <w:rFonts w:ascii="Arial" w:hAnsi="Arial" w:eastAsia="Calibri" w:cs="Arial"/>
          <w:b/>
          <w:color w:val="000000" w:themeColor="text1"/>
          <w:sz w:val="22"/>
        </w:rPr>
        <w:t>de 2020</w:t>
      </w: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A746C" w:rsidR="003A746C" w:rsidTr="00B10353" w14:paraId="73DD4E85" w14:textId="77777777">
        <w:tc>
          <w:tcPr>
            <w:tcW w:w="2689" w:type="dxa"/>
            <w:hideMark/>
          </w:tcPr>
          <w:p w:rsidRPr="003A746C" w:rsidR="00BA22A9" w:rsidP="00BA22A9" w:rsidRDefault="00BA22A9" w14:paraId="4A921A3A" w14:textId="77777777">
            <w:pPr>
              <w:rPr>
                <w:rFonts w:ascii="Arial" w:hAnsi="Arial" w:eastAsia="Calibri" w:cs="Arial"/>
                <w:color w:val="000000" w:themeColor="text1"/>
                <w:sz w:val="22"/>
              </w:rPr>
            </w:pPr>
            <w:r w:rsidRPr="003A746C">
              <w:rPr>
                <w:rFonts w:ascii="Arial" w:hAnsi="Arial" w:eastAsia="Calibri" w:cs="Arial"/>
                <w:b/>
                <w:color w:val="000000" w:themeColor="text1"/>
                <w:sz w:val="22"/>
              </w:rPr>
              <w:lastRenderedPageBreak/>
              <w:t>Temas:</w:t>
            </w:r>
            <w:r w:rsidRPr="003A746C">
              <w:rPr>
                <w:rFonts w:ascii="Arial" w:hAnsi="Arial" w:eastAsia="Calibri" w:cs="Arial"/>
                <w:color w:val="000000" w:themeColor="text1"/>
                <w:sz w:val="22"/>
              </w:rPr>
              <w:t xml:space="preserve">              </w:t>
            </w:r>
          </w:p>
        </w:tc>
        <w:tc>
          <w:tcPr>
            <w:tcW w:w="6237" w:type="dxa"/>
            <w:hideMark/>
          </w:tcPr>
          <w:p w:rsidR="00F451DD" w:rsidP="00FB781F" w:rsidRDefault="00A43FA8" w14:paraId="7829268D" w14:textId="31C6A8E2">
            <w:pPr>
              <w:jc w:val="both"/>
              <w:rPr>
                <w:rFonts w:ascii="Arial" w:hAnsi="Arial" w:eastAsia="Calibri" w:cs="Arial"/>
                <w:color w:val="000000" w:themeColor="text1"/>
                <w:sz w:val="22"/>
              </w:rPr>
            </w:pPr>
            <w:r w:rsidRPr="003A746C">
              <w:rPr>
                <w:rFonts w:ascii="Arial" w:hAnsi="Arial" w:eastAsia="Calibri" w:cs="Arial"/>
                <w:color w:val="000000" w:themeColor="text1"/>
                <w:sz w:val="22"/>
              </w:rPr>
              <w:t xml:space="preserve">PRINCIPIO DE SELECCIÓN OBJETIVA </w:t>
            </w:r>
            <w:r w:rsidRPr="003A746C" w:rsidR="0009685F">
              <w:rPr>
                <w:rFonts w:ascii="Arial" w:hAnsi="Arial" w:eastAsia="Calibri" w:cs="Arial"/>
                <w:color w:val="000000" w:themeColor="text1"/>
                <w:sz w:val="22"/>
              </w:rPr>
              <w:t xml:space="preserve">– Rechazo de ofertas </w:t>
            </w:r>
            <w:r w:rsidRPr="003A746C">
              <w:rPr>
                <w:rFonts w:ascii="Arial" w:hAnsi="Arial" w:eastAsia="Calibri" w:cs="Arial"/>
                <w:color w:val="000000" w:themeColor="text1"/>
                <w:sz w:val="22"/>
              </w:rPr>
              <w:t xml:space="preserve">/ SUBSANABILIDAD </w:t>
            </w:r>
            <w:r w:rsidRPr="003A746C" w:rsidR="0009685F">
              <w:rPr>
                <w:rFonts w:ascii="Arial" w:hAnsi="Arial" w:eastAsia="Calibri" w:cs="Arial"/>
                <w:color w:val="000000" w:themeColor="text1"/>
                <w:sz w:val="22"/>
              </w:rPr>
              <w:t>–</w:t>
            </w:r>
            <w:r w:rsidRPr="003A746C">
              <w:rPr>
                <w:rFonts w:ascii="Arial" w:hAnsi="Arial" w:eastAsia="Calibri" w:cs="Arial"/>
                <w:color w:val="000000" w:themeColor="text1"/>
                <w:sz w:val="22"/>
              </w:rPr>
              <w:t xml:space="preserve"> Concepto de unificación </w:t>
            </w:r>
            <w:r w:rsidRPr="003A746C" w:rsidR="0009685F">
              <w:rPr>
                <w:rFonts w:ascii="Arial" w:hAnsi="Arial" w:eastAsia="Calibri" w:cs="Arial"/>
                <w:color w:val="000000" w:themeColor="text1"/>
                <w:sz w:val="22"/>
              </w:rPr>
              <w:t>–</w:t>
            </w:r>
            <w:r w:rsidRPr="003A746C">
              <w:rPr>
                <w:rFonts w:ascii="Arial" w:hAnsi="Arial" w:eastAsia="Calibri" w:cs="Arial"/>
                <w:color w:val="000000" w:themeColor="text1"/>
                <w:sz w:val="22"/>
              </w:rPr>
              <w:t xml:space="preserve"> Aplicación </w:t>
            </w:r>
            <w:r w:rsidRPr="003A746C" w:rsidR="0009685F">
              <w:rPr>
                <w:rFonts w:ascii="Arial" w:hAnsi="Arial" w:eastAsia="Calibri" w:cs="Arial"/>
                <w:color w:val="000000" w:themeColor="text1"/>
                <w:sz w:val="22"/>
              </w:rPr>
              <w:t>–</w:t>
            </w:r>
            <w:r w:rsidRPr="003A746C">
              <w:rPr>
                <w:rFonts w:ascii="Arial" w:hAnsi="Arial" w:eastAsia="Calibri" w:cs="Arial"/>
                <w:color w:val="000000" w:themeColor="text1"/>
                <w:sz w:val="22"/>
              </w:rPr>
              <w:t xml:space="preserve"> Improcedencia </w:t>
            </w:r>
            <w:r w:rsidRPr="003A746C" w:rsidR="0009685F">
              <w:rPr>
                <w:rFonts w:ascii="Arial" w:hAnsi="Arial" w:eastAsia="Calibri" w:cs="Arial"/>
                <w:color w:val="000000" w:themeColor="text1"/>
                <w:sz w:val="22"/>
              </w:rPr>
              <w:t>–</w:t>
            </w:r>
            <w:r w:rsidRPr="003A746C">
              <w:rPr>
                <w:rFonts w:ascii="Arial" w:hAnsi="Arial" w:eastAsia="Calibri" w:cs="Arial"/>
                <w:color w:val="000000" w:themeColor="text1"/>
                <w:sz w:val="22"/>
              </w:rPr>
              <w:t xml:space="preserve"> Circunstancias posteriores al cierre </w:t>
            </w:r>
          </w:p>
          <w:p w:rsidRPr="003A746C" w:rsidR="00F451DD" w:rsidP="00FB781F" w:rsidRDefault="00F451DD" w14:paraId="6204F950" w14:textId="0DAC1C9E">
            <w:pPr>
              <w:jc w:val="both"/>
              <w:rPr>
                <w:rFonts w:ascii="Arial" w:hAnsi="Arial" w:eastAsia="Calibri" w:cs="Arial"/>
                <w:color w:val="000000" w:themeColor="text1"/>
                <w:sz w:val="22"/>
                <w:lang w:val="es-ES_tradnl"/>
              </w:rPr>
            </w:pPr>
          </w:p>
        </w:tc>
      </w:tr>
      <w:tr w:rsidRPr="003A746C" w:rsidR="00A43FA8" w:rsidTr="00C313BC" w14:paraId="53A30614" w14:textId="77777777">
        <w:trPr>
          <w:trHeight w:val="225"/>
        </w:trPr>
        <w:tc>
          <w:tcPr>
            <w:tcW w:w="2689" w:type="dxa"/>
          </w:tcPr>
          <w:p w:rsidRPr="003A746C" w:rsidR="00BA22A9" w:rsidP="00BA22A9" w:rsidRDefault="00BA22A9" w14:paraId="0C1A4A11" w14:textId="77777777">
            <w:pPr>
              <w:rPr>
                <w:rFonts w:ascii="Arial" w:hAnsi="Arial" w:eastAsia="Calibri" w:cs="Arial"/>
                <w:b/>
                <w:color w:val="000000" w:themeColor="text1"/>
                <w:sz w:val="22"/>
              </w:rPr>
            </w:pPr>
            <w:r w:rsidRPr="003A746C">
              <w:rPr>
                <w:rFonts w:ascii="Arial" w:hAnsi="Arial" w:eastAsia="Calibri" w:cs="Arial"/>
                <w:b/>
                <w:color w:val="000000" w:themeColor="text1"/>
                <w:sz w:val="22"/>
              </w:rPr>
              <w:t>Radicación:</w:t>
            </w:r>
            <w:r w:rsidRPr="003A746C">
              <w:rPr>
                <w:rFonts w:ascii="Arial" w:hAnsi="Arial" w:eastAsia="Calibri" w:cs="Arial"/>
                <w:color w:val="000000" w:themeColor="text1"/>
                <w:sz w:val="22"/>
              </w:rPr>
              <w:t xml:space="preserve">                              </w:t>
            </w:r>
          </w:p>
        </w:tc>
        <w:tc>
          <w:tcPr>
            <w:tcW w:w="6237" w:type="dxa"/>
          </w:tcPr>
          <w:p w:rsidR="00BA22A9" w:rsidP="00BA22A9" w:rsidRDefault="00BA22A9" w14:paraId="158F9E8A" w14:textId="77777777">
            <w:pPr>
              <w:jc w:val="both"/>
              <w:rPr>
                <w:rFonts w:ascii="Arial" w:hAnsi="Arial" w:eastAsia="Calibri" w:cs="Arial"/>
                <w:color w:val="000000" w:themeColor="text1"/>
                <w:sz w:val="22"/>
              </w:rPr>
            </w:pPr>
            <w:r w:rsidRPr="003A746C">
              <w:rPr>
                <w:rFonts w:ascii="Arial" w:hAnsi="Arial" w:eastAsia="Calibri" w:cs="Arial"/>
                <w:color w:val="000000" w:themeColor="text1"/>
                <w:sz w:val="22"/>
              </w:rPr>
              <w:t xml:space="preserve">Respuesta consulta # </w:t>
            </w:r>
            <w:r w:rsidRPr="003A746C" w:rsidR="00FB4750">
              <w:rPr>
                <w:rFonts w:ascii="Arial" w:hAnsi="Arial" w:eastAsia="Calibri" w:cs="Arial"/>
                <w:color w:val="000000" w:themeColor="text1"/>
                <w:sz w:val="22"/>
              </w:rPr>
              <w:t>4202013000002588</w:t>
            </w:r>
          </w:p>
          <w:p w:rsidRPr="003A746C" w:rsidR="00F451DD" w:rsidP="00BA22A9" w:rsidRDefault="00F451DD" w14:paraId="67982A7E" w14:textId="4E184EB0">
            <w:pPr>
              <w:jc w:val="both"/>
              <w:rPr>
                <w:rFonts w:ascii="Arial" w:hAnsi="Arial" w:eastAsia="Calibri" w:cs="Arial"/>
                <w:color w:val="000000" w:themeColor="text1"/>
                <w:sz w:val="22"/>
              </w:rPr>
            </w:pPr>
          </w:p>
        </w:tc>
      </w:tr>
    </w:tbl>
    <w:p w:rsidRPr="003A746C" w:rsidR="00BA22A9" w:rsidP="00E549E9" w:rsidRDefault="00BA22A9" w14:paraId="4C4253CA" w14:textId="42FE20C5">
      <w:pPr>
        <w:spacing w:before="120" w:line="276" w:lineRule="auto"/>
        <w:rPr>
          <w:rFonts w:ascii="Arial" w:hAnsi="Arial" w:eastAsia="Calibri" w:cs="Arial"/>
          <w:color w:val="000000" w:themeColor="text1"/>
          <w:sz w:val="22"/>
        </w:rPr>
      </w:pPr>
      <w:r w:rsidRPr="003A746C">
        <w:rPr>
          <w:rFonts w:ascii="Arial" w:hAnsi="Arial" w:eastAsia="Calibri" w:cs="Arial"/>
          <w:color w:val="000000" w:themeColor="text1"/>
          <w:sz w:val="22"/>
        </w:rPr>
        <w:t>Estimad</w:t>
      </w:r>
      <w:r w:rsidRPr="003A746C" w:rsidR="00A90C55">
        <w:rPr>
          <w:rFonts w:ascii="Arial" w:hAnsi="Arial" w:eastAsia="Calibri" w:cs="Arial"/>
          <w:color w:val="000000" w:themeColor="text1"/>
          <w:sz w:val="22"/>
        </w:rPr>
        <w:t>a</w:t>
      </w:r>
      <w:r w:rsidRPr="003A746C">
        <w:rPr>
          <w:rFonts w:ascii="Arial" w:hAnsi="Arial" w:eastAsia="Calibri" w:cs="Arial"/>
          <w:color w:val="000000" w:themeColor="text1"/>
          <w:sz w:val="22"/>
        </w:rPr>
        <w:t xml:space="preserve"> señ</w:t>
      </w:r>
      <w:r w:rsidRPr="003A746C" w:rsidR="003F1E6F">
        <w:rPr>
          <w:rFonts w:ascii="Arial" w:hAnsi="Arial" w:eastAsia="Calibri" w:cs="Arial"/>
          <w:color w:val="000000" w:themeColor="text1"/>
          <w:sz w:val="22"/>
        </w:rPr>
        <w:t>or</w:t>
      </w:r>
      <w:r w:rsidRPr="003A746C" w:rsidR="00A90C55">
        <w:rPr>
          <w:rFonts w:ascii="Arial" w:hAnsi="Arial" w:eastAsia="Calibri" w:cs="Arial"/>
          <w:color w:val="000000" w:themeColor="text1"/>
          <w:sz w:val="22"/>
        </w:rPr>
        <w:t>a</w:t>
      </w:r>
      <w:r w:rsidRPr="003A746C" w:rsidR="003F1E6F">
        <w:rPr>
          <w:rFonts w:ascii="Arial" w:hAnsi="Arial" w:eastAsia="Calibri" w:cs="Arial"/>
          <w:color w:val="000000" w:themeColor="text1"/>
          <w:sz w:val="22"/>
        </w:rPr>
        <w:t xml:space="preserve"> </w:t>
      </w:r>
      <w:r w:rsidRPr="003A746C" w:rsidR="00FB4750">
        <w:rPr>
          <w:rFonts w:ascii="Arial" w:hAnsi="Arial" w:eastAsia="Calibri" w:cs="Arial"/>
          <w:color w:val="000000" w:themeColor="text1"/>
          <w:sz w:val="22"/>
        </w:rPr>
        <w:t>Lancheros</w:t>
      </w:r>
    </w:p>
    <w:p w:rsidRPr="003A746C" w:rsidR="00F451DD" w:rsidP="00D2522E" w:rsidRDefault="00F451DD" w14:paraId="39DB28BE" w14:textId="77777777">
      <w:pPr>
        <w:spacing w:line="276" w:lineRule="auto"/>
        <w:jc w:val="both"/>
        <w:rPr>
          <w:rFonts w:ascii="Arial" w:hAnsi="Arial" w:eastAsia="Calibri" w:cs="Arial"/>
          <w:color w:val="000000" w:themeColor="text1"/>
          <w:sz w:val="22"/>
        </w:rPr>
      </w:pPr>
    </w:p>
    <w:p w:rsidRPr="003A746C" w:rsidR="00BA22A9" w:rsidP="00D2522E" w:rsidRDefault="00BA22A9" w14:paraId="27953E95" w14:textId="4B4D3BC1">
      <w:pPr>
        <w:spacing w:line="276" w:lineRule="auto"/>
        <w:jc w:val="both"/>
        <w:rPr>
          <w:rFonts w:ascii="Arial" w:hAnsi="Arial" w:eastAsia="Calibri" w:cs="Arial"/>
          <w:color w:val="000000" w:themeColor="text1"/>
          <w:sz w:val="22"/>
        </w:rPr>
      </w:pPr>
      <w:r w:rsidRPr="003A746C">
        <w:rPr>
          <w:rFonts w:ascii="Arial" w:hAnsi="Arial" w:eastAsia="Calibri" w:cs="Arial"/>
          <w:color w:val="000000" w:themeColor="text1"/>
          <w:sz w:val="22"/>
        </w:rPr>
        <w:t>La Agencia Nacional de Contratación Pública — Colombia Compra Eficiente responde su consulta</w:t>
      </w:r>
      <w:r w:rsidRPr="003A746C" w:rsidR="00B4236B">
        <w:rPr>
          <w:rFonts w:ascii="Arial" w:hAnsi="Arial" w:eastAsia="Calibri" w:cs="Arial"/>
          <w:color w:val="000000" w:themeColor="text1"/>
          <w:sz w:val="22"/>
        </w:rPr>
        <w:t xml:space="preserve"> </w:t>
      </w:r>
      <w:r w:rsidRPr="003A746C">
        <w:rPr>
          <w:rFonts w:ascii="Arial" w:hAnsi="Arial" w:eastAsia="Calibri" w:cs="Arial"/>
          <w:color w:val="000000" w:themeColor="text1"/>
          <w:sz w:val="22"/>
        </w:rPr>
        <w:t xml:space="preserve">con radicado No. </w:t>
      </w:r>
      <w:r w:rsidRPr="003A746C" w:rsidR="00FB4750">
        <w:rPr>
          <w:rFonts w:ascii="Arial" w:hAnsi="Arial" w:eastAsia="Calibri" w:cs="Arial"/>
          <w:color w:val="000000" w:themeColor="text1"/>
          <w:sz w:val="22"/>
        </w:rPr>
        <w:t>4202013000002588</w:t>
      </w:r>
      <w:r w:rsidRPr="003A746C" w:rsidR="00A90C55">
        <w:rPr>
          <w:rFonts w:ascii="Arial" w:hAnsi="Arial" w:eastAsia="Calibri" w:cs="Arial"/>
          <w:color w:val="000000" w:themeColor="text1"/>
          <w:sz w:val="22"/>
        </w:rPr>
        <w:t xml:space="preserve"> </w:t>
      </w:r>
      <w:r w:rsidRPr="003A746C">
        <w:rPr>
          <w:rFonts w:ascii="Arial" w:hAnsi="Arial" w:eastAsia="Calibri" w:cs="Arial"/>
          <w:color w:val="000000" w:themeColor="text1"/>
          <w:sz w:val="22"/>
        </w:rPr>
        <w:t>de</w:t>
      </w:r>
      <w:r w:rsidRPr="003A746C" w:rsidR="007E6773">
        <w:rPr>
          <w:rFonts w:ascii="Arial" w:hAnsi="Arial" w:eastAsia="Calibri" w:cs="Arial"/>
          <w:color w:val="000000" w:themeColor="text1"/>
          <w:sz w:val="22"/>
        </w:rPr>
        <w:t xml:space="preserve"> </w:t>
      </w:r>
      <w:r w:rsidRPr="003A746C" w:rsidR="00FB4750">
        <w:rPr>
          <w:rFonts w:ascii="Arial" w:hAnsi="Arial" w:eastAsia="Calibri" w:cs="Arial"/>
          <w:color w:val="000000" w:themeColor="text1"/>
          <w:sz w:val="22"/>
        </w:rPr>
        <w:t>13</w:t>
      </w:r>
      <w:r w:rsidRPr="003A746C">
        <w:rPr>
          <w:rFonts w:ascii="Arial" w:hAnsi="Arial" w:eastAsia="Calibri" w:cs="Arial"/>
          <w:color w:val="000000" w:themeColor="text1"/>
          <w:sz w:val="22"/>
        </w:rPr>
        <w:t xml:space="preserve"> de </w:t>
      </w:r>
      <w:r w:rsidRPr="003A746C" w:rsidR="00EC268B">
        <w:rPr>
          <w:rFonts w:ascii="Arial" w:hAnsi="Arial" w:eastAsia="Calibri" w:cs="Arial"/>
          <w:color w:val="000000" w:themeColor="text1"/>
          <w:sz w:val="22"/>
        </w:rPr>
        <w:t>abril</w:t>
      </w:r>
      <w:r w:rsidRPr="003A746C">
        <w:rPr>
          <w:rFonts w:ascii="Arial" w:hAnsi="Arial" w:eastAsia="Calibri" w:cs="Arial"/>
          <w:color w:val="000000" w:themeColor="text1"/>
          <w:sz w:val="22"/>
        </w:rPr>
        <w:t xml:space="preserve"> de 2020</w:t>
      </w:r>
      <w:r w:rsidRPr="003A746C" w:rsidR="00C25D13">
        <w:rPr>
          <w:rFonts w:ascii="Arial" w:hAnsi="Arial" w:eastAsia="Calibri" w:cs="Arial"/>
          <w:color w:val="000000" w:themeColor="text1"/>
          <w:sz w:val="22"/>
        </w:rPr>
        <w:t>, en ejercicio de la competencia otorgada por el numeral</w:t>
      </w:r>
      <w:r w:rsidRPr="003A746C" w:rsidR="003A6C1F">
        <w:rPr>
          <w:rFonts w:ascii="Arial" w:hAnsi="Arial" w:eastAsia="Calibri" w:cs="Arial"/>
          <w:color w:val="000000" w:themeColor="text1"/>
          <w:sz w:val="22"/>
        </w:rPr>
        <w:t xml:space="preserve"> 5 del </w:t>
      </w:r>
      <w:r w:rsidRPr="003A746C" w:rsidR="00F55B6E">
        <w:rPr>
          <w:rFonts w:ascii="Arial" w:hAnsi="Arial" w:eastAsia="Calibri" w:cs="Arial"/>
          <w:color w:val="000000" w:themeColor="text1"/>
          <w:sz w:val="22"/>
        </w:rPr>
        <w:t xml:space="preserve">artículo </w:t>
      </w:r>
      <w:r w:rsidRPr="003A746C" w:rsidR="00AF2089">
        <w:rPr>
          <w:rFonts w:ascii="Arial" w:hAnsi="Arial" w:eastAsia="Calibri" w:cs="Arial"/>
          <w:color w:val="000000" w:themeColor="text1"/>
          <w:sz w:val="22"/>
        </w:rPr>
        <w:t xml:space="preserve">3 y </w:t>
      </w:r>
      <w:r w:rsidRPr="003A746C" w:rsidR="00BB4E71">
        <w:rPr>
          <w:rFonts w:ascii="Arial" w:hAnsi="Arial" w:eastAsia="Calibri" w:cs="Arial"/>
          <w:color w:val="000000" w:themeColor="text1"/>
          <w:sz w:val="22"/>
        </w:rPr>
        <w:t xml:space="preserve">por </w:t>
      </w:r>
      <w:r w:rsidRPr="003A746C" w:rsidR="00AF2089">
        <w:rPr>
          <w:rFonts w:ascii="Arial" w:hAnsi="Arial" w:eastAsia="Calibri" w:cs="Arial"/>
          <w:color w:val="000000" w:themeColor="text1"/>
          <w:sz w:val="22"/>
        </w:rPr>
        <w:t>el numeral 8 del artículo</w:t>
      </w:r>
      <w:r w:rsidRPr="003A746C" w:rsidR="0038689A">
        <w:rPr>
          <w:rFonts w:ascii="Arial" w:hAnsi="Arial" w:eastAsia="Calibri" w:cs="Arial"/>
          <w:color w:val="000000" w:themeColor="text1"/>
          <w:sz w:val="22"/>
        </w:rPr>
        <w:t xml:space="preserve"> 11</w:t>
      </w:r>
      <w:r w:rsidRPr="003A746C" w:rsidR="005C5EB0">
        <w:rPr>
          <w:rFonts w:ascii="Arial" w:hAnsi="Arial" w:eastAsia="Calibri" w:cs="Arial"/>
          <w:color w:val="000000" w:themeColor="text1"/>
          <w:sz w:val="22"/>
        </w:rPr>
        <w:t xml:space="preserve"> del Decreto 4170 de 2011.</w:t>
      </w:r>
    </w:p>
    <w:p w:rsidRPr="003A746C" w:rsidR="000D6359" w:rsidP="00610361" w:rsidRDefault="000D6359" w14:paraId="43CCDEBD" w14:textId="717E1D3A">
      <w:pPr>
        <w:spacing w:line="276" w:lineRule="auto"/>
        <w:jc w:val="both"/>
        <w:rPr>
          <w:rFonts w:ascii="Arial" w:hAnsi="Arial" w:eastAsia="Calibri" w:cs="Arial"/>
          <w:color w:val="000000" w:themeColor="text1"/>
          <w:sz w:val="22"/>
        </w:rPr>
      </w:pPr>
    </w:p>
    <w:p w:rsidRPr="003A746C" w:rsidR="00BA22A9" w:rsidP="006B4A03" w:rsidRDefault="00BA22A9" w14:paraId="238E9792" w14:textId="7CEB934A">
      <w:pPr>
        <w:pStyle w:val="Prrafodelista"/>
        <w:numPr>
          <w:ilvl w:val="0"/>
          <w:numId w:val="8"/>
        </w:numPr>
        <w:tabs>
          <w:tab w:val="left" w:pos="284"/>
        </w:tabs>
        <w:spacing w:line="276" w:lineRule="auto"/>
        <w:ind w:left="0" w:firstLine="0"/>
        <w:rPr>
          <w:rFonts w:ascii="Arial" w:hAnsi="Arial" w:eastAsia="Calibri" w:cs="Arial"/>
          <w:b/>
          <w:color w:val="000000" w:themeColor="text1"/>
          <w:sz w:val="22"/>
        </w:rPr>
      </w:pPr>
      <w:r w:rsidRPr="003A746C">
        <w:rPr>
          <w:rFonts w:ascii="Arial" w:hAnsi="Arial" w:eastAsia="Calibri" w:cs="Arial"/>
          <w:b/>
          <w:color w:val="000000" w:themeColor="text1"/>
          <w:sz w:val="22"/>
        </w:rPr>
        <w:t>Problemas planteados</w:t>
      </w:r>
    </w:p>
    <w:p w:rsidRPr="003A746C" w:rsidR="00EC268B" w:rsidP="00EC268B" w:rsidRDefault="00EC268B" w14:paraId="747E8055" w14:textId="77777777">
      <w:pPr>
        <w:pStyle w:val="Prrafodelista"/>
        <w:tabs>
          <w:tab w:val="left" w:pos="284"/>
        </w:tabs>
        <w:spacing w:line="276" w:lineRule="auto"/>
        <w:ind w:left="0"/>
        <w:rPr>
          <w:rFonts w:ascii="Arial" w:hAnsi="Arial" w:eastAsia="Calibri" w:cs="Arial"/>
          <w:b/>
          <w:color w:val="000000" w:themeColor="text1"/>
          <w:sz w:val="22"/>
        </w:rPr>
      </w:pPr>
    </w:p>
    <w:p w:rsidRPr="003A746C" w:rsidR="00EC268B" w:rsidP="008A0BE8" w:rsidRDefault="007E6773" w14:paraId="57BF71A2" w14:textId="624CF18F">
      <w:pPr>
        <w:pStyle w:val="Default"/>
        <w:spacing w:line="276" w:lineRule="auto"/>
        <w:jc w:val="both"/>
        <w:rPr>
          <w:color w:val="000000" w:themeColor="text1"/>
          <w:sz w:val="22"/>
          <w:szCs w:val="22"/>
        </w:rPr>
      </w:pPr>
      <w:r w:rsidRPr="003A746C">
        <w:rPr>
          <w:rFonts w:eastAsia="Calibri"/>
          <w:color w:val="000000" w:themeColor="text1"/>
          <w:sz w:val="22"/>
          <w:szCs w:val="22"/>
        </w:rPr>
        <w:t xml:space="preserve">Usted plantea </w:t>
      </w:r>
      <w:r w:rsidRPr="003A746C" w:rsidR="00FB4750">
        <w:rPr>
          <w:rFonts w:eastAsia="Calibri"/>
          <w:color w:val="000000" w:themeColor="text1"/>
          <w:sz w:val="22"/>
          <w:szCs w:val="22"/>
        </w:rPr>
        <w:t>el</w:t>
      </w:r>
      <w:r w:rsidRPr="003A746C" w:rsidR="00A90C55">
        <w:rPr>
          <w:rFonts w:eastAsia="Calibri"/>
          <w:color w:val="000000" w:themeColor="text1"/>
          <w:sz w:val="22"/>
          <w:szCs w:val="22"/>
        </w:rPr>
        <w:t xml:space="preserve"> </w:t>
      </w:r>
      <w:r w:rsidRPr="003A746C">
        <w:rPr>
          <w:rFonts w:eastAsia="Calibri"/>
          <w:color w:val="000000" w:themeColor="text1"/>
          <w:sz w:val="22"/>
          <w:szCs w:val="22"/>
        </w:rPr>
        <w:t>siguiente interrogante:</w:t>
      </w:r>
      <w:r w:rsidRPr="003A746C" w:rsidR="00EC268B">
        <w:rPr>
          <w:rFonts w:eastAsia="Calibri"/>
          <w:color w:val="000000" w:themeColor="text1"/>
          <w:sz w:val="22"/>
          <w:szCs w:val="22"/>
        </w:rPr>
        <w:t xml:space="preserve"> </w:t>
      </w:r>
      <w:r w:rsidRPr="003A746C" w:rsidR="00A90C55">
        <w:rPr>
          <w:rFonts w:eastAsia="Calibri"/>
          <w:color w:val="000000" w:themeColor="text1"/>
          <w:sz w:val="22"/>
          <w:szCs w:val="22"/>
        </w:rPr>
        <w:t>«</w:t>
      </w:r>
      <w:r w:rsidRPr="003A746C" w:rsidR="00FB4750">
        <w:rPr>
          <w:color w:val="000000" w:themeColor="text1"/>
          <w:sz w:val="22"/>
          <w:szCs w:val="22"/>
        </w:rPr>
        <w:t>¿De conformidad con el artículo 5 de la ley 1150 de 2007, es posible modificar o allegar una nueva experiencia en una propuesta al no ser esta ponderable u obtener puntaje?</w:t>
      </w:r>
      <w:r w:rsidRPr="003A746C" w:rsidR="00EC268B">
        <w:rPr>
          <w:color w:val="000000" w:themeColor="text1"/>
          <w:sz w:val="22"/>
          <w:szCs w:val="22"/>
        </w:rPr>
        <w:t>»</w:t>
      </w:r>
    </w:p>
    <w:p w:rsidRPr="003A746C" w:rsidR="00EE22BA" w:rsidP="009A2449" w:rsidRDefault="00EE22BA" w14:paraId="4A33A6E6" w14:textId="77777777">
      <w:pPr>
        <w:spacing w:line="276" w:lineRule="auto"/>
        <w:ind w:left="709" w:right="709"/>
        <w:jc w:val="both"/>
        <w:rPr>
          <w:rFonts w:ascii="Arial" w:hAnsi="Arial" w:eastAsia="Calibri" w:cs="Arial"/>
          <w:color w:val="000000" w:themeColor="text1"/>
          <w:sz w:val="21"/>
          <w:szCs w:val="21"/>
        </w:rPr>
      </w:pPr>
    </w:p>
    <w:p w:rsidRPr="003A746C" w:rsidR="00BA22A9" w:rsidP="00BA22A9" w:rsidRDefault="00BA22A9" w14:paraId="6D620AD0" w14:textId="77777777">
      <w:pPr>
        <w:pStyle w:val="Prrafodelista"/>
        <w:numPr>
          <w:ilvl w:val="0"/>
          <w:numId w:val="8"/>
        </w:numPr>
        <w:tabs>
          <w:tab w:val="left" w:pos="284"/>
        </w:tabs>
        <w:spacing w:line="276" w:lineRule="auto"/>
        <w:ind w:left="0" w:firstLine="0"/>
        <w:rPr>
          <w:rFonts w:ascii="Arial" w:hAnsi="Arial" w:eastAsia="Calibri" w:cs="Arial"/>
          <w:b/>
          <w:color w:val="000000" w:themeColor="text1"/>
          <w:sz w:val="22"/>
        </w:rPr>
      </w:pPr>
      <w:r w:rsidRPr="003A746C">
        <w:rPr>
          <w:rFonts w:ascii="Arial" w:hAnsi="Arial" w:eastAsia="Calibri" w:cs="Arial"/>
          <w:b/>
          <w:color w:val="000000" w:themeColor="text1"/>
          <w:sz w:val="22"/>
        </w:rPr>
        <w:t>Consideraciones</w:t>
      </w:r>
    </w:p>
    <w:p w:rsidRPr="003A746C" w:rsidR="00484856" w:rsidP="00B10353" w:rsidRDefault="00484856" w14:paraId="272943D1" w14:textId="23FC15B7">
      <w:pPr>
        <w:spacing w:line="276" w:lineRule="auto"/>
        <w:jc w:val="both"/>
        <w:rPr>
          <w:rFonts w:ascii="Arial" w:hAnsi="Arial" w:eastAsia="Calibri" w:cs="Arial"/>
          <w:color w:val="000000" w:themeColor="text1"/>
          <w:sz w:val="22"/>
        </w:rPr>
      </w:pPr>
    </w:p>
    <w:p w:rsidR="00CF2738" w:rsidP="00CF2738" w:rsidRDefault="00CF2738" w14:paraId="052EADB2" w14:textId="59558C47">
      <w:pPr>
        <w:spacing w:line="276" w:lineRule="auto"/>
        <w:jc w:val="both"/>
        <w:rPr>
          <w:rFonts w:ascii="Arial" w:hAnsi="Arial" w:eastAsia="Calibri" w:cs="Arial"/>
          <w:color w:val="000000" w:themeColor="text1"/>
          <w:sz w:val="22"/>
          <w:lang w:val="es-ES_tradnl"/>
        </w:rPr>
      </w:pPr>
      <w:r w:rsidRPr="003A746C">
        <w:rPr>
          <w:rFonts w:ascii="Arial" w:hAnsi="Arial" w:cs="Arial"/>
          <w:color w:val="000000" w:themeColor="text1"/>
          <w:sz w:val="22"/>
        </w:rPr>
        <w:t xml:space="preserve">Para responder el interrogante se realizarán algunas consideraciones en torno a: i) El principio de selección objetiva en la contratación estatal; y </w:t>
      </w:r>
      <w:proofErr w:type="spellStart"/>
      <w:r w:rsidRPr="003A746C">
        <w:rPr>
          <w:rFonts w:ascii="Arial" w:hAnsi="Arial" w:cs="Arial"/>
          <w:color w:val="000000" w:themeColor="text1"/>
          <w:sz w:val="22"/>
        </w:rPr>
        <w:t>ii</w:t>
      </w:r>
      <w:proofErr w:type="spellEnd"/>
      <w:r w:rsidRPr="003A746C">
        <w:rPr>
          <w:rFonts w:ascii="Arial" w:hAnsi="Arial" w:cs="Arial"/>
          <w:color w:val="000000" w:themeColor="text1"/>
          <w:sz w:val="22"/>
        </w:rPr>
        <w:t xml:space="preserve">) </w:t>
      </w:r>
      <w:r w:rsidRPr="003A746C">
        <w:rPr>
          <w:rFonts w:ascii="Arial" w:hAnsi="Arial" w:eastAsia="Calibri" w:cs="Arial"/>
          <w:color w:val="000000" w:themeColor="text1"/>
          <w:sz w:val="22"/>
          <w:lang w:val="es-ES_tradnl"/>
        </w:rPr>
        <w:t xml:space="preserve">el alcance de la regla de la </w:t>
      </w:r>
      <w:proofErr w:type="spellStart"/>
      <w:r w:rsidRPr="003A746C">
        <w:rPr>
          <w:rFonts w:ascii="Arial" w:hAnsi="Arial" w:eastAsia="Calibri" w:cs="Arial"/>
          <w:color w:val="000000" w:themeColor="text1"/>
          <w:sz w:val="22"/>
          <w:lang w:val="es-ES_tradnl"/>
        </w:rPr>
        <w:t>subsanabilidad</w:t>
      </w:r>
      <w:proofErr w:type="spellEnd"/>
      <w:r w:rsidRPr="003A746C">
        <w:rPr>
          <w:rFonts w:ascii="Arial" w:hAnsi="Arial" w:eastAsia="Calibri" w:cs="Arial"/>
          <w:color w:val="000000" w:themeColor="text1"/>
          <w:sz w:val="22"/>
          <w:lang w:val="es-ES_tradnl"/>
        </w:rPr>
        <w:t xml:space="preserve"> de las ofertas en los procedimientos de selección. Se ratificará la tesis expuesta en los conceptos con radicado No. 4201913000006471 del 28 de octubre de 2019, 4201912000006711 del 12 de noviembre de 2019 y 4201912000006496 del 15 de noviembre de 2019, unificada en el CU— 060 de 16 de enero de 2020, reafirmada en los conceptos </w:t>
      </w:r>
      <w:r w:rsidRPr="003A746C">
        <w:rPr>
          <w:rFonts w:ascii="Arial" w:hAnsi="Arial" w:eastAsia="Calibri" w:cs="Arial"/>
          <w:color w:val="000000" w:themeColor="text1"/>
          <w:sz w:val="22"/>
        </w:rPr>
        <w:t xml:space="preserve">C — 082 de 27 de enero de 2020 y C — 127 de 12 de febrero de 2020. </w:t>
      </w:r>
      <w:r w:rsidRPr="003A746C">
        <w:rPr>
          <w:rFonts w:ascii="Arial" w:hAnsi="Arial" w:eastAsia="Calibri" w:cs="Arial"/>
          <w:color w:val="000000" w:themeColor="text1"/>
          <w:sz w:val="22"/>
          <w:lang w:val="es-ES_tradnl"/>
        </w:rPr>
        <w:t xml:space="preserve"> </w:t>
      </w:r>
    </w:p>
    <w:p w:rsidRPr="003A746C" w:rsidR="00CF2738" w:rsidP="00CF2738" w:rsidRDefault="00CF2738" w14:paraId="2CE181CF" w14:textId="77777777">
      <w:pPr>
        <w:spacing w:line="276" w:lineRule="auto"/>
        <w:jc w:val="both"/>
        <w:rPr>
          <w:rFonts w:ascii="Arial" w:hAnsi="Arial" w:eastAsia="Calibri" w:cs="Arial"/>
          <w:color w:val="000000" w:themeColor="text1"/>
          <w:sz w:val="22"/>
          <w:lang w:val="es-ES_tradnl"/>
        </w:rPr>
      </w:pPr>
    </w:p>
    <w:p w:rsidRPr="003A746C" w:rsidR="00CF2738" w:rsidP="00CF2738" w:rsidRDefault="00CF2738" w14:paraId="6A18F618" w14:textId="77777777">
      <w:pPr>
        <w:spacing w:line="276" w:lineRule="auto"/>
        <w:jc w:val="both"/>
        <w:rPr>
          <w:rFonts w:ascii="Arial" w:hAnsi="Arial" w:eastAsia="Calibri" w:cs="Arial"/>
          <w:b/>
          <w:bCs/>
          <w:color w:val="000000" w:themeColor="text1"/>
          <w:sz w:val="22"/>
          <w:lang w:val="es-ES_tradnl"/>
        </w:rPr>
      </w:pPr>
      <w:r w:rsidRPr="003A746C">
        <w:rPr>
          <w:rFonts w:ascii="Arial" w:hAnsi="Arial" w:eastAsia="Calibri" w:cs="Arial"/>
          <w:b/>
          <w:bCs/>
          <w:color w:val="000000" w:themeColor="text1"/>
          <w:sz w:val="22"/>
          <w:lang w:val="es-ES_tradnl"/>
        </w:rPr>
        <w:t>2.1. Principio de selección objetiva en la contratación estatal</w:t>
      </w:r>
    </w:p>
    <w:p w:rsidRPr="003A746C" w:rsidR="00CF2738" w:rsidP="00CF2738" w:rsidRDefault="00CF2738" w14:paraId="5AA5E709" w14:textId="77777777">
      <w:pPr>
        <w:spacing w:line="276" w:lineRule="auto"/>
        <w:jc w:val="both"/>
        <w:rPr>
          <w:rFonts w:ascii="Arial" w:hAnsi="Arial" w:eastAsia="Calibri" w:cs="Arial"/>
          <w:color w:val="000000" w:themeColor="text1"/>
          <w:sz w:val="22"/>
          <w:lang w:val="es-ES_tradnl"/>
        </w:rPr>
      </w:pPr>
    </w:p>
    <w:p w:rsidRPr="003A746C" w:rsidR="00CF2738" w:rsidP="00CF2738" w:rsidRDefault="00CF2738" w14:paraId="299D28D3" w14:textId="77777777">
      <w:pPr>
        <w:spacing w:line="276" w:lineRule="auto"/>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 xml:space="preserve">Uno de los principios transversales de los procedimientos de selección es el de </w:t>
      </w:r>
      <w:r w:rsidRPr="003A746C">
        <w:rPr>
          <w:rFonts w:ascii="Arial" w:hAnsi="Arial" w:eastAsia="Calibri" w:cs="Arial"/>
          <w:i/>
          <w:iCs/>
          <w:color w:val="000000" w:themeColor="text1"/>
          <w:sz w:val="22"/>
          <w:lang w:val="es-ES_tradnl"/>
        </w:rPr>
        <w:t>selección objetiva</w:t>
      </w:r>
      <w:r w:rsidRPr="003A746C">
        <w:rPr>
          <w:rFonts w:ascii="Arial" w:hAnsi="Arial" w:eastAsia="Calibri" w:cs="Arial"/>
          <w:color w:val="000000" w:themeColor="text1"/>
          <w:sz w:val="22"/>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rsidRPr="003A746C" w:rsidR="00CF2738" w:rsidP="00CF2738" w:rsidRDefault="00CF2738" w14:paraId="0D33F75B" w14:textId="77777777">
      <w:pPr>
        <w:spacing w:before="120"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Si bien dentro de la historia de la contratación pública en Colombia, se vislumbran antecedentes normativos que consagraban dicho principio</w:t>
      </w:r>
      <w:r w:rsidRPr="003A746C">
        <w:rPr>
          <w:rStyle w:val="Refdenotaalpie"/>
          <w:rFonts w:ascii="Arial" w:hAnsi="Arial" w:eastAsia="Calibri" w:cs="Arial"/>
          <w:color w:val="000000" w:themeColor="text1"/>
          <w:sz w:val="22"/>
          <w:lang w:val="es-ES_tradnl"/>
        </w:rPr>
        <w:footnoteReference w:id="1"/>
      </w:r>
      <w:r w:rsidRPr="003A746C">
        <w:rPr>
          <w:rFonts w:ascii="Arial" w:hAnsi="Arial" w:eastAsia="Calibri" w:cs="Arial"/>
          <w:color w:val="000000" w:themeColor="text1"/>
          <w:sz w:val="22"/>
          <w:lang w:val="es-ES_tradnl"/>
        </w:rPr>
        <w:t xml:space="preserve">, en la actualidad la disposición </w:t>
      </w:r>
      <w:r w:rsidRPr="003A746C">
        <w:rPr>
          <w:rFonts w:ascii="Arial" w:hAnsi="Arial" w:eastAsia="Calibri" w:cs="Arial"/>
          <w:color w:val="000000" w:themeColor="text1"/>
          <w:sz w:val="22"/>
          <w:lang w:val="es-ES_tradnl"/>
        </w:rPr>
        <w:lastRenderedPageBreak/>
        <w:t>legal que lo prevé de manera más clara y contundente es el artículo 5 de la Ley 1150 de 2007, modificado por el artículo 88 de la Ley 1474 de 2011 y por el artículo 5 de la Ley 1882 de 2018, que establece:</w:t>
      </w:r>
    </w:p>
    <w:p w:rsidRPr="003A746C" w:rsidR="00CF2738" w:rsidP="00CF2738" w:rsidRDefault="00CF2738" w14:paraId="1DA5033A" w14:textId="77777777">
      <w:pPr>
        <w:spacing w:line="276" w:lineRule="auto"/>
        <w:jc w:val="both"/>
        <w:rPr>
          <w:rFonts w:ascii="Arial" w:hAnsi="Arial" w:eastAsia="Calibri" w:cs="Arial"/>
          <w:color w:val="000000" w:themeColor="text1"/>
          <w:sz w:val="22"/>
          <w:lang w:val="es-ES_tradnl"/>
        </w:rPr>
      </w:pPr>
    </w:p>
    <w:p w:rsidRPr="003A746C" w:rsidR="00CF2738" w:rsidP="00CF2738" w:rsidRDefault="00CF2738" w14:paraId="5E797F24"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3A746C">
        <w:rPr>
          <w:rFonts w:ascii="Arial" w:hAnsi="Arial" w:eastAsia="Calibri" w:cs="Arial"/>
          <w:color w:val="000000" w:themeColor="text1"/>
          <w:sz w:val="21"/>
          <w:szCs w:val="21"/>
          <w:lang w:val="es-ES_tradnl"/>
        </w:rPr>
        <w:t>equivalentes,</w:t>
      </w:r>
      <w:proofErr w:type="gramEnd"/>
      <w:r w:rsidRPr="003A746C">
        <w:rPr>
          <w:rFonts w:ascii="Arial" w:hAnsi="Arial" w:eastAsia="Calibri" w:cs="Arial"/>
          <w:color w:val="000000" w:themeColor="text1"/>
          <w:sz w:val="21"/>
          <w:szCs w:val="21"/>
          <w:lang w:val="es-ES_tradnl"/>
        </w:rPr>
        <w:t xml:space="preserve"> tendrán en cuenta los siguientes criterios:</w:t>
      </w:r>
    </w:p>
    <w:p w:rsidRPr="003A746C" w:rsidR="00CF2738" w:rsidP="00CF2738" w:rsidRDefault="00CF2738" w14:paraId="760F7552"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4A14C48C"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3A746C" w:rsidR="00CF2738" w:rsidP="00CF2738" w:rsidRDefault="00CF2738" w14:paraId="19C50F25"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37E2C194"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2. [Numeral modificado por el artículo 88 de la Ley 1474 de 2011]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rsidRPr="003A746C" w:rsidR="00CF2738" w:rsidP="00CF2738" w:rsidRDefault="00CF2738" w14:paraId="11291B04"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70FE3088"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En los procesos de selección en los que se tenga en cuenta los factores técnicos y económicos, la oferta más ventajosa será la que resulte de aplicar alguna de las siguientes alternativas:</w:t>
      </w:r>
    </w:p>
    <w:p w:rsidRPr="003A746C" w:rsidR="00CF2738" w:rsidP="00CF2738" w:rsidRDefault="00CF2738" w14:paraId="6298C791"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1A2CF0C0"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a) La ponderación de los elementos de calidad y precio soportados en puntajes o fórmulas señaladas en el pliego de condiciones; o</w:t>
      </w:r>
    </w:p>
    <w:p w:rsidRPr="003A746C" w:rsidR="00CF2738" w:rsidP="00CF2738" w:rsidRDefault="00CF2738" w14:paraId="491CBEE1"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6ED3A25D"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b) La ponderación de los elementos de calidad y precio que representen la mejor relación de costo-beneficio para la entidad.</w:t>
      </w:r>
    </w:p>
    <w:p w:rsidRPr="003A746C" w:rsidR="00CF2738" w:rsidP="00CF2738" w:rsidRDefault="00CF2738" w14:paraId="4808C7D0"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13E6647C"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rsidRPr="003A746C" w:rsidR="00CF2738" w:rsidP="00CF2738" w:rsidRDefault="00CF2738" w14:paraId="08A9AE6F"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70959371"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rsidRPr="003A746C" w:rsidR="00CF2738" w:rsidP="00CF2738" w:rsidRDefault="00CF2738" w14:paraId="35463BF4"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6276DAAD"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En ningún caso se podrá incluir el precio, como factor de escogencia para la selección de consultores.</w:t>
      </w:r>
    </w:p>
    <w:p w:rsidRPr="003A746C" w:rsidR="00CF2738" w:rsidP="00CF2738" w:rsidRDefault="00CF2738" w14:paraId="04B0134A"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71E0BBB2"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 xml:space="preserve">PARÁGRAFO 1o. [Parágrafo modificado por el artículo 5 de la Ley 1882 de 2018]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3A746C">
        <w:rPr>
          <w:rFonts w:ascii="Arial" w:hAnsi="Arial" w:eastAsia="Calibri" w:cs="Arial"/>
          <w:color w:val="000000" w:themeColor="text1"/>
          <w:sz w:val="21"/>
          <w:szCs w:val="21"/>
          <w:lang w:val="es-ES_tradnl"/>
        </w:rPr>
        <w:t>puntaje,</w:t>
      </w:r>
      <w:proofErr w:type="gramEnd"/>
      <w:r w:rsidRPr="003A746C">
        <w:rPr>
          <w:rFonts w:ascii="Arial" w:hAnsi="Arial" w:eastAsia="Calibri" w:cs="Arial"/>
          <w:color w:val="000000" w:themeColor="text1"/>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rsidRPr="003A746C" w:rsidR="00CF2738" w:rsidP="00CF2738" w:rsidRDefault="00CF2738" w14:paraId="558D963F"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33C9CF05"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Durante el término otorgado para subsanar las ofertas, los proponentes no podrán acreditar circunstancias ocurridas con posterioridad al cierre del proceso.</w:t>
      </w:r>
    </w:p>
    <w:p w:rsidRPr="003A746C" w:rsidR="00CF2738" w:rsidP="00CF2738" w:rsidRDefault="00CF2738" w14:paraId="6017CE61"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0C5537BB"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PARÁGRAFO 2o. Las certificaciones de sistemas de gestión de calidad no serán objeto de calificación, ni podrán establecerse como documento habilitante para participar en licitaciones o concursos.</w:t>
      </w:r>
    </w:p>
    <w:p w:rsidRPr="003A746C" w:rsidR="00CF2738" w:rsidP="00CF2738" w:rsidRDefault="00CF2738" w14:paraId="3C47C844"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28DAAF8C"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 xml:space="preserve">PARÁGRAFO 3o. [Parágrafo adicionado por el artículo 5 de la Ley 1882 de 2018] La no entrega de la garantía de seriedad junto con la propuesta no será subsanable y será causal de rechazo de </w:t>
      </w:r>
      <w:proofErr w:type="gramStart"/>
      <w:r w:rsidRPr="003A746C">
        <w:rPr>
          <w:rFonts w:ascii="Arial" w:hAnsi="Arial" w:eastAsia="Calibri" w:cs="Arial"/>
          <w:color w:val="000000" w:themeColor="text1"/>
          <w:sz w:val="21"/>
          <w:szCs w:val="21"/>
          <w:lang w:val="es-ES_tradnl"/>
        </w:rPr>
        <w:t>la misma</w:t>
      </w:r>
      <w:proofErr w:type="gramEnd"/>
      <w:r w:rsidRPr="003A746C">
        <w:rPr>
          <w:rFonts w:ascii="Arial" w:hAnsi="Arial" w:eastAsia="Calibri" w:cs="Arial"/>
          <w:color w:val="000000" w:themeColor="text1"/>
          <w:sz w:val="21"/>
          <w:szCs w:val="21"/>
          <w:lang w:val="es-ES_tradnl"/>
        </w:rPr>
        <w:t>.</w:t>
      </w:r>
    </w:p>
    <w:p w:rsidRPr="003A746C" w:rsidR="00CF2738" w:rsidP="00CF2738" w:rsidRDefault="00CF2738" w14:paraId="688D5557"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110FCF63" w14:textId="77777777">
      <w:pPr>
        <w:ind w:left="709" w:right="709"/>
        <w:jc w:val="both"/>
        <w:rPr>
          <w:rFonts w:ascii="Arial" w:hAnsi="Arial" w:eastAsia="Calibri" w:cs="Arial"/>
          <w:color w:val="000000" w:themeColor="text1"/>
          <w:sz w:val="21"/>
          <w:szCs w:val="21"/>
          <w:lang w:val="es-ES_tradnl"/>
        </w:rPr>
      </w:pPr>
      <w:r w:rsidRPr="003A746C">
        <w:rPr>
          <w:rFonts w:ascii="Arial" w:hAnsi="Arial" w:eastAsia="Calibri" w:cs="Arial"/>
          <w:color w:val="000000" w:themeColor="text1"/>
          <w:sz w:val="21"/>
          <w:szCs w:val="21"/>
          <w:lang w:val="es-ES_tradnl"/>
        </w:rPr>
        <w:t xml:space="preserve">PARÁGRAFO 4o. [Parágrafo adicionado por el artículo 5 de la Ley 1882 de 2018] En aquellos procesos de selección en los que se utilice el mecanismo de </w:t>
      </w:r>
      <w:r w:rsidRPr="003A746C">
        <w:rPr>
          <w:rFonts w:ascii="Arial" w:hAnsi="Arial" w:eastAsia="Calibri" w:cs="Arial"/>
          <w:color w:val="000000" w:themeColor="text1"/>
          <w:sz w:val="21"/>
          <w:szCs w:val="21"/>
          <w:lang w:val="es-ES_tradnl"/>
        </w:rPr>
        <w:lastRenderedPageBreak/>
        <w:t>subasta, los documentos referentes a la futura contratación o al proponente, no necesarios para la comparación de las propuestas, deberán ser solicitados hasta el momento previo a su realización.</w:t>
      </w:r>
    </w:p>
    <w:p w:rsidRPr="003A746C" w:rsidR="00CF2738" w:rsidP="00CF2738" w:rsidRDefault="00CF2738" w14:paraId="2693C835" w14:textId="77777777">
      <w:pPr>
        <w:ind w:left="709" w:right="709"/>
        <w:jc w:val="both"/>
        <w:rPr>
          <w:rFonts w:ascii="Arial" w:hAnsi="Arial" w:eastAsia="Calibri" w:cs="Arial"/>
          <w:color w:val="000000" w:themeColor="text1"/>
          <w:sz w:val="21"/>
          <w:szCs w:val="21"/>
          <w:lang w:val="es-ES_tradnl"/>
        </w:rPr>
      </w:pPr>
    </w:p>
    <w:p w:rsidRPr="003A746C" w:rsidR="00CF2738" w:rsidP="00CF2738" w:rsidRDefault="00CF2738" w14:paraId="0E74586C" w14:textId="77777777">
      <w:pPr>
        <w:ind w:left="709" w:right="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1"/>
          <w:szCs w:val="21"/>
          <w:lang w:val="es-ES_tradnl"/>
        </w:rPr>
        <w:t>PARÁGRAFO 5o. [Parágrafo adicionado por el artículo 5 de la Ley 1882 de 2018] En los procesos de contratación, las entidades estatales deberán aceptar la experiencia adquirida por los proponentes a través de la ejecución de contratos con particulares.</w:t>
      </w:r>
      <w:r w:rsidRPr="003A746C">
        <w:rPr>
          <w:rFonts w:ascii="Arial" w:hAnsi="Arial" w:eastAsia="Calibri" w:cs="Arial"/>
          <w:color w:val="000000" w:themeColor="text1"/>
          <w:sz w:val="22"/>
          <w:lang w:val="es-ES_tradnl"/>
        </w:rPr>
        <w:t xml:space="preserve"> </w:t>
      </w:r>
    </w:p>
    <w:p w:rsidRPr="003A746C" w:rsidR="00CF2738" w:rsidP="00CF2738" w:rsidRDefault="00CF2738" w14:paraId="2070DF6F" w14:textId="77777777">
      <w:pPr>
        <w:spacing w:line="276" w:lineRule="auto"/>
        <w:jc w:val="both"/>
        <w:rPr>
          <w:rFonts w:ascii="Arial" w:hAnsi="Arial" w:eastAsia="Calibri" w:cs="Arial"/>
          <w:color w:val="000000" w:themeColor="text1"/>
          <w:sz w:val="22"/>
          <w:lang w:val="es-ES_tradnl"/>
        </w:rPr>
      </w:pPr>
    </w:p>
    <w:p w:rsidRPr="003A746C" w:rsidR="00CF2738" w:rsidP="00CF2738" w:rsidRDefault="00CF2738" w14:paraId="253861A5" w14:textId="77777777">
      <w:pPr>
        <w:spacing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 xml:space="preserve">Así mismo, la Ley 80 de 1993 se refiere a la </w:t>
      </w:r>
      <w:r w:rsidRPr="003A746C">
        <w:rPr>
          <w:rFonts w:ascii="Arial" w:hAnsi="Arial" w:eastAsia="Calibri" w:cs="Arial"/>
          <w:i/>
          <w:iCs/>
          <w:color w:val="000000" w:themeColor="text1"/>
          <w:sz w:val="22"/>
          <w:lang w:val="es-ES_tradnl"/>
        </w:rPr>
        <w:t>selección objetiva</w:t>
      </w:r>
      <w:r w:rsidRPr="003A746C">
        <w:rPr>
          <w:rFonts w:ascii="Arial" w:hAnsi="Arial" w:eastAsia="Calibri" w:cs="Arial"/>
          <w:color w:val="000000" w:themeColor="text1"/>
          <w:sz w:val="22"/>
          <w:lang w:val="es-ES_tradnl"/>
        </w:rPr>
        <w:t xml:space="preserve"> en varios apartados, como: i) el primer inciso del artículo 21, que obliga a las entidades estatales a tener en cuenta la selección objetiva, al garantizar la participación de los oferentes de bienes y servicios de origen nacional, </w:t>
      </w:r>
      <w:proofErr w:type="spellStart"/>
      <w:r w:rsidRPr="003A746C">
        <w:rPr>
          <w:rFonts w:ascii="Arial" w:hAnsi="Arial" w:eastAsia="Calibri" w:cs="Arial"/>
          <w:color w:val="000000" w:themeColor="text1"/>
          <w:sz w:val="22"/>
          <w:lang w:val="es-ES_tradnl"/>
        </w:rPr>
        <w:t>ii</w:t>
      </w:r>
      <w:proofErr w:type="spellEnd"/>
      <w:r w:rsidRPr="003A746C">
        <w:rPr>
          <w:rFonts w:ascii="Arial" w:hAnsi="Arial" w:eastAsia="Calibri" w:cs="Arial"/>
          <w:color w:val="000000" w:themeColor="text1"/>
          <w:sz w:val="22"/>
          <w:lang w:val="es-ES_tradnl"/>
        </w:rPr>
        <w:t xml:space="preserve">) el artículo 24, numeral 5º, literal a), que manda que en los pliegos de condiciones se indiquen «[…] los requisitos objetivos necesarios para participar en el correspondiente proceso de selección», </w:t>
      </w:r>
      <w:proofErr w:type="spellStart"/>
      <w:r w:rsidRPr="003A746C">
        <w:rPr>
          <w:rFonts w:ascii="Arial" w:hAnsi="Arial" w:eastAsia="Calibri" w:cs="Arial"/>
          <w:color w:val="000000" w:themeColor="text1"/>
          <w:sz w:val="22"/>
          <w:lang w:val="es-ES_tradnl"/>
        </w:rPr>
        <w:t>iii</w:t>
      </w:r>
      <w:proofErr w:type="spellEnd"/>
      <w:r w:rsidRPr="003A746C">
        <w:rPr>
          <w:rFonts w:ascii="Arial" w:hAnsi="Arial" w:eastAsia="Calibri" w:cs="Arial"/>
          <w:color w:val="000000" w:themeColor="text1"/>
          <w:sz w:val="22"/>
          <w:lang w:val="es-ES_tradnl"/>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roofErr w:type="spellStart"/>
      <w:r w:rsidRPr="003A746C">
        <w:rPr>
          <w:rFonts w:ascii="Arial" w:hAnsi="Arial" w:eastAsia="Calibri" w:cs="Arial"/>
          <w:color w:val="000000" w:themeColor="text1"/>
          <w:sz w:val="22"/>
          <w:lang w:val="es-ES_tradnl"/>
        </w:rPr>
        <w:t>iv</w:t>
      </w:r>
      <w:proofErr w:type="spellEnd"/>
      <w:r w:rsidRPr="003A746C">
        <w:rPr>
          <w:rFonts w:ascii="Arial" w:hAnsi="Arial" w:eastAsia="Calibri" w:cs="Arial"/>
          <w:color w:val="000000" w:themeColor="text1"/>
          <w:sz w:val="22"/>
          <w:lang w:val="es-ES_tradnl"/>
        </w:rPr>
        <w:t xml:space="preserve">)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w:t>
      </w:r>
      <w:proofErr w:type="spellStart"/>
      <w:r w:rsidRPr="003A746C">
        <w:rPr>
          <w:rFonts w:ascii="Arial" w:hAnsi="Arial" w:eastAsia="Calibri" w:cs="Arial"/>
          <w:color w:val="000000" w:themeColor="text1"/>
          <w:sz w:val="22"/>
          <w:lang w:val="es-ES_tradnl"/>
        </w:rPr>
        <w:t>vii</w:t>
      </w:r>
      <w:proofErr w:type="spellEnd"/>
      <w:r w:rsidRPr="003A746C">
        <w:rPr>
          <w:rFonts w:ascii="Arial" w:hAnsi="Arial" w:eastAsia="Calibri" w:cs="Arial"/>
          <w:color w:val="000000" w:themeColor="text1"/>
          <w:sz w:val="22"/>
          <w:lang w:val="es-ES_tradnl"/>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3A746C">
        <w:rPr>
          <w:rFonts w:ascii="Arial" w:hAnsi="Arial" w:eastAsia="Calibri" w:cs="Arial"/>
          <w:color w:val="000000" w:themeColor="text1"/>
          <w:sz w:val="22"/>
          <w:lang w:val="es-ES_tradnl"/>
        </w:rPr>
        <w:t>viii</w:t>
      </w:r>
      <w:proofErr w:type="spellEnd"/>
      <w:r w:rsidRPr="003A746C">
        <w:rPr>
          <w:rFonts w:ascii="Arial" w:hAnsi="Arial" w:eastAsia="Calibri" w:cs="Arial"/>
          <w:color w:val="000000" w:themeColor="text1"/>
          <w:sz w:val="22"/>
          <w:lang w:val="es-ES_tradnl"/>
        </w:rPr>
        <w:t xml:space="preserve">) el inciso final del artículo 38, que obliga a las entidades estatales que tengan como objeto la prestación de servicios y actividades de telecomunicaciones a respetar el principio de selección objetiva, y </w:t>
      </w:r>
      <w:proofErr w:type="spellStart"/>
      <w:r w:rsidRPr="003A746C">
        <w:rPr>
          <w:rFonts w:ascii="Arial" w:hAnsi="Arial" w:eastAsia="Calibri" w:cs="Arial"/>
          <w:color w:val="000000" w:themeColor="text1"/>
          <w:sz w:val="22"/>
          <w:lang w:val="es-ES_tradnl"/>
        </w:rPr>
        <w:t>ix</w:t>
      </w:r>
      <w:proofErr w:type="spellEnd"/>
      <w:r w:rsidRPr="003A746C">
        <w:rPr>
          <w:rFonts w:ascii="Arial" w:hAnsi="Arial" w:eastAsia="Calibri" w:cs="Arial"/>
          <w:color w:val="000000" w:themeColor="text1"/>
          <w:sz w:val="22"/>
          <w:lang w:val="es-ES_tradnl"/>
        </w:rPr>
        <w:t xml:space="preserve">) el segundo inciso del artículo 76, que ordena cumplir también con dicho principio a las entidades que tengan por objeto la exploración, explotación y comercialización de recursos naturales renovables y no renovables. </w:t>
      </w:r>
    </w:p>
    <w:p w:rsidRPr="003A746C" w:rsidR="00CF2738" w:rsidP="00CF2738" w:rsidRDefault="00CF2738" w14:paraId="7F06B2E1" w14:textId="77777777">
      <w:pPr>
        <w:spacing w:before="120" w:after="120"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 xml:space="preserve">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w:t>
      </w:r>
      <w:r w:rsidRPr="003A746C">
        <w:rPr>
          <w:rFonts w:ascii="Arial" w:hAnsi="Arial" w:eastAsia="Calibri" w:cs="Arial"/>
          <w:color w:val="000000" w:themeColor="text1"/>
          <w:sz w:val="22"/>
          <w:lang w:val="es-ES_tradnl"/>
        </w:rPr>
        <w:lastRenderedPageBreak/>
        <w:t xml:space="preserve">condiciones de costo y/o calidad que la Entidad Estatal debe tener en cuenta para la selección objetiva, de acuerdo con la modalidad de selección del contratista»; </w:t>
      </w:r>
      <w:proofErr w:type="spellStart"/>
      <w:r w:rsidRPr="003A746C">
        <w:rPr>
          <w:rFonts w:ascii="Arial" w:hAnsi="Arial" w:eastAsia="Calibri" w:cs="Arial"/>
          <w:color w:val="000000" w:themeColor="text1"/>
          <w:sz w:val="22"/>
          <w:lang w:val="es-ES_tradnl"/>
        </w:rPr>
        <w:t>ii</w:t>
      </w:r>
      <w:proofErr w:type="spellEnd"/>
      <w:r w:rsidRPr="003A746C">
        <w:rPr>
          <w:rFonts w:ascii="Arial" w:hAnsi="Arial" w:eastAsia="Calibri" w:cs="Arial"/>
          <w:color w:val="000000" w:themeColor="text1"/>
          <w:sz w:val="22"/>
          <w:lang w:val="es-ES_tradnl"/>
        </w:rPr>
        <w:t xml:space="preserve">)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 o </w:t>
      </w:r>
      <w:proofErr w:type="spellStart"/>
      <w:r w:rsidRPr="003A746C">
        <w:rPr>
          <w:rFonts w:ascii="Arial" w:hAnsi="Arial" w:eastAsia="Calibri" w:cs="Arial"/>
          <w:color w:val="000000" w:themeColor="text1"/>
          <w:sz w:val="22"/>
          <w:lang w:val="es-ES_tradnl"/>
        </w:rPr>
        <w:t>iii</w:t>
      </w:r>
      <w:proofErr w:type="spellEnd"/>
      <w:r w:rsidRPr="003A746C">
        <w:rPr>
          <w:rFonts w:ascii="Arial" w:hAnsi="Arial" w:eastAsia="Calibri" w:cs="Arial"/>
          <w:color w:val="000000" w:themeColor="text1"/>
          <w:sz w:val="22"/>
          <w:lang w:val="es-ES_tradnl"/>
        </w:rPr>
        <w:t>) el numeral 7º del artículo 2.2.1.2.6.1.3., que consagra, como obligación de la Agencia de 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rsidRPr="003A746C" w:rsidR="00CF2738" w:rsidP="00CF2738" w:rsidRDefault="00CF2738" w14:paraId="3F096DEE" w14:textId="77777777">
      <w:pPr>
        <w:spacing w:before="120" w:after="120"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3A746C">
        <w:rPr>
          <w:rStyle w:val="Refdenotaalpie"/>
          <w:rFonts w:ascii="Arial" w:hAnsi="Arial" w:eastAsia="Calibri" w:cs="Arial"/>
          <w:color w:val="000000" w:themeColor="text1"/>
          <w:sz w:val="22"/>
          <w:lang w:val="es-ES_tradnl"/>
        </w:rPr>
        <w:footnoteReference w:id="2"/>
      </w:r>
      <w:r w:rsidRPr="003A746C">
        <w:rPr>
          <w:rFonts w:ascii="Arial" w:hAnsi="Arial" w:eastAsia="Calibri" w:cs="Arial"/>
          <w:color w:val="000000" w:themeColor="text1"/>
          <w:sz w:val="22"/>
          <w:lang w:val="es-ES_tradn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3A746C">
        <w:rPr>
          <w:rStyle w:val="Refdenotaalpie"/>
          <w:rFonts w:ascii="Arial" w:hAnsi="Arial" w:eastAsia="Calibri" w:cs="Arial"/>
          <w:color w:val="000000" w:themeColor="text1"/>
          <w:sz w:val="22"/>
          <w:lang w:val="es-ES_tradnl"/>
        </w:rPr>
        <w:footnoteReference w:id="3"/>
      </w:r>
      <w:r w:rsidRPr="003A746C">
        <w:rPr>
          <w:rFonts w:ascii="Arial" w:hAnsi="Arial" w:eastAsia="Calibri" w:cs="Arial"/>
          <w:color w:val="000000" w:themeColor="text1"/>
          <w:sz w:val="22"/>
          <w:lang w:val="es-ES_tradnl"/>
        </w:rPr>
        <w:t>.</w:t>
      </w:r>
    </w:p>
    <w:p w:rsidRPr="003A746C" w:rsidR="00CF2738" w:rsidP="00CF2738" w:rsidRDefault="00CF2738" w14:paraId="67CB179A" w14:textId="77777777">
      <w:pPr>
        <w:spacing w:before="120" w:after="120" w:line="276" w:lineRule="auto"/>
        <w:ind w:firstLine="709"/>
        <w:jc w:val="both"/>
        <w:rPr>
          <w:rFonts w:ascii="Arial" w:hAnsi="Arial" w:eastAsia="Calibri" w:cs="Arial"/>
          <w:color w:val="000000" w:themeColor="text1"/>
          <w:sz w:val="22"/>
          <w:lang w:val="es-CO"/>
        </w:rPr>
      </w:pPr>
      <w:r w:rsidRPr="003A746C">
        <w:rPr>
          <w:rFonts w:ascii="Arial" w:hAnsi="Arial" w:eastAsia="Calibri" w:cs="Arial"/>
          <w:color w:val="000000" w:themeColor="text1"/>
          <w:sz w:val="22"/>
          <w:lang w:val="es-ES_tradnl"/>
        </w:rPr>
        <w:t xml:space="preserve">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subsanar los requisitos de participación, bajo las condiciones indicadas en la ley, </w:t>
      </w:r>
      <w:r w:rsidRPr="003A746C">
        <w:rPr>
          <w:rFonts w:ascii="Arial" w:hAnsi="Arial" w:eastAsia="Calibri" w:cs="Arial"/>
          <w:color w:val="000000" w:themeColor="text1"/>
          <w:sz w:val="22"/>
          <w:lang w:val="es-ES_tradnl"/>
        </w:rPr>
        <w:lastRenderedPageBreak/>
        <w:t>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permite que los proponentes completen o corrijan la información relacionada con los requisitos que no asignan puntaje, como mecanismo para hacer prevalecer el derecho sustancial sobre las formalidades. Esta regla se explica a continuación.</w:t>
      </w:r>
    </w:p>
    <w:p w:rsidRPr="003A746C" w:rsidR="00CF2738" w:rsidP="00491BBC" w:rsidRDefault="00CF2738" w14:paraId="75556E78" w14:textId="77777777">
      <w:pPr>
        <w:jc w:val="both"/>
        <w:rPr>
          <w:rFonts w:ascii="Arial" w:hAnsi="Arial" w:eastAsia="Calibri" w:cs="Arial"/>
          <w:color w:val="000000" w:themeColor="text1"/>
          <w:sz w:val="22"/>
          <w:lang w:val="es-ES_tradnl"/>
        </w:rPr>
      </w:pPr>
    </w:p>
    <w:p w:rsidRPr="003A746C" w:rsidR="00CF2738" w:rsidP="00CF2738" w:rsidRDefault="00CF2738" w14:paraId="697BF7A3" w14:textId="77777777">
      <w:pPr>
        <w:spacing w:line="276" w:lineRule="auto"/>
        <w:jc w:val="both"/>
        <w:rPr>
          <w:rFonts w:ascii="Arial" w:hAnsi="Arial" w:eastAsia="Calibri" w:cs="Arial"/>
          <w:b/>
          <w:bCs/>
          <w:color w:val="000000" w:themeColor="text1"/>
          <w:sz w:val="22"/>
          <w:lang w:val="es-ES_tradnl"/>
        </w:rPr>
      </w:pPr>
      <w:r w:rsidRPr="003A746C">
        <w:rPr>
          <w:rFonts w:ascii="Arial" w:hAnsi="Arial" w:eastAsia="Calibri" w:cs="Arial"/>
          <w:b/>
          <w:bCs/>
          <w:color w:val="000000" w:themeColor="text1"/>
          <w:sz w:val="22"/>
          <w:lang w:val="es-ES_tradnl"/>
        </w:rPr>
        <w:t xml:space="preserve">2.2. Alcance de la regla de la </w:t>
      </w:r>
      <w:proofErr w:type="spellStart"/>
      <w:r w:rsidRPr="003A746C">
        <w:rPr>
          <w:rFonts w:ascii="Arial" w:hAnsi="Arial" w:eastAsia="Calibri" w:cs="Arial"/>
          <w:b/>
          <w:bCs/>
          <w:color w:val="000000" w:themeColor="text1"/>
          <w:sz w:val="22"/>
          <w:lang w:val="es-ES_tradnl"/>
        </w:rPr>
        <w:t>subsanabilidad</w:t>
      </w:r>
      <w:proofErr w:type="spellEnd"/>
      <w:r w:rsidRPr="003A746C">
        <w:rPr>
          <w:rFonts w:ascii="Arial" w:hAnsi="Arial" w:eastAsia="Calibri" w:cs="Arial"/>
          <w:b/>
          <w:bCs/>
          <w:color w:val="000000" w:themeColor="text1"/>
          <w:sz w:val="22"/>
          <w:lang w:val="es-ES_tradnl"/>
        </w:rPr>
        <w:t xml:space="preserve"> de las ofertas </w:t>
      </w:r>
    </w:p>
    <w:p w:rsidRPr="003A746C" w:rsidR="00CF2738" w:rsidP="00CF2738" w:rsidRDefault="00CF2738" w14:paraId="53D826C5" w14:textId="77777777">
      <w:pPr>
        <w:spacing w:line="276" w:lineRule="auto"/>
        <w:jc w:val="both"/>
        <w:rPr>
          <w:rFonts w:ascii="Arial" w:hAnsi="Arial" w:eastAsia="Calibri" w:cs="Arial"/>
          <w:color w:val="000000" w:themeColor="text1"/>
          <w:sz w:val="22"/>
          <w:lang w:val="es-ES_tradnl"/>
        </w:rPr>
      </w:pPr>
    </w:p>
    <w:p w:rsidRPr="003A746C" w:rsidR="00CF2738" w:rsidP="00CF2738" w:rsidRDefault="00CF2738" w14:paraId="26542564" w14:textId="77777777">
      <w:pPr>
        <w:spacing w:after="120" w:line="276" w:lineRule="auto"/>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Esta Subdirección se ha pronunciado en diversas oportunidades acerca del alcance de la regla de la </w:t>
      </w:r>
      <w:proofErr w:type="spellStart"/>
      <w:r w:rsidRPr="003A746C">
        <w:rPr>
          <w:rFonts w:ascii="Arial" w:hAnsi="Arial" w:cs="Arial"/>
          <w:color w:val="000000" w:themeColor="text1"/>
          <w:sz w:val="22"/>
          <w:lang w:val="es-ES_tradnl"/>
        </w:rPr>
        <w:t>subsanabilidad</w:t>
      </w:r>
      <w:proofErr w:type="spellEnd"/>
      <w:r w:rsidRPr="003A746C">
        <w:rPr>
          <w:rFonts w:ascii="Arial" w:hAnsi="Arial" w:cs="Arial"/>
          <w:color w:val="000000" w:themeColor="text1"/>
          <w:sz w:val="22"/>
          <w:lang w:val="es-ES_tradnl"/>
        </w:rPr>
        <w:t xml:space="preserve">, contenida actualmente en el artículo 5 de la Ley 1150 de 2007. Al respecto, la postura que se reitera en el presente concepto es la siguiente: por regla general, i) la falta de entrega o </w:t>
      </w:r>
      <w:proofErr w:type="spellStart"/>
      <w:r w:rsidRPr="003A746C">
        <w:rPr>
          <w:rFonts w:ascii="Arial" w:hAnsi="Arial" w:cs="Arial"/>
          <w:color w:val="000000" w:themeColor="text1"/>
          <w:sz w:val="22"/>
          <w:lang w:val="es-ES_tradnl"/>
        </w:rPr>
        <w:t>ii</w:t>
      </w:r>
      <w:proofErr w:type="spellEnd"/>
      <w:r w:rsidRPr="003A746C">
        <w:rPr>
          <w:rFonts w:ascii="Arial" w:hAnsi="Arial" w:cs="Arial"/>
          <w:color w:val="000000" w:themeColor="text1"/>
          <w:sz w:val="22"/>
          <w:lang w:val="es-ES_tradnl"/>
        </w:rPr>
        <w:t xml:space="preserve">) los defectos, de los requisitos habilitantes, son subsanables. La excepción se encuentra en los casos, previstos en la ley, que limitan la </w:t>
      </w:r>
      <w:proofErr w:type="spellStart"/>
      <w:r w:rsidRPr="003A746C">
        <w:rPr>
          <w:rFonts w:ascii="Arial" w:hAnsi="Arial" w:cs="Arial"/>
          <w:color w:val="000000" w:themeColor="text1"/>
          <w:sz w:val="22"/>
          <w:lang w:val="es-ES_tradnl"/>
        </w:rPr>
        <w:t>subsanabilidad</w:t>
      </w:r>
      <w:proofErr w:type="spellEnd"/>
      <w:r w:rsidRPr="003A746C">
        <w:rPr>
          <w:rFonts w:ascii="Arial" w:hAnsi="Arial" w:cs="Arial"/>
          <w:color w:val="000000" w:themeColor="text1"/>
          <w:sz w:val="22"/>
          <w:lang w:val="es-ES_tradnl"/>
        </w:rPr>
        <w:t xml:space="preserve">, es decir, en la prohibición de permitir la entrega de la garantía de seriedad de la oferta que no fue aportada con la propuesta y de valer la acreditación de circunstancias ocurridas con posterioridad al cierre del proceso. </w:t>
      </w:r>
    </w:p>
    <w:p w:rsidRPr="003A746C" w:rsidR="00CF2738" w:rsidP="00CF2738" w:rsidRDefault="00CF2738" w14:paraId="052B2E4B" w14:textId="77777777">
      <w:pPr>
        <w:spacing w:before="120" w:after="120" w:line="276" w:lineRule="auto"/>
        <w:ind w:firstLine="708"/>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En efecto, la Agencia Nacional de Contratación Pública – Colombia Compra Eficiente, en el concepto CU — 060 de 16 de enero de 2020, unificó el concepto de la Agencia Nacional de Contratación Pública – Colombia Compra Eficiente en torno al alcance de la regla de la </w:t>
      </w:r>
      <w:proofErr w:type="spellStart"/>
      <w:r w:rsidRPr="003A746C">
        <w:rPr>
          <w:rFonts w:ascii="Arial" w:hAnsi="Arial" w:cs="Arial"/>
          <w:color w:val="000000" w:themeColor="text1"/>
          <w:sz w:val="22"/>
          <w:lang w:val="es-ES_tradnl"/>
        </w:rPr>
        <w:t>subsanabilidad</w:t>
      </w:r>
      <w:proofErr w:type="spellEnd"/>
      <w:r w:rsidRPr="003A746C">
        <w:rPr>
          <w:rFonts w:ascii="Arial" w:hAnsi="Arial" w:cs="Arial"/>
          <w:color w:val="000000" w:themeColor="text1"/>
          <w:sz w:val="22"/>
          <w:lang w:val="es-ES_tradnl"/>
        </w:rPr>
        <w:t xml:space="preserve">, contenida actualmente en el artículo 5 de la Ley 1150 de 2007. En dicho concepto se unificó la </w:t>
      </w:r>
      <w:r w:rsidRPr="003A746C">
        <w:rPr>
          <w:rFonts w:ascii="Arial" w:hAnsi="Arial" w:eastAsia="Calibri" w:cs="Arial"/>
          <w:color w:val="000000" w:themeColor="text1"/>
          <w:sz w:val="22"/>
          <w:lang w:val="es-ES_tradnl"/>
        </w:rPr>
        <w:t xml:space="preserve">tesis expuesta en los conceptos con radicado No. 4201913000006471 del 28 de octubre de 2019, 4201912000006711 del 12 de noviembre de 2019 y 4201912000006496 del 15 de noviembre de 2019, la cual fue reiterada en los conceptos </w:t>
      </w:r>
      <w:r w:rsidRPr="003A746C">
        <w:rPr>
          <w:rFonts w:ascii="Arial" w:hAnsi="Arial" w:eastAsia="Calibri" w:cs="Arial"/>
          <w:color w:val="000000" w:themeColor="text1"/>
          <w:sz w:val="22"/>
        </w:rPr>
        <w:t>C — 082 de 27 de enero de 2020 y C — 127 de 12 de febrero de 2020.</w:t>
      </w:r>
      <w:r w:rsidRPr="003A746C">
        <w:rPr>
          <w:rFonts w:ascii="Arial" w:hAnsi="Arial" w:cs="Arial"/>
          <w:color w:val="000000" w:themeColor="text1"/>
          <w:sz w:val="22"/>
          <w:lang w:val="es-ES_tradnl"/>
        </w:rPr>
        <w:t xml:space="preserve"> De la tesis desarrollada se tomarán algunas consideraciones para ilustrar el alcance de la regla de </w:t>
      </w:r>
      <w:proofErr w:type="spellStart"/>
      <w:r w:rsidRPr="003A746C">
        <w:rPr>
          <w:rFonts w:ascii="Arial" w:hAnsi="Arial" w:cs="Arial"/>
          <w:color w:val="000000" w:themeColor="text1"/>
          <w:sz w:val="22"/>
          <w:lang w:val="es-ES_tradnl"/>
        </w:rPr>
        <w:t>subsanabilidad</w:t>
      </w:r>
      <w:proofErr w:type="spellEnd"/>
      <w:r w:rsidRPr="003A746C">
        <w:rPr>
          <w:rFonts w:ascii="Arial" w:hAnsi="Arial" w:cs="Arial"/>
          <w:color w:val="000000" w:themeColor="text1"/>
          <w:sz w:val="22"/>
          <w:lang w:val="es-ES_tradnl"/>
        </w:rPr>
        <w:t>.</w:t>
      </w:r>
    </w:p>
    <w:p w:rsidRPr="003A746C" w:rsidR="00CF2738" w:rsidP="00CF2738" w:rsidRDefault="00CF2738" w14:paraId="649BB93A"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La posibilidad de enmendar, corregir o subsanar los errores en los que se incurre en los documentos contentivos de la oferta es un tema que ha tenido diferentes momentos o etapas en el ordenamiento jurídico colombiano. </w:t>
      </w:r>
    </w:p>
    <w:p w:rsidRPr="003A746C" w:rsidR="00CF2738" w:rsidP="00CF2738" w:rsidRDefault="00CF2738" w14:paraId="451DD8EF"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En un </w:t>
      </w:r>
      <w:r w:rsidRPr="003A746C">
        <w:rPr>
          <w:rFonts w:ascii="Arial" w:hAnsi="Arial" w:cs="Arial"/>
          <w:i/>
          <w:color w:val="000000" w:themeColor="text1"/>
          <w:sz w:val="22"/>
          <w:lang w:val="es-ES_tradnl"/>
        </w:rPr>
        <w:t>primer momento</w:t>
      </w:r>
      <w:r w:rsidRPr="003A746C">
        <w:rPr>
          <w:rFonts w:ascii="Arial" w:hAnsi="Arial" w:cs="Arial"/>
          <w:color w:val="000000" w:themeColor="text1"/>
          <w:sz w:val="22"/>
          <w:lang w:val="es-ES_tradnl"/>
        </w:rPr>
        <w:t xml:space="preserve">, antes de la </w:t>
      </w:r>
      <w:proofErr w:type="gramStart"/>
      <w:r w:rsidRPr="003A746C">
        <w:rPr>
          <w:rFonts w:ascii="Arial" w:hAnsi="Arial" w:cs="Arial"/>
          <w:color w:val="000000" w:themeColor="text1"/>
          <w:sz w:val="22"/>
          <w:lang w:val="es-ES_tradnl"/>
        </w:rPr>
        <w:t>entrada en vigencia</w:t>
      </w:r>
      <w:proofErr w:type="gramEnd"/>
      <w:r w:rsidRPr="003A746C">
        <w:rPr>
          <w:rFonts w:ascii="Arial" w:hAnsi="Arial" w:cs="Arial"/>
          <w:color w:val="000000" w:themeColor="text1"/>
          <w:sz w:val="22"/>
          <w:lang w:val="es-ES_tradnl"/>
        </w:rPr>
        <w:t xml:space="preserve"> de la Constitución Política de 1991, el régimen jurídico de la </w:t>
      </w:r>
      <w:proofErr w:type="spellStart"/>
      <w:r w:rsidRPr="003A746C">
        <w:rPr>
          <w:rFonts w:ascii="Arial" w:hAnsi="Arial" w:cs="Arial"/>
          <w:color w:val="000000" w:themeColor="text1"/>
          <w:sz w:val="22"/>
          <w:lang w:val="es-ES_tradnl"/>
        </w:rPr>
        <w:t>subsanabilidad</w:t>
      </w:r>
      <w:proofErr w:type="spellEnd"/>
      <w:r w:rsidRPr="003A746C">
        <w:rPr>
          <w:rFonts w:ascii="Arial" w:hAnsi="Arial" w:cs="Arial"/>
          <w:color w:val="000000" w:themeColor="text1"/>
          <w:sz w:val="22"/>
          <w:lang w:val="es-ES_tradnl"/>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w:t>
      </w:r>
      <w:r w:rsidRPr="003A746C">
        <w:rPr>
          <w:rFonts w:ascii="Arial" w:hAnsi="Arial" w:cs="Arial"/>
          <w:color w:val="000000" w:themeColor="text1"/>
          <w:sz w:val="22"/>
          <w:lang w:val="es-ES_tradnl"/>
        </w:rPr>
        <w:lastRenderedPageBreak/>
        <w:t xml:space="preserve">ejemplo, no era extraordinario que una oferta fuera rechazada por no aportar una copia adicional. </w:t>
      </w:r>
    </w:p>
    <w:p w:rsidRPr="003A746C" w:rsidR="00CF2738" w:rsidP="00CF2738" w:rsidRDefault="00CF2738" w14:paraId="25183420"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En un </w:t>
      </w:r>
      <w:r w:rsidRPr="003A746C">
        <w:rPr>
          <w:rFonts w:ascii="Arial" w:hAnsi="Arial" w:cs="Arial"/>
          <w:i/>
          <w:color w:val="000000" w:themeColor="text1"/>
          <w:sz w:val="22"/>
          <w:lang w:val="es-ES_tradnl"/>
        </w:rPr>
        <w:t>segundo momento</w:t>
      </w:r>
      <w:r w:rsidRPr="003A746C">
        <w:rPr>
          <w:rFonts w:ascii="Arial" w:hAnsi="Arial" w:cs="Arial"/>
          <w:color w:val="000000" w:themeColor="text1"/>
          <w:sz w:val="22"/>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w:t>
      </w:r>
    </w:p>
    <w:p w:rsidRPr="003A746C" w:rsidR="00CF2738" w:rsidP="00CF2738" w:rsidRDefault="00CF2738" w14:paraId="2C94674C" w14:textId="77777777">
      <w:pPr>
        <w:spacing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En este nuevo escenario constitucional, el numeral 15 del artículo 25 de la Ley 80 de 1993 dispuso lo siguiente: </w:t>
      </w:r>
    </w:p>
    <w:p w:rsidRPr="003A746C" w:rsidR="00CF2738" w:rsidP="00CF2738" w:rsidRDefault="00CF2738" w14:paraId="544BA6E0" w14:textId="77777777">
      <w:pPr>
        <w:spacing w:line="276" w:lineRule="auto"/>
        <w:jc w:val="both"/>
        <w:rPr>
          <w:rFonts w:ascii="Arial" w:hAnsi="Arial" w:cs="Arial"/>
          <w:color w:val="000000" w:themeColor="text1"/>
          <w:sz w:val="22"/>
          <w:lang w:val="es-ES_tradnl"/>
        </w:rPr>
      </w:pPr>
    </w:p>
    <w:p w:rsidRPr="003A746C" w:rsidR="00CF2738" w:rsidP="00CF2738" w:rsidRDefault="00CF2738" w14:paraId="754DB829" w14:textId="77777777">
      <w:pPr>
        <w:ind w:left="709" w:right="709"/>
        <w:jc w:val="both"/>
        <w:rPr>
          <w:rFonts w:ascii="Arial" w:hAnsi="Arial" w:cs="Arial"/>
          <w:color w:val="000000" w:themeColor="text1"/>
          <w:sz w:val="21"/>
          <w:szCs w:val="21"/>
          <w:lang w:val="es-ES_tradnl"/>
        </w:rPr>
      </w:pPr>
      <w:r w:rsidRPr="003A746C">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rsidRPr="003A746C" w:rsidR="00CF2738" w:rsidP="00CF2738" w:rsidRDefault="00CF2738" w14:paraId="419F0677" w14:textId="77777777">
      <w:pPr>
        <w:ind w:left="709" w:right="709"/>
        <w:jc w:val="both"/>
        <w:rPr>
          <w:rFonts w:ascii="Arial" w:hAnsi="Arial" w:cs="Arial"/>
          <w:color w:val="000000" w:themeColor="text1"/>
          <w:sz w:val="21"/>
          <w:szCs w:val="21"/>
          <w:lang w:val="es-ES_tradnl"/>
        </w:rPr>
      </w:pPr>
      <w:r w:rsidRPr="003A746C">
        <w:rPr>
          <w:rFonts w:ascii="Arial" w:hAnsi="Arial" w:cs="Arial"/>
          <w:color w:val="000000" w:themeColor="text1"/>
          <w:sz w:val="21"/>
          <w:szCs w:val="21"/>
          <w:lang w:val="es-ES_tradnl"/>
        </w:rPr>
        <w:t xml:space="preserve"> </w:t>
      </w:r>
    </w:p>
    <w:p w:rsidRPr="003A746C" w:rsidR="00CF2738" w:rsidP="00CF2738" w:rsidRDefault="00CF2738" w14:paraId="0CC7C997" w14:textId="77777777">
      <w:pPr>
        <w:ind w:left="709" w:right="709"/>
        <w:jc w:val="both"/>
        <w:rPr>
          <w:rFonts w:ascii="Arial" w:hAnsi="Arial" w:cs="Arial"/>
          <w:color w:val="000000" w:themeColor="text1"/>
          <w:sz w:val="21"/>
          <w:szCs w:val="21"/>
          <w:lang w:val="es-ES_tradnl"/>
        </w:rPr>
      </w:pPr>
      <w:r w:rsidRPr="003A746C">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rsidRPr="003A746C" w:rsidR="00CF2738" w:rsidP="00CF2738" w:rsidRDefault="00CF2738" w14:paraId="678D6ED5" w14:textId="77777777">
      <w:pPr>
        <w:spacing w:line="276" w:lineRule="auto"/>
        <w:jc w:val="both"/>
        <w:rPr>
          <w:rFonts w:ascii="Arial" w:hAnsi="Arial" w:cs="Arial"/>
          <w:b/>
          <w:color w:val="000000" w:themeColor="text1"/>
          <w:sz w:val="22"/>
          <w:lang w:val="es-ES_tradnl"/>
        </w:rPr>
      </w:pPr>
    </w:p>
    <w:p w:rsidRPr="003A746C" w:rsidR="00CF2738" w:rsidP="00CF2738" w:rsidRDefault="00CF2738" w14:paraId="37E1DE6F" w14:textId="77777777">
      <w:pPr>
        <w:spacing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Bajo el amparo de esta norma, el régimen jurídico de </w:t>
      </w:r>
      <w:proofErr w:type="spellStart"/>
      <w:r w:rsidRPr="003A746C">
        <w:rPr>
          <w:rFonts w:ascii="Arial" w:hAnsi="Arial" w:cs="Arial"/>
          <w:color w:val="000000" w:themeColor="text1"/>
          <w:sz w:val="22"/>
          <w:lang w:val="es-ES_tradnl"/>
        </w:rPr>
        <w:t>subsanabilidad</w:t>
      </w:r>
      <w:proofErr w:type="spellEnd"/>
      <w:r w:rsidRPr="003A746C">
        <w:rPr>
          <w:rFonts w:ascii="Arial" w:hAnsi="Arial" w:cs="Arial"/>
          <w:color w:val="000000" w:themeColor="text1"/>
          <w:sz w:val="22"/>
          <w:lang w:val="es-ES_tradnl"/>
        </w:rPr>
        <w:t xml:space="preserve"> de las ofertas sufre un cambio fundamental, pues ya no era posible rechazar las ofertas por falta de requisitos o documentos que no fueran “</w:t>
      </w:r>
      <w:r w:rsidRPr="003A746C">
        <w:rPr>
          <w:rFonts w:ascii="Arial" w:hAnsi="Arial" w:cs="Arial"/>
          <w:i/>
          <w:color w:val="000000" w:themeColor="text1"/>
          <w:sz w:val="22"/>
          <w:lang w:val="es-ES_tradnl"/>
        </w:rPr>
        <w:t>necesarios para la comparación de propuestas</w:t>
      </w:r>
      <w:r w:rsidRPr="003A746C">
        <w:rPr>
          <w:rFonts w:ascii="Arial" w:hAnsi="Arial" w:cs="Arial"/>
          <w:color w:val="000000" w:themeColor="text1"/>
          <w:sz w:val="22"/>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rsidRPr="003A746C" w:rsidR="00CF2738" w:rsidP="00CF2738" w:rsidRDefault="00CF2738" w14:paraId="6F1F283B"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Esta norma debía leerse en conjunto con otras de la Ley 80 de 1993, particularmente con el artículo 30.7</w:t>
      </w:r>
      <w:r w:rsidRPr="003A746C">
        <w:rPr>
          <w:rStyle w:val="Refdenotaalpie"/>
          <w:rFonts w:ascii="Arial" w:hAnsi="Arial" w:cs="Arial"/>
          <w:color w:val="000000" w:themeColor="text1"/>
          <w:sz w:val="22"/>
          <w:lang w:val="es-ES_tradnl"/>
        </w:rPr>
        <w:footnoteReference w:id="4"/>
      </w:r>
      <w:r w:rsidRPr="003A746C">
        <w:rPr>
          <w:rFonts w:ascii="Arial" w:hAnsi="Arial" w:cs="Arial"/>
          <w:color w:val="000000" w:themeColor="text1"/>
          <w:sz w:val="22"/>
          <w:lang w:val="es-ES_tradnl"/>
        </w:rPr>
        <w:t>, que ordena a la entidad señalar un plazo razonable para evaluar las propuestas y pedir a los proponentes, de ser necesario, que aclaren o expliquen aspectos que ofrezcan dudas y resulten indispensables para hacer la evaluación; y con el artículo 30.8</w:t>
      </w:r>
      <w:r w:rsidRPr="003A746C">
        <w:rPr>
          <w:rStyle w:val="Refdenotaalpie"/>
          <w:rFonts w:ascii="Arial" w:hAnsi="Arial" w:cs="Arial"/>
          <w:color w:val="000000" w:themeColor="text1"/>
          <w:sz w:val="22"/>
          <w:lang w:val="es-ES_tradnl"/>
        </w:rPr>
        <w:footnoteReference w:id="5"/>
      </w:r>
      <w:r w:rsidRPr="003A746C">
        <w:rPr>
          <w:rFonts w:ascii="Arial" w:hAnsi="Arial" w:cs="Arial"/>
          <w:color w:val="000000" w:themeColor="text1"/>
          <w:sz w:val="22"/>
          <w:lang w:val="es-ES_tradnl"/>
        </w:rPr>
        <w:t xml:space="preserve">, que consagró el término de 5 días hábiles para que los oferentes presenten </w:t>
      </w:r>
      <w:r w:rsidRPr="003A746C">
        <w:rPr>
          <w:rFonts w:ascii="Arial" w:hAnsi="Arial" w:cs="Arial"/>
          <w:color w:val="000000" w:themeColor="text1"/>
          <w:sz w:val="22"/>
          <w:lang w:val="es-ES_tradnl"/>
        </w:rPr>
        <w:lastRenderedPageBreak/>
        <w:t xml:space="preserve">observaciones al informe de evaluación de las propuestas, sin que sea posible completar, adicionar, modificar o mejorar la oferta.  </w:t>
      </w:r>
    </w:p>
    <w:p w:rsidRPr="003A746C" w:rsidR="00CF2738" w:rsidP="00CF2738" w:rsidRDefault="00CF2738" w14:paraId="19574C75"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de </w:t>
      </w:r>
      <w:proofErr w:type="gramStart"/>
      <w:r w:rsidRPr="003A746C">
        <w:rPr>
          <w:rFonts w:ascii="Arial" w:hAnsi="Arial" w:cs="Arial"/>
          <w:color w:val="000000" w:themeColor="text1"/>
          <w:sz w:val="22"/>
          <w:lang w:val="es-ES_tradnl"/>
        </w:rPr>
        <w:t>la misma</w:t>
      </w:r>
      <w:proofErr w:type="gramEnd"/>
      <w:r w:rsidRPr="003A746C">
        <w:rPr>
          <w:rFonts w:ascii="Arial" w:hAnsi="Arial" w:cs="Arial"/>
          <w:color w:val="000000" w:themeColor="text1"/>
          <w:sz w:val="22"/>
          <w:lang w:val="es-ES_tradnl"/>
        </w:rPr>
        <w:t xml:space="preserve"> no podía llevar a su rechazo, sin antes verificar que lo omitido fuera un aspecto necesario para la comparación. </w:t>
      </w:r>
    </w:p>
    <w:p w:rsidRPr="003A746C" w:rsidR="00CF2738" w:rsidP="00CF2738" w:rsidRDefault="00CF2738" w14:paraId="451CE312" w14:textId="77777777">
      <w:pPr>
        <w:spacing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En un </w:t>
      </w:r>
      <w:r w:rsidRPr="003A746C">
        <w:rPr>
          <w:rFonts w:ascii="Arial" w:hAnsi="Arial" w:cs="Arial"/>
          <w:i/>
          <w:color w:val="000000" w:themeColor="text1"/>
          <w:sz w:val="22"/>
          <w:lang w:val="es-ES_tradnl"/>
        </w:rPr>
        <w:t>tercer momento</w:t>
      </w:r>
      <w:r w:rsidRPr="003A746C">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rsidRPr="003A746C" w:rsidR="00CF2738" w:rsidP="00CF2738" w:rsidRDefault="00CF2738" w14:paraId="003FF6B8" w14:textId="77777777">
      <w:pPr>
        <w:spacing w:line="276" w:lineRule="auto"/>
        <w:jc w:val="both"/>
        <w:rPr>
          <w:rFonts w:ascii="Arial" w:hAnsi="Arial" w:cs="Arial"/>
          <w:color w:val="000000" w:themeColor="text1"/>
          <w:sz w:val="22"/>
          <w:lang w:val="es-ES_tradnl"/>
        </w:rPr>
      </w:pPr>
    </w:p>
    <w:p w:rsidRPr="003A746C" w:rsidR="00CF2738" w:rsidP="00CF2738" w:rsidRDefault="00CF2738" w14:paraId="30E8A7C4" w14:textId="77777777">
      <w:pPr>
        <w:ind w:left="709" w:right="709"/>
        <w:jc w:val="both"/>
        <w:rPr>
          <w:rFonts w:ascii="Arial" w:hAnsi="Arial" w:cs="Arial"/>
          <w:color w:val="000000" w:themeColor="text1"/>
          <w:sz w:val="21"/>
          <w:szCs w:val="21"/>
          <w:lang w:val="es-ES_tradnl"/>
        </w:rPr>
      </w:pPr>
      <w:r w:rsidRPr="003A746C">
        <w:rPr>
          <w:rFonts w:ascii="Arial" w:hAnsi="Arial" w:cs="Arial"/>
          <w:color w:val="000000" w:themeColor="text1"/>
          <w:sz w:val="21"/>
          <w:szCs w:val="21"/>
          <w:lang w:val="es-ES_tradnl"/>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3A746C">
        <w:rPr>
          <w:rFonts w:ascii="Arial" w:hAnsi="Arial" w:cs="Arial"/>
          <w:b/>
          <w:color w:val="000000" w:themeColor="text1"/>
          <w:sz w:val="21"/>
          <w:szCs w:val="21"/>
          <w:lang w:val="es-ES_tradnl"/>
        </w:rPr>
        <w:t xml:space="preserve">, </w:t>
      </w:r>
      <w:r w:rsidRPr="003A746C">
        <w:rPr>
          <w:rFonts w:ascii="Arial" w:hAnsi="Arial" w:cs="Arial"/>
          <w:color w:val="000000" w:themeColor="text1"/>
          <w:sz w:val="21"/>
          <w:szCs w:val="21"/>
          <w:lang w:val="es-ES_tradnl"/>
        </w:rPr>
        <w:t xml:space="preserve">todos aquellos requisitos de la propuesta que no afecten la asignación de </w:t>
      </w:r>
      <w:proofErr w:type="gramStart"/>
      <w:r w:rsidRPr="003A746C">
        <w:rPr>
          <w:rFonts w:ascii="Arial" w:hAnsi="Arial" w:cs="Arial"/>
          <w:color w:val="000000" w:themeColor="text1"/>
          <w:sz w:val="21"/>
          <w:szCs w:val="21"/>
          <w:lang w:val="es-ES_tradnl"/>
        </w:rPr>
        <w:t>puntaje,</w:t>
      </w:r>
      <w:proofErr w:type="gramEnd"/>
      <w:r w:rsidRPr="003A746C">
        <w:rPr>
          <w:rFonts w:ascii="Arial" w:hAnsi="Arial" w:cs="Arial"/>
          <w:color w:val="000000" w:themeColor="text1"/>
          <w:sz w:val="21"/>
          <w:szCs w:val="21"/>
          <w:lang w:val="es-ES_tradnl"/>
        </w:rPr>
        <w:t xml:space="preserve"> podrán ser solicitados por las entidades en cualquier momento, hasta la adjudicación. No </w:t>
      </w:r>
      <w:proofErr w:type="gramStart"/>
      <w:r w:rsidRPr="003A746C">
        <w:rPr>
          <w:rFonts w:ascii="Arial" w:hAnsi="Arial" w:cs="Arial"/>
          <w:color w:val="000000" w:themeColor="text1"/>
          <w:sz w:val="21"/>
          <w:szCs w:val="21"/>
          <w:lang w:val="es-ES_tradnl"/>
        </w:rPr>
        <w:t>obstante</w:t>
      </w:r>
      <w:proofErr w:type="gramEnd"/>
      <w:r w:rsidRPr="003A746C">
        <w:rPr>
          <w:rFonts w:ascii="Arial" w:hAnsi="Arial" w:cs="Arial"/>
          <w:color w:val="000000" w:themeColor="text1"/>
          <w:sz w:val="21"/>
          <w:szCs w:val="21"/>
          <w:lang w:val="es-ES_tradnl"/>
        </w:rPr>
        <w:t xml:space="preserve"> lo anterior, en aquellos procesos de selección en los que se utilice el mecanismo de subasta, deberán ser solicitados hasta el momento previo a su realización. </w:t>
      </w:r>
    </w:p>
    <w:p w:rsidRPr="003A746C" w:rsidR="00CF2738" w:rsidP="00CF2738" w:rsidRDefault="00CF2738" w14:paraId="6878E983" w14:textId="77777777">
      <w:pPr>
        <w:spacing w:line="276" w:lineRule="auto"/>
        <w:jc w:val="both"/>
        <w:rPr>
          <w:rFonts w:ascii="Arial" w:hAnsi="Arial" w:cs="Arial"/>
          <w:b/>
          <w:color w:val="000000" w:themeColor="text1"/>
          <w:sz w:val="22"/>
          <w:lang w:val="es-ES_tradnl"/>
        </w:rPr>
      </w:pPr>
    </w:p>
    <w:p w:rsidRPr="003A746C" w:rsidR="00CF2738" w:rsidP="00CF2738" w:rsidRDefault="00CF2738" w14:paraId="01A3309E" w14:textId="77777777">
      <w:pPr>
        <w:spacing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rsidRPr="003A746C" w:rsidR="00CF2738" w:rsidP="00CF2738" w:rsidRDefault="00CF2738" w14:paraId="6C8CD1B2"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A partir de la Ley 1150 de 2007, la Administración cuenta con un criterio más claro y determinado para saber si la ausencia de documentos o requisitos de la oferta conlleva a su rechazo o al requerimiento del proponente para que lo subsane, pues basta con un simple ejercicio de verificación, que consiste en corroborar si lo omitido hace parte de los aspectos que otorgan puntaje o no.  </w:t>
      </w:r>
    </w:p>
    <w:p w:rsidRPr="003A746C" w:rsidR="00CF2738" w:rsidP="00CF2738" w:rsidRDefault="00CF2738" w14:paraId="7155919F"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Si la Administración encuentra que lo omitido por el proponente es un aspecto que otorga puntaje, no es posible subsanarlo; pero, si no otorga puntaje la Administración debe requerir al proponente para que lo subsane.  </w:t>
      </w:r>
    </w:p>
    <w:p w:rsidRPr="003A746C" w:rsidR="00CF2738" w:rsidP="00CF2738" w:rsidRDefault="00CF2738" w14:paraId="7AC08528" w14:textId="77777777">
      <w:pPr>
        <w:spacing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El artículo 5 de la Ley 1150 de 2007, además de consagrar un criterio más claro y, de paso, reducir la discrecionalidad de la Administración, fijó un ámbito temporal para la subsanación de las ofertas: «</w:t>
      </w:r>
      <w:r w:rsidRPr="003A746C">
        <w:rPr>
          <w:rFonts w:ascii="Arial" w:hAnsi="Arial" w:cs="Arial"/>
          <w:i/>
          <w:color w:val="000000" w:themeColor="text1"/>
          <w:sz w:val="22"/>
          <w:lang w:val="es-ES_tradnl"/>
        </w:rPr>
        <w:t>en cualquier momento, hasta la adjudicación</w:t>
      </w:r>
      <w:r w:rsidRPr="003A746C">
        <w:rPr>
          <w:rFonts w:ascii="Arial" w:hAnsi="Arial" w:cs="Arial"/>
          <w:color w:val="000000" w:themeColor="text1"/>
          <w:sz w:val="22"/>
          <w:lang w:val="es-ES_tradnl"/>
        </w:rPr>
        <w:t xml:space="preserve">», estableciéndose en el parte final del parágrafo primero una regla especial para los procesos en los que se use el mecanismo de subasta según la cual los documentos susceptibles de subsanación «deberán ser solicitados hasta el momento previo a su realización». El Consejo de Estado, con particular sindéresis, concluyó que a partir del parágrafo 1º del artículo 5 de la Ley 1150, la definición de lo que es subsanable y lo que no lo es surge a </w:t>
      </w:r>
      <w:r w:rsidRPr="003A746C">
        <w:rPr>
          <w:rFonts w:ascii="Arial" w:hAnsi="Arial" w:cs="Arial"/>
          <w:color w:val="000000" w:themeColor="text1"/>
          <w:sz w:val="22"/>
          <w:lang w:val="es-ES_tradnl"/>
        </w:rPr>
        <w:lastRenderedPageBreak/>
        <w:t xml:space="preserve">partir del planteamiento de la pregunta sobre si el defecto asigna puntaje o no, en estos términos: </w:t>
      </w:r>
    </w:p>
    <w:p w:rsidRPr="003A746C" w:rsidR="00CF2738" w:rsidP="00CF2738" w:rsidRDefault="00CF2738" w14:paraId="46C14E3C" w14:textId="77777777">
      <w:pPr>
        <w:spacing w:line="276" w:lineRule="auto"/>
        <w:jc w:val="both"/>
        <w:rPr>
          <w:rFonts w:ascii="Arial" w:hAnsi="Arial" w:cs="Arial"/>
          <w:color w:val="000000" w:themeColor="text1"/>
          <w:sz w:val="22"/>
          <w:lang w:val="es-ES_tradnl"/>
        </w:rPr>
      </w:pPr>
    </w:p>
    <w:p w:rsidRPr="003A746C" w:rsidR="00CF2738" w:rsidP="00CF2738" w:rsidRDefault="00CF2738" w14:paraId="00E333A2" w14:textId="77777777">
      <w:pPr>
        <w:ind w:left="709" w:right="709"/>
        <w:jc w:val="both"/>
        <w:rPr>
          <w:rFonts w:ascii="Arial" w:hAnsi="Arial" w:cs="Arial"/>
          <w:color w:val="000000" w:themeColor="text1"/>
          <w:sz w:val="21"/>
          <w:szCs w:val="21"/>
          <w:lang w:val="es-ES_tradnl"/>
        </w:rPr>
      </w:pPr>
      <w:r w:rsidRPr="003A746C">
        <w:rPr>
          <w:rFonts w:ascii="Arial" w:hAnsi="Arial" w:cs="Arial"/>
          <w:color w:val="000000" w:themeColor="text1"/>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3A746C">
        <w:rPr>
          <w:rStyle w:val="Refdenotaalpie"/>
          <w:rFonts w:ascii="Arial" w:hAnsi="Arial" w:cs="Arial"/>
          <w:color w:val="000000" w:themeColor="text1"/>
          <w:sz w:val="21"/>
          <w:szCs w:val="21"/>
          <w:lang w:val="es-ES_tradnl"/>
        </w:rPr>
        <w:footnoteReference w:id="6"/>
      </w:r>
      <w:r w:rsidRPr="003A746C">
        <w:rPr>
          <w:rFonts w:ascii="Arial" w:hAnsi="Arial" w:cs="Arial"/>
          <w:color w:val="000000" w:themeColor="text1"/>
          <w:sz w:val="21"/>
          <w:szCs w:val="21"/>
          <w:lang w:val="es-ES_tradnl"/>
        </w:rPr>
        <w:t>.</w:t>
      </w:r>
    </w:p>
    <w:p w:rsidRPr="003A746C" w:rsidR="00CF2738" w:rsidP="00CF2738" w:rsidRDefault="00CF2738" w14:paraId="7282D01B" w14:textId="77777777">
      <w:pPr>
        <w:pStyle w:val="Textoindependiente"/>
        <w:tabs>
          <w:tab w:val="left" w:pos="284"/>
        </w:tabs>
        <w:spacing w:line="276" w:lineRule="auto"/>
        <w:ind w:firstLine="709"/>
        <w:jc w:val="both"/>
        <w:rPr>
          <w:rFonts w:ascii="Arial" w:hAnsi="Arial" w:cs="Arial" w:eastAsiaTheme="minorHAnsi"/>
          <w:color w:val="000000" w:themeColor="text1"/>
          <w:sz w:val="22"/>
          <w:szCs w:val="22"/>
          <w:lang w:val="es-ES_tradnl" w:eastAsia="en-US"/>
        </w:rPr>
      </w:pPr>
      <w:r w:rsidRPr="003A746C">
        <w:rPr>
          <w:rFonts w:ascii="Arial" w:hAnsi="Arial" w:cs="Arial" w:eastAsiaTheme="minorHAnsi"/>
          <w:color w:val="000000" w:themeColor="text1"/>
          <w:sz w:val="22"/>
          <w:szCs w:val="22"/>
          <w:lang w:val="es-ES_tradnl" w:eastAsia="en-US"/>
        </w:rPr>
        <w:t xml:space="preserve">Esa interpretación fue compartida por la </w:t>
      </w:r>
      <w:r w:rsidRPr="003A746C">
        <w:rPr>
          <w:rFonts w:ascii="Arial" w:hAnsi="Arial" w:cs="Arial"/>
          <w:color w:val="000000" w:themeColor="text1"/>
          <w:sz w:val="22"/>
          <w:szCs w:val="22"/>
          <w:lang w:val="es-ES_tradnl"/>
        </w:rPr>
        <w:t>Agencia Nacional de Contratación Pública – Colombia Compra Eficiente</w:t>
      </w:r>
      <w:r w:rsidRPr="003A746C">
        <w:rPr>
          <w:rFonts w:ascii="Arial" w:hAnsi="Arial" w:cs="Arial" w:eastAsiaTheme="minorHAnsi"/>
          <w:color w:val="000000" w:themeColor="text1"/>
          <w:sz w:val="22"/>
          <w:szCs w:val="22"/>
          <w:lang w:val="es-ES_tradnl" w:eastAsia="en-US"/>
        </w:rPr>
        <w:t xml:space="preserve">, pues en la Circular Externa Única se precisó </w:t>
      </w:r>
      <w:proofErr w:type="gramStart"/>
      <w:r w:rsidRPr="003A746C">
        <w:rPr>
          <w:rFonts w:ascii="Arial" w:hAnsi="Arial" w:cs="Arial" w:eastAsiaTheme="minorHAnsi"/>
          <w:color w:val="000000" w:themeColor="text1"/>
          <w:sz w:val="22"/>
          <w:szCs w:val="22"/>
          <w:lang w:val="es-ES_tradnl" w:eastAsia="en-US"/>
        </w:rPr>
        <w:t>que</w:t>
      </w:r>
      <w:proofErr w:type="gramEnd"/>
      <w:r w:rsidRPr="003A746C">
        <w:rPr>
          <w:rFonts w:ascii="Arial" w:hAnsi="Arial" w:cs="Arial" w:eastAsiaTheme="minorHAnsi"/>
          <w:color w:val="000000" w:themeColor="text1"/>
          <w:sz w:val="22"/>
          <w:szCs w:val="22"/>
          <w:lang w:val="es-ES_tradnl" w:eastAsia="en-U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rsidRPr="003A746C" w:rsidR="00CF2738" w:rsidP="00CF2738" w:rsidRDefault="00CF2738" w14:paraId="1F769382" w14:textId="77777777">
      <w:pPr>
        <w:pStyle w:val="Textoindependiente"/>
        <w:tabs>
          <w:tab w:val="left" w:pos="284"/>
        </w:tabs>
        <w:spacing w:line="276" w:lineRule="auto"/>
        <w:ind w:firstLine="709"/>
        <w:jc w:val="both"/>
        <w:rPr>
          <w:rFonts w:ascii="Arial" w:hAnsi="Arial" w:cs="Arial" w:eastAsiaTheme="minorHAnsi"/>
          <w:color w:val="000000" w:themeColor="text1"/>
          <w:sz w:val="22"/>
          <w:szCs w:val="22"/>
          <w:lang w:val="es-ES_tradnl" w:eastAsia="en-US"/>
        </w:rPr>
      </w:pPr>
      <w:r w:rsidRPr="003A746C">
        <w:rPr>
          <w:rFonts w:ascii="Arial" w:hAnsi="Arial" w:cs="Arial"/>
          <w:color w:val="000000" w:themeColor="text1"/>
          <w:sz w:val="22"/>
          <w:szCs w:val="22"/>
          <w:lang w:val="es-ES_tradnl"/>
        </w:rPr>
        <w:t xml:space="preserve">En un </w:t>
      </w:r>
      <w:r w:rsidRPr="003A746C">
        <w:rPr>
          <w:rFonts w:ascii="Arial" w:hAnsi="Arial" w:cs="Arial"/>
          <w:i/>
          <w:color w:val="000000" w:themeColor="text1"/>
          <w:sz w:val="22"/>
          <w:szCs w:val="22"/>
          <w:lang w:val="es-ES_tradnl"/>
        </w:rPr>
        <w:t>cuarto momento</w:t>
      </w:r>
      <w:r w:rsidRPr="003A746C">
        <w:rPr>
          <w:rFonts w:ascii="Arial" w:hAnsi="Arial" w:cs="Arial"/>
          <w:color w:val="000000" w:themeColor="text1"/>
          <w:sz w:val="22"/>
          <w:szCs w:val="22"/>
          <w:lang w:val="es-ES_tradnl"/>
        </w:rPr>
        <w:t xml:space="preserve">, el legislador expidió la Ley 1882 de 2018, con la finalidad de introducir cambios y ajustes para fortalecer la contratación pública. El artículo 5 modificó el parágrafo 1º del artículo 5 de la Ley 1150 de 2007: </w:t>
      </w:r>
    </w:p>
    <w:p w:rsidRPr="003A746C" w:rsidR="00CF2738" w:rsidP="00CF2738" w:rsidRDefault="00CF2738" w14:paraId="2C29BF93" w14:textId="77777777">
      <w:pPr>
        <w:ind w:left="709" w:right="709"/>
        <w:jc w:val="both"/>
        <w:rPr>
          <w:rFonts w:ascii="Arial" w:hAnsi="Arial" w:cs="Arial"/>
          <w:color w:val="000000" w:themeColor="text1"/>
          <w:sz w:val="21"/>
          <w:szCs w:val="21"/>
          <w:lang w:val="es-ES_tradnl"/>
        </w:rPr>
      </w:pPr>
      <w:r w:rsidRPr="003A746C">
        <w:rPr>
          <w:rFonts w:ascii="Arial" w:hAnsi="Arial" w:cs="Arial"/>
          <w:color w:val="000000" w:themeColor="text1"/>
          <w:sz w:val="21"/>
          <w:szCs w:val="21"/>
          <w:lang w:val="es-ES_tradnl"/>
        </w:rPr>
        <w:t xml:space="preserve">Artículo 5°. De la selección objetiva. </w:t>
      </w:r>
    </w:p>
    <w:p w:rsidRPr="003A746C" w:rsidR="00CF2738" w:rsidP="00CF2738" w:rsidRDefault="00CF2738" w14:paraId="58A74597" w14:textId="77777777">
      <w:pPr>
        <w:ind w:left="709" w:right="709"/>
        <w:jc w:val="both"/>
        <w:rPr>
          <w:rFonts w:ascii="Arial" w:hAnsi="Arial" w:cs="Arial"/>
          <w:color w:val="000000" w:themeColor="text1"/>
          <w:sz w:val="21"/>
          <w:szCs w:val="21"/>
          <w:lang w:val="es-ES_tradnl"/>
        </w:rPr>
      </w:pPr>
      <w:r w:rsidRPr="003A746C">
        <w:rPr>
          <w:rFonts w:ascii="Arial" w:hAnsi="Arial" w:cs="Arial"/>
          <w:color w:val="000000" w:themeColor="text1"/>
          <w:sz w:val="21"/>
          <w:szCs w:val="21"/>
          <w:lang w:val="es-ES_tradnl"/>
        </w:rPr>
        <w:t xml:space="preserve">(... ) </w:t>
      </w:r>
    </w:p>
    <w:p w:rsidRPr="003A746C" w:rsidR="00CF2738" w:rsidP="00CF2738" w:rsidRDefault="00CF2738" w14:paraId="24258DDF" w14:textId="77777777">
      <w:pPr>
        <w:ind w:left="709" w:right="709"/>
        <w:jc w:val="both"/>
        <w:rPr>
          <w:rFonts w:ascii="Arial" w:hAnsi="Arial" w:cs="Arial"/>
          <w:color w:val="000000" w:themeColor="text1"/>
          <w:sz w:val="21"/>
          <w:szCs w:val="21"/>
          <w:lang w:val="es-ES_tradnl"/>
        </w:rPr>
      </w:pPr>
    </w:p>
    <w:p w:rsidRPr="003A746C" w:rsidR="00CF2738" w:rsidP="00CF2738" w:rsidRDefault="00CF2738" w14:paraId="4FC05996" w14:textId="77777777">
      <w:pPr>
        <w:ind w:left="709" w:right="709"/>
        <w:jc w:val="both"/>
        <w:rPr>
          <w:rFonts w:ascii="Arial" w:hAnsi="Arial" w:cs="Arial"/>
          <w:color w:val="000000" w:themeColor="text1"/>
          <w:sz w:val="21"/>
          <w:szCs w:val="21"/>
          <w:lang w:val="es-ES_tradnl"/>
        </w:rPr>
      </w:pPr>
      <w:r w:rsidRPr="003A746C">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3A746C">
        <w:rPr>
          <w:rFonts w:ascii="Arial" w:hAnsi="Arial" w:cs="Arial"/>
          <w:color w:val="000000" w:themeColor="text1"/>
          <w:sz w:val="21"/>
          <w:szCs w:val="21"/>
          <w:lang w:val="es-ES_tradnl"/>
        </w:rPr>
        <w:t>puntaje,</w:t>
      </w:r>
      <w:proofErr w:type="gramEnd"/>
      <w:r w:rsidRPr="003A746C">
        <w:rPr>
          <w:rFonts w:ascii="Arial" w:hAnsi="Arial" w:cs="Arial"/>
          <w:color w:val="000000" w:themeColor="text1"/>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rsidRPr="003A746C" w:rsidR="00CF2738" w:rsidP="00CF2738" w:rsidRDefault="00CF2738" w14:paraId="2139A477" w14:textId="77777777">
      <w:pPr>
        <w:spacing w:line="276" w:lineRule="auto"/>
        <w:jc w:val="both"/>
        <w:rPr>
          <w:rFonts w:ascii="Arial" w:hAnsi="Arial" w:cs="Arial"/>
          <w:b/>
          <w:color w:val="000000" w:themeColor="text1"/>
          <w:sz w:val="22"/>
          <w:lang w:val="es-ES_tradnl"/>
        </w:rPr>
      </w:pPr>
    </w:p>
    <w:p w:rsidRPr="003A746C" w:rsidR="00CF2738" w:rsidP="00CF2738" w:rsidRDefault="00CF2738" w14:paraId="3B671BF5" w14:textId="77777777">
      <w:pPr>
        <w:spacing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lastRenderedPageBreak/>
        <w:t xml:space="preserve">Esta norma: i) mantiene el criterio de la Ley 80 de 1993, relativo a que todo lo que no sea necesario para la comparación de propuestas no es título suficiente para su rechazo; </w:t>
      </w:r>
      <w:proofErr w:type="spellStart"/>
      <w:r w:rsidRPr="003A746C">
        <w:rPr>
          <w:rFonts w:ascii="Arial" w:hAnsi="Arial" w:cs="Arial"/>
          <w:color w:val="000000" w:themeColor="text1"/>
          <w:sz w:val="22"/>
          <w:lang w:val="es-ES_tradnl"/>
        </w:rPr>
        <w:t>ii</w:t>
      </w:r>
      <w:proofErr w:type="spellEnd"/>
      <w:r w:rsidRPr="003A746C">
        <w:rPr>
          <w:rFonts w:ascii="Arial" w:hAnsi="Arial" w:cs="Arial"/>
          <w:color w:val="000000" w:themeColor="text1"/>
          <w:sz w:val="22"/>
          <w:lang w:val="es-ES_tradnl"/>
        </w:rPr>
        <w:t xml:space="preserve">) mantiene el criterio aclaratorio de la Ley 1150 de 2007, según el cual todo lo que no afecte la asignación de puntaje puede subsanarse y </w:t>
      </w:r>
      <w:proofErr w:type="spellStart"/>
      <w:r w:rsidRPr="003A746C">
        <w:rPr>
          <w:rFonts w:ascii="Arial" w:hAnsi="Arial" w:cs="Arial"/>
          <w:color w:val="000000" w:themeColor="text1"/>
          <w:sz w:val="22"/>
          <w:lang w:val="es-ES_tradnl"/>
        </w:rPr>
        <w:t>iii</w:t>
      </w:r>
      <w:proofErr w:type="spellEnd"/>
      <w:r w:rsidRPr="003A746C">
        <w:rPr>
          <w:rFonts w:ascii="Arial" w:hAnsi="Arial" w:cs="Arial"/>
          <w:color w:val="000000" w:themeColor="text1"/>
          <w:sz w:val="22"/>
          <w:lang w:val="es-ES_tradnl"/>
        </w:rPr>
        <w:t xml:space="preserve">) introduce modificaciones en relación con cuatro aspectos que se analizarán a continuación. </w:t>
      </w:r>
    </w:p>
    <w:p w:rsidRPr="003A746C" w:rsidR="00CF2738" w:rsidP="00CF2738" w:rsidRDefault="00CF2738" w14:paraId="7DA85EB7"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3A746C">
        <w:rPr>
          <w:rFonts w:ascii="Arial" w:hAnsi="Arial" w:eastAsia="Calibri" w:cs="Arial"/>
          <w:color w:val="000000" w:themeColor="text1"/>
          <w:sz w:val="22"/>
          <w:lang w:val="es-ES_tradnl"/>
        </w:rPr>
        <w:t>de selección a través del sistema de subasta</w:t>
      </w:r>
      <w:r w:rsidRPr="003A746C">
        <w:rPr>
          <w:rStyle w:val="Refdenotaalpie"/>
          <w:rFonts w:ascii="Arial" w:hAnsi="Arial" w:eastAsia="Calibri" w:cs="Arial"/>
          <w:color w:val="000000" w:themeColor="text1"/>
          <w:sz w:val="22"/>
          <w:lang w:val="es-ES_tradnl"/>
        </w:rPr>
        <w:footnoteReference w:id="7"/>
      </w:r>
      <w:r w:rsidRPr="003A746C">
        <w:rPr>
          <w:rFonts w:ascii="Arial" w:hAnsi="Arial" w:eastAsia="Calibri" w:cs="Arial"/>
          <w:color w:val="000000" w:themeColor="text1"/>
          <w:sz w:val="22"/>
          <w:lang w:val="es-ES_tradnl"/>
        </w:rPr>
        <w:t xml:space="preserve">; en el último los documentos o requisitos subsanables pueden y deben solicitarse, como límite final, hasta el momento previo a su realización.  </w:t>
      </w:r>
    </w:p>
    <w:p w:rsidRPr="003A746C" w:rsidR="00CF2738" w:rsidP="00CF2738" w:rsidRDefault="00CF2738" w14:paraId="3F469515"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eastAsia="Calibri" w:cs="Arial"/>
          <w:color w:val="000000" w:themeColor="text1"/>
          <w:sz w:val="22"/>
          <w:lang w:val="es-ES_tradnl"/>
        </w:rPr>
        <w:t xml:space="preserve">Frente a la regla general, la norma fijó un límite final para que la Administración solicite y para que los oferentes subsanen los requisitos o documentos que puedan y deban ser subsanados; pero nada impide, y la norma no lo hace, que la Administración requiera al proponente antes de publicar el informe de evaluación y que los oferentes los aporten, incluso, previamente –antes del traslado del informe de evaluación, sin perjuicio de que, en todo caso, lo puedan hacer hasta el momento en que termine el traslado del informe de evaluación. </w:t>
      </w:r>
    </w:p>
    <w:p w:rsidRPr="003A746C" w:rsidR="00CF2738" w:rsidP="00CF2738" w:rsidRDefault="00CF2738" w14:paraId="11D21130"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eastAsia="Calibri" w:cs="Arial"/>
          <w:color w:val="000000" w:themeColor="text1"/>
          <w:sz w:val="22"/>
          <w:lang w:val="es-ES_tradnl"/>
        </w:rPr>
        <w:t>En efecto, la redacción de la norma permite que la Administración solicite a los oferentes subsanar y que estos lo hagan hasta antes del término del traslado del informe de evaluación: “</w:t>
      </w:r>
      <w:r w:rsidRPr="003A746C">
        <w:rPr>
          <w:rFonts w:ascii="Arial" w:hAnsi="Arial" w:cs="Arial"/>
          <w:i/>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Pr="003A746C">
        <w:rPr>
          <w:rFonts w:ascii="Arial" w:hAnsi="Arial" w:cs="Arial"/>
          <w:color w:val="000000" w:themeColor="text1"/>
          <w:sz w:val="22"/>
          <w:lang w:val="es-ES_tradnl"/>
        </w:rPr>
        <w:t xml:space="preserve">”. </w:t>
      </w:r>
    </w:p>
    <w:p w:rsidRPr="003A746C" w:rsidR="00CF2738" w:rsidP="00CF2738" w:rsidRDefault="00CF2738" w14:paraId="42EA07A6"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No obstante, de la lectura de este aparte podría, en la práctica, darse dos interpretaciones que dan lugar a dos formas de proceder en los procesos de selección, en lo que se refiere a la </w:t>
      </w:r>
      <w:proofErr w:type="spellStart"/>
      <w:r w:rsidRPr="003A746C">
        <w:rPr>
          <w:rFonts w:ascii="Arial" w:hAnsi="Arial" w:cs="Arial"/>
          <w:color w:val="000000" w:themeColor="text1"/>
          <w:sz w:val="22"/>
          <w:lang w:val="es-ES_tradnl"/>
        </w:rPr>
        <w:t>subsanabilidad</w:t>
      </w:r>
      <w:proofErr w:type="spellEnd"/>
      <w:r w:rsidRPr="003A746C">
        <w:rPr>
          <w:rFonts w:ascii="Arial" w:hAnsi="Arial" w:cs="Arial"/>
          <w:color w:val="000000" w:themeColor="text1"/>
          <w:sz w:val="22"/>
          <w:lang w:val="es-ES_tradnl"/>
        </w:rPr>
        <w:t xml:space="preserve"> de las ofertas. </w:t>
      </w:r>
      <w:r w:rsidRPr="003A746C">
        <w:rPr>
          <w:rFonts w:ascii="Arial" w:hAnsi="Arial" w:cs="Arial"/>
          <w:i/>
          <w:iCs/>
          <w:color w:val="000000" w:themeColor="text1"/>
          <w:sz w:val="22"/>
          <w:lang w:val="es-ES_tradnl"/>
        </w:rPr>
        <w:t>Primera</w:t>
      </w:r>
      <w:r w:rsidRPr="003A746C">
        <w:rPr>
          <w:rFonts w:ascii="Arial" w:hAnsi="Arial" w:cs="Arial"/>
          <w:color w:val="000000" w:themeColor="text1"/>
          <w:sz w:val="22"/>
          <w:lang w:val="es-ES_tradnl"/>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3A746C">
        <w:rPr>
          <w:rFonts w:ascii="Arial" w:hAnsi="Arial" w:cs="Arial"/>
          <w:i/>
          <w:iCs/>
          <w:color w:val="000000" w:themeColor="text1"/>
          <w:sz w:val="22"/>
          <w:lang w:val="es-ES_tradnl"/>
        </w:rPr>
        <w:t>segunda</w:t>
      </w:r>
      <w:r w:rsidRPr="003A746C">
        <w:rPr>
          <w:rFonts w:ascii="Arial" w:hAnsi="Arial" w:cs="Arial"/>
          <w:color w:val="000000" w:themeColor="text1"/>
          <w:sz w:val="22"/>
          <w:lang w:val="es-ES_tradnl"/>
        </w:rPr>
        <w:t xml:space="preserve">, que el término del traslado del informe de evaluación es el límite para la subsanación de ofertas, pero no el único momento para hacerlo. </w:t>
      </w:r>
    </w:p>
    <w:p w:rsidRPr="003A746C" w:rsidR="00CF2738" w:rsidP="00CF2738" w:rsidRDefault="00CF2738" w14:paraId="27344166"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lastRenderedPageBreak/>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rsidRPr="003A746C" w:rsidR="00CF2738" w:rsidP="00CF2738" w:rsidRDefault="00CF2738" w14:paraId="1ABDB495"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rsidRPr="003A746C" w:rsidR="00CF2738" w:rsidP="00CF2738" w:rsidRDefault="00CF2738" w14:paraId="7AC57963"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rsidRPr="003A746C" w:rsidR="00CF2738" w:rsidP="00CF2738" w:rsidRDefault="00CF2738" w14:paraId="04CED330"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rsidRPr="003A746C" w:rsidR="00CF2738" w:rsidP="00CF2738" w:rsidRDefault="00CF2738" w14:paraId="0D88949C"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 xml:space="preserve">Como se indicó previamente, la regla general respecto a la oportunidad para subsanar tiene como excepción, entre otras cosas, el término especial establecido en los procesos de selección abreviada mediante subasta inversa, para la cual el artículo 5 de la Ley 1882 de 2018, adicionó el parágrafo 4 al artículo 5 de la Ley 1150 de 2007, en donde se precisa esta regla en los siguientes términos:  </w:t>
      </w:r>
    </w:p>
    <w:p w:rsidRPr="003A746C" w:rsidR="00CF2738" w:rsidP="00CF2738" w:rsidRDefault="00CF2738" w14:paraId="4BB9D2AD" w14:textId="77777777">
      <w:pPr>
        <w:spacing w:line="276" w:lineRule="auto"/>
        <w:ind w:left="709" w:right="709"/>
        <w:jc w:val="both"/>
        <w:rPr>
          <w:rStyle w:val="Textoennegrita"/>
          <w:color w:val="000000" w:themeColor="text1"/>
          <w:sz w:val="21"/>
          <w:szCs w:val="21"/>
        </w:rPr>
      </w:pPr>
    </w:p>
    <w:p w:rsidRPr="003A746C" w:rsidR="00CF2738" w:rsidP="00CF2738" w:rsidRDefault="00CF2738" w14:paraId="32D424EB" w14:textId="77777777">
      <w:pPr>
        <w:ind w:left="709" w:right="709"/>
        <w:jc w:val="both"/>
        <w:rPr>
          <w:color w:val="000000" w:themeColor="text1"/>
        </w:rPr>
      </w:pPr>
      <w:r w:rsidRPr="003A746C">
        <w:rPr>
          <w:rStyle w:val="Textoennegrita"/>
          <w:rFonts w:ascii="Arial" w:hAnsi="Arial" w:cs="Arial"/>
          <w:color w:val="000000" w:themeColor="text1"/>
          <w:sz w:val="21"/>
          <w:szCs w:val="21"/>
        </w:rPr>
        <w:t>Parágrafo 4°. </w:t>
      </w:r>
      <w:r w:rsidRPr="003A746C">
        <w:rPr>
          <w:rFonts w:ascii="Arial" w:hAnsi="Arial" w:cs="Arial"/>
          <w:color w:val="000000" w:themeColor="text1"/>
          <w:sz w:val="21"/>
          <w:szCs w:val="21"/>
        </w:rPr>
        <w:t xml:space="preserve">En aquellos procesos de selección en los que se utilice el mecanismo de subasta, los documentos referentes a la futura contratación o al proponente, no necesarios para la comparación de las propuestas, </w:t>
      </w:r>
      <w:r w:rsidRPr="003A746C">
        <w:rPr>
          <w:rFonts w:ascii="Arial" w:hAnsi="Arial" w:cs="Arial"/>
          <w:i/>
          <w:iCs/>
          <w:color w:val="000000" w:themeColor="text1"/>
          <w:sz w:val="21"/>
          <w:szCs w:val="21"/>
        </w:rPr>
        <w:t>deberán ser solicitados hasta el momento previo a su realización</w:t>
      </w:r>
      <w:r w:rsidRPr="003A746C">
        <w:rPr>
          <w:rFonts w:ascii="Arial" w:hAnsi="Arial" w:cs="Arial"/>
          <w:color w:val="000000" w:themeColor="text1"/>
          <w:sz w:val="21"/>
          <w:szCs w:val="21"/>
        </w:rPr>
        <w:t>. (Cursiva fuera del original)</w:t>
      </w:r>
    </w:p>
    <w:p w:rsidRPr="003A746C" w:rsidR="00CF2738" w:rsidP="00CF2738" w:rsidRDefault="00CF2738" w14:paraId="0F991EB2" w14:textId="77777777">
      <w:pPr>
        <w:spacing w:line="276" w:lineRule="auto"/>
        <w:ind w:left="709" w:right="709"/>
        <w:jc w:val="both"/>
        <w:rPr>
          <w:rFonts w:ascii="Arial" w:hAnsi="Arial" w:cs="Arial"/>
          <w:color w:val="000000" w:themeColor="text1"/>
          <w:sz w:val="21"/>
          <w:szCs w:val="21"/>
        </w:rPr>
      </w:pPr>
    </w:p>
    <w:p w:rsidRPr="003A746C" w:rsidR="00CF2738" w:rsidP="00CF2738" w:rsidRDefault="00CF2738" w14:paraId="003B458B" w14:textId="77777777">
      <w:pPr>
        <w:spacing w:after="120" w:line="276" w:lineRule="auto"/>
        <w:ind w:right="51"/>
        <w:jc w:val="both"/>
        <w:rPr>
          <w:rFonts w:ascii="Arial" w:hAnsi="Arial" w:cs="Arial"/>
          <w:color w:val="000000" w:themeColor="text1"/>
          <w:sz w:val="22"/>
        </w:rPr>
      </w:pPr>
      <w:r w:rsidRPr="003A746C">
        <w:rPr>
          <w:rFonts w:ascii="Arial" w:hAnsi="Arial" w:cs="Arial"/>
          <w:color w:val="000000" w:themeColor="text1"/>
          <w:sz w:val="22"/>
        </w:rPr>
        <w:lastRenderedPageBreak/>
        <w:tab/>
      </w:r>
      <w:r w:rsidRPr="003A746C">
        <w:rPr>
          <w:rFonts w:ascii="Arial" w:hAnsi="Arial" w:cs="Arial"/>
          <w:color w:val="000000" w:themeColor="text1"/>
          <w:sz w:val="22"/>
        </w:rPr>
        <w:t>Si se analiza la norma transcrita, no es difícil llegar a la conclusión de que esta contiene una regulación muy parecida, incluso idéntica, a la contenida en la parte final del parágrafo primero del artículo 5 de la Ley 1150 de 2007</w:t>
      </w:r>
      <w:r w:rsidRPr="003A746C">
        <w:rPr>
          <w:rStyle w:val="Refdenotaalpie"/>
          <w:rFonts w:ascii="Arial" w:hAnsi="Arial" w:cs="Arial"/>
          <w:color w:val="000000" w:themeColor="text1"/>
          <w:sz w:val="22"/>
        </w:rPr>
        <w:footnoteReference w:id="8"/>
      </w:r>
      <w:r w:rsidRPr="003A746C">
        <w:rPr>
          <w:rFonts w:ascii="Arial" w:hAnsi="Arial" w:cs="Arial"/>
          <w:color w:val="000000" w:themeColor="text1"/>
          <w:sz w:val="22"/>
        </w:rPr>
        <w:t xml:space="preserve">, antes de ser modificada por la Ley 1882 de 2018, siendo en esencia la misma, con la precisión adicional respecto de los documentos susceptibles de subsanación. Esta regla cosiste en el deber de las entidades de </w:t>
      </w:r>
      <w:r w:rsidRPr="003A746C">
        <w:rPr>
          <w:rFonts w:ascii="Arial" w:hAnsi="Arial" w:cs="Arial"/>
          <w:i/>
          <w:iCs/>
          <w:color w:val="000000" w:themeColor="text1"/>
          <w:sz w:val="22"/>
        </w:rPr>
        <w:t xml:space="preserve">solicitar </w:t>
      </w:r>
      <w:r w:rsidRPr="003A746C">
        <w:rPr>
          <w:rFonts w:ascii="Arial" w:hAnsi="Arial" w:cs="Arial"/>
          <w:color w:val="000000" w:themeColor="text1"/>
          <w:sz w:val="22"/>
        </w:rPr>
        <w:t xml:space="preserve">los documentos subsanables hasta el momento previo al inicio de la audiencia de subasta. </w:t>
      </w:r>
    </w:p>
    <w:p w:rsidRPr="003A746C" w:rsidR="00CF2738" w:rsidP="00CF2738" w:rsidRDefault="00CF2738" w14:paraId="7CE7A5C8" w14:textId="77777777">
      <w:pPr>
        <w:spacing w:line="276" w:lineRule="auto"/>
        <w:ind w:right="49"/>
        <w:jc w:val="both"/>
        <w:rPr>
          <w:rFonts w:ascii="Arial" w:hAnsi="Arial" w:cs="Arial"/>
          <w:color w:val="000000" w:themeColor="text1"/>
          <w:sz w:val="22"/>
        </w:rPr>
      </w:pPr>
      <w:r w:rsidRPr="003A746C">
        <w:rPr>
          <w:rFonts w:ascii="Arial" w:hAnsi="Arial" w:cs="Arial"/>
          <w:color w:val="000000" w:themeColor="text1"/>
          <w:sz w:val="22"/>
        </w:rPr>
        <w:tab/>
      </w:r>
      <w:r w:rsidRPr="003A746C">
        <w:rPr>
          <w:rFonts w:ascii="Arial" w:hAnsi="Arial" w:cs="Arial"/>
          <w:color w:val="000000" w:themeColor="text1"/>
          <w:sz w:val="22"/>
        </w:rPr>
        <w:t xml:space="preserve">Ahora bien, lo que supone dicha regulación no es que los proponentes tengan la facultad de presentar los documentos referentes a la futura contratación no necesarios para la comparación de las propuestas en cualquier momento anterior al inicio de la subasta, o que estén habilitados para retener tal documentación hasta dicho momento, ya lo que hace el parágrafo 4° </w:t>
      </w:r>
      <w:r w:rsidRPr="003A746C">
        <w:rPr>
          <w:rFonts w:ascii="Arial" w:hAnsi="Arial" w:cs="Arial"/>
          <w:i/>
          <w:iCs/>
          <w:color w:val="000000" w:themeColor="text1"/>
          <w:sz w:val="22"/>
        </w:rPr>
        <w:t xml:space="preserve">Ibídem </w:t>
      </w:r>
      <w:r w:rsidRPr="003A746C">
        <w:rPr>
          <w:rFonts w:ascii="Arial" w:hAnsi="Arial" w:cs="Arial"/>
          <w:color w:val="000000" w:themeColor="text1"/>
          <w:sz w:val="22"/>
        </w:rPr>
        <w:t xml:space="preserve">es fijar el momento hasta el cual las respectivas entidades pueden requerir a los proponentes la subsanación de los documentos faltantes, y definirles el momento de presentación. Lo anterior, fue aclarado por la Sección Tercera del Consejo de Estado en vigencia del texto original del parágrafo 1 de la Ley 1150 de 2007, respecto de la regla general de </w:t>
      </w:r>
      <w:proofErr w:type="spellStart"/>
      <w:r w:rsidRPr="003A746C">
        <w:rPr>
          <w:rFonts w:ascii="Arial" w:hAnsi="Arial" w:cs="Arial"/>
          <w:color w:val="000000" w:themeColor="text1"/>
          <w:sz w:val="22"/>
        </w:rPr>
        <w:t>subsanabilidad</w:t>
      </w:r>
      <w:proofErr w:type="spellEnd"/>
      <w:r w:rsidRPr="003A746C">
        <w:rPr>
          <w:rFonts w:ascii="Arial" w:hAnsi="Arial" w:cs="Arial"/>
          <w:color w:val="000000" w:themeColor="text1"/>
          <w:sz w:val="22"/>
        </w:rPr>
        <w:t>, que fijaba la adjudicación como momento límite para subsanar, mediante consideraciones que se extienden a la regla de subasta, en los siguientes términos:</w:t>
      </w:r>
    </w:p>
    <w:p w:rsidRPr="003A746C" w:rsidR="00CF2738" w:rsidP="00CF2738" w:rsidRDefault="00CF2738" w14:paraId="5DCFE404" w14:textId="77777777">
      <w:pPr>
        <w:spacing w:line="276" w:lineRule="auto"/>
        <w:ind w:right="49"/>
        <w:jc w:val="both"/>
        <w:rPr>
          <w:rFonts w:ascii="Arial" w:hAnsi="Arial" w:cs="Arial"/>
          <w:color w:val="000000" w:themeColor="text1"/>
          <w:sz w:val="22"/>
        </w:rPr>
      </w:pPr>
    </w:p>
    <w:p w:rsidRPr="003A746C" w:rsidR="00CF2738" w:rsidP="00CF2738" w:rsidRDefault="00CF2738" w14:paraId="0B6B4725" w14:textId="77777777">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3A746C">
        <w:rPr>
          <w:rFonts w:ascii="Arial" w:hAnsi="Arial" w:cs="Arial"/>
          <w:color w:val="000000" w:themeColor="text1"/>
          <w:sz w:val="21"/>
          <w:szCs w:val="21"/>
        </w:rPr>
        <w:t xml:space="preserve">En vigencia de la Ley 80 de 1993 -y con mayor claridad en la Ley 1150 de 2007-, la posibilidad de presentar explicaciones o aclaraciones, e incluso de subsanar la oferta, puede hacerse </w:t>
      </w:r>
      <w:r w:rsidRPr="003A746C">
        <w:rPr>
          <w:rFonts w:ascii="Arial" w:hAnsi="Arial" w:cs="Arial"/>
          <w:i/>
          <w:color w:val="000000" w:themeColor="text1"/>
          <w:sz w:val="21"/>
          <w:szCs w:val="21"/>
        </w:rPr>
        <w:t>hasta antes de la adjudicación</w:t>
      </w:r>
      <w:r w:rsidRPr="003A746C">
        <w:rPr>
          <w:rFonts w:ascii="Arial" w:hAnsi="Arial" w:cs="Arial"/>
          <w:color w:val="000000" w:themeColor="text1"/>
          <w:sz w:val="21"/>
          <w:szCs w:val="21"/>
        </w:rPr>
        <w:t xml:space="preserve"> […]</w:t>
      </w:r>
    </w:p>
    <w:p w:rsidRPr="003A746C" w:rsidR="00CF2738" w:rsidP="00CF2738" w:rsidRDefault="00CF2738" w14:paraId="2D951A2E" w14:textId="77777777">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p>
    <w:p w:rsidRPr="003A746C" w:rsidR="00CF2738" w:rsidP="00CF2738" w:rsidRDefault="00CF2738" w14:paraId="4C1A11FB" w14:textId="77777777">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3A746C">
        <w:rPr>
          <w:rFonts w:ascii="Arial" w:hAnsi="Arial" w:cs="Arial"/>
          <w:color w:val="000000" w:themeColor="text1"/>
          <w:sz w:val="21"/>
          <w:szCs w:val="21"/>
        </w:rPr>
        <w:t xml:space="preserve">La expresión citada </w:t>
      </w:r>
      <w:r w:rsidRPr="003A746C">
        <w:rPr>
          <w:rFonts w:ascii="Arial" w:hAnsi="Arial" w:cs="Arial"/>
          <w:i/>
          <w:color w:val="000000" w:themeColor="text1"/>
          <w:sz w:val="21"/>
          <w:szCs w:val="21"/>
        </w:rPr>
        <w:t xml:space="preserve">no significa que el oferente pueda subsanar la propuesta, a su voluntad, en cualquier momento durante ese lapso, ya que éste se estableció para que dentro de él la entidad </w:t>
      </w:r>
      <w:r w:rsidRPr="003A746C">
        <w:rPr>
          <w:rFonts w:ascii="Arial" w:hAnsi="Arial" w:cs="Arial"/>
          <w:i/>
          <w:color w:val="000000" w:themeColor="text1"/>
          <w:sz w:val="21"/>
          <w:szCs w:val="21"/>
          <w:u w:val="single"/>
        </w:rPr>
        <w:t>requiera</w:t>
      </w:r>
      <w:r w:rsidRPr="003A746C">
        <w:rPr>
          <w:rFonts w:ascii="Arial" w:hAnsi="Arial" w:cs="Arial"/>
          <w:i/>
          <w:color w:val="000000" w:themeColor="text1"/>
          <w:sz w:val="21"/>
          <w:szCs w:val="21"/>
        </w:rPr>
        <w:t xml:space="preserve"> al proponente cuya oferta presenta alguna falencia, es decir, es hasta antes de la adjudicación que la entidad tiene la oportunidad de solicitar la adecuación de la oferta, por lo que es ella quién fija el plazo, y los proponentes requeridos deben acogerse a él, so pena de que precluya la oportunidad otorgada para subsanar o aclarar</w:t>
      </w:r>
      <w:r w:rsidRPr="003A746C">
        <w:rPr>
          <w:rFonts w:ascii="Arial" w:hAnsi="Arial" w:cs="Arial"/>
          <w:color w:val="000000" w:themeColor="text1"/>
          <w:sz w:val="21"/>
          <w:szCs w:val="21"/>
        </w:rPr>
        <w:t>, pues como lo señala el art. 25.1 de la Ley 80, los términos establecidos para cada una de las etapas del procedimiento de selección son “</w:t>
      </w:r>
      <w:r w:rsidRPr="003A746C">
        <w:rPr>
          <w:rFonts w:ascii="Arial" w:hAnsi="Arial" w:cs="Arial"/>
          <w:i/>
          <w:color w:val="000000" w:themeColor="text1"/>
          <w:sz w:val="21"/>
          <w:szCs w:val="21"/>
        </w:rPr>
        <w:t>preclusivos y perentorios”</w:t>
      </w:r>
      <w:r w:rsidRPr="003A746C">
        <w:rPr>
          <w:rFonts w:ascii="Arial" w:hAnsi="Arial" w:cs="Arial"/>
          <w:color w:val="000000" w:themeColor="text1"/>
          <w:sz w:val="21"/>
          <w:szCs w:val="21"/>
        </w:rPr>
        <w:t>, es decir, se cierra la oportunidad de actuar si no se hace en el momento oportuno.</w:t>
      </w:r>
    </w:p>
    <w:p w:rsidRPr="003A746C" w:rsidR="00CF2738" w:rsidP="00CF2738" w:rsidRDefault="00CF2738" w14:paraId="1F3097A9" w14:textId="77777777">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3A746C">
        <w:rPr>
          <w:rFonts w:ascii="Arial" w:hAnsi="Arial" w:cs="Arial"/>
          <w:color w:val="000000" w:themeColor="text1"/>
          <w:sz w:val="21"/>
          <w:szCs w:val="21"/>
        </w:rPr>
        <w:t>[…]</w:t>
      </w:r>
    </w:p>
    <w:p w:rsidRPr="003A746C" w:rsidR="00CF2738" w:rsidP="00CF2738" w:rsidRDefault="00CF2738" w14:paraId="26370131" w14:textId="77777777">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p>
    <w:p w:rsidRPr="003A746C" w:rsidR="00CF2738" w:rsidP="00CF2738" w:rsidRDefault="00CF2738" w14:paraId="273583A1" w14:textId="77777777">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3A746C">
        <w:rPr>
          <w:rFonts w:ascii="Arial" w:hAnsi="Arial" w:cs="Arial"/>
          <w:color w:val="000000" w:themeColor="text1"/>
          <w:sz w:val="21"/>
          <w:szCs w:val="21"/>
        </w:rPr>
        <w:t xml:space="preserve">De la anterior manera se ponderan adecuadamente el </w:t>
      </w:r>
      <w:r w:rsidRPr="003A746C">
        <w:rPr>
          <w:rFonts w:ascii="Arial" w:hAnsi="Arial" w:cs="Arial"/>
          <w:i/>
          <w:color w:val="000000" w:themeColor="text1"/>
          <w:sz w:val="21"/>
          <w:szCs w:val="21"/>
        </w:rPr>
        <w:t>derecho</w:t>
      </w:r>
      <w:r w:rsidRPr="003A746C">
        <w:rPr>
          <w:rFonts w:ascii="Arial" w:hAnsi="Arial" w:cs="Arial"/>
          <w:color w:val="000000" w:themeColor="text1"/>
          <w:sz w:val="21"/>
          <w:szCs w:val="21"/>
        </w:rPr>
        <w:t xml:space="preserve"> del proponente a subsanar, corregir y aclarar; con el </w:t>
      </w:r>
      <w:r w:rsidRPr="003A746C">
        <w:rPr>
          <w:rFonts w:ascii="Arial" w:hAnsi="Arial" w:cs="Arial"/>
          <w:i/>
          <w:color w:val="000000" w:themeColor="text1"/>
          <w:sz w:val="21"/>
          <w:szCs w:val="21"/>
        </w:rPr>
        <w:t>derecho-deber</w:t>
      </w:r>
      <w:r w:rsidRPr="003A746C">
        <w:rPr>
          <w:rFonts w:ascii="Arial" w:hAnsi="Arial" w:cs="Arial"/>
          <w:color w:val="000000" w:themeColor="text1"/>
          <w:sz w:val="21"/>
          <w:szCs w:val="21"/>
        </w:rPr>
        <w:t xml:space="preserve"> que tiene la administración de avanzar y concluir el procedimiento de selección –principios de eficiencia, economía y celeridad de la actuación administrativa-, que no se puede estancar ni quedar en vilo de las respuestas extemporáneas que entregue el oferente […] </w:t>
      </w:r>
    </w:p>
    <w:p w:rsidRPr="003A746C" w:rsidR="00CF2738" w:rsidP="00CF2738" w:rsidRDefault="00CF2738" w14:paraId="4B076E43" w14:textId="77777777">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p>
    <w:p w:rsidRPr="003A746C" w:rsidR="00CF2738" w:rsidP="00CF2738" w:rsidRDefault="00CF2738" w14:paraId="771DD1B5" w14:textId="77777777">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3A746C">
        <w:rPr>
          <w:rFonts w:ascii="Arial" w:hAnsi="Arial" w:cs="Arial"/>
          <w:color w:val="000000" w:themeColor="text1"/>
          <w:sz w:val="21"/>
          <w:szCs w:val="21"/>
        </w:rPr>
        <w:t xml:space="preserve">En consecuencia, el proponente debe acogerse al tiempo que le otorga la administración para subsanar o aclarar la oferta, lapso que la entidad no puede extender más allá de la adjudicación. No se trata, entonces, de que el oferente tenga la posibilidad de entregar la información solicitada </w:t>
      </w:r>
      <w:r w:rsidRPr="003A746C">
        <w:rPr>
          <w:rFonts w:ascii="Arial" w:hAnsi="Arial" w:cs="Arial"/>
          <w:i/>
          <w:color w:val="000000" w:themeColor="text1"/>
          <w:sz w:val="21"/>
          <w:szCs w:val="21"/>
        </w:rPr>
        <w:t>a más tardar hasta la adjudicación</w:t>
      </w:r>
      <w:r w:rsidRPr="003A746C">
        <w:rPr>
          <w:rFonts w:ascii="Arial" w:hAnsi="Arial" w:cs="Arial"/>
          <w:color w:val="000000" w:themeColor="text1"/>
          <w:sz w:val="21"/>
          <w:szCs w:val="21"/>
        </w:rPr>
        <w:t xml:space="preserve">; es la entidad quien tiene, </w:t>
      </w:r>
      <w:r w:rsidRPr="003A746C">
        <w:rPr>
          <w:rFonts w:ascii="Arial" w:hAnsi="Arial" w:cs="Arial"/>
          <w:i/>
          <w:color w:val="000000" w:themeColor="text1"/>
          <w:sz w:val="21"/>
          <w:szCs w:val="21"/>
        </w:rPr>
        <w:t>a más tardar hasta la adjudicación,</w:t>
      </w:r>
      <w:r w:rsidRPr="003A746C">
        <w:rPr>
          <w:rFonts w:ascii="Arial" w:hAnsi="Arial" w:cs="Arial"/>
          <w:color w:val="000000" w:themeColor="text1"/>
          <w:sz w:val="21"/>
          <w:szCs w:val="21"/>
        </w:rPr>
        <w:t xml:space="preserve"> la posibilidad de </w:t>
      </w:r>
      <w:r w:rsidRPr="003A746C">
        <w:rPr>
          <w:rFonts w:ascii="Arial" w:hAnsi="Arial" w:cs="Arial"/>
          <w:i/>
          <w:color w:val="000000" w:themeColor="text1"/>
          <w:sz w:val="21"/>
          <w:szCs w:val="21"/>
        </w:rPr>
        <w:t>pedir</w:t>
      </w:r>
      <w:r w:rsidRPr="003A746C">
        <w:rPr>
          <w:rFonts w:ascii="Arial" w:hAnsi="Arial" w:cs="Arial"/>
          <w:color w:val="000000" w:themeColor="text1"/>
          <w:sz w:val="21"/>
          <w:szCs w:val="21"/>
        </w:rPr>
        <w:t xml:space="preserve"> a los oferentes que aclaren o subsanen</w:t>
      </w:r>
      <w:r w:rsidRPr="003A746C">
        <w:rPr>
          <w:rFonts w:ascii="Arial" w:hAnsi="Arial" w:cs="Arial"/>
          <w:i/>
          <w:color w:val="000000" w:themeColor="text1"/>
          <w:sz w:val="21"/>
          <w:szCs w:val="21"/>
        </w:rPr>
        <w:t>.</w:t>
      </w:r>
      <w:r w:rsidRPr="003A746C">
        <w:rPr>
          <w:rFonts w:ascii="Arial" w:hAnsi="Arial" w:cs="Arial"/>
          <w:color w:val="000000" w:themeColor="text1"/>
          <w:sz w:val="21"/>
          <w:szCs w:val="21"/>
        </w:rPr>
        <w:t xml:space="preserve"> De esta manera, el oferente requerido no puede controlar y menos manipular el proceso de selección reteniendo maliciosamente la información solicitada –por ejemplo, la póliza, la acreditación de experiencia adicional, la autorización para contratar, etc.- hasta cuando decida caprichosamente entregarla –sin exceder el día de la adjudicación-. Por el contrario, la entidad es quien pone el término para aportar la aclaración o para subsanar, perdiendo definitivamente el oferente la oportunidad de hacerlo si no se ajusta al plazo preciso que se le concede […]</w:t>
      </w:r>
    </w:p>
    <w:p w:rsidRPr="003A746C" w:rsidR="00CF2738" w:rsidP="00CF2738" w:rsidRDefault="00CF2738" w14:paraId="4E0316FF" w14:textId="77777777">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p>
    <w:p w:rsidRPr="003A746C" w:rsidR="00CF2738" w:rsidP="00CF2738" w:rsidRDefault="00CF2738" w14:paraId="6796136B" w14:textId="77777777">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3A746C">
        <w:rPr>
          <w:rFonts w:ascii="Arial" w:hAnsi="Arial" w:cs="Arial"/>
          <w:color w:val="000000" w:themeColor="text1"/>
          <w:sz w:val="21"/>
          <w:szCs w:val="21"/>
        </w:rPr>
        <w:t xml:space="preserve">En todo caso, el término para hacer las correcciones debe ser razonable, para que el proponente adecúe o explique su propuesta, </w:t>
      </w:r>
      <w:proofErr w:type="gramStart"/>
      <w:r w:rsidRPr="003A746C">
        <w:rPr>
          <w:rFonts w:ascii="Arial" w:hAnsi="Arial" w:cs="Arial"/>
          <w:color w:val="000000" w:themeColor="text1"/>
          <w:sz w:val="21"/>
          <w:szCs w:val="21"/>
        </w:rPr>
        <w:t>pues</w:t>
      </w:r>
      <w:proofErr w:type="gramEnd"/>
      <w:r w:rsidRPr="003A746C">
        <w:rPr>
          <w:rFonts w:ascii="Arial" w:hAnsi="Arial" w:cs="Arial"/>
          <w:color w:val="000000" w:themeColor="text1"/>
          <w:sz w:val="21"/>
          <w:szCs w:val="21"/>
        </w:rPr>
        <w:t xml:space="preserve"> aunque la entidad cuenta con un margen alto de discrecionalidad para fijarlo, la administración no puede hacerlo irrazonablemente</w:t>
      </w:r>
      <w:r w:rsidRPr="003A746C">
        <w:rPr>
          <w:rStyle w:val="Refdenotaalpie"/>
          <w:rFonts w:ascii="Arial" w:hAnsi="Arial" w:cs="Arial"/>
          <w:color w:val="000000" w:themeColor="text1"/>
          <w:sz w:val="21"/>
          <w:szCs w:val="21"/>
        </w:rPr>
        <w:footnoteReference w:id="9"/>
      </w:r>
      <w:r w:rsidRPr="003A746C">
        <w:rPr>
          <w:rFonts w:ascii="Arial" w:hAnsi="Arial" w:cs="Arial"/>
          <w:color w:val="000000" w:themeColor="text1"/>
          <w:sz w:val="21"/>
          <w:szCs w:val="21"/>
        </w:rPr>
        <w:t xml:space="preserve">. </w:t>
      </w:r>
    </w:p>
    <w:p w:rsidRPr="003A746C" w:rsidR="00CF2738" w:rsidP="00CF2738" w:rsidRDefault="00CF2738" w14:paraId="0373E776" w14:textId="77777777">
      <w:pPr>
        <w:ind w:right="49"/>
        <w:jc w:val="both"/>
        <w:rPr>
          <w:rFonts w:ascii="Arial" w:hAnsi="Arial" w:cs="Arial"/>
          <w:color w:val="000000" w:themeColor="text1"/>
          <w:sz w:val="22"/>
        </w:rPr>
      </w:pPr>
    </w:p>
    <w:p w:rsidRPr="003A746C" w:rsidR="00CF2738" w:rsidP="00CF2738" w:rsidRDefault="00CF2738" w14:paraId="10834973" w14:textId="77777777">
      <w:pPr>
        <w:spacing w:line="276" w:lineRule="auto"/>
        <w:ind w:right="49"/>
        <w:jc w:val="both"/>
        <w:rPr>
          <w:rFonts w:ascii="Arial" w:hAnsi="Arial" w:cs="Arial"/>
          <w:color w:val="000000" w:themeColor="text1"/>
          <w:sz w:val="22"/>
        </w:rPr>
      </w:pPr>
      <w:r w:rsidRPr="003A746C">
        <w:rPr>
          <w:rFonts w:ascii="Arial" w:hAnsi="Arial" w:cs="Arial"/>
          <w:color w:val="000000" w:themeColor="text1"/>
          <w:sz w:val="22"/>
        </w:rPr>
        <w:tab/>
      </w:r>
      <w:r w:rsidRPr="003A746C">
        <w:rPr>
          <w:rFonts w:ascii="Arial" w:hAnsi="Arial" w:cs="Arial"/>
          <w:color w:val="000000" w:themeColor="text1"/>
          <w:sz w:val="22"/>
        </w:rPr>
        <w:t xml:space="preserve">En ese orden de ideas, extendiendo las anteriores consideraciones a la regla de </w:t>
      </w:r>
      <w:proofErr w:type="spellStart"/>
      <w:r w:rsidRPr="003A746C">
        <w:rPr>
          <w:rFonts w:ascii="Arial" w:hAnsi="Arial" w:cs="Arial"/>
          <w:color w:val="000000" w:themeColor="text1"/>
          <w:sz w:val="22"/>
        </w:rPr>
        <w:t>subsanabilidad</w:t>
      </w:r>
      <w:proofErr w:type="spellEnd"/>
      <w:r w:rsidRPr="003A746C">
        <w:rPr>
          <w:rFonts w:ascii="Arial" w:hAnsi="Arial" w:cs="Arial"/>
          <w:color w:val="000000" w:themeColor="text1"/>
          <w:sz w:val="22"/>
        </w:rPr>
        <w:t xml:space="preserve"> consagrada el parágrafo 4 de la Ley 1150 de 2007, el inicio de la subasta es el momento hasta el cual la entidad cuenta con la facultad para requerir la subsanación de los documentos referentes a la futura contratación o a los proponentes, no necesarios para la comparación de las propuestas, y para que fije el momento de su presentación, que tampoco podrá superar dicho momento.  Para el ejercicio de tal facultad, las entidades podrán, </w:t>
      </w:r>
      <w:r w:rsidRPr="003A746C">
        <w:rPr>
          <w:rFonts w:ascii="Arial" w:hAnsi="Arial" w:cs="Arial"/>
          <w:i/>
          <w:iCs/>
          <w:color w:val="000000" w:themeColor="text1"/>
          <w:sz w:val="22"/>
        </w:rPr>
        <w:t xml:space="preserve">ex ante, </w:t>
      </w:r>
      <w:r w:rsidRPr="003A746C">
        <w:rPr>
          <w:rFonts w:ascii="Arial" w:hAnsi="Arial" w:cs="Arial"/>
          <w:color w:val="000000" w:themeColor="text1"/>
          <w:sz w:val="22"/>
        </w:rPr>
        <w:t xml:space="preserve">establecer dentro del pliego de condiciones un periodo dentro del cual los participantes del proceso de selección podrán realizar tal subsanación, o en su defecto, requerir por separado o conjuntamente a cada proponente para que subsanen los respectivos documentos, fijándoles un término razonable, el cual en todo caso no podrá exceder el momento previo al inicio de la audiencia de subasta, por lo que será anterior a ella.   </w:t>
      </w:r>
    </w:p>
    <w:p w:rsidRPr="003A746C" w:rsidR="00CF2738" w:rsidP="00CF2738" w:rsidRDefault="00CF2738" w14:paraId="17A5815E" w14:textId="77777777">
      <w:pPr>
        <w:spacing w:before="120" w:after="120" w:line="276" w:lineRule="auto"/>
        <w:ind w:firstLine="709"/>
        <w:jc w:val="both"/>
        <w:rPr>
          <w:rFonts w:ascii="Arial" w:hAnsi="Arial" w:cs="Arial"/>
          <w:color w:val="000000" w:themeColor="text1"/>
          <w:sz w:val="22"/>
          <w:lang w:val="es-ES_tradnl"/>
        </w:rPr>
      </w:pPr>
      <w:r w:rsidRPr="003A746C">
        <w:rPr>
          <w:rFonts w:ascii="Arial" w:hAnsi="Arial" w:eastAsia="Calibri" w:cs="Arial"/>
          <w:color w:val="000000" w:themeColor="text1"/>
          <w:sz w:val="22"/>
          <w:lang w:val="es-ES_tradnl"/>
        </w:rPr>
        <w:t xml:space="preserve">De otro lado, el segundo cambio importante de la Ley 1882 de 2018 fue la introducción de un criterio material, directamente relacionado con los aspectos subsanables: </w:t>
      </w:r>
      <w:r w:rsidRPr="003A746C">
        <w:rPr>
          <w:rFonts w:ascii="Arial" w:hAnsi="Arial" w:eastAsia="Calibri" w:cs="Arial"/>
          <w:i/>
          <w:iCs/>
          <w:color w:val="000000" w:themeColor="text1"/>
          <w:sz w:val="22"/>
          <w:lang w:val="es-ES_tradnl"/>
        </w:rPr>
        <w:t>«</w:t>
      </w:r>
      <w:r w:rsidRPr="003A746C">
        <w:rPr>
          <w:rFonts w:ascii="Arial" w:hAnsi="Arial" w:cs="Arial"/>
          <w:i/>
          <w:iCs/>
          <w:color w:val="000000" w:themeColor="text1"/>
          <w:sz w:val="22"/>
          <w:lang w:val="es-ES_tradnl"/>
        </w:rPr>
        <w:t xml:space="preserve">los proponentes no podrán acreditar circunstancias ocurridas con </w:t>
      </w:r>
      <w:r w:rsidRPr="003A746C">
        <w:rPr>
          <w:rFonts w:ascii="Arial" w:hAnsi="Arial" w:cs="Arial"/>
          <w:i/>
          <w:iCs/>
          <w:color w:val="000000" w:themeColor="text1"/>
          <w:sz w:val="22"/>
          <w:lang w:val="es-ES_tradnl"/>
        </w:rPr>
        <w:lastRenderedPageBreak/>
        <w:t>posterioridad al cierre del proceso»</w:t>
      </w:r>
      <w:r w:rsidRPr="003A746C">
        <w:rPr>
          <w:rFonts w:ascii="Arial" w:hAnsi="Arial" w:cs="Arial"/>
          <w:b/>
          <w:i/>
          <w:iCs/>
          <w:color w:val="000000" w:themeColor="text1"/>
          <w:sz w:val="22"/>
          <w:lang w:val="es-ES_tradnl"/>
        </w:rPr>
        <w:t>.</w:t>
      </w:r>
      <w:r w:rsidRPr="003A746C">
        <w:rPr>
          <w:rFonts w:ascii="Arial" w:hAnsi="Arial" w:cs="Arial"/>
          <w:b/>
          <w:color w:val="000000" w:themeColor="text1"/>
          <w:sz w:val="22"/>
          <w:lang w:val="es-ES_tradnl"/>
        </w:rPr>
        <w:t xml:space="preserve"> </w:t>
      </w:r>
      <w:r w:rsidRPr="003A746C">
        <w:rPr>
          <w:rFonts w:ascii="Arial" w:hAnsi="Arial" w:cs="Arial"/>
          <w:color w:val="000000" w:themeColor="text1"/>
          <w:sz w:val="22"/>
          <w:lang w:val="es-ES_tradnl"/>
        </w:rPr>
        <w:t xml:space="preserve">Lo anterior ofrece dos aspectos que merecen clarificación: </w:t>
      </w:r>
      <w:r w:rsidRPr="003A746C">
        <w:rPr>
          <w:rFonts w:ascii="Arial" w:hAnsi="Arial" w:cs="Arial"/>
          <w:i/>
          <w:iCs/>
          <w:color w:val="000000" w:themeColor="text1"/>
          <w:sz w:val="22"/>
          <w:lang w:val="es-ES_tradnl"/>
        </w:rPr>
        <w:t>primero</w:t>
      </w:r>
      <w:r w:rsidRPr="003A746C">
        <w:rPr>
          <w:rFonts w:ascii="Arial" w:hAnsi="Arial" w:cs="Arial"/>
          <w:color w:val="000000" w:themeColor="text1"/>
          <w:sz w:val="22"/>
          <w:lang w:val="es-ES_tradnl"/>
        </w:rPr>
        <w:t xml:space="preserve">, qué debe entenderse por circunstancias ocurridas con posterioridad; y </w:t>
      </w:r>
      <w:r w:rsidRPr="003A746C">
        <w:rPr>
          <w:rFonts w:ascii="Arial" w:hAnsi="Arial" w:cs="Arial"/>
          <w:i/>
          <w:iCs/>
          <w:color w:val="000000" w:themeColor="text1"/>
          <w:sz w:val="22"/>
          <w:lang w:val="es-ES_tradnl"/>
        </w:rPr>
        <w:t>segundo</w:t>
      </w:r>
      <w:r w:rsidRPr="003A746C">
        <w:rPr>
          <w:rFonts w:ascii="Arial" w:hAnsi="Arial" w:cs="Arial"/>
          <w:color w:val="000000" w:themeColor="text1"/>
          <w:sz w:val="22"/>
          <w:lang w:val="es-ES_tradnl"/>
        </w:rPr>
        <w:t xml:space="preserve">, qué es el cierre del proceso. </w:t>
      </w:r>
    </w:p>
    <w:p w:rsidRPr="003A746C" w:rsidR="00CF2738" w:rsidP="00CF2738" w:rsidRDefault="00CF2738" w14:paraId="4360BCA7" w14:textId="77777777">
      <w:pPr>
        <w:spacing w:line="276" w:lineRule="auto"/>
        <w:ind w:firstLine="709"/>
        <w:jc w:val="both"/>
        <w:rPr>
          <w:rFonts w:ascii="Arial" w:hAnsi="Arial" w:cs="Arial"/>
          <w:color w:val="000000" w:themeColor="text1"/>
          <w:sz w:val="22"/>
          <w:lang w:val="es-ES_tradnl"/>
        </w:rPr>
      </w:pPr>
      <w:r w:rsidRPr="003A746C">
        <w:rPr>
          <w:rFonts w:ascii="Arial" w:hAnsi="Arial" w:cs="Arial"/>
          <w:color w:val="000000" w:themeColor="text1"/>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3A746C">
        <w:rPr>
          <w:rStyle w:val="Refdenotaalpie"/>
          <w:rFonts w:ascii="Arial" w:hAnsi="Arial" w:cs="Arial"/>
          <w:color w:val="000000" w:themeColor="text1"/>
          <w:sz w:val="22"/>
          <w:lang w:val="es-ES_tradnl"/>
        </w:rPr>
        <w:footnoteReference w:id="10"/>
      </w:r>
      <w:r w:rsidRPr="003A746C">
        <w:rPr>
          <w:rFonts w:ascii="Arial" w:hAnsi="Arial" w:cs="Arial"/>
          <w:color w:val="000000" w:themeColor="text1"/>
          <w:sz w:val="22"/>
          <w:lang w:val="es-ES_tradnl"/>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rsidRPr="003A746C" w:rsidR="00CF2738" w:rsidP="00CF2738" w:rsidRDefault="00CF2738" w14:paraId="713233C6" w14:textId="77777777">
      <w:pPr>
        <w:ind w:left="709" w:right="709"/>
        <w:jc w:val="both"/>
        <w:rPr>
          <w:rFonts w:ascii="Arial" w:hAnsi="Arial" w:cs="Arial"/>
          <w:color w:val="000000" w:themeColor="text1"/>
          <w:sz w:val="21"/>
          <w:szCs w:val="21"/>
          <w:lang w:val="es-ES_tradnl"/>
        </w:rPr>
      </w:pPr>
    </w:p>
    <w:p w:rsidRPr="003A746C" w:rsidR="00CF2738" w:rsidP="00CF2738" w:rsidRDefault="00CF2738" w14:paraId="2DF91C5B" w14:textId="77777777">
      <w:pPr>
        <w:ind w:left="709" w:right="709"/>
        <w:jc w:val="both"/>
        <w:rPr>
          <w:rFonts w:ascii="Arial" w:hAnsi="Arial" w:cs="Arial"/>
          <w:color w:val="000000" w:themeColor="text1"/>
          <w:sz w:val="21"/>
          <w:szCs w:val="21"/>
          <w:lang w:val="es-ES_tradnl"/>
        </w:rPr>
      </w:pPr>
      <w:r w:rsidRPr="003A746C">
        <w:rPr>
          <w:rFonts w:ascii="Arial" w:hAnsi="Arial" w:cs="Arial"/>
          <w:color w:val="000000" w:themeColor="text1"/>
          <w:sz w:val="21"/>
          <w:szCs w:val="21"/>
          <w:lang w:val="es-ES_tradnl"/>
        </w:rPr>
        <w:t xml:space="preserve">Sin embargo, debe tenerse en cuenta que la última norma en cita -Decreto 2474 de 2008, aparte subrayado-, establece un límite a la </w:t>
      </w:r>
      <w:proofErr w:type="spellStart"/>
      <w:r w:rsidRPr="003A746C">
        <w:rPr>
          <w:rFonts w:ascii="Arial" w:hAnsi="Arial" w:cs="Arial"/>
          <w:color w:val="000000" w:themeColor="text1"/>
          <w:sz w:val="21"/>
          <w:szCs w:val="21"/>
          <w:lang w:val="es-ES_tradnl"/>
        </w:rPr>
        <w:t>subsanabilidad</w:t>
      </w:r>
      <w:proofErr w:type="spellEnd"/>
      <w:r w:rsidRPr="003A746C">
        <w:rPr>
          <w:rFonts w:ascii="Arial" w:hAnsi="Arial" w:cs="Arial"/>
          <w:color w:val="000000" w:themeColor="text1"/>
          <w:sz w:val="21"/>
          <w:szCs w:val="21"/>
          <w:lang w:val="es-ES_tradnl"/>
        </w:rPr>
        <w:t>, puesto que en cualquier caso debe referirse o recaer sobre circunstancias ocurridas antes del cierre del respectivo proceso, esto es, del vencimiento del plazo para presentar ofertas.</w:t>
      </w:r>
    </w:p>
    <w:p w:rsidRPr="003A746C" w:rsidR="00CF2738" w:rsidP="00CF2738" w:rsidRDefault="00CF2738" w14:paraId="48C1986A" w14:textId="77777777">
      <w:pPr>
        <w:ind w:left="709" w:right="709"/>
        <w:jc w:val="both"/>
        <w:rPr>
          <w:rFonts w:ascii="Arial" w:hAnsi="Arial" w:cs="Arial"/>
          <w:color w:val="000000" w:themeColor="text1"/>
          <w:sz w:val="21"/>
          <w:szCs w:val="21"/>
          <w:lang w:val="es-ES_tradnl"/>
        </w:rPr>
      </w:pPr>
      <w:r w:rsidRPr="003A746C">
        <w:rPr>
          <w:rFonts w:ascii="Arial" w:hAnsi="Arial" w:cs="Arial"/>
          <w:color w:val="000000" w:themeColor="text1"/>
          <w:sz w:val="21"/>
          <w:szCs w:val="21"/>
          <w:lang w:val="es-ES_tradnl"/>
        </w:rPr>
        <w:t> </w:t>
      </w:r>
    </w:p>
    <w:p w:rsidRPr="003A746C" w:rsidR="00CF2738" w:rsidP="00CF2738" w:rsidRDefault="00CF2738" w14:paraId="4600EDAE" w14:textId="77777777">
      <w:pPr>
        <w:ind w:left="709" w:right="709"/>
        <w:jc w:val="both"/>
        <w:rPr>
          <w:rFonts w:ascii="Arial" w:hAnsi="Arial" w:cs="Arial"/>
          <w:color w:val="000000" w:themeColor="text1"/>
          <w:sz w:val="21"/>
          <w:szCs w:val="21"/>
          <w:lang w:val="es-ES_tradnl"/>
        </w:rPr>
      </w:pPr>
      <w:r w:rsidRPr="003A746C">
        <w:rPr>
          <w:rFonts w:ascii="Arial" w:hAnsi="Arial" w:cs="Arial"/>
          <w:color w:val="000000" w:themeColor="text1"/>
          <w:sz w:val="21"/>
          <w:szCs w:val="21"/>
          <w:lang w:val="es-ES_tradnl"/>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3A746C">
        <w:rPr>
          <w:rFonts w:ascii="Arial" w:hAnsi="Arial" w:cs="Arial"/>
          <w:color w:val="000000" w:themeColor="text1"/>
          <w:sz w:val="21"/>
          <w:szCs w:val="21"/>
          <w:lang w:val="es-ES_tradnl"/>
        </w:rPr>
        <w:t>la misma</w:t>
      </w:r>
      <w:proofErr w:type="gramEnd"/>
      <w:r w:rsidRPr="003A746C">
        <w:rPr>
          <w:rFonts w:ascii="Arial" w:hAnsi="Arial" w:cs="Arial"/>
          <w:color w:val="000000" w:themeColor="text1"/>
          <w:sz w:val="21"/>
          <w:szCs w:val="21"/>
          <w:lang w:val="es-ES_tradnl"/>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w:t>
      </w:r>
      <w:r w:rsidRPr="003A746C">
        <w:rPr>
          <w:rFonts w:ascii="Arial" w:hAnsi="Arial" w:cs="Arial"/>
          <w:color w:val="000000" w:themeColor="text1"/>
          <w:sz w:val="21"/>
          <w:szCs w:val="21"/>
          <w:lang w:val="es-ES_tradnl"/>
        </w:rPr>
        <w:lastRenderedPageBreak/>
        <w:t>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3A746C">
        <w:rPr>
          <w:rStyle w:val="Refdenotaalpie"/>
          <w:rFonts w:ascii="Arial" w:hAnsi="Arial" w:cs="Arial"/>
          <w:color w:val="000000" w:themeColor="text1"/>
          <w:sz w:val="21"/>
          <w:szCs w:val="21"/>
          <w:lang w:val="es-ES_tradnl"/>
        </w:rPr>
        <w:footnoteReference w:id="11"/>
      </w:r>
      <w:r w:rsidRPr="003A746C">
        <w:rPr>
          <w:rFonts w:ascii="Arial" w:hAnsi="Arial" w:cs="Arial"/>
          <w:color w:val="000000" w:themeColor="text1"/>
          <w:sz w:val="21"/>
          <w:szCs w:val="21"/>
          <w:lang w:val="es-ES_tradnl"/>
        </w:rPr>
        <w:t>.</w:t>
      </w:r>
    </w:p>
    <w:p w:rsidRPr="003A746C" w:rsidR="00CF2738" w:rsidP="00CF2738" w:rsidRDefault="00CF2738" w14:paraId="2CAAF784" w14:textId="77777777">
      <w:pPr>
        <w:spacing w:line="276" w:lineRule="auto"/>
        <w:jc w:val="both"/>
        <w:rPr>
          <w:rFonts w:ascii="Arial" w:hAnsi="Arial" w:cs="Arial"/>
          <w:color w:val="000000" w:themeColor="text1"/>
          <w:sz w:val="22"/>
          <w:lang w:val="es-ES_tradnl"/>
        </w:rPr>
      </w:pPr>
    </w:p>
    <w:p w:rsidRPr="003A746C" w:rsidR="00CF2738" w:rsidP="00CF2738" w:rsidRDefault="00CF2738" w14:paraId="35E64B7C" w14:textId="77777777">
      <w:pPr>
        <w:spacing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rsidRPr="003A746C" w:rsidR="00CF2738" w:rsidP="00CF2738" w:rsidRDefault="00CF2738" w14:paraId="5EEAA74A" w14:textId="77777777">
      <w:pPr>
        <w:spacing w:before="120" w:after="120"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3A746C">
        <w:rPr>
          <w:rFonts w:ascii="Arial" w:hAnsi="Arial" w:eastAsia="Calibri" w:cs="Arial"/>
          <w:color w:val="000000" w:themeColor="text1"/>
          <w:sz w:val="22"/>
          <w:lang w:val="es-ES_tradnl"/>
        </w:rPr>
        <w:t>subsanabilidad</w:t>
      </w:r>
      <w:proofErr w:type="spellEnd"/>
      <w:r w:rsidRPr="003A746C">
        <w:rPr>
          <w:rFonts w:ascii="Arial" w:hAnsi="Arial" w:eastAsia="Calibri" w:cs="Arial"/>
          <w:color w:val="000000" w:themeColor="text1"/>
          <w:sz w:val="22"/>
          <w:lang w:val="es-ES_tradn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rsidRPr="003A746C" w:rsidR="00CF2738" w:rsidP="00CF2738" w:rsidRDefault="00CF2738" w14:paraId="6B20BA84" w14:textId="77777777">
      <w:pPr>
        <w:spacing w:before="120" w:after="120"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 xml:space="preserve">Por ejemplo: </w:t>
      </w:r>
    </w:p>
    <w:p w:rsidRPr="003A746C" w:rsidR="00CF2738" w:rsidP="00CF2738" w:rsidRDefault="00CF2738" w14:paraId="61A044B9" w14:textId="77777777">
      <w:pPr>
        <w:spacing w:before="120" w:after="120"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 xml:space="preserve">i) si un oferente olvidó adjuntar con su propuesta el certificado que da cuenta de su inscripción en el RUP, el requisito será subsanable siempre que la prueba allegada demuestre que el hecho, esto es, la inscripción en el </w:t>
      </w:r>
      <w:proofErr w:type="gramStart"/>
      <w:r w:rsidRPr="003A746C">
        <w:rPr>
          <w:rFonts w:ascii="Arial" w:hAnsi="Arial" w:eastAsia="Calibri" w:cs="Arial"/>
          <w:color w:val="000000" w:themeColor="text1"/>
          <w:sz w:val="22"/>
          <w:lang w:val="es-ES_tradnl"/>
        </w:rPr>
        <w:t>registro,</w:t>
      </w:r>
      <w:proofErr w:type="gramEnd"/>
      <w:r w:rsidRPr="003A746C">
        <w:rPr>
          <w:rFonts w:ascii="Arial" w:hAnsi="Arial" w:eastAsia="Calibri" w:cs="Arial"/>
          <w:color w:val="000000" w:themeColor="text1"/>
          <w:sz w:val="22"/>
          <w:lang w:val="es-ES_tradnl"/>
        </w:rPr>
        <w:t xml:space="preserve"> ocurrió con anterioridad al cierre del proceso; </w:t>
      </w:r>
    </w:p>
    <w:p w:rsidRPr="003A746C" w:rsidR="00CF2738" w:rsidP="00CF2738" w:rsidRDefault="00CF2738" w14:paraId="5C796744" w14:textId="77777777">
      <w:pPr>
        <w:spacing w:before="120" w:after="120" w:line="276" w:lineRule="auto"/>
        <w:ind w:firstLine="709"/>
        <w:jc w:val="both"/>
        <w:rPr>
          <w:rFonts w:ascii="Arial" w:hAnsi="Arial" w:eastAsia="Calibri" w:cs="Arial"/>
          <w:color w:val="000000" w:themeColor="text1"/>
          <w:sz w:val="22"/>
          <w:lang w:val="es-ES_tradnl"/>
        </w:rPr>
      </w:pPr>
      <w:proofErr w:type="spellStart"/>
      <w:r w:rsidRPr="003A746C">
        <w:rPr>
          <w:rFonts w:ascii="Arial" w:hAnsi="Arial" w:eastAsia="Calibri" w:cs="Arial"/>
          <w:color w:val="000000" w:themeColor="text1"/>
          <w:sz w:val="22"/>
          <w:lang w:val="es-ES_tradnl"/>
        </w:rPr>
        <w:t>ii</w:t>
      </w:r>
      <w:proofErr w:type="spellEnd"/>
      <w:r w:rsidRPr="003A746C">
        <w:rPr>
          <w:rFonts w:ascii="Arial" w:hAnsi="Arial" w:eastAsia="Calibri" w:cs="Arial"/>
          <w:color w:val="000000" w:themeColor="text1"/>
          <w:sz w:val="22"/>
          <w:lang w:val="es-ES_tradnl"/>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3A746C">
        <w:rPr>
          <w:rStyle w:val="Refdenotaalpie"/>
          <w:rFonts w:ascii="Arial" w:hAnsi="Arial" w:eastAsia="Calibri" w:cs="Arial"/>
          <w:color w:val="000000" w:themeColor="text1"/>
          <w:sz w:val="22"/>
          <w:lang w:val="es-ES_tradnl"/>
        </w:rPr>
        <w:footnoteReference w:id="12"/>
      </w:r>
      <w:r w:rsidRPr="003A746C">
        <w:rPr>
          <w:rFonts w:ascii="Arial" w:hAnsi="Arial" w:eastAsia="Calibri" w:cs="Arial"/>
          <w:color w:val="000000" w:themeColor="text1"/>
          <w:sz w:val="22"/>
          <w:lang w:val="es-ES_tradnl"/>
        </w:rPr>
        <w:t xml:space="preserve">; </w:t>
      </w:r>
    </w:p>
    <w:p w:rsidRPr="003A746C" w:rsidR="00CF2738" w:rsidP="00CF2738" w:rsidRDefault="00CF2738" w14:paraId="387B716C" w14:textId="77777777">
      <w:pPr>
        <w:spacing w:before="120" w:after="120" w:line="276" w:lineRule="auto"/>
        <w:ind w:firstLine="709"/>
        <w:jc w:val="both"/>
        <w:rPr>
          <w:rFonts w:ascii="Arial" w:hAnsi="Arial" w:eastAsia="Calibri" w:cs="Arial"/>
          <w:color w:val="000000" w:themeColor="text1"/>
          <w:sz w:val="22"/>
          <w:lang w:val="es-ES_tradnl"/>
        </w:rPr>
      </w:pPr>
      <w:proofErr w:type="spellStart"/>
      <w:r w:rsidRPr="003A746C">
        <w:rPr>
          <w:rFonts w:ascii="Arial" w:hAnsi="Arial" w:eastAsia="Calibri" w:cs="Arial"/>
          <w:color w:val="000000" w:themeColor="text1"/>
          <w:sz w:val="22"/>
          <w:lang w:val="es-ES_tradnl"/>
        </w:rPr>
        <w:t>iii</w:t>
      </w:r>
      <w:proofErr w:type="spellEnd"/>
      <w:r w:rsidRPr="003A746C">
        <w:rPr>
          <w:rFonts w:ascii="Arial" w:hAnsi="Arial" w:eastAsia="Calibri" w:cs="Arial"/>
          <w:color w:val="000000" w:themeColor="text1"/>
          <w:sz w:val="22"/>
          <w:lang w:val="es-ES_tradnl"/>
        </w:rPr>
        <w:t>) si un oferente no anexó el certificado de existencia y representación legal, el documento aportado con posterioridad debe dar cuenta de que la sociedad existe desde antes del cierre del proceso</w:t>
      </w:r>
      <w:r w:rsidRPr="003A746C">
        <w:rPr>
          <w:rStyle w:val="Refdenotaalpie"/>
          <w:rFonts w:ascii="Arial" w:hAnsi="Arial" w:eastAsia="Calibri" w:cs="Arial"/>
          <w:color w:val="000000" w:themeColor="text1"/>
          <w:sz w:val="22"/>
          <w:lang w:val="es-ES_tradnl"/>
        </w:rPr>
        <w:footnoteReference w:id="13"/>
      </w:r>
      <w:r w:rsidRPr="003A746C">
        <w:rPr>
          <w:rFonts w:ascii="Arial" w:hAnsi="Arial" w:eastAsia="Calibri" w:cs="Arial"/>
          <w:color w:val="000000" w:themeColor="text1"/>
          <w:sz w:val="22"/>
          <w:lang w:val="es-ES_tradnl"/>
        </w:rPr>
        <w:t xml:space="preserve">; </w:t>
      </w:r>
    </w:p>
    <w:p w:rsidRPr="003A746C" w:rsidR="00CF2738" w:rsidP="00CF2738" w:rsidRDefault="00CF2738" w14:paraId="72BB0E47" w14:textId="77777777">
      <w:pPr>
        <w:spacing w:before="120" w:after="120" w:line="276" w:lineRule="auto"/>
        <w:ind w:firstLine="709"/>
        <w:jc w:val="both"/>
        <w:rPr>
          <w:rFonts w:ascii="Arial" w:hAnsi="Arial" w:eastAsia="Calibri" w:cs="Arial"/>
          <w:color w:val="000000" w:themeColor="text1"/>
          <w:sz w:val="22"/>
          <w:lang w:val="es-ES_tradnl"/>
        </w:rPr>
      </w:pPr>
      <w:proofErr w:type="spellStart"/>
      <w:r w:rsidRPr="003A746C">
        <w:rPr>
          <w:rFonts w:ascii="Arial" w:hAnsi="Arial" w:eastAsia="Calibri" w:cs="Arial"/>
          <w:color w:val="000000" w:themeColor="text1"/>
          <w:sz w:val="22"/>
          <w:lang w:val="es-ES_tradnl"/>
        </w:rPr>
        <w:lastRenderedPageBreak/>
        <w:t>iv</w:t>
      </w:r>
      <w:proofErr w:type="spellEnd"/>
      <w:r w:rsidRPr="003A746C">
        <w:rPr>
          <w:rFonts w:ascii="Arial" w:hAnsi="Arial" w:eastAsia="Calibri" w:cs="Arial"/>
          <w:color w:val="000000" w:themeColor="text1"/>
          <w:sz w:val="22"/>
          <w:lang w:val="es-ES_tradnl"/>
        </w:rPr>
        <w:t xml:space="preserve">) si un oferente olvidó adjuntar un certificado que demuestra un título universitario, el documento, aunque tenga fecha posterior al cierre del proceso, debe acreditar que el título académico se obtuvo con anterioridad al cierre del proceso; </w:t>
      </w:r>
    </w:p>
    <w:p w:rsidRPr="003A746C" w:rsidR="00CF2738" w:rsidP="00CF2738" w:rsidRDefault="00CF2738" w14:paraId="0D1FB607" w14:textId="77777777">
      <w:pPr>
        <w:spacing w:before="120" w:after="120"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 xml:space="preserve">v) si un oferente no aportó un certificado de experiencia, el documento que subsana –sin importar que tenga fecha posterior– debe demostrar que la experiencia que se pretende hacer valer se obtuvo antes de vencerse el término para presentar ofertas, y </w:t>
      </w:r>
    </w:p>
    <w:p w:rsidRPr="003A746C" w:rsidR="00CF2738" w:rsidP="00CF2738" w:rsidRDefault="00CF2738" w14:paraId="1496E451" w14:textId="77777777">
      <w:pPr>
        <w:spacing w:before="120" w:after="120"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 xml:space="preserve">vi) si el oferente olvidó firmar la propuesta o presentar una copia de ella, puede subsanar sin que se entienda que acreditó una circunstancia ocurrida con posterioridad al cierre del proceso. </w:t>
      </w:r>
    </w:p>
    <w:p w:rsidRPr="003A746C" w:rsidR="00CF2738" w:rsidP="00CF2738" w:rsidRDefault="00CF2738" w14:paraId="7BC1AC9F" w14:textId="77777777">
      <w:pPr>
        <w:spacing w:before="120" w:after="120"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rsidRPr="003A746C" w:rsidR="00CF2738" w:rsidP="00CF2738" w:rsidRDefault="00CF2738" w14:paraId="50084E9D" w14:textId="77777777">
      <w:pPr>
        <w:spacing w:before="120" w:after="120"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 xml:space="preserve">Es por ello </w:t>
      </w:r>
      <w:proofErr w:type="gramStart"/>
      <w:r w:rsidRPr="003A746C">
        <w:rPr>
          <w:rFonts w:ascii="Arial" w:hAnsi="Arial" w:eastAsia="Calibri" w:cs="Arial"/>
          <w:color w:val="000000" w:themeColor="text1"/>
          <w:sz w:val="22"/>
          <w:lang w:val="es-ES_tradnl"/>
        </w:rPr>
        <w:t>que</w:t>
      </w:r>
      <w:proofErr w:type="gramEnd"/>
      <w:r w:rsidRPr="003A746C">
        <w:rPr>
          <w:rFonts w:ascii="Arial" w:hAnsi="Arial" w:eastAsia="Calibri" w:cs="Arial"/>
          <w:color w:val="000000" w:themeColor="text1"/>
          <w:sz w:val="22"/>
          <w:lang w:val="es-ES_tradnl"/>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3A746C">
        <w:rPr>
          <w:rFonts w:ascii="Arial" w:hAnsi="Arial" w:eastAsia="Calibri" w:cs="Arial"/>
          <w:color w:val="000000" w:themeColor="text1"/>
          <w:sz w:val="22"/>
          <w:vertAlign w:val="superscript"/>
          <w:lang w:val="es-ES_tradnl"/>
        </w:rPr>
        <w:footnoteReference w:id="14"/>
      </w:r>
      <w:r w:rsidRPr="003A746C">
        <w:rPr>
          <w:rFonts w:ascii="Arial" w:hAnsi="Arial" w:eastAsia="Calibri" w:cs="Arial"/>
          <w:color w:val="000000" w:themeColor="text1"/>
          <w:sz w:val="22"/>
          <w:lang w:val="es-ES_tradnl"/>
        </w:rPr>
        <w:t>.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rsidRPr="003A746C" w:rsidR="00CF2738" w:rsidP="00CF2738" w:rsidRDefault="00CF2738" w14:paraId="69BCCACE" w14:textId="77777777">
      <w:pPr>
        <w:spacing w:before="120" w:after="120" w:line="276" w:lineRule="auto"/>
        <w:ind w:firstLine="709"/>
        <w:jc w:val="both"/>
        <w:rPr>
          <w:rFonts w:ascii="Arial" w:hAnsi="Arial" w:eastAsia="Calibri" w:cs="Arial"/>
          <w:color w:val="000000" w:themeColor="text1"/>
          <w:sz w:val="22"/>
        </w:rPr>
      </w:pPr>
      <w:r w:rsidRPr="003A746C">
        <w:rPr>
          <w:rFonts w:ascii="Arial" w:hAnsi="Arial" w:eastAsia="Calibri" w:cs="Arial"/>
          <w:color w:val="000000" w:themeColor="text1"/>
          <w:sz w:val="22"/>
          <w:lang w:val="es-ES_tradnl"/>
        </w:rPr>
        <w:t xml:space="preserve">Esta tesis fue reiterada por la Agencia Nacional de Contratación Pública – Colombia Compra Eficiente en el concepto con radicado </w:t>
      </w:r>
      <w:r w:rsidRPr="003A746C">
        <w:rPr>
          <w:rFonts w:ascii="Arial" w:hAnsi="Arial" w:eastAsia="Calibri" w:cs="Arial"/>
          <w:color w:val="000000" w:themeColor="text1"/>
          <w:sz w:val="22"/>
        </w:rPr>
        <w:t xml:space="preserve">4201912000008198, en el que indicó que las certificaciones de experiencia que no otorgaran puntaje podían aportarse corregidos o incluso, en reemplazo de las que no cumplieran el requisito habilitante, siempre que en los documentos aportados en la etapa de </w:t>
      </w:r>
      <w:proofErr w:type="spellStart"/>
      <w:r w:rsidRPr="003A746C">
        <w:rPr>
          <w:rFonts w:ascii="Arial" w:hAnsi="Arial" w:eastAsia="Calibri" w:cs="Arial"/>
          <w:color w:val="000000" w:themeColor="text1"/>
          <w:sz w:val="22"/>
        </w:rPr>
        <w:t>subsanabilidad</w:t>
      </w:r>
      <w:proofErr w:type="spellEnd"/>
      <w:r w:rsidRPr="003A746C">
        <w:rPr>
          <w:rFonts w:ascii="Arial" w:hAnsi="Arial" w:eastAsia="Calibri" w:cs="Arial"/>
          <w:color w:val="000000" w:themeColor="text1"/>
          <w:sz w:val="22"/>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w:t>
      </w:r>
      <w:r w:rsidRPr="003A746C">
        <w:rPr>
          <w:rFonts w:ascii="Arial" w:hAnsi="Arial" w:eastAsia="Calibri" w:cs="Arial"/>
          <w:color w:val="000000" w:themeColor="text1"/>
          <w:sz w:val="22"/>
        </w:rPr>
        <w:lastRenderedPageBreak/>
        <w:t xml:space="preserve">del proceso», pero que «Si las certificaciones prueban que la experiencia del proponente se adquirió con posterioridad al cierre del proceso no se podrá aportar, porque esto implicaría una mejora, adición o complemento de la oferta». </w:t>
      </w:r>
    </w:p>
    <w:p w:rsidRPr="003A746C" w:rsidR="00CF2738" w:rsidP="00CF2738" w:rsidRDefault="00CF2738" w14:paraId="0ABD1EA6" w14:textId="77777777">
      <w:pPr>
        <w:spacing w:before="120" w:after="120" w:line="276" w:lineRule="auto"/>
        <w:ind w:firstLine="709"/>
        <w:jc w:val="both"/>
        <w:rPr>
          <w:rFonts w:ascii="Arial" w:hAnsi="Arial" w:eastAsia="Calibri" w:cs="Arial"/>
          <w:color w:val="000000" w:themeColor="text1"/>
          <w:sz w:val="22"/>
          <w:lang w:val="es-CO"/>
        </w:rPr>
      </w:pPr>
      <w:r w:rsidRPr="003A746C">
        <w:rPr>
          <w:rFonts w:ascii="Arial" w:hAnsi="Arial" w:eastAsia="Calibri" w:cs="Arial"/>
          <w:color w:val="000000" w:themeColor="text1"/>
          <w:sz w:val="22"/>
        </w:rPr>
        <w:t xml:space="preserve">Una reiteración de la postura de esta Subdirección, según la cual la </w:t>
      </w:r>
      <w:proofErr w:type="spellStart"/>
      <w:r w:rsidRPr="003A746C">
        <w:rPr>
          <w:rFonts w:ascii="Arial" w:hAnsi="Arial" w:eastAsia="Calibri" w:cs="Arial"/>
          <w:color w:val="000000" w:themeColor="text1"/>
          <w:sz w:val="22"/>
        </w:rPr>
        <w:t>subsanabilidad</w:t>
      </w:r>
      <w:proofErr w:type="spellEnd"/>
      <w:r w:rsidRPr="003A746C">
        <w:rPr>
          <w:rFonts w:ascii="Arial" w:hAnsi="Arial" w:eastAsia="Calibri" w:cs="Arial"/>
          <w:color w:val="000000" w:themeColor="text1"/>
          <w:sz w:val="22"/>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rsidRPr="003A746C" w:rsidR="00CF2738" w:rsidP="00CF2738" w:rsidRDefault="00CF2738" w14:paraId="144D89AB" w14:textId="77777777">
      <w:pPr>
        <w:spacing w:before="120" w:after="120"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3A746C">
        <w:rPr>
          <w:rFonts w:ascii="Arial" w:hAnsi="Arial" w:eastAsia="Calibri" w:cs="Arial"/>
          <w:iCs/>
          <w:color w:val="000000" w:themeColor="text1"/>
          <w:sz w:val="22"/>
          <w:lang w:val="es-ES_tradnl"/>
        </w:rPr>
        <w:t>documento o información</w:t>
      </w:r>
      <w:r w:rsidRPr="003A746C">
        <w:rPr>
          <w:rFonts w:ascii="Arial" w:hAnsi="Arial" w:eastAsia="Calibri"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rsidRPr="003A746C" w:rsidR="00CF2738" w:rsidP="00CF2738" w:rsidRDefault="00CF2738" w14:paraId="7DA723E8" w14:textId="77777777">
      <w:pPr>
        <w:spacing w:line="276" w:lineRule="auto"/>
        <w:ind w:firstLine="709"/>
        <w:jc w:val="both"/>
        <w:rPr>
          <w:rFonts w:ascii="Arial" w:hAnsi="Arial" w:eastAsia="Calibri" w:cs="Arial"/>
          <w:color w:val="000000" w:themeColor="text1"/>
          <w:sz w:val="22"/>
          <w:lang w:val="es-ES_tradnl"/>
        </w:rPr>
      </w:pPr>
      <w:r w:rsidRPr="003A746C">
        <w:rPr>
          <w:rFonts w:ascii="Arial" w:hAnsi="Arial" w:eastAsia="Calibri" w:cs="Arial"/>
          <w:color w:val="000000" w:themeColor="text1"/>
          <w:sz w:val="22"/>
          <w:lang w:val="es-ES_tradnl"/>
        </w:rPr>
        <w:t xml:space="preserve">Finalmente, el parágrafo 3 del artículo 5 de la Ley 1882 de 2018 determinó, de manera expresa, que «la no entrega de la garantía de seriedad junto con la propuesta no será subsanable y será causal de rechazo de </w:t>
      </w:r>
      <w:proofErr w:type="gramStart"/>
      <w:r w:rsidRPr="003A746C">
        <w:rPr>
          <w:rFonts w:ascii="Arial" w:hAnsi="Arial" w:eastAsia="Calibri" w:cs="Arial"/>
          <w:color w:val="000000" w:themeColor="text1"/>
          <w:sz w:val="22"/>
          <w:lang w:val="es-ES_tradnl"/>
        </w:rPr>
        <w:t>la misma</w:t>
      </w:r>
      <w:proofErr w:type="gramEnd"/>
      <w:r w:rsidRPr="003A746C">
        <w:rPr>
          <w:rFonts w:ascii="Arial" w:hAnsi="Arial" w:eastAsia="Calibri" w:cs="Arial"/>
          <w:color w:val="000000" w:themeColor="text1"/>
          <w:sz w:val="22"/>
          <w:lang w:val="es-ES_tradnl"/>
        </w:rPr>
        <w:t>», dejando claro que se trata de un documento de obligatoria presentación junto con la propuesta y que materializa los principios de seriedad e irrevocabilidad de la oferta.</w:t>
      </w:r>
    </w:p>
    <w:p w:rsidRPr="003A746C" w:rsidR="0060096D" w:rsidP="00C22BD5" w:rsidRDefault="0060096D" w14:paraId="42D57535" w14:textId="77777777">
      <w:pPr>
        <w:spacing w:line="276" w:lineRule="auto"/>
        <w:ind w:firstLine="709"/>
        <w:jc w:val="both"/>
        <w:rPr>
          <w:rFonts w:ascii="Arial" w:hAnsi="Arial" w:cs="Arial"/>
          <w:color w:val="000000" w:themeColor="text1"/>
          <w:sz w:val="22"/>
          <w:lang w:val="es-ES_tradnl"/>
        </w:rPr>
      </w:pPr>
    </w:p>
    <w:p w:rsidRPr="003A746C" w:rsidR="00BA22A9" w:rsidP="00BA22A9" w:rsidRDefault="00BA22A9" w14:paraId="1F35E48F" w14:textId="77777777">
      <w:pPr>
        <w:pStyle w:val="Prrafodelista"/>
        <w:numPr>
          <w:ilvl w:val="0"/>
          <w:numId w:val="8"/>
        </w:numPr>
        <w:tabs>
          <w:tab w:val="left" w:pos="284"/>
        </w:tabs>
        <w:spacing w:line="276" w:lineRule="auto"/>
        <w:ind w:left="0" w:firstLine="0"/>
        <w:rPr>
          <w:rFonts w:ascii="Arial" w:hAnsi="Arial" w:eastAsia="Calibri" w:cs="Arial"/>
          <w:b/>
          <w:color w:val="000000" w:themeColor="text1"/>
          <w:sz w:val="22"/>
        </w:rPr>
      </w:pPr>
      <w:r w:rsidRPr="003A746C">
        <w:rPr>
          <w:rFonts w:ascii="Arial" w:hAnsi="Arial" w:eastAsia="Calibri" w:cs="Arial"/>
          <w:b/>
          <w:color w:val="000000" w:themeColor="text1"/>
          <w:sz w:val="22"/>
        </w:rPr>
        <w:t>Respuesta</w:t>
      </w:r>
    </w:p>
    <w:p w:rsidRPr="003A746C" w:rsidR="00BA22A9" w:rsidP="00B10353" w:rsidRDefault="00BA22A9" w14:paraId="718E0C0D" w14:textId="77777777">
      <w:pPr>
        <w:spacing w:line="276" w:lineRule="auto"/>
        <w:jc w:val="both"/>
        <w:rPr>
          <w:rFonts w:ascii="Arial" w:hAnsi="Arial" w:eastAsia="Calibri" w:cs="Arial"/>
          <w:color w:val="000000" w:themeColor="text1"/>
          <w:sz w:val="22"/>
        </w:rPr>
      </w:pPr>
    </w:p>
    <w:p w:rsidRPr="003A746C" w:rsidR="008422C6" w:rsidP="0060096D" w:rsidRDefault="0060096D" w14:paraId="16E88FC3" w14:textId="486018F1">
      <w:pPr>
        <w:spacing w:line="276" w:lineRule="auto"/>
        <w:ind w:left="709" w:right="709"/>
        <w:jc w:val="both"/>
        <w:rPr>
          <w:rFonts w:ascii="Arial" w:hAnsi="Arial" w:eastAsia="Calibri" w:cs="Arial"/>
          <w:color w:val="000000" w:themeColor="text1"/>
          <w:sz w:val="21"/>
          <w:szCs w:val="21"/>
        </w:rPr>
      </w:pPr>
      <w:r w:rsidRPr="003A746C">
        <w:rPr>
          <w:rFonts w:ascii="Arial" w:hAnsi="Arial" w:eastAsia="Calibri" w:cs="Arial"/>
          <w:color w:val="000000" w:themeColor="text1"/>
          <w:sz w:val="21"/>
          <w:szCs w:val="21"/>
        </w:rPr>
        <w:lastRenderedPageBreak/>
        <w:t>«¿De conformidad con el artículo 5 de la ley 1150 de 2007, es posible modificar o allegar una nueva experiencia en una propuesta al no ser esta ponderable u obtener puntaje?»</w:t>
      </w:r>
    </w:p>
    <w:p w:rsidRPr="003A746C" w:rsidR="0060096D" w:rsidP="0060096D" w:rsidRDefault="0060096D" w14:paraId="5CD73D86" w14:textId="77777777">
      <w:pPr>
        <w:spacing w:line="276" w:lineRule="auto"/>
        <w:ind w:left="709" w:right="709"/>
        <w:jc w:val="both"/>
        <w:rPr>
          <w:rFonts w:ascii="Arial" w:hAnsi="Arial" w:eastAsia="Calibri" w:cs="Arial"/>
          <w:color w:val="000000" w:themeColor="text1"/>
          <w:sz w:val="21"/>
          <w:szCs w:val="21"/>
        </w:rPr>
      </w:pPr>
    </w:p>
    <w:p w:rsidRPr="003A746C" w:rsidR="0063508B" w:rsidP="004358AE" w:rsidRDefault="008422C6" w14:paraId="66B999C2" w14:textId="473060FA">
      <w:pPr>
        <w:spacing w:after="120" w:line="276" w:lineRule="auto"/>
        <w:jc w:val="both"/>
        <w:rPr>
          <w:rFonts w:ascii="Arial" w:hAnsi="Arial" w:eastAsia="Calibri" w:cs="Arial"/>
          <w:color w:val="000000" w:themeColor="text1"/>
          <w:sz w:val="22"/>
        </w:rPr>
      </w:pPr>
      <w:r w:rsidRPr="003A746C">
        <w:rPr>
          <w:rFonts w:ascii="Arial" w:hAnsi="Arial" w:eastAsia="Calibri" w:cs="Arial"/>
          <w:color w:val="000000" w:themeColor="text1"/>
          <w:sz w:val="22"/>
        </w:rPr>
        <w:t>De conformidad con el parágrafo 1</w:t>
      </w:r>
      <w:r w:rsidRPr="003A746C" w:rsidR="008A0BE8">
        <w:rPr>
          <w:rFonts w:ascii="Arial" w:hAnsi="Arial" w:eastAsia="Calibri" w:cs="Arial"/>
          <w:color w:val="000000" w:themeColor="text1"/>
          <w:sz w:val="22"/>
        </w:rPr>
        <w:t xml:space="preserve">° del artículo 5° de la Ley 1150 de 2007, los documentos referentes al oferente o a la futura contratación, </w:t>
      </w:r>
      <w:r w:rsidRPr="003A746C" w:rsidR="00A009E8">
        <w:rPr>
          <w:rFonts w:ascii="Arial" w:hAnsi="Arial" w:eastAsia="Calibri" w:cs="Arial"/>
          <w:color w:val="000000" w:themeColor="text1"/>
          <w:sz w:val="22"/>
        </w:rPr>
        <w:t>que no a</w:t>
      </w:r>
      <w:r w:rsidRPr="003A746C" w:rsidR="008A0BE8">
        <w:rPr>
          <w:rFonts w:ascii="Arial" w:hAnsi="Arial" w:eastAsia="Calibri" w:cs="Arial"/>
          <w:color w:val="000000" w:themeColor="text1"/>
          <w:sz w:val="22"/>
        </w:rPr>
        <w:t>sign</w:t>
      </w:r>
      <w:r w:rsidRPr="003A746C" w:rsidR="00A009E8">
        <w:rPr>
          <w:rFonts w:ascii="Arial" w:hAnsi="Arial" w:eastAsia="Calibri" w:cs="Arial"/>
          <w:color w:val="000000" w:themeColor="text1"/>
          <w:sz w:val="22"/>
        </w:rPr>
        <w:t>en</w:t>
      </w:r>
      <w:r w:rsidRPr="003A746C" w:rsidR="008A0BE8">
        <w:rPr>
          <w:rFonts w:ascii="Arial" w:hAnsi="Arial" w:eastAsia="Calibri" w:cs="Arial"/>
          <w:color w:val="000000" w:themeColor="text1"/>
          <w:sz w:val="22"/>
        </w:rPr>
        <w:t xml:space="preserve"> de puntaje</w:t>
      </w:r>
      <w:r w:rsidRPr="003A746C" w:rsidR="00A009E8">
        <w:rPr>
          <w:rFonts w:ascii="Arial" w:hAnsi="Arial" w:eastAsia="Calibri" w:cs="Arial"/>
          <w:color w:val="000000" w:themeColor="text1"/>
          <w:sz w:val="22"/>
        </w:rPr>
        <w:t>,</w:t>
      </w:r>
      <w:r w:rsidRPr="003A746C" w:rsidR="008A0BE8">
        <w:rPr>
          <w:rFonts w:ascii="Arial" w:hAnsi="Arial" w:eastAsia="Calibri" w:cs="Arial"/>
          <w:color w:val="000000" w:themeColor="text1"/>
          <w:sz w:val="22"/>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w:t>
      </w:r>
    </w:p>
    <w:p w:rsidRPr="003A746C" w:rsidR="004A56BF" w:rsidP="0009685F" w:rsidRDefault="0060096D" w14:paraId="1AFFE1B7" w14:textId="21767C05">
      <w:pPr>
        <w:spacing w:after="120" w:line="276" w:lineRule="auto"/>
        <w:jc w:val="both"/>
        <w:rPr>
          <w:rFonts w:ascii="Arial" w:hAnsi="Arial" w:eastAsia="Calibri" w:cs="Arial"/>
          <w:color w:val="000000" w:themeColor="text1"/>
          <w:sz w:val="22"/>
        </w:rPr>
      </w:pPr>
      <w:r w:rsidRPr="003A746C">
        <w:rPr>
          <w:rFonts w:ascii="Arial" w:hAnsi="Arial" w:eastAsia="Calibri" w:cs="Arial"/>
          <w:color w:val="000000" w:themeColor="text1"/>
          <w:sz w:val="22"/>
        </w:rPr>
        <w:tab/>
      </w:r>
      <w:r w:rsidRPr="003A746C" w:rsidR="004358AE">
        <w:rPr>
          <w:rFonts w:ascii="Arial" w:hAnsi="Arial" w:eastAsia="Calibri" w:cs="Arial"/>
          <w:color w:val="000000" w:themeColor="text1"/>
          <w:sz w:val="22"/>
        </w:rPr>
        <w:t xml:space="preserve">En </w:t>
      </w:r>
      <w:r w:rsidRPr="003A746C" w:rsidR="00A009E8">
        <w:rPr>
          <w:rFonts w:ascii="Arial" w:hAnsi="Arial" w:eastAsia="Calibri" w:cs="Arial"/>
          <w:color w:val="000000" w:themeColor="text1"/>
          <w:sz w:val="22"/>
        </w:rPr>
        <w:t>tal sentido</w:t>
      </w:r>
      <w:r w:rsidRPr="003A746C" w:rsidR="004358AE">
        <w:rPr>
          <w:rFonts w:ascii="Arial" w:hAnsi="Arial" w:eastAsia="Calibri" w:cs="Arial"/>
          <w:color w:val="000000" w:themeColor="text1"/>
          <w:sz w:val="22"/>
        </w:rPr>
        <w:t>, al ser la experiencia un requisito habilitante</w:t>
      </w:r>
      <w:r w:rsidRPr="003A746C" w:rsidR="00A009E8">
        <w:rPr>
          <w:rFonts w:ascii="Arial" w:hAnsi="Arial" w:eastAsia="Calibri" w:cs="Arial"/>
          <w:color w:val="000000" w:themeColor="text1"/>
          <w:sz w:val="22"/>
        </w:rPr>
        <w:t>, que no asigna puntaje</w:t>
      </w:r>
      <w:r w:rsidRPr="003A746C" w:rsidR="005C0FB6">
        <w:rPr>
          <w:rFonts w:ascii="Arial" w:hAnsi="Arial" w:eastAsia="Calibri" w:cs="Arial"/>
          <w:color w:val="000000" w:themeColor="text1"/>
          <w:sz w:val="22"/>
        </w:rPr>
        <w:t xml:space="preserve"> –salvo que se tratara de un concurso de méritos, en que a dicha experiencia se le </w:t>
      </w:r>
      <w:proofErr w:type="gramStart"/>
      <w:r w:rsidRPr="003A746C" w:rsidR="005C0FB6">
        <w:rPr>
          <w:rFonts w:ascii="Arial" w:hAnsi="Arial" w:eastAsia="Calibri" w:cs="Arial"/>
          <w:color w:val="000000" w:themeColor="text1"/>
          <w:sz w:val="22"/>
        </w:rPr>
        <w:t>asignara</w:t>
      </w:r>
      <w:r w:rsidRPr="003A746C" w:rsidR="00A009E8">
        <w:rPr>
          <w:rFonts w:ascii="Arial" w:hAnsi="Arial" w:eastAsia="Calibri" w:cs="Arial"/>
          <w:color w:val="000000" w:themeColor="text1"/>
          <w:sz w:val="22"/>
        </w:rPr>
        <w:t>n</w:t>
      </w:r>
      <w:proofErr w:type="gramEnd"/>
      <w:r w:rsidRPr="003A746C" w:rsidR="005C0FB6">
        <w:rPr>
          <w:rFonts w:ascii="Arial" w:hAnsi="Arial" w:eastAsia="Calibri" w:cs="Arial"/>
          <w:color w:val="000000" w:themeColor="text1"/>
          <w:sz w:val="22"/>
        </w:rPr>
        <w:t xml:space="preserve"> </w:t>
      </w:r>
      <w:r w:rsidRPr="003A746C" w:rsidR="00A009E8">
        <w:rPr>
          <w:rFonts w:ascii="Arial" w:hAnsi="Arial" w:eastAsia="Calibri" w:cs="Arial"/>
          <w:color w:val="000000" w:themeColor="text1"/>
          <w:sz w:val="22"/>
        </w:rPr>
        <w:t>puntos</w:t>
      </w:r>
      <w:r w:rsidRPr="003A746C" w:rsidR="005C0FB6">
        <w:rPr>
          <w:rFonts w:ascii="Arial" w:hAnsi="Arial" w:eastAsia="Calibri" w:cs="Arial"/>
          <w:color w:val="000000" w:themeColor="text1"/>
          <w:sz w:val="22"/>
        </w:rPr>
        <w:t>–</w:t>
      </w:r>
      <w:r w:rsidRPr="003A746C" w:rsidR="004358AE">
        <w:rPr>
          <w:rFonts w:ascii="Arial" w:hAnsi="Arial" w:eastAsia="Calibri" w:cs="Arial"/>
          <w:color w:val="000000" w:themeColor="text1"/>
          <w:sz w:val="22"/>
        </w:rPr>
        <w:t xml:space="preserve">, los documentos </w:t>
      </w:r>
      <w:r w:rsidRPr="003A746C" w:rsidR="00A009E8">
        <w:rPr>
          <w:rFonts w:ascii="Arial" w:hAnsi="Arial" w:eastAsia="Calibri" w:cs="Arial"/>
          <w:color w:val="000000" w:themeColor="text1"/>
          <w:sz w:val="22"/>
        </w:rPr>
        <w:t xml:space="preserve">señalados en el pliego de condiciones, </w:t>
      </w:r>
      <w:r w:rsidRPr="003A746C" w:rsidR="004358AE">
        <w:rPr>
          <w:rFonts w:ascii="Arial" w:hAnsi="Arial" w:eastAsia="Calibri" w:cs="Arial"/>
          <w:color w:val="000000" w:themeColor="text1"/>
          <w:sz w:val="22"/>
        </w:rPr>
        <w:t xml:space="preserve">mediante los que se acredita </w:t>
      </w:r>
      <w:r w:rsidRPr="003A746C" w:rsidR="00A009E8">
        <w:rPr>
          <w:rFonts w:ascii="Arial" w:hAnsi="Arial" w:eastAsia="Calibri" w:cs="Arial"/>
          <w:color w:val="000000" w:themeColor="text1"/>
          <w:sz w:val="22"/>
        </w:rPr>
        <w:t>é</w:t>
      </w:r>
      <w:r w:rsidRPr="003A746C" w:rsidR="004358AE">
        <w:rPr>
          <w:rFonts w:ascii="Arial" w:hAnsi="Arial" w:eastAsia="Calibri" w:cs="Arial"/>
          <w:color w:val="000000" w:themeColor="text1"/>
          <w:sz w:val="22"/>
        </w:rPr>
        <w:t>sta</w:t>
      </w:r>
      <w:r w:rsidRPr="003A746C" w:rsidR="00A009E8">
        <w:rPr>
          <w:rFonts w:ascii="Arial" w:hAnsi="Arial" w:eastAsia="Calibri" w:cs="Arial"/>
          <w:color w:val="000000" w:themeColor="text1"/>
          <w:sz w:val="22"/>
        </w:rPr>
        <w:t>,</w:t>
      </w:r>
      <w:r w:rsidRPr="003A746C" w:rsidR="004358AE">
        <w:rPr>
          <w:rFonts w:ascii="Arial" w:hAnsi="Arial" w:eastAsia="Calibri" w:cs="Arial"/>
          <w:color w:val="000000" w:themeColor="text1"/>
          <w:sz w:val="22"/>
        </w:rPr>
        <w:t xml:space="preserve"> podrán ser subsanados en los términos expuestos. No obstante, </w:t>
      </w:r>
      <w:r w:rsidRPr="003A746C" w:rsidR="004358AE">
        <w:rPr>
          <w:rFonts w:ascii="Arial" w:hAnsi="Arial" w:eastAsia="Calibri" w:cs="Arial"/>
          <w:color w:val="000000" w:themeColor="text1"/>
          <w:sz w:val="22"/>
          <w:lang w:val="es-ES_tradnl"/>
        </w:rPr>
        <w:t xml:space="preserve">según la modificación introducida por el artículo 5 de la Ley 1882 de 2018, la experiencia objeto de subsanación </w:t>
      </w:r>
      <w:r w:rsidRPr="003A746C" w:rsidR="00A009E8">
        <w:rPr>
          <w:rFonts w:ascii="Arial" w:hAnsi="Arial" w:eastAsia="Calibri" w:cs="Arial"/>
          <w:color w:val="000000" w:themeColor="text1"/>
          <w:sz w:val="22"/>
          <w:lang w:val="es-ES_tradnl"/>
        </w:rPr>
        <w:t>debió adquirirse</w:t>
      </w:r>
      <w:r w:rsidRPr="003A746C" w:rsidR="004358AE">
        <w:rPr>
          <w:rFonts w:ascii="Arial" w:hAnsi="Arial" w:eastAsia="Calibri" w:cs="Arial"/>
          <w:color w:val="000000" w:themeColor="text1"/>
          <w:sz w:val="22"/>
          <w:lang w:val="es-ES_tradnl"/>
        </w:rPr>
        <w:t xml:space="preserve"> con anterioridad a la fecha de cierre del proceso, independientemente de la fecha del documento que la acredite.</w:t>
      </w:r>
      <w:r w:rsidRPr="003A746C" w:rsidR="004358AE">
        <w:rPr>
          <w:rFonts w:ascii="Arial" w:hAnsi="Arial" w:eastAsia="Calibri" w:cs="Arial"/>
          <w:color w:val="000000" w:themeColor="text1"/>
          <w:sz w:val="22"/>
        </w:rPr>
        <w:t xml:space="preserve"> </w:t>
      </w:r>
      <w:r w:rsidRPr="003A746C" w:rsidR="00A009E8">
        <w:rPr>
          <w:rFonts w:ascii="Arial" w:hAnsi="Arial" w:eastAsia="Calibri" w:cs="Arial"/>
          <w:color w:val="000000" w:themeColor="text1"/>
          <w:sz w:val="22"/>
        </w:rPr>
        <w:t xml:space="preserve">Lo anterior, además, sin perjuicio de que dicha experiencia, de conformidad con las prescripciones del pliego de condiciones, deba estar inscrita y en firme en el RUP. </w:t>
      </w:r>
    </w:p>
    <w:p w:rsidRPr="003A746C" w:rsidR="0060096D" w:rsidP="0009685F" w:rsidRDefault="00A009E8" w14:paraId="2414AC99" w14:textId="6582FB9A">
      <w:pPr>
        <w:spacing w:line="276" w:lineRule="auto"/>
        <w:ind w:firstLine="708"/>
        <w:jc w:val="both"/>
        <w:rPr>
          <w:rFonts w:ascii="Arial" w:hAnsi="Arial" w:eastAsia="Calibri" w:cs="Arial"/>
          <w:color w:val="000000" w:themeColor="text1"/>
          <w:sz w:val="22"/>
        </w:rPr>
      </w:pPr>
      <w:r w:rsidRPr="003A746C">
        <w:rPr>
          <w:rFonts w:ascii="Arial" w:hAnsi="Arial" w:eastAsia="Calibri" w:cs="Arial"/>
          <w:color w:val="000000" w:themeColor="text1"/>
          <w:sz w:val="22"/>
        </w:rPr>
        <w:t>Teniendo en cuenta las precisiones anteriores, si en el proceso en específico la experiencia no asigna puntaje, puede ser subsanada</w:t>
      </w:r>
      <w:r w:rsidRPr="003A746C" w:rsidR="00C97D94">
        <w:rPr>
          <w:rFonts w:ascii="Arial" w:hAnsi="Arial" w:eastAsia="Calibri" w:cs="Arial"/>
          <w:color w:val="000000" w:themeColor="text1"/>
          <w:sz w:val="22"/>
        </w:rPr>
        <w:t>,</w:t>
      </w:r>
      <w:r w:rsidRPr="003A746C">
        <w:rPr>
          <w:rFonts w:ascii="Arial" w:hAnsi="Arial" w:eastAsia="Calibri" w:cs="Arial"/>
          <w:color w:val="000000" w:themeColor="text1"/>
          <w:sz w:val="22"/>
        </w:rPr>
        <w:t xml:space="preserve"> ya sea ajustando la información que soporta o demuestra la ejecución de un contrato en específico </w:t>
      </w:r>
      <w:r w:rsidRPr="003A746C" w:rsidR="00C97D94">
        <w:rPr>
          <w:rFonts w:ascii="Arial" w:hAnsi="Arial" w:eastAsia="Calibri" w:cs="Arial"/>
          <w:color w:val="000000" w:themeColor="text1"/>
          <w:sz w:val="22"/>
        </w:rPr>
        <w:t>inicialmente aportado</w:t>
      </w:r>
      <w:r w:rsidRPr="003A746C">
        <w:rPr>
          <w:rFonts w:ascii="Arial" w:hAnsi="Arial" w:eastAsia="Calibri" w:cs="Arial"/>
          <w:color w:val="000000" w:themeColor="text1"/>
          <w:sz w:val="22"/>
        </w:rPr>
        <w:t xml:space="preserve"> o acreditándola con un contrato diferente que demuestre dicha experiencia</w:t>
      </w:r>
      <w:r w:rsidRPr="003A746C" w:rsidR="00C97D94">
        <w:rPr>
          <w:rFonts w:ascii="Arial" w:hAnsi="Arial" w:eastAsia="Calibri" w:cs="Arial"/>
          <w:color w:val="000000" w:themeColor="text1"/>
          <w:sz w:val="22"/>
        </w:rPr>
        <w:t>, acatando, en todo caso, las exigencias del pliego de condiciones.</w:t>
      </w:r>
    </w:p>
    <w:p w:rsidRPr="003A746C" w:rsidR="00EB76C1" w:rsidP="008A0BE8" w:rsidRDefault="00EB76C1" w14:paraId="4F8CEBDE" w14:textId="59809878">
      <w:pPr>
        <w:spacing w:line="276" w:lineRule="auto"/>
        <w:ind w:firstLine="709"/>
        <w:jc w:val="both"/>
        <w:rPr>
          <w:rFonts w:ascii="Arial" w:hAnsi="Arial" w:eastAsia="Calibri" w:cs="Arial"/>
          <w:color w:val="000000" w:themeColor="text1"/>
          <w:sz w:val="22"/>
        </w:rPr>
      </w:pPr>
    </w:p>
    <w:p w:rsidRPr="003A746C" w:rsidR="00BA22A9" w:rsidP="008F6ABB" w:rsidRDefault="00BA22A9" w14:paraId="12038E8E" w14:textId="32600B1C">
      <w:pPr>
        <w:spacing w:line="276" w:lineRule="auto"/>
        <w:jc w:val="both"/>
        <w:rPr>
          <w:rFonts w:ascii="Arial" w:hAnsi="Arial" w:eastAsia="Calibri" w:cs="Arial"/>
          <w:color w:val="000000" w:themeColor="text1"/>
          <w:sz w:val="22"/>
        </w:rPr>
      </w:pPr>
      <w:r w:rsidRPr="003A746C">
        <w:rPr>
          <w:rFonts w:ascii="Arial" w:hAnsi="Arial" w:eastAsia="Calibri" w:cs="Arial"/>
          <w:color w:val="000000" w:themeColor="text1"/>
          <w:sz w:val="22"/>
        </w:rPr>
        <w:t>Este concepto tiene el alcance previsto en el artículo 28 del Código de Procedimiento Administrativo y de lo Contencioso Administrativo.</w:t>
      </w:r>
    </w:p>
    <w:p w:rsidRPr="003A746C" w:rsidR="00BA22A9" w:rsidP="00B10353" w:rsidRDefault="009D5015" w14:paraId="0F12EF82" w14:textId="0787E2B3">
      <w:pPr>
        <w:spacing w:line="276" w:lineRule="auto"/>
        <w:jc w:val="both"/>
        <w:rPr>
          <w:rFonts w:ascii="Arial" w:hAnsi="Arial" w:eastAsia="Times New Roman" w:cs="Arial"/>
          <w:color w:val="000000" w:themeColor="text1"/>
          <w:sz w:val="22"/>
          <w:lang w:eastAsia="es-CO"/>
        </w:rPr>
      </w:pPr>
      <w:r w:rsidRPr="003A746C">
        <w:rPr>
          <w:rFonts w:ascii="Arial" w:hAnsi="Arial" w:eastAsia="Calibri" w:cs="Arial"/>
          <w:noProof/>
          <w:color w:val="000000" w:themeColor="text1"/>
          <w:sz w:val="22"/>
          <w:lang w:val="es-CO" w:eastAsia="es-CO"/>
        </w:rPr>
        <mc:AlternateContent>
          <mc:Choice Requires="wps">
            <w:drawing>
              <wp:anchor distT="0" distB="0" distL="114300" distR="114300" simplePos="0" relativeHeight="251659264" behindDoc="0" locked="0" layoutInCell="1" allowOverlap="1" wp14:anchorId="1E0127D7" wp14:editId="51C210B0">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w14:anchorId="4028358A">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05pt" to="488.25pt,-.05pt" w14:anchorId="1631FC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w10:wrap anchorx="page"/>
              </v:line>
            </w:pict>
          </mc:Fallback>
        </mc:AlternateContent>
      </w:r>
    </w:p>
    <w:p w:rsidRPr="003A746C" w:rsidR="00BA22A9" w:rsidP="00B10353" w:rsidRDefault="00BA22A9" w14:paraId="2D808EBE" w14:textId="1AC178CC">
      <w:pPr>
        <w:spacing w:line="276" w:lineRule="auto"/>
        <w:jc w:val="both"/>
        <w:rPr>
          <w:rFonts w:ascii="Arial" w:hAnsi="Arial" w:cs="Arial"/>
          <w:color w:val="000000" w:themeColor="text1"/>
          <w:sz w:val="22"/>
          <w:szCs w:val="20"/>
        </w:rPr>
      </w:pPr>
      <w:r w:rsidRPr="39D2C6C3" w:rsidR="00BA22A9">
        <w:rPr>
          <w:rFonts w:ascii="Arial" w:hAnsi="Arial" w:eastAsia="Times New Roman" w:cs="Arial"/>
          <w:color w:val="000000" w:themeColor="text1" w:themeTint="FF" w:themeShade="FF"/>
          <w:sz w:val="22"/>
          <w:szCs w:val="22"/>
          <w:lang w:eastAsia="es-CO"/>
        </w:rPr>
        <w:t>Atentamente,</w:t>
      </w:r>
    </w:p>
    <w:p w:rsidRPr="003A746C" w:rsidR="008A0BE8" w:rsidP="39D2C6C3" w:rsidRDefault="008A0BE8" w14:paraId="3EE40231" w14:textId="002DACAE">
      <w:pPr>
        <w:pStyle w:val="NormalWeb"/>
        <w:spacing w:before="0" w:beforeAutospacing="off" w:after="0" w:afterAutospacing="off"/>
        <w:jc w:val="center"/>
      </w:pPr>
      <w:r w:rsidR="2DA93E70">
        <w:drawing>
          <wp:inline wp14:editId="04BA67F6" wp14:anchorId="16CA1660">
            <wp:extent cx="2505075" cy="885825"/>
            <wp:effectExtent l="0" t="0" r="0" b="0"/>
            <wp:docPr id="1005111194" name="" title=""/>
            <wp:cNvGraphicFramePr>
              <a:graphicFrameLocks noChangeAspect="1"/>
            </wp:cNvGraphicFramePr>
            <a:graphic>
              <a:graphicData uri="http://schemas.openxmlformats.org/drawingml/2006/picture">
                <pic:pic>
                  <pic:nvPicPr>
                    <pic:cNvPr id="0" name=""/>
                    <pic:cNvPicPr/>
                  </pic:nvPicPr>
                  <pic:blipFill>
                    <a:blip r:embed="Recb608edf93e40ed">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505075" cy="885825"/>
                    </a:xfrm>
                    <a:prstGeom prst="rect">
                      <a:avLst/>
                    </a:prstGeom>
                  </pic:spPr>
                </pic:pic>
              </a:graphicData>
            </a:graphic>
          </wp:inline>
        </w:drawing>
      </w:r>
    </w:p>
    <w:p w:rsidRPr="003A746C" w:rsidR="008A0BE8" w:rsidP="00B10353" w:rsidRDefault="008A0BE8" w14:paraId="713E63F5" w14:textId="018DA31F">
      <w:pPr>
        <w:spacing w:after="18"/>
        <w:jc w:val="center"/>
        <w:rPr>
          <w:rFonts w:ascii="Arial" w:hAnsi="Arial" w:eastAsia="Times New Roman" w:cs="Arial"/>
          <w:color w:val="000000" w:themeColor="text1"/>
          <w:sz w:val="18"/>
          <w:szCs w:val="20"/>
          <w:lang w:eastAsia="es-CO"/>
        </w:rPr>
      </w:pPr>
    </w:p>
    <w:p w:rsidRPr="00F451DD" w:rsidR="00BA22A9" w:rsidP="00BA22A9" w:rsidRDefault="00BA22A9" w14:paraId="4004C20E" w14:textId="77777777">
      <w:pPr>
        <w:rPr>
          <w:rFonts w:ascii="Arial" w:hAnsi="Arial" w:cs="Arial"/>
          <w:color w:val="000000" w:themeColor="text1"/>
          <w:sz w:val="16"/>
          <w:szCs w:val="16"/>
        </w:rPr>
      </w:pPr>
    </w:p>
    <w:tbl>
      <w:tblPr>
        <w:tblStyle w:val="Tablaconcuadrcula"/>
        <w:tblpPr w:leftFromText="141" w:rightFromText="141" w:vertAnchor="text" w:horzAnchor="page" w:tblpX="1265" w:tblpY="1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445"/>
      </w:tblGrid>
      <w:tr w:rsidRPr="003A746C" w:rsidR="003A746C" w:rsidTr="008A0BE8" w14:paraId="02A3E25B" w14:textId="77777777">
        <w:trPr>
          <w:trHeight w:val="286"/>
        </w:trPr>
        <w:tc>
          <w:tcPr>
            <w:tcW w:w="817" w:type="dxa"/>
            <w:vAlign w:val="center"/>
          </w:tcPr>
          <w:p w:rsidRPr="003A746C" w:rsidR="008A0BE8" w:rsidP="008A0BE8" w:rsidRDefault="008A0BE8" w14:paraId="22DCB2FF" w14:textId="77777777">
            <w:pPr>
              <w:rPr>
                <w:rFonts w:ascii="Arial" w:hAnsi="Arial" w:eastAsia="Times New Roman" w:cs="Arial"/>
                <w:color w:val="000000" w:themeColor="text1"/>
                <w:sz w:val="14"/>
                <w:szCs w:val="14"/>
                <w:lang w:eastAsia="es-ES"/>
              </w:rPr>
            </w:pPr>
            <w:r w:rsidRPr="003A746C">
              <w:rPr>
                <w:rFonts w:ascii="Arial" w:hAnsi="Arial" w:eastAsia="Times New Roman" w:cs="Arial"/>
                <w:color w:val="000000" w:themeColor="text1"/>
                <w:sz w:val="14"/>
                <w:szCs w:val="14"/>
                <w:lang w:eastAsia="es-ES"/>
              </w:rPr>
              <w:t>Elaboró:</w:t>
            </w:r>
          </w:p>
        </w:tc>
        <w:tc>
          <w:tcPr>
            <w:tcW w:w="4445" w:type="dxa"/>
            <w:tcBorders>
              <w:bottom w:val="dotted" w:color="7F7F7F" w:themeColor="text1" w:themeTint="80" w:sz="4" w:space="0"/>
            </w:tcBorders>
            <w:vAlign w:val="center"/>
          </w:tcPr>
          <w:p w:rsidRPr="003A746C" w:rsidR="008A0BE8" w:rsidP="008A0BE8" w:rsidRDefault="008A0BE8" w14:paraId="07CB9F48" w14:textId="77777777">
            <w:pPr>
              <w:rPr>
                <w:rFonts w:ascii="Arial" w:hAnsi="Arial" w:eastAsia="Times New Roman" w:cs="Arial"/>
                <w:color w:val="000000" w:themeColor="text1"/>
                <w:sz w:val="14"/>
                <w:szCs w:val="14"/>
                <w:lang w:eastAsia="es-ES"/>
              </w:rPr>
            </w:pPr>
            <w:r w:rsidRPr="003A746C">
              <w:rPr>
                <w:rFonts w:ascii="Arial" w:hAnsi="Arial" w:eastAsia="Times New Roman" w:cs="Arial"/>
                <w:color w:val="000000" w:themeColor="text1"/>
                <w:sz w:val="14"/>
                <w:szCs w:val="14"/>
                <w:lang w:eastAsia="es-ES"/>
              </w:rPr>
              <w:t>Alejandro Sarmiento Cantillo</w:t>
            </w:r>
          </w:p>
          <w:p w:rsidRPr="003A746C" w:rsidR="008A0BE8" w:rsidP="008A0BE8" w:rsidRDefault="008A0BE8" w14:paraId="29AA3AF0" w14:textId="77777777">
            <w:pPr>
              <w:rPr>
                <w:rFonts w:ascii="Arial" w:hAnsi="Arial" w:eastAsia="Times New Roman" w:cs="Arial"/>
                <w:color w:val="000000" w:themeColor="text1"/>
                <w:sz w:val="14"/>
                <w:szCs w:val="14"/>
                <w:lang w:eastAsia="es-ES"/>
              </w:rPr>
            </w:pPr>
            <w:r w:rsidRPr="003A746C">
              <w:rPr>
                <w:rFonts w:ascii="Arial" w:hAnsi="Arial" w:eastAsia="Times New Roman" w:cs="Arial"/>
                <w:color w:val="000000" w:themeColor="text1"/>
                <w:sz w:val="14"/>
                <w:szCs w:val="14"/>
                <w:lang w:eastAsia="es-ES"/>
              </w:rPr>
              <w:t>Contratista</w:t>
            </w:r>
          </w:p>
        </w:tc>
      </w:tr>
      <w:tr w:rsidRPr="003A746C" w:rsidR="003A746C" w:rsidTr="008A0BE8" w14:paraId="0CA35E64" w14:textId="77777777">
        <w:trPr>
          <w:trHeight w:val="299"/>
        </w:trPr>
        <w:tc>
          <w:tcPr>
            <w:tcW w:w="817" w:type="dxa"/>
            <w:vAlign w:val="center"/>
          </w:tcPr>
          <w:p w:rsidRPr="003A746C" w:rsidR="008A0BE8" w:rsidP="008A0BE8" w:rsidRDefault="008A0BE8" w14:paraId="642F7660" w14:textId="77777777">
            <w:pPr>
              <w:rPr>
                <w:rFonts w:ascii="Arial" w:hAnsi="Arial" w:eastAsia="Times New Roman" w:cs="Arial"/>
                <w:color w:val="000000" w:themeColor="text1"/>
                <w:sz w:val="14"/>
                <w:szCs w:val="14"/>
                <w:lang w:eastAsia="es-ES"/>
              </w:rPr>
            </w:pPr>
            <w:r w:rsidRPr="003A746C">
              <w:rPr>
                <w:rFonts w:ascii="Arial" w:hAnsi="Arial" w:eastAsia="Times New Roman" w:cs="Arial"/>
                <w:color w:val="000000" w:themeColor="text1"/>
                <w:sz w:val="14"/>
                <w:szCs w:val="14"/>
                <w:lang w:eastAsia="es-ES"/>
              </w:rPr>
              <w:t>Revisó:</w:t>
            </w:r>
          </w:p>
        </w:tc>
        <w:tc>
          <w:tcPr>
            <w:tcW w:w="4445" w:type="dxa"/>
            <w:tcBorders>
              <w:top w:val="dotted" w:color="7F7F7F" w:themeColor="text1" w:themeTint="80" w:sz="4" w:space="0"/>
              <w:bottom w:val="dotted" w:color="7F7F7F" w:themeColor="text1" w:themeTint="80" w:sz="4" w:space="0"/>
            </w:tcBorders>
            <w:vAlign w:val="center"/>
          </w:tcPr>
          <w:p w:rsidRPr="003A746C" w:rsidR="008A0BE8" w:rsidP="008A0BE8" w:rsidRDefault="00202B95" w14:paraId="0BDD3F5C" w14:textId="2612D906">
            <w:pPr>
              <w:rPr>
                <w:rFonts w:ascii="Arial" w:hAnsi="Arial" w:eastAsia="Times New Roman" w:cs="Arial"/>
                <w:color w:val="000000" w:themeColor="text1"/>
                <w:sz w:val="14"/>
                <w:szCs w:val="14"/>
                <w:lang w:eastAsia="es-ES"/>
              </w:rPr>
            </w:pPr>
            <w:r w:rsidRPr="003A746C">
              <w:rPr>
                <w:rFonts w:ascii="Arial" w:hAnsi="Arial" w:eastAsia="Times New Roman" w:cs="Arial"/>
                <w:color w:val="000000" w:themeColor="text1"/>
                <w:sz w:val="14"/>
                <w:szCs w:val="14"/>
                <w:lang w:eastAsia="es-ES"/>
              </w:rPr>
              <w:t>Sebastián Ramírez Grisales</w:t>
            </w:r>
          </w:p>
          <w:p w:rsidRPr="003A746C" w:rsidR="008A0BE8" w:rsidP="008A0BE8" w:rsidRDefault="00202B95" w14:paraId="41D467EA" w14:textId="2F6E13EA">
            <w:pPr>
              <w:rPr>
                <w:rFonts w:ascii="Arial" w:hAnsi="Arial" w:eastAsia="Times New Roman" w:cs="Arial"/>
                <w:color w:val="000000" w:themeColor="text1"/>
                <w:sz w:val="14"/>
                <w:szCs w:val="14"/>
                <w:lang w:eastAsia="es-ES"/>
              </w:rPr>
            </w:pPr>
            <w:r w:rsidRPr="003A746C">
              <w:rPr>
                <w:rFonts w:ascii="Arial" w:hAnsi="Arial" w:eastAsia="Times New Roman" w:cs="Arial"/>
                <w:color w:val="000000" w:themeColor="text1"/>
                <w:sz w:val="14"/>
                <w:szCs w:val="14"/>
                <w:lang w:eastAsia="es-ES"/>
              </w:rPr>
              <w:t>Contratista – Subdirección de</w:t>
            </w:r>
            <w:r w:rsidRPr="003A746C" w:rsidR="008A0BE8">
              <w:rPr>
                <w:rFonts w:ascii="Arial" w:hAnsi="Arial" w:eastAsia="Times New Roman" w:cs="Arial"/>
                <w:color w:val="000000" w:themeColor="text1"/>
                <w:sz w:val="14"/>
                <w:szCs w:val="14"/>
                <w:lang w:eastAsia="es-ES"/>
              </w:rPr>
              <w:t xml:space="preserve"> Gestión Contractual</w:t>
            </w:r>
          </w:p>
        </w:tc>
      </w:tr>
      <w:tr w:rsidRPr="003A746C" w:rsidR="003A746C" w:rsidTr="008A0BE8" w14:paraId="1C7A7BCC" w14:textId="77777777">
        <w:trPr>
          <w:trHeight w:val="272"/>
        </w:trPr>
        <w:tc>
          <w:tcPr>
            <w:tcW w:w="817" w:type="dxa"/>
            <w:vAlign w:val="center"/>
          </w:tcPr>
          <w:p w:rsidRPr="003A746C" w:rsidR="008A0BE8" w:rsidP="008A0BE8" w:rsidRDefault="008A0BE8" w14:paraId="7268E8C2" w14:textId="77777777">
            <w:pPr>
              <w:rPr>
                <w:rFonts w:ascii="Arial" w:hAnsi="Arial" w:eastAsia="Times New Roman" w:cs="Arial"/>
                <w:color w:val="000000" w:themeColor="text1"/>
                <w:sz w:val="14"/>
                <w:szCs w:val="14"/>
                <w:lang w:eastAsia="es-ES"/>
              </w:rPr>
            </w:pPr>
            <w:r w:rsidRPr="003A746C">
              <w:rPr>
                <w:rFonts w:ascii="Arial" w:hAnsi="Arial" w:eastAsia="Times New Roman" w:cs="Arial"/>
                <w:color w:val="000000" w:themeColor="text1"/>
                <w:sz w:val="14"/>
                <w:szCs w:val="14"/>
                <w:lang w:eastAsia="es-ES"/>
              </w:rPr>
              <w:t>Aprobó:</w:t>
            </w:r>
          </w:p>
        </w:tc>
        <w:tc>
          <w:tcPr>
            <w:tcW w:w="4445" w:type="dxa"/>
            <w:tcBorders>
              <w:top w:val="dotted" w:color="7F7F7F" w:themeColor="text1" w:themeTint="80" w:sz="4" w:space="0"/>
              <w:bottom w:val="dotted" w:color="7F7F7F" w:themeColor="text1" w:themeTint="80" w:sz="4" w:space="0"/>
            </w:tcBorders>
            <w:vAlign w:val="center"/>
          </w:tcPr>
          <w:p w:rsidRPr="003A746C" w:rsidR="008A0BE8" w:rsidP="008A0BE8" w:rsidRDefault="008A0BE8" w14:paraId="3DB650CA" w14:textId="77777777">
            <w:pPr>
              <w:rPr>
                <w:rFonts w:ascii="Arial" w:hAnsi="Arial" w:eastAsia="Times New Roman" w:cs="Arial"/>
                <w:color w:val="000000" w:themeColor="text1"/>
                <w:sz w:val="14"/>
                <w:szCs w:val="14"/>
                <w:lang w:eastAsia="es-ES"/>
              </w:rPr>
            </w:pPr>
            <w:r w:rsidRPr="003A746C">
              <w:rPr>
                <w:rFonts w:ascii="Arial" w:hAnsi="Arial" w:eastAsia="Times New Roman" w:cs="Arial"/>
                <w:color w:val="000000" w:themeColor="text1"/>
                <w:sz w:val="14"/>
                <w:szCs w:val="14"/>
                <w:lang w:eastAsia="es-ES"/>
              </w:rPr>
              <w:t>Fabián Gonzalo Marín Cortés</w:t>
            </w:r>
          </w:p>
          <w:p w:rsidRPr="003A746C" w:rsidR="008A0BE8" w:rsidP="008A0BE8" w:rsidRDefault="008A0BE8" w14:paraId="16462808" w14:textId="77777777">
            <w:pPr>
              <w:rPr>
                <w:rFonts w:ascii="Arial" w:hAnsi="Arial" w:eastAsia="Times New Roman" w:cs="Arial"/>
                <w:color w:val="000000" w:themeColor="text1"/>
                <w:sz w:val="14"/>
                <w:szCs w:val="14"/>
                <w:lang w:eastAsia="es-ES"/>
              </w:rPr>
            </w:pPr>
            <w:r w:rsidRPr="003A746C">
              <w:rPr>
                <w:rFonts w:ascii="Arial" w:hAnsi="Arial" w:eastAsia="Times New Roman" w:cs="Arial"/>
                <w:color w:val="000000" w:themeColor="text1"/>
                <w:sz w:val="14"/>
                <w:szCs w:val="14"/>
                <w:lang w:eastAsia="es-ES"/>
              </w:rPr>
              <w:t>Subdirector de Gestión Contractual</w:t>
            </w:r>
          </w:p>
        </w:tc>
      </w:tr>
    </w:tbl>
    <w:p w:rsidRPr="003A746C" w:rsidR="00746E08" w:rsidP="00746E08" w:rsidRDefault="00746E08" w14:paraId="35B56F46" w14:textId="77777777">
      <w:pPr>
        <w:rPr>
          <w:rFonts w:ascii="Arial" w:hAnsi="Arial" w:eastAsia="Times New Roman" w:cs="Arial"/>
          <w:color w:val="000000" w:themeColor="text1"/>
          <w:sz w:val="16"/>
          <w:szCs w:val="16"/>
          <w:lang w:eastAsia="es-ES"/>
        </w:rPr>
      </w:pPr>
    </w:p>
    <w:sectPr w:rsidRPr="003A746C" w:rsidR="00746E08" w:rsidSect="00015765">
      <w:headerReference w:type="default" r:id="rId12"/>
      <w:footerReference w:type="default" r:id="rId13"/>
      <w:pgSz w:w="12240" w:h="15840" w:orient="portrait"/>
      <w:pgMar w:top="1928" w:right="1701" w:bottom="1361"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4BE779" w16cex:dateUtc="2020-04-23T15:07:00Z"/>
  <w16cex:commentExtensible w16cex:durableId="224BE7E9" w16cex:dateUtc="2020-04-23T15:0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6903" w:rsidRDefault="00CD6903" w14:paraId="04CBA37D" w14:textId="77777777">
      <w:r>
        <w:separator/>
      </w:r>
    </w:p>
  </w:endnote>
  <w:endnote w:type="continuationSeparator" w:id="0">
    <w:p w:rsidR="00CD6903" w:rsidRDefault="00CD6903" w14:paraId="58FC7D9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altName w:val="CID Font+ F"/>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A43FA8" w:rsidP="00322937" w:rsidRDefault="00A43FA8" w14:paraId="62F02A34" w14:textId="77777777">
    <w:pPr>
      <w:pStyle w:val="Sinespaciado"/>
      <w:jc w:val="right"/>
      <w:rPr>
        <w:rFonts w:ascii="Arial" w:hAnsi="Arial" w:cs="Arial"/>
        <w:sz w:val="18"/>
        <w:szCs w:val="18"/>
      </w:rPr>
    </w:pPr>
  </w:p>
  <w:p w:rsidRPr="008217B7" w:rsidR="00A43FA8" w:rsidP="00FE42ED" w:rsidRDefault="00A43FA8"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rsidR="00A43FA8" w:rsidP="00322937" w:rsidRDefault="00A43FA8" w14:paraId="48FC6A04" w14:textId="5FD1A7C9">
    <w:pPr>
      <w:pStyle w:val="Piedepgina"/>
      <w:jc w:val="center"/>
      <w:rPr>
        <w:lang w:val="es-ES"/>
      </w:rPr>
    </w:pPr>
    <w:r w:rsidR="4460810D">
      <w:drawing>
        <wp:inline wp14:editId="799BE61E" wp14:anchorId="608B196D">
          <wp:extent cx="3700130" cy="519139"/>
          <wp:effectExtent l="0" t="0" r="0" b="0"/>
          <wp:docPr id="2032585573" name="Imagen 3" title=""/>
          <wp:cNvGraphicFramePr>
            <a:graphicFrameLocks noChangeAspect="1"/>
          </wp:cNvGraphicFramePr>
          <a:graphic>
            <a:graphicData uri="http://schemas.openxmlformats.org/drawingml/2006/picture">
              <pic:pic>
                <pic:nvPicPr>
                  <pic:cNvPr id="0" name="Imagen 3"/>
                  <pic:cNvPicPr/>
                </pic:nvPicPr>
                <pic:blipFill>
                  <a:blip r:embed="Rd24446a8b69e434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A43FA8" w:rsidP="007B0854" w:rsidRDefault="00A43FA8" w14:paraId="5D0E988C" w14:textId="77777777">
    <w:pPr>
      <w:pStyle w:val="Piedepgina"/>
      <w:jc w:val="center"/>
      <w:rPr>
        <w:lang w:val="es-ES"/>
      </w:rPr>
    </w:pPr>
  </w:p>
  <w:p w:rsidRPr="007B0854" w:rsidR="00A43FA8" w:rsidP="007B0854" w:rsidRDefault="00A43FA8"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6903" w:rsidRDefault="00CD6903" w14:paraId="71A57394" w14:textId="77777777">
      <w:r>
        <w:separator/>
      </w:r>
    </w:p>
  </w:footnote>
  <w:footnote w:type="continuationSeparator" w:id="0">
    <w:p w:rsidR="00CD6903" w:rsidRDefault="00CD6903" w14:paraId="5C870A80" w14:textId="77777777">
      <w:r>
        <w:continuationSeparator/>
      </w:r>
    </w:p>
  </w:footnote>
  <w:footnote w:id="1">
    <w:p w:rsidRPr="003A746C" w:rsidR="00CF2738" w:rsidP="00CF2738" w:rsidRDefault="00CF2738" w14:paraId="101983BB" w14:textId="77777777">
      <w:pPr>
        <w:pStyle w:val="Textonotapie"/>
        <w:ind w:firstLine="709"/>
        <w:jc w:val="both"/>
        <w:rPr>
          <w:rFonts w:ascii="Arial" w:hAnsi="Arial" w:cs="Arial"/>
          <w:color w:val="000000" w:themeColor="text1"/>
          <w:sz w:val="18"/>
          <w:szCs w:val="18"/>
          <w:lang w:val="es-ES"/>
        </w:rPr>
      </w:pPr>
      <w:r w:rsidRPr="003A746C">
        <w:rPr>
          <w:rStyle w:val="Refdenotaalpie"/>
          <w:rFonts w:ascii="Arial" w:hAnsi="Arial" w:cs="Arial"/>
          <w:color w:val="000000" w:themeColor="text1"/>
          <w:sz w:val="18"/>
          <w:szCs w:val="18"/>
        </w:rPr>
        <w:footnoteRef/>
      </w:r>
      <w:r w:rsidRPr="003A746C">
        <w:rPr>
          <w:rFonts w:ascii="Arial" w:hAnsi="Arial" w:cs="Arial"/>
          <w:color w:val="000000" w:themeColor="text1"/>
          <w:sz w:val="18"/>
          <w:szCs w:val="18"/>
        </w:rPr>
        <w:t xml:space="preserve"> </w:t>
      </w:r>
      <w:r w:rsidRPr="003A746C">
        <w:rPr>
          <w:rFonts w:ascii="Arial" w:hAnsi="Arial" w:cs="Arial"/>
          <w:color w:val="000000" w:themeColor="text1"/>
          <w:sz w:val="18"/>
          <w:szCs w:val="18"/>
          <w:lang w:val="es-ES"/>
        </w:rPr>
        <w:t>Al respecto, conviene recordar el artículo 29 de la Ley 80 de 1993, derogado por el artículo 32 de la Ley 1150 de 2007, que establecía: «La selección de contratistas será objetiva.</w:t>
      </w:r>
    </w:p>
    <w:p w:rsidRPr="003A746C" w:rsidR="00CF2738" w:rsidP="00CF2738" w:rsidRDefault="00CF2738" w14:paraId="3DDF4791" w14:textId="77777777">
      <w:pPr>
        <w:pStyle w:val="Textonotapie"/>
        <w:ind w:firstLine="709"/>
        <w:jc w:val="both"/>
        <w:rPr>
          <w:rFonts w:ascii="Arial" w:hAnsi="Arial" w:cs="Arial"/>
          <w:color w:val="000000" w:themeColor="text1"/>
          <w:sz w:val="18"/>
          <w:szCs w:val="18"/>
          <w:lang w:val="es-ES"/>
        </w:rPr>
      </w:pPr>
      <w:proofErr w:type="gramStart"/>
      <w:r w:rsidRPr="003A746C">
        <w:rPr>
          <w:rFonts w:ascii="Arial" w:hAnsi="Arial" w:cs="Arial"/>
          <w:color w:val="000000" w:themeColor="text1"/>
          <w:sz w:val="18"/>
          <w:szCs w:val="18"/>
          <w:lang w:val="es-ES"/>
        </w:rPr>
        <w:t>»Es</w:t>
      </w:r>
      <w:proofErr w:type="gramEnd"/>
      <w:r w:rsidRPr="003A746C">
        <w:rPr>
          <w:rFonts w:ascii="Arial" w:hAnsi="Arial" w:cs="Arial"/>
          <w:color w:val="000000" w:themeColor="text1"/>
          <w:sz w:val="18"/>
          <w:szCs w:val="18"/>
          <w:lang w:val="es-ES"/>
        </w:rPr>
        <w:t xml:space="preserve"> objetiva la selección en la cual la escogencia se hace al ofrecimiento más favorable a la entidad y a los fines que ella busca, sin tener en consideración factores de afecto o de interés y, en general, cualquier clase de motivación subjetiva.</w:t>
      </w:r>
    </w:p>
    <w:p w:rsidRPr="003A746C" w:rsidR="00CF2738" w:rsidP="00CF2738" w:rsidRDefault="00CF2738" w14:paraId="39C96D14" w14:textId="77777777">
      <w:pPr>
        <w:pStyle w:val="Textonotapie"/>
        <w:ind w:firstLine="709"/>
        <w:jc w:val="both"/>
        <w:rPr>
          <w:rFonts w:ascii="Arial" w:hAnsi="Arial" w:cs="Arial"/>
          <w:color w:val="000000" w:themeColor="text1"/>
          <w:sz w:val="18"/>
          <w:szCs w:val="18"/>
          <w:lang w:val="es-ES"/>
        </w:rPr>
      </w:pPr>
      <w:r w:rsidRPr="003A746C">
        <w:rPr>
          <w:rFonts w:ascii="Arial" w:hAnsi="Arial" w:cs="Arial"/>
          <w:color w:val="000000" w:themeColor="text1"/>
          <w:sz w:val="18"/>
          <w:szCs w:val="18"/>
          <w:lang w:val="es-ES"/>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3A746C">
        <w:rPr>
          <w:rFonts w:ascii="Arial" w:hAnsi="Arial" w:cs="Arial"/>
          <w:color w:val="000000" w:themeColor="text1"/>
          <w:sz w:val="18"/>
          <w:szCs w:val="18"/>
          <w:lang w:val="es-ES"/>
        </w:rPr>
        <w:t>pliegos,</w:t>
      </w:r>
      <w:proofErr w:type="gramEnd"/>
      <w:r w:rsidRPr="003A746C">
        <w:rPr>
          <w:rFonts w:ascii="Arial" w:hAnsi="Arial" w:cs="Arial"/>
          <w:color w:val="000000" w:themeColor="text1"/>
          <w:sz w:val="18"/>
          <w:szCs w:val="18"/>
          <w:lang w:val="es-ES"/>
        </w:rPr>
        <w:t xml:space="preserve"> no será objeto de evaluación».</w:t>
      </w:r>
    </w:p>
    <w:p w:rsidRPr="003A746C" w:rsidR="00CF2738" w:rsidP="00CF2738" w:rsidRDefault="00CF2738" w14:paraId="7F6A6537" w14:textId="77777777">
      <w:pPr>
        <w:pStyle w:val="Textonotapie"/>
        <w:ind w:firstLine="709"/>
        <w:jc w:val="both"/>
        <w:rPr>
          <w:rFonts w:ascii="Arial" w:hAnsi="Arial" w:cs="Arial"/>
          <w:color w:val="000000" w:themeColor="text1"/>
          <w:sz w:val="18"/>
          <w:szCs w:val="18"/>
          <w:lang w:val="es-ES"/>
        </w:rPr>
      </w:pPr>
      <w:proofErr w:type="gramStart"/>
      <w:r w:rsidRPr="003A746C">
        <w:rPr>
          <w:rFonts w:ascii="Arial" w:hAnsi="Arial" w:cs="Arial"/>
          <w:color w:val="000000" w:themeColor="text1"/>
          <w:sz w:val="18"/>
          <w:szCs w:val="18"/>
          <w:lang w:val="es-ES"/>
        </w:rPr>
        <w:t>»El</w:t>
      </w:r>
      <w:proofErr w:type="gramEnd"/>
      <w:r w:rsidRPr="003A746C">
        <w:rPr>
          <w:rFonts w:ascii="Arial" w:hAnsi="Arial" w:cs="Arial"/>
          <w:color w:val="000000" w:themeColor="text1"/>
          <w:sz w:val="18"/>
          <w:szCs w:val="18"/>
          <w:lang w:val="es-ES"/>
        </w:rPr>
        <w:t xml:space="preserve">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rsidRPr="003A746C" w:rsidR="00CF2738" w:rsidP="00CF2738" w:rsidRDefault="00CF2738" w14:paraId="2FB9DDBA" w14:textId="77777777">
      <w:pPr>
        <w:pStyle w:val="Textonotapie"/>
        <w:ind w:firstLine="709"/>
        <w:jc w:val="both"/>
        <w:rPr>
          <w:rFonts w:ascii="Arial" w:hAnsi="Arial" w:cs="Arial"/>
          <w:color w:val="000000" w:themeColor="text1"/>
          <w:sz w:val="18"/>
          <w:szCs w:val="18"/>
          <w:lang w:val="es-ES"/>
        </w:rPr>
      </w:pPr>
      <w:proofErr w:type="gramStart"/>
      <w:r w:rsidRPr="003A746C">
        <w:rPr>
          <w:rFonts w:ascii="Arial" w:hAnsi="Arial" w:cs="Arial"/>
          <w:color w:val="000000" w:themeColor="text1"/>
          <w:sz w:val="18"/>
          <w:szCs w:val="18"/>
          <w:lang w:val="es-ES"/>
        </w:rPr>
        <w:t>»En</w:t>
      </w:r>
      <w:proofErr w:type="gramEnd"/>
      <w:r w:rsidRPr="003A746C">
        <w:rPr>
          <w:rFonts w:ascii="Arial" w:hAnsi="Arial" w:cs="Arial"/>
          <w:color w:val="000000" w:themeColor="text1"/>
          <w:sz w:val="18"/>
          <w:szCs w:val="18"/>
          <w:lang w:val="es-ES"/>
        </w:rPr>
        <w:t xml:space="preserve"> caso de comparación de propuestas nacionales y extranjeras, se incluirán los costos necesarios para la entrega del producto terminado en el lugar de su utilización».</w:t>
      </w:r>
    </w:p>
  </w:footnote>
  <w:footnote w:id="2">
    <w:p w:rsidRPr="003A746C" w:rsidR="00CF2738" w:rsidP="00CF2738" w:rsidRDefault="00CF2738" w14:paraId="087BEE08" w14:textId="77777777">
      <w:pPr>
        <w:pStyle w:val="Textonotapie"/>
        <w:ind w:firstLine="709"/>
        <w:jc w:val="both"/>
        <w:rPr>
          <w:rFonts w:ascii="Arial" w:hAnsi="Arial" w:cs="Arial"/>
          <w:color w:val="000000" w:themeColor="text1"/>
          <w:sz w:val="18"/>
          <w:szCs w:val="18"/>
          <w:lang w:val="es-ES"/>
        </w:rPr>
      </w:pPr>
      <w:r w:rsidRPr="003A746C">
        <w:rPr>
          <w:rStyle w:val="Refdenotaalpie"/>
          <w:rFonts w:ascii="Arial" w:hAnsi="Arial" w:cs="Arial"/>
          <w:color w:val="000000" w:themeColor="text1"/>
          <w:sz w:val="18"/>
          <w:szCs w:val="18"/>
        </w:rPr>
        <w:footnoteRef/>
      </w:r>
      <w:r w:rsidRPr="003A746C">
        <w:rPr>
          <w:rFonts w:ascii="Arial" w:hAnsi="Arial" w:cs="Arial"/>
          <w:color w:val="000000" w:themeColor="text1"/>
          <w:sz w:val="18"/>
          <w:szCs w:val="18"/>
        </w:rPr>
        <w:t xml:space="preserve"> Consejo de Estado. Sección Tercera. Subsección A. Sentencia del 25 de octubre de 2019. </w:t>
      </w:r>
      <w:proofErr w:type="spellStart"/>
      <w:r w:rsidRPr="003A746C">
        <w:rPr>
          <w:rFonts w:ascii="Arial" w:hAnsi="Arial" w:cs="Arial"/>
          <w:color w:val="000000" w:themeColor="text1"/>
          <w:sz w:val="18"/>
          <w:szCs w:val="18"/>
        </w:rPr>
        <w:t>Exp</w:t>
      </w:r>
      <w:proofErr w:type="spellEnd"/>
      <w:r w:rsidRPr="003A746C">
        <w:rPr>
          <w:rFonts w:ascii="Arial" w:hAnsi="Arial" w:cs="Arial"/>
          <w:color w:val="000000" w:themeColor="text1"/>
          <w:sz w:val="18"/>
          <w:szCs w:val="18"/>
        </w:rPr>
        <w:t>. 39.945. Consejera Ponente: María Adriana Marín.</w:t>
      </w:r>
    </w:p>
  </w:footnote>
  <w:footnote w:id="3">
    <w:p w:rsidRPr="003A746C" w:rsidR="00CF2738" w:rsidP="00CF2738" w:rsidRDefault="00CF2738" w14:paraId="15676AFF" w14:textId="77777777">
      <w:pPr>
        <w:pStyle w:val="Textonotapie"/>
        <w:ind w:firstLine="709"/>
        <w:jc w:val="both"/>
        <w:rPr>
          <w:rFonts w:ascii="Arial" w:hAnsi="Arial" w:cs="Arial"/>
          <w:color w:val="000000" w:themeColor="text1"/>
          <w:sz w:val="18"/>
          <w:szCs w:val="18"/>
        </w:rPr>
      </w:pPr>
    </w:p>
    <w:p w:rsidRPr="003A746C" w:rsidR="00CF2738" w:rsidP="00CF2738" w:rsidRDefault="00CF2738" w14:paraId="3B80740E" w14:textId="77777777">
      <w:pPr>
        <w:pStyle w:val="Textonotapie"/>
        <w:ind w:firstLine="709"/>
        <w:jc w:val="both"/>
        <w:rPr>
          <w:rFonts w:ascii="Arial" w:hAnsi="Arial" w:cs="Arial"/>
          <w:color w:val="000000" w:themeColor="text1"/>
          <w:sz w:val="18"/>
          <w:szCs w:val="18"/>
          <w:lang w:val="es-ES"/>
        </w:rPr>
      </w:pPr>
      <w:r w:rsidRPr="003A746C">
        <w:rPr>
          <w:rStyle w:val="Refdenotaalpie"/>
          <w:rFonts w:ascii="Arial" w:hAnsi="Arial" w:cs="Arial"/>
          <w:color w:val="000000" w:themeColor="text1"/>
          <w:sz w:val="18"/>
          <w:szCs w:val="18"/>
        </w:rPr>
        <w:footnoteRef/>
      </w:r>
      <w:r w:rsidRPr="003A746C">
        <w:rPr>
          <w:rStyle w:val="Refdenotaalpie"/>
          <w:rFonts w:ascii="Arial" w:hAnsi="Arial" w:cs="Arial"/>
          <w:color w:val="000000" w:themeColor="text1"/>
          <w:sz w:val="18"/>
          <w:szCs w:val="18"/>
        </w:rPr>
        <w:t xml:space="preserve"> </w:t>
      </w:r>
      <w:r w:rsidRPr="003A746C">
        <w:rPr>
          <w:rFonts w:ascii="Arial" w:hAnsi="Arial" w:cs="Arial"/>
          <w:color w:val="000000" w:themeColor="text1"/>
          <w:sz w:val="18"/>
          <w:szCs w:val="18"/>
        </w:rPr>
        <w:t xml:space="preserve">Consejo de Estado. Sección Tercera. Subsección A. Sentencia del 5 de julio de 2018. </w:t>
      </w:r>
      <w:proofErr w:type="spellStart"/>
      <w:r w:rsidRPr="003A746C">
        <w:rPr>
          <w:rFonts w:ascii="Arial" w:hAnsi="Arial" w:cs="Arial"/>
          <w:color w:val="000000" w:themeColor="text1"/>
          <w:sz w:val="18"/>
          <w:szCs w:val="18"/>
        </w:rPr>
        <w:t>Exp</w:t>
      </w:r>
      <w:proofErr w:type="spellEnd"/>
      <w:r w:rsidRPr="003A746C">
        <w:rPr>
          <w:rFonts w:ascii="Arial" w:hAnsi="Arial" w:cs="Arial"/>
          <w:color w:val="000000" w:themeColor="text1"/>
          <w:sz w:val="18"/>
          <w:szCs w:val="18"/>
        </w:rPr>
        <w:t>. 37.834. Consejero Ponente: Carlos Alberto Zambrano Barrera.</w:t>
      </w:r>
    </w:p>
  </w:footnote>
  <w:footnote w:id="4">
    <w:p w:rsidRPr="003A746C" w:rsidR="00CF2738" w:rsidP="00CF2738" w:rsidRDefault="00CF2738" w14:paraId="49F11880" w14:textId="77777777">
      <w:pPr>
        <w:pStyle w:val="Textonotapie"/>
        <w:ind w:firstLine="709"/>
        <w:jc w:val="both"/>
        <w:rPr>
          <w:rFonts w:ascii="Arial" w:hAnsi="Arial" w:cs="Arial"/>
          <w:color w:val="000000" w:themeColor="text1"/>
          <w:sz w:val="19"/>
          <w:szCs w:val="19"/>
        </w:rPr>
      </w:pPr>
      <w:r w:rsidRPr="003A746C">
        <w:rPr>
          <w:rStyle w:val="Refdenotaalpie"/>
          <w:rFonts w:ascii="Arial" w:hAnsi="Arial" w:cs="Arial"/>
          <w:color w:val="000000" w:themeColor="text1"/>
          <w:sz w:val="19"/>
          <w:szCs w:val="19"/>
        </w:rPr>
        <w:footnoteRef/>
      </w:r>
      <w:r w:rsidRPr="003A746C">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rsidRPr="003A746C" w:rsidR="00CF2738" w:rsidP="00CF2738" w:rsidRDefault="00CF2738" w14:paraId="4145B10E" w14:textId="77777777">
      <w:pPr>
        <w:pStyle w:val="Textonotapie"/>
        <w:ind w:firstLine="709"/>
        <w:jc w:val="both"/>
        <w:rPr>
          <w:rFonts w:ascii="Arial" w:hAnsi="Arial" w:cs="Arial"/>
          <w:b/>
          <w:color w:val="000000" w:themeColor="text1"/>
          <w:sz w:val="19"/>
          <w:szCs w:val="19"/>
        </w:rPr>
      </w:pPr>
    </w:p>
  </w:footnote>
  <w:footnote w:id="5">
    <w:p w:rsidRPr="003A746C" w:rsidR="00CF2738" w:rsidP="00CF2738" w:rsidRDefault="00CF2738" w14:paraId="29A635A9" w14:textId="77777777">
      <w:pPr>
        <w:pStyle w:val="Textonotapie"/>
        <w:ind w:firstLine="709"/>
        <w:jc w:val="both"/>
        <w:rPr>
          <w:rFonts w:ascii="Arial" w:hAnsi="Arial" w:cs="Arial"/>
          <w:color w:val="000000" w:themeColor="text1"/>
          <w:sz w:val="19"/>
          <w:szCs w:val="19"/>
        </w:rPr>
      </w:pPr>
      <w:r w:rsidRPr="003A746C">
        <w:rPr>
          <w:rStyle w:val="Refdenotaalpie"/>
          <w:rFonts w:ascii="Arial" w:hAnsi="Arial" w:cs="Arial"/>
          <w:color w:val="000000" w:themeColor="text1"/>
          <w:sz w:val="19"/>
          <w:szCs w:val="19"/>
        </w:rPr>
        <w:footnoteRef/>
      </w:r>
      <w:r w:rsidRPr="003A746C">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rsidRPr="003A746C" w:rsidR="00CF2738" w:rsidP="00CF2738" w:rsidRDefault="00CF2738" w14:paraId="68656A7C" w14:textId="77777777">
      <w:pPr>
        <w:pStyle w:val="Textonotapie"/>
        <w:ind w:firstLine="709"/>
        <w:jc w:val="both"/>
        <w:rPr>
          <w:rFonts w:ascii="Arial" w:hAnsi="Arial" w:cs="Arial"/>
          <w:color w:val="000000" w:themeColor="text1"/>
          <w:sz w:val="19"/>
          <w:szCs w:val="19"/>
        </w:rPr>
      </w:pPr>
      <w:r w:rsidRPr="003A746C">
        <w:rPr>
          <w:rStyle w:val="Refdenotaalpie"/>
          <w:rFonts w:ascii="Arial" w:hAnsi="Arial" w:cs="Arial"/>
          <w:color w:val="000000" w:themeColor="text1"/>
          <w:sz w:val="19"/>
          <w:szCs w:val="19"/>
        </w:rPr>
        <w:footnoteRef/>
      </w:r>
      <w:r w:rsidRPr="003A746C">
        <w:rPr>
          <w:rFonts w:ascii="Arial" w:hAnsi="Arial" w:cs="Arial"/>
          <w:color w:val="000000" w:themeColor="text1"/>
          <w:sz w:val="19"/>
          <w:szCs w:val="19"/>
        </w:rPr>
        <w:t xml:space="preserve"> Consejo de Estado. Sección Tercera, Subsección C. Sentencia del 26 de febrero de 2014. C.P. Enrique Gil Botero, Rad. 1999-00113-01 (25.804). </w:t>
      </w:r>
    </w:p>
  </w:footnote>
  <w:footnote w:id="7">
    <w:p w:rsidRPr="003A746C" w:rsidR="00CF2738" w:rsidP="00CF2738" w:rsidRDefault="00CF2738" w14:paraId="15B30BF0" w14:textId="77777777">
      <w:pPr>
        <w:pStyle w:val="Textonotapie"/>
        <w:ind w:firstLine="709"/>
        <w:jc w:val="both"/>
        <w:rPr>
          <w:rFonts w:ascii="Arial" w:hAnsi="Arial" w:cs="Arial"/>
          <w:color w:val="000000" w:themeColor="text1"/>
          <w:sz w:val="19"/>
          <w:szCs w:val="19"/>
          <w:lang w:val="es-CO"/>
        </w:rPr>
      </w:pPr>
      <w:r w:rsidRPr="003A746C">
        <w:rPr>
          <w:rStyle w:val="Refdenotaalpie"/>
          <w:rFonts w:ascii="Arial" w:hAnsi="Arial" w:cs="Arial"/>
          <w:color w:val="000000" w:themeColor="text1"/>
          <w:sz w:val="19"/>
          <w:szCs w:val="19"/>
        </w:rPr>
        <w:footnoteRef/>
      </w:r>
      <w:r w:rsidRPr="003A746C">
        <w:rPr>
          <w:rStyle w:val="Refdenotaalpie"/>
          <w:rFonts w:ascii="Arial" w:hAnsi="Arial" w:cs="Arial"/>
          <w:color w:val="000000" w:themeColor="text1"/>
          <w:sz w:val="19"/>
          <w:szCs w:val="19"/>
        </w:rPr>
        <w:t xml:space="preserve"> </w:t>
      </w:r>
      <w:r w:rsidRPr="003A746C">
        <w:rPr>
          <w:rFonts w:ascii="Arial" w:hAnsi="Arial" w:cs="Arial"/>
          <w:color w:val="000000" w:themeColor="text1"/>
          <w:sz w:val="19"/>
          <w:szCs w:val="19"/>
          <w:lang w:val="es-CO"/>
        </w:rPr>
        <w:t>Ley 1150 de 2007, artículo 5, parágrafo 4°: «</w:t>
      </w:r>
      <w:r w:rsidRPr="003A746C">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8">
    <w:p w:rsidRPr="003A746C" w:rsidR="00CF2738" w:rsidP="00CF2738" w:rsidRDefault="00CF2738" w14:paraId="10DDB774" w14:textId="77777777">
      <w:pPr>
        <w:ind w:firstLine="708"/>
        <w:jc w:val="both"/>
        <w:rPr>
          <w:rFonts w:ascii="Arial" w:hAnsi="Arial" w:cs="Arial"/>
          <w:color w:val="000000" w:themeColor="text1"/>
          <w:sz w:val="21"/>
          <w:szCs w:val="21"/>
          <w:lang w:val="es-ES_tradnl"/>
        </w:rPr>
      </w:pPr>
      <w:r w:rsidRPr="003A746C">
        <w:rPr>
          <w:rStyle w:val="Refdenotaalpie"/>
          <w:color w:val="000000" w:themeColor="text1"/>
        </w:rPr>
        <w:footnoteRef/>
      </w:r>
      <w:r w:rsidRPr="003A746C">
        <w:rPr>
          <w:color w:val="000000" w:themeColor="text1"/>
        </w:rPr>
        <w:t xml:space="preserve"> </w:t>
      </w:r>
      <w:r w:rsidRPr="003A746C">
        <w:rPr>
          <w:rFonts w:ascii="Arial" w:hAnsi="Arial" w:cs="Arial"/>
          <w:color w:val="000000" w:themeColor="text1"/>
          <w:sz w:val="21"/>
          <w:szCs w:val="21"/>
          <w:lang w:val="es-ES_tradnl"/>
        </w:rPr>
        <w:t>El parágrafo original de la Ley 1150 de 2007 establecía: «Parágrafo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3A746C">
        <w:rPr>
          <w:rFonts w:ascii="Arial" w:hAnsi="Arial" w:cs="Arial"/>
          <w:b/>
          <w:color w:val="000000" w:themeColor="text1"/>
          <w:sz w:val="21"/>
          <w:szCs w:val="21"/>
          <w:lang w:val="es-ES_tradnl"/>
        </w:rPr>
        <w:t xml:space="preserve">, </w:t>
      </w:r>
      <w:r w:rsidRPr="003A746C">
        <w:rPr>
          <w:rFonts w:ascii="Arial" w:hAnsi="Arial" w:cs="Arial"/>
          <w:color w:val="000000" w:themeColor="text1"/>
          <w:sz w:val="21"/>
          <w:szCs w:val="21"/>
          <w:lang w:val="es-ES_tradnl"/>
        </w:rPr>
        <w:t xml:space="preserve">todos aquellos requisitos de la propuesta que no afecten la asignación de </w:t>
      </w:r>
      <w:proofErr w:type="gramStart"/>
      <w:r w:rsidRPr="003A746C">
        <w:rPr>
          <w:rFonts w:ascii="Arial" w:hAnsi="Arial" w:cs="Arial"/>
          <w:color w:val="000000" w:themeColor="text1"/>
          <w:sz w:val="21"/>
          <w:szCs w:val="21"/>
          <w:lang w:val="es-ES_tradnl"/>
        </w:rPr>
        <w:t>puntaje,</w:t>
      </w:r>
      <w:proofErr w:type="gramEnd"/>
      <w:r w:rsidRPr="003A746C">
        <w:rPr>
          <w:rFonts w:ascii="Arial" w:hAnsi="Arial" w:cs="Arial"/>
          <w:color w:val="000000" w:themeColor="text1"/>
          <w:sz w:val="21"/>
          <w:szCs w:val="21"/>
          <w:lang w:val="es-ES_tradnl"/>
        </w:rPr>
        <w:t xml:space="preserve"> podrán ser solicitados por las entidades en cualquier momento, hasta la adjudicación. </w:t>
      </w:r>
      <w:r w:rsidRPr="003A746C">
        <w:rPr>
          <w:rFonts w:ascii="Arial" w:hAnsi="Arial" w:cs="Arial"/>
          <w:i/>
          <w:iCs/>
          <w:color w:val="000000" w:themeColor="text1"/>
          <w:sz w:val="21"/>
          <w:szCs w:val="21"/>
          <w:lang w:val="es-ES_tradnl"/>
        </w:rPr>
        <w:t xml:space="preserve">No </w:t>
      </w:r>
      <w:proofErr w:type="gramStart"/>
      <w:r w:rsidRPr="003A746C">
        <w:rPr>
          <w:rFonts w:ascii="Arial" w:hAnsi="Arial" w:cs="Arial"/>
          <w:i/>
          <w:iCs/>
          <w:color w:val="000000" w:themeColor="text1"/>
          <w:sz w:val="21"/>
          <w:szCs w:val="21"/>
          <w:lang w:val="es-ES_tradnl"/>
        </w:rPr>
        <w:t>obstante</w:t>
      </w:r>
      <w:proofErr w:type="gramEnd"/>
      <w:r w:rsidRPr="003A746C">
        <w:rPr>
          <w:rFonts w:ascii="Arial" w:hAnsi="Arial" w:cs="Arial"/>
          <w:i/>
          <w:iCs/>
          <w:color w:val="000000" w:themeColor="text1"/>
          <w:sz w:val="21"/>
          <w:szCs w:val="21"/>
          <w:lang w:val="es-ES_tradnl"/>
        </w:rPr>
        <w:t xml:space="preserve"> lo anterior, en aquellos procesos de selección en los que se utilice el mecanismo de subasta, </w:t>
      </w:r>
      <w:r w:rsidRPr="003A746C">
        <w:rPr>
          <w:rFonts w:ascii="Arial" w:hAnsi="Arial" w:cs="Arial"/>
          <w:i/>
          <w:iCs/>
          <w:color w:val="000000" w:themeColor="text1"/>
          <w:sz w:val="21"/>
          <w:szCs w:val="21"/>
          <w:u w:val="single"/>
          <w:lang w:val="es-ES_tradnl"/>
        </w:rPr>
        <w:t>deberán ser solicitados hasta el momento previo a su realización»</w:t>
      </w:r>
      <w:r w:rsidRPr="003A746C">
        <w:rPr>
          <w:rFonts w:ascii="Arial" w:hAnsi="Arial" w:cs="Arial"/>
          <w:color w:val="000000" w:themeColor="text1"/>
          <w:sz w:val="21"/>
          <w:szCs w:val="21"/>
          <w:lang w:val="es-ES_tradnl"/>
        </w:rPr>
        <w:t>. (Subraya y cursiva fuera del original).</w:t>
      </w:r>
    </w:p>
    <w:p w:rsidRPr="003A746C" w:rsidR="00CF2738" w:rsidP="00CF2738" w:rsidRDefault="00CF2738" w14:paraId="24D398A3" w14:textId="77777777">
      <w:pPr>
        <w:pStyle w:val="Textonotapie"/>
        <w:ind w:firstLine="708"/>
        <w:rPr>
          <w:color w:val="000000" w:themeColor="text1"/>
          <w:lang w:val="es-CO"/>
        </w:rPr>
      </w:pPr>
    </w:p>
  </w:footnote>
  <w:footnote w:id="9">
    <w:p w:rsidRPr="003A746C" w:rsidR="00CF2738" w:rsidP="00CF2738" w:rsidRDefault="00CF2738" w14:paraId="6493613B" w14:textId="77777777">
      <w:pPr>
        <w:pStyle w:val="Textonotapie"/>
        <w:ind w:firstLine="708"/>
        <w:jc w:val="both"/>
        <w:rPr>
          <w:rFonts w:ascii="Arial" w:hAnsi="Arial" w:cs="Arial"/>
          <w:color w:val="000000" w:themeColor="text1"/>
          <w:sz w:val="18"/>
          <w:szCs w:val="18"/>
        </w:rPr>
      </w:pPr>
      <w:r w:rsidRPr="003A746C">
        <w:rPr>
          <w:rStyle w:val="Refdenotaalpie"/>
          <w:rFonts w:ascii="Arial" w:hAnsi="Arial" w:cs="Arial"/>
          <w:color w:val="000000" w:themeColor="text1"/>
          <w:sz w:val="18"/>
          <w:szCs w:val="18"/>
        </w:rPr>
        <w:footnoteRef/>
      </w:r>
      <w:r w:rsidRPr="003A746C">
        <w:rPr>
          <w:rFonts w:ascii="Arial" w:hAnsi="Arial" w:cs="Arial"/>
          <w:color w:val="000000" w:themeColor="text1"/>
          <w:sz w:val="18"/>
          <w:szCs w:val="18"/>
        </w:rPr>
        <w:t xml:space="preserve"> Consejo de Estado. Sección Tercera. Sentencia del 12 de noviembre de 2014. C.P. Enrique Gil Botero. </w:t>
      </w:r>
      <w:proofErr w:type="spellStart"/>
      <w:r w:rsidRPr="003A746C">
        <w:rPr>
          <w:rFonts w:ascii="Arial" w:hAnsi="Arial" w:cs="Arial"/>
          <w:color w:val="000000" w:themeColor="text1"/>
          <w:sz w:val="18"/>
          <w:szCs w:val="18"/>
        </w:rPr>
        <w:t>Exp</w:t>
      </w:r>
      <w:proofErr w:type="spellEnd"/>
      <w:r w:rsidRPr="003A746C">
        <w:rPr>
          <w:rFonts w:ascii="Arial" w:hAnsi="Arial" w:cs="Arial"/>
          <w:color w:val="000000" w:themeColor="text1"/>
          <w:sz w:val="18"/>
          <w:szCs w:val="18"/>
        </w:rPr>
        <w:t xml:space="preserve">. 27.986. </w:t>
      </w:r>
    </w:p>
    <w:p w:rsidRPr="003A746C" w:rsidR="00CF2738" w:rsidP="00CF2738" w:rsidRDefault="00CF2738" w14:paraId="0506013C" w14:textId="77777777">
      <w:pPr>
        <w:pStyle w:val="Textonotapie"/>
        <w:ind w:firstLine="1"/>
        <w:rPr>
          <w:color w:val="000000" w:themeColor="text1"/>
          <w:lang w:val="es-CO"/>
        </w:rPr>
      </w:pPr>
    </w:p>
  </w:footnote>
  <w:footnote w:id="10">
    <w:p w:rsidRPr="003A746C" w:rsidR="00CF2738" w:rsidP="00CF2738" w:rsidRDefault="00CF2738" w14:paraId="526A0462" w14:textId="77777777">
      <w:pPr>
        <w:ind w:firstLine="709"/>
        <w:jc w:val="both"/>
        <w:rPr>
          <w:rFonts w:ascii="Arial" w:hAnsi="Arial" w:cs="Arial"/>
          <w:color w:val="000000" w:themeColor="text1"/>
          <w:sz w:val="19"/>
          <w:szCs w:val="19"/>
        </w:rPr>
      </w:pPr>
      <w:r w:rsidRPr="003A746C">
        <w:rPr>
          <w:rStyle w:val="Refdenotaalpie"/>
          <w:rFonts w:ascii="Arial" w:hAnsi="Arial" w:cs="Arial"/>
          <w:color w:val="000000" w:themeColor="text1"/>
          <w:sz w:val="19"/>
          <w:szCs w:val="19"/>
        </w:rPr>
        <w:footnoteRef/>
      </w:r>
      <w:r w:rsidRPr="003A746C">
        <w:rPr>
          <w:rFonts w:ascii="Arial" w:hAnsi="Arial" w:cs="Arial"/>
          <w:color w:val="000000" w:themeColor="text1"/>
          <w:sz w:val="19"/>
          <w:szCs w:val="19"/>
        </w:rPr>
        <w:t xml:space="preserve"> Decreto 2474 de 2008 (derogado): «art. 10. Reglas de </w:t>
      </w:r>
      <w:proofErr w:type="spellStart"/>
      <w:r w:rsidRPr="003A746C">
        <w:rPr>
          <w:rFonts w:ascii="Arial" w:hAnsi="Arial" w:cs="Arial"/>
          <w:color w:val="000000" w:themeColor="text1"/>
          <w:sz w:val="19"/>
          <w:szCs w:val="19"/>
        </w:rPr>
        <w:t>subsanabilidad</w:t>
      </w:r>
      <w:proofErr w:type="spellEnd"/>
      <w:r w:rsidRPr="003A746C">
        <w:rPr>
          <w:rFonts w:ascii="Arial" w:hAnsi="Arial" w:cs="Arial"/>
          <w:color w:val="000000" w:themeColor="text1"/>
          <w:sz w:val="19"/>
          <w:szCs w:val="19"/>
        </w:rPr>
        <w:t>.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w:tooltip="Haga clic para abrir TODA la Ley 1150 de 2007" w:history="1" r:id="rId1">
        <w:r w:rsidRPr="003A746C">
          <w:rPr>
            <w:rStyle w:val="Hipervnculo"/>
            <w:rFonts w:ascii="Arial" w:hAnsi="Arial" w:cs="Arial"/>
            <w:color w:val="000000" w:themeColor="text1"/>
            <w:sz w:val="19"/>
            <w:szCs w:val="19"/>
          </w:rPr>
          <w:t>Ley 1150 de 2007</w:t>
        </w:r>
      </w:hyperlink>
      <w:r w:rsidRPr="003A746C">
        <w:rPr>
          <w:rFonts w:ascii="Arial" w:hAnsi="Arial" w:cs="Arial"/>
          <w:color w:val="000000" w:themeColor="text1"/>
          <w:sz w:val="19"/>
          <w:szCs w:val="19"/>
        </w:rPr>
        <w:t> y en el presente decreto.</w:t>
      </w:r>
    </w:p>
    <w:p w:rsidRPr="003A746C" w:rsidR="00CF2738" w:rsidP="00CF2738" w:rsidRDefault="00CF2738" w14:paraId="4836F62C" w14:textId="77777777">
      <w:pPr>
        <w:ind w:firstLine="709"/>
        <w:jc w:val="both"/>
        <w:rPr>
          <w:rFonts w:ascii="Arial" w:hAnsi="Arial" w:cs="Arial"/>
          <w:color w:val="000000" w:themeColor="text1"/>
          <w:sz w:val="19"/>
          <w:szCs w:val="19"/>
        </w:rPr>
      </w:pPr>
      <w:proofErr w:type="gramStart"/>
      <w:r w:rsidRPr="003A746C">
        <w:rPr>
          <w:rFonts w:ascii="Arial" w:hAnsi="Arial" w:cs="Arial"/>
          <w:color w:val="000000" w:themeColor="text1"/>
          <w:sz w:val="19"/>
          <w:szCs w:val="19"/>
        </w:rPr>
        <w:t>»Tales</w:t>
      </w:r>
      <w:proofErr w:type="gramEnd"/>
      <w:r w:rsidRPr="003A746C">
        <w:rPr>
          <w:rFonts w:ascii="Arial" w:hAnsi="Arial" w:cs="Arial"/>
          <w:color w:val="000000" w:themeColor="text1"/>
          <w:sz w:val="19"/>
          <w:szCs w:val="19"/>
        </w:rPr>
        <w:t xml:space="preserve">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rsidRPr="003A746C" w:rsidR="00CF2738" w:rsidP="00CF2738" w:rsidRDefault="00CF2738" w14:paraId="7F8ED644" w14:textId="77777777">
      <w:pPr>
        <w:ind w:firstLine="709"/>
        <w:jc w:val="both"/>
        <w:rPr>
          <w:rFonts w:ascii="Arial" w:hAnsi="Arial" w:cs="Arial"/>
          <w:color w:val="000000" w:themeColor="text1"/>
          <w:sz w:val="19"/>
          <w:szCs w:val="19"/>
        </w:rPr>
      </w:pPr>
      <w:proofErr w:type="gramStart"/>
      <w:r w:rsidRPr="003A746C">
        <w:rPr>
          <w:rFonts w:ascii="Arial" w:hAnsi="Arial" w:cs="Arial"/>
          <w:color w:val="000000" w:themeColor="text1"/>
          <w:sz w:val="19"/>
          <w:szCs w:val="19"/>
        </w:rPr>
        <w:t>»Será</w:t>
      </w:r>
      <w:proofErr w:type="gramEnd"/>
      <w:r w:rsidRPr="003A746C">
        <w:rPr>
          <w:rFonts w:ascii="Arial" w:hAnsi="Arial" w:cs="Arial"/>
          <w:color w:val="000000" w:themeColor="text1"/>
          <w:sz w:val="19"/>
          <w:szCs w:val="19"/>
        </w:rPr>
        <w:t xml:space="preserve"> rechazada la oferta del proponente que dentro del término previsto en el pliego o en la solicitud, no responda al requerimiento que le haga la entidad para subsanarla.</w:t>
      </w:r>
    </w:p>
    <w:p w:rsidRPr="003A746C" w:rsidR="00CF2738" w:rsidP="00CF2738" w:rsidRDefault="00CF2738" w14:paraId="25BED834" w14:textId="77777777">
      <w:pPr>
        <w:ind w:firstLine="709"/>
        <w:jc w:val="both"/>
        <w:rPr>
          <w:rFonts w:ascii="Arial" w:hAnsi="Arial" w:cs="Arial"/>
          <w:color w:val="000000" w:themeColor="text1"/>
          <w:sz w:val="19"/>
          <w:szCs w:val="19"/>
        </w:rPr>
      </w:pPr>
      <w:proofErr w:type="gramStart"/>
      <w:r w:rsidRPr="003A746C">
        <w:rPr>
          <w:rFonts w:ascii="Arial" w:hAnsi="Arial" w:cs="Arial"/>
          <w:color w:val="000000" w:themeColor="text1"/>
          <w:sz w:val="19"/>
          <w:szCs w:val="19"/>
        </w:rPr>
        <w:t>»Cuando</w:t>
      </w:r>
      <w:proofErr w:type="gramEnd"/>
      <w:r w:rsidRPr="003A746C">
        <w:rPr>
          <w:rFonts w:ascii="Arial" w:hAnsi="Arial" w:cs="Arial"/>
          <w:color w:val="000000" w:themeColor="text1"/>
          <w:sz w:val="19"/>
          <w:szCs w:val="19"/>
        </w:rPr>
        <w:t xml:space="preserve"> se utilice el mecanismo de subasta esta posibilidad deberá ejercerse hasta el momento previo a su realización, de conformidad con el artículo 22 del presente decreto.</w:t>
      </w:r>
    </w:p>
    <w:p w:rsidRPr="003A746C" w:rsidR="00CF2738" w:rsidP="00CF2738" w:rsidRDefault="00CF2738" w14:paraId="25791324" w14:textId="77777777">
      <w:pPr>
        <w:ind w:firstLine="709"/>
        <w:jc w:val="both"/>
        <w:rPr>
          <w:rFonts w:ascii="Arial" w:hAnsi="Arial" w:cs="Arial"/>
          <w:color w:val="000000" w:themeColor="text1"/>
          <w:sz w:val="19"/>
          <w:szCs w:val="19"/>
        </w:rPr>
      </w:pPr>
      <w:proofErr w:type="gramStart"/>
      <w:r w:rsidRPr="003A746C">
        <w:rPr>
          <w:rFonts w:ascii="Arial" w:hAnsi="Arial" w:cs="Arial"/>
          <w:color w:val="000000" w:themeColor="text1"/>
          <w:sz w:val="19"/>
          <w:szCs w:val="19"/>
        </w:rPr>
        <w:t>»En</w:t>
      </w:r>
      <w:proofErr w:type="gramEnd"/>
      <w:r w:rsidRPr="003A746C">
        <w:rPr>
          <w:rFonts w:ascii="Arial" w:hAnsi="Arial" w:cs="Arial"/>
          <w:color w:val="000000" w:themeColor="text1"/>
          <w:sz w:val="19"/>
          <w:szCs w:val="19"/>
        </w:rPr>
        <w:t xml:space="preserve"> ningún caso la entidad podrá señalar taxativamente los requisitos o documentos subsanables o no subsanables en el pliego de condiciones, </w:t>
      </w:r>
      <w:r w:rsidRPr="003A746C">
        <w:rPr>
          <w:rFonts w:ascii="Arial" w:hAnsi="Arial" w:cs="Arial"/>
          <w:bCs/>
          <w:i/>
          <w:iCs/>
          <w:color w:val="000000" w:themeColor="text1"/>
          <w:sz w:val="19"/>
          <w:szCs w:val="19"/>
        </w:rPr>
        <w:t>ni permitir que se subsane la falta de capacidad para presentar la oferta, ni que se acrediten circunstancias ocurridas con posterioridad al cierre del proceso</w:t>
      </w:r>
      <w:r w:rsidRPr="003A746C">
        <w:rPr>
          <w:rFonts w:ascii="Arial" w:hAnsi="Arial" w:cs="Arial"/>
          <w:color w:val="000000" w:themeColor="text1"/>
          <w:sz w:val="19"/>
          <w:szCs w:val="19"/>
        </w:rPr>
        <w:t xml:space="preserve">». (Cursivas fuera de texto). </w:t>
      </w:r>
    </w:p>
    <w:p w:rsidRPr="003A746C" w:rsidR="00CF2738" w:rsidP="00CF2738" w:rsidRDefault="00CF2738" w14:paraId="30E01429" w14:textId="77777777">
      <w:pPr>
        <w:pStyle w:val="Textonotapie"/>
        <w:ind w:firstLine="709"/>
        <w:jc w:val="both"/>
        <w:rPr>
          <w:rFonts w:ascii="Arial" w:hAnsi="Arial" w:cs="Arial"/>
          <w:color w:val="000000" w:themeColor="text1"/>
          <w:sz w:val="19"/>
          <w:szCs w:val="19"/>
        </w:rPr>
      </w:pPr>
    </w:p>
  </w:footnote>
  <w:footnote w:id="11">
    <w:p w:rsidRPr="003A746C" w:rsidR="00CF2738" w:rsidP="00CF2738" w:rsidRDefault="00CF2738" w14:paraId="1F7238B2" w14:textId="77777777">
      <w:pPr>
        <w:pStyle w:val="Textonotapie"/>
        <w:ind w:firstLine="709"/>
        <w:jc w:val="both"/>
        <w:rPr>
          <w:rFonts w:ascii="Arial" w:hAnsi="Arial" w:cs="Arial"/>
          <w:color w:val="000000" w:themeColor="text1"/>
          <w:sz w:val="19"/>
          <w:szCs w:val="19"/>
          <w:lang w:val="es-CO"/>
        </w:rPr>
      </w:pPr>
      <w:r w:rsidRPr="003A746C">
        <w:rPr>
          <w:rStyle w:val="Refdenotaalpie"/>
          <w:rFonts w:ascii="Arial" w:hAnsi="Arial" w:cs="Arial"/>
          <w:color w:val="000000" w:themeColor="text1"/>
          <w:sz w:val="19"/>
          <w:szCs w:val="19"/>
        </w:rPr>
        <w:footnoteRef/>
      </w:r>
      <w:r w:rsidRPr="003A746C">
        <w:rPr>
          <w:rFonts w:ascii="Arial" w:hAnsi="Arial" w:cs="Arial"/>
          <w:color w:val="000000" w:themeColor="text1"/>
          <w:sz w:val="19"/>
          <w:szCs w:val="19"/>
        </w:rPr>
        <w:t xml:space="preserve"> </w:t>
      </w:r>
      <w:r w:rsidRPr="003A746C">
        <w:rPr>
          <w:rFonts w:ascii="Arial" w:hAnsi="Arial" w:cs="Arial"/>
          <w:color w:val="000000" w:themeColor="text1"/>
          <w:sz w:val="19"/>
          <w:szCs w:val="19"/>
          <w:lang w:val="es-CO"/>
        </w:rPr>
        <w:t>Consejo de Estado, Sala de Consulta y Servicio Civil, concepto del 6 de noviembre de 2008. C.P. William Zambrano Cetina. Rad. 2008-00079-00(1927).</w:t>
      </w:r>
    </w:p>
    <w:p w:rsidRPr="003A746C" w:rsidR="00CF2738" w:rsidP="00CF2738" w:rsidRDefault="00CF2738" w14:paraId="7BF5C94C" w14:textId="77777777">
      <w:pPr>
        <w:pStyle w:val="Textonotapie"/>
        <w:ind w:firstLine="709"/>
        <w:jc w:val="both"/>
        <w:rPr>
          <w:rFonts w:ascii="Arial" w:hAnsi="Arial" w:cs="Arial"/>
          <w:color w:val="000000" w:themeColor="text1"/>
          <w:sz w:val="19"/>
          <w:szCs w:val="19"/>
        </w:rPr>
      </w:pPr>
      <w:r w:rsidRPr="003A746C">
        <w:rPr>
          <w:rFonts w:ascii="Arial" w:hAnsi="Arial" w:cs="Arial"/>
          <w:color w:val="000000" w:themeColor="text1"/>
          <w:sz w:val="19"/>
          <w:szCs w:val="19"/>
        </w:rPr>
        <w:t xml:space="preserve">  </w:t>
      </w:r>
    </w:p>
  </w:footnote>
  <w:footnote w:id="12">
    <w:p w:rsidRPr="003A746C" w:rsidR="00CF2738" w:rsidP="00CF2738" w:rsidRDefault="00CF2738" w14:paraId="1F385123" w14:textId="77777777">
      <w:pPr>
        <w:pStyle w:val="Textonotapie"/>
        <w:ind w:firstLine="709"/>
        <w:jc w:val="both"/>
        <w:rPr>
          <w:rFonts w:ascii="Arial" w:hAnsi="Arial" w:cs="Arial"/>
          <w:color w:val="000000" w:themeColor="text1"/>
          <w:sz w:val="19"/>
          <w:szCs w:val="19"/>
        </w:rPr>
      </w:pPr>
      <w:r w:rsidRPr="003A746C">
        <w:rPr>
          <w:rStyle w:val="Refdenotaalpie"/>
          <w:rFonts w:ascii="Arial" w:hAnsi="Arial" w:cs="Arial"/>
          <w:color w:val="000000" w:themeColor="text1"/>
          <w:sz w:val="19"/>
          <w:szCs w:val="19"/>
        </w:rPr>
        <w:footnoteRef/>
      </w:r>
      <w:r w:rsidRPr="003A746C">
        <w:rPr>
          <w:rFonts w:ascii="Arial" w:hAnsi="Arial" w:cs="Arial"/>
          <w:color w:val="000000" w:themeColor="text1"/>
          <w:sz w:val="19"/>
          <w:szCs w:val="19"/>
        </w:rPr>
        <w:t xml:space="preserve"> </w:t>
      </w:r>
      <w:r w:rsidRPr="003A746C">
        <w:rPr>
          <w:rFonts w:ascii="Arial" w:hAnsi="Arial" w:cs="Arial"/>
          <w:color w:val="000000" w:themeColor="text1"/>
          <w:sz w:val="19"/>
          <w:szCs w:val="19"/>
          <w:lang w:val="es-CO"/>
        </w:rPr>
        <w:t>Ver Consejo de Estado, Sección Tercera, Subsección C. Sentencia del 26 de febrero de 2011. C.P. Jaime Orlando Santofimio. Rad. 36.408.</w:t>
      </w:r>
      <w:r w:rsidRPr="003A746C">
        <w:rPr>
          <w:rFonts w:ascii="Arial" w:hAnsi="Arial" w:cs="Arial"/>
          <w:color w:val="000000" w:themeColor="text1"/>
          <w:sz w:val="19"/>
          <w:szCs w:val="19"/>
        </w:rPr>
        <w:t xml:space="preserve">  </w:t>
      </w:r>
    </w:p>
    <w:p w:rsidRPr="003A746C" w:rsidR="00CF2738" w:rsidP="00CF2738" w:rsidRDefault="00CF2738" w14:paraId="4E8D6E2D" w14:textId="77777777">
      <w:pPr>
        <w:pStyle w:val="Textonotapie"/>
        <w:ind w:firstLine="709"/>
        <w:jc w:val="both"/>
        <w:rPr>
          <w:rFonts w:ascii="Arial" w:hAnsi="Arial" w:cs="Arial"/>
          <w:color w:val="000000" w:themeColor="text1"/>
          <w:sz w:val="19"/>
          <w:szCs w:val="19"/>
        </w:rPr>
      </w:pPr>
    </w:p>
  </w:footnote>
  <w:footnote w:id="13">
    <w:p w:rsidRPr="003A746C" w:rsidR="00CF2738" w:rsidP="00CF2738" w:rsidRDefault="00CF2738" w14:paraId="22C8929C" w14:textId="77777777">
      <w:pPr>
        <w:pStyle w:val="Textonotapie"/>
        <w:ind w:firstLine="709"/>
        <w:jc w:val="both"/>
        <w:rPr>
          <w:rFonts w:ascii="Arial" w:hAnsi="Arial" w:cs="Arial"/>
          <w:color w:val="000000" w:themeColor="text1"/>
          <w:sz w:val="19"/>
          <w:szCs w:val="19"/>
        </w:rPr>
      </w:pPr>
      <w:r w:rsidRPr="003A746C">
        <w:rPr>
          <w:rStyle w:val="Refdenotaalpie"/>
          <w:rFonts w:ascii="Arial" w:hAnsi="Arial" w:cs="Arial"/>
          <w:color w:val="000000" w:themeColor="text1"/>
          <w:sz w:val="19"/>
          <w:szCs w:val="19"/>
        </w:rPr>
        <w:footnoteRef/>
      </w:r>
      <w:r w:rsidRPr="003A746C">
        <w:rPr>
          <w:rFonts w:ascii="Arial" w:hAnsi="Arial" w:cs="Arial"/>
          <w:color w:val="000000" w:themeColor="text1"/>
          <w:sz w:val="19"/>
          <w:szCs w:val="19"/>
        </w:rPr>
        <w:t xml:space="preserve"> </w:t>
      </w:r>
      <w:r w:rsidRPr="003A746C">
        <w:rPr>
          <w:rFonts w:ascii="Arial" w:hAnsi="Arial" w:cs="Arial"/>
          <w:color w:val="000000" w:themeColor="text1"/>
          <w:sz w:val="19"/>
          <w:szCs w:val="19"/>
          <w:lang w:val="es-CO"/>
        </w:rPr>
        <w:t>Ver Consejo de Estado, Sección Tercera, Subsección C. Sentencia del 26 de febrero de 2014. C.P. Enrique Gil Botero. Rad. 25.804.</w:t>
      </w:r>
      <w:r w:rsidRPr="003A746C">
        <w:rPr>
          <w:rFonts w:ascii="Arial" w:hAnsi="Arial" w:cs="Arial"/>
          <w:color w:val="000000" w:themeColor="text1"/>
          <w:sz w:val="19"/>
          <w:szCs w:val="19"/>
        </w:rPr>
        <w:t xml:space="preserve">  </w:t>
      </w:r>
    </w:p>
    <w:p w:rsidRPr="003A746C" w:rsidR="00CF2738" w:rsidP="00CF2738" w:rsidRDefault="00CF2738" w14:paraId="03AD317C" w14:textId="77777777">
      <w:pPr>
        <w:pStyle w:val="Textonotapie"/>
        <w:ind w:firstLine="709"/>
        <w:jc w:val="both"/>
        <w:rPr>
          <w:rFonts w:ascii="Arial" w:hAnsi="Arial" w:cs="Arial"/>
          <w:color w:val="000000" w:themeColor="text1"/>
          <w:sz w:val="19"/>
          <w:szCs w:val="19"/>
        </w:rPr>
      </w:pPr>
    </w:p>
  </w:footnote>
  <w:footnote w:id="14">
    <w:p w:rsidRPr="003A746C" w:rsidR="00CF2738" w:rsidP="00CF2738" w:rsidRDefault="00CF2738" w14:paraId="2650081D" w14:textId="77777777">
      <w:pPr>
        <w:pStyle w:val="Textonotapie"/>
        <w:ind w:firstLine="709"/>
        <w:jc w:val="both"/>
        <w:rPr>
          <w:rFonts w:ascii="Arial" w:hAnsi="Arial" w:cs="Arial"/>
          <w:color w:val="000000" w:themeColor="text1"/>
          <w:sz w:val="19"/>
          <w:szCs w:val="19"/>
          <w:lang w:val="es-CO"/>
        </w:rPr>
      </w:pPr>
      <w:r w:rsidRPr="003A746C">
        <w:rPr>
          <w:rStyle w:val="Refdenotaalpie"/>
          <w:rFonts w:ascii="Arial" w:hAnsi="Arial" w:cs="Arial"/>
          <w:color w:val="000000" w:themeColor="text1"/>
          <w:sz w:val="19"/>
          <w:szCs w:val="19"/>
        </w:rPr>
        <w:footnoteRef/>
      </w:r>
      <w:r w:rsidRPr="003A746C">
        <w:rPr>
          <w:rFonts w:ascii="Arial" w:hAnsi="Arial" w:cs="Arial"/>
          <w:color w:val="000000" w:themeColor="text1"/>
          <w:sz w:val="19"/>
          <w:szCs w:val="19"/>
        </w:rPr>
        <w:t xml:space="preserve"> </w:t>
      </w:r>
      <w:r w:rsidRPr="003A746C">
        <w:rPr>
          <w:rFonts w:ascii="Arial" w:hAnsi="Arial" w:cs="Arial"/>
          <w:color w:val="000000" w:themeColor="text1"/>
          <w:sz w:val="19"/>
          <w:szCs w:val="19"/>
          <w:lang w:val="es-CO"/>
        </w:rPr>
        <w:t>Consejo de Estado, Sala de Consulta y Servicio Civil, concepto del 20 de mayo de 2010. C.P. Enrique José Arboleda Perdomo. Rad. 2010-00034-00(1992).</w:t>
      </w:r>
    </w:p>
    <w:p w:rsidRPr="003A746C" w:rsidR="00CF2738" w:rsidP="00CF2738" w:rsidRDefault="00CF2738" w14:paraId="6753FE80" w14:textId="77777777">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A43FA8" w:rsidRDefault="00A43FA8" w14:paraId="6520770B" w14:textId="1A2BB94C">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61FEA0E">
      <w:rPr/>
      <w:t/>
    </w:r>
    <w:r w:rsidR="39D2C6C3">
      <w:rPr/>
      <w:t/>
    </w:r>
    <w:r w:rsidR="4460810D">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hint="default" w:ascii="Arial" w:hAnsi="Arial" w:eastAsia="Calibri" w:cs="Aria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C440DC2"/>
    <w:multiLevelType w:val="hybridMultilevel"/>
    <w:tmpl w:val="8CBEB672"/>
    <w:lvl w:ilvl="0" w:tplc="B72230D8">
      <w:start w:val="1"/>
      <w:numFmt w:val="lowerRoman"/>
      <w:lvlText w:val="%1)"/>
      <w:lvlJc w:val="left"/>
      <w:pPr>
        <w:ind w:left="1425" w:hanging="720"/>
      </w:pPr>
      <w:rPr>
        <w:rFonts w:ascii="Arial" w:hAnsi="Arial" w:eastAsia="Calibri"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8"/>
  </w:num>
  <w:num w:numId="4">
    <w:abstractNumId w:val="9"/>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16"/>
  </w:num>
  <w:num w:numId="10">
    <w:abstractNumId w:val="2"/>
  </w:num>
  <w:num w:numId="11">
    <w:abstractNumId w:val="6"/>
  </w:num>
  <w:num w:numId="12">
    <w:abstractNumId w:val="14"/>
  </w:num>
  <w:num w:numId="13">
    <w:abstractNumId w:val="7"/>
  </w:num>
  <w:num w:numId="14">
    <w:abstractNumId w:val="12"/>
  </w:num>
  <w:num w:numId="15">
    <w:abstractNumId w:val="15"/>
  </w:num>
  <w:num w:numId="16">
    <w:abstractNumId w:val="3"/>
  </w:num>
  <w:num w:numId="17">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1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D91"/>
    <w:rsid w:val="00020F00"/>
    <w:rsid w:val="00021744"/>
    <w:rsid w:val="00022AB6"/>
    <w:rsid w:val="000230F6"/>
    <w:rsid w:val="00023516"/>
    <w:rsid w:val="0002419B"/>
    <w:rsid w:val="0002473E"/>
    <w:rsid w:val="00024F08"/>
    <w:rsid w:val="00025437"/>
    <w:rsid w:val="0002698E"/>
    <w:rsid w:val="00026ED4"/>
    <w:rsid w:val="00027148"/>
    <w:rsid w:val="00030433"/>
    <w:rsid w:val="000311E0"/>
    <w:rsid w:val="000318B0"/>
    <w:rsid w:val="000330B0"/>
    <w:rsid w:val="000339C2"/>
    <w:rsid w:val="00035138"/>
    <w:rsid w:val="00036F29"/>
    <w:rsid w:val="00040F8F"/>
    <w:rsid w:val="00041ECA"/>
    <w:rsid w:val="00041EFC"/>
    <w:rsid w:val="00041F59"/>
    <w:rsid w:val="00042092"/>
    <w:rsid w:val="00042CFF"/>
    <w:rsid w:val="00042F27"/>
    <w:rsid w:val="00043143"/>
    <w:rsid w:val="00043878"/>
    <w:rsid w:val="00043FC3"/>
    <w:rsid w:val="000459D0"/>
    <w:rsid w:val="00046036"/>
    <w:rsid w:val="000474DA"/>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60FA9"/>
    <w:rsid w:val="0006116C"/>
    <w:rsid w:val="000611E8"/>
    <w:rsid w:val="0006194B"/>
    <w:rsid w:val="00061AC0"/>
    <w:rsid w:val="00062739"/>
    <w:rsid w:val="0006288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685F"/>
    <w:rsid w:val="0009735A"/>
    <w:rsid w:val="00097C6C"/>
    <w:rsid w:val="000A0439"/>
    <w:rsid w:val="000A064C"/>
    <w:rsid w:val="000A09D2"/>
    <w:rsid w:val="000A2BAB"/>
    <w:rsid w:val="000A3C4E"/>
    <w:rsid w:val="000A3CBD"/>
    <w:rsid w:val="000A426B"/>
    <w:rsid w:val="000A4AAE"/>
    <w:rsid w:val="000A502E"/>
    <w:rsid w:val="000A511D"/>
    <w:rsid w:val="000A5BD3"/>
    <w:rsid w:val="000A6122"/>
    <w:rsid w:val="000A628F"/>
    <w:rsid w:val="000A66F3"/>
    <w:rsid w:val="000A7B03"/>
    <w:rsid w:val="000B0465"/>
    <w:rsid w:val="000B0FB0"/>
    <w:rsid w:val="000B103F"/>
    <w:rsid w:val="000B258E"/>
    <w:rsid w:val="000B2850"/>
    <w:rsid w:val="000B2CB3"/>
    <w:rsid w:val="000B359C"/>
    <w:rsid w:val="000B38BD"/>
    <w:rsid w:val="000B41A7"/>
    <w:rsid w:val="000B49DF"/>
    <w:rsid w:val="000B4D45"/>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22FB"/>
    <w:rsid w:val="000D30A6"/>
    <w:rsid w:val="000D343E"/>
    <w:rsid w:val="000D479C"/>
    <w:rsid w:val="000D4C50"/>
    <w:rsid w:val="000D5B32"/>
    <w:rsid w:val="000D6318"/>
    <w:rsid w:val="000D6359"/>
    <w:rsid w:val="000D65F5"/>
    <w:rsid w:val="000D6AFB"/>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7072"/>
    <w:rsid w:val="0010274B"/>
    <w:rsid w:val="00102E6B"/>
    <w:rsid w:val="00103915"/>
    <w:rsid w:val="001039BF"/>
    <w:rsid w:val="00103A69"/>
    <w:rsid w:val="00104161"/>
    <w:rsid w:val="001054A2"/>
    <w:rsid w:val="00107A30"/>
    <w:rsid w:val="0011003B"/>
    <w:rsid w:val="001104F6"/>
    <w:rsid w:val="00111CD1"/>
    <w:rsid w:val="00113B52"/>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30DC6"/>
    <w:rsid w:val="00131ABE"/>
    <w:rsid w:val="0013213A"/>
    <w:rsid w:val="0013442F"/>
    <w:rsid w:val="00134F34"/>
    <w:rsid w:val="0013525C"/>
    <w:rsid w:val="0013543D"/>
    <w:rsid w:val="001356ED"/>
    <w:rsid w:val="0013612A"/>
    <w:rsid w:val="00137D19"/>
    <w:rsid w:val="00137FFA"/>
    <w:rsid w:val="001436C6"/>
    <w:rsid w:val="00143855"/>
    <w:rsid w:val="001444AE"/>
    <w:rsid w:val="0014671C"/>
    <w:rsid w:val="001470D6"/>
    <w:rsid w:val="00150664"/>
    <w:rsid w:val="001513DE"/>
    <w:rsid w:val="001519CE"/>
    <w:rsid w:val="0015261D"/>
    <w:rsid w:val="00152F23"/>
    <w:rsid w:val="00152F4E"/>
    <w:rsid w:val="0015312F"/>
    <w:rsid w:val="00156953"/>
    <w:rsid w:val="00156B65"/>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47"/>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45BB"/>
    <w:rsid w:val="00194762"/>
    <w:rsid w:val="00195D3C"/>
    <w:rsid w:val="00195EB8"/>
    <w:rsid w:val="00195F16"/>
    <w:rsid w:val="00196172"/>
    <w:rsid w:val="00196F5B"/>
    <w:rsid w:val="001A0C18"/>
    <w:rsid w:val="001A1BA8"/>
    <w:rsid w:val="001A21C4"/>
    <w:rsid w:val="001A23EA"/>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1F9C"/>
    <w:rsid w:val="001C4350"/>
    <w:rsid w:val="001C4593"/>
    <w:rsid w:val="001C4DED"/>
    <w:rsid w:val="001C61C0"/>
    <w:rsid w:val="001C62A1"/>
    <w:rsid w:val="001C79BB"/>
    <w:rsid w:val="001D0415"/>
    <w:rsid w:val="001D0FF9"/>
    <w:rsid w:val="001D17D9"/>
    <w:rsid w:val="001D262B"/>
    <w:rsid w:val="001D3276"/>
    <w:rsid w:val="001D32CB"/>
    <w:rsid w:val="001D3846"/>
    <w:rsid w:val="001D46FE"/>
    <w:rsid w:val="001D4AE9"/>
    <w:rsid w:val="001D60D3"/>
    <w:rsid w:val="001D69DD"/>
    <w:rsid w:val="001E0375"/>
    <w:rsid w:val="001E10A7"/>
    <w:rsid w:val="001E16F6"/>
    <w:rsid w:val="001E175B"/>
    <w:rsid w:val="001E1C24"/>
    <w:rsid w:val="001E26AB"/>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2B95"/>
    <w:rsid w:val="002031C1"/>
    <w:rsid w:val="00203D28"/>
    <w:rsid w:val="00204DB3"/>
    <w:rsid w:val="00205BD8"/>
    <w:rsid w:val="0020632A"/>
    <w:rsid w:val="00206AE9"/>
    <w:rsid w:val="002072DF"/>
    <w:rsid w:val="00210605"/>
    <w:rsid w:val="002110EB"/>
    <w:rsid w:val="00211338"/>
    <w:rsid w:val="0021180F"/>
    <w:rsid w:val="00211BB0"/>
    <w:rsid w:val="00212888"/>
    <w:rsid w:val="002139DE"/>
    <w:rsid w:val="00213A09"/>
    <w:rsid w:val="00215255"/>
    <w:rsid w:val="00216F80"/>
    <w:rsid w:val="0021710C"/>
    <w:rsid w:val="0022149D"/>
    <w:rsid w:val="0022247B"/>
    <w:rsid w:val="002225BB"/>
    <w:rsid w:val="002238F9"/>
    <w:rsid w:val="00224F1E"/>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401E"/>
    <w:rsid w:val="002941B8"/>
    <w:rsid w:val="00295308"/>
    <w:rsid w:val="00295E32"/>
    <w:rsid w:val="00295E57"/>
    <w:rsid w:val="00296460"/>
    <w:rsid w:val="00296463"/>
    <w:rsid w:val="002969BC"/>
    <w:rsid w:val="00297C23"/>
    <w:rsid w:val="002A0043"/>
    <w:rsid w:val="002A0D45"/>
    <w:rsid w:val="002A2269"/>
    <w:rsid w:val="002A23F7"/>
    <w:rsid w:val="002A5C49"/>
    <w:rsid w:val="002A6616"/>
    <w:rsid w:val="002B0068"/>
    <w:rsid w:val="002B0C19"/>
    <w:rsid w:val="002B1137"/>
    <w:rsid w:val="002B1235"/>
    <w:rsid w:val="002B16D4"/>
    <w:rsid w:val="002B1D91"/>
    <w:rsid w:val="002B26D6"/>
    <w:rsid w:val="002B2E33"/>
    <w:rsid w:val="002B353D"/>
    <w:rsid w:val="002B53B8"/>
    <w:rsid w:val="002B56A6"/>
    <w:rsid w:val="002B5A46"/>
    <w:rsid w:val="002B690C"/>
    <w:rsid w:val="002B69EA"/>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829"/>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1D1"/>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84C"/>
    <w:rsid w:val="002F7BEF"/>
    <w:rsid w:val="002F7F83"/>
    <w:rsid w:val="0030041A"/>
    <w:rsid w:val="003033BA"/>
    <w:rsid w:val="00303F20"/>
    <w:rsid w:val="003049D5"/>
    <w:rsid w:val="00304EC8"/>
    <w:rsid w:val="003057B2"/>
    <w:rsid w:val="0030664E"/>
    <w:rsid w:val="00307459"/>
    <w:rsid w:val="00310F6E"/>
    <w:rsid w:val="00312877"/>
    <w:rsid w:val="00313382"/>
    <w:rsid w:val="003138FF"/>
    <w:rsid w:val="0031396A"/>
    <w:rsid w:val="00313A60"/>
    <w:rsid w:val="003144A3"/>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D4B"/>
    <w:rsid w:val="0035533F"/>
    <w:rsid w:val="00355B83"/>
    <w:rsid w:val="003564A6"/>
    <w:rsid w:val="0035653A"/>
    <w:rsid w:val="0035753D"/>
    <w:rsid w:val="0036037E"/>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14F0"/>
    <w:rsid w:val="003A1700"/>
    <w:rsid w:val="003A24C2"/>
    <w:rsid w:val="003A317B"/>
    <w:rsid w:val="003A39E3"/>
    <w:rsid w:val="003A4BFE"/>
    <w:rsid w:val="003A4C50"/>
    <w:rsid w:val="003A581E"/>
    <w:rsid w:val="003A61EC"/>
    <w:rsid w:val="003A64BF"/>
    <w:rsid w:val="003A6C1F"/>
    <w:rsid w:val="003A70A2"/>
    <w:rsid w:val="003A746C"/>
    <w:rsid w:val="003A78E0"/>
    <w:rsid w:val="003B0348"/>
    <w:rsid w:val="003B1B0F"/>
    <w:rsid w:val="003B2884"/>
    <w:rsid w:val="003B309D"/>
    <w:rsid w:val="003B3206"/>
    <w:rsid w:val="003B39DA"/>
    <w:rsid w:val="003B4371"/>
    <w:rsid w:val="003B4C76"/>
    <w:rsid w:val="003B4DDA"/>
    <w:rsid w:val="003B50BD"/>
    <w:rsid w:val="003B51CB"/>
    <w:rsid w:val="003B5432"/>
    <w:rsid w:val="003B608E"/>
    <w:rsid w:val="003B67A2"/>
    <w:rsid w:val="003B6DC7"/>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4D7A"/>
    <w:rsid w:val="00404F7E"/>
    <w:rsid w:val="0040503E"/>
    <w:rsid w:val="00406553"/>
    <w:rsid w:val="00407A8A"/>
    <w:rsid w:val="00407EFE"/>
    <w:rsid w:val="004110C1"/>
    <w:rsid w:val="00411FA4"/>
    <w:rsid w:val="00412F7D"/>
    <w:rsid w:val="00413E4A"/>
    <w:rsid w:val="0041629E"/>
    <w:rsid w:val="00416CE1"/>
    <w:rsid w:val="00416F9D"/>
    <w:rsid w:val="00423AD3"/>
    <w:rsid w:val="00423F9F"/>
    <w:rsid w:val="00425CA8"/>
    <w:rsid w:val="00426DF2"/>
    <w:rsid w:val="00430285"/>
    <w:rsid w:val="00431738"/>
    <w:rsid w:val="00432555"/>
    <w:rsid w:val="0043379B"/>
    <w:rsid w:val="0043379F"/>
    <w:rsid w:val="004358AE"/>
    <w:rsid w:val="00436487"/>
    <w:rsid w:val="00436701"/>
    <w:rsid w:val="0043673A"/>
    <w:rsid w:val="00436CF2"/>
    <w:rsid w:val="00436EE1"/>
    <w:rsid w:val="0044094B"/>
    <w:rsid w:val="00441949"/>
    <w:rsid w:val="00441E6D"/>
    <w:rsid w:val="0044219E"/>
    <w:rsid w:val="0044228D"/>
    <w:rsid w:val="004422D6"/>
    <w:rsid w:val="00444761"/>
    <w:rsid w:val="00446012"/>
    <w:rsid w:val="00446133"/>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58DD"/>
    <w:rsid w:val="004568C7"/>
    <w:rsid w:val="00457A81"/>
    <w:rsid w:val="00457BC1"/>
    <w:rsid w:val="00460729"/>
    <w:rsid w:val="004613DB"/>
    <w:rsid w:val="004616A9"/>
    <w:rsid w:val="004617CF"/>
    <w:rsid w:val="004625D0"/>
    <w:rsid w:val="00462C5C"/>
    <w:rsid w:val="00463469"/>
    <w:rsid w:val="00463CBF"/>
    <w:rsid w:val="00464836"/>
    <w:rsid w:val="00464867"/>
    <w:rsid w:val="00464BE7"/>
    <w:rsid w:val="004651EF"/>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BBC"/>
    <w:rsid w:val="00491F1C"/>
    <w:rsid w:val="0049241A"/>
    <w:rsid w:val="004926EF"/>
    <w:rsid w:val="00493E5B"/>
    <w:rsid w:val="0049440E"/>
    <w:rsid w:val="00494646"/>
    <w:rsid w:val="004A06D8"/>
    <w:rsid w:val="004A0D1E"/>
    <w:rsid w:val="004A1030"/>
    <w:rsid w:val="004A194E"/>
    <w:rsid w:val="004A1C01"/>
    <w:rsid w:val="004A1D82"/>
    <w:rsid w:val="004A2579"/>
    <w:rsid w:val="004A26B5"/>
    <w:rsid w:val="004A2777"/>
    <w:rsid w:val="004A34D2"/>
    <w:rsid w:val="004A396E"/>
    <w:rsid w:val="004A3E56"/>
    <w:rsid w:val="004A41C5"/>
    <w:rsid w:val="004A56BF"/>
    <w:rsid w:val="004A627A"/>
    <w:rsid w:val="004A7062"/>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C9"/>
    <w:rsid w:val="005472FD"/>
    <w:rsid w:val="00554B18"/>
    <w:rsid w:val="005564CA"/>
    <w:rsid w:val="005570A8"/>
    <w:rsid w:val="0055743D"/>
    <w:rsid w:val="00557C62"/>
    <w:rsid w:val="00557FDD"/>
    <w:rsid w:val="0056055D"/>
    <w:rsid w:val="00560C72"/>
    <w:rsid w:val="0056182B"/>
    <w:rsid w:val="00562446"/>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3CD8"/>
    <w:rsid w:val="005B4756"/>
    <w:rsid w:val="005B5AD6"/>
    <w:rsid w:val="005B5B57"/>
    <w:rsid w:val="005C0AE8"/>
    <w:rsid w:val="005C0FB6"/>
    <w:rsid w:val="005C162D"/>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3D00"/>
    <w:rsid w:val="005E529C"/>
    <w:rsid w:val="005E5B57"/>
    <w:rsid w:val="005E6118"/>
    <w:rsid w:val="005E640D"/>
    <w:rsid w:val="005E7395"/>
    <w:rsid w:val="005F197B"/>
    <w:rsid w:val="005F1B4D"/>
    <w:rsid w:val="005F1F78"/>
    <w:rsid w:val="005F2102"/>
    <w:rsid w:val="005F26E3"/>
    <w:rsid w:val="005F3AEA"/>
    <w:rsid w:val="005F48AA"/>
    <w:rsid w:val="005F48C8"/>
    <w:rsid w:val="005F4FAB"/>
    <w:rsid w:val="005F6740"/>
    <w:rsid w:val="005F67B3"/>
    <w:rsid w:val="0060096D"/>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F19"/>
    <w:rsid w:val="00627BEE"/>
    <w:rsid w:val="00630258"/>
    <w:rsid w:val="00630A35"/>
    <w:rsid w:val="00630B32"/>
    <w:rsid w:val="00630FDF"/>
    <w:rsid w:val="006313F4"/>
    <w:rsid w:val="006317D9"/>
    <w:rsid w:val="00632269"/>
    <w:rsid w:val="0063261F"/>
    <w:rsid w:val="006338A8"/>
    <w:rsid w:val="00633DBF"/>
    <w:rsid w:val="00633E03"/>
    <w:rsid w:val="00633EC0"/>
    <w:rsid w:val="00634350"/>
    <w:rsid w:val="0063508B"/>
    <w:rsid w:val="006350E6"/>
    <w:rsid w:val="0064058D"/>
    <w:rsid w:val="006441E9"/>
    <w:rsid w:val="00644ADC"/>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AB"/>
    <w:rsid w:val="006613B1"/>
    <w:rsid w:val="00662F65"/>
    <w:rsid w:val="00663314"/>
    <w:rsid w:val="0066452D"/>
    <w:rsid w:val="00664556"/>
    <w:rsid w:val="00664EBA"/>
    <w:rsid w:val="00665553"/>
    <w:rsid w:val="006660FA"/>
    <w:rsid w:val="00666303"/>
    <w:rsid w:val="0066696D"/>
    <w:rsid w:val="006676AA"/>
    <w:rsid w:val="00670AFD"/>
    <w:rsid w:val="006715BC"/>
    <w:rsid w:val="00672379"/>
    <w:rsid w:val="006726C7"/>
    <w:rsid w:val="006732EF"/>
    <w:rsid w:val="006745D9"/>
    <w:rsid w:val="00675DAA"/>
    <w:rsid w:val="0067671D"/>
    <w:rsid w:val="0067719F"/>
    <w:rsid w:val="00677428"/>
    <w:rsid w:val="00680ACA"/>
    <w:rsid w:val="00680CD0"/>
    <w:rsid w:val="00680EE3"/>
    <w:rsid w:val="006811A6"/>
    <w:rsid w:val="00681957"/>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667D"/>
    <w:rsid w:val="006A6C98"/>
    <w:rsid w:val="006A7CB5"/>
    <w:rsid w:val="006A7FD0"/>
    <w:rsid w:val="006B02DD"/>
    <w:rsid w:val="006B0A01"/>
    <w:rsid w:val="006B2D2D"/>
    <w:rsid w:val="006B340F"/>
    <w:rsid w:val="006B419C"/>
    <w:rsid w:val="006B4A03"/>
    <w:rsid w:val="006B4BC9"/>
    <w:rsid w:val="006B5469"/>
    <w:rsid w:val="006B5E52"/>
    <w:rsid w:val="006B6D5F"/>
    <w:rsid w:val="006B7C79"/>
    <w:rsid w:val="006C02B8"/>
    <w:rsid w:val="006C12D6"/>
    <w:rsid w:val="006C16C4"/>
    <w:rsid w:val="006C1A9B"/>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4D3E"/>
    <w:rsid w:val="006D50BE"/>
    <w:rsid w:val="006D524B"/>
    <w:rsid w:val="006D6BBC"/>
    <w:rsid w:val="006D7687"/>
    <w:rsid w:val="006E0572"/>
    <w:rsid w:val="006E178E"/>
    <w:rsid w:val="006E321E"/>
    <w:rsid w:val="006E3401"/>
    <w:rsid w:val="006E3C68"/>
    <w:rsid w:val="006E4184"/>
    <w:rsid w:val="006E4ED6"/>
    <w:rsid w:val="006E5518"/>
    <w:rsid w:val="006E691B"/>
    <w:rsid w:val="006E7BD4"/>
    <w:rsid w:val="006F0339"/>
    <w:rsid w:val="006F1C0D"/>
    <w:rsid w:val="006F2A0F"/>
    <w:rsid w:val="006F2C91"/>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94E"/>
    <w:rsid w:val="007509D3"/>
    <w:rsid w:val="00751421"/>
    <w:rsid w:val="00751E94"/>
    <w:rsid w:val="007522E8"/>
    <w:rsid w:val="007526B2"/>
    <w:rsid w:val="007559ED"/>
    <w:rsid w:val="0075604B"/>
    <w:rsid w:val="0075647A"/>
    <w:rsid w:val="00756A3D"/>
    <w:rsid w:val="00757208"/>
    <w:rsid w:val="00760526"/>
    <w:rsid w:val="00762634"/>
    <w:rsid w:val="00762AE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878"/>
    <w:rsid w:val="00783004"/>
    <w:rsid w:val="00783027"/>
    <w:rsid w:val="007839BF"/>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204E"/>
    <w:rsid w:val="007B2571"/>
    <w:rsid w:val="007B3524"/>
    <w:rsid w:val="007B3CCE"/>
    <w:rsid w:val="007B4540"/>
    <w:rsid w:val="007B495B"/>
    <w:rsid w:val="007B5414"/>
    <w:rsid w:val="007B58F4"/>
    <w:rsid w:val="007B6EA2"/>
    <w:rsid w:val="007B7CED"/>
    <w:rsid w:val="007C097B"/>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3119B"/>
    <w:rsid w:val="008317CC"/>
    <w:rsid w:val="008325CA"/>
    <w:rsid w:val="00833494"/>
    <w:rsid w:val="0083389E"/>
    <w:rsid w:val="00833D10"/>
    <w:rsid w:val="00836AC5"/>
    <w:rsid w:val="00836EAB"/>
    <w:rsid w:val="0084011C"/>
    <w:rsid w:val="00840625"/>
    <w:rsid w:val="0084146C"/>
    <w:rsid w:val="008415E3"/>
    <w:rsid w:val="008422C6"/>
    <w:rsid w:val="008434CF"/>
    <w:rsid w:val="00843A94"/>
    <w:rsid w:val="00843B34"/>
    <w:rsid w:val="00844611"/>
    <w:rsid w:val="00845FC8"/>
    <w:rsid w:val="008502CC"/>
    <w:rsid w:val="008502F9"/>
    <w:rsid w:val="0085092D"/>
    <w:rsid w:val="00850F79"/>
    <w:rsid w:val="0085136E"/>
    <w:rsid w:val="0085175C"/>
    <w:rsid w:val="00851933"/>
    <w:rsid w:val="00853B4B"/>
    <w:rsid w:val="00853CE7"/>
    <w:rsid w:val="00854029"/>
    <w:rsid w:val="00854370"/>
    <w:rsid w:val="008548AC"/>
    <w:rsid w:val="00855F56"/>
    <w:rsid w:val="00856420"/>
    <w:rsid w:val="008605DD"/>
    <w:rsid w:val="00861CBE"/>
    <w:rsid w:val="008629DE"/>
    <w:rsid w:val="00863B45"/>
    <w:rsid w:val="00864F2E"/>
    <w:rsid w:val="00866D4C"/>
    <w:rsid w:val="00867267"/>
    <w:rsid w:val="0086772B"/>
    <w:rsid w:val="00867FA2"/>
    <w:rsid w:val="00870445"/>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BE8"/>
    <w:rsid w:val="008A0D56"/>
    <w:rsid w:val="008A113A"/>
    <w:rsid w:val="008A22FB"/>
    <w:rsid w:val="008A24D7"/>
    <w:rsid w:val="008A265E"/>
    <w:rsid w:val="008A2781"/>
    <w:rsid w:val="008A36B6"/>
    <w:rsid w:val="008A4788"/>
    <w:rsid w:val="008A5F52"/>
    <w:rsid w:val="008A66DC"/>
    <w:rsid w:val="008A6EB9"/>
    <w:rsid w:val="008A7F4C"/>
    <w:rsid w:val="008B1B8A"/>
    <w:rsid w:val="008B2228"/>
    <w:rsid w:val="008B2CF7"/>
    <w:rsid w:val="008B365E"/>
    <w:rsid w:val="008B423D"/>
    <w:rsid w:val="008B6CE8"/>
    <w:rsid w:val="008B721F"/>
    <w:rsid w:val="008B7830"/>
    <w:rsid w:val="008B7AE1"/>
    <w:rsid w:val="008C0576"/>
    <w:rsid w:val="008C0E1F"/>
    <w:rsid w:val="008C1250"/>
    <w:rsid w:val="008C193F"/>
    <w:rsid w:val="008C33B6"/>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E7F50"/>
    <w:rsid w:val="008F0098"/>
    <w:rsid w:val="008F08FE"/>
    <w:rsid w:val="008F1E12"/>
    <w:rsid w:val="008F25EF"/>
    <w:rsid w:val="008F331A"/>
    <w:rsid w:val="008F3623"/>
    <w:rsid w:val="008F4074"/>
    <w:rsid w:val="008F534C"/>
    <w:rsid w:val="008F538E"/>
    <w:rsid w:val="008F5BE0"/>
    <w:rsid w:val="008F5BFC"/>
    <w:rsid w:val="008F6ABB"/>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78E8"/>
    <w:rsid w:val="00960168"/>
    <w:rsid w:val="009602A1"/>
    <w:rsid w:val="00961252"/>
    <w:rsid w:val="00962706"/>
    <w:rsid w:val="0096275E"/>
    <w:rsid w:val="00962DAD"/>
    <w:rsid w:val="009646C1"/>
    <w:rsid w:val="00964E57"/>
    <w:rsid w:val="009650ED"/>
    <w:rsid w:val="009651B8"/>
    <w:rsid w:val="00966AFD"/>
    <w:rsid w:val="00966E63"/>
    <w:rsid w:val="00970386"/>
    <w:rsid w:val="00970B51"/>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AEE"/>
    <w:rsid w:val="00990BFE"/>
    <w:rsid w:val="009910EF"/>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C117E"/>
    <w:rsid w:val="009C1D7D"/>
    <w:rsid w:val="009C4ADA"/>
    <w:rsid w:val="009C50EC"/>
    <w:rsid w:val="009C5F58"/>
    <w:rsid w:val="009C75FC"/>
    <w:rsid w:val="009C7E94"/>
    <w:rsid w:val="009D01FA"/>
    <w:rsid w:val="009D1D2F"/>
    <w:rsid w:val="009D38B3"/>
    <w:rsid w:val="009D4730"/>
    <w:rsid w:val="009D5015"/>
    <w:rsid w:val="009D5269"/>
    <w:rsid w:val="009D62C3"/>
    <w:rsid w:val="009D68DA"/>
    <w:rsid w:val="009E1D2D"/>
    <w:rsid w:val="009E405A"/>
    <w:rsid w:val="009E4B65"/>
    <w:rsid w:val="009E4C76"/>
    <w:rsid w:val="009E4EDE"/>
    <w:rsid w:val="009E6031"/>
    <w:rsid w:val="009E680D"/>
    <w:rsid w:val="009E721A"/>
    <w:rsid w:val="009E754A"/>
    <w:rsid w:val="009F0250"/>
    <w:rsid w:val="009F0BD0"/>
    <w:rsid w:val="009F228F"/>
    <w:rsid w:val="009F2950"/>
    <w:rsid w:val="009F2B05"/>
    <w:rsid w:val="009F4A5A"/>
    <w:rsid w:val="009F5299"/>
    <w:rsid w:val="009F59C2"/>
    <w:rsid w:val="009F70B9"/>
    <w:rsid w:val="009F739F"/>
    <w:rsid w:val="009F74DF"/>
    <w:rsid w:val="009F7B0A"/>
    <w:rsid w:val="00A0089B"/>
    <w:rsid w:val="00A009E8"/>
    <w:rsid w:val="00A01EAA"/>
    <w:rsid w:val="00A02035"/>
    <w:rsid w:val="00A02AD6"/>
    <w:rsid w:val="00A03AEC"/>
    <w:rsid w:val="00A04EE8"/>
    <w:rsid w:val="00A054E0"/>
    <w:rsid w:val="00A06104"/>
    <w:rsid w:val="00A11AF8"/>
    <w:rsid w:val="00A11E7B"/>
    <w:rsid w:val="00A131B4"/>
    <w:rsid w:val="00A13947"/>
    <w:rsid w:val="00A14083"/>
    <w:rsid w:val="00A147D1"/>
    <w:rsid w:val="00A14C37"/>
    <w:rsid w:val="00A155F8"/>
    <w:rsid w:val="00A16471"/>
    <w:rsid w:val="00A16841"/>
    <w:rsid w:val="00A16A18"/>
    <w:rsid w:val="00A211E3"/>
    <w:rsid w:val="00A219D9"/>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2ECC"/>
    <w:rsid w:val="00A83510"/>
    <w:rsid w:val="00A83E3E"/>
    <w:rsid w:val="00A8551A"/>
    <w:rsid w:val="00A85C29"/>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620"/>
    <w:rsid w:val="00AB5704"/>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7F2"/>
    <w:rsid w:val="00AE5421"/>
    <w:rsid w:val="00AE5765"/>
    <w:rsid w:val="00AE5C0E"/>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71E7"/>
    <w:rsid w:val="00B0766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70CF"/>
    <w:rsid w:val="00B27C1A"/>
    <w:rsid w:val="00B305CD"/>
    <w:rsid w:val="00B306B1"/>
    <w:rsid w:val="00B30B5D"/>
    <w:rsid w:val="00B30DAD"/>
    <w:rsid w:val="00B30EEA"/>
    <w:rsid w:val="00B3111A"/>
    <w:rsid w:val="00B313D5"/>
    <w:rsid w:val="00B31B2D"/>
    <w:rsid w:val="00B31FB3"/>
    <w:rsid w:val="00B32C12"/>
    <w:rsid w:val="00B3327E"/>
    <w:rsid w:val="00B33898"/>
    <w:rsid w:val="00B33F01"/>
    <w:rsid w:val="00B3580D"/>
    <w:rsid w:val="00B363DE"/>
    <w:rsid w:val="00B36F3E"/>
    <w:rsid w:val="00B37A62"/>
    <w:rsid w:val="00B37FB6"/>
    <w:rsid w:val="00B40230"/>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535C"/>
    <w:rsid w:val="00B5621C"/>
    <w:rsid w:val="00B56B4F"/>
    <w:rsid w:val="00B5777D"/>
    <w:rsid w:val="00B57868"/>
    <w:rsid w:val="00B61183"/>
    <w:rsid w:val="00B61C7A"/>
    <w:rsid w:val="00B63872"/>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80451"/>
    <w:rsid w:val="00B822A7"/>
    <w:rsid w:val="00B85762"/>
    <w:rsid w:val="00B8638A"/>
    <w:rsid w:val="00B87D98"/>
    <w:rsid w:val="00B9068D"/>
    <w:rsid w:val="00B90BE1"/>
    <w:rsid w:val="00B91B8E"/>
    <w:rsid w:val="00B936F3"/>
    <w:rsid w:val="00B94EDD"/>
    <w:rsid w:val="00B96F29"/>
    <w:rsid w:val="00BA010A"/>
    <w:rsid w:val="00BA0355"/>
    <w:rsid w:val="00BA0FCE"/>
    <w:rsid w:val="00BA129F"/>
    <w:rsid w:val="00BA1474"/>
    <w:rsid w:val="00BA1AB9"/>
    <w:rsid w:val="00BA22A9"/>
    <w:rsid w:val="00BA2829"/>
    <w:rsid w:val="00BA369B"/>
    <w:rsid w:val="00BA36EE"/>
    <w:rsid w:val="00BA4319"/>
    <w:rsid w:val="00BA47FF"/>
    <w:rsid w:val="00BA6769"/>
    <w:rsid w:val="00BA6CAD"/>
    <w:rsid w:val="00BA6E6A"/>
    <w:rsid w:val="00BA75DE"/>
    <w:rsid w:val="00BB00EC"/>
    <w:rsid w:val="00BB061D"/>
    <w:rsid w:val="00BB07A4"/>
    <w:rsid w:val="00BB17F0"/>
    <w:rsid w:val="00BB18AE"/>
    <w:rsid w:val="00BB21F4"/>
    <w:rsid w:val="00BB2914"/>
    <w:rsid w:val="00BB29E9"/>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969"/>
    <w:rsid w:val="00C00BB1"/>
    <w:rsid w:val="00C01378"/>
    <w:rsid w:val="00C03ACB"/>
    <w:rsid w:val="00C03EFE"/>
    <w:rsid w:val="00C07794"/>
    <w:rsid w:val="00C113FE"/>
    <w:rsid w:val="00C11A27"/>
    <w:rsid w:val="00C1281E"/>
    <w:rsid w:val="00C149B0"/>
    <w:rsid w:val="00C15753"/>
    <w:rsid w:val="00C17545"/>
    <w:rsid w:val="00C227EF"/>
    <w:rsid w:val="00C22BD5"/>
    <w:rsid w:val="00C24368"/>
    <w:rsid w:val="00C252EE"/>
    <w:rsid w:val="00C25D13"/>
    <w:rsid w:val="00C260FC"/>
    <w:rsid w:val="00C30364"/>
    <w:rsid w:val="00C30E74"/>
    <w:rsid w:val="00C313BC"/>
    <w:rsid w:val="00C3362A"/>
    <w:rsid w:val="00C33983"/>
    <w:rsid w:val="00C34032"/>
    <w:rsid w:val="00C40657"/>
    <w:rsid w:val="00C407B5"/>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7EA"/>
    <w:rsid w:val="00C91A60"/>
    <w:rsid w:val="00C9247E"/>
    <w:rsid w:val="00C940BE"/>
    <w:rsid w:val="00C95E8B"/>
    <w:rsid w:val="00C9605A"/>
    <w:rsid w:val="00C964EC"/>
    <w:rsid w:val="00C966DA"/>
    <w:rsid w:val="00C96CF7"/>
    <w:rsid w:val="00C9701D"/>
    <w:rsid w:val="00C97D94"/>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468C"/>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5E4E"/>
    <w:rsid w:val="00CD6030"/>
    <w:rsid w:val="00CD657A"/>
    <w:rsid w:val="00CD6903"/>
    <w:rsid w:val="00CD6FDA"/>
    <w:rsid w:val="00CD7D7E"/>
    <w:rsid w:val="00CE0121"/>
    <w:rsid w:val="00CE0956"/>
    <w:rsid w:val="00CE0A8E"/>
    <w:rsid w:val="00CE21E7"/>
    <w:rsid w:val="00CE2CF1"/>
    <w:rsid w:val="00CE3CCF"/>
    <w:rsid w:val="00CE3DEC"/>
    <w:rsid w:val="00CE4775"/>
    <w:rsid w:val="00CE4C12"/>
    <w:rsid w:val="00CE4EFE"/>
    <w:rsid w:val="00CE584E"/>
    <w:rsid w:val="00CE5BBD"/>
    <w:rsid w:val="00CE5EB6"/>
    <w:rsid w:val="00CE5EFE"/>
    <w:rsid w:val="00CE7183"/>
    <w:rsid w:val="00CE776A"/>
    <w:rsid w:val="00CE79D0"/>
    <w:rsid w:val="00CF0724"/>
    <w:rsid w:val="00CF1774"/>
    <w:rsid w:val="00CF2738"/>
    <w:rsid w:val="00CF27F8"/>
    <w:rsid w:val="00CF2DCA"/>
    <w:rsid w:val="00CF33F3"/>
    <w:rsid w:val="00CF5C30"/>
    <w:rsid w:val="00CF5DBF"/>
    <w:rsid w:val="00CF74E8"/>
    <w:rsid w:val="00D00C29"/>
    <w:rsid w:val="00D01760"/>
    <w:rsid w:val="00D02423"/>
    <w:rsid w:val="00D02462"/>
    <w:rsid w:val="00D02736"/>
    <w:rsid w:val="00D03FDC"/>
    <w:rsid w:val="00D04ADE"/>
    <w:rsid w:val="00D054B8"/>
    <w:rsid w:val="00D07D4A"/>
    <w:rsid w:val="00D07FC4"/>
    <w:rsid w:val="00D100F4"/>
    <w:rsid w:val="00D10F1C"/>
    <w:rsid w:val="00D11160"/>
    <w:rsid w:val="00D1196A"/>
    <w:rsid w:val="00D11CEB"/>
    <w:rsid w:val="00D11DF5"/>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67A0"/>
    <w:rsid w:val="00D27895"/>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A01"/>
    <w:rsid w:val="00DA2B96"/>
    <w:rsid w:val="00DA41D6"/>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1B5"/>
    <w:rsid w:val="00DD4882"/>
    <w:rsid w:val="00DD51BC"/>
    <w:rsid w:val="00DD5670"/>
    <w:rsid w:val="00DD734A"/>
    <w:rsid w:val="00DD735D"/>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25D0"/>
    <w:rsid w:val="00E13306"/>
    <w:rsid w:val="00E13AB8"/>
    <w:rsid w:val="00E13BC5"/>
    <w:rsid w:val="00E13F51"/>
    <w:rsid w:val="00E14E0D"/>
    <w:rsid w:val="00E152E0"/>
    <w:rsid w:val="00E164E5"/>
    <w:rsid w:val="00E170F8"/>
    <w:rsid w:val="00E17401"/>
    <w:rsid w:val="00E176F2"/>
    <w:rsid w:val="00E20C03"/>
    <w:rsid w:val="00E2184C"/>
    <w:rsid w:val="00E21A8B"/>
    <w:rsid w:val="00E21FD3"/>
    <w:rsid w:val="00E2279C"/>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271"/>
    <w:rsid w:val="00EA40A3"/>
    <w:rsid w:val="00EA4CA9"/>
    <w:rsid w:val="00EA5137"/>
    <w:rsid w:val="00EA572E"/>
    <w:rsid w:val="00EA5C4C"/>
    <w:rsid w:val="00EA63D2"/>
    <w:rsid w:val="00EA666F"/>
    <w:rsid w:val="00EB0DE5"/>
    <w:rsid w:val="00EB27F2"/>
    <w:rsid w:val="00EB340D"/>
    <w:rsid w:val="00EB5921"/>
    <w:rsid w:val="00EB5CEA"/>
    <w:rsid w:val="00EB76C1"/>
    <w:rsid w:val="00EB7A25"/>
    <w:rsid w:val="00EC268B"/>
    <w:rsid w:val="00EC628B"/>
    <w:rsid w:val="00EC7EFE"/>
    <w:rsid w:val="00ED068F"/>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1DD"/>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70A57"/>
    <w:rsid w:val="00F7112F"/>
    <w:rsid w:val="00F712ED"/>
    <w:rsid w:val="00F716B8"/>
    <w:rsid w:val="00F717B7"/>
    <w:rsid w:val="00F72A15"/>
    <w:rsid w:val="00F72F33"/>
    <w:rsid w:val="00F737DB"/>
    <w:rsid w:val="00F7412B"/>
    <w:rsid w:val="00F7432F"/>
    <w:rsid w:val="00F745A5"/>
    <w:rsid w:val="00F762C6"/>
    <w:rsid w:val="00F80305"/>
    <w:rsid w:val="00F8048F"/>
    <w:rsid w:val="00F82893"/>
    <w:rsid w:val="00F83838"/>
    <w:rsid w:val="00F83FF2"/>
    <w:rsid w:val="00F842D9"/>
    <w:rsid w:val="00F84691"/>
    <w:rsid w:val="00F84899"/>
    <w:rsid w:val="00F859F0"/>
    <w:rsid w:val="00F87254"/>
    <w:rsid w:val="00F87C3E"/>
    <w:rsid w:val="00F915D0"/>
    <w:rsid w:val="00F91C32"/>
    <w:rsid w:val="00F91F95"/>
    <w:rsid w:val="00F925F7"/>
    <w:rsid w:val="00F9299C"/>
    <w:rsid w:val="00F92AB5"/>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4750"/>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 w:val="2DA93E70"/>
    <w:rsid w:val="39D2C6C3"/>
    <w:rsid w:val="3FF3156C"/>
    <w:rsid w:val="4460810D"/>
    <w:rsid w:val="698858A9"/>
    <w:rsid w:val="761FEA0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paragraph" w:styleId="Ttulo2">
    <w:name w:val="heading 2"/>
    <w:basedOn w:val="Normal"/>
    <w:next w:val="Normal"/>
    <w:link w:val="Ttulo2Car"/>
    <w:unhideWhenUsed/>
    <w:qFormat/>
    <w:rsid w:val="003852EA"/>
    <w:pPr>
      <w:keepNext/>
      <w:jc w:val="both"/>
      <w:outlineLvl w:val="1"/>
    </w:pPr>
    <w:rPr>
      <w:rFonts w:ascii="Century Gothic" w:hAnsi="Century Gothic" w:eastAsia="Times New Roman" w:cs="Arial"/>
      <w:b/>
      <w:sz w:val="22"/>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nhideWhenUsed/>
    <w:qFormat/>
    <w:rsid w:val="007B0854"/>
    <w:rPr>
      <w:sz w:val="20"/>
      <w:szCs w:val="20"/>
    </w:rPr>
  </w:style>
  <w:style w:type="character" w:styleId="TextonotapieCar1" w:customStyle="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2" w:customStyle="1">
    <w:name w:val="Tabla con cuadrícula2"/>
    <w:basedOn w:val="Tablanormal"/>
    <w:next w:val="Tablaconcuadrcula"/>
    <w:uiPriority w:val="59"/>
    <w:rsid w:val="00013780"/>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styleId="Mencinsinresolver">
    <w:name w:val="Unresolved Mention"/>
    <w:basedOn w:val="Fuentedeprrafopredeter"/>
    <w:uiPriority w:val="99"/>
    <w:semiHidden/>
    <w:unhideWhenUsed/>
    <w:rsid w:val="007E61BB"/>
    <w:rPr>
      <w:color w:val="605E5C"/>
      <w:shd w:val="clear" w:color="auto" w:fill="E1DFDD"/>
    </w:rPr>
  </w:style>
  <w:style w:type="paragraph" w:styleId="textocaja" w:customStyle="1">
    <w:name w:val="textocaja"/>
    <w:basedOn w:val="Normal"/>
    <w:rsid w:val="006726C7"/>
    <w:pPr>
      <w:spacing w:before="100" w:beforeAutospacing="1" w:after="100" w:afterAutospacing="1"/>
      <w:jc w:val="both"/>
    </w:pPr>
    <w:rPr>
      <w:rFonts w:ascii="Georgia" w:hAnsi="Georgia" w:eastAsia="Times New Roman"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hAnsi="Times New Roman" w:eastAsia="Times New Roman" w:cs="Times New Roman"/>
      <w:szCs w:val="24"/>
      <w:lang w:val="es-CO" w:eastAsia="es-CO"/>
    </w:rPr>
  </w:style>
  <w:style w:type="character" w:styleId="TextoindependienteCar" w:customStyle="1">
    <w:name w:val="Texto independiente Car"/>
    <w:basedOn w:val="Fuentedeprrafopredeter"/>
    <w:link w:val="Textoindependiente"/>
    <w:uiPriority w:val="99"/>
    <w:semiHidden/>
    <w:rsid w:val="00F02556"/>
    <w:rPr>
      <w:rFonts w:ascii="Times New Roman" w:hAnsi="Times New Roman" w:eastAsia="Times New Roman" w:cs="Times New Roman"/>
      <w:sz w:val="24"/>
      <w:szCs w:val="24"/>
      <w:lang w:eastAsia="es-CO"/>
    </w:rPr>
  </w:style>
  <w:style w:type="character" w:styleId="Ttulo2Car" w:customStyle="1">
    <w:name w:val="Título 2 Car"/>
    <w:basedOn w:val="Fuentedeprrafopredeter"/>
    <w:link w:val="Ttulo2"/>
    <w:rsid w:val="003852EA"/>
    <w:rPr>
      <w:rFonts w:ascii="Century Gothic" w:hAnsi="Century Gothic" w:eastAsia="Times New Roman" w:cs="Arial"/>
      <w:b/>
      <w:lang w:val="es-ES" w:eastAsia="es-ES"/>
    </w:rPr>
  </w:style>
  <w:style w:type="character" w:styleId="nacep" w:customStyle="1">
    <w:name w:val="n_acep"/>
    <w:basedOn w:val="Fuentedeprrafopredeter"/>
    <w:rsid w:val="001436C6"/>
  </w:style>
  <w:style w:type="character" w:styleId="u" w:customStyle="1">
    <w:name w:val="u"/>
    <w:basedOn w:val="Fuentedeprrafopredeter"/>
    <w:rsid w:val="00050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76610780">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microsoft.com/office/2018/08/relationships/commentsExtensible" Target="commentsExtensible.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ecb608edf93e40ed" /></Relationships>
</file>

<file path=word/_rels/footer1.xml.rels>&#65279;<?xml version="1.0" encoding="utf-8"?><Relationships xmlns="http://schemas.openxmlformats.org/package/2006/relationships"><Relationship Type="http://schemas.openxmlformats.org/officeDocument/2006/relationships/image" Target="/media/image7.png" Id="Rd24446a8b69e4349" /></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99718FA-534C-4496-AB68-90D22CE60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F0EF0D-EFF6-45DB-B466-A8FCD4B95E1D}">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50FF702-F30A-46C3-B1CC-A1B0D825D5C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lastPrinted>2020-01-30T15:05:00.0000000Z</lastPrinted>
  <dcterms:created xsi:type="dcterms:W3CDTF">2020-05-04T17:06:00.0000000Z</dcterms:created>
  <dcterms:modified xsi:type="dcterms:W3CDTF">2020-07-27T16:55:07.8345027Z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