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14797" w14:textId="77777777" w:rsidR="00F71AFD" w:rsidRPr="00E60B5C" w:rsidRDefault="00F71AFD" w:rsidP="00F71AFD">
      <w:pPr>
        <w:spacing w:line="276" w:lineRule="auto"/>
        <w:jc w:val="both"/>
        <w:rPr>
          <w:rFonts w:ascii="Verdana" w:eastAsia="Calibri" w:hAnsi="Verdana" w:cs="Arial"/>
          <w:b/>
          <w:bCs/>
          <w:sz w:val="20"/>
          <w:szCs w:val="20"/>
        </w:rPr>
      </w:pPr>
      <w:bookmarkStart w:id="0" w:name="_Hlk181166130"/>
      <w:bookmarkStart w:id="1" w:name="_Hlk143780582"/>
      <w:r w:rsidRPr="00E60B5C">
        <w:rPr>
          <w:rFonts w:ascii="Verdana" w:eastAsia="Calibri" w:hAnsi="Verdana" w:cs="Arial"/>
          <w:b/>
          <w:bCs/>
          <w:sz w:val="20"/>
          <w:szCs w:val="20"/>
        </w:rPr>
        <w:t>SUBSANABILIDAD DE LAS OFERTAS – Alcance de la regla – Ley 1882 de 2018– Ámbito temporal – Criterio material</w:t>
      </w:r>
    </w:p>
    <w:p w14:paraId="45F4215B" w14:textId="77777777" w:rsidR="00F71AFD" w:rsidRPr="00E60B5C" w:rsidRDefault="00F71AFD" w:rsidP="4D89B54D">
      <w:pPr>
        <w:spacing w:after="0" w:line="240" w:lineRule="auto"/>
        <w:contextualSpacing/>
        <w:jc w:val="both"/>
        <w:rPr>
          <w:rFonts w:ascii="Verdana" w:hAnsi="Verdana" w:cs="Arial"/>
          <w:sz w:val="20"/>
          <w:szCs w:val="20"/>
          <w:lang w:val="es-ES"/>
          <w14:ligatures w14:val="standardContextual"/>
        </w:rPr>
      </w:pPr>
      <w:r w:rsidRPr="4D89B54D">
        <w:rPr>
          <w:rFonts w:ascii="Verdana" w:eastAsia="Calibri" w:hAnsi="Verdana" w:cs="Arial"/>
          <w:sz w:val="20"/>
          <w:szCs w:val="20"/>
          <w:lang w:val="es-ES"/>
        </w:rPr>
        <w:t xml:space="preserve">“[…] </w:t>
      </w:r>
      <w:r w:rsidRPr="4D89B54D">
        <w:rPr>
          <w:rFonts w:ascii="Verdana" w:hAnsi="Verdana" w:cs="Arial"/>
          <w:sz w:val="20"/>
          <w:szCs w:val="20"/>
          <w:lang w:val="es-ES"/>
          <w14:ligatures w14:val="standardContextual"/>
        </w:rPr>
        <w:t xml:space="preserve">Como puede observarse, la Ley 1882 de 2018: i) mantiene el criterio de la Ley 80 de 1993, relativo a que todo lo que no sea necesario para la comparación de propuestas no es título suficiente para su rechazo; </w:t>
      </w:r>
      <w:proofErr w:type="spellStart"/>
      <w:r w:rsidRPr="4D89B54D">
        <w:rPr>
          <w:rFonts w:ascii="Verdana" w:hAnsi="Verdana" w:cs="Arial"/>
          <w:sz w:val="20"/>
          <w:szCs w:val="20"/>
          <w:lang w:val="es-ES"/>
          <w14:ligatures w14:val="standardContextual"/>
        </w:rPr>
        <w:t>ii</w:t>
      </w:r>
      <w:proofErr w:type="spellEnd"/>
      <w:r w:rsidRPr="4D89B54D">
        <w:rPr>
          <w:rFonts w:ascii="Verdana" w:hAnsi="Verdana" w:cs="Arial"/>
          <w:sz w:val="20"/>
          <w:szCs w:val="20"/>
          <w:lang w:val="es-ES"/>
          <w14:ligatures w14:val="standardContextual"/>
        </w:rPr>
        <w:t xml:space="preserve">) mantiene el criterio aclaratorio de la Ley 1150 de 2007, según el cual todo lo que no afecte la asignación de puntaje puede subsanarse y, </w:t>
      </w:r>
      <w:proofErr w:type="spellStart"/>
      <w:r w:rsidRPr="4D89B54D">
        <w:rPr>
          <w:rFonts w:ascii="Verdana" w:hAnsi="Verdana" w:cs="Arial"/>
          <w:sz w:val="20"/>
          <w:szCs w:val="20"/>
          <w:lang w:val="es-ES"/>
          <w14:ligatures w14:val="standardContextual"/>
        </w:rPr>
        <w:t>iii</w:t>
      </w:r>
      <w:proofErr w:type="spellEnd"/>
      <w:r w:rsidRPr="4D89B54D">
        <w:rPr>
          <w:rFonts w:ascii="Verdana" w:hAnsi="Verdana" w:cs="Arial"/>
          <w:sz w:val="20"/>
          <w:szCs w:val="20"/>
          <w:lang w:val="es-ES"/>
          <w14:ligatures w14:val="standardContextual"/>
        </w:rPr>
        <w:t xml:space="preserve">) introduce modificaciones en relación con algunos aspectos que se analizarán a continuación. </w:t>
      </w:r>
    </w:p>
    <w:p w14:paraId="41B06E0F" w14:textId="77777777" w:rsidR="00F71AFD" w:rsidRPr="00E60B5C" w:rsidRDefault="00F71AFD" w:rsidP="00F71AFD">
      <w:pPr>
        <w:spacing w:after="0" w:line="240" w:lineRule="auto"/>
        <w:contextualSpacing/>
        <w:jc w:val="both"/>
        <w:rPr>
          <w:rFonts w:ascii="Verdana" w:hAnsi="Verdana" w:cs="Arial"/>
          <w:sz w:val="20"/>
          <w:szCs w:val="20"/>
          <w:lang w:val="es-ES_tradnl"/>
        </w:rPr>
      </w:pPr>
    </w:p>
    <w:p w14:paraId="287B12A9" w14:textId="77777777" w:rsidR="00F71AFD" w:rsidRPr="00E60B5C" w:rsidRDefault="00F71AFD" w:rsidP="00F71AFD">
      <w:pPr>
        <w:spacing w:after="0" w:line="240" w:lineRule="auto"/>
        <w:contextualSpacing/>
        <w:jc w:val="both"/>
        <w:rPr>
          <w:rFonts w:ascii="Verdana" w:eastAsia="Calibri" w:hAnsi="Verdana" w:cs="Arial"/>
          <w:sz w:val="20"/>
          <w:szCs w:val="20"/>
          <w:lang w:val="es-ES_tradnl"/>
        </w:rPr>
      </w:pPr>
      <w:r w:rsidRPr="00E60B5C">
        <w:rPr>
          <w:rFonts w:ascii="Verdana" w:hAnsi="Verdana" w:cs="Arial"/>
          <w:i/>
          <w:iCs/>
          <w:sz w:val="20"/>
          <w:szCs w:val="20"/>
          <w:lang w:val="es-ES_tradnl"/>
          <w14:ligatures w14:val="standardContextual"/>
        </w:rPr>
        <w:t>El primero</w:t>
      </w:r>
      <w:r w:rsidRPr="00E60B5C">
        <w:rPr>
          <w:rFonts w:ascii="Verdana" w:hAnsi="Verdana" w:cs="Arial"/>
          <w:sz w:val="20"/>
          <w:szCs w:val="20"/>
          <w:lang w:val="es-ES_tradnl"/>
          <w14:ligatures w14:val="standardContextual"/>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w:t>
      </w:r>
      <w:r w:rsidRPr="00E60B5C">
        <w:rPr>
          <w:rFonts w:ascii="Verdana" w:eastAsia="Calibri" w:hAnsi="Verdana" w:cs="Arial"/>
          <w:sz w:val="20"/>
          <w:szCs w:val="20"/>
          <w:lang w:val="es-ES_tradnl"/>
          <w14:ligatures w14:val="standardContextual"/>
        </w:rPr>
        <w:t>de selección a través del sistema de subasta, este último al cual hace referencia en su consulta, y en el que los documentos o requisitos subsanables pueden y deben solicitarse por parte de las entidades estatales, como límite, hasta el momento previo a la celebración de la audiencia</w:t>
      </w:r>
      <w:r w:rsidRPr="00E60B5C">
        <w:rPr>
          <w:rFonts w:ascii="Verdana" w:eastAsia="Calibri" w:hAnsi="Verdana" w:cs="Arial"/>
          <w:sz w:val="20"/>
          <w:szCs w:val="20"/>
          <w:lang w:val="es-ES_tradnl"/>
        </w:rPr>
        <w:t xml:space="preserve"> […]</w:t>
      </w:r>
    </w:p>
    <w:p w14:paraId="1487B5BD" w14:textId="77777777" w:rsidR="00F71AFD" w:rsidRPr="00E60B5C" w:rsidRDefault="00F71AFD" w:rsidP="00F71AFD">
      <w:pPr>
        <w:spacing w:after="0" w:line="240" w:lineRule="auto"/>
        <w:contextualSpacing/>
        <w:jc w:val="both"/>
        <w:rPr>
          <w:rFonts w:ascii="Verdana" w:eastAsia="Calibri" w:hAnsi="Verdana" w:cs="Arial"/>
          <w:sz w:val="20"/>
          <w:szCs w:val="20"/>
          <w:lang w:val="es-ES_tradnl"/>
        </w:rPr>
      </w:pPr>
    </w:p>
    <w:p w14:paraId="3553CD0E" w14:textId="77777777" w:rsidR="00F71AFD" w:rsidRPr="00E60B5C" w:rsidRDefault="00F71AFD" w:rsidP="00F71AFD">
      <w:pPr>
        <w:spacing w:line="240" w:lineRule="auto"/>
        <w:contextualSpacing/>
        <w:jc w:val="both"/>
        <w:rPr>
          <w:rFonts w:ascii="Verdana" w:hAnsi="Verdana" w:cs="Arial"/>
          <w:sz w:val="20"/>
          <w:szCs w:val="20"/>
          <w:lang w:val="es-ES_tradnl"/>
        </w:rPr>
      </w:pPr>
      <w:r w:rsidRPr="00E60B5C">
        <w:rPr>
          <w:rFonts w:ascii="Verdana" w:eastAsia="Calibri" w:hAnsi="Verdana" w:cs="Arial"/>
          <w:sz w:val="20"/>
          <w:szCs w:val="20"/>
          <w:lang w:val="es-ES_tradnl"/>
          <w14:ligatures w14:val="standardContextual"/>
        </w:rPr>
        <w:t xml:space="preserve">De otro lado, </w:t>
      </w:r>
      <w:r w:rsidRPr="00E60B5C">
        <w:rPr>
          <w:rFonts w:ascii="Verdana" w:eastAsia="Calibri" w:hAnsi="Verdana" w:cs="Arial"/>
          <w:i/>
          <w:iCs/>
          <w:sz w:val="20"/>
          <w:szCs w:val="20"/>
          <w:lang w:val="es-ES_tradnl"/>
          <w14:ligatures w14:val="standardContextual"/>
        </w:rPr>
        <w:t>el segundo</w:t>
      </w:r>
      <w:r w:rsidRPr="00E60B5C">
        <w:rPr>
          <w:rFonts w:ascii="Verdana" w:eastAsia="Calibri" w:hAnsi="Verdana" w:cs="Arial"/>
          <w:sz w:val="20"/>
          <w:szCs w:val="20"/>
          <w:lang w:val="es-ES_tradnl"/>
          <w14:ligatures w14:val="standardContextual"/>
        </w:rPr>
        <w:t xml:space="preserve"> cambio importante de la Ley 1882 de 2018 fue la introducción de un criterio material, directamente relacionado con los aspectos subsanables: “</w:t>
      </w:r>
      <w:r w:rsidRPr="00E60B5C">
        <w:rPr>
          <w:rFonts w:ascii="Verdana" w:hAnsi="Verdana" w:cs="Arial"/>
          <w:sz w:val="20"/>
          <w:szCs w:val="20"/>
          <w:lang w:val="es-ES_tradnl"/>
          <w14:ligatures w14:val="standardContextual"/>
        </w:rPr>
        <w:t xml:space="preserve">los proponentes no podrán acreditar circunstancias ocurridas con posterioridad al cierre del proceso”. Lo anterior ofrece dos aspectos que merecen clarificación; primero, qué debe entenderse por circunstancias ocurridas con posterioridad; y segundo, qué es el cierre del proceso. </w:t>
      </w:r>
    </w:p>
    <w:p w14:paraId="6AEE712B" w14:textId="77777777" w:rsidR="00F71AFD" w:rsidRPr="00E60B5C" w:rsidRDefault="00F71AFD" w:rsidP="00F71AFD">
      <w:pPr>
        <w:spacing w:after="0" w:line="240" w:lineRule="auto"/>
        <w:contextualSpacing/>
        <w:jc w:val="both"/>
        <w:rPr>
          <w:rFonts w:ascii="Verdana" w:hAnsi="Verdana" w:cs="Arial"/>
          <w:sz w:val="20"/>
          <w:szCs w:val="20"/>
          <w:lang w:val="es-ES_tradnl"/>
          <w14:ligatures w14:val="standardContextual"/>
        </w:rPr>
      </w:pPr>
    </w:p>
    <w:p w14:paraId="58786BB7" w14:textId="77777777" w:rsidR="00F71AFD" w:rsidRPr="00E60B5C" w:rsidRDefault="00F71AFD" w:rsidP="00F71AFD">
      <w:pPr>
        <w:spacing w:after="0" w:line="240" w:lineRule="auto"/>
        <w:contextualSpacing/>
        <w:jc w:val="both"/>
        <w:rPr>
          <w:rFonts w:ascii="Verdana" w:hAnsi="Verdana" w:cs="Arial"/>
          <w:sz w:val="20"/>
          <w:szCs w:val="20"/>
          <w:lang w:val="es-ES_tradnl"/>
        </w:rPr>
      </w:pPr>
      <w:r w:rsidRPr="00E60B5C">
        <w:rPr>
          <w:rFonts w:ascii="Verdana" w:hAnsi="Verdana" w:cs="Arial"/>
          <w:sz w:val="20"/>
          <w:szCs w:val="20"/>
          <w:lang w:val="es-ES_tradnl"/>
        </w:rPr>
        <w:t xml:space="preserve">[…] </w:t>
      </w:r>
    </w:p>
    <w:p w14:paraId="1EC9374E" w14:textId="77777777" w:rsidR="00F71AFD" w:rsidRPr="00E60B5C" w:rsidRDefault="00F71AFD" w:rsidP="00F71AFD">
      <w:pPr>
        <w:spacing w:after="0" w:line="240" w:lineRule="auto"/>
        <w:contextualSpacing/>
        <w:jc w:val="both"/>
        <w:rPr>
          <w:rFonts w:ascii="Verdana" w:hAnsi="Verdana" w:cs="Arial"/>
          <w:sz w:val="20"/>
          <w:szCs w:val="20"/>
          <w:lang w:val="es-ES_tradnl"/>
        </w:rPr>
      </w:pPr>
    </w:p>
    <w:p w14:paraId="285B6D6D" w14:textId="77777777" w:rsidR="00F71AFD" w:rsidRPr="00E60B5C" w:rsidRDefault="00F71AFD" w:rsidP="00F71AFD">
      <w:pPr>
        <w:spacing w:after="0" w:line="240" w:lineRule="auto"/>
        <w:contextualSpacing/>
        <w:jc w:val="both"/>
        <w:rPr>
          <w:rFonts w:ascii="Verdana" w:eastAsia="Calibri" w:hAnsi="Verdana" w:cs="Arial"/>
          <w:sz w:val="20"/>
          <w:szCs w:val="20"/>
          <w:lang w:val="es-ES_tradnl"/>
          <w14:ligatures w14:val="standardContextual"/>
        </w:rPr>
      </w:pPr>
      <w:r w:rsidRPr="00E60B5C">
        <w:rPr>
          <w:rFonts w:ascii="Verdana" w:eastAsia="Calibri" w:hAnsi="Verdana" w:cs="Arial"/>
          <w:sz w:val="20"/>
          <w:szCs w:val="20"/>
          <w:lang w:val="es-ES_tradnl"/>
          <w14:ligatures w14:val="standardContextua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r w:rsidRPr="00E60B5C">
        <w:rPr>
          <w:rFonts w:ascii="Verdana" w:eastAsia="Calibri" w:hAnsi="Verdana" w:cs="Arial"/>
          <w:sz w:val="20"/>
          <w:szCs w:val="20"/>
          <w:lang w:val="es-ES_tradnl"/>
        </w:rPr>
        <w:t>[…]”</w:t>
      </w:r>
    </w:p>
    <w:p w14:paraId="5681AA04" w14:textId="77777777" w:rsidR="00F71AFD" w:rsidRPr="00E60B5C" w:rsidRDefault="00F71AFD" w:rsidP="00F71AFD">
      <w:pPr>
        <w:spacing w:line="276" w:lineRule="auto"/>
        <w:jc w:val="both"/>
        <w:rPr>
          <w:rFonts w:ascii="Verdana" w:eastAsia="Calibri" w:hAnsi="Verdana" w:cs="Arial"/>
          <w:b/>
          <w:bCs/>
          <w:sz w:val="20"/>
          <w:szCs w:val="20"/>
          <w:lang w:val="es-ES_tradnl"/>
        </w:rPr>
      </w:pPr>
    </w:p>
    <w:p w14:paraId="476436DE" w14:textId="77777777" w:rsidR="00F71AFD" w:rsidRPr="00E60B5C" w:rsidRDefault="00F71AFD" w:rsidP="00F71AFD">
      <w:pPr>
        <w:spacing w:line="276" w:lineRule="auto"/>
        <w:jc w:val="both"/>
        <w:rPr>
          <w:rFonts w:ascii="Verdana" w:eastAsia="Calibri" w:hAnsi="Verdana" w:cs="Arial"/>
          <w:b/>
          <w:bCs/>
          <w:sz w:val="20"/>
          <w:szCs w:val="20"/>
        </w:rPr>
      </w:pPr>
      <w:r w:rsidRPr="00E60B5C">
        <w:rPr>
          <w:rFonts w:ascii="Verdana" w:eastAsia="Calibri" w:hAnsi="Verdana" w:cs="Arial"/>
          <w:b/>
          <w:bCs/>
          <w:sz w:val="20"/>
          <w:szCs w:val="20"/>
        </w:rPr>
        <w:t xml:space="preserve">SUBASTA INVERSA – Regla de subsanabilidad – Tiempo límite – Alcance normativo </w:t>
      </w:r>
    </w:p>
    <w:p w14:paraId="6A99AD33" w14:textId="77777777" w:rsidR="00F71AFD" w:rsidRPr="00E60B5C" w:rsidRDefault="00F71AFD" w:rsidP="00F71AFD">
      <w:pPr>
        <w:spacing w:after="0" w:line="240" w:lineRule="auto"/>
        <w:ind w:right="49"/>
        <w:contextualSpacing/>
        <w:jc w:val="both"/>
        <w:rPr>
          <w:rFonts w:ascii="Verdana" w:eastAsia="Times New Roman" w:hAnsi="Verdana" w:cs="Arial"/>
          <w:sz w:val="20"/>
          <w:szCs w:val="20"/>
          <w:lang w:eastAsia="es-ES_tradnl"/>
          <w14:ligatures w14:val="standardContextual"/>
        </w:rPr>
      </w:pPr>
      <w:r w:rsidRPr="00E60B5C">
        <w:rPr>
          <w:rFonts w:ascii="Verdana" w:eastAsia="Calibri" w:hAnsi="Verdana" w:cs="Arial"/>
          <w:sz w:val="20"/>
          <w:szCs w:val="20"/>
          <w:lang w:val="es-ES_tradnl"/>
        </w:rPr>
        <w:t xml:space="preserve">“[…] </w:t>
      </w:r>
      <w:r w:rsidRPr="00E60B5C">
        <w:rPr>
          <w:rFonts w:ascii="Verdana" w:eastAsia="Times New Roman" w:hAnsi="Verdana" w:cs="Arial"/>
          <w:sz w:val="20"/>
          <w:szCs w:val="20"/>
          <w:lang w:eastAsia="es-ES_tradnl"/>
          <w14:ligatures w14:val="standardContextual"/>
        </w:rPr>
        <w:t xml:space="preserve">En ese orden de ideas, extendiendo las anteriores consideraciones a la regla de subsanabilidad consagrada en el parágrafo 4 del artículo 5 de la Ley 1150 de 2007 –adicionado por la Ley 1882 de 2018–, dada su identidad con la regulación del parágrafo 1 del artículo 5 de la ley 1150 de 2007 original –antes de ser modificada por la Ley 1882 de 2018– el inicio de la subasta es el momento hasta el cual la entidad cuenta con la facultad para requerir la subsanación de los documentos referentes a la futura contratación o a los proponentes, no necesarios para la comparación de las propuestas. </w:t>
      </w:r>
      <w:r w:rsidRPr="00E60B5C">
        <w:rPr>
          <w:rFonts w:ascii="Verdana" w:eastAsia="Times New Roman" w:hAnsi="Verdana" w:cs="Arial"/>
          <w:sz w:val="20"/>
          <w:szCs w:val="20"/>
          <w:lang w:eastAsia="es-ES_tradnl"/>
          <w14:ligatures w14:val="standardContextual"/>
        </w:rPr>
        <w:lastRenderedPageBreak/>
        <w:t xml:space="preserve">Para el ejercicio de tal facultad, las entidades de manera </w:t>
      </w:r>
      <w:r w:rsidRPr="00E60B5C">
        <w:rPr>
          <w:rFonts w:ascii="Verdana" w:eastAsia="Times New Roman" w:hAnsi="Verdana" w:cs="Arial"/>
          <w:i/>
          <w:iCs/>
          <w:sz w:val="20"/>
          <w:szCs w:val="20"/>
          <w:lang w:eastAsia="es-ES_tradnl"/>
          <w14:ligatures w14:val="standardContextual"/>
        </w:rPr>
        <w:t xml:space="preserve">ex ante </w:t>
      </w:r>
      <w:r w:rsidRPr="00E60B5C">
        <w:rPr>
          <w:rFonts w:ascii="Verdana" w:eastAsia="Times New Roman" w:hAnsi="Verdana" w:cs="Arial"/>
          <w:sz w:val="20"/>
          <w:szCs w:val="20"/>
          <w:lang w:eastAsia="es-ES_tradnl"/>
          <w14:ligatures w14:val="standardContextual"/>
        </w:rPr>
        <w:t xml:space="preserve">podrán establecer dentro del pliego de condiciones el periodo dentro del cual los participantes del proceso de selección podrán subsanar los documentos que requiera la entidad, o en su defecto, requerir por separado a cada proponente para que subsanen los respectivos documentos, fijándoles un término razonable, el cual en todo caso no podrá exceder el momento previo al inicio de la audiencia de subasta. Así mismo, dentro del pliego de condiciones podrán definir las veces en las cuales le será posible a los proponentes subsanar los documentos.  En sentido, atendiendo a la consulta planteada, la posibilidad de subsanar varias veces un determinado aspecto de la propuesta dependerá de lo establecido en el pliego de condiciones, pues la normativa no restringe el número de veces que un proponente podrá subsanar un determinado aspecto. </w:t>
      </w:r>
    </w:p>
    <w:p w14:paraId="24967377" w14:textId="77777777" w:rsidR="00F71AFD" w:rsidRPr="00E60B5C" w:rsidRDefault="00F71AFD" w:rsidP="00F71AFD">
      <w:pPr>
        <w:spacing w:line="240" w:lineRule="auto"/>
        <w:contextualSpacing/>
        <w:jc w:val="both"/>
        <w:rPr>
          <w:rFonts w:ascii="Verdana" w:eastAsia="Calibri" w:hAnsi="Verdana" w:cs="Arial"/>
          <w:sz w:val="20"/>
          <w:szCs w:val="20"/>
          <w:lang w:val="es-ES_tradnl"/>
        </w:rPr>
      </w:pPr>
    </w:p>
    <w:p w14:paraId="3AD87253" w14:textId="77777777" w:rsidR="00F71AFD" w:rsidRPr="00E60B5C" w:rsidRDefault="00F71AFD" w:rsidP="00F71AFD">
      <w:pPr>
        <w:spacing w:line="240" w:lineRule="auto"/>
        <w:contextualSpacing/>
        <w:jc w:val="both"/>
        <w:rPr>
          <w:rFonts w:ascii="Verdana" w:eastAsia="Calibri" w:hAnsi="Verdana" w:cs="Arial"/>
          <w:sz w:val="20"/>
          <w:szCs w:val="20"/>
          <w:lang w:val="es-ES_tradnl"/>
        </w:rPr>
      </w:pPr>
      <w:r w:rsidRPr="00E60B5C">
        <w:rPr>
          <w:rFonts w:ascii="Verdana" w:eastAsia="Calibri" w:hAnsi="Verdana" w:cs="Arial"/>
          <w:sz w:val="20"/>
          <w:szCs w:val="20"/>
          <w:lang w:val="es-ES_tradnl" w:eastAsia="es-ES_tradnl"/>
          <w14:ligatures w14:val="standardContextual"/>
        </w:rPr>
        <w:t>De esta manera, el parágrafo analizado</w:t>
      </w:r>
      <w:r w:rsidRPr="00E60B5C">
        <w:rPr>
          <w:rFonts w:ascii="Verdana" w:eastAsia="Calibri" w:hAnsi="Verdana" w:cs="Arial"/>
          <w:sz w:val="20"/>
          <w:szCs w:val="20"/>
          <w:lang w:eastAsia="es-ES_tradnl"/>
          <w14:ligatures w14:val="standardContextual"/>
        </w:rPr>
        <w:t xml:space="preserve"> permite a las entidades </w:t>
      </w:r>
      <w:r w:rsidRPr="00E60B5C">
        <w:rPr>
          <w:rFonts w:ascii="Verdana" w:eastAsia="Calibri" w:hAnsi="Verdana" w:cs="Arial"/>
          <w:i/>
          <w:iCs/>
          <w:sz w:val="20"/>
          <w:szCs w:val="20"/>
          <w:lang w:eastAsia="es-ES_tradnl"/>
          <w14:ligatures w14:val="standardContextual"/>
        </w:rPr>
        <w:t>solicitar</w:t>
      </w:r>
      <w:r w:rsidRPr="00E60B5C">
        <w:rPr>
          <w:rFonts w:ascii="Verdana" w:eastAsia="Calibri" w:hAnsi="Verdana" w:cs="Arial"/>
          <w:sz w:val="20"/>
          <w:szCs w:val="20"/>
          <w:lang w:eastAsia="es-ES_tradnl"/>
          <w14:ligatures w14:val="standardContextual"/>
        </w:rPr>
        <w:t xml:space="preserve"> a los oferentes que subsanen los documentos referentes a la futura contratación no necesarios para la comparación de las propuestas, hasta el momento previo a la realización a la subasta a la que hace referencia el artículo </w:t>
      </w:r>
      <w:r w:rsidRPr="00E60B5C">
        <w:rPr>
          <w:rFonts w:ascii="Verdana" w:eastAsia="Calibri" w:hAnsi="Verdana" w:cs="Arial"/>
          <w:sz w:val="20"/>
          <w:szCs w:val="20"/>
          <w:lang w:val="es-ES_tradnl" w:eastAsia="es-ES_tradnl"/>
          <w14:ligatures w14:val="standardContextual"/>
        </w:rPr>
        <w:t xml:space="preserve">2.2.1.2.1.2.2 del Decreto 1082 de 2015, momento que, además, deberá estar señalado en el pliego de condiciones, independientemente de que la entidad opte para desarrollar la audiencia de manera presencial o través del algún mecanismo electrónico. En defecto de lo anterior, las entidades también podrán </w:t>
      </w:r>
      <w:r w:rsidRPr="00E60B5C">
        <w:rPr>
          <w:rFonts w:ascii="Verdana" w:eastAsia="Calibri" w:hAnsi="Verdana" w:cs="Arial"/>
          <w:sz w:val="20"/>
          <w:szCs w:val="20"/>
          <w:lang w:eastAsia="es-ES_tradnl"/>
          <w14:ligatures w14:val="standardContextual"/>
        </w:rPr>
        <w:t xml:space="preserve">requerir por separado o conjuntamente a cada proponente para que subsanen los respectivos documentos, fijándoles un término razonable, el cual en todo caso no podrá exceder el momento previo al inicio de la audiencia de subasta, por lo que será anterior a ella. </w:t>
      </w:r>
      <w:r w:rsidRPr="00E60B5C">
        <w:rPr>
          <w:rFonts w:ascii="Verdana" w:eastAsia="Calibri" w:hAnsi="Verdana" w:cs="Arial"/>
          <w:sz w:val="20"/>
          <w:szCs w:val="20"/>
          <w:lang w:val="es-ES_tradnl"/>
        </w:rPr>
        <w:t>[…]”</w:t>
      </w:r>
    </w:p>
    <w:p w14:paraId="1CA6A8AE" w14:textId="77777777" w:rsidR="00F71AFD" w:rsidRDefault="00F71AFD" w:rsidP="00F71AFD">
      <w:pPr>
        <w:spacing w:line="276" w:lineRule="auto"/>
        <w:jc w:val="both"/>
        <w:rPr>
          <w:rFonts w:ascii="Verdana" w:eastAsia="Calibri" w:hAnsi="Verdana" w:cs="Arial"/>
          <w:b/>
          <w:bCs/>
          <w:lang w:val="es-ES_tradnl"/>
        </w:rPr>
      </w:pPr>
    </w:p>
    <w:p w14:paraId="40A1DC79" w14:textId="77777777" w:rsidR="00F71AFD" w:rsidRDefault="00F71AFD" w:rsidP="00F71AFD">
      <w:pPr>
        <w:spacing w:line="276" w:lineRule="auto"/>
        <w:jc w:val="both"/>
        <w:rPr>
          <w:rFonts w:ascii="Verdana" w:eastAsia="Calibri" w:hAnsi="Verdana" w:cs="Arial"/>
          <w:b/>
          <w:bCs/>
          <w:lang w:val="es-ES_tradnl"/>
        </w:rPr>
      </w:pPr>
    </w:p>
    <w:p w14:paraId="1C93EFD1" w14:textId="77777777" w:rsidR="00F71AFD" w:rsidRDefault="00F71AFD" w:rsidP="00F71AFD">
      <w:pPr>
        <w:spacing w:line="276" w:lineRule="auto"/>
        <w:jc w:val="both"/>
        <w:rPr>
          <w:rFonts w:ascii="Verdana" w:eastAsia="Calibri" w:hAnsi="Verdana" w:cs="Arial"/>
          <w:b/>
          <w:bCs/>
          <w:lang w:val="es-ES_tradnl"/>
        </w:rPr>
      </w:pPr>
    </w:p>
    <w:p w14:paraId="6DDAF172" w14:textId="77777777" w:rsidR="00F71AFD" w:rsidRDefault="00F71AFD" w:rsidP="00F71AFD">
      <w:pPr>
        <w:spacing w:line="276" w:lineRule="auto"/>
        <w:jc w:val="both"/>
        <w:rPr>
          <w:rFonts w:ascii="Verdana" w:eastAsia="Calibri" w:hAnsi="Verdana" w:cs="Arial"/>
          <w:b/>
          <w:bCs/>
          <w:lang w:val="es-ES_tradnl"/>
        </w:rPr>
      </w:pPr>
    </w:p>
    <w:p w14:paraId="1E8EA9F6" w14:textId="77777777" w:rsidR="00F71AFD" w:rsidRDefault="00F71AFD" w:rsidP="00F71AFD">
      <w:pPr>
        <w:spacing w:line="276" w:lineRule="auto"/>
        <w:jc w:val="both"/>
        <w:rPr>
          <w:rFonts w:ascii="Verdana" w:eastAsia="Calibri" w:hAnsi="Verdana" w:cs="Arial"/>
          <w:b/>
          <w:bCs/>
          <w:lang w:val="es-ES_tradnl"/>
        </w:rPr>
      </w:pPr>
    </w:p>
    <w:p w14:paraId="401C8838" w14:textId="77777777" w:rsidR="00F71AFD" w:rsidRDefault="00F71AFD" w:rsidP="00F71AFD">
      <w:pPr>
        <w:spacing w:line="276" w:lineRule="auto"/>
        <w:jc w:val="both"/>
        <w:rPr>
          <w:rFonts w:ascii="Verdana" w:eastAsia="Calibri" w:hAnsi="Verdana" w:cs="Arial"/>
          <w:b/>
          <w:bCs/>
          <w:lang w:val="es-ES_tradnl"/>
        </w:rPr>
      </w:pPr>
    </w:p>
    <w:p w14:paraId="755E66CF" w14:textId="77777777" w:rsidR="00F71AFD" w:rsidRDefault="00F71AFD" w:rsidP="00F71AFD">
      <w:pPr>
        <w:spacing w:line="276" w:lineRule="auto"/>
        <w:jc w:val="both"/>
        <w:rPr>
          <w:rFonts w:ascii="Verdana" w:eastAsia="Calibri" w:hAnsi="Verdana" w:cs="Arial"/>
          <w:b/>
          <w:bCs/>
          <w:lang w:val="es-ES_tradnl"/>
        </w:rPr>
      </w:pPr>
    </w:p>
    <w:p w14:paraId="713C3684" w14:textId="77777777" w:rsidR="00F71AFD" w:rsidRDefault="00F71AFD" w:rsidP="00F71AFD">
      <w:pPr>
        <w:spacing w:line="276" w:lineRule="auto"/>
        <w:jc w:val="both"/>
        <w:rPr>
          <w:rFonts w:ascii="Verdana" w:eastAsia="Calibri" w:hAnsi="Verdana" w:cs="Arial"/>
          <w:b/>
          <w:bCs/>
          <w:lang w:val="es-ES_tradnl"/>
        </w:rPr>
      </w:pPr>
    </w:p>
    <w:p w14:paraId="773D9BF7" w14:textId="77777777" w:rsidR="00F71AFD" w:rsidRDefault="00F71AFD" w:rsidP="00F71AFD">
      <w:pPr>
        <w:spacing w:line="276" w:lineRule="auto"/>
        <w:jc w:val="both"/>
        <w:rPr>
          <w:rFonts w:ascii="Verdana" w:eastAsia="Calibri" w:hAnsi="Verdana" w:cs="Arial"/>
          <w:b/>
          <w:bCs/>
          <w:lang w:val="es-ES_tradnl"/>
        </w:rPr>
      </w:pPr>
    </w:p>
    <w:p w14:paraId="28538FE1" w14:textId="77777777" w:rsidR="00F71AFD" w:rsidRDefault="00F71AFD" w:rsidP="00F71AFD">
      <w:pPr>
        <w:spacing w:line="276" w:lineRule="auto"/>
        <w:jc w:val="both"/>
        <w:rPr>
          <w:rFonts w:ascii="Verdana" w:eastAsia="Calibri" w:hAnsi="Verdana" w:cs="Arial"/>
          <w:b/>
          <w:bCs/>
          <w:lang w:val="es-ES_tradnl"/>
        </w:rPr>
      </w:pPr>
    </w:p>
    <w:p w14:paraId="6FF890FA" w14:textId="77777777" w:rsidR="00F71AFD" w:rsidRDefault="00F71AFD" w:rsidP="00F71AFD">
      <w:pPr>
        <w:spacing w:line="276" w:lineRule="auto"/>
        <w:jc w:val="both"/>
        <w:rPr>
          <w:rFonts w:ascii="Verdana" w:eastAsia="Calibri" w:hAnsi="Verdana" w:cs="Arial"/>
          <w:b/>
          <w:bCs/>
          <w:lang w:val="es-ES_tradnl"/>
        </w:rPr>
      </w:pPr>
    </w:p>
    <w:p w14:paraId="56386658" w14:textId="77777777" w:rsidR="00F71AFD" w:rsidRDefault="00F71AFD" w:rsidP="00F71AFD">
      <w:pPr>
        <w:spacing w:line="276" w:lineRule="auto"/>
        <w:jc w:val="both"/>
        <w:rPr>
          <w:rFonts w:ascii="Verdana" w:eastAsia="Calibri" w:hAnsi="Verdana" w:cs="Arial"/>
          <w:b/>
          <w:bCs/>
          <w:lang w:val="es-ES_tradnl"/>
        </w:rPr>
      </w:pPr>
    </w:p>
    <w:p w14:paraId="3FE9593E" w14:textId="77777777" w:rsidR="00F71AFD" w:rsidRDefault="00F71AFD" w:rsidP="00F71AFD">
      <w:pPr>
        <w:spacing w:line="276" w:lineRule="auto"/>
        <w:jc w:val="both"/>
        <w:rPr>
          <w:rFonts w:ascii="Verdana" w:eastAsia="Calibri" w:hAnsi="Verdana" w:cs="Arial"/>
          <w:b/>
          <w:bCs/>
          <w:lang w:val="es-ES_tradnl"/>
        </w:rPr>
      </w:pPr>
    </w:p>
    <w:p w14:paraId="7263E0F1" w14:textId="77777777" w:rsidR="00F71AFD" w:rsidRPr="004C6846" w:rsidRDefault="00F71AFD" w:rsidP="00F71AFD">
      <w:pPr>
        <w:spacing w:line="276" w:lineRule="auto"/>
        <w:jc w:val="both"/>
        <w:rPr>
          <w:rFonts w:ascii="Verdana" w:eastAsia="Calibri" w:hAnsi="Verdana" w:cs="Arial"/>
          <w:b/>
          <w:bCs/>
          <w:lang w:val="es-ES_tradnl"/>
        </w:rPr>
      </w:pPr>
    </w:p>
    <w:p w14:paraId="6AFCFDD8" w14:textId="77777777" w:rsidR="00F71AFD" w:rsidRDefault="00F71AFD" w:rsidP="00F71AFD">
      <w:pPr>
        <w:spacing w:after="0"/>
        <w:rPr>
          <w:rFonts w:ascii="Verdana" w:hAnsi="Verdana"/>
        </w:rPr>
      </w:pPr>
    </w:p>
    <w:p w14:paraId="3CF0D20C" w14:textId="77777777" w:rsidR="00F71AFD" w:rsidRDefault="00F71AFD" w:rsidP="00F71AFD">
      <w:pPr>
        <w:spacing w:after="0"/>
        <w:rPr>
          <w:rFonts w:ascii="Verdana" w:hAnsi="Verdana"/>
        </w:rPr>
      </w:pPr>
    </w:p>
    <w:p w14:paraId="7CB96A58" w14:textId="0370C97E" w:rsidR="00F71AFD" w:rsidRDefault="00F71AFD" w:rsidP="00F71AFD">
      <w:pPr>
        <w:spacing w:after="0"/>
        <w:rPr>
          <w:rFonts w:ascii="Verdana" w:hAnsi="Verdana"/>
        </w:rPr>
      </w:pPr>
      <w:r w:rsidRPr="0044528D">
        <w:rPr>
          <w:rFonts w:ascii="Verdana" w:hAnsi="Verdana"/>
        </w:rPr>
        <w:t xml:space="preserve">Bogotá D.C., </w:t>
      </w:r>
      <w:r>
        <w:rPr>
          <w:rFonts w:ascii="Verdana" w:hAnsi="Verdana"/>
        </w:rPr>
        <w:t xml:space="preserve">14 de </w:t>
      </w:r>
      <w:r w:rsidR="00562D15">
        <w:rPr>
          <w:rFonts w:ascii="Verdana" w:hAnsi="Verdana"/>
        </w:rPr>
        <w:t>abril de</w:t>
      </w:r>
      <w:r>
        <w:rPr>
          <w:rFonts w:ascii="Verdana" w:hAnsi="Verdana"/>
        </w:rPr>
        <w:t xml:space="preserve"> 2025.</w:t>
      </w:r>
    </w:p>
    <w:p w14:paraId="7031A847" w14:textId="77777777" w:rsidR="00F71AFD" w:rsidRDefault="00F71AFD" w:rsidP="00F71AFD">
      <w:pPr>
        <w:spacing w:after="0"/>
        <w:rPr>
          <w:rFonts w:ascii="Verdana" w:hAnsi="Verdana"/>
        </w:rPr>
      </w:pPr>
      <w:bookmarkStart w:id="2" w:name="_Hlk180638295"/>
      <w:bookmarkEnd w:id="0"/>
    </w:p>
    <w:p w14:paraId="3C11A4CD" w14:textId="77777777" w:rsidR="00F71AFD" w:rsidRDefault="00F71AFD" w:rsidP="00F71AFD">
      <w:pPr>
        <w:spacing w:after="0"/>
        <w:rPr>
          <w:rFonts w:ascii="Verdana" w:hAnsi="Verdana"/>
        </w:rPr>
      </w:pPr>
    </w:p>
    <w:p w14:paraId="0BEC33CD" w14:textId="77777777" w:rsidR="00F71AFD" w:rsidRPr="005E62E2" w:rsidRDefault="00F71AFD" w:rsidP="00F71AFD">
      <w:pPr>
        <w:spacing w:after="0" w:line="240" w:lineRule="auto"/>
        <w:jc w:val="both"/>
        <w:rPr>
          <w:rFonts w:ascii="Verdana" w:eastAsia="Calibri" w:hAnsi="Verdana" w:cs="Arial"/>
          <w:lang w:eastAsia="es-ES"/>
        </w:rPr>
      </w:pPr>
      <w:bookmarkStart w:id="3" w:name="_Hlk181166167"/>
      <w:r w:rsidRPr="005E62E2">
        <w:rPr>
          <w:rFonts w:ascii="Verdana" w:eastAsia="Calibri" w:hAnsi="Verdana" w:cs="Arial"/>
          <w:lang w:eastAsia="es-ES"/>
        </w:rPr>
        <w:t>Señor</w:t>
      </w:r>
      <w:r>
        <w:rPr>
          <w:rFonts w:ascii="Verdana" w:eastAsia="Calibri" w:hAnsi="Verdana" w:cs="Arial"/>
          <w:lang w:eastAsia="es-ES"/>
        </w:rPr>
        <w:t>a</w:t>
      </w:r>
      <w:r w:rsidRPr="005E62E2">
        <w:rPr>
          <w:rFonts w:ascii="Verdana" w:eastAsia="Calibri" w:hAnsi="Verdana" w:cs="Arial"/>
          <w:lang w:eastAsia="es-ES"/>
        </w:rPr>
        <w:tab/>
      </w:r>
    </w:p>
    <w:p w14:paraId="7F8C0574" w14:textId="77777777" w:rsidR="00F71AFD" w:rsidRDefault="00F71AFD" w:rsidP="00F71AFD">
      <w:pPr>
        <w:spacing w:after="0" w:line="240" w:lineRule="auto"/>
        <w:rPr>
          <w:rFonts w:ascii="Verdana" w:eastAsia="Calibri" w:hAnsi="Verdana" w:cs="Arial"/>
          <w:b/>
          <w:bCs/>
          <w:color w:val="000000"/>
          <w:lang w:eastAsia="es-ES_tradnl"/>
        </w:rPr>
      </w:pPr>
      <w:r w:rsidRPr="00CE68F9">
        <w:rPr>
          <w:rFonts w:ascii="Verdana" w:eastAsia="Calibri" w:hAnsi="Verdana" w:cs="Arial"/>
          <w:b/>
          <w:bCs/>
          <w:color w:val="000000"/>
          <w:lang w:eastAsia="es-ES_tradnl"/>
        </w:rPr>
        <w:t>YURY MARSELI HERNANDEZ MONSALVE</w:t>
      </w:r>
    </w:p>
    <w:p w14:paraId="39BA2602" w14:textId="77777777" w:rsidR="00F71AFD" w:rsidRDefault="00F71AFD" w:rsidP="00F71AFD">
      <w:pPr>
        <w:spacing w:after="0" w:line="240" w:lineRule="auto"/>
        <w:rPr>
          <w:rFonts w:ascii="Verdana" w:hAnsi="Verdana"/>
        </w:rPr>
      </w:pPr>
      <w:hyperlink r:id="rId10" w:history="1">
        <w:r w:rsidRPr="000539F8">
          <w:rPr>
            <w:rStyle w:val="Hipervnculo"/>
            <w:rFonts w:ascii="Verdana" w:hAnsi="Verdana"/>
          </w:rPr>
          <w:t>yuryhernandez@copnia.gov.co</w:t>
        </w:r>
      </w:hyperlink>
    </w:p>
    <w:p w14:paraId="3550DFBD" w14:textId="2B5F1BFF" w:rsidR="00F71AFD" w:rsidRDefault="00F71AFD" w:rsidP="00F71AFD">
      <w:pPr>
        <w:spacing w:after="0" w:line="240" w:lineRule="auto"/>
        <w:rPr>
          <w:rFonts w:ascii="Verdana" w:hAnsi="Verdana"/>
        </w:rPr>
      </w:pPr>
      <w:r>
        <w:rPr>
          <w:rFonts w:ascii="Verdana" w:hAnsi="Verdana"/>
        </w:rPr>
        <w:t>Bogotá D.C.</w:t>
      </w:r>
      <w:r w:rsidR="00562D15">
        <w:rPr>
          <w:rFonts w:ascii="Verdana" w:hAnsi="Verdana"/>
        </w:rPr>
        <w:t xml:space="preserve"> </w:t>
      </w:r>
    </w:p>
    <w:p w14:paraId="75E173F4" w14:textId="6FF82372" w:rsidR="00562D15" w:rsidRPr="00CE68F9" w:rsidRDefault="00562D15" w:rsidP="00F71AFD">
      <w:pPr>
        <w:spacing w:after="0" w:line="240" w:lineRule="auto"/>
        <w:rPr>
          <w:rFonts w:ascii="Verdana" w:hAnsi="Verdana"/>
        </w:rPr>
      </w:pPr>
      <w:r>
        <w:rPr>
          <w:rFonts w:ascii="Verdana" w:hAnsi="Verdana"/>
        </w:rPr>
        <w:t xml:space="preserve">                                                                  </w:t>
      </w:r>
      <w:r>
        <w:rPr>
          <w:noProof/>
        </w:rPr>
        <w:drawing>
          <wp:inline distT="0" distB="0" distL="0" distR="0" wp14:anchorId="7F32DA22" wp14:editId="5CE75292">
            <wp:extent cx="2362200" cy="609600"/>
            <wp:effectExtent l="0" t="0" r="0" b="0"/>
            <wp:docPr id="16103855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385514" name=""/>
                    <pic:cNvPicPr/>
                  </pic:nvPicPr>
                  <pic:blipFill>
                    <a:blip r:embed="rId11"/>
                    <a:stretch>
                      <a:fillRect/>
                    </a:stretch>
                  </pic:blipFill>
                  <pic:spPr>
                    <a:xfrm>
                      <a:off x="0" y="0"/>
                      <a:ext cx="2362200" cy="609600"/>
                    </a:xfrm>
                    <a:prstGeom prst="rect">
                      <a:avLst/>
                    </a:prstGeom>
                  </pic:spPr>
                </pic:pic>
              </a:graphicData>
            </a:graphic>
          </wp:inline>
        </w:drawing>
      </w:r>
    </w:p>
    <w:p w14:paraId="7AA4144C" w14:textId="77777777" w:rsidR="00F71AFD" w:rsidRDefault="00F71AFD" w:rsidP="00F71AFD">
      <w:pPr>
        <w:spacing w:after="0" w:line="240" w:lineRule="auto"/>
        <w:rPr>
          <w:rFonts w:ascii="Verdana" w:eastAsia="Calibri" w:hAnsi="Verdana" w:cs="Arial"/>
          <w:b/>
          <w:bCs/>
          <w:color w:val="000000"/>
          <w:lang w:val="es-ES_tradnl" w:eastAsia="es-ES_tradnl"/>
        </w:rPr>
      </w:pPr>
    </w:p>
    <w:p w14:paraId="03ABA21F" w14:textId="77777777" w:rsidR="00F71AFD" w:rsidRDefault="00F71AFD" w:rsidP="00F71AFD">
      <w:pPr>
        <w:spacing w:after="0" w:line="240" w:lineRule="auto"/>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F71AFD" w:rsidRPr="00593A5F" w14:paraId="07B09D26" w14:textId="77777777" w:rsidTr="00CE5515">
        <w:trPr>
          <w:trHeight w:val="884"/>
        </w:trPr>
        <w:tc>
          <w:tcPr>
            <w:tcW w:w="2410" w:type="dxa"/>
          </w:tcPr>
          <w:p w14:paraId="6A773223" w14:textId="77777777" w:rsidR="00F71AFD" w:rsidRPr="00E5644F" w:rsidRDefault="00F71AFD" w:rsidP="00CE5515">
            <w:pPr>
              <w:jc w:val="both"/>
              <w:rPr>
                <w:rFonts w:ascii="Verdana" w:eastAsia="Calibri" w:hAnsi="Verdana" w:cs="Arial"/>
                <w:b/>
                <w:bCs/>
                <w:color w:val="7030A0"/>
                <w:lang w:val="es-ES_tradnl" w:eastAsia="es-ES_tradnl"/>
              </w:rPr>
            </w:pPr>
          </w:p>
        </w:tc>
        <w:tc>
          <w:tcPr>
            <w:tcW w:w="6804" w:type="dxa"/>
            <w:gridSpan w:val="2"/>
          </w:tcPr>
          <w:p w14:paraId="79CB4F5D" w14:textId="77777777" w:rsidR="00F71AFD" w:rsidRPr="00E5644F" w:rsidRDefault="00F71AFD" w:rsidP="00CE5515">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 xml:space="preserve">289 </w:t>
            </w:r>
            <w:r w:rsidRPr="00E5644F">
              <w:rPr>
                <w:rFonts w:ascii="Verdana" w:eastAsia="Calibri" w:hAnsi="Verdana" w:cs="Arial"/>
                <w:b/>
                <w:bCs/>
                <w:lang w:val="es-ES" w:eastAsia="es-ES"/>
              </w:rPr>
              <w:t>de 202</w:t>
            </w:r>
            <w:r>
              <w:rPr>
                <w:rFonts w:ascii="Verdana" w:eastAsia="Calibri" w:hAnsi="Verdana" w:cs="Arial"/>
                <w:b/>
                <w:bCs/>
                <w:lang w:val="es-ES" w:eastAsia="es-ES"/>
              </w:rPr>
              <w:t>5</w:t>
            </w:r>
          </w:p>
        </w:tc>
      </w:tr>
      <w:tr w:rsidR="00F71AFD" w:rsidRPr="00593A5F" w14:paraId="0D87DBAC" w14:textId="77777777" w:rsidTr="00CE5515">
        <w:trPr>
          <w:trHeight w:val="884"/>
        </w:trPr>
        <w:tc>
          <w:tcPr>
            <w:tcW w:w="2410" w:type="dxa"/>
          </w:tcPr>
          <w:p w14:paraId="1D895FBF" w14:textId="77777777" w:rsidR="00F71AFD" w:rsidRPr="00593A5F" w:rsidRDefault="00F71AFD" w:rsidP="00CE5515">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3A2AEAEB" w14:textId="77777777" w:rsidR="00F71AFD" w:rsidRDefault="00F71AFD" w:rsidP="00CE5515">
            <w:pPr>
              <w:jc w:val="both"/>
              <w:rPr>
                <w:rFonts w:ascii="Verdana" w:hAnsi="Verdana" w:cs="Arial"/>
                <w:bCs/>
                <w:lang w:val="es-ES" w:eastAsia="es-ES_tradnl"/>
              </w:rPr>
            </w:pPr>
            <w:r w:rsidRPr="00E60B5C">
              <w:rPr>
                <w:rFonts w:ascii="Verdana" w:hAnsi="Verdana" w:cs="Arial"/>
                <w:bCs/>
                <w:lang w:val="es-ES" w:eastAsia="es-ES_tradnl"/>
              </w:rPr>
              <w:t xml:space="preserve">SUBSANABILIDAD DE LAS OFERTAS – Alcance de la regla – Ley 1882 de 2018– Ámbito temporal – Criterio material / SUBASTA INVERSA – Regla de subsanabilidad – Tiempo límite – Alcance normativo </w:t>
            </w:r>
          </w:p>
          <w:p w14:paraId="1B830C9E" w14:textId="77777777" w:rsidR="00F71AFD" w:rsidRPr="00606078" w:rsidRDefault="00F71AFD" w:rsidP="00CE5515">
            <w:pPr>
              <w:jc w:val="both"/>
              <w:rPr>
                <w:rFonts w:ascii="Verdana" w:eastAsia="Calibri" w:hAnsi="Verdana" w:cs="Arial"/>
                <w:b/>
                <w:highlight w:val="yellow"/>
                <w:lang w:val="es-ES" w:eastAsia="es-ES"/>
              </w:rPr>
            </w:pPr>
          </w:p>
        </w:tc>
      </w:tr>
      <w:tr w:rsidR="00F71AFD" w:rsidRPr="00593A5F" w14:paraId="1D87AF51" w14:textId="77777777" w:rsidTr="00CE5515">
        <w:tc>
          <w:tcPr>
            <w:tcW w:w="2410" w:type="dxa"/>
          </w:tcPr>
          <w:p w14:paraId="300319E5" w14:textId="77777777" w:rsidR="00F71AFD" w:rsidRPr="006730E9" w:rsidRDefault="00F71AFD" w:rsidP="00CE5515">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020539D1" w14:textId="77777777" w:rsidR="00F71AFD" w:rsidRPr="006730E9" w:rsidRDefault="00F71AFD" w:rsidP="00CE5515">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CE68F9">
              <w:rPr>
                <w:rFonts w:ascii="Verdana" w:eastAsia="Calibri" w:hAnsi="Verdana" w:cs="Arial"/>
                <w:lang w:val="es-ES_tradnl" w:eastAsia="es-ES_tradnl"/>
              </w:rPr>
              <w:t>P20250310002343</w:t>
            </w:r>
            <w:r>
              <w:rPr>
                <w:rFonts w:ascii="Verdana" w:eastAsia="Calibri" w:hAnsi="Verdana" w:cs="Arial"/>
                <w:lang w:val="es-ES_tradnl" w:eastAsia="es-ES_tradnl"/>
              </w:rPr>
              <w:t>.</w:t>
            </w:r>
          </w:p>
        </w:tc>
      </w:tr>
      <w:tr w:rsidR="00F71AFD" w:rsidRPr="00DB23D2" w14:paraId="0F27D1EF" w14:textId="77777777" w:rsidTr="00CE5515">
        <w:trPr>
          <w:gridAfter w:val="1"/>
          <w:wAfter w:w="336" w:type="dxa"/>
          <w:trHeight w:val="233"/>
        </w:trPr>
        <w:tc>
          <w:tcPr>
            <w:tcW w:w="8878" w:type="dxa"/>
            <w:gridSpan w:val="2"/>
          </w:tcPr>
          <w:p w14:paraId="795D663B" w14:textId="77777777" w:rsidR="00F71AFD" w:rsidRPr="00DB23D2" w:rsidRDefault="00F71AFD" w:rsidP="00CE5515">
            <w:pPr>
              <w:spacing w:after="120" w:line="276" w:lineRule="auto"/>
              <w:jc w:val="both"/>
              <w:rPr>
                <w:rFonts w:ascii="Verdana" w:eastAsia="Calibri" w:hAnsi="Verdana" w:cs="Arial"/>
                <w:lang w:val="es-ES_tradnl" w:eastAsia="es-ES"/>
              </w:rPr>
            </w:pPr>
          </w:p>
        </w:tc>
      </w:tr>
    </w:tbl>
    <w:p w14:paraId="05AD71E7" w14:textId="77777777" w:rsidR="00F71AFD" w:rsidRPr="006730E9" w:rsidRDefault="00F71AFD" w:rsidP="00F71AFD">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a </w:t>
      </w:r>
      <w:r w:rsidRPr="006730E9">
        <w:rPr>
          <w:rFonts w:ascii="Verdana" w:eastAsia="Calibri" w:hAnsi="Verdana" w:cs="Arial"/>
          <w:lang w:val="es-ES" w:eastAsia="es-ES"/>
        </w:rPr>
        <w:t>señor</w:t>
      </w:r>
      <w:r>
        <w:rPr>
          <w:rFonts w:ascii="Verdana" w:eastAsia="Calibri" w:hAnsi="Verdana" w:cs="Arial"/>
          <w:lang w:val="es-ES" w:eastAsia="es-ES"/>
        </w:rPr>
        <w:t>a Hernández;</w:t>
      </w:r>
    </w:p>
    <w:p w14:paraId="69F7679C" w14:textId="77777777" w:rsidR="00F71AFD" w:rsidRDefault="00F71AFD" w:rsidP="00F71AFD">
      <w:pPr>
        <w:tabs>
          <w:tab w:val="left" w:pos="3768"/>
        </w:tabs>
        <w:spacing w:after="0" w:line="276" w:lineRule="auto"/>
        <w:jc w:val="both"/>
        <w:rPr>
          <w:rFonts w:ascii="Verdana" w:eastAsia="Calibri" w:hAnsi="Verdana" w:cs="Arial"/>
          <w:color w:val="000000" w:themeColor="text1"/>
          <w:lang w:val="es-ES" w:eastAsia="es-ES"/>
        </w:rPr>
      </w:pPr>
    </w:p>
    <w:p w14:paraId="534EAA75" w14:textId="77777777" w:rsidR="00F71AFD" w:rsidRPr="006730E9" w:rsidRDefault="00F71AFD" w:rsidP="00F71AFD">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 xml:space="preserve">11 </w:t>
      </w:r>
      <w:r w:rsidRPr="00E5644F">
        <w:rPr>
          <w:rFonts w:ascii="Verdana" w:eastAsia="Calibri" w:hAnsi="Verdana" w:cs="Arial"/>
          <w:lang w:val="es-ES" w:eastAsia="es-ES"/>
        </w:rPr>
        <w:t xml:space="preserve">de </w:t>
      </w:r>
      <w:r>
        <w:rPr>
          <w:rFonts w:ascii="Verdana" w:eastAsia="Calibri" w:hAnsi="Verdana" w:cs="Arial"/>
          <w:lang w:val="es-ES" w:eastAsia="es-ES"/>
        </w:rPr>
        <w:t>marzo</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0BEE1BBB" w14:textId="77777777" w:rsidR="00F71AFD" w:rsidRPr="00326382" w:rsidRDefault="00F71AFD" w:rsidP="00F71AFD">
      <w:pPr>
        <w:spacing w:after="0" w:line="240" w:lineRule="auto"/>
        <w:ind w:left="709" w:right="474"/>
        <w:jc w:val="both"/>
        <w:rPr>
          <w:rFonts w:ascii="Verdana" w:hAnsi="Verdana" w:cs="Arial"/>
          <w:sz w:val="20"/>
          <w:szCs w:val="20"/>
          <w:shd w:val="clear" w:color="auto" w:fill="FFFFFF"/>
        </w:rPr>
      </w:pPr>
      <w:bookmarkStart w:id="4" w:name="_Hlk95313578"/>
    </w:p>
    <w:bookmarkEnd w:id="4"/>
    <w:p w14:paraId="48AA8483" w14:textId="77777777" w:rsidR="00F71AFD" w:rsidRPr="005758A5" w:rsidRDefault="00F71AFD" w:rsidP="00F71AFD">
      <w:pPr>
        <w:pStyle w:val="Prrafodelista"/>
        <w:tabs>
          <w:tab w:val="left" w:pos="142"/>
          <w:tab w:val="left" w:pos="284"/>
        </w:tabs>
        <w:ind w:left="709" w:right="709"/>
        <w:jc w:val="both"/>
        <w:rPr>
          <w:rFonts w:ascii="Verdana" w:eastAsia="Century Gothic" w:hAnsi="Verdana" w:cs="Century Gothic"/>
          <w:i/>
          <w:iCs/>
        </w:rPr>
      </w:pPr>
      <w:r w:rsidRPr="005758A5">
        <w:rPr>
          <w:rFonts w:ascii="Verdana" w:eastAsia="Century Gothic" w:hAnsi="Verdana" w:cs="Century Gothic"/>
          <w:i/>
          <w:iCs/>
          <w:lang w:val="es-CO"/>
        </w:rPr>
        <w:t>“(…)</w:t>
      </w:r>
    </w:p>
    <w:p w14:paraId="50AA7C8A" w14:textId="77777777" w:rsidR="00F71AFD" w:rsidRPr="005758A5" w:rsidRDefault="00F71AFD" w:rsidP="00F71AFD">
      <w:pPr>
        <w:pStyle w:val="Prrafodelista"/>
        <w:tabs>
          <w:tab w:val="left" w:pos="142"/>
          <w:tab w:val="left" w:pos="284"/>
        </w:tabs>
        <w:ind w:left="709" w:right="709"/>
        <w:jc w:val="both"/>
        <w:rPr>
          <w:rFonts w:ascii="Verdana" w:eastAsia="Century Gothic" w:hAnsi="Verdana" w:cs="Century Gothic"/>
          <w:i/>
          <w:iCs/>
          <w:lang w:val="es-CO"/>
        </w:rPr>
      </w:pPr>
      <w:r w:rsidRPr="00CE68F9">
        <w:rPr>
          <w:rFonts w:ascii="Verdana" w:eastAsia="Century Gothic" w:hAnsi="Verdana" w:cs="Century Gothic"/>
          <w:i/>
          <w:iCs/>
          <w:lang w:val="es-CO"/>
        </w:rPr>
        <w:t>¿</w:t>
      </w:r>
      <w:r>
        <w:rPr>
          <w:rFonts w:ascii="Verdana" w:eastAsia="Century Gothic" w:hAnsi="Verdana" w:cs="Century Gothic"/>
          <w:i/>
          <w:iCs/>
          <w:lang w:val="es-CO"/>
        </w:rPr>
        <w:t>C</w:t>
      </w:r>
      <w:r w:rsidRPr="00CE68F9">
        <w:rPr>
          <w:rFonts w:ascii="Verdana" w:eastAsia="Century Gothic" w:hAnsi="Verdana" w:cs="Century Gothic"/>
          <w:i/>
          <w:iCs/>
          <w:lang w:val="es-CO"/>
        </w:rPr>
        <w:t>uál es el momento limite en que un proponente puede subsanar sus habilitantes</w:t>
      </w:r>
      <w:r>
        <w:rPr>
          <w:rFonts w:ascii="Verdana" w:eastAsia="Century Gothic" w:hAnsi="Verdana" w:cs="Century Gothic"/>
          <w:i/>
          <w:iCs/>
          <w:lang w:val="es-CO"/>
        </w:rPr>
        <w:t xml:space="preserve"> </w:t>
      </w:r>
      <w:r w:rsidRPr="00CE68F9">
        <w:rPr>
          <w:rFonts w:ascii="Verdana" w:eastAsia="Century Gothic" w:hAnsi="Verdana" w:cs="Century Gothic"/>
          <w:i/>
          <w:iCs/>
          <w:lang w:val="es-CO"/>
        </w:rPr>
        <w:t>en un proceso de selección por subasta inversa electrónica? ¿puede un proponente</w:t>
      </w:r>
      <w:r>
        <w:rPr>
          <w:rFonts w:ascii="Verdana" w:eastAsia="Century Gothic" w:hAnsi="Verdana" w:cs="Century Gothic"/>
          <w:i/>
          <w:iCs/>
          <w:lang w:val="es-CO"/>
        </w:rPr>
        <w:t xml:space="preserve"> </w:t>
      </w:r>
      <w:r w:rsidRPr="00CE68F9">
        <w:rPr>
          <w:rFonts w:ascii="Verdana" w:eastAsia="Century Gothic" w:hAnsi="Verdana" w:cs="Century Gothic"/>
          <w:i/>
          <w:iCs/>
          <w:lang w:val="es-CO"/>
        </w:rPr>
        <w:t>allegar subsanación después de que se hayan apertura sobres económicos dado</w:t>
      </w:r>
      <w:r>
        <w:rPr>
          <w:rFonts w:ascii="Verdana" w:eastAsia="Century Gothic" w:hAnsi="Verdana" w:cs="Century Gothic"/>
          <w:i/>
          <w:iCs/>
          <w:lang w:val="es-CO"/>
        </w:rPr>
        <w:t xml:space="preserve"> </w:t>
      </w:r>
      <w:r w:rsidRPr="00CE68F9">
        <w:rPr>
          <w:rFonts w:ascii="Verdana" w:eastAsia="Century Gothic" w:hAnsi="Verdana" w:cs="Century Gothic"/>
          <w:i/>
          <w:iCs/>
          <w:lang w:val="es-CO"/>
        </w:rPr>
        <w:t xml:space="preserve">que en la plataforma no ha iniciado aún el evento de </w:t>
      </w:r>
      <w:proofErr w:type="gramStart"/>
      <w:r w:rsidRPr="00CE68F9">
        <w:rPr>
          <w:rFonts w:ascii="Verdana" w:eastAsia="Century Gothic" w:hAnsi="Verdana" w:cs="Century Gothic"/>
          <w:i/>
          <w:iCs/>
          <w:lang w:val="es-CO"/>
        </w:rPr>
        <w:t>subasta?</w:t>
      </w:r>
      <w:r w:rsidRPr="005758A5">
        <w:rPr>
          <w:rFonts w:ascii="Verdana" w:eastAsia="Century Gothic" w:hAnsi="Verdana" w:cs="Century Gothic"/>
          <w:i/>
          <w:iCs/>
          <w:lang w:val="es-CO"/>
        </w:rPr>
        <w:t>“</w:t>
      </w:r>
      <w:proofErr w:type="gramEnd"/>
    </w:p>
    <w:p w14:paraId="3778AA00" w14:textId="77777777" w:rsidR="00F71AFD" w:rsidRPr="005758A5" w:rsidRDefault="00F71AFD" w:rsidP="00F71AFD">
      <w:pPr>
        <w:pStyle w:val="Prrafodelista"/>
        <w:tabs>
          <w:tab w:val="left" w:pos="142"/>
          <w:tab w:val="left" w:pos="284"/>
        </w:tabs>
        <w:ind w:left="709" w:right="709"/>
        <w:jc w:val="both"/>
        <w:rPr>
          <w:rFonts w:ascii="Verdana" w:eastAsia="Century Gothic" w:hAnsi="Verdana" w:cs="Century Gothic"/>
          <w:i/>
          <w:iCs/>
        </w:rPr>
      </w:pPr>
      <w:r w:rsidRPr="005758A5">
        <w:rPr>
          <w:rFonts w:ascii="Verdana" w:eastAsia="Century Gothic" w:hAnsi="Verdana" w:cs="Century Gothic"/>
          <w:i/>
          <w:iCs/>
          <w:lang w:val="es-CO"/>
        </w:rPr>
        <w:t>(…)</w:t>
      </w:r>
    </w:p>
    <w:p w14:paraId="2B1EA31C" w14:textId="77777777" w:rsidR="00F71AFD" w:rsidRPr="00AA3B9F" w:rsidRDefault="00F71AFD" w:rsidP="00F71AFD">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51642C3B" w14:textId="77777777" w:rsidR="00F71AFD" w:rsidRDefault="00F71AFD" w:rsidP="00F71AFD">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5DA5A277" w14:textId="77777777" w:rsidR="00F71AFD" w:rsidRDefault="00F71AFD" w:rsidP="00F71AFD">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3656A505" w14:textId="77777777" w:rsidR="00F71AFD" w:rsidRPr="00593A5F" w:rsidRDefault="00F71AFD" w:rsidP="00F71AF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 xml:space="preserve">Problema </w:t>
      </w:r>
      <w:r>
        <w:rPr>
          <w:rFonts w:ascii="Verdana" w:eastAsia="Century Gothic" w:hAnsi="Verdana" w:cs="Century Gothic"/>
          <w:b/>
          <w:bCs/>
        </w:rPr>
        <w:t xml:space="preserve">jurídico </w:t>
      </w:r>
      <w:r w:rsidRPr="00593A5F">
        <w:rPr>
          <w:rFonts w:ascii="Verdana" w:eastAsia="Century Gothic" w:hAnsi="Verdana" w:cs="Century Gothic"/>
          <w:b/>
          <w:bCs/>
        </w:rPr>
        <w:t>planteado:</w:t>
      </w:r>
    </w:p>
    <w:p w14:paraId="350578F9" w14:textId="77777777" w:rsidR="00F71AFD" w:rsidRPr="00593A5F" w:rsidRDefault="00F71AFD" w:rsidP="00F71AFD">
      <w:pPr>
        <w:tabs>
          <w:tab w:val="left" w:pos="426"/>
        </w:tabs>
        <w:spacing w:after="0" w:line="276" w:lineRule="auto"/>
        <w:jc w:val="both"/>
        <w:rPr>
          <w:rFonts w:ascii="Verdana" w:eastAsia="Century Gothic" w:hAnsi="Verdana" w:cs="Century Gothic"/>
          <w:lang w:val="es-ES"/>
        </w:rPr>
      </w:pPr>
    </w:p>
    <w:p w14:paraId="2DFEBF3A" w14:textId="77777777" w:rsidR="00F71AFD" w:rsidRDefault="00F71AFD" w:rsidP="00F71AFD">
      <w:pPr>
        <w:pStyle w:val="Prrafodelista"/>
        <w:ind w:left="0" w:right="49"/>
        <w:jc w:val="both"/>
        <w:rPr>
          <w:rFonts w:ascii="Verdana" w:eastAsia="Century Gothic" w:hAnsi="Verdana" w:cs="Century Gothic"/>
          <w:lang w:val="es-CO"/>
        </w:rPr>
      </w:pPr>
      <w:r w:rsidRPr="00B22D91">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el siguiente </w:t>
      </w:r>
      <w:r w:rsidRPr="00B22D91">
        <w:rPr>
          <w:rFonts w:ascii="Verdana" w:eastAsia="Century Gothic" w:hAnsi="Verdana" w:cs="Century Gothic"/>
        </w:rPr>
        <w:t>problema jurídico</w:t>
      </w:r>
      <w:r>
        <w:rPr>
          <w:rFonts w:ascii="Verdana" w:eastAsia="Century Gothic" w:hAnsi="Verdana" w:cs="Century Gothic"/>
        </w:rPr>
        <w:t>s</w:t>
      </w:r>
      <w:r w:rsidRPr="00B22D91">
        <w:rPr>
          <w:rFonts w:ascii="Verdana" w:eastAsia="Century Gothic" w:hAnsi="Verdana" w:cs="Century Gothic"/>
        </w:rPr>
        <w:t>:</w:t>
      </w:r>
      <w:r>
        <w:rPr>
          <w:rFonts w:ascii="Verdana" w:eastAsia="Century Gothic" w:hAnsi="Verdana" w:cs="Century Gothic"/>
        </w:rPr>
        <w:t xml:space="preserve"> </w:t>
      </w:r>
      <w:r w:rsidRPr="00643516">
        <w:rPr>
          <w:rFonts w:ascii="Verdana" w:eastAsia="Century Gothic" w:hAnsi="Verdana" w:cs="Century Gothic"/>
          <w:lang w:val="es-CO"/>
        </w:rPr>
        <w:t>¿Es válido jurídicamente que un proponente subsane sus requisitos habilitantes luego de la apertura de sobres económicos en un proceso de subasta inversa electrónica, considerando que aún no se ha iniciado el evento en la plataforma?</w:t>
      </w:r>
    </w:p>
    <w:p w14:paraId="20FAD496" w14:textId="77777777" w:rsidR="00F71AFD" w:rsidRDefault="00F71AFD" w:rsidP="00F71AFD">
      <w:pPr>
        <w:pStyle w:val="Prrafodelista"/>
        <w:ind w:left="0" w:right="49"/>
        <w:jc w:val="both"/>
        <w:rPr>
          <w:rFonts w:ascii="Verdana" w:eastAsia="Century Gothic" w:hAnsi="Verdana" w:cs="Century Gothic"/>
          <w:lang w:val="es-CO"/>
        </w:rPr>
      </w:pPr>
    </w:p>
    <w:p w14:paraId="51BA4107" w14:textId="77777777" w:rsidR="00F71AFD" w:rsidRPr="00593A5F" w:rsidRDefault="00F71AFD" w:rsidP="00F71AF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15D8EC5" w14:textId="77777777" w:rsidR="00F71AFD" w:rsidRPr="00593A5F" w:rsidRDefault="00F71AFD" w:rsidP="00F71AF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71AFD" w:rsidRPr="00593A5F" w14:paraId="24A77FC9" w14:textId="77777777" w:rsidTr="00CE5515">
        <w:tc>
          <w:tcPr>
            <w:tcW w:w="8828" w:type="dxa"/>
            <w:shd w:val="clear" w:color="auto" w:fill="auto"/>
          </w:tcPr>
          <w:p w14:paraId="2D3B049E" w14:textId="77777777" w:rsidR="00F71AFD" w:rsidRDefault="00F71AFD" w:rsidP="00CE5515">
            <w:pPr>
              <w:spacing w:line="276" w:lineRule="auto"/>
              <w:jc w:val="both"/>
              <w:rPr>
                <w:rFonts w:ascii="Verdana" w:hAnsi="Verdana"/>
              </w:rPr>
            </w:pPr>
            <w:r w:rsidRPr="004A7B64">
              <w:rPr>
                <w:rFonts w:ascii="Verdana" w:eastAsia="Arial MT" w:hAnsi="Verdana" w:cs="Arial"/>
                <w:lang w:eastAsia="es-ES" w:bidi="es-ES"/>
              </w:rPr>
              <w:t xml:space="preserve">      </w:t>
            </w:r>
            <w:r w:rsidRPr="004A7B64">
              <w:rPr>
                <w:rFonts w:ascii="Verdana" w:hAnsi="Verdana"/>
              </w:rPr>
              <w:t xml:space="preserve"> </w:t>
            </w:r>
          </w:p>
          <w:p w14:paraId="4C2CEE59" w14:textId="77777777" w:rsidR="00F71AFD" w:rsidRDefault="00F71AFD" w:rsidP="00CE5515">
            <w:pPr>
              <w:spacing w:line="276" w:lineRule="auto"/>
              <w:jc w:val="both"/>
              <w:rPr>
                <w:rFonts w:ascii="Verdana" w:eastAsia="Calibri" w:hAnsi="Verdana" w:cs="Arial"/>
              </w:rPr>
            </w:pPr>
            <w:r>
              <w:rPr>
                <w:rFonts w:ascii="Verdana" w:hAnsi="Verdana"/>
              </w:rPr>
              <w:t xml:space="preserve">        De manera preliminar es pertinente indicar que e</w:t>
            </w:r>
            <w:r w:rsidRPr="004C6846">
              <w:rPr>
                <w:rFonts w:ascii="Verdana" w:eastAsia="Calibri" w:hAnsi="Verdana" w:cs="Arial"/>
              </w:rPr>
              <w:t xml:space="preserve">n torno a la subsanabilidad de las ofertas </w:t>
            </w:r>
            <w:r>
              <w:rPr>
                <w:rFonts w:ascii="Verdana" w:eastAsia="Calibri" w:hAnsi="Verdana" w:cs="Arial"/>
              </w:rPr>
              <w:t>se debe dar aplicación a</w:t>
            </w:r>
            <w:r w:rsidRPr="004C6846">
              <w:rPr>
                <w:rFonts w:ascii="Verdana" w:eastAsia="Calibri" w:hAnsi="Verdana" w:cs="Arial"/>
              </w:rPr>
              <w:t xml:space="preserve"> las reglas </w:t>
            </w:r>
            <w:r>
              <w:rPr>
                <w:rFonts w:ascii="Verdana" w:eastAsia="Calibri" w:hAnsi="Verdana" w:cs="Arial"/>
              </w:rPr>
              <w:t>previstas</w:t>
            </w:r>
            <w:r w:rsidRPr="004C6846">
              <w:rPr>
                <w:rFonts w:ascii="Verdana" w:eastAsia="Calibri" w:hAnsi="Verdana" w:cs="Arial"/>
              </w:rPr>
              <w:t xml:space="preserve"> en la Ley 1882 de 2018</w:t>
            </w:r>
            <w:r>
              <w:rPr>
                <w:rFonts w:ascii="Verdana" w:eastAsia="Calibri" w:hAnsi="Verdana" w:cs="Arial"/>
              </w:rPr>
              <w:t>, las cuales mantienen</w:t>
            </w:r>
            <w:r w:rsidRPr="004C6846">
              <w:rPr>
                <w:rFonts w:ascii="Verdana" w:eastAsia="Calibri" w:hAnsi="Verdana" w:cs="Arial"/>
              </w:rPr>
              <w:t xml:space="preserve"> </w:t>
            </w:r>
            <w:r>
              <w:rPr>
                <w:rFonts w:ascii="Verdana" w:eastAsia="Calibri" w:hAnsi="Verdana" w:cs="Arial"/>
              </w:rPr>
              <w:t>e</w:t>
            </w:r>
            <w:r w:rsidRPr="004C6846">
              <w:rPr>
                <w:rFonts w:ascii="Verdana" w:eastAsia="Calibri" w:hAnsi="Verdana" w:cs="Arial"/>
              </w:rPr>
              <w:t>l criterio de la Ley 80 de 1993</w:t>
            </w:r>
            <w:r>
              <w:rPr>
                <w:rFonts w:ascii="Verdana" w:eastAsia="Calibri" w:hAnsi="Verdana" w:cs="Arial"/>
              </w:rPr>
              <w:t xml:space="preserve"> mediante el cual </w:t>
            </w:r>
            <w:r w:rsidRPr="004C6846">
              <w:rPr>
                <w:rFonts w:ascii="Verdana" w:eastAsia="Calibri" w:hAnsi="Verdana" w:cs="Arial"/>
              </w:rPr>
              <w:t>todo lo que no sea necesario para la comparación de propuestas no es argumento suficiente para su rechazo</w:t>
            </w:r>
            <w:r>
              <w:rPr>
                <w:rFonts w:ascii="Verdana" w:eastAsia="Calibri" w:hAnsi="Verdana" w:cs="Arial"/>
              </w:rPr>
              <w:t>.</w:t>
            </w:r>
            <w:r w:rsidRPr="004C6846">
              <w:rPr>
                <w:rFonts w:ascii="Verdana" w:eastAsia="Calibri" w:hAnsi="Verdana" w:cs="Arial"/>
              </w:rPr>
              <w:t xml:space="preserve"> </w:t>
            </w:r>
          </w:p>
          <w:p w14:paraId="72C0BB13" w14:textId="77777777" w:rsidR="00F71AFD" w:rsidRDefault="00F71AFD" w:rsidP="00CE5515">
            <w:pPr>
              <w:spacing w:line="276" w:lineRule="auto"/>
              <w:jc w:val="both"/>
              <w:rPr>
                <w:rFonts w:ascii="Verdana" w:eastAsia="Calibri" w:hAnsi="Verdana" w:cs="Arial"/>
              </w:rPr>
            </w:pPr>
          </w:p>
          <w:p w14:paraId="66D5B392" w14:textId="77777777" w:rsidR="00F71AFD" w:rsidRPr="004C6846" w:rsidRDefault="00F71AFD" w:rsidP="00CE5515">
            <w:pPr>
              <w:spacing w:line="276" w:lineRule="auto"/>
              <w:jc w:val="both"/>
              <w:rPr>
                <w:rFonts w:ascii="Verdana" w:eastAsia="Calibri" w:hAnsi="Verdana" w:cs="Arial"/>
              </w:rPr>
            </w:pPr>
            <w:r>
              <w:rPr>
                <w:rFonts w:ascii="Verdana" w:eastAsia="Calibri" w:hAnsi="Verdana" w:cs="Arial"/>
              </w:rPr>
              <w:t>En este orden de ideas,</w:t>
            </w:r>
            <w:r w:rsidRPr="004C6846">
              <w:rPr>
                <w:rFonts w:ascii="Verdana" w:eastAsia="Calibri" w:hAnsi="Verdana" w:cs="Arial"/>
              </w:rPr>
              <w:t xml:space="preserve"> si los requisitos no otorgan puntaje y tienen el carácter de habilitantes para la participación en el proceso de contratación, se entiende </w:t>
            </w:r>
            <w:r w:rsidRPr="004C6846">
              <w:rPr>
                <w:rFonts w:ascii="Verdana" w:eastAsia="Calibri" w:hAnsi="Verdana" w:cs="Arial"/>
              </w:rPr>
              <w:lastRenderedPageBreak/>
              <w:t xml:space="preserve">que, en principio, pueden subsanarse. Además, se precisa que en el caso de la subasta </w:t>
            </w:r>
            <w:r>
              <w:rPr>
                <w:rFonts w:ascii="Verdana" w:eastAsia="Calibri" w:hAnsi="Verdana" w:cs="Arial"/>
              </w:rPr>
              <w:t>inversa electrónica</w:t>
            </w:r>
            <w:r w:rsidRPr="004C6846">
              <w:rPr>
                <w:rFonts w:ascii="Verdana" w:eastAsia="Calibri" w:hAnsi="Verdana" w:cs="Arial"/>
              </w:rPr>
              <w:t xml:space="preserve"> no debe perderse de vista que para este tipo de procedimientos también serán aplicables los criterios desarrollados en este concepto, para determinar si los documentos faltantes son susceptibles o no de subsanación, analizando si inciden o no en la asignación de puntaje y si se relacionan con el cumplimiento de un requisito que constituye una circunstancia ocurrida con anterioridad o con posterioridad al cierre del proceso. No obstante, debe tenerse en consideración que la subsanabilidad de los aspectos técnicos, no puede conducir a la modificación del precio de la oferta, puesto que, en este caso en particular, no podrían ser objeto de subsanación.</w:t>
            </w:r>
          </w:p>
          <w:p w14:paraId="2F56E8FE" w14:textId="77777777" w:rsidR="00F71AFD" w:rsidRPr="004C6846" w:rsidRDefault="00F71AFD" w:rsidP="00CE5515">
            <w:pPr>
              <w:spacing w:line="276" w:lineRule="auto"/>
              <w:jc w:val="both"/>
              <w:rPr>
                <w:rFonts w:ascii="Verdana" w:eastAsia="Calibri" w:hAnsi="Verdana" w:cs="Arial"/>
              </w:rPr>
            </w:pPr>
          </w:p>
          <w:p w14:paraId="343522E7" w14:textId="77777777" w:rsidR="00F71AFD" w:rsidRPr="004C6846" w:rsidRDefault="00F71AFD" w:rsidP="00CE5515">
            <w:pPr>
              <w:spacing w:line="276" w:lineRule="auto"/>
              <w:jc w:val="both"/>
              <w:rPr>
                <w:rFonts w:ascii="Verdana" w:eastAsia="Calibri" w:hAnsi="Verdana" w:cs="Arial"/>
              </w:rPr>
            </w:pPr>
            <w:r w:rsidRPr="004C6846">
              <w:rPr>
                <w:rFonts w:ascii="Verdana" w:eastAsia="Calibri" w:hAnsi="Verdana" w:cs="Arial"/>
              </w:rPr>
              <w:t>En ese orden de ideas, extendiendo las anteriores consideraciones a la regla de subsanabilidad consagrada en el parágrafo 4 del artículo 5 de la Ley 1150 de 2007 – adicionado por la Ley 1882 de 2018–, dada su identidad con la regulación del parágrafo 1 del artículo 5 de la ley 1150 de 2007 original –antes de ser modificada por la Ley 1882 de 2018– el inicio de la subasta es el momento hasta el cual la entidad cuenta con la facultad para requerir la subsanación de los documentos referentes a la futura contratación o a los proponentes, no necesarios para la comparación de las propuestas. Para el ejercicio de tal facultad, las entidades de manera ex ante podrán establecer dentro del pliego de condiciones el periodo dentro del cual los participantes del proceso de selección podrán subsanar los documentos que requiera la entidad, o en su defecto, requerir por separado a cada proponente para que subsanen los respectivos documentos, fijándoles un término razonable, el cual en todo caso no podrá exceder el momento previo al inicio de la audiencia de subasta. Así mismo, dentro del pliego de condiciones podrán definir las veces en las cuales le será posible a los proponentes subsanar los documentos.</w:t>
            </w:r>
          </w:p>
          <w:p w14:paraId="7588CE75" w14:textId="77777777" w:rsidR="00F71AFD" w:rsidRPr="004C6846" w:rsidRDefault="00F71AFD" w:rsidP="00CE5515">
            <w:pPr>
              <w:spacing w:line="276" w:lineRule="auto"/>
              <w:jc w:val="both"/>
              <w:rPr>
                <w:rFonts w:ascii="Verdana" w:eastAsia="Calibri" w:hAnsi="Verdana" w:cs="Arial"/>
              </w:rPr>
            </w:pPr>
          </w:p>
          <w:p w14:paraId="1C6556D7" w14:textId="77777777" w:rsidR="00F71AFD" w:rsidRDefault="00F71AFD" w:rsidP="00CE5515">
            <w:pPr>
              <w:spacing w:line="276" w:lineRule="auto"/>
              <w:jc w:val="both"/>
              <w:rPr>
                <w:rFonts w:ascii="Verdana" w:eastAsia="Calibri" w:hAnsi="Verdana" w:cs="Arial"/>
              </w:rPr>
            </w:pPr>
            <w:r w:rsidRPr="004C6846">
              <w:rPr>
                <w:rFonts w:ascii="Verdana" w:eastAsia="Calibri" w:hAnsi="Verdana" w:cs="Arial"/>
              </w:rPr>
              <w:t xml:space="preserve">De esta manera, los oferentes que subsanen los documentos referentes a la futura contratación no necesarios para la comparación de las propuestas, hasta el momento previo a la realización a la subasta a la que hace referencia el artículo 2.2.1.2.1.2.2 del Decreto 1082 de 2015, momento que, además, deberá estar señalado en el pliego de condiciones, independientemente de que la entidad opte para desarrollar la audiencia de manera presencial o través del algún mecanismo electrónico. En defecto de lo anterior, las entidades también podrán requerir por separado o conjuntamente a cada proponente para que subsanen los respectivos documentos, fijándoles un término razonable, el cual </w:t>
            </w:r>
            <w:r w:rsidRPr="004C6846">
              <w:rPr>
                <w:rFonts w:ascii="Verdana" w:eastAsia="Calibri" w:hAnsi="Verdana" w:cs="Arial"/>
              </w:rPr>
              <w:lastRenderedPageBreak/>
              <w:t>en todo caso no podrá exceder el momento previo al inicio de la audiencia de subasta, por lo que será anterior a ella</w:t>
            </w:r>
            <w:r>
              <w:rPr>
                <w:rFonts w:ascii="Verdana" w:eastAsia="Calibri" w:hAnsi="Verdana" w:cs="Arial"/>
              </w:rPr>
              <w:t>.</w:t>
            </w:r>
          </w:p>
          <w:p w14:paraId="76C14527" w14:textId="77777777" w:rsidR="00F71AFD" w:rsidRDefault="00F71AFD" w:rsidP="00CE5515">
            <w:pPr>
              <w:spacing w:line="276" w:lineRule="auto"/>
              <w:jc w:val="both"/>
              <w:rPr>
                <w:rFonts w:ascii="Verdana" w:eastAsia="Calibri" w:hAnsi="Verdana" w:cs="Arial"/>
                <w:color w:val="000000"/>
                <w:lang w:val="es-ES" w:eastAsia="es-ES_tradnl"/>
              </w:rPr>
            </w:pPr>
          </w:p>
          <w:p w14:paraId="6F86DB35" w14:textId="77777777" w:rsidR="00F71AFD" w:rsidRPr="00DB4737" w:rsidRDefault="00F71AFD" w:rsidP="00CE5515">
            <w:pPr>
              <w:spacing w:line="276" w:lineRule="auto"/>
              <w:contextualSpacing/>
              <w:jc w:val="both"/>
              <w:rPr>
                <w:rFonts w:ascii="Verdana" w:eastAsia="Calibri" w:hAnsi="Verdana" w:cs="Times New Roman"/>
                <w:lang w:val="es-ES"/>
              </w:rPr>
            </w:pPr>
            <w:r>
              <w:rPr>
                <w:rFonts w:ascii="Verdana" w:eastAsia="Calibri" w:hAnsi="Verdana" w:cs="Times New Roman"/>
                <w:lang w:val="es-ES"/>
              </w:rPr>
              <w:t>Finalmente es de precisar que el análisis</w:t>
            </w:r>
            <w:r w:rsidRPr="00DB4737">
              <w:rPr>
                <w:rFonts w:ascii="Verdana" w:eastAsia="Calibri" w:hAnsi="Verdana" w:cs="Times New Roman"/>
                <w:lang w:val="es-ES"/>
              </w:rPr>
              <w:t xml:space="preserve"> para resolver problemas específicos en torno </w:t>
            </w:r>
            <w:r w:rsidRPr="00BD105D">
              <w:rPr>
                <w:rFonts w:ascii="Verdana" w:eastAsia="Calibri" w:hAnsi="Verdana" w:cs="Times New Roman"/>
                <w:lang w:val="es-ES"/>
              </w:rPr>
              <w:t>a la subsanación de requisitos habilitantes en un proceso de subasta electrónica</w:t>
            </w:r>
            <w:r w:rsidRPr="00DB4737">
              <w:rPr>
                <w:rFonts w:ascii="Verdana" w:eastAsia="Calibri" w:hAnsi="Verdana" w:cs="Times New Roman"/>
                <w:lang w:val="es-ES"/>
              </w:rPr>
              <w:t xml:space="preserve">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23946BC7" w14:textId="77777777" w:rsidR="00F71AFD" w:rsidRPr="00DB4737" w:rsidRDefault="00F71AFD" w:rsidP="00CE5515">
            <w:pPr>
              <w:ind w:left="720"/>
              <w:contextualSpacing/>
              <w:rPr>
                <w:rFonts w:ascii="Verdana" w:eastAsia="Calibri" w:hAnsi="Verdana" w:cs="Times New Roman"/>
                <w:lang w:val="es-ES"/>
              </w:rPr>
            </w:pPr>
          </w:p>
          <w:p w14:paraId="0FF77DF3" w14:textId="77777777" w:rsidR="00F71AFD" w:rsidRPr="00831CDD" w:rsidRDefault="00F71AFD" w:rsidP="00CE5515">
            <w:pPr>
              <w:spacing w:line="276" w:lineRule="auto"/>
              <w:contextualSpacing/>
              <w:jc w:val="both"/>
              <w:rPr>
                <w:rFonts w:ascii="Verdana" w:hAnsi="Verdana" w:cs="Arial"/>
                <w:bCs/>
                <w:color w:val="000000" w:themeColor="text1"/>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F71AFD" w:rsidRPr="00593A5F" w14:paraId="0B445F95" w14:textId="77777777" w:rsidTr="00CE5515">
        <w:tc>
          <w:tcPr>
            <w:tcW w:w="8828" w:type="dxa"/>
            <w:shd w:val="clear" w:color="auto" w:fill="auto"/>
          </w:tcPr>
          <w:p w14:paraId="48DE17D0" w14:textId="77777777" w:rsidR="00F71AFD" w:rsidRPr="002973E9" w:rsidRDefault="00F71AFD" w:rsidP="00CE5515">
            <w:pPr>
              <w:spacing w:line="276" w:lineRule="auto"/>
              <w:jc w:val="both"/>
              <w:rPr>
                <w:rFonts w:ascii="Verdana" w:eastAsia="Calibri" w:hAnsi="Verdana" w:cs="Arial"/>
                <w:lang w:val="es-ES"/>
              </w:rPr>
            </w:pPr>
          </w:p>
        </w:tc>
      </w:tr>
    </w:tbl>
    <w:p w14:paraId="59138283" w14:textId="77777777" w:rsidR="00F71AFD" w:rsidRDefault="00F71AFD" w:rsidP="00F71AFD">
      <w:pPr>
        <w:tabs>
          <w:tab w:val="left" w:pos="142"/>
          <w:tab w:val="left" w:pos="284"/>
        </w:tabs>
        <w:spacing w:after="0" w:line="276" w:lineRule="auto"/>
        <w:jc w:val="both"/>
        <w:rPr>
          <w:rFonts w:ascii="Verdana" w:eastAsia="Century Gothic" w:hAnsi="Verdana" w:cs="Century Gothic"/>
          <w:b/>
          <w:bCs/>
          <w:lang w:val="es-ES"/>
        </w:rPr>
      </w:pPr>
    </w:p>
    <w:p w14:paraId="5C82BBF2" w14:textId="77777777" w:rsidR="00F71AFD" w:rsidRPr="00593A5F" w:rsidRDefault="00F71AFD" w:rsidP="00F71AF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E712362" w14:textId="77777777" w:rsidR="00F71AFD" w:rsidRPr="00593A5F" w:rsidRDefault="00F71AFD" w:rsidP="00F71AFD">
      <w:pPr>
        <w:spacing w:after="0" w:line="276" w:lineRule="auto"/>
        <w:jc w:val="both"/>
        <w:rPr>
          <w:rFonts w:ascii="Verdana" w:eastAsia="Calibri" w:hAnsi="Verdana" w:cs="Arial"/>
          <w:color w:val="7030A0"/>
          <w:lang w:val="es-ES"/>
        </w:rPr>
      </w:pPr>
    </w:p>
    <w:p w14:paraId="756732BA" w14:textId="77777777" w:rsidR="00F71AFD" w:rsidRPr="00745BE7" w:rsidRDefault="00F71AFD" w:rsidP="00F71AFD">
      <w:pPr>
        <w:spacing w:after="0"/>
        <w:ind w:firstLine="360"/>
        <w:jc w:val="both"/>
        <w:rPr>
          <w:rFonts w:ascii="Verdana" w:eastAsia="Calibri" w:hAnsi="Verdana" w:cs="Arial"/>
          <w:lang w:val="es-ES_tradnl"/>
        </w:rPr>
      </w:pPr>
      <w:r w:rsidRPr="00745BE7">
        <w:rPr>
          <w:rFonts w:ascii="Verdana" w:eastAsia="Calibri" w:hAnsi="Verdana" w:cs="Arial"/>
        </w:rPr>
        <w:t xml:space="preserve">Para brindar respuesta a la consulta elevada es preciso indicar que la regla de subsanabilidad, </w:t>
      </w:r>
      <w:r w:rsidRPr="00745BE7">
        <w:rPr>
          <w:rFonts w:ascii="Verdana" w:eastAsia="Calibri" w:hAnsi="Verdana" w:cs="Arial"/>
          <w:lang w:val="es-ES_tradnl"/>
        </w:rPr>
        <w:t xml:space="preserve">contenida en el artículo 5 de la Ley 1150 de 2007, se concreta en los siguientes supuestos a saber: i) la falta de entrega o </w:t>
      </w:r>
      <w:proofErr w:type="spellStart"/>
      <w:r w:rsidRPr="00745BE7">
        <w:rPr>
          <w:rFonts w:ascii="Verdana" w:eastAsia="Calibri" w:hAnsi="Verdana" w:cs="Arial"/>
          <w:lang w:val="es-ES_tradnl"/>
        </w:rPr>
        <w:t>ii</w:t>
      </w:r>
      <w:proofErr w:type="spellEnd"/>
      <w:r w:rsidRPr="00745BE7">
        <w:rPr>
          <w:rFonts w:ascii="Verdana" w:eastAsia="Calibri" w:hAnsi="Verdana" w:cs="Arial"/>
          <w:lang w:val="es-ES_tradnl"/>
        </w:rPr>
        <w:t>) los defectos de los requisitos habilitantes. Así las cosas, la norma en mención dispone un criterio claro para determinar si la ausencia de documentos o requisitos de la oferta conlleva a su rechazo o al requerimiento del proponente para que la subsane. Bajo este contexto, debe tenerse en consideración que los requisitos o documentos que no sean necesarios para la comparación de las ofertas pueden subsanarse.</w:t>
      </w:r>
    </w:p>
    <w:p w14:paraId="1311F864" w14:textId="77777777" w:rsidR="00F71AFD" w:rsidRPr="004C6846" w:rsidRDefault="00F71AFD" w:rsidP="00F71AFD">
      <w:pPr>
        <w:pStyle w:val="Prrafodelista"/>
        <w:spacing w:after="0"/>
        <w:ind w:left="360"/>
        <w:jc w:val="both"/>
        <w:rPr>
          <w:rFonts w:ascii="Verdana" w:eastAsia="Calibri" w:hAnsi="Verdana" w:cs="Arial"/>
          <w:lang w:val="es-ES_tradnl"/>
        </w:rPr>
      </w:pPr>
    </w:p>
    <w:p w14:paraId="3372E0AE" w14:textId="77777777" w:rsidR="00F71AFD" w:rsidRPr="00224232" w:rsidRDefault="00F71AFD" w:rsidP="00F71AFD">
      <w:pPr>
        <w:spacing w:after="0"/>
        <w:ind w:firstLine="360"/>
        <w:jc w:val="both"/>
        <w:rPr>
          <w:rFonts w:ascii="Verdana" w:eastAsia="Calibri" w:hAnsi="Verdana" w:cs="Arial"/>
          <w:lang w:val="es-ES_tradnl"/>
        </w:rPr>
      </w:pPr>
      <w:r w:rsidRPr="00224232">
        <w:rPr>
          <w:rFonts w:ascii="Verdana" w:eastAsia="Calibri" w:hAnsi="Verdana" w:cs="Arial"/>
          <w:lang w:val="es-ES_tradnl"/>
        </w:rPr>
        <w:t xml:space="preserve">Bajo este contexto, bastará con un simple ejercicio de verificación consistente en corroborar si lo omitido hace parte de los aspectos que otorgan puntaje o no. Si la Administración encuentra que lo omitido por el proponente es un aspecto que otorga puntaje, no es posible subsanarlo; pero, si lo omitido no otorga </w:t>
      </w:r>
      <w:r w:rsidRPr="00224232">
        <w:rPr>
          <w:rFonts w:ascii="Verdana" w:eastAsia="Calibri" w:hAnsi="Verdana" w:cs="Arial"/>
          <w:lang w:val="es-ES_tradnl"/>
        </w:rPr>
        <w:lastRenderedPageBreak/>
        <w:t xml:space="preserve">puntaje, la Administración debe requerir al proponente para que lo subsane. </w:t>
      </w:r>
      <w:r w:rsidRPr="00224232">
        <w:rPr>
          <w:rFonts w:ascii="Verdana" w:eastAsia="Calibri" w:hAnsi="Verdana" w:cs="Arial"/>
        </w:rPr>
        <w:t>Ahora bien, el artículo 5 de la Ley 1150 de 2007, además de consagrar un criterio claro de subsanabilidad, y, de paso, reducir la discrecionalidad de la Administración, fijó un ámbito temporal para que las entidades requirieran la subsanación de las ofertas: “en cualquier momento, hasta la adjudicación”.</w:t>
      </w:r>
    </w:p>
    <w:p w14:paraId="59225092" w14:textId="77777777" w:rsidR="00F71AFD" w:rsidRPr="004C6846" w:rsidRDefault="00F71AFD" w:rsidP="00F71AFD">
      <w:pPr>
        <w:pStyle w:val="Prrafodelista"/>
        <w:rPr>
          <w:rFonts w:ascii="Verdana" w:eastAsia="Calibri" w:hAnsi="Verdana" w:cs="Arial"/>
          <w:lang w:val="es-ES_tradnl"/>
        </w:rPr>
      </w:pPr>
    </w:p>
    <w:p w14:paraId="1479D752" w14:textId="77777777" w:rsidR="00F71AFD" w:rsidRPr="00224232" w:rsidRDefault="00F71AFD" w:rsidP="00F71AFD">
      <w:pPr>
        <w:spacing w:after="0"/>
        <w:ind w:firstLine="360"/>
        <w:jc w:val="both"/>
        <w:rPr>
          <w:rFonts w:ascii="Verdana" w:eastAsia="Calibri" w:hAnsi="Verdana" w:cs="Arial"/>
        </w:rPr>
      </w:pPr>
      <w:r w:rsidRPr="00224232">
        <w:rPr>
          <w:rFonts w:ascii="Verdana" w:eastAsia="Calibri" w:hAnsi="Verdana" w:cs="Arial"/>
        </w:rPr>
        <w:t xml:space="preserve">Frente al asunto debe señalarse que la Agencia Nacional de Contratación Pública – Colombia Compra Eficiente, en la Circular Externa Única precisó que, si durante un proceso de contratación hay proponentes que no acreditaron en sus ofertas requisitos que no afectan la asignación de puntaje o la comparación de </w:t>
      </w:r>
      <w:proofErr w:type="gramStart"/>
      <w:r w:rsidRPr="00224232">
        <w:rPr>
          <w:rFonts w:ascii="Verdana" w:eastAsia="Calibri" w:hAnsi="Verdana" w:cs="Arial"/>
        </w:rPr>
        <w:t>las mismas</w:t>
      </w:r>
      <w:proofErr w:type="gramEnd"/>
      <w:r w:rsidRPr="00224232">
        <w:rPr>
          <w:rFonts w:ascii="Verdana" w:eastAsia="Calibri" w:hAnsi="Verdana" w:cs="Arial"/>
        </w:rPr>
        <w:t>, la Entidad Estatal deberá indicarlo en el informe de evaluación y advertir que la correspondiente oferta no será evaluada hasta que se subsane.</w:t>
      </w:r>
    </w:p>
    <w:p w14:paraId="214615F2" w14:textId="77777777" w:rsidR="00F71AFD" w:rsidRDefault="00F71AFD" w:rsidP="00F71AFD">
      <w:pPr>
        <w:spacing w:after="0"/>
        <w:ind w:firstLine="360"/>
        <w:jc w:val="both"/>
        <w:rPr>
          <w:rFonts w:ascii="Verdana" w:eastAsia="Calibri" w:hAnsi="Verdana" w:cs="Arial"/>
          <w:lang w:val="es-ES_tradnl"/>
        </w:rPr>
      </w:pPr>
    </w:p>
    <w:p w14:paraId="18C49E63" w14:textId="77777777" w:rsidR="00F71AFD" w:rsidRDefault="00F71AFD" w:rsidP="00F71AFD">
      <w:pPr>
        <w:spacing w:after="0"/>
        <w:ind w:firstLine="360"/>
        <w:jc w:val="both"/>
        <w:rPr>
          <w:rFonts w:ascii="Verdana" w:eastAsia="Calibri" w:hAnsi="Verdana" w:cs="Arial"/>
          <w:lang w:val="es-ES_tradnl"/>
        </w:rPr>
      </w:pPr>
      <w:r w:rsidRPr="00451AD3">
        <w:rPr>
          <w:rFonts w:ascii="Verdana" w:eastAsia="Calibri" w:hAnsi="Verdana" w:cs="Arial"/>
          <w:lang w:val="es-ES_tradnl"/>
        </w:rPr>
        <w:t xml:space="preserve">En línea con lo expuesto, se evidencia que en lo relacionado al ámbito temporal para subsanar la oferta se cuenta con una regla general y una excepción. La regla general es que el límite para que la entidad solicite y para que el proponente corrija lo que haga falta es hasta el término de traslado del informe de evaluación que corresponda a cada modalidad de selección. </w:t>
      </w:r>
      <w:r w:rsidRPr="00451AD3">
        <w:rPr>
          <w:rFonts w:ascii="Verdana" w:eastAsia="Calibri" w:hAnsi="Verdana" w:cs="Arial"/>
          <w:i/>
          <w:iCs/>
          <w:lang w:val="es-ES_tradnl"/>
        </w:rPr>
        <w:t>La excepción es que el límite anterior no aplica para los procesos de mínima cuantía y para el proceso de selección a través del sistema de subasta</w:t>
      </w:r>
      <w:r w:rsidRPr="004C6846">
        <w:rPr>
          <w:vertAlign w:val="superscript"/>
          <w:lang w:val="es-ES_tradnl"/>
        </w:rPr>
        <w:footnoteReference w:id="1"/>
      </w:r>
      <w:r w:rsidRPr="00451AD3">
        <w:rPr>
          <w:rFonts w:ascii="Verdana" w:eastAsia="Calibri" w:hAnsi="Verdana" w:cs="Arial"/>
          <w:lang w:val="es-ES_tradnl"/>
        </w:rPr>
        <w:t xml:space="preserve">, este último al cual hace referencia la consulta, y en el que los documentos o requisitos subsanables pueden y deben solicitarse por parte de las Entidades Estatales, como límite, hasta el momento previo a la celebración de la audiencia. </w:t>
      </w:r>
    </w:p>
    <w:p w14:paraId="49FCFBA7" w14:textId="77777777" w:rsidR="00F71AFD" w:rsidRDefault="00F71AFD" w:rsidP="00F71AFD">
      <w:pPr>
        <w:spacing w:after="0"/>
        <w:ind w:firstLine="360"/>
        <w:jc w:val="both"/>
        <w:rPr>
          <w:rFonts w:ascii="Verdana" w:eastAsia="Calibri" w:hAnsi="Verdana" w:cs="Arial"/>
          <w:lang w:val="es-ES_tradnl"/>
        </w:rPr>
      </w:pPr>
    </w:p>
    <w:p w14:paraId="094F1EA5" w14:textId="77777777" w:rsidR="00F71AFD" w:rsidRDefault="00F71AFD" w:rsidP="4D89B54D">
      <w:pPr>
        <w:spacing w:after="0"/>
        <w:ind w:firstLine="360"/>
        <w:jc w:val="both"/>
        <w:rPr>
          <w:rFonts w:ascii="Verdana" w:eastAsia="Calibri" w:hAnsi="Verdana" w:cs="Arial"/>
          <w:lang w:val="es-ES"/>
        </w:rPr>
      </w:pPr>
      <w:r w:rsidRPr="4D89B54D">
        <w:rPr>
          <w:rFonts w:ascii="Verdana" w:eastAsia="Calibri" w:hAnsi="Verdana" w:cs="Arial"/>
          <w:lang w:val="es-ES"/>
        </w:rPr>
        <w:t xml:space="preserve">Por otro lado, debe tenerse de presente que lo subsanable es la prueba de todas las circunstancias ocurridas antes del vencimiento del término para presentar las ofertas, esto conlleva 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Así, en el caso de la subsanabilidad de las ofertas, una cosa es el requisito habilitante o el elemento de la propuesta y otra su prueba. Lo que prohíbe la norma es que se subsanen requisitos que no estaban materialmente </w:t>
      </w:r>
      <w:r w:rsidRPr="4D89B54D">
        <w:rPr>
          <w:rFonts w:ascii="Verdana" w:eastAsia="Calibri" w:hAnsi="Verdana" w:cs="Arial"/>
          <w:lang w:val="es-ES"/>
        </w:rPr>
        <w:lastRenderedPageBreak/>
        <w:t>cumplidos al momento de presentación de la oferta, o en palabras de la ley, que se acrediten hechos que ocurrieron después del cierre del proceso</w:t>
      </w:r>
      <w:r w:rsidRPr="4D89B54D">
        <w:rPr>
          <w:vertAlign w:val="superscript"/>
          <w:lang w:val="es-ES"/>
        </w:rPr>
        <w:footnoteReference w:id="2"/>
      </w:r>
      <w:r w:rsidRPr="4D89B54D">
        <w:rPr>
          <w:rFonts w:ascii="Verdana" w:eastAsia="Calibri" w:hAnsi="Verdana" w:cs="Arial"/>
          <w:lang w:val="es-ES"/>
        </w:rPr>
        <w:t xml:space="preserve">. </w:t>
      </w:r>
    </w:p>
    <w:p w14:paraId="3B5765C6" w14:textId="77777777" w:rsidR="00F71AFD" w:rsidRDefault="00F71AFD" w:rsidP="00F71AFD">
      <w:pPr>
        <w:spacing w:after="0"/>
        <w:ind w:firstLine="360"/>
        <w:jc w:val="both"/>
        <w:rPr>
          <w:rFonts w:ascii="Verdana" w:eastAsia="Calibri" w:hAnsi="Verdana" w:cs="Arial"/>
          <w:lang w:val="es-ES_tradnl"/>
        </w:rPr>
      </w:pPr>
    </w:p>
    <w:p w14:paraId="22E841DC" w14:textId="77777777" w:rsidR="00F71AFD" w:rsidRPr="00451AD3" w:rsidRDefault="00F71AFD" w:rsidP="00F71AFD">
      <w:pPr>
        <w:spacing w:after="0"/>
        <w:ind w:firstLine="360"/>
        <w:jc w:val="both"/>
        <w:rPr>
          <w:rFonts w:ascii="Verdana" w:eastAsia="Calibri" w:hAnsi="Verdana" w:cs="Arial"/>
          <w:lang w:val="es-ES_tradnl"/>
        </w:rPr>
      </w:pPr>
      <w:r w:rsidRPr="00451AD3">
        <w:rPr>
          <w:rFonts w:ascii="Verdana" w:eastAsia="Calibri" w:hAnsi="Verdana" w:cs="Arial"/>
          <w:lang w:val="es-ES_tradnl"/>
          <w14:ligatures w14:val="standardContextual"/>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ello </w:t>
      </w:r>
      <w:proofErr w:type="gramStart"/>
      <w:r w:rsidRPr="00451AD3">
        <w:rPr>
          <w:rFonts w:ascii="Verdana" w:eastAsia="Calibri" w:hAnsi="Verdana" w:cs="Arial"/>
          <w:lang w:val="es-ES_tradnl"/>
          <w14:ligatures w14:val="standardContextual"/>
        </w:rPr>
        <w:t>que</w:t>
      </w:r>
      <w:proofErr w:type="gramEnd"/>
      <w:r w:rsidRPr="00451AD3">
        <w:rPr>
          <w:rFonts w:ascii="Verdana" w:eastAsia="Calibri" w:hAnsi="Verdana" w:cs="Arial"/>
          <w:lang w:val="es-ES_tradnl"/>
          <w14:ligatures w14:val="standardContextual"/>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4C6846">
        <w:rPr>
          <w:vertAlign w:val="superscript"/>
        </w:rPr>
        <w:footnoteReference w:id="3"/>
      </w:r>
      <w:r w:rsidRPr="00451AD3">
        <w:rPr>
          <w:rFonts w:ascii="Verdana" w:eastAsia="Calibri" w:hAnsi="Verdana" w:cs="Arial"/>
          <w:lang w:val="es-ES_tradnl"/>
          <w14:ligatures w14:val="standardContextual"/>
        </w:rPr>
        <w:t xml:space="preserve">. </w:t>
      </w:r>
    </w:p>
    <w:p w14:paraId="43336219" w14:textId="77777777" w:rsidR="00F71AFD" w:rsidRPr="004C6846" w:rsidRDefault="00F71AFD" w:rsidP="00F71AFD">
      <w:pPr>
        <w:pStyle w:val="Prrafodelista"/>
        <w:rPr>
          <w:rFonts w:ascii="Verdana" w:eastAsia="Calibri" w:hAnsi="Verdana" w:cs="Arial"/>
        </w:rPr>
      </w:pPr>
    </w:p>
    <w:p w14:paraId="2547365F" w14:textId="77777777" w:rsidR="00F71AFD" w:rsidRDefault="00F71AFD" w:rsidP="00F71AFD">
      <w:pPr>
        <w:ind w:firstLine="360"/>
        <w:jc w:val="both"/>
        <w:rPr>
          <w:rFonts w:ascii="Verdana" w:eastAsia="Calibri" w:hAnsi="Verdana" w:cs="Arial"/>
        </w:rPr>
      </w:pPr>
      <w:r w:rsidRPr="00451AD3">
        <w:rPr>
          <w:rFonts w:ascii="Verdana" w:eastAsia="Calibri" w:hAnsi="Verdana" w:cs="Arial"/>
        </w:rPr>
        <w:t xml:space="preserve">Ahora bien, en lo que respecta de manera </w:t>
      </w:r>
      <w:proofErr w:type="spellStart"/>
      <w:r w:rsidRPr="00451AD3">
        <w:rPr>
          <w:rFonts w:ascii="Verdana" w:eastAsia="Calibri" w:hAnsi="Verdana" w:cs="Arial"/>
        </w:rPr>
        <w:t>especifica</w:t>
      </w:r>
      <w:proofErr w:type="spellEnd"/>
      <w:r w:rsidRPr="00451AD3">
        <w:rPr>
          <w:rFonts w:ascii="Verdana" w:eastAsia="Calibri" w:hAnsi="Verdana" w:cs="Arial"/>
        </w:rPr>
        <w:t xml:space="preserve"> a la subasta inversa </w:t>
      </w:r>
      <w:r>
        <w:rPr>
          <w:rFonts w:ascii="Verdana" w:eastAsia="Calibri" w:hAnsi="Verdana" w:cs="Arial"/>
        </w:rPr>
        <w:t xml:space="preserve">electrónica </w:t>
      </w:r>
      <w:r w:rsidRPr="00451AD3">
        <w:rPr>
          <w:rFonts w:ascii="Verdana" w:eastAsia="Calibri" w:hAnsi="Verdana" w:cs="Arial"/>
        </w:rPr>
        <w:t xml:space="preserve">debe tenerse en cuenta que esta se concibió como un mecanismo o metodología alternativa para </w:t>
      </w:r>
      <w:r w:rsidRPr="00451AD3">
        <w:rPr>
          <w:rFonts w:ascii="Verdana" w:eastAsia="Calibri" w:hAnsi="Verdana" w:cs="Arial"/>
          <w:lang w:val="es-MX"/>
        </w:rPr>
        <w:t xml:space="preserve">el proceso de negociación y perfeccionamiento del contrato estatal. Su regulación se encuentra en el artículo 2 de la Ley 1150 de 2007, en donde se indica que esta figura tiene como finalidad confrontar, de manera dinámica, las distintas ofertas que pueden presentarse para los procesos de licitación pública, para los procesos de selección abreviada que tienen por finalidad la adquisición de bienes y servicios de características técnicas </w:t>
      </w:r>
      <w:r w:rsidRPr="00451AD3">
        <w:rPr>
          <w:rFonts w:ascii="Verdana" w:eastAsia="Calibri" w:hAnsi="Verdana" w:cs="Arial"/>
          <w:lang w:val="es-MX"/>
        </w:rPr>
        <w:lastRenderedPageBreak/>
        <w:t>uniformes y de común utilización, y en los procesos de enajenación de bienes del Estado.  </w:t>
      </w:r>
    </w:p>
    <w:p w14:paraId="37FD9375" w14:textId="77777777" w:rsidR="00F71AFD" w:rsidRDefault="00F71AFD" w:rsidP="00F71AFD">
      <w:pPr>
        <w:ind w:firstLine="360"/>
        <w:jc w:val="both"/>
        <w:rPr>
          <w:rFonts w:ascii="Verdana" w:eastAsia="Calibri" w:hAnsi="Verdana" w:cs="Arial"/>
        </w:rPr>
      </w:pPr>
      <w:r w:rsidRPr="00451AD3">
        <w:rPr>
          <w:rFonts w:ascii="Verdana" w:eastAsia="Calibri" w:hAnsi="Verdana" w:cs="Arial"/>
        </w:rPr>
        <w:t>En este contexto, la doctrina ha señalado que “se entiende por subasta inversa para la presentación de la oferta, la puja dinámica, mediante la cual los oferentes, durante un tiempo determinado, ajustan su oferta respecto de aquellas variables susceptibles de ser mejoradas, con el fin de lograr el ofrecimiento que representa la mejor relación costo-beneficio para la entidad, de acuerdo con lo señalado en el pliego de condiciones”. En igual sentido, la doctrina especializada destaca de este mecanismo que “al encontrarse definidas las características del bien, lo que se va a evaluar únicamente es el precio, porque se entiende que todos los bienes que se propongan tienen idéntica característica técnica al tratarse de bienes comunes, de ahí la falencia de la modalidad de subasta inversa que se tiene en Colombia, en tanto está limitada a la puja con base al precio”.</w:t>
      </w:r>
    </w:p>
    <w:p w14:paraId="160ECB25" w14:textId="77777777" w:rsidR="00F71AFD" w:rsidRDefault="00F71AFD" w:rsidP="00F71AFD">
      <w:pPr>
        <w:ind w:firstLine="360"/>
        <w:jc w:val="both"/>
        <w:rPr>
          <w:rFonts w:ascii="Verdana" w:eastAsia="Calibri" w:hAnsi="Verdana" w:cs="Arial"/>
          <w:color w:val="000000"/>
          <w:lang w:val="es-ES" w:eastAsia="es-ES_tradnl"/>
        </w:rPr>
      </w:pPr>
      <w:r w:rsidRPr="00451AD3">
        <w:rPr>
          <w:rFonts w:ascii="Verdana" w:eastAsia="Times New Roman" w:hAnsi="Verdana" w:cs="Arial"/>
          <w:lang w:eastAsia="es-ES"/>
          <w14:ligatures w14:val="standardContextual"/>
        </w:rPr>
        <w:t xml:space="preserve">Frente a la regla general para subsanar las ofertas, tal y como se indicó previamente, se tiene como excepción, entre otras cosas, </w:t>
      </w:r>
      <w:r w:rsidRPr="00451AD3">
        <w:rPr>
          <w:rFonts w:ascii="Verdana" w:eastAsia="Times New Roman" w:hAnsi="Verdana" w:cs="Arial"/>
          <w:b/>
          <w:bCs/>
          <w:lang w:eastAsia="es-ES"/>
          <w14:ligatures w14:val="standardContextual"/>
        </w:rPr>
        <w:t xml:space="preserve">el término especial establecido en los procesos de selección en los que se utilice el mecanismo de </w:t>
      </w:r>
      <w:r w:rsidRPr="00451AD3">
        <w:rPr>
          <w:rFonts w:ascii="Verdana" w:eastAsia="Times New Roman" w:hAnsi="Verdana" w:cs="Arial"/>
          <w:b/>
          <w:bCs/>
          <w:i/>
          <w:lang w:eastAsia="es-ES"/>
          <w14:ligatures w14:val="standardContextual"/>
        </w:rPr>
        <w:t>subasta inversa</w:t>
      </w:r>
      <w:r w:rsidRPr="00451AD3">
        <w:rPr>
          <w:rFonts w:ascii="Verdana" w:eastAsia="Times New Roman" w:hAnsi="Verdana" w:cs="Arial"/>
          <w:b/>
          <w:bCs/>
          <w:lang w:eastAsia="es-ES"/>
          <w14:ligatures w14:val="standardContextual"/>
        </w:rPr>
        <w:t>, este es, hasta el momento previo a su realización. Sobre el particular, llama la atención que el inicio de la subasta es el momento hasta el cual la entidad cuenta con la facultad para requerir la subsanación de los documentos referentes a la futura contratación o a los proponentes, no necesarios para la comparación de las propuestas</w:t>
      </w:r>
      <w:r w:rsidRPr="00451AD3">
        <w:rPr>
          <w:rFonts w:ascii="Verdana" w:eastAsia="Times New Roman" w:hAnsi="Verdana" w:cs="Arial"/>
          <w:lang w:eastAsia="es-ES"/>
          <w14:ligatures w14:val="standardContextual"/>
        </w:rPr>
        <w:t>. Para el ejercicio de tal facultad, las entidades podrán establecer dentro del pliego de condiciones o documento equivalente el periodo dentro del cual los participantes del proceso de selección podrán subsanar los documentos que requiera la entidad, o en su defecto, requerir por separado a cada proponente para que subsanen los respectivos documentos, fijándoles un término razonable, el cual en todo caso no podrá exceder el momento previo al inicio de la audiencia de subasta.</w:t>
      </w:r>
      <w:r>
        <w:rPr>
          <w:rFonts w:ascii="Verdana" w:eastAsia="Calibri" w:hAnsi="Verdana" w:cs="Arial"/>
          <w:color w:val="000000"/>
          <w:szCs w:val="24"/>
          <w:lang w:val="es-ES_tradnl" w:eastAsia="es-ES_tradnl"/>
        </w:rPr>
        <w:t xml:space="preserve">     </w:t>
      </w:r>
    </w:p>
    <w:p w14:paraId="50940389" w14:textId="77777777" w:rsidR="00F71AFD" w:rsidRPr="00DB4737" w:rsidRDefault="00F71AFD" w:rsidP="00F71AFD">
      <w:pPr>
        <w:spacing w:after="0" w:line="276" w:lineRule="auto"/>
        <w:ind w:firstLine="708"/>
        <w:contextualSpacing/>
        <w:jc w:val="both"/>
        <w:rPr>
          <w:rFonts w:ascii="Verdana" w:eastAsia="Calibri" w:hAnsi="Verdana" w:cs="Times New Roman"/>
          <w:lang w:val="es-ES"/>
        </w:rPr>
      </w:pPr>
      <w:r>
        <w:rPr>
          <w:rFonts w:ascii="Verdana" w:eastAsia="Calibri" w:hAnsi="Verdana" w:cs="Times New Roman"/>
          <w:lang w:val="es-ES"/>
        </w:rPr>
        <w:t>Finalmente es de precisar que el análisis</w:t>
      </w:r>
      <w:r w:rsidRPr="00DB4737">
        <w:rPr>
          <w:rFonts w:ascii="Verdana" w:eastAsia="Calibri" w:hAnsi="Verdana" w:cs="Times New Roman"/>
          <w:lang w:val="es-ES"/>
        </w:rPr>
        <w:t xml:space="preserve"> para resolver problemas específicos en torno </w:t>
      </w:r>
      <w:r w:rsidRPr="00BD105D">
        <w:rPr>
          <w:rFonts w:ascii="Verdana" w:eastAsia="Calibri" w:hAnsi="Verdana" w:cs="Times New Roman"/>
          <w:lang w:val="es-ES"/>
        </w:rPr>
        <w:t>a la subsanación de requisitos habilitantes en un proceso de subasta electrónica</w:t>
      </w:r>
      <w:r w:rsidRPr="00DB4737">
        <w:rPr>
          <w:rFonts w:ascii="Verdana" w:eastAsia="Calibri" w:hAnsi="Verdana" w:cs="Times New Roman"/>
          <w:lang w:val="es-ES"/>
        </w:rPr>
        <w:t xml:space="preserve">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59588858" w14:textId="77777777" w:rsidR="00F71AFD" w:rsidRPr="00DB4737" w:rsidRDefault="00F71AFD" w:rsidP="00F71AFD">
      <w:pPr>
        <w:spacing w:after="0"/>
        <w:ind w:left="720"/>
        <w:contextualSpacing/>
        <w:rPr>
          <w:rFonts w:ascii="Verdana" w:eastAsia="Calibri" w:hAnsi="Verdana" w:cs="Times New Roman"/>
          <w:lang w:val="es-ES"/>
        </w:rPr>
      </w:pPr>
    </w:p>
    <w:p w14:paraId="34736F30" w14:textId="77777777" w:rsidR="00F71AFD" w:rsidRPr="007B61BA" w:rsidRDefault="00F71AFD" w:rsidP="00F71AFD">
      <w:pPr>
        <w:spacing w:after="120" w:line="276" w:lineRule="auto"/>
        <w:ind w:firstLine="708"/>
        <w:jc w:val="both"/>
        <w:rPr>
          <w:rFonts w:ascii="Verdana" w:eastAsia="Calibri" w:hAnsi="Verdana" w:cs="Arial"/>
          <w:lang w:val="es-ES" w:eastAsia="es-MX"/>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4B7D4866" w14:textId="77777777" w:rsidR="00F71AFD" w:rsidRPr="007B61BA" w:rsidRDefault="00F71AFD" w:rsidP="00F71AFD">
      <w:pPr>
        <w:spacing w:line="276" w:lineRule="auto"/>
        <w:contextualSpacing/>
        <w:jc w:val="both"/>
        <w:rPr>
          <w:rFonts w:ascii="Verdana" w:eastAsia="Calibri" w:hAnsi="Verdana" w:cs="Arial"/>
          <w:b/>
          <w:bCs/>
          <w:lang w:val="es-ES_tradnl"/>
        </w:rPr>
      </w:pPr>
    </w:p>
    <w:p w14:paraId="204F413B" w14:textId="77777777" w:rsidR="00F71AFD" w:rsidRPr="00593A5F" w:rsidRDefault="00F71AFD" w:rsidP="00F71AFD">
      <w:pPr>
        <w:spacing w:after="120" w:line="276" w:lineRule="auto"/>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1B86358D" w14:textId="77777777" w:rsidR="00F71AFD" w:rsidRPr="00593A5F" w:rsidRDefault="00F71AFD" w:rsidP="00F71AF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71AFD" w:rsidRPr="00593A5F" w14:paraId="24E74A87" w14:textId="77777777" w:rsidTr="00CE5515">
        <w:trPr>
          <w:trHeight w:val="870"/>
        </w:trPr>
        <w:tc>
          <w:tcPr>
            <w:tcW w:w="8647" w:type="dxa"/>
          </w:tcPr>
          <w:p w14:paraId="06C10FC8" w14:textId="77777777" w:rsidR="00F71AFD" w:rsidRPr="004C6846" w:rsidRDefault="00F71AFD" w:rsidP="00F71AFD">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C6846">
              <w:rPr>
                <w:rFonts w:ascii="Verdana" w:hAnsi="Verdana" w:cs="Arial"/>
              </w:rPr>
              <w:t xml:space="preserve">Ley </w:t>
            </w:r>
            <w:r w:rsidRPr="004C6846">
              <w:rPr>
                <w:rFonts w:ascii="Verdana" w:eastAsia="Calibri" w:hAnsi="Verdana" w:cs="Arial"/>
              </w:rPr>
              <w:t>1150 de 2007. Artículo 5, Párrafos 1º y 4º. Artículo 2.</w:t>
            </w:r>
          </w:p>
          <w:p w14:paraId="37872FEB" w14:textId="77777777" w:rsidR="00F71AFD" w:rsidRPr="004C6846" w:rsidRDefault="00F71AFD" w:rsidP="00F71AFD">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C6846">
              <w:rPr>
                <w:rFonts w:ascii="Verdana" w:hAnsi="Verdana" w:cs="Arial"/>
              </w:rPr>
              <w:t>Ley 1882 de 2018. Artículo 5.</w:t>
            </w:r>
          </w:p>
          <w:p w14:paraId="5846100E" w14:textId="77777777" w:rsidR="00F71AFD" w:rsidRPr="004C6846" w:rsidRDefault="00F71AFD" w:rsidP="00F71AFD">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C6846">
              <w:rPr>
                <w:rFonts w:ascii="Verdana" w:hAnsi="Verdana" w:cs="Arial"/>
              </w:rPr>
              <w:t>Decreto 1082 de 2015. Artículo 2.2.1.2.1.2.2</w:t>
            </w:r>
          </w:p>
          <w:p w14:paraId="12E2C015" w14:textId="77777777" w:rsidR="00F71AFD" w:rsidRPr="004C6846" w:rsidRDefault="00F71AFD" w:rsidP="00F71AFD">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C6846">
              <w:rPr>
                <w:rFonts w:ascii="Verdana" w:eastAsia="Calibri" w:hAnsi="Verdana" w:cs="Arial"/>
                <w:bCs/>
                <w:lang w:val="es-ES_tradnl" w:eastAsia="es-ES_tradnl" w:bidi="es-ES"/>
              </w:rPr>
              <w:t>Consejo de Estado. Sección Tercera. Subsección C. Sentencia del 26 de febrero de 2014. Expediente: 25.804. Consejero Ponente: Enrique Gil Botero.</w:t>
            </w:r>
          </w:p>
          <w:p w14:paraId="1FEF94B0" w14:textId="77777777" w:rsidR="00F71AFD" w:rsidRPr="004C6846" w:rsidRDefault="00F71AFD" w:rsidP="00F71AFD">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C6846">
              <w:rPr>
                <w:rFonts w:ascii="Verdana" w:hAnsi="Verdana" w:cs="Arial"/>
              </w:rPr>
              <w:t>Consejo de Estado. Sala de Consulta y Servicio Civil. Concepto del 20 de mayo de 2010. Expediente: 1992. Consejero Ponente: Enrique José Arboleda Perdomo.</w:t>
            </w:r>
          </w:p>
          <w:p w14:paraId="4527DA1C" w14:textId="77777777" w:rsidR="00F71AFD" w:rsidRPr="000D446F" w:rsidRDefault="00F71AFD" w:rsidP="00CE5515">
            <w:pPr>
              <w:widowControl w:val="0"/>
              <w:autoSpaceDE w:val="0"/>
              <w:autoSpaceDN w:val="0"/>
              <w:spacing w:after="120"/>
              <w:ind w:left="720"/>
              <w:jc w:val="both"/>
              <w:rPr>
                <w:rFonts w:ascii="Verdana" w:hAnsi="Verdana" w:cs="Arial"/>
              </w:rPr>
            </w:pPr>
            <w:r w:rsidRPr="004C6846">
              <w:rPr>
                <w:rFonts w:ascii="Verdana" w:hAnsi="Verdana" w:cs="Arial"/>
              </w:rPr>
              <w:t xml:space="preserve">Circular Externa Única - Agencia Nacional de Contratación Pública Colombia Compra Eficiente. Disponible para consulta en: </w:t>
            </w:r>
            <w:hyperlink r:id="rId12" w:history="1">
              <w:r w:rsidRPr="004C6846">
                <w:rPr>
                  <w:rStyle w:val="Hipervnculo"/>
                  <w:rFonts w:ascii="Verdana" w:hAnsi="Verdana" w:cs="Arial"/>
                  <w:color w:val="auto"/>
                </w:rPr>
                <w:t>https://colombiacompra.gov.co/sites/cce_public/files/cce_circulares/circular_externa_unica_version_3_vf49.pdf</w:t>
              </w:r>
            </w:hyperlink>
            <w:r>
              <w:t>.</w:t>
            </w:r>
          </w:p>
        </w:tc>
      </w:tr>
    </w:tbl>
    <w:p w14:paraId="5822D52A" w14:textId="77777777" w:rsidR="00F71AFD" w:rsidRPr="00593A5F" w:rsidRDefault="00F71AFD" w:rsidP="00F71AFD">
      <w:pPr>
        <w:widowControl w:val="0"/>
        <w:autoSpaceDE w:val="0"/>
        <w:autoSpaceDN w:val="0"/>
        <w:spacing w:after="0" w:line="276" w:lineRule="auto"/>
        <w:jc w:val="both"/>
        <w:rPr>
          <w:rFonts w:ascii="Verdana" w:hAnsi="Verdana" w:cs="Arial"/>
        </w:rPr>
      </w:pPr>
    </w:p>
    <w:p w14:paraId="4B5887F8" w14:textId="77777777" w:rsidR="00F71AFD" w:rsidRPr="00593A5F" w:rsidRDefault="00F71AFD" w:rsidP="00F71AF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E651B86" w14:textId="77777777" w:rsidR="00F71AFD" w:rsidRDefault="00F71AFD" w:rsidP="00F71AFD">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27DDA2C5" w14:textId="77777777" w:rsidR="00F71AFD" w:rsidRPr="00185EE9" w:rsidRDefault="00F71AFD" w:rsidP="00F71AFD">
      <w:pPr>
        <w:widowControl w:val="0"/>
        <w:autoSpaceDE w:val="0"/>
        <w:autoSpaceDN w:val="0"/>
        <w:spacing w:after="0" w:line="276" w:lineRule="auto"/>
        <w:jc w:val="both"/>
        <w:rPr>
          <w:rFonts w:ascii="Verdana" w:eastAsia="Calibri" w:hAnsi="Verdana" w:cs="Times New Roman"/>
        </w:rPr>
      </w:pPr>
      <w:r w:rsidRPr="004C6846">
        <w:rPr>
          <w:rFonts w:ascii="Verdana" w:hAnsi="Verdana" w:cs="Arial"/>
          <w:lang w:val="es-ES"/>
        </w:rPr>
        <w:t xml:space="preserve">Sobre la subsanabilidad del anexo técnico en los procesos de selección abreviada </w:t>
      </w:r>
      <w:r w:rsidRPr="004C6846">
        <w:rPr>
          <w:rFonts w:ascii="Verdana" w:eastAsia="Century Gothic" w:hAnsi="Verdana" w:cs="Century Gothic"/>
        </w:rPr>
        <w:t>mediante subasta inversa</w:t>
      </w:r>
      <w:r w:rsidRPr="004C6846">
        <w:rPr>
          <w:rFonts w:ascii="Verdana" w:hAnsi="Verdana" w:cs="Arial"/>
          <w:bCs/>
          <w:lang w:val="es-ES_tradnl"/>
        </w:rPr>
        <w:t xml:space="preserve">, </w:t>
      </w:r>
      <w:r w:rsidRPr="004C6846">
        <w:rPr>
          <w:rFonts w:ascii="Verdana" w:hAnsi="Verdana" w:cs="Arial"/>
          <w:lang w:val="es-ES"/>
        </w:rPr>
        <w:t xml:space="preserve">esta Subdirección se ha pronunciado en los conceptos </w:t>
      </w:r>
      <w:r w:rsidRPr="004C6846">
        <w:rPr>
          <w:rFonts w:ascii="Verdana" w:hAnsi="Verdana" w:cs="Arial"/>
        </w:rPr>
        <w:t>Nos. 4201912000006453 del 14 de noviembre de 2019, 4201912000006711 del 12 de noviembre de 2019, C-024 del 24 de febrero de 2021, C-233 del 12 de agosto de 2024</w:t>
      </w:r>
      <w:r>
        <w:rPr>
          <w:rFonts w:ascii="Verdana" w:hAnsi="Verdana" w:cs="Arial"/>
        </w:rPr>
        <w:t>,</w:t>
      </w:r>
      <w:r w:rsidRPr="004C6846">
        <w:rPr>
          <w:rFonts w:ascii="Verdana" w:hAnsi="Verdana" w:cs="Arial"/>
        </w:rPr>
        <w:t xml:space="preserve"> C-369 del 09 de septiembre del 2024</w:t>
      </w:r>
      <w:r>
        <w:rPr>
          <w:rFonts w:ascii="Verdana" w:hAnsi="Verdana" w:cs="Arial"/>
          <w:shd w:val="clear" w:color="auto" w:fill="FFFFFF"/>
        </w:rPr>
        <w:t xml:space="preserve"> y C-834 del 21 de noviembre de 2024, </w:t>
      </w:r>
      <w:r>
        <w:rPr>
          <w:rFonts w:ascii="Verdana" w:eastAsia="Calibri" w:hAnsi="Verdana" w:cs="Times New Roman"/>
        </w:rPr>
        <w:t>entre otros,</w:t>
      </w:r>
      <w:r w:rsidRPr="00185EE9">
        <w:rPr>
          <w:rFonts w:ascii="Verdana" w:eastAsia="Calibri" w:hAnsi="Verdana" w:cs="Times New Roman"/>
        </w:rPr>
        <w:t xml:space="preserve"> </w:t>
      </w:r>
      <w:r>
        <w:rPr>
          <w:rFonts w:ascii="Verdana" w:eastAsia="Calibri" w:hAnsi="Verdana" w:cs="Times New Roman"/>
        </w:rPr>
        <w:t xml:space="preserve">estos </w:t>
      </w:r>
      <w:r w:rsidRPr="00185EE9">
        <w:rPr>
          <w:rFonts w:ascii="Verdana" w:eastAsia="Calibri" w:hAnsi="Verdana" w:cs="Times New Roman"/>
        </w:rPr>
        <w:t xml:space="preserve">se encuentran disponibles para consulta en el Sistema de Relatoría de la Agencia, en el cual también podrás encontrar </w:t>
      </w:r>
      <w:r w:rsidRPr="00185EE9">
        <w:rPr>
          <w:rFonts w:ascii="Verdana" w:eastAsia="Calibri" w:hAnsi="Verdana" w:cs="Times New Roman"/>
        </w:rPr>
        <w:lastRenderedPageBreak/>
        <w:t>jurisprudencia del Consejo de Estado, laudos arbitrales y la normativa de la contratación concordada con la doctrina de la Subdirección de Gestión Contractual, accede a través del siguiente enlace:</w:t>
      </w:r>
    </w:p>
    <w:p w14:paraId="7CBA3727" w14:textId="77777777" w:rsidR="00F71AFD" w:rsidRPr="0065720B" w:rsidRDefault="00F71AFD" w:rsidP="00F71AFD">
      <w:pPr>
        <w:widowControl w:val="0"/>
        <w:autoSpaceDE w:val="0"/>
        <w:autoSpaceDN w:val="0"/>
        <w:spacing w:after="0" w:line="276" w:lineRule="auto"/>
        <w:jc w:val="both"/>
        <w:rPr>
          <w:rStyle w:val="normaltextrun"/>
          <w:rFonts w:ascii="Verdana" w:eastAsia="Calibri" w:hAnsi="Verdana" w:cs="Arial"/>
          <w:lang w:val="es-ES_tradnl" w:eastAsia="en-GB"/>
        </w:rPr>
      </w:pPr>
      <w:hyperlink r:id="rId13"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0EE2E056" w14:textId="77777777" w:rsidR="00F71AFD" w:rsidRDefault="00F71AFD" w:rsidP="00F71AFD">
      <w:pPr>
        <w:widowControl w:val="0"/>
        <w:autoSpaceDE w:val="0"/>
        <w:autoSpaceDN w:val="0"/>
        <w:spacing w:after="0" w:line="276" w:lineRule="auto"/>
        <w:jc w:val="both"/>
        <w:rPr>
          <w:rStyle w:val="normaltextrun"/>
          <w:rFonts w:ascii="Verdana" w:hAnsi="Verdana" w:cs="Arial"/>
          <w:shd w:val="clear" w:color="auto" w:fill="FFFFFF"/>
          <w:lang w:val="es-ES"/>
        </w:rPr>
      </w:pPr>
    </w:p>
    <w:p w14:paraId="30C4FED0" w14:textId="77777777" w:rsidR="00F71AFD" w:rsidRPr="00505CD6" w:rsidRDefault="00F71AFD" w:rsidP="00F71AFD">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1070348D" w14:textId="77777777" w:rsidR="00F71AFD" w:rsidRPr="00505CD6" w:rsidRDefault="00F71AFD" w:rsidP="00F71AFD">
      <w:pPr>
        <w:widowControl w:val="0"/>
        <w:autoSpaceDE w:val="0"/>
        <w:autoSpaceDN w:val="0"/>
        <w:spacing w:after="0" w:line="276" w:lineRule="auto"/>
        <w:jc w:val="both"/>
        <w:rPr>
          <w:rFonts w:ascii="Verdana" w:hAnsi="Verdana" w:cs="Arial"/>
          <w:color w:val="000000" w:themeColor="text1"/>
          <w:shd w:val="clear" w:color="auto" w:fill="FFFFFF"/>
        </w:rPr>
      </w:pPr>
    </w:p>
    <w:p w14:paraId="3B9CC789" w14:textId="77777777" w:rsidR="00F71AFD" w:rsidRPr="00505CD6" w:rsidRDefault="00F71AFD" w:rsidP="00F71AFD">
      <w:pPr>
        <w:widowControl w:val="0"/>
        <w:numPr>
          <w:ilvl w:val="0"/>
          <w:numId w:val="1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4" w:tgtFrame="_blank" w:tooltip="Dirección URL original: https://www.colombiacompra.gov.co/content/03-documentos-tipo-para-los-procesos-de-seleccion-de-interventoria-de-obra-publica-de. Haga clic o pulse si confía en este vínculo." w:history="1">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14:paraId="089FA319" w14:textId="77777777" w:rsidR="00F71AFD" w:rsidRPr="00505CD6" w:rsidRDefault="00F71AFD" w:rsidP="00F71AFD">
      <w:pPr>
        <w:widowControl w:val="0"/>
        <w:numPr>
          <w:ilvl w:val="0"/>
          <w:numId w:val="1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r:id="rId15" w:tgtFrame="_blank" w:tooltip="Dirección URL original: https://www.colombiacompra.gov.co/content/02-documentos-tipo-para-los-procesos-de-seleccion-de-consultoria-de-obra-publica-de. Haga clic o pulse si confía en este vínculo." w:history="1">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14:paraId="6F409EC4" w14:textId="77777777" w:rsidR="00F71AFD" w:rsidRPr="00505CD6" w:rsidRDefault="00F71AFD" w:rsidP="00F71AFD">
      <w:pPr>
        <w:widowControl w:val="0"/>
        <w:autoSpaceDE w:val="0"/>
        <w:autoSpaceDN w:val="0"/>
        <w:spacing w:after="0" w:line="276" w:lineRule="auto"/>
        <w:jc w:val="both"/>
        <w:rPr>
          <w:rFonts w:ascii="Verdana" w:hAnsi="Verdana" w:cs="Arial"/>
          <w:color w:val="000000" w:themeColor="text1"/>
          <w:shd w:val="clear" w:color="auto" w:fill="FFFFFF"/>
        </w:rPr>
      </w:pPr>
    </w:p>
    <w:p w14:paraId="1D17B73F" w14:textId="77777777" w:rsidR="00F71AFD" w:rsidRPr="00505CD6" w:rsidRDefault="00F71AFD" w:rsidP="00F71AFD">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14:paraId="31DDB10C" w14:textId="77777777" w:rsidR="00F71AFD" w:rsidRPr="00505CD6" w:rsidRDefault="00F71AFD" w:rsidP="00F71AFD">
      <w:pPr>
        <w:widowControl w:val="0"/>
        <w:autoSpaceDE w:val="0"/>
        <w:autoSpaceDN w:val="0"/>
        <w:spacing w:after="0" w:line="276" w:lineRule="auto"/>
        <w:jc w:val="both"/>
        <w:rPr>
          <w:rFonts w:ascii="Verdana" w:eastAsia="Calibri" w:hAnsi="Verdana" w:cs="Arial"/>
          <w:color w:val="000000" w:themeColor="text1"/>
        </w:rPr>
      </w:pPr>
    </w:p>
    <w:p w14:paraId="20DDE5F0" w14:textId="77777777" w:rsidR="00F71AFD" w:rsidRPr="00505CD6" w:rsidRDefault="00F71AFD" w:rsidP="00F71AFD">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7BCAF416" w14:textId="77777777" w:rsidR="00F71AFD" w:rsidRPr="00505CD6" w:rsidRDefault="00F71AFD" w:rsidP="00F71AFD">
      <w:pPr>
        <w:widowControl w:val="0"/>
        <w:autoSpaceDE w:val="0"/>
        <w:autoSpaceDN w:val="0"/>
        <w:spacing w:after="0" w:line="276" w:lineRule="auto"/>
        <w:jc w:val="both"/>
        <w:rPr>
          <w:rFonts w:ascii="Verdana" w:hAnsi="Verdana" w:cs="Arial"/>
        </w:rPr>
      </w:pPr>
    </w:p>
    <w:p w14:paraId="3402F045" w14:textId="77777777" w:rsidR="00F71AFD" w:rsidRPr="00505CD6" w:rsidRDefault="00F71AFD" w:rsidP="00F71AFD">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36DA2047" w14:textId="77777777" w:rsidR="00F71AFD" w:rsidRDefault="00F71AFD" w:rsidP="00F71AFD">
      <w:pPr>
        <w:spacing w:line="276" w:lineRule="auto"/>
        <w:jc w:val="center"/>
        <w:rPr>
          <w:noProof/>
          <w:color w:val="000000"/>
        </w:rPr>
      </w:pPr>
    </w:p>
    <w:p w14:paraId="6FC85FB4" w14:textId="49EF917F" w:rsidR="00F71AFD" w:rsidRPr="00EF055B" w:rsidRDefault="00562D15" w:rsidP="00F71AFD">
      <w:pPr>
        <w:spacing w:line="276" w:lineRule="auto"/>
        <w:jc w:val="center"/>
        <w:rPr>
          <w:noProof/>
          <w:color w:val="000000"/>
        </w:rPr>
      </w:pPr>
      <w:r>
        <w:rPr>
          <w:noProof/>
          <w:color w:val="000000"/>
        </w:rPr>
        <w:lastRenderedPageBreak/>
        <w:drawing>
          <wp:inline distT="0" distB="0" distL="0" distR="0" wp14:anchorId="06AD858A" wp14:editId="5CC52614">
            <wp:extent cx="3638550" cy="1564437"/>
            <wp:effectExtent l="0" t="0" r="0" b="0"/>
            <wp:docPr id="5064314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431420" name="Imagen 506431420"/>
                    <pic:cNvPicPr/>
                  </pic:nvPicPr>
                  <pic:blipFill>
                    <a:blip r:embed="rId17">
                      <a:extLst>
                        <a:ext uri="{28A0092B-C50C-407E-A947-70E740481C1C}">
                          <a14:useLocalDpi xmlns:a14="http://schemas.microsoft.com/office/drawing/2010/main" val="0"/>
                        </a:ext>
                      </a:extLst>
                    </a:blip>
                    <a:stretch>
                      <a:fillRect/>
                    </a:stretch>
                  </pic:blipFill>
                  <pic:spPr>
                    <a:xfrm>
                      <a:off x="0" y="0"/>
                      <a:ext cx="3643491" cy="156656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71AFD" w:rsidRPr="00593A5F" w14:paraId="456B01ED" w14:textId="77777777" w:rsidTr="00CE5515">
        <w:trPr>
          <w:trHeight w:val="315"/>
        </w:trPr>
        <w:tc>
          <w:tcPr>
            <w:tcW w:w="893" w:type="dxa"/>
            <w:vAlign w:val="center"/>
            <w:hideMark/>
          </w:tcPr>
          <w:p w14:paraId="750C7805" w14:textId="77777777" w:rsidR="00F71AFD" w:rsidRPr="003751C7" w:rsidRDefault="00F71AFD" w:rsidP="00CE5515">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A654CED" w14:textId="77777777" w:rsidR="00F71AFD" w:rsidRDefault="00F71AFD" w:rsidP="00CE5515">
            <w:pPr>
              <w:pStyle w:val="paragraph"/>
              <w:spacing w:before="0" w:beforeAutospacing="0" w:after="0" w:afterAutospacing="0"/>
              <w:contextualSpacing/>
              <w:textAlignment w:val="baseline"/>
              <w:rPr>
                <w:rStyle w:val="normaltextrun"/>
                <w:rFonts w:ascii="Verdana" w:hAnsi="Verdana" w:cstheme="minorHAnsi"/>
                <w:sz w:val="16"/>
                <w:szCs w:val="16"/>
              </w:rPr>
            </w:pPr>
            <w:proofErr w:type="spellStart"/>
            <w:r>
              <w:rPr>
                <w:rStyle w:val="normaltextrun"/>
                <w:rFonts w:ascii="Verdana" w:hAnsi="Verdana" w:cstheme="minorHAnsi"/>
                <w:sz w:val="16"/>
                <w:szCs w:val="16"/>
              </w:rPr>
              <w:t>Karol</w:t>
            </w:r>
            <w:proofErr w:type="spellEnd"/>
            <w:r>
              <w:rPr>
                <w:rStyle w:val="normaltextrun"/>
                <w:rFonts w:ascii="Verdana" w:hAnsi="Verdana" w:cstheme="minorHAnsi"/>
                <w:sz w:val="16"/>
                <w:szCs w:val="16"/>
              </w:rPr>
              <w:t xml:space="preserve"> Andrea </w:t>
            </w:r>
            <w:proofErr w:type="spellStart"/>
            <w:r>
              <w:rPr>
                <w:rStyle w:val="normaltextrun"/>
                <w:rFonts w:ascii="Verdana" w:hAnsi="Verdana" w:cstheme="minorHAnsi"/>
                <w:sz w:val="16"/>
                <w:szCs w:val="16"/>
              </w:rPr>
              <w:t>Gonzalez</w:t>
            </w:r>
            <w:proofErr w:type="spellEnd"/>
            <w:r>
              <w:rPr>
                <w:rStyle w:val="normaltextrun"/>
                <w:rFonts w:ascii="Verdana" w:hAnsi="Verdana" w:cstheme="minorHAnsi"/>
                <w:sz w:val="16"/>
                <w:szCs w:val="16"/>
              </w:rPr>
              <w:t xml:space="preserve"> </w:t>
            </w:r>
            <w:proofErr w:type="spellStart"/>
            <w:r>
              <w:rPr>
                <w:rStyle w:val="normaltextrun"/>
                <w:rFonts w:ascii="Verdana" w:hAnsi="Verdana" w:cstheme="minorHAnsi"/>
                <w:sz w:val="16"/>
                <w:szCs w:val="16"/>
              </w:rPr>
              <w:t>Marin</w:t>
            </w:r>
            <w:proofErr w:type="spellEnd"/>
          </w:p>
          <w:p w14:paraId="1B451CB5" w14:textId="77777777" w:rsidR="00F71AFD" w:rsidRPr="000015E6" w:rsidRDefault="00F71AFD" w:rsidP="00CE5515">
            <w:pPr>
              <w:contextualSpacing/>
              <w:rPr>
                <w:rFonts w:ascii="Verdana" w:eastAsia="Arial" w:hAnsi="Verdana" w:cs="Arial"/>
                <w:sz w:val="16"/>
                <w:szCs w:val="16"/>
              </w:rPr>
            </w:pPr>
            <w:r w:rsidRPr="00E24803">
              <w:rPr>
                <w:rFonts w:ascii="Verdana" w:hAnsi="Verdana"/>
                <w:sz w:val="16"/>
                <w:szCs w:val="16"/>
              </w:rPr>
              <w:t>Contratista de la Subdirección de Gestión Contractual</w:t>
            </w:r>
          </w:p>
        </w:tc>
      </w:tr>
      <w:tr w:rsidR="00F71AFD" w:rsidRPr="00593A5F" w14:paraId="54DDB426" w14:textId="77777777" w:rsidTr="00CE5515">
        <w:trPr>
          <w:trHeight w:val="330"/>
        </w:trPr>
        <w:tc>
          <w:tcPr>
            <w:tcW w:w="893" w:type="dxa"/>
            <w:vAlign w:val="center"/>
            <w:hideMark/>
          </w:tcPr>
          <w:p w14:paraId="3535C773" w14:textId="77777777" w:rsidR="00F71AFD" w:rsidRPr="003751C7" w:rsidRDefault="00F71AFD" w:rsidP="00CE5515">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B316542" w14:textId="77777777" w:rsidR="00F71AFD" w:rsidRDefault="00F71AFD" w:rsidP="00CE5515">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Juan Carlos González.</w:t>
            </w:r>
          </w:p>
          <w:p w14:paraId="6106970D" w14:textId="77777777" w:rsidR="00F71AFD" w:rsidRPr="00EF40D2" w:rsidRDefault="00F71AFD" w:rsidP="00CE5515">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cs="Arial"/>
                <w:sz w:val="16"/>
                <w:szCs w:val="16"/>
              </w:rPr>
              <w:t xml:space="preserve">Contratista </w:t>
            </w:r>
            <w:r w:rsidRPr="000015E6">
              <w:rPr>
                <w:rStyle w:val="normaltextrun"/>
                <w:rFonts w:ascii="Verdana" w:eastAsia="Arial" w:hAnsi="Verdana" w:cs="Arial"/>
                <w:sz w:val="16"/>
                <w:szCs w:val="16"/>
              </w:rPr>
              <w:t>Subdirección de Gestión Contractual</w:t>
            </w:r>
          </w:p>
        </w:tc>
      </w:tr>
      <w:tr w:rsidR="00F71AFD" w:rsidRPr="00593A5F" w14:paraId="2B426141" w14:textId="77777777" w:rsidTr="00CE5515">
        <w:trPr>
          <w:trHeight w:val="300"/>
        </w:trPr>
        <w:tc>
          <w:tcPr>
            <w:tcW w:w="893" w:type="dxa"/>
            <w:vAlign w:val="center"/>
          </w:tcPr>
          <w:p w14:paraId="5854FB42" w14:textId="77777777" w:rsidR="00F71AFD" w:rsidRPr="003751C7" w:rsidRDefault="00F71AFD" w:rsidP="00CE5515">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F37EA91" w14:textId="77777777" w:rsidR="00F71AFD" w:rsidRPr="000015E6" w:rsidRDefault="00F71AFD" w:rsidP="00CE5515">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Carolina Quintero Ganchará</w:t>
            </w:r>
            <w:r>
              <w:rPr>
                <w:rFonts w:ascii="Verdana" w:eastAsia="Calibri" w:hAnsi="Verdana" w:cs="Arial"/>
                <w:sz w:val="16"/>
                <w:szCs w:val="16"/>
                <w:lang w:val="pt-BR" w:eastAsia="es-ES"/>
              </w:rPr>
              <w:t>.</w:t>
            </w:r>
          </w:p>
          <w:p w14:paraId="2F2EA37B" w14:textId="77777777" w:rsidR="00F71AFD" w:rsidRPr="000015E6" w:rsidRDefault="00F71AFD" w:rsidP="00CE5515">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bookmarkEnd w:id="2"/>
      <w:bookmarkEnd w:id="3"/>
    </w:tbl>
    <w:p w14:paraId="2C99BD9A" w14:textId="77777777" w:rsidR="00F71AFD" w:rsidRPr="0044528D" w:rsidRDefault="00F71AFD" w:rsidP="00F71AFD">
      <w:pPr>
        <w:spacing w:after="0"/>
        <w:rPr>
          <w:rFonts w:ascii="Verdana" w:hAnsi="Verdana"/>
        </w:rPr>
      </w:pPr>
    </w:p>
    <w:p w14:paraId="67DD3F8C" w14:textId="77777777" w:rsidR="002707A2" w:rsidRPr="0044528D" w:rsidRDefault="002707A2" w:rsidP="00E245AB">
      <w:pPr>
        <w:spacing w:after="0"/>
        <w:jc w:val="both"/>
        <w:rPr>
          <w:rStyle w:val="Hipervnculo"/>
          <w:rFonts w:ascii="Verdana" w:hAnsi="Verdana"/>
        </w:rPr>
      </w:pPr>
    </w:p>
    <w:bookmarkEnd w:id="1"/>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8406A" w14:textId="77777777" w:rsidR="00B11175" w:rsidRDefault="00B11175" w:rsidP="004A1847">
      <w:pPr>
        <w:spacing w:after="0" w:line="240" w:lineRule="auto"/>
      </w:pPr>
      <w:r>
        <w:separator/>
      </w:r>
    </w:p>
  </w:endnote>
  <w:endnote w:type="continuationSeparator" w:id="0">
    <w:p w14:paraId="4F8279E5" w14:textId="77777777" w:rsidR="00B11175" w:rsidRDefault="00B1117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A5443" w14:textId="77777777" w:rsidR="00B11175" w:rsidRDefault="00B11175" w:rsidP="004A1847">
      <w:pPr>
        <w:spacing w:after="0" w:line="240" w:lineRule="auto"/>
      </w:pPr>
      <w:r>
        <w:separator/>
      </w:r>
    </w:p>
  </w:footnote>
  <w:footnote w:type="continuationSeparator" w:id="0">
    <w:p w14:paraId="6C98F09F" w14:textId="77777777" w:rsidR="00B11175" w:rsidRDefault="00B11175" w:rsidP="004A1847">
      <w:pPr>
        <w:spacing w:after="0" w:line="240" w:lineRule="auto"/>
      </w:pPr>
      <w:r>
        <w:continuationSeparator/>
      </w:r>
    </w:p>
  </w:footnote>
  <w:footnote w:id="1">
    <w:p w14:paraId="00D97407" w14:textId="77777777" w:rsidR="00F71AFD" w:rsidRPr="004709E3" w:rsidRDefault="00F71AFD" w:rsidP="00F71AFD">
      <w:pPr>
        <w:pStyle w:val="Textonotapie"/>
        <w:ind w:firstLine="708"/>
        <w:jc w:val="both"/>
        <w:rPr>
          <w:rFonts w:ascii="Verdana" w:hAnsi="Verdana" w:cs="Arial"/>
          <w:color w:val="000000" w:themeColor="text1"/>
          <w:sz w:val="18"/>
          <w:szCs w:val="18"/>
        </w:rPr>
      </w:pPr>
      <w:r w:rsidRPr="004709E3">
        <w:rPr>
          <w:rStyle w:val="Refdenotaalpie"/>
          <w:rFonts w:ascii="Verdana" w:hAnsi="Verdana" w:cs="Arial"/>
          <w:color w:val="000000" w:themeColor="text1"/>
          <w:sz w:val="18"/>
          <w:szCs w:val="18"/>
        </w:rPr>
        <w:footnoteRef/>
      </w:r>
      <w:r w:rsidRPr="004709E3">
        <w:rPr>
          <w:rStyle w:val="Refdenotaalpie"/>
          <w:rFonts w:ascii="Verdana" w:hAnsi="Verdana" w:cs="Arial"/>
          <w:color w:val="000000" w:themeColor="text1"/>
          <w:sz w:val="18"/>
          <w:szCs w:val="18"/>
        </w:rPr>
        <w:t xml:space="preserve"> </w:t>
      </w:r>
      <w:r w:rsidRPr="004709E3">
        <w:rPr>
          <w:rFonts w:ascii="Verdana" w:hAnsi="Verdana" w:cs="Arial"/>
          <w:color w:val="000000" w:themeColor="text1"/>
          <w:sz w:val="18"/>
          <w:szCs w:val="18"/>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3144D5DC" w14:textId="77777777" w:rsidR="00F71AFD" w:rsidRPr="004709E3" w:rsidRDefault="00F71AFD" w:rsidP="00F71AFD">
      <w:pPr>
        <w:pStyle w:val="Textonotapie"/>
        <w:ind w:firstLine="708"/>
        <w:jc w:val="both"/>
        <w:rPr>
          <w:rFonts w:ascii="Verdana" w:hAnsi="Verdana" w:cs="Arial"/>
          <w:color w:val="000000" w:themeColor="text1"/>
          <w:sz w:val="18"/>
          <w:szCs w:val="18"/>
        </w:rPr>
      </w:pPr>
    </w:p>
  </w:footnote>
  <w:footnote w:id="2">
    <w:p w14:paraId="38CD1DEF" w14:textId="77777777" w:rsidR="00F71AFD" w:rsidRPr="004709E3" w:rsidRDefault="00F71AFD" w:rsidP="00F71AFD">
      <w:pPr>
        <w:pStyle w:val="Textonotapie"/>
        <w:ind w:firstLine="709"/>
        <w:jc w:val="both"/>
        <w:rPr>
          <w:rFonts w:ascii="Verdana" w:hAnsi="Verdana" w:cs="Arial"/>
          <w:color w:val="000000" w:themeColor="text1"/>
          <w:sz w:val="18"/>
          <w:szCs w:val="18"/>
        </w:rPr>
      </w:pPr>
      <w:r w:rsidRPr="004709E3">
        <w:rPr>
          <w:rStyle w:val="Refdenotaalpie"/>
          <w:rFonts w:ascii="Verdana" w:hAnsi="Verdana" w:cs="Arial"/>
          <w:sz w:val="18"/>
          <w:szCs w:val="18"/>
        </w:rPr>
        <w:footnoteRef/>
      </w:r>
      <w:r w:rsidRPr="004709E3">
        <w:rPr>
          <w:rFonts w:ascii="Verdana" w:hAnsi="Verdana" w:cs="Arial"/>
          <w:sz w:val="18"/>
          <w:szCs w:val="18"/>
        </w:rPr>
        <w:t xml:space="preserve"> </w:t>
      </w:r>
      <w:r w:rsidRPr="004709E3">
        <w:rPr>
          <w:rFonts w:ascii="Verdana" w:hAnsi="Verdana" w:cs="Arial"/>
          <w:color w:val="000000" w:themeColor="text1"/>
          <w:sz w:val="18"/>
          <w:szCs w:val="18"/>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300223F8" w14:textId="77777777" w:rsidR="00F71AFD" w:rsidRPr="004709E3" w:rsidRDefault="00F71AFD" w:rsidP="00F71AFD">
      <w:pPr>
        <w:pStyle w:val="Textonotapie"/>
        <w:ind w:firstLine="709"/>
        <w:jc w:val="both"/>
        <w:rPr>
          <w:rFonts w:ascii="Verdana" w:hAnsi="Verdana" w:cs="Arial"/>
          <w:sz w:val="18"/>
          <w:szCs w:val="18"/>
        </w:rPr>
      </w:pPr>
      <w:r w:rsidRPr="004709E3">
        <w:rPr>
          <w:rFonts w:ascii="Verdana" w:hAnsi="Verdana" w:cs="Arial"/>
          <w:color w:val="000000" w:themeColor="text1"/>
          <w:sz w:val="18"/>
          <w:szCs w:val="18"/>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w:t>
      </w:r>
    </w:p>
  </w:footnote>
  <w:footnote w:id="3">
    <w:p w14:paraId="5D2A9D7C" w14:textId="77777777" w:rsidR="00F71AFD" w:rsidRPr="004709E3" w:rsidRDefault="00F71AFD" w:rsidP="00F71AFD">
      <w:pPr>
        <w:pStyle w:val="Textonotapie"/>
        <w:ind w:firstLine="709"/>
        <w:jc w:val="both"/>
        <w:rPr>
          <w:rFonts w:ascii="Verdana" w:hAnsi="Verdana" w:cs="Arial"/>
          <w:color w:val="000000" w:themeColor="text1"/>
          <w:sz w:val="18"/>
          <w:szCs w:val="18"/>
        </w:rPr>
      </w:pPr>
      <w:r w:rsidRPr="004709E3">
        <w:rPr>
          <w:rStyle w:val="Refdenotaalpie"/>
          <w:rFonts w:ascii="Verdana" w:hAnsi="Verdana" w:cs="Arial"/>
          <w:color w:val="000000" w:themeColor="text1"/>
          <w:sz w:val="18"/>
          <w:szCs w:val="18"/>
        </w:rPr>
        <w:footnoteRef/>
      </w:r>
      <w:r w:rsidRPr="004709E3">
        <w:rPr>
          <w:rFonts w:ascii="Verdana" w:hAnsi="Verdana" w:cs="Arial"/>
          <w:color w:val="000000" w:themeColor="text1"/>
          <w:sz w:val="18"/>
          <w:szCs w:val="18"/>
        </w:rPr>
        <w:t xml:space="preserve"> Consejo de Estado. Sala de Consulta y Servicio Civil. Concepto del 20 de mayo de 2010. Expediente: 1992. Consejero Ponente: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C67EF9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843939913" o:spid="_x0000_i1025" type="#_x0000_t75" style="width:11.25pt;height:11.25pt;visibility:visible;mso-wrap-style:square">
            <v:imagedata r:id="rId1" o:title=""/>
          </v:shape>
        </w:pict>
      </mc:Choice>
      <mc:Fallback>
        <w:drawing>
          <wp:inline distT="0" distB="0" distL="0" distR="0" wp14:anchorId="13808CB0">
            <wp:extent cx="142875" cy="142875"/>
            <wp:effectExtent l="0" t="0" r="0" b="0"/>
            <wp:docPr id="1843939913" name="Imagen 1843939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80713882">
    <w:abstractNumId w:val="0"/>
  </w:num>
  <w:num w:numId="17" w16cid:durableId="679089576">
    <w:abstractNumId w:val="9"/>
  </w:num>
  <w:num w:numId="18" w16cid:durableId="19822999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62D15"/>
    <w:rsid w:val="00574867"/>
    <w:rsid w:val="00591460"/>
    <w:rsid w:val="005B3816"/>
    <w:rsid w:val="005C3777"/>
    <w:rsid w:val="005C5CDC"/>
    <w:rsid w:val="005D476C"/>
    <w:rsid w:val="006219F8"/>
    <w:rsid w:val="00651DBB"/>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11175"/>
    <w:rsid w:val="00B123AC"/>
    <w:rsid w:val="00B66319"/>
    <w:rsid w:val="00B72CD3"/>
    <w:rsid w:val="00B72FFF"/>
    <w:rsid w:val="00BA49FE"/>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1AFD"/>
    <w:rsid w:val="00F76AFC"/>
    <w:rsid w:val="00FA47C0"/>
    <w:rsid w:val="00FB5DD1"/>
    <w:rsid w:val="00FC2B5D"/>
    <w:rsid w:val="00FF1449"/>
    <w:rsid w:val="4D89B54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71AF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71AFD"/>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colombiacompra.gov.co/sites/cce_public/files/cce_circulares/circular_externa_unica_version_3_vf49.pdf"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10" Type="http://schemas.openxmlformats.org/officeDocument/2006/relationships/hyperlink" Target="mailto:yuryhernandez@copnia.gov.co"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4E0E023-DC96-48B8-A78F-4628832608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4116</Words>
  <Characters>22643</Characters>
  <Application>Microsoft Office Word</Application>
  <DocSecurity>0</DocSecurity>
  <Lines>188</Lines>
  <Paragraphs>53</Paragraphs>
  <ScaleCrop>false</ScaleCrop>
  <Company/>
  <LinksUpToDate>false</LinksUpToDate>
  <CharactersWithSpaces>26706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2025-04-21T13:02:00Z</dcterms:created>
  <dcterms:modified xsi:type="dcterms:W3CDTF">2025-04-21T13:02:00Z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