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A6821" w:rsidRPr="00025914" w:rsidRDefault="006A6821" w:rsidP="006A6821">
      <w:pPr>
        <w:jc w:val="both"/>
        <w:rPr>
          <w:rFonts w:ascii="Verdana" w:eastAsia="Calibri" w:hAnsi="Verdana" w:cs="Arial"/>
          <w:b/>
          <w:bCs/>
          <w:color w:val="000000" w:themeColor="text1"/>
        </w:rPr>
      </w:pPr>
      <w:r w:rsidRPr="00025914">
        <w:rPr>
          <w:rFonts w:ascii="Verdana" w:eastAsia="Calibri" w:hAnsi="Verdana" w:cs="Arial"/>
          <w:b/>
          <w:bCs/>
          <w:color w:val="000000" w:themeColor="text1"/>
        </w:rPr>
        <w:t>SELECCIÓN OBJETIVA ― Noción y factores de escogencia</w:t>
      </w:r>
    </w:p>
    <w:p w:rsidR="006A6821" w:rsidRPr="00025914" w:rsidRDefault="006A6821" w:rsidP="006A6821">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rsidR="006A6821" w:rsidRPr="00025914" w:rsidRDefault="006A6821" w:rsidP="006A6821">
      <w:pPr>
        <w:spacing w:before="120"/>
        <w:jc w:val="both"/>
        <w:rPr>
          <w:rFonts w:ascii="Verdana" w:hAnsi="Verdana" w:cs="Arial"/>
          <w:color w:val="000000" w:themeColor="text1"/>
          <w:sz w:val="20"/>
          <w:szCs w:val="20"/>
        </w:rPr>
      </w:pPr>
      <w:r w:rsidRPr="00025914">
        <w:rPr>
          <w:rFonts w:ascii="Verdana" w:eastAsia="Calibri" w:hAnsi="Verdana" w:cs="Arial"/>
          <w:color w:val="000000" w:themeColor="text1"/>
          <w:sz w:val="20"/>
          <w:szCs w:val="20"/>
          <w:lang w:val="es-ES"/>
        </w:rPr>
        <w:t xml:space="preserve">Específicamente, el numeral 1º de la disposición referida establece que en los procesos de selección de contratistas serán objeto de verificación, como requisitos habilitantes, los siguientes: i) la capacidad jurídica; </w:t>
      </w:r>
      <w:proofErr w:type="spellStart"/>
      <w:r w:rsidRPr="00025914">
        <w:rPr>
          <w:rFonts w:ascii="Verdana" w:eastAsia="Calibri" w:hAnsi="Verdana" w:cs="Arial"/>
          <w:color w:val="000000" w:themeColor="text1"/>
          <w:sz w:val="20"/>
          <w:szCs w:val="20"/>
          <w:lang w:val="es-ES"/>
        </w:rPr>
        <w:t>ii</w:t>
      </w:r>
      <w:proofErr w:type="spellEnd"/>
      <w:r w:rsidRPr="00025914">
        <w:rPr>
          <w:rFonts w:ascii="Verdana" w:eastAsia="Calibri" w:hAnsi="Verdana" w:cs="Arial"/>
          <w:color w:val="000000" w:themeColor="text1"/>
          <w:sz w:val="20"/>
          <w:szCs w:val="20"/>
          <w:lang w:val="es-ES"/>
        </w:rPr>
        <w:t xml:space="preserve">) la experiencia; </w:t>
      </w:r>
      <w:proofErr w:type="spellStart"/>
      <w:r w:rsidRPr="00025914">
        <w:rPr>
          <w:rFonts w:ascii="Verdana" w:eastAsia="Calibri" w:hAnsi="Verdana" w:cs="Arial"/>
          <w:color w:val="000000" w:themeColor="text1"/>
          <w:sz w:val="20"/>
          <w:szCs w:val="20"/>
          <w:lang w:val="es-ES"/>
        </w:rPr>
        <w:t>iii</w:t>
      </w:r>
      <w:proofErr w:type="spellEnd"/>
      <w:r w:rsidRPr="00025914">
        <w:rPr>
          <w:rFonts w:ascii="Verdana" w:eastAsia="Calibri" w:hAnsi="Verdana" w:cs="Arial"/>
          <w:color w:val="000000" w:themeColor="text1"/>
          <w:sz w:val="20"/>
          <w:szCs w:val="20"/>
          <w:lang w:val="es-ES"/>
        </w:rPr>
        <w:t xml:space="preserve">) la capacidad financiera y </w:t>
      </w:r>
      <w:proofErr w:type="spellStart"/>
      <w:r w:rsidRPr="00025914">
        <w:rPr>
          <w:rFonts w:ascii="Verdana" w:eastAsia="Calibri" w:hAnsi="Verdana" w:cs="Arial"/>
          <w:color w:val="000000" w:themeColor="text1"/>
          <w:sz w:val="20"/>
          <w:szCs w:val="20"/>
          <w:lang w:val="es-ES"/>
        </w:rPr>
        <w:t>iv</w:t>
      </w:r>
      <w:proofErr w:type="spellEnd"/>
      <w:r w:rsidRPr="00025914">
        <w:rPr>
          <w:rFonts w:ascii="Verdana" w:eastAsia="Calibri" w:hAnsi="Verdana" w:cs="Arial"/>
          <w:color w:val="000000" w:themeColor="text1"/>
          <w:sz w:val="20"/>
          <w:szCs w:val="20"/>
          <w:lang w:val="es-ES"/>
        </w:rPr>
        <w:t>) la capacidad de organización.</w:t>
      </w:r>
    </w:p>
    <w:p w:rsidR="006A6821" w:rsidRPr="00025914" w:rsidRDefault="006A6821" w:rsidP="006A6821">
      <w:pPr>
        <w:jc w:val="both"/>
        <w:rPr>
          <w:rFonts w:ascii="Verdana" w:eastAsia="Calibri" w:hAnsi="Verdana" w:cs="Arial"/>
          <w:b/>
          <w:bCs/>
          <w:color w:val="000000" w:themeColor="text1"/>
        </w:rPr>
      </w:pPr>
    </w:p>
    <w:p w:rsidR="006A6821" w:rsidRPr="00025914" w:rsidRDefault="006A6821" w:rsidP="006A6821">
      <w:pPr>
        <w:jc w:val="both"/>
        <w:rPr>
          <w:rFonts w:ascii="Verdana" w:eastAsia="Calibri" w:hAnsi="Verdana" w:cs="Arial"/>
          <w:b/>
          <w:bCs/>
          <w:color w:val="000000" w:themeColor="text1"/>
        </w:rPr>
      </w:pPr>
      <w:r w:rsidRPr="00025914">
        <w:rPr>
          <w:rFonts w:ascii="Verdana" w:eastAsia="Calibri" w:hAnsi="Verdana" w:cs="Arial"/>
          <w:b/>
          <w:bCs/>
          <w:color w:val="000000" w:themeColor="text1"/>
        </w:rPr>
        <w:t>REQUISITOS HABILITANTES DE LA LEY 1150 DE 2007 ― Carácter enunciativo</w:t>
      </w:r>
    </w:p>
    <w:p w:rsidR="006A6821" w:rsidRPr="00025914" w:rsidRDefault="006A6821" w:rsidP="006A6821">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t>[…]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rsidR="006A6821" w:rsidRPr="00025914" w:rsidRDefault="006A6821" w:rsidP="006A6821">
      <w:pPr>
        <w:jc w:val="both"/>
        <w:rPr>
          <w:rFonts w:ascii="Verdana" w:eastAsia="Calibri" w:hAnsi="Verdana" w:cs="Arial"/>
          <w:color w:val="000000" w:themeColor="text1"/>
          <w:sz w:val="20"/>
          <w:szCs w:val="20"/>
        </w:rPr>
      </w:pPr>
    </w:p>
    <w:p w:rsidR="006A6821" w:rsidRPr="00025914" w:rsidRDefault="006A6821" w:rsidP="006A6821">
      <w:pPr>
        <w:rPr>
          <w:rFonts w:ascii="Verdana" w:eastAsia="Calibri" w:hAnsi="Verdana" w:cs="Arial"/>
          <w:b/>
          <w:bCs/>
          <w:color w:val="000000" w:themeColor="text1"/>
        </w:rPr>
      </w:pPr>
      <w:r w:rsidRPr="00025914">
        <w:rPr>
          <w:rFonts w:ascii="Verdana" w:eastAsia="Calibri" w:hAnsi="Verdana" w:cs="Arial"/>
          <w:b/>
          <w:bCs/>
          <w:color w:val="000000" w:themeColor="text1"/>
        </w:rPr>
        <w:t>CERTIFICACIONES DE SISTEMAS DE GESTIÓN DE CALIDAD – No se pueden exigir como requisito habilitante o puntuable</w:t>
      </w:r>
    </w:p>
    <w:p w:rsidR="006A6821" w:rsidRPr="00025914" w:rsidRDefault="006A6821" w:rsidP="006A6821">
      <w:pPr>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rPr>
        <w:t xml:space="preserve">[…] </w:t>
      </w:r>
      <w:r w:rsidRPr="00025914">
        <w:rPr>
          <w:rFonts w:ascii="Verdana" w:eastAsia="Calibri" w:hAnsi="Verdana" w:cs="Arial"/>
          <w:color w:val="000000" w:themeColor="text1"/>
          <w:sz w:val="20"/>
          <w:szCs w:val="20"/>
          <w:lang w:val="es-ES"/>
        </w:rPr>
        <w:t>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esta prohibición comprende los requisitos habilitantes y, además, los requisitos puntuables, pues la norma prohíbe expresamente que dichas certificaciones sean objeto de calificación. […]</w:t>
      </w:r>
    </w:p>
    <w:p w:rsidR="006A6821" w:rsidRPr="00025914" w:rsidRDefault="006A6821" w:rsidP="006A6821">
      <w:pPr>
        <w:spacing w:before="120"/>
        <w:jc w:val="both"/>
        <w:rPr>
          <w:rFonts w:ascii="Verdana" w:eastAsia="Calibri" w:hAnsi="Verdana" w:cs="Arial"/>
          <w:color w:val="000000" w:themeColor="text1"/>
          <w:sz w:val="20"/>
          <w:szCs w:val="20"/>
          <w:lang w:val="es-ES"/>
        </w:rPr>
      </w:pPr>
      <w:r w:rsidRPr="00025914">
        <w:rPr>
          <w:rFonts w:ascii="Verdana" w:eastAsia="Calibri" w:hAnsi="Verdana" w:cs="Arial"/>
          <w:color w:val="000000" w:themeColor="text1"/>
          <w:sz w:val="20"/>
          <w:szCs w:val="20"/>
          <w:lang w:val="es-ES"/>
        </w:rPr>
        <w:lastRenderedPageBreak/>
        <w:t>Ese es el criterio actual en el Consejo de Estado. En efecto, en concepto del 20 de mayo del 2010, la Sala de Consulta y Servicio Civil de dicha Corporación aclaró que «[…] Los certificados de gestión de calidad no se pueden solicitar a los proponentes, ni como requisito habilitante para participar en los procesos de selección, ni para otorgar puntaje».</w:t>
      </w:r>
    </w:p>
    <w:p w:rsidR="006A6821" w:rsidRPr="00025914" w:rsidRDefault="006A6821" w:rsidP="006A6821">
      <w:pPr>
        <w:rPr>
          <w:rFonts w:ascii="Verdana" w:hAnsi="Verdana" w:cs="Arial"/>
          <w:color w:val="000000" w:themeColor="text1"/>
          <w:lang w:val="es-ES"/>
        </w:rPr>
      </w:pPr>
    </w:p>
    <w:p w:rsidR="006A6821" w:rsidRPr="00025914" w:rsidRDefault="006A6821" w:rsidP="006A6821">
      <w:pPr>
        <w:jc w:val="both"/>
        <w:rPr>
          <w:rFonts w:ascii="Verdana" w:hAnsi="Verdana" w:cs="Arial"/>
        </w:rPr>
      </w:pPr>
      <w:r w:rsidRPr="00025914">
        <w:rPr>
          <w:rFonts w:ascii="Verdana" w:hAnsi="Verdana" w:cs="Arial"/>
        </w:rPr>
        <w:br w:type="page"/>
      </w:r>
    </w:p>
    <w:p w:rsidR="006A6821" w:rsidRPr="00025914" w:rsidRDefault="006A6821" w:rsidP="006A6821">
      <w:pPr>
        <w:spacing w:after="0" w:line="240" w:lineRule="auto"/>
        <w:jc w:val="both"/>
        <w:rPr>
          <w:rFonts w:ascii="Verdana" w:eastAsia="Calibri" w:hAnsi="Verdana" w:cs="Arial"/>
          <w:color w:val="000000" w:themeColor="text1"/>
          <w:sz w:val="20"/>
          <w:szCs w:val="20"/>
        </w:rPr>
      </w:pPr>
    </w:p>
    <w:p w:rsidR="006A6821" w:rsidRPr="00025914" w:rsidRDefault="006A6821" w:rsidP="006A6821">
      <w:pPr>
        <w:spacing w:after="0"/>
        <w:rPr>
          <w:rFonts w:ascii="Verdana" w:hAnsi="Verdana"/>
          <w:b/>
          <w:bCs/>
          <w:lang w:val="es-ES"/>
        </w:rPr>
      </w:pPr>
    </w:p>
    <w:p w:rsidR="006A6821" w:rsidRPr="00025914" w:rsidRDefault="006A6821" w:rsidP="006A6821">
      <w:pPr>
        <w:spacing w:after="0"/>
        <w:rPr>
          <w:rFonts w:ascii="Verdana" w:hAnsi="Verdana"/>
        </w:rPr>
      </w:pPr>
    </w:p>
    <w:p w:rsidR="006A6821" w:rsidRPr="00025914" w:rsidRDefault="006A6821" w:rsidP="006A6821">
      <w:pPr>
        <w:spacing w:after="0"/>
        <w:rPr>
          <w:rFonts w:ascii="Verdana" w:hAnsi="Verdana"/>
        </w:rPr>
      </w:pPr>
      <w:r w:rsidRPr="00025914">
        <w:rPr>
          <w:rFonts w:ascii="Verdana" w:hAnsi="Verdana"/>
        </w:rPr>
        <w:t>Bogotá D.C., [Día] [</w:t>
      </w:r>
      <w:proofErr w:type="spellStart"/>
      <w:r w:rsidRPr="00025914">
        <w:rPr>
          <w:rFonts w:ascii="Verdana" w:hAnsi="Verdana"/>
        </w:rPr>
        <w:t>Mes.NombreCapitalizado</w:t>
      </w:r>
      <w:proofErr w:type="spellEnd"/>
      <w:r w:rsidRPr="00025914">
        <w:rPr>
          <w:rFonts w:ascii="Verdana" w:hAnsi="Verdana"/>
        </w:rPr>
        <w:t>] [Año]</w:t>
      </w:r>
    </w:p>
    <w:p w:rsidR="006A6821" w:rsidRDefault="006A6821" w:rsidP="006A6821">
      <w:pPr>
        <w:spacing w:after="0"/>
        <w:rPr>
          <w:rFonts w:ascii="Verdana" w:hAnsi="Verdana"/>
        </w:rPr>
      </w:pPr>
    </w:p>
    <w:p w:rsidR="00CF1407" w:rsidRPr="00025914" w:rsidRDefault="00CF1407" w:rsidP="006A6821">
      <w:pPr>
        <w:spacing w:after="0"/>
        <w:rPr>
          <w:rFonts w:ascii="Verdana" w:hAnsi="Verdana"/>
        </w:rPr>
      </w:pPr>
      <w:r w:rsidRPr="00CF1407">
        <w:rPr>
          <w:rFonts w:ascii="Verdana" w:hAnsi="Verdana"/>
        </w:rPr>
        <w:drawing>
          <wp:anchor distT="0" distB="0" distL="114300" distR="114300" simplePos="0" relativeHeight="251658240" behindDoc="1" locked="0" layoutInCell="1" allowOverlap="1" wp14:anchorId="05E5C6B7">
            <wp:simplePos x="0" y="0"/>
            <wp:positionH relativeFrom="column">
              <wp:posOffset>3660140</wp:posOffset>
            </wp:positionH>
            <wp:positionV relativeFrom="paragraph">
              <wp:posOffset>26670</wp:posOffset>
            </wp:positionV>
            <wp:extent cx="2863850" cy="796455"/>
            <wp:effectExtent l="0" t="0" r="0" b="3810"/>
            <wp:wrapNone/>
            <wp:docPr id="18163225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22554" name=""/>
                    <pic:cNvPicPr/>
                  </pic:nvPicPr>
                  <pic:blipFill>
                    <a:blip r:embed="rId7">
                      <a:extLst>
                        <a:ext uri="{28A0092B-C50C-407E-A947-70E740481C1C}">
                          <a14:useLocalDpi xmlns:a14="http://schemas.microsoft.com/office/drawing/2010/main" val="0"/>
                        </a:ext>
                      </a:extLst>
                    </a:blip>
                    <a:stretch>
                      <a:fillRect/>
                    </a:stretch>
                  </pic:blipFill>
                  <pic:spPr>
                    <a:xfrm>
                      <a:off x="0" y="0"/>
                      <a:ext cx="2863850" cy="796455"/>
                    </a:xfrm>
                    <a:prstGeom prst="rect">
                      <a:avLst/>
                    </a:prstGeom>
                  </pic:spPr>
                </pic:pic>
              </a:graphicData>
            </a:graphic>
            <wp14:sizeRelH relativeFrom="page">
              <wp14:pctWidth>0</wp14:pctWidth>
            </wp14:sizeRelH>
            <wp14:sizeRelV relativeFrom="page">
              <wp14:pctHeight>0</wp14:pctHeight>
            </wp14:sizeRelV>
          </wp:anchor>
        </w:drawing>
      </w:r>
    </w:p>
    <w:p w:rsidR="006A6821" w:rsidRPr="00025914" w:rsidRDefault="006A6821" w:rsidP="006A6821">
      <w:pPr>
        <w:spacing w:after="0" w:line="276" w:lineRule="auto"/>
        <w:rPr>
          <w:rFonts w:ascii="Verdana" w:eastAsia="Calibri" w:hAnsi="Verdana" w:cs="Arial"/>
          <w:lang w:val="es-ES"/>
        </w:rPr>
      </w:pPr>
    </w:p>
    <w:p w:rsidR="006A6821" w:rsidRPr="00025914" w:rsidRDefault="006A6821" w:rsidP="006A6821">
      <w:pPr>
        <w:spacing w:after="0" w:line="240" w:lineRule="auto"/>
        <w:jc w:val="both"/>
        <w:rPr>
          <w:rFonts w:ascii="Verdana" w:eastAsia="Calibri" w:hAnsi="Verdana" w:cs="Arial"/>
          <w:lang w:val="es-ES" w:eastAsia="es-ES"/>
        </w:rPr>
      </w:pPr>
      <w:r w:rsidRPr="00025914">
        <w:rPr>
          <w:rFonts w:ascii="Verdana" w:eastAsia="Calibri" w:hAnsi="Verdana" w:cs="Arial"/>
          <w:lang w:val="es-ES" w:eastAsia="es-ES"/>
        </w:rPr>
        <w:t>Señor</w:t>
      </w:r>
    </w:p>
    <w:p w:rsidR="006A6821" w:rsidRPr="00025914" w:rsidRDefault="006A6821" w:rsidP="006A6821">
      <w:pPr>
        <w:spacing w:after="0" w:line="240" w:lineRule="auto"/>
        <w:jc w:val="both"/>
        <w:rPr>
          <w:rFonts w:ascii="Verdana" w:eastAsia="Calibri" w:hAnsi="Verdana" w:cs="Arial"/>
          <w:b/>
          <w:bCs/>
          <w:lang w:eastAsia="es-ES"/>
        </w:rPr>
      </w:pPr>
      <w:r w:rsidRPr="00025914">
        <w:rPr>
          <w:rFonts w:ascii="Verdana" w:eastAsia="Calibri" w:hAnsi="Verdana" w:cs="Arial"/>
          <w:b/>
          <w:bCs/>
          <w:lang w:eastAsia="es-ES"/>
        </w:rPr>
        <w:t>Fernando Mauricio Iglesias Gaona</w:t>
      </w:r>
    </w:p>
    <w:p w:rsidR="006A6821" w:rsidRPr="00025914" w:rsidRDefault="00000000" w:rsidP="006A6821">
      <w:pPr>
        <w:spacing w:after="0" w:line="240" w:lineRule="auto"/>
        <w:jc w:val="both"/>
        <w:rPr>
          <w:rFonts w:ascii="Verdana" w:hAnsi="Verdana"/>
        </w:rPr>
      </w:pPr>
      <w:hyperlink r:id="rId8" w:history="1">
        <w:r w:rsidR="006A6821" w:rsidRPr="00025914">
          <w:rPr>
            <w:rStyle w:val="Hipervnculo"/>
            <w:rFonts w:ascii="Verdana" w:hAnsi="Verdana"/>
          </w:rPr>
          <w:t>frenandoiglesias@gmail.com</w:t>
        </w:r>
      </w:hyperlink>
    </w:p>
    <w:p w:rsidR="006A6821" w:rsidRPr="00025914" w:rsidRDefault="006A6821" w:rsidP="006A6821">
      <w:pPr>
        <w:spacing w:after="0" w:line="240" w:lineRule="auto"/>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Nieva – Huila </w:t>
      </w:r>
    </w:p>
    <w:p w:rsidR="006A6821" w:rsidRPr="00025914" w:rsidRDefault="006A6821" w:rsidP="006A6821">
      <w:pPr>
        <w:spacing w:after="0" w:line="240" w:lineRule="auto"/>
        <w:rPr>
          <w:rFonts w:ascii="Verdana" w:eastAsia="Calibri" w:hAnsi="Verdana" w:cs="Arial"/>
          <w:szCs w:val="24"/>
          <w:lang w:val="es-ES_tradnl" w:eastAsia="es-ES_tradnl"/>
        </w:rPr>
      </w:pPr>
    </w:p>
    <w:p w:rsidR="006A6821" w:rsidRPr="00025914" w:rsidRDefault="006A6821" w:rsidP="006A6821">
      <w:pPr>
        <w:spacing w:after="0" w:line="240" w:lineRule="auto"/>
        <w:ind w:left="2694"/>
        <w:rPr>
          <w:rFonts w:ascii="Verdana" w:eastAsia="Calibri" w:hAnsi="Verdana" w:cs="Arial"/>
          <w:b/>
          <w:bCs/>
          <w:lang w:val="es-ES" w:eastAsia="es-ES"/>
        </w:rPr>
      </w:pPr>
      <w:r w:rsidRPr="00025914">
        <w:rPr>
          <w:rFonts w:ascii="Verdana" w:eastAsia="Calibri" w:hAnsi="Verdana" w:cs="Arial"/>
          <w:b/>
          <w:bCs/>
          <w:lang w:val="es-ES" w:eastAsia="es-ES"/>
        </w:rPr>
        <w:t>Concepto C- 291 de 2024</w:t>
      </w:r>
    </w:p>
    <w:p w:rsidR="006A6821" w:rsidRPr="00025914" w:rsidRDefault="006A6821" w:rsidP="006A6821">
      <w:pPr>
        <w:spacing w:after="0" w:line="240" w:lineRule="auto"/>
        <w:ind w:left="2694"/>
        <w:rPr>
          <w:rFonts w:ascii="Verdana" w:eastAsia="Calibri" w:hAnsi="Verdana" w:cs="Arial"/>
          <w:szCs w:val="24"/>
          <w:lang w:val="es-ES_tradnl" w:eastAsia="es-ES_tradnl"/>
        </w:rPr>
      </w:pPr>
    </w:p>
    <w:p w:rsidR="006A6821" w:rsidRPr="00025914" w:rsidRDefault="006A6821" w:rsidP="006A6821">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6A6821" w:rsidRPr="00025914" w:rsidTr="00F567E8">
        <w:trPr>
          <w:trHeight w:val="884"/>
        </w:trPr>
        <w:tc>
          <w:tcPr>
            <w:tcW w:w="2689" w:type="dxa"/>
          </w:tcPr>
          <w:p w:rsidR="006A6821" w:rsidRPr="00025914" w:rsidRDefault="006A6821" w:rsidP="00F567E8">
            <w:pPr>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Temas:                   </w:t>
            </w:r>
          </w:p>
        </w:tc>
        <w:tc>
          <w:tcPr>
            <w:tcW w:w="6237" w:type="dxa"/>
          </w:tcPr>
          <w:p w:rsidR="006A6821" w:rsidRPr="00025914" w:rsidRDefault="006A6821" w:rsidP="00F567E8">
            <w:pPr>
              <w:jc w:val="both"/>
              <w:rPr>
                <w:rFonts w:ascii="Verdana" w:eastAsia="Calibri" w:hAnsi="Verdana" w:cs="Arial"/>
                <w:lang w:val="es-ES" w:eastAsia="es-ES"/>
              </w:rPr>
            </w:pPr>
            <w:r w:rsidRPr="00025914">
              <w:rPr>
                <w:rFonts w:ascii="Verdana" w:eastAsia="Calibri" w:hAnsi="Verdana" w:cs="Arial"/>
                <w:color w:val="000000" w:themeColor="text1"/>
              </w:rPr>
              <w:t>SELECCIÓN OBJETIVA ― Noción y factores de escogencia / REQUISITOS HABILITANTES DE LA LEY 1150 DE 2007 ― Carácter enunciativo / CERTIFICACIONES DE SISTEMAS DE GESTIÓN DE CALIDAD – No se pueden exigir como requisito habilitante o puntuable</w:t>
            </w:r>
          </w:p>
        </w:tc>
        <w:tc>
          <w:tcPr>
            <w:tcW w:w="6237" w:type="dxa"/>
          </w:tcPr>
          <w:p w:rsidR="006A6821" w:rsidRPr="00025914" w:rsidRDefault="006A6821" w:rsidP="00F567E8">
            <w:pPr>
              <w:jc w:val="both"/>
              <w:rPr>
                <w:rFonts w:ascii="Verdana" w:hAnsi="Verdana" w:cs="Arial"/>
                <w:lang w:val="es-ES"/>
              </w:rPr>
            </w:pPr>
          </w:p>
        </w:tc>
      </w:tr>
      <w:tr w:rsidR="006A6821" w:rsidRPr="00025914" w:rsidTr="00F567E8">
        <w:tc>
          <w:tcPr>
            <w:tcW w:w="2689" w:type="dxa"/>
          </w:tcPr>
          <w:p w:rsidR="006A6821" w:rsidRPr="00025914" w:rsidRDefault="006A6821" w:rsidP="00F567E8">
            <w:pPr>
              <w:spacing w:before="120"/>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Radicación:               </w:t>
            </w:r>
          </w:p>
        </w:tc>
        <w:tc>
          <w:tcPr>
            <w:tcW w:w="6237" w:type="dxa"/>
          </w:tcPr>
          <w:p w:rsidR="006A6821" w:rsidRPr="00025914" w:rsidRDefault="006A6821" w:rsidP="00F567E8">
            <w:pPr>
              <w:spacing w:before="120"/>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Respuesta a consulta con radicado No. P20240705006806</w:t>
            </w:r>
          </w:p>
        </w:tc>
        <w:tc>
          <w:tcPr>
            <w:tcW w:w="6237" w:type="dxa"/>
          </w:tcPr>
          <w:p w:rsidR="006A6821" w:rsidRPr="00025914" w:rsidRDefault="006A6821" w:rsidP="00F567E8">
            <w:pPr>
              <w:spacing w:before="120"/>
              <w:jc w:val="both"/>
              <w:rPr>
                <w:rFonts w:ascii="Verdana" w:eastAsia="Calibri" w:hAnsi="Verdana" w:cs="Arial"/>
                <w:szCs w:val="24"/>
                <w:lang w:val="es-ES_tradnl" w:eastAsia="es-ES_tradnl"/>
              </w:rPr>
            </w:pPr>
          </w:p>
        </w:tc>
      </w:tr>
    </w:tbl>
    <w:p w:rsidR="006A6821" w:rsidRPr="00025914" w:rsidRDefault="006A6821" w:rsidP="006A6821">
      <w:pPr>
        <w:spacing w:after="0" w:line="240" w:lineRule="auto"/>
        <w:jc w:val="both"/>
        <w:rPr>
          <w:rFonts w:ascii="Verdana" w:eastAsia="Calibri" w:hAnsi="Verdana" w:cs="Arial"/>
          <w:szCs w:val="24"/>
          <w:lang w:val="es-ES_tradnl" w:eastAsia="es-ES_tradnl"/>
        </w:rPr>
      </w:pPr>
    </w:p>
    <w:p w:rsidR="006A6821" w:rsidRPr="00025914" w:rsidRDefault="006A6821" w:rsidP="006A6821">
      <w:pPr>
        <w:spacing w:after="0" w:line="240" w:lineRule="auto"/>
        <w:jc w:val="both"/>
        <w:rPr>
          <w:rFonts w:ascii="Verdana" w:eastAsia="Calibri" w:hAnsi="Verdana" w:cs="Arial"/>
          <w:szCs w:val="24"/>
          <w:lang w:val="es-ES_tradnl" w:eastAsia="es-ES_tradnl"/>
        </w:rPr>
      </w:pPr>
    </w:p>
    <w:p w:rsidR="006A6821" w:rsidRPr="00025914" w:rsidRDefault="006A6821" w:rsidP="006A6821">
      <w:pPr>
        <w:spacing w:after="0" w:line="240" w:lineRule="auto"/>
        <w:jc w:val="both"/>
        <w:rPr>
          <w:rFonts w:ascii="Verdana" w:eastAsia="Calibri" w:hAnsi="Verdana" w:cs="Arial"/>
          <w:lang w:val="es-ES" w:eastAsia="es-ES"/>
        </w:rPr>
      </w:pPr>
      <w:r w:rsidRPr="00025914">
        <w:rPr>
          <w:rFonts w:ascii="Verdana" w:eastAsia="Calibri" w:hAnsi="Verdana" w:cs="Arial"/>
          <w:lang w:val="es-ES" w:eastAsia="es-ES"/>
        </w:rPr>
        <w:t xml:space="preserve">Estimada señor Iglesias: </w:t>
      </w:r>
    </w:p>
    <w:p w:rsidR="006A6821" w:rsidRPr="00025914" w:rsidRDefault="006A6821" w:rsidP="006A6821">
      <w:pPr>
        <w:spacing w:after="0" w:line="240" w:lineRule="auto"/>
        <w:jc w:val="both"/>
        <w:rPr>
          <w:rFonts w:ascii="Verdana" w:eastAsia="Calibri" w:hAnsi="Verdana" w:cs="Arial"/>
          <w:lang w:val="es-ES" w:eastAsia="es-ES"/>
        </w:rPr>
      </w:pPr>
    </w:p>
    <w:p w:rsidR="006A6821" w:rsidRPr="00025914" w:rsidRDefault="006A6821" w:rsidP="006A6821">
      <w:pPr>
        <w:spacing w:after="0" w:line="240" w:lineRule="auto"/>
        <w:jc w:val="both"/>
        <w:rPr>
          <w:rFonts w:ascii="Verdana" w:eastAsia="Calibri" w:hAnsi="Verdana" w:cs="Arial"/>
          <w:szCs w:val="24"/>
          <w:lang w:val="es-ES_tradnl" w:eastAsia="es-ES_tradnl"/>
        </w:rPr>
      </w:pPr>
    </w:p>
    <w:p w:rsidR="006A6821" w:rsidRPr="00025914" w:rsidRDefault="006A6821" w:rsidP="006A6821">
      <w:pPr>
        <w:spacing w:after="120" w:line="276" w:lineRule="auto"/>
        <w:jc w:val="both"/>
        <w:rPr>
          <w:rFonts w:ascii="Verdana" w:eastAsia="Calibri" w:hAnsi="Verdana" w:cs="Arial"/>
          <w:lang w:val="es-ES" w:eastAsia="es-ES"/>
        </w:rPr>
      </w:pPr>
      <w:r w:rsidRPr="00025914">
        <w:rPr>
          <w:rFonts w:ascii="Verdana" w:eastAsia="Calibri" w:hAnsi="Verdana" w:cs="Arial"/>
          <w:lang w:val="es-ES" w:eastAsia="es-ES"/>
        </w:rPr>
        <w:t>En ejercicio de la competencia otorgada por los artículos 3, numeral 5º, y 11, numeral 8º, del Decreto Ley 4170 de 2011,</w:t>
      </w:r>
      <w:r w:rsidRPr="00025914">
        <w:rPr>
          <w:rFonts w:ascii="Verdana" w:eastAsia="Arial MT" w:hAnsi="Verdana" w:cs="Arial MT"/>
          <w:lang w:val="es-ES" w:eastAsia="es-ES"/>
        </w:rPr>
        <w:t xml:space="preserve"> </w:t>
      </w:r>
      <w:r w:rsidRPr="00025914">
        <w:rPr>
          <w:rFonts w:ascii="Verdana" w:eastAsia="Calibri" w:hAnsi="Verdana" w:cs="Arial"/>
          <w:lang w:val="es-ES" w:eastAsia="es-ES"/>
        </w:rPr>
        <w:t>la Agencia Nacional de Contratación Pública – Colombia Compra Eficiente– responde sus solicitudes del 5 de julio de 2024. En las cuales manifiesta lo siguiente:</w:t>
      </w:r>
    </w:p>
    <w:p w:rsidR="006A6821" w:rsidRPr="00025914" w:rsidRDefault="006A6821" w:rsidP="006A6821">
      <w:pPr>
        <w:spacing w:after="120" w:line="276" w:lineRule="auto"/>
        <w:jc w:val="both"/>
        <w:rPr>
          <w:rFonts w:ascii="Verdana" w:eastAsia="Calibri" w:hAnsi="Verdana" w:cs="Arial"/>
          <w:sz w:val="21"/>
          <w:szCs w:val="21"/>
          <w:lang w:val="es-ES" w:eastAsia="es-ES"/>
        </w:rPr>
      </w:pPr>
    </w:p>
    <w:p w:rsidR="006A6821" w:rsidRPr="00025914" w:rsidRDefault="006A6821" w:rsidP="006A6821">
      <w:pPr>
        <w:spacing w:after="0" w:line="240" w:lineRule="auto"/>
        <w:ind w:left="709" w:right="709"/>
        <w:jc w:val="both"/>
        <w:rPr>
          <w:rFonts w:ascii="Verdana" w:eastAsia="Calibri" w:hAnsi="Verdana" w:cs="Arial"/>
          <w:sz w:val="21"/>
          <w:szCs w:val="21"/>
          <w:lang w:val="es-ES" w:eastAsia="es-ES"/>
        </w:rPr>
      </w:pPr>
      <w:r w:rsidRPr="00025914">
        <w:rPr>
          <w:rFonts w:ascii="Verdana" w:eastAsia="Calibri" w:hAnsi="Verdana" w:cs="Arial"/>
          <w:sz w:val="21"/>
          <w:szCs w:val="21"/>
          <w:lang w:val="es-ES" w:eastAsia="es-ES"/>
        </w:rPr>
        <w:t xml:space="preserve">“De conformidad con el PARÁGRAFO 2o. del art 5 de la Ley 1150 de 2007, que dice: "Las certificaciones de sistemas de gestión de calidad no serán objeto de calificación, ni podrán establecerse como documento habilitante para participar en licitaciones o concursos"; se puede con base en la </w:t>
      </w:r>
      <w:proofErr w:type="spellStart"/>
      <w:r w:rsidRPr="00025914">
        <w:rPr>
          <w:rFonts w:ascii="Verdana" w:eastAsia="Calibri" w:hAnsi="Verdana" w:cs="Arial"/>
          <w:sz w:val="21"/>
          <w:szCs w:val="21"/>
          <w:lang w:val="es-ES" w:eastAsia="es-ES"/>
        </w:rPr>
        <w:t>delimitacion</w:t>
      </w:r>
      <w:proofErr w:type="spellEnd"/>
      <w:r w:rsidRPr="00025914">
        <w:rPr>
          <w:rFonts w:ascii="Verdana" w:eastAsia="Calibri" w:hAnsi="Verdana" w:cs="Arial"/>
          <w:sz w:val="21"/>
          <w:szCs w:val="21"/>
          <w:lang w:val="es-ES" w:eastAsia="es-ES"/>
        </w:rPr>
        <w:t xml:space="preserve"> que la propia ley hace, exigir como documento habilitante estos </w:t>
      </w:r>
      <w:r w:rsidRPr="00025914">
        <w:rPr>
          <w:rFonts w:ascii="Verdana" w:eastAsia="Calibri" w:hAnsi="Verdana" w:cs="Arial"/>
          <w:sz w:val="21"/>
          <w:szCs w:val="21"/>
          <w:lang w:val="es-ES" w:eastAsia="es-ES"/>
        </w:rPr>
        <w:lastRenderedPageBreak/>
        <w:t xml:space="preserve">sistemas de gestión de calidad para demás modalidades de </w:t>
      </w:r>
      <w:proofErr w:type="spellStart"/>
      <w:r w:rsidRPr="00025914">
        <w:rPr>
          <w:rFonts w:ascii="Verdana" w:eastAsia="Calibri" w:hAnsi="Verdana" w:cs="Arial"/>
          <w:sz w:val="21"/>
          <w:szCs w:val="21"/>
          <w:lang w:val="es-ES" w:eastAsia="es-ES"/>
        </w:rPr>
        <w:t>seleccion</w:t>
      </w:r>
      <w:proofErr w:type="spellEnd"/>
      <w:r w:rsidRPr="00025914">
        <w:rPr>
          <w:rFonts w:ascii="Verdana" w:eastAsia="Calibri" w:hAnsi="Verdana" w:cs="Arial"/>
          <w:sz w:val="21"/>
          <w:szCs w:val="21"/>
          <w:lang w:val="es-ES" w:eastAsia="es-ES"/>
        </w:rPr>
        <w:t xml:space="preserve"> abreviada, </w:t>
      </w:r>
      <w:proofErr w:type="spellStart"/>
      <w:r w:rsidRPr="00025914">
        <w:rPr>
          <w:rFonts w:ascii="Verdana" w:eastAsia="Calibri" w:hAnsi="Verdana" w:cs="Arial"/>
          <w:sz w:val="21"/>
          <w:szCs w:val="21"/>
          <w:lang w:val="es-ES" w:eastAsia="es-ES"/>
        </w:rPr>
        <w:t>minima</w:t>
      </w:r>
      <w:proofErr w:type="spellEnd"/>
      <w:r w:rsidRPr="00025914">
        <w:rPr>
          <w:rFonts w:ascii="Verdana" w:eastAsia="Calibri" w:hAnsi="Verdana" w:cs="Arial"/>
          <w:sz w:val="21"/>
          <w:szCs w:val="21"/>
          <w:lang w:val="es-ES" w:eastAsia="es-ES"/>
        </w:rPr>
        <w:t xml:space="preserve"> </w:t>
      </w:r>
      <w:proofErr w:type="spellStart"/>
      <w:r w:rsidRPr="00025914">
        <w:rPr>
          <w:rFonts w:ascii="Verdana" w:eastAsia="Calibri" w:hAnsi="Verdana" w:cs="Arial"/>
          <w:sz w:val="21"/>
          <w:szCs w:val="21"/>
          <w:lang w:val="es-ES" w:eastAsia="es-ES"/>
        </w:rPr>
        <w:t>cuantia</w:t>
      </w:r>
      <w:proofErr w:type="spellEnd"/>
      <w:r w:rsidRPr="00025914">
        <w:rPr>
          <w:rFonts w:ascii="Verdana" w:eastAsia="Calibri" w:hAnsi="Verdana" w:cs="Arial"/>
          <w:sz w:val="21"/>
          <w:szCs w:val="21"/>
          <w:lang w:val="es-ES" w:eastAsia="es-ES"/>
        </w:rPr>
        <w:t xml:space="preserve"> y </w:t>
      </w:r>
      <w:proofErr w:type="spellStart"/>
      <w:r w:rsidRPr="00025914">
        <w:rPr>
          <w:rFonts w:ascii="Verdana" w:eastAsia="Calibri" w:hAnsi="Verdana" w:cs="Arial"/>
          <w:sz w:val="21"/>
          <w:szCs w:val="21"/>
          <w:lang w:val="es-ES" w:eastAsia="es-ES"/>
        </w:rPr>
        <w:t>contratacion</w:t>
      </w:r>
      <w:proofErr w:type="spellEnd"/>
      <w:r w:rsidRPr="00025914">
        <w:rPr>
          <w:rFonts w:ascii="Verdana" w:eastAsia="Calibri" w:hAnsi="Verdana" w:cs="Arial"/>
          <w:sz w:val="21"/>
          <w:szCs w:val="21"/>
          <w:lang w:val="es-ES" w:eastAsia="es-ES"/>
        </w:rPr>
        <w:t xml:space="preserve"> directa. Igualmente, para ningún proceso de selección se puede establecer como objeto de calificación. Si la respuesta es negativa, cuál es la norma </w:t>
      </w:r>
      <w:proofErr w:type="spellStart"/>
      <w:r w:rsidRPr="00025914">
        <w:rPr>
          <w:rFonts w:ascii="Verdana" w:eastAsia="Calibri" w:hAnsi="Verdana" w:cs="Arial"/>
          <w:sz w:val="21"/>
          <w:szCs w:val="21"/>
          <w:lang w:val="es-ES" w:eastAsia="es-ES"/>
        </w:rPr>
        <w:t>juridica</w:t>
      </w:r>
      <w:proofErr w:type="spellEnd"/>
      <w:r w:rsidRPr="00025914">
        <w:rPr>
          <w:rFonts w:ascii="Verdana" w:eastAsia="Calibri" w:hAnsi="Verdana" w:cs="Arial"/>
          <w:sz w:val="21"/>
          <w:szCs w:val="21"/>
          <w:lang w:val="es-ES" w:eastAsia="es-ES"/>
        </w:rPr>
        <w:t xml:space="preserve"> que la </w:t>
      </w:r>
      <w:proofErr w:type="spellStart"/>
      <w:r w:rsidRPr="00025914">
        <w:rPr>
          <w:rFonts w:ascii="Verdana" w:eastAsia="Calibri" w:hAnsi="Verdana" w:cs="Arial"/>
          <w:sz w:val="21"/>
          <w:szCs w:val="21"/>
          <w:lang w:val="es-ES" w:eastAsia="es-ES"/>
        </w:rPr>
        <w:t>prohibe</w:t>
      </w:r>
      <w:proofErr w:type="spellEnd"/>
      <w:r w:rsidRPr="00025914">
        <w:rPr>
          <w:rFonts w:ascii="Verdana" w:eastAsia="Calibri" w:hAnsi="Verdana" w:cs="Arial"/>
          <w:sz w:val="21"/>
          <w:szCs w:val="21"/>
          <w:lang w:val="es-ES" w:eastAsia="es-ES"/>
        </w:rPr>
        <w:t xml:space="preserve"> para las diferentes modalidades de selección. Gracias.”</w:t>
      </w:r>
    </w:p>
    <w:p w:rsidR="006A6821" w:rsidRPr="00025914" w:rsidRDefault="006A6821" w:rsidP="006A6821">
      <w:pPr>
        <w:spacing w:after="0" w:line="240" w:lineRule="auto"/>
        <w:ind w:left="709" w:right="709"/>
        <w:jc w:val="both"/>
        <w:rPr>
          <w:rFonts w:ascii="Verdana" w:eastAsia="Calibri" w:hAnsi="Verdana" w:cs="Arial"/>
          <w:sz w:val="20"/>
          <w:szCs w:val="20"/>
          <w:lang w:val="es-ES" w:eastAsia="es-ES"/>
        </w:rPr>
      </w:pPr>
    </w:p>
    <w:p w:rsidR="006A6821" w:rsidRPr="00025914" w:rsidRDefault="006A6821" w:rsidP="006A6821">
      <w:pPr>
        <w:spacing w:after="0" w:line="240" w:lineRule="auto"/>
        <w:ind w:left="709" w:right="709"/>
        <w:jc w:val="both"/>
        <w:rPr>
          <w:rFonts w:ascii="Verdana" w:eastAsia="Calibri" w:hAnsi="Verdana" w:cs="Arial"/>
          <w:lang w:val="es-ES" w:eastAsia="es-ES_tradnl"/>
        </w:rPr>
      </w:pPr>
    </w:p>
    <w:p w:rsidR="006A6821" w:rsidRPr="00025914" w:rsidRDefault="006A6821" w:rsidP="006A6821">
      <w:pPr>
        <w:spacing w:after="120" w:line="276" w:lineRule="auto"/>
        <w:jc w:val="both"/>
        <w:rPr>
          <w:rFonts w:ascii="Verdana" w:eastAsia="Calibri" w:hAnsi="Verdana" w:cs="Arial"/>
          <w:lang w:val="es-ES" w:eastAsia="es-ES"/>
        </w:rPr>
      </w:pPr>
      <w:r w:rsidRPr="00025914">
        <w:rPr>
          <w:rFonts w:ascii="Verdana" w:eastAsia="Calibri" w:hAnsi="Verdana" w:cs="Arial"/>
          <w:lang w:val="es-ES_tradnl" w:eastAsia="es-ES_tradnl"/>
        </w:rPr>
        <w:tab/>
      </w:r>
      <w:r w:rsidRPr="0002591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25914">
        <w:rPr>
          <w:rFonts w:ascii="Verdana" w:eastAsia="Calibri" w:hAnsi="Verdana" w:cs="Arial"/>
          <w:lang w:val="es-ES" w:eastAsia="es-ES"/>
        </w:rPr>
        <w:tab/>
      </w:r>
    </w:p>
    <w:p w:rsidR="006A6821" w:rsidRPr="00025914" w:rsidRDefault="006A6821" w:rsidP="006A6821">
      <w:pPr>
        <w:spacing w:after="0" w:line="276" w:lineRule="auto"/>
        <w:ind w:firstLine="708"/>
        <w:jc w:val="both"/>
        <w:rPr>
          <w:rFonts w:ascii="Verdana" w:eastAsia="Calibri" w:hAnsi="Verdana" w:cs="Arial"/>
          <w:lang w:val="es-ES" w:eastAsia="es-ES"/>
        </w:rPr>
      </w:pPr>
      <w:r w:rsidRPr="000259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006A6821" w:rsidRPr="00025914" w:rsidRDefault="006A6821" w:rsidP="006A6821">
      <w:pPr>
        <w:spacing w:after="0" w:line="276" w:lineRule="auto"/>
        <w:ind w:firstLine="708"/>
        <w:jc w:val="both"/>
        <w:rPr>
          <w:rFonts w:ascii="Verdana" w:eastAsia="Calibri" w:hAnsi="Verdana" w:cs="Arial"/>
          <w:lang w:val="es-ES" w:eastAsia="es-ES"/>
        </w:rPr>
      </w:pPr>
    </w:p>
    <w:p w:rsidR="006A6821" w:rsidRDefault="006A6821" w:rsidP="006A6821">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025914">
        <w:rPr>
          <w:rFonts w:ascii="Verdana" w:eastAsia="Century Gothic" w:hAnsi="Verdana" w:cs="Century Gothic"/>
          <w:b/>
          <w:bCs/>
        </w:rPr>
        <w:t>Problema planteado:</w:t>
      </w:r>
    </w:p>
    <w:p w:rsidR="006A6821" w:rsidRPr="00025914" w:rsidRDefault="006A6821" w:rsidP="006A6821">
      <w:pPr>
        <w:pStyle w:val="Prrafodelista"/>
        <w:tabs>
          <w:tab w:val="left" w:pos="142"/>
          <w:tab w:val="left" w:pos="284"/>
        </w:tabs>
        <w:spacing w:after="0" w:line="276" w:lineRule="auto"/>
        <w:ind w:left="0"/>
        <w:jc w:val="both"/>
        <w:rPr>
          <w:rFonts w:ascii="Verdana" w:eastAsia="Century Gothic" w:hAnsi="Verdana" w:cs="Century Gothic"/>
          <w:b/>
          <w:bCs/>
        </w:rPr>
      </w:pPr>
    </w:p>
    <w:p w:rsidR="006A6821" w:rsidRPr="00025914" w:rsidRDefault="006A6821" w:rsidP="006A6821">
      <w:pPr>
        <w:spacing w:after="120" w:line="276" w:lineRule="auto"/>
        <w:jc w:val="both"/>
        <w:rPr>
          <w:rFonts w:ascii="Verdana" w:hAnsi="Verdana" w:cs="Arial"/>
          <w:bCs/>
          <w:lang w:val="es-ES_tradnl"/>
        </w:rPr>
      </w:pPr>
      <w:r w:rsidRPr="00025914">
        <w:rPr>
          <w:rFonts w:ascii="Verdana" w:eastAsia="Century Gothic" w:hAnsi="Verdana" w:cs="Century Gothic"/>
        </w:rPr>
        <w:t xml:space="preserve">De acuerdo con el contenido de su solicitud, esta Agencia resolverá el siguiente problema jurídico: </w:t>
      </w:r>
      <w:r w:rsidRPr="00025914">
        <w:rPr>
          <w:rFonts w:ascii="Verdana" w:hAnsi="Verdana"/>
        </w:rPr>
        <w:t xml:space="preserve"> ¿</w:t>
      </w:r>
      <w:r w:rsidRPr="00025914">
        <w:rPr>
          <w:rFonts w:ascii="Verdana" w:eastAsia="Century Gothic" w:hAnsi="Verdana" w:cs="Century Gothic"/>
        </w:rPr>
        <w:t>Las certificaciones de sistemas de gestión de calidad son objeto de calificación, y podrán establecerse como documento habilitante para participar en procesos de selección</w:t>
      </w:r>
      <w:r w:rsidRPr="00025914">
        <w:rPr>
          <w:rFonts w:ascii="Verdana" w:hAnsi="Verdana" w:cs="Arial"/>
          <w:bCs/>
          <w:lang w:val="es-ES_tradnl"/>
        </w:rPr>
        <w:t>?</w:t>
      </w:r>
    </w:p>
    <w:p w:rsidR="006A6821" w:rsidRPr="00025914" w:rsidRDefault="006A6821" w:rsidP="006A6821">
      <w:pPr>
        <w:spacing w:after="120" w:line="276" w:lineRule="auto"/>
        <w:jc w:val="both"/>
        <w:rPr>
          <w:rFonts w:ascii="Verdana" w:hAnsi="Verdana" w:cs="Arial"/>
          <w:bCs/>
          <w:lang w:val="es-ES_tradnl"/>
        </w:rPr>
      </w:pPr>
    </w:p>
    <w:p w:rsidR="006A6821" w:rsidRPr="00025914" w:rsidRDefault="006A6821" w:rsidP="006A682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Respuesta:</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hAnsi="Verdana" w:cs="Arial"/>
        </w:rPr>
        <w:t>E</w:t>
      </w:r>
      <w:r w:rsidRPr="00025914">
        <w:rPr>
          <w:rFonts w:ascii="Verdana" w:eastAsia="Calibri" w:hAnsi="Verdana" w:cs="Arial"/>
          <w:color w:val="000000" w:themeColor="text1"/>
        </w:rPr>
        <w:t xml:space="preserve">n el caso de los requisitos habilitantes, el artículo 5, parágrafo 2, de la Ley 1150 de 2007 establece que las «certificaciones de sistemas de gestión de calidad no serán objeto de calificación, ni podrán establecerse como documento habilitante para </w:t>
      </w:r>
      <w:r w:rsidRPr="00025914">
        <w:rPr>
          <w:rFonts w:ascii="Verdana" w:eastAsia="Calibri" w:hAnsi="Verdana" w:cs="Arial"/>
          <w:color w:val="000000" w:themeColor="text1"/>
        </w:rPr>
        <w:lastRenderedPageBreak/>
        <w:t xml:space="preserve">participar en licitaciones o concursos».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025914">
        <w:rPr>
          <w:rFonts w:ascii="Verdana" w:eastAsia="Calibri" w:hAnsi="Verdana" w:cs="Arial"/>
          <w:i/>
          <w:iCs/>
          <w:color w:val="000000" w:themeColor="text1"/>
        </w:rPr>
        <w:t>sub examine</w:t>
      </w:r>
      <w:r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rsidR="006A6821" w:rsidRPr="00025914" w:rsidRDefault="006A6821" w:rsidP="006A6821">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Ese es el criterio actual en el Consejo de Estado. En efecto, en concepto del 20 de mayo del 2010, la Sala de Consulta y Servicio Civil de dicha Corporación aclaró que «</w:t>
      </w:r>
      <w:r w:rsidRPr="00025914">
        <w:rPr>
          <w:rFonts w:ascii="Verdana" w:hAnsi="Verdana"/>
        </w:rPr>
        <w:t xml:space="preserve">[…] </w:t>
      </w:r>
      <w:r w:rsidRPr="00025914">
        <w:rPr>
          <w:rFonts w:ascii="Verdana" w:eastAsia="Calibri" w:hAnsi="Verdana" w:cs="Arial"/>
          <w:color w:val="000000" w:themeColor="text1"/>
        </w:rPr>
        <w:t>Los certificados de gestión de calidad no se pueden solicitar a los proponentes, ni como requisito habilitante para participar en los procesos de selección, ni para otorgar puntaje»</w:t>
      </w:r>
      <w:r w:rsidRPr="00025914">
        <w:rPr>
          <w:rStyle w:val="Refdenotaalpie"/>
          <w:rFonts w:ascii="Verdana" w:eastAsia="Calibri" w:hAnsi="Verdana" w:cs="Arial"/>
          <w:color w:val="000000" w:themeColor="text1"/>
        </w:rPr>
        <w:footnoteReference w:id="1"/>
      </w:r>
      <w:r w:rsidRPr="00025914">
        <w:rPr>
          <w:rFonts w:ascii="Verdana" w:eastAsia="Calibri" w:hAnsi="Verdana" w:cs="Arial"/>
          <w:color w:val="000000" w:themeColor="text1"/>
        </w:rPr>
        <w:t>.</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«SG-SST»,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rsidR="006A6821" w:rsidRPr="00025914" w:rsidRDefault="006A6821" w:rsidP="006A6821">
      <w:pPr>
        <w:spacing w:before="120" w:line="276" w:lineRule="auto"/>
        <w:ind w:firstLine="709"/>
        <w:jc w:val="both"/>
        <w:rPr>
          <w:rFonts w:ascii="Verdana" w:eastAsia="Calibri" w:hAnsi="Verdana" w:cs="Arial"/>
          <w:color w:val="000000" w:themeColor="text1"/>
        </w:rPr>
      </w:pPr>
    </w:p>
    <w:p w:rsidR="006A6821" w:rsidRPr="00025914" w:rsidRDefault="006A6821" w:rsidP="006A6821">
      <w:pPr>
        <w:spacing w:after="120" w:line="276" w:lineRule="auto"/>
        <w:jc w:val="both"/>
        <w:rPr>
          <w:rFonts w:ascii="Verdana" w:eastAsia="Century Gothic" w:hAnsi="Verdana" w:cs="Century Gothic"/>
          <w:b/>
          <w:bCs/>
          <w:lang w:val="es-ES"/>
        </w:rPr>
      </w:pPr>
      <w:r w:rsidRPr="00025914">
        <w:rPr>
          <w:rFonts w:ascii="Verdana" w:eastAsia="Century Gothic" w:hAnsi="Verdana" w:cs="Century Gothic"/>
          <w:b/>
          <w:bCs/>
          <w:lang w:val="es-ES"/>
        </w:rPr>
        <w:t>Razones de la respuesta:</w:t>
      </w:r>
    </w:p>
    <w:p w:rsidR="006A6821" w:rsidRPr="00025914" w:rsidRDefault="006A6821" w:rsidP="006A6821">
      <w:pPr>
        <w:spacing w:after="0" w:line="276" w:lineRule="auto"/>
        <w:jc w:val="both"/>
        <w:rPr>
          <w:rFonts w:ascii="Verdana" w:eastAsia="Calibri" w:hAnsi="Verdana" w:cs="Arial"/>
          <w:lang w:val="es-ES"/>
        </w:rPr>
      </w:pPr>
      <w:r w:rsidRPr="00025914">
        <w:rPr>
          <w:rFonts w:ascii="Verdana" w:eastAsia="Calibri" w:hAnsi="Verdana" w:cs="Arial"/>
          <w:lang w:val="es-ES"/>
        </w:rPr>
        <w:t xml:space="preserve">Lo anterior se sustenta en las siguientes consideraciones: </w:t>
      </w:r>
    </w:p>
    <w:p w:rsidR="006A6821" w:rsidRPr="00025914" w:rsidRDefault="006A6821" w:rsidP="006A6821">
      <w:pPr>
        <w:spacing w:line="276" w:lineRule="auto"/>
        <w:jc w:val="both"/>
        <w:rPr>
          <w:rFonts w:ascii="Verdana" w:eastAsia="Calibri" w:hAnsi="Verdana" w:cs="Arial"/>
          <w:color w:val="000000" w:themeColor="text1"/>
        </w:rPr>
      </w:pPr>
      <w:r w:rsidRPr="00025914">
        <w:rPr>
          <w:rFonts w:ascii="Verdana" w:eastAsia="Calibri" w:hAnsi="Verdana" w:cs="Arial"/>
          <w:color w:val="000000" w:themeColor="text1"/>
        </w:rPr>
        <w:t xml:space="preserve">El artículo 5 de la Ley 1150 de 2007 establece que se considera «objetiva la selección en la cual la escogencia se haga al ofrecimiento más favorable a la entidad y a los </w:t>
      </w:r>
      <w:r w:rsidRPr="00025914">
        <w:rPr>
          <w:rFonts w:ascii="Verdana" w:eastAsia="Calibri" w:hAnsi="Verdana" w:cs="Arial"/>
          <w:color w:val="000000" w:themeColor="text1"/>
        </w:rPr>
        <w:lastRenderedPageBreak/>
        <w:t xml:space="preserve">fines que ella busca, sin tener en consideración factores de afecto o de interés y, en general, cualquier clase de motivación subjetiva». En ese contexto,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Específicamente, el numeral 1º de la disposición referida establece que en los procesos de selección de contratistas serán objeto de verificación, como requisitos habilitantes, los siguientes: i) la capacidad jurídica; </w:t>
      </w:r>
      <w:proofErr w:type="spellStart"/>
      <w:r w:rsidRPr="00025914">
        <w:rPr>
          <w:rFonts w:ascii="Verdana" w:eastAsia="Calibri" w:hAnsi="Verdana" w:cs="Arial"/>
          <w:color w:val="000000" w:themeColor="text1"/>
        </w:rPr>
        <w:t>ii</w:t>
      </w:r>
      <w:proofErr w:type="spellEnd"/>
      <w:r w:rsidRPr="00025914">
        <w:rPr>
          <w:rFonts w:ascii="Verdana" w:eastAsia="Calibri" w:hAnsi="Verdana" w:cs="Arial"/>
          <w:color w:val="000000" w:themeColor="text1"/>
        </w:rPr>
        <w:t xml:space="preserve">) la experiencia; </w:t>
      </w:r>
      <w:proofErr w:type="spellStart"/>
      <w:r w:rsidRPr="00025914">
        <w:rPr>
          <w:rFonts w:ascii="Verdana" w:eastAsia="Calibri" w:hAnsi="Verdana" w:cs="Arial"/>
          <w:color w:val="000000" w:themeColor="text1"/>
        </w:rPr>
        <w:t>iii</w:t>
      </w:r>
      <w:proofErr w:type="spellEnd"/>
      <w:r w:rsidRPr="00025914">
        <w:rPr>
          <w:rFonts w:ascii="Verdana" w:eastAsia="Calibri" w:hAnsi="Verdana" w:cs="Arial"/>
          <w:color w:val="000000" w:themeColor="text1"/>
        </w:rPr>
        <w:t xml:space="preserve">) la capacidad financiera y </w:t>
      </w:r>
      <w:proofErr w:type="spellStart"/>
      <w:r w:rsidRPr="00025914">
        <w:rPr>
          <w:rFonts w:ascii="Verdana" w:eastAsia="Calibri" w:hAnsi="Verdana" w:cs="Arial"/>
          <w:color w:val="000000" w:themeColor="text1"/>
        </w:rPr>
        <w:t>iv</w:t>
      </w:r>
      <w:proofErr w:type="spellEnd"/>
      <w:r w:rsidRPr="00025914">
        <w:rPr>
          <w:rFonts w:ascii="Verdana" w:eastAsia="Calibri" w:hAnsi="Verdana" w:cs="Arial"/>
          <w:color w:val="000000" w:themeColor="text1"/>
        </w:rPr>
        <w:t xml:space="preserve">) la capacidad de organización. En efecto, la normativa </w:t>
      </w:r>
      <w:r w:rsidRPr="00025914">
        <w:rPr>
          <w:rFonts w:ascii="Verdana" w:eastAsia="Calibri" w:hAnsi="Verdana" w:cs="Arial"/>
          <w:i/>
          <w:iCs/>
          <w:color w:val="000000" w:themeColor="text1"/>
        </w:rPr>
        <w:t>sub lite</w:t>
      </w:r>
      <w:r w:rsidRPr="00025914">
        <w:rPr>
          <w:rFonts w:ascii="Verdana" w:eastAsia="Calibri" w:hAnsi="Verdana" w:cs="Arial"/>
          <w:color w:val="000000" w:themeColor="text1"/>
        </w:rPr>
        <w:t xml:space="preserve"> dispone: </w:t>
      </w:r>
    </w:p>
    <w:p w:rsidR="006A6821" w:rsidRPr="00025914" w:rsidRDefault="006A6821" w:rsidP="006A6821">
      <w:pPr>
        <w:ind w:left="709" w:right="709"/>
        <w:jc w:val="both"/>
        <w:rPr>
          <w:rFonts w:ascii="Verdana" w:eastAsia="Calibri" w:hAnsi="Verdana" w:cs="Arial"/>
          <w:color w:val="000000" w:themeColor="text1"/>
          <w:sz w:val="21"/>
          <w:szCs w:val="21"/>
        </w:rPr>
      </w:pPr>
      <w:r w:rsidRPr="00025914">
        <w:rPr>
          <w:rFonts w:ascii="Verdana" w:eastAsia="Calibri" w:hAnsi="Verdana" w:cs="Arial"/>
          <w:color w:val="000000" w:themeColor="text1"/>
          <w:sz w:val="21"/>
          <w:szCs w:val="21"/>
        </w:rPr>
        <w:t xml:space="preserve">Artículo 5. De la Selección Objetiva. </w:t>
      </w:r>
    </w:p>
    <w:p w:rsidR="006A6821" w:rsidRPr="00025914" w:rsidRDefault="006A6821" w:rsidP="006A6821">
      <w:pPr>
        <w:ind w:left="709" w:right="709"/>
        <w:jc w:val="both"/>
        <w:rPr>
          <w:rFonts w:ascii="Verdana" w:eastAsia="Calibri" w:hAnsi="Verdana" w:cs="Arial"/>
          <w:color w:val="000000" w:themeColor="text1"/>
          <w:sz w:val="21"/>
          <w:szCs w:val="21"/>
        </w:rPr>
      </w:pPr>
      <w:r w:rsidRPr="00025914">
        <w:rPr>
          <w:rFonts w:ascii="Verdana" w:eastAsia="Calibri" w:hAnsi="Verdana" w:cs="Arial"/>
          <w:color w:val="000000" w:themeColor="text1"/>
          <w:sz w:val="21"/>
          <w:szCs w:val="21"/>
        </w:rPr>
        <w:t>[…]</w:t>
      </w:r>
    </w:p>
    <w:p w:rsidR="006A6821" w:rsidRPr="00025914" w:rsidRDefault="006A6821" w:rsidP="006A6821">
      <w:pPr>
        <w:ind w:left="709" w:right="709"/>
        <w:jc w:val="both"/>
        <w:rPr>
          <w:rFonts w:ascii="Verdana" w:eastAsia="Calibri" w:hAnsi="Verdana" w:cs="Arial"/>
          <w:color w:val="000000" w:themeColor="text1"/>
          <w:sz w:val="21"/>
          <w:szCs w:val="21"/>
        </w:rPr>
      </w:pPr>
      <w:r w:rsidRPr="00025914">
        <w:rPr>
          <w:rFonts w:ascii="Verdana" w:eastAsia="Calibri" w:hAnsi="Verdana"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rsidR="006A6821" w:rsidRPr="00025914" w:rsidRDefault="006A6821" w:rsidP="006A6821">
      <w:pPr>
        <w:spacing w:line="276" w:lineRule="auto"/>
        <w:jc w:val="both"/>
        <w:rPr>
          <w:rFonts w:ascii="Verdana" w:eastAsia="Calibri" w:hAnsi="Verdana" w:cs="Arial"/>
          <w:color w:val="000000" w:themeColor="text1"/>
        </w:rPr>
      </w:pP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A continuación, se explicará el alcance de los requisitos habilitantes previamente referidos. </w:t>
      </w:r>
    </w:p>
    <w:p w:rsidR="006A6821" w:rsidRPr="00025914" w:rsidRDefault="006A6821" w:rsidP="006A6821">
      <w:pPr>
        <w:spacing w:before="120" w:after="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La </w:t>
      </w:r>
      <w:r w:rsidRPr="00025914">
        <w:rPr>
          <w:rFonts w:ascii="Verdana" w:eastAsia="Calibri" w:hAnsi="Verdana" w:cs="Arial"/>
          <w:bCs/>
          <w:i/>
          <w:iCs/>
          <w:color w:val="000000" w:themeColor="text1"/>
        </w:rPr>
        <w:t>capacidad jurídica</w:t>
      </w:r>
      <w:r w:rsidRPr="00025914">
        <w:rPr>
          <w:rFonts w:ascii="Verdana" w:eastAsia="Calibri" w:hAnsi="Verdana" w:cs="Arial"/>
          <w:color w:val="000000" w:themeColor="text1"/>
        </w:rPr>
        <w:t xml:space="preserve"> es la aptitud que recae en los sujetos activos o pasivos de las relaciones jurídicas</w:t>
      </w:r>
      <w:r w:rsidRPr="00025914">
        <w:rPr>
          <w:rStyle w:val="Refdenotaalpie"/>
          <w:rFonts w:ascii="Verdana" w:eastAsia="Calibri" w:hAnsi="Verdana" w:cs="Arial"/>
          <w:color w:val="000000" w:themeColor="text1"/>
        </w:rPr>
        <w:footnoteReference w:id="2"/>
      </w:r>
      <w:r w:rsidRPr="00025914">
        <w:rPr>
          <w:rFonts w:ascii="Verdana" w:eastAsia="Calibri" w:hAnsi="Verdana" w:cs="Arial"/>
          <w:color w:val="000000" w:themeColor="text1"/>
        </w:rPr>
        <w:t xml:space="preserve">. Para efectos de la contratación estatal, es la facultad que tiene una persona natural o jurídica o una forma asociativa sin personería jurídica para celebrar contratos con una entidad pública. En ese ámbito, la capacidad jurídica tiene doble proyección: de un lado, en la facultad que alguien tiene para obligarse a cumplir el objeto del contrato estatal y, por el otro, en la prohibición de que esa </w:t>
      </w:r>
      <w:r w:rsidRPr="00025914">
        <w:rPr>
          <w:rFonts w:ascii="Verdana" w:eastAsia="Calibri" w:hAnsi="Verdana" w:cs="Arial"/>
          <w:color w:val="000000" w:themeColor="text1"/>
        </w:rPr>
        <w:lastRenderedPageBreak/>
        <w:t>persona esté incursa en inhabilidades</w:t>
      </w:r>
      <w:r w:rsidRPr="00025914">
        <w:rPr>
          <w:rStyle w:val="Refdenotaalpie"/>
          <w:rFonts w:ascii="Verdana" w:eastAsia="Calibri" w:hAnsi="Verdana" w:cs="Arial"/>
          <w:color w:val="000000" w:themeColor="text1"/>
        </w:rPr>
        <w:footnoteReference w:id="3"/>
      </w:r>
      <w:r w:rsidRPr="00025914">
        <w:rPr>
          <w:rFonts w:ascii="Verdana" w:eastAsia="Calibri" w:hAnsi="Verdana" w:cs="Arial"/>
          <w:color w:val="000000" w:themeColor="text1"/>
        </w:rPr>
        <w:t xml:space="preserve"> o incompatibilidades, que le impidan la celebración del contrato. </w:t>
      </w:r>
    </w:p>
    <w:p w:rsidR="006A6821" w:rsidRPr="00025914" w:rsidRDefault="006A6821" w:rsidP="006A6821">
      <w:pPr>
        <w:spacing w:line="276" w:lineRule="auto"/>
        <w:ind w:firstLine="708"/>
        <w:jc w:val="both"/>
        <w:rPr>
          <w:rFonts w:ascii="Verdana" w:eastAsia="Calibri" w:hAnsi="Verdana" w:cs="Arial"/>
          <w:color w:val="000000" w:themeColor="text1"/>
        </w:rPr>
      </w:pPr>
      <w:r w:rsidRPr="00025914">
        <w:rPr>
          <w:rFonts w:ascii="Verdana" w:eastAsia="Calibri" w:hAnsi="Verdana" w:cs="Arial"/>
          <w:color w:val="000000" w:themeColor="text1"/>
        </w:rPr>
        <w:t>Para efectos del Estatuto General de Contratación de la Administración Pública, la capacidad para contratar la tienen las personas consideradas legalmente capaces, según lo que establece el artículo 6 de la Ley 80 de 1993</w:t>
      </w:r>
      <w:r w:rsidRPr="00025914">
        <w:rPr>
          <w:rStyle w:val="Refdenotaalpie"/>
          <w:rFonts w:ascii="Verdana" w:eastAsia="Calibri" w:hAnsi="Verdana" w:cs="Arial"/>
          <w:color w:val="000000" w:themeColor="text1"/>
        </w:rPr>
        <w:footnoteReference w:id="4"/>
      </w:r>
      <w:r w:rsidRPr="00025914">
        <w:rPr>
          <w:rFonts w:ascii="Verdana" w:eastAsia="Calibri" w:hAnsi="Verdana" w:cs="Arial"/>
          <w:color w:val="000000" w:themeColor="text1"/>
        </w:rPr>
        <w:t xml:space="preserve">.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de los socios individualmente considerados o de la empresa como tal. </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En el marco de los procesos de selección de contratistas, las entidades deben solicitar a los proponentes toda la información necesaria para conocer su idoneidad en relación con el contrato a celebrar y ejecutar, así como verificar su honestidad e integridad en relación con el manejo de los recursos públicos. El Consejo de Estado ha exhortado a las entidades estatales para conocer la calidad en la que actúa el proponente, en estos términos</w:t>
      </w:r>
      <w:r w:rsidRPr="00025914">
        <w:rPr>
          <w:rStyle w:val="Refdenotaalpie"/>
          <w:rFonts w:ascii="Verdana" w:eastAsia="Calibri" w:hAnsi="Verdana" w:cs="Arial"/>
          <w:color w:val="000000" w:themeColor="text1"/>
        </w:rPr>
        <w:footnoteReference w:id="5"/>
      </w:r>
      <w:r w:rsidRPr="00025914">
        <w:rPr>
          <w:rFonts w:ascii="Verdana" w:eastAsia="Calibri" w:hAnsi="Verdana" w:cs="Arial"/>
          <w:color w:val="000000" w:themeColor="text1"/>
        </w:rPr>
        <w:t xml:space="preserve">: </w:t>
      </w:r>
    </w:p>
    <w:p w:rsidR="006A6821" w:rsidRPr="00025914" w:rsidRDefault="006A6821" w:rsidP="006A6821">
      <w:pPr>
        <w:jc w:val="both"/>
        <w:rPr>
          <w:rFonts w:ascii="Verdana" w:eastAsia="Calibri" w:hAnsi="Verdana" w:cs="Arial"/>
          <w:color w:val="000000" w:themeColor="text1"/>
        </w:rPr>
      </w:pPr>
    </w:p>
    <w:p w:rsidR="006A6821" w:rsidRDefault="006A6821" w:rsidP="006A6821">
      <w:pPr>
        <w:ind w:left="709" w:right="760"/>
        <w:jc w:val="both"/>
        <w:rPr>
          <w:rFonts w:ascii="Verdana" w:eastAsia="Calibri" w:hAnsi="Verdana" w:cs="Arial"/>
          <w:color w:val="000000" w:themeColor="text1"/>
          <w:sz w:val="21"/>
          <w:szCs w:val="21"/>
        </w:rPr>
      </w:pPr>
      <w:r w:rsidRPr="00025914">
        <w:rPr>
          <w:rFonts w:ascii="Verdana" w:eastAsia="Calibri" w:hAnsi="Verdana" w:cs="Arial"/>
          <w:color w:val="000000" w:themeColor="text1"/>
          <w:sz w:val="21"/>
          <w:szCs w:val="21"/>
        </w:rPr>
        <w:t xml:space="preserve">No duda la Sala en afirmar que la anterior disposición conlleva un deber calificado para las entidades estatales, cuyo presupuesto es la buena fe […], consistente en una carga de conocimiento que las obliga a determinar la calidad con la que actúa el proponente o contratista, esto es, persona </w:t>
      </w:r>
      <w:r w:rsidRPr="00025914">
        <w:rPr>
          <w:rFonts w:ascii="Verdana" w:eastAsia="Calibri" w:hAnsi="Verdana" w:cs="Arial"/>
          <w:color w:val="000000" w:themeColor="text1"/>
          <w:sz w:val="21"/>
          <w:szCs w:val="21"/>
        </w:rPr>
        <w:lastRenderedPageBreak/>
        <w:t>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 particular.</w:t>
      </w:r>
      <w:r w:rsidRPr="00025914">
        <w:rPr>
          <w:rStyle w:val="Refdenotaalpie"/>
          <w:rFonts w:ascii="Verdana" w:eastAsia="Calibri" w:hAnsi="Verdana" w:cs="Arial"/>
          <w:color w:val="000000" w:themeColor="text1"/>
          <w:sz w:val="21"/>
          <w:szCs w:val="21"/>
        </w:rPr>
        <w:t xml:space="preserve"> </w:t>
      </w:r>
    </w:p>
    <w:p w:rsidR="006A6821" w:rsidRPr="008A6F20" w:rsidRDefault="006A6821" w:rsidP="006A6821">
      <w:pPr>
        <w:ind w:left="709" w:right="760"/>
        <w:jc w:val="both"/>
        <w:rPr>
          <w:rFonts w:ascii="Verdana" w:eastAsia="Calibri" w:hAnsi="Verdana" w:cs="Arial"/>
          <w:color w:val="000000" w:themeColor="text1"/>
          <w:sz w:val="21"/>
          <w:szCs w:val="21"/>
        </w:rPr>
      </w:pPr>
    </w:p>
    <w:p w:rsidR="006A6821" w:rsidRPr="00025914" w:rsidRDefault="006A6821" w:rsidP="006A6821">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Los límites a la capacidad jurídica de las personas naturales y jurídicas que deseen contratar con el Estado, particularmente los que establece el régimen de inhabilidades e incompatibilidades previsto en la Ley 80 de 1993, se sustenta en valores como el de la prevalencia de los intereses estatales e igualdad y en los principios de moralidad, ética, corrección, probidad, transparencia e imparcialidad, entre otros de similares proyecciones.</w:t>
      </w:r>
    </w:p>
    <w:p w:rsidR="006A6821" w:rsidRPr="00025914" w:rsidRDefault="006A6821" w:rsidP="006A6821">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La </w:t>
      </w:r>
      <w:r w:rsidRPr="00025914">
        <w:rPr>
          <w:rFonts w:ascii="Verdana" w:eastAsia="Calibri" w:hAnsi="Verdana" w:cs="Arial"/>
          <w:bCs/>
          <w:i/>
          <w:iCs/>
          <w:color w:val="000000" w:themeColor="text1"/>
        </w:rPr>
        <w:t>experiencia</w:t>
      </w:r>
      <w:r w:rsidRPr="00025914">
        <w:rPr>
          <w:rFonts w:ascii="Verdana" w:eastAsia="Calibri" w:hAnsi="Verdana" w:cs="Arial"/>
          <w:i/>
          <w:iCs/>
          <w:color w:val="000000" w:themeColor="text1"/>
        </w:rPr>
        <w:t xml:space="preserve"> </w:t>
      </w:r>
      <w:r w:rsidRPr="00025914">
        <w:rPr>
          <w:rFonts w:ascii="Verdana" w:eastAsia="Calibri" w:hAnsi="Verdana" w:cs="Arial"/>
          <w:color w:val="000000" w:themeColor="text1"/>
        </w:rPr>
        <w:t xml:space="preserve">como requisito habilitante, según las consideraciones expuestas en el concepto C-002 del 12 de febrero de 2020 –radicado No. 2202013000000921–, tiene como propósito que </w:t>
      </w:r>
      <w:r w:rsidRPr="00025914">
        <w:rPr>
          <w:rStyle w:val="normaltextrun"/>
          <w:rFonts w:ascii="Verdana" w:hAnsi="Verdana" w:cs="Arial"/>
          <w:color w:val="000000" w:themeColor="text1"/>
        </w:rPr>
        <w:t>las entidades fijen unos requisitos mínimos que deben acreditar los proponentes, para que estas puedan verificar su aptitud para participar en el proceso de selección y, eventualmente, ejecutar el contrato estatal</w:t>
      </w:r>
      <w:r w:rsidRPr="00025914">
        <w:rPr>
          <w:rStyle w:val="Refdenotaalpie"/>
          <w:rFonts w:ascii="Verdana" w:hAnsi="Verdana" w:cs="Arial"/>
          <w:color w:val="000000" w:themeColor="text1"/>
        </w:rPr>
        <w:footnoteReference w:id="6"/>
      </w:r>
      <w:r w:rsidRPr="00025914">
        <w:rPr>
          <w:rStyle w:val="normaltextrun"/>
          <w:rFonts w:ascii="Verdana" w:hAnsi="Verdana" w:cs="Arial"/>
          <w:color w:val="000000" w:themeColor="text1"/>
        </w:rPr>
        <w:t>. La entidad, como responsable de la estructuración del proceso de contratación,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025914">
        <w:rPr>
          <w:rStyle w:val="Refdenotaalpie"/>
          <w:rFonts w:ascii="Verdana" w:hAnsi="Verdana" w:cs="Arial"/>
          <w:color w:val="000000" w:themeColor="text1"/>
        </w:rPr>
        <w:footnoteReference w:id="7"/>
      </w:r>
      <w:r w:rsidRPr="00025914">
        <w:rPr>
          <w:rStyle w:val="normaltextrun"/>
          <w:rFonts w:ascii="Verdana" w:hAnsi="Verdana" w:cs="Arial"/>
          <w:color w:val="000000" w:themeColor="text1"/>
        </w:rPr>
        <w:t>.</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lastRenderedPageBreak/>
        <w:t>La experiencia que se deriva de la ejecución de los contratos que el proponente ha celebrado y ejecutado con diferentes contratantes, sin importar la naturaleza de estos últimos, se verifica con el Registro Único de Proponentes «RUP»</w:t>
      </w:r>
      <w:r w:rsidRPr="00025914">
        <w:rPr>
          <w:rStyle w:val="Refdenotaalpie"/>
          <w:rFonts w:ascii="Verdana" w:hAnsi="Verdana" w:cs="Arial"/>
          <w:color w:val="000000" w:themeColor="text1"/>
          <w:sz w:val="22"/>
          <w:szCs w:val="22"/>
        </w:rPr>
        <w:footnoteReference w:id="8"/>
      </w:r>
      <w:r w:rsidRPr="00025914">
        <w:rPr>
          <w:rStyle w:val="normaltextrun"/>
          <w:rFonts w:ascii="Verdana" w:hAnsi="Verdana" w:cs="Arial"/>
          <w:color w:val="000000" w:themeColor="text1"/>
          <w:sz w:val="22"/>
          <w:szCs w:val="22"/>
        </w:rPr>
        <w:t>, claro está, cuando este certificado sea exigible. Allí constan únicamente los requisitos habilitantes que se evalúan con este documento, de los cuales el mismo es plena prueba, sin que le sea posible a la entidad o al proponente solicitar o aportar otra documentación distinta</w:t>
      </w:r>
      <w:r w:rsidRPr="00025914">
        <w:rPr>
          <w:rStyle w:val="Refdenotaalpie"/>
          <w:rFonts w:ascii="Verdana" w:hAnsi="Verdana" w:cs="Arial"/>
          <w:color w:val="000000" w:themeColor="text1"/>
          <w:sz w:val="22"/>
          <w:szCs w:val="22"/>
        </w:rPr>
        <w:footnoteReference w:id="9"/>
      </w:r>
      <w:r w:rsidRPr="00025914">
        <w:rPr>
          <w:rStyle w:val="normaltextrun"/>
          <w:rFonts w:ascii="Verdana" w:hAnsi="Verdana" w:cs="Arial"/>
          <w:color w:val="000000" w:themeColor="text1"/>
          <w:sz w:val="22"/>
          <w:szCs w:val="22"/>
        </w:rPr>
        <w:t>, sin perjuicio de lo establecido en el numeral 3.5.5. del «Documento Base» en los «Pliegos Tipo», el cual se relaciona con «los documentos válidos para acreditar la experiencia requerida».</w:t>
      </w:r>
    </w:p>
    <w:p w:rsidR="006A6821" w:rsidRPr="00025914" w:rsidRDefault="006A6821" w:rsidP="006A6821">
      <w:pPr>
        <w:pStyle w:val="paragraph"/>
        <w:spacing w:before="120" w:beforeAutospacing="0" w:after="0" w:afterAutospacing="0" w:line="276" w:lineRule="auto"/>
        <w:ind w:firstLine="703"/>
        <w:jc w:val="both"/>
        <w:textAlignment w:val="baseline"/>
        <w:rPr>
          <w:rStyle w:val="normaltextrun"/>
          <w:rFonts w:ascii="Verdana" w:hAnsi="Verdana" w:cs="Arial"/>
          <w:color w:val="000000" w:themeColor="text1"/>
          <w:sz w:val="22"/>
          <w:szCs w:val="22"/>
        </w:rPr>
      </w:pPr>
      <w:r w:rsidRPr="00025914">
        <w:rPr>
          <w:rStyle w:val="normaltextrun"/>
          <w:rFonts w:ascii="Verdana" w:hAnsi="Verdana" w:cs="Arial"/>
          <w:color w:val="000000" w:themeColor="text1"/>
          <w:sz w:val="22"/>
          <w:szCs w:val="22"/>
        </w:rPr>
        <w:t>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025914">
        <w:rPr>
          <w:rStyle w:val="Refdenotaalpie"/>
          <w:rFonts w:ascii="Verdana" w:hAnsi="Verdana" w:cs="Arial"/>
          <w:color w:val="000000" w:themeColor="text1"/>
          <w:sz w:val="22"/>
          <w:szCs w:val="22"/>
        </w:rPr>
        <w:footnoteReference w:id="10"/>
      </w:r>
      <w:r w:rsidRPr="00025914">
        <w:rPr>
          <w:rStyle w:val="normaltextrun"/>
          <w:rFonts w:ascii="Verdana" w:hAnsi="Verdana" w:cs="Arial"/>
          <w:color w:val="000000" w:themeColor="text1"/>
          <w:sz w:val="22"/>
          <w:szCs w:val="22"/>
        </w:rPr>
        <w:t xml:space="preserve">. De esta manera, lo que se verifica con el RUP es que el proponente </w:t>
      </w:r>
      <w:r w:rsidRPr="00025914">
        <w:rPr>
          <w:rStyle w:val="normaltextrun"/>
          <w:rFonts w:ascii="Verdana" w:hAnsi="Verdana" w:cs="Arial"/>
          <w:color w:val="000000" w:themeColor="text1"/>
          <w:sz w:val="22"/>
          <w:szCs w:val="22"/>
        </w:rPr>
        <w:lastRenderedPageBreak/>
        <w:t xml:space="preserve">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según estos parámetros.</w:t>
      </w:r>
      <w:r w:rsidRPr="00025914">
        <w:rPr>
          <w:rStyle w:val="eop"/>
          <w:rFonts w:ascii="Verdana" w:hAnsi="Verdana" w:cs="Arial"/>
          <w:color w:val="000000" w:themeColor="text1"/>
          <w:sz w:val="22"/>
          <w:szCs w:val="22"/>
        </w:rPr>
        <w:t> </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Igualmente, es importante resaltar que:</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r w:rsidRPr="00025914">
        <w:rPr>
          <w:rStyle w:val="normaltextrun"/>
          <w:rFonts w:ascii="Verdana" w:hAnsi="Verdana" w:cs="Arial"/>
          <w:color w:val="000000" w:themeColor="text1"/>
          <w:sz w:val="22"/>
          <w:szCs w:val="22"/>
        </w:rPr>
        <w:t>i) La experiencia es personal, esto es, se adquiere participando, directa o indirectamente, sin que sea posible no participar y tener una experiencia que no es propia.</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proofErr w:type="spellStart"/>
      <w:r w:rsidRPr="00025914">
        <w:rPr>
          <w:rStyle w:val="spellingerror"/>
          <w:rFonts w:ascii="Verdana" w:hAnsi="Verdana" w:cs="Arial"/>
          <w:color w:val="000000" w:themeColor="text1"/>
          <w:sz w:val="22"/>
          <w:szCs w:val="22"/>
        </w:rPr>
        <w:t>ii</w:t>
      </w:r>
      <w:proofErr w:type="spellEnd"/>
      <w:r w:rsidRPr="00025914">
        <w:rPr>
          <w:rStyle w:val="normaltextrun"/>
          <w:rFonts w:ascii="Verdana" w:hAnsi="Verdana" w:cs="Arial"/>
          <w:color w:val="000000" w:themeColor="text1"/>
          <w:sz w:val="22"/>
          <w:szCs w:val="22"/>
        </w:rPr>
        <w:t xml:space="preserve">) La experiencia se puede compartir, sin que implique que la que le hayan compartido a una persona se entienda suya, ya que dentro del procedimiento </w:t>
      </w:r>
      <w:r w:rsidRPr="00025914">
        <w:rPr>
          <w:rStyle w:val="normaltextrun"/>
          <w:rFonts w:ascii="Verdana" w:hAnsi="Verdana" w:cs="Arial"/>
          <w:color w:val="000000" w:themeColor="text1"/>
          <w:sz w:val="22"/>
          <w:szCs w:val="22"/>
        </w:rPr>
        <w:lastRenderedPageBreak/>
        <w:t>contractual se reflejará que esa persona tiene la experiencia de otra, como es el caso de la que le aportan los socios a las sociedades con menos de 3 años de constitución, lo cual constará en el RUP; o el de las figuras asociativas –consorcios y uniones temporales–, evento en el que se verificará en el correspondiente documento privado de constitución.</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proofErr w:type="spellStart"/>
      <w:r w:rsidRPr="00025914">
        <w:rPr>
          <w:rStyle w:val="spellingerror"/>
          <w:rFonts w:ascii="Verdana" w:hAnsi="Verdana" w:cs="Arial"/>
          <w:color w:val="000000" w:themeColor="text1"/>
          <w:sz w:val="22"/>
          <w:szCs w:val="22"/>
        </w:rPr>
        <w:t>iii</w:t>
      </w:r>
      <w:proofErr w:type="spellEnd"/>
      <w:r w:rsidRPr="00025914">
        <w:rPr>
          <w:rStyle w:val="normaltextrun"/>
          <w:rFonts w:ascii="Verdana" w:hAnsi="Verdana" w:cs="Arial"/>
          <w:color w:val="000000" w:themeColor="text1"/>
          <w:sz w:val="22"/>
          <w:szCs w:val="22"/>
        </w:rPr>
        <w:t>) La experiencia se puede transferir y esto es diferente a compartirla, puesto que implica que la experiencia de una persona se traslada a otra, y esta última acredita esa experiencia como propia.</w:t>
      </w:r>
      <w:r w:rsidRPr="00025914">
        <w:rPr>
          <w:rStyle w:val="eop"/>
          <w:rFonts w:ascii="Verdana" w:hAnsi="Verdana" w:cs="Arial"/>
          <w:color w:val="000000" w:themeColor="text1"/>
          <w:sz w:val="22"/>
          <w:szCs w:val="22"/>
        </w:rPr>
        <w:t> </w:t>
      </w:r>
    </w:p>
    <w:p w:rsidR="006A6821" w:rsidRPr="00025914" w:rsidRDefault="006A6821" w:rsidP="006A6821">
      <w:pPr>
        <w:pStyle w:val="paragraph"/>
        <w:spacing w:before="120" w:beforeAutospacing="0" w:after="0" w:afterAutospacing="0" w:line="276" w:lineRule="auto"/>
        <w:ind w:firstLine="703"/>
        <w:jc w:val="both"/>
        <w:textAlignment w:val="baseline"/>
        <w:rPr>
          <w:rFonts w:ascii="Verdana" w:hAnsi="Verdana" w:cs="Arial"/>
          <w:color w:val="000000" w:themeColor="text1"/>
          <w:sz w:val="22"/>
          <w:szCs w:val="22"/>
        </w:rPr>
      </w:pPr>
      <w:proofErr w:type="spellStart"/>
      <w:r w:rsidRPr="00025914">
        <w:rPr>
          <w:rStyle w:val="spellingerror"/>
          <w:rFonts w:ascii="Verdana" w:hAnsi="Verdana" w:cs="Arial"/>
          <w:color w:val="000000" w:themeColor="text1"/>
          <w:sz w:val="22"/>
          <w:szCs w:val="22"/>
        </w:rPr>
        <w:t>iv</w:t>
      </w:r>
      <w:proofErr w:type="spellEnd"/>
      <w:r w:rsidRPr="00025914">
        <w:rPr>
          <w:rStyle w:val="normaltextrun"/>
          <w:rFonts w:ascii="Verdana" w:hAnsi="Verdana" w:cs="Arial"/>
          <w:color w:val="000000" w:themeColor="text1"/>
          <w:sz w:val="22"/>
          <w:szCs w:val="22"/>
        </w:rPr>
        <w:t>) Cuando la persona que adquirió la experiencia desaparece o se liquida, no es posible que comparta o transfiera su experiencia, porque al ser personal sigue la suerte de quien la adquirió.</w:t>
      </w:r>
    </w:p>
    <w:p w:rsidR="006A6821" w:rsidRPr="00025914" w:rsidRDefault="006A6821" w:rsidP="006A6821">
      <w:pPr>
        <w:spacing w:before="120" w:line="276" w:lineRule="auto"/>
        <w:jc w:val="both"/>
        <w:rPr>
          <w:rFonts w:ascii="Verdana" w:eastAsia="Calibri" w:hAnsi="Verdana" w:cs="Arial"/>
          <w:color w:val="000000" w:themeColor="text1"/>
        </w:rPr>
      </w:pPr>
      <w:r w:rsidRPr="00025914">
        <w:rPr>
          <w:rFonts w:ascii="Verdana" w:eastAsia="Calibri" w:hAnsi="Verdana" w:cs="Arial"/>
          <w:color w:val="000000" w:themeColor="text1"/>
        </w:rPr>
        <w:tab/>
        <w:t xml:space="preserve">La </w:t>
      </w:r>
      <w:r w:rsidRPr="00025914">
        <w:rPr>
          <w:rFonts w:ascii="Verdana" w:eastAsia="Calibri" w:hAnsi="Verdana" w:cs="Arial"/>
          <w:bCs/>
          <w:i/>
          <w:iCs/>
          <w:color w:val="000000" w:themeColor="text1"/>
        </w:rPr>
        <w:t>capacidad financiera</w:t>
      </w:r>
      <w:r w:rsidRPr="00025914">
        <w:rPr>
          <w:rFonts w:ascii="Verdana" w:eastAsia="Calibri" w:hAnsi="Verdana" w:cs="Arial"/>
          <w:i/>
          <w:iCs/>
          <w:color w:val="000000" w:themeColor="text1"/>
        </w:rPr>
        <w:t xml:space="preserve"> </w:t>
      </w:r>
      <w:r w:rsidRPr="00025914">
        <w:rPr>
          <w:rFonts w:ascii="Verdana" w:eastAsia="Calibri" w:hAnsi="Verdana" w:cs="Arial"/>
          <w:color w:val="000000" w:themeColor="text1"/>
        </w:rPr>
        <w:t>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025914">
        <w:rPr>
          <w:rFonts w:ascii="Verdana" w:eastAsia="Calibri" w:hAnsi="Verdana" w:cs="Arial"/>
          <w:i/>
          <w:iCs/>
          <w:color w:val="000000" w:themeColor="text1"/>
        </w:rPr>
        <w:t>Índice de Liquidez</w:t>
      </w:r>
      <w:r w:rsidRPr="00025914">
        <w:rPr>
          <w:rFonts w:ascii="Verdana" w:eastAsia="Calibri" w:hAnsi="Verdana" w:cs="Arial"/>
          <w:color w:val="000000" w:themeColor="text1"/>
        </w:rPr>
        <w:t xml:space="preserve">, que corresponde a la división entre el activo corriente y el pasivo corriente, y que determina la capacidad que tiene el proponente para cumplir con sus obligaciones de corto plazo; </w:t>
      </w:r>
      <w:proofErr w:type="spellStart"/>
      <w:r w:rsidRPr="00025914">
        <w:rPr>
          <w:rFonts w:ascii="Verdana" w:eastAsia="Calibri" w:hAnsi="Verdana" w:cs="Arial"/>
          <w:color w:val="000000" w:themeColor="text1"/>
        </w:rPr>
        <w:t>ii</w:t>
      </w:r>
      <w:proofErr w:type="spellEnd"/>
      <w:r w:rsidRPr="00025914">
        <w:rPr>
          <w:rFonts w:ascii="Verdana" w:eastAsia="Calibri" w:hAnsi="Verdana" w:cs="Arial"/>
          <w:color w:val="000000" w:themeColor="text1"/>
        </w:rPr>
        <w:t xml:space="preserve">) el </w:t>
      </w:r>
      <w:r w:rsidRPr="00025914">
        <w:rPr>
          <w:rFonts w:ascii="Verdana" w:eastAsia="Calibri" w:hAnsi="Verdana" w:cs="Arial"/>
          <w:i/>
          <w:iCs/>
          <w:color w:val="000000" w:themeColor="text1"/>
        </w:rPr>
        <w:t>Índice de Endeudamiento</w:t>
      </w:r>
      <w:r w:rsidRPr="00025914">
        <w:rPr>
          <w:rFonts w:ascii="Verdana" w:eastAsia="Calibri" w:hAnsi="Verdana" w:cs="Arial"/>
          <w:color w:val="000000" w:themeColor="text1"/>
        </w:rPr>
        <w:t xml:space="preserve">, que se calcula dividiendo el pasivo total por el activo total, el cual determina el grado de endeudamiento en la estructura de financiación del proponente; y </w:t>
      </w:r>
      <w:proofErr w:type="spellStart"/>
      <w:r w:rsidRPr="00025914">
        <w:rPr>
          <w:rFonts w:ascii="Verdana" w:eastAsia="Calibri" w:hAnsi="Verdana" w:cs="Arial"/>
          <w:color w:val="000000" w:themeColor="text1"/>
        </w:rPr>
        <w:t>iii</w:t>
      </w:r>
      <w:proofErr w:type="spellEnd"/>
      <w:r w:rsidRPr="00025914">
        <w:rPr>
          <w:rFonts w:ascii="Verdana" w:eastAsia="Calibri" w:hAnsi="Verdana" w:cs="Arial"/>
          <w:color w:val="000000" w:themeColor="text1"/>
        </w:rPr>
        <w:t xml:space="preserve">) la </w:t>
      </w:r>
      <w:r w:rsidRPr="00025914">
        <w:rPr>
          <w:rFonts w:ascii="Verdana" w:eastAsia="Calibri" w:hAnsi="Verdana" w:cs="Arial"/>
          <w:i/>
          <w:iCs/>
          <w:color w:val="000000" w:themeColor="text1"/>
        </w:rPr>
        <w:t>Razón de Cobertura de Intereses</w:t>
      </w:r>
      <w:r w:rsidRPr="00025914">
        <w:rPr>
          <w:rFonts w:ascii="Verdana" w:eastAsia="Calibri" w:hAnsi="Verdana" w:cs="Arial"/>
          <w:color w:val="000000" w:themeColor="text1"/>
        </w:rPr>
        <w:t xml:space="preserve">, que es igual a la utilidad operacional, sobre los gastos de intereses, y que refleja la capacidad del proponente de cumplir con sus obligaciones financieras. Adicionalmente, Colombia Compra Eficiente recomienda valorar otro tipo de </w:t>
      </w:r>
      <w:r w:rsidRPr="00025914">
        <w:rPr>
          <w:rFonts w:ascii="Verdana" w:eastAsia="Calibri" w:hAnsi="Verdana" w:cs="Arial"/>
          <w:color w:val="000000" w:themeColor="text1"/>
        </w:rPr>
        <w:lastRenderedPageBreak/>
        <w:t xml:space="preserve">indicadores como el </w:t>
      </w:r>
      <w:r w:rsidRPr="00025914">
        <w:rPr>
          <w:rFonts w:ascii="Verdana" w:eastAsia="Calibri" w:hAnsi="Verdana" w:cs="Arial"/>
          <w:i/>
          <w:iCs/>
          <w:color w:val="000000" w:themeColor="text1"/>
        </w:rPr>
        <w:t>capital de trabajo</w:t>
      </w:r>
      <w:r w:rsidRPr="00025914">
        <w:rPr>
          <w:rFonts w:ascii="Verdana" w:eastAsia="Calibri" w:hAnsi="Verdana" w:cs="Arial"/>
          <w:color w:val="000000" w:themeColor="text1"/>
        </w:rPr>
        <w:t xml:space="preserve">, la </w:t>
      </w:r>
      <w:r w:rsidRPr="00025914">
        <w:rPr>
          <w:rFonts w:ascii="Verdana" w:eastAsia="Calibri" w:hAnsi="Verdana" w:cs="Arial"/>
          <w:i/>
          <w:iCs/>
          <w:color w:val="000000" w:themeColor="text1"/>
        </w:rPr>
        <w:t>razón de efectivo</w:t>
      </w:r>
      <w:r w:rsidRPr="00025914">
        <w:rPr>
          <w:rFonts w:ascii="Verdana" w:eastAsia="Calibri" w:hAnsi="Verdana" w:cs="Arial"/>
          <w:color w:val="000000" w:themeColor="text1"/>
        </w:rPr>
        <w:t xml:space="preserve">, la denominada </w:t>
      </w:r>
      <w:r w:rsidRPr="00025914">
        <w:rPr>
          <w:rFonts w:ascii="Verdana" w:eastAsia="Calibri" w:hAnsi="Verdana" w:cs="Arial"/>
          <w:i/>
          <w:iCs/>
          <w:color w:val="000000" w:themeColor="text1"/>
        </w:rPr>
        <w:t>prueba ácida</w:t>
      </w:r>
      <w:r w:rsidRPr="00025914">
        <w:rPr>
          <w:rStyle w:val="Refdenotaalpie"/>
          <w:rFonts w:ascii="Verdana" w:eastAsia="Calibri" w:hAnsi="Verdana" w:cs="Arial"/>
          <w:color w:val="000000" w:themeColor="text1"/>
        </w:rPr>
        <w:footnoteReference w:id="11"/>
      </w:r>
      <w:r w:rsidRPr="00025914">
        <w:rPr>
          <w:rFonts w:ascii="Verdana" w:eastAsia="Calibri" w:hAnsi="Verdana" w:cs="Arial"/>
          <w:color w:val="000000" w:themeColor="text1"/>
        </w:rPr>
        <w:t xml:space="preserve">, la </w:t>
      </w:r>
      <w:r w:rsidRPr="00025914">
        <w:rPr>
          <w:rFonts w:ascii="Verdana" w:eastAsia="Calibri" w:hAnsi="Verdana" w:cs="Arial"/>
          <w:i/>
          <w:iCs/>
          <w:color w:val="000000" w:themeColor="text1"/>
        </w:rPr>
        <w:t xml:space="preserve">concentración de endeudamiento a corto </w:t>
      </w:r>
      <w:r w:rsidRPr="00025914">
        <w:rPr>
          <w:rFonts w:ascii="Verdana" w:eastAsia="Calibri" w:hAnsi="Verdana" w:cs="Arial"/>
          <w:color w:val="000000" w:themeColor="text1"/>
        </w:rPr>
        <w:t>y</w:t>
      </w:r>
      <w:r w:rsidRPr="00025914">
        <w:rPr>
          <w:rFonts w:ascii="Verdana" w:eastAsia="Calibri" w:hAnsi="Verdana" w:cs="Arial"/>
          <w:i/>
          <w:iCs/>
          <w:color w:val="000000" w:themeColor="text1"/>
        </w:rPr>
        <w:t xml:space="preserve"> a largo plazo</w:t>
      </w:r>
      <w:r w:rsidRPr="00025914">
        <w:rPr>
          <w:rFonts w:ascii="Verdana" w:eastAsia="Calibri" w:hAnsi="Verdana" w:cs="Arial"/>
          <w:color w:val="000000" w:themeColor="text1"/>
        </w:rPr>
        <w:t xml:space="preserve"> y el </w:t>
      </w:r>
      <w:r w:rsidRPr="00025914">
        <w:rPr>
          <w:rFonts w:ascii="Verdana" w:eastAsia="Calibri" w:hAnsi="Verdana" w:cs="Arial"/>
          <w:i/>
          <w:iCs/>
          <w:color w:val="000000" w:themeColor="text1"/>
        </w:rPr>
        <w:t>patrimonio</w:t>
      </w:r>
      <w:r w:rsidRPr="00025914">
        <w:rPr>
          <w:rFonts w:ascii="Verdana" w:eastAsia="Calibri" w:hAnsi="Verdana" w:cs="Arial"/>
          <w:color w:val="000000" w:themeColor="text1"/>
        </w:rPr>
        <w:t>.</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hAnsi="Verdana" w:cs="Arial"/>
          <w:color w:val="000000" w:themeColor="text1"/>
        </w:rPr>
        <w:t>L</w:t>
      </w:r>
      <w:r w:rsidRPr="00025914">
        <w:rPr>
          <w:rFonts w:ascii="Verdana" w:eastAsia="Calibri" w:hAnsi="Verdana" w:cs="Arial"/>
          <w:color w:val="000000" w:themeColor="text1"/>
        </w:rPr>
        <w:t xml:space="preserve">a </w:t>
      </w:r>
      <w:r w:rsidRPr="00025914">
        <w:rPr>
          <w:rFonts w:ascii="Verdana" w:eastAsia="Calibri" w:hAnsi="Verdana" w:cs="Arial"/>
          <w:bCs/>
          <w:i/>
          <w:iCs/>
          <w:color w:val="000000" w:themeColor="text1"/>
        </w:rPr>
        <w:t>capacidad de organización</w:t>
      </w:r>
      <w:r w:rsidRPr="00025914">
        <w:rPr>
          <w:rFonts w:ascii="Verdana" w:eastAsia="Calibri" w:hAnsi="Verdana" w:cs="Arial"/>
          <w:color w:val="000000" w:themeColor="text1"/>
        </w:rPr>
        <w:t>, s</w:t>
      </w:r>
      <w:r w:rsidRPr="00025914">
        <w:rPr>
          <w:rFonts w:ascii="Verdana" w:hAnsi="Verdana" w:cs="Arial"/>
          <w:color w:val="000000" w:themeColor="text1"/>
        </w:rPr>
        <w:t xml:space="preserve">egún el «Manual para determinar y verificar los requisitos habilitantes en los Procesos de Contratación», elaborado por la Agencia Nacional de Contratación Pública, </w:t>
      </w:r>
      <w:r w:rsidRPr="00025914">
        <w:rPr>
          <w:rFonts w:ascii="Verdana" w:eastAsia="Calibri" w:hAnsi="Verdana" w:cs="Arial"/>
          <w:color w:val="000000" w:themeColor="text1"/>
        </w:rPr>
        <w:t xml:space="preserve">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025914">
        <w:rPr>
          <w:rFonts w:ascii="Verdana" w:eastAsia="Calibri" w:hAnsi="Verdana" w:cs="Arial"/>
          <w:i/>
          <w:iCs/>
          <w:color w:val="000000" w:themeColor="text1"/>
        </w:rPr>
        <w:t>rentabilidad del patrimonio</w:t>
      </w:r>
      <w:r w:rsidRPr="00025914">
        <w:rPr>
          <w:rFonts w:ascii="Verdana" w:eastAsia="Calibri" w:hAnsi="Verdana" w:cs="Arial"/>
          <w:color w:val="000000" w:themeColor="text1"/>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025914">
        <w:rPr>
          <w:rFonts w:ascii="Verdana" w:eastAsia="Calibri" w:hAnsi="Verdana" w:cs="Arial"/>
          <w:i/>
          <w:iCs/>
          <w:color w:val="000000" w:themeColor="text1"/>
        </w:rPr>
        <w:t>rentabilidad del activo</w:t>
      </w:r>
      <w:r w:rsidRPr="00025914">
        <w:rPr>
          <w:rFonts w:ascii="Verdana" w:eastAsia="Calibri" w:hAnsi="Verdana" w:cs="Arial"/>
          <w:color w:val="000000" w:themeColor="text1"/>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A juicio de esta Agencia, también son relevantes los siguientes indicadores</w:t>
      </w:r>
      <w:r w:rsidRPr="00025914">
        <w:rPr>
          <w:rFonts w:ascii="Verdana" w:hAnsi="Verdana" w:cs="Arial"/>
          <w:color w:val="000000" w:themeColor="text1"/>
        </w:rPr>
        <w:t xml:space="preserve">, pero únicamente </w:t>
      </w:r>
      <w:r w:rsidRPr="00025914">
        <w:rPr>
          <w:rFonts w:ascii="Verdana" w:eastAsia="Calibri" w:hAnsi="Verdana" w:cs="Arial"/>
          <w:color w:val="000000" w:themeColor="text1"/>
        </w:rPr>
        <w:t xml:space="preserve">en aquellos casos en los que, por las características del objeto a contratar, la naturaleza o complejidad del proceso de contratación, se requiera, a saber: i) margen bruto; </w:t>
      </w:r>
      <w:proofErr w:type="spellStart"/>
      <w:r w:rsidRPr="00025914">
        <w:rPr>
          <w:rFonts w:ascii="Verdana" w:eastAsia="Calibri" w:hAnsi="Verdana" w:cs="Arial"/>
          <w:color w:val="000000" w:themeColor="text1"/>
        </w:rPr>
        <w:t>ii</w:t>
      </w:r>
      <w:proofErr w:type="spellEnd"/>
      <w:r w:rsidRPr="00025914">
        <w:rPr>
          <w:rFonts w:ascii="Verdana" w:eastAsia="Calibri" w:hAnsi="Verdana" w:cs="Arial"/>
          <w:color w:val="000000" w:themeColor="text1"/>
        </w:rPr>
        <w:t xml:space="preserve">) margen operacional; </w:t>
      </w:r>
      <w:proofErr w:type="spellStart"/>
      <w:r w:rsidRPr="00025914">
        <w:rPr>
          <w:rFonts w:ascii="Verdana" w:eastAsia="Calibri" w:hAnsi="Verdana" w:cs="Arial"/>
          <w:color w:val="000000" w:themeColor="text1"/>
        </w:rPr>
        <w:t>iii</w:t>
      </w:r>
      <w:proofErr w:type="spellEnd"/>
      <w:r w:rsidRPr="00025914">
        <w:rPr>
          <w:rFonts w:ascii="Verdana" w:eastAsia="Calibri" w:hAnsi="Verdana" w:cs="Arial"/>
          <w:color w:val="000000" w:themeColor="text1"/>
        </w:rPr>
        <w:t xml:space="preserve">) margen neto; </w:t>
      </w:r>
      <w:proofErr w:type="spellStart"/>
      <w:r w:rsidRPr="00025914">
        <w:rPr>
          <w:rFonts w:ascii="Verdana" w:eastAsia="Calibri" w:hAnsi="Verdana" w:cs="Arial"/>
          <w:color w:val="000000" w:themeColor="text1"/>
        </w:rPr>
        <w:t>iv</w:t>
      </w:r>
      <w:proofErr w:type="spellEnd"/>
      <w:r w:rsidRPr="00025914">
        <w:rPr>
          <w:rFonts w:ascii="Verdana" w:eastAsia="Calibri" w:hAnsi="Verdana" w:cs="Arial"/>
          <w:color w:val="000000" w:themeColor="text1"/>
        </w:rPr>
        <w:t xml:space="preserve">) retorno sobre capital invertido; v) rotación de activos totales; vi) rotación de activos fijos; y </w:t>
      </w:r>
      <w:proofErr w:type="spellStart"/>
      <w:r w:rsidRPr="00025914">
        <w:rPr>
          <w:rFonts w:ascii="Verdana" w:eastAsia="Calibri" w:hAnsi="Verdana" w:cs="Arial"/>
          <w:color w:val="000000" w:themeColor="text1"/>
        </w:rPr>
        <w:t>vii</w:t>
      </w:r>
      <w:proofErr w:type="spellEnd"/>
      <w:r w:rsidRPr="00025914">
        <w:rPr>
          <w:rFonts w:ascii="Verdana" w:eastAsia="Calibri" w:hAnsi="Verdana" w:cs="Arial"/>
          <w:color w:val="000000" w:themeColor="text1"/>
        </w:rPr>
        <w:t>) rotación de inventarios.</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Ahora bien,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w:t>
      </w:r>
      <w:r w:rsidRPr="00025914">
        <w:rPr>
          <w:rFonts w:ascii="Verdana" w:hAnsi="Verdana" w:cs="Arial"/>
          <w:color w:val="000000" w:themeColor="text1"/>
        </w:rPr>
        <w:lastRenderedPageBreak/>
        <w:t xml:space="preserve">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 </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Hay otros argumentos que sustentan tal elección interpretativa. Tal y como lo han considerado la Corte Constitucional</w:t>
      </w:r>
      <w:r w:rsidRPr="00025914">
        <w:rPr>
          <w:rStyle w:val="Refdenotaalpie"/>
          <w:rFonts w:ascii="Verdana" w:hAnsi="Verdana" w:cs="Arial"/>
          <w:color w:val="000000" w:themeColor="text1"/>
        </w:rPr>
        <w:footnoteReference w:id="12"/>
      </w:r>
      <w:r w:rsidRPr="00025914">
        <w:rPr>
          <w:rFonts w:ascii="Verdana" w:hAnsi="Verdana" w:cs="Arial"/>
          <w:color w:val="000000" w:themeColor="text1"/>
        </w:rPr>
        <w:t xml:space="preserve"> y el Consejo de Estado</w:t>
      </w:r>
      <w:r w:rsidRPr="00025914">
        <w:rPr>
          <w:rStyle w:val="Refdenotaalpie"/>
          <w:rFonts w:ascii="Verdana" w:hAnsi="Verdana" w:cs="Arial"/>
          <w:color w:val="000000" w:themeColor="text1"/>
        </w:rPr>
        <w:footnoteReference w:id="13"/>
      </w:r>
      <w:r w:rsidRPr="00025914">
        <w:rPr>
          <w:rFonts w:ascii="Verdana" w:hAnsi="Verdana" w:cs="Arial"/>
          <w:color w:val="000000" w:themeColor="text1"/>
        </w:rPr>
        <w:t xml:space="preserve">,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«las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La intención del legislador, de la cual dan cuenta los antecedentes legislativos de la norma </w:t>
      </w:r>
      <w:r w:rsidRPr="00025914">
        <w:rPr>
          <w:rFonts w:ascii="Verdana" w:hAnsi="Verdana" w:cs="Arial"/>
          <w:i/>
          <w:iCs/>
          <w:color w:val="000000" w:themeColor="text1"/>
        </w:rPr>
        <w:t>sub examine</w:t>
      </w:r>
      <w:r w:rsidRPr="00025914">
        <w:rPr>
          <w:rFonts w:ascii="Verdana" w:hAnsi="Verdana" w:cs="Arial"/>
          <w:color w:val="000000" w:themeColor="text1"/>
        </w:rPr>
        <w:t>, también justifica la interpretación propuesta por esta Agencia, ya que fue hasta el cuarto debate parlamentario en donde se incluyó el parágrafo comentando anteriormente</w:t>
      </w:r>
      <w:r w:rsidRPr="00025914">
        <w:rPr>
          <w:rStyle w:val="Refdenotaalpie"/>
          <w:rFonts w:ascii="Verdana" w:hAnsi="Verdana" w:cs="Arial"/>
          <w:color w:val="000000" w:themeColor="text1"/>
        </w:rPr>
        <w:footnoteReference w:id="14"/>
      </w:r>
      <w:r w:rsidRPr="00025914">
        <w:rPr>
          <w:rFonts w:ascii="Verdana" w:hAnsi="Verdana" w:cs="Arial"/>
          <w:color w:val="000000" w:themeColor="text1"/>
        </w:rPr>
        <w:t xml:space="preserve">, lo que deja ver la necesidad que tenía el Congreso de aclarar que unos documentos no podrían ser tenidos como requisitos </w:t>
      </w:r>
      <w:r w:rsidRPr="00025914">
        <w:rPr>
          <w:rFonts w:ascii="Verdana" w:hAnsi="Verdana" w:cs="Arial"/>
          <w:color w:val="000000" w:themeColor="text1"/>
        </w:rPr>
        <w:lastRenderedPageBreak/>
        <w:t>habilitantes, lo que da cuenta, a su vez, de su reconocimiento tácito de la existencia de otros requisitos habilitantes, distintos a los cuatro que establece el artículo 5, parágrafo 1, de la Ley 1150 de 2007.</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Por otro lado, en el referido «Manual para determinar y verificar los requisitos habilitantes en los Procesos de Contratación» se determinaron los parámetros para </w:t>
      </w:r>
      <w:r w:rsidRPr="00025914">
        <w:rPr>
          <w:rFonts w:ascii="Verdana" w:hAnsi="Verdana" w:cs="Arial"/>
          <w:i/>
          <w:iCs/>
          <w:color w:val="000000" w:themeColor="text1"/>
        </w:rPr>
        <w:t>establecer</w:t>
      </w:r>
      <w:r w:rsidRPr="00025914">
        <w:rPr>
          <w:rFonts w:ascii="Verdana" w:hAnsi="Verdana" w:cs="Arial"/>
          <w:color w:val="000000" w:themeColor="text1"/>
        </w:rPr>
        <w:t xml:space="preserve">, </w:t>
      </w:r>
      <w:r w:rsidRPr="00025914">
        <w:rPr>
          <w:rFonts w:ascii="Verdana" w:hAnsi="Verdana" w:cs="Arial"/>
          <w:i/>
          <w:iCs/>
          <w:color w:val="000000" w:themeColor="text1"/>
        </w:rPr>
        <w:t>acreditar</w:t>
      </w:r>
      <w:r w:rsidRPr="00025914">
        <w:rPr>
          <w:rFonts w:ascii="Verdana" w:hAnsi="Verdana" w:cs="Arial"/>
          <w:color w:val="000000" w:themeColor="text1"/>
        </w:rPr>
        <w:t xml:space="preserve"> y </w:t>
      </w:r>
      <w:r w:rsidRPr="00025914">
        <w:rPr>
          <w:rFonts w:ascii="Verdana" w:hAnsi="Verdana" w:cs="Arial"/>
          <w:i/>
          <w:iCs/>
          <w:color w:val="000000" w:themeColor="text1"/>
        </w:rPr>
        <w:t>subsanar</w:t>
      </w:r>
      <w:r w:rsidRPr="00025914">
        <w:rPr>
          <w:rFonts w:ascii="Verdana" w:hAnsi="Verdana" w:cs="Arial"/>
          <w:color w:val="000000" w:themeColor="text1"/>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Su propósito es, según el Manual, «establecer unas condiciones mínimas para los proponentes de tal manera que la Entidad Estatal sólo evalúe las ofertas de aquellos que están en condiciones de cumplir con el objeto del Proceso de Contratación».</w:t>
      </w:r>
    </w:p>
    <w:p w:rsidR="006A6821" w:rsidRPr="00025914" w:rsidRDefault="006A6821" w:rsidP="006A6821">
      <w:pPr>
        <w:spacing w:before="120" w:line="276" w:lineRule="auto"/>
        <w:ind w:firstLine="709"/>
        <w:jc w:val="both"/>
        <w:rPr>
          <w:rFonts w:ascii="Verdana" w:hAnsi="Verdana" w:cs="Arial"/>
          <w:color w:val="000000" w:themeColor="text1"/>
        </w:rPr>
      </w:pPr>
      <w:bookmarkStart w:id="0" w:name="_Hlk34917473"/>
      <w:r w:rsidRPr="00025914">
        <w:rPr>
          <w:rFonts w:ascii="Verdana" w:hAnsi="Verdana" w:cs="Arial"/>
          <w:color w:val="000000" w:themeColor="text1"/>
        </w:rPr>
        <w:t xml:space="preserve">Corresponde a las entidades estatales, durante la etapa de planeación del contrato estatal, estudiar y </w:t>
      </w:r>
      <w:r w:rsidRPr="00025914">
        <w:rPr>
          <w:rFonts w:ascii="Verdana" w:hAnsi="Verdana" w:cs="Arial"/>
          <w:bCs/>
          <w:iCs/>
          <w:color w:val="000000" w:themeColor="text1"/>
        </w:rPr>
        <w:t>determinar</w:t>
      </w:r>
      <w:r w:rsidRPr="00025914">
        <w:rPr>
          <w:rFonts w:ascii="Verdana" w:hAnsi="Verdana" w:cs="Arial"/>
          <w:color w:val="000000" w:themeColor="text1"/>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025914">
        <w:rPr>
          <w:rFonts w:ascii="Verdana" w:hAnsi="Verdana" w:cs="Arial"/>
          <w:i/>
          <w:iCs/>
          <w:color w:val="000000" w:themeColor="text1"/>
        </w:rPr>
        <w:t>riesgos</w:t>
      </w:r>
      <w:r w:rsidRPr="00025914">
        <w:rPr>
          <w:rFonts w:ascii="Verdana" w:hAnsi="Verdana" w:cs="Arial"/>
          <w:color w:val="000000" w:themeColor="text1"/>
        </w:rPr>
        <w:t xml:space="preserve"> </w:t>
      </w:r>
      <w:r w:rsidRPr="00025914">
        <w:rPr>
          <w:rFonts w:ascii="Verdana" w:hAnsi="Verdana" w:cs="Arial"/>
          <w:i/>
          <w:iCs/>
          <w:color w:val="000000" w:themeColor="text1"/>
        </w:rPr>
        <w:t>asociados al contrato</w:t>
      </w:r>
      <w:r w:rsidRPr="00025914">
        <w:rPr>
          <w:rFonts w:ascii="Verdana" w:hAnsi="Verdana" w:cs="Arial"/>
          <w:color w:val="000000" w:themeColor="text1"/>
        </w:rPr>
        <w:t xml:space="preserve">,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por ejemplo, como el que estable el artículo 5, parágrafo 2, de la Ley 1150 de 2007, </w:t>
      </w:r>
      <w:r w:rsidRPr="00025914">
        <w:rPr>
          <w:rFonts w:ascii="Verdana" w:hAnsi="Verdana" w:cs="Arial"/>
          <w:color w:val="000000" w:themeColor="text1"/>
          <w:lang w:val="es-ES"/>
        </w:rPr>
        <w:t>relacionado con la prohibición de exigir certificaciones de sistemas de gestión de calidad como requisito habilitante</w:t>
      </w:r>
      <w:r w:rsidRPr="00025914">
        <w:rPr>
          <w:rFonts w:ascii="Verdana" w:hAnsi="Verdana" w:cs="Arial"/>
          <w:color w:val="000000" w:themeColor="text1"/>
        </w:rPr>
        <w:t xml:space="preserve">. </w:t>
      </w:r>
    </w:p>
    <w:bookmarkEnd w:id="0"/>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De todos modos, como se dijo antes, para la configuración de los requisitos habilitantes, la entidad no está limitada a los cuatro que enuncia el artículo 5, numeral 1, de la Ley 1150 de 2007, pues, se insiste, estos son solo enunciativos y no taxativos.</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lastRenderedPageBreak/>
        <w:t xml:space="preserve">Por el objeto de la consulta, es importante resaltar que Colombia Compra Eficiente elaboró el «Manual para la Identificación y Cobertura del Riesgo en los Procesos de Contratación». Este documento invita a las entidades públicas a identificar los riesgos del proceso de contratación, de acuerdo con la siguiente clasificación: i) por su clase, en donde existen riesgos generales y específicos; </w:t>
      </w:r>
      <w:proofErr w:type="spellStart"/>
      <w:r w:rsidRPr="00025914">
        <w:rPr>
          <w:rFonts w:ascii="Verdana" w:hAnsi="Verdana" w:cs="Arial"/>
          <w:color w:val="000000" w:themeColor="text1"/>
        </w:rPr>
        <w:t>ii</w:t>
      </w:r>
      <w:proofErr w:type="spellEnd"/>
      <w:r w:rsidRPr="00025914">
        <w:rPr>
          <w:rFonts w:ascii="Verdana" w:hAnsi="Verdana" w:cs="Arial"/>
          <w:color w:val="000000" w:themeColor="text1"/>
        </w:rPr>
        <w:t xml:space="preserve">) por su fuente, siendo riesgos internos y externos; </w:t>
      </w:r>
      <w:proofErr w:type="spellStart"/>
      <w:r w:rsidRPr="00025914">
        <w:rPr>
          <w:rFonts w:ascii="Verdana" w:hAnsi="Verdana" w:cs="Arial"/>
          <w:color w:val="000000" w:themeColor="text1"/>
        </w:rPr>
        <w:t>iii</w:t>
      </w:r>
      <w:proofErr w:type="spellEnd"/>
      <w:r w:rsidRPr="00025914">
        <w:rPr>
          <w:rFonts w:ascii="Verdana" w:hAnsi="Verdana" w:cs="Arial"/>
          <w:color w:val="000000" w:themeColor="text1"/>
        </w:rPr>
        <w:t xml:space="preserve">) por la etapa en el que se encuentra, en donde los riesgos pueden ser en la planeación, selección, contratación o en la ejecución; y </w:t>
      </w:r>
      <w:proofErr w:type="spellStart"/>
      <w:r w:rsidRPr="00025914">
        <w:rPr>
          <w:rFonts w:ascii="Verdana" w:hAnsi="Verdana" w:cs="Arial"/>
          <w:color w:val="000000" w:themeColor="text1"/>
        </w:rPr>
        <w:t>iv</w:t>
      </w:r>
      <w:proofErr w:type="spellEnd"/>
      <w:r w:rsidRPr="00025914">
        <w:rPr>
          <w:rFonts w:ascii="Verdana" w:hAnsi="Verdana" w:cs="Arial"/>
          <w:color w:val="000000" w:themeColor="text1"/>
        </w:rPr>
        <w:t>) por el tipo, estos son:</w:t>
      </w:r>
    </w:p>
    <w:p w:rsidR="006A6821" w:rsidRPr="00025914" w:rsidRDefault="006A6821" w:rsidP="006A6821">
      <w:pPr>
        <w:spacing w:before="120" w:line="276" w:lineRule="auto"/>
        <w:ind w:firstLine="709"/>
        <w:jc w:val="both"/>
        <w:rPr>
          <w:rFonts w:ascii="Verdana" w:hAnsi="Verdana" w:cs="Arial"/>
          <w:color w:val="000000" w:themeColor="text1"/>
        </w:rPr>
      </w:pP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Económicos: son los derivados del comportamiento del mercado, tales como la fluctuación de los precios de los insumos, desabastecimiento y especulación de los mismos, entre otros.</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Sociales o Políticos: son los derivados de los cambios de las políticas gubernamentales y de cambios en las condiciones sociales que tengan impacto en la ejecución del contrato.</w:t>
      </w:r>
    </w:p>
    <w:p w:rsidR="006A6821" w:rsidRPr="00025914" w:rsidRDefault="006A6821" w:rsidP="006A6821">
      <w:pPr>
        <w:ind w:left="709" w:right="760"/>
        <w:jc w:val="both"/>
        <w:rPr>
          <w:rFonts w:ascii="Verdana" w:hAnsi="Verdana" w:cs="Arial"/>
          <w:i/>
          <w:iCs/>
          <w:color w:val="000000" w:themeColor="text1"/>
          <w:sz w:val="21"/>
          <w:szCs w:val="21"/>
        </w:rPr>
      </w:pPr>
      <w:r w:rsidRPr="00025914">
        <w:rPr>
          <w:rFonts w:ascii="Verdana" w:hAnsi="Verdana" w:cs="Arial"/>
          <w:i/>
          <w:iCs/>
          <w:color w:val="000000" w:themeColor="text1"/>
          <w:sz w:val="21"/>
          <w:szCs w:val="21"/>
        </w:rPr>
        <w:t>Riesgos Operacionales: son los asociados a la operatividad del contrato, tales como la suficiencia del presupuesto oficial, del plazo o los derivados de procesos, procedimientos, parámetros, sistemas de información y tecnológicos, equipos humanos o técnicos inadecuados o insuficientes.</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Financieros: son (i) el riesgo de consecución de financiación o riesgo de liquidez para obtener recursos para cumplir con el objeto del contrato, y (</w:t>
      </w:r>
      <w:proofErr w:type="spellStart"/>
      <w:r w:rsidRPr="00025914">
        <w:rPr>
          <w:rFonts w:ascii="Verdana" w:hAnsi="Verdana" w:cs="Arial"/>
          <w:color w:val="000000" w:themeColor="text1"/>
          <w:sz w:val="21"/>
          <w:szCs w:val="21"/>
        </w:rPr>
        <w:t>ii</w:t>
      </w:r>
      <w:proofErr w:type="spellEnd"/>
      <w:r w:rsidRPr="00025914">
        <w:rPr>
          <w:rFonts w:ascii="Verdana" w:hAnsi="Verdana" w:cs="Arial"/>
          <w:color w:val="000000" w:themeColor="text1"/>
          <w:sz w:val="21"/>
          <w:szCs w:val="21"/>
        </w:rPr>
        <w:t>) el riesgo de las condiciones financieras establecidas para la obtención de los recursos, tales como plazos, tasas, garantías, contragarantías, y refinanciaciones, entre otros.</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Regulatorios: derivados de cambios regulatorios o reglamentarios que afecten la ecuación económica del contrato.</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de la Naturaleza: son los eventos naturales previsibles en los cuales no hay intervención humana que puedan tener impacto en la ejecución del contrato, por ejemplo los temblores, inundaciones, lluvias, sequías, entre otros.</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t>Riesgos Ambientales: son los derivados de las obligaciones legales o reglamentarias de carácter ambiental, así como de las licencias, planes de manejo o de permisos y autorizaciones ambientales, incluyendo tasas retributivas y compensatorias, obligaciones de mitigación, tareas de monitoreo y control, entre otras.</w:t>
      </w:r>
    </w:p>
    <w:p w:rsidR="006A6821" w:rsidRPr="00025914" w:rsidRDefault="006A6821" w:rsidP="006A6821">
      <w:pPr>
        <w:ind w:left="709" w:right="760"/>
        <w:jc w:val="both"/>
        <w:rPr>
          <w:rFonts w:ascii="Verdana" w:hAnsi="Verdana" w:cs="Arial"/>
          <w:color w:val="000000" w:themeColor="text1"/>
          <w:sz w:val="21"/>
          <w:szCs w:val="21"/>
        </w:rPr>
      </w:pPr>
      <w:r w:rsidRPr="00025914">
        <w:rPr>
          <w:rFonts w:ascii="Verdana" w:hAnsi="Verdana" w:cs="Arial"/>
          <w:color w:val="000000" w:themeColor="text1"/>
          <w:sz w:val="21"/>
          <w:szCs w:val="21"/>
        </w:rPr>
        <w:lastRenderedPageBreak/>
        <w:t>Riesgos Tecnológicos: son los derivados de fallas en los sistemas de comunicación de voz y de datos, suspensión de servicios públicos, nuevos desarrollos tecnológicos o estándares que deben ser tenidos en cuenta para la ejecución del contrato, obsolescencia tecnológica. [Cursivas propias]</w:t>
      </w:r>
    </w:p>
    <w:p w:rsidR="006A6821" w:rsidRPr="00025914" w:rsidRDefault="006A6821" w:rsidP="006A6821">
      <w:pPr>
        <w:ind w:firstLine="709"/>
        <w:jc w:val="both"/>
        <w:rPr>
          <w:rFonts w:ascii="Verdana" w:hAnsi="Verdana" w:cs="Arial"/>
          <w:color w:val="000000" w:themeColor="text1"/>
        </w:rPr>
      </w:pPr>
    </w:p>
    <w:p w:rsidR="006A6821" w:rsidRPr="00025914" w:rsidRDefault="006A6821" w:rsidP="006A6821">
      <w:pPr>
        <w:spacing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Los riesgos asociados al contrato estatal, entonces, pueden estar coligados con los riesgos de las personas que van a ejecutar el contrato estatal como </w:t>
      </w:r>
      <w:r w:rsidRPr="00025914">
        <w:rPr>
          <w:rFonts w:ascii="Verdana" w:hAnsi="Verdana" w:cs="Arial"/>
          <w:i/>
          <w:iCs/>
          <w:color w:val="000000" w:themeColor="text1"/>
        </w:rPr>
        <w:t>riesgos operacionales</w:t>
      </w:r>
      <w:r w:rsidRPr="00025914">
        <w:rPr>
          <w:rFonts w:ascii="Verdana" w:hAnsi="Verdana" w:cs="Arial"/>
          <w:color w:val="000000" w:themeColor="text1"/>
        </w:rPr>
        <w:t>, a pesar de que son regulador por disposiciones de seguridad laboral. Muestra de la relación que tienen estos con los contratos estatales es que, en aplicación de lo dispuesto por el artículo 2.2.1.2.3.1.7. del Decreto 1082 de 2015, la entidad puede exigirle al contratista una póliza que ampare los riesgos asociados con prestaciones sociales e indemnizaciones laborales. También lo es la obligación de la entidad de verificar los pagos que hace el contratista, a título de aportes de sus contratistas</w:t>
      </w:r>
      <w:r w:rsidRPr="00025914">
        <w:rPr>
          <w:rStyle w:val="Refdenotaalpie"/>
          <w:rFonts w:ascii="Verdana" w:hAnsi="Verdana" w:cs="Arial"/>
          <w:color w:val="000000" w:themeColor="text1"/>
        </w:rPr>
        <w:footnoteReference w:id="15"/>
      </w:r>
      <w:r w:rsidRPr="00025914">
        <w:rPr>
          <w:rFonts w:ascii="Verdana" w:hAnsi="Verdana" w:cs="Arial"/>
          <w:color w:val="000000" w:themeColor="text1"/>
        </w:rPr>
        <w:t>.</w:t>
      </w:r>
    </w:p>
    <w:p w:rsidR="006A6821" w:rsidRPr="00025914" w:rsidRDefault="006A6821" w:rsidP="006A6821">
      <w:pPr>
        <w:spacing w:before="120" w:line="276" w:lineRule="auto"/>
        <w:ind w:firstLine="709"/>
        <w:jc w:val="both"/>
        <w:rPr>
          <w:rFonts w:ascii="Verdana" w:hAnsi="Verdana" w:cs="Arial"/>
          <w:color w:val="000000" w:themeColor="text1"/>
        </w:rPr>
      </w:pPr>
      <w:r w:rsidRPr="00025914">
        <w:rPr>
          <w:rFonts w:ascii="Verdana" w:hAnsi="Verdana" w:cs="Arial"/>
          <w:color w:val="000000" w:themeColor="text1"/>
        </w:rPr>
        <w:t xml:space="preserve">Una vez los requisitos de habilitación son fijados por la entidad estatal, quienes presenten ofertas deben </w:t>
      </w:r>
      <w:r w:rsidRPr="00025914">
        <w:rPr>
          <w:rFonts w:ascii="Verdana" w:hAnsi="Verdana" w:cs="Arial"/>
          <w:bCs/>
          <w:i/>
          <w:iCs/>
          <w:color w:val="000000" w:themeColor="text1"/>
        </w:rPr>
        <w:t>acreditar</w:t>
      </w:r>
      <w:r w:rsidRPr="00025914">
        <w:rPr>
          <w:rFonts w:ascii="Verdana" w:hAnsi="Verdana" w:cs="Arial"/>
          <w:color w:val="000000" w:themeColor="text1"/>
        </w:rPr>
        <w:t xml:space="preserve"> que cumplen con los mismos, pues, en el evento contrario, las propuestas deberán ser rechazadas. Lo anterior, sin perjuicio de la posibilidad de </w:t>
      </w:r>
      <w:r w:rsidRPr="00025914">
        <w:rPr>
          <w:rFonts w:ascii="Verdana" w:hAnsi="Verdana" w:cs="Arial"/>
          <w:bCs/>
          <w:i/>
          <w:iCs/>
          <w:color w:val="000000" w:themeColor="text1"/>
        </w:rPr>
        <w:t>subsanar</w:t>
      </w:r>
      <w:r w:rsidRPr="00025914">
        <w:rPr>
          <w:rFonts w:ascii="Verdana" w:hAnsi="Verdana" w:cs="Arial"/>
          <w:color w:val="000000" w:themeColor="text1"/>
        </w:rPr>
        <w:t>, la cual desarrolla el artículo 5 de la Ley 1882 de 2018, que modificó el parágrafo 1º del artículo 5 de la Ley 1150 de 2007, en los siguientes términos:</w:t>
      </w:r>
    </w:p>
    <w:p w:rsidR="006A6821" w:rsidRPr="00025914" w:rsidRDefault="006A6821" w:rsidP="006A6821">
      <w:pPr>
        <w:spacing w:line="276" w:lineRule="auto"/>
        <w:jc w:val="both"/>
        <w:rPr>
          <w:rFonts w:ascii="Verdana" w:hAnsi="Verdana" w:cs="Arial"/>
          <w:color w:val="000000" w:themeColor="text1"/>
        </w:rPr>
      </w:pPr>
    </w:p>
    <w:p w:rsidR="006A6821" w:rsidRPr="00025914" w:rsidRDefault="006A6821" w:rsidP="006A6821">
      <w:pPr>
        <w:ind w:left="703" w:right="760"/>
        <w:jc w:val="both"/>
        <w:rPr>
          <w:rFonts w:ascii="Verdana" w:hAnsi="Verdana" w:cs="Arial"/>
          <w:color w:val="000000" w:themeColor="text1"/>
          <w:sz w:val="21"/>
          <w:szCs w:val="21"/>
        </w:rPr>
      </w:pPr>
      <w:r w:rsidRPr="00025914">
        <w:rPr>
          <w:rFonts w:ascii="Verdana" w:hAnsi="Verdana" w:cs="Arial"/>
          <w:color w:val="000000" w:themeColor="text1"/>
          <w:sz w:val="21"/>
          <w:szCs w:val="21"/>
        </w:rPr>
        <w:t xml:space="preserve">Artículo 5°. De la selección objetiva. </w:t>
      </w:r>
    </w:p>
    <w:p w:rsidR="006A6821" w:rsidRPr="00025914" w:rsidRDefault="006A6821" w:rsidP="006A6821">
      <w:pPr>
        <w:ind w:left="703" w:right="760"/>
        <w:jc w:val="both"/>
        <w:rPr>
          <w:rFonts w:ascii="Verdana" w:hAnsi="Verdana" w:cs="Arial"/>
          <w:color w:val="000000" w:themeColor="text1"/>
          <w:sz w:val="21"/>
          <w:szCs w:val="21"/>
        </w:rPr>
      </w:pPr>
      <w:r w:rsidRPr="00025914">
        <w:rPr>
          <w:rFonts w:ascii="Verdana" w:hAnsi="Verdana" w:cs="Arial"/>
          <w:color w:val="000000" w:themeColor="text1"/>
          <w:sz w:val="21"/>
          <w:szCs w:val="21"/>
        </w:rPr>
        <w:t xml:space="preserve">[... ] </w:t>
      </w:r>
    </w:p>
    <w:p w:rsidR="006A6821" w:rsidRPr="00025914" w:rsidRDefault="006A6821" w:rsidP="006A6821">
      <w:pPr>
        <w:ind w:left="703" w:right="760"/>
        <w:jc w:val="both"/>
        <w:rPr>
          <w:rFonts w:ascii="Verdana" w:hAnsi="Verdana" w:cs="Arial"/>
          <w:color w:val="000000" w:themeColor="text1"/>
          <w:sz w:val="21"/>
          <w:szCs w:val="21"/>
        </w:rPr>
      </w:pPr>
      <w:r w:rsidRPr="00025914">
        <w:rPr>
          <w:rFonts w:ascii="Verdana" w:hAnsi="Verdana" w:cs="Arial"/>
          <w:color w:val="000000" w:themeColor="text1"/>
          <w:sz w:val="21"/>
          <w:szCs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w:t>
      </w:r>
      <w:r w:rsidRPr="00025914">
        <w:rPr>
          <w:rFonts w:ascii="Verdana" w:hAnsi="Verdana" w:cs="Arial"/>
          <w:color w:val="000000" w:themeColor="text1"/>
          <w:sz w:val="21"/>
          <w:szCs w:val="21"/>
        </w:rPr>
        <w:lastRenderedPageBreak/>
        <w:t xml:space="preserve">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006A6821" w:rsidRPr="00025914" w:rsidRDefault="006A6821" w:rsidP="006A6821">
      <w:pPr>
        <w:spacing w:line="276" w:lineRule="auto"/>
        <w:jc w:val="both"/>
        <w:rPr>
          <w:rFonts w:ascii="Verdana" w:hAnsi="Verdana" w:cs="Arial"/>
          <w:b/>
          <w:color w:val="000000" w:themeColor="text1"/>
        </w:rPr>
      </w:pPr>
    </w:p>
    <w:p w:rsidR="006A6821" w:rsidRPr="00025914" w:rsidRDefault="006A6821" w:rsidP="006A6821">
      <w:pPr>
        <w:spacing w:line="276" w:lineRule="auto"/>
        <w:ind w:firstLine="709"/>
        <w:jc w:val="both"/>
        <w:rPr>
          <w:rFonts w:ascii="Verdana" w:eastAsia="Calibri" w:hAnsi="Verdana" w:cs="Arial"/>
          <w:color w:val="000000" w:themeColor="text1"/>
        </w:rPr>
      </w:pPr>
      <w:r w:rsidRPr="00025914">
        <w:rPr>
          <w:rFonts w:ascii="Verdana" w:hAnsi="Verdana" w:cs="Arial"/>
          <w:color w:val="000000" w:themeColor="text1"/>
        </w:rPr>
        <w:t xml:space="preserve">Esta norma, por un lado, mantiene el criterio de la Ley 80 de 1993, relativo a que todo lo que no sea necesario para la comparación de propuestas no es título suficiente para su rechazo y, por el otro, mantiene el criterio aclaratorio de la Ley 1150 de 2007, según el cual todo lo que no afecte la asignación de puntaje puede subsanarse. También introduce modificaciones en relación con: i) el ámbito temporal para ejercer la facultad de subsanar la oferta; </w:t>
      </w:r>
      <w:proofErr w:type="spellStart"/>
      <w:r w:rsidRPr="00025914">
        <w:rPr>
          <w:rFonts w:ascii="Verdana" w:hAnsi="Verdana" w:cs="Arial"/>
          <w:color w:val="000000" w:themeColor="text1"/>
        </w:rPr>
        <w:t>ii</w:t>
      </w:r>
      <w:proofErr w:type="spellEnd"/>
      <w:r w:rsidRPr="00025914">
        <w:rPr>
          <w:rFonts w:ascii="Verdana" w:hAnsi="Verdana" w:cs="Arial"/>
          <w:color w:val="000000" w:themeColor="text1"/>
        </w:rPr>
        <w:t xml:space="preserve">) </w:t>
      </w:r>
      <w:r w:rsidRPr="00025914">
        <w:rPr>
          <w:rFonts w:ascii="Verdana" w:eastAsia="Calibri" w:hAnsi="Verdana" w:cs="Arial"/>
          <w:color w:val="000000" w:themeColor="text1"/>
        </w:rPr>
        <w:t>la introducción de un criterio material, directamente relacionado con los aspectos subsanables: «</w:t>
      </w:r>
      <w:r w:rsidRPr="00025914">
        <w:rPr>
          <w:rFonts w:ascii="Verdana" w:hAnsi="Verdana" w:cs="Arial"/>
          <w:i/>
          <w:color w:val="000000" w:themeColor="text1"/>
        </w:rPr>
        <w:t>los proponentes no podrán acreditar circunstancias ocurridas con posterioridad al cierre del proceso</w:t>
      </w:r>
      <w:r w:rsidRPr="00025914">
        <w:rPr>
          <w:rFonts w:ascii="Verdana" w:hAnsi="Verdana" w:cs="Arial"/>
          <w:color w:val="000000" w:themeColor="text1"/>
        </w:rPr>
        <w:t xml:space="preserve">»; y </w:t>
      </w:r>
      <w:proofErr w:type="spellStart"/>
      <w:r w:rsidRPr="00025914">
        <w:rPr>
          <w:rFonts w:ascii="Verdana" w:hAnsi="Verdana" w:cs="Arial"/>
          <w:color w:val="000000" w:themeColor="text1"/>
        </w:rPr>
        <w:t>iii</w:t>
      </w:r>
      <w:proofErr w:type="spellEnd"/>
      <w:r w:rsidRPr="00025914">
        <w:rPr>
          <w:rFonts w:ascii="Verdana" w:hAnsi="Verdana" w:cs="Arial"/>
          <w:color w:val="000000" w:themeColor="text1"/>
        </w:rPr>
        <w:t xml:space="preserve">) la determinación </w:t>
      </w:r>
      <w:r w:rsidRPr="00025914">
        <w:rPr>
          <w:rFonts w:ascii="Verdana" w:eastAsia="Calibri" w:hAnsi="Verdana" w:cs="Arial"/>
          <w:color w:val="000000" w:themeColor="text1"/>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los requisitos de habilitación son fijados, quienes presenten ofertas deben acreditar que cumplen con ellos, so pena de que sus propuestas sean rechazadas, claro está, sin perjuicio de la posibilidad de subsanarlas. Todo, dentro de los parámetros explicados en las consideraciones anteriores.</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Lo dicho, claro está, sin perjuicio de las prohibiciones legales. Por ejemplo, en el caso de los requisitos habilitantes, el artículo 5, parágrafo 2, de la Ley 1150 de 2007 establece que las «certificaciones de sistemas de gestión de calidad no serán objeto de calificación, ni podrán establecerse como documento habilitante para </w:t>
      </w:r>
      <w:r w:rsidRPr="00025914">
        <w:rPr>
          <w:rFonts w:ascii="Verdana" w:eastAsia="Calibri" w:hAnsi="Verdana" w:cs="Arial"/>
          <w:color w:val="000000" w:themeColor="text1"/>
        </w:rPr>
        <w:lastRenderedPageBreak/>
        <w:t xml:space="preserve">participar en licitaciones o concursos».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025914">
        <w:rPr>
          <w:rFonts w:ascii="Verdana" w:eastAsia="Calibri" w:hAnsi="Verdana" w:cs="Arial"/>
          <w:i/>
          <w:iCs/>
          <w:color w:val="000000" w:themeColor="text1"/>
        </w:rPr>
        <w:t>sub examine</w:t>
      </w:r>
      <w:r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rsidR="006A6821" w:rsidRPr="00025914" w:rsidRDefault="006A6821" w:rsidP="006A6821">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«SG-SST»,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rsidR="006A6821" w:rsidRPr="00025914" w:rsidRDefault="006A6821" w:rsidP="006A6821">
      <w:pPr>
        <w:spacing w:after="120" w:line="240" w:lineRule="auto"/>
        <w:ind w:right="709"/>
        <w:jc w:val="both"/>
        <w:rPr>
          <w:rFonts w:ascii="Verdana" w:hAnsi="Verdana" w:cs="Arial"/>
          <w:sz w:val="21"/>
          <w:szCs w:val="21"/>
        </w:rPr>
      </w:pPr>
    </w:p>
    <w:p w:rsidR="006A6821" w:rsidRPr="00025914" w:rsidRDefault="006A6821" w:rsidP="006A682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Referencias normativas, jurisprudenciales y otras fuentes:</w:t>
      </w:r>
    </w:p>
    <w:p w:rsidR="006A6821" w:rsidRPr="00025914" w:rsidRDefault="006A6821" w:rsidP="006A6821">
      <w:pPr>
        <w:spacing w:after="120" w:line="276" w:lineRule="auto"/>
        <w:ind w:right="709" w:firstLine="709"/>
        <w:jc w:val="both"/>
        <w:rPr>
          <w:rFonts w:ascii="Verdana" w:hAnsi="Verdana" w:cs="Arial"/>
          <w:noProof/>
          <w:lang w:val="es-ES"/>
        </w:rPr>
      </w:pPr>
    </w:p>
    <w:p w:rsidR="006A6821" w:rsidRPr="00025914" w:rsidRDefault="006A6821" w:rsidP="006A6821">
      <w:pPr>
        <w:pStyle w:val="Prrafodelista"/>
        <w:numPr>
          <w:ilvl w:val="0"/>
          <w:numId w:val="2"/>
        </w:numPr>
        <w:spacing w:after="120" w:line="276" w:lineRule="auto"/>
        <w:ind w:right="709"/>
        <w:jc w:val="both"/>
        <w:rPr>
          <w:rFonts w:ascii="Verdana" w:hAnsi="Verdana" w:cs="Arial"/>
          <w:noProof/>
          <w:lang w:val="es-ES_tradnl"/>
        </w:rPr>
      </w:pPr>
      <w:r w:rsidRPr="00025914">
        <w:rPr>
          <w:rFonts w:ascii="Verdana" w:eastAsia="Calibri" w:hAnsi="Verdana" w:cs="Arial"/>
          <w:bCs/>
          <w:lang w:val="es-MX"/>
        </w:rPr>
        <w:t xml:space="preserve">Artículo 5 de la </w:t>
      </w:r>
      <w:r w:rsidRPr="00025914">
        <w:rPr>
          <w:rFonts w:ascii="Verdana" w:eastAsia="Calibri" w:hAnsi="Verdana" w:cs="Arial"/>
          <w:color w:val="000000"/>
          <w:lang w:val="es-ES_tradnl"/>
        </w:rPr>
        <w:t xml:space="preserve">Ley 1150 de 2007 </w:t>
      </w:r>
      <w:r w:rsidRPr="00025914">
        <w:rPr>
          <w:rFonts w:ascii="Verdana" w:hAnsi="Verdana" w:cs="Arial"/>
          <w:noProof/>
          <w:lang w:val="es-ES_tradnl"/>
        </w:rPr>
        <w:t xml:space="preserve">Disponible en: </w:t>
      </w:r>
      <w:hyperlink r:id="rId9" w:history="1">
        <w:r w:rsidRPr="00025914">
          <w:rPr>
            <w:rStyle w:val="Hipervnculo"/>
            <w:rFonts w:ascii="Verdana" w:hAnsi="Verdana" w:cs="Arial"/>
            <w:noProof/>
            <w:lang w:val="es-ES_tradnl"/>
          </w:rPr>
          <w:t>https://relatoria.colombiacompra.gov.co/normativa/ley-1150-de-2007/</w:t>
        </w:r>
      </w:hyperlink>
      <w:r w:rsidRPr="00025914">
        <w:rPr>
          <w:rFonts w:ascii="Verdana" w:hAnsi="Verdana" w:cs="Arial"/>
          <w:noProof/>
          <w:lang w:val="es-ES_tradnl"/>
        </w:rPr>
        <w:t xml:space="preserve"> </w:t>
      </w:r>
    </w:p>
    <w:p w:rsidR="006A6821" w:rsidRPr="00025914" w:rsidRDefault="006A6821" w:rsidP="006A6821">
      <w:pPr>
        <w:pStyle w:val="Prrafodelista"/>
        <w:numPr>
          <w:ilvl w:val="0"/>
          <w:numId w:val="2"/>
        </w:numPr>
        <w:spacing w:before="120" w:line="276" w:lineRule="auto"/>
        <w:ind w:right="113"/>
        <w:jc w:val="both"/>
        <w:rPr>
          <w:rFonts w:ascii="Verdana" w:hAnsi="Verdana" w:cs="Arial"/>
          <w:lang w:eastAsia="es-CO"/>
        </w:rPr>
      </w:pPr>
      <w:r w:rsidRPr="00025914">
        <w:rPr>
          <w:rFonts w:ascii="Verdana" w:hAnsi="Verdana" w:cs="Arial"/>
          <w:bCs/>
          <w:lang w:eastAsia="es-MX"/>
        </w:rPr>
        <w:t xml:space="preserve">Artículo </w:t>
      </w:r>
      <w:r w:rsidRPr="00025914">
        <w:rPr>
          <w:rStyle w:val="normaltextrun"/>
          <w:rFonts w:ascii="Verdana" w:hAnsi="Verdana" w:cs="Arial"/>
          <w:color w:val="000000" w:themeColor="text1"/>
        </w:rPr>
        <w:t xml:space="preserve">2.2.1.1.1.6.2. </w:t>
      </w:r>
      <w:r w:rsidRPr="00025914">
        <w:rPr>
          <w:rFonts w:ascii="Verdana" w:hAnsi="Verdana" w:cs="Arial"/>
          <w:lang w:eastAsia="es-CO"/>
        </w:rPr>
        <w:t xml:space="preserve">del Decreto 1082 de 2015. Disponible en: </w:t>
      </w:r>
      <w:hyperlink r:id="rId10" w:history="1">
        <w:r w:rsidRPr="00025914">
          <w:rPr>
            <w:rStyle w:val="Hipervnculo"/>
            <w:rFonts w:ascii="Verdana" w:hAnsi="Verdana" w:cs="Arial"/>
            <w:lang w:eastAsia="es-CO"/>
          </w:rPr>
          <w:t>https://relatoria.colombiacompra.gov.co/normativa/decreto-1082-de-2015/</w:t>
        </w:r>
      </w:hyperlink>
      <w:r w:rsidRPr="00025914">
        <w:rPr>
          <w:rFonts w:ascii="Verdana" w:hAnsi="Verdana" w:cs="Arial"/>
          <w:lang w:eastAsia="es-CO"/>
        </w:rPr>
        <w:t xml:space="preserve"> </w:t>
      </w:r>
    </w:p>
    <w:p w:rsidR="006A6821" w:rsidRPr="00025914" w:rsidRDefault="006A6821" w:rsidP="006A6821">
      <w:pPr>
        <w:pStyle w:val="Prrafodelista"/>
        <w:numPr>
          <w:ilvl w:val="0"/>
          <w:numId w:val="2"/>
        </w:numPr>
        <w:spacing w:after="120" w:line="276" w:lineRule="auto"/>
        <w:ind w:right="709"/>
        <w:jc w:val="both"/>
        <w:rPr>
          <w:rFonts w:ascii="Verdana" w:eastAsia="Calibri" w:hAnsi="Verdana" w:cs="Arial"/>
          <w:bCs/>
          <w:color w:val="000000" w:themeColor="text1"/>
          <w:lang w:val="es-ES_tradnl"/>
        </w:rPr>
      </w:pPr>
      <w:r w:rsidRPr="00025914">
        <w:rPr>
          <w:rFonts w:ascii="Verdana" w:hAnsi="Verdana" w:cs="Arial"/>
          <w:color w:val="000000" w:themeColor="text1"/>
        </w:rPr>
        <w:t>Manual para determinar y verificar los requisitos habilitantes en los Procesos de Contratación</w:t>
      </w:r>
      <w:r w:rsidRPr="00025914">
        <w:rPr>
          <w:rFonts w:ascii="Verdana" w:hAnsi="Verdana" w:cs="Arial"/>
          <w:noProof/>
          <w:lang w:val="es-ES_tradnl"/>
        </w:rPr>
        <w:t>, disponible en: https://www.colombiacompra.gov.co/sites/cce_public/files/cce_documents/cce-eicp-ma-04._manual_requisitos_habilitantes_v3_29-09-2023.pdf</w:t>
      </w:r>
    </w:p>
    <w:p w:rsidR="006A6821" w:rsidRPr="00025914" w:rsidRDefault="006A6821" w:rsidP="006A6821">
      <w:pPr>
        <w:pStyle w:val="Prrafodelista"/>
        <w:numPr>
          <w:ilvl w:val="0"/>
          <w:numId w:val="2"/>
        </w:numPr>
        <w:spacing w:after="120" w:line="276" w:lineRule="auto"/>
        <w:ind w:right="709"/>
        <w:jc w:val="both"/>
        <w:rPr>
          <w:rFonts w:ascii="Verdana" w:hAnsi="Verdana" w:cs="Arial"/>
          <w:noProof/>
          <w:lang w:val="es-ES_tradnl"/>
        </w:rPr>
      </w:pPr>
      <w:r w:rsidRPr="00025914">
        <w:rPr>
          <w:rFonts w:ascii="Verdana" w:hAnsi="Verdana" w:cs="Arial"/>
        </w:rPr>
        <w:lastRenderedPageBreak/>
        <w:t>Jurisprudencia del Consejo de Estado, Sala de Consulta y Servicio Civil. Concepto del 20 de mayo de 2010. Expediente. C.P. Enrique José Arboleda Perdomo.</w:t>
      </w:r>
      <w:r w:rsidRPr="00025914">
        <w:rPr>
          <w:rFonts w:ascii="Verdana" w:hAnsi="Verdana" w:cs="Arial"/>
          <w:noProof/>
          <w:lang w:val="es-ES_tradnl"/>
        </w:rPr>
        <w:t xml:space="preserve">, disponible </w:t>
      </w:r>
      <w:r w:rsidRPr="00025914">
        <w:rPr>
          <w:rFonts w:ascii="Verdana" w:hAnsi="Verdana" w:cs="Arial"/>
        </w:rPr>
        <w:t xml:space="preserve">en: </w:t>
      </w:r>
      <w:r w:rsidRPr="00025914">
        <w:rPr>
          <w:rFonts w:ascii="Verdana" w:hAnsi="Verdana" w:cs="Arial"/>
          <w:noProof/>
          <w:lang w:val="es-ES_tradnl"/>
        </w:rPr>
        <w:t xml:space="preserve"> </w:t>
      </w:r>
      <w:hyperlink r:id="rId11" w:history="1">
        <w:r w:rsidRPr="00025914">
          <w:rPr>
            <w:rStyle w:val="Hipervnculo"/>
            <w:rFonts w:ascii="Verdana" w:hAnsi="Verdana" w:cs="Arial"/>
            <w:noProof/>
            <w:lang w:val="es-ES_tradnl"/>
          </w:rPr>
          <w:t>https://relatoria.colombiacompra.gov.co/providencias-consejo-de-estado/</w:t>
        </w:r>
      </w:hyperlink>
      <w:r w:rsidRPr="00025914">
        <w:rPr>
          <w:rFonts w:ascii="Verdana" w:hAnsi="Verdana" w:cs="Arial"/>
          <w:noProof/>
          <w:lang w:val="es-ES_tradnl"/>
        </w:rPr>
        <w:t xml:space="preserve"> </w:t>
      </w:r>
    </w:p>
    <w:p w:rsidR="006A6821" w:rsidRPr="00025914" w:rsidRDefault="006A6821" w:rsidP="006A6821">
      <w:pPr>
        <w:spacing w:after="120" w:line="276" w:lineRule="auto"/>
        <w:jc w:val="both"/>
        <w:rPr>
          <w:rFonts w:ascii="Verdana" w:eastAsia="Times New Roman" w:hAnsi="Verdana" w:cs="Arial"/>
          <w:i/>
          <w:lang w:val="es-ES_tradnl" w:eastAsia="es-ES"/>
        </w:rPr>
      </w:pPr>
    </w:p>
    <w:p w:rsidR="006A6821" w:rsidRPr="00025914" w:rsidRDefault="006A6821" w:rsidP="006A682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Doctrina de la Agencia Nacional de Contratación Pública:</w:t>
      </w:r>
    </w:p>
    <w:p w:rsidR="006A6821" w:rsidRPr="00025914" w:rsidRDefault="006A6821" w:rsidP="006A6821">
      <w:pPr>
        <w:spacing w:after="120" w:line="276" w:lineRule="auto"/>
        <w:jc w:val="both"/>
        <w:rPr>
          <w:rFonts w:ascii="Verdana" w:hAnsi="Verdana" w:cs="Arial"/>
          <w:color w:val="000000" w:themeColor="text1"/>
          <w:lang w:val="es-ES"/>
        </w:rPr>
      </w:pPr>
    </w:p>
    <w:p w:rsidR="006A6821" w:rsidRPr="00025914" w:rsidRDefault="006A6821" w:rsidP="006A6821">
      <w:pPr>
        <w:pStyle w:val="Textonotapie"/>
        <w:jc w:val="both"/>
        <w:rPr>
          <w:rFonts w:ascii="Verdana" w:hAnsi="Verdana" w:cs="Arial"/>
          <w:sz w:val="22"/>
          <w:szCs w:val="22"/>
          <w:shd w:val="clear" w:color="auto" w:fill="E6E6E6"/>
        </w:rPr>
      </w:pPr>
      <w:r w:rsidRPr="00025914">
        <w:rPr>
          <w:rFonts w:ascii="Verdana" w:eastAsia="Calibri" w:hAnsi="Verdana" w:cs="Arial"/>
          <w:sz w:val="22"/>
          <w:szCs w:val="22"/>
          <w:lang w:val="es-ES" w:eastAsia="es-ES"/>
        </w:rPr>
        <w:t xml:space="preserve">Sobre </w:t>
      </w:r>
      <w:r w:rsidRPr="00025914">
        <w:rPr>
          <w:rFonts w:ascii="Verdana" w:hAnsi="Verdana" w:cs="Arial"/>
        </w:rPr>
        <w:t>la evaluación de ofertas con precio artificialmente bajo la noción y su alcance</w:t>
      </w:r>
      <w:r w:rsidRPr="00025914">
        <w:rPr>
          <w:rFonts w:ascii="Verdana" w:eastAsia="Calibri" w:hAnsi="Verdana" w:cs="Arial"/>
          <w:color w:val="000000"/>
          <w:sz w:val="22"/>
          <w:szCs w:val="22"/>
          <w:lang w:val="es-ES_tradnl"/>
        </w:rPr>
        <w:t xml:space="preserve">, </w:t>
      </w:r>
      <w:r w:rsidRPr="00025914">
        <w:rPr>
          <w:rStyle w:val="normaltextrun"/>
          <w:rFonts w:ascii="Verdana" w:hAnsi="Verdana" w:cs="Arial"/>
          <w:sz w:val="22"/>
          <w:szCs w:val="22"/>
          <w:shd w:val="clear" w:color="auto" w:fill="FFFFFF"/>
          <w:lang w:val="es-ES"/>
        </w:rPr>
        <w:t xml:space="preserve">se pronunció esta Subdirección </w:t>
      </w:r>
      <w:r w:rsidRPr="00025914">
        <w:rPr>
          <w:rFonts w:ascii="Verdana" w:eastAsia="Calibri" w:hAnsi="Verdana" w:cs="Arial"/>
          <w:sz w:val="22"/>
          <w:szCs w:val="22"/>
          <w:lang w:val="es-ES"/>
        </w:rPr>
        <w:t xml:space="preserve">en los conceptos </w:t>
      </w:r>
      <w:r w:rsidRPr="00025914">
        <w:rPr>
          <w:rFonts w:ascii="Verdana" w:eastAsia="Calibri" w:hAnsi="Verdana" w:cs="Arial"/>
          <w:color w:val="000000" w:themeColor="text1"/>
          <w:sz w:val="22"/>
        </w:rPr>
        <w:t>Nos. 2201913000004727, 2201913000005855, 2201913000006343, 2201913000007131, 2201913000008520 y 2201913000009295, concepto C-166 de 2020, C-064, C-150 y C-180 de 2020</w:t>
      </w:r>
      <w:r w:rsidRPr="00025914">
        <w:rPr>
          <w:rFonts w:ascii="Verdana" w:eastAsia="Calibri" w:hAnsi="Verdana" w:cs="Arial"/>
          <w:color w:val="000000" w:themeColor="text1"/>
          <w:sz w:val="22"/>
          <w:szCs w:val="22"/>
        </w:rPr>
        <w:t xml:space="preserve">. </w:t>
      </w:r>
      <w:r w:rsidRPr="00025914">
        <w:rPr>
          <w:rStyle w:val="normaltextrun"/>
          <w:rFonts w:ascii="Verdana" w:hAnsi="Verdana" w:cs="Arial"/>
          <w:sz w:val="22"/>
          <w:szCs w:val="22"/>
          <w:shd w:val="clear" w:color="auto" w:fill="FFFFFF"/>
          <w:lang w:val="es-ES"/>
        </w:rPr>
        <w:t>Es</w:t>
      </w:r>
      <w:r w:rsidRPr="00025914">
        <w:rPr>
          <w:rFonts w:ascii="Verdana" w:hAnsi="Verdana"/>
          <w:sz w:val="22"/>
          <w:szCs w:val="22"/>
        </w:rPr>
        <w:t xml:space="preserve">tos y otros conceptos se encuentran disponibles para consulta en el Sistema de relatoría de la Agencia, al cual se puede acceder a través del siguiente enlace: </w:t>
      </w:r>
      <w:r w:rsidR="00000000">
        <w:fldChar w:fldCharType="begin"/>
      </w:r>
      <w:r w:rsidR="00000000">
        <w:instrText>HYPERLINK "https://relatoria.colombiacompra.gov.co/busqueda/conceptos"</w:instrText>
      </w:r>
      <w:r w:rsidR="00000000">
        <w:fldChar w:fldCharType="separate"/>
      </w:r>
      <w:r w:rsidRPr="00025914">
        <w:rPr>
          <w:rStyle w:val="Hipervnculo"/>
          <w:rFonts w:ascii="Verdana" w:hAnsi="Verdana" w:cs="Arial"/>
          <w:sz w:val="22"/>
          <w:szCs w:val="22"/>
        </w:rPr>
        <w:t>https://relatoria.colombiacompra.gov.co/busqueda/conceptos</w:t>
      </w:r>
      <w:r w:rsidR="00000000">
        <w:rPr>
          <w:rStyle w:val="Hipervnculo"/>
          <w:rFonts w:ascii="Verdana" w:hAnsi="Verdana" w:cs="Arial"/>
          <w:sz w:val="22"/>
          <w:szCs w:val="22"/>
        </w:rPr>
        <w:fldChar w:fldCharType="end"/>
      </w:r>
      <w:r w:rsidRPr="00025914">
        <w:rPr>
          <w:rStyle w:val="Hipervnculo"/>
          <w:rFonts w:ascii="Verdana" w:hAnsi="Verdana" w:cs="Arial"/>
          <w:sz w:val="22"/>
          <w:szCs w:val="22"/>
        </w:rPr>
        <w:t xml:space="preserve">. </w:t>
      </w:r>
      <w:r w:rsidRPr="00025914">
        <w:rPr>
          <w:rFonts w:ascii="Verdana" w:hAnsi="Verdana" w:cs="Arial"/>
          <w:sz w:val="22"/>
          <w:szCs w:val="22"/>
          <w:shd w:val="clear" w:color="auto" w:fill="E6E6E6"/>
        </w:rPr>
        <w:t xml:space="preserve"> </w:t>
      </w:r>
    </w:p>
    <w:p w:rsidR="006A6821" w:rsidRPr="00025914" w:rsidRDefault="006A6821" w:rsidP="006A6821">
      <w:pPr>
        <w:spacing w:after="120" w:line="276" w:lineRule="auto"/>
        <w:jc w:val="both"/>
        <w:rPr>
          <w:rFonts w:ascii="Verdana" w:hAnsi="Verdana" w:cs="Arial"/>
          <w:lang w:val="es-ES"/>
        </w:rPr>
      </w:pPr>
    </w:p>
    <w:p w:rsidR="006A6821" w:rsidRPr="00025914" w:rsidRDefault="006A6821" w:rsidP="006A6821">
      <w:pPr>
        <w:spacing w:after="0" w:line="240" w:lineRule="auto"/>
        <w:jc w:val="both"/>
        <w:rPr>
          <w:rFonts w:ascii="Verdana" w:hAnsi="Verdana"/>
        </w:rPr>
      </w:pPr>
      <w:r w:rsidRPr="00025914">
        <w:rPr>
          <w:rFonts w:ascii="Verdana" w:hAnsi="Verdana"/>
        </w:rPr>
        <w:t xml:space="preserve">Por último, lo invitamos a seguirnos en las redes sociales en las cuales se difunde información institucional: </w:t>
      </w:r>
    </w:p>
    <w:p w:rsidR="006A6821" w:rsidRPr="00025914" w:rsidRDefault="006A6821" w:rsidP="006A6821">
      <w:pPr>
        <w:spacing w:after="0" w:line="240" w:lineRule="auto"/>
        <w:jc w:val="both"/>
        <w:rPr>
          <w:rFonts w:ascii="Verdana" w:hAnsi="Verdana"/>
        </w:rPr>
      </w:pPr>
    </w:p>
    <w:p w:rsidR="006A6821" w:rsidRPr="00025914" w:rsidRDefault="006A6821" w:rsidP="006A6821">
      <w:pPr>
        <w:spacing w:after="0" w:line="240" w:lineRule="auto"/>
        <w:jc w:val="both"/>
        <w:rPr>
          <w:rFonts w:ascii="Verdana" w:hAnsi="Verdana"/>
        </w:rPr>
      </w:pPr>
      <w:r w:rsidRPr="00025914">
        <w:rPr>
          <w:rFonts w:ascii="Verdana" w:hAnsi="Verdana"/>
        </w:rPr>
        <w:t xml:space="preserve">Twitter: </w:t>
      </w:r>
      <w:r w:rsidRPr="00025914">
        <w:rPr>
          <w:rStyle w:val="Hipervnculo"/>
          <w:rFonts w:ascii="Verdana" w:hAnsi="Verdana"/>
          <w:color w:val="4472C4" w:themeColor="accent1"/>
        </w:rPr>
        <w:t>@colombiacompra</w:t>
      </w:r>
      <w:r w:rsidRPr="00025914">
        <w:rPr>
          <w:rFonts w:ascii="Verdana" w:hAnsi="Verdana"/>
          <w:color w:val="4472C4" w:themeColor="accent1"/>
        </w:rPr>
        <w:t xml:space="preserve"> </w:t>
      </w:r>
    </w:p>
    <w:p w:rsidR="006A6821" w:rsidRPr="00025914" w:rsidRDefault="006A6821" w:rsidP="006A6821">
      <w:pPr>
        <w:spacing w:after="0" w:line="240" w:lineRule="auto"/>
        <w:jc w:val="both"/>
        <w:rPr>
          <w:rFonts w:ascii="Verdana" w:hAnsi="Verdana"/>
        </w:rPr>
      </w:pPr>
      <w:r w:rsidRPr="00025914">
        <w:rPr>
          <w:rFonts w:ascii="Verdana" w:hAnsi="Verdana"/>
        </w:rPr>
        <w:t xml:space="preserve">Facebook: </w:t>
      </w:r>
      <w:proofErr w:type="spellStart"/>
      <w:r w:rsidRPr="00025914">
        <w:rPr>
          <w:rStyle w:val="Hipervnculo"/>
          <w:rFonts w:ascii="Verdana" w:hAnsi="Verdana"/>
          <w:color w:val="4472C4" w:themeColor="accent1"/>
        </w:rPr>
        <w:t>ColombiaCompraEficiente</w:t>
      </w:r>
      <w:proofErr w:type="spellEnd"/>
    </w:p>
    <w:p w:rsidR="006A6821" w:rsidRPr="00025914" w:rsidRDefault="006A6821" w:rsidP="006A6821">
      <w:pPr>
        <w:spacing w:after="0" w:line="240" w:lineRule="auto"/>
        <w:jc w:val="both"/>
        <w:rPr>
          <w:rFonts w:ascii="Verdana" w:hAnsi="Verdana"/>
        </w:rPr>
      </w:pPr>
      <w:r w:rsidRPr="00025914">
        <w:rPr>
          <w:rFonts w:ascii="Verdana" w:hAnsi="Verdana"/>
        </w:rPr>
        <w:t xml:space="preserve">LinkedIn: </w:t>
      </w:r>
      <w:r w:rsidRPr="00025914">
        <w:rPr>
          <w:rStyle w:val="Hipervnculo"/>
          <w:rFonts w:ascii="Verdana" w:hAnsi="Verdana"/>
          <w:color w:val="4472C4" w:themeColor="accent1"/>
        </w:rPr>
        <w:t>Agencia Nacional de Contratación Pública - Colombia Compra Eficiente</w:t>
      </w:r>
      <w:r w:rsidRPr="00025914">
        <w:rPr>
          <w:rFonts w:ascii="Verdana" w:hAnsi="Verdana"/>
          <w:color w:val="4472C4" w:themeColor="accent1"/>
        </w:rPr>
        <w:t xml:space="preserve"> </w:t>
      </w:r>
      <w:r w:rsidRPr="00025914">
        <w:rPr>
          <w:rFonts w:ascii="Verdana" w:hAnsi="Verdana"/>
        </w:rPr>
        <w:t xml:space="preserve">Instagram: </w:t>
      </w:r>
      <w:r w:rsidRPr="00025914">
        <w:rPr>
          <w:rStyle w:val="Hipervnculo"/>
          <w:rFonts w:ascii="Verdana" w:hAnsi="Verdana"/>
          <w:color w:val="4472C4" w:themeColor="accent1"/>
        </w:rPr>
        <w:t>@colombiacompraeficiente_cce</w:t>
      </w:r>
    </w:p>
    <w:p w:rsidR="006A6821" w:rsidRPr="00025914" w:rsidRDefault="006A6821" w:rsidP="006A6821">
      <w:pPr>
        <w:spacing w:after="120" w:line="276" w:lineRule="auto"/>
        <w:jc w:val="both"/>
        <w:rPr>
          <w:rFonts w:ascii="Verdana" w:hAnsi="Verdana" w:cs="Arial"/>
          <w:lang w:val="es-ES"/>
        </w:rPr>
      </w:pPr>
    </w:p>
    <w:p w:rsidR="006A6821" w:rsidRPr="00025914" w:rsidRDefault="006A6821" w:rsidP="006A6821">
      <w:pPr>
        <w:spacing w:after="120" w:line="276" w:lineRule="auto"/>
        <w:jc w:val="both"/>
        <w:rPr>
          <w:rFonts w:ascii="Verdana" w:hAnsi="Verdana" w:cs="Arial"/>
          <w:color w:val="000000" w:themeColor="text1"/>
          <w:lang w:val="es-ES_tradnl"/>
        </w:rPr>
      </w:pPr>
      <w:r w:rsidRPr="00025914">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006A6821" w:rsidRPr="00025914" w:rsidRDefault="006A6821" w:rsidP="006A6821">
      <w:pPr>
        <w:spacing w:after="120" w:line="276" w:lineRule="auto"/>
        <w:jc w:val="both"/>
        <w:rPr>
          <w:rFonts w:ascii="Verdana" w:eastAsia="Times New Roman" w:hAnsi="Verdana" w:cs="Arial"/>
          <w:i/>
          <w:lang w:val="es-ES" w:eastAsia="es-ES"/>
        </w:rPr>
      </w:pPr>
    </w:p>
    <w:p w:rsidR="006A6821" w:rsidRPr="00025914" w:rsidRDefault="006A6821" w:rsidP="006A6821">
      <w:pPr>
        <w:spacing w:after="0" w:line="240" w:lineRule="auto"/>
        <w:rPr>
          <w:rFonts w:ascii="Verdana" w:eastAsia="Times New Roman" w:hAnsi="Verdana" w:cs="Arial"/>
          <w:lang w:eastAsia="es-CO"/>
        </w:rPr>
      </w:pPr>
      <w:r w:rsidRPr="00025914">
        <w:rPr>
          <w:rFonts w:ascii="Verdana" w:eastAsia="Times New Roman" w:hAnsi="Verdana" w:cs="Arial"/>
          <w:lang w:eastAsia="es-CO"/>
        </w:rPr>
        <w:t>Atentamente,</w:t>
      </w:r>
    </w:p>
    <w:p w:rsidR="006A6821" w:rsidRPr="00025914" w:rsidRDefault="006A6821" w:rsidP="006A6821">
      <w:pPr>
        <w:spacing w:after="0" w:line="276" w:lineRule="auto"/>
        <w:jc w:val="center"/>
        <w:rPr>
          <w:rFonts w:ascii="Verdana" w:eastAsia="Times New Roman" w:hAnsi="Verdana" w:cs="Arial"/>
          <w:color w:val="000000"/>
          <w:lang w:val="es-ES_tradnl" w:eastAsia="es-CO"/>
        </w:rPr>
      </w:pPr>
    </w:p>
    <w:p w:rsidR="006A6821" w:rsidRPr="00025914" w:rsidRDefault="00CF1407" w:rsidP="006A6821">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lastRenderedPageBreak/>
        <w:drawing>
          <wp:inline distT="0" distB="0" distL="0" distR="0" wp14:anchorId="24D2EE12" wp14:editId="4B03F7F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2"/>
                    <a:stretch>
                      <a:fillRect/>
                    </a:stretch>
                  </pic:blipFill>
                  <pic:spPr>
                    <a:xfrm>
                      <a:off x="0" y="0"/>
                      <a:ext cx="3705742" cy="1590897"/>
                    </a:xfrm>
                    <a:prstGeom prst="rect">
                      <a:avLst/>
                    </a:prstGeom>
                  </pic:spPr>
                </pic:pic>
              </a:graphicData>
            </a:graphic>
          </wp:inline>
        </w:drawing>
      </w:r>
    </w:p>
    <w:p w:rsidR="006A6821" w:rsidRPr="00025914" w:rsidRDefault="006A6821" w:rsidP="006A6821">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A6821" w:rsidRPr="00025914" w:rsidTr="00F567E8">
        <w:trPr>
          <w:trHeight w:val="409"/>
        </w:trPr>
        <w:tc>
          <w:tcPr>
            <w:tcW w:w="817" w:type="dxa"/>
            <w:tcBorders>
              <w:top w:val="nil"/>
              <w:left w:val="nil"/>
              <w:bottom w:val="nil"/>
              <w:right w:val="nil"/>
            </w:tcBorders>
            <w:vAlign w:val="center"/>
            <w:hideMark/>
          </w:tcPr>
          <w:p w:rsidR="006A6821" w:rsidRPr="00025914" w:rsidRDefault="006A6821" w:rsidP="00F567E8">
            <w:pPr>
              <w:spacing w:after="0" w:line="240" w:lineRule="auto"/>
              <w:jc w:val="both"/>
              <w:rPr>
                <w:rFonts w:ascii="Verdana" w:hAnsi="Verdana" w:cs="Arial"/>
                <w:sz w:val="16"/>
                <w:szCs w:val="16"/>
              </w:rPr>
            </w:pPr>
            <w:r w:rsidRPr="00025914">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rsidR="006A6821" w:rsidRPr="00025914" w:rsidRDefault="006A6821" w:rsidP="00F567E8">
            <w:pPr>
              <w:spacing w:after="0" w:line="240" w:lineRule="auto"/>
              <w:jc w:val="both"/>
              <w:rPr>
                <w:rFonts w:ascii="Verdana" w:hAnsi="Verdana" w:cs="Arial"/>
                <w:sz w:val="16"/>
                <w:szCs w:val="16"/>
              </w:rPr>
            </w:pPr>
            <w:proofErr w:type="spellStart"/>
            <w:r w:rsidRPr="00025914">
              <w:rPr>
                <w:rFonts w:ascii="Verdana" w:hAnsi="Verdana" w:cs="Arial"/>
                <w:sz w:val="16"/>
                <w:szCs w:val="16"/>
              </w:rPr>
              <w:t>Jhonattan</w:t>
            </w:r>
            <w:proofErr w:type="spellEnd"/>
            <w:r w:rsidRPr="00025914">
              <w:rPr>
                <w:rFonts w:ascii="Verdana" w:hAnsi="Verdana" w:cs="Arial"/>
                <w:sz w:val="16"/>
                <w:szCs w:val="16"/>
              </w:rPr>
              <w:t xml:space="preserve"> </w:t>
            </w:r>
            <w:proofErr w:type="spellStart"/>
            <w:r w:rsidRPr="00025914">
              <w:rPr>
                <w:rFonts w:ascii="Verdana" w:hAnsi="Verdana" w:cs="Arial"/>
                <w:sz w:val="16"/>
                <w:szCs w:val="16"/>
              </w:rPr>
              <w:t>Gualdrón</w:t>
            </w:r>
            <w:proofErr w:type="spellEnd"/>
            <w:r w:rsidRPr="00025914">
              <w:rPr>
                <w:rFonts w:ascii="Verdana" w:hAnsi="Verdana" w:cs="Arial"/>
                <w:sz w:val="16"/>
                <w:szCs w:val="16"/>
              </w:rPr>
              <w:t xml:space="preserve"> Salazar</w:t>
            </w:r>
          </w:p>
          <w:p w:rsidR="006A6821" w:rsidRPr="00025914" w:rsidRDefault="006A6821" w:rsidP="00F567E8">
            <w:pPr>
              <w:spacing w:after="0" w:line="240" w:lineRule="auto"/>
              <w:jc w:val="both"/>
              <w:rPr>
                <w:rFonts w:ascii="Verdana" w:hAnsi="Verdana" w:cs="Arial"/>
                <w:sz w:val="16"/>
                <w:szCs w:val="16"/>
              </w:rPr>
            </w:pPr>
            <w:r w:rsidRPr="00025914">
              <w:rPr>
                <w:rFonts w:ascii="Verdana" w:hAnsi="Verdana" w:cs="Arial"/>
                <w:sz w:val="16"/>
                <w:szCs w:val="16"/>
              </w:rPr>
              <w:t>Contratista de la Subdirección de Gestión Contractual</w:t>
            </w:r>
          </w:p>
        </w:tc>
      </w:tr>
      <w:tr w:rsidR="006A6821" w:rsidRPr="00025914" w:rsidTr="00F567E8">
        <w:trPr>
          <w:trHeight w:val="409"/>
        </w:trPr>
        <w:tc>
          <w:tcPr>
            <w:tcW w:w="817" w:type="dxa"/>
            <w:tcBorders>
              <w:top w:val="nil"/>
              <w:left w:val="nil"/>
              <w:right w:val="nil"/>
            </w:tcBorders>
            <w:vAlign w:val="center"/>
          </w:tcPr>
          <w:p w:rsidR="006A6821" w:rsidRPr="00025914" w:rsidRDefault="006A6821" w:rsidP="00F567E8">
            <w:pPr>
              <w:spacing w:after="0"/>
              <w:jc w:val="both"/>
              <w:rPr>
                <w:rFonts w:ascii="Verdana" w:hAnsi="Verdana" w:cs="Arial"/>
                <w:sz w:val="16"/>
                <w:szCs w:val="16"/>
              </w:rPr>
            </w:pPr>
            <w:r w:rsidRPr="00025914">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rsidR="006A6821" w:rsidRPr="00025914" w:rsidRDefault="006A6821" w:rsidP="00F567E8">
            <w:pPr>
              <w:spacing w:after="0"/>
              <w:rPr>
                <w:rFonts w:ascii="Verdana" w:eastAsia="Arial" w:hAnsi="Verdana" w:cs="Arial"/>
                <w:color w:val="000000" w:themeColor="text1"/>
                <w:sz w:val="16"/>
                <w:szCs w:val="16"/>
              </w:rPr>
            </w:pPr>
            <w:r w:rsidRPr="00025914">
              <w:rPr>
                <w:rStyle w:val="normaltextrun"/>
                <w:rFonts w:ascii="Verdana" w:hAnsi="Verdana"/>
                <w:sz w:val="16"/>
                <w:szCs w:val="16"/>
              </w:rPr>
              <w:t xml:space="preserve">Juan David </w:t>
            </w:r>
            <w:proofErr w:type="spellStart"/>
            <w:r w:rsidRPr="00025914">
              <w:rPr>
                <w:rStyle w:val="normaltextrun"/>
                <w:rFonts w:ascii="Verdana" w:hAnsi="Verdana"/>
                <w:sz w:val="16"/>
                <w:szCs w:val="16"/>
              </w:rPr>
              <w:t>Cardenas</w:t>
            </w:r>
            <w:proofErr w:type="spellEnd"/>
          </w:p>
          <w:p w:rsidR="006A6821" w:rsidRPr="00025914" w:rsidRDefault="006A6821" w:rsidP="00F567E8">
            <w:pPr>
              <w:spacing w:after="0" w:line="240" w:lineRule="auto"/>
              <w:jc w:val="both"/>
              <w:rPr>
                <w:rFonts w:ascii="Verdana" w:hAnsi="Verdana" w:cs="Arial"/>
                <w:sz w:val="16"/>
                <w:szCs w:val="16"/>
              </w:rPr>
            </w:pPr>
            <w:r w:rsidRPr="00025914">
              <w:rPr>
                <w:rStyle w:val="normaltextrun"/>
                <w:rFonts w:ascii="Verdana" w:eastAsia="Arial" w:hAnsi="Verdana" w:cs="Arial"/>
                <w:color w:val="000000" w:themeColor="text1"/>
                <w:sz w:val="16"/>
                <w:szCs w:val="16"/>
              </w:rPr>
              <w:t>Contratista de la Subdirección de Gestión Contractual </w:t>
            </w:r>
          </w:p>
        </w:tc>
      </w:tr>
      <w:tr w:rsidR="006A6821" w:rsidRPr="00025914" w:rsidTr="00F567E8">
        <w:trPr>
          <w:trHeight w:val="389"/>
        </w:trPr>
        <w:tc>
          <w:tcPr>
            <w:tcW w:w="817" w:type="dxa"/>
            <w:tcBorders>
              <w:top w:val="nil"/>
              <w:left w:val="nil"/>
              <w:bottom w:val="nil"/>
              <w:right w:val="nil"/>
            </w:tcBorders>
            <w:vAlign w:val="center"/>
            <w:hideMark/>
          </w:tcPr>
          <w:p w:rsidR="006A6821" w:rsidRPr="00025914" w:rsidRDefault="006A6821" w:rsidP="00F567E8">
            <w:pPr>
              <w:spacing w:after="0" w:line="240" w:lineRule="auto"/>
              <w:jc w:val="both"/>
              <w:rPr>
                <w:rFonts w:ascii="Verdana" w:hAnsi="Verdana" w:cs="Arial"/>
                <w:sz w:val="16"/>
                <w:szCs w:val="16"/>
              </w:rPr>
            </w:pPr>
            <w:r w:rsidRPr="00025914">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rsidR="006A6821" w:rsidRPr="00025914" w:rsidRDefault="006A6821" w:rsidP="00F567E8">
            <w:pPr>
              <w:spacing w:after="0"/>
              <w:rPr>
                <w:rFonts w:ascii="Verdana" w:eastAsia="Calibri" w:hAnsi="Verdana" w:cs="Arial"/>
                <w:sz w:val="16"/>
                <w:szCs w:val="16"/>
                <w:lang w:val="pt-BR" w:eastAsia="es-ES"/>
              </w:rPr>
            </w:pPr>
            <w:r w:rsidRPr="00025914">
              <w:rPr>
                <w:rFonts w:ascii="Verdana" w:eastAsia="Calibri" w:hAnsi="Verdana" w:cs="Arial"/>
                <w:sz w:val="16"/>
                <w:szCs w:val="16"/>
                <w:lang w:val="pt-BR" w:eastAsia="es-ES"/>
              </w:rPr>
              <w:t xml:space="preserve">Carolina Quintero </w:t>
            </w:r>
            <w:proofErr w:type="spellStart"/>
            <w:r w:rsidRPr="00025914">
              <w:rPr>
                <w:rFonts w:ascii="Verdana" w:eastAsia="Calibri" w:hAnsi="Verdana" w:cs="Arial"/>
                <w:sz w:val="16"/>
                <w:szCs w:val="16"/>
                <w:lang w:val="pt-BR" w:eastAsia="es-ES"/>
              </w:rPr>
              <w:t>Gacharná</w:t>
            </w:r>
            <w:proofErr w:type="spellEnd"/>
          </w:p>
          <w:p w:rsidR="006A6821" w:rsidRPr="00025914" w:rsidRDefault="006A6821" w:rsidP="00F567E8">
            <w:pPr>
              <w:spacing w:after="0" w:line="240" w:lineRule="auto"/>
              <w:jc w:val="both"/>
              <w:rPr>
                <w:rFonts w:ascii="Verdana" w:hAnsi="Verdana" w:cs="Arial"/>
                <w:sz w:val="16"/>
                <w:szCs w:val="16"/>
              </w:rPr>
            </w:pPr>
            <w:r w:rsidRPr="00025914">
              <w:rPr>
                <w:rFonts w:ascii="Verdana" w:hAnsi="Verdana" w:cs="Arial"/>
                <w:sz w:val="16"/>
                <w:szCs w:val="16"/>
              </w:rPr>
              <w:t>Subdirectora de Gestión Contractual ANCP – CCE</w:t>
            </w:r>
          </w:p>
        </w:tc>
      </w:tr>
    </w:tbl>
    <w:p w:rsidR="006A6821" w:rsidRPr="00025914" w:rsidRDefault="006A6821" w:rsidP="006A6821">
      <w:pPr>
        <w:pStyle w:val="Default"/>
        <w:tabs>
          <w:tab w:val="left" w:pos="2864"/>
        </w:tabs>
        <w:jc w:val="both"/>
        <w:rPr>
          <w:rFonts w:ascii="Verdana" w:hAnsi="Verdana"/>
          <w:sz w:val="22"/>
          <w:szCs w:val="22"/>
          <w:lang w:val="es-ES"/>
        </w:rPr>
      </w:pPr>
    </w:p>
    <w:p w:rsidR="006A6821" w:rsidRPr="00025914" w:rsidRDefault="006A6821" w:rsidP="006A6821">
      <w:pPr>
        <w:spacing w:after="0"/>
        <w:rPr>
          <w:rFonts w:ascii="Verdana" w:hAnsi="Verdana"/>
          <w:lang w:val="es-ES"/>
        </w:rPr>
      </w:pPr>
    </w:p>
    <w:p w:rsidR="006A6821" w:rsidRPr="00025914" w:rsidRDefault="006A6821" w:rsidP="006A6821">
      <w:pPr>
        <w:rPr>
          <w:rFonts w:ascii="Verdana" w:hAnsi="Verdana"/>
          <w:lang w:val="es-ES"/>
        </w:rPr>
      </w:pPr>
    </w:p>
    <w:p w:rsidR="006A6821" w:rsidRPr="00025914" w:rsidRDefault="006A6821" w:rsidP="006A6821">
      <w:pPr>
        <w:rPr>
          <w:rFonts w:ascii="Verdana" w:hAnsi="Verdana"/>
          <w:lang w:val="es-ES"/>
        </w:rPr>
      </w:pPr>
    </w:p>
    <w:p w:rsidR="006A6821" w:rsidRPr="00025914" w:rsidRDefault="006A6821" w:rsidP="006A6821">
      <w:pPr>
        <w:rPr>
          <w:rFonts w:ascii="Verdana" w:hAnsi="Verdana"/>
          <w:lang w:val="es-ES"/>
        </w:rPr>
      </w:pPr>
    </w:p>
    <w:p w:rsidR="006A6821" w:rsidRPr="00025914" w:rsidRDefault="006A6821" w:rsidP="006A6821">
      <w:pPr>
        <w:rPr>
          <w:rFonts w:ascii="Verdana" w:hAnsi="Verdana"/>
          <w:lang w:val="es-ES"/>
        </w:rPr>
      </w:pPr>
    </w:p>
    <w:p w:rsidR="006A6821" w:rsidRPr="00025914" w:rsidRDefault="006A6821" w:rsidP="006A6821">
      <w:pPr>
        <w:rPr>
          <w:rFonts w:ascii="Verdana" w:hAnsi="Verdana"/>
          <w:lang w:val="es-ES"/>
        </w:rPr>
      </w:pPr>
    </w:p>
    <w:p w:rsidR="006A6821" w:rsidRPr="00025914" w:rsidRDefault="006A6821" w:rsidP="006A6821">
      <w:pPr>
        <w:rPr>
          <w:rFonts w:ascii="Verdana" w:hAnsi="Verdana"/>
          <w:lang w:val="es-ES"/>
        </w:rPr>
      </w:pPr>
    </w:p>
    <w:p w:rsidR="00F66131" w:rsidRPr="006A6821" w:rsidRDefault="00F66131" w:rsidP="006A6821">
      <w:pPr>
        <w:rPr>
          <w:lang w:val="es-ES"/>
        </w:rPr>
      </w:pPr>
    </w:p>
    <w:sectPr w:rsidR="00F66131" w:rsidRPr="006A6821" w:rsidSect="00A211EE">
      <w:headerReference w:type="default" r:id="rId13"/>
      <w:footerReference w:type="default" r:id="rId14"/>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2B78" w:rsidRDefault="009F2B78" w:rsidP="00F22533">
      <w:pPr>
        <w:spacing w:after="0" w:line="240" w:lineRule="auto"/>
      </w:pPr>
      <w:r>
        <w:separator/>
      </w:r>
    </w:p>
  </w:endnote>
  <w:endnote w:type="continuationSeparator" w:id="0">
    <w:p w:rsidR="009F2B78" w:rsidRDefault="009F2B78" w:rsidP="00F22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6131" w:rsidRDefault="00F66131" w:rsidP="00A211EE">
    <w:pPr>
      <w:spacing w:after="0"/>
      <w:rPr>
        <w:rFonts w:ascii="Verdana" w:hAnsi="Verdana"/>
        <w:b/>
        <w:bCs/>
        <w:sz w:val="20"/>
        <w:szCs w:val="20"/>
      </w:rPr>
    </w:pPr>
  </w:p>
  <w:p w:rsidR="00F66131" w:rsidRPr="00174B77" w:rsidRDefault="00000000"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F66131" w:rsidRDefault="00000000" w:rsidP="00A211EE">
    <w:pPr>
      <w:spacing w:after="0"/>
      <w:jc w:val="both"/>
      <w:rPr>
        <w:rFonts w:ascii="Verdana" w:hAnsi="Verdana"/>
        <w:sz w:val="18"/>
        <w:szCs w:val="18"/>
      </w:rPr>
    </w:pPr>
    <w:r w:rsidRPr="00E41027">
      <w:rPr>
        <w:rFonts w:ascii="Verdana" w:hAnsi="Verdana"/>
        <w:sz w:val="18"/>
        <w:szCs w:val="18"/>
      </w:rPr>
      <w:t>Dirección: Carrera 7 # 26 – 20 - Bogotá, Colombia</w:t>
    </w:r>
  </w:p>
  <w:p w:rsidR="00F66131" w:rsidRPr="00E41027" w:rsidRDefault="00000000" w:rsidP="00A211EE">
    <w:pPr>
      <w:spacing w:after="0"/>
      <w:jc w:val="both"/>
      <w:rPr>
        <w:rFonts w:ascii="Verdana" w:hAnsi="Verdana"/>
        <w:sz w:val="18"/>
        <w:szCs w:val="18"/>
      </w:rPr>
    </w:pPr>
    <w:r w:rsidRPr="00E41027">
      <w:rPr>
        <w:rFonts w:ascii="Verdana" w:hAnsi="Verdana"/>
        <w:sz w:val="18"/>
        <w:szCs w:val="18"/>
      </w:rPr>
      <w:t>Mesa de servicio: (+57) 601 7456788</w:t>
    </w:r>
  </w:p>
  <w:p w:rsidR="00F66131" w:rsidRPr="00A211EE" w:rsidRDefault="00000000"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rsidR="00F66131" w:rsidRDefault="00F66131"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2B78" w:rsidRDefault="009F2B78" w:rsidP="00F22533">
      <w:pPr>
        <w:spacing w:after="0" w:line="240" w:lineRule="auto"/>
      </w:pPr>
      <w:r>
        <w:separator/>
      </w:r>
    </w:p>
  </w:footnote>
  <w:footnote w:type="continuationSeparator" w:id="0">
    <w:p w:rsidR="009F2B78" w:rsidRDefault="009F2B78" w:rsidP="00F22533">
      <w:pPr>
        <w:spacing w:after="0" w:line="240" w:lineRule="auto"/>
      </w:pPr>
      <w:r>
        <w:continuationSeparator/>
      </w:r>
    </w:p>
  </w:footnote>
  <w:footnote w:id="1">
    <w:p w:rsidR="006A6821" w:rsidRPr="00025914" w:rsidRDefault="006A6821" w:rsidP="006A6821">
      <w:pPr>
        <w:pStyle w:val="Textonotapie"/>
        <w:ind w:firstLine="708"/>
        <w:jc w:val="both"/>
        <w:rPr>
          <w:rFonts w:ascii="Verdana" w:hAnsi="Verdana" w:cs="Arial"/>
          <w:sz w:val="16"/>
          <w:szCs w:val="16"/>
          <w:lang w:val="es-ES"/>
        </w:rPr>
      </w:pPr>
      <w:r w:rsidRPr="00025914">
        <w:rPr>
          <w:rStyle w:val="Refdenotaalpie"/>
          <w:rFonts w:ascii="Verdana" w:hAnsi="Verdana" w:cs="Arial"/>
          <w:sz w:val="16"/>
          <w:szCs w:val="16"/>
        </w:rPr>
        <w:footnoteRef/>
      </w:r>
      <w:r w:rsidRPr="00025914">
        <w:rPr>
          <w:rFonts w:ascii="Verdana" w:hAnsi="Verdana" w:cs="Arial"/>
          <w:sz w:val="16"/>
          <w:szCs w:val="16"/>
        </w:rPr>
        <w:t xml:space="preserve"> Consejo de Estado, Sala de Consulta y Servicio Civil. Concepto del 20 de mayo de 2010. Expediente. C.P. Enrique José Arboleda Perdomo.</w:t>
      </w:r>
    </w:p>
  </w:footnote>
  <w:footnote w:id="2">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Corte Constitucional. Sentencia C 178 de 1996. M. P. Antonio Barrera Carbonell.</w:t>
      </w:r>
      <w:r w:rsidRPr="00025914">
        <w:rPr>
          <w:rFonts w:ascii="Verdana" w:hAnsi="Verdana" w:cs="Arial"/>
          <w:color w:val="000000" w:themeColor="text1"/>
          <w:sz w:val="16"/>
          <w:szCs w:val="16"/>
        </w:rPr>
        <w:t xml:space="preserve"> </w:t>
      </w:r>
    </w:p>
    <w:p w:rsidR="006A6821" w:rsidRPr="00025914" w:rsidRDefault="006A6821" w:rsidP="006A6821">
      <w:pPr>
        <w:pStyle w:val="Textonotapie"/>
        <w:ind w:firstLine="708"/>
        <w:jc w:val="both"/>
        <w:rPr>
          <w:rFonts w:ascii="Verdana" w:hAnsi="Verdana" w:cs="Arial"/>
          <w:color w:val="000000" w:themeColor="text1"/>
          <w:sz w:val="16"/>
          <w:szCs w:val="16"/>
          <w:lang w:val="es-CO"/>
        </w:rPr>
      </w:pPr>
    </w:p>
  </w:footnote>
  <w:footnote w:id="3">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 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Cfr. Corte Constitucional. Sentencia C-353 de 2019. M.P. Jorge Iván Palacio Palacio.</w:t>
      </w:r>
    </w:p>
    <w:p w:rsidR="006A6821" w:rsidRPr="00025914" w:rsidRDefault="006A6821" w:rsidP="006A6821">
      <w:pPr>
        <w:pStyle w:val="Textonotapie"/>
        <w:ind w:firstLine="708"/>
        <w:jc w:val="both"/>
        <w:rPr>
          <w:rFonts w:ascii="Verdana" w:hAnsi="Verdana" w:cs="Arial"/>
          <w:color w:val="000000" w:themeColor="text1"/>
          <w:sz w:val="16"/>
          <w:szCs w:val="16"/>
          <w:lang w:val="es-ES"/>
        </w:rPr>
      </w:pPr>
    </w:p>
  </w:footnote>
  <w:footnote w:id="4">
    <w:p w:rsidR="006A6821" w:rsidRPr="00025914" w:rsidRDefault="006A6821" w:rsidP="006A6821">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«Artículo 6o. De la capacidad para contratar. Pueden celebrar contratos con las entidades estatales las personas consideradas legalmente capaces en las disposiciones vigentes».</w:t>
      </w:r>
    </w:p>
    <w:p w:rsidR="006A6821" w:rsidRPr="00025914" w:rsidRDefault="006A6821" w:rsidP="006A6821">
      <w:pPr>
        <w:pStyle w:val="Textonotapie"/>
        <w:ind w:firstLine="708"/>
        <w:jc w:val="both"/>
        <w:rPr>
          <w:rFonts w:ascii="Verdana" w:hAnsi="Verdana" w:cs="Arial"/>
          <w:color w:val="000000" w:themeColor="text1"/>
          <w:sz w:val="16"/>
          <w:szCs w:val="16"/>
          <w:lang w:val="es-CO"/>
        </w:rPr>
      </w:pPr>
    </w:p>
  </w:footnote>
  <w:footnote w:id="5">
    <w:p w:rsidR="006A6821" w:rsidRPr="00025914" w:rsidRDefault="006A6821" w:rsidP="006A6821">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 xml:space="preserve">Consejo de Estado. Sala de Consulta y Servicio Civil. Concepto del 10 de agosto de 2015. Expediente: 11001-03-06-000-2015-00118-00 (2.260). C. P. Álvaro Namén Vargas. </w:t>
      </w:r>
    </w:p>
    <w:p w:rsidR="006A6821" w:rsidRPr="00025914" w:rsidRDefault="006A6821" w:rsidP="006A6821">
      <w:pPr>
        <w:pStyle w:val="Textonotapie"/>
        <w:ind w:firstLine="708"/>
        <w:jc w:val="both"/>
        <w:rPr>
          <w:rFonts w:ascii="Verdana" w:hAnsi="Verdana" w:cs="Arial"/>
          <w:color w:val="000000" w:themeColor="text1"/>
          <w:sz w:val="16"/>
          <w:szCs w:val="16"/>
          <w:lang w:val="es-CO"/>
        </w:rPr>
      </w:pPr>
    </w:p>
  </w:footnote>
  <w:footnote w:id="6">
    <w:p w:rsidR="006A6821" w:rsidRPr="00025914" w:rsidRDefault="006A6821" w:rsidP="006A6821">
      <w:pPr>
        <w:pStyle w:val="Textonotapie"/>
        <w:ind w:firstLine="708"/>
        <w:jc w:val="both"/>
        <w:rPr>
          <w:rFonts w:ascii="Verdana" w:eastAsia="Calibri"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eastAsia="Calibri" w:hAnsi="Verdana" w:cs="Arial"/>
          <w:color w:val="000000" w:themeColor="text1"/>
          <w:sz w:val="16"/>
          <w:szCs w:val="16"/>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rsidR="006A6821" w:rsidRPr="00025914" w:rsidRDefault="006A6821" w:rsidP="006A6821">
      <w:pPr>
        <w:pStyle w:val="Textonotapie"/>
        <w:tabs>
          <w:tab w:val="left" w:pos="1892"/>
        </w:tabs>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ab/>
      </w:r>
    </w:p>
    <w:p w:rsidR="006A6821" w:rsidRPr="00025914" w:rsidRDefault="006A6821" w:rsidP="006A6821">
      <w:pPr>
        <w:pStyle w:val="Textonotapie"/>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rsidR="006A6821" w:rsidRPr="00025914" w:rsidRDefault="006A6821" w:rsidP="006A6821">
      <w:pPr>
        <w:pStyle w:val="Textonotapie"/>
        <w:ind w:firstLine="708"/>
        <w:jc w:val="both"/>
        <w:rPr>
          <w:rFonts w:ascii="Verdana" w:eastAsia="Calibri" w:hAnsi="Verdana" w:cs="Arial"/>
          <w:color w:val="000000" w:themeColor="text1"/>
          <w:sz w:val="16"/>
          <w:szCs w:val="16"/>
        </w:rPr>
      </w:pPr>
      <w:r w:rsidRPr="00025914">
        <w:rPr>
          <w:rFonts w:ascii="Verdana" w:eastAsia="Calibri" w:hAnsi="Verdana" w:cs="Arial"/>
          <w:color w:val="000000" w:themeColor="text1"/>
          <w:sz w:val="16"/>
          <w:szCs w:val="16"/>
        </w:rPr>
        <w:t xml:space="preserve"> </w:t>
      </w:r>
    </w:p>
  </w:footnote>
  <w:footnote w:id="7">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8">
    <w:p w:rsidR="006A6821" w:rsidRPr="00025914" w:rsidRDefault="006A6821" w:rsidP="006A6821">
      <w:pPr>
        <w:pStyle w:val="Textonotapie"/>
        <w:ind w:firstLine="708"/>
        <w:jc w:val="both"/>
        <w:rPr>
          <w:rFonts w:ascii="Verdana" w:hAnsi="Verdana" w:cs="Arial"/>
          <w:color w:val="000000" w:themeColor="text1"/>
          <w:sz w:val="16"/>
          <w:szCs w:val="16"/>
        </w:rPr>
      </w:pPr>
    </w:p>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Decreto 1082 de 2015: «Artículo 2.2.1.1.1.5.3. Requisitos habilitantes contenidos en el RUP. Las cámaras de comercio, con base en la información a la que hace referencia el artículo anterior, deben verificar y certificar los siguientes requisitos habilitantes:</w:t>
      </w:r>
    </w:p>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9">
    <w:p w:rsidR="006A6821" w:rsidRPr="00025914" w:rsidRDefault="006A6821" w:rsidP="006A6821">
      <w:pPr>
        <w:pStyle w:val="Textonotapie"/>
        <w:ind w:firstLine="708"/>
        <w:jc w:val="both"/>
        <w:rPr>
          <w:rFonts w:ascii="Verdana" w:hAnsi="Verdana" w:cs="Arial"/>
          <w:color w:val="000000" w:themeColor="text1"/>
          <w:sz w:val="16"/>
          <w:szCs w:val="16"/>
        </w:rPr>
      </w:pPr>
    </w:p>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Fonts w:ascii="Verdana" w:hAnsi="Verdana" w:cs="Arial"/>
          <w:color w:val="000000" w:themeColor="text1"/>
          <w:sz w:val="16"/>
          <w:szCs w:val="16"/>
        </w:rPr>
        <w:t>[...]</w:t>
      </w:r>
    </w:p>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Fonts w:ascii="Verdana" w:hAnsi="Verdana" w:cs="Arial"/>
          <w:color w:val="000000" w:themeColor="text1"/>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0">
    <w:p w:rsidR="006A6821" w:rsidRPr="00025914" w:rsidRDefault="006A6821" w:rsidP="006A6821">
      <w:pPr>
        <w:pStyle w:val="Textonotapie"/>
        <w:ind w:firstLine="708"/>
        <w:jc w:val="both"/>
        <w:rPr>
          <w:rFonts w:ascii="Verdana" w:hAnsi="Verdana" w:cs="Arial"/>
          <w:color w:val="000000" w:themeColor="text1"/>
          <w:sz w:val="16"/>
          <w:szCs w:val="16"/>
        </w:rPr>
      </w:pPr>
    </w:p>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006A6821" w:rsidRPr="00025914" w:rsidRDefault="006A6821" w:rsidP="006A6821">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    Si es una persona natural:</w:t>
      </w:r>
    </w:p>
    <w:p w:rsidR="006A6821" w:rsidRPr="00025914" w:rsidRDefault="006A6821" w:rsidP="006A6821">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»1.1. Bienes, obras y servicios que ofrecerá a las Entidades Estatales, identificados con el Clasificador de Bienes y Servicios en el tercer nivel.</w:t>
      </w:r>
    </w:p>
    <w:p w:rsidR="006A6821" w:rsidRPr="00025914" w:rsidRDefault="006A6821" w:rsidP="006A6821">
      <w:pPr>
        <w:pStyle w:val="Textonotapie"/>
        <w:ind w:firstLine="709"/>
        <w:jc w:val="both"/>
        <w:rPr>
          <w:rFonts w:ascii="Verdana" w:hAnsi="Verdana" w:cs="Arial"/>
          <w:color w:val="000000" w:themeColor="text1"/>
          <w:sz w:val="16"/>
          <w:szCs w:val="16"/>
        </w:rPr>
      </w:pPr>
      <w:r w:rsidRPr="00025914">
        <w:rPr>
          <w:rFonts w:ascii="Verdana" w:hAnsi="Verdana" w:cs="Arial"/>
          <w:color w:val="000000" w:themeColor="text1"/>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006A6821" w:rsidRPr="00025914" w:rsidRDefault="006A6821" w:rsidP="006A6821">
      <w:pPr>
        <w:pStyle w:val="Textonotapie"/>
        <w:jc w:val="both"/>
        <w:rPr>
          <w:rFonts w:ascii="Verdana" w:hAnsi="Verdana" w:cs="Arial"/>
          <w:color w:val="000000" w:themeColor="text1"/>
          <w:sz w:val="16"/>
          <w:szCs w:val="16"/>
        </w:rPr>
      </w:pPr>
    </w:p>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Fonts w:ascii="Verdana" w:hAnsi="Verdana" w:cs="Arial"/>
          <w:color w:val="000000" w:themeColor="text1"/>
          <w:sz w:val="16"/>
          <w:szCs w:val="16"/>
        </w:rPr>
        <w:t xml:space="preserve"> </w:t>
      </w:r>
    </w:p>
  </w:footnote>
  <w:footnote w:id="11">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2">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Cfr. Consejo de Estado. Sección Tercera. Providencias del 11 de diciembre de 2002, dictada dentro del expediente AG-1683, y del 18 de octubre de 2001, proferida dentro del plenario AG-021.</w:t>
      </w:r>
    </w:p>
    <w:p w:rsidR="006A6821" w:rsidRPr="00025914" w:rsidRDefault="006A6821" w:rsidP="006A6821">
      <w:pPr>
        <w:pStyle w:val="Textonotapie"/>
        <w:ind w:firstLine="708"/>
        <w:jc w:val="both"/>
        <w:rPr>
          <w:rFonts w:ascii="Verdana" w:hAnsi="Verdana" w:cs="Arial"/>
          <w:color w:val="000000" w:themeColor="text1"/>
          <w:sz w:val="16"/>
          <w:szCs w:val="16"/>
          <w:lang w:val="es-ES"/>
        </w:rPr>
      </w:pPr>
    </w:p>
  </w:footnote>
  <w:footnote w:id="13">
    <w:p w:rsidR="006A6821" w:rsidRPr="00025914" w:rsidRDefault="006A6821" w:rsidP="006A6821">
      <w:pPr>
        <w:pStyle w:val="Textonotapie"/>
        <w:ind w:firstLine="708"/>
        <w:jc w:val="both"/>
        <w:rPr>
          <w:rFonts w:ascii="Verdana" w:hAnsi="Verdana" w:cs="Arial"/>
          <w:color w:val="000000" w:themeColor="text1"/>
          <w:sz w:val="16"/>
          <w:szCs w:val="16"/>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Cfr. Corte Constitucional. Sentencia C-569 de 2004. M.P. Rodrigo Uprimny Yepes.</w:t>
      </w:r>
    </w:p>
    <w:p w:rsidR="006A6821" w:rsidRPr="00025914" w:rsidRDefault="006A6821" w:rsidP="006A6821">
      <w:pPr>
        <w:pStyle w:val="Textonotapie"/>
        <w:ind w:firstLine="708"/>
        <w:jc w:val="both"/>
        <w:rPr>
          <w:rFonts w:ascii="Verdana" w:hAnsi="Verdana" w:cs="Arial"/>
          <w:color w:val="000000" w:themeColor="text1"/>
          <w:sz w:val="16"/>
          <w:szCs w:val="16"/>
          <w:lang w:val="es-ES"/>
        </w:rPr>
      </w:pPr>
    </w:p>
  </w:footnote>
  <w:footnote w:id="14">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 xml:space="preserve">Gaceta 096 de 2007. Pág. 9. Allí se lee: «Parágrafo 2°. Nuevo. Se adiciona un parágrafo nuevo para </w:t>
      </w:r>
      <w:r w:rsidRPr="00025914">
        <w:rPr>
          <w:rFonts w:ascii="Verdana" w:hAnsi="Verdana" w:cs="Arial"/>
          <w:i/>
          <w:iCs/>
          <w:color w:val="000000" w:themeColor="text1"/>
          <w:sz w:val="16"/>
          <w:szCs w:val="16"/>
        </w:rPr>
        <w:t>establecer de manera concreta</w:t>
      </w:r>
      <w:r w:rsidRPr="00025914">
        <w:rPr>
          <w:rFonts w:ascii="Verdana" w:hAnsi="Verdana" w:cs="Arial"/>
          <w:color w:val="000000" w:themeColor="text1"/>
          <w:sz w:val="16"/>
          <w:szCs w:val="16"/>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5">
    <w:p w:rsidR="006A6821" w:rsidRPr="00025914" w:rsidRDefault="006A6821" w:rsidP="006A6821">
      <w:pPr>
        <w:pStyle w:val="Textonotapie"/>
        <w:ind w:firstLine="708"/>
        <w:jc w:val="both"/>
        <w:rPr>
          <w:rFonts w:ascii="Verdana" w:hAnsi="Verdana" w:cs="Arial"/>
          <w:color w:val="000000" w:themeColor="text1"/>
          <w:sz w:val="16"/>
          <w:szCs w:val="16"/>
          <w:lang w:val="es-ES"/>
        </w:rPr>
      </w:pPr>
      <w:r w:rsidRPr="00025914">
        <w:rPr>
          <w:rStyle w:val="Refdenotaalpie"/>
          <w:rFonts w:ascii="Verdana" w:hAnsi="Verdana" w:cs="Arial"/>
          <w:color w:val="000000" w:themeColor="text1"/>
          <w:sz w:val="16"/>
          <w:szCs w:val="16"/>
        </w:rPr>
        <w:footnoteRef/>
      </w:r>
      <w:r w:rsidRPr="00025914">
        <w:rPr>
          <w:rFonts w:ascii="Verdana" w:hAnsi="Verdana" w:cs="Arial"/>
          <w:color w:val="000000" w:themeColor="text1"/>
          <w:sz w:val="16"/>
          <w:szCs w:val="16"/>
        </w:rPr>
        <w:t xml:space="preserve"> </w:t>
      </w:r>
      <w:r w:rsidRPr="00025914">
        <w:rPr>
          <w:rFonts w:ascii="Verdana" w:hAnsi="Verdana" w:cs="Arial"/>
          <w:color w:val="000000" w:themeColor="text1"/>
          <w:sz w:val="16"/>
          <w:szCs w:val="16"/>
        </w:rPr>
        <w:t>En el concepto C-071 del 4 de marzo de 2020 –radicado No. 2202013000001597–, esta Subdirección consideró: «[…] es necesario distinguir si la persona jurídica suscribió contratos de trabajo o de prestación de servicios para cumplir con el objeto para el cual fue contratada, pues, si es lo primero, le corresponde asumir una parte de los aportes como empleador; pero, si es lo segundo, no le asiste dicho deber. Lo procedente, pues, es que demuestre el pago de los aportes de los empleados dependientes y verificar el pago de los aportes de las demás personas que contrató. A la entidad, por su parte, le corresponde vigilar que el contratista acredite dichos pagos, mediante certificación expedida por el revisor fiscal o el representante legal, dependiendo del caso, en cumplimiento de lo dispuesto en el artículo 23 de la Ley 1150 de 2007». En similar sentido ver, entre otros, conceptos C-118 y C-131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6131"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8548DCC" wp14:editId="4ED0A313">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50CF32F" wp14:editId="4CDA1F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F66131" w:rsidRDefault="00F66131" w:rsidP="00A211EE">
    <w:pPr>
      <w:pStyle w:val="Encabezado"/>
      <w:jc w:val="center"/>
    </w:pPr>
  </w:p>
  <w:p w:rsidR="00F66131" w:rsidRDefault="00F66131">
    <w:pPr>
      <w:pStyle w:val="Encabezado"/>
    </w:pPr>
  </w:p>
  <w:p w:rsidR="00F66131" w:rsidRDefault="00F66131" w:rsidP="00A211EE">
    <w:pPr>
      <w:spacing w:after="0"/>
      <w:rPr>
        <w:rFonts w:ascii="Verdana" w:hAnsi="Verdana"/>
        <w:b/>
        <w:bCs/>
        <w:sz w:val="24"/>
        <w:szCs w:val="24"/>
      </w:rPr>
    </w:pPr>
  </w:p>
  <w:p w:rsidR="00F66131" w:rsidRDefault="00000000" w:rsidP="00A211EE">
    <w:pPr>
      <w:spacing w:after="0"/>
      <w:rPr>
        <w:rFonts w:ascii="Verdana" w:hAnsi="Verdana"/>
        <w:b/>
        <w:bCs/>
        <w:sz w:val="24"/>
        <w:szCs w:val="24"/>
      </w:rPr>
    </w:pPr>
    <w:r w:rsidRPr="00A211EE">
      <w:rPr>
        <w:rFonts w:ascii="Verdana" w:hAnsi="Verdana"/>
        <w:b/>
        <w:bCs/>
        <w:sz w:val="24"/>
        <w:szCs w:val="24"/>
      </w:rPr>
      <w:t>FORMATO PQRSD</w:t>
    </w:r>
  </w:p>
  <w:p w:rsidR="00F66131" w:rsidRPr="00A211EE" w:rsidRDefault="00F66131"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33"/>
    <w:rsid w:val="0018635C"/>
    <w:rsid w:val="002005BE"/>
    <w:rsid w:val="00221D9E"/>
    <w:rsid w:val="002870A5"/>
    <w:rsid w:val="0043496D"/>
    <w:rsid w:val="004442B8"/>
    <w:rsid w:val="004A4AAA"/>
    <w:rsid w:val="006113E1"/>
    <w:rsid w:val="006A6821"/>
    <w:rsid w:val="007D3FBE"/>
    <w:rsid w:val="009F2B78"/>
    <w:rsid w:val="00B92F35"/>
    <w:rsid w:val="00C23DEE"/>
    <w:rsid w:val="00CD6603"/>
    <w:rsid w:val="00CE7EA4"/>
    <w:rsid w:val="00CF1407"/>
    <w:rsid w:val="00E000DC"/>
    <w:rsid w:val="00EF5E92"/>
    <w:rsid w:val="00F22533"/>
    <w:rsid w:val="00F66131"/>
    <w:rsid w:val="00F8527A"/>
    <w:rsid w:val="00FD70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4B985"/>
  <w15:chartTrackingRefBased/>
  <w15:docId w15:val="{5ABD1CB2-228D-8549-9A36-98AB89A97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533"/>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25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2533"/>
    <w:rPr>
      <w:kern w:val="0"/>
      <w:sz w:val="22"/>
      <w:szCs w:val="22"/>
      <w14:ligatures w14:val="none"/>
    </w:rPr>
  </w:style>
  <w:style w:type="paragraph" w:styleId="Piedepgina">
    <w:name w:val="footer"/>
    <w:basedOn w:val="Normal"/>
    <w:link w:val="PiedepginaCar"/>
    <w:uiPriority w:val="99"/>
    <w:unhideWhenUsed/>
    <w:rsid w:val="00F225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2533"/>
    <w:rPr>
      <w:kern w:val="0"/>
      <w:sz w:val="22"/>
      <w:szCs w:val="22"/>
      <w14:ligatures w14:val="none"/>
    </w:rPr>
  </w:style>
  <w:style w:type="paragraph" w:customStyle="1" w:styleId="Default">
    <w:name w:val="Default"/>
    <w:rsid w:val="00F22533"/>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2253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2253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2253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22533"/>
    <w:rPr>
      <w:vertAlign w:val="superscript"/>
    </w:rPr>
  </w:style>
  <w:style w:type="character" w:customStyle="1" w:styleId="normaltextrun">
    <w:name w:val="normaltextrun"/>
    <w:basedOn w:val="Fuentedeprrafopredeter"/>
    <w:rsid w:val="00F22533"/>
  </w:style>
  <w:style w:type="table" w:styleId="Tablaconcuadrcula">
    <w:name w:val="Table Grid"/>
    <w:basedOn w:val="Tablanormal"/>
    <w:uiPriority w:val="39"/>
    <w:qFormat/>
    <w:rsid w:val="00F2253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22533"/>
    <w:rPr>
      <w:color w:val="0000FF"/>
      <w:u w:val="single"/>
    </w:rPr>
  </w:style>
  <w:style w:type="paragraph" w:customStyle="1" w:styleId="Appelnotedebasde">
    <w:name w:val="Appel note de bas de..."/>
    <w:basedOn w:val="Normal"/>
    <w:link w:val="Refdenotaalpie"/>
    <w:uiPriority w:val="99"/>
    <w:rsid w:val="00F22533"/>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22533"/>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22533"/>
    <w:rPr>
      <w:kern w:val="0"/>
      <w:sz w:val="22"/>
      <w:szCs w:val="22"/>
      <w14:ligatures w14:val="none"/>
    </w:rPr>
  </w:style>
  <w:style w:type="character" w:styleId="nfasis">
    <w:name w:val="Emphasis"/>
    <w:basedOn w:val="Fuentedeprrafopredeter"/>
    <w:uiPriority w:val="20"/>
    <w:qFormat/>
    <w:rsid w:val="00F22533"/>
    <w:rPr>
      <w:i/>
      <w:iCs/>
    </w:rPr>
  </w:style>
  <w:style w:type="character" w:styleId="Mencinsinresolver">
    <w:name w:val="Unresolved Mention"/>
    <w:basedOn w:val="Fuentedeprrafopredeter"/>
    <w:uiPriority w:val="99"/>
    <w:semiHidden/>
    <w:unhideWhenUsed/>
    <w:rsid w:val="00F22533"/>
    <w:rPr>
      <w:color w:val="605E5C"/>
      <w:shd w:val="clear" w:color="auto" w:fill="E1DFDD"/>
    </w:rPr>
  </w:style>
  <w:style w:type="paragraph" w:customStyle="1" w:styleId="paragraph">
    <w:name w:val="paragraph"/>
    <w:basedOn w:val="Normal"/>
    <w:rsid w:val="00FD70E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D70E4"/>
  </w:style>
  <w:style w:type="character" w:customStyle="1" w:styleId="spellingerror">
    <w:name w:val="spellingerror"/>
    <w:basedOn w:val="Fuentedeprrafopredeter"/>
    <w:rsid w:val="00FD7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nandoiglesias@gmail.co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providencias-consejo-de-estad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normativa/decreto-1082-de-2015/"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relatoria.colombiacompra.gov.co/normativa/ley-1150-de-2007/"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53DB83-F804-438C-902F-0A61267470A3}"/>
</file>

<file path=customXml/itemProps2.xml><?xml version="1.0" encoding="utf-8"?>
<ds:datastoreItem xmlns:ds="http://schemas.openxmlformats.org/officeDocument/2006/customXml" ds:itemID="{CCAFC7DA-42DB-4AEC-A0B5-08A59A19F076}"/>
</file>

<file path=customXml/itemProps3.xml><?xml version="1.0" encoding="utf-8"?>
<ds:datastoreItem xmlns:ds="http://schemas.openxmlformats.org/officeDocument/2006/customXml" ds:itemID="{00F2FC7C-C3CB-45A0-864F-C4EE4F5BAB56}"/>
</file>

<file path=docProps/app.xml><?xml version="1.0" encoding="utf-8"?>
<Properties xmlns="http://schemas.openxmlformats.org/officeDocument/2006/extended-properties" xmlns:vt="http://schemas.openxmlformats.org/officeDocument/2006/docPropsVTypes">
  <Template>Normal.dotm</Template>
  <TotalTime>3</TotalTime>
  <Pages>20</Pages>
  <Words>6073</Words>
  <Characters>33407</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Jhonattan Gualdron Salazar</cp:lastModifiedBy>
  <cp:revision>4</cp:revision>
  <dcterms:created xsi:type="dcterms:W3CDTF">2024-08-04T12:52:00Z</dcterms:created>
  <dcterms:modified xsi:type="dcterms:W3CDTF">2024-08-20T19:38:00Z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