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718D0" w14:textId="77777777" w:rsidR="00E32C58" w:rsidRDefault="00E32C58" w:rsidP="007D5768">
      <w:pPr>
        <w:spacing w:after="0"/>
        <w:rPr>
          <w:rFonts w:ascii="Verdana" w:hAnsi="Verdana"/>
        </w:rPr>
      </w:pPr>
      <w:bookmarkStart w:id="0" w:name="_Hlk181166130"/>
      <w:bookmarkStart w:id="1" w:name="_Hlk143780582"/>
    </w:p>
    <w:p w14:paraId="25D0EF2D" w14:textId="36AAED50" w:rsidR="00A67539" w:rsidRPr="00AF1555" w:rsidRDefault="00A67539" w:rsidP="00A67539">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PLANEACIÓN CONTRACTUAL</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 xml:space="preserve">Manifestaciones – Análisis del sector </w:t>
      </w:r>
    </w:p>
    <w:p w14:paraId="5B745EAC" w14:textId="77777777" w:rsidR="00A67539" w:rsidRPr="00AF1555" w:rsidRDefault="00A67539" w:rsidP="00A67539">
      <w:pPr>
        <w:spacing w:after="0" w:line="240" w:lineRule="auto"/>
        <w:jc w:val="both"/>
        <w:rPr>
          <w:rFonts w:ascii="Verdana" w:eastAsia="Calibri" w:hAnsi="Verdana" w:cs="Arial"/>
          <w:bCs/>
          <w:color w:val="000000" w:themeColor="text1"/>
          <w:sz w:val="20"/>
          <w:szCs w:val="20"/>
          <w:lang w:val="es-ES"/>
        </w:rPr>
      </w:pPr>
    </w:p>
    <w:p w14:paraId="1A60D7B6" w14:textId="77777777" w:rsidR="00A67539" w:rsidRDefault="00A67539" w:rsidP="00A67539">
      <w:pPr>
        <w:spacing w:after="0" w:line="240" w:lineRule="auto"/>
        <w:jc w:val="both"/>
        <w:rPr>
          <w:rFonts w:ascii="Verdana" w:eastAsia="Calibri" w:hAnsi="Verdana" w:cs="Arial"/>
          <w:bCs/>
          <w:color w:val="000000" w:themeColor="text1"/>
          <w:sz w:val="20"/>
          <w:szCs w:val="20"/>
          <w:lang w:eastAsia="es-ES_tradnl"/>
        </w:rPr>
      </w:pPr>
      <w:r w:rsidRPr="007478FA">
        <w:rPr>
          <w:rFonts w:ascii="Verdana" w:eastAsia="Calibri" w:hAnsi="Verdana" w:cs="Arial"/>
          <w:bCs/>
          <w:color w:val="000000" w:themeColor="text1"/>
          <w:sz w:val="20"/>
          <w:szCs w:val="20"/>
          <w:lang w:eastAsia="es-ES_tradnl"/>
        </w:rPr>
        <w:t>La planeación contractual es una herramienta de gerencia pública que exige estructurar el proceso contractual dedicando tiempo y esfuerzo para elaborar estudios previos y análisis de sector económico, con el fin de determinar la necesidad que pretende satisfacer y cuál es la mejor manera de hacerlo,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p>
    <w:p w14:paraId="104011D3" w14:textId="77777777" w:rsidR="00A67539" w:rsidRPr="007478FA" w:rsidRDefault="00A67539" w:rsidP="00A67539">
      <w:pPr>
        <w:spacing w:after="0" w:line="240" w:lineRule="auto"/>
        <w:jc w:val="both"/>
        <w:rPr>
          <w:rFonts w:ascii="Verdana" w:eastAsia="Calibri" w:hAnsi="Verdana" w:cs="Arial"/>
          <w:bCs/>
          <w:color w:val="000000" w:themeColor="text1"/>
          <w:sz w:val="20"/>
          <w:szCs w:val="20"/>
          <w:lang w:eastAsia="es-ES_tradnl"/>
        </w:rPr>
      </w:pPr>
    </w:p>
    <w:p w14:paraId="04F881AE" w14:textId="77777777" w:rsidR="00A67539" w:rsidRPr="00EB0B5F" w:rsidRDefault="00A67539" w:rsidP="00A67539">
      <w:pPr>
        <w:spacing w:after="0" w:line="240" w:lineRule="auto"/>
        <w:jc w:val="both"/>
        <w:rPr>
          <w:rFonts w:ascii="Verdana" w:eastAsia="Calibri" w:hAnsi="Verdana" w:cs="Arial"/>
          <w:iCs/>
          <w:color w:val="000000" w:themeColor="text1"/>
          <w:sz w:val="20"/>
          <w:szCs w:val="20"/>
          <w:lang w:eastAsia="es-ES_tradnl"/>
        </w:rPr>
      </w:pPr>
      <w:r w:rsidRPr="007478FA">
        <w:rPr>
          <w:rFonts w:ascii="Verdana" w:eastAsia="Calibri" w:hAnsi="Verdana" w:cs="Arial"/>
          <w:bCs/>
          <w:color w:val="000000" w:themeColor="text1"/>
          <w:sz w:val="20"/>
          <w:szCs w:val="20"/>
          <w:lang w:eastAsia="es-ES_tradnl"/>
        </w:rPr>
        <w:t>El Estatuto General de Contratación de la Administración Pública contiene disposiciones que demandan de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este contexto, el contenido de los estudios previos y del análisis del sector se encuentran regulados en los artículos 2.2.1.1.1.6.1 y 2.2.1.1.2.1.1 del Decreto 1082 de 2015.</w:t>
      </w:r>
    </w:p>
    <w:p w14:paraId="3F291329" w14:textId="12C766DC" w:rsidR="00A67539" w:rsidRDefault="00A67539" w:rsidP="00E32C58">
      <w:pPr>
        <w:spacing w:after="0"/>
        <w:jc w:val="both"/>
        <w:rPr>
          <w:rFonts w:ascii="Verdana" w:eastAsia="Calibri" w:hAnsi="Verdana" w:cs="Arial"/>
          <w:b/>
          <w:bCs/>
          <w:lang w:val="es-MX" w:eastAsia="es-ES" w:bidi="es-ES"/>
        </w:rPr>
      </w:pPr>
    </w:p>
    <w:p w14:paraId="4EE9E5FA" w14:textId="2B10D0DA" w:rsidR="00E32C58" w:rsidRPr="00082852" w:rsidRDefault="00E32C58" w:rsidP="00E32C58">
      <w:pPr>
        <w:spacing w:after="0"/>
        <w:jc w:val="both"/>
        <w:rPr>
          <w:rFonts w:ascii="Verdana" w:hAnsi="Verdana"/>
        </w:rPr>
      </w:pPr>
      <w:r w:rsidRPr="00082852">
        <w:rPr>
          <w:rFonts w:ascii="Verdana" w:eastAsia="Calibri" w:hAnsi="Verdana" w:cs="Arial"/>
          <w:b/>
          <w:bCs/>
          <w:lang w:val="es-MX" w:eastAsia="es-ES" w:bidi="es-ES"/>
        </w:rPr>
        <w:t xml:space="preserve">REQUISITOS HABILITANTES – Capacidad financiera – Autonomía de la entidad </w:t>
      </w:r>
    </w:p>
    <w:p w14:paraId="7E2898CF" w14:textId="77777777" w:rsidR="00E32C58" w:rsidRPr="00676EFC" w:rsidRDefault="00E32C58" w:rsidP="00E32C58">
      <w:pPr>
        <w:spacing w:after="0" w:line="240" w:lineRule="auto"/>
        <w:jc w:val="both"/>
        <w:rPr>
          <w:rFonts w:ascii="Verdana" w:eastAsia="Calibri" w:hAnsi="Verdana" w:cs="Arial"/>
          <w:bCs/>
          <w:lang w:val="es-ES_tradnl" w:eastAsia="es-ES" w:bidi="es-ES"/>
        </w:rPr>
      </w:pPr>
    </w:p>
    <w:p w14:paraId="767B3A1A" w14:textId="77777777" w:rsidR="00E32C58" w:rsidRPr="00676EFC" w:rsidRDefault="00E32C58" w:rsidP="00E32C58">
      <w:pPr>
        <w:spacing w:after="0" w:line="240" w:lineRule="auto"/>
        <w:jc w:val="both"/>
        <w:rPr>
          <w:rFonts w:ascii="Verdana" w:eastAsia="Calibri" w:hAnsi="Verdana" w:cs="Arial"/>
          <w:bCs/>
          <w:sz w:val="20"/>
          <w:szCs w:val="20"/>
          <w:lang w:val="es-ES_tradnl" w:eastAsia="es-ES" w:bidi="es-ES"/>
        </w:rPr>
      </w:pPr>
      <w:r w:rsidRPr="00676EFC">
        <w:rPr>
          <w:rFonts w:ascii="Verdana" w:eastAsia="Calibri" w:hAnsi="Verdana" w:cs="Arial"/>
          <w:bCs/>
          <w:sz w:val="20"/>
          <w:szCs w:val="20"/>
          <w:lang w:val="es-ES_tradnl" w:eastAsia="es-ES" w:bidi="es-ES"/>
        </w:rPr>
        <w:t xml:space="preserve">Los </w:t>
      </w:r>
      <w:r w:rsidRPr="00676EFC">
        <w:rPr>
          <w:rFonts w:ascii="Verdana" w:eastAsia="Calibri" w:hAnsi="Verdana" w:cs="Arial"/>
          <w:bCs/>
          <w:i/>
          <w:iCs/>
          <w:sz w:val="20"/>
          <w:szCs w:val="20"/>
          <w:lang w:val="es-ES_tradnl" w:eastAsia="es-ES" w:bidi="es-ES"/>
        </w:rPr>
        <w:t>requisitos habilitantes</w:t>
      </w:r>
      <w:r w:rsidRPr="00676EFC">
        <w:rPr>
          <w:rFonts w:ascii="Verdana" w:eastAsia="Calibri" w:hAnsi="Verdana" w:cs="Arial"/>
          <w:bCs/>
          <w:sz w:val="20"/>
          <w:szCs w:val="20"/>
          <w:lang w:val="es-ES_tradnl" w:eastAsia="es-ES" w:bidi="es-ES"/>
        </w:rPr>
        <w:t xml:space="preserve"> se definen como exigencias de participación en los procedimientos de selección, establecidos en disposiciones normativas, de carácter legal o reglamentario, o contenidas en el acto administrativo que regula las reglas de la convocatoria, es decir, en el pliego de condiciones o el documento equivalente a este. Se diferencian de los </w:t>
      </w:r>
      <w:r w:rsidRPr="00676EFC">
        <w:rPr>
          <w:rFonts w:ascii="Verdana" w:eastAsia="Calibri" w:hAnsi="Verdana" w:cs="Arial"/>
          <w:bCs/>
          <w:i/>
          <w:iCs/>
          <w:sz w:val="20"/>
          <w:szCs w:val="20"/>
          <w:lang w:val="es-ES_tradnl" w:eastAsia="es-ES" w:bidi="es-ES"/>
        </w:rPr>
        <w:t>criterios de evaluación</w:t>
      </w:r>
      <w:r w:rsidRPr="00676EFC">
        <w:rPr>
          <w:rFonts w:ascii="Verdana" w:eastAsia="Calibri" w:hAnsi="Verdana" w:cs="Arial"/>
          <w:bCs/>
          <w:sz w:val="20"/>
          <w:szCs w:val="20"/>
          <w:lang w:val="es-ES_tradnl" w:eastAsia="es-ES" w:bidi="es-ES"/>
        </w:rPr>
        <w:t xml:space="preserve"> –también conocidos como </w:t>
      </w:r>
      <w:r w:rsidRPr="00676EFC">
        <w:rPr>
          <w:rFonts w:ascii="Verdana" w:eastAsia="Calibri" w:hAnsi="Verdana" w:cs="Arial"/>
          <w:bCs/>
          <w:i/>
          <w:iCs/>
          <w:sz w:val="20"/>
          <w:szCs w:val="20"/>
          <w:lang w:val="es-ES_tradnl" w:eastAsia="es-ES" w:bidi="es-ES"/>
        </w:rPr>
        <w:t>criterios de calificación</w:t>
      </w:r>
      <w:r w:rsidRPr="00676EFC">
        <w:rPr>
          <w:rFonts w:ascii="Verdana" w:eastAsia="Calibri" w:hAnsi="Verdana" w:cs="Arial"/>
          <w:bCs/>
          <w:sz w:val="20"/>
          <w:szCs w:val="20"/>
          <w:lang w:val="es-ES_tradnl" w:eastAsia="es-ES" w:bidi="es-ES"/>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7070EFDA" w14:textId="77777777" w:rsidR="00E32C58" w:rsidRPr="00676EFC" w:rsidRDefault="00E32C58" w:rsidP="00E32C58">
      <w:pPr>
        <w:spacing w:after="0" w:line="240" w:lineRule="auto"/>
        <w:jc w:val="both"/>
        <w:rPr>
          <w:rFonts w:ascii="Verdana" w:eastAsia="Calibri" w:hAnsi="Verdana" w:cs="Arial"/>
          <w:bCs/>
          <w:lang w:val="es-ES_tradnl" w:eastAsia="es-ES" w:bidi="es-ES"/>
        </w:rPr>
      </w:pPr>
    </w:p>
    <w:p w14:paraId="37AE7A81" w14:textId="77777777" w:rsidR="00E32C58" w:rsidRPr="00082852" w:rsidRDefault="00E32C58" w:rsidP="00E32C58">
      <w:pPr>
        <w:spacing w:after="0" w:line="276" w:lineRule="auto"/>
        <w:jc w:val="both"/>
        <w:rPr>
          <w:rFonts w:ascii="Verdana" w:eastAsia="Calibri" w:hAnsi="Verdana" w:cs="Arial"/>
          <w:b/>
          <w:bCs/>
          <w:lang w:val="es-MX" w:eastAsia="es-ES" w:bidi="es-ES"/>
        </w:rPr>
      </w:pPr>
      <w:r w:rsidRPr="00082852">
        <w:rPr>
          <w:rFonts w:ascii="Verdana" w:eastAsia="Calibri" w:hAnsi="Verdana" w:cs="Arial"/>
          <w:b/>
          <w:bCs/>
          <w:lang w:val="es-MX" w:eastAsia="es-ES" w:bidi="es-ES"/>
        </w:rPr>
        <w:t>CAPACIDAD FINANCIERA – Análisis del sector</w:t>
      </w:r>
    </w:p>
    <w:p w14:paraId="3B9E6787" w14:textId="77777777" w:rsidR="00E32C58" w:rsidRPr="00676EFC" w:rsidRDefault="00E32C58" w:rsidP="00E32C58">
      <w:pPr>
        <w:spacing w:after="0" w:line="240" w:lineRule="auto"/>
        <w:jc w:val="both"/>
        <w:rPr>
          <w:rFonts w:ascii="Verdana" w:eastAsia="Calibri" w:hAnsi="Verdana" w:cs="Arial"/>
          <w:b/>
          <w:bCs/>
          <w:lang w:val="es-MX" w:eastAsia="es-ES" w:bidi="es-ES"/>
        </w:rPr>
      </w:pPr>
    </w:p>
    <w:p w14:paraId="46F67684" w14:textId="77777777" w:rsidR="00E32C58" w:rsidRPr="00676EFC" w:rsidRDefault="00E32C58" w:rsidP="00E32C58">
      <w:pPr>
        <w:spacing w:after="0" w:line="240" w:lineRule="auto"/>
        <w:jc w:val="both"/>
        <w:rPr>
          <w:rFonts w:ascii="Verdana" w:eastAsia="Calibri" w:hAnsi="Verdana" w:cs="Arial"/>
          <w:bCs/>
          <w:sz w:val="20"/>
          <w:szCs w:val="20"/>
          <w:lang w:val="es-MX" w:eastAsia="es-ES" w:bidi="es-ES"/>
        </w:rPr>
      </w:pPr>
      <w:r w:rsidRPr="00676EFC">
        <w:rPr>
          <w:rFonts w:ascii="Verdana" w:eastAsia="Calibri" w:hAnsi="Verdana" w:cs="Arial"/>
          <w:bCs/>
          <w:sz w:val="20"/>
          <w:szCs w:val="20"/>
          <w:lang w:val="es-MX" w:eastAsia="es-ES" w:bidi="es-ES"/>
        </w:rPr>
        <w:t xml:space="preserve">Ahora bien, dentro de los requisitos habilitantes se destaca la capacidad financiera, la cual se deriva del comportamiento contable de la empresa, su liquidez y endeudamiento, para determinar que sus recursos y solidez financiera le permita cumplir los compromisos que adquiera. Como explica esta Agencia en el </w:t>
      </w:r>
      <w:r w:rsidRPr="00676EFC">
        <w:rPr>
          <w:rFonts w:ascii="Verdana" w:eastAsia="Calibri" w:hAnsi="Verdana" w:cs="Arial"/>
          <w:bCs/>
          <w:i/>
          <w:iCs/>
          <w:sz w:val="20"/>
          <w:szCs w:val="20"/>
          <w:lang w:val="es-MX" w:eastAsia="es-ES" w:bidi="es-ES"/>
        </w:rPr>
        <w:t>Manual para determinar y verificar los requisitos habilitantes en los procesos de contratación</w:t>
      </w:r>
      <w:r w:rsidRPr="00676EFC">
        <w:rPr>
          <w:rFonts w:ascii="Verdana" w:eastAsia="Calibri" w:hAnsi="Verdana" w:cs="Arial"/>
          <w:bCs/>
          <w:sz w:val="20"/>
          <w:szCs w:val="20"/>
          <w:lang w:val="es-MX" w:eastAsia="es-ES" w:bidi="es-ES"/>
        </w:rPr>
        <w:t xml:space="preserve">: </w:t>
      </w:r>
      <w:r w:rsidRPr="00676EFC">
        <w:rPr>
          <w:rFonts w:ascii="Verdana" w:eastAsia="Calibri" w:hAnsi="Verdana" w:cs="Arial"/>
          <w:bCs/>
          <w:i/>
          <w:iCs/>
          <w:sz w:val="20"/>
          <w:szCs w:val="20"/>
          <w:lang w:val="es-MX" w:eastAsia="es-ES" w:bidi="es-ES"/>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676EFC">
        <w:rPr>
          <w:rFonts w:ascii="Verdana" w:eastAsia="Calibri" w:hAnsi="Verdana" w:cs="Arial"/>
          <w:bCs/>
          <w:i/>
          <w:iCs/>
          <w:sz w:val="20"/>
          <w:szCs w:val="20"/>
          <w:lang w:val="es-ES_tradnl" w:eastAsia="es-ES" w:bidi="es-ES"/>
        </w:rPr>
        <w:t>.</w:t>
      </w:r>
      <w:r w:rsidRPr="00676EFC">
        <w:rPr>
          <w:rFonts w:ascii="Verdana" w:eastAsia="Calibri" w:hAnsi="Verdana" w:cs="Arial"/>
          <w:bCs/>
          <w:sz w:val="20"/>
          <w:szCs w:val="20"/>
          <w:lang w:val="es-MX" w:eastAsia="es-ES" w:bidi="es-ES"/>
        </w:rPr>
        <w:t xml:space="preserve"> La Entidad Estatal, como responsable de la estructuración de su procedimiento de selección, es autónoma para determinar la capacidad financiera necesaria de acuerdo con el objeto contractual que se pretende satisfacer, no obstante, en atención a lo dispuesto en el artículo 2.2.1.1.1.6.2 del Decreto 1082 de 2015, debe ser establecida con sustento en el estudio del secto</w:t>
      </w:r>
      <w:r>
        <w:rPr>
          <w:rFonts w:ascii="Verdana" w:eastAsia="Calibri" w:hAnsi="Verdana" w:cs="Arial"/>
          <w:bCs/>
          <w:sz w:val="20"/>
          <w:szCs w:val="20"/>
          <w:lang w:val="es-MX" w:eastAsia="es-ES" w:bidi="es-ES"/>
        </w:rPr>
        <w:t xml:space="preserve">r </w:t>
      </w:r>
      <w:r w:rsidRPr="00676EFC">
        <w:rPr>
          <w:rFonts w:ascii="Verdana" w:eastAsia="Calibri" w:hAnsi="Verdana" w:cs="Arial"/>
          <w:bCs/>
          <w:sz w:val="20"/>
          <w:szCs w:val="20"/>
          <w:lang w:val="es-MX" w:eastAsia="es-ES" w:bidi="es-ES"/>
        </w:rPr>
        <w:t>y sus componentes como la identificación de riesgos, el mercado y precio del bien, obra o servicio a contratar.</w:t>
      </w:r>
    </w:p>
    <w:p w14:paraId="782D82F0" w14:textId="77777777" w:rsidR="00E32C58" w:rsidRDefault="00E32C58" w:rsidP="00E32C58">
      <w:pPr>
        <w:spacing w:after="0" w:line="240" w:lineRule="auto"/>
        <w:jc w:val="both"/>
        <w:rPr>
          <w:rFonts w:ascii="Verdana" w:eastAsia="Calibri" w:hAnsi="Verdana" w:cs="Arial"/>
          <w:bCs/>
          <w:sz w:val="20"/>
          <w:szCs w:val="20"/>
          <w:lang w:val="es-ES_tradnl" w:eastAsia="es-ES" w:bidi="es-ES"/>
        </w:rPr>
      </w:pPr>
    </w:p>
    <w:p w14:paraId="05051AFD" w14:textId="77777777" w:rsidR="00E32C58" w:rsidRPr="00082852" w:rsidRDefault="00E32C58" w:rsidP="00E32C58">
      <w:pPr>
        <w:spacing w:after="0" w:line="240" w:lineRule="auto"/>
        <w:jc w:val="both"/>
        <w:rPr>
          <w:rFonts w:ascii="Verdana" w:eastAsia="Calibri" w:hAnsi="Verdana" w:cs="Arial"/>
          <w:bCs/>
          <w:lang w:val="es-ES_tradnl" w:eastAsia="es-ES" w:bidi="es-ES"/>
        </w:rPr>
      </w:pPr>
      <w:r w:rsidRPr="00676EFC">
        <w:rPr>
          <w:rFonts w:ascii="Verdana" w:eastAsia="Calibri" w:hAnsi="Verdana" w:cs="Arial"/>
          <w:bCs/>
          <w:sz w:val="20"/>
          <w:szCs w:val="20"/>
          <w:lang w:val="es-ES_tradnl" w:eastAsia="es-ES" w:bidi="es-ES"/>
        </w:rPr>
        <w:t xml:space="preserve">De conformidad con lo dispuesto en los artículos 5, numeral 1 de la Ley 1150 de 2007 y 2.2.1.1.1.5.3 del Decreto 1082 de 2015, por regla general, la acreditación del requisito habilitante de capacidad financiera se realiza mediante el RUP. En atención a esto, para los tramites de inscripción, renovación y actualización, el numeral 2.3 del artículo 2.2.1.1.1.5.2 del Decreto 1082 de 2015 exige la presentación de los </w:t>
      </w:r>
      <w:r w:rsidRPr="00676EFC">
        <w:rPr>
          <w:rFonts w:ascii="Verdana" w:eastAsia="Calibri" w:hAnsi="Verdana" w:cs="Arial"/>
          <w:bCs/>
          <w:i/>
          <w:iCs/>
          <w:sz w:val="20"/>
          <w:szCs w:val="20"/>
          <w:lang w:val="es-ES_tradnl" w:eastAsia="es-ES" w:bidi="es-ES"/>
        </w:rPr>
        <w:t>“</w:t>
      </w:r>
      <w:r w:rsidRPr="00676EFC">
        <w:rPr>
          <w:rFonts w:ascii="Verdana" w:eastAsia="Calibri" w:hAnsi="Verdana" w:cs="Arial"/>
          <w:bCs/>
          <w:i/>
          <w:iCs/>
          <w:sz w:val="20"/>
          <w:szCs w:val="20"/>
          <w:lang w:eastAsia="es-ES" w:bidi="es-ES"/>
        </w:rPr>
        <w:t>Estados financieros de la sociedad y los estados financieros consolidados del grupo empresarial, cuando la norma aplicable lo exige, auditados con sus notas […]”</w:t>
      </w:r>
      <w:r w:rsidRPr="00676EFC">
        <w:rPr>
          <w:rFonts w:ascii="Verdana" w:eastAsia="Calibri" w:hAnsi="Verdana" w:cs="Arial"/>
          <w:bCs/>
          <w:sz w:val="20"/>
          <w:szCs w:val="20"/>
          <w:lang w:val="es-ES_tradnl" w:eastAsia="es-ES" w:bidi="es-ES"/>
        </w:rPr>
        <w:t>, además de unos anexos dirigidos a servir de medio de verificación de la salud financiera de los proponentes. De este modo, lo que se verifica con el registro es que el proponente cumpla con los indicadores financieros solicitados por la entidad para medir la capacidad financiera requerida para el procedimiento de selección.</w:t>
      </w:r>
      <w:r w:rsidRPr="00082852">
        <w:rPr>
          <w:rFonts w:ascii="Verdana" w:eastAsia="Calibri" w:hAnsi="Verdana" w:cs="Arial"/>
          <w:bCs/>
          <w:lang w:val="es-ES_tradnl" w:eastAsia="es-ES" w:bidi="es-ES"/>
        </w:rPr>
        <w:t xml:space="preserve"> </w:t>
      </w:r>
    </w:p>
    <w:p w14:paraId="0927A5EE" w14:textId="77777777" w:rsidR="00E32C58" w:rsidRDefault="00E32C58" w:rsidP="00E32C58">
      <w:pPr>
        <w:spacing w:after="0" w:line="276" w:lineRule="auto"/>
        <w:jc w:val="both"/>
        <w:rPr>
          <w:rFonts w:ascii="Verdana" w:eastAsia="Calibri" w:hAnsi="Verdana" w:cs="Arial"/>
          <w:b/>
          <w:bCs/>
          <w:lang w:val="es-MX" w:eastAsia="es-ES" w:bidi="es-ES"/>
        </w:rPr>
      </w:pPr>
    </w:p>
    <w:p w14:paraId="51155202" w14:textId="27C28533" w:rsidR="00E32C58" w:rsidRPr="00082852" w:rsidRDefault="00E32C58" w:rsidP="00E32C58">
      <w:pPr>
        <w:spacing w:after="0" w:line="276" w:lineRule="auto"/>
        <w:jc w:val="both"/>
        <w:rPr>
          <w:rFonts w:ascii="Verdana" w:eastAsia="Calibri" w:hAnsi="Verdana" w:cs="Arial"/>
          <w:b/>
          <w:bCs/>
          <w:sz w:val="20"/>
          <w:szCs w:val="20"/>
          <w:lang w:val="es-ES_tradnl" w:eastAsia="es-ES" w:bidi="es-ES"/>
        </w:rPr>
      </w:pPr>
      <w:r w:rsidRPr="00082852">
        <w:rPr>
          <w:rFonts w:ascii="Verdana" w:eastAsia="Calibri" w:hAnsi="Verdana" w:cs="Arial"/>
          <w:b/>
          <w:bCs/>
          <w:lang w:val="es-MX" w:eastAsia="es-ES" w:bidi="es-ES"/>
        </w:rPr>
        <w:t xml:space="preserve">CAPACIDAD FINANCIERA – Indicadores – Documentos Tipo </w:t>
      </w:r>
    </w:p>
    <w:p w14:paraId="39F7F98F" w14:textId="77777777" w:rsidR="00E32C58" w:rsidRPr="00082852" w:rsidRDefault="00E32C58" w:rsidP="00E32C58">
      <w:pPr>
        <w:spacing w:after="0"/>
        <w:rPr>
          <w:rFonts w:ascii="Verdana" w:eastAsia="Calibri" w:hAnsi="Verdana" w:cs="Times New Roman"/>
          <w:lang w:val="es-MX"/>
        </w:rPr>
      </w:pPr>
    </w:p>
    <w:p w14:paraId="792DACD3" w14:textId="77777777" w:rsidR="00E32C58" w:rsidRDefault="00E32C58" w:rsidP="00E32C58">
      <w:pPr>
        <w:spacing w:after="0" w:line="240" w:lineRule="auto"/>
        <w:jc w:val="both"/>
        <w:rPr>
          <w:rFonts w:ascii="Verdana" w:eastAsia="Aptos" w:hAnsi="Verdana" w:cs="Arial"/>
          <w:kern w:val="2"/>
          <w:sz w:val="20"/>
          <w:szCs w:val="20"/>
          <w14:ligatures w14:val="standardContextual"/>
        </w:rPr>
      </w:pPr>
      <w:r w:rsidRPr="00676EFC">
        <w:rPr>
          <w:rFonts w:ascii="Verdana" w:eastAsia="Aptos" w:hAnsi="Verdana" w:cs="Arial"/>
          <w:kern w:val="2"/>
          <w:sz w:val="20"/>
          <w:szCs w:val="20"/>
          <w14:ligatures w14:val="standardContextual"/>
        </w:rPr>
        <w:t>Dentro de los requisitos habilitantes en los documentos tipo se destaca, también, la capacidad financiera. Esta se deriva del comportamiento contable de la empresa, su liquidez y endeudamiento, para determinar que sus recursos y solidez financiera le permitan cumplir los compromisos que adquiera.</w:t>
      </w:r>
    </w:p>
    <w:p w14:paraId="684C1E99" w14:textId="77777777" w:rsidR="00E32C58" w:rsidRPr="00676EFC" w:rsidRDefault="00E32C58" w:rsidP="00E32C58">
      <w:pPr>
        <w:spacing w:after="0" w:line="240" w:lineRule="auto"/>
        <w:jc w:val="both"/>
        <w:rPr>
          <w:rFonts w:ascii="Verdana" w:eastAsia="Aptos" w:hAnsi="Verdana" w:cs="Arial"/>
          <w:kern w:val="2"/>
          <w:sz w:val="20"/>
          <w:szCs w:val="20"/>
          <w14:ligatures w14:val="standardContextual"/>
        </w:rPr>
      </w:pPr>
      <w:r w:rsidRPr="00676EFC">
        <w:rPr>
          <w:rFonts w:ascii="Verdana" w:eastAsia="Aptos" w:hAnsi="Verdana" w:cs="Arial"/>
          <w:kern w:val="2"/>
          <w:sz w:val="20"/>
          <w:szCs w:val="20"/>
          <w14:ligatures w14:val="standardContextual"/>
        </w:rPr>
        <w:t xml:space="preserve"> </w:t>
      </w:r>
    </w:p>
    <w:p w14:paraId="4B3ECED7" w14:textId="77777777" w:rsidR="00E32C58" w:rsidRDefault="00E32C58" w:rsidP="00E32C58">
      <w:pPr>
        <w:spacing w:after="0" w:line="240" w:lineRule="auto"/>
        <w:jc w:val="both"/>
        <w:rPr>
          <w:rFonts w:ascii="Verdana" w:eastAsia="Aptos" w:hAnsi="Verdana" w:cs="Arial"/>
          <w:kern w:val="2"/>
          <w:sz w:val="20"/>
          <w:szCs w:val="20"/>
          <w14:ligatures w14:val="standardContextual"/>
        </w:rPr>
      </w:pPr>
      <w:r w:rsidRPr="00676EFC">
        <w:rPr>
          <w:rFonts w:ascii="Verdana" w:eastAsia="Aptos" w:hAnsi="Verdana" w:cs="Arial"/>
          <w:kern w:val="2"/>
          <w:sz w:val="20"/>
          <w:szCs w:val="20"/>
          <w14:ligatures w14:val="standardContextual"/>
        </w:rPr>
        <w:t>La capacidad financiera debe acreditarse en el RUP con los estados financieros del proponente, suscritos por el representante legal y el revisor fiscal, si cuenta con tales documentos. De este modo, lo que se verifica con el registro es que el proponente tenga los indicadores financieros solicitados por la entidad, que le permitan satisfacer la necesidad que se contratará una vez desarrollado el procedimiento de selección.</w:t>
      </w:r>
    </w:p>
    <w:p w14:paraId="4391E03A" w14:textId="77777777" w:rsidR="00E32C58" w:rsidRPr="00676EFC" w:rsidRDefault="00E32C58" w:rsidP="00E32C58">
      <w:pPr>
        <w:spacing w:after="0" w:line="240" w:lineRule="auto"/>
        <w:jc w:val="both"/>
        <w:rPr>
          <w:rFonts w:ascii="Verdana" w:eastAsia="Aptos" w:hAnsi="Verdana" w:cs="Arial"/>
          <w:kern w:val="2"/>
          <w:sz w:val="20"/>
          <w:szCs w:val="20"/>
          <w14:ligatures w14:val="standardContextual"/>
        </w:rPr>
      </w:pPr>
    </w:p>
    <w:p w14:paraId="4E53EDE8" w14:textId="77777777" w:rsidR="00E32C58" w:rsidRPr="00676EFC" w:rsidRDefault="00E32C58" w:rsidP="00E32C58">
      <w:pPr>
        <w:spacing w:after="0" w:line="240" w:lineRule="auto"/>
        <w:jc w:val="both"/>
        <w:rPr>
          <w:rFonts w:ascii="Verdana" w:eastAsia="Aptos" w:hAnsi="Verdana" w:cs="Arial"/>
          <w:kern w:val="2"/>
          <w:sz w:val="20"/>
          <w:szCs w:val="20"/>
          <w14:ligatures w14:val="standardContextual"/>
        </w:rPr>
      </w:pPr>
      <w:r w:rsidRPr="00676EFC">
        <w:rPr>
          <w:rFonts w:ascii="Verdana" w:eastAsia="Aptos" w:hAnsi="Verdana" w:cs="Arial"/>
          <w:kern w:val="2"/>
          <w:sz w:val="20"/>
          <w:szCs w:val="20"/>
          <w14:ligatures w14:val="standardContextual"/>
        </w:rPr>
        <w:t>En este contexto, los numerales 3.6 y 3.9 del documento base y la Matriz 2 – Indicadores financieros y organizacionales establecen las condiciones y los indicadores de capacidad financiera y organizacional que deben acreditar los proponentes en el marco de los documentos tipo. De conformidad con el numeral 3.10 del documento base, la evaluación financiera y organizacional de las propuestas se efectuará a partir de la información contenida en el RUP vigente y en firme. En tal sentido, la evaluación de la capacidad financiera se realizará de acuerdo con la información reportada en el Registro, de acuerdo con las disposiciones establecidas en la Subsección 5, de la Sección 1, del Capítulo 1, del Título 1, de la Parte 2 del Decreto 1082 de 2015, o las normas que las modifiquen.</w:t>
      </w:r>
    </w:p>
    <w:p w14:paraId="04DAB926" w14:textId="77777777" w:rsidR="00E32C58" w:rsidRPr="00082852" w:rsidRDefault="00E32C58" w:rsidP="00E32C58">
      <w:pPr>
        <w:spacing w:after="0" w:line="240" w:lineRule="auto"/>
        <w:jc w:val="both"/>
        <w:rPr>
          <w:rFonts w:ascii="Verdana" w:eastAsia="Calibri" w:hAnsi="Verdana" w:cs="Times New Roman"/>
          <w:sz w:val="20"/>
          <w:szCs w:val="20"/>
        </w:rPr>
      </w:pPr>
    </w:p>
    <w:p w14:paraId="55FD8E71" w14:textId="77777777" w:rsidR="00E32C58" w:rsidRPr="00082852" w:rsidRDefault="00E32C58" w:rsidP="00E32C58">
      <w:pPr>
        <w:spacing w:after="0"/>
        <w:rPr>
          <w:rFonts w:ascii="Verdana" w:eastAsia="Calibri" w:hAnsi="Verdana" w:cs="Times New Roman"/>
          <w:lang w:val="es-MX"/>
        </w:rPr>
      </w:pPr>
    </w:p>
    <w:p w14:paraId="7B4E6242" w14:textId="77777777" w:rsidR="00E32C58" w:rsidRPr="00082852" w:rsidRDefault="00E32C58" w:rsidP="00E32C58">
      <w:pPr>
        <w:spacing w:after="0"/>
        <w:rPr>
          <w:rFonts w:ascii="Verdana" w:eastAsia="Calibri" w:hAnsi="Verdana" w:cs="Times New Roman"/>
          <w:lang w:val="es-MX"/>
        </w:rPr>
      </w:pPr>
    </w:p>
    <w:p w14:paraId="091C7CAF" w14:textId="77777777" w:rsidR="00E32C58" w:rsidRPr="00082852" w:rsidRDefault="00E32C58" w:rsidP="00E32C58">
      <w:pPr>
        <w:spacing w:after="0"/>
        <w:rPr>
          <w:rFonts w:ascii="Verdana" w:eastAsia="Calibri" w:hAnsi="Verdana" w:cs="Times New Roman"/>
          <w:lang w:val="es-MX"/>
        </w:rPr>
      </w:pPr>
    </w:p>
    <w:p w14:paraId="201E3293" w14:textId="77777777" w:rsidR="00E32C58" w:rsidRDefault="00E32C58" w:rsidP="007D5768">
      <w:pPr>
        <w:spacing w:after="0"/>
        <w:rPr>
          <w:rFonts w:ascii="Verdana" w:hAnsi="Verdana"/>
        </w:rPr>
      </w:pPr>
    </w:p>
    <w:p w14:paraId="703DCF71" w14:textId="77777777" w:rsidR="00E32C58" w:rsidRDefault="00E32C58" w:rsidP="007D5768">
      <w:pPr>
        <w:spacing w:after="0"/>
        <w:rPr>
          <w:rFonts w:ascii="Verdana" w:hAnsi="Verdana"/>
        </w:rPr>
      </w:pPr>
    </w:p>
    <w:p w14:paraId="164451F9" w14:textId="77777777" w:rsidR="00E32C58" w:rsidRDefault="00E32C58" w:rsidP="007D5768">
      <w:pPr>
        <w:spacing w:after="0"/>
        <w:rPr>
          <w:rFonts w:ascii="Verdana" w:hAnsi="Verdana"/>
        </w:rPr>
      </w:pPr>
    </w:p>
    <w:p w14:paraId="175A60B6" w14:textId="77777777" w:rsidR="00A67539" w:rsidRDefault="00A67539" w:rsidP="007D5768">
      <w:pPr>
        <w:spacing w:after="0"/>
        <w:rPr>
          <w:rFonts w:ascii="Verdana" w:hAnsi="Verdana"/>
        </w:rPr>
      </w:pPr>
    </w:p>
    <w:p w14:paraId="167FED60" w14:textId="77777777" w:rsidR="00A67539" w:rsidRDefault="00A67539" w:rsidP="007D5768">
      <w:pPr>
        <w:spacing w:after="0"/>
        <w:rPr>
          <w:rFonts w:ascii="Verdana" w:hAnsi="Verdana"/>
        </w:rPr>
      </w:pPr>
    </w:p>
    <w:p w14:paraId="6BD587E1" w14:textId="77777777" w:rsidR="00A67539" w:rsidRDefault="00A67539" w:rsidP="007D5768">
      <w:pPr>
        <w:spacing w:after="0"/>
        <w:rPr>
          <w:rFonts w:ascii="Verdana" w:hAnsi="Verdana"/>
        </w:rPr>
      </w:pPr>
    </w:p>
    <w:p w14:paraId="709D20C7" w14:textId="77777777" w:rsidR="00A67539" w:rsidRDefault="00A67539" w:rsidP="007D5768">
      <w:pPr>
        <w:spacing w:after="0"/>
        <w:rPr>
          <w:rFonts w:ascii="Verdana" w:hAnsi="Verdana"/>
        </w:rPr>
      </w:pPr>
    </w:p>
    <w:p w14:paraId="1FAD5156" w14:textId="77777777" w:rsidR="00A67539" w:rsidRDefault="00A67539" w:rsidP="007D5768">
      <w:pPr>
        <w:spacing w:after="0"/>
        <w:rPr>
          <w:rFonts w:ascii="Verdana" w:hAnsi="Verdana"/>
        </w:rPr>
      </w:pPr>
    </w:p>
    <w:p w14:paraId="049084E3" w14:textId="77777777" w:rsidR="00A67539" w:rsidRDefault="00A67539" w:rsidP="007D5768">
      <w:pPr>
        <w:spacing w:after="0"/>
        <w:rPr>
          <w:rFonts w:ascii="Verdana" w:hAnsi="Verdana"/>
        </w:rPr>
      </w:pPr>
    </w:p>
    <w:p w14:paraId="2E55E1AE" w14:textId="77777777" w:rsidR="00A67539" w:rsidRDefault="00A67539" w:rsidP="007D5768">
      <w:pPr>
        <w:spacing w:after="0"/>
        <w:rPr>
          <w:rFonts w:ascii="Verdana" w:hAnsi="Verdana"/>
        </w:rPr>
      </w:pPr>
    </w:p>
    <w:p w14:paraId="647042F9" w14:textId="77777777" w:rsidR="00A67539" w:rsidRDefault="00A67539" w:rsidP="007D5768">
      <w:pPr>
        <w:spacing w:after="0"/>
        <w:rPr>
          <w:rFonts w:ascii="Verdana" w:hAnsi="Verdana"/>
        </w:rPr>
      </w:pPr>
    </w:p>
    <w:p w14:paraId="6D9B790A" w14:textId="77777777" w:rsidR="00A67539" w:rsidRDefault="00A67539" w:rsidP="007D5768">
      <w:pPr>
        <w:spacing w:after="0"/>
        <w:rPr>
          <w:rFonts w:ascii="Verdana" w:hAnsi="Verdana"/>
        </w:rPr>
      </w:pPr>
    </w:p>
    <w:p w14:paraId="343C2CDE" w14:textId="77777777" w:rsidR="00A67539" w:rsidRDefault="00A67539" w:rsidP="007D5768">
      <w:pPr>
        <w:spacing w:after="0"/>
        <w:rPr>
          <w:rFonts w:ascii="Verdana" w:hAnsi="Verdana"/>
        </w:rPr>
      </w:pPr>
    </w:p>
    <w:p w14:paraId="15A7BAC1" w14:textId="77777777" w:rsidR="00A67539" w:rsidRDefault="00A67539" w:rsidP="007D5768">
      <w:pPr>
        <w:spacing w:after="0"/>
        <w:rPr>
          <w:rFonts w:ascii="Verdana" w:hAnsi="Verdana"/>
        </w:rPr>
      </w:pPr>
    </w:p>
    <w:p w14:paraId="40B5BCEA" w14:textId="77777777" w:rsidR="00A67539" w:rsidRDefault="00A67539" w:rsidP="007D5768">
      <w:pPr>
        <w:spacing w:after="0"/>
        <w:rPr>
          <w:rFonts w:ascii="Verdana" w:hAnsi="Verdana"/>
        </w:rPr>
      </w:pPr>
    </w:p>
    <w:p w14:paraId="548C2E7F" w14:textId="77777777" w:rsidR="00A67539" w:rsidRDefault="00A67539" w:rsidP="007D5768">
      <w:pPr>
        <w:spacing w:after="0"/>
        <w:rPr>
          <w:rFonts w:ascii="Verdana" w:hAnsi="Verdana"/>
        </w:rPr>
      </w:pPr>
    </w:p>
    <w:p w14:paraId="6688DD15" w14:textId="77777777" w:rsidR="00A67539" w:rsidRDefault="00A67539" w:rsidP="007D5768">
      <w:pPr>
        <w:spacing w:after="0"/>
        <w:rPr>
          <w:rFonts w:ascii="Verdana" w:hAnsi="Verdana"/>
        </w:rPr>
      </w:pPr>
    </w:p>
    <w:p w14:paraId="3FE28FB4" w14:textId="77777777" w:rsidR="00A67539" w:rsidRDefault="00A67539" w:rsidP="007D5768">
      <w:pPr>
        <w:spacing w:after="0"/>
        <w:rPr>
          <w:rFonts w:ascii="Verdana" w:hAnsi="Verdana"/>
        </w:rPr>
      </w:pPr>
    </w:p>
    <w:p w14:paraId="0173DEAB" w14:textId="77777777" w:rsidR="00A67539" w:rsidRDefault="00A67539" w:rsidP="007D5768">
      <w:pPr>
        <w:spacing w:after="0"/>
        <w:rPr>
          <w:rFonts w:ascii="Verdana" w:hAnsi="Verdana"/>
        </w:rPr>
      </w:pPr>
    </w:p>
    <w:p w14:paraId="42ABB918" w14:textId="77777777" w:rsidR="00E32C58" w:rsidRDefault="00E32C58" w:rsidP="007D5768">
      <w:pPr>
        <w:spacing w:after="0"/>
        <w:rPr>
          <w:rFonts w:ascii="Verdana" w:hAnsi="Verdana"/>
        </w:rPr>
      </w:pPr>
    </w:p>
    <w:p w14:paraId="05602DEE" w14:textId="77777777" w:rsidR="00E32C58" w:rsidRDefault="00E32C58" w:rsidP="007D5768">
      <w:pPr>
        <w:spacing w:after="0"/>
        <w:rPr>
          <w:rFonts w:ascii="Verdana" w:hAnsi="Verdana"/>
        </w:rPr>
      </w:pPr>
    </w:p>
    <w:p w14:paraId="23D1D6B9" w14:textId="77777777" w:rsidR="001A6C63" w:rsidRDefault="001A6C63" w:rsidP="007D5768">
      <w:pPr>
        <w:spacing w:after="0"/>
        <w:rPr>
          <w:rFonts w:ascii="Verdana" w:hAnsi="Verdana"/>
        </w:rPr>
      </w:pPr>
    </w:p>
    <w:p w14:paraId="7F384CCC" w14:textId="246975B0" w:rsidR="007D5768" w:rsidRDefault="007D5768" w:rsidP="007D5768">
      <w:pPr>
        <w:spacing w:after="0"/>
        <w:rPr>
          <w:rFonts w:ascii="Verdana" w:hAnsi="Verdana"/>
        </w:rPr>
      </w:pPr>
      <w:r w:rsidRPr="0044528D">
        <w:rPr>
          <w:rFonts w:ascii="Verdana" w:hAnsi="Verdana"/>
        </w:rPr>
        <w:t xml:space="preserve">Bogotá D.C., </w:t>
      </w:r>
      <w:r w:rsidR="001A6C63">
        <w:rPr>
          <w:rFonts w:ascii="Verdana" w:hAnsi="Verdana"/>
        </w:rPr>
        <w:t>11</w:t>
      </w:r>
      <w:r w:rsidR="00E95462">
        <w:rPr>
          <w:rFonts w:ascii="Verdana" w:hAnsi="Verdana"/>
        </w:rPr>
        <w:t xml:space="preserve"> de </w:t>
      </w:r>
      <w:r w:rsidR="001A6C63">
        <w:rPr>
          <w:rFonts w:ascii="Verdana" w:hAnsi="Verdana"/>
        </w:rPr>
        <w:t>Abril de</w:t>
      </w:r>
      <w:r w:rsidR="00E95462">
        <w:rPr>
          <w:rFonts w:ascii="Verdana" w:hAnsi="Verdana"/>
        </w:rPr>
        <w:t xml:space="preserve"> 2025.</w:t>
      </w:r>
    </w:p>
    <w:p w14:paraId="67F50B6D" w14:textId="77777777" w:rsidR="00E95462" w:rsidRDefault="00E95462" w:rsidP="007D5768">
      <w:pPr>
        <w:spacing w:after="0"/>
        <w:rPr>
          <w:rFonts w:ascii="Verdana" w:hAnsi="Verdana"/>
        </w:rPr>
      </w:pPr>
      <w:bookmarkStart w:id="2" w:name="_Hlk180638295"/>
      <w:bookmarkEnd w:id="0"/>
    </w:p>
    <w:p w14:paraId="54FC63A1" w14:textId="7DDB336D" w:rsidR="007D5768" w:rsidRPr="005E62E2" w:rsidRDefault="007D5768" w:rsidP="007D5768">
      <w:pPr>
        <w:spacing w:after="0" w:line="240" w:lineRule="auto"/>
        <w:jc w:val="both"/>
        <w:rPr>
          <w:rFonts w:ascii="Verdana" w:eastAsia="Calibri" w:hAnsi="Verdana" w:cs="Arial"/>
          <w:lang w:eastAsia="es-ES"/>
        </w:rPr>
      </w:pPr>
      <w:bookmarkStart w:id="3" w:name="_Hlk181166167"/>
      <w:r w:rsidRPr="005E62E2">
        <w:rPr>
          <w:rFonts w:ascii="Verdana" w:eastAsia="Calibri" w:hAnsi="Verdana" w:cs="Arial"/>
          <w:lang w:eastAsia="es-ES"/>
        </w:rPr>
        <w:t>Señor</w:t>
      </w:r>
      <w:r w:rsidR="00906487">
        <w:rPr>
          <w:rFonts w:ascii="Verdana" w:eastAsia="Calibri" w:hAnsi="Verdana" w:cs="Arial"/>
          <w:lang w:eastAsia="es-ES"/>
        </w:rPr>
        <w:t>a</w:t>
      </w:r>
      <w:r w:rsidR="003A2ECF" w:rsidRPr="005E62E2">
        <w:rPr>
          <w:rFonts w:ascii="Verdana" w:eastAsia="Calibri" w:hAnsi="Verdana" w:cs="Arial"/>
          <w:lang w:eastAsia="es-ES"/>
        </w:rPr>
        <w:tab/>
      </w:r>
    </w:p>
    <w:p w14:paraId="1E1D5986" w14:textId="7849F5F2" w:rsidR="00906487" w:rsidRPr="001A6C63" w:rsidRDefault="00906487" w:rsidP="00906487">
      <w:pPr>
        <w:spacing w:after="0" w:line="240" w:lineRule="auto"/>
        <w:jc w:val="both"/>
        <w:rPr>
          <w:rFonts w:ascii="Verdana" w:eastAsia="Calibri" w:hAnsi="Verdana" w:cs="Arial"/>
          <w:b/>
          <w:bCs/>
          <w:color w:val="000000"/>
          <w:lang w:val="pt-PT" w:eastAsia="es-ES_tradnl"/>
        </w:rPr>
      </w:pPr>
      <w:r w:rsidRPr="001A6C63">
        <w:rPr>
          <w:rFonts w:ascii="Verdana" w:eastAsia="Calibri" w:hAnsi="Verdana" w:cs="Arial"/>
          <w:b/>
          <w:bCs/>
          <w:color w:val="000000"/>
          <w:lang w:val="pt-PT" w:eastAsia="es-ES_tradnl"/>
        </w:rPr>
        <w:t>MARIAM SUHAILY MALAG</w:t>
      </w:r>
      <w:r w:rsidR="00FD6573" w:rsidRPr="001A6C63">
        <w:rPr>
          <w:rFonts w:ascii="Verdana" w:eastAsia="Calibri" w:hAnsi="Verdana" w:cs="Arial"/>
          <w:b/>
          <w:bCs/>
          <w:color w:val="000000"/>
          <w:lang w:val="pt-PT" w:eastAsia="es-ES_tradnl"/>
        </w:rPr>
        <w:t>Ò</w:t>
      </w:r>
      <w:r w:rsidRPr="001A6C63">
        <w:rPr>
          <w:rFonts w:ascii="Verdana" w:eastAsia="Calibri" w:hAnsi="Verdana" w:cs="Arial"/>
          <w:b/>
          <w:bCs/>
          <w:color w:val="000000"/>
          <w:lang w:val="pt-PT" w:eastAsia="es-ES_tradnl"/>
        </w:rPr>
        <w:t>N ROJAS</w:t>
      </w:r>
    </w:p>
    <w:p w14:paraId="4DF5D7A5" w14:textId="68AA1A07" w:rsidR="00124200" w:rsidRPr="001A6C63" w:rsidRDefault="00906487" w:rsidP="00D261F9">
      <w:pPr>
        <w:spacing w:after="0" w:line="240" w:lineRule="auto"/>
        <w:rPr>
          <w:rFonts w:ascii="Verdana" w:hAnsi="Verdana"/>
          <w:lang w:val="pt-PT"/>
        </w:rPr>
      </w:pPr>
      <w:r w:rsidRPr="001A6C63">
        <w:rPr>
          <w:rFonts w:ascii="Verdana" w:hAnsi="Verdana"/>
          <w:lang w:val="pt-PT"/>
        </w:rPr>
        <w:t>soportesdocumentos75@gmail.com</w:t>
      </w:r>
    </w:p>
    <w:p w14:paraId="3B7E2BE8" w14:textId="77777777" w:rsidR="00645CB7" w:rsidRPr="001A6C63" w:rsidRDefault="00645CB7" w:rsidP="007D5768">
      <w:pPr>
        <w:spacing w:after="0" w:line="240" w:lineRule="auto"/>
        <w:rPr>
          <w:rFonts w:ascii="Verdana" w:eastAsia="Calibri" w:hAnsi="Verdana" w:cs="Arial"/>
          <w:b/>
          <w:bCs/>
          <w:color w:val="000000"/>
          <w:lang w:val="pt-PT" w:eastAsia="es-ES_tradnl"/>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7D5768" w:rsidRPr="00593A5F" w14:paraId="14747069" w14:textId="77777777" w:rsidTr="005943DC">
        <w:trPr>
          <w:trHeight w:val="884"/>
        </w:trPr>
        <w:tc>
          <w:tcPr>
            <w:tcW w:w="2410" w:type="dxa"/>
          </w:tcPr>
          <w:p w14:paraId="36C8BBF6" w14:textId="77777777" w:rsidR="007D5768" w:rsidRPr="001A6C63" w:rsidRDefault="007D5768" w:rsidP="005943DC">
            <w:pPr>
              <w:jc w:val="both"/>
              <w:rPr>
                <w:rFonts w:ascii="Verdana" w:eastAsia="Calibri" w:hAnsi="Verdana" w:cs="Arial"/>
                <w:b/>
                <w:bCs/>
                <w:color w:val="7030A0"/>
                <w:lang w:val="pt-PT" w:eastAsia="es-ES_tradnl"/>
              </w:rPr>
            </w:pPr>
          </w:p>
        </w:tc>
        <w:tc>
          <w:tcPr>
            <w:tcW w:w="6804" w:type="dxa"/>
            <w:gridSpan w:val="2"/>
          </w:tcPr>
          <w:p w14:paraId="123E252E" w14:textId="77777777" w:rsidR="007D5768" w:rsidRDefault="007D5768" w:rsidP="005943DC">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sidR="003B3410">
              <w:rPr>
                <w:rFonts w:ascii="Verdana" w:eastAsia="Calibri" w:hAnsi="Verdana" w:cs="Arial"/>
                <w:b/>
                <w:bCs/>
                <w:lang w:val="es-ES" w:eastAsia="es-ES"/>
              </w:rPr>
              <w:t>2</w:t>
            </w:r>
            <w:r w:rsidR="00906487">
              <w:rPr>
                <w:rFonts w:ascii="Verdana" w:eastAsia="Calibri" w:hAnsi="Verdana" w:cs="Arial"/>
                <w:b/>
                <w:bCs/>
                <w:lang w:val="es-ES" w:eastAsia="es-ES"/>
              </w:rPr>
              <w:t>91</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sidR="00FB76D0">
              <w:rPr>
                <w:rFonts w:ascii="Verdana" w:eastAsia="Calibri" w:hAnsi="Verdana" w:cs="Arial"/>
                <w:b/>
                <w:bCs/>
                <w:lang w:val="es-ES" w:eastAsia="es-ES"/>
              </w:rPr>
              <w:t>5</w:t>
            </w:r>
          </w:p>
          <w:p w14:paraId="2B7C09FA" w14:textId="77777777" w:rsidR="001A6C63" w:rsidRDefault="001A6C63" w:rsidP="005943DC">
            <w:pPr>
              <w:jc w:val="both"/>
              <w:rPr>
                <w:rFonts w:ascii="Verdana" w:eastAsia="Calibri" w:hAnsi="Verdana" w:cs="Arial"/>
                <w:b/>
                <w:bCs/>
                <w:color w:val="7030A0"/>
                <w:lang w:val="es-ES" w:eastAsia="es-ES"/>
              </w:rPr>
            </w:pPr>
          </w:p>
          <w:p w14:paraId="795153B7" w14:textId="77777777" w:rsidR="001A6C63" w:rsidRDefault="001A6C63" w:rsidP="001A6C63">
            <w:pPr>
              <w:ind w:left="2832"/>
              <w:jc w:val="both"/>
              <w:rPr>
                <w:rFonts w:ascii="Verdana" w:eastAsia="Calibri" w:hAnsi="Verdana" w:cs="Arial"/>
                <w:b/>
                <w:bCs/>
                <w:color w:val="7030A0"/>
                <w:lang w:val="es-ES" w:eastAsia="es-ES"/>
              </w:rPr>
            </w:pPr>
            <w:r>
              <w:rPr>
                <w:noProof/>
              </w:rPr>
              <w:drawing>
                <wp:inline distT="0" distB="0" distL="0" distR="0" wp14:anchorId="09D5C6B1" wp14:editId="730F1739">
                  <wp:extent cx="2257425" cy="771525"/>
                  <wp:effectExtent l="0" t="0" r="9525" b="9525"/>
                  <wp:docPr id="6968782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878230" name=""/>
                          <pic:cNvPicPr/>
                        </pic:nvPicPr>
                        <pic:blipFill>
                          <a:blip r:embed="rId11"/>
                          <a:stretch>
                            <a:fillRect/>
                          </a:stretch>
                        </pic:blipFill>
                        <pic:spPr>
                          <a:xfrm>
                            <a:off x="0" y="0"/>
                            <a:ext cx="2257425" cy="771525"/>
                          </a:xfrm>
                          <a:prstGeom prst="rect">
                            <a:avLst/>
                          </a:prstGeom>
                        </pic:spPr>
                      </pic:pic>
                    </a:graphicData>
                  </a:graphic>
                </wp:inline>
              </w:drawing>
            </w:r>
          </w:p>
          <w:p w14:paraId="4DDF8EC1" w14:textId="1B2587C1" w:rsidR="001A6C63" w:rsidRPr="00E5644F" w:rsidRDefault="001A6C63" w:rsidP="005943DC">
            <w:pPr>
              <w:jc w:val="both"/>
              <w:rPr>
                <w:rFonts w:ascii="Verdana" w:eastAsia="Calibri" w:hAnsi="Verdana" w:cs="Arial"/>
                <w:b/>
                <w:bCs/>
                <w:color w:val="7030A0"/>
                <w:lang w:val="es-ES" w:eastAsia="es-ES"/>
              </w:rPr>
            </w:pPr>
          </w:p>
        </w:tc>
      </w:tr>
      <w:tr w:rsidR="003F2418" w:rsidRPr="00593A5F" w14:paraId="0E5838A4" w14:textId="77777777" w:rsidTr="005943DC">
        <w:trPr>
          <w:trHeight w:val="884"/>
        </w:trPr>
        <w:tc>
          <w:tcPr>
            <w:tcW w:w="2410" w:type="dxa"/>
          </w:tcPr>
          <w:p w14:paraId="52092E01" w14:textId="77777777" w:rsidR="003F2418" w:rsidRPr="00593A5F" w:rsidRDefault="003F2418" w:rsidP="003F241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14CD6C5A" w14:textId="63A01746" w:rsidR="00D261F9" w:rsidRPr="00622925" w:rsidRDefault="00622925" w:rsidP="00622925">
            <w:pPr>
              <w:jc w:val="both"/>
              <w:rPr>
                <w:rFonts w:ascii="Verdana" w:eastAsia="Calibri" w:hAnsi="Verdana" w:cs="Arial"/>
                <w:bCs/>
                <w:color w:val="000000" w:themeColor="text1"/>
                <w:lang w:val="es-ES"/>
              </w:rPr>
            </w:pPr>
            <w:r w:rsidRPr="00622925">
              <w:rPr>
                <w:rFonts w:ascii="Verdana" w:eastAsia="Calibri" w:hAnsi="Verdana" w:cs="Arial"/>
                <w:bCs/>
                <w:color w:val="000000" w:themeColor="text1"/>
                <w:lang w:val="es-ES"/>
              </w:rPr>
              <w:t xml:space="preserve">PLANEACIÓN CONTRACTUAL – Manifestaciones – Análisis del sector - </w:t>
            </w:r>
            <w:r w:rsidR="00E32C58" w:rsidRPr="00622925">
              <w:rPr>
                <w:rFonts w:ascii="Verdana" w:eastAsia="Calibri" w:hAnsi="Verdana" w:cs="Arial"/>
                <w:bCs/>
                <w:lang w:val="es-MX" w:eastAsia="es-ES" w:bidi="es-ES"/>
              </w:rPr>
              <w:t>REQUISITOS HABILITANTES – Capacidad financiera – Autonomía de la entidad / CAPACIDAD FINANCIERA – Análisis del sector / CAPACIDAD FINANCIERA – Indicadores – Documentos Tipo –</w:t>
            </w:r>
          </w:p>
          <w:p w14:paraId="62C72EB8" w14:textId="0918630B" w:rsidR="00E32C58" w:rsidRPr="00606078" w:rsidRDefault="00E32C58" w:rsidP="00E32C58">
            <w:pPr>
              <w:spacing w:line="276" w:lineRule="auto"/>
              <w:jc w:val="both"/>
              <w:rPr>
                <w:rFonts w:ascii="Verdana" w:eastAsia="Calibri" w:hAnsi="Verdana" w:cs="Arial"/>
                <w:b/>
                <w:highlight w:val="yellow"/>
                <w:lang w:val="es-ES" w:eastAsia="es-ES"/>
              </w:rPr>
            </w:pPr>
          </w:p>
        </w:tc>
      </w:tr>
      <w:tr w:rsidR="003F2418" w:rsidRPr="00593A5F" w14:paraId="09936C6F" w14:textId="77777777" w:rsidTr="005943DC">
        <w:tc>
          <w:tcPr>
            <w:tcW w:w="2410" w:type="dxa"/>
          </w:tcPr>
          <w:p w14:paraId="69819F5A" w14:textId="77777777" w:rsidR="003F2418" w:rsidRPr="006730E9" w:rsidRDefault="003F2418" w:rsidP="003F2418">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2CCB2D3E" w14:textId="2B3D2928" w:rsidR="003F2418" w:rsidRPr="006730E9" w:rsidRDefault="003F2418" w:rsidP="003F2418">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906487" w:rsidRPr="00906487">
              <w:rPr>
                <w:rFonts w:ascii="Verdana" w:eastAsia="Calibri" w:hAnsi="Verdana" w:cs="Arial"/>
                <w:lang w:val="es-ES_tradnl" w:eastAsia="es-ES_tradnl"/>
              </w:rPr>
              <w:t>P20250310002347</w:t>
            </w:r>
            <w:r w:rsidR="00906487">
              <w:rPr>
                <w:rFonts w:ascii="Verdana" w:eastAsia="Calibri" w:hAnsi="Verdana" w:cs="Arial"/>
                <w:lang w:val="es-ES_tradnl" w:eastAsia="es-ES_tradnl"/>
              </w:rPr>
              <w:t xml:space="preserve"> acumulada con los radicados </w:t>
            </w:r>
            <w:r w:rsidR="00906487" w:rsidRPr="00906487">
              <w:rPr>
                <w:rFonts w:ascii="Verdana" w:eastAsia="Calibri" w:hAnsi="Verdana" w:cs="Arial"/>
                <w:lang w:val="es-ES_tradnl" w:eastAsia="es-ES_tradnl"/>
              </w:rPr>
              <w:t>P20250310002348</w:t>
            </w:r>
            <w:r w:rsidR="00906487">
              <w:rPr>
                <w:rFonts w:ascii="Verdana" w:eastAsia="Calibri" w:hAnsi="Verdana" w:cs="Arial"/>
                <w:lang w:val="es-ES_tradnl" w:eastAsia="es-ES_tradnl"/>
              </w:rPr>
              <w:t xml:space="preserve"> y </w:t>
            </w:r>
            <w:r w:rsidR="00906487" w:rsidRPr="00906487">
              <w:rPr>
                <w:rFonts w:ascii="Verdana" w:eastAsia="Calibri" w:hAnsi="Verdana" w:cs="Arial"/>
                <w:lang w:val="es-ES_tradnl" w:eastAsia="es-ES_tradnl"/>
              </w:rPr>
              <w:t>P20250310002349</w:t>
            </w:r>
            <w:r w:rsidR="009A1296">
              <w:rPr>
                <w:rFonts w:ascii="Verdana" w:eastAsia="Calibri" w:hAnsi="Verdana" w:cs="Arial"/>
                <w:lang w:val="es-ES_tradnl" w:eastAsia="es-ES_tradnl"/>
              </w:rPr>
              <w:t>.</w:t>
            </w:r>
          </w:p>
        </w:tc>
      </w:tr>
      <w:tr w:rsidR="003F2418" w:rsidRPr="00DB23D2" w14:paraId="3D69289B" w14:textId="77777777" w:rsidTr="005943DC">
        <w:trPr>
          <w:gridAfter w:val="1"/>
          <w:wAfter w:w="336" w:type="dxa"/>
          <w:trHeight w:val="233"/>
        </w:trPr>
        <w:tc>
          <w:tcPr>
            <w:tcW w:w="8878" w:type="dxa"/>
            <w:gridSpan w:val="2"/>
          </w:tcPr>
          <w:p w14:paraId="77B387AE" w14:textId="5AE22ED0" w:rsidR="003F2418" w:rsidRPr="00DB23D2" w:rsidRDefault="003F2418" w:rsidP="003F2418">
            <w:pPr>
              <w:spacing w:after="120" w:line="276" w:lineRule="auto"/>
              <w:jc w:val="both"/>
              <w:rPr>
                <w:rFonts w:ascii="Verdana" w:eastAsia="Calibri" w:hAnsi="Verdana" w:cs="Arial"/>
                <w:lang w:val="es-ES_tradnl" w:eastAsia="es-ES"/>
              </w:rPr>
            </w:pPr>
          </w:p>
        </w:tc>
      </w:tr>
    </w:tbl>
    <w:p w14:paraId="064788AC" w14:textId="33627A32"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906487">
        <w:rPr>
          <w:rFonts w:ascii="Verdana" w:eastAsia="Calibri" w:hAnsi="Verdana" w:cs="Arial"/>
          <w:lang w:val="es-ES" w:eastAsia="es-ES"/>
        </w:rPr>
        <w:t>a</w:t>
      </w:r>
      <w:r w:rsidR="00EF4E84">
        <w:rPr>
          <w:rFonts w:ascii="Verdana" w:eastAsia="Calibri" w:hAnsi="Verdana" w:cs="Arial"/>
          <w:lang w:val="es-ES" w:eastAsia="es-ES"/>
        </w:rPr>
        <w:t xml:space="preserve"> </w:t>
      </w:r>
      <w:r w:rsidRPr="006730E9">
        <w:rPr>
          <w:rFonts w:ascii="Verdana" w:eastAsia="Calibri" w:hAnsi="Verdana" w:cs="Arial"/>
          <w:lang w:val="es-ES" w:eastAsia="es-ES"/>
        </w:rPr>
        <w:t>señor</w:t>
      </w:r>
      <w:r w:rsidR="00906487">
        <w:rPr>
          <w:rFonts w:ascii="Verdana" w:eastAsia="Calibri" w:hAnsi="Verdana" w:cs="Arial"/>
          <w:lang w:val="es-ES" w:eastAsia="es-ES"/>
        </w:rPr>
        <w:t>a</w:t>
      </w:r>
      <w:r w:rsidR="00EF4E84">
        <w:rPr>
          <w:rFonts w:ascii="Verdana" w:eastAsia="Calibri" w:hAnsi="Verdana" w:cs="Arial"/>
          <w:lang w:val="es-ES" w:eastAsia="es-ES"/>
        </w:rPr>
        <w:t xml:space="preserve"> </w:t>
      </w:r>
      <w:r w:rsidR="00906487" w:rsidRPr="00906487">
        <w:rPr>
          <w:rFonts w:ascii="Verdana" w:eastAsia="Calibri" w:hAnsi="Verdana" w:cs="Arial"/>
          <w:lang w:val="es-ES" w:eastAsia="es-ES"/>
        </w:rPr>
        <w:t>Malagón</w:t>
      </w:r>
      <w:r w:rsidR="00ED58AB">
        <w:rPr>
          <w:rFonts w:ascii="Verdana" w:eastAsia="Calibri" w:hAnsi="Verdana" w:cs="Arial"/>
          <w:lang w:val="es-ES" w:eastAsia="es-ES"/>
        </w:rPr>
        <w:t>;</w:t>
      </w:r>
    </w:p>
    <w:p w14:paraId="70003FD9" w14:textId="77777777" w:rsidR="00641B00" w:rsidRDefault="00641B00" w:rsidP="007D5768">
      <w:pPr>
        <w:tabs>
          <w:tab w:val="left" w:pos="3768"/>
        </w:tabs>
        <w:spacing w:after="0" w:line="276" w:lineRule="auto"/>
        <w:jc w:val="both"/>
        <w:rPr>
          <w:rFonts w:ascii="Verdana" w:eastAsia="Calibri" w:hAnsi="Verdana" w:cs="Arial"/>
          <w:color w:val="000000" w:themeColor="text1"/>
          <w:lang w:val="es-ES" w:eastAsia="es-ES"/>
        </w:rPr>
      </w:pPr>
    </w:p>
    <w:p w14:paraId="612CA923" w14:textId="5146A338"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w:t>
      </w:r>
      <w:r w:rsidR="00906487">
        <w:rPr>
          <w:rFonts w:ascii="Verdana" w:eastAsia="Calibri" w:hAnsi="Verdana" w:cs="Arial"/>
          <w:lang w:val="es-ES" w:eastAsia="es-ES"/>
        </w:rPr>
        <w:t>a sus</w:t>
      </w:r>
      <w:r w:rsidRPr="006730E9">
        <w:rPr>
          <w:rFonts w:ascii="Verdana" w:eastAsia="Calibri" w:hAnsi="Verdana" w:cs="Arial"/>
          <w:lang w:val="es-ES" w:eastAsia="es-ES"/>
        </w:rPr>
        <w:t xml:space="preserve"> solicitud</w:t>
      </w:r>
      <w:r w:rsidR="00906487">
        <w:rPr>
          <w:rFonts w:ascii="Verdana" w:eastAsia="Calibri" w:hAnsi="Verdana" w:cs="Arial"/>
          <w:lang w:val="es-ES" w:eastAsia="es-ES"/>
        </w:rPr>
        <w:t>es</w:t>
      </w:r>
      <w:r w:rsidRPr="006730E9">
        <w:rPr>
          <w:rFonts w:ascii="Verdana" w:eastAsia="Calibri" w:hAnsi="Verdana" w:cs="Arial"/>
          <w:lang w:val="es-ES" w:eastAsia="es-ES"/>
        </w:rPr>
        <w:t xml:space="preserve"> </w:t>
      </w:r>
      <w:r w:rsidR="00ED58AB">
        <w:rPr>
          <w:rFonts w:ascii="Verdana" w:eastAsia="Calibri" w:hAnsi="Verdana" w:cs="Arial"/>
          <w:lang w:val="es-ES" w:eastAsia="es-ES"/>
        </w:rPr>
        <w:t>radicada</w:t>
      </w:r>
      <w:r w:rsidR="00906487">
        <w:rPr>
          <w:rFonts w:ascii="Verdana" w:eastAsia="Calibri" w:hAnsi="Verdana" w:cs="Arial"/>
          <w:lang w:val="es-ES" w:eastAsia="es-ES"/>
        </w:rPr>
        <w:t>s</w:t>
      </w:r>
      <w:r w:rsidR="00ED58AB">
        <w:rPr>
          <w:rFonts w:ascii="Verdana" w:eastAsia="Calibri" w:hAnsi="Verdana" w:cs="Arial"/>
          <w:lang w:val="es-ES" w:eastAsia="es-ES"/>
        </w:rPr>
        <w:t xml:space="preserve"> </w:t>
      </w:r>
      <w:r>
        <w:rPr>
          <w:rFonts w:ascii="Verdana" w:eastAsia="Calibri" w:hAnsi="Verdana" w:cs="Arial"/>
          <w:lang w:val="es-ES" w:eastAsia="es-ES"/>
        </w:rPr>
        <w:t xml:space="preserve">en esta entidad </w:t>
      </w:r>
      <w:r w:rsidRPr="00E5644F">
        <w:rPr>
          <w:rFonts w:ascii="Verdana" w:eastAsia="Calibri" w:hAnsi="Verdana" w:cs="Arial"/>
          <w:lang w:val="es-ES" w:eastAsia="es-ES"/>
        </w:rPr>
        <w:t xml:space="preserve">el </w:t>
      </w:r>
      <w:r w:rsidR="00906487">
        <w:rPr>
          <w:rFonts w:ascii="Verdana" w:eastAsia="Calibri" w:hAnsi="Verdana" w:cs="Arial"/>
          <w:lang w:val="es-ES" w:eastAsia="es-ES"/>
        </w:rPr>
        <w:t>11</w:t>
      </w:r>
      <w:r w:rsidR="00043043">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sidR="00B6607E">
        <w:rPr>
          <w:rFonts w:ascii="Verdana" w:eastAsia="Calibri" w:hAnsi="Verdana" w:cs="Arial"/>
          <w:lang w:val="es-ES" w:eastAsia="es-ES"/>
        </w:rPr>
        <w:t>marzo</w:t>
      </w:r>
      <w:r w:rsidRPr="00E5644F">
        <w:rPr>
          <w:rFonts w:ascii="Verdana" w:eastAsia="Calibri" w:hAnsi="Verdana" w:cs="Arial"/>
          <w:lang w:val="es-ES" w:eastAsia="es-ES"/>
        </w:rPr>
        <w:t xml:space="preserve"> de</w:t>
      </w:r>
      <w:r w:rsidR="00955D18">
        <w:rPr>
          <w:rFonts w:ascii="Verdana" w:eastAsia="Calibri" w:hAnsi="Verdana" w:cs="Arial"/>
          <w:lang w:val="es-ES" w:eastAsia="es-ES"/>
        </w:rPr>
        <w:t xml:space="preserve"> </w:t>
      </w:r>
      <w:r w:rsidRPr="00E5644F">
        <w:rPr>
          <w:rFonts w:ascii="Verdana" w:eastAsia="Calibri" w:hAnsi="Verdana" w:cs="Arial"/>
          <w:lang w:val="es-ES" w:eastAsia="es-ES"/>
        </w:rPr>
        <w:t>202</w:t>
      </w:r>
      <w:r w:rsidR="00955D18">
        <w:rPr>
          <w:rFonts w:ascii="Verdana" w:eastAsia="Calibri" w:hAnsi="Verdana" w:cs="Arial"/>
          <w:lang w:val="es-ES" w:eastAsia="es-ES"/>
        </w:rPr>
        <w:t>5</w:t>
      </w:r>
      <w:r w:rsidRPr="00E5644F">
        <w:rPr>
          <w:rFonts w:ascii="Verdana" w:eastAsia="Calibri" w:hAnsi="Verdana" w:cs="Arial"/>
          <w:lang w:val="es-ES" w:eastAsia="es-ES"/>
        </w:rPr>
        <w:t xml:space="preserve">, </w:t>
      </w:r>
      <w:r w:rsidR="009A1296">
        <w:rPr>
          <w:rFonts w:ascii="Verdana" w:eastAsia="Calibri" w:hAnsi="Verdana" w:cs="Arial"/>
          <w:lang w:val="es-ES" w:eastAsia="es-ES"/>
        </w:rPr>
        <w:t xml:space="preserve">mediante </w:t>
      </w:r>
      <w:r w:rsidRPr="006730E9">
        <w:rPr>
          <w:rFonts w:ascii="Verdana" w:eastAsia="Calibri" w:hAnsi="Verdana" w:cs="Arial"/>
          <w:lang w:val="es-ES" w:eastAsia="es-ES"/>
        </w:rPr>
        <w:t>la</w:t>
      </w:r>
      <w:r w:rsidR="009A1296">
        <w:rPr>
          <w:rFonts w:ascii="Verdana" w:eastAsia="Calibri" w:hAnsi="Verdana" w:cs="Arial"/>
          <w:lang w:val="es-ES" w:eastAsia="es-ES"/>
        </w:rPr>
        <w:t>s</w:t>
      </w:r>
      <w:r w:rsidRPr="006730E9">
        <w:rPr>
          <w:rFonts w:ascii="Verdana" w:eastAsia="Calibri" w:hAnsi="Verdana" w:cs="Arial"/>
          <w:lang w:val="es-ES" w:eastAsia="es-ES"/>
        </w:rPr>
        <w:t xml:space="preserve"> cual</w:t>
      </w:r>
      <w:r w:rsidR="009A1296">
        <w:rPr>
          <w:rFonts w:ascii="Verdana" w:eastAsia="Calibri" w:hAnsi="Verdana" w:cs="Arial"/>
          <w:lang w:val="es-ES" w:eastAsia="es-ES"/>
        </w:rPr>
        <w:t>es</w:t>
      </w:r>
      <w:r w:rsidRPr="006730E9">
        <w:rPr>
          <w:rFonts w:ascii="Verdana" w:eastAsia="Calibri" w:hAnsi="Verdana" w:cs="Arial"/>
          <w:lang w:val="es-ES" w:eastAsia="es-ES"/>
        </w:rPr>
        <w:t xml:space="preserve"> manifiesta lo siguiente: </w:t>
      </w:r>
    </w:p>
    <w:p w14:paraId="096183A1" w14:textId="77777777" w:rsidR="007D5768" w:rsidRPr="00326382" w:rsidRDefault="007D5768" w:rsidP="007D5768">
      <w:pPr>
        <w:spacing w:after="0" w:line="240" w:lineRule="auto"/>
        <w:ind w:left="709" w:right="474"/>
        <w:jc w:val="both"/>
        <w:rPr>
          <w:rFonts w:ascii="Verdana" w:hAnsi="Verdana" w:cs="Arial"/>
          <w:sz w:val="20"/>
          <w:szCs w:val="20"/>
          <w:shd w:val="clear" w:color="auto" w:fill="FFFFFF"/>
        </w:rPr>
      </w:pPr>
      <w:bookmarkStart w:id="4" w:name="_Hlk95313578"/>
    </w:p>
    <w:bookmarkEnd w:id="4"/>
    <w:p w14:paraId="409F5F76" w14:textId="7DB0F11B" w:rsidR="00EF4E84" w:rsidRPr="005758A5" w:rsidRDefault="00E6781E" w:rsidP="005758A5">
      <w:pPr>
        <w:pStyle w:val="ListParagraph"/>
        <w:tabs>
          <w:tab w:val="left" w:pos="142"/>
          <w:tab w:val="left" w:pos="284"/>
        </w:tabs>
        <w:ind w:left="709" w:right="709"/>
        <w:jc w:val="both"/>
        <w:rPr>
          <w:rFonts w:ascii="Verdana" w:eastAsia="Century Gothic" w:hAnsi="Verdana" w:cs="Century Gothic"/>
          <w:i/>
          <w:iCs/>
        </w:rPr>
      </w:pPr>
      <w:r w:rsidRPr="005758A5">
        <w:rPr>
          <w:rFonts w:ascii="Verdana" w:eastAsia="Century Gothic" w:hAnsi="Verdana" w:cs="Century Gothic"/>
          <w:i/>
          <w:iCs/>
          <w:lang w:val="es-CO"/>
        </w:rPr>
        <w:t>“</w:t>
      </w:r>
      <w:r w:rsidR="00FB76D0" w:rsidRPr="005758A5">
        <w:rPr>
          <w:rFonts w:ascii="Verdana" w:eastAsia="Century Gothic" w:hAnsi="Verdana" w:cs="Century Gothic"/>
          <w:i/>
          <w:iCs/>
          <w:lang w:val="es-CO"/>
        </w:rPr>
        <w:t>(…)</w:t>
      </w:r>
    </w:p>
    <w:p w14:paraId="77F3185D" w14:textId="77777777" w:rsidR="00906487" w:rsidRPr="00906487" w:rsidRDefault="00906487" w:rsidP="00906487">
      <w:pPr>
        <w:spacing w:after="0" w:line="240" w:lineRule="auto"/>
        <w:jc w:val="both"/>
        <w:rPr>
          <w:rFonts w:ascii="Verdana" w:hAnsi="Verdana"/>
          <w:b/>
          <w:bCs/>
        </w:rPr>
      </w:pPr>
      <w:r w:rsidRPr="00906487">
        <w:rPr>
          <w:rFonts w:ascii="Verdana" w:hAnsi="Verdana"/>
          <w:b/>
          <w:bCs/>
        </w:rPr>
        <w:t>Radicado : P20250310002347</w:t>
      </w:r>
    </w:p>
    <w:p w14:paraId="43FAAFB5" w14:textId="77777777" w:rsidR="00906487" w:rsidRPr="00906487" w:rsidRDefault="00906487" w:rsidP="00906487">
      <w:pPr>
        <w:pStyle w:val="ListParagraph"/>
        <w:spacing w:after="0" w:line="240" w:lineRule="auto"/>
        <w:jc w:val="both"/>
        <w:rPr>
          <w:rFonts w:ascii="Verdana" w:hAnsi="Verdana"/>
        </w:rPr>
      </w:pPr>
    </w:p>
    <w:p w14:paraId="0333796A" w14:textId="69C1E2FA" w:rsidR="00906487" w:rsidRPr="00906487" w:rsidRDefault="00906487" w:rsidP="004F5668">
      <w:pPr>
        <w:pStyle w:val="ListParagraph"/>
        <w:numPr>
          <w:ilvl w:val="0"/>
          <w:numId w:val="4"/>
        </w:numPr>
        <w:spacing w:after="0" w:line="240" w:lineRule="auto"/>
        <w:jc w:val="both"/>
        <w:rPr>
          <w:rFonts w:ascii="Verdana" w:hAnsi="Verdana"/>
          <w:i/>
          <w:iCs/>
        </w:rPr>
      </w:pPr>
      <w:r w:rsidRPr="00906487">
        <w:rPr>
          <w:rFonts w:ascii="Verdana" w:hAnsi="Verdana"/>
          <w:i/>
          <w:iCs/>
        </w:rPr>
        <w:t>¿ Cuál es el Manual actualizado que se debe tomar para establecer los indicadores financieros en un futuro proceso de contratación por Selección abreviada menor cuantía?</w:t>
      </w:r>
    </w:p>
    <w:p w14:paraId="68C595FF" w14:textId="4332FB19" w:rsidR="00906487" w:rsidRPr="00906487" w:rsidRDefault="00906487" w:rsidP="004F5668">
      <w:pPr>
        <w:pStyle w:val="ListParagraph"/>
        <w:numPr>
          <w:ilvl w:val="0"/>
          <w:numId w:val="4"/>
        </w:numPr>
        <w:spacing w:after="0" w:line="240" w:lineRule="auto"/>
        <w:jc w:val="both"/>
        <w:rPr>
          <w:rFonts w:ascii="Verdana" w:hAnsi="Verdana"/>
          <w:i/>
          <w:iCs/>
        </w:rPr>
      </w:pPr>
      <w:r w:rsidRPr="00906487">
        <w:rPr>
          <w:rFonts w:ascii="Verdana" w:hAnsi="Verdana"/>
          <w:i/>
          <w:iCs/>
        </w:rPr>
        <w:t>¿ Una entidad estatal puede determinar definir sus indicadores financieros teniendo en cuenta la Guía de Elaboración de Estudios de Sector (GEES) o esta guía es únicamente para realizar Estudios del Sector para definir la oferta y la demanda de un bien en particular?</w:t>
      </w:r>
    </w:p>
    <w:p w14:paraId="7F184435" w14:textId="77777777" w:rsidR="00906487" w:rsidRPr="00906487" w:rsidRDefault="00906487" w:rsidP="004F5668">
      <w:pPr>
        <w:pStyle w:val="ListParagraph"/>
        <w:numPr>
          <w:ilvl w:val="0"/>
          <w:numId w:val="4"/>
        </w:numPr>
        <w:spacing w:after="0" w:line="240" w:lineRule="auto"/>
        <w:jc w:val="both"/>
        <w:rPr>
          <w:rFonts w:ascii="Verdana" w:hAnsi="Verdana"/>
          <w:i/>
          <w:iCs/>
        </w:rPr>
      </w:pPr>
      <w:r w:rsidRPr="00906487">
        <w:rPr>
          <w:rFonts w:ascii="Verdana" w:hAnsi="Verdana"/>
          <w:i/>
          <w:iCs/>
        </w:rPr>
        <w:t>¿Las entidades estatales pueden tomar indicadores financieros que estén establecidos en otros pliegos como muestra para sus nuevos procesos o deben realizar un nuevo estudio?</w:t>
      </w:r>
    </w:p>
    <w:p w14:paraId="60FD9DA9" w14:textId="77777777" w:rsidR="00906487" w:rsidRPr="00906487" w:rsidRDefault="00906487" w:rsidP="00906487">
      <w:pPr>
        <w:spacing w:after="0" w:line="240" w:lineRule="auto"/>
        <w:jc w:val="both"/>
        <w:rPr>
          <w:rFonts w:ascii="Verdana" w:hAnsi="Verdana"/>
        </w:rPr>
      </w:pPr>
    </w:p>
    <w:p w14:paraId="7C9658B2" w14:textId="77777777" w:rsidR="00906487" w:rsidRPr="00906487" w:rsidRDefault="00906487" w:rsidP="00906487">
      <w:pPr>
        <w:spacing w:after="0" w:line="240" w:lineRule="auto"/>
        <w:jc w:val="both"/>
        <w:rPr>
          <w:rFonts w:ascii="Verdana" w:hAnsi="Verdana"/>
          <w:b/>
          <w:bCs/>
        </w:rPr>
      </w:pPr>
      <w:r w:rsidRPr="00906487">
        <w:rPr>
          <w:rFonts w:ascii="Verdana" w:hAnsi="Verdana"/>
          <w:b/>
          <w:bCs/>
        </w:rPr>
        <w:t>Radicado : P20250310002348</w:t>
      </w:r>
    </w:p>
    <w:p w14:paraId="2ED5B1FB" w14:textId="77777777" w:rsidR="00906487" w:rsidRPr="00906487" w:rsidRDefault="00906487" w:rsidP="00906487">
      <w:pPr>
        <w:spacing w:after="0" w:line="240" w:lineRule="auto"/>
        <w:jc w:val="both"/>
        <w:rPr>
          <w:rFonts w:ascii="Verdana" w:hAnsi="Verdana"/>
          <w:b/>
          <w:bCs/>
        </w:rPr>
      </w:pPr>
    </w:p>
    <w:p w14:paraId="5719B3D6" w14:textId="77777777" w:rsidR="00906487" w:rsidRPr="00906487" w:rsidRDefault="00906487" w:rsidP="00906487">
      <w:pPr>
        <w:spacing w:after="0" w:line="240" w:lineRule="auto"/>
        <w:ind w:left="567"/>
        <w:jc w:val="both"/>
        <w:rPr>
          <w:rFonts w:ascii="Verdana" w:hAnsi="Verdana"/>
          <w:i/>
          <w:iCs/>
        </w:rPr>
      </w:pPr>
      <w:r w:rsidRPr="00906487">
        <w:rPr>
          <w:rFonts w:ascii="Verdana" w:hAnsi="Verdana"/>
          <w:i/>
          <w:iCs/>
        </w:rPr>
        <w:t>1. ¿En referencia a un servicio a contratar que únicamente se puedan presentar empresas que tengan una licencia de funcionamiento de determinada Superintendencia, los indicadores financieros deben ser tomados de estas o de todo el sector?</w:t>
      </w:r>
    </w:p>
    <w:p w14:paraId="101507CA" w14:textId="77777777" w:rsidR="00906487" w:rsidRPr="00906487" w:rsidRDefault="00906487" w:rsidP="00906487">
      <w:pPr>
        <w:spacing w:after="0" w:line="240" w:lineRule="auto"/>
        <w:ind w:left="567"/>
        <w:jc w:val="both"/>
        <w:rPr>
          <w:rFonts w:ascii="Verdana" w:hAnsi="Verdana"/>
          <w:i/>
          <w:iCs/>
        </w:rPr>
      </w:pPr>
    </w:p>
    <w:p w14:paraId="11D88B34" w14:textId="77777777" w:rsidR="00906487" w:rsidRPr="00906487" w:rsidRDefault="00906487" w:rsidP="00906487">
      <w:pPr>
        <w:spacing w:after="0" w:line="240" w:lineRule="auto"/>
        <w:ind w:left="567"/>
        <w:jc w:val="both"/>
        <w:rPr>
          <w:rFonts w:ascii="Verdana" w:hAnsi="Verdana"/>
          <w:i/>
          <w:iCs/>
        </w:rPr>
      </w:pPr>
      <w:r w:rsidRPr="00906487">
        <w:rPr>
          <w:rFonts w:ascii="Verdana" w:hAnsi="Verdana"/>
          <w:i/>
          <w:iCs/>
        </w:rPr>
        <w:t xml:space="preserve"> 2. ¿En un sector de servicios de seguridad cual es la muestra mínima de empresas del sector de SuperSociedades que se debe tomar, y como es la forma adecuada para establecer la Razón de cobertura del interés?</w:t>
      </w:r>
    </w:p>
    <w:p w14:paraId="3B6113EC" w14:textId="77777777" w:rsidR="00906487" w:rsidRPr="00906487" w:rsidRDefault="00906487" w:rsidP="00906487">
      <w:pPr>
        <w:spacing w:after="0" w:line="240" w:lineRule="auto"/>
        <w:ind w:left="567"/>
        <w:jc w:val="both"/>
        <w:rPr>
          <w:rFonts w:ascii="Verdana" w:hAnsi="Verdana"/>
          <w:i/>
          <w:iCs/>
        </w:rPr>
      </w:pPr>
    </w:p>
    <w:p w14:paraId="164609E5" w14:textId="77777777" w:rsidR="00906487" w:rsidRPr="00906487" w:rsidRDefault="00906487" w:rsidP="00906487">
      <w:pPr>
        <w:spacing w:after="0" w:line="240" w:lineRule="auto"/>
        <w:ind w:left="567"/>
        <w:jc w:val="both"/>
        <w:rPr>
          <w:rFonts w:ascii="Verdana" w:hAnsi="Verdana"/>
          <w:i/>
          <w:iCs/>
        </w:rPr>
      </w:pPr>
      <w:r w:rsidRPr="00906487">
        <w:rPr>
          <w:rFonts w:ascii="Verdana" w:hAnsi="Verdana"/>
          <w:i/>
          <w:iCs/>
        </w:rPr>
        <w:t>3. ¿De acuerdo con los documentos tipo q establece Colombia compra cual sería un adecuado indicador financiero de razón de cobertura del interés para un proceso de 800 millones en el sector de servicios de vigilancia?</w:t>
      </w:r>
    </w:p>
    <w:p w14:paraId="17F662C5" w14:textId="77777777" w:rsidR="00906487" w:rsidRPr="00906487" w:rsidRDefault="00906487" w:rsidP="00906487">
      <w:pPr>
        <w:spacing w:after="0" w:line="240" w:lineRule="auto"/>
        <w:jc w:val="both"/>
        <w:rPr>
          <w:rFonts w:ascii="Verdana" w:hAnsi="Verdana"/>
        </w:rPr>
      </w:pPr>
    </w:p>
    <w:p w14:paraId="6237EB78" w14:textId="77777777" w:rsidR="00906487" w:rsidRPr="00906487" w:rsidRDefault="00906487" w:rsidP="00906487">
      <w:pPr>
        <w:spacing w:after="0" w:line="240" w:lineRule="auto"/>
        <w:jc w:val="both"/>
        <w:rPr>
          <w:rFonts w:ascii="Verdana" w:hAnsi="Verdana"/>
          <w:b/>
          <w:bCs/>
        </w:rPr>
      </w:pPr>
      <w:r w:rsidRPr="00906487">
        <w:rPr>
          <w:rFonts w:ascii="Verdana" w:hAnsi="Verdana"/>
          <w:b/>
          <w:bCs/>
        </w:rPr>
        <w:t>Radicado : P20250310002349</w:t>
      </w:r>
    </w:p>
    <w:p w14:paraId="16513483" w14:textId="77777777" w:rsidR="00906487" w:rsidRPr="00906487" w:rsidRDefault="00906487" w:rsidP="00906487">
      <w:pPr>
        <w:spacing w:after="0" w:line="240" w:lineRule="auto"/>
        <w:jc w:val="both"/>
        <w:rPr>
          <w:rFonts w:ascii="Verdana" w:hAnsi="Verdana"/>
          <w:i/>
          <w:iCs/>
        </w:rPr>
      </w:pPr>
    </w:p>
    <w:p w14:paraId="445837DE" w14:textId="0F09DDD8" w:rsidR="00906487" w:rsidRPr="00906487" w:rsidRDefault="00906487" w:rsidP="004F5668">
      <w:pPr>
        <w:pStyle w:val="ListParagraph"/>
        <w:numPr>
          <w:ilvl w:val="0"/>
          <w:numId w:val="5"/>
        </w:numPr>
        <w:spacing w:after="0" w:line="240" w:lineRule="auto"/>
        <w:jc w:val="both"/>
        <w:rPr>
          <w:rFonts w:ascii="Verdana" w:hAnsi="Verdana"/>
          <w:i/>
          <w:iCs/>
        </w:rPr>
      </w:pPr>
      <w:r w:rsidRPr="00906487">
        <w:rPr>
          <w:rFonts w:ascii="Verdana" w:hAnsi="Verdana"/>
          <w:i/>
          <w:iCs/>
        </w:rPr>
        <w:t>¿Cuál es la diferencia de definir requisitos habilitantes o establecer el estudio del sector del estudio previo?</w:t>
      </w:r>
    </w:p>
    <w:p w14:paraId="076414EC" w14:textId="276AABA7" w:rsidR="00906487" w:rsidRPr="00906487" w:rsidRDefault="00906487" w:rsidP="004F5668">
      <w:pPr>
        <w:pStyle w:val="ListParagraph"/>
        <w:numPr>
          <w:ilvl w:val="0"/>
          <w:numId w:val="5"/>
        </w:numPr>
        <w:spacing w:after="0" w:line="240" w:lineRule="auto"/>
        <w:jc w:val="both"/>
        <w:rPr>
          <w:rFonts w:ascii="Verdana" w:hAnsi="Verdana"/>
          <w:i/>
          <w:iCs/>
        </w:rPr>
      </w:pPr>
      <w:r w:rsidRPr="00906487">
        <w:rPr>
          <w:rFonts w:ascii="Verdana" w:hAnsi="Verdana"/>
          <w:i/>
          <w:iCs/>
        </w:rPr>
        <w:t>¿Se solicita preguntar si hay compatibilidad para establecer indicadores  financieros con la Guía de Elaboración de Estudios de Sector (GEES) o cual guía se debe tomar?</w:t>
      </w:r>
    </w:p>
    <w:p w14:paraId="04B6E81B" w14:textId="77777777" w:rsidR="00906487" w:rsidRPr="00906487" w:rsidRDefault="00906487" w:rsidP="005758A5">
      <w:pPr>
        <w:pStyle w:val="ListParagraph"/>
        <w:tabs>
          <w:tab w:val="left" w:pos="142"/>
          <w:tab w:val="left" w:pos="284"/>
        </w:tabs>
        <w:ind w:left="709" w:right="709"/>
        <w:jc w:val="both"/>
        <w:rPr>
          <w:rFonts w:ascii="Verdana" w:eastAsia="Century Gothic" w:hAnsi="Verdana" w:cs="Century Gothic"/>
          <w:i/>
          <w:iCs/>
          <w:lang w:val="es-CO"/>
        </w:rPr>
      </w:pPr>
    </w:p>
    <w:p w14:paraId="10D3AD1A" w14:textId="77777777" w:rsidR="00906487" w:rsidRPr="00906487" w:rsidRDefault="00906487" w:rsidP="005758A5">
      <w:pPr>
        <w:pStyle w:val="ListParagraph"/>
        <w:tabs>
          <w:tab w:val="left" w:pos="142"/>
          <w:tab w:val="left" w:pos="284"/>
        </w:tabs>
        <w:ind w:left="709" w:right="709"/>
        <w:jc w:val="both"/>
        <w:rPr>
          <w:rFonts w:ascii="Verdana" w:eastAsia="Century Gothic" w:hAnsi="Verdana" w:cs="Century Gothic"/>
          <w:i/>
          <w:iCs/>
          <w:lang w:val="es-CO"/>
        </w:rPr>
      </w:pPr>
    </w:p>
    <w:p w14:paraId="76D89AB9" w14:textId="77777777" w:rsidR="00906487" w:rsidRPr="00906487" w:rsidRDefault="00906487" w:rsidP="005758A5">
      <w:pPr>
        <w:pStyle w:val="ListParagraph"/>
        <w:tabs>
          <w:tab w:val="left" w:pos="142"/>
          <w:tab w:val="left" w:pos="284"/>
        </w:tabs>
        <w:ind w:left="709" w:right="709"/>
        <w:jc w:val="both"/>
        <w:rPr>
          <w:rFonts w:ascii="Verdana" w:eastAsia="Century Gothic" w:hAnsi="Verdana" w:cs="Century Gothic"/>
          <w:i/>
          <w:iCs/>
          <w:lang w:val="es-CO"/>
        </w:rPr>
      </w:pPr>
    </w:p>
    <w:p w14:paraId="21C7E7FF" w14:textId="77777777" w:rsidR="00906487" w:rsidRPr="00906487" w:rsidRDefault="00906487" w:rsidP="005758A5">
      <w:pPr>
        <w:pStyle w:val="ListParagraph"/>
        <w:tabs>
          <w:tab w:val="left" w:pos="142"/>
          <w:tab w:val="left" w:pos="284"/>
        </w:tabs>
        <w:ind w:left="709" w:right="709"/>
        <w:jc w:val="both"/>
        <w:rPr>
          <w:rFonts w:ascii="Verdana" w:eastAsia="Century Gothic" w:hAnsi="Verdana" w:cs="Century Gothic"/>
          <w:i/>
          <w:iCs/>
          <w:lang w:val="es-CO"/>
        </w:rPr>
      </w:pPr>
    </w:p>
    <w:p w14:paraId="4A1949FF" w14:textId="1BC69267" w:rsidR="00955D18" w:rsidRPr="005758A5" w:rsidRDefault="009D04B0" w:rsidP="005758A5">
      <w:pPr>
        <w:pStyle w:val="ListParagraph"/>
        <w:tabs>
          <w:tab w:val="left" w:pos="142"/>
          <w:tab w:val="left" w:pos="284"/>
        </w:tabs>
        <w:ind w:left="709" w:right="709"/>
        <w:jc w:val="both"/>
        <w:rPr>
          <w:rFonts w:ascii="Verdana" w:eastAsia="Century Gothic" w:hAnsi="Verdana" w:cs="Century Gothic"/>
          <w:i/>
          <w:iCs/>
        </w:rPr>
      </w:pPr>
      <w:r w:rsidRPr="005758A5">
        <w:rPr>
          <w:rFonts w:ascii="Verdana" w:eastAsia="Century Gothic" w:hAnsi="Verdana" w:cs="Century Gothic"/>
          <w:i/>
          <w:iCs/>
          <w:lang w:val="es-CO"/>
        </w:rPr>
        <w:t>(…)</w:t>
      </w:r>
    </w:p>
    <w:p w14:paraId="7EDE0C68" w14:textId="217D55E2" w:rsidR="00E6781E" w:rsidRPr="00AA3B9F" w:rsidRDefault="00E6781E" w:rsidP="00E6781E">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sidR="00BD77C4">
        <w:rPr>
          <w:rFonts w:ascii="Verdana" w:eastAsia="Calibri" w:hAnsi="Verdana" w:cs="Arial"/>
          <w:lang w:val="es-ES" w:eastAsia="es-ES"/>
        </w:rPr>
        <w:t>E</w:t>
      </w:r>
      <w:r w:rsidRPr="00AA3B9F">
        <w:rPr>
          <w:rFonts w:ascii="Verdana" w:eastAsia="Calibri" w:hAnsi="Verdana" w:cs="Arial"/>
          <w:lang w:val="es-ES" w:eastAsia="es-ES"/>
        </w:rPr>
        <w:t xml:space="preserve">ntidades </w:t>
      </w:r>
      <w:r w:rsidR="00BD77C4">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78EE459" w14:textId="12E187A4" w:rsidR="00E6781E" w:rsidRDefault="00E6781E" w:rsidP="00E6781E">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w:t>
      </w:r>
      <w:r w:rsidR="009A1296">
        <w:rPr>
          <w:rFonts w:ascii="Verdana" w:eastAsia="Calibri" w:hAnsi="Verdana" w:cs="Arial"/>
          <w:lang w:val="es-ES" w:eastAsia="es-ES"/>
        </w:rPr>
        <w:t>s</w:t>
      </w:r>
      <w:r w:rsidRPr="00AA3B9F">
        <w:rPr>
          <w:rFonts w:ascii="Verdana" w:eastAsia="Calibri" w:hAnsi="Verdana" w:cs="Arial"/>
          <w:lang w:val="es-ES" w:eastAsia="es-ES"/>
        </w:rPr>
        <w:t xml:space="preserve"> consulta</w:t>
      </w:r>
      <w:r w:rsidR="009A1296">
        <w:rPr>
          <w:rFonts w:ascii="Verdana" w:eastAsia="Calibri" w:hAnsi="Verdana" w:cs="Arial"/>
          <w:lang w:val="es-ES" w:eastAsia="es-ES"/>
        </w:rPr>
        <w:t>s</w:t>
      </w:r>
      <w:r w:rsidRPr="00AA3B9F">
        <w:rPr>
          <w:rFonts w:ascii="Verdana" w:eastAsia="Calibri" w:hAnsi="Verdana" w:cs="Arial"/>
          <w:lang w:val="es-ES" w:eastAsia="es-ES"/>
        </w:rPr>
        <w:t xml:space="preserve"> dentro de los límites de la referida competencia consultiva, esto es, haciendo abstracción de las circunstancias particulares y concretas mencionadas en su</w:t>
      </w:r>
      <w:r w:rsidR="009A1296">
        <w:rPr>
          <w:rFonts w:ascii="Verdana" w:eastAsia="Calibri" w:hAnsi="Verdana" w:cs="Arial"/>
          <w:lang w:val="es-ES" w:eastAsia="es-ES"/>
        </w:rPr>
        <w:t>s</w:t>
      </w:r>
      <w:r w:rsidRPr="00AA3B9F">
        <w:rPr>
          <w:rFonts w:ascii="Verdana" w:eastAsia="Calibri" w:hAnsi="Verdana" w:cs="Arial"/>
          <w:lang w:val="es-ES" w:eastAsia="es-ES"/>
        </w:rPr>
        <w:t xml:space="preserve"> </w:t>
      </w:r>
      <w:r w:rsidR="009A1296" w:rsidRPr="00AA3B9F">
        <w:rPr>
          <w:rFonts w:ascii="Verdana" w:eastAsia="Calibri" w:hAnsi="Verdana" w:cs="Arial"/>
          <w:lang w:val="es-ES" w:eastAsia="es-ES"/>
        </w:rPr>
        <w:t>peticion</w:t>
      </w:r>
      <w:r w:rsidR="009A1296">
        <w:rPr>
          <w:rFonts w:ascii="Verdana" w:eastAsia="Calibri" w:hAnsi="Verdana" w:cs="Arial"/>
          <w:lang w:val="es-ES" w:eastAsia="es-ES"/>
        </w:rPr>
        <w:t>es</w:t>
      </w:r>
      <w:r w:rsidRPr="00AA3B9F">
        <w:rPr>
          <w:rFonts w:ascii="Verdana" w:eastAsia="Calibri" w:hAnsi="Verdana" w:cs="Arial"/>
          <w:lang w:val="es-ES" w:eastAsia="es-ES"/>
        </w:rPr>
        <w:t>, pero haciendo unas consideraciones sobre las normas generales relacionadas con los problemas jurídicos de su</w:t>
      </w:r>
      <w:r w:rsidR="009A1296">
        <w:rPr>
          <w:rFonts w:ascii="Verdana" w:eastAsia="Calibri" w:hAnsi="Verdana" w:cs="Arial"/>
          <w:lang w:val="es-ES" w:eastAsia="es-ES"/>
        </w:rPr>
        <w:t>s</w:t>
      </w:r>
      <w:r w:rsidRPr="00AA3B9F">
        <w:rPr>
          <w:rFonts w:ascii="Verdana" w:eastAsia="Calibri" w:hAnsi="Verdana" w:cs="Arial"/>
          <w:lang w:val="es-ES" w:eastAsia="es-ES"/>
        </w:rPr>
        <w:t xml:space="preserve"> consulta</w:t>
      </w:r>
      <w:r w:rsidR="009A1296">
        <w:rPr>
          <w:rFonts w:ascii="Verdana" w:eastAsia="Calibri" w:hAnsi="Verdana" w:cs="Arial"/>
          <w:lang w:val="es-ES" w:eastAsia="es-ES"/>
        </w:rPr>
        <w:t>s</w:t>
      </w:r>
      <w:r w:rsidRPr="00AA3B9F">
        <w:rPr>
          <w:rFonts w:ascii="Verdana" w:eastAsia="Calibri" w:hAnsi="Verdana" w:cs="Arial"/>
          <w:lang w:val="es-ES" w:eastAsia="es-ES"/>
        </w:rPr>
        <w:t xml:space="preserve">.  </w:t>
      </w:r>
    </w:p>
    <w:p w14:paraId="52ADC2CC" w14:textId="77777777" w:rsidR="003C34BB" w:rsidRPr="00AA3B9F" w:rsidRDefault="003C34BB" w:rsidP="00E6781E">
      <w:pPr>
        <w:spacing w:after="0" w:line="276" w:lineRule="auto"/>
        <w:ind w:firstLine="709"/>
        <w:jc w:val="both"/>
        <w:rPr>
          <w:rFonts w:ascii="Verdana" w:eastAsia="Calibri" w:hAnsi="Verdana" w:cs="Arial"/>
          <w:lang w:val="es-ES" w:eastAsia="es-ES"/>
        </w:rPr>
      </w:pPr>
    </w:p>
    <w:p w14:paraId="46704925" w14:textId="5CFDBA4D" w:rsidR="007D5768" w:rsidRPr="00593A5F" w:rsidRDefault="007D5768" w:rsidP="004F5668">
      <w:pPr>
        <w:pStyle w:val="ListParagraph"/>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sidR="00FF2373">
        <w:rPr>
          <w:rFonts w:ascii="Verdana" w:eastAsia="Century Gothic" w:hAnsi="Verdana" w:cs="Century Gothic"/>
          <w:b/>
          <w:bCs/>
        </w:rPr>
        <w:t>s</w:t>
      </w:r>
      <w:r w:rsidRPr="00593A5F">
        <w:rPr>
          <w:rFonts w:ascii="Verdana" w:eastAsia="Century Gothic" w:hAnsi="Verdana" w:cs="Century Gothic"/>
          <w:b/>
          <w:bCs/>
        </w:rPr>
        <w:t xml:space="preserve"> </w:t>
      </w:r>
      <w:r>
        <w:rPr>
          <w:rFonts w:ascii="Verdana" w:eastAsia="Century Gothic" w:hAnsi="Verdana" w:cs="Century Gothic"/>
          <w:b/>
          <w:bCs/>
        </w:rPr>
        <w:t>jurídico</w:t>
      </w:r>
      <w:r w:rsidR="00FF2373">
        <w:rPr>
          <w:rFonts w:ascii="Verdana" w:eastAsia="Century Gothic" w:hAnsi="Verdana" w:cs="Century Gothic"/>
          <w:b/>
          <w:bCs/>
        </w:rPr>
        <w:t>s</w:t>
      </w:r>
      <w:r>
        <w:rPr>
          <w:rFonts w:ascii="Verdana" w:eastAsia="Century Gothic" w:hAnsi="Verdana" w:cs="Century Gothic"/>
          <w:b/>
          <w:bCs/>
        </w:rPr>
        <w:t xml:space="preserve"> </w:t>
      </w:r>
      <w:r w:rsidRPr="00593A5F">
        <w:rPr>
          <w:rFonts w:ascii="Verdana" w:eastAsia="Century Gothic" w:hAnsi="Verdana" w:cs="Century Gothic"/>
          <w:b/>
          <w:bCs/>
        </w:rPr>
        <w:t>planteado</w:t>
      </w:r>
      <w:r w:rsidR="00FF2373">
        <w:rPr>
          <w:rFonts w:ascii="Verdana" w:eastAsia="Century Gothic" w:hAnsi="Verdana" w:cs="Century Gothic"/>
          <w:b/>
          <w:bCs/>
        </w:rPr>
        <w:t>s</w:t>
      </w:r>
      <w:r w:rsidRPr="00593A5F">
        <w:rPr>
          <w:rFonts w:ascii="Verdana" w:eastAsia="Century Gothic" w:hAnsi="Verdana" w:cs="Century Gothic"/>
          <w:b/>
          <w:bCs/>
        </w:rPr>
        <w:t>:</w:t>
      </w:r>
    </w:p>
    <w:p w14:paraId="5CB2E569" w14:textId="77777777" w:rsidR="007D5768" w:rsidRPr="00593A5F" w:rsidRDefault="007D5768" w:rsidP="007D5768">
      <w:pPr>
        <w:tabs>
          <w:tab w:val="left" w:pos="426"/>
        </w:tabs>
        <w:spacing w:after="0" w:line="276" w:lineRule="auto"/>
        <w:jc w:val="both"/>
        <w:rPr>
          <w:rFonts w:ascii="Verdana" w:eastAsia="Century Gothic" w:hAnsi="Verdana" w:cs="Century Gothic"/>
          <w:lang w:val="es-ES"/>
        </w:rPr>
      </w:pPr>
    </w:p>
    <w:p w14:paraId="125C6448" w14:textId="77777777" w:rsidR="009A1296" w:rsidRDefault="007D5768" w:rsidP="001561D6">
      <w:pPr>
        <w:pStyle w:val="ListParagraph"/>
        <w:ind w:left="0" w:right="49"/>
        <w:jc w:val="both"/>
        <w:rPr>
          <w:rFonts w:ascii="Verdana" w:eastAsia="Century Gothic" w:hAnsi="Verdana" w:cs="Century Gothic"/>
        </w:rPr>
      </w:pPr>
      <w:r w:rsidRPr="00B22D91">
        <w:rPr>
          <w:rFonts w:ascii="Verdana" w:eastAsia="Century Gothic" w:hAnsi="Verdana" w:cs="Century Gothic"/>
        </w:rPr>
        <w:t xml:space="preserve">De acuerdo con el contenido de su solicitud, esta Agencia resolverá </w:t>
      </w:r>
      <w:r w:rsidR="009A1296">
        <w:rPr>
          <w:rFonts w:ascii="Verdana" w:eastAsia="Century Gothic" w:hAnsi="Verdana" w:cs="Century Gothic"/>
        </w:rPr>
        <w:t>los</w:t>
      </w:r>
      <w:r w:rsidR="00ED291B">
        <w:rPr>
          <w:rFonts w:ascii="Verdana" w:eastAsia="Century Gothic" w:hAnsi="Verdana" w:cs="Century Gothic"/>
        </w:rPr>
        <w:t xml:space="preserve"> </w:t>
      </w:r>
      <w:r>
        <w:rPr>
          <w:rFonts w:ascii="Verdana" w:eastAsia="Century Gothic" w:hAnsi="Verdana" w:cs="Century Gothic"/>
        </w:rPr>
        <w:t>siguiente</w:t>
      </w:r>
      <w:r w:rsidR="009A1296">
        <w:rPr>
          <w:rFonts w:ascii="Verdana" w:eastAsia="Century Gothic" w:hAnsi="Verdana" w:cs="Century Gothic"/>
        </w:rPr>
        <w:t>s</w:t>
      </w:r>
      <w:r>
        <w:rPr>
          <w:rFonts w:ascii="Verdana" w:eastAsia="Century Gothic" w:hAnsi="Verdana" w:cs="Century Gothic"/>
        </w:rPr>
        <w:t xml:space="preserve"> </w:t>
      </w:r>
      <w:r w:rsidRPr="00B22D91">
        <w:rPr>
          <w:rFonts w:ascii="Verdana" w:eastAsia="Century Gothic" w:hAnsi="Verdana" w:cs="Century Gothic"/>
        </w:rPr>
        <w:t>problema</w:t>
      </w:r>
      <w:r w:rsidR="009A1296">
        <w:rPr>
          <w:rFonts w:ascii="Verdana" w:eastAsia="Century Gothic" w:hAnsi="Verdana" w:cs="Century Gothic"/>
        </w:rPr>
        <w:t>s</w:t>
      </w:r>
      <w:r w:rsidRPr="00B22D91">
        <w:rPr>
          <w:rFonts w:ascii="Verdana" w:eastAsia="Century Gothic" w:hAnsi="Verdana" w:cs="Century Gothic"/>
        </w:rPr>
        <w:t xml:space="preserve"> jurídico</w:t>
      </w:r>
      <w:r w:rsidR="005F7B58">
        <w:rPr>
          <w:rFonts w:ascii="Verdana" w:eastAsia="Century Gothic" w:hAnsi="Verdana" w:cs="Century Gothic"/>
        </w:rPr>
        <w:t>s</w:t>
      </w:r>
      <w:r w:rsidRPr="00B22D91">
        <w:rPr>
          <w:rFonts w:ascii="Verdana" w:eastAsia="Century Gothic" w:hAnsi="Verdana" w:cs="Century Gothic"/>
        </w:rPr>
        <w:t>:</w:t>
      </w:r>
      <w:r w:rsidR="007B61BA">
        <w:rPr>
          <w:rFonts w:ascii="Verdana" w:eastAsia="Century Gothic" w:hAnsi="Verdana" w:cs="Century Gothic"/>
        </w:rPr>
        <w:t xml:space="preserve"> </w:t>
      </w:r>
    </w:p>
    <w:p w14:paraId="2AFC989E" w14:textId="77777777" w:rsidR="00FF2373" w:rsidRDefault="00FF2373" w:rsidP="001561D6">
      <w:pPr>
        <w:pStyle w:val="ListParagraph"/>
        <w:ind w:left="0" w:right="49"/>
        <w:jc w:val="both"/>
        <w:rPr>
          <w:rFonts w:ascii="Verdana" w:eastAsia="Century Gothic" w:hAnsi="Verdana" w:cs="Century Gothic"/>
        </w:rPr>
      </w:pPr>
    </w:p>
    <w:p w14:paraId="2E23A84C" w14:textId="7AD231B5" w:rsidR="009A1296" w:rsidRPr="00FF2373" w:rsidRDefault="00FF2373" w:rsidP="001561D6">
      <w:pPr>
        <w:pStyle w:val="ListParagraph"/>
        <w:ind w:left="0" w:right="49"/>
        <w:jc w:val="both"/>
        <w:rPr>
          <w:rFonts w:ascii="Verdana" w:eastAsia="Century Gothic" w:hAnsi="Verdana" w:cs="Century Gothic"/>
        </w:rPr>
      </w:pPr>
      <w:r w:rsidRPr="00FF2373">
        <w:rPr>
          <w:rFonts w:ascii="Verdana" w:eastAsia="Century Gothic" w:hAnsi="Verdana" w:cs="Century Gothic"/>
        </w:rPr>
        <w:t>“</w:t>
      </w:r>
    </w:p>
    <w:p w14:paraId="47EB08AB" w14:textId="77777777" w:rsidR="00FF2373" w:rsidRPr="00FF2373" w:rsidRDefault="00FF2373" w:rsidP="004F5668">
      <w:pPr>
        <w:pStyle w:val="ListParagraph"/>
        <w:numPr>
          <w:ilvl w:val="0"/>
          <w:numId w:val="6"/>
        </w:numPr>
        <w:ind w:right="49"/>
        <w:jc w:val="both"/>
        <w:rPr>
          <w:rFonts w:ascii="Verdana" w:eastAsia="Century Gothic" w:hAnsi="Verdana" w:cs="Century Gothic"/>
          <w:i/>
          <w:iCs/>
        </w:rPr>
      </w:pPr>
      <w:r w:rsidRPr="00FF2373">
        <w:rPr>
          <w:rFonts w:ascii="Verdana" w:eastAsia="Century Gothic" w:hAnsi="Verdana" w:cs="Century Gothic"/>
          <w:i/>
          <w:iCs/>
        </w:rPr>
        <w:t>¿Cuál es el manual vigente que debe aplicar una entidad estatal para establecer indicadores financieros en un proceso de Selección Abreviada de Menor Cuantía?</w:t>
      </w:r>
    </w:p>
    <w:p w14:paraId="1EB87166" w14:textId="77777777" w:rsidR="00FF2373" w:rsidRPr="00FF2373" w:rsidRDefault="00FF2373" w:rsidP="004F5668">
      <w:pPr>
        <w:pStyle w:val="ListParagraph"/>
        <w:numPr>
          <w:ilvl w:val="0"/>
          <w:numId w:val="6"/>
        </w:numPr>
        <w:ind w:right="49"/>
        <w:jc w:val="both"/>
        <w:rPr>
          <w:rFonts w:ascii="Verdana" w:eastAsia="Century Gothic" w:hAnsi="Verdana" w:cs="Century Gothic"/>
          <w:i/>
          <w:iCs/>
        </w:rPr>
      </w:pPr>
      <w:r w:rsidRPr="00FF2373">
        <w:rPr>
          <w:rFonts w:ascii="Verdana" w:eastAsia="Century Gothic" w:hAnsi="Verdana" w:cs="Century Gothic"/>
          <w:i/>
          <w:iCs/>
        </w:rPr>
        <w:t>¿Puede usarse la Guía de Elaboración de Estudios de Sector (GEES) para definir indicadores financieros?</w:t>
      </w:r>
    </w:p>
    <w:p w14:paraId="24E31166" w14:textId="77777777" w:rsidR="00FF2373" w:rsidRPr="00FF2373" w:rsidRDefault="00FF2373" w:rsidP="004F5668">
      <w:pPr>
        <w:pStyle w:val="ListParagraph"/>
        <w:numPr>
          <w:ilvl w:val="0"/>
          <w:numId w:val="6"/>
        </w:numPr>
        <w:ind w:right="49"/>
        <w:jc w:val="both"/>
        <w:rPr>
          <w:rFonts w:ascii="Verdana" w:eastAsia="Century Gothic" w:hAnsi="Verdana" w:cs="Century Gothic"/>
          <w:i/>
          <w:iCs/>
        </w:rPr>
      </w:pPr>
      <w:r w:rsidRPr="00FF2373">
        <w:rPr>
          <w:rFonts w:ascii="Verdana" w:eastAsia="Century Gothic" w:hAnsi="Verdana" w:cs="Century Gothic"/>
          <w:i/>
          <w:iCs/>
        </w:rPr>
        <w:t>¿Puede una entidad copiar indicadores financieros de otros procesos sin hacer un estudio propio?</w:t>
      </w:r>
    </w:p>
    <w:p w14:paraId="361F4A80" w14:textId="77777777" w:rsidR="00FF2373" w:rsidRPr="00FF2373" w:rsidRDefault="00FF2373" w:rsidP="004F5668">
      <w:pPr>
        <w:pStyle w:val="ListParagraph"/>
        <w:numPr>
          <w:ilvl w:val="0"/>
          <w:numId w:val="6"/>
        </w:numPr>
        <w:ind w:right="49"/>
        <w:jc w:val="both"/>
        <w:rPr>
          <w:rFonts w:ascii="Verdana" w:eastAsia="Century Gothic" w:hAnsi="Verdana" w:cs="Century Gothic"/>
          <w:i/>
          <w:iCs/>
        </w:rPr>
      </w:pPr>
      <w:r w:rsidRPr="00FF2373">
        <w:rPr>
          <w:rFonts w:ascii="Verdana" w:eastAsia="Century Gothic" w:hAnsi="Verdana" w:cs="Century Gothic"/>
          <w:i/>
          <w:iCs/>
        </w:rPr>
        <w:t>¿Deben tomarse indicadores financieros de todo el sector o solo de empresas con licencia de funcionamiento otorgada por una Superintendencia?</w:t>
      </w:r>
    </w:p>
    <w:p w14:paraId="6979DF2C" w14:textId="77777777" w:rsidR="00FF2373" w:rsidRPr="00FF2373" w:rsidRDefault="00FF2373" w:rsidP="004F5668">
      <w:pPr>
        <w:pStyle w:val="ListParagraph"/>
        <w:numPr>
          <w:ilvl w:val="0"/>
          <w:numId w:val="6"/>
        </w:numPr>
        <w:ind w:right="49"/>
        <w:jc w:val="both"/>
        <w:rPr>
          <w:rFonts w:ascii="Verdana" w:eastAsia="Century Gothic" w:hAnsi="Verdana" w:cs="Century Gothic"/>
          <w:i/>
          <w:iCs/>
        </w:rPr>
      </w:pPr>
      <w:r w:rsidRPr="00FF2373">
        <w:rPr>
          <w:rFonts w:ascii="Verdana" w:eastAsia="Century Gothic" w:hAnsi="Verdana" w:cs="Century Gothic"/>
          <w:i/>
          <w:iCs/>
        </w:rPr>
        <w:t>¿Cuál es la muestra mínima para el sector de vigilancia y seguridad, y cómo se determina la razón de cobertura del interés?</w:t>
      </w:r>
    </w:p>
    <w:p w14:paraId="0373908D" w14:textId="77777777" w:rsidR="00FF2373" w:rsidRPr="00FF2373" w:rsidRDefault="00FF2373" w:rsidP="004F5668">
      <w:pPr>
        <w:pStyle w:val="ListParagraph"/>
        <w:numPr>
          <w:ilvl w:val="0"/>
          <w:numId w:val="6"/>
        </w:numPr>
        <w:ind w:right="49"/>
        <w:jc w:val="both"/>
        <w:rPr>
          <w:rFonts w:ascii="Verdana" w:eastAsia="Century Gothic" w:hAnsi="Verdana" w:cs="Century Gothic"/>
          <w:i/>
          <w:iCs/>
        </w:rPr>
      </w:pPr>
      <w:r w:rsidRPr="00FF2373">
        <w:rPr>
          <w:rFonts w:ascii="Verdana" w:eastAsia="Century Gothic" w:hAnsi="Verdana" w:cs="Century Gothic"/>
          <w:i/>
          <w:iCs/>
        </w:rPr>
        <w:t>¿Cuál es un indicador adecuado de razón de cobertura del interés para un contrato de $800 millones en vigilancia?</w:t>
      </w:r>
    </w:p>
    <w:p w14:paraId="037D247A" w14:textId="77777777" w:rsidR="00FF2373" w:rsidRPr="00FF2373" w:rsidRDefault="00FF2373" w:rsidP="004F5668">
      <w:pPr>
        <w:pStyle w:val="ListParagraph"/>
        <w:numPr>
          <w:ilvl w:val="0"/>
          <w:numId w:val="6"/>
        </w:numPr>
        <w:ind w:right="49"/>
        <w:jc w:val="both"/>
        <w:rPr>
          <w:rFonts w:ascii="Verdana" w:eastAsia="Century Gothic" w:hAnsi="Verdana" w:cs="Century Gothic"/>
          <w:i/>
          <w:iCs/>
        </w:rPr>
      </w:pPr>
      <w:r w:rsidRPr="00FF2373">
        <w:rPr>
          <w:rFonts w:ascii="Verdana" w:eastAsia="Century Gothic" w:hAnsi="Verdana" w:cs="Century Gothic"/>
          <w:i/>
          <w:iCs/>
        </w:rPr>
        <w:t>¿Cuál es la diferencia entre requisitos habilitantes y el estudio del sector en la etapa precontractual?</w:t>
      </w:r>
    </w:p>
    <w:p w14:paraId="5110BABC" w14:textId="6DB6045C" w:rsidR="00FF2373" w:rsidRPr="00FF2373" w:rsidRDefault="00FF2373" w:rsidP="004F5668">
      <w:pPr>
        <w:pStyle w:val="ListParagraph"/>
        <w:numPr>
          <w:ilvl w:val="0"/>
          <w:numId w:val="6"/>
        </w:numPr>
        <w:ind w:right="49"/>
        <w:jc w:val="both"/>
        <w:rPr>
          <w:rFonts w:ascii="Verdana" w:eastAsia="Century Gothic" w:hAnsi="Verdana" w:cs="Century Gothic"/>
          <w:i/>
          <w:iCs/>
        </w:rPr>
      </w:pPr>
      <w:r w:rsidRPr="00FF2373">
        <w:rPr>
          <w:rFonts w:ascii="Verdana" w:eastAsia="Century Gothic" w:hAnsi="Verdana" w:cs="Century Gothic"/>
          <w:i/>
          <w:iCs/>
        </w:rPr>
        <w:t>¿Es compatible la GEES con la definición de indicadores financieros o debe utilizarse otra guía?</w:t>
      </w:r>
      <w:r>
        <w:rPr>
          <w:rFonts w:ascii="Verdana" w:eastAsia="Century Gothic" w:hAnsi="Verdana" w:cs="Century Gothic"/>
          <w:i/>
          <w:iCs/>
        </w:rPr>
        <w:t xml:space="preserve"> </w:t>
      </w:r>
      <w:r w:rsidRPr="00FF2373">
        <w:rPr>
          <w:rFonts w:ascii="Verdana" w:eastAsia="Century Gothic" w:hAnsi="Verdana" w:cs="Century Gothic"/>
          <w:lang w:val="es-CO"/>
        </w:rPr>
        <w:t>“</w:t>
      </w:r>
    </w:p>
    <w:p w14:paraId="5431D552" w14:textId="77777777" w:rsidR="00FF2373" w:rsidRDefault="00FF2373" w:rsidP="001561D6">
      <w:pPr>
        <w:pStyle w:val="ListParagraph"/>
        <w:ind w:left="0" w:right="49"/>
        <w:jc w:val="both"/>
        <w:rPr>
          <w:rFonts w:ascii="Verdana" w:eastAsia="Century Gothic" w:hAnsi="Verdana" w:cs="Century Gothic"/>
          <w:lang w:val="es-CO"/>
        </w:rPr>
      </w:pPr>
    </w:p>
    <w:p w14:paraId="0FABB1D4" w14:textId="5D7570B6" w:rsidR="007D5768" w:rsidRPr="00593A5F" w:rsidRDefault="007D5768" w:rsidP="004F5668">
      <w:pPr>
        <w:pStyle w:val="ListParagraph"/>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sidR="00181E81">
        <w:rPr>
          <w:rFonts w:ascii="Verdana" w:eastAsia="Century Gothic" w:hAnsi="Verdana" w:cs="Century Gothic"/>
          <w:b/>
          <w:bCs/>
        </w:rPr>
        <w:t>s</w:t>
      </w:r>
      <w:r w:rsidRPr="00593A5F">
        <w:rPr>
          <w:rFonts w:ascii="Verdana" w:eastAsia="Century Gothic" w:hAnsi="Verdana" w:cs="Century Gothic"/>
          <w:b/>
          <w:bCs/>
        </w:rPr>
        <w:t>:</w:t>
      </w:r>
    </w:p>
    <w:p w14:paraId="48D1DC7E" w14:textId="77777777" w:rsidR="007D5768" w:rsidRPr="00593A5F" w:rsidRDefault="007D5768" w:rsidP="007D5768">
      <w:pPr>
        <w:tabs>
          <w:tab w:val="left" w:pos="142"/>
          <w:tab w:val="left" w:pos="284"/>
        </w:tabs>
        <w:spacing w:after="0" w:line="276" w:lineRule="auto"/>
        <w:jc w:val="both"/>
        <w:rPr>
          <w:rFonts w:ascii="Verdana" w:eastAsia="Century Gothic" w:hAnsi="Verdana" w:cs="Century Gothic"/>
          <w:b/>
          <w:bCs/>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79"/>
      </w:tblGrid>
      <w:tr w:rsidR="007D5768" w:rsidRPr="00593A5F" w14:paraId="2BAE82EC" w14:textId="77777777" w:rsidTr="005943DC">
        <w:tc>
          <w:tcPr>
            <w:tcW w:w="8828" w:type="dxa"/>
            <w:shd w:val="clear" w:color="auto" w:fill="auto"/>
          </w:tcPr>
          <w:p w14:paraId="3E9CB1A5" w14:textId="626DE219" w:rsidR="00851635" w:rsidRDefault="00306C5A" w:rsidP="00181E81">
            <w:pPr>
              <w:spacing w:line="276" w:lineRule="auto"/>
              <w:jc w:val="both"/>
              <w:rPr>
                <w:rFonts w:ascii="Verdana" w:hAnsi="Verdana"/>
              </w:rPr>
            </w:pPr>
            <w:r w:rsidRPr="004A7B64">
              <w:rPr>
                <w:rFonts w:ascii="Verdana" w:eastAsia="Arial MT" w:hAnsi="Verdana" w:cs="Arial"/>
                <w:lang w:eastAsia="es-ES" w:bidi="es-ES"/>
              </w:rPr>
              <w:t xml:space="preserve">      </w:t>
            </w:r>
            <w:r w:rsidR="006E790E" w:rsidRPr="004A7B64">
              <w:rPr>
                <w:rFonts w:ascii="Verdana" w:hAnsi="Verdana"/>
              </w:rPr>
              <w:t xml:space="preserve"> </w:t>
            </w:r>
          </w:p>
          <w:p w14:paraId="4167236A" w14:textId="6A8D6219" w:rsidR="00E32C58" w:rsidRPr="00082852" w:rsidRDefault="00E32C58" w:rsidP="00E32C58">
            <w:pPr>
              <w:spacing w:line="276" w:lineRule="auto"/>
              <w:jc w:val="both"/>
              <w:rPr>
                <w:rFonts w:ascii="Verdana" w:eastAsia="Calibri" w:hAnsi="Verdana" w:cs="Arial"/>
                <w:bCs/>
                <w:lang w:val="es-MX" w:eastAsia="es-ES" w:bidi="es-ES"/>
              </w:rPr>
            </w:pPr>
            <w:r>
              <w:rPr>
                <w:rFonts w:ascii="Verdana" w:eastAsia="Calibri" w:hAnsi="Verdana" w:cs="Arial"/>
                <w:bCs/>
                <w:lang w:val="es-MX" w:eastAsia="es-ES" w:bidi="es-ES"/>
              </w:rPr>
              <w:t>De manera preliminar es pertinente indicar que d</w:t>
            </w:r>
            <w:r w:rsidRPr="00082852">
              <w:rPr>
                <w:rFonts w:ascii="Verdana" w:eastAsia="Calibri" w:hAnsi="Verdana" w:cs="Arial"/>
                <w:bCs/>
                <w:lang w:val="es-MX" w:eastAsia="es-ES" w:bidi="es-ES"/>
              </w:rPr>
              <w:t xml:space="preserve">entro de los requisitos habilitantes en los </w:t>
            </w:r>
            <w:r w:rsidR="00A67539" w:rsidRPr="00082852">
              <w:rPr>
                <w:rFonts w:ascii="Verdana" w:eastAsia="Calibri" w:hAnsi="Verdana" w:cs="Arial"/>
                <w:bCs/>
                <w:lang w:val="es-MX" w:eastAsia="es-ES" w:bidi="es-ES"/>
              </w:rPr>
              <w:t>procesos de contratación</w:t>
            </w:r>
            <w:r w:rsidRPr="00082852">
              <w:rPr>
                <w:rFonts w:ascii="Verdana" w:eastAsia="Calibri" w:hAnsi="Verdana" w:cs="Arial"/>
                <w:bCs/>
                <w:lang w:val="es-MX" w:eastAsia="es-ES" w:bidi="es-ES"/>
              </w:rPr>
              <w:t xml:space="preserve"> se destaca la capacidad financiera, la cual se deriva del comportamiento contable de la empresa, su liquidez y endeudamiento, para determinar que sus recursos y solidez financiera le permita cumplir los compromisos que adquiera. Como explica esta Agencia en el </w:t>
            </w:r>
            <w:r w:rsidRPr="00082852">
              <w:rPr>
                <w:rFonts w:ascii="Verdana" w:eastAsia="Calibri" w:hAnsi="Verdana" w:cs="Arial"/>
                <w:bCs/>
                <w:i/>
                <w:iCs/>
                <w:lang w:val="es-MX" w:eastAsia="es-ES" w:bidi="es-ES"/>
              </w:rPr>
              <w:t>Manual para determinar y verificar los requisitos habilitantes en los procesos de contratación</w:t>
            </w:r>
            <w:r w:rsidRPr="00082852">
              <w:rPr>
                <w:rFonts w:ascii="Verdana" w:eastAsia="Calibri" w:hAnsi="Verdana" w:cs="Arial"/>
                <w:bCs/>
                <w:lang w:val="es-MX" w:eastAsia="es-ES" w:bidi="es-ES"/>
              </w:rPr>
              <w:t xml:space="preserve">: </w:t>
            </w:r>
            <w:r w:rsidRPr="00082852">
              <w:rPr>
                <w:rFonts w:ascii="Verdana" w:eastAsia="Calibri" w:hAnsi="Verdana" w:cs="Arial"/>
                <w:bCs/>
                <w:i/>
                <w:iCs/>
                <w:lang w:val="es-MX" w:eastAsia="es-ES" w:bidi="es-ES"/>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082852">
              <w:rPr>
                <w:rFonts w:ascii="Verdana" w:eastAsia="Calibri" w:hAnsi="Verdana" w:cs="Arial"/>
                <w:bCs/>
                <w:i/>
                <w:iCs/>
                <w:lang w:val="es-ES_tradnl" w:eastAsia="es-ES" w:bidi="es-ES"/>
              </w:rPr>
              <w:t>.</w:t>
            </w:r>
            <w:r w:rsidRPr="00082852">
              <w:rPr>
                <w:rFonts w:ascii="Verdana" w:eastAsia="Calibri" w:hAnsi="Verdana" w:cs="Arial"/>
                <w:bCs/>
                <w:lang w:val="es-MX" w:eastAsia="es-ES" w:bidi="es-ES"/>
              </w:rPr>
              <w:t xml:space="preserve"> La Entidad Estatal, como responsable de la estructuración de su procedimiento de selección, es autónoma para determinar la capacidad financiera necesaria de acuerdo con el objeto contractual que se pretende satisfacer, no obstante, en atención a lo dispuesto en el artículo 2.2.1.1.1.6.2 del Decreto 1082 de 2015, debe ser establecida con sustento en el estudio del sector y sus componentes como la identificación de riesgos, el mercado y precio del bien, obra o servicio a contratar. </w:t>
            </w:r>
          </w:p>
          <w:p w14:paraId="07505C43" w14:textId="77777777" w:rsidR="00E32C58" w:rsidRDefault="00E32C58" w:rsidP="00181E81">
            <w:pPr>
              <w:spacing w:line="276" w:lineRule="auto"/>
              <w:jc w:val="both"/>
            </w:pPr>
          </w:p>
          <w:p w14:paraId="05E4575A" w14:textId="78C7AB35" w:rsidR="00E32C58" w:rsidRDefault="00E32C58" w:rsidP="00181E81">
            <w:pPr>
              <w:spacing w:line="276" w:lineRule="auto"/>
              <w:jc w:val="both"/>
            </w:pPr>
            <w:r w:rsidRPr="00E32C58">
              <w:rPr>
                <w:rFonts w:ascii="Verdana" w:hAnsi="Verdana"/>
              </w:rPr>
              <w:t>Una vez efectuada la anterior aclaración</w:t>
            </w:r>
            <w:r w:rsidR="00A67539">
              <w:rPr>
                <w:rFonts w:ascii="Verdana" w:hAnsi="Verdana"/>
              </w:rPr>
              <w:t xml:space="preserve">, a </w:t>
            </w:r>
            <w:r w:rsidR="00622925">
              <w:rPr>
                <w:rFonts w:ascii="Verdana" w:hAnsi="Verdana"/>
              </w:rPr>
              <w:t xml:space="preserve">continuación </w:t>
            </w:r>
            <w:r w:rsidRPr="00E32C58">
              <w:rPr>
                <w:rFonts w:ascii="Verdana" w:hAnsi="Verdana"/>
              </w:rPr>
              <w:t>se procederá a responder a los problemas jurídicos planteados en su solicitud</w:t>
            </w:r>
            <w:r>
              <w:rPr>
                <w:rFonts w:ascii="Verdana" w:hAnsi="Verdana"/>
              </w:rPr>
              <w:t>:</w:t>
            </w:r>
          </w:p>
          <w:p w14:paraId="7212417C" w14:textId="77777777" w:rsidR="00E32C58" w:rsidRDefault="00E32C58" w:rsidP="00181E81">
            <w:pPr>
              <w:spacing w:line="276" w:lineRule="auto"/>
              <w:jc w:val="both"/>
              <w:rPr>
                <w:rFonts w:ascii="Verdana" w:eastAsia="Calibri" w:hAnsi="Verdana" w:cs="Arial"/>
                <w:lang w:val="es-ES" w:eastAsia="es-ES_tradnl"/>
              </w:rPr>
            </w:pPr>
          </w:p>
          <w:p w14:paraId="4A5C9964" w14:textId="5C2AF295" w:rsidR="00181E81" w:rsidRPr="004C19D2" w:rsidRDefault="00181E81" w:rsidP="004F5668">
            <w:pPr>
              <w:pStyle w:val="ListParagraph"/>
              <w:numPr>
                <w:ilvl w:val="0"/>
                <w:numId w:val="7"/>
              </w:numPr>
              <w:spacing w:line="276" w:lineRule="auto"/>
              <w:ind w:left="306"/>
              <w:jc w:val="both"/>
              <w:rPr>
                <w:rFonts w:ascii="Verdana" w:hAnsi="Verdana" w:cs="Arial"/>
                <w:bCs/>
                <w:color w:val="000000" w:themeColor="text1"/>
              </w:rPr>
            </w:pPr>
            <w:r w:rsidRPr="004C19D2">
              <w:rPr>
                <w:rFonts w:ascii="Verdana" w:hAnsi="Verdana" w:cs="Arial"/>
                <w:bCs/>
                <w:color w:val="000000" w:themeColor="text1"/>
              </w:rPr>
              <w:t xml:space="preserve">La última versión del MANUAL PARA DETERMINAR Y VERIFICAR LOS REQUISITOS HABILITANTES EN LOS PROCESOS DE CONTRATACIÓN publicada por la Agencia Nacional de Contratación Pública – Colombia Compra Eficiente corresponde a la versión 03 del 29 de septiembre de 2023 identificada con el código CCE-EICP-MA-04, la cual puede ser consultada en el siguiente enlace </w:t>
            </w:r>
            <w:hyperlink r:id="rId12" w:history="1">
              <w:r w:rsidRPr="004C19D2">
                <w:rPr>
                  <w:rStyle w:val="Hyperlink"/>
                  <w:rFonts w:ascii="Verdana" w:hAnsi="Verdana" w:cs="Arial"/>
                  <w:bCs/>
                </w:rPr>
                <w:t>https://operaciones.colombiacompra.gov.co/sites/cce_public/files/cce_documents/cce-eicp-ma-04._manual_requisitos_habilitantes_v3_29-09-2023.pdf</w:t>
              </w:r>
            </w:hyperlink>
            <w:r w:rsidRPr="004C19D2">
              <w:rPr>
                <w:rFonts w:ascii="Verdana" w:hAnsi="Verdana" w:cs="Arial"/>
                <w:bCs/>
                <w:color w:val="000000" w:themeColor="text1"/>
              </w:rPr>
              <w:t xml:space="preserve"> </w:t>
            </w:r>
          </w:p>
          <w:p w14:paraId="77C51A82" w14:textId="77777777" w:rsidR="00181E81" w:rsidRDefault="00181E81" w:rsidP="00181E81">
            <w:pPr>
              <w:pStyle w:val="ListParagraph"/>
              <w:spacing w:line="276" w:lineRule="auto"/>
              <w:jc w:val="both"/>
              <w:rPr>
                <w:rFonts w:ascii="Verdana" w:hAnsi="Verdana" w:cs="Arial"/>
                <w:bCs/>
                <w:color w:val="000000" w:themeColor="text1"/>
              </w:rPr>
            </w:pPr>
          </w:p>
          <w:p w14:paraId="3A77BF53" w14:textId="77777777" w:rsidR="004C19D2" w:rsidRDefault="00181E81" w:rsidP="004F5668">
            <w:pPr>
              <w:pStyle w:val="ListParagraph"/>
              <w:numPr>
                <w:ilvl w:val="0"/>
                <w:numId w:val="7"/>
              </w:numPr>
              <w:spacing w:line="276" w:lineRule="auto"/>
              <w:ind w:left="306"/>
              <w:jc w:val="both"/>
              <w:rPr>
                <w:rFonts w:ascii="Verdana" w:hAnsi="Verdana" w:cs="Arial"/>
                <w:bCs/>
                <w:color w:val="000000" w:themeColor="text1"/>
              </w:rPr>
            </w:pPr>
            <w:r w:rsidRPr="00181E81">
              <w:rPr>
                <w:rFonts w:ascii="Verdana" w:hAnsi="Verdana" w:cs="Arial"/>
                <w:bCs/>
                <w:color w:val="000000" w:themeColor="text1"/>
              </w:rPr>
              <w:t>Como lo establece la GUÍA DE ELABORACIÓN DE ESTUDIOS DE SECTOR GEES-VERSIÓN 2 del 24 de junio de 2022, su objetivo es “desarrollar recomendaciones y buenas prácticas que servirán a las Entidades Estatales para entender el mercado del bien, obra o servicio que pretende adquirir y diseñar el Proceso de Contratación con la información necesaria para alcanzar objetivos de eficacia, eficiencia, economía, promoción de la competencia y manejo del riesgo ”.</w:t>
            </w:r>
          </w:p>
          <w:p w14:paraId="1EF39996" w14:textId="77777777" w:rsidR="004C19D2" w:rsidRPr="004C19D2" w:rsidRDefault="004C19D2" w:rsidP="004C19D2">
            <w:pPr>
              <w:pStyle w:val="ListParagraph"/>
              <w:rPr>
                <w:rFonts w:ascii="Verdana" w:hAnsi="Verdana" w:cs="Arial"/>
                <w:bCs/>
                <w:color w:val="000000" w:themeColor="text1"/>
              </w:rPr>
            </w:pPr>
          </w:p>
          <w:p w14:paraId="5F045A77" w14:textId="77777777" w:rsidR="004C19D2" w:rsidRDefault="00181E81" w:rsidP="004C19D2">
            <w:pPr>
              <w:pStyle w:val="ListParagraph"/>
              <w:spacing w:line="276" w:lineRule="auto"/>
              <w:ind w:left="306"/>
              <w:jc w:val="both"/>
              <w:rPr>
                <w:rFonts w:ascii="Verdana" w:hAnsi="Verdana" w:cs="Arial"/>
                <w:bCs/>
                <w:color w:val="000000" w:themeColor="text1"/>
              </w:rPr>
            </w:pPr>
            <w:r w:rsidRPr="004C19D2">
              <w:rPr>
                <w:rFonts w:ascii="Verdana" w:hAnsi="Verdana" w:cs="Arial"/>
                <w:bCs/>
                <w:color w:val="000000" w:themeColor="text1"/>
              </w:rPr>
              <w:t>Cómo se puede ver, el objetivo central del estudio del sector es la recolección y análisis de información relevante de un sector específico, la cual sirva de sustento para la estructuración de un proceso de contratación. Por lo anterior, en el marco de un proceso de selección, la Entidad podrá utilizar los componentes, herramientas y metodologías incluidas en la GUÍA DE ELABORACIÓN DE ESTUDIOS DE SECTOR cómo sustento para determinar los requisitos de capacidad financiera y organizacional conforme con los lineamientos definidos en el MANUAL PARA DETERMINAR Y VERIFICAR LOS REQUISITOS HABILITANTES EN LOS PROCESOS DE CONTRATACIÓN.</w:t>
            </w:r>
          </w:p>
          <w:p w14:paraId="7CA6A334" w14:textId="77777777" w:rsidR="004C19D2" w:rsidRDefault="004C19D2" w:rsidP="004C19D2">
            <w:pPr>
              <w:pStyle w:val="ListParagraph"/>
              <w:spacing w:line="276" w:lineRule="auto"/>
              <w:ind w:left="306"/>
              <w:jc w:val="both"/>
              <w:rPr>
                <w:rFonts w:ascii="Verdana" w:hAnsi="Verdana" w:cs="Arial"/>
                <w:bCs/>
                <w:color w:val="000000" w:themeColor="text1"/>
              </w:rPr>
            </w:pPr>
          </w:p>
          <w:p w14:paraId="1B5E8792" w14:textId="77777777" w:rsidR="004C19D2" w:rsidRDefault="00181E81" w:rsidP="004C19D2">
            <w:pPr>
              <w:pStyle w:val="ListParagraph"/>
              <w:spacing w:line="276" w:lineRule="auto"/>
              <w:ind w:left="306"/>
              <w:jc w:val="both"/>
              <w:rPr>
                <w:rFonts w:ascii="Verdana" w:hAnsi="Verdana" w:cs="Arial"/>
                <w:bCs/>
                <w:color w:val="000000" w:themeColor="text1"/>
              </w:rPr>
            </w:pPr>
            <w:r w:rsidRPr="004C19D2">
              <w:rPr>
                <w:rFonts w:ascii="Verdana" w:hAnsi="Verdana" w:cs="Arial"/>
                <w:bCs/>
                <w:color w:val="000000" w:themeColor="text1"/>
              </w:rPr>
              <w:t>Por ejemplo, para analizar la información financiera obtenida y sustentar la determinación de los requisitos de capacidad financiera y organizacional, la Entidad puede utilizar las “Recomendaciones para el manejo de datos y análisis estadístico” establecidas en el numeral 4 de la Guía de elaboración de estudios de sector.</w:t>
            </w:r>
          </w:p>
          <w:p w14:paraId="3C4F2503" w14:textId="77777777" w:rsidR="004C19D2" w:rsidRDefault="004C19D2" w:rsidP="004C19D2">
            <w:pPr>
              <w:spacing w:line="276" w:lineRule="auto"/>
              <w:jc w:val="both"/>
              <w:rPr>
                <w:rFonts w:ascii="Verdana" w:hAnsi="Verdana" w:cs="ArialMT"/>
                <w14:ligatures w14:val="standardContextual"/>
              </w:rPr>
            </w:pPr>
          </w:p>
          <w:p w14:paraId="7AE9CD3E" w14:textId="77777777" w:rsidR="00296F85" w:rsidRPr="00296F85" w:rsidRDefault="007147D6" w:rsidP="004F5668">
            <w:pPr>
              <w:pStyle w:val="ListParagraph"/>
              <w:numPr>
                <w:ilvl w:val="0"/>
                <w:numId w:val="7"/>
              </w:numPr>
              <w:spacing w:line="276" w:lineRule="auto"/>
              <w:ind w:left="306"/>
              <w:jc w:val="both"/>
              <w:rPr>
                <w:rFonts w:ascii="Verdana" w:hAnsi="Verdana" w:cs="Arial"/>
                <w:bCs/>
                <w:color w:val="000000" w:themeColor="text1"/>
              </w:rPr>
            </w:pPr>
            <w:r w:rsidRPr="004C19D2">
              <w:rPr>
                <w:rFonts w:ascii="Verdana" w:hAnsi="Verdana" w:cs="ArialMT"/>
                <w14:ligatures w14:val="standardContextual"/>
              </w:rPr>
              <w:t xml:space="preserve">La información histórica identificada por la Entidad en el análisis de la demanda, puede ser una fuente para sustentar la determinación de los indicadores, sin embargo, y teniendo en cuenta que diferentes variables (comerciales, económicas, etc) pueden afectar el comportamiento financiero de una empresa en particular y de un sector en general de un año a otro, se sugiere que en la determinación de los requisitos de capacidad financiera y organizacional las Entidades realicen la revisión de los estados financieros de las empresas identificadas como actores relevantes del sector objeto de análisis. </w:t>
            </w:r>
          </w:p>
          <w:p w14:paraId="500940D5" w14:textId="77777777" w:rsidR="00296F85" w:rsidRPr="00296F85" w:rsidRDefault="00296F85" w:rsidP="00296F85">
            <w:pPr>
              <w:pStyle w:val="ListParagraph"/>
              <w:spacing w:line="276" w:lineRule="auto"/>
              <w:ind w:left="306"/>
              <w:jc w:val="both"/>
              <w:rPr>
                <w:rFonts w:ascii="Verdana" w:hAnsi="Verdana" w:cs="Arial"/>
                <w:bCs/>
                <w:color w:val="000000" w:themeColor="text1"/>
              </w:rPr>
            </w:pPr>
          </w:p>
          <w:p w14:paraId="4D10BC7F" w14:textId="77777777" w:rsidR="00296F85" w:rsidRDefault="007147D6" w:rsidP="00296F85">
            <w:pPr>
              <w:pStyle w:val="ListParagraph"/>
              <w:spacing w:line="276" w:lineRule="auto"/>
              <w:ind w:left="306"/>
              <w:jc w:val="both"/>
              <w:rPr>
                <w:rFonts w:ascii="Verdana" w:hAnsi="Verdana" w:cs="ArialMT"/>
                <w14:ligatures w14:val="standardContextual"/>
              </w:rPr>
            </w:pPr>
            <w:r w:rsidRPr="00296F85">
              <w:rPr>
                <w:rFonts w:ascii="Verdana" w:hAnsi="Verdana" w:cs="ArialMT"/>
                <w14:ligatures w14:val="standardContextual"/>
              </w:rPr>
              <w:t>Para este ejercicio, la Entidad debe tener en consideración el corte de la información financiera con la cual las empresas deberán acreditar su capacidad financiera y organizacional en el marco del proceso de selección.</w:t>
            </w:r>
          </w:p>
          <w:p w14:paraId="5031179B" w14:textId="77777777" w:rsidR="00296F85" w:rsidRDefault="00296F85" w:rsidP="00296F85">
            <w:pPr>
              <w:pStyle w:val="ListParagraph"/>
              <w:spacing w:line="276" w:lineRule="auto"/>
              <w:ind w:left="306"/>
              <w:jc w:val="both"/>
              <w:rPr>
                <w:rFonts w:ascii="Verdana" w:hAnsi="Verdana" w:cs="ArialMT"/>
                <w14:ligatures w14:val="standardContextual"/>
              </w:rPr>
            </w:pPr>
          </w:p>
          <w:p w14:paraId="345B4A14" w14:textId="486D3DC6" w:rsidR="00296F85" w:rsidRDefault="007147D6" w:rsidP="004F5668">
            <w:pPr>
              <w:pStyle w:val="ListParagraph"/>
              <w:numPr>
                <w:ilvl w:val="0"/>
                <w:numId w:val="7"/>
              </w:numPr>
              <w:spacing w:line="276" w:lineRule="auto"/>
              <w:ind w:left="447"/>
              <w:jc w:val="both"/>
              <w:rPr>
                <w:rFonts w:ascii="Verdana" w:hAnsi="Verdana" w:cs="Arial"/>
                <w:bCs/>
                <w:color w:val="000000" w:themeColor="text1"/>
              </w:rPr>
            </w:pPr>
            <w:r w:rsidRPr="00296F85">
              <w:rPr>
                <w:rFonts w:ascii="Verdana" w:hAnsi="Verdana" w:cs="Arial"/>
                <w:bCs/>
                <w:color w:val="000000" w:themeColor="text1"/>
              </w:rPr>
              <w:t xml:space="preserve">Atendiendo la respuesta en el marco del escenario planteado, en el sentido que la Entidad determino estructurar el proceso de selección acotado a empresas que tengan una licencia de funcionamiento de determinada, y por ende, desde una perspectiva técnica el proceso tiene dicha limitación, sería pertinente analizar el comportamiento financiero de este segmento empresarial teniendo en cuenta que en </w:t>
            </w:r>
            <w:r w:rsidR="00C97639" w:rsidRPr="00296F85">
              <w:rPr>
                <w:rFonts w:ascii="Verdana" w:hAnsi="Verdana" w:cs="Arial"/>
                <w:bCs/>
                <w:color w:val="000000" w:themeColor="text1"/>
              </w:rPr>
              <w:t>él</w:t>
            </w:r>
            <w:r w:rsidRPr="00296F85">
              <w:rPr>
                <w:rFonts w:ascii="Verdana" w:hAnsi="Verdana" w:cs="Arial"/>
                <w:bCs/>
                <w:color w:val="000000" w:themeColor="text1"/>
              </w:rPr>
              <w:t xml:space="preserve"> se encontrarían las únicas empresas que podrían participar en el proceso de selección.</w:t>
            </w:r>
          </w:p>
          <w:p w14:paraId="7F5B035E" w14:textId="77777777" w:rsidR="00296F85" w:rsidRPr="00296F85" w:rsidRDefault="00296F85" w:rsidP="00296F85">
            <w:pPr>
              <w:pStyle w:val="ListParagraph"/>
              <w:spacing w:line="276" w:lineRule="auto"/>
              <w:ind w:left="447"/>
              <w:jc w:val="both"/>
              <w:rPr>
                <w:rFonts w:ascii="Verdana" w:hAnsi="Verdana" w:cs="Arial"/>
                <w:bCs/>
                <w:color w:val="000000" w:themeColor="text1"/>
              </w:rPr>
            </w:pPr>
          </w:p>
          <w:p w14:paraId="42622A62" w14:textId="77777777" w:rsidR="00F40564" w:rsidRPr="00F40564" w:rsidRDefault="007147D6" w:rsidP="004F5668">
            <w:pPr>
              <w:pStyle w:val="ListParagraph"/>
              <w:numPr>
                <w:ilvl w:val="0"/>
                <w:numId w:val="7"/>
              </w:numPr>
              <w:spacing w:line="276" w:lineRule="auto"/>
              <w:ind w:left="447"/>
              <w:jc w:val="both"/>
              <w:rPr>
                <w:rFonts w:ascii="Verdana" w:hAnsi="Verdana" w:cs="Arial"/>
                <w:bCs/>
                <w:color w:val="000000" w:themeColor="text1"/>
              </w:rPr>
            </w:pPr>
            <w:r w:rsidRPr="00296F85">
              <w:rPr>
                <w:rFonts w:ascii="Verdana" w:hAnsi="Verdana" w:cs="ArialMT"/>
                <w14:ligatures w14:val="standardContextual"/>
              </w:rPr>
              <w:t xml:space="preserve">No corresponde al alcance de la Agencia determinar una muestra mínima para el análisis de información financiera, esto deberá ser definido por la Entidad que se encuentra estructurando el análisis teniendo en cuenta las condiciones particulares del mismo, sin embargo se sugiere tener en consideración las recomendaciones definidas en el numeral </w:t>
            </w:r>
            <w:r w:rsidRPr="00296F85">
              <w:rPr>
                <w:rFonts w:ascii="Verdana" w:hAnsi="Verdana" w:cs="ArialMT"/>
                <w:b/>
                <w:bCs/>
                <w14:ligatures w14:val="standardContextual"/>
              </w:rPr>
              <w:t>4.1 ¿Cuándo usar estadística descriptiva?</w:t>
            </w:r>
            <w:r w:rsidRPr="00296F85">
              <w:rPr>
                <w:rFonts w:ascii="Verdana" w:hAnsi="Verdana" w:cs="ArialMT"/>
                <w14:ligatures w14:val="standardContextual"/>
              </w:rPr>
              <w:t xml:space="preserve"> de la GUÍA DE ELABORACIÓN DE ESTUDIOS DE SECTOR GEES</w:t>
            </w:r>
            <w:r w:rsidRPr="00C97639">
              <w:rPr>
                <w:rStyle w:val="FootnoteReference"/>
                <w:rFonts w:ascii="Verdana" w:hAnsi="Verdana" w:cs="ArialMT"/>
                <w14:ligatures w14:val="standardContextual"/>
              </w:rPr>
              <w:footnoteReference w:id="1"/>
            </w:r>
            <w:r w:rsidRPr="00296F85">
              <w:rPr>
                <w:rFonts w:ascii="Verdana" w:hAnsi="Verdana" w:cs="ArialMT"/>
                <w14:ligatures w14:val="standardContextual"/>
              </w:rPr>
              <w:t>-versión 2 del 24 de junio de 2022 el cual señala lo siguiente:</w:t>
            </w:r>
          </w:p>
          <w:p w14:paraId="4B00BEDA" w14:textId="77777777" w:rsidR="00F40564" w:rsidRPr="00F40564" w:rsidRDefault="00F40564" w:rsidP="00F40564">
            <w:pPr>
              <w:pStyle w:val="ListParagraph"/>
              <w:rPr>
                <w:rFonts w:ascii="Verdana" w:hAnsi="Verdana" w:cs="ArialMT"/>
                <w:i/>
                <w:iCs/>
                <w14:ligatures w14:val="standardContextual"/>
              </w:rPr>
            </w:pPr>
          </w:p>
          <w:p w14:paraId="0D01A3DC" w14:textId="77777777" w:rsidR="00F40564" w:rsidRDefault="007147D6" w:rsidP="00F40564">
            <w:pPr>
              <w:pStyle w:val="ListParagraph"/>
              <w:spacing w:line="276" w:lineRule="auto"/>
              <w:ind w:left="447"/>
              <w:jc w:val="both"/>
              <w:rPr>
                <w:rFonts w:ascii="Verdana" w:hAnsi="Verdana" w:cs="ArialMT"/>
                <w:i/>
                <w:iCs/>
                <w14:ligatures w14:val="standardContextual"/>
              </w:rPr>
            </w:pPr>
            <w:r w:rsidRPr="00F40564">
              <w:rPr>
                <w:rFonts w:ascii="Verdana" w:hAnsi="Verdana" w:cs="ArialMT"/>
                <w:i/>
                <w:iCs/>
                <w14:ligatures w14:val="standardContextual"/>
              </w:rPr>
              <w:t>“Para analizar un sector se requiere cierta cantidad de datos que permitan calcular estadísticas, como un promedio o una desviación estándar. Idealmente, el conjunto de datos se obtiene de realizar una muestra aleatoria. Sin embargo, en el análisis de un sector se busca la recopilación de toda la información disponible, lo cual determinará la cantidad de datos con los que se realizarán análisis cuantitativos. Determinar el tamaño de un conjunto de datos suficientemente grande para un análisis estadístico, excede el propósito de esta Guía. Sin embargo, la Guía ofrece algunas indicaciones generales sobre cuándo es apropiado realizar un análisis con estadísticas descriptivas.</w:t>
            </w:r>
          </w:p>
          <w:p w14:paraId="4DCE9108" w14:textId="77777777" w:rsidR="00F40564" w:rsidRDefault="00F40564" w:rsidP="00F40564">
            <w:pPr>
              <w:pStyle w:val="ListParagraph"/>
              <w:spacing w:line="276" w:lineRule="auto"/>
              <w:ind w:left="447"/>
              <w:jc w:val="both"/>
              <w:rPr>
                <w:rFonts w:ascii="Verdana" w:hAnsi="Verdana" w:cs="ArialMT"/>
                <w:i/>
                <w:iCs/>
                <w14:ligatures w14:val="standardContextual"/>
              </w:rPr>
            </w:pPr>
          </w:p>
          <w:p w14:paraId="1F2A74A4" w14:textId="77777777" w:rsidR="00F40564" w:rsidRDefault="007147D6" w:rsidP="00F40564">
            <w:pPr>
              <w:pStyle w:val="ListParagraph"/>
              <w:spacing w:line="276" w:lineRule="auto"/>
              <w:ind w:left="447"/>
              <w:jc w:val="both"/>
              <w:rPr>
                <w:rFonts w:ascii="Verdana" w:hAnsi="Verdana" w:cs="ArialMT"/>
                <w:i/>
                <w:iCs/>
                <w14:ligatures w14:val="standardContextual"/>
              </w:rPr>
            </w:pPr>
            <w:r w:rsidRPr="00F40564">
              <w:rPr>
                <w:rFonts w:ascii="Verdana" w:hAnsi="Verdana" w:cs="ArialMT"/>
                <w:i/>
                <w:iCs/>
                <w14:ligatures w14:val="standardContextual"/>
              </w:rPr>
              <w:t>El tamaño del conjunto de datos incide significativamente en la calidad del análisis de la información. En este sentido, si la Entidad adopta decisiones con el acceso a la mayor información disponible tendrá como resultado que las conclusiones del análisis sean más confiables. Lo anterior, debido a que puede calcularse una mayor cantidad de datos estadísticos que describan el comportamiento del objeto de estudio.”</w:t>
            </w:r>
          </w:p>
          <w:p w14:paraId="60C5B416" w14:textId="77777777" w:rsidR="00F40564" w:rsidRDefault="00F40564" w:rsidP="00F40564">
            <w:pPr>
              <w:pStyle w:val="ListParagraph"/>
              <w:spacing w:line="276" w:lineRule="auto"/>
              <w:ind w:left="447"/>
              <w:jc w:val="both"/>
              <w:rPr>
                <w:rFonts w:ascii="Verdana" w:hAnsi="Verdana" w:cs="ArialMT"/>
                <w:i/>
                <w:iCs/>
                <w14:ligatures w14:val="standardContextual"/>
              </w:rPr>
            </w:pPr>
          </w:p>
          <w:p w14:paraId="4B47EEB4" w14:textId="3AC98A26" w:rsidR="007147D6" w:rsidRDefault="007147D6" w:rsidP="00F40564">
            <w:pPr>
              <w:pStyle w:val="ListParagraph"/>
              <w:spacing w:line="276" w:lineRule="auto"/>
              <w:ind w:left="447"/>
              <w:jc w:val="both"/>
              <w:rPr>
                <w:rFonts w:ascii="Verdana" w:hAnsi="Verdana" w:cs="ArialMT"/>
                <w14:ligatures w14:val="standardContextual"/>
              </w:rPr>
            </w:pPr>
            <w:r w:rsidRPr="00F40564">
              <w:rPr>
                <w:rFonts w:ascii="Verdana" w:hAnsi="Verdana" w:cs="ArialMT"/>
                <w14:ligatures w14:val="standardContextual"/>
              </w:rPr>
              <w:t>Ahora frente a la forma adecuada de establecer el indicador Razón de cobertura de interés, se sugiere que la Entidad tenga en consideración la descripción y las cuentas para su cálculo conforme con lo establecido en el numeral 3.3. del artículo 2.2.1.1.1.5.3. del Decreto 1082 de 2015, así como lo descrito en el numeral 4.1. Indicadores de capacidad financiera del MANUAL PARA DETERMINAR Y VERIFICAR LOS REQUISITOS HABILITANTES EN LOS PROCESOS DE CONTRATACIÓN</w:t>
            </w:r>
            <w:r w:rsidRPr="00C97639">
              <w:rPr>
                <w:rStyle w:val="FootnoteReference"/>
                <w:rFonts w:ascii="Verdana" w:hAnsi="Verdana" w:cs="ArialMT"/>
                <w14:ligatures w14:val="standardContextual"/>
              </w:rPr>
              <w:footnoteReference w:id="2"/>
            </w:r>
            <w:r w:rsidRPr="00F40564">
              <w:rPr>
                <w:rFonts w:ascii="Verdana" w:hAnsi="Verdana" w:cs="ArialMT"/>
                <w14:ligatures w14:val="standardContextual"/>
              </w:rPr>
              <w:t>, en donde se describen los componentes del indicador y su respectiva descripción:</w:t>
            </w:r>
          </w:p>
          <w:p w14:paraId="219D43C3" w14:textId="77777777" w:rsidR="007147D6" w:rsidRPr="00C97639" w:rsidRDefault="007147D6" w:rsidP="00296F85">
            <w:pPr>
              <w:pStyle w:val="ListParagraph"/>
              <w:ind w:left="306"/>
              <w:jc w:val="both"/>
              <w:rPr>
                <w:rFonts w:ascii="Verdana" w:hAnsi="Verdana" w:cs="ArialMT"/>
                <w14:ligatures w14:val="standardContextual"/>
              </w:rPr>
            </w:pPr>
          </w:p>
          <w:tbl>
            <w:tblPr>
              <w:tblStyle w:val="TableGrid"/>
              <w:tblW w:w="0" w:type="auto"/>
              <w:tblInd w:w="720" w:type="dxa"/>
              <w:tblLook w:val="04A0" w:firstRow="1" w:lastRow="0" w:firstColumn="1" w:lastColumn="0" w:noHBand="0" w:noVBand="1"/>
            </w:tblPr>
            <w:tblGrid>
              <w:gridCol w:w="2603"/>
              <w:gridCol w:w="2527"/>
              <w:gridCol w:w="2703"/>
            </w:tblGrid>
            <w:tr w:rsidR="007147D6" w:rsidRPr="00C97639" w14:paraId="43366AEE" w14:textId="77777777" w:rsidTr="005943DC">
              <w:tc>
                <w:tcPr>
                  <w:tcW w:w="2942" w:type="dxa"/>
                  <w:shd w:val="clear" w:color="auto" w:fill="F2F2F2" w:themeFill="background1" w:themeFillShade="F2"/>
                </w:tcPr>
                <w:p w14:paraId="293D578C" w14:textId="77777777" w:rsidR="007147D6" w:rsidRPr="00C97639" w:rsidRDefault="007147D6" w:rsidP="00296F85">
                  <w:pPr>
                    <w:pStyle w:val="ListParagraph"/>
                    <w:ind w:left="306"/>
                    <w:jc w:val="center"/>
                    <w:rPr>
                      <w:rFonts w:ascii="Verdana" w:hAnsi="Verdana" w:cs="ArialMT"/>
                      <w:b/>
                      <w:bCs/>
                      <w14:ligatures w14:val="standardContextual"/>
                    </w:rPr>
                  </w:pPr>
                  <w:r w:rsidRPr="00C97639">
                    <w:rPr>
                      <w:rFonts w:ascii="Verdana" w:hAnsi="Verdana" w:cs="ArialMT"/>
                      <w:b/>
                      <w:bCs/>
                      <w14:ligatures w14:val="standardContextual"/>
                    </w:rPr>
                    <w:t>INDICADOR</w:t>
                  </w:r>
                </w:p>
              </w:tc>
              <w:tc>
                <w:tcPr>
                  <w:tcW w:w="2943" w:type="dxa"/>
                  <w:shd w:val="clear" w:color="auto" w:fill="F2F2F2" w:themeFill="background1" w:themeFillShade="F2"/>
                </w:tcPr>
                <w:p w14:paraId="3154692E" w14:textId="77777777" w:rsidR="007147D6" w:rsidRPr="00C97639" w:rsidRDefault="007147D6" w:rsidP="00296F85">
                  <w:pPr>
                    <w:pStyle w:val="ListParagraph"/>
                    <w:ind w:left="306"/>
                    <w:jc w:val="center"/>
                    <w:rPr>
                      <w:rFonts w:ascii="Verdana" w:hAnsi="Verdana" w:cs="ArialMT"/>
                      <w:b/>
                      <w:bCs/>
                      <w14:ligatures w14:val="standardContextual"/>
                    </w:rPr>
                  </w:pPr>
                  <w:r w:rsidRPr="00C97639">
                    <w:rPr>
                      <w:rFonts w:ascii="Verdana" w:hAnsi="Verdana" w:cs="ArialMT"/>
                      <w:b/>
                      <w:bCs/>
                      <w14:ligatures w14:val="standardContextual"/>
                    </w:rPr>
                    <w:t>FÓRMULA</w:t>
                  </w:r>
                </w:p>
              </w:tc>
              <w:tc>
                <w:tcPr>
                  <w:tcW w:w="2943" w:type="dxa"/>
                  <w:shd w:val="clear" w:color="auto" w:fill="F2F2F2" w:themeFill="background1" w:themeFillShade="F2"/>
                </w:tcPr>
                <w:p w14:paraId="0E53E2F4" w14:textId="77777777" w:rsidR="007147D6" w:rsidRPr="00C97639" w:rsidRDefault="007147D6" w:rsidP="00296F85">
                  <w:pPr>
                    <w:pStyle w:val="ListParagraph"/>
                    <w:ind w:left="306"/>
                    <w:jc w:val="center"/>
                    <w:rPr>
                      <w:rFonts w:ascii="Verdana" w:hAnsi="Verdana" w:cs="ArialMT"/>
                      <w:b/>
                      <w:bCs/>
                      <w14:ligatures w14:val="standardContextual"/>
                    </w:rPr>
                  </w:pPr>
                  <w:r w:rsidRPr="00C97639">
                    <w:rPr>
                      <w:rFonts w:ascii="Verdana" w:hAnsi="Verdana" w:cs="ArialMT"/>
                      <w:b/>
                      <w:bCs/>
                      <w14:ligatures w14:val="standardContextual"/>
                    </w:rPr>
                    <w:t>DESCRIPCIÓN</w:t>
                  </w:r>
                </w:p>
              </w:tc>
            </w:tr>
            <w:tr w:rsidR="007147D6" w:rsidRPr="00C97639" w14:paraId="6FC51349" w14:textId="77777777" w:rsidTr="005943DC">
              <w:tc>
                <w:tcPr>
                  <w:tcW w:w="2942" w:type="dxa"/>
                  <w:vAlign w:val="center"/>
                </w:tcPr>
                <w:p w14:paraId="19B10075" w14:textId="77777777" w:rsidR="007147D6" w:rsidRPr="00C97639" w:rsidRDefault="007147D6" w:rsidP="00296F85">
                  <w:pPr>
                    <w:pStyle w:val="ListParagraph"/>
                    <w:ind w:left="306"/>
                    <w:jc w:val="both"/>
                    <w:rPr>
                      <w:rFonts w:ascii="Verdana" w:hAnsi="Verdana" w:cs="ArialMT"/>
                      <w14:ligatures w14:val="standardContextual"/>
                    </w:rPr>
                  </w:pPr>
                  <w:r w:rsidRPr="00C97639">
                    <w:rPr>
                      <w:rFonts w:ascii="Verdana" w:hAnsi="Verdana" w:cs="ArialMT"/>
                      <w14:ligatures w14:val="standardContextual"/>
                    </w:rPr>
                    <w:t>Razón de Cobertura de Intereses</w:t>
                  </w:r>
                </w:p>
              </w:tc>
              <w:tc>
                <w:tcPr>
                  <w:tcW w:w="2943" w:type="dxa"/>
                  <w:vAlign w:val="center"/>
                </w:tcPr>
                <w:p w14:paraId="366B53BC" w14:textId="77777777" w:rsidR="007147D6" w:rsidRPr="00C97639" w:rsidRDefault="007147D6" w:rsidP="00296F85">
                  <w:pPr>
                    <w:pStyle w:val="ListParagraph"/>
                    <w:ind w:left="306"/>
                    <w:jc w:val="center"/>
                    <w:rPr>
                      <w:rFonts w:ascii="Verdana" w:hAnsi="Verdana" w:cs="ArialMT"/>
                      <w14:ligatures w14:val="standardContextual"/>
                    </w:rPr>
                  </w:pPr>
                  <w:r w:rsidRPr="00C97639">
                    <w:rPr>
                      <w:rFonts w:ascii="Verdana" w:hAnsi="Verdana" w:cs="ArialMT"/>
                      <w:u w:val="single"/>
                      <w14:ligatures w14:val="standardContextual"/>
                    </w:rPr>
                    <w:t>Utilidad operacional</w:t>
                  </w:r>
                  <w:r w:rsidRPr="00C97639">
                    <w:rPr>
                      <w:rFonts w:ascii="Verdana" w:hAnsi="Verdana" w:cs="ArialMT"/>
                      <w14:ligatures w14:val="standardContextual"/>
                    </w:rPr>
                    <w:t xml:space="preserve"> Gastos de intereses</w:t>
                  </w:r>
                </w:p>
              </w:tc>
              <w:tc>
                <w:tcPr>
                  <w:tcW w:w="2943" w:type="dxa"/>
                  <w:vAlign w:val="center"/>
                </w:tcPr>
                <w:p w14:paraId="4E7814DC" w14:textId="77777777" w:rsidR="007147D6" w:rsidRPr="00C97639" w:rsidRDefault="007147D6" w:rsidP="00296F85">
                  <w:pPr>
                    <w:pStyle w:val="ListParagraph"/>
                    <w:ind w:left="306"/>
                    <w:jc w:val="both"/>
                    <w:rPr>
                      <w:rFonts w:ascii="Verdana" w:hAnsi="Verdana" w:cs="ArialMT"/>
                      <w14:ligatures w14:val="standardContextual"/>
                    </w:rPr>
                  </w:pPr>
                  <w:r w:rsidRPr="00C97639">
                    <w:rPr>
                      <w:rFonts w:ascii="Verdana" w:hAnsi="Verdana" w:cs="ArialMT"/>
                      <w14:ligatures w14:val="standardContextual"/>
                    </w:rPr>
                    <w:t>Refleja la capacidad del proponente de cumplir con sus obligaciones financieras.</w:t>
                  </w:r>
                </w:p>
              </w:tc>
            </w:tr>
          </w:tbl>
          <w:p w14:paraId="1D7263CF" w14:textId="77777777" w:rsidR="00F40564" w:rsidRDefault="00F40564" w:rsidP="00F40564">
            <w:pPr>
              <w:jc w:val="both"/>
              <w:rPr>
                <w:rFonts w:ascii="Verdana" w:hAnsi="Verdana" w:cs="ArialMT"/>
                <w14:ligatures w14:val="standardContextual"/>
              </w:rPr>
            </w:pPr>
          </w:p>
          <w:p w14:paraId="7F694816" w14:textId="77777777" w:rsidR="00F40564" w:rsidRDefault="00F40564" w:rsidP="00F40564">
            <w:pPr>
              <w:pStyle w:val="ListParagraph"/>
              <w:spacing w:line="276" w:lineRule="auto"/>
              <w:ind w:left="447"/>
              <w:jc w:val="both"/>
              <w:rPr>
                <w:rFonts w:ascii="Verdana" w:hAnsi="Verdana" w:cs="Arial"/>
                <w:bCs/>
                <w:color w:val="000000" w:themeColor="text1"/>
              </w:rPr>
            </w:pPr>
            <w:r w:rsidRPr="00F40564">
              <w:rPr>
                <w:rFonts w:ascii="Verdana" w:hAnsi="Verdana" w:cs="Arial"/>
                <w:bCs/>
                <w:color w:val="000000" w:themeColor="text1"/>
              </w:rPr>
              <w:t>Finalmente, y respecto al indicador a solicitar, éste deberá ser definido por la Entidad que se encuentra estructurando el análisis, teniendo en cuenta entre otras consideraciones: las condiciones particulares del proceso de selección que se está estructurando, la información del sector obtenida en la muestra analizada, las condiciones y particularidades del sector analizado, entre otras que la Entidad considere relevantes.</w:t>
            </w:r>
          </w:p>
          <w:p w14:paraId="58F97E63" w14:textId="77777777" w:rsidR="00F40564" w:rsidRDefault="00F40564" w:rsidP="00F40564">
            <w:pPr>
              <w:pStyle w:val="ListParagraph"/>
              <w:spacing w:line="276" w:lineRule="auto"/>
              <w:ind w:left="447"/>
              <w:jc w:val="both"/>
              <w:rPr>
                <w:rFonts w:ascii="Verdana" w:hAnsi="Verdana" w:cs="ArialMT"/>
                <w14:ligatures w14:val="standardContextual"/>
              </w:rPr>
            </w:pPr>
          </w:p>
          <w:p w14:paraId="056281F9" w14:textId="77777777" w:rsidR="00F40564" w:rsidRDefault="007147D6" w:rsidP="00F40564">
            <w:pPr>
              <w:pStyle w:val="ListParagraph"/>
              <w:spacing w:line="276" w:lineRule="auto"/>
              <w:ind w:left="447"/>
              <w:jc w:val="both"/>
              <w:rPr>
                <w:rFonts w:ascii="Verdana" w:hAnsi="Verdana" w:cs="ArialMT"/>
                <w14:ligatures w14:val="standardContextual"/>
              </w:rPr>
            </w:pPr>
            <w:r w:rsidRPr="00F40564">
              <w:rPr>
                <w:rFonts w:ascii="Verdana" w:hAnsi="Verdana" w:cs="ArialMT"/>
                <w14:ligatures w14:val="standardContextual"/>
              </w:rPr>
              <w:t>Es importante adicionalmente las recomendaciones incluidas en el numeral 4. REQUISITO HABILITANTE DE CAPADIDAD FINANCIERA del MANUAL PARA DETERMINAR Y VERIFICAR LOS REQUISITOS HABILITANTES EN LOS PROCESOS DE CONTRATACIÓN, el cual establece lo siguiente:</w:t>
            </w:r>
          </w:p>
          <w:p w14:paraId="1D6A4B17" w14:textId="77777777" w:rsidR="00F40564" w:rsidRDefault="00F40564" w:rsidP="00F40564">
            <w:pPr>
              <w:pStyle w:val="ListParagraph"/>
              <w:spacing w:line="276" w:lineRule="auto"/>
              <w:ind w:left="447"/>
              <w:jc w:val="both"/>
              <w:rPr>
                <w:rFonts w:ascii="Verdana" w:hAnsi="Verdana" w:cs="ArialMT"/>
                <w:i/>
                <w:iCs/>
                <w14:ligatures w14:val="standardContextual"/>
              </w:rPr>
            </w:pPr>
          </w:p>
          <w:p w14:paraId="795C8639" w14:textId="77777777" w:rsidR="00F40564" w:rsidRDefault="007147D6" w:rsidP="00F40564">
            <w:pPr>
              <w:pStyle w:val="ListParagraph"/>
              <w:spacing w:line="276" w:lineRule="auto"/>
              <w:ind w:left="447"/>
              <w:jc w:val="both"/>
              <w:rPr>
                <w:rFonts w:ascii="Verdana" w:hAnsi="Verdana" w:cs="ArialMT"/>
                <w14:ligatures w14:val="standardContextual"/>
              </w:rPr>
            </w:pPr>
            <w:r w:rsidRPr="00F40564">
              <w:rPr>
                <w:rFonts w:ascii="Verdana" w:hAnsi="Verdana" w:cs="ArialMT"/>
                <w:i/>
                <w:iCs/>
                <w14:ligatures w14:val="standardContextual"/>
              </w:rPr>
              <w:t>“En atención a la naturaleza del contrato a suscribir y su valor, plazo y forma de pago, la entidad debe hacer uso de los indicadores que considere adecuados respecto del objeto del Proceso de Contratación, para lo cual no es suficiente la aplicación mecánica de fórmulas financieras, pues deben conocer cada indicador, sus fórmulas de cálculo y su interpretación</w:t>
            </w:r>
            <w:r w:rsidRPr="00F40564">
              <w:rPr>
                <w:rFonts w:ascii="Verdana" w:hAnsi="Verdana" w:cs="ArialMT"/>
                <w14:ligatures w14:val="standardContextual"/>
              </w:rPr>
              <w:t>”</w:t>
            </w:r>
            <w:r w:rsidRPr="00F40564">
              <w:rPr>
                <w:rStyle w:val="FootnoteReference"/>
                <w:rFonts w:ascii="Verdana" w:hAnsi="Verdana" w:cs="ArialMT"/>
                <w14:ligatures w14:val="standardContextual"/>
              </w:rPr>
              <w:t xml:space="preserve"> </w:t>
            </w:r>
            <w:r w:rsidRPr="00C97639">
              <w:rPr>
                <w:rStyle w:val="FootnoteReference"/>
                <w:rFonts w:ascii="Verdana" w:hAnsi="Verdana" w:cs="ArialMT"/>
                <w14:ligatures w14:val="standardContextual"/>
              </w:rPr>
              <w:footnoteReference w:id="3"/>
            </w:r>
            <w:r w:rsidRPr="00F40564">
              <w:rPr>
                <w:rFonts w:ascii="Verdana" w:hAnsi="Verdana" w:cs="ArialMT"/>
                <w14:ligatures w14:val="standardContextual"/>
              </w:rPr>
              <w:t>.</w:t>
            </w:r>
          </w:p>
          <w:p w14:paraId="60779D7B" w14:textId="77777777" w:rsidR="00F40564" w:rsidRPr="00F40564" w:rsidRDefault="00C97639" w:rsidP="004F5668">
            <w:pPr>
              <w:pStyle w:val="ListParagraph"/>
              <w:numPr>
                <w:ilvl w:val="0"/>
                <w:numId w:val="7"/>
              </w:numPr>
              <w:spacing w:line="276" w:lineRule="auto"/>
              <w:ind w:left="306"/>
              <w:jc w:val="both"/>
              <w:rPr>
                <w:rFonts w:ascii="Verdana" w:hAnsi="Verdana" w:cs="Arial"/>
                <w:bCs/>
                <w:color w:val="000000" w:themeColor="text1"/>
              </w:rPr>
            </w:pPr>
            <w:r w:rsidRPr="00F40564">
              <w:rPr>
                <w:rFonts w:ascii="Verdana" w:hAnsi="Verdana" w:cs="ArialMT"/>
                <w14:ligatures w14:val="standardContextual"/>
              </w:rPr>
              <w:t>Es importante precisar que los documentos tipo que ha expedido la Agencia Nacional de Contratación Pública – Colombia Compra Eficiente hasta la fecha no incluyen el sector de seguridad privada, por lo tanto, y teniendo en cuenta que cada sector tiene sus particularidades y que la definición de los requisitos de capacidad financiera y organizacional deben ser establecidos de acuerdo a las realidades del sector, no es posible indicar un indicador de razón de cobertura de interés conforme con su pregunta.</w:t>
            </w:r>
          </w:p>
          <w:p w14:paraId="4B93C13F" w14:textId="77777777" w:rsidR="00F40564" w:rsidRPr="00F40564" w:rsidRDefault="00F40564" w:rsidP="00F40564">
            <w:pPr>
              <w:pStyle w:val="ListParagraph"/>
              <w:spacing w:line="276" w:lineRule="auto"/>
              <w:ind w:left="306"/>
              <w:jc w:val="both"/>
              <w:rPr>
                <w:rFonts w:ascii="Verdana" w:hAnsi="Verdana" w:cs="Arial"/>
                <w:bCs/>
                <w:color w:val="000000" w:themeColor="text1"/>
              </w:rPr>
            </w:pPr>
          </w:p>
          <w:p w14:paraId="7BCCBE83" w14:textId="77777777" w:rsidR="00F40564" w:rsidRPr="00F40564" w:rsidRDefault="00C97639" w:rsidP="004F5668">
            <w:pPr>
              <w:pStyle w:val="ListParagraph"/>
              <w:numPr>
                <w:ilvl w:val="0"/>
                <w:numId w:val="7"/>
              </w:numPr>
              <w:spacing w:line="276" w:lineRule="auto"/>
              <w:ind w:left="306"/>
              <w:jc w:val="both"/>
              <w:rPr>
                <w:rFonts w:ascii="Verdana" w:hAnsi="Verdana" w:cs="Arial"/>
                <w:bCs/>
                <w:color w:val="000000" w:themeColor="text1"/>
              </w:rPr>
            </w:pPr>
            <w:r w:rsidRPr="00F40564">
              <w:rPr>
                <w:rFonts w:ascii="Verdana" w:hAnsi="Verdana" w:cs="ArialMT"/>
                <w14:ligatures w14:val="standardContextual"/>
              </w:rPr>
              <w:t xml:space="preserve">De acuerdo con el MANUAL PARA DETERMINAR Y VERIFICAR LOS REQUISITOS HABILITANTES EN LOS PROCESOS DE CONTRATACIÓN, los requisitos habilitantes </w:t>
            </w:r>
            <w:r w:rsidRPr="00F40564">
              <w:rPr>
                <w:rFonts w:ascii="Verdana" w:hAnsi="Verdana" w:cs="ArialMT"/>
                <w:i/>
                <w:iCs/>
                <w14:ligatures w14:val="standardContextual"/>
              </w:rPr>
              <w:t>“son aquellas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w:t>
            </w:r>
          </w:p>
          <w:p w14:paraId="78B5A46B" w14:textId="77777777" w:rsidR="00F40564" w:rsidRPr="00F40564" w:rsidRDefault="00F40564" w:rsidP="00F40564">
            <w:pPr>
              <w:pStyle w:val="ListParagraph"/>
              <w:rPr>
                <w:rFonts w:ascii="Verdana" w:hAnsi="Verdana" w:cs="ArialMT"/>
                <w:i/>
                <w:iCs/>
                <w14:ligatures w14:val="standardContextual"/>
              </w:rPr>
            </w:pPr>
          </w:p>
          <w:p w14:paraId="6E416DA6" w14:textId="77777777" w:rsidR="00F40564" w:rsidRDefault="00F40564" w:rsidP="00F40564">
            <w:pPr>
              <w:pStyle w:val="ListParagraph"/>
              <w:spacing w:line="276" w:lineRule="auto"/>
              <w:ind w:left="306"/>
              <w:jc w:val="both"/>
              <w:rPr>
                <w:rFonts w:ascii="Verdana" w:hAnsi="Verdana" w:cs="ArialMT"/>
                <w:i/>
                <w:iCs/>
                <w14:ligatures w14:val="standardContextual"/>
              </w:rPr>
            </w:pPr>
            <w:r>
              <w:rPr>
                <w:rFonts w:ascii="Verdana" w:hAnsi="Verdana" w:cs="ArialMT"/>
                <w:i/>
                <w:iCs/>
                <w14:ligatures w14:val="standardContextual"/>
              </w:rPr>
              <w:t xml:space="preserve">(…) </w:t>
            </w:r>
            <w:r w:rsidR="00C97639" w:rsidRPr="00F40564">
              <w:rPr>
                <w:rFonts w:ascii="Verdana" w:hAnsi="Verdana" w:cs="ArialMT"/>
                <w:i/>
                <w:iCs/>
                <w14:ligatures w14:val="standardContextual"/>
              </w:rPr>
              <w:t>Los requisitos habilitantes constituyen los requerimientos mínimos con los que deben cumplir los proponentes para poder participar en el procedimiento de selección, razón por la que los mismos no se valoran con un puntaje tendiente a determinar el orden de escogencia, sino que se analizan como criterios previos a la calificación, de manera que quienes no los reúnan no pueden continuar en el Proceso de Contratación, por lo que sus ofertas deben ser rechazadas. Esto sin perjuicio del derecho que tienen los oferentes de subsanar los defectos que se presenten en la prueba de tales requisitos.  Los requisitos habilitantes miden la aptitud del proponente para participar en el Proceso de Contratación y eventualmente asumir la ejecución del contrato, por lo que están referidos a su capacidad jurídica, financiera, organizacional y experiencia y, en tal medida, el proponente es quien debe presentar los documentos necesarios para acreditarlos”.</w:t>
            </w:r>
            <w:r w:rsidR="00C97639" w:rsidRPr="00C97639">
              <w:rPr>
                <w:rStyle w:val="FootnoteReference"/>
                <w:rFonts w:ascii="Verdana" w:hAnsi="Verdana" w:cs="ArialMT"/>
                <w:i/>
                <w:iCs/>
                <w14:ligatures w14:val="standardContextual"/>
              </w:rPr>
              <w:footnoteReference w:id="4"/>
            </w:r>
          </w:p>
          <w:p w14:paraId="7F244079" w14:textId="77777777" w:rsidR="00F40564" w:rsidRDefault="00C97639" w:rsidP="00F40564">
            <w:pPr>
              <w:pStyle w:val="ListParagraph"/>
              <w:spacing w:line="276" w:lineRule="auto"/>
              <w:ind w:left="306"/>
              <w:jc w:val="both"/>
              <w:rPr>
                <w:rFonts w:ascii="Verdana" w:hAnsi="Verdana" w:cs="ArialMT"/>
                <w14:ligatures w14:val="standardContextual"/>
              </w:rPr>
            </w:pPr>
            <w:r w:rsidRPr="00F40564">
              <w:rPr>
                <w:rFonts w:ascii="Verdana" w:hAnsi="Verdana" w:cs="ArialMT"/>
                <w14:ligatures w14:val="standardContextual"/>
              </w:rPr>
              <w:t>Conforme con lo anterior, los requisitos habilitantes corresponden a los requerimientos mínimos (Jurídicos, técnicos y financieros) que la Entidad determinará incluir en los pliegos de condiciones y que deberán ser acreditados por lo potenciales proponentes interesados en participar en el proceso de selección; estos requisitos deberán ser definidos por la Entidad sustentados en el estudio de sector y el estudio previo con base en los cuales se sustentó la estructuración del proceso.</w:t>
            </w:r>
          </w:p>
          <w:p w14:paraId="693626E2" w14:textId="77777777" w:rsidR="00F40564" w:rsidRDefault="00F40564" w:rsidP="00F40564">
            <w:pPr>
              <w:pStyle w:val="ListParagraph"/>
              <w:spacing w:line="276" w:lineRule="auto"/>
              <w:ind w:left="306"/>
              <w:jc w:val="both"/>
              <w:rPr>
                <w:rFonts w:ascii="Verdana" w:hAnsi="Verdana" w:cs="ArialMT"/>
                <w14:ligatures w14:val="standardContextual"/>
              </w:rPr>
            </w:pPr>
          </w:p>
          <w:p w14:paraId="421F187A" w14:textId="77777777" w:rsidR="00F40564" w:rsidRDefault="00C97639" w:rsidP="00F40564">
            <w:pPr>
              <w:pStyle w:val="ListParagraph"/>
              <w:spacing w:line="276" w:lineRule="auto"/>
              <w:ind w:left="306"/>
              <w:jc w:val="both"/>
              <w:rPr>
                <w:rFonts w:ascii="Verdana" w:hAnsi="Verdana" w:cs="ArialMT"/>
                <w14:ligatures w14:val="standardContextual"/>
              </w:rPr>
            </w:pPr>
            <w:r w:rsidRPr="00F40564">
              <w:rPr>
                <w:rFonts w:ascii="Verdana" w:hAnsi="Verdana" w:cs="ArialMT"/>
                <w14:ligatures w14:val="standardContextual"/>
              </w:rPr>
              <w:t>Por su parte, el estudio de sector corresponde al mecanismo a través del cual las Entidades conocen el sector relativo al objeto del proceso de contratación desde la perspectiva legal, comercial, financiera, organizacional, técnica y de análisis de riesgo, permitiendo de esta forma que la Entidad conozca las oportunidades disponibles en el mercado para atender una necesidad especifica (bien o servicio). Lo anterior, conforme con lo definido en el numeral 2.2.1.1.1.6.1 del decreto 1082 de 2015 y la GUÍA DE ELABORACIÓN DE ESTUDIOS DE SECTOR GEES</w:t>
            </w:r>
            <w:r w:rsidRPr="00C97639">
              <w:rPr>
                <w:rStyle w:val="FootnoteReference"/>
                <w:rFonts w:ascii="Verdana" w:hAnsi="Verdana" w:cs="ArialMT"/>
                <w14:ligatures w14:val="standardContextual"/>
              </w:rPr>
              <w:footnoteReference w:id="5"/>
            </w:r>
            <w:r w:rsidRPr="00F40564">
              <w:rPr>
                <w:rFonts w:ascii="Verdana" w:hAnsi="Verdana" w:cs="ArialMT"/>
                <w14:ligatures w14:val="standardContextual"/>
              </w:rPr>
              <w:t>-versión 2 del 24 de junio de 2022.</w:t>
            </w:r>
          </w:p>
          <w:p w14:paraId="5CF49887" w14:textId="77777777" w:rsidR="00F40564" w:rsidRDefault="00F40564" w:rsidP="00F40564">
            <w:pPr>
              <w:pStyle w:val="ListParagraph"/>
              <w:spacing w:line="276" w:lineRule="auto"/>
              <w:ind w:left="306"/>
              <w:jc w:val="both"/>
              <w:rPr>
                <w:rFonts w:ascii="Verdana" w:hAnsi="Verdana" w:cs="ArialMT"/>
                <w14:ligatures w14:val="standardContextual"/>
              </w:rPr>
            </w:pPr>
          </w:p>
          <w:p w14:paraId="3F8A3866" w14:textId="77777777" w:rsidR="00F40564" w:rsidRDefault="00C97639" w:rsidP="00F40564">
            <w:pPr>
              <w:pStyle w:val="ListParagraph"/>
              <w:spacing w:line="276" w:lineRule="auto"/>
              <w:ind w:left="306"/>
              <w:jc w:val="both"/>
              <w:rPr>
                <w:rFonts w:ascii="Verdana" w:hAnsi="Verdana" w:cs="ArialMT"/>
                <w14:ligatures w14:val="standardContextual"/>
              </w:rPr>
            </w:pPr>
            <w:r w:rsidRPr="00F40564">
              <w:rPr>
                <w:rFonts w:ascii="Verdana" w:hAnsi="Verdana" w:cs="ArialMT"/>
                <w14:ligatures w14:val="standardContextual"/>
              </w:rPr>
              <w:t>Su articulación con el estudio previo es clave, toda vez que los resultados obtenidos por la Entidad en el estudio de sector deben plasmarse en los estudios y documentos previos del proceso de contratación, toda vez que a partir de dichos resultados la Entidad puede sustentar, entre otros aspectos, la determinación de los requisitos habilitantes a solicitar en el proceso.</w:t>
            </w:r>
          </w:p>
          <w:p w14:paraId="594B899C" w14:textId="77777777" w:rsidR="00F40564" w:rsidRDefault="00F40564" w:rsidP="00F40564">
            <w:pPr>
              <w:pStyle w:val="ListParagraph"/>
              <w:spacing w:line="276" w:lineRule="auto"/>
              <w:ind w:left="306"/>
              <w:jc w:val="both"/>
              <w:rPr>
                <w:rFonts w:ascii="Verdana" w:hAnsi="Verdana" w:cs="ArialMT"/>
                <w14:ligatures w14:val="standardContextual"/>
              </w:rPr>
            </w:pPr>
          </w:p>
          <w:p w14:paraId="54F950C8" w14:textId="77777777" w:rsidR="00F40564" w:rsidRPr="00F40564" w:rsidRDefault="00C97639" w:rsidP="004F5668">
            <w:pPr>
              <w:pStyle w:val="ListParagraph"/>
              <w:numPr>
                <w:ilvl w:val="0"/>
                <w:numId w:val="7"/>
              </w:numPr>
              <w:spacing w:line="276" w:lineRule="auto"/>
              <w:ind w:left="306"/>
              <w:jc w:val="both"/>
              <w:rPr>
                <w:rFonts w:ascii="Verdana" w:hAnsi="Verdana" w:cs="Arial"/>
                <w:bCs/>
                <w:color w:val="000000" w:themeColor="text1"/>
              </w:rPr>
            </w:pPr>
            <w:r w:rsidRPr="00F40564">
              <w:rPr>
                <w:rFonts w:ascii="Verdana" w:hAnsi="Verdana" w:cs="ArialMT"/>
                <w14:ligatures w14:val="standardContextual"/>
              </w:rPr>
              <w:t xml:space="preserve">Como lo establece la GUÍA DE ELABORACIÓN DE ESTUDIOS DE SECTOR GEES-VERSIÓN 2 del 24 de junio de 2022, su objetivo es </w:t>
            </w:r>
            <w:r w:rsidRPr="00F40564">
              <w:rPr>
                <w:rFonts w:ascii="Verdana" w:hAnsi="Verdana" w:cs="ArialMT"/>
                <w:i/>
                <w:iCs/>
                <w14:ligatures w14:val="standardContextual"/>
              </w:rPr>
              <w:t>“desarrollar recomendaciones y buenas prácticas que servirán a las Entidades Estatales para entender el mercado del bien, obra o servicio que pretende adquirir y diseñar el Proceso de Contratación con la información necesaria para alcanzar objetivos de eficacia, eficiencia, economía, promoción de la competencia y manejo del riesgo</w:t>
            </w:r>
            <w:r w:rsidRPr="00C97639">
              <w:rPr>
                <w:rStyle w:val="FootnoteReference"/>
                <w:rFonts w:ascii="Verdana" w:hAnsi="Verdana" w:cs="ArialMT"/>
                <w:i/>
                <w:iCs/>
                <w14:ligatures w14:val="standardContextual"/>
              </w:rPr>
              <w:footnoteReference w:id="6"/>
            </w:r>
            <w:r w:rsidRPr="00F40564">
              <w:rPr>
                <w:rFonts w:ascii="Verdana" w:hAnsi="Verdana" w:cs="ArialMT"/>
                <w:i/>
                <w:iCs/>
                <w14:ligatures w14:val="standardContextual"/>
              </w:rPr>
              <w:t>”.</w:t>
            </w:r>
          </w:p>
          <w:p w14:paraId="4D39AD57" w14:textId="77777777" w:rsidR="00F40564" w:rsidRPr="00F40564" w:rsidRDefault="00F40564" w:rsidP="00F40564">
            <w:pPr>
              <w:pStyle w:val="ListParagraph"/>
              <w:spacing w:line="276" w:lineRule="auto"/>
              <w:ind w:left="306"/>
              <w:jc w:val="both"/>
              <w:rPr>
                <w:rFonts w:ascii="Verdana" w:hAnsi="Verdana" w:cs="Arial"/>
                <w:bCs/>
                <w:color w:val="000000" w:themeColor="text1"/>
              </w:rPr>
            </w:pPr>
          </w:p>
          <w:p w14:paraId="676A203B" w14:textId="77777777" w:rsidR="00F40564" w:rsidRDefault="00C97639" w:rsidP="00F40564">
            <w:pPr>
              <w:pStyle w:val="ListParagraph"/>
              <w:spacing w:line="276" w:lineRule="auto"/>
              <w:ind w:left="306"/>
              <w:jc w:val="both"/>
              <w:rPr>
                <w:rFonts w:ascii="Verdana" w:hAnsi="Verdana" w:cs="ArialMT"/>
                <w14:ligatures w14:val="standardContextual"/>
              </w:rPr>
            </w:pPr>
            <w:r w:rsidRPr="00F40564">
              <w:rPr>
                <w:rFonts w:ascii="Verdana" w:hAnsi="Verdana" w:cs="ArialMT"/>
                <w14:ligatures w14:val="standardContextual"/>
              </w:rPr>
              <w:t>Cómo se puede ver, el objetivo central del estudio es la recolección y análisis de información relevante de un sector específico, la cual sirva de sustento para la estructuración de un proceso de contratación. Por lo anterior, en el marco de un proceso de selección, la Entidad podrá utilizar los componentes, herramientas y metodologías incluidas en la GUÍA DE ELABORACIÓN DE ESTUDIOS DE SECTOR cómo sustento para determinar los requisitos de capacidad financiera y organizacional conforme con los lineamientos definidos en el MANUAL PARA DETERMINAR Y VERIFICAR LOS REQUISITOS HABILITANTES EN LOS PROCESOS DE CONTRATACIÓN.</w:t>
            </w:r>
          </w:p>
          <w:p w14:paraId="1A95A98A" w14:textId="77777777" w:rsidR="00F40564" w:rsidRDefault="00F40564" w:rsidP="00F40564">
            <w:pPr>
              <w:pStyle w:val="ListParagraph"/>
              <w:spacing w:line="276" w:lineRule="auto"/>
              <w:ind w:left="306"/>
              <w:jc w:val="both"/>
              <w:rPr>
                <w:rFonts w:ascii="Verdana" w:hAnsi="Verdana" w:cs="ArialMT"/>
                <w14:ligatures w14:val="standardContextual"/>
              </w:rPr>
            </w:pPr>
          </w:p>
          <w:p w14:paraId="5EDFE11E" w14:textId="77777777" w:rsidR="00181E81" w:rsidRDefault="00C97639" w:rsidP="00F40564">
            <w:pPr>
              <w:pStyle w:val="ListParagraph"/>
              <w:spacing w:line="276" w:lineRule="auto"/>
              <w:ind w:left="306"/>
              <w:jc w:val="both"/>
              <w:rPr>
                <w:rFonts w:ascii="Verdana" w:hAnsi="Verdana" w:cs="ArialMT"/>
                <w14:ligatures w14:val="standardContextual"/>
              </w:rPr>
            </w:pPr>
            <w:r w:rsidRPr="00F40564">
              <w:rPr>
                <w:rFonts w:ascii="Verdana" w:hAnsi="Verdana" w:cs="ArialMT"/>
                <w14:ligatures w14:val="standardContextual"/>
              </w:rPr>
              <w:t>Por ejemplo, para analizar la información financiera obtenida y sustentar la determinación de los requisitos de capacidad financiera y organizacional, la Entidad puede utilizar las “Recomendaciones para el manejo de datos y análisis estadístico” establecidas en el numeral 4 de la Guía de elaboración de estudios de sector.</w:t>
            </w:r>
          </w:p>
          <w:p w14:paraId="2D0E1B6F" w14:textId="77777777" w:rsidR="00F40564" w:rsidRDefault="00F40564" w:rsidP="00F40564">
            <w:pPr>
              <w:pStyle w:val="ListParagraph"/>
              <w:spacing w:line="276" w:lineRule="auto"/>
              <w:ind w:left="306"/>
              <w:jc w:val="both"/>
              <w:rPr>
                <w:rFonts w:ascii="Verdana" w:hAnsi="Verdana" w:cs="ArialMT"/>
                <w14:ligatures w14:val="standardContextual"/>
              </w:rPr>
            </w:pPr>
          </w:p>
          <w:p w14:paraId="28258EAA" w14:textId="2918BB35" w:rsidR="00F40564" w:rsidRPr="00DB4737" w:rsidRDefault="00F40564" w:rsidP="00F40564">
            <w:pPr>
              <w:spacing w:line="276" w:lineRule="auto"/>
              <w:ind w:firstLine="360"/>
              <w:contextualSpacing/>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 xml:space="preserve">Finalmente debe advertirse, que el análisis para resolver problemas específicos en torno a </w:t>
            </w:r>
            <w:r>
              <w:rPr>
                <w:rFonts w:ascii="Verdana" w:eastAsia="Calibri" w:hAnsi="Verdana" w:cs="Times New Roman"/>
                <w:lang w:val="es-ES"/>
              </w:rPr>
              <w:t xml:space="preserve">las preguntas </w:t>
            </w:r>
            <w:r w:rsidR="00FD6573">
              <w:rPr>
                <w:rFonts w:ascii="Verdana" w:eastAsia="Calibri" w:hAnsi="Verdana" w:cs="Times New Roman"/>
                <w:lang w:val="es-ES"/>
              </w:rPr>
              <w:t>formuladas,</w:t>
            </w:r>
            <w:r w:rsidRPr="00DB4737">
              <w:rPr>
                <w:rFonts w:ascii="Verdana" w:eastAsia="Calibri" w:hAnsi="Verdana" w:cs="Times New Roman"/>
                <w:lang w:val="es-ES"/>
              </w:rPr>
              <w:t xml:space="preserve">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43DEE9E6" w14:textId="77777777" w:rsidR="00F40564" w:rsidRPr="00DB4737" w:rsidRDefault="00F40564" w:rsidP="00F40564">
            <w:pPr>
              <w:ind w:left="720"/>
              <w:contextualSpacing/>
              <w:rPr>
                <w:rFonts w:ascii="Verdana" w:eastAsia="Calibri" w:hAnsi="Verdana" w:cs="Times New Roman"/>
                <w:lang w:val="es-ES"/>
              </w:rPr>
            </w:pPr>
          </w:p>
          <w:p w14:paraId="59BFE3BC" w14:textId="77777777" w:rsidR="00F40564" w:rsidRPr="00DB4737" w:rsidRDefault="00F40564" w:rsidP="00F40564">
            <w:pPr>
              <w:spacing w:line="276" w:lineRule="auto"/>
              <w:ind w:firstLine="360"/>
              <w:contextualSpacing/>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47EEB54F" w14:textId="6D636E91" w:rsidR="00F40564" w:rsidRPr="00F40564" w:rsidRDefault="00F40564" w:rsidP="00F40564">
            <w:pPr>
              <w:pStyle w:val="ListParagraph"/>
              <w:spacing w:line="276" w:lineRule="auto"/>
              <w:ind w:left="306"/>
              <w:jc w:val="both"/>
              <w:rPr>
                <w:rFonts w:ascii="Verdana" w:hAnsi="Verdana" w:cs="Arial"/>
                <w:bCs/>
                <w:color w:val="000000" w:themeColor="text1"/>
              </w:rPr>
            </w:pPr>
          </w:p>
        </w:tc>
      </w:tr>
      <w:tr w:rsidR="007D5768" w:rsidRPr="00593A5F" w14:paraId="43648ADC" w14:textId="77777777" w:rsidTr="005943DC">
        <w:tc>
          <w:tcPr>
            <w:tcW w:w="8828" w:type="dxa"/>
            <w:shd w:val="clear" w:color="auto" w:fill="auto"/>
          </w:tcPr>
          <w:p w14:paraId="60E16ECD" w14:textId="77777777" w:rsidR="007D5768" w:rsidRPr="002973E9" w:rsidRDefault="007D5768" w:rsidP="005943DC">
            <w:pPr>
              <w:spacing w:line="276" w:lineRule="auto"/>
              <w:jc w:val="both"/>
              <w:rPr>
                <w:rFonts w:ascii="Verdana" w:eastAsia="Calibri" w:hAnsi="Verdana" w:cs="Arial"/>
                <w:lang w:val="es-ES"/>
              </w:rPr>
            </w:pPr>
          </w:p>
        </w:tc>
      </w:tr>
    </w:tbl>
    <w:p w14:paraId="032FF257" w14:textId="77777777" w:rsidR="007D5768" w:rsidRDefault="007D5768" w:rsidP="007D5768">
      <w:pPr>
        <w:tabs>
          <w:tab w:val="left" w:pos="142"/>
          <w:tab w:val="left" w:pos="284"/>
        </w:tabs>
        <w:spacing w:after="0" w:line="276" w:lineRule="auto"/>
        <w:jc w:val="both"/>
        <w:rPr>
          <w:rFonts w:ascii="Verdana" w:eastAsia="Century Gothic" w:hAnsi="Verdana" w:cs="Century Gothic"/>
          <w:b/>
          <w:bCs/>
          <w:lang w:val="es-ES"/>
        </w:rPr>
      </w:pPr>
    </w:p>
    <w:p w14:paraId="6170B3F8" w14:textId="77777777" w:rsidR="007D5768" w:rsidRPr="00593A5F" w:rsidRDefault="007D5768" w:rsidP="004F5668">
      <w:pPr>
        <w:pStyle w:val="ListParagraph"/>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BB50C0F" w14:textId="77777777" w:rsidR="007D5768" w:rsidRPr="00593A5F" w:rsidRDefault="007D5768" w:rsidP="007D5768">
      <w:pPr>
        <w:spacing w:after="0" w:line="276" w:lineRule="auto"/>
        <w:jc w:val="both"/>
        <w:rPr>
          <w:rFonts w:ascii="Verdana" w:eastAsia="Calibri" w:hAnsi="Verdana" w:cs="Arial"/>
          <w:color w:val="7030A0"/>
          <w:lang w:val="es-ES"/>
        </w:rPr>
      </w:pPr>
    </w:p>
    <w:p w14:paraId="2B9C7990" w14:textId="77777777" w:rsidR="007D5768" w:rsidRDefault="007D5768" w:rsidP="007D5768">
      <w:pPr>
        <w:spacing w:after="0" w:line="276" w:lineRule="auto"/>
        <w:jc w:val="both"/>
        <w:rPr>
          <w:rFonts w:ascii="Verdana" w:eastAsia="Calibri" w:hAnsi="Verdana" w:cs="Arial"/>
          <w:lang w:val="es-ES"/>
        </w:rPr>
      </w:pPr>
      <w:r w:rsidRPr="00542ED3">
        <w:rPr>
          <w:rFonts w:ascii="Verdana" w:eastAsia="Calibri" w:hAnsi="Verdana" w:cs="Arial"/>
          <w:lang w:val="es-ES"/>
        </w:rPr>
        <w:t xml:space="preserve">Lo anterior se sustenta en las siguientes consideraciones: </w:t>
      </w:r>
    </w:p>
    <w:p w14:paraId="77FFB98E" w14:textId="77777777" w:rsidR="00770D74" w:rsidRDefault="00770D74" w:rsidP="007D5768">
      <w:pPr>
        <w:spacing w:after="0" w:line="276" w:lineRule="auto"/>
        <w:jc w:val="both"/>
        <w:rPr>
          <w:rFonts w:ascii="Verdana" w:eastAsia="Calibri" w:hAnsi="Verdana" w:cs="Arial"/>
          <w:lang w:val="es-ES"/>
        </w:rPr>
      </w:pPr>
    </w:p>
    <w:p w14:paraId="363EAB90" w14:textId="558B1F7F" w:rsidR="00A67539" w:rsidRPr="007871C6" w:rsidRDefault="00A67539" w:rsidP="00A67539">
      <w:pPr>
        <w:spacing w:after="120" w:line="276" w:lineRule="auto"/>
        <w:ind w:firstLine="708"/>
        <w:jc w:val="both"/>
        <w:rPr>
          <w:rFonts w:ascii="Verdana" w:eastAsia="Calibri" w:hAnsi="Verdana" w:cs="Arial"/>
          <w:lang w:val="es-ES_tradnl"/>
        </w:rPr>
      </w:pPr>
      <w:bookmarkStart w:id="5" w:name="_Hlk174375050"/>
      <w:r w:rsidRPr="007871C6">
        <w:rPr>
          <w:rFonts w:ascii="Verdana" w:eastAsia="Calibri" w:hAnsi="Verdana" w:cs="Arial"/>
          <w:lang w:val="es-ES_tradnl"/>
        </w:rPr>
        <w:t>La planeación contractual es una herramienta de gerencia pública</w:t>
      </w:r>
      <w:r>
        <w:rPr>
          <w:rFonts w:ascii="Verdana" w:eastAsia="Calibri" w:hAnsi="Verdana" w:cs="Arial"/>
          <w:lang w:val="es-ES_tradnl"/>
        </w:rPr>
        <w:t xml:space="preserve"> que</w:t>
      </w:r>
      <w:r w:rsidRPr="007871C6">
        <w:rPr>
          <w:rFonts w:ascii="Verdana" w:eastAsia="Calibri" w:hAnsi="Verdana" w:cs="Arial"/>
          <w:lang w:val="es-ES_tradnl"/>
        </w:rPr>
        <w:t xml:space="preserve"> exige estructurar el proceso contractual dedicando tiempo y esfuerzo para elaborar estudios previos</w:t>
      </w:r>
      <w:r>
        <w:rPr>
          <w:rFonts w:ascii="Verdana" w:eastAsia="Calibri" w:hAnsi="Verdana" w:cs="Arial"/>
          <w:lang w:val="es-ES_tradnl"/>
        </w:rPr>
        <w:t xml:space="preserve"> y análisis de sector económico</w:t>
      </w:r>
      <w:r w:rsidRPr="007871C6">
        <w:rPr>
          <w:rFonts w:ascii="Verdana" w:eastAsia="Calibri" w:hAnsi="Verdana" w:cs="Arial"/>
          <w:lang w:val="es-ES_tradnl"/>
        </w:rPr>
        <w:t>, con el fin de determinar la necesidad que pretende satisfacer y cuál es la mejor manera de hacerlo,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p>
    <w:p w14:paraId="54379B0F" w14:textId="0238EFD7" w:rsidR="00A67539" w:rsidRDefault="00A67539" w:rsidP="00A67539">
      <w:pPr>
        <w:spacing w:after="120" w:line="276" w:lineRule="auto"/>
        <w:ind w:firstLine="708"/>
        <w:jc w:val="both"/>
        <w:rPr>
          <w:rFonts w:ascii="Verdana" w:eastAsia="Calibri" w:hAnsi="Verdana" w:cs="Arial"/>
          <w:lang w:val="es-ES_tradnl"/>
        </w:rPr>
      </w:pPr>
      <w:r w:rsidRPr="007871C6">
        <w:rPr>
          <w:rFonts w:ascii="Verdana" w:eastAsia="Calibri" w:hAnsi="Verdana" w:cs="Arial"/>
          <w:lang w:val="es-ES_tradnl"/>
        </w:rPr>
        <w:t>El Estatuto General de Contratación de la Administración Pública contiene disposiciones que demandan de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r w:rsidRPr="00A67539">
        <w:rPr>
          <w:rFonts w:ascii="Verdana" w:eastAsia="Calibri" w:hAnsi="Verdana" w:cs="Arial"/>
          <w:lang w:val="es-ES_tradnl"/>
        </w:rPr>
        <w:t xml:space="preserve"> </w:t>
      </w:r>
      <w:r>
        <w:rPr>
          <w:rFonts w:ascii="Verdana" w:eastAsia="Calibri" w:hAnsi="Verdana" w:cs="Arial"/>
          <w:lang w:val="es-ES_tradnl"/>
        </w:rPr>
        <w:t xml:space="preserve">En este contexto, el contenido de los estudios previos y del análisis del sector se encuentran regulados en los artículos </w:t>
      </w:r>
      <w:r w:rsidRPr="005E2573">
        <w:rPr>
          <w:rFonts w:ascii="Verdana" w:eastAsia="Calibri" w:hAnsi="Verdana" w:cs="Arial"/>
          <w:lang w:val="es-ES_tradnl"/>
        </w:rPr>
        <w:t>2.2.1.1.1.6.1</w:t>
      </w:r>
      <w:r>
        <w:rPr>
          <w:rFonts w:ascii="Verdana" w:eastAsia="Calibri" w:hAnsi="Verdana" w:cs="Arial"/>
          <w:lang w:val="es-ES_tradnl"/>
        </w:rPr>
        <w:t xml:space="preserve"> y </w:t>
      </w:r>
      <w:r w:rsidRPr="005E2573">
        <w:rPr>
          <w:rFonts w:ascii="Verdana" w:eastAsia="Calibri" w:hAnsi="Verdana" w:cs="Arial"/>
          <w:lang w:val="es-ES_tradnl"/>
        </w:rPr>
        <w:t>2.2.1.1.2.1.1</w:t>
      </w:r>
      <w:r>
        <w:rPr>
          <w:rFonts w:ascii="Verdana" w:eastAsia="Calibri" w:hAnsi="Verdana" w:cs="Arial"/>
          <w:lang w:val="es-ES_tradnl"/>
        </w:rPr>
        <w:t xml:space="preserve"> del Decreto 1082 de 2015. </w:t>
      </w:r>
    </w:p>
    <w:bookmarkEnd w:id="5"/>
    <w:p w14:paraId="6B94D36F" w14:textId="14C1A894" w:rsidR="00A67539" w:rsidRPr="00082852" w:rsidRDefault="00A67539" w:rsidP="4EE57ACF">
      <w:pPr>
        <w:spacing w:after="120" w:line="276" w:lineRule="auto"/>
        <w:ind w:firstLine="708"/>
        <w:jc w:val="both"/>
        <w:rPr>
          <w:rFonts w:ascii="Verdana" w:eastAsia="Calibri" w:hAnsi="Verdana" w:cs="Arial"/>
          <w:lang w:val="es-ES" w:eastAsia="es-ES" w:bidi="es-ES"/>
        </w:rPr>
      </w:pPr>
      <w:r w:rsidRPr="4EE57ACF">
        <w:rPr>
          <w:rFonts w:ascii="Verdana" w:eastAsia="Calibri" w:hAnsi="Verdana" w:cs="Arial"/>
          <w:lang w:val="es-ES" w:eastAsia="es-ES" w:bidi="es-ES"/>
        </w:rPr>
        <w:t xml:space="preserve">Ahora bien , durante la etapa de planeación deben definirse los requisitos habilitantes </w:t>
      </w:r>
      <w:r w:rsidR="003464C7" w:rsidRPr="4EE57ACF">
        <w:rPr>
          <w:rFonts w:ascii="Verdana" w:eastAsia="Calibri" w:hAnsi="Verdana" w:cs="Arial"/>
          <w:lang w:val="es-ES" w:eastAsia="es-ES" w:bidi="es-ES"/>
        </w:rPr>
        <w:t xml:space="preserve">por medio de los cuales se </w:t>
      </w:r>
      <w:r w:rsidR="00481144" w:rsidRPr="4EE57ACF">
        <w:rPr>
          <w:rFonts w:ascii="Verdana" w:eastAsia="Calibri" w:hAnsi="Verdana" w:cs="Arial"/>
          <w:lang w:val="es-ES" w:eastAsia="es-ES" w:bidi="es-ES"/>
        </w:rPr>
        <w:t>establecen</w:t>
      </w:r>
      <w:r w:rsidR="003464C7" w:rsidRPr="4EE57ACF">
        <w:rPr>
          <w:rFonts w:ascii="Verdana" w:eastAsia="Calibri" w:hAnsi="Verdana" w:cs="Arial"/>
          <w:lang w:val="es-ES" w:eastAsia="es-ES" w:bidi="es-ES"/>
        </w:rPr>
        <w:t xml:space="preserve"> los requisitos</w:t>
      </w:r>
      <w:r w:rsidRPr="4EE57ACF">
        <w:rPr>
          <w:rFonts w:ascii="Verdana" w:eastAsia="Calibri" w:hAnsi="Verdana" w:cs="Arial"/>
          <w:lang w:val="es-ES" w:eastAsia="es-ES" w:bidi="es-ES"/>
        </w:rPr>
        <w:t xml:space="preserve"> de participación en los procedimientos de selección</w:t>
      </w:r>
      <w:r w:rsidR="00481144" w:rsidRPr="4EE57ACF">
        <w:rPr>
          <w:rFonts w:ascii="Verdana" w:eastAsia="Calibri" w:hAnsi="Verdana" w:cs="Arial"/>
          <w:lang w:val="es-ES" w:eastAsia="es-ES" w:bidi="es-ES"/>
        </w:rPr>
        <w:t xml:space="preserve"> previstos</w:t>
      </w:r>
      <w:r w:rsidRPr="4EE57ACF">
        <w:rPr>
          <w:rFonts w:ascii="Verdana" w:eastAsia="Calibri" w:hAnsi="Verdana" w:cs="Arial"/>
          <w:lang w:val="es-ES" w:eastAsia="es-ES" w:bidi="es-ES"/>
        </w:rPr>
        <w:t xml:space="preserve"> en disposiciones normativas, de carácter legal o reglamentario, o contenidas en el acto administrativo que regula las reglas de la convocatoria, es decir, en el pliego de condiciones o el documento equivalente a este. Se diferencian de los </w:t>
      </w:r>
      <w:r w:rsidRPr="4EE57ACF">
        <w:rPr>
          <w:rFonts w:ascii="Verdana" w:eastAsia="Calibri" w:hAnsi="Verdana" w:cs="Arial"/>
          <w:i/>
          <w:iCs/>
          <w:lang w:val="es-ES" w:eastAsia="es-ES" w:bidi="es-ES"/>
        </w:rPr>
        <w:t>criterios de evaluación</w:t>
      </w:r>
      <w:r w:rsidRPr="4EE57ACF">
        <w:rPr>
          <w:rFonts w:ascii="Verdana" w:eastAsia="Calibri" w:hAnsi="Verdana" w:cs="Arial"/>
          <w:lang w:val="es-ES" w:eastAsia="es-ES" w:bidi="es-ES"/>
        </w:rPr>
        <w:t xml:space="preserve"> –también conocidos como </w:t>
      </w:r>
      <w:r w:rsidRPr="4EE57ACF">
        <w:rPr>
          <w:rFonts w:ascii="Verdana" w:eastAsia="Calibri" w:hAnsi="Verdana" w:cs="Arial"/>
          <w:i/>
          <w:iCs/>
          <w:lang w:val="es-ES" w:eastAsia="es-ES" w:bidi="es-ES"/>
        </w:rPr>
        <w:t>criterios de calificación</w:t>
      </w:r>
      <w:r w:rsidRPr="4EE57ACF">
        <w:rPr>
          <w:rFonts w:ascii="Verdana" w:eastAsia="Calibri" w:hAnsi="Verdana" w:cs="Arial"/>
          <w:lang w:val="es-ES" w:eastAsia="es-ES" w:bidi="es-ES"/>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478040FC" w14:textId="77777777" w:rsidR="00A67539" w:rsidRPr="00082852" w:rsidRDefault="00A67539" w:rsidP="00A67539">
      <w:pPr>
        <w:spacing w:after="120" w:line="276" w:lineRule="auto"/>
        <w:ind w:firstLine="708"/>
        <w:jc w:val="both"/>
        <w:rPr>
          <w:rFonts w:ascii="Verdana" w:eastAsia="Calibri" w:hAnsi="Verdana" w:cs="Arial"/>
          <w:bCs/>
          <w:lang w:val="es-ES" w:eastAsia="es-ES" w:bidi="es-ES"/>
        </w:rPr>
      </w:pPr>
      <w:r w:rsidRPr="00082852">
        <w:rPr>
          <w:rFonts w:ascii="Verdana" w:eastAsia="Calibri" w:hAnsi="Verdana" w:cs="Arial"/>
          <w:bCs/>
          <w:lang w:val="es-ES" w:eastAsia="es-ES" w:bidi="es-ES"/>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1E49E089" w14:textId="77777777" w:rsidR="00A67539" w:rsidRPr="00082852" w:rsidRDefault="00A67539" w:rsidP="00A67539">
      <w:pPr>
        <w:spacing w:after="120" w:line="276" w:lineRule="auto"/>
        <w:ind w:firstLine="708"/>
        <w:jc w:val="both"/>
        <w:rPr>
          <w:rFonts w:ascii="Verdana" w:eastAsia="Calibri" w:hAnsi="Verdana" w:cs="Arial"/>
          <w:bCs/>
          <w:lang w:val="es-ES" w:eastAsia="es-ES" w:bidi="es-ES"/>
        </w:rPr>
      </w:pPr>
      <w:r w:rsidRPr="00082852">
        <w:rPr>
          <w:rFonts w:ascii="Verdana" w:eastAsia="Calibri" w:hAnsi="Verdana" w:cs="Arial"/>
          <w:bCs/>
          <w:lang w:val="es-ES" w:eastAsia="es-ES" w:bidi="es-ES"/>
        </w:rPr>
        <w:t xml:space="preserve">El mencionado artículo dispone que se considera </w:t>
      </w:r>
      <w:r w:rsidRPr="00082852">
        <w:rPr>
          <w:rFonts w:ascii="Verdana" w:eastAsia="Calibri" w:hAnsi="Verdana" w:cs="Arial"/>
          <w:bCs/>
          <w:i/>
          <w:iCs/>
          <w:lang w:val="es-ES" w:eastAsia="es-ES" w:bidi="es-ES"/>
        </w:rPr>
        <w:t>“objetiva la selección en la cual la escogencia se haga al ofrecimiento más favorable a la entidad y a los fines que ella busca, sin tener en consideración factores de afecto o de interés y, en general, cualquier clase de motivación subjetiva”.</w:t>
      </w:r>
      <w:r w:rsidRPr="00082852">
        <w:rPr>
          <w:rFonts w:ascii="Verdana" w:eastAsia="Calibri" w:hAnsi="Verdana" w:cs="Arial"/>
          <w:bCs/>
          <w:lang w:val="es-ES" w:eastAsia="es-ES" w:bidi="es-ES"/>
        </w:rPr>
        <w:t xml:space="preserve"> En ese contexto, los factores de escogencia y calificación que establezcan las entidades en los pliegos de condiciones o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00082852">
        <w:rPr>
          <w:rFonts w:ascii="Verdana" w:eastAsia="Calibri" w:hAnsi="Verdana" w:cs="Arial"/>
          <w:bCs/>
          <w:i/>
          <w:iCs/>
          <w:lang w:val="es-ES" w:eastAsia="es-ES" w:bidi="es-ES"/>
        </w:rPr>
        <w:t>entre otros</w:t>
      </w:r>
      <w:r w:rsidRPr="00082852">
        <w:rPr>
          <w:rFonts w:ascii="Verdana" w:eastAsia="Calibri" w:hAnsi="Verdana" w:cs="Arial"/>
          <w:bCs/>
          <w:lang w:val="es-ES" w:eastAsia="es-ES" w:bidi="es-ES"/>
        </w:rPr>
        <w:t xml:space="preserve">, los siguientes: i) la capacidad jurídica; </w:t>
      </w:r>
      <w:proofErr w:type="spellStart"/>
      <w:r w:rsidRPr="00082852">
        <w:rPr>
          <w:rFonts w:ascii="Verdana" w:eastAsia="Calibri" w:hAnsi="Verdana" w:cs="Arial"/>
          <w:bCs/>
          <w:lang w:val="es-ES" w:eastAsia="es-ES" w:bidi="es-ES"/>
        </w:rPr>
        <w:t>ii</w:t>
      </w:r>
      <w:proofErr w:type="spellEnd"/>
      <w:r w:rsidRPr="00082852">
        <w:rPr>
          <w:rFonts w:ascii="Verdana" w:eastAsia="Calibri" w:hAnsi="Verdana" w:cs="Arial"/>
          <w:bCs/>
          <w:lang w:val="es-ES" w:eastAsia="es-ES" w:bidi="es-ES"/>
        </w:rPr>
        <w:t xml:space="preserve">) la experiencia; </w:t>
      </w:r>
      <w:proofErr w:type="spellStart"/>
      <w:r w:rsidRPr="00082852">
        <w:rPr>
          <w:rFonts w:ascii="Verdana" w:eastAsia="Calibri" w:hAnsi="Verdana" w:cs="Arial"/>
          <w:bCs/>
          <w:lang w:val="es-ES" w:eastAsia="es-ES" w:bidi="es-ES"/>
        </w:rPr>
        <w:t>iii</w:t>
      </w:r>
      <w:proofErr w:type="spellEnd"/>
      <w:r w:rsidRPr="00082852">
        <w:rPr>
          <w:rFonts w:ascii="Verdana" w:eastAsia="Calibri" w:hAnsi="Verdana" w:cs="Arial"/>
          <w:bCs/>
          <w:lang w:val="es-ES" w:eastAsia="es-ES" w:bidi="es-ES"/>
        </w:rPr>
        <w:t xml:space="preserve">) la capacidad financiera, y </w:t>
      </w:r>
      <w:proofErr w:type="spellStart"/>
      <w:r w:rsidRPr="00082852">
        <w:rPr>
          <w:rFonts w:ascii="Verdana" w:eastAsia="Calibri" w:hAnsi="Verdana" w:cs="Arial"/>
          <w:bCs/>
          <w:lang w:val="es-ES" w:eastAsia="es-ES" w:bidi="es-ES"/>
        </w:rPr>
        <w:t>iv</w:t>
      </w:r>
      <w:proofErr w:type="spellEnd"/>
      <w:r w:rsidRPr="00082852">
        <w:rPr>
          <w:rFonts w:ascii="Verdana" w:eastAsia="Calibri" w:hAnsi="Verdana" w:cs="Arial"/>
          <w:bCs/>
          <w:lang w:val="es-ES" w:eastAsia="es-ES" w:bidi="es-ES"/>
        </w:rPr>
        <w:t>) la capacidad de organización. En efecto, la normativa citada prescribe:</w:t>
      </w:r>
    </w:p>
    <w:p w14:paraId="1337AB35" w14:textId="77777777" w:rsidR="00A67539" w:rsidRPr="00082852" w:rsidRDefault="00A67539" w:rsidP="00A67539">
      <w:pPr>
        <w:spacing w:after="0" w:line="240" w:lineRule="auto"/>
        <w:ind w:left="709" w:right="709"/>
        <w:jc w:val="both"/>
        <w:rPr>
          <w:rFonts w:ascii="Verdana" w:eastAsia="Calibri" w:hAnsi="Verdana" w:cs="Arial"/>
          <w:bCs/>
          <w:sz w:val="21"/>
          <w:szCs w:val="21"/>
          <w:lang w:val="es-ES_tradnl" w:eastAsia="es-ES" w:bidi="es-ES"/>
        </w:rPr>
      </w:pPr>
      <w:r w:rsidRPr="00082852">
        <w:rPr>
          <w:rFonts w:ascii="Verdana" w:eastAsia="Calibri" w:hAnsi="Verdana" w:cs="Arial"/>
          <w:bCs/>
          <w:i/>
          <w:iCs/>
          <w:sz w:val="21"/>
          <w:szCs w:val="21"/>
          <w:lang w:val="es-ES_tradnl" w:eastAsia="es-ES" w:bidi="es-ES"/>
        </w:rPr>
        <w:t>“</w:t>
      </w:r>
      <w:r w:rsidRPr="00082852">
        <w:rPr>
          <w:rFonts w:ascii="Verdana" w:eastAsia="Calibri" w:hAnsi="Verdana" w:cs="Arial"/>
          <w:bCs/>
          <w:sz w:val="21"/>
          <w:szCs w:val="21"/>
          <w:lang w:val="es-ES_tradnl" w:eastAsia="es-ES" w:bidi="es-ES"/>
        </w:rPr>
        <w:t xml:space="preserve">Artículo 5. De la Selección Objetiva. </w:t>
      </w:r>
    </w:p>
    <w:p w14:paraId="59AFD603" w14:textId="77777777" w:rsidR="00A67539" w:rsidRPr="00082852" w:rsidRDefault="00A67539" w:rsidP="00A67539">
      <w:pPr>
        <w:spacing w:after="0" w:line="240" w:lineRule="auto"/>
        <w:ind w:left="709" w:right="709"/>
        <w:jc w:val="both"/>
        <w:rPr>
          <w:rFonts w:ascii="Verdana" w:eastAsia="Calibri" w:hAnsi="Verdana" w:cs="Arial"/>
          <w:bCs/>
          <w:sz w:val="21"/>
          <w:szCs w:val="21"/>
          <w:lang w:val="es-ES_tradnl" w:eastAsia="es-ES" w:bidi="es-ES"/>
        </w:rPr>
      </w:pPr>
      <w:r w:rsidRPr="00082852">
        <w:rPr>
          <w:rFonts w:ascii="Verdana" w:eastAsia="Calibri" w:hAnsi="Verdana" w:cs="Arial"/>
          <w:bCs/>
          <w:sz w:val="21"/>
          <w:szCs w:val="21"/>
          <w:lang w:val="es-ES_tradnl" w:eastAsia="es-ES" w:bidi="es-ES"/>
        </w:rPr>
        <w:t>[…]</w:t>
      </w:r>
    </w:p>
    <w:p w14:paraId="49B20F0D" w14:textId="77777777" w:rsidR="00A67539" w:rsidRPr="00082852" w:rsidRDefault="00A67539" w:rsidP="00A67539">
      <w:pPr>
        <w:spacing w:after="0" w:line="240" w:lineRule="auto"/>
        <w:ind w:left="709" w:right="709"/>
        <w:jc w:val="both"/>
        <w:rPr>
          <w:rFonts w:ascii="Verdana" w:eastAsia="Calibri" w:hAnsi="Verdana" w:cs="Arial"/>
          <w:bCs/>
          <w:sz w:val="21"/>
          <w:szCs w:val="21"/>
          <w:lang w:val="es-ES" w:eastAsia="es-ES" w:bidi="es-ES"/>
        </w:rPr>
      </w:pPr>
      <w:r w:rsidRPr="00082852">
        <w:rPr>
          <w:rFonts w:ascii="Verdana" w:eastAsia="Calibri" w:hAnsi="Verdana" w:cs="Arial"/>
          <w:bCs/>
          <w:sz w:val="21"/>
          <w:szCs w:val="21"/>
          <w:lang w:val="es-ES" w:eastAsia="es-ES" w:bidi="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4EF83705" w14:textId="77777777" w:rsidR="00A67539" w:rsidRPr="00082852" w:rsidRDefault="00A67539" w:rsidP="00A67539">
      <w:pPr>
        <w:tabs>
          <w:tab w:val="left" w:pos="1095"/>
        </w:tabs>
        <w:spacing w:after="0" w:line="240" w:lineRule="auto"/>
        <w:jc w:val="both"/>
        <w:rPr>
          <w:rFonts w:ascii="Verdana" w:eastAsia="Calibri" w:hAnsi="Verdana" w:cs="Arial"/>
          <w:bCs/>
          <w:lang w:val="es-ES_tradnl" w:eastAsia="es-ES" w:bidi="es-ES"/>
        </w:rPr>
      </w:pPr>
      <w:r w:rsidRPr="00082852">
        <w:rPr>
          <w:rFonts w:ascii="Verdana" w:eastAsia="Calibri" w:hAnsi="Verdana" w:cs="Arial"/>
          <w:bCs/>
          <w:lang w:val="es-ES_tradnl" w:eastAsia="es-ES" w:bidi="es-ES"/>
        </w:rPr>
        <w:tab/>
      </w:r>
    </w:p>
    <w:p w14:paraId="236397BB" w14:textId="77777777" w:rsidR="00A67539" w:rsidRPr="00082852" w:rsidRDefault="00A67539" w:rsidP="00A67539">
      <w:pPr>
        <w:spacing w:after="120" w:line="276" w:lineRule="auto"/>
        <w:ind w:firstLine="708"/>
        <w:jc w:val="both"/>
        <w:rPr>
          <w:rFonts w:ascii="Verdana" w:eastAsia="Calibri" w:hAnsi="Verdana" w:cs="Arial"/>
          <w:bCs/>
          <w:lang w:val="es-MX" w:eastAsia="es-ES" w:bidi="es-ES"/>
        </w:rPr>
      </w:pPr>
      <w:r w:rsidRPr="00082852">
        <w:rPr>
          <w:rFonts w:ascii="Verdana" w:eastAsia="Calibri" w:hAnsi="Verdana" w:cs="Arial"/>
          <w:bCs/>
          <w:lang w:val="es-MX" w:eastAsia="es-ES" w:bidi="es-ES"/>
        </w:rPr>
        <w:t>Una vez fijados los requisitos habilitantes por la Entidad Estatal, quienes presenten ofertas deben acreditar que cumplen con los mismos, pues, en el evento contrario, las propuestas deberán rechazarse. Por su parte, mediante el Registro Único de Proponentes –RUP</w:t>
      </w:r>
      <w:r w:rsidRPr="00082852">
        <w:rPr>
          <w:rFonts w:ascii="Verdana" w:eastAsia="Calibri" w:hAnsi="Verdana" w:cs="Arial"/>
          <w:bCs/>
          <w:vertAlign w:val="superscript"/>
          <w:lang w:val="es-ES_tradnl" w:eastAsia="es-ES" w:bidi="es-ES"/>
        </w:rPr>
        <w:footnoteReference w:id="7"/>
      </w:r>
      <w:r w:rsidRPr="00082852">
        <w:rPr>
          <w:rFonts w:ascii="Verdana" w:eastAsia="Calibri" w:hAnsi="Verdana" w:cs="Arial"/>
          <w:bCs/>
          <w:lang w:val="es-MX" w:eastAsia="es-ES" w:bidi="es-ES"/>
        </w:rPr>
        <w:t xml:space="preserve">–, se pondrá de presente toda la información relacionada con la experiencia, capacidad jurídica, capacidad financiera y organizacional, así como la clasificación del proponente, con el fin de verificar los requisitos habilitantes establecidos por la Entidad. </w:t>
      </w:r>
    </w:p>
    <w:p w14:paraId="7E63424B" w14:textId="77777777" w:rsidR="00A67539" w:rsidRPr="00082852" w:rsidRDefault="00A67539" w:rsidP="00A67539">
      <w:pPr>
        <w:spacing w:after="120" w:line="276" w:lineRule="auto"/>
        <w:ind w:firstLine="709"/>
        <w:jc w:val="both"/>
        <w:rPr>
          <w:rFonts w:ascii="Verdana" w:eastAsia="Calibri" w:hAnsi="Verdana" w:cs="Arial"/>
          <w:bCs/>
          <w:lang w:val="es-MX" w:eastAsia="es-ES" w:bidi="es-ES"/>
        </w:rPr>
      </w:pPr>
      <w:r w:rsidRPr="00082852">
        <w:rPr>
          <w:rFonts w:ascii="Verdana" w:eastAsia="Calibri" w:hAnsi="Verdana" w:cs="Arial"/>
          <w:bCs/>
          <w:lang w:val="es-MX" w:eastAsia="es-ES" w:bidi="es-ES"/>
        </w:rPr>
        <w:t xml:space="preserve">Ahora bien, dentro de los requisitos habilitantes se destaca la capacidad financiera, la cual se deriva del comportamiento contable de la empresa, su liquidez y endeudamiento, para determinar que sus recursos y solidez financiera le permita cumplir los compromisos que adquiera. Como explica esta Agencia en el </w:t>
      </w:r>
      <w:r w:rsidRPr="00082852">
        <w:rPr>
          <w:rFonts w:ascii="Verdana" w:eastAsia="Calibri" w:hAnsi="Verdana" w:cs="Arial"/>
          <w:bCs/>
          <w:i/>
          <w:iCs/>
          <w:lang w:val="es-MX" w:eastAsia="es-ES" w:bidi="es-ES"/>
        </w:rPr>
        <w:t>Manual para determinar y verificar los requisitos habilitantes en los procesos de contratación</w:t>
      </w:r>
      <w:r w:rsidRPr="00082852">
        <w:rPr>
          <w:rFonts w:ascii="Verdana" w:eastAsia="Calibri" w:hAnsi="Verdana" w:cs="Arial"/>
          <w:bCs/>
          <w:lang w:val="es-MX" w:eastAsia="es-ES" w:bidi="es-ES"/>
        </w:rPr>
        <w:t xml:space="preserve">: </w:t>
      </w:r>
      <w:r w:rsidRPr="00082852">
        <w:rPr>
          <w:rFonts w:ascii="Verdana" w:eastAsia="Calibri" w:hAnsi="Verdana" w:cs="Arial"/>
          <w:bCs/>
          <w:i/>
          <w:iCs/>
          <w:lang w:val="es-MX" w:eastAsia="es-ES" w:bidi="es-ES"/>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082852">
        <w:rPr>
          <w:rFonts w:ascii="Verdana" w:eastAsia="Calibri" w:hAnsi="Verdana" w:cs="Arial"/>
          <w:bCs/>
          <w:i/>
          <w:iCs/>
          <w:vertAlign w:val="superscript"/>
          <w:lang w:val="es-ES_tradnl" w:eastAsia="es-ES" w:bidi="es-ES"/>
        </w:rPr>
        <w:footnoteReference w:id="8"/>
      </w:r>
      <w:r w:rsidRPr="00082852">
        <w:rPr>
          <w:rFonts w:ascii="Verdana" w:eastAsia="Calibri" w:hAnsi="Verdana" w:cs="Arial"/>
          <w:bCs/>
          <w:i/>
          <w:iCs/>
          <w:lang w:val="es-ES_tradnl" w:eastAsia="es-ES" w:bidi="es-ES"/>
        </w:rPr>
        <w:t>.</w:t>
      </w:r>
      <w:r w:rsidRPr="00082852">
        <w:rPr>
          <w:rFonts w:ascii="Verdana" w:eastAsia="Calibri" w:hAnsi="Verdana" w:cs="Arial"/>
          <w:bCs/>
          <w:lang w:val="es-MX" w:eastAsia="es-ES" w:bidi="es-ES"/>
        </w:rPr>
        <w:t xml:space="preserve"> La Entidad Estatal, como responsable de la estructuración de su procedimiento de selección, es autónoma para determinar la capacidad financiera necesaria de acuerdo con el objeto contractual que se pretende satisfacer, no obstante, en atención a lo dispuesto en el artículo 2.2.1.1.1.6.2 del Decreto 1082 de 2015, debe ser establecida con sustento en el estudio del sector</w:t>
      </w:r>
      <w:r w:rsidRPr="00082852">
        <w:rPr>
          <w:rFonts w:ascii="Verdana" w:eastAsia="Calibri" w:hAnsi="Verdana" w:cs="Arial"/>
          <w:bCs/>
          <w:vertAlign w:val="superscript"/>
          <w:lang w:val="es-MX" w:eastAsia="es-ES" w:bidi="es-ES"/>
        </w:rPr>
        <w:footnoteReference w:id="9"/>
      </w:r>
      <w:r w:rsidRPr="00082852">
        <w:rPr>
          <w:rFonts w:ascii="Verdana" w:eastAsia="Calibri" w:hAnsi="Verdana" w:cs="Arial"/>
          <w:bCs/>
          <w:lang w:val="es-MX" w:eastAsia="es-ES" w:bidi="es-ES"/>
        </w:rPr>
        <w:t xml:space="preserve"> y sus componentes como la identificación de riesgos, el mercado y precio del bien, obra o servicio a contratar</w:t>
      </w:r>
      <w:r w:rsidRPr="00082852">
        <w:rPr>
          <w:rFonts w:ascii="Verdana" w:eastAsia="Calibri" w:hAnsi="Verdana" w:cs="Arial"/>
          <w:bCs/>
          <w:vertAlign w:val="superscript"/>
          <w:lang w:val="es-MX" w:eastAsia="es-ES" w:bidi="es-ES"/>
        </w:rPr>
        <w:footnoteReference w:id="10"/>
      </w:r>
      <w:r w:rsidRPr="00082852">
        <w:rPr>
          <w:rFonts w:ascii="Verdana" w:eastAsia="Calibri" w:hAnsi="Verdana" w:cs="Arial"/>
          <w:bCs/>
          <w:lang w:val="es-MX" w:eastAsia="es-ES" w:bidi="es-ES"/>
        </w:rPr>
        <w:t>.</w:t>
      </w:r>
    </w:p>
    <w:p w14:paraId="40F33B32" w14:textId="77777777" w:rsidR="00A67539" w:rsidRPr="00082852" w:rsidRDefault="00A67539" w:rsidP="00A67539">
      <w:pPr>
        <w:spacing w:after="120" w:line="276" w:lineRule="auto"/>
        <w:ind w:firstLine="709"/>
        <w:jc w:val="both"/>
        <w:rPr>
          <w:rFonts w:ascii="Verdana" w:eastAsia="Calibri" w:hAnsi="Verdana" w:cs="Arial"/>
          <w:bCs/>
          <w:lang w:val="es-ES_tradnl" w:eastAsia="es-ES" w:bidi="es-ES"/>
        </w:rPr>
      </w:pPr>
      <w:r w:rsidRPr="00082852">
        <w:rPr>
          <w:rFonts w:ascii="Verdana" w:eastAsia="Calibri" w:hAnsi="Verdana" w:cs="Arial"/>
          <w:bCs/>
          <w:lang w:val="es-ES_tradnl" w:eastAsia="es-ES" w:bidi="es-ES"/>
        </w:rPr>
        <w:t xml:space="preserve">De conformidad con lo dispuesto en los artículos 5, numeral 1 de la Ley 1150 de 2007 y 2.2.1.1.1.5.3 del Decreto 1082 de 2015, por regla general, la acreditación del requisito habilitante de capacidad financiera se realiza mediante el RUP. En atención a esto, para los tramites de inscripción, renovación y actualización, el numeral 2.3 del artículo 2.2.1.1.1.5.2 del Decreto 1082 de 2015 exige la presentación de los </w:t>
      </w:r>
      <w:r w:rsidRPr="00082852">
        <w:rPr>
          <w:rFonts w:ascii="Verdana" w:eastAsia="Calibri" w:hAnsi="Verdana" w:cs="Arial"/>
          <w:bCs/>
          <w:i/>
          <w:iCs/>
          <w:lang w:val="es-ES_tradnl" w:eastAsia="es-ES" w:bidi="es-ES"/>
        </w:rPr>
        <w:t>“</w:t>
      </w:r>
      <w:r w:rsidRPr="00082852">
        <w:rPr>
          <w:rFonts w:ascii="Verdana" w:eastAsia="Calibri" w:hAnsi="Verdana" w:cs="Arial"/>
          <w:bCs/>
          <w:i/>
          <w:iCs/>
          <w:lang w:eastAsia="es-ES" w:bidi="es-ES"/>
        </w:rPr>
        <w:t>Estados financieros de la sociedad y los estados financieros consolidados del grupo empresarial, cuando la norma aplicable lo exige, auditados con sus notas […]”</w:t>
      </w:r>
      <w:r w:rsidRPr="00082852">
        <w:rPr>
          <w:rFonts w:ascii="Verdana" w:eastAsia="Calibri" w:hAnsi="Verdana" w:cs="Arial"/>
          <w:bCs/>
          <w:lang w:val="es-ES_tradnl" w:eastAsia="es-ES" w:bidi="es-ES"/>
        </w:rPr>
        <w:t>, además de unos anexos dirigidos a servir de medio de verificación de la salud financiera de los proponentes</w:t>
      </w:r>
      <w:r w:rsidRPr="00082852">
        <w:rPr>
          <w:rFonts w:ascii="Verdana" w:eastAsia="Calibri" w:hAnsi="Verdana" w:cs="Arial"/>
          <w:bCs/>
          <w:vertAlign w:val="superscript"/>
          <w:lang w:val="es-ES_tradnl" w:eastAsia="es-ES" w:bidi="es-ES"/>
        </w:rPr>
        <w:footnoteReference w:id="11"/>
      </w:r>
      <w:r w:rsidRPr="00082852">
        <w:rPr>
          <w:rFonts w:ascii="Verdana" w:eastAsia="Calibri" w:hAnsi="Verdana" w:cs="Arial"/>
          <w:bCs/>
          <w:lang w:val="es-ES_tradnl" w:eastAsia="es-ES" w:bidi="es-ES"/>
        </w:rPr>
        <w:t xml:space="preserve">. De este modo, lo que se verifica con el registro es que el proponente cumpla con los indicadores financieros solicitados por la entidad para medir la capacidad financiera requerida para el procedimiento de selección. </w:t>
      </w:r>
    </w:p>
    <w:p w14:paraId="4E32C20F" w14:textId="77777777" w:rsidR="00A67539" w:rsidRPr="00082852" w:rsidRDefault="00A67539" w:rsidP="00A67539">
      <w:pPr>
        <w:spacing w:after="120" w:line="276" w:lineRule="auto"/>
        <w:ind w:firstLine="709"/>
        <w:jc w:val="both"/>
        <w:rPr>
          <w:rFonts w:ascii="Verdana" w:eastAsia="Calibri" w:hAnsi="Verdana" w:cs="Arial"/>
          <w:bCs/>
          <w:lang w:val="es-ES" w:eastAsia="es-ES" w:bidi="es-ES"/>
        </w:rPr>
      </w:pPr>
      <w:r w:rsidRPr="00082852">
        <w:rPr>
          <w:rFonts w:ascii="Verdana" w:eastAsia="Calibri" w:hAnsi="Verdana" w:cs="Arial"/>
          <w:bCs/>
          <w:lang w:val="es-ES" w:eastAsia="es-ES" w:bidi="es-ES"/>
        </w:rPr>
        <w:t xml:space="preserve">Según el artículo 2.2.1.1.1.5.3. del Decreto 1082 de 2015, el RUP contempla como indicadores de capacidad financiera los siguientes: i) el </w:t>
      </w:r>
      <w:r w:rsidRPr="00082852">
        <w:rPr>
          <w:rFonts w:ascii="Verdana" w:eastAsia="Calibri" w:hAnsi="Verdana" w:cs="Arial"/>
          <w:bCs/>
          <w:i/>
          <w:iCs/>
          <w:lang w:val="es-ES" w:eastAsia="es-ES" w:bidi="es-ES"/>
        </w:rPr>
        <w:t>índice de liquidez</w:t>
      </w:r>
      <w:r w:rsidRPr="00082852">
        <w:rPr>
          <w:rFonts w:ascii="Verdana" w:eastAsia="Calibri" w:hAnsi="Verdana" w:cs="Arial"/>
          <w:bCs/>
          <w:lang w:val="es-ES" w:eastAsia="es-ES" w:bidi="es-ES"/>
        </w:rPr>
        <w:t xml:space="preserve">, que corresponde a la división entre el activo corriente y el pasivo corriente, y que determina la capacidad que tiene el proponente para cumplir con sus obligaciones de corto plazo; </w:t>
      </w:r>
      <w:proofErr w:type="spellStart"/>
      <w:r w:rsidRPr="00082852">
        <w:rPr>
          <w:rFonts w:ascii="Verdana" w:eastAsia="Calibri" w:hAnsi="Verdana" w:cs="Arial"/>
          <w:bCs/>
          <w:lang w:val="es-ES" w:eastAsia="es-ES" w:bidi="es-ES"/>
        </w:rPr>
        <w:t>ii</w:t>
      </w:r>
      <w:proofErr w:type="spellEnd"/>
      <w:r w:rsidRPr="00082852">
        <w:rPr>
          <w:rFonts w:ascii="Verdana" w:eastAsia="Calibri" w:hAnsi="Verdana" w:cs="Arial"/>
          <w:bCs/>
          <w:lang w:val="es-ES" w:eastAsia="es-ES" w:bidi="es-ES"/>
        </w:rPr>
        <w:t xml:space="preserve">) el </w:t>
      </w:r>
      <w:r w:rsidRPr="00082852">
        <w:rPr>
          <w:rFonts w:ascii="Verdana" w:eastAsia="Calibri" w:hAnsi="Verdana" w:cs="Arial"/>
          <w:bCs/>
          <w:i/>
          <w:iCs/>
          <w:lang w:val="es-ES" w:eastAsia="es-ES" w:bidi="es-ES"/>
        </w:rPr>
        <w:t>índice de endeudamiento</w:t>
      </w:r>
      <w:r w:rsidRPr="00082852">
        <w:rPr>
          <w:rFonts w:ascii="Verdana" w:eastAsia="Calibri" w:hAnsi="Verdana" w:cs="Arial"/>
          <w:bCs/>
          <w:lang w:val="es-ES" w:eastAsia="es-ES" w:bidi="es-ES"/>
        </w:rPr>
        <w:t xml:space="preserve">, que se calcula dividiendo el pasivo total por el activo total, el cual determina el grado de endeudamiento en la estructura de financiación del proponente; y </w:t>
      </w:r>
      <w:proofErr w:type="spellStart"/>
      <w:r w:rsidRPr="00082852">
        <w:rPr>
          <w:rFonts w:ascii="Verdana" w:eastAsia="Calibri" w:hAnsi="Verdana" w:cs="Arial"/>
          <w:bCs/>
          <w:lang w:val="es-ES" w:eastAsia="es-ES" w:bidi="es-ES"/>
        </w:rPr>
        <w:t>iii</w:t>
      </w:r>
      <w:proofErr w:type="spellEnd"/>
      <w:r w:rsidRPr="00082852">
        <w:rPr>
          <w:rFonts w:ascii="Verdana" w:eastAsia="Calibri" w:hAnsi="Verdana" w:cs="Arial"/>
          <w:bCs/>
          <w:lang w:val="es-ES" w:eastAsia="es-ES" w:bidi="es-ES"/>
        </w:rPr>
        <w:t xml:space="preserve">) la </w:t>
      </w:r>
      <w:r w:rsidRPr="00082852">
        <w:rPr>
          <w:rFonts w:ascii="Verdana" w:eastAsia="Calibri" w:hAnsi="Verdana" w:cs="Arial"/>
          <w:bCs/>
          <w:i/>
          <w:iCs/>
          <w:lang w:val="es-ES" w:eastAsia="es-ES" w:bidi="es-ES"/>
        </w:rPr>
        <w:t>razón de cobertura de intereses</w:t>
      </w:r>
      <w:r w:rsidRPr="00082852">
        <w:rPr>
          <w:rFonts w:ascii="Verdana" w:eastAsia="Calibri" w:hAnsi="Verdana" w:cs="Arial"/>
          <w:bCs/>
          <w:lang w:val="es-ES" w:eastAsia="es-ES" w:bidi="es-ES"/>
        </w:rPr>
        <w:t xml:space="preserve">, que es igual a la utilidad operacional, sobre los gastos de intereses, y que refleja la capacidad del proponente para cumplir con sus obligaciones financieras. Adicionalmente, la Agencia Nacional de Contratación Pública – Colombia Compra Eficiente recomienda valorar otro tipo de indicadores como el </w:t>
      </w:r>
      <w:r w:rsidRPr="00082852">
        <w:rPr>
          <w:rFonts w:ascii="Verdana" w:eastAsia="Calibri" w:hAnsi="Verdana" w:cs="Arial"/>
          <w:bCs/>
          <w:i/>
          <w:iCs/>
          <w:lang w:val="es-ES" w:eastAsia="es-ES" w:bidi="es-ES"/>
        </w:rPr>
        <w:t>capital de trabajo</w:t>
      </w:r>
      <w:r w:rsidRPr="00082852">
        <w:rPr>
          <w:rFonts w:ascii="Verdana" w:eastAsia="Calibri" w:hAnsi="Verdana" w:cs="Arial"/>
          <w:bCs/>
          <w:lang w:val="es-ES" w:eastAsia="es-ES" w:bidi="es-ES"/>
        </w:rPr>
        <w:t xml:space="preserve">, la </w:t>
      </w:r>
      <w:r w:rsidRPr="00082852">
        <w:rPr>
          <w:rFonts w:ascii="Verdana" w:eastAsia="Calibri" w:hAnsi="Verdana" w:cs="Arial"/>
          <w:bCs/>
          <w:i/>
          <w:iCs/>
          <w:lang w:val="es-ES" w:eastAsia="es-ES" w:bidi="es-ES"/>
        </w:rPr>
        <w:t>razón de efectivo</w:t>
      </w:r>
      <w:r w:rsidRPr="00082852">
        <w:rPr>
          <w:rFonts w:ascii="Verdana" w:eastAsia="Calibri" w:hAnsi="Verdana" w:cs="Arial"/>
          <w:bCs/>
          <w:lang w:val="es-ES" w:eastAsia="es-ES" w:bidi="es-ES"/>
        </w:rPr>
        <w:t xml:space="preserve">, la denominada </w:t>
      </w:r>
      <w:r w:rsidRPr="00082852">
        <w:rPr>
          <w:rFonts w:ascii="Verdana" w:eastAsia="Calibri" w:hAnsi="Verdana" w:cs="Arial"/>
          <w:bCs/>
          <w:i/>
          <w:iCs/>
          <w:lang w:val="es-ES" w:eastAsia="es-ES" w:bidi="es-ES"/>
        </w:rPr>
        <w:t>prueba ácida</w:t>
      </w:r>
      <w:r w:rsidRPr="00082852">
        <w:rPr>
          <w:rFonts w:ascii="Verdana" w:eastAsia="Calibri" w:hAnsi="Verdana" w:cs="Arial"/>
          <w:bCs/>
          <w:vertAlign w:val="superscript"/>
          <w:lang w:val="es-ES" w:eastAsia="es-ES" w:bidi="es-ES"/>
        </w:rPr>
        <w:footnoteReference w:id="12"/>
      </w:r>
      <w:r w:rsidRPr="00082852">
        <w:rPr>
          <w:rFonts w:ascii="Verdana" w:eastAsia="Calibri" w:hAnsi="Verdana" w:cs="Arial"/>
          <w:bCs/>
          <w:lang w:val="es-ES" w:eastAsia="es-ES" w:bidi="es-ES"/>
        </w:rPr>
        <w:t xml:space="preserve">, la </w:t>
      </w:r>
      <w:r w:rsidRPr="00082852">
        <w:rPr>
          <w:rFonts w:ascii="Verdana" w:eastAsia="Calibri" w:hAnsi="Verdana" w:cs="Arial"/>
          <w:bCs/>
          <w:i/>
          <w:iCs/>
          <w:lang w:val="es-ES" w:eastAsia="es-ES" w:bidi="es-ES"/>
        </w:rPr>
        <w:t xml:space="preserve">concentración de endeudamiento a corto </w:t>
      </w:r>
      <w:r w:rsidRPr="00082852">
        <w:rPr>
          <w:rFonts w:ascii="Verdana" w:eastAsia="Calibri" w:hAnsi="Verdana" w:cs="Arial"/>
          <w:bCs/>
          <w:lang w:val="es-ES" w:eastAsia="es-ES" w:bidi="es-ES"/>
        </w:rPr>
        <w:t>y</w:t>
      </w:r>
      <w:r w:rsidRPr="00082852">
        <w:rPr>
          <w:rFonts w:ascii="Verdana" w:eastAsia="Calibri" w:hAnsi="Verdana" w:cs="Arial"/>
          <w:bCs/>
          <w:i/>
          <w:iCs/>
          <w:lang w:val="es-ES" w:eastAsia="es-ES" w:bidi="es-ES"/>
        </w:rPr>
        <w:t xml:space="preserve"> a largo plazo</w:t>
      </w:r>
      <w:r w:rsidRPr="00082852">
        <w:rPr>
          <w:rFonts w:ascii="Verdana" w:eastAsia="Calibri" w:hAnsi="Verdana" w:cs="Arial"/>
          <w:bCs/>
          <w:lang w:val="es-ES" w:eastAsia="es-ES" w:bidi="es-ES"/>
        </w:rPr>
        <w:t xml:space="preserve"> y el </w:t>
      </w:r>
      <w:r w:rsidRPr="00082852">
        <w:rPr>
          <w:rFonts w:ascii="Verdana" w:eastAsia="Calibri" w:hAnsi="Verdana" w:cs="Arial"/>
          <w:bCs/>
          <w:i/>
          <w:iCs/>
          <w:lang w:val="es-ES" w:eastAsia="es-ES" w:bidi="es-ES"/>
        </w:rPr>
        <w:t>patrimonio</w:t>
      </w:r>
      <w:r w:rsidRPr="00082852">
        <w:rPr>
          <w:rFonts w:ascii="Verdana" w:eastAsia="Calibri" w:hAnsi="Verdana" w:cs="Arial"/>
          <w:bCs/>
          <w:i/>
          <w:iCs/>
          <w:vertAlign w:val="superscript"/>
          <w:lang w:val="es-ES" w:eastAsia="es-ES" w:bidi="es-ES"/>
        </w:rPr>
        <w:footnoteReference w:id="13"/>
      </w:r>
      <w:r w:rsidRPr="00082852">
        <w:rPr>
          <w:rFonts w:ascii="Verdana" w:eastAsia="Calibri" w:hAnsi="Verdana" w:cs="Arial"/>
          <w:bCs/>
          <w:lang w:val="es-ES" w:eastAsia="es-ES" w:bidi="es-ES"/>
        </w:rPr>
        <w:t>.</w:t>
      </w:r>
    </w:p>
    <w:p w14:paraId="0C4B8B93" w14:textId="77777777" w:rsidR="00A67539" w:rsidRPr="00FA5EFC" w:rsidRDefault="00A67539" w:rsidP="00A67539">
      <w:pPr>
        <w:spacing w:after="120" w:line="276" w:lineRule="auto"/>
        <w:ind w:firstLine="709"/>
        <w:jc w:val="both"/>
        <w:rPr>
          <w:rFonts w:ascii="Verdana" w:eastAsia="Calibri" w:hAnsi="Verdana" w:cs="Arial"/>
          <w:bCs/>
          <w:lang w:val="es-ES_tradnl" w:eastAsia="es-ES" w:bidi="es-ES"/>
        </w:rPr>
      </w:pPr>
      <w:r w:rsidRPr="00082852">
        <w:rPr>
          <w:rFonts w:ascii="Verdana" w:eastAsia="Calibri" w:hAnsi="Verdana" w:cs="Arial"/>
          <w:bCs/>
          <w:lang w:val="es-ES_tradnl" w:eastAsia="es-ES" w:bidi="es-ES"/>
        </w:rPr>
        <w:t xml:space="preserve">De igual forma, es importante tener en cuenta que el numeral 3° del artículo 2.2.1.1.1.5.3. del Decreto 1082 de 2015 se refiere a los aspectos de la capacidad financiera que deben verificar las cámaras de comercio al momento de la inscripción, renovación o actualización del RUP. Sin embargo, no dispone expresamente que el índice de liquidez, el índice de endeudamiento y la razón de cobertura de intereses sean aspectos que deban validarse obligatoriamente en cada proceso de selección. Una cosa son los requisitos de capacidad financiera que debe certificar el registro y otra, muy diferente, los aspectos de este requisito habilitante que la entidad verifica en cada procedimiento contractual. Mientras los primeros están regulados en el artículo 2.2.1.1.1.5.3. del Decreto 1082 de 2015, los segundos debe establecerlos la entidad </w:t>
      </w:r>
      <w:r w:rsidRPr="00FA5EFC">
        <w:rPr>
          <w:rFonts w:ascii="Verdana" w:eastAsia="Calibri" w:hAnsi="Verdana" w:cs="Arial"/>
          <w:bCs/>
          <w:lang w:val="es-ES_tradnl" w:eastAsia="es-ES" w:bidi="es-ES"/>
        </w:rPr>
        <w:t>contratante en el pliego de condiciones o la invitación, según corresponda.</w:t>
      </w:r>
    </w:p>
    <w:p w14:paraId="49363CE0" w14:textId="77777777" w:rsidR="00A67539" w:rsidRPr="00082852" w:rsidRDefault="00A67539" w:rsidP="00A67539">
      <w:pPr>
        <w:spacing w:after="120" w:line="276" w:lineRule="auto"/>
        <w:ind w:firstLine="709"/>
        <w:jc w:val="both"/>
        <w:rPr>
          <w:rFonts w:ascii="Verdana" w:eastAsia="Calibri" w:hAnsi="Verdana" w:cs="Arial"/>
          <w:color w:val="000000"/>
          <w:lang w:eastAsia="es-ES_tradnl"/>
        </w:rPr>
      </w:pPr>
      <w:r w:rsidRPr="00FA5EFC">
        <w:rPr>
          <w:rFonts w:ascii="Verdana" w:eastAsia="Calibri" w:hAnsi="Verdana" w:cs="Arial"/>
          <w:color w:val="000000"/>
          <w:lang w:val="es-ES_tradnl" w:eastAsia="es-ES_tradnl"/>
        </w:rPr>
        <w:t>Para entender un poco más, hay que acudir al</w:t>
      </w:r>
      <w:r w:rsidRPr="00FA5EFC">
        <w:rPr>
          <w:rFonts w:ascii="Verdana" w:eastAsia="Calibri" w:hAnsi="Verdana" w:cs="Arial"/>
          <w:color w:val="000000"/>
          <w:lang w:eastAsia="es-ES_tradnl"/>
        </w:rPr>
        <w:t xml:space="preserve"> “Manual para determinar y verificar los requisitos habilitantes en los</w:t>
      </w:r>
      <w:r w:rsidRPr="00082852">
        <w:rPr>
          <w:rFonts w:ascii="Verdana" w:eastAsia="Calibri" w:hAnsi="Verdana" w:cs="Arial"/>
          <w:color w:val="000000"/>
          <w:lang w:eastAsia="es-ES_tradnl"/>
        </w:rPr>
        <w:t xml:space="preserve"> procesos de contratación”, que establece un marco detallado para evaluar la capacidad financiera de los proponentes, garantizando que estos puedan cumplir con las obligaciones del contrato de manera eficiente y oportuna. Para ello, las entidades estatales deben utilizar una serie de indicadores financieros clave, como el índice de liquidez, el índice de endeudamiento y la razón de cobertura de intereses. Estos indicadores se deben seleccionar en función de las características del contrato, como su naturaleza, valor, plazo y complejidad. Por ejemplo, el índice de liquidez se utiliza para medir la capacidad del proponente de cumplir con sus obligaciones de corto plazo, mientras que el índice de endeudamiento refleja el grado de apalancamiento financiero y la razón de cobertura de intereses evalúa la capacidad de la empresa para cubrir sus gastos financieros. </w:t>
      </w:r>
    </w:p>
    <w:p w14:paraId="40CA393D" w14:textId="77777777" w:rsidR="00A67539" w:rsidRPr="00082852" w:rsidRDefault="00A67539" w:rsidP="00A67539">
      <w:pPr>
        <w:spacing w:after="120" w:line="276" w:lineRule="auto"/>
        <w:ind w:firstLine="709"/>
        <w:jc w:val="both"/>
        <w:rPr>
          <w:rFonts w:ascii="Verdana" w:eastAsia="Calibri" w:hAnsi="Verdana" w:cs="Arial"/>
          <w:color w:val="000000"/>
          <w:lang w:eastAsia="es-ES_tradnl"/>
        </w:rPr>
      </w:pPr>
      <w:r w:rsidRPr="00082852">
        <w:rPr>
          <w:rFonts w:ascii="Verdana" w:eastAsia="Calibri" w:hAnsi="Verdana" w:cs="Arial"/>
          <w:color w:val="000000"/>
          <w:lang w:eastAsia="es-ES_tradnl"/>
        </w:rPr>
        <w:t xml:space="preserve">La entidad también debe establecer valores mínimos o máximos para estos indicadores según el nivel de riesgo que representan: valores bajos de liquidez, altos índices de endeudamiento o una baja cobertura de intereses aumentan el riesgo de incumplimiento. En algunos casos, la entidad puede optar por utilizar indicadores adicionales, como el capital de trabajo o la razón de efectivo, para obtener una visión más completa de la situación financiera del proponente, especialmente si la liquidez o la capacidad de pago inmediato son factores críticos para el éxito del contrato. </w:t>
      </w:r>
    </w:p>
    <w:p w14:paraId="2902A72A" w14:textId="77777777" w:rsidR="00A67539" w:rsidRPr="00082852" w:rsidRDefault="00A67539" w:rsidP="00A67539">
      <w:pPr>
        <w:spacing w:after="120" w:line="276" w:lineRule="auto"/>
        <w:ind w:firstLine="709"/>
        <w:jc w:val="both"/>
        <w:rPr>
          <w:rFonts w:ascii="Verdana" w:eastAsia="Calibri" w:hAnsi="Verdana" w:cs="Arial"/>
          <w:color w:val="000000"/>
          <w:lang w:eastAsia="es-ES_tradnl"/>
        </w:rPr>
      </w:pPr>
      <w:r w:rsidRPr="00082852">
        <w:rPr>
          <w:rFonts w:ascii="Verdana" w:eastAsia="Calibri" w:hAnsi="Verdana" w:cs="Arial"/>
          <w:color w:val="000000"/>
          <w:lang w:eastAsia="es-ES_tradnl"/>
        </w:rPr>
        <w:t xml:space="preserve">Por otra parte, </w:t>
      </w:r>
      <w:r w:rsidRPr="00082852">
        <w:rPr>
          <w:rFonts w:ascii="Verdana" w:eastAsia="Calibri" w:hAnsi="Verdana" w:cs="Arial"/>
          <w:kern w:val="2"/>
          <w14:ligatures w14:val="standardContextual"/>
        </w:rPr>
        <w:t>es importante señalar que, 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65D3AD1A" w14:textId="77777777" w:rsidR="00A67539" w:rsidRPr="00082852" w:rsidRDefault="00A67539" w:rsidP="00A67539">
      <w:pPr>
        <w:spacing w:after="120" w:line="276" w:lineRule="auto"/>
        <w:ind w:firstLine="709"/>
        <w:jc w:val="both"/>
        <w:rPr>
          <w:rFonts w:ascii="Verdana" w:eastAsia="Aptos" w:hAnsi="Verdana" w:cs="Arial"/>
          <w:kern w:val="2"/>
          <w14:ligatures w14:val="standardContextual"/>
        </w:rPr>
      </w:pPr>
      <w:r w:rsidRPr="00082852">
        <w:rPr>
          <w:rFonts w:ascii="Verdana" w:eastAsia="Aptos" w:hAnsi="Verdana" w:cs="Arial"/>
          <w:kern w:val="2"/>
          <w14:ligatures w14:val="standardContextual"/>
        </w:rPr>
        <w:t>En relación con los documentos tipo propiamente dichos, las resoluciones que los adoptan contemplan el documento base o pliego tipo, junto con los correspondientes anexos, formatos, matrices y formularios. Los anexos están compuestos por el anexo técnico, cronograma, glosario, pacto de transparencia y minuta del contrato. Los formatos contienen la carta de presentación de la oferta, conformación de proponente plural, experiencia, capacidad financiera y organizacional para extranjeros, capacidad residual, pagos de seguridad social y aportes legales, factor de calidad, vinculación de personas con discapacidad y puntaje de industria nacional. Las matrices están compuestas por la experiencia, indicadores financieros y organizacionales y riesgos. Finalmente, en los formularios se encuentra el formulario de presupuesto oficial.</w:t>
      </w:r>
      <w:r w:rsidRPr="00082852">
        <w:rPr>
          <w:rFonts w:ascii="Verdana" w:eastAsia="Aptos" w:hAnsi="Verdana" w:cs="Arial"/>
          <w:kern w:val="2"/>
          <w:lang w:val="es-MX"/>
          <w14:ligatures w14:val="standardContextual"/>
        </w:rPr>
        <w:t xml:space="preserve"> El proponente debe diligenciar los formatos y formularios que correspondan y los espacios en blanco deberán completarse con la información solicitada.</w:t>
      </w:r>
    </w:p>
    <w:p w14:paraId="04A4BD27" w14:textId="77777777" w:rsidR="00A67539" w:rsidRPr="00082852" w:rsidRDefault="00A67539" w:rsidP="00A67539">
      <w:pPr>
        <w:spacing w:after="120" w:line="276" w:lineRule="auto"/>
        <w:ind w:firstLine="709"/>
        <w:jc w:val="both"/>
        <w:rPr>
          <w:rFonts w:ascii="Verdana" w:eastAsia="Aptos" w:hAnsi="Verdana" w:cs="Arial"/>
          <w:kern w:val="2"/>
          <w:lang w:val="es-ES"/>
          <w14:ligatures w14:val="standardContextual"/>
        </w:rPr>
      </w:pPr>
      <w:r w:rsidRPr="00082852">
        <w:rPr>
          <w:rFonts w:ascii="Verdana" w:eastAsia="Aptos" w:hAnsi="Verdana" w:cs="Arial"/>
          <w:kern w:val="2"/>
          <w:lang w:val="es-ES"/>
          <w14:ligatures w14:val="standardContextual"/>
        </w:rPr>
        <w:t>En el documento base se encuentran los requisitos habilitantes, criterios de ponderación y calificación de las propuestas, causales de rechazo, así como las reglas de elaboración y presentación de las propuestas y demás reglas del proceso de contratación. Este documento no puede ser modificado, con excepción de los aspectos incluidos en corchetes y resaltado en gris que deben ser diligenciados por la entidad estatal.</w:t>
      </w:r>
    </w:p>
    <w:p w14:paraId="3EF93A90" w14:textId="77777777" w:rsidR="00A67539" w:rsidRPr="00082852" w:rsidRDefault="00A67539" w:rsidP="00A67539">
      <w:pPr>
        <w:spacing w:after="120" w:line="276" w:lineRule="auto"/>
        <w:ind w:firstLine="709"/>
        <w:jc w:val="both"/>
        <w:rPr>
          <w:rFonts w:ascii="Verdana" w:eastAsia="Aptos" w:hAnsi="Verdana" w:cs="Arial"/>
          <w:kern w:val="2"/>
          <w14:ligatures w14:val="standardContextual"/>
        </w:rPr>
      </w:pPr>
      <w:r w:rsidRPr="00082852">
        <w:rPr>
          <w:rFonts w:ascii="Verdana" w:eastAsia="Aptos" w:hAnsi="Verdana" w:cs="Arial"/>
          <w:kern w:val="2"/>
          <w:lang w:val="es-MX"/>
          <w14:ligatures w14:val="standardContextual"/>
        </w:rPr>
        <w:t>El capítulo III del documento base regula los requisitos habilitantes. Según lo señalado en este capítulo</w:t>
      </w:r>
      <w:r w:rsidRPr="00082852">
        <w:rPr>
          <w:rFonts w:ascii="Verdana" w:eastAsia="Aptos" w:hAnsi="Verdana" w:cs="Arial"/>
          <w:kern w:val="2"/>
          <w14:ligatures w14:val="standardContextual"/>
        </w:rPr>
        <w:t>, la entidad realizará la verificación de requisitos habilitantes de los proponentes (personas naturales o jurídicas nacionales o extranjeras domiciliadas o con sucursal en Colombia) con base en la información contenida en el RUP y los documentos señalados en los documentos tipo</w:t>
      </w:r>
      <w:r w:rsidRPr="00082852">
        <w:rPr>
          <w:rFonts w:ascii="Verdana" w:eastAsia="Aptos" w:hAnsi="Verdana" w:cs="Arial"/>
          <w:kern w:val="2"/>
          <w:lang w:val="es-MX"/>
          <w14:ligatures w14:val="standardContextual"/>
        </w:rPr>
        <w:t>.</w:t>
      </w:r>
    </w:p>
    <w:p w14:paraId="7A488565" w14:textId="77777777" w:rsidR="00A67539" w:rsidRPr="00082852" w:rsidRDefault="00A67539" w:rsidP="00A67539">
      <w:pPr>
        <w:spacing w:after="120" w:line="276" w:lineRule="auto"/>
        <w:ind w:firstLine="709"/>
        <w:jc w:val="both"/>
        <w:rPr>
          <w:rFonts w:ascii="Verdana" w:eastAsia="Aptos" w:hAnsi="Verdana" w:cs="Arial"/>
          <w:kern w:val="2"/>
          <w14:ligatures w14:val="standardContextual"/>
        </w:rPr>
      </w:pPr>
      <w:r w:rsidRPr="00082852">
        <w:rPr>
          <w:rFonts w:ascii="Verdana" w:eastAsia="Aptos" w:hAnsi="Verdana" w:cs="Arial"/>
          <w:kern w:val="2"/>
          <w14:ligatures w14:val="standardContextual"/>
        </w:rPr>
        <w:t xml:space="preserve">Dentro de los requisitos habilitantes en los documentos tipo se destaca, también, la capacidad financiera. Esta se deriva del comportamiento contable de la empresa, su liquidez y endeudamiento, para determinar que sus recursos y solidez financiera le permitan cumplir los compromisos que adquiera. </w:t>
      </w:r>
    </w:p>
    <w:p w14:paraId="4B3260C9" w14:textId="77777777" w:rsidR="00A67539" w:rsidRPr="00082852" w:rsidRDefault="00A67539" w:rsidP="00A67539">
      <w:pPr>
        <w:spacing w:after="120" w:line="276" w:lineRule="auto"/>
        <w:ind w:firstLine="709"/>
        <w:jc w:val="both"/>
        <w:rPr>
          <w:rFonts w:ascii="Verdana" w:eastAsia="Aptos" w:hAnsi="Verdana" w:cs="Arial"/>
          <w:kern w:val="2"/>
          <w14:ligatures w14:val="standardContextual"/>
        </w:rPr>
      </w:pPr>
      <w:r w:rsidRPr="00082852">
        <w:rPr>
          <w:rFonts w:ascii="Verdana" w:eastAsia="Aptos" w:hAnsi="Verdana" w:cs="Arial"/>
          <w:kern w:val="2"/>
          <w14:ligatures w14:val="standardContextual"/>
        </w:rPr>
        <w:t>La capacidad financiera debe acreditarse en el RUP con los estados financieros del proponente, suscritos por el representante legal y el revisor fiscal, si cuenta con tales documentos. De este modo, lo que se verifica con el registro es que el proponente tenga los indicadores financieros solicitados por la entidad, que le permitan satisfacer la necesidad que se contratará una vez desarrollado el procedimiento de selección.</w:t>
      </w:r>
    </w:p>
    <w:p w14:paraId="66B7EAD7" w14:textId="77777777" w:rsidR="00A67539" w:rsidRPr="00082852" w:rsidRDefault="00A67539" w:rsidP="00A67539">
      <w:pPr>
        <w:spacing w:after="120" w:line="276" w:lineRule="auto"/>
        <w:ind w:firstLine="709"/>
        <w:jc w:val="both"/>
        <w:rPr>
          <w:rFonts w:ascii="Verdana" w:eastAsia="Aptos" w:hAnsi="Verdana" w:cs="Arial"/>
          <w:kern w:val="2"/>
          <w14:ligatures w14:val="standardContextual"/>
        </w:rPr>
      </w:pPr>
      <w:r w:rsidRPr="00082852">
        <w:rPr>
          <w:rFonts w:ascii="Verdana" w:eastAsia="Aptos" w:hAnsi="Verdana" w:cs="Arial"/>
          <w:kern w:val="2"/>
          <w14:ligatures w14:val="standardContextual"/>
        </w:rPr>
        <w:t>En este contexto, los numerales 3.6 y 3.9 del documento base</w:t>
      </w:r>
      <w:r w:rsidRPr="00082852">
        <w:rPr>
          <w:rFonts w:ascii="Verdana" w:eastAsia="Aptos" w:hAnsi="Verdana" w:cs="Arial"/>
          <w:kern w:val="2"/>
          <w:vertAlign w:val="superscript"/>
          <w14:ligatures w14:val="standardContextual"/>
        </w:rPr>
        <w:footnoteReference w:id="14"/>
      </w:r>
      <w:r w:rsidRPr="00082852">
        <w:rPr>
          <w:rFonts w:ascii="Verdana" w:eastAsia="Aptos" w:hAnsi="Verdana" w:cs="Arial"/>
          <w:kern w:val="2"/>
          <w14:ligatures w14:val="standardContextual"/>
        </w:rPr>
        <w:t xml:space="preserve"> y la Matriz 2 – Indicadores financieros y organizacionales establecen las condiciones y los indicadores de capacidad financiera y organizacional que deben acreditar los proponentes en el marco de los documentos tipo. De conformidad con el numeral 3.10 del documento base</w:t>
      </w:r>
      <w:bookmarkStart w:id="6" w:name="_Hlk516153972"/>
      <w:r w:rsidRPr="00082852">
        <w:rPr>
          <w:rFonts w:ascii="Verdana" w:eastAsia="Aptos" w:hAnsi="Verdana" w:cs="Arial"/>
          <w:kern w:val="2"/>
          <w14:ligatures w14:val="standardContextual"/>
        </w:rPr>
        <w:t>, la evaluación financiera y organizacional de las propuestas se efectuará a partir de la información contenida en el RUP vigente y en firme. En tal sentido, la evaluación de la capacidad financiera se realizará de acuerdo con la información reportada en el Registro, de acuerdo con las disposiciones establecidas en la Subsección 5, de la Sección 1, del Capítulo 1, del Título 1, de la Parte 2 del Decreto 1082 de 2015, o las normas que las modifiquen</w:t>
      </w:r>
      <w:bookmarkEnd w:id="6"/>
      <w:r w:rsidRPr="00082852">
        <w:rPr>
          <w:rFonts w:ascii="Verdana" w:eastAsia="Aptos" w:hAnsi="Verdana" w:cs="Arial"/>
          <w:kern w:val="2"/>
          <w14:ligatures w14:val="standardContextual"/>
        </w:rPr>
        <w:t>.</w:t>
      </w:r>
    </w:p>
    <w:p w14:paraId="37A26332" w14:textId="107D8112" w:rsidR="004C19D2" w:rsidRDefault="00A67539" w:rsidP="00A67539">
      <w:pPr>
        <w:spacing w:after="120" w:line="276" w:lineRule="auto"/>
        <w:ind w:firstLine="708"/>
        <w:jc w:val="both"/>
        <w:rPr>
          <w:rFonts w:ascii="Verdana" w:hAnsi="Verdana" w:cs="Arial"/>
          <w:lang w:eastAsia="es-ES"/>
        </w:rPr>
      </w:pPr>
      <w:r w:rsidRPr="00082852">
        <w:rPr>
          <w:rFonts w:ascii="Verdana" w:eastAsia="Aptos" w:hAnsi="Verdana" w:cs="Arial"/>
          <w:kern w:val="2"/>
          <w:lang w:val="es-MX"/>
          <w14:ligatures w14:val="standardContextual"/>
        </w:rPr>
        <w:t xml:space="preserve">Sin perjuicio de lo anterior, teniendo en cuenta </w:t>
      </w:r>
      <w:r w:rsidR="00481144">
        <w:rPr>
          <w:rFonts w:ascii="Verdana" w:eastAsia="Aptos" w:hAnsi="Verdana" w:cs="Arial"/>
          <w:kern w:val="2"/>
          <w:lang w:val="es-MX"/>
          <w14:ligatures w14:val="standardContextual"/>
        </w:rPr>
        <w:t>las preguntas planteadas</w:t>
      </w:r>
      <w:r w:rsidRPr="00082852">
        <w:rPr>
          <w:rFonts w:ascii="Verdana" w:eastAsia="Aptos" w:hAnsi="Verdana" w:cs="Arial"/>
          <w:kern w:val="2"/>
          <w:lang w:val="es-MX"/>
          <w14:ligatures w14:val="standardContextual"/>
        </w:rPr>
        <w:t xml:space="preserve">, es necesario advertir que, los indicadores de capacidad financiera establecidos en los documentos tipo están diseñados para aquellos procesos de contratación que deban regirse por el Estatuto General de Contratación de la Administración Pública –EGCAP– y los documentos tipo. Por lo tanto, cuando una Entidad Estatal no obligada a aplicar documentos tipo pretenda utilizarlos como una </w:t>
      </w:r>
      <w:r w:rsidRPr="00082852">
        <w:rPr>
          <w:rFonts w:ascii="Verdana" w:eastAsia="Aptos" w:hAnsi="Verdana" w:cs="Arial"/>
          <w:i/>
          <w:iCs/>
          <w:kern w:val="2"/>
          <w:lang w:val="es-MX"/>
          <w14:ligatures w14:val="standardContextual"/>
        </w:rPr>
        <w:t>buena práctica,</w:t>
      </w:r>
      <w:r w:rsidRPr="00082852">
        <w:rPr>
          <w:rFonts w:ascii="Verdana" w:eastAsia="Aptos" w:hAnsi="Verdana" w:cs="Arial"/>
          <w:kern w:val="2"/>
          <w:lang w:val="es-MX"/>
          <w14:ligatures w14:val="standardContextual"/>
        </w:rPr>
        <w:t xml:space="preserve"> no podrá perder de vista las particularidades del proceso de contratación específico, de manera que los indicadores de capacidad financiera deberá establecerlos de forma autónoma, </w:t>
      </w:r>
      <w:r w:rsidRPr="00082852">
        <w:rPr>
          <w:rFonts w:ascii="Verdana" w:eastAsia="Calibri" w:hAnsi="Verdana" w:cs="Arial"/>
          <w:bCs/>
          <w:lang w:val="es-MX" w:eastAsia="es-ES" w:bidi="es-ES"/>
        </w:rPr>
        <w:t>con sustento en el estudio del sector y sus componentes como la identificación de riesgos, el mercado y precio del bien, obra o servicio a contratar, en los términos expuestos en este concepto</w:t>
      </w:r>
      <w:r w:rsidR="00F90569">
        <w:rPr>
          <w:rFonts w:ascii="Verdana" w:eastAsia="Calibri" w:hAnsi="Verdana" w:cs="Arial"/>
          <w:bCs/>
          <w:lang w:val="es-MX" w:eastAsia="es-ES" w:bidi="es-ES"/>
        </w:rPr>
        <w:t>.</w:t>
      </w:r>
    </w:p>
    <w:p w14:paraId="017B8630" w14:textId="470014CB" w:rsidR="00481144" w:rsidRPr="00DB4737" w:rsidRDefault="00481144" w:rsidP="00481144">
      <w:pPr>
        <w:spacing w:after="0" w:line="276" w:lineRule="auto"/>
        <w:ind w:firstLine="360"/>
        <w:contextualSpacing/>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 xml:space="preserve">Finalmente debe advertirse, que el análisis para resolver problemas específicos en torno a </w:t>
      </w:r>
      <w:r>
        <w:rPr>
          <w:rFonts w:ascii="Verdana" w:eastAsia="Calibri" w:hAnsi="Verdana" w:cs="Times New Roman"/>
          <w:lang w:val="es-ES"/>
        </w:rPr>
        <w:t>las preguntas formuladas</w:t>
      </w:r>
      <w:r w:rsidRPr="00DB4737">
        <w:rPr>
          <w:rFonts w:ascii="Verdana" w:eastAsia="Calibri" w:hAnsi="Verdana" w:cs="Times New Roman"/>
          <w:lang w:val="es-ES"/>
        </w:rPr>
        <w:t xml:space="preserve">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7AD78FC3" w14:textId="77777777" w:rsidR="00481144" w:rsidRPr="00DB4737" w:rsidRDefault="00481144" w:rsidP="00481144">
      <w:pPr>
        <w:spacing w:after="0"/>
        <w:ind w:left="720"/>
        <w:contextualSpacing/>
        <w:rPr>
          <w:rFonts w:ascii="Verdana" w:eastAsia="Calibri" w:hAnsi="Verdana" w:cs="Times New Roman"/>
          <w:lang w:val="es-ES"/>
        </w:rPr>
      </w:pPr>
    </w:p>
    <w:p w14:paraId="635CFEF3" w14:textId="3AB3321D" w:rsidR="004C19D2" w:rsidRDefault="00481144" w:rsidP="00481144">
      <w:pPr>
        <w:spacing w:after="120" w:line="276" w:lineRule="auto"/>
        <w:ind w:firstLine="708"/>
        <w:jc w:val="both"/>
        <w:rPr>
          <w:rFonts w:ascii="Verdana" w:hAnsi="Verdana" w:cs="Arial"/>
          <w:lang w:eastAsia="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23064A8B" w14:textId="50929774" w:rsidR="00DB7D44" w:rsidRPr="00593A5F" w:rsidRDefault="00DB7D44" w:rsidP="00FB67C7">
      <w:pPr>
        <w:spacing w:after="120" w:line="276" w:lineRule="auto"/>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366865F" w14:textId="77777777" w:rsidR="00DB7D44" w:rsidRPr="00593A5F" w:rsidRDefault="00DB7D44" w:rsidP="00DB7D44">
      <w:pPr>
        <w:widowControl w:val="0"/>
        <w:autoSpaceDE w:val="0"/>
        <w:autoSpaceDN w:val="0"/>
        <w:spacing w:after="0" w:line="276" w:lineRule="auto"/>
        <w:jc w:val="both"/>
        <w:rPr>
          <w:rFonts w:ascii="Verdana" w:hAnsi="Verdana" w:cs="Arial"/>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7D44" w:rsidRPr="00593A5F" w14:paraId="2975C83A" w14:textId="77777777" w:rsidTr="005943DC">
        <w:trPr>
          <w:trHeight w:val="870"/>
        </w:trPr>
        <w:tc>
          <w:tcPr>
            <w:tcW w:w="8647" w:type="dxa"/>
          </w:tcPr>
          <w:p w14:paraId="3CD46B7D" w14:textId="77777777" w:rsidR="00F90569" w:rsidRDefault="00F90569" w:rsidP="004F5668">
            <w:pPr>
              <w:pStyle w:val="ListParagraph"/>
              <w:widowControl w:val="0"/>
              <w:numPr>
                <w:ilvl w:val="0"/>
                <w:numId w:val="3"/>
              </w:numPr>
              <w:autoSpaceDE w:val="0"/>
              <w:autoSpaceDN w:val="0"/>
              <w:spacing w:after="120" w:line="276" w:lineRule="auto"/>
              <w:contextualSpacing w:val="0"/>
              <w:jc w:val="both"/>
              <w:rPr>
                <w:rFonts w:ascii="Verdana" w:hAnsi="Verdana" w:cs="Arial"/>
              </w:rPr>
            </w:pPr>
            <w:r>
              <w:rPr>
                <w:rFonts w:ascii="Verdana" w:hAnsi="Verdana" w:cs="Arial"/>
              </w:rPr>
              <w:t>Ley 80 de 1993, artículo 49.</w:t>
            </w:r>
          </w:p>
          <w:p w14:paraId="3C2C778C" w14:textId="77777777" w:rsidR="00F90569" w:rsidRDefault="00F90569" w:rsidP="004F5668">
            <w:pPr>
              <w:pStyle w:val="ListParagraph"/>
              <w:widowControl w:val="0"/>
              <w:numPr>
                <w:ilvl w:val="0"/>
                <w:numId w:val="3"/>
              </w:numPr>
              <w:autoSpaceDE w:val="0"/>
              <w:autoSpaceDN w:val="0"/>
              <w:spacing w:after="120" w:line="276" w:lineRule="auto"/>
              <w:contextualSpacing w:val="0"/>
              <w:jc w:val="both"/>
              <w:rPr>
                <w:rFonts w:ascii="Verdana" w:hAnsi="Verdana" w:cs="Arial"/>
              </w:rPr>
            </w:pPr>
            <w:r>
              <w:rPr>
                <w:rFonts w:ascii="Verdana" w:hAnsi="Verdana" w:cs="Arial"/>
              </w:rPr>
              <w:t>Ley 1150 de 2007, artículos 2, 3, 5 y 6.</w:t>
            </w:r>
          </w:p>
          <w:p w14:paraId="10F3073C" w14:textId="77777777" w:rsidR="00F90569" w:rsidRDefault="00F90569" w:rsidP="004F5668">
            <w:pPr>
              <w:pStyle w:val="ListParagraph"/>
              <w:widowControl w:val="0"/>
              <w:numPr>
                <w:ilvl w:val="0"/>
                <w:numId w:val="3"/>
              </w:numPr>
              <w:autoSpaceDE w:val="0"/>
              <w:autoSpaceDN w:val="0"/>
              <w:spacing w:after="120" w:line="276" w:lineRule="auto"/>
              <w:contextualSpacing w:val="0"/>
              <w:jc w:val="both"/>
              <w:rPr>
                <w:rFonts w:ascii="Verdana" w:hAnsi="Verdana" w:cs="Arial"/>
              </w:rPr>
            </w:pPr>
            <w:r>
              <w:rPr>
                <w:rFonts w:ascii="Verdana" w:hAnsi="Verdana" w:cs="Arial"/>
              </w:rPr>
              <w:t>Ley 2022 de 2020, artículo 1.</w:t>
            </w:r>
          </w:p>
          <w:p w14:paraId="56694650" w14:textId="77777777" w:rsidR="00F90569" w:rsidRPr="00522927" w:rsidRDefault="00F90569" w:rsidP="004F5668">
            <w:pPr>
              <w:pStyle w:val="ListParagraph"/>
              <w:widowControl w:val="0"/>
              <w:numPr>
                <w:ilvl w:val="0"/>
                <w:numId w:val="3"/>
              </w:numPr>
              <w:autoSpaceDE w:val="0"/>
              <w:autoSpaceDN w:val="0"/>
              <w:spacing w:after="120" w:line="276" w:lineRule="auto"/>
              <w:contextualSpacing w:val="0"/>
              <w:jc w:val="both"/>
              <w:rPr>
                <w:rFonts w:ascii="Verdana" w:hAnsi="Verdana" w:cs="Arial"/>
              </w:rPr>
            </w:pPr>
            <w:r>
              <w:rPr>
                <w:rFonts w:ascii="Verdana" w:hAnsi="Verdana" w:cs="Arial"/>
              </w:rPr>
              <w:t>Decreto Ley 4170 de 2011, artículo 3.8.</w:t>
            </w:r>
          </w:p>
          <w:p w14:paraId="1FBB49C6" w14:textId="77777777" w:rsidR="00F90569" w:rsidRDefault="00F90569" w:rsidP="004F5668">
            <w:pPr>
              <w:pStyle w:val="ListParagraph"/>
              <w:widowControl w:val="0"/>
              <w:numPr>
                <w:ilvl w:val="0"/>
                <w:numId w:val="3"/>
              </w:numPr>
              <w:autoSpaceDE w:val="0"/>
              <w:autoSpaceDN w:val="0"/>
              <w:spacing w:after="120" w:line="276" w:lineRule="auto"/>
              <w:contextualSpacing w:val="0"/>
              <w:jc w:val="both"/>
              <w:rPr>
                <w:rFonts w:ascii="Verdana" w:hAnsi="Verdana" w:cs="Arial"/>
              </w:rPr>
            </w:pPr>
            <w:r>
              <w:rPr>
                <w:rFonts w:ascii="Verdana" w:hAnsi="Verdana" w:cs="Arial"/>
              </w:rPr>
              <w:t>Decreto 1082 de 2015, artículos</w:t>
            </w:r>
            <w:r>
              <w:rPr>
                <w:rFonts w:ascii="Verdana" w:eastAsia="Calibri" w:hAnsi="Verdana" w:cs="Arial"/>
                <w:lang w:val="es-ES_tradnl"/>
              </w:rPr>
              <w:t xml:space="preserve"> </w:t>
            </w:r>
            <w:r w:rsidRPr="00E365C4">
              <w:rPr>
                <w:rFonts w:ascii="Verdana" w:eastAsia="Calibri" w:hAnsi="Verdana" w:cs="Arial"/>
                <w:lang w:val="es-ES_tradnl"/>
              </w:rPr>
              <w:t>2.2.1.1.1.6.1</w:t>
            </w:r>
            <w:r>
              <w:rPr>
                <w:rFonts w:ascii="Verdana" w:eastAsia="Calibri" w:hAnsi="Verdana" w:cs="Arial"/>
                <w:lang w:val="es-ES_tradnl"/>
              </w:rPr>
              <w:t xml:space="preserve">, </w:t>
            </w:r>
            <w:r w:rsidRPr="003F3FBC">
              <w:rPr>
                <w:rFonts w:ascii="Verdana" w:eastAsia="Calibri" w:hAnsi="Verdana" w:cs="Arial"/>
                <w:lang w:val="es-ES_tradnl"/>
              </w:rPr>
              <w:t>2.2.1.1.1.6.2</w:t>
            </w:r>
            <w:r>
              <w:rPr>
                <w:rFonts w:ascii="Verdana" w:eastAsia="Calibri" w:hAnsi="Verdana" w:cs="Arial"/>
                <w:lang w:val="es-ES_tradnl"/>
              </w:rPr>
              <w:t xml:space="preserve">, </w:t>
            </w:r>
            <w:r w:rsidRPr="00E365C4">
              <w:rPr>
                <w:rFonts w:ascii="Verdana" w:eastAsia="Calibri" w:hAnsi="Verdana" w:cs="Arial"/>
                <w:lang w:val="es-ES_tradnl"/>
              </w:rPr>
              <w:t>2.2.1.1.2.1.1</w:t>
            </w:r>
            <w:r>
              <w:rPr>
                <w:rFonts w:ascii="Verdana" w:eastAsia="Calibri" w:hAnsi="Verdana" w:cs="Arial"/>
                <w:lang w:val="es-ES_tradnl"/>
              </w:rPr>
              <w:t xml:space="preserve">, </w:t>
            </w:r>
            <w:r w:rsidRPr="00F16B6C">
              <w:rPr>
                <w:rFonts w:ascii="Verdana" w:eastAsia="Calibri" w:hAnsi="Verdana" w:cs="Arial"/>
                <w:lang w:val="es-ES_tradnl"/>
              </w:rPr>
              <w:t>2.2.1.2.1.2.2</w:t>
            </w:r>
            <w:r>
              <w:rPr>
                <w:rFonts w:ascii="Verdana" w:eastAsia="Calibri" w:hAnsi="Verdana" w:cs="Arial"/>
                <w:lang w:val="es-ES_tradnl"/>
              </w:rPr>
              <w:t xml:space="preserve">, </w:t>
            </w:r>
            <w:r w:rsidRPr="0076231A">
              <w:rPr>
                <w:rFonts w:ascii="Verdana" w:eastAsia="Calibri" w:hAnsi="Verdana" w:cs="Arial"/>
              </w:rPr>
              <w:t>2.2.1.2.1.2.20</w:t>
            </w:r>
            <w:r>
              <w:rPr>
                <w:rFonts w:ascii="Verdana" w:eastAsia="Calibri" w:hAnsi="Verdana" w:cs="Arial"/>
              </w:rPr>
              <w:t xml:space="preserve"> y </w:t>
            </w:r>
            <w:r w:rsidRPr="00EF6DA2">
              <w:rPr>
                <w:rFonts w:ascii="Verdana" w:eastAsia="Calibri" w:hAnsi="Verdana" w:cs="Arial"/>
              </w:rPr>
              <w:t>2.2.1.2.1.5.2</w:t>
            </w:r>
            <w:r w:rsidRPr="00E365C4">
              <w:rPr>
                <w:rFonts w:ascii="Verdana" w:hAnsi="Verdana" w:cs="Arial"/>
              </w:rPr>
              <w:t>.</w:t>
            </w:r>
            <w:r>
              <w:rPr>
                <w:rFonts w:ascii="Verdana" w:hAnsi="Verdana" w:cs="Arial"/>
              </w:rPr>
              <w:t xml:space="preserve"> </w:t>
            </w:r>
          </w:p>
          <w:p w14:paraId="6F09FB2E" w14:textId="77777777" w:rsidR="00F90569" w:rsidRDefault="00F90569" w:rsidP="004F5668">
            <w:pPr>
              <w:pStyle w:val="ListParagraph"/>
              <w:widowControl w:val="0"/>
              <w:numPr>
                <w:ilvl w:val="0"/>
                <w:numId w:val="3"/>
              </w:numPr>
              <w:autoSpaceDE w:val="0"/>
              <w:autoSpaceDN w:val="0"/>
              <w:spacing w:after="120" w:line="276" w:lineRule="auto"/>
              <w:contextualSpacing w:val="0"/>
              <w:jc w:val="both"/>
              <w:rPr>
                <w:rFonts w:ascii="Verdana" w:hAnsi="Verdana" w:cs="Arial"/>
              </w:rPr>
            </w:pPr>
            <w:r w:rsidRPr="0074409B">
              <w:rPr>
                <w:rFonts w:ascii="Verdana" w:hAnsi="Verdana" w:cs="Arial"/>
              </w:rPr>
              <w:t>Circular Externa Única de la Agencia Nacional de Contratación Pública – Colombia Compra Eficiente</w:t>
            </w:r>
            <w:r>
              <w:rPr>
                <w:rFonts w:ascii="Verdana" w:hAnsi="Verdana" w:cs="Arial"/>
              </w:rPr>
              <w:t xml:space="preserve">. Disponible en: </w:t>
            </w:r>
            <w:hyperlink r:id="rId13" w:history="1">
              <w:r w:rsidRPr="00785087">
                <w:rPr>
                  <w:rStyle w:val="Hyperlink"/>
                  <w:rFonts w:ascii="Verdana" w:hAnsi="Verdana" w:cs="Arial"/>
                </w:rPr>
                <w:t>https://colombiacompra.gov.co/sites/cce_public/files/cce_circulares/circular_externa_unica_version_3_vf49.pdf</w:t>
              </w:r>
            </w:hyperlink>
            <w:r>
              <w:rPr>
                <w:rFonts w:ascii="Verdana" w:hAnsi="Verdana" w:cs="Arial"/>
              </w:rPr>
              <w:t xml:space="preserve">. </w:t>
            </w:r>
          </w:p>
          <w:p w14:paraId="6CF61423" w14:textId="77777777" w:rsidR="00F90569" w:rsidRDefault="00F90569" w:rsidP="004F5668">
            <w:pPr>
              <w:pStyle w:val="ListParagraph"/>
              <w:widowControl w:val="0"/>
              <w:numPr>
                <w:ilvl w:val="0"/>
                <w:numId w:val="3"/>
              </w:numPr>
              <w:autoSpaceDE w:val="0"/>
              <w:autoSpaceDN w:val="0"/>
              <w:spacing w:after="120" w:line="276" w:lineRule="auto"/>
              <w:contextualSpacing w:val="0"/>
              <w:jc w:val="both"/>
              <w:rPr>
                <w:rFonts w:ascii="Verdana" w:hAnsi="Verdana" w:cs="Arial"/>
              </w:rPr>
            </w:pPr>
            <w:r>
              <w:rPr>
                <w:rFonts w:ascii="Verdana" w:hAnsi="Verdana" w:cs="Arial"/>
              </w:rPr>
              <w:t xml:space="preserve">Documentos Tipo expedidos por la </w:t>
            </w:r>
            <w:r w:rsidRPr="00E51982">
              <w:rPr>
                <w:rFonts w:ascii="Verdana" w:hAnsi="Verdana" w:cs="Arial"/>
              </w:rPr>
              <w:t>Agencia Nacional de Contratación Pública – Colombia Compra Eficiente</w:t>
            </w:r>
            <w:r>
              <w:rPr>
                <w:rFonts w:ascii="Verdana" w:hAnsi="Verdana" w:cs="Arial"/>
              </w:rPr>
              <w:t xml:space="preserve">. Disponibles en: </w:t>
            </w:r>
            <w:hyperlink r:id="rId14" w:history="1">
              <w:r w:rsidRPr="00785087">
                <w:rPr>
                  <w:rStyle w:val="Hyperlink"/>
                  <w:rFonts w:ascii="Verdana" w:hAnsi="Verdana" w:cs="Arial"/>
                </w:rPr>
                <w:t>https://www.colombiacompra.gov.co/documentos-tipo/documentos-tipo</w:t>
              </w:r>
            </w:hyperlink>
            <w:r>
              <w:rPr>
                <w:rFonts w:ascii="Verdana" w:hAnsi="Verdana" w:cs="Arial"/>
              </w:rPr>
              <w:t xml:space="preserve">. </w:t>
            </w:r>
          </w:p>
          <w:p w14:paraId="376F6971" w14:textId="77777777" w:rsidR="00F90569" w:rsidRDefault="00F90569" w:rsidP="004F5668">
            <w:pPr>
              <w:pStyle w:val="ListParagraph"/>
              <w:widowControl w:val="0"/>
              <w:numPr>
                <w:ilvl w:val="0"/>
                <w:numId w:val="3"/>
              </w:numPr>
              <w:autoSpaceDE w:val="0"/>
              <w:autoSpaceDN w:val="0"/>
              <w:spacing w:after="120" w:line="276" w:lineRule="auto"/>
              <w:contextualSpacing w:val="0"/>
              <w:jc w:val="both"/>
              <w:rPr>
                <w:rFonts w:ascii="Verdana" w:hAnsi="Verdana" w:cs="Arial"/>
              </w:rPr>
            </w:pPr>
            <w:r w:rsidRPr="00473392">
              <w:rPr>
                <w:rFonts w:ascii="Verdana" w:hAnsi="Verdana" w:cs="Arial"/>
              </w:rPr>
              <w:t>Manual para Determinar y Verificar los Requisitos Habilitantes en los Procesos De Contratación</w:t>
            </w:r>
            <w:r>
              <w:rPr>
                <w:rFonts w:ascii="Verdana" w:hAnsi="Verdana" w:cs="Arial"/>
              </w:rPr>
              <w:t xml:space="preserve"> expedido por la </w:t>
            </w:r>
            <w:r w:rsidRPr="00E51982">
              <w:rPr>
                <w:rFonts w:ascii="Verdana" w:hAnsi="Verdana" w:cs="Arial"/>
              </w:rPr>
              <w:t>Agencia Nacional de Contratación Pública – Colombia Compra Eficiente</w:t>
            </w:r>
            <w:r>
              <w:rPr>
                <w:rFonts w:ascii="Verdana" w:hAnsi="Verdana" w:cs="Arial"/>
              </w:rPr>
              <w:t xml:space="preserve">. Disponible en: </w:t>
            </w:r>
            <w:hyperlink r:id="rId15" w:history="1">
              <w:r w:rsidRPr="00785087">
                <w:rPr>
                  <w:rStyle w:val="Hyperlink"/>
                  <w:rFonts w:ascii="Verdana" w:hAnsi="Verdana" w:cs="Arial"/>
                </w:rPr>
                <w:t>https://colombiacompra.gov.co/sites/cce_public/files/cce_documents/cce-eicp-ma-04._manual_requisitos_habilitantes_v3_29-09-2023.pdf</w:t>
              </w:r>
            </w:hyperlink>
            <w:r>
              <w:rPr>
                <w:rFonts w:ascii="Verdana" w:hAnsi="Verdana" w:cs="Arial"/>
              </w:rPr>
              <w:t xml:space="preserve">. </w:t>
            </w:r>
          </w:p>
          <w:p w14:paraId="482CEF17" w14:textId="77777777" w:rsidR="00F90569" w:rsidRDefault="00F90569" w:rsidP="004F5668">
            <w:pPr>
              <w:pStyle w:val="ListParagraph"/>
              <w:widowControl w:val="0"/>
              <w:numPr>
                <w:ilvl w:val="0"/>
                <w:numId w:val="3"/>
              </w:numPr>
              <w:autoSpaceDE w:val="0"/>
              <w:autoSpaceDN w:val="0"/>
              <w:spacing w:after="120" w:line="276" w:lineRule="auto"/>
              <w:contextualSpacing w:val="0"/>
              <w:jc w:val="both"/>
              <w:rPr>
                <w:rFonts w:ascii="Verdana" w:hAnsi="Verdana" w:cs="Arial"/>
              </w:rPr>
            </w:pPr>
            <w:r w:rsidRPr="00E365C4">
              <w:rPr>
                <w:rFonts w:ascii="Verdana" w:hAnsi="Verdana" w:cs="Arial"/>
              </w:rPr>
              <w:t>Guía de Elaboración de Estudios del Sector</w:t>
            </w:r>
            <w:r>
              <w:rPr>
                <w:rFonts w:ascii="Verdana" w:hAnsi="Verdana" w:cs="Arial"/>
              </w:rPr>
              <w:t xml:space="preserve"> de la</w:t>
            </w:r>
            <w:r w:rsidRPr="00E365C4">
              <w:rPr>
                <w:rFonts w:ascii="Verdana" w:hAnsi="Verdana" w:cs="Arial"/>
              </w:rPr>
              <w:t xml:space="preserve"> Agencia Nacional de Contratación Pública – Colombia Compra Eficiente</w:t>
            </w:r>
            <w:r>
              <w:rPr>
                <w:rFonts w:ascii="Verdana" w:hAnsi="Verdana" w:cs="Arial"/>
              </w:rPr>
              <w:t xml:space="preserve">. Disponible en: </w:t>
            </w:r>
            <w:hyperlink r:id="rId16" w:history="1">
              <w:r w:rsidRPr="00785087">
                <w:rPr>
                  <w:rStyle w:val="Hyperlink"/>
                  <w:rFonts w:ascii="Verdana" w:hAnsi="Verdana" w:cs="Arial"/>
                </w:rPr>
                <w:t>https://www.colombiacompra.gov.co/sites/cce_public/files/cce_documentos/cce-eicp-gi-18._gees_v.2_2.pdf</w:t>
              </w:r>
            </w:hyperlink>
            <w:r>
              <w:rPr>
                <w:rFonts w:ascii="Verdana" w:hAnsi="Verdana" w:cs="Arial"/>
              </w:rPr>
              <w:t>.</w:t>
            </w:r>
          </w:p>
          <w:p w14:paraId="7EDD136D" w14:textId="77777777" w:rsidR="00F90569" w:rsidRDefault="00F90569" w:rsidP="004F5668">
            <w:pPr>
              <w:pStyle w:val="ListParagraph"/>
              <w:widowControl w:val="0"/>
              <w:numPr>
                <w:ilvl w:val="0"/>
                <w:numId w:val="3"/>
              </w:numPr>
              <w:autoSpaceDE w:val="0"/>
              <w:autoSpaceDN w:val="0"/>
              <w:spacing w:after="120" w:line="276" w:lineRule="auto"/>
              <w:contextualSpacing w:val="0"/>
              <w:jc w:val="both"/>
              <w:rPr>
                <w:rFonts w:ascii="Verdana" w:hAnsi="Verdana" w:cs="Arial"/>
              </w:rPr>
            </w:pPr>
            <w:r w:rsidRPr="00E365C4">
              <w:rPr>
                <w:rFonts w:ascii="Verdana" w:hAnsi="Verdana" w:cs="Arial"/>
              </w:rPr>
              <w:t>Modelo de Abastecimiento Estratégico</w:t>
            </w:r>
            <w:r>
              <w:rPr>
                <w:rFonts w:ascii="Verdana" w:hAnsi="Verdana" w:cs="Arial"/>
              </w:rPr>
              <w:t xml:space="preserve"> de la Subdirección de la Subdirección de Estudios de Mercado de la ANCP – CCE. Disponible en: </w:t>
            </w:r>
            <w:hyperlink r:id="rId17" w:anchor="page=22" w:history="1">
              <w:r w:rsidRPr="00785087">
                <w:rPr>
                  <w:rStyle w:val="Hyperlink"/>
                  <w:rFonts w:ascii="Verdana" w:hAnsi="Verdana" w:cs="Arial"/>
                </w:rPr>
                <w:t>https://www.colombiacompra.gov.co/sites/cce_public/files/files_2020/mae_2.0_vf.pdf#page=22</w:t>
              </w:r>
            </w:hyperlink>
            <w:r>
              <w:rPr>
                <w:rFonts w:ascii="Verdana" w:hAnsi="Verdana" w:cs="Arial"/>
              </w:rPr>
              <w:t xml:space="preserve">.  </w:t>
            </w:r>
          </w:p>
          <w:p w14:paraId="2E3B0684" w14:textId="75B1B0B1" w:rsidR="00E52602" w:rsidRPr="000D446F" w:rsidRDefault="00E52602" w:rsidP="00F90569">
            <w:pPr>
              <w:widowControl w:val="0"/>
              <w:autoSpaceDE w:val="0"/>
              <w:autoSpaceDN w:val="0"/>
              <w:spacing w:after="120"/>
              <w:ind w:left="720"/>
              <w:jc w:val="both"/>
              <w:rPr>
                <w:rFonts w:ascii="Verdana" w:hAnsi="Verdana" w:cs="Arial"/>
              </w:rPr>
            </w:pPr>
          </w:p>
        </w:tc>
      </w:tr>
    </w:tbl>
    <w:p w14:paraId="268F1D7B" w14:textId="77777777" w:rsidR="00DB7D44" w:rsidRPr="00593A5F" w:rsidRDefault="00DB7D44" w:rsidP="00DB7D44">
      <w:pPr>
        <w:widowControl w:val="0"/>
        <w:autoSpaceDE w:val="0"/>
        <w:autoSpaceDN w:val="0"/>
        <w:spacing w:after="0" w:line="276" w:lineRule="auto"/>
        <w:jc w:val="both"/>
        <w:rPr>
          <w:rFonts w:ascii="Verdana" w:hAnsi="Verdana" w:cs="Arial"/>
        </w:rPr>
      </w:pPr>
    </w:p>
    <w:p w14:paraId="5B6ACB4D" w14:textId="77777777" w:rsidR="00DB7D44" w:rsidRPr="00593A5F" w:rsidRDefault="00DB7D44" w:rsidP="004F5668">
      <w:pPr>
        <w:pStyle w:val="ListParagraph"/>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B063E16" w14:textId="77777777" w:rsidR="00DB7D44" w:rsidRDefault="00DB7D44" w:rsidP="00DB7D44">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35B5D8BF" w14:textId="0804AD9C" w:rsidR="007E2389" w:rsidRPr="00185EE9" w:rsidRDefault="007D2960" w:rsidP="007E2389">
      <w:pPr>
        <w:widowControl w:val="0"/>
        <w:autoSpaceDE w:val="0"/>
        <w:autoSpaceDN w:val="0"/>
        <w:spacing w:after="0" w:line="276" w:lineRule="auto"/>
        <w:jc w:val="both"/>
        <w:rPr>
          <w:rFonts w:ascii="Verdana" w:eastAsia="Calibri" w:hAnsi="Verdana" w:cs="Times New Roman"/>
        </w:rPr>
      </w:pPr>
      <w:r w:rsidRPr="00CC5C68">
        <w:rPr>
          <w:rFonts w:ascii="Verdana" w:eastAsia="Calibri" w:hAnsi="Verdana" w:cs="Arial"/>
          <w:lang w:val="es-ES_tradnl" w:eastAsia="es-ES_tradnl"/>
        </w:rPr>
        <w:t xml:space="preserve">Sobre </w:t>
      </w:r>
      <w:r w:rsidR="00F90569" w:rsidRPr="00082852">
        <w:rPr>
          <w:rFonts w:ascii="Verdana" w:eastAsia="Calibri" w:hAnsi="Verdana" w:cs="Arial"/>
          <w:bCs/>
          <w:shd w:val="clear" w:color="auto" w:fill="FFFFFF"/>
        </w:rPr>
        <w:t>la acreditación de los indicadores de la capacidad financiera y organizacional</w:t>
      </w:r>
      <w:r w:rsidRPr="00CC5C68">
        <w:rPr>
          <w:rFonts w:ascii="Verdana" w:eastAsia="Calibri" w:hAnsi="Verdana" w:cs="Arial"/>
          <w:lang w:val="es-ES_tradnl" w:eastAsia="es-ES_tradnl"/>
        </w:rPr>
        <w:t>, se pronunció esta Subdirección en los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C-703 del 12 de enero de 2022, C-360 del 25 de mayo de 2022, C-426 del 5 de julio de 2022</w:t>
      </w:r>
      <w:r w:rsidR="007E2389">
        <w:rPr>
          <w:rFonts w:ascii="Verdana" w:hAnsi="Verdana" w:cs="Arial"/>
          <w:shd w:val="clear" w:color="auto" w:fill="FFFFFF"/>
        </w:rPr>
        <w:t>,</w:t>
      </w:r>
      <w:r>
        <w:rPr>
          <w:rFonts w:ascii="Verdana" w:hAnsi="Verdana" w:cs="Arial"/>
          <w:shd w:val="clear" w:color="auto" w:fill="FFFFFF"/>
        </w:rPr>
        <w:t xml:space="preserve"> C-353 del 30 de agosto de 2024,</w:t>
      </w:r>
      <w:r w:rsidR="00F90569">
        <w:rPr>
          <w:rFonts w:ascii="Verdana" w:hAnsi="Verdana" w:cs="Arial"/>
          <w:shd w:val="clear" w:color="auto" w:fill="FFFFFF"/>
        </w:rPr>
        <w:t xml:space="preserve"> C-216 del 27 de marzo de 2025 y C-425 del 30 de septiembre de 2025</w:t>
      </w:r>
      <w:r w:rsidR="007E2389">
        <w:rPr>
          <w:rFonts w:ascii="Verdana" w:hAnsi="Verdana" w:cs="Arial"/>
          <w:shd w:val="clear" w:color="auto" w:fill="FFFFFF"/>
        </w:rPr>
        <w:t xml:space="preserve"> </w:t>
      </w:r>
      <w:r w:rsidR="007E2389">
        <w:rPr>
          <w:rFonts w:ascii="Verdana" w:eastAsia="Calibri" w:hAnsi="Verdana" w:cs="Times New Roman"/>
        </w:rPr>
        <w:t>entre otros,</w:t>
      </w:r>
      <w:r w:rsidR="007E2389" w:rsidRPr="00185EE9">
        <w:rPr>
          <w:rFonts w:ascii="Verdana" w:eastAsia="Calibri" w:hAnsi="Verdana" w:cs="Times New Roman"/>
        </w:rPr>
        <w:t xml:space="preserve"> </w:t>
      </w:r>
      <w:r w:rsidR="007E2389">
        <w:rPr>
          <w:rFonts w:ascii="Verdana" w:eastAsia="Calibri" w:hAnsi="Verdana" w:cs="Times New Roman"/>
        </w:rPr>
        <w:t xml:space="preserve">estos </w:t>
      </w:r>
      <w:r w:rsidR="007E2389"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8F60A9B" w14:textId="01175CC3" w:rsidR="00117E40" w:rsidRPr="0065720B" w:rsidRDefault="00DE3A63" w:rsidP="007E2389">
      <w:pPr>
        <w:widowControl w:val="0"/>
        <w:autoSpaceDE w:val="0"/>
        <w:autoSpaceDN w:val="0"/>
        <w:spacing w:after="0" w:line="276" w:lineRule="auto"/>
        <w:jc w:val="both"/>
        <w:rPr>
          <w:rStyle w:val="normaltextrun"/>
          <w:rFonts w:ascii="Verdana" w:eastAsia="Calibri" w:hAnsi="Verdana" w:cs="Arial"/>
          <w:lang w:val="es-ES_tradnl" w:eastAsia="en-GB"/>
        </w:rPr>
      </w:pPr>
      <w:hyperlink r:id="rId18" w:history="1">
        <w:r w:rsidRPr="00191357">
          <w:rPr>
            <w:rStyle w:val="Hyperlink"/>
            <w:rFonts w:ascii="Verdana" w:eastAsia="Calibri" w:hAnsi="Verdana" w:cs="Times New Roman"/>
            <w:lang w:val="es-ES"/>
          </w:rPr>
          <w:t>https://relatoria.colombiacompra.gov.co/busqueda/conceptos</w:t>
        </w:r>
      </w:hyperlink>
      <w:r w:rsidR="007E2389" w:rsidRPr="00185EE9">
        <w:rPr>
          <w:rFonts w:ascii="Verdana" w:eastAsia="Calibri" w:hAnsi="Verdana" w:cs="Times New Roman"/>
        </w:rPr>
        <w:t>.</w:t>
      </w:r>
    </w:p>
    <w:p w14:paraId="7AA80262" w14:textId="77777777" w:rsidR="00DB7D44" w:rsidRDefault="00DB7D44" w:rsidP="00DB7D44">
      <w:pPr>
        <w:widowControl w:val="0"/>
        <w:autoSpaceDE w:val="0"/>
        <w:autoSpaceDN w:val="0"/>
        <w:spacing w:after="0" w:line="276" w:lineRule="auto"/>
        <w:jc w:val="both"/>
        <w:rPr>
          <w:rStyle w:val="normaltextrun"/>
          <w:rFonts w:ascii="Verdana" w:hAnsi="Verdana" w:cs="Arial"/>
          <w:shd w:val="clear" w:color="auto" w:fill="FFFFFF"/>
          <w:lang w:val="es-ES"/>
        </w:rPr>
      </w:pPr>
    </w:p>
    <w:p w14:paraId="5362D59A"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11A94559"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p>
    <w:p w14:paraId="25D616FD" w14:textId="77777777" w:rsidR="00A80691" w:rsidRPr="00505CD6" w:rsidRDefault="00A80691" w:rsidP="004F5668">
      <w:pPr>
        <w:widowControl w:val="0"/>
        <w:numPr>
          <w:ilvl w:val="0"/>
          <w:numId w:val="2"/>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9"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213CAF78" w14:textId="77777777" w:rsidR="00A80691" w:rsidRPr="00505CD6" w:rsidRDefault="00A80691" w:rsidP="004F5668">
      <w:pPr>
        <w:widowControl w:val="0"/>
        <w:numPr>
          <w:ilvl w:val="0"/>
          <w:numId w:val="2"/>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20"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302453FB"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p>
    <w:p w14:paraId="7CB67F4C"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21"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003E92E1" w14:textId="77777777" w:rsidR="00A80691" w:rsidRPr="00505CD6" w:rsidRDefault="00A80691" w:rsidP="00A80691">
      <w:pPr>
        <w:widowControl w:val="0"/>
        <w:autoSpaceDE w:val="0"/>
        <w:autoSpaceDN w:val="0"/>
        <w:spacing w:after="0" w:line="276" w:lineRule="auto"/>
        <w:jc w:val="both"/>
        <w:rPr>
          <w:rFonts w:ascii="Verdana" w:eastAsia="Calibri" w:hAnsi="Verdana" w:cs="Arial"/>
          <w:color w:val="000000" w:themeColor="text1"/>
        </w:rPr>
      </w:pPr>
    </w:p>
    <w:p w14:paraId="7B957669" w14:textId="5FB4A3E7" w:rsidR="00A80691" w:rsidRPr="00505CD6" w:rsidRDefault="00A80691" w:rsidP="00A80691">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2FEC8E96" w14:textId="77777777" w:rsidR="00A80691" w:rsidRPr="00505CD6" w:rsidRDefault="00A80691" w:rsidP="00A80691">
      <w:pPr>
        <w:widowControl w:val="0"/>
        <w:autoSpaceDE w:val="0"/>
        <w:autoSpaceDN w:val="0"/>
        <w:spacing w:after="0" w:line="276" w:lineRule="auto"/>
        <w:jc w:val="both"/>
        <w:rPr>
          <w:rFonts w:ascii="Verdana" w:hAnsi="Verdana" w:cs="Arial"/>
        </w:rPr>
      </w:pPr>
    </w:p>
    <w:p w14:paraId="2126DCB2" w14:textId="77777777" w:rsidR="00A80691" w:rsidRPr="00505CD6" w:rsidRDefault="00A80691" w:rsidP="00A80691">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BB0FC7C" w14:textId="49800975" w:rsidR="00EF055B" w:rsidRPr="00EF055B" w:rsidRDefault="001A6C63" w:rsidP="00EF055B">
      <w:pPr>
        <w:spacing w:line="276" w:lineRule="auto"/>
        <w:jc w:val="center"/>
        <w:rPr>
          <w:noProof/>
          <w:color w:val="000000"/>
        </w:rPr>
      </w:pPr>
      <w:r>
        <w:rPr>
          <w:noProof/>
          <w:color w:val="000000"/>
        </w:rPr>
        <w:drawing>
          <wp:inline distT="0" distB="0" distL="0" distR="0" wp14:anchorId="4FF79ECD" wp14:editId="5FC336C5">
            <wp:extent cx="4114800" cy="1769238"/>
            <wp:effectExtent l="0" t="0" r="0" b="2540"/>
            <wp:docPr id="17379249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924925" name="Imagen 1737924925"/>
                    <pic:cNvPicPr/>
                  </pic:nvPicPr>
                  <pic:blipFill>
                    <a:blip r:embed="rId22">
                      <a:extLst>
                        <a:ext uri="{28A0092B-C50C-407E-A947-70E740481C1C}">
                          <a14:useLocalDpi xmlns:a14="http://schemas.microsoft.com/office/drawing/2010/main" val="0"/>
                        </a:ext>
                      </a:extLst>
                    </a:blip>
                    <a:stretch>
                      <a:fillRect/>
                    </a:stretch>
                  </pic:blipFill>
                  <pic:spPr>
                    <a:xfrm>
                      <a:off x="0" y="0"/>
                      <a:ext cx="4118566" cy="1770857"/>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80691" w:rsidRPr="00593A5F" w14:paraId="31D06E98" w14:textId="77777777" w:rsidTr="005943DC">
        <w:trPr>
          <w:trHeight w:val="315"/>
        </w:trPr>
        <w:tc>
          <w:tcPr>
            <w:tcW w:w="893" w:type="dxa"/>
            <w:vAlign w:val="center"/>
            <w:hideMark/>
          </w:tcPr>
          <w:p w14:paraId="03E2D651"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D29D3DB" w14:textId="07887B21" w:rsidR="00EF055B" w:rsidRDefault="00EF055B" w:rsidP="00EF055B">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 xml:space="preserve">Karol Andrea </w:t>
            </w:r>
            <w:r w:rsidR="00481144">
              <w:rPr>
                <w:rStyle w:val="normaltextrun"/>
                <w:rFonts w:ascii="Verdana" w:hAnsi="Verdana" w:cstheme="minorHAnsi"/>
                <w:sz w:val="16"/>
                <w:szCs w:val="16"/>
              </w:rPr>
              <w:t>González</w:t>
            </w:r>
            <w:r>
              <w:rPr>
                <w:rStyle w:val="normaltextrun"/>
                <w:rFonts w:ascii="Verdana" w:hAnsi="Verdana" w:cstheme="minorHAnsi"/>
                <w:sz w:val="16"/>
                <w:szCs w:val="16"/>
              </w:rPr>
              <w:t xml:space="preserve"> </w:t>
            </w:r>
            <w:r w:rsidR="00481144">
              <w:rPr>
                <w:rStyle w:val="normaltextrun"/>
                <w:rFonts w:ascii="Verdana" w:hAnsi="Verdana" w:cstheme="minorHAnsi"/>
                <w:sz w:val="16"/>
                <w:szCs w:val="16"/>
              </w:rPr>
              <w:t>Marín</w:t>
            </w:r>
            <w:r w:rsidR="0031738A">
              <w:rPr>
                <w:rStyle w:val="normaltextrun"/>
                <w:rFonts w:ascii="Verdana" w:hAnsi="Verdana" w:cstheme="minorHAnsi"/>
                <w:sz w:val="16"/>
                <w:szCs w:val="16"/>
              </w:rPr>
              <w:t>.</w:t>
            </w:r>
          </w:p>
          <w:p w14:paraId="53926242" w14:textId="33D77AA9" w:rsidR="00A80691" w:rsidRPr="000015E6" w:rsidRDefault="00A80691" w:rsidP="00A80691">
            <w:pPr>
              <w:contextualSpacing/>
              <w:rPr>
                <w:rFonts w:ascii="Verdana" w:eastAsia="Arial" w:hAnsi="Verdana" w:cs="Arial"/>
                <w:sz w:val="16"/>
                <w:szCs w:val="16"/>
              </w:rPr>
            </w:pPr>
            <w:r w:rsidRPr="00E24803">
              <w:rPr>
                <w:rFonts w:ascii="Verdana" w:hAnsi="Verdana"/>
                <w:sz w:val="16"/>
                <w:szCs w:val="16"/>
              </w:rPr>
              <w:t>Contratista de la Subdirección de Gestión Contractual</w:t>
            </w:r>
          </w:p>
        </w:tc>
      </w:tr>
      <w:tr w:rsidR="00A80691" w:rsidRPr="00593A5F" w14:paraId="7860D780" w14:textId="77777777" w:rsidTr="005943DC">
        <w:trPr>
          <w:trHeight w:val="330"/>
        </w:trPr>
        <w:tc>
          <w:tcPr>
            <w:tcW w:w="893" w:type="dxa"/>
            <w:vAlign w:val="center"/>
            <w:hideMark/>
          </w:tcPr>
          <w:p w14:paraId="242F9749"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4CC40AB" w14:textId="0E8D18C7" w:rsidR="00A80691" w:rsidRDefault="006741B6" w:rsidP="00A80691">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 xml:space="preserve">Juan Carlos </w:t>
            </w:r>
            <w:r w:rsidR="0031738A">
              <w:rPr>
                <w:rStyle w:val="normaltextrun"/>
                <w:rFonts w:ascii="Verdana" w:hAnsi="Verdana" w:cstheme="minorHAnsi"/>
                <w:sz w:val="16"/>
                <w:szCs w:val="16"/>
              </w:rPr>
              <w:t>González</w:t>
            </w:r>
            <w:r w:rsidR="000139B3">
              <w:rPr>
                <w:rStyle w:val="normaltextrun"/>
                <w:rFonts w:ascii="Verdana" w:hAnsi="Verdana" w:cstheme="minorHAnsi"/>
                <w:sz w:val="16"/>
                <w:szCs w:val="16"/>
              </w:rPr>
              <w:t>.</w:t>
            </w:r>
          </w:p>
          <w:p w14:paraId="2BBC7853" w14:textId="6C5DBAC2" w:rsidR="00A80691" w:rsidRPr="00EF40D2" w:rsidRDefault="00A80691" w:rsidP="00A80691">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Pr="000015E6">
              <w:rPr>
                <w:rStyle w:val="normaltextrun"/>
                <w:rFonts w:ascii="Verdana" w:eastAsia="Arial" w:hAnsi="Verdana" w:cs="Arial"/>
                <w:sz w:val="16"/>
                <w:szCs w:val="16"/>
              </w:rPr>
              <w:t>Subdirección de Gestión Contractual</w:t>
            </w:r>
          </w:p>
        </w:tc>
      </w:tr>
      <w:tr w:rsidR="00A80691" w:rsidRPr="00593A5F" w14:paraId="2DB10D30" w14:textId="77777777" w:rsidTr="005943DC">
        <w:trPr>
          <w:trHeight w:val="300"/>
        </w:trPr>
        <w:tc>
          <w:tcPr>
            <w:tcW w:w="893" w:type="dxa"/>
            <w:vAlign w:val="center"/>
          </w:tcPr>
          <w:p w14:paraId="3638310D"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4BE9AC3" w14:textId="4C219289" w:rsidR="00A80691" w:rsidRPr="000015E6" w:rsidRDefault="00A80691" w:rsidP="00A80691">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 xml:space="preserve">Carolina Quintero </w:t>
            </w:r>
            <w:r w:rsidR="00606078" w:rsidRPr="000015E6">
              <w:rPr>
                <w:rFonts w:ascii="Verdana" w:eastAsia="Calibri" w:hAnsi="Verdana" w:cs="Arial"/>
                <w:sz w:val="16"/>
                <w:szCs w:val="16"/>
                <w:lang w:val="pt-BR" w:eastAsia="es-ES"/>
              </w:rPr>
              <w:t>Ganchará</w:t>
            </w:r>
            <w:r w:rsidR="000139B3">
              <w:rPr>
                <w:rFonts w:ascii="Verdana" w:eastAsia="Calibri" w:hAnsi="Verdana" w:cs="Arial"/>
                <w:sz w:val="16"/>
                <w:szCs w:val="16"/>
                <w:lang w:val="pt-BR" w:eastAsia="es-ES"/>
              </w:rPr>
              <w:t>.</w:t>
            </w:r>
          </w:p>
          <w:p w14:paraId="3F43F8EA" w14:textId="2BA9B9FC" w:rsidR="00A80691" w:rsidRPr="000015E6" w:rsidRDefault="00A80691" w:rsidP="00A80691">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1"/>
      <w:bookmarkEnd w:id="2"/>
      <w:bookmarkEnd w:id="3"/>
    </w:tbl>
    <w:p w14:paraId="0465BA6D" w14:textId="5A633879" w:rsidR="00E245AB" w:rsidRPr="0044528D" w:rsidRDefault="00E245AB" w:rsidP="00E245AB">
      <w:pPr>
        <w:spacing w:after="0"/>
        <w:rPr>
          <w:rFonts w:ascii="Verdana" w:hAnsi="Verdana"/>
        </w:rPr>
      </w:pPr>
    </w:p>
    <w:sectPr w:rsidR="00E245AB" w:rsidRPr="0044528D" w:rsidSect="00AC0B6D">
      <w:headerReference w:type="even" r:id="rId23"/>
      <w:headerReference w:type="default" r:id="rId24"/>
      <w:footerReference w:type="even" r:id="rId25"/>
      <w:footerReference w:type="default" r:id="rId26"/>
      <w:pgSz w:w="12240" w:h="15840" w:code="1"/>
      <w:pgMar w:top="1417" w:right="1750"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671A6" w14:textId="77777777" w:rsidR="00915A82" w:rsidRDefault="00915A82" w:rsidP="004A1847">
      <w:pPr>
        <w:spacing w:after="0" w:line="240" w:lineRule="auto"/>
      </w:pPr>
      <w:r>
        <w:separator/>
      </w:r>
    </w:p>
  </w:endnote>
  <w:endnote w:type="continuationSeparator" w:id="0">
    <w:p w14:paraId="6D6AE630" w14:textId="77777777" w:rsidR="00915A82" w:rsidRDefault="00915A8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charset w:val="00"/>
    <w:family w:val="swiss"/>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Yu Mincho">
    <w:altName w:val="游明朝"/>
    <w:panose1 w:val="00000000000000000000"/>
    <w:charset w:val="80"/>
    <w:family w:val="roman"/>
    <w:notTrueType/>
    <w:pitch w:val="default"/>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7AAC8" w14:textId="77777777" w:rsidR="00AF4209" w:rsidRDefault="00AF4209">
    <w:pPr>
      <w:pStyle w:val="Footer"/>
    </w:pPr>
  </w:p>
  <w:p w14:paraId="3526CBDE" w14:textId="77777777" w:rsidR="008245EB" w:rsidRDefault="008245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p w14:paraId="53800D44" w14:textId="77777777" w:rsidR="00250743" w:rsidRDefault="00250743"/>
  <w:p w14:paraId="2C260A65" w14:textId="77777777" w:rsidR="008245EB" w:rsidRDefault="008245EB"/>
  <w:p w14:paraId="14D52991" w14:textId="77777777" w:rsidR="008245EB" w:rsidRDefault="008245EB"/>
  <w:p w14:paraId="57ADEE0D" w14:textId="77777777" w:rsidR="008245EB" w:rsidRDefault="008245EB"/>
  <w:p w14:paraId="71FAF27A" w14:textId="77777777" w:rsidR="008245EB" w:rsidRDefault="008245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A26EB" w14:textId="77777777" w:rsidR="00915A82" w:rsidRDefault="00915A82" w:rsidP="004A1847">
      <w:pPr>
        <w:spacing w:after="0" w:line="240" w:lineRule="auto"/>
      </w:pPr>
      <w:r>
        <w:separator/>
      </w:r>
    </w:p>
  </w:footnote>
  <w:footnote w:type="continuationSeparator" w:id="0">
    <w:p w14:paraId="685DF78E" w14:textId="77777777" w:rsidR="00915A82" w:rsidRDefault="00915A82" w:rsidP="004A1847">
      <w:pPr>
        <w:spacing w:after="0" w:line="240" w:lineRule="auto"/>
      </w:pPr>
      <w:r>
        <w:continuationSeparator/>
      </w:r>
    </w:p>
  </w:footnote>
  <w:footnote w:id="1">
    <w:p w14:paraId="574A1708" w14:textId="77777777" w:rsidR="007147D6" w:rsidRPr="00CF2C74" w:rsidRDefault="007147D6" w:rsidP="007147D6">
      <w:pPr>
        <w:pStyle w:val="FootnoteText"/>
        <w:jc w:val="both"/>
        <w:rPr>
          <w:rFonts w:ascii="Verdana" w:hAnsi="Verdana"/>
          <w:sz w:val="16"/>
          <w:szCs w:val="16"/>
        </w:rPr>
      </w:pPr>
      <w:r w:rsidRPr="00CF2C74">
        <w:rPr>
          <w:rStyle w:val="FootnoteReference"/>
          <w:rFonts w:ascii="Verdana" w:hAnsi="Verdana"/>
          <w:sz w:val="16"/>
          <w:szCs w:val="16"/>
        </w:rPr>
        <w:footnoteRef/>
      </w:r>
      <w:r w:rsidRPr="00CF2C74">
        <w:rPr>
          <w:rFonts w:ascii="Verdana" w:hAnsi="Verdana"/>
          <w:sz w:val="16"/>
          <w:szCs w:val="16"/>
        </w:rPr>
        <w:t xml:space="preserve"> GUÍA DE ELABORACIÓN DE ESTUDIOS DE SECTOR GEES-VERSIÓN 2 del 24 de junio de 2022. Disponible en: </w:t>
      </w:r>
      <w:hyperlink r:id="rId1" w:history="1">
        <w:r w:rsidRPr="00CF2C74">
          <w:rPr>
            <w:rStyle w:val="Hyperlink"/>
            <w:rFonts w:ascii="Verdana" w:hAnsi="Verdana"/>
            <w:sz w:val="16"/>
            <w:szCs w:val="16"/>
          </w:rPr>
          <w:t>https://www.colombiacompra.gov.co/wp-content/uploads/2024/08/cce-eicp-gi-18._gees_v.2_2.pdf</w:t>
        </w:r>
      </w:hyperlink>
    </w:p>
  </w:footnote>
  <w:footnote w:id="2">
    <w:p w14:paraId="50627B13" w14:textId="77777777" w:rsidR="007147D6" w:rsidRPr="00C97639" w:rsidRDefault="007147D6" w:rsidP="007147D6">
      <w:pPr>
        <w:pStyle w:val="FootnoteText"/>
        <w:jc w:val="both"/>
        <w:rPr>
          <w:rFonts w:ascii="Verdana" w:hAnsi="Verdana"/>
          <w:sz w:val="16"/>
          <w:szCs w:val="16"/>
        </w:rPr>
      </w:pPr>
      <w:r w:rsidRPr="00C97639">
        <w:rPr>
          <w:rStyle w:val="FootnoteReference"/>
          <w:rFonts w:ascii="Verdana" w:hAnsi="Verdana"/>
          <w:sz w:val="16"/>
          <w:szCs w:val="16"/>
        </w:rPr>
        <w:footnoteRef/>
      </w:r>
      <w:r w:rsidRPr="00C97639">
        <w:rPr>
          <w:rFonts w:ascii="Verdana" w:hAnsi="Verdana"/>
          <w:sz w:val="16"/>
          <w:szCs w:val="16"/>
        </w:rPr>
        <w:t xml:space="preserve"> MANUAL PARA DETERMINAR Y VERIFICAR LOS REQUISITOS HABILITANTES EN LOS PROCESOS DE CONTRATACIÓN versión 03 del 29 de septiembre de 2023 Disponible en: </w:t>
      </w:r>
      <w:hyperlink r:id="rId2" w:history="1">
        <w:r w:rsidRPr="00C97639">
          <w:rPr>
            <w:rStyle w:val="Hyperlink"/>
            <w:rFonts w:ascii="Verdana" w:hAnsi="Verdana"/>
            <w:sz w:val="16"/>
            <w:szCs w:val="16"/>
          </w:rPr>
          <w:t>https://operaciones.colombiacompra.gov.co/sites/cce_public/files/cce_documents/cce-eicp-ma-04._manual_requisitos_habilitantes_v3_29-09-2023.pdf</w:t>
        </w:r>
      </w:hyperlink>
      <w:r w:rsidRPr="00C97639">
        <w:rPr>
          <w:rFonts w:ascii="Verdana" w:hAnsi="Verdana"/>
          <w:sz w:val="16"/>
          <w:szCs w:val="16"/>
        </w:rPr>
        <w:t xml:space="preserve"> </w:t>
      </w:r>
    </w:p>
  </w:footnote>
  <w:footnote w:id="3">
    <w:p w14:paraId="6D187AB1" w14:textId="77777777" w:rsidR="007147D6" w:rsidRPr="00C97639" w:rsidRDefault="007147D6" w:rsidP="007147D6">
      <w:pPr>
        <w:pStyle w:val="FootnoteText"/>
        <w:jc w:val="both"/>
        <w:rPr>
          <w:rFonts w:ascii="Verdana" w:hAnsi="Verdana"/>
          <w:sz w:val="16"/>
          <w:szCs w:val="16"/>
        </w:rPr>
      </w:pPr>
      <w:r w:rsidRPr="00C97639">
        <w:rPr>
          <w:rStyle w:val="FootnoteReference"/>
          <w:rFonts w:ascii="Verdana" w:hAnsi="Verdana"/>
          <w:sz w:val="16"/>
          <w:szCs w:val="16"/>
        </w:rPr>
        <w:footnoteRef/>
      </w:r>
      <w:r w:rsidRPr="00C97639">
        <w:rPr>
          <w:rFonts w:ascii="Verdana" w:hAnsi="Verdana"/>
          <w:sz w:val="16"/>
          <w:szCs w:val="16"/>
        </w:rPr>
        <w:t xml:space="preserve"> MANUAL PARA DETERMINAR Y VERIFICAR LOS REQUISITOS HABILITANTES EN LOS PROCESOS DE CONTRATACIÓN versión 03 del 29 de septiembre de 2023 Disponible en: </w:t>
      </w:r>
      <w:hyperlink r:id="rId3" w:history="1">
        <w:r w:rsidRPr="00C97639">
          <w:rPr>
            <w:rStyle w:val="Hyperlink"/>
            <w:rFonts w:ascii="Verdana" w:hAnsi="Verdana"/>
            <w:sz w:val="16"/>
            <w:szCs w:val="16"/>
          </w:rPr>
          <w:t>https://operaciones.colombiacompra.gov.co/sites/cce_public/files/cce_documents/cce-eicp-ma-04._manual_requisitos_habilitantes_v3_29-09-2023.pdf</w:t>
        </w:r>
      </w:hyperlink>
      <w:r w:rsidRPr="00C97639">
        <w:rPr>
          <w:rFonts w:ascii="Verdana" w:hAnsi="Verdana"/>
          <w:sz w:val="16"/>
          <w:szCs w:val="16"/>
        </w:rPr>
        <w:t xml:space="preserve"> </w:t>
      </w:r>
    </w:p>
  </w:footnote>
  <w:footnote w:id="4">
    <w:p w14:paraId="6F9BF84D" w14:textId="77777777" w:rsidR="00C97639" w:rsidRPr="00C97639" w:rsidRDefault="00C97639" w:rsidP="00C97639">
      <w:pPr>
        <w:pStyle w:val="FootnoteText"/>
        <w:jc w:val="both"/>
        <w:rPr>
          <w:rFonts w:ascii="Verdana" w:hAnsi="Verdana"/>
        </w:rPr>
      </w:pPr>
      <w:r w:rsidRPr="00C97639">
        <w:rPr>
          <w:rStyle w:val="FootnoteReference"/>
          <w:rFonts w:ascii="Verdana" w:hAnsi="Verdana"/>
        </w:rPr>
        <w:footnoteRef/>
      </w:r>
      <w:r w:rsidRPr="00C97639">
        <w:rPr>
          <w:rFonts w:ascii="Verdana" w:hAnsi="Verdana"/>
        </w:rPr>
        <w:t xml:space="preserve"> </w:t>
      </w:r>
      <w:r w:rsidRPr="00C97639">
        <w:rPr>
          <w:rFonts w:ascii="Verdana" w:hAnsi="Verdana"/>
          <w:sz w:val="16"/>
          <w:szCs w:val="16"/>
        </w:rPr>
        <w:t xml:space="preserve">MANUAL PARA DETERMINAR Y VERIFICAR LOS REQUISITOS HABILITANTES EN LOS PROCESOS DE CONTRATACIÓN versión 03 del 29 de septiembre de 2023 Disponible en: </w:t>
      </w:r>
      <w:hyperlink r:id="rId4" w:history="1">
        <w:r w:rsidRPr="00C97639">
          <w:rPr>
            <w:rStyle w:val="Hyperlink"/>
            <w:rFonts w:ascii="Verdana" w:hAnsi="Verdana"/>
            <w:sz w:val="16"/>
            <w:szCs w:val="16"/>
          </w:rPr>
          <w:t>https://operaciones.colombiacompra.gov.co/sites/cce_public/files/cce_documents/cce-eicp-ma-04._manual_requisitos_habilitantes_v3_29-09-2023.pdf</w:t>
        </w:r>
      </w:hyperlink>
    </w:p>
  </w:footnote>
  <w:footnote w:id="5">
    <w:p w14:paraId="4D918EB1" w14:textId="77777777" w:rsidR="00C97639" w:rsidRPr="00CF2C74" w:rsidRDefault="00C97639" w:rsidP="00C97639">
      <w:pPr>
        <w:pStyle w:val="FootnoteText"/>
        <w:jc w:val="both"/>
        <w:rPr>
          <w:rFonts w:ascii="Verdana" w:hAnsi="Verdana"/>
          <w:sz w:val="16"/>
          <w:szCs w:val="16"/>
        </w:rPr>
      </w:pPr>
      <w:r w:rsidRPr="00CF2C74">
        <w:rPr>
          <w:rStyle w:val="FootnoteReference"/>
          <w:rFonts w:ascii="Verdana" w:hAnsi="Verdana"/>
          <w:sz w:val="16"/>
          <w:szCs w:val="16"/>
        </w:rPr>
        <w:footnoteRef/>
      </w:r>
      <w:r w:rsidRPr="00CF2C74">
        <w:rPr>
          <w:rFonts w:ascii="Verdana" w:hAnsi="Verdana"/>
          <w:sz w:val="16"/>
          <w:szCs w:val="16"/>
        </w:rPr>
        <w:t xml:space="preserve"> GUÍA DE ELABORACIÓN DE ESTUDIOS DE SECTOR GEES-VERSIÓN 2 del 24 de junio de 2022. Disponible en: </w:t>
      </w:r>
      <w:hyperlink r:id="rId5" w:history="1">
        <w:r w:rsidRPr="00CF2C74">
          <w:rPr>
            <w:rStyle w:val="Hyperlink"/>
            <w:rFonts w:ascii="Verdana" w:hAnsi="Verdana"/>
            <w:sz w:val="16"/>
            <w:szCs w:val="16"/>
          </w:rPr>
          <w:t>https://www.colombiacompra.gov.co/wp-content/uploads/2024/08/cce-eicp-gi-18._gees_v.2_2.pdf</w:t>
        </w:r>
      </w:hyperlink>
    </w:p>
  </w:footnote>
  <w:footnote w:id="6">
    <w:p w14:paraId="068F4B25" w14:textId="77777777" w:rsidR="00C97639" w:rsidRPr="00CF2C74" w:rsidRDefault="00C97639" w:rsidP="00C97639">
      <w:pPr>
        <w:pStyle w:val="FootnoteText"/>
        <w:jc w:val="both"/>
        <w:rPr>
          <w:rFonts w:ascii="Verdana" w:hAnsi="Verdana"/>
          <w:sz w:val="16"/>
          <w:szCs w:val="16"/>
        </w:rPr>
      </w:pPr>
      <w:r w:rsidRPr="00CF2C74">
        <w:rPr>
          <w:rStyle w:val="FootnoteReference"/>
          <w:rFonts w:ascii="Verdana" w:hAnsi="Verdana"/>
          <w:sz w:val="16"/>
          <w:szCs w:val="16"/>
        </w:rPr>
        <w:footnoteRef/>
      </w:r>
      <w:r w:rsidRPr="00CF2C74">
        <w:rPr>
          <w:rFonts w:ascii="Verdana" w:hAnsi="Verdana"/>
          <w:sz w:val="16"/>
          <w:szCs w:val="16"/>
        </w:rPr>
        <w:t xml:space="preserve"> GUÍA DE ELABORACIÓN DE ESTUDIOS DE SECTOR GEES-VERSIÓN 2 del 24 de junio de 2022. Disponible en: </w:t>
      </w:r>
      <w:hyperlink r:id="rId6" w:history="1">
        <w:r w:rsidRPr="00CF2C74">
          <w:rPr>
            <w:rStyle w:val="Hyperlink"/>
            <w:rFonts w:ascii="Verdana" w:hAnsi="Verdana"/>
            <w:sz w:val="16"/>
            <w:szCs w:val="16"/>
          </w:rPr>
          <w:t>https://www.colombiacompra.gov.co/wp-content/uploads/2024/08/cce-eicp-gi-18._gees_v.2_2.pdf</w:t>
        </w:r>
      </w:hyperlink>
    </w:p>
  </w:footnote>
  <w:footnote w:id="7">
    <w:p w14:paraId="28890712" w14:textId="77777777" w:rsidR="00A67539" w:rsidRDefault="00A67539" w:rsidP="00A67539">
      <w:pPr>
        <w:pStyle w:val="NormalWeb"/>
        <w:snapToGrid w:val="0"/>
        <w:ind w:firstLine="709"/>
        <w:contextualSpacing/>
        <w:jc w:val="both"/>
        <w:rPr>
          <w:rFonts w:ascii="Verdana" w:eastAsia="Calibri" w:hAnsi="Verdana" w:cs="Arial"/>
          <w:color w:val="000000"/>
          <w:sz w:val="17"/>
          <w:szCs w:val="17"/>
          <w:lang w:val="es-ES_tradnl" w:eastAsia="es-ES_tradnl"/>
        </w:rPr>
      </w:pPr>
      <w:r w:rsidRPr="00880432">
        <w:rPr>
          <w:rStyle w:val="FootnoteReference"/>
          <w:rFonts w:ascii="Verdana" w:hAnsi="Verdana" w:cs="Arial"/>
          <w:color w:val="000000"/>
          <w:sz w:val="17"/>
          <w:szCs w:val="17"/>
        </w:rPr>
        <w:footnoteRef/>
      </w:r>
      <w:r w:rsidRPr="00880432">
        <w:rPr>
          <w:rFonts w:ascii="Verdana" w:hAnsi="Verdana" w:cs="Arial"/>
          <w:color w:val="000000"/>
          <w:sz w:val="17"/>
          <w:szCs w:val="17"/>
        </w:rPr>
        <w:t xml:space="preserve"> </w:t>
      </w:r>
      <w:r w:rsidRPr="00880432">
        <w:rPr>
          <w:rFonts w:ascii="Verdana" w:eastAsia="Calibri" w:hAnsi="Verdana" w:cs="Arial"/>
          <w:color w:val="000000"/>
          <w:sz w:val="17"/>
          <w:szCs w:val="17"/>
          <w:lang w:val="es-ES_tradnl" w:eastAsia="es-ES_tradnl"/>
        </w:rPr>
        <w:t xml:space="preserve">Ley 1150 de 2007: “Artículo 6. </w:t>
      </w:r>
      <w:r w:rsidRPr="00880432">
        <w:rPr>
          <w:rFonts w:ascii="Verdana" w:eastAsia="Calibri" w:hAnsi="Verdana" w:cs="Arial"/>
          <w:i/>
          <w:iCs/>
          <w:color w:val="000000"/>
          <w:sz w:val="17"/>
          <w:szCs w:val="17"/>
          <w:lang w:val="es-ES_tradnl" w:eastAsia="es-ES_tradnl"/>
        </w:rPr>
        <w:t>De la verificación de las condiciones de los proponentes.</w:t>
      </w:r>
      <w:r w:rsidRPr="00880432">
        <w:rPr>
          <w:rFonts w:ascii="Verdana" w:eastAsia="Calibri" w:hAnsi="Verdana" w:cs="Arial"/>
          <w:color w:val="000000"/>
          <w:sz w:val="17"/>
          <w:szCs w:val="17"/>
          <w:lang w:val="es-ES_tradnl" w:eastAsia="es-ES_tradnl"/>
        </w:rPr>
        <w:t xml:space="preserve">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E0F8890" w14:textId="56AF9236" w:rsidR="00A67539" w:rsidRPr="00880432" w:rsidRDefault="00A67539" w:rsidP="00A67539">
      <w:pPr>
        <w:pStyle w:val="NormalWeb"/>
        <w:snapToGrid w:val="0"/>
        <w:ind w:firstLine="709"/>
        <w:contextualSpacing/>
        <w:jc w:val="both"/>
        <w:rPr>
          <w:rFonts w:ascii="Verdana" w:eastAsia="Calibri" w:hAnsi="Verdana" w:cs="Arial"/>
          <w:color w:val="000000"/>
          <w:sz w:val="17"/>
          <w:szCs w:val="17"/>
          <w:lang w:val="es-ES_tradnl" w:eastAsia="es-ES_tradnl"/>
        </w:rPr>
      </w:pPr>
      <w:r w:rsidRPr="00880432">
        <w:rPr>
          <w:rFonts w:ascii="Verdana" w:eastAsia="Calibri" w:hAnsi="Verdana" w:cs="Arial"/>
          <w:color w:val="000000"/>
          <w:sz w:val="17"/>
          <w:szCs w:val="17"/>
          <w:lang w:val="es-ES_tradnl" w:eastAsia="es-ES_tradnl"/>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4F6C6DD" w14:textId="77777777" w:rsidR="00A67539" w:rsidRPr="00880432" w:rsidRDefault="00A67539" w:rsidP="00A67539">
      <w:pPr>
        <w:pStyle w:val="NormalWeb"/>
        <w:snapToGrid w:val="0"/>
        <w:ind w:firstLine="709"/>
        <w:contextualSpacing/>
        <w:jc w:val="both"/>
        <w:rPr>
          <w:rFonts w:ascii="Verdana" w:hAnsi="Verdana" w:cs="Arial"/>
          <w:color w:val="000000"/>
          <w:sz w:val="17"/>
          <w:szCs w:val="17"/>
        </w:rPr>
      </w:pPr>
      <w:r w:rsidRPr="00880432">
        <w:rPr>
          <w:rFonts w:ascii="Verdana" w:eastAsia="Calibri" w:hAnsi="Verdana" w:cs="Arial"/>
          <w:color w:val="000000"/>
          <w:sz w:val="17"/>
          <w:szCs w:val="17"/>
          <w:lang w:val="es-ES_tradnl" w:eastAsia="es-ES_tradnl"/>
        </w:rPr>
        <w:t>En dicho registro constará la información relacionada con la experiencia, capacidad jurídica, financiera y de organización del proponente y su clasificación”.</w:t>
      </w:r>
    </w:p>
  </w:footnote>
  <w:footnote w:id="8">
    <w:p w14:paraId="1A38023A" w14:textId="77777777" w:rsidR="00A67539" w:rsidRPr="00880432" w:rsidRDefault="00A67539" w:rsidP="00A67539">
      <w:pPr>
        <w:pStyle w:val="FootnoteText"/>
        <w:snapToGrid w:val="0"/>
        <w:ind w:firstLine="709"/>
        <w:jc w:val="both"/>
        <w:rPr>
          <w:rFonts w:ascii="Verdana" w:hAnsi="Verdana" w:cs="Arial"/>
          <w:sz w:val="17"/>
          <w:szCs w:val="17"/>
        </w:rPr>
      </w:pPr>
    </w:p>
    <w:p w14:paraId="71BA1ACC" w14:textId="77777777" w:rsidR="00A67539" w:rsidRPr="00880432" w:rsidRDefault="00A67539" w:rsidP="00A67539">
      <w:pPr>
        <w:pStyle w:val="FootnoteText"/>
        <w:snapToGrid w:val="0"/>
        <w:ind w:firstLine="709"/>
        <w:jc w:val="both"/>
        <w:rPr>
          <w:rFonts w:ascii="Verdana" w:eastAsia="Calibri" w:hAnsi="Verdana" w:cs="Arial"/>
          <w:color w:val="000000"/>
          <w:sz w:val="17"/>
          <w:szCs w:val="17"/>
          <w:lang w:val="es-ES_tradnl" w:eastAsia="es-ES_tradnl"/>
        </w:rPr>
      </w:pPr>
      <w:r w:rsidRPr="00880432">
        <w:rPr>
          <w:rStyle w:val="FootnoteReference"/>
          <w:rFonts w:ascii="Verdana" w:hAnsi="Verdana" w:cs="Arial"/>
          <w:sz w:val="17"/>
          <w:szCs w:val="17"/>
        </w:rPr>
        <w:footnoteRef/>
      </w:r>
      <w:r w:rsidRPr="00880432">
        <w:rPr>
          <w:rFonts w:ascii="Verdana" w:hAnsi="Verdana" w:cs="Arial"/>
          <w:sz w:val="17"/>
          <w:szCs w:val="17"/>
        </w:rPr>
        <w:t xml:space="preserve"> </w:t>
      </w:r>
      <w:r w:rsidRPr="00880432">
        <w:rPr>
          <w:rFonts w:ascii="Verdana" w:eastAsia="Calibri" w:hAnsi="Verdana" w:cs="Arial"/>
          <w:color w:val="000000"/>
          <w:sz w:val="17"/>
          <w:szCs w:val="17"/>
          <w:lang w:val="es-ES_tradnl" w:eastAsia="es-ES_tradnl"/>
        </w:rPr>
        <w:t>Agencia Nacional de Contratación Pública – Colombia Compra Eficiente, “Manual para determinar y verificar los requisitos habilitantes en los Procesos de Contratación”.</w:t>
      </w:r>
    </w:p>
    <w:p w14:paraId="0BA2F900" w14:textId="77777777" w:rsidR="00A67539" w:rsidRPr="00880432" w:rsidRDefault="00A67539" w:rsidP="00A67539">
      <w:pPr>
        <w:pStyle w:val="FootnoteText"/>
        <w:snapToGrid w:val="0"/>
        <w:jc w:val="both"/>
        <w:rPr>
          <w:rFonts w:ascii="Verdana" w:hAnsi="Verdana" w:cs="Arial"/>
          <w:sz w:val="17"/>
          <w:szCs w:val="17"/>
          <w:lang w:val="es-ES"/>
        </w:rPr>
      </w:pPr>
    </w:p>
  </w:footnote>
  <w:footnote w:id="9">
    <w:p w14:paraId="06373644" w14:textId="77777777" w:rsidR="00A67539" w:rsidRPr="00880432" w:rsidRDefault="00A67539" w:rsidP="00A67539">
      <w:pPr>
        <w:pStyle w:val="FootnoteText"/>
        <w:snapToGrid w:val="0"/>
        <w:ind w:firstLine="709"/>
        <w:jc w:val="both"/>
        <w:rPr>
          <w:rFonts w:ascii="Verdana" w:hAnsi="Verdana"/>
          <w:sz w:val="17"/>
          <w:szCs w:val="17"/>
        </w:rPr>
      </w:pPr>
      <w:r w:rsidRPr="00880432">
        <w:rPr>
          <w:rStyle w:val="FootnoteReference"/>
          <w:rFonts w:ascii="Verdana" w:hAnsi="Verdana"/>
          <w:sz w:val="17"/>
          <w:szCs w:val="17"/>
        </w:rPr>
        <w:footnoteRef/>
      </w:r>
      <w:r w:rsidRPr="00880432">
        <w:rPr>
          <w:rFonts w:ascii="Verdana" w:hAnsi="Verdana"/>
          <w:sz w:val="17"/>
          <w:szCs w:val="17"/>
        </w:rPr>
        <w:t xml:space="preserve"> </w:t>
      </w:r>
      <w:r w:rsidRPr="00880432">
        <w:rPr>
          <w:rFonts w:ascii="Verdana" w:eastAsia="Calibri" w:hAnsi="Verdana" w:cs="Arial"/>
          <w:color w:val="000000"/>
          <w:sz w:val="17"/>
          <w:szCs w:val="17"/>
          <w:lang w:val="es-ES_tradnl" w:eastAsia="es-ES_tradnl"/>
        </w:rPr>
        <w:t xml:space="preserve">Para la realización de los respectivos análisis del sector de los Procesos de Contratación, esta Agencia recomienda tener en cuenta la última modificación de la “Guía de Elaboración de Estudios del Sector”, que puede ser consultada en el siguiente enlace: </w:t>
      </w:r>
      <w:hyperlink r:id="rId7" w:history="1">
        <w:r w:rsidRPr="00880432">
          <w:rPr>
            <w:rFonts w:ascii="Verdana" w:hAnsi="Verdana"/>
            <w:color w:val="000000"/>
            <w:sz w:val="17"/>
            <w:szCs w:val="17"/>
            <w:lang w:val="es-ES_tradnl" w:eastAsia="es-ES_tradnl"/>
          </w:rPr>
          <w:t>https://www.colombiacompra.gov.co/sites/cce_public/files/cce_documentos/cce-eicp-gi-18._gees_v.2_2.pdf</w:t>
        </w:r>
      </w:hyperlink>
      <w:r w:rsidRPr="00880432">
        <w:rPr>
          <w:rFonts w:ascii="Verdana" w:hAnsi="Verdana"/>
          <w:sz w:val="17"/>
          <w:szCs w:val="17"/>
        </w:rPr>
        <w:t>.</w:t>
      </w:r>
    </w:p>
  </w:footnote>
  <w:footnote w:id="10">
    <w:p w14:paraId="0F298A33" w14:textId="77777777" w:rsidR="00A67539" w:rsidRPr="00880432" w:rsidRDefault="00A67539" w:rsidP="00A67539">
      <w:pPr>
        <w:pStyle w:val="FootnoteText"/>
        <w:snapToGrid w:val="0"/>
        <w:ind w:firstLine="709"/>
        <w:jc w:val="both"/>
        <w:rPr>
          <w:rFonts w:ascii="Verdana" w:hAnsi="Verdana"/>
          <w:sz w:val="17"/>
          <w:szCs w:val="17"/>
        </w:rPr>
      </w:pPr>
      <w:r w:rsidRPr="00880432">
        <w:rPr>
          <w:rStyle w:val="FootnoteReference"/>
          <w:rFonts w:ascii="Verdana" w:hAnsi="Verdana"/>
          <w:sz w:val="17"/>
          <w:szCs w:val="17"/>
        </w:rPr>
        <w:footnoteRef/>
      </w:r>
      <w:r w:rsidRPr="00880432">
        <w:rPr>
          <w:rFonts w:ascii="Verdana" w:hAnsi="Verdana"/>
          <w:sz w:val="17"/>
          <w:szCs w:val="17"/>
        </w:rPr>
        <w:t xml:space="preserve"> </w:t>
      </w:r>
      <w:r w:rsidRPr="00880432">
        <w:rPr>
          <w:rFonts w:ascii="Verdana" w:eastAsia="Calibri" w:hAnsi="Verdana" w:cs="Arial"/>
          <w:color w:val="000000"/>
          <w:sz w:val="17"/>
          <w:szCs w:val="17"/>
          <w:lang w:val="es-ES_tradnl" w:eastAsia="es-ES_tradnl"/>
        </w:rPr>
        <w:t>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11">
    <w:p w14:paraId="47A7828B" w14:textId="77777777" w:rsidR="00A67539" w:rsidRPr="00880432" w:rsidRDefault="00A67539" w:rsidP="00A67539">
      <w:pPr>
        <w:pStyle w:val="FootnoteText"/>
        <w:snapToGrid w:val="0"/>
        <w:ind w:firstLine="709"/>
        <w:jc w:val="both"/>
        <w:rPr>
          <w:rFonts w:ascii="Verdana" w:eastAsia="Calibri" w:hAnsi="Verdana" w:cs="Arial"/>
          <w:color w:val="000000"/>
          <w:sz w:val="17"/>
          <w:szCs w:val="17"/>
          <w:lang w:val="es-ES_tradnl" w:eastAsia="es-ES_tradnl"/>
        </w:rPr>
      </w:pPr>
      <w:r>
        <w:rPr>
          <w:rStyle w:val="FootnoteReference"/>
        </w:rPr>
        <w:footnoteRef/>
      </w:r>
      <w:r>
        <w:t xml:space="preserve"> </w:t>
      </w:r>
      <w:r w:rsidRPr="00880432">
        <w:rPr>
          <w:rFonts w:ascii="Verdana" w:eastAsia="Calibri" w:hAnsi="Verdana" w:cs="Arial"/>
          <w:color w:val="000000"/>
          <w:sz w:val="17"/>
          <w:szCs w:val="17"/>
          <w:lang w:val="es-ES_tradnl" w:eastAsia="es-ES_tradnl"/>
        </w:rPr>
        <w:t>Decreto 1082 de 2015: “</w:t>
      </w:r>
      <w:r w:rsidRPr="00880432">
        <w:rPr>
          <w:rFonts w:ascii="Verdana" w:eastAsia="Calibri" w:hAnsi="Verdana"/>
          <w:sz w:val="17"/>
          <w:szCs w:val="17"/>
          <w:lang w:val="es-ES_tradnl" w:eastAsia="es-ES_tradnl"/>
        </w:rPr>
        <w:t>Artículo 2.2.1.1.1.5.2.</w:t>
      </w:r>
      <w:r w:rsidRPr="00880432">
        <w:rPr>
          <w:rFonts w:ascii="Verdana" w:eastAsia="Calibri" w:hAnsi="Verdana"/>
          <w:b/>
          <w:sz w:val="17"/>
          <w:szCs w:val="17"/>
          <w:lang w:val="es-ES_tradnl" w:eastAsia="es-ES_tradnl"/>
        </w:rPr>
        <w:t> </w:t>
      </w:r>
      <w:r w:rsidRPr="00880432">
        <w:rPr>
          <w:rFonts w:ascii="Verdana" w:eastAsia="Calibri" w:hAnsi="Verdana"/>
          <w:i/>
          <w:sz w:val="17"/>
          <w:szCs w:val="17"/>
          <w:lang w:val="es-ES_tradnl" w:eastAsia="es-ES_tradnl"/>
        </w:rPr>
        <w:t>Información para inscripción, renovación o actualización. </w:t>
      </w:r>
      <w:r w:rsidRPr="00880432">
        <w:rPr>
          <w:rFonts w:ascii="Verdana" w:eastAsia="Calibri" w:hAnsi="Verdana" w:cs="Arial"/>
          <w:color w:val="000000"/>
          <w:sz w:val="17"/>
          <w:szCs w:val="17"/>
          <w:lang w:val="es-ES_tradnl" w:eastAsia="es-ES_tradnl"/>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0047FB4C" w14:textId="77777777" w:rsidR="00A67539" w:rsidRPr="00880432" w:rsidRDefault="00A67539" w:rsidP="00A67539">
      <w:pPr>
        <w:pStyle w:val="FootnoteText"/>
        <w:snapToGrid w:val="0"/>
        <w:ind w:firstLine="709"/>
        <w:jc w:val="both"/>
        <w:rPr>
          <w:rFonts w:ascii="Verdana" w:eastAsia="Calibri" w:hAnsi="Verdana" w:cs="Arial"/>
          <w:color w:val="000000"/>
          <w:sz w:val="17"/>
          <w:szCs w:val="17"/>
          <w:lang w:val="es-ES_tradnl" w:eastAsia="es-ES_tradnl"/>
        </w:rPr>
      </w:pPr>
      <w:r w:rsidRPr="00880432">
        <w:rPr>
          <w:rFonts w:ascii="Verdana" w:eastAsia="Calibri" w:hAnsi="Verdana" w:cs="Arial"/>
          <w:color w:val="000000"/>
          <w:sz w:val="17"/>
          <w:szCs w:val="17"/>
          <w:lang w:val="es-ES_tradnl" w:eastAsia="es-ES_tradnl"/>
        </w:rPr>
        <w:t>[…]</w:t>
      </w:r>
    </w:p>
    <w:p w14:paraId="64803C31" w14:textId="77777777" w:rsidR="00A67539" w:rsidRPr="00880432" w:rsidRDefault="00A67539" w:rsidP="00A67539">
      <w:pPr>
        <w:pStyle w:val="FootnoteText"/>
        <w:snapToGrid w:val="0"/>
        <w:ind w:firstLine="709"/>
        <w:jc w:val="both"/>
        <w:rPr>
          <w:rFonts w:ascii="Verdana" w:eastAsia="Calibri" w:hAnsi="Verdana" w:cs="Arial"/>
          <w:color w:val="000000"/>
          <w:sz w:val="17"/>
          <w:szCs w:val="17"/>
          <w:lang w:val="es-ES_tradnl" w:eastAsia="es-ES_tradnl"/>
        </w:rPr>
      </w:pPr>
      <w:r w:rsidRPr="00880432">
        <w:rPr>
          <w:rFonts w:ascii="Verdana" w:eastAsia="Calibri" w:hAnsi="Verdana" w:cs="Arial"/>
          <w:color w:val="000000"/>
          <w:sz w:val="17"/>
          <w:szCs w:val="17"/>
          <w:lang w:val="es-ES_tradnl" w:eastAsia="es-ES_tradnl"/>
        </w:rPr>
        <w:t xml:space="preserve">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w:t>
      </w:r>
    </w:p>
    <w:p w14:paraId="26921CBD" w14:textId="77777777" w:rsidR="00A67539" w:rsidRPr="00880432" w:rsidRDefault="00A67539" w:rsidP="00A67539">
      <w:pPr>
        <w:pStyle w:val="FootnoteText"/>
        <w:snapToGrid w:val="0"/>
        <w:ind w:firstLine="709"/>
        <w:jc w:val="both"/>
        <w:rPr>
          <w:rFonts w:ascii="Verdana" w:eastAsia="Calibri" w:hAnsi="Verdana" w:cs="Arial"/>
          <w:color w:val="000000"/>
          <w:sz w:val="17"/>
          <w:szCs w:val="17"/>
          <w:lang w:val="es-ES_tradnl" w:eastAsia="es-ES_tradnl"/>
        </w:rPr>
      </w:pPr>
      <w:r w:rsidRPr="00880432">
        <w:rPr>
          <w:rFonts w:ascii="Verdana" w:eastAsia="Calibri" w:hAnsi="Verdana" w:cs="Arial"/>
          <w:color w:val="000000"/>
          <w:sz w:val="17"/>
          <w:szCs w:val="17"/>
          <w:lang w:val="es-ES_tradnl" w:eastAsia="es-ES_tradnl"/>
        </w:rPr>
        <w:t xml:space="preserve">I. Principales cuentas detalladas del balance general. </w:t>
      </w:r>
    </w:p>
    <w:p w14:paraId="4E6546F7" w14:textId="77777777" w:rsidR="00A67539" w:rsidRPr="00880432" w:rsidRDefault="00A67539" w:rsidP="00A67539">
      <w:pPr>
        <w:pStyle w:val="FootnoteText"/>
        <w:snapToGrid w:val="0"/>
        <w:ind w:firstLine="709"/>
        <w:jc w:val="both"/>
        <w:rPr>
          <w:rFonts w:ascii="Verdana" w:eastAsia="Calibri" w:hAnsi="Verdana" w:cs="Arial"/>
          <w:color w:val="000000"/>
          <w:sz w:val="17"/>
          <w:szCs w:val="17"/>
          <w:lang w:val="es-ES_tradnl" w:eastAsia="es-ES_tradnl"/>
        </w:rPr>
      </w:pPr>
      <w:r w:rsidRPr="00880432">
        <w:rPr>
          <w:rFonts w:ascii="Verdana" w:eastAsia="Calibri" w:hAnsi="Verdana" w:cs="Arial"/>
          <w:color w:val="000000"/>
          <w:sz w:val="17"/>
          <w:szCs w:val="17"/>
          <w:lang w:val="es-ES_tradnl" w:eastAsia="es-ES_tradnl"/>
        </w:rPr>
        <w:t xml:space="preserve">II. Principales cuentas del estado de pérdidas y ganancias. </w:t>
      </w:r>
    </w:p>
    <w:p w14:paraId="1E605670" w14:textId="77777777" w:rsidR="00A67539" w:rsidRPr="00880432" w:rsidRDefault="00A67539" w:rsidP="00A67539">
      <w:pPr>
        <w:pStyle w:val="FootnoteText"/>
        <w:snapToGrid w:val="0"/>
        <w:ind w:firstLine="709"/>
        <w:jc w:val="both"/>
        <w:rPr>
          <w:rFonts w:ascii="Verdana" w:eastAsia="Calibri" w:hAnsi="Verdana" w:cs="Arial"/>
          <w:color w:val="000000"/>
          <w:sz w:val="17"/>
          <w:szCs w:val="17"/>
          <w:lang w:val="es-ES_tradnl" w:eastAsia="es-ES_tradnl"/>
        </w:rPr>
      </w:pPr>
      <w:r w:rsidRPr="00880432">
        <w:rPr>
          <w:rFonts w:ascii="Verdana" w:eastAsia="Calibri" w:hAnsi="Verdana" w:cs="Arial"/>
          <w:color w:val="000000"/>
          <w:sz w:val="17"/>
          <w:szCs w:val="17"/>
          <w:lang w:val="es-ES_tradnl" w:eastAsia="es-ES_tradnl"/>
        </w:rPr>
        <w:t xml:space="preserve">III. Cuentas contingentes deudoras y acreedoras. </w:t>
      </w:r>
    </w:p>
    <w:p w14:paraId="70E0BEF5" w14:textId="77777777" w:rsidR="00A67539" w:rsidRPr="003D357D" w:rsidRDefault="00A67539" w:rsidP="00A67539">
      <w:pPr>
        <w:pStyle w:val="FootnoteText"/>
        <w:snapToGrid w:val="0"/>
        <w:jc w:val="both"/>
        <w:rPr>
          <w:lang w:val="es-ES_tradnl"/>
        </w:rPr>
      </w:pPr>
      <w:r w:rsidRPr="00880432">
        <w:rPr>
          <w:rFonts w:ascii="Verdana" w:eastAsia="Calibri" w:hAnsi="Verdana" w:cs="Arial"/>
          <w:color w:val="000000"/>
          <w:sz w:val="17"/>
          <w:szCs w:val="17"/>
          <w:lang w:val="es-ES_tradnl" w:eastAsia="es-ES_tradnl"/>
        </w:rPr>
        <w:t>Si el interesado no tiene antigüedad suficiente para tener estados financieros auditados a 31 de</w:t>
      </w:r>
      <w:r>
        <w:rPr>
          <w:rFonts w:ascii="Verdana" w:eastAsia="Calibri" w:hAnsi="Verdana" w:cs="Arial"/>
          <w:color w:val="000000"/>
          <w:sz w:val="17"/>
          <w:szCs w:val="17"/>
          <w:lang w:val="es-ES_tradnl" w:eastAsia="es-ES_tradnl"/>
        </w:rPr>
        <w:t xml:space="preserve"> </w:t>
      </w:r>
      <w:r w:rsidRPr="00880432">
        <w:rPr>
          <w:rFonts w:ascii="Verdana" w:eastAsia="Calibri" w:hAnsi="Verdana" w:cs="Arial"/>
          <w:color w:val="000000"/>
          <w:sz w:val="17"/>
          <w:szCs w:val="17"/>
          <w:lang w:val="es-ES_tradnl" w:eastAsia="es-ES_tradnl"/>
        </w:rPr>
        <w:t>diciembre, debe inscribirse con estados financieros de corte trimestral, suscritos por el representante legal y el auditor o contador o estados financieros de apertura. […]”</w:t>
      </w:r>
      <w:r w:rsidRPr="00880432">
        <w:rPr>
          <w:rFonts w:ascii="Verdana" w:hAnsi="Verdana" w:cs="Arial"/>
          <w:sz w:val="17"/>
          <w:szCs w:val="17"/>
        </w:rPr>
        <w:t xml:space="preserve">  </w:t>
      </w:r>
    </w:p>
  </w:footnote>
  <w:footnote w:id="12">
    <w:p w14:paraId="790AA6A6" w14:textId="77777777" w:rsidR="00A67539" w:rsidRPr="00880432" w:rsidRDefault="00A67539" w:rsidP="00A67539">
      <w:pPr>
        <w:pStyle w:val="FootnoteText"/>
        <w:snapToGrid w:val="0"/>
        <w:ind w:firstLine="709"/>
        <w:jc w:val="both"/>
        <w:rPr>
          <w:rFonts w:ascii="Verdana" w:eastAsia="Calibri" w:hAnsi="Verdana" w:cs="Arial"/>
          <w:color w:val="000000"/>
          <w:sz w:val="17"/>
          <w:szCs w:val="17"/>
          <w:lang w:val="es-ES_tradnl" w:eastAsia="es-ES_tradnl"/>
        </w:rPr>
      </w:pPr>
      <w:r w:rsidRPr="00880432">
        <w:rPr>
          <w:rStyle w:val="FootnoteReference"/>
          <w:rFonts w:ascii="Verdana" w:hAnsi="Verdana" w:cs="Arial"/>
          <w:sz w:val="17"/>
          <w:szCs w:val="17"/>
        </w:rPr>
        <w:footnoteRef/>
      </w:r>
      <w:r w:rsidRPr="00880432">
        <w:rPr>
          <w:rFonts w:ascii="Verdana" w:hAnsi="Verdana" w:cs="Arial"/>
          <w:sz w:val="17"/>
          <w:szCs w:val="17"/>
        </w:rPr>
        <w:t xml:space="preserve"> </w:t>
      </w:r>
      <w:r w:rsidRPr="00880432">
        <w:rPr>
          <w:rFonts w:ascii="Verdana" w:eastAsia="Calibri" w:hAnsi="Verdana" w:cs="Arial"/>
          <w:color w:val="000000"/>
          <w:sz w:val="17"/>
          <w:szCs w:val="17"/>
          <w:lang w:val="es-ES_tradnl" w:eastAsia="es-ES_tradnl"/>
        </w:rPr>
        <w:t>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p w14:paraId="28A83301" w14:textId="77777777" w:rsidR="00A67539" w:rsidRPr="00880432" w:rsidRDefault="00A67539" w:rsidP="00A67539">
      <w:pPr>
        <w:pStyle w:val="FootnoteText"/>
        <w:snapToGrid w:val="0"/>
        <w:ind w:firstLine="709"/>
        <w:jc w:val="both"/>
        <w:rPr>
          <w:rFonts w:ascii="Verdana" w:eastAsia="Calibri" w:hAnsi="Verdana" w:cs="Arial"/>
          <w:color w:val="000000"/>
          <w:sz w:val="17"/>
          <w:szCs w:val="17"/>
          <w:lang w:val="es-ES_tradnl" w:eastAsia="es-ES_tradnl"/>
        </w:rPr>
      </w:pPr>
    </w:p>
  </w:footnote>
  <w:footnote w:id="13">
    <w:p w14:paraId="57B97B36" w14:textId="77777777" w:rsidR="00A67539" w:rsidRPr="00880432" w:rsidRDefault="00A67539" w:rsidP="00A67539">
      <w:pPr>
        <w:pStyle w:val="FootnoteText"/>
        <w:snapToGrid w:val="0"/>
        <w:ind w:firstLine="709"/>
        <w:jc w:val="both"/>
        <w:rPr>
          <w:rFonts w:ascii="Verdana" w:eastAsia="Calibri" w:hAnsi="Verdana" w:cs="Arial"/>
          <w:color w:val="000000"/>
          <w:sz w:val="17"/>
          <w:szCs w:val="17"/>
          <w:lang w:val="es-ES_tradnl" w:eastAsia="es-ES_tradnl"/>
        </w:rPr>
      </w:pPr>
      <w:r w:rsidRPr="00880432">
        <w:rPr>
          <w:rFonts w:ascii="Verdana" w:eastAsia="Calibri" w:hAnsi="Verdana"/>
          <w:color w:val="000000"/>
          <w:sz w:val="17"/>
          <w:szCs w:val="17"/>
          <w:vertAlign w:val="superscript"/>
          <w:lang w:val="es-ES_tradnl" w:eastAsia="es-ES_tradnl"/>
        </w:rPr>
        <w:footnoteRef/>
      </w:r>
      <w:r w:rsidRPr="00880432">
        <w:rPr>
          <w:rFonts w:ascii="Verdana" w:eastAsia="Calibri" w:hAnsi="Verdana" w:cs="Arial"/>
          <w:color w:val="000000"/>
          <w:sz w:val="17"/>
          <w:szCs w:val="17"/>
          <w:vertAlign w:val="superscript"/>
          <w:lang w:val="es-ES_tradnl" w:eastAsia="es-ES_tradnl"/>
        </w:rPr>
        <w:t xml:space="preserve"> </w:t>
      </w:r>
      <w:r w:rsidRPr="00880432">
        <w:rPr>
          <w:rFonts w:ascii="Verdana" w:eastAsia="Calibri" w:hAnsi="Verdana" w:cs="Arial"/>
          <w:color w:val="000000"/>
          <w:sz w:val="17"/>
          <w:szCs w:val="17"/>
          <w:lang w:val="es-ES_tradnl" w:eastAsia="es-ES_tradnl"/>
        </w:rPr>
        <w:t>Agencia Nacional de Contratación Pública – Colombia Compra Eficiente, “Manual para determinar y verificar los requisitos habilitantes en los Procesos de Contratación”.</w:t>
      </w:r>
    </w:p>
    <w:p w14:paraId="01B8BC42" w14:textId="77777777" w:rsidR="00A67539" w:rsidRPr="00880432" w:rsidRDefault="00A67539" w:rsidP="00A67539">
      <w:pPr>
        <w:pStyle w:val="FootnoteText"/>
        <w:snapToGrid w:val="0"/>
        <w:ind w:firstLine="709"/>
        <w:jc w:val="both"/>
        <w:rPr>
          <w:rFonts w:ascii="Verdana" w:hAnsi="Verdana" w:cs="Arial"/>
          <w:sz w:val="17"/>
          <w:szCs w:val="17"/>
          <w:lang w:val="es-ES"/>
        </w:rPr>
      </w:pPr>
    </w:p>
  </w:footnote>
  <w:footnote w:id="14">
    <w:p w14:paraId="271AEA33" w14:textId="77777777" w:rsidR="00A67539" w:rsidRPr="00880432" w:rsidRDefault="00A67539" w:rsidP="00A67539">
      <w:pPr>
        <w:pStyle w:val="FootnoteText"/>
        <w:snapToGrid w:val="0"/>
        <w:ind w:firstLine="709"/>
        <w:jc w:val="both"/>
        <w:rPr>
          <w:rFonts w:ascii="Verdana" w:hAnsi="Verdana"/>
          <w:sz w:val="17"/>
          <w:szCs w:val="17"/>
        </w:rPr>
      </w:pPr>
      <w:r w:rsidRPr="00880432">
        <w:rPr>
          <w:rStyle w:val="FootnoteReference"/>
          <w:rFonts w:ascii="Verdana" w:hAnsi="Verdana"/>
          <w:sz w:val="17"/>
          <w:szCs w:val="17"/>
        </w:rPr>
        <w:footnoteRef/>
      </w:r>
      <w:r w:rsidRPr="00880432">
        <w:rPr>
          <w:rFonts w:ascii="Verdana" w:hAnsi="Verdana"/>
          <w:sz w:val="17"/>
          <w:szCs w:val="17"/>
        </w:rPr>
        <w:t xml:space="preserve"> Para la elaboración de este concepto, se utilizaron como referencia los documentos tipo de licitación de obra pública de infraestructura de transporte – versión 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0070" w14:textId="77777777" w:rsidR="00AF4209" w:rsidRDefault="00AF4209">
    <w:pPr>
      <w:pStyle w:val="Header"/>
    </w:pPr>
  </w:p>
  <w:p w14:paraId="136C5567" w14:textId="77777777" w:rsidR="008245EB" w:rsidRDefault="008245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446705660"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300462686" name="Imagen 300462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17C5DE6B" w14:textId="77777777" w:rsidR="008245EB" w:rsidRDefault="008245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4F3A18F4"/>
    <w:multiLevelType w:val="hybridMultilevel"/>
    <w:tmpl w:val="1A7C4F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513936C5"/>
    <w:multiLevelType w:val="hybridMultilevel"/>
    <w:tmpl w:val="E5E63AC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BF92754"/>
    <w:multiLevelType w:val="hybridMultilevel"/>
    <w:tmpl w:val="7F38E65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D513121"/>
    <w:multiLevelType w:val="multilevel"/>
    <w:tmpl w:val="EE42F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560CF5"/>
    <w:multiLevelType w:val="hybridMultilevel"/>
    <w:tmpl w:val="206C33D4"/>
    <w:lvl w:ilvl="0" w:tplc="C6821FEA">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0713882">
    <w:abstractNumId w:val="0"/>
  </w:num>
  <w:num w:numId="2" w16cid:durableId="1982299905">
    <w:abstractNumId w:val="6"/>
  </w:num>
  <w:num w:numId="3" w16cid:durableId="782461700">
    <w:abstractNumId w:val="1"/>
  </w:num>
  <w:num w:numId="4" w16cid:durableId="396787701">
    <w:abstractNumId w:val="3"/>
  </w:num>
  <w:num w:numId="5" w16cid:durableId="1094280244">
    <w:abstractNumId w:val="2"/>
  </w:num>
  <w:num w:numId="6" w16cid:durableId="1072585874">
    <w:abstractNumId w:val="4"/>
  </w:num>
  <w:num w:numId="7" w16cid:durableId="131742183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5E6"/>
    <w:rsid w:val="00002BA0"/>
    <w:rsid w:val="00004C50"/>
    <w:rsid w:val="000139B3"/>
    <w:rsid w:val="00032690"/>
    <w:rsid w:val="00043043"/>
    <w:rsid w:val="0004364F"/>
    <w:rsid w:val="0005032D"/>
    <w:rsid w:val="00052A7F"/>
    <w:rsid w:val="00061A32"/>
    <w:rsid w:val="00061B2A"/>
    <w:rsid w:val="00061DA5"/>
    <w:rsid w:val="00064D4C"/>
    <w:rsid w:val="00065774"/>
    <w:rsid w:val="00067974"/>
    <w:rsid w:val="000716C3"/>
    <w:rsid w:val="000816DD"/>
    <w:rsid w:val="00082362"/>
    <w:rsid w:val="00083901"/>
    <w:rsid w:val="00091052"/>
    <w:rsid w:val="00097A44"/>
    <w:rsid w:val="000A683E"/>
    <w:rsid w:val="000B19B9"/>
    <w:rsid w:val="000B6628"/>
    <w:rsid w:val="000C3898"/>
    <w:rsid w:val="000D0334"/>
    <w:rsid w:val="000D7C08"/>
    <w:rsid w:val="000F6486"/>
    <w:rsid w:val="00117E40"/>
    <w:rsid w:val="00124200"/>
    <w:rsid w:val="00125105"/>
    <w:rsid w:val="001254C6"/>
    <w:rsid w:val="00127233"/>
    <w:rsid w:val="00130F67"/>
    <w:rsid w:val="001318DA"/>
    <w:rsid w:val="0014445C"/>
    <w:rsid w:val="0015095D"/>
    <w:rsid w:val="00151D47"/>
    <w:rsid w:val="001561D6"/>
    <w:rsid w:val="001572FA"/>
    <w:rsid w:val="001643A7"/>
    <w:rsid w:val="00171AE9"/>
    <w:rsid w:val="00174353"/>
    <w:rsid w:val="00181E81"/>
    <w:rsid w:val="001A13C1"/>
    <w:rsid w:val="001A6C63"/>
    <w:rsid w:val="001B7AF4"/>
    <w:rsid w:val="001C4152"/>
    <w:rsid w:val="001C5C4E"/>
    <w:rsid w:val="001D4052"/>
    <w:rsid w:val="001D756C"/>
    <w:rsid w:val="001E4177"/>
    <w:rsid w:val="001E5B16"/>
    <w:rsid w:val="001F0FB2"/>
    <w:rsid w:val="001F6D8D"/>
    <w:rsid w:val="001F7DC6"/>
    <w:rsid w:val="001F7E1D"/>
    <w:rsid w:val="00201766"/>
    <w:rsid w:val="0020467F"/>
    <w:rsid w:val="002121EB"/>
    <w:rsid w:val="002221DA"/>
    <w:rsid w:val="00232683"/>
    <w:rsid w:val="002421BB"/>
    <w:rsid w:val="00250743"/>
    <w:rsid w:val="002520F5"/>
    <w:rsid w:val="0025398C"/>
    <w:rsid w:val="0025796E"/>
    <w:rsid w:val="002707A2"/>
    <w:rsid w:val="00272513"/>
    <w:rsid w:val="002933DA"/>
    <w:rsid w:val="002951A0"/>
    <w:rsid w:val="002962BC"/>
    <w:rsid w:val="00296F85"/>
    <w:rsid w:val="002A093D"/>
    <w:rsid w:val="002A0DD0"/>
    <w:rsid w:val="002A4677"/>
    <w:rsid w:val="002A49AC"/>
    <w:rsid w:val="002A64FD"/>
    <w:rsid w:val="002C4A72"/>
    <w:rsid w:val="002C7A84"/>
    <w:rsid w:val="002E22F1"/>
    <w:rsid w:val="002E315F"/>
    <w:rsid w:val="002E4FD9"/>
    <w:rsid w:val="00306C5A"/>
    <w:rsid w:val="003071CA"/>
    <w:rsid w:val="003103F2"/>
    <w:rsid w:val="0031738A"/>
    <w:rsid w:val="00322A85"/>
    <w:rsid w:val="00324168"/>
    <w:rsid w:val="00335DDC"/>
    <w:rsid w:val="003448F4"/>
    <w:rsid w:val="003464C7"/>
    <w:rsid w:val="00355F0B"/>
    <w:rsid w:val="003620FC"/>
    <w:rsid w:val="00362EC9"/>
    <w:rsid w:val="0036753A"/>
    <w:rsid w:val="00367C99"/>
    <w:rsid w:val="00374F5E"/>
    <w:rsid w:val="00376CD8"/>
    <w:rsid w:val="00377C80"/>
    <w:rsid w:val="00377E3E"/>
    <w:rsid w:val="00382A9A"/>
    <w:rsid w:val="003838FF"/>
    <w:rsid w:val="00391EB2"/>
    <w:rsid w:val="0039733E"/>
    <w:rsid w:val="003A26D1"/>
    <w:rsid w:val="003A2ECF"/>
    <w:rsid w:val="003A779E"/>
    <w:rsid w:val="003B3410"/>
    <w:rsid w:val="003C28D0"/>
    <w:rsid w:val="003C34BB"/>
    <w:rsid w:val="003C3A88"/>
    <w:rsid w:val="003D0F4D"/>
    <w:rsid w:val="003D5B0D"/>
    <w:rsid w:val="003E0499"/>
    <w:rsid w:val="003E41C3"/>
    <w:rsid w:val="003E7285"/>
    <w:rsid w:val="003F1CB3"/>
    <w:rsid w:val="003F2418"/>
    <w:rsid w:val="003F3941"/>
    <w:rsid w:val="003F5236"/>
    <w:rsid w:val="004014C5"/>
    <w:rsid w:val="00404877"/>
    <w:rsid w:val="00406575"/>
    <w:rsid w:val="00412AC0"/>
    <w:rsid w:val="00426B4E"/>
    <w:rsid w:val="0042722E"/>
    <w:rsid w:val="0043208F"/>
    <w:rsid w:val="00437B03"/>
    <w:rsid w:val="00440694"/>
    <w:rsid w:val="00442DEF"/>
    <w:rsid w:val="00442F25"/>
    <w:rsid w:val="0044528D"/>
    <w:rsid w:val="004470E1"/>
    <w:rsid w:val="0045343A"/>
    <w:rsid w:val="00456F45"/>
    <w:rsid w:val="00461E0F"/>
    <w:rsid w:val="004634BD"/>
    <w:rsid w:val="0047280E"/>
    <w:rsid w:val="004735E5"/>
    <w:rsid w:val="00481144"/>
    <w:rsid w:val="00481285"/>
    <w:rsid w:val="00490B95"/>
    <w:rsid w:val="00491ED8"/>
    <w:rsid w:val="004A1847"/>
    <w:rsid w:val="004A305D"/>
    <w:rsid w:val="004A7B64"/>
    <w:rsid w:val="004C156F"/>
    <w:rsid w:val="004C19D2"/>
    <w:rsid w:val="004E0A42"/>
    <w:rsid w:val="004F21C4"/>
    <w:rsid w:val="004F5668"/>
    <w:rsid w:val="004F685F"/>
    <w:rsid w:val="0051501A"/>
    <w:rsid w:val="00521153"/>
    <w:rsid w:val="00540088"/>
    <w:rsid w:val="0055375E"/>
    <w:rsid w:val="005566E8"/>
    <w:rsid w:val="00566D40"/>
    <w:rsid w:val="00574867"/>
    <w:rsid w:val="00574CB1"/>
    <w:rsid w:val="005758A5"/>
    <w:rsid w:val="0058374D"/>
    <w:rsid w:val="00583765"/>
    <w:rsid w:val="00591460"/>
    <w:rsid w:val="00592628"/>
    <w:rsid w:val="005943DC"/>
    <w:rsid w:val="005C1B4D"/>
    <w:rsid w:val="005C3777"/>
    <w:rsid w:val="005C5CDC"/>
    <w:rsid w:val="005C5FD0"/>
    <w:rsid w:val="005C74BA"/>
    <w:rsid w:val="005D2DA6"/>
    <w:rsid w:val="005D476C"/>
    <w:rsid w:val="005D5319"/>
    <w:rsid w:val="005E62E2"/>
    <w:rsid w:val="005F7B58"/>
    <w:rsid w:val="00600FA2"/>
    <w:rsid w:val="00601B7E"/>
    <w:rsid w:val="00606078"/>
    <w:rsid w:val="00610812"/>
    <w:rsid w:val="006173C6"/>
    <w:rsid w:val="006219F8"/>
    <w:rsid w:val="006221A8"/>
    <w:rsid w:val="00622925"/>
    <w:rsid w:val="00641B00"/>
    <w:rsid w:val="00645CB7"/>
    <w:rsid w:val="00650FF7"/>
    <w:rsid w:val="00652CBE"/>
    <w:rsid w:val="0065720B"/>
    <w:rsid w:val="00665D70"/>
    <w:rsid w:val="00670EF2"/>
    <w:rsid w:val="00671DAC"/>
    <w:rsid w:val="006741B6"/>
    <w:rsid w:val="00677639"/>
    <w:rsid w:val="006900D9"/>
    <w:rsid w:val="00691D55"/>
    <w:rsid w:val="00694DE4"/>
    <w:rsid w:val="006A319E"/>
    <w:rsid w:val="006A5AE8"/>
    <w:rsid w:val="006A6837"/>
    <w:rsid w:val="006A7FFC"/>
    <w:rsid w:val="006B0766"/>
    <w:rsid w:val="006B0E65"/>
    <w:rsid w:val="006B72C8"/>
    <w:rsid w:val="006B763B"/>
    <w:rsid w:val="006C5F67"/>
    <w:rsid w:val="006D0268"/>
    <w:rsid w:val="006D12F8"/>
    <w:rsid w:val="006D3648"/>
    <w:rsid w:val="006E4A69"/>
    <w:rsid w:val="006E790E"/>
    <w:rsid w:val="006F3640"/>
    <w:rsid w:val="00706C16"/>
    <w:rsid w:val="00712B92"/>
    <w:rsid w:val="007147D6"/>
    <w:rsid w:val="00744E12"/>
    <w:rsid w:val="00756841"/>
    <w:rsid w:val="00757DEA"/>
    <w:rsid w:val="007649AB"/>
    <w:rsid w:val="00770D74"/>
    <w:rsid w:val="00771D0C"/>
    <w:rsid w:val="00771EEC"/>
    <w:rsid w:val="00775EFA"/>
    <w:rsid w:val="007833AC"/>
    <w:rsid w:val="00783B11"/>
    <w:rsid w:val="00793192"/>
    <w:rsid w:val="007937A8"/>
    <w:rsid w:val="00794660"/>
    <w:rsid w:val="007964E2"/>
    <w:rsid w:val="007A4461"/>
    <w:rsid w:val="007B268C"/>
    <w:rsid w:val="007B61BA"/>
    <w:rsid w:val="007B7171"/>
    <w:rsid w:val="007B7897"/>
    <w:rsid w:val="007C0C0F"/>
    <w:rsid w:val="007C2C4E"/>
    <w:rsid w:val="007C3DC2"/>
    <w:rsid w:val="007D0253"/>
    <w:rsid w:val="007D2960"/>
    <w:rsid w:val="007D5768"/>
    <w:rsid w:val="007E2389"/>
    <w:rsid w:val="007E5497"/>
    <w:rsid w:val="007F56E0"/>
    <w:rsid w:val="0080518E"/>
    <w:rsid w:val="00806F5F"/>
    <w:rsid w:val="00811ADC"/>
    <w:rsid w:val="00820278"/>
    <w:rsid w:val="008245EB"/>
    <w:rsid w:val="00842434"/>
    <w:rsid w:val="00842E01"/>
    <w:rsid w:val="00845A8D"/>
    <w:rsid w:val="00847CCC"/>
    <w:rsid w:val="00851635"/>
    <w:rsid w:val="008677DE"/>
    <w:rsid w:val="008734E3"/>
    <w:rsid w:val="008843B6"/>
    <w:rsid w:val="00887620"/>
    <w:rsid w:val="00887676"/>
    <w:rsid w:val="00891928"/>
    <w:rsid w:val="008A446D"/>
    <w:rsid w:val="008C0A2F"/>
    <w:rsid w:val="008C7577"/>
    <w:rsid w:val="008D180B"/>
    <w:rsid w:val="008E712D"/>
    <w:rsid w:val="008E7DB3"/>
    <w:rsid w:val="008F0EA7"/>
    <w:rsid w:val="008F4339"/>
    <w:rsid w:val="008F7D92"/>
    <w:rsid w:val="00901B56"/>
    <w:rsid w:val="00903114"/>
    <w:rsid w:val="00906487"/>
    <w:rsid w:val="009143F1"/>
    <w:rsid w:val="00915A82"/>
    <w:rsid w:val="00922211"/>
    <w:rsid w:val="00922EAB"/>
    <w:rsid w:val="00923EEF"/>
    <w:rsid w:val="00927F89"/>
    <w:rsid w:val="009401C8"/>
    <w:rsid w:val="009419F9"/>
    <w:rsid w:val="00943A3B"/>
    <w:rsid w:val="00955D18"/>
    <w:rsid w:val="0095685E"/>
    <w:rsid w:val="00961B09"/>
    <w:rsid w:val="00965334"/>
    <w:rsid w:val="0097093E"/>
    <w:rsid w:val="00981DDD"/>
    <w:rsid w:val="00986622"/>
    <w:rsid w:val="009964C1"/>
    <w:rsid w:val="009A0DFA"/>
    <w:rsid w:val="009A1296"/>
    <w:rsid w:val="009B2421"/>
    <w:rsid w:val="009B28FC"/>
    <w:rsid w:val="009B2D26"/>
    <w:rsid w:val="009B3357"/>
    <w:rsid w:val="009C547E"/>
    <w:rsid w:val="009C71FA"/>
    <w:rsid w:val="009C72E7"/>
    <w:rsid w:val="009D04B0"/>
    <w:rsid w:val="009D05E0"/>
    <w:rsid w:val="009D3058"/>
    <w:rsid w:val="009D3341"/>
    <w:rsid w:val="009D4E8D"/>
    <w:rsid w:val="009F3A13"/>
    <w:rsid w:val="00A05953"/>
    <w:rsid w:val="00A122D3"/>
    <w:rsid w:val="00A17F13"/>
    <w:rsid w:val="00A20739"/>
    <w:rsid w:val="00A214DF"/>
    <w:rsid w:val="00A27867"/>
    <w:rsid w:val="00A33C78"/>
    <w:rsid w:val="00A358BB"/>
    <w:rsid w:val="00A3710E"/>
    <w:rsid w:val="00A37A97"/>
    <w:rsid w:val="00A42AAE"/>
    <w:rsid w:val="00A519A0"/>
    <w:rsid w:val="00A61860"/>
    <w:rsid w:val="00A61BEB"/>
    <w:rsid w:val="00A644E0"/>
    <w:rsid w:val="00A65B78"/>
    <w:rsid w:val="00A67539"/>
    <w:rsid w:val="00A80320"/>
    <w:rsid w:val="00A80691"/>
    <w:rsid w:val="00A8229A"/>
    <w:rsid w:val="00A9310E"/>
    <w:rsid w:val="00A94103"/>
    <w:rsid w:val="00AA2B1E"/>
    <w:rsid w:val="00AA6478"/>
    <w:rsid w:val="00AA7047"/>
    <w:rsid w:val="00AB0ADB"/>
    <w:rsid w:val="00AB2AC1"/>
    <w:rsid w:val="00AB5A54"/>
    <w:rsid w:val="00AC0B6D"/>
    <w:rsid w:val="00AC1F25"/>
    <w:rsid w:val="00AD1BDE"/>
    <w:rsid w:val="00AE7B20"/>
    <w:rsid w:val="00AE7D3D"/>
    <w:rsid w:val="00AF4209"/>
    <w:rsid w:val="00AF79BC"/>
    <w:rsid w:val="00B01B1A"/>
    <w:rsid w:val="00B05B83"/>
    <w:rsid w:val="00B07859"/>
    <w:rsid w:val="00B33517"/>
    <w:rsid w:val="00B405A3"/>
    <w:rsid w:val="00B41F49"/>
    <w:rsid w:val="00B44494"/>
    <w:rsid w:val="00B539CD"/>
    <w:rsid w:val="00B62FCA"/>
    <w:rsid w:val="00B6607E"/>
    <w:rsid w:val="00B72CD3"/>
    <w:rsid w:val="00B72FFF"/>
    <w:rsid w:val="00B75709"/>
    <w:rsid w:val="00B75E24"/>
    <w:rsid w:val="00B8169C"/>
    <w:rsid w:val="00B96BEA"/>
    <w:rsid w:val="00BA0D07"/>
    <w:rsid w:val="00BB6888"/>
    <w:rsid w:val="00BC3D36"/>
    <w:rsid w:val="00BC4518"/>
    <w:rsid w:val="00BC4CD4"/>
    <w:rsid w:val="00BD77C4"/>
    <w:rsid w:val="00BD7F72"/>
    <w:rsid w:val="00BE6BAA"/>
    <w:rsid w:val="00BF3216"/>
    <w:rsid w:val="00BF3C51"/>
    <w:rsid w:val="00C04307"/>
    <w:rsid w:val="00C04FB3"/>
    <w:rsid w:val="00C21782"/>
    <w:rsid w:val="00C23D89"/>
    <w:rsid w:val="00C259CE"/>
    <w:rsid w:val="00C26925"/>
    <w:rsid w:val="00C330EB"/>
    <w:rsid w:val="00C42100"/>
    <w:rsid w:val="00C45B33"/>
    <w:rsid w:val="00C63E0F"/>
    <w:rsid w:val="00C754BE"/>
    <w:rsid w:val="00C76B1C"/>
    <w:rsid w:val="00C83C0F"/>
    <w:rsid w:val="00C8442F"/>
    <w:rsid w:val="00C903DE"/>
    <w:rsid w:val="00C90ADE"/>
    <w:rsid w:val="00C97639"/>
    <w:rsid w:val="00C97BA9"/>
    <w:rsid w:val="00CA31BC"/>
    <w:rsid w:val="00CB6357"/>
    <w:rsid w:val="00CC02E3"/>
    <w:rsid w:val="00CC1B26"/>
    <w:rsid w:val="00CD1B6E"/>
    <w:rsid w:val="00CD5214"/>
    <w:rsid w:val="00D16132"/>
    <w:rsid w:val="00D230BD"/>
    <w:rsid w:val="00D261F9"/>
    <w:rsid w:val="00D423A2"/>
    <w:rsid w:val="00D4424D"/>
    <w:rsid w:val="00D520D8"/>
    <w:rsid w:val="00D6166C"/>
    <w:rsid w:val="00D63AC2"/>
    <w:rsid w:val="00D71ACD"/>
    <w:rsid w:val="00D7383B"/>
    <w:rsid w:val="00D76D09"/>
    <w:rsid w:val="00DA022D"/>
    <w:rsid w:val="00DA231B"/>
    <w:rsid w:val="00DA23A0"/>
    <w:rsid w:val="00DA2CA2"/>
    <w:rsid w:val="00DB266D"/>
    <w:rsid w:val="00DB29E1"/>
    <w:rsid w:val="00DB7D44"/>
    <w:rsid w:val="00DC27C6"/>
    <w:rsid w:val="00DC2958"/>
    <w:rsid w:val="00DC39FC"/>
    <w:rsid w:val="00DC6DE3"/>
    <w:rsid w:val="00DE2464"/>
    <w:rsid w:val="00DE3616"/>
    <w:rsid w:val="00DE3A63"/>
    <w:rsid w:val="00DF0103"/>
    <w:rsid w:val="00DF1B0E"/>
    <w:rsid w:val="00DF5254"/>
    <w:rsid w:val="00DF691D"/>
    <w:rsid w:val="00DF7F54"/>
    <w:rsid w:val="00E005E5"/>
    <w:rsid w:val="00E13277"/>
    <w:rsid w:val="00E16408"/>
    <w:rsid w:val="00E20894"/>
    <w:rsid w:val="00E245AB"/>
    <w:rsid w:val="00E2764C"/>
    <w:rsid w:val="00E27F2E"/>
    <w:rsid w:val="00E31D49"/>
    <w:rsid w:val="00E32C58"/>
    <w:rsid w:val="00E362C7"/>
    <w:rsid w:val="00E413EA"/>
    <w:rsid w:val="00E41CC9"/>
    <w:rsid w:val="00E447AD"/>
    <w:rsid w:val="00E5035C"/>
    <w:rsid w:val="00E50AFE"/>
    <w:rsid w:val="00E52602"/>
    <w:rsid w:val="00E56422"/>
    <w:rsid w:val="00E6781E"/>
    <w:rsid w:val="00E7019A"/>
    <w:rsid w:val="00E75C92"/>
    <w:rsid w:val="00E76DDA"/>
    <w:rsid w:val="00E771DC"/>
    <w:rsid w:val="00E845F4"/>
    <w:rsid w:val="00E8671A"/>
    <w:rsid w:val="00E8772A"/>
    <w:rsid w:val="00E90F6B"/>
    <w:rsid w:val="00E92C27"/>
    <w:rsid w:val="00E95462"/>
    <w:rsid w:val="00EA0E3D"/>
    <w:rsid w:val="00EA525A"/>
    <w:rsid w:val="00EA7B0A"/>
    <w:rsid w:val="00EB08FB"/>
    <w:rsid w:val="00EB3CD8"/>
    <w:rsid w:val="00EB7D13"/>
    <w:rsid w:val="00EC38A7"/>
    <w:rsid w:val="00EC4550"/>
    <w:rsid w:val="00ED291B"/>
    <w:rsid w:val="00ED58AB"/>
    <w:rsid w:val="00EE1AA8"/>
    <w:rsid w:val="00EF055B"/>
    <w:rsid w:val="00EF40D2"/>
    <w:rsid w:val="00EF4E84"/>
    <w:rsid w:val="00EF64BA"/>
    <w:rsid w:val="00F141D2"/>
    <w:rsid w:val="00F15BBF"/>
    <w:rsid w:val="00F31EDC"/>
    <w:rsid w:val="00F40564"/>
    <w:rsid w:val="00F45BF2"/>
    <w:rsid w:val="00F462B3"/>
    <w:rsid w:val="00F51BC1"/>
    <w:rsid w:val="00F53934"/>
    <w:rsid w:val="00F5664F"/>
    <w:rsid w:val="00F6131B"/>
    <w:rsid w:val="00F666C4"/>
    <w:rsid w:val="00F714F4"/>
    <w:rsid w:val="00F7349F"/>
    <w:rsid w:val="00F73C01"/>
    <w:rsid w:val="00F76AFC"/>
    <w:rsid w:val="00F81493"/>
    <w:rsid w:val="00F86510"/>
    <w:rsid w:val="00F90569"/>
    <w:rsid w:val="00F92A72"/>
    <w:rsid w:val="00F930CF"/>
    <w:rsid w:val="00FA0CF8"/>
    <w:rsid w:val="00FA47C0"/>
    <w:rsid w:val="00FA5EFC"/>
    <w:rsid w:val="00FA738A"/>
    <w:rsid w:val="00FB5C6A"/>
    <w:rsid w:val="00FB5CB7"/>
    <w:rsid w:val="00FB5DD1"/>
    <w:rsid w:val="00FB67C7"/>
    <w:rsid w:val="00FB76D0"/>
    <w:rsid w:val="00FB7EA8"/>
    <w:rsid w:val="00FC2B5D"/>
    <w:rsid w:val="00FC569F"/>
    <w:rsid w:val="00FD6573"/>
    <w:rsid w:val="00FE2AFC"/>
    <w:rsid w:val="00FE66BE"/>
    <w:rsid w:val="00FF1449"/>
    <w:rsid w:val="00FF22BC"/>
    <w:rsid w:val="00FF2373"/>
    <w:rsid w:val="00FF5F98"/>
    <w:rsid w:val="00FF760C"/>
    <w:rsid w:val="4EE57ACF"/>
    <w:rsid w:val="5CEADB7B"/>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F8D57CC5-EE20-43D5-98AC-026163D63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7D5768"/>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7D5768"/>
    <w:rPr>
      <w:rFonts w:ascii="Geomanist Light" w:hAnsi="Geomanist Light"/>
      <w:lang w:val="es-ES"/>
    </w:rPr>
  </w:style>
  <w:style w:type="table" w:customStyle="1" w:styleId="Tablaconcuadrcula1">
    <w:name w:val="Tabla con cuadrícula1"/>
    <w:basedOn w:val="TableNormal"/>
    <w:next w:val="TableGrid"/>
    <w:uiPriority w:val="39"/>
    <w:qFormat/>
    <w:rsid w:val="007D5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E7B20"/>
    <w:rPr>
      <w:sz w:val="16"/>
      <w:szCs w:val="16"/>
    </w:rPr>
  </w:style>
  <w:style w:type="paragraph" w:styleId="CommentText">
    <w:name w:val="annotation text"/>
    <w:basedOn w:val="Normal"/>
    <w:link w:val="CommentTextChar"/>
    <w:uiPriority w:val="99"/>
    <w:unhideWhenUsed/>
    <w:rsid w:val="00AE7B20"/>
    <w:pPr>
      <w:spacing w:line="240" w:lineRule="auto"/>
    </w:pPr>
    <w:rPr>
      <w:sz w:val="20"/>
      <w:szCs w:val="20"/>
    </w:rPr>
  </w:style>
  <w:style w:type="character" w:customStyle="1" w:styleId="CommentTextChar">
    <w:name w:val="Comment Text Char"/>
    <w:basedOn w:val="DefaultParagraphFont"/>
    <w:link w:val="CommentText"/>
    <w:uiPriority w:val="99"/>
    <w:rsid w:val="00AE7B20"/>
    <w:rPr>
      <w:sz w:val="20"/>
      <w:szCs w:val="20"/>
    </w:rPr>
  </w:style>
  <w:style w:type="paragraph" w:styleId="CommentSubject">
    <w:name w:val="annotation subject"/>
    <w:basedOn w:val="CommentText"/>
    <w:next w:val="CommentText"/>
    <w:link w:val="CommentSubjectChar"/>
    <w:uiPriority w:val="99"/>
    <w:semiHidden/>
    <w:unhideWhenUsed/>
    <w:rsid w:val="00AE7B20"/>
    <w:rPr>
      <w:b/>
      <w:bCs/>
    </w:rPr>
  </w:style>
  <w:style w:type="character" w:customStyle="1" w:styleId="CommentSubjectChar">
    <w:name w:val="Comment Subject Char"/>
    <w:basedOn w:val="CommentTextChar"/>
    <w:link w:val="CommentSubject"/>
    <w:uiPriority w:val="99"/>
    <w:semiHidden/>
    <w:rsid w:val="00AE7B20"/>
    <w:rPr>
      <w:b/>
      <w:bCs/>
      <w:sz w:val="20"/>
      <w:szCs w:val="20"/>
    </w:rPr>
  </w:style>
  <w:style w:type="character" w:customStyle="1" w:styleId="Hipervnculo1">
    <w:name w:val="Hipervínculo1"/>
    <w:basedOn w:val="DefaultParagraphFont"/>
    <w:uiPriority w:val="99"/>
    <w:unhideWhenUsed/>
    <w:rsid w:val="00B75709"/>
    <w:rPr>
      <w:color w:val="F2F2F2"/>
      <w:u w:val="single"/>
    </w:rPr>
  </w:style>
  <w:style w:type="character" w:styleId="Strong">
    <w:name w:val="Strong"/>
    <w:basedOn w:val="DefaultParagraphFont"/>
    <w:uiPriority w:val="22"/>
    <w:qFormat/>
    <w:rsid w:val="00AC0B6D"/>
    <w:rPr>
      <w:b/>
      <w:bCs/>
    </w:rPr>
  </w:style>
  <w:style w:type="character" w:styleId="Emphasis">
    <w:name w:val="Emphasis"/>
    <w:basedOn w:val="DefaultParagraphFont"/>
    <w:uiPriority w:val="20"/>
    <w:qFormat/>
    <w:rsid w:val="00AC0B6D"/>
    <w:rPr>
      <w:i/>
      <w:iCs/>
    </w:rPr>
  </w:style>
  <w:style w:type="paragraph" w:styleId="BodyText">
    <w:name w:val="Body Text"/>
    <w:basedOn w:val="Normal"/>
    <w:link w:val="BodyTextChar"/>
    <w:uiPriority w:val="1"/>
    <w:qFormat/>
    <w:rsid w:val="00AC0B6D"/>
    <w:pPr>
      <w:widowControl w:val="0"/>
      <w:autoSpaceDE w:val="0"/>
      <w:autoSpaceDN w:val="0"/>
      <w:spacing w:after="0" w:line="240" w:lineRule="auto"/>
    </w:pPr>
    <w:rPr>
      <w:rFonts w:ascii="Arial" w:eastAsia="Arial" w:hAnsi="Arial" w:cs="Arial"/>
      <w:lang w:val="es-ES"/>
    </w:rPr>
  </w:style>
  <w:style w:type="character" w:customStyle="1" w:styleId="BodyTextChar">
    <w:name w:val="Body Text Char"/>
    <w:basedOn w:val="DefaultParagraphFont"/>
    <w:link w:val="BodyText"/>
    <w:uiPriority w:val="1"/>
    <w:rsid w:val="00AC0B6D"/>
    <w:rPr>
      <w:rFonts w:ascii="Arial" w:eastAsia="Arial" w:hAnsi="Arial" w:cs="Arial"/>
      <w:lang w:val="es-ES"/>
    </w:rPr>
  </w:style>
  <w:style w:type="character" w:customStyle="1" w:styleId="NormalWebChar">
    <w:name w:val="Normal (Web) Char"/>
    <w:link w:val="NormalWeb"/>
    <w:uiPriority w:val="99"/>
    <w:locked/>
    <w:rsid w:val="00AC0B6D"/>
    <w:rPr>
      <w:rFonts w:ascii="Times New Roman" w:eastAsia="Times New Roman" w:hAnsi="Times New Roman" w:cs="Times New Roman"/>
      <w:sz w:val="24"/>
      <w:szCs w:val="24"/>
      <w:lang w:eastAsia="es-CO"/>
    </w:rPr>
  </w:style>
  <w:style w:type="character" w:customStyle="1" w:styleId="apple-converted-space">
    <w:name w:val="apple-converted-space"/>
    <w:basedOn w:val="DefaultParagraphFont"/>
    <w:rsid w:val="00AC0B6D"/>
  </w:style>
  <w:style w:type="character" w:customStyle="1" w:styleId="NoSpacingChar">
    <w:name w:val="No Spacing Char"/>
    <w:aliases w:val="No Indent Char"/>
    <w:link w:val="NoSpacing"/>
    <w:uiPriority w:val="3"/>
    <w:locked/>
    <w:rsid w:val="00442DEF"/>
  </w:style>
  <w:style w:type="paragraph" w:styleId="NoSpacing">
    <w:name w:val="No Spacing"/>
    <w:aliases w:val="No Indent"/>
    <w:link w:val="NoSpacingChar"/>
    <w:uiPriority w:val="3"/>
    <w:qFormat/>
    <w:rsid w:val="00442DEF"/>
    <w:pPr>
      <w:spacing w:after="0" w:line="240" w:lineRule="auto"/>
    </w:pPr>
  </w:style>
  <w:style w:type="character" w:customStyle="1" w:styleId="superscript">
    <w:name w:val="superscript"/>
    <w:basedOn w:val="DefaultParagraphFont"/>
    <w:rsid w:val="00DB7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2213">
      <w:bodyDiv w:val="1"/>
      <w:marLeft w:val="0"/>
      <w:marRight w:val="0"/>
      <w:marTop w:val="0"/>
      <w:marBottom w:val="0"/>
      <w:divBdr>
        <w:top w:val="none" w:sz="0" w:space="0" w:color="auto"/>
        <w:left w:val="none" w:sz="0" w:space="0" w:color="auto"/>
        <w:bottom w:val="none" w:sz="0" w:space="0" w:color="auto"/>
        <w:right w:val="none" w:sz="0" w:space="0" w:color="auto"/>
      </w:divBdr>
    </w:div>
    <w:div w:id="121309445">
      <w:bodyDiv w:val="1"/>
      <w:marLeft w:val="0"/>
      <w:marRight w:val="0"/>
      <w:marTop w:val="0"/>
      <w:marBottom w:val="0"/>
      <w:divBdr>
        <w:top w:val="none" w:sz="0" w:space="0" w:color="auto"/>
        <w:left w:val="none" w:sz="0" w:space="0" w:color="auto"/>
        <w:bottom w:val="none" w:sz="0" w:space="0" w:color="auto"/>
        <w:right w:val="none" w:sz="0" w:space="0" w:color="auto"/>
      </w:divBdr>
    </w:div>
    <w:div w:id="131531883">
      <w:bodyDiv w:val="1"/>
      <w:marLeft w:val="0"/>
      <w:marRight w:val="0"/>
      <w:marTop w:val="0"/>
      <w:marBottom w:val="0"/>
      <w:divBdr>
        <w:top w:val="none" w:sz="0" w:space="0" w:color="auto"/>
        <w:left w:val="none" w:sz="0" w:space="0" w:color="auto"/>
        <w:bottom w:val="none" w:sz="0" w:space="0" w:color="auto"/>
        <w:right w:val="none" w:sz="0" w:space="0" w:color="auto"/>
      </w:divBdr>
    </w:div>
    <w:div w:id="154491234">
      <w:bodyDiv w:val="1"/>
      <w:marLeft w:val="0"/>
      <w:marRight w:val="0"/>
      <w:marTop w:val="0"/>
      <w:marBottom w:val="0"/>
      <w:divBdr>
        <w:top w:val="none" w:sz="0" w:space="0" w:color="auto"/>
        <w:left w:val="none" w:sz="0" w:space="0" w:color="auto"/>
        <w:bottom w:val="none" w:sz="0" w:space="0" w:color="auto"/>
        <w:right w:val="none" w:sz="0" w:space="0" w:color="auto"/>
      </w:divBdr>
      <w:divsChild>
        <w:div w:id="1125731117">
          <w:marLeft w:val="0"/>
          <w:marRight w:val="0"/>
          <w:marTop w:val="0"/>
          <w:marBottom w:val="0"/>
          <w:divBdr>
            <w:top w:val="none" w:sz="0" w:space="0" w:color="auto"/>
            <w:left w:val="none" w:sz="0" w:space="0" w:color="auto"/>
            <w:bottom w:val="none" w:sz="0" w:space="0" w:color="auto"/>
            <w:right w:val="none" w:sz="0" w:space="0" w:color="auto"/>
          </w:divBdr>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23030413">
      <w:bodyDiv w:val="1"/>
      <w:marLeft w:val="0"/>
      <w:marRight w:val="0"/>
      <w:marTop w:val="0"/>
      <w:marBottom w:val="0"/>
      <w:divBdr>
        <w:top w:val="none" w:sz="0" w:space="0" w:color="auto"/>
        <w:left w:val="none" w:sz="0" w:space="0" w:color="auto"/>
        <w:bottom w:val="none" w:sz="0" w:space="0" w:color="auto"/>
        <w:right w:val="none" w:sz="0" w:space="0" w:color="auto"/>
      </w:divBdr>
    </w:div>
    <w:div w:id="304506232">
      <w:bodyDiv w:val="1"/>
      <w:marLeft w:val="0"/>
      <w:marRight w:val="0"/>
      <w:marTop w:val="0"/>
      <w:marBottom w:val="0"/>
      <w:divBdr>
        <w:top w:val="none" w:sz="0" w:space="0" w:color="auto"/>
        <w:left w:val="none" w:sz="0" w:space="0" w:color="auto"/>
        <w:bottom w:val="none" w:sz="0" w:space="0" w:color="auto"/>
        <w:right w:val="none" w:sz="0" w:space="0" w:color="auto"/>
      </w:divBdr>
    </w:div>
    <w:div w:id="383331852">
      <w:bodyDiv w:val="1"/>
      <w:marLeft w:val="0"/>
      <w:marRight w:val="0"/>
      <w:marTop w:val="0"/>
      <w:marBottom w:val="0"/>
      <w:divBdr>
        <w:top w:val="none" w:sz="0" w:space="0" w:color="auto"/>
        <w:left w:val="none" w:sz="0" w:space="0" w:color="auto"/>
        <w:bottom w:val="none" w:sz="0" w:space="0" w:color="auto"/>
        <w:right w:val="none" w:sz="0" w:space="0" w:color="auto"/>
      </w:divBdr>
    </w:div>
    <w:div w:id="48111733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2931417">
      <w:bodyDiv w:val="1"/>
      <w:marLeft w:val="0"/>
      <w:marRight w:val="0"/>
      <w:marTop w:val="0"/>
      <w:marBottom w:val="0"/>
      <w:divBdr>
        <w:top w:val="none" w:sz="0" w:space="0" w:color="auto"/>
        <w:left w:val="none" w:sz="0" w:space="0" w:color="auto"/>
        <w:bottom w:val="none" w:sz="0" w:space="0" w:color="auto"/>
        <w:right w:val="none" w:sz="0" w:space="0" w:color="auto"/>
      </w:divBdr>
    </w:div>
    <w:div w:id="690178980">
      <w:bodyDiv w:val="1"/>
      <w:marLeft w:val="0"/>
      <w:marRight w:val="0"/>
      <w:marTop w:val="0"/>
      <w:marBottom w:val="0"/>
      <w:divBdr>
        <w:top w:val="none" w:sz="0" w:space="0" w:color="auto"/>
        <w:left w:val="none" w:sz="0" w:space="0" w:color="auto"/>
        <w:bottom w:val="none" w:sz="0" w:space="0" w:color="auto"/>
        <w:right w:val="none" w:sz="0" w:space="0" w:color="auto"/>
      </w:divBdr>
      <w:divsChild>
        <w:div w:id="1086422723">
          <w:marLeft w:val="0"/>
          <w:marRight w:val="0"/>
          <w:marTop w:val="0"/>
          <w:marBottom w:val="0"/>
          <w:divBdr>
            <w:top w:val="none" w:sz="0" w:space="0" w:color="auto"/>
            <w:left w:val="none" w:sz="0" w:space="0" w:color="auto"/>
            <w:bottom w:val="none" w:sz="0" w:space="0" w:color="auto"/>
            <w:right w:val="none" w:sz="0" w:space="0" w:color="auto"/>
          </w:divBdr>
        </w:div>
      </w:divsChild>
    </w:div>
    <w:div w:id="697854014">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56560363">
      <w:bodyDiv w:val="1"/>
      <w:marLeft w:val="0"/>
      <w:marRight w:val="0"/>
      <w:marTop w:val="0"/>
      <w:marBottom w:val="0"/>
      <w:divBdr>
        <w:top w:val="none" w:sz="0" w:space="0" w:color="auto"/>
        <w:left w:val="none" w:sz="0" w:space="0" w:color="auto"/>
        <w:bottom w:val="none" w:sz="0" w:space="0" w:color="auto"/>
        <w:right w:val="none" w:sz="0" w:space="0" w:color="auto"/>
      </w:divBdr>
    </w:div>
    <w:div w:id="803042143">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75194579">
      <w:bodyDiv w:val="1"/>
      <w:marLeft w:val="0"/>
      <w:marRight w:val="0"/>
      <w:marTop w:val="0"/>
      <w:marBottom w:val="0"/>
      <w:divBdr>
        <w:top w:val="none" w:sz="0" w:space="0" w:color="auto"/>
        <w:left w:val="none" w:sz="0" w:space="0" w:color="auto"/>
        <w:bottom w:val="none" w:sz="0" w:space="0" w:color="auto"/>
        <w:right w:val="none" w:sz="0" w:space="0" w:color="auto"/>
      </w:divBdr>
    </w:div>
    <w:div w:id="903876566">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1797011">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75544553">
      <w:bodyDiv w:val="1"/>
      <w:marLeft w:val="0"/>
      <w:marRight w:val="0"/>
      <w:marTop w:val="0"/>
      <w:marBottom w:val="0"/>
      <w:divBdr>
        <w:top w:val="none" w:sz="0" w:space="0" w:color="auto"/>
        <w:left w:val="none" w:sz="0" w:space="0" w:color="auto"/>
        <w:bottom w:val="none" w:sz="0" w:space="0" w:color="auto"/>
        <w:right w:val="none" w:sz="0" w:space="0" w:color="auto"/>
      </w:divBdr>
    </w:div>
    <w:div w:id="1440954064">
      <w:bodyDiv w:val="1"/>
      <w:marLeft w:val="0"/>
      <w:marRight w:val="0"/>
      <w:marTop w:val="0"/>
      <w:marBottom w:val="0"/>
      <w:divBdr>
        <w:top w:val="none" w:sz="0" w:space="0" w:color="auto"/>
        <w:left w:val="none" w:sz="0" w:space="0" w:color="auto"/>
        <w:bottom w:val="none" w:sz="0" w:space="0" w:color="auto"/>
        <w:right w:val="none" w:sz="0" w:space="0" w:color="auto"/>
      </w:divBdr>
    </w:div>
    <w:div w:id="1564172889">
      <w:bodyDiv w:val="1"/>
      <w:marLeft w:val="0"/>
      <w:marRight w:val="0"/>
      <w:marTop w:val="0"/>
      <w:marBottom w:val="0"/>
      <w:divBdr>
        <w:top w:val="none" w:sz="0" w:space="0" w:color="auto"/>
        <w:left w:val="none" w:sz="0" w:space="0" w:color="auto"/>
        <w:bottom w:val="none" w:sz="0" w:space="0" w:color="auto"/>
        <w:right w:val="none" w:sz="0" w:space="0" w:color="auto"/>
      </w:divBdr>
    </w:div>
    <w:div w:id="1595942692">
      <w:bodyDiv w:val="1"/>
      <w:marLeft w:val="0"/>
      <w:marRight w:val="0"/>
      <w:marTop w:val="0"/>
      <w:marBottom w:val="0"/>
      <w:divBdr>
        <w:top w:val="none" w:sz="0" w:space="0" w:color="auto"/>
        <w:left w:val="none" w:sz="0" w:space="0" w:color="auto"/>
        <w:bottom w:val="none" w:sz="0" w:space="0" w:color="auto"/>
        <w:right w:val="none" w:sz="0" w:space="0" w:color="auto"/>
      </w:divBdr>
    </w:div>
    <w:div w:id="1627274354">
      <w:bodyDiv w:val="1"/>
      <w:marLeft w:val="0"/>
      <w:marRight w:val="0"/>
      <w:marTop w:val="0"/>
      <w:marBottom w:val="0"/>
      <w:divBdr>
        <w:top w:val="none" w:sz="0" w:space="0" w:color="auto"/>
        <w:left w:val="none" w:sz="0" w:space="0" w:color="auto"/>
        <w:bottom w:val="none" w:sz="0" w:space="0" w:color="auto"/>
        <w:right w:val="none" w:sz="0" w:space="0" w:color="auto"/>
      </w:divBdr>
    </w:div>
    <w:div w:id="1632784556">
      <w:bodyDiv w:val="1"/>
      <w:marLeft w:val="0"/>
      <w:marRight w:val="0"/>
      <w:marTop w:val="0"/>
      <w:marBottom w:val="0"/>
      <w:divBdr>
        <w:top w:val="none" w:sz="0" w:space="0" w:color="auto"/>
        <w:left w:val="none" w:sz="0" w:space="0" w:color="auto"/>
        <w:bottom w:val="none" w:sz="0" w:space="0" w:color="auto"/>
        <w:right w:val="none" w:sz="0" w:space="0" w:color="auto"/>
      </w:divBdr>
    </w:div>
    <w:div w:id="1636829663">
      <w:bodyDiv w:val="1"/>
      <w:marLeft w:val="0"/>
      <w:marRight w:val="0"/>
      <w:marTop w:val="0"/>
      <w:marBottom w:val="0"/>
      <w:divBdr>
        <w:top w:val="none" w:sz="0" w:space="0" w:color="auto"/>
        <w:left w:val="none" w:sz="0" w:space="0" w:color="auto"/>
        <w:bottom w:val="none" w:sz="0" w:space="0" w:color="auto"/>
        <w:right w:val="none" w:sz="0" w:space="0" w:color="auto"/>
      </w:divBdr>
    </w:div>
    <w:div w:id="1677153464">
      <w:bodyDiv w:val="1"/>
      <w:marLeft w:val="0"/>
      <w:marRight w:val="0"/>
      <w:marTop w:val="0"/>
      <w:marBottom w:val="0"/>
      <w:divBdr>
        <w:top w:val="none" w:sz="0" w:space="0" w:color="auto"/>
        <w:left w:val="none" w:sz="0" w:space="0" w:color="auto"/>
        <w:bottom w:val="none" w:sz="0" w:space="0" w:color="auto"/>
        <w:right w:val="none" w:sz="0" w:space="0" w:color="auto"/>
      </w:divBdr>
    </w:div>
    <w:div w:id="1714959694">
      <w:bodyDiv w:val="1"/>
      <w:marLeft w:val="0"/>
      <w:marRight w:val="0"/>
      <w:marTop w:val="0"/>
      <w:marBottom w:val="0"/>
      <w:divBdr>
        <w:top w:val="none" w:sz="0" w:space="0" w:color="auto"/>
        <w:left w:val="none" w:sz="0" w:space="0" w:color="auto"/>
        <w:bottom w:val="none" w:sz="0" w:space="0" w:color="auto"/>
        <w:right w:val="none" w:sz="0" w:space="0" w:color="auto"/>
      </w:divBdr>
    </w:div>
    <w:div w:id="1842310157">
      <w:bodyDiv w:val="1"/>
      <w:marLeft w:val="0"/>
      <w:marRight w:val="0"/>
      <w:marTop w:val="0"/>
      <w:marBottom w:val="0"/>
      <w:divBdr>
        <w:top w:val="none" w:sz="0" w:space="0" w:color="auto"/>
        <w:left w:val="none" w:sz="0" w:space="0" w:color="auto"/>
        <w:bottom w:val="none" w:sz="0" w:space="0" w:color="auto"/>
        <w:right w:val="none" w:sz="0" w:space="0" w:color="auto"/>
      </w:divBdr>
    </w:div>
    <w:div w:id="1927877942">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44986166">
      <w:bodyDiv w:val="1"/>
      <w:marLeft w:val="0"/>
      <w:marRight w:val="0"/>
      <w:marTop w:val="0"/>
      <w:marBottom w:val="0"/>
      <w:divBdr>
        <w:top w:val="none" w:sz="0" w:space="0" w:color="auto"/>
        <w:left w:val="none" w:sz="0" w:space="0" w:color="auto"/>
        <w:bottom w:val="none" w:sz="0" w:space="0" w:color="auto"/>
        <w:right w:val="none" w:sz="0" w:space="0" w:color="auto"/>
      </w:divBdr>
    </w:div>
    <w:div w:id="2048796178">
      <w:bodyDiv w:val="1"/>
      <w:marLeft w:val="0"/>
      <w:marRight w:val="0"/>
      <w:marTop w:val="0"/>
      <w:marBottom w:val="0"/>
      <w:divBdr>
        <w:top w:val="none" w:sz="0" w:space="0" w:color="auto"/>
        <w:left w:val="none" w:sz="0" w:space="0" w:color="auto"/>
        <w:bottom w:val="none" w:sz="0" w:space="0" w:color="auto"/>
        <w:right w:val="none" w:sz="0" w:space="0" w:color="auto"/>
      </w:divBdr>
      <w:divsChild>
        <w:div w:id="1058746364">
          <w:marLeft w:val="0"/>
          <w:marRight w:val="0"/>
          <w:marTop w:val="0"/>
          <w:marBottom w:val="0"/>
          <w:divBdr>
            <w:top w:val="none" w:sz="0" w:space="0" w:color="auto"/>
            <w:left w:val="none" w:sz="0" w:space="0" w:color="auto"/>
            <w:bottom w:val="none" w:sz="0" w:space="0" w:color="auto"/>
            <w:right w:val="none" w:sz="0" w:space="0" w:color="auto"/>
          </w:divBdr>
        </w:div>
      </w:divsChild>
    </w:div>
    <w:div w:id="2076732851">
      <w:bodyDiv w:val="1"/>
      <w:marLeft w:val="0"/>
      <w:marRight w:val="0"/>
      <w:marTop w:val="0"/>
      <w:marBottom w:val="0"/>
      <w:divBdr>
        <w:top w:val="none" w:sz="0" w:space="0" w:color="auto"/>
        <w:left w:val="none" w:sz="0" w:space="0" w:color="auto"/>
        <w:bottom w:val="none" w:sz="0" w:space="0" w:color="auto"/>
        <w:right w:val="none" w:sz="0" w:space="0" w:color="auto"/>
      </w:divBdr>
    </w:div>
    <w:div w:id="2084910682">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ombiacompra.gov.co/sites/cce_public/files/cce_circulares/circular_externa_unica_version_3_vf49.pdf" TargetMode="External"/><Relationship Id="rId18" Type="http://schemas.openxmlformats.org/officeDocument/2006/relationships/hyperlink" Target="https://relatoria.colombiacompra.gov.co/busqueda/concepto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7" Type="http://schemas.openxmlformats.org/officeDocument/2006/relationships/settings" Target="settings.xml"/><Relationship Id="rId12" Type="http://schemas.openxmlformats.org/officeDocument/2006/relationships/hyperlink" Target="https://operaciones.colombiacompra.gov.co/sites/cce_public/files/cce_documents/cce-eicp-ma-04._manual_requisitos_habilitantes_v3_29-09-2023.pdf" TargetMode="External"/><Relationship Id="rId17" Type="http://schemas.openxmlformats.org/officeDocument/2006/relationships/hyperlink" Target="https://www.colombiacompra.gov.co/sites/cce_public/files/files_2020/mae_2.0_vf.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olombiacompra.gov.co/sites/cce_public/files/cce_documentos/cce-eicp-gi-18._gees_v.2_2.pdf" TargetMode="External"/><Relationship Id="rId20"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colombiacompra.gov.co/sites/cce_public/files/cce_documents/cce-eicp-ma-04._manual_requisitos_habilitantes_v3_29-09-2023.pd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documentos-tipo/documentos-tipo" TargetMode="External"/><Relationship Id="rId22" Type="http://schemas.openxmlformats.org/officeDocument/2006/relationships/image" Target="media/image2.jpe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operaciones.colombiacompra.gov.co/sites/cce_public/files/cce_documents/cce-eicp-ma-04._manual_requisitos_habilitantes_v3_29-09-2023.pdf" TargetMode="External"/><Relationship Id="rId7" Type="http://schemas.openxmlformats.org/officeDocument/2006/relationships/hyperlink" Target="https://www.colombiacompra.gov.co/sites/cce_public/files/cce_documentos/cce-eicp-gi-18._gees_v.2_2.pdf" TargetMode="External"/><Relationship Id="rId2" Type="http://schemas.openxmlformats.org/officeDocument/2006/relationships/hyperlink" Target="https://operaciones.colombiacompra.gov.co/sites/cce_public/files/cce_documents/cce-eicp-ma-04._manual_requisitos_habilitantes_v3_29-09-2023.pdf" TargetMode="External"/><Relationship Id="rId1" Type="http://schemas.openxmlformats.org/officeDocument/2006/relationships/hyperlink" Target="https://www.colombiacompra.gov.co/wp-content/uploads/2024/08/cce-eicp-gi-18._gees_v.2_2.pdf" TargetMode="External"/><Relationship Id="rId6" Type="http://schemas.openxmlformats.org/officeDocument/2006/relationships/hyperlink" Target="https://www.colombiacompra.gov.co/wp-content/uploads/2024/08/cce-eicp-gi-18._gees_v.2_2.pdf" TargetMode="External"/><Relationship Id="rId5" Type="http://schemas.openxmlformats.org/officeDocument/2006/relationships/hyperlink" Target="https://www.colombiacompra.gov.co/wp-content/uploads/2024/08/cce-eicp-gi-18._gees_v.2_2.pdf" TargetMode="External"/><Relationship Id="rId4" Type="http://schemas.openxmlformats.org/officeDocument/2006/relationships/hyperlink" Target="https://operaciones.colombiacompra.gov.co/sites/cce_public/files/cce_documents/cce-eicp-ma-04._manual_requisitos_habilitantes_v3_29-09-2023.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0E7B297C-3F88-4CEA-92E9-B76352969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9C6A1A9-FD54-4849-8C27-802DE6DAC732}">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7371</Words>
  <Characters>42017</Characters>
  <Application>Microsoft Office Word</Application>
  <DocSecurity>4</DocSecurity>
  <Lines>350</Lines>
  <Paragraphs>98</Paragraphs>
  <ScaleCrop>false</ScaleCrop>
  <Company/>
  <LinksUpToDate>false</LinksUpToDate>
  <CharactersWithSpaces>49290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3</cp:revision>
  <cp:lastPrinted>2023-01-10T21:18:00Z</cp:lastPrinted>
  <dcterms:created xsi:type="dcterms:W3CDTF">2025-04-16T15:18:00Z</dcterms:created>
  <dcterms:modified xsi:type="dcterms:W3CDTF">2025-04-21T03:40:00Z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