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CFCB8" w14:textId="2F278544" w:rsidR="00EB4645" w:rsidRPr="00EB4645" w:rsidRDefault="00EB4645" w:rsidP="00031550">
      <w:pPr>
        <w:spacing w:after="0" w:line="240" w:lineRule="auto"/>
        <w:jc w:val="both"/>
        <w:rPr>
          <w:rFonts w:ascii="Verdana" w:hAnsi="Verdana"/>
          <w:b/>
        </w:rPr>
      </w:pPr>
      <w:bookmarkStart w:id="0" w:name="_Hlk143780582"/>
      <w:r w:rsidRPr="00EB4645">
        <w:rPr>
          <w:rFonts w:ascii="Verdana" w:eastAsia="Arial" w:hAnsi="Verdana" w:cs="Arial"/>
          <w:b/>
          <w:lang w:val="es-ES"/>
        </w:rPr>
        <w:t>PRINCIPIO DE PUBLICIDAD – Concepto – Fundamento axiológico – Fundamento constitucional</w:t>
      </w:r>
    </w:p>
    <w:p w14:paraId="44DF1DB8" w14:textId="4812684F" w:rsidR="00EB4645" w:rsidRPr="00EB4645" w:rsidRDefault="00EB4645" w:rsidP="00031550">
      <w:pPr>
        <w:spacing w:after="0" w:line="240" w:lineRule="auto"/>
        <w:jc w:val="both"/>
        <w:rPr>
          <w:rFonts w:ascii="Verdana" w:hAnsi="Verdana"/>
          <w:sz w:val="20"/>
          <w:szCs w:val="20"/>
        </w:rPr>
      </w:pPr>
    </w:p>
    <w:p w14:paraId="731F3DD3" w14:textId="7C2B2ECB" w:rsidR="00EB4645" w:rsidRDefault="00EB4645" w:rsidP="00031550">
      <w:pPr>
        <w:spacing w:after="0" w:line="240" w:lineRule="auto"/>
        <w:jc w:val="both"/>
        <w:rPr>
          <w:rFonts w:ascii="Verdana" w:eastAsia="Times New Roman" w:hAnsi="Verdana" w:cs="Arial"/>
          <w:sz w:val="20"/>
          <w:szCs w:val="20"/>
          <w:lang w:val="es-ES" w:eastAsia="es-ES"/>
          <w14:ligatures w14:val="standardContextual"/>
        </w:rPr>
      </w:pPr>
      <w:r w:rsidRPr="00EB4645">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EB4645">
        <w:rPr>
          <w:rFonts w:ascii="Verdana" w:eastAsia="Times New Roman" w:hAnsi="Verdana" w:cs="Arial"/>
          <w:i/>
          <w:iCs/>
          <w:sz w:val="20"/>
          <w:szCs w:val="20"/>
          <w:lang w:val="es-ES" w:eastAsia="es-ES"/>
          <w14:ligatures w14:val="standardContextual"/>
        </w:rPr>
        <w:t>publicidad</w:t>
      </w:r>
      <w:r w:rsidRPr="00EB4645">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616844B0" w14:textId="77777777" w:rsidR="00EB4645" w:rsidRPr="00EB4645" w:rsidRDefault="00EB4645" w:rsidP="00031550">
      <w:pPr>
        <w:spacing w:after="0" w:line="240" w:lineRule="auto"/>
        <w:jc w:val="both"/>
        <w:rPr>
          <w:rFonts w:ascii="Verdana" w:eastAsia="Times New Roman" w:hAnsi="Verdana" w:cs="Arial"/>
          <w:sz w:val="20"/>
          <w:szCs w:val="20"/>
          <w:lang w:val="es-ES" w:eastAsia="es-ES"/>
          <w14:ligatures w14:val="standardContextual"/>
        </w:rPr>
      </w:pPr>
    </w:p>
    <w:p w14:paraId="053879BE" w14:textId="493B0AB2" w:rsidR="00EB4645" w:rsidRDefault="00EB4645" w:rsidP="00031550">
      <w:pPr>
        <w:spacing w:after="0" w:line="240" w:lineRule="auto"/>
        <w:jc w:val="both"/>
        <w:rPr>
          <w:rFonts w:ascii="Verdana" w:eastAsia="Times New Roman" w:hAnsi="Verdana" w:cs="Arial"/>
          <w:sz w:val="20"/>
          <w:szCs w:val="20"/>
          <w:lang w:val="es-ES" w:eastAsia="es-ES"/>
          <w14:ligatures w14:val="standardContextual"/>
        </w:rPr>
      </w:pPr>
      <w:r w:rsidRPr="00EB4645">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791626C7" w14:textId="77777777" w:rsidR="00EB4645" w:rsidRPr="00EB4645" w:rsidRDefault="00EB4645" w:rsidP="00031550">
      <w:pPr>
        <w:spacing w:after="0" w:line="240" w:lineRule="auto"/>
        <w:jc w:val="both"/>
        <w:rPr>
          <w:rFonts w:ascii="Verdana" w:hAnsi="Verdana"/>
          <w:sz w:val="20"/>
          <w:szCs w:val="20"/>
        </w:rPr>
      </w:pPr>
    </w:p>
    <w:p w14:paraId="27A730D5" w14:textId="29CF2408" w:rsidR="00EB4645" w:rsidRDefault="00EB4645" w:rsidP="00031550">
      <w:pPr>
        <w:spacing w:after="0" w:line="240" w:lineRule="auto"/>
        <w:jc w:val="both"/>
        <w:rPr>
          <w:rFonts w:ascii="Verdana" w:hAnsi="Verdana"/>
          <w:b/>
          <w:bCs/>
          <w:lang w:val="es-ES_tradnl"/>
        </w:rPr>
      </w:pPr>
      <w:r w:rsidRPr="00EB4645">
        <w:rPr>
          <w:rFonts w:ascii="Verdana" w:hAnsi="Verdana"/>
          <w:b/>
          <w:bCs/>
          <w:lang w:val="es-ES_tradnl"/>
        </w:rPr>
        <w:t>PRINCIPIO DE PUBLICIDAD – SECOP – Documentos del proceso – Deber de publicación</w:t>
      </w:r>
    </w:p>
    <w:p w14:paraId="0AA60CAB" w14:textId="39309224" w:rsidR="00EB4645" w:rsidRDefault="00EB4645" w:rsidP="00031550">
      <w:pPr>
        <w:spacing w:after="0" w:line="240" w:lineRule="auto"/>
        <w:rPr>
          <w:rFonts w:ascii="Verdana" w:hAnsi="Verdana"/>
          <w:b/>
          <w:bCs/>
          <w:lang w:val="es-ES_tradnl"/>
        </w:rPr>
      </w:pPr>
    </w:p>
    <w:p w14:paraId="7CB39ECD" w14:textId="614A0933" w:rsidR="0042686B" w:rsidRPr="0042686B" w:rsidRDefault="0042686B" w:rsidP="00031550">
      <w:pPr>
        <w:spacing w:after="0" w:line="240" w:lineRule="auto"/>
        <w:jc w:val="both"/>
        <w:rPr>
          <w:rFonts w:ascii="Verdana" w:eastAsia="Times New Roman" w:hAnsi="Verdana" w:cs="Arial"/>
          <w:sz w:val="20"/>
          <w:szCs w:val="20"/>
          <w:lang w:val="es-ES_tradnl" w:eastAsia="es-ES_tradnl"/>
          <w14:ligatures w14:val="standardContextual"/>
        </w:rPr>
      </w:pPr>
      <w:r w:rsidRPr="0042686B">
        <w:rPr>
          <w:rFonts w:ascii="Verdana" w:eastAsia="Times New Roman" w:hAnsi="Verdana" w:cs="Arial"/>
          <w:sz w:val="20"/>
          <w:szCs w:val="20"/>
          <w:lang w:val="es-ES_tradnl" w:eastAsia="es-ES_tradnl"/>
          <w14:ligatures w14:val="standardContextual"/>
        </w:rPr>
        <w:t xml:space="preserve">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w:t>
      </w:r>
      <w:r w:rsidRPr="0042686B">
        <w:rPr>
          <w:rFonts w:ascii="Verdana" w:eastAsia="Times New Roman" w:hAnsi="Verdana" w:cs="Arial"/>
          <w:i/>
          <w:iCs/>
          <w:sz w:val="20"/>
          <w:szCs w:val="20"/>
          <w:lang w:val="es-ES_tradnl" w:eastAsia="es-ES_tradnl"/>
          <w14:ligatures w14:val="standardContextual"/>
        </w:rPr>
        <w:t>dentro de los tres (3) días siguientes a su expedición</w:t>
      </w:r>
      <w:r w:rsidRPr="0042686B">
        <w:rPr>
          <w:rFonts w:ascii="Verdana" w:eastAsia="Times New Roman" w:hAnsi="Verdana" w:cs="Arial"/>
          <w:sz w:val="20"/>
          <w:szCs w:val="20"/>
          <w:lang w:val="es-ES_tradnl" w:eastAsia="es-ES_tradnl"/>
          <w14:ligatures w14:val="standardContextual"/>
        </w:rPr>
        <w:t xml:space="preserve"> […]” (Énfasis fuera del texto original).</w:t>
      </w:r>
    </w:p>
    <w:p w14:paraId="55673B48" w14:textId="77777777" w:rsidR="0042686B" w:rsidRDefault="0042686B" w:rsidP="00031550">
      <w:pPr>
        <w:tabs>
          <w:tab w:val="left" w:pos="709"/>
        </w:tabs>
        <w:spacing w:after="0" w:line="240" w:lineRule="auto"/>
        <w:jc w:val="both"/>
        <w:rPr>
          <w:rFonts w:ascii="Verdana" w:hAnsi="Verdana" w:cs="Arial"/>
          <w:sz w:val="20"/>
          <w:szCs w:val="20"/>
          <w:shd w:val="clear" w:color="auto" w:fill="FFFFFF"/>
        </w:rPr>
      </w:pPr>
    </w:p>
    <w:p w14:paraId="5C481890" w14:textId="25E70EBD" w:rsidR="0042686B" w:rsidRPr="0042686B" w:rsidRDefault="0042686B" w:rsidP="00031550">
      <w:pPr>
        <w:tabs>
          <w:tab w:val="left" w:pos="709"/>
        </w:tabs>
        <w:spacing w:after="0" w:line="240" w:lineRule="auto"/>
        <w:jc w:val="both"/>
        <w:rPr>
          <w:rFonts w:ascii="Verdana" w:hAnsi="Verdana" w:cs="Arial"/>
          <w:sz w:val="20"/>
          <w:szCs w:val="20"/>
          <w:shd w:val="clear" w:color="auto" w:fill="FFFFFF"/>
        </w:rPr>
      </w:pPr>
      <w:r w:rsidRPr="0042686B">
        <w:rPr>
          <w:rFonts w:ascii="Verdana" w:hAnsi="Verdana" w:cs="Arial"/>
          <w:sz w:val="20"/>
          <w:szCs w:val="20"/>
          <w:shd w:val="clear" w:color="auto" w:fill="FFFFFF"/>
        </w:rPr>
        <w:t xml:space="preserve">La expresión </w:t>
      </w:r>
      <w:r w:rsidRPr="0042686B">
        <w:rPr>
          <w:rFonts w:ascii="Verdana" w:hAnsi="Verdana" w:cs="Arial"/>
          <w:i/>
          <w:iCs/>
          <w:sz w:val="20"/>
          <w:szCs w:val="20"/>
          <w:shd w:val="clear" w:color="auto" w:fill="FFFFFF"/>
        </w:rPr>
        <w:t xml:space="preserve">Documentos del Proceso </w:t>
      </w:r>
      <w:r w:rsidRPr="0042686B">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42686B">
        <w:rPr>
          <w:rFonts w:ascii="Verdana" w:hAnsi="Verdana" w:cs="Arial"/>
          <w:i/>
          <w:iCs/>
          <w:sz w:val="20"/>
          <w:szCs w:val="20"/>
          <w:shd w:val="clear" w:color="auto" w:fill="FFFFFF"/>
        </w:rPr>
        <w:t>y cualquier otro documento expedido por la Entidad Estatal durante el Proceso de Contratación</w:t>
      </w:r>
      <w:r w:rsidRPr="0042686B">
        <w:rPr>
          <w:rFonts w:ascii="Verdana" w:hAnsi="Verdana" w:cs="Arial"/>
          <w:sz w:val="20"/>
          <w:szCs w:val="20"/>
          <w:shd w:val="clear" w:color="auto" w:fill="FFFFFF"/>
        </w:rPr>
        <w:t>”. (Énfasis fuera de texto</w:t>
      </w:r>
      <w:proofErr w:type="gramStart"/>
      <w:r w:rsidRPr="0042686B">
        <w:rPr>
          <w:rFonts w:ascii="Verdana" w:hAnsi="Verdana" w:cs="Arial"/>
          <w:sz w:val="20"/>
          <w:szCs w:val="20"/>
          <w:shd w:val="clear" w:color="auto" w:fill="FFFFFF"/>
        </w:rPr>
        <w:t>).Sin</w:t>
      </w:r>
      <w:proofErr w:type="gramEnd"/>
      <w:r w:rsidRPr="0042686B">
        <w:rPr>
          <w:rFonts w:ascii="Verdana" w:hAnsi="Verdana" w:cs="Arial"/>
          <w:sz w:val="20"/>
          <w:szCs w:val="20"/>
          <w:shd w:val="clear" w:color="auto" w:fill="FFFFFF"/>
        </w:rPr>
        <w:t xml:space="preserve">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42686B">
        <w:rPr>
          <w:rFonts w:ascii="Verdana" w:hAnsi="Verdana" w:cs="Arial"/>
          <w:i/>
          <w:iCs/>
          <w:sz w:val="20"/>
          <w:szCs w:val="20"/>
          <w:shd w:val="clear" w:color="auto" w:fill="FFFFFF"/>
        </w:rPr>
        <w:t>Ibidem</w:t>
      </w:r>
      <w:r w:rsidRPr="0042686B">
        <w:rPr>
          <w:rFonts w:ascii="Verdana" w:hAnsi="Verdana" w:cs="Arial"/>
          <w:sz w:val="20"/>
          <w:szCs w:val="20"/>
          <w:shd w:val="clear" w:color="auto" w:fill="FFFFFF"/>
        </w:rPr>
        <w:t xml:space="preserve"> recoge en la noción de Documentos del Proceso “cualquier otro documento expedido por la Entidad Estatal durante el Proceso de Contratación”. </w:t>
      </w:r>
    </w:p>
    <w:p w14:paraId="75681DE5" w14:textId="77777777" w:rsidR="0042686B" w:rsidRDefault="0042686B" w:rsidP="00031550">
      <w:pPr>
        <w:tabs>
          <w:tab w:val="left" w:pos="709"/>
        </w:tabs>
        <w:spacing w:after="0" w:line="240" w:lineRule="auto"/>
        <w:jc w:val="both"/>
        <w:rPr>
          <w:rFonts w:ascii="Verdana" w:hAnsi="Verdana" w:cs="Arial"/>
          <w:sz w:val="20"/>
          <w:szCs w:val="20"/>
          <w:shd w:val="clear" w:color="auto" w:fill="FFFFFF"/>
        </w:rPr>
      </w:pPr>
    </w:p>
    <w:p w14:paraId="17634EC4" w14:textId="67161FDA" w:rsidR="0042686B" w:rsidRPr="0042686B" w:rsidRDefault="0042686B" w:rsidP="00031550">
      <w:pPr>
        <w:tabs>
          <w:tab w:val="left" w:pos="709"/>
        </w:tabs>
        <w:spacing w:after="0" w:line="240" w:lineRule="auto"/>
        <w:jc w:val="both"/>
        <w:rPr>
          <w:rFonts w:ascii="Verdana" w:hAnsi="Verdana" w:cs="Arial"/>
          <w:sz w:val="20"/>
          <w:szCs w:val="20"/>
          <w:shd w:val="clear" w:color="auto" w:fill="FFFFFF"/>
        </w:rPr>
      </w:pPr>
      <w:r w:rsidRPr="0042686B">
        <w:rPr>
          <w:rFonts w:ascii="Verdana" w:hAnsi="Verdana" w:cs="Arial"/>
          <w:sz w:val="20"/>
          <w:szCs w:val="20"/>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w:t>
      </w:r>
      <w:r w:rsidRPr="0042686B">
        <w:rPr>
          <w:rFonts w:ascii="Verdana" w:hAnsi="Verdana" w:cs="Arial"/>
          <w:sz w:val="20"/>
          <w:szCs w:val="20"/>
          <w:shd w:val="clear" w:color="auto" w:fill="FFFFFF"/>
        </w:rPr>
        <w:lastRenderedPageBreak/>
        <w:t>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r>
        <w:rPr>
          <w:rFonts w:ascii="Verdana" w:hAnsi="Verdana" w:cs="Arial"/>
          <w:sz w:val="20"/>
          <w:szCs w:val="20"/>
          <w:shd w:val="clear" w:color="auto" w:fill="FFFFFF"/>
        </w:rPr>
        <w:t xml:space="preserve"> </w:t>
      </w:r>
      <w:r w:rsidRPr="0042686B">
        <w:rPr>
          <w:rFonts w:ascii="Verdana" w:hAnsi="Verdana" w:cs="Arial"/>
          <w:sz w:val="20"/>
          <w:szCs w:val="20"/>
          <w:shd w:val="clear" w:color="auto" w:fill="FFFFFF"/>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42686B">
        <w:rPr>
          <w:rFonts w:ascii="Verdana" w:hAnsi="Verdana" w:cs="Arial"/>
          <w:sz w:val="20"/>
          <w:szCs w:val="20"/>
          <w:shd w:val="clear" w:color="auto" w:fill="FFFFFF"/>
        </w:rPr>
        <w:t>postcontractual</w:t>
      </w:r>
      <w:proofErr w:type="spellEnd"/>
      <w:r w:rsidRPr="0042686B">
        <w:rPr>
          <w:rFonts w:ascii="Verdana" w:hAnsi="Verdana" w:cs="Arial"/>
          <w:sz w:val="20"/>
          <w:szCs w:val="20"/>
          <w:shd w:val="clear" w:color="auto" w:fill="FFFFFF"/>
        </w:rPr>
        <w:t xml:space="preserve"> deberán publicarse en SECOP dentro de los tres (3) días siguientes a su expedición, para cumplir el deber de publicidad regulado por el artículo 2.2.1.1.1.7.1. del Decreto 1082 de 2015.</w:t>
      </w:r>
    </w:p>
    <w:p w14:paraId="3A345BCC" w14:textId="4C0DC280" w:rsidR="00EB4645" w:rsidRDefault="00EB4645" w:rsidP="00031550">
      <w:pPr>
        <w:spacing w:after="0" w:line="240" w:lineRule="auto"/>
        <w:rPr>
          <w:rFonts w:ascii="Verdana" w:hAnsi="Verdana"/>
          <w:b/>
          <w:bCs/>
          <w:lang w:val="es-ES_tradnl"/>
        </w:rPr>
      </w:pPr>
    </w:p>
    <w:p w14:paraId="7C333F2B" w14:textId="77777777" w:rsidR="0042686B" w:rsidRDefault="00EB4645" w:rsidP="00031550">
      <w:pPr>
        <w:spacing w:after="0" w:line="240" w:lineRule="auto"/>
        <w:rPr>
          <w:rFonts w:ascii="Verdana" w:hAnsi="Verdana"/>
          <w:b/>
          <w:bCs/>
          <w:lang w:val="es-ES_tradnl"/>
        </w:rPr>
      </w:pPr>
      <w:r w:rsidRPr="00EB4645">
        <w:rPr>
          <w:rFonts w:ascii="Verdana" w:hAnsi="Verdana" w:cs="Arial"/>
          <w:b/>
          <w:bCs/>
          <w:lang w:val="es-ES_tradnl" w:eastAsia="es-ES" w:bidi="es-ES"/>
        </w:rPr>
        <w:t>PRINCIPIO DE PUBLICIDAD – Ámbito de aplicación – Decreto 1081 de 2015 – Decreto 1600 de 2024</w:t>
      </w:r>
    </w:p>
    <w:p w14:paraId="1A9D5B44" w14:textId="77777777" w:rsidR="0042686B" w:rsidRDefault="0042686B" w:rsidP="00031550">
      <w:pPr>
        <w:spacing w:after="0" w:line="240" w:lineRule="auto"/>
        <w:rPr>
          <w:rFonts w:ascii="Verdana" w:hAnsi="Verdana"/>
          <w:b/>
          <w:bCs/>
          <w:lang w:val="es-ES_tradnl"/>
        </w:rPr>
      </w:pPr>
    </w:p>
    <w:p w14:paraId="19619509" w14:textId="03B38FB9" w:rsidR="0042686B" w:rsidRPr="0042686B" w:rsidRDefault="0042686B" w:rsidP="00031550">
      <w:pPr>
        <w:spacing w:after="0" w:line="240" w:lineRule="auto"/>
        <w:jc w:val="both"/>
        <w:rPr>
          <w:rFonts w:ascii="Verdana" w:hAnsi="Verdana"/>
          <w:b/>
          <w:bCs/>
          <w:lang w:val="es-ES_tradnl"/>
        </w:rPr>
      </w:pPr>
      <w:r w:rsidRPr="0042686B">
        <w:rPr>
          <w:rFonts w:ascii="Verdana" w:eastAsia="Calibri" w:hAnsi="Verdana" w:cs="Arial"/>
          <w:bCs/>
          <w:sz w:val="20"/>
          <w:szCs w:val="20"/>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0BDA8A39" w14:textId="77777777" w:rsidR="00B859E6" w:rsidRDefault="00B859E6" w:rsidP="00031550">
      <w:pPr>
        <w:spacing w:after="0" w:line="240" w:lineRule="auto"/>
        <w:jc w:val="both"/>
        <w:rPr>
          <w:rFonts w:ascii="Verdana" w:eastAsia="Calibri" w:hAnsi="Verdana" w:cs="Arial"/>
          <w:bCs/>
          <w:sz w:val="20"/>
          <w:szCs w:val="20"/>
          <w:lang w:eastAsia="es-ES_tradnl"/>
        </w:rPr>
      </w:pPr>
    </w:p>
    <w:p w14:paraId="4F9F481F" w14:textId="4E2F68F6" w:rsidR="0042686B" w:rsidRPr="0042686B" w:rsidRDefault="0042686B" w:rsidP="00031550">
      <w:pPr>
        <w:spacing w:after="0" w:line="240" w:lineRule="auto"/>
        <w:jc w:val="both"/>
        <w:rPr>
          <w:rFonts w:ascii="Verdana" w:eastAsia="Calibri" w:hAnsi="Verdana" w:cs="Arial"/>
          <w:bCs/>
          <w:iCs/>
          <w:sz w:val="20"/>
          <w:szCs w:val="20"/>
          <w:lang w:eastAsia="es-ES_tradnl"/>
        </w:rPr>
      </w:pPr>
      <w:r w:rsidRPr="0042686B">
        <w:rPr>
          <w:rFonts w:ascii="Verdana" w:eastAsia="Calibri" w:hAnsi="Verdana" w:cs="Arial"/>
          <w:bCs/>
          <w:sz w:val="20"/>
          <w:szCs w:val="20"/>
          <w:lang w:eastAsia="es-ES_tradnl"/>
        </w:rPr>
        <w:t xml:space="preserve">El Capítulo 3°, Sección 1°, Título 4°, Parte 1°, Libro 2° del Decreto 1081 de 2015, que fue modificado por el Decreto 1600 de 2024, tiene como objeto: “[…] </w:t>
      </w:r>
      <w:r w:rsidRPr="0042686B">
        <w:rPr>
          <w:rFonts w:ascii="Verdana" w:eastAsia="Calibri" w:hAnsi="Verdana" w:cs="Arial"/>
          <w:bCs/>
          <w:iCs/>
          <w:sz w:val="20"/>
          <w:szCs w:val="20"/>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6E11A7E8" w14:textId="77777777" w:rsidR="00B859E6" w:rsidRDefault="00B859E6" w:rsidP="00031550">
      <w:pPr>
        <w:spacing w:after="0" w:line="240" w:lineRule="auto"/>
        <w:jc w:val="both"/>
        <w:rPr>
          <w:rFonts w:ascii="Verdana" w:eastAsia="Calibri" w:hAnsi="Verdana" w:cs="Arial"/>
          <w:bCs/>
          <w:iCs/>
          <w:sz w:val="20"/>
          <w:szCs w:val="20"/>
          <w:lang w:eastAsia="es-ES_tradnl"/>
        </w:rPr>
      </w:pPr>
    </w:p>
    <w:p w14:paraId="2C9E9C8A" w14:textId="79B34958" w:rsidR="0042686B" w:rsidRPr="0042686B" w:rsidRDefault="0042686B" w:rsidP="00031550">
      <w:pPr>
        <w:spacing w:after="0" w:line="240" w:lineRule="auto"/>
        <w:jc w:val="both"/>
        <w:rPr>
          <w:rFonts w:ascii="Verdana" w:eastAsia="Calibri" w:hAnsi="Verdana" w:cs="Arial"/>
          <w:bCs/>
          <w:iCs/>
          <w:sz w:val="20"/>
          <w:szCs w:val="20"/>
          <w:lang w:eastAsia="es-ES_tradnl"/>
        </w:rPr>
      </w:pPr>
      <w:r w:rsidRPr="0042686B">
        <w:rPr>
          <w:rFonts w:ascii="Verdana" w:eastAsia="Calibri" w:hAnsi="Verdana" w:cs="Arial"/>
          <w:bCs/>
          <w:iCs/>
          <w:sz w:val="20"/>
          <w:szCs w:val="20"/>
          <w:lang w:eastAsia="es-ES_tradnl"/>
        </w:rPr>
        <w:t xml:space="preserve">Ahora bien, el ámbito o campo de aplicación de este capítulo está regulado en el artículo 2.1.4.3.1.2. que señala que sus reglas son para las entidades y 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3440AFE7" w14:textId="77777777" w:rsidR="00B859E6" w:rsidRDefault="00B859E6" w:rsidP="00031550">
      <w:pPr>
        <w:spacing w:after="0" w:line="240" w:lineRule="auto"/>
        <w:jc w:val="both"/>
        <w:rPr>
          <w:rFonts w:ascii="Verdana" w:eastAsia="Calibri" w:hAnsi="Verdana" w:cs="Arial"/>
          <w:bCs/>
          <w:iCs/>
          <w:sz w:val="20"/>
          <w:szCs w:val="20"/>
          <w:lang w:eastAsia="es-ES_tradnl"/>
        </w:rPr>
      </w:pPr>
    </w:p>
    <w:p w14:paraId="5BE8145A" w14:textId="193F80E6" w:rsidR="0042686B" w:rsidRPr="0042686B" w:rsidRDefault="0042686B" w:rsidP="00031550">
      <w:pPr>
        <w:spacing w:after="0" w:line="240" w:lineRule="auto"/>
        <w:jc w:val="both"/>
        <w:rPr>
          <w:rFonts w:ascii="Verdana" w:eastAsia="Calibri" w:hAnsi="Verdana" w:cs="Arial"/>
          <w:bCs/>
          <w:iCs/>
          <w:sz w:val="20"/>
          <w:szCs w:val="20"/>
          <w:lang w:eastAsia="es-ES_tradnl"/>
        </w:rPr>
      </w:pPr>
      <w:r w:rsidRPr="0042686B">
        <w:rPr>
          <w:rFonts w:ascii="Verdana" w:eastAsia="Calibri" w:hAnsi="Verdana" w:cs="Arial"/>
          <w:bCs/>
          <w:iCs/>
          <w:sz w:val="20"/>
          <w:szCs w:val="20"/>
          <w:lang w:eastAsia="es-ES_tradnl"/>
        </w:rPr>
        <w:t>En los temas no regulados por dicho régimen, no se aplica lo dispuesto en el artículo 2.1.4.3.2.1, por lo que las demás disposiciones deberán aplicarse, de acuerdo con su estructura orgánica y la normativa aplicable a su funcionamiento.</w:t>
      </w:r>
      <w:r w:rsidRPr="0042686B">
        <w:rPr>
          <w:rFonts w:ascii="Verdana" w:eastAsia="Calibri" w:hAnsi="Verdana" w:cs="Arial"/>
          <w:bCs/>
          <w:sz w:val="20"/>
          <w:szCs w:val="20"/>
          <w:lang w:eastAsia="es-ES_tradnl"/>
        </w:rPr>
        <w:t xml:space="preserve"> </w:t>
      </w:r>
      <w:r w:rsidRPr="0042686B">
        <w:rPr>
          <w:rFonts w:ascii="Verdana" w:eastAsia="Calibri" w:hAnsi="Verdana" w:cs="Arial"/>
          <w:bCs/>
          <w:iCs/>
          <w:sz w:val="20"/>
          <w:szCs w:val="20"/>
          <w:lang w:eastAsia="es-ES_tradnl"/>
        </w:rPr>
        <w:t xml:space="preserve">Con respecto a las entidades territoriales y sus entidades descentralizadas establece que en el marco de su </w:t>
      </w:r>
      <w:r w:rsidRPr="0042686B">
        <w:rPr>
          <w:rFonts w:ascii="Verdana" w:eastAsia="Calibri" w:hAnsi="Verdana" w:cs="Arial"/>
          <w:bCs/>
          <w:iCs/>
          <w:sz w:val="20"/>
          <w:szCs w:val="20"/>
          <w:lang w:eastAsia="es-ES_tradnl"/>
        </w:rPr>
        <w:lastRenderedPageBreak/>
        <w:t xml:space="preserve">autonomía y en cumplimiento de lo previsto en el artículo 32 de la Ley 152 de 1994, por la cual se establece la Ley Orgánica de Plan de Desarrollo, deben aplicar sus planes y políticas, las líneas de acción contenidas en el presente Capítulo, conforme a lo regulado en el artículo 200 de la Ley 2294 de 2023. </w:t>
      </w:r>
    </w:p>
    <w:p w14:paraId="0EAC4981" w14:textId="77777777" w:rsidR="0042686B" w:rsidRPr="00EB4645" w:rsidRDefault="0042686B" w:rsidP="00031550">
      <w:pPr>
        <w:spacing w:after="0" w:line="240" w:lineRule="auto"/>
        <w:rPr>
          <w:rFonts w:ascii="Verdana" w:hAnsi="Verdana"/>
          <w:b/>
        </w:rPr>
      </w:pPr>
    </w:p>
    <w:p w14:paraId="345A0F9C" w14:textId="77777777" w:rsidR="00EB4645" w:rsidRPr="00EB4645" w:rsidRDefault="00EB4645" w:rsidP="00031550">
      <w:pPr>
        <w:spacing w:after="0" w:line="240" w:lineRule="auto"/>
        <w:jc w:val="both"/>
        <w:rPr>
          <w:rFonts w:ascii="Verdana" w:hAnsi="Verdana" w:cs="Arial"/>
          <w:b/>
          <w:bCs/>
          <w:lang w:val="es-MX" w:eastAsia="es-ES" w:bidi="es-ES"/>
        </w:rPr>
      </w:pPr>
      <w:r w:rsidRPr="00EB4645">
        <w:rPr>
          <w:rFonts w:ascii="Verdana" w:hAnsi="Verdana" w:cs="Arial"/>
          <w:b/>
          <w:bCs/>
          <w:lang w:val="es-ES_tradnl" w:eastAsia="es-ES" w:bidi="es-ES"/>
        </w:rPr>
        <w:t xml:space="preserve">PRINCIPIO DE PUBLICIDAD – término de publicación – interpretación armónica - documentos de ejecución  </w:t>
      </w:r>
    </w:p>
    <w:p w14:paraId="6A8FE8B0" w14:textId="390AA483" w:rsidR="00EB4645" w:rsidRDefault="00EB4645" w:rsidP="00031550">
      <w:pPr>
        <w:spacing w:after="0" w:line="240" w:lineRule="auto"/>
        <w:rPr>
          <w:rFonts w:ascii="Verdana" w:hAnsi="Verdana"/>
          <w:b/>
          <w:lang w:val="es-MX"/>
        </w:rPr>
      </w:pPr>
    </w:p>
    <w:p w14:paraId="1275439F" w14:textId="77777777" w:rsidR="00B859E6" w:rsidRPr="00B859E6" w:rsidRDefault="00B859E6" w:rsidP="00031550">
      <w:pPr>
        <w:spacing w:after="0" w:line="240" w:lineRule="auto"/>
        <w:jc w:val="both"/>
        <w:rPr>
          <w:rFonts w:ascii="Verdana" w:eastAsia="Calibri" w:hAnsi="Verdana" w:cs="Arial"/>
          <w:bCs/>
          <w:iCs/>
          <w:sz w:val="20"/>
          <w:szCs w:val="20"/>
          <w:lang w:eastAsia="es-ES_tradnl"/>
        </w:rPr>
      </w:pPr>
      <w:r w:rsidRPr="00B859E6">
        <w:rPr>
          <w:rFonts w:ascii="Verdana" w:eastAsia="Calibri" w:hAnsi="Verdana" w:cs="Arial"/>
          <w:bCs/>
          <w:sz w:val="20"/>
          <w:szCs w:val="20"/>
          <w:lang w:eastAsia="es-ES_tradnl"/>
        </w:rPr>
        <w:t xml:space="preserve">A partir del artículo precitado se resalta que su primer inciso alude al deber de publicación en la página web de los sujetos obligados por dicho Decreto, el cual contiene dos literales: en el literal a) se establece el deber de publicar por parte de las entidades de </w:t>
      </w:r>
      <w:r w:rsidRPr="00B859E6">
        <w:rPr>
          <w:rFonts w:ascii="Verdana" w:eastAsia="Calibri" w:hAnsi="Verdana" w:cs="Arial"/>
          <w:bCs/>
          <w:iCs/>
          <w:sz w:val="20"/>
          <w:szCs w:val="20"/>
          <w:lang w:eastAsia="es-ES_tradnl"/>
        </w:rPr>
        <w:t>todas las auditorías que le realicen, en la que se incluyan los resultados, hallazgos y seguimiento a las acciones de mejora; en el literal b se establece dos subreglas. La primera está contenida en un primer aparte que dispone: “</w:t>
      </w:r>
      <w:r w:rsidRPr="00B859E6">
        <w:rPr>
          <w:rFonts w:ascii="Verdana" w:eastAsia="Calibri" w:hAnsi="Verdana" w:cs="Arial"/>
          <w:bCs/>
          <w:i/>
          <w:iCs/>
          <w:sz w:val="20"/>
          <w:szCs w:val="20"/>
          <w:lang w:eastAsia="es-ES_tradnl"/>
        </w:rPr>
        <w:t>Información detallada de los contratos que suscriban, incluyendo, como mínimo: valor del contrato, objeto contractual, identidad del contratista seleccionado; así como el enlace directo al proceso en el Sistema Electrónico de Contratación Pública (SECOP)”, lo cual implica el</w:t>
      </w:r>
      <w:r w:rsidRPr="00B859E6">
        <w:rPr>
          <w:rFonts w:ascii="Verdana" w:eastAsia="Calibri" w:hAnsi="Verdana" w:cs="Arial"/>
          <w:bCs/>
          <w:iCs/>
          <w:sz w:val="20"/>
          <w:szCs w:val="20"/>
          <w:lang w:eastAsia="es-ES_tradnl"/>
        </w:rPr>
        <w:t xml:space="preserve"> mandato de publicar en página web por parte de los sujetos obligados de la información detallada de los contratos celebrados, incluyendo su valor, objeto, identidad del contratista seleccionado, así como el enlace en el SECOP. </w:t>
      </w:r>
    </w:p>
    <w:p w14:paraId="5C934284" w14:textId="77777777" w:rsidR="00B859E6" w:rsidRDefault="00B859E6" w:rsidP="00031550">
      <w:pPr>
        <w:spacing w:after="0" w:line="240" w:lineRule="auto"/>
        <w:jc w:val="both"/>
        <w:rPr>
          <w:rFonts w:ascii="Verdana" w:eastAsia="Calibri" w:hAnsi="Verdana" w:cs="Arial"/>
          <w:bCs/>
          <w:iCs/>
          <w:sz w:val="20"/>
          <w:szCs w:val="20"/>
          <w:lang w:eastAsia="es-ES_tradnl"/>
        </w:rPr>
      </w:pPr>
    </w:p>
    <w:p w14:paraId="37AFEDC0" w14:textId="07943A75" w:rsidR="00B859E6" w:rsidRPr="00B859E6" w:rsidRDefault="00B859E6" w:rsidP="00031550">
      <w:pPr>
        <w:spacing w:after="0" w:line="240" w:lineRule="auto"/>
        <w:jc w:val="both"/>
        <w:rPr>
          <w:rFonts w:ascii="Verdana" w:eastAsia="Calibri" w:hAnsi="Verdana" w:cs="Arial"/>
          <w:bCs/>
          <w:sz w:val="20"/>
          <w:szCs w:val="20"/>
          <w:lang w:eastAsia="es-ES_tradnl"/>
        </w:rPr>
      </w:pPr>
      <w:r w:rsidRPr="00B859E6">
        <w:rPr>
          <w:rFonts w:ascii="Verdana" w:eastAsia="Calibri" w:hAnsi="Verdana" w:cs="Arial"/>
          <w:bCs/>
          <w:iCs/>
          <w:sz w:val="20"/>
          <w:szCs w:val="20"/>
          <w:lang w:eastAsia="es-ES_tradnl"/>
        </w:rPr>
        <w:t>Una segunda subregla que prescribe</w:t>
      </w:r>
      <w:r w:rsidRPr="00B859E6">
        <w:rPr>
          <w:rFonts w:ascii="Verdana" w:eastAsia="Calibri" w:hAnsi="Verdana" w:cs="Arial"/>
          <w:bCs/>
          <w:sz w:val="20"/>
          <w:szCs w:val="20"/>
          <w:lang w:eastAsia="es-ES_tradnl"/>
        </w:rPr>
        <w:t xml:space="preserve">: </w:t>
      </w:r>
      <w:r w:rsidRPr="00B859E6">
        <w:rPr>
          <w:rFonts w:ascii="Verdana" w:eastAsia="Calibri" w:hAnsi="Verdana" w:cs="Arial"/>
          <w:bCs/>
          <w:i/>
          <w:sz w:val="20"/>
          <w:szCs w:val="20"/>
          <w:lang w:eastAsia="es-ES_tradnl"/>
        </w:rPr>
        <w:t>“</w:t>
      </w:r>
      <w:r w:rsidRPr="00B859E6">
        <w:rPr>
          <w:rFonts w:ascii="Verdana" w:eastAsia="Calibri" w:hAnsi="Verdana" w:cs="Arial"/>
          <w:bCs/>
          <w:i/>
          <w:iCs/>
          <w:sz w:val="20"/>
          <w:szCs w:val="20"/>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B859E6">
        <w:rPr>
          <w:rFonts w:ascii="Verdana" w:eastAsia="Calibri" w:hAnsi="Verdana" w:cs="Arial"/>
          <w:bCs/>
          <w:sz w:val="20"/>
          <w:szCs w:val="20"/>
          <w:lang w:eastAsia="es-ES_tradnl"/>
        </w:rPr>
        <w:t xml:space="preserve"> Esta subregla </w:t>
      </w:r>
      <w:r w:rsidRPr="00B859E6">
        <w:rPr>
          <w:rFonts w:ascii="Verdana" w:eastAsia="Calibri" w:hAnsi="Verdana" w:cs="Arial"/>
          <w:bCs/>
          <w:iCs/>
          <w:sz w:val="20"/>
          <w:szCs w:val="20"/>
          <w:lang w:eastAsia="es-ES_tradnl"/>
        </w:rPr>
        <w:t xml:space="preserve">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 ocurrencia del hecho, y en ningún caso puede haber retraso para el cumplimiento de este término, esto es, establece un límite máximo de publicación para los documentos de ejecución del contrato. </w:t>
      </w:r>
    </w:p>
    <w:p w14:paraId="220DA982" w14:textId="77777777" w:rsidR="00B859E6" w:rsidRDefault="00B859E6" w:rsidP="00031550">
      <w:pPr>
        <w:spacing w:after="0" w:line="240" w:lineRule="auto"/>
        <w:jc w:val="both"/>
        <w:rPr>
          <w:rFonts w:ascii="Verdana" w:eastAsia="Calibri" w:hAnsi="Verdana" w:cs="Arial"/>
          <w:bCs/>
          <w:iCs/>
          <w:sz w:val="20"/>
          <w:szCs w:val="20"/>
          <w:lang w:eastAsia="es-ES_tradnl"/>
        </w:rPr>
      </w:pPr>
    </w:p>
    <w:p w14:paraId="03D34E51" w14:textId="77777777" w:rsidR="00B859E6" w:rsidRDefault="00B859E6" w:rsidP="00031550">
      <w:pPr>
        <w:spacing w:after="0" w:line="240" w:lineRule="auto"/>
        <w:jc w:val="both"/>
        <w:rPr>
          <w:rFonts w:ascii="Verdana" w:eastAsia="Calibri" w:hAnsi="Verdana" w:cs="Arial"/>
          <w:bCs/>
          <w:iCs/>
          <w:sz w:val="20"/>
          <w:szCs w:val="20"/>
          <w:lang w:val="es-ES_tradnl" w:eastAsia="es-ES_tradnl"/>
        </w:rPr>
      </w:pPr>
      <w:r w:rsidRPr="00B859E6">
        <w:rPr>
          <w:rFonts w:ascii="Verdana" w:eastAsia="Calibri" w:hAnsi="Verdana" w:cs="Arial"/>
          <w:bCs/>
          <w:iCs/>
          <w:sz w:val="20"/>
          <w:szCs w:val="20"/>
          <w:lang w:eastAsia="es-ES_tradnl"/>
        </w:rPr>
        <w:t xml:space="preserve">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 además, dispone que la oferta que debe publicarse es la del adjudicatario del Proceso de Contratación, y que los documentos de las operaciones que se realicen en bolsa de productos no tienen que publicarse en el SECOP. En este escenario, parece en un principio, un </w:t>
      </w:r>
      <w:r w:rsidRPr="00B859E6">
        <w:rPr>
          <w:rFonts w:ascii="Verdana" w:eastAsia="Calibri" w:hAnsi="Verdana" w:cs="Arial"/>
          <w:bCs/>
          <w:iCs/>
          <w:sz w:val="20"/>
          <w:szCs w:val="20"/>
          <w:lang w:val="es-ES_tradnl" w:eastAsia="es-ES_tradnl"/>
        </w:rPr>
        <w:t xml:space="preserve">conflicto entre la </w:t>
      </w:r>
      <w:r w:rsidRPr="00B859E6">
        <w:rPr>
          <w:rFonts w:ascii="Verdana" w:eastAsia="Calibri" w:hAnsi="Verdana" w:cs="Arial"/>
          <w:bCs/>
          <w:i/>
          <w:iCs/>
          <w:sz w:val="20"/>
          <w:szCs w:val="20"/>
          <w:lang w:val="es-ES_tradnl" w:eastAsia="es-ES_tradnl"/>
        </w:rPr>
        <w:t>regla general dispuesta en el Decreto 1082 de 2015</w:t>
      </w:r>
      <w:r w:rsidRPr="00B859E6">
        <w:rPr>
          <w:rFonts w:ascii="Verdana" w:eastAsia="Calibri" w:hAnsi="Verdana" w:cs="Arial"/>
          <w:bCs/>
          <w:iCs/>
          <w:sz w:val="20"/>
          <w:szCs w:val="20"/>
          <w:lang w:val="es-ES_tradnl" w:eastAsia="es-ES_tradnl"/>
        </w:rPr>
        <w:t xml:space="preserve"> y la </w:t>
      </w:r>
      <w:r w:rsidRPr="00B859E6">
        <w:rPr>
          <w:rFonts w:ascii="Verdana" w:eastAsia="Calibri" w:hAnsi="Verdana" w:cs="Arial"/>
          <w:bCs/>
          <w:i/>
          <w:iCs/>
          <w:sz w:val="20"/>
          <w:szCs w:val="20"/>
          <w:lang w:val="es-ES_tradnl" w:eastAsia="es-ES_tradnl"/>
        </w:rPr>
        <w:t>regla especial que dispone un término máximo para publicar la información para entidades del orden nacional</w:t>
      </w:r>
      <w:r w:rsidRPr="00B859E6">
        <w:rPr>
          <w:rFonts w:ascii="Verdana" w:eastAsia="Calibri" w:hAnsi="Verdana" w:cs="Arial"/>
          <w:bCs/>
          <w:iCs/>
          <w:sz w:val="20"/>
          <w:szCs w:val="20"/>
          <w:lang w:val="es-ES_tradnl" w:eastAsia="es-ES_tradnl"/>
        </w:rPr>
        <w:t xml:space="preserve">, siendo necesario acudir al problema con fundamento en el artículo 5.1 de la Ley 57 de 1887. Según esta norma, “[…] Si en los Códigos que se adoptan se hallaren algunas disposiciones incompatibles entre sí […] </w:t>
      </w:r>
      <w:r w:rsidRPr="00B859E6">
        <w:rPr>
          <w:rFonts w:ascii="Verdana" w:eastAsia="Calibri" w:hAnsi="Verdana" w:cs="Arial"/>
          <w:bCs/>
          <w:i/>
          <w:iCs/>
          <w:sz w:val="20"/>
          <w:szCs w:val="20"/>
          <w:lang w:val="es-ES_tradnl" w:eastAsia="es-ES_tradnl"/>
        </w:rPr>
        <w:t>La disposición relativa a un asunto especial prefiere a la que tenga carácter general</w:t>
      </w:r>
      <w:r w:rsidRPr="00B859E6">
        <w:rPr>
          <w:rFonts w:ascii="Verdana" w:eastAsia="Calibri" w:hAnsi="Verdana" w:cs="Arial"/>
          <w:bCs/>
          <w:iCs/>
          <w:sz w:val="20"/>
          <w:szCs w:val="20"/>
          <w:lang w:val="es-ES_tradnl" w:eastAsia="es-ES_tradnl"/>
        </w:rPr>
        <w:t xml:space="preserve"> […]” (Énfasis fuera de texto). </w:t>
      </w:r>
    </w:p>
    <w:p w14:paraId="1E727642" w14:textId="77777777" w:rsidR="00B859E6" w:rsidRDefault="00B859E6" w:rsidP="00031550">
      <w:pPr>
        <w:spacing w:after="0" w:line="240" w:lineRule="auto"/>
        <w:jc w:val="both"/>
        <w:rPr>
          <w:rFonts w:ascii="Verdana" w:eastAsia="Calibri" w:hAnsi="Verdana" w:cs="Arial"/>
          <w:bCs/>
          <w:iCs/>
          <w:sz w:val="20"/>
          <w:szCs w:val="20"/>
          <w:lang w:val="es-ES_tradnl" w:eastAsia="es-ES_tradnl"/>
        </w:rPr>
      </w:pPr>
    </w:p>
    <w:p w14:paraId="116FB324" w14:textId="006E31A0" w:rsidR="00B859E6" w:rsidRPr="00B859E6" w:rsidRDefault="00B859E6" w:rsidP="00031550">
      <w:pPr>
        <w:spacing w:after="0" w:line="240" w:lineRule="auto"/>
        <w:jc w:val="both"/>
        <w:rPr>
          <w:rFonts w:ascii="Verdana" w:eastAsia="Calibri" w:hAnsi="Verdana" w:cs="Arial"/>
          <w:bCs/>
          <w:iCs/>
          <w:sz w:val="20"/>
          <w:szCs w:val="20"/>
          <w:lang w:val="es-ES_tradnl" w:eastAsia="es-ES_tradnl"/>
        </w:rPr>
      </w:pPr>
      <w:r w:rsidRPr="00B859E6">
        <w:rPr>
          <w:rFonts w:ascii="Verdana" w:eastAsia="Calibri" w:hAnsi="Verdana" w:cs="Arial"/>
          <w:bCs/>
          <w:iCs/>
          <w:sz w:val="20"/>
          <w:szCs w:val="20"/>
          <w:lang w:val="es-ES_tradnl" w:eastAsia="es-ES_tradnl"/>
        </w:rPr>
        <w:lastRenderedPageBreak/>
        <w:t xml:space="preserve">Por tanto, la regla dispuesta en el </w:t>
      </w:r>
      <w:r w:rsidRPr="00B859E6">
        <w:rPr>
          <w:rFonts w:ascii="Verdana" w:eastAsia="Calibri" w:hAnsi="Verdana" w:cs="Arial"/>
          <w:bCs/>
          <w:iCs/>
          <w:sz w:val="20"/>
          <w:szCs w:val="20"/>
          <w:lang w:eastAsia="es-ES_tradnl"/>
        </w:rPr>
        <w:t xml:space="preserve">artículo 2.1.4.3.2.2 del Decreto 1081 de 2015 </w:t>
      </w:r>
      <w:r w:rsidRPr="00B859E6">
        <w:rPr>
          <w:rFonts w:ascii="Verdana" w:eastAsia="Calibri" w:hAnsi="Verdana" w:cs="Arial"/>
          <w:bCs/>
          <w:iCs/>
          <w:sz w:val="20"/>
          <w:szCs w:val="20"/>
          <w:lang w:val="es-ES_tradnl" w:eastAsia="es-ES_tradnl"/>
        </w:rPr>
        <w:t>–</w:t>
      </w:r>
      <w:r w:rsidRPr="00B859E6">
        <w:rPr>
          <w:rFonts w:ascii="Verdana" w:eastAsia="Calibri" w:hAnsi="Verdana" w:cs="Arial"/>
          <w:bCs/>
          <w:i/>
          <w:iCs/>
          <w:sz w:val="20"/>
          <w:szCs w:val="20"/>
          <w:lang w:val="es-ES_tradnl" w:eastAsia="es-ES_tradnl"/>
        </w:rPr>
        <w:t>regla especial</w:t>
      </w:r>
      <w:r w:rsidRPr="00B859E6">
        <w:rPr>
          <w:rFonts w:ascii="Verdana" w:eastAsia="Calibri" w:hAnsi="Verdana" w:cs="Arial"/>
          <w:bCs/>
          <w:iCs/>
          <w:sz w:val="20"/>
          <w:szCs w:val="20"/>
          <w:lang w:val="es-ES_tradnl" w:eastAsia="es-ES_tradnl"/>
        </w:rPr>
        <w:t xml:space="preserve">– debe tenerse en cuenta sobre el entendimiento y aplicación del artículo </w:t>
      </w:r>
      <w:r w:rsidRPr="00B859E6">
        <w:rPr>
          <w:rFonts w:ascii="Verdana" w:eastAsia="Calibri" w:hAnsi="Verdana" w:cs="Arial"/>
          <w:bCs/>
          <w:iCs/>
          <w:sz w:val="20"/>
          <w:szCs w:val="20"/>
          <w:lang w:eastAsia="es-ES_tradnl"/>
        </w:rPr>
        <w:t>2.2.1.1.1.7.1. del Decreto 1082 de 2015</w:t>
      </w:r>
      <w:r w:rsidRPr="00B859E6">
        <w:rPr>
          <w:rFonts w:ascii="Verdana" w:eastAsia="Calibri" w:hAnsi="Verdana" w:cs="Arial"/>
          <w:bCs/>
          <w:iCs/>
          <w:sz w:val="20"/>
          <w:szCs w:val="20"/>
          <w:lang w:val="es-ES_tradnl" w:eastAsia="es-ES_tradnl"/>
        </w:rPr>
        <w:t xml:space="preserve"> –</w:t>
      </w:r>
      <w:r w:rsidRPr="00B859E6">
        <w:rPr>
          <w:rFonts w:ascii="Verdana" w:eastAsia="Calibri" w:hAnsi="Verdana" w:cs="Arial"/>
          <w:bCs/>
          <w:i/>
          <w:iCs/>
          <w:sz w:val="20"/>
          <w:szCs w:val="20"/>
          <w:lang w:val="es-ES_tradnl" w:eastAsia="es-ES_tradnl"/>
        </w:rPr>
        <w:t>regla general</w:t>
      </w:r>
      <w:r w:rsidRPr="00B859E6">
        <w:rPr>
          <w:rFonts w:ascii="Verdana" w:eastAsia="Calibri" w:hAnsi="Verdana" w:cs="Arial"/>
          <w:bCs/>
          <w:iCs/>
          <w:sz w:val="20"/>
          <w:szCs w:val="20"/>
          <w:lang w:val="es-ES_tradnl" w:eastAsia="es-ES_tradnl"/>
        </w:rPr>
        <w:t xml:space="preserve">–, esto es, deben interpretarse armónicamente. Esto no significa que la </w:t>
      </w:r>
      <w:r w:rsidRPr="00B859E6">
        <w:rPr>
          <w:rFonts w:ascii="Verdana" w:eastAsia="Calibri" w:hAnsi="Verdana" w:cs="Arial"/>
          <w:bCs/>
          <w:i/>
          <w:iCs/>
          <w:sz w:val="20"/>
          <w:szCs w:val="20"/>
          <w:lang w:val="es-ES_tradnl" w:eastAsia="es-ES_tradnl"/>
        </w:rPr>
        <w:t>regla general</w:t>
      </w:r>
      <w:r w:rsidRPr="00B859E6">
        <w:rPr>
          <w:rFonts w:ascii="Verdana" w:eastAsia="Calibri" w:hAnsi="Verdana" w:cs="Arial"/>
          <w:bCs/>
          <w:iCs/>
          <w:sz w:val="20"/>
          <w:szCs w:val="20"/>
          <w:lang w:val="es-ES_tradnl" w:eastAsia="es-ES_tradnl"/>
        </w:rPr>
        <w:t xml:space="preserve"> desaparezca del ordenamiento jurídico; todo lo contrario, esta aplica en todos los supuestos que regula, y se interpreta de forma integral con los supuestos previstos en la </w:t>
      </w:r>
      <w:r w:rsidRPr="00B859E6">
        <w:rPr>
          <w:rFonts w:ascii="Verdana" w:eastAsia="Calibri" w:hAnsi="Verdana" w:cs="Arial"/>
          <w:bCs/>
          <w:i/>
          <w:iCs/>
          <w:sz w:val="20"/>
          <w:szCs w:val="20"/>
          <w:lang w:val="es-ES_tradnl" w:eastAsia="es-ES_tradnl"/>
        </w:rPr>
        <w:t>regla especial</w:t>
      </w:r>
      <w:r w:rsidRPr="00B859E6">
        <w:rPr>
          <w:rFonts w:ascii="Verdana" w:eastAsia="Calibri" w:hAnsi="Verdana" w:cs="Arial"/>
          <w:bCs/>
          <w:iCs/>
          <w:sz w:val="20"/>
          <w:szCs w:val="20"/>
          <w:lang w:val="es-ES_tradnl" w:eastAsia="es-ES_tradnl"/>
        </w:rPr>
        <w:t xml:space="preserve">. De esta manera, el término de diez (10) días es un plazo máximo para las entidades y </w:t>
      </w:r>
      <w:r w:rsidRPr="00B859E6">
        <w:rPr>
          <w:rFonts w:ascii="Verdana" w:eastAsia="Calibri" w:hAnsi="Verdana" w:cs="Arial"/>
          <w:bCs/>
          <w:i/>
          <w:iCs/>
          <w:sz w:val="20"/>
          <w:szCs w:val="20"/>
          <w:lang w:eastAsia="es-ES_tradnl"/>
        </w:rPr>
        <w:t xml:space="preserve">empresas del Estado </w:t>
      </w:r>
      <w:r w:rsidRPr="00B859E6">
        <w:rPr>
          <w:rFonts w:ascii="Verdana" w:eastAsia="Calibri" w:hAnsi="Verdana" w:cs="Arial"/>
          <w:bCs/>
          <w:iCs/>
          <w:sz w:val="20"/>
          <w:szCs w:val="20"/>
          <w:lang w:eastAsia="es-ES_tradnl"/>
        </w:rPr>
        <w:t xml:space="preserve">del orden nacional y pertenecientes a la Rama Ejecutiva del Poder Público para publicar en SECOP, en todo caso, precisando la regla general sigue vigente, y que, en un principio, el término para publicar es de tres (3) días siguientes a la expedición, de conformidad a lo prescrito en el Decreto 1082 de 2015. </w:t>
      </w:r>
    </w:p>
    <w:p w14:paraId="68561845" w14:textId="120CB59D" w:rsidR="00B859E6" w:rsidRDefault="00B859E6" w:rsidP="00031550">
      <w:pPr>
        <w:spacing w:after="0" w:line="240" w:lineRule="auto"/>
        <w:rPr>
          <w:rFonts w:ascii="Verdana" w:hAnsi="Verdana"/>
          <w:b/>
        </w:rPr>
      </w:pPr>
    </w:p>
    <w:p w14:paraId="388FCED5" w14:textId="77777777" w:rsidR="00031550" w:rsidRPr="00031550" w:rsidRDefault="00031550" w:rsidP="00031550">
      <w:pPr>
        <w:spacing w:after="0" w:line="240" w:lineRule="auto"/>
        <w:jc w:val="both"/>
        <w:rPr>
          <w:rFonts w:ascii="Verdana" w:eastAsia="Calibri" w:hAnsi="Verdana" w:cs="Arial"/>
          <w:bCs/>
          <w:iCs/>
          <w:sz w:val="20"/>
          <w:szCs w:val="20"/>
          <w:lang w:val="es-ES" w:eastAsia="es-ES_tradnl"/>
        </w:rPr>
      </w:pPr>
      <w:r w:rsidRPr="00031550">
        <w:rPr>
          <w:rFonts w:ascii="Verdana" w:eastAsia="Calibri" w:hAnsi="Verdana" w:cs="Arial"/>
          <w:bCs/>
          <w:iCs/>
          <w:sz w:val="20"/>
          <w:szCs w:val="20"/>
          <w:lang w:val="es-ES" w:eastAsia="es-ES_tradnl"/>
        </w:rPr>
        <w:t xml:space="preserve">Así las cosas, el término de diez (10) días es un límite máximo para publicar por parte de las entidades del orden nacional sometidas a lo dispuesto en el Decreto 1600 de 2024 que modifica el Decreto 1081 de 2015 en cuanto a los documentos de ejecución del contrato, como son las actas de supervisión o interventoría, requerimientos, entre otros. Esto, sin perjuicio del deber general de publicar, en principio, dentro de los tres (3) días siguientes a la expedición de los documentos del proceso que no son transaccionales y que no tienen la calidad de ser documentos de ejecución.  </w:t>
      </w:r>
    </w:p>
    <w:p w14:paraId="0C9FFEF6" w14:textId="64BC206C" w:rsidR="00031550" w:rsidRDefault="00031550" w:rsidP="00EB4645">
      <w:pPr>
        <w:spacing w:after="0" w:line="240" w:lineRule="auto"/>
        <w:rPr>
          <w:rFonts w:ascii="Verdana" w:hAnsi="Verdana"/>
          <w:b/>
          <w:lang w:val="es-ES"/>
        </w:rPr>
      </w:pPr>
    </w:p>
    <w:p w14:paraId="2034ACB1" w14:textId="75645045" w:rsidR="00031550" w:rsidRDefault="00031550" w:rsidP="00EB4645">
      <w:pPr>
        <w:spacing w:after="0" w:line="240" w:lineRule="auto"/>
        <w:rPr>
          <w:rFonts w:ascii="Verdana" w:hAnsi="Verdana"/>
          <w:b/>
          <w:lang w:val="es-ES"/>
        </w:rPr>
      </w:pPr>
    </w:p>
    <w:p w14:paraId="24685450" w14:textId="058A8BFC" w:rsidR="00031550" w:rsidRDefault="00031550" w:rsidP="00EB4645">
      <w:pPr>
        <w:spacing w:after="0" w:line="240" w:lineRule="auto"/>
        <w:rPr>
          <w:rFonts w:ascii="Verdana" w:hAnsi="Verdana"/>
          <w:b/>
          <w:lang w:val="es-ES"/>
        </w:rPr>
      </w:pPr>
    </w:p>
    <w:p w14:paraId="2F28ED8F" w14:textId="5162CDBC" w:rsidR="00031550" w:rsidRDefault="00031550" w:rsidP="00EB4645">
      <w:pPr>
        <w:spacing w:after="0" w:line="240" w:lineRule="auto"/>
        <w:rPr>
          <w:rFonts w:ascii="Verdana" w:hAnsi="Verdana"/>
          <w:b/>
          <w:lang w:val="es-ES"/>
        </w:rPr>
      </w:pPr>
    </w:p>
    <w:p w14:paraId="567B7971" w14:textId="2D249AB9" w:rsidR="00031550" w:rsidRDefault="00031550" w:rsidP="00EB4645">
      <w:pPr>
        <w:spacing w:after="0" w:line="240" w:lineRule="auto"/>
        <w:rPr>
          <w:rFonts w:ascii="Verdana" w:hAnsi="Verdana"/>
          <w:b/>
          <w:lang w:val="es-ES"/>
        </w:rPr>
      </w:pPr>
    </w:p>
    <w:p w14:paraId="705082A5" w14:textId="0A70B3BE" w:rsidR="00031550" w:rsidRDefault="00031550" w:rsidP="00EB4645">
      <w:pPr>
        <w:spacing w:after="0" w:line="240" w:lineRule="auto"/>
        <w:rPr>
          <w:rFonts w:ascii="Verdana" w:hAnsi="Verdana"/>
          <w:b/>
          <w:lang w:val="es-ES"/>
        </w:rPr>
      </w:pPr>
    </w:p>
    <w:p w14:paraId="20AC379F" w14:textId="1DC1F853" w:rsidR="00031550" w:rsidRDefault="00031550" w:rsidP="00EB4645">
      <w:pPr>
        <w:spacing w:after="0" w:line="240" w:lineRule="auto"/>
        <w:rPr>
          <w:rFonts w:ascii="Verdana" w:hAnsi="Verdana"/>
          <w:b/>
          <w:lang w:val="es-ES"/>
        </w:rPr>
      </w:pPr>
    </w:p>
    <w:p w14:paraId="3560431F" w14:textId="0CE8867A" w:rsidR="00031550" w:rsidRDefault="00031550" w:rsidP="00EB4645">
      <w:pPr>
        <w:spacing w:after="0" w:line="240" w:lineRule="auto"/>
        <w:rPr>
          <w:rFonts w:ascii="Verdana" w:hAnsi="Verdana"/>
          <w:b/>
          <w:lang w:val="es-ES"/>
        </w:rPr>
      </w:pPr>
    </w:p>
    <w:p w14:paraId="4F7BA2D4" w14:textId="68EE5420" w:rsidR="00031550" w:rsidRDefault="00031550" w:rsidP="00EB4645">
      <w:pPr>
        <w:spacing w:after="0" w:line="240" w:lineRule="auto"/>
        <w:rPr>
          <w:rFonts w:ascii="Verdana" w:hAnsi="Verdana"/>
          <w:b/>
          <w:lang w:val="es-ES"/>
        </w:rPr>
      </w:pPr>
    </w:p>
    <w:p w14:paraId="1A1E3681" w14:textId="64205FA2" w:rsidR="00031550" w:rsidRDefault="00031550" w:rsidP="00EB4645">
      <w:pPr>
        <w:spacing w:after="0" w:line="240" w:lineRule="auto"/>
        <w:rPr>
          <w:rFonts w:ascii="Verdana" w:hAnsi="Verdana"/>
          <w:b/>
          <w:lang w:val="es-ES"/>
        </w:rPr>
      </w:pPr>
    </w:p>
    <w:p w14:paraId="4901C8A1" w14:textId="17463D05" w:rsidR="00031550" w:rsidRDefault="00031550" w:rsidP="00EB4645">
      <w:pPr>
        <w:spacing w:after="0" w:line="240" w:lineRule="auto"/>
        <w:rPr>
          <w:rFonts w:ascii="Verdana" w:hAnsi="Verdana"/>
          <w:b/>
          <w:lang w:val="es-ES"/>
        </w:rPr>
      </w:pPr>
    </w:p>
    <w:p w14:paraId="7C9F9911" w14:textId="29875BC6" w:rsidR="00031550" w:rsidRDefault="00031550" w:rsidP="00EB4645">
      <w:pPr>
        <w:spacing w:after="0" w:line="240" w:lineRule="auto"/>
        <w:rPr>
          <w:rFonts w:ascii="Verdana" w:hAnsi="Verdana"/>
          <w:b/>
          <w:lang w:val="es-ES"/>
        </w:rPr>
      </w:pPr>
    </w:p>
    <w:p w14:paraId="48D87E71" w14:textId="211D4975" w:rsidR="00031550" w:rsidRDefault="00031550" w:rsidP="00EB4645">
      <w:pPr>
        <w:spacing w:after="0" w:line="240" w:lineRule="auto"/>
        <w:rPr>
          <w:rFonts w:ascii="Verdana" w:hAnsi="Verdana"/>
          <w:b/>
          <w:lang w:val="es-ES"/>
        </w:rPr>
      </w:pPr>
    </w:p>
    <w:p w14:paraId="7B97DECC" w14:textId="1FD1338C" w:rsidR="00031550" w:rsidRDefault="00031550" w:rsidP="00EB4645">
      <w:pPr>
        <w:spacing w:after="0" w:line="240" w:lineRule="auto"/>
        <w:rPr>
          <w:rFonts w:ascii="Verdana" w:hAnsi="Verdana"/>
          <w:b/>
          <w:lang w:val="es-ES"/>
        </w:rPr>
      </w:pPr>
    </w:p>
    <w:p w14:paraId="37B34D9D" w14:textId="63D26F29" w:rsidR="00031550" w:rsidRDefault="00031550" w:rsidP="00EB4645">
      <w:pPr>
        <w:spacing w:after="0" w:line="240" w:lineRule="auto"/>
        <w:rPr>
          <w:rFonts w:ascii="Verdana" w:hAnsi="Verdana"/>
          <w:b/>
          <w:lang w:val="es-ES"/>
        </w:rPr>
      </w:pPr>
    </w:p>
    <w:p w14:paraId="1AFF65BE" w14:textId="422BDDA0" w:rsidR="00031550" w:rsidRDefault="00031550" w:rsidP="00EB4645">
      <w:pPr>
        <w:spacing w:after="0" w:line="240" w:lineRule="auto"/>
        <w:rPr>
          <w:rFonts w:ascii="Verdana" w:hAnsi="Verdana"/>
          <w:b/>
          <w:lang w:val="es-ES"/>
        </w:rPr>
      </w:pPr>
    </w:p>
    <w:p w14:paraId="27E225E2" w14:textId="4FE80683" w:rsidR="00031550" w:rsidRDefault="00031550" w:rsidP="00EB4645">
      <w:pPr>
        <w:spacing w:after="0" w:line="240" w:lineRule="auto"/>
        <w:rPr>
          <w:rFonts w:ascii="Verdana" w:hAnsi="Verdana"/>
          <w:b/>
          <w:lang w:val="es-ES"/>
        </w:rPr>
      </w:pPr>
    </w:p>
    <w:p w14:paraId="134EBC64" w14:textId="0A59C8EB" w:rsidR="00031550" w:rsidRDefault="00031550" w:rsidP="00EB4645">
      <w:pPr>
        <w:spacing w:after="0" w:line="240" w:lineRule="auto"/>
        <w:rPr>
          <w:rFonts w:ascii="Verdana" w:hAnsi="Verdana"/>
          <w:b/>
          <w:lang w:val="es-ES"/>
        </w:rPr>
      </w:pPr>
    </w:p>
    <w:p w14:paraId="317D849D" w14:textId="779ABB2D" w:rsidR="00031550" w:rsidRDefault="00031550" w:rsidP="00EB4645">
      <w:pPr>
        <w:spacing w:after="0" w:line="240" w:lineRule="auto"/>
        <w:rPr>
          <w:rFonts w:ascii="Verdana" w:hAnsi="Verdana"/>
          <w:b/>
          <w:lang w:val="es-ES"/>
        </w:rPr>
      </w:pPr>
    </w:p>
    <w:p w14:paraId="060BAFE0" w14:textId="0A11A695" w:rsidR="00031550" w:rsidRDefault="00031550" w:rsidP="00EB4645">
      <w:pPr>
        <w:spacing w:after="0" w:line="240" w:lineRule="auto"/>
        <w:rPr>
          <w:rFonts w:ascii="Verdana" w:hAnsi="Verdana"/>
          <w:b/>
          <w:lang w:val="es-ES"/>
        </w:rPr>
      </w:pPr>
    </w:p>
    <w:p w14:paraId="62305DC5" w14:textId="326211E0" w:rsidR="00031550" w:rsidRDefault="00031550" w:rsidP="00EB4645">
      <w:pPr>
        <w:spacing w:after="0" w:line="240" w:lineRule="auto"/>
        <w:rPr>
          <w:rFonts w:ascii="Verdana" w:hAnsi="Verdana"/>
          <w:b/>
          <w:lang w:val="es-ES"/>
        </w:rPr>
      </w:pPr>
    </w:p>
    <w:p w14:paraId="775493F1" w14:textId="2F57DB94" w:rsidR="00031550" w:rsidRDefault="00031550" w:rsidP="00EB4645">
      <w:pPr>
        <w:spacing w:after="0" w:line="240" w:lineRule="auto"/>
        <w:rPr>
          <w:rFonts w:ascii="Verdana" w:hAnsi="Verdana"/>
          <w:b/>
          <w:lang w:val="es-ES"/>
        </w:rPr>
      </w:pPr>
    </w:p>
    <w:p w14:paraId="588F8D76" w14:textId="03F03E26" w:rsidR="00031550" w:rsidRDefault="00031550" w:rsidP="00EB4645">
      <w:pPr>
        <w:spacing w:after="0" w:line="240" w:lineRule="auto"/>
        <w:rPr>
          <w:rFonts w:ascii="Verdana" w:hAnsi="Verdana"/>
          <w:b/>
          <w:lang w:val="es-ES"/>
        </w:rPr>
      </w:pPr>
    </w:p>
    <w:p w14:paraId="328CE7D6" w14:textId="2A462A96" w:rsidR="00031550" w:rsidRDefault="00031550" w:rsidP="00EB4645">
      <w:pPr>
        <w:spacing w:after="0" w:line="240" w:lineRule="auto"/>
        <w:rPr>
          <w:rFonts w:ascii="Verdana" w:hAnsi="Verdana"/>
          <w:b/>
          <w:lang w:val="es-ES"/>
        </w:rPr>
      </w:pPr>
    </w:p>
    <w:p w14:paraId="404F181E" w14:textId="69355A9D" w:rsidR="00031550" w:rsidRDefault="00031550" w:rsidP="00EB4645">
      <w:pPr>
        <w:spacing w:after="0" w:line="240" w:lineRule="auto"/>
        <w:rPr>
          <w:rFonts w:ascii="Verdana" w:hAnsi="Verdana"/>
          <w:b/>
          <w:lang w:val="es-ES"/>
        </w:rPr>
      </w:pPr>
    </w:p>
    <w:p w14:paraId="3EE22FDF" w14:textId="77777777" w:rsidR="00031550" w:rsidRPr="00031550" w:rsidRDefault="00031550" w:rsidP="00EB4645">
      <w:pPr>
        <w:spacing w:after="0" w:line="240" w:lineRule="auto"/>
        <w:rPr>
          <w:rFonts w:ascii="Verdana" w:hAnsi="Verdana"/>
          <w:b/>
          <w:lang w:val="es-ES"/>
        </w:rPr>
      </w:pPr>
    </w:p>
    <w:p w14:paraId="630346DF" w14:textId="4FDF9B94" w:rsidR="0039750E" w:rsidRPr="0044528D" w:rsidRDefault="00F74530" w:rsidP="0039750E">
      <w:pPr>
        <w:spacing w:after="0" w:line="240" w:lineRule="auto"/>
        <w:rPr>
          <w:rFonts w:ascii="Verdana" w:hAnsi="Verdana"/>
        </w:rPr>
      </w:pPr>
      <w:r w:rsidRPr="00F74530">
        <w:rPr>
          <w:rFonts w:ascii="Verdana" w:hAnsi="Verdana"/>
          <w:noProof/>
          <w:lang w:val="en-US"/>
        </w:rPr>
        <w:lastRenderedPageBreak/>
        <w:drawing>
          <wp:anchor distT="0" distB="0" distL="114300" distR="114300" simplePos="0" relativeHeight="251658240" behindDoc="0" locked="0" layoutInCell="1" allowOverlap="1" wp14:anchorId="3E69535D" wp14:editId="6A972F9C">
            <wp:simplePos x="0" y="0"/>
            <wp:positionH relativeFrom="column">
              <wp:posOffset>2891790</wp:posOffset>
            </wp:positionH>
            <wp:positionV relativeFrom="paragraph">
              <wp:posOffset>144145</wp:posOffset>
            </wp:positionV>
            <wp:extent cx="2904490" cy="80454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4490" cy="804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21 de abril de 2025</w:t>
      </w:r>
      <w:r w:rsidR="0039750E" w:rsidRPr="0044528D">
        <w:rPr>
          <w:rFonts w:ascii="Verdana" w:hAnsi="Verdana"/>
        </w:rPr>
        <w:tab/>
      </w:r>
    </w:p>
    <w:p w14:paraId="0FC2B999" w14:textId="0F0DF497" w:rsidR="0039750E" w:rsidRPr="0044528D" w:rsidRDefault="0039750E" w:rsidP="0039750E">
      <w:pPr>
        <w:spacing w:after="0" w:line="240" w:lineRule="auto"/>
        <w:rPr>
          <w:rFonts w:ascii="Verdana" w:hAnsi="Verdana"/>
        </w:rPr>
      </w:pPr>
    </w:p>
    <w:p w14:paraId="3C56DB3A" w14:textId="54032A8C" w:rsidR="0039750E" w:rsidRPr="0044528D" w:rsidRDefault="0039750E" w:rsidP="0039750E">
      <w:pPr>
        <w:spacing w:after="0" w:line="240" w:lineRule="auto"/>
        <w:jc w:val="both"/>
        <w:rPr>
          <w:rStyle w:val="Hipervnculo"/>
          <w:rFonts w:ascii="Verdana" w:hAnsi="Verdana"/>
        </w:rPr>
      </w:pPr>
    </w:p>
    <w:p w14:paraId="6B252632" w14:textId="77777777" w:rsidR="0039750E" w:rsidRPr="003F20E6" w:rsidRDefault="0039750E" w:rsidP="0039750E">
      <w:pPr>
        <w:spacing w:after="0" w:line="240" w:lineRule="auto"/>
        <w:jc w:val="both"/>
        <w:rPr>
          <w:rFonts w:ascii="Verdana" w:hAnsi="Verdana" w:cs="Arial"/>
          <w:bCs/>
          <w:lang w:eastAsia="es-ES" w:bidi="es-ES"/>
        </w:rPr>
      </w:pPr>
      <w:r w:rsidRPr="003F20E6">
        <w:rPr>
          <w:rFonts w:ascii="Verdana" w:hAnsi="Verdana" w:cs="Arial"/>
          <w:bCs/>
          <w:lang w:eastAsia="es-ES" w:bidi="es-ES"/>
        </w:rPr>
        <w:t>Señor</w:t>
      </w:r>
    </w:p>
    <w:p w14:paraId="0B373C1C" w14:textId="77777777" w:rsidR="0039750E" w:rsidRPr="003F20E6" w:rsidRDefault="0039750E" w:rsidP="0039750E">
      <w:pPr>
        <w:spacing w:after="0" w:line="240" w:lineRule="auto"/>
        <w:jc w:val="both"/>
        <w:rPr>
          <w:rFonts w:ascii="Verdana" w:hAnsi="Verdana" w:cs="Arial"/>
          <w:b/>
          <w:bCs/>
          <w:lang w:eastAsia="es-ES" w:bidi="es-ES"/>
        </w:rPr>
      </w:pPr>
      <w:r w:rsidRPr="003F20E6">
        <w:rPr>
          <w:rFonts w:ascii="Verdana" w:hAnsi="Verdana" w:cs="Arial"/>
          <w:b/>
          <w:bCs/>
          <w:lang w:eastAsia="es-ES" w:bidi="es-ES"/>
        </w:rPr>
        <w:t>Josué Esteban González</w:t>
      </w:r>
    </w:p>
    <w:p w14:paraId="6109C008" w14:textId="77777777" w:rsidR="0039750E" w:rsidRPr="003F20E6" w:rsidRDefault="0039750E" w:rsidP="0039750E">
      <w:pPr>
        <w:spacing w:after="0" w:line="240" w:lineRule="auto"/>
        <w:jc w:val="both"/>
        <w:rPr>
          <w:rFonts w:ascii="Verdana" w:hAnsi="Verdana"/>
          <w:color w:val="0000FF"/>
          <w:u w:val="single"/>
        </w:rPr>
      </w:pPr>
      <w:r>
        <w:rPr>
          <w:rFonts w:ascii="Verdana" w:hAnsi="Verdana"/>
          <w:color w:val="0000FF"/>
          <w:u w:val="single"/>
        </w:rPr>
        <w:fldChar w:fldCharType="begin"/>
      </w:r>
      <w:r>
        <w:rPr>
          <w:rFonts w:ascii="Verdana" w:hAnsi="Verdana"/>
          <w:color w:val="0000FF"/>
          <w:u w:val="single"/>
        </w:rPr>
        <w:instrText>HYPERLINK "mailto:</w:instrText>
      </w:r>
      <w:r w:rsidRPr="003F20E6">
        <w:rPr>
          <w:rFonts w:ascii="Verdana" w:hAnsi="Verdana"/>
          <w:color w:val="0000FF"/>
          <w:u w:val="single"/>
        </w:rPr>
        <w:instrText xml:space="preserve">Secretaría de Educación de Bogotá </w:instrText>
      </w:r>
    </w:p>
    <w:p w14:paraId="4E18E625" w14:textId="77777777" w:rsidR="0039750E" w:rsidRPr="00E47CAB" w:rsidRDefault="0039750E" w:rsidP="0039750E">
      <w:pPr>
        <w:spacing w:after="0" w:line="240" w:lineRule="auto"/>
        <w:jc w:val="both"/>
        <w:rPr>
          <w:rStyle w:val="Hipervnculo"/>
          <w:rFonts w:ascii="Verdana" w:hAnsi="Verdana"/>
          <w:u w:val="none"/>
        </w:rPr>
      </w:pPr>
      <w:r w:rsidRPr="003F20E6">
        <w:rPr>
          <w:rFonts w:ascii="Verdana" w:hAnsi="Verdana" w:cs="Arial"/>
          <w:color w:val="0000FF"/>
          <w:u w:val="single"/>
          <w:lang w:eastAsia="es-ES" w:bidi="es-ES"/>
        </w:rPr>
        <w:instrText>egonzalez@educacionbogota.gov.co</w:instrText>
      </w:r>
      <w:r>
        <w:rPr>
          <w:rFonts w:ascii="Verdana" w:hAnsi="Verdana"/>
          <w:color w:val="0000FF"/>
          <w:u w:val="single"/>
        </w:rPr>
        <w:instrText>"</w:instrText>
      </w:r>
      <w:r>
        <w:rPr>
          <w:rFonts w:ascii="Verdana" w:hAnsi="Verdana"/>
          <w:color w:val="0000FF"/>
          <w:u w:val="single"/>
        </w:rPr>
      </w:r>
      <w:r>
        <w:rPr>
          <w:rFonts w:ascii="Verdana" w:hAnsi="Verdana"/>
          <w:color w:val="0000FF"/>
          <w:u w:val="single"/>
        </w:rPr>
        <w:fldChar w:fldCharType="separate"/>
      </w:r>
      <w:r w:rsidRPr="00E47CAB">
        <w:rPr>
          <w:rStyle w:val="Hipervnculo"/>
          <w:rFonts w:ascii="Verdana" w:hAnsi="Verdana"/>
          <w:color w:val="auto"/>
          <w:u w:val="none"/>
        </w:rPr>
        <w:t>Secretaría de Educación de Bogotá</w:t>
      </w:r>
      <w:r w:rsidRPr="00E47CAB">
        <w:rPr>
          <w:rStyle w:val="Hipervnculo"/>
          <w:rFonts w:ascii="Verdana" w:hAnsi="Verdana"/>
          <w:u w:val="none"/>
        </w:rPr>
        <w:t xml:space="preserve"> </w:t>
      </w:r>
    </w:p>
    <w:p w14:paraId="2C420138" w14:textId="77777777" w:rsidR="0039750E" w:rsidRPr="003F20E6" w:rsidRDefault="0039750E" w:rsidP="0039750E">
      <w:pPr>
        <w:spacing w:after="0" w:line="240" w:lineRule="auto"/>
        <w:jc w:val="both"/>
        <w:rPr>
          <w:rFonts w:ascii="Verdana" w:hAnsi="Verdana" w:cs="Arial"/>
          <w:bCs/>
          <w:lang w:eastAsia="es-ES" w:bidi="es-ES"/>
        </w:rPr>
      </w:pPr>
      <w:r w:rsidRPr="002E6EA7">
        <w:rPr>
          <w:rStyle w:val="Hipervnculo"/>
          <w:rFonts w:ascii="Verdana" w:hAnsi="Verdana" w:cs="Arial"/>
          <w:lang w:eastAsia="es-ES" w:bidi="es-ES"/>
        </w:rPr>
        <w:t>egonzalez@educacionbogota.gov.co</w:t>
      </w:r>
      <w:r>
        <w:rPr>
          <w:rFonts w:ascii="Verdana" w:hAnsi="Verdana"/>
          <w:color w:val="0000FF"/>
          <w:u w:val="single"/>
        </w:rPr>
        <w:fldChar w:fldCharType="end"/>
      </w:r>
    </w:p>
    <w:p w14:paraId="7B358AC5" w14:textId="77777777" w:rsidR="0039750E" w:rsidRPr="003F20E6" w:rsidRDefault="0039750E" w:rsidP="0039750E">
      <w:pPr>
        <w:spacing w:after="0" w:line="240" w:lineRule="auto"/>
        <w:jc w:val="both"/>
        <w:rPr>
          <w:rFonts w:ascii="Verdana" w:hAnsi="Verdana" w:cs="Arial"/>
          <w:bCs/>
          <w:lang w:val="es-MX" w:eastAsia="es-ES" w:bidi="es-ES"/>
        </w:rPr>
      </w:pPr>
      <w:r w:rsidRPr="003F20E6">
        <w:rPr>
          <w:rFonts w:ascii="Verdana" w:hAnsi="Verdana" w:cs="Arial"/>
          <w:bCs/>
          <w:lang w:val="es-MX" w:eastAsia="es-ES" w:bidi="es-ES"/>
        </w:rPr>
        <w:t xml:space="preserve">Bogotá D.C. </w:t>
      </w:r>
    </w:p>
    <w:p w14:paraId="5019A811" w14:textId="77777777" w:rsidR="0039750E" w:rsidRPr="003F20E6" w:rsidRDefault="0039750E" w:rsidP="0039750E">
      <w:pPr>
        <w:spacing w:after="0" w:line="240" w:lineRule="auto"/>
        <w:jc w:val="both"/>
        <w:rPr>
          <w:rFonts w:ascii="Verdana" w:hAnsi="Verdana" w:cs="Arial"/>
          <w:b/>
          <w:bCs/>
          <w:lang w:val="es-ES_tradnl" w:eastAsia="es-ES" w:bidi="es-ES"/>
        </w:rPr>
      </w:pPr>
    </w:p>
    <w:p w14:paraId="035181CD" w14:textId="77777777" w:rsidR="0039750E" w:rsidRPr="003F20E6" w:rsidRDefault="0039750E" w:rsidP="0039750E">
      <w:pPr>
        <w:tabs>
          <w:tab w:val="left" w:pos="7184"/>
        </w:tabs>
        <w:spacing w:after="0" w:line="240" w:lineRule="auto"/>
        <w:jc w:val="both"/>
        <w:rPr>
          <w:rFonts w:ascii="Verdana" w:hAnsi="Verdana" w:cs="Arial"/>
          <w:b/>
          <w:bCs/>
          <w:lang w:val="es-ES_tradnl" w:eastAsia="es-ES" w:bidi="es-ES"/>
        </w:rPr>
      </w:pPr>
      <w:r w:rsidRPr="003F20E6">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39750E" w:rsidRPr="003F20E6" w14:paraId="14E34DC1" w14:textId="77777777" w:rsidTr="00716C89">
        <w:trPr>
          <w:trHeight w:val="312"/>
        </w:trPr>
        <w:tc>
          <w:tcPr>
            <w:tcW w:w="2689" w:type="dxa"/>
          </w:tcPr>
          <w:p w14:paraId="68ED3EFB" w14:textId="77777777" w:rsidR="0039750E" w:rsidRPr="003F20E6" w:rsidRDefault="0039750E" w:rsidP="00716C89">
            <w:pPr>
              <w:jc w:val="both"/>
              <w:rPr>
                <w:rFonts w:ascii="Verdana" w:hAnsi="Verdana" w:cs="Arial"/>
                <w:b/>
                <w:bCs/>
                <w:lang w:val="es-ES_tradnl" w:eastAsia="es-ES" w:bidi="es-ES"/>
              </w:rPr>
            </w:pPr>
          </w:p>
        </w:tc>
        <w:tc>
          <w:tcPr>
            <w:tcW w:w="6242" w:type="dxa"/>
          </w:tcPr>
          <w:p w14:paraId="70961526" w14:textId="77777777" w:rsidR="0039750E" w:rsidRPr="003F20E6" w:rsidRDefault="0039750E" w:rsidP="00716C89">
            <w:pPr>
              <w:tabs>
                <w:tab w:val="right" w:pos="6242"/>
              </w:tabs>
              <w:jc w:val="both"/>
              <w:rPr>
                <w:rFonts w:ascii="Verdana" w:hAnsi="Verdana" w:cs="Arial"/>
                <w:b/>
                <w:bCs/>
                <w:lang w:val="es-MX" w:eastAsia="es-ES" w:bidi="es-ES"/>
              </w:rPr>
            </w:pPr>
            <w:r w:rsidRPr="003F20E6">
              <w:rPr>
                <w:rFonts w:ascii="Verdana" w:hAnsi="Verdana" w:cs="Arial"/>
                <w:b/>
                <w:bCs/>
                <w:lang w:val="es-MX" w:eastAsia="es-ES" w:bidi="es-ES"/>
              </w:rPr>
              <w:t>Concepto C- 292 de 2025</w:t>
            </w:r>
            <w:r w:rsidRPr="003F20E6">
              <w:rPr>
                <w:rFonts w:ascii="Verdana" w:hAnsi="Verdana" w:cs="Arial"/>
                <w:b/>
                <w:bCs/>
                <w:lang w:val="es-MX" w:eastAsia="es-ES" w:bidi="es-ES"/>
              </w:rPr>
              <w:tab/>
            </w:r>
          </w:p>
          <w:p w14:paraId="48B64E36" w14:textId="77777777" w:rsidR="0039750E" w:rsidRPr="003F20E6" w:rsidRDefault="0039750E" w:rsidP="00716C89">
            <w:pPr>
              <w:jc w:val="both"/>
              <w:rPr>
                <w:rFonts w:ascii="Verdana" w:hAnsi="Verdana" w:cs="Arial"/>
                <w:b/>
                <w:bCs/>
                <w:lang w:val="es-MX" w:eastAsia="es-ES" w:bidi="es-ES"/>
              </w:rPr>
            </w:pPr>
          </w:p>
        </w:tc>
      </w:tr>
      <w:tr w:rsidR="0039750E" w:rsidRPr="003F20E6" w14:paraId="6D8B4315" w14:textId="77777777" w:rsidTr="00716C89">
        <w:trPr>
          <w:trHeight w:val="884"/>
        </w:trPr>
        <w:tc>
          <w:tcPr>
            <w:tcW w:w="2689" w:type="dxa"/>
          </w:tcPr>
          <w:p w14:paraId="6F2A9A4F" w14:textId="77777777" w:rsidR="0039750E" w:rsidRPr="003F20E6" w:rsidRDefault="0039750E" w:rsidP="00716C89">
            <w:pPr>
              <w:jc w:val="both"/>
              <w:rPr>
                <w:rFonts w:ascii="Verdana" w:hAnsi="Verdana" w:cs="Arial"/>
                <w:bCs/>
                <w:lang w:val="es-MX" w:eastAsia="es-ES" w:bidi="es-ES"/>
              </w:rPr>
            </w:pPr>
            <w:r w:rsidRPr="003F20E6">
              <w:rPr>
                <w:rFonts w:ascii="Verdana" w:hAnsi="Verdana" w:cs="Arial"/>
                <w:bCs/>
                <w:lang w:val="es-MX" w:eastAsia="es-ES" w:bidi="es-ES"/>
              </w:rPr>
              <w:t xml:space="preserve">Temas:                   </w:t>
            </w:r>
          </w:p>
        </w:tc>
        <w:tc>
          <w:tcPr>
            <w:tcW w:w="6242" w:type="dxa"/>
          </w:tcPr>
          <w:p w14:paraId="506EC78D" w14:textId="77777777" w:rsidR="0039750E" w:rsidRPr="003F20E6" w:rsidRDefault="0039750E" w:rsidP="00716C89">
            <w:pPr>
              <w:jc w:val="both"/>
              <w:rPr>
                <w:rFonts w:ascii="Verdana" w:hAnsi="Verdana" w:cs="Arial"/>
                <w:bCs/>
                <w:lang w:val="es-MX" w:eastAsia="es-ES" w:bidi="es-ES"/>
              </w:rPr>
            </w:pPr>
            <w:r w:rsidRPr="003F20E6">
              <w:rPr>
                <w:rFonts w:ascii="Verdana" w:eastAsia="Arial" w:hAnsi="Verdana" w:cs="Arial"/>
                <w:lang w:val="es-ES"/>
              </w:rPr>
              <w:t>PRINCIPIO DE PUBLICIDAD – Concepto – Fundamento axiológico – Fundamento constitucional</w:t>
            </w:r>
            <w:r w:rsidRPr="003F20E6">
              <w:rPr>
                <w:rFonts w:ascii="Verdana" w:hAnsi="Verdana" w:cs="Arial"/>
                <w:bCs/>
                <w:lang w:val="es-ES_tradnl" w:eastAsia="es-ES" w:bidi="es-ES"/>
              </w:rPr>
              <w:t xml:space="preserve"> / PRINCIPIO DE PUBLICIDAD – SECOP – Documentos del proceso – Deber de publicación / PRINCIPIO DE PUBLICIDAD – Ámbito de aplicación – Decreto 1081 de 2015 – Decreto 1600 de 2024 / PRINCIPIO DE PUBLICIDAD – término de publicación – interpretación armónica - documentos de ejecución  </w:t>
            </w:r>
          </w:p>
          <w:p w14:paraId="44EA59FE" w14:textId="77777777" w:rsidR="0039750E" w:rsidRPr="003F20E6" w:rsidRDefault="0039750E" w:rsidP="00716C89">
            <w:pPr>
              <w:jc w:val="both"/>
              <w:rPr>
                <w:rFonts w:ascii="Verdana" w:hAnsi="Verdana" w:cs="Arial"/>
                <w:bCs/>
                <w:lang w:val="es-MX" w:eastAsia="es-ES" w:bidi="es-ES"/>
              </w:rPr>
            </w:pPr>
          </w:p>
        </w:tc>
      </w:tr>
      <w:tr w:rsidR="0039750E" w:rsidRPr="003F20E6" w14:paraId="0D1A80D3" w14:textId="77777777" w:rsidTr="00716C89">
        <w:tc>
          <w:tcPr>
            <w:tcW w:w="2689" w:type="dxa"/>
          </w:tcPr>
          <w:p w14:paraId="1299665B" w14:textId="77777777" w:rsidR="0039750E" w:rsidRPr="003F20E6" w:rsidRDefault="0039750E" w:rsidP="00716C89">
            <w:pPr>
              <w:jc w:val="both"/>
              <w:rPr>
                <w:rFonts w:ascii="Verdana" w:hAnsi="Verdana" w:cs="Arial"/>
                <w:bCs/>
                <w:lang w:val="es-MX" w:eastAsia="es-ES" w:bidi="es-ES"/>
              </w:rPr>
            </w:pPr>
            <w:r w:rsidRPr="003F20E6">
              <w:rPr>
                <w:rFonts w:ascii="Verdana" w:hAnsi="Verdana" w:cs="Arial"/>
                <w:bCs/>
                <w:lang w:val="es-MX" w:eastAsia="es-ES" w:bidi="es-ES"/>
              </w:rPr>
              <w:t xml:space="preserve">Radicación:               </w:t>
            </w:r>
          </w:p>
        </w:tc>
        <w:tc>
          <w:tcPr>
            <w:tcW w:w="6242" w:type="dxa"/>
          </w:tcPr>
          <w:p w14:paraId="21F86FED" w14:textId="77777777" w:rsidR="0039750E" w:rsidRPr="003F20E6" w:rsidRDefault="0039750E" w:rsidP="00716C89">
            <w:pPr>
              <w:jc w:val="both"/>
              <w:rPr>
                <w:rFonts w:ascii="Verdana" w:hAnsi="Verdana" w:cs="Arial"/>
                <w:bCs/>
                <w:lang w:eastAsia="es-ES" w:bidi="es-ES"/>
              </w:rPr>
            </w:pPr>
            <w:r w:rsidRPr="003F20E6">
              <w:rPr>
                <w:rFonts w:ascii="Verdana" w:hAnsi="Verdana" w:cs="Arial"/>
                <w:bCs/>
                <w:lang w:val="es-MX" w:eastAsia="es-ES" w:bidi="es-ES"/>
              </w:rPr>
              <w:t xml:space="preserve">Respuesta a consulta con radicado No. </w:t>
            </w:r>
            <w:r w:rsidRPr="003F20E6">
              <w:rPr>
                <w:rFonts w:ascii="Verdana" w:hAnsi="Verdana" w:cs="Arial"/>
                <w:bCs/>
                <w:lang w:eastAsia="es-ES" w:bidi="es-ES"/>
              </w:rPr>
              <w:t>P20250311002351</w:t>
            </w:r>
          </w:p>
          <w:p w14:paraId="52EA99C8" w14:textId="77777777" w:rsidR="0039750E" w:rsidRPr="003F20E6" w:rsidRDefault="0039750E" w:rsidP="00716C89">
            <w:pPr>
              <w:jc w:val="both"/>
              <w:rPr>
                <w:rFonts w:ascii="Verdana" w:hAnsi="Verdana" w:cs="Arial"/>
                <w:bCs/>
                <w:lang w:val="es-MX" w:eastAsia="es-ES" w:bidi="es-ES"/>
              </w:rPr>
            </w:pPr>
          </w:p>
        </w:tc>
      </w:tr>
    </w:tbl>
    <w:p w14:paraId="4CCCD919" w14:textId="77777777" w:rsidR="0039750E" w:rsidRPr="003F20E6" w:rsidRDefault="0039750E" w:rsidP="0039750E">
      <w:pPr>
        <w:spacing w:after="0" w:line="240" w:lineRule="auto"/>
        <w:jc w:val="both"/>
        <w:rPr>
          <w:rFonts w:ascii="Verdana" w:hAnsi="Verdana" w:cs="Arial"/>
          <w:bCs/>
          <w:lang w:val="es-ES_tradnl" w:eastAsia="es-ES" w:bidi="es-ES"/>
        </w:rPr>
      </w:pPr>
    </w:p>
    <w:p w14:paraId="69B161A1" w14:textId="77777777" w:rsidR="0039750E" w:rsidRPr="003F20E6" w:rsidRDefault="0039750E" w:rsidP="0039750E">
      <w:pPr>
        <w:spacing w:after="0" w:line="276" w:lineRule="auto"/>
        <w:jc w:val="both"/>
        <w:rPr>
          <w:rFonts w:ascii="Verdana" w:hAnsi="Verdana" w:cs="Arial"/>
          <w:bCs/>
          <w:lang w:val="es-MX" w:eastAsia="es-ES" w:bidi="es-ES"/>
        </w:rPr>
      </w:pPr>
      <w:r w:rsidRPr="003F20E6">
        <w:rPr>
          <w:rFonts w:ascii="Verdana" w:hAnsi="Verdana" w:cs="Arial"/>
          <w:bCs/>
          <w:lang w:val="es-MX" w:eastAsia="es-ES" w:bidi="es-ES"/>
        </w:rPr>
        <w:t>Estimado Señor Josué:</w:t>
      </w:r>
    </w:p>
    <w:p w14:paraId="54FB5D9D" w14:textId="77777777" w:rsidR="0039750E" w:rsidRPr="003F20E6" w:rsidRDefault="0039750E" w:rsidP="0039750E">
      <w:pPr>
        <w:spacing w:after="0" w:line="276" w:lineRule="auto"/>
        <w:jc w:val="both"/>
        <w:rPr>
          <w:rFonts w:ascii="Verdana" w:hAnsi="Verdana" w:cs="Arial"/>
          <w:bCs/>
          <w:lang w:val="es-ES" w:eastAsia="es-ES" w:bidi="es-ES"/>
        </w:rPr>
      </w:pPr>
    </w:p>
    <w:p w14:paraId="4A43411A" w14:textId="77777777" w:rsidR="0039750E" w:rsidRPr="003F20E6" w:rsidRDefault="0039750E" w:rsidP="0039750E">
      <w:pPr>
        <w:spacing w:after="0" w:line="276" w:lineRule="auto"/>
        <w:jc w:val="both"/>
        <w:rPr>
          <w:rFonts w:ascii="Verdana" w:hAnsi="Verdana" w:cs="Arial"/>
          <w:bCs/>
          <w:lang w:val="es-ES" w:eastAsia="es-ES" w:bidi="es-ES"/>
        </w:rPr>
      </w:pPr>
      <w:r w:rsidRPr="003F20E6">
        <w:rPr>
          <w:rFonts w:ascii="Verdana" w:hAnsi="Verdana" w:cs="Arial"/>
          <w:bCs/>
          <w:lang w:val="es-ES" w:eastAsia="es-ES" w:bidi="es-ES"/>
        </w:rPr>
        <w:t xml:space="preserve">En ejercicio de la competencia otorgada por los artículos 3, numeral 5º, y 11, numeral 8º, del Decreto Ley 4170 de 2011, </w:t>
      </w:r>
      <w:r w:rsidRPr="003F20E6">
        <w:rPr>
          <w:rFonts w:ascii="Verdana" w:hAnsi="Verdana" w:cs="Arial"/>
          <w:bCs/>
          <w:lang w:eastAsia="es-ES" w:bidi="es-ES"/>
        </w:rPr>
        <w:t xml:space="preserve">así como lo establecido en el artículo 4 de la Resolución 1707 de 2018 expedida por esta Entidad, </w:t>
      </w:r>
      <w:r w:rsidRPr="003F20E6">
        <w:rPr>
          <w:rFonts w:ascii="Verdana" w:hAnsi="Verdana" w:cs="Arial"/>
          <w:bCs/>
          <w:lang w:val="es-ES" w:eastAsia="es-ES" w:bidi="es-ES"/>
        </w:rPr>
        <w:t xml:space="preserve">la Agencia Nacional de Contratación Pública – Colombia Compra Eficiente– responde su solicitud de consulta de fecha del 11 de marzo de 2025, en la cual manifiesta lo siguiente: </w:t>
      </w:r>
    </w:p>
    <w:p w14:paraId="11255FF6" w14:textId="77777777" w:rsidR="0039750E" w:rsidRPr="003F20E6" w:rsidRDefault="0039750E" w:rsidP="0039750E">
      <w:pPr>
        <w:spacing w:after="0" w:line="276" w:lineRule="auto"/>
        <w:jc w:val="both"/>
        <w:rPr>
          <w:rFonts w:ascii="Verdana" w:hAnsi="Verdana" w:cs="Arial"/>
          <w:b/>
          <w:bCs/>
          <w:lang w:val="es-ES" w:eastAsia="es-ES" w:bidi="es-ES"/>
        </w:rPr>
      </w:pPr>
    </w:p>
    <w:p w14:paraId="61DF07DA" w14:textId="77777777" w:rsidR="0039750E" w:rsidRPr="003F20E6" w:rsidRDefault="0039750E" w:rsidP="0039750E">
      <w:pPr>
        <w:spacing w:after="0" w:line="240" w:lineRule="auto"/>
        <w:ind w:left="709" w:right="709"/>
        <w:jc w:val="both"/>
        <w:rPr>
          <w:rFonts w:ascii="Verdana" w:hAnsi="Verdana" w:cs="Arial"/>
          <w:bCs/>
          <w:sz w:val="20"/>
          <w:lang w:eastAsia="es-ES" w:bidi="es-ES"/>
        </w:rPr>
      </w:pPr>
      <w:r w:rsidRPr="003F20E6">
        <w:rPr>
          <w:rFonts w:ascii="Verdana" w:hAnsi="Verdana" w:cs="Arial"/>
          <w:bCs/>
          <w:sz w:val="20"/>
          <w:lang w:eastAsia="es-ES" w:bidi="es-ES"/>
        </w:rPr>
        <w:t xml:space="preserve">“El gobierno nacional expidió el Decreto 1600 de 2024. “Por el cual se modifica el Capítulo 1 y 3 del Título 4 de la Parte 1 del Libro 2 del Decreto 1081 de 2015, Decreto Reglamentario Único del Sector Presidencia de la República en lo relacionado con las Subcomisiones Técnicas de la Comisión Nacional de Moralización y la Estrategia Nacional de Lucha Contra la Corrupción.” En este Decreto se establece en el numeral 2 del ARTÍCULO 2.1.4.3.2.2. que, la información detallada de los contratos que suscriban, incluyendo, como mínimo: valor del contrato, objeto contractual, identidad del contratista seleccionado; así como el enlace directo al proceso en el Sistema Electrónico de Contratación Pública — SECOP. En SECOP, además, debe estar publicada la información de ejecución del contrato, </w:t>
      </w:r>
      <w:r w:rsidRPr="003F20E6">
        <w:rPr>
          <w:rFonts w:ascii="Verdana" w:hAnsi="Verdana" w:cs="Arial"/>
          <w:bCs/>
          <w:sz w:val="20"/>
          <w:lang w:eastAsia="es-ES" w:bidi="es-ES"/>
        </w:rPr>
        <w:lastRenderedPageBreak/>
        <w:t>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 De acuerdo con lo anterior, ¿esta disposición modifica el artículo 2.2.1.1.1.7.1., del Decreto 1082 de 2015, y es aplicable a todos los órdenes nacional y entes territoriales? Es decir, el plazo los Documentos del Proceso y los actos administrativos del Proceso de Contratación, ya no se tendrá plazo máximo de publicación dentro de los tres (3) días siguientes a su expedición, sino podrán realizarse dentro de los (10) días siguientes.”</w:t>
      </w:r>
      <w:r w:rsidRPr="003F20E6">
        <w:rPr>
          <w:rFonts w:ascii="Verdana" w:hAnsi="Verdana" w:cs="Arial"/>
          <w:bCs/>
          <w:sz w:val="20"/>
          <w:lang w:val="es-ES" w:eastAsia="es-ES" w:bidi="es-ES"/>
        </w:rPr>
        <w:t xml:space="preserve"> </w:t>
      </w:r>
    </w:p>
    <w:p w14:paraId="443D2BD5" w14:textId="77777777" w:rsidR="0039750E" w:rsidRPr="003F20E6" w:rsidRDefault="0039750E" w:rsidP="0039750E">
      <w:pPr>
        <w:spacing w:after="0" w:line="240" w:lineRule="auto"/>
        <w:jc w:val="both"/>
        <w:rPr>
          <w:rFonts w:ascii="Verdana" w:hAnsi="Verdana" w:cs="Arial"/>
          <w:b/>
          <w:bCs/>
          <w:lang w:val="es-ES" w:eastAsia="es-ES" w:bidi="es-ES"/>
        </w:rPr>
      </w:pPr>
    </w:p>
    <w:p w14:paraId="79C76AF5" w14:textId="77777777" w:rsidR="0039750E" w:rsidRPr="003F20E6" w:rsidRDefault="0039750E" w:rsidP="0039750E">
      <w:pPr>
        <w:spacing w:after="120" w:line="276" w:lineRule="auto"/>
        <w:ind w:firstLine="709"/>
        <w:jc w:val="both"/>
        <w:rPr>
          <w:rFonts w:ascii="Verdana" w:eastAsia="Calibri" w:hAnsi="Verdana" w:cs="Times New Roman"/>
          <w:lang w:val="es-ES"/>
        </w:rPr>
      </w:pPr>
      <w:r w:rsidRPr="003F20E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25F3E60" w14:textId="77777777" w:rsidR="0039750E" w:rsidRPr="003F20E6" w:rsidRDefault="0039750E" w:rsidP="0039750E">
      <w:pPr>
        <w:spacing w:after="0" w:line="276" w:lineRule="auto"/>
        <w:ind w:firstLine="708"/>
        <w:jc w:val="both"/>
        <w:rPr>
          <w:rFonts w:ascii="Verdana" w:eastAsia="Calibri" w:hAnsi="Verdana" w:cs="Times New Roman"/>
          <w:lang w:val="es-ES"/>
        </w:rPr>
      </w:pPr>
      <w:r w:rsidRPr="003F20E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unas consideraciones sobre las normas generales relacionadas con el problema jurídico de su consulta.</w:t>
      </w:r>
    </w:p>
    <w:p w14:paraId="4AE8CF00" w14:textId="77777777" w:rsidR="0039750E" w:rsidRPr="007D1A48" w:rsidRDefault="0039750E" w:rsidP="0039750E">
      <w:pPr>
        <w:spacing w:after="0" w:line="276" w:lineRule="auto"/>
        <w:rPr>
          <w:rFonts w:ascii="Verdana" w:eastAsia="Calibri" w:hAnsi="Verdana" w:cs="Times New Roman"/>
          <w:lang w:val="es-ES"/>
        </w:rPr>
      </w:pPr>
    </w:p>
    <w:p w14:paraId="605A2304" w14:textId="77777777" w:rsidR="0039750E" w:rsidRPr="007D1A48" w:rsidRDefault="0039750E" w:rsidP="0039750E">
      <w:pPr>
        <w:numPr>
          <w:ilvl w:val="0"/>
          <w:numId w:val="19"/>
        </w:numPr>
        <w:spacing w:after="0" w:line="276" w:lineRule="auto"/>
        <w:rPr>
          <w:rFonts w:ascii="Verdana" w:eastAsia="Calibri" w:hAnsi="Verdana" w:cs="Times New Roman"/>
          <w:b/>
          <w:bCs/>
          <w:lang w:val="es-ES"/>
        </w:rPr>
      </w:pPr>
      <w:r w:rsidRPr="007D1A48">
        <w:rPr>
          <w:rFonts w:ascii="Verdana" w:eastAsia="Calibri" w:hAnsi="Verdana" w:cs="Times New Roman"/>
          <w:b/>
          <w:bCs/>
          <w:lang w:val="es-ES"/>
        </w:rPr>
        <w:t>Problema planteado:</w:t>
      </w:r>
    </w:p>
    <w:p w14:paraId="7CFE3F7E" w14:textId="77777777" w:rsidR="0039750E" w:rsidRPr="007D1A48" w:rsidRDefault="0039750E" w:rsidP="0039750E">
      <w:pPr>
        <w:spacing w:after="0" w:line="276" w:lineRule="auto"/>
        <w:rPr>
          <w:rFonts w:ascii="Verdana" w:eastAsia="Calibri" w:hAnsi="Verdana" w:cs="Times New Roman"/>
        </w:rPr>
      </w:pPr>
    </w:p>
    <w:p w14:paraId="40D6CC52" w14:textId="77777777" w:rsidR="0039750E" w:rsidRPr="007D1A48" w:rsidRDefault="0039750E" w:rsidP="0039750E">
      <w:pPr>
        <w:spacing w:after="0" w:line="276" w:lineRule="auto"/>
        <w:jc w:val="both"/>
        <w:rPr>
          <w:rFonts w:ascii="Verdana" w:eastAsia="Calibri" w:hAnsi="Verdana" w:cs="Times New Roman"/>
          <w:bCs/>
        </w:rPr>
      </w:pPr>
      <w:r w:rsidRPr="007D1A48">
        <w:rPr>
          <w:rFonts w:ascii="Verdana" w:eastAsia="Calibri" w:hAnsi="Verdana" w:cs="Times New Roman"/>
        </w:rPr>
        <w:t xml:space="preserve">De acuerdo con el contenido de su solicitud, esta Agencia procede a resolver el siguiente problema jurídico: </w:t>
      </w:r>
      <w:proofErr w:type="gramStart"/>
      <w:r w:rsidRPr="007D1A48">
        <w:rPr>
          <w:rFonts w:ascii="Verdana" w:eastAsia="Calibri" w:hAnsi="Verdana" w:cs="Times New Roman"/>
        </w:rPr>
        <w:t xml:space="preserve">¿Cuál es el ámbito de aplicación y el término para publicar los contratos y los documentos del proceso </w:t>
      </w:r>
      <w:r w:rsidRPr="007D1A48">
        <w:rPr>
          <w:rFonts w:ascii="Verdana" w:eastAsia="Calibri" w:hAnsi="Verdana" w:cs="Times New Roman"/>
          <w:bCs/>
        </w:rPr>
        <w:t xml:space="preserve">en SECOP, teniendo en cuenta lo dispuesto en el Decreto 1081, modificado por el artículo </w:t>
      </w:r>
      <w:r w:rsidRPr="00E47CAB">
        <w:rPr>
          <w:rFonts w:ascii="Verdana" w:hAnsi="Verdana" w:cs="Arial"/>
          <w:bCs/>
          <w:lang w:eastAsia="es-ES" w:bidi="es-ES"/>
        </w:rPr>
        <w:t>2.</w:t>
      </w:r>
      <w:proofErr w:type="gramEnd"/>
      <w:r w:rsidRPr="00E47CAB">
        <w:rPr>
          <w:rFonts w:ascii="Verdana" w:hAnsi="Verdana" w:cs="Arial"/>
          <w:bCs/>
          <w:lang w:eastAsia="es-ES" w:bidi="es-ES"/>
        </w:rPr>
        <w:t xml:space="preserve">1.4.3.2.2. </w:t>
      </w:r>
      <w:r>
        <w:rPr>
          <w:rFonts w:ascii="Verdana" w:hAnsi="Verdana" w:cs="Arial"/>
          <w:bCs/>
          <w:lang w:eastAsia="es-ES" w:bidi="es-ES"/>
        </w:rPr>
        <w:t>del</w:t>
      </w:r>
      <w:r w:rsidRPr="00E47CAB">
        <w:rPr>
          <w:rFonts w:ascii="Verdana" w:hAnsi="Verdana" w:cs="Arial"/>
          <w:bCs/>
          <w:lang w:eastAsia="es-ES" w:bidi="es-ES"/>
        </w:rPr>
        <w:t xml:space="preserve"> </w:t>
      </w:r>
      <w:r w:rsidRPr="007D1A48">
        <w:rPr>
          <w:rFonts w:ascii="Verdana" w:eastAsia="Calibri" w:hAnsi="Verdana" w:cs="Times New Roman"/>
          <w:bCs/>
        </w:rPr>
        <w:t xml:space="preserve">Decreto 1600 de 2024? </w:t>
      </w:r>
    </w:p>
    <w:p w14:paraId="0B692FE6" w14:textId="77777777" w:rsidR="0039750E" w:rsidRPr="007D1A48" w:rsidRDefault="0039750E" w:rsidP="0039750E">
      <w:pPr>
        <w:spacing w:after="0" w:line="276" w:lineRule="auto"/>
        <w:jc w:val="both"/>
        <w:rPr>
          <w:rFonts w:ascii="Verdana" w:eastAsia="Calibri" w:hAnsi="Verdana" w:cs="Times New Roman"/>
          <w:bCs/>
        </w:rPr>
      </w:pPr>
    </w:p>
    <w:p w14:paraId="5D5F3051" w14:textId="77777777" w:rsidR="0039750E" w:rsidRPr="003F20E6" w:rsidRDefault="0039750E" w:rsidP="0039750E">
      <w:pPr>
        <w:numPr>
          <w:ilvl w:val="0"/>
          <w:numId w:val="19"/>
        </w:numPr>
        <w:spacing w:after="0" w:line="276" w:lineRule="auto"/>
        <w:rPr>
          <w:rFonts w:ascii="Verdana" w:eastAsia="Calibri" w:hAnsi="Verdana" w:cs="Times New Roman"/>
          <w:b/>
          <w:bCs/>
          <w:lang w:val="es-ES"/>
        </w:rPr>
      </w:pPr>
      <w:r w:rsidRPr="003F20E6">
        <w:rPr>
          <w:rFonts w:ascii="Verdana" w:eastAsia="Calibri" w:hAnsi="Verdana" w:cs="Times New Roman"/>
          <w:b/>
          <w:bCs/>
          <w:lang w:val="es-ES"/>
        </w:rPr>
        <w:t>Respuesta:</w:t>
      </w:r>
    </w:p>
    <w:p w14:paraId="27CD823F" w14:textId="77777777" w:rsidR="0039750E" w:rsidRPr="003F20E6" w:rsidRDefault="0039750E" w:rsidP="0039750E">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750E" w:rsidRPr="003F20E6" w14:paraId="424A1EBB" w14:textId="77777777" w:rsidTr="00716C89">
        <w:trPr>
          <w:trHeight w:val="870"/>
          <w:jc w:val="center"/>
        </w:trPr>
        <w:tc>
          <w:tcPr>
            <w:tcW w:w="8647" w:type="dxa"/>
          </w:tcPr>
          <w:p w14:paraId="120A772B" w14:textId="77777777" w:rsidR="0039750E" w:rsidRPr="000A2438" w:rsidRDefault="0039750E" w:rsidP="00716C89">
            <w:pPr>
              <w:spacing w:after="120" w:line="276" w:lineRule="auto"/>
              <w:jc w:val="both"/>
              <w:rPr>
                <w:rFonts w:ascii="Verdana" w:eastAsia="Calibri" w:hAnsi="Verdana" w:cs="Arial"/>
                <w:bCs/>
                <w:iCs/>
                <w:lang w:eastAsia="es-ES_tradnl"/>
              </w:rPr>
            </w:pPr>
            <w:r w:rsidRPr="000A2438">
              <w:rPr>
                <w:rFonts w:ascii="Verdana" w:eastAsia="Calibri" w:hAnsi="Verdana" w:cs="Arial"/>
                <w:lang w:val="es-ES" w:eastAsia="es-ES_tradnl"/>
              </w:rPr>
              <w:t>Respecto al problema jurídico planteado en su consulta,</w:t>
            </w:r>
            <w:r w:rsidRPr="000A2438">
              <w:rPr>
                <w:rFonts w:ascii="Verdana" w:eastAsia="Calibri" w:hAnsi="Verdana" w:cs="Arial"/>
                <w:lang w:val="es-ES_tradnl" w:eastAsia="es-ES_tradnl"/>
              </w:rPr>
              <w:t xml:space="preserve"> </w:t>
            </w:r>
            <w:r w:rsidRPr="000A2438">
              <w:rPr>
                <w:rFonts w:ascii="Verdana" w:eastAsia="Calibri" w:hAnsi="Verdana" w:cs="Arial"/>
                <w:bCs/>
                <w:lang w:eastAsia="es-ES_tradnl"/>
              </w:rPr>
              <w:t>se señala que el literal b)</w:t>
            </w:r>
            <w:r w:rsidRPr="00E47CAB">
              <w:rPr>
                <w:rFonts w:ascii="Verdana" w:eastAsia="Calibri" w:hAnsi="Verdana" w:cs="Arial"/>
                <w:bCs/>
                <w:iCs/>
                <w:lang w:eastAsia="es-ES_tradnl"/>
              </w:rPr>
              <w:t xml:space="preserve"> del artículo 2.1.4.3.2.2 del Decreto 1081 de 2015 modificado por el Decreto 1600 de 2024</w:t>
            </w:r>
            <w:r w:rsidRPr="000A2438">
              <w:rPr>
                <w:rFonts w:ascii="Verdana" w:eastAsia="Calibri" w:hAnsi="Verdana" w:cs="Arial"/>
                <w:bCs/>
                <w:lang w:eastAsia="es-ES_tradnl"/>
              </w:rPr>
              <w:t xml:space="preserve"> </w:t>
            </w:r>
            <w:r w:rsidRPr="000A2438">
              <w:rPr>
                <w:rFonts w:ascii="Verdana" w:eastAsia="Calibri" w:hAnsi="Verdana" w:cs="Arial"/>
                <w:bCs/>
                <w:iCs/>
                <w:lang w:eastAsia="es-ES_tradnl"/>
              </w:rPr>
              <w:t xml:space="preserve">establece dos subreglas. La </w:t>
            </w:r>
            <w:r w:rsidRPr="00E47CAB">
              <w:rPr>
                <w:rFonts w:ascii="Verdana" w:eastAsia="Calibri" w:hAnsi="Verdana" w:cs="Arial"/>
                <w:bCs/>
                <w:i/>
                <w:lang w:eastAsia="es-ES_tradnl"/>
              </w:rPr>
              <w:t>primera</w:t>
            </w:r>
            <w:r w:rsidRPr="000A2438">
              <w:rPr>
                <w:rFonts w:ascii="Verdana" w:eastAsia="Calibri" w:hAnsi="Verdana" w:cs="Arial"/>
                <w:bCs/>
                <w:iCs/>
                <w:lang w:eastAsia="es-ES_tradnl"/>
              </w:rPr>
              <w:t xml:space="preserve"> está contenida en un primer aparte que dispone: “</w:t>
            </w:r>
            <w:r w:rsidRPr="00E47CAB">
              <w:rPr>
                <w:rFonts w:ascii="Verdana" w:eastAsia="Calibri" w:hAnsi="Verdana" w:cs="Arial"/>
                <w:bCs/>
                <w:i/>
                <w:iCs/>
                <w:lang w:eastAsia="es-ES_tradnl"/>
              </w:rPr>
              <w:t>Información detallada de los contratos que suscriban, incluyendo, como mínimo: valor del contrato, objeto contractual, identidad del contratista seleccionado; así como el enlace directo al proceso en el Sistema Electrónico de Contratación Pública (SECOP)”</w:t>
            </w:r>
            <w:r>
              <w:rPr>
                <w:rFonts w:ascii="Verdana" w:eastAsia="Calibri" w:hAnsi="Verdana" w:cs="Arial"/>
                <w:bCs/>
                <w:i/>
                <w:iCs/>
                <w:lang w:eastAsia="es-ES_tradnl"/>
              </w:rPr>
              <w:t xml:space="preserve">. </w:t>
            </w:r>
            <w:r>
              <w:rPr>
                <w:rFonts w:ascii="Verdana" w:eastAsia="Calibri" w:hAnsi="Verdana" w:cs="Arial"/>
                <w:bCs/>
                <w:lang w:eastAsia="es-ES_tradnl"/>
              </w:rPr>
              <w:t>Este apartado</w:t>
            </w:r>
            <w:r w:rsidRPr="00E47CAB">
              <w:rPr>
                <w:rFonts w:ascii="Verdana" w:eastAsia="Calibri" w:hAnsi="Verdana" w:cs="Arial"/>
                <w:bCs/>
                <w:i/>
                <w:iCs/>
                <w:lang w:eastAsia="es-ES_tradnl"/>
              </w:rPr>
              <w:t xml:space="preserve"> </w:t>
            </w:r>
            <w:r w:rsidRPr="00E47CAB">
              <w:rPr>
                <w:rFonts w:ascii="Verdana" w:eastAsia="Calibri" w:hAnsi="Verdana" w:cs="Arial"/>
                <w:bCs/>
                <w:lang w:eastAsia="es-ES_tradnl"/>
              </w:rPr>
              <w:t>implica el</w:t>
            </w:r>
            <w:r w:rsidRPr="000A2438">
              <w:rPr>
                <w:rFonts w:ascii="Verdana" w:eastAsia="Calibri" w:hAnsi="Verdana" w:cs="Arial"/>
                <w:bCs/>
                <w:iCs/>
                <w:lang w:eastAsia="es-ES_tradnl"/>
              </w:rPr>
              <w:t xml:space="preserve"> mandato </w:t>
            </w:r>
            <w:r>
              <w:rPr>
                <w:rFonts w:ascii="Verdana" w:eastAsia="Calibri" w:hAnsi="Verdana" w:cs="Arial"/>
                <w:bCs/>
                <w:iCs/>
                <w:lang w:eastAsia="es-ES_tradnl"/>
              </w:rPr>
              <w:t xml:space="preserve">dirigido a los sujetos obligados </w:t>
            </w:r>
            <w:r w:rsidRPr="000A2438">
              <w:rPr>
                <w:rFonts w:ascii="Verdana" w:eastAsia="Calibri" w:hAnsi="Verdana" w:cs="Arial"/>
                <w:bCs/>
                <w:iCs/>
                <w:lang w:eastAsia="es-ES_tradnl"/>
              </w:rPr>
              <w:t>de publicar en página web la información detallada de los contratos celebrados, incluyendo su valor, objeto, identidad del contratista seleccionado, así como el enlace en el SECOP.</w:t>
            </w:r>
          </w:p>
          <w:p w14:paraId="368A5CA7" w14:textId="77777777" w:rsidR="0039750E" w:rsidRPr="000A2438" w:rsidRDefault="0039750E" w:rsidP="00716C89">
            <w:pPr>
              <w:spacing w:after="120" w:line="276" w:lineRule="auto"/>
              <w:ind w:firstLine="709"/>
              <w:jc w:val="both"/>
              <w:rPr>
                <w:rFonts w:ascii="Verdana" w:eastAsia="Calibri" w:hAnsi="Verdana" w:cs="Arial"/>
                <w:bCs/>
                <w:lang w:eastAsia="es-ES_tradnl"/>
              </w:rPr>
            </w:pPr>
            <w:r w:rsidRPr="000A2438">
              <w:rPr>
                <w:rFonts w:ascii="Verdana" w:eastAsia="Calibri" w:hAnsi="Verdana" w:cs="Arial"/>
                <w:bCs/>
                <w:iCs/>
                <w:lang w:eastAsia="es-ES_tradnl"/>
              </w:rPr>
              <w:t xml:space="preserve">Una </w:t>
            </w:r>
            <w:r w:rsidRPr="00E47CAB">
              <w:rPr>
                <w:rFonts w:ascii="Verdana" w:eastAsia="Calibri" w:hAnsi="Verdana" w:cs="Arial"/>
                <w:bCs/>
                <w:i/>
                <w:lang w:eastAsia="es-ES_tradnl"/>
              </w:rPr>
              <w:t>segunda</w:t>
            </w:r>
            <w:r w:rsidRPr="000A2438">
              <w:rPr>
                <w:rFonts w:ascii="Verdana" w:eastAsia="Calibri" w:hAnsi="Verdana" w:cs="Arial"/>
                <w:bCs/>
                <w:iCs/>
                <w:lang w:eastAsia="es-ES_tradnl"/>
              </w:rPr>
              <w:t xml:space="preserve"> subregla que prescribe</w:t>
            </w:r>
            <w:r w:rsidRPr="000A2438">
              <w:rPr>
                <w:rFonts w:ascii="Verdana" w:eastAsia="Calibri" w:hAnsi="Verdana" w:cs="Arial"/>
                <w:bCs/>
                <w:lang w:eastAsia="es-ES_tradnl"/>
              </w:rPr>
              <w:t xml:space="preserve">: </w:t>
            </w:r>
            <w:r w:rsidRPr="000A2438">
              <w:rPr>
                <w:rFonts w:ascii="Verdana" w:eastAsia="Calibri" w:hAnsi="Verdana" w:cs="Arial"/>
                <w:bCs/>
                <w:i/>
                <w:lang w:eastAsia="es-ES_tradnl"/>
              </w:rPr>
              <w:t>“</w:t>
            </w:r>
            <w:r w:rsidRPr="000A2438">
              <w:rPr>
                <w:rFonts w:ascii="Verdana" w:eastAsia="Calibri" w:hAnsi="Verdana" w:cs="Arial"/>
                <w:bCs/>
                <w:i/>
                <w:iCs/>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0A2438">
              <w:rPr>
                <w:rFonts w:ascii="Verdana" w:eastAsia="Calibri" w:hAnsi="Verdana" w:cs="Arial"/>
                <w:bCs/>
                <w:lang w:eastAsia="es-ES_tradnl"/>
              </w:rPr>
              <w:t xml:space="preserve"> Esta subregla </w:t>
            </w:r>
            <w:r w:rsidRPr="00E47CAB">
              <w:rPr>
                <w:rFonts w:ascii="Verdana" w:eastAsia="Calibri" w:hAnsi="Verdana" w:cs="Arial"/>
                <w:bCs/>
                <w:iCs/>
                <w:lang w:eastAsia="es-ES_tradnl"/>
              </w:rPr>
              <w:t>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w:t>
            </w:r>
            <w:r>
              <w:rPr>
                <w:rFonts w:ascii="Verdana" w:eastAsia="Calibri" w:hAnsi="Verdana" w:cs="Arial"/>
                <w:bCs/>
                <w:iCs/>
                <w:lang w:eastAsia="es-ES_tradnl"/>
              </w:rPr>
              <w:t xml:space="preserve"> suscripción del contrato u</w:t>
            </w:r>
            <w:r w:rsidRPr="00E47CAB">
              <w:rPr>
                <w:rFonts w:ascii="Verdana" w:eastAsia="Calibri" w:hAnsi="Verdana" w:cs="Arial"/>
                <w:bCs/>
                <w:iCs/>
                <w:lang w:eastAsia="es-ES_tradnl"/>
              </w:rPr>
              <w:t xml:space="preserve"> ocurrencia del hecho, y en ningún caso puede haber retraso para el cumplimiento de este término, esto es, establece un límite máximo de publicación para los documentos de ejecución del contrato.</w:t>
            </w:r>
          </w:p>
          <w:p w14:paraId="751136B3" w14:textId="77777777" w:rsidR="0039750E" w:rsidRDefault="0039750E" w:rsidP="00716C89">
            <w:pPr>
              <w:spacing w:after="120" w:line="276" w:lineRule="auto"/>
              <w:ind w:firstLine="708"/>
              <w:jc w:val="both"/>
              <w:rPr>
                <w:rFonts w:ascii="Verdana" w:eastAsia="Calibri" w:hAnsi="Verdana" w:cs="Arial"/>
                <w:bCs/>
                <w:iCs/>
                <w:lang w:eastAsia="es-ES_tradnl"/>
              </w:rPr>
            </w:pPr>
            <w:r w:rsidRPr="00E47CAB">
              <w:rPr>
                <w:rFonts w:ascii="Verdana" w:eastAsia="Calibri" w:hAnsi="Verdana" w:cs="Arial"/>
                <w:bCs/>
                <w:iCs/>
                <w:lang w:eastAsia="es-ES_tradnl"/>
              </w:rPr>
              <w:t>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w:t>
            </w:r>
            <w:r>
              <w:rPr>
                <w:rFonts w:ascii="Verdana" w:eastAsia="Calibri" w:hAnsi="Verdana" w:cs="Arial"/>
                <w:bCs/>
                <w:iCs/>
                <w:lang w:eastAsia="es-ES_tradnl"/>
              </w:rPr>
              <w:t>. A</w:t>
            </w:r>
            <w:r w:rsidRPr="00E47CAB">
              <w:rPr>
                <w:rFonts w:ascii="Verdana" w:eastAsia="Calibri" w:hAnsi="Verdana" w:cs="Arial"/>
                <w:bCs/>
                <w:iCs/>
                <w:lang w:eastAsia="es-ES_tradnl"/>
              </w:rPr>
              <w:t xml:space="preserve">demás, dispone que la oferta que debe publicarse es la del adjudicatario del Proceso de Contratación, y que los documentos de las operaciones que se realicen en bolsa de productos no tienen que publicarse en el SECOP. </w:t>
            </w:r>
          </w:p>
          <w:p w14:paraId="306C6E89" w14:textId="77777777" w:rsidR="0039750E" w:rsidRPr="00E47CAB" w:rsidRDefault="0039750E" w:rsidP="00716C89">
            <w:pPr>
              <w:spacing w:after="120" w:line="276" w:lineRule="auto"/>
              <w:ind w:firstLine="708"/>
              <w:jc w:val="both"/>
              <w:rPr>
                <w:rFonts w:ascii="Verdana" w:eastAsia="Calibri" w:hAnsi="Verdana" w:cs="Arial"/>
                <w:bCs/>
                <w:iCs/>
                <w:lang w:val="es-ES_tradnl" w:eastAsia="es-ES_tradnl"/>
              </w:rPr>
            </w:pPr>
            <w:r w:rsidRPr="00E47CAB">
              <w:rPr>
                <w:rFonts w:ascii="Verdana" w:eastAsia="Calibri" w:hAnsi="Verdana" w:cs="Arial"/>
                <w:bCs/>
                <w:iCs/>
                <w:lang w:eastAsia="es-ES_tradnl"/>
              </w:rPr>
              <w:t xml:space="preserve">En este escenario, en un principio, </w:t>
            </w:r>
            <w:r w:rsidRPr="00AF6A7D">
              <w:rPr>
                <w:rFonts w:ascii="Verdana" w:eastAsia="Calibri" w:hAnsi="Verdana" w:cs="Arial"/>
                <w:bCs/>
                <w:iCs/>
                <w:lang w:eastAsia="es-ES_tradnl"/>
              </w:rPr>
              <w:t>parece</w:t>
            </w:r>
            <w:r>
              <w:rPr>
                <w:rFonts w:ascii="Verdana" w:eastAsia="Calibri" w:hAnsi="Verdana" w:cs="Arial"/>
                <w:bCs/>
                <w:iCs/>
                <w:lang w:eastAsia="es-ES_tradnl"/>
              </w:rPr>
              <w:t xml:space="preserve"> que existe </w:t>
            </w:r>
            <w:r w:rsidRPr="00E47CAB">
              <w:rPr>
                <w:rFonts w:ascii="Verdana" w:eastAsia="Calibri" w:hAnsi="Verdana" w:cs="Arial"/>
                <w:bCs/>
                <w:iCs/>
                <w:lang w:eastAsia="es-ES_tradnl"/>
              </w:rPr>
              <w:t xml:space="preserve">un </w:t>
            </w:r>
            <w:r w:rsidRPr="00E47CAB">
              <w:rPr>
                <w:rFonts w:ascii="Verdana" w:eastAsia="Calibri" w:hAnsi="Verdana" w:cs="Arial"/>
                <w:bCs/>
                <w:iCs/>
                <w:lang w:val="es-ES_tradnl" w:eastAsia="es-ES_tradnl"/>
              </w:rPr>
              <w:t xml:space="preserve">conflicto entre la </w:t>
            </w:r>
            <w:r w:rsidRPr="00E47CAB">
              <w:rPr>
                <w:rFonts w:ascii="Verdana" w:eastAsia="Calibri" w:hAnsi="Verdana" w:cs="Arial"/>
                <w:bCs/>
                <w:i/>
                <w:iCs/>
                <w:lang w:val="es-ES_tradnl" w:eastAsia="es-ES_tradnl"/>
              </w:rPr>
              <w:t>regla general dispuesta en el Decreto 1082 de 2015</w:t>
            </w:r>
            <w:r w:rsidRPr="00E47CAB">
              <w:rPr>
                <w:rFonts w:ascii="Verdana" w:eastAsia="Calibri" w:hAnsi="Verdana" w:cs="Arial"/>
                <w:bCs/>
                <w:iCs/>
                <w:lang w:val="es-ES_tradnl" w:eastAsia="es-ES_tradnl"/>
              </w:rPr>
              <w:t xml:space="preserve"> y la </w:t>
            </w:r>
            <w:r w:rsidRPr="00E47CAB">
              <w:rPr>
                <w:rFonts w:ascii="Verdana" w:eastAsia="Calibri" w:hAnsi="Verdana" w:cs="Arial"/>
                <w:bCs/>
                <w:i/>
                <w:iCs/>
                <w:lang w:val="es-ES_tradnl" w:eastAsia="es-ES_tradnl"/>
              </w:rPr>
              <w:t xml:space="preserve">regla especial que dispone un término máximo para publicar la información para entidades del </w:t>
            </w:r>
            <w:r w:rsidRPr="00E47CAB">
              <w:rPr>
                <w:rFonts w:ascii="Verdana" w:eastAsia="Calibri" w:hAnsi="Verdana" w:cs="Arial"/>
                <w:bCs/>
                <w:i/>
                <w:iCs/>
                <w:lang w:val="es-ES_tradnl" w:eastAsia="es-ES_tradnl"/>
              </w:rPr>
              <w:lastRenderedPageBreak/>
              <w:t>orden nacional</w:t>
            </w:r>
            <w:r w:rsidRPr="00E47CAB">
              <w:rPr>
                <w:rFonts w:ascii="Verdana" w:eastAsia="Calibri" w:hAnsi="Verdana" w:cs="Arial"/>
                <w:bCs/>
                <w:iCs/>
                <w:lang w:val="es-ES_tradnl" w:eastAsia="es-ES_tradnl"/>
              </w:rPr>
              <w:t>, siendo necesario acudir a</w:t>
            </w:r>
            <w:r>
              <w:rPr>
                <w:rFonts w:ascii="Verdana" w:eastAsia="Calibri" w:hAnsi="Verdana" w:cs="Arial"/>
                <w:bCs/>
                <w:iCs/>
                <w:lang w:val="es-ES_tradnl" w:eastAsia="es-ES_tradnl"/>
              </w:rPr>
              <w:t xml:space="preserve"> una regla de interpretación jurídica</w:t>
            </w:r>
            <w:r w:rsidRPr="00E47CAB">
              <w:rPr>
                <w:rFonts w:ascii="Verdana" w:eastAsia="Calibri" w:hAnsi="Verdana" w:cs="Arial"/>
                <w:bCs/>
                <w:iCs/>
                <w:lang w:val="es-ES_tradnl" w:eastAsia="es-ES_tradnl"/>
              </w:rPr>
              <w:t xml:space="preserve"> con fundamento en el artículo 5.1 de la Ley 57 de 1887. Según esta norma, “[…] Si en los Códigos que se adoptan se hallaren algunas disposiciones incompatibles entre sí […] </w:t>
            </w:r>
            <w:r w:rsidRPr="00E47CAB">
              <w:rPr>
                <w:rFonts w:ascii="Verdana" w:eastAsia="Calibri" w:hAnsi="Verdana" w:cs="Arial"/>
                <w:bCs/>
                <w:i/>
                <w:iCs/>
                <w:lang w:val="es-ES_tradnl" w:eastAsia="es-ES_tradnl"/>
              </w:rPr>
              <w:t>La disposición relativa a un asunto especial prefiere a la que tenga carácter general</w:t>
            </w:r>
            <w:r w:rsidRPr="00E47CAB">
              <w:rPr>
                <w:rFonts w:ascii="Verdana" w:eastAsia="Calibri" w:hAnsi="Verdana" w:cs="Arial"/>
                <w:bCs/>
                <w:iCs/>
                <w:lang w:val="es-ES_tradnl" w:eastAsia="es-ES_tradnl"/>
              </w:rPr>
              <w:t xml:space="preserve"> […]” (Énfasis fuera de texto). </w:t>
            </w:r>
          </w:p>
          <w:p w14:paraId="4AD93AD6" w14:textId="77777777" w:rsidR="0039750E" w:rsidRDefault="0039750E" w:rsidP="00716C89">
            <w:pPr>
              <w:spacing w:after="120" w:line="276" w:lineRule="auto"/>
              <w:ind w:firstLine="708"/>
              <w:jc w:val="both"/>
              <w:rPr>
                <w:rFonts w:ascii="Verdana" w:eastAsia="Calibri" w:hAnsi="Verdana" w:cs="Arial"/>
                <w:bCs/>
                <w:iCs/>
                <w:lang w:val="es-ES_tradnl" w:eastAsia="es-ES_tradnl"/>
              </w:rPr>
            </w:pPr>
            <w:r w:rsidRPr="00E47CAB">
              <w:rPr>
                <w:rFonts w:ascii="Verdana" w:eastAsia="Calibri" w:hAnsi="Verdana" w:cs="Arial"/>
                <w:bCs/>
                <w:iCs/>
                <w:lang w:val="es-ES_tradnl" w:eastAsia="es-ES_tradnl"/>
              </w:rPr>
              <w:t xml:space="preserve">Por tanto, la regla dispuesta en el </w:t>
            </w:r>
            <w:r w:rsidRPr="00E47CAB">
              <w:rPr>
                <w:rFonts w:ascii="Verdana" w:eastAsia="Calibri" w:hAnsi="Verdana" w:cs="Arial"/>
                <w:bCs/>
                <w:iCs/>
                <w:lang w:eastAsia="es-ES_tradnl"/>
              </w:rPr>
              <w:t xml:space="preserve">artículo 2.1.4.3.2.2 del Decreto 1081 de 2015 </w:t>
            </w:r>
            <w:r w:rsidRPr="00E47CAB">
              <w:rPr>
                <w:rFonts w:ascii="Verdana" w:eastAsia="Calibri" w:hAnsi="Verdana" w:cs="Arial"/>
                <w:bCs/>
                <w:iCs/>
                <w:lang w:val="es-ES_tradnl" w:eastAsia="es-ES_tradnl"/>
              </w:rPr>
              <w:t>–</w:t>
            </w:r>
            <w:r w:rsidRPr="00E47CAB">
              <w:rPr>
                <w:rFonts w:ascii="Verdana" w:eastAsia="Calibri" w:hAnsi="Verdana" w:cs="Arial"/>
                <w:bCs/>
                <w:i/>
                <w:iCs/>
                <w:lang w:val="es-ES_tradnl" w:eastAsia="es-ES_tradnl"/>
              </w:rPr>
              <w:t>regla especial</w:t>
            </w:r>
            <w:r w:rsidRPr="00E47CAB">
              <w:rPr>
                <w:rFonts w:ascii="Verdana" w:eastAsia="Calibri" w:hAnsi="Verdana" w:cs="Arial"/>
                <w:bCs/>
                <w:iCs/>
                <w:lang w:val="es-ES_tradnl" w:eastAsia="es-ES_tradnl"/>
              </w:rPr>
              <w:t xml:space="preserve">– debe tenerse en cuenta sobre el entendimiento y aplicación del artículo </w:t>
            </w:r>
            <w:r w:rsidRPr="00E47CAB">
              <w:rPr>
                <w:rFonts w:ascii="Verdana" w:eastAsia="Calibri" w:hAnsi="Verdana" w:cs="Arial"/>
                <w:bCs/>
                <w:iCs/>
                <w:lang w:eastAsia="es-ES_tradnl"/>
              </w:rPr>
              <w:t>2.2.1.1.1.7.1. del Decreto 1082 de 2015</w:t>
            </w:r>
            <w:r w:rsidRPr="00E47CAB">
              <w:rPr>
                <w:rFonts w:ascii="Verdana" w:eastAsia="Calibri" w:hAnsi="Verdana" w:cs="Arial"/>
                <w:bCs/>
                <w:iCs/>
                <w:lang w:val="es-ES_tradnl" w:eastAsia="es-ES_tradnl"/>
              </w:rPr>
              <w:t xml:space="preserve"> –</w:t>
            </w:r>
            <w:r w:rsidRPr="00E47CAB">
              <w:rPr>
                <w:rFonts w:ascii="Verdana" w:eastAsia="Calibri" w:hAnsi="Verdana" w:cs="Arial"/>
                <w:bCs/>
                <w:i/>
                <w:iCs/>
                <w:lang w:val="es-ES_tradnl" w:eastAsia="es-ES_tradnl"/>
              </w:rPr>
              <w:t>regla general</w:t>
            </w:r>
            <w:r w:rsidRPr="00E47CAB">
              <w:rPr>
                <w:rFonts w:ascii="Verdana" w:eastAsia="Calibri" w:hAnsi="Verdana" w:cs="Arial"/>
                <w:bCs/>
                <w:iCs/>
                <w:lang w:val="es-ES_tradnl" w:eastAsia="es-ES_tradnl"/>
              </w:rPr>
              <w:t xml:space="preserve">–, esto es, deben interpretarse armónicamente. Esto no significa que la </w:t>
            </w:r>
            <w:r w:rsidRPr="00E47CAB">
              <w:rPr>
                <w:rFonts w:ascii="Verdana" w:eastAsia="Calibri" w:hAnsi="Verdana" w:cs="Arial"/>
                <w:bCs/>
                <w:i/>
                <w:iCs/>
                <w:lang w:val="es-ES_tradnl" w:eastAsia="es-ES_tradnl"/>
              </w:rPr>
              <w:t>regla general</w:t>
            </w:r>
            <w:r w:rsidRPr="00E47CAB">
              <w:rPr>
                <w:rFonts w:ascii="Verdana" w:eastAsia="Calibri" w:hAnsi="Verdana" w:cs="Arial"/>
                <w:bCs/>
                <w:iCs/>
                <w:lang w:val="es-ES_tradnl" w:eastAsia="es-ES_tradnl"/>
              </w:rPr>
              <w:t xml:space="preserve"> desaparezca del ordenamiento jurídico</w:t>
            </w:r>
            <w:r>
              <w:rPr>
                <w:rFonts w:ascii="Verdana" w:eastAsia="Calibri" w:hAnsi="Verdana" w:cs="Arial"/>
                <w:bCs/>
                <w:iCs/>
                <w:lang w:val="es-ES_tradnl" w:eastAsia="es-ES_tradnl"/>
              </w:rPr>
              <w:t>,</w:t>
            </w:r>
            <w:r w:rsidRPr="00E47CAB">
              <w:rPr>
                <w:rFonts w:ascii="Verdana" w:eastAsia="Calibri" w:hAnsi="Verdana" w:cs="Arial"/>
                <w:bCs/>
                <w:iCs/>
                <w:lang w:val="es-ES_tradnl" w:eastAsia="es-ES_tradnl"/>
              </w:rPr>
              <w:t xml:space="preserve"> </w:t>
            </w:r>
            <w:r>
              <w:rPr>
                <w:rFonts w:ascii="Verdana" w:eastAsia="Calibri" w:hAnsi="Verdana" w:cs="Arial"/>
                <w:bCs/>
                <w:iCs/>
                <w:lang w:val="es-ES_tradnl" w:eastAsia="es-ES_tradnl"/>
              </w:rPr>
              <w:t>por el</w:t>
            </w:r>
            <w:r w:rsidRPr="00310103">
              <w:rPr>
                <w:rFonts w:ascii="Verdana" w:eastAsia="Calibri" w:hAnsi="Verdana" w:cs="Arial"/>
                <w:lang w:val="es-ES_tradnl" w:eastAsia="es-ES_tradnl"/>
              </w:rPr>
              <w:t xml:space="preserve"> </w:t>
            </w:r>
            <w:r w:rsidRPr="00E47CAB">
              <w:rPr>
                <w:rFonts w:ascii="Verdana" w:eastAsia="Calibri" w:hAnsi="Verdana" w:cs="Arial"/>
                <w:bCs/>
                <w:iCs/>
                <w:lang w:val="es-ES_tradnl" w:eastAsia="es-ES_tradnl"/>
              </w:rPr>
              <w:t xml:space="preserve">contrario, esta aplica en todos los supuestos que regula, y se interpreta de forma integral con los supuestos previstos en la </w:t>
            </w:r>
            <w:r w:rsidRPr="00E47CAB">
              <w:rPr>
                <w:rFonts w:ascii="Verdana" w:eastAsia="Calibri" w:hAnsi="Verdana" w:cs="Arial"/>
                <w:bCs/>
                <w:i/>
                <w:iCs/>
                <w:lang w:val="es-ES_tradnl" w:eastAsia="es-ES_tradnl"/>
              </w:rPr>
              <w:t>regla especial</w:t>
            </w:r>
            <w:r w:rsidRPr="00E47CAB">
              <w:rPr>
                <w:rFonts w:ascii="Verdana" w:eastAsia="Calibri" w:hAnsi="Verdana" w:cs="Arial"/>
                <w:bCs/>
                <w:iCs/>
                <w:lang w:val="es-ES_tradnl" w:eastAsia="es-ES_tradnl"/>
              </w:rPr>
              <w:t xml:space="preserve">. </w:t>
            </w:r>
          </w:p>
          <w:p w14:paraId="0AB2FF02" w14:textId="77777777" w:rsidR="0039750E" w:rsidRPr="00E47CAB" w:rsidRDefault="0039750E" w:rsidP="00716C89">
            <w:pPr>
              <w:spacing w:after="120" w:line="276" w:lineRule="auto"/>
              <w:ind w:firstLine="708"/>
              <w:jc w:val="both"/>
              <w:rPr>
                <w:rFonts w:ascii="Verdana" w:eastAsia="Calibri" w:hAnsi="Verdana" w:cs="Arial"/>
                <w:bCs/>
                <w:iCs/>
                <w:lang w:eastAsia="es-ES_tradnl"/>
              </w:rPr>
            </w:pPr>
            <w:r w:rsidRPr="00E47CAB">
              <w:rPr>
                <w:rFonts w:ascii="Verdana" w:eastAsia="Calibri" w:hAnsi="Verdana" w:cs="Arial"/>
                <w:bCs/>
                <w:iCs/>
                <w:lang w:val="es-ES_tradnl" w:eastAsia="es-ES_tradnl"/>
              </w:rPr>
              <w:t xml:space="preserve">De esta manera, el término de diez (10) días es un plazo máximo para las entidades y </w:t>
            </w:r>
            <w:r w:rsidRPr="00E47CAB">
              <w:rPr>
                <w:rFonts w:ascii="Verdana" w:eastAsia="Calibri" w:hAnsi="Verdana" w:cs="Arial"/>
                <w:bCs/>
                <w:i/>
                <w:iCs/>
                <w:lang w:eastAsia="es-ES_tradnl"/>
              </w:rPr>
              <w:t xml:space="preserve">empresas del Estado </w:t>
            </w:r>
            <w:r w:rsidRPr="00E47CAB">
              <w:rPr>
                <w:rFonts w:ascii="Verdana" w:eastAsia="Calibri" w:hAnsi="Verdana" w:cs="Arial"/>
                <w:bCs/>
                <w:iCs/>
                <w:lang w:eastAsia="es-ES_tradnl"/>
              </w:rPr>
              <w:t>del orden nacional y pertenecientes a la Rama Ejecutiva del Poder Público para publicar en SECOP</w:t>
            </w:r>
            <w:r>
              <w:rPr>
                <w:rFonts w:ascii="Verdana" w:eastAsia="Calibri" w:hAnsi="Verdana" w:cs="Arial"/>
                <w:bCs/>
                <w:iCs/>
                <w:lang w:eastAsia="es-ES_tradnl"/>
              </w:rPr>
              <w:t xml:space="preserve"> respecto a los documentos enunciados en la disposición, </w:t>
            </w:r>
            <w:r w:rsidRPr="000A2438">
              <w:rPr>
                <w:rFonts w:ascii="Verdana" w:eastAsia="Calibri" w:hAnsi="Verdana" w:cs="Arial"/>
                <w:bCs/>
                <w:i/>
                <w:iCs/>
                <w:lang w:eastAsia="es-ES_tradnl"/>
              </w:rPr>
              <w:t xml:space="preserve">esto </w:t>
            </w:r>
            <w:r w:rsidRPr="00E47CAB">
              <w:rPr>
                <w:rFonts w:ascii="Verdana" w:eastAsia="Calibri" w:hAnsi="Verdana" w:cs="Arial"/>
                <w:bCs/>
                <w:lang w:eastAsia="es-ES_tradnl"/>
              </w:rPr>
              <w:t>es, informes de supervisión e interventoría, actas de liquidación, requerimientos</w:t>
            </w:r>
            <w:r>
              <w:rPr>
                <w:rFonts w:ascii="Verdana" w:eastAsia="Calibri" w:hAnsi="Verdana" w:cs="Arial"/>
                <w:bCs/>
                <w:lang w:eastAsia="es-ES_tradnl"/>
              </w:rPr>
              <w:t>, entre otros</w:t>
            </w:r>
            <w:r>
              <w:rPr>
                <w:rFonts w:ascii="Verdana" w:eastAsia="Calibri" w:hAnsi="Verdana" w:cs="Arial"/>
                <w:bCs/>
                <w:iCs/>
                <w:lang w:eastAsia="es-ES_tradnl"/>
              </w:rPr>
              <w:t>.</w:t>
            </w:r>
            <w:r w:rsidRPr="00E47CAB">
              <w:rPr>
                <w:rFonts w:ascii="Verdana" w:eastAsia="Calibri" w:hAnsi="Verdana" w:cs="Arial"/>
                <w:bCs/>
                <w:iCs/>
                <w:lang w:eastAsia="es-ES_tradnl"/>
              </w:rPr>
              <w:t xml:space="preserve"> </w:t>
            </w:r>
            <w:r>
              <w:rPr>
                <w:rFonts w:ascii="Verdana" w:eastAsia="Calibri" w:hAnsi="Verdana" w:cs="Arial"/>
                <w:bCs/>
                <w:iCs/>
                <w:lang w:eastAsia="es-ES_tradnl"/>
              </w:rPr>
              <w:t>E</w:t>
            </w:r>
            <w:r w:rsidRPr="00E47CAB">
              <w:rPr>
                <w:rFonts w:ascii="Verdana" w:eastAsia="Calibri" w:hAnsi="Verdana" w:cs="Arial"/>
                <w:bCs/>
                <w:iCs/>
                <w:lang w:eastAsia="es-ES_tradnl"/>
              </w:rPr>
              <w:t>n todo caso, precisando la regla general sigue vigente, y que, en un principio, el término para publicar es de tres (3) días siguientes a la expedición</w:t>
            </w:r>
            <w:r>
              <w:rPr>
                <w:rFonts w:ascii="Verdana" w:eastAsia="Calibri" w:hAnsi="Verdana" w:cs="Arial"/>
                <w:lang w:eastAsia="es-ES_tradnl"/>
              </w:rPr>
              <w:t xml:space="preserve">, </w:t>
            </w:r>
            <w:r>
              <w:rPr>
                <w:rFonts w:ascii="Verdana" w:eastAsia="Calibri" w:hAnsi="Verdana" w:cs="Arial"/>
                <w:bCs/>
                <w:iCs/>
                <w:lang w:eastAsia="es-ES_tradnl"/>
              </w:rPr>
              <w:t>generación de documento y ocurrencia del hecho</w:t>
            </w:r>
            <w:r w:rsidRPr="00E47CAB">
              <w:rPr>
                <w:rFonts w:ascii="Verdana" w:eastAsia="Calibri" w:hAnsi="Verdana" w:cs="Arial"/>
                <w:bCs/>
                <w:iCs/>
                <w:lang w:eastAsia="es-ES_tradnl"/>
              </w:rPr>
              <w:t xml:space="preserve">, de conformidad a lo prescrito en el Decreto 1082 de 2015. </w:t>
            </w:r>
          </w:p>
          <w:p w14:paraId="0FEDAC59" w14:textId="77777777" w:rsidR="0039750E" w:rsidRPr="00E47CAB" w:rsidRDefault="0039750E" w:rsidP="00716C89">
            <w:pPr>
              <w:spacing w:after="120" w:line="276" w:lineRule="auto"/>
              <w:ind w:firstLine="708"/>
              <w:jc w:val="both"/>
              <w:rPr>
                <w:rFonts w:ascii="Verdana" w:eastAsia="Calibri" w:hAnsi="Verdana" w:cs="Arial"/>
                <w:bCs/>
                <w:iCs/>
                <w:lang w:eastAsia="es-ES_tradnl"/>
              </w:rPr>
            </w:pPr>
            <w:r w:rsidRPr="00E47CAB">
              <w:rPr>
                <w:rFonts w:ascii="Verdana" w:eastAsia="Calibri" w:hAnsi="Verdana" w:cs="Arial"/>
                <w:bCs/>
                <w:iCs/>
                <w:lang w:eastAsia="es-ES_tradnl"/>
              </w:rPr>
              <w:t>Ahora bien, las demás entidades que no están sujetas al Decreto 1600 de 2024 que modifica el Decreto 1081 de 2021 tienen el deber de aplicar el término de publicación de los tres (3) días siguientes a su expedición como regla general y no le es aplicable el término máximo de diez (10) días. En tal sentido, las entidades del orden territorial, así como sus descentralizadas deben seguir aplicando el término general de tres (3) días, y no podrán hacer una interpretación extensiva ni analógica, puesto que se rigen bajo el principio de legalidad, que implica una interpretación literal y estricta de las disposiciones normativas.</w:t>
            </w:r>
          </w:p>
          <w:p w14:paraId="2BF983C9" w14:textId="77777777" w:rsidR="0039750E" w:rsidRDefault="0039750E" w:rsidP="00716C89">
            <w:pPr>
              <w:spacing w:after="120" w:line="276" w:lineRule="auto"/>
              <w:ind w:firstLine="708"/>
              <w:jc w:val="both"/>
              <w:rPr>
                <w:rFonts w:ascii="Verdana" w:eastAsia="Calibri" w:hAnsi="Verdana" w:cs="Arial"/>
                <w:bCs/>
                <w:iCs/>
                <w:lang w:val="es-ES" w:eastAsia="es-ES_tradnl"/>
              </w:rPr>
            </w:pPr>
            <w:r w:rsidRPr="00E47CAB">
              <w:rPr>
                <w:rFonts w:ascii="Verdana" w:eastAsia="Calibri" w:hAnsi="Verdana" w:cs="Arial"/>
                <w:bCs/>
                <w:iCs/>
                <w:lang w:eastAsia="es-ES_tradnl"/>
              </w:rPr>
              <w:t xml:space="preserve">Sin embargo, es </w:t>
            </w:r>
            <w:r w:rsidRPr="00E47CAB">
              <w:rPr>
                <w:rFonts w:ascii="Verdana" w:eastAsia="Calibri" w:hAnsi="Verdana" w:cs="Arial"/>
                <w:bCs/>
                <w:iCs/>
                <w:lang w:val="es-ES" w:eastAsia="es-ES_tradnl"/>
              </w:rPr>
              <w:t>importante precisar, la naturaleza transaccional del SECOP II, l</w:t>
            </w:r>
            <w:r>
              <w:rPr>
                <w:rFonts w:ascii="Verdana" w:eastAsia="Calibri" w:hAnsi="Verdana" w:cs="Arial"/>
                <w:bCs/>
                <w:iCs/>
                <w:lang w:val="es-ES" w:eastAsia="es-ES_tradnl"/>
              </w:rPr>
              <w:t>a</w:t>
            </w:r>
            <w:r w:rsidRPr="00E47CAB">
              <w:rPr>
                <w:rFonts w:ascii="Verdana" w:eastAsia="Calibri" w:hAnsi="Verdana" w:cs="Arial"/>
                <w:bCs/>
                <w:iCs/>
                <w:lang w:val="es-ES" w:eastAsia="es-ES_tradnl"/>
              </w:rPr>
              <w:t xml:space="preserve"> cual implica que los procesos contractuales no sólo deban publicarse mediante esta plataforma, sino también gestionados a través de ella, al consistir la mayoría de los hitos contractuales en documentos y actuaciones electrónicas generadas en tiempo real, de tal manera que el </w:t>
            </w:r>
            <w:r w:rsidRPr="00E47CAB">
              <w:rPr>
                <w:rFonts w:ascii="Verdana" w:eastAsia="Calibri" w:hAnsi="Verdana" w:cs="Arial"/>
                <w:bCs/>
                <w:iCs/>
                <w:lang w:val="es-ES" w:eastAsia="es-ES_tradnl"/>
              </w:rPr>
              <w:lastRenderedPageBreak/>
              <w:t xml:space="preserve">proceso contractual avanza en la medida en la que se generen y aprueben estos documentos y actuaciones electrónicas en la plataforma. </w:t>
            </w:r>
          </w:p>
          <w:p w14:paraId="1E418B5E" w14:textId="77777777" w:rsidR="0039750E" w:rsidRPr="00E47CAB" w:rsidRDefault="0039750E" w:rsidP="00716C89">
            <w:pPr>
              <w:spacing w:after="120" w:line="276" w:lineRule="auto"/>
              <w:ind w:firstLine="708"/>
              <w:jc w:val="both"/>
              <w:rPr>
                <w:rFonts w:ascii="Verdana" w:eastAsia="Calibri" w:hAnsi="Verdana" w:cs="Arial"/>
                <w:bCs/>
                <w:iCs/>
                <w:lang w:val="es-ES" w:eastAsia="es-ES_tradnl"/>
              </w:rPr>
            </w:pPr>
            <w:r w:rsidRPr="00E47CAB">
              <w:rPr>
                <w:rFonts w:ascii="Verdana" w:eastAsia="Calibri" w:hAnsi="Verdana" w:cs="Arial"/>
                <w:bCs/>
                <w:iCs/>
                <w:lang w:val="es-ES" w:eastAsia="es-ES_tradnl"/>
              </w:rPr>
              <w:t xml:space="preserve">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escritos y luego se publican en dicha plataforma, en los términos ya expuestos, dependiendo de la naturaleza de la entidad y de las reglas prescritas en los Decretos 1081 y 1082 de 2015. </w:t>
            </w:r>
          </w:p>
          <w:p w14:paraId="538C445A" w14:textId="77777777" w:rsidR="0039750E" w:rsidRDefault="0039750E" w:rsidP="00716C89">
            <w:pPr>
              <w:spacing w:line="276" w:lineRule="auto"/>
              <w:ind w:firstLine="709"/>
              <w:jc w:val="both"/>
              <w:rPr>
                <w:rFonts w:ascii="Verdana" w:eastAsia="Calibri" w:hAnsi="Verdana" w:cs="Arial"/>
                <w:bCs/>
                <w:iCs/>
                <w:sz w:val="21"/>
                <w:szCs w:val="21"/>
                <w:lang w:val="es-ES" w:eastAsia="es-ES_tradnl"/>
              </w:rPr>
            </w:pPr>
            <w:r w:rsidRPr="00E47CAB">
              <w:rPr>
                <w:rFonts w:ascii="Verdana" w:eastAsia="Calibri" w:hAnsi="Verdana" w:cs="Arial"/>
                <w:bCs/>
                <w:iCs/>
                <w:lang w:val="es-ES" w:eastAsia="es-ES_tradnl"/>
              </w:rPr>
              <w:t>Así las cosas, el término de diez (10) días es un límite máximo para publicar por parte de las entidades del orden nacional sometidas a lo dispuesto en el Decreto 1600 de 2024 que modifica el Decreto 1081 de 2015 en cuanto a los documentos de ejecución del contrato, como son las actas de supervisión o interventoría, requerimientos, entre otros. Esto, sin perjuicio del deber general de publicar, en principio, dentro de los tres (3) días siguientes a la expedición de los documentos del proceso que no son transaccionales y que no tienen la calidad de ser documentos de ejecución.</w:t>
            </w:r>
          </w:p>
          <w:p w14:paraId="47271B2B" w14:textId="77777777" w:rsidR="0039750E" w:rsidRPr="003F20E6" w:rsidRDefault="0039750E" w:rsidP="00716C89">
            <w:pPr>
              <w:spacing w:line="276" w:lineRule="auto"/>
              <w:jc w:val="both"/>
              <w:rPr>
                <w:rFonts w:ascii="Verdana" w:eastAsia="Calibri" w:hAnsi="Verdana" w:cs="Arial"/>
                <w:bCs/>
                <w:iCs/>
                <w:sz w:val="21"/>
                <w:szCs w:val="21"/>
                <w:lang w:val="es-ES" w:eastAsia="es-ES_tradnl"/>
              </w:rPr>
            </w:pPr>
          </w:p>
        </w:tc>
      </w:tr>
    </w:tbl>
    <w:p w14:paraId="3089CB2B" w14:textId="77777777" w:rsidR="0039750E" w:rsidRPr="003F20E6" w:rsidRDefault="0039750E" w:rsidP="0039750E">
      <w:pPr>
        <w:spacing w:after="0" w:line="276" w:lineRule="auto"/>
        <w:jc w:val="both"/>
        <w:rPr>
          <w:rFonts w:ascii="Verdana" w:eastAsia="Calibri" w:hAnsi="Verdana" w:cs="Arial"/>
          <w:bCs/>
          <w:color w:val="000000" w:themeColor="text1"/>
        </w:rPr>
      </w:pPr>
    </w:p>
    <w:p w14:paraId="3144054B" w14:textId="77777777" w:rsidR="0039750E" w:rsidRPr="003F20E6" w:rsidRDefault="0039750E" w:rsidP="0039750E">
      <w:pPr>
        <w:numPr>
          <w:ilvl w:val="0"/>
          <w:numId w:val="19"/>
        </w:numPr>
        <w:spacing w:after="0" w:line="276" w:lineRule="auto"/>
        <w:ind w:left="0" w:firstLine="0"/>
        <w:rPr>
          <w:rFonts w:ascii="Verdana" w:eastAsia="Calibri" w:hAnsi="Verdana" w:cs="Times New Roman"/>
          <w:b/>
          <w:bCs/>
          <w:lang w:val="es-ES"/>
        </w:rPr>
      </w:pPr>
      <w:r w:rsidRPr="003F20E6">
        <w:rPr>
          <w:rFonts w:ascii="Verdana" w:eastAsia="Calibri" w:hAnsi="Verdana" w:cs="Times New Roman"/>
          <w:b/>
          <w:bCs/>
          <w:lang w:val="es-ES"/>
        </w:rPr>
        <w:t>Razones de la respuesta:</w:t>
      </w:r>
    </w:p>
    <w:p w14:paraId="198BCB77" w14:textId="77777777" w:rsidR="0039750E" w:rsidRPr="003F20E6" w:rsidRDefault="0039750E" w:rsidP="0039750E">
      <w:pPr>
        <w:spacing w:after="0" w:line="276" w:lineRule="auto"/>
        <w:rPr>
          <w:rFonts w:ascii="Verdana" w:eastAsia="Calibri" w:hAnsi="Verdana" w:cs="Times New Roman"/>
          <w:b/>
          <w:bCs/>
          <w:lang w:val="es-ES"/>
        </w:rPr>
      </w:pPr>
    </w:p>
    <w:p w14:paraId="23095712" w14:textId="77777777" w:rsidR="0039750E" w:rsidRPr="003F20E6" w:rsidRDefault="0039750E" w:rsidP="0039750E">
      <w:pPr>
        <w:spacing w:after="0" w:line="276" w:lineRule="auto"/>
        <w:jc w:val="both"/>
        <w:rPr>
          <w:rFonts w:ascii="Verdana" w:eastAsia="Calibri" w:hAnsi="Verdana" w:cs="Arial"/>
          <w:lang w:val="es-ES"/>
        </w:rPr>
      </w:pPr>
      <w:r w:rsidRPr="003F20E6">
        <w:rPr>
          <w:rFonts w:ascii="Verdana" w:eastAsia="Calibri" w:hAnsi="Verdana" w:cs="Arial"/>
          <w:lang w:val="es-ES"/>
        </w:rPr>
        <w:t xml:space="preserve">Lo anterior se sustenta en las siguientes consideraciones: </w:t>
      </w:r>
    </w:p>
    <w:p w14:paraId="385E01EA" w14:textId="77777777" w:rsidR="0039750E" w:rsidRPr="003F20E6" w:rsidRDefault="0039750E" w:rsidP="0039750E">
      <w:pPr>
        <w:spacing w:after="0" w:line="276" w:lineRule="auto"/>
        <w:jc w:val="both"/>
        <w:rPr>
          <w:rFonts w:ascii="Verdana" w:hAnsi="Verdana" w:cs="Arial"/>
          <w:bCs/>
          <w:lang w:val="es-ES" w:eastAsia="es-ES" w:bidi="es-ES"/>
        </w:rPr>
      </w:pPr>
    </w:p>
    <w:p w14:paraId="097C4694" w14:textId="77777777" w:rsidR="0039750E" w:rsidRPr="003F20E6" w:rsidRDefault="0039750E" w:rsidP="0039750E">
      <w:pPr>
        <w:spacing w:after="120" w:line="276" w:lineRule="auto"/>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i. Uno de los postulados más importantes de un Estado Social y Democrático de Derecho es el principio de </w:t>
      </w:r>
      <w:r w:rsidRPr="003F20E6">
        <w:rPr>
          <w:rFonts w:ascii="Verdana" w:eastAsia="Times New Roman" w:hAnsi="Verdana" w:cs="Arial"/>
          <w:i/>
          <w:iCs/>
          <w:lang w:val="es-ES" w:eastAsia="es-ES"/>
          <w14:ligatures w14:val="standardContextual"/>
        </w:rPr>
        <w:t>publicidad</w:t>
      </w:r>
      <w:r w:rsidRPr="003F20E6">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3F20E6">
        <w:rPr>
          <w:rFonts w:ascii="Verdana" w:eastAsia="Times New Roman" w:hAnsi="Verdana" w:cs="Arial"/>
          <w:vertAlign w:val="superscript"/>
          <w:lang w:val="es-ES" w:eastAsia="es-ES"/>
          <w14:ligatures w14:val="standardContextual"/>
        </w:rPr>
        <w:footnoteReference w:id="2"/>
      </w:r>
      <w:r w:rsidRPr="003F20E6">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w:t>
      </w:r>
      <w:r w:rsidRPr="003F20E6">
        <w:rPr>
          <w:rFonts w:ascii="Verdana" w:eastAsia="Times New Roman" w:hAnsi="Verdana" w:cs="Arial"/>
          <w:lang w:val="es-ES" w:eastAsia="es-ES"/>
          <w14:ligatures w14:val="standardContextual"/>
        </w:rPr>
        <w:lastRenderedPageBreak/>
        <w:t xml:space="preserve">en los Estados de derecho se pregona la publicidad de las actuaciones de los poderes públicos. </w:t>
      </w:r>
    </w:p>
    <w:p w14:paraId="7FAC43B3" w14:textId="77777777" w:rsidR="0039750E" w:rsidRPr="003F20E6" w:rsidRDefault="0039750E" w:rsidP="0039750E">
      <w:pPr>
        <w:spacing w:before="120" w:after="120" w:line="276" w:lineRule="auto"/>
        <w:ind w:firstLine="708"/>
        <w:jc w:val="both"/>
        <w:rPr>
          <w:rFonts w:ascii="Verdana" w:eastAsia="Times New Roman" w:hAnsi="Verdana" w:cs="Arial"/>
          <w:lang w:val="es-ES" w:eastAsia="es-ES"/>
          <w14:ligatures w14:val="standardContextual"/>
        </w:rPr>
      </w:pPr>
      <w:r w:rsidRPr="003F20E6">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0EAE231D" w14:textId="77777777" w:rsidR="0039750E" w:rsidRPr="003F20E6" w:rsidRDefault="0039750E" w:rsidP="0039750E">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w:t>
      </w:r>
      <w:r>
        <w:rPr>
          <w:rFonts w:ascii="Verdana" w:eastAsia="Times New Roman" w:hAnsi="Verdana" w:cs="Arial"/>
          <w:lang w:val="es-ES_tradnl" w:eastAsia="es-ES_tradnl"/>
          <w14:ligatures w14:val="standardContextual"/>
        </w:rPr>
        <w:t>,</w:t>
      </w:r>
      <w:r w:rsidRPr="003F20E6">
        <w:rPr>
          <w:rFonts w:ascii="Verdana" w:eastAsia="Times New Roman" w:hAnsi="Verdana" w:cs="Arial"/>
          <w:lang w:val="es-ES_tradnl" w:eastAsia="es-ES_tradnl"/>
          <w14:ligatures w14:val="standardContextual"/>
        </w:rPr>
        <w:t xml:space="preserve"> para que se divulguen y eventualmente se controlen. </w:t>
      </w:r>
      <w:r>
        <w:rPr>
          <w:rFonts w:ascii="Verdana" w:eastAsia="Times New Roman" w:hAnsi="Verdana" w:cs="Arial"/>
          <w:lang w:val="es-ES_tradnl" w:eastAsia="es-ES_tradnl"/>
          <w14:ligatures w14:val="standardContextual"/>
        </w:rPr>
        <w:t>En sintonía con este postulado</w:t>
      </w:r>
      <w:r w:rsidRPr="003F20E6">
        <w:rPr>
          <w:rFonts w:ascii="Verdana" w:eastAsia="Times New Roman" w:hAnsi="Verdana" w:cs="Arial"/>
          <w:lang w:val="es-ES_tradnl" w:eastAsia="es-ES_tradnl"/>
          <w14:ligatures w14:val="standardContextual"/>
        </w:rPr>
        <w:t>,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3F20E6">
        <w:rPr>
          <w:rFonts w:ascii="Verdana" w:eastAsia="Times New Roman" w:hAnsi="Verdana" w:cs="Arial"/>
          <w:vertAlign w:val="superscript"/>
          <w:lang w:val="es-ES_tradnl" w:eastAsia="es-ES_tradnl"/>
          <w14:ligatures w14:val="standardContextual"/>
        </w:rPr>
        <w:footnoteReference w:id="3"/>
      </w:r>
      <w:r w:rsidRPr="003F20E6">
        <w:rPr>
          <w:rFonts w:ascii="Verdana" w:eastAsia="Times New Roman" w:hAnsi="Verdana" w:cs="Arial"/>
          <w:lang w:val="es-ES_tradnl" w:eastAsia="es-ES_tradnl"/>
          <w14:ligatures w14:val="standardContextual"/>
        </w:rPr>
        <w:t>.</w:t>
      </w:r>
    </w:p>
    <w:p w14:paraId="4985D764" w14:textId="77777777" w:rsidR="0039750E" w:rsidRPr="003F20E6" w:rsidRDefault="0039750E" w:rsidP="0039750E">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F20E6">
        <w:rPr>
          <w:rFonts w:ascii="Verdana" w:eastAsia="Times New Roman" w:hAnsi="Verdana" w:cs="Arial"/>
          <w:vertAlign w:val="superscript"/>
          <w:lang w:val="es-ES_tradnl" w:eastAsia="es-ES_tradnl"/>
          <w14:ligatures w14:val="standardContextual"/>
        </w:rPr>
        <w:footnoteReference w:id="4"/>
      </w:r>
      <w:r w:rsidRPr="003F20E6">
        <w:rPr>
          <w:rFonts w:ascii="Verdana" w:eastAsia="Times New Roman" w:hAnsi="Verdana" w:cs="Arial"/>
          <w:lang w:val="es-ES_tradnl" w:eastAsia="es-ES_tradnl"/>
          <w14:ligatures w14:val="standardContextual"/>
        </w:rPr>
        <w:t xml:space="preserve">. El principio de transparencia en la información alude al deber de los sujetos de proporcionar y </w:t>
      </w:r>
      <w:r w:rsidRPr="003F20E6">
        <w:rPr>
          <w:rFonts w:ascii="Verdana" w:eastAsia="Times New Roman" w:hAnsi="Verdana" w:cs="Arial"/>
          <w:lang w:val="es-ES_tradnl" w:eastAsia="es-ES_tradnl"/>
          <w14:ligatures w14:val="standardContextual"/>
        </w:rPr>
        <w:lastRenderedPageBreak/>
        <w:t>facilitar el acceso a la misma en los términos más amplios posibles, y a través de los medios y procedimientos legales.</w:t>
      </w:r>
    </w:p>
    <w:p w14:paraId="2EA4F896" w14:textId="77777777" w:rsidR="0039750E" w:rsidRPr="003F20E6" w:rsidRDefault="0039750E" w:rsidP="0039750E">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 xml:space="preserve"> La Ley Estatutaria citada establece, en el literal e) del artículo 9, que los sujetos obligados, que son todas las entidades públicas</w:t>
      </w:r>
      <w:r w:rsidRPr="003F20E6">
        <w:rPr>
          <w:rFonts w:ascii="Verdana" w:eastAsia="Times New Roman" w:hAnsi="Verdana" w:cs="Arial"/>
          <w:vertAlign w:val="superscript"/>
          <w:lang w:val="es-ES_tradnl" w:eastAsia="es-ES_tradnl"/>
          <w14:ligatures w14:val="standardContextual"/>
        </w:rPr>
        <w:footnoteReference w:id="5"/>
      </w:r>
      <w:r w:rsidRPr="003F20E6">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3F20E6">
        <w:rPr>
          <w:rFonts w:ascii="Verdana" w:eastAsia="Times New Roman" w:hAnsi="Verdana" w:cs="Arial"/>
          <w:vertAlign w:val="superscript"/>
          <w:lang w:val="es-ES_tradnl" w:eastAsia="es-ES_tradnl"/>
          <w14:ligatures w14:val="standardContextual"/>
        </w:rPr>
        <w:footnoteReference w:id="6"/>
      </w:r>
      <w:r w:rsidRPr="003F20E6">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09E1637E" w14:textId="77777777" w:rsidR="0039750E" w:rsidRPr="003F20E6" w:rsidRDefault="0039750E" w:rsidP="0039750E">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6B299D0" w14:textId="77777777" w:rsidR="0039750E" w:rsidRPr="003F20E6" w:rsidRDefault="0039750E" w:rsidP="0039750E">
      <w:pPr>
        <w:spacing w:before="120" w:after="120" w:line="276" w:lineRule="auto"/>
        <w:ind w:firstLine="709"/>
        <w:jc w:val="both"/>
        <w:rPr>
          <w:rFonts w:ascii="Verdana" w:eastAsia="Times New Roman" w:hAnsi="Verdana" w:cs="Arial"/>
          <w:lang w:val="es-ES_tradnl" w:eastAsia="es-ES_tradnl"/>
          <w14:ligatures w14:val="standardContextual"/>
        </w:rPr>
      </w:pPr>
      <w:r w:rsidRPr="003F20E6">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F20E6">
        <w:rPr>
          <w:rFonts w:ascii="Verdana" w:eastAsia="Times New Roman" w:hAnsi="Verdana" w:cs="Arial"/>
          <w:vertAlign w:val="superscript"/>
          <w:lang w:val="es-ES_tradnl" w:eastAsia="es-ES_tradnl"/>
          <w14:ligatures w14:val="standardContextual"/>
        </w:rPr>
        <w:footnoteReference w:id="7"/>
      </w:r>
      <w:r w:rsidRPr="003F20E6">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administrativos del Proceso de Contratación, </w:t>
      </w:r>
      <w:r w:rsidRPr="00E47CAB">
        <w:rPr>
          <w:rFonts w:ascii="Verdana" w:eastAsia="Times New Roman" w:hAnsi="Verdana" w:cs="Arial"/>
          <w:i/>
          <w:iCs/>
          <w:lang w:val="es-ES_tradnl" w:eastAsia="es-ES_tradnl"/>
          <w14:ligatures w14:val="standardContextual"/>
        </w:rPr>
        <w:t>dentro de los tres (3) días siguientes a su expedición</w:t>
      </w:r>
      <w:r w:rsidRPr="003F20E6">
        <w:rPr>
          <w:rFonts w:ascii="Verdana" w:eastAsia="Times New Roman" w:hAnsi="Verdana" w:cs="Arial"/>
          <w:lang w:val="es-ES_tradnl" w:eastAsia="es-ES_tradnl"/>
          <w14:ligatures w14:val="standardContextual"/>
        </w:rPr>
        <w:t xml:space="preserve"> […]”</w:t>
      </w:r>
      <w:r>
        <w:rPr>
          <w:rFonts w:ascii="Verdana" w:eastAsia="Times New Roman" w:hAnsi="Verdana" w:cs="Arial"/>
          <w:lang w:val="es-ES_tradnl" w:eastAsia="es-ES_tradnl"/>
          <w14:ligatures w14:val="standardContextual"/>
        </w:rPr>
        <w:t xml:space="preserve"> (Énfasis fuera del texto original)</w:t>
      </w:r>
      <w:r w:rsidRPr="003F20E6">
        <w:rPr>
          <w:rFonts w:ascii="Verdana" w:eastAsia="Times New Roman" w:hAnsi="Verdana" w:cs="Arial"/>
          <w:lang w:val="es-ES_tradnl" w:eastAsia="es-ES_tradnl"/>
          <w14:ligatures w14:val="standardContextual"/>
        </w:rPr>
        <w:t>.</w:t>
      </w:r>
    </w:p>
    <w:p w14:paraId="2CC38D84" w14:textId="77777777" w:rsidR="0039750E" w:rsidRPr="003F20E6" w:rsidRDefault="0039750E" w:rsidP="0039750E">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La expresión </w:t>
      </w:r>
      <w:r w:rsidRPr="003F20E6">
        <w:rPr>
          <w:rFonts w:ascii="Verdana" w:hAnsi="Verdana" w:cs="Arial"/>
          <w:i/>
          <w:iCs/>
          <w:shd w:val="clear" w:color="auto" w:fill="FFFFFF"/>
        </w:rPr>
        <w:t xml:space="preserve">Documentos del Proceso </w:t>
      </w:r>
      <w:r w:rsidRPr="003F20E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w:t>
      </w:r>
      <w:r w:rsidRPr="003F20E6">
        <w:rPr>
          <w:rFonts w:ascii="Verdana" w:hAnsi="Verdana" w:cs="Arial"/>
          <w:shd w:val="clear" w:color="auto" w:fill="FFFFFF"/>
        </w:rPr>
        <w:lastRenderedPageBreak/>
        <w:t xml:space="preserve">condiciones o la invitación; (d) las adendas; (e) la oferta; (f) el informe de evaluación; (g) el contrato; </w:t>
      </w:r>
      <w:r w:rsidRPr="003F20E6">
        <w:rPr>
          <w:rFonts w:ascii="Verdana" w:hAnsi="Verdana" w:cs="Arial"/>
          <w:i/>
          <w:iCs/>
          <w:shd w:val="clear" w:color="auto" w:fill="FFFFFF"/>
        </w:rPr>
        <w:t>y cualquier otro documento expedido por la Entidad Estatal durante el Proceso de Contratación</w:t>
      </w:r>
      <w:r w:rsidRPr="003F20E6">
        <w:rPr>
          <w:rFonts w:ascii="Verdana" w:hAnsi="Verdana" w:cs="Arial"/>
          <w:shd w:val="clear" w:color="auto" w:fill="FFFFFF"/>
        </w:rPr>
        <w:t xml:space="preserve">”. </w:t>
      </w:r>
      <w:r>
        <w:rPr>
          <w:rFonts w:ascii="Verdana" w:hAnsi="Verdana" w:cs="Arial"/>
          <w:shd w:val="clear" w:color="auto" w:fill="FFFFFF"/>
        </w:rPr>
        <w:t>(</w:t>
      </w:r>
      <w:r w:rsidRPr="003F20E6">
        <w:rPr>
          <w:rFonts w:ascii="Verdana" w:hAnsi="Verdana" w:cs="Arial"/>
          <w:shd w:val="clear" w:color="auto" w:fill="FFFFFF"/>
        </w:rPr>
        <w:t>Énfasis fuera de texto</w:t>
      </w:r>
      <w:r>
        <w:rPr>
          <w:rFonts w:ascii="Verdana" w:hAnsi="Verdana" w:cs="Arial"/>
          <w:shd w:val="clear" w:color="auto" w:fill="FFFFFF"/>
        </w:rPr>
        <w:t>).</w:t>
      </w:r>
    </w:p>
    <w:p w14:paraId="6518C955" w14:textId="77777777" w:rsidR="0039750E" w:rsidRPr="003F20E6" w:rsidRDefault="0039750E" w:rsidP="0039750E">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F20E6">
        <w:rPr>
          <w:rFonts w:ascii="Verdana" w:hAnsi="Verdana" w:cs="Arial"/>
          <w:i/>
          <w:iCs/>
          <w:shd w:val="clear" w:color="auto" w:fill="FFFFFF"/>
        </w:rPr>
        <w:t>Ibidem</w:t>
      </w:r>
      <w:r w:rsidRPr="003F20E6">
        <w:rPr>
          <w:rFonts w:ascii="Verdana" w:hAnsi="Verdana" w:cs="Arial"/>
          <w:shd w:val="clear" w:color="auto" w:fill="FFFFFF"/>
        </w:rPr>
        <w:t xml:space="preserve"> recoge en la noción de Documentos del Proceso “cualquier otro documento expedido por la Entidad Estatal durante el Proceso de Contratación”. </w:t>
      </w:r>
    </w:p>
    <w:p w14:paraId="02F0AD8E" w14:textId="77777777" w:rsidR="0039750E" w:rsidRPr="003F20E6" w:rsidRDefault="0039750E" w:rsidP="0039750E">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663ED4BC" w14:textId="77777777" w:rsidR="0039750E" w:rsidRPr="003F20E6" w:rsidRDefault="0039750E" w:rsidP="0039750E">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w:t>
      </w:r>
      <w:r>
        <w:rPr>
          <w:rFonts w:ascii="Verdana" w:hAnsi="Verdana" w:cs="Arial"/>
          <w:shd w:val="clear" w:color="auto" w:fill="FFFFFF"/>
        </w:rPr>
        <w:t>,</w:t>
      </w:r>
      <w:r w:rsidRPr="003F20E6">
        <w:rPr>
          <w:rFonts w:ascii="Verdana" w:hAnsi="Verdana" w:cs="Arial"/>
          <w:shd w:val="clear" w:color="auto" w:fill="FFFFFF"/>
        </w:rPr>
        <w:t xml:space="preserve"> que todos los documentos expedidos por la entidad durante las etapas precontractual, de ejecución y </w:t>
      </w:r>
      <w:proofErr w:type="spellStart"/>
      <w:r w:rsidRPr="003F20E6">
        <w:rPr>
          <w:rFonts w:ascii="Verdana" w:hAnsi="Verdana" w:cs="Arial"/>
          <w:shd w:val="clear" w:color="auto" w:fill="FFFFFF"/>
        </w:rPr>
        <w:t>postcontractual</w:t>
      </w:r>
      <w:proofErr w:type="spellEnd"/>
      <w:r w:rsidRPr="003F20E6">
        <w:rPr>
          <w:rFonts w:ascii="Verdana" w:hAnsi="Verdana" w:cs="Arial"/>
          <w:shd w:val="clear" w:color="auto" w:fill="FFFFFF"/>
        </w:rPr>
        <w:t xml:space="preserve"> deberán publicarse en SECOP dentro de los tres (3) días siguientes a su expedición, para cumplir el deber de publicidad regulado por el artículo 2.2.1.1.1.7.1. del Decreto 1082 de 2015.</w:t>
      </w:r>
    </w:p>
    <w:p w14:paraId="13741A53" w14:textId="77777777" w:rsidR="0039750E" w:rsidRPr="003F20E6" w:rsidRDefault="0039750E" w:rsidP="0039750E">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3F20E6">
        <w:rPr>
          <w:rFonts w:ascii="Verdana" w:hAnsi="Verdana" w:cs="Arial"/>
          <w:shd w:val="clear" w:color="auto" w:fill="FFFFFF"/>
          <w:vertAlign w:val="superscript"/>
        </w:rPr>
        <w:footnoteReference w:id="8"/>
      </w:r>
      <w:r w:rsidRPr="003F20E6">
        <w:rPr>
          <w:rFonts w:ascii="Verdana" w:hAnsi="Verdana" w:cs="Arial"/>
          <w:shd w:val="clear" w:color="auto" w:fill="FFFFFF"/>
        </w:rPr>
        <w:t xml:space="preserve">. Dicha plataforma ha tenido dos versiones, esto es, el SECOP I y el SECOP II. La primera versión de </w:t>
      </w:r>
      <w:r w:rsidRPr="003F20E6">
        <w:rPr>
          <w:rFonts w:ascii="Verdana" w:hAnsi="Verdana" w:cs="Arial"/>
          <w:shd w:val="clear" w:color="auto" w:fill="FFFFFF"/>
        </w:rPr>
        <w:lastRenderedPageBreak/>
        <w:t>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822AD74" w14:textId="77777777" w:rsidR="0039750E" w:rsidRPr="003F20E6" w:rsidRDefault="0039750E" w:rsidP="0039750E">
      <w:pPr>
        <w:tabs>
          <w:tab w:val="left" w:pos="709"/>
        </w:tabs>
        <w:spacing w:before="120" w:after="120" w:line="276" w:lineRule="auto"/>
        <w:ind w:firstLine="709"/>
        <w:jc w:val="both"/>
        <w:rPr>
          <w:rFonts w:ascii="Verdana" w:hAnsi="Verdana" w:cs="Arial"/>
          <w:shd w:val="clear" w:color="auto" w:fill="FFFFFF"/>
        </w:rPr>
      </w:pPr>
      <w:r w:rsidRPr="003F20E6">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5652A0A" w14:textId="77777777" w:rsidR="0039750E" w:rsidRPr="003F20E6" w:rsidRDefault="0039750E" w:rsidP="0039750E">
      <w:pPr>
        <w:spacing w:after="120" w:line="276" w:lineRule="auto"/>
        <w:ind w:firstLine="709"/>
        <w:jc w:val="both"/>
        <w:rPr>
          <w:rFonts w:ascii="Verdana" w:eastAsia="Calibri" w:hAnsi="Verdana" w:cs="Arial"/>
          <w:lang w:val="es-ES"/>
        </w:rPr>
      </w:pPr>
      <w:r w:rsidRPr="003F20E6">
        <w:rPr>
          <w:rFonts w:ascii="Verdana" w:eastAsia="Calibri" w:hAnsi="Verdana" w:cs="Arial"/>
          <w:lang w:val="es-ES"/>
        </w:rPr>
        <w:t>Sin embargo, pese a que los documentos que deben publicarse en el SECOP II corresponden a los mismos que deben publicarse en el SECOP I, esto es, todos los expedidos con ocasión el Proceso de Contratación</w:t>
      </w:r>
      <w:r>
        <w:rPr>
          <w:rFonts w:ascii="Verdana" w:eastAsia="Calibri" w:hAnsi="Verdana" w:cs="Arial"/>
          <w:lang w:val="es-ES"/>
        </w:rPr>
        <w:t>,</w:t>
      </w:r>
      <w:r w:rsidRPr="003F20E6">
        <w:rPr>
          <w:rFonts w:ascii="Verdana" w:eastAsia="Calibri" w:hAnsi="Verdana" w:cs="Arial"/>
          <w:lang w:val="es-ES"/>
        </w:rPr>
        <w:t xml:space="preserve">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650A6E83" w14:textId="77777777" w:rsidR="0039750E" w:rsidRPr="003F20E6" w:rsidRDefault="0039750E" w:rsidP="0039750E">
      <w:pPr>
        <w:tabs>
          <w:tab w:val="left" w:pos="709"/>
        </w:tabs>
        <w:spacing w:before="120" w:after="0" w:line="276" w:lineRule="auto"/>
        <w:ind w:firstLine="709"/>
        <w:jc w:val="both"/>
        <w:rPr>
          <w:rFonts w:ascii="Verdana" w:hAnsi="Verdana" w:cs="Arial"/>
          <w:shd w:val="clear" w:color="auto" w:fill="FFFFFF"/>
        </w:rPr>
      </w:pPr>
      <w:r w:rsidRPr="003F20E6">
        <w:rPr>
          <w:rFonts w:ascii="Verdana" w:hAnsi="Verdana" w:cs="Arial"/>
          <w:shd w:val="clear" w:color="auto" w:fill="FFFFFF"/>
        </w:rPr>
        <w:t xml:space="preserve">Conforme a lo anterior, es clara la obligatoriedad de publicar la información de la actividad contractual que se realiza con cargo a recursos públicos en el SECOP, incluidas aquellas con regímenes contractuales especiales. Esta obligación incluye todos los documentos generados durante las fases precontractual, contractual y </w:t>
      </w:r>
      <w:proofErr w:type="spellStart"/>
      <w:r w:rsidRPr="003F20E6">
        <w:rPr>
          <w:rFonts w:ascii="Verdana" w:hAnsi="Verdana" w:cs="Arial"/>
          <w:shd w:val="clear" w:color="auto" w:fill="FFFFFF"/>
        </w:rPr>
        <w:t>postcontractual</w:t>
      </w:r>
      <w:proofErr w:type="spellEnd"/>
      <w:r w:rsidRPr="003F20E6">
        <w:rPr>
          <w:rFonts w:ascii="Verdana" w:hAnsi="Verdana" w:cs="Arial"/>
          <w:shd w:val="clear" w:color="auto" w:fill="FFFFFF"/>
        </w:rPr>
        <w:t xml:space="preserve">,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 Por último, se precisa, que corresponderá a la Entidad Estatal, previo concepto de </w:t>
      </w:r>
      <w:r w:rsidRPr="003F20E6">
        <w:rPr>
          <w:rFonts w:ascii="Verdana" w:hAnsi="Verdana" w:cs="Arial"/>
          <w:shd w:val="clear" w:color="auto" w:fill="FFFFFF"/>
        </w:rPr>
        <w:lastRenderedPageBreak/>
        <w:t xml:space="preserve">sus órganos asesores, cumplir con la publicación de los documentos que expiden dentro de un Proceso de Contratación en el SECOP, ya sea en SECOP I o en SECOP II en cumplimiento de las disposiciones legales y reglamentarias. </w:t>
      </w:r>
    </w:p>
    <w:p w14:paraId="5C3E9039" w14:textId="77777777" w:rsidR="0039750E" w:rsidRPr="003F20E6" w:rsidRDefault="0039750E" w:rsidP="0039750E">
      <w:pPr>
        <w:tabs>
          <w:tab w:val="left" w:pos="709"/>
        </w:tabs>
        <w:spacing w:after="0" w:line="276" w:lineRule="auto"/>
        <w:jc w:val="both"/>
        <w:rPr>
          <w:rFonts w:ascii="Verdana" w:hAnsi="Verdana" w:cs="Arial"/>
          <w:shd w:val="clear" w:color="auto" w:fill="FFFFFF"/>
        </w:rPr>
      </w:pPr>
    </w:p>
    <w:p w14:paraId="672FC57A" w14:textId="77777777" w:rsidR="0039750E" w:rsidRPr="003F20E6" w:rsidRDefault="0039750E" w:rsidP="0039750E">
      <w:pPr>
        <w:spacing w:after="120" w:line="276" w:lineRule="auto"/>
        <w:jc w:val="both"/>
        <w:rPr>
          <w:rFonts w:ascii="Verdana" w:eastAsia="Calibri" w:hAnsi="Verdana" w:cs="Arial"/>
          <w:lang w:eastAsia="es-ES_tradnl"/>
        </w:rPr>
      </w:pPr>
      <w:proofErr w:type="spellStart"/>
      <w:r w:rsidRPr="003F20E6">
        <w:rPr>
          <w:rFonts w:ascii="Verdana" w:hAnsi="Verdana" w:cs="Arial"/>
          <w:lang w:val="es-ES"/>
        </w:rPr>
        <w:t>ii</w:t>
      </w:r>
      <w:proofErr w:type="spellEnd"/>
      <w:r w:rsidRPr="003F20E6">
        <w:rPr>
          <w:rFonts w:ascii="Verdana" w:hAnsi="Verdana" w:cs="Arial"/>
          <w:lang w:val="es-ES"/>
        </w:rPr>
        <w:t xml:space="preserve">. En el marco del principio de publicidad de las actuaciones del Estado, se han establecido estrategias mediante leyes y reglamentos que buscan fortalecer la transparencia y la lucha contra la corrupción. En esta línea, la </w:t>
      </w:r>
      <w:r w:rsidRPr="003F20E6">
        <w:rPr>
          <w:rFonts w:ascii="Verdana" w:eastAsia="Calibri" w:hAnsi="Verdana" w:cs="Arial"/>
          <w:lang w:eastAsia="es-ES_tradnl"/>
        </w:rPr>
        <w:t>Ley 1474 de 2011, “Por</w:t>
      </w:r>
      <w:r w:rsidRPr="003F20E6">
        <w:rPr>
          <w:rFonts w:ascii="Verdana" w:eastAsia="Calibri" w:hAnsi="Verdana" w:cs="Arial"/>
          <w:i/>
          <w:iCs/>
          <w:lang w:eastAsia="es-ES_tradnl"/>
        </w:rPr>
        <w:t xml:space="preserve"> la cual se dictan normas orientadas a fortalecer los mecanismos de prevención, investigación y sanción de actos de corrupción y la efectividad del control de la gestión pública”</w:t>
      </w:r>
      <w:r w:rsidRPr="003F20E6">
        <w:rPr>
          <w:rFonts w:ascii="Verdana" w:eastAsia="Calibri" w:hAnsi="Verdana" w:cs="Arial"/>
          <w:lang w:eastAsia="es-ES_tradnl"/>
        </w:rPr>
        <w:t xml:space="preserve">, y otras normativas afines, tales como la Ley 1712 de 2014 y la Ley 2195 de 2022, </w:t>
      </w:r>
      <w:r>
        <w:rPr>
          <w:rFonts w:ascii="Verdana" w:eastAsia="Calibri" w:hAnsi="Verdana" w:cs="Arial"/>
          <w:lang w:eastAsia="es-ES_tradnl"/>
        </w:rPr>
        <w:t>tienen como fin</w:t>
      </w:r>
      <w:r w:rsidRPr="003F20E6">
        <w:rPr>
          <w:rFonts w:ascii="Verdana" w:eastAsia="Calibri" w:hAnsi="Verdana" w:cs="Arial"/>
          <w:lang w:eastAsia="es-ES_tradnl"/>
        </w:rPr>
        <w:t xml:space="preserve"> institu</w:t>
      </w:r>
      <w:r>
        <w:rPr>
          <w:rFonts w:ascii="Verdana" w:eastAsia="Calibri" w:hAnsi="Verdana" w:cs="Arial"/>
          <w:lang w:eastAsia="es-ES_tradnl"/>
        </w:rPr>
        <w:t>ir</w:t>
      </w:r>
      <w:r w:rsidRPr="003F20E6">
        <w:rPr>
          <w:rFonts w:ascii="Verdana" w:eastAsia="Calibri" w:hAnsi="Verdana" w:cs="Arial"/>
          <w:lang w:eastAsia="es-ES_tradnl"/>
        </w:rPr>
        <w:t xml:space="preserve"> principios y reglas destinadas a asegurar la transparencia y facilitar el acceso a la información pública. </w:t>
      </w:r>
    </w:p>
    <w:p w14:paraId="2EB7D34E" w14:textId="21ACABF9" w:rsidR="0039750E" w:rsidRDefault="0039750E" w:rsidP="0039750E">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t>En esa misma perspectiva, el Gobierno Nacional fundamentado en el artículo 200 de la Ley 2294 de 2023</w:t>
      </w:r>
      <w:r w:rsidR="0042686B">
        <w:rPr>
          <w:rStyle w:val="Refdenotaalpie"/>
          <w:rFonts w:ascii="Verdana" w:eastAsia="Calibri" w:hAnsi="Verdana" w:cs="Arial"/>
          <w:lang w:eastAsia="es-ES_tradnl"/>
        </w:rPr>
        <w:footnoteReference w:id="9"/>
      </w:r>
      <w:r w:rsidRPr="003F20E6">
        <w:rPr>
          <w:rFonts w:ascii="Verdana" w:eastAsia="Calibri" w:hAnsi="Verdana" w:cs="Arial"/>
          <w:lang w:eastAsia="es-ES_tradnl"/>
        </w:rPr>
        <w:t>, ”</w:t>
      </w:r>
      <w:r w:rsidRPr="003F20E6">
        <w:rPr>
          <w:rFonts w:ascii="Verdana" w:eastAsia="Calibri" w:hAnsi="Verdana" w:cs="Arial"/>
          <w:i/>
          <w:iCs/>
          <w:lang w:eastAsia="es-ES_tradnl"/>
        </w:rPr>
        <w:t>Por la cual se expidió el Plan Nacional de Desarrollo ‘Colombia Potencia Mundial de la Vida’”</w:t>
      </w:r>
      <w:r w:rsidRPr="003F20E6">
        <w:rPr>
          <w:rFonts w:ascii="Verdana" w:eastAsia="Calibri" w:hAnsi="Verdana" w:cs="Arial"/>
          <w:lang w:eastAsia="es-ES_tradnl"/>
        </w:rPr>
        <w:t>, estableció el deber de formular una Estrategia Nacional de Lucha contra la Corrupción</w:t>
      </w:r>
      <w:r w:rsidRPr="003F20E6">
        <w:rPr>
          <w:rFonts w:ascii="Verdana" w:eastAsia="Calibri" w:hAnsi="Verdana" w:cs="Arial"/>
          <w:iCs/>
          <w:lang w:eastAsia="es-ES_tradnl"/>
        </w:rPr>
        <w:t xml:space="preserve">, con el fin de fortalecer las instituciones democráticas y el Estado Social de Derecho, la </w:t>
      </w:r>
      <w:r w:rsidRPr="003F20E6">
        <w:rPr>
          <w:rFonts w:ascii="Verdana" w:eastAsia="Calibri" w:hAnsi="Verdana" w:cs="Arial"/>
          <w:iCs/>
          <w:lang w:eastAsia="es-ES_tradnl"/>
        </w:rPr>
        <w:lastRenderedPageBreak/>
        <w:t>protección de los derechos humanos, los recursos públicos, así como generar condiciones adecuadas para el desarrollo socioeconómico y el cuidado del medio ambiente</w:t>
      </w:r>
      <w:r w:rsidRPr="003F20E6">
        <w:rPr>
          <w:rFonts w:ascii="Verdana" w:eastAsia="Calibri" w:hAnsi="Verdana" w:cs="Arial"/>
          <w:lang w:eastAsia="es-ES_tradnl"/>
        </w:rPr>
        <w:t xml:space="preserve">. </w:t>
      </w:r>
    </w:p>
    <w:p w14:paraId="5D322616" w14:textId="77777777" w:rsidR="0039750E" w:rsidRPr="003F20E6" w:rsidRDefault="0039750E" w:rsidP="0039750E">
      <w:pPr>
        <w:spacing w:after="120" w:line="276" w:lineRule="auto"/>
        <w:ind w:firstLine="708"/>
        <w:jc w:val="both"/>
        <w:rPr>
          <w:rFonts w:ascii="Verdana" w:eastAsia="Calibri" w:hAnsi="Verdana" w:cs="Arial"/>
          <w:lang w:eastAsia="es-ES_tradnl"/>
        </w:rPr>
      </w:pPr>
      <w:r w:rsidRPr="003F20E6">
        <w:rPr>
          <w:rFonts w:ascii="Verdana" w:eastAsia="Calibri" w:hAnsi="Verdana" w:cs="Arial"/>
          <w:lang w:eastAsia="es-ES_tradnl"/>
        </w:rPr>
        <w:t xml:space="preserve">De este modo, la estrategia de la lucha contra la corrupción incluye las dimensiones de la garantía de los derechos humanos, la protección al denunciante, </w:t>
      </w:r>
      <w:r w:rsidRPr="00E47CAB">
        <w:rPr>
          <w:rFonts w:ascii="Verdana" w:eastAsia="Calibri" w:hAnsi="Verdana" w:cs="Arial"/>
          <w:i/>
          <w:iCs/>
          <w:lang w:eastAsia="es-ES_tradnl"/>
        </w:rPr>
        <w:t>el derecho de acceso a la información pública</w:t>
      </w:r>
      <w:r w:rsidRPr="003F20E6">
        <w:rPr>
          <w:rFonts w:ascii="Verdana" w:eastAsia="Calibri" w:hAnsi="Verdana" w:cs="Arial"/>
          <w:lang w:eastAsia="es-ES_tradnl"/>
        </w:rPr>
        <w:t xml:space="preserve">, el fortalecimiento de la veeduría ciudadana, la </w:t>
      </w:r>
      <w:r w:rsidRPr="00E47CAB">
        <w:rPr>
          <w:rFonts w:ascii="Verdana" w:eastAsia="Calibri" w:hAnsi="Verdana" w:cs="Arial"/>
          <w:i/>
          <w:iCs/>
          <w:lang w:eastAsia="es-ES_tradnl"/>
        </w:rPr>
        <w:t>transparencia en la contratación y gestión pública</w:t>
      </w:r>
      <w:r w:rsidRPr="003F20E6">
        <w:rPr>
          <w:rFonts w:ascii="Verdana" w:eastAsia="Calibri" w:hAnsi="Verdana" w:cs="Arial"/>
          <w:lang w:eastAsia="es-ES_tradnl"/>
        </w:rPr>
        <w:t>, la innovación pública y la prevención, detección, gestión y sanción de riesgos y hechos de corrupción. </w:t>
      </w:r>
    </w:p>
    <w:p w14:paraId="67EBF028" w14:textId="77777777" w:rsidR="0039750E" w:rsidRPr="003F20E6" w:rsidRDefault="0039750E" w:rsidP="0039750E">
      <w:pPr>
        <w:spacing w:after="120" w:line="276" w:lineRule="auto"/>
        <w:ind w:firstLine="708"/>
        <w:jc w:val="both"/>
        <w:rPr>
          <w:rFonts w:ascii="Verdana" w:eastAsia="Calibri" w:hAnsi="Verdana" w:cs="Arial"/>
          <w:bCs/>
          <w:lang w:eastAsia="es-ES_tradnl"/>
        </w:rPr>
      </w:pPr>
      <w:r w:rsidRPr="003F20E6">
        <w:rPr>
          <w:rFonts w:ascii="Verdana" w:eastAsia="Calibri" w:hAnsi="Verdana" w:cs="Arial"/>
          <w:bCs/>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61692A63" w14:textId="77777777" w:rsidR="0039750E" w:rsidRPr="003F20E6" w:rsidRDefault="0039750E" w:rsidP="0039750E">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lang w:eastAsia="es-ES_tradnl"/>
        </w:rPr>
        <w:t>El Capítulo 3°, Sección 1°, Título 4°, Parte 1°, Libro 2° del Decreto 1081 de 2015</w:t>
      </w:r>
      <w:r>
        <w:rPr>
          <w:rFonts w:ascii="Verdana" w:eastAsia="Calibri" w:hAnsi="Verdana" w:cs="Arial"/>
          <w:bCs/>
          <w:lang w:eastAsia="es-ES_tradnl"/>
        </w:rPr>
        <w:t>,</w:t>
      </w:r>
      <w:r w:rsidRPr="003F20E6">
        <w:rPr>
          <w:rFonts w:ascii="Verdana" w:eastAsia="Calibri" w:hAnsi="Verdana" w:cs="Arial"/>
          <w:bCs/>
          <w:lang w:eastAsia="es-ES_tradnl"/>
        </w:rPr>
        <w:t xml:space="preserve"> que fue modificado por el Decreto 1600 de 2024</w:t>
      </w:r>
      <w:r>
        <w:rPr>
          <w:rFonts w:ascii="Verdana" w:eastAsia="Calibri" w:hAnsi="Verdana" w:cs="Arial"/>
          <w:bCs/>
          <w:lang w:eastAsia="es-ES_tradnl"/>
        </w:rPr>
        <w:t>,</w:t>
      </w:r>
      <w:r w:rsidRPr="003F20E6">
        <w:rPr>
          <w:rFonts w:ascii="Verdana" w:eastAsia="Calibri" w:hAnsi="Verdana" w:cs="Arial"/>
          <w:bCs/>
          <w:lang w:eastAsia="es-ES_tradnl"/>
        </w:rPr>
        <w:t xml:space="preserve"> tiene como objeto: “[…] </w:t>
      </w:r>
      <w:r w:rsidRPr="003F20E6">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1A8BFB79" w14:textId="77777777" w:rsidR="0039750E" w:rsidRDefault="0039750E" w:rsidP="0039750E">
      <w:pPr>
        <w:spacing w:after="120" w:line="276" w:lineRule="auto"/>
        <w:ind w:firstLine="708"/>
        <w:jc w:val="both"/>
        <w:rPr>
          <w:rFonts w:ascii="Verdana" w:eastAsia="Calibri" w:hAnsi="Verdana" w:cs="Arial"/>
          <w:bCs/>
          <w:iCs/>
          <w:lang w:eastAsia="es-ES_tradnl"/>
        </w:rPr>
      </w:pPr>
      <w:r>
        <w:rPr>
          <w:rFonts w:ascii="Verdana" w:eastAsia="Calibri" w:hAnsi="Verdana" w:cs="Arial"/>
          <w:bCs/>
          <w:iCs/>
          <w:lang w:eastAsia="es-ES_tradnl"/>
        </w:rPr>
        <w:t>Ahora bien, e</w:t>
      </w:r>
      <w:r w:rsidRPr="003F20E6">
        <w:rPr>
          <w:rFonts w:ascii="Verdana" w:eastAsia="Calibri" w:hAnsi="Verdana" w:cs="Arial"/>
          <w:bCs/>
          <w:iCs/>
          <w:lang w:eastAsia="es-ES_tradnl"/>
        </w:rPr>
        <w:t>l ámbito o campo de aplicación de este capítulo está regulado en el artículo 2.1.4.3.1.2.</w:t>
      </w:r>
      <w:r w:rsidRPr="003F20E6">
        <w:rPr>
          <w:rFonts w:ascii="Verdana" w:eastAsia="Calibri" w:hAnsi="Verdana" w:cs="Arial"/>
          <w:bCs/>
          <w:iCs/>
          <w:vertAlign w:val="superscript"/>
          <w:lang w:eastAsia="es-ES_tradnl"/>
        </w:rPr>
        <w:footnoteReference w:id="10"/>
      </w:r>
      <w:r w:rsidRPr="003F20E6">
        <w:rPr>
          <w:rFonts w:ascii="Verdana" w:eastAsia="Calibri" w:hAnsi="Verdana" w:cs="Arial"/>
          <w:bCs/>
          <w:iCs/>
          <w:lang w:eastAsia="es-ES_tradnl"/>
        </w:rPr>
        <w:t xml:space="preserve"> que señala que sus reglas son para las entidades y </w:t>
      </w:r>
      <w:r w:rsidRPr="003F20E6">
        <w:rPr>
          <w:rFonts w:ascii="Verdana" w:eastAsia="Calibri" w:hAnsi="Verdana" w:cs="Arial"/>
          <w:bCs/>
          <w:iCs/>
          <w:lang w:eastAsia="es-ES_tradnl"/>
        </w:rPr>
        <w:lastRenderedPageBreak/>
        <w:t xml:space="preserve">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073B0CD4" w14:textId="77777777" w:rsidR="0039750E" w:rsidRPr="003F20E6" w:rsidRDefault="0039750E" w:rsidP="0039750E">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iCs/>
          <w:lang w:eastAsia="es-ES_tradnl"/>
        </w:rPr>
        <w:t>En los temas no regulados por dicho régimen, no se aplica lo dispuesto en el artículo 2.1.4.3.2.1</w:t>
      </w:r>
      <w:r w:rsidRPr="003F20E6">
        <w:rPr>
          <w:rFonts w:ascii="Verdana" w:eastAsia="Calibri" w:hAnsi="Verdana" w:cs="Arial"/>
          <w:bCs/>
          <w:iCs/>
          <w:vertAlign w:val="superscript"/>
          <w:lang w:eastAsia="es-ES_tradnl"/>
        </w:rPr>
        <w:footnoteReference w:id="11"/>
      </w:r>
      <w:r w:rsidRPr="003F20E6">
        <w:rPr>
          <w:rFonts w:ascii="Verdana" w:eastAsia="Calibri" w:hAnsi="Verdana" w:cs="Arial"/>
          <w:bCs/>
          <w:iCs/>
          <w:lang w:eastAsia="es-ES_tradnl"/>
        </w:rPr>
        <w:t xml:space="preserve">, por lo que las demás disposiciones deberán aplicarse, </w:t>
      </w:r>
      <w:r w:rsidRPr="003F20E6">
        <w:rPr>
          <w:rFonts w:ascii="Verdana" w:eastAsia="Calibri" w:hAnsi="Verdana" w:cs="Arial"/>
          <w:bCs/>
          <w:iCs/>
          <w:lang w:eastAsia="es-ES_tradnl"/>
        </w:rPr>
        <w:lastRenderedPageBreak/>
        <w:t>de acuerdo con su estructura orgánica y la normativa aplicable a su funcionamiento.</w:t>
      </w:r>
      <w:r w:rsidRPr="003F20E6">
        <w:rPr>
          <w:rFonts w:ascii="Verdana" w:eastAsia="Calibri" w:hAnsi="Verdana" w:cs="Arial"/>
          <w:bCs/>
          <w:lang w:eastAsia="es-ES_tradnl"/>
        </w:rPr>
        <w:t xml:space="preserve"> </w:t>
      </w:r>
      <w:r w:rsidRPr="003F20E6">
        <w:rPr>
          <w:rFonts w:ascii="Verdana" w:eastAsia="Calibri" w:hAnsi="Verdana" w:cs="Arial"/>
          <w:bCs/>
          <w:iCs/>
          <w:lang w:eastAsia="es-ES_tradnl"/>
        </w:rPr>
        <w:t xml:space="preserve">Con respecto a las entidades territoriales y sus entidades descentralizadas establece que en el marco de su autonomía y en cumplimiento de lo previsto en el artículo 32 de la Ley 152 de 1994, por la cual se establece la Ley Orgánica de Plan de Desarrollo, deben aplicar sus planes y políticas, las líneas de acción contenidas en el presente Capítulo, conforme a lo regulado en el artículo 200 de la Ley 2294 de 2023. </w:t>
      </w:r>
    </w:p>
    <w:p w14:paraId="7F67D982" w14:textId="77777777" w:rsidR="0039750E" w:rsidRPr="003F20E6" w:rsidRDefault="0039750E" w:rsidP="0039750E">
      <w:pPr>
        <w:spacing w:after="0" w:line="276" w:lineRule="auto"/>
        <w:ind w:firstLine="709"/>
        <w:jc w:val="both"/>
        <w:rPr>
          <w:rFonts w:ascii="Verdana" w:eastAsia="Calibri" w:hAnsi="Verdana" w:cs="Arial"/>
          <w:bCs/>
          <w:iCs/>
          <w:lang w:eastAsia="es-ES_tradnl"/>
        </w:rPr>
      </w:pPr>
      <w:r w:rsidRPr="003F20E6">
        <w:rPr>
          <w:rFonts w:ascii="Verdana" w:eastAsia="Calibri" w:hAnsi="Verdana" w:cs="Arial"/>
          <w:bCs/>
          <w:iCs/>
          <w:lang w:eastAsia="es-ES_tradnl"/>
        </w:rPr>
        <w:t>En este capítulo contiene el deber de garantizar el derecho de acceso a la información en las entidades públicas como presupuesto para el ejercicio de los derechos fundamentales, regulado en el artículo 2.1.4.3.2.2. del Decreto 1081 de 2015, cuyo tenor literal prescribe:</w:t>
      </w:r>
    </w:p>
    <w:p w14:paraId="4E104EC8" w14:textId="77777777" w:rsidR="0039750E" w:rsidRPr="003F20E6" w:rsidRDefault="0039750E" w:rsidP="0039750E">
      <w:pPr>
        <w:spacing w:after="0" w:line="276" w:lineRule="auto"/>
        <w:ind w:firstLine="709"/>
        <w:jc w:val="both"/>
        <w:rPr>
          <w:rFonts w:ascii="Verdana" w:eastAsia="Calibri" w:hAnsi="Verdana" w:cs="Arial"/>
          <w:bCs/>
          <w:iCs/>
          <w:lang w:eastAsia="es-ES_tradnl"/>
        </w:rPr>
      </w:pPr>
      <w:r w:rsidRPr="003F20E6">
        <w:rPr>
          <w:rFonts w:ascii="Verdana" w:eastAsia="Calibri" w:hAnsi="Verdana" w:cs="Arial"/>
          <w:bCs/>
          <w:iCs/>
          <w:lang w:eastAsia="es-ES_tradnl"/>
        </w:rPr>
        <w:t xml:space="preserve"> </w:t>
      </w:r>
    </w:p>
    <w:p w14:paraId="62AB208D" w14:textId="77777777" w:rsidR="0039750E" w:rsidRDefault="0039750E" w:rsidP="0039750E">
      <w:pPr>
        <w:spacing w:after="0" w:line="240" w:lineRule="auto"/>
        <w:ind w:left="709" w:right="709"/>
        <w:jc w:val="both"/>
        <w:rPr>
          <w:rFonts w:ascii="Verdana" w:eastAsia="Calibri" w:hAnsi="Verdana" w:cs="Arial"/>
          <w:bCs/>
          <w:sz w:val="20"/>
          <w:szCs w:val="20"/>
          <w:lang w:eastAsia="es-ES_tradnl"/>
        </w:rPr>
      </w:pP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Artículo 2.1.4.3.2.2. Garantía de acceso a la información en las entidades públicas, como presupuesto para el ejercicio de derechos fundamentales. Sin perjuicio de sus obligaciones en materia de garantías de acceso a la información pública, los sujetos obligados deberán publicar en la sede electrónica o página web: </w:t>
      </w:r>
      <w:r w:rsidRPr="00E47CAB">
        <w:rPr>
          <w:rFonts w:ascii="Verdana" w:eastAsia="Calibri" w:hAnsi="Verdana" w:cs="Arial"/>
          <w:bCs/>
          <w:sz w:val="20"/>
          <w:szCs w:val="20"/>
          <w:lang w:eastAsia="es-ES_tradnl"/>
        </w:rPr>
        <w:t> </w:t>
      </w:r>
    </w:p>
    <w:p w14:paraId="5A0CAF84" w14:textId="77777777" w:rsidR="0039750E" w:rsidRPr="00E47CAB" w:rsidRDefault="0039750E" w:rsidP="0039750E">
      <w:pPr>
        <w:spacing w:after="0" w:line="240" w:lineRule="auto"/>
        <w:ind w:left="709" w:right="709"/>
        <w:jc w:val="both"/>
        <w:rPr>
          <w:rFonts w:ascii="Verdana" w:eastAsia="Calibri" w:hAnsi="Verdana" w:cs="Arial"/>
          <w:bCs/>
          <w:sz w:val="20"/>
          <w:szCs w:val="20"/>
          <w:lang w:eastAsia="es-ES_tradnl"/>
        </w:rPr>
      </w:pPr>
    </w:p>
    <w:p w14:paraId="33B6432E" w14:textId="77777777" w:rsidR="0039750E" w:rsidRPr="00E47CAB" w:rsidRDefault="0039750E" w:rsidP="0039750E">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a) Información detallada de todas las auditorías que realicen, incluyendo los resultados, hallazgos y seguimiento a las acciones de mejora; </w:t>
      </w:r>
      <w:r w:rsidRPr="00E47CAB">
        <w:rPr>
          <w:rFonts w:ascii="Verdana" w:eastAsia="Calibri" w:hAnsi="Verdana" w:cs="Arial"/>
          <w:bCs/>
          <w:sz w:val="20"/>
          <w:szCs w:val="20"/>
          <w:lang w:eastAsia="es-ES_tradnl"/>
        </w:rPr>
        <w:t> </w:t>
      </w:r>
    </w:p>
    <w:p w14:paraId="723C0896" w14:textId="77777777" w:rsidR="0039750E" w:rsidRDefault="0039750E" w:rsidP="0039750E">
      <w:pPr>
        <w:spacing w:after="0" w:line="240" w:lineRule="auto"/>
        <w:ind w:left="709" w:right="709"/>
        <w:jc w:val="both"/>
        <w:rPr>
          <w:rFonts w:ascii="Verdana" w:eastAsia="Calibri" w:hAnsi="Verdana" w:cs="Arial"/>
          <w:bCs/>
          <w:i/>
          <w:iCs/>
          <w:sz w:val="20"/>
          <w:szCs w:val="20"/>
          <w:lang w:eastAsia="es-ES_tradnl"/>
        </w:rPr>
      </w:pPr>
    </w:p>
    <w:p w14:paraId="04224A46" w14:textId="77777777" w:rsidR="0039750E" w:rsidRPr="00E47CAB" w:rsidRDefault="0039750E" w:rsidP="0039750E">
      <w:pPr>
        <w:spacing w:after="0" w:line="240" w:lineRule="auto"/>
        <w:ind w:left="709" w:right="709"/>
        <w:jc w:val="both"/>
        <w:rPr>
          <w:rFonts w:ascii="Verdana" w:eastAsia="Calibri" w:hAnsi="Verdana" w:cs="Arial"/>
          <w:bCs/>
          <w:i/>
          <w:sz w:val="20"/>
          <w:szCs w:val="20"/>
          <w:lang w:eastAsia="es-ES_tradnl"/>
        </w:rPr>
      </w:pPr>
      <w:r w:rsidRPr="00E47CAB">
        <w:rPr>
          <w:rFonts w:ascii="Verdana" w:eastAsia="Calibri" w:hAnsi="Verdana" w:cs="Arial"/>
          <w:bCs/>
          <w:i/>
          <w:iCs/>
          <w:sz w:val="20"/>
          <w:szCs w:val="20"/>
          <w:lang w:eastAsia="es-ES_tradnl"/>
        </w:rPr>
        <w:t>b) Información detallada de los contratos que suscriban, incluyendo, como mínimo: valor del contrato, objeto contractual, identidad del contratista seleccionado; así como el enlace directo al proceso en el Sistema Electrónico de Contratación Pública (SECOP). 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p>
    <w:p w14:paraId="32880292" w14:textId="77777777" w:rsidR="0039750E" w:rsidRDefault="0039750E" w:rsidP="0039750E">
      <w:pPr>
        <w:spacing w:after="0" w:line="240" w:lineRule="auto"/>
        <w:ind w:left="709" w:right="709"/>
        <w:jc w:val="both"/>
        <w:rPr>
          <w:rFonts w:ascii="Verdana" w:eastAsia="Calibri" w:hAnsi="Verdana" w:cs="Arial"/>
          <w:bCs/>
          <w:iCs/>
          <w:sz w:val="20"/>
          <w:szCs w:val="20"/>
          <w:lang w:eastAsia="es-ES_tradnl"/>
        </w:rPr>
      </w:pPr>
    </w:p>
    <w:p w14:paraId="26D77C26" w14:textId="77777777" w:rsidR="0039750E" w:rsidRPr="00E47CAB" w:rsidRDefault="0039750E" w:rsidP="0039750E">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t>La Secretaría de Transparencia de la Presidencia de la República realizará un seguimiento anual, con actualizaciones periódicas y un escalafón de entidades, para medir la garantía de acceso a la información, verificando: la existencia de la información; la publicación gratuita, y oportuna, teniendo en cuenta tiempos de rezago; que la información sea objetiva, veraz, que esté completa y sea reutilizable, procesable y accesible. </w:t>
      </w:r>
      <w:r w:rsidRPr="00E47CAB">
        <w:rPr>
          <w:rFonts w:ascii="Verdana" w:eastAsia="Calibri" w:hAnsi="Verdana" w:cs="Arial"/>
          <w:bCs/>
          <w:sz w:val="20"/>
          <w:szCs w:val="20"/>
          <w:lang w:eastAsia="es-ES_tradnl"/>
        </w:rPr>
        <w:t> </w:t>
      </w:r>
    </w:p>
    <w:p w14:paraId="33C280DE" w14:textId="77777777" w:rsidR="0039750E" w:rsidRDefault="0039750E" w:rsidP="0039750E">
      <w:pPr>
        <w:spacing w:after="0" w:line="240" w:lineRule="auto"/>
        <w:ind w:left="709" w:right="709"/>
        <w:jc w:val="both"/>
        <w:rPr>
          <w:rFonts w:ascii="Verdana" w:eastAsia="Calibri" w:hAnsi="Verdana" w:cs="Arial"/>
          <w:bCs/>
          <w:iCs/>
          <w:sz w:val="20"/>
          <w:szCs w:val="20"/>
          <w:lang w:eastAsia="es-ES_tradnl"/>
        </w:rPr>
      </w:pPr>
    </w:p>
    <w:p w14:paraId="47D68DEE" w14:textId="77777777" w:rsidR="0039750E" w:rsidRPr="00E47CAB" w:rsidRDefault="0039750E" w:rsidP="0039750E">
      <w:pPr>
        <w:spacing w:after="0" w:line="240" w:lineRule="auto"/>
        <w:ind w:left="709" w:right="709"/>
        <w:jc w:val="both"/>
        <w:rPr>
          <w:rFonts w:ascii="Verdana" w:eastAsia="Calibri" w:hAnsi="Verdana" w:cs="Arial"/>
          <w:bCs/>
          <w:sz w:val="20"/>
          <w:szCs w:val="20"/>
          <w:lang w:eastAsia="es-ES_tradnl"/>
        </w:rPr>
      </w:pPr>
      <w:r w:rsidRPr="00E47CAB">
        <w:rPr>
          <w:rFonts w:ascii="Verdana" w:eastAsia="Calibri" w:hAnsi="Verdana" w:cs="Arial"/>
          <w:bCs/>
          <w:iCs/>
          <w:sz w:val="20"/>
          <w:szCs w:val="20"/>
          <w:lang w:eastAsia="es-ES_tradnl"/>
        </w:rPr>
        <w:lastRenderedPageBreak/>
        <w:t>Parágrafo. Los sujetos obligados deberán incluir en el Índice de Información Reservada y Clasificada todos aquellos actos o contratos a los que asignen tales categorías, incluyendo su individualización, su denominación y el motivo por el cual consideran que se puede negar el acceso</w:t>
      </w:r>
      <w:r>
        <w:rPr>
          <w:rFonts w:ascii="Verdana" w:eastAsia="Calibri" w:hAnsi="Verdana" w:cs="Arial"/>
          <w:bCs/>
          <w:iCs/>
          <w:sz w:val="20"/>
          <w:szCs w:val="20"/>
          <w:lang w:eastAsia="es-ES_tradnl"/>
        </w:rPr>
        <w:t>”</w:t>
      </w:r>
      <w:r w:rsidRPr="00E47CAB">
        <w:rPr>
          <w:rFonts w:ascii="Verdana" w:eastAsia="Calibri" w:hAnsi="Verdana" w:cs="Arial"/>
          <w:bCs/>
          <w:iCs/>
          <w:sz w:val="20"/>
          <w:szCs w:val="20"/>
          <w:lang w:eastAsia="es-ES_tradnl"/>
        </w:rPr>
        <w:t xml:space="preserve"> (</w:t>
      </w:r>
      <w:r w:rsidRPr="00B345BC">
        <w:rPr>
          <w:rFonts w:ascii="Verdana" w:eastAsia="Calibri" w:hAnsi="Verdana" w:cs="Arial"/>
          <w:bCs/>
          <w:iCs/>
          <w:sz w:val="20"/>
          <w:szCs w:val="20"/>
          <w:lang w:eastAsia="es-ES_tradnl"/>
        </w:rPr>
        <w:t xml:space="preserve">Énfasis </w:t>
      </w:r>
      <w:r w:rsidRPr="00E47CAB">
        <w:rPr>
          <w:rFonts w:ascii="Verdana" w:eastAsia="Calibri" w:hAnsi="Verdana" w:cs="Arial"/>
          <w:bCs/>
          <w:iCs/>
          <w:sz w:val="20"/>
          <w:szCs w:val="20"/>
          <w:lang w:eastAsia="es-ES_tradnl"/>
        </w:rPr>
        <w:t>fuera de texto)</w:t>
      </w:r>
      <w:r>
        <w:rPr>
          <w:rFonts w:ascii="Verdana" w:eastAsia="Calibri" w:hAnsi="Verdana" w:cs="Arial"/>
          <w:bCs/>
          <w:iCs/>
          <w:sz w:val="20"/>
          <w:szCs w:val="20"/>
          <w:lang w:eastAsia="es-ES_tradnl"/>
        </w:rPr>
        <w:t xml:space="preserve">. </w:t>
      </w:r>
    </w:p>
    <w:p w14:paraId="0D0FAFAB" w14:textId="77777777" w:rsidR="0039750E" w:rsidRPr="003F20E6" w:rsidRDefault="0039750E" w:rsidP="0039750E">
      <w:pPr>
        <w:spacing w:after="0" w:line="276" w:lineRule="auto"/>
        <w:jc w:val="both"/>
        <w:rPr>
          <w:rFonts w:ascii="Verdana" w:eastAsia="Calibri" w:hAnsi="Verdana" w:cs="Arial"/>
          <w:bCs/>
          <w:lang w:eastAsia="es-ES_tradnl"/>
        </w:rPr>
      </w:pPr>
    </w:p>
    <w:p w14:paraId="2DD2DC2F" w14:textId="77777777" w:rsidR="0039750E" w:rsidRDefault="0039750E" w:rsidP="0039750E">
      <w:pPr>
        <w:spacing w:after="120" w:line="276" w:lineRule="auto"/>
        <w:ind w:firstLine="709"/>
        <w:jc w:val="both"/>
        <w:rPr>
          <w:rFonts w:ascii="Verdana" w:eastAsia="Calibri" w:hAnsi="Verdana" w:cs="Arial"/>
          <w:bCs/>
          <w:iCs/>
          <w:lang w:eastAsia="es-ES_tradnl"/>
        </w:rPr>
      </w:pPr>
      <w:r w:rsidRPr="003F20E6">
        <w:rPr>
          <w:rFonts w:ascii="Verdana" w:eastAsia="Calibri" w:hAnsi="Verdana" w:cs="Arial"/>
          <w:bCs/>
          <w:lang w:eastAsia="es-ES_tradnl"/>
        </w:rPr>
        <w:t xml:space="preserve">A partir del artículo precitado se resalta que su primer inciso alude al deber de publicación en la página web de los sujetos obligados por dicho Decreto, el cual contiene dos literales: en el literal a) se establece el deber de publicar por parte de las entidades de </w:t>
      </w:r>
      <w:r w:rsidRPr="003F20E6">
        <w:rPr>
          <w:rFonts w:ascii="Verdana" w:eastAsia="Calibri" w:hAnsi="Verdana" w:cs="Arial"/>
          <w:bCs/>
          <w:iCs/>
          <w:lang w:eastAsia="es-ES_tradnl"/>
        </w:rPr>
        <w:t>todas las auditorías que le realicen, en la que se incluyan los resultados, hallazgos y seguimiento a las acciones de mejora; en el literal b se establece dos subreglas</w:t>
      </w:r>
      <w:r>
        <w:rPr>
          <w:rFonts w:ascii="Verdana" w:eastAsia="Calibri" w:hAnsi="Verdana" w:cs="Arial"/>
          <w:bCs/>
          <w:iCs/>
          <w:lang w:eastAsia="es-ES_tradnl"/>
        </w:rPr>
        <w:t>. L</w:t>
      </w:r>
      <w:r w:rsidRPr="003F20E6">
        <w:rPr>
          <w:rFonts w:ascii="Verdana" w:eastAsia="Calibri" w:hAnsi="Verdana" w:cs="Arial"/>
          <w:bCs/>
          <w:iCs/>
          <w:lang w:eastAsia="es-ES_tradnl"/>
        </w:rPr>
        <w:t>a primera está contenida en un primer aparte que dispone: “</w:t>
      </w:r>
      <w:r w:rsidRPr="003F20E6">
        <w:rPr>
          <w:rFonts w:ascii="Verdana" w:eastAsia="Calibri" w:hAnsi="Verdana" w:cs="Arial"/>
          <w:bCs/>
          <w:i/>
          <w:iCs/>
          <w:sz w:val="21"/>
          <w:szCs w:val="21"/>
          <w:lang w:eastAsia="es-ES_tradnl"/>
        </w:rPr>
        <w:t>Información detallada de los contratos que suscriban, incluyendo, como mínimo: valor del contrato, objeto contractual, identidad del contratista seleccionado; así como el enlace directo al proceso en el Sistema Electrónico de Contratación Pública (SECOP)”, lo cual implica el</w:t>
      </w:r>
      <w:r w:rsidRPr="003F20E6">
        <w:rPr>
          <w:rFonts w:ascii="Verdana" w:eastAsia="Calibri" w:hAnsi="Verdana" w:cs="Arial"/>
          <w:bCs/>
          <w:iCs/>
          <w:lang w:eastAsia="es-ES_tradnl"/>
        </w:rPr>
        <w:t xml:space="preserve"> mandato de publicar en página web por parte de los sujetos obligados de la información detallada de los contratos celebrados, incluyendo su valor, objeto, identidad del contratista seleccionado, así como el enlace en el SECOP</w:t>
      </w:r>
      <w:r>
        <w:rPr>
          <w:rFonts w:ascii="Verdana" w:eastAsia="Calibri" w:hAnsi="Verdana" w:cs="Arial"/>
          <w:bCs/>
          <w:iCs/>
          <w:lang w:eastAsia="es-ES_tradnl"/>
        </w:rPr>
        <w:t xml:space="preserve">. </w:t>
      </w:r>
    </w:p>
    <w:p w14:paraId="0D55BF3C" w14:textId="77777777" w:rsidR="0039750E" w:rsidRPr="003F20E6" w:rsidRDefault="0039750E" w:rsidP="0039750E">
      <w:pPr>
        <w:spacing w:after="120" w:line="276" w:lineRule="auto"/>
        <w:ind w:firstLine="709"/>
        <w:jc w:val="both"/>
        <w:rPr>
          <w:rFonts w:ascii="Verdana" w:eastAsia="Calibri" w:hAnsi="Verdana" w:cs="Arial"/>
          <w:bCs/>
          <w:lang w:eastAsia="es-ES_tradnl"/>
        </w:rPr>
      </w:pPr>
      <w:r>
        <w:rPr>
          <w:rFonts w:ascii="Verdana" w:eastAsia="Calibri" w:hAnsi="Verdana" w:cs="Arial"/>
          <w:bCs/>
          <w:iCs/>
          <w:lang w:eastAsia="es-ES_tradnl"/>
        </w:rPr>
        <w:t>U</w:t>
      </w:r>
      <w:r w:rsidRPr="003F20E6">
        <w:rPr>
          <w:rFonts w:ascii="Verdana" w:eastAsia="Calibri" w:hAnsi="Verdana" w:cs="Arial"/>
          <w:bCs/>
          <w:iCs/>
          <w:lang w:eastAsia="es-ES_tradnl"/>
        </w:rPr>
        <w:t>na segunda subregla que prescribe</w:t>
      </w:r>
      <w:r w:rsidRPr="003F20E6">
        <w:rPr>
          <w:rFonts w:ascii="Verdana" w:eastAsia="Calibri" w:hAnsi="Verdana" w:cs="Arial"/>
          <w:bCs/>
          <w:lang w:eastAsia="es-ES_tradnl"/>
        </w:rPr>
        <w:t xml:space="preserve">: </w:t>
      </w:r>
      <w:r w:rsidRPr="003F20E6">
        <w:rPr>
          <w:rFonts w:ascii="Verdana" w:eastAsia="Calibri" w:hAnsi="Verdana" w:cs="Arial"/>
          <w:bCs/>
          <w:i/>
          <w:lang w:eastAsia="es-ES_tradnl"/>
        </w:rPr>
        <w:t>“</w:t>
      </w:r>
      <w:r w:rsidRPr="003F20E6">
        <w:rPr>
          <w:rFonts w:ascii="Verdana" w:eastAsia="Calibri" w:hAnsi="Verdana" w:cs="Arial"/>
          <w:bCs/>
          <w:i/>
          <w:iCs/>
          <w:lang w:eastAsia="es-ES_tradnl"/>
        </w:rPr>
        <w:t>En SECOP, además, debe estar publicada la información de ejecución del contrato, esto es, informes de supervisión e interventoría, actas de liquidación, requerimientos, etc. Esta información debe ser publicada dentro de los diez (10) días siguientes a la suscripción del contrato u ocurrencia del hecho. En ningún caso la información contractual podrá tener un rezago mayor a diez (10) días”.</w:t>
      </w:r>
      <w:r w:rsidRPr="003F20E6">
        <w:rPr>
          <w:rFonts w:ascii="Verdana" w:eastAsia="Calibri" w:hAnsi="Verdana" w:cs="Arial"/>
          <w:bCs/>
          <w:lang w:eastAsia="es-ES_tradnl"/>
        </w:rPr>
        <w:t xml:space="preserve"> Esta subregla </w:t>
      </w:r>
      <w:r w:rsidRPr="003F20E6">
        <w:rPr>
          <w:rFonts w:ascii="Verdana" w:eastAsia="Calibri" w:hAnsi="Verdana" w:cs="Arial"/>
          <w:bCs/>
          <w:iCs/>
          <w:sz w:val="21"/>
          <w:szCs w:val="21"/>
          <w:lang w:eastAsia="es-ES_tradnl"/>
        </w:rPr>
        <w:t xml:space="preserve">prescribe el deber de publicar la información de ejecución del contrato, es decir, los informes de supervisión e interventoría, actas de liquidación, requerimientos, entre otros. Ahora bien, dicho literal también establece que esta información debe publicarse dentro de los diez (10) días siguientes a la ocurrencia del hecho, y en ningún caso puede haber retraso para el cumplimiento de este término, esto es, establece un límite máximo de publicación para los documentos de ejecución del contrato. </w:t>
      </w:r>
    </w:p>
    <w:p w14:paraId="2D961134" w14:textId="77777777" w:rsidR="0039750E" w:rsidRPr="003F20E6" w:rsidRDefault="0039750E" w:rsidP="0039750E">
      <w:pPr>
        <w:spacing w:after="120" w:line="276" w:lineRule="auto"/>
        <w:ind w:firstLine="708"/>
        <w:jc w:val="both"/>
        <w:rPr>
          <w:rFonts w:ascii="Verdana" w:eastAsia="Calibri" w:hAnsi="Verdana" w:cs="Arial"/>
          <w:bCs/>
          <w:iCs/>
          <w:sz w:val="21"/>
          <w:szCs w:val="21"/>
          <w:lang w:val="es-ES_tradnl" w:eastAsia="es-ES_tradnl"/>
        </w:rPr>
      </w:pPr>
      <w:r w:rsidRPr="003F20E6">
        <w:rPr>
          <w:rFonts w:ascii="Verdana" w:eastAsia="Calibri" w:hAnsi="Verdana" w:cs="Arial"/>
          <w:bCs/>
          <w:iCs/>
          <w:sz w:val="21"/>
          <w:szCs w:val="21"/>
          <w:lang w:eastAsia="es-ES_tradnl"/>
        </w:rPr>
        <w:t xml:space="preserve">No obstante, este artículo parece contradecirse, en un principio, con lo dispuesto en el artículo 2.2.1.1.1.7.1. del Decreto 1082 de 2015 que establece que la Entidad Estatal está obligada a publicar en el SECOP los Documentos del Proceso y los actos administrativos del Proceso de Contratación, dentro de los tres (3) días siguientes a su expedición, además, dispone que la oferta que debe publicarse es la del adjudicatario del Proceso de Contratación, y que los documentos de las operaciones que se realicen en bolsa de productos no tienen que publicarse en el </w:t>
      </w:r>
      <w:r w:rsidRPr="003F20E6">
        <w:rPr>
          <w:rFonts w:ascii="Verdana" w:eastAsia="Calibri" w:hAnsi="Verdana" w:cs="Arial"/>
          <w:bCs/>
          <w:iCs/>
          <w:sz w:val="21"/>
          <w:szCs w:val="21"/>
          <w:lang w:eastAsia="es-ES_tradnl"/>
        </w:rPr>
        <w:lastRenderedPageBreak/>
        <w:t xml:space="preserve">SECOP. En este escenario, parece en un principio, un </w:t>
      </w:r>
      <w:r w:rsidRPr="003F20E6">
        <w:rPr>
          <w:rFonts w:ascii="Verdana" w:eastAsia="Calibri" w:hAnsi="Verdana" w:cs="Arial"/>
          <w:bCs/>
          <w:iCs/>
          <w:sz w:val="21"/>
          <w:szCs w:val="21"/>
          <w:lang w:val="es-ES_tradnl" w:eastAsia="es-ES_tradnl"/>
        </w:rPr>
        <w:t xml:space="preserve">conflicto entre la </w:t>
      </w:r>
      <w:r w:rsidRPr="003F20E6">
        <w:rPr>
          <w:rFonts w:ascii="Verdana" w:eastAsia="Calibri" w:hAnsi="Verdana" w:cs="Arial"/>
          <w:bCs/>
          <w:i/>
          <w:iCs/>
          <w:sz w:val="21"/>
          <w:szCs w:val="21"/>
          <w:lang w:val="es-ES_tradnl" w:eastAsia="es-ES_tradnl"/>
        </w:rPr>
        <w:t>regla general dispuesta en el Decreto 1082 de 2015</w:t>
      </w:r>
      <w:r w:rsidRPr="003F20E6">
        <w:rPr>
          <w:rFonts w:ascii="Verdana" w:eastAsia="Calibri" w:hAnsi="Verdana" w:cs="Arial"/>
          <w:bCs/>
          <w:iCs/>
          <w:sz w:val="21"/>
          <w:szCs w:val="21"/>
          <w:lang w:val="es-ES_tradnl" w:eastAsia="es-ES_tradnl"/>
        </w:rPr>
        <w:t xml:space="preserve"> y la </w:t>
      </w:r>
      <w:r w:rsidRPr="003F20E6">
        <w:rPr>
          <w:rFonts w:ascii="Verdana" w:eastAsia="Calibri" w:hAnsi="Verdana" w:cs="Arial"/>
          <w:bCs/>
          <w:i/>
          <w:iCs/>
          <w:sz w:val="21"/>
          <w:szCs w:val="21"/>
          <w:lang w:val="es-ES_tradnl" w:eastAsia="es-ES_tradnl"/>
        </w:rPr>
        <w:t>regla especial que dispone un término máximo para publicar la información para entidades del orden nacional</w:t>
      </w:r>
      <w:r w:rsidRPr="003F20E6">
        <w:rPr>
          <w:rFonts w:ascii="Verdana" w:eastAsia="Calibri" w:hAnsi="Verdana" w:cs="Arial"/>
          <w:bCs/>
          <w:iCs/>
          <w:sz w:val="21"/>
          <w:szCs w:val="21"/>
          <w:lang w:val="es-ES_tradnl" w:eastAsia="es-ES_tradnl"/>
        </w:rPr>
        <w:t xml:space="preserve">, siendo necesario acudir al problema con fundamento en el artículo 5.1 de la Ley 57 de 1887. Según esta norma, “[…] Si en los Códigos que se adoptan se hallaren algunas disposiciones incompatibles entre sí […] </w:t>
      </w:r>
      <w:r w:rsidRPr="003F20E6">
        <w:rPr>
          <w:rFonts w:ascii="Verdana" w:eastAsia="Calibri" w:hAnsi="Verdana" w:cs="Arial"/>
          <w:bCs/>
          <w:i/>
          <w:iCs/>
          <w:sz w:val="21"/>
          <w:szCs w:val="21"/>
          <w:lang w:val="es-ES_tradnl" w:eastAsia="es-ES_tradnl"/>
        </w:rPr>
        <w:t>La disposición relativa a un asunto especial prefiere a la que tenga carácter general</w:t>
      </w:r>
      <w:r w:rsidRPr="003F20E6">
        <w:rPr>
          <w:rFonts w:ascii="Verdana" w:eastAsia="Calibri" w:hAnsi="Verdana" w:cs="Arial"/>
          <w:bCs/>
          <w:iCs/>
          <w:sz w:val="21"/>
          <w:szCs w:val="21"/>
          <w:lang w:val="es-ES_tradnl" w:eastAsia="es-ES_tradnl"/>
        </w:rPr>
        <w:t xml:space="preserve"> […]” (Énfasis fuera de texto). </w:t>
      </w:r>
    </w:p>
    <w:p w14:paraId="711EB867" w14:textId="77777777" w:rsidR="0039750E" w:rsidRPr="003F20E6" w:rsidRDefault="0039750E" w:rsidP="0039750E">
      <w:pPr>
        <w:spacing w:after="120" w:line="276" w:lineRule="auto"/>
        <w:ind w:firstLine="708"/>
        <w:jc w:val="both"/>
        <w:rPr>
          <w:rFonts w:ascii="Verdana" w:eastAsia="Calibri" w:hAnsi="Verdana" w:cs="Arial"/>
          <w:bCs/>
          <w:iCs/>
          <w:sz w:val="21"/>
          <w:szCs w:val="21"/>
          <w:lang w:eastAsia="es-ES_tradnl"/>
        </w:rPr>
      </w:pPr>
      <w:r w:rsidRPr="003F20E6">
        <w:rPr>
          <w:rFonts w:ascii="Verdana" w:eastAsia="Calibri" w:hAnsi="Verdana" w:cs="Arial"/>
          <w:bCs/>
          <w:iCs/>
          <w:sz w:val="21"/>
          <w:szCs w:val="21"/>
          <w:lang w:val="es-ES_tradnl" w:eastAsia="es-ES_tradnl"/>
        </w:rPr>
        <w:t xml:space="preserve">Por tanto, la regla dispuesta en el </w:t>
      </w:r>
      <w:r w:rsidRPr="003F20E6">
        <w:rPr>
          <w:rFonts w:ascii="Verdana" w:eastAsia="Calibri" w:hAnsi="Verdana" w:cs="Arial"/>
          <w:bCs/>
          <w:iCs/>
          <w:sz w:val="21"/>
          <w:szCs w:val="21"/>
          <w:lang w:eastAsia="es-ES_tradnl"/>
        </w:rPr>
        <w:t xml:space="preserve">artículo 2.1.4.3.2.2 del Decreto 1081 de 2015 </w:t>
      </w:r>
      <w:r w:rsidRPr="003F20E6">
        <w:rPr>
          <w:rFonts w:ascii="Verdana" w:eastAsia="Calibri" w:hAnsi="Verdana" w:cs="Arial"/>
          <w:bCs/>
          <w:iCs/>
          <w:sz w:val="21"/>
          <w:szCs w:val="21"/>
          <w:lang w:val="es-ES_tradnl" w:eastAsia="es-ES_tradnl"/>
        </w:rPr>
        <w:t>–</w:t>
      </w:r>
      <w:r w:rsidRPr="003F20E6">
        <w:rPr>
          <w:rFonts w:ascii="Verdana" w:eastAsia="Calibri" w:hAnsi="Verdana" w:cs="Arial"/>
          <w:bCs/>
          <w:i/>
          <w:iCs/>
          <w:sz w:val="21"/>
          <w:szCs w:val="21"/>
          <w:lang w:val="es-ES_tradnl" w:eastAsia="es-ES_tradnl"/>
        </w:rPr>
        <w:t>regla especial</w:t>
      </w:r>
      <w:r w:rsidRPr="003F20E6">
        <w:rPr>
          <w:rFonts w:ascii="Verdana" w:eastAsia="Calibri" w:hAnsi="Verdana" w:cs="Arial"/>
          <w:bCs/>
          <w:iCs/>
          <w:sz w:val="21"/>
          <w:szCs w:val="21"/>
          <w:lang w:val="es-ES_tradnl" w:eastAsia="es-ES_tradnl"/>
        </w:rPr>
        <w:t xml:space="preserve">– debe tenerse en cuenta sobre el entendimiento y aplicación del artículo </w:t>
      </w:r>
      <w:r w:rsidRPr="003F20E6">
        <w:rPr>
          <w:rFonts w:ascii="Verdana" w:eastAsia="Calibri" w:hAnsi="Verdana" w:cs="Arial"/>
          <w:bCs/>
          <w:iCs/>
          <w:sz w:val="21"/>
          <w:szCs w:val="21"/>
          <w:lang w:eastAsia="es-ES_tradnl"/>
        </w:rPr>
        <w:t>2.2.1.1.1.7.1. del Decreto 1082 de 2015</w:t>
      </w:r>
      <w:r w:rsidRPr="003F20E6">
        <w:rPr>
          <w:rFonts w:ascii="Verdana" w:eastAsia="Calibri" w:hAnsi="Verdana" w:cs="Arial"/>
          <w:bCs/>
          <w:iCs/>
          <w:sz w:val="21"/>
          <w:szCs w:val="21"/>
          <w:lang w:val="es-ES_tradnl" w:eastAsia="es-ES_tradnl"/>
        </w:rPr>
        <w:t xml:space="preserve"> –</w:t>
      </w:r>
      <w:r w:rsidRPr="003F20E6">
        <w:rPr>
          <w:rFonts w:ascii="Verdana" w:eastAsia="Calibri" w:hAnsi="Verdana" w:cs="Arial"/>
          <w:bCs/>
          <w:i/>
          <w:iCs/>
          <w:sz w:val="21"/>
          <w:szCs w:val="21"/>
          <w:lang w:val="es-ES_tradnl" w:eastAsia="es-ES_tradnl"/>
        </w:rPr>
        <w:t>regla general</w:t>
      </w:r>
      <w:r w:rsidRPr="003F20E6">
        <w:rPr>
          <w:rFonts w:ascii="Verdana" w:eastAsia="Calibri" w:hAnsi="Verdana" w:cs="Arial"/>
          <w:bCs/>
          <w:iCs/>
          <w:sz w:val="21"/>
          <w:szCs w:val="21"/>
          <w:lang w:val="es-ES_tradnl" w:eastAsia="es-ES_tradnl"/>
        </w:rPr>
        <w:t xml:space="preserve">–, esto es, deben interpretarse armónicamente. Esto no significa que la </w:t>
      </w:r>
      <w:r w:rsidRPr="003F20E6">
        <w:rPr>
          <w:rFonts w:ascii="Verdana" w:eastAsia="Calibri" w:hAnsi="Verdana" w:cs="Arial"/>
          <w:bCs/>
          <w:i/>
          <w:iCs/>
          <w:sz w:val="21"/>
          <w:szCs w:val="21"/>
          <w:lang w:val="es-ES_tradnl" w:eastAsia="es-ES_tradnl"/>
        </w:rPr>
        <w:t>regla general</w:t>
      </w:r>
      <w:r w:rsidRPr="003F20E6">
        <w:rPr>
          <w:rFonts w:ascii="Verdana" w:eastAsia="Calibri" w:hAnsi="Verdana" w:cs="Arial"/>
          <w:bCs/>
          <w:iCs/>
          <w:sz w:val="21"/>
          <w:szCs w:val="21"/>
          <w:lang w:val="es-ES_tradnl" w:eastAsia="es-ES_tradnl"/>
        </w:rPr>
        <w:t xml:space="preserve"> desaparezca del ordenamiento jurídico; todo lo contrario, esta aplica en todos los supuestos que regula, y se interpreta de forma integral con los supuestos previstos en la </w:t>
      </w:r>
      <w:r w:rsidRPr="003F20E6">
        <w:rPr>
          <w:rFonts w:ascii="Verdana" w:eastAsia="Calibri" w:hAnsi="Verdana" w:cs="Arial"/>
          <w:bCs/>
          <w:i/>
          <w:iCs/>
          <w:sz w:val="21"/>
          <w:szCs w:val="21"/>
          <w:lang w:val="es-ES_tradnl" w:eastAsia="es-ES_tradnl"/>
        </w:rPr>
        <w:t>regla especial</w:t>
      </w:r>
      <w:r w:rsidRPr="003F20E6">
        <w:rPr>
          <w:rFonts w:ascii="Verdana" w:eastAsia="Calibri" w:hAnsi="Verdana" w:cs="Arial"/>
          <w:bCs/>
          <w:iCs/>
          <w:sz w:val="21"/>
          <w:szCs w:val="21"/>
          <w:lang w:val="es-ES_tradnl" w:eastAsia="es-ES_tradnl"/>
        </w:rPr>
        <w:t xml:space="preserve">. De esta manera, el término de diez (10) días es un plazo máximo para las entidades y </w:t>
      </w:r>
      <w:r w:rsidRPr="003F20E6">
        <w:rPr>
          <w:rFonts w:ascii="Verdana" w:eastAsia="Calibri" w:hAnsi="Verdana" w:cs="Arial"/>
          <w:bCs/>
          <w:i/>
          <w:iCs/>
          <w:sz w:val="21"/>
          <w:szCs w:val="21"/>
          <w:lang w:eastAsia="es-ES_tradnl"/>
        </w:rPr>
        <w:t xml:space="preserve">empresas del Estado </w:t>
      </w:r>
      <w:r w:rsidRPr="003F20E6">
        <w:rPr>
          <w:rFonts w:ascii="Verdana" w:eastAsia="Calibri" w:hAnsi="Verdana" w:cs="Arial"/>
          <w:bCs/>
          <w:iCs/>
          <w:sz w:val="21"/>
          <w:szCs w:val="21"/>
          <w:lang w:eastAsia="es-ES_tradnl"/>
        </w:rPr>
        <w:t xml:space="preserve">del orden nacional y pertenecientes a la Rama Ejecutiva del Poder Público para publicar en SECOP, en todo caso, precisando la regla general sigue vigente, y que, en un principio, el término para publicar es de tres (3) días siguientes a la expedición, de conformidad a lo prescrito en el Decreto 1082 de 2015. </w:t>
      </w:r>
    </w:p>
    <w:p w14:paraId="42953051" w14:textId="77777777" w:rsidR="0039750E" w:rsidRPr="003F20E6" w:rsidRDefault="0039750E" w:rsidP="0039750E">
      <w:pPr>
        <w:spacing w:after="120" w:line="276" w:lineRule="auto"/>
        <w:ind w:firstLine="708"/>
        <w:jc w:val="both"/>
        <w:rPr>
          <w:rFonts w:ascii="Verdana" w:eastAsia="Calibri" w:hAnsi="Verdana" w:cs="Arial"/>
          <w:bCs/>
          <w:iCs/>
          <w:sz w:val="21"/>
          <w:szCs w:val="21"/>
          <w:lang w:eastAsia="es-ES_tradnl"/>
        </w:rPr>
      </w:pPr>
      <w:r w:rsidRPr="003F20E6">
        <w:rPr>
          <w:rFonts w:ascii="Verdana" w:eastAsia="Calibri" w:hAnsi="Verdana" w:cs="Arial"/>
          <w:bCs/>
          <w:iCs/>
          <w:sz w:val="21"/>
          <w:szCs w:val="21"/>
          <w:lang w:eastAsia="es-ES_tradnl"/>
        </w:rPr>
        <w:t>Ahora bien, las demás entidades que no están sujetas al Decreto 1600 de 2024 que modifica el Decreto 1081 de 2021 tienen el deber de aplicar el término de publicación de los tres (3) días siguientes a su expedición como regla general y no le es aplicable el término máximo de diez (10) días. En tal sentido, las entidades del orden territorial, así como sus descentralizadas deben seguir aplicando el término general de tres (3) días, y no podrán hacer una interpretación extensiva ni analógica, puesto que se rigen bajo el principio de legalidad</w:t>
      </w:r>
      <w:r w:rsidRPr="003F20E6">
        <w:rPr>
          <w:rFonts w:ascii="Verdana" w:eastAsia="Calibri" w:hAnsi="Verdana" w:cs="Arial"/>
          <w:bCs/>
          <w:iCs/>
          <w:sz w:val="21"/>
          <w:szCs w:val="21"/>
          <w:vertAlign w:val="superscript"/>
          <w:lang w:eastAsia="es-ES_tradnl"/>
        </w:rPr>
        <w:footnoteReference w:id="12"/>
      </w:r>
      <w:r w:rsidRPr="003F20E6">
        <w:rPr>
          <w:rFonts w:ascii="Verdana" w:eastAsia="Calibri" w:hAnsi="Verdana" w:cs="Arial"/>
          <w:bCs/>
          <w:iCs/>
          <w:sz w:val="21"/>
          <w:szCs w:val="21"/>
          <w:lang w:eastAsia="es-ES_tradnl"/>
        </w:rPr>
        <w:t xml:space="preserve"> que implica una interpretación literal y estricta de las disposiciones normativas.  </w:t>
      </w:r>
    </w:p>
    <w:p w14:paraId="706B78A7" w14:textId="77777777" w:rsidR="0039750E" w:rsidRDefault="0039750E" w:rsidP="0039750E">
      <w:pPr>
        <w:spacing w:after="120" w:line="276" w:lineRule="auto"/>
        <w:ind w:firstLine="708"/>
        <w:jc w:val="both"/>
        <w:rPr>
          <w:rFonts w:ascii="Verdana" w:eastAsia="Calibri" w:hAnsi="Verdana" w:cs="Arial"/>
          <w:bCs/>
          <w:iCs/>
          <w:sz w:val="21"/>
          <w:szCs w:val="21"/>
          <w:lang w:val="es-ES" w:eastAsia="es-ES_tradnl"/>
        </w:rPr>
      </w:pPr>
      <w:r w:rsidRPr="003F20E6">
        <w:rPr>
          <w:rFonts w:ascii="Verdana" w:eastAsia="Calibri" w:hAnsi="Verdana" w:cs="Arial"/>
          <w:bCs/>
          <w:iCs/>
          <w:sz w:val="21"/>
          <w:szCs w:val="21"/>
          <w:lang w:eastAsia="es-ES_tradnl"/>
        </w:rPr>
        <w:t>Sin embargo</w:t>
      </w:r>
      <w:r w:rsidRPr="003F20E6">
        <w:rPr>
          <w:rFonts w:ascii="Verdana" w:eastAsia="Calibri" w:hAnsi="Verdana" w:cs="Arial"/>
          <w:bCs/>
          <w:iCs/>
          <w:sz w:val="21"/>
          <w:szCs w:val="21"/>
          <w:lang w:val="es-ES" w:eastAsia="es-ES_tradnl"/>
        </w:rPr>
        <w:t xml:space="preserve">, es importante precisar, la naturaleza transaccional del SECOP II, lo cual implica que los procesos contractuales no sólo deban publicarse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w:t>
      </w:r>
    </w:p>
    <w:p w14:paraId="660087B7" w14:textId="77777777" w:rsidR="0039750E" w:rsidRPr="003F20E6" w:rsidRDefault="0039750E" w:rsidP="0039750E">
      <w:pPr>
        <w:spacing w:after="120" w:line="276" w:lineRule="auto"/>
        <w:ind w:firstLine="708"/>
        <w:jc w:val="both"/>
        <w:rPr>
          <w:rFonts w:ascii="Verdana" w:eastAsia="Calibri" w:hAnsi="Verdana" w:cs="Arial"/>
          <w:bCs/>
          <w:iCs/>
          <w:sz w:val="21"/>
          <w:szCs w:val="21"/>
          <w:lang w:val="es-ES" w:eastAsia="es-ES_tradnl"/>
        </w:rPr>
      </w:pPr>
      <w:r w:rsidRPr="003F20E6">
        <w:rPr>
          <w:rFonts w:ascii="Verdana" w:eastAsia="Calibri" w:hAnsi="Verdana" w:cs="Arial"/>
          <w:bCs/>
          <w:iCs/>
          <w:sz w:val="21"/>
          <w:szCs w:val="21"/>
          <w:lang w:val="es-ES" w:eastAsia="es-ES_tradnl"/>
        </w:rPr>
        <w:lastRenderedPageBreak/>
        <w:t xml:space="preserve">Es decir, en SECOP II, en principio, no aplica el término general de los tres (3) o el plazo máximo de los (10) días para las entidades del orden nacional, pues la mayoría de los documentos y actuaciones electrónicas se generan en el instante con la aprobación de las partes que intervienen en el proceso de contratación estatal respectivo. Esto, a diferencia de los procesos publicados en el SECOP I, en los que primero se generan los documentos escritos y luego se publican en dicha plataforma, en los términos ya expuestos, dependiendo de la naturaleza de la entidad y de las reglas prescritas en los Decretos 1081 y 1082 de 2015. </w:t>
      </w:r>
    </w:p>
    <w:p w14:paraId="3D636ACC" w14:textId="77777777" w:rsidR="0039750E" w:rsidRPr="003F20E6" w:rsidRDefault="0039750E" w:rsidP="0039750E">
      <w:pPr>
        <w:spacing w:after="0" w:line="276" w:lineRule="auto"/>
        <w:ind w:firstLine="708"/>
        <w:jc w:val="both"/>
        <w:rPr>
          <w:rFonts w:ascii="Verdana" w:eastAsia="Calibri" w:hAnsi="Verdana" w:cs="Arial"/>
          <w:bCs/>
          <w:iCs/>
          <w:sz w:val="21"/>
          <w:szCs w:val="21"/>
          <w:lang w:val="es-ES" w:eastAsia="es-ES_tradnl"/>
        </w:rPr>
      </w:pPr>
      <w:r w:rsidRPr="003F20E6">
        <w:rPr>
          <w:rFonts w:ascii="Verdana" w:eastAsia="Calibri" w:hAnsi="Verdana" w:cs="Arial"/>
          <w:bCs/>
          <w:iCs/>
          <w:sz w:val="21"/>
          <w:szCs w:val="21"/>
          <w:lang w:val="es-ES" w:eastAsia="es-ES_tradnl"/>
        </w:rPr>
        <w:t xml:space="preserve">Así las cosas, el término de diez (10) días es un límite máximo para publicar por parte de las entidades del orden nacional sometidas a lo dispuesto en el Decreto 1600 de 2024 que modifica el Decreto 1081 de 2015 en cuanto a los documentos de ejecución del contrato, como son las actas de supervisión o interventoría, requerimientos, entre otros. Esto, sin perjuicio del deber general de publicar, en principio, dentro de los tres (3) días siguientes a la expedición de los documentos del proceso que no son transaccionales y que no tienen la calidad de ser documentos de ejecución.  </w:t>
      </w:r>
    </w:p>
    <w:p w14:paraId="2A04DC7E" w14:textId="77777777" w:rsidR="0039750E" w:rsidRPr="0081781F" w:rsidRDefault="0039750E" w:rsidP="0039750E">
      <w:pPr>
        <w:spacing w:after="0" w:line="276" w:lineRule="auto"/>
        <w:jc w:val="both"/>
        <w:rPr>
          <w:rFonts w:ascii="Verdana" w:eastAsia="Calibri" w:hAnsi="Verdana" w:cs="Arial"/>
          <w:lang w:eastAsia="es-ES_tradnl"/>
        </w:rPr>
      </w:pPr>
    </w:p>
    <w:p w14:paraId="178B9316" w14:textId="77777777" w:rsidR="0039750E" w:rsidRPr="0081781F" w:rsidRDefault="0039750E" w:rsidP="0039750E">
      <w:pPr>
        <w:numPr>
          <w:ilvl w:val="0"/>
          <w:numId w:val="19"/>
        </w:numPr>
        <w:spacing w:after="0" w:line="276" w:lineRule="auto"/>
        <w:ind w:left="0" w:firstLine="0"/>
        <w:rPr>
          <w:rFonts w:ascii="Verdana" w:eastAsia="Calibri" w:hAnsi="Verdana" w:cs="Times New Roman"/>
          <w:b/>
          <w:bCs/>
          <w:lang w:val="es-ES"/>
        </w:rPr>
      </w:pPr>
      <w:r w:rsidRPr="0081781F">
        <w:rPr>
          <w:rFonts w:ascii="Verdana" w:eastAsia="Calibri" w:hAnsi="Verdana" w:cs="Times New Roman"/>
          <w:b/>
          <w:bCs/>
          <w:lang w:val="es-ES"/>
        </w:rPr>
        <w:t>Referencias normativas, jurisprudenciales y otras fuentes:</w:t>
      </w:r>
    </w:p>
    <w:p w14:paraId="60966724" w14:textId="77777777" w:rsidR="0039750E" w:rsidRPr="0081781F" w:rsidRDefault="0039750E" w:rsidP="0039750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750E" w:rsidRPr="0081781F" w14:paraId="604AAD6B" w14:textId="77777777" w:rsidTr="00716C89">
        <w:trPr>
          <w:trHeight w:val="870"/>
          <w:jc w:val="center"/>
        </w:trPr>
        <w:tc>
          <w:tcPr>
            <w:tcW w:w="8647" w:type="dxa"/>
          </w:tcPr>
          <w:p w14:paraId="6193521B" w14:textId="77777777" w:rsidR="0039750E" w:rsidRPr="00E47CAB" w:rsidRDefault="0039750E" w:rsidP="0039750E">
            <w:pPr>
              <w:pStyle w:val="Prrafodelista"/>
              <w:widowControl w:val="0"/>
              <w:numPr>
                <w:ilvl w:val="0"/>
                <w:numId w:val="33"/>
              </w:numPr>
              <w:autoSpaceDE w:val="0"/>
              <w:autoSpaceDN w:val="0"/>
              <w:spacing w:line="360" w:lineRule="auto"/>
              <w:jc w:val="both"/>
              <w:rPr>
                <w:rFonts w:ascii="Verdana" w:hAnsi="Verdana" w:cs="Arial"/>
                <w:lang w:val="es-ES_tradnl"/>
              </w:rPr>
            </w:pPr>
            <w:r w:rsidRPr="00E47CAB">
              <w:rPr>
                <w:rFonts w:ascii="Verdana" w:hAnsi="Verdana" w:cs="Arial"/>
                <w:lang w:val="es-ES_tradnl"/>
              </w:rPr>
              <w:t>Constitución Política, artículos 74 y 209.</w:t>
            </w:r>
          </w:p>
          <w:p w14:paraId="6BC1CDC4" w14:textId="77777777" w:rsidR="0039750E" w:rsidRPr="0081781F" w:rsidRDefault="0039750E" w:rsidP="0039750E">
            <w:pPr>
              <w:widowControl w:val="0"/>
              <w:numPr>
                <w:ilvl w:val="0"/>
                <w:numId w:val="20"/>
              </w:numPr>
              <w:autoSpaceDE w:val="0"/>
              <w:autoSpaceDN w:val="0"/>
              <w:spacing w:line="360" w:lineRule="auto"/>
              <w:jc w:val="both"/>
              <w:rPr>
                <w:rFonts w:ascii="Verdana" w:hAnsi="Verdana" w:cs="Arial"/>
                <w:lang w:val="es-ES_tradnl"/>
              </w:rPr>
            </w:pPr>
            <w:r w:rsidRPr="0081781F">
              <w:rPr>
                <w:rFonts w:ascii="Verdana" w:hAnsi="Verdana" w:cs="Arial"/>
                <w:lang w:val="es-ES_tradnl"/>
              </w:rPr>
              <w:t>Ley 1150 de 2007, artículo 3.</w:t>
            </w:r>
          </w:p>
          <w:p w14:paraId="04FFD0FE" w14:textId="77777777" w:rsidR="0039750E" w:rsidRPr="0081781F" w:rsidRDefault="0039750E" w:rsidP="0039750E">
            <w:pPr>
              <w:widowControl w:val="0"/>
              <w:numPr>
                <w:ilvl w:val="0"/>
                <w:numId w:val="20"/>
              </w:numPr>
              <w:autoSpaceDE w:val="0"/>
              <w:autoSpaceDN w:val="0"/>
              <w:spacing w:line="360" w:lineRule="auto"/>
              <w:jc w:val="both"/>
              <w:rPr>
                <w:rFonts w:ascii="Verdana" w:hAnsi="Verdana" w:cs="Arial"/>
                <w:lang w:val="es-ES_tradnl"/>
              </w:rPr>
            </w:pPr>
            <w:r w:rsidRPr="0081781F">
              <w:rPr>
                <w:rFonts w:ascii="Verdana" w:hAnsi="Verdana" w:cs="Arial"/>
              </w:rPr>
              <w:t xml:space="preserve">Decreto Ley 4170 de 2011, artículo 3° numerales 2, 5 y 8. </w:t>
            </w:r>
            <w:r w:rsidRPr="0081781F">
              <w:rPr>
                <w:rFonts w:ascii="Verdana" w:hAnsi="Verdana" w:cs="Arial"/>
                <w:lang w:val="es-ES_tradnl"/>
              </w:rPr>
              <w:t xml:space="preserve"> </w:t>
            </w:r>
          </w:p>
          <w:p w14:paraId="65014C41" w14:textId="77777777" w:rsidR="0039750E" w:rsidRPr="0081781F" w:rsidRDefault="0039750E" w:rsidP="0039750E">
            <w:pPr>
              <w:widowControl w:val="0"/>
              <w:numPr>
                <w:ilvl w:val="0"/>
                <w:numId w:val="20"/>
              </w:numPr>
              <w:autoSpaceDE w:val="0"/>
              <w:autoSpaceDN w:val="0"/>
              <w:spacing w:line="360" w:lineRule="auto"/>
              <w:jc w:val="both"/>
              <w:rPr>
                <w:rFonts w:ascii="Verdana" w:hAnsi="Verdana" w:cs="Arial"/>
                <w:lang w:val="es-ES_tradnl"/>
              </w:rPr>
            </w:pPr>
            <w:r w:rsidRPr="0081781F">
              <w:rPr>
                <w:rFonts w:ascii="Verdana" w:hAnsi="Verdana" w:cs="Arial"/>
                <w:lang w:val="es-ES_tradnl"/>
              </w:rPr>
              <w:t>Ley 1712 de 2014.</w:t>
            </w:r>
          </w:p>
          <w:p w14:paraId="7DD74B5A" w14:textId="77777777" w:rsidR="0039750E" w:rsidRPr="0081781F" w:rsidRDefault="0039750E" w:rsidP="0039750E">
            <w:pPr>
              <w:widowControl w:val="0"/>
              <w:numPr>
                <w:ilvl w:val="0"/>
                <w:numId w:val="20"/>
              </w:numPr>
              <w:autoSpaceDE w:val="0"/>
              <w:autoSpaceDN w:val="0"/>
              <w:spacing w:line="360" w:lineRule="auto"/>
              <w:jc w:val="both"/>
              <w:rPr>
                <w:rFonts w:ascii="Verdana" w:hAnsi="Verdana" w:cs="Arial"/>
                <w:lang w:val="es-ES_tradnl"/>
              </w:rPr>
            </w:pPr>
            <w:r w:rsidRPr="0081781F">
              <w:rPr>
                <w:rFonts w:ascii="Verdana" w:hAnsi="Verdana" w:cs="Arial"/>
                <w:lang w:val="es-ES_tradnl"/>
              </w:rPr>
              <w:t xml:space="preserve">Ley 2294 de 2023, artículo 200. </w:t>
            </w:r>
          </w:p>
          <w:p w14:paraId="4772B18F" w14:textId="77777777" w:rsidR="0039750E" w:rsidRPr="0081781F" w:rsidRDefault="0039750E" w:rsidP="0039750E">
            <w:pPr>
              <w:widowControl w:val="0"/>
              <w:numPr>
                <w:ilvl w:val="0"/>
                <w:numId w:val="20"/>
              </w:numPr>
              <w:autoSpaceDE w:val="0"/>
              <w:autoSpaceDN w:val="0"/>
              <w:spacing w:line="360" w:lineRule="auto"/>
              <w:jc w:val="both"/>
              <w:rPr>
                <w:rFonts w:ascii="Verdana" w:hAnsi="Verdana" w:cs="Arial"/>
                <w:lang w:val="es-ES_tradnl"/>
              </w:rPr>
            </w:pPr>
            <w:r w:rsidRPr="0081781F">
              <w:rPr>
                <w:rFonts w:ascii="Verdana" w:hAnsi="Verdana" w:cs="Arial"/>
                <w:lang w:val="es-ES_tradnl"/>
              </w:rPr>
              <w:t>Decreto 1081 de 2015, artículos 2.1.1.2.1.7.,</w:t>
            </w:r>
            <w:r w:rsidRPr="0081781F">
              <w:rPr>
                <w:rFonts w:ascii="Verdana" w:eastAsia="Calibri" w:hAnsi="Verdana" w:cs="Arial"/>
                <w:bCs/>
                <w:iCs/>
                <w:lang w:eastAsia="es-ES_tradnl"/>
              </w:rPr>
              <w:t xml:space="preserve"> </w:t>
            </w:r>
            <w:r w:rsidRPr="0081781F">
              <w:rPr>
                <w:rFonts w:ascii="Verdana" w:hAnsi="Verdana" w:cs="Arial"/>
                <w:bCs/>
                <w:iCs/>
              </w:rPr>
              <w:t>2.1.4.3.1.1.,</w:t>
            </w:r>
            <w:r w:rsidRPr="0081781F">
              <w:rPr>
                <w:rFonts w:ascii="Verdana" w:hAnsi="Verdana" w:cs="Arial"/>
                <w:lang w:val="es-ES_tradnl"/>
              </w:rPr>
              <w:t xml:space="preserve"> </w:t>
            </w:r>
            <w:r w:rsidRPr="0081781F">
              <w:rPr>
                <w:rFonts w:ascii="Verdana" w:hAnsi="Verdana" w:cs="Arial"/>
                <w:bCs/>
                <w:iCs/>
              </w:rPr>
              <w:t xml:space="preserve">2.1.4.3.1.2., 2.1.4.3.2.1, </w:t>
            </w:r>
            <w:r w:rsidRPr="00E47CAB">
              <w:rPr>
                <w:rFonts w:ascii="Verdana" w:eastAsia="Calibri" w:hAnsi="Verdana" w:cs="Arial"/>
                <w:bCs/>
                <w:iCs/>
                <w:lang w:eastAsia="es-ES_tradnl"/>
              </w:rPr>
              <w:t>2.1.4.3.2.2.</w:t>
            </w:r>
          </w:p>
          <w:p w14:paraId="16128A27" w14:textId="77777777" w:rsidR="0039750E" w:rsidRPr="0081781F" w:rsidRDefault="0039750E" w:rsidP="00716C89">
            <w:pPr>
              <w:widowControl w:val="0"/>
              <w:autoSpaceDE w:val="0"/>
              <w:autoSpaceDN w:val="0"/>
              <w:spacing w:line="360" w:lineRule="auto"/>
              <w:ind w:left="720"/>
              <w:jc w:val="both"/>
              <w:rPr>
                <w:rFonts w:ascii="Verdana" w:hAnsi="Verdana" w:cs="Arial"/>
                <w:lang w:val="es-ES_tradnl"/>
              </w:rPr>
            </w:pPr>
            <w:r w:rsidRPr="0081781F">
              <w:rPr>
                <w:rFonts w:ascii="Verdana" w:hAnsi="Verdana" w:cs="Arial"/>
                <w:lang w:val="es-ES_tradnl"/>
              </w:rPr>
              <w:t>Decreto 1082 de 2015, artículos 2.2.1.1.1.7.1, 2.2.1.1.1.3.1., 2.2.2.1.8.3., 2.2.2.1.5.11., 2.2.2.1.12.7.</w:t>
            </w:r>
          </w:p>
        </w:tc>
      </w:tr>
    </w:tbl>
    <w:p w14:paraId="2BEBC501" w14:textId="77777777" w:rsidR="0039750E" w:rsidRPr="00392E13" w:rsidRDefault="0039750E" w:rsidP="0039750E">
      <w:pPr>
        <w:spacing w:after="0" w:line="276" w:lineRule="auto"/>
        <w:ind w:right="709"/>
        <w:jc w:val="both"/>
        <w:rPr>
          <w:rFonts w:ascii="Verdana" w:hAnsi="Verdana" w:cs="Arial"/>
          <w:color w:val="000000" w:themeColor="text1"/>
          <w:lang w:val="es-ES_tradnl"/>
        </w:rPr>
      </w:pPr>
    </w:p>
    <w:p w14:paraId="0EF176C2" w14:textId="77777777" w:rsidR="0039750E" w:rsidRPr="00392E13" w:rsidRDefault="0039750E" w:rsidP="0039750E">
      <w:pPr>
        <w:numPr>
          <w:ilvl w:val="0"/>
          <w:numId w:val="19"/>
        </w:numPr>
        <w:spacing w:after="0" w:line="276" w:lineRule="auto"/>
        <w:ind w:left="0" w:firstLine="0"/>
        <w:rPr>
          <w:rFonts w:ascii="Verdana" w:eastAsia="Calibri" w:hAnsi="Verdana" w:cs="Times New Roman"/>
          <w:b/>
          <w:bCs/>
          <w:lang w:val="es-ES"/>
        </w:rPr>
      </w:pPr>
      <w:r w:rsidRPr="00392E13">
        <w:rPr>
          <w:rFonts w:ascii="Verdana" w:eastAsia="Calibri" w:hAnsi="Verdana" w:cs="Times New Roman"/>
          <w:b/>
          <w:bCs/>
          <w:lang w:val="es-ES"/>
        </w:rPr>
        <w:t>Doctrina de la Agencia Nacional de Contratación Pública:</w:t>
      </w:r>
    </w:p>
    <w:p w14:paraId="60659736" w14:textId="77777777" w:rsidR="0039750E" w:rsidRPr="00392E13" w:rsidRDefault="0039750E" w:rsidP="0039750E">
      <w:pPr>
        <w:widowControl w:val="0"/>
        <w:autoSpaceDE w:val="0"/>
        <w:autoSpaceDN w:val="0"/>
        <w:spacing w:after="0" w:line="276" w:lineRule="auto"/>
        <w:jc w:val="both"/>
        <w:rPr>
          <w:rFonts w:ascii="Verdana" w:hAnsi="Verdana" w:cs="Arial"/>
          <w:bCs/>
          <w:shd w:val="clear" w:color="auto" w:fill="FFFFFF"/>
        </w:rPr>
      </w:pPr>
    </w:p>
    <w:p w14:paraId="3466EF4D" w14:textId="77777777" w:rsidR="0039750E" w:rsidRPr="00392E13" w:rsidRDefault="0039750E" w:rsidP="0039750E">
      <w:pPr>
        <w:widowControl w:val="0"/>
        <w:autoSpaceDE w:val="0"/>
        <w:autoSpaceDN w:val="0"/>
        <w:spacing w:after="0" w:line="276" w:lineRule="auto"/>
        <w:jc w:val="both"/>
        <w:rPr>
          <w:rFonts w:ascii="Verdana" w:eastAsia="Calibri" w:hAnsi="Verdana" w:cs="Times New Roman"/>
        </w:rPr>
      </w:pPr>
      <w:r w:rsidRPr="00392E13">
        <w:rPr>
          <w:rFonts w:ascii="Verdana" w:hAnsi="Verdana" w:cs="Arial"/>
          <w:bCs/>
          <w:shd w:val="clear" w:color="auto" w:fill="FFFFFF"/>
        </w:rPr>
        <w:t xml:space="preserve">La Agencia Nacional de Contratación Pública – Colombia Compra Eficiente, en los conceptos </w:t>
      </w:r>
      <w:r w:rsidRPr="00392E13">
        <w:rPr>
          <w:rFonts w:ascii="Verdana" w:hAnsi="Verdana" w:cs="Arial"/>
          <w:bCs/>
          <w:shd w:val="clear" w:color="auto" w:fill="FFFFFF"/>
          <w:lang w:val="es-ES_tradnl"/>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w:t>
      </w:r>
      <w:r w:rsidRPr="00392E13">
        <w:rPr>
          <w:rFonts w:ascii="Verdana" w:hAnsi="Verdana" w:cs="Arial"/>
          <w:bCs/>
          <w:shd w:val="clear" w:color="auto" w:fill="FFFFFF"/>
          <w:lang w:val="es-ES_tradnl"/>
        </w:rPr>
        <w:lastRenderedPageBreak/>
        <w:t>noviembre de 2020, C-094 del 13 de abril de 2021, C−068 del 22 de abril de 2021, C-185 del 29 de abril de 2021, C-472 del 6 de septiembre de 2021 y C-804 de 2024</w:t>
      </w:r>
      <w:r w:rsidRPr="00392E13">
        <w:rPr>
          <w:rFonts w:ascii="Verdana" w:hAnsi="Verdana" w:cs="Arial"/>
          <w:bCs/>
          <w:shd w:val="clear" w:color="auto" w:fill="FFFFFF"/>
        </w:rPr>
        <w:t xml:space="preserve">, C-185 del 24 de marzo de 2025, entre otros, así como nuevas precisiones dispuestas en este concepto sobre el alcance del deber de publicidad del Decreto 1081 de 2015 modificado por el Decreto 1600 de 2024. </w:t>
      </w:r>
      <w:r w:rsidRPr="00392E1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BF71A09" w14:textId="77777777" w:rsidR="0039750E" w:rsidRPr="00392E13" w:rsidRDefault="0039750E" w:rsidP="0039750E">
      <w:pPr>
        <w:spacing w:after="0" w:line="256" w:lineRule="auto"/>
        <w:jc w:val="both"/>
        <w:rPr>
          <w:rFonts w:ascii="Verdana" w:eastAsia="Calibri" w:hAnsi="Verdana" w:cs="Times New Roman"/>
        </w:rPr>
      </w:pPr>
      <w:hyperlink r:id="rId12" w:history="1">
        <w:r w:rsidRPr="00E47CAB">
          <w:rPr>
            <w:rStyle w:val="Hipervnculo"/>
            <w:rFonts w:ascii="Verdana" w:hAnsi="Verdana"/>
          </w:rPr>
          <w:t>https://www.colombiacompra.gov.co/normativa-y-relatoria/conoce-la-relatoria</w:t>
        </w:r>
      </w:hyperlink>
      <w:r w:rsidRPr="00E47CAB">
        <w:rPr>
          <w:rFonts w:ascii="Verdana" w:hAnsi="Verdana"/>
        </w:rPr>
        <w:t xml:space="preserve"> </w:t>
      </w:r>
    </w:p>
    <w:p w14:paraId="4784C106" w14:textId="4D9D59D7" w:rsidR="006D1F00" w:rsidRPr="00C91B94" w:rsidRDefault="006D1F00" w:rsidP="006D1F00">
      <w:pPr>
        <w:spacing w:after="0" w:line="256" w:lineRule="auto"/>
        <w:jc w:val="both"/>
        <w:rPr>
          <w:rFonts w:ascii="Verdana" w:eastAsia="Calibri" w:hAnsi="Verdana" w:cs="Times New Roman"/>
        </w:rPr>
      </w:pPr>
      <w:r w:rsidRPr="00C91B94">
        <w:rPr>
          <w:rFonts w:ascii="Verdana" w:eastAsia="Calibri" w:hAnsi="Verdana" w:cs="Times New Roman"/>
        </w:rPr>
        <w:br/>
        <w:t>Te informamos que ya se encuentra disponible la </w:t>
      </w:r>
      <w:r w:rsidRPr="00C91B94">
        <w:rPr>
          <w:rFonts w:ascii="Verdana" w:eastAsia="Calibri" w:hAnsi="Verdana" w:cs="Times New Roman"/>
          <w:b/>
          <w:bCs/>
        </w:rPr>
        <w:t>Cartilla para incentivar y fortalecer el acceso a las compras y contratación pública de los pueblos y comunidades étnicas en Colombia.</w:t>
      </w:r>
      <w:r w:rsidRPr="00C91B94">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C91B94">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4AEDD6F3" w14:textId="77777777" w:rsidR="006D1F00" w:rsidRDefault="006D1F00" w:rsidP="006D1F00">
      <w:pPr>
        <w:spacing w:after="0" w:line="256" w:lineRule="auto"/>
        <w:jc w:val="both"/>
        <w:rPr>
          <w:rFonts w:ascii="Verdana" w:eastAsia="Calibri" w:hAnsi="Verdana" w:cs="Times New Roman"/>
        </w:rPr>
      </w:pPr>
    </w:p>
    <w:p w14:paraId="215C04F7" w14:textId="77777777" w:rsidR="006D1F00" w:rsidRPr="00C91B94" w:rsidRDefault="006D1F00" w:rsidP="006D1F00">
      <w:pPr>
        <w:spacing w:after="0" w:line="256" w:lineRule="auto"/>
        <w:jc w:val="both"/>
        <w:rPr>
          <w:rFonts w:ascii="Verdana" w:eastAsia="Calibri" w:hAnsi="Verdana" w:cs="Times New Roman"/>
        </w:rPr>
      </w:pPr>
      <w:r w:rsidRPr="00C91B94">
        <w:rPr>
          <w:rFonts w:ascii="Verdana" w:eastAsia="Calibri" w:hAnsi="Verdana" w:cs="Times New Roman"/>
        </w:rPr>
        <w:t>De otra parte, te informamos que, con el objetivo de garantizar un conocimiento adecuado de las </w:t>
      </w:r>
      <w:r w:rsidRPr="00C91B94">
        <w:rPr>
          <w:rFonts w:ascii="Verdana" w:eastAsia="Calibri" w:hAnsi="Verdana" w:cs="Times New Roman"/>
          <w:b/>
          <w:bCs/>
        </w:rPr>
        <w:t>modificaciones y/o actualizaciones realizadas a los Documentos Tipo</w:t>
      </w:r>
      <w:r w:rsidRPr="00C91B94">
        <w:rPr>
          <w:rFonts w:ascii="Verdana" w:eastAsia="Calibri" w:hAnsi="Verdana" w:cs="Times New Roman"/>
        </w:rPr>
        <w:t>, hemos programado una serie de </w:t>
      </w:r>
      <w:r w:rsidRPr="00C91B94">
        <w:rPr>
          <w:rFonts w:ascii="Verdana" w:eastAsia="Calibri" w:hAnsi="Verdana" w:cs="Times New Roman"/>
          <w:b/>
          <w:bCs/>
        </w:rPr>
        <w:t>capacitaciones </w:t>
      </w:r>
      <w:r w:rsidRPr="00C91B94">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C91B94">
          <w:rPr>
            <w:rStyle w:val="Hipervnculo"/>
            <w:rFonts w:ascii="Verdana" w:eastAsia="Calibri" w:hAnsi="Verdana" w:cs="Times New Roman"/>
          </w:rPr>
          <w:t>Calendario | Colombia Compra Eficiente | Agencia Nacional de Contratación Pública</w:t>
        </w:r>
      </w:hyperlink>
    </w:p>
    <w:p w14:paraId="623745A7" w14:textId="77777777" w:rsidR="006D1F00" w:rsidRDefault="006D1F00" w:rsidP="006D1F00">
      <w:pPr>
        <w:spacing w:after="0" w:line="256" w:lineRule="auto"/>
        <w:jc w:val="both"/>
        <w:rPr>
          <w:rFonts w:ascii="Verdana" w:eastAsia="Calibri" w:hAnsi="Verdana" w:cs="Times New Roman"/>
        </w:rPr>
      </w:pPr>
    </w:p>
    <w:p w14:paraId="7D781445" w14:textId="77777777" w:rsidR="006D1F00" w:rsidRPr="00C91B94" w:rsidRDefault="006D1F00" w:rsidP="006D1F00">
      <w:pPr>
        <w:spacing w:after="0" w:line="256" w:lineRule="auto"/>
        <w:jc w:val="both"/>
        <w:rPr>
          <w:rFonts w:ascii="Verdana" w:eastAsia="Calibri" w:hAnsi="Verdana" w:cs="Times New Roman"/>
        </w:rPr>
      </w:pPr>
      <w:r w:rsidRPr="00C91B94">
        <w:rPr>
          <w:rFonts w:ascii="Verdana" w:eastAsia="Calibri" w:hAnsi="Verdana" w:cs="Times New Roman"/>
        </w:rPr>
        <w:t>También, te contamos que ya publicamos </w:t>
      </w:r>
      <w:r w:rsidRPr="00C91B94">
        <w:rPr>
          <w:rFonts w:ascii="Verdana" w:eastAsia="Calibri" w:hAnsi="Verdana" w:cs="Times New Roman"/>
          <w:b/>
          <w:bCs/>
        </w:rPr>
        <w:t>la nueva Guía de Contratación Pública Sostenible y Socialmente Responsable</w:t>
      </w:r>
      <w:r w:rsidRPr="00C91B94">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C91B94">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02AE9DE5" w14:textId="77777777" w:rsidR="006D1F00" w:rsidRDefault="006D1F00" w:rsidP="006D1F00">
      <w:pPr>
        <w:spacing w:after="0" w:line="256" w:lineRule="auto"/>
        <w:jc w:val="both"/>
        <w:rPr>
          <w:rFonts w:ascii="Verdana" w:eastAsia="Calibri" w:hAnsi="Verdana" w:cs="Times New Roman"/>
        </w:rPr>
      </w:pPr>
    </w:p>
    <w:p w14:paraId="7FEC135C" w14:textId="77777777" w:rsidR="006D1F00" w:rsidRPr="00185EE9" w:rsidRDefault="006D1F00" w:rsidP="006D1F00">
      <w:pPr>
        <w:spacing w:after="0" w:line="256" w:lineRule="auto"/>
        <w:jc w:val="both"/>
        <w:rPr>
          <w:rFonts w:ascii="Verdana" w:eastAsia="Calibri" w:hAnsi="Verdana" w:cs="Times New Roman"/>
        </w:rPr>
      </w:pPr>
      <w:r w:rsidRPr="00185EE9">
        <w:rPr>
          <w:rFonts w:ascii="Verdana" w:eastAsia="Calibri" w:hAnsi="Verdana" w:cs="Times New Roman"/>
        </w:rPr>
        <w:lastRenderedPageBreak/>
        <w:t xml:space="preserve">Le informamos que ya se encuentran publicados </w:t>
      </w:r>
      <w:r>
        <w:rPr>
          <w:rFonts w:ascii="Verdana" w:eastAsia="Calibri" w:hAnsi="Verdana" w:cs="Times New Roman"/>
        </w:rPr>
        <w:t xml:space="preserve">las </w:t>
      </w:r>
      <w:r w:rsidRPr="00185EE9">
        <w:rPr>
          <w:rFonts w:ascii="Verdana" w:eastAsia="Calibri" w:hAnsi="Verdana" w:cs="Times New Roman"/>
        </w:rPr>
        <w:t>nuevas versiones de los Documentos Tipo de Interventoría y Consultoría de Infraestructura de Transporte. Conoce todos los detalles en los siguientes enlaces: </w:t>
      </w:r>
      <w:hyperlink r:id="rId16" w:tgtFrame="_blank" w:tooltip="Dirección URL original: https://www.colombiacompra.gov.co/content/borrador-de-documentos-tipo-de-consultoria-de-obra-publica-de-infraestructura-de-transporte. Haga clic o pulse si confía en este vínculo." w:history="1">
        <w:r w:rsidRPr="00185EE9">
          <w:rPr>
            <w:rStyle w:val="Hipervnculo"/>
            <w:rFonts w:ascii="Verdana" w:eastAsia="Calibri" w:hAnsi="Verdana" w:cs="Times New Roman"/>
          </w:rPr>
          <w:t>https://www.colombiacompra.gov.co/content/borrador-de-documentos-tipo-de-consultoria-de-obra-publica-de-infraestructura-de-transporte</w:t>
        </w:r>
      </w:hyperlink>
      <w:r w:rsidRPr="00185EE9">
        <w:rPr>
          <w:rFonts w:ascii="Verdana" w:eastAsia="Calibri" w:hAnsi="Verdana" w:cs="Times New Roman"/>
        </w:rPr>
        <w:t> y </w:t>
      </w:r>
      <w:hyperlink r:id="rId17" w:tgtFrame="_blank" w:tooltip="Dirección URL original: https://www.colombiacompra.gov.co/content/borrador-de-documentos-tipo-de-interventoria-de-obra-publica-de-infraestructura-de. Haga clic o pulse si confía en este vínculo." w:history="1">
        <w:r w:rsidRPr="00185EE9">
          <w:rPr>
            <w:rStyle w:val="Hipervnculo"/>
            <w:rFonts w:ascii="Verdana" w:eastAsia="Calibri" w:hAnsi="Verdana" w:cs="Times New Roman"/>
          </w:rPr>
          <w:t>https://www.colombiacompra.gov.co/content/borrador-de-documentos-tipo-de-interventoria-de-obra-publica-de-infraestructura-de</w:t>
        </w:r>
      </w:hyperlink>
      <w:r w:rsidRPr="00185EE9">
        <w:rPr>
          <w:rFonts w:ascii="Verdana" w:eastAsia="Calibri" w:hAnsi="Verdana" w:cs="Times New Roman"/>
        </w:rPr>
        <w:t> .</w:t>
      </w:r>
    </w:p>
    <w:p w14:paraId="1EAFA0F8" w14:textId="77777777" w:rsidR="006D1F00" w:rsidRPr="005B5BCD" w:rsidRDefault="006D1F00" w:rsidP="006D1F00">
      <w:pPr>
        <w:spacing w:after="0" w:line="256" w:lineRule="auto"/>
        <w:jc w:val="both"/>
        <w:rPr>
          <w:rFonts w:ascii="Verdana" w:eastAsia="Calibri" w:hAnsi="Verdana" w:cs="Times New Roman"/>
          <w:lang w:val="es-ES"/>
        </w:rPr>
      </w:pPr>
    </w:p>
    <w:p w14:paraId="52BF0DE7" w14:textId="77777777" w:rsidR="006D1F00" w:rsidRPr="0044528D" w:rsidRDefault="006D1F00" w:rsidP="006D1F00">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6853F86" w14:textId="77777777" w:rsidR="006D1F00" w:rsidRPr="0044528D" w:rsidRDefault="006D1F00" w:rsidP="006D1F00">
      <w:pPr>
        <w:spacing w:after="0" w:line="240" w:lineRule="auto"/>
        <w:jc w:val="both"/>
        <w:rPr>
          <w:rFonts w:ascii="Verdana" w:hAnsi="Verdana"/>
        </w:rPr>
      </w:pPr>
    </w:p>
    <w:p w14:paraId="40E29AAC" w14:textId="77777777" w:rsidR="006D1F00" w:rsidRPr="0044528D" w:rsidRDefault="006D1F00" w:rsidP="006D1F00">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50548BA7" w14:textId="77777777" w:rsidR="006D1F00" w:rsidRPr="0044528D" w:rsidRDefault="006D1F00" w:rsidP="006D1F00">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567E7755" w14:textId="77777777" w:rsidR="006D1F00" w:rsidRPr="0044528D" w:rsidRDefault="006D1F00" w:rsidP="006D1F00">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4CB4E6C6" w14:textId="77777777" w:rsidR="006D1F00" w:rsidRPr="0044528D" w:rsidRDefault="006D1F00" w:rsidP="006D1F00">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8" w:history="1">
        <w:r w:rsidRPr="0044528D">
          <w:rPr>
            <w:rStyle w:val="Hipervnculo"/>
            <w:rFonts w:ascii="Verdana" w:hAnsi="Verdana"/>
          </w:rPr>
          <w:t>www.colombiacompra.gov.co</w:t>
        </w:r>
      </w:hyperlink>
    </w:p>
    <w:p w14:paraId="53060D2D" w14:textId="77777777" w:rsidR="006D1F00" w:rsidRPr="0044528D" w:rsidRDefault="006D1F00" w:rsidP="006D1F00">
      <w:pPr>
        <w:pStyle w:val="Prrafodelista"/>
        <w:spacing w:after="0" w:line="240" w:lineRule="auto"/>
        <w:ind w:left="785"/>
        <w:jc w:val="both"/>
        <w:rPr>
          <w:rFonts w:ascii="Verdana" w:hAnsi="Verdana"/>
        </w:rPr>
      </w:pPr>
    </w:p>
    <w:p w14:paraId="2A34499F" w14:textId="77777777" w:rsidR="006D1F00" w:rsidRPr="0044528D" w:rsidRDefault="006D1F00" w:rsidP="006D1F00">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32F91D2C" w14:textId="77777777" w:rsidR="006D1F00" w:rsidRPr="0044528D" w:rsidRDefault="006D1F00" w:rsidP="006D1F00">
      <w:pPr>
        <w:spacing w:after="0" w:line="240" w:lineRule="auto"/>
        <w:jc w:val="both"/>
        <w:rPr>
          <w:rFonts w:ascii="Verdana" w:hAnsi="Verdana"/>
        </w:rPr>
      </w:pPr>
    </w:p>
    <w:p w14:paraId="19E0F49B" w14:textId="77777777" w:rsidR="006D1F00" w:rsidRPr="0044528D" w:rsidRDefault="006D1F00" w:rsidP="006D1F00">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6614AD0E" w14:textId="77777777" w:rsidR="006D1F00" w:rsidRPr="0044528D" w:rsidRDefault="006D1F00" w:rsidP="006D1F00">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423FEE9E" w14:textId="77777777" w:rsidR="006D1F00" w:rsidRPr="0044528D" w:rsidRDefault="006D1F00" w:rsidP="006D1F00">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29B1F8E5" w14:textId="77777777" w:rsidR="006D1F00" w:rsidRPr="0044528D" w:rsidRDefault="006D1F00" w:rsidP="006D1F00">
      <w:pPr>
        <w:spacing w:after="0" w:line="240" w:lineRule="auto"/>
        <w:jc w:val="both"/>
        <w:rPr>
          <w:rFonts w:ascii="Verdana" w:hAnsi="Verdana"/>
        </w:rPr>
      </w:pPr>
    </w:p>
    <w:p w14:paraId="2BA62656" w14:textId="77777777" w:rsidR="006D1F00" w:rsidRPr="00185EE9" w:rsidRDefault="006D1F00" w:rsidP="006D1F00">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0196D1D" w14:textId="77777777" w:rsidR="006D1F00" w:rsidRPr="00185EE9" w:rsidRDefault="006D1F00" w:rsidP="006D1F00">
      <w:pPr>
        <w:spacing w:after="0" w:line="256" w:lineRule="auto"/>
        <w:jc w:val="both"/>
        <w:rPr>
          <w:rFonts w:ascii="Verdana" w:eastAsia="Calibri" w:hAnsi="Verdana" w:cs="Times New Roman"/>
        </w:rPr>
      </w:pPr>
    </w:p>
    <w:p w14:paraId="5E27051E" w14:textId="440084FB" w:rsidR="00F74530" w:rsidRPr="00F74530" w:rsidRDefault="006D1F00" w:rsidP="00F74530">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058F7739" w14:textId="6FB8BD8E" w:rsidR="00F74530" w:rsidRDefault="00F74530" w:rsidP="000E694F">
      <w:pPr>
        <w:spacing w:after="0" w:line="256" w:lineRule="auto"/>
        <w:jc w:val="center"/>
        <w:rPr>
          <w:rFonts w:ascii="Verdana" w:eastAsia="Times New Roman" w:hAnsi="Verdana" w:cs="Arial"/>
          <w:noProof/>
          <w:sz w:val="24"/>
          <w:szCs w:val="24"/>
          <w:lang w:val="en-US"/>
        </w:rPr>
      </w:pPr>
      <w:r w:rsidRPr="00A12CB6">
        <w:rPr>
          <w:rFonts w:ascii="Century Gothic" w:hAnsi="Century Gothic"/>
          <w:noProof/>
          <w:lang w:val="en-US"/>
        </w:rPr>
        <w:drawing>
          <wp:inline distT="0" distB="0" distL="0" distR="0" wp14:anchorId="1D4CDA89" wp14:editId="28688D9E">
            <wp:extent cx="3772426" cy="1400370"/>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D1F00" w:rsidRPr="00185EE9" w14:paraId="7CF5DFE2" w14:textId="77777777" w:rsidTr="000E694F">
        <w:trPr>
          <w:trHeight w:val="409"/>
        </w:trPr>
        <w:tc>
          <w:tcPr>
            <w:tcW w:w="817" w:type="dxa"/>
            <w:tcBorders>
              <w:top w:val="nil"/>
              <w:left w:val="nil"/>
              <w:bottom w:val="nil"/>
              <w:right w:val="nil"/>
            </w:tcBorders>
            <w:vAlign w:val="center"/>
            <w:hideMark/>
          </w:tcPr>
          <w:p w14:paraId="25F3CA3F" w14:textId="77777777" w:rsidR="006D1F00" w:rsidRPr="00185EE9" w:rsidRDefault="006D1F00" w:rsidP="000E694F">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lastRenderedPageBreak/>
              <w:t>Elaboró: </w:t>
            </w:r>
          </w:p>
        </w:tc>
        <w:tc>
          <w:tcPr>
            <w:tcW w:w="4937" w:type="dxa"/>
            <w:tcBorders>
              <w:top w:val="nil"/>
              <w:left w:val="nil"/>
              <w:bottom w:val="dotted" w:sz="6" w:space="0" w:color="7F7F7F" w:themeColor="text1" w:themeTint="80"/>
              <w:right w:val="nil"/>
            </w:tcBorders>
            <w:vAlign w:val="center"/>
            <w:hideMark/>
          </w:tcPr>
          <w:p w14:paraId="14A298DF" w14:textId="77777777" w:rsidR="006D1F00" w:rsidRPr="00185EE9" w:rsidRDefault="006D1F00" w:rsidP="000E694F">
            <w:pPr>
              <w:spacing w:after="0" w:line="240" w:lineRule="auto"/>
              <w:rPr>
                <w:rFonts w:ascii="Verdana" w:eastAsia="Calibri" w:hAnsi="Verdana" w:cs="Times New Roman"/>
                <w:sz w:val="16"/>
                <w:szCs w:val="16"/>
              </w:rPr>
            </w:pPr>
            <w:r>
              <w:rPr>
                <w:rFonts w:ascii="Verdana" w:eastAsia="Calibri" w:hAnsi="Verdana" w:cs="Times New Roman"/>
                <w:sz w:val="16"/>
                <w:szCs w:val="16"/>
              </w:rPr>
              <w:t xml:space="preserve">José Luis Sánchez Cardona </w:t>
            </w:r>
          </w:p>
          <w:p w14:paraId="3CCF6F84" w14:textId="77777777" w:rsidR="006D1F00" w:rsidRPr="00185EE9" w:rsidRDefault="006D1F00" w:rsidP="000E694F">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Contratista de la Subdirección de Gestión Contractual</w:t>
            </w:r>
          </w:p>
        </w:tc>
      </w:tr>
      <w:tr w:rsidR="006D1F00" w:rsidRPr="00185EE9" w14:paraId="567D6750" w14:textId="77777777" w:rsidTr="000E694F">
        <w:trPr>
          <w:trHeight w:val="409"/>
        </w:trPr>
        <w:tc>
          <w:tcPr>
            <w:tcW w:w="817" w:type="dxa"/>
            <w:tcBorders>
              <w:top w:val="nil"/>
              <w:left w:val="nil"/>
              <w:bottom w:val="nil"/>
              <w:right w:val="nil"/>
            </w:tcBorders>
            <w:vAlign w:val="center"/>
            <w:hideMark/>
          </w:tcPr>
          <w:p w14:paraId="7F9AE57F" w14:textId="77777777" w:rsidR="006D1F00" w:rsidRPr="00185EE9" w:rsidRDefault="006D1F00" w:rsidP="000E694F">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46337D6" w14:textId="74F3AE30" w:rsidR="006D1F00" w:rsidRPr="00A12CB6" w:rsidRDefault="006D1F00" w:rsidP="000E694F">
            <w:pPr>
              <w:spacing w:after="0" w:line="240" w:lineRule="auto"/>
              <w:rPr>
                <w:rFonts w:ascii="Verdana" w:eastAsia="Calibri" w:hAnsi="Verdana" w:cs="Times New Roman"/>
                <w:sz w:val="16"/>
                <w:szCs w:val="16"/>
              </w:rPr>
            </w:pPr>
            <w:r>
              <w:rPr>
                <w:rFonts w:ascii="Verdana" w:eastAsia="Calibri" w:hAnsi="Verdana" w:cs="Times New Roman"/>
                <w:sz w:val="16"/>
                <w:szCs w:val="16"/>
              </w:rPr>
              <w:t>Diana Lucia Saavedra</w:t>
            </w:r>
            <w:r w:rsidR="00585E4C">
              <w:rPr>
                <w:rFonts w:ascii="Verdana" w:eastAsia="Calibri" w:hAnsi="Verdana" w:cs="Times New Roman"/>
                <w:sz w:val="16"/>
                <w:szCs w:val="16"/>
              </w:rPr>
              <w:t xml:space="preserve"> Castañeda</w:t>
            </w:r>
          </w:p>
          <w:p w14:paraId="1D6212F1" w14:textId="77777777" w:rsidR="006D1F00" w:rsidRPr="00A50E16" w:rsidRDefault="006D1F00" w:rsidP="000E694F">
            <w:pPr>
              <w:spacing w:after="0" w:line="240" w:lineRule="auto"/>
              <w:rPr>
                <w:rFonts w:ascii="Verdana" w:eastAsia="Calibri" w:hAnsi="Verdana" w:cs="Times New Roman"/>
                <w:sz w:val="16"/>
                <w:szCs w:val="16"/>
                <w:highlight w:val="yellow"/>
              </w:rPr>
            </w:pPr>
            <w:r>
              <w:rPr>
                <w:rFonts w:ascii="Verdana" w:eastAsia="Calibri" w:hAnsi="Verdana" w:cs="Times New Roman"/>
                <w:sz w:val="16"/>
                <w:szCs w:val="16"/>
              </w:rPr>
              <w:t xml:space="preserve">Contratista </w:t>
            </w:r>
            <w:r w:rsidRPr="00A12CB6">
              <w:rPr>
                <w:rFonts w:ascii="Verdana" w:eastAsia="Calibri" w:hAnsi="Verdana" w:cs="Times New Roman"/>
                <w:sz w:val="16"/>
                <w:szCs w:val="16"/>
              </w:rPr>
              <w:t>de la Subdirección de Gestión Contractual </w:t>
            </w:r>
          </w:p>
        </w:tc>
      </w:tr>
      <w:tr w:rsidR="006D1F00" w:rsidRPr="00A445C0" w14:paraId="77B568ED" w14:textId="77777777" w:rsidTr="000E694F">
        <w:trPr>
          <w:trHeight w:val="389"/>
        </w:trPr>
        <w:tc>
          <w:tcPr>
            <w:tcW w:w="817" w:type="dxa"/>
            <w:tcBorders>
              <w:top w:val="nil"/>
              <w:left w:val="nil"/>
              <w:bottom w:val="nil"/>
              <w:right w:val="nil"/>
            </w:tcBorders>
            <w:vAlign w:val="center"/>
            <w:hideMark/>
          </w:tcPr>
          <w:p w14:paraId="23F15802" w14:textId="77777777" w:rsidR="006D1F00" w:rsidRPr="00185EE9" w:rsidRDefault="006D1F00" w:rsidP="000E694F">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CCA066F" w14:textId="77777777" w:rsidR="006D1F00" w:rsidRPr="00185EE9" w:rsidRDefault="006D1F00" w:rsidP="000E694F">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 xml:space="preserve">Carolina Quintero </w:t>
            </w:r>
            <w:proofErr w:type="spellStart"/>
            <w:r w:rsidRPr="00185EE9">
              <w:rPr>
                <w:rFonts w:ascii="Verdana" w:eastAsia="Calibri" w:hAnsi="Verdana" w:cs="Times New Roman"/>
                <w:sz w:val="16"/>
                <w:szCs w:val="16"/>
              </w:rPr>
              <w:t>Gacharná</w:t>
            </w:r>
            <w:proofErr w:type="spellEnd"/>
          </w:p>
          <w:p w14:paraId="6D65DBFD" w14:textId="77777777" w:rsidR="006D1F00" w:rsidRPr="00AE2631" w:rsidRDefault="006D1F00" w:rsidP="000E694F">
            <w:pPr>
              <w:spacing w:after="0" w:line="240" w:lineRule="auto"/>
              <w:rPr>
                <w:rFonts w:ascii="Verdana" w:eastAsia="Calibri" w:hAnsi="Verdana" w:cs="Times New Roman"/>
                <w:sz w:val="16"/>
                <w:szCs w:val="16"/>
              </w:rPr>
            </w:pPr>
            <w:r w:rsidRPr="00185EE9">
              <w:rPr>
                <w:rFonts w:ascii="Verdana" w:eastAsia="Calibri" w:hAnsi="Verdana" w:cs="Times New Roman"/>
                <w:sz w:val="16"/>
                <w:szCs w:val="16"/>
              </w:rPr>
              <w:t>Subdirectora de Gestión Contractual ANCP – CCE</w:t>
            </w:r>
          </w:p>
        </w:tc>
      </w:tr>
    </w:tbl>
    <w:p w14:paraId="05873B38" w14:textId="77777777" w:rsidR="006D1F00" w:rsidRPr="0057702A" w:rsidRDefault="006D1F00" w:rsidP="006D1F00">
      <w:pPr>
        <w:spacing w:after="0" w:line="240" w:lineRule="auto"/>
        <w:jc w:val="center"/>
        <w:rPr>
          <w:rFonts w:ascii="Verdana" w:hAnsi="Verdana"/>
          <w:b/>
          <w:bCs/>
        </w:rPr>
      </w:pPr>
    </w:p>
    <w:bookmarkEnd w:id="0"/>
    <w:p w14:paraId="2FF79535" w14:textId="77777777" w:rsidR="006D1F00" w:rsidRPr="0044528D" w:rsidRDefault="006D1F00" w:rsidP="006D1F00">
      <w:pPr>
        <w:spacing w:after="0" w:line="240" w:lineRule="auto"/>
        <w:textAlignment w:val="baseline"/>
        <w:rPr>
          <w:rFonts w:ascii="Verdana" w:eastAsia="Times New Roman" w:hAnsi="Verdana" w:cs="Segoe UI"/>
          <w:b/>
          <w:bCs/>
          <w:color w:val="46589C"/>
          <w:lang w:val="es-ES" w:eastAsia="es-CO"/>
        </w:rPr>
      </w:pPr>
    </w:p>
    <w:p w14:paraId="63E826D0" w14:textId="56DE932A" w:rsidR="0057702A" w:rsidRPr="006D1F00" w:rsidRDefault="0057702A" w:rsidP="006D1F00">
      <w:pPr>
        <w:rPr>
          <w:lang w:val="es-ES"/>
        </w:rPr>
      </w:pPr>
    </w:p>
    <w:sectPr w:rsidR="0057702A" w:rsidRPr="006D1F00"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8F8A4" w14:textId="77777777" w:rsidR="00287501" w:rsidRDefault="00287501" w:rsidP="004A1847">
      <w:pPr>
        <w:spacing w:after="0" w:line="240" w:lineRule="auto"/>
      </w:pPr>
      <w:r>
        <w:separator/>
      </w:r>
    </w:p>
  </w:endnote>
  <w:endnote w:type="continuationSeparator" w:id="0">
    <w:p w14:paraId="569A2FAE" w14:textId="77777777" w:rsidR="00287501" w:rsidRDefault="00287501" w:rsidP="004A1847">
      <w:pPr>
        <w:spacing w:after="0" w:line="240" w:lineRule="auto"/>
      </w:pPr>
      <w:r>
        <w:continuationSeparator/>
      </w:r>
    </w:p>
  </w:endnote>
  <w:endnote w:type="continuationNotice" w:id="1">
    <w:p w14:paraId="26956834" w14:textId="77777777" w:rsidR="00287501" w:rsidRDefault="002875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0E694F" w:rsidRDefault="000E694F">
    <w:pPr>
      <w:pStyle w:val="Piedepgina"/>
    </w:pPr>
  </w:p>
  <w:p w14:paraId="594D6D9F" w14:textId="1311EDD8" w:rsidR="000E694F" w:rsidRPr="00174B77" w:rsidRDefault="000E694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31550" w:rsidRPr="00031550">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0E694F" w:rsidRDefault="000E694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0E694F" w:rsidRPr="00E41027" w:rsidRDefault="000E694F"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0E694F" w:rsidRDefault="000E694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941A4" w14:textId="77777777" w:rsidR="00287501" w:rsidRDefault="00287501" w:rsidP="004A1847">
      <w:pPr>
        <w:spacing w:after="0" w:line="240" w:lineRule="auto"/>
      </w:pPr>
      <w:r>
        <w:separator/>
      </w:r>
    </w:p>
  </w:footnote>
  <w:footnote w:type="continuationSeparator" w:id="0">
    <w:p w14:paraId="2EE9C43C" w14:textId="77777777" w:rsidR="00287501" w:rsidRDefault="00287501" w:rsidP="004A1847">
      <w:pPr>
        <w:spacing w:after="0" w:line="240" w:lineRule="auto"/>
      </w:pPr>
      <w:r>
        <w:continuationSeparator/>
      </w:r>
    </w:p>
  </w:footnote>
  <w:footnote w:type="continuationNotice" w:id="1">
    <w:p w14:paraId="536909FC" w14:textId="77777777" w:rsidR="00287501" w:rsidRDefault="00287501">
      <w:pPr>
        <w:spacing w:after="0" w:line="240" w:lineRule="auto"/>
      </w:pPr>
    </w:p>
  </w:footnote>
  <w:footnote w:id="2">
    <w:p w14:paraId="3EF4E3F5" w14:textId="77777777" w:rsidR="0039750E" w:rsidRPr="00EB4645" w:rsidRDefault="0039750E" w:rsidP="0039750E">
      <w:pPr>
        <w:pStyle w:val="Textonotapie"/>
        <w:ind w:firstLine="709"/>
        <w:jc w:val="both"/>
        <w:rPr>
          <w:rFonts w:ascii="Verdana" w:hAnsi="Verdana" w:cs="Arial"/>
          <w:sz w:val="16"/>
          <w:szCs w:val="16"/>
          <w:lang w:val="es-ES"/>
        </w:rPr>
      </w:pPr>
      <w:r w:rsidRPr="00EB4645">
        <w:rPr>
          <w:rStyle w:val="Refdenotaalpie"/>
          <w:rFonts w:ascii="Verdana" w:hAnsi="Verdana" w:cs="Arial"/>
          <w:sz w:val="16"/>
          <w:szCs w:val="16"/>
        </w:rPr>
        <w:footnoteRef/>
      </w:r>
      <w:r w:rsidRPr="00EB4645">
        <w:rPr>
          <w:rFonts w:ascii="Verdana" w:hAnsi="Verdana" w:cs="Arial"/>
          <w:sz w:val="16"/>
          <w:szCs w:val="16"/>
        </w:rPr>
        <w:t xml:space="preserve"> </w:t>
      </w:r>
      <w:r w:rsidRPr="00EB4645">
        <w:rPr>
          <w:rFonts w:ascii="Verdana" w:hAnsi="Verdana" w:cs="Arial"/>
          <w:sz w:val="16"/>
          <w:szCs w:val="16"/>
          <w:lang w:val="es-ES"/>
        </w:rPr>
        <w:t>BOBBIO, Norberto. Democracia y secreto. México: Fondo de Cultura Económica, 2013. p. 27.</w:t>
      </w:r>
    </w:p>
  </w:footnote>
  <w:footnote w:id="3">
    <w:p w14:paraId="53DA073E"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E54BC2C"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Lo anterior, sin perjuicio de las publicaciones previstas en el numeral 3 del artículo 30 de la Ley 80 de 1993.</w:t>
      </w:r>
    </w:p>
    <w:p w14:paraId="43C3DE58"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EB4645">
        <w:rPr>
          <w:rFonts w:ascii="Verdana" w:hAnsi="Verdana" w:cs="Arial"/>
          <w:color w:val="000000" w:themeColor="text1"/>
          <w:sz w:val="16"/>
          <w:szCs w:val="16"/>
        </w:rPr>
        <w:t>Secop</w:t>
      </w:r>
      <w:proofErr w:type="spellEnd"/>
      <w:r w:rsidRPr="00EB4645">
        <w:rPr>
          <w:rFonts w:ascii="Verdana" w:hAnsi="Verdana" w:cs="Arial"/>
          <w:color w:val="000000" w:themeColor="text1"/>
          <w:sz w:val="16"/>
          <w:szCs w:val="16"/>
        </w:rPr>
        <w:t xml:space="preserve">, el cual: </w:t>
      </w:r>
    </w:p>
    <w:p w14:paraId="4C35A145"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w:t>
      </w:r>
    </w:p>
    <w:p w14:paraId="4078C2F6"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73DC2A9C" w14:textId="77777777" w:rsidR="0039750E" w:rsidRPr="00EB4645" w:rsidRDefault="0039750E" w:rsidP="0039750E">
      <w:pPr>
        <w:pStyle w:val="Textonotapie"/>
        <w:ind w:firstLine="709"/>
        <w:jc w:val="both"/>
        <w:rPr>
          <w:rFonts w:ascii="Verdana" w:hAnsi="Verdana" w:cs="Arial"/>
          <w:color w:val="000000" w:themeColor="text1"/>
          <w:sz w:val="16"/>
          <w:szCs w:val="16"/>
          <w:lang w:val="es-CO"/>
        </w:rPr>
      </w:pPr>
    </w:p>
  </w:footnote>
  <w:footnote w:id="4">
    <w:p w14:paraId="605B9B4E"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561EA42" w14:textId="77777777" w:rsidR="0039750E" w:rsidRPr="00EB4645" w:rsidRDefault="0039750E" w:rsidP="0039750E">
      <w:pPr>
        <w:pStyle w:val="Textonotapie"/>
        <w:ind w:firstLine="709"/>
        <w:jc w:val="both"/>
        <w:rPr>
          <w:rFonts w:ascii="Verdana" w:hAnsi="Verdana" w:cs="Arial"/>
          <w:color w:val="000000" w:themeColor="text1"/>
          <w:sz w:val="16"/>
          <w:szCs w:val="16"/>
          <w:lang w:val="es-CO"/>
        </w:rPr>
      </w:pPr>
    </w:p>
  </w:footnote>
  <w:footnote w:id="5">
    <w:p w14:paraId="0864C789"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Style w:val="Refdenotaalpie"/>
          <w:rFonts w:ascii="Verdana" w:hAnsi="Verdana" w:cs="Arial"/>
          <w:color w:val="000000" w:themeColor="text1"/>
          <w:sz w:val="16"/>
          <w:szCs w:val="16"/>
        </w:rPr>
        <w:footnoteRef/>
      </w:r>
      <w:r w:rsidRPr="00EB4645">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1D479948" w14:textId="77777777" w:rsidR="0039750E" w:rsidRPr="00EB4645" w:rsidRDefault="0039750E" w:rsidP="0039750E">
      <w:pPr>
        <w:pStyle w:val="Textonotapie"/>
        <w:ind w:firstLine="709"/>
        <w:jc w:val="both"/>
        <w:rPr>
          <w:rFonts w:ascii="Verdana" w:hAnsi="Verdana" w:cs="Arial"/>
          <w:color w:val="000000" w:themeColor="text1"/>
          <w:sz w:val="16"/>
          <w:szCs w:val="16"/>
        </w:rPr>
      </w:pPr>
      <w:proofErr w:type="gramStart"/>
      <w:r w:rsidRPr="00EB4645">
        <w:rPr>
          <w:rFonts w:ascii="Verdana" w:hAnsi="Verdana" w:cs="Arial"/>
          <w:color w:val="000000" w:themeColor="text1"/>
          <w:sz w:val="16"/>
          <w:szCs w:val="16"/>
        </w:rPr>
        <w:t>»a</w:t>
      </w:r>
      <w:proofErr w:type="gramEnd"/>
      <w:r w:rsidRPr="00EB4645">
        <w:rPr>
          <w:rFonts w:ascii="Verdana" w:hAnsi="Verdana" w:cs="Arial"/>
          <w:color w:val="000000" w:themeColor="text1"/>
          <w:sz w:val="16"/>
          <w:szCs w:val="16"/>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5ED00FB5" w14:textId="77777777" w:rsidR="0039750E" w:rsidRPr="00EB4645" w:rsidRDefault="0039750E" w:rsidP="0039750E">
      <w:pPr>
        <w:pStyle w:val="Textonotapie"/>
        <w:ind w:firstLine="709"/>
        <w:jc w:val="both"/>
        <w:rPr>
          <w:rFonts w:ascii="Verdana" w:hAnsi="Verdana" w:cs="Arial"/>
          <w:color w:val="000000" w:themeColor="text1"/>
          <w:sz w:val="16"/>
          <w:szCs w:val="16"/>
          <w:lang w:val="es-CO"/>
        </w:rPr>
      </w:pPr>
    </w:p>
  </w:footnote>
  <w:footnote w:id="6">
    <w:p w14:paraId="6EF78791" w14:textId="77777777" w:rsidR="0039750E" w:rsidRPr="00EB4645" w:rsidRDefault="0039750E" w:rsidP="0039750E">
      <w:pPr>
        <w:pStyle w:val="Textonotapie"/>
        <w:ind w:firstLine="709"/>
        <w:jc w:val="both"/>
        <w:rPr>
          <w:rFonts w:ascii="Verdana" w:hAnsi="Verdana" w:cs="Arial"/>
          <w:color w:val="000000" w:themeColor="text1"/>
          <w:sz w:val="16"/>
          <w:szCs w:val="16"/>
        </w:rPr>
      </w:pPr>
      <w:r w:rsidRPr="00EB4645">
        <w:rPr>
          <w:rFonts w:ascii="Verdana" w:eastAsia="Times New Roman" w:hAnsi="Verdana" w:cs="Arial"/>
          <w:color w:val="000000" w:themeColor="text1"/>
          <w:sz w:val="16"/>
          <w:szCs w:val="16"/>
          <w:vertAlign w:val="superscript"/>
          <w:lang w:val="es-ES" w:eastAsia="es-ES"/>
        </w:rPr>
        <w:footnoteRef/>
      </w:r>
      <w:r w:rsidRPr="00EB4645">
        <w:rPr>
          <w:rFonts w:ascii="Verdana" w:eastAsia="Times New Roman" w:hAnsi="Verdana" w:cs="Arial"/>
          <w:color w:val="000000" w:themeColor="text1"/>
          <w:sz w:val="16"/>
          <w:szCs w:val="16"/>
          <w:vertAlign w:val="superscript"/>
          <w:lang w:val="es-ES" w:eastAsia="es-ES"/>
        </w:rPr>
        <w:t xml:space="preserve"> </w:t>
      </w:r>
      <w:r w:rsidRPr="00EB4645">
        <w:rPr>
          <w:rFonts w:ascii="Verdana" w:eastAsia="Times New Roman" w:hAnsi="Verdana" w:cs="Arial"/>
          <w:color w:val="000000" w:themeColor="text1"/>
          <w:sz w:val="16"/>
          <w:szCs w:val="16"/>
          <w:lang w:val="es-ES" w:eastAsia="es-ES"/>
        </w:rPr>
        <w:t>«</w:t>
      </w:r>
      <w:r w:rsidRPr="00EB4645">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918A656" w14:textId="77777777" w:rsidR="0039750E" w:rsidRPr="00EB4645" w:rsidRDefault="0039750E" w:rsidP="0039750E">
      <w:pPr>
        <w:pStyle w:val="Textonotapie"/>
        <w:ind w:firstLine="709"/>
        <w:jc w:val="both"/>
        <w:rPr>
          <w:rFonts w:ascii="Verdana" w:eastAsia="Times New Roman" w:hAnsi="Verdana" w:cs="Arial"/>
          <w:color w:val="000000" w:themeColor="text1"/>
          <w:sz w:val="16"/>
          <w:szCs w:val="16"/>
          <w:lang w:val="es-ES" w:eastAsia="es-ES"/>
        </w:rPr>
      </w:pPr>
      <w:r w:rsidRPr="00EB4645">
        <w:rPr>
          <w:rFonts w:ascii="Verdana" w:hAnsi="Verdana" w:cs="Arial"/>
          <w:color w:val="000000" w:themeColor="text1"/>
          <w:sz w:val="16"/>
          <w:szCs w:val="16"/>
        </w:rPr>
        <w:t>[…].</w:t>
      </w:r>
    </w:p>
    <w:p w14:paraId="31B1F102" w14:textId="77777777" w:rsidR="0039750E" w:rsidRPr="00EB4645" w:rsidRDefault="0039750E" w:rsidP="0039750E">
      <w:pPr>
        <w:pStyle w:val="Textonotapie"/>
        <w:ind w:firstLine="709"/>
        <w:jc w:val="both"/>
        <w:rPr>
          <w:rFonts w:ascii="Verdana" w:eastAsia="Times New Roman" w:hAnsi="Verdana" w:cs="Arial"/>
          <w:color w:val="000000" w:themeColor="text1"/>
          <w:sz w:val="16"/>
          <w:szCs w:val="16"/>
          <w:lang w:val="es-ES" w:eastAsia="es-ES"/>
        </w:rPr>
      </w:pPr>
      <w:r w:rsidRPr="00EB4645">
        <w:rPr>
          <w:rFonts w:ascii="Verdana" w:eastAsia="Times New Roman"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277A34F" w14:textId="77777777" w:rsidR="0039750E" w:rsidRPr="00EB4645" w:rsidRDefault="0039750E" w:rsidP="0039750E">
      <w:pPr>
        <w:pStyle w:val="Textonotapie"/>
        <w:ind w:firstLine="709"/>
        <w:jc w:val="both"/>
        <w:rPr>
          <w:rFonts w:ascii="Verdana" w:eastAsia="Times New Roman" w:hAnsi="Verdana" w:cs="Arial"/>
          <w:color w:val="000000" w:themeColor="text1"/>
          <w:sz w:val="16"/>
          <w:szCs w:val="16"/>
          <w:lang w:val="es-ES" w:eastAsia="es-ES"/>
        </w:rPr>
      </w:pPr>
    </w:p>
  </w:footnote>
  <w:footnote w:id="7">
    <w:p w14:paraId="12C0CF6A" w14:textId="77777777" w:rsidR="0039750E" w:rsidRPr="00EB4645" w:rsidRDefault="0039750E" w:rsidP="0039750E">
      <w:pPr>
        <w:pStyle w:val="Textonotapie"/>
        <w:ind w:firstLine="709"/>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C</w:t>
      </w:r>
      <w:proofErr w:type="spellStart"/>
      <w:r w:rsidRPr="00EB4645">
        <w:rPr>
          <w:rFonts w:ascii="Verdana" w:eastAsia="Times New Roman" w:hAnsi="Verdana" w:cs="Arial"/>
          <w:color w:val="000000"/>
          <w:sz w:val="16"/>
          <w:szCs w:val="16"/>
          <w:lang w:val="es-ES" w:eastAsia="es-ES"/>
        </w:rPr>
        <w:t>orte</w:t>
      </w:r>
      <w:proofErr w:type="spellEnd"/>
      <w:r w:rsidRPr="00EB4645">
        <w:rPr>
          <w:rFonts w:ascii="Verdana" w:eastAsia="Times New Roman" w:hAnsi="Verdana" w:cs="Arial"/>
          <w:color w:val="000000"/>
          <w:sz w:val="16"/>
          <w:szCs w:val="16"/>
          <w:lang w:val="es-ES" w:eastAsia="es-ES"/>
        </w:rPr>
        <w:t xml:space="preserve"> Constitucional. Sentencia C‒274 de 9 de mayo de 2013. M.P. Mar</w:t>
      </w:r>
      <w:r w:rsidRPr="00EB4645">
        <w:rPr>
          <w:rFonts w:ascii="Verdana" w:eastAsia="Times New Roman" w:hAnsi="Verdana" w:cs="Century Gothic"/>
          <w:color w:val="000000"/>
          <w:sz w:val="16"/>
          <w:szCs w:val="16"/>
          <w:lang w:val="es-ES" w:eastAsia="es-ES"/>
        </w:rPr>
        <w:t>í</w:t>
      </w:r>
      <w:r w:rsidRPr="00EB4645">
        <w:rPr>
          <w:rFonts w:ascii="Verdana" w:eastAsia="Times New Roman" w:hAnsi="Verdana" w:cs="Arial"/>
          <w:color w:val="000000"/>
          <w:sz w:val="16"/>
          <w:szCs w:val="16"/>
          <w:lang w:val="es-ES" w:eastAsia="es-ES"/>
        </w:rPr>
        <w:t xml:space="preserve">a Victoria Calle Correa. </w:t>
      </w:r>
    </w:p>
    <w:p w14:paraId="09E1D474" w14:textId="77777777" w:rsidR="0039750E" w:rsidRPr="00EB4645" w:rsidRDefault="0039750E" w:rsidP="0039750E">
      <w:pPr>
        <w:pStyle w:val="Textonotapie"/>
        <w:ind w:firstLine="709"/>
        <w:jc w:val="both"/>
        <w:rPr>
          <w:rFonts w:ascii="Verdana" w:hAnsi="Verdana" w:cs="Arial"/>
          <w:color w:val="000000"/>
          <w:sz w:val="16"/>
          <w:szCs w:val="16"/>
          <w:lang w:val="es-CO"/>
        </w:rPr>
      </w:pPr>
    </w:p>
  </w:footnote>
  <w:footnote w:id="8">
    <w:p w14:paraId="37A0096F" w14:textId="77777777" w:rsidR="0039750E" w:rsidRPr="00EB4645" w:rsidRDefault="0039750E" w:rsidP="0039750E">
      <w:pPr>
        <w:pStyle w:val="Textonotapie"/>
        <w:ind w:firstLine="708"/>
        <w:jc w:val="both"/>
        <w:rPr>
          <w:rFonts w:ascii="Verdana" w:hAnsi="Verdana" w:cs="Arial"/>
          <w:color w:val="000000"/>
          <w:sz w:val="16"/>
          <w:szCs w:val="16"/>
        </w:rPr>
      </w:pPr>
      <w:r w:rsidRPr="00EB4645">
        <w:rPr>
          <w:rStyle w:val="Refdenotaalpie"/>
          <w:rFonts w:ascii="Verdana" w:hAnsi="Verdana" w:cs="Arial"/>
          <w:color w:val="000000"/>
          <w:sz w:val="16"/>
          <w:szCs w:val="16"/>
        </w:rPr>
        <w:footnoteRef/>
      </w:r>
      <w:r w:rsidRPr="00EB4645">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1196B002" w14:textId="77777777" w:rsidR="0039750E" w:rsidRPr="00EB4645" w:rsidRDefault="0039750E" w:rsidP="0039750E">
      <w:pPr>
        <w:pStyle w:val="Textonotapie"/>
        <w:ind w:firstLine="708"/>
        <w:jc w:val="both"/>
        <w:rPr>
          <w:rFonts w:ascii="Verdana" w:hAnsi="Verdana" w:cs="Arial"/>
          <w:color w:val="000000"/>
          <w:sz w:val="16"/>
          <w:szCs w:val="16"/>
        </w:rPr>
      </w:pPr>
      <w:r w:rsidRPr="00EB4645">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9">
    <w:p w14:paraId="278959D2" w14:textId="39AEE276" w:rsidR="0042686B" w:rsidRPr="00EB4645" w:rsidRDefault="0042686B" w:rsidP="0042686B">
      <w:pPr>
        <w:pStyle w:val="NormalWeb"/>
        <w:spacing w:before="0" w:beforeAutospacing="0" w:after="0" w:afterAutospacing="0"/>
        <w:ind w:firstLine="708"/>
        <w:jc w:val="both"/>
        <w:rPr>
          <w:rFonts w:ascii="Verdana" w:hAnsi="Verdana" w:cs="Arial"/>
          <w:color w:val="000000"/>
          <w:sz w:val="16"/>
          <w:szCs w:val="16"/>
        </w:rPr>
      </w:pPr>
      <w:r>
        <w:rPr>
          <w:rStyle w:val="Refdenotaalpie"/>
        </w:rPr>
        <w:footnoteRef/>
      </w:r>
      <w:r>
        <w:t xml:space="preserve"> </w:t>
      </w:r>
      <w:r w:rsidRPr="0042686B">
        <w:rPr>
          <w:rStyle w:val="Textoennegrita"/>
          <w:rFonts w:ascii="Verdana" w:hAnsi="Verdana" w:cs="Arial"/>
          <w:b w:val="0"/>
          <w:color w:val="000000"/>
          <w:sz w:val="16"/>
          <w:szCs w:val="16"/>
        </w:rPr>
        <w:t>Artículo 200.</w:t>
      </w:r>
      <w:r>
        <w:rPr>
          <w:rStyle w:val="Textoennegrita"/>
          <w:rFonts w:ascii="Verdana" w:hAnsi="Verdana" w:cs="Arial"/>
          <w:color w:val="000000"/>
          <w:sz w:val="16"/>
          <w:szCs w:val="16"/>
        </w:rPr>
        <w:t xml:space="preserve"> </w:t>
      </w:r>
      <w:r w:rsidRPr="00EB4645">
        <w:rPr>
          <w:rStyle w:val="nfasis"/>
          <w:rFonts w:ascii="Verdana" w:hAnsi="Verdana" w:cs="Arial"/>
          <w:color w:val="000000"/>
          <w:sz w:val="16"/>
          <w:szCs w:val="16"/>
        </w:rPr>
        <w:t>Estrategia nacional de lucha contra la corrupción</w:t>
      </w:r>
      <w:r w:rsidRPr="00EB4645">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5B4797D7" w14:textId="77777777" w:rsidR="0042686B" w:rsidRPr="00EB4645" w:rsidRDefault="0042686B" w:rsidP="0042686B">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6499090A" w14:textId="77777777" w:rsidR="0042686B" w:rsidRPr="00EB4645" w:rsidRDefault="0042686B" w:rsidP="0042686B">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5DFCC116" w14:textId="77777777" w:rsidR="0042686B" w:rsidRPr="00EB4645" w:rsidRDefault="0042686B" w:rsidP="0042686B">
      <w:pPr>
        <w:pStyle w:val="NormalWeb"/>
        <w:spacing w:before="0" w:beforeAutospacing="0" w:after="0" w:afterAutospacing="0"/>
        <w:ind w:firstLine="708"/>
        <w:jc w:val="both"/>
        <w:rPr>
          <w:rFonts w:ascii="Verdana" w:hAnsi="Verdana" w:cs="Arial"/>
          <w:color w:val="000000"/>
          <w:sz w:val="16"/>
          <w:szCs w:val="16"/>
        </w:rPr>
      </w:pPr>
      <w:r w:rsidRPr="00EB4645">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44885DE1" w14:textId="77777777" w:rsidR="0042686B" w:rsidRPr="0042686B" w:rsidRDefault="0042686B" w:rsidP="0042686B">
      <w:pPr>
        <w:pStyle w:val="NormalWeb"/>
        <w:spacing w:before="0" w:beforeAutospacing="0" w:after="0" w:afterAutospacing="0"/>
        <w:ind w:firstLine="708"/>
        <w:jc w:val="both"/>
        <w:rPr>
          <w:rFonts w:ascii="Verdana" w:hAnsi="Verdana" w:cs="Arial"/>
          <w:color w:val="000000"/>
          <w:sz w:val="16"/>
          <w:szCs w:val="16"/>
        </w:rPr>
      </w:pPr>
      <w:r w:rsidRPr="0042686B">
        <w:rPr>
          <w:rStyle w:val="Textoennegrita"/>
          <w:rFonts w:ascii="Verdana" w:hAnsi="Verdana" w:cs="Arial"/>
          <w:b w:val="0"/>
          <w:color w:val="000000"/>
          <w:sz w:val="16"/>
          <w:szCs w:val="16"/>
        </w:rPr>
        <w:t>Parágrafo 1°.</w:t>
      </w:r>
      <w:r w:rsidRPr="0042686B">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3E86685D" w14:textId="77777777" w:rsidR="0042686B" w:rsidRPr="0042686B" w:rsidRDefault="0042686B" w:rsidP="0042686B">
      <w:pPr>
        <w:pStyle w:val="NormalWeb"/>
        <w:spacing w:before="0" w:beforeAutospacing="0" w:after="0" w:afterAutospacing="0"/>
        <w:ind w:firstLine="708"/>
        <w:jc w:val="both"/>
        <w:rPr>
          <w:rFonts w:ascii="Verdana" w:hAnsi="Verdana" w:cs="Arial"/>
          <w:color w:val="000000"/>
          <w:sz w:val="16"/>
          <w:szCs w:val="16"/>
        </w:rPr>
      </w:pPr>
      <w:r w:rsidRPr="0042686B">
        <w:rPr>
          <w:rStyle w:val="Textoennegrita"/>
          <w:rFonts w:ascii="Verdana" w:hAnsi="Verdana" w:cs="Arial"/>
          <w:b w:val="0"/>
          <w:color w:val="000000"/>
          <w:sz w:val="16"/>
          <w:szCs w:val="16"/>
        </w:rPr>
        <w:t>Parágrafo 2</w:t>
      </w:r>
      <w:r w:rsidRPr="0042686B">
        <w:rPr>
          <w:rStyle w:val="Textoennegrita"/>
          <w:rFonts w:ascii="Verdana" w:hAnsi="Verdana" w:cs="Arial"/>
          <w:color w:val="000000"/>
          <w:sz w:val="16"/>
          <w:szCs w:val="16"/>
        </w:rPr>
        <w:t>°.</w:t>
      </w:r>
      <w:r w:rsidRPr="0042686B">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455E99A4" w14:textId="77777777" w:rsidR="0042686B" w:rsidRPr="0042686B" w:rsidRDefault="0042686B" w:rsidP="0042686B">
      <w:pPr>
        <w:pStyle w:val="NormalWeb"/>
        <w:spacing w:before="0" w:beforeAutospacing="0" w:after="0" w:afterAutospacing="0"/>
        <w:ind w:firstLine="708"/>
        <w:jc w:val="both"/>
        <w:rPr>
          <w:rFonts w:ascii="Verdana" w:hAnsi="Verdana" w:cs="Arial"/>
          <w:color w:val="000000"/>
          <w:sz w:val="16"/>
          <w:szCs w:val="16"/>
        </w:rPr>
      </w:pPr>
      <w:r w:rsidRPr="0042686B">
        <w:rPr>
          <w:rStyle w:val="Textoennegrita"/>
          <w:rFonts w:ascii="Verdana" w:hAnsi="Verdana" w:cs="Arial"/>
          <w:b w:val="0"/>
          <w:color w:val="000000"/>
          <w:sz w:val="16"/>
          <w:szCs w:val="16"/>
        </w:rPr>
        <w:t>Parágrafo 3°.</w:t>
      </w:r>
      <w:r w:rsidRPr="0042686B">
        <w:rPr>
          <w:rFonts w:ascii="Verdana" w:hAnsi="Verdana" w:cs="Arial"/>
          <w:color w:val="000000"/>
          <w:sz w:val="16"/>
          <w:szCs w:val="16"/>
        </w:rPr>
        <w:t> Dentro del año siguiente a la entrada en vigor de la presente ley, el Gobierno nacional formulará y adoptará la Estrategia Nacional de Lucha Contra la Corrupción.</w:t>
      </w:r>
    </w:p>
    <w:p w14:paraId="59390AF5" w14:textId="77777777" w:rsidR="0042686B" w:rsidRPr="00EB4645" w:rsidRDefault="0042686B" w:rsidP="0042686B">
      <w:pPr>
        <w:pStyle w:val="Textonotapie"/>
        <w:rPr>
          <w:sz w:val="16"/>
          <w:szCs w:val="16"/>
          <w:lang w:val="es-CO"/>
        </w:rPr>
      </w:pPr>
    </w:p>
    <w:p w14:paraId="784E3B22" w14:textId="59210849" w:rsidR="0042686B" w:rsidRPr="0042686B" w:rsidRDefault="0042686B" w:rsidP="0042686B">
      <w:pPr>
        <w:pStyle w:val="Textonotapie"/>
        <w:ind w:firstLine="708"/>
        <w:rPr>
          <w:lang w:val="es-CO"/>
        </w:rPr>
      </w:pPr>
    </w:p>
  </w:footnote>
  <w:footnote w:id="10">
    <w:p w14:paraId="3A1BAD77" w14:textId="77777777" w:rsidR="0039750E" w:rsidRPr="00EB4645" w:rsidRDefault="0039750E" w:rsidP="0039750E">
      <w:pPr>
        <w:spacing w:after="0" w:line="240" w:lineRule="auto"/>
        <w:ind w:firstLine="709"/>
        <w:jc w:val="both"/>
        <w:rPr>
          <w:rFonts w:ascii="Verdana" w:eastAsia="Calibri" w:hAnsi="Verdana" w:cs="Arial"/>
          <w:bCs/>
          <w:sz w:val="16"/>
          <w:szCs w:val="16"/>
          <w:lang w:eastAsia="es-ES_tradnl"/>
        </w:rPr>
      </w:pPr>
      <w:r w:rsidRPr="00EB4645">
        <w:rPr>
          <w:rStyle w:val="Refdenotaalpie"/>
          <w:rFonts w:ascii="Verdana" w:hAnsi="Verdana"/>
          <w:sz w:val="16"/>
          <w:szCs w:val="16"/>
        </w:rPr>
        <w:footnoteRef/>
      </w:r>
      <w:r w:rsidRPr="00EB4645">
        <w:rPr>
          <w:rFonts w:ascii="Verdana" w:hAnsi="Verdana"/>
          <w:sz w:val="16"/>
          <w:szCs w:val="16"/>
        </w:rPr>
        <w:t xml:space="preserve"> </w:t>
      </w:r>
      <w:r w:rsidRPr="00EB4645">
        <w:rPr>
          <w:rFonts w:ascii="Verdana" w:eastAsia="Calibri" w:hAnsi="Verdana" w:cs="Arial"/>
          <w:bCs/>
          <w:iCs/>
          <w:sz w:val="16"/>
          <w:szCs w:val="16"/>
          <w:lang w:eastAsia="es-ES_tradnl"/>
        </w:rPr>
        <w:t>Artículo 2.1.4.3.1.2. Ámbito de aplicación.</w:t>
      </w:r>
      <w:r w:rsidRPr="00EB4645">
        <w:rPr>
          <w:rFonts w:ascii="Verdana" w:eastAsia="Calibri" w:hAnsi="Verdana" w:cs="Arial"/>
          <w:b/>
          <w:bCs/>
          <w:iCs/>
          <w:sz w:val="16"/>
          <w:szCs w:val="16"/>
          <w:lang w:eastAsia="es-ES_tradnl"/>
        </w:rPr>
        <w:t> </w:t>
      </w:r>
      <w:r w:rsidRPr="00EB4645">
        <w:rPr>
          <w:rFonts w:ascii="Verdana" w:eastAsia="Calibri" w:hAnsi="Verdana" w:cs="Arial"/>
          <w:bCs/>
          <w:iCs/>
          <w:sz w:val="16"/>
          <w:szCs w:val="16"/>
          <w:lang w:eastAsia="es-ES_tradnl"/>
        </w:rPr>
        <w:t>Las disposiciones de este Capítulo rigen en todo el territorio nacional y se aplicarán en todos los organismos, entidades y empresas del Estado del orden nacional y pertenecientes a la Rama Ejecutiva del Poder Público. </w:t>
      </w:r>
      <w:r w:rsidRPr="00EB4645">
        <w:rPr>
          <w:rFonts w:ascii="Verdana" w:eastAsia="Calibri" w:hAnsi="Verdana" w:cs="Arial"/>
          <w:bCs/>
          <w:sz w:val="16"/>
          <w:szCs w:val="16"/>
          <w:lang w:eastAsia="es-ES_tradnl"/>
        </w:rPr>
        <w:t> </w:t>
      </w:r>
    </w:p>
    <w:p w14:paraId="52DA8466" w14:textId="77777777" w:rsidR="0039750E" w:rsidRPr="00EB4645" w:rsidRDefault="0039750E" w:rsidP="0039750E">
      <w:pPr>
        <w:spacing w:after="0" w:line="240" w:lineRule="auto"/>
        <w:ind w:firstLine="709"/>
        <w:jc w:val="both"/>
        <w:rPr>
          <w:rFonts w:ascii="Verdana" w:eastAsia="Calibri" w:hAnsi="Verdana" w:cs="Arial"/>
          <w:bCs/>
          <w:sz w:val="16"/>
          <w:szCs w:val="16"/>
          <w:lang w:eastAsia="es-ES_tradnl"/>
        </w:rPr>
      </w:pPr>
      <w:r w:rsidRPr="00EB4645">
        <w:rPr>
          <w:rFonts w:ascii="Verdana" w:eastAsia="Calibri" w:hAnsi="Verdana" w:cs="Arial"/>
          <w:bCs/>
          <w:iCs/>
          <w:sz w:val="16"/>
          <w:szCs w:val="16"/>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2416128D" w14:textId="77777777" w:rsidR="0039750E" w:rsidRPr="00EB4645" w:rsidRDefault="0039750E" w:rsidP="0039750E">
      <w:pPr>
        <w:spacing w:after="0" w:line="240" w:lineRule="auto"/>
        <w:ind w:firstLine="709"/>
        <w:jc w:val="both"/>
        <w:rPr>
          <w:rFonts w:ascii="Verdana" w:eastAsia="Calibri" w:hAnsi="Verdana" w:cs="Arial"/>
          <w:bCs/>
          <w:sz w:val="16"/>
          <w:szCs w:val="16"/>
          <w:lang w:eastAsia="es-ES_tradnl"/>
        </w:rPr>
      </w:pPr>
      <w:r w:rsidRPr="00EB4645">
        <w:rPr>
          <w:rFonts w:ascii="Verdana" w:eastAsia="Calibri" w:hAnsi="Verdana" w:cs="Arial"/>
          <w:bCs/>
          <w:iCs/>
          <w:sz w:val="16"/>
          <w:szCs w:val="16"/>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p w14:paraId="7DD2685C" w14:textId="77777777" w:rsidR="0039750E" w:rsidRPr="00EB4645" w:rsidRDefault="0039750E" w:rsidP="0039750E">
      <w:pPr>
        <w:pStyle w:val="Textonotapie"/>
        <w:rPr>
          <w:sz w:val="16"/>
          <w:szCs w:val="16"/>
          <w:lang w:val="es-CO"/>
        </w:rPr>
      </w:pPr>
    </w:p>
  </w:footnote>
  <w:footnote w:id="11">
    <w:p w14:paraId="0BFA9A05" w14:textId="77777777" w:rsidR="0039750E" w:rsidRPr="00EB4645" w:rsidRDefault="0039750E" w:rsidP="0039750E">
      <w:pPr>
        <w:pStyle w:val="Textonotapie"/>
        <w:ind w:firstLine="708"/>
        <w:jc w:val="both"/>
        <w:rPr>
          <w:rFonts w:ascii="Verdana" w:hAnsi="Verdana"/>
          <w:sz w:val="16"/>
          <w:szCs w:val="16"/>
          <w:lang w:val="es-CO"/>
        </w:rPr>
      </w:pPr>
      <w:r w:rsidRPr="00EB4645">
        <w:rPr>
          <w:rStyle w:val="Refdenotaalpie"/>
          <w:rFonts w:ascii="Verdana" w:hAnsi="Verdana"/>
          <w:sz w:val="16"/>
          <w:szCs w:val="16"/>
        </w:rPr>
        <w:footnoteRef/>
      </w:r>
      <w:r w:rsidRPr="00EB4645">
        <w:rPr>
          <w:rFonts w:ascii="Verdana" w:hAnsi="Verdana"/>
          <w:sz w:val="16"/>
          <w:szCs w:val="16"/>
        </w:rPr>
        <w:t xml:space="preserve"> </w:t>
      </w:r>
      <w:r w:rsidRPr="00EB4645">
        <w:rPr>
          <w:rFonts w:ascii="Verdana" w:hAnsi="Verdana"/>
          <w:bCs/>
          <w:sz w:val="16"/>
          <w:szCs w:val="16"/>
          <w:lang w:val="es-CO"/>
        </w:rPr>
        <w:t>Artículo 2.1.4.3.2.1. </w:t>
      </w:r>
      <w:r w:rsidRPr="00EB4645">
        <w:rPr>
          <w:rFonts w:ascii="Verdana" w:hAnsi="Verdana"/>
          <w:bCs/>
          <w:i/>
          <w:iCs/>
          <w:sz w:val="16"/>
          <w:szCs w:val="16"/>
          <w:lang w:val="es-CO"/>
        </w:rPr>
        <w:t xml:space="preserve">Prevención de corrupción en la contratación </w:t>
      </w:r>
      <w:proofErr w:type="spellStart"/>
      <w:proofErr w:type="gramStart"/>
      <w:r w:rsidRPr="00EB4645">
        <w:rPr>
          <w:rFonts w:ascii="Verdana" w:hAnsi="Verdana"/>
          <w:bCs/>
          <w:i/>
          <w:iCs/>
          <w:sz w:val="16"/>
          <w:szCs w:val="16"/>
          <w:lang w:val="es-CO"/>
        </w:rPr>
        <w:t>pública.</w:t>
      </w:r>
      <w:r w:rsidRPr="00EB4645">
        <w:rPr>
          <w:rFonts w:ascii="Verdana" w:hAnsi="Verdana"/>
          <w:sz w:val="16"/>
          <w:szCs w:val="16"/>
          <w:lang w:val="es-CO"/>
        </w:rPr>
        <w:t>Las</w:t>
      </w:r>
      <w:proofErr w:type="spellEnd"/>
      <w:proofErr w:type="gramEnd"/>
      <w:r w:rsidRPr="00EB4645">
        <w:rPr>
          <w:rFonts w:ascii="Verdana" w:hAnsi="Verdana"/>
          <w:sz w:val="16"/>
          <w:szCs w:val="16"/>
          <w:lang w:val="es-CO"/>
        </w:rPr>
        <w:t xml:space="preserve"> entidades mencionadas en el artículo 2.1.4.3.1.2 del presente decreto, sin perjuicio de las demás obligaciones legales y reglamentarias, deberán garantizar las siguientes acciones en el desarrollo y la gestión contractual a su cargo: </w:t>
      </w:r>
    </w:p>
    <w:p w14:paraId="27F36A64" w14:textId="77777777" w:rsidR="0039750E" w:rsidRPr="00EB4645" w:rsidRDefault="0039750E" w:rsidP="0039750E">
      <w:pPr>
        <w:pStyle w:val="Textonotapie"/>
        <w:ind w:firstLine="708"/>
        <w:jc w:val="both"/>
        <w:rPr>
          <w:rFonts w:ascii="Verdana" w:hAnsi="Verdana"/>
          <w:sz w:val="16"/>
          <w:szCs w:val="16"/>
          <w:lang w:val="es-CO"/>
        </w:rPr>
      </w:pPr>
      <w:r w:rsidRPr="00EB4645">
        <w:rPr>
          <w:rFonts w:ascii="Verdana" w:hAnsi="Verdana"/>
          <w:sz w:val="16"/>
          <w:szCs w:val="16"/>
          <w:lang w:val="es-CO"/>
        </w:rPr>
        <w:t>a) </w:t>
      </w:r>
      <w:r w:rsidRPr="00EB4645">
        <w:rPr>
          <w:rFonts w:ascii="Verdana" w:hAnsi="Verdana"/>
          <w:bCs/>
          <w:sz w:val="16"/>
          <w:szCs w:val="16"/>
          <w:lang w:val="es-CO"/>
        </w:rPr>
        <w:t>Verificar la existencia de situaciones de control. </w:t>
      </w:r>
      <w:r w:rsidRPr="00EB4645">
        <w:rPr>
          <w:rFonts w:ascii="Verdana" w:hAnsi="Verdana"/>
          <w:sz w:val="16"/>
          <w:szCs w:val="16"/>
          <w:lang w:val="es-CO"/>
        </w:rPr>
        <w:t>En los términos de los artículos 260 y 261 del Código de Comercio, de las personas jurídicas 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40453720" w14:textId="77777777" w:rsidR="0039750E" w:rsidRPr="00EB4645" w:rsidRDefault="0039750E" w:rsidP="0039750E">
      <w:pPr>
        <w:pStyle w:val="Textonotapie"/>
        <w:ind w:firstLine="708"/>
        <w:jc w:val="both"/>
        <w:rPr>
          <w:rFonts w:ascii="Verdana" w:hAnsi="Verdana"/>
          <w:sz w:val="16"/>
          <w:szCs w:val="16"/>
          <w:lang w:val="es-CO"/>
        </w:rPr>
      </w:pPr>
      <w:r w:rsidRPr="00EB4645">
        <w:rPr>
          <w:rFonts w:ascii="Verdana" w:hAnsi="Verdana"/>
          <w:sz w:val="16"/>
          <w:szCs w:val="16"/>
          <w:lang w:val="es-CO"/>
        </w:rPr>
        <w:t>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3A609454" w14:textId="77777777" w:rsidR="0039750E" w:rsidRPr="00EB4645" w:rsidRDefault="0039750E" w:rsidP="0039750E">
      <w:pPr>
        <w:pStyle w:val="Textonotapie"/>
        <w:ind w:firstLine="708"/>
        <w:jc w:val="both"/>
        <w:rPr>
          <w:rFonts w:ascii="Verdana" w:hAnsi="Verdana"/>
          <w:sz w:val="16"/>
          <w:szCs w:val="16"/>
          <w:lang w:val="es-CO"/>
        </w:rPr>
      </w:pPr>
      <w:r w:rsidRPr="00EB4645">
        <w:rPr>
          <w:rFonts w:ascii="Verdana" w:hAnsi="Verdana"/>
          <w:sz w:val="16"/>
          <w:szCs w:val="16"/>
          <w:lang w:val="es-CO"/>
        </w:rPr>
        <w:t>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  </w:t>
      </w:r>
    </w:p>
    <w:p w14:paraId="26271BDB" w14:textId="77777777" w:rsidR="0039750E" w:rsidRPr="00EB4645" w:rsidRDefault="0039750E" w:rsidP="0039750E">
      <w:pPr>
        <w:pStyle w:val="Textonotapie"/>
        <w:ind w:firstLine="708"/>
        <w:jc w:val="both"/>
        <w:rPr>
          <w:rFonts w:ascii="Verdana" w:hAnsi="Verdana"/>
          <w:sz w:val="16"/>
          <w:szCs w:val="16"/>
          <w:lang w:val="es-CO"/>
        </w:rPr>
      </w:pPr>
      <w:r w:rsidRPr="00EB4645">
        <w:rPr>
          <w:rFonts w:ascii="Verdana" w:hAnsi="Verdana"/>
          <w:sz w:val="16"/>
          <w:szCs w:val="16"/>
          <w:lang w:val="es-CO"/>
        </w:rPr>
        <w:t>b) </w:t>
      </w:r>
      <w:r w:rsidRPr="00EB4645">
        <w:rPr>
          <w:rFonts w:ascii="Verdana" w:hAnsi="Verdana"/>
          <w:bCs/>
          <w:sz w:val="16"/>
          <w:szCs w:val="16"/>
          <w:lang w:val="es-CO"/>
        </w:rPr>
        <w:t>Aplicar buenas prácticas para la contratación transparente. </w:t>
      </w:r>
      <w:r w:rsidRPr="00EB4645">
        <w:rPr>
          <w:rFonts w:ascii="Verdana" w:hAnsi="Verdana"/>
          <w:sz w:val="16"/>
          <w:szCs w:val="16"/>
          <w:lang w:val="es-CO"/>
        </w:rPr>
        <w:t>Las entidades deberán garantizar que las guías y manuales definidos por la Agencia Nacional de Contratación Pública - Colombia Compra Eficiente, para la definición de criterios que permitan garantizar la pluralidad de oferentes, se apliquen en la organización. En consecuencia, en los documentos del proceso deberá dejarse constancia que en la estructuración se tuvieron en cuenta las prácticas recomendadas por Colombia Compra Eficiente.  </w:t>
      </w:r>
    </w:p>
    <w:p w14:paraId="45646305" w14:textId="77777777" w:rsidR="0039750E" w:rsidRPr="00EB4645" w:rsidRDefault="0039750E" w:rsidP="0039750E">
      <w:pPr>
        <w:pStyle w:val="Textonotapie"/>
        <w:ind w:firstLine="708"/>
        <w:jc w:val="both"/>
        <w:rPr>
          <w:rFonts w:ascii="Verdana" w:hAnsi="Verdana"/>
          <w:sz w:val="16"/>
          <w:szCs w:val="16"/>
          <w:lang w:val="es-CO"/>
        </w:rPr>
      </w:pPr>
      <w:r w:rsidRPr="00EB4645">
        <w:rPr>
          <w:rFonts w:ascii="Verdana" w:hAnsi="Verdana"/>
          <w:sz w:val="16"/>
          <w:szCs w:val="16"/>
          <w:lang w:val="es-CO"/>
        </w:rPr>
        <w:t>c) </w:t>
      </w:r>
      <w:r w:rsidRPr="00EB4645">
        <w:rPr>
          <w:rFonts w:ascii="Verdana" w:hAnsi="Verdana"/>
          <w:bCs/>
          <w:sz w:val="16"/>
          <w:szCs w:val="16"/>
          <w:lang w:val="es-CO"/>
        </w:rPr>
        <w:t>Fortalecer los análisis de mercado para la fijación objetiva de precios. </w:t>
      </w:r>
      <w:r w:rsidRPr="00EB4645">
        <w:rPr>
          <w:rFonts w:ascii="Verdana" w:hAnsi="Verdana"/>
          <w:sz w:val="16"/>
          <w:szCs w:val="16"/>
          <w:lang w:val="es-CO"/>
        </w:rPr>
        <w:t>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  </w:t>
      </w:r>
    </w:p>
    <w:p w14:paraId="37379514" w14:textId="77777777" w:rsidR="0039750E" w:rsidRPr="00EB4645" w:rsidRDefault="0039750E" w:rsidP="0039750E">
      <w:pPr>
        <w:pStyle w:val="Textonotapie"/>
        <w:ind w:firstLine="708"/>
        <w:jc w:val="both"/>
        <w:rPr>
          <w:rFonts w:ascii="Verdana" w:hAnsi="Verdana"/>
          <w:sz w:val="16"/>
          <w:szCs w:val="16"/>
          <w:lang w:val="es-CO"/>
        </w:rPr>
      </w:pPr>
      <w:r w:rsidRPr="00EB4645">
        <w:rPr>
          <w:rFonts w:ascii="Verdana" w:hAnsi="Verdana"/>
          <w:bCs/>
          <w:sz w:val="16"/>
          <w:szCs w:val="16"/>
          <w:lang w:val="es-CO"/>
        </w:rPr>
        <w:t>Parágrafo 1°. </w:t>
      </w:r>
      <w:r w:rsidRPr="00EB4645">
        <w:rPr>
          <w:rFonts w:ascii="Verdana" w:hAnsi="Verdana"/>
          <w:sz w:val="16"/>
          <w:szCs w:val="16"/>
          <w:lang w:val="es-CO"/>
        </w:rPr>
        <w:t>Las anteriores directrices serán incorporadas por las entidades destinatarias a sus manuales de contratación, dentro de los seis (6) meses siguientes a la expedición del presente Capítulo.  </w:t>
      </w:r>
    </w:p>
    <w:p w14:paraId="6A5EE712" w14:textId="77777777" w:rsidR="0039750E" w:rsidRPr="00EB4645" w:rsidRDefault="0039750E" w:rsidP="0039750E">
      <w:pPr>
        <w:pStyle w:val="Textonotapie"/>
        <w:ind w:firstLine="708"/>
        <w:jc w:val="both"/>
        <w:rPr>
          <w:rFonts w:ascii="Verdana" w:hAnsi="Verdana"/>
          <w:sz w:val="16"/>
          <w:szCs w:val="16"/>
          <w:lang w:val="es-CO"/>
        </w:rPr>
      </w:pPr>
      <w:r w:rsidRPr="00EB4645">
        <w:rPr>
          <w:rFonts w:ascii="Verdana" w:hAnsi="Verdana"/>
          <w:bCs/>
          <w:sz w:val="16"/>
          <w:szCs w:val="16"/>
          <w:lang w:val="es-CO"/>
        </w:rPr>
        <w:t>Parágrafo 2°. </w:t>
      </w:r>
      <w:r w:rsidRPr="00EB4645">
        <w:rPr>
          <w:rFonts w:ascii="Verdana" w:hAnsi="Verdana"/>
          <w:sz w:val="16"/>
          <w:szCs w:val="16"/>
          <w:lang w:val="es-CO"/>
        </w:rPr>
        <w:t>Las entidades territoriales y sus descentralizadas, en el marco de su autonomía, incorporarán las directrices contenidas en el presente artículo, de conformidad con lo señalado en el inciso tercero del artículo 2.1.4.3.1.2 del presente decreto.  </w:t>
      </w:r>
    </w:p>
    <w:p w14:paraId="55D39054" w14:textId="77777777" w:rsidR="0039750E" w:rsidRPr="00EB4645" w:rsidRDefault="0039750E" w:rsidP="0039750E">
      <w:pPr>
        <w:pStyle w:val="Textonotapie"/>
        <w:ind w:firstLine="708"/>
        <w:jc w:val="both"/>
        <w:rPr>
          <w:rFonts w:ascii="Verdana" w:hAnsi="Verdana"/>
          <w:sz w:val="16"/>
          <w:szCs w:val="16"/>
          <w:lang w:val="es-CO"/>
        </w:rPr>
      </w:pPr>
    </w:p>
  </w:footnote>
  <w:footnote w:id="12">
    <w:p w14:paraId="3054CAD9" w14:textId="77777777" w:rsidR="0039750E" w:rsidRPr="00EB4645" w:rsidRDefault="0039750E" w:rsidP="0039750E">
      <w:pPr>
        <w:pStyle w:val="Textonotapie"/>
        <w:ind w:firstLine="708"/>
        <w:jc w:val="both"/>
        <w:rPr>
          <w:rFonts w:ascii="Verdana" w:hAnsi="Verdana"/>
          <w:sz w:val="16"/>
          <w:szCs w:val="16"/>
          <w:lang w:val="es-ES"/>
        </w:rPr>
      </w:pPr>
      <w:r w:rsidRPr="00EB4645">
        <w:rPr>
          <w:rStyle w:val="Refdenotaalpie"/>
          <w:rFonts w:ascii="Verdana" w:hAnsi="Verdana"/>
          <w:sz w:val="16"/>
          <w:szCs w:val="16"/>
        </w:rPr>
        <w:footnoteRef/>
      </w:r>
      <w:r w:rsidRPr="00EB4645">
        <w:rPr>
          <w:rFonts w:ascii="Verdana" w:hAnsi="Verdana"/>
          <w:sz w:val="16"/>
          <w:szCs w:val="16"/>
        </w:rPr>
        <w:t xml:space="preserve"> El artículo 6° de la Constitución Política prescribe: “</w:t>
      </w:r>
      <w:r w:rsidRPr="00EB4645">
        <w:rPr>
          <w:rFonts w:ascii="Verdana" w:hAnsi="Verdana"/>
          <w:sz w:val="16"/>
          <w:szCs w:val="16"/>
          <w:lang w:val="es-CO"/>
        </w:rPr>
        <w:t xml:space="preserve">Los particulares sólo son responsables ante las autoridades por infringir la Constitución y las leyes. Los servidores públicos lo son por la misma causa y por omisión o extralimitación en el ejercicio de sus funciones”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0E694F" w:rsidRDefault="000E694F">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0E694F" w:rsidRDefault="000E694F">
    <w:pPr>
      <w:pStyle w:val="Encabezado"/>
    </w:pPr>
  </w:p>
  <w:p w14:paraId="3079FC11" w14:textId="77777777" w:rsidR="000E694F" w:rsidRDefault="000E694F" w:rsidP="004A305D">
    <w:pPr>
      <w:spacing w:after="0"/>
      <w:rPr>
        <w:rFonts w:ascii="Verdana" w:hAnsi="Verdana"/>
        <w:b/>
        <w:bCs/>
      </w:rPr>
    </w:pPr>
  </w:p>
  <w:p w14:paraId="5E18350A" w14:textId="705F7B76" w:rsidR="000E694F" w:rsidRPr="004A305D" w:rsidRDefault="000E694F" w:rsidP="00B01B1A">
    <w:pPr>
      <w:spacing w:after="0" w:line="120" w:lineRule="auto"/>
      <w:rPr>
        <w:rFonts w:ascii="Century Gothic" w:eastAsia="Geo" w:hAnsi="Century Gothic" w:cs="Geo"/>
        <w:sz w:val="16"/>
        <w:szCs w:val="16"/>
        <w:lang w:eastAsia="es-CO"/>
      </w:rPr>
    </w:pPr>
  </w:p>
  <w:p w14:paraId="1FD1C243" w14:textId="6D74A3CF" w:rsidR="000E694F" w:rsidRDefault="000E694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88141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08278868" o:spid="_x0000_i1025" type="#_x0000_t75" style="width:11.25pt;height:11.25pt;visibility:visible;mso-wrap-style:square">
            <v:imagedata r:id="rId1" o:title=""/>
          </v:shape>
        </w:pict>
      </mc:Choice>
      <mc:Fallback>
        <w:drawing>
          <wp:inline distT="0" distB="0" distL="0" distR="0" wp14:anchorId="66B208B8">
            <wp:extent cx="142875" cy="142875"/>
            <wp:effectExtent l="0" t="0" r="0" b="0"/>
            <wp:docPr id="1108278868" name="Imagen 1108278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8"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9"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518763862">
    <w:abstractNumId w:val="12"/>
  </w:num>
  <w:num w:numId="2" w16cid:durableId="1338003940">
    <w:abstractNumId w:val="2"/>
  </w:num>
  <w:num w:numId="3" w16cid:durableId="1324042360">
    <w:abstractNumId w:val="10"/>
  </w:num>
  <w:num w:numId="4" w16cid:durableId="883908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1023966">
    <w:abstractNumId w:val="2"/>
  </w:num>
  <w:num w:numId="6" w16cid:durableId="1276208553">
    <w:abstractNumId w:val="27"/>
  </w:num>
  <w:num w:numId="7" w16cid:durableId="2146776800">
    <w:abstractNumId w:val="11"/>
  </w:num>
  <w:num w:numId="8" w16cid:durableId="1658420294">
    <w:abstractNumId w:val="26"/>
  </w:num>
  <w:num w:numId="9" w16cid:durableId="58023467">
    <w:abstractNumId w:val="13"/>
  </w:num>
  <w:num w:numId="10" w16cid:durableId="810757994">
    <w:abstractNumId w:val="24"/>
  </w:num>
  <w:num w:numId="11" w16cid:durableId="1453284243">
    <w:abstractNumId w:val="14"/>
  </w:num>
  <w:num w:numId="12" w16cid:durableId="1366521675">
    <w:abstractNumId w:val="1"/>
  </w:num>
  <w:num w:numId="13" w16cid:durableId="1265532886">
    <w:abstractNumId w:val="7"/>
  </w:num>
  <w:num w:numId="14" w16cid:durableId="1213274139">
    <w:abstractNumId w:val="28"/>
  </w:num>
  <w:num w:numId="15" w16cid:durableId="338779155">
    <w:abstractNumId w:val="23"/>
  </w:num>
  <w:num w:numId="16" w16cid:durableId="158939010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0996216">
    <w:abstractNumId w:val="5"/>
  </w:num>
  <w:num w:numId="18" w16cid:durableId="840893043">
    <w:abstractNumId w:val="21"/>
  </w:num>
  <w:num w:numId="19" w16cid:durableId="177432729">
    <w:abstractNumId w:val="9"/>
  </w:num>
  <w:num w:numId="20" w16cid:durableId="131170079">
    <w:abstractNumId w:val="15"/>
  </w:num>
  <w:num w:numId="21" w16cid:durableId="234323747">
    <w:abstractNumId w:val="29"/>
  </w:num>
  <w:num w:numId="22" w16cid:durableId="794175868">
    <w:abstractNumId w:val="17"/>
  </w:num>
  <w:num w:numId="23" w16cid:durableId="811336805">
    <w:abstractNumId w:val="0"/>
  </w:num>
  <w:num w:numId="24" w16cid:durableId="1123689126">
    <w:abstractNumId w:val="22"/>
  </w:num>
  <w:num w:numId="25" w16cid:durableId="1255744915">
    <w:abstractNumId w:val="19"/>
  </w:num>
  <w:num w:numId="26" w16cid:durableId="810439970">
    <w:abstractNumId w:val="18"/>
  </w:num>
  <w:num w:numId="27" w16cid:durableId="1176380790">
    <w:abstractNumId w:val="6"/>
  </w:num>
  <w:num w:numId="28" w16cid:durableId="5836112">
    <w:abstractNumId w:val="8"/>
  </w:num>
  <w:num w:numId="29" w16cid:durableId="74939368">
    <w:abstractNumId w:val="3"/>
  </w:num>
  <w:num w:numId="30" w16cid:durableId="803162451">
    <w:abstractNumId w:val="4"/>
  </w:num>
  <w:num w:numId="31" w16cid:durableId="1854342318">
    <w:abstractNumId w:val="20"/>
  </w:num>
  <w:num w:numId="32" w16cid:durableId="1823571500">
    <w:abstractNumId w:val="25"/>
  </w:num>
  <w:num w:numId="33" w16cid:durableId="8997472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0C4F"/>
    <w:rsid w:val="0001328B"/>
    <w:rsid w:val="000224F2"/>
    <w:rsid w:val="00023C3E"/>
    <w:rsid w:val="0002653B"/>
    <w:rsid w:val="00031550"/>
    <w:rsid w:val="000355E9"/>
    <w:rsid w:val="00036498"/>
    <w:rsid w:val="00040F37"/>
    <w:rsid w:val="00041860"/>
    <w:rsid w:val="0004434A"/>
    <w:rsid w:val="0005281E"/>
    <w:rsid w:val="0005682C"/>
    <w:rsid w:val="00056D71"/>
    <w:rsid w:val="00061B2A"/>
    <w:rsid w:val="00062BAF"/>
    <w:rsid w:val="000630B9"/>
    <w:rsid w:val="000635D0"/>
    <w:rsid w:val="000643B2"/>
    <w:rsid w:val="00065E80"/>
    <w:rsid w:val="0007022C"/>
    <w:rsid w:val="00071DE6"/>
    <w:rsid w:val="000754E3"/>
    <w:rsid w:val="00077439"/>
    <w:rsid w:val="000774B8"/>
    <w:rsid w:val="00082362"/>
    <w:rsid w:val="0008328D"/>
    <w:rsid w:val="00090C58"/>
    <w:rsid w:val="000920CF"/>
    <w:rsid w:val="0009387A"/>
    <w:rsid w:val="0009387B"/>
    <w:rsid w:val="00095E97"/>
    <w:rsid w:val="000963C6"/>
    <w:rsid w:val="0009762F"/>
    <w:rsid w:val="000A31B9"/>
    <w:rsid w:val="000A3330"/>
    <w:rsid w:val="000A3D63"/>
    <w:rsid w:val="000A683A"/>
    <w:rsid w:val="000A683E"/>
    <w:rsid w:val="000B158F"/>
    <w:rsid w:val="000B19B9"/>
    <w:rsid w:val="000B241D"/>
    <w:rsid w:val="000B2DCD"/>
    <w:rsid w:val="000C2889"/>
    <w:rsid w:val="000D0152"/>
    <w:rsid w:val="000D0334"/>
    <w:rsid w:val="000D25D7"/>
    <w:rsid w:val="000D3B29"/>
    <w:rsid w:val="000E06F4"/>
    <w:rsid w:val="000E0F63"/>
    <w:rsid w:val="000E4CE4"/>
    <w:rsid w:val="000E694F"/>
    <w:rsid w:val="000F6486"/>
    <w:rsid w:val="000F669F"/>
    <w:rsid w:val="001063B3"/>
    <w:rsid w:val="00107ACA"/>
    <w:rsid w:val="001114A9"/>
    <w:rsid w:val="00111979"/>
    <w:rsid w:val="00115788"/>
    <w:rsid w:val="00116537"/>
    <w:rsid w:val="00120766"/>
    <w:rsid w:val="00121EA1"/>
    <w:rsid w:val="001240BD"/>
    <w:rsid w:val="00125105"/>
    <w:rsid w:val="00125BC7"/>
    <w:rsid w:val="00127233"/>
    <w:rsid w:val="00131D34"/>
    <w:rsid w:val="00136D0B"/>
    <w:rsid w:val="00143E81"/>
    <w:rsid w:val="00143FD9"/>
    <w:rsid w:val="00145047"/>
    <w:rsid w:val="00146C57"/>
    <w:rsid w:val="00150565"/>
    <w:rsid w:val="00160D5C"/>
    <w:rsid w:val="0016332F"/>
    <w:rsid w:val="0016458A"/>
    <w:rsid w:val="001717E9"/>
    <w:rsid w:val="0017238A"/>
    <w:rsid w:val="00177DC9"/>
    <w:rsid w:val="00180A30"/>
    <w:rsid w:val="0018159B"/>
    <w:rsid w:val="00185EE9"/>
    <w:rsid w:val="00187F79"/>
    <w:rsid w:val="00195992"/>
    <w:rsid w:val="00196153"/>
    <w:rsid w:val="00197274"/>
    <w:rsid w:val="001A237A"/>
    <w:rsid w:val="001A26CF"/>
    <w:rsid w:val="001A2919"/>
    <w:rsid w:val="001B2CFE"/>
    <w:rsid w:val="001C222E"/>
    <w:rsid w:val="001C22F9"/>
    <w:rsid w:val="001D1C29"/>
    <w:rsid w:val="001E1A91"/>
    <w:rsid w:val="001E3C06"/>
    <w:rsid w:val="001E4177"/>
    <w:rsid w:val="001F4EFD"/>
    <w:rsid w:val="001F5E13"/>
    <w:rsid w:val="001F6D11"/>
    <w:rsid w:val="001F7DC6"/>
    <w:rsid w:val="00202886"/>
    <w:rsid w:val="00206A83"/>
    <w:rsid w:val="00215B75"/>
    <w:rsid w:val="00215CEF"/>
    <w:rsid w:val="00217A08"/>
    <w:rsid w:val="00220B77"/>
    <w:rsid w:val="00220C9C"/>
    <w:rsid w:val="00221D27"/>
    <w:rsid w:val="00227C89"/>
    <w:rsid w:val="00234E14"/>
    <w:rsid w:val="00237233"/>
    <w:rsid w:val="002421BB"/>
    <w:rsid w:val="002442AC"/>
    <w:rsid w:val="00246A81"/>
    <w:rsid w:val="00251A5F"/>
    <w:rsid w:val="00254C26"/>
    <w:rsid w:val="002571B0"/>
    <w:rsid w:val="0025796E"/>
    <w:rsid w:val="002603E5"/>
    <w:rsid w:val="00260FD9"/>
    <w:rsid w:val="002638B2"/>
    <w:rsid w:val="002660F2"/>
    <w:rsid w:val="002664BB"/>
    <w:rsid w:val="002707A2"/>
    <w:rsid w:val="00270FB6"/>
    <w:rsid w:val="002715B9"/>
    <w:rsid w:val="00276223"/>
    <w:rsid w:val="00276573"/>
    <w:rsid w:val="00281E93"/>
    <w:rsid w:val="00282584"/>
    <w:rsid w:val="002835A6"/>
    <w:rsid w:val="00284161"/>
    <w:rsid w:val="002844ED"/>
    <w:rsid w:val="00287501"/>
    <w:rsid w:val="00287F3C"/>
    <w:rsid w:val="002951A0"/>
    <w:rsid w:val="002962BC"/>
    <w:rsid w:val="002A093D"/>
    <w:rsid w:val="002A0DC4"/>
    <w:rsid w:val="002A0DD0"/>
    <w:rsid w:val="002A3450"/>
    <w:rsid w:val="002A49AC"/>
    <w:rsid w:val="002A64FD"/>
    <w:rsid w:val="002A6BBF"/>
    <w:rsid w:val="002B1E57"/>
    <w:rsid w:val="002B1F7F"/>
    <w:rsid w:val="002B290B"/>
    <w:rsid w:val="002B631F"/>
    <w:rsid w:val="002C110E"/>
    <w:rsid w:val="002C379A"/>
    <w:rsid w:val="002C765E"/>
    <w:rsid w:val="002C7A84"/>
    <w:rsid w:val="002D13A1"/>
    <w:rsid w:val="002D19BE"/>
    <w:rsid w:val="002D1E42"/>
    <w:rsid w:val="002D3F0D"/>
    <w:rsid w:val="002E1D98"/>
    <w:rsid w:val="002E2C3F"/>
    <w:rsid w:val="002E2F4F"/>
    <w:rsid w:val="002E4FD9"/>
    <w:rsid w:val="002E6F15"/>
    <w:rsid w:val="002E7EA1"/>
    <w:rsid w:val="002F13FD"/>
    <w:rsid w:val="002F6C42"/>
    <w:rsid w:val="00303544"/>
    <w:rsid w:val="003039C1"/>
    <w:rsid w:val="00310DBE"/>
    <w:rsid w:val="0031182E"/>
    <w:rsid w:val="0031430F"/>
    <w:rsid w:val="00320BBD"/>
    <w:rsid w:val="00322A85"/>
    <w:rsid w:val="00324168"/>
    <w:rsid w:val="0033032A"/>
    <w:rsid w:val="003330D3"/>
    <w:rsid w:val="0033498F"/>
    <w:rsid w:val="00334C6A"/>
    <w:rsid w:val="00336C05"/>
    <w:rsid w:val="00342675"/>
    <w:rsid w:val="00343512"/>
    <w:rsid w:val="003448F4"/>
    <w:rsid w:val="00345330"/>
    <w:rsid w:val="003528DF"/>
    <w:rsid w:val="00352C12"/>
    <w:rsid w:val="00354BCA"/>
    <w:rsid w:val="00354F33"/>
    <w:rsid w:val="00360631"/>
    <w:rsid w:val="00361261"/>
    <w:rsid w:val="0036594E"/>
    <w:rsid w:val="003665EE"/>
    <w:rsid w:val="0037010E"/>
    <w:rsid w:val="003734F4"/>
    <w:rsid w:val="00374F5E"/>
    <w:rsid w:val="00377E2D"/>
    <w:rsid w:val="00377E3E"/>
    <w:rsid w:val="003815E8"/>
    <w:rsid w:val="003826F4"/>
    <w:rsid w:val="00387C3F"/>
    <w:rsid w:val="003906F8"/>
    <w:rsid w:val="00392A49"/>
    <w:rsid w:val="0039750E"/>
    <w:rsid w:val="003A26D1"/>
    <w:rsid w:val="003A3B30"/>
    <w:rsid w:val="003A6D21"/>
    <w:rsid w:val="003A779E"/>
    <w:rsid w:val="003B005A"/>
    <w:rsid w:val="003C1BFE"/>
    <w:rsid w:val="003C1C0E"/>
    <w:rsid w:val="003C3FA5"/>
    <w:rsid w:val="003C5109"/>
    <w:rsid w:val="003D0B0E"/>
    <w:rsid w:val="003D0F4D"/>
    <w:rsid w:val="003D5B0D"/>
    <w:rsid w:val="003E0499"/>
    <w:rsid w:val="003E40F2"/>
    <w:rsid w:val="003F3941"/>
    <w:rsid w:val="003F4BAF"/>
    <w:rsid w:val="00400676"/>
    <w:rsid w:val="004008A9"/>
    <w:rsid w:val="00405A3E"/>
    <w:rsid w:val="00406575"/>
    <w:rsid w:val="00407C75"/>
    <w:rsid w:val="00410906"/>
    <w:rsid w:val="0041655A"/>
    <w:rsid w:val="0041694B"/>
    <w:rsid w:val="00420208"/>
    <w:rsid w:val="00420B46"/>
    <w:rsid w:val="0042686B"/>
    <w:rsid w:val="00426FD7"/>
    <w:rsid w:val="0042722E"/>
    <w:rsid w:val="00427DA0"/>
    <w:rsid w:val="00440391"/>
    <w:rsid w:val="00441FCF"/>
    <w:rsid w:val="00442C7F"/>
    <w:rsid w:val="0044528D"/>
    <w:rsid w:val="00450920"/>
    <w:rsid w:val="00454D48"/>
    <w:rsid w:val="004554F9"/>
    <w:rsid w:val="0046004D"/>
    <w:rsid w:val="004633DE"/>
    <w:rsid w:val="00465E71"/>
    <w:rsid w:val="004712E0"/>
    <w:rsid w:val="004734BD"/>
    <w:rsid w:val="00474931"/>
    <w:rsid w:val="00482608"/>
    <w:rsid w:val="00483749"/>
    <w:rsid w:val="00484809"/>
    <w:rsid w:val="00484BB1"/>
    <w:rsid w:val="004A0980"/>
    <w:rsid w:val="004A0B8B"/>
    <w:rsid w:val="004A1847"/>
    <w:rsid w:val="004A305D"/>
    <w:rsid w:val="004A3312"/>
    <w:rsid w:val="004A6D9B"/>
    <w:rsid w:val="004B1C68"/>
    <w:rsid w:val="004B53F1"/>
    <w:rsid w:val="004B703F"/>
    <w:rsid w:val="004B740F"/>
    <w:rsid w:val="004C4B37"/>
    <w:rsid w:val="004D026D"/>
    <w:rsid w:val="004D3A9E"/>
    <w:rsid w:val="004D46AB"/>
    <w:rsid w:val="004E221E"/>
    <w:rsid w:val="004E2892"/>
    <w:rsid w:val="004E409A"/>
    <w:rsid w:val="004E4C0B"/>
    <w:rsid w:val="004E505B"/>
    <w:rsid w:val="004E5526"/>
    <w:rsid w:val="004F21C4"/>
    <w:rsid w:val="004F2B72"/>
    <w:rsid w:val="004F3012"/>
    <w:rsid w:val="004F5559"/>
    <w:rsid w:val="004F5A86"/>
    <w:rsid w:val="004F685F"/>
    <w:rsid w:val="004F7EC9"/>
    <w:rsid w:val="0050343D"/>
    <w:rsid w:val="00504CBE"/>
    <w:rsid w:val="00514598"/>
    <w:rsid w:val="00515557"/>
    <w:rsid w:val="00515E1E"/>
    <w:rsid w:val="005163B5"/>
    <w:rsid w:val="00523453"/>
    <w:rsid w:val="0052543A"/>
    <w:rsid w:val="0052785C"/>
    <w:rsid w:val="00533E1B"/>
    <w:rsid w:val="00540C2D"/>
    <w:rsid w:val="00541793"/>
    <w:rsid w:val="00552502"/>
    <w:rsid w:val="005566E8"/>
    <w:rsid w:val="00560CB5"/>
    <w:rsid w:val="00564F8B"/>
    <w:rsid w:val="00574122"/>
    <w:rsid w:val="00574867"/>
    <w:rsid w:val="00576927"/>
    <w:rsid w:val="0057702A"/>
    <w:rsid w:val="00577D09"/>
    <w:rsid w:val="0058087F"/>
    <w:rsid w:val="00581AA1"/>
    <w:rsid w:val="00585E4C"/>
    <w:rsid w:val="00591460"/>
    <w:rsid w:val="00592628"/>
    <w:rsid w:val="00597C75"/>
    <w:rsid w:val="005A0868"/>
    <w:rsid w:val="005A0CFB"/>
    <w:rsid w:val="005A282F"/>
    <w:rsid w:val="005A2AC9"/>
    <w:rsid w:val="005A2D71"/>
    <w:rsid w:val="005A55D5"/>
    <w:rsid w:val="005B2C3C"/>
    <w:rsid w:val="005B2CCE"/>
    <w:rsid w:val="005B496D"/>
    <w:rsid w:val="005B58C1"/>
    <w:rsid w:val="005B6033"/>
    <w:rsid w:val="005C053C"/>
    <w:rsid w:val="005C3777"/>
    <w:rsid w:val="005C5CDC"/>
    <w:rsid w:val="005C6939"/>
    <w:rsid w:val="005C7629"/>
    <w:rsid w:val="005D17C8"/>
    <w:rsid w:val="005D2649"/>
    <w:rsid w:val="005D2B2B"/>
    <w:rsid w:val="005D476C"/>
    <w:rsid w:val="005D4E83"/>
    <w:rsid w:val="005D5F91"/>
    <w:rsid w:val="005D75E8"/>
    <w:rsid w:val="005D7B25"/>
    <w:rsid w:val="005F0EE5"/>
    <w:rsid w:val="005F7C43"/>
    <w:rsid w:val="005F7CC8"/>
    <w:rsid w:val="00601A06"/>
    <w:rsid w:val="00601D76"/>
    <w:rsid w:val="00605A00"/>
    <w:rsid w:val="00610812"/>
    <w:rsid w:val="00612CE7"/>
    <w:rsid w:val="006149EF"/>
    <w:rsid w:val="006219F8"/>
    <w:rsid w:val="0063165E"/>
    <w:rsid w:val="0063166A"/>
    <w:rsid w:val="00632C08"/>
    <w:rsid w:val="00636BF8"/>
    <w:rsid w:val="00650FF7"/>
    <w:rsid w:val="00652AB3"/>
    <w:rsid w:val="006569FB"/>
    <w:rsid w:val="00664B4D"/>
    <w:rsid w:val="00665D70"/>
    <w:rsid w:val="00667199"/>
    <w:rsid w:val="00671DAC"/>
    <w:rsid w:val="006747C7"/>
    <w:rsid w:val="00675E5F"/>
    <w:rsid w:val="006827AC"/>
    <w:rsid w:val="006859A3"/>
    <w:rsid w:val="006900D9"/>
    <w:rsid w:val="006A0008"/>
    <w:rsid w:val="006A10DF"/>
    <w:rsid w:val="006A3147"/>
    <w:rsid w:val="006A7312"/>
    <w:rsid w:val="006C0240"/>
    <w:rsid w:val="006C1E81"/>
    <w:rsid w:val="006C5595"/>
    <w:rsid w:val="006D12F8"/>
    <w:rsid w:val="006D1F00"/>
    <w:rsid w:val="006D465A"/>
    <w:rsid w:val="006E480D"/>
    <w:rsid w:val="006F0D40"/>
    <w:rsid w:val="006F2501"/>
    <w:rsid w:val="006F3A51"/>
    <w:rsid w:val="006F7C51"/>
    <w:rsid w:val="00703916"/>
    <w:rsid w:val="00704D9B"/>
    <w:rsid w:val="00705E5F"/>
    <w:rsid w:val="00706C16"/>
    <w:rsid w:val="00711C85"/>
    <w:rsid w:val="0071287D"/>
    <w:rsid w:val="0071458F"/>
    <w:rsid w:val="0071627C"/>
    <w:rsid w:val="00717903"/>
    <w:rsid w:val="00723A7F"/>
    <w:rsid w:val="00725BB1"/>
    <w:rsid w:val="007312C3"/>
    <w:rsid w:val="00737C53"/>
    <w:rsid w:val="00737DFA"/>
    <w:rsid w:val="00737E63"/>
    <w:rsid w:val="0074034F"/>
    <w:rsid w:val="00751A8E"/>
    <w:rsid w:val="00752A44"/>
    <w:rsid w:val="0075663D"/>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A23EA"/>
    <w:rsid w:val="007A5189"/>
    <w:rsid w:val="007B0D88"/>
    <w:rsid w:val="007B268C"/>
    <w:rsid w:val="007B7171"/>
    <w:rsid w:val="007B7D02"/>
    <w:rsid w:val="007C0C0F"/>
    <w:rsid w:val="007C1E3A"/>
    <w:rsid w:val="007C3DC2"/>
    <w:rsid w:val="007D0457"/>
    <w:rsid w:val="007D387B"/>
    <w:rsid w:val="007D43C9"/>
    <w:rsid w:val="007D483A"/>
    <w:rsid w:val="007E5497"/>
    <w:rsid w:val="007F28CA"/>
    <w:rsid w:val="007F52A4"/>
    <w:rsid w:val="007F60FB"/>
    <w:rsid w:val="007F7B94"/>
    <w:rsid w:val="00804981"/>
    <w:rsid w:val="0080567E"/>
    <w:rsid w:val="00806F5F"/>
    <w:rsid w:val="0080768A"/>
    <w:rsid w:val="008163D7"/>
    <w:rsid w:val="00820278"/>
    <w:rsid w:val="008202D9"/>
    <w:rsid w:val="008232D6"/>
    <w:rsid w:val="00834554"/>
    <w:rsid w:val="00834B31"/>
    <w:rsid w:val="00835438"/>
    <w:rsid w:val="00840ADC"/>
    <w:rsid w:val="00843BF7"/>
    <w:rsid w:val="008449B3"/>
    <w:rsid w:val="00846276"/>
    <w:rsid w:val="00850E23"/>
    <w:rsid w:val="00851137"/>
    <w:rsid w:val="00853978"/>
    <w:rsid w:val="0085432F"/>
    <w:rsid w:val="00856B1B"/>
    <w:rsid w:val="00862224"/>
    <w:rsid w:val="00864209"/>
    <w:rsid w:val="00866586"/>
    <w:rsid w:val="0087325B"/>
    <w:rsid w:val="00881ABA"/>
    <w:rsid w:val="008823A8"/>
    <w:rsid w:val="008843B6"/>
    <w:rsid w:val="00886C89"/>
    <w:rsid w:val="0088779F"/>
    <w:rsid w:val="00891928"/>
    <w:rsid w:val="00894B8B"/>
    <w:rsid w:val="0089556C"/>
    <w:rsid w:val="008A00A4"/>
    <w:rsid w:val="008A446D"/>
    <w:rsid w:val="008A7A64"/>
    <w:rsid w:val="008A7F08"/>
    <w:rsid w:val="008B2F0E"/>
    <w:rsid w:val="008B37D7"/>
    <w:rsid w:val="008B5A2E"/>
    <w:rsid w:val="008C7645"/>
    <w:rsid w:val="008D180B"/>
    <w:rsid w:val="008D7227"/>
    <w:rsid w:val="008E1F92"/>
    <w:rsid w:val="008E7333"/>
    <w:rsid w:val="008E7B09"/>
    <w:rsid w:val="008E7D98"/>
    <w:rsid w:val="008F0E69"/>
    <w:rsid w:val="008F0EA7"/>
    <w:rsid w:val="008F7BB9"/>
    <w:rsid w:val="009029F9"/>
    <w:rsid w:val="00904692"/>
    <w:rsid w:val="00910097"/>
    <w:rsid w:val="00911C7C"/>
    <w:rsid w:val="00913DBA"/>
    <w:rsid w:val="0091561E"/>
    <w:rsid w:val="00923EEF"/>
    <w:rsid w:val="00924FB8"/>
    <w:rsid w:val="00924FEE"/>
    <w:rsid w:val="00931BB5"/>
    <w:rsid w:val="00935BFB"/>
    <w:rsid w:val="0093793E"/>
    <w:rsid w:val="009411F5"/>
    <w:rsid w:val="009419F9"/>
    <w:rsid w:val="00953AA4"/>
    <w:rsid w:val="00955305"/>
    <w:rsid w:val="00956664"/>
    <w:rsid w:val="0095685E"/>
    <w:rsid w:val="00956E12"/>
    <w:rsid w:val="009572D9"/>
    <w:rsid w:val="009600D2"/>
    <w:rsid w:val="00961409"/>
    <w:rsid w:val="00961B09"/>
    <w:rsid w:val="00962300"/>
    <w:rsid w:val="00963186"/>
    <w:rsid w:val="00965334"/>
    <w:rsid w:val="00967DCC"/>
    <w:rsid w:val="00970068"/>
    <w:rsid w:val="0097093E"/>
    <w:rsid w:val="00972768"/>
    <w:rsid w:val="00976025"/>
    <w:rsid w:val="009800BE"/>
    <w:rsid w:val="00982BD4"/>
    <w:rsid w:val="00982E41"/>
    <w:rsid w:val="00984649"/>
    <w:rsid w:val="009858BE"/>
    <w:rsid w:val="00986BA8"/>
    <w:rsid w:val="00994041"/>
    <w:rsid w:val="009A0DFA"/>
    <w:rsid w:val="009A3C2C"/>
    <w:rsid w:val="009A4A40"/>
    <w:rsid w:val="009B0A7A"/>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3361"/>
    <w:rsid w:val="00A24433"/>
    <w:rsid w:val="00A2443A"/>
    <w:rsid w:val="00A246FA"/>
    <w:rsid w:val="00A332DD"/>
    <w:rsid w:val="00A339A9"/>
    <w:rsid w:val="00A33C78"/>
    <w:rsid w:val="00A34630"/>
    <w:rsid w:val="00A34B38"/>
    <w:rsid w:val="00A34D87"/>
    <w:rsid w:val="00A35538"/>
    <w:rsid w:val="00A37BC4"/>
    <w:rsid w:val="00A42050"/>
    <w:rsid w:val="00A43292"/>
    <w:rsid w:val="00A445C0"/>
    <w:rsid w:val="00A46619"/>
    <w:rsid w:val="00A466EE"/>
    <w:rsid w:val="00A50E16"/>
    <w:rsid w:val="00A56FCA"/>
    <w:rsid w:val="00A6004A"/>
    <w:rsid w:val="00A613C2"/>
    <w:rsid w:val="00A617AC"/>
    <w:rsid w:val="00A63222"/>
    <w:rsid w:val="00A74DE6"/>
    <w:rsid w:val="00A8086A"/>
    <w:rsid w:val="00A80F32"/>
    <w:rsid w:val="00A8160E"/>
    <w:rsid w:val="00A85D57"/>
    <w:rsid w:val="00A87F7D"/>
    <w:rsid w:val="00A9244C"/>
    <w:rsid w:val="00A94D14"/>
    <w:rsid w:val="00AA5784"/>
    <w:rsid w:val="00AB0ADB"/>
    <w:rsid w:val="00AB3FD1"/>
    <w:rsid w:val="00AB6C82"/>
    <w:rsid w:val="00AC0EAB"/>
    <w:rsid w:val="00AC1435"/>
    <w:rsid w:val="00AC1F8F"/>
    <w:rsid w:val="00AC4701"/>
    <w:rsid w:val="00AC49A2"/>
    <w:rsid w:val="00AC6FA5"/>
    <w:rsid w:val="00AD73E2"/>
    <w:rsid w:val="00AE075B"/>
    <w:rsid w:val="00AE2631"/>
    <w:rsid w:val="00AE3418"/>
    <w:rsid w:val="00AF1BEC"/>
    <w:rsid w:val="00B009B8"/>
    <w:rsid w:val="00B01B1A"/>
    <w:rsid w:val="00B052CF"/>
    <w:rsid w:val="00B14E03"/>
    <w:rsid w:val="00B24457"/>
    <w:rsid w:val="00B26611"/>
    <w:rsid w:val="00B2672B"/>
    <w:rsid w:val="00B26B98"/>
    <w:rsid w:val="00B31A3F"/>
    <w:rsid w:val="00B35ADC"/>
    <w:rsid w:val="00B37C24"/>
    <w:rsid w:val="00B405F1"/>
    <w:rsid w:val="00B40FBC"/>
    <w:rsid w:val="00B41B81"/>
    <w:rsid w:val="00B421F5"/>
    <w:rsid w:val="00B4513B"/>
    <w:rsid w:val="00B46F27"/>
    <w:rsid w:val="00B47FD7"/>
    <w:rsid w:val="00B51F75"/>
    <w:rsid w:val="00B52CDB"/>
    <w:rsid w:val="00B53E27"/>
    <w:rsid w:val="00B55136"/>
    <w:rsid w:val="00B558AF"/>
    <w:rsid w:val="00B6105C"/>
    <w:rsid w:val="00B615BA"/>
    <w:rsid w:val="00B622E7"/>
    <w:rsid w:val="00B62D8B"/>
    <w:rsid w:val="00B645B4"/>
    <w:rsid w:val="00B67076"/>
    <w:rsid w:val="00B72094"/>
    <w:rsid w:val="00B72CD3"/>
    <w:rsid w:val="00B72FFF"/>
    <w:rsid w:val="00B76CEB"/>
    <w:rsid w:val="00B80A24"/>
    <w:rsid w:val="00B8257D"/>
    <w:rsid w:val="00B828EF"/>
    <w:rsid w:val="00B82B8B"/>
    <w:rsid w:val="00B859E6"/>
    <w:rsid w:val="00B86982"/>
    <w:rsid w:val="00B86FE2"/>
    <w:rsid w:val="00B878ED"/>
    <w:rsid w:val="00B87F69"/>
    <w:rsid w:val="00B91186"/>
    <w:rsid w:val="00B93423"/>
    <w:rsid w:val="00BA2EF4"/>
    <w:rsid w:val="00BC0036"/>
    <w:rsid w:val="00BC05A6"/>
    <w:rsid w:val="00BC3D36"/>
    <w:rsid w:val="00BC4B34"/>
    <w:rsid w:val="00BD2961"/>
    <w:rsid w:val="00BD7F72"/>
    <w:rsid w:val="00BE03BC"/>
    <w:rsid w:val="00BE0A18"/>
    <w:rsid w:val="00BE12F9"/>
    <w:rsid w:val="00BE2120"/>
    <w:rsid w:val="00BE7308"/>
    <w:rsid w:val="00BF0437"/>
    <w:rsid w:val="00BF1201"/>
    <w:rsid w:val="00BF1D4A"/>
    <w:rsid w:val="00BF230F"/>
    <w:rsid w:val="00BF714A"/>
    <w:rsid w:val="00C002E3"/>
    <w:rsid w:val="00C011BD"/>
    <w:rsid w:val="00C012CC"/>
    <w:rsid w:val="00C04FB3"/>
    <w:rsid w:val="00C05FE1"/>
    <w:rsid w:val="00C10179"/>
    <w:rsid w:val="00C147D0"/>
    <w:rsid w:val="00C159C1"/>
    <w:rsid w:val="00C16346"/>
    <w:rsid w:val="00C203C2"/>
    <w:rsid w:val="00C206B6"/>
    <w:rsid w:val="00C21B15"/>
    <w:rsid w:val="00C23C5E"/>
    <w:rsid w:val="00C27B8B"/>
    <w:rsid w:val="00C32523"/>
    <w:rsid w:val="00C330EB"/>
    <w:rsid w:val="00C371C9"/>
    <w:rsid w:val="00C40E9F"/>
    <w:rsid w:val="00C41481"/>
    <w:rsid w:val="00C42469"/>
    <w:rsid w:val="00C46D91"/>
    <w:rsid w:val="00C47A07"/>
    <w:rsid w:val="00C57281"/>
    <w:rsid w:val="00C65D65"/>
    <w:rsid w:val="00C67703"/>
    <w:rsid w:val="00C7173F"/>
    <w:rsid w:val="00C730B6"/>
    <w:rsid w:val="00C754BE"/>
    <w:rsid w:val="00C76466"/>
    <w:rsid w:val="00C76B1C"/>
    <w:rsid w:val="00C84561"/>
    <w:rsid w:val="00C915DD"/>
    <w:rsid w:val="00C91B94"/>
    <w:rsid w:val="00CA6A9D"/>
    <w:rsid w:val="00CA7F6B"/>
    <w:rsid w:val="00CA7FB6"/>
    <w:rsid w:val="00CB6357"/>
    <w:rsid w:val="00CC0FA3"/>
    <w:rsid w:val="00CC1B26"/>
    <w:rsid w:val="00CC49F7"/>
    <w:rsid w:val="00CC54DB"/>
    <w:rsid w:val="00CD087D"/>
    <w:rsid w:val="00CD41CB"/>
    <w:rsid w:val="00CD5037"/>
    <w:rsid w:val="00CD5EE0"/>
    <w:rsid w:val="00CE509A"/>
    <w:rsid w:val="00CE5414"/>
    <w:rsid w:val="00CE56CA"/>
    <w:rsid w:val="00CF1287"/>
    <w:rsid w:val="00CF7826"/>
    <w:rsid w:val="00D0157A"/>
    <w:rsid w:val="00D036D8"/>
    <w:rsid w:val="00D038ED"/>
    <w:rsid w:val="00D06D26"/>
    <w:rsid w:val="00D10B75"/>
    <w:rsid w:val="00D13351"/>
    <w:rsid w:val="00D13EA0"/>
    <w:rsid w:val="00D15E25"/>
    <w:rsid w:val="00D16D7E"/>
    <w:rsid w:val="00D20368"/>
    <w:rsid w:val="00D22361"/>
    <w:rsid w:val="00D22598"/>
    <w:rsid w:val="00D26924"/>
    <w:rsid w:val="00D413F6"/>
    <w:rsid w:val="00D4231B"/>
    <w:rsid w:val="00D423A2"/>
    <w:rsid w:val="00D45BE5"/>
    <w:rsid w:val="00D520D8"/>
    <w:rsid w:val="00D52961"/>
    <w:rsid w:val="00D55048"/>
    <w:rsid w:val="00D55978"/>
    <w:rsid w:val="00D57FA4"/>
    <w:rsid w:val="00D62DE7"/>
    <w:rsid w:val="00D63AC2"/>
    <w:rsid w:val="00D665B4"/>
    <w:rsid w:val="00D7383B"/>
    <w:rsid w:val="00D7437D"/>
    <w:rsid w:val="00D7609E"/>
    <w:rsid w:val="00D81A63"/>
    <w:rsid w:val="00D81D25"/>
    <w:rsid w:val="00D85C60"/>
    <w:rsid w:val="00D908FC"/>
    <w:rsid w:val="00D94C40"/>
    <w:rsid w:val="00DA231B"/>
    <w:rsid w:val="00DA23A0"/>
    <w:rsid w:val="00DA7F66"/>
    <w:rsid w:val="00DB186F"/>
    <w:rsid w:val="00DB322A"/>
    <w:rsid w:val="00DC39FC"/>
    <w:rsid w:val="00DC4385"/>
    <w:rsid w:val="00DC484F"/>
    <w:rsid w:val="00DC4C27"/>
    <w:rsid w:val="00DC51BC"/>
    <w:rsid w:val="00DC793F"/>
    <w:rsid w:val="00DE4629"/>
    <w:rsid w:val="00DF11FD"/>
    <w:rsid w:val="00DF5254"/>
    <w:rsid w:val="00DF7BE3"/>
    <w:rsid w:val="00E12426"/>
    <w:rsid w:val="00E16408"/>
    <w:rsid w:val="00E1678E"/>
    <w:rsid w:val="00E20894"/>
    <w:rsid w:val="00E245AB"/>
    <w:rsid w:val="00E26239"/>
    <w:rsid w:val="00E2764C"/>
    <w:rsid w:val="00E27F2E"/>
    <w:rsid w:val="00E377A2"/>
    <w:rsid w:val="00E413EA"/>
    <w:rsid w:val="00E47F28"/>
    <w:rsid w:val="00E50AFE"/>
    <w:rsid w:val="00E52E49"/>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B185D"/>
    <w:rsid w:val="00EB2C4B"/>
    <w:rsid w:val="00EB4645"/>
    <w:rsid w:val="00EB512D"/>
    <w:rsid w:val="00EB7E00"/>
    <w:rsid w:val="00EC1A2C"/>
    <w:rsid w:val="00EC1FE1"/>
    <w:rsid w:val="00EC38A7"/>
    <w:rsid w:val="00ED042A"/>
    <w:rsid w:val="00ED0D4A"/>
    <w:rsid w:val="00ED2F67"/>
    <w:rsid w:val="00EE1AA8"/>
    <w:rsid w:val="00EF26C3"/>
    <w:rsid w:val="00EF419E"/>
    <w:rsid w:val="00EF489F"/>
    <w:rsid w:val="00F07875"/>
    <w:rsid w:val="00F11213"/>
    <w:rsid w:val="00F11BAA"/>
    <w:rsid w:val="00F1445A"/>
    <w:rsid w:val="00F177C1"/>
    <w:rsid w:val="00F23592"/>
    <w:rsid w:val="00F238F2"/>
    <w:rsid w:val="00F260AA"/>
    <w:rsid w:val="00F27B26"/>
    <w:rsid w:val="00F31EDC"/>
    <w:rsid w:val="00F34D02"/>
    <w:rsid w:val="00F34E84"/>
    <w:rsid w:val="00F40BAD"/>
    <w:rsid w:val="00F462B3"/>
    <w:rsid w:val="00F47069"/>
    <w:rsid w:val="00F51119"/>
    <w:rsid w:val="00F5184B"/>
    <w:rsid w:val="00F5391F"/>
    <w:rsid w:val="00F53E8A"/>
    <w:rsid w:val="00F55081"/>
    <w:rsid w:val="00F55168"/>
    <w:rsid w:val="00F5664F"/>
    <w:rsid w:val="00F626C4"/>
    <w:rsid w:val="00F643DF"/>
    <w:rsid w:val="00F64D9E"/>
    <w:rsid w:val="00F665D0"/>
    <w:rsid w:val="00F666C4"/>
    <w:rsid w:val="00F73DB7"/>
    <w:rsid w:val="00F74530"/>
    <w:rsid w:val="00F7684C"/>
    <w:rsid w:val="00F76AFC"/>
    <w:rsid w:val="00F80CBE"/>
    <w:rsid w:val="00F85198"/>
    <w:rsid w:val="00F85A91"/>
    <w:rsid w:val="00F91268"/>
    <w:rsid w:val="00F939CB"/>
    <w:rsid w:val="00F9479C"/>
    <w:rsid w:val="00F965EE"/>
    <w:rsid w:val="00F97949"/>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F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190351730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18" Type="http://schemas.openxmlformats.org/officeDocument/2006/relationships/hyperlink" Target="http://www.colombiacompra.gov.c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olombiacompra.gov.co/normativa-y-relatoria/conoce-la-relatoria" TargetMode="External"/><Relationship Id="rId17"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0374CE84-8440-454E-9A24-7C5E2FCEE30B}">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23</Pages>
  <Words>8322</Words>
  <Characters>45772</Characters>
  <Application>Microsoft Office Word</Application>
  <DocSecurity>0</DocSecurity>
  <Lines>381</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2</cp:revision>
  <cp:lastPrinted>2023-01-10T21:18:00Z</cp:lastPrinted>
  <dcterms:created xsi:type="dcterms:W3CDTF">2025-04-23T03:15:00Z</dcterms:created>
  <dcterms:modified xsi:type="dcterms:W3CDTF">2025-04-23T03:15:00Z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