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2" w:name="_Hlk50481752"/>
      <w:bookmarkEnd w:id="0"/>
      <w:bookmarkEnd w:id="1"/>
    </w:p>
    <w:bookmarkEnd w:id="2"/>
    <w:p w14:paraId="79B0C924" w14:textId="77777777" w:rsidR="00E803A6" w:rsidRDefault="00E803A6" w:rsidP="00C118DB">
      <w:pPr>
        <w:spacing w:line="276" w:lineRule="auto"/>
        <w:jc w:val="both"/>
        <w:rPr>
          <w:rFonts w:ascii="Arial" w:eastAsia="Calibri" w:hAnsi="Arial" w:cs="Arial"/>
          <w:b/>
          <w:sz w:val="22"/>
          <w:lang w:val="es-ES_tradnl"/>
        </w:rPr>
      </w:pPr>
    </w:p>
    <w:p w14:paraId="17E3F276" w14:textId="158B800A" w:rsidR="00993CD6" w:rsidRDefault="00DD7A39" w:rsidP="00993CD6">
      <w:pPr>
        <w:tabs>
          <w:tab w:val="left" w:pos="6551"/>
        </w:tabs>
        <w:jc w:val="both"/>
        <w:rPr>
          <w:rFonts w:ascii="Arial" w:eastAsia="Calibri" w:hAnsi="Arial" w:cs="Arial"/>
          <w:b/>
          <w:color w:val="000000" w:themeColor="text1"/>
          <w:sz w:val="22"/>
          <w:lang w:val="es-ES_tradnl"/>
        </w:rPr>
      </w:pPr>
      <w:r w:rsidRPr="00DD7A39">
        <w:rPr>
          <w:rStyle w:val="normaltextrun"/>
          <w:rFonts w:ascii="Arial" w:hAnsi="Arial" w:cs="Arial"/>
          <w:b/>
          <w:bCs/>
          <w:color w:val="000000"/>
          <w:sz w:val="22"/>
          <w:szCs w:val="22"/>
        </w:rPr>
        <w:t>DECRETO 1860 DE 2021</w:t>
      </w:r>
      <w:r w:rsidR="00011B68">
        <w:rPr>
          <w:rStyle w:val="normaltextrun"/>
          <w:rFonts w:ascii="Arial" w:hAnsi="Arial" w:cs="Arial"/>
          <w:b/>
          <w:bCs/>
          <w:color w:val="000000"/>
          <w:sz w:val="22"/>
          <w:szCs w:val="22"/>
        </w:rPr>
        <w:t xml:space="preserve"> </w:t>
      </w:r>
      <w:r w:rsidRPr="00DA3080">
        <w:rPr>
          <w:rStyle w:val="normaltextrun"/>
          <w:rFonts w:ascii="Arial" w:hAnsi="Arial" w:cs="Arial"/>
          <w:b/>
          <w:bCs/>
          <w:color w:val="000000"/>
          <w:sz w:val="22"/>
          <w:szCs w:val="22"/>
        </w:rPr>
        <w:t>–</w:t>
      </w:r>
      <w:r w:rsidR="00011B68">
        <w:rPr>
          <w:rStyle w:val="normaltextrun"/>
          <w:rFonts w:ascii="Arial" w:hAnsi="Arial" w:cs="Arial"/>
          <w:b/>
          <w:bCs/>
          <w:color w:val="000000"/>
          <w:sz w:val="22"/>
          <w:szCs w:val="22"/>
        </w:rPr>
        <w:t xml:space="preserve"> </w:t>
      </w:r>
      <w:r w:rsidR="00EC2DC3" w:rsidRPr="00DA3080">
        <w:rPr>
          <w:rStyle w:val="normaltextrun"/>
          <w:rFonts w:ascii="Arial" w:hAnsi="Arial" w:cs="Arial"/>
          <w:b/>
          <w:bCs/>
          <w:color w:val="000000"/>
          <w:sz w:val="22"/>
          <w:szCs w:val="22"/>
        </w:rPr>
        <w:t>Normas reglamentarias – </w:t>
      </w:r>
      <w:r>
        <w:rPr>
          <w:rStyle w:val="normaltextrun"/>
          <w:rFonts w:ascii="Arial" w:hAnsi="Arial" w:cs="Arial"/>
          <w:b/>
          <w:bCs/>
          <w:color w:val="000000"/>
          <w:sz w:val="22"/>
          <w:szCs w:val="22"/>
          <w:lang w:val="es-ES"/>
        </w:rPr>
        <w:t>M</w:t>
      </w:r>
      <w:r w:rsidRPr="00DD7A39">
        <w:rPr>
          <w:rStyle w:val="normaltextrun"/>
          <w:rFonts w:ascii="Arial" w:hAnsi="Arial" w:cs="Arial"/>
          <w:b/>
          <w:bCs/>
          <w:color w:val="000000"/>
          <w:sz w:val="22"/>
          <w:szCs w:val="22"/>
          <w:lang w:val="es-ES"/>
        </w:rPr>
        <w:t>ínima</w:t>
      </w:r>
      <w:r w:rsidRPr="00DA3080">
        <w:rPr>
          <w:rStyle w:val="normaltextrun"/>
          <w:rFonts w:ascii="Arial" w:hAnsi="Arial" w:cs="Arial"/>
          <w:b/>
          <w:bCs/>
          <w:color w:val="000000"/>
          <w:sz w:val="22"/>
          <w:szCs w:val="22"/>
          <w:lang w:val="es-ES"/>
        </w:rPr>
        <w:t xml:space="preserve"> cuantía</w:t>
      </w:r>
      <w:r w:rsidRPr="00DA3080">
        <w:rPr>
          <w:rStyle w:val="normaltextrun"/>
          <w:rFonts w:ascii="Arial" w:hAnsi="Arial" w:cs="Arial"/>
          <w:b/>
          <w:bCs/>
          <w:color w:val="000000"/>
          <w:sz w:val="22"/>
          <w:szCs w:val="22"/>
        </w:rPr>
        <w:t> </w:t>
      </w:r>
      <w:r>
        <w:rPr>
          <w:rStyle w:val="normaltextrun"/>
          <w:rFonts w:ascii="Arial" w:hAnsi="Arial" w:cs="Arial"/>
          <w:b/>
          <w:bCs/>
          <w:color w:val="000000"/>
          <w:sz w:val="22"/>
          <w:szCs w:val="22"/>
        </w:rPr>
        <w:t xml:space="preserve"> </w:t>
      </w:r>
    </w:p>
    <w:p w14:paraId="7DD14434" w14:textId="60328563" w:rsidR="00EC2DC3" w:rsidRDefault="00EC2DC3" w:rsidP="00993CD6">
      <w:pPr>
        <w:tabs>
          <w:tab w:val="left" w:pos="6551"/>
        </w:tabs>
        <w:jc w:val="both"/>
        <w:rPr>
          <w:rFonts w:ascii="Arial" w:eastAsia="Calibri" w:hAnsi="Arial" w:cs="Arial"/>
          <w:b/>
          <w:color w:val="000000" w:themeColor="text1"/>
          <w:sz w:val="22"/>
          <w:lang w:val="es-ES_tradnl"/>
        </w:rPr>
      </w:pPr>
    </w:p>
    <w:p w14:paraId="0D34029B" w14:textId="7959A999" w:rsidR="00EC2DC3" w:rsidRPr="002D0CF8" w:rsidRDefault="002D0CF8" w:rsidP="002D0CF8">
      <w:pPr>
        <w:tabs>
          <w:tab w:val="left" w:pos="6551"/>
        </w:tabs>
        <w:jc w:val="both"/>
        <w:rPr>
          <w:rFonts w:ascii="Arial" w:eastAsia="Calibri" w:hAnsi="Arial" w:cs="Arial"/>
          <w:bCs/>
          <w:color w:val="000000" w:themeColor="text1"/>
          <w:sz w:val="20"/>
          <w:szCs w:val="20"/>
        </w:rPr>
      </w:pPr>
      <w:r w:rsidRPr="002D0CF8">
        <w:rPr>
          <w:rFonts w:ascii="Arial" w:eastAsia="Calibri" w:hAnsi="Arial" w:cs="Arial"/>
          <w:color w:val="000000" w:themeColor="text1"/>
          <w:sz w:val="20"/>
          <w:szCs w:val="20"/>
          <w:lang w:val="es-ES_tradnl"/>
        </w:rPr>
        <w:t xml:space="preserve">el Gobierno Nacional expidió el Decreto 1860 del 24 de diciembre de 2021, </w:t>
      </w:r>
      <w:r w:rsidRPr="002D0CF8">
        <w:rPr>
          <w:rFonts w:ascii="Arial" w:eastAsia="Calibri" w:hAnsi="Arial" w:cs="Arial"/>
          <w:bCs/>
          <w:color w:val="000000" w:themeColor="text1"/>
          <w:sz w:val="20"/>
          <w:szCs w:val="20"/>
          <w:lang w:val="es-ES_tradnl"/>
        </w:rPr>
        <w:t xml:space="preserve">«Por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w:t>
      </w:r>
      <w:r w:rsidRPr="002D0CF8">
        <w:rPr>
          <w:rFonts w:ascii="Arial" w:eastAsia="Calibri" w:hAnsi="Arial" w:cs="Arial"/>
          <w:bCs/>
          <w:i/>
          <w:iCs/>
          <w:color w:val="000000" w:themeColor="text1"/>
          <w:sz w:val="20"/>
          <w:szCs w:val="20"/>
          <w:lang w:val="es-ES_tradnl"/>
        </w:rPr>
        <w:t>ibidem</w:t>
      </w:r>
      <w:r w:rsidRPr="002D0CF8">
        <w:rPr>
          <w:rFonts w:ascii="Arial" w:eastAsia="Calibri" w:hAnsi="Arial" w:cs="Arial"/>
          <w:bCs/>
          <w:color w:val="000000" w:themeColor="text1"/>
          <w:sz w:val="20"/>
          <w:szCs w:val="20"/>
          <w:lang w:val="es-ES_tradnl"/>
        </w:rPr>
        <w:t xml:space="preserve"> sometió a un plazo la entrada en vigencia de sus disposiciones, al señalar que «aplicarán a los procedimientos de selección cuya invitación, aviso de convocatoria o documento equivalente se publique a los tres (3) meses contados a partir de su expedición»</w:t>
      </w:r>
      <w:r>
        <w:rPr>
          <w:rFonts w:ascii="Arial" w:eastAsia="Calibri" w:hAnsi="Arial" w:cs="Arial"/>
          <w:bCs/>
          <w:color w:val="000000" w:themeColor="text1"/>
          <w:sz w:val="20"/>
          <w:szCs w:val="20"/>
          <w:vertAlign w:val="superscript"/>
          <w:lang w:val="es-ES_tradnl"/>
        </w:rPr>
        <w:t xml:space="preserve">. </w:t>
      </w:r>
      <w:r w:rsidRPr="002D0CF8">
        <w:rPr>
          <w:rFonts w:ascii="Arial" w:eastAsia="Calibri" w:hAnsi="Arial" w:cs="Arial"/>
          <w:bCs/>
          <w:color w:val="000000" w:themeColor="text1"/>
          <w:sz w:val="20"/>
          <w:szCs w:val="20"/>
          <w:lang w:val="es-ES_tradnl"/>
        </w:rPr>
        <w:t>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r>
        <w:rPr>
          <w:rFonts w:ascii="Arial" w:eastAsia="Calibri" w:hAnsi="Arial" w:cs="Arial"/>
          <w:bCs/>
          <w:color w:val="000000" w:themeColor="text1"/>
          <w:sz w:val="20"/>
          <w:szCs w:val="20"/>
          <w:lang w:val="es-ES_tradnl"/>
        </w:rPr>
        <w:t xml:space="preserve">. </w:t>
      </w:r>
    </w:p>
    <w:p w14:paraId="2A58086E" w14:textId="77777777" w:rsidR="00015BD4" w:rsidRDefault="00015BD4" w:rsidP="00015BD4">
      <w:pPr>
        <w:spacing w:line="276" w:lineRule="auto"/>
        <w:jc w:val="both"/>
        <w:rPr>
          <w:rFonts w:ascii="Arial" w:eastAsia="Calibri" w:hAnsi="Arial" w:cs="Arial"/>
          <w:b/>
          <w:sz w:val="22"/>
          <w:lang w:val="es-ES_tradnl"/>
        </w:rPr>
      </w:pPr>
    </w:p>
    <w:p w14:paraId="0E483590" w14:textId="340AF428" w:rsidR="00015BD4" w:rsidRDefault="00015BD4" w:rsidP="00015BD4">
      <w:pPr>
        <w:tabs>
          <w:tab w:val="left" w:pos="6551"/>
        </w:tabs>
        <w:jc w:val="both"/>
        <w:rPr>
          <w:rFonts w:ascii="Arial" w:eastAsia="Calibri" w:hAnsi="Arial" w:cs="Arial"/>
          <w:b/>
          <w:color w:val="000000" w:themeColor="text1"/>
          <w:sz w:val="22"/>
          <w:lang w:val="es-ES_tradnl"/>
        </w:rPr>
      </w:pPr>
      <w:r w:rsidRPr="00DA3080">
        <w:rPr>
          <w:rStyle w:val="normaltextrun"/>
          <w:rFonts w:ascii="Arial" w:hAnsi="Arial" w:cs="Arial"/>
          <w:b/>
          <w:bCs/>
          <w:color w:val="000000"/>
          <w:sz w:val="22"/>
          <w:szCs w:val="22"/>
          <w:lang w:val="es-ES"/>
        </w:rPr>
        <w:t>MÍNIMA CUANTÍA</w:t>
      </w:r>
      <w:r w:rsidRPr="00DA3080">
        <w:rPr>
          <w:rStyle w:val="normaltextrun"/>
          <w:rFonts w:ascii="Arial" w:hAnsi="Arial" w:cs="Arial"/>
          <w:b/>
          <w:bCs/>
          <w:color w:val="000000"/>
          <w:sz w:val="22"/>
          <w:szCs w:val="22"/>
        </w:rPr>
        <w:t> – </w:t>
      </w:r>
      <w:r>
        <w:rPr>
          <w:rStyle w:val="normaltextrun"/>
          <w:rFonts w:ascii="Arial" w:hAnsi="Arial" w:cs="Arial"/>
          <w:b/>
          <w:bCs/>
          <w:color w:val="000000"/>
          <w:sz w:val="22"/>
          <w:szCs w:val="22"/>
        </w:rPr>
        <w:t>Capacidad financiera</w:t>
      </w:r>
      <w:r w:rsidR="00DD7A39">
        <w:rPr>
          <w:rStyle w:val="normaltextrun"/>
          <w:rFonts w:ascii="Arial" w:hAnsi="Arial" w:cs="Arial"/>
          <w:b/>
          <w:bCs/>
          <w:color w:val="000000"/>
          <w:sz w:val="22"/>
          <w:szCs w:val="22"/>
        </w:rPr>
        <w:t xml:space="preserve"> </w:t>
      </w:r>
      <w:r w:rsidR="00DD7A39" w:rsidRPr="00DA3080">
        <w:rPr>
          <w:rStyle w:val="normaltextrun"/>
          <w:rFonts w:ascii="Arial" w:hAnsi="Arial" w:cs="Arial"/>
          <w:b/>
          <w:bCs/>
          <w:color w:val="000000"/>
          <w:sz w:val="22"/>
          <w:szCs w:val="22"/>
        </w:rPr>
        <w:t>– </w:t>
      </w:r>
      <w:r w:rsidR="00DD7A39">
        <w:rPr>
          <w:rStyle w:val="normaltextrun"/>
          <w:rFonts w:ascii="Arial" w:hAnsi="Arial" w:cs="Arial"/>
          <w:b/>
          <w:bCs/>
          <w:color w:val="000000"/>
          <w:sz w:val="22"/>
          <w:szCs w:val="22"/>
        </w:rPr>
        <w:t>RUP</w:t>
      </w:r>
    </w:p>
    <w:p w14:paraId="3B7A5ABF" w14:textId="77777777" w:rsidR="00015BD4" w:rsidRDefault="00015BD4" w:rsidP="00993CD6">
      <w:pPr>
        <w:tabs>
          <w:tab w:val="left" w:pos="6551"/>
        </w:tabs>
        <w:jc w:val="both"/>
        <w:rPr>
          <w:rStyle w:val="normaltextrun"/>
          <w:rFonts w:ascii="Arial" w:hAnsi="Arial" w:cs="Arial"/>
          <w:b/>
          <w:bCs/>
          <w:color w:val="000000"/>
          <w:sz w:val="22"/>
          <w:szCs w:val="22"/>
          <w:lang w:val="es-ES"/>
        </w:rPr>
      </w:pPr>
    </w:p>
    <w:p w14:paraId="213A8C99" w14:textId="6D520B12" w:rsidR="002D0CF8" w:rsidRPr="002D0CF8" w:rsidRDefault="00DD7A39" w:rsidP="002D0CF8">
      <w:pPr>
        <w:tabs>
          <w:tab w:val="left" w:pos="6551"/>
        </w:tabs>
        <w:jc w:val="both"/>
        <w:rPr>
          <w:rFonts w:ascii="Arial" w:hAnsi="Arial" w:cs="Arial"/>
          <w:color w:val="000000"/>
          <w:sz w:val="20"/>
          <w:szCs w:val="20"/>
          <w:lang w:val="es-ES"/>
        </w:rPr>
      </w:pPr>
      <w:r>
        <w:rPr>
          <w:rFonts w:ascii="Arial" w:hAnsi="Arial" w:cs="Arial"/>
          <w:color w:val="000000"/>
          <w:sz w:val="20"/>
          <w:szCs w:val="20"/>
          <w:lang w:val="es-ES_tradnl"/>
        </w:rPr>
        <w:t xml:space="preserve">[…] </w:t>
      </w:r>
      <w:r w:rsidR="002D0CF8" w:rsidRPr="002D0CF8">
        <w:rPr>
          <w:rFonts w:ascii="Arial" w:hAnsi="Arial" w:cs="Arial"/>
          <w:color w:val="000000"/>
          <w:sz w:val="20"/>
          <w:szCs w:val="20"/>
          <w:lang w:val="es-ES_tradnl"/>
        </w:rPr>
        <w:t xml:space="preserve">en el evento en que la entidad determine la necesidad de exigir capacidad financiera en un proceso de mínima cuantía, no podrá requerir la presentación del RUP para realizar dicha verificación. En efecto, de conformidad con el artículo 6 de la Ley 1150 de 2007 </w:t>
      </w:r>
      <w:r w:rsidR="002D0CF8" w:rsidRPr="002D0CF8">
        <w:rPr>
          <w:rFonts w:ascii="Arial" w:hAnsi="Arial" w:cs="Arial"/>
          <w:color w:val="000000"/>
          <w:sz w:val="20"/>
          <w:szCs w:val="20"/>
          <w:lang w:val="es-ES"/>
        </w:rPr>
        <w:t xml:space="preserve">el RUP no es exigible en algunos procedimientos de contratación, como en la contratación directa, </w:t>
      </w:r>
      <w:r w:rsidR="002D0CF8" w:rsidRPr="002D0CF8">
        <w:rPr>
          <w:rFonts w:ascii="Arial" w:hAnsi="Arial" w:cs="Arial"/>
          <w:i/>
          <w:iCs/>
          <w:color w:val="000000"/>
          <w:sz w:val="20"/>
          <w:szCs w:val="20"/>
          <w:lang w:val="es-ES"/>
        </w:rPr>
        <w:t>la mínima cuantía</w:t>
      </w:r>
      <w:r w:rsidR="002D0CF8" w:rsidRPr="002D0CF8">
        <w:rPr>
          <w:rFonts w:ascii="Arial" w:hAnsi="Arial" w:cs="Arial"/>
          <w:color w:val="000000"/>
          <w:sz w:val="20"/>
          <w:szCs w:val="20"/>
          <w:lang w:val="es-ES"/>
        </w:rPr>
        <w:t xml:space="preserve">,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w:t>
      </w:r>
    </w:p>
    <w:p w14:paraId="06FF7597" w14:textId="266E3773" w:rsidR="002D0CF8" w:rsidRDefault="002D0CF8" w:rsidP="002D0CF8">
      <w:pPr>
        <w:tabs>
          <w:tab w:val="left" w:pos="6551"/>
        </w:tabs>
        <w:jc w:val="both"/>
        <w:rPr>
          <w:rFonts w:ascii="Arial" w:hAnsi="Arial" w:cs="Arial"/>
          <w:color w:val="000000"/>
          <w:sz w:val="20"/>
          <w:szCs w:val="20"/>
          <w:lang w:val="es-ES"/>
        </w:rPr>
      </w:pPr>
      <w:r w:rsidRPr="002D0CF8">
        <w:rPr>
          <w:rFonts w:ascii="Arial" w:hAnsi="Arial" w:cs="Arial"/>
          <w:color w:val="000000"/>
          <w:sz w:val="20"/>
          <w:szCs w:val="20"/>
          <w:lang w:val="es-ES"/>
        </w:rPr>
        <w:t>Por ello, las entidades estatales deben verificar directamente el cumplimiento de los requisitos habilitantes, como establece en inciso segundo del artículo 6 de la Ley 1150 de 2007. Las indicadas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Pr>
          <w:rFonts w:ascii="Arial" w:hAnsi="Arial" w:cs="Arial"/>
          <w:color w:val="000000"/>
          <w:sz w:val="20"/>
          <w:szCs w:val="20"/>
          <w:lang w:val="es-ES"/>
        </w:rPr>
        <w:t>.</w:t>
      </w:r>
    </w:p>
    <w:p w14:paraId="1AD632F9" w14:textId="77777777" w:rsidR="002D0CF8" w:rsidRDefault="002D0CF8" w:rsidP="002D0CF8">
      <w:pPr>
        <w:tabs>
          <w:tab w:val="left" w:pos="6551"/>
        </w:tabs>
        <w:jc w:val="both"/>
        <w:rPr>
          <w:rFonts w:ascii="Arial" w:hAnsi="Arial" w:cs="Arial"/>
          <w:color w:val="000000"/>
          <w:sz w:val="20"/>
          <w:szCs w:val="20"/>
          <w:lang w:val="es-ES"/>
        </w:rPr>
      </w:pPr>
    </w:p>
    <w:p w14:paraId="7E297F47" w14:textId="4B1D71EC" w:rsidR="00993CD6" w:rsidRDefault="00DD7A39" w:rsidP="00993CD6">
      <w:pPr>
        <w:tabs>
          <w:tab w:val="left" w:pos="6551"/>
        </w:tabs>
        <w:jc w:val="both"/>
        <w:rPr>
          <w:rFonts w:ascii="Arial" w:hAnsi="Arial" w:cs="Arial"/>
          <w:b/>
          <w:bCs/>
          <w:color w:val="000000"/>
          <w:sz w:val="22"/>
          <w:szCs w:val="22"/>
          <w:lang w:val="es-ES_tradnl"/>
        </w:rPr>
      </w:pPr>
      <w:r>
        <w:rPr>
          <w:rStyle w:val="normaltextrun"/>
          <w:rFonts w:ascii="Arial" w:hAnsi="Arial" w:cs="Arial"/>
          <w:b/>
          <w:bCs/>
          <w:color w:val="000000"/>
          <w:sz w:val="22"/>
          <w:szCs w:val="22"/>
        </w:rPr>
        <w:t xml:space="preserve">GRANDES ALMACENES </w:t>
      </w:r>
      <w:r w:rsidR="00EC2DC3" w:rsidRPr="00DA3080">
        <w:rPr>
          <w:rStyle w:val="normaltextrun"/>
          <w:rFonts w:ascii="Arial" w:hAnsi="Arial" w:cs="Arial"/>
          <w:b/>
          <w:bCs/>
          <w:color w:val="000000"/>
          <w:sz w:val="22"/>
          <w:szCs w:val="22"/>
        </w:rPr>
        <w:t>–</w:t>
      </w:r>
      <w:r w:rsidR="00EC2DC3">
        <w:rPr>
          <w:rStyle w:val="normaltextrun"/>
          <w:rFonts w:ascii="Arial" w:hAnsi="Arial" w:cs="Arial"/>
          <w:b/>
          <w:bCs/>
          <w:color w:val="000000"/>
          <w:sz w:val="22"/>
          <w:szCs w:val="22"/>
        </w:rPr>
        <w:t xml:space="preserve"> Procedimiento</w:t>
      </w:r>
      <w:r w:rsidR="00011B68">
        <w:rPr>
          <w:rStyle w:val="normaltextrun"/>
          <w:rFonts w:ascii="Arial" w:hAnsi="Arial" w:cs="Arial"/>
          <w:b/>
          <w:bCs/>
          <w:color w:val="000000"/>
          <w:sz w:val="22"/>
          <w:szCs w:val="22"/>
        </w:rPr>
        <w:t xml:space="preserve"> </w:t>
      </w:r>
    </w:p>
    <w:p w14:paraId="3DF6DA02" w14:textId="42164A2E" w:rsidR="00EC2DC3" w:rsidRDefault="00EC2DC3" w:rsidP="00993CD6">
      <w:pPr>
        <w:tabs>
          <w:tab w:val="left" w:pos="6551"/>
        </w:tabs>
        <w:jc w:val="both"/>
        <w:rPr>
          <w:rFonts w:ascii="Arial" w:hAnsi="Arial" w:cs="Arial"/>
          <w:b/>
          <w:bCs/>
          <w:color w:val="000000"/>
          <w:sz w:val="22"/>
          <w:szCs w:val="22"/>
          <w:lang w:val="es-ES_tradnl"/>
        </w:rPr>
      </w:pPr>
    </w:p>
    <w:p w14:paraId="6C289D2D" w14:textId="5A3CF343" w:rsidR="00EC2DC3" w:rsidRPr="00EC2DC3" w:rsidRDefault="00EC2DC3" w:rsidP="00EC2DC3">
      <w:pPr>
        <w:tabs>
          <w:tab w:val="left" w:pos="6551"/>
        </w:tabs>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Pr="00EC2DC3">
        <w:rPr>
          <w:rFonts w:ascii="Arial" w:eastAsia="Calibri" w:hAnsi="Arial" w:cs="Arial"/>
          <w:color w:val="000000" w:themeColor="text1"/>
          <w:sz w:val="20"/>
          <w:szCs w:val="20"/>
          <w:lang w:val="es-ES_tradnl"/>
        </w:rPr>
        <w:t xml:space="preserve">las reglas de este procedimiento especial se pueden </w:t>
      </w:r>
      <w:r w:rsidR="00DD7A39">
        <w:rPr>
          <w:rFonts w:ascii="Arial" w:eastAsia="Calibri" w:hAnsi="Arial" w:cs="Arial"/>
          <w:color w:val="000000" w:themeColor="text1"/>
          <w:sz w:val="20"/>
          <w:szCs w:val="20"/>
          <w:lang w:val="es-ES_tradnl"/>
        </w:rPr>
        <w:t>resumir</w:t>
      </w:r>
      <w:r w:rsidRPr="00EC2DC3">
        <w:rPr>
          <w:rFonts w:ascii="Arial" w:eastAsia="Calibri" w:hAnsi="Arial" w:cs="Arial"/>
          <w:color w:val="000000" w:themeColor="text1"/>
          <w:sz w:val="20"/>
          <w:szCs w:val="20"/>
          <w:lang w:val="es-ES_tradnl"/>
        </w:rPr>
        <w:t xml:space="preserve"> así: </w:t>
      </w:r>
      <w:r>
        <w:rPr>
          <w:rFonts w:ascii="Arial" w:eastAsia="Calibri" w:hAnsi="Arial" w:cs="Arial"/>
          <w:color w:val="000000" w:themeColor="text1"/>
          <w:sz w:val="20"/>
          <w:szCs w:val="20"/>
          <w:lang w:val="es-ES_tradnl"/>
        </w:rPr>
        <w:t xml:space="preserve"> </w:t>
      </w:r>
      <w:r w:rsidRPr="00EC2DC3">
        <w:rPr>
          <w:rFonts w:ascii="Arial" w:eastAsia="Calibri" w:hAnsi="Arial" w:cs="Arial"/>
          <w:color w:val="000000" w:themeColor="text1"/>
          <w:sz w:val="20"/>
          <w:szCs w:val="20"/>
          <w:lang w:val="es-ES_tradnl"/>
        </w:rPr>
        <w:t xml:space="preserve">i) Las entidades deberán elaborar la invitación de la mínima cuantía dirigida a los grandes almacenes, la cual debe publicarse en el SECOP y en la página web de la entidad. </w:t>
      </w:r>
      <w:r>
        <w:rPr>
          <w:rFonts w:ascii="Arial" w:eastAsia="Calibri" w:hAnsi="Arial" w:cs="Arial"/>
          <w:color w:val="000000" w:themeColor="text1"/>
          <w:sz w:val="20"/>
          <w:szCs w:val="20"/>
          <w:lang w:val="es-ES_tradnl"/>
        </w:rPr>
        <w:t xml:space="preserve">[…]. </w:t>
      </w:r>
      <w:proofErr w:type="spellStart"/>
      <w:r w:rsidRPr="00EC2DC3">
        <w:rPr>
          <w:rFonts w:ascii="Arial" w:eastAsia="Calibri" w:hAnsi="Arial" w:cs="Arial"/>
          <w:color w:val="000000" w:themeColor="text1"/>
          <w:sz w:val="20"/>
          <w:szCs w:val="20"/>
          <w:lang w:val="es-ES_tradnl"/>
        </w:rPr>
        <w:t>ii</w:t>
      </w:r>
      <w:proofErr w:type="spellEnd"/>
      <w:r w:rsidRPr="00EC2DC3">
        <w:rPr>
          <w:rFonts w:ascii="Arial" w:eastAsia="Calibri" w:hAnsi="Arial" w:cs="Arial"/>
          <w:color w:val="000000" w:themeColor="text1"/>
          <w:sz w:val="20"/>
          <w:szCs w:val="20"/>
          <w:lang w:val="es-ES_tradnl"/>
        </w:rPr>
        <w:t xml:space="preserve">) En esta invitación se debe incorporar el conjunto de reglas que definen el proceso de contratación. </w:t>
      </w:r>
      <w:r>
        <w:rPr>
          <w:rFonts w:ascii="Arial" w:eastAsia="Calibri" w:hAnsi="Arial" w:cs="Arial"/>
          <w:color w:val="000000" w:themeColor="text1"/>
          <w:sz w:val="20"/>
          <w:szCs w:val="20"/>
          <w:lang w:val="es-ES_tradnl"/>
        </w:rPr>
        <w:t xml:space="preserve">[…]. </w:t>
      </w:r>
      <w:proofErr w:type="spellStart"/>
      <w:r w:rsidRPr="00EC2DC3">
        <w:rPr>
          <w:rFonts w:ascii="Arial" w:eastAsia="Calibri" w:hAnsi="Arial" w:cs="Arial"/>
          <w:color w:val="000000" w:themeColor="text1"/>
          <w:sz w:val="20"/>
          <w:szCs w:val="20"/>
          <w:lang w:val="es-ES_tradnl"/>
        </w:rPr>
        <w:t>iii</w:t>
      </w:r>
      <w:proofErr w:type="spellEnd"/>
      <w:r w:rsidRPr="00EC2DC3">
        <w:rPr>
          <w:rFonts w:ascii="Arial" w:eastAsia="Calibri" w:hAnsi="Arial" w:cs="Arial"/>
          <w:color w:val="000000" w:themeColor="text1"/>
          <w:sz w:val="20"/>
          <w:szCs w:val="20"/>
          <w:lang w:val="es-ES_tradnl"/>
        </w:rPr>
        <w:t xml:space="preserve">) Las cotizaciones presentadas por los grandes almacenes deberán ser evaluadas por la entidad, seleccionando a aquella que ofrezca el menor precio del mercado. En este caso, el criterio para escoger la mejor oferta es el menor precio teniendo en cuenta el cumplimiento de las condiciones requeridas. </w:t>
      </w:r>
      <w:proofErr w:type="spellStart"/>
      <w:r w:rsidRPr="00EC2DC3">
        <w:rPr>
          <w:rFonts w:ascii="Arial" w:eastAsia="Calibri" w:hAnsi="Arial" w:cs="Arial"/>
          <w:color w:val="000000" w:themeColor="text1"/>
          <w:sz w:val="20"/>
          <w:szCs w:val="20"/>
          <w:lang w:val="es-ES_tradnl"/>
        </w:rPr>
        <w:t>iv</w:t>
      </w:r>
      <w:proofErr w:type="spellEnd"/>
      <w:r w:rsidRPr="00EC2DC3">
        <w:rPr>
          <w:rFonts w:ascii="Arial" w:eastAsia="Calibri" w:hAnsi="Arial" w:cs="Arial"/>
          <w:color w:val="000000" w:themeColor="text1"/>
          <w:sz w:val="20"/>
          <w:szCs w:val="20"/>
          <w:lang w:val="es-ES_tradnl"/>
        </w:rPr>
        <w:t xml:space="preserve">) En caso de empate deberá aplicarse los criterios de desempates establecidos en el artículo 2.2.1.2.4.2.17 del Decreto 1082 de 2015. </w:t>
      </w:r>
    </w:p>
    <w:p w14:paraId="4DC6A3D7" w14:textId="77777777" w:rsidR="00EC2DC3" w:rsidRPr="00A7133F" w:rsidRDefault="00EC2DC3" w:rsidP="00993CD6">
      <w:pPr>
        <w:tabs>
          <w:tab w:val="left" w:pos="6551"/>
        </w:tabs>
        <w:jc w:val="both"/>
        <w:rPr>
          <w:rFonts w:ascii="Arial" w:eastAsia="Calibri" w:hAnsi="Arial" w:cs="Arial"/>
          <w:b/>
          <w:color w:val="000000" w:themeColor="text1"/>
          <w:sz w:val="22"/>
          <w:lang w:val="es-ES_tradnl"/>
        </w:rPr>
      </w:pPr>
    </w:p>
    <w:p w14:paraId="1904B6E3" w14:textId="0790AE60" w:rsidR="00993CD6" w:rsidRPr="00A7133F" w:rsidRDefault="00DD7A39" w:rsidP="00993CD6">
      <w:pPr>
        <w:tabs>
          <w:tab w:val="left" w:pos="6551"/>
        </w:tabs>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CONVOCATORIAS LIMITADAS</w:t>
      </w:r>
      <w:r w:rsidR="00011B68">
        <w:rPr>
          <w:rFonts w:ascii="Arial" w:eastAsia="Calibri" w:hAnsi="Arial" w:cs="Arial"/>
          <w:b/>
          <w:color w:val="000000" w:themeColor="text1"/>
          <w:sz w:val="22"/>
          <w:lang w:val="es-ES_tradnl"/>
        </w:rPr>
        <w:t xml:space="preserve"> </w:t>
      </w:r>
      <w:r w:rsidR="00BD3C3D">
        <w:rPr>
          <w:rFonts w:ascii="Arial" w:eastAsia="Calibri" w:hAnsi="Arial" w:cs="Arial"/>
          <w:b/>
          <w:color w:val="000000" w:themeColor="text1"/>
          <w:sz w:val="22"/>
          <w:lang w:val="es-ES_tradnl"/>
        </w:rPr>
        <w:t xml:space="preserve">A MIPYME </w:t>
      </w:r>
      <w:r w:rsidR="00EC2DC3" w:rsidRPr="00DA3080">
        <w:rPr>
          <w:rStyle w:val="normaltextrun"/>
          <w:rFonts w:ascii="Arial" w:hAnsi="Arial" w:cs="Arial"/>
          <w:b/>
          <w:bCs/>
          <w:color w:val="000000"/>
          <w:sz w:val="22"/>
          <w:szCs w:val="22"/>
        </w:rPr>
        <w:t>–</w:t>
      </w:r>
      <w:r w:rsidR="00EC2DC3">
        <w:rPr>
          <w:rStyle w:val="normaltextrun"/>
          <w:rFonts w:ascii="Arial" w:hAnsi="Arial" w:cs="Arial"/>
          <w:b/>
          <w:bCs/>
          <w:color w:val="000000"/>
          <w:sz w:val="22"/>
          <w:szCs w:val="22"/>
        </w:rPr>
        <w:t xml:space="preserve"> A</w:t>
      </w:r>
      <w:r w:rsidR="00011B68">
        <w:rPr>
          <w:rStyle w:val="normaltextrun"/>
          <w:rFonts w:ascii="Arial" w:hAnsi="Arial" w:cs="Arial"/>
          <w:b/>
          <w:bCs/>
          <w:color w:val="000000"/>
          <w:sz w:val="22"/>
          <w:szCs w:val="22"/>
        </w:rPr>
        <w:t>plicación</w:t>
      </w:r>
      <w:r w:rsidR="00EC2DC3">
        <w:rPr>
          <w:rStyle w:val="normaltextrun"/>
          <w:rFonts w:ascii="Arial" w:hAnsi="Arial" w:cs="Arial"/>
          <w:b/>
          <w:bCs/>
          <w:color w:val="000000"/>
          <w:sz w:val="22"/>
          <w:szCs w:val="22"/>
        </w:rPr>
        <w:t xml:space="preserve"> </w:t>
      </w:r>
      <w:r w:rsidR="00993CD6" w:rsidRPr="00A7133F">
        <w:rPr>
          <w:rFonts w:ascii="Arial" w:eastAsia="Calibri" w:hAnsi="Arial" w:cs="Arial"/>
          <w:b/>
          <w:color w:val="000000" w:themeColor="text1"/>
          <w:sz w:val="22"/>
          <w:lang w:val="es-ES_tradnl"/>
        </w:rPr>
        <w:t xml:space="preserve">  </w:t>
      </w:r>
    </w:p>
    <w:p w14:paraId="64E8F21D" w14:textId="77777777" w:rsidR="00993CD6" w:rsidRPr="00A7133F" w:rsidRDefault="00993CD6" w:rsidP="00993CD6">
      <w:pPr>
        <w:tabs>
          <w:tab w:val="left" w:pos="6551"/>
        </w:tabs>
        <w:spacing w:line="276" w:lineRule="auto"/>
        <w:jc w:val="both"/>
        <w:rPr>
          <w:rFonts w:ascii="Arial" w:hAnsi="Arial" w:cs="Arial"/>
          <w:noProof/>
          <w:color w:val="000000" w:themeColor="text1"/>
          <w:sz w:val="22"/>
          <w:lang w:val="es-ES_tradnl"/>
        </w:rPr>
      </w:pPr>
    </w:p>
    <w:p w14:paraId="501E592E" w14:textId="04AC4E26" w:rsidR="00C80365" w:rsidRPr="00C80365" w:rsidRDefault="00C80365" w:rsidP="00C80365">
      <w:pPr>
        <w:tabs>
          <w:tab w:val="left" w:pos="6551"/>
        </w:tabs>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_tradnl"/>
        </w:rPr>
        <w:lastRenderedPageBreak/>
        <w:t>E</w:t>
      </w:r>
      <w:r w:rsidRPr="00C80365">
        <w:rPr>
          <w:rFonts w:ascii="Arial" w:eastAsia="Calibri" w:hAnsi="Arial" w:cs="Arial"/>
          <w:bCs/>
          <w:color w:val="000000" w:themeColor="text1"/>
          <w:sz w:val="20"/>
          <w:szCs w:val="20"/>
          <w:lang w:val="es-ES_tradnl"/>
        </w:rPr>
        <w:t xml:space="preserve">l artículo 5 del Decreto 1860 de 2021 modificó </w:t>
      </w:r>
      <w:r w:rsidRPr="00C80365">
        <w:rPr>
          <w:rFonts w:ascii="Arial" w:eastAsia="Calibri" w:hAnsi="Arial" w:cs="Arial"/>
          <w:bCs/>
          <w:color w:val="000000" w:themeColor="text1"/>
          <w:sz w:val="20"/>
          <w:szCs w:val="20"/>
        </w:rPr>
        <w:t>los artículos 2.2.1.2.4.2.2., 2.2.1.2.4.2.3. y 2.2.1.2.4.2.4. de la Subsección 2 de la Sección 4 del Capítulo 2 del Título 1 de la Parte 2 del Libro 2 del Decreto 1082 de 2015, reglamentando</w:t>
      </w:r>
      <w:r w:rsidRPr="00C80365">
        <w:rPr>
          <w:rFonts w:ascii="Arial" w:eastAsia="Calibri" w:hAnsi="Arial" w:cs="Arial"/>
          <w:bCs/>
          <w:color w:val="000000" w:themeColor="text1"/>
          <w:sz w:val="20"/>
          <w:szCs w:val="20"/>
          <w:lang w:val="es-ES_tradnl"/>
        </w:rPr>
        <w:t xml:space="preserve"> las convocatorias limitadas a </w:t>
      </w:r>
      <w:proofErr w:type="spellStart"/>
      <w:r w:rsidRPr="00C80365">
        <w:rPr>
          <w:rFonts w:ascii="Arial" w:eastAsia="Calibri" w:hAnsi="Arial" w:cs="Arial"/>
          <w:bCs/>
          <w:color w:val="000000" w:themeColor="text1"/>
          <w:sz w:val="20"/>
          <w:szCs w:val="20"/>
          <w:lang w:val="es-ES_tradnl"/>
        </w:rPr>
        <w:t>Mipyme</w:t>
      </w:r>
      <w:proofErr w:type="spellEnd"/>
      <w:r w:rsidRPr="00C80365">
        <w:rPr>
          <w:rFonts w:ascii="Arial" w:eastAsia="Calibri" w:hAnsi="Arial" w:cs="Arial"/>
          <w:bCs/>
          <w:color w:val="000000" w:themeColor="text1"/>
          <w:sz w:val="20"/>
          <w:szCs w:val="20"/>
          <w:lang w:val="es-ES_tradnl"/>
        </w:rPr>
        <w:t xml:space="preserve">, con fundamento en lo establecido en el artículo 34 de la Ley 2069 de 2020. Esta nueva Subsección 2 contempla los siguientes aspectos: i) requisitos para limitar la convocatoria de los </w:t>
      </w:r>
      <w:r w:rsidRPr="00C80365">
        <w:rPr>
          <w:rFonts w:ascii="Arial" w:eastAsia="Calibri" w:hAnsi="Arial" w:cs="Arial"/>
          <w:bCs/>
          <w:color w:val="000000" w:themeColor="text1"/>
          <w:sz w:val="20"/>
          <w:szCs w:val="20"/>
        </w:rPr>
        <w:t>procesos de contratación con pluralidad de oferentes</w:t>
      </w:r>
      <w:r w:rsidRPr="00C80365">
        <w:rPr>
          <w:rFonts w:ascii="Arial" w:eastAsia="Calibri" w:hAnsi="Arial" w:cs="Arial"/>
          <w:bCs/>
          <w:color w:val="000000" w:themeColor="text1"/>
          <w:sz w:val="20"/>
          <w:szCs w:val="20"/>
          <w:lang w:val="es-ES_tradnl"/>
        </w:rPr>
        <w:t xml:space="preserve"> a las </w:t>
      </w:r>
      <w:proofErr w:type="spellStart"/>
      <w:r w:rsidRPr="00C80365">
        <w:rPr>
          <w:rFonts w:ascii="Arial" w:eastAsia="Calibri" w:hAnsi="Arial" w:cs="Arial"/>
          <w:bCs/>
          <w:color w:val="000000" w:themeColor="text1"/>
          <w:sz w:val="20"/>
          <w:szCs w:val="20"/>
          <w:lang w:val="es-ES_tradnl"/>
        </w:rPr>
        <w:t>Mipyme</w:t>
      </w:r>
      <w:proofErr w:type="spellEnd"/>
      <w:r w:rsidRPr="00C80365">
        <w:rPr>
          <w:rFonts w:ascii="Arial" w:eastAsia="Calibri" w:hAnsi="Arial" w:cs="Arial"/>
          <w:bCs/>
          <w:color w:val="000000" w:themeColor="text1"/>
          <w:sz w:val="20"/>
          <w:szCs w:val="20"/>
          <w:lang w:val="es-ES_tradnl"/>
        </w:rPr>
        <w:t xml:space="preserve"> colombianas con mínimo un (1) año de existencia – artículo </w:t>
      </w:r>
      <w:r w:rsidRPr="00C80365">
        <w:rPr>
          <w:rFonts w:ascii="Arial" w:eastAsia="Calibri" w:hAnsi="Arial" w:cs="Arial"/>
          <w:bCs/>
          <w:color w:val="000000" w:themeColor="text1"/>
          <w:sz w:val="20"/>
          <w:szCs w:val="20"/>
        </w:rPr>
        <w:t>2.2.1.2.4.2.2-</w:t>
      </w:r>
      <w:r w:rsidRPr="00C80365">
        <w:rPr>
          <w:rFonts w:ascii="Arial" w:eastAsia="Calibri" w:hAnsi="Arial" w:cs="Arial"/>
          <w:bCs/>
          <w:color w:val="000000" w:themeColor="text1"/>
          <w:sz w:val="20"/>
          <w:szCs w:val="20"/>
          <w:lang w:val="es-ES_tradnl"/>
        </w:rPr>
        <w:t xml:space="preserve"> , </w:t>
      </w:r>
      <w:proofErr w:type="spellStart"/>
      <w:r w:rsidRPr="00C80365">
        <w:rPr>
          <w:rFonts w:ascii="Arial" w:eastAsia="Calibri" w:hAnsi="Arial" w:cs="Arial"/>
          <w:bCs/>
          <w:color w:val="000000" w:themeColor="text1"/>
          <w:sz w:val="20"/>
          <w:szCs w:val="20"/>
          <w:lang w:val="es-ES_tradnl"/>
        </w:rPr>
        <w:t>ii</w:t>
      </w:r>
      <w:proofErr w:type="spellEnd"/>
      <w:r w:rsidRPr="00C80365">
        <w:rPr>
          <w:rFonts w:ascii="Arial" w:eastAsia="Calibri" w:hAnsi="Arial" w:cs="Arial"/>
          <w:bCs/>
          <w:color w:val="000000" w:themeColor="text1"/>
          <w:sz w:val="20"/>
          <w:szCs w:val="20"/>
          <w:lang w:val="es-ES_tradnl"/>
        </w:rPr>
        <w:t xml:space="preserve">) desarrolla las </w:t>
      </w:r>
      <w:r w:rsidRPr="00C80365">
        <w:rPr>
          <w:rFonts w:ascii="Arial" w:eastAsia="Calibri" w:hAnsi="Arial" w:cs="Arial"/>
          <w:bCs/>
          <w:color w:val="000000" w:themeColor="text1"/>
          <w:sz w:val="20"/>
          <w:szCs w:val="20"/>
        </w:rPr>
        <w:t xml:space="preserve">convocatorias limitadas a </w:t>
      </w:r>
      <w:proofErr w:type="spellStart"/>
      <w:r w:rsidRPr="00C80365">
        <w:rPr>
          <w:rFonts w:ascii="Arial" w:eastAsia="Calibri" w:hAnsi="Arial" w:cs="Arial"/>
          <w:bCs/>
          <w:color w:val="000000" w:themeColor="text1"/>
          <w:sz w:val="20"/>
          <w:szCs w:val="20"/>
        </w:rPr>
        <w:t>Mipyme</w:t>
      </w:r>
      <w:proofErr w:type="spellEnd"/>
      <w:r w:rsidRPr="00C80365">
        <w:rPr>
          <w:rFonts w:ascii="Arial" w:eastAsia="Calibri" w:hAnsi="Arial" w:cs="Arial"/>
          <w:bCs/>
          <w:color w:val="000000" w:themeColor="text1"/>
          <w:sz w:val="20"/>
          <w:szCs w:val="20"/>
        </w:rPr>
        <w:t xml:space="preserve"> colombianas que tengan domicilio en los departamentos o municipios en donde se va a ejecutar el contrato – artículo 2.2.1.2.4.2.3.,</w:t>
      </w:r>
      <w:r w:rsidRPr="00C80365">
        <w:rPr>
          <w:rFonts w:ascii="Arial" w:eastAsia="Calibri" w:hAnsi="Arial" w:cs="Arial"/>
          <w:bCs/>
          <w:color w:val="000000" w:themeColor="text1"/>
          <w:sz w:val="20"/>
          <w:szCs w:val="20"/>
          <w:lang w:val="es-ES_tradnl"/>
        </w:rPr>
        <w:t xml:space="preserve"> y </w:t>
      </w:r>
      <w:proofErr w:type="spellStart"/>
      <w:r w:rsidRPr="00C80365">
        <w:rPr>
          <w:rFonts w:ascii="Arial" w:eastAsia="Calibri" w:hAnsi="Arial" w:cs="Arial"/>
          <w:bCs/>
          <w:color w:val="000000" w:themeColor="text1"/>
          <w:sz w:val="20"/>
          <w:szCs w:val="20"/>
          <w:lang w:val="es-ES_tradnl"/>
        </w:rPr>
        <w:t>iii</w:t>
      </w:r>
      <w:proofErr w:type="spellEnd"/>
      <w:r w:rsidRPr="00C80365">
        <w:rPr>
          <w:rFonts w:ascii="Arial" w:eastAsia="Calibri" w:hAnsi="Arial" w:cs="Arial"/>
          <w:bCs/>
          <w:color w:val="000000" w:themeColor="text1"/>
          <w:sz w:val="20"/>
          <w:szCs w:val="20"/>
          <w:lang w:val="es-ES_tradnl"/>
        </w:rPr>
        <w:t xml:space="preserve">) </w:t>
      </w:r>
      <w:r w:rsidRPr="00C80365">
        <w:rPr>
          <w:rFonts w:ascii="Arial" w:eastAsia="Calibri" w:hAnsi="Arial" w:cs="Arial"/>
          <w:bCs/>
          <w:color w:val="000000" w:themeColor="text1"/>
          <w:sz w:val="20"/>
          <w:szCs w:val="20"/>
        </w:rPr>
        <w:t>regula la acreditación de requisitos para participar en convocatorias limitadas – artículo 2.2.1.2.4.2.4-</w:t>
      </w:r>
      <w:r>
        <w:rPr>
          <w:rFonts w:ascii="Arial" w:eastAsia="Calibri" w:hAnsi="Arial" w:cs="Arial"/>
          <w:bCs/>
          <w:color w:val="000000" w:themeColor="text1"/>
          <w:sz w:val="20"/>
          <w:szCs w:val="20"/>
        </w:rPr>
        <w:t xml:space="preserve">. </w:t>
      </w:r>
      <w:r w:rsidRPr="00C80365">
        <w:rPr>
          <w:rFonts w:ascii="Arial" w:eastAsia="Calibri" w:hAnsi="Arial" w:cs="Arial"/>
          <w:bCs/>
          <w:color w:val="000000" w:themeColor="text1"/>
          <w:sz w:val="20"/>
          <w:szCs w:val="20"/>
          <w:lang w:val="es-ES_tradnl"/>
        </w:rPr>
        <w:t xml:space="preserve">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w:t>
      </w:r>
      <w:proofErr w:type="spellStart"/>
      <w:r w:rsidRPr="00C80365">
        <w:rPr>
          <w:rFonts w:ascii="Arial" w:eastAsia="Calibri" w:hAnsi="Arial" w:cs="Arial"/>
          <w:bCs/>
          <w:color w:val="000000" w:themeColor="text1"/>
          <w:sz w:val="20"/>
          <w:szCs w:val="20"/>
          <w:lang w:val="es-ES_tradnl"/>
        </w:rPr>
        <w:t>Mipyme</w:t>
      </w:r>
      <w:proofErr w:type="spellEnd"/>
      <w:r w:rsidRPr="00C80365">
        <w:rPr>
          <w:rFonts w:ascii="Arial" w:eastAsia="Calibri" w:hAnsi="Arial" w:cs="Arial"/>
          <w:bCs/>
          <w:color w:val="000000" w:themeColor="text1"/>
          <w:sz w:val="20"/>
          <w:szCs w:val="20"/>
          <w:lang w:val="es-ES_tradnl"/>
        </w:rPr>
        <w:t>, disposición que entró a regir desde el pasado 24 de marzo de 2022, pues, como se indicó, el artículo 8 de dicho decreto sometió su vigencia al transcurso del periodo de 3 meses siguientes a su expedición.</w:t>
      </w:r>
    </w:p>
    <w:p w14:paraId="3B5B4232" w14:textId="77777777" w:rsidR="00993CD6" w:rsidRPr="00A7133F" w:rsidRDefault="00993CD6" w:rsidP="00993CD6">
      <w:pPr>
        <w:tabs>
          <w:tab w:val="left" w:pos="6551"/>
        </w:tabs>
        <w:jc w:val="both"/>
        <w:rPr>
          <w:rFonts w:ascii="Arial" w:eastAsia="Calibri" w:hAnsi="Arial" w:cs="Arial"/>
          <w:b/>
          <w:color w:val="000000" w:themeColor="text1"/>
          <w:sz w:val="22"/>
          <w:lang w:val="es-ES_tradnl"/>
        </w:rPr>
      </w:pPr>
    </w:p>
    <w:p w14:paraId="0BF490FA" w14:textId="4C5A10AD" w:rsidR="008D1519" w:rsidRDefault="00BD3C3D" w:rsidP="008D1519">
      <w:pPr>
        <w:jc w:val="both"/>
        <w:rPr>
          <w:rFonts w:ascii="Arial" w:eastAsia="Calibri" w:hAnsi="Arial" w:cs="Arial"/>
          <w:b/>
          <w:sz w:val="22"/>
          <w:szCs w:val="22"/>
          <w:lang w:eastAsia="en-US"/>
        </w:rPr>
      </w:pPr>
      <w:r>
        <w:rPr>
          <w:rFonts w:ascii="Arial" w:eastAsia="Calibri" w:hAnsi="Arial" w:cs="Arial"/>
          <w:b/>
          <w:sz w:val="22"/>
          <w:szCs w:val="22"/>
          <w:lang w:eastAsia="en-US"/>
        </w:rPr>
        <w:t xml:space="preserve">PROVISIÓN DE BIENES Y SERVICIOS </w:t>
      </w:r>
      <w:r w:rsidR="008D1519" w:rsidRPr="008D1519">
        <w:rPr>
          <w:rFonts w:ascii="Arial" w:eastAsia="Calibri" w:hAnsi="Arial" w:cs="Arial"/>
          <w:b/>
          <w:sz w:val="22"/>
          <w:szCs w:val="22"/>
          <w:lang w:eastAsia="en-US"/>
        </w:rPr>
        <w:t xml:space="preserve">– </w:t>
      </w:r>
      <w:r>
        <w:rPr>
          <w:rFonts w:ascii="Arial" w:eastAsia="Calibri" w:hAnsi="Arial" w:cs="Arial"/>
          <w:b/>
          <w:sz w:val="22"/>
          <w:szCs w:val="22"/>
          <w:lang w:eastAsia="en-US"/>
        </w:rPr>
        <w:t>Sujetos de especial protección constitucional</w:t>
      </w:r>
    </w:p>
    <w:p w14:paraId="05489E47" w14:textId="4DECC06A" w:rsidR="008D1519" w:rsidRDefault="008D1519" w:rsidP="008D1519">
      <w:pPr>
        <w:jc w:val="both"/>
        <w:rPr>
          <w:rFonts w:ascii="Arial" w:eastAsia="Calibri" w:hAnsi="Arial" w:cs="Arial"/>
          <w:b/>
          <w:sz w:val="22"/>
          <w:szCs w:val="22"/>
          <w:lang w:eastAsia="en-US"/>
        </w:rPr>
      </w:pPr>
    </w:p>
    <w:p w14:paraId="064DBBCD" w14:textId="77777777" w:rsidR="00C80365" w:rsidRPr="00C80365" w:rsidRDefault="00BD3C3D" w:rsidP="00C80365">
      <w:pPr>
        <w:jc w:val="both"/>
        <w:rPr>
          <w:rFonts w:ascii="Arial" w:eastAsia="Calibri" w:hAnsi="Arial" w:cs="Arial"/>
          <w:iCs/>
          <w:sz w:val="20"/>
          <w:szCs w:val="20"/>
          <w:lang w:eastAsia="en-US"/>
        </w:rPr>
      </w:pPr>
      <w:r w:rsidRPr="00BD3C3D">
        <w:rPr>
          <w:rFonts w:ascii="Arial" w:eastAsia="Calibri" w:hAnsi="Arial" w:cs="Arial"/>
          <w:bCs/>
          <w:iCs/>
          <w:sz w:val="20"/>
          <w:szCs w:val="20"/>
          <w:lang w:val="es-ES_tradnl" w:eastAsia="en-US"/>
        </w:rPr>
        <w:t>El artículo</w:t>
      </w:r>
      <w:r w:rsidRPr="00BD3C3D">
        <w:rPr>
          <w:rFonts w:ascii="Arial" w:eastAsia="Calibri" w:hAnsi="Arial" w:cs="Arial"/>
          <w:b/>
          <w:iCs/>
          <w:sz w:val="20"/>
          <w:szCs w:val="20"/>
          <w:lang w:val="es-ES_tradnl" w:eastAsia="en-US"/>
        </w:rPr>
        <w:t xml:space="preserve"> </w:t>
      </w:r>
      <w:r w:rsidRPr="00BD3C3D">
        <w:rPr>
          <w:rFonts w:ascii="Arial" w:eastAsia="Calibri" w:hAnsi="Arial" w:cs="Arial"/>
          <w:bCs/>
          <w:iCs/>
          <w:sz w:val="20"/>
          <w:szCs w:val="20"/>
          <w:lang w:val="es-ES_tradnl" w:eastAsia="en-US"/>
        </w:rPr>
        <w:t>3</w:t>
      </w:r>
      <w:r w:rsidRPr="00BD3C3D">
        <w:rPr>
          <w:rFonts w:ascii="Arial" w:eastAsia="Calibri" w:hAnsi="Arial" w:cs="Arial"/>
          <w:b/>
          <w:iCs/>
          <w:sz w:val="20"/>
          <w:szCs w:val="20"/>
          <w:lang w:val="es-ES_tradnl" w:eastAsia="en-US"/>
        </w:rPr>
        <w:t xml:space="preserve"> </w:t>
      </w:r>
      <w:r w:rsidRPr="00BD3C3D">
        <w:rPr>
          <w:rFonts w:ascii="Arial" w:eastAsia="Calibri" w:hAnsi="Arial" w:cs="Arial"/>
          <w:bCs/>
          <w:iCs/>
          <w:sz w:val="20"/>
          <w:szCs w:val="20"/>
          <w:lang w:val="es-ES_tradnl" w:eastAsia="en-US"/>
        </w:rPr>
        <w:t xml:space="preserve">del Decreto 1860 de 2021 que adicionó el artículo </w:t>
      </w:r>
      <w:r w:rsidRPr="00BD3C3D">
        <w:rPr>
          <w:rFonts w:ascii="Arial" w:eastAsia="Calibri" w:hAnsi="Arial" w:cs="Arial"/>
          <w:iCs/>
          <w:sz w:val="20"/>
          <w:szCs w:val="20"/>
          <w:lang w:eastAsia="en-US"/>
        </w:rPr>
        <w:t>2.2.1.2.4.2.16. al Decreto 1082 de 2021, regula el fomento a la ejecución de contratos estatales por parte de población en pobreza extrema, desplazados por la violencia, personas en proceso de reintegración o reincorporación y sujetos de especial protección constitucional</w:t>
      </w:r>
      <w:r w:rsidR="008D1519" w:rsidRPr="008D1519">
        <w:rPr>
          <w:rFonts w:ascii="Arial" w:eastAsia="Calibri" w:hAnsi="Arial" w:cs="Arial"/>
          <w:iCs/>
          <w:sz w:val="20"/>
          <w:szCs w:val="20"/>
          <w:lang w:eastAsia="en-US"/>
        </w:rPr>
        <w:t xml:space="preserve"> […] </w:t>
      </w:r>
      <w:r w:rsidR="00C80365" w:rsidRPr="00C80365">
        <w:rPr>
          <w:rFonts w:ascii="Arial" w:eastAsia="Calibri" w:hAnsi="Arial" w:cs="Arial"/>
          <w:iCs/>
          <w:sz w:val="20"/>
          <w:szCs w:val="20"/>
          <w:lang w:eastAsia="en-US"/>
        </w:rPr>
        <w:t xml:space="preserve">Conforme a lo anterior, se establece un mandato dirigido a las entidades estatales indistintamente de su régimen de contratación, los patrimonios autónomos constituidos por entidades estatales y los particulares que ejecuten recursos públicos, para que en sus procesos de contratación fomenten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Por tanto, esta disposición deberá aplicarse no solo por las entidades sometidas al EGCAP sino también por aquellas entidades que cuenten con un régimen exceptuado de contratación, así como por los patrimonios autónomos constituidos por entidades estatales y los particulares que ejecuten recursos públicos. </w:t>
      </w:r>
    </w:p>
    <w:p w14:paraId="3194469F" w14:textId="20661A08" w:rsidR="008D1519" w:rsidRDefault="008D1519" w:rsidP="00C118DB">
      <w:pPr>
        <w:spacing w:line="276" w:lineRule="auto"/>
        <w:jc w:val="both"/>
        <w:rPr>
          <w:rFonts w:ascii="Arial" w:eastAsia="Calibri" w:hAnsi="Arial" w:cs="Arial"/>
          <w:b/>
          <w:color w:val="000000" w:themeColor="text1"/>
          <w:sz w:val="22"/>
          <w:lang w:val="es-ES_tradnl"/>
        </w:rPr>
      </w:pPr>
    </w:p>
    <w:p w14:paraId="08016E57" w14:textId="39F2B362" w:rsidR="008D1519" w:rsidRDefault="008D1519" w:rsidP="00C118DB">
      <w:pPr>
        <w:spacing w:line="276" w:lineRule="auto"/>
        <w:jc w:val="both"/>
        <w:rPr>
          <w:rFonts w:ascii="Arial" w:eastAsia="Calibri" w:hAnsi="Arial" w:cs="Arial"/>
          <w:b/>
          <w:color w:val="000000" w:themeColor="text1"/>
          <w:sz w:val="22"/>
          <w:lang w:val="es-ES_tradnl"/>
        </w:rPr>
      </w:pPr>
    </w:p>
    <w:p w14:paraId="2ED87DC9" w14:textId="425E50ED" w:rsidR="008D1519" w:rsidRDefault="008D1519" w:rsidP="00C118DB">
      <w:pPr>
        <w:spacing w:line="276" w:lineRule="auto"/>
        <w:jc w:val="both"/>
        <w:rPr>
          <w:rFonts w:ascii="Arial" w:eastAsia="Calibri" w:hAnsi="Arial" w:cs="Arial"/>
          <w:b/>
          <w:color w:val="000000" w:themeColor="text1"/>
          <w:sz w:val="22"/>
          <w:lang w:val="es-ES_tradnl"/>
        </w:rPr>
      </w:pPr>
    </w:p>
    <w:p w14:paraId="6D6E3712" w14:textId="384395EA" w:rsidR="008D1519" w:rsidRDefault="008D1519" w:rsidP="00C118DB">
      <w:pPr>
        <w:spacing w:line="276" w:lineRule="auto"/>
        <w:jc w:val="both"/>
        <w:rPr>
          <w:rFonts w:ascii="Arial" w:eastAsia="Calibri" w:hAnsi="Arial" w:cs="Arial"/>
          <w:b/>
          <w:color w:val="000000" w:themeColor="text1"/>
          <w:sz w:val="22"/>
          <w:lang w:val="es-ES_tradnl"/>
        </w:rPr>
      </w:pPr>
    </w:p>
    <w:p w14:paraId="13DB0CE6" w14:textId="558A93B1" w:rsidR="008D1519" w:rsidRDefault="008D1519" w:rsidP="00C118DB">
      <w:pPr>
        <w:spacing w:line="276" w:lineRule="auto"/>
        <w:jc w:val="both"/>
        <w:rPr>
          <w:rFonts w:ascii="Arial" w:eastAsia="Calibri" w:hAnsi="Arial" w:cs="Arial"/>
          <w:b/>
          <w:color w:val="000000" w:themeColor="text1"/>
          <w:sz w:val="22"/>
          <w:lang w:val="es-ES_tradnl"/>
        </w:rPr>
      </w:pPr>
    </w:p>
    <w:p w14:paraId="4050D9B9" w14:textId="78BD61AD" w:rsidR="008D1519" w:rsidRDefault="008D1519" w:rsidP="00C118DB">
      <w:pPr>
        <w:spacing w:line="276" w:lineRule="auto"/>
        <w:jc w:val="both"/>
        <w:rPr>
          <w:rFonts w:ascii="Arial" w:eastAsia="Calibri" w:hAnsi="Arial" w:cs="Arial"/>
          <w:b/>
          <w:color w:val="000000" w:themeColor="text1"/>
          <w:sz w:val="22"/>
          <w:lang w:val="es-ES_tradnl"/>
        </w:rPr>
      </w:pPr>
    </w:p>
    <w:p w14:paraId="14591107" w14:textId="37EEF1AA" w:rsidR="008D1519" w:rsidRDefault="008D1519" w:rsidP="00C118DB">
      <w:pPr>
        <w:spacing w:line="276" w:lineRule="auto"/>
        <w:jc w:val="both"/>
        <w:rPr>
          <w:rFonts w:ascii="Arial" w:eastAsia="Calibri" w:hAnsi="Arial" w:cs="Arial"/>
          <w:b/>
          <w:color w:val="000000" w:themeColor="text1"/>
          <w:sz w:val="22"/>
          <w:lang w:val="es-ES_tradnl"/>
        </w:rPr>
      </w:pPr>
    </w:p>
    <w:p w14:paraId="64B9E278" w14:textId="4A31FC05" w:rsidR="008D1519" w:rsidRDefault="008D1519" w:rsidP="00C118DB">
      <w:pPr>
        <w:spacing w:line="276" w:lineRule="auto"/>
        <w:jc w:val="both"/>
        <w:rPr>
          <w:rFonts w:ascii="Arial" w:eastAsia="Calibri" w:hAnsi="Arial" w:cs="Arial"/>
          <w:b/>
          <w:color w:val="000000" w:themeColor="text1"/>
          <w:sz w:val="22"/>
          <w:lang w:val="es-ES_tradnl"/>
        </w:rPr>
      </w:pPr>
    </w:p>
    <w:p w14:paraId="7A9E3144" w14:textId="21D4FBA9" w:rsidR="008D1519" w:rsidRDefault="008D1519" w:rsidP="00C118DB">
      <w:pPr>
        <w:spacing w:line="276" w:lineRule="auto"/>
        <w:jc w:val="both"/>
        <w:rPr>
          <w:rFonts w:ascii="Arial" w:eastAsia="Calibri" w:hAnsi="Arial" w:cs="Arial"/>
          <w:b/>
          <w:color w:val="000000" w:themeColor="text1"/>
          <w:sz w:val="22"/>
          <w:lang w:val="es-ES_tradnl"/>
        </w:rPr>
      </w:pPr>
    </w:p>
    <w:p w14:paraId="02C742E9" w14:textId="315EA72F" w:rsidR="008D1519" w:rsidRDefault="008D1519" w:rsidP="00C118DB">
      <w:pPr>
        <w:spacing w:line="276" w:lineRule="auto"/>
        <w:jc w:val="both"/>
        <w:rPr>
          <w:rFonts w:ascii="Arial" w:eastAsia="Calibri" w:hAnsi="Arial" w:cs="Arial"/>
          <w:b/>
          <w:color w:val="000000" w:themeColor="text1"/>
          <w:sz w:val="22"/>
          <w:lang w:val="es-ES_tradnl"/>
        </w:rPr>
      </w:pPr>
    </w:p>
    <w:p w14:paraId="174074F2" w14:textId="1ED31B3E" w:rsidR="008D1519" w:rsidRDefault="008D1519" w:rsidP="00C118DB">
      <w:pPr>
        <w:spacing w:line="276" w:lineRule="auto"/>
        <w:jc w:val="both"/>
        <w:rPr>
          <w:rFonts w:ascii="Arial" w:eastAsia="Calibri" w:hAnsi="Arial" w:cs="Arial"/>
          <w:b/>
          <w:color w:val="000000" w:themeColor="text1"/>
          <w:sz w:val="22"/>
          <w:lang w:val="es-ES_tradnl"/>
        </w:rPr>
      </w:pPr>
    </w:p>
    <w:p w14:paraId="23C8DD43" w14:textId="6BDD0E9B" w:rsidR="008D1519" w:rsidRDefault="008D1519" w:rsidP="00C118DB">
      <w:pPr>
        <w:spacing w:line="276" w:lineRule="auto"/>
        <w:jc w:val="both"/>
        <w:rPr>
          <w:rFonts w:ascii="Arial" w:eastAsia="Calibri" w:hAnsi="Arial" w:cs="Arial"/>
          <w:b/>
          <w:color w:val="000000" w:themeColor="text1"/>
          <w:sz w:val="22"/>
          <w:lang w:val="es-ES_tradnl"/>
        </w:rPr>
      </w:pPr>
    </w:p>
    <w:p w14:paraId="601AFA82" w14:textId="0609487D" w:rsidR="008D1519" w:rsidRDefault="008D1519" w:rsidP="00C118DB">
      <w:pPr>
        <w:spacing w:line="276" w:lineRule="auto"/>
        <w:jc w:val="both"/>
        <w:rPr>
          <w:rFonts w:ascii="Arial" w:eastAsia="Calibri" w:hAnsi="Arial" w:cs="Arial"/>
          <w:b/>
          <w:color w:val="000000" w:themeColor="text1"/>
          <w:sz w:val="22"/>
          <w:lang w:val="es-ES_tradnl"/>
        </w:rPr>
      </w:pPr>
    </w:p>
    <w:p w14:paraId="4F948A0C" w14:textId="47EEF781" w:rsidR="008D1519" w:rsidRDefault="008D1519" w:rsidP="00C118DB">
      <w:pPr>
        <w:spacing w:line="276" w:lineRule="auto"/>
        <w:jc w:val="both"/>
        <w:rPr>
          <w:rFonts w:ascii="Arial" w:eastAsia="Calibri" w:hAnsi="Arial" w:cs="Arial"/>
          <w:b/>
          <w:sz w:val="22"/>
          <w:lang w:val="es-ES_tradnl"/>
        </w:rPr>
      </w:pPr>
    </w:p>
    <w:p w14:paraId="3599E9B4" w14:textId="263AB642" w:rsidR="00BD3C3D" w:rsidRDefault="00ED1520" w:rsidP="00ED1520">
      <w:pPr>
        <w:spacing w:line="276" w:lineRule="auto"/>
        <w:jc w:val="right"/>
        <w:rPr>
          <w:rFonts w:ascii="Arial" w:eastAsia="Calibri" w:hAnsi="Arial" w:cs="Arial"/>
          <w:b/>
          <w:sz w:val="22"/>
          <w:lang w:val="es-ES_tradnl"/>
        </w:rPr>
      </w:pPr>
      <w:r w:rsidRPr="00ED1520">
        <w:rPr>
          <w:rFonts w:ascii="Arial" w:eastAsia="Calibri" w:hAnsi="Arial" w:cs="Arial"/>
          <w:b/>
          <w:noProof/>
          <w:sz w:val="22"/>
          <w:lang w:val="es-ES_tradnl"/>
        </w:rPr>
        <w:drawing>
          <wp:inline distT="0" distB="0" distL="0" distR="0" wp14:anchorId="286C59CE" wp14:editId="50E1267D">
            <wp:extent cx="2486025" cy="8382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inline>
        </w:drawing>
      </w:r>
    </w:p>
    <w:p w14:paraId="7F0110FA" w14:textId="77777777" w:rsidR="00ED1520" w:rsidRDefault="00ED1520" w:rsidP="00C118DB">
      <w:pPr>
        <w:spacing w:line="276" w:lineRule="auto"/>
        <w:jc w:val="both"/>
        <w:rPr>
          <w:rFonts w:ascii="Arial" w:eastAsia="Calibri" w:hAnsi="Arial" w:cs="Arial"/>
          <w:b/>
          <w:sz w:val="22"/>
          <w:lang w:val="es-ES_tradnl"/>
        </w:rPr>
      </w:pPr>
    </w:p>
    <w:p w14:paraId="6A8A869B" w14:textId="550D8BD0" w:rsidR="00B95C30" w:rsidRPr="00ED1520" w:rsidRDefault="00B95C30" w:rsidP="00ED1520">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ED1520">
        <w:rPr>
          <w:rFonts w:ascii="Arial" w:hAnsi="Arial" w:cs="Arial"/>
          <w:b/>
          <w:color w:val="000000" w:themeColor="text1"/>
          <w:sz w:val="22"/>
        </w:rPr>
        <w:t>12/04/2022</w:t>
      </w: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033BA5E2" w:rsidR="00B95C30" w:rsidRPr="00A51520" w:rsidRDefault="00B95C30" w:rsidP="00B95C30">
      <w:pPr>
        <w:jc w:val="both"/>
        <w:rPr>
          <w:rFonts w:ascii="Arial" w:eastAsia="Calibri" w:hAnsi="Arial" w:cs="Arial"/>
          <w:color w:val="000000" w:themeColor="text1"/>
          <w:sz w:val="22"/>
        </w:rPr>
      </w:pPr>
      <w:r w:rsidRPr="00A51520">
        <w:rPr>
          <w:rFonts w:ascii="Arial" w:eastAsia="Calibri" w:hAnsi="Arial" w:cs="Arial"/>
          <w:color w:val="000000" w:themeColor="text1"/>
          <w:sz w:val="22"/>
        </w:rPr>
        <w:t>Señor</w:t>
      </w:r>
      <w:r w:rsidR="00914C29">
        <w:rPr>
          <w:rFonts w:ascii="Arial" w:eastAsia="Calibri" w:hAnsi="Arial" w:cs="Arial"/>
          <w:color w:val="000000" w:themeColor="text1"/>
          <w:sz w:val="22"/>
        </w:rPr>
        <w:t xml:space="preserve"> (a)</w:t>
      </w:r>
    </w:p>
    <w:p w14:paraId="798A20AC" w14:textId="530BF2C9" w:rsidR="005F5F37" w:rsidRPr="00A51520" w:rsidRDefault="00914C29" w:rsidP="00BF4EC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Anónimo </w:t>
      </w:r>
    </w:p>
    <w:p w14:paraId="411CBCE1" w14:textId="3C5A69C0" w:rsidR="00BF4EC5" w:rsidRPr="00A51520" w:rsidRDefault="00E803A6"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Bogotá D.C.</w:t>
      </w:r>
      <w:r w:rsidR="00BF4EC5" w:rsidRPr="00A51520">
        <w:rPr>
          <w:rFonts w:ascii="Arial" w:eastAsia="Calibri" w:hAnsi="Arial" w:cs="Arial"/>
          <w:bCs/>
          <w:color w:val="000000" w:themeColor="text1"/>
          <w:sz w:val="22"/>
        </w:rPr>
        <w:t xml:space="preserve"> </w:t>
      </w:r>
    </w:p>
    <w:p w14:paraId="4A1C8FFE" w14:textId="77777777" w:rsidR="008120C4" w:rsidRPr="00A51520" w:rsidRDefault="008120C4" w:rsidP="003C0791">
      <w:pPr>
        <w:rPr>
          <w:rFonts w:ascii="Arial" w:eastAsia="Calibri" w:hAnsi="Arial" w:cs="Arial"/>
          <w:b/>
          <w:bCs/>
          <w:color w:val="000000" w:themeColor="text1"/>
          <w:sz w:val="22"/>
        </w:rPr>
      </w:pPr>
    </w:p>
    <w:p w14:paraId="1BD594F9" w14:textId="73EE3A8D"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8C5E9A">
        <w:rPr>
          <w:rFonts w:ascii="Arial" w:eastAsia="Calibri" w:hAnsi="Arial" w:cs="Arial"/>
          <w:b/>
          <w:bCs/>
          <w:color w:val="000000" w:themeColor="text1"/>
          <w:sz w:val="22"/>
          <w:lang w:val="pt-BR"/>
        </w:rPr>
        <w:t>2</w:t>
      </w:r>
      <w:r w:rsidR="00914C29">
        <w:rPr>
          <w:rFonts w:ascii="Arial" w:eastAsia="Calibri" w:hAnsi="Arial" w:cs="Arial"/>
          <w:b/>
          <w:bCs/>
          <w:color w:val="000000" w:themeColor="text1"/>
          <w:sz w:val="22"/>
          <w:lang w:val="pt-BR"/>
        </w:rPr>
        <w:t>93</w:t>
      </w:r>
      <w:r w:rsidR="00275FBF" w:rsidRPr="00A51520">
        <w:rPr>
          <w:rFonts w:ascii="Arial" w:eastAsia="Calibri" w:hAnsi="Arial" w:cs="Arial"/>
          <w:b/>
          <w:bCs/>
          <w:color w:val="000000" w:themeColor="text1"/>
          <w:sz w:val="22"/>
          <w:lang w:val="pt-BR"/>
        </w:rPr>
        <w:t xml:space="preserve"> 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761DC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shd w:val="clear" w:color="auto" w:fill="auto"/>
          </w:tcPr>
          <w:p w14:paraId="5F389CAF" w14:textId="0B8942A0" w:rsidR="00337178" w:rsidRPr="00424F90" w:rsidRDefault="00BD3C3D" w:rsidP="00424F90">
            <w:pPr>
              <w:jc w:val="both"/>
              <w:rPr>
                <w:rFonts w:ascii="Arial" w:eastAsia="Calibri" w:hAnsi="Arial" w:cs="Arial"/>
                <w:b/>
                <w:sz w:val="22"/>
                <w:szCs w:val="22"/>
                <w:lang w:eastAsia="en-US"/>
              </w:rPr>
            </w:pPr>
            <w:r w:rsidRPr="00BD3C3D">
              <w:rPr>
                <w:rStyle w:val="normaltextrun"/>
                <w:rFonts w:ascii="Arial" w:hAnsi="Arial" w:cs="Arial"/>
                <w:color w:val="000000"/>
                <w:sz w:val="22"/>
                <w:szCs w:val="22"/>
                <w:lang w:val="es-ES"/>
              </w:rPr>
              <w:t xml:space="preserve">DECRETO 1860 DE 2021 – Normas reglamentarias – Mínima cuantía </w:t>
            </w:r>
            <w:r>
              <w:rPr>
                <w:rStyle w:val="normaltextrun"/>
                <w:rFonts w:ascii="Arial" w:hAnsi="Arial" w:cs="Arial"/>
                <w:color w:val="000000"/>
                <w:sz w:val="22"/>
                <w:szCs w:val="22"/>
                <w:lang w:val="es-ES"/>
              </w:rPr>
              <w:t>/</w:t>
            </w:r>
            <w:r>
              <w:rPr>
                <w:rStyle w:val="normaltextrun"/>
                <w:color w:val="000000"/>
                <w:lang w:val="es-ES"/>
              </w:rPr>
              <w:t xml:space="preserve"> </w:t>
            </w:r>
            <w:r w:rsidR="0011268B" w:rsidRPr="00761DC6">
              <w:rPr>
                <w:rStyle w:val="normaltextrun"/>
                <w:rFonts w:ascii="Arial" w:hAnsi="Arial" w:cs="Arial"/>
                <w:color w:val="000000"/>
                <w:sz w:val="22"/>
                <w:szCs w:val="22"/>
                <w:lang w:val="es-ES"/>
              </w:rPr>
              <w:t xml:space="preserve">MÍNIMA </w:t>
            </w:r>
            <w:r w:rsidR="0011268B" w:rsidRPr="00424F90">
              <w:rPr>
                <w:rStyle w:val="normaltextrun"/>
                <w:rFonts w:ascii="Arial" w:hAnsi="Arial" w:cs="Arial"/>
                <w:color w:val="000000"/>
                <w:sz w:val="22"/>
                <w:szCs w:val="22"/>
                <w:lang w:val="es-ES"/>
              </w:rPr>
              <w:t>CUANTÍA</w:t>
            </w:r>
            <w:r w:rsidR="0011268B" w:rsidRPr="00424F90">
              <w:rPr>
                <w:rStyle w:val="normaltextrun"/>
                <w:rFonts w:ascii="Arial" w:hAnsi="Arial" w:cs="Arial"/>
                <w:color w:val="000000"/>
                <w:sz w:val="22"/>
                <w:szCs w:val="22"/>
              </w:rPr>
              <w:t> – </w:t>
            </w:r>
            <w:r w:rsidR="00424F90" w:rsidRPr="00424F90">
              <w:rPr>
                <w:rFonts w:ascii="Arial" w:hAnsi="Arial" w:cs="Arial"/>
                <w:color w:val="000000"/>
                <w:sz w:val="22"/>
                <w:szCs w:val="22"/>
              </w:rPr>
              <w:t xml:space="preserve">Capacidad financiera – RUP </w:t>
            </w:r>
            <w:r w:rsidR="00993CD6" w:rsidRPr="00424F90">
              <w:rPr>
                <w:rFonts w:ascii="Arial" w:eastAsia="Calibri" w:hAnsi="Arial" w:cs="Arial"/>
                <w:color w:val="000000" w:themeColor="text1"/>
                <w:sz w:val="22"/>
                <w:lang w:val="es-ES_tradnl"/>
              </w:rPr>
              <w:t>/</w:t>
            </w:r>
            <w:r w:rsidR="00761DC6" w:rsidRPr="00424F90">
              <w:rPr>
                <w:rFonts w:ascii="Arial" w:eastAsia="Calibri" w:hAnsi="Arial" w:cs="Arial"/>
                <w:color w:val="000000" w:themeColor="text1"/>
                <w:sz w:val="22"/>
                <w:lang w:val="es-ES_tradnl"/>
              </w:rPr>
              <w:t xml:space="preserve"> </w:t>
            </w:r>
            <w:r w:rsidR="00424F90" w:rsidRPr="00424F90">
              <w:rPr>
                <w:rStyle w:val="normaltextrun"/>
                <w:rFonts w:ascii="Arial" w:hAnsi="Arial" w:cs="Arial"/>
                <w:color w:val="000000"/>
                <w:sz w:val="22"/>
                <w:szCs w:val="22"/>
              </w:rPr>
              <w:t xml:space="preserve">GRANDES ALMACENES – Procedimiento </w:t>
            </w:r>
            <w:r w:rsidR="00993CD6" w:rsidRPr="00424F90">
              <w:rPr>
                <w:rFonts w:ascii="Arial" w:eastAsia="Calibri" w:hAnsi="Arial" w:cs="Arial"/>
                <w:color w:val="000000" w:themeColor="text1"/>
                <w:sz w:val="22"/>
                <w:lang w:val="es-ES_tradnl"/>
              </w:rPr>
              <w:t xml:space="preserve">/ </w:t>
            </w:r>
            <w:r w:rsidR="00424F90" w:rsidRPr="00424F90">
              <w:rPr>
                <w:rFonts w:ascii="Arial" w:eastAsia="Calibri" w:hAnsi="Arial" w:cs="Arial"/>
                <w:color w:val="000000" w:themeColor="text1"/>
                <w:sz w:val="22"/>
                <w:lang w:val="es-ES_tradnl"/>
              </w:rPr>
              <w:t xml:space="preserve">CONVOCATORIAS LIMITADAS A MIPYME – Aplicación </w:t>
            </w:r>
            <w:r w:rsidR="00424F90">
              <w:rPr>
                <w:rFonts w:ascii="Arial" w:eastAsia="Calibri" w:hAnsi="Arial" w:cs="Arial"/>
                <w:color w:val="000000" w:themeColor="text1"/>
                <w:sz w:val="22"/>
                <w:lang w:val="es-ES_tradnl"/>
              </w:rPr>
              <w:t>/</w:t>
            </w:r>
            <w:r w:rsidR="00424F90" w:rsidRPr="00424F90">
              <w:rPr>
                <w:rFonts w:ascii="Arial" w:eastAsia="Calibri" w:hAnsi="Arial" w:cs="Arial"/>
                <w:color w:val="000000" w:themeColor="text1"/>
                <w:sz w:val="22"/>
                <w:lang w:val="es-ES_tradnl"/>
              </w:rPr>
              <w:t xml:space="preserve"> </w:t>
            </w:r>
            <w:r w:rsidR="00424F90" w:rsidRPr="00424F90">
              <w:rPr>
                <w:rFonts w:ascii="Arial" w:eastAsia="Calibri" w:hAnsi="Arial" w:cs="Arial"/>
                <w:sz w:val="22"/>
                <w:szCs w:val="22"/>
                <w:lang w:eastAsia="en-US"/>
              </w:rPr>
              <w:t>PROVISIÓN DE BIENES Y SERVICIOS – Sujetos de especial protección constitucional</w:t>
            </w:r>
            <w:r w:rsidR="00424F90">
              <w:rPr>
                <w:rFonts w:ascii="Arial" w:eastAsia="Calibri" w:hAnsi="Arial" w:cs="Arial"/>
                <w:b/>
                <w:sz w:val="22"/>
                <w:szCs w:val="22"/>
                <w:lang w:eastAsia="en-US"/>
              </w:rPr>
              <w:t xml:space="preserve">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376B1A53"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F21D6D" w:rsidRPr="00A51520">
              <w:rPr>
                <w:rFonts w:ascii="Arial" w:eastAsia="Calibri" w:hAnsi="Arial" w:cs="Arial"/>
                <w:color w:val="000000" w:themeColor="text1"/>
                <w:sz w:val="22"/>
                <w:lang w:val="es-ES_tradnl"/>
              </w:rPr>
              <w:t xml:space="preserve"> </w:t>
            </w:r>
            <w:r w:rsidR="00914C29" w:rsidRPr="00914C29">
              <w:rPr>
                <w:rFonts w:ascii="Arial" w:eastAsia="Calibri" w:hAnsi="Arial" w:cs="Arial"/>
                <w:color w:val="000000" w:themeColor="text1"/>
                <w:sz w:val="22"/>
                <w:lang w:val="es-ES_tradnl"/>
              </w:rPr>
              <w:t>P20220329003134</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03CC6BFF"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002E70BF">
        <w:rPr>
          <w:rFonts w:ascii="Arial" w:eastAsia="Calibri" w:hAnsi="Arial" w:cs="Arial"/>
          <w:color w:val="000000" w:themeColor="text1"/>
          <w:sz w:val="22"/>
          <w:lang w:val="es-ES_tradnl"/>
        </w:rPr>
        <w:t xml:space="preserve"> (a)</w:t>
      </w:r>
      <w:r w:rsidRPr="00A51520">
        <w:rPr>
          <w:rFonts w:ascii="Arial" w:eastAsia="Calibri" w:hAnsi="Arial" w:cs="Arial"/>
          <w:color w:val="000000" w:themeColor="text1"/>
          <w:sz w:val="22"/>
          <w:lang w:val="es-ES_tradnl"/>
        </w:rPr>
        <w:t xml:space="preserve"> señor</w:t>
      </w:r>
      <w:r w:rsidR="00914C29">
        <w:rPr>
          <w:rFonts w:ascii="Arial" w:eastAsia="Calibri" w:hAnsi="Arial" w:cs="Arial"/>
          <w:color w:val="000000" w:themeColor="text1"/>
          <w:sz w:val="22"/>
          <w:lang w:val="es-ES_tradnl"/>
        </w:rPr>
        <w:t xml:space="preserve"> (a)</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0E579A52"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del </w:t>
      </w:r>
      <w:r w:rsidR="00914C29">
        <w:rPr>
          <w:rFonts w:ascii="Arial" w:eastAsia="Calibri" w:hAnsi="Arial" w:cs="Arial"/>
          <w:color w:val="000000" w:themeColor="text1"/>
          <w:sz w:val="22"/>
          <w:lang w:val="es-ES_tradnl"/>
        </w:rPr>
        <w:t>29</w:t>
      </w:r>
      <w:r w:rsidR="008C3FFC">
        <w:rPr>
          <w:rFonts w:ascii="Arial" w:eastAsia="Calibri" w:hAnsi="Arial" w:cs="Arial"/>
          <w:color w:val="000000" w:themeColor="text1"/>
          <w:sz w:val="22"/>
          <w:lang w:val="es-ES_tradnl"/>
        </w:rPr>
        <w:t xml:space="preserve"> </w:t>
      </w:r>
      <w:r w:rsidR="00F21D6D" w:rsidRPr="00A51520">
        <w:rPr>
          <w:rFonts w:ascii="Arial" w:eastAsia="Calibri" w:hAnsi="Arial" w:cs="Arial"/>
          <w:color w:val="000000" w:themeColor="text1"/>
          <w:sz w:val="22"/>
          <w:lang w:val="es-ES_tradnl"/>
        </w:rPr>
        <w:t xml:space="preserve">de </w:t>
      </w:r>
      <w:r w:rsidR="00F73317">
        <w:rPr>
          <w:rFonts w:ascii="Arial" w:eastAsia="Calibri" w:hAnsi="Arial" w:cs="Arial"/>
          <w:color w:val="000000" w:themeColor="text1"/>
          <w:sz w:val="22"/>
          <w:lang w:val="es-ES_tradnl"/>
        </w:rPr>
        <w:t>marzo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1AC622A1" w:rsidR="00BF4EC5" w:rsidRPr="00A51520" w:rsidRDefault="00F46782" w:rsidP="00BF4EC5">
      <w:pPr>
        <w:spacing w:line="276" w:lineRule="auto"/>
        <w:jc w:val="both"/>
        <w:rPr>
          <w:rFonts w:ascii="Arial" w:hAnsi="Arial" w:cs="Arial"/>
          <w:color w:val="000000" w:themeColor="text1"/>
          <w:sz w:val="22"/>
          <w:szCs w:val="22"/>
          <w:lang w:val="es-ES"/>
        </w:rPr>
      </w:pPr>
      <w:r>
        <w:rPr>
          <w:rFonts w:ascii="Arial" w:hAnsi="Arial" w:cs="Arial"/>
          <w:color w:val="000000" w:themeColor="text1"/>
          <w:sz w:val="22"/>
          <w:szCs w:val="22"/>
          <w:lang w:val="es-ES_tradnl"/>
        </w:rPr>
        <w:t xml:space="preserve">En relación con </w:t>
      </w:r>
      <w:r w:rsidR="0065218F">
        <w:rPr>
          <w:rFonts w:ascii="Arial" w:hAnsi="Arial" w:cs="Arial"/>
          <w:color w:val="000000" w:themeColor="text1"/>
          <w:sz w:val="22"/>
          <w:szCs w:val="22"/>
          <w:lang w:val="es-ES_tradnl"/>
        </w:rPr>
        <w:t>el Decreto 1860 de 2021 u</w:t>
      </w:r>
      <w:r w:rsidR="00827203" w:rsidRPr="00A51520">
        <w:rPr>
          <w:rFonts w:ascii="Arial" w:hAnsi="Arial" w:cs="Arial"/>
          <w:color w:val="000000" w:themeColor="text1"/>
          <w:sz w:val="22"/>
          <w:szCs w:val="22"/>
          <w:lang w:val="es-ES_tradnl"/>
        </w:rPr>
        <w:t xml:space="preserve">sted </w:t>
      </w:r>
      <w:r w:rsidR="0065218F">
        <w:rPr>
          <w:rFonts w:ascii="Arial" w:hAnsi="Arial" w:cs="Arial"/>
          <w:color w:val="000000" w:themeColor="text1"/>
          <w:sz w:val="22"/>
          <w:szCs w:val="22"/>
          <w:lang w:val="es-ES_tradnl"/>
        </w:rPr>
        <w:t xml:space="preserve">realiza </w:t>
      </w:r>
      <w:r w:rsidR="00026092" w:rsidRPr="00A51520">
        <w:rPr>
          <w:rFonts w:ascii="Arial" w:hAnsi="Arial" w:cs="Arial"/>
          <w:color w:val="000000" w:themeColor="text1"/>
          <w:sz w:val="22"/>
          <w:szCs w:val="22"/>
          <w:lang w:val="es-ES_tradnl"/>
        </w:rPr>
        <w:t>la</w:t>
      </w:r>
      <w:r w:rsidR="0065218F">
        <w:rPr>
          <w:rFonts w:ascii="Arial" w:hAnsi="Arial" w:cs="Arial"/>
          <w:color w:val="000000" w:themeColor="text1"/>
          <w:sz w:val="22"/>
          <w:szCs w:val="22"/>
          <w:lang w:val="es-ES_tradnl"/>
        </w:rPr>
        <w:t>s</w:t>
      </w:r>
      <w:r w:rsidR="00026092" w:rsidRPr="00A51520">
        <w:rPr>
          <w:rFonts w:ascii="Arial" w:hAnsi="Arial" w:cs="Arial"/>
          <w:color w:val="000000" w:themeColor="text1"/>
          <w:sz w:val="22"/>
          <w:szCs w:val="22"/>
          <w:lang w:val="es-ES_tradnl"/>
        </w:rPr>
        <w:t xml:space="preserve"> siguiente</w:t>
      </w:r>
      <w:r w:rsidR="008C5E9A">
        <w:rPr>
          <w:rFonts w:ascii="Arial" w:hAnsi="Arial" w:cs="Arial"/>
          <w:color w:val="000000" w:themeColor="text1"/>
          <w:sz w:val="22"/>
          <w:szCs w:val="22"/>
          <w:lang w:val="es-ES_tradnl"/>
        </w:rPr>
        <w:t>s</w:t>
      </w:r>
      <w:r w:rsidR="00AC4D8F" w:rsidRPr="00A51520">
        <w:rPr>
          <w:rFonts w:ascii="Arial" w:hAnsi="Arial" w:cs="Arial"/>
          <w:color w:val="000000" w:themeColor="text1"/>
          <w:sz w:val="22"/>
          <w:szCs w:val="22"/>
          <w:lang w:val="es-ES_tradnl"/>
        </w:rPr>
        <w:t xml:space="preserve"> </w:t>
      </w:r>
      <w:r w:rsidR="0065218F">
        <w:rPr>
          <w:rFonts w:ascii="Arial" w:hAnsi="Arial" w:cs="Arial"/>
          <w:color w:val="000000" w:themeColor="text1"/>
          <w:sz w:val="22"/>
          <w:szCs w:val="22"/>
          <w:lang w:val="es-ES_tradnl"/>
        </w:rPr>
        <w:t>preguntas</w:t>
      </w:r>
      <w:r w:rsidR="008C5E9A">
        <w:rPr>
          <w:rFonts w:ascii="Arial" w:hAnsi="Arial" w:cs="Arial"/>
          <w:sz w:val="22"/>
          <w:lang w:val="es-ES_tradnl"/>
        </w:rPr>
        <w:t xml:space="preserve">: </w:t>
      </w:r>
    </w:p>
    <w:p w14:paraId="0B7FAA28" w14:textId="77777777" w:rsidR="00BF4EC5" w:rsidRPr="00A51520" w:rsidRDefault="00BF4EC5" w:rsidP="00BF4EC5">
      <w:pPr>
        <w:spacing w:line="276" w:lineRule="auto"/>
        <w:jc w:val="both"/>
        <w:rPr>
          <w:rFonts w:ascii="Arial" w:hAnsi="Arial" w:cs="Arial"/>
          <w:color w:val="000000" w:themeColor="text1"/>
          <w:sz w:val="22"/>
          <w:szCs w:val="22"/>
        </w:rPr>
      </w:pPr>
    </w:p>
    <w:p w14:paraId="4AD636E0" w14:textId="77777777" w:rsidR="0065218F" w:rsidRPr="0065218F" w:rsidRDefault="0065218F" w:rsidP="0065218F">
      <w:pPr>
        <w:ind w:left="709" w:right="474"/>
        <w:jc w:val="both"/>
        <w:rPr>
          <w:rFonts w:ascii="Arial" w:eastAsia="Calibri" w:hAnsi="Arial" w:cs="Arial"/>
          <w:bCs/>
          <w:sz w:val="21"/>
          <w:szCs w:val="21"/>
          <w:lang w:eastAsia="en-US"/>
        </w:rPr>
      </w:pPr>
      <w:r w:rsidRPr="0065218F">
        <w:rPr>
          <w:rFonts w:ascii="Arial" w:eastAsia="Calibri" w:hAnsi="Arial" w:cs="Arial"/>
          <w:bCs/>
          <w:sz w:val="21"/>
          <w:szCs w:val="21"/>
        </w:rPr>
        <w:t xml:space="preserve">«1. En el nuevo contenido del artículo 2.2.1.2.1.5.2. del Decreto 1860 de 2021 </w:t>
      </w:r>
      <w:r w:rsidRPr="0065218F">
        <w:rPr>
          <w:rFonts w:ascii="Arial" w:eastAsia="Calibri" w:hAnsi="Arial" w:cs="Arial"/>
          <w:bCs/>
          <w:i/>
          <w:iCs/>
          <w:sz w:val="21"/>
          <w:szCs w:val="21"/>
        </w:rPr>
        <w:t>Procedimiento para la contratación de mínima cuantía</w:t>
      </w:r>
      <w:r w:rsidRPr="0065218F">
        <w:rPr>
          <w:rFonts w:ascii="Arial" w:eastAsia="Calibri" w:hAnsi="Arial" w:cs="Arial"/>
          <w:bCs/>
          <w:sz w:val="21"/>
          <w:szCs w:val="21"/>
        </w:rPr>
        <w:t xml:space="preserve">, se habla de que la Entidad Estatal podrá exigir una capacidad financiera mínima cuando no hace el pago contra entrega a satisfacción de los bienes, obras o servicios. ¿En ese sentido, se puede solicitar en procesos de mínima cuantía el RUP a los proponentes, para la verificación de la capacidad financiera? </w:t>
      </w:r>
    </w:p>
    <w:p w14:paraId="17041667" w14:textId="77777777" w:rsidR="0065218F" w:rsidRPr="0065218F" w:rsidRDefault="0065218F" w:rsidP="0065218F">
      <w:pPr>
        <w:ind w:left="709" w:right="474"/>
        <w:jc w:val="both"/>
        <w:rPr>
          <w:rFonts w:ascii="Arial" w:eastAsia="Calibri" w:hAnsi="Arial" w:cs="Arial"/>
          <w:bCs/>
          <w:sz w:val="21"/>
          <w:szCs w:val="21"/>
        </w:rPr>
      </w:pPr>
    </w:p>
    <w:p w14:paraId="12DC3DE5" w14:textId="77777777" w:rsidR="0065218F"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sz w:val="21"/>
          <w:szCs w:val="21"/>
        </w:rPr>
        <w:t xml:space="preserve">2. Respecto a las convocatorias limitadas a </w:t>
      </w:r>
      <w:proofErr w:type="spellStart"/>
      <w:r w:rsidRPr="0065218F">
        <w:rPr>
          <w:rFonts w:ascii="Arial" w:eastAsia="Calibri" w:hAnsi="Arial" w:cs="Arial"/>
          <w:bCs/>
          <w:sz w:val="21"/>
          <w:szCs w:val="21"/>
        </w:rPr>
        <w:t>Mipymes</w:t>
      </w:r>
      <w:proofErr w:type="spellEnd"/>
      <w:r w:rsidRPr="0065218F">
        <w:rPr>
          <w:rFonts w:ascii="Arial" w:eastAsia="Calibri" w:hAnsi="Arial" w:cs="Arial"/>
          <w:bCs/>
          <w:sz w:val="21"/>
          <w:szCs w:val="21"/>
        </w:rPr>
        <w:t xml:space="preserve">, Colombia Compra Eficiente, mediante Concepto C‒043 de 2021, sobre la ley de emprendimiento – Ley 2069 de 2020, se expresó en los siguientes términos: </w:t>
      </w:r>
    </w:p>
    <w:p w14:paraId="263F30D1" w14:textId="77777777" w:rsidR="0065218F" w:rsidRPr="0065218F" w:rsidRDefault="0065218F" w:rsidP="0065218F">
      <w:pPr>
        <w:ind w:left="709" w:right="474"/>
        <w:jc w:val="both"/>
        <w:rPr>
          <w:rFonts w:ascii="Arial" w:eastAsia="Calibri" w:hAnsi="Arial" w:cs="Arial"/>
          <w:bCs/>
          <w:i/>
          <w:iCs/>
          <w:sz w:val="21"/>
          <w:szCs w:val="21"/>
        </w:rPr>
      </w:pPr>
      <w:r w:rsidRPr="0065218F">
        <w:rPr>
          <w:rFonts w:ascii="Arial" w:eastAsia="Calibri" w:hAnsi="Arial" w:cs="Arial"/>
          <w:bCs/>
          <w:i/>
          <w:iCs/>
          <w:sz w:val="21"/>
          <w:szCs w:val="21"/>
        </w:rPr>
        <w:lastRenderedPageBreak/>
        <w:t xml:space="preserve">(…) De las consideraciones efectuadas con anterioridad por la Agencia, se puede concluir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está «deroga [ …] todas las disposiciones que le sean contrarias». Entonces, puede afirmarse que, además del decaimiento del artículo 2.2.1.2.4.2.2. del Decreto 1082 de 2015, debe entenderse derogado. </w:t>
      </w:r>
    </w:p>
    <w:p w14:paraId="6140855C" w14:textId="77777777" w:rsidR="0065218F" w:rsidRPr="0065218F" w:rsidRDefault="0065218F" w:rsidP="0065218F">
      <w:pPr>
        <w:ind w:left="709" w:right="474"/>
        <w:jc w:val="both"/>
        <w:rPr>
          <w:rFonts w:ascii="Arial" w:eastAsia="Calibri" w:hAnsi="Arial" w:cs="Arial"/>
          <w:bCs/>
          <w:sz w:val="21"/>
          <w:szCs w:val="21"/>
        </w:rPr>
      </w:pPr>
    </w:p>
    <w:p w14:paraId="0349068C" w14:textId="77777777" w:rsidR="0065218F"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i/>
          <w:iCs/>
          <w:sz w:val="21"/>
          <w:szCs w:val="21"/>
        </w:rPr>
        <w:t xml:space="preserve">(…) Además,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65218F">
        <w:rPr>
          <w:rFonts w:ascii="Arial" w:eastAsia="Calibri" w:hAnsi="Arial" w:cs="Arial"/>
          <w:bCs/>
          <w:i/>
          <w:iCs/>
          <w:sz w:val="21"/>
          <w:szCs w:val="21"/>
        </w:rPr>
        <w:t>mipymes</w:t>
      </w:r>
      <w:proofErr w:type="spellEnd"/>
      <w:r w:rsidRPr="0065218F">
        <w:rPr>
          <w:rFonts w:ascii="Arial" w:eastAsia="Calibri" w:hAnsi="Arial" w:cs="Arial"/>
          <w:bCs/>
          <w:i/>
          <w:iCs/>
          <w:sz w:val="21"/>
          <w:szCs w:val="21"/>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65218F">
        <w:rPr>
          <w:rFonts w:ascii="Arial" w:eastAsia="Calibri" w:hAnsi="Arial" w:cs="Arial"/>
          <w:bCs/>
          <w:i/>
          <w:iCs/>
          <w:sz w:val="21"/>
          <w:szCs w:val="21"/>
        </w:rPr>
        <w:t>mipymes</w:t>
      </w:r>
      <w:proofErr w:type="spellEnd"/>
      <w:r w:rsidRPr="0065218F">
        <w:rPr>
          <w:rFonts w:ascii="Arial" w:eastAsia="Calibri" w:hAnsi="Arial" w:cs="Arial"/>
          <w:bCs/>
          <w:i/>
          <w:iCs/>
          <w:sz w:val="21"/>
          <w:szCs w:val="21"/>
        </w:rPr>
        <w:t xml:space="preserve">. </w:t>
      </w:r>
      <w:r w:rsidRPr="0065218F">
        <w:rPr>
          <w:rFonts w:ascii="Arial" w:eastAsia="Calibri" w:hAnsi="Arial" w:cs="Arial"/>
          <w:b/>
          <w:bCs/>
          <w:i/>
          <w:iCs/>
          <w:sz w:val="21"/>
          <w:szCs w:val="21"/>
        </w:rPr>
        <w:t xml:space="preserve">Por ende, mientras ello no suceda, las entidades estatales, los patrimonios autónomos constituidos por estas y los particulares que ejecuten recursos públicos, no pueden adoptar convocatorias limitadas a </w:t>
      </w:r>
      <w:proofErr w:type="spellStart"/>
      <w:r w:rsidRPr="0065218F">
        <w:rPr>
          <w:rFonts w:ascii="Arial" w:eastAsia="Calibri" w:hAnsi="Arial" w:cs="Arial"/>
          <w:b/>
          <w:bCs/>
          <w:i/>
          <w:iCs/>
          <w:sz w:val="21"/>
          <w:szCs w:val="21"/>
        </w:rPr>
        <w:t>mipymes</w:t>
      </w:r>
      <w:proofErr w:type="spellEnd"/>
      <w:r w:rsidRPr="0065218F">
        <w:rPr>
          <w:rFonts w:ascii="Arial" w:eastAsia="Calibri" w:hAnsi="Arial" w:cs="Arial"/>
          <w:b/>
          <w:bCs/>
          <w:i/>
          <w:iCs/>
          <w:sz w:val="21"/>
          <w:szCs w:val="21"/>
        </w:rPr>
        <w:t xml:space="preserve">, pues al tenor del artículo 34 de la Ley 2069 de 2020, la eficacia de esta norma quedó condicionada a la expedición del decreto reglamentario que fije las condiciones de su operatividad” </w:t>
      </w:r>
      <w:r w:rsidRPr="0065218F">
        <w:rPr>
          <w:rFonts w:ascii="Arial" w:eastAsia="Calibri" w:hAnsi="Arial" w:cs="Arial"/>
          <w:bCs/>
          <w:sz w:val="21"/>
          <w:szCs w:val="21"/>
        </w:rPr>
        <w:t xml:space="preserve">(negrilla fuera de texto). </w:t>
      </w:r>
    </w:p>
    <w:p w14:paraId="238CE075" w14:textId="77777777" w:rsidR="0065218F" w:rsidRPr="0065218F" w:rsidRDefault="0065218F" w:rsidP="0065218F">
      <w:pPr>
        <w:ind w:left="709" w:right="474"/>
        <w:jc w:val="both"/>
        <w:rPr>
          <w:rFonts w:ascii="Arial" w:eastAsia="Calibri" w:hAnsi="Arial" w:cs="Arial"/>
          <w:bCs/>
          <w:sz w:val="21"/>
          <w:szCs w:val="21"/>
        </w:rPr>
      </w:pPr>
    </w:p>
    <w:p w14:paraId="6E8BB9CD" w14:textId="77777777" w:rsidR="0065218F"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sz w:val="21"/>
          <w:szCs w:val="21"/>
        </w:rPr>
        <w:t xml:space="preserve">Teniendo en cuenta lo anterior, ¿La operatividad de la limitación para presentar las solicitudes con el fin de limitar la convocatoria a </w:t>
      </w:r>
      <w:proofErr w:type="spellStart"/>
      <w:r w:rsidRPr="0065218F">
        <w:rPr>
          <w:rFonts w:ascii="Arial" w:eastAsia="Calibri" w:hAnsi="Arial" w:cs="Arial"/>
          <w:bCs/>
          <w:sz w:val="21"/>
          <w:szCs w:val="21"/>
        </w:rPr>
        <w:t>Mipyme</w:t>
      </w:r>
      <w:proofErr w:type="spellEnd"/>
      <w:r w:rsidRPr="0065218F">
        <w:rPr>
          <w:rFonts w:ascii="Arial" w:eastAsia="Calibri" w:hAnsi="Arial" w:cs="Arial"/>
          <w:bCs/>
          <w:sz w:val="21"/>
          <w:szCs w:val="21"/>
        </w:rPr>
        <w:t xml:space="preserve"> colombianas se encontraría reactivada con el Decreto 1860 de 2021?</w:t>
      </w:r>
    </w:p>
    <w:p w14:paraId="0163E164" w14:textId="77777777" w:rsidR="0065218F"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sz w:val="21"/>
          <w:szCs w:val="21"/>
        </w:rPr>
        <w:t xml:space="preserve"> </w:t>
      </w:r>
    </w:p>
    <w:p w14:paraId="6FCA6CCD" w14:textId="77777777" w:rsidR="0065218F"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sz w:val="21"/>
          <w:szCs w:val="21"/>
        </w:rPr>
        <w:t xml:space="preserve">3. En el nuevo contenido del artículo 2.2.1.2.1.5.3. del Decreto 1860 de 2021, ¿Como es la operatividad de este artículo, es el procedimiento que se debe seguir para todas las compras que se realicen en grandes almacenes cuando se trate de mínima cuantía? </w:t>
      </w:r>
    </w:p>
    <w:p w14:paraId="43BCEC82" w14:textId="77777777" w:rsidR="0065218F" w:rsidRPr="0065218F" w:rsidRDefault="0065218F" w:rsidP="0065218F">
      <w:pPr>
        <w:ind w:left="709" w:right="474"/>
        <w:jc w:val="both"/>
        <w:rPr>
          <w:rFonts w:ascii="Arial" w:eastAsia="Calibri" w:hAnsi="Arial" w:cs="Arial"/>
          <w:bCs/>
          <w:sz w:val="21"/>
          <w:szCs w:val="21"/>
        </w:rPr>
      </w:pPr>
    </w:p>
    <w:p w14:paraId="1489D3C4" w14:textId="04290207" w:rsid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sz w:val="21"/>
          <w:szCs w:val="21"/>
        </w:rPr>
        <w:t xml:space="preserve">4. ¿Fueron expedidas por CCE las reglas para la creación y utilización de los catálogos de bienes o servicios derivados de instrumentos de agregación de demanda con </w:t>
      </w:r>
      <w:proofErr w:type="spellStart"/>
      <w:r w:rsidRPr="0065218F">
        <w:rPr>
          <w:rFonts w:ascii="Arial" w:eastAsia="Calibri" w:hAnsi="Arial" w:cs="Arial"/>
          <w:bCs/>
          <w:sz w:val="21"/>
          <w:szCs w:val="21"/>
        </w:rPr>
        <w:t>Mipyme</w:t>
      </w:r>
      <w:proofErr w:type="spellEnd"/>
      <w:r w:rsidRPr="0065218F">
        <w:rPr>
          <w:rFonts w:ascii="Arial" w:eastAsia="Calibri" w:hAnsi="Arial" w:cs="Arial"/>
          <w:bCs/>
          <w:sz w:val="21"/>
          <w:szCs w:val="21"/>
        </w:rPr>
        <w:t xml:space="preserve">, así como con grandes almacenes, en la Tienda Virtual del Estado Colombiano? </w:t>
      </w:r>
    </w:p>
    <w:p w14:paraId="343F6929" w14:textId="77777777" w:rsidR="0065218F" w:rsidRPr="0065218F" w:rsidRDefault="0065218F" w:rsidP="0065218F">
      <w:pPr>
        <w:ind w:left="709" w:right="474"/>
        <w:jc w:val="both"/>
        <w:rPr>
          <w:rFonts w:ascii="Arial" w:eastAsia="Calibri" w:hAnsi="Arial" w:cs="Arial"/>
          <w:bCs/>
          <w:sz w:val="21"/>
          <w:szCs w:val="21"/>
        </w:rPr>
      </w:pPr>
    </w:p>
    <w:p w14:paraId="5A9E4F83" w14:textId="6C43A98D" w:rsidR="00991805"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sz w:val="21"/>
          <w:szCs w:val="21"/>
        </w:rPr>
        <w:t>5. ¿La Agencia Nacional de Contratación Pública - Colombia Compra Eficiente expidió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r w:rsidRPr="006617BC">
        <w:rPr>
          <w:rFonts w:ascii="Arial" w:eastAsia="Calibri" w:hAnsi="Arial" w:cs="Arial"/>
          <w:bCs/>
          <w:color w:val="000000"/>
          <w:sz w:val="22"/>
          <w:szCs w:val="22"/>
          <w:lang w:val="es-ES_tradnl" w:eastAsia="en-US"/>
        </w:rPr>
        <w:t>»</w:t>
      </w:r>
    </w:p>
    <w:p w14:paraId="05F0DBB2" w14:textId="77777777" w:rsidR="0065218F" w:rsidRPr="0065218F" w:rsidRDefault="0065218F" w:rsidP="007A6F90">
      <w:pPr>
        <w:spacing w:line="276" w:lineRule="auto"/>
        <w:ind w:left="709" w:right="476"/>
        <w:jc w:val="both"/>
        <w:rPr>
          <w:rFonts w:ascii="Arial" w:eastAsia="Calibri" w:hAnsi="Arial" w:cs="Arial"/>
          <w:bCs/>
          <w:sz w:val="20"/>
          <w:szCs w:val="20"/>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lastRenderedPageBreak/>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53548FDA" w14:textId="2BCD988B" w:rsidR="0036315A" w:rsidRPr="0036315A" w:rsidRDefault="002E70BF" w:rsidP="0036315A">
      <w:pPr>
        <w:tabs>
          <w:tab w:val="left" w:pos="709"/>
        </w:tabs>
        <w:spacing w:line="276" w:lineRule="auto"/>
        <w:jc w:val="both"/>
        <w:rPr>
          <w:rFonts w:ascii="Arial" w:eastAsia="Calibri" w:hAnsi="Arial" w:cs="Arial"/>
          <w:b/>
          <w:bCs/>
          <w:color w:val="000000"/>
          <w:sz w:val="22"/>
          <w:szCs w:val="22"/>
          <w:lang w:eastAsia="en-US"/>
        </w:rPr>
      </w:pPr>
      <w:r w:rsidRPr="006617BC">
        <w:rPr>
          <w:rFonts w:ascii="Arial" w:eastAsia="Calibri" w:hAnsi="Arial" w:cs="Arial"/>
          <w:color w:val="000000" w:themeColor="text1"/>
          <w:sz w:val="22"/>
          <w:szCs w:val="22"/>
        </w:rPr>
        <w:t>En relación con las consultas planteadas, debe tenerse en cuenta que se estudiará y responderá la primera, segunda</w:t>
      </w:r>
      <w:r w:rsidR="0036315A">
        <w:rPr>
          <w:rFonts w:ascii="Arial" w:eastAsia="Calibri" w:hAnsi="Arial" w:cs="Arial"/>
          <w:color w:val="000000" w:themeColor="text1"/>
          <w:sz w:val="22"/>
          <w:szCs w:val="22"/>
        </w:rPr>
        <w:t>, tercera</w:t>
      </w:r>
      <w:r w:rsidR="00C235C1">
        <w:rPr>
          <w:rFonts w:ascii="Arial" w:eastAsia="Calibri" w:hAnsi="Arial" w:cs="Arial"/>
          <w:color w:val="000000" w:themeColor="text1"/>
          <w:sz w:val="22"/>
          <w:szCs w:val="22"/>
        </w:rPr>
        <w:t xml:space="preserve"> y </w:t>
      </w:r>
      <w:r w:rsidR="0036315A">
        <w:rPr>
          <w:rFonts w:ascii="Arial" w:eastAsia="Calibri" w:hAnsi="Arial" w:cs="Arial"/>
          <w:color w:val="000000" w:themeColor="text1"/>
          <w:sz w:val="22"/>
          <w:szCs w:val="22"/>
        </w:rPr>
        <w:t xml:space="preserve">quinta </w:t>
      </w:r>
      <w:r w:rsidRPr="006617BC">
        <w:rPr>
          <w:rFonts w:ascii="Arial" w:eastAsia="Calibri" w:hAnsi="Arial" w:cs="Arial"/>
          <w:color w:val="000000" w:themeColor="text1"/>
          <w:sz w:val="22"/>
          <w:szCs w:val="22"/>
        </w:rPr>
        <w:t xml:space="preserve">pregunta, teniendo en cuenta las competencias de esta Subdirección en relación con </w:t>
      </w:r>
      <w:r w:rsidRPr="006617BC">
        <w:rPr>
          <w:rFonts w:ascii="Arial" w:hAnsi="Arial" w:cs="Arial"/>
          <w:sz w:val="22"/>
          <w:lang w:val="es-ES"/>
        </w:rPr>
        <w:t>la aplicación de normas de carácter general en materia de compras y contratación pública.</w:t>
      </w:r>
      <w:r w:rsidRPr="006617BC">
        <w:rPr>
          <w:rFonts w:ascii="Arial" w:eastAsia="Calibri" w:hAnsi="Arial" w:cs="Arial"/>
          <w:color w:val="000000" w:themeColor="text1"/>
          <w:sz w:val="22"/>
          <w:szCs w:val="22"/>
        </w:rPr>
        <w:t xml:space="preserve"> La pregunta</w:t>
      </w:r>
      <w:r w:rsidR="0036315A">
        <w:rPr>
          <w:rFonts w:ascii="Arial" w:eastAsia="Calibri" w:hAnsi="Arial" w:cs="Arial"/>
          <w:color w:val="000000" w:themeColor="text1"/>
          <w:sz w:val="22"/>
          <w:szCs w:val="22"/>
        </w:rPr>
        <w:t xml:space="preserve"> </w:t>
      </w:r>
      <w:r w:rsidRPr="006617BC">
        <w:rPr>
          <w:rFonts w:ascii="Arial" w:eastAsia="Calibri" w:hAnsi="Arial" w:cs="Arial"/>
          <w:color w:val="000000" w:themeColor="text1"/>
          <w:sz w:val="22"/>
          <w:szCs w:val="22"/>
        </w:rPr>
        <w:t xml:space="preserve">cuarta será atendida por la Subdirección de Negocios de esta Agencia. Para tales efectos, </w:t>
      </w:r>
      <w:r w:rsidRPr="006617BC">
        <w:rPr>
          <w:rFonts w:ascii="Arial" w:eastAsia="Calibri" w:hAnsi="Arial" w:cs="Arial"/>
          <w:color w:val="000000" w:themeColor="text1"/>
          <w:sz w:val="22"/>
          <w:szCs w:val="22"/>
          <w:lang w:val="es-ES_tradnl"/>
        </w:rPr>
        <w:t>se analizarán los siguientes temas:</w:t>
      </w:r>
      <w:r w:rsidRPr="006617BC">
        <w:rPr>
          <w:rFonts w:ascii="Arial" w:eastAsia="Calibri" w:hAnsi="Arial" w:cs="Arial"/>
          <w:color w:val="000000" w:themeColor="text1"/>
          <w:sz w:val="22"/>
          <w:szCs w:val="22"/>
          <w:lang w:val="es-ES"/>
        </w:rPr>
        <w:t xml:space="preserve"> </w:t>
      </w:r>
      <w:r w:rsidRPr="006617BC">
        <w:rPr>
          <w:rFonts w:ascii="Arial" w:eastAsia="Calibri" w:hAnsi="Arial" w:cs="Arial"/>
          <w:bCs/>
          <w:color w:val="000000" w:themeColor="text1"/>
          <w:sz w:val="22"/>
          <w:szCs w:val="22"/>
        </w:rPr>
        <w:t>i)</w:t>
      </w:r>
      <w:r w:rsidRPr="006617BC">
        <w:t xml:space="preserve"> </w:t>
      </w:r>
      <w:r w:rsidR="0036315A">
        <w:rPr>
          <w:rFonts w:ascii="Arial" w:eastAsia="Calibri" w:hAnsi="Arial" w:cs="Arial"/>
          <w:color w:val="000000" w:themeColor="text1"/>
          <w:sz w:val="22"/>
          <w:szCs w:val="22"/>
          <w:lang w:val="es-ES_tradnl"/>
        </w:rPr>
        <w:t>m</w:t>
      </w:r>
      <w:r w:rsidR="0036315A" w:rsidRPr="0036315A">
        <w:rPr>
          <w:rFonts w:ascii="Arial" w:eastAsia="Calibri" w:hAnsi="Arial" w:cs="Arial"/>
          <w:color w:val="000000" w:themeColor="text1"/>
          <w:sz w:val="22"/>
          <w:szCs w:val="22"/>
          <w:lang w:val="es-ES_tradnl"/>
        </w:rPr>
        <w:t>odalidad de selección de mínima cuantía. Regulación y características del procedimiento</w:t>
      </w:r>
      <w:r w:rsidR="0036315A">
        <w:rPr>
          <w:rFonts w:ascii="Arial" w:eastAsia="Calibri" w:hAnsi="Arial" w:cs="Arial"/>
          <w:color w:val="000000" w:themeColor="text1"/>
          <w:sz w:val="22"/>
          <w:szCs w:val="22"/>
          <w:lang w:val="es-ES_tradnl"/>
        </w:rPr>
        <w:t xml:space="preserve">, </w:t>
      </w:r>
      <w:proofErr w:type="spellStart"/>
      <w:r w:rsidR="0036315A">
        <w:rPr>
          <w:rFonts w:ascii="Arial" w:eastAsia="Calibri" w:hAnsi="Arial" w:cs="Arial"/>
          <w:color w:val="000000" w:themeColor="text1"/>
          <w:sz w:val="22"/>
          <w:szCs w:val="22"/>
          <w:lang w:val="es-ES_tradnl"/>
        </w:rPr>
        <w:t>ii</w:t>
      </w:r>
      <w:proofErr w:type="spellEnd"/>
      <w:r w:rsidR="0036315A">
        <w:rPr>
          <w:rFonts w:ascii="Arial" w:eastAsia="Calibri" w:hAnsi="Arial" w:cs="Arial"/>
          <w:color w:val="000000" w:themeColor="text1"/>
          <w:sz w:val="22"/>
          <w:szCs w:val="22"/>
          <w:lang w:val="es-ES_tradnl"/>
        </w:rPr>
        <w:t xml:space="preserve">) </w:t>
      </w:r>
      <w:r w:rsidR="0036315A">
        <w:rPr>
          <w:rFonts w:ascii="Arial" w:eastAsia="Calibri" w:hAnsi="Arial" w:cs="Arial"/>
          <w:color w:val="000000"/>
          <w:sz w:val="22"/>
          <w:szCs w:val="22"/>
          <w:lang w:val="es-ES_tradnl" w:eastAsia="en-US"/>
        </w:rPr>
        <w:t>a</w:t>
      </w:r>
      <w:r w:rsidR="0036315A" w:rsidRPr="0036315A">
        <w:rPr>
          <w:rFonts w:ascii="Arial" w:eastAsia="Calibri" w:hAnsi="Arial" w:cs="Arial"/>
          <w:color w:val="000000"/>
          <w:sz w:val="22"/>
          <w:szCs w:val="22"/>
          <w:lang w:val="es-ES_tradnl" w:eastAsia="en-US"/>
        </w:rPr>
        <w:t>dquisiciones en grandes almacenes cuando se trate de la mínima cuantía de conformidad con el Decreto 1860 de 2021</w:t>
      </w:r>
      <w:r w:rsidR="0036315A">
        <w:rPr>
          <w:rFonts w:ascii="Arial" w:eastAsia="Calibri" w:hAnsi="Arial" w:cs="Arial"/>
          <w:color w:val="000000"/>
          <w:sz w:val="22"/>
          <w:szCs w:val="22"/>
          <w:lang w:val="es-ES_tradnl" w:eastAsia="en-US"/>
        </w:rPr>
        <w:t xml:space="preserve">, </w:t>
      </w:r>
      <w:proofErr w:type="spellStart"/>
      <w:r w:rsidR="0036315A">
        <w:rPr>
          <w:rFonts w:ascii="Arial" w:eastAsia="Calibri" w:hAnsi="Arial" w:cs="Arial"/>
          <w:color w:val="000000"/>
          <w:sz w:val="22"/>
          <w:szCs w:val="22"/>
          <w:lang w:val="es-ES_tradnl" w:eastAsia="en-US"/>
        </w:rPr>
        <w:t>iii</w:t>
      </w:r>
      <w:proofErr w:type="spellEnd"/>
      <w:r w:rsidR="0036315A">
        <w:rPr>
          <w:rFonts w:ascii="Arial" w:eastAsia="Calibri" w:hAnsi="Arial" w:cs="Arial"/>
          <w:color w:val="000000"/>
          <w:sz w:val="22"/>
          <w:szCs w:val="22"/>
          <w:lang w:val="es-ES_tradnl" w:eastAsia="en-US"/>
        </w:rPr>
        <w:t xml:space="preserve">) convocatorias limitadas a </w:t>
      </w:r>
      <w:proofErr w:type="spellStart"/>
      <w:r w:rsidR="0036315A">
        <w:rPr>
          <w:rFonts w:ascii="Arial" w:eastAsia="Calibri" w:hAnsi="Arial" w:cs="Arial"/>
          <w:color w:val="000000"/>
          <w:sz w:val="22"/>
          <w:szCs w:val="22"/>
          <w:lang w:val="es-ES_tradnl" w:eastAsia="en-US"/>
        </w:rPr>
        <w:t>Mipyme</w:t>
      </w:r>
      <w:proofErr w:type="spellEnd"/>
      <w:r w:rsidR="0036315A">
        <w:rPr>
          <w:rFonts w:ascii="Arial" w:eastAsia="Calibri" w:hAnsi="Arial" w:cs="Arial"/>
          <w:color w:val="000000"/>
          <w:sz w:val="22"/>
          <w:szCs w:val="22"/>
          <w:lang w:val="es-ES_tradnl" w:eastAsia="en-US"/>
        </w:rPr>
        <w:t xml:space="preserve"> y </w:t>
      </w:r>
      <w:proofErr w:type="spellStart"/>
      <w:r w:rsidR="0036315A">
        <w:rPr>
          <w:rFonts w:ascii="Arial" w:eastAsia="Calibri" w:hAnsi="Arial" w:cs="Arial"/>
          <w:color w:val="000000"/>
          <w:sz w:val="22"/>
          <w:szCs w:val="22"/>
          <w:lang w:val="es-ES_tradnl" w:eastAsia="en-US"/>
        </w:rPr>
        <w:t>iv</w:t>
      </w:r>
      <w:proofErr w:type="spellEnd"/>
      <w:r w:rsidR="0036315A">
        <w:rPr>
          <w:rFonts w:ascii="Arial" w:eastAsia="Calibri" w:hAnsi="Arial" w:cs="Arial"/>
          <w:color w:val="000000"/>
          <w:sz w:val="22"/>
          <w:szCs w:val="22"/>
          <w:lang w:val="es-ES_tradnl" w:eastAsia="en-US"/>
        </w:rPr>
        <w:t xml:space="preserve">) </w:t>
      </w:r>
      <w:r w:rsidR="0036315A">
        <w:rPr>
          <w:rFonts w:ascii="Arial" w:eastAsia="Calibri" w:hAnsi="Arial" w:cs="Arial"/>
          <w:color w:val="000000"/>
          <w:sz w:val="22"/>
          <w:szCs w:val="22"/>
          <w:lang w:eastAsia="en-US"/>
        </w:rPr>
        <w:t>f</w:t>
      </w:r>
      <w:r w:rsidR="0036315A" w:rsidRPr="0036315A">
        <w:rPr>
          <w:rFonts w:ascii="Arial" w:eastAsia="Calibri" w:hAnsi="Arial" w:cs="Arial"/>
          <w:color w:val="000000"/>
          <w:sz w:val="22"/>
          <w:szCs w:val="22"/>
          <w:lang w:eastAsia="en-US"/>
        </w:rPr>
        <w:t>omento a la ejecución de contratos estatales por parte de población en pobreza extrema, desplazados por la violencia, personas en proceso de reintegración o reincorporación y sujetos de especial protección constitucional</w:t>
      </w:r>
      <w:r w:rsidR="00240A4A">
        <w:rPr>
          <w:rFonts w:ascii="Arial" w:eastAsia="Calibri" w:hAnsi="Arial" w:cs="Arial"/>
          <w:color w:val="000000"/>
          <w:sz w:val="22"/>
          <w:szCs w:val="22"/>
          <w:lang w:eastAsia="en-US"/>
        </w:rPr>
        <w:t>.</w:t>
      </w:r>
    </w:p>
    <w:p w14:paraId="5E47CAFE" w14:textId="6254097D" w:rsidR="002E70BF" w:rsidRDefault="002E70BF" w:rsidP="002E70BF">
      <w:pPr>
        <w:spacing w:before="120" w:line="276" w:lineRule="auto"/>
        <w:ind w:firstLine="709"/>
        <w:jc w:val="both"/>
        <w:rPr>
          <w:rFonts w:ascii="Arial" w:eastAsia="Calibri" w:hAnsi="Arial" w:cs="Arial"/>
          <w:bCs/>
          <w:color w:val="000000" w:themeColor="text1"/>
          <w:sz w:val="22"/>
          <w:szCs w:val="22"/>
          <w:lang w:val="es-ES_tradnl"/>
        </w:rPr>
      </w:pPr>
      <w:r w:rsidRPr="006617BC">
        <w:rPr>
          <w:rFonts w:ascii="Arial" w:eastAsia="Calibri" w:hAnsi="Arial" w:cs="Arial"/>
          <w:color w:val="000000" w:themeColor="text1"/>
          <w:sz w:val="22"/>
          <w:szCs w:val="22"/>
          <w:lang w:val="es-ES_tradnl"/>
        </w:rPr>
        <w:t xml:space="preserve">Es importante destacar que la Agencia Nacional de Contratación Pública – Colombia Compra Eficiente </w:t>
      </w:r>
      <w:r w:rsidRPr="006617BC">
        <w:rPr>
          <w:rFonts w:ascii="Arial" w:eastAsia="Calibri" w:hAnsi="Arial" w:cs="Arial"/>
          <w:bCs/>
          <w:color w:val="000000" w:themeColor="text1"/>
          <w:sz w:val="22"/>
          <w:szCs w:val="22"/>
          <w:lang w:val="es-ES_tradnl"/>
        </w:rPr>
        <w:t>en los conceptos 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w:t>
      </w:r>
      <w:r w:rsidR="00063085">
        <w:rPr>
          <w:rFonts w:ascii="Arial" w:eastAsia="Calibri" w:hAnsi="Arial" w:cs="Arial"/>
          <w:bCs/>
          <w:color w:val="000000" w:themeColor="text1"/>
          <w:sz w:val="22"/>
          <w:szCs w:val="22"/>
          <w:lang w:val="es-ES_tradnl"/>
        </w:rPr>
        <w:t>,</w:t>
      </w:r>
      <w:r w:rsidRPr="006617BC">
        <w:rPr>
          <w:rFonts w:ascii="Arial" w:eastAsia="Calibri" w:hAnsi="Arial" w:cs="Arial"/>
          <w:bCs/>
          <w:color w:val="000000" w:themeColor="text1"/>
          <w:sz w:val="22"/>
          <w:szCs w:val="22"/>
          <w:lang w:val="es-ES_tradnl"/>
        </w:rPr>
        <w:t xml:space="preserve"> C-573 de 13 de octubre de 2021</w:t>
      </w:r>
      <w:r w:rsidR="00063085">
        <w:rPr>
          <w:rFonts w:ascii="Arial" w:eastAsia="Calibri" w:hAnsi="Arial" w:cs="Arial"/>
          <w:bCs/>
          <w:color w:val="000000" w:themeColor="text1"/>
          <w:sz w:val="22"/>
          <w:szCs w:val="22"/>
          <w:lang w:val="es-ES_tradnl"/>
        </w:rPr>
        <w:t xml:space="preserve"> y C-001 del 17 de febrero de 2022</w:t>
      </w:r>
      <w:r w:rsidRPr="006617BC">
        <w:rPr>
          <w:rFonts w:ascii="Arial" w:eastAsia="Calibri" w:hAnsi="Arial" w:cs="Arial"/>
          <w:bCs/>
          <w:color w:val="000000" w:themeColor="text1"/>
          <w:sz w:val="22"/>
          <w:szCs w:val="22"/>
          <w:lang w:val="es-ES_tradnl"/>
        </w:rPr>
        <w:t>, analizó el alcance del artículo 30 de la Ley 2069 de 2020. En el desarrollo del concepto se hará referencia al Decreto 1860 del 24 de diciembre de 2021, en relación con la modalidad de mínima cuantía.</w:t>
      </w:r>
    </w:p>
    <w:p w14:paraId="4CFCF200" w14:textId="5669ACA9" w:rsidR="00E9592E" w:rsidRPr="006617BC" w:rsidRDefault="00E9592E" w:rsidP="002E70BF">
      <w:pPr>
        <w:spacing w:before="120" w:line="276" w:lineRule="auto"/>
        <w:ind w:firstLine="709"/>
        <w:jc w:val="both"/>
        <w:rPr>
          <w:rFonts w:ascii="Arial" w:eastAsia="Calibri" w:hAnsi="Arial" w:cs="Arial"/>
          <w:bCs/>
          <w:color w:val="000000" w:themeColor="text1"/>
          <w:sz w:val="22"/>
          <w:szCs w:val="22"/>
          <w:lang w:val="es-ES_tradnl"/>
        </w:rPr>
      </w:pPr>
      <w:r>
        <w:rPr>
          <w:rFonts w:ascii="Arial" w:eastAsia="Calibri" w:hAnsi="Arial" w:cs="Arial"/>
          <w:sz w:val="22"/>
          <w:szCs w:val="22"/>
          <w:lang w:val="es-ES_tradnl"/>
        </w:rPr>
        <w:t>Igualmente,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w:t>
      </w:r>
      <w:r w:rsidR="00C235C1">
        <w:rPr>
          <w:rFonts w:ascii="Arial" w:eastAsia="Calibri" w:hAnsi="Arial" w:cs="Arial"/>
          <w:sz w:val="22"/>
          <w:szCs w:val="22"/>
          <w:lang w:val="es-ES_tradnl"/>
        </w:rPr>
        <w:t>1</w:t>
      </w:r>
      <w:r>
        <w:rPr>
          <w:rFonts w:ascii="Arial" w:eastAsia="Calibri" w:hAnsi="Arial" w:cs="Arial"/>
          <w:sz w:val="22"/>
          <w:szCs w:val="22"/>
          <w:lang w:val="es-ES_tradnl"/>
        </w:rPr>
        <w:t>, esta Agencia se pronunció sobre la nueva regulación de la promoción del desarrollo en la contratación estatal contenida en el artículo 34 de la Ley 2069 de 2020</w:t>
      </w:r>
      <w:r>
        <w:rPr>
          <w:rStyle w:val="Refdenotaalpie"/>
          <w:rFonts w:ascii="Arial" w:eastAsia="Calibri" w:hAnsi="Arial" w:cs="Arial"/>
          <w:sz w:val="22"/>
          <w:szCs w:val="22"/>
          <w:lang w:val="es-ES_tradnl"/>
        </w:rPr>
        <w:footnoteReference w:id="2"/>
      </w:r>
      <w:r>
        <w:rPr>
          <w:rFonts w:ascii="Arial" w:eastAsia="Calibri" w:hAnsi="Arial" w:cs="Arial"/>
          <w:sz w:val="22"/>
          <w:szCs w:val="22"/>
          <w:lang w:val="es-ES_tradnl"/>
        </w:rPr>
        <w:t xml:space="preserve">. </w:t>
      </w:r>
    </w:p>
    <w:p w14:paraId="27DA9246" w14:textId="77777777" w:rsidR="00BA79B8" w:rsidRPr="001C75C1" w:rsidRDefault="00BA79B8" w:rsidP="002E70BF">
      <w:pPr>
        <w:spacing w:line="276" w:lineRule="auto"/>
        <w:jc w:val="both"/>
        <w:rPr>
          <w:rFonts w:ascii="Arial" w:eastAsia="Calibri" w:hAnsi="Arial" w:cs="Arial"/>
          <w:color w:val="000000" w:themeColor="text1"/>
          <w:sz w:val="22"/>
          <w:szCs w:val="22"/>
          <w:lang w:val="es-ES_tradnl"/>
        </w:rPr>
      </w:pPr>
    </w:p>
    <w:p w14:paraId="4446C693" w14:textId="2177669E" w:rsidR="00AE02C4" w:rsidRDefault="00063085" w:rsidP="00DF098E">
      <w:pPr>
        <w:tabs>
          <w:tab w:val="left" w:pos="709"/>
        </w:tabs>
        <w:spacing w:line="276" w:lineRule="auto"/>
        <w:jc w:val="both"/>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lastRenderedPageBreak/>
        <w:t>2.1</w:t>
      </w:r>
      <w:r w:rsidR="00CF148D">
        <w:rPr>
          <w:rFonts w:ascii="Arial" w:eastAsia="Calibri" w:hAnsi="Arial" w:cs="Arial"/>
          <w:b/>
          <w:bCs/>
          <w:color w:val="000000" w:themeColor="text1"/>
          <w:sz w:val="22"/>
          <w:szCs w:val="22"/>
          <w:lang w:val="es-ES_tradnl"/>
        </w:rPr>
        <w:t xml:space="preserve"> </w:t>
      </w:r>
      <w:bookmarkStart w:id="3" w:name="_Hlk94169601"/>
      <w:r w:rsidR="00AE02C4" w:rsidRPr="00AE02C4">
        <w:rPr>
          <w:rFonts w:ascii="Arial" w:eastAsia="Calibri" w:hAnsi="Arial" w:cs="Arial"/>
          <w:b/>
          <w:bCs/>
          <w:color w:val="000000" w:themeColor="text1"/>
          <w:sz w:val="22"/>
          <w:szCs w:val="22"/>
          <w:lang w:val="es-ES_tradnl"/>
        </w:rPr>
        <w:t>Modalidad de selección de mínima cuantía. Regulación y características del procedimiento</w:t>
      </w:r>
    </w:p>
    <w:p w14:paraId="71DA0ABE" w14:textId="77777777" w:rsidR="008C0F4F" w:rsidRDefault="008C0F4F" w:rsidP="00DF098E">
      <w:pPr>
        <w:tabs>
          <w:tab w:val="left" w:pos="709"/>
        </w:tabs>
        <w:spacing w:line="276" w:lineRule="auto"/>
        <w:jc w:val="both"/>
        <w:rPr>
          <w:rFonts w:ascii="Arial" w:eastAsia="Calibri" w:hAnsi="Arial" w:cs="Arial"/>
          <w:b/>
          <w:bCs/>
          <w:color w:val="000000" w:themeColor="text1"/>
          <w:sz w:val="22"/>
          <w:szCs w:val="22"/>
          <w:lang w:val="es-ES_tradnl"/>
        </w:rPr>
      </w:pPr>
    </w:p>
    <w:p w14:paraId="757FECDB" w14:textId="77777777" w:rsidR="00063085" w:rsidRPr="00063085" w:rsidRDefault="00063085" w:rsidP="003632CC">
      <w:pPr>
        <w:tabs>
          <w:tab w:val="left" w:pos="709"/>
        </w:tabs>
        <w:spacing w:line="276" w:lineRule="auto"/>
        <w:jc w:val="both"/>
        <w:rPr>
          <w:rFonts w:ascii="Arial" w:eastAsia="Calibri" w:hAnsi="Arial" w:cs="Arial"/>
          <w:bCs/>
          <w:color w:val="000000"/>
          <w:sz w:val="22"/>
          <w:szCs w:val="22"/>
          <w:lang w:val="es-ES_tradnl" w:eastAsia="en-US"/>
        </w:rPr>
      </w:pPr>
      <w:r w:rsidRPr="00063085">
        <w:rPr>
          <w:rFonts w:ascii="Arial" w:eastAsia="Calibri" w:hAnsi="Arial" w:cs="Arial"/>
          <w:bCs/>
          <w:color w:val="000000"/>
          <w:sz w:val="22"/>
          <w:szCs w:val="22"/>
          <w:lang w:val="es-ES_tradnl" w:eastAsia="en-US"/>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4" w:name="_Hlk69566698"/>
      <w:r w:rsidRPr="00063085">
        <w:rPr>
          <w:rFonts w:ascii="Arial" w:eastAsia="Calibri" w:hAnsi="Arial" w:cs="Arial"/>
          <w:bCs/>
          <w:color w:val="000000"/>
          <w:sz w:val="22"/>
          <w:szCs w:val="22"/>
          <w:lang w:val="es-ES_tradnl" w:eastAsia="en-US"/>
        </w:rPr>
        <w:t>el artículo 94 de la Ley 1474 de 2011</w:t>
      </w:r>
      <w:bookmarkEnd w:id="4"/>
      <w:r w:rsidRPr="00063085">
        <w:rPr>
          <w:rFonts w:ascii="Arial" w:eastAsia="Calibri" w:hAnsi="Arial" w:cs="Arial"/>
          <w:bCs/>
          <w:color w:val="000000"/>
          <w:sz w:val="22"/>
          <w:szCs w:val="22"/>
          <w:lang w:val="es-ES_tradnl" w:eastAsia="en-US"/>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063085">
        <w:rPr>
          <w:rFonts w:ascii="Arial" w:eastAsia="Calibri" w:hAnsi="Arial" w:cs="Arial"/>
          <w:bCs/>
          <w:color w:val="000000"/>
          <w:sz w:val="22"/>
          <w:szCs w:val="22"/>
          <w:vertAlign w:val="superscript"/>
          <w:lang w:val="es-ES_tradnl" w:eastAsia="en-US"/>
        </w:rPr>
        <w:footnoteReference w:id="3"/>
      </w:r>
      <w:r w:rsidRPr="00063085">
        <w:rPr>
          <w:rFonts w:ascii="Arial" w:eastAsia="Calibri" w:hAnsi="Arial" w:cs="Arial"/>
          <w:bCs/>
          <w:color w:val="000000"/>
          <w:sz w:val="22"/>
          <w:szCs w:val="22"/>
          <w:lang w:val="es-ES_tradnl" w:eastAsia="en-US"/>
        </w:rPr>
        <w:t>.</w:t>
      </w:r>
    </w:p>
    <w:p w14:paraId="47AE7A81" w14:textId="77777777" w:rsidR="00063085" w:rsidRPr="00063085" w:rsidRDefault="00063085" w:rsidP="007D4261">
      <w:pPr>
        <w:tabs>
          <w:tab w:val="left" w:pos="709"/>
        </w:tabs>
        <w:spacing w:before="120" w:line="276" w:lineRule="auto"/>
        <w:jc w:val="both"/>
        <w:rPr>
          <w:rFonts w:ascii="Arial" w:eastAsia="Calibri" w:hAnsi="Arial" w:cs="Arial"/>
          <w:bCs/>
          <w:color w:val="000000"/>
          <w:sz w:val="22"/>
          <w:szCs w:val="22"/>
          <w:lang w:val="es-ES_tradnl" w:eastAsia="en-US"/>
        </w:rPr>
      </w:pPr>
      <w:r w:rsidRPr="00063085">
        <w:rPr>
          <w:rFonts w:ascii="Arial" w:eastAsia="Calibri" w:hAnsi="Arial" w:cs="Arial"/>
          <w:bCs/>
          <w:color w:val="000000"/>
          <w:sz w:val="22"/>
          <w:szCs w:val="22"/>
          <w:lang w:val="es-ES_tradnl" w:eastAsia="en-US"/>
        </w:rPr>
        <w:tab/>
        <w:t>En esencia, el artículo 30 de la Ley 2069 de 2020 conserva a grandes rasgos el procedimiento previsto en el derogado artículo 94 de la Ley 1474 de 2011, el cual define los aspectos generales del procedimiento contractual</w:t>
      </w:r>
      <w:r w:rsidRPr="00063085">
        <w:rPr>
          <w:rFonts w:ascii="Arial" w:eastAsia="Calibri" w:hAnsi="Arial" w:cs="Arial"/>
          <w:bCs/>
          <w:color w:val="000000"/>
          <w:sz w:val="22"/>
          <w:szCs w:val="22"/>
          <w:vertAlign w:val="superscript"/>
          <w:lang w:val="es-ES_tradnl" w:eastAsia="en-US"/>
        </w:rPr>
        <w:footnoteReference w:id="4"/>
      </w:r>
      <w:r w:rsidRPr="00063085">
        <w:rPr>
          <w:rFonts w:ascii="Arial" w:eastAsia="Calibri" w:hAnsi="Arial" w:cs="Arial"/>
          <w:bCs/>
          <w:color w:val="000000"/>
          <w:sz w:val="22"/>
          <w:szCs w:val="22"/>
          <w:lang w:val="es-ES_tradnl" w:eastAsia="en-US"/>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063085">
        <w:rPr>
          <w:rFonts w:ascii="Arial" w:eastAsia="Calibri" w:hAnsi="Arial" w:cs="Arial"/>
          <w:bCs/>
          <w:i/>
          <w:iCs/>
          <w:color w:val="000000"/>
          <w:sz w:val="22"/>
          <w:szCs w:val="22"/>
          <w:lang w:val="es-ES_tradnl" w:eastAsia="en-US"/>
        </w:rPr>
        <w:t xml:space="preserve">a </w:t>
      </w:r>
      <w:proofErr w:type="spellStart"/>
      <w:r w:rsidRPr="00063085">
        <w:rPr>
          <w:rFonts w:ascii="Arial" w:eastAsia="Calibri" w:hAnsi="Arial" w:cs="Arial"/>
          <w:bCs/>
          <w:i/>
          <w:iCs/>
          <w:color w:val="000000"/>
          <w:sz w:val="22"/>
          <w:szCs w:val="22"/>
          <w:lang w:val="es-ES_tradnl" w:eastAsia="en-US"/>
        </w:rPr>
        <w:t>Mipymes</w:t>
      </w:r>
      <w:proofErr w:type="spellEnd"/>
      <w:r w:rsidRPr="00063085">
        <w:rPr>
          <w:rFonts w:ascii="Arial" w:eastAsia="Calibri" w:hAnsi="Arial" w:cs="Arial"/>
          <w:bCs/>
          <w:color w:val="000000"/>
          <w:sz w:val="22"/>
          <w:szCs w:val="22"/>
          <w:lang w:val="es-ES_tradnl" w:eastAsia="en-US"/>
        </w:rPr>
        <w:t xml:space="preserve"> o establecimientos que correspondan a la definición de "gran almacén" señalada por la Superintendencia de </w:t>
      </w:r>
      <w:r w:rsidRPr="00063085">
        <w:rPr>
          <w:rFonts w:ascii="Arial" w:eastAsia="Calibri" w:hAnsi="Arial" w:cs="Arial"/>
          <w:bCs/>
          <w:color w:val="000000"/>
          <w:sz w:val="22"/>
          <w:szCs w:val="22"/>
          <w:lang w:val="es-ES_tradnl" w:eastAsia="en-US"/>
        </w:rPr>
        <w:lastRenderedPageBreak/>
        <w:t xml:space="preserve">Industria y Comercio, se determinarán en el reglamento que para el efecto expida el Gobierno Nacional» (Énfasis fuera de texto). </w:t>
      </w:r>
    </w:p>
    <w:p w14:paraId="60593B9E" w14:textId="5DCABAD5" w:rsidR="00063085" w:rsidRDefault="00063085" w:rsidP="002324A3">
      <w:pPr>
        <w:tabs>
          <w:tab w:val="left" w:pos="709"/>
        </w:tabs>
        <w:spacing w:before="120" w:line="276" w:lineRule="auto"/>
        <w:jc w:val="both"/>
        <w:rPr>
          <w:rFonts w:ascii="Arial" w:eastAsia="Calibri" w:hAnsi="Arial" w:cs="Arial"/>
          <w:bCs/>
          <w:color w:val="000000"/>
          <w:sz w:val="22"/>
          <w:szCs w:val="22"/>
          <w:lang w:val="es-ES_tradnl" w:eastAsia="en-US"/>
        </w:rPr>
      </w:pPr>
      <w:r w:rsidRPr="00063085">
        <w:rPr>
          <w:rFonts w:ascii="Arial" w:eastAsia="Calibri" w:hAnsi="Arial" w:cs="Arial"/>
          <w:bCs/>
          <w:color w:val="000000"/>
          <w:sz w:val="22"/>
          <w:szCs w:val="22"/>
          <w:lang w:val="es-ES_tradnl" w:eastAsia="en-US"/>
        </w:rPr>
        <w:tab/>
        <w:t xml:space="preserve">Esta modificación es importante, pues antes de la Ley de Emprendimiento era imposible limitar a </w:t>
      </w:r>
      <w:proofErr w:type="spellStart"/>
      <w:r w:rsidR="004B70DF">
        <w:rPr>
          <w:rFonts w:ascii="Arial" w:eastAsia="Calibri" w:hAnsi="Arial" w:cs="Arial"/>
          <w:bCs/>
          <w:color w:val="000000"/>
          <w:sz w:val="22"/>
          <w:szCs w:val="22"/>
          <w:lang w:val="es-ES_tradnl" w:eastAsia="en-US"/>
        </w:rPr>
        <w:t>M</w:t>
      </w:r>
      <w:r w:rsidRPr="00063085">
        <w:rPr>
          <w:rFonts w:ascii="Arial" w:eastAsia="Calibri" w:hAnsi="Arial" w:cs="Arial"/>
          <w:bCs/>
          <w:color w:val="000000"/>
          <w:sz w:val="22"/>
          <w:szCs w:val="22"/>
          <w:lang w:val="es-ES_tradnl" w:eastAsia="en-US"/>
        </w:rPr>
        <w:t>ipyme</w:t>
      </w:r>
      <w:proofErr w:type="spellEnd"/>
      <w:r w:rsidRPr="00063085">
        <w:rPr>
          <w:rFonts w:ascii="Arial" w:eastAsia="Calibri" w:hAnsi="Arial" w:cs="Arial"/>
          <w:bCs/>
          <w:color w:val="000000"/>
          <w:sz w:val="22"/>
          <w:szCs w:val="22"/>
          <w:lang w:val="es-ES_tradnl" w:eastAsia="en-US"/>
        </w:rPr>
        <w:t xml:space="preserve"> la mínima cuantía, especialmente, cuando el artículo 94 la Ley 1474 de 2011 disponía que no era aplicable la Ley 816 de 2003, «Por medio de la cual se apoya a la industria nacional a través de la contratación pública</w:t>
      </w:r>
      <w:r w:rsidRPr="00063085">
        <w:rPr>
          <w:rFonts w:ascii="Arial" w:eastAsia="Calibri" w:hAnsi="Arial" w:cs="Arial"/>
          <w:color w:val="000000"/>
          <w:sz w:val="22"/>
          <w:szCs w:val="22"/>
          <w:lang w:val="es-ES_tradnl" w:eastAsia="en-US"/>
        </w:rPr>
        <w:t xml:space="preserve">», ni </w:t>
      </w:r>
      <w:r w:rsidRPr="00063085">
        <w:rPr>
          <w:rFonts w:ascii="Arial" w:eastAsia="Calibri" w:hAnsi="Arial" w:cs="Arial"/>
          <w:bCs/>
          <w:color w:val="000000"/>
          <w:sz w:val="22"/>
          <w:szCs w:val="22"/>
          <w:lang w:val="es-ES_tradnl" w:eastAsia="en-US"/>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063085">
        <w:rPr>
          <w:rFonts w:ascii="Arial" w:eastAsia="Calibri" w:hAnsi="Arial" w:cs="Arial"/>
          <w:bCs/>
          <w:color w:val="000000"/>
          <w:sz w:val="22"/>
          <w:szCs w:val="22"/>
          <w:lang w:val="es-ES_tradnl" w:eastAsia="en-US"/>
        </w:rPr>
        <w:t>mipymes</w:t>
      </w:r>
      <w:proofErr w:type="spellEnd"/>
      <w:r w:rsidRPr="00063085">
        <w:rPr>
          <w:rFonts w:ascii="Arial" w:eastAsia="Calibri" w:hAnsi="Arial" w:cs="Arial"/>
          <w:bCs/>
          <w:color w:val="000000"/>
          <w:sz w:val="22"/>
          <w:szCs w:val="22"/>
          <w:lang w:val="es-ES_tradnl" w:eastAsia="en-US"/>
        </w:rPr>
        <w:t xml:space="preserve"> en esta modalidad de selección.</w:t>
      </w:r>
      <w:r w:rsidR="002324A3">
        <w:rPr>
          <w:rFonts w:ascii="Arial" w:eastAsia="Calibri" w:hAnsi="Arial" w:cs="Arial"/>
          <w:bCs/>
          <w:color w:val="000000"/>
          <w:sz w:val="22"/>
          <w:szCs w:val="22"/>
          <w:lang w:val="es-ES_tradnl" w:eastAsia="en-US"/>
        </w:rPr>
        <w:t xml:space="preserve"> </w:t>
      </w:r>
      <w:r w:rsidRPr="00063085">
        <w:rPr>
          <w:rFonts w:ascii="Arial" w:eastAsia="Calibri" w:hAnsi="Arial" w:cs="Arial"/>
          <w:bCs/>
          <w:color w:val="000000"/>
          <w:sz w:val="22"/>
          <w:szCs w:val="22"/>
          <w:lang w:val="es-ES_tradnl" w:eastAsia="en-US"/>
        </w:rPr>
        <w:t xml:space="preserve">Como se observa, el parágrafo 1 del artículo 30 de la Ley 2069 de 2020 dispone que el reglamento es importante para regular: i) las «particularidades del procedimiento de selección» y </w:t>
      </w:r>
      <w:proofErr w:type="spellStart"/>
      <w:r w:rsidRPr="00063085">
        <w:rPr>
          <w:rFonts w:ascii="Arial" w:eastAsia="Calibri" w:hAnsi="Arial" w:cs="Arial"/>
          <w:bCs/>
          <w:color w:val="000000"/>
          <w:sz w:val="22"/>
          <w:szCs w:val="22"/>
          <w:lang w:val="es-ES_tradnl" w:eastAsia="en-US"/>
        </w:rPr>
        <w:t>ii</w:t>
      </w:r>
      <w:proofErr w:type="spellEnd"/>
      <w:r w:rsidRPr="00063085">
        <w:rPr>
          <w:rFonts w:ascii="Arial" w:eastAsia="Calibri" w:hAnsi="Arial" w:cs="Arial"/>
          <w:bCs/>
          <w:color w:val="000000"/>
          <w:sz w:val="22"/>
          <w:szCs w:val="22"/>
          <w:lang w:val="es-ES_tradnl" w:eastAsia="en-US"/>
        </w:rPr>
        <w:t xml:space="preserve">) la posibilidad de realizar estas adquisiciones a </w:t>
      </w:r>
      <w:proofErr w:type="spellStart"/>
      <w:r w:rsidRPr="00063085">
        <w:rPr>
          <w:rFonts w:ascii="Arial" w:eastAsia="Calibri" w:hAnsi="Arial" w:cs="Arial"/>
          <w:bCs/>
          <w:color w:val="000000"/>
          <w:sz w:val="22"/>
          <w:szCs w:val="22"/>
          <w:lang w:val="es-ES_tradnl" w:eastAsia="en-US"/>
        </w:rPr>
        <w:t>mipymes</w:t>
      </w:r>
      <w:proofErr w:type="spellEnd"/>
      <w:r w:rsidRPr="00063085">
        <w:rPr>
          <w:rFonts w:ascii="Arial" w:eastAsia="Calibri" w:hAnsi="Arial" w:cs="Arial"/>
          <w:bCs/>
          <w:color w:val="000000"/>
          <w:sz w:val="22"/>
          <w:szCs w:val="22"/>
          <w:lang w:val="es-ES_tradnl" w:eastAsia="en-US"/>
        </w:rPr>
        <w:t xml:space="preserve"> o establecimientos que correspondan a la definición de «gran almacén»</w:t>
      </w:r>
      <w:r>
        <w:rPr>
          <w:rFonts w:ascii="Arial" w:eastAsia="Calibri" w:hAnsi="Arial" w:cs="Arial"/>
          <w:bCs/>
          <w:color w:val="000000"/>
          <w:sz w:val="22"/>
          <w:szCs w:val="22"/>
          <w:lang w:val="es-ES_tradnl" w:eastAsia="en-US"/>
        </w:rPr>
        <w:t>.</w:t>
      </w:r>
    </w:p>
    <w:p w14:paraId="2551B19D" w14:textId="25797ED8" w:rsidR="00B44BDA" w:rsidRPr="00B44BDA" w:rsidRDefault="00063085" w:rsidP="00B44BDA">
      <w:pPr>
        <w:tabs>
          <w:tab w:val="left" w:pos="709"/>
        </w:tabs>
        <w:spacing w:before="120" w:line="276" w:lineRule="auto"/>
        <w:ind w:firstLine="709"/>
        <w:jc w:val="both"/>
        <w:rPr>
          <w:rFonts w:ascii="Arial" w:eastAsia="Calibri" w:hAnsi="Arial" w:cs="Arial"/>
          <w:bCs/>
          <w:color w:val="000000"/>
          <w:sz w:val="22"/>
          <w:szCs w:val="22"/>
          <w:lang w:eastAsia="en-US"/>
        </w:rPr>
      </w:pPr>
      <w:r>
        <w:rPr>
          <w:rFonts w:ascii="Arial" w:eastAsia="Calibri" w:hAnsi="Arial" w:cs="Arial"/>
          <w:bCs/>
          <w:color w:val="000000"/>
          <w:sz w:val="22"/>
          <w:szCs w:val="22"/>
          <w:lang w:val="es-ES_tradnl" w:eastAsia="en-US"/>
        </w:rPr>
        <w:t xml:space="preserve">Con fundamento en lo anterior, </w:t>
      </w:r>
      <w:r w:rsidR="003D408E">
        <w:rPr>
          <w:rFonts w:ascii="Arial" w:eastAsia="Calibri" w:hAnsi="Arial" w:cs="Arial"/>
          <w:color w:val="000000"/>
          <w:sz w:val="22"/>
          <w:szCs w:val="22"/>
          <w:lang w:val="es-ES_tradnl" w:eastAsia="en-US"/>
        </w:rPr>
        <w:t>el Gobierno Nacional expidió</w:t>
      </w:r>
      <w:r w:rsidR="006E0D16" w:rsidRPr="006617BC">
        <w:rPr>
          <w:rFonts w:ascii="Arial" w:eastAsia="Calibri" w:hAnsi="Arial" w:cs="Arial"/>
          <w:color w:val="000000"/>
          <w:sz w:val="22"/>
          <w:szCs w:val="22"/>
          <w:lang w:val="es-ES_tradnl" w:eastAsia="en-US"/>
        </w:rPr>
        <w:t xml:space="preserve"> el Decreto 1860 de</w:t>
      </w:r>
      <w:r w:rsidR="003D408E">
        <w:rPr>
          <w:rFonts w:ascii="Arial" w:eastAsia="Calibri" w:hAnsi="Arial" w:cs="Arial"/>
          <w:color w:val="000000"/>
          <w:sz w:val="22"/>
          <w:szCs w:val="22"/>
          <w:lang w:val="es-ES_tradnl" w:eastAsia="en-US"/>
        </w:rPr>
        <w:t>l</w:t>
      </w:r>
      <w:r w:rsidR="006E0D16" w:rsidRPr="006617BC">
        <w:rPr>
          <w:rFonts w:ascii="Arial" w:eastAsia="Calibri" w:hAnsi="Arial" w:cs="Arial"/>
          <w:color w:val="000000"/>
          <w:sz w:val="22"/>
          <w:szCs w:val="22"/>
          <w:lang w:val="es-ES_tradnl" w:eastAsia="en-US"/>
        </w:rPr>
        <w:t xml:space="preserve"> </w:t>
      </w:r>
      <w:r w:rsidR="002324A3">
        <w:rPr>
          <w:rFonts w:ascii="Arial" w:eastAsia="Calibri" w:hAnsi="Arial" w:cs="Arial"/>
          <w:color w:val="000000"/>
          <w:sz w:val="22"/>
          <w:szCs w:val="22"/>
          <w:lang w:val="es-ES_tradnl" w:eastAsia="en-US"/>
        </w:rPr>
        <w:t xml:space="preserve">24 de diciembre de </w:t>
      </w:r>
      <w:r w:rsidR="006E0D16" w:rsidRPr="006617BC">
        <w:rPr>
          <w:rFonts w:ascii="Arial" w:eastAsia="Calibri" w:hAnsi="Arial" w:cs="Arial"/>
          <w:color w:val="000000"/>
          <w:sz w:val="22"/>
          <w:szCs w:val="22"/>
          <w:lang w:val="es-ES_tradnl" w:eastAsia="en-US"/>
        </w:rPr>
        <w:t>2021</w:t>
      </w:r>
      <w:r w:rsidR="00CB690C">
        <w:rPr>
          <w:rFonts w:ascii="Arial" w:eastAsia="Calibri" w:hAnsi="Arial" w:cs="Arial"/>
          <w:color w:val="000000"/>
          <w:sz w:val="22"/>
          <w:szCs w:val="22"/>
          <w:lang w:val="es-ES_tradnl" w:eastAsia="en-US"/>
        </w:rPr>
        <w:t>,</w:t>
      </w:r>
      <w:r w:rsidR="006E0D16" w:rsidRPr="006617BC">
        <w:rPr>
          <w:rFonts w:ascii="Arial" w:eastAsia="Calibri" w:hAnsi="Arial" w:cs="Arial"/>
          <w:color w:val="000000"/>
          <w:sz w:val="22"/>
          <w:szCs w:val="22"/>
          <w:lang w:val="es-ES_tradnl" w:eastAsia="en-US"/>
        </w:rPr>
        <w:t xml:space="preserve"> </w:t>
      </w:r>
      <w:r w:rsidR="006E0D16" w:rsidRPr="006617BC">
        <w:rPr>
          <w:rFonts w:ascii="Arial" w:eastAsia="Calibri" w:hAnsi="Arial" w:cs="Arial"/>
          <w:bCs/>
          <w:color w:val="000000"/>
          <w:sz w:val="22"/>
          <w:szCs w:val="22"/>
          <w:lang w:val="es-ES_tradnl" w:eastAsia="en-US"/>
        </w:rPr>
        <w:t>«</w:t>
      </w:r>
      <w:r w:rsidR="00CB690C">
        <w:rPr>
          <w:rFonts w:ascii="Arial" w:eastAsia="Calibri" w:hAnsi="Arial" w:cs="Arial"/>
          <w:bCs/>
          <w:color w:val="000000"/>
          <w:sz w:val="22"/>
          <w:szCs w:val="22"/>
          <w:lang w:val="es-ES_tradnl" w:eastAsia="en-US"/>
        </w:rPr>
        <w:t>P</w:t>
      </w:r>
      <w:r w:rsidR="006E0D16" w:rsidRPr="006617BC">
        <w:rPr>
          <w:rFonts w:ascii="Arial" w:eastAsia="Calibri" w:hAnsi="Arial" w:cs="Arial"/>
          <w:bCs/>
          <w:color w:val="000000"/>
          <w:sz w:val="22"/>
          <w:szCs w:val="22"/>
          <w:lang w:val="es-ES_tradnl" w:eastAsia="en-US"/>
        </w:rPr>
        <w:t xml:space="preserve">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w:t>
      </w:r>
      <w:r w:rsidR="00B44BDA">
        <w:rPr>
          <w:rFonts w:ascii="Arial" w:eastAsia="Calibri" w:hAnsi="Arial" w:cs="Arial"/>
          <w:bCs/>
          <w:color w:val="000000"/>
          <w:sz w:val="22"/>
          <w:szCs w:val="22"/>
          <w:lang w:val="es-ES_tradnl" w:eastAsia="en-US"/>
        </w:rPr>
        <w:t>E</w:t>
      </w:r>
      <w:r w:rsidR="00B44BDA" w:rsidRPr="00B44BDA">
        <w:rPr>
          <w:rFonts w:ascii="Arial" w:eastAsia="Calibri" w:hAnsi="Arial" w:cs="Arial"/>
          <w:bCs/>
          <w:color w:val="000000"/>
          <w:sz w:val="22"/>
          <w:szCs w:val="22"/>
          <w:lang w:val="es-ES_tradnl" w:eastAsia="en-US"/>
        </w:rPr>
        <w:t xml:space="preserve">l artículo 8 </w:t>
      </w:r>
      <w:r w:rsidR="00B44BDA" w:rsidRPr="00B44BDA">
        <w:rPr>
          <w:rFonts w:ascii="Arial" w:eastAsia="Calibri" w:hAnsi="Arial" w:cs="Arial"/>
          <w:bCs/>
          <w:i/>
          <w:iCs/>
          <w:color w:val="000000"/>
          <w:sz w:val="22"/>
          <w:szCs w:val="22"/>
          <w:lang w:val="es-ES_tradnl" w:eastAsia="en-US"/>
        </w:rPr>
        <w:t>ibidem</w:t>
      </w:r>
      <w:r w:rsidR="00B44BDA">
        <w:rPr>
          <w:rFonts w:ascii="Arial" w:eastAsia="Calibri" w:hAnsi="Arial" w:cs="Arial"/>
          <w:bCs/>
          <w:color w:val="000000"/>
          <w:sz w:val="22"/>
          <w:szCs w:val="22"/>
          <w:lang w:val="es-ES_tradnl" w:eastAsia="en-US"/>
        </w:rPr>
        <w:t xml:space="preserve"> </w:t>
      </w:r>
      <w:r w:rsidR="00B44BDA" w:rsidRPr="00B44BDA">
        <w:rPr>
          <w:rFonts w:ascii="Arial" w:eastAsia="Calibri" w:hAnsi="Arial" w:cs="Arial"/>
          <w:bCs/>
          <w:color w:val="000000"/>
          <w:sz w:val="22"/>
          <w:szCs w:val="22"/>
          <w:lang w:val="es-ES_tradnl" w:eastAsia="en-US"/>
        </w:rPr>
        <w:t>sometió a un plazo la entrada en vigencia de sus disposiciones, al señalar que «aplicarán a los procedimientos de selección cuya invitación, aviso de convocatoria o documento equivalente se publique a los tres (3) meses contados a partir de su expedición»</w:t>
      </w:r>
      <w:r w:rsidR="00B44BDA" w:rsidRPr="00B44BDA">
        <w:rPr>
          <w:rFonts w:ascii="Arial" w:eastAsia="Calibri" w:hAnsi="Arial" w:cs="Arial"/>
          <w:bCs/>
          <w:color w:val="000000"/>
          <w:sz w:val="22"/>
          <w:szCs w:val="22"/>
          <w:vertAlign w:val="superscript"/>
          <w:lang w:val="es-ES_tradnl" w:eastAsia="en-US"/>
        </w:rPr>
        <w:footnoteReference w:id="5"/>
      </w:r>
      <w:r w:rsidR="002C3FB9">
        <w:rPr>
          <w:rFonts w:ascii="Arial" w:eastAsia="Calibri" w:hAnsi="Arial" w:cs="Arial"/>
          <w:bCs/>
          <w:color w:val="000000"/>
          <w:sz w:val="22"/>
          <w:szCs w:val="22"/>
          <w:lang w:eastAsia="en-US"/>
        </w:rPr>
        <w:t xml:space="preserve">. </w:t>
      </w:r>
    </w:p>
    <w:p w14:paraId="793AA6AB" w14:textId="65F23CD4" w:rsidR="006E0D16" w:rsidRPr="006617BC" w:rsidRDefault="006E0D16" w:rsidP="00B27FED">
      <w:pPr>
        <w:tabs>
          <w:tab w:val="left" w:pos="709"/>
        </w:tabs>
        <w:spacing w:before="120" w:line="276" w:lineRule="auto"/>
        <w:ind w:firstLine="709"/>
        <w:jc w:val="both"/>
        <w:rPr>
          <w:rFonts w:ascii="Arial" w:eastAsia="Calibri" w:hAnsi="Arial" w:cs="Arial"/>
          <w:bCs/>
          <w:color w:val="000000"/>
          <w:sz w:val="22"/>
          <w:szCs w:val="22"/>
          <w:lang w:val="es-ES_tradnl" w:eastAsia="en-US"/>
        </w:rPr>
      </w:pPr>
      <w:r w:rsidRPr="006617BC">
        <w:rPr>
          <w:rFonts w:ascii="Arial" w:eastAsia="Calibri" w:hAnsi="Arial" w:cs="Arial"/>
          <w:bCs/>
          <w:color w:val="000000"/>
          <w:sz w:val="22"/>
          <w:szCs w:val="22"/>
          <w:lang w:val="es-ES_tradnl" w:eastAsia="en-US"/>
        </w:rPr>
        <w:t xml:space="preserve">Entre los aspectos reglamentados por el mencionado decreto se encuentra el procedimiento de mínima cuantía. </w:t>
      </w:r>
      <w:r w:rsidR="00F53B81">
        <w:rPr>
          <w:rFonts w:ascii="Arial" w:eastAsia="Calibri" w:hAnsi="Arial" w:cs="Arial"/>
          <w:bCs/>
          <w:color w:val="000000"/>
          <w:sz w:val="22"/>
          <w:szCs w:val="22"/>
          <w:lang w:val="es-ES_tradnl" w:eastAsia="en-US"/>
        </w:rPr>
        <w:t>Así las cosas</w:t>
      </w:r>
      <w:r w:rsidRPr="006617BC">
        <w:rPr>
          <w:rFonts w:ascii="Arial" w:eastAsia="Calibri" w:hAnsi="Arial" w:cs="Arial"/>
          <w:bCs/>
          <w:color w:val="000000"/>
          <w:sz w:val="22"/>
          <w:szCs w:val="22"/>
          <w:lang w:val="es-ES_tradnl" w:eastAsia="en-US"/>
        </w:rPr>
        <w:t>, el artículo 2 modifica la Subsección 5 de la Sección 1 del Capítulo 2 del Título 1 de la Parte</w:t>
      </w:r>
      <w:r w:rsidR="00213E2D">
        <w:rPr>
          <w:rFonts w:ascii="Arial" w:eastAsia="Calibri" w:hAnsi="Arial" w:cs="Arial"/>
          <w:bCs/>
          <w:color w:val="000000"/>
          <w:sz w:val="22"/>
          <w:szCs w:val="22"/>
          <w:lang w:val="es-ES_tradnl" w:eastAsia="en-US"/>
        </w:rPr>
        <w:t xml:space="preserve"> </w:t>
      </w:r>
      <w:r w:rsidRPr="006617BC">
        <w:rPr>
          <w:rFonts w:ascii="Arial" w:eastAsia="Calibri" w:hAnsi="Arial" w:cs="Arial"/>
          <w:bCs/>
          <w:color w:val="000000"/>
          <w:sz w:val="22"/>
          <w:szCs w:val="22"/>
          <w:lang w:val="es-ES_tradnl" w:eastAsia="en-US"/>
        </w:rPr>
        <w:t>2 del Libro 2 del Decreto 1082 de 2015, que se titula «mínima cuantía», por lo que reglamenta esta modalidad de selección con fundamento en lo establecido en el artículo 30 de la Ley 2069 de 2020.</w:t>
      </w:r>
      <w:r w:rsidR="00CD771A">
        <w:rPr>
          <w:rFonts w:ascii="Arial" w:eastAsia="Calibri" w:hAnsi="Arial" w:cs="Arial"/>
          <w:bCs/>
          <w:color w:val="000000"/>
          <w:sz w:val="22"/>
          <w:szCs w:val="22"/>
          <w:lang w:val="es-ES_tradnl" w:eastAsia="en-US"/>
        </w:rPr>
        <w:t xml:space="preserve"> </w:t>
      </w:r>
      <w:r w:rsidRPr="006617BC">
        <w:rPr>
          <w:rFonts w:ascii="Arial" w:eastAsia="Calibri" w:hAnsi="Arial" w:cs="Arial"/>
          <w:bCs/>
          <w:color w:val="000000"/>
          <w:sz w:val="22"/>
          <w:szCs w:val="22"/>
          <w:lang w:val="es-ES_tradnl" w:eastAsia="en-US"/>
        </w:rPr>
        <w:t xml:space="preserve">Teniendo en cuenta lo anterior, la nueva Subsección 5 a que se hizo referencia contiene los siguientes artículos: i) 2.2.1.2.1.5.1. que se ocupa de desarrollar el contenido de los estudios previos para la </w:t>
      </w:r>
      <w:r w:rsidRPr="006617BC">
        <w:rPr>
          <w:rFonts w:ascii="Arial" w:eastAsia="Calibri" w:hAnsi="Arial" w:cs="Arial"/>
          <w:bCs/>
          <w:color w:val="000000"/>
          <w:sz w:val="22"/>
          <w:szCs w:val="22"/>
          <w:lang w:val="es-ES_tradnl" w:eastAsia="en-US"/>
        </w:rPr>
        <w:lastRenderedPageBreak/>
        <w:t xml:space="preserve">contratación de mínima cuantía. </w:t>
      </w:r>
      <w:proofErr w:type="spellStart"/>
      <w:r w:rsidRPr="006617BC">
        <w:rPr>
          <w:rFonts w:ascii="Arial" w:eastAsia="Calibri" w:hAnsi="Arial" w:cs="Arial"/>
          <w:bCs/>
          <w:color w:val="000000"/>
          <w:sz w:val="22"/>
          <w:szCs w:val="22"/>
          <w:lang w:val="es-ES_tradnl" w:eastAsia="en-US"/>
        </w:rPr>
        <w:t>ii</w:t>
      </w:r>
      <w:proofErr w:type="spellEnd"/>
      <w:r w:rsidRPr="006617BC">
        <w:rPr>
          <w:rFonts w:ascii="Arial" w:eastAsia="Calibri" w:hAnsi="Arial" w:cs="Arial"/>
          <w:bCs/>
          <w:color w:val="000000"/>
          <w:sz w:val="22"/>
          <w:szCs w:val="22"/>
          <w:lang w:val="es-ES_tradnl" w:eastAsia="en-U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6617BC">
        <w:rPr>
          <w:rFonts w:ascii="Arial" w:eastAsia="Calibri" w:hAnsi="Arial" w:cs="Arial"/>
          <w:bCs/>
          <w:color w:val="000000"/>
          <w:sz w:val="22"/>
          <w:szCs w:val="22"/>
          <w:lang w:val="es-ES_tradnl" w:eastAsia="en-US"/>
        </w:rPr>
        <w:t>Mipyme</w:t>
      </w:r>
      <w:proofErr w:type="spellEnd"/>
      <w:r w:rsidRPr="006617BC">
        <w:rPr>
          <w:rFonts w:ascii="Arial" w:eastAsia="Calibri" w:hAnsi="Arial" w:cs="Arial"/>
          <w:bCs/>
          <w:color w:val="000000"/>
          <w:sz w:val="22"/>
          <w:szCs w:val="22"/>
          <w:lang w:val="es-ES_tradnl" w:eastAsia="en-US"/>
        </w:rPr>
        <w:t xml:space="preserve">, de acuerdo con el mandato del parágrafo 1 del artículo 30 de la Ley 2069 de 2020. </w:t>
      </w:r>
      <w:proofErr w:type="spellStart"/>
      <w:r w:rsidRPr="006617BC">
        <w:rPr>
          <w:rFonts w:ascii="Arial" w:eastAsia="Calibri" w:hAnsi="Arial" w:cs="Arial"/>
          <w:bCs/>
          <w:color w:val="000000"/>
          <w:sz w:val="22"/>
          <w:szCs w:val="22"/>
          <w:lang w:val="es-ES_tradnl" w:eastAsia="en-US"/>
        </w:rPr>
        <w:t>iii</w:t>
      </w:r>
      <w:proofErr w:type="spellEnd"/>
      <w:r w:rsidRPr="006617BC">
        <w:rPr>
          <w:rFonts w:ascii="Arial" w:eastAsia="Calibri" w:hAnsi="Arial" w:cs="Arial"/>
          <w:bCs/>
          <w:color w:val="000000"/>
          <w:sz w:val="22"/>
          <w:szCs w:val="22"/>
          <w:lang w:val="es-ES_tradnl" w:eastAsia="en-US"/>
        </w:rPr>
        <w:t xml:space="preserve">) 2.2.1.2.1.5.3. que regula un procedimiento especial para las adquisiciones en grandes almacenes cuando se trate de mínima cuantía. </w:t>
      </w:r>
      <w:proofErr w:type="spellStart"/>
      <w:r w:rsidRPr="006617BC">
        <w:rPr>
          <w:rFonts w:ascii="Arial" w:eastAsia="Calibri" w:hAnsi="Arial" w:cs="Arial"/>
          <w:bCs/>
          <w:color w:val="000000"/>
          <w:sz w:val="22"/>
          <w:szCs w:val="22"/>
          <w:lang w:val="es-ES_tradnl" w:eastAsia="en-US"/>
        </w:rPr>
        <w:t>iv</w:t>
      </w:r>
      <w:proofErr w:type="spellEnd"/>
      <w:r w:rsidRPr="006617BC">
        <w:rPr>
          <w:rFonts w:ascii="Arial" w:eastAsia="Calibri" w:hAnsi="Arial" w:cs="Arial"/>
          <w:bCs/>
          <w:color w:val="000000"/>
          <w:sz w:val="22"/>
          <w:szCs w:val="22"/>
          <w:lang w:val="es-ES_tradnl" w:eastAsia="en-US"/>
        </w:rPr>
        <w:t xml:space="preserve">) </w:t>
      </w:r>
      <w:r>
        <w:rPr>
          <w:rFonts w:ascii="Arial" w:eastAsia="Calibri" w:hAnsi="Arial" w:cs="Arial"/>
          <w:bCs/>
          <w:color w:val="000000"/>
          <w:sz w:val="22"/>
          <w:szCs w:val="22"/>
          <w:lang w:val="es-ES_tradnl" w:eastAsia="en-US"/>
        </w:rPr>
        <w:t xml:space="preserve"> </w:t>
      </w:r>
      <w:r w:rsidRPr="006617BC">
        <w:rPr>
          <w:rFonts w:ascii="Arial" w:eastAsia="Calibri" w:hAnsi="Arial" w:cs="Arial"/>
          <w:bCs/>
          <w:color w:val="000000"/>
          <w:sz w:val="22"/>
          <w:szCs w:val="22"/>
          <w:lang w:val="es-ES_tradnl" w:eastAsia="en-US"/>
        </w:rPr>
        <w:t xml:space="preserve">2.2.1.2.1.5.4. el cual establece la posibilidad de la Agencia Nacional de Contratación Pública – Colombia Compra Eficiente defina las reglas para la utilización de instrumentos de agregación de demanda en la Tienda Virtual del Estado Colombiano para adquisiciones hasta el monto de la mínima cuantía con </w:t>
      </w:r>
      <w:proofErr w:type="spellStart"/>
      <w:r w:rsidRPr="006617BC">
        <w:rPr>
          <w:rFonts w:ascii="Arial" w:eastAsia="Calibri" w:hAnsi="Arial" w:cs="Arial"/>
          <w:bCs/>
          <w:color w:val="000000"/>
          <w:sz w:val="22"/>
          <w:szCs w:val="22"/>
          <w:lang w:val="es-ES_tradnl" w:eastAsia="en-US"/>
        </w:rPr>
        <w:t>Mipyme</w:t>
      </w:r>
      <w:proofErr w:type="spellEnd"/>
      <w:r w:rsidRPr="006617BC">
        <w:rPr>
          <w:rFonts w:ascii="Arial" w:eastAsia="Calibri" w:hAnsi="Arial" w:cs="Arial"/>
          <w:bCs/>
          <w:color w:val="000000"/>
          <w:sz w:val="22"/>
          <w:szCs w:val="22"/>
          <w:lang w:val="es-ES_tradnl" w:eastAsia="en-US"/>
        </w:rPr>
        <w:t xml:space="preserve"> y con grandes almacenes. Y v) 2.2.1.2.1.5.5. el cual establece que la entidad estatal es libre de exigir o no garantías en el proceso de selección de mínima cuantía y en la adquisición de «grandes almacenes».</w:t>
      </w:r>
    </w:p>
    <w:p w14:paraId="4D61A678" w14:textId="6A6ED178" w:rsidR="00631FBD" w:rsidRDefault="006E0D16" w:rsidP="007D4261">
      <w:pPr>
        <w:tabs>
          <w:tab w:val="left" w:pos="709"/>
        </w:tabs>
        <w:spacing w:before="120" w:line="276" w:lineRule="auto"/>
        <w:jc w:val="both"/>
        <w:rPr>
          <w:rFonts w:ascii="Arial" w:eastAsia="Calibri" w:hAnsi="Arial" w:cs="Arial"/>
          <w:color w:val="000000"/>
          <w:sz w:val="22"/>
          <w:szCs w:val="22"/>
          <w:lang w:val="es-ES_tradnl" w:eastAsia="en-US"/>
        </w:rPr>
      </w:pPr>
      <w:r w:rsidRPr="006617BC">
        <w:rPr>
          <w:rFonts w:ascii="Arial" w:eastAsia="Calibri" w:hAnsi="Arial" w:cs="Arial"/>
          <w:bCs/>
          <w:color w:val="000000"/>
          <w:sz w:val="22"/>
          <w:szCs w:val="22"/>
          <w:lang w:val="es-ES_tradnl" w:eastAsia="en-US"/>
        </w:rPr>
        <w:tab/>
        <w:t>De esta manera, el artículo 2 del Decreto 1860 de</w:t>
      </w:r>
      <w:r w:rsidR="00F53B81">
        <w:rPr>
          <w:rFonts w:ascii="Arial" w:eastAsia="Calibri" w:hAnsi="Arial" w:cs="Arial"/>
          <w:bCs/>
          <w:color w:val="000000"/>
          <w:sz w:val="22"/>
          <w:szCs w:val="22"/>
          <w:lang w:val="es-ES_tradnl" w:eastAsia="en-US"/>
        </w:rPr>
        <w:t>l 24 de diciembre de</w:t>
      </w:r>
      <w:r w:rsidRPr="006617BC">
        <w:rPr>
          <w:rFonts w:ascii="Arial" w:eastAsia="Calibri" w:hAnsi="Arial" w:cs="Arial"/>
          <w:bCs/>
          <w:color w:val="000000"/>
          <w:sz w:val="22"/>
          <w:szCs w:val="22"/>
          <w:lang w:val="es-ES_tradnl" w:eastAsia="en-US"/>
        </w:rPr>
        <w:t xml:space="preserve"> 2021, que modifica los artículos del Decreto 1082 de 2015 expuestos en el párrafo anterior, constituye la reglamentación del artículo 30 de la Ley 2069 de 2020, al desarrollar las reglas aplicables a esta modalidad de selección. </w:t>
      </w:r>
      <w:r w:rsidR="002C3FB9">
        <w:rPr>
          <w:rFonts w:ascii="Arial" w:eastAsia="Calibri" w:hAnsi="Arial" w:cs="Arial"/>
          <w:bCs/>
          <w:color w:val="000000"/>
          <w:sz w:val="22"/>
          <w:szCs w:val="22"/>
          <w:lang w:val="es-ES_tradnl" w:eastAsia="en-US"/>
        </w:rPr>
        <w:t xml:space="preserve">Como se indicó anteriormente, estas disposiciones </w:t>
      </w:r>
      <w:r w:rsidRPr="006617BC">
        <w:rPr>
          <w:rFonts w:ascii="Arial" w:eastAsia="Calibri" w:hAnsi="Arial" w:cs="Arial"/>
          <w:bCs/>
          <w:color w:val="000000"/>
          <w:sz w:val="22"/>
          <w:szCs w:val="22"/>
          <w:lang w:val="es-ES_tradnl" w:eastAsia="en-US"/>
        </w:rPr>
        <w:t>r</w:t>
      </w:r>
      <w:r w:rsidR="002C3FB9">
        <w:rPr>
          <w:rFonts w:ascii="Arial" w:eastAsia="Calibri" w:hAnsi="Arial" w:cs="Arial"/>
          <w:bCs/>
          <w:color w:val="000000"/>
          <w:sz w:val="22"/>
          <w:szCs w:val="22"/>
          <w:lang w:val="es-ES_tradnl" w:eastAsia="en-US"/>
        </w:rPr>
        <w:t>igen</w:t>
      </w:r>
      <w:r w:rsidRPr="006617BC">
        <w:rPr>
          <w:rFonts w:ascii="Arial" w:eastAsia="Calibri" w:hAnsi="Arial" w:cs="Arial"/>
          <w:bCs/>
          <w:color w:val="000000"/>
          <w:sz w:val="22"/>
          <w:szCs w:val="22"/>
          <w:lang w:val="es-ES_tradnl" w:eastAsia="en-US"/>
        </w:rPr>
        <w:t xml:space="preserve"> para los procedimientos de selección cuya invitación, </w:t>
      </w:r>
      <w:r w:rsidRPr="006617BC">
        <w:rPr>
          <w:rFonts w:ascii="Arial" w:eastAsia="Calibri" w:hAnsi="Arial" w:cs="Arial"/>
          <w:color w:val="000000"/>
          <w:sz w:val="22"/>
          <w:szCs w:val="22"/>
          <w:lang w:val="es-ES_tradnl" w:eastAsia="en-US"/>
        </w:rPr>
        <w:t>aviso de convocatoria o documento equivalente se publique</w:t>
      </w:r>
      <w:r w:rsidR="00781678">
        <w:rPr>
          <w:rFonts w:ascii="Arial" w:eastAsia="Calibri" w:hAnsi="Arial" w:cs="Arial"/>
          <w:color w:val="000000"/>
          <w:sz w:val="22"/>
          <w:szCs w:val="22"/>
          <w:lang w:val="es-ES_tradnl" w:eastAsia="en-US"/>
        </w:rPr>
        <w:t xml:space="preserve"> a los tres (3) meses contados a partir de su expedición</w:t>
      </w:r>
      <w:r w:rsidRPr="006617BC">
        <w:rPr>
          <w:rFonts w:ascii="Arial" w:eastAsia="Calibri" w:hAnsi="Arial" w:cs="Arial"/>
          <w:color w:val="000000"/>
          <w:sz w:val="22"/>
          <w:szCs w:val="22"/>
          <w:lang w:val="es-ES_tradnl" w:eastAsia="en-US"/>
        </w:rPr>
        <w:t xml:space="preserve">. </w:t>
      </w:r>
    </w:p>
    <w:p w14:paraId="083F8621" w14:textId="4B9C242E" w:rsidR="006E0D16" w:rsidRPr="006617BC" w:rsidRDefault="00631FBD" w:rsidP="00B27FED">
      <w:pPr>
        <w:tabs>
          <w:tab w:val="left" w:pos="709"/>
        </w:tabs>
        <w:spacing w:before="120" w:line="276" w:lineRule="auto"/>
        <w:jc w:val="both"/>
        <w:rPr>
          <w:rFonts w:ascii="Arial" w:eastAsia="Calibri" w:hAnsi="Arial" w:cs="Arial"/>
          <w:color w:val="000000" w:themeColor="text1"/>
          <w:sz w:val="22"/>
          <w:lang w:val="es-ES_tradnl"/>
        </w:rPr>
      </w:pPr>
      <w:r>
        <w:rPr>
          <w:rFonts w:ascii="Arial" w:eastAsia="Calibri" w:hAnsi="Arial" w:cs="Arial"/>
          <w:color w:val="000000"/>
          <w:sz w:val="22"/>
          <w:szCs w:val="22"/>
          <w:lang w:val="es-ES_tradnl" w:eastAsia="en-US"/>
        </w:rPr>
        <w:tab/>
      </w:r>
      <w:r w:rsidR="006E0D16" w:rsidRPr="006617BC">
        <w:rPr>
          <w:rFonts w:ascii="Arial" w:eastAsia="Calibri" w:hAnsi="Arial" w:cs="Arial"/>
          <w:color w:val="000000" w:themeColor="text1"/>
          <w:sz w:val="22"/>
          <w:lang w:val="es-ES_tradnl"/>
        </w:rPr>
        <w:t>La mínima cuantía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006E0D16" w:rsidRPr="006617BC">
        <w:rPr>
          <w:rStyle w:val="Refdenotaalpie"/>
          <w:rFonts w:ascii="Arial" w:eastAsia="Calibri" w:hAnsi="Arial" w:cs="Arial"/>
          <w:color w:val="000000" w:themeColor="text1"/>
          <w:sz w:val="22"/>
          <w:lang w:val="es-ES_tradnl"/>
        </w:rPr>
        <w:footnoteReference w:id="6"/>
      </w:r>
      <w:r w:rsidR="006E0D16" w:rsidRPr="006617BC">
        <w:rPr>
          <w:rFonts w:ascii="Arial" w:eastAsia="Calibri" w:hAnsi="Arial" w:cs="Arial"/>
          <w:color w:val="000000" w:themeColor="text1"/>
          <w:sz w:val="22"/>
          <w:lang w:val="es-ES_tradnl"/>
        </w:rPr>
        <w:t xml:space="preserve">. </w:t>
      </w:r>
    </w:p>
    <w:p w14:paraId="55A6AF07" w14:textId="28B5ADE2" w:rsidR="00145D56" w:rsidRDefault="006E0D16" w:rsidP="007D4261">
      <w:pPr>
        <w:spacing w:before="120" w:line="276" w:lineRule="auto"/>
        <w:ind w:firstLine="709"/>
        <w:jc w:val="both"/>
        <w:rPr>
          <w:rFonts w:ascii="Arial" w:eastAsia="Calibri" w:hAnsi="Arial" w:cs="Arial"/>
          <w:color w:val="000000" w:themeColor="text1"/>
          <w:sz w:val="22"/>
          <w:szCs w:val="22"/>
          <w:lang w:val="es-ES_tradnl" w:eastAsia="en-US"/>
        </w:rPr>
      </w:pPr>
      <w:r w:rsidRPr="006617BC">
        <w:rPr>
          <w:rFonts w:ascii="Arial" w:eastAsia="Calibri" w:hAnsi="Arial" w:cs="Arial"/>
          <w:color w:val="000000" w:themeColor="text1"/>
          <w:sz w:val="22"/>
          <w:lang w:val="es-ES_tradnl"/>
        </w:rPr>
        <w:t>Dicho de otro modo, la mínima cuantía es un procedimiento de selección «exceptivo»</w:t>
      </w:r>
      <w:r w:rsidRPr="006617BC">
        <w:rPr>
          <w:rStyle w:val="Refdenotaalpie"/>
          <w:rFonts w:ascii="Arial" w:eastAsia="Calibri" w:hAnsi="Arial" w:cs="Arial"/>
          <w:color w:val="000000" w:themeColor="text1"/>
          <w:sz w:val="22"/>
          <w:lang w:val="es-ES_tradnl"/>
        </w:rPr>
        <w:footnoteReference w:id="7"/>
      </w:r>
      <w:r w:rsidRPr="006617BC">
        <w:rPr>
          <w:rFonts w:ascii="Arial" w:eastAsia="Calibri" w:hAnsi="Arial" w:cs="Arial"/>
          <w:color w:val="000000" w:themeColor="text1"/>
          <w:sz w:val="22"/>
          <w:lang w:val="es-ES_tradnl"/>
        </w:rPr>
        <w:t>, porque es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6617BC">
        <w:rPr>
          <w:rStyle w:val="Refdenotaalpie"/>
          <w:rFonts w:ascii="Arial" w:eastAsia="Calibri" w:hAnsi="Arial" w:cs="Arial"/>
          <w:color w:val="000000" w:themeColor="text1"/>
          <w:sz w:val="22"/>
          <w:lang w:val="es-ES_tradnl"/>
        </w:rPr>
        <w:footnoteReference w:id="8"/>
      </w:r>
      <w:r w:rsidRPr="006617BC">
        <w:rPr>
          <w:rFonts w:ascii="Arial" w:eastAsia="Calibri" w:hAnsi="Arial" w:cs="Arial"/>
          <w:color w:val="000000" w:themeColor="text1"/>
          <w:sz w:val="22"/>
          <w:lang w:val="es-ES_tradnl"/>
        </w:rPr>
        <w:t xml:space="preserve">, y lo segundo, porque </w:t>
      </w:r>
      <w:r w:rsidRPr="006617BC">
        <w:rPr>
          <w:rFonts w:ascii="Arial" w:eastAsia="Calibri" w:hAnsi="Arial" w:cs="Arial"/>
          <w:color w:val="000000" w:themeColor="text1"/>
          <w:sz w:val="22"/>
          <w:lang w:val="es-ES_tradnl"/>
        </w:rPr>
        <w:lastRenderedPageBreak/>
        <w:t>sus requisitos, etapas y términos son especiales.</w:t>
      </w:r>
      <w:r w:rsidR="00145D56" w:rsidRPr="00145D56">
        <w:rPr>
          <w:rFonts w:ascii="Arial" w:eastAsia="Calibri" w:hAnsi="Arial" w:cs="Arial"/>
          <w:color w:val="000000" w:themeColor="text1"/>
          <w:sz w:val="22"/>
          <w:lang w:val="es-ES_tradnl"/>
        </w:rPr>
        <w:t xml:space="preserve"> </w:t>
      </w:r>
      <w:r w:rsidR="00145D56">
        <w:rPr>
          <w:rFonts w:ascii="Arial" w:eastAsia="Calibri" w:hAnsi="Arial" w:cs="Arial"/>
          <w:color w:val="000000" w:themeColor="text1"/>
          <w:sz w:val="22"/>
          <w:lang w:val="es-ES_tradnl"/>
        </w:rPr>
        <w:t xml:space="preserve">En efecto, a partir de </w:t>
      </w:r>
      <w:r w:rsidR="008C0F4F">
        <w:rPr>
          <w:rFonts w:ascii="Arial" w:eastAsia="Calibri" w:hAnsi="Arial" w:cs="Arial"/>
          <w:color w:val="000000" w:themeColor="text1"/>
          <w:sz w:val="22"/>
          <w:lang w:val="es-ES_tradnl"/>
        </w:rPr>
        <w:t xml:space="preserve">las modificaciones reguladas en el Decreto 1860 de 2021 </w:t>
      </w:r>
      <w:r w:rsidR="00145D56">
        <w:rPr>
          <w:rFonts w:ascii="Arial" w:eastAsia="Calibri" w:hAnsi="Arial" w:cs="Arial"/>
          <w:color w:val="000000" w:themeColor="text1"/>
          <w:sz w:val="22"/>
          <w:lang w:val="es-ES_tradnl"/>
        </w:rPr>
        <w:t>los requisitos de la mínima cuantía pueden sintetizarse así:</w:t>
      </w:r>
    </w:p>
    <w:p w14:paraId="7695746F" w14:textId="5C1FBEE7" w:rsidR="00145D56" w:rsidRDefault="00145D56" w:rsidP="007D4261">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i) La entidad estatal debe </w:t>
      </w:r>
      <w:r w:rsidR="005F0D48">
        <w:rPr>
          <w:rFonts w:ascii="Arial" w:eastAsia="Calibri" w:hAnsi="Arial" w:cs="Arial"/>
          <w:color w:val="000000" w:themeColor="text1"/>
          <w:sz w:val="22"/>
          <w:lang w:val="es-ES_tradnl"/>
        </w:rPr>
        <w:t>realizar</w:t>
      </w:r>
      <w:r>
        <w:rPr>
          <w:rFonts w:ascii="Arial" w:eastAsia="Calibri" w:hAnsi="Arial" w:cs="Arial"/>
          <w:color w:val="000000" w:themeColor="text1"/>
          <w:sz w:val="22"/>
          <w:lang w:val="es-ES_tradnl"/>
        </w:rPr>
        <w:t xml:space="preserve"> los estudios previos en los que señale cuál es la necesidad que pretende satisfacer, el objeto del contrato, sus condiciones técnicas, el valor estimado, el plazo de ejecución y el certificado de disponibilidad presupuestal.</w:t>
      </w:r>
    </w:p>
    <w:p w14:paraId="584970AE" w14:textId="337691ED" w:rsidR="00DC6CA7" w:rsidRDefault="00145D56" w:rsidP="007D4261">
      <w:pPr>
        <w:spacing w:before="120" w:line="276" w:lineRule="auto"/>
        <w:ind w:firstLine="709"/>
        <w:jc w:val="both"/>
        <w:rPr>
          <w:rFonts w:ascii="Arial" w:eastAsia="Calibri" w:hAnsi="Arial" w:cs="Arial"/>
          <w:color w:val="000000" w:themeColor="text1"/>
          <w:sz w:val="22"/>
          <w:lang w:val="es-ES_tradnl"/>
        </w:rPr>
      </w:pP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xml:space="preserve">) Luego de surtir los trámites previos, la entidad debe publicar en el SECOP una invitación, señalando el objeto, las condiciones técnicas y el valor estimado del contrato, expresando además las razones que justifican el cálculo de la cuantía. Asimismo, </w:t>
      </w:r>
      <w:r w:rsidR="00DC6CA7">
        <w:rPr>
          <w:rFonts w:ascii="Arial" w:eastAsia="Calibri" w:hAnsi="Arial" w:cs="Arial"/>
          <w:color w:val="000000" w:themeColor="text1"/>
          <w:sz w:val="22"/>
          <w:lang w:val="es-ES_tradnl"/>
        </w:rPr>
        <w:t xml:space="preserve">deberá señalar la forma en la cual se acreditará la capacidad jurídica y la experiencia mínima, en caso de que esta se exija, así como el cumplimiento de las condiciones técnicas exigidas, incluyendo las obligaciones del futuro contrato. </w:t>
      </w:r>
    </w:p>
    <w:p w14:paraId="3D15CA77" w14:textId="75F5E8DF" w:rsidR="006E348E" w:rsidRPr="000254C0" w:rsidRDefault="00DC6CA7" w:rsidP="007D4261">
      <w:pPr>
        <w:spacing w:before="120" w:line="276" w:lineRule="auto"/>
        <w:ind w:firstLine="709"/>
        <w:jc w:val="both"/>
        <w:rPr>
          <w:rFonts w:ascii="Arial" w:eastAsia="Calibri" w:hAnsi="Arial" w:cs="Arial"/>
          <w:sz w:val="22"/>
        </w:rPr>
      </w:pPr>
      <w:proofErr w:type="spellStart"/>
      <w:r>
        <w:rPr>
          <w:rFonts w:ascii="Arial" w:eastAsia="Calibri" w:hAnsi="Arial" w:cs="Arial"/>
          <w:color w:val="000000" w:themeColor="text1"/>
          <w:sz w:val="22"/>
          <w:lang w:val="es-ES_tradnl"/>
        </w:rPr>
        <w:t>iii</w:t>
      </w:r>
      <w:proofErr w:type="spellEnd"/>
      <w:r>
        <w:rPr>
          <w:rFonts w:ascii="Arial" w:eastAsia="Calibri" w:hAnsi="Arial" w:cs="Arial"/>
          <w:color w:val="000000" w:themeColor="text1"/>
          <w:sz w:val="22"/>
          <w:lang w:val="es-ES_tradnl"/>
        </w:rPr>
        <w:t>) La entidad podrá exigir</w:t>
      </w:r>
      <w:r w:rsidR="00145D56">
        <w:rPr>
          <w:rFonts w:ascii="Arial" w:eastAsia="Calibri" w:hAnsi="Arial" w:cs="Arial"/>
          <w:color w:val="000000" w:themeColor="text1"/>
          <w:sz w:val="22"/>
          <w:lang w:val="es-ES_tradnl"/>
        </w:rPr>
        <w:t xml:space="preserve"> una capacidad financiera mínima</w:t>
      </w:r>
      <w:r>
        <w:rPr>
          <w:rFonts w:ascii="Arial" w:eastAsia="Calibri" w:hAnsi="Arial" w:cs="Arial"/>
          <w:color w:val="000000" w:themeColor="text1"/>
          <w:sz w:val="22"/>
          <w:lang w:val="es-ES_tradnl"/>
        </w:rPr>
        <w:t xml:space="preserve"> cuando no hace el pago contra</w:t>
      </w:r>
      <w:r w:rsidR="006324C2">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entrega</w:t>
      </w:r>
      <w:r w:rsidR="006324C2">
        <w:rPr>
          <w:rFonts w:ascii="Arial" w:eastAsia="Calibri" w:hAnsi="Arial" w:cs="Arial"/>
          <w:color w:val="000000" w:themeColor="text1"/>
          <w:sz w:val="22"/>
          <w:lang w:val="es-ES_tradnl"/>
        </w:rPr>
        <w:t xml:space="preserve"> a satisfacción de los bienes, obras o servicios. En estos casos, la entidad deberá indicar la forma en la que hará la verificación correspondiente en la invitación.</w:t>
      </w:r>
      <w:r w:rsidR="006E348E">
        <w:rPr>
          <w:rFonts w:ascii="Arial" w:eastAsia="Calibri" w:hAnsi="Arial" w:cs="Arial"/>
          <w:color w:val="000000" w:themeColor="text1"/>
          <w:sz w:val="22"/>
          <w:lang w:val="es-ES_tradnl"/>
        </w:rPr>
        <w:t xml:space="preserve"> Cabe anotar que este aspecto </w:t>
      </w:r>
      <w:r w:rsidR="006E348E" w:rsidRPr="006617BC">
        <w:rPr>
          <w:rFonts w:ascii="Arial" w:eastAsia="Calibri" w:hAnsi="Arial" w:cs="Arial"/>
          <w:sz w:val="22"/>
        </w:rPr>
        <w:t>se encontraba regulad</w:t>
      </w:r>
      <w:r w:rsidR="006E348E">
        <w:rPr>
          <w:rFonts w:ascii="Arial" w:eastAsia="Calibri" w:hAnsi="Arial" w:cs="Arial"/>
          <w:sz w:val="22"/>
        </w:rPr>
        <w:t>o</w:t>
      </w:r>
      <w:r w:rsidR="006E348E" w:rsidRPr="006617BC">
        <w:rPr>
          <w:rFonts w:ascii="Arial" w:eastAsia="Calibri" w:hAnsi="Arial" w:cs="Arial"/>
          <w:sz w:val="22"/>
        </w:rPr>
        <w:t xml:space="preserve"> desde la disposición anterior</w:t>
      </w:r>
      <w:r w:rsidR="000254C0">
        <w:rPr>
          <w:rFonts w:ascii="Arial" w:eastAsia="Calibri" w:hAnsi="Arial" w:cs="Arial"/>
          <w:sz w:val="22"/>
        </w:rPr>
        <w:t xml:space="preserve"> y </w:t>
      </w:r>
      <w:r w:rsidR="006E348E">
        <w:rPr>
          <w:rFonts w:ascii="Arial" w:eastAsia="Calibri" w:hAnsi="Arial" w:cs="Arial"/>
          <w:sz w:val="22"/>
        </w:rPr>
        <w:t xml:space="preserve">no hay ninguna </w:t>
      </w:r>
      <w:r w:rsidR="004C3EAA">
        <w:rPr>
          <w:rFonts w:ascii="Arial" w:eastAsia="Calibri" w:hAnsi="Arial" w:cs="Arial"/>
          <w:sz w:val="22"/>
        </w:rPr>
        <w:t xml:space="preserve">modificación </w:t>
      </w:r>
      <w:r w:rsidR="006E348E">
        <w:rPr>
          <w:rFonts w:ascii="Arial" w:eastAsia="Calibri" w:hAnsi="Arial" w:cs="Arial"/>
          <w:sz w:val="22"/>
        </w:rPr>
        <w:t>en su aplicación en el procedimiento de mínima cuantía</w:t>
      </w:r>
      <w:r w:rsidR="000254C0">
        <w:rPr>
          <w:rFonts w:ascii="Arial" w:eastAsia="Calibri" w:hAnsi="Arial" w:cs="Arial"/>
          <w:sz w:val="22"/>
        </w:rPr>
        <w:t xml:space="preserve"> reglamentado en el Decreto 1860 de 2021. </w:t>
      </w:r>
      <w:r w:rsidR="005A4F64">
        <w:rPr>
          <w:rFonts w:ascii="Arial" w:eastAsia="Calibri" w:hAnsi="Arial" w:cs="Arial"/>
          <w:sz w:val="22"/>
        </w:rPr>
        <w:t xml:space="preserve"> </w:t>
      </w:r>
    </w:p>
    <w:p w14:paraId="2F40BF0A" w14:textId="0C293ED0" w:rsidR="001B53A5" w:rsidRDefault="009076DB" w:rsidP="007D4261">
      <w:pPr>
        <w:spacing w:before="120" w:line="276" w:lineRule="auto"/>
        <w:ind w:firstLine="709"/>
        <w:jc w:val="both"/>
        <w:rPr>
          <w:rFonts w:ascii="Arial" w:eastAsia="Calibri" w:hAnsi="Arial" w:cs="Arial"/>
          <w:color w:val="000000"/>
          <w:sz w:val="22"/>
          <w:lang w:val="es-ES"/>
        </w:rPr>
      </w:pPr>
      <w:r>
        <w:rPr>
          <w:rFonts w:ascii="Arial" w:eastAsia="Calibri" w:hAnsi="Arial" w:cs="Arial"/>
          <w:color w:val="000000" w:themeColor="text1"/>
          <w:sz w:val="22"/>
          <w:lang w:val="es-ES_tradnl"/>
        </w:rPr>
        <w:t>E</w:t>
      </w:r>
      <w:r w:rsidR="006324C2">
        <w:rPr>
          <w:rFonts w:ascii="Arial" w:eastAsia="Calibri" w:hAnsi="Arial" w:cs="Arial"/>
          <w:color w:val="000000" w:themeColor="text1"/>
          <w:sz w:val="22"/>
          <w:lang w:val="es-ES_tradnl"/>
        </w:rPr>
        <w:t xml:space="preserve">s pertinente </w:t>
      </w:r>
      <w:r w:rsidR="005A4F64">
        <w:rPr>
          <w:rFonts w:ascii="Arial" w:eastAsia="Calibri" w:hAnsi="Arial" w:cs="Arial"/>
          <w:color w:val="000000" w:themeColor="text1"/>
          <w:sz w:val="22"/>
          <w:lang w:val="es-ES_tradnl"/>
        </w:rPr>
        <w:t>resaltar</w:t>
      </w:r>
      <w:r>
        <w:rPr>
          <w:rFonts w:ascii="Arial" w:eastAsia="Calibri" w:hAnsi="Arial" w:cs="Arial"/>
          <w:color w:val="000000" w:themeColor="text1"/>
          <w:sz w:val="22"/>
          <w:lang w:val="es-ES_tradnl"/>
        </w:rPr>
        <w:t xml:space="preserve">, para efectos de la consulta planteada, </w:t>
      </w:r>
      <w:r w:rsidR="006324C2">
        <w:rPr>
          <w:rFonts w:ascii="Arial" w:eastAsia="Calibri" w:hAnsi="Arial" w:cs="Arial"/>
          <w:color w:val="000000" w:themeColor="text1"/>
          <w:sz w:val="22"/>
          <w:lang w:val="es-ES_tradnl"/>
        </w:rPr>
        <w:t>que</w:t>
      </w:r>
      <w:r w:rsidR="000254C0">
        <w:rPr>
          <w:rFonts w:ascii="Arial" w:eastAsia="Calibri" w:hAnsi="Arial" w:cs="Arial"/>
          <w:color w:val="000000" w:themeColor="text1"/>
          <w:sz w:val="22"/>
          <w:lang w:val="es-ES_tradnl"/>
        </w:rPr>
        <w:t xml:space="preserve"> </w:t>
      </w:r>
      <w:r w:rsidR="00302B42">
        <w:rPr>
          <w:rFonts w:ascii="Arial" w:eastAsia="Calibri" w:hAnsi="Arial" w:cs="Arial"/>
          <w:color w:val="000000" w:themeColor="text1"/>
          <w:sz w:val="22"/>
          <w:lang w:val="es-ES_tradnl"/>
        </w:rPr>
        <w:t>en el evento en que la entidad determine la necesidad de exigir capacidad financiera en un proceso de mínima cuantía</w:t>
      </w:r>
      <w:r w:rsidR="004A73E3">
        <w:rPr>
          <w:rFonts w:ascii="Arial" w:eastAsia="Calibri" w:hAnsi="Arial" w:cs="Arial"/>
          <w:color w:val="000000" w:themeColor="text1"/>
          <w:sz w:val="22"/>
          <w:lang w:val="es-ES_tradnl"/>
        </w:rPr>
        <w:t>,</w:t>
      </w:r>
      <w:r w:rsidR="005A4F64">
        <w:rPr>
          <w:rFonts w:ascii="Arial" w:eastAsia="Calibri" w:hAnsi="Arial" w:cs="Arial"/>
          <w:color w:val="000000" w:themeColor="text1"/>
          <w:sz w:val="22"/>
          <w:lang w:val="es-ES_tradnl"/>
        </w:rPr>
        <w:t xml:space="preserve"> no podrá requerir la presentación del RUP para realizar dicha verificación.</w:t>
      </w:r>
      <w:r w:rsidR="00CC2984">
        <w:rPr>
          <w:rFonts w:ascii="Arial" w:eastAsia="Calibri" w:hAnsi="Arial" w:cs="Arial"/>
          <w:color w:val="000000" w:themeColor="text1"/>
          <w:sz w:val="22"/>
          <w:lang w:val="es-ES_tradnl"/>
        </w:rPr>
        <w:t xml:space="preserve"> En efecto, </w:t>
      </w:r>
      <w:r w:rsidR="00CC2984" w:rsidRPr="006324C2">
        <w:rPr>
          <w:rFonts w:ascii="Arial" w:eastAsia="Calibri" w:hAnsi="Arial" w:cs="Arial"/>
          <w:color w:val="000000" w:themeColor="text1"/>
          <w:sz w:val="22"/>
          <w:lang w:val="es-ES_tradnl"/>
        </w:rPr>
        <w:t>de conformidad con el artículo 6 de la Ley 1150 de 2007</w:t>
      </w:r>
      <w:r w:rsidR="00E348C2">
        <w:rPr>
          <w:rFonts w:ascii="Arial" w:eastAsia="Calibri" w:hAnsi="Arial" w:cs="Arial"/>
          <w:color w:val="000000" w:themeColor="text1"/>
          <w:sz w:val="22"/>
          <w:lang w:val="es-ES_tradnl"/>
        </w:rPr>
        <w:t xml:space="preserve"> </w:t>
      </w:r>
      <w:r w:rsidR="00CC2984" w:rsidRPr="001F22AD">
        <w:rPr>
          <w:rFonts w:ascii="Arial" w:eastAsia="Calibri" w:hAnsi="Arial" w:cs="Arial"/>
          <w:color w:val="000000"/>
          <w:sz w:val="22"/>
          <w:lang w:val="es-ES"/>
        </w:rPr>
        <w:t xml:space="preserve">el RUP no es exigible en algunos procedimientos de contratación, como en la contratación directa, </w:t>
      </w:r>
      <w:r w:rsidR="00CC2984" w:rsidRPr="00CC2984">
        <w:rPr>
          <w:rFonts w:ascii="Arial" w:eastAsia="Calibri" w:hAnsi="Arial" w:cs="Arial"/>
          <w:i/>
          <w:iCs/>
          <w:color w:val="000000"/>
          <w:sz w:val="22"/>
          <w:lang w:val="es-ES"/>
        </w:rPr>
        <w:t>la mínima cuantía</w:t>
      </w:r>
      <w:r w:rsidR="00CC2984" w:rsidRPr="001F22AD">
        <w:rPr>
          <w:rFonts w:ascii="Arial" w:eastAsia="Calibri" w:hAnsi="Arial" w:cs="Arial"/>
          <w:color w:val="000000"/>
          <w:sz w:val="22"/>
          <w:lang w:val="es-ES"/>
        </w:rPr>
        <w:t xml:space="preserve">, la prestación de servicios de salud, enajenación de bienes del Estado, la adquisición de productos de origen o destinación agropecuaria ofrecidos en bolsas de productos, los contratos de concesión y los contratos que celebren las empresas </w:t>
      </w:r>
      <w:r w:rsidR="00CC2984" w:rsidRPr="001F22AD">
        <w:rPr>
          <w:rFonts w:ascii="Arial" w:eastAsia="Calibri" w:hAnsi="Arial" w:cs="Arial"/>
          <w:color w:val="000000"/>
          <w:sz w:val="22"/>
          <w:lang w:val="es-ES"/>
        </w:rPr>
        <w:lastRenderedPageBreak/>
        <w:t>industriales y comerciales del Estado y las sociedades de economía mixta, que tengan por objeto el desarrollo de sus actividades industriales y comerciales</w:t>
      </w:r>
      <w:r w:rsidR="004A73E3">
        <w:rPr>
          <w:rStyle w:val="Refdenotaalpie"/>
          <w:rFonts w:ascii="Arial" w:eastAsia="Calibri" w:hAnsi="Arial" w:cs="Arial"/>
          <w:color w:val="000000"/>
          <w:sz w:val="22"/>
          <w:lang w:val="es-ES"/>
        </w:rPr>
        <w:footnoteReference w:id="9"/>
      </w:r>
      <w:r w:rsidR="00CC2984">
        <w:rPr>
          <w:rFonts w:ascii="Arial" w:eastAsia="Calibri" w:hAnsi="Arial" w:cs="Arial"/>
          <w:color w:val="000000"/>
          <w:sz w:val="22"/>
          <w:lang w:val="es-ES"/>
        </w:rPr>
        <w:t xml:space="preserve">. </w:t>
      </w:r>
    </w:p>
    <w:p w14:paraId="571884E6" w14:textId="5F48686B" w:rsidR="00053EBE" w:rsidRPr="001F22AD" w:rsidRDefault="00CC2984" w:rsidP="007D4261">
      <w:pPr>
        <w:spacing w:before="120" w:line="276" w:lineRule="auto"/>
        <w:ind w:firstLine="709"/>
        <w:jc w:val="both"/>
        <w:rPr>
          <w:rFonts w:ascii="Arial" w:eastAsia="Calibri" w:hAnsi="Arial" w:cs="Arial"/>
          <w:color w:val="000000"/>
          <w:sz w:val="22"/>
          <w:lang w:val="es-ES"/>
        </w:rPr>
      </w:pPr>
      <w:r>
        <w:rPr>
          <w:rFonts w:ascii="Arial" w:eastAsia="Calibri" w:hAnsi="Arial" w:cs="Arial"/>
          <w:color w:val="000000"/>
          <w:sz w:val="22"/>
          <w:lang w:val="es-ES"/>
        </w:rPr>
        <w:t>Por ello,</w:t>
      </w:r>
      <w:r w:rsidRPr="001F22AD">
        <w:rPr>
          <w:rFonts w:ascii="Arial" w:eastAsia="Calibri" w:hAnsi="Arial" w:cs="Arial"/>
          <w:color w:val="000000"/>
          <w:sz w:val="22"/>
          <w:lang w:val="es-ES"/>
        </w:rPr>
        <w:t xml:space="preserve"> las entidades estatales deben verificar directamente el cumplimiento de los requisitos habilitantes, como establece en inciso segundo del artículo 6 de la Ley 1150 de 2007</w:t>
      </w:r>
      <w:r w:rsidR="00053EBE">
        <w:rPr>
          <w:rFonts w:ascii="Arial" w:eastAsia="Calibri" w:hAnsi="Arial" w:cs="Arial"/>
          <w:color w:val="000000"/>
          <w:sz w:val="22"/>
          <w:lang w:val="es-ES"/>
        </w:rPr>
        <w:t>.</w:t>
      </w:r>
      <w:r w:rsidRPr="001F22AD">
        <w:rPr>
          <w:rFonts w:ascii="Arial" w:eastAsia="Calibri" w:hAnsi="Arial" w:cs="Arial"/>
          <w:color w:val="000000"/>
          <w:sz w:val="22"/>
          <w:lang w:val="es-ES"/>
        </w:rPr>
        <w:t xml:space="preserve"> </w:t>
      </w:r>
      <w:r w:rsidR="00053EBE" w:rsidRPr="001F22AD">
        <w:rPr>
          <w:rFonts w:ascii="Arial" w:eastAsia="Calibri" w:hAnsi="Arial" w:cs="Arial"/>
          <w:color w:val="000000"/>
          <w:sz w:val="22"/>
          <w:lang w:val="es-ES"/>
        </w:rPr>
        <w:t>Las indicadas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sidR="00053EBE" w:rsidRPr="001F22AD">
        <w:rPr>
          <w:rStyle w:val="Refdenotaalpie"/>
          <w:rFonts w:ascii="Arial" w:eastAsia="Calibri" w:hAnsi="Arial" w:cs="Arial"/>
          <w:color w:val="000000"/>
          <w:sz w:val="22"/>
          <w:lang w:val="es-ES"/>
        </w:rPr>
        <w:footnoteReference w:id="10"/>
      </w:r>
      <w:r w:rsidR="00053EBE" w:rsidRPr="001F22AD">
        <w:rPr>
          <w:rFonts w:ascii="Arial" w:eastAsia="Calibri" w:hAnsi="Arial" w:cs="Arial"/>
          <w:color w:val="000000"/>
          <w:sz w:val="22"/>
          <w:lang w:val="es-ES"/>
        </w:rPr>
        <w:t xml:space="preserve">. </w:t>
      </w:r>
    </w:p>
    <w:p w14:paraId="6126C900" w14:textId="725560C2" w:rsidR="004A73E3" w:rsidRDefault="00053EBE" w:rsidP="007D4261">
      <w:pPr>
        <w:spacing w:before="120" w:line="276" w:lineRule="auto"/>
        <w:ind w:firstLine="709"/>
        <w:jc w:val="both"/>
        <w:rPr>
          <w:rFonts w:ascii="Arial" w:eastAsia="Calibri" w:hAnsi="Arial" w:cs="Arial"/>
          <w:color w:val="000000"/>
          <w:sz w:val="22"/>
          <w:lang w:val="es-ES"/>
        </w:rPr>
      </w:pPr>
      <w:r w:rsidRPr="001F22AD">
        <w:rPr>
          <w:rFonts w:ascii="Arial" w:eastAsia="Calibri" w:hAnsi="Arial" w:cs="Arial"/>
          <w:color w:val="000000"/>
          <w:sz w:val="22"/>
          <w:lang w:val="es-ES"/>
        </w:rPr>
        <w:t>En tal sentido, la evaluación de la capacidad financiera</w:t>
      </w:r>
      <w:r w:rsidR="009076DB">
        <w:rPr>
          <w:rFonts w:ascii="Arial" w:eastAsia="Calibri" w:hAnsi="Arial" w:cs="Arial"/>
          <w:color w:val="000000"/>
          <w:sz w:val="22"/>
          <w:lang w:val="es-ES"/>
        </w:rPr>
        <w:t>, as</w:t>
      </w:r>
      <w:r w:rsidR="005F0D48">
        <w:rPr>
          <w:rFonts w:ascii="Arial" w:eastAsia="Calibri" w:hAnsi="Arial" w:cs="Arial"/>
          <w:color w:val="000000"/>
          <w:sz w:val="22"/>
          <w:lang w:val="es-ES"/>
        </w:rPr>
        <w:t>í</w:t>
      </w:r>
      <w:r w:rsidR="009076DB">
        <w:rPr>
          <w:rFonts w:ascii="Arial" w:eastAsia="Calibri" w:hAnsi="Arial" w:cs="Arial"/>
          <w:color w:val="000000"/>
          <w:sz w:val="22"/>
          <w:lang w:val="es-ES"/>
        </w:rPr>
        <w:t xml:space="preserve"> como el requisito de</w:t>
      </w:r>
      <w:r w:rsidR="00AB3704">
        <w:rPr>
          <w:rFonts w:ascii="Arial" w:eastAsia="Calibri" w:hAnsi="Arial" w:cs="Arial"/>
          <w:color w:val="000000"/>
          <w:sz w:val="22"/>
          <w:lang w:val="es-ES"/>
        </w:rPr>
        <w:t xml:space="preserve"> experiencia</w:t>
      </w:r>
      <w:r w:rsidRPr="001F22AD">
        <w:rPr>
          <w:rFonts w:ascii="Arial" w:eastAsia="Calibri" w:hAnsi="Arial" w:cs="Arial"/>
          <w:color w:val="000000"/>
          <w:sz w:val="22"/>
          <w:lang w:val="es-ES"/>
        </w:rPr>
        <w:t xml:space="preserve"> en los procesos de selección </w:t>
      </w:r>
      <w:r>
        <w:rPr>
          <w:rFonts w:ascii="Arial" w:eastAsia="Calibri" w:hAnsi="Arial" w:cs="Arial"/>
          <w:color w:val="000000"/>
          <w:sz w:val="22"/>
          <w:lang w:val="es-ES"/>
        </w:rPr>
        <w:t>de mínima cuantía</w:t>
      </w:r>
      <w:r w:rsidR="004C3EAA">
        <w:rPr>
          <w:rFonts w:ascii="Arial" w:eastAsia="Calibri" w:hAnsi="Arial" w:cs="Arial"/>
          <w:color w:val="000000"/>
          <w:sz w:val="22"/>
          <w:lang w:val="es-ES"/>
        </w:rPr>
        <w:t>, cuando esta</w:t>
      </w:r>
      <w:r w:rsidR="00AB3704">
        <w:rPr>
          <w:rFonts w:ascii="Arial" w:eastAsia="Calibri" w:hAnsi="Arial" w:cs="Arial"/>
          <w:color w:val="000000"/>
          <w:sz w:val="22"/>
          <w:lang w:val="es-ES"/>
        </w:rPr>
        <w:t>s</w:t>
      </w:r>
      <w:r w:rsidR="004C3EAA">
        <w:rPr>
          <w:rFonts w:ascii="Arial" w:eastAsia="Calibri" w:hAnsi="Arial" w:cs="Arial"/>
          <w:color w:val="000000"/>
          <w:sz w:val="22"/>
          <w:lang w:val="es-ES"/>
        </w:rPr>
        <w:t xml:space="preserve"> condici</w:t>
      </w:r>
      <w:r w:rsidR="00AB3704">
        <w:rPr>
          <w:rFonts w:ascii="Arial" w:eastAsia="Calibri" w:hAnsi="Arial" w:cs="Arial"/>
          <w:color w:val="000000"/>
          <w:sz w:val="22"/>
          <w:lang w:val="es-ES"/>
        </w:rPr>
        <w:t>ones</w:t>
      </w:r>
      <w:r w:rsidR="004C3EAA">
        <w:rPr>
          <w:rFonts w:ascii="Arial" w:eastAsia="Calibri" w:hAnsi="Arial" w:cs="Arial"/>
          <w:color w:val="000000"/>
          <w:sz w:val="22"/>
          <w:lang w:val="es-ES"/>
        </w:rPr>
        <w:t xml:space="preserve"> se requiera</w:t>
      </w:r>
      <w:r w:rsidR="005F0D48">
        <w:rPr>
          <w:rFonts w:ascii="Arial" w:eastAsia="Calibri" w:hAnsi="Arial" w:cs="Arial"/>
          <w:color w:val="000000"/>
          <w:sz w:val="22"/>
          <w:lang w:val="es-ES"/>
        </w:rPr>
        <w:t>n</w:t>
      </w:r>
      <w:r w:rsidR="004C3EAA">
        <w:rPr>
          <w:rFonts w:ascii="Arial" w:eastAsia="Calibri" w:hAnsi="Arial" w:cs="Arial"/>
          <w:color w:val="000000"/>
          <w:sz w:val="22"/>
          <w:lang w:val="es-ES"/>
        </w:rPr>
        <w:t>,</w:t>
      </w:r>
      <w:r w:rsidRPr="001F22AD">
        <w:rPr>
          <w:rFonts w:ascii="Arial" w:eastAsia="Calibri" w:hAnsi="Arial" w:cs="Arial"/>
          <w:color w:val="000000"/>
          <w:sz w:val="22"/>
          <w:lang w:val="es-ES"/>
        </w:rPr>
        <w:t xml:space="preserve"> se realizará en los términos establecidos en l</w:t>
      </w:r>
      <w:r>
        <w:rPr>
          <w:rFonts w:ascii="Arial" w:eastAsia="Calibri" w:hAnsi="Arial" w:cs="Arial"/>
          <w:color w:val="000000"/>
          <w:sz w:val="22"/>
          <w:lang w:val="es-ES"/>
        </w:rPr>
        <w:t>a invitación</w:t>
      </w:r>
      <w:r w:rsidRPr="001F22AD">
        <w:rPr>
          <w:rFonts w:ascii="Arial" w:eastAsia="Calibri" w:hAnsi="Arial" w:cs="Arial"/>
          <w:color w:val="000000"/>
          <w:sz w:val="22"/>
          <w:lang w:val="es-ES"/>
        </w:rPr>
        <w:t>, pues las entidades estatales cuentan con discrecionalidad para regular este aspecto, de acuerdo con lo explicado</w:t>
      </w:r>
      <w:r w:rsidR="009076DB">
        <w:rPr>
          <w:rFonts w:ascii="Arial" w:eastAsia="Calibri" w:hAnsi="Arial" w:cs="Arial"/>
          <w:color w:val="000000"/>
          <w:sz w:val="22"/>
          <w:lang w:val="es-ES"/>
        </w:rPr>
        <w:t>, sin que sea posible exigir la presentación del RUP.</w:t>
      </w:r>
    </w:p>
    <w:p w14:paraId="57C4E809" w14:textId="5D0DC39E" w:rsidR="00145D56" w:rsidRPr="004A73E3" w:rsidRDefault="00145D56" w:rsidP="007D4261">
      <w:pPr>
        <w:spacing w:before="120" w:line="276" w:lineRule="auto"/>
        <w:ind w:firstLine="709"/>
        <w:jc w:val="both"/>
        <w:rPr>
          <w:rFonts w:ascii="Arial" w:eastAsia="Calibri" w:hAnsi="Arial" w:cs="Arial"/>
          <w:color w:val="000000"/>
          <w:sz w:val="22"/>
          <w:lang w:val="es-ES"/>
        </w:rPr>
      </w:pPr>
      <w:proofErr w:type="spellStart"/>
      <w:r>
        <w:rPr>
          <w:rFonts w:ascii="Arial" w:eastAsia="Calibri" w:hAnsi="Arial" w:cs="Arial"/>
          <w:color w:val="000000" w:themeColor="text1"/>
          <w:sz w:val="22"/>
          <w:lang w:val="es-ES_tradnl"/>
        </w:rPr>
        <w:t>i</w:t>
      </w:r>
      <w:r w:rsidR="001B53A5">
        <w:rPr>
          <w:rFonts w:ascii="Arial" w:eastAsia="Calibri" w:hAnsi="Arial" w:cs="Arial"/>
          <w:color w:val="000000" w:themeColor="text1"/>
          <w:sz w:val="22"/>
          <w:lang w:val="es-ES_tradnl"/>
        </w:rPr>
        <w:t>v</w:t>
      </w:r>
      <w:proofErr w:type="spellEnd"/>
      <w:r>
        <w:rPr>
          <w:rFonts w:ascii="Arial" w:eastAsia="Calibri" w:hAnsi="Arial" w:cs="Arial"/>
          <w:color w:val="000000" w:themeColor="text1"/>
          <w:sz w:val="22"/>
          <w:lang w:val="es-ES_tradnl"/>
        </w:rPr>
        <w:t xml:space="preserve">) La invitación se debe </w:t>
      </w:r>
      <w:r w:rsidR="00D0654D">
        <w:rPr>
          <w:rFonts w:ascii="Arial" w:eastAsia="Calibri" w:hAnsi="Arial" w:cs="Arial"/>
          <w:color w:val="000000" w:themeColor="text1"/>
          <w:sz w:val="22"/>
          <w:lang w:val="es-ES_tradnl"/>
        </w:rPr>
        <w:t xml:space="preserve">publicar </w:t>
      </w:r>
      <w:r>
        <w:rPr>
          <w:rFonts w:ascii="Arial" w:eastAsia="Calibri" w:hAnsi="Arial" w:cs="Arial"/>
          <w:color w:val="000000" w:themeColor="text1"/>
          <w:sz w:val="22"/>
          <w:lang w:val="es-ES_tradnl"/>
        </w:rPr>
        <w:t>por un término no inferior a un (1) día hábil</w:t>
      </w:r>
      <w:r w:rsidR="00D35141">
        <w:rPr>
          <w:rFonts w:ascii="Arial" w:eastAsia="Calibri" w:hAnsi="Arial" w:cs="Arial"/>
          <w:color w:val="000000" w:themeColor="text1"/>
          <w:sz w:val="22"/>
          <w:lang w:val="es-ES_tradnl"/>
        </w:rPr>
        <w:t>, para que</w:t>
      </w:r>
      <w:r w:rsidR="00C80365">
        <w:rPr>
          <w:rFonts w:ascii="Arial" w:eastAsia="Calibri" w:hAnsi="Arial" w:cs="Arial"/>
          <w:color w:val="000000" w:themeColor="text1"/>
          <w:sz w:val="22"/>
          <w:lang w:val="es-ES_tradnl"/>
        </w:rPr>
        <w:t xml:space="preserve"> </w:t>
      </w:r>
      <w:r w:rsidR="00D35141" w:rsidRPr="00D35141">
        <w:rPr>
          <w:rFonts w:ascii="Arial" w:eastAsia="Calibri" w:hAnsi="Arial" w:cs="Arial"/>
          <w:color w:val="000000" w:themeColor="text1"/>
          <w:sz w:val="22"/>
        </w:rPr>
        <w:t>los interesados se informen de su contenido y formulen observaciones o comentarios</w:t>
      </w:r>
      <w:r w:rsidR="00D35141">
        <w:rPr>
          <w:rFonts w:ascii="Arial" w:eastAsia="Calibri" w:hAnsi="Arial" w:cs="Arial"/>
          <w:color w:val="000000" w:themeColor="text1"/>
          <w:sz w:val="22"/>
        </w:rPr>
        <w:t>.</w:t>
      </w:r>
      <w:r w:rsidR="00D35141" w:rsidRPr="00D35141">
        <w:rPr>
          <w:rFonts w:ascii="Arial" w:eastAsia="Calibri" w:hAnsi="Arial" w:cs="Arial"/>
          <w:color w:val="000000" w:themeColor="text1"/>
          <w:sz w:val="22"/>
          <w:lang w:val="es-ES_tradnl"/>
        </w:rPr>
        <w:t xml:space="preserve"> </w:t>
      </w:r>
      <w:r w:rsidR="00D35141">
        <w:rPr>
          <w:rFonts w:ascii="Arial" w:eastAsia="Calibri" w:hAnsi="Arial" w:cs="Arial"/>
          <w:color w:val="000000" w:themeColor="text1"/>
          <w:sz w:val="22"/>
          <w:lang w:val="es-ES_tradnl"/>
        </w:rPr>
        <w:t xml:space="preserve">En este plazo </w:t>
      </w:r>
      <w:r w:rsidR="00D35141" w:rsidRPr="00D35141">
        <w:rPr>
          <w:rFonts w:ascii="Arial" w:eastAsia="Calibri" w:hAnsi="Arial" w:cs="Arial"/>
          <w:color w:val="000000" w:themeColor="text1"/>
          <w:sz w:val="22"/>
        </w:rPr>
        <w:t xml:space="preserve">se podrán presentar las solicitudes para limitar la convocatoria a </w:t>
      </w:r>
      <w:proofErr w:type="spellStart"/>
      <w:r w:rsidR="00D35141" w:rsidRPr="00D35141">
        <w:rPr>
          <w:rFonts w:ascii="Arial" w:eastAsia="Calibri" w:hAnsi="Arial" w:cs="Arial"/>
          <w:color w:val="000000" w:themeColor="text1"/>
          <w:sz w:val="22"/>
        </w:rPr>
        <w:t>Mipyme</w:t>
      </w:r>
      <w:proofErr w:type="spellEnd"/>
      <w:r w:rsidR="00D35141" w:rsidRPr="00D35141">
        <w:rPr>
          <w:rFonts w:ascii="Arial" w:eastAsia="Calibri" w:hAnsi="Arial" w:cs="Arial"/>
          <w:color w:val="000000" w:themeColor="text1"/>
          <w:sz w:val="22"/>
        </w:rPr>
        <w:t xml:space="preserve"> colombianas.</w:t>
      </w:r>
      <w:r w:rsidR="004C3EAA">
        <w:rPr>
          <w:rFonts w:ascii="Arial" w:eastAsia="Calibri" w:hAnsi="Arial" w:cs="Arial"/>
          <w:color w:val="000000" w:themeColor="text1"/>
          <w:sz w:val="22"/>
        </w:rPr>
        <w:t xml:space="preserve"> </w:t>
      </w:r>
      <w:r w:rsidR="00750476">
        <w:rPr>
          <w:rFonts w:ascii="Arial" w:eastAsia="Calibri" w:hAnsi="Arial" w:cs="Arial"/>
          <w:color w:val="000000" w:themeColor="text1"/>
          <w:sz w:val="22"/>
        </w:rPr>
        <w:t xml:space="preserve">Este último aspecto materializa la posibilidad de </w:t>
      </w:r>
      <w:r w:rsidR="00750476" w:rsidRPr="00063085">
        <w:rPr>
          <w:rFonts w:ascii="Arial" w:eastAsia="Calibri" w:hAnsi="Arial" w:cs="Arial"/>
          <w:bCs/>
          <w:color w:val="000000"/>
          <w:sz w:val="22"/>
          <w:szCs w:val="22"/>
          <w:lang w:val="es-ES_tradnl" w:eastAsia="en-US"/>
        </w:rPr>
        <w:t>limita</w:t>
      </w:r>
      <w:r w:rsidR="00750476">
        <w:rPr>
          <w:rFonts w:ascii="Arial" w:eastAsia="Calibri" w:hAnsi="Arial" w:cs="Arial"/>
          <w:bCs/>
          <w:color w:val="000000"/>
          <w:sz w:val="22"/>
          <w:szCs w:val="22"/>
          <w:lang w:val="es-ES_tradnl" w:eastAsia="en-US"/>
        </w:rPr>
        <w:t xml:space="preserve">r las convocatorias </w:t>
      </w:r>
      <w:r w:rsidR="00750476" w:rsidRPr="00063085">
        <w:rPr>
          <w:rFonts w:ascii="Arial" w:eastAsia="Calibri" w:hAnsi="Arial" w:cs="Arial"/>
          <w:bCs/>
          <w:color w:val="000000"/>
          <w:sz w:val="22"/>
          <w:szCs w:val="22"/>
          <w:lang w:val="es-ES_tradnl" w:eastAsia="en-US"/>
        </w:rPr>
        <w:t xml:space="preserve">a </w:t>
      </w:r>
      <w:proofErr w:type="spellStart"/>
      <w:r w:rsidR="00750476">
        <w:rPr>
          <w:rFonts w:ascii="Arial" w:eastAsia="Calibri" w:hAnsi="Arial" w:cs="Arial"/>
          <w:bCs/>
          <w:color w:val="000000"/>
          <w:sz w:val="22"/>
          <w:szCs w:val="22"/>
          <w:lang w:val="es-ES_tradnl" w:eastAsia="en-US"/>
        </w:rPr>
        <w:t>M</w:t>
      </w:r>
      <w:r w:rsidR="00750476" w:rsidRPr="00063085">
        <w:rPr>
          <w:rFonts w:ascii="Arial" w:eastAsia="Calibri" w:hAnsi="Arial" w:cs="Arial"/>
          <w:bCs/>
          <w:color w:val="000000"/>
          <w:sz w:val="22"/>
          <w:szCs w:val="22"/>
          <w:lang w:val="es-ES_tradnl" w:eastAsia="en-US"/>
        </w:rPr>
        <w:t>ipym</w:t>
      </w:r>
      <w:r w:rsidR="00750476">
        <w:rPr>
          <w:rFonts w:ascii="Arial" w:eastAsia="Calibri" w:hAnsi="Arial" w:cs="Arial"/>
          <w:bCs/>
          <w:color w:val="000000"/>
          <w:sz w:val="22"/>
          <w:szCs w:val="22"/>
          <w:lang w:val="es-ES_tradnl" w:eastAsia="en-US"/>
        </w:rPr>
        <w:t>e</w:t>
      </w:r>
      <w:proofErr w:type="spellEnd"/>
      <w:r w:rsidR="009076DB" w:rsidRPr="009076DB">
        <w:rPr>
          <w:rFonts w:ascii="Arial" w:eastAsia="Calibri" w:hAnsi="Arial" w:cs="Arial"/>
          <w:color w:val="000000" w:themeColor="text1"/>
          <w:sz w:val="22"/>
        </w:rPr>
        <w:t xml:space="preserve"> </w:t>
      </w:r>
      <w:r w:rsidR="009076DB">
        <w:rPr>
          <w:rFonts w:ascii="Arial" w:eastAsia="Calibri" w:hAnsi="Arial" w:cs="Arial"/>
          <w:color w:val="000000" w:themeColor="text1"/>
          <w:sz w:val="22"/>
        </w:rPr>
        <w:t>en estos procesos de selección</w:t>
      </w:r>
      <w:r w:rsidR="001A7DB7">
        <w:rPr>
          <w:rFonts w:ascii="Arial" w:eastAsia="Calibri" w:hAnsi="Arial" w:cs="Arial"/>
          <w:bCs/>
          <w:color w:val="000000"/>
          <w:sz w:val="22"/>
          <w:szCs w:val="22"/>
          <w:lang w:val="es-ES_tradnl" w:eastAsia="en-US"/>
        </w:rPr>
        <w:t>,</w:t>
      </w:r>
      <w:r w:rsidR="00750476">
        <w:rPr>
          <w:rFonts w:ascii="Arial" w:eastAsia="Calibri" w:hAnsi="Arial" w:cs="Arial"/>
          <w:bCs/>
          <w:color w:val="000000"/>
          <w:sz w:val="22"/>
          <w:szCs w:val="22"/>
          <w:lang w:val="es-ES_tradnl" w:eastAsia="en-US"/>
        </w:rPr>
        <w:t xml:space="preserve"> conforme lo establece el artículo 30 de la Ley 2069 de 2020.</w:t>
      </w:r>
    </w:p>
    <w:p w14:paraId="38067D22" w14:textId="700E1163" w:rsidR="00145D56" w:rsidRDefault="00145D56" w:rsidP="007D4261">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v) Las observaciones que realicen los interesados deben responderse por la entidad estatal a más tardar antes del </w:t>
      </w:r>
      <w:r w:rsidR="001B53A5">
        <w:rPr>
          <w:rFonts w:ascii="Arial" w:eastAsia="Calibri" w:hAnsi="Arial" w:cs="Arial"/>
          <w:color w:val="000000" w:themeColor="text1"/>
          <w:sz w:val="22"/>
          <w:lang w:val="es-ES_tradnl"/>
        </w:rPr>
        <w:t>inicio del plazo</w:t>
      </w:r>
      <w:r>
        <w:rPr>
          <w:rFonts w:ascii="Arial" w:eastAsia="Calibri" w:hAnsi="Arial" w:cs="Arial"/>
          <w:color w:val="000000" w:themeColor="text1"/>
          <w:sz w:val="22"/>
          <w:lang w:val="es-ES_tradnl"/>
        </w:rPr>
        <w:t xml:space="preserve"> para presentar las ofertas.</w:t>
      </w:r>
      <w:r w:rsidR="00D35141">
        <w:rPr>
          <w:rFonts w:ascii="Arial" w:eastAsia="Calibri" w:hAnsi="Arial" w:cs="Arial"/>
          <w:color w:val="000000" w:themeColor="text1"/>
          <w:sz w:val="22"/>
          <w:lang w:val="es-ES_tradnl"/>
        </w:rPr>
        <w:t xml:space="preserve"> </w:t>
      </w:r>
    </w:p>
    <w:p w14:paraId="7C1AD157" w14:textId="75AAEA07" w:rsidR="00750476" w:rsidRDefault="00145D56" w:rsidP="007D4261">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v</w:t>
      </w:r>
      <w:r w:rsidR="00D0654D">
        <w:rPr>
          <w:rFonts w:ascii="Arial" w:eastAsia="Calibri" w:hAnsi="Arial" w:cs="Arial"/>
          <w:color w:val="000000" w:themeColor="text1"/>
          <w:sz w:val="22"/>
          <w:lang w:val="es-ES_tradnl"/>
        </w:rPr>
        <w:t>i</w:t>
      </w:r>
      <w:r>
        <w:rPr>
          <w:rFonts w:ascii="Arial" w:eastAsia="Calibri" w:hAnsi="Arial" w:cs="Arial"/>
          <w:color w:val="000000" w:themeColor="text1"/>
          <w:sz w:val="22"/>
          <w:lang w:val="es-ES_tradnl"/>
        </w:rPr>
        <w:t xml:space="preserve">) </w:t>
      </w:r>
      <w:r w:rsidR="00750476">
        <w:rPr>
          <w:rFonts w:ascii="Arial" w:eastAsia="Calibri" w:hAnsi="Arial" w:cs="Arial"/>
          <w:color w:val="000000" w:themeColor="text1"/>
          <w:sz w:val="22"/>
          <w:lang w:val="es-ES_tradnl"/>
        </w:rPr>
        <w:t xml:space="preserve">En la invitación se deberá incluir un cronograma que tenga en cuenta los términos mínimos establecidos en el artículo </w:t>
      </w:r>
      <w:r w:rsidR="00750476" w:rsidRPr="00750476">
        <w:rPr>
          <w:rFonts w:ascii="Arial" w:eastAsia="Calibri" w:hAnsi="Arial" w:cs="Arial"/>
          <w:bCs/>
          <w:color w:val="000000" w:themeColor="text1"/>
          <w:sz w:val="22"/>
          <w:lang w:val="es-ES_tradnl"/>
        </w:rPr>
        <w:t>2.2.1.2.1.5.2.</w:t>
      </w:r>
      <w:r w:rsidR="00750476">
        <w:rPr>
          <w:rFonts w:ascii="Arial" w:eastAsia="Calibri" w:hAnsi="Arial" w:cs="Arial"/>
          <w:bCs/>
          <w:color w:val="000000" w:themeColor="text1"/>
          <w:sz w:val="22"/>
          <w:lang w:val="es-ES_tradnl"/>
        </w:rPr>
        <w:t xml:space="preserve"> del Decreto 1082 de 2015</w:t>
      </w:r>
      <w:r w:rsidR="00D0654D">
        <w:rPr>
          <w:rFonts w:ascii="Arial" w:eastAsia="Calibri" w:hAnsi="Arial" w:cs="Arial"/>
          <w:color w:val="000000" w:themeColor="text1"/>
          <w:sz w:val="22"/>
        </w:rPr>
        <w:t xml:space="preserve">, así como: </w:t>
      </w:r>
      <w:r w:rsidR="001A7DB7">
        <w:rPr>
          <w:rFonts w:ascii="Arial" w:eastAsia="Calibri" w:hAnsi="Arial" w:cs="Arial"/>
          <w:color w:val="000000" w:themeColor="text1"/>
          <w:sz w:val="22"/>
        </w:rPr>
        <w:t>a</w:t>
      </w:r>
      <w:r w:rsidR="00750476" w:rsidRPr="00750476">
        <w:rPr>
          <w:rFonts w:ascii="Arial" w:eastAsia="Calibri" w:hAnsi="Arial" w:cs="Arial"/>
          <w:color w:val="000000" w:themeColor="text1"/>
          <w:sz w:val="22"/>
        </w:rPr>
        <w:t xml:space="preserve">) el término dentro del cual la </w:t>
      </w:r>
      <w:r w:rsidR="00D0654D">
        <w:rPr>
          <w:rFonts w:ascii="Arial" w:eastAsia="Calibri" w:hAnsi="Arial" w:cs="Arial"/>
          <w:color w:val="000000" w:themeColor="text1"/>
          <w:sz w:val="22"/>
        </w:rPr>
        <w:t>e</w:t>
      </w:r>
      <w:r w:rsidR="00750476" w:rsidRPr="00750476">
        <w:rPr>
          <w:rFonts w:ascii="Arial" w:eastAsia="Calibri" w:hAnsi="Arial" w:cs="Arial"/>
          <w:color w:val="000000" w:themeColor="text1"/>
          <w:sz w:val="22"/>
        </w:rPr>
        <w:t>ntidad responderá las observaciones</w:t>
      </w:r>
      <w:r w:rsidR="00D0654D">
        <w:rPr>
          <w:rFonts w:ascii="Arial" w:eastAsia="Calibri" w:hAnsi="Arial" w:cs="Arial"/>
          <w:color w:val="000000" w:themeColor="text1"/>
          <w:sz w:val="22"/>
        </w:rPr>
        <w:t>;</w:t>
      </w:r>
      <w:r w:rsidR="00750476" w:rsidRPr="00750476">
        <w:rPr>
          <w:rFonts w:ascii="Arial" w:eastAsia="Calibri" w:hAnsi="Arial" w:cs="Arial"/>
          <w:color w:val="000000" w:themeColor="text1"/>
          <w:sz w:val="22"/>
        </w:rPr>
        <w:t xml:space="preserve"> </w:t>
      </w:r>
      <w:r w:rsidR="001A7DB7">
        <w:rPr>
          <w:rFonts w:ascii="Arial" w:eastAsia="Calibri" w:hAnsi="Arial" w:cs="Arial"/>
          <w:color w:val="000000" w:themeColor="text1"/>
          <w:sz w:val="22"/>
        </w:rPr>
        <w:t>b</w:t>
      </w:r>
      <w:r w:rsidR="00750476" w:rsidRPr="00750476">
        <w:rPr>
          <w:rFonts w:ascii="Arial" w:eastAsia="Calibri" w:hAnsi="Arial" w:cs="Arial"/>
          <w:color w:val="000000" w:themeColor="text1"/>
          <w:sz w:val="22"/>
        </w:rPr>
        <w:t xml:space="preserve">) </w:t>
      </w:r>
      <w:r w:rsidR="00D0654D">
        <w:rPr>
          <w:rFonts w:ascii="Arial" w:eastAsia="Calibri" w:hAnsi="Arial" w:cs="Arial"/>
          <w:color w:val="000000" w:themeColor="text1"/>
          <w:sz w:val="22"/>
        </w:rPr>
        <w:t>e</w:t>
      </w:r>
      <w:r w:rsidR="00750476" w:rsidRPr="00750476">
        <w:rPr>
          <w:rFonts w:ascii="Arial" w:eastAsia="Calibri" w:hAnsi="Arial" w:cs="Arial"/>
          <w:color w:val="000000" w:themeColor="text1"/>
          <w:sz w:val="22"/>
        </w:rPr>
        <w:t>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w:t>
      </w:r>
      <w:r w:rsidR="00D0654D">
        <w:rPr>
          <w:rFonts w:ascii="Arial" w:eastAsia="Calibri" w:hAnsi="Arial" w:cs="Arial"/>
          <w:color w:val="000000" w:themeColor="text1"/>
          <w:sz w:val="22"/>
        </w:rPr>
        <w:t xml:space="preserve">, </w:t>
      </w:r>
      <w:r w:rsidR="00750476" w:rsidRPr="00750476">
        <w:rPr>
          <w:rFonts w:ascii="Arial" w:eastAsia="Calibri" w:hAnsi="Arial" w:cs="Arial"/>
          <w:color w:val="000000" w:themeColor="text1"/>
          <w:sz w:val="22"/>
        </w:rPr>
        <w:t>en todo caso, las adendas se publicarán en el horario establecido en el artículo 2.2.1.1.2.2.1. del Decreto 1082 de 2015</w:t>
      </w:r>
      <w:r w:rsidR="00D0654D">
        <w:rPr>
          <w:rFonts w:ascii="Arial" w:eastAsia="Calibri" w:hAnsi="Arial" w:cs="Arial"/>
          <w:color w:val="000000" w:themeColor="text1"/>
          <w:sz w:val="22"/>
        </w:rPr>
        <w:t>;</w:t>
      </w:r>
      <w:r w:rsidR="00750476" w:rsidRPr="00750476">
        <w:rPr>
          <w:rFonts w:ascii="Arial" w:eastAsia="Calibri" w:hAnsi="Arial" w:cs="Arial"/>
          <w:color w:val="000000" w:themeColor="text1"/>
          <w:sz w:val="22"/>
        </w:rPr>
        <w:t xml:space="preserve"> </w:t>
      </w:r>
      <w:r w:rsidR="001A7DB7">
        <w:rPr>
          <w:rFonts w:ascii="Arial" w:eastAsia="Calibri" w:hAnsi="Arial" w:cs="Arial"/>
          <w:color w:val="000000" w:themeColor="text1"/>
          <w:sz w:val="22"/>
        </w:rPr>
        <w:t>c</w:t>
      </w:r>
      <w:r w:rsidR="00750476" w:rsidRPr="00750476">
        <w:rPr>
          <w:rFonts w:ascii="Arial" w:eastAsia="Calibri" w:hAnsi="Arial" w:cs="Arial"/>
          <w:color w:val="000000" w:themeColor="text1"/>
          <w:sz w:val="22"/>
        </w:rPr>
        <w:t xml:space="preserve">) </w:t>
      </w:r>
      <w:r w:rsidR="00D0654D">
        <w:rPr>
          <w:rFonts w:ascii="Arial" w:eastAsia="Calibri" w:hAnsi="Arial" w:cs="Arial"/>
          <w:color w:val="000000" w:themeColor="text1"/>
          <w:sz w:val="22"/>
        </w:rPr>
        <w:t>e</w:t>
      </w:r>
      <w:r w:rsidR="00750476" w:rsidRPr="00750476">
        <w:rPr>
          <w:rFonts w:ascii="Arial" w:eastAsia="Calibri" w:hAnsi="Arial" w:cs="Arial"/>
          <w:color w:val="000000" w:themeColor="text1"/>
          <w:sz w:val="22"/>
        </w:rPr>
        <w:t xml:space="preserve">l momento en que publicará un aviso en el SECOP precisando si el proceso efectivamente se limitó a </w:t>
      </w:r>
      <w:proofErr w:type="spellStart"/>
      <w:r w:rsidR="00750476" w:rsidRPr="00750476">
        <w:rPr>
          <w:rFonts w:ascii="Arial" w:eastAsia="Calibri" w:hAnsi="Arial" w:cs="Arial"/>
          <w:color w:val="000000" w:themeColor="text1"/>
          <w:sz w:val="22"/>
        </w:rPr>
        <w:t>Mipyme</w:t>
      </w:r>
      <w:proofErr w:type="spellEnd"/>
      <w:r w:rsidR="00750476" w:rsidRPr="00750476">
        <w:rPr>
          <w:rFonts w:ascii="Arial" w:eastAsia="Calibri" w:hAnsi="Arial" w:cs="Arial"/>
          <w:color w:val="000000" w:themeColor="text1"/>
          <w:sz w:val="22"/>
        </w:rPr>
        <w:t xml:space="preserve"> o si podrá participar cualquier otro interesad</w:t>
      </w:r>
      <w:r w:rsidR="001A7DB7">
        <w:rPr>
          <w:rFonts w:ascii="Arial" w:eastAsia="Calibri" w:hAnsi="Arial" w:cs="Arial"/>
          <w:color w:val="000000" w:themeColor="text1"/>
          <w:sz w:val="22"/>
        </w:rPr>
        <w:t>o;</w:t>
      </w:r>
      <w:r w:rsidR="00750476" w:rsidRPr="00750476">
        <w:rPr>
          <w:rFonts w:ascii="Arial" w:eastAsia="Calibri" w:hAnsi="Arial" w:cs="Arial"/>
          <w:color w:val="000000" w:themeColor="text1"/>
          <w:sz w:val="22"/>
        </w:rPr>
        <w:t xml:space="preserve"> </w:t>
      </w:r>
      <w:r w:rsidR="001A7DB7">
        <w:rPr>
          <w:rFonts w:ascii="Arial" w:eastAsia="Calibri" w:hAnsi="Arial" w:cs="Arial"/>
          <w:color w:val="000000" w:themeColor="text1"/>
          <w:sz w:val="22"/>
        </w:rPr>
        <w:t>d</w:t>
      </w:r>
      <w:r w:rsidR="00750476" w:rsidRPr="00750476">
        <w:rPr>
          <w:rFonts w:ascii="Arial" w:eastAsia="Calibri" w:hAnsi="Arial" w:cs="Arial"/>
          <w:color w:val="000000" w:themeColor="text1"/>
          <w:sz w:val="22"/>
        </w:rPr>
        <w:t xml:space="preserve">) </w:t>
      </w:r>
      <w:r w:rsidR="001A7DB7">
        <w:rPr>
          <w:rFonts w:ascii="Arial" w:eastAsia="Calibri" w:hAnsi="Arial" w:cs="Arial"/>
          <w:color w:val="000000" w:themeColor="text1"/>
          <w:sz w:val="22"/>
        </w:rPr>
        <w:t>f</w:t>
      </w:r>
      <w:r w:rsidR="00750476" w:rsidRPr="00750476">
        <w:rPr>
          <w:rFonts w:ascii="Arial" w:eastAsia="Calibri" w:hAnsi="Arial" w:cs="Arial"/>
          <w:color w:val="000000" w:themeColor="text1"/>
          <w:sz w:val="22"/>
        </w:rPr>
        <w:t xml:space="preserve">inalmente, se dispondrá un término adicional dentro del cual los proponentes podrán presentar sus ofertas, el cual será de mínimo un (1) día hábil luego de publicado el aviso en que se informe si el proceso se limita o no a </w:t>
      </w:r>
      <w:proofErr w:type="spellStart"/>
      <w:r w:rsidR="00750476" w:rsidRPr="00750476">
        <w:rPr>
          <w:rFonts w:ascii="Arial" w:eastAsia="Calibri" w:hAnsi="Arial" w:cs="Arial"/>
          <w:color w:val="000000" w:themeColor="text1"/>
          <w:sz w:val="22"/>
        </w:rPr>
        <w:t>Mipyme</w:t>
      </w:r>
      <w:proofErr w:type="spellEnd"/>
      <w:r w:rsidR="00750476" w:rsidRPr="00750476">
        <w:rPr>
          <w:rFonts w:ascii="Arial" w:eastAsia="Calibri" w:hAnsi="Arial" w:cs="Arial"/>
          <w:color w:val="000000" w:themeColor="text1"/>
          <w:sz w:val="22"/>
        </w:rPr>
        <w:t>.</w:t>
      </w:r>
    </w:p>
    <w:p w14:paraId="5AFDF3FF" w14:textId="37EDD253" w:rsidR="001A7DB7" w:rsidRDefault="001A7DB7" w:rsidP="007D4261">
      <w:pPr>
        <w:spacing w:before="120" w:line="276" w:lineRule="auto"/>
        <w:ind w:firstLine="709"/>
        <w:jc w:val="both"/>
        <w:rPr>
          <w:rFonts w:ascii="Arial" w:eastAsia="Calibri" w:hAnsi="Arial" w:cs="Arial"/>
          <w:color w:val="000000" w:themeColor="text1"/>
          <w:sz w:val="22"/>
          <w:lang w:val="es-ES_tradnl"/>
        </w:rPr>
      </w:pPr>
      <w:proofErr w:type="spellStart"/>
      <w:r>
        <w:rPr>
          <w:rFonts w:ascii="Arial" w:eastAsia="Calibri" w:hAnsi="Arial" w:cs="Arial"/>
          <w:color w:val="000000" w:themeColor="text1"/>
          <w:sz w:val="22"/>
          <w:lang w:val="es-ES_tradnl"/>
        </w:rPr>
        <w:t>vii</w:t>
      </w:r>
      <w:proofErr w:type="spellEnd"/>
      <w:r>
        <w:rPr>
          <w:rFonts w:ascii="Arial" w:eastAsia="Calibri" w:hAnsi="Arial" w:cs="Arial"/>
          <w:color w:val="000000" w:themeColor="text1"/>
          <w:sz w:val="22"/>
          <w:lang w:val="es-ES_tradnl"/>
        </w:rPr>
        <w:t xml:space="preserve">) </w:t>
      </w:r>
      <w:r w:rsidR="00145D56">
        <w:rPr>
          <w:rFonts w:ascii="Arial" w:eastAsia="Calibri" w:hAnsi="Arial" w:cs="Arial"/>
          <w:color w:val="000000" w:themeColor="text1"/>
          <w:sz w:val="22"/>
          <w:lang w:val="es-ES_tradnl"/>
        </w:rPr>
        <w:t xml:space="preserve">Presentadas las propuestas, la entidad estatal debe revisar las ofertas económicas y verificar </w:t>
      </w:r>
      <w:r w:rsidR="00AB3704">
        <w:rPr>
          <w:rFonts w:ascii="Arial" w:eastAsia="Calibri" w:hAnsi="Arial" w:cs="Arial"/>
          <w:color w:val="000000" w:themeColor="text1"/>
          <w:sz w:val="22"/>
          <w:lang w:val="es-ES_tradnl"/>
        </w:rPr>
        <w:t>que</w:t>
      </w:r>
      <w:r w:rsidR="00145D56">
        <w:rPr>
          <w:rFonts w:ascii="Arial" w:eastAsia="Calibri" w:hAnsi="Arial" w:cs="Arial"/>
          <w:color w:val="000000" w:themeColor="text1"/>
          <w:sz w:val="22"/>
          <w:lang w:val="es-ES_tradnl"/>
        </w:rPr>
        <w:t xml:space="preserve"> la del menor precio cumpla con los requisitos de participación. Si no los satisface, debe revisar la oferta económica </w:t>
      </w:r>
      <w:r w:rsidR="00AB3704">
        <w:rPr>
          <w:rFonts w:ascii="Arial" w:eastAsia="Calibri" w:hAnsi="Arial" w:cs="Arial"/>
          <w:color w:val="000000" w:themeColor="text1"/>
          <w:sz w:val="22"/>
          <w:lang w:val="es-ES_tradnl"/>
        </w:rPr>
        <w:t xml:space="preserve">en el segundo mejor precio </w:t>
      </w:r>
      <w:r w:rsidR="00145D56">
        <w:rPr>
          <w:rFonts w:ascii="Arial" w:eastAsia="Calibri" w:hAnsi="Arial" w:cs="Arial"/>
          <w:color w:val="000000" w:themeColor="text1"/>
          <w:sz w:val="22"/>
          <w:lang w:val="es-ES_tradnl"/>
        </w:rPr>
        <w:t>y así sucesivamente. Esto significa que en la mínima cuantía el precio es el único factor de calificación o asignación de puntaje</w:t>
      </w:r>
      <w:r w:rsidR="00145D56">
        <w:rPr>
          <w:rStyle w:val="Refdenotaalpie"/>
          <w:rFonts w:ascii="Arial" w:eastAsia="Calibri" w:hAnsi="Arial" w:cs="Arial"/>
          <w:color w:val="000000" w:themeColor="text1"/>
          <w:sz w:val="22"/>
          <w:lang w:val="es-ES_tradnl"/>
        </w:rPr>
        <w:footnoteReference w:id="11"/>
      </w:r>
      <w:r w:rsidR="00145D56">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w:t>
      </w:r>
    </w:p>
    <w:p w14:paraId="6BFB4F59" w14:textId="69A983C7" w:rsidR="00145D56" w:rsidRDefault="001A3B2D" w:rsidP="007D4261">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rPr>
        <w:t xml:space="preserve">Respecto de los requisitos de participación, las entidades deberán otorgar la oportunidad </w:t>
      </w:r>
      <w:r w:rsidR="001A7DB7" w:rsidRPr="001A7DB7">
        <w:rPr>
          <w:rFonts w:ascii="Arial" w:eastAsia="Calibri" w:hAnsi="Arial" w:cs="Arial"/>
          <w:color w:val="000000" w:themeColor="text1"/>
          <w:sz w:val="22"/>
        </w:rPr>
        <w:t>para subsanar las ofertas en los términos del artículo </w:t>
      </w:r>
      <w:hyperlink r:id="rId12" w:anchor="5" w:history="1">
        <w:r w:rsidR="001A7DB7" w:rsidRPr="001A7DB7">
          <w:rPr>
            <w:rStyle w:val="Hipervnculo"/>
            <w:rFonts w:ascii="Arial" w:eastAsia="Calibri" w:hAnsi="Arial" w:cs="Arial"/>
            <w:color w:val="000000" w:themeColor="text1"/>
            <w:sz w:val="22"/>
            <w:u w:val="none"/>
          </w:rPr>
          <w:t>5 </w:t>
        </w:r>
      </w:hyperlink>
      <w:r w:rsidR="001A7DB7" w:rsidRPr="001A7DB7">
        <w:rPr>
          <w:rFonts w:ascii="Arial" w:eastAsia="Calibri" w:hAnsi="Arial" w:cs="Arial"/>
          <w:color w:val="000000" w:themeColor="text1"/>
          <w:sz w:val="22"/>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23200CE8" w14:textId="26C8DD88" w:rsidR="00145D56" w:rsidRDefault="00145D56" w:rsidP="007D4261">
      <w:pPr>
        <w:spacing w:before="120" w:line="276" w:lineRule="auto"/>
        <w:ind w:firstLine="709"/>
        <w:jc w:val="both"/>
        <w:rPr>
          <w:rFonts w:ascii="Arial" w:eastAsia="Calibri" w:hAnsi="Arial" w:cs="Arial"/>
          <w:color w:val="000000" w:themeColor="text1"/>
          <w:sz w:val="22"/>
          <w:lang w:val="es-ES_tradnl"/>
        </w:rPr>
      </w:pPr>
      <w:proofErr w:type="spellStart"/>
      <w:r>
        <w:rPr>
          <w:rFonts w:ascii="Arial" w:eastAsia="Calibri" w:hAnsi="Arial" w:cs="Arial"/>
          <w:color w:val="000000" w:themeColor="text1"/>
          <w:sz w:val="22"/>
          <w:lang w:val="es-ES_tradnl"/>
        </w:rPr>
        <w:t>v</w:t>
      </w:r>
      <w:r w:rsidR="007D4261">
        <w:rPr>
          <w:rFonts w:ascii="Arial" w:eastAsia="Calibri" w:hAnsi="Arial" w:cs="Arial"/>
          <w:color w:val="000000" w:themeColor="text1"/>
          <w:sz w:val="22"/>
          <w:lang w:val="es-ES_tradnl"/>
        </w:rPr>
        <w:t>ii</w:t>
      </w:r>
      <w:r>
        <w:rPr>
          <w:rFonts w:ascii="Arial" w:eastAsia="Calibri" w:hAnsi="Arial" w:cs="Arial"/>
          <w:color w:val="000000" w:themeColor="text1"/>
          <w:sz w:val="22"/>
          <w:lang w:val="es-ES_tradnl"/>
        </w:rPr>
        <w:t>i</w:t>
      </w:r>
      <w:proofErr w:type="spellEnd"/>
      <w:r>
        <w:rPr>
          <w:rFonts w:ascii="Arial" w:eastAsia="Calibri" w:hAnsi="Arial" w:cs="Arial"/>
          <w:color w:val="000000" w:themeColor="text1"/>
          <w:sz w:val="22"/>
          <w:lang w:val="es-ES_tradnl"/>
        </w:rPr>
        <w:t xml:space="preserve">) El informe de evaluación se debe publicar </w:t>
      </w:r>
      <w:r w:rsidR="00D036B0">
        <w:rPr>
          <w:rFonts w:ascii="Arial" w:eastAsia="Calibri" w:hAnsi="Arial" w:cs="Arial"/>
          <w:color w:val="000000" w:themeColor="text1"/>
          <w:sz w:val="22"/>
          <w:lang w:val="es-ES_tradnl"/>
        </w:rPr>
        <w:t>durante mínimo</w:t>
      </w:r>
      <w:r>
        <w:rPr>
          <w:rFonts w:ascii="Arial" w:eastAsia="Calibri" w:hAnsi="Arial" w:cs="Arial"/>
          <w:color w:val="000000" w:themeColor="text1"/>
          <w:sz w:val="22"/>
          <w:lang w:val="es-ES_tradnl"/>
        </w:rPr>
        <w:t xml:space="preserve"> un (1) día hábil.</w:t>
      </w:r>
    </w:p>
    <w:p w14:paraId="1F9BF8A0" w14:textId="452F9EC1" w:rsidR="00145D56" w:rsidRDefault="007D4261" w:rsidP="007D4261">
      <w:pPr>
        <w:spacing w:before="120" w:line="276" w:lineRule="auto"/>
        <w:ind w:firstLine="709"/>
        <w:jc w:val="both"/>
        <w:rPr>
          <w:rFonts w:ascii="Arial" w:eastAsia="Calibri" w:hAnsi="Arial" w:cs="Arial"/>
          <w:color w:val="000000" w:themeColor="text1"/>
          <w:sz w:val="22"/>
          <w:lang w:val="es-ES_tradnl"/>
        </w:rPr>
      </w:pPr>
      <w:proofErr w:type="spellStart"/>
      <w:r>
        <w:rPr>
          <w:rFonts w:ascii="Arial" w:eastAsia="Calibri" w:hAnsi="Arial" w:cs="Arial"/>
          <w:color w:val="000000" w:themeColor="text1"/>
          <w:sz w:val="22"/>
          <w:lang w:val="es-ES_tradnl"/>
        </w:rPr>
        <w:t>ix</w:t>
      </w:r>
      <w:proofErr w:type="spellEnd"/>
      <w:r w:rsidR="00145D56">
        <w:rPr>
          <w:rFonts w:ascii="Arial" w:eastAsia="Calibri" w:hAnsi="Arial" w:cs="Arial"/>
          <w:color w:val="000000" w:themeColor="text1"/>
          <w:sz w:val="22"/>
          <w:lang w:val="es-ES_tradnl"/>
        </w:rPr>
        <w:t xml:space="preserve">) </w:t>
      </w:r>
      <w:r w:rsidR="00D036B0" w:rsidRPr="00D036B0">
        <w:rPr>
          <w:rFonts w:ascii="Arial" w:eastAsia="Calibri" w:hAnsi="Arial" w:cs="Arial"/>
          <w:color w:val="000000" w:themeColor="text1"/>
          <w:sz w:val="22"/>
        </w:rPr>
        <w:t xml:space="preserve">La </w:t>
      </w:r>
      <w:r w:rsidR="00D036B0">
        <w:rPr>
          <w:rFonts w:ascii="Arial" w:eastAsia="Calibri" w:hAnsi="Arial" w:cs="Arial"/>
          <w:color w:val="000000" w:themeColor="text1"/>
          <w:sz w:val="22"/>
        </w:rPr>
        <w:t>e</w:t>
      </w:r>
      <w:r w:rsidR="00D036B0" w:rsidRPr="00D036B0">
        <w:rPr>
          <w:rFonts w:ascii="Arial" w:eastAsia="Calibri" w:hAnsi="Arial" w:cs="Arial"/>
          <w:color w:val="000000" w:themeColor="text1"/>
          <w:sz w:val="22"/>
        </w:rPr>
        <w:t xml:space="preserve">ntidad debe aceptar la oferta de menor precio, siempre que cumpla con las condiciones establecidas en la invitación a participar en procesos de mínima cuantía. En la aceptación de la oferta, la </w:t>
      </w:r>
      <w:r w:rsidR="00D036B0">
        <w:rPr>
          <w:rFonts w:ascii="Arial" w:eastAsia="Calibri" w:hAnsi="Arial" w:cs="Arial"/>
          <w:color w:val="000000" w:themeColor="text1"/>
          <w:sz w:val="22"/>
        </w:rPr>
        <w:t xml:space="preserve">entidad </w:t>
      </w:r>
      <w:r w:rsidR="00D036B0" w:rsidRPr="00D036B0">
        <w:rPr>
          <w:rFonts w:ascii="Arial" w:eastAsia="Calibri" w:hAnsi="Arial" w:cs="Arial"/>
          <w:color w:val="000000" w:themeColor="text1"/>
          <w:sz w:val="22"/>
        </w:rPr>
        <w:t>debe informar al contratista el nombre del supervisor o interventor del contrato.</w:t>
      </w:r>
      <w:r w:rsidR="00D036B0">
        <w:rPr>
          <w:rFonts w:ascii="Arial" w:eastAsia="Calibri" w:hAnsi="Arial" w:cs="Arial"/>
          <w:color w:val="000000" w:themeColor="text1"/>
          <w:sz w:val="22"/>
          <w:lang w:val="es-ES_tradnl"/>
        </w:rPr>
        <w:t xml:space="preserve"> En tal sentido, e</w:t>
      </w:r>
      <w:r w:rsidR="00145D56">
        <w:rPr>
          <w:rFonts w:ascii="Arial" w:eastAsia="Calibri" w:hAnsi="Arial" w:cs="Arial"/>
          <w:color w:val="000000" w:themeColor="text1"/>
          <w:sz w:val="22"/>
          <w:lang w:val="es-ES_tradnl"/>
        </w:rPr>
        <w:t xml:space="preserve">l contrato se perfecciona con la comunicación de aceptación de la oferta que envía la entidad estatal al proponente que presentó la oferta económica de menor precio, no requiriéndose, entonces, de la suscripción de una minuta. </w:t>
      </w:r>
    </w:p>
    <w:p w14:paraId="3D9DCB85" w14:textId="78564317" w:rsidR="00145D56" w:rsidRDefault="007D4261" w:rsidP="007D4261">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x</w:t>
      </w:r>
      <w:r w:rsidR="00145D56">
        <w:rPr>
          <w:rFonts w:ascii="Arial" w:eastAsia="Calibri" w:hAnsi="Arial" w:cs="Arial"/>
          <w:color w:val="000000" w:themeColor="text1"/>
          <w:sz w:val="22"/>
          <w:lang w:val="es-ES_tradnl"/>
        </w:rPr>
        <w:t xml:space="preserve">) De existir empate, </w:t>
      </w:r>
      <w:r w:rsidR="004554DF">
        <w:rPr>
          <w:rFonts w:ascii="Arial" w:eastAsia="Calibri" w:hAnsi="Arial" w:cs="Arial"/>
          <w:color w:val="000000" w:themeColor="text1"/>
          <w:sz w:val="22"/>
          <w:lang w:val="es-ES_tradnl"/>
        </w:rPr>
        <w:t>l</w:t>
      </w:r>
      <w:r w:rsidR="00D91638" w:rsidRPr="00D91638">
        <w:rPr>
          <w:rFonts w:ascii="Arial" w:eastAsia="Calibri" w:hAnsi="Arial" w:cs="Arial"/>
          <w:color w:val="000000" w:themeColor="text1"/>
          <w:sz w:val="22"/>
        </w:rPr>
        <w:t xml:space="preserve">a </w:t>
      </w:r>
      <w:r w:rsidR="004554DF">
        <w:rPr>
          <w:rFonts w:ascii="Arial" w:eastAsia="Calibri" w:hAnsi="Arial" w:cs="Arial"/>
          <w:color w:val="000000" w:themeColor="text1"/>
          <w:sz w:val="22"/>
        </w:rPr>
        <w:t>e</w:t>
      </w:r>
      <w:r w:rsidR="00D91638" w:rsidRPr="00D91638">
        <w:rPr>
          <w:rFonts w:ascii="Arial" w:eastAsia="Calibri" w:hAnsi="Arial" w:cs="Arial"/>
          <w:color w:val="000000" w:themeColor="text1"/>
          <w:sz w:val="22"/>
        </w:rPr>
        <w:t>ntidad</w:t>
      </w:r>
      <w:r w:rsidR="00AB3704">
        <w:rPr>
          <w:rFonts w:ascii="Arial" w:eastAsia="Calibri" w:hAnsi="Arial" w:cs="Arial"/>
          <w:color w:val="000000" w:themeColor="text1"/>
          <w:sz w:val="22"/>
        </w:rPr>
        <w:t xml:space="preserve"> </w:t>
      </w:r>
      <w:r w:rsidR="00D91638" w:rsidRPr="00D91638">
        <w:rPr>
          <w:rFonts w:ascii="Arial" w:eastAsia="Calibri" w:hAnsi="Arial" w:cs="Arial"/>
          <w:color w:val="000000" w:themeColor="text1"/>
          <w:sz w:val="22"/>
        </w:rPr>
        <w:t>aplicará los criterios de que trata el artículo</w:t>
      </w:r>
      <w:r w:rsidR="00D91638" w:rsidRPr="00AB3704">
        <w:rPr>
          <w:rFonts w:ascii="Arial" w:eastAsia="Calibri" w:hAnsi="Arial" w:cs="Arial"/>
          <w:color w:val="000000" w:themeColor="text1"/>
          <w:sz w:val="22"/>
        </w:rPr>
        <w:t> </w:t>
      </w:r>
      <w:hyperlink r:id="rId13" w:anchor="35" w:history="1">
        <w:r w:rsidR="00D91638" w:rsidRPr="004554DF">
          <w:rPr>
            <w:rStyle w:val="Hipervnculo"/>
            <w:rFonts w:ascii="Arial" w:eastAsia="Calibri" w:hAnsi="Arial" w:cs="Arial"/>
            <w:color w:val="000000" w:themeColor="text1"/>
            <w:sz w:val="22"/>
            <w:u w:val="none"/>
          </w:rPr>
          <w:t>35 </w:t>
        </w:r>
      </w:hyperlink>
      <w:r w:rsidR="00D91638" w:rsidRPr="00D91638">
        <w:rPr>
          <w:rFonts w:ascii="Arial" w:eastAsia="Calibri" w:hAnsi="Arial" w:cs="Arial"/>
          <w:color w:val="000000" w:themeColor="text1"/>
          <w:sz w:val="22"/>
        </w:rPr>
        <w:t xml:space="preserve">de la Ley 2069 de 2020, conforme a los medíos de acreditación del artículo 2.2.1.2.4.2.17. del </w:t>
      </w:r>
      <w:r w:rsidR="004554DF">
        <w:rPr>
          <w:rFonts w:ascii="Arial" w:eastAsia="Calibri" w:hAnsi="Arial" w:cs="Arial"/>
          <w:color w:val="000000" w:themeColor="text1"/>
          <w:sz w:val="22"/>
        </w:rPr>
        <w:t>D</w:t>
      </w:r>
      <w:r w:rsidR="00D91638" w:rsidRPr="00D91638">
        <w:rPr>
          <w:rFonts w:ascii="Arial" w:eastAsia="Calibri" w:hAnsi="Arial" w:cs="Arial"/>
          <w:color w:val="000000" w:themeColor="text1"/>
          <w:sz w:val="22"/>
        </w:rPr>
        <w:t>ecreto</w:t>
      </w:r>
      <w:r w:rsidR="004554DF">
        <w:rPr>
          <w:rFonts w:ascii="Arial" w:eastAsia="Calibri" w:hAnsi="Arial" w:cs="Arial"/>
          <w:color w:val="000000" w:themeColor="text1"/>
          <w:sz w:val="22"/>
        </w:rPr>
        <w:t xml:space="preserve"> 1082 de 2015 </w:t>
      </w:r>
      <w:r w:rsidR="00D91638" w:rsidRPr="00D91638">
        <w:rPr>
          <w:rFonts w:ascii="Arial" w:eastAsia="Calibri" w:hAnsi="Arial" w:cs="Arial"/>
          <w:color w:val="000000" w:themeColor="text1"/>
          <w:sz w:val="22"/>
        </w:rPr>
        <w:t>o las normas que los modifiquen, adicionen o sustituyan.</w:t>
      </w:r>
      <w:r w:rsidRPr="007D4261">
        <w:rPr>
          <w:rFonts w:ascii="Arial" w:eastAsia="Calibri" w:hAnsi="Arial" w:cs="Arial"/>
          <w:sz w:val="22"/>
          <w:lang w:val="es-ES_tradnl"/>
        </w:rPr>
        <w:t xml:space="preserve"> </w:t>
      </w:r>
      <w:r w:rsidRPr="006617BC">
        <w:rPr>
          <w:rFonts w:ascii="Arial" w:eastAsia="Calibri" w:hAnsi="Arial" w:cs="Arial"/>
          <w:sz w:val="22"/>
          <w:lang w:val="es-ES_tradnl"/>
        </w:rPr>
        <w:t>Esta disposición se ajusta a la nueva regulación de criterios de desempate establecida en el artículo 35 de la Ley 2069 de 2020.</w:t>
      </w:r>
    </w:p>
    <w:p w14:paraId="2C551555" w14:textId="52316F4C" w:rsidR="00D91638" w:rsidRDefault="00145D56" w:rsidP="007D4261">
      <w:pPr>
        <w:spacing w:before="120" w:line="276" w:lineRule="auto"/>
        <w:ind w:firstLine="708"/>
        <w:jc w:val="both"/>
        <w:rPr>
          <w:rFonts w:ascii="Arial" w:eastAsia="Calibri" w:hAnsi="Arial" w:cs="Arial"/>
          <w:sz w:val="22"/>
        </w:rPr>
      </w:pPr>
      <w:r>
        <w:rPr>
          <w:rFonts w:ascii="Arial" w:eastAsia="Calibri" w:hAnsi="Arial" w:cs="Arial"/>
          <w:sz w:val="22"/>
        </w:rPr>
        <w:t>En esta medida, el procedimiento de selección de mínima cuantía está regulado en el artículo 2, numeral 5, de la Ley 1150 de 2007 y en el Libro 2, Parte 2, Título 1, Capítulo 2, Sección 1, Subsección 5 del Decreto 1082 de 2015,</w:t>
      </w:r>
      <w:r w:rsidR="003E4C54">
        <w:rPr>
          <w:rFonts w:ascii="Arial" w:eastAsia="Calibri" w:hAnsi="Arial" w:cs="Arial"/>
          <w:sz w:val="22"/>
        </w:rPr>
        <w:t xml:space="preserve"> modificado por el Decreto 1860 de 2021,</w:t>
      </w:r>
      <w:r>
        <w:rPr>
          <w:rFonts w:ascii="Arial" w:eastAsia="Calibri" w:hAnsi="Arial" w:cs="Arial"/>
          <w:sz w:val="22"/>
        </w:rPr>
        <w:t xml:space="preserve"> con la particularidad de que el trámite solo sigue las reglas </w:t>
      </w:r>
      <w:r w:rsidR="004554DF">
        <w:rPr>
          <w:rFonts w:ascii="Arial" w:eastAsia="Calibri" w:hAnsi="Arial" w:cs="Arial"/>
          <w:sz w:val="22"/>
        </w:rPr>
        <w:t>señaladas</w:t>
      </w:r>
      <w:r>
        <w:rPr>
          <w:rFonts w:ascii="Arial" w:eastAsia="Calibri" w:hAnsi="Arial" w:cs="Arial"/>
          <w:sz w:val="22"/>
        </w:rPr>
        <w:t xml:space="preserve">, razón por la cual no es posible aplicar disposiciones diferentes a las allí previstas. </w:t>
      </w:r>
    </w:p>
    <w:p w14:paraId="1FB5AE22" w14:textId="77777777" w:rsidR="007D4261" w:rsidRPr="00D91638" w:rsidRDefault="007D4261" w:rsidP="007D4261">
      <w:pPr>
        <w:spacing w:line="276" w:lineRule="auto"/>
        <w:ind w:firstLine="709"/>
        <w:jc w:val="both"/>
        <w:rPr>
          <w:rFonts w:ascii="Arial" w:eastAsia="Calibri" w:hAnsi="Arial" w:cs="Arial"/>
          <w:sz w:val="22"/>
          <w:lang w:val="es-MX"/>
        </w:rPr>
      </w:pPr>
    </w:p>
    <w:p w14:paraId="4089325E" w14:textId="77777777" w:rsidR="00AE02C4" w:rsidRPr="006617BC" w:rsidRDefault="00AE02C4" w:rsidP="00AE02C4">
      <w:pPr>
        <w:tabs>
          <w:tab w:val="left" w:pos="709"/>
        </w:tabs>
        <w:spacing w:line="276" w:lineRule="auto"/>
        <w:jc w:val="both"/>
        <w:rPr>
          <w:rFonts w:ascii="Arial" w:eastAsia="Calibri" w:hAnsi="Arial" w:cs="Arial"/>
          <w:b/>
          <w:bCs/>
          <w:color w:val="000000"/>
          <w:sz w:val="22"/>
          <w:szCs w:val="22"/>
          <w:lang w:val="es-ES_tradnl" w:eastAsia="en-US"/>
        </w:rPr>
      </w:pPr>
      <w:r>
        <w:rPr>
          <w:rFonts w:ascii="Arial" w:eastAsia="Calibri" w:hAnsi="Arial" w:cs="Arial"/>
          <w:b/>
          <w:bCs/>
          <w:color w:val="000000" w:themeColor="text1"/>
          <w:sz w:val="22"/>
          <w:szCs w:val="22"/>
          <w:lang w:val="es-ES_tradnl"/>
        </w:rPr>
        <w:t xml:space="preserve">2.2. </w:t>
      </w:r>
      <w:r w:rsidRPr="006617BC">
        <w:rPr>
          <w:rFonts w:ascii="Arial" w:eastAsia="Calibri" w:hAnsi="Arial" w:cs="Arial"/>
          <w:b/>
          <w:bCs/>
          <w:color w:val="000000"/>
          <w:sz w:val="22"/>
          <w:szCs w:val="22"/>
          <w:lang w:val="es-ES_tradnl" w:eastAsia="en-US"/>
        </w:rPr>
        <w:t>Adquisiciones en grandes almacenes cuando se trate de la mínima cuantía de conformidad con el Decreto 1860 de 2021</w:t>
      </w:r>
    </w:p>
    <w:p w14:paraId="6A5E19FC" w14:textId="77777777" w:rsidR="00AE02C4" w:rsidRPr="006617BC" w:rsidRDefault="00AE02C4" w:rsidP="00AE02C4">
      <w:pPr>
        <w:tabs>
          <w:tab w:val="left" w:pos="709"/>
        </w:tabs>
        <w:spacing w:line="276" w:lineRule="auto"/>
        <w:jc w:val="both"/>
        <w:rPr>
          <w:rFonts w:ascii="Arial" w:eastAsia="Calibri" w:hAnsi="Arial" w:cs="Arial"/>
          <w:b/>
          <w:bCs/>
          <w:color w:val="000000"/>
          <w:sz w:val="22"/>
          <w:szCs w:val="22"/>
          <w:lang w:val="es-ES_tradnl" w:eastAsia="en-US"/>
        </w:rPr>
      </w:pPr>
    </w:p>
    <w:p w14:paraId="5885D03A" w14:textId="08B8DEF9" w:rsidR="00AE02C4" w:rsidRPr="00966043" w:rsidRDefault="00AE02C4" w:rsidP="006E0D16">
      <w:pPr>
        <w:tabs>
          <w:tab w:val="left" w:pos="709"/>
        </w:tabs>
        <w:spacing w:line="276" w:lineRule="auto"/>
        <w:jc w:val="both"/>
        <w:rPr>
          <w:rFonts w:ascii="Arial" w:eastAsia="Calibri" w:hAnsi="Arial" w:cs="Arial"/>
          <w:color w:val="000000" w:themeColor="text1"/>
          <w:sz w:val="22"/>
          <w:lang w:val="es-ES_tradnl"/>
        </w:rPr>
      </w:pPr>
      <w:r w:rsidRPr="006617BC">
        <w:rPr>
          <w:rFonts w:ascii="Arial" w:eastAsia="Calibri" w:hAnsi="Arial" w:cs="Arial"/>
          <w:color w:val="000000"/>
          <w:sz w:val="22"/>
          <w:szCs w:val="22"/>
          <w:lang w:val="es-ES_tradnl" w:eastAsia="en-US"/>
        </w:rPr>
        <w:t xml:space="preserve">En relación con el procedimiento </w:t>
      </w:r>
      <w:r w:rsidRPr="006617BC">
        <w:rPr>
          <w:rFonts w:ascii="Arial" w:eastAsia="Calibri" w:hAnsi="Arial" w:cs="Arial"/>
          <w:bCs/>
          <w:color w:val="000000"/>
          <w:sz w:val="22"/>
          <w:szCs w:val="22"/>
          <w:lang w:val="es-ES_tradnl" w:eastAsia="en-US"/>
        </w:rPr>
        <w:t xml:space="preserve">especial para las adquisiciones en grandes almacenes cuando se trate de mínima cuantía, </w:t>
      </w:r>
      <w:r w:rsidR="008076B6">
        <w:rPr>
          <w:rFonts w:ascii="Arial" w:eastAsia="Calibri" w:hAnsi="Arial" w:cs="Arial"/>
          <w:bCs/>
          <w:color w:val="000000"/>
          <w:sz w:val="22"/>
          <w:szCs w:val="22"/>
          <w:lang w:val="es-ES_tradnl" w:eastAsia="en-US"/>
        </w:rPr>
        <w:t xml:space="preserve">el </w:t>
      </w:r>
      <w:r w:rsidRPr="006617BC">
        <w:rPr>
          <w:rFonts w:ascii="Arial" w:eastAsia="Calibri" w:hAnsi="Arial" w:cs="Arial"/>
          <w:bCs/>
          <w:color w:val="000000"/>
          <w:sz w:val="22"/>
          <w:szCs w:val="22"/>
          <w:lang w:val="es-ES_tradnl" w:eastAsia="en-US"/>
        </w:rPr>
        <w:t>artículo 2.2.1.2.1.5.3. del Decreto 1082 de 2015</w:t>
      </w:r>
      <w:r w:rsidR="00C07388">
        <w:rPr>
          <w:rFonts w:ascii="Arial" w:eastAsia="Calibri" w:hAnsi="Arial" w:cs="Arial"/>
          <w:bCs/>
          <w:color w:val="000000"/>
          <w:sz w:val="22"/>
          <w:szCs w:val="22"/>
          <w:lang w:val="es-ES_tradnl" w:eastAsia="en-US"/>
        </w:rPr>
        <w:t>, modificado por</w:t>
      </w:r>
      <w:r w:rsidRPr="006617BC">
        <w:rPr>
          <w:rFonts w:ascii="Arial" w:eastAsia="Calibri" w:hAnsi="Arial" w:cs="Arial"/>
          <w:bCs/>
          <w:color w:val="000000"/>
          <w:sz w:val="22"/>
          <w:szCs w:val="22"/>
          <w:lang w:val="es-ES_tradnl" w:eastAsia="en-US"/>
        </w:rPr>
        <w:t xml:space="preserve"> </w:t>
      </w:r>
      <w:r w:rsidR="00C07388" w:rsidRPr="006617BC">
        <w:rPr>
          <w:rFonts w:ascii="Arial" w:eastAsia="Calibri" w:hAnsi="Arial" w:cs="Arial"/>
          <w:bCs/>
          <w:color w:val="000000"/>
          <w:sz w:val="22"/>
          <w:szCs w:val="22"/>
          <w:lang w:val="es-ES_tradnl" w:eastAsia="en-US"/>
        </w:rPr>
        <w:t>el</w:t>
      </w:r>
      <w:r w:rsidR="00C07388">
        <w:rPr>
          <w:rFonts w:ascii="Arial" w:eastAsia="Calibri" w:hAnsi="Arial" w:cs="Arial"/>
          <w:bCs/>
          <w:color w:val="000000"/>
          <w:sz w:val="22"/>
          <w:szCs w:val="22"/>
          <w:lang w:val="es-ES_tradnl" w:eastAsia="en-US"/>
        </w:rPr>
        <w:t xml:space="preserve"> </w:t>
      </w:r>
      <w:r w:rsidR="00C07388" w:rsidRPr="006617BC">
        <w:rPr>
          <w:rFonts w:ascii="Arial" w:eastAsia="Calibri" w:hAnsi="Arial" w:cs="Arial"/>
          <w:bCs/>
          <w:color w:val="000000"/>
          <w:sz w:val="22"/>
          <w:szCs w:val="22"/>
          <w:lang w:val="es-ES_tradnl" w:eastAsia="en-US"/>
        </w:rPr>
        <w:t xml:space="preserve">artículo 2 </w:t>
      </w:r>
      <w:r w:rsidR="00C07388">
        <w:rPr>
          <w:rFonts w:ascii="Arial" w:eastAsia="Calibri" w:hAnsi="Arial" w:cs="Arial"/>
          <w:bCs/>
          <w:color w:val="000000"/>
          <w:sz w:val="22"/>
          <w:szCs w:val="22"/>
          <w:lang w:val="es-ES_tradnl" w:eastAsia="en-US"/>
        </w:rPr>
        <w:t xml:space="preserve">de Decreto 1860 de 2021, </w:t>
      </w:r>
      <w:r w:rsidRPr="006617BC">
        <w:rPr>
          <w:rFonts w:ascii="Arial" w:eastAsia="Calibri" w:hAnsi="Arial" w:cs="Arial"/>
          <w:bCs/>
          <w:color w:val="000000"/>
          <w:sz w:val="22"/>
          <w:szCs w:val="22"/>
          <w:lang w:val="es-ES_tradnl" w:eastAsia="en-US"/>
        </w:rPr>
        <w:t xml:space="preserve">dispone lo siguiente: </w:t>
      </w:r>
    </w:p>
    <w:p w14:paraId="209221F4" w14:textId="77777777" w:rsidR="00AE02C4" w:rsidRPr="006617BC" w:rsidRDefault="00AE02C4" w:rsidP="00AE02C4">
      <w:pPr>
        <w:tabs>
          <w:tab w:val="left" w:pos="709"/>
        </w:tabs>
        <w:spacing w:line="276" w:lineRule="auto"/>
        <w:jc w:val="both"/>
        <w:rPr>
          <w:rFonts w:ascii="Arial" w:eastAsia="Calibri" w:hAnsi="Arial" w:cs="Arial"/>
          <w:bCs/>
          <w:color w:val="000000"/>
          <w:sz w:val="22"/>
          <w:szCs w:val="22"/>
          <w:lang w:val="es-ES_tradnl" w:eastAsia="en-US"/>
        </w:rPr>
      </w:pPr>
    </w:p>
    <w:p w14:paraId="212D6229"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 xml:space="preserve">Artículo 2.2.1.2.1.5.3. Adquisiciones en grandes almacenes cuando se trate de mínima cuantía. Las Entidades Estatales deben aplicar las siguientes reglas cuando decidan adquirir bienes hasta por el monto de su mínima cuantía en establecimientos que correspondan a la definición de "gran almacén" señalada por la Superintendencia de Industria y Comercio: </w:t>
      </w:r>
    </w:p>
    <w:p w14:paraId="651B9489"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p>
    <w:p w14:paraId="6E1E3D35"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1. La invitación debe estar dirigida a los grandes almacenes. Esta invitación deberá publicarse en el SECOP y en la página web de la entidad, y contendrá como mínimo: a) la descripción técnica, detallada y completa del bien, identificado con el cuarto nivel del Clasificador de Bienes y Servicios, de ser posible, o de lo contrario con el tercer nivel; b) la forma de pago; c) el lugar de entrega; d) el plazo para la entrega de la cotización que debe ser de mínimo un (1) día hábil; e) la forma y el lugar de presentación de la cotización, y f) la disponibilidad presupuestal.</w:t>
      </w:r>
    </w:p>
    <w:p w14:paraId="191F1A9C"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p>
    <w:p w14:paraId="594C8BFE"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 xml:space="preserve">2. La Entidad Estatal debe evaluar las cotizaciones presentadas y seleccionar a quien, con las condiciones requeridas, ofrezca el menor precio del mercado y aceptar la mejor oferta. </w:t>
      </w:r>
    </w:p>
    <w:p w14:paraId="68A36763"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p>
    <w:p w14:paraId="5FC2322E"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 xml:space="preserve">3. En caso de empate, la Entidad Estatal aplicará los criterios de desempate de que trata el artículo 35 de la Ley 2069 de 2020, conforme a los medios de acreditación del artículo 2.2.1.2.4.2.17 del presente Decreto o las normas que los modifiquen, adicionen o sustituyan. </w:t>
      </w:r>
    </w:p>
    <w:p w14:paraId="380BFA29"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p>
    <w:p w14:paraId="3E88BC81" w14:textId="77777777" w:rsidR="00AE02C4" w:rsidRPr="006617BC" w:rsidRDefault="00AE02C4" w:rsidP="00AE02C4">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4. La oferta y su aceptación constituyen el contrato estatal.</w:t>
      </w:r>
    </w:p>
    <w:p w14:paraId="1EB470E4" w14:textId="77777777" w:rsidR="00AE02C4" w:rsidRPr="006617BC" w:rsidRDefault="00AE02C4" w:rsidP="00AE02C4">
      <w:pPr>
        <w:spacing w:line="276" w:lineRule="auto"/>
        <w:jc w:val="both"/>
        <w:rPr>
          <w:rFonts w:ascii="Arial" w:eastAsia="Calibri" w:hAnsi="Arial" w:cs="Arial"/>
          <w:b/>
          <w:bCs/>
          <w:color w:val="000000" w:themeColor="text1"/>
          <w:sz w:val="22"/>
          <w:szCs w:val="22"/>
          <w:lang w:val="es-ES_tradnl"/>
        </w:rPr>
      </w:pPr>
    </w:p>
    <w:p w14:paraId="0B5B8E02" w14:textId="32309FB8" w:rsidR="00AE02C4" w:rsidRPr="006617BC" w:rsidRDefault="00AE02C4" w:rsidP="00AE02C4">
      <w:pPr>
        <w:spacing w:after="120" w:line="276" w:lineRule="auto"/>
        <w:ind w:firstLine="709"/>
        <w:jc w:val="both"/>
        <w:rPr>
          <w:rFonts w:ascii="Arial" w:eastAsia="Calibri" w:hAnsi="Arial" w:cs="Arial"/>
          <w:sz w:val="22"/>
        </w:rPr>
      </w:pPr>
      <w:r w:rsidRPr="006617BC">
        <w:rPr>
          <w:rFonts w:ascii="Arial" w:eastAsia="Calibri" w:hAnsi="Arial" w:cs="Arial"/>
          <w:sz w:val="22"/>
        </w:rPr>
        <w:lastRenderedPageBreak/>
        <w:t xml:space="preserve">De acuerdo con lo anterior, las reglas de este procedimiento especial se pueden </w:t>
      </w:r>
      <w:r w:rsidR="00C07388">
        <w:rPr>
          <w:rFonts w:ascii="Arial" w:eastAsia="Calibri" w:hAnsi="Arial" w:cs="Arial"/>
          <w:sz w:val="22"/>
        </w:rPr>
        <w:t>resumir</w:t>
      </w:r>
      <w:r w:rsidRPr="006617BC">
        <w:rPr>
          <w:rFonts w:ascii="Arial" w:eastAsia="Calibri" w:hAnsi="Arial" w:cs="Arial"/>
          <w:sz w:val="22"/>
        </w:rPr>
        <w:t xml:space="preserve"> así: </w:t>
      </w:r>
    </w:p>
    <w:p w14:paraId="52639886" w14:textId="7D365A4E" w:rsidR="00AE02C4" w:rsidRPr="006617BC" w:rsidRDefault="00AE02C4" w:rsidP="00AE02C4">
      <w:pPr>
        <w:spacing w:before="120" w:line="276" w:lineRule="auto"/>
        <w:ind w:firstLine="709"/>
        <w:jc w:val="both"/>
        <w:rPr>
          <w:rFonts w:ascii="Arial" w:eastAsia="Calibri" w:hAnsi="Arial" w:cs="Arial"/>
          <w:sz w:val="22"/>
        </w:rPr>
      </w:pPr>
      <w:r w:rsidRPr="006617BC">
        <w:rPr>
          <w:rFonts w:ascii="Arial" w:eastAsia="Calibri" w:hAnsi="Arial" w:cs="Arial"/>
          <w:sz w:val="22"/>
        </w:rPr>
        <w:t>i) Las entidades deberán elaborar la invitación de la mínima cuantía dirigida a los grandes almacenes, la cual debe publicarse en el SECOP y en la página web de la entidad. En contraste con la disposición anterior, esta norma no establece un límite mínimo de grandes almacenes a los cuales debe dirigirse la invitación. Además, dispuso expresamente la publicación de la invitación en el SECOP y en la página web de la entidad</w:t>
      </w:r>
      <w:r w:rsidRPr="006617BC">
        <w:rPr>
          <w:rStyle w:val="Refdenotaalpie"/>
          <w:rFonts w:ascii="Arial" w:eastAsia="Calibri" w:hAnsi="Arial" w:cs="Arial"/>
          <w:sz w:val="22"/>
        </w:rPr>
        <w:footnoteReference w:id="12"/>
      </w:r>
      <w:r w:rsidRPr="006617BC">
        <w:rPr>
          <w:rFonts w:ascii="Arial" w:eastAsia="Calibri" w:hAnsi="Arial" w:cs="Arial"/>
          <w:sz w:val="22"/>
        </w:rPr>
        <w:t xml:space="preserve">. </w:t>
      </w:r>
    </w:p>
    <w:p w14:paraId="51DF368D" w14:textId="77777777" w:rsidR="00AE02C4" w:rsidRPr="006617BC" w:rsidRDefault="00AE02C4" w:rsidP="00AE02C4">
      <w:pPr>
        <w:spacing w:before="120" w:line="276" w:lineRule="auto"/>
        <w:ind w:firstLine="709"/>
        <w:jc w:val="both"/>
        <w:rPr>
          <w:rFonts w:ascii="Arial" w:eastAsia="Calibri" w:hAnsi="Arial" w:cs="Arial"/>
          <w:sz w:val="22"/>
        </w:rPr>
      </w:pPr>
      <w:proofErr w:type="spellStart"/>
      <w:r w:rsidRPr="006617BC">
        <w:rPr>
          <w:rFonts w:ascii="Arial" w:eastAsia="Calibri" w:hAnsi="Arial" w:cs="Arial"/>
          <w:sz w:val="22"/>
        </w:rPr>
        <w:t>ii</w:t>
      </w:r>
      <w:proofErr w:type="spellEnd"/>
      <w:r w:rsidRPr="006617BC">
        <w:rPr>
          <w:rFonts w:ascii="Arial" w:eastAsia="Calibri" w:hAnsi="Arial" w:cs="Arial"/>
          <w:sz w:val="22"/>
        </w:rPr>
        <w:t xml:space="preserve">) En esta invitación debe incorporarse el conjunto de reglas que definen el proceso de contratación. Por tanto, deberán incluirse aspectos como la forma de presentación de la cotización, el plazo para la entrega de la misma que debe ser mínimo de un (1) día hábil, la forma de pago, el lugar de entrega del bien, la descripción completa del bien a adquirir por parte de la entidad contratante, la disponibilidad presupuestal y la demás información que la entidad considere pertinente incluir. Vale señalar que la invitación a la que alude esta norma es una figura propia del procedimiento de mínima cuantía que se encontraba regulada desde la disposición anterior. </w:t>
      </w:r>
    </w:p>
    <w:p w14:paraId="7B3CB24F" w14:textId="77777777" w:rsidR="00AE02C4" w:rsidRPr="006617BC" w:rsidRDefault="00AE02C4" w:rsidP="00AE02C4">
      <w:pPr>
        <w:spacing w:before="120" w:line="276" w:lineRule="auto"/>
        <w:ind w:firstLine="709"/>
        <w:jc w:val="both"/>
        <w:rPr>
          <w:rFonts w:ascii="Arial" w:eastAsia="Calibri" w:hAnsi="Arial" w:cs="Arial"/>
          <w:sz w:val="22"/>
        </w:rPr>
      </w:pPr>
      <w:proofErr w:type="spellStart"/>
      <w:r w:rsidRPr="006617BC">
        <w:rPr>
          <w:rFonts w:ascii="Arial" w:eastAsia="Calibri" w:hAnsi="Arial" w:cs="Arial"/>
          <w:sz w:val="22"/>
        </w:rPr>
        <w:t>iii</w:t>
      </w:r>
      <w:proofErr w:type="spellEnd"/>
      <w:r w:rsidRPr="006617BC">
        <w:rPr>
          <w:rFonts w:ascii="Arial" w:eastAsia="Calibri" w:hAnsi="Arial" w:cs="Arial"/>
          <w:sz w:val="22"/>
        </w:rPr>
        <w:t xml:space="preserve">) Las cotizaciones presentadas por los grandes almacenes deberán ser evaluadas por la entidad, seleccionando a aquella que ofrezca el menor precio del mercado. En este caso, el criterio para escoger la mejor oferta es el menor precio teniendo en cuenta el cumplimiento de las condiciones requeridas. </w:t>
      </w:r>
    </w:p>
    <w:p w14:paraId="629180E6" w14:textId="306C6190" w:rsidR="00AE02C4" w:rsidRPr="006617BC" w:rsidRDefault="00AE02C4" w:rsidP="00AE02C4">
      <w:pPr>
        <w:spacing w:before="120" w:line="276" w:lineRule="auto"/>
        <w:ind w:firstLine="709"/>
        <w:jc w:val="both"/>
        <w:rPr>
          <w:rFonts w:ascii="Arial" w:eastAsia="Calibri" w:hAnsi="Arial" w:cs="Arial"/>
          <w:sz w:val="22"/>
        </w:rPr>
      </w:pPr>
      <w:proofErr w:type="spellStart"/>
      <w:r w:rsidRPr="006617BC">
        <w:rPr>
          <w:rFonts w:ascii="Arial" w:eastAsia="Calibri" w:hAnsi="Arial" w:cs="Arial"/>
          <w:sz w:val="22"/>
        </w:rPr>
        <w:t>iv</w:t>
      </w:r>
      <w:proofErr w:type="spellEnd"/>
      <w:r w:rsidRPr="006617BC">
        <w:rPr>
          <w:rFonts w:ascii="Arial" w:eastAsia="Calibri" w:hAnsi="Arial" w:cs="Arial"/>
          <w:sz w:val="22"/>
        </w:rPr>
        <w:t xml:space="preserve">) En caso de empate deberá aplicarse los criterios de desempate establecidos en el artículo </w:t>
      </w:r>
      <w:r w:rsidRPr="006617BC">
        <w:rPr>
          <w:rFonts w:ascii="Arial" w:eastAsia="Calibri" w:hAnsi="Arial" w:cs="Arial"/>
          <w:sz w:val="22"/>
          <w:lang w:val="es-ES_tradnl"/>
        </w:rPr>
        <w:t xml:space="preserve">2.2.1.2.4.2.17 del Decreto 1082 de 2015. </w:t>
      </w:r>
    </w:p>
    <w:p w14:paraId="433E960C" w14:textId="7B00EE07" w:rsidR="00966043" w:rsidRDefault="007D4261" w:rsidP="007D4261">
      <w:pPr>
        <w:spacing w:before="120" w:line="276" w:lineRule="auto"/>
        <w:ind w:firstLine="709"/>
        <w:jc w:val="both"/>
        <w:rPr>
          <w:rFonts w:ascii="Arial" w:eastAsia="Calibri" w:hAnsi="Arial" w:cs="Arial"/>
          <w:sz w:val="22"/>
        </w:rPr>
      </w:pPr>
      <w:r>
        <w:rPr>
          <w:rFonts w:ascii="Arial" w:eastAsia="Calibri" w:hAnsi="Arial" w:cs="Arial"/>
          <w:sz w:val="22"/>
        </w:rPr>
        <w:t>De esta manera,</w:t>
      </w:r>
      <w:r w:rsidR="00AE02C4" w:rsidRPr="006617BC">
        <w:rPr>
          <w:rFonts w:ascii="Arial" w:eastAsia="Calibri" w:hAnsi="Arial" w:cs="Arial"/>
          <w:sz w:val="22"/>
        </w:rPr>
        <w:t xml:space="preserve"> el procedimiento </w:t>
      </w:r>
      <w:r w:rsidR="00AE02C4" w:rsidRPr="006617BC">
        <w:rPr>
          <w:rFonts w:ascii="Arial" w:eastAsia="Calibri" w:hAnsi="Arial" w:cs="Arial"/>
          <w:bCs/>
          <w:color w:val="000000"/>
          <w:sz w:val="22"/>
          <w:szCs w:val="22"/>
          <w:lang w:val="es-ES_tradnl" w:eastAsia="en-US"/>
        </w:rPr>
        <w:t>especial para las adquisiciones en grandes almacenes cuando se trate de mínima cuantía</w:t>
      </w:r>
      <w:r w:rsidR="00AE02C4" w:rsidRPr="006617BC">
        <w:rPr>
          <w:rFonts w:ascii="Arial" w:eastAsia="Calibri" w:hAnsi="Arial" w:cs="Arial"/>
          <w:sz w:val="22"/>
        </w:rPr>
        <w:t xml:space="preserve"> debe seguir las reglas previstas en la norma citada</w:t>
      </w:r>
      <w:r>
        <w:rPr>
          <w:rFonts w:ascii="Arial" w:eastAsia="Calibri" w:hAnsi="Arial" w:cs="Arial"/>
          <w:sz w:val="22"/>
        </w:rPr>
        <w:t xml:space="preserve"> y </w:t>
      </w:r>
      <w:r w:rsidR="006E0D16">
        <w:rPr>
          <w:rFonts w:ascii="Arial" w:hAnsi="Arial" w:cs="Arial"/>
          <w:sz w:val="22"/>
          <w:szCs w:val="22"/>
          <w:lang w:val="es-ES_tradnl"/>
        </w:rPr>
        <w:t xml:space="preserve">debe concebirse como procedimientos que hacen parte de la modalidad de la mínima cuantía. De hecho, los artículos 2.2.1.2.1.5.3. y 2.2.1.2.1.5.4. del Decreto 1082 de </w:t>
      </w:r>
      <w:r w:rsidR="006E0D16">
        <w:rPr>
          <w:rFonts w:ascii="Arial" w:hAnsi="Arial" w:cs="Arial"/>
          <w:sz w:val="22"/>
          <w:szCs w:val="22"/>
          <w:lang w:val="es-ES_tradnl"/>
        </w:rPr>
        <w:lastRenderedPageBreak/>
        <w:t>2015, que regulan esas modalidades, están contenidos en la Subsección 5 que lleva por título «Mínima cuantía». Por tanto, la adquisición en grandes superficies debe continuar tramitándose bajo las disposiciones normativas del Decreto 1082 de 2015, específicamente, lo contenido en su Subsección 5, modificada recientemente por el artículo 2 del Decreto 1860 de 2021.</w:t>
      </w:r>
    </w:p>
    <w:p w14:paraId="4C885250" w14:textId="3E99D6EF" w:rsidR="00564121" w:rsidRPr="006617BC" w:rsidRDefault="00134A72" w:rsidP="007A5134">
      <w:pPr>
        <w:spacing w:before="120" w:line="276" w:lineRule="auto"/>
        <w:ind w:firstLine="708"/>
        <w:jc w:val="both"/>
        <w:rPr>
          <w:rFonts w:ascii="Arial" w:eastAsia="Calibri" w:hAnsi="Arial" w:cs="Arial"/>
          <w:sz w:val="22"/>
          <w:szCs w:val="22"/>
          <w:lang w:eastAsia="en-US"/>
        </w:rPr>
      </w:pPr>
      <w:r>
        <w:rPr>
          <w:rFonts w:ascii="Arial" w:eastAsia="Calibri" w:hAnsi="Arial" w:cs="Arial"/>
          <w:sz w:val="22"/>
        </w:rPr>
        <w:t>En este punto</w:t>
      </w:r>
      <w:r w:rsidR="00966043">
        <w:rPr>
          <w:rFonts w:ascii="Arial" w:eastAsia="Calibri" w:hAnsi="Arial" w:cs="Arial"/>
          <w:sz w:val="22"/>
        </w:rPr>
        <w:t xml:space="preserve">, </w:t>
      </w:r>
      <w:r w:rsidR="00564121">
        <w:rPr>
          <w:rFonts w:ascii="Arial" w:eastAsia="Calibri" w:hAnsi="Arial" w:cs="Arial"/>
          <w:sz w:val="22"/>
        </w:rPr>
        <w:t>es p</w:t>
      </w:r>
      <w:r>
        <w:rPr>
          <w:rFonts w:ascii="Arial" w:eastAsia="Calibri" w:hAnsi="Arial" w:cs="Arial"/>
          <w:sz w:val="22"/>
        </w:rPr>
        <w:t>ertinente</w:t>
      </w:r>
      <w:r w:rsidR="00564121">
        <w:rPr>
          <w:rFonts w:ascii="Arial" w:eastAsia="Calibri" w:hAnsi="Arial" w:cs="Arial"/>
          <w:sz w:val="22"/>
        </w:rPr>
        <w:t xml:space="preserve"> señalar que </w:t>
      </w:r>
      <w:r w:rsidR="00564121" w:rsidRPr="006617BC">
        <w:rPr>
          <w:rFonts w:ascii="Arial" w:eastAsia="Calibri" w:hAnsi="Arial" w:cs="Arial"/>
          <w:sz w:val="22"/>
          <w:szCs w:val="22"/>
          <w:lang w:eastAsia="en-US"/>
        </w:rPr>
        <w:t xml:space="preserve">el numeral 1.3 </w:t>
      </w:r>
      <w:r w:rsidR="003E4C54">
        <w:rPr>
          <w:rFonts w:ascii="Arial" w:eastAsia="Calibri" w:hAnsi="Arial" w:cs="Arial"/>
          <w:sz w:val="22"/>
          <w:szCs w:val="22"/>
          <w:lang w:eastAsia="en-US"/>
        </w:rPr>
        <w:t xml:space="preserve">de la Circular Externa Única de la Agencia Nacional de Contratación Pública </w:t>
      </w:r>
      <w:r w:rsidR="003E4C54" w:rsidRPr="00A51520">
        <w:rPr>
          <w:rFonts w:ascii="Arial" w:eastAsia="Calibri" w:hAnsi="Arial" w:cs="Arial"/>
          <w:color w:val="000000" w:themeColor="text1"/>
          <w:sz w:val="22"/>
          <w:lang w:val="es-ES_tradnl"/>
        </w:rPr>
        <w:t>― Colombia Compra Eficiente</w:t>
      </w:r>
      <w:r w:rsidR="007A5134">
        <w:rPr>
          <w:rFonts w:ascii="Arial" w:eastAsia="Calibri" w:hAnsi="Arial" w:cs="Arial"/>
          <w:sz w:val="22"/>
          <w:szCs w:val="22"/>
          <w:lang w:eastAsia="en-US"/>
        </w:rPr>
        <w:t xml:space="preserve"> </w:t>
      </w:r>
      <w:r w:rsidR="00564121" w:rsidRPr="006617BC">
        <w:rPr>
          <w:rFonts w:ascii="Arial" w:eastAsia="Calibri" w:hAnsi="Arial" w:cs="Arial"/>
          <w:sz w:val="22"/>
          <w:szCs w:val="22"/>
          <w:lang w:eastAsia="en-US"/>
        </w:rPr>
        <w:t xml:space="preserve">señala que en </w:t>
      </w:r>
      <w:r w:rsidR="00564121" w:rsidRPr="006617BC">
        <w:rPr>
          <w:rFonts w:ascii="Arial" w:eastAsia="Calibri" w:hAnsi="Arial" w:cs="Arial"/>
          <w:bCs/>
          <w:color w:val="000000" w:themeColor="text1"/>
          <w:sz w:val="22"/>
          <w:szCs w:val="22"/>
          <w:lang w:val="es-ES_tradnl" w:eastAsia="en-US"/>
        </w:rPr>
        <w:t xml:space="preserve">la tienda virtual de Estado Colombiano </w:t>
      </w:r>
      <w:r w:rsidR="00564121" w:rsidRPr="006617BC">
        <w:rPr>
          <w:rFonts w:ascii="Arial" w:eastAsia="Calibri" w:hAnsi="Arial" w:cs="Arial"/>
          <w:sz w:val="22"/>
          <w:szCs w:val="22"/>
          <w:lang w:eastAsia="en-US"/>
        </w:rPr>
        <w:t>las entidades compradoras hacen las transacciones de los procesos de contratación para adquirir: (i) bienes y servicios a través de los Acuerdos Marco de Precios; (</w:t>
      </w:r>
      <w:proofErr w:type="spellStart"/>
      <w:r w:rsidR="00564121" w:rsidRPr="006617BC">
        <w:rPr>
          <w:rFonts w:ascii="Arial" w:eastAsia="Calibri" w:hAnsi="Arial" w:cs="Arial"/>
          <w:sz w:val="22"/>
          <w:szCs w:val="22"/>
          <w:lang w:eastAsia="en-US"/>
        </w:rPr>
        <w:t>ii</w:t>
      </w:r>
      <w:proofErr w:type="spellEnd"/>
      <w:r w:rsidR="00564121" w:rsidRPr="006617BC">
        <w:rPr>
          <w:rFonts w:ascii="Arial" w:eastAsia="Calibri" w:hAnsi="Arial" w:cs="Arial"/>
          <w:sz w:val="22"/>
          <w:szCs w:val="22"/>
          <w:lang w:eastAsia="en-US"/>
        </w:rPr>
        <w:t>) bienes y servicios al amparo de Contratos de Agregación de Demanda; y (</w:t>
      </w:r>
      <w:proofErr w:type="spellStart"/>
      <w:r w:rsidR="00564121" w:rsidRPr="006617BC">
        <w:rPr>
          <w:rFonts w:ascii="Arial" w:eastAsia="Calibri" w:hAnsi="Arial" w:cs="Arial"/>
          <w:sz w:val="22"/>
          <w:szCs w:val="22"/>
          <w:lang w:eastAsia="en-US"/>
        </w:rPr>
        <w:t>iii</w:t>
      </w:r>
      <w:proofErr w:type="spellEnd"/>
      <w:r w:rsidR="00564121" w:rsidRPr="006617BC">
        <w:rPr>
          <w:rFonts w:ascii="Arial" w:eastAsia="Calibri" w:hAnsi="Arial" w:cs="Arial"/>
          <w:sz w:val="22"/>
          <w:szCs w:val="22"/>
          <w:lang w:eastAsia="en-US"/>
        </w:rPr>
        <w:t xml:space="preserve">) bienes en la modalidad de Mínima Cuantía en Grandes Superficies. Asimismo, el numeral 1.4 </w:t>
      </w:r>
      <w:r w:rsidR="007A5134">
        <w:rPr>
          <w:rFonts w:ascii="Arial" w:eastAsia="Calibri" w:hAnsi="Arial" w:cs="Arial"/>
          <w:sz w:val="22"/>
          <w:szCs w:val="22"/>
          <w:lang w:eastAsia="en-US"/>
        </w:rPr>
        <w:t xml:space="preserve">de esta Circular </w:t>
      </w:r>
      <w:r w:rsidR="00564121" w:rsidRPr="006617BC">
        <w:rPr>
          <w:rFonts w:ascii="Arial" w:eastAsia="Calibri" w:hAnsi="Arial" w:cs="Arial"/>
          <w:sz w:val="22"/>
          <w:szCs w:val="22"/>
          <w:lang w:eastAsia="en-US"/>
        </w:rPr>
        <w:t xml:space="preserve">indica que las entidades deben publicar la información de sus procesos de contratación en una sola de las plataformas electrónicas del SECOP. De esta manera, los procesos de contratación derivados de los acuerdos marco de precios o instrumentos de agregación de demanda deben adelantarse en la Tienda Virtual del Estado Colombiano y no se requiere publicarlos en otras plataformas. Por ello, la publicación que se realice en la Tienda Virtual del Estado Colombiano no debe ser publicado en ninguna otra plataforma del SECOP, pues esto generaría duplicidad de información.  </w:t>
      </w:r>
    </w:p>
    <w:p w14:paraId="24CA9537" w14:textId="77777777" w:rsidR="00564121" w:rsidRPr="006617BC" w:rsidRDefault="00564121" w:rsidP="00564121">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sz w:val="22"/>
          <w:szCs w:val="22"/>
          <w:lang w:eastAsia="en-US"/>
        </w:rPr>
        <w:t>En concordancia, el numeral 12.2 de la Circular explica que según el Decreto Ley 4170 de 2011 y en virtud del parágrafo 5 del artículo 2 de la Ley 1150 de 2007, la</w:t>
      </w:r>
      <w:r w:rsidRPr="006617BC">
        <w:rPr>
          <w:rFonts w:ascii="Arial" w:eastAsia="Calibri" w:hAnsi="Arial" w:cs="Arial"/>
          <w:bCs/>
          <w:color w:val="000000" w:themeColor="text1"/>
          <w:sz w:val="22"/>
          <w:szCs w:val="22"/>
          <w:lang w:val="es-ES_tradnl" w:eastAsia="en-US"/>
        </w:rPr>
        <w:t xml:space="preserve"> </w:t>
      </w:r>
      <w:r w:rsidRPr="006617BC">
        <w:rPr>
          <w:rFonts w:ascii="Arial" w:eastAsia="Calibri" w:hAnsi="Arial" w:cs="Arial"/>
          <w:sz w:val="22"/>
          <w:szCs w:val="22"/>
          <w:lang w:eastAsia="en-US"/>
        </w:rPr>
        <w:t xml:space="preserve">Agencia Nacional de Contratación Pública – Colombia Compra Eficiente tiene la función de reglamentar el uso de los Instrumentos de Agregación de Demanda, y la adquisición de mínima cuantía en grandes superficies. En virtud de esta misma competencia se reglamenta la operación de la Tienda Virtual del Estado Colombiano. Concretamente, para la adquisición de bienes en la modalidad de mínima cuantía, esta Agencia ha dispuesto la </w:t>
      </w:r>
      <w:r w:rsidRPr="006617BC">
        <w:rPr>
          <w:rFonts w:ascii="Arial" w:eastAsia="Calibri" w:hAnsi="Arial" w:cs="Arial"/>
          <w:bCs/>
          <w:color w:val="000000" w:themeColor="text1"/>
          <w:sz w:val="22"/>
          <w:szCs w:val="22"/>
          <w:lang w:val="es-ES_tradnl" w:eastAsia="en-US"/>
        </w:rPr>
        <w:t>«</w:t>
      </w:r>
      <w:r w:rsidRPr="006617BC">
        <w:rPr>
          <w:rFonts w:ascii="Arial" w:eastAsia="Calibri" w:hAnsi="Arial" w:cs="Arial"/>
          <w:bCs/>
          <w:color w:val="000000" w:themeColor="text1"/>
          <w:sz w:val="22"/>
          <w:szCs w:val="22"/>
          <w:lang w:eastAsia="en-US"/>
        </w:rPr>
        <w:t>Guía para la Adquisición en Gran Almacén cuando se trata de mínima cuantía por la Tienda Virtual del Estado Colombiano</w:t>
      </w:r>
      <w:r w:rsidRPr="006617BC">
        <w:rPr>
          <w:rFonts w:ascii="Arial" w:eastAsia="Calibri" w:hAnsi="Arial" w:cs="Arial"/>
          <w:bCs/>
          <w:color w:val="000000" w:themeColor="text1"/>
          <w:sz w:val="22"/>
          <w:szCs w:val="22"/>
          <w:lang w:val="es-ES_tradnl" w:eastAsia="en-US"/>
        </w:rPr>
        <w:t xml:space="preserve">». Cuando se realice por este medio, en esta Guía se encuentra la información referente al registro en la plataforma, la forma en la que la entidad puede realizar la búsqueda de los bienes necesarios, realizar la «solicitud de cotización» de los bienes y servicios incluidos en el catálogo, solicitar la orden de compra y otras actividades asociadas al procedimiento de compra en esta plataforma transaccional. </w:t>
      </w:r>
    </w:p>
    <w:p w14:paraId="0ACB23C5" w14:textId="77777777" w:rsidR="00564121" w:rsidRPr="006617BC" w:rsidRDefault="00564121" w:rsidP="00564121">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sz w:val="22"/>
          <w:szCs w:val="22"/>
          <w:lang w:eastAsia="en-US"/>
        </w:rPr>
        <w:t xml:space="preserve">Bajo estas consideraciones, es preciso señalar que </w:t>
      </w:r>
      <w:r w:rsidRPr="006617BC">
        <w:rPr>
          <w:rFonts w:ascii="Arial" w:eastAsia="Calibri" w:hAnsi="Arial" w:cs="Arial"/>
          <w:sz w:val="22"/>
          <w:szCs w:val="22"/>
        </w:rPr>
        <w:t xml:space="preserve">cuando el artículo 2.2.1.2.1.5.3. del Decreto 1082 de 2015, modificado por el artículo 2 del Decreto 1860 de 2021, establece que la invitación debe publicarse en el SECOP, esto debe interpretarse en consonancia con lo señalado en los numerales 1.3, 1.4 y 12.2 de la </w:t>
      </w:r>
      <w:r w:rsidRPr="006617BC">
        <w:rPr>
          <w:rFonts w:ascii="Arial" w:eastAsia="Calibri" w:hAnsi="Arial" w:cs="Arial"/>
          <w:bCs/>
          <w:color w:val="000000" w:themeColor="text1"/>
          <w:sz w:val="22"/>
          <w:szCs w:val="22"/>
          <w:lang w:val="es-ES_tradnl" w:eastAsia="en-US"/>
        </w:rPr>
        <w:t xml:space="preserve">Circular </w:t>
      </w:r>
      <w:r w:rsidRPr="006617BC">
        <w:rPr>
          <w:rFonts w:ascii="Arial" w:eastAsia="Calibri" w:hAnsi="Arial" w:cs="Arial"/>
          <w:sz w:val="22"/>
          <w:szCs w:val="22"/>
          <w:lang w:eastAsia="en-US"/>
        </w:rPr>
        <w:t xml:space="preserve">Externa Única de la Agencia Nacional de Contratación Pública – Colombia Compra Eficiente. </w:t>
      </w:r>
      <w:bookmarkStart w:id="6" w:name="_Hlk102028012"/>
      <w:r w:rsidRPr="006617BC">
        <w:rPr>
          <w:rFonts w:ascii="Arial" w:eastAsia="Calibri" w:hAnsi="Arial" w:cs="Arial"/>
          <w:sz w:val="22"/>
          <w:szCs w:val="22"/>
          <w:lang w:eastAsia="en-US"/>
        </w:rPr>
        <w:t xml:space="preserve">De este modo, cuando la entidad opte por acudir a la adquisición en grandes almacenes cuando se trate de mínima cuantía a través de Tienda Virtual del Estado Colombiano, este será el componente del </w:t>
      </w:r>
      <w:r w:rsidRPr="006617BC">
        <w:rPr>
          <w:rFonts w:ascii="Arial" w:eastAsia="Calibri" w:hAnsi="Arial" w:cs="Arial"/>
          <w:sz w:val="22"/>
          <w:szCs w:val="22"/>
          <w:lang w:eastAsia="en-US"/>
        </w:rPr>
        <w:lastRenderedPageBreak/>
        <w:t xml:space="preserve">SECOP donde realizará la publicidad. Lo anterior teniendo en cuenta las instrucciones determinadas en la </w:t>
      </w:r>
      <w:r w:rsidRPr="006617BC">
        <w:rPr>
          <w:rFonts w:ascii="Arial" w:eastAsia="Calibri" w:hAnsi="Arial" w:cs="Arial"/>
          <w:bCs/>
          <w:color w:val="000000" w:themeColor="text1"/>
          <w:sz w:val="22"/>
          <w:szCs w:val="22"/>
          <w:lang w:val="es-ES_tradnl" w:eastAsia="en-US"/>
        </w:rPr>
        <w:t>«</w:t>
      </w:r>
      <w:r w:rsidRPr="006617BC">
        <w:rPr>
          <w:rFonts w:ascii="Arial" w:eastAsia="Calibri" w:hAnsi="Arial" w:cs="Arial"/>
          <w:bCs/>
          <w:color w:val="000000" w:themeColor="text1"/>
          <w:sz w:val="22"/>
          <w:szCs w:val="22"/>
          <w:lang w:eastAsia="en-US"/>
        </w:rPr>
        <w:t>Guía para la Adquisición en Gran Almacén cuando se trata de mínima cuantía por la Tienda Virtual del Estado Colombiano</w:t>
      </w:r>
      <w:r w:rsidRPr="006617BC">
        <w:rPr>
          <w:rFonts w:ascii="Arial" w:eastAsia="Calibri" w:hAnsi="Arial" w:cs="Arial"/>
          <w:bCs/>
          <w:color w:val="000000" w:themeColor="text1"/>
          <w:sz w:val="22"/>
          <w:szCs w:val="22"/>
          <w:lang w:val="es-ES_tradnl" w:eastAsia="en-US"/>
        </w:rPr>
        <w:t xml:space="preserve">» o el documento que lo remplace. Este proceso, conforme al numeral 1.4 de la Circular, no requeriría publicación en otras plataformas del SECOP sino únicamente en la </w:t>
      </w:r>
      <w:r w:rsidRPr="006617BC">
        <w:rPr>
          <w:rFonts w:ascii="Arial" w:eastAsia="Calibri" w:hAnsi="Arial" w:cs="Arial"/>
          <w:sz w:val="22"/>
          <w:szCs w:val="22"/>
          <w:lang w:eastAsia="en-US"/>
        </w:rPr>
        <w:t>Tienda Virtual del Estado Colombiano.</w:t>
      </w:r>
      <w:bookmarkEnd w:id="6"/>
      <w:r w:rsidRPr="006617BC">
        <w:rPr>
          <w:rFonts w:ascii="Arial" w:eastAsia="Calibri" w:hAnsi="Arial" w:cs="Arial"/>
          <w:sz w:val="22"/>
          <w:szCs w:val="22"/>
          <w:lang w:eastAsia="en-US"/>
        </w:rPr>
        <w:t xml:space="preserve"> </w:t>
      </w:r>
    </w:p>
    <w:p w14:paraId="1739E1C7" w14:textId="219234BF" w:rsidR="00D42162" w:rsidRPr="00564121" w:rsidRDefault="00564121" w:rsidP="00564121">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sz w:val="22"/>
          <w:szCs w:val="22"/>
          <w:lang w:eastAsia="en-US"/>
        </w:rPr>
        <w:t>Adicionalmente, por disposición expresa del numeral 1 d</w:t>
      </w:r>
      <w:r w:rsidRPr="006617BC">
        <w:rPr>
          <w:rFonts w:ascii="Arial" w:eastAsia="Calibri" w:hAnsi="Arial" w:cs="Arial"/>
          <w:sz w:val="22"/>
          <w:szCs w:val="22"/>
        </w:rPr>
        <w:t xml:space="preserve">el artículo 2.2.1.2.1.5.3. del Decreto 1082 de 2015, la invitación </w:t>
      </w:r>
      <w:r w:rsidRPr="006617BC">
        <w:rPr>
          <w:rFonts w:ascii="Arial" w:eastAsia="Calibri" w:hAnsi="Arial" w:cs="Arial"/>
          <w:sz w:val="22"/>
          <w:szCs w:val="22"/>
          <w:lang w:eastAsia="en-US"/>
        </w:rPr>
        <w:t xml:space="preserve">deberá ser publicada en la página web de la entidad. Sin embargo, se considera que la finalidad de la norma con este mandato no es establecer un proceso paralelo al de la plataforma del SECOP, sino fortalecer el principio de publicidad, de manera que se garantice que el proceso de contratación sea transparente y pueda ser objeto de conocimiento de la ciudadanía en general. En tal sentido, en cumplimiento del </w:t>
      </w:r>
      <w:r w:rsidRPr="006617BC">
        <w:rPr>
          <w:rFonts w:ascii="Arial" w:eastAsia="Calibri" w:hAnsi="Arial" w:cs="Arial"/>
          <w:sz w:val="22"/>
          <w:szCs w:val="22"/>
        </w:rPr>
        <w:t>artículo 2.2.1.2.1.5.3. del Decreto 1082 de 2015, modificado por el artículo 2 del Decreto 1860 de 2021, las entidades estatales adelantarán</w:t>
      </w:r>
      <w:r w:rsidRPr="006617BC">
        <w:rPr>
          <w:rFonts w:ascii="Arial" w:eastAsia="Calibri" w:hAnsi="Arial" w:cs="Arial"/>
          <w:sz w:val="22"/>
          <w:szCs w:val="22"/>
          <w:lang w:eastAsia="en-US"/>
        </w:rPr>
        <w:t xml:space="preserve"> la adquisición en grandes almacenes cuando se trate de mínima cuantía en la Tienda Virtual del Estado Colombiano cuando utilicen este medio y, para efectos de publicidad, se realizará la publicación de la invitación en la página web de la entidad. </w:t>
      </w:r>
    </w:p>
    <w:p w14:paraId="15EF3D09" w14:textId="55992D1D" w:rsidR="00AE02C4" w:rsidRDefault="00AE02C4" w:rsidP="00DF098E">
      <w:pPr>
        <w:tabs>
          <w:tab w:val="left" w:pos="709"/>
        </w:tabs>
        <w:spacing w:line="276" w:lineRule="auto"/>
        <w:jc w:val="both"/>
        <w:rPr>
          <w:rFonts w:ascii="Arial" w:eastAsia="Calibri" w:hAnsi="Arial" w:cs="Arial"/>
          <w:b/>
          <w:bCs/>
          <w:color w:val="000000" w:themeColor="text1"/>
          <w:sz w:val="22"/>
          <w:szCs w:val="22"/>
          <w:lang w:val="es-ES_tradnl"/>
        </w:rPr>
      </w:pPr>
    </w:p>
    <w:bookmarkEnd w:id="3"/>
    <w:p w14:paraId="5DBF6E9A" w14:textId="6B82EBB6" w:rsidR="008F4B91" w:rsidRDefault="00BA79B8" w:rsidP="00EC0B4E">
      <w:pPr>
        <w:spacing w:line="276" w:lineRule="auto"/>
        <w:jc w:val="both"/>
        <w:rPr>
          <w:rFonts w:ascii="Arial" w:eastAsia="Calibri" w:hAnsi="Arial" w:cs="Arial"/>
          <w:b/>
          <w:bCs/>
          <w:color w:val="000000" w:themeColor="text1"/>
          <w:sz w:val="22"/>
          <w:szCs w:val="22"/>
          <w:lang w:val="es-ES_tradnl"/>
        </w:rPr>
      </w:pPr>
      <w:r w:rsidRPr="001C75C1">
        <w:rPr>
          <w:rFonts w:ascii="Arial" w:eastAsia="Calibri" w:hAnsi="Arial" w:cs="Arial"/>
          <w:b/>
          <w:bCs/>
          <w:color w:val="000000" w:themeColor="text1"/>
          <w:sz w:val="22"/>
          <w:szCs w:val="22"/>
          <w:lang w:val="es-ES_tradnl"/>
        </w:rPr>
        <w:t>2.</w:t>
      </w:r>
      <w:r w:rsidR="00EC0B4E">
        <w:rPr>
          <w:rFonts w:ascii="Arial" w:eastAsia="Calibri" w:hAnsi="Arial" w:cs="Arial"/>
          <w:b/>
          <w:bCs/>
          <w:color w:val="000000" w:themeColor="text1"/>
          <w:sz w:val="22"/>
          <w:szCs w:val="22"/>
          <w:lang w:val="es-ES_tradnl"/>
        </w:rPr>
        <w:t xml:space="preserve">3. </w:t>
      </w:r>
      <w:r w:rsidR="00EC0B4E" w:rsidRPr="00EE341D">
        <w:rPr>
          <w:rFonts w:ascii="Arial" w:hAnsi="Arial" w:cs="Arial"/>
          <w:b/>
          <w:bCs/>
          <w:sz w:val="22"/>
          <w:szCs w:val="22"/>
          <w:lang w:eastAsia="es-ES"/>
        </w:rPr>
        <w:t xml:space="preserve">Convocatorias limitadas a </w:t>
      </w:r>
      <w:proofErr w:type="spellStart"/>
      <w:r w:rsidR="00EC0B4E" w:rsidRPr="00EE341D">
        <w:rPr>
          <w:rFonts w:ascii="Arial" w:hAnsi="Arial" w:cs="Arial"/>
          <w:b/>
          <w:bCs/>
          <w:sz w:val="22"/>
          <w:szCs w:val="22"/>
          <w:lang w:eastAsia="es-ES"/>
        </w:rPr>
        <w:t>Mipyme</w:t>
      </w:r>
      <w:proofErr w:type="spellEnd"/>
      <w:r w:rsidR="00EC0B4E" w:rsidRPr="00EE341D">
        <w:rPr>
          <w:rFonts w:ascii="Arial" w:hAnsi="Arial" w:cs="Arial"/>
          <w:b/>
          <w:bCs/>
          <w:sz w:val="22"/>
          <w:szCs w:val="22"/>
          <w:lang w:eastAsia="es-ES"/>
        </w:rPr>
        <w:t xml:space="preserve"> </w:t>
      </w:r>
    </w:p>
    <w:p w14:paraId="0E432D1E" w14:textId="77777777" w:rsidR="003D408E" w:rsidRDefault="003D408E" w:rsidP="00EC0B4E">
      <w:pPr>
        <w:spacing w:line="276" w:lineRule="auto"/>
        <w:jc w:val="both"/>
        <w:rPr>
          <w:rFonts w:ascii="Arial" w:eastAsia="Calibri" w:hAnsi="Arial" w:cs="Arial"/>
          <w:b/>
          <w:bCs/>
          <w:color w:val="000000" w:themeColor="text1"/>
          <w:sz w:val="22"/>
          <w:szCs w:val="22"/>
          <w:lang w:val="es-ES_tradnl"/>
        </w:rPr>
      </w:pPr>
    </w:p>
    <w:p w14:paraId="00CF324E" w14:textId="0BC9CDBF" w:rsidR="00F41313" w:rsidRDefault="00E9592E" w:rsidP="00A669AB">
      <w:pPr>
        <w:spacing w:line="276" w:lineRule="auto"/>
        <w:jc w:val="both"/>
        <w:rPr>
          <w:rFonts w:ascii="Arial" w:eastAsia="Calibri" w:hAnsi="Arial" w:cs="Arial"/>
          <w:sz w:val="22"/>
          <w:szCs w:val="22"/>
          <w:lang w:val="es-ES_tradnl"/>
        </w:rPr>
      </w:pPr>
      <w:r>
        <w:rPr>
          <w:rFonts w:ascii="Arial" w:eastAsia="Calibri" w:hAnsi="Arial" w:cs="Arial"/>
          <w:sz w:val="22"/>
          <w:szCs w:val="22"/>
          <w:lang w:val="es-ES_tradnl"/>
        </w:rPr>
        <w:t>C</w:t>
      </w:r>
      <w:r w:rsidR="00E60D04">
        <w:rPr>
          <w:rFonts w:ascii="Arial" w:eastAsia="Calibri" w:hAnsi="Arial" w:cs="Arial"/>
          <w:sz w:val="22"/>
          <w:szCs w:val="22"/>
          <w:lang w:val="es-ES_tradnl"/>
        </w:rPr>
        <w:t>onforme a lo explicado por</w:t>
      </w:r>
      <w:r>
        <w:rPr>
          <w:rFonts w:ascii="Arial" w:eastAsia="Calibri" w:hAnsi="Arial" w:cs="Arial"/>
          <w:sz w:val="22"/>
          <w:szCs w:val="22"/>
          <w:lang w:val="es-ES_tradnl"/>
        </w:rPr>
        <w:t xml:space="preserve"> </w:t>
      </w:r>
      <w:r w:rsidR="00BD2B38">
        <w:rPr>
          <w:rFonts w:ascii="Arial" w:eastAsia="Calibri" w:hAnsi="Arial" w:cs="Arial"/>
          <w:sz w:val="22"/>
          <w:szCs w:val="22"/>
          <w:lang w:val="es-ES_tradnl"/>
        </w:rPr>
        <w:t>esta Agencia</w:t>
      </w:r>
      <w:r>
        <w:rPr>
          <w:rFonts w:ascii="Arial" w:eastAsia="Calibri" w:hAnsi="Arial" w:cs="Arial"/>
          <w:sz w:val="22"/>
          <w:szCs w:val="22"/>
          <w:lang w:val="es-ES_tradnl"/>
        </w:rPr>
        <w:t xml:space="preserve"> </w:t>
      </w:r>
      <w:r w:rsidR="00CB52C1">
        <w:rPr>
          <w:rFonts w:ascii="Arial" w:eastAsia="Calibri" w:hAnsi="Arial" w:cs="Arial"/>
          <w:sz w:val="22"/>
          <w:szCs w:val="22"/>
          <w:lang w:val="es-ES_tradnl"/>
        </w:rPr>
        <w:t>desde</w:t>
      </w:r>
      <w:r w:rsidR="00BD2B38">
        <w:rPr>
          <w:rFonts w:ascii="Arial" w:eastAsia="Calibri" w:hAnsi="Arial" w:cs="Arial"/>
          <w:sz w:val="22"/>
          <w:szCs w:val="22"/>
          <w:lang w:val="es-ES_tradnl"/>
        </w:rPr>
        <w:t xml:space="preserve"> </w:t>
      </w:r>
      <w:r w:rsidR="00CB52C1">
        <w:rPr>
          <w:rFonts w:ascii="Arial" w:eastAsia="Calibri" w:hAnsi="Arial" w:cs="Arial"/>
          <w:sz w:val="22"/>
          <w:szCs w:val="22"/>
          <w:lang w:val="es-ES_tradnl"/>
        </w:rPr>
        <w:t>el C</w:t>
      </w:r>
      <w:r w:rsidR="00BD2B38">
        <w:rPr>
          <w:rFonts w:ascii="Arial" w:eastAsia="Calibri" w:hAnsi="Arial" w:cs="Arial"/>
          <w:sz w:val="22"/>
          <w:szCs w:val="22"/>
          <w:lang w:val="es-ES_tradnl"/>
        </w:rPr>
        <w:t xml:space="preserve">oncepto </w:t>
      </w:r>
      <w:r w:rsidR="00BD2B38" w:rsidRPr="00BD2B38">
        <w:rPr>
          <w:rFonts w:ascii="Arial" w:eastAsia="Calibri" w:hAnsi="Arial" w:cs="Arial"/>
          <w:sz w:val="22"/>
          <w:szCs w:val="22"/>
        </w:rPr>
        <w:t>C-043 del 9 de febrero de 202</w:t>
      </w:r>
      <w:r w:rsidR="00C235C1">
        <w:rPr>
          <w:rFonts w:ascii="Arial" w:eastAsia="Calibri" w:hAnsi="Arial" w:cs="Arial"/>
          <w:sz w:val="22"/>
          <w:szCs w:val="22"/>
        </w:rPr>
        <w:t>1</w:t>
      </w:r>
      <w:r w:rsidR="00A669AB">
        <w:rPr>
          <w:rFonts w:ascii="Arial" w:eastAsia="Calibri" w:hAnsi="Arial" w:cs="Arial"/>
          <w:sz w:val="22"/>
          <w:szCs w:val="22"/>
          <w:lang w:val="es-ES_tradnl"/>
        </w:rPr>
        <w:t>,</w:t>
      </w:r>
      <w:r w:rsidR="00DE4D0E">
        <w:rPr>
          <w:rFonts w:ascii="Arial" w:eastAsia="Calibri" w:hAnsi="Arial" w:cs="Arial"/>
          <w:sz w:val="22"/>
          <w:szCs w:val="22"/>
          <w:lang w:val="es-ES_tradnl"/>
        </w:rPr>
        <w:t xml:space="preserve"> </w:t>
      </w:r>
      <w:r w:rsidR="00F83075">
        <w:rPr>
          <w:rFonts w:ascii="Arial" w:eastAsia="Calibri" w:hAnsi="Arial" w:cs="Arial"/>
          <w:sz w:val="22"/>
          <w:szCs w:val="22"/>
          <w:lang w:val="es-ES_tradnl"/>
        </w:rPr>
        <w:t xml:space="preserve">postura reiterada </w:t>
      </w:r>
      <w:r w:rsidR="00DE4D0E">
        <w:rPr>
          <w:rFonts w:ascii="Arial" w:eastAsia="Calibri" w:hAnsi="Arial" w:cs="Arial"/>
          <w:sz w:val="22"/>
          <w:szCs w:val="22"/>
          <w:lang w:val="es-ES_tradnl"/>
        </w:rPr>
        <w:t>en conceptos posteriores,</w:t>
      </w:r>
      <w:r w:rsidR="00A669AB">
        <w:rPr>
          <w:rFonts w:ascii="Arial" w:eastAsia="Calibri" w:hAnsi="Arial" w:cs="Arial"/>
          <w:sz w:val="22"/>
          <w:szCs w:val="22"/>
          <w:lang w:val="es-ES_tradnl"/>
        </w:rPr>
        <w:t xml:space="preserve"> </w:t>
      </w:r>
      <w:r>
        <w:rPr>
          <w:rFonts w:ascii="Arial" w:eastAsia="Calibri" w:hAnsi="Arial" w:cs="Arial"/>
          <w:sz w:val="22"/>
          <w:szCs w:val="22"/>
          <w:lang w:val="es-ES_tradnl"/>
        </w:rPr>
        <w:t>el artículo 34 de la Ley 2069 de 2020 que establece nuevas reglas sobre la promoción al desarrollo en la contratación estatal, sustituyó íntegramente el contenido del artículo 12 de la Ley 1150 de 2007</w:t>
      </w:r>
      <w:r w:rsidR="00F41313">
        <w:rPr>
          <w:rFonts w:ascii="Arial" w:eastAsia="Calibri" w:hAnsi="Arial" w:cs="Arial"/>
          <w:sz w:val="22"/>
          <w:szCs w:val="22"/>
          <w:lang w:val="es-ES_tradnl"/>
        </w:rPr>
        <w:t xml:space="preserve">, por lo que </w:t>
      </w:r>
      <w:r>
        <w:rPr>
          <w:rFonts w:ascii="Arial" w:eastAsia="Calibri" w:hAnsi="Arial" w:cs="Arial"/>
          <w:sz w:val="22"/>
          <w:szCs w:val="22"/>
          <w:lang w:val="es-ES_tradnl"/>
        </w:rPr>
        <w:t xml:space="preserve">frente a esta última norma se produjo el fenómeno de la subrogación. </w:t>
      </w:r>
      <w:r w:rsidR="00F41313">
        <w:rPr>
          <w:rFonts w:ascii="Arial" w:eastAsia="Calibri" w:hAnsi="Arial" w:cs="Arial"/>
          <w:sz w:val="22"/>
          <w:szCs w:val="22"/>
          <w:lang w:val="es-ES_tradnl"/>
        </w:rPr>
        <w:t xml:space="preserve">De acuerdo con lo anterior, </w:t>
      </w:r>
      <w:r w:rsidR="00F41313" w:rsidRPr="00EE341D">
        <w:rPr>
          <w:rFonts w:ascii="Arial" w:eastAsia="Calibri" w:hAnsi="Arial" w:cs="Arial"/>
          <w:sz w:val="22"/>
          <w:szCs w:val="22"/>
          <w:lang w:val="es-ES_tradnl"/>
        </w:rPr>
        <w:t>el artículo 2.2.1.2.4.2.2 original del Decreto 1082 de 2015 –antes del Decreto 1860 de 2021</w:t>
      </w:r>
      <w:r w:rsidR="00BD63BA">
        <w:rPr>
          <w:rFonts w:ascii="Arial" w:eastAsia="Calibri" w:hAnsi="Arial" w:cs="Arial"/>
          <w:sz w:val="22"/>
          <w:szCs w:val="22"/>
          <w:lang w:val="es-ES_tradnl"/>
        </w:rPr>
        <w:t>–</w:t>
      </w:r>
      <w:r w:rsidR="00F41313" w:rsidRPr="00EE341D">
        <w:rPr>
          <w:rFonts w:ascii="Arial" w:eastAsia="Calibri" w:hAnsi="Arial" w:cs="Arial"/>
          <w:sz w:val="22"/>
          <w:szCs w:val="22"/>
          <w:lang w:val="es-ES_tradnl"/>
        </w:rPr>
        <w:t xml:space="preserve">, que hasta la expedición de la Ley 2069 de 2020 regulaba las convocatorias limitadas a </w:t>
      </w:r>
      <w:proofErr w:type="spellStart"/>
      <w:r w:rsidR="00F41313" w:rsidRPr="00EE341D">
        <w:rPr>
          <w:rFonts w:ascii="Arial" w:eastAsia="Calibri" w:hAnsi="Arial" w:cs="Arial"/>
          <w:sz w:val="22"/>
          <w:szCs w:val="22"/>
          <w:lang w:val="es-ES_tradnl"/>
        </w:rPr>
        <w:t>Mipymes</w:t>
      </w:r>
      <w:proofErr w:type="spellEnd"/>
      <w:r w:rsidR="00F41313">
        <w:rPr>
          <w:rFonts w:ascii="Arial" w:eastAsia="Calibri" w:hAnsi="Arial" w:cs="Arial"/>
          <w:sz w:val="22"/>
          <w:szCs w:val="22"/>
          <w:lang w:val="es-ES_tradnl"/>
        </w:rPr>
        <w:t xml:space="preserve">, </w:t>
      </w:r>
      <w:r w:rsidR="00F41313" w:rsidRPr="00EE341D">
        <w:rPr>
          <w:rFonts w:ascii="Arial" w:eastAsia="Calibri" w:hAnsi="Arial" w:cs="Arial"/>
          <w:sz w:val="22"/>
          <w:szCs w:val="22"/>
          <w:lang w:val="es-ES_tradnl"/>
        </w:rPr>
        <w:t>carec</w:t>
      </w:r>
      <w:r w:rsidR="00B67E37">
        <w:rPr>
          <w:rFonts w:ascii="Arial" w:eastAsia="Calibri" w:hAnsi="Arial" w:cs="Arial"/>
          <w:sz w:val="22"/>
          <w:szCs w:val="22"/>
          <w:lang w:val="es-ES_tradnl"/>
        </w:rPr>
        <w:t>ía</w:t>
      </w:r>
      <w:r w:rsidR="00F41313" w:rsidRPr="00EE341D">
        <w:rPr>
          <w:rFonts w:ascii="Arial" w:eastAsia="Calibri" w:hAnsi="Arial" w:cs="Arial"/>
          <w:sz w:val="22"/>
          <w:szCs w:val="22"/>
          <w:lang w:val="es-ES_tradnl"/>
        </w:rPr>
        <w:t xml:space="preserve"> de vigencia, porque su contenido e</w:t>
      </w:r>
      <w:r w:rsidR="00B67E37">
        <w:rPr>
          <w:rFonts w:ascii="Arial" w:eastAsia="Calibri" w:hAnsi="Arial" w:cs="Arial"/>
          <w:sz w:val="22"/>
          <w:szCs w:val="22"/>
          <w:lang w:val="es-ES_tradnl"/>
        </w:rPr>
        <w:t>ra</w:t>
      </w:r>
      <w:r w:rsidR="00F41313" w:rsidRPr="00EE341D">
        <w:rPr>
          <w:rFonts w:ascii="Arial" w:eastAsia="Calibri" w:hAnsi="Arial" w:cs="Arial"/>
          <w:sz w:val="22"/>
          <w:szCs w:val="22"/>
          <w:lang w:val="es-ES_tradnl"/>
        </w:rPr>
        <w:t xml:space="preserve"> contrario al artículo 34 de la Ley 2069 de 2020. En tal sentido, ha perdido fuerza ejecutoria, de conformidad con el artículo 91</w:t>
      </w:r>
      <w:r w:rsidR="00996B49">
        <w:rPr>
          <w:rFonts w:ascii="Arial" w:eastAsia="Calibri" w:hAnsi="Arial" w:cs="Arial"/>
          <w:sz w:val="22"/>
          <w:szCs w:val="22"/>
          <w:lang w:val="es-ES_tradnl"/>
        </w:rPr>
        <w:t>.</w:t>
      </w:r>
      <w:r w:rsidR="00F41313" w:rsidRPr="00EE341D">
        <w:rPr>
          <w:rFonts w:ascii="Arial" w:eastAsia="Calibri" w:hAnsi="Arial" w:cs="Arial"/>
          <w:sz w:val="22"/>
          <w:szCs w:val="22"/>
          <w:lang w:val="es-ES_tradnl"/>
        </w:rPr>
        <w:t xml:space="preserve">2 de la Ley 1437 de 2011, el cual establece que los actos administrativos –categoría que, como es sabido, incluye los decretos reglamentarios– dejan de ser obligatorios o decaen «Cuando desaparezcan sus fundamentos de hecho o de derecho». </w:t>
      </w:r>
    </w:p>
    <w:p w14:paraId="4B237DF0" w14:textId="4ED98FEB" w:rsidR="00BD2B38" w:rsidRDefault="00BD2B38" w:rsidP="00BD2B38">
      <w:pPr>
        <w:spacing w:before="120" w:line="276" w:lineRule="auto"/>
        <w:ind w:firstLine="709"/>
        <w:jc w:val="both"/>
        <w:rPr>
          <w:rFonts w:ascii="Arial" w:eastAsia="Calibri" w:hAnsi="Arial" w:cs="Arial"/>
          <w:sz w:val="22"/>
          <w:szCs w:val="22"/>
        </w:rPr>
      </w:pPr>
      <w:r>
        <w:rPr>
          <w:rFonts w:ascii="Arial" w:eastAsia="Calibri" w:hAnsi="Arial" w:cs="Arial"/>
          <w:sz w:val="22"/>
          <w:szCs w:val="22"/>
        </w:rPr>
        <w:t>A</w:t>
      </w:r>
      <w:r w:rsidRPr="00BD2B38">
        <w:rPr>
          <w:rFonts w:ascii="Arial" w:eastAsia="Calibri" w:hAnsi="Arial" w:cs="Arial"/>
          <w:sz w:val="22"/>
          <w:szCs w:val="22"/>
        </w:rPr>
        <w:t>demás de la pérdida de fuerza ejecutoria de</w:t>
      </w:r>
      <w:r w:rsidR="00652E85">
        <w:rPr>
          <w:rFonts w:ascii="Arial" w:eastAsia="Calibri" w:hAnsi="Arial" w:cs="Arial"/>
          <w:sz w:val="22"/>
          <w:szCs w:val="22"/>
        </w:rPr>
        <w:t xml:space="preserve"> la redacción original de</w:t>
      </w:r>
      <w:r w:rsidRPr="00BD2B38">
        <w:rPr>
          <w:rFonts w:ascii="Arial" w:eastAsia="Calibri" w:hAnsi="Arial" w:cs="Arial"/>
          <w:sz w:val="22"/>
          <w:szCs w:val="22"/>
        </w:rPr>
        <w:t xml:space="preserve"> los artículos 2.2.1.2.4.2.2 y 2.2.1.2.4.2.3 del Decreto 1082 de 2015 por la desaparición de su fundamento de derecho, </w:t>
      </w:r>
      <w:r w:rsidR="00652E85">
        <w:rPr>
          <w:rFonts w:ascii="Arial" w:eastAsia="Calibri" w:hAnsi="Arial" w:cs="Arial"/>
          <w:sz w:val="22"/>
          <w:szCs w:val="22"/>
        </w:rPr>
        <w:t>también se advirtió</w:t>
      </w:r>
      <w:r w:rsidRPr="00BD2B38">
        <w:rPr>
          <w:rFonts w:ascii="Arial" w:eastAsia="Calibri" w:hAnsi="Arial" w:cs="Arial"/>
          <w:sz w:val="22"/>
          <w:szCs w:val="22"/>
        </w:rPr>
        <w:t xml:space="preserve"> una manifiesta oposición entre dichos enunciados normativos y el nuevo contenido del artículo 12 de la Ley 1150 de 2007, modificado por el artículo 34 de la Ley 2069 de 2020. Ante esta contradicción, deb</w:t>
      </w:r>
      <w:r w:rsidR="00116D84">
        <w:rPr>
          <w:rFonts w:ascii="Arial" w:eastAsia="Calibri" w:hAnsi="Arial" w:cs="Arial"/>
          <w:sz w:val="22"/>
          <w:szCs w:val="22"/>
        </w:rPr>
        <w:t>ía</w:t>
      </w:r>
      <w:r w:rsidRPr="00BD2B38">
        <w:rPr>
          <w:rFonts w:ascii="Arial" w:eastAsia="Calibri" w:hAnsi="Arial" w:cs="Arial"/>
          <w:sz w:val="22"/>
          <w:szCs w:val="22"/>
        </w:rPr>
        <w:t xml:space="preserve"> aplicarse la consecuencia jurídica prevista en el artículo 84 de la Ley 2069 de 2020, según la cual </w:t>
      </w:r>
      <w:proofErr w:type="spellStart"/>
      <w:r w:rsidRPr="00BD2B38">
        <w:rPr>
          <w:rFonts w:ascii="Arial" w:eastAsia="Calibri" w:hAnsi="Arial" w:cs="Arial"/>
          <w:sz w:val="22"/>
          <w:szCs w:val="22"/>
        </w:rPr>
        <w:t>esta</w:t>
      </w:r>
      <w:proofErr w:type="spellEnd"/>
      <w:r w:rsidRPr="00BD2B38">
        <w:rPr>
          <w:rFonts w:ascii="Arial" w:eastAsia="Calibri" w:hAnsi="Arial" w:cs="Arial"/>
          <w:sz w:val="22"/>
          <w:szCs w:val="22"/>
        </w:rPr>
        <w:t xml:space="preserve"> «deroga […] todas las disposiciones que le sean contrarias». Por ello, puede afirmarse que, además del decaimiento de los artículos 2.2.1.2.4.2.2 y 2.2.1.2.4.2.3 </w:t>
      </w:r>
      <w:r w:rsidRPr="00BD2B38">
        <w:rPr>
          <w:rFonts w:ascii="Arial" w:eastAsia="Calibri" w:hAnsi="Arial" w:cs="Arial"/>
          <w:sz w:val="22"/>
          <w:szCs w:val="22"/>
        </w:rPr>
        <w:lastRenderedPageBreak/>
        <w:t xml:space="preserve">originales del Decreto 1082 de 2015 –antes de la modificación del Decreto 1860–, se entendieron derogados, de acuerdo con el artículo 84 </w:t>
      </w:r>
      <w:proofErr w:type="spellStart"/>
      <w:r w:rsidRPr="00B27FED">
        <w:rPr>
          <w:rFonts w:ascii="Arial" w:eastAsia="Calibri" w:hAnsi="Arial" w:cs="Arial"/>
          <w:i/>
          <w:iCs/>
          <w:sz w:val="22"/>
          <w:szCs w:val="22"/>
        </w:rPr>
        <w:t>ibídem</w:t>
      </w:r>
      <w:proofErr w:type="spellEnd"/>
      <w:r w:rsidR="00A669AB">
        <w:rPr>
          <w:rFonts w:ascii="Arial" w:eastAsia="Calibri" w:hAnsi="Arial" w:cs="Arial"/>
          <w:sz w:val="22"/>
          <w:szCs w:val="22"/>
        </w:rPr>
        <w:t xml:space="preserve">. </w:t>
      </w:r>
    </w:p>
    <w:p w14:paraId="22A57220" w14:textId="0B730C28" w:rsidR="007B12F1" w:rsidRDefault="00DE4D0E" w:rsidP="007B12F1">
      <w:pPr>
        <w:spacing w:before="120" w:line="276" w:lineRule="auto"/>
        <w:ind w:firstLine="709"/>
        <w:jc w:val="both"/>
        <w:rPr>
          <w:rFonts w:ascii="Arial" w:eastAsia="Calibri" w:hAnsi="Arial" w:cs="Arial"/>
          <w:sz w:val="22"/>
          <w:szCs w:val="22"/>
          <w:lang w:val="es-ES"/>
        </w:rPr>
      </w:pPr>
      <w:r>
        <w:rPr>
          <w:rFonts w:ascii="Arial" w:eastAsia="Calibri" w:hAnsi="Arial" w:cs="Arial"/>
          <w:sz w:val="22"/>
          <w:szCs w:val="22"/>
          <w:lang w:val="es-ES"/>
        </w:rPr>
        <w:t>Adicionalmente,</w:t>
      </w:r>
      <w:r w:rsidR="00A669AB">
        <w:rPr>
          <w:rFonts w:ascii="Arial" w:eastAsia="Calibri" w:hAnsi="Arial" w:cs="Arial"/>
          <w:sz w:val="22"/>
          <w:szCs w:val="22"/>
          <w:lang w:val="es-ES"/>
        </w:rPr>
        <w:t xml:space="preserve"> </w:t>
      </w:r>
      <w:r w:rsidR="00A669AB" w:rsidRPr="00A669AB">
        <w:rPr>
          <w:rFonts w:ascii="Arial" w:eastAsia="Calibri" w:hAnsi="Arial" w:cs="Arial"/>
          <w:sz w:val="22"/>
          <w:szCs w:val="22"/>
          <w:lang w:val="es-ES"/>
        </w:rPr>
        <w:t>el artículo 34 de la Ley de Emprendimiento no es una norma de aplicación directa</w:t>
      </w:r>
      <w:r>
        <w:rPr>
          <w:rFonts w:ascii="Arial" w:eastAsia="Calibri" w:hAnsi="Arial" w:cs="Arial"/>
          <w:sz w:val="22"/>
          <w:szCs w:val="22"/>
          <w:lang w:val="es-ES"/>
        </w:rPr>
        <w:t xml:space="preserve"> y </w:t>
      </w:r>
      <w:r w:rsidR="00A669AB" w:rsidRPr="00A669AB">
        <w:rPr>
          <w:rFonts w:ascii="Arial" w:eastAsia="Calibri" w:hAnsi="Arial" w:cs="Arial"/>
          <w:sz w:val="22"/>
          <w:szCs w:val="22"/>
          <w:lang w:val="es-ES"/>
        </w:rPr>
        <w:t xml:space="preserve">contempla supuestos que no estaban previstos en el Decreto 1082 de 2015 original –antes de la modificación realizada por el Decreto 1860 de 2021–. Particularmente, conforme al artículo 2.2.1.2.4.2.2 </w:t>
      </w:r>
      <w:proofErr w:type="spellStart"/>
      <w:r w:rsidR="00A669AB" w:rsidRPr="00A669AB">
        <w:rPr>
          <w:rFonts w:ascii="Arial" w:eastAsia="Calibri" w:hAnsi="Arial" w:cs="Arial"/>
          <w:i/>
          <w:sz w:val="22"/>
          <w:szCs w:val="22"/>
          <w:lang w:val="es-ES"/>
        </w:rPr>
        <w:t>ibídem</w:t>
      </w:r>
      <w:proofErr w:type="spellEnd"/>
      <w:r w:rsidR="00A669AB" w:rsidRPr="00A669AB">
        <w:rPr>
          <w:rFonts w:ascii="Arial" w:eastAsia="Calibri" w:hAnsi="Arial" w:cs="Arial"/>
          <w:sz w:val="22"/>
          <w:szCs w:val="22"/>
          <w:lang w:val="es-ES"/>
        </w:rPr>
        <w:t xml:space="preserve">, las convocatorias limitadas únicamente eran obligatorias en la licitación pública, selección abreviada y concurso de méritos de las entidades sometidas a la Ley 80 de 1993, siempre que la entidad contratante recibiera solicitudes de limitación de por lo menos tres (3) </w:t>
      </w:r>
      <w:proofErr w:type="spellStart"/>
      <w:r w:rsidR="00A669AB" w:rsidRPr="00A669AB">
        <w:rPr>
          <w:rFonts w:ascii="Arial" w:eastAsia="Calibri" w:hAnsi="Arial" w:cs="Arial"/>
          <w:sz w:val="22"/>
          <w:szCs w:val="22"/>
          <w:lang w:val="es-ES"/>
        </w:rPr>
        <w:t>mipymes</w:t>
      </w:r>
      <w:proofErr w:type="spellEnd"/>
      <w:r w:rsidR="00A669AB" w:rsidRPr="00A669AB">
        <w:rPr>
          <w:rFonts w:ascii="Arial" w:eastAsia="Calibri" w:hAnsi="Arial" w:cs="Arial"/>
          <w:sz w:val="22"/>
          <w:szCs w:val="22"/>
          <w:lang w:val="es-ES"/>
        </w:rPr>
        <w:t xml:space="preserve"> nacionales. Frente a este escenario, surge la necesidad de expedir una nueva reglamentación para las convocatorias limitadas que desarrolle los nuevos elementos previstos en la ley, regulación que se </w:t>
      </w:r>
      <w:r w:rsidR="00DC2710">
        <w:rPr>
          <w:rFonts w:ascii="Arial" w:eastAsia="Calibri" w:hAnsi="Arial" w:cs="Arial"/>
          <w:sz w:val="22"/>
          <w:szCs w:val="22"/>
          <w:lang w:val="es-ES"/>
        </w:rPr>
        <w:t>concretó</w:t>
      </w:r>
      <w:r w:rsidR="00800A62" w:rsidRPr="00A669AB">
        <w:rPr>
          <w:rFonts w:ascii="Arial" w:eastAsia="Calibri" w:hAnsi="Arial" w:cs="Arial"/>
          <w:sz w:val="22"/>
          <w:szCs w:val="22"/>
          <w:lang w:val="es-ES"/>
        </w:rPr>
        <w:t xml:space="preserve"> </w:t>
      </w:r>
      <w:r w:rsidR="00A669AB" w:rsidRPr="00A669AB">
        <w:rPr>
          <w:rFonts w:ascii="Arial" w:eastAsia="Calibri" w:hAnsi="Arial" w:cs="Arial"/>
          <w:sz w:val="22"/>
          <w:szCs w:val="22"/>
          <w:lang w:val="es-ES"/>
        </w:rPr>
        <w:t>mediante el Decreto 1860 del 24 de diciembre de 2021</w:t>
      </w:r>
      <w:r w:rsidR="006F38AD">
        <w:rPr>
          <w:rFonts w:ascii="Arial" w:eastAsia="Calibri" w:hAnsi="Arial" w:cs="Arial"/>
          <w:sz w:val="22"/>
          <w:szCs w:val="22"/>
          <w:lang w:val="es-ES"/>
        </w:rPr>
        <w:t xml:space="preserve">. </w:t>
      </w:r>
    </w:p>
    <w:p w14:paraId="7CA41E4F" w14:textId="5CFAE137" w:rsidR="000F6B82" w:rsidRDefault="00E443D3" w:rsidP="000F6B82">
      <w:pPr>
        <w:spacing w:before="120" w:line="276" w:lineRule="auto"/>
        <w:ind w:firstLine="709"/>
        <w:jc w:val="both"/>
        <w:rPr>
          <w:rFonts w:ascii="Arial" w:hAnsi="Arial" w:cs="Arial"/>
          <w:bCs/>
          <w:sz w:val="22"/>
          <w:szCs w:val="22"/>
          <w:lang w:eastAsia="es-ES"/>
        </w:rPr>
      </w:pPr>
      <w:r>
        <w:rPr>
          <w:rFonts w:ascii="Arial" w:hAnsi="Arial" w:cs="Arial"/>
          <w:bCs/>
          <w:sz w:val="22"/>
          <w:szCs w:val="22"/>
          <w:lang w:val="es-ES_tradnl" w:eastAsia="es-ES"/>
        </w:rPr>
        <w:t xml:space="preserve">En </w:t>
      </w:r>
      <w:r w:rsidR="003B444E">
        <w:rPr>
          <w:rFonts w:ascii="Arial" w:hAnsi="Arial" w:cs="Arial"/>
          <w:bCs/>
          <w:sz w:val="22"/>
          <w:szCs w:val="22"/>
          <w:lang w:val="es-ES_tradnl" w:eastAsia="es-ES"/>
        </w:rPr>
        <w:t>efecto</w:t>
      </w:r>
      <w:r>
        <w:rPr>
          <w:rFonts w:ascii="Arial" w:hAnsi="Arial" w:cs="Arial"/>
          <w:bCs/>
          <w:sz w:val="22"/>
          <w:szCs w:val="22"/>
          <w:lang w:val="es-ES_tradnl" w:eastAsia="es-ES"/>
        </w:rPr>
        <w:t xml:space="preserve">, </w:t>
      </w:r>
      <w:bookmarkStart w:id="7" w:name="_Hlk102577458"/>
      <w:r>
        <w:rPr>
          <w:rFonts w:ascii="Arial" w:hAnsi="Arial" w:cs="Arial"/>
          <w:bCs/>
          <w:sz w:val="22"/>
          <w:szCs w:val="22"/>
          <w:lang w:val="es-ES_tradnl" w:eastAsia="es-ES"/>
        </w:rPr>
        <w:t>e</w:t>
      </w:r>
      <w:r w:rsidR="00EC0B4E" w:rsidRPr="00EE341D">
        <w:rPr>
          <w:rFonts w:ascii="Arial" w:hAnsi="Arial" w:cs="Arial"/>
          <w:bCs/>
          <w:sz w:val="22"/>
          <w:szCs w:val="22"/>
          <w:lang w:val="es-ES_tradnl" w:eastAsia="es-ES"/>
        </w:rPr>
        <w:t xml:space="preserve">l artículo 5 </w:t>
      </w:r>
      <w:r w:rsidR="007B12F1">
        <w:rPr>
          <w:rFonts w:ascii="Arial" w:hAnsi="Arial" w:cs="Arial"/>
          <w:bCs/>
          <w:sz w:val="22"/>
          <w:szCs w:val="22"/>
          <w:lang w:val="es-ES_tradnl" w:eastAsia="es-ES"/>
        </w:rPr>
        <w:t xml:space="preserve">del Decreto 1860 de 2021 </w:t>
      </w:r>
      <w:r w:rsidR="00EC0B4E" w:rsidRPr="00EE341D">
        <w:rPr>
          <w:rFonts w:ascii="Arial" w:hAnsi="Arial" w:cs="Arial"/>
          <w:bCs/>
          <w:sz w:val="22"/>
          <w:szCs w:val="22"/>
          <w:lang w:val="es-ES_tradnl" w:eastAsia="es-ES"/>
        </w:rPr>
        <w:t>modific</w:t>
      </w:r>
      <w:r w:rsidR="006F38AD">
        <w:rPr>
          <w:rFonts w:ascii="Arial" w:hAnsi="Arial" w:cs="Arial"/>
          <w:bCs/>
          <w:sz w:val="22"/>
          <w:szCs w:val="22"/>
          <w:lang w:val="es-ES_tradnl" w:eastAsia="es-ES"/>
        </w:rPr>
        <w:t>ó</w:t>
      </w:r>
      <w:r w:rsidR="00EC0B4E" w:rsidRPr="00EE341D">
        <w:rPr>
          <w:rFonts w:ascii="Arial" w:hAnsi="Arial" w:cs="Arial"/>
          <w:bCs/>
          <w:sz w:val="22"/>
          <w:szCs w:val="22"/>
          <w:lang w:val="es-ES_tradnl" w:eastAsia="es-ES"/>
        </w:rPr>
        <w:t xml:space="preserve"> </w:t>
      </w:r>
      <w:r w:rsidR="00EC0B4E" w:rsidRPr="00EE341D">
        <w:rPr>
          <w:rFonts w:ascii="Arial" w:hAnsi="Arial" w:cs="Arial"/>
          <w:bCs/>
          <w:sz w:val="22"/>
          <w:szCs w:val="22"/>
          <w:lang w:eastAsia="es-ES"/>
        </w:rPr>
        <w:t>los artículos 2.2.1.2.4.2.2., 2.2.1.2.4.2.3. y 2.2.1.2.4.2.4. de la Subsección 2 de la Sección 4 del Capítulo 2 del Título 1 de la Parte 2 del Libro 2 del Decreto 1082 de 2015,</w:t>
      </w:r>
      <w:r w:rsidR="00590461">
        <w:rPr>
          <w:rFonts w:ascii="Arial" w:hAnsi="Arial" w:cs="Arial"/>
          <w:bCs/>
          <w:sz w:val="22"/>
          <w:szCs w:val="22"/>
          <w:lang w:eastAsia="es-ES"/>
        </w:rPr>
        <w:t xml:space="preserve"> reglamentando</w:t>
      </w:r>
      <w:r w:rsidR="00EC0B4E" w:rsidRPr="00EE341D">
        <w:rPr>
          <w:rFonts w:ascii="Arial" w:hAnsi="Arial" w:cs="Arial"/>
          <w:bCs/>
          <w:sz w:val="22"/>
          <w:szCs w:val="22"/>
          <w:lang w:val="es-ES_tradnl" w:eastAsia="es-ES"/>
        </w:rPr>
        <w:t xml:space="preserve"> </w:t>
      </w:r>
      <w:r w:rsidR="007B12F1" w:rsidRPr="00EE341D">
        <w:rPr>
          <w:rFonts w:ascii="Arial" w:hAnsi="Arial" w:cs="Arial"/>
          <w:bCs/>
          <w:sz w:val="22"/>
          <w:szCs w:val="22"/>
          <w:lang w:val="es-ES_tradnl" w:eastAsia="es-ES"/>
        </w:rPr>
        <w:t xml:space="preserve">las convocatorias limitadas a </w:t>
      </w:r>
      <w:proofErr w:type="spellStart"/>
      <w:r w:rsidR="007B12F1" w:rsidRPr="00EE341D">
        <w:rPr>
          <w:rFonts w:ascii="Arial" w:hAnsi="Arial" w:cs="Arial"/>
          <w:bCs/>
          <w:sz w:val="22"/>
          <w:szCs w:val="22"/>
          <w:lang w:val="es-ES_tradnl" w:eastAsia="es-ES"/>
        </w:rPr>
        <w:t>Mipyme</w:t>
      </w:r>
      <w:proofErr w:type="spellEnd"/>
      <w:r w:rsidR="007B12F1">
        <w:rPr>
          <w:rFonts w:ascii="Arial" w:hAnsi="Arial" w:cs="Arial"/>
          <w:bCs/>
          <w:sz w:val="22"/>
          <w:szCs w:val="22"/>
          <w:lang w:val="es-ES_tradnl" w:eastAsia="es-ES"/>
        </w:rPr>
        <w:t xml:space="preserve">, </w:t>
      </w:r>
      <w:r w:rsidR="00EC0B4E" w:rsidRPr="00EE341D">
        <w:rPr>
          <w:rFonts w:ascii="Arial" w:hAnsi="Arial" w:cs="Arial"/>
          <w:bCs/>
          <w:sz w:val="22"/>
          <w:szCs w:val="22"/>
          <w:lang w:val="es-ES_tradnl" w:eastAsia="es-ES"/>
        </w:rPr>
        <w:t>con fundamento en lo establecido en el artículo 34 de la Ley 2069 de 2020.</w:t>
      </w:r>
      <w:r w:rsidR="00590461">
        <w:rPr>
          <w:rFonts w:ascii="Arial" w:hAnsi="Arial" w:cs="Arial"/>
          <w:bCs/>
          <w:sz w:val="22"/>
          <w:szCs w:val="22"/>
          <w:lang w:val="es-ES_tradnl" w:eastAsia="es-ES"/>
        </w:rPr>
        <w:t xml:space="preserve"> Esta </w:t>
      </w:r>
      <w:r w:rsidR="00EC0B4E" w:rsidRPr="00EE341D">
        <w:rPr>
          <w:rFonts w:ascii="Arial" w:hAnsi="Arial" w:cs="Arial"/>
          <w:bCs/>
          <w:sz w:val="22"/>
          <w:szCs w:val="22"/>
          <w:lang w:val="es-ES_tradnl" w:eastAsia="es-ES"/>
        </w:rPr>
        <w:t>nueva Subsección 2</w:t>
      </w:r>
      <w:r w:rsidR="00590461">
        <w:rPr>
          <w:rFonts w:ascii="Arial" w:hAnsi="Arial" w:cs="Arial"/>
          <w:bCs/>
          <w:sz w:val="22"/>
          <w:szCs w:val="22"/>
          <w:lang w:val="es-ES_tradnl" w:eastAsia="es-ES"/>
        </w:rPr>
        <w:t xml:space="preserve"> contempla los siguientes aspectos</w:t>
      </w:r>
      <w:r w:rsidR="00EC0B4E" w:rsidRPr="00EE341D">
        <w:rPr>
          <w:rFonts w:ascii="Arial" w:hAnsi="Arial" w:cs="Arial"/>
          <w:bCs/>
          <w:sz w:val="22"/>
          <w:szCs w:val="22"/>
          <w:lang w:val="es-ES_tradnl" w:eastAsia="es-ES"/>
        </w:rPr>
        <w:t xml:space="preserve">: </w:t>
      </w:r>
      <w:r w:rsidR="000F6B82" w:rsidRPr="00EE341D">
        <w:rPr>
          <w:rFonts w:ascii="Arial" w:hAnsi="Arial" w:cs="Arial"/>
          <w:bCs/>
          <w:sz w:val="22"/>
          <w:szCs w:val="22"/>
          <w:lang w:val="es-ES_tradnl" w:eastAsia="es-ES"/>
        </w:rPr>
        <w:t xml:space="preserve">i) requisitos para limitar la convocatoria de los </w:t>
      </w:r>
      <w:r w:rsidR="000F6B82" w:rsidRPr="00EE341D">
        <w:rPr>
          <w:rFonts w:ascii="Arial" w:hAnsi="Arial" w:cs="Arial"/>
          <w:bCs/>
          <w:sz w:val="22"/>
          <w:szCs w:val="22"/>
          <w:lang w:eastAsia="es-ES"/>
        </w:rPr>
        <w:t>procesos de contratación con pluralidad de oferentes</w:t>
      </w:r>
      <w:r w:rsidR="000F6B82" w:rsidRPr="00EE341D">
        <w:rPr>
          <w:rFonts w:ascii="Arial" w:hAnsi="Arial" w:cs="Arial"/>
          <w:bCs/>
          <w:sz w:val="22"/>
          <w:szCs w:val="22"/>
          <w:lang w:val="es-ES_tradnl" w:eastAsia="es-ES"/>
        </w:rPr>
        <w:t xml:space="preserve"> a las </w:t>
      </w:r>
      <w:proofErr w:type="spellStart"/>
      <w:r w:rsidR="000F6B82" w:rsidRPr="00EE341D">
        <w:rPr>
          <w:rFonts w:ascii="Arial" w:hAnsi="Arial" w:cs="Arial"/>
          <w:bCs/>
          <w:sz w:val="22"/>
          <w:szCs w:val="22"/>
          <w:lang w:val="es-ES_tradnl" w:eastAsia="es-ES"/>
        </w:rPr>
        <w:t>Mipyme</w:t>
      </w:r>
      <w:proofErr w:type="spellEnd"/>
      <w:r w:rsidR="000F6B82" w:rsidRPr="00EE341D">
        <w:rPr>
          <w:rFonts w:ascii="Arial" w:hAnsi="Arial" w:cs="Arial"/>
          <w:bCs/>
          <w:sz w:val="22"/>
          <w:szCs w:val="22"/>
          <w:lang w:val="es-ES_tradnl" w:eastAsia="es-ES"/>
        </w:rPr>
        <w:t xml:space="preserve"> colombianas con mínimo un (1) año de existencia</w:t>
      </w:r>
      <w:r w:rsidR="000F6B82">
        <w:rPr>
          <w:rFonts w:ascii="Arial" w:hAnsi="Arial" w:cs="Arial"/>
          <w:bCs/>
          <w:sz w:val="22"/>
          <w:szCs w:val="22"/>
          <w:lang w:val="es-ES_tradnl" w:eastAsia="es-ES"/>
        </w:rPr>
        <w:t xml:space="preserve"> – artículo </w:t>
      </w:r>
      <w:r w:rsidR="000F6B82" w:rsidRPr="00EE341D">
        <w:rPr>
          <w:rFonts w:ascii="Arial" w:hAnsi="Arial" w:cs="Arial"/>
          <w:bCs/>
          <w:sz w:val="22"/>
          <w:szCs w:val="22"/>
          <w:lang w:eastAsia="es-ES"/>
        </w:rPr>
        <w:t>2.2.1.2.4.2.2</w:t>
      </w:r>
      <w:r w:rsidR="000F6B82">
        <w:rPr>
          <w:rFonts w:ascii="Arial" w:hAnsi="Arial" w:cs="Arial"/>
          <w:bCs/>
          <w:sz w:val="22"/>
          <w:szCs w:val="22"/>
          <w:lang w:eastAsia="es-ES"/>
        </w:rPr>
        <w:t>-</w:t>
      </w:r>
      <w:r w:rsidR="000F6B82">
        <w:rPr>
          <w:rFonts w:ascii="Arial" w:hAnsi="Arial" w:cs="Arial"/>
          <w:bCs/>
          <w:sz w:val="22"/>
          <w:szCs w:val="22"/>
          <w:lang w:val="es-ES_tradnl" w:eastAsia="es-ES"/>
        </w:rPr>
        <w:t xml:space="preserve"> </w:t>
      </w:r>
      <w:r w:rsidR="000F6B82" w:rsidRPr="00EE341D">
        <w:rPr>
          <w:rFonts w:ascii="Arial" w:hAnsi="Arial" w:cs="Arial"/>
          <w:bCs/>
          <w:sz w:val="22"/>
          <w:szCs w:val="22"/>
          <w:lang w:val="es-ES_tradnl" w:eastAsia="es-ES"/>
        </w:rPr>
        <w:t xml:space="preserve">, </w:t>
      </w:r>
      <w:proofErr w:type="spellStart"/>
      <w:r w:rsidR="000F6B82" w:rsidRPr="00EE341D">
        <w:rPr>
          <w:rFonts w:ascii="Arial" w:hAnsi="Arial" w:cs="Arial"/>
          <w:bCs/>
          <w:sz w:val="22"/>
          <w:szCs w:val="22"/>
          <w:lang w:val="es-ES_tradnl" w:eastAsia="es-ES"/>
        </w:rPr>
        <w:t>ii</w:t>
      </w:r>
      <w:proofErr w:type="spellEnd"/>
      <w:r w:rsidR="000F6B82" w:rsidRPr="00EE341D">
        <w:rPr>
          <w:rFonts w:ascii="Arial" w:hAnsi="Arial" w:cs="Arial"/>
          <w:bCs/>
          <w:sz w:val="22"/>
          <w:szCs w:val="22"/>
          <w:lang w:val="es-ES_tradnl" w:eastAsia="es-ES"/>
        </w:rPr>
        <w:t xml:space="preserve">) desarrolla las </w:t>
      </w:r>
      <w:r w:rsidR="000F6B82" w:rsidRPr="00EE341D">
        <w:rPr>
          <w:rFonts w:ascii="Arial" w:hAnsi="Arial" w:cs="Arial"/>
          <w:bCs/>
          <w:sz w:val="22"/>
          <w:szCs w:val="22"/>
          <w:lang w:eastAsia="es-ES"/>
        </w:rPr>
        <w:t xml:space="preserve">convocatorias limitadas a </w:t>
      </w:r>
      <w:proofErr w:type="spellStart"/>
      <w:r w:rsidR="000F6B82" w:rsidRPr="00EE341D">
        <w:rPr>
          <w:rFonts w:ascii="Arial" w:hAnsi="Arial" w:cs="Arial"/>
          <w:bCs/>
          <w:sz w:val="22"/>
          <w:szCs w:val="22"/>
          <w:lang w:eastAsia="es-ES"/>
        </w:rPr>
        <w:t>Mipyme</w:t>
      </w:r>
      <w:proofErr w:type="spellEnd"/>
      <w:r w:rsidR="000F6B82" w:rsidRPr="00EE341D">
        <w:rPr>
          <w:rFonts w:ascii="Arial" w:hAnsi="Arial" w:cs="Arial"/>
          <w:bCs/>
          <w:sz w:val="22"/>
          <w:szCs w:val="22"/>
          <w:lang w:eastAsia="es-ES"/>
        </w:rPr>
        <w:t xml:space="preserve"> colombianas que tengan domicilio en los departamentos o municipios en donde se va a ejecutar el contrato</w:t>
      </w:r>
      <w:r w:rsidR="000F6B82">
        <w:rPr>
          <w:rFonts w:ascii="Arial" w:hAnsi="Arial" w:cs="Arial"/>
          <w:bCs/>
          <w:sz w:val="22"/>
          <w:szCs w:val="22"/>
          <w:lang w:eastAsia="es-ES"/>
        </w:rPr>
        <w:t xml:space="preserve"> – artículo </w:t>
      </w:r>
      <w:r w:rsidR="000F6B82" w:rsidRPr="00EE341D">
        <w:rPr>
          <w:rFonts w:ascii="Arial" w:hAnsi="Arial" w:cs="Arial"/>
          <w:bCs/>
          <w:sz w:val="22"/>
          <w:szCs w:val="22"/>
          <w:lang w:eastAsia="es-ES"/>
        </w:rPr>
        <w:t>2.2.1.2.4.2.3.,</w:t>
      </w:r>
      <w:r w:rsidR="000F6B82" w:rsidRPr="00EE341D">
        <w:rPr>
          <w:rFonts w:ascii="Arial" w:hAnsi="Arial" w:cs="Arial"/>
          <w:bCs/>
          <w:sz w:val="22"/>
          <w:szCs w:val="22"/>
          <w:lang w:val="es-ES_tradnl" w:eastAsia="es-ES"/>
        </w:rPr>
        <w:t xml:space="preserve"> y </w:t>
      </w:r>
      <w:proofErr w:type="spellStart"/>
      <w:r w:rsidR="000F6B82" w:rsidRPr="00EE341D">
        <w:rPr>
          <w:rFonts w:ascii="Arial" w:hAnsi="Arial" w:cs="Arial"/>
          <w:bCs/>
          <w:sz w:val="22"/>
          <w:szCs w:val="22"/>
          <w:lang w:val="es-ES_tradnl" w:eastAsia="es-ES"/>
        </w:rPr>
        <w:t>iii</w:t>
      </w:r>
      <w:proofErr w:type="spellEnd"/>
      <w:r w:rsidR="000F6B82" w:rsidRPr="00EE341D">
        <w:rPr>
          <w:rFonts w:ascii="Arial" w:hAnsi="Arial" w:cs="Arial"/>
          <w:bCs/>
          <w:sz w:val="22"/>
          <w:szCs w:val="22"/>
          <w:lang w:val="es-ES_tradnl" w:eastAsia="es-ES"/>
        </w:rPr>
        <w:t xml:space="preserve">) </w:t>
      </w:r>
      <w:r w:rsidR="000F6B82" w:rsidRPr="00EE341D">
        <w:rPr>
          <w:rFonts w:ascii="Arial" w:hAnsi="Arial" w:cs="Arial"/>
          <w:bCs/>
          <w:sz w:val="22"/>
          <w:szCs w:val="22"/>
          <w:lang w:eastAsia="es-ES"/>
        </w:rPr>
        <w:t>regula la acreditación de requisitos para participar en convocatorias limitadas</w:t>
      </w:r>
      <w:r w:rsidR="000F6B82">
        <w:rPr>
          <w:rFonts w:ascii="Arial" w:hAnsi="Arial" w:cs="Arial"/>
          <w:bCs/>
          <w:sz w:val="22"/>
          <w:szCs w:val="22"/>
          <w:lang w:eastAsia="es-ES"/>
        </w:rPr>
        <w:t xml:space="preserve"> – artículo </w:t>
      </w:r>
      <w:r w:rsidR="000F6B82" w:rsidRPr="00EE341D">
        <w:rPr>
          <w:rFonts w:ascii="Arial" w:hAnsi="Arial" w:cs="Arial"/>
          <w:bCs/>
          <w:sz w:val="22"/>
          <w:szCs w:val="22"/>
          <w:lang w:eastAsia="es-ES"/>
        </w:rPr>
        <w:t>2.2.1.2.4.2.4</w:t>
      </w:r>
      <w:r w:rsidR="000F6B82">
        <w:rPr>
          <w:rFonts w:ascii="Arial" w:hAnsi="Arial" w:cs="Arial"/>
          <w:bCs/>
          <w:sz w:val="22"/>
          <w:szCs w:val="22"/>
          <w:lang w:eastAsia="es-ES"/>
        </w:rPr>
        <w:t>-</w:t>
      </w:r>
    </w:p>
    <w:p w14:paraId="753C6C81" w14:textId="561FBCA9" w:rsidR="00E443D3" w:rsidRDefault="00E443D3" w:rsidP="00DC7C76">
      <w:pPr>
        <w:spacing w:before="120" w:line="276" w:lineRule="auto"/>
        <w:ind w:firstLine="709"/>
        <w:jc w:val="both"/>
        <w:rPr>
          <w:rFonts w:ascii="Arial" w:hAnsi="Arial" w:cs="Arial"/>
          <w:bCs/>
          <w:sz w:val="22"/>
          <w:szCs w:val="22"/>
          <w:lang w:val="es-ES_tradnl" w:eastAsia="es-ES"/>
        </w:rPr>
      </w:pPr>
      <w:r>
        <w:rPr>
          <w:rFonts w:ascii="Arial" w:hAnsi="Arial" w:cs="Arial"/>
          <w:bCs/>
          <w:sz w:val="22"/>
          <w:szCs w:val="22"/>
          <w:lang w:val="es-ES_tradnl" w:eastAsia="es-ES"/>
        </w:rPr>
        <w:t>De esta manera</w:t>
      </w:r>
      <w:r w:rsidR="00EC0B4E" w:rsidRPr="00EE341D">
        <w:rPr>
          <w:rFonts w:ascii="Arial" w:hAnsi="Arial" w:cs="Arial"/>
          <w:bCs/>
          <w:sz w:val="22"/>
          <w:szCs w:val="22"/>
          <w:lang w:val="es-ES_tradnl" w:eastAsia="es-ES"/>
        </w:rPr>
        <w:t>, el artículo 5 del Decreto 1860 de 2021, que modifica los artículos del Decreto 1082 de 2015 expuestos en el párrafo anterior, constituye la</w:t>
      </w:r>
      <w:r>
        <w:rPr>
          <w:rFonts w:ascii="Arial" w:hAnsi="Arial" w:cs="Arial"/>
          <w:bCs/>
          <w:sz w:val="22"/>
          <w:szCs w:val="22"/>
          <w:lang w:val="es-ES_tradnl" w:eastAsia="es-ES"/>
        </w:rPr>
        <w:t xml:space="preserve"> nueva</w:t>
      </w:r>
      <w:r w:rsidR="00EC0B4E" w:rsidRPr="00EE341D">
        <w:rPr>
          <w:rFonts w:ascii="Arial" w:hAnsi="Arial" w:cs="Arial"/>
          <w:bCs/>
          <w:sz w:val="22"/>
          <w:szCs w:val="22"/>
          <w:lang w:val="es-ES_tradnl" w:eastAsia="es-ES"/>
        </w:rPr>
        <w:t xml:space="preserve"> reglamentación del artículo 34 de la Ley 2069 de 2020, al desarrollar las reglas aplicables a las convocatorias limitadas a </w:t>
      </w:r>
      <w:proofErr w:type="spellStart"/>
      <w:r w:rsidR="00EC0B4E" w:rsidRPr="00EE341D">
        <w:rPr>
          <w:rFonts w:ascii="Arial" w:hAnsi="Arial" w:cs="Arial"/>
          <w:bCs/>
          <w:sz w:val="22"/>
          <w:szCs w:val="22"/>
          <w:lang w:val="es-ES_tradnl" w:eastAsia="es-ES"/>
        </w:rPr>
        <w:t>Mipyme</w:t>
      </w:r>
      <w:proofErr w:type="spellEnd"/>
      <w:r>
        <w:rPr>
          <w:rFonts w:ascii="Arial" w:hAnsi="Arial" w:cs="Arial"/>
          <w:bCs/>
          <w:sz w:val="22"/>
          <w:szCs w:val="22"/>
          <w:lang w:val="es-ES_tradnl" w:eastAsia="es-ES"/>
        </w:rPr>
        <w:t>,</w:t>
      </w:r>
      <w:r w:rsidR="0006661B">
        <w:rPr>
          <w:rFonts w:ascii="Arial" w:eastAsia="Calibri" w:hAnsi="Arial" w:cs="Arial"/>
          <w:sz w:val="22"/>
          <w:szCs w:val="22"/>
          <w:lang w:val="es-ES_tradnl"/>
        </w:rPr>
        <w:t xml:space="preserve"> </w:t>
      </w:r>
      <w:r w:rsidR="003B444E">
        <w:rPr>
          <w:rFonts w:ascii="Arial" w:hAnsi="Arial" w:cs="Arial"/>
          <w:bCs/>
          <w:sz w:val="22"/>
          <w:szCs w:val="22"/>
          <w:lang w:val="es-ES_tradnl" w:eastAsia="es-ES"/>
        </w:rPr>
        <w:t xml:space="preserve">disposición que entró a regir desde el pasado 24 de marzo de 2022, pues, como se indicó, </w:t>
      </w:r>
      <w:r w:rsidR="003B444E">
        <w:rPr>
          <w:rFonts w:ascii="Arial" w:eastAsia="Calibri" w:hAnsi="Arial" w:cs="Arial"/>
          <w:sz w:val="22"/>
          <w:szCs w:val="22"/>
          <w:lang w:val="es-ES_tradnl"/>
        </w:rPr>
        <w:t>el artículo 8 de dicho decreto sometió su vigencia al transcurso del periodo de 3 meses siguientes a su expedición.</w:t>
      </w:r>
    </w:p>
    <w:bookmarkEnd w:id="7"/>
    <w:p w14:paraId="5F38626F" w14:textId="57A60F94" w:rsidR="00EC0B4E" w:rsidRPr="00EE341D" w:rsidRDefault="006F38AD" w:rsidP="00EC0B4E">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En este contexto, e</w:t>
      </w:r>
      <w:r w:rsidR="00EC0B4E" w:rsidRPr="00EE341D">
        <w:rPr>
          <w:rFonts w:ascii="Arial" w:eastAsia="Arial" w:hAnsi="Arial" w:cs="Arial"/>
          <w:color w:val="000000"/>
          <w:sz w:val="22"/>
          <w:szCs w:val="22"/>
        </w:rPr>
        <w:t xml:space="preserve">l artículo 2.2.1.2.4.2.2. del Decreto 1082 de 2015 –modificado por el Decreto 1860 de 2021– establece los requisitos que se deben acreditar en las «convocatorias limitadas a </w:t>
      </w:r>
      <w:proofErr w:type="spellStart"/>
      <w:r w:rsidR="00EC0B4E" w:rsidRPr="00EE341D">
        <w:rPr>
          <w:rFonts w:ascii="Arial" w:eastAsia="Arial" w:hAnsi="Arial" w:cs="Arial"/>
          <w:color w:val="000000"/>
          <w:sz w:val="22"/>
          <w:szCs w:val="22"/>
        </w:rPr>
        <w:t>Mipymes</w:t>
      </w:r>
      <w:proofErr w:type="spellEnd"/>
      <w:r w:rsidR="00EC0B4E" w:rsidRPr="00EE341D">
        <w:rPr>
          <w:rFonts w:ascii="Arial" w:eastAsia="Arial" w:hAnsi="Arial" w:cs="Arial"/>
          <w:color w:val="000000"/>
          <w:sz w:val="22"/>
          <w:szCs w:val="22"/>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00EC0B4E" w:rsidRPr="00EE341D">
        <w:rPr>
          <w:rFonts w:ascii="Arial" w:eastAsia="Arial" w:hAnsi="Arial" w:cs="Arial"/>
          <w:color w:val="000000"/>
          <w:sz w:val="22"/>
          <w:szCs w:val="22"/>
        </w:rPr>
        <w:t>Mipyme</w:t>
      </w:r>
      <w:proofErr w:type="spellEnd"/>
      <w:r w:rsidR="00EC0B4E" w:rsidRPr="00EE341D">
        <w:rPr>
          <w:rFonts w:ascii="Arial" w:eastAsia="Arial" w:hAnsi="Arial" w:cs="Arial"/>
          <w:color w:val="000000"/>
          <w:sz w:val="22"/>
          <w:szCs w:val="22"/>
        </w:rPr>
        <w:t xml:space="preserve"> colombianas con mínimo un (1) año de existencia, siempre que se cumplan los requisitos señalados allí. Al respecto indica lo siguiente: </w:t>
      </w:r>
    </w:p>
    <w:p w14:paraId="1125327D" w14:textId="77777777" w:rsidR="00EC0B4E" w:rsidRPr="00EE341D" w:rsidRDefault="00EC0B4E" w:rsidP="00EC0B4E">
      <w:pPr>
        <w:spacing w:line="276" w:lineRule="auto"/>
        <w:ind w:firstLine="709"/>
        <w:jc w:val="both"/>
        <w:rPr>
          <w:rFonts w:ascii="Arial" w:eastAsia="Arial" w:hAnsi="Arial" w:cs="Arial"/>
          <w:color w:val="000000"/>
          <w:sz w:val="22"/>
          <w:szCs w:val="22"/>
        </w:rPr>
      </w:pPr>
    </w:p>
    <w:p w14:paraId="5B0EAA0B" w14:textId="77777777" w:rsidR="00EC0B4E" w:rsidRPr="00EE341D" w:rsidRDefault="00EC0B4E" w:rsidP="00EC0B4E">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lastRenderedPageBreak/>
        <w:t xml:space="preserve">Artículo 2.2.1.2.4.2.2. Convocatorias Imitadas a </w:t>
      </w:r>
      <w:proofErr w:type="spellStart"/>
      <w:r w:rsidRPr="00EE341D">
        <w:rPr>
          <w:rFonts w:ascii="Arial" w:eastAsia="Calibri" w:hAnsi="Arial" w:cs="Arial"/>
          <w:sz w:val="21"/>
          <w:szCs w:val="21"/>
          <w:lang w:val="es-ES_tradnl"/>
        </w:rPr>
        <w:t>Mipyme</w:t>
      </w:r>
      <w:proofErr w:type="spellEnd"/>
      <w:r w:rsidRPr="00EE341D">
        <w:rPr>
          <w:rFonts w:ascii="Arial" w:eastAsia="Calibri" w:hAnsi="Arial" w:cs="Arial"/>
          <w:sz w:val="21"/>
          <w:szCs w:val="21"/>
          <w:lang w:val="es-ES_tradnl"/>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EE341D">
        <w:rPr>
          <w:rFonts w:ascii="Arial" w:eastAsia="Calibri" w:hAnsi="Arial" w:cs="Arial"/>
          <w:sz w:val="21"/>
          <w:szCs w:val="21"/>
          <w:lang w:val="es-ES_tradnl"/>
        </w:rPr>
        <w:t>Mipyme</w:t>
      </w:r>
      <w:proofErr w:type="spellEnd"/>
      <w:r w:rsidRPr="00EE341D">
        <w:rPr>
          <w:rFonts w:ascii="Arial" w:eastAsia="Calibri" w:hAnsi="Arial" w:cs="Arial"/>
          <w:sz w:val="21"/>
          <w:szCs w:val="21"/>
          <w:lang w:val="es-ES_tradnl"/>
        </w:rPr>
        <w:t xml:space="preserve"> colombianas con mínimo un (1) año de existencia, cuando concurran los siguientes requisitos: </w:t>
      </w:r>
    </w:p>
    <w:p w14:paraId="5C9E5085" w14:textId="77777777" w:rsidR="00EC0B4E" w:rsidRPr="00EE341D" w:rsidRDefault="00EC0B4E" w:rsidP="00EC0B4E">
      <w:pPr>
        <w:ind w:left="709" w:right="709"/>
        <w:jc w:val="both"/>
        <w:rPr>
          <w:rFonts w:ascii="Arial" w:eastAsia="Calibri" w:hAnsi="Arial" w:cs="Arial"/>
          <w:sz w:val="21"/>
          <w:szCs w:val="21"/>
          <w:lang w:val="es-ES_tradnl"/>
        </w:rPr>
      </w:pPr>
    </w:p>
    <w:p w14:paraId="4083E711" w14:textId="77777777" w:rsidR="00EC0B4E" w:rsidRPr="00EE341D" w:rsidRDefault="00EC0B4E" w:rsidP="00EC0B4E">
      <w:pPr>
        <w:spacing w:after="120"/>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1F444E78" w14:textId="77777777" w:rsidR="00EC0B4E" w:rsidRPr="00EE341D" w:rsidRDefault="00EC0B4E" w:rsidP="00EC0B4E">
      <w:pPr>
        <w:spacing w:after="120"/>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 xml:space="preserve">2. Se hayan recibido solicitudes de por lo menos dos (2) </w:t>
      </w:r>
      <w:proofErr w:type="spellStart"/>
      <w:r w:rsidRPr="00EE341D">
        <w:rPr>
          <w:rFonts w:ascii="Arial" w:eastAsia="Calibri" w:hAnsi="Arial" w:cs="Arial"/>
          <w:sz w:val="21"/>
          <w:szCs w:val="21"/>
          <w:lang w:val="es-ES_tradnl"/>
        </w:rPr>
        <w:t>Mipyme</w:t>
      </w:r>
      <w:proofErr w:type="spellEnd"/>
      <w:r w:rsidRPr="00EE341D">
        <w:rPr>
          <w:rFonts w:ascii="Arial" w:eastAsia="Calibri" w:hAnsi="Arial" w:cs="Arial"/>
          <w:sz w:val="21"/>
          <w:szCs w:val="21"/>
          <w:lang w:val="es-ES_tradnl"/>
        </w:rPr>
        <w:t xml:space="preserve"> colombianas para limitar la convocatoria a </w:t>
      </w:r>
      <w:proofErr w:type="spellStart"/>
      <w:r w:rsidRPr="00EE341D">
        <w:rPr>
          <w:rFonts w:ascii="Arial" w:eastAsia="Calibri" w:hAnsi="Arial" w:cs="Arial"/>
          <w:sz w:val="21"/>
          <w:szCs w:val="21"/>
          <w:lang w:val="es-ES_tradnl"/>
        </w:rPr>
        <w:t>Mipyme</w:t>
      </w:r>
      <w:proofErr w:type="spellEnd"/>
      <w:r w:rsidRPr="00EE341D">
        <w:rPr>
          <w:rFonts w:ascii="Arial" w:eastAsia="Calibri" w:hAnsi="Arial" w:cs="Arial"/>
          <w:sz w:val="21"/>
          <w:szCs w:val="21"/>
          <w:lang w:val="es-ES_tradnl"/>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EE341D">
        <w:rPr>
          <w:rFonts w:ascii="Arial" w:eastAsia="Calibri" w:hAnsi="Arial" w:cs="Arial"/>
          <w:sz w:val="21"/>
          <w:szCs w:val="21"/>
          <w:lang w:val="es-ES_tradnl"/>
        </w:rPr>
        <w:t>Mipyme</w:t>
      </w:r>
      <w:proofErr w:type="spellEnd"/>
      <w:r w:rsidRPr="00EE341D">
        <w:rPr>
          <w:rFonts w:ascii="Arial" w:eastAsia="Calibri" w:hAnsi="Arial" w:cs="Arial"/>
          <w:sz w:val="21"/>
          <w:szCs w:val="21"/>
          <w:lang w:val="es-ES_tradnl"/>
        </w:rPr>
        <w:t>, cuyo objeto social les permita ejecutar el contrato relacionado con el proceso contractual.</w:t>
      </w:r>
    </w:p>
    <w:p w14:paraId="1A831C86" w14:textId="77777777" w:rsidR="00EC0B4E" w:rsidRPr="00EE341D" w:rsidRDefault="00EC0B4E" w:rsidP="00B27FED">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 xml:space="preserve">Parágrafo. Las cooperativas y demás entidades de economía solidaria, siempre que tengan la calidad de </w:t>
      </w:r>
      <w:proofErr w:type="spellStart"/>
      <w:r w:rsidRPr="00EE341D">
        <w:rPr>
          <w:rFonts w:ascii="Arial" w:eastAsia="Calibri" w:hAnsi="Arial" w:cs="Arial"/>
          <w:sz w:val="21"/>
          <w:szCs w:val="21"/>
          <w:lang w:val="es-ES_tradnl"/>
        </w:rPr>
        <w:t>Mipyme</w:t>
      </w:r>
      <w:proofErr w:type="spellEnd"/>
      <w:r w:rsidRPr="00EE341D">
        <w:rPr>
          <w:rFonts w:ascii="Arial" w:eastAsia="Calibri" w:hAnsi="Arial" w:cs="Arial"/>
          <w:sz w:val="21"/>
          <w:szCs w:val="21"/>
          <w:lang w:val="es-ES_tradnl"/>
        </w:rPr>
        <w:t>, podrán solicitar y participar en las convocatorias limitadas en las mismas condiciones dispuestas en el presente artículo.</w:t>
      </w:r>
    </w:p>
    <w:p w14:paraId="32EA0CBC" w14:textId="77777777" w:rsidR="00EC0B4E" w:rsidRPr="00EE341D" w:rsidRDefault="00EC0B4E" w:rsidP="0072432C">
      <w:pPr>
        <w:spacing w:line="276" w:lineRule="auto"/>
        <w:ind w:firstLine="709"/>
        <w:jc w:val="both"/>
        <w:rPr>
          <w:rFonts w:ascii="Arial" w:eastAsia="Arial" w:hAnsi="Arial" w:cs="Arial"/>
          <w:color w:val="000000"/>
          <w:sz w:val="22"/>
          <w:szCs w:val="22"/>
        </w:rPr>
      </w:pPr>
    </w:p>
    <w:p w14:paraId="4A340E06" w14:textId="48D1B626" w:rsidR="006F6B77" w:rsidRDefault="00EC0B4E" w:rsidP="00C94CDD">
      <w:pPr>
        <w:spacing w:line="276" w:lineRule="auto"/>
        <w:ind w:firstLine="709"/>
        <w:jc w:val="both"/>
        <w:rPr>
          <w:rFonts w:ascii="Arial" w:eastAsia="Arial" w:hAnsi="Arial" w:cs="Arial"/>
          <w:color w:val="000000"/>
          <w:sz w:val="22"/>
          <w:szCs w:val="22"/>
        </w:rPr>
      </w:pPr>
      <w:r w:rsidRPr="00EE341D">
        <w:rPr>
          <w:rFonts w:ascii="Arial" w:eastAsia="Arial" w:hAnsi="Arial" w:cs="Arial"/>
          <w:color w:val="000000"/>
          <w:sz w:val="22"/>
          <w:szCs w:val="22"/>
        </w:rPr>
        <w:t xml:space="preserve">Según se evidencia, el numeral primero limita cuantitativamente los procesos contractuales en los que se puede hacer esa convocatoria limitada a </w:t>
      </w:r>
      <w:proofErr w:type="spellStart"/>
      <w:r w:rsidRPr="00EE341D">
        <w:rPr>
          <w:rFonts w:ascii="Arial" w:eastAsia="Arial" w:hAnsi="Arial" w:cs="Arial"/>
          <w:color w:val="000000"/>
          <w:sz w:val="22"/>
          <w:szCs w:val="22"/>
        </w:rPr>
        <w:t>Mipyme</w:t>
      </w:r>
      <w:proofErr w:type="spellEnd"/>
      <w:r w:rsidRPr="00EE341D">
        <w:rPr>
          <w:rFonts w:ascii="Arial" w:eastAsia="Arial" w:hAnsi="Arial" w:cs="Arial"/>
          <w:color w:val="000000"/>
          <w:sz w:val="22"/>
          <w:szCs w:val="22"/>
        </w:rPr>
        <w:t>, en la medida en que el valor del proceso de contratación tendrá que ser «menor a ciento veinticinco mil dólares de los Estados Unidos de América</w:t>
      </w:r>
      <w:bookmarkStart w:id="8" w:name="_Hlk102563828"/>
      <w:r w:rsidRPr="00EE341D">
        <w:rPr>
          <w:rFonts w:ascii="Arial" w:eastAsia="Arial" w:hAnsi="Arial" w:cs="Arial"/>
          <w:color w:val="000000"/>
          <w:sz w:val="22"/>
          <w:szCs w:val="22"/>
        </w:rPr>
        <w:t>»</w:t>
      </w:r>
      <w:bookmarkEnd w:id="8"/>
      <w:r w:rsidRPr="00EE341D">
        <w:rPr>
          <w:rFonts w:ascii="Arial" w:eastAsia="Arial" w:hAnsi="Arial" w:cs="Arial"/>
          <w:color w:val="000000"/>
          <w:sz w:val="22"/>
          <w:szCs w:val="22"/>
        </w:rPr>
        <w:t>. Esta limitante, valga la pena aclarar, es establecida de acuerdo con la tasa que, para el efecto, determine cada dos años el Ministerio de Comercio, Industria y Turismo</w:t>
      </w:r>
      <w:r w:rsidRPr="00EE341D">
        <w:rPr>
          <w:rStyle w:val="Refdenotaalpie"/>
          <w:rFonts w:ascii="Arial" w:eastAsia="Arial" w:hAnsi="Arial" w:cs="Arial"/>
          <w:color w:val="000000"/>
          <w:sz w:val="22"/>
          <w:szCs w:val="22"/>
        </w:rPr>
        <w:footnoteReference w:id="13"/>
      </w:r>
      <w:r w:rsidRPr="00EE341D">
        <w:rPr>
          <w:rFonts w:ascii="Arial" w:eastAsia="Arial" w:hAnsi="Arial" w:cs="Arial"/>
          <w:color w:val="000000"/>
          <w:sz w:val="22"/>
          <w:szCs w:val="22"/>
        </w:rPr>
        <w:t xml:space="preserve">. Por su parte, el numeral segundo establece dos exigencias: por un lado, que al menos dos (2) </w:t>
      </w:r>
      <w:proofErr w:type="spellStart"/>
      <w:r w:rsidRPr="00EE341D">
        <w:rPr>
          <w:rFonts w:ascii="Arial" w:eastAsia="Arial" w:hAnsi="Arial" w:cs="Arial"/>
          <w:color w:val="000000"/>
          <w:sz w:val="22"/>
          <w:szCs w:val="22"/>
        </w:rPr>
        <w:t>Mipymes</w:t>
      </w:r>
      <w:proofErr w:type="spellEnd"/>
      <w:r w:rsidRPr="00EE341D">
        <w:rPr>
          <w:rFonts w:ascii="Arial" w:eastAsia="Arial" w:hAnsi="Arial" w:cs="Arial"/>
          <w:color w:val="000000"/>
          <w:sz w:val="22"/>
          <w:szCs w:val="22"/>
        </w:rPr>
        <w:t xml:space="preserve"> colombianas presenten a la entidad la solicitud de limitar el proceso contractual y, por el otro, que hagan la solicitud por lo menos un día (1) hábil antes de la expedición del acto administrativo de apertura </w:t>
      </w:r>
      <w:r w:rsidR="00C94CDD" w:rsidRPr="00C94CDD">
        <w:rPr>
          <w:rFonts w:ascii="Arial" w:eastAsia="Arial" w:hAnsi="Arial" w:cs="Arial"/>
          <w:color w:val="000000"/>
          <w:sz w:val="22"/>
          <w:szCs w:val="22"/>
          <w:lang w:val="es-ES_tradnl"/>
        </w:rPr>
        <w:t>o el que haga sus veces de acuerdo con la normativa aplicable a cada Proceso de Contratación</w:t>
      </w:r>
      <w:r w:rsidRPr="00EE341D">
        <w:rPr>
          <w:rFonts w:ascii="Arial" w:eastAsia="Arial" w:hAnsi="Arial" w:cs="Arial"/>
          <w:color w:val="000000"/>
          <w:sz w:val="22"/>
          <w:szCs w:val="22"/>
        </w:rPr>
        <w:t xml:space="preserve">. Además, la norma señala que, </w:t>
      </w:r>
      <w:r w:rsidRPr="00EE341D">
        <w:rPr>
          <w:rFonts w:ascii="Arial" w:eastAsia="Arial" w:hAnsi="Arial" w:cs="Arial"/>
          <w:color w:val="000000"/>
          <w:sz w:val="22"/>
          <w:szCs w:val="22"/>
          <w:lang w:val="es-ES_tradnl"/>
        </w:rPr>
        <w:t xml:space="preserve">tratándose de personas jurídicas, las solicitudes solo las podrán realizar </w:t>
      </w:r>
      <w:proofErr w:type="spellStart"/>
      <w:r w:rsidRPr="00EE341D">
        <w:rPr>
          <w:rFonts w:ascii="Arial" w:eastAsia="Arial" w:hAnsi="Arial" w:cs="Arial"/>
          <w:color w:val="000000"/>
          <w:sz w:val="22"/>
          <w:szCs w:val="22"/>
          <w:lang w:val="es-ES_tradnl"/>
        </w:rPr>
        <w:t>Mipyme</w:t>
      </w:r>
      <w:proofErr w:type="spellEnd"/>
      <w:r w:rsidRPr="00EE341D">
        <w:rPr>
          <w:rFonts w:ascii="Arial" w:eastAsia="Arial" w:hAnsi="Arial" w:cs="Arial"/>
          <w:color w:val="000000"/>
          <w:sz w:val="22"/>
          <w:szCs w:val="22"/>
          <w:lang w:val="es-ES_tradnl"/>
        </w:rPr>
        <w:t xml:space="preserve">, cuyo objeto social les permita ejecutar el contrato relacionado con el proceso contractual. Asimismo, este artículo incluye a las cooperativas y demás </w:t>
      </w:r>
      <w:r w:rsidRPr="00EE341D">
        <w:rPr>
          <w:rFonts w:ascii="Arial" w:eastAsia="Arial" w:hAnsi="Arial" w:cs="Arial"/>
          <w:color w:val="000000"/>
          <w:sz w:val="22"/>
          <w:szCs w:val="22"/>
          <w:lang w:val="es-ES_tradnl"/>
        </w:rPr>
        <w:lastRenderedPageBreak/>
        <w:t xml:space="preserve">entidades de economía solidaria dentro de los sujetos que pueden solicitar y participar en las convocatorias limitadas a </w:t>
      </w:r>
      <w:proofErr w:type="spellStart"/>
      <w:r w:rsidRPr="00EE341D">
        <w:rPr>
          <w:rFonts w:ascii="Arial" w:eastAsia="Arial" w:hAnsi="Arial" w:cs="Arial"/>
          <w:color w:val="000000"/>
          <w:sz w:val="22"/>
          <w:szCs w:val="22"/>
          <w:lang w:val="es-ES_tradnl"/>
        </w:rPr>
        <w:t>Mipyme</w:t>
      </w:r>
      <w:proofErr w:type="spellEnd"/>
      <w:r w:rsidRPr="00EE341D">
        <w:rPr>
          <w:rFonts w:ascii="Arial" w:eastAsia="Arial" w:hAnsi="Arial" w:cs="Arial"/>
          <w:color w:val="000000"/>
          <w:sz w:val="22"/>
          <w:szCs w:val="22"/>
          <w:lang w:val="es-ES_tradnl"/>
        </w:rPr>
        <w:t xml:space="preserve">, siempre que estas cumplan con las condiciones señaladas en el artículo. </w:t>
      </w:r>
    </w:p>
    <w:p w14:paraId="1741DE7C" w14:textId="24B15E28" w:rsidR="00FA6DF5" w:rsidRPr="00FA6DF5" w:rsidRDefault="00C47E4D" w:rsidP="0073253A">
      <w:pPr>
        <w:spacing w:before="120" w:line="276" w:lineRule="auto"/>
        <w:ind w:firstLine="709"/>
        <w:jc w:val="both"/>
        <w:rPr>
          <w:rFonts w:ascii="Arial" w:hAnsi="Arial" w:cs="Arial"/>
          <w:sz w:val="22"/>
          <w:lang w:val="es-ES" w:eastAsia="es-MX"/>
        </w:rPr>
      </w:pPr>
      <w:r>
        <w:rPr>
          <w:rFonts w:ascii="Arial" w:eastAsia="Arial" w:hAnsi="Arial" w:cs="Arial"/>
          <w:color w:val="000000"/>
          <w:sz w:val="22"/>
          <w:szCs w:val="22"/>
          <w:lang w:val="es-ES_tradnl"/>
        </w:rPr>
        <w:t>Así las cosas,</w:t>
      </w:r>
      <w:r w:rsidR="00FA6DF5" w:rsidRPr="00FA6DF5">
        <w:rPr>
          <w:rFonts w:ascii="Arial" w:hAnsi="Arial" w:cs="Arial"/>
          <w:sz w:val="22"/>
          <w:lang w:val="es-ES" w:eastAsia="es-MX"/>
        </w:rPr>
        <w:t xml:space="preserve"> desde el 24 de marzo de 2022 se encuentran vigentes las disposiciones del Decreto</w:t>
      </w:r>
      <w:r w:rsidR="0073253A">
        <w:rPr>
          <w:rFonts w:ascii="Arial" w:hAnsi="Arial" w:cs="Arial"/>
          <w:sz w:val="22"/>
          <w:lang w:val="es-ES" w:eastAsia="es-MX"/>
        </w:rPr>
        <w:t xml:space="preserve"> 1860 de 2021</w:t>
      </w:r>
      <w:r w:rsidR="00FA6DF5" w:rsidRPr="00FA6DF5">
        <w:rPr>
          <w:rFonts w:ascii="Arial" w:hAnsi="Arial" w:cs="Arial"/>
          <w:sz w:val="22"/>
          <w:lang w:val="es-ES" w:eastAsia="es-MX"/>
        </w:rPr>
        <w:t xml:space="preserve">, por lo que las entidades independientemente de su régimen de contratación, los patrimonios autónomos constituidos por entidades estatales y los particulares que ejecuten recursos públicos, deben limitar la convocatoria de los </w:t>
      </w:r>
      <w:r w:rsidR="0073253A">
        <w:rPr>
          <w:rFonts w:ascii="Arial" w:hAnsi="Arial" w:cs="Arial"/>
          <w:sz w:val="22"/>
          <w:lang w:val="es-ES" w:eastAsia="es-MX"/>
        </w:rPr>
        <w:t>p</w:t>
      </w:r>
      <w:r w:rsidR="00FA6DF5" w:rsidRPr="00FA6DF5">
        <w:rPr>
          <w:rFonts w:ascii="Arial" w:hAnsi="Arial" w:cs="Arial"/>
          <w:sz w:val="22"/>
          <w:lang w:val="es-ES" w:eastAsia="es-MX"/>
        </w:rPr>
        <w:t xml:space="preserve">rocesos de </w:t>
      </w:r>
      <w:r w:rsidR="0073253A">
        <w:rPr>
          <w:rFonts w:ascii="Arial" w:hAnsi="Arial" w:cs="Arial"/>
          <w:sz w:val="22"/>
          <w:lang w:val="es-ES" w:eastAsia="es-MX"/>
        </w:rPr>
        <w:t>c</w:t>
      </w:r>
      <w:r w:rsidR="00FA6DF5" w:rsidRPr="00FA6DF5">
        <w:rPr>
          <w:rFonts w:ascii="Arial" w:hAnsi="Arial" w:cs="Arial"/>
          <w:sz w:val="22"/>
          <w:lang w:val="es-ES" w:eastAsia="es-MX"/>
        </w:rPr>
        <w:t xml:space="preserve">ontratación con pluralidad de oferentes a las </w:t>
      </w:r>
      <w:proofErr w:type="spellStart"/>
      <w:r w:rsidR="00FA6DF5" w:rsidRPr="00FA6DF5">
        <w:rPr>
          <w:rFonts w:ascii="Arial" w:hAnsi="Arial" w:cs="Arial"/>
          <w:sz w:val="22"/>
          <w:lang w:val="es-ES" w:eastAsia="es-MX"/>
        </w:rPr>
        <w:t>Mipyme</w:t>
      </w:r>
      <w:proofErr w:type="spellEnd"/>
      <w:r w:rsidR="00FA6DF5" w:rsidRPr="00FA6DF5">
        <w:rPr>
          <w:rFonts w:ascii="Arial" w:hAnsi="Arial" w:cs="Arial"/>
          <w:sz w:val="22"/>
          <w:lang w:val="es-ES" w:eastAsia="es-MX"/>
        </w:rPr>
        <w:t xml:space="preserve"> colombianas con mínimo un (1) año de existen</w:t>
      </w:r>
      <w:r>
        <w:rPr>
          <w:rFonts w:ascii="Arial" w:hAnsi="Arial" w:cs="Arial"/>
          <w:sz w:val="22"/>
          <w:lang w:val="es-ES" w:eastAsia="es-MX"/>
        </w:rPr>
        <w:t>cia</w:t>
      </w:r>
      <w:r w:rsidR="003A532A">
        <w:rPr>
          <w:rFonts w:ascii="Arial" w:hAnsi="Arial" w:cs="Arial"/>
          <w:sz w:val="22"/>
          <w:lang w:val="es-ES" w:eastAsia="es-MX"/>
        </w:rPr>
        <w:t>,</w:t>
      </w:r>
      <w:r>
        <w:rPr>
          <w:rFonts w:ascii="Arial" w:hAnsi="Arial" w:cs="Arial"/>
          <w:sz w:val="22"/>
          <w:lang w:val="es-ES" w:eastAsia="es-MX"/>
        </w:rPr>
        <w:t xml:space="preserve"> </w:t>
      </w:r>
      <w:r w:rsidR="00FA6DF5" w:rsidRPr="00FA6DF5">
        <w:rPr>
          <w:rFonts w:ascii="Arial" w:hAnsi="Arial" w:cs="Arial"/>
          <w:sz w:val="22"/>
          <w:lang w:val="es-ES" w:eastAsia="es-MX"/>
        </w:rPr>
        <w:t>cuando se cumplan los requisitos previstos en el artículo 2.2.1.2.4.2.2 del Decreto 1082 de 2015</w:t>
      </w:r>
      <w:r w:rsidR="00FA6DF5">
        <w:rPr>
          <w:rFonts w:ascii="Arial" w:hAnsi="Arial" w:cs="Arial"/>
          <w:sz w:val="22"/>
          <w:lang w:val="es-ES" w:eastAsia="es-MX"/>
        </w:rPr>
        <w:t xml:space="preserve"> anteriormente señalado</w:t>
      </w:r>
      <w:r>
        <w:rPr>
          <w:rFonts w:ascii="Arial" w:hAnsi="Arial" w:cs="Arial"/>
          <w:sz w:val="22"/>
          <w:lang w:val="es-ES" w:eastAsia="es-MX"/>
        </w:rPr>
        <w:t>.</w:t>
      </w:r>
    </w:p>
    <w:p w14:paraId="4B5A6DAC" w14:textId="710A45E5" w:rsidR="00FA6DF5" w:rsidRDefault="00FA6DF5" w:rsidP="00700956">
      <w:pPr>
        <w:spacing w:line="276" w:lineRule="auto"/>
        <w:jc w:val="both"/>
        <w:rPr>
          <w:rFonts w:ascii="Arial" w:hAnsi="Arial" w:cs="Arial"/>
          <w:sz w:val="22"/>
          <w:lang w:eastAsia="es-MX"/>
        </w:rPr>
      </w:pPr>
    </w:p>
    <w:p w14:paraId="322844B9" w14:textId="25891FEA" w:rsidR="00FA6DF5" w:rsidRDefault="00FA6DF5" w:rsidP="00700956">
      <w:pPr>
        <w:spacing w:line="276" w:lineRule="auto"/>
        <w:jc w:val="both"/>
        <w:rPr>
          <w:rFonts w:ascii="Arial" w:eastAsia="Calibri" w:hAnsi="Arial" w:cs="Arial"/>
          <w:b/>
          <w:bCs/>
          <w:sz w:val="22"/>
          <w:szCs w:val="22"/>
        </w:rPr>
      </w:pPr>
      <w:r w:rsidRPr="00FA6DF5">
        <w:rPr>
          <w:rFonts w:ascii="Arial" w:hAnsi="Arial" w:cs="Arial"/>
          <w:b/>
          <w:bCs/>
          <w:sz w:val="22"/>
          <w:lang w:eastAsia="es-MX"/>
        </w:rPr>
        <w:t>2.4.</w:t>
      </w:r>
      <w:r>
        <w:rPr>
          <w:rFonts w:ascii="Arial" w:hAnsi="Arial" w:cs="Arial"/>
          <w:sz w:val="22"/>
          <w:lang w:eastAsia="es-MX"/>
        </w:rPr>
        <w:t xml:space="preserve"> </w:t>
      </w:r>
      <w:r w:rsidRPr="00FA6DF5">
        <w:rPr>
          <w:rFonts w:ascii="Arial" w:eastAsia="Calibri" w:hAnsi="Arial" w:cs="Arial"/>
          <w:b/>
          <w:bCs/>
          <w:sz w:val="22"/>
          <w:szCs w:val="22"/>
        </w:rPr>
        <w:t>Fomento a la ejecución de contratos estatales por parte de población en pobreza extrema, desplazados por la violencia, personas en proceso de reintegración o reincorporación y sujetos de especial protección constitucional</w:t>
      </w:r>
    </w:p>
    <w:p w14:paraId="189A1A98" w14:textId="77777777" w:rsidR="00FA6DF5" w:rsidRDefault="00FA6DF5" w:rsidP="00F66AB6">
      <w:pPr>
        <w:spacing w:line="276" w:lineRule="auto"/>
        <w:jc w:val="both"/>
        <w:rPr>
          <w:rFonts w:ascii="Arial" w:eastAsia="Calibri" w:hAnsi="Arial" w:cs="Arial"/>
          <w:b/>
          <w:bCs/>
          <w:sz w:val="22"/>
          <w:szCs w:val="22"/>
        </w:rPr>
      </w:pPr>
    </w:p>
    <w:p w14:paraId="6102E86A" w14:textId="533603C1" w:rsidR="00DD197A" w:rsidRDefault="00FA6DF5" w:rsidP="00B27FED">
      <w:pPr>
        <w:spacing w:line="276" w:lineRule="auto"/>
        <w:jc w:val="both"/>
        <w:rPr>
          <w:rFonts w:ascii="Arial" w:hAnsi="Arial" w:cs="Arial"/>
          <w:sz w:val="22"/>
          <w:lang w:eastAsia="es-MX"/>
        </w:rPr>
      </w:pPr>
      <w:r w:rsidRPr="00FA6DF5">
        <w:rPr>
          <w:rFonts w:ascii="Arial" w:hAnsi="Arial" w:cs="Arial"/>
          <w:bCs/>
          <w:sz w:val="22"/>
          <w:lang w:val="es-ES_tradnl" w:eastAsia="es-MX"/>
        </w:rPr>
        <w:t>El artículo</w:t>
      </w:r>
      <w:r w:rsidRPr="00FA6DF5">
        <w:rPr>
          <w:rFonts w:ascii="Arial" w:hAnsi="Arial" w:cs="Arial"/>
          <w:b/>
          <w:sz w:val="22"/>
          <w:lang w:val="es-ES_tradnl" w:eastAsia="es-MX"/>
        </w:rPr>
        <w:t xml:space="preserve"> </w:t>
      </w:r>
      <w:r w:rsidRPr="00FA6DF5">
        <w:rPr>
          <w:rFonts w:ascii="Arial" w:hAnsi="Arial" w:cs="Arial"/>
          <w:bCs/>
          <w:sz w:val="22"/>
          <w:lang w:val="es-ES_tradnl" w:eastAsia="es-MX"/>
        </w:rPr>
        <w:t>3</w:t>
      </w:r>
      <w:r w:rsidRPr="00FA6DF5">
        <w:rPr>
          <w:rFonts w:ascii="Arial" w:hAnsi="Arial" w:cs="Arial"/>
          <w:b/>
          <w:sz w:val="22"/>
          <w:lang w:val="es-ES_tradnl" w:eastAsia="es-MX"/>
        </w:rPr>
        <w:t xml:space="preserve"> </w:t>
      </w:r>
      <w:r w:rsidRPr="00FA6DF5">
        <w:rPr>
          <w:rFonts w:ascii="Arial" w:hAnsi="Arial" w:cs="Arial"/>
          <w:bCs/>
          <w:sz w:val="22"/>
          <w:lang w:val="es-ES_tradnl" w:eastAsia="es-MX"/>
        </w:rPr>
        <w:t xml:space="preserve">del Decreto 1860 de 2021 </w:t>
      </w:r>
      <w:r w:rsidR="00967AA2">
        <w:rPr>
          <w:rFonts w:ascii="Arial" w:hAnsi="Arial" w:cs="Arial"/>
          <w:bCs/>
          <w:sz w:val="22"/>
          <w:lang w:val="es-ES_tradnl" w:eastAsia="es-MX"/>
        </w:rPr>
        <w:t xml:space="preserve">que </w:t>
      </w:r>
      <w:r w:rsidRPr="00FA6DF5">
        <w:rPr>
          <w:rFonts w:ascii="Arial" w:hAnsi="Arial" w:cs="Arial"/>
          <w:bCs/>
          <w:sz w:val="22"/>
          <w:lang w:val="es-ES_tradnl" w:eastAsia="es-MX"/>
        </w:rPr>
        <w:t xml:space="preserve">adicionó el artículo </w:t>
      </w:r>
      <w:r w:rsidRPr="00FA6DF5">
        <w:rPr>
          <w:rFonts w:ascii="Arial" w:hAnsi="Arial" w:cs="Arial"/>
          <w:sz w:val="22"/>
          <w:lang w:eastAsia="es-MX"/>
        </w:rPr>
        <w:t>2.2.1.2.4.2.16. al Decreto 1082 de 2021</w:t>
      </w:r>
      <w:r w:rsidR="00967AA2">
        <w:rPr>
          <w:rFonts w:ascii="Arial" w:hAnsi="Arial" w:cs="Arial"/>
          <w:sz w:val="22"/>
          <w:lang w:eastAsia="es-MX"/>
        </w:rPr>
        <w:t xml:space="preserve">, </w:t>
      </w:r>
      <w:r w:rsidRPr="00FA6DF5">
        <w:rPr>
          <w:rFonts w:ascii="Arial" w:hAnsi="Arial" w:cs="Arial"/>
          <w:sz w:val="22"/>
          <w:lang w:eastAsia="es-MX"/>
        </w:rPr>
        <w:t xml:space="preserve">regula el fomento a la ejecución de contratos estatales por parte de población en pobreza extrema, desplazados por la violencia, personas en proceso de reintegración o reincorporación y sujetos de especial protección constitucional. </w:t>
      </w:r>
      <w:r w:rsidR="00DD197A">
        <w:rPr>
          <w:rFonts w:ascii="Arial" w:hAnsi="Arial" w:cs="Arial"/>
          <w:sz w:val="22"/>
          <w:lang w:eastAsia="es-MX"/>
        </w:rPr>
        <w:t xml:space="preserve">Esta norma prescribe lo siguiente: </w:t>
      </w:r>
    </w:p>
    <w:p w14:paraId="49543172" w14:textId="77777777" w:rsidR="00DD197A" w:rsidRDefault="00DD197A" w:rsidP="0040691D">
      <w:pPr>
        <w:spacing w:line="276" w:lineRule="auto"/>
        <w:jc w:val="both"/>
        <w:rPr>
          <w:rFonts w:ascii="Arial" w:hAnsi="Arial" w:cs="Arial"/>
          <w:sz w:val="22"/>
          <w:lang w:eastAsia="es-MX"/>
        </w:rPr>
      </w:pPr>
    </w:p>
    <w:p w14:paraId="1E9E34C0"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ARTÍCULO 2.2.1.2.4.2.16. Fomento a la ejecución de contratos estatales por parte de población en pobreza extrema, desplazados por la violencia, personas en proceso de reintegración o reincorporación y sujetos de especial protección constitucional. En los Procesos de Contratación, las Entidades Estatales indistintamente de su régimen de contratación, los patrimonios autónomos constituidos por Entidades Estatales y los particulares que ejecuten recursos públicos fomentarán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w:t>
      </w:r>
    </w:p>
    <w:p w14:paraId="365A78CD"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7D91C26"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La participación de los sujetos anteriormente mencionados en la ejecución del contrato se fomentará previo análisis de su oportunidad y conveniencia en los Documentos del Proceso, teniendo en cuenta el objeto contractual y el alcance de las obligaciones.</w:t>
      </w:r>
    </w:p>
    <w:p w14:paraId="6F19C92D"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B47A85A"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Esta provisión se establecerá en un porcentaje que no será superior al diez por ciento (10%) ni inferior al cinco por ciento (5%) de los bienes o servicios requeridos para la ejecución del contrato, de manera que no se ponga en riesgo su cumplimiento adecuado.</w:t>
      </w:r>
    </w:p>
    <w:p w14:paraId="171258D8"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lastRenderedPageBreak/>
        <w:t> </w:t>
      </w:r>
    </w:p>
    <w:p w14:paraId="35E70945"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Previo análisis de oportunidad y conveniencia, la Entidad Estatal incorporará esta obligación en la minuta del contrato del pliego de condiciones o documento equivalente, precisando las sanciones pecuniarias producto del incumplimiento injustificado de esta a través de las causales de multa que estime pertinentes.</w:t>
      </w:r>
    </w:p>
    <w:p w14:paraId="7B5B7BBF"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7FA74CDD"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El supervisor o el interventor, según el caso, realizará el seguimiento y verificará que las personas vinculadas al inicio y durante la ejecución del contrato pertenezcan a los grupos poblacionales enunciados anteriormente.</w:t>
      </w:r>
    </w:p>
    <w:p w14:paraId="503CAB80"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28C3906"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xml:space="preserve">PARÁGRAFO 1. Para los efectos previstos en el presente artículo, los sujetos de especial protección constitucional son aquellas personas que debido a su particular condición física, psicológica o social merecen una acción positiva estatal para efectos de lograr una igualdad real y efectiva. Dentro de esta categoría se encuentran, entre otros, las víctimas del conflicto armado interno, las mujeres cabeza de familia, los adultos mayores, las personas en condición de discapacidad, así como la población de las comunidades indígena, negra, afrocolombiana, raizal, palanquera, </w:t>
      </w:r>
      <w:proofErr w:type="spellStart"/>
      <w:r w:rsidRPr="00DD197A">
        <w:rPr>
          <w:rFonts w:ascii="Arial" w:eastAsia="Calibri" w:hAnsi="Arial" w:cs="Arial"/>
          <w:sz w:val="21"/>
          <w:szCs w:val="21"/>
          <w:lang w:val="es-ES_tradnl"/>
        </w:rPr>
        <w:t>Rrom</w:t>
      </w:r>
      <w:proofErr w:type="spellEnd"/>
      <w:r w:rsidRPr="00DD197A">
        <w:rPr>
          <w:rFonts w:ascii="Arial" w:eastAsia="Calibri" w:hAnsi="Arial" w:cs="Arial"/>
          <w:sz w:val="21"/>
          <w:szCs w:val="21"/>
          <w:lang w:val="es-ES_tradnl"/>
        </w:rPr>
        <w:t xml:space="preserve"> o gitanas.</w:t>
      </w:r>
    </w:p>
    <w:p w14:paraId="187467C2"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4BD4961"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w:t>
      </w:r>
    </w:p>
    <w:p w14:paraId="2CB4E827"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333AF8CF"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PARÁGRAFO 2.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p>
    <w:p w14:paraId="2E7ECFFB" w14:textId="77777777" w:rsidR="00057226" w:rsidRDefault="00057226" w:rsidP="00066FF0">
      <w:pPr>
        <w:spacing w:line="276" w:lineRule="auto"/>
        <w:ind w:firstLine="709"/>
        <w:jc w:val="both"/>
        <w:rPr>
          <w:rFonts w:ascii="Arial" w:hAnsi="Arial" w:cs="Arial"/>
          <w:sz w:val="22"/>
          <w:lang w:eastAsia="es-MX"/>
        </w:rPr>
      </w:pPr>
    </w:p>
    <w:p w14:paraId="1CB5E914" w14:textId="7ACDEC3F" w:rsidR="00746D72" w:rsidRDefault="00057226" w:rsidP="00066FF0">
      <w:pPr>
        <w:spacing w:line="276" w:lineRule="auto"/>
        <w:ind w:firstLine="709"/>
        <w:jc w:val="both"/>
        <w:rPr>
          <w:rFonts w:ascii="Arial" w:hAnsi="Arial" w:cs="Arial"/>
          <w:sz w:val="22"/>
          <w:lang w:eastAsia="es-MX"/>
        </w:rPr>
      </w:pPr>
      <w:r>
        <w:rPr>
          <w:rFonts w:ascii="Arial" w:hAnsi="Arial" w:cs="Arial"/>
          <w:sz w:val="22"/>
          <w:lang w:eastAsia="es-MX"/>
        </w:rPr>
        <w:t xml:space="preserve">Conforme a lo anterior, se </w:t>
      </w:r>
      <w:r w:rsidR="00900440">
        <w:rPr>
          <w:rFonts w:ascii="Arial" w:hAnsi="Arial" w:cs="Arial"/>
          <w:sz w:val="22"/>
          <w:lang w:eastAsia="es-MX"/>
        </w:rPr>
        <w:t xml:space="preserve">establece </w:t>
      </w:r>
      <w:r w:rsidR="00DD197A">
        <w:rPr>
          <w:rFonts w:ascii="Arial" w:hAnsi="Arial" w:cs="Arial"/>
          <w:sz w:val="22"/>
          <w:lang w:eastAsia="es-MX"/>
        </w:rPr>
        <w:t xml:space="preserve">un mandato dirigido a </w:t>
      </w:r>
      <w:r w:rsidR="00DD197A" w:rsidRPr="00FA6DF5">
        <w:rPr>
          <w:rFonts w:ascii="Arial" w:hAnsi="Arial" w:cs="Arial"/>
          <w:sz w:val="22"/>
          <w:lang w:eastAsia="es-MX"/>
        </w:rPr>
        <w:t>la</w:t>
      </w:r>
      <w:r w:rsidR="00DD197A">
        <w:rPr>
          <w:rFonts w:ascii="Arial" w:hAnsi="Arial" w:cs="Arial"/>
          <w:sz w:val="22"/>
          <w:lang w:eastAsia="es-MX"/>
        </w:rPr>
        <w:t>s</w:t>
      </w:r>
      <w:r w:rsidR="00DD197A" w:rsidRPr="00FA6DF5">
        <w:rPr>
          <w:rFonts w:ascii="Arial" w:hAnsi="Arial" w:cs="Arial"/>
          <w:sz w:val="22"/>
          <w:lang w:eastAsia="es-MX"/>
        </w:rPr>
        <w:t xml:space="preserve"> entidades estatales indistintamente de su régimen de contratación, los patrimonios autónomos constituidos por </w:t>
      </w:r>
      <w:r w:rsidR="00DD197A">
        <w:rPr>
          <w:rFonts w:ascii="Arial" w:hAnsi="Arial" w:cs="Arial"/>
          <w:sz w:val="22"/>
          <w:lang w:eastAsia="es-MX"/>
        </w:rPr>
        <w:t>e</w:t>
      </w:r>
      <w:r w:rsidR="00DD197A" w:rsidRPr="00FA6DF5">
        <w:rPr>
          <w:rFonts w:ascii="Arial" w:hAnsi="Arial" w:cs="Arial"/>
          <w:sz w:val="22"/>
          <w:lang w:eastAsia="es-MX"/>
        </w:rPr>
        <w:t xml:space="preserve">ntidades </w:t>
      </w:r>
      <w:r w:rsidR="00DD197A">
        <w:rPr>
          <w:rFonts w:ascii="Arial" w:hAnsi="Arial" w:cs="Arial"/>
          <w:sz w:val="22"/>
          <w:lang w:eastAsia="es-MX"/>
        </w:rPr>
        <w:t>e</w:t>
      </w:r>
      <w:r w:rsidR="00DD197A" w:rsidRPr="00FA6DF5">
        <w:rPr>
          <w:rFonts w:ascii="Arial" w:hAnsi="Arial" w:cs="Arial"/>
          <w:sz w:val="22"/>
          <w:lang w:eastAsia="es-MX"/>
        </w:rPr>
        <w:t>statales y los particulares que ejecuten recursos públicos</w:t>
      </w:r>
      <w:r w:rsidR="00DD197A">
        <w:rPr>
          <w:rFonts w:ascii="Arial" w:hAnsi="Arial" w:cs="Arial"/>
          <w:sz w:val="22"/>
          <w:lang w:eastAsia="es-MX"/>
        </w:rPr>
        <w:t>, para que en sus procesos de contratación</w:t>
      </w:r>
      <w:r w:rsidR="00900440">
        <w:rPr>
          <w:rFonts w:ascii="Arial" w:hAnsi="Arial" w:cs="Arial"/>
          <w:sz w:val="22"/>
          <w:lang w:eastAsia="es-MX"/>
        </w:rPr>
        <w:t xml:space="preserve"> fomenten </w:t>
      </w:r>
      <w:r w:rsidR="00FA6DF5" w:rsidRPr="00FA6DF5">
        <w:rPr>
          <w:rFonts w:ascii="Arial" w:hAnsi="Arial" w:cs="Arial"/>
          <w:sz w:val="22"/>
          <w:lang w:eastAsia="es-MX"/>
        </w:rPr>
        <w:t>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w:t>
      </w:r>
      <w:r w:rsidR="008B23F7">
        <w:rPr>
          <w:rFonts w:ascii="Arial" w:hAnsi="Arial" w:cs="Arial"/>
          <w:sz w:val="22"/>
          <w:lang w:eastAsia="es-MX"/>
        </w:rPr>
        <w:t xml:space="preserve"> </w:t>
      </w:r>
      <w:r>
        <w:rPr>
          <w:rFonts w:ascii="Arial" w:hAnsi="Arial" w:cs="Arial"/>
          <w:sz w:val="22"/>
          <w:lang w:eastAsia="es-MX"/>
        </w:rPr>
        <w:t>Por tanto,</w:t>
      </w:r>
      <w:r w:rsidR="00066FF0">
        <w:rPr>
          <w:rFonts w:ascii="Arial" w:hAnsi="Arial" w:cs="Arial"/>
          <w:sz w:val="22"/>
          <w:lang w:eastAsia="es-MX"/>
        </w:rPr>
        <w:t xml:space="preserve"> esta disposición</w:t>
      </w:r>
      <w:r>
        <w:rPr>
          <w:rFonts w:ascii="Arial" w:hAnsi="Arial" w:cs="Arial"/>
          <w:sz w:val="22"/>
          <w:lang w:eastAsia="es-MX"/>
        </w:rPr>
        <w:t xml:space="preserve"> deberá aplicarse no solo p</w:t>
      </w:r>
      <w:r w:rsidR="00066FF0">
        <w:rPr>
          <w:rFonts w:ascii="Arial" w:hAnsi="Arial" w:cs="Arial"/>
          <w:sz w:val="22"/>
          <w:lang w:eastAsia="es-MX"/>
        </w:rPr>
        <w:t>or</w:t>
      </w:r>
      <w:r>
        <w:rPr>
          <w:rFonts w:ascii="Arial" w:hAnsi="Arial" w:cs="Arial"/>
          <w:sz w:val="22"/>
          <w:lang w:eastAsia="es-MX"/>
        </w:rPr>
        <w:t xml:space="preserve"> las entidades sometidas al EGCAP sino también p</w:t>
      </w:r>
      <w:r w:rsidR="00805185">
        <w:rPr>
          <w:rFonts w:ascii="Arial" w:hAnsi="Arial" w:cs="Arial"/>
          <w:sz w:val="22"/>
          <w:lang w:eastAsia="es-MX"/>
        </w:rPr>
        <w:t xml:space="preserve">or </w:t>
      </w:r>
      <w:r>
        <w:rPr>
          <w:rFonts w:ascii="Arial" w:hAnsi="Arial" w:cs="Arial"/>
          <w:sz w:val="22"/>
          <w:lang w:eastAsia="es-MX"/>
        </w:rPr>
        <w:t xml:space="preserve">aquellas entidades que cuenten con un régimen exceptuado de contratación, así como por </w:t>
      </w:r>
      <w:r w:rsidRPr="00057226">
        <w:rPr>
          <w:rFonts w:ascii="Arial" w:hAnsi="Arial" w:cs="Arial"/>
          <w:sz w:val="22"/>
          <w:lang w:eastAsia="es-MX"/>
        </w:rPr>
        <w:t>los patrimonios autónomos constituidos por entidades estatales y los particulares que ejecuten recursos públicos</w:t>
      </w:r>
      <w:r>
        <w:rPr>
          <w:rFonts w:ascii="Arial" w:hAnsi="Arial" w:cs="Arial"/>
          <w:sz w:val="22"/>
          <w:lang w:eastAsia="es-MX"/>
        </w:rPr>
        <w:t xml:space="preserve">. </w:t>
      </w:r>
    </w:p>
    <w:p w14:paraId="6DBB2EEA" w14:textId="1209211E" w:rsidR="00900440" w:rsidRDefault="00B355C9" w:rsidP="005810CB">
      <w:pPr>
        <w:spacing w:before="120" w:line="276" w:lineRule="auto"/>
        <w:ind w:firstLine="709"/>
        <w:jc w:val="both"/>
        <w:rPr>
          <w:rFonts w:ascii="Arial" w:hAnsi="Arial" w:cs="Arial"/>
          <w:sz w:val="22"/>
          <w:lang w:eastAsia="es-MX"/>
        </w:rPr>
      </w:pPr>
      <w:r>
        <w:rPr>
          <w:rFonts w:ascii="Arial" w:hAnsi="Arial" w:cs="Arial"/>
          <w:sz w:val="22"/>
          <w:lang w:eastAsia="es-MX"/>
        </w:rPr>
        <w:lastRenderedPageBreak/>
        <w:t>Al respecto, e</w:t>
      </w:r>
      <w:r w:rsidR="00066FF0">
        <w:rPr>
          <w:rFonts w:ascii="Arial" w:hAnsi="Arial" w:cs="Arial"/>
          <w:sz w:val="22"/>
          <w:lang w:eastAsia="es-MX"/>
        </w:rPr>
        <w:t xml:space="preserve">n la memoria justificativa del </w:t>
      </w:r>
      <w:r>
        <w:rPr>
          <w:rFonts w:ascii="Arial" w:hAnsi="Arial" w:cs="Arial"/>
          <w:sz w:val="22"/>
          <w:lang w:eastAsia="es-MX"/>
        </w:rPr>
        <w:t xml:space="preserve">proyecto que se convirtió en el </w:t>
      </w:r>
      <w:r w:rsidR="00066FF0">
        <w:rPr>
          <w:rFonts w:ascii="Arial" w:hAnsi="Arial" w:cs="Arial"/>
          <w:sz w:val="22"/>
          <w:lang w:eastAsia="es-MX"/>
        </w:rPr>
        <w:t>Decreto 1860 de 2021</w:t>
      </w:r>
      <w:r w:rsidR="006B5B75">
        <w:rPr>
          <w:rFonts w:ascii="Arial" w:hAnsi="Arial" w:cs="Arial"/>
          <w:sz w:val="22"/>
          <w:lang w:eastAsia="es-MX"/>
        </w:rPr>
        <w:t xml:space="preserve"> </w:t>
      </w:r>
      <w:r w:rsidR="005810CB">
        <w:rPr>
          <w:rFonts w:ascii="Arial" w:hAnsi="Arial" w:cs="Arial"/>
          <w:sz w:val="22"/>
          <w:lang w:eastAsia="es-MX"/>
        </w:rPr>
        <w:t xml:space="preserve">se </w:t>
      </w:r>
      <w:r w:rsidR="00F47CF7">
        <w:rPr>
          <w:rFonts w:ascii="Arial" w:hAnsi="Arial" w:cs="Arial"/>
          <w:sz w:val="22"/>
          <w:lang w:eastAsia="es-MX"/>
        </w:rPr>
        <w:t xml:space="preserve">indica </w:t>
      </w:r>
      <w:r w:rsidR="005810CB">
        <w:rPr>
          <w:rFonts w:ascii="Arial" w:hAnsi="Arial" w:cs="Arial"/>
          <w:sz w:val="22"/>
          <w:lang w:eastAsia="es-MX"/>
        </w:rPr>
        <w:t>que</w:t>
      </w:r>
      <w:r w:rsidR="00066FF0" w:rsidRPr="00066FF0">
        <w:t xml:space="preserve"> </w:t>
      </w:r>
      <w:r w:rsidR="00066FF0" w:rsidRPr="00066FF0">
        <w:rPr>
          <w:rFonts w:ascii="Arial" w:hAnsi="Arial" w:cs="Arial"/>
          <w:sz w:val="22"/>
          <w:lang w:eastAsia="es-MX"/>
        </w:rPr>
        <w:t>con</w:t>
      </w:r>
      <w:r w:rsidR="005810CB">
        <w:rPr>
          <w:rFonts w:ascii="Arial" w:hAnsi="Arial" w:cs="Arial"/>
          <w:sz w:val="22"/>
          <w:lang w:eastAsia="es-MX"/>
        </w:rPr>
        <w:t xml:space="preserve"> este mecanismo </w:t>
      </w:r>
      <w:r w:rsidR="005810CB" w:rsidRPr="00EE341D">
        <w:rPr>
          <w:rFonts w:ascii="Arial" w:eastAsia="Arial" w:hAnsi="Arial" w:cs="Arial"/>
          <w:color w:val="000000"/>
          <w:sz w:val="22"/>
          <w:szCs w:val="22"/>
        </w:rPr>
        <w:t>«</w:t>
      </w:r>
      <w:r w:rsidR="00066FF0" w:rsidRPr="00066FF0">
        <w:rPr>
          <w:rFonts w:ascii="Arial" w:hAnsi="Arial" w:cs="Arial"/>
          <w:sz w:val="22"/>
          <w:lang w:eastAsia="es-MX"/>
        </w:rPr>
        <w:t>se incentiva la provisión de bienes y servicios por parte de sujetos de especial protección constitucional, utilizando los contratos estatales, y todos aquellos celebrados con cargo a recursos públicos, como un medio para llevar a cabo tal fin, lo cual se interpreta como una medida de acción afirmativa o un incentivo contractual</w:t>
      </w:r>
      <w:r w:rsidR="005810CB" w:rsidRPr="00EE341D">
        <w:rPr>
          <w:rFonts w:ascii="Arial" w:eastAsia="Arial" w:hAnsi="Arial" w:cs="Arial"/>
          <w:color w:val="000000"/>
          <w:sz w:val="22"/>
          <w:szCs w:val="22"/>
        </w:rPr>
        <w:t>»</w:t>
      </w:r>
      <w:r>
        <w:rPr>
          <w:rStyle w:val="Refdenotaalpie"/>
          <w:rFonts w:ascii="Arial" w:eastAsia="Arial" w:hAnsi="Arial" w:cs="Arial"/>
          <w:color w:val="000000"/>
          <w:sz w:val="22"/>
          <w:szCs w:val="22"/>
        </w:rPr>
        <w:footnoteReference w:id="14"/>
      </w:r>
      <w:r w:rsidR="00066FF0" w:rsidRPr="00066FF0">
        <w:rPr>
          <w:rFonts w:ascii="Arial" w:hAnsi="Arial" w:cs="Arial"/>
          <w:sz w:val="22"/>
          <w:lang w:eastAsia="es-MX"/>
        </w:rPr>
        <w:t>.</w:t>
      </w:r>
      <w:r>
        <w:rPr>
          <w:rFonts w:ascii="Arial" w:hAnsi="Arial" w:cs="Arial"/>
          <w:sz w:val="22"/>
          <w:lang w:eastAsia="es-MX"/>
        </w:rPr>
        <w:t xml:space="preserve"> </w:t>
      </w:r>
      <w:r w:rsidR="00F47CF7">
        <w:rPr>
          <w:rFonts w:ascii="Arial" w:hAnsi="Arial" w:cs="Arial"/>
          <w:sz w:val="22"/>
          <w:lang w:eastAsia="es-MX"/>
        </w:rPr>
        <w:t>De igual forma</w:t>
      </w:r>
      <w:r w:rsidR="00CE7D1F">
        <w:rPr>
          <w:rFonts w:ascii="Arial" w:hAnsi="Arial" w:cs="Arial"/>
          <w:sz w:val="22"/>
          <w:lang w:eastAsia="es-MX"/>
        </w:rPr>
        <w:t>, se</w:t>
      </w:r>
      <w:r w:rsidR="00F47CF7">
        <w:rPr>
          <w:rFonts w:ascii="Arial" w:hAnsi="Arial" w:cs="Arial"/>
          <w:sz w:val="22"/>
          <w:lang w:eastAsia="es-MX"/>
        </w:rPr>
        <w:t xml:space="preserve"> señala que este parámetro</w:t>
      </w:r>
      <w:r w:rsidR="00CE7D1F">
        <w:rPr>
          <w:rFonts w:ascii="Arial" w:hAnsi="Arial" w:cs="Arial"/>
          <w:sz w:val="22"/>
          <w:lang w:eastAsia="es-MX"/>
        </w:rPr>
        <w:t xml:space="preserve"> </w:t>
      </w:r>
      <w:r w:rsidR="00F47CF7" w:rsidRPr="00EE341D">
        <w:rPr>
          <w:rFonts w:ascii="Arial" w:eastAsia="Arial" w:hAnsi="Arial" w:cs="Arial"/>
          <w:color w:val="000000"/>
          <w:sz w:val="22"/>
          <w:szCs w:val="22"/>
        </w:rPr>
        <w:t>«</w:t>
      </w:r>
      <w:r w:rsidR="00CE7D1F" w:rsidRPr="00CE7D1F">
        <w:rPr>
          <w:rFonts w:ascii="Arial" w:hAnsi="Arial" w:cs="Arial"/>
          <w:sz w:val="22"/>
          <w:lang w:eastAsia="es-MX"/>
        </w:rPr>
        <w:t>debe asegurar de alguna manera que el mecanismo implementado no atente contra el cabal cumplimiento del contrato, de tal manera que el acatamiento del reglamento no devenga en el incumplimiento del contrato, ni la desmejora de la calidad requerida</w:t>
      </w:r>
      <w:r w:rsidR="00F47CF7" w:rsidRPr="00EE341D">
        <w:rPr>
          <w:rFonts w:ascii="Arial" w:eastAsia="Arial" w:hAnsi="Arial" w:cs="Arial"/>
          <w:color w:val="000000"/>
          <w:sz w:val="22"/>
          <w:szCs w:val="22"/>
        </w:rPr>
        <w:t>»</w:t>
      </w:r>
      <w:r w:rsidR="00CE7D1F" w:rsidRPr="00CE7D1F">
        <w:rPr>
          <w:rFonts w:ascii="Arial" w:hAnsi="Arial" w:cs="Arial"/>
          <w:sz w:val="22"/>
          <w:lang w:eastAsia="es-MX"/>
        </w:rPr>
        <w:t>.</w:t>
      </w:r>
    </w:p>
    <w:p w14:paraId="5A8DA18E" w14:textId="093124E4" w:rsidR="00920846" w:rsidRDefault="00FA6DF5" w:rsidP="00B542D7">
      <w:pPr>
        <w:spacing w:before="120" w:line="276" w:lineRule="auto"/>
        <w:ind w:firstLine="709"/>
        <w:jc w:val="both"/>
        <w:rPr>
          <w:rFonts w:ascii="Arial" w:hAnsi="Arial" w:cs="Arial"/>
          <w:sz w:val="22"/>
          <w:lang w:eastAsia="es-MX"/>
        </w:rPr>
      </w:pPr>
      <w:r w:rsidRPr="00FA6DF5">
        <w:rPr>
          <w:rFonts w:ascii="Arial" w:hAnsi="Arial" w:cs="Arial"/>
          <w:sz w:val="22"/>
          <w:lang w:eastAsia="es-MX"/>
        </w:rPr>
        <w:t xml:space="preserve">Para tales efectos, la norma </w:t>
      </w:r>
      <w:r w:rsidR="00F47CF7">
        <w:rPr>
          <w:rFonts w:ascii="Arial" w:hAnsi="Arial" w:cs="Arial"/>
          <w:sz w:val="22"/>
          <w:lang w:eastAsia="es-MX"/>
        </w:rPr>
        <w:t xml:space="preserve">establece unos límites </w:t>
      </w:r>
      <w:r w:rsidR="00A35180">
        <w:rPr>
          <w:rFonts w:ascii="Arial" w:hAnsi="Arial" w:cs="Arial"/>
          <w:sz w:val="22"/>
          <w:lang w:eastAsia="es-MX"/>
        </w:rPr>
        <w:t>dentro del cual</w:t>
      </w:r>
      <w:r w:rsidR="00F47CF7">
        <w:rPr>
          <w:rFonts w:ascii="Arial" w:hAnsi="Arial" w:cs="Arial"/>
          <w:sz w:val="22"/>
          <w:lang w:eastAsia="es-MX"/>
        </w:rPr>
        <w:t xml:space="preserve"> </w:t>
      </w:r>
      <w:r w:rsidR="00F47CF7" w:rsidRPr="00F47CF7">
        <w:rPr>
          <w:rFonts w:ascii="Arial" w:hAnsi="Arial" w:cs="Arial"/>
          <w:sz w:val="22"/>
          <w:lang w:eastAsia="es-MX"/>
        </w:rPr>
        <w:t xml:space="preserve">la entidad estatal </w:t>
      </w:r>
      <w:r w:rsidR="00A35180">
        <w:rPr>
          <w:rFonts w:ascii="Arial" w:hAnsi="Arial" w:cs="Arial"/>
          <w:sz w:val="22"/>
          <w:lang w:eastAsia="es-MX"/>
        </w:rPr>
        <w:t xml:space="preserve">fijará </w:t>
      </w:r>
      <w:r w:rsidR="00F47CF7" w:rsidRPr="00F47CF7">
        <w:rPr>
          <w:rFonts w:ascii="Arial" w:hAnsi="Arial" w:cs="Arial"/>
          <w:sz w:val="22"/>
          <w:lang w:eastAsia="es-MX"/>
        </w:rPr>
        <w:t>en el pliego de condiciones o documento equivalente un porcentaje que debe cumplir el contratista para garantizar la provisión de bienes y servicios por parte de</w:t>
      </w:r>
      <w:r w:rsidR="00A35180">
        <w:rPr>
          <w:rFonts w:ascii="Arial" w:hAnsi="Arial" w:cs="Arial"/>
          <w:sz w:val="22"/>
          <w:lang w:eastAsia="es-MX"/>
        </w:rPr>
        <w:t xml:space="preserve"> los sujetos mencionados. En tal sentido, </w:t>
      </w:r>
      <w:r w:rsidRPr="00FA6DF5">
        <w:rPr>
          <w:rFonts w:ascii="Arial" w:hAnsi="Arial" w:cs="Arial"/>
          <w:sz w:val="22"/>
          <w:lang w:eastAsia="es-MX"/>
        </w:rPr>
        <w:t>se establece</w:t>
      </w:r>
      <w:r w:rsidR="00A35180">
        <w:rPr>
          <w:rFonts w:ascii="Arial" w:hAnsi="Arial" w:cs="Arial"/>
          <w:sz w:val="22"/>
          <w:lang w:eastAsia="es-MX"/>
        </w:rPr>
        <w:t xml:space="preserve"> </w:t>
      </w:r>
      <w:r w:rsidRPr="00FA6DF5">
        <w:rPr>
          <w:rFonts w:ascii="Arial" w:hAnsi="Arial" w:cs="Arial"/>
          <w:sz w:val="22"/>
          <w:lang w:eastAsia="es-MX"/>
        </w:rPr>
        <w:t>un porcentaj</w:t>
      </w:r>
      <w:r w:rsidR="00A35180">
        <w:rPr>
          <w:rFonts w:ascii="Arial" w:hAnsi="Arial" w:cs="Arial"/>
          <w:sz w:val="22"/>
          <w:lang w:eastAsia="es-MX"/>
        </w:rPr>
        <w:t xml:space="preserve">e </w:t>
      </w:r>
      <w:r w:rsidRPr="00FA6DF5">
        <w:rPr>
          <w:rFonts w:ascii="Arial" w:hAnsi="Arial" w:cs="Arial"/>
          <w:sz w:val="22"/>
          <w:lang w:eastAsia="es-MX"/>
        </w:rPr>
        <w:t xml:space="preserve">que </w:t>
      </w:r>
      <w:r w:rsidR="00FC704A" w:rsidRPr="00EE341D">
        <w:rPr>
          <w:rFonts w:ascii="Arial" w:eastAsia="Arial" w:hAnsi="Arial" w:cs="Arial"/>
          <w:color w:val="000000"/>
          <w:sz w:val="22"/>
          <w:szCs w:val="22"/>
        </w:rPr>
        <w:t>«</w:t>
      </w:r>
      <w:r w:rsidRPr="00FA6DF5">
        <w:rPr>
          <w:rFonts w:ascii="Arial" w:hAnsi="Arial" w:cs="Arial"/>
          <w:sz w:val="22"/>
          <w:lang w:eastAsia="es-MX"/>
        </w:rPr>
        <w:t>no será superior al diez por ciento (10%) ni inferior al cinco por ciento (5%) de los bienes o servicios requeridos para la ejecución del contrato, de manera que no se ponga en riesgo su cumplimiento adecuado</w:t>
      </w:r>
      <w:r w:rsidR="00FC704A" w:rsidRPr="00EE341D">
        <w:rPr>
          <w:rFonts w:ascii="Arial" w:eastAsia="Arial" w:hAnsi="Arial" w:cs="Arial"/>
          <w:color w:val="000000"/>
          <w:sz w:val="22"/>
          <w:szCs w:val="22"/>
        </w:rPr>
        <w:t>»</w:t>
      </w:r>
      <w:r w:rsidR="00FC704A">
        <w:rPr>
          <w:rFonts w:ascii="Arial" w:eastAsia="Arial" w:hAnsi="Arial" w:cs="Arial"/>
          <w:color w:val="000000"/>
          <w:sz w:val="22"/>
          <w:szCs w:val="22"/>
        </w:rPr>
        <w:t>.</w:t>
      </w:r>
      <w:r w:rsidRPr="00FA6DF5">
        <w:rPr>
          <w:rFonts w:ascii="Arial" w:hAnsi="Arial" w:cs="Arial"/>
          <w:sz w:val="22"/>
          <w:lang w:eastAsia="es-MX"/>
        </w:rPr>
        <w:t xml:space="preserve"> </w:t>
      </w:r>
      <w:r w:rsidR="00B542D7">
        <w:rPr>
          <w:rFonts w:ascii="Arial" w:hAnsi="Arial" w:cs="Arial"/>
          <w:sz w:val="22"/>
          <w:lang w:eastAsia="es-MX"/>
        </w:rPr>
        <w:t xml:space="preserve">Es decir, que la entidad determinará el porcentaje </w:t>
      </w:r>
      <w:r w:rsidR="00F46782">
        <w:rPr>
          <w:rFonts w:ascii="Arial" w:hAnsi="Arial" w:cs="Arial"/>
          <w:sz w:val="22"/>
          <w:lang w:eastAsia="es-MX"/>
        </w:rPr>
        <w:t xml:space="preserve">respectivo </w:t>
      </w:r>
      <w:r w:rsidR="00B542D7">
        <w:rPr>
          <w:rFonts w:ascii="Arial" w:hAnsi="Arial" w:cs="Arial"/>
          <w:sz w:val="22"/>
          <w:lang w:eastAsia="es-MX"/>
        </w:rPr>
        <w:t xml:space="preserve">siempre que no supere los </w:t>
      </w:r>
      <w:proofErr w:type="spellStart"/>
      <w:r w:rsidR="00B542D7">
        <w:rPr>
          <w:rFonts w:ascii="Arial" w:hAnsi="Arial" w:cs="Arial"/>
          <w:sz w:val="22"/>
          <w:lang w:eastAsia="es-MX"/>
        </w:rPr>
        <w:t>limites</w:t>
      </w:r>
      <w:proofErr w:type="spellEnd"/>
      <w:r w:rsidR="00B542D7">
        <w:rPr>
          <w:rFonts w:ascii="Arial" w:hAnsi="Arial" w:cs="Arial"/>
          <w:sz w:val="22"/>
          <w:lang w:eastAsia="es-MX"/>
        </w:rPr>
        <w:t xml:space="preserve"> establecidos. </w:t>
      </w:r>
      <w:r w:rsidRPr="00FA6DF5">
        <w:rPr>
          <w:rFonts w:ascii="Arial" w:hAnsi="Arial" w:cs="Arial"/>
          <w:sz w:val="22"/>
          <w:lang w:eastAsia="es-MX"/>
        </w:rPr>
        <w:t>Además, la entidad incorporará esta obligación en la minuta del contrato del pliego de condiciones o documento equivalente, precisando las sanciones pecuniarias producto del incumplimiento injustificado de esta a través de las causales de multa que estime pertinentes.</w:t>
      </w:r>
      <w:r w:rsidR="00920846" w:rsidRPr="00920846">
        <w:rPr>
          <w:rFonts w:ascii="Arial" w:hAnsi="Arial" w:cs="Arial"/>
          <w:sz w:val="22"/>
          <w:lang w:eastAsia="es-MX"/>
        </w:rPr>
        <w:t xml:space="preserve"> </w:t>
      </w:r>
    </w:p>
    <w:p w14:paraId="2FC07309" w14:textId="22404C8A" w:rsidR="00E718C6" w:rsidRDefault="00920846" w:rsidP="00F92B02">
      <w:pPr>
        <w:spacing w:before="120" w:line="276" w:lineRule="auto"/>
        <w:ind w:firstLine="709"/>
        <w:jc w:val="both"/>
        <w:rPr>
          <w:rFonts w:ascii="Arial" w:hAnsi="Arial" w:cs="Arial"/>
          <w:sz w:val="22"/>
          <w:lang w:eastAsia="es-MX"/>
        </w:rPr>
      </w:pPr>
      <w:r>
        <w:rPr>
          <w:rFonts w:ascii="Arial" w:hAnsi="Arial" w:cs="Arial"/>
          <w:sz w:val="22"/>
          <w:lang w:eastAsia="es-MX"/>
        </w:rPr>
        <w:t>Sin embargo, debe precisarse que</w:t>
      </w:r>
      <w:r w:rsidRPr="00920846">
        <w:rPr>
          <w:rFonts w:ascii="Arial" w:eastAsia="Calibri" w:hAnsi="Arial" w:cs="Arial"/>
          <w:sz w:val="21"/>
          <w:szCs w:val="21"/>
          <w:lang w:val="es-ES_tradnl"/>
        </w:rPr>
        <w:t xml:space="preserve"> </w:t>
      </w:r>
      <w:r>
        <w:rPr>
          <w:rFonts w:ascii="Arial" w:hAnsi="Arial" w:cs="Arial"/>
          <w:sz w:val="22"/>
          <w:lang w:val="es-ES_tradnl" w:eastAsia="es-MX"/>
        </w:rPr>
        <w:t>l</w:t>
      </w:r>
      <w:r w:rsidRPr="00DD197A">
        <w:rPr>
          <w:rFonts w:ascii="Arial" w:hAnsi="Arial" w:cs="Arial"/>
          <w:sz w:val="22"/>
          <w:lang w:val="es-ES_tradnl" w:eastAsia="es-MX"/>
        </w:rPr>
        <w:t>a participación de los sujetos anteriormente mencionados en la ejecución del contrato</w:t>
      </w:r>
      <w:r w:rsidR="0014381A">
        <w:rPr>
          <w:rFonts w:ascii="Arial" w:hAnsi="Arial" w:cs="Arial"/>
          <w:sz w:val="22"/>
          <w:lang w:val="es-ES_tradnl" w:eastAsia="es-MX"/>
        </w:rPr>
        <w:t xml:space="preserve"> y la incorporación </w:t>
      </w:r>
      <w:r w:rsidR="00967AA2">
        <w:rPr>
          <w:rFonts w:ascii="Arial" w:hAnsi="Arial" w:cs="Arial"/>
          <w:sz w:val="22"/>
          <w:lang w:val="es-ES_tradnl" w:eastAsia="es-MX"/>
        </w:rPr>
        <w:t xml:space="preserve">de esta </w:t>
      </w:r>
      <w:r w:rsidR="0014381A">
        <w:rPr>
          <w:rFonts w:ascii="Arial" w:hAnsi="Arial" w:cs="Arial"/>
          <w:sz w:val="22"/>
          <w:lang w:val="es-ES_tradnl" w:eastAsia="es-MX"/>
        </w:rPr>
        <w:t>obligaci</w:t>
      </w:r>
      <w:r w:rsidR="00967AA2">
        <w:rPr>
          <w:rFonts w:ascii="Arial" w:hAnsi="Arial" w:cs="Arial"/>
          <w:sz w:val="22"/>
          <w:lang w:val="es-ES_tradnl" w:eastAsia="es-MX"/>
        </w:rPr>
        <w:t>ón</w:t>
      </w:r>
      <w:r w:rsidR="0014381A">
        <w:rPr>
          <w:rFonts w:ascii="Arial" w:hAnsi="Arial" w:cs="Arial"/>
          <w:sz w:val="22"/>
          <w:lang w:val="es-ES_tradnl" w:eastAsia="es-MX"/>
        </w:rPr>
        <w:t xml:space="preserve"> en la minuta </w:t>
      </w:r>
      <w:r w:rsidR="00967AA2">
        <w:rPr>
          <w:rFonts w:ascii="Arial" w:hAnsi="Arial" w:cs="Arial"/>
          <w:sz w:val="22"/>
          <w:lang w:val="es-ES_tradnl" w:eastAsia="es-MX"/>
        </w:rPr>
        <w:t xml:space="preserve">del contrato del pliego de condiciones </w:t>
      </w:r>
      <w:r w:rsidRPr="00DD197A">
        <w:rPr>
          <w:rFonts w:ascii="Arial" w:hAnsi="Arial" w:cs="Arial"/>
          <w:sz w:val="22"/>
          <w:lang w:val="es-ES_tradnl" w:eastAsia="es-MX"/>
        </w:rPr>
        <w:t xml:space="preserve">se </w:t>
      </w:r>
      <w:r w:rsidR="0014381A">
        <w:rPr>
          <w:rFonts w:ascii="Arial" w:hAnsi="Arial" w:cs="Arial"/>
          <w:sz w:val="22"/>
          <w:lang w:val="es-ES_tradnl" w:eastAsia="es-MX"/>
        </w:rPr>
        <w:t>realizará</w:t>
      </w:r>
      <w:r w:rsidRPr="00DD197A">
        <w:rPr>
          <w:rFonts w:ascii="Arial" w:hAnsi="Arial" w:cs="Arial"/>
          <w:sz w:val="22"/>
          <w:lang w:val="es-ES_tradnl" w:eastAsia="es-MX"/>
        </w:rPr>
        <w:t xml:space="preserve"> previo análisis de oportunidad y conveniencia en los </w:t>
      </w:r>
      <w:r>
        <w:rPr>
          <w:rFonts w:ascii="Arial" w:hAnsi="Arial" w:cs="Arial"/>
          <w:sz w:val="22"/>
          <w:lang w:val="es-ES_tradnl" w:eastAsia="es-MX"/>
        </w:rPr>
        <w:t>d</w:t>
      </w:r>
      <w:r w:rsidRPr="00DD197A">
        <w:rPr>
          <w:rFonts w:ascii="Arial" w:hAnsi="Arial" w:cs="Arial"/>
          <w:sz w:val="22"/>
          <w:lang w:val="es-ES_tradnl" w:eastAsia="es-MX"/>
        </w:rPr>
        <w:t xml:space="preserve">ocumentos del </w:t>
      </w:r>
      <w:r>
        <w:rPr>
          <w:rFonts w:ascii="Arial" w:hAnsi="Arial" w:cs="Arial"/>
          <w:sz w:val="22"/>
          <w:lang w:val="es-ES_tradnl" w:eastAsia="es-MX"/>
        </w:rPr>
        <w:t>p</w:t>
      </w:r>
      <w:r w:rsidRPr="00DD197A">
        <w:rPr>
          <w:rFonts w:ascii="Arial" w:hAnsi="Arial" w:cs="Arial"/>
          <w:sz w:val="22"/>
          <w:lang w:val="es-ES_tradnl" w:eastAsia="es-MX"/>
        </w:rPr>
        <w:t>roceso, teniendo en cuenta el objeto contractual y el alcance de las obligaciones</w:t>
      </w:r>
      <w:r w:rsidR="0014381A">
        <w:rPr>
          <w:rFonts w:ascii="Arial" w:hAnsi="Arial" w:cs="Arial"/>
          <w:sz w:val="22"/>
          <w:lang w:val="es-ES_tradnl" w:eastAsia="es-MX"/>
        </w:rPr>
        <w:t xml:space="preserve">. </w:t>
      </w:r>
      <w:r w:rsidR="00B616B5">
        <w:rPr>
          <w:rFonts w:ascii="Arial" w:hAnsi="Arial" w:cs="Arial"/>
          <w:sz w:val="22"/>
          <w:lang w:eastAsia="es-MX"/>
        </w:rPr>
        <w:t>Así las cosas,</w:t>
      </w:r>
      <w:r w:rsidR="00B542D7">
        <w:rPr>
          <w:rFonts w:ascii="Arial" w:hAnsi="Arial" w:cs="Arial"/>
          <w:sz w:val="22"/>
          <w:lang w:eastAsia="es-MX"/>
        </w:rPr>
        <w:t xml:space="preserve"> en los procesos de contratación</w:t>
      </w:r>
      <w:r w:rsidR="00B616B5">
        <w:rPr>
          <w:rFonts w:ascii="Arial" w:hAnsi="Arial" w:cs="Arial"/>
          <w:sz w:val="22"/>
          <w:lang w:eastAsia="es-MX"/>
        </w:rPr>
        <w:t xml:space="preserve"> </w:t>
      </w:r>
      <w:r w:rsidR="005F15FC">
        <w:rPr>
          <w:rFonts w:ascii="Arial" w:hAnsi="Arial" w:cs="Arial"/>
          <w:sz w:val="22"/>
          <w:lang w:eastAsia="es-MX"/>
        </w:rPr>
        <w:t xml:space="preserve">la entidad deberá determinar el porcentaje que se incluirá para la provisión de bienes y servicios por parte de los sujetos mencionados en </w:t>
      </w:r>
      <w:r w:rsidR="005F15FC" w:rsidRPr="00FA6DF5">
        <w:rPr>
          <w:rFonts w:ascii="Arial" w:hAnsi="Arial" w:cs="Arial"/>
          <w:bCs/>
          <w:sz w:val="22"/>
          <w:lang w:val="es-ES_tradnl" w:eastAsia="es-MX"/>
        </w:rPr>
        <w:t xml:space="preserve">el artículo </w:t>
      </w:r>
      <w:r w:rsidR="005F15FC" w:rsidRPr="00FA6DF5">
        <w:rPr>
          <w:rFonts w:ascii="Arial" w:hAnsi="Arial" w:cs="Arial"/>
          <w:sz w:val="22"/>
          <w:lang w:eastAsia="es-MX"/>
        </w:rPr>
        <w:t xml:space="preserve">2.2.1.2.4.2.16. </w:t>
      </w:r>
      <w:r w:rsidR="005F15FC">
        <w:rPr>
          <w:rFonts w:ascii="Arial" w:hAnsi="Arial" w:cs="Arial"/>
          <w:sz w:val="22"/>
          <w:lang w:eastAsia="es-MX"/>
        </w:rPr>
        <w:t>del</w:t>
      </w:r>
      <w:r w:rsidR="005F15FC" w:rsidRPr="00FA6DF5">
        <w:rPr>
          <w:rFonts w:ascii="Arial" w:hAnsi="Arial" w:cs="Arial"/>
          <w:sz w:val="22"/>
          <w:lang w:eastAsia="es-MX"/>
        </w:rPr>
        <w:t xml:space="preserve"> Decreto 1082 de 2021</w:t>
      </w:r>
      <w:r w:rsidR="005F15FC">
        <w:rPr>
          <w:rFonts w:ascii="Arial" w:hAnsi="Arial" w:cs="Arial"/>
          <w:sz w:val="22"/>
          <w:lang w:eastAsia="es-MX"/>
        </w:rPr>
        <w:t xml:space="preserve">, el cual no podrá ser </w:t>
      </w:r>
      <w:r w:rsidR="005F15FC" w:rsidRPr="00FA6DF5">
        <w:rPr>
          <w:rFonts w:ascii="Arial" w:hAnsi="Arial" w:cs="Arial"/>
          <w:sz w:val="22"/>
          <w:lang w:eastAsia="es-MX"/>
        </w:rPr>
        <w:t>superior al diez por ciento (10%) ni inferior al cinco por ciento (5%) de los bienes o servicios requeridos para la ejecución del contrato</w:t>
      </w:r>
      <w:r w:rsidR="005F15FC">
        <w:rPr>
          <w:rFonts w:ascii="Arial" w:hAnsi="Arial" w:cs="Arial"/>
          <w:sz w:val="22"/>
          <w:lang w:eastAsia="es-MX"/>
        </w:rPr>
        <w:t xml:space="preserve">. </w:t>
      </w:r>
    </w:p>
    <w:p w14:paraId="46CE4435" w14:textId="61ED30DB" w:rsidR="00FC704A" w:rsidRDefault="005F15FC" w:rsidP="00182BCE">
      <w:pPr>
        <w:spacing w:before="120" w:line="276" w:lineRule="auto"/>
        <w:ind w:firstLine="709"/>
        <w:jc w:val="both"/>
        <w:rPr>
          <w:rFonts w:ascii="Arial" w:hAnsi="Arial" w:cs="Arial"/>
          <w:sz w:val="22"/>
          <w:lang w:eastAsia="es-MX"/>
        </w:rPr>
      </w:pPr>
      <w:r>
        <w:rPr>
          <w:rFonts w:ascii="Arial" w:hAnsi="Arial" w:cs="Arial"/>
          <w:sz w:val="22"/>
          <w:lang w:eastAsia="es-MX"/>
        </w:rPr>
        <w:t>En cuanto a los documentos tipo</w:t>
      </w:r>
      <w:r w:rsidR="00E718C6" w:rsidRPr="00E718C6">
        <w:rPr>
          <w:rFonts w:ascii="Arial" w:hAnsi="Arial" w:cs="Arial"/>
          <w:sz w:val="22"/>
          <w:lang w:eastAsia="es-MX"/>
        </w:rPr>
        <w:t xml:space="preserve">, el parágrafo 2 del artículo 2.2.1.2.4.2.16 del Decreto 1082 de 2015 </w:t>
      </w:r>
      <w:r>
        <w:rPr>
          <w:rFonts w:ascii="Arial" w:hAnsi="Arial" w:cs="Arial"/>
          <w:sz w:val="22"/>
          <w:lang w:eastAsia="es-MX"/>
        </w:rPr>
        <w:t>señala</w:t>
      </w:r>
      <w:r w:rsidR="00E718C6" w:rsidRPr="00E718C6">
        <w:rPr>
          <w:rFonts w:ascii="Arial" w:hAnsi="Arial" w:cs="Arial"/>
          <w:sz w:val="22"/>
          <w:lang w:eastAsia="es-MX"/>
        </w:rPr>
        <w:t xml:space="preserve"> que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r w:rsidR="00FA6DF5" w:rsidRPr="00FA6DF5">
        <w:rPr>
          <w:rFonts w:ascii="Arial" w:hAnsi="Arial" w:cs="Arial"/>
          <w:sz w:val="22"/>
          <w:lang w:eastAsia="es-MX"/>
        </w:rPr>
        <w:t>.</w:t>
      </w:r>
    </w:p>
    <w:p w14:paraId="206426CF" w14:textId="17C50195" w:rsidR="00FA6DF5" w:rsidRDefault="00182BCE" w:rsidP="00182BCE">
      <w:pPr>
        <w:spacing w:before="120" w:line="276" w:lineRule="auto"/>
        <w:ind w:firstLine="709"/>
        <w:jc w:val="both"/>
        <w:rPr>
          <w:rFonts w:ascii="Arial" w:hAnsi="Arial" w:cs="Arial"/>
          <w:sz w:val="22"/>
          <w:lang w:eastAsia="es-MX"/>
        </w:rPr>
      </w:pPr>
      <w:r>
        <w:rPr>
          <w:rFonts w:ascii="Arial" w:hAnsi="Arial" w:cs="Arial"/>
          <w:bCs/>
          <w:sz w:val="22"/>
          <w:lang w:val="es-ES_tradnl" w:eastAsia="es-MX"/>
        </w:rPr>
        <w:lastRenderedPageBreak/>
        <w:t>Sobre el particular</w:t>
      </w:r>
      <w:r w:rsidR="00FA6DF5" w:rsidRPr="00FA6DF5">
        <w:rPr>
          <w:rFonts w:ascii="Arial" w:hAnsi="Arial" w:cs="Arial"/>
          <w:bCs/>
          <w:sz w:val="22"/>
          <w:lang w:val="es-ES_tradnl" w:eastAsia="es-MX"/>
        </w:rPr>
        <w:t xml:space="preserve">, es pertinente indicar </w:t>
      </w:r>
      <w:r w:rsidR="00FA6DF5" w:rsidRPr="00FA6DF5">
        <w:rPr>
          <w:rFonts w:ascii="Arial" w:hAnsi="Arial" w:cs="Arial"/>
          <w:sz w:val="22"/>
          <w:lang w:val="es-ES" w:eastAsia="es-MX"/>
        </w:rPr>
        <w:t xml:space="preserve">el parágrafo del artículo 8 señala que </w:t>
      </w:r>
      <w:r w:rsidR="00FA6DF5" w:rsidRPr="00FA6DF5">
        <w:rPr>
          <w:rFonts w:ascii="Arial" w:hAnsi="Arial" w:cs="Arial"/>
          <w:bCs/>
          <w:sz w:val="22"/>
          <w:lang w:val="es-ES_tradnl" w:eastAsia="es-MX"/>
        </w:rPr>
        <w:t>«</w:t>
      </w:r>
      <w:r w:rsidR="00FA6DF5" w:rsidRPr="00FA6DF5">
        <w:rPr>
          <w:rFonts w:ascii="Arial" w:hAnsi="Arial" w:cs="Arial"/>
          <w:sz w:val="22"/>
          <w:lang w:val="es-ES" w:eastAsia="es-MX"/>
        </w:rPr>
        <w:t>L</w:t>
      </w:r>
      <w:r w:rsidR="00FA6DF5" w:rsidRPr="00FA6DF5">
        <w:rPr>
          <w:rFonts w:ascii="Arial" w:hAnsi="Arial" w:cs="Arial"/>
          <w:sz w:val="22"/>
          <w:lang w:eastAsia="es-MX"/>
        </w:rPr>
        <w:t>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r w:rsidR="00FA6DF5" w:rsidRPr="00FA6DF5">
        <w:rPr>
          <w:rFonts w:ascii="Arial" w:hAnsi="Arial" w:cs="Arial"/>
          <w:bCs/>
          <w:sz w:val="22"/>
          <w:lang w:val="es-ES_tradnl" w:eastAsia="es-MX"/>
        </w:rPr>
        <w:t>»</w:t>
      </w:r>
      <w:r w:rsidR="00FC704A">
        <w:rPr>
          <w:rFonts w:ascii="Arial" w:hAnsi="Arial" w:cs="Arial"/>
          <w:bCs/>
          <w:sz w:val="22"/>
          <w:lang w:val="es-ES_tradnl" w:eastAsia="es-MX"/>
        </w:rPr>
        <w:t>.</w:t>
      </w:r>
      <w:r>
        <w:rPr>
          <w:rFonts w:ascii="Arial" w:hAnsi="Arial" w:cs="Arial"/>
          <w:sz w:val="22"/>
          <w:lang w:eastAsia="es-MX"/>
        </w:rPr>
        <w:t xml:space="preserve"> </w:t>
      </w:r>
      <w:r w:rsidR="00FA6DF5" w:rsidRPr="00FA6DF5">
        <w:rPr>
          <w:rFonts w:ascii="Arial" w:hAnsi="Arial" w:cs="Arial"/>
          <w:bCs/>
          <w:sz w:val="22"/>
          <w:lang w:val="es-ES_tradnl" w:eastAsia="es-MX"/>
        </w:rPr>
        <w:t xml:space="preserve">En tal sentido, para efectos de los señalado en el parágrafo 2 del artículo </w:t>
      </w:r>
      <w:r w:rsidR="00FA6DF5" w:rsidRPr="00FA6DF5">
        <w:rPr>
          <w:rFonts w:ascii="Arial" w:hAnsi="Arial" w:cs="Arial"/>
          <w:sz w:val="22"/>
          <w:lang w:eastAsia="es-MX"/>
        </w:rPr>
        <w:t>2.2.1.2.4.2.16. del Decreto 1082 de 2015</w:t>
      </w:r>
      <w:r w:rsidR="00FA6DF5" w:rsidRPr="00FA6DF5">
        <w:rPr>
          <w:rFonts w:ascii="Arial" w:hAnsi="Arial" w:cs="Arial"/>
          <w:sz w:val="22"/>
          <w:lang w:val="es-ES_tradnl" w:eastAsia="es-MX"/>
        </w:rPr>
        <w:t xml:space="preserve"> </w:t>
      </w:r>
      <w:r w:rsidR="00FA6DF5" w:rsidRPr="00FA6DF5">
        <w:rPr>
          <w:rFonts w:ascii="Arial" w:hAnsi="Arial" w:cs="Arial"/>
          <w:sz w:val="22"/>
          <w:lang w:eastAsia="es-MX"/>
        </w:rPr>
        <w:t xml:space="preserve">la Agencia Nacional de Contratación Pública </w:t>
      </w:r>
      <w:r w:rsidR="001417C5">
        <w:rPr>
          <w:rFonts w:ascii="Arial" w:hAnsi="Arial" w:cs="Arial"/>
          <w:sz w:val="22"/>
          <w:lang w:eastAsia="es-MX"/>
        </w:rPr>
        <w:t>–</w:t>
      </w:r>
      <w:r w:rsidR="00FA6DF5" w:rsidRPr="00FA6DF5">
        <w:rPr>
          <w:rFonts w:ascii="Arial" w:hAnsi="Arial" w:cs="Arial"/>
          <w:sz w:val="22"/>
          <w:lang w:eastAsia="es-MX"/>
        </w:rPr>
        <w:t>Colombia Compra Eficiente cuenta con un plazo de 6 meses para la regulación de esta regla en los documentos tipo.</w:t>
      </w:r>
      <w:r>
        <w:rPr>
          <w:rFonts w:ascii="Arial" w:hAnsi="Arial" w:cs="Arial"/>
          <w:sz w:val="22"/>
          <w:lang w:eastAsia="es-MX"/>
        </w:rPr>
        <w:t xml:space="preserve"> Al respecto</w:t>
      </w:r>
      <w:r w:rsidR="00FA6DF5" w:rsidRPr="00FA6DF5">
        <w:rPr>
          <w:rFonts w:ascii="Arial" w:hAnsi="Arial" w:cs="Arial"/>
          <w:sz w:val="22"/>
          <w:lang w:eastAsia="es-MX"/>
        </w:rPr>
        <w:t>, se informa que actualmente esta Agencia se encuentra estructurando la resolución que modifica los documentos tipo con ocasión del Decreto 1860 de 2021 y adelantando las mesas de trabajo respectivas con las entidades técnicas</w:t>
      </w:r>
      <w:r>
        <w:rPr>
          <w:rFonts w:ascii="Arial" w:hAnsi="Arial" w:cs="Arial"/>
          <w:sz w:val="22"/>
          <w:lang w:eastAsia="es-MX"/>
        </w:rPr>
        <w:t xml:space="preserve"> y/o especializadas. </w:t>
      </w:r>
    </w:p>
    <w:p w14:paraId="4F507BFC" w14:textId="77777777" w:rsidR="00700956" w:rsidRPr="00A51520" w:rsidRDefault="00700956" w:rsidP="00700956">
      <w:pPr>
        <w:spacing w:line="276" w:lineRule="auto"/>
        <w:jc w:val="both"/>
        <w:rPr>
          <w:rFonts w:ascii="Arial" w:hAnsi="Arial" w:cs="Arial"/>
          <w:sz w:val="22"/>
          <w:lang w:eastAsia="es-MX"/>
        </w:rPr>
      </w:pPr>
    </w:p>
    <w:p w14:paraId="37CA9805" w14:textId="7D32B119" w:rsidR="00DD5B04" w:rsidRPr="00A51520" w:rsidRDefault="004177A6" w:rsidP="00510DE9">
      <w:pPr>
        <w:tabs>
          <w:tab w:val="left" w:pos="0"/>
        </w:tabs>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3</w:t>
      </w:r>
      <w:r w:rsidR="00B011A9" w:rsidRPr="00A51520">
        <w:rPr>
          <w:rFonts w:ascii="Arial" w:eastAsia="Calibri" w:hAnsi="Arial" w:cs="Arial"/>
          <w:b/>
          <w:color w:val="000000" w:themeColor="text1"/>
          <w:sz w:val="22"/>
          <w:lang w:val="es-ES_tradnl"/>
        </w:rPr>
        <w:t xml:space="preserve">. </w:t>
      </w:r>
      <w:r w:rsidR="00DD5B04" w:rsidRPr="00A51520">
        <w:rPr>
          <w:rFonts w:ascii="Arial" w:eastAsia="Calibri" w:hAnsi="Arial" w:cs="Arial"/>
          <w:b/>
          <w:color w:val="000000" w:themeColor="text1"/>
          <w:sz w:val="22"/>
          <w:lang w:val="es-ES_tradnl"/>
        </w:rPr>
        <w:t>Respuesta</w:t>
      </w:r>
    </w:p>
    <w:p w14:paraId="49375CFA" w14:textId="77777777" w:rsidR="00D633AC" w:rsidRPr="00A51520" w:rsidRDefault="00D633AC" w:rsidP="00B90E5C">
      <w:pPr>
        <w:spacing w:line="276" w:lineRule="auto"/>
        <w:jc w:val="both"/>
        <w:rPr>
          <w:rFonts w:ascii="Arial" w:hAnsi="Arial" w:cs="Arial"/>
          <w:color w:val="000000" w:themeColor="text1"/>
          <w:sz w:val="22"/>
          <w:lang w:val="es-ES_tradnl"/>
        </w:rPr>
      </w:pPr>
    </w:p>
    <w:p w14:paraId="66E9772D" w14:textId="6F3FA7F8" w:rsidR="0065218F" w:rsidRPr="0065218F" w:rsidRDefault="0065218F" w:rsidP="0065218F">
      <w:pPr>
        <w:ind w:left="709" w:right="474"/>
        <w:jc w:val="both"/>
        <w:rPr>
          <w:rFonts w:ascii="Arial" w:eastAsia="Calibri" w:hAnsi="Arial" w:cs="Arial"/>
          <w:bCs/>
          <w:sz w:val="21"/>
          <w:szCs w:val="21"/>
          <w:lang w:eastAsia="en-US"/>
        </w:rPr>
      </w:pPr>
      <w:r w:rsidRPr="0065218F">
        <w:rPr>
          <w:rFonts w:ascii="Arial" w:eastAsia="Calibri" w:hAnsi="Arial" w:cs="Arial"/>
          <w:bCs/>
          <w:sz w:val="21"/>
          <w:szCs w:val="21"/>
        </w:rPr>
        <w:t xml:space="preserve">«1. En el nuevo contenido del artículo 2.2.1.2.1.5.2. del Decreto 1860 de 2021 </w:t>
      </w:r>
      <w:r w:rsidRPr="0065218F">
        <w:rPr>
          <w:rFonts w:ascii="Arial" w:eastAsia="Calibri" w:hAnsi="Arial" w:cs="Arial"/>
          <w:bCs/>
          <w:i/>
          <w:iCs/>
          <w:sz w:val="21"/>
          <w:szCs w:val="21"/>
        </w:rPr>
        <w:t>Procedimiento para la contratación de mínima cuantía</w:t>
      </w:r>
      <w:r w:rsidRPr="0065218F">
        <w:rPr>
          <w:rFonts w:ascii="Arial" w:eastAsia="Calibri" w:hAnsi="Arial" w:cs="Arial"/>
          <w:bCs/>
          <w:sz w:val="21"/>
          <w:szCs w:val="21"/>
        </w:rPr>
        <w:t>, se habla de que la Entidad Estatal podrá exigir una capacidad financiera mínima cuando no hace el pago contra entrega a satisfacción de los bienes, obras o servicios. ¿En ese sentido, se puede solicitar en procesos de mínima cuantía el RUP a los proponentes, para la verificación de la capacidad financiera?</w:t>
      </w:r>
      <w:r w:rsidR="00067818">
        <w:rPr>
          <w:rFonts w:ascii="Arial" w:eastAsia="Calibri" w:hAnsi="Arial" w:cs="Arial"/>
          <w:bCs/>
          <w:sz w:val="21"/>
          <w:szCs w:val="21"/>
        </w:rPr>
        <w:t>».</w:t>
      </w:r>
      <w:r w:rsidRPr="0065218F">
        <w:rPr>
          <w:rFonts w:ascii="Arial" w:eastAsia="Calibri" w:hAnsi="Arial" w:cs="Arial"/>
          <w:bCs/>
          <w:sz w:val="21"/>
          <w:szCs w:val="21"/>
        </w:rPr>
        <w:t xml:space="preserve"> </w:t>
      </w:r>
    </w:p>
    <w:p w14:paraId="347547A6" w14:textId="77777777" w:rsidR="004250C6" w:rsidRDefault="004250C6" w:rsidP="004250C6">
      <w:pPr>
        <w:spacing w:line="276" w:lineRule="auto"/>
        <w:jc w:val="both"/>
        <w:rPr>
          <w:rFonts w:ascii="Arial" w:eastAsia="Calibri" w:hAnsi="Arial" w:cs="Arial"/>
          <w:bCs/>
          <w:sz w:val="21"/>
          <w:szCs w:val="21"/>
        </w:rPr>
      </w:pPr>
    </w:p>
    <w:p w14:paraId="4DCE66F0" w14:textId="7BDA747C" w:rsidR="0072432C" w:rsidRDefault="004250C6" w:rsidP="00A83760">
      <w:pPr>
        <w:spacing w:line="276" w:lineRule="auto"/>
        <w:jc w:val="both"/>
        <w:rPr>
          <w:rFonts w:ascii="Arial" w:eastAsia="Calibri" w:hAnsi="Arial" w:cs="Arial"/>
          <w:color w:val="000000"/>
          <w:sz w:val="22"/>
          <w:lang w:val="es-ES"/>
        </w:rPr>
      </w:pPr>
      <w:r>
        <w:rPr>
          <w:rFonts w:ascii="Arial" w:eastAsia="Calibri" w:hAnsi="Arial" w:cs="Arial"/>
          <w:color w:val="000000" w:themeColor="text1"/>
          <w:sz w:val="22"/>
          <w:lang w:val="es-ES_tradnl"/>
        </w:rPr>
        <w:t>E</w:t>
      </w:r>
      <w:r w:rsidRPr="004250C6">
        <w:rPr>
          <w:rFonts w:ascii="Arial" w:eastAsia="Calibri" w:hAnsi="Arial" w:cs="Arial"/>
          <w:color w:val="000000" w:themeColor="text1"/>
          <w:sz w:val="22"/>
          <w:lang w:val="es-ES_tradnl"/>
        </w:rPr>
        <w:t>n el evento en que la entidad determine la necesidad de exigir capacidad financiera en un proceso de mínima cuantía</w:t>
      </w:r>
      <w:r>
        <w:rPr>
          <w:rFonts w:ascii="Arial" w:eastAsia="Calibri" w:hAnsi="Arial" w:cs="Arial"/>
          <w:color w:val="000000" w:themeColor="text1"/>
          <w:sz w:val="22"/>
          <w:lang w:val="es-ES_tradnl"/>
        </w:rPr>
        <w:t xml:space="preserve"> en los términos señalados en el numeral 2 del artículo </w:t>
      </w:r>
      <w:r w:rsidRPr="004250C6">
        <w:rPr>
          <w:rFonts w:ascii="Arial" w:eastAsia="Calibri" w:hAnsi="Arial" w:cs="Arial"/>
          <w:bCs/>
          <w:color w:val="000000" w:themeColor="text1"/>
          <w:sz w:val="22"/>
        </w:rPr>
        <w:t>2.2.1.2.1.5.2</w:t>
      </w:r>
      <w:r>
        <w:rPr>
          <w:rFonts w:ascii="Arial" w:eastAsia="Calibri" w:hAnsi="Arial" w:cs="Arial"/>
          <w:color w:val="000000" w:themeColor="text1"/>
          <w:sz w:val="22"/>
          <w:lang w:val="es-ES_tradnl"/>
        </w:rPr>
        <w:t xml:space="preserve"> del Decreto 1082 de 2021</w:t>
      </w:r>
      <w:r w:rsidRPr="004250C6">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modificado por el Decreto 1860 de 2021,</w:t>
      </w:r>
      <w:r w:rsidRPr="004250C6">
        <w:rPr>
          <w:rFonts w:ascii="Arial" w:eastAsia="Calibri" w:hAnsi="Arial" w:cs="Arial"/>
          <w:color w:val="000000" w:themeColor="text1"/>
          <w:sz w:val="22"/>
          <w:lang w:val="es-ES_tradnl"/>
        </w:rPr>
        <w:t xml:space="preserve"> no podrá requerir la presentación del RUP para realizar dicha verificación. </w:t>
      </w:r>
      <w:r>
        <w:rPr>
          <w:rFonts w:ascii="Arial" w:eastAsia="Calibri" w:hAnsi="Arial" w:cs="Arial"/>
          <w:color w:val="000000" w:themeColor="text1"/>
          <w:sz w:val="22"/>
          <w:lang w:val="es-ES_tradnl"/>
        </w:rPr>
        <w:t xml:space="preserve">Lo anterior, teniendo en cuenta que </w:t>
      </w:r>
      <w:r w:rsidRPr="004250C6">
        <w:rPr>
          <w:rFonts w:ascii="Arial" w:eastAsia="Calibri" w:hAnsi="Arial" w:cs="Arial"/>
          <w:color w:val="000000" w:themeColor="text1"/>
          <w:sz w:val="22"/>
          <w:lang w:val="es-ES_tradnl"/>
        </w:rPr>
        <w:t>de conformidad con el artículo 6 de la Ley 1150 de 2007</w:t>
      </w:r>
      <w:r w:rsidRPr="004250C6">
        <w:rPr>
          <w:rFonts w:ascii="Arial" w:eastAsia="Calibri" w:hAnsi="Arial" w:cs="Arial"/>
          <w:color w:val="000000"/>
          <w:sz w:val="22"/>
          <w:lang w:val="es-ES"/>
        </w:rPr>
        <w:t xml:space="preserve">el RUP no es exigible en algunos procedimientos de contratación, como </w:t>
      </w:r>
      <w:r w:rsidRPr="004250C6">
        <w:rPr>
          <w:rFonts w:ascii="Arial" w:eastAsia="Calibri" w:hAnsi="Arial" w:cs="Arial"/>
          <w:i/>
          <w:iCs/>
          <w:color w:val="000000"/>
          <w:sz w:val="22"/>
          <w:lang w:val="es-ES"/>
        </w:rPr>
        <w:t>la mínima cuantía</w:t>
      </w:r>
      <w:r>
        <w:rPr>
          <w:rFonts w:ascii="Arial" w:eastAsia="Calibri" w:hAnsi="Arial" w:cs="Arial"/>
          <w:color w:val="000000"/>
          <w:sz w:val="22"/>
          <w:lang w:val="es-ES"/>
        </w:rPr>
        <w:t xml:space="preserve">. </w:t>
      </w:r>
      <w:r w:rsidRPr="004250C6">
        <w:rPr>
          <w:rFonts w:ascii="Arial" w:eastAsia="Calibri" w:hAnsi="Arial" w:cs="Arial"/>
          <w:color w:val="000000"/>
          <w:sz w:val="22"/>
          <w:lang w:val="es-ES"/>
        </w:rPr>
        <w:t xml:space="preserve">Por ello, </w:t>
      </w:r>
      <w:r w:rsidR="00F84CF5">
        <w:rPr>
          <w:rFonts w:ascii="Arial" w:eastAsia="Calibri" w:hAnsi="Arial" w:cs="Arial"/>
          <w:color w:val="000000"/>
          <w:sz w:val="22"/>
          <w:lang w:val="es-ES"/>
        </w:rPr>
        <w:t>como dispone expresamente la norma citada,</w:t>
      </w:r>
      <w:r w:rsidR="00A83760">
        <w:rPr>
          <w:rFonts w:ascii="Arial" w:eastAsia="Calibri" w:hAnsi="Arial" w:cs="Arial"/>
          <w:color w:val="000000"/>
          <w:sz w:val="22"/>
          <w:lang w:val="es-ES"/>
        </w:rPr>
        <w:t xml:space="preserve"> </w:t>
      </w:r>
      <w:r w:rsidR="00A83760" w:rsidRPr="00A83760">
        <w:rPr>
          <w:rFonts w:ascii="Arial" w:eastAsia="Calibri" w:hAnsi="Arial" w:cs="Arial"/>
          <w:color w:val="000000"/>
          <w:sz w:val="22"/>
        </w:rPr>
        <w:t>corresponderá a las entidades contratantes cumplir con la labor de verificación de las condiciones de los proponentes</w:t>
      </w:r>
      <w:r w:rsidRPr="004250C6">
        <w:rPr>
          <w:rFonts w:ascii="Arial" w:eastAsia="Calibri" w:hAnsi="Arial" w:cs="Arial"/>
          <w:color w:val="000000"/>
          <w:sz w:val="22"/>
          <w:lang w:val="es-ES"/>
        </w:rPr>
        <w:t>. Las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Pr>
          <w:rFonts w:ascii="Arial" w:eastAsia="Calibri" w:hAnsi="Arial" w:cs="Arial"/>
          <w:color w:val="000000"/>
          <w:sz w:val="22"/>
          <w:lang w:val="es-ES"/>
        </w:rPr>
        <w:t xml:space="preserve">. </w:t>
      </w:r>
    </w:p>
    <w:p w14:paraId="11BD498F" w14:textId="77777777" w:rsidR="004250C6" w:rsidRPr="0065218F" w:rsidRDefault="004250C6" w:rsidP="004250C6">
      <w:pPr>
        <w:ind w:right="474"/>
        <w:jc w:val="both"/>
        <w:rPr>
          <w:rFonts w:ascii="Arial" w:eastAsia="Calibri" w:hAnsi="Arial" w:cs="Arial"/>
          <w:bCs/>
          <w:sz w:val="21"/>
          <w:szCs w:val="21"/>
        </w:rPr>
      </w:pPr>
    </w:p>
    <w:p w14:paraId="4FC00985" w14:textId="7E0C8984" w:rsidR="0065218F" w:rsidRDefault="00067818" w:rsidP="0065218F">
      <w:pPr>
        <w:ind w:left="709" w:right="474"/>
        <w:jc w:val="both"/>
        <w:rPr>
          <w:rFonts w:ascii="Arial" w:eastAsia="Calibri" w:hAnsi="Arial" w:cs="Arial"/>
          <w:bCs/>
          <w:sz w:val="21"/>
          <w:szCs w:val="21"/>
        </w:rPr>
      </w:pPr>
      <w:r>
        <w:rPr>
          <w:rFonts w:ascii="Arial" w:eastAsia="Calibri" w:hAnsi="Arial" w:cs="Arial"/>
          <w:bCs/>
          <w:sz w:val="21"/>
          <w:szCs w:val="21"/>
        </w:rPr>
        <w:t>«</w:t>
      </w:r>
      <w:r w:rsidR="0065218F" w:rsidRPr="0065218F">
        <w:rPr>
          <w:rFonts w:ascii="Arial" w:eastAsia="Calibri" w:hAnsi="Arial" w:cs="Arial"/>
          <w:bCs/>
          <w:sz w:val="21"/>
          <w:szCs w:val="21"/>
        </w:rPr>
        <w:t xml:space="preserve">2. Respecto a las convocatorias limitadas a </w:t>
      </w:r>
      <w:proofErr w:type="spellStart"/>
      <w:r w:rsidR="0065218F" w:rsidRPr="0065218F">
        <w:rPr>
          <w:rFonts w:ascii="Arial" w:eastAsia="Calibri" w:hAnsi="Arial" w:cs="Arial"/>
          <w:bCs/>
          <w:sz w:val="21"/>
          <w:szCs w:val="21"/>
        </w:rPr>
        <w:t>Mipymes</w:t>
      </w:r>
      <w:proofErr w:type="spellEnd"/>
      <w:r w:rsidR="0065218F" w:rsidRPr="0065218F">
        <w:rPr>
          <w:rFonts w:ascii="Arial" w:eastAsia="Calibri" w:hAnsi="Arial" w:cs="Arial"/>
          <w:bCs/>
          <w:sz w:val="21"/>
          <w:szCs w:val="21"/>
        </w:rPr>
        <w:t xml:space="preserve">, Colombia Compra Eficiente, mediante Concepto C‒043 de 2021, sobre la ley de emprendimiento – Ley 2069 de 2020, se expresó en los siguientes términos: </w:t>
      </w:r>
    </w:p>
    <w:p w14:paraId="66C0DED5" w14:textId="77777777" w:rsidR="00C47E4D" w:rsidRPr="0065218F" w:rsidRDefault="00C47E4D" w:rsidP="0065218F">
      <w:pPr>
        <w:ind w:left="709" w:right="474"/>
        <w:jc w:val="both"/>
        <w:rPr>
          <w:rFonts w:ascii="Arial" w:eastAsia="Calibri" w:hAnsi="Arial" w:cs="Arial"/>
          <w:bCs/>
          <w:sz w:val="21"/>
          <w:szCs w:val="21"/>
        </w:rPr>
      </w:pPr>
    </w:p>
    <w:p w14:paraId="153A0A03" w14:textId="77777777" w:rsidR="0065218F" w:rsidRPr="0065218F" w:rsidRDefault="0065218F" w:rsidP="0065218F">
      <w:pPr>
        <w:ind w:left="709" w:right="474"/>
        <w:jc w:val="both"/>
        <w:rPr>
          <w:rFonts w:ascii="Arial" w:eastAsia="Calibri" w:hAnsi="Arial" w:cs="Arial"/>
          <w:bCs/>
          <w:i/>
          <w:iCs/>
          <w:sz w:val="21"/>
          <w:szCs w:val="21"/>
        </w:rPr>
      </w:pPr>
      <w:r w:rsidRPr="0065218F">
        <w:rPr>
          <w:rFonts w:ascii="Arial" w:eastAsia="Calibri" w:hAnsi="Arial" w:cs="Arial"/>
          <w:bCs/>
          <w:i/>
          <w:iCs/>
          <w:sz w:val="21"/>
          <w:szCs w:val="21"/>
        </w:rPr>
        <w:t xml:space="preserve">(…) De las consideraciones efectuadas con anterioridad por la Agencia, se puede concluir que, además de la pérdida de fuerza ejecutoria del artículo 2.2.1.2.4.2.2. </w:t>
      </w:r>
      <w:r w:rsidRPr="0065218F">
        <w:rPr>
          <w:rFonts w:ascii="Arial" w:eastAsia="Calibri" w:hAnsi="Arial" w:cs="Arial"/>
          <w:bCs/>
          <w:i/>
          <w:iCs/>
          <w:sz w:val="21"/>
          <w:szCs w:val="21"/>
        </w:rPr>
        <w:lastRenderedPageBreak/>
        <w:t xml:space="preserve">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está «deroga [ …] todas las disposiciones que le sean contrarias». Entonces, puede afirmarse que, además del decaimiento del artículo 2.2.1.2.4.2.2. del Decreto 1082 de 2015, debe entenderse derogado. </w:t>
      </w:r>
    </w:p>
    <w:p w14:paraId="6E9ECEA2" w14:textId="77777777" w:rsidR="0065218F" w:rsidRPr="0065218F" w:rsidRDefault="0065218F" w:rsidP="0065218F">
      <w:pPr>
        <w:ind w:left="709" w:right="474"/>
        <w:jc w:val="both"/>
        <w:rPr>
          <w:rFonts w:ascii="Arial" w:eastAsia="Calibri" w:hAnsi="Arial" w:cs="Arial"/>
          <w:bCs/>
          <w:sz w:val="21"/>
          <w:szCs w:val="21"/>
        </w:rPr>
      </w:pPr>
    </w:p>
    <w:p w14:paraId="5D6A09DF" w14:textId="77777777" w:rsidR="0065218F"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i/>
          <w:iCs/>
          <w:sz w:val="21"/>
          <w:szCs w:val="21"/>
        </w:rPr>
        <w:t xml:space="preserve">(…) Además,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65218F">
        <w:rPr>
          <w:rFonts w:ascii="Arial" w:eastAsia="Calibri" w:hAnsi="Arial" w:cs="Arial"/>
          <w:bCs/>
          <w:i/>
          <w:iCs/>
          <w:sz w:val="21"/>
          <w:szCs w:val="21"/>
        </w:rPr>
        <w:t>mipymes</w:t>
      </w:r>
      <w:proofErr w:type="spellEnd"/>
      <w:r w:rsidRPr="0065218F">
        <w:rPr>
          <w:rFonts w:ascii="Arial" w:eastAsia="Calibri" w:hAnsi="Arial" w:cs="Arial"/>
          <w:bCs/>
          <w:i/>
          <w:iCs/>
          <w:sz w:val="21"/>
          <w:szCs w:val="21"/>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65218F">
        <w:rPr>
          <w:rFonts w:ascii="Arial" w:eastAsia="Calibri" w:hAnsi="Arial" w:cs="Arial"/>
          <w:bCs/>
          <w:i/>
          <w:iCs/>
          <w:sz w:val="21"/>
          <w:szCs w:val="21"/>
        </w:rPr>
        <w:t>mipymes</w:t>
      </w:r>
      <w:proofErr w:type="spellEnd"/>
      <w:r w:rsidRPr="0065218F">
        <w:rPr>
          <w:rFonts w:ascii="Arial" w:eastAsia="Calibri" w:hAnsi="Arial" w:cs="Arial"/>
          <w:bCs/>
          <w:i/>
          <w:iCs/>
          <w:sz w:val="21"/>
          <w:szCs w:val="21"/>
        </w:rPr>
        <w:t xml:space="preserve">. </w:t>
      </w:r>
      <w:r w:rsidRPr="0065218F">
        <w:rPr>
          <w:rFonts w:ascii="Arial" w:eastAsia="Calibri" w:hAnsi="Arial" w:cs="Arial"/>
          <w:b/>
          <w:bCs/>
          <w:i/>
          <w:iCs/>
          <w:sz w:val="21"/>
          <w:szCs w:val="21"/>
        </w:rPr>
        <w:t xml:space="preserve">Por ende, mientras ello no suceda, las entidades estatales, los patrimonios autónomos constituidos por estas y los particulares que ejecuten recursos públicos, no pueden adoptar convocatorias limitadas a </w:t>
      </w:r>
      <w:proofErr w:type="spellStart"/>
      <w:r w:rsidRPr="0065218F">
        <w:rPr>
          <w:rFonts w:ascii="Arial" w:eastAsia="Calibri" w:hAnsi="Arial" w:cs="Arial"/>
          <w:b/>
          <w:bCs/>
          <w:i/>
          <w:iCs/>
          <w:sz w:val="21"/>
          <w:szCs w:val="21"/>
        </w:rPr>
        <w:t>mipymes</w:t>
      </w:r>
      <w:proofErr w:type="spellEnd"/>
      <w:r w:rsidRPr="0065218F">
        <w:rPr>
          <w:rFonts w:ascii="Arial" w:eastAsia="Calibri" w:hAnsi="Arial" w:cs="Arial"/>
          <w:b/>
          <w:bCs/>
          <w:i/>
          <w:iCs/>
          <w:sz w:val="21"/>
          <w:szCs w:val="21"/>
        </w:rPr>
        <w:t xml:space="preserve">, pues al tenor del artículo 34 de la Ley 2069 de 2020, la eficacia de esta norma quedó condicionada a la expedición del decreto reglamentario que fije las condiciones de su operatividad” </w:t>
      </w:r>
      <w:r w:rsidRPr="0065218F">
        <w:rPr>
          <w:rFonts w:ascii="Arial" w:eastAsia="Calibri" w:hAnsi="Arial" w:cs="Arial"/>
          <w:bCs/>
          <w:sz w:val="21"/>
          <w:szCs w:val="21"/>
        </w:rPr>
        <w:t xml:space="preserve">(negrilla fuera de texto). </w:t>
      </w:r>
    </w:p>
    <w:p w14:paraId="480994F1" w14:textId="77777777" w:rsidR="0065218F" w:rsidRPr="0065218F" w:rsidRDefault="0065218F" w:rsidP="0065218F">
      <w:pPr>
        <w:ind w:left="709" w:right="474"/>
        <w:jc w:val="both"/>
        <w:rPr>
          <w:rFonts w:ascii="Arial" w:eastAsia="Calibri" w:hAnsi="Arial" w:cs="Arial"/>
          <w:bCs/>
          <w:sz w:val="21"/>
          <w:szCs w:val="21"/>
        </w:rPr>
      </w:pPr>
    </w:p>
    <w:p w14:paraId="32A3AEBA" w14:textId="708F944B" w:rsidR="0065218F" w:rsidRPr="0065218F" w:rsidRDefault="0065218F" w:rsidP="0065218F">
      <w:pPr>
        <w:ind w:left="709" w:right="474"/>
        <w:jc w:val="both"/>
        <w:rPr>
          <w:rFonts w:ascii="Arial" w:eastAsia="Calibri" w:hAnsi="Arial" w:cs="Arial"/>
          <w:bCs/>
          <w:sz w:val="21"/>
          <w:szCs w:val="21"/>
        </w:rPr>
      </w:pPr>
      <w:r w:rsidRPr="0065218F">
        <w:rPr>
          <w:rFonts w:ascii="Arial" w:eastAsia="Calibri" w:hAnsi="Arial" w:cs="Arial"/>
          <w:bCs/>
          <w:sz w:val="21"/>
          <w:szCs w:val="21"/>
        </w:rPr>
        <w:t xml:space="preserve">Teniendo en cuenta lo anterior, ¿La operatividad de la limitación para presentar las solicitudes con el fin de limitar la convocatoria a </w:t>
      </w:r>
      <w:proofErr w:type="spellStart"/>
      <w:r w:rsidRPr="0065218F">
        <w:rPr>
          <w:rFonts w:ascii="Arial" w:eastAsia="Calibri" w:hAnsi="Arial" w:cs="Arial"/>
          <w:bCs/>
          <w:sz w:val="21"/>
          <w:szCs w:val="21"/>
        </w:rPr>
        <w:t>Mipyme</w:t>
      </w:r>
      <w:proofErr w:type="spellEnd"/>
      <w:r w:rsidRPr="0065218F">
        <w:rPr>
          <w:rFonts w:ascii="Arial" w:eastAsia="Calibri" w:hAnsi="Arial" w:cs="Arial"/>
          <w:bCs/>
          <w:sz w:val="21"/>
          <w:szCs w:val="21"/>
        </w:rPr>
        <w:t xml:space="preserve"> colombianas se encontraría reactivada con el Decreto 1860 de 2021?</w:t>
      </w:r>
      <w:r w:rsidR="00067818">
        <w:rPr>
          <w:rFonts w:ascii="Arial" w:eastAsia="Calibri" w:hAnsi="Arial" w:cs="Arial"/>
          <w:bCs/>
          <w:sz w:val="21"/>
          <w:szCs w:val="21"/>
        </w:rPr>
        <w:t>».</w:t>
      </w:r>
    </w:p>
    <w:p w14:paraId="4964CDDA" w14:textId="77777777" w:rsidR="00C47E4D" w:rsidRDefault="00C47E4D" w:rsidP="00C47E4D">
      <w:pPr>
        <w:spacing w:line="276" w:lineRule="auto"/>
        <w:jc w:val="both"/>
        <w:rPr>
          <w:rFonts w:ascii="Arial" w:hAnsi="Arial" w:cs="Arial"/>
          <w:bCs/>
          <w:sz w:val="22"/>
          <w:szCs w:val="22"/>
          <w:lang w:val="es-ES_tradnl" w:eastAsia="es-ES"/>
        </w:rPr>
      </w:pPr>
    </w:p>
    <w:p w14:paraId="2E522325" w14:textId="422DFCA2" w:rsidR="00DE6B9D" w:rsidRDefault="00C47E4D" w:rsidP="00DE6B9D">
      <w:pPr>
        <w:spacing w:line="276" w:lineRule="auto"/>
        <w:jc w:val="both"/>
        <w:rPr>
          <w:rFonts w:ascii="Arial" w:hAnsi="Arial" w:cs="Arial"/>
          <w:bCs/>
          <w:sz w:val="22"/>
          <w:szCs w:val="22"/>
          <w:lang w:eastAsia="es-ES"/>
        </w:rPr>
      </w:pPr>
      <w:r>
        <w:rPr>
          <w:rFonts w:ascii="Arial" w:hAnsi="Arial" w:cs="Arial"/>
          <w:bCs/>
          <w:sz w:val="22"/>
          <w:szCs w:val="22"/>
          <w:lang w:val="es-ES_tradnl" w:eastAsia="es-ES"/>
        </w:rPr>
        <w:t>E</w:t>
      </w:r>
      <w:r w:rsidRPr="00EE341D">
        <w:rPr>
          <w:rFonts w:ascii="Arial" w:hAnsi="Arial" w:cs="Arial"/>
          <w:bCs/>
          <w:sz w:val="22"/>
          <w:szCs w:val="22"/>
          <w:lang w:val="es-ES_tradnl" w:eastAsia="es-ES"/>
        </w:rPr>
        <w:t xml:space="preserve">l artículo 5 </w:t>
      </w:r>
      <w:r>
        <w:rPr>
          <w:rFonts w:ascii="Arial" w:hAnsi="Arial" w:cs="Arial"/>
          <w:bCs/>
          <w:sz w:val="22"/>
          <w:szCs w:val="22"/>
          <w:lang w:val="es-ES_tradnl" w:eastAsia="es-ES"/>
        </w:rPr>
        <w:t xml:space="preserve">del Decreto 1860 de 2021 </w:t>
      </w:r>
      <w:r w:rsidRPr="00EE341D">
        <w:rPr>
          <w:rFonts w:ascii="Arial" w:hAnsi="Arial" w:cs="Arial"/>
          <w:bCs/>
          <w:sz w:val="22"/>
          <w:szCs w:val="22"/>
          <w:lang w:val="es-ES_tradnl" w:eastAsia="es-ES"/>
        </w:rPr>
        <w:t xml:space="preserve">modifica </w:t>
      </w:r>
      <w:r w:rsidRPr="00EE341D">
        <w:rPr>
          <w:rFonts w:ascii="Arial" w:hAnsi="Arial" w:cs="Arial"/>
          <w:bCs/>
          <w:sz w:val="22"/>
          <w:szCs w:val="22"/>
          <w:lang w:eastAsia="es-ES"/>
        </w:rPr>
        <w:t>los artículos 2.2.1.2.4.2.2., 2.2.1.2.4.2.3. y 2.2.1.2.4.2.4. de la Subsección 2 de la Sección 4 del Capítulo 2 del Título 1 de la Parte 2 del Libro 2 del Decreto 1082 de 2015,</w:t>
      </w:r>
      <w:r>
        <w:rPr>
          <w:rFonts w:ascii="Arial" w:hAnsi="Arial" w:cs="Arial"/>
          <w:bCs/>
          <w:sz w:val="22"/>
          <w:szCs w:val="22"/>
          <w:lang w:eastAsia="es-ES"/>
        </w:rPr>
        <w:t xml:space="preserve"> reglamentando</w:t>
      </w:r>
      <w:r w:rsidRPr="00EE341D">
        <w:rPr>
          <w:rFonts w:ascii="Arial" w:hAnsi="Arial" w:cs="Arial"/>
          <w:bCs/>
          <w:sz w:val="22"/>
          <w:szCs w:val="22"/>
          <w:lang w:val="es-ES_tradnl" w:eastAsia="es-ES"/>
        </w:rPr>
        <w:t xml:space="preserve"> las convocatorias limitadas a </w:t>
      </w:r>
      <w:proofErr w:type="spellStart"/>
      <w:r w:rsidRPr="00EE341D">
        <w:rPr>
          <w:rFonts w:ascii="Arial" w:hAnsi="Arial" w:cs="Arial"/>
          <w:bCs/>
          <w:sz w:val="22"/>
          <w:szCs w:val="22"/>
          <w:lang w:val="es-ES_tradnl" w:eastAsia="es-ES"/>
        </w:rPr>
        <w:t>Mipyme</w:t>
      </w:r>
      <w:proofErr w:type="spellEnd"/>
      <w:r w:rsidR="00DC7C76">
        <w:rPr>
          <w:rFonts w:ascii="Arial" w:hAnsi="Arial" w:cs="Arial"/>
          <w:bCs/>
          <w:sz w:val="22"/>
          <w:szCs w:val="22"/>
          <w:lang w:val="es-ES_tradnl" w:eastAsia="es-ES"/>
        </w:rPr>
        <w:t xml:space="preserve"> </w:t>
      </w:r>
      <w:r w:rsidR="00FD122C">
        <w:rPr>
          <w:rFonts w:ascii="Arial" w:eastAsia="Calibri" w:hAnsi="Arial" w:cs="Arial"/>
          <w:sz w:val="22"/>
          <w:szCs w:val="22"/>
          <w:lang w:val="es-ES_tradnl"/>
        </w:rPr>
        <w:t>con fundamento en el artículo 34 de la Ley 2069 de 2020</w:t>
      </w:r>
      <w:r w:rsidR="00DE6B9D">
        <w:rPr>
          <w:rFonts w:ascii="Arial" w:eastAsia="Calibri" w:hAnsi="Arial" w:cs="Arial"/>
          <w:sz w:val="22"/>
          <w:szCs w:val="22"/>
          <w:lang w:val="es-ES_tradnl"/>
        </w:rPr>
        <w:t>.</w:t>
      </w:r>
      <w:r>
        <w:rPr>
          <w:rFonts w:ascii="Arial" w:hAnsi="Arial" w:cs="Arial"/>
          <w:bCs/>
          <w:sz w:val="22"/>
          <w:szCs w:val="22"/>
          <w:lang w:val="es-ES_tradnl" w:eastAsia="es-ES"/>
        </w:rPr>
        <w:t xml:space="preserve"> Esta </w:t>
      </w:r>
      <w:r w:rsidRPr="00EE341D">
        <w:rPr>
          <w:rFonts w:ascii="Arial" w:hAnsi="Arial" w:cs="Arial"/>
          <w:bCs/>
          <w:sz w:val="22"/>
          <w:szCs w:val="22"/>
          <w:lang w:val="es-ES_tradnl" w:eastAsia="es-ES"/>
        </w:rPr>
        <w:t>nueva Subsección 2</w:t>
      </w:r>
      <w:r>
        <w:rPr>
          <w:rFonts w:ascii="Arial" w:hAnsi="Arial" w:cs="Arial"/>
          <w:bCs/>
          <w:sz w:val="22"/>
          <w:szCs w:val="22"/>
          <w:lang w:val="es-ES_tradnl" w:eastAsia="es-ES"/>
        </w:rPr>
        <w:t xml:space="preserve"> contempla los siguientes aspectos</w:t>
      </w:r>
      <w:r w:rsidRPr="00EE341D">
        <w:rPr>
          <w:rFonts w:ascii="Arial" w:hAnsi="Arial" w:cs="Arial"/>
          <w:bCs/>
          <w:sz w:val="22"/>
          <w:szCs w:val="22"/>
          <w:lang w:val="es-ES_tradnl" w:eastAsia="es-ES"/>
        </w:rPr>
        <w:t xml:space="preserve">: i) requisitos para limitar la convocatoria de los </w:t>
      </w:r>
      <w:r w:rsidRPr="00EE341D">
        <w:rPr>
          <w:rFonts w:ascii="Arial" w:hAnsi="Arial" w:cs="Arial"/>
          <w:bCs/>
          <w:sz w:val="22"/>
          <w:szCs w:val="22"/>
          <w:lang w:eastAsia="es-ES"/>
        </w:rPr>
        <w:t>procesos de contratación con pluralidad de oferentes</w:t>
      </w:r>
      <w:r w:rsidRPr="00EE341D">
        <w:rPr>
          <w:rFonts w:ascii="Arial" w:hAnsi="Arial" w:cs="Arial"/>
          <w:bCs/>
          <w:sz w:val="22"/>
          <w:szCs w:val="22"/>
          <w:lang w:val="es-ES_tradnl" w:eastAsia="es-ES"/>
        </w:rPr>
        <w:t xml:space="preserve"> a las </w:t>
      </w:r>
      <w:proofErr w:type="spellStart"/>
      <w:r w:rsidRPr="00EE341D">
        <w:rPr>
          <w:rFonts w:ascii="Arial" w:hAnsi="Arial" w:cs="Arial"/>
          <w:bCs/>
          <w:sz w:val="22"/>
          <w:szCs w:val="22"/>
          <w:lang w:val="es-ES_tradnl" w:eastAsia="es-ES"/>
        </w:rPr>
        <w:t>Mipyme</w:t>
      </w:r>
      <w:proofErr w:type="spellEnd"/>
      <w:r w:rsidRPr="00EE341D">
        <w:rPr>
          <w:rFonts w:ascii="Arial" w:hAnsi="Arial" w:cs="Arial"/>
          <w:bCs/>
          <w:sz w:val="22"/>
          <w:szCs w:val="22"/>
          <w:lang w:val="es-ES_tradnl" w:eastAsia="es-ES"/>
        </w:rPr>
        <w:t xml:space="preserve"> colombianas con mínimo un (1) año de existencia</w:t>
      </w:r>
      <w:r w:rsidR="007D358F">
        <w:rPr>
          <w:rFonts w:ascii="Arial" w:hAnsi="Arial" w:cs="Arial"/>
          <w:bCs/>
          <w:sz w:val="22"/>
          <w:szCs w:val="22"/>
          <w:lang w:val="es-ES_tradnl" w:eastAsia="es-ES"/>
        </w:rPr>
        <w:t xml:space="preserve"> –artículo </w:t>
      </w:r>
      <w:r w:rsidR="007D358F" w:rsidRPr="00EE341D">
        <w:rPr>
          <w:rFonts w:ascii="Arial" w:hAnsi="Arial" w:cs="Arial"/>
          <w:bCs/>
          <w:sz w:val="22"/>
          <w:szCs w:val="22"/>
          <w:lang w:eastAsia="es-ES"/>
        </w:rPr>
        <w:t>2.2.1.2.4.2.2</w:t>
      </w:r>
      <w:r w:rsidR="00D01121">
        <w:rPr>
          <w:rFonts w:ascii="Arial" w:hAnsi="Arial" w:cs="Arial"/>
          <w:bCs/>
          <w:sz w:val="22"/>
          <w:szCs w:val="22"/>
          <w:lang w:eastAsia="es-ES"/>
        </w:rPr>
        <w:t>–</w:t>
      </w:r>
      <w:r w:rsidRPr="00EE341D">
        <w:rPr>
          <w:rFonts w:ascii="Arial" w:hAnsi="Arial" w:cs="Arial"/>
          <w:bCs/>
          <w:sz w:val="22"/>
          <w:szCs w:val="22"/>
          <w:lang w:val="es-ES_tradnl" w:eastAsia="es-ES"/>
        </w:rPr>
        <w:t xml:space="preserve">, </w:t>
      </w:r>
      <w:proofErr w:type="spellStart"/>
      <w:r w:rsidRPr="00EE341D">
        <w:rPr>
          <w:rFonts w:ascii="Arial" w:hAnsi="Arial" w:cs="Arial"/>
          <w:bCs/>
          <w:sz w:val="22"/>
          <w:szCs w:val="22"/>
          <w:lang w:val="es-ES_tradnl" w:eastAsia="es-ES"/>
        </w:rPr>
        <w:t>ii</w:t>
      </w:r>
      <w:proofErr w:type="spellEnd"/>
      <w:r w:rsidRPr="00EE341D">
        <w:rPr>
          <w:rFonts w:ascii="Arial" w:hAnsi="Arial" w:cs="Arial"/>
          <w:bCs/>
          <w:sz w:val="22"/>
          <w:szCs w:val="22"/>
          <w:lang w:val="es-ES_tradnl" w:eastAsia="es-ES"/>
        </w:rPr>
        <w:t xml:space="preserve">) desarrolla las </w:t>
      </w:r>
      <w:r w:rsidRPr="00EE341D">
        <w:rPr>
          <w:rFonts w:ascii="Arial" w:hAnsi="Arial" w:cs="Arial"/>
          <w:bCs/>
          <w:sz w:val="22"/>
          <w:szCs w:val="22"/>
          <w:lang w:eastAsia="es-ES"/>
        </w:rPr>
        <w:t xml:space="preserve">convocatorias limitadas a </w:t>
      </w:r>
      <w:proofErr w:type="spellStart"/>
      <w:r w:rsidRPr="00EE341D">
        <w:rPr>
          <w:rFonts w:ascii="Arial" w:hAnsi="Arial" w:cs="Arial"/>
          <w:bCs/>
          <w:sz w:val="22"/>
          <w:szCs w:val="22"/>
          <w:lang w:eastAsia="es-ES"/>
        </w:rPr>
        <w:t>Mipyme</w:t>
      </w:r>
      <w:proofErr w:type="spellEnd"/>
      <w:r w:rsidRPr="00EE341D">
        <w:rPr>
          <w:rFonts w:ascii="Arial" w:hAnsi="Arial" w:cs="Arial"/>
          <w:bCs/>
          <w:sz w:val="22"/>
          <w:szCs w:val="22"/>
          <w:lang w:eastAsia="es-ES"/>
        </w:rPr>
        <w:t xml:space="preserve"> colombianas que tengan domicilio en los departamentos o municipios en donde se va a ejecutar el contrato</w:t>
      </w:r>
      <w:r w:rsidR="007D358F">
        <w:rPr>
          <w:rFonts w:ascii="Arial" w:hAnsi="Arial" w:cs="Arial"/>
          <w:bCs/>
          <w:sz w:val="22"/>
          <w:szCs w:val="22"/>
          <w:lang w:eastAsia="es-ES"/>
        </w:rPr>
        <w:t xml:space="preserve"> –artículo </w:t>
      </w:r>
      <w:r w:rsidR="007D358F" w:rsidRPr="00EE341D">
        <w:rPr>
          <w:rFonts w:ascii="Arial" w:hAnsi="Arial" w:cs="Arial"/>
          <w:bCs/>
          <w:sz w:val="22"/>
          <w:szCs w:val="22"/>
          <w:lang w:eastAsia="es-ES"/>
        </w:rPr>
        <w:t>2.2.1.2.4.2.3</w:t>
      </w:r>
      <w:r w:rsidR="00156B13">
        <w:rPr>
          <w:rFonts w:ascii="Arial" w:hAnsi="Arial" w:cs="Arial"/>
          <w:bCs/>
          <w:sz w:val="22"/>
          <w:szCs w:val="22"/>
          <w:lang w:eastAsia="es-ES"/>
        </w:rPr>
        <w:t>–</w:t>
      </w:r>
      <w:r w:rsidRPr="00EE341D">
        <w:rPr>
          <w:rFonts w:ascii="Arial" w:hAnsi="Arial" w:cs="Arial"/>
          <w:bCs/>
          <w:sz w:val="22"/>
          <w:szCs w:val="22"/>
          <w:lang w:eastAsia="es-ES"/>
        </w:rPr>
        <w:t>,</w:t>
      </w:r>
      <w:r w:rsidRPr="00EE341D">
        <w:rPr>
          <w:rFonts w:ascii="Arial" w:hAnsi="Arial" w:cs="Arial"/>
          <w:bCs/>
          <w:sz w:val="22"/>
          <w:szCs w:val="22"/>
          <w:lang w:val="es-ES_tradnl" w:eastAsia="es-ES"/>
        </w:rPr>
        <w:t xml:space="preserve"> y </w:t>
      </w:r>
      <w:proofErr w:type="spellStart"/>
      <w:r w:rsidRPr="00EE341D">
        <w:rPr>
          <w:rFonts w:ascii="Arial" w:hAnsi="Arial" w:cs="Arial"/>
          <w:bCs/>
          <w:sz w:val="22"/>
          <w:szCs w:val="22"/>
          <w:lang w:val="es-ES_tradnl" w:eastAsia="es-ES"/>
        </w:rPr>
        <w:t>iii</w:t>
      </w:r>
      <w:proofErr w:type="spellEnd"/>
      <w:r w:rsidRPr="00EE341D">
        <w:rPr>
          <w:rFonts w:ascii="Arial" w:hAnsi="Arial" w:cs="Arial"/>
          <w:bCs/>
          <w:sz w:val="22"/>
          <w:szCs w:val="22"/>
          <w:lang w:val="es-ES_tradnl" w:eastAsia="es-ES"/>
        </w:rPr>
        <w:t xml:space="preserve">) </w:t>
      </w:r>
      <w:r w:rsidRPr="00EE341D">
        <w:rPr>
          <w:rFonts w:ascii="Arial" w:hAnsi="Arial" w:cs="Arial"/>
          <w:bCs/>
          <w:sz w:val="22"/>
          <w:szCs w:val="22"/>
          <w:lang w:eastAsia="es-ES"/>
        </w:rPr>
        <w:t>regula la acreditación de requisitos para participar en convocatorias limitadas</w:t>
      </w:r>
      <w:r w:rsidR="007D358F">
        <w:rPr>
          <w:rFonts w:ascii="Arial" w:hAnsi="Arial" w:cs="Arial"/>
          <w:bCs/>
          <w:sz w:val="22"/>
          <w:szCs w:val="22"/>
          <w:lang w:eastAsia="es-ES"/>
        </w:rPr>
        <w:t xml:space="preserve"> </w:t>
      </w:r>
      <w:r w:rsidR="000F6B82">
        <w:rPr>
          <w:rFonts w:ascii="Arial" w:hAnsi="Arial" w:cs="Arial"/>
          <w:bCs/>
          <w:sz w:val="22"/>
          <w:szCs w:val="22"/>
          <w:lang w:eastAsia="es-ES"/>
        </w:rPr>
        <w:t xml:space="preserve">–artículo </w:t>
      </w:r>
      <w:r w:rsidR="000F6B82" w:rsidRPr="00EE341D">
        <w:rPr>
          <w:rFonts w:ascii="Arial" w:hAnsi="Arial" w:cs="Arial"/>
          <w:bCs/>
          <w:sz w:val="22"/>
          <w:szCs w:val="22"/>
          <w:lang w:eastAsia="es-ES"/>
        </w:rPr>
        <w:t>2.2.1.2.4.2.4</w:t>
      </w:r>
      <w:r w:rsidR="00156B13">
        <w:rPr>
          <w:rFonts w:ascii="Arial" w:hAnsi="Arial" w:cs="Arial"/>
          <w:bCs/>
          <w:sz w:val="22"/>
          <w:szCs w:val="22"/>
          <w:lang w:eastAsia="es-ES"/>
        </w:rPr>
        <w:t>–</w:t>
      </w:r>
      <w:r w:rsidR="00DC7C76">
        <w:rPr>
          <w:rFonts w:ascii="Arial" w:hAnsi="Arial" w:cs="Arial"/>
          <w:bCs/>
          <w:sz w:val="22"/>
          <w:szCs w:val="22"/>
          <w:lang w:eastAsia="es-ES"/>
        </w:rPr>
        <w:t>.</w:t>
      </w:r>
    </w:p>
    <w:p w14:paraId="0A940AC2" w14:textId="2B4812B0" w:rsidR="007D358F" w:rsidRDefault="007D358F" w:rsidP="007D358F">
      <w:pPr>
        <w:spacing w:before="120" w:line="276" w:lineRule="auto"/>
        <w:ind w:firstLine="709"/>
        <w:jc w:val="both"/>
        <w:rPr>
          <w:rFonts w:ascii="Arial" w:hAnsi="Arial" w:cs="Arial"/>
          <w:bCs/>
          <w:sz w:val="22"/>
          <w:szCs w:val="22"/>
          <w:lang w:val="es-ES_tradnl" w:eastAsia="es-ES"/>
        </w:rPr>
      </w:pPr>
      <w:r>
        <w:rPr>
          <w:rFonts w:ascii="Arial" w:hAnsi="Arial" w:cs="Arial"/>
          <w:bCs/>
          <w:sz w:val="22"/>
          <w:szCs w:val="22"/>
          <w:lang w:val="es-ES_tradnl" w:eastAsia="es-ES"/>
        </w:rPr>
        <w:t>De esta manera</w:t>
      </w:r>
      <w:r w:rsidRPr="00EE341D">
        <w:rPr>
          <w:rFonts w:ascii="Arial" w:hAnsi="Arial" w:cs="Arial"/>
          <w:bCs/>
          <w:sz w:val="22"/>
          <w:szCs w:val="22"/>
          <w:lang w:val="es-ES_tradnl" w:eastAsia="es-ES"/>
        </w:rPr>
        <w:t>, el artículo 5 del Decreto 1860 de 2021, que modifica los artículos del Decreto 1082 de 2015 expuestos en el párrafo anterior, constituye la</w:t>
      </w:r>
      <w:r>
        <w:rPr>
          <w:rFonts w:ascii="Arial" w:hAnsi="Arial" w:cs="Arial"/>
          <w:bCs/>
          <w:sz w:val="22"/>
          <w:szCs w:val="22"/>
          <w:lang w:val="es-ES_tradnl" w:eastAsia="es-ES"/>
        </w:rPr>
        <w:t xml:space="preserve"> nueva</w:t>
      </w:r>
      <w:r w:rsidRPr="00EE341D">
        <w:rPr>
          <w:rFonts w:ascii="Arial" w:hAnsi="Arial" w:cs="Arial"/>
          <w:bCs/>
          <w:sz w:val="22"/>
          <w:szCs w:val="22"/>
          <w:lang w:val="es-ES_tradnl" w:eastAsia="es-ES"/>
        </w:rPr>
        <w:t xml:space="preserve"> reglamentación del artículo 34 de la Ley 2069 de 2020, al desarrollar las reglas aplicables a las convocatorias limitadas a </w:t>
      </w:r>
      <w:proofErr w:type="spellStart"/>
      <w:r w:rsidRPr="00EE341D">
        <w:rPr>
          <w:rFonts w:ascii="Arial" w:hAnsi="Arial" w:cs="Arial"/>
          <w:bCs/>
          <w:sz w:val="22"/>
          <w:szCs w:val="22"/>
          <w:lang w:val="es-ES_tradnl" w:eastAsia="es-ES"/>
        </w:rPr>
        <w:t>Mipyme</w:t>
      </w:r>
      <w:proofErr w:type="spellEnd"/>
      <w:r>
        <w:rPr>
          <w:rFonts w:ascii="Arial" w:hAnsi="Arial" w:cs="Arial"/>
          <w:bCs/>
          <w:sz w:val="22"/>
          <w:szCs w:val="22"/>
          <w:lang w:val="es-ES_tradnl" w:eastAsia="es-ES"/>
        </w:rPr>
        <w:t>,</w:t>
      </w:r>
      <w:r w:rsidR="00663AAC">
        <w:rPr>
          <w:rFonts w:ascii="Arial" w:hAnsi="Arial" w:cs="Arial"/>
          <w:bCs/>
          <w:sz w:val="22"/>
          <w:szCs w:val="22"/>
          <w:lang w:val="es-ES_tradnl" w:eastAsia="es-ES"/>
        </w:rPr>
        <w:t xml:space="preserve"> </w:t>
      </w:r>
      <w:r w:rsidR="003B444E">
        <w:rPr>
          <w:rFonts w:ascii="Arial" w:hAnsi="Arial" w:cs="Arial"/>
          <w:bCs/>
          <w:sz w:val="22"/>
          <w:szCs w:val="22"/>
          <w:lang w:val="es-ES_tradnl" w:eastAsia="es-ES"/>
        </w:rPr>
        <w:t xml:space="preserve">disposición que entró a regir desde el pasado 24 </w:t>
      </w:r>
      <w:r w:rsidR="003B444E">
        <w:rPr>
          <w:rFonts w:ascii="Arial" w:hAnsi="Arial" w:cs="Arial"/>
          <w:bCs/>
          <w:sz w:val="22"/>
          <w:szCs w:val="22"/>
          <w:lang w:val="es-ES_tradnl" w:eastAsia="es-ES"/>
        </w:rPr>
        <w:lastRenderedPageBreak/>
        <w:t xml:space="preserve">de marzo de 2022, pues, como se indicó, </w:t>
      </w:r>
      <w:r w:rsidR="003B444E">
        <w:rPr>
          <w:rFonts w:ascii="Arial" w:eastAsia="Calibri" w:hAnsi="Arial" w:cs="Arial"/>
          <w:sz w:val="22"/>
          <w:szCs w:val="22"/>
          <w:lang w:val="es-ES_tradnl"/>
        </w:rPr>
        <w:t>el artículo 8 de dicho decreto sometió su vigencia al transcurso del periodo de 3 meses siguientes a su expedición.</w:t>
      </w:r>
    </w:p>
    <w:p w14:paraId="4C72F2DB" w14:textId="61E8C2D2" w:rsidR="0065218F" w:rsidRPr="0065218F" w:rsidRDefault="0065218F" w:rsidP="00C47E4D">
      <w:pPr>
        <w:ind w:right="474"/>
        <w:jc w:val="both"/>
        <w:rPr>
          <w:rFonts w:ascii="Arial" w:eastAsia="Calibri" w:hAnsi="Arial" w:cs="Arial"/>
          <w:bCs/>
          <w:sz w:val="21"/>
          <w:szCs w:val="21"/>
        </w:rPr>
      </w:pPr>
    </w:p>
    <w:p w14:paraId="70DB9ADD" w14:textId="79419F80" w:rsidR="0065218F" w:rsidRPr="0065218F" w:rsidRDefault="00A50623" w:rsidP="0065218F">
      <w:pPr>
        <w:ind w:left="709" w:right="474"/>
        <w:jc w:val="both"/>
        <w:rPr>
          <w:rFonts w:ascii="Arial" w:eastAsia="Calibri" w:hAnsi="Arial" w:cs="Arial"/>
          <w:bCs/>
          <w:sz w:val="21"/>
          <w:szCs w:val="21"/>
        </w:rPr>
      </w:pPr>
      <w:r>
        <w:rPr>
          <w:rFonts w:ascii="Arial" w:eastAsia="Calibri" w:hAnsi="Arial" w:cs="Arial"/>
          <w:bCs/>
          <w:sz w:val="21"/>
          <w:szCs w:val="21"/>
        </w:rPr>
        <w:t>«</w:t>
      </w:r>
      <w:r w:rsidR="0065218F" w:rsidRPr="0065218F">
        <w:rPr>
          <w:rFonts w:ascii="Arial" w:eastAsia="Calibri" w:hAnsi="Arial" w:cs="Arial"/>
          <w:bCs/>
          <w:sz w:val="21"/>
          <w:szCs w:val="21"/>
        </w:rPr>
        <w:t xml:space="preserve">3. En el nuevo contenido del </w:t>
      </w:r>
      <w:bookmarkStart w:id="9" w:name="_Hlk102563128"/>
      <w:r w:rsidR="0065218F" w:rsidRPr="0065218F">
        <w:rPr>
          <w:rFonts w:ascii="Arial" w:eastAsia="Calibri" w:hAnsi="Arial" w:cs="Arial"/>
          <w:bCs/>
          <w:sz w:val="21"/>
          <w:szCs w:val="21"/>
        </w:rPr>
        <w:t>artículo 2.2.1.2.1.5.3</w:t>
      </w:r>
      <w:bookmarkEnd w:id="9"/>
      <w:r w:rsidR="0065218F" w:rsidRPr="0065218F">
        <w:rPr>
          <w:rFonts w:ascii="Arial" w:eastAsia="Calibri" w:hAnsi="Arial" w:cs="Arial"/>
          <w:bCs/>
          <w:sz w:val="21"/>
          <w:szCs w:val="21"/>
        </w:rPr>
        <w:t>. del Decreto 1860 de 2021, ¿Como es la operatividad de este artículo, es el procedimiento que se debe seguir para todas las compras que se realicen en grandes almacenes cuando se trate de mínima cuantía?</w:t>
      </w:r>
      <w:r>
        <w:rPr>
          <w:rFonts w:ascii="Arial" w:eastAsia="Calibri" w:hAnsi="Arial" w:cs="Arial"/>
          <w:bCs/>
          <w:sz w:val="21"/>
          <w:szCs w:val="21"/>
        </w:rPr>
        <w:t>».</w:t>
      </w:r>
    </w:p>
    <w:p w14:paraId="33D11249" w14:textId="77777777" w:rsidR="0065218F" w:rsidRPr="0065218F" w:rsidRDefault="0065218F" w:rsidP="00210E1F">
      <w:pPr>
        <w:ind w:right="476"/>
        <w:jc w:val="both"/>
        <w:rPr>
          <w:rFonts w:ascii="Arial" w:eastAsia="Calibri" w:hAnsi="Arial" w:cs="Arial"/>
          <w:bCs/>
          <w:sz w:val="21"/>
          <w:szCs w:val="21"/>
        </w:rPr>
      </w:pPr>
    </w:p>
    <w:p w14:paraId="68A66998" w14:textId="3C1D6227" w:rsidR="00210E1F" w:rsidRDefault="00663AAC" w:rsidP="00210E1F">
      <w:pPr>
        <w:spacing w:line="276" w:lineRule="auto"/>
        <w:jc w:val="both"/>
        <w:rPr>
          <w:rFonts w:ascii="Arial" w:hAnsi="Arial" w:cs="Arial"/>
          <w:sz w:val="22"/>
          <w:szCs w:val="22"/>
          <w:lang w:val="es-ES_tradnl"/>
        </w:rPr>
      </w:pPr>
      <w:r>
        <w:rPr>
          <w:rFonts w:ascii="Arial" w:eastAsia="Calibri" w:hAnsi="Arial" w:cs="Arial"/>
          <w:sz w:val="22"/>
        </w:rPr>
        <w:t>E</w:t>
      </w:r>
      <w:r w:rsidRPr="006617BC">
        <w:rPr>
          <w:rFonts w:ascii="Arial" w:eastAsia="Calibri" w:hAnsi="Arial" w:cs="Arial"/>
          <w:sz w:val="22"/>
        </w:rPr>
        <w:t xml:space="preserve">l procedimiento </w:t>
      </w:r>
      <w:r w:rsidRPr="006617BC">
        <w:rPr>
          <w:rFonts w:ascii="Arial" w:eastAsia="Calibri" w:hAnsi="Arial" w:cs="Arial"/>
          <w:bCs/>
          <w:color w:val="000000"/>
          <w:sz w:val="22"/>
          <w:szCs w:val="22"/>
          <w:lang w:val="es-ES_tradnl" w:eastAsia="en-US"/>
        </w:rPr>
        <w:t>especial para las adquisiciones en grandes almacenes cuando se trate de mínima cuantía</w:t>
      </w:r>
      <w:r w:rsidRPr="006617BC">
        <w:rPr>
          <w:rFonts w:ascii="Arial" w:eastAsia="Calibri" w:hAnsi="Arial" w:cs="Arial"/>
          <w:sz w:val="22"/>
        </w:rPr>
        <w:t xml:space="preserve"> debe seguir las reglas previstas en </w:t>
      </w:r>
      <w:r>
        <w:rPr>
          <w:rFonts w:ascii="Arial" w:eastAsia="Calibri" w:hAnsi="Arial" w:cs="Arial"/>
          <w:sz w:val="22"/>
        </w:rPr>
        <w:t xml:space="preserve">el </w:t>
      </w:r>
      <w:r w:rsidRPr="00663AAC">
        <w:rPr>
          <w:rFonts w:ascii="Arial" w:eastAsia="Calibri" w:hAnsi="Arial" w:cs="Arial"/>
          <w:bCs/>
          <w:sz w:val="22"/>
        </w:rPr>
        <w:t>artículo 2.2.1.2.1.5.3</w:t>
      </w:r>
      <w:r>
        <w:rPr>
          <w:rFonts w:ascii="Arial" w:eastAsia="Calibri" w:hAnsi="Arial" w:cs="Arial"/>
          <w:bCs/>
          <w:sz w:val="22"/>
        </w:rPr>
        <w:t xml:space="preserve"> del Decreto 1082 de 2015</w:t>
      </w:r>
      <w:r>
        <w:rPr>
          <w:rFonts w:ascii="Arial" w:eastAsia="Calibri" w:hAnsi="Arial" w:cs="Arial"/>
          <w:sz w:val="22"/>
        </w:rPr>
        <w:t xml:space="preserve"> y </w:t>
      </w:r>
      <w:r>
        <w:rPr>
          <w:rFonts w:ascii="Arial" w:hAnsi="Arial" w:cs="Arial"/>
          <w:sz w:val="22"/>
          <w:szCs w:val="22"/>
          <w:lang w:val="es-ES_tradnl"/>
        </w:rPr>
        <w:t>debe concebirse como procedimientos que hacen parte de la modalidad de la mínima cuantía. De hecho, los artículos 2.2.1.2.1.5.3. y 2.2.1.2.1.5.4. del Decreto 1082 de 2015, que regulan esas modalidades, están contenidos en la Subsección 5 que lleva por título «Mínima cuantía». Por tanto, la adquisición en grandes superficies debe continuar tramitándose bajo las disposiciones normativas del Decreto 1082 de 2015, específicamente, lo contenido en su Subsección 5, modificada recientemente por el artículo 2 del Decreto 1860 de 2021.</w:t>
      </w:r>
    </w:p>
    <w:p w14:paraId="4E4B43C4" w14:textId="549D4F7A" w:rsidR="00210E1F" w:rsidRPr="00210E1F" w:rsidRDefault="00210E1F" w:rsidP="00210E1F">
      <w:pPr>
        <w:spacing w:before="120" w:line="276" w:lineRule="auto"/>
        <w:ind w:firstLine="709"/>
        <w:jc w:val="both"/>
        <w:rPr>
          <w:rFonts w:ascii="Arial" w:hAnsi="Arial" w:cs="Arial"/>
          <w:sz w:val="22"/>
          <w:szCs w:val="22"/>
          <w:lang w:val="es-ES_tradnl"/>
        </w:rPr>
      </w:pPr>
      <w:r>
        <w:rPr>
          <w:rFonts w:ascii="Arial" w:eastAsia="Calibri" w:hAnsi="Arial" w:cs="Arial"/>
          <w:sz w:val="22"/>
          <w:szCs w:val="22"/>
          <w:lang w:eastAsia="en-US"/>
        </w:rPr>
        <w:t xml:space="preserve">Al respecto, </w:t>
      </w:r>
      <w:r w:rsidRPr="006617BC">
        <w:rPr>
          <w:rFonts w:ascii="Arial" w:eastAsia="Calibri" w:hAnsi="Arial" w:cs="Arial"/>
          <w:sz w:val="22"/>
          <w:szCs w:val="22"/>
          <w:lang w:eastAsia="en-US"/>
        </w:rPr>
        <w:t xml:space="preserve">es preciso señalar que </w:t>
      </w:r>
      <w:r w:rsidRPr="006617BC">
        <w:rPr>
          <w:rFonts w:ascii="Arial" w:eastAsia="Calibri" w:hAnsi="Arial" w:cs="Arial"/>
          <w:sz w:val="22"/>
          <w:szCs w:val="22"/>
        </w:rPr>
        <w:t xml:space="preserve">cuando el artículo 2.2.1.2.1.5.3. del Decreto 1082 de 2015, modificado por el artículo 2 del Decreto 1860 de 2021, establece que la invitación debe publicarse en el SECOP, esto debe interpretarse en consonancia con lo señalado en los numerales 1.3, 1.4 y 12.2 de la </w:t>
      </w:r>
      <w:r w:rsidRPr="006617BC">
        <w:rPr>
          <w:rFonts w:ascii="Arial" w:eastAsia="Calibri" w:hAnsi="Arial" w:cs="Arial"/>
          <w:bCs/>
          <w:color w:val="000000" w:themeColor="text1"/>
          <w:sz w:val="22"/>
          <w:szCs w:val="22"/>
          <w:lang w:val="es-ES_tradnl" w:eastAsia="en-US"/>
        </w:rPr>
        <w:t xml:space="preserve">Circular </w:t>
      </w:r>
      <w:r w:rsidRPr="006617BC">
        <w:rPr>
          <w:rFonts w:ascii="Arial" w:eastAsia="Calibri" w:hAnsi="Arial" w:cs="Arial"/>
          <w:sz w:val="22"/>
          <w:szCs w:val="22"/>
          <w:lang w:eastAsia="en-US"/>
        </w:rPr>
        <w:t xml:space="preserve">Externa Única de la Agencia Nacional de Contratación Pública – Colombia Compra Eficiente. De este modo, cuando la entidad opte por acudir a la adquisición en grandes almacenes cuando se trate de mínima cuantía a través de Tienda Virtual del Estado Colombiano, este será el componente del SECOP donde realizará la publicidad. Lo anterior teniendo en cuenta las instrucciones determinadas en la </w:t>
      </w:r>
      <w:r w:rsidRPr="006617BC">
        <w:rPr>
          <w:rFonts w:ascii="Arial" w:eastAsia="Calibri" w:hAnsi="Arial" w:cs="Arial"/>
          <w:bCs/>
          <w:color w:val="000000" w:themeColor="text1"/>
          <w:sz w:val="22"/>
          <w:szCs w:val="22"/>
          <w:lang w:val="es-ES_tradnl" w:eastAsia="en-US"/>
        </w:rPr>
        <w:t>«</w:t>
      </w:r>
      <w:r w:rsidRPr="006617BC">
        <w:rPr>
          <w:rFonts w:ascii="Arial" w:eastAsia="Calibri" w:hAnsi="Arial" w:cs="Arial"/>
          <w:bCs/>
          <w:color w:val="000000" w:themeColor="text1"/>
          <w:sz w:val="22"/>
          <w:szCs w:val="22"/>
          <w:lang w:eastAsia="en-US"/>
        </w:rPr>
        <w:t>Guía para la Adquisición en Gran Almacén cuando se trata de mínima cuantía por la Tienda Virtual del Estado Colombiano</w:t>
      </w:r>
      <w:r w:rsidRPr="006617BC">
        <w:rPr>
          <w:rFonts w:ascii="Arial" w:eastAsia="Calibri" w:hAnsi="Arial" w:cs="Arial"/>
          <w:bCs/>
          <w:color w:val="000000" w:themeColor="text1"/>
          <w:sz w:val="22"/>
          <w:szCs w:val="22"/>
          <w:lang w:val="es-ES_tradnl" w:eastAsia="en-US"/>
        </w:rPr>
        <w:t xml:space="preserve">» o el documento que lo remplace. Este proceso, conforme al numeral 1.4 de la Circular, no requeriría publicación en otras plataformas del SECOP sino únicamente en la </w:t>
      </w:r>
      <w:r w:rsidRPr="006617BC">
        <w:rPr>
          <w:rFonts w:ascii="Arial" w:eastAsia="Calibri" w:hAnsi="Arial" w:cs="Arial"/>
          <w:sz w:val="22"/>
          <w:szCs w:val="22"/>
          <w:lang w:eastAsia="en-US"/>
        </w:rPr>
        <w:t>Tienda Virtual del Estado Colombiano.</w:t>
      </w:r>
    </w:p>
    <w:p w14:paraId="73069543" w14:textId="77777777" w:rsidR="0065218F" w:rsidRPr="0065218F" w:rsidRDefault="0065218F" w:rsidP="0065218F">
      <w:pPr>
        <w:ind w:left="709" w:right="474"/>
        <w:jc w:val="both"/>
        <w:rPr>
          <w:rFonts w:ascii="Arial" w:eastAsia="Calibri" w:hAnsi="Arial" w:cs="Arial"/>
          <w:bCs/>
          <w:sz w:val="21"/>
          <w:szCs w:val="21"/>
        </w:rPr>
      </w:pPr>
    </w:p>
    <w:p w14:paraId="216BE8F6" w14:textId="412D1386" w:rsidR="008F51DE" w:rsidRPr="0065218F" w:rsidRDefault="00A50623" w:rsidP="0065218F">
      <w:pPr>
        <w:ind w:left="709" w:right="474"/>
        <w:jc w:val="both"/>
        <w:rPr>
          <w:rFonts w:ascii="Arial" w:eastAsia="Calibri" w:hAnsi="Arial" w:cs="Arial"/>
          <w:bCs/>
          <w:sz w:val="21"/>
          <w:szCs w:val="21"/>
        </w:rPr>
      </w:pPr>
      <w:r>
        <w:rPr>
          <w:rFonts w:ascii="Arial" w:eastAsia="Calibri" w:hAnsi="Arial" w:cs="Arial"/>
          <w:bCs/>
          <w:sz w:val="21"/>
          <w:szCs w:val="21"/>
        </w:rPr>
        <w:t>«</w:t>
      </w:r>
      <w:r w:rsidR="0065218F" w:rsidRPr="0065218F">
        <w:rPr>
          <w:rFonts w:ascii="Arial" w:eastAsia="Calibri" w:hAnsi="Arial" w:cs="Arial"/>
          <w:bCs/>
          <w:sz w:val="21"/>
          <w:szCs w:val="21"/>
        </w:rPr>
        <w:t>5. ¿La Agencia Nacional de Contratación Pública - Colombia Compra Eficiente expidió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r w:rsidR="0065218F" w:rsidRPr="006617BC">
        <w:rPr>
          <w:rFonts w:ascii="Arial" w:eastAsia="Calibri" w:hAnsi="Arial" w:cs="Arial"/>
          <w:bCs/>
          <w:color w:val="000000"/>
          <w:sz w:val="22"/>
          <w:szCs w:val="22"/>
          <w:lang w:val="es-ES_tradnl" w:eastAsia="en-US"/>
        </w:rPr>
        <w:t>»</w:t>
      </w:r>
      <w:r>
        <w:rPr>
          <w:rFonts w:ascii="Arial" w:eastAsia="Calibri" w:hAnsi="Arial" w:cs="Arial"/>
          <w:bCs/>
          <w:color w:val="000000"/>
          <w:sz w:val="22"/>
          <w:szCs w:val="22"/>
          <w:lang w:val="es-ES_tradnl" w:eastAsia="en-US"/>
        </w:rPr>
        <w:t>.</w:t>
      </w:r>
    </w:p>
    <w:p w14:paraId="591F362A" w14:textId="77777777" w:rsidR="008F51DE" w:rsidRDefault="008F51DE" w:rsidP="00950A5B">
      <w:pPr>
        <w:ind w:left="709" w:right="618"/>
        <w:jc w:val="both"/>
        <w:rPr>
          <w:rFonts w:ascii="Arial" w:eastAsia="Calibri" w:hAnsi="Arial" w:cs="Arial"/>
          <w:sz w:val="21"/>
          <w:szCs w:val="21"/>
          <w:lang w:val="es-ES"/>
        </w:rPr>
      </w:pPr>
    </w:p>
    <w:p w14:paraId="29F3BA03" w14:textId="30C901D2" w:rsidR="002017DE" w:rsidRPr="00F46782" w:rsidRDefault="007A6CE7" w:rsidP="002017DE">
      <w:pPr>
        <w:spacing w:line="276" w:lineRule="auto"/>
        <w:jc w:val="both"/>
        <w:rPr>
          <w:rFonts w:ascii="Arial" w:hAnsi="Arial" w:cs="Arial"/>
          <w:sz w:val="22"/>
          <w:lang w:eastAsia="es-MX"/>
        </w:rPr>
      </w:pPr>
      <w:r>
        <w:rPr>
          <w:rFonts w:ascii="Arial" w:hAnsi="Arial" w:cs="Arial"/>
          <w:sz w:val="22"/>
          <w:lang w:eastAsia="es-MX"/>
        </w:rPr>
        <w:t xml:space="preserve">De conformidad con </w:t>
      </w:r>
      <w:r w:rsidRPr="00FA6DF5">
        <w:rPr>
          <w:rFonts w:ascii="Arial" w:hAnsi="Arial" w:cs="Arial"/>
          <w:bCs/>
          <w:sz w:val="22"/>
          <w:lang w:val="es-ES_tradnl" w:eastAsia="es-MX"/>
        </w:rPr>
        <w:t xml:space="preserve">el artículo </w:t>
      </w:r>
      <w:r w:rsidRPr="00FA6DF5">
        <w:rPr>
          <w:rFonts w:ascii="Arial" w:hAnsi="Arial" w:cs="Arial"/>
          <w:sz w:val="22"/>
          <w:lang w:eastAsia="es-MX"/>
        </w:rPr>
        <w:t>2.2.1.2.4.2.16.</w:t>
      </w:r>
      <w:r w:rsidR="00B542D7">
        <w:rPr>
          <w:rFonts w:ascii="Arial" w:hAnsi="Arial" w:cs="Arial"/>
          <w:sz w:val="22"/>
          <w:lang w:eastAsia="es-MX"/>
        </w:rPr>
        <w:t xml:space="preserve"> de</w:t>
      </w:r>
      <w:r w:rsidRPr="00FA6DF5">
        <w:rPr>
          <w:rFonts w:ascii="Arial" w:hAnsi="Arial" w:cs="Arial"/>
          <w:sz w:val="22"/>
          <w:lang w:eastAsia="es-MX"/>
        </w:rPr>
        <w:t>l Decreto 1082 de 2021</w:t>
      </w:r>
      <w:r>
        <w:rPr>
          <w:rFonts w:ascii="Arial" w:hAnsi="Arial" w:cs="Arial"/>
          <w:sz w:val="22"/>
          <w:lang w:eastAsia="es-MX"/>
        </w:rPr>
        <w:t xml:space="preserve">, adicionado por el artículo 3 del Decreto 1860 de 2021, la </w:t>
      </w:r>
      <w:r w:rsidRPr="00DD197A">
        <w:rPr>
          <w:rFonts w:ascii="Arial" w:hAnsi="Arial" w:cs="Arial"/>
          <w:sz w:val="22"/>
          <w:lang w:val="es-ES_tradnl" w:eastAsia="es-MX"/>
        </w:rPr>
        <w:t>provisión</w:t>
      </w:r>
      <w:r>
        <w:rPr>
          <w:rFonts w:ascii="Arial" w:hAnsi="Arial" w:cs="Arial"/>
          <w:sz w:val="22"/>
          <w:lang w:val="es-ES_tradnl" w:eastAsia="es-MX"/>
        </w:rPr>
        <w:t xml:space="preserve"> de los bienes y servicios por parte </w:t>
      </w:r>
      <w:r w:rsidRPr="00FA6DF5">
        <w:rPr>
          <w:rFonts w:ascii="Arial" w:hAnsi="Arial" w:cs="Arial"/>
          <w:sz w:val="22"/>
          <w:lang w:eastAsia="es-MX"/>
        </w:rPr>
        <w:t xml:space="preserve">de </w:t>
      </w:r>
      <w:r>
        <w:rPr>
          <w:rFonts w:ascii="Arial" w:hAnsi="Arial" w:cs="Arial"/>
          <w:sz w:val="22"/>
          <w:lang w:eastAsia="es-MX"/>
        </w:rPr>
        <w:t xml:space="preserve">la </w:t>
      </w:r>
      <w:r w:rsidRPr="00FA6DF5">
        <w:rPr>
          <w:rFonts w:ascii="Arial" w:hAnsi="Arial" w:cs="Arial"/>
          <w:sz w:val="22"/>
          <w:lang w:eastAsia="es-MX"/>
        </w:rPr>
        <w:t>población en pobreza extrema, desplazados por la violencia, personas en proceso de reintegración o reincorporación y sujetos de especial protección constitucional</w:t>
      </w:r>
      <w:r>
        <w:rPr>
          <w:rFonts w:ascii="Arial" w:hAnsi="Arial" w:cs="Arial"/>
          <w:sz w:val="22"/>
          <w:lang w:val="es-ES_tradnl" w:eastAsia="es-MX"/>
        </w:rPr>
        <w:t xml:space="preserve">, </w:t>
      </w:r>
      <w:r w:rsidRPr="00DD197A">
        <w:rPr>
          <w:rFonts w:ascii="Arial" w:hAnsi="Arial" w:cs="Arial"/>
          <w:sz w:val="22"/>
          <w:lang w:val="es-ES_tradnl" w:eastAsia="es-MX"/>
        </w:rPr>
        <w:t xml:space="preserve">se establecerá en un porcentaje que no será superior al diez por ciento (10%) ni inferior al cinco por ciento (5%) de los bienes o servicios requeridos para la ejecución del contrato, </w:t>
      </w:r>
      <w:r w:rsidRPr="00DD197A">
        <w:rPr>
          <w:rFonts w:ascii="Arial" w:hAnsi="Arial" w:cs="Arial"/>
          <w:sz w:val="22"/>
          <w:lang w:val="es-ES_tradnl" w:eastAsia="es-MX"/>
        </w:rPr>
        <w:lastRenderedPageBreak/>
        <w:t>de manera que no se ponga en riesgo su cumplimiento adecuado.</w:t>
      </w:r>
      <w:r>
        <w:rPr>
          <w:rFonts w:ascii="Arial" w:hAnsi="Arial" w:cs="Arial"/>
          <w:sz w:val="22"/>
          <w:lang w:val="es-ES_tradnl" w:eastAsia="es-MX"/>
        </w:rPr>
        <w:t xml:space="preserve"> De este modo,</w:t>
      </w:r>
      <w:r w:rsidR="00B542D7">
        <w:rPr>
          <w:rFonts w:ascii="Arial" w:hAnsi="Arial" w:cs="Arial"/>
          <w:sz w:val="22"/>
          <w:lang w:eastAsia="es-MX"/>
        </w:rPr>
        <w:t xml:space="preserve"> en los procesos de contratación la entidad deberá determinar el porcentaje que se incluirá para la provisión de bienes y servicios por parte de los sujetos mencionados</w:t>
      </w:r>
      <w:r w:rsidR="002017DE">
        <w:rPr>
          <w:rFonts w:ascii="Arial" w:hAnsi="Arial" w:cs="Arial"/>
          <w:sz w:val="22"/>
          <w:lang w:val="es-ES_tradnl" w:eastAsia="es-MX"/>
        </w:rPr>
        <w:t xml:space="preserve"> teniendo en cuenta </w:t>
      </w:r>
      <w:r w:rsidR="00F46782">
        <w:rPr>
          <w:rFonts w:ascii="Arial" w:hAnsi="Arial" w:cs="Arial"/>
          <w:sz w:val="22"/>
          <w:lang w:val="es-ES_tradnl" w:eastAsia="es-MX"/>
        </w:rPr>
        <w:t xml:space="preserve">el rango </w:t>
      </w:r>
      <w:r w:rsidR="002017DE">
        <w:rPr>
          <w:rFonts w:ascii="Arial" w:hAnsi="Arial" w:cs="Arial"/>
          <w:sz w:val="22"/>
          <w:lang w:val="es-ES_tradnl" w:eastAsia="es-MX"/>
        </w:rPr>
        <w:t xml:space="preserve">señalado. </w:t>
      </w:r>
    </w:p>
    <w:p w14:paraId="03085977" w14:textId="28EA31E5" w:rsidR="00950A5B" w:rsidRPr="00E363A3" w:rsidRDefault="002017DE" w:rsidP="002017DE">
      <w:pPr>
        <w:spacing w:before="120" w:line="276" w:lineRule="auto"/>
        <w:ind w:firstLine="709"/>
        <w:jc w:val="both"/>
        <w:rPr>
          <w:rFonts w:ascii="Arial" w:hAnsi="Arial" w:cs="Arial"/>
          <w:i/>
          <w:iCs/>
          <w:sz w:val="22"/>
          <w:lang w:val="es-ES_tradnl" w:eastAsia="es-MX"/>
        </w:rPr>
      </w:pPr>
      <w:r>
        <w:rPr>
          <w:rFonts w:ascii="Arial" w:eastAsia="Calibri" w:hAnsi="Arial" w:cs="Arial"/>
          <w:bCs/>
          <w:sz w:val="22"/>
          <w:szCs w:val="22"/>
        </w:rPr>
        <w:t xml:space="preserve">En cuanto a los documento tipo, </w:t>
      </w:r>
      <w:r w:rsidRPr="002017DE">
        <w:rPr>
          <w:rFonts w:ascii="Arial" w:eastAsia="Calibri" w:hAnsi="Arial" w:cs="Arial"/>
          <w:sz w:val="22"/>
          <w:szCs w:val="22"/>
        </w:rPr>
        <w:t>la Agencia Nacional de Contratación Pública -Colombia Compra Eficiente cuenta con un plazo de</w:t>
      </w:r>
      <w:r w:rsidR="00F46782">
        <w:rPr>
          <w:rFonts w:ascii="Arial" w:eastAsia="Calibri" w:hAnsi="Arial" w:cs="Arial"/>
          <w:sz w:val="22"/>
          <w:szCs w:val="22"/>
        </w:rPr>
        <w:t xml:space="preserve"> seis</w:t>
      </w:r>
      <w:r w:rsidRPr="002017DE">
        <w:rPr>
          <w:rFonts w:ascii="Arial" w:eastAsia="Calibri" w:hAnsi="Arial" w:cs="Arial"/>
          <w:sz w:val="22"/>
          <w:szCs w:val="22"/>
        </w:rPr>
        <w:t xml:space="preserve"> </w:t>
      </w:r>
      <w:r w:rsidR="00F46782">
        <w:rPr>
          <w:rFonts w:ascii="Arial" w:eastAsia="Calibri" w:hAnsi="Arial" w:cs="Arial"/>
          <w:sz w:val="22"/>
          <w:szCs w:val="22"/>
        </w:rPr>
        <w:t>(</w:t>
      </w:r>
      <w:r w:rsidRPr="002017DE">
        <w:rPr>
          <w:rFonts w:ascii="Arial" w:eastAsia="Calibri" w:hAnsi="Arial" w:cs="Arial"/>
          <w:sz w:val="22"/>
          <w:szCs w:val="22"/>
        </w:rPr>
        <w:t>6</w:t>
      </w:r>
      <w:r w:rsidR="00F46782">
        <w:rPr>
          <w:rFonts w:ascii="Arial" w:eastAsia="Calibri" w:hAnsi="Arial" w:cs="Arial"/>
          <w:sz w:val="22"/>
          <w:szCs w:val="22"/>
        </w:rPr>
        <w:t>)</w:t>
      </w:r>
      <w:r w:rsidRPr="002017DE">
        <w:rPr>
          <w:rFonts w:ascii="Arial" w:eastAsia="Calibri" w:hAnsi="Arial" w:cs="Arial"/>
          <w:sz w:val="22"/>
          <w:szCs w:val="22"/>
        </w:rPr>
        <w:t xml:space="preserve"> meses</w:t>
      </w:r>
      <w:r w:rsidR="00E363A3">
        <w:rPr>
          <w:rFonts w:ascii="Arial" w:eastAsia="Calibri" w:hAnsi="Arial" w:cs="Arial"/>
          <w:sz w:val="22"/>
          <w:szCs w:val="22"/>
        </w:rPr>
        <w:t xml:space="preserve"> contados a partir de la expedición del Decreto 1860 de 2021</w:t>
      </w:r>
      <w:r w:rsidRPr="002017DE">
        <w:rPr>
          <w:rFonts w:ascii="Arial" w:eastAsia="Calibri" w:hAnsi="Arial" w:cs="Arial"/>
          <w:sz w:val="22"/>
          <w:szCs w:val="22"/>
        </w:rPr>
        <w:t xml:space="preserve"> para </w:t>
      </w:r>
      <w:r w:rsidR="00E363A3">
        <w:rPr>
          <w:rFonts w:ascii="Arial" w:eastAsia="Calibri" w:hAnsi="Arial" w:cs="Arial"/>
          <w:sz w:val="22"/>
          <w:szCs w:val="22"/>
        </w:rPr>
        <w:t xml:space="preserve">adecuar estos documentos con las disposiciones de dicho decreto, </w:t>
      </w:r>
      <w:r>
        <w:rPr>
          <w:rFonts w:ascii="Arial" w:eastAsia="Calibri" w:hAnsi="Arial" w:cs="Arial"/>
          <w:sz w:val="22"/>
          <w:szCs w:val="22"/>
        </w:rPr>
        <w:t xml:space="preserve">conforme lo señalado </w:t>
      </w:r>
      <w:r w:rsidRPr="002017DE">
        <w:rPr>
          <w:rFonts w:ascii="Arial" w:eastAsia="Calibri" w:hAnsi="Arial" w:cs="Arial"/>
          <w:bCs/>
          <w:sz w:val="22"/>
          <w:szCs w:val="22"/>
        </w:rPr>
        <w:t>en el parágrafo 2 del</w:t>
      </w:r>
      <w:r>
        <w:rPr>
          <w:rFonts w:ascii="Arial" w:eastAsia="Calibri" w:hAnsi="Arial" w:cs="Arial"/>
          <w:bCs/>
          <w:sz w:val="22"/>
          <w:szCs w:val="22"/>
        </w:rPr>
        <w:t xml:space="preserve"> </w:t>
      </w:r>
      <w:r w:rsidRPr="002017DE">
        <w:rPr>
          <w:rFonts w:ascii="Arial" w:eastAsia="Calibri" w:hAnsi="Arial" w:cs="Arial"/>
          <w:bCs/>
          <w:sz w:val="22"/>
          <w:szCs w:val="22"/>
        </w:rPr>
        <w:t>artículo</w:t>
      </w:r>
      <w:r>
        <w:rPr>
          <w:rFonts w:ascii="Arial" w:eastAsia="Calibri" w:hAnsi="Arial" w:cs="Arial"/>
          <w:bCs/>
          <w:sz w:val="22"/>
          <w:szCs w:val="22"/>
        </w:rPr>
        <w:t xml:space="preserve"> 8 </w:t>
      </w:r>
      <w:r w:rsidR="00E363A3" w:rsidRPr="00E363A3">
        <w:rPr>
          <w:rFonts w:ascii="Arial" w:eastAsia="Calibri" w:hAnsi="Arial" w:cs="Arial"/>
          <w:bCs/>
          <w:i/>
          <w:iCs/>
          <w:sz w:val="22"/>
          <w:szCs w:val="22"/>
        </w:rPr>
        <w:t>ibidem</w:t>
      </w:r>
      <w:r w:rsidR="00D6391D">
        <w:rPr>
          <w:rFonts w:ascii="Arial" w:eastAsia="Calibri" w:hAnsi="Arial" w:cs="Arial"/>
          <w:bCs/>
          <w:i/>
          <w:iCs/>
          <w:sz w:val="22"/>
          <w:szCs w:val="22"/>
        </w:rPr>
        <w:t xml:space="preserve">, </w:t>
      </w:r>
      <w:r w:rsidR="00D6391D" w:rsidRPr="00D6391D">
        <w:rPr>
          <w:rFonts w:ascii="Arial" w:eastAsia="Calibri" w:hAnsi="Arial" w:cs="Arial"/>
          <w:bCs/>
          <w:sz w:val="22"/>
          <w:szCs w:val="22"/>
        </w:rPr>
        <w:t>plazo que actualmente se encuentra vigente.</w:t>
      </w:r>
      <w:r w:rsidR="00D6391D">
        <w:rPr>
          <w:rFonts w:ascii="Arial" w:eastAsia="Calibri" w:hAnsi="Arial" w:cs="Arial"/>
          <w:bCs/>
          <w:i/>
          <w:iCs/>
          <w:sz w:val="22"/>
          <w:szCs w:val="22"/>
        </w:rPr>
        <w:t xml:space="preserve"> </w:t>
      </w:r>
    </w:p>
    <w:p w14:paraId="0128BF97" w14:textId="77777777" w:rsidR="00873BDE" w:rsidRPr="00873BDE" w:rsidRDefault="00873BDE" w:rsidP="00873BDE">
      <w:pPr>
        <w:spacing w:line="276" w:lineRule="auto"/>
        <w:ind w:firstLine="709"/>
        <w:jc w:val="both"/>
        <w:rPr>
          <w:rFonts w:ascii="Arial" w:eastAsia="Calibri" w:hAnsi="Arial" w:cs="Arial"/>
          <w:sz w:val="22"/>
        </w:rPr>
      </w:pPr>
    </w:p>
    <w:p w14:paraId="056816F7" w14:textId="5C200F74" w:rsidR="00D40F8B" w:rsidRPr="00A51520"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5B1641D4" w:rsidR="00D40F8B" w:rsidRPr="00A51520" w:rsidRDefault="00ED1520"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FE849F0" wp14:editId="0D6979EC">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50438417" w:rsidR="00B17563" w:rsidRPr="00A51520" w:rsidRDefault="003D1E4F"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w:t>
            </w:r>
            <w:r w:rsidR="001B6EBB">
              <w:rPr>
                <w:rFonts w:ascii="Arial" w:hAnsi="Arial" w:cs="Arial"/>
                <w:color w:val="000000" w:themeColor="text1"/>
                <w:sz w:val="16"/>
                <w:szCs w:val="16"/>
                <w:lang w:val="es-ES_tradnl" w:eastAsia="es-ES"/>
              </w:rPr>
              <w:t xml:space="preserve">Penagos </w:t>
            </w:r>
          </w:p>
          <w:p w14:paraId="130B3228" w14:textId="1B1C1BDC" w:rsidR="00DD5B04" w:rsidRPr="00A51520" w:rsidRDefault="002E70BF" w:rsidP="00F412DF">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Gesto</w:t>
            </w:r>
            <w:r w:rsidR="00015BD4">
              <w:rPr>
                <w:rFonts w:ascii="Arial" w:hAnsi="Arial" w:cs="Arial"/>
                <w:color w:val="000000"/>
                <w:sz w:val="16"/>
                <w:szCs w:val="16"/>
                <w:shd w:val="clear" w:color="auto" w:fill="FFFFFF"/>
              </w:rPr>
              <w:t>r</w:t>
            </w:r>
            <w:r>
              <w:rPr>
                <w:rFonts w:ascii="Arial" w:hAnsi="Arial" w:cs="Arial"/>
                <w:color w:val="000000"/>
                <w:sz w:val="16"/>
                <w:szCs w:val="16"/>
                <w:shd w:val="clear" w:color="auto" w:fill="FFFFFF"/>
              </w:rPr>
              <w:t xml:space="preserve"> T1-15</w:t>
            </w:r>
            <w:r w:rsidR="00F412DF" w:rsidRPr="00A51520">
              <w:rPr>
                <w:rFonts w:ascii="Arial" w:hAnsi="Arial" w:cs="Arial"/>
                <w:color w:val="000000"/>
                <w:sz w:val="16"/>
                <w:szCs w:val="16"/>
                <w:shd w:val="clear" w:color="auto" w:fill="FFFFFF"/>
              </w:rPr>
              <w:t xml:space="preserve"> 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51520" w:rsidRDefault="00C05A61"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 xml:space="preserve">Jorge </w:t>
            </w:r>
            <w:r w:rsidR="00647A36" w:rsidRPr="00A51520">
              <w:rPr>
                <w:rFonts w:ascii="Arial" w:hAnsi="Arial" w:cs="Arial"/>
                <w:color w:val="000000" w:themeColor="text1"/>
                <w:sz w:val="16"/>
                <w:szCs w:val="16"/>
                <w:lang w:val="es-ES_tradnl" w:eastAsia="es-ES"/>
              </w:rPr>
              <w:t xml:space="preserve">Augusto </w:t>
            </w:r>
            <w:r w:rsidRPr="00A51520">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Subdirector de Gestión Contractual</w:t>
            </w:r>
            <w:r w:rsidR="00973AA2" w:rsidRPr="00A51520">
              <w:rPr>
                <w:rFonts w:ascii="Arial" w:hAnsi="Arial" w:cs="Arial"/>
                <w:color w:val="000000" w:themeColor="text1"/>
                <w:sz w:val="16"/>
                <w:szCs w:val="16"/>
                <w:lang w:val="es-ES_tradnl" w:eastAsia="es-ES"/>
              </w:rPr>
              <w:t xml:space="preserve"> </w:t>
            </w:r>
            <w:r w:rsidR="00973AA2" w:rsidRPr="00A51520">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5"/>
      <w:footerReference w:type="default" r:id="rId16"/>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BE1AC" w14:textId="77777777" w:rsidR="00E17B87" w:rsidRDefault="00E17B87">
      <w:r>
        <w:separator/>
      </w:r>
    </w:p>
  </w:endnote>
  <w:endnote w:type="continuationSeparator" w:id="0">
    <w:p w14:paraId="31A33B65" w14:textId="77777777" w:rsidR="00E17B87" w:rsidRDefault="00E17B87">
      <w:r>
        <w:continuationSeparator/>
      </w:r>
    </w:p>
  </w:endnote>
  <w:endnote w:type="continuationNotice" w:id="1">
    <w:p w14:paraId="1BEACEE7" w14:textId="77777777" w:rsidR="00E17B87" w:rsidRDefault="00E17B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DCD8" w14:textId="77777777" w:rsidR="00E17B87" w:rsidRDefault="00E17B87">
      <w:r>
        <w:separator/>
      </w:r>
    </w:p>
  </w:footnote>
  <w:footnote w:type="continuationSeparator" w:id="0">
    <w:p w14:paraId="3392F352" w14:textId="77777777" w:rsidR="00E17B87" w:rsidRDefault="00E17B87">
      <w:r>
        <w:continuationSeparator/>
      </w:r>
    </w:p>
  </w:footnote>
  <w:footnote w:type="continuationNotice" w:id="1">
    <w:p w14:paraId="74329755" w14:textId="77777777" w:rsidR="00E17B87" w:rsidRDefault="00E17B87"/>
  </w:footnote>
  <w:footnote w:id="2">
    <w:p w14:paraId="25E4F92F" w14:textId="21A1A00B" w:rsidR="00E9592E" w:rsidRPr="00E9592E" w:rsidRDefault="00E9592E" w:rsidP="00E9592E">
      <w:pPr>
        <w:pStyle w:val="Textonotapie"/>
        <w:ind w:firstLine="709"/>
        <w:rPr>
          <w:lang w:val="es-CO"/>
        </w:rPr>
      </w:pPr>
      <w:r>
        <w:rPr>
          <w:rStyle w:val="Refdenotaalpie"/>
        </w:rPr>
        <w:footnoteRef/>
      </w:r>
      <w:r>
        <w:t xml:space="preserve"> </w:t>
      </w:r>
      <w:r w:rsidRPr="00E9592E">
        <w:rPr>
          <w:sz w:val="16"/>
          <w:szCs w:val="16"/>
          <w:lang w:val="es-CO"/>
        </w:rPr>
        <w:t>E</w:t>
      </w:r>
      <w:r w:rsidRPr="00E9592E">
        <w:rPr>
          <w:rFonts w:ascii="Arial" w:hAnsi="Arial" w:cs="Arial"/>
          <w:sz w:val="16"/>
          <w:szCs w:val="16"/>
          <w:lang w:val="es-CO"/>
        </w:rPr>
        <w:t>stos conceptos pueden ser consultados en https://relatoria.colombiacompra.gov.co/busqueda/conceptos#</w:t>
      </w:r>
    </w:p>
  </w:footnote>
  <w:footnote w:id="3">
    <w:p w14:paraId="23FFA815" w14:textId="1CFF5F03" w:rsidR="00063085" w:rsidRDefault="00063085" w:rsidP="00063085">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w:t>
      </w:r>
      <w:proofErr w:type="spellStart"/>
      <w:r>
        <w:rPr>
          <w:rFonts w:ascii="Arial" w:hAnsi="Arial" w:cs="Arial"/>
          <w:color w:val="000000" w:themeColor="text1"/>
          <w:sz w:val="19"/>
          <w:szCs w:val="19"/>
        </w:rPr>
        <w:t>Exp</w:t>
      </w:r>
      <w:proofErr w:type="spellEnd"/>
      <w:r>
        <w:rPr>
          <w:rFonts w:ascii="Arial" w:hAnsi="Arial" w:cs="Arial"/>
          <w:color w:val="000000" w:themeColor="text1"/>
          <w:sz w:val="19"/>
          <w:szCs w:val="19"/>
        </w:rPr>
        <w:t>. 26.140. C.P. Carlos Alberto Zambrano Barrera).</w:t>
      </w:r>
    </w:p>
    <w:p w14:paraId="0BECBDE0" w14:textId="77777777" w:rsidR="00063085" w:rsidRDefault="00063085" w:rsidP="00063085">
      <w:pPr>
        <w:pStyle w:val="Textonotapie"/>
        <w:ind w:firstLine="709"/>
        <w:jc w:val="both"/>
        <w:rPr>
          <w:rFonts w:ascii="Arial" w:hAnsi="Arial" w:cs="Arial"/>
          <w:color w:val="000000" w:themeColor="text1"/>
          <w:sz w:val="19"/>
          <w:szCs w:val="19"/>
        </w:rPr>
      </w:pPr>
    </w:p>
  </w:footnote>
  <w:footnote w:id="4">
    <w:p w14:paraId="21DFEA79" w14:textId="77777777" w:rsidR="00063085" w:rsidRDefault="00063085" w:rsidP="00063085">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2632EA51" w14:textId="77777777" w:rsidR="00063085" w:rsidRDefault="00063085" w:rsidP="00063085">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»a) Se publicará una invitación, por un término no inferior a un día hábil, en la cual se señalará el objeto a contratar, el presupuesto destinado para tal fin, así como las condiciones técnicas exigidas;</w:t>
      </w:r>
    </w:p>
    <w:p w14:paraId="0A53EE69" w14:textId="77777777" w:rsidR="00063085" w:rsidRDefault="00063085" w:rsidP="00063085">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»b) El término previsto en la invitación para presentar la oferta no podrá ser inferior a un día hábil;</w:t>
      </w:r>
    </w:p>
    <w:p w14:paraId="50EDE279" w14:textId="77777777" w:rsidR="00063085" w:rsidRDefault="00063085" w:rsidP="00063085">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»c) La entidad seleccionará, mediante comunicación de aceptación de la oferta, la propuesta con el menor precio, siempre y cuando cumpla con las condiciones exigidas;</w:t>
      </w:r>
    </w:p>
    <w:p w14:paraId="51161BDD" w14:textId="77777777" w:rsidR="00063085" w:rsidRDefault="00063085" w:rsidP="00063085">
      <w:pPr>
        <w:pStyle w:val="Textonotapie"/>
        <w:ind w:firstLine="709"/>
        <w:jc w:val="both"/>
        <w:rPr>
          <w:rFonts w:ascii="Arial" w:hAnsi="Arial" w:cs="Arial"/>
          <w:color w:val="000000" w:themeColor="text1"/>
          <w:sz w:val="19"/>
          <w:szCs w:val="19"/>
          <w:lang w:val="es-ES"/>
        </w:rPr>
      </w:pPr>
      <w:r>
        <w:rPr>
          <w:rFonts w:ascii="Arial" w:hAnsi="Arial" w:cs="Arial"/>
          <w:color w:val="000000" w:themeColor="text1"/>
          <w:sz w:val="19"/>
          <w:szCs w:val="19"/>
        </w:rPr>
        <w:t>»d) La comunicación de aceptación junto con la oferta constituye para todos los efectos el contrato celebrado, con base en lo cual se efectuará el respectivo registro presupuestal».</w:t>
      </w:r>
    </w:p>
  </w:footnote>
  <w:footnote w:id="5">
    <w:p w14:paraId="33F40E7E" w14:textId="77777777" w:rsidR="00B44BDA" w:rsidRDefault="00B44BDA" w:rsidP="00B44BDA">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bookmarkStart w:id="5" w:name="_Hlk94513421"/>
      <w:r>
        <w:rPr>
          <w:rFonts w:ascii="Arial" w:hAnsi="Arial" w:cs="Arial"/>
          <w:sz w:val="19"/>
          <w:szCs w:val="19"/>
        </w:rPr>
        <w:t>»</w:t>
      </w:r>
      <w:bookmarkEnd w:id="5"/>
      <w:r>
        <w:rPr>
          <w:rFonts w:ascii="Arial" w:hAnsi="Arial" w:cs="Arial"/>
          <w:sz w:val="19"/>
          <w:szCs w:val="19"/>
        </w:rPr>
        <w:t>.</w:t>
      </w:r>
    </w:p>
  </w:footnote>
  <w:footnote w:id="6">
    <w:p w14:paraId="0F8FA382"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Style w:val="Refdenotaalpie"/>
          <w:rFonts w:ascii="Arial" w:hAnsi="Arial" w:cs="Arial"/>
          <w:color w:val="000000" w:themeColor="text1"/>
          <w:sz w:val="19"/>
          <w:szCs w:val="19"/>
          <w:lang w:val="es-ES_tradnl"/>
        </w:rPr>
        <w:footnoteRef/>
      </w:r>
      <w:r w:rsidRPr="007B2626">
        <w:rPr>
          <w:rFonts w:ascii="Arial" w:hAnsi="Arial" w:cs="Arial"/>
          <w:color w:val="000000" w:themeColor="text1"/>
          <w:sz w:val="19"/>
          <w:szCs w:val="19"/>
          <w:lang w:val="es-ES_tradnl"/>
        </w:rPr>
        <w:t xml:space="preserve"> Esto lo ratifica el artículo 2.2.1.2.1.5.2. del Decreto 1082 de 2015.</w:t>
      </w:r>
    </w:p>
    <w:p w14:paraId="14807045"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p>
  </w:footnote>
  <w:footnote w:id="7">
    <w:p w14:paraId="1E5FC9D4"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Style w:val="Refdenotaalpie"/>
          <w:rFonts w:ascii="Arial" w:hAnsi="Arial" w:cs="Arial"/>
          <w:color w:val="000000" w:themeColor="text1"/>
          <w:sz w:val="19"/>
          <w:szCs w:val="19"/>
          <w:lang w:val="es-ES_tradnl"/>
        </w:rPr>
        <w:footnoteRef/>
      </w:r>
      <w:r w:rsidRPr="007B2626">
        <w:rPr>
          <w:rFonts w:ascii="Arial" w:hAnsi="Arial" w:cs="Arial"/>
          <w:color w:val="000000" w:themeColor="text1"/>
          <w:sz w:val="19"/>
          <w:szCs w:val="19"/>
          <w:lang w:val="es-ES_tradnl"/>
        </w:rPr>
        <w:t xml:space="preserve"> DÁVILA VINUEZA, Luis Guillermo. Régimen jurídico de la contratación estatal. 3ª ed. Bogotá: Legis, 2016. p. 463.</w:t>
      </w:r>
    </w:p>
    <w:p w14:paraId="5BCE9DC9"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p>
  </w:footnote>
  <w:footnote w:id="8">
    <w:p w14:paraId="208804B5"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Style w:val="Refdenotaalpie"/>
          <w:rFonts w:ascii="Arial" w:hAnsi="Arial" w:cs="Arial"/>
          <w:color w:val="000000" w:themeColor="text1"/>
          <w:sz w:val="19"/>
          <w:szCs w:val="19"/>
          <w:lang w:val="es-ES_tradnl"/>
        </w:rPr>
        <w:footnoteRef/>
      </w:r>
      <w:r w:rsidRPr="007B2626">
        <w:rPr>
          <w:rFonts w:ascii="Arial" w:hAnsi="Arial" w:cs="Arial"/>
          <w:color w:val="000000" w:themeColor="text1"/>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1D2961AF"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57952674"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0FF10C9B"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2D7D4F55"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3B592C1F" w14:textId="77777777" w:rsidR="006E0D16" w:rsidRPr="007B2626" w:rsidRDefault="006E0D16" w:rsidP="006E0D16">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footnote>
  <w:footnote w:id="9">
    <w:p w14:paraId="3092C491" w14:textId="77777777" w:rsidR="004A73E3" w:rsidRPr="009E479B" w:rsidRDefault="004A73E3" w:rsidP="004A73E3">
      <w:pPr>
        <w:pStyle w:val="Textonotapie"/>
        <w:ind w:firstLine="709"/>
        <w:jc w:val="both"/>
        <w:rPr>
          <w:rFonts w:ascii="Arial" w:hAnsi="Arial" w:cs="Arial"/>
          <w:sz w:val="19"/>
          <w:szCs w:val="19"/>
        </w:rPr>
      </w:pPr>
      <w:r>
        <w:rPr>
          <w:rStyle w:val="Refdenotaalpie"/>
        </w:rPr>
        <w:footnoteRef/>
      </w:r>
      <w:r>
        <w:t xml:space="preserve"> </w:t>
      </w:r>
      <w:r w:rsidRPr="007B2626">
        <w:rPr>
          <w:rFonts w:ascii="Arial" w:hAnsi="Arial" w:cs="Arial"/>
          <w:color w:val="000000" w:themeColor="text1"/>
          <w:sz w:val="19"/>
          <w:szCs w:val="19"/>
          <w:lang w:val="es-ES_tradnl"/>
        </w:rPr>
        <w:t>«</w:t>
      </w:r>
      <w:r>
        <w:rPr>
          <w:rFonts w:ascii="Arial" w:hAnsi="Arial" w:cs="Arial"/>
          <w:sz w:val="19"/>
          <w:szCs w:val="19"/>
        </w:rPr>
        <w:t>A</w:t>
      </w:r>
      <w:r w:rsidRPr="009E479B">
        <w:rPr>
          <w:rFonts w:ascii="Arial" w:hAnsi="Arial" w:cs="Arial"/>
          <w:sz w:val="19"/>
          <w:szCs w:val="19"/>
        </w:rPr>
        <w:t xml:space="preserve">rtículo 6. </w:t>
      </w:r>
      <w:r>
        <w:rPr>
          <w:rFonts w:ascii="Arial" w:hAnsi="Arial" w:cs="Arial"/>
          <w:sz w:val="19"/>
          <w:szCs w:val="19"/>
        </w:rPr>
        <w:t>D</w:t>
      </w:r>
      <w:r w:rsidRPr="009E479B">
        <w:rPr>
          <w:rFonts w:ascii="Arial" w:hAnsi="Arial" w:cs="Arial"/>
          <w:sz w:val="19"/>
          <w:szCs w:val="19"/>
        </w:rPr>
        <w:t>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6E91025" w14:textId="098BB855" w:rsidR="004A73E3" w:rsidRPr="004A73E3" w:rsidRDefault="004A73E3" w:rsidP="004A73E3">
      <w:pPr>
        <w:pStyle w:val="Textonotapie"/>
        <w:ind w:firstLine="709"/>
        <w:jc w:val="both"/>
        <w:rPr>
          <w:lang w:val="es-CO"/>
        </w:rPr>
      </w:pPr>
      <w:r w:rsidRPr="007B2626">
        <w:rPr>
          <w:rFonts w:ascii="Arial" w:hAnsi="Arial" w:cs="Arial"/>
          <w:color w:val="000000" w:themeColor="text1"/>
          <w:sz w:val="19"/>
          <w:szCs w:val="19"/>
          <w:lang w:val="es-ES_tradnl"/>
        </w:rPr>
        <w:t>»</w:t>
      </w:r>
      <w:r w:rsidRPr="009E479B">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9E479B">
        <w:rPr>
          <w:rFonts w:ascii="Arial" w:hAnsi="Arial" w:cs="Arial"/>
          <w:color w:val="000000" w:themeColor="text1"/>
          <w:sz w:val="19"/>
          <w:szCs w:val="19"/>
          <w:lang w:val="es-ES_tradnl"/>
        </w:rPr>
        <w:t xml:space="preserve"> </w:t>
      </w:r>
      <w:r>
        <w:rPr>
          <w:rFonts w:ascii="Arial" w:hAnsi="Arial" w:cs="Arial"/>
          <w:color w:val="000000" w:themeColor="text1"/>
          <w:sz w:val="19"/>
          <w:szCs w:val="19"/>
          <w:lang w:val="es-ES_tradnl"/>
        </w:rPr>
        <w:t>[…]</w:t>
      </w:r>
      <w:r w:rsidRPr="007B2626">
        <w:rPr>
          <w:rFonts w:ascii="Arial" w:hAnsi="Arial" w:cs="Arial"/>
          <w:color w:val="000000" w:themeColor="text1"/>
          <w:sz w:val="19"/>
          <w:szCs w:val="19"/>
          <w:lang w:val="es-ES_tradnl"/>
        </w:rPr>
        <w:t>»</w:t>
      </w:r>
    </w:p>
  </w:footnote>
  <w:footnote w:id="10">
    <w:p w14:paraId="18186DE8" w14:textId="77777777" w:rsidR="00053EBE" w:rsidRPr="001C72E7" w:rsidRDefault="00053EBE" w:rsidP="00053EBE">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7C3D0BA9" w14:textId="77777777" w:rsidR="00053EBE" w:rsidRPr="001C72E7" w:rsidRDefault="00053EBE" w:rsidP="00053EBE">
      <w:pPr>
        <w:pStyle w:val="Textonotapie"/>
        <w:ind w:firstLine="708"/>
        <w:jc w:val="both"/>
        <w:rPr>
          <w:rFonts w:ascii="Arial" w:hAnsi="Arial" w:cs="Arial"/>
          <w:sz w:val="19"/>
          <w:szCs w:val="19"/>
        </w:rPr>
      </w:pPr>
    </w:p>
  </w:footnote>
  <w:footnote w:id="11">
    <w:p w14:paraId="3D31C07D" w14:textId="77777777" w:rsidR="00145D56" w:rsidRDefault="00145D56" w:rsidP="00145D56">
      <w:pPr>
        <w:pStyle w:val="Textonotapie"/>
        <w:ind w:firstLine="709"/>
        <w:jc w:val="both"/>
        <w:rPr>
          <w:rFonts w:ascii="Arial" w:hAnsi="Arial" w:cs="Arial"/>
          <w:color w:val="000000" w:themeColor="text1"/>
          <w:sz w:val="19"/>
          <w:szCs w:val="19"/>
          <w:lang w:val="es-ES_tradnl"/>
        </w:rPr>
      </w:pPr>
      <w:r>
        <w:rPr>
          <w:rStyle w:val="Refdenotaalpie"/>
          <w:rFonts w:ascii="Arial" w:hAnsi="Arial" w:cs="Arial"/>
          <w:color w:val="000000" w:themeColor="text1"/>
          <w:sz w:val="19"/>
          <w:szCs w:val="19"/>
          <w:lang w:val="es-ES_tradnl"/>
        </w:rPr>
        <w:footnoteRef/>
      </w:r>
      <w:r>
        <w:rPr>
          <w:rFonts w:ascii="Arial" w:hAnsi="Arial" w:cs="Arial"/>
          <w:color w:val="000000" w:themeColor="text1"/>
          <w:sz w:val="19"/>
          <w:szCs w:val="19"/>
          <w:lang w:val="es-ES_tradnl"/>
        </w:rPr>
        <w:t xml:space="preserve"> Como lo indica la doctrina, en la mínima cuantía «El precio es el factor de selección del proponente. Es decir, la </w:t>
      </w:r>
      <w:r>
        <w:rPr>
          <w:rFonts w:ascii="Arial" w:hAnsi="Arial" w:cs="Arial"/>
          <w:i/>
          <w:iCs/>
          <w:color w:val="000000" w:themeColor="text1"/>
          <w:sz w:val="19"/>
          <w:szCs w:val="19"/>
          <w:lang w:val="es-ES_tradnl"/>
        </w:rPr>
        <w:t>entidad estatal</w:t>
      </w:r>
      <w:r>
        <w:rPr>
          <w:rFonts w:ascii="Arial" w:hAnsi="Arial" w:cs="Arial"/>
          <w:color w:val="000000" w:themeColor="text1"/>
          <w:sz w:val="19"/>
          <w:szCs w:val="19"/>
          <w:lang w:val="es-ES_tradnl"/>
        </w:rPr>
        <w:t xml:space="preserve"> debe adjudicar el </w:t>
      </w:r>
      <w:r>
        <w:rPr>
          <w:rFonts w:ascii="Arial" w:hAnsi="Arial" w:cs="Arial"/>
          <w:i/>
          <w:iCs/>
          <w:color w:val="000000" w:themeColor="text1"/>
          <w:sz w:val="19"/>
          <w:szCs w:val="19"/>
          <w:lang w:val="es-ES_tradnl"/>
        </w:rPr>
        <w:t>proceso de contratación</w:t>
      </w:r>
      <w:r>
        <w:rPr>
          <w:rFonts w:ascii="Arial" w:hAnsi="Arial" w:cs="Arial"/>
          <w:color w:val="000000" w:themeColor="text1"/>
          <w:sz w:val="19"/>
          <w:szCs w:val="19"/>
          <w:lang w:val="es-ES_tradnl"/>
        </w:rPr>
        <w:t xml:space="preserve"> al oferente que cumpla con todas las condiciones exigidas por la </w:t>
      </w:r>
      <w:r>
        <w:rPr>
          <w:rFonts w:ascii="Arial" w:hAnsi="Arial" w:cs="Arial"/>
          <w:i/>
          <w:iCs/>
          <w:color w:val="000000" w:themeColor="text1"/>
          <w:sz w:val="19"/>
          <w:szCs w:val="19"/>
          <w:lang w:val="es-ES_tradnl"/>
        </w:rPr>
        <w:t>entidad estatal</w:t>
      </w:r>
      <w:r>
        <w:rPr>
          <w:rFonts w:ascii="Arial" w:hAnsi="Arial" w:cs="Arial"/>
          <w:color w:val="000000" w:themeColor="text1"/>
          <w:sz w:val="19"/>
          <w:szCs w:val="19"/>
          <w:lang w:val="es-ES_tradnl"/>
        </w:rPr>
        <w:t xml:space="preserve"> en los </w:t>
      </w:r>
      <w:r>
        <w:rPr>
          <w:rFonts w:ascii="Arial" w:hAnsi="Arial" w:cs="Arial"/>
          <w:i/>
          <w:iCs/>
          <w:color w:val="000000" w:themeColor="text1"/>
          <w:sz w:val="19"/>
          <w:szCs w:val="19"/>
          <w:lang w:val="es-ES_tradnl"/>
        </w:rPr>
        <w:t>documentos del proceso</w:t>
      </w:r>
      <w:r>
        <w:rPr>
          <w:rFonts w:ascii="Arial" w:hAnsi="Arial" w:cs="Arial"/>
          <w:color w:val="000000" w:themeColor="text1"/>
          <w:sz w:val="19"/>
          <w:szCs w:val="19"/>
          <w:lang w:val="es-ES_tradnl"/>
        </w:rPr>
        <w:t xml:space="preserve"> (estudios previos e invitación a participar), y que ofrezca el menor valor. No hay lugar a puntajes para evaluar las ofertas sobre las características del objeto a contratar, su calidad o condiciones» (DÁVILA, </w:t>
      </w:r>
      <w:proofErr w:type="spellStart"/>
      <w:r>
        <w:rPr>
          <w:rFonts w:ascii="Arial" w:hAnsi="Arial" w:cs="Arial"/>
          <w:color w:val="000000" w:themeColor="text1"/>
          <w:sz w:val="19"/>
          <w:szCs w:val="19"/>
          <w:lang w:val="es-ES_tradnl"/>
        </w:rPr>
        <w:t>Op.cit</w:t>
      </w:r>
      <w:proofErr w:type="spellEnd"/>
      <w:r>
        <w:rPr>
          <w:rFonts w:ascii="Arial" w:hAnsi="Arial" w:cs="Arial"/>
          <w:color w:val="000000" w:themeColor="text1"/>
          <w:sz w:val="19"/>
          <w:szCs w:val="19"/>
          <w:lang w:val="es-ES_tradnl"/>
        </w:rPr>
        <w:t>., p. 515).</w:t>
      </w:r>
    </w:p>
    <w:p w14:paraId="38B245F7" w14:textId="77777777" w:rsidR="00145D56" w:rsidRDefault="00145D56" w:rsidP="00145D56">
      <w:pPr>
        <w:pStyle w:val="Textonotapie"/>
        <w:ind w:firstLine="709"/>
        <w:jc w:val="both"/>
        <w:rPr>
          <w:rFonts w:ascii="Arial" w:hAnsi="Arial" w:cs="Arial"/>
          <w:color w:val="000000" w:themeColor="text1"/>
          <w:sz w:val="19"/>
          <w:szCs w:val="19"/>
          <w:lang w:val="es-ES_tradnl"/>
        </w:rPr>
      </w:pPr>
    </w:p>
  </w:footnote>
  <w:footnote w:id="12">
    <w:p w14:paraId="5CFC9515" w14:textId="77777777" w:rsidR="00AE02C4" w:rsidRPr="009440FA" w:rsidRDefault="00AE02C4" w:rsidP="00AE02C4">
      <w:pPr>
        <w:pStyle w:val="Textonotapie"/>
        <w:ind w:firstLine="709"/>
        <w:jc w:val="both"/>
        <w:rPr>
          <w:rFonts w:ascii="Arial" w:hAnsi="Arial" w:cs="Arial"/>
          <w:sz w:val="19"/>
          <w:szCs w:val="19"/>
        </w:rPr>
      </w:pPr>
      <w:r>
        <w:rPr>
          <w:rStyle w:val="Refdenotaalpie"/>
        </w:rPr>
        <w:footnoteRef/>
      </w:r>
      <w:r>
        <w:t xml:space="preserve"> </w:t>
      </w:r>
      <w:r w:rsidRPr="009440FA">
        <w:rPr>
          <w:rFonts w:ascii="Arial" w:hAnsi="Arial" w:cs="Arial"/>
          <w:sz w:val="19"/>
          <w:szCs w:val="19"/>
        </w:rPr>
        <w:t xml:space="preserve">El Artículo 2.2.1.2.1.5.3. del Decreto 1082 de 2015 antes de la modificación del Decreto 1860 de 2021 disponía lo siguiente: </w:t>
      </w:r>
      <w:r w:rsidRPr="008053EF">
        <w:rPr>
          <w:rFonts w:ascii="Arial" w:hAnsi="Arial" w:cs="Arial"/>
          <w:bCs/>
          <w:color w:val="000000"/>
          <w:sz w:val="19"/>
          <w:szCs w:val="19"/>
          <w:lang w:val="es-ES_tradnl"/>
        </w:rPr>
        <w:t>«</w:t>
      </w:r>
      <w:r w:rsidRPr="009440FA">
        <w:rPr>
          <w:rFonts w:ascii="Arial" w:hAnsi="Arial" w:cs="Arial"/>
          <w:sz w:val="19"/>
          <w:szCs w:val="19"/>
        </w:rPr>
        <w:t xml:space="preserve">Adquisición en Grandes Superficies cuando se trate de mínima cuantía. Las Entidades Estatales deben aplicar las siguientes reglas para adquirir bienes hasta por el monto de su mínima cuantía en Grandes Superficies: </w:t>
      </w:r>
    </w:p>
    <w:p w14:paraId="60F037B2" w14:textId="77777777" w:rsidR="00AE02C4" w:rsidRPr="009440FA" w:rsidRDefault="00AE02C4" w:rsidP="00AE02C4">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 xml:space="preserve">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w:t>
      </w:r>
      <w:proofErr w:type="spellStart"/>
      <w:r w:rsidRPr="009440FA">
        <w:rPr>
          <w:rFonts w:ascii="Arial" w:hAnsi="Arial" w:cs="Arial"/>
          <w:sz w:val="19"/>
          <w:szCs w:val="19"/>
        </w:rPr>
        <w:t>e</w:t>
      </w:r>
      <w:proofErr w:type="spellEnd"/>
      <w:r w:rsidRPr="009440FA">
        <w:rPr>
          <w:rFonts w:ascii="Arial" w:hAnsi="Arial" w:cs="Arial"/>
          <w:sz w:val="19"/>
          <w:szCs w:val="19"/>
        </w:rPr>
        <w:t xml:space="preserve">) la disponibilidad presupuestal. </w:t>
      </w:r>
    </w:p>
    <w:p w14:paraId="7A95852C" w14:textId="77777777" w:rsidR="00AE02C4" w:rsidRPr="009440FA" w:rsidRDefault="00AE02C4" w:rsidP="00AE02C4">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 xml:space="preserve">2. La Entidad Estatal debe evaluar las cotizaciones presentadas y seleccionar a quien, con las condiciones requeridas, ofrezca el menor precio del mercado y aceptar la mejor oferta. </w:t>
      </w:r>
    </w:p>
    <w:p w14:paraId="5522DD32" w14:textId="77777777" w:rsidR="00AE02C4" w:rsidRPr="009440FA" w:rsidRDefault="00AE02C4" w:rsidP="00AE02C4">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 xml:space="preserve">3. En caso de empate, la Entidad Estatal aceptará la oferta que haya sido presentada primero en el tiempo. </w:t>
      </w:r>
    </w:p>
    <w:p w14:paraId="358CBCE1" w14:textId="77777777" w:rsidR="00AE02C4" w:rsidRPr="00F456EF" w:rsidRDefault="00AE02C4" w:rsidP="00AE02C4">
      <w:pPr>
        <w:pStyle w:val="Textonotapie"/>
        <w:ind w:firstLine="709"/>
        <w:jc w:val="both"/>
        <w:rPr>
          <w:lang w:val="es-CO"/>
        </w:rPr>
      </w:pPr>
      <w:r w:rsidRPr="008053EF">
        <w:rPr>
          <w:rFonts w:ascii="Arial" w:hAnsi="Arial" w:cs="Arial"/>
          <w:bCs/>
          <w:color w:val="000000"/>
          <w:sz w:val="19"/>
          <w:szCs w:val="19"/>
          <w:lang w:val="es-ES_tradnl"/>
        </w:rPr>
        <w:t>«</w:t>
      </w:r>
      <w:r w:rsidRPr="009440FA">
        <w:rPr>
          <w:rFonts w:ascii="Arial" w:hAnsi="Arial" w:cs="Arial"/>
          <w:sz w:val="19"/>
          <w:szCs w:val="19"/>
        </w:rPr>
        <w:t>4. La oferta y su aceptación constituyen el contrato. (Decreto 1510 de 2013, artículo 86)</w:t>
      </w:r>
      <w:r w:rsidRPr="008053EF">
        <w:rPr>
          <w:rFonts w:ascii="Arial" w:hAnsi="Arial" w:cs="Arial"/>
          <w:bCs/>
          <w:color w:val="000000"/>
          <w:sz w:val="19"/>
          <w:szCs w:val="19"/>
          <w:lang w:val="es-ES_tradnl"/>
        </w:rPr>
        <w:t>»</w:t>
      </w:r>
      <w:r w:rsidRPr="009440FA">
        <w:rPr>
          <w:rFonts w:ascii="Arial" w:hAnsi="Arial" w:cs="Arial"/>
          <w:bCs/>
          <w:color w:val="000000"/>
          <w:sz w:val="19"/>
          <w:szCs w:val="19"/>
          <w:lang w:val="es-ES_tradnl"/>
        </w:rPr>
        <w:t>.</w:t>
      </w:r>
    </w:p>
  </w:footnote>
  <w:footnote w:id="13">
    <w:p w14:paraId="723D02E3" w14:textId="07AB343C" w:rsidR="00EC0B4E" w:rsidRPr="00EE341D" w:rsidRDefault="00EC0B4E" w:rsidP="00EC0B4E">
      <w:pPr>
        <w:pStyle w:val="Textonotapie"/>
        <w:ind w:firstLine="708"/>
        <w:jc w:val="both"/>
        <w:rPr>
          <w:rFonts w:ascii="Arial" w:hAnsi="Arial" w:cs="Arial"/>
          <w:sz w:val="19"/>
          <w:szCs w:val="19"/>
        </w:rPr>
      </w:pPr>
      <w:r w:rsidRPr="00EE341D">
        <w:rPr>
          <w:rStyle w:val="Refdenotaalpie"/>
          <w:rFonts w:ascii="Arial" w:hAnsi="Arial" w:cs="Arial"/>
          <w:sz w:val="19"/>
          <w:szCs w:val="19"/>
        </w:rPr>
        <w:footnoteRef/>
      </w:r>
      <w:r w:rsidRPr="00EE341D">
        <w:rPr>
          <w:rFonts w:ascii="Arial" w:hAnsi="Arial" w:cs="Arial"/>
          <w:sz w:val="19"/>
          <w:szCs w:val="19"/>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00356BCA" w:rsidRPr="00356BCA">
          <w:rPr>
            <w:rStyle w:val="Hipervnculo"/>
            <w:rFonts w:ascii="Arial" w:hAnsi="Arial" w:cs="Arial"/>
            <w:color w:val="000000" w:themeColor="text1"/>
            <w:sz w:val="19"/>
            <w:szCs w:val="19"/>
          </w:rPr>
          <w:t>https://www.colombiacompra.gov.co/sites/cce_public/files/files_2020/vf_umbrales_actualizaciones_2022_-_2023_1.pdf</w:t>
        </w:r>
      </w:hyperlink>
      <w:r w:rsidRPr="00356BCA">
        <w:rPr>
          <w:rFonts w:ascii="Arial" w:hAnsi="Arial" w:cs="Arial"/>
          <w:color w:val="000000" w:themeColor="text1"/>
          <w:sz w:val="19"/>
          <w:szCs w:val="19"/>
        </w:rPr>
        <w:t>.</w:t>
      </w:r>
      <w:r w:rsidR="00356BCA" w:rsidRPr="00356BCA">
        <w:rPr>
          <w:rFonts w:ascii="Arial" w:hAnsi="Arial" w:cs="Arial"/>
          <w:color w:val="000000" w:themeColor="text1"/>
          <w:sz w:val="19"/>
          <w:szCs w:val="19"/>
        </w:rPr>
        <w:t xml:space="preserve"> </w:t>
      </w:r>
      <w:r w:rsidRPr="00EE341D">
        <w:rPr>
          <w:rFonts w:ascii="Arial" w:hAnsi="Arial" w:cs="Arial"/>
          <w:sz w:val="19"/>
          <w:szCs w:val="19"/>
        </w:rPr>
        <w:t>Allí se señala que el monto corresponde a $ 457.297.264.</w:t>
      </w:r>
    </w:p>
  </w:footnote>
  <w:footnote w:id="14">
    <w:p w14:paraId="6EEACF9B" w14:textId="03087E1A" w:rsidR="00B355C9" w:rsidRPr="00B355C9" w:rsidRDefault="00B355C9" w:rsidP="0040691D">
      <w:pPr>
        <w:pStyle w:val="Textonotapie"/>
        <w:ind w:firstLine="709"/>
        <w:jc w:val="both"/>
        <w:rPr>
          <w:lang w:val="es-CO"/>
        </w:rPr>
      </w:pPr>
      <w:r>
        <w:rPr>
          <w:rStyle w:val="Refdenotaalpie"/>
        </w:rPr>
        <w:footnoteRef/>
      </w:r>
      <w:r>
        <w:t xml:space="preserve"> </w:t>
      </w:r>
      <w:r>
        <w:rPr>
          <w:rFonts w:ascii="Arial" w:hAnsi="Arial" w:cs="Arial"/>
          <w:sz w:val="19"/>
          <w:szCs w:val="19"/>
          <w:lang w:val="es-ES"/>
        </w:rPr>
        <w:t>La memoria justificativa puede consultarse aquí</w:t>
      </w:r>
      <w:r w:rsidRPr="00B355C9">
        <w:rPr>
          <w:rFonts w:ascii="Arial" w:hAnsi="Arial" w:cs="Arial"/>
          <w:color w:val="000000" w:themeColor="text1"/>
          <w:sz w:val="19"/>
          <w:szCs w:val="19"/>
          <w:lang w:val="es-ES"/>
        </w:rPr>
        <w:t xml:space="preserve">: </w:t>
      </w:r>
      <w:hyperlink r:id="rId2" w:history="1">
        <w:r w:rsidRPr="00B355C9">
          <w:rPr>
            <w:rStyle w:val="Hipervnculo"/>
            <w:rFonts w:ascii="Arial" w:hAnsi="Arial" w:cs="Arial"/>
            <w:color w:val="000000" w:themeColor="text1"/>
            <w:sz w:val="19"/>
            <w:szCs w:val="19"/>
            <w:u w:val="none"/>
            <w:lang w:val="es-ES"/>
          </w:rPr>
          <w:t>https://www.dnp.gov.co/Paginas/Proyecto-de-Decreto.aspx</w:t>
        </w:r>
      </w:hyperlink>
      <w:r w:rsidRPr="00B355C9">
        <w:rPr>
          <w:rFonts w:ascii="Arial" w:hAnsi="Arial" w:cs="Arial"/>
          <w:color w:val="000000" w:themeColor="text1"/>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5695"/>
    <w:rsid w:val="00015B44"/>
    <w:rsid w:val="00015BD4"/>
    <w:rsid w:val="00016081"/>
    <w:rsid w:val="000163DF"/>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4C0"/>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3B3F"/>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67818"/>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0D2"/>
    <w:rsid w:val="0008686B"/>
    <w:rsid w:val="00086B2A"/>
    <w:rsid w:val="00086ED2"/>
    <w:rsid w:val="000914D6"/>
    <w:rsid w:val="00091569"/>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9AF"/>
    <w:rsid w:val="000A3B49"/>
    <w:rsid w:val="000A41BA"/>
    <w:rsid w:val="000A446A"/>
    <w:rsid w:val="000A5AAF"/>
    <w:rsid w:val="000A5F97"/>
    <w:rsid w:val="000A648E"/>
    <w:rsid w:val="000A73BB"/>
    <w:rsid w:val="000A7EF4"/>
    <w:rsid w:val="000B09AF"/>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62C"/>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6B82"/>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6D84"/>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13AB"/>
    <w:rsid w:val="001417C5"/>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8E"/>
    <w:rsid w:val="00154A6F"/>
    <w:rsid w:val="00155D08"/>
    <w:rsid w:val="00156B13"/>
    <w:rsid w:val="00156BE5"/>
    <w:rsid w:val="00156FDB"/>
    <w:rsid w:val="00157232"/>
    <w:rsid w:val="00160401"/>
    <w:rsid w:val="00160D4E"/>
    <w:rsid w:val="001615B9"/>
    <w:rsid w:val="00161E62"/>
    <w:rsid w:val="00161F1C"/>
    <w:rsid w:val="0016200B"/>
    <w:rsid w:val="00163D7A"/>
    <w:rsid w:val="00164281"/>
    <w:rsid w:val="00164AF1"/>
    <w:rsid w:val="001654DF"/>
    <w:rsid w:val="00166476"/>
    <w:rsid w:val="00166C27"/>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BCE"/>
    <w:rsid w:val="00182F01"/>
    <w:rsid w:val="00184E93"/>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D03"/>
    <w:rsid w:val="001A7DB7"/>
    <w:rsid w:val="001B0366"/>
    <w:rsid w:val="001B0444"/>
    <w:rsid w:val="001B080D"/>
    <w:rsid w:val="001B096B"/>
    <w:rsid w:val="001B0F9F"/>
    <w:rsid w:val="001B123C"/>
    <w:rsid w:val="001B1A0D"/>
    <w:rsid w:val="001B1BF1"/>
    <w:rsid w:val="001B2456"/>
    <w:rsid w:val="001B40C7"/>
    <w:rsid w:val="001B449C"/>
    <w:rsid w:val="001B4AA2"/>
    <w:rsid w:val="001B4ADE"/>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33C1"/>
    <w:rsid w:val="001C3E30"/>
    <w:rsid w:val="001C3E5C"/>
    <w:rsid w:val="001C5072"/>
    <w:rsid w:val="001C5B2A"/>
    <w:rsid w:val="001C5CEA"/>
    <w:rsid w:val="001C600B"/>
    <w:rsid w:val="001C6407"/>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3EAC"/>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0430"/>
    <w:rsid w:val="00210E1F"/>
    <w:rsid w:val="002110EB"/>
    <w:rsid w:val="00211338"/>
    <w:rsid w:val="00211342"/>
    <w:rsid w:val="00211388"/>
    <w:rsid w:val="0021148C"/>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21CE"/>
    <w:rsid w:val="00222740"/>
    <w:rsid w:val="00222BE8"/>
    <w:rsid w:val="00223102"/>
    <w:rsid w:val="002232CB"/>
    <w:rsid w:val="00223AA2"/>
    <w:rsid w:val="00224022"/>
    <w:rsid w:val="0022552A"/>
    <w:rsid w:val="00226055"/>
    <w:rsid w:val="0022613F"/>
    <w:rsid w:val="00226236"/>
    <w:rsid w:val="00226DF9"/>
    <w:rsid w:val="002270C9"/>
    <w:rsid w:val="00227710"/>
    <w:rsid w:val="00227A8B"/>
    <w:rsid w:val="0023146B"/>
    <w:rsid w:val="002315A0"/>
    <w:rsid w:val="00231CE0"/>
    <w:rsid w:val="00231DBA"/>
    <w:rsid w:val="00231EC7"/>
    <w:rsid w:val="002324A3"/>
    <w:rsid w:val="00232A6C"/>
    <w:rsid w:val="00232E15"/>
    <w:rsid w:val="00233079"/>
    <w:rsid w:val="0023382C"/>
    <w:rsid w:val="00233977"/>
    <w:rsid w:val="00233C58"/>
    <w:rsid w:val="00233C71"/>
    <w:rsid w:val="002345B6"/>
    <w:rsid w:val="00234B84"/>
    <w:rsid w:val="00236016"/>
    <w:rsid w:val="00236271"/>
    <w:rsid w:val="00237065"/>
    <w:rsid w:val="00237589"/>
    <w:rsid w:val="0023758D"/>
    <w:rsid w:val="002375A7"/>
    <w:rsid w:val="0024019A"/>
    <w:rsid w:val="00240A4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3F7F"/>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CEC"/>
    <w:rsid w:val="002871A9"/>
    <w:rsid w:val="0028750E"/>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E7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CF8"/>
    <w:rsid w:val="002D0F58"/>
    <w:rsid w:val="002D19BB"/>
    <w:rsid w:val="002D1A9B"/>
    <w:rsid w:val="002D22C5"/>
    <w:rsid w:val="002D2EF0"/>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0BF"/>
    <w:rsid w:val="002E74C4"/>
    <w:rsid w:val="002E7847"/>
    <w:rsid w:val="002E7FCF"/>
    <w:rsid w:val="002F0073"/>
    <w:rsid w:val="002F0618"/>
    <w:rsid w:val="002F1D41"/>
    <w:rsid w:val="002F240B"/>
    <w:rsid w:val="002F2F50"/>
    <w:rsid w:val="002F3601"/>
    <w:rsid w:val="002F37DD"/>
    <w:rsid w:val="002F45F6"/>
    <w:rsid w:val="002F692F"/>
    <w:rsid w:val="002F69BE"/>
    <w:rsid w:val="002F7B66"/>
    <w:rsid w:val="00300CB4"/>
    <w:rsid w:val="00300DE7"/>
    <w:rsid w:val="00300E24"/>
    <w:rsid w:val="0030101C"/>
    <w:rsid w:val="00302B42"/>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14F"/>
    <w:rsid w:val="0031336A"/>
    <w:rsid w:val="00313447"/>
    <w:rsid w:val="00313748"/>
    <w:rsid w:val="00313EA3"/>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881"/>
    <w:rsid w:val="00323B73"/>
    <w:rsid w:val="00324821"/>
    <w:rsid w:val="003254F5"/>
    <w:rsid w:val="00325D98"/>
    <w:rsid w:val="0032682A"/>
    <w:rsid w:val="00327A5C"/>
    <w:rsid w:val="0033092C"/>
    <w:rsid w:val="0033122A"/>
    <w:rsid w:val="003315AC"/>
    <w:rsid w:val="00331932"/>
    <w:rsid w:val="00333A88"/>
    <w:rsid w:val="00333FFB"/>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F8"/>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56BCA"/>
    <w:rsid w:val="003609C4"/>
    <w:rsid w:val="003618D9"/>
    <w:rsid w:val="00361A59"/>
    <w:rsid w:val="0036315A"/>
    <w:rsid w:val="003631CC"/>
    <w:rsid w:val="003632CC"/>
    <w:rsid w:val="00363348"/>
    <w:rsid w:val="00363857"/>
    <w:rsid w:val="00363D59"/>
    <w:rsid w:val="003640F7"/>
    <w:rsid w:val="00364300"/>
    <w:rsid w:val="00364E66"/>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3D49"/>
    <w:rsid w:val="00384CD6"/>
    <w:rsid w:val="00384DF1"/>
    <w:rsid w:val="00384FF3"/>
    <w:rsid w:val="00386456"/>
    <w:rsid w:val="003865A9"/>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32A"/>
    <w:rsid w:val="003A563C"/>
    <w:rsid w:val="003A581E"/>
    <w:rsid w:val="003A6160"/>
    <w:rsid w:val="003A65A5"/>
    <w:rsid w:val="003A72F5"/>
    <w:rsid w:val="003A78E5"/>
    <w:rsid w:val="003B0341"/>
    <w:rsid w:val="003B120F"/>
    <w:rsid w:val="003B1E57"/>
    <w:rsid w:val="003B2885"/>
    <w:rsid w:val="003B2EF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1CE4"/>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C69"/>
    <w:rsid w:val="00426D3B"/>
    <w:rsid w:val="004273FA"/>
    <w:rsid w:val="004276C2"/>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4DF"/>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33"/>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73E3"/>
    <w:rsid w:val="004B0F0B"/>
    <w:rsid w:val="004B163F"/>
    <w:rsid w:val="004B2197"/>
    <w:rsid w:val="004B298A"/>
    <w:rsid w:val="004B578D"/>
    <w:rsid w:val="004B5BE7"/>
    <w:rsid w:val="004B5E2D"/>
    <w:rsid w:val="004B5ED5"/>
    <w:rsid w:val="004B6793"/>
    <w:rsid w:val="004B6C07"/>
    <w:rsid w:val="004B70DF"/>
    <w:rsid w:val="004B74D3"/>
    <w:rsid w:val="004B76D3"/>
    <w:rsid w:val="004B788E"/>
    <w:rsid w:val="004B79B3"/>
    <w:rsid w:val="004B7E5D"/>
    <w:rsid w:val="004C0DD8"/>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6FB"/>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B08"/>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1FBD"/>
    <w:rsid w:val="006324C2"/>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2E85"/>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5B75"/>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602F"/>
    <w:rsid w:val="006E6720"/>
    <w:rsid w:val="006E68FA"/>
    <w:rsid w:val="006E7275"/>
    <w:rsid w:val="006E77B8"/>
    <w:rsid w:val="006F15CC"/>
    <w:rsid w:val="006F38AD"/>
    <w:rsid w:val="006F3BDD"/>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9CF"/>
    <w:rsid w:val="00721BFF"/>
    <w:rsid w:val="00722FD8"/>
    <w:rsid w:val="007236C4"/>
    <w:rsid w:val="00723B59"/>
    <w:rsid w:val="0072432C"/>
    <w:rsid w:val="00724635"/>
    <w:rsid w:val="0072554B"/>
    <w:rsid w:val="00725AFD"/>
    <w:rsid w:val="00725F81"/>
    <w:rsid w:val="00726603"/>
    <w:rsid w:val="00727DDC"/>
    <w:rsid w:val="00730CD6"/>
    <w:rsid w:val="00730F74"/>
    <w:rsid w:val="0073114B"/>
    <w:rsid w:val="0073253A"/>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DC6"/>
    <w:rsid w:val="0076228A"/>
    <w:rsid w:val="00762440"/>
    <w:rsid w:val="007629B7"/>
    <w:rsid w:val="00762E60"/>
    <w:rsid w:val="007634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5EF"/>
    <w:rsid w:val="007827B0"/>
    <w:rsid w:val="0078286B"/>
    <w:rsid w:val="00782D2C"/>
    <w:rsid w:val="00782FC2"/>
    <w:rsid w:val="00784696"/>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BE"/>
    <w:rsid w:val="007A4766"/>
    <w:rsid w:val="007A5134"/>
    <w:rsid w:val="007A5816"/>
    <w:rsid w:val="007A5947"/>
    <w:rsid w:val="007A6CE7"/>
    <w:rsid w:val="007A6F90"/>
    <w:rsid w:val="007B00D8"/>
    <w:rsid w:val="007B0313"/>
    <w:rsid w:val="007B05FB"/>
    <w:rsid w:val="007B0854"/>
    <w:rsid w:val="007B0E48"/>
    <w:rsid w:val="007B12F1"/>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6339"/>
    <w:rsid w:val="007C6EC5"/>
    <w:rsid w:val="007C6F35"/>
    <w:rsid w:val="007C7C43"/>
    <w:rsid w:val="007C7F0D"/>
    <w:rsid w:val="007D0D03"/>
    <w:rsid w:val="007D1134"/>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A62"/>
    <w:rsid w:val="00800E6D"/>
    <w:rsid w:val="008014D9"/>
    <w:rsid w:val="0080150F"/>
    <w:rsid w:val="0080153A"/>
    <w:rsid w:val="00801A2A"/>
    <w:rsid w:val="00802041"/>
    <w:rsid w:val="008022C9"/>
    <w:rsid w:val="00802C0C"/>
    <w:rsid w:val="00802F9E"/>
    <w:rsid w:val="00803700"/>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3A93"/>
    <w:rsid w:val="008241CE"/>
    <w:rsid w:val="00825240"/>
    <w:rsid w:val="00825B43"/>
    <w:rsid w:val="00825EF8"/>
    <w:rsid w:val="0082629D"/>
    <w:rsid w:val="008263EB"/>
    <w:rsid w:val="00827203"/>
    <w:rsid w:val="0082767A"/>
    <w:rsid w:val="00827CC0"/>
    <w:rsid w:val="00831026"/>
    <w:rsid w:val="0083119B"/>
    <w:rsid w:val="00831654"/>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595"/>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07A"/>
    <w:rsid w:val="008B2268"/>
    <w:rsid w:val="008B23F7"/>
    <w:rsid w:val="008B263F"/>
    <w:rsid w:val="008B47A6"/>
    <w:rsid w:val="008B5761"/>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1DE"/>
    <w:rsid w:val="008F538E"/>
    <w:rsid w:val="008F59B4"/>
    <w:rsid w:val="008F5A20"/>
    <w:rsid w:val="008F5ABA"/>
    <w:rsid w:val="008F6CF9"/>
    <w:rsid w:val="008F7905"/>
    <w:rsid w:val="008F7989"/>
    <w:rsid w:val="00900440"/>
    <w:rsid w:val="0090134A"/>
    <w:rsid w:val="009026AF"/>
    <w:rsid w:val="009028E8"/>
    <w:rsid w:val="00902E5C"/>
    <w:rsid w:val="0090350D"/>
    <w:rsid w:val="009039EB"/>
    <w:rsid w:val="009046E5"/>
    <w:rsid w:val="0090475D"/>
    <w:rsid w:val="009047C5"/>
    <w:rsid w:val="009076DB"/>
    <w:rsid w:val="00910683"/>
    <w:rsid w:val="00910E00"/>
    <w:rsid w:val="009116CE"/>
    <w:rsid w:val="00911714"/>
    <w:rsid w:val="00911A5B"/>
    <w:rsid w:val="009136D4"/>
    <w:rsid w:val="00914B9A"/>
    <w:rsid w:val="00914C29"/>
    <w:rsid w:val="00914C3F"/>
    <w:rsid w:val="00914F33"/>
    <w:rsid w:val="009153F6"/>
    <w:rsid w:val="00915FCE"/>
    <w:rsid w:val="00916AFE"/>
    <w:rsid w:val="00916FC8"/>
    <w:rsid w:val="009170D3"/>
    <w:rsid w:val="0091759C"/>
    <w:rsid w:val="00917910"/>
    <w:rsid w:val="00920026"/>
    <w:rsid w:val="0092032F"/>
    <w:rsid w:val="009203E2"/>
    <w:rsid w:val="00920846"/>
    <w:rsid w:val="00921304"/>
    <w:rsid w:val="0092177A"/>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0FA"/>
    <w:rsid w:val="009444B4"/>
    <w:rsid w:val="00944644"/>
    <w:rsid w:val="009449F9"/>
    <w:rsid w:val="009451CE"/>
    <w:rsid w:val="009460F9"/>
    <w:rsid w:val="00946A24"/>
    <w:rsid w:val="009470D4"/>
    <w:rsid w:val="00947337"/>
    <w:rsid w:val="00950A5B"/>
    <w:rsid w:val="009512FA"/>
    <w:rsid w:val="00951E57"/>
    <w:rsid w:val="00953018"/>
    <w:rsid w:val="009533E2"/>
    <w:rsid w:val="00953554"/>
    <w:rsid w:val="0095385A"/>
    <w:rsid w:val="00953928"/>
    <w:rsid w:val="009540F0"/>
    <w:rsid w:val="00955906"/>
    <w:rsid w:val="00955978"/>
    <w:rsid w:val="00956105"/>
    <w:rsid w:val="00957010"/>
    <w:rsid w:val="009574F8"/>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E33"/>
    <w:rsid w:val="00962F47"/>
    <w:rsid w:val="009631BD"/>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583"/>
    <w:rsid w:val="00990701"/>
    <w:rsid w:val="0099090B"/>
    <w:rsid w:val="00990BC7"/>
    <w:rsid w:val="0099119C"/>
    <w:rsid w:val="0099137A"/>
    <w:rsid w:val="00991805"/>
    <w:rsid w:val="0099211C"/>
    <w:rsid w:val="00993B78"/>
    <w:rsid w:val="00993CD6"/>
    <w:rsid w:val="0099483A"/>
    <w:rsid w:val="00995119"/>
    <w:rsid w:val="009953AD"/>
    <w:rsid w:val="0099583D"/>
    <w:rsid w:val="00995B7C"/>
    <w:rsid w:val="00996992"/>
    <w:rsid w:val="00996B49"/>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25E"/>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79B"/>
    <w:rsid w:val="009E4E05"/>
    <w:rsid w:val="009E56FF"/>
    <w:rsid w:val="009E5CB1"/>
    <w:rsid w:val="009E5E56"/>
    <w:rsid w:val="009E61EA"/>
    <w:rsid w:val="009E6990"/>
    <w:rsid w:val="009E6FEE"/>
    <w:rsid w:val="009F060F"/>
    <w:rsid w:val="009F0781"/>
    <w:rsid w:val="009F0850"/>
    <w:rsid w:val="009F11B2"/>
    <w:rsid w:val="009F18A4"/>
    <w:rsid w:val="009F1BDF"/>
    <w:rsid w:val="009F1EAE"/>
    <w:rsid w:val="009F2730"/>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F18"/>
    <w:rsid w:val="00A27FB6"/>
    <w:rsid w:val="00A30121"/>
    <w:rsid w:val="00A301D9"/>
    <w:rsid w:val="00A30368"/>
    <w:rsid w:val="00A3043A"/>
    <w:rsid w:val="00A30E02"/>
    <w:rsid w:val="00A30F6A"/>
    <w:rsid w:val="00A31BA2"/>
    <w:rsid w:val="00A31C3E"/>
    <w:rsid w:val="00A34538"/>
    <w:rsid w:val="00A34677"/>
    <w:rsid w:val="00A34BA0"/>
    <w:rsid w:val="00A3518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623"/>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9AB"/>
    <w:rsid w:val="00A66FA7"/>
    <w:rsid w:val="00A677F6"/>
    <w:rsid w:val="00A67E16"/>
    <w:rsid w:val="00A703CC"/>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43B"/>
    <w:rsid w:val="00A8119D"/>
    <w:rsid w:val="00A81323"/>
    <w:rsid w:val="00A81AC0"/>
    <w:rsid w:val="00A820CB"/>
    <w:rsid w:val="00A82342"/>
    <w:rsid w:val="00A83760"/>
    <w:rsid w:val="00A83BEF"/>
    <w:rsid w:val="00A841E1"/>
    <w:rsid w:val="00A84443"/>
    <w:rsid w:val="00A8487F"/>
    <w:rsid w:val="00A848FC"/>
    <w:rsid w:val="00A849A3"/>
    <w:rsid w:val="00A84A0E"/>
    <w:rsid w:val="00A84D7C"/>
    <w:rsid w:val="00A851FD"/>
    <w:rsid w:val="00A86E0B"/>
    <w:rsid w:val="00A9069B"/>
    <w:rsid w:val="00A90F12"/>
    <w:rsid w:val="00A9138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11A9"/>
    <w:rsid w:val="00B024ED"/>
    <w:rsid w:val="00B02EB3"/>
    <w:rsid w:val="00B02FCB"/>
    <w:rsid w:val="00B033F8"/>
    <w:rsid w:val="00B03C1E"/>
    <w:rsid w:val="00B04400"/>
    <w:rsid w:val="00B04835"/>
    <w:rsid w:val="00B05A55"/>
    <w:rsid w:val="00B05DE1"/>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9BC"/>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FED"/>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851"/>
    <w:rsid w:val="00B56D6E"/>
    <w:rsid w:val="00B572F7"/>
    <w:rsid w:val="00B57B9D"/>
    <w:rsid w:val="00B57DAF"/>
    <w:rsid w:val="00B60094"/>
    <w:rsid w:val="00B6022C"/>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E37"/>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72"/>
    <w:rsid w:val="00B81964"/>
    <w:rsid w:val="00B81E6F"/>
    <w:rsid w:val="00B82121"/>
    <w:rsid w:val="00B82123"/>
    <w:rsid w:val="00B8225B"/>
    <w:rsid w:val="00B82BB5"/>
    <w:rsid w:val="00B83182"/>
    <w:rsid w:val="00B833E0"/>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3BA"/>
    <w:rsid w:val="00BD67B2"/>
    <w:rsid w:val="00BD6A07"/>
    <w:rsid w:val="00BD78AB"/>
    <w:rsid w:val="00BD78FE"/>
    <w:rsid w:val="00BD7A91"/>
    <w:rsid w:val="00BE0149"/>
    <w:rsid w:val="00BE0767"/>
    <w:rsid w:val="00BE0F49"/>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8B2"/>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38B"/>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39BE"/>
    <w:rsid w:val="00C442EE"/>
    <w:rsid w:val="00C44E61"/>
    <w:rsid w:val="00C4539B"/>
    <w:rsid w:val="00C45466"/>
    <w:rsid w:val="00C455C1"/>
    <w:rsid w:val="00C4581D"/>
    <w:rsid w:val="00C47472"/>
    <w:rsid w:val="00C47E4D"/>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365"/>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4CDD"/>
    <w:rsid w:val="00C959BD"/>
    <w:rsid w:val="00C95F44"/>
    <w:rsid w:val="00C96807"/>
    <w:rsid w:val="00C96D1B"/>
    <w:rsid w:val="00C97106"/>
    <w:rsid w:val="00C97684"/>
    <w:rsid w:val="00CA0031"/>
    <w:rsid w:val="00CA0413"/>
    <w:rsid w:val="00CA043A"/>
    <w:rsid w:val="00CA04F8"/>
    <w:rsid w:val="00CA05B7"/>
    <w:rsid w:val="00CA1613"/>
    <w:rsid w:val="00CA1691"/>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C1"/>
    <w:rsid w:val="00CB52D0"/>
    <w:rsid w:val="00CB5578"/>
    <w:rsid w:val="00CB5671"/>
    <w:rsid w:val="00CB591C"/>
    <w:rsid w:val="00CB5943"/>
    <w:rsid w:val="00CB61B3"/>
    <w:rsid w:val="00CB690C"/>
    <w:rsid w:val="00CB6F83"/>
    <w:rsid w:val="00CB72AE"/>
    <w:rsid w:val="00CB78AD"/>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71A"/>
    <w:rsid w:val="00CD7EFA"/>
    <w:rsid w:val="00CE020E"/>
    <w:rsid w:val="00CE0566"/>
    <w:rsid w:val="00CE10BB"/>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D1F"/>
    <w:rsid w:val="00CE7F26"/>
    <w:rsid w:val="00CE7FBF"/>
    <w:rsid w:val="00CF1226"/>
    <w:rsid w:val="00CF148D"/>
    <w:rsid w:val="00CF16C0"/>
    <w:rsid w:val="00CF1ABB"/>
    <w:rsid w:val="00CF1E1D"/>
    <w:rsid w:val="00CF24FE"/>
    <w:rsid w:val="00CF35D0"/>
    <w:rsid w:val="00CF3DD5"/>
    <w:rsid w:val="00CF41D5"/>
    <w:rsid w:val="00CF4897"/>
    <w:rsid w:val="00CF4A21"/>
    <w:rsid w:val="00CF4AF7"/>
    <w:rsid w:val="00CF4D20"/>
    <w:rsid w:val="00CF55DF"/>
    <w:rsid w:val="00CF6180"/>
    <w:rsid w:val="00CF64F6"/>
    <w:rsid w:val="00CF73F8"/>
    <w:rsid w:val="00CF7928"/>
    <w:rsid w:val="00CF7CA2"/>
    <w:rsid w:val="00D00A8E"/>
    <w:rsid w:val="00D00DE0"/>
    <w:rsid w:val="00D00F79"/>
    <w:rsid w:val="00D01121"/>
    <w:rsid w:val="00D012BF"/>
    <w:rsid w:val="00D01760"/>
    <w:rsid w:val="00D0368E"/>
    <w:rsid w:val="00D036B0"/>
    <w:rsid w:val="00D03D2D"/>
    <w:rsid w:val="00D03E7B"/>
    <w:rsid w:val="00D0401A"/>
    <w:rsid w:val="00D047E0"/>
    <w:rsid w:val="00D04B9F"/>
    <w:rsid w:val="00D04FFB"/>
    <w:rsid w:val="00D05153"/>
    <w:rsid w:val="00D058E9"/>
    <w:rsid w:val="00D0612A"/>
    <w:rsid w:val="00D0654D"/>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300FF"/>
    <w:rsid w:val="00D312DC"/>
    <w:rsid w:val="00D31B84"/>
    <w:rsid w:val="00D31C6A"/>
    <w:rsid w:val="00D31EDF"/>
    <w:rsid w:val="00D31FF9"/>
    <w:rsid w:val="00D32149"/>
    <w:rsid w:val="00D32256"/>
    <w:rsid w:val="00D32A27"/>
    <w:rsid w:val="00D32ABC"/>
    <w:rsid w:val="00D33010"/>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CC8"/>
    <w:rsid w:val="00D52E2F"/>
    <w:rsid w:val="00D52F59"/>
    <w:rsid w:val="00D53E3E"/>
    <w:rsid w:val="00D55904"/>
    <w:rsid w:val="00D5616F"/>
    <w:rsid w:val="00D57940"/>
    <w:rsid w:val="00D60327"/>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55"/>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163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2647"/>
    <w:rsid w:val="00DB3165"/>
    <w:rsid w:val="00DB4292"/>
    <w:rsid w:val="00DB5196"/>
    <w:rsid w:val="00DB5C03"/>
    <w:rsid w:val="00DB68BB"/>
    <w:rsid w:val="00DB6E46"/>
    <w:rsid w:val="00DB70E2"/>
    <w:rsid w:val="00DB7117"/>
    <w:rsid w:val="00DB7760"/>
    <w:rsid w:val="00DB7DD4"/>
    <w:rsid w:val="00DB7E44"/>
    <w:rsid w:val="00DC00B4"/>
    <w:rsid w:val="00DC037A"/>
    <w:rsid w:val="00DC0954"/>
    <w:rsid w:val="00DC15BA"/>
    <w:rsid w:val="00DC18CD"/>
    <w:rsid w:val="00DC1A68"/>
    <w:rsid w:val="00DC2710"/>
    <w:rsid w:val="00DC30B8"/>
    <w:rsid w:val="00DC32C6"/>
    <w:rsid w:val="00DC3720"/>
    <w:rsid w:val="00DC478F"/>
    <w:rsid w:val="00DC62E5"/>
    <w:rsid w:val="00DC6AB9"/>
    <w:rsid w:val="00DC6CA7"/>
    <w:rsid w:val="00DC6F33"/>
    <w:rsid w:val="00DC729E"/>
    <w:rsid w:val="00DC7349"/>
    <w:rsid w:val="00DC7C76"/>
    <w:rsid w:val="00DD005B"/>
    <w:rsid w:val="00DD118B"/>
    <w:rsid w:val="00DD14D8"/>
    <w:rsid w:val="00DD1599"/>
    <w:rsid w:val="00DD177F"/>
    <w:rsid w:val="00DD197A"/>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2E2"/>
    <w:rsid w:val="00DE78D1"/>
    <w:rsid w:val="00DF0263"/>
    <w:rsid w:val="00DF098E"/>
    <w:rsid w:val="00DF0EB4"/>
    <w:rsid w:val="00DF1E36"/>
    <w:rsid w:val="00DF1FDB"/>
    <w:rsid w:val="00DF236B"/>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3F26"/>
    <w:rsid w:val="00E1482E"/>
    <w:rsid w:val="00E155D3"/>
    <w:rsid w:val="00E16382"/>
    <w:rsid w:val="00E16572"/>
    <w:rsid w:val="00E1699C"/>
    <w:rsid w:val="00E16E75"/>
    <w:rsid w:val="00E1746D"/>
    <w:rsid w:val="00E17B87"/>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8C2"/>
    <w:rsid w:val="00E34E6C"/>
    <w:rsid w:val="00E350D8"/>
    <w:rsid w:val="00E353E2"/>
    <w:rsid w:val="00E36345"/>
    <w:rsid w:val="00E363A3"/>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E17"/>
    <w:rsid w:val="00E54F27"/>
    <w:rsid w:val="00E556F5"/>
    <w:rsid w:val="00E55FF1"/>
    <w:rsid w:val="00E56090"/>
    <w:rsid w:val="00E565B9"/>
    <w:rsid w:val="00E5733B"/>
    <w:rsid w:val="00E5756C"/>
    <w:rsid w:val="00E601BE"/>
    <w:rsid w:val="00E60B5F"/>
    <w:rsid w:val="00E60D04"/>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3E3"/>
    <w:rsid w:val="00E67856"/>
    <w:rsid w:val="00E679C8"/>
    <w:rsid w:val="00E70314"/>
    <w:rsid w:val="00E70FCD"/>
    <w:rsid w:val="00E718C6"/>
    <w:rsid w:val="00E724E7"/>
    <w:rsid w:val="00E72B41"/>
    <w:rsid w:val="00E7347B"/>
    <w:rsid w:val="00E73D03"/>
    <w:rsid w:val="00E7471C"/>
    <w:rsid w:val="00E7498A"/>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592E"/>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A89"/>
    <w:rsid w:val="00EB0B22"/>
    <w:rsid w:val="00EB1573"/>
    <w:rsid w:val="00EB1650"/>
    <w:rsid w:val="00EB1910"/>
    <w:rsid w:val="00EB1D24"/>
    <w:rsid w:val="00EB1EBB"/>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00"/>
    <w:rsid w:val="00ED046B"/>
    <w:rsid w:val="00ED046C"/>
    <w:rsid w:val="00ED053A"/>
    <w:rsid w:val="00ED070F"/>
    <w:rsid w:val="00ED1520"/>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54A"/>
    <w:rsid w:val="00F32C50"/>
    <w:rsid w:val="00F33980"/>
    <w:rsid w:val="00F3399B"/>
    <w:rsid w:val="00F33C1A"/>
    <w:rsid w:val="00F3461B"/>
    <w:rsid w:val="00F346ED"/>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F"/>
    <w:rsid w:val="00F45B91"/>
    <w:rsid w:val="00F46639"/>
    <w:rsid w:val="00F46692"/>
    <w:rsid w:val="00F46708"/>
    <w:rsid w:val="00F46782"/>
    <w:rsid w:val="00F47AAA"/>
    <w:rsid w:val="00F47B3B"/>
    <w:rsid w:val="00F47CF7"/>
    <w:rsid w:val="00F50183"/>
    <w:rsid w:val="00F50D92"/>
    <w:rsid w:val="00F51765"/>
    <w:rsid w:val="00F51A51"/>
    <w:rsid w:val="00F51CB4"/>
    <w:rsid w:val="00F52324"/>
    <w:rsid w:val="00F52950"/>
    <w:rsid w:val="00F52C9D"/>
    <w:rsid w:val="00F52E39"/>
    <w:rsid w:val="00F533F1"/>
    <w:rsid w:val="00F53B81"/>
    <w:rsid w:val="00F547CB"/>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5A3C"/>
    <w:rsid w:val="00F65A88"/>
    <w:rsid w:val="00F66282"/>
    <w:rsid w:val="00F66AB6"/>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3075"/>
    <w:rsid w:val="00F83200"/>
    <w:rsid w:val="00F834EE"/>
    <w:rsid w:val="00F83B33"/>
    <w:rsid w:val="00F83CAE"/>
    <w:rsid w:val="00F840BF"/>
    <w:rsid w:val="00F8415D"/>
    <w:rsid w:val="00F8427A"/>
    <w:rsid w:val="00F843DF"/>
    <w:rsid w:val="00F84899"/>
    <w:rsid w:val="00F848AB"/>
    <w:rsid w:val="00F84A0A"/>
    <w:rsid w:val="00F84CF5"/>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B02"/>
    <w:rsid w:val="00F92E3E"/>
    <w:rsid w:val="00F93DBC"/>
    <w:rsid w:val="00F93E41"/>
    <w:rsid w:val="00F94644"/>
    <w:rsid w:val="00F95075"/>
    <w:rsid w:val="00F9537B"/>
    <w:rsid w:val="00F953B8"/>
    <w:rsid w:val="00F95567"/>
    <w:rsid w:val="00F963FC"/>
    <w:rsid w:val="00FA015F"/>
    <w:rsid w:val="00FA0FAC"/>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4D3"/>
    <w:rsid w:val="00FC5CF4"/>
    <w:rsid w:val="00FC6A39"/>
    <w:rsid w:val="00FC6E50"/>
    <w:rsid w:val="00FC704A"/>
    <w:rsid w:val="00FC710F"/>
    <w:rsid w:val="00FC79AB"/>
    <w:rsid w:val="00FC7BE7"/>
    <w:rsid w:val="00FC7DAC"/>
    <w:rsid w:val="00FD04AE"/>
    <w:rsid w:val="00FD086B"/>
    <w:rsid w:val="00FD122C"/>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BDF"/>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C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6096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2567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dnp.gov.co/Paginas/Proyecto-de-Decreto.aspx" TargetMode="External"/><Relationship Id="rId1" Type="http://schemas.openxmlformats.org/officeDocument/2006/relationships/hyperlink" Target="https://www.colombiacompra.gov.co/sites/cce_public/files/files_2020/vf_umbrales_actualizaciones_2022_-_2023_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78CDE81-08F4-470C-A828-B7C785A11079}"/>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24</Pages>
  <Words>9689</Words>
  <Characters>53292</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2022-05-16T14:43:00Z</dcterms:created>
  <dcterms:modified xsi:type="dcterms:W3CDTF">2022-05-16T14:59:00Z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