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E0AF2" w14:textId="77777777" w:rsidR="00D00AFB" w:rsidRPr="00F57B81" w:rsidRDefault="00D00AFB" w:rsidP="00D00AFB">
      <w:pPr>
        <w:spacing w:after="0" w:line="240" w:lineRule="auto"/>
        <w:jc w:val="both"/>
        <w:rPr>
          <w:rFonts w:ascii="Verdana" w:eastAsia="Arial" w:hAnsi="Verdana" w:cs="Arial"/>
          <w:color w:val="000000"/>
        </w:rPr>
      </w:pPr>
      <w:r w:rsidRPr="00F57B81">
        <w:rPr>
          <w:rFonts w:ascii="Verdana" w:eastAsia="Arial" w:hAnsi="Verdana" w:cs="Arial"/>
          <w:b/>
          <w:color w:val="000000"/>
        </w:rPr>
        <w:t>PRINCIPIO DE SELECCIÓN OBJETIVA – Fundamento – Alcance</w:t>
      </w:r>
    </w:p>
    <w:p w14:paraId="4F06D987" w14:textId="77777777" w:rsidR="00D00AFB" w:rsidRPr="00F57B81" w:rsidRDefault="00D00AFB" w:rsidP="00D00AFB">
      <w:pPr>
        <w:spacing w:after="0" w:line="240" w:lineRule="auto"/>
        <w:jc w:val="both"/>
        <w:rPr>
          <w:rFonts w:ascii="Verdana" w:eastAsia="Arial" w:hAnsi="Verdana" w:cs="Arial"/>
          <w:color w:val="000000"/>
          <w:sz w:val="20"/>
          <w:szCs w:val="20"/>
        </w:rPr>
      </w:pPr>
    </w:p>
    <w:p w14:paraId="54D3F44C" w14:textId="77777777" w:rsidR="00D00AFB" w:rsidRPr="00F57B81" w:rsidRDefault="00D00AFB" w:rsidP="00D00AFB">
      <w:pPr>
        <w:spacing w:after="0" w:line="240" w:lineRule="auto"/>
        <w:jc w:val="both"/>
        <w:rPr>
          <w:rFonts w:ascii="Verdana" w:eastAsia="Arial" w:hAnsi="Verdana" w:cs="Arial"/>
          <w:color w:val="000000"/>
          <w:sz w:val="20"/>
          <w:szCs w:val="20"/>
        </w:rPr>
      </w:pPr>
      <w:r w:rsidRPr="00F57B81">
        <w:rPr>
          <w:rFonts w:ascii="Verdana" w:eastAsia="Arial" w:hAnsi="Verdana" w:cs="Arial"/>
          <w:color w:val="000000"/>
          <w:sz w:val="20"/>
          <w:szCs w:val="20"/>
        </w:rPr>
        <w:t xml:space="preserve">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w:t>
      </w:r>
      <w:proofErr w:type="spellStart"/>
      <w:r w:rsidRPr="00F57B81">
        <w:rPr>
          <w:rFonts w:ascii="Verdana" w:eastAsia="Arial" w:hAnsi="Verdana" w:cs="Arial"/>
          <w:color w:val="000000"/>
          <w:sz w:val="20"/>
          <w:szCs w:val="20"/>
        </w:rPr>
        <w:t>subsanabilidad</w:t>
      </w:r>
      <w:proofErr w:type="spellEnd"/>
      <w:r w:rsidRPr="00F57B81">
        <w:rPr>
          <w:rFonts w:ascii="Verdana" w:eastAsia="Arial" w:hAnsi="Verdana" w:cs="Arial"/>
          <w:color w:val="000000"/>
          <w:sz w:val="20"/>
          <w:szCs w:val="20"/>
        </w:rPr>
        <w:t xml:space="preserve">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F57B81">
        <w:rPr>
          <w:rFonts w:ascii="Verdana" w:eastAsia="Arial" w:hAnsi="Verdana" w:cs="Arial"/>
          <w:color w:val="000000"/>
          <w:sz w:val="20"/>
          <w:szCs w:val="20"/>
        </w:rPr>
        <w:tab/>
      </w:r>
    </w:p>
    <w:p w14:paraId="624FE2CC" w14:textId="77777777" w:rsidR="00D00AFB" w:rsidRPr="00F57B81" w:rsidRDefault="00D00AFB" w:rsidP="00D00AFB">
      <w:pPr>
        <w:spacing w:after="0" w:line="240" w:lineRule="auto"/>
        <w:jc w:val="both"/>
        <w:rPr>
          <w:rFonts w:ascii="Verdana" w:eastAsia="Arial" w:hAnsi="Verdana" w:cs="Arial"/>
          <w:color w:val="000000"/>
          <w:sz w:val="20"/>
          <w:szCs w:val="20"/>
        </w:rPr>
      </w:pPr>
    </w:p>
    <w:p w14:paraId="2DBC881F" w14:textId="77777777" w:rsidR="00D00AFB" w:rsidRPr="00F57B81" w:rsidRDefault="00D00AFB" w:rsidP="00D00AFB">
      <w:pPr>
        <w:spacing w:after="0" w:line="240" w:lineRule="auto"/>
        <w:jc w:val="both"/>
        <w:rPr>
          <w:rFonts w:ascii="Verdana" w:eastAsia="Arial" w:hAnsi="Verdana" w:cs="Arial"/>
          <w:b/>
          <w:color w:val="000000"/>
        </w:rPr>
      </w:pPr>
      <w:r w:rsidRPr="00F57B81">
        <w:rPr>
          <w:rFonts w:ascii="Verdana" w:eastAsia="Arial" w:hAnsi="Verdana" w:cs="Arial"/>
          <w:b/>
          <w:color w:val="000000"/>
        </w:rPr>
        <w:t>SUBSANABILIDAD – Concepto de unificación – Aplicación – Improcedencia – Circunstancias posteriores – Cierre del proceso</w:t>
      </w:r>
    </w:p>
    <w:p w14:paraId="34BEE933" w14:textId="77777777" w:rsidR="00D00AFB" w:rsidRPr="00F57B81" w:rsidRDefault="00D00AFB" w:rsidP="00D00AFB">
      <w:pPr>
        <w:spacing w:after="0" w:line="240" w:lineRule="auto"/>
        <w:jc w:val="both"/>
        <w:rPr>
          <w:rFonts w:ascii="Verdana" w:eastAsia="Arial" w:hAnsi="Verdana" w:cs="Arial"/>
          <w:color w:val="000000"/>
          <w:sz w:val="20"/>
          <w:szCs w:val="20"/>
        </w:rPr>
      </w:pPr>
    </w:p>
    <w:p w14:paraId="1B051E80" w14:textId="77777777" w:rsidR="00D00AFB" w:rsidRPr="00F57B81" w:rsidRDefault="00D00AFB" w:rsidP="00D00AFB">
      <w:pPr>
        <w:spacing w:after="0" w:line="240" w:lineRule="auto"/>
        <w:jc w:val="both"/>
        <w:rPr>
          <w:rFonts w:ascii="Verdana" w:eastAsia="Arial" w:hAnsi="Verdana" w:cs="Arial"/>
          <w:color w:val="000000"/>
          <w:sz w:val="20"/>
          <w:szCs w:val="20"/>
        </w:rPr>
      </w:pPr>
      <w:r w:rsidRPr="00F57B81">
        <w:rPr>
          <w:rFonts w:ascii="Verdana" w:eastAsia="Arial" w:hAnsi="Verdana" w:cs="Arial"/>
          <w:color w:val="000000"/>
          <w:sz w:val="20"/>
          <w:szCs w:val="20"/>
        </w:rPr>
        <w:t xml:space="preserve">La regla de la </w:t>
      </w:r>
      <w:proofErr w:type="spellStart"/>
      <w:r w:rsidRPr="00F57B81">
        <w:rPr>
          <w:rFonts w:ascii="Verdana" w:eastAsia="Arial" w:hAnsi="Verdana" w:cs="Arial"/>
          <w:color w:val="000000"/>
          <w:sz w:val="20"/>
          <w:szCs w:val="20"/>
        </w:rPr>
        <w:t>subsanabilidad</w:t>
      </w:r>
      <w:proofErr w:type="spellEnd"/>
      <w:r w:rsidRPr="00F57B81">
        <w:rPr>
          <w:rFonts w:ascii="Verdana" w:eastAsia="Arial" w:hAnsi="Verdana" w:cs="Arial"/>
          <w:color w:val="000000"/>
          <w:sz w:val="20"/>
          <w:szCs w:val="20"/>
        </w:rPr>
        <w:t xml:space="preserve">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w:t>
      </w:r>
      <w:r w:rsidRPr="00F57B81">
        <w:rPr>
          <w:rFonts w:ascii="Verdana" w:eastAsia="Arial" w:hAnsi="Verdana" w:cs="Arial"/>
          <w:color w:val="000000"/>
          <w:sz w:val="20"/>
          <w:szCs w:val="20"/>
        </w:rPr>
        <w:lastRenderedPageBreak/>
        <w:t xml:space="preserve">que la </w:t>
      </w:r>
      <w:proofErr w:type="spellStart"/>
      <w:r w:rsidRPr="00F57B81">
        <w:rPr>
          <w:rFonts w:ascii="Verdana" w:eastAsia="Arial" w:hAnsi="Verdana" w:cs="Arial"/>
          <w:color w:val="000000"/>
          <w:sz w:val="20"/>
          <w:szCs w:val="20"/>
        </w:rPr>
        <w:t>subsanabilidad</w:t>
      </w:r>
      <w:proofErr w:type="spellEnd"/>
      <w:r w:rsidRPr="00F57B81">
        <w:rPr>
          <w:rFonts w:ascii="Verdana" w:eastAsia="Arial" w:hAnsi="Verdana" w:cs="Arial"/>
          <w:color w:val="000000"/>
          <w:sz w:val="20"/>
          <w:szCs w:val="20"/>
        </w:rPr>
        <w:t xml:space="preserve"> de las ofertas debe interpretarse como una regla general en relación con la falta de entrega o con los defectos de los requisitos habilitantes.</w:t>
      </w:r>
    </w:p>
    <w:p w14:paraId="2E6FC73A" w14:textId="77777777" w:rsidR="00D00AFB" w:rsidRPr="00F57B81" w:rsidRDefault="00D00AFB" w:rsidP="00D00AFB">
      <w:pPr>
        <w:spacing w:after="0" w:line="240" w:lineRule="auto"/>
        <w:jc w:val="both"/>
        <w:rPr>
          <w:rFonts w:ascii="Verdana" w:eastAsia="Arial" w:hAnsi="Verdana" w:cs="Arial"/>
          <w:color w:val="000000"/>
          <w:sz w:val="20"/>
          <w:szCs w:val="20"/>
        </w:rPr>
      </w:pPr>
    </w:p>
    <w:p w14:paraId="113AD4CA" w14:textId="77777777" w:rsidR="00D00AFB" w:rsidRPr="00F57B81" w:rsidRDefault="00D00AFB" w:rsidP="00D00AFB">
      <w:pPr>
        <w:spacing w:after="0" w:line="240" w:lineRule="auto"/>
        <w:jc w:val="both"/>
        <w:rPr>
          <w:rFonts w:ascii="Verdana" w:eastAsia="Arial" w:hAnsi="Verdana" w:cs="Arial"/>
          <w:color w:val="000000"/>
        </w:rPr>
      </w:pPr>
      <w:r w:rsidRPr="00F57B81">
        <w:rPr>
          <w:rFonts w:ascii="Verdana" w:eastAsia="Arial" w:hAnsi="Verdana" w:cs="Arial"/>
          <w:b/>
          <w:color w:val="000000"/>
        </w:rPr>
        <w:t xml:space="preserve">SUBSANABILIDAD – Oportunidad – Traslado – Informe de evaluación </w:t>
      </w:r>
    </w:p>
    <w:p w14:paraId="1901FF42" w14:textId="77777777" w:rsidR="00D00AFB" w:rsidRPr="00F57B81" w:rsidRDefault="00D00AFB" w:rsidP="00D00AFB">
      <w:pPr>
        <w:spacing w:after="0" w:line="240" w:lineRule="auto"/>
        <w:jc w:val="both"/>
        <w:rPr>
          <w:rFonts w:ascii="Verdana" w:eastAsia="Arial" w:hAnsi="Verdana" w:cs="Arial"/>
          <w:color w:val="000000"/>
          <w:sz w:val="20"/>
          <w:szCs w:val="20"/>
        </w:rPr>
      </w:pPr>
    </w:p>
    <w:p w14:paraId="7CAA5174" w14:textId="77777777" w:rsidR="00D00AFB" w:rsidRPr="00F57B81" w:rsidRDefault="00D00AFB" w:rsidP="00D00AFB">
      <w:pPr>
        <w:spacing w:after="0" w:line="240" w:lineRule="auto"/>
        <w:jc w:val="both"/>
        <w:rPr>
          <w:rFonts w:ascii="Verdana" w:eastAsia="Arial" w:hAnsi="Verdana" w:cs="Arial"/>
          <w:color w:val="000000"/>
          <w:sz w:val="20"/>
          <w:szCs w:val="20"/>
        </w:rPr>
      </w:pPr>
      <w:r w:rsidRPr="00F57B81">
        <w:rPr>
          <w:rFonts w:ascii="Verdana" w:eastAsia="Arial" w:hAnsi="Verdana" w:cs="Arial"/>
          <w:color w:val="000000"/>
          <w:sz w:val="20"/>
          <w:szCs w:val="20"/>
        </w:rPr>
        <w:t xml:space="preserve">No obstante, de la lectura de este aparte podrían, en la práctica, darse dos interpretaciones que dan lugar a dos formas de proceder en los procesos de selección, en lo que se refiere a la </w:t>
      </w:r>
      <w:proofErr w:type="spellStart"/>
      <w:r w:rsidRPr="00F57B81">
        <w:rPr>
          <w:rFonts w:ascii="Verdana" w:eastAsia="Arial" w:hAnsi="Verdana" w:cs="Arial"/>
          <w:color w:val="000000"/>
          <w:sz w:val="20"/>
          <w:szCs w:val="20"/>
        </w:rPr>
        <w:t>subsanabilidad</w:t>
      </w:r>
      <w:proofErr w:type="spellEnd"/>
      <w:r w:rsidRPr="00F57B81">
        <w:rPr>
          <w:rFonts w:ascii="Verdana" w:eastAsia="Arial" w:hAnsi="Verdana" w:cs="Arial"/>
          <w:color w:val="000000"/>
          <w:sz w:val="20"/>
          <w:szCs w:val="20"/>
        </w:rPr>
        <w:t xml:space="preserve">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 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 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2D03BE1C" w14:textId="77777777" w:rsidR="00D00AFB" w:rsidRDefault="00D00AFB" w:rsidP="00D00AFB">
      <w:pPr>
        <w:spacing w:after="0" w:line="240" w:lineRule="auto"/>
        <w:rPr>
          <w:rFonts w:ascii="Verdana" w:eastAsia="Geomanist Light" w:hAnsi="Verdana" w:cs="Arial"/>
          <w:color w:val="000000" w:themeColor="text1"/>
          <w:lang w:val="es-MX"/>
        </w:rPr>
      </w:pPr>
    </w:p>
    <w:p w14:paraId="03A11277" w14:textId="77777777" w:rsidR="00D00AFB" w:rsidRDefault="00D00AFB" w:rsidP="00D00AFB">
      <w:pPr>
        <w:rPr>
          <w:rFonts w:ascii="Verdana" w:eastAsia="Geomanist Light" w:hAnsi="Verdana" w:cs="Arial"/>
          <w:color w:val="000000" w:themeColor="text1"/>
          <w:lang w:val="es-MX"/>
        </w:rPr>
      </w:pPr>
      <w:r>
        <w:rPr>
          <w:rFonts w:ascii="Verdana" w:eastAsia="Geomanist Light" w:hAnsi="Verdana" w:cs="Arial"/>
          <w:color w:val="000000" w:themeColor="text1"/>
          <w:lang w:val="es-MX"/>
        </w:rPr>
        <w:br w:type="page"/>
      </w:r>
    </w:p>
    <w:p w14:paraId="10F821E3" w14:textId="77777777" w:rsidR="00F768C7" w:rsidRDefault="00F768C7" w:rsidP="00D00AFB">
      <w:pPr>
        <w:spacing w:after="0" w:line="240" w:lineRule="auto"/>
        <w:rPr>
          <w:rFonts w:ascii="Verdana" w:eastAsia="Geomanist Light" w:hAnsi="Verdana" w:cs="Arial"/>
          <w:color w:val="000000" w:themeColor="text1"/>
          <w:lang w:val="es-MX"/>
        </w:rPr>
      </w:pPr>
    </w:p>
    <w:p w14:paraId="0D628923" w14:textId="77777777" w:rsidR="00F768C7" w:rsidRDefault="00F768C7" w:rsidP="00D00AFB">
      <w:pPr>
        <w:spacing w:after="0" w:line="240" w:lineRule="auto"/>
        <w:rPr>
          <w:rFonts w:ascii="Verdana" w:eastAsia="Geomanist Light" w:hAnsi="Verdana" w:cs="Arial"/>
          <w:color w:val="000000" w:themeColor="text1"/>
          <w:lang w:val="es-MX"/>
        </w:rPr>
      </w:pPr>
    </w:p>
    <w:p w14:paraId="16887C20" w14:textId="77777777" w:rsidR="00F768C7" w:rsidRDefault="00F768C7" w:rsidP="00D00AFB">
      <w:pPr>
        <w:spacing w:after="0" w:line="240" w:lineRule="auto"/>
        <w:rPr>
          <w:rFonts w:ascii="Verdana" w:eastAsia="Geomanist Light" w:hAnsi="Verdana" w:cs="Arial"/>
          <w:color w:val="000000" w:themeColor="text1"/>
          <w:lang w:val="es-MX"/>
        </w:rPr>
      </w:pPr>
    </w:p>
    <w:p w14:paraId="04B2D6D3" w14:textId="77777777" w:rsidR="00F768C7" w:rsidRDefault="00F768C7" w:rsidP="00D00AFB">
      <w:pPr>
        <w:spacing w:after="0" w:line="240" w:lineRule="auto"/>
        <w:rPr>
          <w:rFonts w:ascii="Verdana" w:eastAsia="Geomanist Light" w:hAnsi="Verdana" w:cs="Arial"/>
          <w:color w:val="000000" w:themeColor="text1"/>
          <w:lang w:val="es-MX"/>
        </w:rPr>
      </w:pPr>
    </w:p>
    <w:p w14:paraId="70B4142D" w14:textId="77777777" w:rsidR="00F768C7" w:rsidRDefault="00F768C7" w:rsidP="00D00AFB">
      <w:pPr>
        <w:spacing w:after="0" w:line="240" w:lineRule="auto"/>
        <w:rPr>
          <w:rFonts w:ascii="Verdana" w:eastAsia="Geomanist Light" w:hAnsi="Verdana" w:cs="Arial"/>
          <w:color w:val="000000" w:themeColor="text1"/>
          <w:lang w:val="es-MX"/>
        </w:rPr>
      </w:pPr>
    </w:p>
    <w:p w14:paraId="554E0DFC" w14:textId="5BE80FD4" w:rsidR="00D00AFB" w:rsidRPr="00593A5F" w:rsidRDefault="00D00AFB" w:rsidP="00D00AFB">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sidRPr="00593A5F">
        <w:rPr>
          <w:rFonts w:ascii="Verdana" w:eastAsia="Geomanist Light" w:hAnsi="Verdana" w:cs="Arial"/>
          <w:color w:val="201F1E"/>
          <w:lang w:val="es-MX"/>
        </w:rPr>
        <w:t>[Día] de [</w:t>
      </w:r>
      <w:proofErr w:type="spellStart"/>
      <w:r w:rsidRPr="00593A5F">
        <w:rPr>
          <w:rFonts w:ascii="Verdana" w:eastAsia="Geomanist Light" w:hAnsi="Verdana" w:cs="Arial"/>
          <w:color w:val="201F1E"/>
          <w:lang w:val="es-MX"/>
        </w:rPr>
        <w:t>Mes.NombreCapitalizado</w:t>
      </w:r>
      <w:proofErr w:type="spellEnd"/>
      <w:r w:rsidRPr="00593A5F">
        <w:rPr>
          <w:rFonts w:ascii="Verdana" w:eastAsia="Geomanist Light" w:hAnsi="Verdana" w:cs="Arial"/>
          <w:color w:val="201F1E"/>
          <w:lang w:val="es-MX"/>
        </w:rPr>
        <w:t>] de [Año]</w:t>
      </w:r>
    </w:p>
    <w:p w14:paraId="2E7B6393" w14:textId="1EF34AA0" w:rsidR="00D00AFB" w:rsidRPr="00593A5F" w:rsidRDefault="00D00AFB" w:rsidP="00D00AFB">
      <w:pPr>
        <w:spacing w:after="0" w:line="240" w:lineRule="auto"/>
        <w:jc w:val="both"/>
        <w:rPr>
          <w:rFonts w:ascii="Verdana" w:eastAsia="Calibri" w:hAnsi="Verdana" w:cs="Arial"/>
          <w:color w:val="000000"/>
          <w:lang w:val="es-ES"/>
        </w:rPr>
      </w:pPr>
    </w:p>
    <w:p w14:paraId="4EA7CEE0" w14:textId="47219EAF" w:rsidR="00D00AFB" w:rsidRPr="00B96799" w:rsidRDefault="00D00AFB" w:rsidP="00D00AFB">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16B8445D" w14:textId="6FD17597" w:rsidR="00D00AFB" w:rsidRPr="00B96799" w:rsidRDefault="00F768C7" w:rsidP="00D00AFB">
      <w:pPr>
        <w:spacing w:after="0" w:line="240" w:lineRule="auto"/>
        <w:rPr>
          <w:rFonts w:ascii="Verdana" w:eastAsia="Calibri" w:hAnsi="Verdana" w:cs="Arial"/>
          <w:b/>
          <w:lang w:val="es-ES_tradnl" w:eastAsia="es-ES_tradnl"/>
        </w:rPr>
      </w:pPr>
      <w:r>
        <w:rPr>
          <w:noProof/>
        </w:rPr>
        <w:drawing>
          <wp:anchor distT="0" distB="0" distL="0" distR="0" simplePos="0" relativeHeight="251659264" behindDoc="0" locked="0" layoutInCell="1" allowOverlap="1" wp14:anchorId="3D0DA7C7" wp14:editId="5D234BBA">
            <wp:simplePos x="0" y="0"/>
            <wp:positionH relativeFrom="page">
              <wp:posOffset>4959565</wp:posOffset>
            </wp:positionH>
            <wp:positionV relativeFrom="paragraph">
              <wp:posOffset>10603</wp:posOffset>
            </wp:positionV>
            <wp:extent cx="1992702" cy="528128"/>
            <wp:effectExtent l="0" t="0" r="7620" b="5715"/>
            <wp:wrapNone/>
            <wp:docPr id="7" name="Image 7" descr="Text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Texto&#10;&#10;El contenido generado por IA puede ser incorrecto."/>
                    <pic:cNvPicPr/>
                  </pic:nvPicPr>
                  <pic:blipFill>
                    <a:blip r:embed="rId11" cstate="print"/>
                    <a:stretch>
                      <a:fillRect/>
                    </a:stretch>
                  </pic:blipFill>
                  <pic:spPr>
                    <a:xfrm>
                      <a:off x="0" y="0"/>
                      <a:ext cx="1992702" cy="528128"/>
                    </a:xfrm>
                    <a:prstGeom prst="rect">
                      <a:avLst/>
                    </a:prstGeom>
                  </pic:spPr>
                </pic:pic>
              </a:graphicData>
            </a:graphic>
            <wp14:sizeRelH relativeFrom="margin">
              <wp14:pctWidth>0</wp14:pctWidth>
            </wp14:sizeRelH>
            <wp14:sizeRelV relativeFrom="margin">
              <wp14:pctHeight>0</wp14:pctHeight>
            </wp14:sizeRelV>
          </wp:anchor>
        </w:drawing>
      </w:r>
      <w:r w:rsidR="00D00AFB" w:rsidRPr="00455182">
        <w:rPr>
          <w:rFonts w:ascii="Verdana" w:eastAsia="Calibri" w:hAnsi="Verdana" w:cs="Arial"/>
          <w:b/>
          <w:lang w:val="es-ES_tradnl" w:eastAsia="es-ES_tradnl"/>
        </w:rPr>
        <w:t xml:space="preserve">Laura </w:t>
      </w:r>
      <w:proofErr w:type="spellStart"/>
      <w:r w:rsidR="00D00AFB" w:rsidRPr="00455182">
        <w:rPr>
          <w:rFonts w:ascii="Verdana" w:eastAsia="Calibri" w:hAnsi="Verdana" w:cs="Arial"/>
          <w:b/>
          <w:lang w:val="es-ES_tradnl" w:eastAsia="es-ES_tradnl"/>
        </w:rPr>
        <w:t>Vannessa</w:t>
      </w:r>
      <w:proofErr w:type="spellEnd"/>
      <w:r w:rsidR="00D00AFB" w:rsidRPr="00455182">
        <w:rPr>
          <w:rFonts w:ascii="Verdana" w:eastAsia="Calibri" w:hAnsi="Verdana" w:cs="Arial"/>
          <w:b/>
          <w:lang w:val="es-ES_tradnl" w:eastAsia="es-ES_tradnl"/>
        </w:rPr>
        <w:t xml:space="preserve"> Rojas Oviedo</w:t>
      </w:r>
    </w:p>
    <w:p w14:paraId="36236739" w14:textId="73A9EC9E" w:rsidR="00D00AFB" w:rsidRPr="00A85AEF" w:rsidRDefault="00D00AFB" w:rsidP="00D00AFB">
      <w:pPr>
        <w:spacing w:after="0" w:line="240" w:lineRule="auto"/>
        <w:rPr>
          <w:rFonts w:ascii="Verdana" w:eastAsia="Calibri" w:hAnsi="Verdana" w:cs="Arial"/>
          <w:u w:val="single"/>
          <w:lang w:eastAsia="es-ES"/>
        </w:rPr>
      </w:pPr>
      <w:hyperlink r:id="rId12" w:history="1">
        <w:r w:rsidRPr="00A85AEF">
          <w:rPr>
            <w:rStyle w:val="Hipervnculo"/>
            <w:rFonts w:ascii="Verdana" w:eastAsia="Calibri" w:hAnsi="Verdana" w:cs="Arial"/>
            <w:lang w:eastAsia="es-ES"/>
          </w:rPr>
          <w:t>lau2439van@gmail.com</w:t>
        </w:r>
      </w:hyperlink>
    </w:p>
    <w:p w14:paraId="073BBB78" w14:textId="77777777" w:rsidR="00D00AFB" w:rsidRPr="00B96799" w:rsidRDefault="00D00AFB" w:rsidP="00D00AFB">
      <w:pPr>
        <w:spacing w:after="0" w:line="240" w:lineRule="auto"/>
        <w:rPr>
          <w:rFonts w:ascii="Verdana" w:eastAsia="Calibri" w:hAnsi="Verdana" w:cs="Arial"/>
          <w:b/>
          <w:bCs/>
          <w:lang w:val="es-ES" w:eastAsia="es-ES"/>
        </w:rPr>
      </w:pPr>
      <w:r>
        <w:rPr>
          <w:rFonts w:ascii="Verdana" w:eastAsia="Calibri" w:hAnsi="Verdana" w:cs="Arial"/>
          <w:lang w:val="es-ES" w:eastAsia="es-ES"/>
        </w:rPr>
        <w:t>Neiv</w:t>
      </w:r>
      <w:r w:rsidRPr="00B96799">
        <w:rPr>
          <w:rFonts w:ascii="Verdana" w:eastAsia="Calibri" w:hAnsi="Verdana" w:cs="Arial"/>
          <w:lang w:val="es-ES" w:eastAsia="es-ES"/>
        </w:rPr>
        <w:t xml:space="preserve">a, </w:t>
      </w:r>
      <w:r>
        <w:rPr>
          <w:rFonts w:ascii="Verdana" w:eastAsia="Calibri" w:hAnsi="Verdana" w:cs="Arial"/>
          <w:lang w:val="es-ES" w:eastAsia="es-ES"/>
        </w:rPr>
        <w:t>Huila</w:t>
      </w:r>
    </w:p>
    <w:p w14:paraId="1993A231" w14:textId="77777777" w:rsidR="00D00AFB" w:rsidRPr="00593A5F" w:rsidRDefault="00D00AFB" w:rsidP="00D00AFB">
      <w:pPr>
        <w:spacing w:after="0" w:line="240" w:lineRule="auto"/>
        <w:rPr>
          <w:rFonts w:ascii="Verdana" w:eastAsia="Calibri" w:hAnsi="Verdana" w:cs="Arial"/>
          <w:b/>
          <w:bCs/>
          <w:color w:val="000000"/>
          <w:lang w:val="es-ES_tradnl" w:eastAsia="es-ES_tradnl"/>
        </w:rPr>
      </w:pPr>
    </w:p>
    <w:p w14:paraId="4FC20319" w14:textId="77777777" w:rsidR="00D00AFB" w:rsidRPr="00593A5F" w:rsidRDefault="00D00AFB" w:rsidP="00D00AF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00AFB" w:rsidRPr="00593A5F" w14:paraId="4E3FDEB0" w14:textId="77777777" w:rsidTr="00DE428D">
        <w:trPr>
          <w:trHeight w:val="884"/>
        </w:trPr>
        <w:tc>
          <w:tcPr>
            <w:tcW w:w="2689" w:type="dxa"/>
          </w:tcPr>
          <w:p w14:paraId="60FDB2FE" w14:textId="77777777" w:rsidR="00D00AFB" w:rsidRPr="00C00976" w:rsidRDefault="00D00AFB" w:rsidP="00DE428D">
            <w:pPr>
              <w:jc w:val="both"/>
              <w:rPr>
                <w:rFonts w:ascii="Verdana" w:eastAsia="Calibri" w:hAnsi="Verdana" w:cs="Arial"/>
                <w:b/>
                <w:bCs/>
                <w:color w:val="7030A0"/>
                <w:lang w:val="es-ES_tradnl" w:eastAsia="es-ES_tradnl"/>
              </w:rPr>
            </w:pPr>
          </w:p>
        </w:tc>
        <w:tc>
          <w:tcPr>
            <w:tcW w:w="6100" w:type="dxa"/>
          </w:tcPr>
          <w:p w14:paraId="7FC89D1A" w14:textId="77777777" w:rsidR="00D00AFB" w:rsidRPr="00A85AEF" w:rsidRDefault="00D00AFB" w:rsidP="00DE428D">
            <w:pPr>
              <w:jc w:val="both"/>
              <w:rPr>
                <w:rFonts w:ascii="Verdana" w:eastAsia="Calibri" w:hAnsi="Verdana" w:cs="Arial"/>
                <w:b/>
                <w:bCs/>
                <w:lang w:val="es-ES" w:eastAsia="es-ES"/>
              </w:rPr>
            </w:pPr>
            <w:r w:rsidRPr="00A85AEF">
              <w:rPr>
                <w:rFonts w:ascii="Verdana" w:eastAsia="Calibri" w:hAnsi="Verdana" w:cs="Arial"/>
                <w:b/>
                <w:bCs/>
                <w:lang w:val="es-ES" w:eastAsia="es-ES"/>
              </w:rPr>
              <w:t>Concepto C-293 de 2025</w:t>
            </w:r>
          </w:p>
        </w:tc>
      </w:tr>
      <w:tr w:rsidR="00D00AFB" w:rsidRPr="00593A5F" w14:paraId="76107405" w14:textId="77777777" w:rsidTr="00DE428D">
        <w:trPr>
          <w:trHeight w:val="884"/>
        </w:trPr>
        <w:tc>
          <w:tcPr>
            <w:tcW w:w="2689" w:type="dxa"/>
          </w:tcPr>
          <w:p w14:paraId="034EE3AD" w14:textId="77777777" w:rsidR="00D00AFB" w:rsidRPr="00593A5F" w:rsidRDefault="00D00AFB" w:rsidP="00DE428D">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481203E" w14:textId="77777777" w:rsidR="00D00AFB" w:rsidRPr="00277E26" w:rsidRDefault="00D00AFB" w:rsidP="00DE428D">
            <w:pPr>
              <w:spacing w:line="276" w:lineRule="auto"/>
              <w:jc w:val="both"/>
              <w:rPr>
                <w:rFonts w:ascii="Verdana" w:eastAsia="Calibri" w:hAnsi="Verdana" w:cs="Arial"/>
                <w:lang w:val="es-ES" w:eastAsia="es-ES"/>
              </w:rPr>
            </w:pPr>
            <w:r w:rsidRPr="00F57B81">
              <w:rPr>
                <w:rFonts w:ascii="Verdana" w:eastAsia="Calibri" w:hAnsi="Verdana" w:cs="Arial"/>
                <w:lang w:val="es-ES" w:eastAsia="es-ES"/>
              </w:rPr>
              <w:t>PRINCIPIO DE SELECCIÓN OBJETIVA – Fundamento – Alcance / SUBSANABILIDAD – Concepto de unificación – Aplicación – Improcedencia – Circunstancias posteriores – Cierre del proceso / SUBSANABILIDAD – Oportunidad – Traslado – Informe de evaluación</w:t>
            </w:r>
          </w:p>
          <w:p w14:paraId="68BEAD6F" w14:textId="77777777" w:rsidR="00D00AFB" w:rsidRPr="00593A5F" w:rsidRDefault="00D00AFB" w:rsidP="00DE428D">
            <w:pPr>
              <w:spacing w:line="276" w:lineRule="auto"/>
              <w:jc w:val="both"/>
              <w:rPr>
                <w:rFonts w:ascii="Verdana" w:eastAsia="Calibri" w:hAnsi="Verdana" w:cs="Arial"/>
                <w:lang w:val="es-ES" w:eastAsia="es-ES"/>
              </w:rPr>
            </w:pPr>
          </w:p>
        </w:tc>
      </w:tr>
      <w:tr w:rsidR="00D00AFB" w:rsidRPr="00A85AEF" w14:paraId="65B8970A" w14:textId="77777777" w:rsidTr="00F768C7">
        <w:trPr>
          <w:trHeight w:val="723"/>
        </w:trPr>
        <w:tc>
          <w:tcPr>
            <w:tcW w:w="2689" w:type="dxa"/>
          </w:tcPr>
          <w:p w14:paraId="703FECA2" w14:textId="77777777" w:rsidR="00D00AFB" w:rsidRPr="00A85AEF" w:rsidRDefault="00D00AFB" w:rsidP="00DE428D">
            <w:pPr>
              <w:jc w:val="both"/>
              <w:rPr>
                <w:rFonts w:ascii="Verdana" w:eastAsia="Calibri" w:hAnsi="Verdana" w:cs="Arial"/>
                <w:b/>
                <w:lang w:val="es-ES_tradnl" w:eastAsia="es-ES_tradnl"/>
              </w:rPr>
            </w:pPr>
            <w:r w:rsidRPr="00A85AEF">
              <w:rPr>
                <w:rFonts w:ascii="Verdana" w:eastAsia="Calibri" w:hAnsi="Verdana" w:cs="Arial"/>
                <w:b/>
                <w:lang w:val="es-ES_tradnl" w:eastAsia="es-ES_tradnl"/>
              </w:rPr>
              <w:t>Radicación:</w:t>
            </w:r>
            <w:r w:rsidRPr="00A85AEF">
              <w:rPr>
                <w:rFonts w:ascii="Verdana" w:eastAsia="Calibri" w:hAnsi="Verdana" w:cs="Arial"/>
                <w:lang w:val="es-ES_tradnl" w:eastAsia="es-ES_tradnl"/>
              </w:rPr>
              <w:t xml:space="preserve">               </w:t>
            </w:r>
          </w:p>
        </w:tc>
        <w:tc>
          <w:tcPr>
            <w:tcW w:w="6100" w:type="dxa"/>
          </w:tcPr>
          <w:p w14:paraId="5F65F6C4" w14:textId="77777777" w:rsidR="00D00AFB" w:rsidRPr="00A85AEF" w:rsidRDefault="00D00AFB" w:rsidP="00DE428D">
            <w:pPr>
              <w:jc w:val="both"/>
              <w:rPr>
                <w:rFonts w:ascii="Verdana" w:eastAsia="Calibri" w:hAnsi="Verdana" w:cs="Arial"/>
                <w:lang w:val="es-ES_tradnl" w:eastAsia="es-ES_tradnl"/>
              </w:rPr>
            </w:pPr>
            <w:r w:rsidRPr="00A85AEF">
              <w:rPr>
                <w:rFonts w:ascii="Verdana" w:eastAsia="Calibri" w:hAnsi="Verdana" w:cs="Arial"/>
                <w:lang w:val="es-ES_tradnl" w:eastAsia="es-ES_tradnl"/>
              </w:rPr>
              <w:t>Respuesta a consulta con radicado No. P20250311002357</w:t>
            </w:r>
          </w:p>
        </w:tc>
      </w:tr>
    </w:tbl>
    <w:p w14:paraId="758752AA" w14:textId="77777777" w:rsidR="00D00AFB" w:rsidRPr="00A85AEF" w:rsidRDefault="00D00AFB" w:rsidP="00D00AFB">
      <w:pPr>
        <w:spacing w:after="0" w:line="240" w:lineRule="auto"/>
        <w:jc w:val="both"/>
        <w:rPr>
          <w:rFonts w:ascii="Verdana" w:eastAsia="Calibri" w:hAnsi="Verdana" w:cs="Arial"/>
          <w:lang w:val="es-ES_tradnl" w:eastAsia="es-ES_tradnl"/>
        </w:rPr>
      </w:pPr>
    </w:p>
    <w:p w14:paraId="637B4382" w14:textId="77777777" w:rsidR="00D00AFB" w:rsidRPr="00A85AEF" w:rsidRDefault="00D00AFB" w:rsidP="00D00AFB">
      <w:pPr>
        <w:spacing w:after="0" w:line="240" w:lineRule="auto"/>
        <w:jc w:val="both"/>
        <w:rPr>
          <w:rFonts w:ascii="Verdana" w:eastAsia="Calibri" w:hAnsi="Verdana" w:cs="Arial"/>
          <w:lang w:val="es-ES_tradnl" w:eastAsia="es-ES_tradnl"/>
        </w:rPr>
      </w:pPr>
    </w:p>
    <w:p w14:paraId="0AD9C6E5" w14:textId="77777777" w:rsidR="00D00AFB" w:rsidRDefault="00D00AFB" w:rsidP="00D00AFB">
      <w:pPr>
        <w:spacing w:after="0" w:line="276" w:lineRule="auto"/>
        <w:jc w:val="both"/>
        <w:rPr>
          <w:rFonts w:ascii="Verdana" w:eastAsia="Calibri" w:hAnsi="Verdana" w:cs="Arial"/>
          <w:color w:val="000000" w:themeColor="text1"/>
          <w:lang w:val="es-ES" w:eastAsia="es-ES"/>
        </w:rPr>
      </w:pPr>
      <w:r w:rsidRPr="00A85AEF">
        <w:rPr>
          <w:rFonts w:ascii="Verdana" w:eastAsia="Calibri" w:hAnsi="Verdana" w:cs="Arial"/>
          <w:lang w:val="es-ES" w:eastAsia="es-ES"/>
        </w:rPr>
        <w:t>Estimad</w:t>
      </w:r>
      <w:r>
        <w:rPr>
          <w:rFonts w:ascii="Verdana" w:eastAsia="Calibri" w:hAnsi="Verdana" w:cs="Arial"/>
          <w:lang w:val="es-ES" w:eastAsia="es-ES"/>
        </w:rPr>
        <w:t>a</w:t>
      </w:r>
      <w:r w:rsidRPr="0013706C">
        <w:rPr>
          <w:rFonts w:ascii="Verdana" w:eastAsia="Calibri" w:hAnsi="Verdana" w:cs="Arial"/>
          <w:lang w:val="es-ES" w:eastAsia="es-ES"/>
        </w:rPr>
        <w:t xml:space="preserve"> señora Laura: </w:t>
      </w:r>
    </w:p>
    <w:p w14:paraId="5FAFEB8C" w14:textId="77777777" w:rsidR="00D00AFB" w:rsidRDefault="00D00AFB" w:rsidP="00D00AF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AEC4813" w14:textId="77777777" w:rsidR="00D00AFB" w:rsidRPr="002911A9" w:rsidRDefault="00D00AFB" w:rsidP="00D00AFB">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w:t>
      </w:r>
      <w:r w:rsidRPr="002911A9">
        <w:rPr>
          <w:rFonts w:ascii="Verdana" w:eastAsia="Calibri" w:hAnsi="Verdana" w:cs="Arial"/>
          <w:lang w:val="es-ES" w:eastAsia="es-ES"/>
        </w:rPr>
        <w:t xml:space="preserve">ta de fecha 11 de marzo de 2025, en la cual manifiesta lo siguiente: </w:t>
      </w:r>
    </w:p>
    <w:p w14:paraId="55960886" w14:textId="77777777" w:rsidR="00D00AFB" w:rsidRPr="002911A9" w:rsidRDefault="00D00AFB" w:rsidP="00D00AFB">
      <w:pPr>
        <w:pStyle w:val="Prrafodelista"/>
        <w:tabs>
          <w:tab w:val="left" w:pos="142"/>
          <w:tab w:val="left" w:pos="284"/>
        </w:tabs>
        <w:spacing w:line="276" w:lineRule="auto"/>
        <w:ind w:left="0"/>
        <w:jc w:val="both"/>
        <w:rPr>
          <w:rFonts w:ascii="Verdana" w:eastAsia="Century Gothic" w:hAnsi="Verdana" w:cs="Century Gothic"/>
          <w:b/>
          <w:bCs/>
        </w:rPr>
      </w:pPr>
    </w:p>
    <w:p w14:paraId="77D1CDD3" w14:textId="77777777" w:rsidR="00D00AFB" w:rsidRPr="002911A9" w:rsidRDefault="00D00AFB" w:rsidP="00D00AFB">
      <w:pPr>
        <w:spacing w:after="0" w:line="240" w:lineRule="auto"/>
        <w:ind w:left="709" w:right="709"/>
        <w:jc w:val="both"/>
        <w:rPr>
          <w:rFonts w:ascii="Verdana" w:eastAsia="Century Gothic" w:hAnsi="Verdana" w:cs="Century Gothic"/>
          <w:sz w:val="20"/>
          <w:szCs w:val="20"/>
          <w:lang w:val="es-ES"/>
        </w:rPr>
      </w:pPr>
      <w:bookmarkStart w:id="0" w:name="_Hlk95313578"/>
      <w:r w:rsidRPr="002911A9">
        <w:rPr>
          <w:rFonts w:ascii="Verdana" w:eastAsia="Century Gothic" w:hAnsi="Verdana" w:cs="Century Gothic"/>
          <w:sz w:val="20"/>
          <w:szCs w:val="20"/>
          <w:lang w:val="es-ES"/>
        </w:rPr>
        <w:t>“[…]</w:t>
      </w:r>
    </w:p>
    <w:p w14:paraId="46D20CFD" w14:textId="77777777" w:rsidR="00D00AFB" w:rsidRPr="002911A9" w:rsidRDefault="00D00AFB" w:rsidP="00D00AFB">
      <w:pPr>
        <w:spacing w:after="0" w:line="240" w:lineRule="auto"/>
        <w:ind w:left="709" w:right="709"/>
        <w:jc w:val="both"/>
        <w:rPr>
          <w:rFonts w:ascii="Verdana" w:hAnsi="Verdana" w:cs="Arial"/>
          <w:sz w:val="20"/>
          <w:szCs w:val="20"/>
          <w:shd w:val="clear" w:color="auto" w:fill="FFFFFF"/>
          <w:lang w:val="es-ES"/>
        </w:rPr>
      </w:pPr>
      <w:r w:rsidRPr="002911A9">
        <w:rPr>
          <w:rFonts w:ascii="Verdana" w:hAnsi="Verdana" w:cs="Arial"/>
          <w:sz w:val="20"/>
          <w:szCs w:val="20"/>
          <w:shd w:val="clear" w:color="auto" w:fill="FFFFFF"/>
        </w:rPr>
        <w:t xml:space="preserve">- ¿Una entidad puede solicitar la subsanación de un certificado de existencia y representación legal justificando que la renovación se ha realizado después del 31 de marzo de 2023 y por ende no resulta válido? - ¿Una entidad puede no asignar el puntaje por factor de “apoyo a la industria nacional” por aportar un certificado de existencia y </w:t>
      </w:r>
      <w:r w:rsidRPr="002911A9">
        <w:rPr>
          <w:rFonts w:ascii="Verdana" w:hAnsi="Verdana" w:cs="Arial"/>
          <w:sz w:val="20"/>
          <w:szCs w:val="20"/>
          <w:shd w:val="clear" w:color="auto" w:fill="FFFFFF"/>
        </w:rPr>
        <w:lastRenderedPageBreak/>
        <w:t>representación legal que está dentro de los 30 días pero que su renovación se realizó después del 31 de marzo de 2023?</w:t>
      </w:r>
      <w:r w:rsidRPr="002911A9">
        <w:rPr>
          <w:rFonts w:ascii="Verdana" w:hAnsi="Verdana" w:cs="Arial"/>
          <w:sz w:val="20"/>
          <w:szCs w:val="20"/>
          <w:shd w:val="clear" w:color="auto" w:fill="FFFFFF"/>
          <w:lang w:val="es-ES"/>
        </w:rPr>
        <w:t xml:space="preserve"> </w:t>
      </w:r>
    </w:p>
    <w:p w14:paraId="03493123" w14:textId="77777777" w:rsidR="00D00AFB" w:rsidRPr="002911A9" w:rsidRDefault="00D00AFB" w:rsidP="00D00AFB">
      <w:pPr>
        <w:spacing w:after="0" w:line="240" w:lineRule="auto"/>
        <w:ind w:left="709" w:right="709"/>
        <w:jc w:val="both"/>
        <w:rPr>
          <w:rFonts w:ascii="Verdana" w:eastAsia="Century Gothic" w:hAnsi="Verdana" w:cs="Century Gothic"/>
          <w:sz w:val="20"/>
          <w:szCs w:val="20"/>
          <w:lang w:val="es-ES"/>
        </w:rPr>
      </w:pPr>
      <w:r w:rsidRPr="002911A9">
        <w:rPr>
          <w:rStyle w:val="normaltextrun"/>
          <w:rFonts w:ascii="Verdana" w:hAnsi="Verdana" w:cs="Arial"/>
          <w:sz w:val="20"/>
          <w:szCs w:val="20"/>
          <w:shd w:val="clear" w:color="auto" w:fill="FFFFFF"/>
          <w:lang w:val="es-ES"/>
        </w:rPr>
        <w:t>[…]</w:t>
      </w:r>
      <w:r w:rsidRPr="002911A9">
        <w:rPr>
          <w:rFonts w:ascii="Verdana" w:eastAsia="Century Gothic" w:hAnsi="Verdana" w:cs="Century Gothic"/>
          <w:sz w:val="20"/>
          <w:szCs w:val="20"/>
          <w:lang w:val="es-ES"/>
        </w:rPr>
        <w:t>”</w:t>
      </w:r>
      <w:bookmarkEnd w:id="0"/>
      <w:r w:rsidRPr="002911A9">
        <w:rPr>
          <w:rFonts w:ascii="Verdana" w:eastAsia="Century Gothic" w:hAnsi="Verdana" w:cs="Century Gothic"/>
          <w:sz w:val="20"/>
          <w:szCs w:val="20"/>
          <w:lang w:val="es-ES"/>
        </w:rPr>
        <w:t>.</w:t>
      </w:r>
    </w:p>
    <w:p w14:paraId="29EEBC6B" w14:textId="77777777" w:rsidR="00D00AFB" w:rsidRPr="00593A5F" w:rsidRDefault="00D00AFB" w:rsidP="00D00AFB">
      <w:pPr>
        <w:pStyle w:val="Prrafodelista"/>
        <w:tabs>
          <w:tab w:val="left" w:pos="142"/>
          <w:tab w:val="left" w:pos="284"/>
        </w:tabs>
        <w:spacing w:line="276" w:lineRule="auto"/>
        <w:ind w:left="0"/>
        <w:jc w:val="both"/>
        <w:rPr>
          <w:rFonts w:ascii="Verdana" w:eastAsia="Century Gothic" w:hAnsi="Verdana" w:cs="Century Gothic"/>
          <w:b/>
          <w:bCs/>
        </w:rPr>
      </w:pPr>
    </w:p>
    <w:p w14:paraId="46BF3143" w14:textId="77777777" w:rsidR="00D00AFB" w:rsidRDefault="00D00AFB" w:rsidP="00D00AFB">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FD1A065" w14:textId="77777777" w:rsidR="00D00AFB" w:rsidRDefault="00D00AFB" w:rsidP="00D00AF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1803205B" w14:textId="77777777" w:rsidR="00D00AFB" w:rsidRPr="00593A5F" w:rsidRDefault="00D00AFB" w:rsidP="00D00AFB">
      <w:pPr>
        <w:spacing w:after="0" w:line="276" w:lineRule="auto"/>
        <w:ind w:firstLine="709"/>
        <w:jc w:val="both"/>
        <w:rPr>
          <w:rFonts w:ascii="Verdana" w:eastAsia="Calibri" w:hAnsi="Verdana" w:cs="Arial"/>
          <w:color w:val="000000"/>
          <w:lang w:val="es-ES" w:eastAsia="es-ES"/>
        </w:rPr>
      </w:pPr>
    </w:p>
    <w:p w14:paraId="4AFCF87B" w14:textId="77777777" w:rsidR="00D00AFB" w:rsidRPr="00593A5F" w:rsidRDefault="00D00AFB" w:rsidP="00D00AF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5D57414" w14:textId="77777777" w:rsidR="00D00AFB" w:rsidRPr="00593A5F" w:rsidRDefault="00D00AFB" w:rsidP="00D00AFB">
      <w:pPr>
        <w:tabs>
          <w:tab w:val="left" w:pos="426"/>
        </w:tabs>
        <w:spacing w:after="0" w:line="276" w:lineRule="auto"/>
        <w:jc w:val="both"/>
        <w:rPr>
          <w:rFonts w:ascii="Verdana" w:eastAsia="Century Gothic" w:hAnsi="Verdana" w:cs="Century Gothic"/>
          <w:lang w:val="es-ES"/>
        </w:rPr>
      </w:pPr>
    </w:p>
    <w:p w14:paraId="48D30499" w14:textId="77777777" w:rsidR="00D00AFB" w:rsidRPr="00FF0BBB" w:rsidRDefault="00D00AFB" w:rsidP="00D00AFB">
      <w:pPr>
        <w:spacing w:after="0" w:line="276" w:lineRule="auto"/>
        <w:jc w:val="both"/>
        <w:rPr>
          <w:rFonts w:ascii="Verdana" w:eastAsia="Century Gothic" w:hAnsi="Verdana" w:cs="Century Gothic"/>
          <w:color w:val="000000" w:themeColor="text1"/>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 jurídic</w:t>
      </w:r>
      <w:r>
        <w:rPr>
          <w:rFonts w:ascii="Verdana" w:eastAsia="Century Gothic" w:hAnsi="Verdana" w:cs="Century Gothic"/>
        </w:rPr>
        <w:t>o</w:t>
      </w:r>
      <w:r w:rsidRPr="00FF0BBB">
        <w:rPr>
          <w:rFonts w:ascii="Verdana" w:eastAsia="Century Gothic" w:hAnsi="Verdana" w:cs="Century Gothic"/>
          <w:color w:val="000000" w:themeColor="text1"/>
        </w:rPr>
        <w:t xml:space="preserve">: ¿Puede una entidad estatal rechazar la subsanación de un certificado de existencia y representación legal si su renovación tiene fecha posterior al cierre del proceso? </w:t>
      </w:r>
    </w:p>
    <w:p w14:paraId="6264398C" w14:textId="77777777" w:rsidR="00D00AFB" w:rsidRPr="00593A5F" w:rsidRDefault="00D00AFB" w:rsidP="00D00AFB">
      <w:pPr>
        <w:spacing w:after="0" w:line="276" w:lineRule="auto"/>
        <w:jc w:val="both"/>
        <w:rPr>
          <w:rFonts w:ascii="Verdana" w:eastAsia="Calibri" w:hAnsi="Verdana" w:cs="Arial"/>
          <w:color w:val="7030A0"/>
          <w:lang w:val="es-ES"/>
        </w:rPr>
      </w:pPr>
    </w:p>
    <w:p w14:paraId="3A009324" w14:textId="77777777" w:rsidR="00D00AFB" w:rsidRPr="00593A5F" w:rsidRDefault="00D00AFB" w:rsidP="00D00A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3199967" w14:textId="77777777" w:rsidR="00D00AFB" w:rsidRPr="00593A5F" w:rsidRDefault="00D00AFB" w:rsidP="00D00AF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00AFB" w:rsidRPr="00593A5F" w14:paraId="04437CFC" w14:textId="77777777" w:rsidTr="00DE428D">
        <w:tc>
          <w:tcPr>
            <w:tcW w:w="8828" w:type="dxa"/>
            <w:shd w:val="clear" w:color="auto" w:fill="auto"/>
          </w:tcPr>
          <w:p w14:paraId="481EEFA4" w14:textId="77777777" w:rsidR="00D00AFB" w:rsidRDefault="00D00AFB" w:rsidP="00DE428D">
            <w:pPr>
              <w:pStyle w:val="NormalWeb"/>
              <w:spacing w:after="120" w:line="276" w:lineRule="auto"/>
              <w:jc w:val="both"/>
              <w:rPr>
                <w:rFonts w:ascii="Verdana" w:eastAsia="Arial" w:hAnsi="Verdana" w:cs="Arial"/>
                <w:color w:val="000000"/>
                <w:sz w:val="22"/>
                <w:szCs w:val="22"/>
              </w:rPr>
            </w:pPr>
            <w:r w:rsidRPr="00277E26">
              <w:rPr>
                <w:rFonts w:ascii="Verdana" w:eastAsia="Century Gothic" w:hAnsi="Verdana" w:cs="Century Gothic"/>
                <w:sz w:val="22"/>
                <w:szCs w:val="22"/>
              </w:rPr>
              <w:t>Conforme a la interpretación de las normas generales del sistema de compras públicas,</w:t>
            </w:r>
            <w:r>
              <w:rPr>
                <w:rFonts w:ascii="Verdana" w:eastAsia="Century Gothic" w:hAnsi="Verdana" w:cs="Century Gothic"/>
                <w:sz w:val="22"/>
                <w:szCs w:val="22"/>
              </w:rPr>
              <w:t xml:space="preserve"> para garantizar </w:t>
            </w:r>
            <w:r w:rsidRPr="00B13ED7">
              <w:rPr>
                <w:rFonts w:ascii="Verdana" w:eastAsia="Arial" w:hAnsi="Verdana" w:cs="Arial"/>
                <w:color w:val="000000"/>
                <w:sz w:val="22"/>
                <w:szCs w:val="22"/>
              </w:rPr>
              <w:t xml:space="preserve">el principio de selección objetiva,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w:t>
            </w:r>
            <w:r w:rsidRPr="00B13ED7">
              <w:rPr>
                <w:rFonts w:ascii="Verdana" w:eastAsia="Arial" w:hAnsi="Verdana" w:cs="Arial"/>
                <w:color w:val="000000"/>
                <w:sz w:val="22"/>
                <w:szCs w:val="22"/>
              </w:rPr>
              <w:lastRenderedPageBreak/>
              <w:t>la subsanación de los requisitos de participación, bajo las condiciones indicadas en la ley, antes de tomar la decisión de rechazar las propuestas que hayan omitido la observancia de los requisitos habilitantes</w:t>
            </w:r>
            <w:r>
              <w:rPr>
                <w:rFonts w:ascii="Verdana" w:eastAsia="Arial" w:hAnsi="Verdana" w:cs="Arial"/>
                <w:color w:val="000000"/>
                <w:sz w:val="22"/>
                <w:szCs w:val="22"/>
              </w:rPr>
              <w:t>.</w:t>
            </w:r>
          </w:p>
          <w:p w14:paraId="65DC3DA5" w14:textId="77777777" w:rsidR="00D00AFB" w:rsidRDefault="00D00AFB" w:rsidP="00DE428D">
            <w:pPr>
              <w:pStyle w:val="NormalWeb"/>
              <w:spacing w:after="120" w:line="276" w:lineRule="auto"/>
              <w:ind w:firstLine="709"/>
              <w:jc w:val="both"/>
              <w:rPr>
                <w:rFonts w:ascii="Verdana" w:eastAsia="Century Gothic" w:hAnsi="Verdana" w:cs="Century Gothic"/>
                <w:sz w:val="22"/>
                <w:szCs w:val="22"/>
                <w:lang w:val="es-ES"/>
              </w:rPr>
            </w:pPr>
            <w:r>
              <w:rPr>
                <w:rFonts w:ascii="Verdana" w:eastAsia="Century Gothic" w:hAnsi="Verdana" w:cs="Century Gothic"/>
                <w:sz w:val="22"/>
                <w:szCs w:val="22"/>
                <w:lang w:val="es-ES"/>
              </w:rPr>
              <w:t>T</w:t>
            </w:r>
            <w:r w:rsidRPr="000C523A">
              <w:rPr>
                <w:rFonts w:ascii="Verdana" w:eastAsia="Century Gothic" w:hAnsi="Verdana" w:cs="Century Gothic"/>
                <w:sz w:val="22"/>
                <w:szCs w:val="22"/>
                <w:lang w:val="es-ES"/>
              </w:rPr>
              <w:t xml:space="preserve">eniendo en cuenta las reglas dispuestas en la Ley 1882 de 2018, todo lo que no sea necesario para la comparación de propuestas no es argumento suficiente para su rechazo en las diferentes modalidades de selección. </w:t>
            </w:r>
            <w:r>
              <w:rPr>
                <w:rFonts w:ascii="Verdana" w:eastAsia="Century Gothic" w:hAnsi="Verdana" w:cs="Century Gothic"/>
                <w:sz w:val="22"/>
                <w:szCs w:val="22"/>
                <w:lang w:val="es-ES"/>
              </w:rPr>
              <w:t>De esta manera</w:t>
            </w:r>
            <w:r w:rsidRPr="000C523A">
              <w:rPr>
                <w:rFonts w:ascii="Verdana" w:eastAsia="Century Gothic" w:hAnsi="Verdana" w:cs="Century Gothic"/>
                <w:sz w:val="22"/>
                <w:szCs w:val="22"/>
                <w:lang w:val="es-ES"/>
              </w:rPr>
              <w:t>, se conserva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w:t>
            </w:r>
          </w:p>
          <w:p w14:paraId="4D35BF54" w14:textId="77777777" w:rsidR="00D00AFB" w:rsidRDefault="00D00AFB" w:rsidP="00DE428D">
            <w:pPr>
              <w:pStyle w:val="NormalWeb"/>
              <w:spacing w:after="120" w:line="276" w:lineRule="auto"/>
              <w:ind w:firstLine="709"/>
              <w:jc w:val="both"/>
              <w:rPr>
                <w:rFonts w:ascii="Verdana" w:eastAsia="Century Gothic" w:hAnsi="Verdana" w:cs="Century Gothic"/>
                <w:sz w:val="22"/>
                <w:szCs w:val="22"/>
              </w:rPr>
            </w:pPr>
            <w:r w:rsidRPr="000C523A">
              <w:rPr>
                <w:rFonts w:ascii="Verdana" w:eastAsia="Century Gothic" w:hAnsi="Verdana" w:cs="Century Gothic"/>
                <w:sz w:val="22"/>
                <w:szCs w:val="22"/>
              </w:rPr>
              <w:t xml:space="preserve">En resumen, por regla general, son subsanables i) la falta de entrega o </w:t>
            </w:r>
            <w:proofErr w:type="spellStart"/>
            <w:r w:rsidRPr="000C523A">
              <w:rPr>
                <w:rFonts w:ascii="Verdana" w:eastAsia="Century Gothic" w:hAnsi="Verdana" w:cs="Century Gothic"/>
                <w:sz w:val="22"/>
                <w:szCs w:val="22"/>
              </w:rPr>
              <w:t>ii</w:t>
            </w:r>
            <w:proofErr w:type="spellEnd"/>
            <w:r w:rsidRPr="000C523A">
              <w:rPr>
                <w:rFonts w:ascii="Verdana" w:eastAsia="Century Gothic" w:hAnsi="Verdana" w:cs="Century Gothic"/>
                <w:sz w:val="22"/>
                <w:szCs w:val="22"/>
              </w:rPr>
              <w:t xml:space="preserve">) los defectos de los requisitos habilitantes. La excepción se encuentra en los casos, previstos en la ley, que limitan la </w:t>
            </w:r>
            <w:proofErr w:type="spellStart"/>
            <w:r w:rsidRPr="000C523A">
              <w:rPr>
                <w:rFonts w:ascii="Verdana" w:eastAsia="Century Gothic" w:hAnsi="Verdana" w:cs="Century Gothic"/>
                <w:sz w:val="22"/>
                <w:szCs w:val="22"/>
              </w:rPr>
              <w:t>subsanabilidad</w:t>
            </w:r>
            <w:proofErr w:type="spellEnd"/>
            <w:r w:rsidRPr="000C523A">
              <w:rPr>
                <w:rFonts w:ascii="Verdana" w:eastAsia="Century Gothic" w:hAnsi="Verdana" w:cs="Century Gothic"/>
                <w:sz w:val="22"/>
                <w:szCs w:val="22"/>
              </w:rPr>
              <w:t>, es decir, en la prohibición de permitir la entrega de la garantía de seriedad de la oferta que no fue aportada con la propuesta y de valer la acreditación de circunstancias ocurridas con posterioridad al cierre del proceso.</w:t>
            </w:r>
            <w:r>
              <w:rPr>
                <w:rFonts w:ascii="Verdana" w:eastAsia="Century Gothic" w:hAnsi="Verdana" w:cs="Century Gothic"/>
                <w:sz w:val="22"/>
                <w:szCs w:val="22"/>
              </w:rPr>
              <w:t xml:space="preserve"> </w:t>
            </w:r>
          </w:p>
          <w:p w14:paraId="4AE1BA4A" w14:textId="77777777" w:rsidR="00921E45" w:rsidRPr="00A31390" w:rsidRDefault="00D00AFB" w:rsidP="00921E45">
            <w:pPr>
              <w:spacing w:after="120" w:line="276" w:lineRule="auto"/>
              <w:ind w:firstLine="709"/>
              <w:jc w:val="both"/>
              <w:rPr>
                <w:rFonts w:ascii="Verdana" w:eastAsia="Arial" w:hAnsi="Verdana" w:cs="Arial"/>
                <w:color w:val="000000"/>
                <w:lang w:eastAsia="es-CO"/>
              </w:rPr>
            </w:pPr>
            <w:r>
              <w:rPr>
                <w:rFonts w:ascii="Verdana" w:eastAsia="Century Gothic" w:hAnsi="Verdana" w:cs="Century Gothic"/>
              </w:rPr>
              <w:t>Por lo demás</w:t>
            </w:r>
            <w:r w:rsidRPr="00B13ED7">
              <w:rPr>
                <w:rFonts w:ascii="Verdana" w:eastAsia="Arial" w:hAnsi="Verdana" w:cs="Arial"/>
                <w:color w:val="000000"/>
              </w:rPr>
              <w:t xml:space="preserve">,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B13ED7">
              <w:rPr>
                <w:rFonts w:ascii="Verdana" w:eastAsia="Arial" w:hAnsi="Verdana" w:cs="Arial"/>
                <w:i/>
                <w:color w:val="000000"/>
              </w:rPr>
              <w:t xml:space="preserve">habilitantes </w:t>
            </w:r>
            <w:r w:rsidRPr="00B13ED7">
              <w:rPr>
                <w:rFonts w:ascii="Verdana" w:eastAsia="Arial" w:hAnsi="Verdana"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r>
              <w:rPr>
                <w:rFonts w:ascii="Verdana" w:eastAsia="Arial" w:hAnsi="Verdana" w:cs="Arial"/>
                <w:color w:val="000000"/>
              </w:rPr>
              <w:t xml:space="preserve"> </w:t>
            </w:r>
            <w:r w:rsidR="00921E45" w:rsidRPr="00A31390">
              <w:rPr>
                <w:rFonts w:ascii="Verdana" w:eastAsia="Arial" w:hAnsi="Verdana" w:cs="Arial"/>
                <w:color w:val="000000"/>
                <w:lang w:eastAsia="es-CO"/>
              </w:rPr>
              <w:t xml:space="preserve">De conformidad con el artículo 5 de la Ley 1882 de 2018, lo subsanable es la prueba de todas las circunstancias ocurridas antes del vencimiento del término para presentar las ofertas, ello es lo que implica la prohibición de acreditar </w:t>
            </w:r>
            <w:r w:rsidR="00921E45" w:rsidRPr="00A31390">
              <w:rPr>
                <w:rFonts w:ascii="Verdana" w:eastAsia="Arial" w:hAnsi="Verdana" w:cs="Arial"/>
                <w:color w:val="000000"/>
                <w:lang w:eastAsia="es-CO"/>
              </w:rPr>
              <w:lastRenderedPageBreak/>
              <w:t xml:space="preserve">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50B48917" w14:textId="77777777" w:rsidR="00921E45" w:rsidRPr="00A31390" w:rsidRDefault="00921E45" w:rsidP="00921E45">
            <w:pPr>
              <w:spacing w:after="120" w:line="276" w:lineRule="auto"/>
              <w:ind w:firstLine="709"/>
              <w:jc w:val="both"/>
              <w:rPr>
                <w:rFonts w:ascii="Verdana" w:eastAsia="Arial" w:hAnsi="Verdana" w:cs="Arial"/>
                <w:color w:val="000000"/>
                <w:lang w:eastAsia="es-CO"/>
              </w:rPr>
            </w:pPr>
            <w:r w:rsidRPr="00A31390">
              <w:rPr>
                <w:rFonts w:ascii="Verdana" w:eastAsia="Arial" w:hAnsi="Verdana" w:cs="Arial"/>
                <w:color w:val="000000"/>
                <w:lang w:eastAsia="es-CO"/>
              </w:rPr>
              <w:t xml:space="preserve">Un mejor entendimiento del significado de la expresión “circunstancias ocurridas con posterioridad al cierre del proceso” implica distinguir entre la prueba de un hecho y el hecho mismo. En el caso de la </w:t>
            </w:r>
            <w:proofErr w:type="spellStart"/>
            <w:r w:rsidRPr="00A31390">
              <w:rPr>
                <w:rFonts w:ascii="Verdana" w:eastAsia="Arial" w:hAnsi="Verdana" w:cs="Arial"/>
                <w:color w:val="000000"/>
                <w:lang w:eastAsia="es-CO"/>
              </w:rPr>
              <w:t>subsanabilidad</w:t>
            </w:r>
            <w:proofErr w:type="spellEnd"/>
            <w:r w:rsidRPr="00A31390">
              <w:rPr>
                <w:rFonts w:ascii="Verdana" w:eastAsia="Arial" w:hAnsi="Verdana" w:cs="Arial"/>
                <w:color w:val="000000"/>
                <w:lang w:eastAsia="es-CO"/>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A31390">
              <w:rPr>
                <w:rFonts w:ascii="Verdana" w:eastAsia="Arial" w:hAnsi="Verdana" w:cs="Arial"/>
                <w:color w:val="000000"/>
                <w:lang w:eastAsia="es-CO"/>
              </w:rPr>
              <w:footnoteReference w:id="2"/>
            </w:r>
            <w:r w:rsidRPr="00A31390">
              <w:rPr>
                <w:rFonts w:ascii="Verdana" w:eastAsia="Arial" w:hAnsi="Verdana" w:cs="Arial"/>
                <w:color w:val="000000"/>
                <w:lang w:eastAsia="es-CO"/>
              </w:rPr>
              <w:t xml:space="preserve">. </w:t>
            </w:r>
          </w:p>
          <w:p w14:paraId="38FC19E3" w14:textId="77777777" w:rsidR="00921E45" w:rsidRPr="00A31390" w:rsidRDefault="00921E45" w:rsidP="00921E45">
            <w:pPr>
              <w:spacing w:after="120" w:line="276" w:lineRule="auto"/>
              <w:ind w:firstLine="709"/>
              <w:jc w:val="both"/>
              <w:rPr>
                <w:rFonts w:ascii="Verdana" w:eastAsia="Arial" w:hAnsi="Verdana" w:cs="Arial"/>
                <w:color w:val="000000"/>
                <w:lang w:eastAsia="es-CO"/>
              </w:rPr>
            </w:pPr>
            <w:r w:rsidRPr="00A31390">
              <w:rPr>
                <w:rFonts w:ascii="Verdana" w:eastAsia="Arial" w:hAnsi="Verdana" w:cs="Arial"/>
                <w:color w:val="000000"/>
                <w:lang w:eastAsia="es-CO"/>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proofErr w:type="spellStart"/>
            <w:r w:rsidRPr="00A31390">
              <w:rPr>
                <w:rFonts w:ascii="Verdana" w:eastAsia="Arial" w:hAnsi="Verdana" w:cs="Arial"/>
                <w:color w:val="000000"/>
                <w:lang w:eastAsia="es-CO"/>
              </w:rPr>
              <w:t>esta</w:t>
            </w:r>
            <w:proofErr w:type="spellEnd"/>
            <w:r w:rsidRPr="00A31390">
              <w:rPr>
                <w:rFonts w:ascii="Verdana" w:eastAsia="Arial" w:hAnsi="Verdana" w:cs="Arial"/>
                <w:color w:val="000000"/>
                <w:lang w:eastAsia="es-CO"/>
              </w:rPr>
              <w:t xml:space="preserve"> en firme para dicho momento; </w:t>
            </w:r>
            <w:proofErr w:type="spellStart"/>
            <w:r w:rsidRPr="00A31390">
              <w:rPr>
                <w:rFonts w:ascii="Verdana" w:eastAsia="Arial" w:hAnsi="Verdana" w:cs="Arial"/>
                <w:color w:val="000000"/>
                <w:lang w:eastAsia="es-CO"/>
              </w:rPr>
              <w:t>ii</w:t>
            </w:r>
            <w:proofErr w:type="spellEnd"/>
            <w:r w:rsidRPr="00A31390">
              <w:rPr>
                <w:rFonts w:ascii="Verdana" w:eastAsia="Arial" w:hAnsi="Verdana" w:cs="Arial"/>
                <w:color w:val="000000"/>
                <w:lang w:eastAsia="es-CO"/>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A31390">
              <w:rPr>
                <w:rFonts w:ascii="Verdana" w:eastAsia="Arial" w:hAnsi="Verdana" w:cs="Arial"/>
                <w:color w:val="000000"/>
                <w:lang w:eastAsia="es-CO"/>
              </w:rPr>
              <w:footnoteReference w:id="3"/>
            </w:r>
            <w:r w:rsidRPr="00A31390">
              <w:rPr>
                <w:rFonts w:ascii="Verdana" w:eastAsia="Arial" w:hAnsi="Verdana" w:cs="Arial"/>
                <w:color w:val="000000"/>
                <w:lang w:eastAsia="es-CO"/>
              </w:rPr>
              <w:t xml:space="preserve">; </w:t>
            </w:r>
            <w:proofErr w:type="spellStart"/>
            <w:r w:rsidRPr="00A31390">
              <w:rPr>
                <w:rFonts w:ascii="Verdana" w:eastAsia="Arial" w:hAnsi="Verdana" w:cs="Arial"/>
                <w:color w:val="000000"/>
                <w:lang w:eastAsia="es-CO"/>
              </w:rPr>
              <w:t>iii</w:t>
            </w:r>
            <w:proofErr w:type="spellEnd"/>
            <w:r w:rsidRPr="00A31390">
              <w:rPr>
                <w:rFonts w:ascii="Verdana" w:eastAsia="Arial" w:hAnsi="Verdana" w:cs="Arial"/>
                <w:color w:val="000000"/>
                <w:lang w:eastAsia="es-CO"/>
              </w:rPr>
              <w:t xml:space="preserve">) si un oferente no anexó el Certificado de Existencia y Representación Legal, el documento aportado con posterioridad debe dar cuenta de que la sociedad existía antes </w:t>
            </w:r>
            <w:r w:rsidRPr="00A31390">
              <w:rPr>
                <w:rFonts w:ascii="Verdana" w:eastAsia="Arial" w:hAnsi="Verdana" w:cs="Arial"/>
                <w:color w:val="000000"/>
                <w:lang w:eastAsia="es-CO"/>
              </w:rPr>
              <w:lastRenderedPageBreak/>
              <w:t>del cierre del proceso</w:t>
            </w:r>
            <w:r w:rsidRPr="00A31390">
              <w:rPr>
                <w:rFonts w:ascii="Verdana" w:eastAsia="Arial" w:hAnsi="Verdana" w:cs="Arial"/>
                <w:color w:val="000000"/>
                <w:lang w:eastAsia="es-CO"/>
              </w:rPr>
              <w:footnoteReference w:id="4"/>
            </w:r>
            <w:r w:rsidRPr="00A31390">
              <w:rPr>
                <w:rFonts w:ascii="Verdana" w:eastAsia="Arial" w:hAnsi="Verdana" w:cs="Arial"/>
                <w:color w:val="000000"/>
                <w:lang w:eastAsia="es-CO"/>
              </w:rPr>
              <w:t xml:space="preserve">; </w:t>
            </w:r>
            <w:proofErr w:type="spellStart"/>
            <w:r w:rsidRPr="00A31390">
              <w:rPr>
                <w:rFonts w:ascii="Verdana" w:eastAsia="Arial" w:hAnsi="Verdana" w:cs="Arial"/>
                <w:color w:val="000000"/>
                <w:lang w:eastAsia="es-CO"/>
              </w:rPr>
              <w:t>iv</w:t>
            </w:r>
            <w:proofErr w:type="spellEnd"/>
            <w:r w:rsidRPr="00A31390">
              <w:rPr>
                <w:rFonts w:ascii="Verdana" w:eastAsia="Arial" w:hAnsi="Verdana" w:cs="Arial"/>
                <w:color w:val="000000"/>
                <w:lang w:eastAsia="es-CO"/>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66848086" w14:textId="671CB0B7" w:rsidR="00D00AFB" w:rsidRPr="00593A5F" w:rsidRDefault="00921E45" w:rsidP="00DE428D">
            <w:pPr>
              <w:spacing w:line="276" w:lineRule="auto"/>
              <w:jc w:val="both"/>
              <w:rPr>
                <w:rFonts w:ascii="Verdana" w:eastAsia="Calibri" w:hAnsi="Verdana" w:cs="Arial"/>
                <w:color w:val="7030A0"/>
                <w:lang w:val="es-ES"/>
              </w:rPr>
            </w:pPr>
            <w:r w:rsidRPr="00A31390">
              <w:rPr>
                <w:rFonts w:ascii="Verdana" w:eastAsia="Arial" w:hAnsi="Verdana" w:cs="Arial"/>
                <w:color w:val="000000"/>
                <w:lang w:eastAsia="es-CO"/>
              </w:rPr>
              <w:t xml:space="preserve">Lo anterior quiere decir que no es la prueba –usualmente un documento– lo que debe ser anterior al cierre del proceso, sino el hecho que ella acredita, es decir, ante la solicitud de la Administración de subsanar determinado requisito, </w:t>
            </w:r>
            <w:r w:rsidRPr="00A31390">
              <w:rPr>
                <w:rFonts w:ascii="Verdana" w:eastAsia="Arial" w:hAnsi="Verdana" w:cs="Arial"/>
                <w:b/>
                <w:bCs/>
                <w:color w:val="000000"/>
                <w:lang w:eastAsia="es-CO"/>
              </w:rPr>
              <w:t>el documento podría estar fechado con posterioridad al vencimiento del término para recibir propuestas, siempre y cuando el hecho que acredite haya ocurrido antes, esto es, que no sea una circunstancia ocurrida con posterioridad al cierre del proceso</w:t>
            </w:r>
            <w:r w:rsidR="00A31390">
              <w:rPr>
                <w:rFonts w:ascii="Verdana" w:eastAsia="Arial" w:hAnsi="Verdana" w:cs="Arial"/>
                <w:b/>
                <w:bCs/>
                <w:color w:val="000000"/>
                <w:lang w:eastAsia="es-CO"/>
              </w:rPr>
              <w:t>.</w:t>
            </w:r>
          </w:p>
        </w:tc>
      </w:tr>
    </w:tbl>
    <w:p w14:paraId="2C1E7D08" w14:textId="77777777" w:rsidR="00D00AFB" w:rsidRPr="00593A5F" w:rsidRDefault="00D00AFB" w:rsidP="00D00AFB">
      <w:pPr>
        <w:tabs>
          <w:tab w:val="left" w:pos="142"/>
          <w:tab w:val="left" w:pos="284"/>
        </w:tabs>
        <w:spacing w:after="0" w:line="276" w:lineRule="auto"/>
        <w:jc w:val="both"/>
        <w:rPr>
          <w:rFonts w:ascii="Verdana" w:eastAsia="Century Gothic" w:hAnsi="Verdana" w:cs="Century Gothic"/>
          <w:b/>
          <w:bCs/>
          <w:lang w:val="es-ES"/>
        </w:rPr>
      </w:pPr>
    </w:p>
    <w:p w14:paraId="28AF5933" w14:textId="77777777" w:rsidR="00D00AFB" w:rsidRPr="00593A5F" w:rsidRDefault="00D00AFB" w:rsidP="00D00A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9FDC354" w14:textId="77777777" w:rsidR="00D00AFB" w:rsidRPr="00593A5F" w:rsidRDefault="00D00AFB" w:rsidP="00D00AFB">
      <w:pPr>
        <w:spacing w:after="0" w:line="276" w:lineRule="auto"/>
        <w:jc w:val="both"/>
        <w:rPr>
          <w:rFonts w:ascii="Verdana" w:eastAsia="Calibri" w:hAnsi="Verdana" w:cs="Arial"/>
          <w:color w:val="7030A0"/>
          <w:lang w:val="es-ES"/>
        </w:rPr>
      </w:pPr>
    </w:p>
    <w:p w14:paraId="473B6A7F" w14:textId="77777777" w:rsidR="00D00AFB" w:rsidRPr="00B96799" w:rsidRDefault="00D00AFB" w:rsidP="00D00AFB">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4D716313" w14:textId="77777777" w:rsidR="00D00AFB" w:rsidRPr="00593A5F" w:rsidRDefault="00D00AFB" w:rsidP="00D00AFB">
      <w:pPr>
        <w:spacing w:after="0" w:line="276" w:lineRule="auto"/>
        <w:jc w:val="both"/>
        <w:rPr>
          <w:rFonts w:ascii="Verdana" w:eastAsia="Calibri" w:hAnsi="Verdana" w:cs="Arial"/>
          <w:color w:val="7030A0"/>
          <w:lang w:val="es-ES"/>
        </w:rPr>
      </w:pPr>
    </w:p>
    <w:p w14:paraId="11F2C10C" w14:textId="7349A1DF" w:rsidR="00D00AFB" w:rsidRPr="00B13ED7" w:rsidRDefault="00D00AFB" w:rsidP="00D00AFB">
      <w:pPr>
        <w:spacing w:after="0" w:line="276" w:lineRule="auto"/>
        <w:jc w:val="both"/>
        <w:rPr>
          <w:rFonts w:ascii="Verdana" w:eastAsia="Arial" w:hAnsi="Verdana" w:cs="Arial"/>
          <w:color w:val="000000"/>
        </w:rPr>
      </w:pPr>
      <w:r w:rsidRPr="00B13ED7">
        <w:rPr>
          <w:rFonts w:ascii="Verdana" w:hAnsi="Verdana" w:cs="Arial"/>
          <w:color w:val="000000" w:themeColor="text1"/>
        </w:rPr>
        <w:t>U</w:t>
      </w:r>
      <w:r w:rsidRPr="00B13ED7">
        <w:rPr>
          <w:rFonts w:ascii="Verdana" w:eastAsia="Arial" w:hAnsi="Verdana" w:cs="Arial"/>
          <w:color w:val="000000"/>
        </w:rPr>
        <w:t xml:space="preserve">no de los principios transversales de los procedimientos de selección es el de </w:t>
      </w:r>
      <w:r w:rsidRPr="00B13ED7">
        <w:rPr>
          <w:rFonts w:ascii="Verdana" w:eastAsia="Arial" w:hAnsi="Verdana" w:cs="Arial"/>
          <w:i/>
          <w:color w:val="000000"/>
        </w:rPr>
        <w:t>selección objetiva</w:t>
      </w:r>
      <w:r w:rsidRPr="00B13ED7">
        <w:rPr>
          <w:rFonts w:ascii="Verdana" w:eastAsia="Arial" w:hAnsi="Verdana" w:cs="Arial"/>
          <w:color w:val="000000"/>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B13ED7">
        <w:rPr>
          <w:rFonts w:ascii="Verdana" w:eastAsia="Arial" w:hAnsi="Verdana" w:cs="Arial"/>
          <w:color w:val="000000"/>
          <w:vertAlign w:val="superscript"/>
        </w:rPr>
        <w:footnoteReference w:id="5"/>
      </w:r>
      <w:r w:rsidRPr="00B13ED7">
        <w:rPr>
          <w:rFonts w:ascii="Verdana" w:eastAsia="Arial" w:hAnsi="Verdana" w:cs="Arial"/>
          <w:color w:val="000000"/>
        </w:rPr>
        <w:t xml:space="preserve">, en la actualidad la disposición legal que lo prevé </w:t>
      </w:r>
      <w:r w:rsidRPr="00B13ED7">
        <w:rPr>
          <w:rFonts w:ascii="Verdana" w:eastAsia="Arial" w:hAnsi="Verdana" w:cs="Arial"/>
          <w:color w:val="000000"/>
        </w:rPr>
        <w:lastRenderedPageBreak/>
        <w:t xml:space="preserve">de manera más clara y contundente es el artículo 5 de la Ley 1150 de 2007, modificado por el artículo 88 de la Ley 1474 de 2011 y por el artículo 5 de la Ley 1882 de 2018. Esta norma prescribe lo siguiente: </w:t>
      </w:r>
    </w:p>
    <w:p w14:paraId="28E4A77A" w14:textId="77777777" w:rsidR="00D00AFB" w:rsidRPr="00B13ED7" w:rsidRDefault="00D00AFB" w:rsidP="00D00AFB">
      <w:pPr>
        <w:spacing w:after="0" w:line="276" w:lineRule="auto"/>
        <w:jc w:val="both"/>
        <w:rPr>
          <w:rFonts w:ascii="Verdana" w:eastAsia="Arial" w:hAnsi="Verdana" w:cs="Arial"/>
          <w:color w:val="000000"/>
        </w:rPr>
      </w:pPr>
    </w:p>
    <w:p w14:paraId="66F9BD0C"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themeColor="text1"/>
          <w:sz w:val="21"/>
          <w:szCs w:val="21"/>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2D57F6">
        <w:rPr>
          <w:rFonts w:ascii="Verdana" w:eastAsia="Arial" w:hAnsi="Verdana" w:cs="Arial"/>
          <w:color w:val="000000" w:themeColor="text1"/>
          <w:sz w:val="21"/>
          <w:szCs w:val="21"/>
        </w:rPr>
        <w:t>equivalentes,</w:t>
      </w:r>
      <w:proofErr w:type="gramEnd"/>
      <w:r w:rsidRPr="002D57F6">
        <w:rPr>
          <w:rFonts w:ascii="Verdana" w:eastAsia="Arial" w:hAnsi="Verdana" w:cs="Arial"/>
          <w:color w:val="000000" w:themeColor="text1"/>
          <w:sz w:val="21"/>
          <w:szCs w:val="21"/>
        </w:rPr>
        <w:t xml:space="preserve"> tendrán en cuenta los siguientes criterios:</w:t>
      </w:r>
    </w:p>
    <w:p w14:paraId="15D66B60"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DE1F892"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4109E9CE"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En los procesos de selección en los que se tenga en cuenta los factores técnicos y económicos, la oferta más ventajosa será la que resulte de aplicar alguna de las siguientes alternativas:</w:t>
      </w:r>
    </w:p>
    <w:p w14:paraId="345B6BD6"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lastRenderedPageBreak/>
        <w:t>a) La ponderación de los elementos de calidad y precio soportados en puntajes o fórmulas señaladas en el pliego de condiciones; o</w:t>
      </w:r>
    </w:p>
    <w:p w14:paraId="3244CF14"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b) La ponderación de los elementos de calidad y precio que representen la mejor relación de costo-beneficio para la entidad.</w:t>
      </w:r>
    </w:p>
    <w:p w14:paraId="14C9000B"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7E136E4C"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4A7B64AD"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En ningún caso se podrá incluir el precio, como factor de escogencia para la selección de consultores.</w:t>
      </w:r>
    </w:p>
    <w:p w14:paraId="7AD21F7B"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2D57F6">
        <w:rPr>
          <w:rFonts w:ascii="Verdana" w:eastAsia="Arial" w:hAnsi="Verdana" w:cs="Arial"/>
          <w:color w:val="000000"/>
          <w:sz w:val="21"/>
          <w:szCs w:val="21"/>
        </w:rPr>
        <w:t>puntaje,</w:t>
      </w:r>
      <w:proofErr w:type="gramEnd"/>
      <w:r w:rsidRPr="002D57F6">
        <w:rPr>
          <w:rFonts w:ascii="Verdana" w:eastAsia="Arial" w:hAnsi="Verdana" w:cs="Arial"/>
          <w:color w:val="000000"/>
          <w:sz w:val="21"/>
          <w:szCs w:val="21"/>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A0E9B55"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Durante el término otorgado para subsanar las ofertas, los proponentes no podrán acreditar circunstancias ocurridas con posterioridad al cierre del proceso.</w:t>
      </w:r>
    </w:p>
    <w:p w14:paraId="4D69EA37"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PARÁGRAFO 2o. Las certificaciones de sistemas de gestión de calidad no serán objeto de calificación, ni podrán establecerse como documento habilitante para participar en licitaciones o concursos.</w:t>
      </w:r>
    </w:p>
    <w:p w14:paraId="734B0DC1"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2D57F6">
        <w:rPr>
          <w:rFonts w:ascii="Verdana" w:eastAsia="Arial" w:hAnsi="Verdana" w:cs="Arial"/>
          <w:color w:val="000000"/>
          <w:sz w:val="21"/>
          <w:szCs w:val="21"/>
        </w:rPr>
        <w:t>la misma</w:t>
      </w:r>
      <w:proofErr w:type="gramEnd"/>
      <w:r w:rsidRPr="002D57F6">
        <w:rPr>
          <w:rFonts w:ascii="Verdana" w:eastAsia="Arial" w:hAnsi="Verdana" w:cs="Arial"/>
          <w:color w:val="000000"/>
          <w:sz w:val="21"/>
          <w:szCs w:val="21"/>
        </w:rPr>
        <w:t>.</w:t>
      </w:r>
    </w:p>
    <w:p w14:paraId="215B93C9" w14:textId="77777777" w:rsidR="00D00AFB" w:rsidRPr="002D57F6" w:rsidRDefault="00D00AFB" w:rsidP="00D00AFB">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 xml:space="preserve">PARÁGRAFO 4o. &lt;Parágrafo adicionado por el artículo 5 de la Ley 1882 de 2018. El nuevo texto es el siguiente:&gt; En aquellos procesos de </w:t>
      </w:r>
      <w:r w:rsidRPr="002D57F6">
        <w:rPr>
          <w:rFonts w:ascii="Verdana" w:eastAsia="Arial" w:hAnsi="Verdana" w:cs="Arial"/>
          <w:color w:val="000000"/>
          <w:sz w:val="21"/>
          <w:szCs w:val="21"/>
        </w:rPr>
        <w:lastRenderedPageBreak/>
        <w:t>selección en los que se utilice el mecanismo de subasta, los documentos referentes a la futura contratación o al proponente, no necesarios para la comparación de las propuestas, deberán ser solicitados hasta el momento previo a su realización.</w:t>
      </w:r>
    </w:p>
    <w:p w14:paraId="5141446F" w14:textId="77777777" w:rsidR="00D00AFB" w:rsidRPr="002D57F6" w:rsidRDefault="00D00AFB" w:rsidP="00D00AFB">
      <w:pPr>
        <w:spacing w:after="0" w:line="240" w:lineRule="auto"/>
        <w:ind w:left="709" w:right="709"/>
        <w:jc w:val="both"/>
        <w:rPr>
          <w:rFonts w:ascii="Verdana" w:eastAsia="Arial" w:hAnsi="Verdana" w:cs="Arial"/>
          <w:color w:val="000000"/>
        </w:rPr>
      </w:pPr>
      <w:r w:rsidRPr="002D57F6">
        <w:rPr>
          <w:rFonts w:ascii="Verdana" w:eastAsia="Arial" w:hAnsi="Verdana" w:cs="Arial"/>
          <w:color w:val="000000" w:themeColor="text1"/>
          <w:sz w:val="21"/>
          <w:szCs w:val="21"/>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2D57F6">
        <w:rPr>
          <w:rFonts w:ascii="Verdana" w:eastAsia="Arial" w:hAnsi="Verdana" w:cs="Arial"/>
          <w:color w:val="000000" w:themeColor="text1"/>
        </w:rPr>
        <w:t xml:space="preserve"> </w:t>
      </w:r>
    </w:p>
    <w:p w14:paraId="4FEB3BED" w14:textId="77777777" w:rsidR="00D00AFB" w:rsidRPr="00B13ED7" w:rsidRDefault="00D00AFB" w:rsidP="00D00AFB">
      <w:pPr>
        <w:spacing w:after="0" w:line="276" w:lineRule="auto"/>
        <w:jc w:val="both"/>
        <w:rPr>
          <w:rFonts w:ascii="Verdana" w:eastAsia="Arial" w:hAnsi="Verdana" w:cs="Arial"/>
          <w:color w:val="000000"/>
        </w:rPr>
      </w:pPr>
    </w:p>
    <w:p w14:paraId="0E66D8A1" w14:textId="77777777" w:rsidR="00D00AFB" w:rsidRPr="00B13ED7" w:rsidRDefault="00D00AFB" w:rsidP="00D00AFB">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De acuerdo con el artículo 5 de la Ley 1150 de 2007,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1A9150B0" w14:textId="77777777" w:rsidR="00D00AFB" w:rsidRPr="00B13ED7" w:rsidRDefault="00D00AFB" w:rsidP="00D00AFB">
      <w:pPr>
        <w:tabs>
          <w:tab w:val="left" w:pos="0"/>
        </w:tabs>
        <w:spacing w:after="120" w:line="276" w:lineRule="auto"/>
        <w:jc w:val="both"/>
        <w:rPr>
          <w:rFonts w:ascii="Verdana" w:eastAsia="Arial" w:hAnsi="Verdana" w:cs="Arial"/>
          <w:color w:val="000000"/>
        </w:rPr>
      </w:pPr>
      <w:bookmarkStart w:id="1" w:name="_1fob9te" w:colFirst="0" w:colLast="0"/>
      <w:bookmarkEnd w:id="1"/>
      <w:r w:rsidRPr="00B13ED7">
        <w:rPr>
          <w:rFonts w:ascii="Verdana" w:eastAsia="Arial" w:hAnsi="Verdana" w:cs="Arial"/>
          <w:color w:val="000000"/>
        </w:rPr>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B13ED7">
        <w:rPr>
          <w:rFonts w:ascii="Verdana" w:eastAsia="Arial" w:hAnsi="Verdana" w:cs="Arial"/>
          <w:color w:val="000000"/>
          <w:vertAlign w:val="superscript"/>
        </w:rPr>
        <w:footnoteReference w:id="6"/>
      </w:r>
      <w:r w:rsidRPr="00B13ED7">
        <w:rPr>
          <w:rFonts w:ascii="Verdana" w:eastAsia="Arial" w:hAnsi="Verdana" w:cs="Arial"/>
          <w:color w:val="000000"/>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B13ED7">
        <w:rPr>
          <w:rFonts w:ascii="Verdana" w:eastAsia="Arial" w:hAnsi="Verdana" w:cs="Arial"/>
          <w:i/>
          <w:color w:val="000000"/>
        </w:rPr>
        <w:t xml:space="preserve">habilitantes </w:t>
      </w:r>
      <w:r w:rsidRPr="00B13ED7">
        <w:rPr>
          <w:rFonts w:ascii="Verdana" w:eastAsia="Arial" w:hAnsi="Verdana"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53D12C41" w14:textId="77777777" w:rsidR="00D00AFB" w:rsidRPr="00B13ED7" w:rsidRDefault="00D00AFB" w:rsidP="00D00AFB">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w:t>
      </w:r>
      <w:r w:rsidRPr="00B13ED7">
        <w:rPr>
          <w:rFonts w:ascii="Verdana" w:eastAsia="Arial" w:hAnsi="Verdana" w:cs="Arial"/>
          <w:color w:val="000000"/>
        </w:rPr>
        <w:lastRenderedPageBreak/>
        <w:t xml:space="preserve">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672983D6" w14:textId="055CE2E8" w:rsidR="00D00AFB" w:rsidRPr="00B13ED7" w:rsidRDefault="00D00AFB" w:rsidP="001B3969">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0B2077B7" w14:textId="7829329B" w:rsidR="00D00AFB" w:rsidRPr="00B13ED7" w:rsidRDefault="00311BE5" w:rsidP="00D00AFB">
      <w:pPr>
        <w:spacing w:after="120" w:line="276" w:lineRule="auto"/>
        <w:ind w:firstLine="709"/>
        <w:jc w:val="both"/>
        <w:rPr>
          <w:rFonts w:ascii="Verdana" w:eastAsia="Arial" w:hAnsi="Verdana" w:cs="Arial"/>
          <w:color w:val="000000"/>
        </w:rPr>
      </w:pPr>
      <w:r>
        <w:rPr>
          <w:rFonts w:ascii="Verdana" w:eastAsia="Arial" w:hAnsi="Verdana" w:cs="Arial"/>
          <w:color w:val="000000"/>
        </w:rPr>
        <w:t>Seguidamente</w:t>
      </w:r>
      <w:r w:rsidR="00D00AFB" w:rsidRPr="00B13ED7">
        <w:rPr>
          <w:rFonts w:ascii="Verdana" w:eastAsia="Arial" w:hAnsi="Verdana" w:cs="Arial"/>
          <w:color w:val="000000"/>
        </w:rPr>
        <w:t xml:space="preserv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w:t>
      </w:r>
      <w:proofErr w:type="spellStart"/>
      <w:r w:rsidR="00D00AFB" w:rsidRPr="00B13ED7">
        <w:rPr>
          <w:rFonts w:ascii="Verdana" w:eastAsia="Arial" w:hAnsi="Verdana" w:cs="Arial"/>
          <w:color w:val="000000"/>
        </w:rPr>
        <w:t>ii</w:t>
      </w:r>
      <w:proofErr w:type="spellEnd"/>
      <w:r w:rsidR="00D00AFB" w:rsidRPr="00B13ED7">
        <w:rPr>
          <w:rFonts w:ascii="Verdana" w:eastAsia="Arial" w:hAnsi="Verdana" w:cs="Arial"/>
          <w:color w:val="000000"/>
        </w:rPr>
        <w:t>)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68EB4F5E" w14:textId="77777777" w:rsidR="00D00AFB" w:rsidRDefault="00D00AFB" w:rsidP="00D00AFB">
      <w:pPr>
        <w:spacing w:after="0" w:line="276" w:lineRule="auto"/>
        <w:ind w:firstLine="709"/>
        <w:jc w:val="both"/>
        <w:rPr>
          <w:rFonts w:ascii="Verdana" w:eastAsia="Arial" w:hAnsi="Verdana" w:cs="Arial"/>
          <w:color w:val="000000"/>
        </w:rPr>
      </w:pPr>
      <w:r w:rsidRPr="00B13ED7">
        <w:rPr>
          <w:rFonts w:ascii="Verdana" w:eastAsia="Arial" w:hAnsi="Verdana" w:cs="Arial"/>
          <w:color w:val="000000"/>
        </w:rPr>
        <w:t xml:space="preserve">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w:t>
      </w:r>
      <w:r w:rsidRPr="00FE38FA">
        <w:rPr>
          <w:rFonts w:ascii="Verdana" w:eastAsia="Arial" w:hAnsi="Verdana" w:cs="Arial"/>
          <w:color w:val="000000"/>
          <w:u w:val="single"/>
        </w:rPr>
        <w:t>la obligación que tienen las entidades estatales de permitir la subsanación de los requisitos de participación</w:t>
      </w:r>
      <w:r w:rsidRPr="00B13ED7">
        <w:rPr>
          <w:rFonts w:ascii="Verdana" w:eastAsia="Arial" w:hAnsi="Verdana" w:cs="Arial"/>
          <w:color w:val="000000"/>
        </w:rPr>
        <w:t xml:space="preserve">, bajo las condiciones indicadas en </w:t>
      </w:r>
      <w:r w:rsidRPr="00B13ED7">
        <w:rPr>
          <w:rFonts w:ascii="Verdana" w:eastAsia="Arial" w:hAnsi="Verdana" w:cs="Arial"/>
          <w:color w:val="000000"/>
        </w:rPr>
        <w:lastRenderedPageBreak/>
        <w:t>la ley, antes de tomar la decisión de rechazar las propuestas que hayan omitido la observancia de los requisitos habilitantes. Esta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Esta regla se explica a continuación.</w:t>
      </w:r>
    </w:p>
    <w:p w14:paraId="2650A9E2" w14:textId="77777777" w:rsidR="00D00AFB" w:rsidRPr="00B17765" w:rsidRDefault="00D00AFB" w:rsidP="00D00AFB">
      <w:pPr>
        <w:spacing w:after="0" w:line="276" w:lineRule="auto"/>
        <w:ind w:firstLine="709"/>
        <w:jc w:val="both"/>
        <w:rPr>
          <w:rFonts w:ascii="Verdana" w:eastAsia="Arial" w:hAnsi="Verdana" w:cs="Arial"/>
          <w:color w:val="000000"/>
        </w:rPr>
      </w:pPr>
    </w:p>
    <w:p w14:paraId="7F9209AE" w14:textId="4D2FB0D3" w:rsidR="00D00AFB" w:rsidRPr="00C64261" w:rsidRDefault="00685698" w:rsidP="00D00AFB">
      <w:pPr>
        <w:pBdr>
          <w:top w:val="nil"/>
          <w:left w:val="nil"/>
          <w:bottom w:val="nil"/>
          <w:right w:val="nil"/>
          <w:between w:val="nil"/>
        </w:pBdr>
        <w:spacing w:after="120" w:line="276" w:lineRule="auto"/>
        <w:jc w:val="both"/>
        <w:rPr>
          <w:rFonts w:ascii="Verdana" w:eastAsia="Quattrocento Sans" w:hAnsi="Verdana" w:cs="Quattrocento Sans"/>
          <w:color w:val="000000"/>
        </w:rPr>
      </w:pPr>
      <w:r>
        <w:rPr>
          <w:rFonts w:ascii="Verdana" w:eastAsia="Calibri" w:hAnsi="Verdana" w:cs="Arial"/>
          <w:bCs/>
          <w:color w:val="000000" w:themeColor="text1"/>
        </w:rPr>
        <w:t>Con base en</w:t>
      </w:r>
      <w:r w:rsidR="00E4379C">
        <w:rPr>
          <w:rFonts w:ascii="Verdana" w:eastAsia="Calibri" w:hAnsi="Verdana" w:cs="Arial"/>
          <w:bCs/>
          <w:color w:val="000000" w:themeColor="text1"/>
        </w:rPr>
        <w:t xml:space="preserve"> esto, en relación con el</w:t>
      </w:r>
      <w:r w:rsidR="00D00AFB" w:rsidRPr="00C64261">
        <w:rPr>
          <w:rFonts w:ascii="Verdana" w:eastAsia="Arial" w:hAnsi="Verdana" w:cs="Arial"/>
          <w:color w:val="000000"/>
        </w:rPr>
        <w:t xml:space="preserve"> alcance de la regla de la </w:t>
      </w:r>
      <w:proofErr w:type="spellStart"/>
      <w:r w:rsidR="00D00AFB" w:rsidRPr="00C64261">
        <w:rPr>
          <w:rFonts w:ascii="Verdana" w:eastAsia="Arial" w:hAnsi="Verdana" w:cs="Arial"/>
          <w:color w:val="000000"/>
        </w:rPr>
        <w:t>subsanabilidad</w:t>
      </w:r>
      <w:proofErr w:type="spellEnd"/>
      <w:r w:rsidR="00D00AFB" w:rsidRPr="00C64261">
        <w:rPr>
          <w:rFonts w:ascii="Verdana" w:eastAsia="Arial" w:hAnsi="Verdana" w:cs="Arial"/>
          <w:color w:val="000000"/>
        </w:rPr>
        <w:t>, contenida actualmente en el artículo 5 de la Ley 1150 de 2007</w:t>
      </w:r>
      <w:r w:rsidR="00B36FC9">
        <w:rPr>
          <w:rFonts w:ascii="Verdana" w:eastAsia="Arial" w:hAnsi="Verdana" w:cs="Arial"/>
          <w:color w:val="000000"/>
        </w:rPr>
        <w:t>, es menester explicar que,</w:t>
      </w:r>
      <w:r w:rsidR="00D00AFB" w:rsidRPr="00C64261">
        <w:rPr>
          <w:rFonts w:ascii="Verdana" w:eastAsia="Arial" w:hAnsi="Verdana" w:cs="Arial"/>
          <w:color w:val="000000"/>
        </w:rPr>
        <w:t xml:space="preserve"> por regla general, son subsanables i) la falta de entrega o </w:t>
      </w:r>
      <w:proofErr w:type="spellStart"/>
      <w:r w:rsidR="00D00AFB" w:rsidRPr="00C64261">
        <w:rPr>
          <w:rFonts w:ascii="Verdana" w:eastAsia="Arial" w:hAnsi="Verdana" w:cs="Arial"/>
          <w:color w:val="000000"/>
        </w:rPr>
        <w:t>ii</w:t>
      </w:r>
      <w:proofErr w:type="spellEnd"/>
      <w:r w:rsidR="00D00AFB" w:rsidRPr="00C64261">
        <w:rPr>
          <w:rFonts w:ascii="Verdana" w:eastAsia="Arial" w:hAnsi="Verdana" w:cs="Arial"/>
          <w:color w:val="000000"/>
        </w:rPr>
        <w:t xml:space="preserve">) los defectos de los requisitos habilitantes. La excepción se encuentra en los casos, previstos en la ley, que limitan la </w:t>
      </w:r>
      <w:proofErr w:type="spellStart"/>
      <w:r w:rsidR="00D00AFB" w:rsidRPr="00C64261">
        <w:rPr>
          <w:rFonts w:ascii="Verdana" w:eastAsia="Arial" w:hAnsi="Verdana" w:cs="Arial"/>
          <w:color w:val="000000"/>
        </w:rPr>
        <w:t>subsanabilidad</w:t>
      </w:r>
      <w:proofErr w:type="spellEnd"/>
      <w:r w:rsidR="00D00AFB" w:rsidRPr="00C64261">
        <w:rPr>
          <w:rFonts w:ascii="Verdana" w:eastAsia="Arial" w:hAnsi="Verdana" w:cs="Arial"/>
          <w:color w:val="000000"/>
        </w:rPr>
        <w:t>, es decir, en la prohibición de permitir la entrega de la garantía de seriedad de la oferta que no fue aportada con la propuesta y de valer la acreditación de circunstancias ocurridas con posterioridad al cierre del proceso.  </w:t>
      </w:r>
    </w:p>
    <w:p w14:paraId="393ED6A5" w14:textId="5A34177A" w:rsidR="00D00AFB" w:rsidRPr="00C64261" w:rsidRDefault="00536E6D" w:rsidP="00D00AFB">
      <w:pPr>
        <w:pBdr>
          <w:top w:val="nil"/>
          <w:left w:val="nil"/>
          <w:bottom w:val="nil"/>
          <w:right w:val="nil"/>
          <w:between w:val="nil"/>
        </w:pBdr>
        <w:tabs>
          <w:tab w:val="left" w:pos="284"/>
        </w:tabs>
        <w:spacing w:after="120" w:line="276" w:lineRule="auto"/>
        <w:ind w:firstLine="709"/>
        <w:jc w:val="both"/>
        <w:rPr>
          <w:rFonts w:ascii="Verdana" w:eastAsia="Arial" w:hAnsi="Verdana" w:cs="Arial"/>
          <w:color w:val="000000"/>
        </w:rPr>
      </w:pPr>
      <w:r>
        <w:rPr>
          <w:rFonts w:ascii="Verdana" w:eastAsia="Arial" w:hAnsi="Verdana" w:cs="Arial"/>
          <w:color w:val="000000"/>
        </w:rPr>
        <w:t>Ahora bien</w:t>
      </w:r>
      <w:r w:rsidR="00D00AFB" w:rsidRPr="00C64261">
        <w:rPr>
          <w:rFonts w:ascii="Verdana" w:eastAsia="Arial" w:hAnsi="Verdana" w:cs="Arial"/>
          <w:color w:val="000000"/>
        </w:rPr>
        <w:t xml:space="preserve">, el legislador expidió la Ley 1882 de 2018, con la finalidad de introducir cambios y ajustes para fortalecer la contratación pública. El artículo 5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00D00AFB" w:rsidRPr="00C64261">
        <w:rPr>
          <w:rFonts w:ascii="Verdana" w:eastAsia="Arial" w:hAnsi="Verdana" w:cs="Arial"/>
          <w:color w:val="000000"/>
        </w:rPr>
        <w:t>puntaje,</w:t>
      </w:r>
      <w:proofErr w:type="gramEnd"/>
      <w:r w:rsidR="00D00AFB" w:rsidRPr="00C64261">
        <w:rPr>
          <w:rFonts w:ascii="Verdana" w:eastAsia="Arial" w:hAnsi="Verdana" w:cs="Arial"/>
          <w:color w:val="000000"/>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3ABD4FAF"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Como puede observarse, esta norma: i) mantiene el criterio de la Ley 80 de 1993, relativo a que todo lo que no sea necesario para la comparación de propuestas no es título suficiente para su rechazo;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xml:space="preserve">) mantiene el criterio </w:t>
      </w:r>
      <w:r w:rsidRPr="00C64261">
        <w:rPr>
          <w:rFonts w:ascii="Verdana" w:eastAsia="Arial" w:hAnsi="Verdana" w:cs="Arial"/>
          <w:color w:val="000000"/>
        </w:rPr>
        <w:lastRenderedPageBreak/>
        <w:t xml:space="preserve">aclaratorio de la Ley 1150 de 2007, según el cual todo lo que no afecte la asignación de puntaje puede subsanarse e </w:t>
      </w:r>
      <w:proofErr w:type="spellStart"/>
      <w:r w:rsidRPr="00C64261">
        <w:rPr>
          <w:rFonts w:ascii="Verdana" w:eastAsia="Arial" w:hAnsi="Verdana" w:cs="Arial"/>
          <w:color w:val="000000"/>
        </w:rPr>
        <w:t>iii</w:t>
      </w:r>
      <w:proofErr w:type="spellEnd"/>
      <w:r w:rsidRPr="00C64261">
        <w:rPr>
          <w:rFonts w:ascii="Verdana" w:eastAsia="Arial" w:hAnsi="Verdana" w:cs="Arial"/>
          <w:color w:val="000000"/>
        </w:rPr>
        <w:t xml:space="preserve">) introduce modificaciones en relación con algunos aspectos que se analizarán a continuación. </w:t>
      </w:r>
    </w:p>
    <w:p w14:paraId="0BA6BAF4"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C64261">
        <w:rPr>
          <w:rFonts w:ascii="Verdana" w:eastAsia="Arial" w:hAnsi="Verdana" w:cs="Arial"/>
          <w:color w:val="000000"/>
          <w:vertAlign w:val="superscript"/>
        </w:rPr>
        <w:footnoteReference w:id="7"/>
      </w:r>
      <w:r w:rsidRPr="00C64261">
        <w:rPr>
          <w:rFonts w:ascii="Verdana" w:eastAsia="Arial" w:hAnsi="Verdana" w:cs="Arial"/>
          <w:color w:val="000000"/>
        </w:rPr>
        <w:t xml:space="preserve">; en el último los documentos o requisitos subsanables pueden y deben solicitarse hasta el momento previo a su realización.  </w:t>
      </w:r>
    </w:p>
    <w:p w14:paraId="165ED5F8"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4F434ED4"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No obstante, de la lectura de este aparte podrían, en la práctica, darse dos interpretaciones que dan lugar a dos formas de proceder en los procesos de selección, en lo que se refiere a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w:t>
      </w:r>
      <w:r w:rsidRPr="00C64261">
        <w:rPr>
          <w:rFonts w:ascii="Verdana" w:eastAsia="Arial" w:hAnsi="Verdana" w:cs="Arial"/>
          <w:i/>
          <w:color w:val="000000"/>
        </w:rPr>
        <w:t>Primera</w:t>
      </w:r>
      <w:r w:rsidRPr="00C64261">
        <w:rPr>
          <w:rFonts w:ascii="Verdana" w:eastAsia="Arial" w:hAnsi="Verdana" w:cs="Arial"/>
          <w:color w:val="000000"/>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C64261">
        <w:rPr>
          <w:rFonts w:ascii="Verdana" w:eastAsia="Arial" w:hAnsi="Verdana" w:cs="Arial"/>
          <w:i/>
          <w:color w:val="000000"/>
        </w:rPr>
        <w:t>segunda</w:t>
      </w:r>
      <w:r w:rsidRPr="00C64261">
        <w:rPr>
          <w:rFonts w:ascii="Verdana" w:eastAsia="Arial" w:hAnsi="Verdana" w:cs="Arial"/>
          <w:color w:val="000000"/>
        </w:rPr>
        <w:t xml:space="preserve">, que el término del traslado del informe de evaluación es el límite para la subsanación de ofertas, pero no el único momento para hacerlo. </w:t>
      </w:r>
    </w:p>
    <w:p w14:paraId="6433FCA5"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w:t>
      </w:r>
      <w:r w:rsidRPr="00C64261">
        <w:rPr>
          <w:rFonts w:ascii="Verdana" w:eastAsia="Arial" w:hAnsi="Verdana" w:cs="Arial"/>
          <w:color w:val="000000"/>
        </w:rPr>
        <w:lastRenderedPageBreak/>
        <w:t>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397039C8"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21658074"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4DFDB0F7"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C64261">
        <w:rPr>
          <w:rFonts w:ascii="Verdana" w:eastAsia="Arial" w:hAnsi="Verdana" w:cs="Arial"/>
          <w:b/>
          <w:i/>
          <w:color w:val="000000"/>
        </w:rPr>
        <w:t>.</w:t>
      </w:r>
      <w:r w:rsidRPr="00C64261">
        <w:rPr>
          <w:rFonts w:ascii="Verdana" w:eastAsia="Arial" w:hAnsi="Verdana" w:cs="Arial"/>
          <w:b/>
          <w:color w:val="000000"/>
        </w:rPr>
        <w:t xml:space="preserve"> </w:t>
      </w:r>
      <w:r w:rsidRPr="00C64261">
        <w:rPr>
          <w:rFonts w:ascii="Verdana" w:eastAsia="Arial" w:hAnsi="Verdana" w:cs="Arial"/>
          <w:color w:val="000000"/>
        </w:rPr>
        <w:t xml:space="preserve">Lo anterior ofrece dos aspectos que merecen clarificación: </w:t>
      </w:r>
      <w:r w:rsidRPr="00C64261">
        <w:rPr>
          <w:rFonts w:ascii="Verdana" w:eastAsia="Arial" w:hAnsi="Verdana" w:cs="Arial"/>
          <w:i/>
          <w:color w:val="000000"/>
        </w:rPr>
        <w:t>primero</w:t>
      </w:r>
      <w:r w:rsidRPr="00C64261">
        <w:rPr>
          <w:rFonts w:ascii="Verdana" w:eastAsia="Arial" w:hAnsi="Verdana" w:cs="Arial"/>
          <w:color w:val="000000"/>
        </w:rPr>
        <w:t xml:space="preserve">, qué debe entenderse por circunstancias ocurridas con posterioridad; y </w:t>
      </w:r>
      <w:r w:rsidRPr="00C64261">
        <w:rPr>
          <w:rFonts w:ascii="Verdana" w:eastAsia="Arial" w:hAnsi="Verdana" w:cs="Arial"/>
          <w:i/>
          <w:color w:val="000000"/>
        </w:rPr>
        <w:t>segundo</w:t>
      </w:r>
      <w:r w:rsidRPr="00C64261">
        <w:rPr>
          <w:rFonts w:ascii="Verdana" w:eastAsia="Arial" w:hAnsi="Verdana" w:cs="Arial"/>
          <w:color w:val="000000"/>
        </w:rPr>
        <w:t>, qué es el cierre del proceso.</w:t>
      </w:r>
    </w:p>
    <w:p w14:paraId="187AD0DE" w14:textId="77777777" w:rsidR="00D00AFB" w:rsidRPr="00C64261" w:rsidRDefault="00D00AFB" w:rsidP="00D00AFB">
      <w:pPr>
        <w:spacing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La Sala de Consulta y Servicio Civil del Consejo de Estado ya había tenido la oportunidad de precisar estas expresiones, a propósito de un concepto en el </w:t>
      </w:r>
      <w:r w:rsidRPr="00C64261">
        <w:rPr>
          <w:rFonts w:ascii="Verdana" w:eastAsia="Arial" w:hAnsi="Verdana" w:cs="Arial"/>
          <w:color w:val="000000"/>
        </w:rPr>
        <w:lastRenderedPageBreak/>
        <w:t>que se refirió al artículo 10 del derogado Decreto 2474 de 2008</w:t>
      </w:r>
      <w:r w:rsidRPr="00C64261">
        <w:rPr>
          <w:rFonts w:ascii="Verdana" w:eastAsia="Arial" w:hAnsi="Verdana" w:cs="Arial"/>
          <w:color w:val="000000"/>
          <w:vertAlign w:val="superscript"/>
        </w:rPr>
        <w:footnoteReference w:id="8"/>
      </w:r>
      <w:r w:rsidRPr="00C64261">
        <w:rPr>
          <w:rFonts w:ascii="Verdana" w:eastAsia="Arial" w:hAnsi="Verdana" w:cs="Arial"/>
          <w:color w:val="000000"/>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3AABA605" w14:textId="77777777" w:rsidR="00D00AFB" w:rsidRPr="00C64261" w:rsidRDefault="00D00AFB" w:rsidP="00D00AFB">
      <w:pPr>
        <w:spacing w:after="0"/>
        <w:ind w:left="709" w:right="709"/>
        <w:jc w:val="both"/>
        <w:rPr>
          <w:rFonts w:ascii="Verdana" w:eastAsia="Arial" w:hAnsi="Verdana" w:cs="Arial"/>
          <w:color w:val="000000"/>
        </w:rPr>
      </w:pPr>
    </w:p>
    <w:p w14:paraId="660CF1B2" w14:textId="77777777" w:rsidR="00D00AFB" w:rsidRPr="00C64261" w:rsidRDefault="00D00AFB" w:rsidP="00D00AFB">
      <w:pPr>
        <w:spacing w:after="120" w:line="240" w:lineRule="auto"/>
        <w:ind w:left="709" w:right="709"/>
        <w:jc w:val="both"/>
        <w:rPr>
          <w:rFonts w:ascii="Verdana" w:eastAsia="Arial" w:hAnsi="Verdana" w:cs="Arial"/>
          <w:color w:val="000000"/>
          <w:sz w:val="21"/>
          <w:szCs w:val="21"/>
        </w:rPr>
      </w:pPr>
      <w:r>
        <w:rPr>
          <w:rFonts w:ascii="Verdana" w:eastAsia="Arial" w:hAnsi="Verdana" w:cs="Arial"/>
          <w:color w:val="000000"/>
          <w:sz w:val="21"/>
          <w:szCs w:val="21"/>
        </w:rPr>
        <w:t>“</w:t>
      </w:r>
      <w:r w:rsidRPr="00C64261">
        <w:rPr>
          <w:rFonts w:ascii="Verdana" w:eastAsia="Arial" w:hAnsi="Verdana" w:cs="Arial"/>
          <w:color w:val="000000"/>
          <w:sz w:val="21"/>
          <w:szCs w:val="21"/>
        </w:rPr>
        <w:t xml:space="preserve">Sin embargo, debe tenerse en cuenta que la última norma en cita -Decreto 2474 de 2008, aparte subrayado-, establece un límite a la </w:t>
      </w:r>
      <w:proofErr w:type="spellStart"/>
      <w:r w:rsidRPr="00C64261">
        <w:rPr>
          <w:rFonts w:ascii="Verdana" w:eastAsia="Arial" w:hAnsi="Verdana" w:cs="Arial"/>
          <w:color w:val="000000"/>
          <w:sz w:val="21"/>
          <w:szCs w:val="21"/>
        </w:rPr>
        <w:t>subsanabilidad</w:t>
      </w:r>
      <w:proofErr w:type="spellEnd"/>
      <w:r w:rsidRPr="00C64261">
        <w:rPr>
          <w:rFonts w:ascii="Verdana" w:eastAsia="Arial" w:hAnsi="Verdana" w:cs="Arial"/>
          <w:color w:val="000000"/>
          <w:sz w:val="21"/>
          <w:szCs w:val="21"/>
        </w:rPr>
        <w:t>, puesto que en cualquier caso debe referirse o recaer sobre circunstancias ocurridas antes del cierre del respectivo proceso, esto es, del vencimiento del plazo para presentar ofertas.</w:t>
      </w:r>
    </w:p>
    <w:p w14:paraId="19A11860" w14:textId="77777777" w:rsidR="00D00AFB" w:rsidRPr="00C64261" w:rsidRDefault="00D00AFB" w:rsidP="00D00AFB">
      <w:pPr>
        <w:spacing w:after="0" w:line="240" w:lineRule="auto"/>
        <w:ind w:left="709" w:right="709"/>
        <w:jc w:val="both"/>
        <w:rPr>
          <w:rFonts w:ascii="Verdana" w:eastAsia="Arial" w:hAnsi="Verdana" w:cs="Arial"/>
          <w:color w:val="000000"/>
          <w:sz w:val="21"/>
          <w:szCs w:val="21"/>
        </w:rPr>
      </w:pPr>
      <w:r w:rsidRPr="00C64261">
        <w:rPr>
          <w:rFonts w:ascii="Verdana" w:eastAsia="Arial" w:hAnsi="Verdana" w:cs="Arial"/>
          <w:color w:val="000000"/>
          <w:sz w:val="21"/>
          <w:szCs w:val="21"/>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C64261">
        <w:rPr>
          <w:rFonts w:ascii="Verdana" w:eastAsia="Arial" w:hAnsi="Verdana" w:cs="Arial"/>
          <w:color w:val="000000"/>
          <w:sz w:val="21"/>
          <w:szCs w:val="21"/>
        </w:rPr>
        <w:t>la misma</w:t>
      </w:r>
      <w:proofErr w:type="gramEnd"/>
      <w:r w:rsidRPr="00C64261">
        <w:rPr>
          <w:rFonts w:ascii="Verdana" w:eastAsia="Arial" w:hAnsi="Verdana" w:cs="Arial"/>
          <w:color w:val="000000"/>
          <w:sz w:val="21"/>
          <w:szCs w:val="21"/>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C64261">
        <w:rPr>
          <w:rFonts w:ascii="Verdana" w:eastAsia="Arial" w:hAnsi="Verdana" w:cs="Arial"/>
          <w:color w:val="000000"/>
          <w:sz w:val="21"/>
          <w:szCs w:val="21"/>
        </w:rPr>
        <w:t>del mismo</w:t>
      </w:r>
      <w:proofErr w:type="gramEnd"/>
      <w:r w:rsidRPr="00C64261">
        <w:rPr>
          <w:rFonts w:ascii="Verdana" w:eastAsia="Arial" w:hAnsi="Verdana" w:cs="Arial"/>
          <w:color w:val="000000"/>
          <w:sz w:val="21"/>
          <w:szCs w:val="21"/>
        </w:rPr>
        <w:t xml:space="preserve"> o lo actualice, pero no para que se constituya la sociedad con posterioridad al cierre del proceso, pues si ello no se había hecho, significa simplemente que el oferente no tenía la condición para participar</w:t>
      </w:r>
      <w:r>
        <w:rPr>
          <w:rFonts w:ascii="Verdana" w:eastAsia="Arial" w:hAnsi="Verdana" w:cs="Arial"/>
          <w:color w:val="000000"/>
          <w:sz w:val="21"/>
          <w:szCs w:val="21"/>
        </w:rPr>
        <w:t>”</w:t>
      </w:r>
      <w:r w:rsidRPr="00C64261">
        <w:rPr>
          <w:rFonts w:ascii="Verdana" w:eastAsia="Arial" w:hAnsi="Verdana" w:cs="Arial"/>
          <w:color w:val="000000"/>
          <w:sz w:val="21"/>
          <w:szCs w:val="21"/>
          <w:vertAlign w:val="superscript"/>
        </w:rPr>
        <w:footnoteReference w:id="9"/>
      </w:r>
      <w:r w:rsidRPr="00C64261">
        <w:rPr>
          <w:rFonts w:ascii="Verdana" w:eastAsia="Arial" w:hAnsi="Verdana" w:cs="Arial"/>
          <w:color w:val="000000"/>
          <w:sz w:val="21"/>
          <w:szCs w:val="21"/>
        </w:rPr>
        <w:t>.</w:t>
      </w:r>
    </w:p>
    <w:p w14:paraId="5430E521" w14:textId="77777777" w:rsidR="00D00AFB" w:rsidRPr="00C64261" w:rsidRDefault="00D00AFB" w:rsidP="00D00AFB">
      <w:pPr>
        <w:spacing w:after="0" w:line="276" w:lineRule="auto"/>
        <w:jc w:val="both"/>
        <w:rPr>
          <w:rFonts w:ascii="Verdana" w:eastAsia="Arial" w:hAnsi="Verdana" w:cs="Arial"/>
          <w:color w:val="000000"/>
        </w:rPr>
      </w:pPr>
    </w:p>
    <w:p w14:paraId="72D2FD0D"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2342C24D"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5324D113"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C64261">
        <w:rPr>
          <w:rFonts w:ascii="Verdana" w:eastAsia="Arial" w:hAnsi="Verdana" w:cs="Arial"/>
          <w:color w:val="000000"/>
          <w:vertAlign w:val="superscript"/>
        </w:rPr>
        <w:footnoteReference w:id="10"/>
      </w:r>
      <w:r w:rsidRPr="00C64261">
        <w:rPr>
          <w:rFonts w:ascii="Verdana" w:eastAsia="Arial" w:hAnsi="Verdana" w:cs="Arial"/>
          <w:color w:val="000000"/>
        </w:rPr>
        <w:t xml:space="preserve">; </w:t>
      </w:r>
      <w:proofErr w:type="spellStart"/>
      <w:r w:rsidRPr="00C64261">
        <w:rPr>
          <w:rFonts w:ascii="Verdana" w:eastAsia="Arial" w:hAnsi="Verdana" w:cs="Arial"/>
          <w:color w:val="000000"/>
        </w:rPr>
        <w:t>iii</w:t>
      </w:r>
      <w:proofErr w:type="spellEnd"/>
      <w:r w:rsidRPr="00C64261">
        <w:rPr>
          <w:rFonts w:ascii="Verdana" w:eastAsia="Arial" w:hAnsi="Verdana" w:cs="Arial"/>
          <w:color w:val="000000"/>
        </w:rPr>
        <w:t>) si un oferente no anexó el certificado de existencia y representación legal, el documento aportado con posterioridad debe dar cuenta de que la sociedad existe desde antes del cierre del proceso</w:t>
      </w:r>
      <w:r w:rsidRPr="00C64261">
        <w:rPr>
          <w:rFonts w:ascii="Verdana" w:eastAsia="Arial" w:hAnsi="Verdana" w:cs="Arial"/>
          <w:color w:val="000000"/>
          <w:vertAlign w:val="superscript"/>
        </w:rPr>
        <w:footnoteReference w:id="11"/>
      </w:r>
      <w:r w:rsidRPr="00C64261">
        <w:rPr>
          <w:rFonts w:ascii="Verdana" w:eastAsia="Arial" w:hAnsi="Verdana" w:cs="Arial"/>
          <w:color w:val="000000"/>
        </w:rPr>
        <w:t xml:space="preserve">; </w:t>
      </w:r>
      <w:proofErr w:type="spellStart"/>
      <w:r w:rsidRPr="00C64261">
        <w:rPr>
          <w:rFonts w:ascii="Verdana" w:eastAsia="Arial" w:hAnsi="Verdana" w:cs="Arial"/>
          <w:color w:val="000000"/>
        </w:rPr>
        <w:t>iv</w:t>
      </w:r>
      <w:proofErr w:type="spellEnd"/>
      <w:r w:rsidRPr="00C64261">
        <w:rPr>
          <w:rFonts w:ascii="Verdana" w:eastAsia="Arial" w:hAnsi="Verdana" w:cs="Arial"/>
          <w:color w:val="000000"/>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w:t>
      </w:r>
      <w:r w:rsidRPr="00C64261">
        <w:rPr>
          <w:rFonts w:ascii="Verdana" w:eastAsia="Arial" w:hAnsi="Verdana" w:cs="Arial"/>
          <w:color w:val="000000"/>
        </w:rPr>
        <w:lastRenderedPageBreak/>
        <w:t xml:space="preserve">oferente olvidó firmar la propuesta o presentar una copia de ella, puede subsanar sin que se entienda que acreditó una circunstancia ocurrida con posterioridad al cierre del proceso. </w:t>
      </w:r>
    </w:p>
    <w:p w14:paraId="46759C38"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C64261">
        <w:rPr>
          <w:rFonts w:ascii="Verdana" w:eastAsia="Arial" w:hAnsi="Verdana" w:cs="Arial"/>
          <w:color w:val="000000"/>
        </w:rPr>
        <w:t>que</w:t>
      </w:r>
      <w:proofErr w:type="gramEnd"/>
      <w:r w:rsidRPr="00C64261">
        <w:rPr>
          <w:rFonts w:ascii="Verdana" w:eastAsia="Arial" w:hAnsi="Verdana" w:cs="Arial"/>
          <w:color w:val="000000"/>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C64261">
        <w:rPr>
          <w:rFonts w:ascii="Verdana" w:eastAsia="Arial" w:hAnsi="Verdana" w:cs="Arial"/>
          <w:color w:val="000000"/>
          <w:vertAlign w:val="superscript"/>
        </w:rPr>
        <w:footnoteReference w:id="12"/>
      </w:r>
      <w:r w:rsidRPr="00C64261">
        <w:rPr>
          <w:rFonts w:ascii="Verdana" w:eastAsia="Arial" w:hAnsi="Verdana" w:cs="Arial"/>
          <w:color w:val="000000"/>
        </w:rPr>
        <w:t xml:space="preserve">. </w:t>
      </w:r>
    </w:p>
    <w:p w14:paraId="28F6F3C6"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Asimismo, indicó que no es relevante que, al subsanar dichos documentos, su fecha de actualización sea posterior a la del cierre, sino que las circunstancias que acrediten hayan ocurrido antes.</w:t>
      </w:r>
    </w:p>
    <w:p w14:paraId="24F2CE32"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11DD10C9"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lastRenderedPageBreak/>
        <w:t xml:space="preserve">Una reiteración de la postura de esta Subdirección, según la cual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14:paraId="68D9A078" w14:textId="77777777" w:rsidR="00D00AFB" w:rsidRPr="00C64261" w:rsidRDefault="00D00AFB" w:rsidP="00D00AFB">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7FEE174C" w14:textId="77777777" w:rsidR="00D00AFB" w:rsidRPr="00C64261" w:rsidRDefault="00D00AFB" w:rsidP="00D00AFB">
      <w:pPr>
        <w:spacing w:after="0" w:line="276" w:lineRule="auto"/>
        <w:ind w:firstLine="709"/>
        <w:jc w:val="both"/>
        <w:rPr>
          <w:rFonts w:ascii="Verdana" w:hAnsi="Verdana"/>
        </w:rPr>
      </w:pPr>
      <w:r w:rsidRPr="00C64261">
        <w:rPr>
          <w:rFonts w:ascii="Verdana" w:eastAsia="Arial" w:hAnsi="Verdana" w:cs="Arial"/>
          <w:color w:val="000000"/>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00C64261">
        <w:rPr>
          <w:rFonts w:ascii="Verdana" w:eastAsia="Arial" w:hAnsi="Verdana" w:cs="Arial"/>
          <w:color w:val="000000"/>
        </w:rPr>
        <w:t>la misma</w:t>
      </w:r>
      <w:proofErr w:type="gramEnd"/>
      <w:r w:rsidRPr="00C64261">
        <w:rPr>
          <w:rFonts w:ascii="Verdana" w:eastAsia="Arial" w:hAnsi="Verdana" w:cs="Arial"/>
          <w:color w:val="000000"/>
        </w:rPr>
        <w:t>”, dejando claro que se trata de un documento de obligatoria presentación junto con la propuesta y que materializa los principios de seriedad e irrevocabilidad de la oferta.</w:t>
      </w:r>
    </w:p>
    <w:p w14:paraId="2D454DD5" w14:textId="5B5FAE1B" w:rsidR="00D00AFB" w:rsidRPr="00DB0732" w:rsidRDefault="00D00AFB" w:rsidP="00DB0732">
      <w:pPr>
        <w:tabs>
          <w:tab w:val="left" w:pos="0"/>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 </w:t>
      </w:r>
    </w:p>
    <w:p w14:paraId="56C7BCA5" w14:textId="77777777" w:rsidR="00D00AFB" w:rsidRPr="00593A5F" w:rsidRDefault="00D00AFB" w:rsidP="00D00AFB">
      <w:pPr>
        <w:widowControl w:val="0"/>
        <w:autoSpaceDE w:val="0"/>
        <w:autoSpaceDN w:val="0"/>
        <w:spacing w:after="0" w:line="276" w:lineRule="auto"/>
        <w:jc w:val="both"/>
        <w:rPr>
          <w:rFonts w:ascii="Verdana" w:hAnsi="Verdana" w:cs="Arial"/>
        </w:rPr>
      </w:pPr>
    </w:p>
    <w:p w14:paraId="479CDEBB" w14:textId="77777777" w:rsidR="00D00AFB" w:rsidRPr="00593A5F" w:rsidRDefault="00D00AFB" w:rsidP="00D00A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8198F23" w14:textId="77777777" w:rsidR="00D00AFB" w:rsidRPr="00593A5F" w:rsidRDefault="00D00AFB" w:rsidP="00D00AF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00AFB" w:rsidRPr="00593A5F" w14:paraId="4A46588C" w14:textId="77777777" w:rsidTr="00DE428D">
        <w:trPr>
          <w:trHeight w:val="870"/>
        </w:trPr>
        <w:tc>
          <w:tcPr>
            <w:tcW w:w="8647" w:type="dxa"/>
          </w:tcPr>
          <w:p w14:paraId="37951E70" w14:textId="77777777" w:rsidR="00D00AFB" w:rsidRDefault="00D00AFB" w:rsidP="00D00AF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21, 24, 25, 30, 38 y 76.</w:t>
            </w:r>
          </w:p>
          <w:p w14:paraId="6EBD77AA" w14:textId="77777777" w:rsidR="00D00AFB" w:rsidRDefault="00D00AFB" w:rsidP="00D00AF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y 5.</w:t>
            </w:r>
          </w:p>
          <w:p w14:paraId="75A4B1CF" w14:textId="77777777" w:rsidR="00D00AFB" w:rsidRPr="00AC742F" w:rsidRDefault="00D00AFB" w:rsidP="00D00AFB">
            <w:pPr>
              <w:pStyle w:val="Prrafodelista"/>
              <w:widowControl w:val="0"/>
              <w:numPr>
                <w:ilvl w:val="0"/>
                <w:numId w:val="17"/>
              </w:numPr>
              <w:autoSpaceDE w:val="0"/>
              <w:autoSpaceDN w:val="0"/>
              <w:spacing w:after="120" w:line="276" w:lineRule="auto"/>
              <w:jc w:val="both"/>
              <w:rPr>
                <w:rFonts w:ascii="Verdana" w:hAnsi="Verdana" w:cs="Arial"/>
              </w:rPr>
            </w:pPr>
            <w:r>
              <w:rPr>
                <w:rFonts w:ascii="Verdana" w:hAnsi="Verdana" w:cs="Arial"/>
              </w:rPr>
              <w:t xml:space="preserve">Decreto 1082 de 2015, artículos </w:t>
            </w:r>
            <w:r w:rsidRPr="00B13ED7">
              <w:rPr>
                <w:rFonts w:ascii="Verdana" w:eastAsia="Arial" w:hAnsi="Verdana" w:cs="Arial"/>
                <w:color w:val="000000"/>
              </w:rPr>
              <w:t>2.2.1.1.2.1.3</w:t>
            </w:r>
            <w:r>
              <w:rPr>
                <w:rFonts w:ascii="Verdana" w:eastAsia="Arial" w:hAnsi="Verdana" w:cs="Arial"/>
                <w:color w:val="000000"/>
              </w:rPr>
              <w:t xml:space="preserve">, </w:t>
            </w:r>
            <w:r w:rsidRPr="00B13ED7">
              <w:rPr>
                <w:rFonts w:ascii="Verdana" w:eastAsia="Arial" w:hAnsi="Verdana" w:cs="Arial"/>
                <w:color w:val="000000"/>
              </w:rPr>
              <w:t>2.2.1.1.2.2.2</w:t>
            </w:r>
            <w:r>
              <w:rPr>
                <w:rFonts w:ascii="Verdana" w:eastAsia="Arial" w:hAnsi="Verdana" w:cs="Arial"/>
                <w:color w:val="000000"/>
              </w:rPr>
              <w:t xml:space="preserve">, y </w:t>
            </w:r>
            <w:r w:rsidRPr="00B13ED7">
              <w:rPr>
                <w:rFonts w:ascii="Verdana" w:eastAsia="Arial" w:hAnsi="Verdana" w:cs="Arial"/>
                <w:color w:val="000000"/>
              </w:rPr>
              <w:t>2.2.1.2.1.3.13</w:t>
            </w:r>
            <w:r>
              <w:rPr>
                <w:rFonts w:ascii="Verdana" w:hAnsi="Verdana" w:cs="Arial"/>
              </w:rPr>
              <w:t>.</w:t>
            </w:r>
          </w:p>
        </w:tc>
      </w:tr>
    </w:tbl>
    <w:p w14:paraId="07BFC090" w14:textId="77777777" w:rsidR="00D00AFB" w:rsidRPr="00593A5F" w:rsidRDefault="00D00AFB" w:rsidP="00D00AFB">
      <w:pPr>
        <w:widowControl w:val="0"/>
        <w:autoSpaceDE w:val="0"/>
        <w:autoSpaceDN w:val="0"/>
        <w:spacing w:after="0" w:line="276" w:lineRule="auto"/>
        <w:jc w:val="both"/>
        <w:rPr>
          <w:rFonts w:ascii="Verdana" w:hAnsi="Verdana" w:cs="Arial"/>
        </w:rPr>
      </w:pPr>
    </w:p>
    <w:p w14:paraId="624B15A6" w14:textId="77777777" w:rsidR="00D00AFB" w:rsidRPr="00593A5F" w:rsidRDefault="00D00AFB" w:rsidP="00D00A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58A6A20" w14:textId="77777777" w:rsidR="00D00AFB" w:rsidRPr="00AF3AEC" w:rsidRDefault="00D00AFB" w:rsidP="00D00AFB">
      <w:pPr>
        <w:widowControl w:val="0"/>
        <w:autoSpaceDE w:val="0"/>
        <w:autoSpaceDN w:val="0"/>
        <w:spacing w:after="0" w:line="276" w:lineRule="auto"/>
        <w:jc w:val="both"/>
        <w:rPr>
          <w:rFonts w:ascii="Verdana" w:hAnsi="Verdana" w:cs="Arial"/>
          <w:color w:val="000000" w:themeColor="text1"/>
        </w:rPr>
      </w:pPr>
    </w:p>
    <w:p w14:paraId="5A16523F" w14:textId="77777777" w:rsidR="00D00AFB" w:rsidRDefault="00D00AFB" w:rsidP="00D00AF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F3AEC">
        <w:rPr>
          <w:rStyle w:val="normaltextrun"/>
          <w:rFonts w:ascii="Verdana" w:hAnsi="Verdana" w:cs="Arial"/>
          <w:color w:val="000000" w:themeColor="text1"/>
          <w:shd w:val="clear" w:color="auto" w:fill="FFFFFF"/>
          <w:lang w:val="es-ES"/>
        </w:rPr>
        <w:t xml:space="preserve">Sobre la regla de </w:t>
      </w:r>
      <w:proofErr w:type="spellStart"/>
      <w:r w:rsidRPr="00AF3AEC">
        <w:rPr>
          <w:rStyle w:val="normaltextrun"/>
          <w:rFonts w:ascii="Verdana" w:hAnsi="Verdana" w:cs="Arial"/>
          <w:color w:val="000000" w:themeColor="text1"/>
          <w:shd w:val="clear" w:color="auto" w:fill="FFFFFF"/>
          <w:lang w:val="es-ES"/>
        </w:rPr>
        <w:t>subsanabilidad</w:t>
      </w:r>
      <w:proofErr w:type="spellEnd"/>
      <w:r w:rsidRPr="00AF3AEC">
        <w:rPr>
          <w:rStyle w:val="normaltextrun"/>
          <w:rFonts w:ascii="Verdana" w:hAnsi="Verdana" w:cs="Arial"/>
          <w:color w:val="000000" w:themeColor="text1"/>
          <w:shd w:val="clear" w:color="auto" w:fill="FFFFFF"/>
          <w:lang w:val="es-ES"/>
        </w:rPr>
        <w:t xml:space="preserve"> se pronunció esta Subdirección en los conceptos</w:t>
      </w:r>
      <w:r w:rsidRPr="00AF3AEC">
        <w:rPr>
          <w:rStyle w:val="normaltextrun"/>
          <w:rFonts w:ascii="Verdana" w:hAnsi="Verdana" w:cs="Calibri"/>
          <w:color w:val="000000" w:themeColor="text1"/>
          <w:shd w:val="clear" w:color="auto" w:fill="FFFFFF"/>
        </w:rPr>
        <w:t xml:space="preserve"> </w:t>
      </w:r>
      <w:r w:rsidRPr="00AF3AEC">
        <w:rPr>
          <w:rStyle w:val="normaltextrun"/>
          <w:rFonts w:ascii="Verdana" w:hAnsi="Verdana" w:cs="Arial"/>
          <w:color w:val="000000" w:themeColor="text1"/>
          <w:shd w:val="clear" w:color="auto" w:fill="FFFFFF"/>
          <w:lang w:val="es-ES"/>
        </w:rPr>
        <w:t xml:space="preserve">C-218 del 2 de abril de 2020, C-229 del 16 de abril de 2020, C-307 del 21 de mayo de 2020, C-396 del 16 de julio de 2020, C-410 del 26 de junio de 2020, C-429 del 24 de julio de 2020, C-481 del 27 de julio de 2020, C-548 del 21 de agosto de 2020, C-633 del 2 de octubre de 2020, C-634 del 21 de octubre de 2020, C-675 del 25 de </w:t>
      </w:r>
      <w:r w:rsidRPr="00E90148">
        <w:rPr>
          <w:rStyle w:val="normaltextrun"/>
          <w:rFonts w:ascii="Verdana" w:hAnsi="Verdana" w:cs="Arial"/>
          <w:shd w:val="clear" w:color="auto" w:fill="FFFFFF"/>
          <w:lang w:val="es-ES"/>
        </w:rPr>
        <w:t>noviembre de 2020, C-802 del 1° de febrero de 2021, C-010 del 16 de febrero de 2021, C-083 del 18 de marzo de 2021, C-090 del 23 de marzo de 2021, C-152 del 12 de abril de 2021, C-207 del 10 de mayo de 2021, C-217 del 14 de mayo de 2021, C-250 del 2 de junio de 2021, C-311 del 10 de junio de 2021, C-409 del 13 de agosto de 2021, C-424 del 27 de septiembre de 2021, C-477 del 6 de septiembre de 2021, C-485 del 13 de octubre de 2021, C-498 del 14 de septiembre de 2021, C-501 del 16 de agosto de 2021, C-521 del 24 de septiembre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w:t>
      </w:r>
      <w:r>
        <w:rPr>
          <w:rStyle w:val="normaltextrun"/>
          <w:rFonts w:ascii="Verdana" w:hAnsi="Verdana" w:cs="Arial"/>
          <w:shd w:val="clear" w:color="auto" w:fill="FFFFFF"/>
          <w:lang w:val="es-ES"/>
        </w:rPr>
        <w:t>,</w:t>
      </w:r>
      <w:r w:rsidRPr="00E90148">
        <w:rPr>
          <w:rStyle w:val="normaltextrun"/>
          <w:rFonts w:ascii="Verdana" w:hAnsi="Verdana" w:cs="Arial"/>
          <w:shd w:val="clear" w:color="auto" w:fill="FFFFFF"/>
          <w:lang w:val="es-ES"/>
        </w:rPr>
        <w:t xml:space="preserve"> C-216 del 6 de junio de 2023</w:t>
      </w:r>
      <w:r>
        <w:rPr>
          <w:rStyle w:val="normaltextrun"/>
          <w:rFonts w:ascii="Verdana" w:hAnsi="Verdana" w:cs="Arial"/>
          <w:shd w:val="clear" w:color="auto" w:fill="FFFFFF"/>
          <w:lang w:val="es-ES"/>
        </w:rPr>
        <w:t>, C-304 del 4 de julio de 2023 y C-051 del 21 de febrero de 2025, entre otros</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55E2836" w14:textId="77777777" w:rsidR="00D00AFB" w:rsidRDefault="00D00AFB" w:rsidP="00D00AF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839539F" w14:textId="77777777" w:rsidR="00D00AFB" w:rsidRPr="00AF3AEC" w:rsidRDefault="00D00AFB" w:rsidP="00D00AFB">
      <w:pPr>
        <w:widowControl w:val="0"/>
        <w:autoSpaceDE w:val="0"/>
        <w:autoSpaceDN w:val="0"/>
        <w:spacing w:after="0" w:line="276" w:lineRule="auto"/>
        <w:jc w:val="both"/>
        <w:rPr>
          <w:rFonts w:ascii="Verdana" w:hAnsi="Verdana" w:cs="Arial"/>
          <w:color w:val="000000" w:themeColor="text1"/>
          <w:shd w:val="clear" w:color="auto" w:fill="FFFFFF"/>
          <w:lang w:val="es-ES"/>
        </w:rPr>
      </w:pPr>
      <w:r w:rsidRPr="00AF3AEC">
        <w:rPr>
          <w:rFonts w:ascii="Verdana" w:hAnsi="Verdana" w:cs="Arial"/>
          <w:color w:val="000000" w:themeColor="text1"/>
          <w:shd w:val="clear" w:color="auto" w:fill="FFFFFF"/>
        </w:rPr>
        <w:t>Te informamos que ya se encuentra disponible la </w:t>
      </w:r>
      <w:r w:rsidRPr="00AF3AEC">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AF3AEC">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AF3AEC">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3A49B07C" w14:textId="77777777" w:rsidR="00D00AFB" w:rsidRPr="00AF3AEC" w:rsidRDefault="00D00AFB" w:rsidP="00D00AFB">
      <w:pPr>
        <w:widowControl w:val="0"/>
        <w:autoSpaceDE w:val="0"/>
        <w:autoSpaceDN w:val="0"/>
        <w:spacing w:after="0" w:line="276" w:lineRule="auto"/>
        <w:jc w:val="both"/>
        <w:rPr>
          <w:rFonts w:ascii="Verdana" w:hAnsi="Verdana" w:cs="Arial"/>
          <w:color w:val="000000" w:themeColor="text1"/>
          <w:shd w:val="clear" w:color="auto" w:fill="FFFFFF"/>
        </w:rPr>
      </w:pPr>
    </w:p>
    <w:p w14:paraId="380467F4" w14:textId="77777777" w:rsidR="00D00AFB" w:rsidRPr="00AF3AEC" w:rsidRDefault="00D00AFB" w:rsidP="00D00AFB">
      <w:pPr>
        <w:widowControl w:val="0"/>
        <w:autoSpaceDE w:val="0"/>
        <w:autoSpaceDN w:val="0"/>
        <w:spacing w:after="0" w:line="276" w:lineRule="auto"/>
        <w:jc w:val="both"/>
        <w:rPr>
          <w:rFonts w:ascii="Verdana" w:hAnsi="Verdana" w:cs="Arial"/>
          <w:color w:val="000000" w:themeColor="text1"/>
          <w:shd w:val="clear" w:color="auto" w:fill="FFFFFF"/>
          <w:lang w:val="es-ES"/>
        </w:rPr>
      </w:pPr>
      <w:r w:rsidRPr="00AF3AEC">
        <w:rPr>
          <w:rFonts w:ascii="Verdana" w:hAnsi="Verdana" w:cs="Arial"/>
          <w:color w:val="000000" w:themeColor="text1"/>
          <w:shd w:val="clear" w:color="auto" w:fill="FFFFFF"/>
        </w:rPr>
        <w:t>De otra parte, te informamos que, con el objetivo de garantizar un conocimiento adecuado de las </w:t>
      </w:r>
      <w:r w:rsidRPr="00AF3AEC">
        <w:rPr>
          <w:rFonts w:ascii="Verdana" w:hAnsi="Verdana" w:cs="Arial"/>
          <w:b/>
          <w:bCs/>
          <w:color w:val="000000" w:themeColor="text1"/>
          <w:shd w:val="clear" w:color="auto" w:fill="FFFFFF"/>
        </w:rPr>
        <w:t>modificaciones y/o actualizaciones realizadas a los Documentos Tipo</w:t>
      </w:r>
      <w:r w:rsidRPr="00AF3AEC">
        <w:rPr>
          <w:rFonts w:ascii="Verdana" w:hAnsi="Verdana" w:cs="Arial"/>
          <w:color w:val="000000" w:themeColor="text1"/>
          <w:shd w:val="clear" w:color="auto" w:fill="FFFFFF"/>
        </w:rPr>
        <w:t>, hemos programado una serie de </w:t>
      </w:r>
      <w:r w:rsidRPr="00AF3AEC">
        <w:rPr>
          <w:rFonts w:ascii="Verdana" w:hAnsi="Verdana" w:cs="Arial"/>
          <w:b/>
          <w:bCs/>
          <w:color w:val="000000" w:themeColor="text1"/>
          <w:shd w:val="clear" w:color="auto" w:fill="FFFFFF"/>
        </w:rPr>
        <w:t>capacitaciones </w:t>
      </w:r>
      <w:r w:rsidRPr="00AF3AEC">
        <w:rPr>
          <w:rFonts w:ascii="Verdana" w:hAnsi="Verdana" w:cs="Arial"/>
          <w:color w:val="000000" w:themeColor="text1"/>
          <w:shd w:val="clear" w:color="auto" w:fill="FFFFFF"/>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AF3AEC">
          <w:rPr>
            <w:rStyle w:val="Hipervnculo"/>
            <w:rFonts w:ascii="Verdana" w:hAnsi="Verdana" w:cs="Arial"/>
            <w:shd w:val="clear" w:color="auto" w:fill="FFFFFF"/>
          </w:rPr>
          <w:t>Calendario | Colombia Compra Eficiente | Agencia Nacional de Contratación Pública</w:t>
        </w:r>
      </w:hyperlink>
    </w:p>
    <w:p w14:paraId="1C14CC7E" w14:textId="77777777" w:rsidR="00D00AFB" w:rsidRPr="00AF3AEC" w:rsidRDefault="00D00AFB" w:rsidP="00D00AFB">
      <w:pPr>
        <w:widowControl w:val="0"/>
        <w:autoSpaceDE w:val="0"/>
        <w:autoSpaceDN w:val="0"/>
        <w:spacing w:after="0" w:line="276" w:lineRule="auto"/>
        <w:jc w:val="both"/>
        <w:rPr>
          <w:rFonts w:ascii="Verdana" w:hAnsi="Verdana" w:cs="Arial"/>
          <w:color w:val="000000" w:themeColor="text1"/>
          <w:shd w:val="clear" w:color="auto" w:fill="FFFFFF"/>
        </w:rPr>
      </w:pPr>
    </w:p>
    <w:p w14:paraId="64F5B0DF" w14:textId="77777777" w:rsidR="00D00AFB" w:rsidRPr="00AF3AEC" w:rsidRDefault="00D00AFB" w:rsidP="00D00AFB">
      <w:pPr>
        <w:widowControl w:val="0"/>
        <w:autoSpaceDE w:val="0"/>
        <w:autoSpaceDN w:val="0"/>
        <w:spacing w:after="0" w:line="276" w:lineRule="auto"/>
        <w:jc w:val="both"/>
        <w:rPr>
          <w:rFonts w:ascii="Verdana" w:hAnsi="Verdana" w:cs="Arial"/>
          <w:color w:val="000000" w:themeColor="text1"/>
          <w:shd w:val="clear" w:color="auto" w:fill="FFFFFF"/>
        </w:rPr>
      </w:pPr>
      <w:r w:rsidRPr="00AF3AEC">
        <w:rPr>
          <w:rFonts w:ascii="Verdana" w:hAnsi="Verdana" w:cs="Arial"/>
          <w:color w:val="000000" w:themeColor="text1"/>
          <w:shd w:val="clear" w:color="auto" w:fill="FFFFFF"/>
        </w:rPr>
        <w:t>También, te contamos que ya publicamos </w:t>
      </w:r>
      <w:r w:rsidRPr="00AF3AEC">
        <w:rPr>
          <w:rFonts w:ascii="Verdana" w:hAnsi="Verdana" w:cs="Arial"/>
          <w:b/>
          <w:bCs/>
          <w:color w:val="000000" w:themeColor="text1"/>
          <w:shd w:val="clear" w:color="auto" w:fill="FFFFFF"/>
        </w:rPr>
        <w:t>la nueva Guía de Contratación Pública Sostenible y Socialmente Responsable</w:t>
      </w:r>
      <w:r w:rsidRPr="00AF3AEC">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AF3AEC">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408F5692" w14:textId="77777777" w:rsidR="00D00AFB" w:rsidRDefault="00D00AFB" w:rsidP="00D00AF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color w:val="FF0000"/>
          <w:shd w:val="clear" w:color="auto" w:fill="FFFFFF"/>
          <w:lang w:val="es-ES"/>
        </w:rPr>
        <w:t xml:space="preserve">   </w:t>
      </w:r>
    </w:p>
    <w:p w14:paraId="55F8E6AB" w14:textId="77777777" w:rsidR="00D00AFB" w:rsidRPr="003E2460" w:rsidRDefault="00D00AFB" w:rsidP="00D00AFB">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8B620D6" w14:textId="77777777" w:rsidR="00D00AFB" w:rsidRPr="003E2460" w:rsidRDefault="00D00AFB" w:rsidP="00D00AFB">
      <w:pPr>
        <w:spacing w:after="0" w:line="240" w:lineRule="auto"/>
        <w:jc w:val="both"/>
        <w:rPr>
          <w:rFonts w:ascii="Verdana" w:hAnsi="Verdana"/>
        </w:rPr>
      </w:pPr>
    </w:p>
    <w:p w14:paraId="0E168F1B" w14:textId="77777777" w:rsidR="00D00AFB" w:rsidRPr="003E2460" w:rsidRDefault="00D00AFB" w:rsidP="00D00AFB">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127CBEBA" w14:textId="77777777" w:rsidR="00D00AFB" w:rsidRPr="003E2460" w:rsidRDefault="00D00AFB" w:rsidP="00D00AFB">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56AD96B9" w14:textId="77777777" w:rsidR="00D00AFB" w:rsidRPr="003E2460" w:rsidRDefault="00D00AFB" w:rsidP="00D00AFB">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5C7C170A" w14:textId="77777777" w:rsidR="00D00AFB" w:rsidRPr="00593A5F" w:rsidRDefault="00D00AFB" w:rsidP="00D00AFB">
      <w:pPr>
        <w:widowControl w:val="0"/>
        <w:autoSpaceDE w:val="0"/>
        <w:autoSpaceDN w:val="0"/>
        <w:spacing w:after="0" w:line="276" w:lineRule="auto"/>
        <w:jc w:val="both"/>
        <w:rPr>
          <w:rFonts w:ascii="Verdana" w:hAnsi="Verdana" w:cs="Arial"/>
        </w:rPr>
      </w:pPr>
    </w:p>
    <w:p w14:paraId="1F8CC0B0" w14:textId="77777777" w:rsidR="00D00AFB" w:rsidRPr="00593A5F" w:rsidRDefault="00D00AFB" w:rsidP="00D00AF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 xml:space="preserve">y las expresiones aquí utilizadas con mayúscula inicial deben ser entendidas con el </w:t>
      </w:r>
      <w:r w:rsidRPr="00593A5F">
        <w:rPr>
          <w:rFonts w:ascii="Verdana" w:hAnsi="Verdana" w:cs="Arial"/>
          <w:lang w:val="es-ES_tradnl"/>
        </w:rPr>
        <w:lastRenderedPageBreak/>
        <w:t>significado que les otorga el artículo 2.2.1.1.1.3.1. del Decreto 1082 de 2015.</w:t>
      </w:r>
    </w:p>
    <w:p w14:paraId="75C8E28C" w14:textId="77777777" w:rsidR="00D00AFB" w:rsidRDefault="00D00AFB" w:rsidP="00D00AFB">
      <w:pPr>
        <w:widowControl w:val="0"/>
        <w:autoSpaceDE w:val="0"/>
        <w:autoSpaceDN w:val="0"/>
        <w:spacing w:after="0" w:line="276" w:lineRule="auto"/>
        <w:jc w:val="both"/>
        <w:rPr>
          <w:rFonts w:ascii="Verdana" w:hAnsi="Verdana" w:cs="Arial"/>
        </w:rPr>
      </w:pPr>
    </w:p>
    <w:p w14:paraId="716FF221" w14:textId="77777777" w:rsidR="00F768C7" w:rsidRDefault="00F768C7" w:rsidP="00D00AFB">
      <w:pPr>
        <w:widowControl w:val="0"/>
        <w:autoSpaceDE w:val="0"/>
        <w:autoSpaceDN w:val="0"/>
        <w:spacing w:after="0" w:line="276" w:lineRule="auto"/>
        <w:jc w:val="both"/>
        <w:rPr>
          <w:rFonts w:ascii="Verdana" w:hAnsi="Verdana" w:cs="Arial"/>
        </w:rPr>
      </w:pPr>
    </w:p>
    <w:p w14:paraId="5D70686D" w14:textId="77777777" w:rsidR="00F768C7" w:rsidRDefault="00F768C7" w:rsidP="00D00AFB">
      <w:pPr>
        <w:widowControl w:val="0"/>
        <w:autoSpaceDE w:val="0"/>
        <w:autoSpaceDN w:val="0"/>
        <w:spacing w:after="0" w:line="276" w:lineRule="auto"/>
        <w:jc w:val="both"/>
        <w:rPr>
          <w:rFonts w:ascii="Verdana" w:hAnsi="Verdana" w:cs="Arial"/>
        </w:rPr>
      </w:pPr>
    </w:p>
    <w:p w14:paraId="40A65CB7" w14:textId="77777777" w:rsidR="00F768C7" w:rsidRPr="00593A5F" w:rsidRDefault="00F768C7" w:rsidP="00D00AFB">
      <w:pPr>
        <w:widowControl w:val="0"/>
        <w:autoSpaceDE w:val="0"/>
        <w:autoSpaceDN w:val="0"/>
        <w:spacing w:after="0" w:line="276" w:lineRule="auto"/>
        <w:jc w:val="both"/>
        <w:rPr>
          <w:rFonts w:ascii="Verdana" w:hAnsi="Verdana" w:cs="Arial"/>
        </w:rPr>
      </w:pPr>
    </w:p>
    <w:p w14:paraId="36A8010F" w14:textId="77777777" w:rsidR="00D00AFB" w:rsidRPr="00593A5F" w:rsidRDefault="00D00AFB" w:rsidP="00D00AF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63D5B03" w14:textId="3FFFAD5A" w:rsidR="00D00AFB" w:rsidRPr="00BC3A04" w:rsidRDefault="00F768C7" w:rsidP="00D00AFB">
      <w:pPr>
        <w:spacing w:line="276" w:lineRule="auto"/>
        <w:jc w:val="center"/>
        <w:rPr>
          <w:rFonts w:ascii="Verdana" w:hAnsi="Verdana" w:cs="Arial"/>
          <w:color w:val="000000" w:themeColor="text1"/>
          <w:lang w:val="es-ES_tradnl" w:eastAsia="es-CO"/>
        </w:rPr>
      </w:pPr>
      <w:r>
        <w:rPr>
          <w:noProof/>
        </w:rPr>
        <w:drawing>
          <wp:inline distT="0" distB="0" distL="0" distR="0" wp14:anchorId="2C09601C" wp14:editId="49C5B00D">
            <wp:extent cx="3631565" cy="1017905"/>
            <wp:effectExtent l="0" t="0" r="6985" b="0"/>
            <wp:docPr id="775127441" name="Imagen 1" descr="Texto&#10;&#10;Descripción generada automáticament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Imag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1565" cy="101790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00AFB" w:rsidRPr="00BC3A04" w14:paraId="44A76CCC" w14:textId="77777777" w:rsidTr="00DE428D">
        <w:trPr>
          <w:trHeight w:val="315"/>
        </w:trPr>
        <w:tc>
          <w:tcPr>
            <w:tcW w:w="893" w:type="dxa"/>
            <w:vAlign w:val="center"/>
            <w:hideMark/>
          </w:tcPr>
          <w:p w14:paraId="5AD975A1" w14:textId="77777777" w:rsidR="00D00AFB" w:rsidRPr="00BC3A04" w:rsidRDefault="00D00AFB" w:rsidP="00DE428D">
            <w:pPr>
              <w:contextualSpacing/>
              <w:rPr>
                <w:rFonts w:ascii="Verdana" w:hAnsi="Verdana" w:cs="Arial"/>
                <w:color w:val="000000" w:themeColor="text1"/>
                <w:sz w:val="16"/>
                <w:szCs w:val="16"/>
                <w:lang w:val="es-ES" w:eastAsia="es-ES"/>
              </w:rPr>
            </w:pPr>
            <w:r w:rsidRPr="00BC3A04">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3827EC6" w14:textId="77777777" w:rsidR="00D00AFB" w:rsidRPr="00BC3A04" w:rsidRDefault="00D00AFB" w:rsidP="00DE428D">
            <w:pPr>
              <w:contextualSpacing/>
              <w:rPr>
                <w:rStyle w:val="normaltextrun"/>
                <w:rFonts w:ascii="Verdana" w:hAnsi="Verdana"/>
                <w:color w:val="000000" w:themeColor="text1"/>
                <w:sz w:val="16"/>
                <w:szCs w:val="16"/>
              </w:rPr>
            </w:pPr>
            <w:r w:rsidRPr="00BC3A04">
              <w:rPr>
                <w:rStyle w:val="normaltextrun"/>
                <w:rFonts w:ascii="Verdana" w:hAnsi="Verdana"/>
                <w:color w:val="000000" w:themeColor="text1"/>
                <w:sz w:val="16"/>
                <w:szCs w:val="16"/>
              </w:rPr>
              <w:t>Santiago Alberto Herrera Morillo</w:t>
            </w:r>
          </w:p>
          <w:p w14:paraId="2046513E" w14:textId="77777777" w:rsidR="00D00AFB" w:rsidRPr="00BC3A04" w:rsidRDefault="00D00AFB" w:rsidP="00DE428D">
            <w:pPr>
              <w:contextualSpacing/>
              <w:rPr>
                <w:rFonts w:ascii="Verdana" w:eastAsia="Arial" w:hAnsi="Verdana" w:cs="Arial"/>
                <w:color w:val="000000" w:themeColor="text1"/>
                <w:sz w:val="16"/>
                <w:szCs w:val="16"/>
              </w:rPr>
            </w:pPr>
            <w:r w:rsidRPr="00BC3A04">
              <w:rPr>
                <w:rStyle w:val="normaltextrun"/>
                <w:rFonts w:ascii="Verdana" w:hAnsi="Verdana"/>
                <w:color w:val="000000" w:themeColor="text1"/>
                <w:sz w:val="16"/>
                <w:szCs w:val="16"/>
              </w:rPr>
              <w:t xml:space="preserve">Analista T2-02 </w:t>
            </w:r>
            <w:r w:rsidRPr="00BC3A04">
              <w:rPr>
                <w:rStyle w:val="normaltextrun"/>
                <w:rFonts w:ascii="Verdana" w:eastAsia="Arial" w:hAnsi="Verdana" w:cs="Arial"/>
                <w:color w:val="000000" w:themeColor="text1"/>
                <w:sz w:val="16"/>
                <w:szCs w:val="16"/>
              </w:rPr>
              <w:t>de la Subdirección de Gestión Contractual</w:t>
            </w:r>
          </w:p>
        </w:tc>
      </w:tr>
      <w:tr w:rsidR="00D00AFB" w:rsidRPr="00BC3A04" w14:paraId="0823DA8F" w14:textId="77777777" w:rsidTr="00DE428D">
        <w:trPr>
          <w:trHeight w:val="330"/>
        </w:trPr>
        <w:tc>
          <w:tcPr>
            <w:tcW w:w="893" w:type="dxa"/>
            <w:vAlign w:val="center"/>
            <w:hideMark/>
          </w:tcPr>
          <w:p w14:paraId="6605AD91" w14:textId="77777777" w:rsidR="00D00AFB" w:rsidRPr="00BC3A04" w:rsidRDefault="00D00AFB" w:rsidP="00DE428D">
            <w:pPr>
              <w:contextualSpacing/>
              <w:rPr>
                <w:rFonts w:ascii="Verdana" w:hAnsi="Verdana" w:cs="Arial"/>
                <w:color w:val="000000" w:themeColor="text1"/>
                <w:sz w:val="16"/>
                <w:szCs w:val="16"/>
                <w:lang w:val="es-ES" w:eastAsia="es-ES"/>
              </w:rPr>
            </w:pPr>
            <w:r w:rsidRPr="00BC3A04">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2E07D41" w14:textId="77777777" w:rsidR="00D00AFB" w:rsidRPr="00BC3A04" w:rsidRDefault="00D00AFB" w:rsidP="00DE428D">
            <w:pPr>
              <w:pStyle w:val="paragraph"/>
              <w:spacing w:before="0" w:beforeAutospacing="0" w:after="0" w:afterAutospacing="0"/>
              <w:contextualSpacing/>
              <w:textAlignment w:val="baseline"/>
              <w:rPr>
                <w:rStyle w:val="normaltextrun"/>
                <w:rFonts w:ascii="Verdana" w:hAnsi="Verdana" w:cs="Arial"/>
                <w:color w:val="000000" w:themeColor="text1"/>
                <w:sz w:val="16"/>
                <w:szCs w:val="16"/>
                <w:lang w:val="es-ES"/>
              </w:rPr>
            </w:pPr>
            <w:r w:rsidRPr="00BC3A04">
              <w:rPr>
                <w:rStyle w:val="normaltextrun"/>
                <w:rFonts w:ascii="Verdana" w:hAnsi="Verdana" w:cs="Arial"/>
                <w:color w:val="000000" w:themeColor="text1"/>
                <w:sz w:val="16"/>
                <w:szCs w:val="16"/>
                <w:lang w:val="es-ES"/>
              </w:rPr>
              <w:t xml:space="preserve">Adriana </w:t>
            </w:r>
            <w:proofErr w:type="spellStart"/>
            <w:r w:rsidRPr="00BC3A04">
              <w:rPr>
                <w:rStyle w:val="normaltextrun"/>
                <w:rFonts w:ascii="Verdana" w:hAnsi="Verdana" w:cs="Arial"/>
                <w:color w:val="000000" w:themeColor="text1"/>
                <w:sz w:val="16"/>
                <w:szCs w:val="16"/>
                <w:lang w:val="es-ES"/>
              </w:rPr>
              <w:t>Katerine</w:t>
            </w:r>
            <w:proofErr w:type="spellEnd"/>
            <w:r w:rsidRPr="00BC3A04">
              <w:rPr>
                <w:rStyle w:val="normaltextrun"/>
                <w:rFonts w:ascii="Verdana" w:hAnsi="Verdana" w:cs="Arial"/>
                <w:color w:val="000000" w:themeColor="text1"/>
                <w:sz w:val="16"/>
                <w:szCs w:val="16"/>
                <w:lang w:val="es-ES"/>
              </w:rPr>
              <w:t xml:space="preserve"> López Rodríguez</w:t>
            </w:r>
          </w:p>
          <w:p w14:paraId="7931D777" w14:textId="77777777" w:rsidR="00D00AFB" w:rsidRPr="00BC3A04" w:rsidRDefault="00D00AFB" w:rsidP="00DE428D">
            <w:pPr>
              <w:pStyle w:val="paragraph"/>
              <w:spacing w:before="0" w:beforeAutospacing="0" w:after="0" w:afterAutospacing="0"/>
              <w:contextualSpacing/>
              <w:textAlignment w:val="baseline"/>
              <w:rPr>
                <w:rFonts w:ascii="Verdana" w:hAnsi="Verdana" w:cs="Segoe UI"/>
                <w:color w:val="000000" w:themeColor="text1"/>
                <w:sz w:val="16"/>
                <w:szCs w:val="16"/>
              </w:rPr>
            </w:pPr>
            <w:r w:rsidRPr="00BC3A04">
              <w:rPr>
                <w:rStyle w:val="normaltextrun"/>
                <w:rFonts w:ascii="Verdana" w:hAnsi="Verdana" w:cs="Arial"/>
                <w:color w:val="000000" w:themeColor="text1"/>
                <w:sz w:val="16"/>
                <w:szCs w:val="16"/>
                <w:lang w:val="es-ES"/>
              </w:rPr>
              <w:t>Contratista de la Subdirección de Gestión Contractual</w:t>
            </w:r>
            <w:r w:rsidRPr="00BC3A04">
              <w:rPr>
                <w:rStyle w:val="eop"/>
                <w:rFonts w:ascii="Verdana" w:hAnsi="Verdana" w:cs="Arial"/>
                <w:color w:val="000000" w:themeColor="text1"/>
                <w:sz w:val="16"/>
                <w:szCs w:val="16"/>
              </w:rPr>
              <w:t> </w:t>
            </w:r>
          </w:p>
        </w:tc>
      </w:tr>
      <w:tr w:rsidR="00D00AFB" w:rsidRPr="00593A5F" w14:paraId="4DD6C8D2" w14:textId="77777777" w:rsidTr="00DE428D">
        <w:trPr>
          <w:trHeight w:val="300"/>
        </w:trPr>
        <w:tc>
          <w:tcPr>
            <w:tcW w:w="893" w:type="dxa"/>
            <w:vAlign w:val="center"/>
          </w:tcPr>
          <w:p w14:paraId="628460C3" w14:textId="77777777" w:rsidR="00D00AFB" w:rsidRPr="003751C7" w:rsidRDefault="00D00AFB" w:rsidP="00DE428D">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80F741" w14:textId="77777777" w:rsidR="00D00AFB" w:rsidRPr="003751C7" w:rsidRDefault="00D00AFB" w:rsidP="00DE428D">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6D9A26FE" w14:textId="77777777" w:rsidR="00D00AFB" w:rsidRPr="003751C7" w:rsidRDefault="00D00AFB" w:rsidP="00DE428D">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43E30584" w14:textId="77777777" w:rsidR="00D00AFB" w:rsidRPr="00593A5F" w:rsidRDefault="00D00AFB" w:rsidP="00D00AFB">
      <w:pPr>
        <w:spacing w:after="0" w:line="240" w:lineRule="auto"/>
        <w:rPr>
          <w:rFonts w:ascii="Verdana" w:eastAsia="Times New Roman" w:hAnsi="Verdana" w:cs="Arial"/>
          <w:sz w:val="24"/>
          <w:szCs w:val="24"/>
          <w:lang w:eastAsia="es-ES"/>
        </w:rPr>
      </w:pPr>
    </w:p>
    <w:p w14:paraId="3900974D" w14:textId="77777777" w:rsidR="003D5B0D" w:rsidRPr="00D00AFB" w:rsidRDefault="003D5B0D" w:rsidP="00D00AFB"/>
    <w:sectPr w:rsidR="003D5B0D" w:rsidRPr="00D00AF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4B324" w14:textId="77777777" w:rsidR="00795E75" w:rsidRDefault="00795E75" w:rsidP="004A1847">
      <w:pPr>
        <w:spacing w:after="0" w:line="240" w:lineRule="auto"/>
      </w:pPr>
      <w:r>
        <w:separator/>
      </w:r>
    </w:p>
  </w:endnote>
  <w:endnote w:type="continuationSeparator" w:id="0">
    <w:p w14:paraId="4EC8A2D6" w14:textId="77777777" w:rsidR="00795E75" w:rsidRDefault="00795E75" w:rsidP="004A1847">
      <w:pPr>
        <w:spacing w:after="0" w:line="240" w:lineRule="auto"/>
      </w:pPr>
      <w:r>
        <w:continuationSeparator/>
      </w:r>
    </w:p>
  </w:endnote>
  <w:endnote w:type="continuationNotice" w:id="1">
    <w:p w14:paraId="0026E368" w14:textId="77777777" w:rsidR="00795E75" w:rsidRDefault="00795E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92408" w14:textId="77777777" w:rsidR="00795E75" w:rsidRDefault="00795E75" w:rsidP="004A1847">
      <w:pPr>
        <w:spacing w:after="0" w:line="240" w:lineRule="auto"/>
      </w:pPr>
      <w:r>
        <w:separator/>
      </w:r>
    </w:p>
  </w:footnote>
  <w:footnote w:type="continuationSeparator" w:id="0">
    <w:p w14:paraId="51C93CAE" w14:textId="77777777" w:rsidR="00795E75" w:rsidRDefault="00795E75" w:rsidP="004A1847">
      <w:pPr>
        <w:spacing w:after="0" w:line="240" w:lineRule="auto"/>
      </w:pPr>
      <w:r>
        <w:continuationSeparator/>
      </w:r>
    </w:p>
  </w:footnote>
  <w:footnote w:type="continuationNotice" w:id="1">
    <w:p w14:paraId="4E75D952" w14:textId="77777777" w:rsidR="00795E75" w:rsidRDefault="00795E75">
      <w:pPr>
        <w:spacing w:after="0" w:line="240" w:lineRule="auto"/>
      </w:pPr>
    </w:p>
  </w:footnote>
  <w:footnote w:id="2">
    <w:p w14:paraId="72A5F272" w14:textId="77777777" w:rsidR="00921E45" w:rsidRPr="00E2196A" w:rsidRDefault="00921E45" w:rsidP="00921E45">
      <w:pPr>
        <w:pStyle w:val="Textonotapie"/>
        <w:ind w:firstLine="709"/>
        <w:contextualSpacing/>
        <w:jc w:val="both"/>
        <w:rPr>
          <w:rFonts w:ascii="Century Gothic" w:hAnsi="Century Gothic" w:cs="Arial"/>
          <w:color w:val="000000" w:themeColor="text1"/>
          <w:sz w:val="16"/>
          <w:szCs w:val="16"/>
        </w:rPr>
      </w:pPr>
      <w:r w:rsidRPr="00E2196A">
        <w:rPr>
          <w:rStyle w:val="Refdenotaalpie"/>
          <w:rFonts w:ascii="Century Gothic" w:hAnsi="Century Gothic" w:cs="Arial"/>
          <w:sz w:val="16"/>
          <w:szCs w:val="16"/>
        </w:rPr>
        <w:footnoteRef/>
      </w:r>
      <w:r w:rsidRPr="00E2196A">
        <w:rPr>
          <w:rFonts w:ascii="Century Gothic" w:hAnsi="Century Gothic" w:cs="Arial"/>
          <w:sz w:val="16"/>
          <w:szCs w:val="16"/>
        </w:rPr>
        <w:t xml:space="preserve"> </w:t>
      </w:r>
      <w:r w:rsidRPr="00E2196A">
        <w:rPr>
          <w:rFonts w:ascii="Century Gothic" w:hAnsi="Century Gothic" w:cs="Arial"/>
          <w:color w:val="000000" w:themeColor="text1"/>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6352F919" w14:textId="77777777" w:rsidR="00921E45" w:rsidRPr="00E2196A" w:rsidRDefault="00921E45" w:rsidP="00921E45">
      <w:pPr>
        <w:pStyle w:val="Textonotapie"/>
        <w:ind w:firstLine="709"/>
        <w:contextualSpacing/>
        <w:jc w:val="both"/>
        <w:rPr>
          <w:rFonts w:ascii="Century Gothic" w:hAnsi="Century Gothic" w:cs="Arial"/>
          <w:color w:val="000000" w:themeColor="text1"/>
          <w:sz w:val="16"/>
          <w:szCs w:val="16"/>
        </w:rPr>
      </w:pPr>
      <w:r w:rsidRPr="00E2196A">
        <w:rPr>
          <w:rFonts w:ascii="Century Gothic" w:hAnsi="Century Gothic" w:cs="Arial"/>
          <w:color w:val="000000" w:themeColor="text1"/>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w:t>
      </w:r>
      <w:proofErr w:type="spellStart"/>
      <w:r w:rsidRPr="00E2196A">
        <w:rPr>
          <w:rFonts w:ascii="Century Gothic" w:hAnsi="Century Gothic" w:cs="Arial"/>
          <w:color w:val="000000" w:themeColor="text1"/>
          <w:sz w:val="16"/>
          <w:szCs w:val="16"/>
        </w:rPr>
        <w:t>subsanabilidad</w:t>
      </w:r>
      <w:proofErr w:type="spellEnd"/>
      <w:r w:rsidRPr="00E2196A">
        <w:rPr>
          <w:rFonts w:ascii="Century Gothic" w:hAnsi="Century Gothic" w:cs="Arial"/>
          <w:color w:val="000000" w:themeColor="text1"/>
          <w:sz w:val="16"/>
          <w:szCs w:val="16"/>
        </w:rPr>
        <w:t xml:space="preserve">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1" w:history="1">
        <w:r w:rsidRPr="00E2196A">
          <w:rPr>
            <w:rFonts w:ascii="Century Gothic" w:hAnsi="Century Gothic" w:cs="Arial"/>
            <w:sz w:val="16"/>
            <w:szCs w:val="16"/>
          </w:rPr>
          <w:t>https://www.colombiacompra.gov.co/content/circular-unica-externa</w:t>
        </w:r>
      </w:hyperlink>
      <w:r w:rsidRPr="00E2196A">
        <w:rPr>
          <w:rFonts w:ascii="Century Gothic" w:hAnsi="Century Gothic" w:cs="Arial"/>
          <w:color w:val="000000" w:themeColor="text1"/>
          <w:sz w:val="16"/>
          <w:szCs w:val="16"/>
        </w:rPr>
        <w:t xml:space="preserve">). </w:t>
      </w:r>
    </w:p>
    <w:p w14:paraId="012B0D53" w14:textId="77777777" w:rsidR="00921E45" w:rsidRPr="00E2196A" w:rsidRDefault="00921E45" w:rsidP="00921E45">
      <w:pPr>
        <w:pStyle w:val="Textonotapie"/>
        <w:ind w:firstLine="709"/>
        <w:contextualSpacing/>
        <w:jc w:val="both"/>
        <w:rPr>
          <w:rFonts w:ascii="Century Gothic" w:hAnsi="Century Gothic" w:cs="Arial"/>
          <w:sz w:val="16"/>
          <w:szCs w:val="16"/>
        </w:rPr>
      </w:pPr>
    </w:p>
  </w:footnote>
  <w:footnote w:id="3">
    <w:p w14:paraId="6BAAE970" w14:textId="77777777" w:rsidR="00921E45" w:rsidRPr="00E2196A" w:rsidRDefault="00921E45" w:rsidP="00921E45">
      <w:pPr>
        <w:pStyle w:val="Textonotapie"/>
        <w:ind w:firstLine="709"/>
        <w:contextualSpacing/>
        <w:jc w:val="both"/>
        <w:rPr>
          <w:rFonts w:ascii="Century Gothic" w:hAnsi="Century Gothic" w:cs="Arial"/>
          <w:color w:val="000000" w:themeColor="text1"/>
          <w:sz w:val="16"/>
          <w:szCs w:val="16"/>
        </w:rPr>
      </w:pPr>
      <w:r w:rsidRPr="00E2196A">
        <w:rPr>
          <w:rStyle w:val="Refdenotaalpie"/>
          <w:rFonts w:ascii="Century Gothic" w:hAnsi="Century Gothic" w:cs="Arial"/>
          <w:color w:val="000000" w:themeColor="text1"/>
          <w:sz w:val="16"/>
          <w:szCs w:val="16"/>
        </w:rPr>
        <w:footnoteRef/>
      </w:r>
      <w:r w:rsidRPr="00E2196A">
        <w:rPr>
          <w:rFonts w:ascii="Century Gothic" w:hAnsi="Century Gothic" w:cs="Arial"/>
          <w:color w:val="000000" w:themeColor="text1"/>
          <w:sz w:val="16"/>
          <w:szCs w:val="16"/>
        </w:rPr>
        <w:t xml:space="preserve"> Ver Consejo de Estado, Sección Tercera, Subsección C. Sentencia del 26 de febrero de 2011. C.P. Jaime Orlando Santofimio. Rad. 36.408. </w:t>
      </w:r>
    </w:p>
    <w:p w14:paraId="16CA680D" w14:textId="77777777" w:rsidR="00921E45" w:rsidRPr="00E2196A" w:rsidRDefault="00921E45" w:rsidP="00921E45">
      <w:pPr>
        <w:pStyle w:val="Textonotapie"/>
        <w:ind w:firstLine="709"/>
        <w:contextualSpacing/>
        <w:jc w:val="both"/>
        <w:rPr>
          <w:rFonts w:ascii="Century Gothic" w:hAnsi="Century Gothic" w:cs="Arial"/>
          <w:color w:val="000000" w:themeColor="text1"/>
          <w:sz w:val="16"/>
          <w:szCs w:val="16"/>
        </w:rPr>
      </w:pPr>
    </w:p>
  </w:footnote>
  <w:footnote w:id="4">
    <w:p w14:paraId="6E066B33" w14:textId="77777777" w:rsidR="00921E45" w:rsidRPr="00E2196A" w:rsidRDefault="00921E45" w:rsidP="00921E45">
      <w:pPr>
        <w:pStyle w:val="Textonotapie"/>
        <w:ind w:firstLine="709"/>
        <w:contextualSpacing/>
        <w:jc w:val="both"/>
        <w:rPr>
          <w:rFonts w:ascii="Century Gothic" w:hAnsi="Century Gothic" w:cs="Arial"/>
          <w:color w:val="000000" w:themeColor="text1"/>
          <w:sz w:val="16"/>
          <w:szCs w:val="16"/>
        </w:rPr>
      </w:pPr>
      <w:r w:rsidRPr="00E2196A">
        <w:rPr>
          <w:rStyle w:val="Refdenotaalpie"/>
          <w:rFonts w:ascii="Century Gothic" w:hAnsi="Century Gothic" w:cs="Arial"/>
          <w:color w:val="000000" w:themeColor="text1"/>
          <w:sz w:val="16"/>
          <w:szCs w:val="16"/>
        </w:rPr>
        <w:footnoteRef/>
      </w:r>
      <w:r w:rsidRPr="00E2196A">
        <w:rPr>
          <w:rFonts w:ascii="Century Gothic" w:hAnsi="Century Gothic" w:cs="Arial"/>
          <w:color w:val="000000" w:themeColor="text1"/>
          <w:sz w:val="16"/>
          <w:szCs w:val="16"/>
        </w:rPr>
        <w:t xml:space="preserve"> Ver Consejo de Estado, Sección Tercera, Subsección C. Sentencia del 26 de febrero de 2014. C.P. Enrique Gil Botero. Rad. 25.804. </w:t>
      </w:r>
    </w:p>
    <w:p w14:paraId="074B7160" w14:textId="77777777" w:rsidR="00921E45" w:rsidRPr="00722788" w:rsidRDefault="00921E45" w:rsidP="00921E45">
      <w:pPr>
        <w:pStyle w:val="Textonotapie"/>
        <w:ind w:firstLine="709"/>
        <w:contextualSpacing/>
        <w:jc w:val="both"/>
        <w:rPr>
          <w:rFonts w:ascii="Arial" w:hAnsi="Arial" w:cs="Arial"/>
          <w:color w:val="000000" w:themeColor="text1"/>
          <w:sz w:val="18"/>
          <w:szCs w:val="18"/>
        </w:rPr>
      </w:pPr>
    </w:p>
  </w:footnote>
  <w:footnote w:id="5">
    <w:p w14:paraId="27888524"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r w:rsidRPr="00137ADD">
        <w:rPr>
          <w:rFonts w:ascii="Verdana" w:hAnsi="Verdana" w:cs="Arial"/>
          <w:sz w:val="14"/>
          <w:szCs w:val="14"/>
          <w:vertAlign w:val="superscript"/>
        </w:rPr>
        <w:footnoteRef/>
      </w:r>
      <w:r w:rsidRPr="00137ADD">
        <w:rPr>
          <w:rFonts w:ascii="Verdana" w:eastAsia="Arial" w:hAnsi="Verdana" w:cs="Arial"/>
          <w:color w:val="000000"/>
          <w:sz w:val="14"/>
          <w:szCs w:val="14"/>
        </w:rPr>
        <w:t xml:space="preserve"> Al respecto, conviene recordar el artículo 29 de la Ley 80 de 1993, derogado por el artículo 32 de la Ley 1150 de 2007, que establecía: “La selección de contratistas será objetiva.</w:t>
      </w:r>
    </w:p>
    <w:p w14:paraId="3B688AAC"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r w:rsidRPr="00137ADD">
        <w:rPr>
          <w:rFonts w:ascii="Verdana" w:eastAsia="Arial" w:hAnsi="Verdana" w:cs="Arial"/>
          <w:color w:val="000000"/>
          <w:sz w:val="14"/>
          <w:szCs w:val="14"/>
        </w:rPr>
        <w:t>Es objetiva la selección en la cual la escogencia se hace al ofrecimiento más favorable a la entidad y a los fines que ella busca, sin tener en consideración factores de afecto o de interés y, en general, cualquier clase de motivación subjetiva.</w:t>
      </w:r>
    </w:p>
    <w:p w14:paraId="349CC519"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r w:rsidRPr="00137ADD">
        <w:rPr>
          <w:rFonts w:ascii="Verdana" w:eastAsia="Arial" w:hAnsi="Verdana" w:cs="Arial"/>
          <w:color w:val="000000"/>
          <w:sz w:val="14"/>
          <w:szCs w:val="14"/>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137ADD">
        <w:rPr>
          <w:rFonts w:ascii="Verdana" w:eastAsia="Arial" w:hAnsi="Verdana" w:cs="Arial"/>
          <w:color w:val="000000"/>
          <w:sz w:val="14"/>
          <w:szCs w:val="14"/>
        </w:rPr>
        <w:t>pliegos,</w:t>
      </w:r>
      <w:proofErr w:type="gramEnd"/>
      <w:r w:rsidRPr="00137ADD">
        <w:rPr>
          <w:rFonts w:ascii="Verdana" w:eastAsia="Arial" w:hAnsi="Verdana" w:cs="Arial"/>
          <w:color w:val="000000"/>
          <w:sz w:val="14"/>
          <w:szCs w:val="14"/>
        </w:rPr>
        <w:t xml:space="preserve"> no será objeto de evaluación</w:t>
      </w:r>
      <w:proofErr w:type="gramStart"/>
      <w:r w:rsidRPr="00137ADD">
        <w:rPr>
          <w:rFonts w:ascii="Verdana" w:eastAsia="Arial" w:hAnsi="Verdana" w:cs="Arial"/>
          <w:color w:val="000000"/>
          <w:sz w:val="14"/>
          <w:szCs w:val="14"/>
        </w:rPr>
        <w:t>” .</w:t>
      </w:r>
      <w:proofErr w:type="gramEnd"/>
    </w:p>
    <w:p w14:paraId="7D421709"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r w:rsidRPr="00137ADD">
        <w:rPr>
          <w:rFonts w:ascii="Verdana" w:eastAsia="Arial" w:hAnsi="Verdana" w:cs="Arial"/>
          <w:color w:val="000000"/>
          <w:sz w:val="14"/>
          <w:szCs w:val="14"/>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6B7AB4FE"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r w:rsidRPr="00137ADD">
        <w:rPr>
          <w:rFonts w:ascii="Verdana" w:eastAsia="Arial" w:hAnsi="Verdana" w:cs="Arial"/>
          <w:color w:val="000000"/>
          <w:sz w:val="14"/>
          <w:szCs w:val="14"/>
        </w:rPr>
        <w:t>En caso de comparación de propuestas nacionales y extranjeras, se incluirán los costos necesarios para la entrega del producto terminado en el lugar de su utilización”.</w:t>
      </w:r>
    </w:p>
  </w:footnote>
  <w:footnote w:id="6">
    <w:p w14:paraId="5D7E76DF" w14:textId="77777777" w:rsidR="00D00AFB" w:rsidRPr="00137ADD" w:rsidRDefault="00D00AFB" w:rsidP="00137ADD">
      <w:pPr>
        <w:pBdr>
          <w:top w:val="nil"/>
          <w:left w:val="nil"/>
          <w:bottom w:val="nil"/>
          <w:right w:val="nil"/>
          <w:between w:val="nil"/>
        </w:pBdr>
        <w:spacing w:after="0"/>
        <w:ind w:firstLine="708"/>
        <w:jc w:val="both"/>
        <w:rPr>
          <w:rFonts w:ascii="Verdana" w:eastAsia="Arial" w:hAnsi="Verdana" w:cs="Arial"/>
          <w:color w:val="000000"/>
          <w:sz w:val="14"/>
          <w:szCs w:val="14"/>
        </w:rPr>
      </w:pPr>
      <w:r w:rsidRPr="00137ADD">
        <w:rPr>
          <w:rFonts w:ascii="Verdana" w:hAnsi="Verdana" w:cs="Arial"/>
          <w:sz w:val="14"/>
          <w:szCs w:val="14"/>
          <w:vertAlign w:val="superscript"/>
        </w:rPr>
        <w:footnoteRef/>
      </w:r>
      <w:r w:rsidRPr="00137ADD">
        <w:rPr>
          <w:rFonts w:ascii="Verdana" w:eastAsia="Arial" w:hAnsi="Verdana" w:cs="Arial"/>
          <w:color w:val="000000"/>
          <w:sz w:val="14"/>
          <w:szCs w:val="14"/>
        </w:rPr>
        <w:t xml:space="preserve"> DÁVILA VINUEZA, Luis Guillermo. Régimen jurídico de la contratación estatal. Tercera edición, Bogotá: Legis, 2016. p. 355.</w:t>
      </w:r>
    </w:p>
  </w:footnote>
  <w:footnote w:id="7">
    <w:p w14:paraId="54A482AA"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r w:rsidRPr="00137ADD">
        <w:rPr>
          <w:rFonts w:ascii="Verdana" w:hAnsi="Verdana" w:cs="Arial"/>
          <w:sz w:val="14"/>
          <w:szCs w:val="14"/>
          <w:vertAlign w:val="superscript"/>
        </w:rPr>
        <w:footnoteRef/>
      </w:r>
      <w:r w:rsidRPr="00137ADD">
        <w:rPr>
          <w:rFonts w:ascii="Verdana" w:eastAsia="Arial" w:hAnsi="Verdana" w:cs="Arial"/>
          <w:color w:val="000000"/>
          <w:sz w:val="14"/>
          <w:szCs w:val="14"/>
          <w:vertAlign w:val="superscript"/>
        </w:rPr>
        <w:t xml:space="preserve"> </w:t>
      </w:r>
      <w:r w:rsidRPr="00137ADD">
        <w:rPr>
          <w:rFonts w:ascii="Verdana" w:eastAsia="Arial" w:hAnsi="Verdana" w:cs="Arial"/>
          <w:color w:val="000000"/>
          <w:sz w:val="14"/>
          <w:szCs w:val="14"/>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8">
    <w:p w14:paraId="463597B6" w14:textId="77777777" w:rsidR="00D00AFB" w:rsidRPr="00137ADD" w:rsidRDefault="00D00AFB" w:rsidP="00137ADD">
      <w:pPr>
        <w:spacing w:after="0"/>
        <w:ind w:firstLine="709"/>
        <w:jc w:val="both"/>
        <w:rPr>
          <w:rFonts w:ascii="Verdana" w:eastAsia="Arial" w:hAnsi="Verdana" w:cs="Arial"/>
          <w:color w:val="000000"/>
          <w:sz w:val="14"/>
          <w:szCs w:val="14"/>
        </w:rPr>
      </w:pPr>
      <w:r w:rsidRPr="00137ADD">
        <w:rPr>
          <w:rFonts w:ascii="Verdana" w:hAnsi="Verdana" w:cs="Arial"/>
          <w:sz w:val="14"/>
          <w:szCs w:val="14"/>
          <w:vertAlign w:val="superscript"/>
        </w:rPr>
        <w:footnoteRef/>
      </w:r>
      <w:r w:rsidRPr="00137ADD">
        <w:rPr>
          <w:rFonts w:ascii="Verdana" w:eastAsia="Arial" w:hAnsi="Verdana" w:cs="Arial"/>
          <w:color w:val="000000"/>
          <w:sz w:val="14"/>
          <w:szCs w:val="14"/>
        </w:rPr>
        <w:t xml:space="preserve"> Decreto 2474 de 2008 (DEROGADO): “art. 10. Reglas de </w:t>
      </w:r>
      <w:proofErr w:type="spellStart"/>
      <w:r w:rsidRPr="00137ADD">
        <w:rPr>
          <w:rFonts w:ascii="Verdana" w:eastAsia="Arial" w:hAnsi="Verdana" w:cs="Arial"/>
          <w:color w:val="000000"/>
          <w:sz w:val="14"/>
          <w:szCs w:val="14"/>
        </w:rPr>
        <w:t>subsanabilidad</w:t>
      </w:r>
      <w:proofErr w:type="spellEnd"/>
      <w:r w:rsidRPr="00137ADD">
        <w:rPr>
          <w:rFonts w:ascii="Verdana" w:eastAsia="Arial" w:hAnsi="Verdana" w:cs="Arial"/>
          <w:color w:val="000000"/>
          <w:sz w:val="14"/>
          <w:szCs w:val="14"/>
        </w:rPr>
        <w:t>.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2">
        <w:r w:rsidRPr="00137ADD">
          <w:rPr>
            <w:rFonts w:ascii="Verdana" w:eastAsia="Arial" w:hAnsi="Verdana" w:cs="Arial"/>
            <w:color w:val="000000"/>
            <w:sz w:val="14"/>
            <w:szCs w:val="14"/>
          </w:rPr>
          <w:t>Ley 1150 de 2007</w:t>
        </w:r>
      </w:hyperlink>
      <w:r w:rsidRPr="00137ADD">
        <w:rPr>
          <w:rFonts w:ascii="Verdana" w:eastAsia="Arial" w:hAnsi="Verdana" w:cs="Arial"/>
          <w:color w:val="000000"/>
          <w:sz w:val="14"/>
          <w:szCs w:val="14"/>
        </w:rPr>
        <w:t> y en el presente decreto.</w:t>
      </w:r>
    </w:p>
    <w:p w14:paraId="110A06CC" w14:textId="77777777" w:rsidR="00D00AFB" w:rsidRPr="00137ADD" w:rsidRDefault="00D00AFB" w:rsidP="00137ADD">
      <w:pPr>
        <w:spacing w:after="0"/>
        <w:ind w:firstLine="709"/>
        <w:jc w:val="both"/>
        <w:rPr>
          <w:rFonts w:ascii="Verdana" w:eastAsia="Arial" w:hAnsi="Verdana" w:cs="Arial"/>
          <w:color w:val="000000"/>
          <w:sz w:val="14"/>
          <w:szCs w:val="14"/>
        </w:rPr>
      </w:pPr>
      <w:r w:rsidRPr="00137ADD">
        <w:rPr>
          <w:rFonts w:ascii="Verdana" w:eastAsia="Arial" w:hAnsi="Verdana" w:cs="Arial"/>
          <w:color w:val="000000"/>
          <w:sz w:val="14"/>
          <w:szCs w:val="14"/>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48B3863E" w14:textId="77777777" w:rsidR="00D00AFB" w:rsidRPr="00137ADD" w:rsidRDefault="00D00AFB" w:rsidP="00137ADD">
      <w:pPr>
        <w:spacing w:after="0"/>
        <w:ind w:firstLine="709"/>
        <w:jc w:val="both"/>
        <w:rPr>
          <w:rFonts w:ascii="Verdana" w:eastAsia="Arial" w:hAnsi="Verdana" w:cs="Arial"/>
          <w:color w:val="000000"/>
          <w:sz w:val="14"/>
          <w:szCs w:val="14"/>
        </w:rPr>
      </w:pPr>
      <w:r w:rsidRPr="00137ADD">
        <w:rPr>
          <w:rFonts w:ascii="Verdana" w:eastAsia="Arial" w:hAnsi="Verdana" w:cs="Arial"/>
          <w:color w:val="000000"/>
          <w:sz w:val="14"/>
          <w:szCs w:val="14"/>
        </w:rPr>
        <w:t>Será rechazada la oferta del proponente que dentro del término previsto en el pliego o en la solicitud, no responda al requerimiento que le haga la entidad para subsanarla.</w:t>
      </w:r>
    </w:p>
    <w:p w14:paraId="2A31D2F7" w14:textId="77777777" w:rsidR="00D00AFB" w:rsidRPr="00137ADD" w:rsidRDefault="00D00AFB" w:rsidP="00137ADD">
      <w:pPr>
        <w:spacing w:after="0"/>
        <w:ind w:firstLine="709"/>
        <w:jc w:val="both"/>
        <w:rPr>
          <w:rFonts w:ascii="Verdana" w:eastAsia="Arial" w:hAnsi="Verdana" w:cs="Arial"/>
          <w:color w:val="000000"/>
          <w:sz w:val="14"/>
          <w:szCs w:val="14"/>
        </w:rPr>
      </w:pPr>
      <w:r w:rsidRPr="00137ADD">
        <w:rPr>
          <w:rFonts w:ascii="Verdana" w:eastAsia="Arial" w:hAnsi="Verdana" w:cs="Arial"/>
          <w:color w:val="000000"/>
          <w:sz w:val="14"/>
          <w:szCs w:val="14"/>
        </w:rPr>
        <w:t>Cuando se utilice el mecanismo de subasta esta posibilidad deberá ejercerse hasta el momento previo a su realización, de conformidad con el artículo 22 del presente decreto.</w:t>
      </w:r>
    </w:p>
    <w:p w14:paraId="54770A6C" w14:textId="77777777" w:rsidR="00D00AFB" w:rsidRPr="00137ADD" w:rsidRDefault="00D00AFB" w:rsidP="00137ADD">
      <w:pPr>
        <w:spacing w:after="0"/>
        <w:ind w:firstLine="709"/>
        <w:jc w:val="both"/>
        <w:rPr>
          <w:rFonts w:ascii="Verdana" w:eastAsia="Arial" w:hAnsi="Verdana" w:cs="Arial"/>
          <w:color w:val="000000"/>
          <w:sz w:val="14"/>
          <w:szCs w:val="14"/>
        </w:rPr>
      </w:pPr>
      <w:r w:rsidRPr="00137ADD">
        <w:rPr>
          <w:rFonts w:ascii="Verdana" w:eastAsia="Arial" w:hAnsi="Verdana" w:cs="Arial"/>
          <w:color w:val="000000"/>
          <w:sz w:val="14"/>
          <w:szCs w:val="14"/>
        </w:rPr>
        <w:t xml:space="preserve">En ningún caso la entidad podrá señalar taxativamente los requisitos o documentos subsanables o no subsanables en el pliego de condiciones, </w:t>
      </w:r>
      <w:r w:rsidRPr="00137ADD">
        <w:rPr>
          <w:rFonts w:ascii="Verdana" w:eastAsia="Arial" w:hAnsi="Verdana" w:cs="Arial"/>
          <w:i/>
          <w:color w:val="000000"/>
          <w:sz w:val="14"/>
          <w:szCs w:val="14"/>
        </w:rPr>
        <w:t>ni permitir que se subsane la falta de capacidad para presentar la oferta, ni que se acrediten circunstancias ocurridas con posterioridad al cierre del proceso</w:t>
      </w:r>
      <w:r w:rsidRPr="00137ADD">
        <w:rPr>
          <w:rFonts w:ascii="Verdana" w:eastAsia="Arial" w:hAnsi="Verdana" w:cs="Arial"/>
          <w:color w:val="000000"/>
          <w:sz w:val="14"/>
          <w:szCs w:val="14"/>
        </w:rPr>
        <w:t xml:space="preserve">”. (Cursivas fuera de texto). </w:t>
      </w:r>
    </w:p>
  </w:footnote>
  <w:footnote w:id="9">
    <w:p w14:paraId="75D7B004"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r w:rsidRPr="00137ADD">
        <w:rPr>
          <w:rFonts w:ascii="Verdana" w:hAnsi="Verdana" w:cs="Arial"/>
          <w:sz w:val="14"/>
          <w:szCs w:val="14"/>
          <w:vertAlign w:val="superscript"/>
        </w:rPr>
        <w:footnoteRef/>
      </w:r>
      <w:r w:rsidRPr="00137ADD">
        <w:rPr>
          <w:rFonts w:ascii="Verdana" w:eastAsia="Arial" w:hAnsi="Verdana" w:cs="Arial"/>
          <w:color w:val="000000"/>
          <w:sz w:val="14"/>
          <w:szCs w:val="14"/>
        </w:rPr>
        <w:t xml:space="preserve"> Consejo de Estado, Sala de Consulta y Servicio Civil, concepto del 6 de noviembre de 2008. C.P. William Zambrano Cetina. Rad. 2008-00079-00(1927).</w:t>
      </w:r>
    </w:p>
  </w:footnote>
  <w:footnote w:id="10">
    <w:p w14:paraId="6E888109"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r w:rsidRPr="00137ADD">
        <w:rPr>
          <w:rFonts w:ascii="Verdana" w:hAnsi="Verdana" w:cs="Arial"/>
          <w:sz w:val="14"/>
          <w:szCs w:val="14"/>
          <w:vertAlign w:val="superscript"/>
        </w:rPr>
        <w:footnoteRef/>
      </w:r>
      <w:r w:rsidRPr="00137ADD">
        <w:rPr>
          <w:rFonts w:ascii="Verdana" w:eastAsia="Arial" w:hAnsi="Verdana" w:cs="Arial"/>
          <w:color w:val="000000"/>
          <w:sz w:val="14"/>
          <w:szCs w:val="14"/>
        </w:rPr>
        <w:t xml:space="preserve"> Ver Consejo de Estado, Sección Tercera, Subsección C. Sentencia del 26 de febrero de 2011. C.P. Jaime Orlando Santofimio. Rad. 36.408.  </w:t>
      </w:r>
    </w:p>
  </w:footnote>
  <w:footnote w:id="11">
    <w:p w14:paraId="05CB3294"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r w:rsidRPr="00137ADD">
        <w:rPr>
          <w:rFonts w:ascii="Verdana" w:hAnsi="Verdana" w:cs="Arial"/>
          <w:sz w:val="14"/>
          <w:szCs w:val="14"/>
          <w:vertAlign w:val="superscript"/>
        </w:rPr>
        <w:footnoteRef/>
      </w:r>
      <w:r w:rsidRPr="00137ADD">
        <w:rPr>
          <w:rFonts w:ascii="Verdana" w:eastAsia="Arial" w:hAnsi="Verdana" w:cs="Arial"/>
          <w:color w:val="000000"/>
          <w:sz w:val="14"/>
          <w:szCs w:val="14"/>
        </w:rPr>
        <w:t xml:space="preserve"> Ver Consejo de Estado, Sección Tercera, Subsección C. Sentencia del 26 de febrero de 2014. C.P. Enrique Gil Botero. Rad. 25.804.  </w:t>
      </w:r>
    </w:p>
  </w:footnote>
  <w:footnote w:id="12">
    <w:p w14:paraId="5F60186D"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r w:rsidRPr="00137ADD">
        <w:rPr>
          <w:rFonts w:ascii="Verdana" w:hAnsi="Verdana" w:cs="Arial"/>
          <w:sz w:val="14"/>
          <w:szCs w:val="14"/>
          <w:vertAlign w:val="superscript"/>
        </w:rPr>
        <w:footnoteRef/>
      </w:r>
      <w:r w:rsidRPr="00137ADD">
        <w:rPr>
          <w:rFonts w:ascii="Verdana" w:eastAsia="Arial" w:hAnsi="Verdana" w:cs="Arial"/>
          <w:color w:val="000000"/>
          <w:sz w:val="14"/>
          <w:szCs w:val="14"/>
        </w:rPr>
        <w:t xml:space="preserve"> Consejo de Estado, Sala de Consulta y Servicio Civil, concepto del 20 de mayo de 2010. C.P. Enrique José Arboleda Perdomo. Rad. 2010-00034-00(1992).</w:t>
      </w:r>
    </w:p>
    <w:p w14:paraId="04960470" w14:textId="77777777" w:rsidR="00D00AFB" w:rsidRPr="00137ADD" w:rsidRDefault="00D00AFB" w:rsidP="00137ADD">
      <w:pPr>
        <w:pBdr>
          <w:top w:val="nil"/>
          <w:left w:val="nil"/>
          <w:bottom w:val="nil"/>
          <w:right w:val="nil"/>
          <w:between w:val="nil"/>
        </w:pBdr>
        <w:spacing w:after="0"/>
        <w:ind w:firstLine="709"/>
        <w:jc w:val="both"/>
        <w:rPr>
          <w:rFonts w:ascii="Verdana" w:eastAsia="Arial" w:hAnsi="Verdana" w:cs="Arial"/>
          <w:color w:val="000000"/>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Default="004A305D" w:rsidP="00B01B1A">
    <w:pPr>
      <w:spacing w:after="0" w:line="120" w:lineRule="auto"/>
      <w:rPr>
        <w:rFonts w:ascii="Verdana" w:hAnsi="Verdana"/>
        <w:b/>
        <w:bCs/>
      </w:rPr>
    </w:pPr>
  </w:p>
  <w:p w14:paraId="1A118774" w14:textId="77777777" w:rsidR="00137ADD" w:rsidRPr="004A305D" w:rsidRDefault="00137AD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FE364B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35538333" o:spid="_x0000_i1025" type="#_x0000_t75" style="width:11.25pt;height:11.25pt;visibility:visible;mso-wrap-style:square">
            <v:imagedata r:id="rId1" o:title=""/>
          </v:shape>
        </w:pict>
      </mc:Choice>
      <mc:Fallback>
        <w:drawing>
          <wp:inline distT="0" distB="0" distL="0" distR="0" wp14:anchorId="3C3F2BCB" wp14:editId="5E7FD97F">
            <wp:extent cx="142875" cy="142875"/>
            <wp:effectExtent l="0" t="0" r="0" b="0"/>
            <wp:docPr id="2035538333" name="Imagen 2035538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7E72"/>
    <w:rsid w:val="000A683E"/>
    <w:rsid w:val="000B19B9"/>
    <w:rsid w:val="000D0334"/>
    <w:rsid w:val="000F6486"/>
    <w:rsid w:val="0010612D"/>
    <w:rsid w:val="00125105"/>
    <w:rsid w:val="00127233"/>
    <w:rsid w:val="00137ADD"/>
    <w:rsid w:val="001511A0"/>
    <w:rsid w:val="001B3969"/>
    <w:rsid w:val="001E4177"/>
    <w:rsid w:val="001F7DC6"/>
    <w:rsid w:val="002421BB"/>
    <w:rsid w:val="0025796E"/>
    <w:rsid w:val="002707A2"/>
    <w:rsid w:val="002951A0"/>
    <w:rsid w:val="002962BC"/>
    <w:rsid w:val="002A093D"/>
    <w:rsid w:val="002A0DD0"/>
    <w:rsid w:val="002A49AC"/>
    <w:rsid w:val="002A64FD"/>
    <w:rsid w:val="002C7A84"/>
    <w:rsid w:val="002E4FD9"/>
    <w:rsid w:val="00311BE5"/>
    <w:rsid w:val="00322A85"/>
    <w:rsid w:val="00324168"/>
    <w:rsid w:val="003448F4"/>
    <w:rsid w:val="00370282"/>
    <w:rsid w:val="00374F5E"/>
    <w:rsid w:val="00377E3E"/>
    <w:rsid w:val="003A779E"/>
    <w:rsid w:val="003B018D"/>
    <w:rsid w:val="003D0F4D"/>
    <w:rsid w:val="003D5B0D"/>
    <w:rsid w:val="003D636B"/>
    <w:rsid w:val="003E0499"/>
    <w:rsid w:val="003F3941"/>
    <w:rsid w:val="00406575"/>
    <w:rsid w:val="00414C74"/>
    <w:rsid w:val="0042722E"/>
    <w:rsid w:val="0044528D"/>
    <w:rsid w:val="00461262"/>
    <w:rsid w:val="004A1847"/>
    <w:rsid w:val="004A305D"/>
    <w:rsid w:val="004F21C4"/>
    <w:rsid w:val="004F685F"/>
    <w:rsid w:val="00536E6D"/>
    <w:rsid w:val="005566E8"/>
    <w:rsid w:val="00574867"/>
    <w:rsid w:val="00591460"/>
    <w:rsid w:val="005B3816"/>
    <w:rsid w:val="005C3777"/>
    <w:rsid w:val="005C5CDC"/>
    <w:rsid w:val="005D1F97"/>
    <w:rsid w:val="005D476C"/>
    <w:rsid w:val="006219F8"/>
    <w:rsid w:val="006550F8"/>
    <w:rsid w:val="00665D70"/>
    <w:rsid w:val="00685698"/>
    <w:rsid w:val="006900D9"/>
    <w:rsid w:val="006D47D7"/>
    <w:rsid w:val="00706C16"/>
    <w:rsid w:val="00753F81"/>
    <w:rsid w:val="00756841"/>
    <w:rsid w:val="007649AB"/>
    <w:rsid w:val="0076683D"/>
    <w:rsid w:val="00771D0C"/>
    <w:rsid w:val="007833AC"/>
    <w:rsid w:val="00795E75"/>
    <w:rsid w:val="007B268C"/>
    <w:rsid w:val="007B7171"/>
    <w:rsid w:val="007C0C0F"/>
    <w:rsid w:val="007C3DC2"/>
    <w:rsid w:val="007E5497"/>
    <w:rsid w:val="00806F5F"/>
    <w:rsid w:val="00820278"/>
    <w:rsid w:val="00867F95"/>
    <w:rsid w:val="008843B6"/>
    <w:rsid w:val="00891928"/>
    <w:rsid w:val="008A446D"/>
    <w:rsid w:val="008D180B"/>
    <w:rsid w:val="008E563F"/>
    <w:rsid w:val="008F0EA7"/>
    <w:rsid w:val="00921E45"/>
    <w:rsid w:val="00923EEF"/>
    <w:rsid w:val="009419F9"/>
    <w:rsid w:val="0095685E"/>
    <w:rsid w:val="00961B09"/>
    <w:rsid w:val="00965334"/>
    <w:rsid w:val="0097093E"/>
    <w:rsid w:val="009772EE"/>
    <w:rsid w:val="00986AC5"/>
    <w:rsid w:val="009A0DFA"/>
    <w:rsid w:val="009B2D26"/>
    <w:rsid w:val="009C639E"/>
    <w:rsid w:val="009C71FA"/>
    <w:rsid w:val="009C72E7"/>
    <w:rsid w:val="009D3058"/>
    <w:rsid w:val="009F3A13"/>
    <w:rsid w:val="00A122D3"/>
    <w:rsid w:val="00A17F13"/>
    <w:rsid w:val="00A20739"/>
    <w:rsid w:val="00A31390"/>
    <w:rsid w:val="00A33C78"/>
    <w:rsid w:val="00AB0ADB"/>
    <w:rsid w:val="00B00261"/>
    <w:rsid w:val="00B01B1A"/>
    <w:rsid w:val="00B36FC9"/>
    <w:rsid w:val="00B66319"/>
    <w:rsid w:val="00B72CD3"/>
    <w:rsid w:val="00B72FFF"/>
    <w:rsid w:val="00BC3D36"/>
    <w:rsid w:val="00BD7F72"/>
    <w:rsid w:val="00C04FB3"/>
    <w:rsid w:val="00C330EB"/>
    <w:rsid w:val="00C41061"/>
    <w:rsid w:val="00C754BE"/>
    <w:rsid w:val="00C76B1C"/>
    <w:rsid w:val="00CB6357"/>
    <w:rsid w:val="00CC1B26"/>
    <w:rsid w:val="00D00AFB"/>
    <w:rsid w:val="00D423A2"/>
    <w:rsid w:val="00D520D8"/>
    <w:rsid w:val="00D63AC2"/>
    <w:rsid w:val="00D7383B"/>
    <w:rsid w:val="00DA231B"/>
    <w:rsid w:val="00DB0732"/>
    <w:rsid w:val="00DC31AF"/>
    <w:rsid w:val="00DC39FC"/>
    <w:rsid w:val="00DF5254"/>
    <w:rsid w:val="00E16408"/>
    <w:rsid w:val="00E20894"/>
    <w:rsid w:val="00E245AB"/>
    <w:rsid w:val="00E2764C"/>
    <w:rsid w:val="00E27F2E"/>
    <w:rsid w:val="00E4379C"/>
    <w:rsid w:val="00E50AFE"/>
    <w:rsid w:val="00E75C92"/>
    <w:rsid w:val="00E771DC"/>
    <w:rsid w:val="00E8772A"/>
    <w:rsid w:val="00E90062"/>
    <w:rsid w:val="00E90F6B"/>
    <w:rsid w:val="00E92C27"/>
    <w:rsid w:val="00EA0E3D"/>
    <w:rsid w:val="00EC38A7"/>
    <w:rsid w:val="00ED7384"/>
    <w:rsid w:val="00EE1AA8"/>
    <w:rsid w:val="00EF7C36"/>
    <w:rsid w:val="00F31EDC"/>
    <w:rsid w:val="00F462B3"/>
    <w:rsid w:val="00F5664F"/>
    <w:rsid w:val="00F666C4"/>
    <w:rsid w:val="00F768C7"/>
    <w:rsid w:val="00F76AFC"/>
    <w:rsid w:val="00FA47C0"/>
    <w:rsid w:val="00FB5DD1"/>
    <w:rsid w:val="00FC2B5D"/>
    <w:rsid w:val="00FE38FA"/>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00AFB"/>
    <w:rPr>
      <w:rFonts w:ascii="Geomanist Light" w:hAnsi="Geomanist Light"/>
      <w:lang w:val="es-ES"/>
    </w:rPr>
  </w:style>
  <w:style w:type="paragraph" w:customStyle="1" w:styleId="Appelnotedebasde">
    <w:name w:val="Appel note de bas de..."/>
    <w:basedOn w:val="Normal"/>
    <w:link w:val="Refdenotaalpie"/>
    <w:uiPriority w:val="99"/>
    <w:rsid w:val="00E9006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au2439van@gmail.com"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eb0fd05604104aa4d3bc08dd4c4ad35e%7C7b09041e245149d08cb179d5e3d8c1be%7C0%7C0%7C638750606446177660%7CUnknown%7CTWFpbGZsb3d8eyJFbXB0eU1hcGkiOnRydWUsIlYiOiIwLjAuMDAwMCIsIlAiOiJXaW4zMiIsIkFOIjoiTWFpbCIsIldUIjoyfQ%3D%3D%7C0%7C%7C%7C&amp;sdata=K9fGEvMQQb5JMmzyWrMHhWOzxpxjKcN%2B7XxhOsxZEww%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santiago.herrera%40colombiacompra.gov.co%7Ceb0fd05604104aa4d3bc08dd4c4ad35e%7C7b09041e245149d08cb179d5e3d8c1be%7C0%7C0%7C638750606446161131%7CUnknown%7CTWFpbGZsb3d8eyJFbXB0eU1hcGkiOnRydWUsIlYiOiIwLjAuMDAwMCIsIlAiOiJXaW4zMiIsIkFOIjoiTWFpbCIsIldUIjoyfQ%3D%3D%7C0%7C%7C%7C&amp;sdata=k2oGE1ZhXRCG0WmpxnB5F6qDDfDsWeKH4Pnq6DccM3g%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santiago.herrera%40colombiacompra.gov.co%7Ceb0fd05604104aa4d3bc08dd4c4ad35e%7C7b09041e245149d08cb179d5e3d8c1be%7C0%7C0%7C638750606446139140%7CUnknown%7CTWFpbGZsb3d8eyJFbXB0eU1hcGkiOnRydWUsIlYiOiIwLjAuMDAwMCIsIlAiOiJXaW4zMiIsIkFOIjoiTWFpbCIsIldUIjoyfQ%3D%3D%7C0%7C%7C%7C&amp;sdata=KxTGDnwqMAr1Tiny1RYnBI1%2BPUB3YV4ivlvXtJoUF78%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2007/L1150de2007.htm" TargetMode="External"/><Relationship Id="rId1" Type="http://schemas.openxmlformats.org/officeDocument/2006/relationships/hyperlink" Target="https://www.colombiacompra.gov.co/content/circular-unica-exter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C830F35543C1B419FA171669882D1EB" ma:contentTypeVersion="11" ma:contentTypeDescription="Crear nuevo documento." ma:contentTypeScope="" ma:versionID="86c6e4c3b74c32ca5ceba4e7038e490c">
  <xsd:schema xmlns:xsd="http://www.w3.org/2001/XMLSchema" xmlns:xs="http://www.w3.org/2001/XMLSchema" xmlns:p="http://schemas.microsoft.com/office/2006/metadata/properties" xmlns:ns2="b531b13d-89bf-4629-be1e-22fdf3dd34d4" xmlns:ns3="8ae15d26-076e-464e-81a7-6f76a0fb3917" targetNamespace="http://schemas.microsoft.com/office/2006/metadata/properties" ma:root="true" ma:fieldsID="aaed1ae076f3a65ef45080b3b018bda0" ns2:_="" ns3:_="">
    <xsd:import namespace="b531b13d-89bf-4629-be1e-22fdf3dd34d4"/>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b13d-89bf-4629-be1e-22fdf3dd3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31b13d-89bf-4629-be1e-22fdf3dd34d4">
      <Terms xmlns="http://schemas.microsoft.com/office/infopath/2007/PartnerControls"/>
    </lcf76f155ced4ddcb4097134ff3c332f>
    <TaxCatchAll xmlns="8ae15d26-076e-464e-81a7-6f76a0fb391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248CAB-C07F-442F-94C1-4CA4E8540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1b13d-89bf-4629-be1e-22fdf3dd34d4"/>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6B7B6900-CA79-4F52-B14D-FFFE02CA99B8}">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7855</Words>
  <Characters>43205</Characters>
  <Application>Microsoft Office Word</Application>
  <DocSecurity>0</DocSecurity>
  <Lines>360</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2025-05-08T13:48:00Z</dcterms:created>
  <dcterms:modified xsi:type="dcterms:W3CDTF">2025-05-08T13:48:00Z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0x0101009C830F35543C1B419FA171669882D1EB</vt:lpwstr>
  </property>
  <property fmtid="{D5CDD505-2E9C-101B-9397-08002B2CF9AE}" pid="3" name="MediaServiceImageTags">
    <vt:lpwstr/>
  </property>
</Properties>
</file>