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42856" w:rsidR="00A06590" w:rsidP="150C4562" w:rsidRDefault="00A06590" w14:paraId="57651583" w14:textId="77777777">
      <w:pPr>
        <w:tabs>
          <w:tab w:val="left" w:pos="709"/>
        </w:tabs>
        <w:spacing w:line="276" w:lineRule="auto"/>
        <w:jc w:val="both"/>
        <w:rPr>
          <w:rFonts w:ascii="Verdana" w:hAnsi="Verdana" w:eastAsia="Calibri" w:cs="Arial"/>
          <w:b w:val="1"/>
          <w:bCs w:val="1"/>
          <w:color w:val="000000"/>
          <w:lang w:val="es-ES" w:eastAsia="es-MX"/>
        </w:rPr>
      </w:pPr>
      <w:bookmarkStart w:name="_Hlk186494164" w:id="0"/>
      <w:r w:rsidRPr="150C4562" w:rsidR="00A06590">
        <w:rPr>
          <w:rFonts w:ascii="Verdana" w:hAnsi="Verdana" w:eastAsia="Calibri" w:cs="Arial"/>
          <w:b w:val="1"/>
          <w:bCs w:val="1"/>
          <w:color w:val="000000" w:themeColor="text1" w:themeTint="FF" w:themeShade="FF"/>
          <w:lang w:val="es-ES" w:eastAsia="es-MX"/>
        </w:rPr>
        <w:t xml:space="preserve">LEY 2069 DE 2020 − Impacto − Contratación estatal − Promoción − Acceso de las Mipymes – Compras públicas </w:t>
      </w:r>
    </w:p>
    <w:p w:rsidRPr="00242856" w:rsidR="00A06590" w:rsidP="150C4562" w:rsidRDefault="00A06590" w14:paraId="5BF732C2" w14:textId="77777777">
      <w:pPr>
        <w:spacing w:after="0" w:line="240" w:lineRule="auto"/>
        <w:jc w:val="both"/>
        <w:rPr>
          <w:rFonts w:ascii="Verdana" w:hAnsi="Verdana" w:eastAsia="Calibri" w:cs="Arial"/>
          <w:color w:val="000000"/>
          <w:sz w:val="20"/>
          <w:szCs w:val="20"/>
          <w:lang w:val="es-ES" w:eastAsia="es-MX"/>
        </w:rPr>
      </w:pPr>
      <w:r w:rsidRPr="150C4562" w:rsidR="00A06590">
        <w:rPr>
          <w:rFonts w:ascii="Verdana" w:hAnsi="Verdana" w:eastAsia="Calibri" w:cs="Arial"/>
          <w:color w:val="000000" w:themeColor="text1" w:themeTint="FF" w:themeShade="FF"/>
          <w:sz w:val="20"/>
          <w:szCs w:val="20"/>
          <w:lang w:val="es-ES" w:eastAsia="es-MX"/>
        </w:rPr>
        <w:t xml:space="preserve">El 31 de diciembre de 2020 se promulgó la Ley 2069, </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Por medio de la cual se impulsa el emprendimiento en Colombia</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 xml:space="preserve">. En cuanto a su contenido, es importante señalar que –como dispone el artículo 1– aquella </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tiene por objeto establecer un marco regulatorio que propicie el emprendimiento y el crecimiento, consolidación y sostenibilidad de las empresas, con el fin de aumentar el bienestar social y generar equidad</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 xml:space="preserve">. Esto, a partir de </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 un enfoque regionalizado de acuerdo con las realidades socioeconómicas de cada región</w:t>
      </w:r>
      <w:r w:rsidRPr="150C4562" w:rsidR="00A06590">
        <w:rPr>
          <w:rFonts w:ascii="Verdana" w:hAnsi="Verdana" w:eastAsia="Calibri" w:cs="Arial"/>
          <w:color w:val="000000" w:themeColor="text1" w:themeTint="FF" w:themeShade="FF"/>
          <w:sz w:val="20"/>
          <w:szCs w:val="20"/>
          <w:lang w:val="es-ES" w:eastAsia="es-MX"/>
        </w:rPr>
        <w:t>”</w:t>
      </w:r>
      <w:r w:rsidRPr="150C4562" w:rsidR="00A06590">
        <w:rPr>
          <w:rFonts w:ascii="Verdana" w:hAnsi="Verdana" w:eastAsia="Calibri" w:cs="Arial"/>
          <w:color w:val="000000" w:themeColor="text1" w:themeTint="FF" w:themeShade="FF"/>
          <w:sz w:val="20"/>
          <w:szCs w:val="20"/>
          <w:lang w:val="es-ES" w:eastAsia="es-MX"/>
        </w:rPr>
        <w:t>. En desarrollo de esta finalidad, se establecen medidas de apoyo para las micro, pequeñas y medianas empresas –</w:t>
      </w:r>
      <w:r w:rsidRPr="150C4562" w:rsidR="00A06590">
        <w:rPr>
          <w:rFonts w:ascii="Verdana" w:hAnsi="Verdana" w:eastAsia="Calibri" w:cs="Arial"/>
          <w:color w:val="000000" w:themeColor="text1" w:themeTint="FF" w:themeShade="FF"/>
          <w:sz w:val="20"/>
          <w:szCs w:val="20"/>
          <w:lang w:val="es-ES" w:eastAsia="es-MX"/>
        </w:rPr>
        <w:t>Mipymes</w:t>
      </w:r>
      <w:r w:rsidRPr="150C4562" w:rsidR="00A06590">
        <w:rPr>
          <w:rFonts w:ascii="Verdana" w:hAnsi="Verdana" w:eastAsia="Calibri" w:cs="Arial"/>
          <w:color w:val="000000" w:themeColor="text1" w:themeTint="FF" w:themeShade="FF"/>
          <w:sz w:val="20"/>
          <w:szCs w:val="20"/>
          <w:lang w:val="es-ES" w:eastAsia="es-MX"/>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rsidRPr="00F525F8" w:rsidR="00A06590" w:rsidP="00A06590" w:rsidRDefault="00A06590" w14:paraId="35631318" w14:textId="77777777">
      <w:pPr>
        <w:spacing w:after="0" w:line="240" w:lineRule="auto"/>
        <w:jc w:val="both"/>
        <w:rPr>
          <w:rFonts w:ascii="Verdana" w:hAnsi="Verdana" w:eastAsia="Calibri" w:cs="Arial"/>
          <w:color w:val="000000"/>
          <w:sz w:val="20"/>
          <w:szCs w:val="20"/>
          <w:lang w:val="es-ES_tradnl" w:eastAsia="es-MX"/>
        </w:rPr>
      </w:pPr>
    </w:p>
    <w:p w:rsidRPr="00F525F8" w:rsidR="00A06590" w:rsidP="00A06590" w:rsidRDefault="00A06590" w14:paraId="34E058A9" w14:textId="77777777">
      <w:pPr>
        <w:spacing w:after="0" w:line="240" w:lineRule="auto"/>
        <w:jc w:val="both"/>
        <w:rPr>
          <w:rFonts w:ascii="Verdana" w:hAnsi="Verdana" w:eastAsia="Calibri" w:cs="Arial"/>
          <w:color w:val="000000"/>
          <w:sz w:val="20"/>
          <w:szCs w:val="20"/>
          <w:lang w:val="es-ES_tradnl" w:eastAsia="es-MX"/>
        </w:rPr>
      </w:pPr>
      <w:r w:rsidRPr="00F525F8">
        <w:rPr>
          <w:rFonts w:ascii="Verdana" w:hAnsi="Verdana" w:eastAsia="Calibri" w:cs="Arial"/>
          <w:color w:val="000000"/>
          <w:sz w:val="20"/>
          <w:szCs w:val="20"/>
          <w:lang w:val="es-ES_tradnl" w:eastAsia="es-MX"/>
        </w:rPr>
        <w:t>[…]</w:t>
      </w:r>
    </w:p>
    <w:p w:rsidRPr="00242856" w:rsidR="00A06590" w:rsidP="00A06590" w:rsidRDefault="00A06590" w14:paraId="1DB6162D" w14:textId="77777777">
      <w:pPr>
        <w:spacing w:after="0" w:line="240" w:lineRule="auto"/>
        <w:jc w:val="both"/>
        <w:rPr>
          <w:rFonts w:ascii="Verdana" w:hAnsi="Verdana" w:eastAsia="Calibri" w:cs="Arial"/>
          <w:color w:val="000000"/>
          <w:sz w:val="20"/>
          <w:szCs w:val="20"/>
          <w:lang w:val="es-ES_tradnl" w:eastAsia="es-MX"/>
        </w:rPr>
      </w:pPr>
    </w:p>
    <w:p w:rsidRPr="00242856" w:rsidR="00A06590" w:rsidP="150C4562" w:rsidRDefault="00A06590" w14:paraId="6D7D7A76" w14:textId="77777777">
      <w:pPr>
        <w:spacing w:after="0" w:line="240" w:lineRule="auto"/>
        <w:jc w:val="both"/>
        <w:rPr>
          <w:rFonts w:ascii="Verdana" w:hAnsi="Verdana" w:eastAsia="Calibri" w:cs="Arial"/>
          <w:color w:val="000000"/>
          <w:sz w:val="20"/>
          <w:szCs w:val="20"/>
          <w:lang w:val="es-ES" w:eastAsia="es-MX"/>
        </w:rPr>
      </w:pPr>
      <w:r w:rsidRPr="150C4562" w:rsidR="00A06590">
        <w:rPr>
          <w:rFonts w:ascii="Verdana" w:hAnsi="Verdana" w:eastAsia="Calibri" w:cs="Arial"/>
          <w:color w:val="000000" w:themeColor="text1" w:themeTint="FF" w:themeShade="FF"/>
          <w:sz w:val="20"/>
          <w:szCs w:val="20"/>
          <w:lang w:val="es-ES" w:eastAsia="es-MX"/>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Pr="150C4562" w:rsidR="00A06590">
        <w:rPr>
          <w:rFonts w:ascii="Verdana" w:hAnsi="Verdana" w:eastAsia="Calibri" w:cs="Arial"/>
          <w:color w:val="000000" w:themeColor="text1" w:themeTint="FF" w:themeShade="FF"/>
          <w:sz w:val="20"/>
          <w:szCs w:val="20"/>
          <w:lang w:val="es-ES" w:eastAsia="es-MX"/>
        </w:rPr>
        <w:t>Mipymes</w:t>
      </w:r>
      <w:r w:rsidRPr="150C4562" w:rsidR="00A06590">
        <w:rPr>
          <w:rFonts w:ascii="Verdana" w:hAnsi="Verdana" w:eastAsia="Calibri" w:cs="Arial"/>
          <w:color w:val="000000" w:themeColor="text1" w:themeTint="FF" w:themeShade="FF"/>
          <w:sz w:val="20"/>
          <w:szCs w:val="20"/>
          <w:lang w:val="es-ES" w:eastAsia="es-MX"/>
        </w:rPr>
        <w:t xml:space="preserve"> en el procedimiento de mínima cuantía, ii) criterios diferenciales para </w:t>
      </w:r>
      <w:r w:rsidRPr="150C4562" w:rsidR="00A06590">
        <w:rPr>
          <w:rFonts w:ascii="Verdana" w:hAnsi="Verdana" w:eastAsia="Calibri" w:cs="Arial"/>
          <w:color w:val="000000" w:themeColor="text1" w:themeTint="FF" w:themeShade="FF"/>
          <w:sz w:val="20"/>
          <w:szCs w:val="20"/>
          <w:lang w:val="es-ES" w:eastAsia="es-MX"/>
        </w:rPr>
        <w:t>MiPymes</w:t>
      </w:r>
      <w:r w:rsidRPr="150C4562" w:rsidR="00A06590">
        <w:rPr>
          <w:rFonts w:ascii="Verdana" w:hAnsi="Verdana" w:eastAsia="Calibri" w:cs="Arial"/>
          <w:color w:val="000000" w:themeColor="text1" w:themeTint="FF" w:themeShade="FF"/>
          <w:sz w:val="20"/>
          <w:szCs w:val="20"/>
          <w:lang w:val="es-ES" w:eastAsia="es-MX"/>
        </w:rPr>
        <w:t xml:space="preserve"> en el sistema de compras públicas, iii) criterios diferenciales para emprendimientos y empresas de mujeres en el sistema de compras públicas, iv) promoción del acceso de las </w:t>
      </w:r>
      <w:r w:rsidRPr="150C4562" w:rsidR="00A06590">
        <w:rPr>
          <w:rFonts w:ascii="Verdana" w:hAnsi="Verdana" w:eastAsia="Calibri" w:cs="Arial"/>
          <w:color w:val="000000" w:themeColor="text1" w:themeTint="FF" w:themeShade="FF"/>
          <w:sz w:val="20"/>
          <w:szCs w:val="20"/>
          <w:lang w:val="es-ES" w:eastAsia="es-MX"/>
        </w:rPr>
        <w:t>MiPymes</w:t>
      </w:r>
      <w:r w:rsidRPr="150C4562" w:rsidR="00A06590">
        <w:rPr>
          <w:rFonts w:ascii="Verdana" w:hAnsi="Verdana" w:eastAsia="Calibri" w:cs="Arial"/>
          <w:color w:val="000000" w:themeColor="text1" w:themeTint="FF" w:themeShade="FF"/>
          <w:sz w:val="20"/>
          <w:szCs w:val="20"/>
          <w:lang w:val="es-ES" w:eastAsia="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rsidRPr="00242856" w:rsidR="00A06590" w:rsidP="00A06590" w:rsidRDefault="00A06590" w14:paraId="01CFF0F7" w14:textId="77777777">
      <w:pPr>
        <w:spacing w:after="0" w:line="240" w:lineRule="auto"/>
        <w:jc w:val="both"/>
        <w:rPr>
          <w:rFonts w:ascii="Verdana" w:hAnsi="Verdana" w:eastAsia="Calibri" w:cs="Arial"/>
          <w:color w:val="000000"/>
          <w:sz w:val="20"/>
          <w:szCs w:val="20"/>
          <w:lang w:val="es-ES_tradnl" w:eastAsia="es-MX"/>
        </w:rPr>
      </w:pPr>
    </w:p>
    <w:p w:rsidRPr="00242856" w:rsidR="00A06590" w:rsidP="00A06590" w:rsidRDefault="00A06590" w14:paraId="215BDD05" w14:textId="77777777">
      <w:pPr>
        <w:spacing w:after="0" w:line="240" w:lineRule="auto"/>
        <w:jc w:val="both"/>
        <w:rPr>
          <w:rFonts w:ascii="Verdana" w:hAnsi="Verdana" w:eastAsia="Calibri" w:cs="Arial"/>
          <w:b/>
          <w:bCs/>
          <w:color w:val="000000"/>
          <w:lang w:val="es-ES_tradnl" w:eastAsia="es-MX"/>
        </w:rPr>
      </w:pPr>
      <w:r w:rsidRPr="00242856">
        <w:rPr>
          <w:rFonts w:ascii="Verdana" w:hAnsi="Verdana" w:eastAsia="Calibri" w:cs="Arial"/>
          <w:b/>
          <w:bCs/>
          <w:color w:val="000000"/>
          <w:lang w:val="es-ES_tradnl" w:eastAsia="es-MX"/>
        </w:rPr>
        <w:t xml:space="preserve">ACCESO DE LAS MIPYMES – Compras públicas − Artículo 33 − Ley 2069 de 2020 </w:t>
      </w:r>
    </w:p>
    <w:p w:rsidRPr="00242856" w:rsidR="00A06590" w:rsidP="00A06590" w:rsidRDefault="00A06590" w14:paraId="5C3ABF84" w14:textId="77777777">
      <w:pPr>
        <w:spacing w:after="0" w:line="240" w:lineRule="auto"/>
        <w:jc w:val="both"/>
        <w:rPr>
          <w:rFonts w:ascii="Verdana" w:hAnsi="Verdana" w:eastAsia="Calibri" w:cs="Arial"/>
          <w:b/>
          <w:bCs/>
          <w:color w:val="000000"/>
          <w:lang w:val="es-ES_tradnl" w:eastAsia="es-MX"/>
        </w:rPr>
      </w:pPr>
    </w:p>
    <w:p w:rsidRPr="00242856" w:rsidR="00A06590" w:rsidP="00A06590" w:rsidRDefault="00A06590" w14:paraId="54D20C5C" w14:textId="77777777">
      <w:pPr>
        <w:spacing w:after="0" w:line="240" w:lineRule="auto"/>
        <w:jc w:val="both"/>
        <w:rPr>
          <w:rFonts w:ascii="Verdana" w:hAnsi="Verdana" w:eastAsia="Calibri" w:cs="Arial"/>
          <w:bCs/>
          <w:color w:val="000000" w:themeColor="text1"/>
          <w:sz w:val="20"/>
          <w:szCs w:val="20"/>
          <w:lang w:eastAsia="es-MX"/>
        </w:rPr>
      </w:pPr>
      <w:r w:rsidRPr="00EE4434">
        <w:rPr>
          <w:rFonts w:ascii="Verdana" w:hAnsi="Verdana" w:eastAsia="Calibri" w:cs="Arial"/>
          <w:bCs/>
          <w:color w:val="000000" w:themeColor="text1"/>
          <w:sz w:val="20"/>
          <w:szCs w:val="20"/>
          <w:lang w:eastAsia="es-MX"/>
        </w:rPr>
        <w:t xml:space="preserve">El artículo 33 de la Ley 2069 de 2020 modificó el artículo 12 de la Ley 590 de 2000, el cual regula la promoción del acceso de las mipymes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p>
    <w:p w:rsidRPr="00EE4434" w:rsidR="00A06590" w:rsidP="00A06590" w:rsidRDefault="00A06590" w14:paraId="1931045C" w14:textId="77777777">
      <w:pPr>
        <w:spacing w:after="0" w:line="240" w:lineRule="auto"/>
        <w:jc w:val="both"/>
        <w:rPr>
          <w:rFonts w:ascii="Verdana" w:hAnsi="Verdana" w:eastAsia="Times New Roman" w:cs="Arial"/>
          <w:sz w:val="20"/>
          <w:szCs w:val="20"/>
          <w:lang w:val="es-ES_tradnl" w:eastAsia="es-MX"/>
        </w:rPr>
      </w:pPr>
    </w:p>
    <w:p w:rsidRPr="00EE4434" w:rsidR="00A06590" w:rsidP="00A06590" w:rsidRDefault="00A06590" w14:paraId="0880F639" w14:textId="77777777">
      <w:pPr>
        <w:spacing w:after="120" w:line="240" w:lineRule="auto"/>
        <w:jc w:val="both"/>
        <w:rPr>
          <w:rFonts w:ascii="Verdana" w:hAnsi="Verdana" w:eastAsia="Times New Roman" w:cs="Arial"/>
          <w:sz w:val="20"/>
          <w:szCs w:val="20"/>
          <w:lang w:val="es-ES_tradnl" w:eastAsia="es-MX"/>
        </w:rPr>
      </w:pPr>
      <w:r w:rsidRPr="00EE4434">
        <w:rPr>
          <w:rFonts w:ascii="Verdana" w:hAnsi="Verdana" w:eastAsia="Times New Roman" w:cs="Arial"/>
          <w:sz w:val="20"/>
          <w:szCs w:val="20"/>
          <w:lang w:val="es-ES_tradnl" w:eastAsia="es-MX"/>
        </w:rPr>
        <w:t>[…]</w:t>
      </w:r>
    </w:p>
    <w:p w:rsidRPr="00EE4434" w:rsidR="00A06590" w:rsidP="150C4562" w:rsidRDefault="00A06590" w14:paraId="5672900B" w14:textId="77777777">
      <w:pPr>
        <w:spacing w:after="120" w:line="240" w:lineRule="auto"/>
        <w:jc w:val="both"/>
        <w:rPr>
          <w:rFonts w:ascii="Verdana" w:hAnsi="Verdana" w:eastAsia="Times New Roman" w:cs="Arial"/>
          <w:sz w:val="20"/>
          <w:szCs w:val="20"/>
          <w:lang w:val="es-ES" w:eastAsia="es-MX"/>
        </w:rPr>
      </w:pPr>
      <w:r w:rsidRPr="150C4562" w:rsidR="00A06590">
        <w:rPr>
          <w:rFonts w:ascii="Verdana" w:hAnsi="Verdana" w:eastAsia="Calibri" w:cs="Arial"/>
          <w:sz w:val="20"/>
          <w:szCs w:val="20"/>
          <w:lang w:val="es-ES" w:eastAsia="es-MX"/>
        </w:rPr>
        <w:t xml:space="preserve">El artículo 33 de la Ley 2069 de 2021 consagra una serie de deberes que deben cumplir los destinatarios en su gestión contractual. Aunque el alcance de estas obligaciones puede delimitarse por otras leyes o reglamentos, lo importante es que el artículo 33 de </w:t>
      </w:r>
      <w:r w:rsidRPr="150C4562" w:rsidR="00A06590">
        <w:rPr>
          <w:rFonts w:ascii="Verdana" w:hAnsi="Verdana" w:eastAsia="Calibri" w:cs="Arial"/>
          <w:sz w:val="20"/>
          <w:szCs w:val="20"/>
          <w:lang w:val="es-ES" w:eastAsia="es-MX"/>
        </w:rPr>
        <w:t xml:space="preserve">la Ley 2069 de 2020 consagra elementos mínimos que las entidades deben acatar desde la expedición de la ley. Por tanto, conforme al marco normativo que regule el acceso de las mipymes al mercado de compras públicas, las entidades deberán adoptar las medidas necesarias para el acatamiento de esta disposición, teniendo en cuenta que el artículo 33 de la Ley 2069 de 2020 es de aplicación directa, por lo que les corresponde darle cumplimiento inmediato. </w:t>
      </w:r>
    </w:p>
    <w:p w:rsidRPr="00EE4434" w:rsidR="00A06590" w:rsidP="00A06590" w:rsidRDefault="00A06590" w14:paraId="040CDDB3" w14:textId="77777777">
      <w:pPr>
        <w:spacing w:after="0" w:line="240" w:lineRule="auto"/>
        <w:jc w:val="both"/>
        <w:rPr>
          <w:rFonts w:ascii="Verdana" w:hAnsi="Verdana" w:eastAsia="Calibri" w:cs="Arial"/>
          <w:bCs/>
          <w:sz w:val="20"/>
          <w:szCs w:val="20"/>
          <w:lang w:val="es-ES_tradnl" w:eastAsia="es-MX"/>
        </w:rPr>
      </w:pPr>
      <w:r w:rsidRPr="00EE4434">
        <w:rPr>
          <w:rFonts w:ascii="Verdana" w:hAnsi="Verdana" w:eastAsia="Times New Roman" w:cs="Arial"/>
          <w:sz w:val="20"/>
          <w:szCs w:val="20"/>
          <w:lang w:eastAsia="es-MX"/>
        </w:rPr>
        <w:t>Uno de los deberes introducidos es el establecido en su numeral 6</w:t>
      </w:r>
      <w:r w:rsidRPr="00EE4434">
        <w:rPr>
          <w:rFonts w:ascii="Verdana" w:hAnsi="Verdana" w:eastAsia="Calibri" w:cs="Arial"/>
          <w:bCs/>
          <w:sz w:val="20"/>
          <w:szCs w:val="20"/>
          <w:lang w:val="es-ES_tradnl" w:eastAsia="es-MX"/>
        </w:rPr>
        <w:t xml:space="preserve">, en atención al cual, las entidades estatales indistintamente de su régimen de contratación, los patrimonios autónomos constituidos por entidades estatales y los particulares que ejecuten recursos públicos tienen la obligación de “[p]romover la división del Proceso de Contratación en lotes o segmentos que faciliten la participación de las MIPYMES en el Proceso de Contratación”. Dado que la norma impone este deber sin necesidad de reglamentación previa, los sujetos indicados, deben facilitar la participación de las Mipymes en el proceso de contratación mediante su división en lotes o segmentos. </w:t>
      </w:r>
    </w:p>
    <w:p w:rsidRPr="00242856" w:rsidR="00A06590" w:rsidP="00A06590" w:rsidRDefault="00A06590" w14:paraId="7CA1DE7C" w14:textId="77777777">
      <w:pPr>
        <w:spacing w:after="0" w:line="240" w:lineRule="auto"/>
        <w:jc w:val="both"/>
        <w:rPr>
          <w:rFonts w:ascii="Verdana" w:hAnsi="Verdana" w:eastAsia="Calibri" w:cs="Arial"/>
          <w:color w:val="000000"/>
          <w:sz w:val="20"/>
          <w:szCs w:val="20"/>
          <w:lang w:val="es-ES_tradnl" w:eastAsia="es-MX"/>
        </w:rPr>
      </w:pPr>
    </w:p>
    <w:p w:rsidRPr="00242856" w:rsidR="00A06590" w:rsidP="00A06590" w:rsidRDefault="00A06590" w14:paraId="68E13FAB" w14:textId="77777777">
      <w:pPr>
        <w:tabs>
          <w:tab w:val="left" w:pos="709"/>
        </w:tabs>
        <w:spacing w:line="276" w:lineRule="auto"/>
        <w:jc w:val="both"/>
        <w:rPr>
          <w:rFonts w:ascii="Verdana" w:hAnsi="Verdana" w:cs="Arial"/>
          <w:b/>
          <w:bCs/>
          <w:color w:val="000000" w:themeColor="text1"/>
          <w:lang w:eastAsia="es-MX"/>
        </w:rPr>
      </w:pPr>
      <w:r w:rsidRPr="00242856">
        <w:rPr>
          <w:rFonts w:ascii="Verdana" w:hAnsi="Verdana" w:eastAsia="Calibri" w:cs="Arial"/>
          <w:b/>
          <w:bCs/>
          <w:color w:val="000000"/>
          <w:lang w:val="es-ES_tradnl" w:eastAsia="es-MX"/>
        </w:rPr>
        <w:t xml:space="preserve">ACCESO DE LAS MIPYMES – Compras públicas − </w:t>
      </w:r>
      <w:r w:rsidRPr="00242856">
        <w:rPr>
          <w:rFonts w:ascii="Verdana" w:hAnsi="Verdana" w:cs="Arial"/>
          <w:b/>
          <w:bCs/>
          <w:color w:val="000000" w:themeColor="text1"/>
          <w:lang w:val="es-MX" w:eastAsia="es-MX"/>
        </w:rPr>
        <w:t xml:space="preserve">Decreto 0142 de 2023 − </w:t>
      </w:r>
      <w:r w:rsidRPr="00242856">
        <w:rPr>
          <w:rFonts w:ascii="Verdana" w:hAnsi="Verdana" w:cs="Arial"/>
          <w:b/>
          <w:bCs/>
        </w:rPr>
        <w:t xml:space="preserve">División del Proceso − Lotes o segmentos </w:t>
      </w:r>
    </w:p>
    <w:p w:rsidRPr="00242856" w:rsidR="00A06590" w:rsidP="00A06590" w:rsidRDefault="00A06590" w14:paraId="24547072" w14:textId="77777777">
      <w:pPr>
        <w:tabs>
          <w:tab w:val="left" w:pos="709"/>
        </w:tabs>
        <w:spacing w:after="120" w:line="240" w:lineRule="auto"/>
        <w:jc w:val="both"/>
        <w:rPr>
          <w:rFonts w:ascii="Verdana" w:hAnsi="Verdana" w:eastAsia="Calibri" w:cs="Arial"/>
          <w:bCs/>
          <w:sz w:val="20"/>
          <w:szCs w:val="20"/>
        </w:rPr>
      </w:pPr>
      <w:r w:rsidRPr="00242856">
        <w:rPr>
          <w:rFonts w:ascii="Verdana" w:hAnsi="Verdana" w:eastAsia="Calibri" w:cs="Arial"/>
          <w:bCs/>
          <w:sz w:val="20"/>
          <w:szCs w:val="20"/>
          <w:lang w:val="es-ES_tradnl" w:eastAsia="es-MX"/>
        </w:rPr>
        <w:t>Con</w:t>
      </w:r>
      <w:r w:rsidRPr="009B7698">
        <w:rPr>
          <w:rFonts w:ascii="Verdana" w:hAnsi="Verdana" w:eastAsia="Calibri" w:cs="Arial"/>
          <w:bCs/>
          <w:color w:val="000000" w:themeColor="text1"/>
          <w:sz w:val="20"/>
          <w:szCs w:val="20"/>
          <w:lang w:val="es-MX" w:eastAsia="es-MX"/>
        </w:rPr>
        <w:t xml:space="preserve"> la reciente expedición del Decreto 0142 del 01 de febrero de 2023 se reglamentó la disposición contenida en el numeral 6 del artículo 33 de la Ley 2069 de 2021. De esta forma, el decreto en comento, con el fin de cumplir el mandato legal indicado, en el artículo 2 modifica el artículo </w:t>
      </w:r>
      <w:r w:rsidRPr="009B7698">
        <w:rPr>
          <w:rFonts w:ascii="Verdana" w:hAnsi="Verdana" w:eastAsia="Calibri" w:cs="Arial"/>
          <w:bCs/>
          <w:color w:val="000000"/>
          <w:sz w:val="20"/>
          <w:szCs w:val="20"/>
        </w:rPr>
        <w:t>2.2.1.1.1.4.1</w:t>
      </w:r>
      <w:r w:rsidRPr="009B7698">
        <w:rPr>
          <w:rFonts w:ascii="Verdana" w:hAnsi="Verdana" w:eastAsia="Calibri" w:cs="Arial"/>
          <w:bCs/>
          <w:color w:val="000000" w:themeColor="text1"/>
          <w:sz w:val="20"/>
          <w:szCs w:val="20"/>
          <w:lang w:val="es-MX" w:eastAsia="es-MX"/>
        </w:rPr>
        <w:t xml:space="preserve"> </w:t>
      </w:r>
      <w:r w:rsidRPr="009B7698">
        <w:rPr>
          <w:rFonts w:ascii="Verdana" w:hAnsi="Verdana" w:eastAsia="Calibri" w:cs="Arial"/>
          <w:color w:val="000000"/>
          <w:sz w:val="20"/>
          <w:szCs w:val="20"/>
        </w:rPr>
        <w:t>del Decreto 1082 de 2015</w:t>
      </w:r>
      <w:r w:rsidRPr="009B7698">
        <w:rPr>
          <w:rFonts w:ascii="Verdana" w:hAnsi="Verdana" w:eastAsia="Calibri" w:cs="Arial"/>
          <w:i/>
          <w:iCs/>
          <w:color w:val="000000"/>
          <w:sz w:val="20"/>
          <w:szCs w:val="20"/>
        </w:rPr>
        <w:t xml:space="preserve">, </w:t>
      </w:r>
      <w:r w:rsidRPr="009B7698">
        <w:rPr>
          <w:rFonts w:ascii="Verdana" w:hAnsi="Verdana" w:eastAsia="Calibri" w:cs="Arial"/>
          <w:color w:val="000000"/>
          <w:sz w:val="20"/>
          <w:szCs w:val="20"/>
        </w:rPr>
        <w:t xml:space="preserve">para </w:t>
      </w:r>
      <w:r w:rsidRPr="009B7698">
        <w:rPr>
          <w:rFonts w:ascii="Verdana" w:hAnsi="Verdana" w:eastAsia="Calibri" w:cs="Arial"/>
          <w:bCs/>
          <w:sz w:val="20"/>
          <w:szCs w:val="20"/>
        </w:rPr>
        <w:t xml:space="preserve">instar 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 </w:t>
      </w:r>
    </w:p>
    <w:p w:rsidRPr="009B7698" w:rsidR="00A06590" w:rsidP="00A06590" w:rsidRDefault="00A06590" w14:paraId="566A796A" w14:textId="77777777">
      <w:pPr>
        <w:spacing w:after="120" w:line="240" w:lineRule="auto"/>
        <w:jc w:val="both"/>
        <w:rPr>
          <w:rFonts w:ascii="Verdana" w:hAnsi="Verdana" w:eastAsia="Calibri" w:cs="Arial"/>
          <w:b/>
          <w:bCs/>
          <w:i/>
          <w:iCs/>
          <w:color w:val="000000"/>
          <w:sz w:val="20"/>
          <w:szCs w:val="20"/>
        </w:rPr>
      </w:pPr>
      <w:r>
        <w:rPr>
          <w:rFonts w:ascii="Verdana" w:hAnsi="Verdana" w:eastAsia="Calibri" w:cs="Arial"/>
          <w:sz w:val="20"/>
          <w:szCs w:val="20"/>
        </w:rPr>
        <w:t>Igualmente</w:t>
      </w:r>
      <w:r w:rsidRPr="009B7698">
        <w:rPr>
          <w:rFonts w:ascii="Verdana" w:hAnsi="Verdana" w:eastAsia="Calibri" w:cs="Arial"/>
          <w:sz w:val="20"/>
          <w:szCs w:val="20"/>
        </w:rPr>
        <w:t>,</w:t>
      </w:r>
      <w:r w:rsidRPr="009B7698">
        <w:rPr>
          <w:rFonts w:ascii="Verdana" w:hAnsi="Verdana" w:eastAsia="Calibri" w:cs="Arial"/>
          <w:i/>
          <w:iCs/>
          <w:sz w:val="20"/>
          <w:szCs w:val="20"/>
        </w:rPr>
        <w:t xml:space="preserve"> </w:t>
      </w:r>
      <w:r w:rsidRPr="009B7698">
        <w:rPr>
          <w:rFonts w:ascii="Verdana" w:hAnsi="Verdana" w:eastAsia="Calibri" w:cs="Arial"/>
          <w:sz w:val="20"/>
          <w:szCs w:val="20"/>
        </w:rPr>
        <w:t>el artículo 6 del Decreto 142 de 2023, adiciona el</w:t>
      </w:r>
      <w:r w:rsidRPr="009B7698">
        <w:rPr>
          <w:rFonts w:ascii="Verdana" w:hAnsi="Verdana" w:eastAsia="Calibri" w:cs="Arial"/>
          <w:b/>
          <w:bCs/>
          <w:sz w:val="20"/>
          <w:szCs w:val="20"/>
        </w:rPr>
        <w:t xml:space="preserve"> </w:t>
      </w:r>
      <w:r w:rsidRPr="009B7698">
        <w:rPr>
          <w:rFonts w:ascii="Verdana" w:hAnsi="Verdana" w:eastAsia="Calibri" w:cs="Arial"/>
          <w:color w:val="000000"/>
          <w:sz w:val="20"/>
          <w:szCs w:val="20"/>
        </w:rPr>
        <w:t>2.2.1.2.4.2.19. </w:t>
      </w:r>
      <w:r w:rsidRPr="009B7698">
        <w:rPr>
          <w:rFonts w:ascii="Verdana" w:hAnsi="Verdana" w:eastAsia="Calibri" w:cs="Arial"/>
          <w:iCs/>
          <w:color w:val="000000"/>
          <w:sz w:val="20"/>
          <w:szCs w:val="20"/>
        </w:rPr>
        <w:t>a la Subsección 2 de la Sección 4 del Capítulo 2 del Título 1 de la Parte 2 del Libro 2 del Decreto número 1082 de 2015</w:t>
      </w:r>
      <w:r w:rsidRPr="00242856">
        <w:rPr>
          <w:rFonts w:ascii="Verdana" w:hAnsi="Verdana" w:eastAsia="Calibri" w:cs="Arial"/>
          <w:b/>
          <w:bCs/>
          <w:i/>
          <w:iCs/>
          <w:color w:val="000000"/>
          <w:sz w:val="20"/>
          <w:szCs w:val="20"/>
        </w:rPr>
        <w:t>.</w:t>
      </w:r>
    </w:p>
    <w:p w:rsidRPr="009B7698" w:rsidR="00A06590" w:rsidP="00A06590" w:rsidRDefault="00A06590" w14:paraId="4DC0B398" w14:textId="77777777">
      <w:pPr>
        <w:spacing w:after="120" w:line="240" w:lineRule="auto"/>
        <w:jc w:val="both"/>
        <w:rPr>
          <w:rFonts w:ascii="Verdana" w:hAnsi="Verdana" w:eastAsia="Calibri" w:cs="Arial"/>
          <w:color w:val="000000"/>
          <w:sz w:val="20"/>
          <w:szCs w:val="20"/>
        </w:rPr>
      </w:pPr>
      <w:r w:rsidRPr="009B7698">
        <w:rPr>
          <w:rFonts w:ascii="Verdana" w:hAnsi="Verdana" w:eastAsia="Calibri" w:cs="Arial"/>
          <w:color w:val="000000"/>
          <w:sz w:val="20"/>
          <w:szCs w:val="20"/>
        </w:rPr>
        <w:t>[…]</w:t>
      </w:r>
    </w:p>
    <w:p w:rsidRPr="009B7698" w:rsidR="00A06590" w:rsidP="00A06590" w:rsidRDefault="00A06590" w14:paraId="74B6B11F" w14:textId="77777777">
      <w:pPr>
        <w:spacing w:after="120" w:line="240" w:lineRule="auto"/>
        <w:jc w:val="both"/>
        <w:rPr>
          <w:rFonts w:ascii="Verdana" w:hAnsi="Verdana" w:eastAsia="Times New Roman" w:cs="Arial"/>
          <w:color w:val="000000"/>
          <w:sz w:val="20"/>
          <w:szCs w:val="20"/>
          <w:lang w:eastAsia="es-CO"/>
        </w:rPr>
      </w:pPr>
      <w:r w:rsidRPr="009B7698">
        <w:rPr>
          <w:rFonts w:ascii="Verdana" w:hAnsi="Verdana" w:eastAsia="Calibri" w:cs="Arial"/>
          <w:sz w:val="20"/>
          <w:szCs w:val="20"/>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Pr="009B7698">
        <w:rPr>
          <w:rFonts w:ascii="Verdana" w:hAnsi="Verdana" w:eastAsia="Calibri" w:cs="Arial"/>
          <w:i/>
          <w:iCs/>
          <w:sz w:val="20"/>
          <w:szCs w:val="20"/>
        </w:rPr>
        <w:t>mecanismos y reglas</w:t>
      </w:r>
      <w:r w:rsidRPr="009B7698">
        <w:rPr>
          <w:rFonts w:ascii="Verdana" w:hAnsi="Verdana" w:eastAsia="Calibri" w:cs="Arial"/>
          <w:sz w:val="20"/>
          <w:szCs w:val="20"/>
        </w:rPr>
        <w:t xml:space="preserve"> que pueden establecer las entidades para limitar el número de lotes a adjudicarse a un mismo oferente, solo proceda respecto de los lotes o segmentos de un mismo proceso de contratación, a juicio de esta Agencia, la </w:t>
      </w:r>
      <w:r w:rsidRPr="009B7698">
        <w:rPr>
          <w:rFonts w:ascii="Verdana" w:hAnsi="Verdana" w:eastAsia="Times New Roman" w:cs="Arial"/>
          <w:color w:val="000000"/>
          <w:sz w:val="20"/>
          <w:szCs w:val="20"/>
          <w:lang w:eastAsia="es-CO"/>
        </w:rPr>
        <w:t xml:space="preserve">restricción puede incluirse en relación con todos los lotes o segmentos de los diferentes procesos de selección que adelante la </w:t>
      </w:r>
      <w:r>
        <w:rPr>
          <w:rFonts w:ascii="Verdana" w:hAnsi="Verdana" w:eastAsia="Times New Roman" w:cs="Arial"/>
          <w:color w:val="000000"/>
          <w:sz w:val="20"/>
          <w:szCs w:val="20"/>
          <w:lang w:eastAsia="es-CO"/>
        </w:rPr>
        <w:t>E</w:t>
      </w:r>
      <w:r w:rsidRPr="009B7698">
        <w:rPr>
          <w:rFonts w:ascii="Verdana" w:hAnsi="Verdana" w:eastAsia="Times New Roman" w:cs="Arial"/>
          <w:color w:val="000000"/>
          <w:sz w:val="20"/>
          <w:szCs w:val="20"/>
          <w:lang w:eastAsia="es-CO"/>
        </w:rPr>
        <w:t xml:space="preserve">ntidad </w:t>
      </w:r>
      <w:r>
        <w:rPr>
          <w:rFonts w:ascii="Verdana" w:hAnsi="Verdana" w:eastAsia="Times New Roman" w:cs="Arial"/>
          <w:color w:val="000000"/>
          <w:sz w:val="20"/>
          <w:szCs w:val="20"/>
          <w:lang w:eastAsia="es-CO"/>
        </w:rPr>
        <w:t>E</w:t>
      </w:r>
      <w:r w:rsidRPr="009B7698">
        <w:rPr>
          <w:rFonts w:ascii="Verdana" w:hAnsi="Verdana" w:eastAsia="Times New Roman" w:cs="Arial"/>
          <w:color w:val="000000"/>
          <w:sz w:val="20"/>
          <w:szCs w:val="20"/>
          <w:lang w:eastAsia="es-CO"/>
        </w:rPr>
        <w:t xml:space="preserve">statal. </w:t>
      </w:r>
    </w:p>
    <w:p w:rsidRPr="009B7698" w:rsidR="00A06590" w:rsidP="00A06590" w:rsidRDefault="00A06590" w14:paraId="1FB5E97A" w14:textId="77777777">
      <w:pPr>
        <w:shd w:val="clear" w:color="auto" w:fill="FFFFFF"/>
        <w:spacing w:after="120" w:line="240" w:lineRule="auto"/>
        <w:jc w:val="both"/>
        <w:rPr>
          <w:rFonts w:ascii="Verdana" w:hAnsi="Verdana" w:eastAsia="Calibri" w:cs="Arial"/>
          <w:sz w:val="20"/>
          <w:szCs w:val="20"/>
        </w:rPr>
      </w:pPr>
      <w:r w:rsidRPr="009B7698">
        <w:rPr>
          <w:rFonts w:ascii="Verdana" w:hAnsi="Verdana" w:eastAsia="Calibri" w:cs="Arial"/>
          <w:sz w:val="20"/>
          <w:szCs w:val="20"/>
        </w:rPr>
        <w:t>[…]</w:t>
      </w:r>
    </w:p>
    <w:p w:rsidRPr="00242856" w:rsidR="00A06590" w:rsidP="00A06590" w:rsidRDefault="00A06590" w14:paraId="20CAA080" w14:textId="77777777">
      <w:pPr>
        <w:shd w:val="clear" w:color="auto" w:fill="FFFFFF"/>
        <w:spacing w:after="120" w:line="240" w:lineRule="auto"/>
        <w:jc w:val="both"/>
        <w:rPr>
          <w:rFonts w:ascii="Verdana" w:hAnsi="Verdana" w:eastAsia="Calibri" w:cs="Arial"/>
          <w:sz w:val="20"/>
          <w:szCs w:val="20"/>
        </w:rPr>
      </w:pPr>
      <w:r>
        <w:rPr>
          <w:rFonts w:ascii="Verdana" w:hAnsi="Verdana" w:eastAsia="Calibri" w:cs="Arial"/>
          <w:sz w:val="20"/>
          <w:szCs w:val="20"/>
        </w:rPr>
        <w:t>De otro lado</w:t>
      </w:r>
      <w:r w:rsidRPr="009B7698">
        <w:rPr>
          <w:rFonts w:ascii="Verdana" w:hAnsi="Verdana" w:eastAsia="Calibri" w:cs="Arial"/>
          <w:sz w:val="20"/>
          <w:szCs w:val="20"/>
        </w:rPr>
        <w:t>, el parágrafo de la norma menciona que, en los procesos de contratación adelantados por lotes o grupos deberá aplicarse lo regulado en el artículo 2.2.1.2.4.2.2 “convocatorias limitadas a Mipymes” del Decreto 1082 de 2015, tomando en consideración el valor del Proceso de Contratación imputable al respectivo lote en el que se solicite su aplicación.</w:t>
      </w:r>
    </w:p>
    <w:p w:rsidRPr="00242856" w:rsidR="00A06590" w:rsidP="00A06590" w:rsidRDefault="00A06590" w14:paraId="68BDC17B" w14:textId="77777777">
      <w:pPr>
        <w:spacing w:after="0" w:line="240" w:lineRule="auto"/>
        <w:rPr>
          <w:rFonts w:ascii="Verdana" w:hAnsi="Verdana" w:cs="Arial"/>
        </w:rPr>
      </w:pPr>
    </w:p>
    <w:p w:rsidRPr="00242856" w:rsidR="00A06590" w:rsidP="00A06590" w:rsidRDefault="00A06590" w14:paraId="52B47EC6" w14:textId="77777777">
      <w:pPr>
        <w:spacing w:after="0"/>
        <w:rPr>
          <w:rFonts w:ascii="Verdana" w:hAnsi="Verdana" w:cs="Arial"/>
        </w:rPr>
      </w:pPr>
    </w:p>
    <w:p w:rsidRPr="00242856" w:rsidR="00A06590" w:rsidP="00A06590" w:rsidRDefault="00A06590" w14:paraId="71704BC4" w14:textId="77777777">
      <w:pPr>
        <w:spacing w:after="0"/>
        <w:rPr>
          <w:rFonts w:ascii="Verdana" w:hAnsi="Verdana" w:cs="Arial"/>
        </w:rPr>
      </w:pPr>
    </w:p>
    <w:p w:rsidRPr="00242856" w:rsidR="00A06590" w:rsidP="00A06590" w:rsidRDefault="00A06590" w14:paraId="7C17963C" w14:textId="77777777">
      <w:pPr>
        <w:spacing w:after="0"/>
        <w:rPr>
          <w:rFonts w:ascii="Verdana" w:hAnsi="Verdana" w:cs="Arial"/>
        </w:rPr>
      </w:pPr>
    </w:p>
    <w:p w:rsidRPr="00242856" w:rsidR="00A06590" w:rsidP="00A06590" w:rsidRDefault="00A06590" w14:paraId="2FEB7BB3" w14:textId="77777777">
      <w:pPr>
        <w:spacing w:after="0"/>
        <w:rPr>
          <w:rFonts w:ascii="Verdana" w:hAnsi="Verdana" w:cs="Arial"/>
        </w:rPr>
      </w:pPr>
    </w:p>
    <w:p w:rsidRPr="00242856" w:rsidR="00A06590" w:rsidP="00A06590" w:rsidRDefault="00A06590" w14:paraId="77F55E43" w14:textId="77777777">
      <w:pPr>
        <w:spacing w:after="0"/>
        <w:rPr>
          <w:rFonts w:ascii="Verdana" w:hAnsi="Verdana" w:cs="Arial"/>
        </w:rPr>
      </w:pPr>
    </w:p>
    <w:p w:rsidRPr="00242856" w:rsidR="00A06590" w:rsidP="00A06590" w:rsidRDefault="00A06590" w14:paraId="1B2E212F" w14:textId="77777777">
      <w:pPr>
        <w:spacing w:after="0"/>
        <w:rPr>
          <w:rFonts w:ascii="Verdana" w:hAnsi="Verdana" w:cs="Arial"/>
        </w:rPr>
      </w:pPr>
    </w:p>
    <w:p w:rsidRPr="00242856" w:rsidR="00A06590" w:rsidP="00A06590" w:rsidRDefault="00A06590" w14:paraId="53BBD0D4" w14:textId="77777777">
      <w:pPr>
        <w:spacing w:after="0"/>
        <w:rPr>
          <w:rFonts w:ascii="Verdana" w:hAnsi="Verdana" w:cs="Arial"/>
        </w:rPr>
      </w:pPr>
    </w:p>
    <w:p w:rsidRPr="00242856" w:rsidR="00A06590" w:rsidP="00A06590" w:rsidRDefault="00A06590" w14:paraId="67473D2A" w14:textId="77777777">
      <w:pPr>
        <w:spacing w:after="0"/>
        <w:rPr>
          <w:rFonts w:ascii="Verdana" w:hAnsi="Verdana" w:cs="Arial"/>
        </w:rPr>
      </w:pPr>
    </w:p>
    <w:p w:rsidRPr="00242856" w:rsidR="00A06590" w:rsidP="00A06590" w:rsidRDefault="00A06590" w14:paraId="33026088" w14:textId="77777777">
      <w:pPr>
        <w:spacing w:after="0"/>
        <w:rPr>
          <w:rFonts w:ascii="Verdana" w:hAnsi="Verdana" w:cs="Arial"/>
        </w:rPr>
      </w:pPr>
    </w:p>
    <w:p w:rsidRPr="00242856" w:rsidR="00A06590" w:rsidP="00A06590" w:rsidRDefault="00A06590" w14:paraId="7D3E06F0" w14:textId="77777777">
      <w:pPr>
        <w:spacing w:after="0"/>
        <w:rPr>
          <w:rFonts w:ascii="Verdana" w:hAnsi="Verdana" w:cs="Arial"/>
        </w:rPr>
      </w:pPr>
    </w:p>
    <w:p w:rsidRPr="00242856" w:rsidR="00A06590" w:rsidP="00A06590" w:rsidRDefault="00A06590" w14:paraId="4F9D149B" w14:textId="77777777">
      <w:pPr>
        <w:spacing w:after="0"/>
        <w:rPr>
          <w:rFonts w:ascii="Verdana" w:hAnsi="Verdana" w:cs="Arial"/>
        </w:rPr>
      </w:pPr>
    </w:p>
    <w:p w:rsidRPr="00242856" w:rsidR="00A06590" w:rsidP="00A06590" w:rsidRDefault="00A06590" w14:paraId="582C5C0B" w14:textId="77777777">
      <w:pPr>
        <w:spacing w:after="0"/>
        <w:rPr>
          <w:rFonts w:ascii="Verdana" w:hAnsi="Verdana" w:cs="Arial"/>
        </w:rPr>
      </w:pPr>
    </w:p>
    <w:p w:rsidRPr="00242856" w:rsidR="00A06590" w:rsidP="00A06590" w:rsidRDefault="00A06590" w14:paraId="38D3F4C1" w14:textId="77777777">
      <w:pPr>
        <w:spacing w:after="0"/>
        <w:rPr>
          <w:rFonts w:ascii="Verdana" w:hAnsi="Verdana" w:cs="Arial"/>
        </w:rPr>
      </w:pPr>
    </w:p>
    <w:p w:rsidRPr="00242856" w:rsidR="00A06590" w:rsidP="00A06590" w:rsidRDefault="00A06590" w14:paraId="36615306" w14:textId="77777777">
      <w:pPr>
        <w:spacing w:after="0"/>
        <w:rPr>
          <w:rFonts w:ascii="Verdana" w:hAnsi="Verdana" w:cs="Arial"/>
        </w:rPr>
      </w:pPr>
    </w:p>
    <w:p w:rsidRPr="00242856" w:rsidR="00A06590" w:rsidP="00A06590" w:rsidRDefault="00A06590" w14:paraId="4EBAEEE3" w14:textId="77777777">
      <w:pPr>
        <w:spacing w:after="0"/>
        <w:rPr>
          <w:rFonts w:ascii="Verdana" w:hAnsi="Verdana" w:cs="Arial"/>
        </w:rPr>
      </w:pPr>
    </w:p>
    <w:p w:rsidRPr="00242856" w:rsidR="00A06590" w:rsidP="00A06590" w:rsidRDefault="00A06590" w14:paraId="746B4EE8" w14:textId="77777777">
      <w:pPr>
        <w:spacing w:after="0"/>
        <w:rPr>
          <w:rFonts w:ascii="Verdana" w:hAnsi="Verdana" w:cs="Arial"/>
        </w:rPr>
      </w:pPr>
    </w:p>
    <w:p w:rsidRPr="00242856" w:rsidR="00A06590" w:rsidP="00A06590" w:rsidRDefault="00A06590" w14:paraId="53BF0F52" w14:textId="77777777">
      <w:pPr>
        <w:spacing w:after="0"/>
        <w:rPr>
          <w:rFonts w:ascii="Verdana" w:hAnsi="Verdana" w:cs="Arial"/>
        </w:rPr>
      </w:pPr>
    </w:p>
    <w:p w:rsidRPr="00242856" w:rsidR="00A06590" w:rsidP="00A06590" w:rsidRDefault="00A06590" w14:paraId="63BB8C23" w14:textId="77777777">
      <w:pPr>
        <w:spacing w:after="0"/>
        <w:rPr>
          <w:rFonts w:ascii="Verdana" w:hAnsi="Verdana" w:cs="Arial"/>
        </w:rPr>
      </w:pPr>
    </w:p>
    <w:p w:rsidRPr="00242856" w:rsidR="00A06590" w:rsidP="00A06590" w:rsidRDefault="00A06590" w14:paraId="2CFC0244" w14:textId="77777777">
      <w:pPr>
        <w:spacing w:after="0"/>
        <w:rPr>
          <w:rFonts w:ascii="Verdana" w:hAnsi="Verdana" w:cs="Arial"/>
        </w:rPr>
      </w:pPr>
    </w:p>
    <w:p w:rsidRPr="00242856" w:rsidR="00A06590" w:rsidP="00A06590" w:rsidRDefault="00A06590" w14:paraId="5AEFC597" w14:textId="77777777">
      <w:pPr>
        <w:spacing w:after="0"/>
        <w:rPr>
          <w:rFonts w:ascii="Verdana" w:hAnsi="Verdana" w:cs="Arial"/>
        </w:rPr>
      </w:pPr>
    </w:p>
    <w:p w:rsidRPr="00242856" w:rsidR="00A06590" w:rsidP="00A06590" w:rsidRDefault="00A06590" w14:paraId="3B7C185C" w14:textId="77777777">
      <w:pPr>
        <w:spacing w:after="0"/>
        <w:rPr>
          <w:rFonts w:ascii="Verdana" w:hAnsi="Verdana" w:cs="Arial"/>
        </w:rPr>
      </w:pPr>
    </w:p>
    <w:p w:rsidRPr="00242856" w:rsidR="00A06590" w:rsidP="00A06590" w:rsidRDefault="00A06590" w14:paraId="22BF477B" w14:textId="77777777">
      <w:pPr>
        <w:spacing w:after="0"/>
        <w:rPr>
          <w:rFonts w:ascii="Verdana" w:hAnsi="Verdana" w:cs="Arial"/>
        </w:rPr>
      </w:pPr>
    </w:p>
    <w:p w:rsidRPr="00242856" w:rsidR="00A06590" w:rsidP="00A06590" w:rsidRDefault="00A06590" w14:paraId="1F260D28" w14:textId="77777777">
      <w:pPr>
        <w:spacing w:after="0"/>
        <w:rPr>
          <w:rFonts w:ascii="Verdana" w:hAnsi="Verdana" w:cs="Arial"/>
        </w:rPr>
      </w:pPr>
    </w:p>
    <w:p w:rsidRPr="00242856" w:rsidR="00A06590" w:rsidP="00A06590" w:rsidRDefault="00A06590" w14:paraId="11D37859" w14:textId="77777777">
      <w:pPr>
        <w:spacing w:after="0"/>
        <w:rPr>
          <w:rFonts w:ascii="Verdana" w:hAnsi="Verdana" w:cs="Arial"/>
        </w:rPr>
      </w:pPr>
    </w:p>
    <w:p w:rsidRPr="00242856" w:rsidR="00A06590" w:rsidP="00A06590" w:rsidRDefault="00A06590" w14:paraId="78BCA660" w14:textId="77777777">
      <w:pPr>
        <w:spacing w:after="0"/>
        <w:rPr>
          <w:rFonts w:ascii="Verdana" w:hAnsi="Verdana" w:cs="Arial"/>
        </w:rPr>
      </w:pPr>
    </w:p>
    <w:p w:rsidRPr="00242856" w:rsidR="00A06590" w:rsidP="00A06590" w:rsidRDefault="00A06590" w14:paraId="7847ABFB" w14:textId="77777777">
      <w:pPr>
        <w:spacing w:after="0"/>
        <w:rPr>
          <w:rFonts w:ascii="Verdana" w:hAnsi="Verdana" w:cs="Arial"/>
        </w:rPr>
      </w:pPr>
    </w:p>
    <w:p w:rsidRPr="00242856" w:rsidR="00A06590" w:rsidP="00A06590" w:rsidRDefault="00A06590" w14:paraId="709DA6CE" w14:textId="77777777">
      <w:pPr>
        <w:spacing w:after="0"/>
        <w:rPr>
          <w:rFonts w:ascii="Verdana" w:hAnsi="Verdana" w:cs="Arial"/>
        </w:rPr>
      </w:pPr>
    </w:p>
    <w:p w:rsidRPr="00242856" w:rsidR="00A06590" w:rsidP="00A06590" w:rsidRDefault="00A06590" w14:paraId="6B1518F5" w14:textId="77777777">
      <w:pPr>
        <w:spacing w:after="0"/>
        <w:rPr>
          <w:rFonts w:ascii="Verdana" w:hAnsi="Verdana" w:cs="Arial"/>
        </w:rPr>
      </w:pPr>
    </w:p>
    <w:p w:rsidR="00887EC2" w:rsidP="00887EC2" w:rsidRDefault="00887EC2" w14:paraId="4E10B3CD" w14:textId="77777777">
      <w:pPr>
        <w:spacing w:after="0" w:line="240" w:lineRule="auto"/>
        <w:rPr>
          <w:rFonts w:ascii="Verdana" w:hAnsi="Verdana" w:eastAsia="Geomanist Light" w:cs="Arial"/>
          <w:color w:val="000000" w:themeColor="text1"/>
          <w:lang w:val="es-MX"/>
        </w:rPr>
      </w:pPr>
    </w:p>
    <w:p w:rsidR="00887EC2" w:rsidP="00887EC2" w:rsidRDefault="00887EC2" w14:paraId="71CE9A0F" w14:textId="77777777">
      <w:pPr>
        <w:spacing w:after="0" w:line="240" w:lineRule="auto"/>
        <w:rPr>
          <w:rFonts w:ascii="Verdana" w:hAnsi="Verdana" w:eastAsia="Geomanist Light" w:cs="Arial"/>
          <w:color w:val="000000" w:themeColor="text1"/>
          <w:lang w:val="es-MX"/>
        </w:rPr>
      </w:pPr>
    </w:p>
    <w:p w:rsidR="00887EC2" w:rsidP="00887EC2" w:rsidRDefault="00887EC2" w14:paraId="1DF92272" w14:textId="77777777">
      <w:pPr>
        <w:spacing w:after="0" w:line="240" w:lineRule="auto"/>
        <w:rPr>
          <w:rFonts w:ascii="Verdana" w:hAnsi="Verdana" w:eastAsia="Geomanist Light" w:cs="Arial"/>
          <w:color w:val="000000" w:themeColor="text1"/>
          <w:lang w:val="es-MX"/>
        </w:rPr>
      </w:pPr>
    </w:p>
    <w:p w:rsidR="00887EC2" w:rsidP="00887EC2" w:rsidRDefault="00887EC2" w14:paraId="79AB1F97" w14:textId="77777777">
      <w:pPr>
        <w:spacing w:after="0" w:line="240" w:lineRule="auto"/>
        <w:rPr>
          <w:rFonts w:ascii="Verdana" w:hAnsi="Verdana" w:eastAsia="Geomanist Light" w:cs="Arial"/>
          <w:color w:val="000000" w:themeColor="text1"/>
          <w:lang w:val="es-MX"/>
        </w:rPr>
      </w:pPr>
    </w:p>
    <w:p w:rsidR="009A06AE" w:rsidP="00887EC2" w:rsidRDefault="009A06AE" w14:paraId="602726CC" w14:textId="77777777">
      <w:pPr>
        <w:spacing w:after="0" w:line="240" w:lineRule="auto"/>
        <w:rPr>
          <w:rFonts w:ascii="Verdana" w:hAnsi="Verdana" w:eastAsia="Geomanist Light" w:cs="Arial"/>
          <w:color w:val="000000" w:themeColor="text1"/>
          <w:lang w:val="es-MX"/>
        </w:rPr>
      </w:pPr>
    </w:p>
    <w:p w:rsidR="009A06AE" w:rsidP="00887EC2" w:rsidRDefault="009A06AE" w14:paraId="2CF721B1" w14:textId="77777777">
      <w:pPr>
        <w:spacing w:after="0" w:line="240" w:lineRule="auto"/>
        <w:rPr>
          <w:rFonts w:ascii="Verdana" w:hAnsi="Verdana" w:eastAsia="Geomanist Light" w:cs="Arial"/>
          <w:color w:val="000000" w:themeColor="text1"/>
          <w:lang w:val="es-MX"/>
        </w:rPr>
      </w:pPr>
    </w:p>
    <w:p w:rsidR="00887EC2" w:rsidP="00887EC2" w:rsidRDefault="00887EC2" w14:paraId="34E7DC31" w14:textId="77777777">
      <w:pPr>
        <w:spacing w:after="0" w:line="240" w:lineRule="auto"/>
        <w:rPr>
          <w:rFonts w:ascii="Verdana" w:hAnsi="Verdana" w:eastAsia="Geomanist Light" w:cs="Arial"/>
          <w:color w:val="000000" w:themeColor="text1"/>
          <w:lang w:val="es-MX"/>
        </w:rPr>
      </w:pPr>
    </w:p>
    <w:p w:rsidR="00887EC2" w:rsidP="00887EC2" w:rsidRDefault="00887EC2" w14:paraId="3DF712DA" w14:textId="77777777">
      <w:pPr>
        <w:spacing w:after="0" w:line="240" w:lineRule="auto"/>
        <w:rPr>
          <w:rFonts w:ascii="Verdana" w:hAnsi="Verdana" w:eastAsia="Geomanist Light" w:cs="Arial"/>
          <w:color w:val="000000" w:themeColor="text1"/>
          <w:lang w:val="es-MX"/>
        </w:rPr>
      </w:pPr>
    </w:p>
    <w:p w:rsidR="00831F6E" w:rsidP="00831F6E" w:rsidRDefault="00831F6E" w14:paraId="5B6FAEB2" w14:textId="44216B17">
      <w:pPr>
        <w:spacing w:after="0"/>
        <w:rPr>
          <w:rFonts w:ascii="Verdana" w:hAnsi="Verdana"/>
        </w:rPr>
      </w:pPr>
      <w:r w:rsidRPr="0044528D">
        <w:rPr>
          <w:rFonts w:ascii="Verdana" w:hAnsi="Verdana"/>
        </w:rPr>
        <w:t xml:space="preserve">Bogotá D.C., </w:t>
      </w:r>
      <w:r w:rsidR="00FE75A3">
        <w:rPr>
          <w:rFonts w:ascii="Verdana" w:hAnsi="Verdana"/>
        </w:rPr>
        <w:t>15 de abril de 2025.</w:t>
      </w:r>
    </w:p>
    <w:p w:rsidRPr="00505CD6" w:rsidR="00505CD6" w:rsidP="00505CD6" w:rsidRDefault="00505CD6" w14:paraId="50BD71AC" w14:textId="77777777">
      <w:pPr>
        <w:spacing w:after="0" w:line="240" w:lineRule="auto"/>
        <w:jc w:val="both"/>
        <w:rPr>
          <w:rFonts w:ascii="Verdana" w:hAnsi="Verdana" w:eastAsia="Calibri" w:cs="Arial"/>
          <w:color w:val="000000"/>
          <w:lang w:val="es-ES"/>
        </w:rPr>
      </w:pPr>
    </w:p>
    <w:p w:rsidR="00505CD6" w:rsidP="00370110" w:rsidRDefault="00505CD6" w14:paraId="0EBEAE13" w14:textId="39B3FEF7">
      <w:pPr>
        <w:spacing w:after="0" w:line="240" w:lineRule="auto"/>
        <w:jc w:val="right"/>
        <w:rPr>
          <w:rFonts w:ascii="Verdana" w:hAnsi="Verdana" w:eastAsia="Calibri" w:cs="Arial"/>
          <w:color w:val="000000"/>
          <w:lang w:val="es-ES"/>
        </w:rPr>
      </w:pPr>
    </w:p>
    <w:p w:rsidR="00FE75A3" w:rsidP="00370110" w:rsidRDefault="00FE75A3" w14:paraId="28BFDA15" w14:textId="3CB5EDC8">
      <w:pPr>
        <w:spacing w:after="0" w:line="240" w:lineRule="auto"/>
        <w:jc w:val="right"/>
        <w:rPr>
          <w:rFonts w:ascii="Verdana" w:hAnsi="Verdana" w:eastAsia="Calibri" w:cs="Arial"/>
          <w:color w:val="000000"/>
          <w:lang w:val="es-ES"/>
        </w:rPr>
      </w:pPr>
      <w:r>
        <w:rPr>
          <w:rFonts w:ascii="Verdana" w:hAnsi="Verdana" w:eastAsia="Calibri" w:cs="Arial"/>
          <w:noProof/>
          <w:color w:val="000000"/>
          <w:lang w:val="es-ES"/>
        </w:rPr>
        <w:drawing>
          <wp:inline distT="0" distB="0" distL="0" distR="0" wp14:anchorId="6FFBD2B1" wp14:editId="48D55F4D">
            <wp:extent cx="3248025" cy="819150"/>
            <wp:effectExtent l="0" t="0" r="9525" b="0"/>
            <wp:docPr id="788311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8025" cy="819150"/>
                    </a:xfrm>
                    <a:prstGeom prst="rect">
                      <a:avLst/>
                    </a:prstGeom>
                    <a:noFill/>
                    <a:ln>
                      <a:noFill/>
                    </a:ln>
                  </pic:spPr>
                </pic:pic>
              </a:graphicData>
            </a:graphic>
          </wp:inline>
        </w:drawing>
      </w:r>
    </w:p>
    <w:p w:rsidRPr="00505CD6" w:rsidR="00FE75A3" w:rsidP="00370110" w:rsidRDefault="00FE75A3" w14:paraId="13D90E42" w14:textId="77777777">
      <w:pPr>
        <w:spacing w:after="0" w:line="240" w:lineRule="auto"/>
        <w:jc w:val="right"/>
        <w:rPr>
          <w:rFonts w:ascii="Verdana" w:hAnsi="Verdana" w:eastAsia="Calibri" w:cs="Arial"/>
          <w:color w:val="000000"/>
          <w:lang w:val="es-ES"/>
        </w:rPr>
      </w:pPr>
    </w:p>
    <w:p w:rsidRPr="00505CD6" w:rsidR="00505CD6" w:rsidP="00505CD6" w:rsidRDefault="00505CD6" w14:paraId="4428D988" w14:textId="4727B3D1">
      <w:pPr>
        <w:spacing w:after="0" w:line="240" w:lineRule="auto"/>
        <w:jc w:val="both"/>
        <w:rPr>
          <w:rFonts w:ascii="Verdana" w:hAnsi="Verdana" w:eastAsia="Calibri" w:cs="Arial"/>
          <w:lang w:val="es-ES" w:eastAsia="es-ES"/>
        </w:rPr>
      </w:pPr>
      <w:r w:rsidRPr="00505CD6">
        <w:rPr>
          <w:rFonts w:ascii="Verdana" w:hAnsi="Verdana" w:eastAsia="Calibri" w:cs="Arial"/>
          <w:lang w:val="es-ES" w:eastAsia="es-ES"/>
        </w:rPr>
        <w:t>Señor</w:t>
      </w:r>
      <w:r w:rsidR="00353ECE">
        <w:rPr>
          <w:rFonts w:ascii="Verdana" w:hAnsi="Verdana" w:eastAsia="Calibri" w:cs="Arial"/>
          <w:lang w:val="es-ES" w:eastAsia="es-ES"/>
        </w:rPr>
        <w:t>a</w:t>
      </w:r>
    </w:p>
    <w:p w:rsidR="00353ECE" w:rsidP="00505CD6" w:rsidRDefault="00353ECE" w14:paraId="094F6D7B" w14:textId="77777777">
      <w:pPr>
        <w:spacing w:after="0" w:line="240" w:lineRule="auto"/>
        <w:rPr>
          <w:rFonts w:ascii="Verdana" w:hAnsi="Verdana" w:eastAsia="Calibri" w:cs="Arial"/>
          <w:b/>
          <w:bCs/>
          <w:lang w:eastAsia="es-ES"/>
        </w:rPr>
      </w:pPr>
      <w:r w:rsidRPr="00353ECE">
        <w:rPr>
          <w:rFonts w:ascii="Verdana" w:hAnsi="Verdana" w:eastAsia="Calibri" w:cs="Arial"/>
          <w:b/>
          <w:bCs/>
          <w:lang w:eastAsia="es-ES"/>
        </w:rPr>
        <w:t>AURA KARINA MEJIA MORENO</w:t>
      </w:r>
    </w:p>
    <w:p w:rsidRPr="00353ECE" w:rsidR="00353ECE" w:rsidP="00505CD6" w:rsidRDefault="00353ECE" w14:paraId="7DC2717F" w14:textId="41FD4E84">
      <w:pPr>
        <w:spacing w:after="0" w:line="240" w:lineRule="auto"/>
        <w:rPr>
          <w:rFonts w:ascii="Verdana" w:hAnsi="Verdana"/>
        </w:rPr>
      </w:pPr>
      <w:hyperlink w:history="1" r:id="rId12">
        <w:r w:rsidRPr="00353ECE">
          <w:rPr>
            <w:rStyle w:val="Hipervnculo"/>
            <w:rFonts w:ascii="Verdana" w:hAnsi="Verdana"/>
          </w:rPr>
          <w:t>abg.mejia1115@gmail.com</w:t>
        </w:r>
      </w:hyperlink>
    </w:p>
    <w:p w:rsidRPr="00505CD6" w:rsidR="00505CD6" w:rsidP="00505CD6" w:rsidRDefault="00353ECE" w14:paraId="3FE49E4D" w14:textId="2D790169">
      <w:pPr>
        <w:spacing w:after="0" w:line="240" w:lineRule="auto"/>
        <w:rPr>
          <w:rFonts w:ascii="Verdana" w:hAnsi="Verdana" w:eastAsia="Calibri" w:cs="Arial"/>
          <w:lang w:val="es-ES" w:eastAsia="es-ES"/>
        </w:rPr>
      </w:pPr>
      <w:r>
        <w:rPr>
          <w:rFonts w:ascii="Verdana" w:hAnsi="Verdana" w:eastAsia="Calibri" w:cs="Arial"/>
          <w:lang w:val="es-ES" w:eastAsia="es-ES"/>
        </w:rPr>
        <w:t>Yopa</w:t>
      </w:r>
      <w:r w:rsidR="00FA5D92">
        <w:rPr>
          <w:rFonts w:ascii="Verdana" w:hAnsi="Verdana" w:eastAsia="Calibri" w:cs="Arial"/>
          <w:lang w:val="es-ES" w:eastAsia="es-ES"/>
        </w:rPr>
        <w:t>l</w:t>
      </w:r>
      <w:r w:rsidR="008D75CE">
        <w:rPr>
          <w:rFonts w:ascii="Verdana" w:hAnsi="Verdana" w:eastAsia="Calibri" w:cs="Arial"/>
          <w:lang w:val="es-ES" w:eastAsia="es-ES"/>
        </w:rPr>
        <w:t xml:space="preserve"> (C</w:t>
      </w:r>
      <w:r>
        <w:rPr>
          <w:rFonts w:ascii="Verdana" w:hAnsi="Verdana" w:eastAsia="Calibri" w:cs="Arial"/>
          <w:lang w:val="es-ES" w:eastAsia="es-ES"/>
        </w:rPr>
        <w:t>asanare</w:t>
      </w:r>
      <w:r w:rsidR="008D75CE">
        <w:rPr>
          <w:rFonts w:ascii="Verdana" w:hAnsi="Verdana" w:eastAsia="Calibri" w:cs="Arial"/>
          <w:lang w:val="es-ES" w:eastAsia="es-ES"/>
        </w:rPr>
        <w:t>)</w:t>
      </w:r>
    </w:p>
    <w:p w:rsidRPr="00505CD6" w:rsidR="00505CD6" w:rsidP="00505CD6" w:rsidRDefault="00505CD6" w14:paraId="4099BBBA"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52"/>
        <w:gridCol w:w="6237"/>
      </w:tblGrid>
      <w:tr w:rsidRPr="00505CD6" w:rsidR="00505CD6" w:rsidTr="00CA638D" w14:paraId="693DC68A" w14:textId="77777777">
        <w:trPr>
          <w:trHeight w:val="630"/>
        </w:trPr>
        <w:tc>
          <w:tcPr>
            <w:tcW w:w="2552" w:type="dxa"/>
          </w:tcPr>
          <w:p w:rsidRPr="00505CD6" w:rsidR="00505CD6" w:rsidP="00505CD6" w:rsidRDefault="00505CD6" w14:paraId="64C39A8C" w14:textId="77777777">
            <w:pPr>
              <w:jc w:val="both"/>
              <w:rPr>
                <w:rFonts w:ascii="Verdana" w:hAnsi="Verdana" w:eastAsia="Calibri" w:cs="Arial"/>
                <w:b/>
                <w:bCs/>
                <w:color w:val="7030A0"/>
                <w:lang w:val="es-ES_tradnl" w:eastAsia="es-ES_tradnl"/>
              </w:rPr>
            </w:pPr>
          </w:p>
        </w:tc>
        <w:tc>
          <w:tcPr>
            <w:tcW w:w="6237" w:type="dxa"/>
          </w:tcPr>
          <w:p w:rsidRPr="00505CD6" w:rsidR="00505CD6" w:rsidP="00505CD6" w:rsidRDefault="00505CD6" w14:paraId="3F0CCDBE" w14:textId="5A94824A">
            <w:pPr>
              <w:jc w:val="both"/>
              <w:rPr>
                <w:rFonts w:ascii="Verdana" w:hAnsi="Verdana" w:eastAsia="Calibri" w:cs="Arial"/>
                <w:b/>
                <w:bCs/>
                <w:lang w:val="es-ES" w:eastAsia="es-ES"/>
              </w:rPr>
            </w:pPr>
            <w:r w:rsidRPr="00505CD6">
              <w:rPr>
                <w:rFonts w:ascii="Verdana" w:hAnsi="Verdana" w:eastAsia="Calibri" w:cs="Arial"/>
                <w:b/>
                <w:bCs/>
                <w:lang w:val="es-ES" w:eastAsia="es-ES"/>
              </w:rPr>
              <w:t xml:space="preserve">Concepto C – </w:t>
            </w:r>
            <w:r w:rsidR="001940E4">
              <w:rPr>
                <w:rFonts w:ascii="Verdana" w:hAnsi="Verdana" w:eastAsia="Calibri" w:cs="Arial"/>
                <w:b/>
                <w:bCs/>
                <w:lang w:val="es-ES" w:eastAsia="es-ES"/>
              </w:rPr>
              <w:t>2</w:t>
            </w:r>
            <w:r w:rsidR="00353ECE">
              <w:rPr>
                <w:rFonts w:ascii="Verdana" w:hAnsi="Verdana" w:eastAsia="Calibri" w:cs="Arial"/>
                <w:b/>
                <w:bCs/>
                <w:lang w:val="es-ES" w:eastAsia="es-ES"/>
              </w:rPr>
              <w:t xml:space="preserve">99 </w:t>
            </w:r>
            <w:r w:rsidRPr="00505CD6">
              <w:rPr>
                <w:rFonts w:ascii="Verdana" w:hAnsi="Verdana" w:eastAsia="Calibri" w:cs="Arial"/>
                <w:b/>
                <w:bCs/>
                <w:lang w:val="es-ES" w:eastAsia="es-ES"/>
              </w:rPr>
              <w:t>de 2025</w:t>
            </w:r>
          </w:p>
        </w:tc>
      </w:tr>
      <w:tr w:rsidRPr="005525D6" w:rsidR="00505CD6" w:rsidTr="00CA638D" w14:paraId="345204EE" w14:textId="77777777">
        <w:trPr>
          <w:trHeight w:val="884"/>
        </w:trPr>
        <w:tc>
          <w:tcPr>
            <w:tcW w:w="2552" w:type="dxa"/>
          </w:tcPr>
          <w:p w:rsidRPr="00505CD6" w:rsidR="00505CD6" w:rsidP="00505CD6" w:rsidRDefault="00505CD6" w14:paraId="01F69825" w14:textId="77777777">
            <w:pPr>
              <w:jc w:val="both"/>
              <w:rPr>
                <w:rFonts w:ascii="Verdana" w:hAnsi="Verdana" w:eastAsia="Calibri" w:cs="Arial"/>
                <w:color w:val="000000"/>
                <w:lang w:val="es-ES_tradnl" w:eastAsia="es-ES_tradnl"/>
              </w:rPr>
            </w:pPr>
            <w:r w:rsidRPr="00505CD6">
              <w:rPr>
                <w:rFonts w:ascii="Verdana" w:hAnsi="Verdana" w:eastAsia="Calibri" w:cs="Arial"/>
                <w:b/>
                <w:color w:val="000000"/>
                <w:lang w:val="es-ES_tradnl" w:eastAsia="es-ES_tradnl"/>
              </w:rPr>
              <w:t>Temas:</w:t>
            </w:r>
            <w:r w:rsidRPr="00505CD6">
              <w:rPr>
                <w:rFonts w:ascii="Verdana" w:hAnsi="Verdana" w:eastAsia="Calibri" w:cs="Arial"/>
                <w:color w:val="000000"/>
                <w:lang w:val="es-ES_tradnl" w:eastAsia="es-ES_tradnl"/>
              </w:rPr>
              <w:t xml:space="preserve">                   </w:t>
            </w:r>
          </w:p>
        </w:tc>
        <w:tc>
          <w:tcPr>
            <w:tcW w:w="6237" w:type="dxa"/>
          </w:tcPr>
          <w:p w:rsidRPr="00242856" w:rsidR="00A06590" w:rsidP="00A06590" w:rsidRDefault="00A06590" w14:paraId="26A05512" w14:textId="77777777">
            <w:pPr>
              <w:tabs>
                <w:tab w:val="left" w:pos="709"/>
              </w:tabs>
              <w:spacing w:line="276" w:lineRule="auto"/>
              <w:jc w:val="both"/>
              <w:rPr>
                <w:rFonts w:ascii="Verdana" w:hAnsi="Verdana" w:cs="Arial"/>
                <w:color w:val="000000" w:themeColor="text1"/>
                <w:lang w:val="es-MX" w:eastAsia="es-MX"/>
              </w:rPr>
            </w:pPr>
            <w:r w:rsidRPr="00242856">
              <w:rPr>
                <w:rFonts w:ascii="Verdana" w:hAnsi="Verdana" w:eastAsia="Calibri" w:cs="Arial"/>
                <w:color w:val="000000"/>
                <w:lang w:val="es-ES_tradnl" w:eastAsia="es-MX"/>
              </w:rPr>
              <w:t xml:space="preserve">LEY 2069 DE 2020 − Impacto − Contratación estatal − Promoción − Acceso de las Mipymes – Compras públicas / ACCESO DE LAS MIPYMES – Compras públicas − Artículo 33 − Ley 2069 de 2020 / ACCESO DE LAS MIPYMES – Compras públicas − </w:t>
            </w:r>
            <w:r w:rsidRPr="00242856">
              <w:rPr>
                <w:rFonts w:ascii="Verdana" w:hAnsi="Verdana" w:cs="Arial"/>
                <w:color w:val="000000" w:themeColor="text1"/>
                <w:lang w:val="es-MX" w:eastAsia="es-MX"/>
              </w:rPr>
              <w:t xml:space="preserve">Decreto 0142 de 2023 − </w:t>
            </w:r>
            <w:r w:rsidRPr="00242856">
              <w:rPr>
                <w:rFonts w:ascii="Verdana" w:hAnsi="Verdana" w:cs="Arial"/>
              </w:rPr>
              <w:t xml:space="preserve">División del Proceso − Lotes o segmentos </w:t>
            </w:r>
          </w:p>
          <w:p w:rsidRPr="00353ECE" w:rsidR="009525E5" w:rsidP="00F75206" w:rsidRDefault="009525E5" w14:paraId="24A3A086" w14:textId="23CFB08D">
            <w:pPr>
              <w:jc w:val="both"/>
              <w:rPr>
                <w:rFonts w:ascii="Verdana" w:hAnsi="Verdana" w:eastAsia="Calibri" w:cs="Arial"/>
                <w:highlight w:val="yellow"/>
                <w:lang w:val="es-ES" w:eastAsia="es-ES"/>
              </w:rPr>
            </w:pPr>
          </w:p>
        </w:tc>
      </w:tr>
      <w:tr w:rsidRPr="00505CD6" w:rsidR="00505CD6" w:rsidTr="00CA638D" w14:paraId="0496523F" w14:textId="77777777">
        <w:tc>
          <w:tcPr>
            <w:tcW w:w="2552" w:type="dxa"/>
          </w:tcPr>
          <w:p w:rsidRPr="00505CD6" w:rsidR="00505CD6" w:rsidP="00505CD6" w:rsidRDefault="00505CD6" w14:paraId="4993E68B" w14:textId="77777777">
            <w:pPr>
              <w:jc w:val="both"/>
              <w:rPr>
                <w:rFonts w:ascii="Verdana" w:hAnsi="Verdana" w:eastAsia="Calibri" w:cs="Arial"/>
                <w:b/>
                <w:lang w:val="es-ES_tradnl" w:eastAsia="es-ES_tradnl"/>
              </w:rPr>
            </w:pPr>
            <w:r w:rsidRPr="00505CD6">
              <w:rPr>
                <w:rFonts w:ascii="Verdana" w:hAnsi="Verdana" w:eastAsia="Calibri" w:cs="Arial"/>
                <w:b/>
                <w:lang w:val="es-ES_tradnl" w:eastAsia="es-ES_tradnl"/>
              </w:rPr>
              <w:t>Radicación:</w:t>
            </w:r>
            <w:r w:rsidRPr="00505CD6">
              <w:rPr>
                <w:rFonts w:ascii="Verdana" w:hAnsi="Verdana" w:eastAsia="Calibri" w:cs="Arial"/>
                <w:lang w:val="es-ES_tradnl" w:eastAsia="es-ES_tradnl"/>
              </w:rPr>
              <w:t xml:space="preserve">               </w:t>
            </w:r>
          </w:p>
        </w:tc>
        <w:tc>
          <w:tcPr>
            <w:tcW w:w="6237" w:type="dxa"/>
          </w:tcPr>
          <w:p w:rsidR="005525D6" w:rsidP="00F75206" w:rsidRDefault="00505CD6" w14:paraId="15F3DBAD" w14:textId="152DC1B4">
            <w:pPr>
              <w:jc w:val="both"/>
              <w:rPr>
                <w:rFonts w:ascii="Verdana" w:hAnsi="Verdana"/>
                <w:color w:val="000000"/>
              </w:rPr>
            </w:pPr>
            <w:r w:rsidRPr="00505CD6">
              <w:rPr>
                <w:rFonts w:ascii="Verdana" w:hAnsi="Verdana" w:eastAsia="Calibri" w:cs="Arial"/>
                <w:lang w:val="es-ES_tradnl" w:eastAsia="es-ES_tradnl"/>
              </w:rPr>
              <w:t xml:space="preserve">Respuesta a la consulta con radicado No.   </w:t>
            </w:r>
            <w:r w:rsidRPr="00353ECE" w:rsidR="00353ECE">
              <w:rPr>
                <w:rFonts w:ascii="Verdana" w:hAnsi="Verdana" w:eastAsia="Calibri" w:cs="Arial"/>
                <w:lang w:val="es-ES_tradnl" w:eastAsia="es-ES_tradnl"/>
              </w:rPr>
              <w:t>P20250311002391</w:t>
            </w:r>
            <w:r w:rsidR="005525D6">
              <w:rPr>
                <w:rFonts w:ascii="Verdana" w:hAnsi="Verdana"/>
                <w:color w:val="000000"/>
              </w:rPr>
              <w:t>.</w:t>
            </w:r>
          </w:p>
          <w:p w:rsidRPr="00505CD6" w:rsidR="00505CD6" w:rsidP="00505CD6" w:rsidRDefault="00505CD6" w14:paraId="4A00324B" w14:textId="523A385B">
            <w:pPr>
              <w:jc w:val="both"/>
              <w:rPr>
                <w:rFonts w:ascii="Verdana" w:hAnsi="Verdana" w:eastAsia="Calibri" w:cs="Arial"/>
                <w:lang w:val="es-ES_tradnl" w:eastAsia="es-ES_tradnl"/>
              </w:rPr>
            </w:pPr>
            <w:r w:rsidRPr="00505CD6">
              <w:rPr>
                <w:rFonts w:ascii="Verdana" w:hAnsi="Verdana" w:eastAsia="Calibri" w:cs="Arial"/>
                <w:lang w:val="es-ES_tradnl" w:eastAsia="es-ES_tradnl"/>
              </w:rPr>
              <w:t xml:space="preserve">                                 </w:t>
            </w:r>
          </w:p>
        </w:tc>
      </w:tr>
    </w:tbl>
    <w:p w:rsidRPr="00505CD6" w:rsidR="00505CD6" w:rsidP="00505CD6" w:rsidRDefault="00505CD6" w14:paraId="705B6F76" w14:textId="0EA371C9">
      <w:pPr>
        <w:spacing w:after="0" w:line="276" w:lineRule="auto"/>
        <w:jc w:val="both"/>
        <w:rPr>
          <w:rFonts w:ascii="Verdana" w:hAnsi="Verdana" w:eastAsia="Calibri" w:cs="Arial"/>
          <w:lang w:val="es-ES" w:eastAsia="es-ES"/>
        </w:rPr>
      </w:pPr>
      <w:r w:rsidRPr="00505CD6">
        <w:rPr>
          <w:rFonts w:ascii="Verdana" w:hAnsi="Verdana" w:eastAsia="Calibri" w:cs="Arial"/>
          <w:lang w:val="es-ES" w:eastAsia="es-ES"/>
        </w:rPr>
        <w:t>Estimad</w:t>
      </w:r>
      <w:r w:rsidR="001A05A2">
        <w:rPr>
          <w:rFonts w:ascii="Verdana" w:hAnsi="Verdana" w:eastAsia="Calibri" w:cs="Arial"/>
          <w:lang w:val="es-ES" w:eastAsia="es-ES"/>
        </w:rPr>
        <w:t>a</w:t>
      </w:r>
      <w:r w:rsidRPr="00505CD6">
        <w:rPr>
          <w:rFonts w:ascii="Verdana" w:hAnsi="Verdana" w:eastAsia="Calibri" w:cs="Arial"/>
          <w:lang w:val="es-ES" w:eastAsia="es-ES"/>
        </w:rPr>
        <w:t xml:space="preserve"> señor</w:t>
      </w:r>
      <w:r w:rsidR="001A05A2">
        <w:rPr>
          <w:rFonts w:ascii="Verdana" w:hAnsi="Verdana" w:eastAsia="Calibri" w:cs="Arial"/>
          <w:lang w:val="es-ES" w:eastAsia="es-ES"/>
        </w:rPr>
        <w:t>a</w:t>
      </w:r>
      <w:r w:rsidRPr="00505CD6">
        <w:rPr>
          <w:rFonts w:ascii="Verdana" w:hAnsi="Verdana" w:eastAsia="Calibri" w:cs="Arial"/>
          <w:lang w:val="es-ES" w:eastAsia="es-ES"/>
        </w:rPr>
        <w:t xml:space="preserve"> </w:t>
      </w:r>
      <w:r w:rsidR="00353ECE">
        <w:rPr>
          <w:rFonts w:ascii="Verdana" w:hAnsi="Verdana" w:eastAsia="Calibri" w:cs="Arial"/>
          <w:lang w:val="es-ES" w:eastAsia="es-ES"/>
        </w:rPr>
        <w:t>Mejía</w:t>
      </w:r>
      <w:r w:rsidR="008D75CE">
        <w:rPr>
          <w:rFonts w:ascii="Verdana" w:hAnsi="Verdana" w:eastAsia="Calibri" w:cs="Arial"/>
          <w:lang w:val="es-ES" w:eastAsia="es-ES"/>
        </w:rPr>
        <w:t>;</w:t>
      </w:r>
      <w:r w:rsidRPr="00505CD6">
        <w:rPr>
          <w:rFonts w:ascii="Verdana" w:hAnsi="Verdana" w:eastAsia="Calibri" w:cs="Arial"/>
          <w:lang w:val="es-ES" w:eastAsia="es-ES"/>
        </w:rPr>
        <w:t xml:space="preserve"> </w:t>
      </w:r>
    </w:p>
    <w:p w:rsidRPr="00505CD6" w:rsidR="00505CD6" w:rsidP="00505CD6" w:rsidRDefault="00505CD6" w14:paraId="7ECFF328" w14:textId="77777777">
      <w:pPr>
        <w:tabs>
          <w:tab w:val="left" w:pos="3768"/>
        </w:tabs>
        <w:spacing w:after="0" w:line="276" w:lineRule="auto"/>
        <w:jc w:val="both"/>
        <w:rPr>
          <w:rFonts w:ascii="Verdana" w:hAnsi="Verdana" w:eastAsia="Calibri" w:cs="Arial"/>
          <w:color w:val="000000" w:themeColor="text1"/>
          <w:lang w:val="es-ES" w:eastAsia="es-ES"/>
        </w:rPr>
      </w:pPr>
      <w:r w:rsidRPr="00505CD6">
        <w:rPr>
          <w:rFonts w:ascii="Verdana" w:hAnsi="Verdana" w:eastAsia="Calibri" w:cs="Arial"/>
          <w:color w:val="000000" w:themeColor="text1"/>
          <w:lang w:val="es-ES" w:eastAsia="es-ES"/>
        </w:rPr>
        <w:tab/>
      </w:r>
    </w:p>
    <w:p w:rsidR="00EF11B4" w:rsidP="00505CD6" w:rsidRDefault="00505CD6" w14:paraId="3B5F1D50" w14:textId="3E8D702C">
      <w:pPr>
        <w:spacing w:after="120" w:line="276" w:lineRule="auto"/>
        <w:jc w:val="both"/>
        <w:rPr>
          <w:rFonts w:ascii="Verdana" w:hAnsi="Verdana" w:eastAsia="Calibri" w:cs="Arial"/>
          <w:lang w:val="es-ES" w:eastAsia="es-ES"/>
        </w:rPr>
      </w:pPr>
      <w:r w:rsidRPr="00505CD6">
        <w:rPr>
          <w:rFonts w:ascii="Verdana" w:hAnsi="Verdana" w:eastAsia="Calibri" w:cs="Arial"/>
          <w:color w:val="000000" w:themeColor="text1"/>
          <w:lang w:val="es-ES" w:eastAsia="es-ES"/>
        </w:rPr>
        <w:t>En ejercicio de la competencia otorgada por los artículos 3, numeral 5º, y 11, numeral 8º, del Decreto Ley 4170 de 2011,</w:t>
      </w:r>
      <w:r w:rsidRPr="00505CD6">
        <w:rPr>
          <w:rFonts w:ascii="Verdana" w:hAnsi="Verdana" w:eastAsia="Arial MT"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hAnsi="Verdana" w:eastAsia="Calibri" w:cs="Arial"/>
          <w:color w:val="000000" w:themeColor="text1"/>
          <w:lang w:val="es-ES" w:eastAsia="es-ES"/>
        </w:rPr>
        <w:t xml:space="preserve">la Agencia Nacional de Contratación Pública – Colombia Compra Eficiente responde su solicitud del </w:t>
      </w:r>
      <w:r w:rsidR="00EF11B4">
        <w:rPr>
          <w:rFonts w:ascii="Verdana" w:hAnsi="Verdana" w:eastAsia="Calibri" w:cs="Arial"/>
          <w:color w:val="000000" w:themeColor="text1"/>
          <w:lang w:val="es-ES" w:eastAsia="es-ES"/>
        </w:rPr>
        <w:t xml:space="preserve">radicada en esta entidad el </w:t>
      </w:r>
      <w:r w:rsidR="00353ECE">
        <w:rPr>
          <w:rFonts w:ascii="Verdana" w:hAnsi="Verdana" w:eastAsia="Calibri" w:cs="Arial"/>
          <w:color w:val="000000" w:themeColor="text1"/>
          <w:lang w:val="es-ES" w:eastAsia="es-ES"/>
        </w:rPr>
        <w:t>11</w:t>
      </w:r>
      <w:r w:rsidRPr="00505CD6">
        <w:rPr>
          <w:rFonts w:ascii="Verdana" w:hAnsi="Verdana" w:eastAsia="Calibri" w:cs="Arial"/>
          <w:lang w:val="es-ES" w:eastAsia="es-ES"/>
        </w:rPr>
        <w:t xml:space="preserve"> de </w:t>
      </w:r>
      <w:r w:rsidR="008C07BA">
        <w:rPr>
          <w:rFonts w:ascii="Verdana" w:hAnsi="Verdana" w:eastAsia="Calibri" w:cs="Arial"/>
          <w:lang w:val="es-ES" w:eastAsia="es-ES"/>
        </w:rPr>
        <w:t>marzo</w:t>
      </w:r>
      <w:r w:rsidRPr="00505CD6">
        <w:rPr>
          <w:rFonts w:ascii="Verdana" w:hAnsi="Verdana" w:eastAsia="Calibri" w:cs="Arial"/>
          <w:lang w:val="es-ES" w:eastAsia="es-ES"/>
        </w:rPr>
        <w:t xml:space="preserve"> de 2025, en la cual </w:t>
      </w:r>
      <w:r w:rsidR="00CD707C">
        <w:rPr>
          <w:rFonts w:ascii="Verdana" w:hAnsi="Verdana" w:eastAsia="Calibri" w:cs="Arial"/>
          <w:lang w:val="es-ES" w:eastAsia="es-ES"/>
        </w:rPr>
        <w:t xml:space="preserve">manifiesta </w:t>
      </w:r>
      <w:r w:rsidRPr="00505CD6">
        <w:rPr>
          <w:rFonts w:ascii="Verdana" w:hAnsi="Verdana" w:eastAsia="Calibri" w:cs="Arial"/>
          <w:lang w:val="es-ES" w:eastAsia="es-ES"/>
        </w:rPr>
        <w:t>lo siguiente:</w:t>
      </w:r>
    </w:p>
    <w:p w:rsidR="0043354F" w:rsidP="00272891" w:rsidRDefault="005525D6" w14:paraId="25AA936E" w14:textId="7B48865B">
      <w:pPr>
        <w:spacing w:after="120" w:line="276" w:lineRule="auto"/>
        <w:ind w:right="616"/>
        <w:jc w:val="both"/>
        <w:rPr>
          <w:rFonts w:ascii="Verdana" w:hAnsi="Verdana" w:eastAsia="Calibri" w:cs="Arial"/>
          <w:i/>
          <w:iCs/>
          <w:lang w:val="es-ES" w:eastAsia="es-ES"/>
        </w:rPr>
      </w:pPr>
      <w:r>
        <w:rPr>
          <w:rFonts w:ascii="Verdana" w:hAnsi="Verdana" w:eastAsia="Calibri" w:cs="Arial"/>
          <w:i/>
          <w:iCs/>
          <w:lang w:val="es-ES" w:eastAsia="es-ES"/>
        </w:rPr>
        <w:t xml:space="preserve">     </w:t>
      </w:r>
      <w:r w:rsidRPr="00CD707C" w:rsidR="00EF11B4">
        <w:rPr>
          <w:rFonts w:ascii="Verdana" w:hAnsi="Verdana" w:eastAsia="Calibri" w:cs="Arial"/>
          <w:i/>
          <w:iCs/>
          <w:lang w:val="es-ES" w:eastAsia="es-ES"/>
        </w:rPr>
        <w:t>(…)</w:t>
      </w:r>
    </w:p>
    <w:p w:rsidR="005525D6" w:rsidP="00353ECE" w:rsidRDefault="00353ECE" w14:paraId="4AEB2560" w14:textId="709CA584">
      <w:pPr>
        <w:spacing w:after="120" w:line="276" w:lineRule="auto"/>
        <w:ind w:left="426" w:right="1183"/>
        <w:jc w:val="both"/>
        <w:rPr>
          <w:rFonts w:ascii="Verdana" w:hAnsi="Verdana" w:eastAsia="Calibri" w:cs="Arial"/>
          <w:i/>
          <w:iCs/>
          <w:lang w:val="es-ES" w:eastAsia="es-ES"/>
        </w:rPr>
      </w:pPr>
      <w:r w:rsidRPr="00353ECE">
        <w:rPr>
          <w:rFonts w:ascii="Verdana" w:hAnsi="Verdana" w:eastAsia="Calibri" w:cs="Arial"/>
          <w:i/>
          <w:iCs/>
          <w:lang w:eastAsia="es-ES"/>
        </w:rPr>
        <w:t>CORDIAL SALUDO, SOLICITO A LA ENTIDAD SE SIRVA PRECISAR SOBRE LA</w:t>
      </w:r>
      <w:r>
        <w:rPr>
          <w:rFonts w:ascii="Verdana" w:hAnsi="Verdana" w:eastAsia="Calibri" w:cs="Arial"/>
          <w:i/>
          <w:iCs/>
          <w:lang w:eastAsia="es-ES"/>
        </w:rPr>
        <w:t xml:space="preserve"> </w:t>
      </w:r>
      <w:r w:rsidRPr="00353ECE">
        <w:rPr>
          <w:rFonts w:ascii="Verdana" w:hAnsi="Verdana" w:eastAsia="Calibri" w:cs="Arial"/>
          <w:i/>
          <w:iCs/>
          <w:lang w:eastAsia="es-ES"/>
        </w:rPr>
        <w:t>LIMITACION A MIPYMES CUANDO SE PRESENTAN VARIOS LUGARES DE</w:t>
      </w:r>
      <w:r>
        <w:rPr>
          <w:rFonts w:ascii="Verdana" w:hAnsi="Verdana" w:eastAsia="Calibri" w:cs="Arial"/>
          <w:i/>
          <w:iCs/>
          <w:lang w:eastAsia="es-ES"/>
        </w:rPr>
        <w:t xml:space="preserve"> </w:t>
      </w:r>
      <w:r w:rsidRPr="00353ECE">
        <w:rPr>
          <w:rFonts w:ascii="Verdana" w:hAnsi="Verdana" w:eastAsia="Calibri" w:cs="Arial"/>
          <w:i/>
          <w:iCs/>
          <w:lang w:eastAsia="es-ES"/>
        </w:rPr>
        <w:t>EJECUCION EN EL PLIEGO DE CONDICIONES Y NO SE USO LA MODALIDAD</w:t>
      </w:r>
      <w:r w:rsidR="00CC2DB0">
        <w:rPr>
          <w:rFonts w:ascii="Verdana" w:hAnsi="Verdana" w:eastAsia="Calibri" w:cs="Arial"/>
          <w:i/>
          <w:iCs/>
          <w:lang w:eastAsia="es-ES"/>
        </w:rPr>
        <w:t xml:space="preserve"> </w:t>
      </w:r>
      <w:r w:rsidRPr="00353ECE">
        <w:rPr>
          <w:rFonts w:ascii="Verdana" w:hAnsi="Verdana" w:eastAsia="Calibri" w:cs="Arial"/>
          <w:i/>
          <w:iCs/>
          <w:lang w:eastAsia="es-ES"/>
        </w:rPr>
        <w:t>DE LOTES ¿PUEDE LA ENTIDAD LIMITAR A MIPYMES DEPARTAMENTALES</w:t>
      </w:r>
      <w:r>
        <w:rPr>
          <w:rFonts w:ascii="Verdana" w:hAnsi="Verdana" w:eastAsia="Calibri" w:cs="Arial"/>
          <w:i/>
          <w:iCs/>
          <w:lang w:eastAsia="es-ES"/>
        </w:rPr>
        <w:t xml:space="preserve"> </w:t>
      </w:r>
      <w:r w:rsidRPr="00353ECE">
        <w:rPr>
          <w:rFonts w:ascii="Verdana" w:hAnsi="Verdana" w:eastAsia="Calibri" w:cs="Arial"/>
          <w:i/>
          <w:iCs/>
          <w:lang w:eastAsia="es-ES"/>
        </w:rPr>
        <w:t>Y/O LOCALES PREVIO CUMPLIMIENTO DE TODOS LOS REQUISITOS</w:t>
      </w:r>
      <w:r w:rsidR="009E2963">
        <w:rPr>
          <w:rFonts w:ascii="Verdana" w:hAnsi="Verdana" w:eastAsia="Calibri" w:cs="Arial"/>
          <w:i/>
          <w:iCs/>
          <w:lang w:eastAsia="es-ES"/>
        </w:rPr>
        <w:t xml:space="preserve"> </w:t>
      </w:r>
      <w:r w:rsidRPr="00353ECE">
        <w:rPr>
          <w:rFonts w:ascii="Verdana" w:hAnsi="Verdana" w:eastAsia="Calibri" w:cs="Arial"/>
          <w:i/>
          <w:iCs/>
          <w:lang w:eastAsia="es-ES"/>
        </w:rPr>
        <w:t>EXIJIDOS POR LA LEY POR PARTE DE LOS OFERENTES DE UNO DE LOS 2</w:t>
      </w:r>
      <w:r>
        <w:rPr>
          <w:rFonts w:ascii="Verdana" w:hAnsi="Verdana" w:eastAsia="Calibri" w:cs="Arial"/>
          <w:i/>
          <w:iCs/>
          <w:lang w:eastAsia="es-ES"/>
        </w:rPr>
        <w:t xml:space="preserve"> </w:t>
      </w:r>
      <w:r w:rsidRPr="00353ECE">
        <w:rPr>
          <w:rFonts w:ascii="Verdana" w:hAnsi="Verdana" w:eastAsia="Calibri" w:cs="Arial"/>
          <w:i/>
          <w:iCs/>
          <w:lang w:eastAsia="es-ES"/>
        </w:rPr>
        <w:t>DEPARTAMENTOS EN EL QUE SE EJECUTARA EL CONTRATO:</w:t>
      </w:r>
      <w:r w:rsidRPr="00353ECE">
        <w:rPr>
          <w:rFonts w:ascii="Verdana" w:hAnsi="Verdana" w:eastAsia="Calibri" w:cs="Arial"/>
          <w:i/>
          <w:iCs/>
          <w:lang w:val="es-ES" w:eastAsia="es-ES"/>
        </w:rPr>
        <w:t xml:space="preserve"> </w:t>
      </w:r>
      <w:r w:rsidRPr="00CD707C" w:rsidR="005525D6">
        <w:rPr>
          <w:rFonts w:ascii="Verdana" w:hAnsi="Verdana" w:eastAsia="Calibri" w:cs="Arial"/>
          <w:i/>
          <w:iCs/>
          <w:lang w:val="es-ES" w:eastAsia="es-ES"/>
        </w:rPr>
        <w:t>(…)</w:t>
      </w:r>
    </w:p>
    <w:p w:rsidRPr="00505CD6" w:rsidR="00505CD6" w:rsidP="00505CD6" w:rsidRDefault="00505CD6" w14:paraId="27870E03" w14:textId="1E96744E">
      <w:pPr>
        <w:spacing w:after="12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hAnsi="Verdana" w:eastAsia="Calibri" w:cs="Arial"/>
          <w:color w:val="000000"/>
          <w:szCs w:val="24"/>
          <w:lang w:val="es-ES_tradnl" w:eastAsia="es-ES_tradnl"/>
        </w:rPr>
        <w:tab/>
      </w:r>
    </w:p>
    <w:p w:rsidRPr="00505CD6" w:rsidR="00505CD6" w:rsidP="00505CD6" w:rsidRDefault="00505CD6" w14:paraId="0331487C" w14:textId="77777777">
      <w:pPr>
        <w:spacing w:after="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problema</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jurídico</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 xml:space="preserve">de su consulta. </w:t>
      </w:r>
    </w:p>
    <w:p w:rsidRPr="00505CD6" w:rsidR="00505CD6" w:rsidP="00505CD6" w:rsidRDefault="00505CD6" w14:paraId="14B663CA" w14:textId="77777777">
      <w:pPr>
        <w:spacing w:after="0" w:line="276" w:lineRule="auto"/>
        <w:ind w:firstLine="709"/>
        <w:jc w:val="both"/>
        <w:rPr>
          <w:rFonts w:ascii="Verdana" w:hAnsi="Verdana" w:eastAsia="Calibri" w:cs="Arial"/>
          <w:color w:val="000000"/>
          <w:lang w:val="es-ES" w:eastAsia="es-ES"/>
        </w:rPr>
      </w:pPr>
    </w:p>
    <w:p w:rsidRPr="00505CD6" w:rsidR="00505CD6" w:rsidP="00AE394E" w:rsidRDefault="00505CD6" w14:paraId="341EEC57" w14:textId="77777777">
      <w:pPr>
        <w:numPr>
          <w:ilvl w:val="0"/>
          <w:numId w:val="1"/>
        </w:numPr>
        <w:tabs>
          <w:tab w:val="left" w:pos="142"/>
          <w:tab w:val="left" w:pos="284"/>
        </w:tabs>
        <w:spacing w:after="0" w:line="276" w:lineRule="auto"/>
        <w:ind w:left="567"/>
        <w:contextualSpacing/>
        <w:jc w:val="both"/>
        <w:rPr>
          <w:rFonts w:ascii="Verdana" w:hAnsi="Verdana" w:eastAsia="Century Gothic" w:cs="Century Gothic"/>
          <w:b/>
          <w:bCs/>
          <w:lang w:val="es-ES"/>
        </w:rPr>
      </w:pPr>
      <w:r w:rsidRPr="00505CD6">
        <w:rPr>
          <w:rFonts w:ascii="Verdana" w:hAnsi="Verdana" w:eastAsia="Century Gothic" w:cs="Century Gothic"/>
          <w:b/>
          <w:bCs/>
          <w:lang w:val="es-ES"/>
        </w:rPr>
        <w:t>Problemas planteados:</w:t>
      </w:r>
    </w:p>
    <w:p w:rsidRPr="00505CD6" w:rsidR="00505CD6" w:rsidP="00505CD6" w:rsidRDefault="00505CD6" w14:paraId="215D99AD" w14:textId="77777777">
      <w:pPr>
        <w:tabs>
          <w:tab w:val="left" w:pos="426"/>
        </w:tabs>
        <w:spacing w:after="0" w:line="276" w:lineRule="auto"/>
        <w:jc w:val="both"/>
        <w:rPr>
          <w:rFonts w:ascii="Verdana" w:hAnsi="Verdana" w:eastAsia="Century Gothic" w:cs="Century Gothic"/>
          <w:lang w:val="es-ES"/>
        </w:rPr>
      </w:pPr>
    </w:p>
    <w:p w:rsidR="00272891" w:rsidP="00272891" w:rsidRDefault="00272891" w14:paraId="75A67BEC" w14:textId="4486A1C7">
      <w:pPr>
        <w:spacing w:after="0" w:line="276" w:lineRule="auto"/>
        <w:jc w:val="both"/>
        <w:rPr>
          <w:rFonts w:ascii="Verdana" w:hAnsi="Verdana" w:eastAsia="Century Gothic" w:cs="Century Gothic"/>
        </w:rPr>
      </w:pPr>
      <w:r w:rsidRPr="00CD2FA0">
        <w:rPr>
          <w:rFonts w:ascii="Verdana" w:hAnsi="Verdana" w:eastAsia="Century Gothic" w:cs="Century Gothic"/>
        </w:rPr>
        <w:t xml:space="preserve">De acuerdo con el contenido de su solicitud, </w:t>
      </w:r>
      <w:r w:rsidRPr="00167C84">
        <w:rPr>
          <w:rFonts w:ascii="Verdana" w:hAnsi="Verdana" w:eastAsia="Century Gothic" w:cs="Century Gothic"/>
        </w:rPr>
        <w:t>esta Subdirección se resolverán la siguiente pregunta:</w:t>
      </w:r>
      <w:r w:rsidR="00300DA4">
        <w:rPr>
          <w:rFonts w:ascii="Verdana" w:hAnsi="Verdana" w:eastAsia="Century Gothic" w:cs="Century Gothic"/>
        </w:rPr>
        <w:t xml:space="preserve"> </w:t>
      </w:r>
      <w:r w:rsidRPr="00A27A5B" w:rsidR="00A27A5B">
        <w:rPr>
          <w:rFonts w:ascii="Verdana" w:hAnsi="Verdana" w:eastAsia="Century Gothic" w:cs="Century Gothic"/>
        </w:rPr>
        <w:t>¿</w:t>
      </w:r>
      <w:r w:rsidRPr="003F3434" w:rsidR="003F3434">
        <w:rPr>
          <w:rFonts w:ascii="Verdana" w:hAnsi="Verdana" w:eastAsia="Century Gothic" w:cs="Century Gothic"/>
        </w:rPr>
        <w:t>Puede una entidad limitar la participación de MIPYMES cuando hay varios lugares de ejecución sin utilizar la modalidad de contratación por lotes?</w:t>
      </w:r>
    </w:p>
    <w:p w:rsidR="00A27A5B" w:rsidP="00272891" w:rsidRDefault="00A27A5B" w14:paraId="48419BC1" w14:textId="77777777">
      <w:pPr>
        <w:spacing w:after="0" w:line="276" w:lineRule="auto"/>
        <w:jc w:val="both"/>
        <w:rPr>
          <w:rFonts w:ascii="Verdana" w:hAnsi="Verdana" w:eastAsia="Century Gothic" w:cs="Century Gothic"/>
        </w:rPr>
      </w:pPr>
    </w:p>
    <w:p w:rsidRPr="00505CD6" w:rsidR="00505CD6" w:rsidP="00272891" w:rsidRDefault="00505CD6" w14:paraId="66944936" w14:textId="01B9C214">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Respuesta:</w:t>
      </w:r>
    </w:p>
    <w:p w:rsidRPr="00505CD6" w:rsidR="00505CD6" w:rsidP="00505CD6" w:rsidRDefault="00505CD6" w14:paraId="61C9915B"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05CD6" w:rsidR="00505CD6" w:rsidTr="006C5D8A" w14:paraId="17CA5EBC" w14:textId="77777777">
        <w:trPr>
          <w:jc w:val="center"/>
        </w:trPr>
        <w:tc>
          <w:tcPr>
            <w:tcW w:w="8828" w:type="dxa"/>
            <w:shd w:val="clear" w:color="auto" w:fill="auto"/>
          </w:tcPr>
          <w:p w:rsidR="00B96394" w:rsidP="00B96394" w:rsidRDefault="00B96394" w14:paraId="29892F08" w14:textId="77777777">
            <w:pPr>
              <w:spacing w:line="276" w:lineRule="auto"/>
              <w:jc w:val="both"/>
              <w:rPr>
                <w:rFonts w:ascii="Verdana" w:hAnsi="Verdana" w:eastAsia="Aptos" w:cs="Times New Roman"/>
                <w:color w:val="000000"/>
              </w:rPr>
            </w:pPr>
            <w:bookmarkStart w:name="_Hlk171694685" w:id="1"/>
          </w:p>
          <w:p w:rsidR="00B96394" w:rsidP="00B96394" w:rsidRDefault="001A05A2" w14:paraId="75BC89FE" w14:textId="3AB5DA3B">
            <w:pPr>
              <w:spacing w:line="276" w:lineRule="auto"/>
              <w:jc w:val="both"/>
              <w:rPr>
                <w:rFonts w:ascii="Verdana" w:hAnsi="Verdana" w:eastAsia="Aptos" w:cs="Times New Roman"/>
                <w:color w:val="000000"/>
              </w:rPr>
            </w:pPr>
            <w:r>
              <w:rPr>
                <w:rFonts w:ascii="Verdana" w:hAnsi="Verdana" w:eastAsia="Aptos" w:cs="Times New Roman"/>
                <w:color w:val="000000"/>
              </w:rPr>
              <w:t xml:space="preserve">        </w:t>
            </w:r>
            <w:r w:rsidR="00B96394">
              <w:rPr>
                <w:rFonts w:ascii="Verdana" w:hAnsi="Verdana" w:eastAsia="Aptos" w:cs="Times New Roman"/>
                <w:color w:val="000000"/>
              </w:rPr>
              <w:t>De manera preliminar es pertinente indicar que,</w:t>
            </w:r>
            <w:r w:rsidRPr="00B96394" w:rsidR="00B96394">
              <w:rPr>
                <w:rFonts w:ascii="Verdana" w:hAnsi="Verdana" w:eastAsia="Aptos" w:cs="Times New Roman"/>
                <w:color w:val="000000"/>
              </w:rPr>
              <w:t xml:space="preserve"> en cumplimiento de los principios de </w:t>
            </w:r>
            <w:r w:rsidRPr="00B96394" w:rsidR="00B96394">
              <w:rPr>
                <w:rFonts w:ascii="Verdana" w:hAnsi="Verdana" w:eastAsia="Aptos" w:cs="Times New Roman"/>
                <w:b/>
                <w:bCs/>
                <w:color w:val="000000"/>
              </w:rPr>
              <w:t>pluralidad de oferentes</w:t>
            </w:r>
            <w:r w:rsidRPr="00B96394" w:rsidR="00B96394">
              <w:rPr>
                <w:rFonts w:ascii="Verdana" w:hAnsi="Verdana" w:eastAsia="Aptos" w:cs="Times New Roman"/>
                <w:color w:val="000000"/>
              </w:rPr>
              <w:t xml:space="preserve">, </w:t>
            </w:r>
            <w:r w:rsidRPr="00B96394" w:rsidR="00B96394">
              <w:rPr>
                <w:rFonts w:ascii="Verdana" w:hAnsi="Verdana" w:eastAsia="Aptos" w:cs="Times New Roman"/>
                <w:b/>
                <w:bCs/>
                <w:color w:val="000000"/>
              </w:rPr>
              <w:t>selección objetiva</w:t>
            </w:r>
            <w:r w:rsidRPr="00B96394" w:rsidR="00B96394">
              <w:rPr>
                <w:rFonts w:ascii="Verdana" w:hAnsi="Verdana" w:eastAsia="Aptos" w:cs="Times New Roman"/>
                <w:color w:val="000000"/>
              </w:rPr>
              <w:t xml:space="preserve"> y </w:t>
            </w:r>
            <w:r w:rsidRPr="00B96394" w:rsidR="00B96394">
              <w:rPr>
                <w:rFonts w:ascii="Verdana" w:hAnsi="Verdana" w:eastAsia="Aptos" w:cs="Times New Roman"/>
                <w:b/>
                <w:bCs/>
                <w:color w:val="000000"/>
              </w:rPr>
              <w:t>eficiencia</w:t>
            </w:r>
            <w:r w:rsidRPr="00B96394" w:rsidR="00B96394">
              <w:rPr>
                <w:rFonts w:ascii="Verdana" w:hAnsi="Verdana" w:eastAsia="Aptos" w:cs="Times New Roman"/>
                <w:color w:val="000000"/>
              </w:rPr>
              <w:t xml:space="preserve">, </w:t>
            </w:r>
            <w:r w:rsidR="00B96394">
              <w:rPr>
                <w:rFonts w:ascii="Verdana" w:hAnsi="Verdana" w:eastAsia="Aptos" w:cs="Times New Roman"/>
                <w:color w:val="000000"/>
              </w:rPr>
              <w:t xml:space="preserve">las entidades </w:t>
            </w:r>
            <w:r w:rsidR="00AA7A89">
              <w:rPr>
                <w:rFonts w:ascii="Verdana" w:hAnsi="Verdana" w:eastAsia="Aptos" w:cs="Times New Roman"/>
                <w:color w:val="000000"/>
              </w:rPr>
              <w:t>públicas</w:t>
            </w:r>
            <w:r w:rsidR="00B96394">
              <w:rPr>
                <w:rFonts w:ascii="Verdana" w:hAnsi="Verdana" w:eastAsia="Aptos" w:cs="Times New Roman"/>
                <w:color w:val="000000"/>
              </w:rPr>
              <w:t xml:space="preserve"> </w:t>
            </w:r>
            <w:r w:rsidRPr="00B96394" w:rsidR="00B96394">
              <w:rPr>
                <w:rFonts w:ascii="Verdana" w:hAnsi="Verdana" w:eastAsia="Aptos" w:cs="Times New Roman"/>
                <w:color w:val="000000"/>
              </w:rPr>
              <w:t>tiene</w:t>
            </w:r>
            <w:r w:rsidR="00B96394">
              <w:rPr>
                <w:rFonts w:ascii="Verdana" w:hAnsi="Verdana" w:eastAsia="Aptos" w:cs="Times New Roman"/>
                <w:color w:val="000000"/>
              </w:rPr>
              <w:t>n</w:t>
            </w:r>
            <w:r w:rsidRPr="00B96394" w:rsidR="00B96394">
              <w:rPr>
                <w:rFonts w:ascii="Verdana" w:hAnsi="Verdana" w:eastAsia="Aptos" w:cs="Times New Roman"/>
                <w:color w:val="000000"/>
              </w:rPr>
              <w:t xml:space="preserve"> el deber de estructurar los procesos de contratación de forma que se promueva la </w:t>
            </w:r>
            <w:r w:rsidRPr="00B96394" w:rsidR="00B96394">
              <w:rPr>
                <w:rFonts w:ascii="Verdana" w:hAnsi="Verdana" w:eastAsia="Aptos" w:cs="Times New Roman"/>
                <w:b/>
                <w:bCs/>
                <w:color w:val="000000"/>
              </w:rPr>
              <w:t>mayor participación posible de actores del mercado, particularmente de las Micro, Pequeñas y Medianas Empresas (MIPYMES),</w:t>
            </w:r>
            <w:r w:rsidRPr="00B96394" w:rsidR="00B96394">
              <w:rPr>
                <w:rFonts w:ascii="Verdana" w:hAnsi="Verdana" w:eastAsia="Aptos" w:cs="Times New Roman"/>
                <w:color w:val="000000"/>
              </w:rPr>
              <w:t xml:space="preserve"> quienes representan un sector estratégico para el desarrollo económico y social del país.</w:t>
            </w:r>
          </w:p>
          <w:p w:rsidRPr="00B96394" w:rsidR="00B96394" w:rsidP="00B96394" w:rsidRDefault="00B96394" w14:paraId="61F7E43E" w14:textId="77777777">
            <w:pPr>
              <w:spacing w:line="276" w:lineRule="auto"/>
              <w:jc w:val="both"/>
              <w:rPr>
                <w:rFonts w:ascii="Verdana" w:hAnsi="Verdana" w:eastAsia="Aptos" w:cs="Times New Roman"/>
                <w:color w:val="000000"/>
              </w:rPr>
            </w:pPr>
          </w:p>
          <w:p w:rsidRPr="00690C33" w:rsidR="00B96394" w:rsidP="00690C33" w:rsidRDefault="00B96394" w14:paraId="5D06C1FF" w14:textId="66BE7834">
            <w:pPr>
              <w:spacing w:line="276" w:lineRule="auto"/>
              <w:jc w:val="both"/>
              <w:rPr>
                <w:rFonts w:ascii="Verdana" w:hAnsi="Verdana" w:eastAsia="Aptos" w:cs="Times New Roman"/>
                <w:color w:val="000000"/>
              </w:rPr>
            </w:pPr>
            <w:r w:rsidRPr="00690C33">
              <w:rPr>
                <w:rFonts w:ascii="Verdana" w:hAnsi="Verdana" w:eastAsia="Aptos" w:cs="Times New Roman"/>
                <w:color w:val="000000"/>
              </w:rPr>
              <w:t xml:space="preserve">En este contexto, la división del objeto contractual en lotes constituye una herramienta fundamental para alcanzar dicho objetivo. </w:t>
            </w:r>
            <w:r w:rsidRPr="00AA7A89" w:rsidR="00AA7A89">
              <w:rPr>
                <w:rFonts w:ascii="Verdana" w:hAnsi="Verdana" w:eastAsia="Aptos" w:cs="Times New Roman"/>
                <w:color w:val="000000"/>
              </w:rPr>
              <w:t>numeral 6 del artículo 33 de la Ley 2069 de 2020</w:t>
            </w:r>
            <w:r w:rsidR="002F5610">
              <w:rPr>
                <w:rFonts w:ascii="Verdana" w:hAnsi="Verdana" w:eastAsia="Aptos" w:cs="Times New Roman"/>
                <w:color w:val="000000"/>
              </w:rPr>
              <w:t xml:space="preserve"> adicionado por el </w:t>
            </w:r>
            <w:r w:rsidRPr="002F5610" w:rsidR="002F5610">
              <w:rPr>
                <w:rFonts w:ascii="Verdana" w:hAnsi="Verdana" w:eastAsia="Aptos" w:cs="Times New Roman"/>
                <w:color w:val="000000"/>
              </w:rPr>
              <w:t>artículo 6 del Decreto 142 de 2023</w:t>
            </w:r>
            <w:r w:rsidRPr="00690C33">
              <w:rPr>
                <w:rFonts w:ascii="Verdana" w:hAnsi="Verdana" w:eastAsia="Aptos" w:cs="Times New Roman"/>
                <w:color w:val="000000"/>
              </w:rPr>
              <w:t xml:space="preserve"> </w:t>
            </w:r>
            <w:r w:rsidR="002F5610">
              <w:rPr>
                <w:rFonts w:ascii="Verdana" w:hAnsi="Verdana" w:eastAsia="Aptos" w:cs="Times New Roman"/>
                <w:color w:val="000000"/>
              </w:rPr>
              <w:t xml:space="preserve">el cual prevé </w:t>
            </w:r>
            <w:r w:rsidRPr="00690C33">
              <w:rPr>
                <w:rFonts w:ascii="Verdana" w:hAnsi="Verdana" w:eastAsia="Aptos" w:cs="Times New Roman"/>
                <w:color w:val="000000"/>
              </w:rPr>
              <w:t>que cuando el objeto del contrato es divisible técnica, geográfica o funcionalmente, la entidad debe evaluar la conveniencia de estructurar el proceso por lotes, permitiendo así que distintos proponentes presenten ofertas por partes del objeto contractual según sus capacidades.</w:t>
            </w:r>
          </w:p>
          <w:p w:rsidRPr="00B96394" w:rsidR="00B96394" w:rsidP="00B96394" w:rsidRDefault="00B96394" w14:paraId="6011C4F8" w14:textId="77777777">
            <w:pPr>
              <w:spacing w:line="276" w:lineRule="auto"/>
              <w:jc w:val="both"/>
              <w:rPr>
                <w:rFonts w:ascii="Verdana" w:hAnsi="Verdana" w:eastAsia="Aptos" w:cs="Times New Roman"/>
                <w:color w:val="000000"/>
              </w:rPr>
            </w:pPr>
          </w:p>
          <w:p w:rsidR="00B96394" w:rsidP="00B96394" w:rsidRDefault="00B96394" w14:paraId="324EE829" w14:textId="1BF40CF0">
            <w:pPr>
              <w:spacing w:line="276" w:lineRule="auto"/>
              <w:jc w:val="both"/>
              <w:rPr>
                <w:rFonts w:ascii="Verdana" w:hAnsi="Verdana" w:eastAsia="Aptos" w:cs="Times New Roman"/>
                <w:color w:val="000000"/>
              </w:rPr>
            </w:pPr>
            <w:r w:rsidRPr="00B96394">
              <w:rPr>
                <w:rFonts w:ascii="Verdana" w:hAnsi="Verdana" w:eastAsia="Aptos" w:cs="Times New Roman"/>
                <w:color w:val="000000"/>
              </w:rPr>
              <w:t xml:space="preserve">Esta medida es especialmente pertinente en escenarios donde el contrato debe ejecutarse en </w:t>
            </w:r>
            <w:r w:rsidRPr="00B96394">
              <w:rPr>
                <w:rFonts w:ascii="Verdana" w:hAnsi="Verdana" w:eastAsia="Aptos" w:cs="Times New Roman"/>
                <w:b/>
                <w:bCs/>
                <w:color w:val="000000"/>
              </w:rPr>
              <w:t>varios lugares geográficos</w:t>
            </w:r>
            <w:r w:rsidRPr="00B96394">
              <w:rPr>
                <w:rFonts w:ascii="Verdana" w:hAnsi="Verdana" w:eastAsia="Aptos" w:cs="Times New Roman"/>
                <w:color w:val="000000"/>
              </w:rPr>
              <w:t xml:space="preserve"> o donde la magnitud del objeto impide que una MIPYME, por sí sola, pueda asumir la totalidad del compromiso. </w:t>
            </w:r>
          </w:p>
          <w:p w:rsidR="00B96394" w:rsidP="00B96394" w:rsidRDefault="00B96394" w14:paraId="17C3BCBA" w14:textId="77777777">
            <w:pPr>
              <w:spacing w:line="276" w:lineRule="auto"/>
              <w:jc w:val="both"/>
              <w:rPr>
                <w:rFonts w:ascii="Verdana" w:hAnsi="Verdana" w:eastAsia="Aptos" w:cs="Times New Roman"/>
                <w:color w:val="000000"/>
              </w:rPr>
            </w:pPr>
          </w:p>
          <w:p w:rsidRPr="00B96394" w:rsidR="00B96394" w:rsidP="00B96394" w:rsidRDefault="00B96394" w14:paraId="40E21547" w14:textId="420E9603">
            <w:pPr>
              <w:spacing w:line="276" w:lineRule="auto"/>
              <w:jc w:val="both"/>
              <w:rPr>
                <w:rFonts w:ascii="Verdana" w:hAnsi="Verdana" w:eastAsia="Aptos" w:cs="Times New Roman"/>
                <w:color w:val="000000"/>
              </w:rPr>
            </w:pPr>
            <w:r w:rsidRPr="00B96394">
              <w:rPr>
                <w:rFonts w:ascii="Verdana" w:hAnsi="Verdana" w:eastAsia="Aptos" w:cs="Times New Roman"/>
                <w:color w:val="000000"/>
              </w:rPr>
              <w:t>Asimismo, esta práctica se alinea con la política pública contenida en la Ley 2069 de 2020, que ordena fomentar el acceso de las MIPYMES a los procesos de contratación estatal mediante ajustes estructurales a los pliegos de condiciones y modalidades de selección.</w:t>
            </w:r>
          </w:p>
          <w:p w:rsidRPr="00B96394" w:rsidR="00B96394" w:rsidP="00B96394" w:rsidRDefault="00B96394" w14:paraId="4B46DF43" w14:textId="77777777">
            <w:pPr>
              <w:spacing w:line="276" w:lineRule="auto"/>
              <w:jc w:val="both"/>
              <w:rPr>
                <w:rFonts w:ascii="Verdana" w:hAnsi="Verdana" w:eastAsia="Aptos" w:cs="Times New Roman"/>
                <w:color w:val="000000"/>
              </w:rPr>
            </w:pPr>
          </w:p>
          <w:p w:rsidRPr="00B96394" w:rsidR="00B96394" w:rsidP="00B96394" w:rsidRDefault="00B96394" w14:paraId="3C5725D3" w14:textId="6AC3EBFB">
            <w:pPr>
              <w:spacing w:line="276" w:lineRule="auto"/>
              <w:jc w:val="both"/>
              <w:rPr>
                <w:rFonts w:ascii="Verdana" w:hAnsi="Verdana" w:eastAsia="Aptos" w:cs="Times New Roman"/>
                <w:color w:val="000000"/>
              </w:rPr>
            </w:pPr>
            <w:r w:rsidRPr="00B96394">
              <w:rPr>
                <w:rFonts w:ascii="Verdana" w:hAnsi="Verdana" w:eastAsia="Aptos" w:cs="Times New Roman"/>
                <w:color w:val="000000"/>
              </w:rPr>
              <w:t>No aplicar la división en lotes, sin una justificación técnica debidamente sustentada, puede considerarse una omisión contraria a los principios de planeación y responsabilidad en la contratación, así como una posible vulneración al derecho de participación en condiciones equitativas.</w:t>
            </w:r>
          </w:p>
          <w:p w:rsidR="001A05A2" w:rsidP="00B96394" w:rsidRDefault="001A05A2" w14:paraId="66AFED22" w14:textId="77777777">
            <w:pPr>
              <w:spacing w:line="276" w:lineRule="auto"/>
              <w:jc w:val="both"/>
              <w:rPr>
                <w:rFonts w:ascii="Verdana" w:hAnsi="Verdana" w:eastAsia="Aptos" w:cs="Times New Roman"/>
                <w:color w:val="000000"/>
              </w:rPr>
            </w:pPr>
          </w:p>
          <w:p w:rsidRPr="00B96394" w:rsidR="00B96394" w:rsidP="00B96394" w:rsidRDefault="00B96394" w14:paraId="7652F21B" w14:textId="2897E81A">
            <w:pPr>
              <w:spacing w:line="276" w:lineRule="auto"/>
              <w:jc w:val="both"/>
              <w:rPr>
                <w:rFonts w:ascii="Verdana" w:hAnsi="Verdana" w:eastAsia="Aptos" w:cs="Times New Roman"/>
                <w:color w:val="000000"/>
              </w:rPr>
            </w:pPr>
            <w:r w:rsidRPr="00B96394">
              <w:rPr>
                <w:rFonts w:ascii="Verdana" w:hAnsi="Verdana" w:eastAsia="Aptos" w:cs="Times New Roman"/>
                <w:color w:val="000000"/>
              </w:rPr>
              <w:t>En conclusión, la división en lotes no es una facultad discrecional absoluta, sino una obligación técnica y jurídica que debe ser evaluada con rigor por la entidad contratante cuando el objeto lo permita, especialmente si con ello se puede garantizar el acceso efectivo de las MIPYMES al mercado estatal.</w:t>
            </w:r>
          </w:p>
          <w:p w:rsidR="001A05A2" w:rsidP="001A05A2" w:rsidRDefault="001A05A2" w14:paraId="71E3CE59" w14:textId="77777777">
            <w:pPr>
              <w:spacing w:line="276" w:lineRule="auto"/>
              <w:contextualSpacing/>
              <w:jc w:val="both"/>
              <w:rPr>
                <w:rFonts w:ascii="Verdana" w:hAnsi="Verdana" w:eastAsia="Calibri" w:cs="Times New Roman"/>
                <w:lang w:val="es-ES"/>
              </w:rPr>
            </w:pPr>
          </w:p>
          <w:p w:rsidRPr="00DB4737" w:rsidR="003A0948" w:rsidP="001A05A2" w:rsidRDefault="003A0948" w14:paraId="4B4C9C8B" w14:textId="25530498">
            <w:pPr>
              <w:spacing w:line="276" w:lineRule="auto"/>
              <w:contextualSpacing/>
              <w:jc w:val="both"/>
              <w:rPr>
                <w:rFonts w:ascii="Verdana" w:hAnsi="Verdana" w:eastAsia="Calibri" w:cs="Times New Roman"/>
                <w:lang w:val="es-ES"/>
              </w:rPr>
            </w:pPr>
            <w:r w:rsidRPr="00DB4737">
              <w:rPr>
                <w:rFonts w:ascii="Verdana" w:hAnsi="Verdana" w:eastAsia="Calibri" w:cs="Times New Roman"/>
                <w:lang w:val="es-ES"/>
              </w:rPr>
              <w:t xml:space="preserve">Finalmente debe advertirse, que el análisis para resolver problemas específicos en torno a la aplicabilidad </w:t>
            </w:r>
            <w:r>
              <w:rPr>
                <w:rFonts w:ascii="Verdana" w:hAnsi="Verdana" w:eastAsia="Calibri" w:cs="Times New Roman"/>
                <w:lang w:val="es-ES"/>
              </w:rPr>
              <w:t xml:space="preserve">de </w:t>
            </w:r>
            <w:r w:rsidRPr="003F3434">
              <w:rPr>
                <w:rFonts w:ascii="Verdana" w:hAnsi="Verdana" w:eastAsia="Century Gothic" w:cs="Century Gothic"/>
              </w:rPr>
              <w:t>limitar la participación de MIPYMES cuando hay varios lugares de ejecución sin utilizar la modalidad de contratación por lotes</w:t>
            </w:r>
            <w:r w:rsidRPr="00DB4737">
              <w:rPr>
                <w:rFonts w:ascii="Verdana" w:hAnsi="Verdana" w:eastAsia="Calibri"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w:t>
            </w:r>
            <w:r w:rsidRPr="00DB4737" w:rsidR="001A05A2">
              <w:rPr>
                <w:rFonts w:ascii="Verdana" w:hAnsi="Verdana" w:eastAsia="Calibri" w:cs="Times New Roman"/>
                <w:lang w:val="es-ES"/>
              </w:rPr>
              <w:t>particulares</w:t>
            </w:r>
            <w:r w:rsidRPr="00DB4737">
              <w:rPr>
                <w:rFonts w:ascii="Verdana" w:hAnsi="Verdana" w:eastAsia="Calibri" w:cs="Times New Roman"/>
                <w:lang w:val="es-ES"/>
              </w:rPr>
              <w:t xml:space="preserve"> corresponderá a los interesados de adoptar la decisión y, en caso de conflicto, a las autoridades judiciales, fiscales y disciplinarias.</w:t>
            </w:r>
          </w:p>
          <w:p w:rsidRPr="00DB4737" w:rsidR="003A0948" w:rsidP="003A0948" w:rsidRDefault="003A0948" w14:paraId="551E6A72" w14:textId="77777777">
            <w:pPr>
              <w:ind w:left="720"/>
              <w:contextualSpacing/>
              <w:rPr>
                <w:rFonts w:ascii="Verdana" w:hAnsi="Verdana" w:eastAsia="Calibri" w:cs="Times New Roman"/>
                <w:lang w:val="es-ES"/>
              </w:rPr>
            </w:pPr>
          </w:p>
          <w:p w:rsidRPr="00505CD6" w:rsidR="00353ECE" w:rsidP="009B7F4C" w:rsidRDefault="003A0948" w14:paraId="51251CB0" w14:textId="7118FD18">
            <w:pPr>
              <w:spacing w:line="276" w:lineRule="auto"/>
              <w:ind w:firstLine="360"/>
              <w:contextualSpacing/>
              <w:jc w:val="both"/>
              <w:rPr>
                <w:rFonts w:ascii="Verdana" w:hAnsi="Verdana" w:eastAsia="Calibri" w:cs="Arial"/>
                <w:color w:val="000000"/>
                <w:lang w:val="es-MX"/>
              </w:rPr>
            </w:pP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Pr="00505CD6" w:rsidR="00757DC0" w:rsidTr="006C5D8A" w14:paraId="16743E8A" w14:textId="77777777">
        <w:trPr>
          <w:jc w:val="center"/>
        </w:trPr>
        <w:tc>
          <w:tcPr>
            <w:tcW w:w="8828" w:type="dxa"/>
            <w:shd w:val="clear" w:color="auto" w:fill="auto"/>
          </w:tcPr>
          <w:p w:rsidR="00757DC0" w:rsidP="00034BF0" w:rsidRDefault="00757DC0" w14:paraId="1C1616C5" w14:textId="77777777">
            <w:pPr>
              <w:spacing w:after="120" w:line="276" w:lineRule="auto"/>
              <w:ind w:firstLine="709"/>
              <w:jc w:val="both"/>
              <w:rPr>
                <w:rFonts w:ascii="Verdana" w:hAnsi="Verdana" w:eastAsia="Calibri" w:cs="Arial"/>
                <w:color w:val="000000"/>
                <w:lang w:val="es-ES"/>
              </w:rPr>
            </w:pPr>
          </w:p>
        </w:tc>
      </w:tr>
    </w:tbl>
    <w:p w:rsidRPr="00505CD6" w:rsidR="00505CD6" w:rsidP="00505CD6" w:rsidRDefault="00505CD6" w14:paraId="49A1211F"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505CD6" w:rsidR="00505CD6" w:rsidP="00505CD6" w:rsidRDefault="00505CD6" w14:paraId="45807F66" w14:textId="04A71F4D">
      <w:pPr>
        <w:numPr>
          <w:ilvl w:val="0"/>
          <w:numId w:val="1"/>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 xml:space="preserve">Razones de </w:t>
      </w:r>
      <w:r w:rsidRPr="00505CD6" w:rsidR="00757DC0">
        <w:rPr>
          <w:rFonts w:ascii="Verdana" w:hAnsi="Verdana" w:eastAsia="Century Gothic" w:cs="Century Gothic"/>
          <w:b/>
          <w:bCs/>
          <w:lang w:val="es-ES"/>
        </w:rPr>
        <w:t>la respuesta</w:t>
      </w:r>
      <w:r w:rsidRPr="00505CD6">
        <w:rPr>
          <w:rFonts w:ascii="Verdana" w:hAnsi="Verdana" w:eastAsia="Century Gothic" w:cs="Century Gothic"/>
          <w:b/>
          <w:bCs/>
          <w:lang w:val="es-ES"/>
        </w:rPr>
        <w:t>:</w:t>
      </w:r>
    </w:p>
    <w:p w:rsidRPr="001B1E8B" w:rsidR="00505CD6" w:rsidP="00505CD6" w:rsidRDefault="00505CD6" w14:paraId="6DA43D6D" w14:textId="77777777">
      <w:pPr>
        <w:spacing w:after="0" w:line="276" w:lineRule="auto"/>
        <w:jc w:val="both"/>
        <w:rPr>
          <w:rFonts w:ascii="Verdana" w:hAnsi="Verdana" w:eastAsia="Calibri" w:cs="Arial"/>
          <w:color w:val="7030A0"/>
          <w:lang w:val="es-ES"/>
        </w:rPr>
      </w:pPr>
    </w:p>
    <w:p w:rsidRPr="00E265F7" w:rsidR="00E265F7" w:rsidP="001A05A2" w:rsidRDefault="00E265F7" w14:paraId="3ECE3D29" w14:textId="59A06993">
      <w:pPr>
        <w:spacing w:line="276" w:lineRule="auto"/>
        <w:ind w:firstLine="360"/>
        <w:jc w:val="both"/>
        <w:rPr>
          <w:rFonts w:ascii="Verdana" w:hAnsi="Verdana" w:cs="Arial"/>
        </w:rPr>
      </w:pPr>
      <w:r>
        <w:rPr>
          <w:rFonts w:ascii="Verdana" w:hAnsi="Verdana" w:eastAsia="Calibri" w:cs="Times New Roman"/>
          <w:lang w:val="es-ES"/>
        </w:rPr>
        <w:t xml:space="preserve">De manera preliminar </w:t>
      </w:r>
      <w:r>
        <w:rPr>
          <w:rFonts w:ascii="Verdana" w:hAnsi="Verdana" w:cs="Arial"/>
        </w:rPr>
        <w:t>es pertinente indicar que</w:t>
      </w:r>
      <w:r w:rsidRPr="00E265F7">
        <w:rPr>
          <w:rFonts w:ascii="Verdana" w:hAnsi="Verdana" w:cs="Arial"/>
        </w:rPr>
        <w:t xml:space="preserve"> el 31 de diciembre de 2020 se promulgó la Ley 2069, “Por medio de la cual se impulsa el emprendimiento en Colombia”. En lo que respecta a las convocatorias limitadas a MiPymes, el artículo 34 de la Ley 2069 de 2020 dispuso nuevas reglas sobre la promoción al desarrollo en la contratación estatal. En particular, la citada disposición modificó el contenido del artículo 12 de la Ley 1150 de 2007.</w:t>
      </w:r>
    </w:p>
    <w:p w:rsidRPr="00E4639C" w:rsidR="00E265F7" w:rsidP="00E4639C" w:rsidRDefault="00E265F7" w14:paraId="5880AB8E" w14:textId="77777777">
      <w:pPr>
        <w:spacing w:line="276" w:lineRule="auto"/>
        <w:ind w:firstLine="360"/>
        <w:jc w:val="both"/>
        <w:rPr>
          <w:rFonts w:ascii="Verdana" w:hAnsi="Verdana" w:cs="Arial"/>
        </w:rPr>
      </w:pPr>
      <w:r w:rsidRPr="00E4639C">
        <w:rPr>
          <w:rFonts w:ascii="Verdana" w:hAnsi="Verdana" w:cs="Arial"/>
        </w:rPr>
        <w:t>A partir de lo anterior se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Este decreto modificó, entre otros aspectos, la Subsección 5 de la Sección 1 del Capítulo 2 del Título 1 de la Parte 2 del Libro 2 y los artículos 2.2.1.2.4.2.2. y 2.2.1.2.4.2.3. y siguientes del Decreto 1082 de 2015.</w:t>
      </w:r>
    </w:p>
    <w:p w:rsidRPr="00E4639C" w:rsidR="00E265F7" w:rsidP="00E4639C" w:rsidRDefault="00E265F7" w14:paraId="18779E38" w14:textId="77777777">
      <w:pPr>
        <w:spacing w:line="276" w:lineRule="auto"/>
        <w:ind w:firstLine="360"/>
        <w:jc w:val="both"/>
        <w:rPr>
          <w:rFonts w:ascii="Verdana" w:hAnsi="Verdana" w:cs="Arial"/>
        </w:rPr>
      </w:pPr>
      <w:r w:rsidRPr="00E4639C">
        <w:rPr>
          <w:rFonts w:ascii="Verdana" w:hAnsi="Verdana" w:cs="Arial"/>
        </w:rPr>
        <w:t>Así las cosas, el artículo (i) 2.2.1.2.4.2.2. del Decreto 1082 de 2015 consagra los requisitos para limitar la convocatoria de los procesos de contratación con pluralidad de oferentes a las MiPymes colombianas con mínimo un (1) año de existencia; (ii) el artículo 2.2.1.2.4.2.3. del Decreto 1082 de 2015 desarrolla las convocatorias limitadas a MiPymes colombianas que tengan domicilio en los departamentos o municipios en donde se va a ejecutar el contrato; y (iii) el artículo 2.2.1.2.4.2.4. del Decreto 1082 de 2015 regula la acreditación de requisitos para participar en convocatorias limitadas. De este modo, interesa precisar que el artículo 5 del Decreto 1860 de 2021, que modifica los artículos del Decreto 1082 de 2015, constituye la reglamentación del artículo 34 de la Ley 2069 de 2020, al desarrollar las reglas aplicables a las convocatorias limitadas a MiPymes como se verá a continuación.</w:t>
      </w:r>
    </w:p>
    <w:p w:rsidRPr="00E4639C" w:rsidR="00E265F7" w:rsidP="00E4639C" w:rsidRDefault="00E265F7" w14:paraId="7D8293EB" w14:textId="77777777">
      <w:pPr>
        <w:spacing w:line="276" w:lineRule="auto"/>
        <w:ind w:firstLine="360"/>
        <w:jc w:val="both"/>
        <w:rPr>
          <w:rFonts w:ascii="Verdana" w:hAnsi="Verdana" w:cs="Arial"/>
        </w:rPr>
      </w:pPr>
      <w:r w:rsidRPr="00E4639C">
        <w:rPr>
          <w:rFonts w:ascii="Verdana" w:hAnsi="Verdana" w:cs="Arial"/>
          <w:lang w:eastAsia="es-ES"/>
        </w:rPr>
        <w:t>Respecto a lo señalado en el inciso primero del artículo 2.2.1.2.4.2.2. del Decreto 1082 de 2015, modificado por el artículo 5 del Decreto 1860 de 2021, se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sidRPr="00E265F7">
        <w:rPr>
          <w:rStyle w:val="Refdenotaalpie"/>
          <w:rFonts w:ascii="Verdana" w:hAnsi="Verdana" w:cs="Arial"/>
          <w:lang w:eastAsia="es-ES"/>
        </w:rPr>
        <w:footnoteReference w:id="2"/>
      </w:r>
      <w:r w:rsidRPr="00E4639C">
        <w:rPr>
          <w:rFonts w:ascii="Verdana" w:hAnsi="Verdana" w:cs="Arial"/>
          <w:lang w:eastAsia="es-ES"/>
        </w:rPr>
        <w:t>.</w:t>
      </w:r>
    </w:p>
    <w:p w:rsidRPr="00E4639C" w:rsidR="00E265F7" w:rsidP="00E4639C" w:rsidRDefault="00E265F7" w14:paraId="440DF171" w14:textId="77777777">
      <w:pPr>
        <w:spacing w:line="276" w:lineRule="auto"/>
        <w:ind w:firstLine="360"/>
        <w:jc w:val="both"/>
        <w:rPr>
          <w:rFonts w:ascii="Verdana" w:hAnsi="Verdana" w:eastAsia="Century Gothic" w:cs="Arial"/>
          <w:color w:val="000000" w:themeColor="text1"/>
        </w:rPr>
      </w:pPr>
      <w:r w:rsidRPr="00E4639C">
        <w:rPr>
          <w:rFonts w:ascii="Verdana" w:hAnsi="Verdana" w:cs="Arial"/>
          <w:bCs/>
          <w:lang w:val="es-ES_tradnl" w:eastAsia="es-ES"/>
        </w:rPr>
        <w:t xml:space="preserve">Según se evidencia, el numeral primero limita cuantitativamente los procesos contractuales en los que se puede hacer esa convocatoria limitada a Mipymes, en la medida en que el valor del proceso de contratación tendrá que ser “menor a veinticinco mil dólares de los Estados Unidos </w:t>
      </w:r>
      <w:r w:rsidRPr="00E4639C">
        <w:rPr>
          <w:rFonts w:ascii="Verdana" w:hAnsi="Verdana" w:eastAsia="Arial" w:cs="Arial"/>
          <w:color w:val="000000"/>
          <w:lang w:eastAsia="es-ES_tradnl"/>
        </w:rPr>
        <w:t>de América”. Esta limitante, valga la pena aclarar, es establecida de acuerdo con la tasa que, para el efecto, determine cada dos (2) años el Ministerio de Comercio, Industria y Turismo</w:t>
      </w:r>
      <w:r w:rsidRPr="00E265F7">
        <w:rPr>
          <w:rFonts w:eastAsia="Arial"/>
          <w:color w:val="000000"/>
          <w:vertAlign w:val="superscript"/>
          <w:lang w:eastAsia="es-ES_tradnl"/>
        </w:rPr>
        <w:footnoteReference w:id="3"/>
      </w:r>
      <w:r w:rsidRPr="00E4639C">
        <w:rPr>
          <w:rFonts w:ascii="Verdana" w:hAnsi="Verdana" w:eastAsia="Arial" w:cs="Arial"/>
          <w:color w:val="000000"/>
          <w:lang w:eastAsia="es-ES_tradnl"/>
        </w:rPr>
        <w:t xml:space="preserve">. </w:t>
      </w:r>
    </w:p>
    <w:p w:rsidRPr="00E4639C" w:rsidR="00E265F7" w:rsidP="00E4639C" w:rsidRDefault="00E265F7" w14:paraId="6850CBDA" w14:textId="77777777">
      <w:pPr>
        <w:spacing w:line="276" w:lineRule="auto"/>
        <w:ind w:firstLine="360"/>
        <w:jc w:val="both"/>
        <w:rPr>
          <w:rFonts w:ascii="Verdana" w:hAnsi="Verdana" w:eastAsia="Century Gothic" w:cs="Arial"/>
          <w:color w:val="000000" w:themeColor="text1"/>
        </w:rPr>
      </w:pPr>
      <w:r w:rsidRPr="00E4639C">
        <w:rPr>
          <w:rFonts w:ascii="Verdana" w:hAnsi="Verdana" w:eastAsia="Arial" w:cs="Arial"/>
          <w:color w:val="000000"/>
          <w:lang w:eastAsia="es-ES_tradnl"/>
        </w:rPr>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E4639C">
        <w:rPr>
          <w:rFonts w:ascii="Verdana" w:hAnsi="Verdana" w:eastAsia="Arial" w:cs="Arial"/>
          <w:color w:val="000000"/>
          <w:lang w:val="es-ES_tradnl" w:eastAsia="es-ES_tradnl"/>
        </w:rPr>
        <w:t>o el que haga sus veces de acuerdo con la normativa aplicable a cada proceso de contratación</w:t>
      </w:r>
      <w:r w:rsidRPr="00E4639C">
        <w:rPr>
          <w:rFonts w:ascii="Verdana" w:hAnsi="Verdana" w:eastAsia="Arial" w:cs="Arial"/>
          <w:color w:val="000000"/>
          <w:lang w:eastAsia="es-ES_tradnl"/>
        </w:rPr>
        <w:t xml:space="preserve">. Además, la norma señala que, </w:t>
      </w:r>
      <w:r w:rsidRPr="00E4639C">
        <w:rPr>
          <w:rFonts w:ascii="Verdana" w:hAnsi="Verdana" w:eastAsia="Arial" w:cs="Arial"/>
          <w:color w:val="000000"/>
          <w:lang w:val="es-ES_tradnl" w:eastAsia="es-ES_tradnl"/>
        </w:rPr>
        <w:t xml:space="preserve">tratándose de personas jurídicas, las solicitudes sólo las podrán realizar las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rsidRPr="00E4639C" w:rsidR="00E265F7" w:rsidP="00E4639C" w:rsidRDefault="00E265F7" w14:paraId="5A1FC7F4" w14:textId="77777777">
      <w:pPr>
        <w:spacing w:line="276" w:lineRule="auto"/>
        <w:ind w:firstLine="360"/>
        <w:jc w:val="both"/>
        <w:rPr>
          <w:rFonts w:ascii="Verdana" w:hAnsi="Verdana" w:eastAsia="Century Gothic" w:cs="Arial"/>
          <w:color w:val="000000" w:themeColor="text1"/>
        </w:rPr>
      </w:pPr>
      <w:r w:rsidRPr="00E4639C">
        <w:rPr>
          <w:rFonts w:ascii="Verdana" w:hAnsi="Verdana" w:eastAsia="Arial" w:cs="Arial"/>
          <w:color w:val="000000"/>
          <w:lang w:eastAsia="es-ES"/>
        </w:rPr>
        <w:t xml:space="preserve">Ahora bien, en caso de que una Mipyme se encuentre interesada en solicitar la limitación de la convocatoria, deberá junto con su respectiva solicitud, las cual podrá presentar a la entidad por lo menos un (1) día hábil antes de la expedición del acto administrativo de apertura del proceso de contratación, acreditar: </w:t>
      </w:r>
      <w:r w:rsidRPr="00E4639C">
        <w:rPr>
          <w:rFonts w:ascii="Verdana" w:hAnsi="Verdana" w:eastAsia="Arial" w:cs="Arial"/>
          <w:i/>
          <w:iCs/>
          <w:color w:val="000000"/>
          <w:lang w:eastAsia="es-ES"/>
        </w:rPr>
        <w:t xml:space="preserve">i) </w:t>
      </w:r>
      <w:r w:rsidRPr="00E4639C">
        <w:rPr>
          <w:rFonts w:ascii="Verdana" w:hAnsi="Verdana" w:eastAsia="Arial" w:cs="Arial"/>
          <w:color w:val="000000"/>
          <w:lang w:eastAsia="es-ES"/>
        </w:rPr>
        <w:t>que tiene el tamaño empresarial establecido por la ley para ser considerada Mipyme</w:t>
      </w:r>
      <w:r w:rsidRPr="00E4639C">
        <w:rPr>
          <w:rFonts w:ascii="Verdana" w:hAnsi="Verdana" w:eastAsia="Arial" w:cs="Arial"/>
          <w:i/>
          <w:iCs/>
          <w:color w:val="000000"/>
          <w:lang w:eastAsia="es-ES"/>
        </w:rPr>
        <w:t xml:space="preserve">, ii) </w:t>
      </w:r>
      <w:r w:rsidRPr="00E4639C">
        <w:rPr>
          <w:rFonts w:ascii="Verdana" w:hAnsi="Verdana" w:eastAsia="Arial" w:cs="Arial"/>
          <w:color w:val="000000"/>
          <w:lang w:eastAsia="es-ES"/>
        </w:rPr>
        <w:t>que cuenta mínimo, con un (1) año de existencia y, en caso de que se trate una persona jurídica</w:t>
      </w:r>
      <w:r w:rsidRPr="00E4639C">
        <w:rPr>
          <w:rFonts w:ascii="Verdana" w:hAnsi="Verdana" w:eastAsia="Arial" w:cs="Arial"/>
          <w:i/>
          <w:iCs/>
          <w:color w:val="000000"/>
          <w:lang w:eastAsia="es-ES"/>
        </w:rPr>
        <w:t xml:space="preserve">, iii) </w:t>
      </w:r>
      <w:r w:rsidRPr="00E4639C">
        <w:rPr>
          <w:rFonts w:ascii="Verdana" w:hAnsi="Verdana" w:eastAsia="Arial" w:cs="Arial"/>
          <w:color w:val="000000"/>
          <w:lang w:eastAsia="es-ES"/>
        </w:rPr>
        <w:t>que su objeto social le permite ejecutar el contrato relacionado con el proceso contractual. Información esta, que verificará la Entidad Estatal que adelanta el respectivo proceso de contratación, para así determinar si procede o no a efectuar la limitación de la convocaría. Sin embargo, debe aclararse, que las entidades en el marco del principio de autonomía están facultadas para establecer en el pliego de condiciones, las reglas a través de las cuales se acreditarán dichas situaciones, esto, bajo la observación de lo señalado en el artículo 2.2.1.2.4.2.4 del Decreto 1082 de 2015, modificado por el artículo 5 del Decreto 1860 de 2021.</w:t>
      </w:r>
    </w:p>
    <w:p w:rsidRPr="00E265F7" w:rsidR="00E265F7" w:rsidP="00E265F7" w:rsidRDefault="00E265F7" w14:paraId="1046C657" w14:textId="77777777">
      <w:pPr>
        <w:pStyle w:val="Prrafodelista"/>
        <w:spacing w:line="276" w:lineRule="auto"/>
        <w:jc w:val="both"/>
        <w:rPr>
          <w:rFonts w:ascii="Verdana" w:hAnsi="Verdana" w:eastAsia="Century Gothic" w:cs="Arial"/>
          <w:color w:val="000000" w:themeColor="text1"/>
          <w:sz w:val="22"/>
        </w:rPr>
      </w:pPr>
    </w:p>
    <w:p w:rsidRPr="00E4639C" w:rsidR="00E265F7" w:rsidP="00E4639C" w:rsidRDefault="00E265F7" w14:paraId="0AFCEADA" w14:textId="77777777">
      <w:pPr>
        <w:spacing w:line="276" w:lineRule="auto"/>
        <w:ind w:firstLine="360"/>
        <w:jc w:val="both"/>
        <w:rPr>
          <w:rFonts w:ascii="Verdana" w:hAnsi="Verdana" w:eastAsia="Century Gothic" w:cs="Arial"/>
          <w:color w:val="000000" w:themeColor="text1"/>
        </w:rPr>
      </w:pPr>
      <w:r w:rsidRPr="00E4639C">
        <w:rPr>
          <w:rFonts w:ascii="Verdana" w:hAnsi="Verdana" w:eastAsia="Century Gothic" w:cs="Arial"/>
          <w:color w:val="000000" w:themeColor="text1"/>
        </w:rPr>
        <w:t xml:space="preserve">Ahora bien,  el artículo 6 del Decreto 142 de 2023, adiciona el 2.2.1.2.4.2.19. a la Subsección 2 de la Sección 4 del Capítulo 2 del Título 1 de la Parte 2 del Libro 2 del Decreto número 1082 de 2015, y establece </w:t>
      </w:r>
      <w:r w:rsidRPr="00E4639C">
        <w:rPr>
          <w:rFonts w:ascii="Verdana" w:hAnsi="Verdana" w:cs="Arial"/>
          <w:lang w:eastAsia="es-ES"/>
        </w:rPr>
        <w:t>los criterios que pueden tener las entidades públicas para dividir los procesos por lotes o segmentos como lo son:  i) el tipo de entregable; ii) el valor del contrato; (iii) el ámbito geográfico de la entrega. Estos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w:t>
      </w:r>
    </w:p>
    <w:p w:rsidRPr="00E4639C" w:rsidR="00E265F7" w:rsidP="00E4639C" w:rsidRDefault="00E265F7" w14:paraId="25503F24" w14:textId="77777777">
      <w:pPr>
        <w:spacing w:line="276" w:lineRule="auto"/>
        <w:ind w:firstLine="360"/>
        <w:jc w:val="both"/>
        <w:rPr>
          <w:rFonts w:ascii="Verdana" w:hAnsi="Verdana" w:eastAsia="Century Gothic" w:cs="Arial"/>
          <w:color w:val="000000" w:themeColor="text1"/>
        </w:rPr>
      </w:pPr>
      <w:r w:rsidRPr="00E4639C">
        <w:rPr>
          <w:rFonts w:ascii="Verdana" w:hAnsi="Verdana" w:cs="Arial"/>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la Agencia Nacional de Contratación Pública – Colombia Compra Eficiente considera que, la norma no determina los </w:t>
      </w:r>
      <w:r w:rsidRPr="00E4639C">
        <w:rPr>
          <w:rFonts w:ascii="Verdana" w:hAnsi="Verdana" w:cs="Arial"/>
          <w:i/>
          <w:iCs/>
        </w:rPr>
        <w:t>mecanismos y reglas</w:t>
      </w:r>
      <w:r w:rsidRPr="00E4639C">
        <w:rPr>
          <w:rFonts w:ascii="Verdana" w:hAnsi="Verdana" w:cs="Arial"/>
        </w:rPr>
        <w:t xml:space="preserve"> que pueden establecer las entidades para limitar el número de lotes a adjudicarse a un mismo oferente, así las cosas, la Entidad Estatal, podrá limitar el número de lotes de los que puede resultar adjudicatario un mismo proponente, considerando los lotes o segmentos de los distintos procesos de selección que se encuentre adelantando. Esto, “con la finalidad de evitar que se concentre la contratación” en un solo oferente, y siempre y cuando esta restricción se realice sobre la base de criterios objetivos y no discriminatorios.</w:t>
      </w:r>
    </w:p>
    <w:p w:rsidRPr="00E4639C" w:rsidR="00E265F7" w:rsidP="00E4639C" w:rsidRDefault="00E265F7" w14:paraId="30529403" w14:textId="77777777">
      <w:pPr>
        <w:spacing w:line="276" w:lineRule="auto"/>
        <w:ind w:firstLine="360"/>
        <w:jc w:val="both"/>
        <w:rPr>
          <w:rFonts w:ascii="Verdana" w:hAnsi="Verdana" w:eastAsia="Century Gothic" w:cs="Arial"/>
          <w:color w:val="000000" w:themeColor="text1"/>
        </w:rPr>
      </w:pPr>
      <w:r w:rsidRPr="00E4639C">
        <w:rPr>
          <w:rFonts w:ascii="Verdana" w:hAnsi="Verdana" w:eastAsia="Times New Roman" w:cs="Arial"/>
          <w:color w:val="000000"/>
          <w:lang w:eastAsia="es-CO"/>
        </w:rPr>
        <w:t xml:space="preserve">Bajo este contexto, le corresponde a la Entidad Estatal en ejercicio de su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Como quiera que la Entidad Estatal puede limitar los lotes a un número determinado, podrá establecer causales de rechazo para evitar que se concentre la contratación en un único proponente. </w:t>
      </w:r>
    </w:p>
    <w:p w:rsidRPr="00E4639C" w:rsidR="00E265F7" w:rsidP="00E4639C" w:rsidRDefault="00E265F7" w14:paraId="3A0BA74B" w14:textId="77777777">
      <w:pPr>
        <w:spacing w:line="276" w:lineRule="auto"/>
        <w:ind w:firstLine="360"/>
        <w:jc w:val="both"/>
        <w:rPr>
          <w:rFonts w:ascii="Verdana" w:hAnsi="Verdana" w:eastAsia="Century Gothic" w:cs="Arial"/>
          <w:color w:val="000000" w:themeColor="text1"/>
        </w:rPr>
      </w:pPr>
      <w:r w:rsidRPr="00E4639C">
        <w:rPr>
          <w:rFonts w:ascii="Verdana" w:hAnsi="Verdana" w:cs="Arial"/>
        </w:rPr>
        <w:t xml:space="preserve">Además, el inciso en comento establece que, la decisión de la entidad </w:t>
      </w:r>
      <w:r w:rsidRPr="00E4639C">
        <w:rPr>
          <w:rFonts w:ascii="Verdana" w:hAnsi="Verdana" w:eastAsia="Times New Roman" w:cs="Arial"/>
          <w:color w:val="000000"/>
          <w:lang w:eastAsia="es-CO"/>
        </w:rPr>
        <w:t xml:space="preserve">de no adjudicar un contrato puede obedecer −entre otras razones− a que: i) mediante este mecanismo se pueda restringir la competencia o ii) que la segmentación del mercado pueda conducir a que la ejecución del contrato sea imposible desde el punto de vista técnico o económico. </w:t>
      </w:r>
    </w:p>
    <w:p w:rsidRPr="00E4639C" w:rsidR="00E265F7" w:rsidP="00E4639C" w:rsidRDefault="00E265F7" w14:paraId="4A10B5AB" w14:textId="77777777">
      <w:pPr>
        <w:spacing w:line="276" w:lineRule="auto"/>
        <w:ind w:firstLine="360"/>
        <w:jc w:val="both"/>
        <w:rPr>
          <w:rFonts w:ascii="Verdana" w:hAnsi="Verdana" w:eastAsia="Century Gothic" w:cs="Arial"/>
          <w:color w:val="000000" w:themeColor="text1"/>
        </w:rPr>
      </w:pPr>
      <w:r w:rsidRPr="00E4639C">
        <w:rPr>
          <w:rFonts w:ascii="Verdana" w:hAnsi="Verdana" w:eastAsia="Century Gothic" w:cs="Arial"/>
          <w:color w:val="000000" w:themeColor="text1"/>
          <w:lang w:val="es-ES_tradnl"/>
        </w:rPr>
        <w:t>Ahora bien, al llevar a cabo un proceso de contratación en lotes o segmentos, es importante realizar estudios previos y el respectivo análisis del sector para identificar las oportunidades y determinar qué aspectos pueden adelantarse en el proceso de contratación. Así las cosas, es esencial realizar estudios del mercado. Estos estudios incluyen la evaluación de la oferta y la demanda en el sector específico en el que se llevará a cabo la contratación. El objetivo principal es comprender la situación actual del mercado, identificar a los posibles proveedores y determinar si hay suficiente competencia para garantizar una selección justa.</w:t>
      </w:r>
    </w:p>
    <w:p w:rsidRPr="00E4639C" w:rsidR="00E265F7" w:rsidP="00E4639C" w:rsidRDefault="00E265F7" w14:paraId="356246BB" w14:textId="77777777">
      <w:pPr>
        <w:spacing w:line="276" w:lineRule="auto"/>
        <w:ind w:firstLine="360"/>
        <w:jc w:val="both"/>
        <w:rPr>
          <w:rFonts w:ascii="Verdana" w:hAnsi="Verdana" w:cs="Arial"/>
          <w:lang w:eastAsia="es-ES"/>
        </w:rPr>
      </w:pPr>
      <w:r w:rsidRPr="00E4639C">
        <w:rPr>
          <w:rFonts w:ascii="Verdana" w:hAnsi="Verdana" w:cs="Arial"/>
          <w:bCs/>
          <w:lang w:val="es-ES_tradnl" w:eastAsia="es-ES"/>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p>
    <w:p w:rsidRPr="00E4639C" w:rsidR="00E265F7" w:rsidP="00E4639C" w:rsidRDefault="00E265F7" w14:paraId="3A56893A" w14:textId="77777777">
      <w:pPr>
        <w:spacing w:line="276" w:lineRule="auto"/>
        <w:ind w:firstLine="360"/>
        <w:jc w:val="both"/>
        <w:rPr>
          <w:rFonts w:ascii="Verdana" w:hAnsi="Verdana" w:cs="Arial"/>
          <w:lang w:eastAsia="es-ES"/>
        </w:rPr>
      </w:pPr>
      <w:r w:rsidRPr="00E4639C">
        <w:rPr>
          <w:rFonts w:ascii="Verdana" w:hAnsi="Verdana" w:cs="Arial"/>
          <w:bCs/>
          <w:lang w:val="es-ES_tradnl" w:eastAsia="es-ES"/>
        </w:rPr>
        <w:t>Por su parte, antes de dividir el proceso de contratación en lotes o segmentos, es importante evaluar los posibles riesgos asociados. Esto implica identificar los riesgos potenciales que podrían afectar la ejecución de los contratos y desarrollar estrategias para mitigarlos. También se deben considerar los riesgos financieros, legales y operativos relacionados con cada lote o segmento. A su vez, al efectuar un análisis de viabilidad al momento de adelantar un proceso de contratación en lotes, es importante realizar un análisis de viabilidad para determinar si esta estrategia es factible y beneficiosa. Se deben considerar factores como el tamaño y la complejidad de los lotes, los recursos disponibles, la capacidad de gestión y supervisión, y la posibilidad de lograr economías de escala o sinergias entre los lotes.</w:t>
      </w:r>
    </w:p>
    <w:p w:rsidRPr="00E4639C" w:rsidR="00E265F7" w:rsidP="00E4639C" w:rsidRDefault="00E265F7" w14:paraId="09765346" w14:textId="77777777">
      <w:pPr>
        <w:spacing w:line="276" w:lineRule="auto"/>
        <w:ind w:firstLine="360"/>
        <w:jc w:val="both"/>
        <w:rPr>
          <w:rFonts w:ascii="Verdana" w:hAnsi="Verdana" w:cs="Arial"/>
          <w:lang w:eastAsia="es-ES"/>
        </w:rPr>
      </w:pPr>
      <w:r w:rsidRPr="00E4639C">
        <w:rPr>
          <w:rFonts w:ascii="Verdana" w:hAnsi="Verdana" w:cs="Arial"/>
          <w:lang w:eastAsia="es-ES"/>
        </w:rPr>
        <w:t>A su vez, resulta importante efectuar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cantidad de bienes o servicios disponibles en el mercado para satisfacer la demanda, esto incluye evaluar la capacidad de producción de los proveedores existentes, así como cualquier capacidad adicional que se pueda generar. Además, se consideran factores como la disponibilidad de insumos, la tecnología utilizada y las barreras de entrada para nuevos proveedores, lo que conlleva a realizar una adecuada planificación del proceso de contratación, esto implica que las entidades estatales deben identificar de manera previa y precisa las necesidades y objetivos de la contratación, así como los recursos necesarios para llevarla a cabo. La planificación debe contemplar la definición clara de los requerimientos, la estimación de costos, los plazos de ejecución, entre otros aspectos relevantes. La planeación adecuada permite maximizar los beneficios de las contrataciones y minimizar los riesgos asociados.</w:t>
      </w:r>
    </w:p>
    <w:p w:rsidRPr="00E4639C" w:rsidR="00E265F7" w:rsidP="00E4639C" w:rsidRDefault="00E265F7" w14:paraId="190FBAC9" w14:textId="77777777">
      <w:pPr>
        <w:spacing w:line="276" w:lineRule="auto"/>
        <w:ind w:firstLine="360"/>
        <w:jc w:val="both"/>
        <w:rPr>
          <w:rFonts w:ascii="Verdana" w:hAnsi="Verdana" w:cs="Arial"/>
          <w:lang w:eastAsia="es-ES"/>
        </w:rPr>
      </w:pPr>
      <w:r w:rsidRPr="00E4639C">
        <w:rPr>
          <w:rFonts w:ascii="Verdana" w:hAnsi="Verdana" w:cs="Arial"/>
          <w:bCs/>
          <w:lang w:val="es-ES_tradnl" w:eastAsia="es-ES"/>
        </w:rPr>
        <w:t xml:space="preserve">En armonía con lo expuesto, y en atención al principio de selección objetiva todas las contrataciones públicas deben realizarse de manera imparcial y transparente, asegurando la igualdad de oportunidades para los participantes, por lo cual las entidades deben establecer criterios claros y transparentes para la selección del contratista, basados en méritos y capacidades técnicas. La selección debe realizarse mediante procedimientos competitivos que permitan evaluar las ofertas de manera objetiva y </w:t>
      </w:r>
      <w:r w:rsidRPr="00E4639C">
        <w:rPr>
          <w:rFonts w:ascii="Verdana" w:hAnsi="Verdana" w:cs="Arial"/>
          <w:lang w:eastAsia="es-ES"/>
        </w:rPr>
        <w:t>justa, evitando cualquier tipo de favoritismo o discriminación.</w:t>
      </w:r>
    </w:p>
    <w:p w:rsidRPr="00E4639C" w:rsidR="00E265F7" w:rsidP="00E4639C" w:rsidRDefault="00E265F7" w14:paraId="656563B8" w14:textId="77777777">
      <w:pPr>
        <w:spacing w:line="276" w:lineRule="auto"/>
        <w:ind w:firstLine="360"/>
        <w:jc w:val="both"/>
        <w:rPr>
          <w:rFonts w:ascii="Verdana" w:hAnsi="Verdana" w:cs="Arial"/>
          <w:lang w:eastAsia="es-ES"/>
        </w:rPr>
      </w:pPr>
      <w:r w:rsidRPr="00E4639C">
        <w:rPr>
          <w:rFonts w:ascii="Verdana" w:hAnsi="Verdana" w:cs="Arial"/>
        </w:rPr>
        <w:t xml:space="preserve">Por su parte, el parágrafo de la norma menciona que, en los procesos de contratación adelantados por lotes o grupos deberá aplicarse lo regulado en el artículo </w:t>
      </w:r>
      <w:r w:rsidRPr="00E4639C">
        <w:rPr>
          <w:rFonts w:ascii="Verdana" w:hAnsi="Verdana" w:cs="Arial"/>
          <w:color w:val="000000"/>
        </w:rPr>
        <w:t>2.2.1.2.4.2.2 “convocatorias limitadas a MiPymes” del Decreto 1082 de 2015, tomando en consideración el valor del Proceso de Contratación imputable al respectivo lote en el que se solicite su aplicación.</w:t>
      </w:r>
    </w:p>
    <w:p w:rsidRPr="00B96394" w:rsidR="005A4244" w:rsidP="005A4244" w:rsidRDefault="00E4639C" w14:paraId="2443617D" w14:textId="5AD58B7F">
      <w:pPr>
        <w:spacing w:line="276" w:lineRule="auto"/>
        <w:ind w:firstLine="360"/>
        <w:jc w:val="both"/>
        <w:rPr>
          <w:rFonts w:ascii="Verdana" w:hAnsi="Verdana" w:eastAsia="Aptos" w:cs="Times New Roman"/>
          <w:color w:val="000000"/>
        </w:rPr>
      </w:pPr>
      <w:r>
        <w:rPr>
          <w:rFonts w:ascii="Verdana" w:hAnsi="Verdana" w:eastAsia="Calibri" w:cs="Times New Roman"/>
          <w:lang w:val="es-ES"/>
        </w:rPr>
        <w:t>Asi las cosas,</w:t>
      </w:r>
      <w:r w:rsidR="005A4244">
        <w:rPr>
          <w:rFonts w:ascii="Verdana" w:hAnsi="Verdana" w:eastAsia="Calibri" w:cs="Times New Roman"/>
          <w:lang w:val="es-ES"/>
        </w:rPr>
        <w:t xml:space="preserve"> n</w:t>
      </w:r>
      <w:r w:rsidRPr="00B96394" w:rsidR="005A4244">
        <w:rPr>
          <w:rFonts w:ascii="Verdana" w:hAnsi="Verdana" w:eastAsia="Aptos" w:cs="Times New Roman"/>
          <w:color w:val="000000"/>
        </w:rPr>
        <w:t>o aplicar la división en lotes, sin una justificación técnica debidamente sustentada, puede considerarse una omisión contraria a los principios de planeación y responsabilidad en la contratación, así como una posible vulneración al derecho de participación en condiciones equitativas.</w:t>
      </w:r>
    </w:p>
    <w:p w:rsidRPr="00B96394" w:rsidR="005A4244" w:rsidP="001A05A2" w:rsidRDefault="005A4244" w14:paraId="37C24602" w14:textId="45652478">
      <w:pPr>
        <w:spacing w:after="0" w:line="276" w:lineRule="auto"/>
        <w:ind w:firstLine="360"/>
        <w:jc w:val="both"/>
        <w:rPr>
          <w:rFonts w:ascii="Verdana" w:hAnsi="Verdana" w:eastAsia="Aptos" w:cs="Times New Roman"/>
          <w:color w:val="000000"/>
        </w:rPr>
      </w:pPr>
      <w:r w:rsidRPr="00B96394">
        <w:rPr>
          <w:rFonts w:ascii="Verdana" w:hAnsi="Verdana" w:eastAsia="Aptos" w:cs="Times New Roman"/>
          <w:color w:val="000000"/>
        </w:rPr>
        <w:t>En conclusión, la división en lotes no es una facultad discrecional absoluta, sino una obligación técnica y jurídica que debe ser evaluada con rigor por la entidad contratante cuando el objeto lo permita, especialmente si con ello se puede garantizar el acceso efectivo de las MIPYMES al mercado estatal.</w:t>
      </w:r>
    </w:p>
    <w:p w:rsidR="00E26AEF" w:rsidP="00353ECE" w:rsidRDefault="00E26AEF" w14:paraId="2C4F1C4A" w14:textId="33047E50">
      <w:pPr>
        <w:spacing w:after="0" w:line="276" w:lineRule="auto"/>
        <w:ind w:firstLine="360"/>
        <w:contextualSpacing/>
        <w:jc w:val="both"/>
        <w:rPr>
          <w:rFonts w:ascii="Verdana" w:hAnsi="Verdana" w:eastAsia="Calibri" w:cs="Times New Roman"/>
          <w:lang w:val="es-ES"/>
        </w:rPr>
      </w:pPr>
    </w:p>
    <w:p w:rsidRPr="00DB4737" w:rsidR="00F63A5C" w:rsidP="005A4244" w:rsidRDefault="00F63A5C" w14:paraId="6E2060CF" w14:textId="694CCE1E">
      <w:pPr>
        <w:spacing w:after="0" w:line="276" w:lineRule="auto"/>
        <w:ind w:firstLine="360"/>
        <w:contextualSpacing/>
        <w:jc w:val="both"/>
        <w:rPr>
          <w:rFonts w:ascii="Verdana" w:hAnsi="Verdana" w:eastAsia="Calibri" w:cs="Times New Roman"/>
          <w:lang w:val="es-ES"/>
        </w:rPr>
      </w:pPr>
      <w:bookmarkStart w:name="_Hlk195081504" w:id="2"/>
      <w:r w:rsidRPr="00DB4737">
        <w:rPr>
          <w:rFonts w:ascii="Verdana" w:hAnsi="Verdana" w:eastAsia="Calibri" w:cs="Times New Roman"/>
          <w:lang w:val="es-ES"/>
        </w:rPr>
        <w:t>Finalmente debe advertirse, que el análisis para resolver problemas específicos en torno a</w:t>
      </w:r>
      <w:r w:rsidR="005A4244">
        <w:rPr>
          <w:rFonts w:ascii="Verdana" w:hAnsi="Verdana" w:eastAsia="Calibri" w:cs="Times New Roman"/>
          <w:lang w:val="es-ES"/>
        </w:rPr>
        <w:t xml:space="preserve"> </w:t>
      </w:r>
      <w:r w:rsidRPr="00DB4737" w:rsidR="005A4244">
        <w:rPr>
          <w:rFonts w:ascii="Verdana" w:hAnsi="Verdana" w:eastAsia="Calibri" w:cs="Times New Roman"/>
          <w:lang w:val="es-ES"/>
        </w:rPr>
        <w:t xml:space="preserve">la aplicabilidad </w:t>
      </w:r>
      <w:r w:rsidR="005A4244">
        <w:rPr>
          <w:rFonts w:ascii="Verdana" w:hAnsi="Verdana" w:eastAsia="Calibri" w:cs="Times New Roman"/>
          <w:lang w:val="es-ES"/>
        </w:rPr>
        <w:t xml:space="preserve">de </w:t>
      </w:r>
      <w:r w:rsidRPr="003F3434" w:rsidR="005A4244">
        <w:rPr>
          <w:rFonts w:ascii="Verdana" w:hAnsi="Verdana" w:eastAsia="Century Gothic" w:cs="Century Gothic"/>
        </w:rPr>
        <w:t>limitar la participación de MIPYMES cuando hay varios lugares de ejecución sin utilizar la modalidad de contratación por lotes</w:t>
      </w:r>
      <w:r w:rsidRPr="00DB4737">
        <w:rPr>
          <w:rFonts w:ascii="Verdana" w:hAnsi="Verdana" w:eastAsia="Calibri" w:cs="Times New Roman"/>
          <w:lang w:val="es-ES"/>
        </w:rPr>
        <w:t xml:space="preserve"> ,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rsidRPr="00DB4737" w:rsidR="00F63A5C" w:rsidP="00F63A5C" w:rsidRDefault="00F63A5C" w14:paraId="6B2ECE2C" w14:textId="77777777">
      <w:pPr>
        <w:spacing w:after="0"/>
        <w:ind w:left="720"/>
        <w:contextualSpacing/>
        <w:rPr>
          <w:rFonts w:ascii="Verdana" w:hAnsi="Verdana" w:eastAsia="Calibri" w:cs="Times New Roman"/>
          <w:lang w:val="es-ES"/>
        </w:rPr>
      </w:pPr>
    </w:p>
    <w:p w:rsidRPr="00DB4737" w:rsidR="00F63A5C" w:rsidP="00F63A5C" w:rsidRDefault="00F63A5C" w14:paraId="7DA85A41" w14:textId="77777777">
      <w:pPr>
        <w:spacing w:after="0" w:line="276" w:lineRule="auto"/>
        <w:ind w:firstLine="360"/>
        <w:contextualSpacing/>
        <w:jc w:val="both"/>
        <w:rPr>
          <w:rFonts w:ascii="Verdana" w:hAnsi="Verdana" w:eastAsia="Calibri" w:cs="Times New Roman"/>
          <w:lang w:val="es-ES"/>
        </w:rPr>
      </w:pP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2"/>
    <w:p w:rsidRPr="007A47F9" w:rsidR="00A5566B" w:rsidP="00A5566B" w:rsidRDefault="00A5566B" w14:paraId="45A69AFD" w14:textId="26B467E3">
      <w:pPr>
        <w:spacing w:after="0" w:line="276" w:lineRule="auto"/>
        <w:jc w:val="both"/>
        <w:rPr>
          <w:rFonts w:ascii="Verdana" w:hAnsi="Verdana" w:cs="Arial"/>
          <w:bdr w:val="none" w:color="auto" w:sz="0" w:space="0" w:frame="1"/>
        </w:rPr>
      </w:pPr>
    </w:p>
    <w:p w:rsidRPr="00505CD6" w:rsidR="00505CD6" w:rsidP="00A5566B" w:rsidRDefault="00505CD6" w14:paraId="73ADB084" w14:textId="47679EF0">
      <w:pPr>
        <w:tabs>
          <w:tab w:val="left" w:pos="426"/>
        </w:tabs>
        <w:spacing w:after="12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Referencias normativas y jurisprudenciales:</w:t>
      </w:r>
    </w:p>
    <w:p w:rsidRPr="00505CD6" w:rsidR="00505CD6" w:rsidP="00505CD6" w:rsidRDefault="00505CD6" w14:paraId="6959A8DE"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05CD6" w:rsidR="00505CD6" w:rsidTr="006C5D8A" w14:paraId="1BDBA78D" w14:textId="77777777">
        <w:trPr>
          <w:trHeight w:val="870"/>
          <w:jc w:val="center"/>
        </w:trPr>
        <w:tc>
          <w:tcPr>
            <w:tcW w:w="8647" w:type="dxa"/>
          </w:tcPr>
          <w:p w:rsidRPr="00242856" w:rsidR="001837E5" w:rsidP="001837E5" w:rsidRDefault="001837E5" w14:paraId="3F1F69EB" w14:textId="77777777">
            <w:pPr>
              <w:pStyle w:val="Prrafodelista"/>
              <w:widowControl w:val="0"/>
              <w:numPr>
                <w:ilvl w:val="0"/>
                <w:numId w:val="3"/>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Ley 2069 de 2020, Artículo 34.</w:t>
            </w:r>
          </w:p>
          <w:p w:rsidRPr="00242856" w:rsidR="001837E5" w:rsidP="001837E5" w:rsidRDefault="001837E5" w14:paraId="332F3D68" w14:textId="77777777">
            <w:pPr>
              <w:pStyle w:val="Prrafodelista"/>
              <w:widowControl w:val="0"/>
              <w:numPr>
                <w:ilvl w:val="0"/>
                <w:numId w:val="3"/>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eastAsia="Arial" w:cs="Arial"/>
                <w:color w:val="000000"/>
                <w:lang w:eastAsia="es-ES"/>
              </w:rPr>
              <w:t>Decreto 1860 de 2021, Artículo 5.</w:t>
            </w:r>
          </w:p>
          <w:p w:rsidRPr="00242856" w:rsidR="001837E5" w:rsidP="001837E5" w:rsidRDefault="001837E5" w14:paraId="36537AE0" w14:textId="77777777">
            <w:pPr>
              <w:pStyle w:val="Prrafodelista"/>
              <w:widowControl w:val="0"/>
              <w:numPr>
                <w:ilvl w:val="0"/>
                <w:numId w:val="3"/>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 xml:space="preserve">Decreto 1082 de 2015, Artículos 2.2.1.2.4.2.2, 2.2.1.2.4.2.3, 2.2.1.2.4.2.4, </w:t>
            </w:r>
            <w:r w:rsidRPr="00242856">
              <w:rPr>
                <w:rFonts w:ascii="Verdana" w:hAnsi="Verdana" w:eastAsia="Century Gothic" w:cs="Arial"/>
                <w:color w:val="000000" w:themeColor="text1"/>
              </w:rPr>
              <w:t>2.2.1.1.1.4.1, 2.2.1.2.4.2.19</w:t>
            </w:r>
          </w:p>
          <w:p w:rsidRPr="00242856" w:rsidR="001837E5" w:rsidP="001837E5" w:rsidRDefault="001837E5" w14:paraId="3B9DB0C7" w14:textId="77777777">
            <w:pPr>
              <w:pStyle w:val="Prrafodelista"/>
              <w:widowControl w:val="0"/>
              <w:numPr>
                <w:ilvl w:val="0"/>
                <w:numId w:val="3"/>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eastAsia="Century Gothic" w:cs="Arial"/>
              </w:rPr>
              <w:t>Decreto 142 de 2023, Artículo 6.</w:t>
            </w:r>
            <w:r w:rsidRPr="00242856">
              <w:rPr>
                <w:rFonts w:ascii="Verdana" w:hAnsi="Verdana" w:cs="Arial"/>
                <w:highlight w:val="cyan"/>
              </w:rPr>
              <w:t xml:space="preserve"> </w:t>
            </w:r>
          </w:p>
          <w:p w:rsidRPr="00505CD6" w:rsidR="00505CD6" w:rsidP="001837E5" w:rsidRDefault="001837E5" w14:paraId="70FC587D" w14:textId="2B938E1F">
            <w:pPr>
              <w:widowControl w:val="0"/>
              <w:autoSpaceDE w:val="0"/>
              <w:autoSpaceDN w:val="0"/>
              <w:spacing w:line="276" w:lineRule="auto"/>
              <w:ind w:left="720"/>
              <w:contextualSpacing/>
              <w:jc w:val="both"/>
              <w:rPr>
                <w:rFonts w:ascii="Verdana" w:hAnsi="Verdana" w:cs="Arial"/>
                <w:lang w:val="es-ES_tradnl"/>
              </w:rPr>
            </w:pPr>
            <w:r w:rsidRPr="00242856">
              <w:rPr>
                <w:rFonts w:ascii="Verdana" w:hAnsi="Verdana" w:cs="Arial"/>
              </w:rPr>
              <w:t xml:space="preserve">Guía para promover la participación de las MiPymes en los procesos de compra y contratación pública. Disponible en: </w:t>
            </w:r>
            <w:hyperlink w:history="1" r:id="rId13">
              <w:r w:rsidRPr="00242856">
                <w:rPr>
                  <w:rStyle w:val="Hipervnculo"/>
                  <w:rFonts w:ascii="Verdana" w:hAnsi="Verdana" w:cs="Arial"/>
                </w:rPr>
                <w:t>https://colombiacompra.gov.co/sites/cce_public/files/cce_documents/guia_para_promover_la_participacion_de_las_mipymes_en_los_procesos_de_compra_publica_cce-gad-gi-26_1.pdf</w:t>
              </w:r>
            </w:hyperlink>
          </w:p>
        </w:tc>
      </w:tr>
    </w:tbl>
    <w:p w:rsidRPr="00505CD6" w:rsidR="00505CD6" w:rsidP="00505CD6" w:rsidRDefault="00505CD6" w14:paraId="54B794AD" w14:textId="77777777">
      <w:pPr>
        <w:widowControl w:val="0"/>
        <w:autoSpaceDE w:val="0"/>
        <w:autoSpaceDN w:val="0"/>
        <w:spacing w:after="0" w:line="276" w:lineRule="auto"/>
        <w:jc w:val="both"/>
        <w:rPr>
          <w:rFonts w:ascii="Verdana" w:hAnsi="Verdana" w:cs="Arial"/>
        </w:rPr>
      </w:pPr>
    </w:p>
    <w:p w:rsidRPr="00505CD6" w:rsidR="00505CD6" w:rsidP="007E6BCF" w:rsidRDefault="00505CD6" w14:paraId="21CFA37D" w14:textId="77777777">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Doctrina de la Agencia Nacional de Contratación Pública:</w:t>
      </w:r>
    </w:p>
    <w:p w:rsidRPr="00505CD6" w:rsidR="00505CD6" w:rsidP="00505CD6" w:rsidRDefault="00505CD6" w14:paraId="35BFC8CE" w14:textId="77777777">
      <w:pPr>
        <w:widowControl w:val="0"/>
        <w:autoSpaceDE w:val="0"/>
        <w:autoSpaceDN w:val="0"/>
        <w:spacing w:after="0" w:line="276" w:lineRule="auto"/>
        <w:jc w:val="both"/>
        <w:rPr>
          <w:rFonts w:ascii="Verdana" w:hAnsi="Verdana" w:cs="Arial"/>
        </w:rPr>
      </w:pPr>
    </w:p>
    <w:p w:rsidR="00505CD6" w:rsidP="00505CD6" w:rsidRDefault="007E6BCF" w14:paraId="76502426" w14:textId="55F1CBBD">
      <w:pPr>
        <w:widowControl w:val="0"/>
        <w:autoSpaceDE w:val="0"/>
        <w:autoSpaceDN w:val="0"/>
        <w:spacing w:after="0" w:line="276" w:lineRule="auto"/>
        <w:jc w:val="both"/>
        <w:rPr>
          <w:rFonts w:ascii="Verdana" w:hAnsi="Verdana" w:cs="Arial"/>
          <w:shd w:val="clear" w:color="auto" w:fill="FFFFFF"/>
          <w:lang w:val="es-ES"/>
        </w:rPr>
      </w:pPr>
      <w:r w:rsidRPr="00242856">
        <w:rPr>
          <w:rFonts w:ascii="Verdana" w:hAnsi="Verdana" w:cs="Arial"/>
          <w:lang w:val="es-ES"/>
        </w:rPr>
        <w:t xml:space="preserve">Sobre la promoción de la división del proceso de contratación en lotes o segmentos esta subdirección se ha pronunciado en los conceptos Nro. </w:t>
      </w:r>
      <w:r w:rsidRPr="00242856">
        <w:rPr>
          <w:rFonts w:ascii="Verdana" w:hAnsi="Verdana" w:eastAsia="Calibri" w:cs="Arial"/>
          <w:color w:val="000000"/>
        </w:rPr>
        <w:t>C</w:t>
      </w:r>
      <w:r w:rsidRPr="00242856">
        <w:rPr>
          <w:rFonts w:ascii="Verdana" w:hAnsi="Verdana" w:eastAsia="Calibri" w:cs="Arial"/>
          <w:bCs/>
          <w:color w:val="000000" w:themeColor="text1"/>
          <w:lang w:val="es-ES_tradnl"/>
        </w:rPr>
        <w:t>-670 del 19 de octubre de 2022, C-951 del 18 de enero de 2022, C-598 del 22 de septiembre de 2022, C-670 del 19 de octubre de 2022, C-113 del 12 de mayo de 2023, C-194 del 18 de mayo de 2023, C-064 del 5 de junio de 2023, C-084 del 30 de mayo del 2024</w:t>
      </w:r>
      <w:r>
        <w:rPr>
          <w:rFonts w:ascii="Verdana" w:hAnsi="Verdana" w:eastAsia="Calibri" w:cs="Arial"/>
          <w:bCs/>
          <w:color w:val="000000" w:themeColor="text1"/>
          <w:lang w:val="es-ES_tradnl"/>
        </w:rPr>
        <w:t xml:space="preserve">, </w:t>
      </w:r>
      <w:r w:rsidRPr="00242856">
        <w:rPr>
          <w:rFonts w:ascii="Verdana" w:hAnsi="Verdana" w:eastAsia="Calibri" w:cs="Arial"/>
          <w:bCs/>
          <w:color w:val="000000" w:themeColor="text1"/>
          <w:lang w:val="es-ES_tradnl"/>
        </w:rPr>
        <w:t>C-221 del 08 de agosto del 2024</w:t>
      </w:r>
      <w:r>
        <w:rPr>
          <w:rFonts w:ascii="Verdana" w:hAnsi="Verdana" w:eastAsia="Aptos" w:cs="Arial"/>
          <w:shd w:val="clear" w:color="auto" w:fill="FFFFFF"/>
          <w:lang w:val="es-ES"/>
        </w:rPr>
        <w:t xml:space="preserve"> y 852</w:t>
      </w:r>
      <w:r w:rsidR="002A2E9E">
        <w:rPr>
          <w:rFonts w:ascii="Verdana" w:hAnsi="Verdana" w:eastAsia="Aptos" w:cs="Arial"/>
          <w:shd w:val="clear" w:color="auto" w:fill="FFFFFF"/>
          <w:lang w:val="es-ES"/>
        </w:rPr>
        <w:t xml:space="preserve"> </w:t>
      </w:r>
      <w:r>
        <w:rPr>
          <w:rFonts w:ascii="Verdana" w:hAnsi="Verdana" w:eastAsia="Aptos" w:cs="Arial"/>
          <w:shd w:val="clear" w:color="auto" w:fill="FFFFFF"/>
          <w:lang w:val="es-ES"/>
        </w:rPr>
        <w:t xml:space="preserve">del 13 de diciembre de 2024, </w:t>
      </w:r>
      <w:r w:rsidRPr="00DB4737" w:rsidR="00984D19">
        <w:rPr>
          <w:rFonts w:ascii="Verdana" w:hAnsi="Verdana" w:eastAsia="Aptos" w:cs="Arial"/>
          <w:shd w:val="clear" w:color="auto" w:fill="FFFFFF"/>
          <w:lang w:val="es-ES"/>
        </w:rPr>
        <w:t>entre otros</w:t>
      </w:r>
      <w:r w:rsidRPr="009F1519" w:rsidR="009F1519">
        <w:rPr>
          <w:rFonts w:ascii="Verdana" w:hAnsi="Verdana" w:cs="Arial"/>
          <w:shd w:val="clear" w:color="auto" w:fill="FFFFFF"/>
          <w:lang w:val="es-ES"/>
        </w:rPr>
        <w:t xml:space="preserve">. Estos y otros conceptos se encuentran disponibles para consulta en el Sistema de relatoría de la Agencia, al cual se puede acceder a través del siguiente enlace: </w:t>
      </w:r>
      <w:hyperlink w:history="1" r:id="rId14">
        <w:r w:rsidRPr="00191357" w:rsidR="009F1519">
          <w:rPr>
            <w:rStyle w:val="Hipervnculo"/>
            <w:rFonts w:ascii="Verdana" w:hAnsi="Verdana" w:cs="Arial"/>
            <w:shd w:val="clear" w:color="auto" w:fill="FFFFFF"/>
            <w:lang w:val="es-ES"/>
          </w:rPr>
          <w:t>https://relatoria.colombiacompra.gov.co/busqueda/conceptos</w:t>
        </w:r>
      </w:hyperlink>
    </w:p>
    <w:p w:rsidRPr="00505CD6" w:rsidR="009F1519" w:rsidP="00505CD6" w:rsidRDefault="009F1519" w14:paraId="36F0FAD9"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505CD6" w:rsidP="00505CD6" w:rsidRDefault="00505CD6" w14:paraId="7B87CF85"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505CD6" w:rsidR="00505CD6" w:rsidP="00505CD6" w:rsidRDefault="00505CD6" w14:paraId="24311C20"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B10C661"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5">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505CD6" w:rsidR="00505CD6" w:rsidP="00505CD6" w:rsidRDefault="00505CD6" w14:paraId="1D97270C"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6">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rsidRPr="00505CD6" w:rsidR="00505CD6" w:rsidP="00505CD6" w:rsidRDefault="00505CD6" w14:paraId="4AC1A67D"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21CECEB"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7">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rsidRPr="00505CD6" w:rsidR="00505CD6" w:rsidP="00505CD6" w:rsidRDefault="00505CD6" w14:paraId="2AB9AF3E" w14:textId="77777777">
      <w:pPr>
        <w:widowControl w:val="0"/>
        <w:autoSpaceDE w:val="0"/>
        <w:autoSpaceDN w:val="0"/>
        <w:spacing w:after="0" w:line="276" w:lineRule="auto"/>
        <w:jc w:val="both"/>
        <w:rPr>
          <w:rFonts w:ascii="Verdana" w:hAnsi="Verdana" w:eastAsia="Calibri" w:cs="Arial"/>
          <w:color w:val="000000" w:themeColor="text1"/>
        </w:rPr>
      </w:pPr>
    </w:p>
    <w:p w:rsidRPr="00505CD6" w:rsidR="00505CD6" w:rsidP="00505CD6" w:rsidRDefault="00505CD6" w14:paraId="30849606"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505CD6" w:rsidP="00505CD6" w:rsidRDefault="00505CD6" w14:paraId="697C2D02" w14:textId="77777777">
      <w:pPr>
        <w:widowControl w:val="0"/>
        <w:autoSpaceDE w:val="0"/>
        <w:autoSpaceDN w:val="0"/>
        <w:spacing w:after="0" w:line="276" w:lineRule="auto"/>
        <w:jc w:val="both"/>
        <w:rPr>
          <w:rFonts w:ascii="Verdana" w:hAnsi="Verdana" w:cs="Arial"/>
        </w:rPr>
      </w:pPr>
    </w:p>
    <w:p w:rsidRPr="00505CD6" w:rsidR="00505CD6" w:rsidP="00505CD6" w:rsidRDefault="00505CD6" w14:paraId="5BD794D8" w14:textId="77777777">
      <w:pPr>
        <w:spacing w:after="0" w:line="240" w:lineRule="auto"/>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505CD6" w:rsidP="00505CD6" w:rsidRDefault="00505CD6" w14:paraId="78760A9E" w14:textId="3D46A2E5">
      <w:pPr>
        <w:spacing w:line="276" w:lineRule="auto"/>
        <w:jc w:val="center"/>
        <w:rPr>
          <w:noProof/>
        </w:rPr>
      </w:pPr>
    </w:p>
    <w:p w:rsidRPr="00FE75A3" w:rsidR="00FE75A3" w:rsidP="00FE75A3" w:rsidRDefault="00FE75A3" w14:paraId="542ACA5E" w14:textId="49F78EC2">
      <w:pPr>
        <w:spacing w:line="276" w:lineRule="auto"/>
        <w:jc w:val="center"/>
        <w:rPr>
          <w:rFonts w:ascii="Verdana" w:hAnsi="Verdana"/>
          <w:noProof/>
        </w:rPr>
      </w:pPr>
      <w:r w:rsidRPr="00FE75A3">
        <w:rPr>
          <w:rFonts w:ascii="Verdana" w:hAnsi="Verdana"/>
          <w:noProof/>
        </w:rPr>
        <w:drawing>
          <wp:inline distT="0" distB="0" distL="0" distR="0" wp14:anchorId="601D03E1" wp14:editId="4EBAE2C3">
            <wp:extent cx="3449955" cy="1481006"/>
            <wp:effectExtent l="0" t="0" r="0" b="5080"/>
            <wp:docPr id="324132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55896" cy="1483556"/>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05CD6" w:rsidR="00505CD6" w:rsidTr="006C5D8A" w14:paraId="6AD22D8F" w14:textId="77777777">
        <w:trPr>
          <w:trHeight w:val="315"/>
        </w:trPr>
        <w:tc>
          <w:tcPr>
            <w:tcW w:w="893" w:type="dxa"/>
            <w:vAlign w:val="center"/>
            <w:hideMark/>
          </w:tcPr>
          <w:p w:rsidRPr="00505CD6" w:rsidR="00505CD6" w:rsidP="00505CD6" w:rsidRDefault="00505CD6" w14:paraId="63823BAB"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05CD6" w:rsidR="00505CD6" w:rsidP="00505CD6" w:rsidRDefault="00A520B4" w14:paraId="1637FB18" w14:textId="1ED75DF9">
            <w:pPr>
              <w:contextualSpacing/>
              <w:rPr>
                <w:rFonts w:ascii="Verdana" w:hAnsi="Verdana"/>
                <w:sz w:val="16"/>
                <w:szCs w:val="16"/>
              </w:rPr>
            </w:pPr>
            <w:r>
              <w:rPr>
                <w:rFonts w:ascii="Verdana" w:hAnsi="Verdana"/>
                <w:sz w:val="16"/>
                <w:szCs w:val="16"/>
              </w:rPr>
              <w:t>Daniel Eduardo Rojas</w:t>
            </w:r>
          </w:p>
          <w:p w:rsidRPr="00505CD6" w:rsidR="00505CD6" w:rsidP="00505CD6" w:rsidRDefault="00505CD6" w14:paraId="7CA897BD" w14:textId="77777777">
            <w:pPr>
              <w:contextualSpacing/>
              <w:rPr>
                <w:rFonts w:ascii="Verdana" w:hAnsi="Verdana" w:eastAsia="Arial" w:cs="Arial"/>
                <w:sz w:val="16"/>
                <w:szCs w:val="16"/>
              </w:rPr>
            </w:pPr>
            <w:r w:rsidRPr="00505CD6">
              <w:rPr>
                <w:rFonts w:ascii="Verdana" w:hAnsi="Verdana"/>
                <w:sz w:val="16"/>
                <w:szCs w:val="16"/>
              </w:rPr>
              <w:t>Contratista de la Subdirección de Gestión Contractual</w:t>
            </w:r>
          </w:p>
        </w:tc>
      </w:tr>
      <w:tr w:rsidRPr="00505CD6" w:rsidR="00505CD6" w:rsidTr="006C5D8A" w14:paraId="1F8F07BE" w14:textId="77777777">
        <w:trPr>
          <w:trHeight w:val="330"/>
        </w:trPr>
        <w:tc>
          <w:tcPr>
            <w:tcW w:w="893" w:type="dxa"/>
            <w:vAlign w:val="center"/>
            <w:hideMark/>
          </w:tcPr>
          <w:p w:rsidRPr="00505CD6" w:rsidR="00505CD6" w:rsidP="00505CD6" w:rsidRDefault="00505CD6" w14:paraId="1C2AC98D"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00AC121B" w:rsidP="00505CD6" w:rsidRDefault="00E26AEF" w14:paraId="4E6DDA05" w14:textId="7AA8CE49">
            <w:pPr>
              <w:contextualSpacing/>
              <w:textAlignment w:val="baseline"/>
              <w:rPr>
                <w:rFonts w:ascii="Verdana" w:hAnsi="Verdana" w:eastAsia="Times New Roman" w:cs="Arial"/>
                <w:sz w:val="16"/>
                <w:szCs w:val="16"/>
                <w:lang w:val="es-ES" w:eastAsia="es-ES_tradnl"/>
              </w:rPr>
            </w:pPr>
            <w:r>
              <w:rPr>
                <w:rFonts w:ascii="Verdana" w:hAnsi="Verdana" w:eastAsia="Times New Roman" w:cs="Arial"/>
                <w:sz w:val="16"/>
                <w:szCs w:val="16"/>
                <w:lang w:val="es-ES" w:eastAsia="es-ES_tradnl"/>
              </w:rPr>
              <w:t>Juan Carlos Gonzalez</w:t>
            </w:r>
          </w:p>
          <w:p w:rsidRPr="00505CD6" w:rsidR="00505CD6" w:rsidP="00505CD6" w:rsidRDefault="004F398D" w14:paraId="2A5BD1DE" w14:textId="43026873">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 xml:space="preserve">Contratista </w:t>
            </w:r>
            <w:r w:rsidRPr="00505CD6" w:rsidR="00505CD6">
              <w:rPr>
                <w:rFonts w:ascii="Verdana" w:hAnsi="Verdana" w:eastAsia="Times New Roman" w:cs="Arial"/>
                <w:sz w:val="16"/>
                <w:szCs w:val="16"/>
                <w:lang w:val="es-ES" w:eastAsia="es-ES_tradnl"/>
              </w:rPr>
              <w:t>de la Subdirección de Gestión Contractual</w:t>
            </w:r>
            <w:r w:rsidRPr="00505CD6" w:rsidR="00505CD6">
              <w:rPr>
                <w:rFonts w:ascii="Verdana" w:hAnsi="Verdana" w:eastAsia="Times New Roman" w:cs="Arial"/>
                <w:sz w:val="16"/>
                <w:szCs w:val="16"/>
                <w:lang w:eastAsia="es-ES_tradnl"/>
              </w:rPr>
              <w:t> </w:t>
            </w:r>
          </w:p>
        </w:tc>
      </w:tr>
      <w:tr w:rsidRPr="00505CD6" w:rsidR="00505CD6" w:rsidTr="006C5D8A" w14:paraId="0C71EA4D" w14:textId="77777777">
        <w:trPr>
          <w:trHeight w:val="300"/>
        </w:trPr>
        <w:tc>
          <w:tcPr>
            <w:tcW w:w="893" w:type="dxa"/>
            <w:vAlign w:val="center"/>
          </w:tcPr>
          <w:p w:rsidRPr="00505CD6" w:rsidR="00505CD6" w:rsidP="00505CD6" w:rsidRDefault="00505CD6" w14:paraId="4D28D28C"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05CD6" w:rsidR="00505CD6" w:rsidP="00505CD6" w:rsidRDefault="00505CD6" w14:paraId="32222C7D"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val="pt-BR" w:eastAsia="es-ES"/>
              </w:rPr>
              <w:t>Carolina Quintero Gacharná</w:t>
            </w:r>
          </w:p>
          <w:p w:rsidRPr="00505CD6" w:rsidR="00505CD6" w:rsidP="00505CD6" w:rsidRDefault="00505CD6" w14:paraId="641172E7" w14:textId="122BEADF">
            <w:pPr>
              <w:contextualSpacing/>
              <w:rPr>
                <w:rFonts w:ascii="Verdana" w:hAnsi="Verdana" w:eastAsia="Calibri" w:cs="Arial"/>
                <w:sz w:val="16"/>
                <w:szCs w:val="16"/>
                <w:lang w:val="pt-BR" w:eastAsia="es-ES"/>
              </w:rPr>
            </w:pPr>
            <w:r w:rsidRPr="00505CD6">
              <w:rPr>
                <w:rFonts w:ascii="Verdana" w:hAnsi="Verdana" w:eastAsia="Calibri" w:cs="Arial"/>
                <w:sz w:val="16"/>
                <w:szCs w:val="16"/>
                <w:lang w:eastAsia="es-ES"/>
              </w:rPr>
              <w:t>Subdirectora</w:t>
            </w:r>
            <w:r w:rsidRPr="00505CD6">
              <w:rPr>
                <w:rFonts w:ascii="Verdana" w:hAnsi="Verdana" w:eastAsia="Calibri" w:cs="Arial"/>
                <w:sz w:val="16"/>
                <w:szCs w:val="16"/>
                <w:lang w:val="pt-BR" w:eastAsia="es-ES"/>
              </w:rPr>
              <w:t xml:space="preserve"> de Gestión </w:t>
            </w:r>
            <w:r w:rsidRPr="00505CD6" w:rsidR="00F92CAE">
              <w:rPr>
                <w:rFonts w:ascii="Verdana" w:hAnsi="Verdana" w:eastAsia="Calibri" w:cs="Arial"/>
                <w:sz w:val="16"/>
                <w:szCs w:val="16"/>
                <w:lang w:val="pt-BR" w:eastAsia="es-ES"/>
              </w:rPr>
              <w:t>Contratual</w:t>
            </w:r>
            <w:r w:rsidRPr="00505CD6">
              <w:rPr>
                <w:rFonts w:ascii="Verdana" w:hAnsi="Verdana" w:eastAsia="Calibri" w:cs="Arial"/>
                <w:sz w:val="16"/>
                <w:szCs w:val="16"/>
                <w:lang w:val="pt-BR" w:eastAsia="es-ES"/>
              </w:rPr>
              <w:t xml:space="preserve"> ANCP – CCE</w:t>
            </w:r>
          </w:p>
        </w:tc>
      </w:tr>
      <w:bookmarkEnd w:id="0"/>
    </w:tbl>
    <w:p w:rsidRPr="00505CD6" w:rsidR="00505CD6" w:rsidP="00505CD6" w:rsidRDefault="00505CD6" w14:paraId="09365269" w14:textId="77777777">
      <w:pPr>
        <w:spacing w:after="0" w:line="240" w:lineRule="auto"/>
        <w:rPr>
          <w:rFonts w:ascii="Verdana" w:hAnsi="Verdana" w:eastAsia="Times New Roman" w:cs="Arial"/>
          <w:sz w:val="24"/>
          <w:szCs w:val="24"/>
          <w:lang w:eastAsia="es-ES"/>
        </w:rPr>
      </w:pPr>
    </w:p>
    <w:sectPr w:rsidRPr="00505CD6" w:rsidR="00505CD6" w:rsidSect="007905BA">
      <w:headerReference w:type="even" r:id="rId19"/>
      <w:headerReference w:type="default" r:id="rId20"/>
      <w:footerReference w:type="even" r:id="rId21"/>
      <w:footerReference w:type="default" r:id="rId22"/>
      <w:headerReference w:type="first" r:id="rId23"/>
      <w:footerReference w:type="first" r:id="rId24"/>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22EC" w:rsidP="00B30448" w:rsidRDefault="00C022EC" w14:paraId="450781A9" w14:textId="77777777">
      <w:pPr>
        <w:spacing w:after="0" w:line="240" w:lineRule="auto"/>
      </w:pPr>
      <w:r>
        <w:separator/>
      </w:r>
    </w:p>
  </w:endnote>
  <w:endnote w:type="continuationSeparator" w:id="0">
    <w:p w:rsidR="00C022EC" w:rsidP="00B30448" w:rsidRDefault="00C022EC" w14:paraId="1E11397D" w14:textId="77777777">
      <w:pPr>
        <w:spacing w:after="0" w:line="240" w:lineRule="auto"/>
      </w:pPr>
      <w:r>
        <w:continuationSeparator/>
      </w:r>
    </w:p>
  </w:endnote>
  <w:endnote w:type="continuationNotice" w:id="1">
    <w:p w:rsidR="00C022EC" w:rsidRDefault="00C022EC" w14:paraId="7D42E23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3DAC6B65"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28AA2B44"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22EC" w:rsidP="00B30448" w:rsidRDefault="00C022EC" w14:paraId="6B890B3B" w14:textId="77777777">
      <w:pPr>
        <w:spacing w:after="0" w:line="240" w:lineRule="auto"/>
      </w:pPr>
      <w:r>
        <w:separator/>
      </w:r>
    </w:p>
  </w:footnote>
  <w:footnote w:type="continuationSeparator" w:id="0">
    <w:p w:rsidR="00C022EC" w:rsidP="00B30448" w:rsidRDefault="00C022EC" w14:paraId="7D8C616E" w14:textId="77777777">
      <w:pPr>
        <w:spacing w:after="0" w:line="240" w:lineRule="auto"/>
      </w:pPr>
      <w:r>
        <w:continuationSeparator/>
      </w:r>
    </w:p>
  </w:footnote>
  <w:footnote w:type="continuationNotice" w:id="1">
    <w:p w:rsidR="00C022EC" w:rsidRDefault="00C022EC" w14:paraId="67EFD57E" w14:textId="77777777">
      <w:pPr>
        <w:spacing w:after="0" w:line="240" w:lineRule="auto"/>
      </w:pPr>
    </w:p>
  </w:footnote>
  <w:footnote w:id="2">
    <w:p w:rsidRPr="00D9401A" w:rsidR="00E265F7" w:rsidP="00E265F7" w:rsidRDefault="00E265F7" w14:paraId="73936879" w14:textId="77777777">
      <w:pPr>
        <w:spacing w:after="0" w:line="240" w:lineRule="auto"/>
        <w:ind w:firstLine="708"/>
        <w:jc w:val="both"/>
        <w:rPr>
          <w:rFonts w:ascii="Verdana" w:hAnsi="Verdana" w:cs="Arial"/>
          <w:sz w:val="18"/>
          <w:szCs w:val="18"/>
          <w:lang w:val="es-ES" w:eastAsia="es-ES"/>
        </w:rPr>
      </w:pPr>
      <w:r w:rsidRPr="00D9401A">
        <w:rPr>
          <w:rStyle w:val="Refdenotaalpie"/>
          <w:rFonts w:ascii="Verdana" w:hAnsi="Verdana"/>
          <w:sz w:val="18"/>
          <w:szCs w:val="18"/>
        </w:rPr>
        <w:footnoteRef/>
      </w:r>
      <w:r w:rsidRPr="00D9401A">
        <w:rPr>
          <w:rFonts w:ascii="Verdana" w:hAnsi="Verdana" w:cs="Arial"/>
          <w:sz w:val="18"/>
          <w:szCs w:val="18"/>
          <w:lang w:val="es-ES"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cuando concurran los siguientes requisitos: </w:t>
      </w:r>
    </w:p>
    <w:p w:rsidRPr="00D9401A" w:rsidR="00E265F7" w:rsidP="00E265F7" w:rsidRDefault="00E265F7" w14:paraId="791BED3A" w14:textId="77777777">
      <w:pPr>
        <w:spacing w:after="0" w:line="240" w:lineRule="auto"/>
        <w:ind w:firstLine="708"/>
        <w:jc w:val="both"/>
        <w:rPr>
          <w:rFonts w:ascii="Verdana" w:hAnsi="Verdana" w:cs="Arial"/>
          <w:sz w:val="18"/>
          <w:szCs w:val="18"/>
          <w:lang w:val="es-ES" w:eastAsia="es-ES"/>
        </w:rPr>
      </w:pPr>
      <w:r w:rsidRPr="00D9401A">
        <w:rPr>
          <w:rFonts w:ascii="Verdana" w:hAnsi="Verdana" w:cs="Arial"/>
          <w:bCs/>
          <w:sz w:val="18"/>
          <w:szCs w:val="18"/>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rsidRPr="00D9401A" w:rsidR="00E265F7" w:rsidP="00E265F7" w:rsidRDefault="00E265F7" w14:paraId="3F68D344" w14:textId="77777777">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rsidRPr="00D9401A" w:rsidR="00E265F7" w:rsidP="00E265F7" w:rsidRDefault="00E265F7" w14:paraId="337DA1A9" w14:textId="77777777">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Parágrafo. Las cooperativas y demás entidades de economía solidaria, siempre que tengan la calidad de Mipyme, podrán solicitar y participar en las convocatorias limitadas en las mismas condiciones dispuestas en el presente artículo</w:t>
      </w:r>
    </w:p>
  </w:footnote>
  <w:footnote w:id="3">
    <w:p w:rsidRPr="00D9401A" w:rsidR="00E265F7" w:rsidP="00E265F7" w:rsidRDefault="00E265F7" w14:paraId="75AF8E95" w14:textId="77777777">
      <w:pPr>
        <w:pStyle w:val="Textonotapie"/>
        <w:ind w:firstLine="708"/>
        <w:jc w:val="both"/>
        <w:rPr>
          <w:rFonts w:ascii="Verdana" w:hAnsi="Verdana" w:cs="Arial"/>
          <w:sz w:val="18"/>
          <w:szCs w:val="18"/>
        </w:rPr>
      </w:pPr>
      <w:r w:rsidRPr="00D9401A">
        <w:rPr>
          <w:rStyle w:val="Refdenotaalpie"/>
          <w:rFonts w:ascii="Verdana" w:hAnsi="Verdana" w:cs="Arial"/>
          <w:sz w:val="18"/>
          <w:szCs w:val="18"/>
        </w:rPr>
        <w:footnoteRef/>
      </w:r>
      <w:r w:rsidRPr="00D9401A">
        <w:rPr>
          <w:rFonts w:ascii="Verdana" w:hAnsi="Verdana"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w:t>
      </w:r>
      <w:hyperlink w:history="1" r:id="rId1">
        <w:r w:rsidRPr="00D9401A">
          <w:rPr>
            <w:rFonts w:ascii="Verdana" w:hAnsi="Verdana"/>
            <w:sz w:val="18"/>
            <w:szCs w:val="18"/>
          </w:rPr>
          <w:t>https://www.colombiacompra.gov.co/sites/cce_public/files/files_2020/vf_umbrales_actualizaciones_2022_-_2023_1.pdf</w:t>
        </w:r>
      </w:hyperlink>
      <w:r w:rsidRPr="00D9401A">
        <w:rPr>
          <w:rFonts w:ascii="Verdana" w:hAnsi="Verdana" w:cs="Arial"/>
          <w:sz w:val="18"/>
          <w:szCs w:val="18"/>
        </w:rPr>
        <w:t>. Allí se señala que el monto corresponde a $ 457.297.264.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17BB655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F59" w:rsidP="00006F59" w:rsidRDefault="00006F59" w14:paraId="5F149BFF" w14:textId="78C8B3BB">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6367702E">
    <w:pPr>
      <w:tabs>
        <w:tab w:val="left" w:pos="6217"/>
      </w:tabs>
      <w:spacing w:after="0"/>
      <w:rPr>
        <w:rFonts w:ascii="Verdana" w:hAnsi="Verdana"/>
        <w:b/>
        <w:bCs/>
        <w:sz w:val="24"/>
        <w:szCs w:val="24"/>
      </w:rPr>
    </w:pPr>
  </w:p>
  <w:p w:rsidRPr="00006F59" w:rsidR="00B30448" w:rsidP="00006F59" w:rsidRDefault="00B30448" w14:paraId="68E0C024" w14:textId="62811F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24DCA71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01457A"/>
    <w:multiLevelType w:val="hybridMultilevel"/>
    <w:tmpl w:val="38A20F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A60431"/>
    <w:multiLevelType w:val="hybridMultilevel"/>
    <w:tmpl w:val="DCC894E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17107B63"/>
    <w:multiLevelType w:val="multilevel"/>
    <w:tmpl w:val="A4109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5971F2"/>
    <w:multiLevelType w:val="hybridMultilevel"/>
    <w:tmpl w:val="66BCAA7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7" w15:restartNumberingAfterBreak="0">
    <w:nsid w:val="298928FE"/>
    <w:multiLevelType w:val="hybridMultilevel"/>
    <w:tmpl w:val="4628E5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2" w15:restartNumberingAfterBreak="0">
    <w:nsid w:val="4D0E478B"/>
    <w:multiLevelType w:val="hybridMultilevel"/>
    <w:tmpl w:val="869EF6D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5264000C"/>
    <w:multiLevelType w:val="hybridMultilevel"/>
    <w:tmpl w:val="E38AC9C6"/>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14" w15:restartNumberingAfterBreak="0">
    <w:nsid w:val="5DFC639C"/>
    <w:multiLevelType w:val="hybridMultilevel"/>
    <w:tmpl w:val="6A9EC76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661C105F"/>
    <w:multiLevelType w:val="hybridMultilevel"/>
    <w:tmpl w:val="FF7611B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6"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7A6C4E08"/>
    <w:multiLevelType w:val="hybridMultilevel"/>
    <w:tmpl w:val="7A8E035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E376794"/>
    <w:multiLevelType w:val="hybridMultilevel"/>
    <w:tmpl w:val="14E62B0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330140246">
    <w:abstractNumId w:val="0"/>
  </w:num>
  <w:num w:numId="2" w16cid:durableId="1492209491">
    <w:abstractNumId w:val="8"/>
  </w:num>
  <w:num w:numId="3" w16cid:durableId="679089576">
    <w:abstractNumId w:val="10"/>
  </w:num>
  <w:num w:numId="4" w16cid:durableId="893472101">
    <w:abstractNumId w:val="6"/>
  </w:num>
  <w:num w:numId="5" w16cid:durableId="1982299905">
    <w:abstractNumId w:val="18"/>
  </w:num>
  <w:num w:numId="6" w16cid:durableId="130758360">
    <w:abstractNumId w:val="11"/>
  </w:num>
  <w:num w:numId="7" w16cid:durableId="262541512">
    <w:abstractNumId w:val="16"/>
  </w:num>
  <w:num w:numId="8" w16cid:durableId="104272583">
    <w:abstractNumId w:val="2"/>
  </w:num>
  <w:num w:numId="9" w16cid:durableId="1999337129">
    <w:abstractNumId w:val="17"/>
  </w:num>
  <w:num w:numId="10" w16cid:durableId="905800357">
    <w:abstractNumId w:val="5"/>
  </w:num>
  <w:num w:numId="11" w16cid:durableId="1044253173">
    <w:abstractNumId w:val="7"/>
  </w:num>
  <w:num w:numId="12" w16cid:durableId="289018737">
    <w:abstractNumId w:val="19"/>
  </w:num>
  <w:num w:numId="13" w16cid:durableId="1910656144">
    <w:abstractNumId w:val="1"/>
  </w:num>
  <w:num w:numId="14" w16cid:durableId="1180662790">
    <w:abstractNumId w:val="13"/>
  </w:num>
  <w:num w:numId="15" w16cid:durableId="1549102236">
    <w:abstractNumId w:val="15"/>
  </w:num>
  <w:num w:numId="16" w16cid:durableId="1608417226">
    <w:abstractNumId w:val="12"/>
  </w:num>
  <w:num w:numId="17" w16cid:durableId="1317221377">
    <w:abstractNumId w:val="9"/>
  </w:num>
  <w:num w:numId="18" w16cid:durableId="1480686537">
    <w:abstractNumId w:val="3"/>
  </w:num>
  <w:num w:numId="19" w16cid:durableId="2067606687">
    <w:abstractNumId w:val="4"/>
  </w:num>
  <w:num w:numId="20" w16cid:durableId="15501916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359E"/>
    <w:rsid w:val="000A413A"/>
    <w:rsid w:val="000A66A1"/>
    <w:rsid w:val="000A69FB"/>
    <w:rsid w:val="000B1087"/>
    <w:rsid w:val="000B199A"/>
    <w:rsid w:val="000B1FF7"/>
    <w:rsid w:val="000B2529"/>
    <w:rsid w:val="000B2B7C"/>
    <w:rsid w:val="000B381D"/>
    <w:rsid w:val="000B3DF5"/>
    <w:rsid w:val="000B4024"/>
    <w:rsid w:val="000B4453"/>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6FE"/>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78B"/>
    <w:rsid w:val="001837E5"/>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6172"/>
    <w:rsid w:val="00197205"/>
    <w:rsid w:val="00197A9D"/>
    <w:rsid w:val="001A05A2"/>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544"/>
    <w:rsid w:val="0021285B"/>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572C"/>
    <w:rsid w:val="002267D2"/>
    <w:rsid w:val="00226C26"/>
    <w:rsid w:val="00230839"/>
    <w:rsid w:val="00231ADB"/>
    <w:rsid w:val="00232178"/>
    <w:rsid w:val="00232248"/>
    <w:rsid w:val="00232D12"/>
    <w:rsid w:val="002353E3"/>
    <w:rsid w:val="00235F30"/>
    <w:rsid w:val="00236287"/>
    <w:rsid w:val="002363FF"/>
    <w:rsid w:val="00236D10"/>
    <w:rsid w:val="00237EBB"/>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2E9E"/>
    <w:rsid w:val="002A3B6D"/>
    <w:rsid w:val="002A4A82"/>
    <w:rsid w:val="002A4B33"/>
    <w:rsid w:val="002A5311"/>
    <w:rsid w:val="002A7F8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E7AD0"/>
    <w:rsid w:val="002F00B8"/>
    <w:rsid w:val="002F0106"/>
    <w:rsid w:val="002F03C8"/>
    <w:rsid w:val="002F188D"/>
    <w:rsid w:val="002F18A5"/>
    <w:rsid w:val="002F317F"/>
    <w:rsid w:val="002F5610"/>
    <w:rsid w:val="002F5E95"/>
    <w:rsid w:val="002F63CA"/>
    <w:rsid w:val="002F67B4"/>
    <w:rsid w:val="002F6F73"/>
    <w:rsid w:val="002F7AA9"/>
    <w:rsid w:val="002F7F50"/>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6011"/>
    <w:rsid w:val="00327069"/>
    <w:rsid w:val="00327812"/>
    <w:rsid w:val="00327AFB"/>
    <w:rsid w:val="00327BAF"/>
    <w:rsid w:val="00327D10"/>
    <w:rsid w:val="0033265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3ECE"/>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EEE"/>
    <w:rsid w:val="00395132"/>
    <w:rsid w:val="00395D99"/>
    <w:rsid w:val="003968DF"/>
    <w:rsid w:val="0039733E"/>
    <w:rsid w:val="00397A64"/>
    <w:rsid w:val="003A0948"/>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71A6"/>
    <w:rsid w:val="003D7709"/>
    <w:rsid w:val="003E0BAF"/>
    <w:rsid w:val="003E0E25"/>
    <w:rsid w:val="003E1409"/>
    <w:rsid w:val="003E16F2"/>
    <w:rsid w:val="003E2139"/>
    <w:rsid w:val="003E78A9"/>
    <w:rsid w:val="003E7912"/>
    <w:rsid w:val="003F04E6"/>
    <w:rsid w:val="003F2CDD"/>
    <w:rsid w:val="003F3434"/>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F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B57"/>
    <w:rsid w:val="00552E53"/>
    <w:rsid w:val="00553E34"/>
    <w:rsid w:val="005547B7"/>
    <w:rsid w:val="005551E9"/>
    <w:rsid w:val="0055680D"/>
    <w:rsid w:val="00560094"/>
    <w:rsid w:val="00560C62"/>
    <w:rsid w:val="00562A61"/>
    <w:rsid w:val="005652D5"/>
    <w:rsid w:val="00565ECA"/>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244"/>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C33"/>
    <w:rsid w:val="00690EB8"/>
    <w:rsid w:val="006915E5"/>
    <w:rsid w:val="00692401"/>
    <w:rsid w:val="0069417B"/>
    <w:rsid w:val="006941CC"/>
    <w:rsid w:val="00695F56"/>
    <w:rsid w:val="0069758B"/>
    <w:rsid w:val="006A0B6C"/>
    <w:rsid w:val="006A1692"/>
    <w:rsid w:val="006A16E1"/>
    <w:rsid w:val="006A3293"/>
    <w:rsid w:val="006A3C8A"/>
    <w:rsid w:val="006A3E61"/>
    <w:rsid w:val="006A4E4B"/>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31E"/>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1C1"/>
    <w:rsid w:val="007E635E"/>
    <w:rsid w:val="007E6BCF"/>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DBC"/>
    <w:rsid w:val="007F6497"/>
    <w:rsid w:val="007F6836"/>
    <w:rsid w:val="007F7DF2"/>
    <w:rsid w:val="00800861"/>
    <w:rsid w:val="00800A35"/>
    <w:rsid w:val="00800D91"/>
    <w:rsid w:val="00801A0E"/>
    <w:rsid w:val="00804E4C"/>
    <w:rsid w:val="00805C64"/>
    <w:rsid w:val="0080662C"/>
    <w:rsid w:val="008070B2"/>
    <w:rsid w:val="00807D79"/>
    <w:rsid w:val="00810102"/>
    <w:rsid w:val="0081060F"/>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8D4"/>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62BB"/>
    <w:rsid w:val="00877D03"/>
    <w:rsid w:val="00877E96"/>
    <w:rsid w:val="0088023D"/>
    <w:rsid w:val="008803CE"/>
    <w:rsid w:val="00882077"/>
    <w:rsid w:val="00883613"/>
    <w:rsid w:val="0088557F"/>
    <w:rsid w:val="00886393"/>
    <w:rsid w:val="00886579"/>
    <w:rsid w:val="00886F19"/>
    <w:rsid w:val="00887865"/>
    <w:rsid w:val="00887B37"/>
    <w:rsid w:val="00887EC2"/>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56A0"/>
    <w:rsid w:val="008B5AA1"/>
    <w:rsid w:val="008B5E61"/>
    <w:rsid w:val="008B64CE"/>
    <w:rsid w:val="008B7914"/>
    <w:rsid w:val="008C07BA"/>
    <w:rsid w:val="008C127A"/>
    <w:rsid w:val="008C1932"/>
    <w:rsid w:val="008C2C7F"/>
    <w:rsid w:val="008C2F0D"/>
    <w:rsid w:val="008C48BF"/>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5CE"/>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39F1"/>
    <w:rsid w:val="00924119"/>
    <w:rsid w:val="00925120"/>
    <w:rsid w:val="009255FA"/>
    <w:rsid w:val="009262E4"/>
    <w:rsid w:val="00927D4E"/>
    <w:rsid w:val="0093084C"/>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16C9"/>
    <w:rsid w:val="009725B2"/>
    <w:rsid w:val="009727DB"/>
    <w:rsid w:val="0097335C"/>
    <w:rsid w:val="009747AA"/>
    <w:rsid w:val="00974B99"/>
    <w:rsid w:val="00974BCB"/>
    <w:rsid w:val="009758CD"/>
    <w:rsid w:val="009763E4"/>
    <w:rsid w:val="0097654D"/>
    <w:rsid w:val="009766B7"/>
    <w:rsid w:val="00980A22"/>
    <w:rsid w:val="00980D85"/>
    <w:rsid w:val="009810BF"/>
    <w:rsid w:val="00983094"/>
    <w:rsid w:val="00983599"/>
    <w:rsid w:val="00984D19"/>
    <w:rsid w:val="0098544F"/>
    <w:rsid w:val="00985B04"/>
    <w:rsid w:val="00986A6D"/>
    <w:rsid w:val="00986BEF"/>
    <w:rsid w:val="00987298"/>
    <w:rsid w:val="00991DF8"/>
    <w:rsid w:val="00992499"/>
    <w:rsid w:val="00992986"/>
    <w:rsid w:val="00994B55"/>
    <w:rsid w:val="00995D86"/>
    <w:rsid w:val="00995FB2"/>
    <w:rsid w:val="00997A68"/>
    <w:rsid w:val="009A00EA"/>
    <w:rsid w:val="009A06AE"/>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2F6"/>
    <w:rsid w:val="009B7489"/>
    <w:rsid w:val="009B7B0A"/>
    <w:rsid w:val="009B7F4C"/>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2963"/>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590"/>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27A5B"/>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513B"/>
    <w:rsid w:val="00A5566B"/>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A7A89"/>
    <w:rsid w:val="00AB1984"/>
    <w:rsid w:val="00AB1CBB"/>
    <w:rsid w:val="00AB215B"/>
    <w:rsid w:val="00AB333E"/>
    <w:rsid w:val="00AB37DB"/>
    <w:rsid w:val="00AB3ECC"/>
    <w:rsid w:val="00AB4030"/>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5FAE"/>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3A28"/>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394"/>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0A7D"/>
    <w:rsid w:val="00C020CD"/>
    <w:rsid w:val="00C022EC"/>
    <w:rsid w:val="00C02DDE"/>
    <w:rsid w:val="00C0367B"/>
    <w:rsid w:val="00C04E51"/>
    <w:rsid w:val="00C05AF9"/>
    <w:rsid w:val="00C060A3"/>
    <w:rsid w:val="00C060B0"/>
    <w:rsid w:val="00C072F0"/>
    <w:rsid w:val="00C07344"/>
    <w:rsid w:val="00C079A3"/>
    <w:rsid w:val="00C07C1F"/>
    <w:rsid w:val="00C07FC8"/>
    <w:rsid w:val="00C11A79"/>
    <w:rsid w:val="00C13607"/>
    <w:rsid w:val="00C137B1"/>
    <w:rsid w:val="00C13B43"/>
    <w:rsid w:val="00C14F1F"/>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2DB0"/>
    <w:rsid w:val="00CC32B7"/>
    <w:rsid w:val="00CC36DE"/>
    <w:rsid w:val="00CC4F99"/>
    <w:rsid w:val="00CC5FC3"/>
    <w:rsid w:val="00CC6369"/>
    <w:rsid w:val="00CC65D6"/>
    <w:rsid w:val="00CC73F3"/>
    <w:rsid w:val="00CD081C"/>
    <w:rsid w:val="00CD1B5A"/>
    <w:rsid w:val="00CD1E9C"/>
    <w:rsid w:val="00CD27DB"/>
    <w:rsid w:val="00CD2E70"/>
    <w:rsid w:val="00CD34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9EC"/>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5F7"/>
    <w:rsid w:val="00E26649"/>
    <w:rsid w:val="00E26AEF"/>
    <w:rsid w:val="00E27F0A"/>
    <w:rsid w:val="00E309B0"/>
    <w:rsid w:val="00E326E9"/>
    <w:rsid w:val="00E352C3"/>
    <w:rsid w:val="00E35476"/>
    <w:rsid w:val="00E359A5"/>
    <w:rsid w:val="00E37212"/>
    <w:rsid w:val="00E372F7"/>
    <w:rsid w:val="00E37DC0"/>
    <w:rsid w:val="00E37EC6"/>
    <w:rsid w:val="00E40432"/>
    <w:rsid w:val="00E40850"/>
    <w:rsid w:val="00E40D52"/>
    <w:rsid w:val="00E41451"/>
    <w:rsid w:val="00E41585"/>
    <w:rsid w:val="00E4220D"/>
    <w:rsid w:val="00E4231E"/>
    <w:rsid w:val="00E42537"/>
    <w:rsid w:val="00E4279A"/>
    <w:rsid w:val="00E42E35"/>
    <w:rsid w:val="00E44AC7"/>
    <w:rsid w:val="00E45B2D"/>
    <w:rsid w:val="00E4639C"/>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102"/>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3A5C"/>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49F"/>
    <w:rsid w:val="00F7365E"/>
    <w:rsid w:val="00F737A4"/>
    <w:rsid w:val="00F75206"/>
    <w:rsid w:val="00F75481"/>
    <w:rsid w:val="00F76A4C"/>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CCE"/>
    <w:rsid w:val="00F9692D"/>
    <w:rsid w:val="00F978BE"/>
    <w:rsid w:val="00F97D7B"/>
    <w:rsid w:val="00FA0F71"/>
    <w:rsid w:val="00FA3A97"/>
    <w:rsid w:val="00FA3AEA"/>
    <w:rsid w:val="00FA4219"/>
    <w:rsid w:val="00FA48C7"/>
    <w:rsid w:val="00FA54FF"/>
    <w:rsid w:val="00FA5570"/>
    <w:rsid w:val="00FA5C0B"/>
    <w:rsid w:val="00FA5D92"/>
    <w:rsid w:val="00FA70F5"/>
    <w:rsid w:val="00FA7902"/>
    <w:rsid w:val="00FB005D"/>
    <w:rsid w:val="00FB173C"/>
    <w:rsid w:val="00FB183E"/>
    <w:rsid w:val="00FB1D54"/>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E75A3"/>
    <w:rsid w:val="00FF0CF5"/>
    <w:rsid w:val="00FF0D6F"/>
    <w:rsid w:val="00FF1103"/>
    <w:rsid w:val="00FF1712"/>
    <w:rsid w:val="00FF37DC"/>
    <w:rsid w:val="00FF37F2"/>
    <w:rsid w:val="00FF5B3C"/>
    <w:rsid w:val="00FF69C8"/>
    <w:rsid w:val="00FF6D3D"/>
    <w:rsid w:val="024D7E2C"/>
    <w:rsid w:val="0D2EB883"/>
    <w:rsid w:val="0D8163B6"/>
    <w:rsid w:val="150C4562"/>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rsid w:val="00002D55"/>
    <w:rPr>
      <w:rFonts w:ascii="Times New Roman" w:hAnsi="Times New Roman" w:eastAsia="Times New Roman" w:cs="Times New Roman"/>
      <w:sz w:val="24"/>
      <w:szCs w:val="24"/>
      <w:lang w:eastAsia="es-CO"/>
    </w:rPr>
  </w:style>
  <w:style w:type="character" w:styleId="Ttulo3Car" w:customStyle="1">
    <w:name w:val="Título 3 Car"/>
    <w:basedOn w:val="Fuentedeprrafopredeter"/>
    <w:link w:val="Ttulo3"/>
    <w:uiPriority w:val="9"/>
    <w:semiHidden/>
    <w:rsid w:val="009727DB"/>
    <w:rPr>
      <w:rFonts w:asciiTheme="majorHAnsi" w:hAnsiTheme="majorHAnsi" w:eastAsiaTheme="majorEastAsia" w:cstheme="majorBidi"/>
      <w:color w:val="1F3763" w:themeColor="accent1" w:themeShade="7F"/>
      <w:sz w:val="24"/>
      <w:szCs w:val="24"/>
    </w:rPr>
  </w:style>
  <w:style w:type="character" w:styleId="NormalWebCar" w:customStyle="1">
    <w:name w:val="Normal (Web) Car"/>
    <w:link w:val="NormalWeb"/>
    <w:uiPriority w:val="99"/>
    <w:rsid w:val="00A5566B"/>
    <w:rPr>
      <w:rFonts w:ascii="Times New Roman" w:hAnsi="Times New Roman" w:cs="Times New Roman"/>
      <w:sz w:val="24"/>
      <w:szCs w:val="24"/>
    </w:rPr>
  </w:style>
  <w:style w:type="character" w:styleId="baj" w:customStyle="1">
    <w:name w:val="b_aj"/>
    <w:basedOn w:val="Fuentedeprrafopredeter"/>
    <w:rsid w:val="00A5566B"/>
  </w:style>
  <w:style w:type="character" w:styleId="author-name" w:customStyle="1">
    <w:name w:val="author-name"/>
    <w:basedOn w:val="Fuentedeprrafopredeter"/>
    <w:rsid w:val="00F6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6688625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03382441">
      <w:bodyDiv w:val="1"/>
      <w:marLeft w:val="0"/>
      <w:marRight w:val="0"/>
      <w:marTop w:val="0"/>
      <w:marBottom w:val="0"/>
      <w:divBdr>
        <w:top w:val="none" w:sz="0" w:space="0" w:color="auto"/>
        <w:left w:val="none" w:sz="0" w:space="0" w:color="auto"/>
        <w:bottom w:val="none" w:sz="0" w:space="0" w:color="auto"/>
        <w:right w:val="none" w:sz="0" w:space="0" w:color="auto"/>
      </w:divBdr>
    </w:div>
    <w:div w:id="404229398">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662200338">
      <w:bodyDiv w:val="1"/>
      <w:marLeft w:val="0"/>
      <w:marRight w:val="0"/>
      <w:marTop w:val="0"/>
      <w:marBottom w:val="0"/>
      <w:divBdr>
        <w:top w:val="none" w:sz="0" w:space="0" w:color="auto"/>
        <w:left w:val="none" w:sz="0" w:space="0" w:color="auto"/>
        <w:bottom w:val="none" w:sz="0" w:space="0" w:color="auto"/>
        <w:right w:val="none" w:sz="0" w:space="0" w:color="auto"/>
      </w:divBdr>
    </w:div>
    <w:div w:id="833643204">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02775">
      <w:bodyDiv w:val="1"/>
      <w:marLeft w:val="0"/>
      <w:marRight w:val="0"/>
      <w:marTop w:val="0"/>
      <w:marBottom w:val="0"/>
      <w:divBdr>
        <w:top w:val="none" w:sz="0" w:space="0" w:color="auto"/>
        <w:left w:val="none" w:sz="0" w:space="0" w:color="auto"/>
        <w:bottom w:val="none" w:sz="0" w:space="0" w:color="auto"/>
        <w:right w:val="none" w:sz="0" w:space="0" w:color="auto"/>
      </w:divBdr>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85289925">
      <w:bodyDiv w:val="1"/>
      <w:marLeft w:val="0"/>
      <w:marRight w:val="0"/>
      <w:marTop w:val="0"/>
      <w:marBottom w:val="0"/>
      <w:divBdr>
        <w:top w:val="none" w:sz="0" w:space="0" w:color="auto"/>
        <w:left w:val="none" w:sz="0" w:space="0" w:color="auto"/>
        <w:bottom w:val="none" w:sz="0" w:space="0" w:color="auto"/>
        <w:right w:val="none" w:sz="0" w:space="0" w:color="auto"/>
      </w:divBdr>
    </w:div>
    <w:div w:id="1897623776">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colombiacompra.gov.co/sites/cce_public/files/cce_documents/guia_para_promover_la_participacion_de_las_mipymes_en_los_procesos_de_compra_publica_cce-gad-gi-26_1.pdf" TargetMode="External" Id="rId13" /><Relationship Type="http://schemas.openxmlformats.org/officeDocument/2006/relationships/image" Target="media/image2.jpe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mailto:abg.mejia1115@gmail.com" TargetMode="External" Id="rId12"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busqueda/conceptos" TargetMode="External" Id="rId14" /><Relationship Type="http://schemas.openxmlformats.org/officeDocument/2006/relationships/footer" Target="footer2.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vf_umbrales_actualizaciones_2022_-_2023_1.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Nicolas Andres Guzman Padilla</lastModifiedBy>
  <revision>46</revision>
  <dcterms:created xsi:type="dcterms:W3CDTF">2025-02-21T14:13:00.0000000Z</dcterms:created>
  <dcterms:modified xsi:type="dcterms:W3CDTF">2025-04-28T09:32:03.3126829Z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