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5419DA"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5419DA">
        <w:rPr>
          <w:rFonts w:ascii="Arial" w:hAnsi="Arial" w:cs="Arial"/>
          <w:bCs/>
          <w:color w:val="000000" w:themeColor="text1"/>
          <w:sz w:val="16"/>
          <w:szCs w:val="16"/>
          <w:lang w:val="es-ES_tradnl" w:eastAsia="es-ES"/>
        </w:rPr>
        <w:t>CCE-DES-FM-17</w:t>
      </w:r>
      <w:bookmarkEnd w:id="0"/>
      <w:bookmarkEnd w:id="1"/>
    </w:p>
    <w:p w14:paraId="55FBD910" w14:textId="77777777" w:rsidR="008536BB" w:rsidRPr="005419DA" w:rsidRDefault="008536BB" w:rsidP="00B95C30">
      <w:pPr>
        <w:spacing w:line="276" w:lineRule="auto"/>
        <w:jc w:val="both"/>
        <w:rPr>
          <w:rFonts w:ascii="Arial" w:hAnsi="Arial" w:cs="Arial"/>
          <w:noProof/>
          <w:color w:val="000000" w:themeColor="text1"/>
          <w:sz w:val="22"/>
          <w:lang w:val="es-ES_tradnl"/>
        </w:rPr>
      </w:pPr>
    </w:p>
    <w:p w14:paraId="668CECD0" w14:textId="77777777" w:rsidR="0093140E" w:rsidRPr="003253B1" w:rsidRDefault="0093140E" w:rsidP="00B44155">
      <w:pPr>
        <w:jc w:val="both"/>
        <w:rPr>
          <w:rFonts w:ascii="Arial" w:eastAsia="Calibri" w:hAnsi="Arial" w:cs="Arial"/>
          <w:b/>
          <w:color w:val="000000"/>
          <w:sz w:val="22"/>
        </w:rPr>
      </w:pPr>
      <w:r w:rsidRPr="003253B1">
        <w:rPr>
          <w:rFonts w:ascii="Arial" w:eastAsia="Calibri" w:hAnsi="Arial" w:cs="Arial"/>
          <w:b/>
          <w:color w:val="000000"/>
          <w:sz w:val="22"/>
        </w:rPr>
        <w:t xml:space="preserve">ACCESO A DOCUMENTACIÓN PÚBLICA – Derecho fundamental – Transparencia – Información contractual </w:t>
      </w:r>
    </w:p>
    <w:p w14:paraId="4765DB54" w14:textId="77777777" w:rsidR="0093140E" w:rsidRPr="003253B1" w:rsidRDefault="0093140E" w:rsidP="00B44155">
      <w:pPr>
        <w:tabs>
          <w:tab w:val="left" w:pos="1816"/>
        </w:tabs>
        <w:jc w:val="both"/>
        <w:rPr>
          <w:rFonts w:ascii="Arial" w:eastAsia="Calibri" w:hAnsi="Arial" w:cs="Arial"/>
          <w:b/>
          <w:color w:val="000000"/>
          <w:sz w:val="22"/>
        </w:rPr>
      </w:pPr>
      <w:r w:rsidRPr="003253B1">
        <w:rPr>
          <w:rFonts w:ascii="Arial" w:eastAsia="Calibri" w:hAnsi="Arial" w:cs="Arial"/>
          <w:b/>
          <w:color w:val="000000"/>
          <w:sz w:val="22"/>
        </w:rPr>
        <w:t xml:space="preserve"> </w:t>
      </w:r>
      <w:r w:rsidRPr="003253B1">
        <w:rPr>
          <w:rFonts w:ascii="Arial" w:eastAsia="Calibri" w:hAnsi="Arial" w:cs="Arial"/>
          <w:b/>
          <w:color w:val="000000"/>
          <w:sz w:val="22"/>
        </w:rPr>
        <w:tab/>
      </w:r>
      <w:r w:rsidRPr="003253B1">
        <w:rPr>
          <w:rFonts w:ascii="Arial" w:eastAsia="Calibri" w:hAnsi="Arial" w:cs="Arial"/>
          <w:color w:val="000000"/>
          <w:sz w:val="20"/>
          <w:szCs w:val="20"/>
        </w:rPr>
        <w:t xml:space="preserve"> </w:t>
      </w:r>
    </w:p>
    <w:p w14:paraId="299BF158" w14:textId="77777777" w:rsidR="0093140E" w:rsidRPr="003253B1" w:rsidRDefault="0093140E" w:rsidP="00B44155">
      <w:pPr>
        <w:jc w:val="both"/>
        <w:rPr>
          <w:rFonts w:ascii="Arial" w:eastAsia="Calibri" w:hAnsi="Arial" w:cs="Arial"/>
          <w:b/>
          <w:sz w:val="22"/>
          <w:lang w:val="es-ES_tradnl"/>
        </w:rPr>
      </w:pPr>
      <w:r w:rsidRPr="003253B1">
        <w:rPr>
          <w:rFonts w:ascii="Arial" w:eastAsia="Calibri" w:hAnsi="Arial" w:cs="Arial"/>
          <w:color w:val="000000"/>
          <w:sz w:val="20"/>
          <w:szCs w:val="20"/>
        </w:rPr>
        <w:t xml:space="preserve">El artículo 74 de la Constitución Política establece que «Todas las personas tienen derecho a acceder a los documentos públicos salvo los casos que establezca la ley». Esta disposición constitucional consagra el derecho fundamental de acceso a la información y a la documentación pública, salvo causal de reserva expresamente prevista en la Ley. Tal derecho se regula integralmente en la Ley 1712 de 2014 «Ley de Transparencia y del Derecho de Acceso a la Información Pública Nacional». Esta Ley establece el </w:t>
      </w:r>
      <w:r w:rsidRPr="003253B1">
        <w:rPr>
          <w:rFonts w:ascii="Arial" w:eastAsia="Calibri" w:hAnsi="Arial" w:cs="Arial"/>
          <w:i/>
          <w:iCs/>
          <w:color w:val="000000"/>
          <w:sz w:val="20"/>
          <w:szCs w:val="20"/>
        </w:rPr>
        <w:t>deber de divulgación proactiva de la información</w:t>
      </w:r>
      <w:r w:rsidRPr="003253B1">
        <w:rPr>
          <w:rFonts w:ascii="Arial" w:eastAsia="Calibri" w:hAnsi="Arial" w:cs="Arial"/>
          <w:color w:val="000000"/>
          <w:sz w:val="20"/>
          <w:szCs w:val="20"/>
        </w:rPr>
        <w:t xml:space="preserve"> e indica que las entidades estatales deben publicar su información contractual (artículos 9, literales c, e y f; 10 y 11, literal g). El Decreto 1081 de 2015, en los arts. 2.1.1.2.1.5. al 2.1.1.2.1.10., reglamenta el deber de las entidades estatales de publicar su información contractual en el SECOP, en cumplimiento del artículo 3 de la Ley 1150 de 2007.</w:t>
      </w:r>
    </w:p>
    <w:p w14:paraId="5E868FEA" w14:textId="77777777" w:rsidR="0093140E" w:rsidRPr="003253B1" w:rsidRDefault="0093140E" w:rsidP="00B44155">
      <w:pPr>
        <w:tabs>
          <w:tab w:val="left" w:pos="709"/>
        </w:tabs>
        <w:jc w:val="both"/>
        <w:rPr>
          <w:rFonts w:ascii="Arial" w:eastAsia="Arial" w:hAnsi="Arial" w:cs="Arial"/>
          <w:sz w:val="20"/>
          <w:szCs w:val="20"/>
          <w:lang w:val="es-ES_tradnl"/>
        </w:rPr>
      </w:pPr>
    </w:p>
    <w:p w14:paraId="6B4BE0C4" w14:textId="77777777" w:rsidR="0093140E" w:rsidRPr="003253B1" w:rsidRDefault="0093140E" w:rsidP="00B44155">
      <w:pPr>
        <w:jc w:val="both"/>
        <w:rPr>
          <w:rFonts w:ascii="Arial" w:eastAsia="Calibri" w:hAnsi="Arial" w:cs="Arial"/>
          <w:b/>
          <w:color w:val="000000"/>
          <w:sz w:val="22"/>
        </w:rPr>
      </w:pPr>
      <w:r w:rsidRPr="003253B1">
        <w:rPr>
          <w:rFonts w:ascii="Arial" w:eastAsia="Calibri" w:hAnsi="Arial" w:cs="Arial"/>
          <w:b/>
          <w:color w:val="000000"/>
          <w:sz w:val="22"/>
        </w:rPr>
        <w:t xml:space="preserve">SECOP – Deber de publicación – Información contractual  </w:t>
      </w:r>
    </w:p>
    <w:p w14:paraId="58FABA75" w14:textId="77777777" w:rsidR="0093140E" w:rsidRPr="003253B1" w:rsidRDefault="0093140E" w:rsidP="00B44155">
      <w:pPr>
        <w:tabs>
          <w:tab w:val="left" w:pos="1816"/>
        </w:tabs>
        <w:jc w:val="both"/>
        <w:rPr>
          <w:rFonts w:ascii="Arial" w:eastAsia="Calibri" w:hAnsi="Arial" w:cs="Arial"/>
          <w:b/>
          <w:color w:val="000000"/>
          <w:sz w:val="22"/>
        </w:rPr>
      </w:pPr>
      <w:r w:rsidRPr="003253B1">
        <w:rPr>
          <w:rFonts w:ascii="Arial" w:eastAsia="Calibri" w:hAnsi="Arial" w:cs="Arial"/>
          <w:b/>
          <w:color w:val="000000"/>
          <w:sz w:val="22"/>
        </w:rPr>
        <w:t xml:space="preserve"> </w:t>
      </w:r>
      <w:r w:rsidRPr="003253B1">
        <w:rPr>
          <w:rFonts w:ascii="Arial" w:eastAsia="Calibri" w:hAnsi="Arial" w:cs="Arial"/>
          <w:b/>
          <w:color w:val="000000"/>
          <w:sz w:val="22"/>
        </w:rPr>
        <w:tab/>
      </w:r>
      <w:r w:rsidRPr="003253B1">
        <w:rPr>
          <w:rFonts w:ascii="Arial" w:eastAsia="Calibri" w:hAnsi="Arial" w:cs="Arial"/>
          <w:color w:val="000000"/>
          <w:sz w:val="20"/>
          <w:szCs w:val="20"/>
        </w:rPr>
        <w:t xml:space="preserve"> </w:t>
      </w:r>
    </w:p>
    <w:p w14:paraId="25D01311" w14:textId="77777777" w:rsidR="0093140E" w:rsidRPr="0093140E" w:rsidRDefault="0093140E" w:rsidP="00B44155">
      <w:pPr>
        <w:jc w:val="both"/>
        <w:rPr>
          <w:rStyle w:val="Textoennegrita"/>
          <w:rFonts w:ascii="Arial" w:hAnsi="Arial" w:cs="Arial"/>
          <w:b w:val="0"/>
          <w:bCs w:val="0"/>
          <w:sz w:val="20"/>
          <w:szCs w:val="20"/>
          <w:lang w:val="es-ES"/>
        </w:rPr>
      </w:pPr>
      <w:r w:rsidRPr="0093140E">
        <w:rPr>
          <w:rStyle w:val="Textoennegrita"/>
          <w:rFonts w:ascii="Arial" w:hAnsi="Arial" w:cs="Arial"/>
          <w:b w:val="0"/>
          <w:bCs w:val="0"/>
          <w:sz w:val="20"/>
          <w:szCs w:val="20"/>
          <w:lang w:val="es-ES"/>
        </w:rPr>
        <w:t xml:space="preserve">En conclusión, con base en los fundamentos normativos y argumentos expuestos, además del Plan Anual de Adquisiciones, las entidades estatales regidas por el EGCAP deberán publicar en SECOP los documentos expedidos con ocasión del </w:t>
      </w:r>
      <w:r w:rsidRPr="0093140E">
        <w:rPr>
          <w:rStyle w:val="Textoennegrita"/>
          <w:rFonts w:ascii="Arial" w:hAnsi="Arial" w:cs="Arial"/>
          <w:b w:val="0"/>
          <w:bCs w:val="0"/>
          <w:i/>
          <w:iCs/>
          <w:sz w:val="20"/>
          <w:szCs w:val="20"/>
          <w:lang w:val="es-ES"/>
        </w:rPr>
        <w:t>proceso de contratación</w:t>
      </w:r>
      <w:r w:rsidRPr="0093140E">
        <w:rPr>
          <w:rStyle w:val="Textoennegrita"/>
          <w:rFonts w:ascii="Arial" w:hAnsi="Arial" w:cs="Arial"/>
          <w:b w:val="0"/>
          <w:bCs w:val="0"/>
          <w:sz w:val="20"/>
          <w:szCs w:val="20"/>
          <w:lang w:val="es-ES"/>
        </w:rPr>
        <w:t xml:space="preserve"> […]. </w:t>
      </w:r>
    </w:p>
    <w:p w14:paraId="3A78309E" w14:textId="77777777" w:rsidR="0093140E" w:rsidRPr="003253B1" w:rsidRDefault="0093140E" w:rsidP="00B44155">
      <w:pPr>
        <w:jc w:val="both"/>
        <w:rPr>
          <w:rStyle w:val="Textoennegrita"/>
          <w:rFonts w:ascii="Arial" w:hAnsi="Arial" w:cs="Arial"/>
          <w:b w:val="0"/>
          <w:bCs w:val="0"/>
          <w:sz w:val="20"/>
          <w:szCs w:val="20"/>
          <w:lang w:val="es-ES"/>
        </w:rPr>
      </w:pPr>
    </w:p>
    <w:p w14:paraId="2FEDF524" w14:textId="77777777" w:rsidR="0093140E" w:rsidRPr="003253B1" w:rsidRDefault="0093140E" w:rsidP="00B44155">
      <w:pPr>
        <w:jc w:val="both"/>
        <w:rPr>
          <w:rFonts w:ascii="Arial" w:eastAsia="Calibri" w:hAnsi="Arial" w:cs="Arial"/>
          <w:b/>
          <w:bCs/>
          <w:color w:val="000000"/>
          <w:sz w:val="22"/>
          <w:lang w:val="es-ES_tradnl" w:eastAsia="en-GB"/>
        </w:rPr>
      </w:pPr>
      <w:r w:rsidRPr="003253B1">
        <w:rPr>
          <w:rFonts w:ascii="Arial" w:eastAsia="Calibri" w:hAnsi="Arial" w:cs="Arial"/>
          <w:b/>
          <w:bCs/>
          <w:color w:val="000000"/>
          <w:sz w:val="22"/>
          <w:lang w:val="es-ES_tradnl" w:eastAsia="en-GB"/>
        </w:rPr>
        <w:t>RESERVA DE INFORMACIÓN PÚBLICA – Actividad contractual – Información Pública – Máxima publicidad – Deberes – Divulgación parcial – Divulgación de la existencia</w:t>
      </w:r>
    </w:p>
    <w:p w14:paraId="56E23474" w14:textId="77777777" w:rsidR="0093140E" w:rsidRPr="003253B1" w:rsidRDefault="0093140E" w:rsidP="00B44155">
      <w:pPr>
        <w:jc w:val="both"/>
        <w:rPr>
          <w:rFonts w:ascii="Arial" w:eastAsia="Calibri" w:hAnsi="Arial" w:cs="Arial"/>
          <w:color w:val="000000"/>
          <w:sz w:val="22"/>
          <w:lang w:val="es-ES_tradnl" w:eastAsia="en-GB"/>
        </w:rPr>
      </w:pPr>
    </w:p>
    <w:p w14:paraId="3F031FD5" w14:textId="151724FB" w:rsidR="0093140E" w:rsidRPr="00B44155" w:rsidRDefault="0093140E" w:rsidP="00B44155">
      <w:pPr>
        <w:jc w:val="both"/>
        <w:rPr>
          <w:rStyle w:val="Textoennegrita"/>
          <w:rFonts w:ascii="Arial" w:hAnsi="Arial" w:cs="Arial"/>
          <w:b w:val="0"/>
          <w:bCs w:val="0"/>
          <w:sz w:val="20"/>
          <w:szCs w:val="20"/>
          <w:lang w:val="es-ES"/>
        </w:rPr>
      </w:pPr>
      <w:r w:rsidRPr="00B44155">
        <w:rPr>
          <w:rFonts w:ascii="Arial" w:eastAsia="Calibri" w:hAnsi="Arial" w:cs="Arial"/>
          <w:color w:val="000000"/>
          <w:sz w:val="20"/>
          <w:szCs w:val="20"/>
          <w:lang w:val="es-ES_tradnl" w:eastAsia="en-GB"/>
        </w:rPr>
        <w:t xml:space="preserve">[…] </w:t>
      </w:r>
      <w:r w:rsidR="00B44155" w:rsidRPr="00BB2061">
        <w:rPr>
          <w:rFonts w:ascii="Arial" w:eastAsia="Calibri" w:hAnsi="Arial" w:cs="Arial"/>
          <w:color w:val="000000"/>
          <w:sz w:val="20"/>
          <w:szCs w:val="20"/>
          <w:lang w:val="es-ES_tradnl" w:eastAsia="en-GB"/>
        </w:rPr>
        <w:t xml:space="preserve">aunque el artículo 74 de la Constitución establezca que la información pública debe ser dada a conocer a la ciudadanía y así los documentos que hagan parte de la actividad contractual puedan catalogarse, </w:t>
      </w:r>
      <w:r w:rsidR="00B44155" w:rsidRPr="00BB2061">
        <w:rPr>
          <w:rFonts w:ascii="Arial" w:eastAsia="Calibri" w:hAnsi="Arial" w:cs="Arial"/>
          <w:i/>
          <w:iCs/>
          <w:color w:val="000000"/>
          <w:sz w:val="20"/>
          <w:szCs w:val="20"/>
          <w:lang w:val="es-ES_tradnl" w:eastAsia="en-GB"/>
        </w:rPr>
        <w:t>prima facie,</w:t>
      </w:r>
      <w:r w:rsidR="00B44155" w:rsidRPr="00BB2061">
        <w:rPr>
          <w:rFonts w:ascii="Arial" w:eastAsia="Calibri" w:hAnsi="Arial" w:cs="Arial"/>
          <w:color w:val="000000"/>
          <w:sz w:val="20"/>
          <w:szCs w:val="20"/>
          <w:lang w:val="es-ES_tradnl" w:eastAsia="en-GB"/>
        </w:rPr>
        <w:t xml:space="preserve"> como información pública, cuando dicha documentación contenga información sometida a alguna reserva, que establezca la Constitución o la ley, operan algunas restricciones a su publicidad. Sin embargo, esto no necesariamente convierte el documento completo en reservado, es decir, en un documento que no puede publicarse. 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sometida a reserva, pero también incluya información que no esté afectada por la reserva. Además, dicha disposición establece que la reserva de acceso a la información opera respecto al contenido de un documento público, pero no respecto de su existencia. Sin perjuicio de lo anterior, es posible que el contenido de todo el documento o expediente no deba ser objeto de publicidad por estar amparado de forma íntegra por la reserva, dada su conexión con las causales establecidas en la Constitución o la ley</w:t>
      </w:r>
      <w:r w:rsidRPr="00B44155">
        <w:rPr>
          <w:rFonts w:ascii="Arial" w:eastAsia="Calibri" w:hAnsi="Arial" w:cs="Arial"/>
          <w:color w:val="000000"/>
          <w:sz w:val="20"/>
          <w:szCs w:val="20"/>
          <w:lang w:val="es-ES_tradnl" w:eastAsia="en-GB"/>
        </w:rPr>
        <w:t>.</w:t>
      </w:r>
    </w:p>
    <w:p w14:paraId="75E8F21C" w14:textId="77777777" w:rsidR="0093140E" w:rsidRPr="003253B1" w:rsidRDefault="0093140E" w:rsidP="007B2ECA">
      <w:pPr>
        <w:jc w:val="both"/>
        <w:rPr>
          <w:rStyle w:val="Textoennegrita"/>
          <w:rFonts w:ascii="Arial" w:hAnsi="Arial" w:cs="Arial"/>
          <w:b w:val="0"/>
          <w:bCs w:val="0"/>
          <w:sz w:val="20"/>
          <w:szCs w:val="20"/>
          <w:lang w:val="es-ES"/>
        </w:rPr>
      </w:pPr>
    </w:p>
    <w:p w14:paraId="049D242C" w14:textId="77777777" w:rsidR="0093140E" w:rsidRPr="003253B1" w:rsidRDefault="0093140E">
      <w:pPr>
        <w:jc w:val="both"/>
        <w:rPr>
          <w:rStyle w:val="Textoennegrita"/>
          <w:rFonts w:ascii="Arial" w:hAnsi="Arial" w:cs="Arial"/>
          <w:sz w:val="22"/>
          <w:lang w:val="es-ES"/>
        </w:rPr>
      </w:pPr>
      <w:r w:rsidRPr="003253B1">
        <w:rPr>
          <w:rStyle w:val="Textoennegrita"/>
          <w:rFonts w:ascii="Arial" w:hAnsi="Arial" w:cs="Arial"/>
          <w:sz w:val="22"/>
          <w:lang w:val="es-ES"/>
        </w:rPr>
        <w:t>RESERVA DE INFORMACIÓN PÚBLICA – Fundamento – Constitución – Ley – Aplicación – Procesos contractuales</w:t>
      </w:r>
    </w:p>
    <w:p w14:paraId="1B81532D" w14:textId="77777777" w:rsidR="0093140E" w:rsidRPr="003253B1" w:rsidRDefault="0093140E">
      <w:pPr>
        <w:jc w:val="both"/>
        <w:rPr>
          <w:rStyle w:val="Textoennegrita"/>
          <w:rFonts w:ascii="Arial" w:hAnsi="Arial" w:cs="Arial"/>
          <w:sz w:val="20"/>
          <w:szCs w:val="20"/>
          <w:lang w:val="es-ES"/>
        </w:rPr>
      </w:pPr>
    </w:p>
    <w:p w14:paraId="4B6098C0" w14:textId="0C919A4A" w:rsidR="0093140E" w:rsidRPr="00B44155" w:rsidRDefault="0093140E">
      <w:pPr>
        <w:jc w:val="both"/>
        <w:rPr>
          <w:rFonts w:ascii="Arial" w:hAnsi="Arial" w:cs="Arial"/>
          <w:sz w:val="20"/>
          <w:szCs w:val="20"/>
        </w:rPr>
      </w:pPr>
      <w:r w:rsidRPr="00B44155">
        <w:rPr>
          <w:rFonts w:ascii="Arial" w:hAnsi="Arial" w:cs="Arial"/>
          <w:sz w:val="20"/>
          <w:szCs w:val="20"/>
        </w:rPr>
        <w:t xml:space="preserve">[…] </w:t>
      </w:r>
      <w:r w:rsidR="00B44155" w:rsidRPr="00BB2061">
        <w:rPr>
          <w:rFonts w:ascii="Arial" w:hAnsi="Arial" w:cs="Arial"/>
          <w:sz w:val="20"/>
          <w:szCs w:val="20"/>
        </w:rPr>
        <w:t xml:space="preserve">por regla general o principio aplica la publicación proactiva de la información pública, incluyendo la relacionada en materia contractual, mediante su publicación en el SECOP, en la forma establecida en el numeral 2.1. de este documento. Sin embargo, reiterando una idea recurrente, es posible que el constituyente o el legislador establezcan </w:t>
      </w:r>
      <w:r w:rsidR="00B44155" w:rsidRPr="00BB2061">
        <w:rPr>
          <w:rFonts w:ascii="Arial" w:hAnsi="Arial" w:cs="Arial"/>
          <w:i/>
          <w:iCs/>
          <w:sz w:val="20"/>
          <w:szCs w:val="20"/>
        </w:rPr>
        <w:t xml:space="preserve">reservas </w:t>
      </w:r>
      <w:r w:rsidR="00B44155" w:rsidRPr="00BB2061">
        <w:rPr>
          <w:rFonts w:ascii="Arial" w:hAnsi="Arial" w:cs="Arial"/>
          <w:sz w:val="20"/>
          <w:szCs w:val="20"/>
        </w:rPr>
        <w:t xml:space="preserve">de cierta información pública. En este sentido, en desarrollo de cualquier proceso contractual, independientemente de la modalidad de selección, es posible que los documentos del proceso contengan información sometida a reserva, de acuerdo </w:t>
      </w:r>
      <w:r w:rsidR="00B44155" w:rsidRPr="00BB2061">
        <w:rPr>
          <w:rFonts w:ascii="Arial" w:hAnsi="Arial" w:cs="Arial"/>
          <w:sz w:val="20"/>
          <w:szCs w:val="20"/>
        </w:rPr>
        <w:lastRenderedPageBreak/>
        <w:t>con las causales establecidas en la Constitución o en la ley, caso en el cual dicha información no debe publicarse en el SECOP, precisamente por tratarse de información reservada. En estos casos, debe procederse conforme lo establecido en la Ley 1712 de 2014, particularmente, cumpliendo las obligaciones y los deberes establecidos en el título III «Excepciones acceso a la información».</w:t>
      </w:r>
    </w:p>
    <w:p w14:paraId="53D0C874" w14:textId="77777777" w:rsidR="0093140E" w:rsidRPr="003253B1" w:rsidRDefault="0093140E">
      <w:pPr>
        <w:jc w:val="both"/>
        <w:rPr>
          <w:rFonts w:ascii="Arial" w:hAnsi="Arial" w:cs="Arial"/>
          <w:sz w:val="20"/>
          <w:szCs w:val="20"/>
        </w:rPr>
      </w:pPr>
    </w:p>
    <w:p w14:paraId="0BA6E7A8" w14:textId="48D8AF78" w:rsidR="0093140E" w:rsidRPr="003253B1" w:rsidRDefault="0093140E">
      <w:pPr>
        <w:jc w:val="both"/>
        <w:rPr>
          <w:rFonts w:ascii="Arial" w:hAnsi="Arial" w:cs="Arial"/>
          <w:b/>
          <w:bCs/>
          <w:sz w:val="22"/>
        </w:rPr>
      </w:pPr>
      <w:r w:rsidRPr="003253B1">
        <w:rPr>
          <w:rFonts w:ascii="Arial" w:hAnsi="Arial" w:cs="Arial"/>
          <w:b/>
          <w:bCs/>
          <w:sz w:val="22"/>
        </w:rPr>
        <w:t>RESERVA DE INFORMACIÓN PÚBLICA</w:t>
      </w:r>
      <w:r w:rsidR="007B2ECA">
        <w:rPr>
          <w:rFonts w:ascii="Arial" w:hAnsi="Arial" w:cs="Arial"/>
          <w:b/>
          <w:bCs/>
          <w:sz w:val="22"/>
        </w:rPr>
        <w:t xml:space="preserve"> </w:t>
      </w:r>
      <w:r w:rsidRPr="003253B1">
        <w:rPr>
          <w:rFonts w:ascii="Arial" w:hAnsi="Arial" w:cs="Arial"/>
          <w:b/>
          <w:bCs/>
          <w:sz w:val="22"/>
        </w:rPr>
        <w:t xml:space="preserve">– Aplicación en cualquier proceso contractual – Contratación Estatal – Análisis particular </w:t>
      </w:r>
    </w:p>
    <w:p w14:paraId="1D11BF85" w14:textId="77777777" w:rsidR="0093140E" w:rsidRPr="003253B1" w:rsidRDefault="0093140E">
      <w:pPr>
        <w:jc w:val="both"/>
        <w:rPr>
          <w:rFonts w:ascii="Arial" w:hAnsi="Arial" w:cs="Arial"/>
          <w:sz w:val="20"/>
          <w:szCs w:val="20"/>
        </w:rPr>
      </w:pPr>
    </w:p>
    <w:p w14:paraId="35E5FA34" w14:textId="7359E3A3" w:rsidR="00B44155" w:rsidRPr="00BB2061" w:rsidRDefault="00B44155" w:rsidP="00BB2061">
      <w:pPr>
        <w:tabs>
          <w:tab w:val="left" w:pos="426"/>
        </w:tabs>
        <w:spacing w:after="120"/>
        <w:jc w:val="both"/>
        <w:rPr>
          <w:rFonts w:ascii="Arial" w:hAnsi="Arial" w:cs="Arial"/>
          <w:sz w:val="20"/>
          <w:szCs w:val="20"/>
        </w:rPr>
      </w:pPr>
      <w:r w:rsidRPr="00BB2061">
        <w:rPr>
          <w:rFonts w:ascii="Arial" w:hAnsi="Arial" w:cs="Arial"/>
          <w:sz w:val="20"/>
          <w:szCs w:val="20"/>
        </w:rPr>
        <w:t xml:space="preserve">[…] en desarrollo de un proceso de selección adelantado para adquirir un inmueble, en virtud de la modalidad de contratación directa, para la defensa y seguridad nacional, que necesite reserva para su adquisición, los documentos del proceso que contengan información reservada de acuerdo con alguna causal establecida en la Constitución o la ley no serán objeto de publicación en el SECOP. De esta manera, el hecho de que el artículo 2.2.1.2.1.4.6. del Decreto 1082 de 2015, al desarrollar la causal de contratación directa del </w:t>
      </w:r>
      <w:r w:rsidRPr="00BB2061">
        <w:rPr>
          <w:rFonts w:ascii="Arial" w:eastAsia="Calibri" w:hAnsi="Arial" w:cs="Arial"/>
          <w:color w:val="000000"/>
          <w:sz w:val="20"/>
          <w:szCs w:val="20"/>
          <w:lang w:val="es-ES_tradnl" w:eastAsia="en-GB"/>
        </w:rPr>
        <w:t>literal d), numeral 4, del artículo 2 de la Ley 1150 de 2007,</w:t>
      </w:r>
      <w:r w:rsidRPr="00BB2061">
        <w:rPr>
          <w:rFonts w:ascii="Arial" w:hAnsi="Arial" w:cs="Arial"/>
          <w:sz w:val="20"/>
          <w:szCs w:val="20"/>
        </w:rPr>
        <w:t xml:space="preserve"> establezca que «Las Entidades Estatales no están obligadas a publicar los Documentos del Proceso para adquirir bienes y servicios en el Sector Defensa, la Dirección Nacional de Inteligencia y la Unidad Nacional de Protección que requieren reserva», no implica desconocer que en los demás procedimientos de selección sean aplicables las reservas, en caso de que eventualmente resulten aplicables por tener la documentación el carácter de reservada. </w:t>
      </w:r>
    </w:p>
    <w:p w14:paraId="7F05A139" w14:textId="1F964012" w:rsidR="007B2ECA" w:rsidRDefault="00B44155" w:rsidP="002C3DC9">
      <w:pPr>
        <w:jc w:val="both"/>
        <w:rPr>
          <w:rFonts w:ascii="Arial" w:hAnsi="Arial" w:cs="Arial"/>
          <w:sz w:val="20"/>
          <w:szCs w:val="20"/>
        </w:rPr>
      </w:pPr>
      <w:r w:rsidRPr="00BB2061">
        <w:rPr>
          <w:rFonts w:ascii="Arial" w:hAnsi="Arial" w:cs="Arial"/>
          <w:sz w:val="20"/>
          <w:szCs w:val="20"/>
        </w:rPr>
        <w:t>En tal sentido, es posible que en cualquier procedimiento de selección se prescinda de publicar determinada información que esté reservada de acuerdo con la Constitución o la ley, por lo que frente a ella debe procederse como lo establece la Ley 1712 de 2014, esto es, cumpliendo todos los deberes establecidos en dicha ley, absteniéndose de publicar la información que esté sometida a alguna de las reservas indicadas</w:t>
      </w:r>
      <w:r w:rsidR="007B2ECA">
        <w:rPr>
          <w:rFonts w:ascii="Arial" w:hAnsi="Arial" w:cs="Arial"/>
          <w:sz w:val="20"/>
          <w:szCs w:val="20"/>
        </w:rPr>
        <w:t>.</w:t>
      </w:r>
    </w:p>
    <w:p w14:paraId="63B64FFB" w14:textId="64273C27" w:rsidR="007B2ECA" w:rsidRDefault="007B2ECA" w:rsidP="00BB2061">
      <w:pPr>
        <w:tabs>
          <w:tab w:val="left" w:pos="426"/>
        </w:tabs>
        <w:jc w:val="both"/>
        <w:rPr>
          <w:rFonts w:ascii="Arial" w:hAnsi="Arial" w:cs="Arial"/>
          <w:sz w:val="20"/>
          <w:szCs w:val="20"/>
        </w:rPr>
      </w:pPr>
    </w:p>
    <w:p w14:paraId="503B9A8E" w14:textId="3E5D364D" w:rsidR="007B2ECA" w:rsidRDefault="007B2ECA" w:rsidP="007B2ECA">
      <w:pPr>
        <w:tabs>
          <w:tab w:val="left" w:pos="426"/>
        </w:tabs>
        <w:jc w:val="both"/>
        <w:rPr>
          <w:rFonts w:ascii="Arial" w:hAnsi="Arial" w:cs="Arial"/>
          <w:b/>
          <w:bCs/>
          <w:sz w:val="22"/>
        </w:rPr>
      </w:pPr>
      <w:r w:rsidRPr="003253B1">
        <w:rPr>
          <w:rFonts w:ascii="Arial" w:hAnsi="Arial" w:cs="Arial"/>
          <w:b/>
          <w:bCs/>
          <w:sz w:val="22"/>
        </w:rPr>
        <w:t>RESERVA DE INFORMACIÓN PÚBLICA</w:t>
      </w:r>
      <w:r>
        <w:rPr>
          <w:rFonts w:ascii="Arial" w:hAnsi="Arial" w:cs="Arial"/>
          <w:b/>
          <w:bCs/>
          <w:sz w:val="22"/>
        </w:rPr>
        <w:t xml:space="preserve"> – Defensa y seguridad nacional – Documentos del proceso</w:t>
      </w:r>
    </w:p>
    <w:p w14:paraId="28487610" w14:textId="77777777" w:rsidR="007B2ECA" w:rsidRDefault="007B2ECA" w:rsidP="00BB2061">
      <w:pPr>
        <w:tabs>
          <w:tab w:val="left" w:pos="426"/>
        </w:tabs>
        <w:jc w:val="both"/>
        <w:rPr>
          <w:rFonts w:ascii="Arial" w:hAnsi="Arial" w:cs="Arial"/>
          <w:b/>
          <w:bCs/>
          <w:sz w:val="22"/>
        </w:rPr>
      </w:pPr>
    </w:p>
    <w:p w14:paraId="40582F79" w14:textId="680E40EB" w:rsidR="007B2ECA" w:rsidRDefault="007B2ECA" w:rsidP="00BB2061">
      <w:pPr>
        <w:tabs>
          <w:tab w:val="left" w:pos="426"/>
        </w:tabs>
        <w:jc w:val="both"/>
        <w:rPr>
          <w:rFonts w:ascii="Arial" w:eastAsia="Calibri" w:hAnsi="Arial" w:cs="Arial"/>
          <w:color w:val="000000"/>
          <w:sz w:val="20"/>
          <w:szCs w:val="20"/>
          <w:lang w:val="es-ES_tradnl" w:eastAsia="en-GB"/>
        </w:rPr>
      </w:pPr>
      <w:r>
        <w:rPr>
          <w:rFonts w:ascii="Arial" w:hAnsi="Arial" w:cs="Arial"/>
          <w:sz w:val="20"/>
          <w:szCs w:val="20"/>
        </w:rPr>
        <w:t xml:space="preserve">[…] </w:t>
      </w:r>
      <w:r w:rsidR="00CA36F3" w:rsidRPr="00CA36F3">
        <w:rPr>
          <w:rFonts w:ascii="Arial" w:hAnsi="Arial" w:cs="Arial"/>
          <w:sz w:val="20"/>
          <w:szCs w:val="20"/>
        </w:rPr>
        <w:t xml:space="preserve">es posible que en cualquier procedimiento de selección se prescinda de publicar determinada información que esté reservada, por ejemplo, con fundamento en las causales del artículo 19 de la Ley 1712 de 2014, literal a; o el artículo 24, numeral 1, del artículo 24 de la Ley 1437 de 2011, sustituido por la Ley 1755 de 2015, ambas relacionadas con la defensa o seguridad </w:t>
      </w:r>
      <w:proofErr w:type="gramStart"/>
      <w:r w:rsidR="00CA36F3" w:rsidRPr="00CA36F3">
        <w:rPr>
          <w:rFonts w:ascii="Arial" w:hAnsi="Arial" w:cs="Arial"/>
          <w:sz w:val="20"/>
          <w:szCs w:val="20"/>
        </w:rPr>
        <w:t>nacional .</w:t>
      </w:r>
      <w:proofErr w:type="gramEnd"/>
      <w:r w:rsidR="00CA36F3" w:rsidRPr="00CA36F3">
        <w:rPr>
          <w:rFonts w:ascii="Arial" w:hAnsi="Arial" w:cs="Arial"/>
          <w:sz w:val="20"/>
          <w:szCs w:val="20"/>
        </w:rPr>
        <w:t xml:space="preserve"> En este sentido, cuando la entidad estatal determine que la publicación de los documentos del proceso de contratación afecte la defensa y seguridad nacional, para lo cual se pueden apoyar en conceptos de entidades especializadas en la materia, tal como se indica en la petición, estos no deben publicarse en el SECOP, de manera que se proteja la reserva de la información, absteniéndose de publicar dichos documentos contractuales</w:t>
      </w:r>
      <w:r w:rsidRPr="00BB2061">
        <w:rPr>
          <w:rFonts w:ascii="Arial" w:eastAsia="Calibri" w:hAnsi="Arial" w:cs="Arial"/>
          <w:color w:val="000000"/>
          <w:sz w:val="20"/>
          <w:szCs w:val="20"/>
          <w:lang w:val="es-ES_tradnl" w:eastAsia="en-GB"/>
        </w:rPr>
        <w:t>.</w:t>
      </w:r>
    </w:p>
    <w:p w14:paraId="421DDA72" w14:textId="0E520EAD" w:rsidR="00CA36F3" w:rsidRDefault="00CA36F3" w:rsidP="00BB2061">
      <w:pPr>
        <w:tabs>
          <w:tab w:val="left" w:pos="426"/>
        </w:tabs>
        <w:jc w:val="both"/>
        <w:rPr>
          <w:rFonts w:ascii="Arial" w:eastAsia="Calibri" w:hAnsi="Arial" w:cs="Arial"/>
          <w:color w:val="000000"/>
          <w:sz w:val="20"/>
          <w:szCs w:val="20"/>
          <w:lang w:val="es-ES_tradnl" w:eastAsia="en-GB"/>
        </w:rPr>
      </w:pPr>
    </w:p>
    <w:p w14:paraId="7D09AC5B" w14:textId="245B97B7" w:rsidR="00CA36F3" w:rsidRPr="002C3DC9" w:rsidRDefault="00CA36F3" w:rsidP="00BB2061">
      <w:pPr>
        <w:tabs>
          <w:tab w:val="left" w:pos="426"/>
        </w:tabs>
        <w:jc w:val="both"/>
        <w:rPr>
          <w:rFonts w:ascii="Arial" w:hAnsi="Arial" w:cs="Arial"/>
          <w:sz w:val="20"/>
          <w:szCs w:val="20"/>
        </w:rPr>
      </w:pPr>
      <w:r>
        <w:rPr>
          <w:rFonts w:ascii="Arial" w:hAnsi="Arial" w:cs="Arial"/>
          <w:sz w:val="20"/>
          <w:szCs w:val="20"/>
        </w:rPr>
        <w:t xml:space="preserve">       </w:t>
      </w:r>
    </w:p>
    <w:p w14:paraId="6CDB8EC9" w14:textId="03365B2F" w:rsidR="007B2ECA" w:rsidRPr="00193A67" w:rsidRDefault="007B2ECA" w:rsidP="007B2ECA">
      <w:pPr>
        <w:tabs>
          <w:tab w:val="left" w:pos="426"/>
        </w:tabs>
        <w:spacing w:after="120"/>
        <w:jc w:val="both"/>
        <w:rPr>
          <w:rFonts w:ascii="Arial" w:hAnsi="Arial" w:cs="Arial"/>
          <w:sz w:val="20"/>
          <w:szCs w:val="20"/>
        </w:rPr>
      </w:pPr>
    </w:p>
    <w:p w14:paraId="108AF9E1" w14:textId="77777777" w:rsidR="007B2ECA" w:rsidRDefault="007B2ECA">
      <w:pPr>
        <w:spacing w:after="200" w:line="276" w:lineRule="auto"/>
        <w:rPr>
          <w:rFonts w:ascii="Arial" w:hAnsi="Arial" w:cs="Arial"/>
          <w:sz w:val="20"/>
          <w:szCs w:val="20"/>
        </w:rPr>
      </w:pPr>
      <w:r>
        <w:rPr>
          <w:rFonts w:ascii="Arial" w:hAnsi="Arial" w:cs="Arial"/>
          <w:sz w:val="20"/>
          <w:szCs w:val="20"/>
        </w:rPr>
        <w:br w:type="page"/>
      </w:r>
    </w:p>
    <w:p w14:paraId="708B07E1" w14:textId="6F9CDCEC" w:rsidR="00417C00" w:rsidRPr="00A87199" w:rsidRDefault="00B81736" w:rsidP="00417C00">
      <w:pPr>
        <w:jc w:val="right"/>
        <w:rPr>
          <w:lang w:val="es-ES_tradnl"/>
        </w:rPr>
      </w:pPr>
      <w:r>
        <w:rPr>
          <w:noProof/>
        </w:rPr>
        <w:lastRenderedPageBreak/>
        <w:drawing>
          <wp:inline distT="0" distB="0" distL="0" distR="0" wp14:anchorId="6FD437CD" wp14:editId="3B6DAD3B">
            <wp:extent cx="2430991" cy="647756"/>
            <wp:effectExtent l="0" t="0" r="7620" b="0"/>
            <wp:docPr id="4" name="Imagen 4"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10;&#10;Descripción generada automáticamente"/>
                    <pic:cNvPicPr/>
                  </pic:nvPicPr>
                  <pic:blipFill>
                    <a:blip r:embed="rId11"/>
                    <a:stretch>
                      <a:fillRect/>
                    </a:stretch>
                  </pic:blipFill>
                  <pic:spPr>
                    <a:xfrm>
                      <a:off x="0" y="0"/>
                      <a:ext cx="2430991" cy="647756"/>
                    </a:xfrm>
                    <a:prstGeom prst="rect">
                      <a:avLst/>
                    </a:prstGeom>
                  </pic:spPr>
                </pic:pic>
              </a:graphicData>
            </a:graphic>
          </wp:inline>
        </w:drawing>
      </w:r>
    </w:p>
    <w:p w14:paraId="6A8A869B" w14:textId="514D7C5B" w:rsidR="00B95C30" w:rsidRPr="005419DA" w:rsidRDefault="00B95C30" w:rsidP="00B95C30">
      <w:pPr>
        <w:jc w:val="both"/>
        <w:rPr>
          <w:rFonts w:ascii="Arial" w:hAnsi="Arial" w:cs="Arial"/>
          <w:b/>
          <w:color w:val="000000" w:themeColor="text1"/>
          <w:sz w:val="22"/>
          <w:lang w:val="es-ES_tradnl"/>
        </w:rPr>
      </w:pPr>
    </w:p>
    <w:p w14:paraId="5F5AE9EF" w14:textId="3F9EB381" w:rsidR="00B95C30" w:rsidRPr="005419DA" w:rsidRDefault="00BE4FBF" w:rsidP="00B95C30">
      <w:pPr>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Señor</w:t>
      </w:r>
      <w:r w:rsidR="00552C59">
        <w:rPr>
          <w:rFonts w:ascii="Arial" w:eastAsia="Calibri" w:hAnsi="Arial" w:cs="Arial"/>
          <w:color w:val="000000" w:themeColor="text1"/>
          <w:sz w:val="22"/>
          <w:lang w:val="es-ES_tradnl"/>
        </w:rPr>
        <w:t>a</w:t>
      </w:r>
    </w:p>
    <w:p w14:paraId="3DCD58CE" w14:textId="47323E3B" w:rsidR="00B95C30" w:rsidRDefault="00552C59" w:rsidP="00B95C30">
      <w:pPr>
        <w:jc w:val="both"/>
        <w:rPr>
          <w:rFonts w:ascii="Arial" w:eastAsia="Calibri" w:hAnsi="Arial" w:cs="Arial"/>
          <w:b/>
          <w:color w:val="000000" w:themeColor="text1"/>
          <w:sz w:val="22"/>
          <w:lang w:val="es-ES_tradnl"/>
        </w:rPr>
      </w:pPr>
      <w:r w:rsidRPr="00552C59">
        <w:rPr>
          <w:rFonts w:ascii="Arial" w:eastAsia="Calibri" w:hAnsi="Arial" w:cs="Arial"/>
          <w:b/>
          <w:color w:val="000000" w:themeColor="text1"/>
          <w:sz w:val="22"/>
          <w:lang w:val="es-ES_tradnl"/>
        </w:rPr>
        <w:t>Helena Bermúdez Arciniegas</w:t>
      </w:r>
    </w:p>
    <w:p w14:paraId="3C0930E8" w14:textId="677E003B" w:rsidR="00B47773" w:rsidRDefault="00B47773"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Presidencia de la República</w:t>
      </w:r>
    </w:p>
    <w:p w14:paraId="09D4AEA8" w14:textId="658189A9" w:rsidR="00B95C30" w:rsidRPr="005419DA" w:rsidRDefault="00716BB0" w:rsidP="00B95C30">
      <w:pPr>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Bogotá D.C.</w:t>
      </w:r>
    </w:p>
    <w:p w14:paraId="3B584A57" w14:textId="4528CA3D" w:rsidR="00F53F4F" w:rsidRPr="005419DA" w:rsidRDefault="00F53F4F" w:rsidP="00B95C30">
      <w:pPr>
        <w:jc w:val="both"/>
        <w:rPr>
          <w:rFonts w:ascii="Arial" w:eastAsia="Calibri" w:hAnsi="Arial" w:cs="Arial"/>
          <w:color w:val="000000" w:themeColor="text1"/>
          <w:sz w:val="22"/>
          <w:lang w:val="es-ES_tradnl"/>
        </w:rPr>
      </w:pPr>
    </w:p>
    <w:p w14:paraId="48E36FCF" w14:textId="77777777" w:rsidR="00F53F4F" w:rsidRPr="005419DA" w:rsidRDefault="00F53F4F" w:rsidP="00B95C30">
      <w:pPr>
        <w:jc w:val="both"/>
        <w:rPr>
          <w:rFonts w:ascii="Arial" w:eastAsia="Calibri" w:hAnsi="Arial" w:cs="Arial"/>
          <w:color w:val="000000" w:themeColor="text1"/>
          <w:sz w:val="22"/>
          <w:lang w:val="es-ES_tradnl"/>
        </w:rPr>
      </w:pPr>
    </w:p>
    <w:p w14:paraId="12E66182" w14:textId="20B8949E" w:rsidR="00B95C30" w:rsidRPr="005419DA" w:rsidRDefault="00F53F4F" w:rsidP="001D6CD2">
      <w:pPr>
        <w:rPr>
          <w:rFonts w:ascii="Arial" w:eastAsia="Calibri" w:hAnsi="Arial" w:cs="Arial"/>
          <w:b/>
          <w:bCs/>
          <w:color w:val="000000" w:themeColor="text1"/>
          <w:sz w:val="22"/>
          <w:lang w:val="es-ES_tradnl"/>
        </w:rPr>
      </w:pPr>
      <w:r w:rsidRPr="005419DA">
        <w:rPr>
          <w:rFonts w:ascii="Arial" w:eastAsia="Calibri" w:hAnsi="Arial" w:cs="Arial"/>
          <w:b/>
          <w:bCs/>
          <w:color w:val="000000" w:themeColor="text1"/>
          <w:sz w:val="22"/>
          <w:lang w:val="es-ES_tradnl"/>
        </w:rPr>
        <w:t xml:space="preserve">                                            </w:t>
      </w:r>
      <w:r w:rsidR="00B95C30" w:rsidRPr="005419DA">
        <w:rPr>
          <w:rFonts w:ascii="Arial" w:eastAsia="Calibri" w:hAnsi="Arial" w:cs="Arial"/>
          <w:b/>
          <w:bCs/>
          <w:color w:val="000000" w:themeColor="text1"/>
          <w:sz w:val="22"/>
          <w:lang w:val="es-ES_tradnl"/>
        </w:rPr>
        <w:t xml:space="preserve">Concepto C ‒ </w:t>
      </w:r>
      <w:r w:rsidR="00894AE1">
        <w:rPr>
          <w:rFonts w:ascii="Arial" w:eastAsia="Calibri" w:hAnsi="Arial" w:cs="Arial"/>
          <w:b/>
          <w:bCs/>
          <w:color w:val="000000" w:themeColor="text1"/>
          <w:sz w:val="22"/>
          <w:lang w:val="es-ES_tradnl"/>
        </w:rPr>
        <w:t>300</w:t>
      </w:r>
      <w:r w:rsidR="00885AEB" w:rsidRPr="005419DA">
        <w:rPr>
          <w:rFonts w:ascii="Arial" w:eastAsia="Calibri" w:hAnsi="Arial" w:cs="Arial"/>
          <w:b/>
          <w:bCs/>
          <w:color w:val="000000" w:themeColor="text1"/>
          <w:sz w:val="22"/>
          <w:lang w:val="es-ES_tradnl"/>
        </w:rPr>
        <w:t xml:space="preserve"> </w:t>
      </w:r>
      <w:r w:rsidR="00B95C30" w:rsidRPr="005419DA">
        <w:rPr>
          <w:rFonts w:ascii="Arial" w:eastAsia="Calibri" w:hAnsi="Arial" w:cs="Arial"/>
          <w:b/>
          <w:bCs/>
          <w:color w:val="000000" w:themeColor="text1"/>
          <w:sz w:val="22"/>
          <w:lang w:val="es-ES_tradnl"/>
        </w:rPr>
        <w:t>de 202</w:t>
      </w:r>
      <w:r w:rsidR="005E781C" w:rsidRPr="005419DA">
        <w:rPr>
          <w:rFonts w:ascii="Arial" w:eastAsia="Calibri" w:hAnsi="Arial" w:cs="Arial"/>
          <w:b/>
          <w:bCs/>
          <w:color w:val="000000" w:themeColor="text1"/>
          <w:sz w:val="22"/>
          <w:lang w:val="es-ES_tradnl"/>
        </w:rPr>
        <w:t>1</w:t>
      </w:r>
    </w:p>
    <w:p w14:paraId="1BD594F9" w14:textId="77777777" w:rsidR="00B95C30" w:rsidRPr="005419DA"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5419DA" w14:paraId="19DFC051" w14:textId="77777777" w:rsidTr="008F4163">
        <w:tc>
          <w:tcPr>
            <w:tcW w:w="2689" w:type="dxa"/>
          </w:tcPr>
          <w:p w14:paraId="6BC0D1AC" w14:textId="77777777" w:rsidR="00B95C30" w:rsidRPr="005419DA" w:rsidRDefault="00B95C30" w:rsidP="008F4163">
            <w:pPr>
              <w:jc w:val="both"/>
              <w:rPr>
                <w:rFonts w:ascii="Arial" w:eastAsia="Calibri" w:hAnsi="Arial" w:cs="Arial"/>
                <w:color w:val="000000" w:themeColor="text1"/>
                <w:sz w:val="22"/>
                <w:lang w:val="es-ES_tradnl"/>
              </w:rPr>
            </w:pPr>
            <w:r w:rsidRPr="005419DA">
              <w:rPr>
                <w:rFonts w:ascii="Arial" w:eastAsia="Calibri" w:hAnsi="Arial" w:cs="Arial"/>
                <w:b/>
                <w:color w:val="000000" w:themeColor="text1"/>
                <w:sz w:val="22"/>
                <w:lang w:val="es-ES_tradnl"/>
              </w:rPr>
              <w:t>Temas:</w:t>
            </w:r>
            <w:r w:rsidRPr="005419DA">
              <w:rPr>
                <w:rFonts w:ascii="Arial" w:eastAsia="Calibri" w:hAnsi="Arial" w:cs="Arial"/>
                <w:color w:val="000000" w:themeColor="text1"/>
                <w:sz w:val="22"/>
                <w:lang w:val="es-ES_tradnl"/>
              </w:rPr>
              <w:t xml:space="preserve">                                      </w:t>
            </w:r>
          </w:p>
        </w:tc>
        <w:tc>
          <w:tcPr>
            <w:tcW w:w="6237" w:type="dxa"/>
          </w:tcPr>
          <w:p w14:paraId="5F389CAF" w14:textId="534A155B" w:rsidR="00B95C30" w:rsidRPr="00402B33" w:rsidRDefault="00C73605" w:rsidP="008F4163">
            <w:pPr>
              <w:jc w:val="both"/>
              <w:rPr>
                <w:rFonts w:ascii="Arial" w:eastAsia="Calibri" w:hAnsi="Arial" w:cs="Arial"/>
                <w:color w:val="000000" w:themeColor="text1"/>
                <w:sz w:val="22"/>
                <w:lang w:val="es-ES_tradnl"/>
              </w:rPr>
            </w:pPr>
            <w:r w:rsidRPr="003253B1">
              <w:rPr>
                <w:rFonts w:ascii="Arial" w:eastAsia="Calibri" w:hAnsi="Arial" w:cs="Arial"/>
                <w:color w:val="000000" w:themeColor="text1"/>
                <w:sz w:val="22"/>
                <w:lang w:val="es-ES_tradnl"/>
              </w:rPr>
              <w:t xml:space="preserve">ACCESO A DOCUMENTACIÓN PÚBLICA – Derecho fundamental – Transparencia – Información contractual / SECOP – Deber de publicación – Información contractual / RESERVA DE INFORMACIÓN PÚBLICA – Actividad contractual – Información Pública – Máxima publicidad – Deberes – Divulgación parcial – Divulgación de la existencia / </w:t>
            </w:r>
            <w:r w:rsidRPr="00887828">
              <w:rPr>
                <w:rFonts w:ascii="Arial" w:eastAsia="Calibri" w:hAnsi="Arial" w:cs="Arial"/>
                <w:color w:val="000000" w:themeColor="text1"/>
                <w:lang w:val="es-ES_tradnl"/>
              </w:rPr>
              <w:t xml:space="preserve">RESERVA DE INFORMACIÓN PÚBLICA – Fundamento – Constitución – Ley – Aplicación – Procesos contractuales / </w:t>
            </w:r>
            <w:r w:rsidRPr="00887828">
              <w:rPr>
                <w:rFonts w:ascii="Arial" w:eastAsia="Calibri" w:hAnsi="Arial" w:cs="Arial"/>
                <w:color w:val="000000" w:themeColor="text1"/>
                <w:sz w:val="22"/>
                <w:lang w:val="es-ES_tradnl"/>
              </w:rPr>
              <w:t>RESERVA DE INFORMACIÓN PÚBLICA</w:t>
            </w:r>
            <w:r w:rsidRPr="003253B1">
              <w:rPr>
                <w:rFonts w:ascii="Arial" w:eastAsia="Calibri" w:hAnsi="Arial" w:cs="Arial"/>
                <w:color w:val="000000" w:themeColor="text1"/>
                <w:sz w:val="22"/>
                <w:lang w:val="es-ES_tradnl"/>
              </w:rPr>
              <w:t xml:space="preserve"> – Aplicación en cualquier proceso contractual – Contratación Estatal – Análisis particular</w:t>
            </w:r>
            <w:r w:rsidR="00B95C30" w:rsidRPr="00402B33">
              <w:rPr>
                <w:rFonts w:ascii="Arial" w:eastAsia="Arial" w:hAnsi="Arial" w:cs="Arial"/>
                <w:sz w:val="22"/>
                <w:lang w:val="es-ES_tradnl"/>
              </w:rPr>
              <w:t>.</w:t>
            </w:r>
          </w:p>
        </w:tc>
      </w:tr>
      <w:tr w:rsidR="00B95C30" w:rsidRPr="005419DA" w14:paraId="27CD52AB" w14:textId="77777777" w:rsidTr="008F4163">
        <w:tc>
          <w:tcPr>
            <w:tcW w:w="2689" w:type="dxa"/>
          </w:tcPr>
          <w:p w14:paraId="37E195A1" w14:textId="1BA218D5" w:rsidR="00B95C30" w:rsidRPr="005419DA" w:rsidRDefault="00B95C30" w:rsidP="008F4163">
            <w:pPr>
              <w:spacing w:before="12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Radicación:</w:t>
            </w:r>
            <w:r w:rsidRPr="005419DA">
              <w:rPr>
                <w:rFonts w:ascii="Arial" w:eastAsia="Calibri" w:hAnsi="Arial" w:cs="Arial"/>
                <w:color w:val="000000" w:themeColor="text1"/>
                <w:sz w:val="22"/>
                <w:lang w:val="es-ES_tradnl"/>
              </w:rPr>
              <w:t xml:space="preserve">                              </w:t>
            </w:r>
          </w:p>
        </w:tc>
        <w:tc>
          <w:tcPr>
            <w:tcW w:w="6237" w:type="dxa"/>
          </w:tcPr>
          <w:p w14:paraId="09088B1B" w14:textId="405F70D7" w:rsidR="00B95C30" w:rsidRPr="005419DA" w:rsidRDefault="00B95C30" w:rsidP="008F4163">
            <w:pPr>
              <w:spacing w:before="120"/>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Respuesta a consult</w:t>
            </w:r>
            <w:r w:rsidR="009977B1">
              <w:rPr>
                <w:rFonts w:ascii="Arial" w:eastAsia="Calibri" w:hAnsi="Arial" w:cs="Arial"/>
                <w:color w:val="000000" w:themeColor="text1"/>
                <w:sz w:val="22"/>
                <w:lang w:val="es-ES_tradnl"/>
              </w:rPr>
              <w:t xml:space="preserve">a </w:t>
            </w:r>
            <w:r w:rsidRPr="005419DA">
              <w:rPr>
                <w:rFonts w:ascii="Arial" w:eastAsia="Calibri" w:hAnsi="Arial" w:cs="Arial"/>
                <w:color w:val="000000" w:themeColor="text1"/>
                <w:sz w:val="22"/>
                <w:lang w:val="es-ES_tradnl"/>
              </w:rPr>
              <w:t xml:space="preserve"># </w:t>
            </w:r>
            <w:r w:rsidR="00552C59" w:rsidRPr="00552C59">
              <w:rPr>
                <w:rFonts w:ascii="Arial" w:eastAsia="Calibri" w:hAnsi="Arial" w:cs="Arial"/>
                <w:color w:val="000000" w:themeColor="text1"/>
                <w:sz w:val="22"/>
                <w:lang w:val="es-ES_tradnl"/>
              </w:rPr>
              <w:t>P20210512004098</w:t>
            </w:r>
          </w:p>
        </w:tc>
      </w:tr>
    </w:tbl>
    <w:p w14:paraId="61B55CA4" w14:textId="77777777" w:rsidR="00716BB0" w:rsidRPr="005419DA" w:rsidRDefault="00716BB0" w:rsidP="003C3339">
      <w:pPr>
        <w:jc w:val="both"/>
        <w:rPr>
          <w:rFonts w:ascii="Arial" w:eastAsia="Calibri" w:hAnsi="Arial" w:cs="Arial"/>
          <w:color w:val="000000" w:themeColor="text1"/>
          <w:sz w:val="22"/>
          <w:lang w:val="es-ES_tradnl"/>
        </w:rPr>
      </w:pPr>
    </w:p>
    <w:p w14:paraId="4B9B5156" w14:textId="77777777" w:rsidR="00716BB0" w:rsidRPr="005419DA" w:rsidRDefault="00716BB0" w:rsidP="003C3339">
      <w:pPr>
        <w:jc w:val="both"/>
        <w:rPr>
          <w:rFonts w:ascii="Arial" w:eastAsia="Calibri" w:hAnsi="Arial" w:cs="Arial"/>
          <w:color w:val="000000" w:themeColor="text1"/>
          <w:sz w:val="22"/>
          <w:lang w:val="es-ES_tradnl"/>
        </w:rPr>
      </w:pPr>
    </w:p>
    <w:p w14:paraId="1CF4AEA0" w14:textId="3ABDFDB5" w:rsidR="003C3339" w:rsidRPr="005419DA" w:rsidRDefault="003C3339" w:rsidP="003C3339">
      <w:pPr>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Estimad</w:t>
      </w:r>
      <w:r w:rsidR="00552C59">
        <w:rPr>
          <w:rFonts w:ascii="Arial" w:eastAsia="Calibri" w:hAnsi="Arial" w:cs="Arial"/>
          <w:color w:val="000000" w:themeColor="text1"/>
          <w:sz w:val="22"/>
          <w:lang w:val="es-ES_tradnl"/>
        </w:rPr>
        <w:t>a</w:t>
      </w:r>
      <w:r w:rsidRPr="005419DA">
        <w:rPr>
          <w:rFonts w:ascii="Arial" w:eastAsia="Calibri" w:hAnsi="Arial" w:cs="Arial"/>
          <w:color w:val="000000" w:themeColor="text1"/>
          <w:sz w:val="22"/>
          <w:lang w:val="es-ES_tradnl"/>
        </w:rPr>
        <w:t xml:space="preserve"> </w:t>
      </w:r>
      <w:r w:rsidR="0063732C" w:rsidRPr="005419DA">
        <w:rPr>
          <w:rFonts w:ascii="Arial" w:eastAsia="Calibri" w:hAnsi="Arial" w:cs="Arial"/>
          <w:color w:val="000000" w:themeColor="text1"/>
          <w:sz w:val="22"/>
          <w:lang w:val="es-ES_tradnl"/>
        </w:rPr>
        <w:t>señor</w:t>
      </w:r>
      <w:r w:rsidR="00552C59">
        <w:rPr>
          <w:rFonts w:ascii="Arial" w:eastAsia="Calibri" w:hAnsi="Arial" w:cs="Arial"/>
          <w:color w:val="000000" w:themeColor="text1"/>
          <w:sz w:val="22"/>
          <w:lang w:val="es-ES_tradnl"/>
        </w:rPr>
        <w:t>a</w:t>
      </w:r>
      <w:r w:rsidR="00BE4FBF" w:rsidRPr="005419DA">
        <w:rPr>
          <w:rFonts w:ascii="Arial" w:eastAsia="Calibri" w:hAnsi="Arial" w:cs="Arial"/>
          <w:color w:val="000000" w:themeColor="text1"/>
          <w:sz w:val="22"/>
          <w:lang w:val="es-ES_tradnl"/>
        </w:rPr>
        <w:t xml:space="preserve"> </w:t>
      </w:r>
      <w:r w:rsidR="00552C59">
        <w:rPr>
          <w:rFonts w:ascii="Arial" w:eastAsia="Calibri" w:hAnsi="Arial" w:cs="Arial"/>
          <w:color w:val="000000" w:themeColor="text1"/>
          <w:sz w:val="22"/>
          <w:lang w:val="es-ES_tradnl"/>
        </w:rPr>
        <w:t>Bermúdez</w:t>
      </w:r>
      <w:r w:rsidRPr="005419DA">
        <w:rPr>
          <w:rFonts w:ascii="Arial" w:eastAsia="Calibri" w:hAnsi="Arial" w:cs="Arial"/>
          <w:color w:val="000000" w:themeColor="text1"/>
          <w:sz w:val="22"/>
          <w:lang w:val="es-ES_tradnl"/>
        </w:rPr>
        <w:t>:</w:t>
      </w:r>
    </w:p>
    <w:p w14:paraId="1EAE5543" w14:textId="77777777" w:rsidR="00DD5B04" w:rsidRPr="005419DA" w:rsidRDefault="00DD5B04" w:rsidP="00DF76A2">
      <w:pPr>
        <w:jc w:val="both"/>
        <w:rPr>
          <w:rFonts w:ascii="Arial" w:eastAsia="Calibri" w:hAnsi="Arial" w:cs="Arial"/>
          <w:color w:val="000000" w:themeColor="text1"/>
          <w:sz w:val="22"/>
          <w:lang w:val="es-ES_tradnl"/>
        </w:rPr>
      </w:pPr>
    </w:p>
    <w:p w14:paraId="2109B2D3" w14:textId="249AFD7B" w:rsidR="00DD5B04" w:rsidRPr="005419DA" w:rsidRDefault="00DD5B04" w:rsidP="00DF76A2">
      <w:pPr>
        <w:spacing w:line="276" w:lineRule="auto"/>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5419DA">
        <w:rPr>
          <w:rFonts w:ascii="Arial" w:eastAsia="Calibri" w:hAnsi="Arial" w:cs="Arial"/>
          <w:color w:val="000000" w:themeColor="text1"/>
          <w:sz w:val="22"/>
          <w:lang w:val="es-ES_tradnl"/>
        </w:rPr>
        <w:t xml:space="preserve"> </w:t>
      </w:r>
      <w:r w:rsidRPr="005419DA">
        <w:rPr>
          <w:rFonts w:ascii="Arial" w:eastAsia="Calibri" w:hAnsi="Arial" w:cs="Arial"/>
          <w:color w:val="000000" w:themeColor="text1"/>
          <w:sz w:val="22"/>
          <w:lang w:val="es-ES_tradnl"/>
        </w:rPr>
        <w:t xml:space="preserve">responde su consulta del </w:t>
      </w:r>
      <w:r w:rsidR="00E000F4">
        <w:rPr>
          <w:rFonts w:ascii="Arial" w:eastAsia="Calibri" w:hAnsi="Arial" w:cs="Arial"/>
          <w:color w:val="000000" w:themeColor="text1"/>
          <w:sz w:val="22"/>
          <w:lang w:val="es-ES_tradnl"/>
        </w:rPr>
        <w:t>5</w:t>
      </w:r>
      <w:r w:rsidR="00FD4AF3" w:rsidRPr="005419DA">
        <w:rPr>
          <w:rFonts w:ascii="Arial" w:eastAsia="Calibri" w:hAnsi="Arial" w:cs="Arial"/>
          <w:color w:val="000000" w:themeColor="text1"/>
          <w:sz w:val="22"/>
          <w:lang w:val="es-ES_tradnl"/>
        </w:rPr>
        <w:t xml:space="preserve"> de </w:t>
      </w:r>
      <w:r w:rsidR="00AC4259">
        <w:rPr>
          <w:rFonts w:ascii="Arial" w:eastAsia="Calibri" w:hAnsi="Arial" w:cs="Arial"/>
          <w:color w:val="000000" w:themeColor="text1"/>
          <w:sz w:val="22"/>
          <w:lang w:val="es-ES_tradnl"/>
        </w:rPr>
        <w:t>mayo</w:t>
      </w:r>
      <w:r w:rsidRPr="005419DA">
        <w:rPr>
          <w:rFonts w:ascii="Arial" w:eastAsia="Calibri" w:hAnsi="Arial" w:cs="Arial"/>
          <w:color w:val="000000" w:themeColor="text1"/>
          <w:sz w:val="22"/>
          <w:lang w:val="es-ES_tradnl"/>
        </w:rPr>
        <w:t xml:space="preserve"> del</w:t>
      </w:r>
      <w:r w:rsidR="007E74BF" w:rsidRPr="005419DA">
        <w:rPr>
          <w:rFonts w:ascii="Arial" w:eastAsia="Calibri" w:hAnsi="Arial" w:cs="Arial"/>
          <w:color w:val="000000" w:themeColor="text1"/>
          <w:sz w:val="22"/>
          <w:lang w:val="es-ES_tradnl"/>
        </w:rPr>
        <w:t xml:space="preserve"> </w:t>
      </w:r>
      <w:r w:rsidRPr="005419DA">
        <w:rPr>
          <w:rFonts w:ascii="Arial" w:eastAsia="Calibri" w:hAnsi="Arial" w:cs="Arial"/>
          <w:color w:val="000000" w:themeColor="text1"/>
          <w:sz w:val="22"/>
          <w:lang w:val="es-ES_tradnl"/>
        </w:rPr>
        <w:t>202</w:t>
      </w:r>
      <w:r w:rsidR="00FB0880" w:rsidRPr="005419DA">
        <w:rPr>
          <w:rFonts w:ascii="Arial" w:eastAsia="Calibri" w:hAnsi="Arial" w:cs="Arial"/>
          <w:color w:val="000000" w:themeColor="text1"/>
          <w:sz w:val="22"/>
          <w:lang w:val="es-ES_tradnl"/>
        </w:rPr>
        <w:t>1</w:t>
      </w:r>
      <w:r w:rsidR="008C3C57" w:rsidRPr="005419DA">
        <w:rPr>
          <w:rFonts w:ascii="Arial" w:eastAsia="Calibri" w:hAnsi="Arial" w:cs="Arial"/>
          <w:color w:val="000000" w:themeColor="text1"/>
          <w:sz w:val="22"/>
          <w:lang w:val="es-ES_tradnl"/>
        </w:rPr>
        <w:t>.</w:t>
      </w:r>
    </w:p>
    <w:p w14:paraId="0C1E0712" w14:textId="77777777" w:rsidR="00DD5B04" w:rsidRPr="005419DA"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5419DA"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 xml:space="preserve">Problema planteado </w:t>
      </w:r>
    </w:p>
    <w:p w14:paraId="224B43D3" w14:textId="77777777" w:rsidR="00DD5B04" w:rsidRPr="005419DA"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12C3045F" w:rsidR="00443B55" w:rsidRPr="005419DA" w:rsidRDefault="00DD5B04" w:rsidP="0099583D">
      <w:pPr>
        <w:spacing w:line="276" w:lineRule="auto"/>
        <w:jc w:val="both"/>
        <w:rPr>
          <w:rFonts w:ascii="Arial" w:hAnsi="Arial" w:cs="Arial"/>
          <w:color w:val="000000" w:themeColor="text1"/>
          <w:sz w:val="22"/>
          <w:lang w:val="es-ES_tradnl"/>
        </w:rPr>
      </w:pPr>
      <w:r w:rsidRPr="005419DA">
        <w:rPr>
          <w:rFonts w:ascii="Arial" w:hAnsi="Arial" w:cs="Arial"/>
          <w:color w:val="000000" w:themeColor="text1"/>
          <w:sz w:val="22"/>
          <w:lang w:val="es-ES_tradnl"/>
        </w:rPr>
        <w:t>Usted</w:t>
      </w:r>
      <w:r w:rsidR="009A1B98">
        <w:rPr>
          <w:rFonts w:ascii="Arial" w:hAnsi="Arial" w:cs="Arial"/>
          <w:color w:val="000000" w:themeColor="text1"/>
          <w:sz w:val="22"/>
          <w:lang w:val="es-ES_tradnl"/>
        </w:rPr>
        <w:t xml:space="preserve"> </w:t>
      </w:r>
      <w:r w:rsidR="00B422C0" w:rsidRPr="005419DA">
        <w:rPr>
          <w:rFonts w:ascii="Arial" w:hAnsi="Arial" w:cs="Arial"/>
          <w:color w:val="000000" w:themeColor="text1"/>
          <w:sz w:val="22"/>
          <w:lang w:val="es-ES_tradnl"/>
        </w:rPr>
        <w:t>formula</w:t>
      </w:r>
      <w:r w:rsidR="009A1B98">
        <w:rPr>
          <w:rFonts w:ascii="Arial" w:hAnsi="Arial" w:cs="Arial"/>
          <w:color w:val="000000" w:themeColor="text1"/>
          <w:sz w:val="22"/>
          <w:lang w:val="es-ES_tradnl"/>
        </w:rPr>
        <w:t xml:space="preserve"> </w:t>
      </w:r>
      <w:r w:rsidR="006D46A3" w:rsidRPr="005419DA">
        <w:rPr>
          <w:rFonts w:ascii="Arial" w:hAnsi="Arial" w:cs="Arial"/>
          <w:color w:val="000000" w:themeColor="text1"/>
          <w:sz w:val="22"/>
          <w:lang w:val="es-ES_tradnl"/>
        </w:rPr>
        <w:t>la siguiente</w:t>
      </w:r>
      <w:r w:rsidR="00C028F5" w:rsidRPr="005419DA">
        <w:rPr>
          <w:rFonts w:ascii="Arial" w:hAnsi="Arial" w:cs="Arial"/>
          <w:color w:val="000000" w:themeColor="text1"/>
          <w:sz w:val="22"/>
          <w:lang w:val="es-ES_tradnl"/>
        </w:rPr>
        <w:t xml:space="preserve"> </w:t>
      </w:r>
      <w:r w:rsidR="00637A68">
        <w:rPr>
          <w:rFonts w:ascii="Arial" w:hAnsi="Arial" w:cs="Arial"/>
          <w:color w:val="000000" w:themeColor="text1"/>
          <w:sz w:val="22"/>
          <w:lang w:val="es-ES_tradnl"/>
        </w:rPr>
        <w:t>consulta</w:t>
      </w:r>
      <w:r w:rsidR="00552C59">
        <w:rPr>
          <w:rFonts w:ascii="Arial" w:hAnsi="Arial" w:cs="Arial"/>
          <w:color w:val="000000" w:themeColor="text1"/>
          <w:sz w:val="22"/>
          <w:lang w:val="es-ES_tradnl"/>
        </w:rPr>
        <w:t xml:space="preserve">, relacionada con el concepto </w:t>
      </w:r>
      <w:r w:rsidR="00655652">
        <w:rPr>
          <w:rFonts w:ascii="Arial" w:hAnsi="Arial" w:cs="Arial"/>
          <w:color w:val="000000" w:themeColor="text1"/>
          <w:sz w:val="22"/>
          <w:lang w:val="es-ES_tradnl"/>
        </w:rPr>
        <w:t>C–289 del 10 de mayo de 2021, correspondiente al radicado de salida RS20210211004128</w:t>
      </w:r>
      <w:r w:rsidR="00637A68">
        <w:rPr>
          <w:rFonts w:ascii="Arial" w:hAnsi="Arial" w:cs="Arial"/>
          <w:color w:val="000000" w:themeColor="text1"/>
          <w:sz w:val="22"/>
          <w:lang w:val="es-ES_tradnl"/>
        </w:rPr>
        <w:t>:</w:t>
      </w:r>
      <w:r w:rsidR="007E18DF" w:rsidRPr="005419DA">
        <w:rPr>
          <w:rFonts w:ascii="Arial" w:hAnsi="Arial" w:cs="Arial"/>
          <w:color w:val="000000" w:themeColor="text1"/>
          <w:sz w:val="22"/>
          <w:lang w:val="es-ES_tradnl"/>
        </w:rPr>
        <w:t xml:space="preserve"> </w:t>
      </w:r>
    </w:p>
    <w:p w14:paraId="559EE20C" w14:textId="2EB0FA4E" w:rsidR="00443B55" w:rsidRDefault="00443B55" w:rsidP="0099583D">
      <w:pPr>
        <w:spacing w:line="276" w:lineRule="auto"/>
        <w:jc w:val="both"/>
        <w:rPr>
          <w:rFonts w:ascii="Arial" w:hAnsi="Arial" w:cs="Arial"/>
          <w:color w:val="000000" w:themeColor="text1"/>
          <w:sz w:val="22"/>
          <w:lang w:val="es-ES_tradnl"/>
        </w:rPr>
      </w:pPr>
    </w:p>
    <w:p w14:paraId="567F4ACA" w14:textId="06E19D0C" w:rsidR="00552C59" w:rsidRPr="00BB2061" w:rsidRDefault="00552C59" w:rsidP="00BB2061">
      <w:pPr>
        <w:ind w:left="709" w:right="709"/>
        <w:jc w:val="both"/>
        <w:rPr>
          <w:rFonts w:ascii="Arial" w:hAnsi="Arial" w:cs="Arial"/>
          <w:color w:val="000000" w:themeColor="text1"/>
          <w:sz w:val="21"/>
          <w:szCs w:val="21"/>
          <w:lang w:val="es-ES_tradnl"/>
        </w:rPr>
      </w:pPr>
      <w:r w:rsidRPr="00BB2061">
        <w:rPr>
          <w:rFonts w:ascii="Arial" w:hAnsi="Arial" w:cs="Arial"/>
          <w:color w:val="000000" w:themeColor="text1"/>
          <w:sz w:val="21"/>
          <w:szCs w:val="21"/>
          <w:lang w:val="es-ES_tradnl"/>
        </w:rPr>
        <w:t xml:space="preserve">De conformidad al concepto emitido por Colombia Compra Eficiente respecto de la publicación de documentos contractuales conforme al Estatuto General de Contratación, cuando por motivos de Defensa y Seguridad Nacional exista un riesgo por la información sensible que reposa en dichos documentos, nos permitimos solicitarle de su amable colaboración con el fin de puntualizar si para casos particulares, en donde las entidades de seguridad competentes ya </w:t>
      </w:r>
      <w:r w:rsidRPr="00BB2061">
        <w:rPr>
          <w:rFonts w:ascii="Arial" w:hAnsi="Arial" w:cs="Arial"/>
          <w:color w:val="000000" w:themeColor="text1"/>
          <w:sz w:val="21"/>
          <w:szCs w:val="21"/>
          <w:lang w:val="es-ES_tradnl"/>
        </w:rPr>
        <w:lastRenderedPageBreak/>
        <w:t>emitieron concepto respecto al riesgo en Defensa y Seguridad, es necesario publicar todos los documentos contractuales.</w:t>
      </w:r>
    </w:p>
    <w:p w14:paraId="7DA42E92" w14:textId="1E9B8184" w:rsidR="00552C59" w:rsidRDefault="00552C59" w:rsidP="0099583D">
      <w:pPr>
        <w:spacing w:line="276" w:lineRule="auto"/>
        <w:jc w:val="both"/>
        <w:rPr>
          <w:rFonts w:ascii="Arial" w:hAnsi="Arial" w:cs="Arial"/>
          <w:color w:val="000000" w:themeColor="text1"/>
          <w:sz w:val="22"/>
          <w:lang w:val="es-ES_tradnl"/>
        </w:rPr>
      </w:pPr>
    </w:p>
    <w:p w14:paraId="4EC45CC6" w14:textId="3B7631FE" w:rsidR="00552C59" w:rsidRDefault="00655652" w:rsidP="0099583D">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La pregunta que se respondió en el concepto C–289 del 10 del 10 de mayo de 2021 fue la siguiente:</w:t>
      </w:r>
    </w:p>
    <w:p w14:paraId="3F4D2EE6" w14:textId="77777777" w:rsidR="00552C59" w:rsidRPr="005419DA" w:rsidRDefault="00552C59" w:rsidP="0099583D">
      <w:pPr>
        <w:spacing w:line="276" w:lineRule="auto"/>
        <w:jc w:val="both"/>
        <w:rPr>
          <w:rFonts w:ascii="Arial" w:hAnsi="Arial" w:cs="Arial"/>
          <w:color w:val="000000" w:themeColor="text1"/>
          <w:sz w:val="22"/>
          <w:lang w:val="es-ES_tradnl"/>
        </w:rPr>
      </w:pPr>
    </w:p>
    <w:p w14:paraId="743BB1FB" w14:textId="1B27BE66" w:rsidR="00B77F67" w:rsidRDefault="00B77F67" w:rsidP="00B77F67">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 xml:space="preserve">«[…] </w:t>
      </w:r>
      <w:r w:rsidRPr="00B77F67">
        <w:rPr>
          <w:rFonts w:ascii="Arial" w:hAnsi="Arial" w:cs="Arial"/>
          <w:color w:val="000000" w:themeColor="text1"/>
          <w:sz w:val="21"/>
          <w:szCs w:val="21"/>
          <w:lang w:val="es-ES_tradnl"/>
        </w:rPr>
        <w:t>una Entidad pública necesita adquirir por medio de contratación directa un inmueble para su funcionamiento, debido a que por las condiciones actuales existe un riesgo inminente sobre sus funcionarios en materia de Defensa y Seguridad Nacional.</w:t>
      </w:r>
      <w:r>
        <w:rPr>
          <w:rFonts w:ascii="Arial" w:hAnsi="Arial" w:cs="Arial"/>
          <w:color w:val="000000" w:themeColor="text1"/>
          <w:sz w:val="21"/>
          <w:szCs w:val="21"/>
          <w:lang w:val="es-ES_tradnl"/>
        </w:rPr>
        <w:t xml:space="preserve"> </w:t>
      </w:r>
      <w:r w:rsidRPr="00B77F67">
        <w:rPr>
          <w:rFonts w:ascii="Arial" w:hAnsi="Arial" w:cs="Arial"/>
          <w:color w:val="000000" w:themeColor="text1"/>
          <w:sz w:val="21"/>
          <w:szCs w:val="21"/>
          <w:lang w:val="es-ES_tradnl"/>
        </w:rPr>
        <w:t>¿Es necesario publicar los documentos del proceso como lo exige el Estatuto General de Contratación Pública, teniendo en cuenta la información sensible que reposa en los soportes del proceso de contratación, como los planos, linderos, accesos y metros cuadrados?</w:t>
      </w:r>
      <w:r>
        <w:rPr>
          <w:rFonts w:ascii="Arial" w:hAnsi="Arial" w:cs="Arial"/>
          <w:color w:val="000000" w:themeColor="text1"/>
          <w:sz w:val="21"/>
          <w:szCs w:val="21"/>
          <w:lang w:val="es-ES_tradnl"/>
        </w:rPr>
        <w:t>»</w:t>
      </w:r>
    </w:p>
    <w:p w14:paraId="25CD39DE" w14:textId="77777777" w:rsidR="00B77F67" w:rsidRPr="00B77F67" w:rsidRDefault="00B77F67" w:rsidP="00B77F67">
      <w:pPr>
        <w:ind w:left="709" w:right="709"/>
        <w:jc w:val="both"/>
        <w:rPr>
          <w:rFonts w:ascii="Arial" w:hAnsi="Arial" w:cs="Arial"/>
          <w:color w:val="000000" w:themeColor="text1"/>
          <w:sz w:val="21"/>
          <w:szCs w:val="21"/>
          <w:lang w:val="es-ES_tradnl"/>
        </w:rPr>
      </w:pPr>
    </w:p>
    <w:p w14:paraId="124D2DCA" w14:textId="77777777" w:rsidR="00DD5B04" w:rsidRPr="005419DA"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Consideraciones</w:t>
      </w:r>
    </w:p>
    <w:p w14:paraId="7563E114" w14:textId="77777777" w:rsidR="00600AF5" w:rsidRDefault="00600AF5" w:rsidP="00600AF5">
      <w:pPr>
        <w:tabs>
          <w:tab w:val="left" w:pos="426"/>
        </w:tabs>
        <w:spacing w:line="276" w:lineRule="auto"/>
        <w:jc w:val="both"/>
        <w:rPr>
          <w:rFonts w:ascii="Arial" w:eastAsia="Calibri" w:hAnsi="Arial" w:cs="Arial"/>
          <w:color w:val="000000" w:themeColor="text1"/>
          <w:sz w:val="22"/>
          <w:szCs w:val="22"/>
          <w:lang w:val="es-ES_tradnl"/>
        </w:rPr>
      </w:pPr>
    </w:p>
    <w:p w14:paraId="1DB84F14" w14:textId="534767BF" w:rsidR="00BC1F25" w:rsidRPr="003253B1" w:rsidRDefault="00BC1F25" w:rsidP="00600AF5">
      <w:pPr>
        <w:tabs>
          <w:tab w:val="left" w:pos="426"/>
        </w:tabs>
        <w:spacing w:line="276" w:lineRule="auto"/>
        <w:jc w:val="both"/>
        <w:rPr>
          <w:rFonts w:ascii="Arial" w:eastAsia="Calibri" w:hAnsi="Arial" w:cs="Arial"/>
          <w:sz w:val="22"/>
          <w:lang w:val="es-ES"/>
        </w:rPr>
      </w:pPr>
      <w:r w:rsidRPr="003253B1">
        <w:rPr>
          <w:rFonts w:ascii="Arial" w:eastAsia="Calibri" w:hAnsi="Arial" w:cs="Arial"/>
          <w:sz w:val="22"/>
          <w:lang w:val="es-ES"/>
        </w:rPr>
        <w:t xml:space="preserve">Para abordar los interrogantes planteados se analizarán los siguientes temas: i) el deber de publicar la información contractual en el SECOP, como garantía del derecho fundamental a acceder a la documentación pública y </w:t>
      </w:r>
      <w:proofErr w:type="spellStart"/>
      <w:r w:rsidRPr="003253B1">
        <w:rPr>
          <w:rFonts w:ascii="Arial" w:eastAsia="Calibri" w:hAnsi="Arial" w:cs="Arial"/>
          <w:sz w:val="22"/>
          <w:lang w:val="es-ES"/>
        </w:rPr>
        <w:t>ii</w:t>
      </w:r>
      <w:proofErr w:type="spellEnd"/>
      <w:r w:rsidRPr="003253B1">
        <w:rPr>
          <w:rFonts w:ascii="Arial" w:eastAsia="Calibri" w:hAnsi="Arial" w:cs="Arial"/>
          <w:sz w:val="22"/>
          <w:lang w:val="es-ES"/>
        </w:rPr>
        <w:t>) la reserva de información pública como límite al deber de divulgación proactiva de la información en la contratación estatal.</w:t>
      </w:r>
    </w:p>
    <w:p w14:paraId="42BE7028" w14:textId="51909AF4" w:rsidR="00BC1F25" w:rsidRPr="003253B1" w:rsidRDefault="00BC1F25" w:rsidP="00BC1F25">
      <w:pPr>
        <w:tabs>
          <w:tab w:val="left" w:pos="426"/>
        </w:tabs>
        <w:spacing w:before="120" w:line="276" w:lineRule="auto"/>
        <w:ind w:firstLine="709"/>
        <w:jc w:val="both"/>
        <w:rPr>
          <w:rFonts w:ascii="Arial" w:eastAsia="Calibri" w:hAnsi="Arial" w:cs="Arial"/>
          <w:sz w:val="22"/>
          <w:lang w:val="es-ES"/>
        </w:rPr>
      </w:pPr>
      <w:r w:rsidRPr="003253B1">
        <w:rPr>
          <w:rFonts w:ascii="Arial" w:eastAsia="Calibri" w:hAnsi="Arial" w:cs="Arial"/>
          <w:sz w:val="22"/>
          <w:lang w:val="es-ES"/>
        </w:rPr>
        <w:t>La Agencia Nacional de Contratación Pública – Colombia Compra Eficiente ha tenido la oportunidad de estudiar en diferentes ocasiones los temas que se abordarán en el presente concepto, relacionados con la publicación de documentación contractual en las plataformas SECOP I y SECOP II. Así lo hizo en el concepto con radicado No. 4201912000007253 del 4 de diciembre de 2019, reiterado en el concepto con radicado No. 4201912000007289 de la misma fecha, así como en el C-336 del 2 de junio de 2020, donde se estudió la publicidad de los procedimientos contractuales en el SECOP I y SECOP II, respecto de entidades regidas por el Estatuto General de Contratación de la Administración Pública. En los conceptos C-046 del 19 de febrero de 2020, C-095 del 16 de marzo de 2020, C-197 del 26 de marzo de 2020, C-170 del 6 de abril de 2020, C-172 del 6 de abril de 2020, C-176 del 6 de abril de 2020, C-009 del 27 de abril de 2020, C-009 del 27 de abril de 2020 y C-015 del 29 de abril de 2020, se analizó el SECOP I como medio de publicidad de las actuaciones contractuales, la naturaleza transaccional y obligatoriedad de SECOP II y los documentos que deben publicarse en estas plataformas. Dichas ideas se unificaron en el concepto CU-367 del 23 de julio de 2020, reiterado en el C-672 del 11 de noviembre de 2020</w:t>
      </w:r>
      <w:r w:rsidR="001D4048">
        <w:rPr>
          <w:rFonts w:ascii="Arial" w:eastAsia="Calibri" w:hAnsi="Arial" w:cs="Arial"/>
          <w:sz w:val="22"/>
          <w:lang w:val="es-ES"/>
        </w:rPr>
        <w:t xml:space="preserve">. Así mismo en concepto C-104 del </w:t>
      </w:r>
      <w:r w:rsidR="002706CE">
        <w:rPr>
          <w:rFonts w:ascii="Arial" w:eastAsia="Calibri" w:hAnsi="Arial" w:cs="Arial"/>
          <w:sz w:val="22"/>
          <w:lang w:val="es-ES"/>
        </w:rPr>
        <w:t>6 de abril de 2021 se estudió la existencia de reserva como excepción al deber de publicar la información contractual en el SECOP.</w:t>
      </w:r>
      <w:r w:rsidR="00655652">
        <w:rPr>
          <w:rFonts w:ascii="Arial" w:eastAsia="Calibri" w:hAnsi="Arial" w:cs="Arial"/>
          <w:sz w:val="22"/>
          <w:lang w:val="es-ES"/>
        </w:rPr>
        <w:t xml:space="preserve"> Finalmente, como se indicó, la presente consulta se relaciona con el concepto C–289 del 10 de mayo de 2021, por lo que, para efectos de resolver la presente petición se reiterarán y complementarán, en lo pertinente, las consideraciones de dicho concepto.</w:t>
      </w:r>
    </w:p>
    <w:p w14:paraId="1EE189B9" w14:textId="77777777" w:rsidR="00BC1F25" w:rsidRPr="003253B1" w:rsidRDefault="00BC1F25" w:rsidP="00BC1F25">
      <w:pPr>
        <w:tabs>
          <w:tab w:val="left" w:pos="426"/>
        </w:tabs>
        <w:spacing w:line="276" w:lineRule="auto"/>
        <w:jc w:val="both"/>
        <w:rPr>
          <w:rFonts w:ascii="Arial" w:eastAsia="Calibri" w:hAnsi="Arial" w:cs="Arial"/>
          <w:b/>
          <w:bCs/>
          <w:color w:val="000000"/>
          <w:sz w:val="22"/>
          <w:lang w:val="es-ES_tradnl" w:eastAsia="en-GB"/>
        </w:rPr>
      </w:pPr>
    </w:p>
    <w:p w14:paraId="4D6D33DB" w14:textId="77777777" w:rsidR="00BC1F25" w:rsidRPr="003253B1" w:rsidRDefault="00BC1F25" w:rsidP="00BC1F25">
      <w:pPr>
        <w:tabs>
          <w:tab w:val="left" w:pos="426"/>
        </w:tabs>
        <w:spacing w:line="276" w:lineRule="auto"/>
        <w:jc w:val="both"/>
        <w:rPr>
          <w:rFonts w:ascii="Arial" w:eastAsia="Calibri" w:hAnsi="Arial" w:cs="Arial"/>
          <w:b/>
          <w:bCs/>
          <w:color w:val="000000"/>
          <w:sz w:val="22"/>
          <w:lang w:val="es-ES_tradnl" w:eastAsia="en-GB"/>
        </w:rPr>
      </w:pPr>
      <w:r w:rsidRPr="003253B1">
        <w:rPr>
          <w:rFonts w:ascii="Arial" w:eastAsia="Calibri" w:hAnsi="Arial" w:cs="Arial"/>
          <w:b/>
          <w:bCs/>
          <w:color w:val="000000"/>
          <w:sz w:val="22"/>
          <w:lang w:val="es-ES_tradnl" w:eastAsia="en-GB"/>
        </w:rPr>
        <w:lastRenderedPageBreak/>
        <w:t>2.1. Derecho de acceso a la información y a la documentación pública. Su garantía en la contratación estatal materializada en el deber de publicar la información contractual en el SECOP</w:t>
      </w:r>
    </w:p>
    <w:p w14:paraId="716B347E" w14:textId="77777777" w:rsidR="00BC1F25" w:rsidRPr="003253B1" w:rsidRDefault="00BC1F25" w:rsidP="00BC1F25">
      <w:pPr>
        <w:tabs>
          <w:tab w:val="left" w:pos="426"/>
        </w:tabs>
        <w:spacing w:line="276" w:lineRule="auto"/>
        <w:jc w:val="both"/>
        <w:rPr>
          <w:rFonts w:ascii="Arial" w:eastAsia="Calibri" w:hAnsi="Arial" w:cs="Arial"/>
          <w:color w:val="000000"/>
          <w:sz w:val="22"/>
          <w:lang w:val="es-ES_tradnl" w:eastAsia="en-GB"/>
        </w:rPr>
      </w:pPr>
    </w:p>
    <w:p w14:paraId="38C9C11B" w14:textId="77777777" w:rsidR="00BC1F25" w:rsidRPr="003253B1" w:rsidRDefault="00BC1F25" w:rsidP="00BC1F25">
      <w:pPr>
        <w:tabs>
          <w:tab w:val="left" w:pos="426"/>
        </w:tabs>
        <w:spacing w:line="276" w:lineRule="auto"/>
        <w:jc w:val="both"/>
        <w:rPr>
          <w:rFonts w:ascii="Arial" w:eastAsia="Calibri" w:hAnsi="Arial" w:cs="Arial"/>
          <w:color w:val="000000"/>
          <w:sz w:val="22"/>
          <w:lang w:val="es-ES_tradnl" w:eastAsia="en-GB"/>
        </w:rPr>
      </w:pPr>
      <w:r w:rsidRPr="003253B1">
        <w:rPr>
          <w:rFonts w:ascii="Arial" w:eastAsia="Calibri" w:hAnsi="Arial" w:cs="Arial"/>
          <w:color w:val="000000"/>
          <w:sz w:val="22"/>
          <w:lang w:val="es-ES_tradnl" w:eastAsia="en-GB"/>
        </w:rPr>
        <w:t xml:space="preserve">El artículo 74 de la Constitución Política establece que «Todas las personas tienen derecho a acceder a los documentos públicos salvo los casos que establezca la ley». Esta disposición constitucional consagra el derecho fundamental de acceso a la información y a la documentación pública, salvo causal de reserva expresamente prevista en la Ley. Tal derecho se regula integralmente en la Ley 1712 de 2014 «Ley de Transparencia y del Derecho de Acceso a la Información Pública Nacional». Esta Ley establece el </w:t>
      </w:r>
      <w:r w:rsidRPr="003253B1">
        <w:rPr>
          <w:rFonts w:ascii="Arial" w:eastAsia="Calibri" w:hAnsi="Arial" w:cs="Arial"/>
          <w:i/>
          <w:iCs/>
          <w:color w:val="000000"/>
          <w:sz w:val="22"/>
          <w:lang w:val="es-ES_tradnl" w:eastAsia="en-GB"/>
        </w:rPr>
        <w:t>deber de divulgación proactiva de la información</w:t>
      </w:r>
      <w:r w:rsidRPr="003253B1">
        <w:rPr>
          <w:rFonts w:ascii="Arial" w:eastAsia="Calibri" w:hAnsi="Arial" w:cs="Arial"/>
          <w:color w:val="000000"/>
          <w:sz w:val="22"/>
          <w:lang w:val="es-ES_tradnl" w:eastAsia="en-GB"/>
        </w:rPr>
        <w:t xml:space="preserve"> e indica que las entidades estatales deben publicar su información contractual (artículos 9, literales c, e y f; 10 y 11, literal g). El Decreto 1081 de 2015, en los arts. 2.1.1.2.1.5. al 2.1.1.2.1.10., reglamenta el deber de las entidades estatales de publicar su información contractual en el SECOP, en cumplimiento del artículo 3 de la Ley 1150 de 2007</w:t>
      </w:r>
      <w:r w:rsidRPr="003253B1">
        <w:rPr>
          <w:rFonts w:ascii="Arial" w:eastAsia="Arial" w:hAnsi="Arial" w:cs="Arial"/>
          <w:sz w:val="21"/>
          <w:szCs w:val="21"/>
          <w:vertAlign w:val="superscript"/>
          <w:lang w:val="es-ES"/>
        </w:rPr>
        <w:footnoteReference w:id="2"/>
      </w:r>
      <w:r w:rsidRPr="003253B1">
        <w:rPr>
          <w:rFonts w:ascii="Arial" w:eastAsia="Arial" w:hAnsi="Arial" w:cs="Arial"/>
          <w:sz w:val="21"/>
          <w:szCs w:val="21"/>
          <w:lang w:val="es-ES"/>
        </w:rPr>
        <w:t>.</w:t>
      </w:r>
    </w:p>
    <w:p w14:paraId="2F02020D" w14:textId="77777777" w:rsidR="00BC1F25" w:rsidRPr="003253B1" w:rsidRDefault="00BC1F25" w:rsidP="00BC1F25">
      <w:pPr>
        <w:widowControl w:val="0"/>
        <w:tabs>
          <w:tab w:val="left" w:pos="728"/>
        </w:tabs>
        <w:autoSpaceDE w:val="0"/>
        <w:autoSpaceDN w:val="0"/>
        <w:spacing w:before="120" w:after="120" w:line="276" w:lineRule="auto"/>
        <w:jc w:val="both"/>
        <w:rPr>
          <w:rFonts w:ascii="Arial" w:eastAsia="Arial" w:hAnsi="Arial" w:cs="Arial"/>
          <w:sz w:val="22"/>
          <w:lang w:val="es-ES"/>
        </w:rPr>
      </w:pPr>
      <w:r w:rsidRPr="003253B1">
        <w:rPr>
          <w:rFonts w:ascii="Arial" w:eastAsia="Arial" w:hAnsi="Arial" w:cs="Arial"/>
          <w:sz w:val="22"/>
          <w:lang w:val="es-ES"/>
        </w:rPr>
        <w:tab/>
        <w:t xml:space="preserve">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 </w:t>
      </w:r>
    </w:p>
    <w:p w14:paraId="7B156D02" w14:textId="77777777" w:rsidR="00BC1F25" w:rsidRPr="003253B1" w:rsidRDefault="00BC1F25" w:rsidP="00BC1F25">
      <w:pPr>
        <w:widowControl w:val="0"/>
        <w:tabs>
          <w:tab w:val="left" w:pos="728"/>
        </w:tabs>
        <w:autoSpaceDE w:val="0"/>
        <w:autoSpaceDN w:val="0"/>
        <w:spacing w:after="120" w:line="276" w:lineRule="auto"/>
        <w:jc w:val="both"/>
        <w:rPr>
          <w:rFonts w:ascii="Arial" w:eastAsia="Arial" w:hAnsi="Arial" w:cs="Arial"/>
          <w:sz w:val="22"/>
          <w:lang w:val="es-ES"/>
        </w:rPr>
      </w:pPr>
      <w:r w:rsidRPr="003253B1">
        <w:rPr>
          <w:rFonts w:ascii="Arial" w:eastAsia="Arial" w:hAnsi="Arial" w:cs="Arial"/>
          <w:sz w:val="22"/>
          <w:lang w:val="es-ES"/>
        </w:rPr>
        <w:tab/>
        <w:t>De otra parte, la Ley 1712 de 2014 identifica como principios que orientan el derecho de acceso a la información pública los de máxima publicidad y transparencia en la información. El principio de máxima publicidad establece que «toda información en posesión, bajo control o custodia de un sujeto obligado es pública y no podrá ser reservada o limitada sino por disposición constitucional o legal»</w:t>
      </w:r>
      <w:r w:rsidRPr="003253B1">
        <w:rPr>
          <w:rFonts w:ascii="Arial" w:eastAsia="Arial" w:hAnsi="Arial" w:cs="Arial"/>
          <w:sz w:val="22"/>
          <w:vertAlign w:val="superscript"/>
          <w:lang w:val="es-ES"/>
        </w:rPr>
        <w:footnoteReference w:id="3"/>
      </w:r>
      <w:r w:rsidRPr="003253B1">
        <w:rPr>
          <w:rFonts w:ascii="Arial" w:eastAsia="Arial" w:hAnsi="Arial" w:cs="Arial"/>
          <w:sz w:val="22"/>
          <w:lang w:val="es-ES"/>
        </w:rPr>
        <w:t xml:space="preserve">. El principio de transparencia en la información alude al deber de los sujetos de proporcionar y facilitar el acceso a la misma en los términos más amplios posibles, y a través de los medios y procedimientos que establezca la ley. </w:t>
      </w:r>
    </w:p>
    <w:p w14:paraId="0003E017" w14:textId="77777777" w:rsidR="00BC1F25" w:rsidRPr="003253B1" w:rsidRDefault="00BC1F25" w:rsidP="00BC1F25">
      <w:pPr>
        <w:widowControl w:val="0"/>
        <w:tabs>
          <w:tab w:val="left" w:pos="728"/>
        </w:tabs>
        <w:autoSpaceDE w:val="0"/>
        <w:autoSpaceDN w:val="0"/>
        <w:spacing w:after="120" w:line="276" w:lineRule="auto"/>
        <w:jc w:val="both"/>
        <w:rPr>
          <w:rFonts w:ascii="Arial" w:eastAsia="Arial" w:hAnsi="Arial" w:cs="Arial"/>
          <w:sz w:val="22"/>
          <w:lang w:val="es-ES"/>
        </w:rPr>
      </w:pPr>
      <w:r w:rsidRPr="003253B1">
        <w:rPr>
          <w:rFonts w:ascii="Arial" w:eastAsia="Arial" w:hAnsi="Arial" w:cs="Arial"/>
          <w:sz w:val="22"/>
          <w:lang w:val="es-ES"/>
        </w:rPr>
        <w:tab/>
        <w:t>La ley citada establece en el literal e) del artículo 9, que los sujetos obligados, que son todas las entidades públicas</w:t>
      </w:r>
      <w:r w:rsidRPr="003253B1">
        <w:rPr>
          <w:rFonts w:ascii="Arial" w:eastAsia="Arial" w:hAnsi="Arial" w:cs="Arial"/>
          <w:sz w:val="22"/>
          <w:vertAlign w:val="superscript"/>
          <w:lang w:val="es-ES"/>
        </w:rPr>
        <w:footnoteReference w:id="4"/>
      </w:r>
      <w:r w:rsidRPr="003253B1">
        <w:rPr>
          <w:rFonts w:ascii="Arial" w:eastAsia="Arial" w:hAnsi="Arial" w:cs="Arial"/>
          <w:sz w:val="22"/>
          <w:lang w:val="es-ES"/>
        </w:rPr>
        <w:t xml:space="preserve">, deben publicar la información relativa a su contratación. </w:t>
      </w:r>
      <w:r w:rsidRPr="003253B1">
        <w:rPr>
          <w:rFonts w:ascii="Arial" w:eastAsia="Arial" w:hAnsi="Arial" w:cs="Arial"/>
          <w:sz w:val="22"/>
          <w:lang w:val="es-ES"/>
        </w:rPr>
        <w:lastRenderedPageBreak/>
        <w:t>Esta obligación fue en principio desarrollada por el Decreto 103 de 2015, hoy compilado en el Decreto Único Reglamentario 1081 de 2015</w:t>
      </w:r>
      <w:r w:rsidRPr="003253B1">
        <w:rPr>
          <w:rFonts w:ascii="Arial" w:eastAsia="Arial" w:hAnsi="Arial" w:cs="Arial"/>
          <w:sz w:val="22"/>
          <w:vertAlign w:val="superscript"/>
          <w:lang w:val="es-ES"/>
        </w:rPr>
        <w:footnoteReference w:id="5"/>
      </w:r>
      <w:r w:rsidRPr="003253B1">
        <w:rPr>
          <w:rFonts w:ascii="Arial" w:eastAsia="Arial" w:hAnsi="Arial" w:cs="Arial"/>
          <w:sz w:val="22"/>
          <w:lang w:val="es-ES"/>
        </w:rPr>
        <w:t>, el cual dispuso que la publicación de la información contractual de los sujetos obligados, que contratan con cargo a recursos públicos, debe hacerse en el Sistema Electrónico de Contratación Pública –SECOP–.</w:t>
      </w:r>
    </w:p>
    <w:p w14:paraId="2FB8774C" w14:textId="77777777" w:rsidR="00BC1F25" w:rsidRPr="003253B1" w:rsidRDefault="00BC1F25" w:rsidP="00BC1F25">
      <w:pPr>
        <w:widowControl w:val="0"/>
        <w:tabs>
          <w:tab w:val="left" w:pos="728"/>
        </w:tabs>
        <w:autoSpaceDE w:val="0"/>
        <w:autoSpaceDN w:val="0"/>
        <w:spacing w:after="120" w:line="276" w:lineRule="auto"/>
        <w:jc w:val="both"/>
        <w:rPr>
          <w:rFonts w:ascii="Arial" w:eastAsia="Arial" w:hAnsi="Arial" w:cs="Arial"/>
          <w:sz w:val="22"/>
          <w:lang w:val="es-ES"/>
        </w:rPr>
      </w:pPr>
      <w:r w:rsidRPr="003253B1">
        <w:rPr>
          <w:rFonts w:ascii="Arial" w:eastAsia="Arial" w:hAnsi="Arial" w:cs="Arial"/>
          <w:sz w:val="22"/>
          <w:lang w:val="es-ES"/>
        </w:rPr>
        <w:tab/>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52C56724" w14:textId="77777777" w:rsidR="00BC1F25" w:rsidRPr="003253B1" w:rsidRDefault="00BC1F25" w:rsidP="00BC1F25">
      <w:pPr>
        <w:spacing w:after="120" w:line="276" w:lineRule="auto"/>
        <w:ind w:firstLine="709"/>
        <w:jc w:val="both"/>
        <w:rPr>
          <w:rFonts w:ascii="Arial" w:hAnsi="Arial" w:cs="Arial"/>
          <w:sz w:val="22"/>
          <w:lang w:val="es-ES"/>
        </w:rPr>
      </w:pPr>
      <w:r w:rsidRPr="003253B1">
        <w:rPr>
          <w:rFonts w:ascii="Arial" w:hAnsi="Arial" w:cs="Arial"/>
          <w:sz w:val="22"/>
          <w:lang w:val="es-ES"/>
        </w:rPr>
        <w:t xml:space="preserve">Conforme a lo anterior, la Agencia Nacional de Contratación Pública – Colombia Compra Eficiente, en el concepto de 4 de diciembre de 2019 –4201912000007289–, sostuvo que la disposición del artículo 3 de la Ley 1150 de 2007 debe armonizarse con lo dispuesto por el artículo 2.2.1.1.1.7.1. del Decreto 1082 de 2015. </w:t>
      </w:r>
    </w:p>
    <w:p w14:paraId="7A12B125" w14:textId="05B62477" w:rsidR="00BC1F25" w:rsidRPr="003253B1" w:rsidRDefault="00BC1F25" w:rsidP="00BC1F25">
      <w:pPr>
        <w:spacing w:after="120" w:line="276" w:lineRule="auto"/>
        <w:ind w:firstLine="709"/>
        <w:jc w:val="both"/>
        <w:rPr>
          <w:rFonts w:ascii="Arial" w:hAnsi="Arial" w:cs="Arial"/>
          <w:sz w:val="22"/>
          <w:lang w:val="es-ES"/>
        </w:rPr>
      </w:pPr>
      <w:r w:rsidRPr="003253B1">
        <w:rPr>
          <w:rFonts w:ascii="Arial" w:hAnsi="Arial" w:cs="Arial"/>
          <w:sz w:val="22"/>
          <w:lang w:val="es-ES"/>
        </w:rPr>
        <w:t>En la disposición</w:t>
      </w:r>
      <w:r w:rsidR="00894A7C">
        <w:rPr>
          <w:rFonts w:ascii="Arial" w:hAnsi="Arial" w:cs="Arial"/>
          <w:sz w:val="22"/>
          <w:lang w:val="es-ES"/>
        </w:rPr>
        <w:t xml:space="preserve"> mencionada</w:t>
      </w:r>
      <w:r w:rsidRPr="003253B1">
        <w:rPr>
          <w:rFonts w:ascii="Arial" w:hAnsi="Arial" w:cs="Arial"/>
          <w:sz w:val="22"/>
          <w:lang w:val="es-ES"/>
        </w:rPr>
        <w:t xml:space="preserve"> se relacionan los documentos que se deben publicar en el SECOP, como un desarrollo de los principios de transparencia y publicidad, que busca permitir, mediante la publicación, que la ciudadanía pueda conocer la actividad contractual de las entidades. Lo anterior por cuanto tales documentos dan cuenta de las decisiones de la Administración pública en beneficio del interés general y que, por tanto, incumben a la ciudadanía.  </w:t>
      </w:r>
    </w:p>
    <w:p w14:paraId="3A22D187" w14:textId="77777777" w:rsidR="00BC1F25" w:rsidRPr="003253B1" w:rsidRDefault="00BC1F25" w:rsidP="00BC1F25">
      <w:pPr>
        <w:spacing w:line="276" w:lineRule="auto"/>
        <w:ind w:firstLine="709"/>
        <w:jc w:val="both"/>
        <w:rPr>
          <w:rFonts w:ascii="Arial" w:hAnsi="Arial" w:cs="Arial"/>
          <w:sz w:val="22"/>
          <w:lang w:val="es-ES"/>
        </w:rPr>
      </w:pPr>
      <w:r w:rsidRPr="003253B1">
        <w:rPr>
          <w:rFonts w:ascii="Arial" w:hAnsi="Arial" w:cs="Arial"/>
          <w:sz w:val="22"/>
          <w:lang w:val="es-ES"/>
        </w:rPr>
        <w:t xml:space="preserve"> Del artículo 3 de la Ley 1150 de 2007 se desprende un deber de publicar las actuaciones contractuales, el cual implica que todas las entidades estatales publiquen los documentos en los que se evidencia el desarrollo de sus procesos de contratación. Esto, comoquiera que el objetivo del deber de dar publicidad a las actuaciones contractuales es materializar el derecho a conocer e intervenir e</w:t>
      </w:r>
      <w:r>
        <w:rPr>
          <w:rFonts w:ascii="Arial" w:hAnsi="Arial" w:cs="Arial"/>
          <w:sz w:val="22"/>
          <w:lang w:val="es-ES"/>
        </w:rPr>
        <w:t>n</w:t>
      </w:r>
      <w:r w:rsidRPr="003253B1">
        <w:rPr>
          <w:rFonts w:ascii="Arial" w:hAnsi="Arial" w:cs="Arial"/>
          <w:sz w:val="22"/>
          <w:lang w:val="es-ES"/>
        </w:rPr>
        <w:t xml:space="preserve"> las decisiones de la Administración Pública.</w:t>
      </w:r>
    </w:p>
    <w:p w14:paraId="64CCEFE6" w14:textId="77777777" w:rsidR="00BC1F25" w:rsidRPr="003253B1" w:rsidRDefault="00BC1F25" w:rsidP="00BC1F25">
      <w:pPr>
        <w:widowControl w:val="0"/>
        <w:autoSpaceDE w:val="0"/>
        <w:autoSpaceDN w:val="0"/>
        <w:spacing w:before="120" w:after="120" w:line="276" w:lineRule="auto"/>
        <w:ind w:firstLine="709"/>
        <w:jc w:val="both"/>
        <w:rPr>
          <w:rFonts w:ascii="Arial" w:eastAsia="Arial" w:hAnsi="Arial" w:cs="Arial"/>
          <w:sz w:val="22"/>
          <w:lang w:val="es-ES"/>
        </w:rPr>
      </w:pPr>
      <w:r w:rsidRPr="003253B1">
        <w:rPr>
          <w:rFonts w:ascii="Arial" w:eastAsia="Arial" w:hAnsi="Arial" w:cs="Arial"/>
          <w:sz w:val="22"/>
          <w:lang w:val="es-ES"/>
        </w:rPr>
        <w:t xml:space="preserve">Ahora bien, las entidades estatales, conforme al artículo 2.2.1.1.1.7.1. del Decreto </w:t>
      </w:r>
      <w:r w:rsidRPr="003253B1">
        <w:rPr>
          <w:rFonts w:ascii="Arial" w:eastAsia="Arial" w:hAnsi="Arial" w:cs="Arial"/>
          <w:sz w:val="22"/>
          <w:lang w:val="es-ES"/>
        </w:rPr>
        <w:lastRenderedPageBreak/>
        <w:t xml:space="preserve">1082 de 2015, tienen la obligación de publicar en el SECOP «[…] los Documentos del Proceso y los actos administrativos del Proceso de Contratación, dentro de los tres (3) días siguientes a su expedición […]». La expresión </w:t>
      </w:r>
      <w:r w:rsidRPr="003253B1">
        <w:rPr>
          <w:rFonts w:ascii="Arial" w:eastAsia="Arial" w:hAnsi="Arial" w:cs="Arial"/>
          <w:i/>
          <w:iCs/>
          <w:sz w:val="22"/>
          <w:lang w:val="es-ES"/>
        </w:rPr>
        <w:t>Documentos del Proceso</w:t>
      </w:r>
      <w:r w:rsidRPr="003253B1">
        <w:rPr>
          <w:rFonts w:ascii="Arial" w:eastAsia="Arial" w:hAnsi="Arial" w:cs="Arial"/>
          <w:sz w:val="22"/>
          <w:lang w:val="es-ES"/>
        </w:rPr>
        <w:t xml:space="preserve">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251C2BD0" w14:textId="77777777" w:rsidR="00BC1F25" w:rsidRPr="003253B1" w:rsidRDefault="00BC1F25" w:rsidP="00BC1F25">
      <w:pPr>
        <w:widowControl w:val="0"/>
        <w:autoSpaceDE w:val="0"/>
        <w:autoSpaceDN w:val="0"/>
        <w:spacing w:after="120" w:line="276" w:lineRule="auto"/>
        <w:ind w:firstLine="709"/>
        <w:jc w:val="both"/>
        <w:rPr>
          <w:rFonts w:ascii="Arial" w:eastAsia="Arial" w:hAnsi="Arial" w:cs="Arial"/>
          <w:sz w:val="22"/>
          <w:lang w:val="es-ES"/>
        </w:rPr>
      </w:pPr>
      <w:r w:rsidRPr="003253B1">
        <w:rPr>
          <w:rFonts w:ascii="Arial" w:eastAsia="Arial" w:hAnsi="Arial" w:cs="Arial"/>
          <w:sz w:val="22"/>
          <w:lang w:val="es-ES"/>
        </w:rPr>
        <w:t xml:space="preserve">No obstante, para identificar los documentos que deben publicarse, es necesario realizar una interpretación sistemática de las disposiciones del Decreto 1082 del 2015, ya que el anterior no es un listado taxativo, sino enunciativo, porque además de los documentos enlistados, el artículo 2.2.1.1.1.3.1 </w:t>
      </w:r>
      <w:proofErr w:type="spellStart"/>
      <w:r w:rsidRPr="003253B1">
        <w:rPr>
          <w:rFonts w:ascii="Arial" w:eastAsia="Arial" w:hAnsi="Arial" w:cs="Arial"/>
          <w:i/>
          <w:iCs/>
          <w:sz w:val="22"/>
          <w:lang w:val="es-ES"/>
        </w:rPr>
        <w:t>Ibídem</w:t>
      </w:r>
      <w:proofErr w:type="spellEnd"/>
      <w:r w:rsidRPr="003253B1">
        <w:rPr>
          <w:rFonts w:ascii="Arial" w:eastAsia="Arial" w:hAnsi="Arial" w:cs="Arial"/>
          <w:sz w:val="22"/>
          <w:lang w:val="es-ES"/>
        </w:rPr>
        <w:t xml:space="preserve"> recoge en la noción de </w:t>
      </w:r>
      <w:r w:rsidRPr="003253B1">
        <w:rPr>
          <w:rFonts w:ascii="Arial" w:eastAsia="Arial" w:hAnsi="Arial" w:cs="Arial"/>
          <w:i/>
          <w:iCs/>
          <w:sz w:val="22"/>
          <w:lang w:val="es-ES"/>
        </w:rPr>
        <w:t>Documentos del Proceso</w:t>
      </w:r>
      <w:r w:rsidRPr="003253B1">
        <w:rPr>
          <w:rFonts w:ascii="Arial" w:eastAsia="Arial" w:hAnsi="Arial" w:cs="Arial"/>
          <w:sz w:val="22"/>
          <w:lang w:val="es-ES"/>
        </w:rPr>
        <w:t xml:space="preserve"> «cualquier otro documento expedido por la Entidad Estatal durante el </w:t>
      </w:r>
      <w:r w:rsidRPr="003253B1">
        <w:rPr>
          <w:rFonts w:ascii="Arial" w:eastAsia="Arial" w:hAnsi="Arial" w:cs="Arial"/>
          <w:i/>
          <w:iCs/>
          <w:sz w:val="22"/>
          <w:lang w:val="es-ES"/>
        </w:rPr>
        <w:t>Proceso de Contratación»</w:t>
      </w:r>
      <w:r w:rsidRPr="003253B1">
        <w:rPr>
          <w:rFonts w:ascii="Arial" w:eastAsia="Arial" w:hAnsi="Arial" w:cs="Arial"/>
          <w:sz w:val="22"/>
          <w:lang w:val="es-ES"/>
        </w:rPr>
        <w:t xml:space="preserve">. Este mismo artículo define la expresión </w:t>
      </w:r>
      <w:r w:rsidRPr="003253B1">
        <w:rPr>
          <w:rFonts w:ascii="Arial" w:eastAsia="Arial" w:hAnsi="Arial" w:cs="Arial"/>
          <w:i/>
          <w:iCs/>
          <w:sz w:val="22"/>
          <w:lang w:val="es-ES"/>
        </w:rPr>
        <w:t>Proceso de Contratación</w:t>
      </w:r>
      <w:r w:rsidRPr="003253B1">
        <w:rPr>
          <w:rFonts w:ascii="Arial" w:eastAsia="Arial" w:hAnsi="Arial" w:cs="Arial"/>
          <w:sz w:val="22"/>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44C99B8F" w14:textId="77777777" w:rsidR="00BC1F25" w:rsidRPr="003253B1" w:rsidRDefault="00BC1F25" w:rsidP="00BC1F25">
      <w:pPr>
        <w:widowControl w:val="0"/>
        <w:autoSpaceDE w:val="0"/>
        <w:autoSpaceDN w:val="0"/>
        <w:spacing w:after="120" w:line="276" w:lineRule="auto"/>
        <w:ind w:firstLine="709"/>
        <w:jc w:val="both"/>
        <w:rPr>
          <w:rFonts w:ascii="Arial" w:eastAsia="Arial" w:hAnsi="Arial" w:cs="Arial"/>
          <w:sz w:val="22"/>
          <w:lang w:val="es-ES"/>
        </w:rPr>
      </w:pPr>
      <w:r w:rsidRPr="003253B1">
        <w:rPr>
          <w:rFonts w:ascii="Arial" w:eastAsia="Arial" w:hAnsi="Arial" w:cs="Arial"/>
          <w:sz w:val="22"/>
          <w:lang w:val="es-ES"/>
        </w:rPr>
        <w:t xml:space="preserve">Nótese que la norma hace referencia a los documentos «expedidos por la entidad estatal» durante el proceso de contratación, excluyendo de la noción de </w:t>
      </w:r>
      <w:r w:rsidRPr="003253B1">
        <w:rPr>
          <w:rFonts w:ascii="Arial" w:eastAsia="Arial" w:hAnsi="Arial" w:cs="Arial"/>
          <w:i/>
          <w:iCs/>
          <w:sz w:val="22"/>
          <w:lang w:val="es-ES"/>
        </w:rPr>
        <w:t>Documentos del Proceso</w:t>
      </w:r>
      <w:r w:rsidRPr="003253B1">
        <w:rPr>
          <w:rFonts w:ascii="Arial" w:eastAsia="Arial" w:hAnsi="Arial" w:cs="Arial"/>
          <w:sz w:val="22"/>
          <w:lang w:val="es-ES"/>
        </w:rPr>
        <w:t xml:space="preserve"> los expedidos por un sujeto distinto a la entidad, salvo la oferta, la cual se incluye expresamente en el artículo 2.2.1.1.1.3.1. </w:t>
      </w:r>
    </w:p>
    <w:p w14:paraId="0561A45B" w14:textId="77777777" w:rsidR="00BC1F25" w:rsidRPr="003253B1" w:rsidRDefault="00BC1F25" w:rsidP="00BC1F25">
      <w:pPr>
        <w:widowControl w:val="0"/>
        <w:autoSpaceDE w:val="0"/>
        <w:autoSpaceDN w:val="0"/>
        <w:spacing w:after="120" w:line="276" w:lineRule="auto"/>
        <w:ind w:firstLine="708"/>
        <w:jc w:val="both"/>
        <w:rPr>
          <w:rFonts w:ascii="Arial" w:eastAsia="Arial" w:hAnsi="Arial" w:cs="Arial"/>
          <w:sz w:val="22"/>
          <w:lang w:val="es-ES"/>
        </w:rPr>
      </w:pPr>
      <w:r w:rsidRPr="003253B1">
        <w:rPr>
          <w:rFonts w:ascii="Arial" w:eastAsia="Arial" w:hAnsi="Arial" w:cs="Arial"/>
          <w:sz w:val="22"/>
          <w:lang w:val="es-ES"/>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w:t>
      </w:r>
      <w:r w:rsidRPr="003253B1">
        <w:rPr>
          <w:rFonts w:ascii="Arial" w:eastAsia="Arial" w:hAnsi="Arial" w:cs="Arial"/>
          <w:i/>
          <w:iCs/>
          <w:sz w:val="22"/>
          <w:lang w:val="es-ES"/>
        </w:rPr>
        <w:t>Proceso de Contratación</w:t>
      </w:r>
      <w:r w:rsidRPr="003253B1">
        <w:rPr>
          <w:rFonts w:ascii="Arial" w:eastAsia="Arial" w:hAnsi="Arial" w:cs="Arial"/>
          <w:sz w:val="22"/>
          <w:lang w:val="es-ES"/>
        </w:rPr>
        <w:t xml:space="preserve">. Así,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w:t>
      </w:r>
      <w:proofErr w:type="spellStart"/>
      <w:r w:rsidRPr="003253B1">
        <w:rPr>
          <w:rFonts w:ascii="Arial" w:eastAsia="Arial" w:hAnsi="Arial" w:cs="Arial"/>
          <w:sz w:val="22"/>
          <w:lang w:val="es-ES"/>
        </w:rPr>
        <w:t>postcontractual</w:t>
      </w:r>
      <w:proofErr w:type="spellEnd"/>
      <w:r w:rsidRPr="003253B1">
        <w:rPr>
          <w:rFonts w:ascii="Arial" w:eastAsia="Arial" w:hAnsi="Arial" w:cs="Arial"/>
          <w:sz w:val="22"/>
          <w:lang w:val="es-ES"/>
        </w:rPr>
        <w:t xml:space="preserve"> deberán ser publicados en SECOP dentro de los tres (3) días siguientes a su expedición, para  cumplir el deber de publicidad regulado por el artículo 2.2.1.1.1.7.1. del Decreto 1082 de 2015.</w:t>
      </w:r>
    </w:p>
    <w:p w14:paraId="0DEADDA6" w14:textId="77777777" w:rsidR="00BC1F25" w:rsidRPr="00DC28EC" w:rsidRDefault="00BC1F25" w:rsidP="00BC1F25">
      <w:pPr>
        <w:spacing w:before="120" w:after="120" w:line="276" w:lineRule="auto"/>
        <w:ind w:firstLine="709"/>
        <w:jc w:val="both"/>
        <w:rPr>
          <w:rFonts w:ascii="Arial" w:eastAsia="Calibri" w:hAnsi="Arial" w:cs="Arial"/>
          <w:sz w:val="22"/>
          <w:lang w:val="es-ES"/>
        </w:rPr>
      </w:pPr>
      <w:r w:rsidRPr="00DC28EC">
        <w:rPr>
          <w:rFonts w:ascii="Arial" w:eastAsia="Calibri" w:hAnsi="Arial" w:cs="Arial"/>
          <w:sz w:val="22"/>
          <w:lang w:val="es-ES"/>
        </w:rPr>
        <w:t xml:space="preserve">De conformidad con lo anterior, esta interpretación de las disposiciones analizadas permite incorporar al EGCAP importantes principios desarrollados por la normativa de la transparencia y acceso a la información pública. Entre estos principios se encuentran el de </w:t>
      </w:r>
      <w:r w:rsidRPr="00DC28EC">
        <w:rPr>
          <w:rStyle w:val="nfasis"/>
          <w:rFonts w:ascii="Arial" w:hAnsi="Arial" w:cs="Arial"/>
          <w:i w:val="0"/>
          <w:iCs w:val="0"/>
          <w:sz w:val="22"/>
          <w:lang w:val="es-ES"/>
        </w:rPr>
        <w:lastRenderedPageBreak/>
        <w:t>máxima publicidad para un titular universal</w:t>
      </w:r>
      <w:r w:rsidRPr="00DC28EC">
        <w:rPr>
          <w:rStyle w:val="Refdenotaalpie"/>
          <w:rFonts w:ascii="Arial" w:hAnsi="Arial" w:cs="Arial"/>
          <w:sz w:val="22"/>
          <w:lang w:val="es-ES"/>
        </w:rPr>
        <w:footnoteReference w:id="6"/>
      </w:r>
      <w:r w:rsidRPr="00DC28EC">
        <w:rPr>
          <w:rStyle w:val="nfasis"/>
          <w:rFonts w:ascii="Arial" w:hAnsi="Arial" w:cs="Arial"/>
          <w:i w:val="0"/>
          <w:iCs w:val="0"/>
          <w:sz w:val="22"/>
          <w:lang w:val="es-ES"/>
        </w:rPr>
        <w:t>, transparencia, facilitación y divulgación proactiva de la información</w:t>
      </w:r>
      <w:r w:rsidRPr="00DC28EC">
        <w:rPr>
          <w:rStyle w:val="Refdenotaalpie"/>
          <w:rFonts w:ascii="Arial" w:hAnsi="Arial" w:cs="Arial"/>
          <w:sz w:val="22"/>
          <w:lang w:val="es-ES"/>
        </w:rPr>
        <w:footnoteReference w:id="7"/>
      </w:r>
      <w:r w:rsidRPr="00DC28EC">
        <w:rPr>
          <w:rStyle w:val="nfasis"/>
          <w:rFonts w:ascii="Arial" w:hAnsi="Arial" w:cs="Arial"/>
          <w:i w:val="0"/>
          <w:iCs w:val="0"/>
          <w:sz w:val="22"/>
          <w:lang w:val="es-ES"/>
        </w:rPr>
        <w:t>. Lo anterior en la medida en que, al ampliarse la actividad contractual sobre la que recae el deber de publicación, se divulga un mayor volumen de información, que de por sí es pública, mediante un mecanismo como el SECOP. Esta plataforma facilita el acceso a la misma desde cualquier dispositivo con acceso a internet. De este modo, garantiza mayor transparencia, al obligarse a las entidades estatales a publicar sus actuaciones de manera proactiva y rutinaria. Ello permite que la ciudadanía conozca con detalle y actualidad el desarrollo de la gestión contractual de la Administración, fomentándose en la contratación pública estándares altos de transparencia.</w:t>
      </w:r>
      <w:r w:rsidRPr="00DC28EC">
        <w:rPr>
          <w:rStyle w:val="nfasis"/>
          <w:rFonts w:ascii="Arial" w:hAnsi="Arial" w:cs="Arial"/>
          <w:sz w:val="22"/>
          <w:lang w:val="es-ES"/>
        </w:rPr>
        <w:t xml:space="preserve">   </w:t>
      </w:r>
    </w:p>
    <w:p w14:paraId="0645F1B0" w14:textId="6A745DDF" w:rsidR="00BC1F25" w:rsidRPr="00DC28EC" w:rsidRDefault="00BC1F25" w:rsidP="00BC1F25">
      <w:pPr>
        <w:spacing w:after="120" w:line="276" w:lineRule="auto"/>
        <w:ind w:firstLine="709"/>
        <w:jc w:val="both"/>
        <w:rPr>
          <w:rFonts w:ascii="Arial" w:hAnsi="Arial" w:cs="Arial"/>
          <w:sz w:val="22"/>
          <w:lang w:val="es-ES"/>
        </w:rPr>
      </w:pPr>
      <w:r w:rsidRPr="00DC28EC">
        <w:rPr>
          <w:rStyle w:val="Textoennegrita"/>
          <w:rFonts w:ascii="Arial" w:hAnsi="Arial" w:cs="Arial"/>
          <w:b w:val="0"/>
          <w:bCs w:val="0"/>
          <w:sz w:val="22"/>
          <w:lang w:val="es-ES"/>
        </w:rPr>
        <w:t xml:space="preserve">En conclusión, con base en los fundamentos normativos y argumentos expuestos, además del Plan Anual de Adquisiciones, las entidades estatales regidas por el EGCAP deberán publicar en SECOP los documentos expedidos con ocasión del </w:t>
      </w:r>
      <w:r w:rsidRPr="00DC28EC">
        <w:rPr>
          <w:rStyle w:val="Textoennegrita"/>
          <w:rFonts w:ascii="Arial" w:hAnsi="Arial" w:cs="Arial"/>
          <w:b w:val="0"/>
          <w:bCs w:val="0"/>
          <w:i/>
          <w:iCs/>
          <w:sz w:val="22"/>
          <w:lang w:val="es-ES"/>
        </w:rPr>
        <w:t>proceso de contratación</w:t>
      </w:r>
      <w:r w:rsidRPr="00DC28EC">
        <w:rPr>
          <w:rStyle w:val="Textoennegrita"/>
          <w:rFonts w:ascii="Arial" w:hAnsi="Arial" w:cs="Arial"/>
          <w:b w:val="0"/>
          <w:bCs w:val="0"/>
          <w:sz w:val="22"/>
          <w:lang w:val="es-ES"/>
        </w:rPr>
        <w:t xml:space="preserve">. Entre estos documentos se encuentran: el estudio de oportunidad y conveniencia; </w:t>
      </w:r>
      <w:r w:rsidRPr="00DC28EC">
        <w:rPr>
          <w:rFonts w:ascii="Arial" w:hAnsi="Arial" w:cs="Arial"/>
          <w:sz w:val="22"/>
          <w:lang w:val="es-ES"/>
        </w:rPr>
        <w:t>los estudios y documentos previos –técnicos o no–</w:t>
      </w:r>
      <w:r w:rsidR="00465B54">
        <w:rPr>
          <w:rFonts w:ascii="Arial" w:hAnsi="Arial" w:cs="Arial"/>
          <w:sz w:val="22"/>
          <w:lang w:val="es-ES"/>
        </w:rPr>
        <w:t>; el acto administrativo de justificación de la contratación directa</w:t>
      </w:r>
      <w:r w:rsidRPr="00DC28EC">
        <w:rPr>
          <w:rFonts w:ascii="Arial" w:hAnsi="Arial" w:cs="Arial"/>
          <w:sz w:val="22"/>
          <w:lang w:val="es-ES"/>
        </w:rPr>
        <w:t>; el aviso de convocatoria; el proyecto de pliego de condiciones y las observaciones que le formulen; el pliego de condiciones o la invitación.</w:t>
      </w:r>
    </w:p>
    <w:p w14:paraId="4455B23F" w14:textId="77777777" w:rsidR="00BC1F25" w:rsidRPr="003253B1" w:rsidRDefault="00BC1F25" w:rsidP="00BC1F25">
      <w:pPr>
        <w:spacing w:after="120" w:line="276" w:lineRule="auto"/>
        <w:ind w:firstLine="709"/>
        <w:jc w:val="both"/>
        <w:rPr>
          <w:rFonts w:ascii="Arial" w:hAnsi="Arial" w:cs="Arial"/>
          <w:sz w:val="22"/>
          <w:lang w:val="es-ES"/>
        </w:rPr>
      </w:pPr>
      <w:r w:rsidRPr="003253B1">
        <w:rPr>
          <w:rFonts w:ascii="Arial" w:hAnsi="Arial" w:cs="Arial"/>
          <w:sz w:val="22"/>
          <w:lang w:val="es-ES"/>
        </w:rPr>
        <w:t xml:space="preserve"> De igual manera, dentro de los documentos del proceso, se deben publicar en el SECOP las observaciones que se les realicen al pliego de condiciones; las actas de la audiencia de asignación de riesgos; el acta de cierre del plazo para presentar ofertas; y las adendas.</w:t>
      </w:r>
    </w:p>
    <w:p w14:paraId="26A3F567" w14:textId="77777777" w:rsidR="00BC1F25" w:rsidRPr="003253B1" w:rsidRDefault="00BC1F25" w:rsidP="00BC1F25">
      <w:pPr>
        <w:spacing w:after="120" w:line="276" w:lineRule="auto"/>
        <w:ind w:firstLine="709"/>
        <w:jc w:val="both"/>
        <w:rPr>
          <w:rFonts w:ascii="Arial" w:hAnsi="Arial" w:cs="Arial"/>
          <w:sz w:val="22"/>
          <w:lang w:val="es-ES"/>
        </w:rPr>
      </w:pPr>
      <w:r w:rsidRPr="003253B1">
        <w:rPr>
          <w:rFonts w:ascii="Arial" w:hAnsi="Arial" w:cs="Arial"/>
          <w:sz w:val="22"/>
          <w:lang w:val="es-ES"/>
        </w:rPr>
        <w:lastRenderedPageBreak/>
        <w:t>En procesos cuya publicación deba realizarse en SECOP I, se debe publicar la oferta del adjudicatario y las aclaraciones que se le realicen; el informe de evaluación y las observaciones que se formulen; las respuestas a las observaciones; el contrato y los otrosíes o modificaciones; el acta de inicio; las garantías y el acta de liquidación.</w:t>
      </w:r>
    </w:p>
    <w:p w14:paraId="7B0A3413" w14:textId="77777777" w:rsidR="00BC1F25" w:rsidRPr="003253B1" w:rsidRDefault="00BC1F25" w:rsidP="00BC1F25">
      <w:pPr>
        <w:spacing w:after="120" w:line="276" w:lineRule="auto"/>
        <w:ind w:firstLine="709"/>
        <w:jc w:val="both"/>
        <w:rPr>
          <w:rFonts w:ascii="Arial" w:hAnsi="Arial" w:cs="Arial"/>
          <w:sz w:val="22"/>
          <w:lang w:val="es-ES"/>
        </w:rPr>
      </w:pPr>
      <w:r w:rsidRPr="003253B1">
        <w:rPr>
          <w:rFonts w:ascii="Arial" w:hAnsi="Arial" w:cs="Arial"/>
          <w:sz w:val="22"/>
          <w:lang w:val="es-ES"/>
        </w:rPr>
        <w:t>También deben publicarse en el SECOP los actos administrativos expedidos con ocasión del procedimiento de selección o la ejecución del contrato, como las resoluciones de apertura, de adjudicación, las que se impongan multas, la cláusula penal o declaren la caducidad del contrato; así como los documentos de los procesos por incumplimiento contractual que se lleven a cabo conforme al artículo 86 de la Ley 1474 de 2011, como la citación, las pruebas que se practiquen, la resolución que resuelve la actuación y demás documentos que se produzcan.</w:t>
      </w:r>
    </w:p>
    <w:p w14:paraId="517CBDEE" w14:textId="77777777" w:rsidR="00BC1F25" w:rsidRPr="003253B1" w:rsidRDefault="00BC1F25" w:rsidP="00BC1F25">
      <w:pPr>
        <w:spacing w:line="276" w:lineRule="auto"/>
        <w:ind w:firstLine="709"/>
        <w:jc w:val="both"/>
        <w:rPr>
          <w:rFonts w:ascii="Arial" w:hAnsi="Arial" w:cs="Arial"/>
          <w:sz w:val="22"/>
          <w:lang w:val="es-ES"/>
        </w:rPr>
      </w:pPr>
      <w:r w:rsidRPr="003253B1">
        <w:rPr>
          <w:rFonts w:ascii="Arial" w:hAnsi="Arial" w:cs="Arial"/>
          <w:sz w:val="22"/>
          <w:lang w:val="es-ES"/>
        </w:rPr>
        <w:t xml:space="preserve">Sin perjuicio de lo anterior, no debe perderse de vista </w:t>
      </w:r>
      <w:proofErr w:type="gramStart"/>
      <w:r w:rsidRPr="003253B1">
        <w:rPr>
          <w:rFonts w:ascii="Arial" w:hAnsi="Arial" w:cs="Arial"/>
          <w:sz w:val="22"/>
          <w:lang w:val="es-ES"/>
        </w:rPr>
        <w:t>que</w:t>
      </w:r>
      <w:proofErr w:type="gramEnd"/>
      <w:r w:rsidRPr="003253B1">
        <w:rPr>
          <w:rFonts w:ascii="Arial" w:hAnsi="Arial" w:cs="Arial"/>
          <w:sz w:val="22"/>
          <w:lang w:val="es-ES"/>
        </w:rPr>
        <w:t xml:space="preserve"> en virtud del principio de transparencia, específicamente por cuenta de lo dispuesto en el numeral 4 del artículo 24 de la Ley 80 de 1993</w:t>
      </w:r>
      <w:r w:rsidRPr="003253B1">
        <w:rPr>
          <w:rStyle w:val="Refdenotaalpie"/>
          <w:rFonts w:ascii="Arial" w:hAnsi="Arial" w:cs="Arial"/>
          <w:sz w:val="22"/>
          <w:lang w:val="es-ES"/>
        </w:rPr>
        <w:footnoteReference w:id="8"/>
      </w:r>
      <w:r w:rsidRPr="003253B1">
        <w:rPr>
          <w:rFonts w:ascii="Arial" w:hAnsi="Arial" w:cs="Arial"/>
          <w:sz w:val="22"/>
          <w:lang w:val="es-ES"/>
        </w:rPr>
        <w:t>, así como por el principio de máxima publicidad establecido en el artículo 2 de la Ley 1712 de 2014</w:t>
      </w:r>
      <w:r w:rsidRPr="003253B1">
        <w:rPr>
          <w:rStyle w:val="Refdenotaalpie"/>
          <w:rFonts w:ascii="Arial" w:hAnsi="Arial" w:cs="Arial"/>
          <w:sz w:val="22"/>
          <w:lang w:val="es-ES"/>
        </w:rPr>
        <w:footnoteReference w:id="9"/>
      </w:r>
      <w:r w:rsidRPr="003253B1">
        <w:rPr>
          <w:rFonts w:ascii="Arial" w:hAnsi="Arial" w:cs="Arial"/>
          <w:sz w:val="22"/>
          <w:lang w:val="es-ES"/>
        </w:rPr>
        <w:t xml:space="preserve">, el contenido del expediente en el que reposa la actuación es información pública, independientemente de si se trata de documentos que deban ser publicados en SECOP. Por lo anterior, el contenido del expediente puede ser objeto de solicitud de copias, en ejercicio del derecho de petición, en cualquier momento del proceso de selección, en la medida en que las normas señaladas no imponen ningún condicionamiento, así que podrán solicitarlas cualquier persona, </w:t>
      </w:r>
      <w:r>
        <w:rPr>
          <w:rFonts w:ascii="Arial" w:hAnsi="Arial" w:cs="Arial"/>
          <w:sz w:val="22"/>
          <w:lang w:val="es-ES"/>
        </w:rPr>
        <w:t>en desarrollo de la</w:t>
      </w:r>
      <w:r w:rsidRPr="003253B1">
        <w:rPr>
          <w:rFonts w:ascii="Arial" w:hAnsi="Arial" w:cs="Arial"/>
          <w:sz w:val="22"/>
          <w:lang w:val="es-ES"/>
        </w:rPr>
        <w:t xml:space="preserve"> vigilancia de la contratación pública, cuestión que podría interesar a cualquier ciudadano</w:t>
      </w:r>
      <w:r w:rsidRPr="003253B1">
        <w:rPr>
          <w:rStyle w:val="Refdenotaalpie"/>
          <w:rFonts w:ascii="Arial" w:hAnsi="Arial" w:cs="Arial"/>
          <w:sz w:val="22"/>
          <w:lang w:val="es-ES"/>
        </w:rPr>
        <w:footnoteReference w:id="10"/>
      </w:r>
      <w:r w:rsidRPr="003253B1">
        <w:rPr>
          <w:rFonts w:ascii="Arial" w:hAnsi="Arial" w:cs="Arial"/>
          <w:sz w:val="22"/>
          <w:lang w:val="es-ES"/>
        </w:rPr>
        <w:t xml:space="preserve">. Esta posibilidad solo se encuentra limitada respecto de la documentación que tenga la </w:t>
      </w:r>
      <w:r w:rsidRPr="003253B1">
        <w:rPr>
          <w:rFonts w:ascii="Arial" w:hAnsi="Arial" w:cs="Arial"/>
          <w:sz w:val="22"/>
          <w:lang w:val="es-ES"/>
        </w:rPr>
        <w:lastRenderedPageBreak/>
        <w:t>calidad de reservada</w:t>
      </w:r>
      <w:r w:rsidRPr="003253B1">
        <w:rPr>
          <w:rFonts w:ascii="Arial" w:hAnsi="Arial" w:cs="Arial"/>
          <w:sz w:val="22"/>
          <w:vertAlign w:val="superscript"/>
          <w:lang w:val="es-ES"/>
        </w:rPr>
        <w:footnoteReference w:id="11"/>
      </w:r>
      <w:r w:rsidRPr="003253B1">
        <w:rPr>
          <w:rFonts w:ascii="Arial" w:hAnsi="Arial" w:cs="Arial"/>
          <w:sz w:val="22"/>
          <w:lang w:val="es-ES"/>
        </w:rPr>
        <w:t>, que deberá someterse al tratamiento establecido en el artículo 36 del CPACA, en lo relativo a la formación de cuadernos separados</w:t>
      </w:r>
      <w:r w:rsidRPr="003253B1">
        <w:rPr>
          <w:rFonts w:ascii="Arial" w:hAnsi="Arial" w:cs="Arial"/>
          <w:sz w:val="22"/>
          <w:vertAlign w:val="superscript"/>
          <w:lang w:val="es-ES"/>
        </w:rPr>
        <w:footnoteReference w:id="12"/>
      </w:r>
      <w:r w:rsidRPr="003253B1">
        <w:rPr>
          <w:rFonts w:ascii="Arial" w:hAnsi="Arial" w:cs="Arial"/>
          <w:sz w:val="22"/>
          <w:lang w:val="es-ES"/>
        </w:rPr>
        <w:t>.</w:t>
      </w:r>
    </w:p>
    <w:p w14:paraId="398F2535" w14:textId="77777777" w:rsidR="00BC1F25" w:rsidRPr="003253B1" w:rsidRDefault="00BC1F25" w:rsidP="00BC1F25">
      <w:pPr>
        <w:tabs>
          <w:tab w:val="left" w:pos="426"/>
        </w:tabs>
        <w:spacing w:line="276" w:lineRule="auto"/>
        <w:jc w:val="both"/>
        <w:rPr>
          <w:rFonts w:ascii="Arial" w:eastAsia="Calibri" w:hAnsi="Arial" w:cs="Arial"/>
          <w:b/>
          <w:bCs/>
          <w:color w:val="000000"/>
          <w:sz w:val="22"/>
          <w:lang w:val="es-ES_tradnl" w:eastAsia="en-GB"/>
        </w:rPr>
      </w:pPr>
    </w:p>
    <w:p w14:paraId="4393429D" w14:textId="77777777" w:rsidR="00BC1F25" w:rsidRPr="003253B1" w:rsidRDefault="00BC1F25" w:rsidP="00BC1F25">
      <w:pPr>
        <w:tabs>
          <w:tab w:val="left" w:pos="426"/>
        </w:tabs>
        <w:spacing w:line="276" w:lineRule="auto"/>
        <w:jc w:val="both"/>
        <w:rPr>
          <w:rFonts w:ascii="Arial" w:eastAsia="Calibri" w:hAnsi="Arial" w:cs="Arial"/>
          <w:b/>
          <w:bCs/>
          <w:color w:val="000000"/>
          <w:sz w:val="22"/>
          <w:lang w:val="es-ES_tradnl" w:eastAsia="en-GB"/>
        </w:rPr>
      </w:pPr>
      <w:r w:rsidRPr="003253B1">
        <w:rPr>
          <w:rFonts w:ascii="Arial" w:eastAsia="Calibri" w:hAnsi="Arial" w:cs="Arial"/>
          <w:b/>
          <w:bCs/>
          <w:color w:val="000000"/>
          <w:sz w:val="22"/>
          <w:lang w:val="es-ES_tradnl" w:eastAsia="en-GB"/>
        </w:rPr>
        <w:t>2.2. La reserva de información pública como límite al deber de divulgación proactiva de la información en la contratación estatal</w:t>
      </w:r>
    </w:p>
    <w:p w14:paraId="036F4B25" w14:textId="77777777" w:rsidR="00BC1F25" w:rsidRPr="003253B1" w:rsidRDefault="00BC1F25" w:rsidP="00BC1F25">
      <w:pPr>
        <w:tabs>
          <w:tab w:val="left" w:pos="426"/>
        </w:tabs>
        <w:spacing w:line="276" w:lineRule="auto"/>
        <w:jc w:val="both"/>
        <w:rPr>
          <w:rFonts w:ascii="Arial" w:eastAsia="Calibri" w:hAnsi="Arial" w:cs="Arial"/>
          <w:sz w:val="22"/>
          <w:lang w:val="es-ES"/>
        </w:rPr>
      </w:pPr>
    </w:p>
    <w:p w14:paraId="5FA27034" w14:textId="4C732F88" w:rsidR="00BC1F25" w:rsidRPr="003253B1" w:rsidRDefault="00BC1F25" w:rsidP="00BC1F25">
      <w:pPr>
        <w:tabs>
          <w:tab w:val="left" w:pos="426"/>
        </w:tabs>
        <w:spacing w:line="276" w:lineRule="auto"/>
        <w:jc w:val="both"/>
        <w:rPr>
          <w:rFonts w:ascii="Arial" w:eastAsia="Calibri" w:hAnsi="Arial" w:cs="Arial"/>
          <w:color w:val="000000"/>
          <w:sz w:val="22"/>
          <w:lang w:val="es-ES_tradnl" w:eastAsia="en-GB"/>
        </w:rPr>
      </w:pPr>
      <w:r w:rsidRPr="003253B1">
        <w:rPr>
          <w:rFonts w:ascii="Arial" w:eastAsia="Calibri" w:hAnsi="Arial" w:cs="Arial"/>
          <w:sz w:val="22"/>
          <w:lang w:val="es-ES"/>
        </w:rPr>
        <w:t xml:space="preserve">No </w:t>
      </w:r>
      <w:proofErr w:type="gramStart"/>
      <w:r w:rsidRPr="003253B1">
        <w:rPr>
          <w:rFonts w:ascii="Arial" w:eastAsia="Calibri" w:hAnsi="Arial" w:cs="Arial"/>
          <w:sz w:val="22"/>
          <w:lang w:val="es-ES"/>
        </w:rPr>
        <w:t>obstante</w:t>
      </w:r>
      <w:proofErr w:type="gramEnd"/>
      <w:r w:rsidRPr="003253B1">
        <w:rPr>
          <w:rFonts w:ascii="Arial" w:eastAsia="Calibri" w:hAnsi="Arial" w:cs="Arial"/>
          <w:sz w:val="22"/>
          <w:lang w:val="es-ES"/>
        </w:rPr>
        <w:t xml:space="preserve"> lo expresado en el numeral anterior, vale la pena aclarar que el cumplimiento del deber de publicación de la documentación contractual debe armonizarse con las normas aplicables al tipo de información que estas contienen. Lo anterior significa que respecto de la información sometida a reserva o de la cual proceda un tratamiento especial que impida su publicidad, las entidades deberán proceder de conformidad con el tratamiento que impongan tales normas, absteniéndose, de ser el caso, de publicar </w:t>
      </w:r>
      <w:r w:rsidR="008B0B64">
        <w:rPr>
          <w:rFonts w:ascii="Arial" w:eastAsia="Calibri" w:hAnsi="Arial" w:cs="Arial"/>
          <w:sz w:val="22"/>
          <w:lang w:val="es-ES"/>
        </w:rPr>
        <w:t xml:space="preserve">los documentos del proceso, </w:t>
      </w:r>
      <w:r w:rsidRPr="003253B1">
        <w:rPr>
          <w:rFonts w:ascii="Arial" w:eastAsia="Calibri" w:hAnsi="Arial" w:cs="Arial"/>
          <w:sz w:val="22"/>
          <w:lang w:val="es-ES"/>
        </w:rPr>
        <w:t xml:space="preserve">algunos </w:t>
      </w:r>
      <w:r w:rsidR="008B0B64">
        <w:rPr>
          <w:rFonts w:ascii="Arial" w:eastAsia="Calibri" w:hAnsi="Arial" w:cs="Arial"/>
          <w:sz w:val="22"/>
          <w:lang w:val="es-ES"/>
        </w:rPr>
        <w:t>de ellos</w:t>
      </w:r>
      <w:r w:rsidRPr="003253B1">
        <w:rPr>
          <w:rFonts w:ascii="Arial" w:eastAsia="Calibri" w:hAnsi="Arial" w:cs="Arial"/>
          <w:sz w:val="22"/>
          <w:lang w:val="es-ES"/>
        </w:rPr>
        <w:t xml:space="preserve"> o algunos apartes de dichos documentos en los que se evidencie este tipo de información. </w:t>
      </w:r>
    </w:p>
    <w:p w14:paraId="75B769B5" w14:textId="5C72D517" w:rsidR="00BC1F25" w:rsidRPr="00F02009" w:rsidRDefault="00BC1F25" w:rsidP="00F02009">
      <w:pPr>
        <w:spacing w:before="120" w:line="276" w:lineRule="auto"/>
        <w:ind w:firstLine="709"/>
        <w:jc w:val="both"/>
        <w:rPr>
          <w:rFonts w:ascii="Arial" w:eastAsia="Calibri" w:hAnsi="Arial" w:cs="Arial"/>
          <w:color w:val="000000"/>
          <w:sz w:val="22"/>
          <w:lang w:val="es-ES_tradnl" w:eastAsia="en-GB"/>
        </w:rPr>
      </w:pPr>
      <w:r w:rsidRPr="00490BE8">
        <w:rPr>
          <w:rFonts w:ascii="Arial" w:eastAsia="Calibri" w:hAnsi="Arial" w:cs="Arial"/>
          <w:color w:val="000000"/>
          <w:sz w:val="22"/>
          <w:lang w:val="es-ES_tradnl" w:eastAsia="en-GB"/>
        </w:rPr>
        <w:lastRenderedPageBreak/>
        <w:t xml:space="preserve">En otras palabras, aunque el artículo 74 de la Constitución establezca que la información pública debe ser dada a conocer a la ciudadanía y así los documentos que hagan parte de la actividad contractual puedan catalogarse, </w:t>
      </w:r>
      <w:r w:rsidRPr="00490BE8">
        <w:rPr>
          <w:rFonts w:ascii="Arial" w:eastAsia="Calibri" w:hAnsi="Arial" w:cs="Arial"/>
          <w:i/>
          <w:iCs/>
          <w:color w:val="000000"/>
          <w:sz w:val="22"/>
          <w:lang w:val="es-ES_tradnl" w:eastAsia="en-GB"/>
        </w:rPr>
        <w:t>prima facie,</w:t>
      </w:r>
      <w:r w:rsidRPr="00490BE8">
        <w:rPr>
          <w:rFonts w:ascii="Arial" w:eastAsia="Calibri" w:hAnsi="Arial" w:cs="Arial"/>
          <w:color w:val="000000"/>
          <w:sz w:val="22"/>
          <w:lang w:val="es-ES_tradnl" w:eastAsia="en-GB"/>
        </w:rPr>
        <w:t xml:space="preserve"> como información pública, cuando dicha documentación contenga información sometida a alguna reserva, que establezca la Constitución o la ley, operan algunas restricciones a su publicidad. Sin embargo, esto no necesariamente convierte el documento completo en reservado, es decir, en un documento que no puede publicarse. 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sometida a reserva, pero también incluya información que no esté afectada por la reserva. Además</w:t>
      </w:r>
      <w:r w:rsidR="008B0B64">
        <w:rPr>
          <w:rFonts w:ascii="Arial" w:eastAsia="Calibri" w:hAnsi="Arial" w:cs="Arial"/>
          <w:color w:val="000000"/>
          <w:sz w:val="22"/>
          <w:lang w:val="es-ES_tradnl" w:eastAsia="en-GB"/>
        </w:rPr>
        <w:t>,</w:t>
      </w:r>
      <w:r w:rsidRPr="00490BE8">
        <w:rPr>
          <w:rFonts w:ascii="Arial" w:eastAsia="Calibri" w:hAnsi="Arial" w:cs="Arial"/>
          <w:color w:val="000000"/>
          <w:sz w:val="22"/>
          <w:lang w:val="es-ES_tradnl" w:eastAsia="en-GB"/>
        </w:rPr>
        <w:t xml:space="preserve"> dicha disposición establece que la reserva de acceso a la información opera respecto al contenido de un documento público, pero no respecto de su existencia</w:t>
      </w:r>
      <w:r w:rsidRPr="00490BE8">
        <w:rPr>
          <w:rStyle w:val="Refdenotaalpie"/>
          <w:rFonts w:ascii="Arial" w:eastAsia="Calibri" w:hAnsi="Arial" w:cs="Arial"/>
          <w:color w:val="000000"/>
          <w:sz w:val="22"/>
          <w:lang w:val="es-ES_tradnl" w:eastAsia="en-GB"/>
        </w:rPr>
        <w:footnoteReference w:id="13"/>
      </w:r>
      <w:r w:rsidRPr="00490BE8">
        <w:rPr>
          <w:rFonts w:ascii="Arial" w:eastAsia="Calibri" w:hAnsi="Arial" w:cs="Arial"/>
          <w:color w:val="000000"/>
          <w:sz w:val="22"/>
          <w:lang w:val="es-ES_tradnl" w:eastAsia="en-GB"/>
        </w:rPr>
        <w:t>.</w:t>
      </w:r>
      <w:r w:rsidR="00F02009" w:rsidRPr="00490BE8">
        <w:rPr>
          <w:rFonts w:ascii="Arial" w:eastAsia="Calibri" w:hAnsi="Arial" w:cs="Arial"/>
          <w:color w:val="000000"/>
          <w:sz w:val="22"/>
          <w:lang w:val="es-ES_tradnl" w:eastAsia="en-GB"/>
        </w:rPr>
        <w:t xml:space="preserve"> Sin perjuicio de lo anterior, es posible que el contenido de todo el documento </w:t>
      </w:r>
      <w:r w:rsidR="00B53CB0">
        <w:rPr>
          <w:rFonts w:ascii="Arial" w:eastAsia="Calibri" w:hAnsi="Arial" w:cs="Arial"/>
          <w:color w:val="000000"/>
          <w:sz w:val="22"/>
          <w:lang w:val="es-ES_tradnl" w:eastAsia="en-GB"/>
        </w:rPr>
        <w:t xml:space="preserve">o expediente </w:t>
      </w:r>
      <w:r w:rsidR="00F02009" w:rsidRPr="00490BE8">
        <w:rPr>
          <w:rFonts w:ascii="Arial" w:eastAsia="Calibri" w:hAnsi="Arial" w:cs="Arial"/>
          <w:color w:val="000000"/>
          <w:sz w:val="22"/>
          <w:lang w:val="es-ES_tradnl" w:eastAsia="en-GB"/>
        </w:rPr>
        <w:t>no deba ser objeto de publicidad por estar amparado de forma íntegra por la reserva, dada su conexión con las causales establecidas en la Constitución o la ley.</w:t>
      </w:r>
    </w:p>
    <w:p w14:paraId="185F3766" w14:textId="6086FD45" w:rsidR="00BC1F25" w:rsidRPr="003253B1" w:rsidRDefault="00BC1F25" w:rsidP="00BC1F25">
      <w:pPr>
        <w:tabs>
          <w:tab w:val="left" w:pos="426"/>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Por ello</w:t>
      </w:r>
      <w:r w:rsidRPr="003253B1">
        <w:rPr>
          <w:rFonts w:ascii="Arial" w:eastAsia="Calibri" w:hAnsi="Arial" w:cs="Arial"/>
          <w:color w:val="000000"/>
          <w:sz w:val="22"/>
          <w:lang w:val="es-ES_tradnl" w:eastAsia="en-GB"/>
        </w:rPr>
        <w:t>, el artículo 74 de la Constitución, en armonía con los artículos 18 y 19 de la Ley 1712 de 2014 y los artículos 24 y 25 de la Ley 1437 de 2011 –de acuerdo con la modificación realizada por la Ley 1755 de 2015–, establecen que el derecho de acceso a la información o documentación pública no es absoluto, sino que puede exceptuarse cuando se configuren causales de reserva. Así mismo, hay información que goza de protección especial y no puede divulgarse. La información pública que contiene datos semiprivados o privados, definidos en los literales g) y h) del artículo 3° de la Ley 1266 de 2008</w:t>
      </w:r>
      <w:r w:rsidR="008B0B64">
        <w:rPr>
          <w:rFonts w:ascii="Arial" w:eastAsia="Calibri" w:hAnsi="Arial" w:cs="Arial"/>
          <w:color w:val="000000"/>
          <w:sz w:val="22"/>
          <w:lang w:val="es-ES_tradnl" w:eastAsia="en-GB"/>
        </w:rPr>
        <w:t>;</w:t>
      </w:r>
      <w:r w:rsidRPr="003253B1">
        <w:rPr>
          <w:rFonts w:ascii="Arial" w:eastAsia="Calibri" w:hAnsi="Arial" w:cs="Arial"/>
          <w:color w:val="000000"/>
          <w:sz w:val="22"/>
          <w:lang w:val="es-ES_tradnl" w:eastAsia="en-GB"/>
        </w:rPr>
        <w:t xml:space="preserve"> clasificados o reservados, según los artículos 18 y 19 de la Ley 1712 de 2014</w:t>
      </w:r>
      <w:r w:rsidR="008B0B64">
        <w:rPr>
          <w:rFonts w:ascii="Arial" w:eastAsia="Calibri" w:hAnsi="Arial" w:cs="Arial"/>
          <w:color w:val="000000"/>
          <w:sz w:val="22"/>
          <w:lang w:val="es-ES_tradnl" w:eastAsia="en-GB"/>
        </w:rPr>
        <w:t>;</w:t>
      </w:r>
      <w:r w:rsidRPr="003253B1">
        <w:rPr>
          <w:rFonts w:ascii="Arial" w:eastAsia="Calibri" w:hAnsi="Arial" w:cs="Arial"/>
          <w:color w:val="000000"/>
          <w:sz w:val="22"/>
          <w:lang w:val="es-ES_tradnl" w:eastAsia="en-GB"/>
        </w:rPr>
        <w:t xml:space="preserve"> o datos personales o sensibles, según lo previsto en los artículos 3° y 5° de la Ley 1581 de 2012 y en el artículo 2.2.2.25.1.3., numeral 3 –que compiló al Decreto 1377 de 2013 (art. 3)–, solo podrá divulgarse según las reglas establecidas en dichas normas. </w:t>
      </w:r>
    </w:p>
    <w:p w14:paraId="17DCF43D" w14:textId="6555F946" w:rsidR="00BC1F25" w:rsidRPr="003253B1" w:rsidRDefault="00BC1F25" w:rsidP="00EB793C">
      <w:pPr>
        <w:tabs>
          <w:tab w:val="left" w:pos="426"/>
        </w:tabs>
        <w:spacing w:before="120" w:after="120" w:line="276" w:lineRule="auto"/>
        <w:ind w:firstLine="709"/>
        <w:jc w:val="both"/>
        <w:rPr>
          <w:rFonts w:ascii="Arial" w:eastAsia="Calibri" w:hAnsi="Arial" w:cs="Arial"/>
          <w:color w:val="000000"/>
          <w:sz w:val="22"/>
          <w:lang w:val="es-ES_tradnl" w:eastAsia="en-GB"/>
        </w:rPr>
      </w:pPr>
      <w:r w:rsidRPr="00EB793C">
        <w:rPr>
          <w:rFonts w:ascii="Arial" w:eastAsia="Calibri" w:hAnsi="Arial" w:cs="Arial"/>
          <w:color w:val="000000"/>
          <w:sz w:val="22"/>
          <w:lang w:val="es-ES_tradnl" w:eastAsia="en-GB"/>
        </w:rPr>
        <w:t xml:space="preserve">Cuando el documento contractual tenga información sensible, clasificada o reservada, para proteger la </w:t>
      </w:r>
      <w:r w:rsidR="008B0B64">
        <w:rPr>
          <w:rFonts w:ascii="Arial" w:eastAsia="Calibri" w:hAnsi="Arial" w:cs="Arial"/>
          <w:color w:val="000000"/>
          <w:sz w:val="22"/>
          <w:lang w:val="es-ES_tradnl" w:eastAsia="en-GB"/>
        </w:rPr>
        <w:t xml:space="preserve">reserva de </w:t>
      </w:r>
      <w:r w:rsidRPr="00EB793C">
        <w:rPr>
          <w:rFonts w:ascii="Arial" w:eastAsia="Calibri" w:hAnsi="Arial" w:cs="Arial"/>
          <w:color w:val="000000"/>
          <w:sz w:val="22"/>
          <w:lang w:val="es-ES_tradnl" w:eastAsia="en-GB"/>
        </w:rPr>
        <w:t xml:space="preserve">información, las autoridades deben abstenerse de </w:t>
      </w:r>
      <w:r w:rsidRPr="00EB793C">
        <w:rPr>
          <w:rFonts w:ascii="Arial" w:eastAsia="Calibri" w:hAnsi="Arial" w:cs="Arial"/>
          <w:color w:val="000000"/>
          <w:sz w:val="22"/>
          <w:lang w:val="es-ES_tradnl" w:eastAsia="en-GB"/>
        </w:rPr>
        <w:lastRenderedPageBreak/>
        <w:t xml:space="preserve">publicar en el SECOP la información que tiene protección especial o está sometida a reserva. Sin embargo, de acuerdo con el segundo inciso del artículo 25 de la Ley 1437 de 2011 «La restricción por reserva legal no se extenderá a otras piezas del respectivo expediente o actuación que no estén cubiertas por ella». Por ello, la entidad estatal puede dejar de publicar algún documento del proceso o aparte del mismo que contenga datos sensibles, clasificados o reservados, para no divulgarla, pero debe publicar los demás documentos o los apartados de </w:t>
      </w:r>
      <w:proofErr w:type="gramStart"/>
      <w:r w:rsidRPr="00EB793C">
        <w:rPr>
          <w:rFonts w:ascii="Arial" w:eastAsia="Calibri" w:hAnsi="Arial" w:cs="Arial"/>
          <w:color w:val="000000"/>
          <w:sz w:val="22"/>
          <w:lang w:val="es-ES_tradnl" w:eastAsia="en-GB"/>
        </w:rPr>
        <w:t>los mismos</w:t>
      </w:r>
      <w:proofErr w:type="gramEnd"/>
      <w:r w:rsidR="008B0B64">
        <w:rPr>
          <w:rFonts w:ascii="Arial" w:eastAsia="Calibri" w:hAnsi="Arial" w:cs="Arial"/>
          <w:color w:val="000000"/>
          <w:sz w:val="22"/>
          <w:lang w:val="es-ES_tradnl" w:eastAsia="en-GB"/>
        </w:rPr>
        <w:t>, en caso de que estos</w:t>
      </w:r>
      <w:r w:rsidRPr="00EB793C">
        <w:rPr>
          <w:rFonts w:ascii="Arial" w:eastAsia="Calibri" w:hAnsi="Arial" w:cs="Arial"/>
          <w:color w:val="000000"/>
          <w:sz w:val="22"/>
          <w:lang w:val="es-ES_tradnl" w:eastAsia="en-GB"/>
        </w:rPr>
        <w:t xml:space="preserve"> no go</w:t>
      </w:r>
      <w:r w:rsidR="008B0B64">
        <w:rPr>
          <w:rFonts w:ascii="Arial" w:eastAsia="Calibri" w:hAnsi="Arial" w:cs="Arial"/>
          <w:color w:val="000000"/>
          <w:sz w:val="22"/>
          <w:lang w:val="es-ES_tradnl" w:eastAsia="en-GB"/>
        </w:rPr>
        <w:t>ce</w:t>
      </w:r>
      <w:r w:rsidRPr="00EB793C">
        <w:rPr>
          <w:rFonts w:ascii="Arial" w:eastAsia="Calibri" w:hAnsi="Arial" w:cs="Arial"/>
          <w:color w:val="000000"/>
          <w:sz w:val="22"/>
          <w:lang w:val="es-ES_tradnl" w:eastAsia="en-GB"/>
        </w:rPr>
        <w:t>n de reserva.</w:t>
      </w:r>
      <w:r w:rsidR="005B077F" w:rsidRPr="00EB793C">
        <w:rPr>
          <w:rFonts w:ascii="Arial" w:eastAsia="Calibri" w:hAnsi="Arial" w:cs="Arial"/>
          <w:color w:val="000000"/>
          <w:sz w:val="22"/>
          <w:lang w:val="es-ES_tradnl" w:eastAsia="en-GB"/>
        </w:rPr>
        <w:t xml:space="preserve"> Lo anterior, sin perjuicio de que dependiendo de la información en específico todo el documento </w:t>
      </w:r>
      <w:r w:rsidR="00B53CB0">
        <w:rPr>
          <w:rFonts w:ascii="Arial" w:eastAsia="Calibri" w:hAnsi="Arial" w:cs="Arial"/>
          <w:color w:val="000000"/>
          <w:sz w:val="22"/>
          <w:lang w:val="es-ES_tradnl" w:eastAsia="en-GB"/>
        </w:rPr>
        <w:t xml:space="preserve">o expediente </w:t>
      </w:r>
      <w:r w:rsidR="005B077F" w:rsidRPr="00EB793C">
        <w:rPr>
          <w:rFonts w:ascii="Arial" w:eastAsia="Calibri" w:hAnsi="Arial" w:cs="Arial"/>
          <w:color w:val="000000"/>
          <w:sz w:val="22"/>
          <w:lang w:val="es-ES_tradnl" w:eastAsia="en-GB"/>
        </w:rPr>
        <w:t>deb</w:t>
      </w:r>
      <w:r w:rsidR="008B0B64">
        <w:rPr>
          <w:rFonts w:ascii="Arial" w:eastAsia="Calibri" w:hAnsi="Arial" w:cs="Arial"/>
          <w:color w:val="000000"/>
          <w:sz w:val="22"/>
          <w:lang w:val="es-ES_tradnl" w:eastAsia="en-GB"/>
        </w:rPr>
        <w:t>a</w:t>
      </w:r>
      <w:r w:rsidR="005B077F" w:rsidRPr="00EB793C">
        <w:rPr>
          <w:rFonts w:ascii="Arial" w:eastAsia="Calibri" w:hAnsi="Arial" w:cs="Arial"/>
          <w:color w:val="000000"/>
          <w:sz w:val="22"/>
          <w:lang w:val="es-ES_tradnl" w:eastAsia="en-GB"/>
        </w:rPr>
        <w:t xml:space="preserve"> dejar de publicarse, por ampararse en su integridad en alguna causal de reserva, dada la conexión de su contenido con la información que el constituyente o el legislador decidió limitar en cuanto a su publicidad.</w:t>
      </w:r>
    </w:p>
    <w:p w14:paraId="129273C6" w14:textId="1C338BEB" w:rsidR="00BC1F25" w:rsidRPr="003253B1" w:rsidRDefault="00BC1F25" w:rsidP="00BC1F25">
      <w:pPr>
        <w:tabs>
          <w:tab w:val="left" w:pos="426"/>
        </w:tabs>
        <w:spacing w:line="276" w:lineRule="auto"/>
        <w:ind w:firstLine="709"/>
        <w:jc w:val="both"/>
        <w:rPr>
          <w:rFonts w:ascii="Arial" w:eastAsia="Calibri" w:hAnsi="Arial" w:cs="Arial"/>
          <w:color w:val="000000"/>
          <w:sz w:val="22"/>
          <w:lang w:val="es-ES_tradnl" w:eastAsia="en-GB"/>
        </w:rPr>
      </w:pPr>
      <w:r w:rsidRPr="003253B1">
        <w:rPr>
          <w:rFonts w:ascii="Arial" w:eastAsia="Calibri" w:hAnsi="Arial" w:cs="Arial"/>
          <w:color w:val="000000"/>
          <w:sz w:val="22"/>
          <w:lang w:val="es-ES_tradnl" w:eastAsia="en-GB"/>
        </w:rPr>
        <w:t xml:space="preserve">En efecto, de conformidad con la Constitución y la jurisprudencia de las altas cortes, la reserva de información pública solo puede crearla el constituyente o el legislador. Además, como se </w:t>
      </w:r>
      <w:r>
        <w:rPr>
          <w:rFonts w:ascii="Arial" w:eastAsia="Calibri" w:hAnsi="Arial" w:cs="Arial"/>
          <w:color w:val="000000"/>
          <w:sz w:val="22"/>
          <w:lang w:val="es-ES_tradnl" w:eastAsia="en-GB"/>
        </w:rPr>
        <w:t>viene explicando</w:t>
      </w:r>
      <w:r w:rsidRPr="003253B1">
        <w:rPr>
          <w:rFonts w:ascii="Arial" w:eastAsia="Calibri" w:hAnsi="Arial" w:cs="Arial"/>
          <w:color w:val="000000"/>
          <w:sz w:val="22"/>
          <w:lang w:val="es-ES_tradnl" w:eastAsia="en-GB"/>
        </w:rPr>
        <w:t>, para efectos de la consulta realizada a la Agencia, las Leyes estatutarias 1712 de 2014 y la 1755 de 2015 –que sustituyó los artículos 13 a 33 de la Ley 1437 de 2011– establecen reservas particulares de información pública, coincidiendo ambas en establecer la reserva relacionada con la «defensa y seguridad nacional»</w:t>
      </w:r>
      <w:r w:rsidRPr="003253B1">
        <w:rPr>
          <w:rStyle w:val="Refdenotaalpie"/>
          <w:rFonts w:ascii="Arial" w:eastAsia="Calibri" w:hAnsi="Arial" w:cs="Arial"/>
          <w:color w:val="000000"/>
          <w:sz w:val="22"/>
          <w:lang w:val="es-ES_tradnl" w:eastAsia="en-GB"/>
        </w:rPr>
        <w:footnoteReference w:id="14"/>
      </w:r>
      <w:r w:rsidRPr="003253B1">
        <w:rPr>
          <w:rFonts w:ascii="Arial" w:eastAsia="Calibri" w:hAnsi="Arial" w:cs="Arial"/>
          <w:color w:val="000000"/>
          <w:sz w:val="22"/>
          <w:lang w:val="es-ES_tradnl" w:eastAsia="en-GB"/>
        </w:rPr>
        <w:t xml:space="preserve">. En armonía con lo anterior, cabe reiterar lo que se afirmó anteriormente en el sentido de que la creación de reservas de información pública es un asunto reservado al </w:t>
      </w:r>
      <w:r w:rsidR="001B3569" w:rsidRPr="003253B1">
        <w:rPr>
          <w:rFonts w:ascii="Arial" w:eastAsia="Calibri" w:hAnsi="Arial" w:cs="Arial"/>
          <w:color w:val="000000"/>
          <w:sz w:val="22"/>
          <w:lang w:val="es-ES_tradnl" w:eastAsia="en-GB"/>
        </w:rPr>
        <w:t xml:space="preserve">constituyente </w:t>
      </w:r>
      <w:r w:rsidR="001B3569">
        <w:rPr>
          <w:rFonts w:ascii="Arial" w:eastAsia="Calibri" w:hAnsi="Arial" w:cs="Arial"/>
          <w:color w:val="000000"/>
          <w:sz w:val="22"/>
          <w:lang w:val="es-ES_tradnl" w:eastAsia="en-GB"/>
        </w:rPr>
        <w:t xml:space="preserve">o al </w:t>
      </w:r>
      <w:r w:rsidRPr="003253B1">
        <w:rPr>
          <w:rFonts w:ascii="Arial" w:eastAsia="Calibri" w:hAnsi="Arial" w:cs="Arial"/>
          <w:color w:val="000000"/>
          <w:sz w:val="22"/>
          <w:lang w:val="es-ES_tradnl" w:eastAsia="en-GB"/>
        </w:rPr>
        <w:t xml:space="preserve">legislador. </w:t>
      </w:r>
      <w:r w:rsidR="00B53CB0">
        <w:rPr>
          <w:rFonts w:ascii="Arial" w:eastAsia="Calibri" w:hAnsi="Arial" w:cs="Arial"/>
          <w:color w:val="000000"/>
          <w:sz w:val="22"/>
          <w:lang w:val="es-ES_tradnl" w:eastAsia="en-GB"/>
        </w:rPr>
        <w:t>En relación con lo anterior, frente a</w:t>
      </w:r>
      <w:r w:rsidRPr="003253B1">
        <w:rPr>
          <w:rFonts w:ascii="Arial" w:eastAsia="Calibri" w:hAnsi="Arial" w:cs="Arial"/>
          <w:color w:val="000000"/>
          <w:sz w:val="22"/>
          <w:lang w:val="es-ES_tradnl" w:eastAsia="en-GB"/>
        </w:rPr>
        <w:t xml:space="preserve"> la causal de contratación directa del literal d), numeral 4, del artículo 2 de la Ley 1150 de 2007, reglamentada parcialmente en el artículo 2.2.1.2.1.4.6. del Decreto 1082 de 2015 –que compiló el artículo 78 del Decreto 1510 de 2013–, el Consejo de Estado en sentencia del 24 de mayo de 2018, </w:t>
      </w:r>
      <w:r>
        <w:rPr>
          <w:rFonts w:ascii="Arial" w:eastAsia="Calibri" w:hAnsi="Arial" w:cs="Arial"/>
          <w:color w:val="000000"/>
          <w:sz w:val="22"/>
          <w:lang w:val="es-ES_tradnl" w:eastAsia="en-GB"/>
        </w:rPr>
        <w:t xml:space="preserve">realizó un </w:t>
      </w:r>
      <w:r w:rsidRPr="003253B1">
        <w:rPr>
          <w:rFonts w:ascii="Arial" w:eastAsia="Calibri" w:hAnsi="Arial" w:cs="Arial"/>
          <w:color w:val="000000"/>
          <w:sz w:val="22"/>
          <w:lang w:val="es-ES_tradnl" w:eastAsia="en-GB"/>
        </w:rPr>
        <w:t xml:space="preserve">pronunciamiento </w:t>
      </w:r>
      <w:r>
        <w:rPr>
          <w:rFonts w:ascii="Arial" w:eastAsia="Calibri" w:hAnsi="Arial" w:cs="Arial"/>
          <w:color w:val="000000"/>
          <w:sz w:val="22"/>
          <w:lang w:val="es-ES_tradnl" w:eastAsia="en-GB"/>
        </w:rPr>
        <w:t>de mucha relevancia</w:t>
      </w:r>
      <w:r w:rsidRPr="003253B1">
        <w:rPr>
          <w:rFonts w:ascii="Arial" w:eastAsia="Calibri" w:hAnsi="Arial" w:cs="Arial"/>
          <w:color w:val="000000"/>
          <w:sz w:val="22"/>
          <w:lang w:val="es-ES_tradnl" w:eastAsia="en-GB"/>
        </w:rPr>
        <w:t xml:space="preserve"> para efectos de la consulta del peticionario, estableci</w:t>
      </w:r>
      <w:r>
        <w:rPr>
          <w:rFonts w:ascii="Arial" w:eastAsia="Calibri" w:hAnsi="Arial" w:cs="Arial"/>
          <w:color w:val="000000"/>
          <w:sz w:val="22"/>
          <w:lang w:val="es-ES_tradnl" w:eastAsia="en-GB"/>
        </w:rPr>
        <w:t>endo</w:t>
      </w:r>
      <w:r w:rsidRPr="003253B1">
        <w:rPr>
          <w:rFonts w:ascii="Arial" w:eastAsia="Calibri" w:hAnsi="Arial" w:cs="Arial"/>
          <w:color w:val="000000"/>
          <w:sz w:val="22"/>
          <w:lang w:val="es-ES_tradnl" w:eastAsia="en-GB"/>
        </w:rPr>
        <w:t xml:space="preserve"> en relación con la reserva de información lo siguiente</w:t>
      </w:r>
      <w:r w:rsidRPr="003253B1">
        <w:rPr>
          <w:rStyle w:val="Refdenotaalpie"/>
          <w:rFonts w:ascii="Arial" w:eastAsia="Calibri" w:hAnsi="Arial" w:cs="Arial"/>
          <w:color w:val="000000"/>
          <w:sz w:val="22"/>
          <w:lang w:val="es-ES_tradnl" w:eastAsia="en-GB"/>
        </w:rPr>
        <w:footnoteReference w:id="15"/>
      </w:r>
      <w:r w:rsidRPr="003253B1">
        <w:rPr>
          <w:rFonts w:ascii="Arial" w:eastAsia="Calibri" w:hAnsi="Arial" w:cs="Arial"/>
          <w:color w:val="000000"/>
          <w:sz w:val="22"/>
          <w:lang w:val="es-ES_tradnl" w:eastAsia="en-GB"/>
        </w:rPr>
        <w:t>:</w:t>
      </w:r>
    </w:p>
    <w:p w14:paraId="17701B78" w14:textId="77777777" w:rsidR="00BC1F25" w:rsidRPr="003253B1" w:rsidRDefault="00BC1F25" w:rsidP="00BC1F25">
      <w:pPr>
        <w:tabs>
          <w:tab w:val="left" w:pos="426"/>
        </w:tabs>
        <w:spacing w:line="276" w:lineRule="auto"/>
        <w:jc w:val="both"/>
        <w:rPr>
          <w:rFonts w:ascii="Arial" w:eastAsia="Calibri" w:hAnsi="Arial" w:cs="Arial"/>
          <w:color w:val="000000"/>
          <w:sz w:val="22"/>
          <w:lang w:val="es-ES_tradnl" w:eastAsia="en-GB"/>
        </w:rPr>
      </w:pPr>
    </w:p>
    <w:p w14:paraId="42DA8856" w14:textId="77777777" w:rsidR="00BC1F25" w:rsidRPr="003253B1" w:rsidRDefault="00BC1F25" w:rsidP="00BC1F25">
      <w:pPr>
        <w:tabs>
          <w:tab w:val="left" w:pos="426"/>
        </w:tabs>
        <w:ind w:left="709" w:right="709"/>
        <w:jc w:val="both"/>
        <w:rPr>
          <w:rFonts w:ascii="Arial" w:eastAsia="Calibri" w:hAnsi="Arial" w:cs="Arial"/>
          <w:color w:val="000000"/>
          <w:sz w:val="21"/>
          <w:szCs w:val="21"/>
          <w:lang w:val="es-ES_tradnl" w:eastAsia="en-GB"/>
        </w:rPr>
      </w:pPr>
      <w:r w:rsidRPr="003253B1">
        <w:rPr>
          <w:rFonts w:ascii="Arial" w:hAnsi="Arial" w:cs="Arial"/>
          <w:sz w:val="21"/>
          <w:szCs w:val="21"/>
        </w:rPr>
        <w:lastRenderedPageBreak/>
        <w:t>Finalmente, resulta importante añadir que, de acuerdo con la Corte Constitucional [62]</w:t>
      </w:r>
      <w:r w:rsidRPr="003253B1">
        <w:rPr>
          <w:rStyle w:val="Refdenotaalpie"/>
          <w:rFonts w:ascii="Arial" w:hAnsi="Arial" w:cs="Arial"/>
          <w:sz w:val="21"/>
          <w:szCs w:val="21"/>
        </w:rPr>
        <w:footnoteReference w:id="16"/>
      </w:r>
      <w:r w:rsidRPr="003253B1">
        <w:rPr>
          <w:rFonts w:ascii="Arial" w:hAnsi="Arial" w:cs="Arial"/>
          <w:sz w:val="21"/>
          <w:szCs w:val="21"/>
        </w:rPr>
        <w:t xml:space="preserve">, la reserva a la que se refiere la causal legal de contratación directa en cuestión [refiriéndose al </w:t>
      </w:r>
      <w:r w:rsidRPr="003253B1">
        <w:rPr>
          <w:rFonts w:ascii="Arial" w:eastAsia="Calibri" w:hAnsi="Arial" w:cs="Arial"/>
          <w:color w:val="000000"/>
          <w:sz w:val="21"/>
          <w:szCs w:val="21"/>
          <w:lang w:val="es-ES_tradnl" w:eastAsia="en-GB"/>
        </w:rPr>
        <w:t xml:space="preserve">literal d), numeral 4, del artículo 2 de la Ley 1150 de 2007] </w:t>
      </w:r>
      <w:r w:rsidRPr="003253B1">
        <w:rPr>
          <w:rFonts w:ascii="Arial" w:hAnsi="Arial" w:cs="Arial"/>
          <w:sz w:val="21"/>
          <w:szCs w:val="21"/>
        </w:rPr>
        <w:t>no constituye una fórmula abierta que cobije cualquier información concerniente a los contratos suscritos al amparo de la misma y, de conformidad con el pleno de la Sección Tercera del Consejo de Estado [63]</w:t>
      </w:r>
      <w:r w:rsidRPr="003253B1">
        <w:rPr>
          <w:rStyle w:val="Refdenotaalpie"/>
          <w:rFonts w:ascii="Arial" w:hAnsi="Arial" w:cs="Arial"/>
          <w:sz w:val="21"/>
          <w:szCs w:val="21"/>
        </w:rPr>
        <w:footnoteReference w:id="17"/>
      </w:r>
      <w:r w:rsidRPr="003253B1">
        <w:rPr>
          <w:rFonts w:ascii="Arial" w:hAnsi="Arial" w:cs="Arial"/>
          <w:sz w:val="21"/>
          <w:szCs w:val="21"/>
        </w:rPr>
        <w:t>, la determinación precisa y clara de su contenido implica un reenvío a las normas de orden legal que establecen los eventos en que, por causa de la defensa y seguridad nacional, debe reservarse la información contractual que corresponda, sin perjuicio de las justificaciones que deban hacer constar los funcionarios públicos encargados del trámite contractual correspondiente. (Corchetes fuera del original).</w:t>
      </w:r>
    </w:p>
    <w:p w14:paraId="54AD187E" w14:textId="77777777" w:rsidR="00BC1F25" w:rsidRPr="003253B1" w:rsidRDefault="00BC1F25" w:rsidP="00BC1F25">
      <w:pPr>
        <w:tabs>
          <w:tab w:val="left" w:pos="426"/>
        </w:tabs>
        <w:spacing w:line="276" w:lineRule="auto"/>
        <w:jc w:val="both"/>
        <w:rPr>
          <w:rFonts w:ascii="Arial" w:eastAsia="Calibri" w:hAnsi="Arial" w:cs="Arial"/>
          <w:color w:val="000000"/>
          <w:sz w:val="22"/>
          <w:lang w:val="es-ES_tradnl" w:eastAsia="en-GB"/>
        </w:rPr>
      </w:pPr>
    </w:p>
    <w:p w14:paraId="0F917E08" w14:textId="5A093E6E" w:rsidR="00BC1F25" w:rsidRPr="003253B1" w:rsidRDefault="00BC1F25" w:rsidP="00BC1F25">
      <w:pPr>
        <w:tabs>
          <w:tab w:val="left" w:pos="709"/>
        </w:tabs>
        <w:spacing w:line="276" w:lineRule="auto"/>
        <w:jc w:val="both"/>
        <w:rPr>
          <w:rFonts w:ascii="Arial" w:eastAsia="Calibri" w:hAnsi="Arial" w:cs="Arial"/>
          <w:color w:val="000000"/>
          <w:sz w:val="22"/>
          <w:lang w:val="es-ES_tradnl" w:eastAsia="en-GB"/>
        </w:rPr>
      </w:pPr>
      <w:r w:rsidRPr="003253B1">
        <w:rPr>
          <w:rFonts w:ascii="Arial" w:eastAsia="Calibri" w:hAnsi="Arial" w:cs="Arial"/>
          <w:color w:val="000000"/>
          <w:sz w:val="22"/>
          <w:lang w:val="es-ES_tradnl" w:eastAsia="en-GB"/>
        </w:rPr>
        <w:tab/>
      </w:r>
      <w:r>
        <w:rPr>
          <w:rFonts w:ascii="Arial" w:eastAsia="Calibri" w:hAnsi="Arial" w:cs="Arial"/>
          <w:color w:val="000000"/>
          <w:sz w:val="22"/>
          <w:lang w:val="es-ES_tradnl" w:eastAsia="en-GB"/>
        </w:rPr>
        <w:t>En las líneas anteriores el</w:t>
      </w:r>
      <w:r w:rsidRPr="003253B1">
        <w:rPr>
          <w:rFonts w:ascii="Arial" w:eastAsia="Calibri" w:hAnsi="Arial" w:cs="Arial"/>
          <w:color w:val="000000"/>
          <w:sz w:val="22"/>
          <w:lang w:val="es-ES_tradnl" w:eastAsia="en-GB"/>
        </w:rPr>
        <w:t xml:space="preserve"> Consejo de Estado armoniza la regulación en materia contractual con el esquema legal en materia de reserva de información pública</w:t>
      </w:r>
      <w:r>
        <w:rPr>
          <w:rFonts w:ascii="Arial" w:eastAsia="Calibri" w:hAnsi="Arial" w:cs="Arial"/>
          <w:color w:val="000000"/>
          <w:sz w:val="22"/>
          <w:lang w:val="es-ES_tradnl" w:eastAsia="en-GB"/>
        </w:rPr>
        <w:t xml:space="preserve">. </w:t>
      </w:r>
      <w:r w:rsidR="00692641">
        <w:rPr>
          <w:rFonts w:ascii="Arial" w:eastAsia="Calibri" w:hAnsi="Arial" w:cs="Arial"/>
          <w:color w:val="000000"/>
          <w:sz w:val="22"/>
          <w:lang w:val="es-ES_tradnl" w:eastAsia="en-GB"/>
        </w:rPr>
        <w:t>D</w:t>
      </w:r>
      <w:r>
        <w:rPr>
          <w:rFonts w:ascii="Arial" w:eastAsia="Calibri" w:hAnsi="Arial" w:cs="Arial"/>
          <w:color w:val="000000"/>
          <w:sz w:val="22"/>
          <w:lang w:val="es-ES_tradnl" w:eastAsia="en-GB"/>
        </w:rPr>
        <w:t>icha argumentación</w:t>
      </w:r>
      <w:r w:rsidR="00692641">
        <w:rPr>
          <w:rFonts w:ascii="Arial" w:eastAsia="Calibri" w:hAnsi="Arial" w:cs="Arial"/>
          <w:color w:val="000000"/>
          <w:sz w:val="22"/>
          <w:lang w:val="es-ES_tradnl" w:eastAsia="en-GB"/>
        </w:rPr>
        <w:t xml:space="preserve"> se reitera</w:t>
      </w:r>
      <w:r>
        <w:rPr>
          <w:rFonts w:ascii="Arial" w:eastAsia="Calibri" w:hAnsi="Arial" w:cs="Arial"/>
          <w:color w:val="000000"/>
          <w:sz w:val="22"/>
          <w:lang w:val="es-ES_tradnl" w:eastAsia="en-GB"/>
        </w:rPr>
        <w:t xml:space="preserve">, en la misma providencia, </w:t>
      </w:r>
      <w:r w:rsidRPr="003253B1">
        <w:rPr>
          <w:rFonts w:ascii="Arial" w:eastAsia="Calibri" w:hAnsi="Arial" w:cs="Arial"/>
          <w:color w:val="000000"/>
          <w:sz w:val="22"/>
          <w:lang w:val="es-ES_tradnl" w:eastAsia="en-GB"/>
        </w:rPr>
        <w:t>al decidir sobre la legalidad del artículo 78 del Decreto 1510 de 2013, compilado actualmente en el artículo 2.2.1.2.1.4.6. del Decreto 1082 de 2015</w:t>
      </w:r>
      <w:r>
        <w:rPr>
          <w:rFonts w:ascii="Arial" w:eastAsia="Calibri" w:hAnsi="Arial" w:cs="Arial"/>
          <w:color w:val="000000"/>
          <w:sz w:val="22"/>
          <w:lang w:val="es-ES_tradnl" w:eastAsia="en-GB"/>
        </w:rPr>
        <w:t>,</w:t>
      </w:r>
      <w:r w:rsidRPr="003253B1">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reiteró la anterior argumentación precisando que</w:t>
      </w:r>
      <w:r w:rsidRPr="003253B1">
        <w:rPr>
          <w:rFonts w:ascii="Arial" w:eastAsia="Calibri" w:hAnsi="Arial" w:cs="Arial"/>
          <w:color w:val="000000"/>
          <w:sz w:val="22"/>
          <w:lang w:val="es-ES_tradnl" w:eastAsia="en-GB"/>
        </w:rPr>
        <w:t>:</w:t>
      </w:r>
    </w:p>
    <w:p w14:paraId="5B9CADBB" w14:textId="77777777" w:rsidR="00BC1F25" w:rsidRPr="003253B1" w:rsidRDefault="00BC1F25" w:rsidP="00BC1F25">
      <w:pPr>
        <w:tabs>
          <w:tab w:val="left" w:pos="426"/>
        </w:tabs>
        <w:spacing w:line="276" w:lineRule="auto"/>
        <w:jc w:val="both"/>
        <w:rPr>
          <w:rFonts w:ascii="Arial" w:eastAsia="Calibri" w:hAnsi="Arial" w:cs="Arial"/>
          <w:color w:val="000000"/>
          <w:sz w:val="22"/>
          <w:lang w:val="es-ES_tradnl" w:eastAsia="en-GB"/>
        </w:rPr>
      </w:pPr>
    </w:p>
    <w:p w14:paraId="24C1BAF3" w14:textId="77777777" w:rsidR="00BC1F25" w:rsidRPr="003253B1" w:rsidRDefault="00BC1F25" w:rsidP="00BC1F25">
      <w:pPr>
        <w:tabs>
          <w:tab w:val="left" w:pos="426"/>
        </w:tabs>
        <w:spacing w:after="120"/>
        <w:ind w:left="709" w:right="709"/>
        <w:jc w:val="both"/>
        <w:rPr>
          <w:rFonts w:ascii="Arial" w:hAnsi="Arial" w:cs="Arial"/>
          <w:sz w:val="21"/>
          <w:szCs w:val="21"/>
        </w:rPr>
      </w:pPr>
      <w:r w:rsidRPr="003253B1">
        <w:rPr>
          <w:rFonts w:ascii="Arial" w:hAnsi="Arial" w:cs="Arial"/>
          <w:sz w:val="21"/>
          <w:szCs w:val="21"/>
        </w:rPr>
        <w:t xml:space="preserve">En este punto es preciso advertir que para el caso de lo establecido en la letra d) del número 4 del artículo 2 de la Ley 1150 de 2007, debe entenderse la existencia de un reenvío a las normas de orden legal que establecen los eventos </w:t>
      </w:r>
      <w:r w:rsidRPr="003253B1">
        <w:rPr>
          <w:rFonts w:ascii="Arial" w:hAnsi="Arial" w:cs="Arial"/>
          <w:sz w:val="21"/>
          <w:szCs w:val="21"/>
        </w:rPr>
        <w:lastRenderedPageBreak/>
        <w:t>en que por causa de la protección de derechos fundamentales o bienes constitucionales debe reservarse la información contractual que corresponda.</w:t>
      </w:r>
    </w:p>
    <w:p w14:paraId="372DB1DA" w14:textId="77777777" w:rsidR="00BC1F25" w:rsidRPr="003253B1" w:rsidRDefault="00BC1F25" w:rsidP="00BC1F25">
      <w:pPr>
        <w:tabs>
          <w:tab w:val="left" w:pos="426"/>
        </w:tabs>
        <w:spacing w:after="120"/>
        <w:ind w:left="709" w:right="709"/>
        <w:jc w:val="both"/>
        <w:rPr>
          <w:rFonts w:ascii="Arial" w:hAnsi="Arial" w:cs="Arial"/>
          <w:sz w:val="21"/>
          <w:szCs w:val="21"/>
        </w:rPr>
      </w:pPr>
      <w:r w:rsidRPr="003253B1">
        <w:rPr>
          <w:rFonts w:ascii="Arial" w:hAnsi="Arial" w:cs="Arial"/>
          <w:sz w:val="21"/>
          <w:szCs w:val="21"/>
        </w:rPr>
        <w:t xml:space="preserve">Lo anterior no quiere desconocer que la decisión de una entidad que decida no entregar determinada información, soportándose en la reserva legal, debe suponer la aplicación de normas de rango constitucional o legal que la consagran y cuyo correcto ejercicio dependerá de la adecuada motivación de dicha decisión. En otras palabras, aunque las normas que consagran la reserva legal implican un ejercicio reglado de funciones en cuanto concierne con la limitación en el acceso a determinado tipo de información, en últimas son los servidores públicos los responsables de asegurar que dicha limitación sea aplicada de forma restrictiva y sin hacerla extensiva a supuestos no previstos por el legislador. </w:t>
      </w:r>
    </w:p>
    <w:p w14:paraId="6F0CCD29" w14:textId="77777777" w:rsidR="00BC1F25" w:rsidRPr="003253B1" w:rsidRDefault="00BC1F25" w:rsidP="00BC1F25">
      <w:pPr>
        <w:tabs>
          <w:tab w:val="left" w:pos="426"/>
        </w:tabs>
        <w:ind w:left="709" w:right="709"/>
        <w:jc w:val="both"/>
        <w:rPr>
          <w:rFonts w:ascii="Arial" w:hAnsi="Arial" w:cs="Arial"/>
          <w:sz w:val="21"/>
          <w:szCs w:val="21"/>
        </w:rPr>
      </w:pPr>
      <w:r w:rsidRPr="003253B1">
        <w:rPr>
          <w:rFonts w:ascii="Arial" w:hAnsi="Arial" w:cs="Arial"/>
          <w:sz w:val="21"/>
          <w:szCs w:val="21"/>
        </w:rPr>
        <w:t>En definitiva, dado que le corresponde al legislador y no al Gobierno Nacional determinar las limitaciones al acceso de la información concerniente a los bienes y servicios que adquieran las entidades estatales al amparo del literal d) del numeral 4 del artículo 2 de la Ley 1150 de 2007, el inciso segundo y las 20 categorías del artículo 78 del Decreto 1510 de 2013 comportan una extralimitación en el ejercicio de la función reglamentaria e invaden la órbita competencial del Congreso de la República, por lo cual resulta menester expulsarla del ordenamiento jurídico declarando su nulidad.</w:t>
      </w:r>
    </w:p>
    <w:p w14:paraId="59279D59" w14:textId="77777777" w:rsidR="00BC1F25" w:rsidRPr="003253B1" w:rsidRDefault="00BC1F25" w:rsidP="00BC1F25">
      <w:pPr>
        <w:tabs>
          <w:tab w:val="left" w:pos="426"/>
        </w:tabs>
        <w:ind w:right="709"/>
        <w:jc w:val="both"/>
        <w:rPr>
          <w:rFonts w:ascii="Arial" w:hAnsi="Arial" w:cs="Arial"/>
          <w:sz w:val="21"/>
          <w:szCs w:val="21"/>
        </w:rPr>
      </w:pPr>
    </w:p>
    <w:p w14:paraId="1D7E1A5C" w14:textId="696B04DB" w:rsidR="00120884" w:rsidRPr="00866DAE" w:rsidRDefault="00120884" w:rsidP="00120884">
      <w:pPr>
        <w:tabs>
          <w:tab w:val="left" w:pos="426"/>
        </w:tabs>
        <w:spacing w:line="276" w:lineRule="auto"/>
        <w:ind w:firstLine="709"/>
        <w:jc w:val="both"/>
        <w:rPr>
          <w:rFonts w:ascii="Arial" w:hAnsi="Arial" w:cs="Arial"/>
          <w:sz w:val="22"/>
        </w:rPr>
      </w:pPr>
      <w:r w:rsidRPr="00866DAE">
        <w:rPr>
          <w:rFonts w:ascii="Arial" w:hAnsi="Arial" w:cs="Arial"/>
          <w:sz w:val="22"/>
        </w:rPr>
        <w:t>De tal manera, de acuerdo con el pronunciamiento anterior se declaró la nulidad del inciso segundo del artículo 78 del Decreto 1510 de 2013 y los 20 numeral</w:t>
      </w:r>
      <w:r w:rsidR="00CE06EF" w:rsidRPr="00866DAE">
        <w:rPr>
          <w:rFonts w:ascii="Arial" w:hAnsi="Arial" w:cs="Arial"/>
          <w:sz w:val="22"/>
        </w:rPr>
        <w:t>es</w:t>
      </w:r>
      <w:r w:rsidRPr="00866DAE">
        <w:rPr>
          <w:rFonts w:ascii="Arial" w:hAnsi="Arial" w:cs="Arial"/>
          <w:sz w:val="22"/>
        </w:rPr>
        <w:t xml:space="preserve"> que contenía dicho artículo, conservándose únicamente el inciso primero de dicha disposición, compilada actualmente en el artículo 2.2.1.2.1.4.6. del Decreto 1082 de 2015, estableciéndose la facultad de no publicar los documentos del proceso de contratación, esto es, manteniéndose la reserva de información aplicable a la causal de contratación directa que reglamenta este artículo en los siguientes términos: </w:t>
      </w:r>
    </w:p>
    <w:p w14:paraId="09C5F160" w14:textId="77777777" w:rsidR="00120884" w:rsidRPr="00866DAE" w:rsidRDefault="00120884" w:rsidP="00120884">
      <w:pPr>
        <w:tabs>
          <w:tab w:val="left" w:pos="426"/>
        </w:tabs>
        <w:ind w:left="709" w:right="709"/>
        <w:jc w:val="both"/>
        <w:rPr>
          <w:rFonts w:ascii="Arial" w:hAnsi="Arial" w:cs="Arial"/>
          <w:sz w:val="21"/>
          <w:szCs w:val="21"/>
        </w:rPr>
      </w:pPr>
    </w:p>
    <w:p w14:paraId="09C99AF6" w14:textId="77777777" w:rsidR="00120884" w:rsidRPr="00724F92" w:rsidRDefault="00120884" w:rsidP="00120884">
      <w:pPr>
        <w:tabs>
          <w:tab w:val="left" w:pos="426"/>
        </w:tabs>
        <w:ind w:left="709" w:right="709"/>
        <w:jc w:val="both"/>
        <w:rPr>
          <w:rFonts w:ascii="Arial" w:hAnsi="Arial" w:cs="Arial"/>
          <w:sz w:val="21"/>
          <w:szCs w:val="21"/>
        </w:rPr>
      </w:pPr>
      <w:r w:rsidRPr="00866DAE">
        <w:rPr>
          <w:rFonts w:ascii="Arial" w:hAnsi="Arial" w:cs="Arial"/>
          <w:sz w:val="21"/>
          <w:szCs w:val="21"/>
        </w:rPr>
        <w:t>Artículo 2.2.1.2.1.4.6. Contratación de Bienes y Servicios en el Sector Defensa, la Dirección Nacional de Inteligencia y la Unidad Nacional de Protección que necesiten reserva para su adquisición.</w:t>
      </w:r>
      <w:r w:rsidRPr="00866DAE">
        <w:rPr>
          <w:sz w:val="21"/>
          <w:szCs w:val="21"/>
        </w:rPr>
        <w:t> </w:t>
      </w:r>
      <w:r w:rsidRPr="00866DAE">
        <w:rPr>
          <w:rFonts w:ascii="Arial" w:hAnsi="Arial" w:cs="Arial"/>
          <w:sz w:val="21"/>
          <w:szCs w:val="21"/>
        </w:rPr>
        <w:t>Las Entidades Estatales no están obligadas a publicar los Documentos del Proceso para adquirir bienes y servicios en el Sector Defensa, la Dirección Nacional de Inteligencia y la Unidad Nacional de Protección que requieren reserva. En estos procesos de contratación la adquisición debe hacerse en condiciones de mercado sin que sea necesario recibir varias ofertas.</w:t>
      </w:r>
    </w:p>
    <w:p w14:paraId="608DA7D8" w14:textId="77777777" w:rsidR="00120884" w:rsidRDefault="00120884" w:rsidP="00120884">
      <w:pPr>
        <w:tabs>
          <w:tab w:val="left" w:pos="426"/>
        </w:tabs>
        <w:spacing w:line="276" w:lineRule="auto"/>
        <w:ind w:firstLine="709"/>
        <w:jc w:val="both"/>
        <w:rPr>
          <w:rFonts w:ascii="Arial" w:hAnsi="Arial" w:cs="Arial"/>
          <w:sz w:val="22"/>
        </w:rPr>
      </w:pPr>
    </w:p>
    <w:p w14:paraId="5FCC381F" w14:textId="61BDD5DA" w:rsidR="00BC1F25" w:rsidRPr="003253B1" w:rsidRDefault="00BC1F25" w:rsidP="00BC1F25">
      <w:pPr>
        <w:tabs>
          <w:tab w:val="left" w:pos="426"/>
        </w:tabs>
        <w:spacing w:after="120" w:line="276" w:lineRule="auto"/>
        <w:ind w:firstLine="709"/>
        <w:jc w:val="both"/>
        <w:rPr>
          <w:rFonts w:ascii="Arial" w:hAnsi="Arial" w:cs="Arial"/>
          <w:sz w:val="22"/>
        </w:rPr>
      </w:pPr>
      <w:r>
        <w:rPr>
          <w:rFonts w:ascii="Arial" w:hAnsi="Arial" w:cs="Arial"/>
          <w:sz w:val="22"/>
        </w:rPr>
        <w:t>Así las cosas</w:t>
      </w:r>
      <w:r w:rsidRPr="003253B1">
        <w:rPr>
          <w:rFonts w:ascii="Arial" w:hAnsi="Arial" w:cs="Arial"/>
          <w:sz w:val="22"/>
        </w:rPr>
        <w:t>, de conformidad con las demás consideraciones expuestas en este concepto, cabe reiterar la idea en que se ha insistido de forma recurrente,</w:t>
      </w:r>
      <w:r>
        <w:rPr>
          <w:rFonts w:ascii="Arial" w:hAnsi="Arial" w:cs="Arial"/>
          <w:sz w:val="22"/>
        </w:rPr>
        <w:t xml:space="preserve"> en el sentido de que</w:t>
      </w:r>
      <w:r w:rsidRPr="003253B1">
        <w:rPr>
          <w:rFonts w:ascii="Arial" w:hAnsi="Arial" w:cs="Arial"/>
          <w:sz w:val="22"/>
        </w:rPr>
        <w:t xml:space="preserve"> la definición de las reservas de información pública es un asunto reservado al constituyente y al legislador. Además, </w:t>
      </w:r>
      <w:r w:rsidR="008B0B64">
        <w:rPr>
          <w:rFonts w:ascii="Arial" w:hAnsi="Arial" w:cs="Arial"/>
          <w:sz w:val="22"/>
        </w:rPr>
        <w:t xml:space="preserve">y esto es bastante relevante para la consulta del peticionario, </w:t>
      </w:r>
      <w:r w:rsidRPr="003253B1">
        <w:rPr>
          <w:rFonts w:ascii="Arial" w:hAnsi="Arial" w:cs="Arial"/>
          <w:sz w:val="22"/>
        </w:rPr>
        <w:t>en desarrollo de cualquier proceso contractual, independientemente de la modalidad de selección</w:t>
      </w:r>
      <w:r w:rsidR="0018706D">
        <w:rPr>
          <w:rFonts w:ascii="Arial" w:hAnsi="Arial" w:cs="Arial"/>
          <w:sz w:val="22"/>
        </w:rPr>
        <w:t xml:space="preserve"> del contratista</w:t>
      </w:r>
      <w:r w:rsidRPr="003253B1">
        <w:rPr>
          <w:rFonts w:ascii="Arial" w:hAnsi="Arial" w:cs="Arial"/>
          <w:sz w:val="22"/>
        </w:rPr>
        <w:t xml:space="preserve">, es posible que los documentos del proceso </w:t>
      </w:r>
      <w:r w:rsidRPr="003253B1">
        <w:rPr>
          <w:rFonts w:ascii="Arial" w:hAnsi="Arial" w:cs="Arial"/>
          <w:sz w:val="22"/>
        </w:rPr>
        <w:lastRenderedPageBreak/>
        <w:t xml:space="preserve">contengan información sometida a reserva, de acuerdo con las causales establecidas en la Constitución o en la ley, de manera que con fundamento en ellas </w:t>
      </w:r>
      <w:r w:rsidR="00B53CB0">
        <w:rPr>
          <w:rFonts w:ascii="Arial" w:hAnsi="Arial" w:cs="Arial"/>
          <w:sz w:val="22"/>
        </w:rPr>
        <w:t>se debe determinar</w:t>
      </w:r>
      <w:r w:rsidRPr="003253B1">
        <w:rPr>
          <w:rFonts w:ascii="Arial" w:hAnsi="Arial" w:cs="Arial"/>
          <w:sz w:val="22"/>
        </w:rPr>
        <w:t xml:space="preserve"> </w:t>
      </w:r>
      <w:r w:rsidR="00B53CB0">
        <w:rPr>
          <w:rFonts w:ascii="Arial" w:hAnsi="Arial" w:cs="Arial"/>
          <w:sz w:val="22"/>
        </w:rPr>
        <w:t>si cierta</w:t>
      </w:r>
      <w:r w:rsidRPr="003253B1">
        <w:rPr>
          <w:rFonts w:ascii="Arial" w:hAnsi="Arial" w:cs="Arial"/>
          <w:sz w:val="22"/>
        </w:rPr>
        <w:t xml:space="preserve"> información</w:t>
      </w:r>
      <w:r>
        <w:rPr>
          <w:rFonts w:ascii="Arial" w:hAnsi="Arial" w:cs="Arial"/>
          <w:sz w:val="22"/>
        </w:rPr>
        <w:t>,</w:t>
      </w:r>
      <w:r w:rsidRPr="003253B1">
        <w:rPr>
          <w:rFonts w:ascii="Arial" w:hAnsi="Arial" w:cs="Arial"/>
          <w:sz w:val="22"/>
        </w:rPr>
        <w:t xml:space="preserve"> documento </w:t>
      </w:r>
      <w:r>
        <w:rPr>
          <w:rFonts w:ascii="Arial" w:hAnsi="Arial" w:cs="Arial"/>
          <w:sz w:val="22"/>
        </w:rPr>
        <w:t xml:space="preserve">o documentos del procesos </w:t>
      </w:r>
      <w:r w:rsidRPr="003253B1">
        <w:rPr>
          <w:rFonts w:ascii="Arial" w:hAnsi="Arial" w:cs="Arial"/>
          <w:sz w:val="22"/>
        </w:rPr>
        <w:t>está</w:t>
      </w:r>
      <w:r>
        <w:rPr>
          <w:rFonts w:ascii="Arial" w:hAnsi="Arial" w:cs="Arial"/>
          <w:sz w:val="22"/>
        </w:rPr>
        <w:t>n</w:t>
      </w:r>
      <w:r w:rsidRPr="003253B1">
        <w:rPr>
          <w:rFonts w:ascii="Arial" w:hAnsi="Arial" w:cs="Arial"/>
          <w:sz w:val="22"/>
        </w:rPr>
        <w:t xml:space="preserve"> sometido</w:t>
      </w:r>
      <w:r>
        <w:rPr>
          <w:rFonts w:ascii="Arial" w:hAnsi="Arial" w:cs="Arial"/>
          <w:sz w:val="22"/>
        </w:rPr>
        <w:t>s</w:t>
      </w:r>
      <w:r w:rsidRPr="003253B1">
        <w:rPr>
          <w:rFonts w:ascii="Arial" w:hAnsi="Arial" w:cs="Arial"/>
          <w:sz w:val="22"/>
        </w:rPr>
        <w:t xml:space="preserve"> a reserva, caso en el cual est</w:t>
      </w:r>
      <w:r>
        <w:rPr>
          <w:rFonts w:ascii="Arial" w:hAnsi="Arial" w:cs="Arial"/>
          <w:sz w:val="22"/>
        </w:rPr>
        <w:t>os</w:t>
      </w:r>
      <w:r w:rsidRPr="003253B1">
        <w:rPr>
          <w:rFonts w:ascii="Arial" w:hAnsi="Arial" w:cs="Arial"/>
          <w:sz w:val="22"/>
        </w:rPr>
        <w:t xml:space="preserve"> no debe</w:t>
      </w:r>
      <w:r>
        <w:rPr>
          <w:rFonts w:ascii="Arial" w:hAnsi="Arial" w:cs="Arial"/>
          <w:sz w:val="22"/>
        </w:rPr>
        <w:t>rán</w:t>
      </w:r>
      <w:r w:rsidRPr="003253B1">
        <w:rPr>
          <w:rFonts w:ascii="Arial" w:hAnsi="Arial" w:cs="Arial"/>
          <w:sz w:val="22"/>
        </w:rPr>
        <w:t xml:space="preserve"> publica</w:t>
      </w:r>
      <w:r>
        <w:rPr>
          <w:rFonts w:ascii="Arial" w:hAnsi="Arial" w:cs="Arial"/>
          <w:sz w:val="22"/>
        </w:rPr>
        <w:t>rse</w:t>
      </w:r>
      <w:r w:rsidRPr="003253B1">
        <w:rPr>
          <w:rFonts w:ascii="Arial" w:hAnsi="Arial" w:cs="Arial"/>
          <w:sz w:val="22"/>
        </w:rPr>
        <w:t xml:space="preserve"> en el SECOP.</w:t>
      </w:r>
    </w:p>
    <w:p w14:paraId="4F5D21F3" w14:textId="7E161D39" w:rsidR="00BC1F25" w:rsidRPr="003253B1" w:rsidRDefault="00BC1F25" w:rsidP="00BC1F25">
      <w:pPr>
        <w:tabs>
          <w:tab w:val="left" w:pos="426"/>
        </w:tabs>
        <w:spacing w:after="120" w:line="276" w:lineRule="auto"/>
        <w:ind w:firstLine="709"/>
        <w:jc w:val="both"/>
        <w:rPr>
          <w:rFonts w:ascii="Arial" w:hAnsi="Arial" w:cs="Arial"/>
          <w:sz w:val="22"/>
        </w:rPr>
      </w:pPr>
      <w:r w:rsidRPr="003253B1">
        <w:rPr>
          <w:rFonts w:ascii="Arial" w:hAnsi="Arial" w:cs="Arial"/>
          <w:sz w:val="22"/>
        </w:rPr>
        <w:t xml:space="preserve">De esta manera, </w:t>
      </w:r>
      <w:r w:rsidR="00B53CAA">
        <w:rPr>
          <w:rFonts w:ascii="Arial" w:hAnsi="Arial" w:cs="Arial"/>
          <w:sz w:val="22"/>
        </w:rPr>
        <w:t>como lo expresó esta Agencia en el concepto C-289 del 10 de mayo de 2021</w:t>
      </w:r>
      <w:r>
        <w:rPr>
          <w:rFonts w:ascii="Arial" w:hAnsi="Arial" w:cs="Arial"/>
          <w:sz w:val="22"/>
        </w:rPr>
        <w:t xml:space="preserve">, </w:t>
      </w:r>
      <w:r w:rsidRPr="003253B1">
        <w:rPr>
          <w:rFonts w:ascii="Arial" w:hAnsi="Arial" w:cs="Arial"/>
          <w:sz w:val="22"/>
        </w:rPr>
        <w:t xml:space="preserve">en desarrollo de un proceso de selección adelantado </w:t>
      </w:r>
      <w:r w:rsidR="00FA5A74">
        <w:rPr>
          <w:rFonts w:ascii="Arial" w:hAnsi="Arial" w:cs="Arial"/>
          <w:sz w:val="22"/>
        </w:rPr>
        <w:t>para adquirir un inmueble</w:t>
      </w:r>
      <w:r w:rsidR="00490654">
        <w:rPr>
          <w:rFonts w:ascii="Arial" w:hAnsi="Arial" w:cs="Arial"/>
          <w:sz w:val="22"/>
        </w:rPr>
        <w:t>,</w:t>
      </w:r>
      <w:r w:rsidR="00FA5A74">
        <w:rPr>
          <w:rFonts w:ascii="Arial" w:hAnsi="Arial" w:cs="Arial"/>
          <w:sz w:val="22"/>
        </w:rPr>
        <w:t xml:space="preserve"> </w:t>
      </w:r>
      <w:r w:rsidR="007843B3">
        <w:rPr>
          <w:rFonts w:ascii="Arial" w:hAnsi="Arial" w:cs="Arial"/>
          <w:sz w:val="22"/>
        </w:rPr>
        <w:t>en virtud de la modalidad de contratación directa</w:t>
      </w:r>
      <w:r w:rsidR="00490654">
        <w:rPr>
          <w:rFonts w:ascii="Arial" w:hAnsi="Arial" w:cs="Arial"/>
          <w:sz w:val="22"/>
        </w:rPr>
        <w:t>,</w:t>
      </w:r>
      <w:r w:rsidR="00113ED9">
        <w:rPr>
          <w:rFonts w:ascii="Arial" w:hAnsi="Arial" w:cs="Arial"/>
          <w:sz w:val="22"/>
        </w:rPr>
        <w:t xml:space="preserve"> para la defensa y seguridad nacional</w:t>
      </w:r>
      <w:r w:rsidR="00490654">
        <w:rPr>
          <w:rFonts w:ascii="Arial" w:hAnsi="Arial" w:cs="Arial"/>
          <w:sz w:val="22"/>
        </w:rPr>
        <w:t>,</w:t>
      </w:r>
      <w:r w:rsidR="007B2C2E">
        <w:rPr>
          <w:rFonts w:ascii="Arial" w:hAnsi="Arial" w:cs="Arial"/>
          <w:sz w:val="22"/>
        </w:rPr>
        <w:t xml:space="preserve"> que necesite reserva para su adquisición</w:t>
      </w:r>
      <w:r w:rsidR="00113ED9">
        <w:rPr>
          <w:rFonts w:ascii="Arial" w:hAnsi="Arial" w:cs="Arial"/>
          <w:sz w:val="22"/>
        </w:rPr>
        <w:t>,</w:t>
      </w:r>
      <w:r w:rsidRPr="003253B1">
        <w:rPr>
          <w:rFonts w:ascii="Arial" w:hAnsi="Arial" w:cs="Arial"/>
          <w:sz w:val="22"/>
        </w:rPr>
        <w:t xml:space="preserve"> los documentos del proceso</w:t>
      </w:r>
      <w:r>
        <w:rPr>
          <w:rFonts w:ascii="Arial" w:hAnsi="Arial" w:cs="Arial"/>
          <w:sz w:val="22"/>
        </w:rPr>
        <w:t xml:space="preserve"> que</w:t>
      </w:r>
      <w:r w:rsidRPr="003253B1">
        <w:rPr>
          <w:rFonts w:ascii="Arial" w:hAnsi="Arial" w:cs="Arial"/>
          <w:sz w:val="22"/>
        </w:rPr>
        <w:t xml:space="preserve"> contengan información reservada de acuerdo con alguna causal establecida en la Constitución o la ley</w:t>
      </w:r>
      <w:r>
        <w:rPr>
          <w:rFonts w:ascii="Arial" w:hAnsi="Arial" w:cs="Arial"/>
          <w:sz w:val="22"/>
        </w:rPr>
        <w:t xml:space="preserve"> no serán objeto de publicación en el SECOP. </w:t>
      </w:r>
      <w:r w:rsidR="00B53CB0">
        <w:rPr>
          <w:rFonts w:ascii="Arial" w:hAnsi="Arial" w:cs="Arial"/>
          <w:sz w:val="22"/>
        </w:rPr>
        <w:t>De esta manera</w:t>
      </w:r>
      <w:r>
        <w:rPr>
          <w:rFonts w:ascii="Arial" w:hAnsi="Arial" w:cs="Arial"/>
          <w:sz w:val="22"/>
        </w:rPr>
        <w:t xml:space="preserve">, </w:t>
      </w:r>
      <w:r w:rsidRPr="003253B1">
        <w:rPr>
          <w:rFonts w:ascii="Arial" w:hAnsi="Arial" w:cs="Arial"/>
          <w:sz w:val="22"/>
        </w:rPr>
        <w:t xml:space="preserve">el hecho de que el artículo 2.2.1.2.1.4.6. del Decreto 1082 de 2015, al desarrollar la causal de contratación directa del </w:t>
      </w:r>
      <w:r w:rsidRPr="003253B1">
        <w:rPr>
          <w:rFonts w:ascii="Arial" w:eastAsia="Calibri" w:hAnsi="Arial" w:cs="Arial"/>
          <w:color w:val="000000"/>
          <w:sz w:val="22"/>
          <w:lang w:val="es-ES_tradnl" w:eastAsia="en-GB"/>
        </w:rPr>
        <w:t>literal d), numeral 4, del artículo 2 de la Ley 1150 de 2007,</w:t>
      </w:r>
      <w:r w:rsidRPr="003253B1">
        <w:rPr>
          <w:rFonts w:ascii="Arial" w:hAnsi="Arial" w:cs="Arial"/>
          <w:sz w:val="22"/>
        </w:rPr>
        <w:t xml:space="preserve"> establezca que «Las Entidades Estatales no están obligadas a publicar los Documentos del Proceso para adquirir bienes y servicios en el Sector Defensa, la Dirección Nacional de Inteligencia y la Unidad Nacional de Protección que requieren reserva», </w:t>
      </w:r>
      <w:r>
        <w:rPr>
          <w:rFonts w:ascii="Arial" w:hAnsi="Arial" w:cs="Arial"/>
          <w:sz w:val="22"/>
        </w:rPr>
        <w:t>no implica desconocer que en los demás procedimientos de selección sean aplicables las reservas, en caso de que eventualmente resulten aplicables</w:t>
      </w:r>
      <w:r w:rsidR="00C07BCA">
        <w:rPr>
          <w:rFonts w:ascii="Arial" w:hAnsi="Arial" w:cs="Arial"/>
          <w:sz w:val="22"/>
        </w:rPr>
        <w:t xml:space="preserve"> por tener la documentación el carácter de reservada</w:t>
      </w:r>
      <w:r>
        <w:rPr>
          <w:rFonts w:ascii="Arial" w:hAnsi="Arial" w:cs="Arial"/>
          <w:sz w:val="22"/>
        </w:rPr>
        <w:t>.</w:t>
      </w:r>
      <w:r w:rsidRPr="003253B1">
        <w:rPr>
          <w:rFonts w:ascii="Arial" w:hAnsi="Arial" w:cs="Arial"/>
          <w:sz w:val="22"/>
        </w:rPr>
        <w:t xml:space="preserve"> </w:t>
      </w:r>
    </w:p>
    <w:p w14:paraId="42EC569F" w14:textId="5E64853C" w:rsidR="00BC1F25" w:rsidRDefault="00BC1F25" w:rsidP="00BB2061">
      <w:pPr>
        <w:tabs>
          <w:tab w:val="left" w:pos="426"/>
        </w:tabs>
        <w:spacing w:after="120" w:line="276" w:lineRule="auto"/>
        <w:ind w:firstLine="709"/>
        <w:jc w:val="both"/>
        <w:rPr>
          <w:rFonts w:ascii="Arial" w:hAnsi="Arial" w:cs="Arial"/>
          <w:sz w:val="22"/>
        </w:rPr>
      </w:pPr>
      <w:r w:rsidRPr="003253B1">
        <w:rPr>
          <w:rFonts w:ascii="Arial" w:hAnsi="Arial" w:cs="Arial"/>
          <w:sz w:val="22"/>
        </w:rPr>
        <w:t>En tal sentido, es posible que en cualquier procedimiento de selección se prescinda de publicar determinada información que esté reservada de acuerdo con la Constitución o la ley</w:t>
      </w:r>
      <w:r w:rsidR="00B53CB0">
        <w:rPr>
          <w:rFonts w:ascii="Arial" w:hAnsi="Arial" w:cs="Arial"/>
          <w:sz w:val="22"/>
        </w:rPr>
        <w:t xml:space="preserve">, por lo que frente a ella debe procederse como lo establece la Ley 1712 de 2014, esto es, cumpliendo todos los deberes establecidos en dicha ley, absteniéndose de publicar la información que esté sometida a alguna </w:t>
      </w:r>
      <w:r w:rsidR="00E47DA0">
        <w:rPr>
          <w:rFonts w:ascii="Arial" w:hAnsi="Arial" w:cs="Arial"/>
          <w:sz w:val="22"/>
        </w:rPr>
        <w:t>de las reservas indicadas</w:t>
      </w:r>
      <w:r w:rsidR="000852DC">
        <w:rPr>
          <w:rFonts w:ascii="Arial" w:hAnsi="Arial" w:cs="Arial"/>
          <w:sz w:val="22"/>
        </w:rPr>
        <w:t xml:space="preserve">, particularmente </w:t>
      </w:r>
      <w:r w:rsidR="00EB294A">
        <w:rPr>
          <w:rFonts w:ascii="Arial" w:hAnsi="Arial" w:cs="Arial"/>
          <w:sz w:val="22"/>
        </w:rPr>
        <w:t xml:space="preserve">en </w:t>
      </w:r>
      <w:r w:rsidR="000852DC">
        <w:rPr>
          <w:rFonts w:ascii="Arial" w:hAnsi="Arial" w:cs="Arial"/>
          <w:sz w:val="22"/>
        </w:rPr>
        <w:t>lo</w:t>
      </w:r>
      <w:r w:rsidR="00EB294A">
        <w:rPr>
          <w:rFonts w:ascii="Arial" w:hAnsi="Arial" w:cs="Arial"/>
          <w:sz w:val="22"/>
        </w:rPr>
        <w:t>s</w:t>
      </w:r>
      <w:r w:rsidR="000852DC">
        <w:rPr>
          <w:rFonts w:ascii="Arial" w:hAnsi="Arial" w:cs="Arial"/>
          <w:sz w:val="22"/>
        </w:rPr>
        <w:t xml:space="preserve"> </w:t>
      </w:r>
      <w:r w:rsidR="00EB294A">
        <w:rPr>
          <w:rFonts w:ascii="Arial" w:hAnsi="Arial" w:cs="Arial"/>
          <w:sz w:val="22"/>
        </w:rPr>
        <w:t>supuestos previstos en las</w:t>
      </w:r>
      <w:r w:rsidR="000852DC">
        <w:rPr>
          <w:rFonts w:ascii="Arial" w:hAnsi="Arial" w:cs="Arial"/>
          <w:sz w:val="22"/>
        </w:rPr>
        <w:t xml:space="preserve"> causales </w:t>
      </w:r>
      <w:r w:rsidR="00EB294A">
        <w:rPr>
          <w:rFonts w:ascii="Arial" w:hAnsi="Arial" w:cs="Arial"/>
          <w:sz w:val="22"/>
        </w:rPr>
        <w:t>d</w:t>
      </w:r>
      <w:r w:rsidR="000852DC">
        <w:rPr>
          <w:rFonts w:ascii="Arial" w:hAnsi="Arial" w:cs="Arial"/>
          <w:sz w:val="22"/>
        </w:rPr>
        <w:t>el artículo 19 de la Ley mencionada</w:t>
      </w:r>
      <w:r w:rsidR="00B53CB0">
        <w:rPr>
          <w:rFonts w:ascii="Arial" w:hAnsi="Arial" w:cs="Arial"/>
          <w:sz w:val="22"/>
        </w:rPr>
        <w:t xml:space="preserve">. </w:t>
      </w:r>
    </w:p>
    <w:p w14:paraId="77BE7943" w14:textId="26C07903" w:rsidR="00B53CAA" w:rsidRPr="003253B1" w:rsidRDefault="00B53CAA" w:rsidP="00BC1F25">
      <w:pPr>
        <w:tabs>
          <w:tab w:val="left" w:pos="426"/>
        </w:tabs>
        <w:spacing w:line="276" w:lineRule="auto"/>
        <w:ind w:firstLine="709"/>
        <w:jc w:val="both"/>
        <w:rPr>
          <w:rFonts w:ascii="Arial" w:eastAsia="Calibri" w:hAnsi="Arial" w:cs="Arial"/>
          <w:bCs/>
          <w:color w:val="000000" w:themeColor="text1"/>
          <w:sz w:val="22"/>
        </w:rPr>
      </w:pPr>
      <w:r>
        <w:rPr>
          <w:rFonts w:ascii="Arial" w:eastAsia="Calibri" w:hAnsi="Arial" w:cs="Arial"/>
          <w:bCs/>
          <w:color w:val="000000" w:themeColor="text1"/>
          <w:sz w:val="22"/>
        </w:rPr>
        <w:t xml:space="preserve">En este sentido, como se expresó </w:t>
      </w:r>
      <w:r>
        <w:rPr>
          <w:rFonts w:ascii="Arial" w:eastAsia="Calibri" w:hAnsi="Arial" w:cs="Arial"/>
          <w:color w:val="000000"/>
          <w:sz w:val="22"/>
          <w:lang w:val="es-ES_tradnl" w:eastAsia="en-GB"/>
        </w:rPr>
        <w:t xml:space="preserve">anteriormente, </w:t>
      </w:r>
      <w:r w:rsidRPr="003253B1">
        <w:rPr>
          <w:rFonts w:ascii="Arial" w:eastAsia="Calibri" w:hAnsi="Arial" w:cs="Arial"/>
          <w:color w:val="000000"/>
          <w:sz w:val="22"/>
          <w:lang w:val="es-ES_tradnl" w:eastAsia="en-GB"/>
        </w:rPr>
        <w:t>las Leyes estatutarias 1712 de 2014 y la 1755 de 2015 –que sustituyó los artículos 13 a 33 de la Ley 1437 de 2011– establecen reservas particulares de información pública, coincidiendo ambas en establecer la reserva relacionada con la «defensa y seguridad nacional»</w:t>
      </w:r>
      <w:r w:rsidRPr="003253B1">
        <w:rPr>
          <w:rStyle w:val="Refdenotaalpie"/>
          <w:rFonts w:ascii="Arial" w:eastAsia="Calibri" w:hAnsi="Arial" w:cs="Arial"/>
          <w:color w:val="000000"/>
          <w:sz w:val="22"/>
          <w:lang w:val="es-ES_tradnl" w:eastAsia="en-GB"/>
        </w:rPr>
        <w:footnoteReference w:id="18"/>
      </w:r>
      <w:r>
        <w:rPr>
          <w:rFonts w:ascii="Arial" w:eastAsia="Calibri" w:hAnsi="Arial" w:cs="Arial"/>
          <w:color w:val="000000"/>
          <w:sz w:val="22"/>
          <w:lang w:val="es-ES_tradnl" w:eastAsia="en-GB"/>
        </w:rPr>
        <w:t xml:space="preserve">. </w:t>
      </w:r>
      <w:r w:rsidR="0065072D">
        <w:rPr>
          <w:rFonts w:ascii="Arial" w:eastAsia="Calibri" w:hAnsi="Arial" w:cs="Arial"/>
          <w:color w:val="000000"/>
          <w:sz w:val="22"/>
          <w:lang w:val="es-ES_tradnl" w:eastAsia="en-GB"/>
        </w:rPr>
        <w:t xml:space="preserve">En este sentido, cuando la entidad estatal determine que la publicación de los documentos del proceso de contratación afecte la defensa y seguridad nacional, </w:t>
      </w:r>
      <w:r w:rsidR="000852DC">
        <w:rPr>
          <w:rFonts w:ascii="Arial" w:eastAsia="Calibri" w:hAnsi="Arial" w:cs="Arial"/>
          <w:color w:val="000000"/>
          <w:sz w:val="22"/>
          <w:lang w:val="es-ES_tradnl" w:eastAsia="en-GB"/>
        </w:rPr>
        <w:t xml:space="preserve">para lo cual puede apoyarse en conceptos </w:t>
      </w:r>
      <w:r w:rsidR="000852DC">
        <w:rPr>
          <w:rFonts w:ascii="Arial" w:eastAsia="Calibri" w:hAnsi="Arial" w:cs="Arial"/>
          <w:color w:val="000000"/>
          <w:sz w:val="22"/>
          <w:lang w:val="es-ES_tradnl" w:eastAsia="en-GB"/>
        </w:rPr>
        <w:lastRenderedPageBreak/>
        <w:t xml:space="preserve">especializados de entidades del sector, dichos documentos </w:t>
      </w:r>
      <w:r w:rsidR="00E160A1">
        <w:rPr>
          <w:rFonts w:ascii="Arial" w:eastAsia="Calibri" w:hAnsi="Arial" w:cs="Arial"/>
          <w:color w:val="000000"/>
          <w:sz w:val="22"/>
          <w:lang w:val="es-ES_tradnl" w:eastAsia="en-GB"/>
        </w:rPr>
        <w:t>no debe</w:t>
      </w:r>
      <w:r w:rsidR="000852DC">
        <w:rPr>
          <w:rFonts w:ascii="Arial" w:eastAsia="Calibri" w:hAnsi="Arial" w:cs="Arial"/>
          <w:color w:val="000000"/>
          <w:sz w:val="22"/>
          <w:lang w:val="es-ES_tradnl" w:eastAsia="en-GB"/>
        </w:rPr>
        <w:t>rá</w:t>
      </w:r>
      <w:r w:rsidR="00E160A1">
        <w:rPr>
          <w:rFonts w:ascii="Arial" w:eastAsia="Calibri" w:hAnsi="Arial" w:cs="Arial"/>
          <w:color w:val="000000"/>
          <w:sz w:val="22"/>
          <w:lang w:val="es-ES_tradnl" w:eastAsia="en-GB"/>
        </w:rPr>
        <w:t>n publicarse en el SECOP, de manera que se proteja la reserva de la información, absteniéndose de publicar</w:t>
      </w:r>
      <w:r w:rsidR="000852DC">
        <w:rPr>
          <w:rFonts w:ascii="Arial" w:eastAsia="Calibri" w:hAnsi="Arial" w:cs="Arial"/>
          <w:color w:val="000000"/>
          <w:sz w:val="22"/>
          <w:lang w:val="es-ES_tradnl" w:eastAsia="en-GB"/>
        </w:rPr>
        <w:t xml:space="preserve"> esos</w:t>
      </w:r>
      <w:r w:rsidR="00E160A1">
        <w:rPr>
          <w:rFonts w:ascii="Arial" w:eastAsia="Calibri" w:hAnsi="Arial" w:cs="Arial"/>
          <w:color w:val="000000"/>
          <w:sz w:val="22"/>
          <w:lang w:val="es-ES_tradnl" w:eastAsia="en-GB"/>
        </w:rPr>
        <w:t xml:space="preserve"> documentos contractuales.</w:t>
      </w:r>
    </w:p>
    <w:p w14:paraId="45B42A1B" w14:textId="77777777" w:rsidR="00E547E4" w:rsidRPr="004C496D" w:rsidRDefault="00E547E4" w:rsidP="00271230">
      <w:pPr>
        <w:spacing w:line="276" w:lineRule="auto"/>
        <w:jc w:val="both"/>
        <w:rPr>
          <w:rFonts w:ascii="Arial" w:eastAsia="Calibri" w:hAnsi="Arial" w:cs="Arial"/>
          <w:color w:val="000000" w:themeColor="text1"/>
          <w:sz w:val="22"/>
          <w:szCs w:val="22"/>
        </w:rPr>
      </w:pPr>
    </w:p>
    <w:p w14:paraId="37CA9805" w14:textId="4C51B578" w:rsidR="00DD5B04" w:rsidRPr="005419DA" w:rsidRDefault="004177A6" w:rsidP="00510DE9">
      <w:pPr>
        <w:tabs>
          <w:tab w:val="left" w:pos="0"/>
        </w:tabs>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3</w:t>
      </w:r>
      <w:r w:rsidR="00B011A9" w:rsidRPr="005419DA">
        <w:rPr>
          <w:rFonts w:ascii="Arial" w:eastAsia="Calibri" w:hAnsi="Arial" w:cs="Arial"/>
          <w:b/>
          <w:color w:val="000000" w:themeColor="text1"/>
          <w:sz w:val="22"/>
          <w:lang w:val="es-ES_tradnl"/>
        </w:rPr>
        <w:t xml:space="preserve">. </w:t>
      </w:r>
      <w:r w:rsidR="00DD5B04" w:rsidRPr="005419DA">
        <w:rPr>
          <w:rFonts w:ascii="Arial" w:eastAsia="Calibri" w:hAnsi="Arial" w:cs="Arial"/>
          <w:b/>
          <w:color w:val="000000" w:themeColor="text1"/>
          <w:sz w:val="22"/>
          <w:lang w:val="es-ES_tradnl"/>
        </w:rPr>
        <w:t>Respuesta</w:t>
      </w:r>
    </w:p>
    <w:p w14:paraId="0B74D5B8" w14:textId="571E2881" w:rsidR="00C4581D" w:rsidRDefault="00C4581D" w:rsidP="00510DE9">
      <w:pPr>
        <w:tabs>
          <w:tab w:val="left" w:pos="0"/>
        </w:tabs>
        <w:jc w:val="both"/>
        <w:rPr>
          <w:rFonts w:ascii="Arial" w:eastAsia="Calibri" w:hAnsi="Arial" w:cs="Arial"/>
          <w:color w:val="000000" w:themeColor="text1"/>
          <w:sz w:val="22"/>
          <w:lang w:val="es-ES_tradnl"/>
        </w:rPr>
      </w:pPr>
    </w:p>
    <w:p w14:paraId="4E7FF2B5" w14:textId="6C434E98" w:rsidR="00C10BB9" w:rsidRDefault="00B53CAA" w:rsidP="00C10BB9">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E47603">
        <w:rPr>
          <w:rFonts w:ascii="Arial" w:hAnsi="Arial" w:cs="Arial"/>
          <w:color w:val="000000" w:themeColor="text1"/>
          <w:sz w:val="21"/>
          <w:szCs w:val="21"/>
          <w:lang w:val="es-ES_tradnl"/>
        </w:rPr>
        <w:t>De conformidad al concepto emitido por Colombia Compra Eficiente respecto de la publicación de documentos contractuales conforme al Estatuto General de Contratación, cuando por motivos de Defensa y Seguridad Nacional exista un riesgo por la información sensible que reposa en dichos documentos, nos permitimos solicitarle de su amable colaboración con el fin de puntualizar si para casos particulares, en donde las entidades de seguridad competentes ya emitieron concepto respecto al riesgo en Defensa y Seguridad, es necesario publicar todos los documentos contractuales</w:t>
      </w:r>
      <w:r w:rsidR="00C10BB9">
        <w:rPr>
          <w:rFonts w:ascii="Arial" w:hAnsi="Arial" w:cs="Arial"/>
          <w:color w:val="000000" w:themeColor="text1"/>
          <w:sz w:val="21"/>
          <w:szCs w:val="21"/>
          <w:lang w:val="es-ES_tradnl"/>
        </w:rPr>
        <w:t>»</w:t>
      </w:r>
      <w:r>
        <w:rPr>
          <w:rFonts w:ascii="Arial" w:hAnsi="Arial" w:cs="Arial"/>
          <w:color w:val="000000" w:themeColor="text1"/>
          <w:sz w:val="21"/>
          <w:szCs w:val="21"/>
          <w:lang w:val="es-ES_tradnl"/>
        </w:rPr>
        <w:t>.</w:t>
      </w:r>
    </w:p>
    <w:p w14:paraId="18B33146" w14:textId="1C26A8BF" w:rsidR="002306BF" w:rsidRDefault="002306BF" w:rsidP="009E03C7">
      <w:pPr>
        <w:spacing w:line="276" w:lineRule="auto"/>
        <w:jc w:val="both"/>
        <w:rPr>
          <w:rFonts w:ascii="Arial" w:hAnsi="Arial" w:cs="Arial"/>
          <w:color w:val="000000" w:themeColor="text1"/>
          <w:sz w:val="22"/>
          <w:szCs w:val="22"/>
        </w:rPr>
      </w:pPr>
    </w:p>
    <w:p w14:paraId="77AD12C3" w14:textId="43FE8BDE" w:rsidR="005B3C39" w:rsidRPr="003253B1" w:rsidRDefault="00E5555F" w:rsidP="005B3C39">
      <w:pPr>
        <w:tabs>
          <w:tab w:val="left" w:pos="426"/>
        </w:tabs>
        <w:spacing w:after="120" w:line="276" w:lineRule="auto"/>
        <w:jc w:val="both"/>
        <w:rPr>
          <w:rFonts w:ascii="Arial" w:hAnsi="Arial" w:cs="Arial"/>
          <w:sz w:val="22"/>
        </w:rPr>
      </w:pPr>
      <w:r w:rsidRPr="003253B1">
        <w:rPr>
          <w:rFonts w:ascii="Arial" w:hAnsi="Arial" w:cs="Arial"/>
          <w:sz w:val="22"/>
        </w:rPr>
        <w:t xml:space="preserve">De conformidad con las consideraciones expuestas en este concepto, </w:t>
      </w:r>
      <w:r w:rsidR="0065072D">
        <w:rPr>
          <w:rFonts w:ascii="Arial" w:hAnsi="Arial" w:cs="Arial"/>
          <w:sz w:val="22"/>
        </w:rPr>
        <w:t xml:space="preserve">y en línea con lo que se expresó en el concepto C-289 del 10 de mayo de 2021, </w:t>
      </w:r>
      <w:r w:rsidRPr="003253B1">
        <w:rPr>
          <w:rFonts w:ascii="Arial" w:hAnsi="Arial" w:cs="Arial"/>
          <w:sz w:val="22"/>
        </w:rPr>
        <w:t>por regla general o principio aplica la publicación proactiva de la información pública, incluyendo la relacionada en materia contractual, mediante su publicación en el SECOP, en la forma establecida en el numeral 2.1. de este documento. Sin embargo, reiterando una idea recurrente, es posible que el constituyente o el legislador establezca</w:t>
      </w:r>
      <w:r w:rsidR="000C4E01">
        <w:rPr>
          <w:rFonts w:ascii="Arial" w:hAnsi="Arial" w:cs="Arial"/>
          <w:sz w:val="22"/>
        </w:rPr>
        <w:t>n</w:t>
      </w:r>
      <w:r w:rsidRPr="003253B1">
        <w:rPr>
          <w:rFonts w:ascii="Arial" w:hAnsi="Arial" w:cs="Arial"/>
          <w:sz w:val="22"/>
        </w:rPr>
        <w:t xml:space="preserve"> </w:t>
      </w:r>
      <w:r w:rsidRPr="003253B1">
        <w:rPr>
          <w:rFonts w:ascii="Arial" w:hAnsi="Arial" w:cs="Arial"/>
          <w:i/>
          <w:iCs/>
          <w:sz w:val="22"/>
        </w:rPr>
        <w:t xml:space="preserve">reservas </w:t>
      </w:r>
      <w:r w:rsidRPr="003253B1">
        <w:rPr>
          <w:rFonts w:ascii="Arial" w:hAnsi="Arial" w:cs="Arial"/>
          <w:sz w:val="22"/>
        </w:rPr>
        <w:t>de cierta información pública. En este sentido, en desarrollo de cualquier proceso contractual, independientemente de la modalidad de selección, es posible que los documentos del proceso contengan información sometida a reserva, de acuerdo con las causales establecidas en la Constitución o en la ley</w:t>
      </w:r>
      <w:r w:rsidR="00E85E79">
        <w:rPr>
          <w:rFonts w:ascii="Arial" w:hAnsi="Arial" w:cs="Arial"/>
          <w:sz w:val="22"/>
        </w:rPr>
        <w:t>, caso en el cual dicha información no debe publicarse en el SECOP, precisamente por tratarse de información reservada.</w:t>
      </w:r>
      <w:r w:rsidRPr="003253B1">
        <w:rPr>
          <w:rFonts w:ascii="Arial" w:hAnsi="Arial" w:cs="Arial"/>
          <w:sz w:val="22"/>
        </w:rPr>
        <w:t xml:space="preserve"> </w:t>
      </w:r>
      <w:r w:rsidR="005B3C39">
        <w:rPr>
          <w:rFonts w:ascii="Arial" w:hAnsi="Arial" w:cs="Arial"/>
          <w:sz w:val="22"/>
        </w:rPr>
        <w:t xml:space="preserve">En estos casos, debe procederse conforme lo establecido </w:t>
      </w:r>
      <w:r w:rsidR="000C2A5D">
        <w:rPr>
          <w:rFonts w:ascii="Arial" w:hAnsi="Arial" w:cs="Arial"/>
          <w:sz w:val="22"/>
        </w:rPr>
        <w:t>en la Ley 1712 de 2014, particularmente, cumpliendo las obligaciones y los deberes establecidos en el título III «Excepciones acceso a la información».</w:t>
      </w:r>
    </w:p>
    <w:p w14:paraId="33CB359D" w14:textId="65E6CF19" w:rsidR="00490654" w:rsidRPr="003253B1" w:rsidRDefault="00490654" w:rsidP="00490654">
      <w:pPr>
        <w:tabs>
          <w:tab w:val="left" w:pos="426"/>
        </w:tabs>
        <w:spacing w:after="120" w:line="276" w:lineRule="auto"/>
        <w:ind w:firstLine="709"/>
        <w:jc w:val="both"/>
        <w:rPr>
          <w:rFonts w:ascii="Arial" w:hAnsi="Arial" w:cs="Arial"/>
          <w:sz w:val="22"/>
        </w:rPr>
      </w:pPr>
      <w:r w:rsidRPr="003253B1">
        <w:rPr>
          <w:rFonts w:ascii="Arial" w:hAnsi="Arial" w:cs="Arial"/>
          <w:sz w:val="22"/>
        </w:rPr>
        <w:t xml:space="preserve">De esta manera, </w:t>
      </w:r>
      <w:r w:rsidR="0065072D">
        <w:rPr>
          <w:rFonts w:ascii="Arial" w:hAnsi="Arial" w:cs="Arial"/>
          <w:sz w:val="22"/>
        </w:rPr>
        <w:t xml:space="preserve">como se expresó en el concepto C-289, </w:t>
      </w:r>
      <w:r w:rsidRPr="003253B1">
        <w:rPr>
          <w:rFonts w:ascii="Arial" w:hAnsi="Arial" w:cs="Arial"/>
          <w:sz w:val="22"/>
        </w:rPr>
        <w:t xml:space="preserve">en desarrollo de un proceso de selección adelantado </w:t>
      </w:r>
      <w:r>
        <w:rPr>
          <w:rFonts w:ascii="Arial" w:hAnsi="Arial" w:cs="Arial"/>
          <w:sz w:val="22"/>
        </w:rPr>
        <w:t>para adquirir un inmueble, en virtud de la modalidad de contratación directa, para la defensa y seguridad nacional, que necesite reserva para su adquisición,</w:t>
      </w:r>
      <w:r w:rsidRPr="003253B1">
        <w:rPr>
          <w:rFonts w:ascii="Arial" w:hAnsi="Arial" w:cs="Arial"/>
          <w:sz w:val="22"/>
        </w:rPr>
        <w:t xml:space="preserve"> los documentos del proceso</w:t>
      </w:r>
      <w:r>
        <w:rPr>
          <w:rFonts w:ascii="Arial" w:hAnsi="Arial" w:cs="Arial"/>
          <w:sz w:val="22"/>
        </w:rPr>
        <w:t xml:space="preserve"> que</w:t>
      </w:r>
      <w:r w:rsidRPr="003253B1">
        <w:rPr>
          <w:rFonts w:ascii="Arial" w:hAnsi="Arial" w:cs="Arial"/>
          <w:sz w:val="22"/>
        </w:rPr>
        <w:t xml:space="preserve"> contengan información reservada de acuerdo con alguna causal establecida en la Constitución o la ley</w:t>
      </w:r>
      <w:r>
        <w:rPr>
          <w:rFonts w:ascii="Arial" w:hAnsi="Arial" w:cs="Arial"/>
          <w:sz w:val="22"/>
        </w:rPr>
        <w:t xml:space="preserve"> no serán objeto de publicación en el SECOP. </w:t>
      </w:r>
      <w:r w:rsidR="000C4E01">
        <w:rPr>
          <w:rFonts w:ascii="Arial" w:hAnsi="Arial" w:cs="Arial"/>
          <w:sz w:val="22"/>
        </w:rPr>
        <w:t>Además</w:t>
      </w:r>
      <w:r>
        <w:rPr>
          <w:rFonts w:ascii="Arial" w:hAnsi="Arial" w:cs="Arial"/>
          <w:sz w:val="22"/>
        </w:rPr>
        <w:t xml:space="preserve">, </w:t>
      </w:r>
      <w:r w:rsidRPr="003253B1">
        <w:rPr>
          <w:rFonts w:ascii="Arial" w:hAnsi="Arial" w:cs="Arial"/>
          <w:sz w:val="22"/>
        </w:rPr>
        <w:t xml:space="preserve">el hecho de que el artículo 2.2.1.2.1.4.6. del Decreto 1082 de 2015, al desarrollar la causal de contratación directa del </w:t>
      </w:r>
      <w:r w:rsidRPr="003253B1">
        <w:rPr>
          <w:rFonts w:ascii="Arial" w:eastAsia="Calibri" w:hAnsi="Arial" w:cs="Arial"/>
          <w:color w:val="000000"/>
          <w:sz w:val="22"/>
          <w:lang w:val="es-ES_tradnl" w:eastAsia="en-GB"/>
        </w:rPr>
        <w:t>literal d), numeral 4, del artículo 2 de la Ley 1150 de 2007,</w:t>
      </w:r>
      <w:r w:rsidRPr="003253B1">
        <w:rPr>
          <w:rFonts w:ascii="Arial" w:hAnsi="Arial" w:cs="Arial"/>
          <w:sz w:val="22"/>
        </w:rPr>
        <w:t xml:space="preserve"> establezca que «Las Entidades Estatales no están obligadas a publicar los Documentos del Proceso para adquirir bienes y servicios en el Sector Defensa, la Dirección Nacional de Inteligencia y la Unidad Nacional de Protección que requieren reserva», </w:t>
      </w:r>
      <w:r>
        <w:rPr>
          <w:rFonts w:ascii="Arial" w:hAnsi="Arial" w:cs="Arial"/>
          <w:sz w:val="22"/>
        </w:rPr>
        <w:t>no implica desconocer que en los demás procedimientos de selección sean aplicables las reservas, en caso de que eventualmente resulten aplicables</w:t>
      </w:r>
      <w:r w:rsidR="00761628">
        <w:rPr>
          <w:rFonts w:ascii="Arial" w:hAnsi="Arial" w:cs="Arial"/>
          <w:sz w:val="22"/>
        </w:rPr>
        <w:t xml:space="preserve"> por el </w:t>
      </w:r>
      <w:r w:rsidR="00510DF4">
        <w:rPr>
          <w:rFonts w:ascii="Arial" w:hAnsi="Arial" w:cs="Arial"/>
          <w:sz w:val="22"/>
        </w:rPr>
        <w:t>carácter reservado de la documentación</w:t>
      </w:r>
      <w:r>
        <w:rPr>
          <w:rFonts w:ascii="Arial" w:hAnsi="Arial" w:cs="Arial"/>
          <w:sz w:val="22"/>
        </w:rPr>
        <w:t>.</w:t>
      </w:r>
      <w:r w:rsidRPr="003253B1">
        <w:rPr>
          <w:rFonts w:ascii="Arial" w:hAnsi="Arial" w:cs="Arial"/>
          <w:sz w:val="22"/>
        </w:rPr>
        <w:t xml:space="preserve"> </w:t>
      </w:r>
    </w:p>
    <w:p w14:paraId="3A05A8F0" w14:textId="6A80DFB1" w:rsidR="00E5555F" w:rsidRPr="003253B1" w:rsidRDefault="00E5555F" w:rsidP="00E5555F">
      <w:pPr>
        <w:tabs>
          <w:tab w:val="left" w:pos="426"/>
        </w:tabs>
        <w:spacing w:after="120" w:line="276" w:lineRule="auto"/>
        <w:ind w:firstLine="709"/>
        <w:jc w:val="both"/>
        <w:rPr>
          <w:rFonts w:ascii="Arial" w:hAnsi="Arial" w:cs="Arial"/>
          <w:sz w:val="22"/>
        </w:rPr>
      </w:pPr>
      <w:r w:rsidRPr="003253B1">
        <w:rPr>
          <w:rFonts w:ascii="Arial" w:hAnsi="Arial" w:cs="Arial"/>
          <w:sz w:val="22"/>
        </w:rPr>
        <w:lastRenderedPageBreak/>
        <w:t>En tal sentido, es posible que en cualquier procedimiento de selección se prescinda de publicar determinada información que esté reservada, por ejemplo, con fundamento en las causales del artículo 19 de la Ley 1712 de 2014, literal a; o el artículo 24, numeral 1, del artículo 24 de la Ley 1437 de 2011, sustituido por la Ley 1755 de 2015, ambas relacionadas con la defensa o seguridad nacional</w:t>
      </w:r>
      <w:r w:rsidRPr="003253B1">
        <w:rPr>
          <w:rFonts w:ascii="Arial" w:hAnsi="Arial" w:cs="Arial"/>
          <w:vertAlign w:val="superscript"/>
        </w:rPr>
        <w:footnoteReference w:id="19"/>
      </w:r>
      <w:r w:rsidRPr="003253B1">
        <w:rPr>
          <w:rFonts w:ascii="Arial" w:hAnsi="Arial" w:cs="Arial"/>
          <w:sz w:val="22"/>
        </w:rPr>
        <w:t>.</w:t>
      </w:r>
      <w:r w:rsidR="000D0092">
        <w:rPr>
          <w:rFonts w:ascii="Arial" w:hAnsi="Arial" w:cs="Arial"/>
          <w:sz w:val="22"/>
        </w:rPr>
        <w:t xml:space="preserve"> </w:t>
      </w:r>
      <w:r w:rsidR="000D0092">
        <w:rPr>
          <w:rFonts w:ascii="Arial" w:eastAsia="Calibri" w:hAnsi="Arial" w:cs="Arial"/>
          <w:color w:val="000000"/>
          <w:sz w:val="22"/>
          <w:lang w:val="es-ES_tradnl" w:eastAsia="en-GB"/>
        </w:rPr>
        <w:t xml:space="preserve">En este sentido, cuando la entidad estatal determine que la publicación de los documentos del proceso de contratación afecte la defensa y seguridad nacional, para lo cual se pueden apoyar en </w:t>
      </w:r>
      <w:r w:rsidR="000852DC">
        <w:rPr>
          <w:rFonts w:ascii="Arial" w:eastAsia="Calibri" w:hAnsi="Arial" w:cs="Arial"/>
          <w:color w:val="000000"/>
          <w:sz w:val="22"/>
          <w:lang w:val="es-ES_tradnl" w:eastAsia="en-GB"/>
        </w:rPr>
        <w:t xml:space="preserve">conceptos de </w:t>
      </w:r>
      <w:r w:rsidR="000D0092">
        <w:rPr>
          <w:rFonts w:ascii="Arial" w:eastAsia="Calibri" w:hAnsi="Arial" w:cs="Arial"/>
          <w:color w:val="000000"/>
          <w:sz w:val="22"/>
          <w:lang w:val="es-ES_tradnl" w:eastAsia="en-GB"/>
        </w:rPr>
        <w:t>entidades especializadas en la materia,</w:t>
      </w:r>
      <w:r w:rsidR="00F32960">
        <w:rPr>
          <w:rFonts w:ascii="Arial" w:eastAsia="Calibri" w:hAnsi="Arial" w:cs="Arial"/>
          <w:color w:val="000000"/>
          <w:sz w:val="22"/>
          <w:lang w:val="es-ES_tradnl" w:eastAsia="en-GB"/>
        </w:rPr>
        <w:t xml:space="preserve"> tal</w:t>
      </w:r>
      <w:r w:rsidR="000D0092">
        <w:rPr>
          <w:rFonts w:ascii="Arial" w:eastAsia="Calibri" w:hAnsi="Arial" w:cs="Arial"/>
          <w:color w:val="000000"/>
          <w:sz w:val="22"/>
          <w:lang w:val="es-ES_tradnl" w:eastAsia="en-GB"/>
        </w:rPr>
        <w:t xml:space="preserve"> como se indica en la petición, estos no deben publicarse en el SECOP, de manera que se proteja la reserva de la información, absteniéndose de publicar dichos documentos contractuales.</w:t>
      </w:r>
    </w:p>
    <w:p w14:paraId="122456F8" w14:textId="77777777" w:rsidR="00E5555F" w:rsidRPr="00874F0A" w:rsidRDefault="00E5555F" w:rsidP="009E03C7">
      <w:pPr>
        <w:spacing w:line="276" w:lineRule="auto"/>
        <w:jc w:val="both"/>
        <w:rPr>
          <w:rFonts w:ascii="Arial" w:hAnsi="Arial" w:cs="Arial"/>
          <w:color w:val="000000" w:themeColor="text1"/>
          <w:sz w:val="22"/>
          <w:szCs w:val="22"/>
        </w:rPr>
      </w:pPr>
    </w:p>
    <w:p w14:paraId="7B2C921D" w14:textId="0F929B38" w:rsidR="00DD5B04" w:rsidRPr="005419DA" w:rsidRDefault="00DD5B04" w:rsidP="00DF76A2">
      <w:pPr>
        <w:spacing w:line="276" w:lineRule="auto"/>
        <w:jc w:val="both"/>
        <w:rPr>
          <w:rFonts w:ascii="Arial" w:hAnsi="Arial" w:cs="Arial"/>
          <w:color w:val="000000" w:themeColor="text1"/>
          <w:sz w:val="22"/>
          <w:lang w:val="es-ES_tradnl"/>
        </w:rPr>
      </w:pPr>
      <w:r w:rsidRPr="005419DA">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5419DA"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692FC307" w14:textId="0B17DC14" w:rsidR="00921304" w:rsidRPr="005419DA"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Atentamente,</w:t>
      </w:r>
    </w:p>
    <w:p w14:paraId="30AA3DC7" w14:textId="11C46416" w:rsidR="00921304" w:rsidRPr="005419DA" w:rsidRDefault="00123082"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36405185" wp14:editId="5C8437A0">
            <wp:extent cx="2514600" cy="1114425"/>
            <wp:effectExtent l="0" t="0" r="0" b="9525"/>
            <wp:docPr id="1" name="Imagen 1"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p>
    <w:p w14:paraId="5CBAE239" w14:textId="77777777" w:rsidR="00425C43" w:rsidRPr="005419DA" w:rsidRDefault="00425C43" w:rsidP="00B37657">
      <w:pPr>
        <w:jc w:val="center"/>
        <w:rPr>
          <w:rFonts w:ascii="Arial" w:hAnsi="Arial" w:cs="Arial"/>
          <w:color w:val="000000" w:themeColor="text1"/>
          <w:sz w:val="18"/>
          <w:szCs w:val="20"/>
          <w:lang w:val="es-ES_tradnl" w:eastAsia="es-CO"/>
        </w:rPr>
      </w:pPr>
    </w:p>
    <w:p w14:paraId="49730030" w14:textId="217D35F3" w:rsidR="00DD5B04" w:rsidRPr="005419DA"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5419DA" w14:paraId="0C7DC5F7" w14:textId="77777777" w:rsidTr="008F4163">
        <w:trPr>
          <w:trHeight w:val="315"/>
        </w:trPr>
        <w:tc>
          <w:tcPr>
            <w:tcW w:w="812" w:type="dxa"/>
            <w:vAlign w:val="center"/>
            <w:hideMark/>
          </w:tcPr>
          <w:p w14:paraId="5BDB1AC9" w14:textId="77777777" w:rsidR="00DD5B04" w:rsidRPr="005419DA" w:rsidRDefault="00DD5B04" w:rsidP="00DF76A2">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1F9999AF" w14:textId="77777777" w:rsidR="00AB2728" w:rsidRPr="008C4836" w:rsidRDefault="00AB2728" w:rsidP="00AB2728">
            <w:pPr>
              <w:jc w:val="both"/>
              <w:rPr>
                <w:rFonts w:ascii="Arial" w:hAnsi="Arial" w:cs="Arial"/>
                <w:color w:val="000000" w:themeColor="text1"/>
                <w:sz w:val="16"/>
                <w:szCs w:val="16"/>
                <w:lang w:val="es-ES_tradnl" w:eastAsia="es-ES"/>
              </w:rPr>
            </w:pPr>
            <w:r w:rsidRPr="008C4836">
              <w:rPr>
                <w:rFonts w:ascii="Arial" w:hAnsi="Arial" w:cs="Arial"/>
                <w:color w:val="000000" w:themeColor="text1"/>
                <w:sz w:val="16"/>
                <w:szCs w:val="16"/>
                <w:lang w:val="es-ES_tradnl" w:eastAsia="es-ES"/>
              </w:rPr>
              <w:t>Sebastián Ramírez Grisales</w:t>
            </w:r>
          </w:p>
          <w:p w14:paraId="240C71FD" w14:textId="18311434" w:rsidR="00DD5B04" w:rsidRPr="005419DA" w:rsidRDefault="00AB2728" w:rsidP="00DF76A2">
            <w:pPr>
              <w:jc w:val="both"/>
              <w:rPr>
                <w:rFonts w:ascii="Arial" w:hAnsi="Arial" w:cs="Arial"/>
                <w:color w:val="000000" w:themeColor="text1"/>
                <w:sz w:val="16"/>
                <w:szCs w:val="16"/>
                <w:lang w:val="es-ES_tradnl" w:eastAsia="es-ES"/>
              </w:rPr>
            </w:pPr>
            <w:r w:rsidRPr="008C4836">
              <w:rPr>
                <w:rFonts w:ascii="Arial" w:hAnsi="Arial" w:cs="Arial"/>
                <w:color w:val="000000" w:themeColor="text1"/>
                <w:sz w:val="16"/>
                <w:szCs w:val="16"/>
                <w:lang w:val="es-ES_tradnl" w:eastAsia="es-ES"/>
              </w:rPr>
              <w:t>Gestor T1-15 de la Subdirección de Gestión Contractual</w:t>
            </w:r>
          </w:p>
        </w:tc>
      </w:tr>
      <w:tr w:rsidR="00DD5B04" w:rsidRPr="005419DA" w14:paraId="2F8FD650" w14:textId="77777777" w:rsidTr="008F4163">
        <w:trPr>
          <w:trHeight w:val="330"/>
        </w:trPr>
        <w:tc>
          <w:tcPr>
            <w:tcW w:w="812" w:type="dxa"/>
            <w:vAlign w:val="center"/>
            <w:hideMark/>
          </w:tcPr>
          <w:p w14:paraId="50203A0B" w14:textId="77777777" w:rsidR="00DD5B04" w:rsidRPr="005419DA" w:rsidRDefault="00DD5B04" w:rsidP="00DF76A2">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9DD4CB5" w14:textId="77777777" w:rsidR="00AB2728" w:rsidRPr="005419DA" w:rsidRDefault="00AB2728" w:rsidP="00AB2728">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Jorge Augusto Tirado Navarro</w:t>
            </w:r>
          </w:p>
          <w:p w14:paraId="130B3228" w14:textId="1E6016BE" w:rsidR="00DD5B04" w:rsidRPr="005419DA" w:rsidRDefault="00AB2728" w:rsidP="00F1085C">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Subdirector de Gestión Contractual ANCP – CCE</w:t>
            </w:r>
          </w:p>
        </w:tc>
      </w:tr>
      <w:tr w:rsidR="00DD5B04" w:rsidRPr="005419DA" w14:paraId="0FCBCA4A" w14:textId="77777777" w:rsidTr="008F4163">
        <w:trPr>
          <w:trHeight w:val="300"/>
        </w:trPr>
        <w:tc>
          <w:tcPr>
            <w:tcW w:w="812" w:type="dxa"/>
            <w:vAlign w:val="center"/>
            <w:hideMark/>
          </w:tcPr>
          <w:p w14:paraId="3C1D943A" w14:textId="77777777" w:rsidR="00DD5B04" w:rsidRPr="005419DA" w:rsidRDefault="00DD5B04" w:rsidP="00DF76A2">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5419DA" w:rsidRDefault="00C05A61" w:rsidP="00DF76A2">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 xml:space="preserve">Jorge </w:t>
            </w:r>
            <w:r w:rsidR="00647A36" w:rsidRPr="005419DA">
              <w:rPr>
                <w:rFonts w:ascii="Arial" w:hAnsi="Arial" w:cs="Arial"/>
                <w:color w:val="000000" w:themeColor="text1"/>
                <w:sz w:val="16"/>
                <w:szCs w:val="16"/>
                <w:lang w:val="es-ES_tradnl" w:eastAsia="es-ES"/>
              </w:rPr>
              <w:t xml:space="preserve">Augusto </w:t>
            </w:r>
            <w:r w:rsidRPr="005419DA">
              <w:rPr>
                <w:rFonts w:ascii="Arial" w:hAnsi="Arial" w:cs="Arial"/>
                <w:color w:val="000000" w:themeColor="text1"/>
                <w:sz w:val="16"/>
                <w:szCs w:val="16"/>
                <w:lang w:val="es-ES_tradnl" w:eastAsia="es-ES"/>
              </w:rPr>
              <w:t>Tirado Navarro</w:t>
            </w:r>
          </w:p>
          <w:p w14:paraId="1ADC483B" w14:textId="2E3B66D0" w:rsidR="00DD5B04" w:rsidRPr="005419DA" w:rsidRDefault="00DD5B04" w:rsidP="00DF76A2">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Subdirector de Gestión Contractual</w:t>
            </w:r>
            <w:r w:rsidR="008201DE" w:rsidRPr="005419DA">
              <w:rPr>
                <w:rFonts w:ascii="Arial" w:hAnsi="Arial" w:cs="Arial"/>
                <w:color w:val="000000" w:themeColor="text1"/>
                <w:sz w:val="16"/>
                <w:szCs w:val="16"/>
                <w:lang w:val="es-ES_tradnl" w:eastAsia="es-ES"/>
              </w:rPr>
              <w:t xml:space="preserve"> ANCP – CCE</w:t>
            </w:r>
          </w:p>
        </w:tc>
      </w:tr>
    </w:tbl>
    <w:p w14:paraId="35B56F46" w14:textId="77777777" w:rsidR="00746E08" w:rsidRPr="005419DA" w:rsidRDefault="00746E08" w:rsidP="00215B8E">
      <w:pPr>
        <w:jc w:val="both"/>
        <w:rPr>
          <w:rFonts w:ascii="Arial" w:hAnsi="Arial" w:cs="Arial"/>
          <w:lang w:val="es-ES_tradnl"/>
        </w:rPr>
      </w:pPr>
    </w:p>
    <w:sectPr w:rsidR="00746E08" w:rsidRPr="005419DA"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4F772" w14:textId="77777777" w:rsidR="00B3664E" w:rsidRDefault="00B3664E">
      <w:r>
        <w:separator/>
      </w:r>
    </w:p>
  </w:endnote>
  <w:endnote w:type="continuationSeparator" w:id="0">
    <w:p w14:paraId="30BD6E41" w14:textId="77777777" w:rsidR="00B3664E" w:rsidRDefault="00B3664E">
      <w:r>
        <w:continuationSeparator/>
      </w:r>
    </w:p>
  </w:endnote>
  <w:endnote w:type="continuationNotice" w:id="1">
    <w:p w14:paraId="7DF92972" w14:textId="77777777" w:rsidR="00B3664E" w:rsidRDefault="00B366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6DD3F" w14:textId="77777777" w:rsidR="00B3664E" w:rsidRDefault="00B3664E">
      <w:r>
        <w:separator/>
      </w:r>
    </w:p>
  </w:footnote>
  <w:footnote w:type="continuationSeparator" w:id="0">
    <w:p w14:paraId="3DD27DB1" w14:textId="77777777" w:rsidR="00B3664E" w:rsidRDefault="00B3664E">
      <w:r>
        <w:continuationSeparator/>
      </w:r>
    </w:p>
  </w:footnote>
  <w:footnote w:type="continuationNotice" w:id="1">
    <w:p w14:paraId="024D315A" w14:textId="77777777" w:rsidR="00B3664E" w:rsidRDefault="00B3664E"/>
  </w:footnote>
  <w:footnote w:id="2">
    <w:p w14:paraId="7FC3E873" w14:textId="77777777" w:rsidR="00BC1F25" w:rsidRPr="0088099E" w:rsidRDefault="00BC1F25" w:rsidP="0088099E">
      <w:pPr>
        <w:pStyle w:val="Textonotapie"/>
        <w:ind w:right="49" w:firstLine="709"/>
        <w:jc w:val="both"/>
        <w:rPr>
          <w:rFonts w:ascii="Arial" w:hAnsi="Arial" w:cs="Arial"/>
          <w:color w:val="000000" w:themeColor="text1"/>
          <w:sz w:val="19"/>
          <w:szCs w:val="19"/>
        </w:rPr>
      </w:pPr>
      <w:r w:rsidRPr="0088099E">
        <w:rPr>
          <w:rStyle w:val="Refdenotaalpie"/>
          <w:rFonts w:ascii="Arial" w:hAnsi="Arial" w:cs="Arial"/>
          <w:color w:val="000000" w:themeColor="text1"/>
          <w:sz w:val="19"/>
          <w:szCs w:val="19"/>
        </w:rPr>
        <w:footnoteRef/>
      </w:r>
      <w:r w:rsidRPr="0088099E">
        <w:rPr>
          <w:rFonts w:ascii="Arial" w:hAnsi="Arial" w:cs="Arial"/>
          <w:color w:val="000000" w:themeColor="text1"/>
          <w:sz w:val="19"/>
          <w:szCs w:val="19"/>
        </w:rPr>
        <w:t xml:space="preserve"> Corte Constitucional. Sentencia C- 341 del 4 de junio de 2014. M. P. Mauricio González Cuervo.</w:t>
      </w:r>
    </w:p>
    <w:p w14:paraId="19B98A0D" w14:textId="77777777" w:rsidR="00BC1F25" w:rsidRPr="0088099E" w:rsidRDefault="00BC1F25" w:rsidP="0088099E">
      <w:pPr>
        <w:pStyle w:val="Textonotapie"/>
        <w:ind w:right="49" w:firstLine="709"/>
        <w:jc w:val="both"/>
        <w:rPr>
          <w:rFonts w:ascii="Arial" w:hAnsi="Arial" w:cs="Arial"/>
          <w:color w:val="000000" w:themeColor="text1"/>
          <w:sz w:val="19"/>
          <w:szCs w:val="19"/>
        </w:rPr>
      </w:pPr>
    </w:p>
  </w:footnote>
  <w:footnote w:id="3">
    <w:p w14:paraId="7DF1DB60" w14:textId="77777777" w:rsidR="00BC1F25" w:rsidRPr="0088099E" w:rsidRDefault="00BC1F25" w:rsidP="0088099E">
      <w:pPr>
        <w:pStyle w:val="Textonotapie"/>
        <w:ind w:right="49" w:firstLine="709"/>
        <w:jc w:val="both"/>
        <w:rPr>
          <w:rFonts w:ascii="Arial" w:hAnsi="Arial" w:cs="Arial"/>
          <w:color w:val="000000" w:themeColor="text1"/>
          <w:sz w:val="19"/>
          <w:szCs w:val="19"/>
        </w:rPr>
      </w:pPr>
      <w:r w:rsidRPr="0088099E">
        <w:rPr>
          <w:rStyle w:val="Refdenotaalpie"/>
          <w:rFonts w:ascii="Arial" w:hAnsi="Arial" w:cs="Arial"/>
          <w:color w:val="000000" w:themeColor="text1"/>
          <w:sz w:val="19"/>
          <w:szCs w:val="19"/>
        </w:rPr>
        <w:footnoteRef/>
      </w:r>
      <w:r w:rsidRPr="0088099E">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4279FD18" w14:textId="77777777" w:rsidR="00BC1F25" w:rsidRPr="0088099E" w:rsidRDefault="00BC1F25" w:rsidP="0088099E">
      <w:pPr>
        <w:pStyle w:val="Textonotapie"/>
        <w:ind w:right="49" w:firstLine="709"/>
        <w:jc w:val="both"/>
        <w:rPr>
          <w:rFonts w:ascii="Arial" w:hAnsi="Arial" w:cs="Arial"/>
          <w:color w:val="000000" w:themeColor="text1"/>
          <w:sz w:val="19"/>
          <w:szCs w:val="19"/>
        </w:rPr>
      </w:pPr>
    </w:p>
  </w:footnote>
  <w:footnote w:id="4">
    <w:p w14:paraId="5CEF4813" w14:textId="77777777" w:rsidR="00BC1F25" w:rsidRPr="0088099E" w:rsidRDefault="00BC1F25" w:rsidP="0088099E">
      <w:pPr>
        <w:pStyle w:val="Textonotapie"/>
        <w:ind w:right="49" w:firstLine="709"/>
        <w:jc w:val="both"/>
        <w:rPr>
          <w:rFonts w:ascii="Arial" w:hAnsi="Arial" w:cs="Arial"/>
          <w:color w:val="000000" w:themeColor="text1"/>
          <w:sz w:val="19"/>
          <w:szCs w:val="19"/>
        </w:rPr>
      </w:pPr>
      <w:r w:rsidRPr="0088099E">
        <w:rPr>
          <w:rStyle w:val="Refdenotaalpie"/>
          <w:rFonts w:ascii="Arial" w:hAnsi="Arial" w:cs="Arial"/>
          <w:color w:val="000000" w:themeColor="text1"/>
          <w:sz w:val="19"/>
          <w:szCs w:val="19"/>
        </w:rPr>
        <w:footnoteRef/>
      </w:r>
      <w:r w:rsidRPr="0088099E">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62ACF03E" w14:textId="77777777" w:rsidR="00BC1F25" w:rsidRPr="0088099E" w:rsidRDefault="00BC1F25" w:rsidP="0088099E">
      <w:pPr>
        <w:pStyle w:val="Textonotapie"/>
        <w:ind w:right="49" w:firstLine="709"/>
        <w:jc w:val="both"/>
        <w:rPr>
          <w:rFonts w:ascii="Arial" w:hAnsi="Arial" w:cs="Arial"/>
          <w:color w:val="000000" w:themeColor="text1"/>
          <w:sz w:val="19"/>
          <w:szCs w:val="19"/>
        </w:rPr>
      </w:pPr>
      <w:proofErr w:type="gramStart"/>
      <w:r w:rsidRPr="0088099E">
        <w:rPr>
          <w:rFonts w:ascii="Arial" w:hAnsi="Arial" w:cs="Arial"/>
          <w:color w:val="000000" w:themeColor="text1"/>
          <w:sz w:val="19"/>
          <w:szCs w:val="19"/>
        </w:rPr>
        <w:t>»a</w:t>
      </w:r>
      <w:proofErr w:type="gramEnd"/>
      <w:r w:rsidRPr="0088099E">
        <w:rPr>
          <w:rFonts w:ascii="Arial" w:hAnsi="Arial" w:cs="Arial"/>
          <w:color w:val="000000" w:themeColor="text1"/>
          <w:sz w:val="19"/>
          <w:szCs w:val="19"/>
        </w:rPr>
        <w:t>)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1F897795" w14:textId="77777777" w:rsidR="00BC1F25" w:rsidRPr="0088099E" w:rsidRDefault="00BC1F25" w:rsidP="0088099E">
      <w:pPr>
        <w:pStyle w:val="Textonotapie"/>
        <w:ind w:right="49" w:firstLine="709"/>
        <w:jc w:val="both"/>
        <w:rPr>
          <w:rFonts w:ascii="Arial" w:hAnsi="Arial" w:cs="Arial"/>
          <w:color w:val="000000" w:themeColor="text1"/>
          <w:sz w:val="19"/>
          <w:szCs w:val="19"/>
        </w:rPr>
      </w:pPr>
    </w:p>
  </w:footnote>
  <w:footnote w:id="5">
    <w:p w14:paraId="77BD48AC" w14:textId="77777777" w:rsidR="00BC1F25" w:rsidRPr="0088099E" w:rsidRDefault="00BC1F25" w:rsidP="0088099E">
      <w:pPr>
        <w:pStyle w:val="Textonotapie"/>
        <w:ind w:right="49" w:firstLine="709"/>
        <w:jc w:val="both"/>
        <w:rPr>
          <w:rFonts w:ascii="Arial" w:hAnsi="Arial" w:cs="Arial"/>
          <w:color w:val="000000" w:themeColor="text1"/>
          <w:sz w:val="19"/>
          <w:szCs w:val="19"/>
        </w:rPr>
      </w:pPr>
      <w:r w:rsidRPr="0088099E">
        <w:rPr>
          <w:rFonts w:ascii="Arial" w:hAnsi="Arial" w:cs="Arial"/>
          <w:color w:val="000000" w:themeColor="text1"/>
          <w:sz w:val="19"/>
          <w:szCs w:val="19"/>
          <w:vertAlign w:val="superscript"/>
          <w:lang w:val="es-ES" w:eastAsia="es-ES"/>
        </w:rPr>
        <w:footnoteRef/>
      </w:r>
      <w:r w:rsidRPr="0088099E">
        <w:rPr>
          <w:rFonts w:ascii="Arial" w:hAnsi="Arial" w:cs="Arial"/>
          <w:color w:val="000000" w:themeColor="text1"/>
          <w:sz w:val="19"/>
          <w:szCs w:val="19"/>
          <w:vertAlign w:val="superscript"/>
          <w:lang w:val="es-ES" w:eastAsia="es-ES"/>
        </w:rPr>
        <w:t xml:space="preserve"> </w:t>
      </w:r>
      <w:r w:rsidRPr="0088099E">
        <w:rPr>
          <w:rFonts w:ascii="Arial" w:hAnsi="Arial" w:cs="Arial"/>
          <w:color w:val="000000" w:themeColor="text1"/>
          <w:sz w:val="19"/>
          <w:szCs w:val="19"/>
          <w:lang w:val="es-ES" w:eastAsia="es-ES"/>
        </w:rPr>
        <w:t>«</w:t>
      </w:r>
      <w:r w:rsidRPr="0088099E">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399DB82" w14:textId="77777777" w:rsidR="00BC1F25" w:rsidRPr="0088099E" w:rsidRDefault="00BC1F25" w:rsidP="0088099E">
      <w:pPr>
        <w:pStyle w:val="Textonotapie"/>
        <w:ind w:right="49" w:firstLine="709"/>
        <w:jc w:val="both"/>
        <w:rPr>
          <w:rFonts w:ascii="Arial" w:hAnsi="Arial" w:cs="Arial"/>
          <w:color w:val="000000" w:themeColor="text1"/>
          <w:sz w:val="19"/>
          <w:szCs w:val="19"/>
          <w:lang w:val="es-ES" w:eastAsia="es-ES"/>
        </w:rPr>
      </w:pPr>
      <w:r w:rsidRPr="0088099E">
        <w:rPr>
          <w:rFonts w:ascii="Arial" w:hAnsi="Arial" w:cs="Arial"/>
          <w:color w:val="000000" w:themeColor="text1"/>
          <w:sz w:val="19"/>
          <w:szCs w:val="19"/>
        </w:rPr>
        <w:t>[…].</w:t>
      </w:r>
    </w:p>
    <w:p w14:paraId="3086C8CB" w14:textId="77777777" w:rsidR="00BC1F25" w:rsidRPr="0088099E" w:rsidRDefault="00BC1F25" w:rsidP="0088099E">
      <w:pPr>
        <w:pStyle w:val="Textonotapie"/>
        <w:ind w:right="49" w:firstLine="709"/>
        <w:jc w:val="both"/>
        <w:rPr>
          <w:rFonts w:ascii="Arial" w:hAnsi="Arial" w:cs="Arial"/>
          <w:color w:val="000000" w:themeColor="text1"/>
          <w:sz w:val="19"/>
          <w:szCs w:val="19"/>
          <w:lang w:val="es-ES" w:eastAsia="es-ES"/>
        </w:rPr>
      </w:pPr>
      <w:proofErr w:type="gramStart"/>
      <w:r w:rsidRPr="0088099E">
        <w:rPr>
          <w:rFonts w:ascii="Arial" w:hAnsi="Arial" w:cs="Arial"/>
          <w:color w:val="000000" w:themeColor="text1"/>
          <w:sz w:val="19"/>
          <w:szCs w:val="19"/>
          <w:lang w:val="es-ES" w:eastAsia="es-ES"/>
        </w:rPr>
        <w:t>»Los</w:t>
      </w:r>
      <w:proofErr w:type="gramEnd"/>
      <w:r w:rsidRPr="0088099E">
        <w:rPr>
          <w:rFonts w:ascii="Arial" w:hAnsi="Arial" w:cs="Arial"/>
          <w:color w:val="000000" w:themeColor="text1"/>
          <w:sz w:val="19"/>
          <w:szCs w:val="19"/>
          <w:lang w:val="es-ES" w:eastAsia="es-ES"/>
        </w:rPr>
        <w:t xml:space="preserve"> sujetos obligados que contratan con recursos públicos y recursos privados, deben publicar la información de su gestión contractual con cargo a recursos públicos en el Sistema Electrónico para la Contratación Pública [SECOP]».</w:t>
      </w:r>
    </w:p>
    <w:p w14:paraId="3DD1E0EC" w14:textId="77777777" w:rsidR="00BC1F25" w:rsidRPr="0088099E" w:rsidRDefault="00BC1F25" w:rsidP="0088099E">
      <w:pPr>
        <w:pStyle w:val="Textonotapie"/>
        <w:ind w:right="49" w:firstLine="709"/>
        <w:jc w:val="both"/>
        <w:rPr>
          <w:rFonts w:ascii="Arial" w:hAnsi="Arial" w:cs="Arial"/>
          <w:color w:val="000000" w:themeColor="text1"/>
          <w:sz w:val="19"/>
          <w:szCs w:val="19"/>
          <w:lang w:val="es-ES" w:eastAsia="es-ES"/>
        </w:rPr>
      </w:pPr>
    </w:p>
  </w:footnote>
  <w:footnote w:id="6">
    <w:p w14:paraId="37AE9B05" w14:textId="77777777" w:rsidR="00BC1F25" w:rsidRPr="0088099E" w:rsidRDefault="00BC1F25" w:rsidP="0088099E">
      <w:pPr>
        <w:pStyle w:val="Textonotapie"/>
        <w:ind w:firstLine="708"/>
        <w:jc w:val="both"/>
        <w:rPr>
          <w:rFonts w:ascii="Arial" w:hAnsi="Arial" w:cs="Arial"/>
          <w:sz w:val="19"/>
          <w:szCs w:val="19"/>
          <w:lang w:val="es-CO"/>
        </w:rPr>
      </w:pPr>
      <w:r w:rsidRPr="0088099E">
        <w:rPr>
          <w:rStyle w:val="Refdenotaalpie"/>
          <w:rFonts w:ascii="Arial" w:hAnsi="Arial" w:cs="Arial"/>
          <w:sz w:val="19"/>
          <w:szCs w:val="19"/>
        </w:rPr>
        <w:footnoteRef/>
      </w:r>
      <w:r w:rsidRPr="0088099E">
        <w:rPr>
          <w:rFonts w:ascii="Arial" w:hAnsi="Arial" w:cs="Arial"/>
          <w:sz w:val="19"/>
          <w:szCs w:val="19"/>
        </w:rPr>
        <w:t xml:space="preserve">  Ley 1712 de 2014 «Artículo 2</w:t>
      </w:r>
      <w:proofErr w:type="gramStart"/>
      <w:r w:rsidRPr="0088099E">
        <w:rPr>
          <w:rFonts w:ascii="Arial" w:hAnsi="Arial" w:cs="Arial"/>
          <w:sz w:val="19"/>
          <w:szCs w:val="19"/>
        </w:rPr>
        <w:t>°.Principio</w:t>
      </w:r>
      <w:proofErr w:type="gramEnd"/>
      <w:r w:rsidRPr="0088099E">
        <w:rPr>
          <w:rFonts w:ascii="Arial" w:hAnsi="Arial" w:cs="Arial"/>
          <w:sz w:val="19"/>
          <w:szCs w:val="19"/>
        </w:rPr>
        <w:t xml:space="preserve">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7">
    <w:p w14:paraId="407DEE20" w14:textId="77777777" w:rsidR="00BC1F25" w:rsidRPr="0088099E" w:rsidRDefault="00BC1F25" w:rsidP="0088099E">
      <w:pPr>
        <w:pStyle w:val="Textonotapie"/>
        <w:jc w:val="both"/>
        <w:rPr>
          <w:rFonts w:ascii="Arial" w:hAnsi="Arial" w:cs="Arial"/>
          <w:sz w:val="19"/>
          <w:szCs w:val="19"/>
        </w:rPr>
      </w:pPr>
    </w:p>
    <w:p w14:paraId="3A251D43" w14:textId="77777777" w:rsidR="00BC1F25" w:rsidRPr="0088099E" w:rsidRDefault="00BC1F25" w:rsidP="0088099E">
      <w:pPr>
        <w:pStyle w:val="NormalWeb"/>
        <w:spacing w:before="0" w:beforeAutospacing="0" w:after="0" w:afterAutospacing="0"/>
        <w:ind w:firstLine="708"/>
        <w:jc w:val="both"/>
        <w:rPr>
          <w:rFonts w:ascii="Arial" w:hAnsi="Arial" w:cs="Arial"/>
          <w:color w:val="000000"/>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Ley 1712 de 2014 </w:t>
      </w:r>
      <w:proofErr w:type="gramStart"/>
      <w:r w:rsidRPr="0088099E">
        <w:rPr>
          <w:rFonts w:ascii="Arial" w:hAnsi="Arial" w:cs="Arial"/>
          <w:sz w:val="19"/>
          <w:szCs w:val="19"/>
        </w:rPr>
        <w:t>«</w:t>
      </w:r>
      <w:r w:rsidRPr="0088099E">
        <w:rPr>
          <w:rStyle w:val="PiedepginaCar"/>
          <w:rFonts w:ascii="Arial" w:hAnsi="Arial" w:cs="Arial"/>
          <w:color w:val="000000"/>
          <w:sz w:val="19"/>
          <w:szCs w:val="19"/>
        </w:rPr>
        <w:t xml:space="preserve"> </w:t>
      </w:r>
      <w:r w:rsidRPr="0088099E">
        <w:rPr>
          <w:rFonts w:ascii="Arial" w:hAnsi="Arial" w:cs="Arial"/>
          <w:color w:val="000000"/>
          <w:sz w:val="19"/>
          <w:szCs w:val="19"/>
        </w:rPr>
        <w:t>Artículo</w:t>
      </w:r>
      <w:proofErr w:type="gramEnd"/>
      <w:r w:rsidRPr="0088099E">
        <w:rPr>
          <w:rFonts w:ascii="Arial" w:hAnsi="Arial" w:cs="Arial"/>
          <w:color w:val="000000"/>
          <w:sz w:val="19"/>
          <w:szCs w:val="19"/>
        </w:rPr>
        <w:t xml:space="preserve"> 3°.Otros principios de la transparencia y acceso a la información pública. En la interpretación del derecho de acceso a la información se deberá adoptar un criterio de razonabilidad y proporcionalidad, así como aplicar los siguientes principios: </w:t>
      </w:r>
    </w:p>
    <w:p w14:paraId="3CE072CD" w14:textId="77777777" w:rsidR="00BC1F25" w:rsidRPr="0088099E" w:rsidRDefault="00BC1F25" w:rsidP="0088099E">
      <w:pPr>
        <w:jc w:val="both"/>
        <w:rPr>
          <w:rFonts w:ascii="Arial" w:hAnsi="Arial" w:cs="Arial"/>
          <w:color w:val="000000"/>
          <w:sz w:val="19"/>
          <w:szCs w:val="19"/>
          <w:lang w:eastAsia="es-CO"/>
        </w:rPr>
      </w:pPr>
      <w:r w:rsidRPr="0088099E">
        <w:rPr>
          <w:rFonts w:ascii="Arial" w:hAnsi="Arial" w:cs="Arial"/>
          <w:color w:val="000000"/>
          <w:sz w:val="19"/>
          <w:szCs w:val="19"/>
          <w:lang w:eastAsia="es-CO"/>
        </w:rPr>
        <w:t> </w:t>
      </w:r>
      <w:r w:rsidRPr="0088099E">
        <w:rPr>
          <w:rFonts w:ascii="Arial" w:hAnsi="Arial" w:cs="Arial"/>
          <w:color w:val="000000"/>
          <w:sz w:val="19"/>
          <w:szCs w:val="19"/>
          <w:lang w:eastAsia="es-CO"/>
        </w:rPr>
        <w:tab/>
      </w:r>
      <w:proofErr w:type="gramStart"/>
      <w:r w:rsidRPr="0088099E">
        <w:rPr>
          <w:rFonts w:ascii="Arial" w:hAnsi="Arial" w:cs="Arial"/>
          <w:color w:val="000000"/>
          <w:sz w:val="19"/>
          <w:szCs w:val="19"/>
          <w:lang w:eastAsia="es-CO"/>
        </w:rPr>
        <w:t>»Principio</w:t>
      </w:r>
      <w:proofErr w:type="gramEnd"/>
      <w:r w:rsidRPr="0088099E">
        <w:rPr>
          <w:rFonts w:ascii="Arial" w:hAnsi="Arial" w:cs="Arial"/>
          <w:color w:val="000000"/>
          <w:sz w:val="19"/>
          <w:szCs w:val="19"/>
          <w:lang w:eastAsia="es-CO"/>
        </w:rPr>
        <w:t xml:space="preserve"> de transparencia. Principio conforme al cual toda la información en poder de los sujetos obligados definidos en esta ley se presume pública, en </w:t>
      </w:r>
      <w:proofErr w:type="gramStart"/>
      <w:r w:rsidRPr="0088099E">
        <w:rPr>
          <w:rFonts w:ascii="Arial" w:hAnsi="Arial" w:cs="Arial"/>
          <w:color w:val="000000"/>
          <w:sz w:val="19"/>
          <w:szCs w:val="19"/>
          <w:lang w:eastAsia="es-CO"/>
        </w:rPr>
        <w:t>consecuencia</w:t>
      </w:r>
      <w:proofErr w:type="gramEnd"/>
      <w:r w:rsidRPr="0088099E">
        <w:rPr>
          <w:rFonts w:ascii="Arial" w:hAnsi="Arial" w:cs="Arial"/>
          <w:color w:val="000000"/>
          <w:sz w:val="19"/>
          <w:szCs w:val="19"/>
          <w:lang w:eastAsia="es-CO"/>
        </w:rPr>
        <w:t xml:space="preserve">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 </w:t>
      </w:r>
    </w:p>
    <w:p w14:paraId="09A0E5B0" w14:textId="77777777" w:rsidR="00BC1F25" w:rsidRPr="0088099E" w:rsidRDefault="00BC1F25" w:rsidP="0088099E">
      <w:pPr>
        <w:jc w:val="both"/>
        <w:rPr>
          <w:rFonts w:ascii="Arial" w:hAnsi="Arial" w:cs="Arial"/>
          <w:color w:val="000000"/>
          <w:sz w:val="19"/>
          <w:szCs w:val="19"/>
          <w:lang w:eastAsia="es-CO"/>
        </w:rPr>
      </w:pPr>
      <w:r w:rsidRPr="0088099E">
        <w:rPr>
          <w:rFonts w:ascii="Arial" w:hAnsi="Arial" w:cs="Arial"/>
          <w:color w:val="000000"/>
          <w:sz w:val="19"/>
          <w:szCs w:val="19"/>
          <w:lang w:eastAsia="es-CO"/>
        </w:rPr>
        <w:t>  </w:t>
      </w:r>
      <w:r w:rsidRPr="0088099E">
        <w:rPr>
          <w:rFonts w:ascii="Arial" w:hAnsi="Arial" w:cs="Arial"/>
          <w:color w:val="000000"/>
          <w:sz w:val="19"/>
          <w:szCs w:val="19"/>
          <w:lang w:eastAsia="es-CO"/>
        </w:rPr>
        <w:tab/>
        <w:t>[…] </w:t>
      </w:r>
    </w:p>
    <w:p w14:paraId="7C9841CA" w14:textId="77777777" w:rsidR="00BC1F25" w:rsidRPr="0088099E" w:rsidRDefault="00BC1F25" w:rsidP="0088099E">
      <w:pPr>
        <w:jc w:val="both"/>
        <w:rPr>
          <w:rFonts w:ascii="Arial" w:hAnsi="Arial" w:cs="Arial"/>
          <w:color w:val="000000"/>
          <w:sz w:val="19"/>
          <w:szCs w:val="19"/>
          <w:lang w:eastAsia="es-CO"/>
        </w:rPr>
      </w:pPr>
      <w:r w:rsidRPr="0088099E">
        <w:rPr>
          <w:rFonts w:ascii="Arial" w:hAnsi="Arial" w:cs="Arial"/>
          <w:color w:val="000000"/>
          <w:sz w:val="19"/>
          <w:szCs w:val="19"/>
          <w:lang w:eastAsia="es-CO"/>
        </w:rPr>
        <w:t>  </w:t>
      </w:r>
      <w:r w:rsidRPr="0088099E">
        <w:rPr>
          <w:rFonts w:ascii="Arial" w:hAnsi="Arial" w:cs="Arial"/>
          <w:color w:val="000000"/>
          <w:sz w:val="19"/>
          <w:szCs w:val="19"/>
          <w:lang w:eastAsia="es-CO"/>
        </w:rPr>
        <w:tab/>
      </w:r>
      <w:proofErr w:type="gramStart"/>
      <w:r w:rsidRPr="0088099E">
        <w:rPr>
          <w:rFonts w:ascii="Arial" w:hAnsi="Arial" w:cs="Arial"/>
          <w:color w:val="000000"/>
          <w:sz w:val="19"/>
          <w:szCs w:val="19"/>
          <w:lang w:eastAsia="es-CO"/>
        </w:rPr>
        <w:t>»Principio</w:t>
      </w:r>
      <w:proofErr w:type="gramEnd"/>
      <w:r w:rsidRPr="0088099E">
        <w:rPr>
          <w:rFonts w:ascii="Arial" w:hAnsi="Arial" w:cs="Arial"/>
          <w:color w:val="000000"/>
          <w:sz w:val="19"/>
          <w:szCs w:val="19"/>
          <w:lang w:eastAsia="es-CO"/>
        </w:rPr>
        <w:t xml:space="preserve"> de facilitación. En virtud de este principio los sujetos obligados deberán facilitar el ejercicio del derecho de acceso a la información pública, excluyendo exigencias o requisitos que puedan obstruirlo o impedirlo. </w:t>
      </w:r>
    </w:p>
    <w:p w14:paraId="7820CCB4" w14:textId="77777777" w:rsidR="00BC1F25" w:rsidRPr="0088099E" w:rsidRDefault="00BC1F25" w:rsidP="0088099E">
      <w:pPr>
        <w:jc w:val="both"/>
        <w:rPr>
          <w:rFonts w:ascii="Arial" w:hAnsi="Arial" w:cs="Arial"/>
          <w:color w:val="000000"/>
          <w:sz w:val="19"/>
          <w:szCs w:val="19"/>
          <w:lang w:eastAsia="es-CO"/>
        </w:rPr>
      </w:pPr>
      <w:r w:rsidRPr="0088099E">
        <w:rPr>
          <w:rFonts w:ascii="Arial" w:hAnsi="Arial" w:cs="Arial"/>
          <w:color w:val="000000"/>
          <w:sz w:val="19"/>
          <w:szCs w:val="19"/>
          <w:lang w:eastAsia="es-CO"/>
        </w:rPr>
        <w:t>  </w:t>
      </w:r>
      <w:r w:rsidRPr="0088099E">
        <w:rPr>
          <w:rFonts w:ascii="Arial" w:hAnsi="Arial" w:cs="Arial"/>
          <w:color w:val="000000"/>
          <w:sz w:val="19"/>
          <w:szCs w:val="19"/>
          <w:lang w:eastAsia="es-CO"/>
        </w:rPr>
        <w:tab/>
        <w:t>[…]</w:t>
      </w:r>
    </w:p>
    <w:p w14:paraId="1D5A0C01" w14:textId="77777777" w:rsidR="00BC1F25" w:rsidRPr="0088099E" w:rsidRDefault="00BC1F25" w:rsidP="0088099E">
      <w:pPr>
        <w:jc w:val="both"/>
        <w:rPr>
          <w:rFonts w:ascii="Arial" w:hAnsi="Arial" w:cs="Arial"/>
          <w:sz w:val="19"/>
          <w:szCs w:val="19"/>
        </w:rPr>
      </w:pPr>
      <w:r w:rsidRPr="0088099E">
        <w:rPr>
          <w:rFonts w:ascii="Arial" w:hAnsi="Arial" w:cs="Arial"/>
          <w:color w:val="000000"/>
          <w:sz w:val="19"/>
          <w:szCs w:val="19"/>
          <w:lang w:eastAsia="es-CO"/>
        </w:rPr>
        <w:t>  </w:t>
      </w:r>
      <w:r w:rsidRPr="0088099E">
        <w:rPr>
          <w:rFonts w:ascii="Arial" w:hAnsi="Arial" w:cs="Arial"/>
          <w:color w:val="000000"/>
          <w:sz w:val="19"/>
          <w:szCs w:val="19"/>
          <w:lang w:eastAsia="es-CO"/>
        </w:rPr>
        <w:tab/>
        <w:t>» Principio de la divulgación proactiva de la información. El derecho de acceso a la información no radica únicamente en la obligación de dar respuesta a las peticiones de la sociedad, sino también en el deber de los sujetos obligados de promover y generar una cultura de transparencia, lo que conlleva la obligación de publicar y divulgar documentos y archivos que plasman la actividad estatal y de interés público, de forma rutinaria y proactiva, actualizada, accesible y comprensible, atendiendo a límites razonables del talento humano y recursos físicos y financieros […]».</w:t>
      </w:r>
    </w:p>
  </w:footnote>
  <w:footnote w:id="8">
    <w:p w14:paraId="228B4A85" w14:textId="77777777" w:rsidR="00BC1F25" w:rsidRPr="0088099E" w:rsidRDefault="00BC1F25" w:rsidP="0088099E">
      <w:pPr>
        <w:pStyle w:val="Textonotapie"/>
        <w:ind w:firstLine="708"/>
        <w:jc w:val="both"/>
        <w:rPr>
          <w:rFonts w:ascii="Arial" w:hAnsi="Arial" w:cs="Arial"/>
          <w:sz w:val="19"/>
          <w:szCs w:val="19"/>
        </w:rPr>
      </w:pPr>
    </w:p>
    <w:p w14:paraId="54B6A715" w14:textId="77777777" w:rsidR="00BC1F25" w:rsidRPr="0088099E" w:rsidRDefault="00BC1F25" w:rsidP="0088099E">
      <w:pPr>
        <w:pStyle w:val="Textonotapie"/>
        <w:ind w:firstLine="708"/>
        <w:jc w:val="both"/>
        <w:rPr>
          <w:rFonts w:ascii="Arial"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Ley 80 de 1993 «Artículo 24. Del principio de transparencia. En virtud de este principio: </w:t>
      </w:r>
    </w:p>
    <w:p w14:paraId="7E34B781"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w:t>
      </w:r>
    </w:p>
    <w:p w14:paraId="4770B8C3" w14:textId="77777777" w:rsidR="00BC1F25" w:rsidRPr="0088099E" w:rsidRDefault="00BC1F25" w:rsidP="0088099E">
      <w:pPr>
        <w:pStyle w:val="Textonotapie"/>
        <w:ind w:firstLine="708"/>
        <w:jc w:val="both"/>
        <w:rPr>
          <w:rFonts w:ascii="Arial" w:hAnsi="Arial" w:cs="Arial"/>
          <w:sz w:val="19"/>
          <w:szCs w:val="19"/>
          <w:lang w:val="es-CO"/>
        </w:rPr>
      </w:pPr>
      <w:r w:rsidRPr="0088099E">
        <w:rPr>
          <w:rFonts w:ascii="Arial" w:hAnsi="Arial" w:cs="Arial"/>
          <w:sz w:val="19"/>
          <w:szCs w:val="19"/>
        </w:rPr>
        <w:t>»4o. Las autoridades expedirán a costa de aquellas personas que demuestren interés legítimo, copias de las actuaciones y propuestas recibidas, respetando la reserva de que gocen legalmente las patentes, procedimientos y privilegios».</w:t>
      </w:r>
    </w:p>
    <w:p w14:paraId="4A6CF611" w14:textId="77777777" w:rsidR="00BC1F25" w:rsidRPr="0088099E" w:rsidRDefault="00BC1F25" w:rsidP="0088099E">
      <w:pPr>
        <w:pStyle w:val="Textonotapie"/>
        <w:ind w:firstLine="708"/>
        <w:jc w:val="both"/>
        <w:rPr>
          <w:rFonts w:ascii="Arial" w:hAnsi="Arial" w:cs="Arial"/>
          <w:sz w:val="19"/>
          <w:szCs w:val="19"/>
          <w:lang w:val="es-CO"/>
        </w:rPr>
      </w:pPr>
      <w:r w:rsidRPr="0088099E">
        <w:rPr>
          <w:rFonts w:ascii="Arial" w:hAnsi="Arial" w:cs="Arial"/>
          <w:sz w:val="19"/>
          <w:szCs w:val="19"/>
        </w:rPr>
        <w:t xml:space="preserve"> </w:t>
      </w:r>
    </w:p>
  </w:footnote>
  <w:footnote w:id="9">
    <w:p w14:paraId="5128D339" w14:textId="77777777" w:rsidR="00BC1F25" w:rsidRPr="0088099E" w:rsidRDefault="00BC1F25" w:rsidP="0088099E">
      <w:pPr>
        <w:pStyle w:val="Textonotapie"/>
        <w:ind w:firstLine="708"/>
        <w:jc w:val="both"/>
        <w:rPr>
          <w:rFonts w:ascii="Arial"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Ley 1712 de 2014«Artículo 2</w:t>
      </w:r>
      <w:proofErr w:type="gramStart"/>
      <w:r w:rsidRPr="0088099E">
        <w:rPr>
          <w:rFonts w:ascii="Arial" w:hAnsi="Arial" w:cs="Arial"/>
          <w:sz w:val="19"/>
          <w:szCs w:val="19"/>
        </w:rPr>
        <w:t>°.Principio</w:t>
      </w:r>
      <w:proofErr w:type="gramEnd"/>
      <w:r w:rsidRPr="0088099E">
        <w:rPr>
          <w:rFonts w:ascii="Arial" w:hAnsi="Arial" w:cs="Arial"/>
          <w:sz w:val="19"/>
          <w:szCs w:val="19"/>
        </w:rPr>
        <w:t xml:space="preserve"> de máxima publicidad para titular universal. Toda información en posesión, bajo control o custodia de un sujeto obligado es pública y no podrá ser reservada o limitada sino por disposición constitucional o legal, de conformidad con la presente ley».</w:t>
      </w:r>
    </w:p>
    <w:p w14:paraId="263C24E0" w14:textId="77777777" w:rsidR="00BC1F25" w:rsidRPr="0088099E" w:rsidRDefault="00BC1F25" w:rsidP="0088099E">
      <w:pPr>
        <w:pStyle w:val="Textonotapie"/>
        <w:jc w:val="both"/>
        <w:rPr>
          <w:rFonts w:ascii="Arial" w:hAnsi="Arial" w:cs="Arial"/>
          <w:sz w:val="19"/>
          <w:szCs w:val="19"/>
          <w:lang w:val="es-CO"/>
        </w:rPr>
      </w:pPr>
    </w:p>
  </w:footnote>
  <w:footnote w:id="10">
    <w:p w14:paraId="6C5F5FD1" w14:textId="77777777" w:rsidR="00BC1F25" w:rsidRPr="0088099E" w:rsidRDefault="00BC1F25" w:rsidP="0088099E">
      <w:pPr>
        <w:pStyle w:val="Textonotapie"/>
        <w:ind w:firstLine="708"/>
        <w:jc w:val="both"/>
        <w:rPr>
          <w:rFonts w:ascii="Arial"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MATALLANA CAMACHO Ernesto. Manual de Contratación de la Administración Pública. Reforma a la Ley 80 de 1993. Universidad Externado de Colombia, Cuarta edición, 2015, </w:t>
      </w:r>
      <w:proofErr w:type="spellStart"/>
      <w:r w:rsidRPr="0088099E">
        <w:rPr>
          <w:rFonts w:ascii="Arial" w:hAnsi="Arial" w:cs="Arial"/>
          <w:sz w:val="19"/>
          <w:szCs w:val="19"/>
        </w:rPr>
        <w:t>pp</w:t>
      </w:r>
      <w:proofErr w:type="spellEnd"/>
      <w:r w:rsidRPr="0088099E">
        <w:rPr>
          <w:rFonts w:ascii="Arial" w:hAnsi="Arial" w:cs="Arial"/>
          <w:sz w:val="19"/>
          <w:szCs w:val="19"/>
        </w:rPr>
        <w:t xml:space="preserve"> 139.</w:t>
      </w:r>
    </w:p>
    <w:p w14:paraId="21EBC8D8" w14:textId="77777777" w:rsidR="00BC1F25" w:rsidRPr="0088099E" w:rsidRDefault="00BC1F25" w:rsidP="0088099E">
      <w:pPr>
        <w:pStyle w:val="Textonotapie"/>
        <w:ind w:firstLine="708"/>
        <w:jc w:val="both"/>
        <w:rPr>
          <w:rFonts w:ascii="Arial" w:hAnsi="Arial" w:cs="Arial"/>
          <w:sz w:val="19"/>
          <w:szCs w:val="19"/>
          <w:lang w:val="es-CO"/>
        </w:rPr>
      </w:pPr>
      <w:r w:rsidRPr="0088099E">
        <w:rPr>
          <w:rFonts w:ascii="Arial" w:hAnsi="Arial" w:cs="Arial"/>
          <w:sz w:val="19"/>
          <w:szCs w:val="19"/>
        </w:rPr>
        <w:t xml:space="preserve">  </w:t>
      </w:r>
    </w:p>
  </w:footnote>
  <w:footnote w:id="11">
    <w:p w14:paraId="6D84B9F1" w14:textId="77777777" w:rsidR="00BC1F25" w:rsidRPr="0088099E" w:rsidRDefault="00BC1F25" w:rsidP="0088099E">
      <w:pPr>
        <w:pStyle w:val="Textonotapie"/>
        <w:ind w:firstLine="708"/>
        <w:jc w:val="both"/>
        <w:rPr>
          <w:rFonts w:ascii="Arial"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Ley 1437 de 2011 «Artículo 24. Informaciones y documentos reservados. Solo tendrán carácter reservado las informaciones y documentos expresamente sometidos a reserva por la Constitución Política o la ley, y en especial:  </w:t>
      </w:r>
    </w:p>
    <w:p w14:paraId="17DE4A97"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»1. Los relacionados con la defensa o seguridad nacionales.  </w:t>
      </w:r>
    </w:p>
    <w:p w14:paraId="45E03608"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»2. Las instrucciones en materia diplomática o sobre negociaciones reservadas.  </w:t>
      </w:r>
    </w:p>
    <w:p w14:paraId="4585AD11"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344D4F0D"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14DE7274"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»5. Los datos referentes a la información financiera y comercial, en los términos de la Ley Estatutaria 1266 de 2008.  </w:t>
      </w:r>
    </w:p>
    <w:p w14:paraId="34D97F9E"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»6. Los protegidos por el secreto comercial o industrial, así como los planes estratégicos de las empresas públicas de servicios públicos.  </w:t>
      </w:r>
    </w:p>
    <w:p w14:paraId="1701A213"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»7. Los amparados por el secreto profesional.  </w:t>
      </w:r>
    </w:p>
    <w:p w14:paraId="34B365EE"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 xml:space="preserve">»8. Los datos genéticos humanos.  </w:t>
      </w:r>
    </w:p>
    <w:p w14:paraId="615A29AF" w14:textId="77777777" w:rsidR="00BC1F25" w:rsidRPr="0088099E" w:rsidRDefault="00BC1F25" w:rsidP="0088099E">
      <w:pPr>
        <w:pStyle w:val="Textonotapie"/>
        <w:ind w:firstLine="708"/>
        <w:jc w:val="both"/>
        <w:rPr>
          <w:rFonts w:ascii="Arial" w:hAnsi="Arial" w:cs="Arial"/>
          <w:sz w:val="19"/>
          <w:szCs w:val="19"/>
        </w:rPr>
      </w:pPr>
      <w:proofErr w:type="gramStart"/>
      <w:r w:rsidRPr="0088099E">
        <w:rPr>
          <w:rFonts w:ascii="Arial" w:hAnsi="Arial" w:cs="Arial"/>
          <w:sz w:val="19"/>
          <w:szCs w:val="19"/>
        </w:rPr>
        <w:t>»Parágrafo</w:t>
      </w:r>
      <w:proofErr w:type="gramEnd"/>
      <w:r w:rsidRPr="0088099E">
        <w:rPr>
          <w:rFonts w:ascii="Arial" w:hAnsi="Arial" w:cs="Arial"/>
          <w:sz w:val="19"/>
          <w:szCs w:val="19"/>
        </w:rPr>
        <w:t xml:space="preserve">.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5AFE10B0" w14:textId="77777777" w:rsidR="00BC1F25" w:rsidRPr="0088099E" w:rsidRDefault="00BC1F25" w:rsidP="0088099E">
      <w:pPr>
        <w:pStyle w:val="Textonotapie"/>
        <w:ind w:firstLine="708"/>
        <w:jc w:val="both"/>
        <w:rPr>
          <w:rFonts w:ascii="Arial" w:hAnsi="Arial" w:cs="Arial"/>
          <w:sz w:val="19"/>
          <w:szCs w:val="19"/>
        </w:rPr>
      </w:pPr>
    </w:p>
  </w:footnote>
  <w:footnote w:id="12">
    <w:p w14:paraId="5FD32247" w14:textId="77777777" w:rsidR="00BC1F25" w:rsidRPr="0088099E" w:rsidRDefault="00BC1F25" w:rsidP="0088099E">
      <w:pPr>
        <w:pStyle w:val="Textonotapie"/>
        <w:ind w:firstLine="708"/>
        <w:jc w:val="both"/>
        <w:rPr>
          <w:rFonts w:ascii="Arial" w:eastAsia="Calibri"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Resultan relevantes las consideraciones expuestas en el concepto C- 322 del 16 de junio de 2020 –radicado No. 2202013000005088–, sobre la aplicación del artículo 36 del CPACA en torno al manejo de información reservada en cuadernos separados: «</w:t>
      </w:r>
      <w:r w:rsidRPr="0088099E">
        <w:rPr>
          <w:rFonts w:ascii="Arial" w:eastAsia="Calibri" w:hAnsi="Arial" w:cs="Arial"/>
          <w:sz w:val="19"/>
          <w:szCs w:val="19"/>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p w14:paraId="41D6DEAD" w14:textId="77777777" w:rsidR="00BC1F25" w:rsidRPr="0088099E" w:rsidRDefault="00BC1F25" w:rsidP="0088099E">
      <w:pPr>
        <w:pStyle w:val="Textonotapie"/>
        <w:ind w:firstLine="708"/>
        <w:jc w:val="both"/>
        <w:rPr>
          <w:rFonts w:ascii="Arial" w:hAnsi="Arial" w:cs="Arial"/>
          <w:sz w:val="19"/>
          <w:szCs w:val="19"/>
        </w:rPr>
      </w:pPr>
    </w:p>
  </w:footnote>
  <w:footnote w:id="13">
    <w:p w14:paraId="6B29675D" w14:textId="77777777" w:rsidR="00BC1F25" w:rsidRPr="0088099E" w:rsidRDefault="00BC1F25" w:rsidP="0088099E">
      <w:pPr>
        <w:pStyle w:val="Textonotapie"/>
        <w:ind w:firstLine="708"/>
        <w:jc w:val="both"/>
        <w:rPr>
          <w:rFonts w:ascii="Arial"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«Artículo 21. DIVULGACIÓN PARCIAL Y OTRAS REGLAS. En aquellas circunstancias en que la totalidad de la información contenida en un documento no esté protegida por una excepción contenida en la presente ley, debe hacerse una versión pública que mantenga la reserva únicamente de la parte indispensable. La información pública que no cae en ningún supuesto de excepción deberá ser entregada a la parte solicitante, así como ser de conocimiento público. La reserva de acceso a la información opera respecto del contenido de un documento </w:t>
      </w:r>
      <w:proofErr w:type="gramStart"/>
      <w:r w:rsidRPr="0088099E">
        <w:rPr>
          <w:rFonts w:ascii="Arial" w:hAnsi="Arial" w:cs="Arial"/>
          <w:sz w:val="19"/>
          <w:szCs w:val="19"/>
        </w:rPr>
        <w:t>público</w:t>
      </w:r>
      <w:proofErr w:type="gramEnd"/>
      <w:r w:rsidRPr="0088099E">
        <w:rPr>
          <w:rFonts w:ascii="Arial" w:hAnsi="Arial" w:cs="Arial"/>
          <w:sz w:val="19"/>
          <w:szCs w:val="19"/>
        </w:rPr>
        <w:t xml:space="preserve"> pero no de su existencia.</w:t>
      </w:r>
    </w:p>
    <w:p w14:paraId="2E6F56CB" w14:textId="77777777" w:rsidR="00BC1F25" w:rsidRPr="0088099E" w:rsidRDefault="00BC1F25" w:rsidP="0088099E">
      <w:pPr>
        <w:pStyle w:val="Textonotapie"/>
        <w:ind w:firstLine="708"/>
        <w:jc w:val="both"/>
        <w:rPr>
          <w:rFonts w:ascii="Arial" w:hAnsi="Arial" w:cs="Arial"/>
          <w:sz w:val="19"/>
          <w:szCs w:val="19"/>
        </w:rPr>
      </w:pPr>
      <w:proofErr w:type="gramStart"/>
      <w:r w:rsidRPr="0088099E">
        <w:rPr>
          <w:rFonts w:ascii="Arial" w:hAnsi="Arial" w:cs="Arial"/>
          <w:sz w:val="19"/>
          <w:szCs w:val="19"/>
        </w:rPr>
        <w:t>»Ninguna</w:t>
      </w:r>
      <w:proofErr w:type="gramEnd"/>
      <w:r w:rsidRPr="0088099E">
        <w:rPr>
          <w:rFonts w:ascii="Arial" w:hAnsi="Arial" w:cs="Arial"/>
          <w:sz w:val="19"/>
          <w:szCs w:val="19"/>
        </w:rPr>
        <w:t xml:space="preserve"> autoridad pública puede negarse a indicar si un documento obra o no en su poder o negar la divulgación de un documento, salvo que el daño causado al interés protegido sea mayor al interés público de obtener acceso a la información.</w:t>
      </w:r>
    </w:p>
    <w:p w14:paraId="006174E7" w14:textId="77777777" w:rsidR="00BC1F25" w:rsidRPr="0088099E" w:rsidRDefault="00BC1F25" w:rsidP="0088099E">
      <w:pPr>
        <w:pStyle w:val="Textonotapie"/>
        <w:ind w:firstLine="708"/>
        <w:jc w:val="both"/>
        <w:rPr>
          <w:rFonts w:ascii="Arial" w:hAnsi="Arial" w:cs="Arial"/>
          <w:sz w:val="19"/>
          <w:szCs w:val="19"/>
          <w:lang w:val="es-CO"/>
        </w:rPr>
      </w:pPr>
      <w:proofErr w:type="gramStart"/>
      <w:r w:rsidRPr="0088099E">
        <w:rPr>
          <w:rFonts w:ascii="Arial" w:hAnsi="Arial" w:cs="Arial"/>
          <w:sz w:val="19"/>
          <w:szCs w:val="19"/>
        </w:rPr>
        <w:t>»Las</w:t>
      </w:r>
      <w:proofErr w:type="gramEnd"/>
      <w:r w:rsidRPr="0088099E">
        <w:rPr>
          <w:rFonts w:ascii="Arial" w:hAnsi="Arial" w:cs="Arial"/>
          <w:sz w:val="19"/>
          <w:szCs w:val="19"/>
        </w:rPr>
        <w:t xml:space="preserve"> excepciones de acceso a la información contenidas en la presente ley no aplican en casos de violación de derechos humanos o delitos de lesa humanidad, y en todo caso deberán protegerse los derechos de las víctimas de dichas violaciones».</w:t>
      </w:r>
    </w:p>
  </w:footnote>
  <w:footnote w:id="14">
    <w:p w14:paraId="35CE7C83" w14:textId="77777777" w:rsidR="00BC1F25" w:rsidRPr="0088099E" w:rsidRDefault="00BC1F25" w:rsidP="0088099E">
      <w:pPr>
        <w:pStyle w:val="Textonotapie"/>
        <w:ind w:firstLine="708"/>
        <w:jc w:val="both"/>
        <w:rPr>
          <w:rFonts w:ascii="Arial"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Ley 1712 de 2014. «Art. 19 Información exceptuada por daño a los intereses públicos. Es toda aquella información pública reservada, cuyo acceso podrá ser rechazado o denegado de manera motivada y por escrito en las siguientes circunstancias, siempre que dicho acceso estuviere expresamente prohibido por una norma legal o constitucional:</w:t>
      </w:r>
    </w:p>
    <w:p w14:paraId="4D8B8914"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«a) La defensa y seguridad nacional;».</w:t>
      </w:r>
    </w:p>
    <w:p w14:paraId="7D16A42C"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De otro lado, el artículo 24 de la Ley 1437 de 2011, sustituido por la Ley 1755 de 2015 establece: «Artículo 24. Informaciones y documentos reservados. Solo tendrán carácter reservado las informaciones y documentos expresamente sometidos a reserva por la Constitución Política o la ley, y en especial:</w:t>
      </w:r>
    </w:p>
    <w:p w14:paraId="68A51901" w14:textId="77777777" w:rsidR="00BC1F25" w:rsidRPr="0088099E" w:rsidRDefault="00BC1F25" w:rsidP="0088099E">
      <w:pPr>
        <w:pStyle w:val="Textonotapie"/>
        <w:ind w:firstLine="708"/>
        <w:jc w:val="both"/>
        <w:rPr>
          <w:rFonts w:ascii="Arial" w:hAnsi="Arial" w:cs="Arial"/>
          <w:sz w:val="19"/>
          <w:szCs w:val="19"/>
        </w:rPr>
      </w:pPr>
      <w:r w:rsidRPr="0088099E">
        <w:rPr>
          <w:rFonts w:ascii="Arial" w:hAnsi="Arial" w:cs="Arial"/>
          <w:sz w:val="19"/>
          <w:szCs w:val="19"/>
        </w:rPr>
        <w:t>»1. Los relacionados con la defensa o seguridad nacionales».</w:t>
      </w:r>
    </w:p>
    <w:p w14:paraId="20BD204B" w14:textId="77777777" w:rsidR="00BC1F25" w:rsidRPr="0088099E" w:rsidRDefault="00BC1F25" w:rsidP="0088099E">
      <w:pPr>
        <w:pStyle w:val="Textonotapie"/>
        <w:ind w:firstLine="708"/>
        <w:jc w:val="both"/>
        <w:rPr>
          <w:rFonts w:ascii="Arial" w:hAnsi="Arial" w:cs="Arial"/>
          <w:sz w:val="19"/>
          <w:szCs w:val="19"/>
          <w:lang w:val="es-CO"/>
        </w:rPr>
      </w:pPr>
    </w:p>
  </w:footnote>
  <w:footnote w:id="15">
    <w:p w14:paraId="128CAA6D" w14:textId="77777777" w:rsidR="00BC1F25" w:rsidRPr="0088099E" w:rsidRDefault="00BC1F25" w:rsidP="0088099E">
      <w:pPr>
        <w:pStyle w:val="Textonotapie"/>
        <w:ind w:firstLine="708"/>
        <w:jc w:val="both"/>
        <w:rPr>
          <w:rFonts w:ascii="Arial" w:hAnsi="Arial" w:cs="Arial"/>
          <w:sz w:val="19"/>
          <w:szCs w:val="19"/>
          <w:lang w:val="es-CO"/>
        </w:rPr>
      </w:pPr>
      <w:r w:rsidRPr="0088099E">
        <w:rPr>
          <w:rStyle w:val="Refdenotaalpie"/>
          <w:rFonts w:ascii="Arial" w:hAnsi="Arial" w:cs="Arial"/>
          <w:sz w:val="19"/>
          <w:szCs w:val="19"/>
        </w:rPr>
        <w:footnoteRef/>
      </w:r>
      <w:r w:rsidRPr="0088099E">
        <w:rPr>
          <w:rFonts w:ascii="Arial" w:hAnsi="Arial" w:cs="Arial"/>
          <w:sz w:val="19"/>
          <w:szCs w:val="19"/>
        </w:rPr>
        <w:t xml:space="preserve"> CONSEJO DE ESTADO. Sección Tercera. Subsección A. Sentencia del 24 de mayo de 2018. </w:t>
      </w:r>
      <w:proofErr w:type="spellStart"/>
      <w:r w:rsidRPr="0088099E">
        <w:rPr>
          <w:rFonts w:ascii="Arial" w:hAnsi="Arial" w:cs="Arial"/>
          <w:sz w:val="19"/>
          <w:szCs w:val="19"/>
        </w:rPr>
        <w:t>Exp</w:t>
      </w:r>
      <w:proofErr w:type="spellEnd"/>
      <w:r w:rsidRPr="0088099E">
        <w:rPr>
          <w:rFonts w:ascii="Arial" w:hAnsi="Arial" w:cs="Arial"/>
          <w:sz w:val="19"/>
          <w:szCs w:val="19"/>
        </w:rPr>
        <w:t>. 50.222. C.P. Marta Nubia Velásquez Rico.</w:t>
      </w:r>
    </w:p>
    <w:p w14:paraId="3972CE85" w14:textId="77777777" w:rsidR="00BC1F25" w:rsidRPr="0088099E" w:rsidRDefault="00BC1F25" w:rsidP="0088099E">
      <w:pPr>
        <w:pStyle w:val="Textonotapie"/>
        <w:jc w:val="both"/>
        <w:rPr>
          <w:rFonts w:ascii="Arial" w:hAnsi="Arial" w:cs="Arial"/>
          <w:sz w:val="19"/>
          <w:szCs w:val="19"/>
          <w:lang w:val="es-CO"/>
        </w:rPr>
      </w:pPr>
    </w:p>
  </w:footnote>
  <w:footnote w:id="16">
    <w:p w14:paraId="0469A3A1" w14:textId="77777777" w:rsidR="00BC1F25" w:rsidRPr="0088099E" w:rsidRDefault="00BC1F25" w:rsidP="00C933D6">
      <w:pPr>
        <w:pStyle w:val="Textonotapie"/>
        <w:ind w:firstLine="709"/>
        <w:jc w:val="both"/>
        <w:rPr>
          <w:rFonts w:ascii="Arial" w:hAnsi="Arial" w:cs="Arial"/>
          <w:i/>
          <w:iCs/>
          <w:sz w:val="19"/>
          <w:szCs w:val="19"/>
          <w:lang w:val="es-ES_tradnl"/>
        </w:rPr>
      </w:pPr>
      <w:r w:rsidRPr="0088099E">
        <w:rPr>
          <w:rStyle w:val="Refdenotaalpie"/>
          <w:rFonts w:ascii="Arial" w:hAnsi="Arial" w:cs="Arial"/>
          <w:sz w:val="19"/>
          <w:szCs w:val="19"/>
          <w:lang w:val="es-ES_tradnl"/>
        </w:rPr>
        <w:footnoteRef/>
      </w:r>
      <w:r w:rsidRPr="0088099E">
        <w:rPr>
          <w:rFonts w:ascii="Arial" w:hAnsi="Arial" w:cs="Arial"/>
          <w:sz w:val="19"/>
          <w:szCs w:val="19"/>
          <w:lang w:val="es-ES_tradnl"/>
        </w:rPr>
        <w:t xml:space="preserve"> (Cita propia de la sentencia) Sentencia C-274/13. MP. María Victoria Calle Correa. En esta providencia la Corte Constitucional declaró la </w:t>
      </w:r>
      <w:proofErr w:type="spellStart"/>
      <w:r w:rsidRPr="0088099E">
        <w:rPr>
          <w:rFonts w:ascii="Arial" w:hAnsi="Arial" w:cs="Arial"/>
          <w:sz w:val="19"/>
          <w:szCs w:val="19"/>
          <w:lang w:val="es-ES_tradnl"/>
        </w:rPr>
        <w:t>inexequibilidad</w:t>
      </w:r>
      <w:proofErr w:type="spellEnd"/>
      <w:r w:rsidRPr="0088099E">
        <w:rPr>
          <w:rFonts w:ascii="Arial" w:hAnsi="Arial" w:cs="Arial"/>
          <w:sz w:val="19"/>
          <w:szCs w:val="19"/>
          <w:lang w:val="es-ES_tradnl"/>
        </w:rPr>
        <w:t xml:space="preserve"> del parágrafo 2 del proyecto de Ley Estatutaria </w:t>
      </w:r>
      <w:r w:rsidRPr="0088099E">
        <w:rPr>
          <w:rFonts w:ascii="Arial" w:hAnsi="Arial" w:cs="Arial"/>
          <w:iCs/>
          <w:sz w:val="19"/>
          <w:szCs w:val="19"/>
          <w:lang w:val="es-ES_tradnl"/>
        </w:rPr>
        <w:t>número 228 de 2012 Cámara, 156 de 2011 Senado</w:t>
      </w:r>
      <w:r w:rsidRPr="0088099E">
        <w:rPr>
          <w:rFonts w:ascii="Arial" w:hAnsi="Arial" w:cs="Arial"/>
          <w:i/>
          <w:iCs/>
          <w:sz w:val="19"/>
          <w:szCs w:val="19"/>
          <w:lang w:val="es-ES_tradnl"/>
        </w:rPr>
        <w:t xml:space="preserve">, </w:t>
      </w:r>
      <w:r w:rsidRPr="0088099E">
        <w:rPr>
          <w:rFonts w:ascii="Arial" w:hAnsi="Arial" w:cs="Arial"/>
          <w:iCs/>
          <w:sz w:val="19"/>
          <w:szCs w:val="19"/>
          <w:lang w:val="es-ES_tradnl"/>
        </w:rPr>
        <w:t>“</w:t>
      </w:r>
      <w:r w:rsidRPr="0088099E">
        <w:rPr>
          <w:rFonts w:ascii="Arial" w:hAnsi="Arial" w:cs="Arial"/>
          <w:i/>
          <w:iCs/>
          <w:sz w:val="19"/>
          <w:szCs w:val="19"/>
          <w:lang w:val="es-ES_tradnl"/>
        </w:rPr>
        <w:t>por medio de la cual se crea la ley de transparencia y del derecho de acceso a la información pública nacional</w:t>
      </w:r>
      <w:r w:rsidRPr="0088099E">
        <w:rPr>
          <w:rFonts w:ascii="Arial" w:hAnsi="Arial" w:cs="Arial"/>
          <w:iCs/>
          <w:sz w:val="19"/>
          <w:szCs w:val="19"/>
          <w:lang w:val="es-ES_tradnl"/>
        </w:rPr>
        <w:t xml:space="preserve">” - hoy Ley 1712/04 -, el cual exceptuaba de la aplicación de dicha ley varias normas, entre ellas, el literal d) del numeral 4. del artículo 2 de la Ley 1150/07. Indicó dicha Corporación </w:t>
      </w:r>
      <w:r w:rsidRPr="0088099E">
        <w:rPr>
          <w:rFonts w:ascii="Arial" w:hAnsi="Arial" w:cs="Arial"/>
          <w:i/>
          <w:iCs/>
          <w:sz w:val="19"/>
          <w:szCs w:val="19"/>
          <w:lang w:val="es-ES_tradnl"/>
        </w:rPr>
        <w:t xml:space="preserve">“Este tipo de expresiones genéricas o vagas constituyen una habilitación general a las autoridades para mantener en secreto la información que discrecionalmente consideren adecuado, y es claramente contraria al artículo 74 CP, porque constituyen una negación del derecho, e impiden el control ciudadano sobre las actuaciones de los servidores públicos y de las agencias estatales. También resulta contraria a los tratados internacionales de los cuales Colombia hace parte, y que conforman el bloque de constitucionalidad en sentido estricto. (Art. 93 CP). </w:t>
      </w:r>
    </w:p>
    <w:p w14:paraId="63B70CC3" w14:textId="77777777" w:rsidR="00BC1F25" w:rsidRPr="0088099E" w:rsidRDefault="00BC1F25" w:rsidP="00C933D6">
      <w:pPr>
        <w:pStyle w:val="Textonotapie"/>
        <w:ind w:firstLine="709"/>
        <w:jc w:val="both"/>
        <w:rPr>
          <w:rFonts w:ascii="Arial" w:hAnsi="Arial" w:cs="Arial"/>
          <w:i/>
          <w:iCs/>
          <w:sz w:val="19"/>
          <w:szCs w:val="19"/>
          <w:lang w:val="es-ES_tradnl"/>
        </w:rPr>
      </w:pPr>
      <w:r w:rsidRPr="0088099E">
        <w:rPr>
          <w:rFonts w:ascii="Arial" w:hAnsi="Arial" w:cs="Arial"/>
          <w:i/>
          <w:sz w:val="19"/>
          <w:szCs w:val="19"/>
          <w:lang w:val="es-ES_tradnl"/>
        </w:rPr>
        <w:t>"</w:t>
      </w:r>
      <w:r w:rsidRPr="0088099E">
        <w:rPr>
          <w:rFonts w:ascii="Arial" w:hAnsi="Arial" w:cs="Arial"/>
          <w:i/>
          <w:iCs/>
          <w:sz w:val="19"/>
          <w:szCs w:val="19"/>
          <w:lang w:val="es-ES_tradnl"/>
        </w:rPr>
        <w:t xml:space="preserve">Dado que se trata de excepciones al principio de publicidad, la posibilidad de establecer una reserva depende no solo de que una ley consagre esta opción de manera general, sino que precise qué información es la que goza de este tratamiento excepcional. </w:t>
      </w:r>
      <w:proofErr w:type="gramStart"/>
      <w:r w:rsidRPr="0088099E">
        <w:rPr>
          <w:rFonts w:ascii="Arial" w:hAnsi="Arial" w:cs="Arial"/>
          <w:i/>
          <w:iCs/>
          <w:sz w:val="19"/>
          <w:szCs w:val="19"/>
          <w:lang w:val="es-ES_tradnl"/>
        </w:rPr>
        <w:t>Así</w:t>
      </w:r>
      <w:proofErr w:type="gramEnd"/>
      <w:r w:rsidRPr="0088099E">
        <w:rPr>
          <w:rFonts w:ascii="Arial" w:hAnsi="Arial" w:cs="Arial"/>
          <w:i/>
          <w:iCs/>
          <w:sz w:val="19"/>
          <w:szCs w:val="19"/>
          <w:lang w:val="es-ES_tradnl"/>
        </w:rPr>
        <w:t xml:space="preserve"> por ejemplo, con esta fórmula abierta, quedan cobijadas por la reserva tanto el detalle de gastos reservados como la cuantía de los mismos, impidiendo así el control ciudadano sobre la forma como las entidades utilizan los recursos. También podían quedar amparados el contenido de un documento público y su existencia, y todo tipo de información cuyo secreto no protege ningún bien o derecho constitucional.</w:t>
      </w:r>
    </w:p>
    <w:p w14:paraId="0071744D" w14:textId="77777777" w:rsidR="00BC1F25" w:rsidRPr="0088099E" w:rsidRDefault="00BC1F25" w:rsidP="00C933D6">
      <w:pPr>
        <w:pStyle w:val="Textonotapie"/>
        <w:ind w:firstLine="709"/>
        <w:jc w:val="both"/>
        <w:rPr>
          <w:rFonts w:ascii="Arial" w:hAnsi="Arial" w:cs="Arial"/>
          <w:i/>
          <w:iCs/>
          <w:sz w:val="19"/>
          <w:szCs w:val="19"/>
          <w:lang w:val="es-ES_tradnl"/>
        </w:rPr>
      </w:pPr>
      <w:r w:rsidRPr="0088099E">
        <w:rPr>
          <w:rFonts w:ascii="Arial" w:hAnsi="Arial" w:cs="Arial"/>
          <w:i/>
          <w:sz w:val="19"/>
          <w:szCs w:val="19"/>
          <w:lang w:val="es-ES_tradnl"/>
        </w:rPr>
        <w:t>"</w:t>
      </w:r>
      <w:r w:rsidRPr="0088099E">
        <w:rPr>
          <w:rFonts w:ascii="Arial" w:hAnsi="Arial" w:cs="Arial"/>
          <w:i/>
          <w:iCs/>
          <w:sz w:val="19"/>
          <w:szCs w:val="19"/>
          <w:lang w:val="es-ES_tradnl"/>
        </w:rPr>
        <w:t>Por lo anterior, este parágrafo desconoce el principio constitucional que informa el ejercicio del poder público, según el cual el legislador puede establecer límites al acceso a la información pública que sean excepcionales, ‘razonables y ajustadas a un fin constitucionalmente admisible. La medida exceptiva de la publicidad, igualmente, deberá analizarse en términos de razonabilidad y proporcionalidad, como quiera que ella afecta, según se ha anotado, un conjunto de derechos fundamentales’ ".</w:t>
      </w:r>
    </w:p>
    <w:p w14:paraId="1B877130" w14:textId="77777777" w:rsidR="00BC1F25" w:rsidRPr="0088099E" w:rsidRDefault="00BC1F25" w:rsidP="0088099E">
      <w:pPr>
        <w:pStyle w:val="Textonotapie"/>
        <w:jc w:val="both"/>
        <w:rPr>
          <w:rFonts w:ascii="Arial" w:hAnsi="Arial" w:cs="Arial"/>
          <w:iCs/>
          <w:sz w:val="19"/>
          <w:szCs w:val="19"/>
          <w:lang w:val="es-ES_tradnl"/>
        </w:rPr>
      </w:pPr>
    </w:p>
  </w:footnote>
  <w:footnote w:id="17">
    <w:p w14:paraId="360DEF4B" w14:textId="77777777" w:rsidR="00BC1F25" w:rsidRPr="0088099E" w:rsidRDefault="00BC1F25" w:rsidP="0088099E">
      <w:pPr>
        <w:pStyle w:val="Textonotapie"/>
        <w:ind w:firstLine="708"/>
        <w:jc w:val="both"/>
        <w:rPr>
          <w:rFonts w:ascii="Arial" w:hAnsi="Arial" w:cs="Arial"/>
          <w:sz w:val="19"/>
          <w:szCs w:val="19"/>
          <w:lang w:val="es-ES_tradnl"/>
        </w:rPr>
      </w:pPr>
      <w:r w:rsidRPr="0088099E">
        <w:rPr>
          <w:rStyle w:val="Refdenotaalpie"/>
          <w:rFonts w:ascii="Arial" w:hAnsi="Arial" w:cs="Arial"/>
          <w:sz w:val="19"/>
          <w:szCs w:val="19"/>
          <w:lang w:val="es-ES_tradnl"/>
        </w:rPr>
        <w:footnoteRef/>
      </w:r>
      <w:r w:rsidRPr="0088099E">
        <w:rPr>
          <w:rFonts w:ascii="Arial" w:hAnsi="Arial" w:cs="Arial"/>
          <w:sz w:val="19"/>
          <w:szCs w:val="19"/>
          <w:lang w:val="es-ES_tradnl"/>
        </w:rPr>
        <w:t xml:space="preserve"> (Cita propia de la sentencia) CE. S3. SP. Fallo de 23-Jul-15 [</w:t>
      </w:r>
      <w:proofErr w:type="spellStart"/>
      <w:r w:rsidRPr="0088099E">
        <w:rPr>
          <w:rFonts w:ascii="Arial" w:hAnsi="Arial" w:cs="Arial"/>
          <w:sz w:val="19"/>
          <w:szCs w:val="19"/>
          <w:lang w:val="es-ES_tradnl"/>
        </w:rPr>
        <w:t>Exp</w:t>
      </w:r>
      <w:proofErr w:type="spellEnd"/>
      <w:r w:rsidRPr="0088099E">
        <w:rPr>
          <w:rFonts w:ascii="Arial" w:hAnsi="Arial" w:cs="Arial"/>
          <w:sz w:val="19"/>
          <w:szCs w:val="19"/>
          <w:lang w:val="es-ES_tradnl"/>
        </w:rPr>
        <w:t>. 11001-03-26-000-2009-00043-00(36805)]. MP. Hernán Andrade Rincón.</w:t>
      </w:r>
    </w:p>
  </w:footnote>
  <w:footnote w:id="18">
    <w:p w14:paraId="527E654C" w14:textId="77777777" w:rsidR="00B53CAA" w:rsidRPr="0088099E" w:rsidRDefault="00B53CAA" w:rsidP="00B53CAA">
      <w:pPr>
        <w:pStyle w:val="Textonotapie"/>
        <w:ind w:firstLine="708"/>
        <w:jc w:val="both"/>
        <w:rPr>
          <w:rFonts w:ascii="Arial" w:hAnsi="Arial" w:cs="Arial"/>
          <w:sz w:val="19"/>
          <w:szCs w:val="19"/>
        </w:rPr>
      </w:pPr>
      <w:r w:rsidRPr="0088099E">
        <w:rPr>
          <w:rStyle w:val="Refdenotaalpie"/>
          <w:rFonts w:ascii="Arial" w:hAnsi="Arial" w:cs="Arial"/>
          <w:sz w:val="19"/>
          <w:szCs w:val="19"/>
        </w:rPr>
        <w:footnoteRef/>
      </w:r>
      <w:r w:rsidRPr="0088099E">
        <w:rPr>
          <w:rFonts w:ascii="Arial" w:hAnsi="Arial" w:cs="Arial"/>
          <w:sz w:val="19"/>
          <w:szCs w:val="19"/>
        </w:rPr>
        <w:t xml:space="preserve"> Ley 1712 de 2014. «Art. 19 Información exceptuada por daño a los intereses públicos. Es toda aquella información pública reservada, cuyo acceso podrá ser rechazado o denegado de manera motivada y por escrito en las siguientes circunstancias, siempre que dicho acceso estuviere expresamente prohibido por una norma legal o constitucional:</w:t>
      </w:r>
    </w:p>
    <w:p w14:paraId="5601000E" w14:textId="77777777" w:rsidR="00B53CAA" w:rsidRPr="0088099E" w:rsidRDefault="00B53CAA" w:rsidP="00B53CAA">
      <w:pPr>
        <w:pStyle w:val="Textonotapie"/>
        <w:ind w:firstLine="708"/>
        <w:jc w:val="both"/>
        <w:rPr>
          <w:rFonts w:ascii="Arial" w:hAnsi="Arial" w:cs="Arial"/>
          <w:sz w:val="19"/>
          <w:szCs w:val="19"/>
        </w:rPr>
      </w:pPr>
      <w:r w:rsidRPr="0088099E">
        <w:rPr>
          <w:rFonts w:ascii="Arial" w:hAnsi="Arial" w:cs="Arial"/>
          <w:sz w:val="19"/>
          <w:szCs w:val="19"/>
        </w:rPr>
        <w:t>«a) La defensa y seguridad nacional;».</w:t>
      </w:r>
    </w:p>
    <w:p w14:paraId="7F6C050E" w14:textId="77777777" w:rsidR="00B53CAA" w:rsidRPr="0088099E" w:rsidRDefault="00B53CAA" w:rsidP="00B53CAA">
      <w:pPr>
        <w:pStyle w:val="Textonotapie"/>
        <w:ind w:firstLine="708"/>
        <w:jc w:val="both"/>
        <w:rPr>
          <w:rFonts w:ascii="Arial" w:hAnsi="Arial" w:cs="Arial"/>
          <w:sz w:val="19"/>
          <w:szCs w:val="19"/>
        </w:rPr>
      </w:pPr>
      <w:r w:rsidRPr="0088099E">
        <w:rPr>
          <w:rFonts w:ascii="Arial" w:hAnsi="Arial" w:cs="Arial"/>
          <w:sz w:val="19"/>
          <w:szCs w:val="19"/>
        </w:rPr>
        <w:t>De otro lado, el artículo 24 de la Ley 1437 de 2011, sustituido por la Ley 1755 de 2015 establece: «Artículo 24. Informaciones y documentos reservados. Solo tendrán carácter reservado las informaciones y documentos expresamente sometidos a reserva por la Constitución Política o la ley, y en especial:</w:t>
      </w:r>
    </w:p>
    <w:p w14:paraId="6E0AE078" w14:textId="77777777" w:rsidR="00B53CAA" w:rsidRPr="0088099E" w:rsidRDefault="00B53CAA" w:rsidP="00B53CAA">
      <w:pPr>
        <w:pStyle w:val="Textonotapie"/>
        <w:ind w:firstLine="708"/>
        <w:jc w:val="both"/>
        <w:rPr>
          <w:rFonts w:ascii="Arial" w:hAnsi="Arial" w:cs="Arial"/>
          <w:sz w:val="19"/>
          <w:szCs w:val="19"/>
        </w:rPr>
      </w:pPr>
      <w:r w:rsidRPr="0088099E">
        <w:rPr>
          <w:rFonts w:ascii="Arial" w:hAnsi="Arial" w:cs="Arial"/>
          <w:sz w:val="19"/>
          <w:szCs w:val="19"/>
        </w:rPr>
        <w:t>»1. Los relacionados con la defensa o seguridad nacionales».</w:t>
      </w:r>
    </w:p>
    <w:p w14:paraId="32525B7F" w14:textId="77777777" w:rsidR="00B53CAA" w:rsidRPr="0088099E" w:rsidRDefault="00B53CAA" w:rsidP="00B53CAA">
      <w:pPr>
        <w:pStyle w:val="Textonotapie"/>
        <w:ind w:firstLine="708"/>
        <w:jc w:val="both"/>
        <w:rPr>
          <w:rFonts w:ascii="Arial" w:hAnsi="Arial" w:cs="Arial"/>
          <w:sz w:val="19"/>
          <w:szCs w:val="19"/>
          <w:lang w:val="es-CO"/>
        </w:rPr>
      </w:pPr>
    </w:p>
  </w:footnote>
  <w:footnote w:id="19">
    <w:p w14:paraId="062EC879" w14:textId="77777777" w:rsidR="00E5555F" w:rsidRPr="00896D4B" w:rsidRDefault="00E5555F" w:rsidP="00E5555F">
      <w:pPr>
        <w:pStyle w:val="Textonotapie"/>
        <w:ind w:firstLine="708"/>
        <w:jc w:val="both"/>
        <w:rPr>
          <w:rFonts w:ascii="Arial" w:hAnsi="Arial" w:cs="Arial"/>
          <w:sz w:val="19"/>
          <w:szCs w:val="19"/>
        </w:rPr>
      </w:pPr>
      <w:r>
        <w:rPr>
          <w:rStyle w:val="Refdenotaalpie"/>
        </w:rPr>
        <w:footnoteRef/>
      </w:r>
      <w:r>
        <w:t xml:space="preserve"> </w:t>
      </w:r>
      <w:r w:rsidRPr="00896D4B">
        <w:rPr>
          <w:rFonts w:ascii="Arial" w:hAnsi="Arial" w:cs="Arial"/>
          <w:sz w:val="19"/>
          <w:szCs w:val="19"/>
        </w:rPr>
        <w:t>Ley 1712 de 2014. «Art. 19 Información exceptuada por daño a los intereses públicos. Es toda aquella información pública reservada, cuyo acceso podrá ser rechazado o denegado de manera motivada y por escrito en las siguientes circunstancias, siempre que dicho acceso estuviere expresamente prohibido por una norma legal o constitucional:</w:t>
      </w:r>
    </w:p>
    <w:p w14:paraId="4BCD6FCC" w14:textId="77777777" w:rsidR="00E5555F" w:rsidRPr="00896D4B" w:rsidRDefault="00E5555F" w:rsidP="00E5555F">
      <w:pPr>
        <w:pStyle w:val="Textonotapie"/>
        <w:ind w:firstLine="708"/>
        <w:jc w:val="both"/>
        <w:rPr>
          <w:rFonts w:ascii="Arial" w:hAnsi="Arial" w:cs="Arial"/>
          <w:sz w:val="19"/>
          <w:szCs w:val="19"/>
        </w:rPr>
      </w:pPr>
      <w:r w:rsidRPr="00896D4B">
        <w:rPr>
          <w:rFonts w:ascii="Arial" w:hAnsi="Arial" w:cs="Arial"/>
          <w:sz w:val="19"/>
          <w:szCs w:val="19"/>
        </w:rPr>
        <w:t>«a) La defensa y seguridad nacional;».</w:t>
      </w:r>
    </w:p>
    <w:p w14:paraId="2346B489" w14:textId="77777777" w:rsidR="00E5555F" w:rsidRPr="00896D4B" w:rsidRDefault="00E5555F" w:rsidP="00E5555F">
      <w:pPr>
        <w:pStyle w:val="Textonotapie"/>
        <w:ind w:firstLine="708"/>
        <w:jc w:val="both"/>
        <w:rPr>
          <w:rFonts w:ascii="Arial" w:hAnsi="Arial" w:cs="Arial"/>
          <w:sz w:val="19"/>
          <w:szCs w:val="19"/>
        </w:rPr>
      </w:pPr>
      <w:r w:rsidRPr="00896D4B">
        <w:rPr>
          <w:rFonts w:ascii="Arial" w:hAnsi="Arial" w:cs="Arial"/>
          <w:sz w:val="19"/>
          <w:szCs w:val="19"/>
        </w:rPr>
        <w:t>De otro lado, el artículo 24 de la Ley 1437 de 2011, sustituido por la Ley 1755 de 2015 establece: «Artículo 24. Informaciones y documentos reservados. Solo tendrán carácter reservado las informaciones y documentos expresamente sometidos a reserva por la Constitución Política o la ley, y en especial:</w:t>
      </w:r>
    </w:p>
    <w:p w14:paraId="6A88B3EC" w14:textId="77777777" w:rsidR="00E5555F" w:rsidRPr="00EC1B30" w:rsidRDefault="00E5555F" w:rsidP="00E5555F">
      <w:pPr>
        <w:pStyle w:val="Textonotapie"/>
        <w:ind w:firstLine="708"/>
        <w:rPr>
          <w:lang w:val="es-CO"/>
        </w:rPr>
      </w:pPr>
      <w:r w:rsidRPr="00896D4B">
        <w:rPr>
          <w:rFonts w:ascii="Arial" w:hAnsi="Arial" w:cs="Arial"/>
          <w:sz w:val="19"/>
          <w:szCs w:val="19"/>
        </w:rPr>
        <w:t>»1. Los relacionados con la defensa o seguridad nacionales».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661"/>
    <w:rsid w:val="00003C5C"/>
    <w:rsid w:val="00003D39"/>
    <w:rsid w:val="000040D7"/>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6081"/>
    <w:rsid w:val="000165AC"/>
    <w:rsid w:val="00016651"/>
    <w:rsid w:val="000171A2"/>
    <w:rsid w:val="00017B65"/>
    <w:rsid w:val="00020158"/>
    <w:rsid w:val="000207E0"/>
    <w:rsid w:val="000209E2"/>
    <w:rsid w:val="00020B09"/>
    <w:rsid w:val="00020F8F"/>
    <w:rsid w:val="00021A95"/>
    <w:rsid w:val="00021C8A"/>
    <w:rsid w:val="0002256F"/>
    <w:rsid w:val="00022FD5"/>
    <w:rsid w:val="00023D89"/>
    <w:rsid w:val="00023DAE"/>
    <w:rsid w:val="00023FC9"/>
    <w:rsid w:val="00024896"/>
    <w:rsid w:val="000255FA"/>
    <w:rsid w:val="00025D0A"/>
    <w:rsid w:val="000263F0"/>
    <w:rsid w:val="00026407"/>
    <w:rsid w:val="00026608"/>
    <w:rsid w:val="0002702E"/>
    <w:rsid w:val="00027787"/>
    <w:rsid w:val="000278D2"/>
    <w:rsid w:val="00030DFB"/>
    <w:rsid w:val="00031364"/>
    <w:rsid w:val="000315E1"/>
    <w:rsid w:val="0003236E"/>
    <w:rsid w:val="0003339A"/>
    <w:rsid w:val="000341F2"/>
    <w:rsid w:val="00035046"/>
    <w:rsid w:val="000351F2"/>
    <w:rsid w:val="00035768"/>
    <w:rsid w:val="00035A1B"/>
    <w:rsid w:val="00036E03"/>
    <w:rsid w:val="000406DB"/>
    <w:rsid w:val="0004094D"/>
    <w:rsid w:val="00041029"/>
    <w:rsid w:val="00041357"/>
    <w:rsid w:val="0004149B"/>
    <w:rsid w:val="00041FC6"/>
    <w:rsid w:val="000422EA"/>
    <w:rsid w:val="00042961"/>
    <w:rsid w:val="00042C25"/>
    <w:rsid w:val="00042D03"/>
    <w:rsid w:val="00043086"/>
    <w:rsid w:val="000430A0"/>
    <w:rsid w:val="00043D3B"/>
    <w:rsid w:val="0004418C"/>
    <w:rsid w:val="00044204"/>
    <w:rsid w:val="0004477A"/>
    <w:rsid w:val="000449D4"/>
    <w:rsid w:val="000450D0"/>
    <w:rsid w:val="00045D1A"/>
    <w:rsid w:val="0004600D"/>
    <w:rsid w:val="000463B5"/>
    <w:rsid w:val="00046717"/>
    <w:rsid w:val="00046A63"/>
    <w:rsid w:val="00046C09"/>
    <w:rsid w:val="00046C0A"/>
    <w:rsid w:val="0004716A"/>
    <w:rsid w:val="00047385"/>
    <w:rsid w:val="000473E8"/>
    <w:rsid w:val="000504DE"/>
    <w:rsid w:val="00050A89"/>
    <w:rsid w:val="00050D61"/>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088D"/>
    <w:rsid w:val="00061010"/>
    <w:rsid w:val="00061D06"/>
    <w:rsid w:val="00062CDD"/>
    <w:rsid w:val="00062DB3"/>
    <w:rsid w:val="00063472"/>
    <w:rsid w:val="000640AF"/>
    <w:rsid w:val="00064940"/>
    <w:rsid w:val="00064CAE"/>
    <w:rsid w:val="00064DB7"/>
    <w:rsid w:val="00064FA7"/>
    <w:rsid w:val="00065195"/>
    <w:rsid w:val="0006536C"/>
    <w:rsid w:val="0006626E"/>
    <w:rsid w:val="00066D6D"/>
    <w:rsid w:val="00067064"/>
    <w:rsid w:val="00067AA8"/>
    <w:rsid w:val="00070AF1"/>
    <w:rsid w:val="000714DE"/>
    <w:rsid w:val="0007254F"/>
    <w:rsid w:val="0007357C"/>
    <w:rsid w:val="00073C30"/>
    <w:rsid w:val="00074305"/>
    <w:rsid w:val="000744D0"/>
    <w:rsid w:val="00074B2A"/>
    <w:rsid w:val="00074EEE"/>
    <w:rsid w:val="000753D5"/>
    <w:rsid w:val="00075B3E"/>
    <w:rsid w:val="00076456"/>
    <w:rsid w:val="00076817"/>
    <w:rsid w:val="00076BD9"/>
    <w:rsid w:val="0007779B"/>
    <w:rsid w:val="000777E7"/>
    <w:rsid w:val="0007790A"/>
    <w:rsid w:val="000779F2"/>
    <w:rsid w:val="0008017B"/>
    <w:rsid w:val="00080ACD"/>
    <w:rsid w:val="00080D30"/>
    <w:rsid w:val="000811ED"/>
    <w:rsid w:val="00081D62"/>
    <w:rsid w:val="00082B74"/>
    <w:rsid w:val="00083099"/>
    <w:rsid w:val="00083259"/>
    <w:rsid w:val="00083546"/>
    <w:rsid w:val="00083EDC"/>
    <w:rsid w:val="00084B97"/>
    <w:rsid w:val="0008510E"/>
    <w:rsid w:val="000852DC"/>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9CF"/>
    <w:rsid w:val="000A03C8"/>
    <w:rsid w:val="000A05F2"/>
    <w:rsid w:val="000A06C4"/>
    <w:rsid w:val="000A0861"/>
    <w:rsid w:val="000A0B6F"/>
    <w:rsid w:val="000A0EC4"/>
    <w:rsid w:val="000A0ED1"/>
    <w:rsid w:val="000A12DB"/>
    <w:rsid w:val="000A137E"/>
    <w:rsid w:val="000A17C8"/>
    <w:rsid w:val="000A1B74"/>
    <w:rsid w:val="000A20D7"/>
    <w:rsid w:val="000A2128"/>
    <w:rsid w:val="000A362F"/>
    <w:rsid w:val="000A3B49"/>
    <w:rsid w:val="000A4629"/>
    <w:rsid w:val="000A46FE"/>
    <w:rsid w:val="000A47E6"/>
    <w:rsid w:val="000A52C0"/>
    <w:rsid w:val="000A5AAF"/>
    <w:rsid w:val="000A5ACE"/>
    <w:rsid w:val="000A5F97"/>
    <w:rsid w:val="000A622F"/>
    <w:rsid w:val="000A648E"/>
    <w:rsid w:val="000A7268"/>
    <w:rsid w:val="000A73BB"/>
    <w:rsid w:val="000A73E8"/>
    <w:rsid w:val="000A7EF4"/>
    <w:rsid w:val="000B0A15"/>
    <w:rsid w:val="000B103F"/>
    <w:rsid w:val="000B1437"/>
    <w:rsid w:val="000B1470"/>
    <w:rsid w:val="000B244D"/>
    <w:rsid w:val="000B2A1A"/>
    <w:rsid w:val="000B2B86"/>
    <w:rsid w:val="000B2CFF"/>
    <w:rsid w:val="000B3051"/>
    <w:rsid w:val="000B419B"/>
    <w:rsid w:val="000B4861"/>
    <w:rsid w:val="000B5781"/>
    <w:rsid w:val="000B5CB1"/>
    <w:rsid w:val="000B5EE5"/>
    <w:rsid w:val="000B75F4"/>
    <w:rsid w:val="000C0185"/>
    <w:rsid w:val="000C0933"/>
    <w:rsid w:val="000C0F81"/>
    <w:rsid w:val="000C128D"/>
    <w:rsid w:val="000C17A3"/>
    <w:rsid w:val="000C1D4B"/>
    <w:rsid w:val="000C1FA3"/>
    <w:rsid w:val="000C2A5D"/>
    <w:rsid w:val="000C2DC4"/>
    <w:rsid w:val="000C3239"/>
    <w:rsid w:val="000C3260"/>
    <w:rsid w:val="000C3B77"/>
    <w:rsid w:val="000C3F6D"/>
    <w:rsid w:val="000C4E01"/>
    <w:rsid w:val="000C4F49"/>
    <w:rsid w:val="000C5861"/>
    <w:rsid w:val="000C5BDE"/>
    <w:rsid w:val="000C639D"/>
    <w:rsid w:val="000C6C31"/>
    <w:rsid w:val="000C6DBC"/>
    <w:rsid w:val="000C6F79"/>
    <w:rsid w:val="000C7476"/>
    <w:rsid w:val="000C7480"/>
    <w:rsid w:val="000C7711"/>
    <w:rsid w:val="000C7AA2"/>
    <w:rsid w:val="000D0092"/>
    <w:rsid w:val="000D0462"/>
    <w:rsid w:val="000D053D"/>
    <w:rsid w:val="000D0ED2"/>
    <w:rsid w:val="000D107D"/>
    <w:rsid w:val="000D1101"/>
    <w:rsid w:val="000D13FD"/>
    <w:rsid w:val="000D1546"/>
    <w:rsid w:val="000D1CEB"/>
    <w:rsid w:val="000D2322"/>
    <w:rsid w:val="000D2563"/>
    <w:rsid w:val="000D25BF"/>
    <w:rsid w:val="000D2FE4"/>
    <w:rsid w:val="000D3FDC"/>
    <w:rsid w:val="000D490B"/>
    <w:rsid w:val="000D4E38"/>
    <w:rsid w:val="000D50DB"/>
    <w:rsid w:val="000D5C7D"/>
    <w:rsid w:val="000D60A1"/>
    <w:rsid w:val="000D6288"/>
    <w:rsid w:val="000D728B"/>
    <w:rsid w:val="000D7541"/>
    <w:rsid w:val="000D75E1"/>
    <w:rsid w:val="000E22CF"/>
    <w:rsid w:val="000E2977"/>
    <w:rsid w:val="000E2CC0"/>
    <w:rsid w:val="000E30AC"/>
    <w:rsid w:val="000E3B46"/>
    <w:rsid w:val="000E3E11"/>
    <w:rsid w:val="000E40E4"/>
    <w:rsid w:val="000E4596"/>
    <w:rsid w:val="000E4927"/>
    <w:rsid w:val="000E4A4B"/>
    <w:rsid w:val="000E4B16"/>
    <w:rsid w:val="000E4B94"/>
    <w:rsid w:val="000E4D50"/>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3E4C"/>
    <w:rsid w:val="000F4403"/>
    <w:rsid w:val="000F480B"/>
    <w:rsid w:val="000F4E17"/>
    <w:rsid w:val="000F5615"/>
    <w:rsid w:val="000F6084"/>
    <w:rsid w:val="000F6578"/>
    <w:rsid w:val="000F6693"/>
    <w:rsid w:val="000F6F92"/>
    <w:rsid w:val="000F725D"/>
    <w:rsid w:val="000F7E8F"/>
    <w:rsid w:val="000F7FBB"/>
    <w:rsid w:val="001000FB"/>
    <w:rsid w:val="00100A9E"/>
    <w:rsid w:val="00100F6A"/>
    <w:rsid w:val="001010E9"/>
    <w:rsid w:val="00101638"/>
    <w:rsid w:val="00101EE8"/>
    <w:rsid w:val="00102605"/>
    <w:rsid w:val="00102686"/>
    <w:rsid w:val="00102745"/>
    <w:rsid w:val="001036B4"/>
    <w:rsid w:val="00103795"/>
    <w:rsid w:val="00103915"/>
    <w:rsid w:val="001039AA"/>
    <w:rsid w:val="00103EA0"/>
    <w:rsid w:val="00104149"/>
    <w:rsid w:val="00104F1C"/>
    <w:rsid w:val="00105096"/>
    <w:rsid w:val="001051E5"/>
    <w:rsid w:val="00105A74"/>
    <w:rsid w:val="00105ACB"/>
    <w:rsid w:val="00105AEF"/>
    <w:rsid w:val="00106259"/>
    <w:rsid w:val="001068EB"/>
    <w:rsid w:val="001073F0"/>
    <w:rsid w:val="001078CE"/>
    <w:rsid w:val="00110F61"/>
    <w:rsid w:val="001111BD"/>
    <w:rsid w:val="001113DF"/>
    <w:rsid w:val="0011165A"/>
    <w:rsid w:val="00111B2B"/>
    <w:rsid w:val="00112774"/>
    <w:rsid w:val="00112B2E"/>
    <w:rsid w:val="00113003"/>
    <w:rsid w:val="00113062"/>
    <w:rsid w:val="0011359A"/>
    <w:rsid w:val="00113705"/>
    <w:rsid w:val="00113975"/>
    <w:rsid w:val="00113B64"/>
    <w:rsid w:val="00113CFC"/>
    <w:rsid w:val="00113E22"/>
    <w:rsid w:val="00113ED9"/>
    <w:rsid w:val="00113FEA"/>
    <w:rsid w:val="00114A22"/>
    <w:rsid w:val="00114E9D"/>
    <w:rsid w:val="0011507B"/>
    <w:rsid w:val="001156A7"/>
    <w:rsid w:val="00115C37"/>
    <w:rsid w:val="00116328"/>
    <w:rsid w:val="001163CF"/>
    <w:rsid w:val="00116EC5"/>
    <w:rsid w:val="001174C9"/>
    <w:rsid w:val="001177FE"/>
    <w:rsid w:val="00117E69"/>
    <w:rsid w:val="00120884"/>
    <w:rsid w:val="00121103"/>
    <w:rsid w:val="00121B78"/>
    <w:rsid w:val="00121BAB"/>
    <w:rsid w:val="00121E3C"/>
    <w:rsid w:val="00122B23"/>
    <w:rsid w:val="00122B7E"/>
    <w:rsid w:val="00123082"/>
    <w:rsid w:val="00123E27"/>
    <w:rsid w:val="00123FB5"/>
    <w:rsid w:val="0012400F"/>
    <w:rsid w:val="001249DC"/>
    <w:rsid w:val="0012572D"/>
    <w:rsid w:val="00125A2E"/>
    <w:rsid w:val="00125BED"/>
    <w:rsid w:val="00125C59"/>
    <w:rsid w:val="00125D4F"/>
    <w:rsid w:val="00127004"/>
    <w:rsid w:val="0012770B"/>
    <w:rsid w:val="00127AF2"/>
    <w:rsid w:val="00127EDC"/>
    <w:rsid w:val="00127F42"/>
    <w:rsid w:val="00127F6D"/>
    <w:rsid w:val="00130355"/>
    <w:rsid w:val="00130365"/>
    <w:rsid w:val="001304E5"/>
    <w:rsid w:val="00131B5A"/>
    <w:rsid w:val="001329BC"/>
    <w:rsid w:val="00132C30"/>
    <w:rsid w:val="00132EFD"/>
    <w:rsid w:val="00133AED"/>
    <w:rsid w:val="0013490B"/>
    <w:rsid w:val="00134BCD"/>
    <w:rsid w:val="00134E09"/>
    <w:rsid w:val="001350AB"/>
    <w:rsid w:val="00135DB9"/>
    <w:rsid w:val="00135E5D"/>
    <w:rsid w:val="0013695C"/>
    <w:rsid w:val="00136BF7"/>
    <w:rsid w:val="00136C78"/>
    <w:rsid w:val="0013756B"/>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17F"/>
    <w:rsid w:val="00151AEB"/>
    <w:rsid w:val="00151B99"/>
    <w:rsid w:val="00151E79"/>
    <w:rsid w:val="001521B2"/>
    <w:rsid w:val="00152EDD"/>
    <w:rsid w:val="00153491"/>
    <w:rsid w:val="0015361C"/>
    <w:rsid w:val="0015372F"/>
    <w:rsid w:val="00153BFB"/>
    <w:rsid w:val="0015407E"/>
    <w:rsid w:val="001541AD"/>
    <w:rsid w:val="0015448E"/>
    <w:rsid w:val="00154A6F"/>
    <w:rsid w:val="00154B68"/>
    <w:rsid w:val="00155BED"/>
    <w:rsid w:val="00155D08"/>
    <w:rsid w:val="0015623B"/>
    <w:rsid w:val="00156BE5"/>
    <w:rsid w:val="00157232"/>
    <w:rsid w:val="00157B92"/>
    <w:rsid w:val="00160401"/>
    <w:rsid w:val="00160C01"/>
    <w:rsid w:val="00160D4E"/>
    <w:rsid w:val="00161DDA"/>
    <w:rsid w:val="00161E62"/>
    <w:rsid w:val="00161F1C"/>
    <w:rsid w:val="0016200B"/>
    <w:rsid w:val="0016204B"/>
    <w:rsid w:val="001620B3"/>
    <w:rsid w:val="00163D7A"/>
    <w:rsid w:val="00163E11"/>
    <w:rsid w:val="00164281"/>
    <w:rsid w:val="00165703"/>
    <w:rsid w:val="00165E5C"/>
    <w:rsid w:val="00166204"/>
    <w:rsid w:val="00166797"/>
    <w:rsid w:val="0016685F"/>
    <w:rsid w:val="0016712F"/>
    <w:rsid w:val="001671BA"/>
    <w:rsid w:val="00167503"/>
    <w:rsid w:val="001676A9"/>
    <w:rsid w:val="00167A15"/>
    <w:rsid w:val="00167A50"/>
    <w:rsid w:val="00167D1A"/>
    <w:rsid w:val="00167DF5"/>
    <w:rsid w:val="00167FD3"/>
    <w:rsid w:val="00170001"/>
    <w:rsid w:val="00172198"/>
    <w:rsid w:val="00172612"/>
    <w:rsid w:val="00172817"/>
    <w:rsid w:val="001734E3"/>
    <w:rsid w:val="001742BF"/>
    <w:rsid w:val="001742E1"/>
    <w:rsid w:val="00175E49"/>
    <w:rsid w:val="00176188"/>
    <w:rsid w:val="0017649F"/>
    <w:rsid w:val="0017655B"/>
    <w:rsid w:val="00177EAA"/>
    <w:rsid w:val="001805C1"/>
    <w:rsid w:val="00180A2E"/>
    <w:rsid w:val="001813AF"/>
    <w:rsid w:val="001826C9"/>
    <w:rsid w:val="001829CD"/>
    <w:rsid w:val="00182F01"/>
    <w:rsid w:val="00184219"/>
    <w:rsid w:val="00184F27"/>
    <w:rsid w:val="0018519B"/>
    <w:rsid w:val="00185966"/>
    <w:rsid w:val="00185A2D"/>
    <w:rsid w:val="00185AFE"/>
    <w:rsid w:val="00185E78"/>
    <w:rsid w:val="0018706D"/>
    <w:rsid w:val="00187177"/>
    <w:rsid w:val="00187AB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8C"/>
    <w:rsid w:val="001962EC"/>
    <w:rsid w:val="001963DD"/>
    <w:rsid w:val="001965DB"/>
    <w:rsid w:val="00196D01"/>
    <w:rsid w:val="00196DC9"/>
    <w:rsid w:val="00196E95"/>
    <w:rsid w:val="00196FDB"/>
    <w:rsid w:val="00197758"/>
    <w:rsid w:val="001A0236"/>
    <w:rsid w:val="001A04E2"/>
    <w:rsid w:val="001A0915"/>
    <w:rsid w:val="001A0AF8"/>
    <w:rsid w:val="001A0E1B"/>
    <w:rsid w:val="001A1490"/>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0A6"/>
    <w:rsid w:val="001B21AC"/>
    <w:rsid w:val="001B2456"/>
    <w:rsid w:val="001B3569"/>
    <w:rsid w:val="001B449C"/>
    <w:rsid w:val="001B4AA2"/>
    <w:rsid w:val="001B4ADE"/>
    <w:rsid w:val="001B5530"/>
    <w:rsid w:val="001B5DAE"/>
    <w:rsid w:val="001B5EF8"/>
    <w:rsid w:val="001B6BD0"/>
    <w:rsid w:val="001B71E8"/>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16BE"/>
    <w:rsid w:val="001D2EEE"/>
    <w:rsid w:val="001D30F3"/>
    <w:rsid w:val="001D31A0"/>
    <w:rsid w:val="001D338E"/>
    <w:rsid w:val="001D34C3"/>
    <w:rsid w:val="001D4048"/>
    <w:rsid w:val="001D4562"/>
    <w:rsid w:val="001D46A9"/>
    <w:rsid w:val="001D4874"/>
    <w:rsid w:val="001D56E9"/>
    <w:rsid w:val="001D59D9"/>
    <w:rsid w:val="001D6944"/>
    <w:rsid w:val="001D6CD2"/>
    <w:rsid w:val="001D796A"/>
    <w:rsid w:val="001D7A84"/>
    <w:rsid w:val="001D7C79"/>
    <w:rsid w:val="001E003B"/>
    <w:rsid w:val="001E1CC4"/>
    <w:rsid w:val="001E1D38"/>
    <w:rsid w:val="001E28A0"/>
    <w:rsid w:val="001E302E"/>
    <w:rsid w:val="001E3FFE"/>
    <w:rsid w:val="001E4258"/>
    <w:rsid w:val="001E5140"/>
    <w:rsid w:val="001E55E6"/>
    <w:rsid w:val="001E5AB2"/>
    <w:rsid w:val="001E5D6A"/>
    <w:rsid w:val="001E6A94"/>
    <w:rsid w:val="001E6F83"/>
    <w:rsid w:val="001E70FB"/>
    <w:rsid w:val="001E780A"/>
    <w:rsid w:val="001F0806"/>
    <w:rsid w:val="001F0D15"/>
    <w:rsid w:val="001F0FA0"/>
    <w:rsid w:val="001F1349"/>
    <w:rsid w:val="001F14C3"/>
    <w:rsid w:val="001F1863"/>
    <w:rsid w:val="001F2356"/>
    <w:rsid w:val="001F2A68"/>
    <w:rsid w:val="001F2C47"/>
    <w:rsid w:val="001F3221"/>
    <w:rsid w:val="001F4773"/>
    <w:rsid w:val="001F4F91"/>
    <w:rsid w:val="001F5008"/>
    <w:rsid w:val="001F56AA"/>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F1E"/>
    <w:rsid w:val="0020247D"/>
    <w:rsid w:val="00202761"/>
    <w:rsid w:val="0020299B"/>
    <w:rsid w:val="00202B2A"/>
    <w:rsid w:val="00202E44"/>
    <w:rsid w:val="002037AA"/>
    <w:rsid w:val="00203FE3"/>
    <w:rsid w:val="002041DD"/>
    <w:rsid w:val="002042D8"/>
    <w:rsid w:val="00204515"/>
    <w:rsid w:val="00204BF5"/>
    <w:rsid w:val="00204E6B"/>
    <w:rsid w:val="002053EF"/>
    <w:rsid w:val="002058D4"/>
    <w:rsid w:val="002060D6"/>
    <w:rsid w:val="0020632A"/>
    <w:rsid w:val="0020697F"/>
    <w:rsid w:val="0020726E"/>
    <w:rsid w:val="00207389"/>
    <w:rsid w:val="002074C2"/>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9DE"/>
    <w:rsid w:val="00217B99"/>
    <w:rsid w:val="00217DB8"/>
    <w:rsid w:val="002202CE"/>
    <w:rsid w:val="0022032A"/>
    <w:rsid w:val="0022194E"/>
    <w:rsid w:val="002220B1"/>
    <w:rsid w:val="002221CE"/>
    <w:rsid w:val="00222B1D"/>
    <w:rsid w:val="00222BE8"/>
    <w:rsid w:val="00222DF6"/>
    <w:rsid w:val="00223102"/>
    <w:rsid w:val="002232CB"/>
    <w:rsid w:val="00224022"/>
    <w:rsid w:val="00226055"/>
    <w:rsid w:val="0022609C"/>
    <w:rsid w:val="0022613F"/>
    <w:rsid w:val="0022614F"/>
    <w:rsid w:val="00226236"/>
    <w:rsid w:val="002266AF"/>
    <w:rsid w:val="002270C9"/>
    <w:rsid w:val="00227A8B"/>
    <w:rsid w:val="002306BF"/>
    <w:rsid w:val="002311F0"/>
    <w:rsid w:val="0023146B"/>
    <w:rsid w:val="002315A0"/>
    <w:rsid w:val="00231748"/>
    <w:rsid w:val="00231CBD"/>
    <w:rsid w:val="00231DCC"/>
    <w:rsid w:val="00231EC7"/>
    <w:rsid w:val="00232AF1"/>
    <w:rsid w:val="00232E15"/>
    <w:rsid w:val="00233079"/>
    <w:rsid w:val="0023382C"/>
    <w:rsid w:val="00233977"/>
    <w:rsid w:val="00233C58"/>
    <w:rsid w:val="00233C71"/>
    <w:rsid w:val="002345B6"/>
    <w:rsid w:val="002347A6"/>
    <w:rsid w:val="00234B84"/>
    <w:rsid w:val="0023548D"/>
    <w:rsid w:val="00236016"/>
    <w:rsid w:val="00237065"/>
    <w:rsid w:val="00237589"/>
    <w:rsid w:val="0023758D"/>
    <w:rsid w:val="002375A7"/>
    <w:rsid w:val="0023777A"/>
    <w:rsid w:val="00237D1D"/>
    <w:rsid w:val="0024019A"/>
    <w:rsid w:val="00240A1F"/>
    <w:rsid w:val="00240EC1"/>
    <w:rsid w:val="0024120F"/>
    <w:rsid w:val="0024131D"/>
    <w:rsid w:val="002415B8"/>
    <w:rsid w:val="00241B82"/>
    <w:rsid w:val="0024296E"/>
    <w:rsid w:val="00242D5F"/>
    <w:rsid w:val="00242D62"/>
    <w:rsid w:val="002430D0"/>
    <w:rsid w:val="002431D7"/>
    <w:rsid w:val="00244058"/>
    <w:rsid w:val="0024561A"/>
    <w:rsid w:val="00245718"/>
    <w:rsid w:val="002457E9"/>
    <w:rsid w:val="00245E07"/>
    <w:rsid w:val="0024665E"/>
    <w:rsid w:val="00247712"/>
    <w:rsid w:val="00250A9E"/>
    <w:rsid w:val="00250EC6"/>
    <w:rsid w:val="002515C7"/>
    <w:rsid w:val="00251866"/>
    <w:rsid w:val="00251A9F"/>
    <w:rsid w:val="00251E66"/>
    <w:rsid w:val="00252492"/>
    <w:rsid w:val="00252B35"/>
    <w:rsid w:val="00253070"/>
    <w:rsid w:val="002530A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724"/>
    <w:rsid w:val="0026129B"/>
    <w:rsid w:val="00261560"/>
    <w:rsid w:val="00261715"/>
    <w:rsid w:val="00261CF9"/>
    <w:rsid w:val="00261EC0"/>
    <w:rsid w:val="0026231B"/>
    <w:rsid w:val="00263101"/>
    <w:rsid w:val="002631D1"/>
    <w:rsid w:val="00263201"/>
    <w:rsid w:val="00263A37"/>
    <w:rsid w:val="00263EC5"/>
    <w:rsid w:val="00264266"/>
    <w:rsid w:val="002646A3"/>
    <w:rsid w:val="0026471F"/>
    <w:rsid w:val="0026480D"/>
    <w:rsid w:val="00265162"/>
    <w:rsid w:val="002653A6"/>
    <w:rsid w:val="002655EF"/>
    <w:rsid w:val="002661F1"/>
    <w:rsid w:val="00266316"/>
    <w:rsid w:val="00266DB6"/>
    <w:rsid w:val="002706CE"/>
    <w:rsid w:val="002711A4"/>
    <w:rsid w:val="00271230"/>
    <w:rsid w:val="00271F13"/>
    <w:rsid w:val="00272945"/>
    <w:rsid w:val="00272AFB"/>
    <w:rsid w:val="00272E89"/>
    <w:rsid w:val="00273A94"/>
    <w:rsid w:val="002742D0"/>
    <w:rsid w:val="0027482E"/>
    <w:rsid w:val="002748F1"/>
    <w:rsid w:val="00274DB5"/>
    <w:rsid w:val="00275AD0"/>
    <w:rsid w:val="00275BB1"/>
    <w:rsid w:val="00275CBF"/>
    <w:rsid w:val="002766F9"/>
    <w:rsid w:val="00276EF7"/>
    <w:rsid w:val="0027770B"/>
    <w:rsid w:val="00277933"/>
    <w:rsid w:val="00277EC1"/>
    <w:rsid w:val="00277F8D"/>
    <w:rsid w:val="00277FA7"/>
    <w:rsid w:val="00280046"/>
    <w:rsid w:val="00280806"/>
    <w:rsid w:val="00280B4F"/>
    <w:rsid w:val="00280F3D"/>
    <w:rsid w:val="0028106A"/>
    <w:rsid w:val="00281EB4"/>
    <w:rsid w:val="002820DA"/>
    <w:rsid w:val="00282E03"/>
    <w:rsid w:val="0028308E"/>
    <w:rsid w:val="002834E9"/>
    <w:rsid w:val="002837BA"/>
    <w:rsid w:val="00283A52"/>
    <w:rsid w:val="00283C5E"/>
    <w:rsid w:val="00283E26"/>
    <w:rsid w:val="0028428F"/>
    <w:rsid w:val="00284CFC"/>
    <w:rsid w:val="0028552A"/>
    <w:rsid w:val="00285832"/>
    <w:rsid w:val="00285943"/>
    <w:rsid w:val="00285969"/>
    <w:rsid w:val="0028599C"/>
    <w:rsid w:val="00285DE7"/>
    <w:rsid w:val="0028663B"/>
    <w:rsid w:val="00286CEC"/>
    <w:rsid w:val="002870F9"/>
    <w:rsid w:val="002871A9"/>
    <w:rsid w:val="00287505"/>
    <w:rsid w:val="00287BDB"/>
    <w:rsid w:val="00290781"/>
    <w:rsid w:val="00291784"/>
    <w:rsid w:val="002920DF"/>
    <w:rsid w:val="00292139"/>
    <w:rsid w:val="002928A3"/>
    <w:rsid w:val="002928C8"/>
    <w:rsid w:val="002929BB"/>
    <w:rsid w:val="0029371B"/>
    <w:rsid w:val="00294368"/>
    <w:rsid w:val="00294B78"/>
    <w:rsid w:val="00295416"/>
    <w:rsid w:val="00295949"/>
    <w:rsid w:val="00295D7C"/>
    <w:rsid w:val="0029624A"/>
    <w:rsid w:val="00296922"/>
    <w:rsid w:val="00297098"/>
    <w:rsid w:val="0029745A"/>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FE"/>
    <w:rsid w:val="002A625C"/>
    <w:rsid w:val="002A632B"/>
    <w:rsid w:val="002A6AFB"/>
    <w:rsid w:val="002A6CB8"/>
    <w:rsid w:val="002A733D"/>
    <w:rsid w:val="002A7559"/>
    <w:rsid w:val="002A774A"/>
    <w:rsid w:val="002A7840"/>
    <w:rsid w:val="002A78F3"/>
    <w:rsid w:val="002A7D84"/>
    <w:rsid w:val="002A7E5C"/>
    <w:rsid w:val="002A7F6D"/>
    <w:rsid w:val="002B0D83"/>
    <w:rsid w:val="002B1342"/>
    <w:rsid w:val="002B1F83"/>
    <w:rsid w:val="002B27C8"/>
    <w:rsid w:val="002B2A7F"/>
    <w:rsid w:val="002B330B"/>
    <w:rsid w:val="002B39BE"/>
    <w:rsid w:val="002B3A3B"/>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C15BF"/>
    <w:rsid w:val="002C24B4"/>
    <w:rsid w:val="002C2B3A"/>
    <w:rsid w:val="002C2B87"/>
    <w:rsid w:val="002C3CF4"/>
    <w:rsid w:val="002C3DC9"/>
    <w:rsid w:val="002C441A"/>
    <w:rsid w:val="002C4A73"/>
    <w:rsid w:val="002C4B84"/>
    <w:rsid w:val="002C4C0C"/>
    <w:rsid w:val="002C5016"/>
    <w:rsid w:val="002C5C2F"/>
    <w:rsid w:val="002C5D0F"/>
    <w:rsid w:val="002C60B9"/>
    <w:rsid w:val="002C6BAA"/>
    <w:rsid w:val="002C6F77"/>
    <w:rsid w:val="002C704D"/>
    <w:rsid w:val="002D0845"/>
    <w:rsid w:val="002D0933"/>
    <w:rsid w:val="002D1555"/>
    <w:rsid w:val="002D15B6"/>
    <w:rsid w:val="002D19BB"/>
    <w:rsid w:val="002D1A9B"/>
    <w:rsid w:val="002D1E04"/>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04"/>
    <w:rsid w:val="002D6558"/>
    <w:rsid w:val="002D65BC"/>
    <w:rsid w:val="002E055C"/>
    <w:rsid w:val="002E1050"/>
    <w:rsid w:val="002E107E"/>
    <w:rsid w:val="002E18E5"/>
    <w:rsid w:val="002E1953"/>
    <w:rsid w:val="002E2C3F"/>
    <w:rsid w:val="002E2CB5"/>
    <w:rsid w:val="002E2D7D"/>
    <w:rsid w:val="002E32D0"/>
    <w:rsid w:val="002E3D05"/>
    <w:rsid w:val="002E3D76"/>
    <w:rsid w:val="002E40A1"/>
    <w:rsid w:val="002E48EC"/>
    <w:rsid w:val="002E4B44"/>
    <w:rsid w:val="002E4ECB"/>
    <w:rsid w:val="002E4F23"/>
    <w:rsid w:val="002E61AE"/>
    <w:rsid w:val="002E635A"/>
    <w:rsid w:val="002E6D68"/>
    <w:rsid w:val="002E7847"/>
    <w:rsid w:val="002F0073"/>
    <w:rsid w:val="002F0AC0"/>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866"/>
    <w:rsid w:val="00303C19"/>
    <w:rsid w:val="003043A3"/>
    <w:rsid w:val="0030462D"/>
    <w:rsid w:val="00304BD4"/>
    <w:rsid w:val="00304F54"/>
    <w:rsid w:val="0030500A"/>
    <w:rsid w:val="003052EB"/>
    <w:rsid w:val="00305FCB"/>
    <w:rsid w:val="003063C3"/>
    <w:rsid w:val="003069DC"/>
    <w:rsid w:val="00306A13"/>
    <w:rsid w:val="00306B44"/>
    <w:rsid w:val="00306F2B"/>
    <w:rsid w:val="00307C44"/>
    <w:rsid w:val="0031040A"/>
    <w:rsid w:val="0031088E"/>
    <w:rsid w:val="00310D01"/>
    <w:rsid w:val="00311376"/>
    <w:rsid w:val="00311A1F"/>
    <w:rsid w:val="00311B47"/>
    <w:rsid w:val="00311D52"/>
    <w:rsid w:val="00312190"/>
    <w:rsid w:val="003125E0"/>
    <w:rsid w:val="0031271D"/>
    <w:rsid w:val="00313222"/>
    <w:rsid w:val="003132BB"/>
    <w:rsid w:val="00313337"/>
    <w:rsid w:val="00313447"/>
    <w:rsid w:val="003135CC"/>
    <w:rsid w:val="00313748"/>
    <w:rsid w:val="00313EA3"/>
    <w:rsid w:val="003151FE"/>
    <w:rsid w:val="00315365"/>
    <w:rsid w:val="00315457"/>
    <w:rsid w:val="00315E25"/>
    <w:rsid w:val="003161A4"/>
    <w:rsid w:val="00316955"/>
    <w:rsid w:val="0031713F"/>
    <w:rsid w:val="0031720A"/>
    <w:rsid w:val="0031749B"/>
    <w:rsid w:val="003174E5"/>
    <w:rsid w:val="00317C9D"/>
    <w:rsid w:val="00317CD2"/>
    <w:rsid w:val="00317D99"/>
    <w:rsid w:val="003203BF"/>
    <w:rsid w:val="0032078D"/>
    <w:rsid w:val="00320ADF"/>
    <w:rsid w:val="0032137B"/>
    <w:rsid w:val="00321A70"/>
    <w:rsid w:val="00321BD6"/>
    <w:rsid w:val="00321FA3"/>
    <w:rsid w:val="003227D3"/>
    <w:rsid w:val="00322805"/>
    <w:rsid w:val="00322937"/>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386"/>
    <w:rsid w:val="00332453"/>
    <w:rsid w:val="0033251B"/>
    <w:rsid w:val="00333A88"/>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08B"/>
    <w:rsid w:val="00344760"/>
    <w:rsid w:val="00344A9D"/>
    <w:rsid w:val="003454E8"/>
    <w:rsid w:val="00345574"/>
    <w:rsid w:val="00345965"/>
    <w:rsid w:val="0034680A"/>
    <w:rsid w:val="00346C62"/>
    <w:rsid w:val="00347202"/>
    <w:rsid w:val="0034778E"/>
    <w:rsid w:val="00347A5A"/>
    <w:rsid w:val="003501E2"/>
    <w:rsid w:val="00351E10"/>
    <w:rsid w:val="0035252F"/>
    <w:rsid w:val="003533F4"/>
    <w:rsid w:val="003536F6"/>
    <w:rsid w:val="00353DD5"/>
    <w:rsid w:val="00353F36"/>
    <w:rsid w:val="00355131"/>
    <w:rsid w:val="00355F74"/>
    <w:rsid w:val="003560DB"/>
    <w:rsid w:val="003564BA"/>
    <w:rsid w:val="003564DB"/>
    <w:rsid w:val="00356F87"/>
    <w:rsid w:val="00357C44"/>
    <w:rsid w:val="00357E83"/>
    <w:rsid w:val="0036086B"/>
    <w:rsid w:val="00360CF3"/>
    <w:rsid w:val="00361A59"/>
    <w:rsid w:val="00363348"/>
    <w:rsid w:val="003634D4"/>
    <w:rsid w:val="00363857"/>
    <w:rsid w:val="00363D59"/>
    <w:rsid w:val="00363F08"/>
    <w:rsid w:val="003640F7"/>
    <w:rsid w:val="003658F2"/>
    <w:rsid w:val="0036594A"/>
    <w:rsid w:val="00365D3A"/>
    <w:rsid w:val="003664FF"/>
    <w:rsid w:val="00366BD2"/>
    <w:rsid w:val="003670B8"/>
    <w:rsid w:val="003704A3"/>
    <w:rsid w:val="003706F2"/>
    <w:rsid w:val="003709E8"/>
    <w:rsid w:val="0037124F"/>
    <w:rsid w:val="00373827"/>
    <w:rsid w:val="00373B6E"/>
    <w:rsid w:val="0037401C"/>
    <w:rsid w:val="0037507B"/>
    <w:rsid w:val="00375C7C"/>
    <w:rsid w:val="00377027"/>
    <w:rsid w:val="00377135"/>
    <w:rsid w:val="00377EAC"/>
    <w:rsid w:val="00380272"/>
    <w:rsid w:val="003805DB"/>
    <w:rsid w:val="00380B96"/>
    <w:rsid w:val="00380C7F"/>
    <w:rsid w:val="0038152A"/>
    <w:rsid w:val="0038245D"/>
    <w:rsid w:val="00382BAD"/>
    <w:rsid w:val="003835FD"/>
    <w:rsid w:val="00383EDF"/>
    <w:rsid w:val="00384C5E"/>
    <w:rsid w:val="00384DF1"/>
    <w:rsid w:val="00384FF3"/>
    <w:rsid w:val="00386456"/>
    <w:rsid w:val="003865A9"/>
    <w:rsid w:val="003872D3"/>
    <w:rsid w:val="0039092B"/>
    <w:rsid w:val="00390BD9"/>
    <w:rsid w:val="00390C0B"/>
    <w:rsid w:val="00390F32"/>
    <w:rsid w:val="0039135E"/>
    <w:rsid w:val="0039285D"/>
    <w:rsid w:val="0039319C"/>
    <w:rsid w:val="00393577"/>
    <w:rsid w:val="00393CAE"/>
    <w:rsid w:val="00393FEC"/>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6764"/>
    <w:rsid w:val="003A72F5"/>
    <w:rsid w:val="003A78E5"/>
    <w:rsid w:val="003B0341"/>
    <w:rsid w:val="003B15F3"/>
    <w:rsid w:val="003B1961"/>
    <w:rsid w:val="003B1E57"/>
    <w:rsid w:val="003B1E5C"/>
    <w:rsid w:val="003B242E"/>
    <w:rsid w:val="003B2EF3"/>
    <w:rsid w:val="003B48C4"/>
    <w:rsid w:val="003B4ADC"/>
    <w:rsid w:val="003B534F"/>
    <w:rsid w:val="003B5391"/>
    <w:rsid w:val="003B58CE"/>
    <w:rsid w:val="003B6273"/>
    <w:rsid w:val="003B65D7"/>
    <w:rsid w:val="003B65E0"/>
    <w:rsid w:val="003B6BD4"/>
    <w:rsid w:val="003B6F4D"/>
    <w:rsid w:val="003B6FE7"/>
    <w:rsid w:val="003B74E8"/>
    <w:rsid w:val="003C0491"/>
    <w:rsid w:val="003C0C0F"/>
    <w:rsid w:val="003C0D1F"/>
    <w:rsid w:val="003C116A"/>
    <w:rsid w:val="003C1AF4"/>
    <w:rsid w:val="003C1CB8"/>
    <w:rsid w:val="003C22DA"/>
    <w:rsid w:val="003C2550"/>
    <w:rsid w:val="003C287F"/>
    <w:rsid w:val="003C2B2B"/>
    <w:rsid w:val="003C3339"/>
    <w:rsid w:val="003C375A"/>
    <w:rsid w:val="003C4317"/>
    <w:rsid w:val="003C4D9F"/>
    <w:rsid w:val="003C5247"/>
    <w:rsid w:val="003C5B02"/>
    <w:rsid w:val="003C5D7C"/>
    <w:rsid w:val="003C5E8A"/>
    <w:rsid w:val="003C622C"/>
    <w:rsid w:val="003C6505"/>
    <w:rsid w:val="003C73C7"/>
    <w:rsid w:val="003C7CFB"/>
    <w:rsid w:val="003D050B"/>
    <w:rsid w:val="003D0B98"/>
    <w:rsid w:val="003D0C3C"/>
    <w:rsid w:val="003D0DE5"/>
    <w:rsid w:val="003D1351"/>
    <w:rsid w:val="003D15B3"/>
    <w:rsid w:val="003D21C1"/>
    <w:rsid w:val="003D266D"/>
    <w:rsid w:val="003D370F"/>
    <w:rsid w:val="003D3B15"/>
    <w:rsid w:val="003D3B2E"/>
    <w:rsid w:val="003D3F28"/>
    <w:rsid w:val="003D4101"/>
    <w:rsid w:val="003D484D"/>
    <w:rsid w:val="003D49CB"/>
    <w:rsid w:val="003D5F10"/>
    <w:rsid w:val="003D6B8F"/>
    <w:rsid w:val="003D7566"/>
    <w:rsid w:val="003E0224"/>
    <w:rsid w:val="003E09BB"/>
    <w:rsid w:val="003E13D2"/>
    <w:rsid w:val="003E159D"/>
    <w:rsid w:val="003E1E64"/>
    <w:rsid w:val="003E20EA"/>
    <w:rsid w:val="003E210C"/>
    <w:rsid w:val="003E2294"/>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0DC1"/>
    <w:rsid w:val="004016A3"/>
    <w:rsid w:val="00401B31"/>
    <w:rsid w:val="0040202B"/>
    <w:rsid w:val="0040219D"/>
    <w:rsid w:val="00402B33"/>
    <w:rsid w:val="00402DE1"/>
    <w:rsid w:val="00402E14"/>
    <w:rsid w:val="00402EEB"/>
    <w:rsid w:val="004037C2"/>
    <w:rsid w:val="00403FDE"/>
    <w:rsid w:val="00404041"/>
    <w:rsid w:val="004040D4"/>
    <w:rsid w:val="00404B43"/>
    <w:rsid w:val="00404C61"/>
    <w:rsid w:val="00405487"/>
    <w:rsid w:val="00405B8A"/>
    <w:rsid w:val="0040602B"/>
    <w:rsid w:val="0040606C"/>
    <w:rsid w:val="004060DC"/>
    <w:rsid w:val="004068CD"/>
    <w:rsid w:val="00406DF5"/>
    <w:rsid w:val="00406F35"/>
    <w:rsid w:val="004077D0"/>
    <w:rsid w:val="00407A7A"/>
    <w:rsid w:val="00407ABC"/>
    <w:rsid w:val="00407F1E"/>
    <w:rsid w:val="004103B3"/>
    <w:rsid w:val="00410A88"/>
    <w:rsid w:val="00410CC8"/>
    <w:rsid w:val="00411317"/>
    <w:rsid w:val="00411692"/>
    <w:rsid w:val="00411A9E"/>
    <w:rsid w:val="0041259F"/>
    <w:rsid w:val="00412B1B"/>
    <w:rsid w:val="00412B4D"/>
    <w:rsid w:val="00412C51"/>
    <w:rsid w:val="00413262"/>
    <w:rsid w:val="0041329C"/>
    <w:rsid w:val="004132AF"/>
    <w:rsid w:val="004139F4"/>
    <w:rsid w:val="00413FFA"/>
    <w:rsid w:val="00414246"/>
    <w:rsid w:val="0041463D"/>
    <w:rsid w:val="00414D9A"/>
    <w:rsid w:val="00415194"/>
    <w:rsid w:val="00415816"/>
    <w:rsid w:val="00415B88"/>
    <w:rsid w:val="00415D32"/>
    <w:rsid w:val="00415E6A"/>
    <w:rsid w:val="004160A2"/>
    <w:rsid w:val="0041674B"/>
    <w:rsid w:val="004170D7"/>
    <w:rsid w:val="004177A6"/>
    <w:rsid w:val="00417C00"/>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0E2"/>
    <w:rsid w:val="00422DCA"/>
    <w:rsid w:val="00423D04"/>
    <w:rsid w:val="00423F9F"/>
    <w:rsid w:val="00424C5B"/>
    <w:rsid w:val="00425C43"/>
    <w:rsid w:val="004273FA"/>
    <w:rsid w:val="004275A7"/>
    <w:rsid w:val="00427BDA"/>
    <w:rsid w:val="00430186"/>
    <w:rsid w:val="00430F17"/>
    <w:rsid w:val="00431CC7"/>
    <w:rsid w:val="0043260C"/>
    <w:rsid w:val="0043269A"/>
    <w:rsid w:val="00432E92"/>
    <w:rsid w:val="004333C2"/>
    <w:rsid w:val="00434787"/>
    <w:rsid w:val="00434C13"/>
    <w:rsid w:val="00434C56"/>
    <w:rsid w:val="00434D8B"/>
    <w:rsid w:val="00435294"/>
    <w:rsid w:val="00435530"/>
    <w:rsid w:val="004356CF"/>
    <w:rsid w:val="00435703"/>
    <w:rsid w:val="00435BD5"/>
    <w:rsid w:val="00435C7F"/>
    <w:rsid w:val="00436323"/>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4ED8"/>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0FE"/>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5B54"/>
    <w:rsid w:val="00466616"/>
    <w:rsid w:val="00466A0C"/>
    <w:rsid w:val="00466A53"/>
    <w:rsid w:val="00467EE3"/>
    <w:rsid w:val="0047088F"/>
    <w:rsid w:val="00470A6A"/>
    <w:rsid w:val="00470C12"/>
    <w:rsid w:val="00470D73"/>
    <w:rsid w:val="00470D92"/>
    <w:rsid w:val="00471DF7"/>
    <w:rsid w:val="00471E7D"/>
    <w:rsid w:val="004734CF"/>
    <w:rsid w:val="00473A5B"/>
    <w:rsid w:val="00473F33"/>
    <w:rsid w:val="0047586C"/>
    <w:rsid w:val="00475A31"/>
    <w:rsid w:val="00475C5A"/>
    <w:rsid w:val="00475C9C"/>
    <w:rsid w:val="0047676B"/>
    <w:rsid w:val="0047773C"/>
    <w:rsid w:val="00477C5F"/>
    <w:rsid w:val="00480050"/>
    <w:rsid w:val="0048011C"/>
    <w:rsid w:val="004808DE"/>
    <w:rsid w:val="00480F9A"/>
    <w:rsid w:val="0048155D"/>
    <w:rsid w:val="00481912"/>
    <w:rsid w:val="00481AC4"/>
    <w:rsid w:val="00481DC1"/>
    <w:rsid w:val="00482194"/>
    <w:rsid w:val="00482507"/>
    <w:rsid w:val="0048268A"/>
    <w:rsid w:val="004826AE"/>
    <w:rsid w:val="00482A64"/>
    <w:rsid w:val="004835CA"/>
    <w:rsid w:val="004836D7"/>
    <w:rsid w:val="004836F8"/>
    <w:rsid w:val="004836FE"/>
    <w:rsid w:val="00484A39"/>
    <w:rsid w:val="00484F0F"/>
    <w:rsid w:val="00484F40"/>
    <w:rsid w:val="0048540C"/>
    <w:rsid w:val="004861B4"/>
    <w:rsid w:val="00486226"/>
    <w:rsid w:val="00486BD0"/>
    <w:rsid w:val="00486D00"/>
    <w:rsid w:val="00486FF7"/>
    <w:rsid w:val="00487263"/>
    <w:rsid w:val="0048734F"/>
    <w:rsid w:val="0048757F"/>
    <w:rsid w:val="0049029D"/>
    <w:rsid w:val="0049030C"/>
    <w:rsid w:val="004903C0"/>
    <w:rsid w:val="00490654"/>
    <w:rsid w:val="00490BE8"/>
    <w:rsid w:val="0049114B"/>
    <w:rsid w:val="004912A8"/>
    <w:rsid w:val="00491577"/>
    <w:rsid w:val="004918E1"/>
    <w:rsid w:val="0049196A"/>
    <w:rsid w:val="0049196E"/>
    <w:rsid w:val="004923DB"/>
    <w:rsid w:val="0049241A"/>
    <w:rsid w:val="00492844"/>
    <w:rsid w:val="00492C1F"/>
    <w:rsid w:val="00492E4C"/>
    <w:rsid w:val="00493664"/>
    <w:rsid w:val="004938FD"/>
    <w:rsid w:val="00493E04"/>
    <w:rsid w:val="004940E3"/>
    <w:rsid w:val="0049530F"/>
    <w:rsid w:val="004958F6"/>
    <w:rsid w:val="00496664"/>
    <w:rsid w:val="00496786"/>
    <w:rsid w:val="0049695B"/>
    <w:rsid w:val="00496D8F"/>
    <w:rsid w:val="00497463"/>
    <w:rsid w:val="004A054C"/>
    <w:rsid w:val="004A08D1"/>
    <w:rsid w:val="004A0F88"/>
    <w:rsid w:val="004A16C1"/>
    <w:rsid w:val="004A1CE2"/>
    <w:rsid w:val="004A34D2"/>
    <w:rsid w:val="004A3EEA"/>
    <w:rsid w:val="004A4301"/>
    <w:rsid w:val="004A4D93"/>
    <w:rsid w:val="004A5094"/>
    <w:rsid w:val="004A546E"/>
    <w:rsid w:val="004A58EE"/>
    <w:rsid w:val="004A59B7"/>
    <w:rsid w:val="004A6051"/>
    <w:rsid w:val="004A623B"/>
    <w:rsid w:val="004A6A04"/>
    <w:rsid w:val="004A6A52"/>
    <w:rsid w:val="004B09B0"/>
    <w:rsid w:val="004B0A44"/>
    <w:rsid w:val="004B0F0B"/>
    <w:rsid w:val="004B205A"/>
    <w:rsid w:val="004B2197"/>
    <w:rsid w:val="004B298A"/>
    <w:rsid w:val="004B2BB8"/>
    <w:rsid w:val="004B448D"/>
    <w:rsid w:val="004B50CB"/>
    <w:rsid w:val="004B578D"/>
    <w:rsid w:val="004B5BE7"/>
    <w:rsid w:val="004B5E2D"/>
    <w:rsid w:val="004B6C07"/>
    <w:rsid w:val="004B74D3"/>
    <w:rsid w:val="004B755E"/>
    <w:rsid w:val="004B788E"/>
    <w:rsid w:val="004B7E5D"/>
    <w:rsid w:val="004C117D"/>
    <w:rsid w:val="004C1198"/>
    <w:rsid w:val="004C22F7"/>
    <w:rsid w:val="004C278C"/>
    <w:rsid w:val="004C2B27"/>
    <w:rsid w:val="004C3929"/>
    <w:rsid w:val="004C4160"/>
    <w:rsid w:val="004C4772"/>
    <w:rsid w:val="004C496D"/>
    <w:rsid w:val="004C5160"/>
    <w:rsid w:val="004C5212"/>
    <w:rsid w:val="004C5EF0"/>
    <w:rsid w:val="004C64C9"/>
    <w:rsid w:val="004C7226"/>
    <w:rsid w:val="004C74C9"/>
    <w:rsid w:val="004C7915"/>
    <w:rsid w:val="004C7D70"/>
    <w:rsid w:val="004D02F9"/>
    <w:rsid w:val="004D03FE"/>
    <w:rsid w:val="004D0446"/>
    <w:rsid w:val="004D06A3"/>
    <w:rsid w:val="004D0F95"/>
    <w:rsid w:val="004D106A"/>
    <w:rsid w:val="004D1162"/>
    <w:rsid w:val="004D1C7E"/>
    <w:rsid w:val="004D245A"/>
    <w:rsid w:val="004D31EE"/>
    <w:rsid w:val="004D36AF"/>
    <w:rsid w:val="004D3BD1"/>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09"/>
    <w:rsid w:val="004E2CCF"/>
    <w:rsid w:val="004E3B71"/>
    <w:rsid w:val="004E40CE"/>
    <w:rsid w:val="004E4BDE"/>
    <w:rsid w:val="004E5736"/>
    <w:rsid w:val="004E5A3C"/>
    <w:rsid w:val="004E5B36"/>
    <w:rsid w:val="004E5D5D"/>
    <w:rsid w:val="004E6045"/>
    <w:rsid w:val="004E67D0"/>
    <w:rsid w:val="004E6F43"/>
    <w:rsid w:val="004E7200"/>
    <w:rsid w:val="004E787E"/>
    <w:rsid w:val="004E7AA1"/>
    <w:rsid w:val="004F0805"/>
    <w:rsid w:val="004F0960"/>
    <w:rsid w:val="004F0A5C"/>
    <w:rsid w:val="004F1596"/>
    <w:rsid w:val="004F163F"/>
    <w:rsid w:val="004F18A0"/>
    <w:rsid w:val="004F1A08"/>
    <w:rsid w:val="004F2480"/>
    <w:rsid w:val="004F2B64"/>
    <w:rsid w:val="004F31B8"/>
    <w:rsid w:val="004F33FA"/>
    <w:rsid w:val="004F375E"/>
    <w:rsid w:val="004F3764"/>
    <w:rsid w:val="004F3EEF"/>
    <w:rsid w:val="004F5129"/>
    <w:rsid w:val="004F5180"/>
    <w:rsid w:val="004F57C9"/>
    <w:rsid w:val="004F5930"/>
    <w:rsid w:val="004F5970"/>
    <w:rsid w:val="004F5F0C"/>
    <w:rsid w:val="004F6121"/>
    <w:rsid w:val="004F6161"/>
    <w:rsid w:val="004F66BC"/>
    <w:rsid w:val="004F6C26"/>
    <w:rsid w:val="004F6F6D"/>
    <w:rsid w:val="004F7AC9"/>
    <w:rsid w:val="0050062F"/>
    <w:rsid w:val="00500E74"/>
    <w:rsid w:val="005013EB"/>
    <w:rsid w:val="00501525"/>
    <w:rsid w:val="0050160F"/>
    <w:rsid w:val="0050284E"/>
    <w:rsid w:val="0050306F"/>
    <w:rsid w:val="0050309C"/>
    <w:rsid w:val="00503A17"/>
    <w:rsid w:val="00505892"/>
    <w:rsid w:val="00505DCB"/>
    <w:rsid w:val="0050674C"/>
    <w:rsid w:val="00507066"/>
    <w:rsid w:val="005075CA"/>
    <w:rsid w:val="00507B06"/>
    <w:rsid w:val="00507BF1"/>
    <w:rsid w:val="0051074C"/>
    <w:rsid w:val="00510DE9"/>
    <w:rsid w:val="00510DF4"/>
    <w:rsid w:val="005111E2"/>
    <w:rsid w:val="00511231"/>
    <w:rsid w:val="005113B1"/>
    <w:rsid w:val="00511741"/>
    <w:rsid w:val="0051255B"/>
    <w:rsid w:val="00512C4F"/>
    <w:rsid w:val="00513042"/>
    <w:rsid w:val="0051334F"/>
    <w:rsid w:val="00513399"/>
    <w:rsid w:val="00513AF2"/>
    <w:rsid w:val="00514575"/>
    <w:rsid w:val="00514C03"/>
    <w:rsid w:val="00514D67"/>
    <w:rsid w:val="0051522A"/>
    <w:rsid w:val="00515515"/>
    <w:rsid w:val="005155E3"/>
    <w:rsid w:val="00515625"/>
    <w:rsid w:val="00515D66"/>
    <w:rsid w:val="0051635C"/>
    <w:rsid w:val="00516C5B"/>
    <w:rsid w:val="00516DB7"/>
    <w:rsid w:val="005172DA"/>
    <w:rsid w:val="00517612"/>
    <w:rsid w:val="005178FD"/>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E0D"/>
    <w:rsid w:val="0052311A"/>
    <w:rsid w:val="0052370B"/>
    <w:rsid w:val="00523903"/>
    <w:rsid w:val="005239B6"/>
    <w:rsid w:val="00523C45"/>
    <w:rsid w:val="00523F41"/>
    <w:rsid w:val="00524165"/>
    <w:rsid w:val="005244FC"/>
    <w:rsid w:val="005246E7"/>
    <w:rsid w:val="00524B08"/>
    <w:rsid w:val="00524C38"/>
    <w:rsid w:val="00524FD2"/>
    <w:rsid w:val="00525621"/>
    <w:rsid w:val="00526181"/>
    <w:rsid w:val="00526431"/>
    <w:rsid w:val="00527532"/>
    <w:rsid w:val="00527DEB"/>
    <w:rsid w:val="00527E57"/>
    <w:rsid w:val="00527F2C"/>
    <w:rsid w:val="00530405"/>
    <w:rsid w:val="00530458"/>
    <w:rsid w:val="00530522"/>
    <w:rsid w:val="005305E5"/>
    <w:rsid w:val="0053086F"/>
    <w:rsid w:val="00530CBA"/>
    <w:rsid w:val="00530F38"/>
    <w:rsid w:val="00531C1B"/>
    <w:rsid w:val="00531F26"/>
    <w:rsid w:val="00532501"/>
    <w:rsid w:val="0053277C"/>
    <w:rsid w:val="005327C0"/>
    <w:rsid w:val="00532AB8"/>
    <w:rsid w:val="00533101"/>
    <w:rsid w:val="00533CA9"/>
    <w:rsid w:val="005346AD"/>
    <w:rsid w:val="00534EFB"/>
    <w:rsid w:val="00534F60"/>
    <w:rsid w:val="005357F1"/>
    <w:rsid w:val="005359BF"/>
    <w:rsid w:val="00535B2F"/>
    <w:rsid w:val="00535C73"/>
    <w:rsid w:val="00535D15"/>
    <w:rsid w:val="00535FC3"/>
    <w:rsid w:val="00536053"/>
    <w:rsid w:val="005363C6"/>
    <w:rsid w:val="005369E6"/>
    <w:rsid w:val="005371AC"/>
    <w:rsid w:val="00537672"/>
    <w:rsid w:val="005376B5"/>
    <w:rsid w:val="0053772F"/>
    <w:rsid w:val="00537A70"/>
    <w:rsid w:val="00537B64"/>
    <w:rsid w:val="00537B77"/>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3CAF"/>
    <w:rsid w:val="0054413A"/>
    <w:rsid w:val="00544288"/>
    <w:rsid w:val="00544420"/>
    <w:rsid w:val="005446BB"/>
    <w:rsid w:val="00544DA5"/>
    <w:rsid w:val="00544F43"/>
    <w:rsid w:val="00545997"/>
    <w:rsid w:val="00545E30"/>
    <w:rsid w:val="00545EA3"/>
    <w:rsid w:val="00546C9B"/>
    <w:rsid w:val="00546F81"/>
    <w:rsid w:val="00547378"/>
    <w:rsid w:val="00547BF6"/>
    <w:rsid w:val="00547FB3"/>
    <w:rsid w:val="00551098"/>
    <w:rsid w:val="00551598"/>
    <w:rsid w:val="0055162B"/>
    <w:rsid w:val="00551A56"/>
    <w:rsid w:val="00551BFF"/>
    <w:rsid w:val="00551D68"/>
    <w:rsid w:val="00551DFF"/>
    <w:rsid w:val="005525C9"/>
    <w:rsid w:val="00552B3E"/>
    <w:rsid w:val="00552C59"/>
    <w:rsid w:val="00553A23"/>
    <w:rsid w:val="00554578"/>
    <w:rsid w:val="00554D57"/>
    <w:rsid w:val="0055518C"/>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872"/>
    <w:rsid w:val="0057221F"/>
    <w:rsid w:val="00572421"/>
    <w:rsid w:val="00572539"/>
    <w:rsid w:val="00573355"/>
    <w:rsid w:val="0057337D"/>
    <w:rsid w:val="00573504"/>
    <w:rsid w:val="0057355F"/>
    <w:rsid w:val="00573BA3"/>
    <w:rsid w:val="00574708"/>
    <w:rsid w:val="00574D81"/>
    <w:rsid w:val="005756AA"/>
    <w:rsid w:val="00576814"/>
    <w:rsid w:val="0057696F"/>
    <w:rsid w:val="00577276"/>
    <w:rsid w:val="005774FE"/>
    <w:rsid w:val="0058040C"/>
    <w:rsid w:val="00580D6D"/>
    <w:rsid w:val="00580FD8"/>
    <w:rsid w:val="005813DE"/>
    <w:rsid w:val="00581796"/>
    <w:rsid w:val="0058195C"/>
    <w:rsid w:val="00581B45"/>
    <w:rsid w:val="00582480"/>
    <w:rsid w:val="00582805"/>
    <w:rsid w:val="0058290E"/>
    <w:rsid w:val="00582CAB"/>
    <w:rsid w:val="00582E51"/>
    <w:rsid w:val="00582FA6"/>
    <w:rsid w:val="005836D5"/>
    <w:rsid w:val="0058375E"/>
    <w:rsid w:val="005838D5"/>
    <w:rsid w:val="00584233"/>
    <w:rsid w:val="0058425C"/>
    <w:rsid w:val="005842D0"/>
    <w:rsid w:val="005845FB"/>
    <w:rsid w:val="005855AE"/>
    <w:rsid w:val="00585829"/>
    <w:rsid w:val="00585CA8"/>
    <w:rsid w:val="00585F87"/>
    <w:rsid w:val="00586412"/>
    <w:rsid w:val="005864B9"/>
    <w:rsid w:val="00586564"/>
    <w:rsid w:val="005866C4"/>
    <w:rsid w:val="005872A0"/>
    <w:rsid w:val="00590F1A"/>
    <w:rsid w:val="00591C03"/>
    <w:rsid w:val="00591E2A"/>
    <w:rsid w:val="005923C4"/>
    <w:rsid w:val="0059397D"/>
    <w:rsid w:val="00593EA2"/>
    <w:rsid w:val="00593F75"/>
    <w:rsid w:val="005940A0"/>
    <w:rsid w:val="0059429A"/>
    <w:rsid w:val="00594CBE"/>
    <w:rsid w:val="00596AF7"/>
    <w:rsid w:val="00596CCE"/>
    <w:rsid w:val="005A0AE0"/>
    <w:rsid w:val="005A1976"/>
    <w:rsid w:val="005A200E"/>
    <w:rsid w:val="005A2120"/>
    <w:rsid w:val="005A2501"/>
    <w:rsid w:val="005A2C80"/>
    <w:rsid w:val="005A3066"/>
    <w:rsid w:val="005A33BF"/>
    <w:rsid w:val="005A3B35"/>
    <w:rsid w:val="005A3C4B"/>
    <w:rsid w:val="005A3E5A"/>
    <w:rsid w:val="005A43F3"/>
    <w:rsid w:val="005A496F"/>
    <w:rsid w:val="005A4A56"/>
    <w:rsid w:val="005A4F3C"/>
    <w:rsid w:val="005A5259"/>
    <w:rsid w:val="005A5608"/>
    <w:rsid w:val="005A5A3D"/>
    <w:rsid w:val="005A6035"/>
    <w:rsid w:val="005A6B75"/>
    <w:rsid w:val="005A6E00"/>
    <w:rsid w:val="005A718A"/>
    <w:rsid w:val="005A72DD"/>
    <w:rsid w:val="005A7885"/>
    <w:rsid w:val="005B0293"/>
    <w:rsid w:val="005B077F"/>
    <w:rsid w:val="005B12B2"/>
    <w:rsid w:val="005B143B"/>
    <w:rsid w:val="005B19BD"/>
    <w:rsid w:val="005B1E45"/>
    <w:rsid w:val="005B21C4"/>
    <w:rsid w:val="005B2A28"/>
    <w:rsid w:val="005B35AB"/>
    <w:rsid w:val="005B3621"/>
    <w:rsid w:val="005B3C39"/>
    <w:rsid w:val="005B3EBE"/>
    <w:rsid w:val="005B4948"/>
    <w:rsid w:val="005B501D"/>
    <w:rsid w:val="005B54CC"/>
    <w:rsid w:val="005B6F69"/>
    <w:rsid w:val="005B71BB"/>
    <w:rsid w:val="005B74AD"/>
    <w:rsid w:val="005B7E96"/>
    <w:rsid w:val="005C0429"/>
    <w:rsid w:val="005C06A5"/>
    <w:rsid w:val="005C084F"/>
    <w:rsid w:val="005C0EE9"/>
    <w:rsid w:val="005C169F"/>
    <w:rsid w:val="005C16A8"/>
    <w:rsid w:val="005C1716"/>
    <w:rsid w:val="005C1954"/>
    <w:rsid w:val="005C1C0B"/>
    <w:rsid w:val="005C1D8B"/>
    <w:rsid w:val="005C2011"/>
    <w:rsid w:val="005C279F"/>
    <w:rsid w:val="005C3EA3"/>
    <w:rsid w:val="005C44DE"/>
    <w:rsid w:val="005C4D13"/>
    <w:rsid w:val="005C5011"/>
    <w:rsid w:val="005C5241"/>
    <w:rsid w:val="005C529E"/>
    <w:rsid w:val="005C57BA"/>
    <w:rsid w:val="005C5C52"/>
    <w:rsid w:val="005C5D3D"/>
    <w:rsid w:val="005C5DB6"/>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902"/>
    <w:rsid w:val="005D3B32"/>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3D4B"/>
    <w:rsid w:val="005E4B72"/>
    <w:rsid w:val="005E5022"/>
    <w:rsid w:val="005E52C9"/>
    <w:rsid w:val="005E781C"/>
    <w:rsid w:val="005F2856"/>
    <w:rsid w:val="005F2D8B"/>
    <w:rsid w:val="005F305B"/>
    <w:rsid w:val="005F3361"/>
    <w:rsid w:val="005F34DD"/>
    <w:rsid w:val="005F361A"/>
    <w:rsid w:val="005F3B47"/>
    <w:rsid w:val="005F4481"/>
    <w:rsid w:val="005F4596"/>
    <w:rsid w:val="005F47AC"/>
    <w:rsid w:val="005F49AF"/>
    <w:rsid w:val="005F4A58"/>
    <w:rsid w:val="005F54D1"/>
    <w:rsid w:val="005F54DF"/>
    <w:rsid w:val="005F5888"/>
    <w:rsid w:val="005F5984"/>
    <w:rsid w:val="005F5A9D"/>
    <w:rsid w:val="005F5EAB"/>
    <w:rsid w:val="005F6CE2"/>
    <w:rsid w:val="005F6EC8"/>
    <w:rsid w:val="005F6F24"/>
    <w:rsid w:val="005F72E9"/>
    <w:rsid w:val="005F780B"/>
    <w:rsid w:val="0060009C"/>
    <w:rsid w:val="00600473"/>
    <w:rsid w:val="00600AF5"/>
    <w:rsid w:val="0060139A"/>
    <w:rsid w:val="006013C9"/>
    <w:rsid w:val="00602931"/>
    <w:rsid w:val="00602B45"/>
    <w:rsid w:val="00603499"/>
    <w:rsid w:val="006035F5"/>
    <w:rsid w:val="00603CC2"/>
    <w:rsid w:val="006047D1"/>
    <w:rsid w:val="006048A4"/>
    <w:rsid w:val="00604A55"/>
    <w:rsid w:val="00604D4E"/>
    <w:rsid w:val="00604E3E"/>
    <w:rsid w:val="00605AC3"/>
    <w:rsid w:val="00606634"/>
    <w:rsid w:val="00606908"/>
    <w:rsid w:val="00607460"/>
    <w:rsid w:val="0060776B"/>
    <w:rsid w:val="00607996"/>
    <w:rsid w:val="00607A37"/>
    <w:rsid w:val="00607E9F"/>
    <w:rsid w:val="006102D8"/>
    <w:rsid w:val="00610407"/>
    <w:rsid w:val="0061085E"/>
    <w:rsid w:val="006112A7"/>
    <w:rsid w:val="00611398"/>
    <w:rsid w:val="006113B4"/>
    <w:rsid w:val="006115F7"/>
    <w:rsid w:val="0061163C"/>
    <w:rsid w:val="0061186D"/>
    <w:rsid w:val="00612322"/>
    <w:rsid w:val="006123C0"/>
    <w:rsid w:val="006129AB"/>
    <w:rsid w:val="00613191"/>
    <w:rsid w:val="006133F9"/>
    <w:rsid w:val="006134B3"/>
    <w:rsid w:val="00613746"/>
    <w:rsid w:val="00613DE1"/>
    <w:rsid w:val="0061401F"/>
    <w:rsid w:val="00614166"/>
    <w:rsid w:val="00614817"/>
    <w:rsid w:val="006149CC"/>
    <w:rsid w:val="006157A9"/>
    <w:rsid w:val="0061591D"/>
    <w:rsid w:val="00615ED0"/>
    <w:rsid w:val="0061604C"/>
    <w:rsid w:val="00616C2B"/>
    <w:rsid w:val="00616D7F"/>
    <w:rsid w:val="006178D1"/>
    <w:rsid w:val="00617D72"/>
    <w:rsid w:val="0062008E"/>
    <w:rsid w:val="00620719"/>
    <w:rsid w:val="006212C9"/>
    <w:rsid w:val="0062131B"/>
    <w:rsid w:val="00621D0C"/>
    <w:rsid w:val="00622185"/>
    <w:rsid w:val="00622229"/>
    <w:rsid w:val="00622470"/>
    <w:rsid w:val="00622725"/>
    <w:rsid w:val="00622785"/>
    <w:rsid w:val="00622B63"/>
    <w:rsid w:val="006231AA"/>
    <w:rsid w:val="00623482"/>
    <w:rsid w:val="00623AC2"/>
    <w:rsid w:val="00623EBC"/>
    <w:rsid w:val="0062475D"/>
    <w:rsid w:val="00625642"/>
    <w:rsid w:val="00625DF2"/>
    <w:rsid w:val="006266D7"/>
    <w:rsid w:val="00626A11"/>
    <w:rsid w:val="00626D42"/>
    <w:rsid w:val="00626EE3"/>
    <w:rsid w:val="006274AD"/>
    <w:rsid w:val="00627519"/>
    <w:rsid w:val="00627532"/>
    <w:rsid w:val="006302AA"/>
    <w:rsid w:val="00630C0F"/>
    <w:rsid w:val="006310C3"/>
    <w:rsid w:val="0063161E"/>
    <w:rsid w:val="00631BB5"/>
    <w:rsid w:val="00631DD0"/>
    <w:rsid w:val="00632A06"/>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A68"/>
    <w:rsid w:val="00637C26"/>
    <w:rsid w:val="00637F44"/>
    <w:rsid w:val="00641078"/>
    <w:rsid w:val="00641242"/>
    <w:rsid w:val="00641761"/>
    <w:rsid w:val="00642126"/>
    <w:rsid w:val="00642A32"/>
    <w:rsid w:val="00642B8E"/>
    <w:rsid w:val="00642F7C"/>
    <w:rsid w:val="006433D5"/>
    <w:rsid w:val="00643412"/>
    <w:rsid w:val="00645844"/>
    <w:rsid w:val="00645CEB"/>
    <w:rsid w:val="00645E63"/>
    <w:rsid w:val="006466F2"/>
    <w:rsid w:val="00646B20"/>
    <w:rsid w:val="00646D0F"/>
    <w:rsid w:val="00647A36"/>
    <w:rsid w:val="00647DCC"/>
    <w:rsid w:val="00647E8E"/>
    <w:rsid w:val="00647EFA"/>
    <w:rsid w:val="00647F14"/>
    <w:rsid w:val="00647FB1"/>
    <w:rsid w:val="00650027"/>
    <w:rsid w:val="0065040E"/>
    <w:rsid w:val="0065072D"/>
    <w:rsid w:val="00650E89"/>
    <w:rsid w:val="006516E6"/>
    <w:rsid w:val="00651B9C"/>
    <w:rsid w:val="00651C47"/>
    <w:rsid w:val="006525BD"/>
    <w:rsid w:val="00652E70"/>
    <w:rsid w:val="00652EFF"/>
    <w:rsid w:val="00652F4D"/>
    <w:rsid w:val="0065339A"/>
    <w:rsid w:val="00653469"/>
    <w:rsid w:val="0065443A"/>
    <w:rsid w:val="00654A38"/>
    <w:rsid w:val="00655301"/>
    <w:rsid w:val="00655371"/>
    <w:rsid w:val="00655507"/>
    <w:rsid w:val="00655652"/>
    <w:rsid w:val="006564A5"/>
    <w:rsid w:val="00656C4B"/>
    <w:rsid w:val="00656FA2"/>
    <w:rsid w:val="006572A7"/>
    <w:rsid w:val="006572DA"/>
    <w:rsid w:val="006573EA"/>
    <w:rsid w:val="006577C9"/>
    <w:rsid w:val="006606A4"/>
    <w:rsid w:val="00661029"/>
    <w:rsid w:val="006610C3"/>
    <w:rsid w:val="0066135A"/>
    <w:rsid w:val="00661A38"/>
    <w:rsid w:val="00661B46"/>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4D1"/>
    <w:rsid w:val="006665B0"/>
    <w:rsid w:val="00666B49"/>
    <w:rsid w:val="00666C72"/>
    <w:rsid w:val="00666E6C"/>
    <w:rsid w:val="0066707F"/>
    <w:rsid w:val="00667ED8"/>
    <w:rsid w:val="0067064C"/>
    <w:rsid w:val="00670B20"/>
    <w:rsid w:val="00670E12"/>
    <w:rsid w:val="00670F27"/>
    <w:rsid w:val="00672345"/>
    <w:rsid w:val="00672E80"/>
    <w:rsid w:val="0067333F"/>
    <w:rsid w:val="006739E4"/>
    <w:rsid w:val="00673ECF"/>
    <w:rsid w:val="0067426B"/>
    <w:rsid w:val="00674A1B"/>
    <w:rsid w:val="00674D08"/>
    <w:rsid w:val="00674F1C"/>
    <w:rsid w:val="006754F8"/>
    <w:rsid w:val="00676127"/>
    <w:rsid w:val="00676AED"/>
    <w:rsid w:val="00677212"/>
    <w:rsid w:val="006776D3"/>
    <w:rsid w:val="00677F26"/>
    <w:rsid w:val="006800EE"/>
    <w:rsid w:val="006802A7"/>
    <w:rsid w:val="00680A86"/>
    <w:rsid w:val="00680FEA"/>
    <w:rsid w:val="006811C9"/>
    <w:rsid w:val="006812CE"/>
    <w:rsid w:val="006817D5"/>
    <w:rsid w:val="0068180C"/>
    <w:rsid w:val="006823DA"/>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BB9"/>
    <w:rsid w:val="00686CAB"/>
    <w:rsid w:val="00686E5A"/>
    <w:rsid w:val="0068717F"/>
    <w:rsid w:val="0068730C"/>
    <w:rsid w:val="00687504"/>
    <w:rsid w:val="00687A14"/>
    <w:rsid w:val="00687A8C"/>
    <w:rsid w:val="00690839"/>
    <w:rsid w:val="006908DB"/>
    <w:rsid w:val="00690DE9"/>
    <w:rsid w:val="00691563"/>
    <w:rsid w:val="00691A1A"/>
    <w:rsid w:val="00691DE9"/>
    <w:rsid w:val="00691EAA"/>
    <w:rsid w:val="00692245"/>
    <w:rsid w:val="00692641"/>
    <w:rsid w:val="00692745"/>
    <w:rsid w:val="00692FFA"/>
    <w:rsid w:val="00693772"/>
    <w:rsid w:val="00693984"/>
    <w:rsid w:val="00693B77"/>
    <w:rsid w:val="00694160"/>
    <w:rsid w:val="00694E8B"/>
    <w:rsid w:val="006959A5"/>
    <w:rsid w:val="00695C0C"/>
    <w:rsid w:val="00696736"/>
    <w:rsid w:val="00696A05"/>
    <w:rsid w:val="00696A55"/>
    <w:rsid w:val="00697010"/>
    <w:rsid w:val="00697665"/>
    <w:rsid w:val="00697C2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5D71"/>
    <w:rsid w:val="006B67AC"/>
    <w:rsid w:val="006B6F2B"/>
    <w:rsid w:val="006B786A"/>
    <w:rsid w:val="006B7E4E"/>
    <w:rsid w:val="006C003A"/>
    <w:rsid w:val="006C107C"/>
    <w:rsid w:val="006C189C"/>
    <w:rsid w:val="006C2454"/>
    <w:rsid w:val="006C2551"/>
    <w:rsid w:val="006C27B9"/>
    <w:rsid w:val="006C37CA"/>
    <w:rsid w:val="006C39AE"/>
    <w:rsid w:val="006C40D2"/>
    <w:rsid w:val="006C441D"/>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712D"/>
    <w:rsid w:val="006D7687"/>
    <w:rsid w:val="006D7D1F"/>
    <w:rsid w:val="006D7D8A"/>
    <w:rsid w:val="006E046C"/>
    <w:rsid w:val="006E0572"/>
    <w:rsid w:val="006E05D8"/>
    <w:rsid w:val="006E08EE"/>
    <w:rsid w:val="006E0F32"/>
    <w:rsid w:val="006E155A"/>
    <w:rsid w:val="006E2892"/>
    <w:rsid w:val="006E2C34"/>
    <w:rsid w:val="006E359B"/>
    <w:rsid w:val="006E3687"/>
    <w:rsid w:val="006E39D1"/>
    <w:rsid w:val="006E3B05"/>
    <w:rsid w:val="006E437F"/>
    <w:rsid w:val="006E4D5B"/>
    <w:rsid w:val="006E602F"/>
    <w:rsid w:val="006E6720"/>
    <w:rsid w:val="006E7275"/>
    <w:rsid w:val="006E77B8"/>
    <w:rsid w:val="006E7AAF"/>
    <w:rsid w:val="006F0838"/>
    <w:rsid w:val="006F0F74"/>
    <w:rsid w:val="006F13BA"/>
    <w:rsid w:val="006F15CC"/>
    <w:rsid w:val="006F15F6"/>
    <w:rsid w:val="006F1716"/>
    <w:rsid w:val="006F36EA"/>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4102"/>
    <w:rsid w:val="0070437C"/>
    <w:rsid w:val="0070461C"/>
    <w:rsid w:val="00704F37"/>
    <w:rsid w:val="00705631"/>
    <w:rsid w:val="00705818"/>
    <w:rsid w:val="00705F62"/>
    <w:rsid w:val="00706321"/>
    <w:rsid w:val="00706813"/>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363"/>
    <w:rsid w:val="0071765C"/>
    <w:rsid w:val="00717786"/>
    <w:rsid w:val="00717ACB"/>
    <w:rsid w:val="0072138B"/>
    <w:rsid w:val="00721BFF"/>
    <w:rsid w:val="007227B6"/>
    <w:rsid w:val="007232EE"/>
    <w:rsid w:val="00723475"/>
    <w:rsid w:val="0072359F"/>
    <w:rsid w:val="007236C4"/>
    <w:rsid w:val="00724635"/>
    <w:rsid w:val="00724F21"/>
    <w:rsid w:val="00725134"/>
    <w:rsid w:val="0072554B"/>
    <w:rsid w:val="0072571F"/>
    <w:rsid w:val="00725AFD"/>
    <w:rsid w:val="00726603"/>
    <w:rsid w:val="007266AC"/>
    <w:rsid w:val="00727799"/>
    <w:rsid w:val="00727B1D"/>
    <w:rsid w:val="00727DDC"/>
    <w:rsid w:val="00730CD6"/>
    <w:rsid w:val="00730F74"/>
    <w:rsid w:val="0073114B"/>
    <w:rsid w:val="00731CAA"/>
    <w:rsid w:val="00732151"/>
    <w:rsid w:val="00732EBC"/>
    <w:rsid w:val="00734952"/>
    <w:rsid w:val="00734987"/>
    <w:rsid w:val="00734990"/>
    <w:rsid w:val="00734FF5"/>
    <w:rsid w:val="00735883"/>
    <w:rsid w:val="00735B78"/>
    <w:rsid w:val="00735DA7"/>
    <w:rsid w:val="00736700"/>
    <w:rsid w:val="007368B4"/>
    <w:rsid w:val="007378E0"/>
    <w:rsid w:val="00737A4D"/>
    <w:rsid w:val="0074040E"/>
    <w:rsid w:val="00740529"/>
    <w:rsid w:val="00740876"/>
    <w:rsid w:val="00741358"/>
    <w:rsid w:val="007414B3"/>
    <w:rsid w:val="00741562"/>
    <w:rsid w:val="00741626"/>
    <w:rsid w:val="00742332"/>
    <w:rsid w:val="00742886"/>
    <w:rsid w:val="00742A3A"/>
    <w:rsid w:val="00742DD2"/>
    <w:rsid w:val="007437C6"/>
    <w:rsid w:val="007441A2"/>
    <w:rsid w:val="00744E80"/>
    <w:rsid w:val="00745035"/>
    <w:rsid w:val="0074531C"/>
    <w:rsid w:val="00745547"/>
    <w:rsid w:val="007459D0"/>
    <w:rsid w:val="0074623A"/>
    <w:rsid w:val="00746420"/>
    <w:rsid w:val="00746499"/>
    <w:rsid w:val="007465DD"/>
    <w:rsid w:val="00746618"/>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6DB"/>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28"/>
    <w:rsid w:val="007616DB"/>
    <w:rsid w:val="00761AB7"/>
    <w:rsid w:val="00761CE6"/>
    <w:rsid w:val="0076228A"/>
    <w:rsid w:val="00762440"/>
    <w:rsid w:val="00762499"/>
    <w:rsid w:val="0076275B"/>
    <w:rsid w:val="007629B7"/>
    <w:rsid w:val="00762E60"/>
    <w:rsid w:val="00762F54"/>
    <w:rsid w:val="007634AD"/>
    <w:rsid w:val="0076445F"/>
    <w:rsid w:val="00764EC5"/>
    <w:rsid w:val="007651EF"/>
    <w:rsid w:val="007668B9"/>
    <w:rsid w:val="00766D49"/>
    <w:rsid w:val="00766ECC"/>
    <w:rsid w:val="007672F3"/>
    <w:rsid w:val="007677B5"/>
    <w:rsid w:val="007678B1"/>
    <w:rsid w:val="007708A8"/>
    <w:rsid w:val="00772100"/>
    <w:rsid w:val="00772275"/>
    <w:rsid w:val="0077279E"/>
    <w:rsid w:val="00772C9A"/>
    <w:rsid w:val="007734E4"/>
    <w:rsid w:val="0077380D"/>
    <w:rsid w:val="00773BC8"/>
    <w:rsid w:val="007742CB"/>
    <w:rsid w:val="00774549"/>
    <w:rsid w:val="007745F6"/>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D19"/>
    <w:rsid w:val="00780F32"/>
    <w:rsid w:val="00781049"/>
    <w:rsid w:val="0078122E"/>
    <w:rsid w:val="00781939"/>
    <w:rsid w:val="00781D29"/>
    <w:rsid w:val="007825EF"/>
    <w:rsid w:val="0078286B"/>
    <w:rsid w:val="00782D2C"/>
    <w:rsid w:val="00782FC2"/>
    <w:rsid w:val="0078347A"/>
    <w:rsid w:val="0078410A"/>
    <w:rsid w:val="007843B3"/>
    <w:rsid w:val="00784938"/>
    <w:rsid w:val="00784FC4"/>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765"/>
    <w:rsid w:val="007930D3"/>
    <w:rsid w:val="0079381F"/>
    <w:rsid w:val="00793A57"/>
    <w:rsid w:val="00793B2E"/>
    <w:rsid w:val="007948F5"/>
    <w:rsid w:val="00795647"/>
    <w:rsid w:val="007963F6"/>
    <w:rsid w:val="00796DC8"/>
    <w:rsid w:val="00796E80"/>
    <w:rsid w:val="0079744F"/>
    <w:rsid w:val="0079776F"/>
    <w:rsid w:val="007978B8"/>
    <w:rsid w:val="007979AD"/>
    <w:rsid w:val="00797A9C"/>
    <w:rsid w:val="007A0502"/>
    <w:rsid w:val="007A0EAB"/>
    <w:rsid w:val="007A2341"/>
    <w:rsid w:val="007A2754"/>
    <w:rsid w:val="007A293F"/>
    <w:rsid w:val="007A38A1"/>
    <w:rsid w:val="007A3BBE"/>
    <w:rsid w:val="007A4766"/>
    <w:rsid w:val="007A5947"/>
    <w:rsid w:val="007A603C"/>
    <w:rsid w:val="007A717B"/>
    <w:rsid w:val="007A7714"/>
    <w:rsid w:val="007B0302"/>
    <w:rsid w:val="007B0313"/>
    <w:rsid w:val="007B0854"/>
    <w:rsid w:val="007B0E48"/>
    <w:rsid w:val="007B19DE"/>
    <w:rsid w:val="007B1D1B"/>
    <w:rsid w:val="007B1DCD"/>
    <w:rsid w:val="007B1F16"/>
    <w:rsid w:val="007B209C"/>
    <w:rsid w:val="007B21AA"/>
    <w:rsid w:val="007B2504"/>
    <w:rsid w:val="007B2549"/>
    <w:rsid w:val="007B2C2E"/>
    <w:rsid w:val="007B2ECA"/>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462"/>
    <w:rsid w:val="007B59B7"/>
    <w:rsid w:val="007B6C64"/>
    <w:rsid w:val="007B6EC8"/>
    <w:rsid w:val="007B6F81"/>
    <w:rsid w:val="007B7EA2"/>
    <w:rsid w:val="007C097D"/>
    <w:rsid w:val="007C0AF2"/>
    <w:rsid w:val="007C1672"/>
    <w:rsid w:val="007C17AE"/>
    <w:rsid w:val="007C1C8E"/>
    <w:rsid w:val="007C1CFF"/>
    <w:rsid w:val="007C24EE"/>
    <w:rsid w:val="007C312A"/>
    <w:rsid w:val="007C3538"/>
    <w:rsid w:val="007C3570"/>
    <w:rsid w:val="007C3F3B"/>
    <w:rsid w:val="007C4097"/>
    <w:rsid w:val="007C4241"/>
    <w:rsid w:val="007C425E"/>
    <w:rsid w:val="007C55FF"/>
    <w:rsid w:val="007C6339"/>
    <w:rsid w:val="007C67F4"/>
    <w:rsid w:val="007C753F"/>
    <w:rsid w:val="007C796C"/>
    <w:rsid w:val="007C7C43"/>
    <w:rsid w:val="007C7E15"/>
    <w:rsid w:val="007C7F0D"/>
    <w:rsid w:val="007D06E3"/>
    <w:rsid w:val="007D09E4"/>
    <w:rsid w:val="007D1134"/>
    <w:rsid w:val="007D231B"/>
    <w:rsid w:val="007D23F7"/>
    <w:rsid w:val="007D248B"/>
    <w:rsid w:val="007D2566"/>
    <w:rsid w:val="007D2A8A"/>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1AE5"/>
    <w:rsid w:val="007E214A"/>
    <w:rsid w:val="007E238D"/>
    <w:rsid w:val="007E2C36"/>
    <w:rsid w:val="007E350D"/>
    <w:rsid w:val="007E3ACA"/>
    <w:rsid w:val="007E3F27"/>
    <w:rsid w:val="007E3F4A"/>
    <w:rsid w:val="007E4F0D"/>
    <w:rsid w:val="007E564D"/>
    <w:rsid w:val="007E5C4A"/>
    <w:rsid w:val="007E6135"/>
    <w:rsid w:val="007E64D4"/>
    <w:rsid w:val="007E66E9"/>
    <w:rsid w:val="007E69F2"/>
    <w:rsid w:val="007E7432"/>
    <w:rsid w:val="007E74BF"/>
    <w:rsid w:val="007E7657"/>
    <w:rsid w:val="007E7D2E"/>
    <w:rsid w:val="007F14D3"/>
    <w:rsid w:val="007F172C"/>
    <w:rsid w:val="007F1814"/>
    <w:rsid w:val="007F1D9D"/>
    <w:rsid w:val="007F1E28"/>
    <w:rsid w:val="007F1F63"/>
    <w:rsid w:val="007F22A0"/>
    <w:rsid w:val="007F2902"/>
    <w:rsid w:val="007F2903"/>
    <w:rsid w:val="007F2BEC"/>
    <w:rsid w:val="007F2F90"/>
    <w:rsid w:val="007F3056"/>
    <w:rsid w:val="007F3320"/>
    <w:rsid w:val="007F3AC1"/>
    <w:rsid w:val="007F4976"/>
    <w:rsid w:val="007F4B40"/>
    <w:rsid w:val="007F4C94"/>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577"/>
    <w:rsid w:val="00801A2A"/>
    <w:rsid w:val="00802041"/>
    <w:rsid w:val="008022C9"/>
    <w:rsid w:val="00802605"/>
    <w:rsid w:val="00802F9E"/>
    <w:rsid w:val="00803700"/>
    <w:rsid w:val="00803A7B"/>
    <w:rsid w:val="00803D9D"/>
    <w:rsid w:val="0080548A"/>
    <w:rsid w:val="008059C6"/>
    <w:rsid w:val="00805AD7"/>
    <w:rsid w:val="00805BD6"/>
    <w:rsid w:val="00805C3B"/>
    <w:rsid w:val="00805DE3"/>
    <w:rsid w:val="00807C35"/>
    <w:rsid w:val="00807F35"/>
    <w:rsid w:val="00807F69"/>
    <w:rsid w:val="008100F7"/>
    <w:rsid w:val="00810206"/>
    <w:rsid w:val="0081022B"/>
    <w:rsid w:val="00810A15"/>
    <w:rsid w:val="0081154C"/>
    <w:rsid w:val="00811898"/>
    <w:rsid w:val="00811CDC"/>
    <w:rsid w:val="008124D8"/>
    <w:rsid w:val="0081338F"/>
    <w:rsid w:val="00813A7B"/>
    <w:rsid w:val="00813F04"/>
    <w:rsid w:val="0081513E"/>
    <w:rsid w:val="00815DA5"/>
    <w:rsid w:val="00816221"/>
    <w:rsid w:val="00816515"/>
    <w:rsid w:val="008174F3"/>
    <w:rsid w:val="0081766B"/>
    <w:rsid w:val="008201DE"/>
    <w:rsid w:val="008205AC"/>
    <w:rsid w:val="00820705"/>
    <w:rsid w:val="00820710"/>
    <w:rsid w:val="00820CBF"/>
    <w:rsid w:val="00820FA8"/>
    <w:rsid w:val="008212FD"/>
    <w:rsid w:val="00821489"/>
    <w:rsid w:val="0082168D"/>
    <w:rsid w:val="008217B7"/>
    <w:rsid w:val="0082239B"/>
    <w:rsid w:val="0082292E"/>
    <w:rsid w:val="00822D06"/>
    <w:rsid w:val="00822EC4"/>
    <w:rsid w:val="0082348D"/>
    <w:rsid w:val="008236BE"/>
    <w:rsid w:val="00824183"/>
    <w:rsid w:val="008241CE"/>
    <w:rsid w:val="00825240"/>
    <w:rsid w:val="00825B43"/>
    <w:rsid w:val="00826870"/>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9E8"/>
    <w:rsid w:val="00836A50"/>
    <w:rsid w:val="00836E74"/>
    <w:rsid w:val="00836EAB"/>
    <w:rsid w:val="00837210"/>
    <w:rsid w:val="00837673"/>
    <w:rsid w:val="00837937"/>
    <w:rsid w:val="00837D82"/>
    <w:rsid w:val="00840893"/>
    <w:rsid w:val="00840E88"/>
    <w:rsid w:val="00840ECC"/>
    <w:rsid w:val="008410B1"/>
    <w:rsid w:val="008423EC"/>
    <w:rsid w:val="008429A6"/>
    <w:rsid w:val="00843615"/>
    <w:rsid w:val="00843698"/>
    <w:rsid w:val="00843A4B"/>
    <w:rsid w:val="00843B57"/>
    <w:rsid w:val="00843B60"/>
    <w:rsid w:val="00843D33"/>
    <w:rsid w:val="008444F0"/>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92D"/>
    <w:rsid w:val="0085304C"/>
    <w:rsid w:val="008536BB"/>
    <w:rsid w:val="00853A3C"/>
    <w:rsid w:val="008548CA"/>
    <w:rsid w:val="008563B0"/>
    <w:rsid w:val="00856C06"/>
    <w:rsid w:val="0085747B"/>
    <w:rsid w:val="0085790B"/>
    <w:rsid w:val="008579B9"/>
    <w:rsid w:val="00857C95"/>
    <w:rsid w:val="00857E78"/>
    <w:rsid w:val="00860AEF"/>
    <w:rsid w:val="00860B18"/>
    <w:rsid w:val="00860D5E"/>
    <w:rsid w:val="0086122C"/>
    <w:rsid w:val="00861310"/>
    <w:rsid w:val="00861530"/>
    <w:rsid w:val="00861C4D"/>
    <w:rsid w:val="00861F53"/>
    <w:rsid w:val="008625EC"/>
    <w:rsid w:val="0086289E"/>
    <w:rsid w:val="008629CB"/>
    <w:rsid w:val="0086328E"/>
    <w:rsid w:val="0086394E"/>
    <w:rsid w:val="00863F8A"/>
    <w:rsid w:val="00863FE3"/>
    <w:rsid w:val="008640C4"/>
    <w:rsid w:val="00864241"/>
    <w:rsid w:val="008645AA"/>
    <w:rsid w:val="0086468A"/>
    <w:rsid w:val="00865059"/>
    <w:rsid w:val="008650BE"/>
    <w:rsid w:val="00865AF2"/>
    <w:rsid w:val="00865EAF"/>
    <w:rsid w:val="0086633B"/>
    <w:rsid w:val="00866495"/>
    <w:rsid w:val="00866881"/>
    <w:rsid w:val="00866931"/>
    <w:rsid w:val="00866DAE"/>
    <w:rsid w:val="00867512"/>
    <w:rsid w:val="008678A3"/>
    <w:rsid w:val="00867C13"/>
    <w:rsid w:val="00867C1D"/>
    <w:rsid w:val="0087033C"/>
    <w:rsid w:val="008715ED"/>
    <w:rsid w:val="008717D8"/>
    <w:rsid w:val="00871E3C"/>
    <w:rsid w:val="00872F97"/>
    <w:rsid w:val="00874607"/>
    <w:rsid w:val="008747E9"/>
    <w:rsid w:val="00874915"/>
    <w:rsid w:val="00874B89"/>
    <w:rsid w:val="00874B90"/>
    <w:rsid w:val="00874F0A"/>
    <w:rsid w:val="00875403"/>
    <w:rsid w:val="00875434"/>
    <w:rsid w:val="00875C1F"/>
    <w:rsid w:val="00876215"/>
    <w:rsid w:val="0087646C"/>
    <w:rsid w:val="00876815"/>
    <w:rsid w:val="00877932"/>
    <w:rsid w:val="008808C7"/>
    <w:rsid w:val="0088099E"/>
    <w:rsid w:val="0088106B"/>
    <w:rsid w:val="0088107D"/>
    <w:rsid w:val="0088187A"/>
    <w:rsid w:val="00881E64"/>
    <w:rsid w:val="00882E39"/>
    <w:rsid w:val="00883559"/>
    <w:rsid w:val="008850EB"/>
    <w:rsid w:val="00885228"/>
    <w:rsid w:val="008857E3"/>
    <w:rsid w:val="00885AEB"/>
    <w:rsid w:val="008861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A7C"/>
    <w:rsid w:val="00894AE1"/>
    <w:rsid w:val="00894BB1"/>
    <w:rsid w:val="008951D0"/>
    <w:rsid w:val="00895442"/>
    <w:rsid w:val="0089582D"/>
    <w:rsid w:val="008959C6"/>
    <w:rsid w:val="00895E48"/>
    <w:rsid w:val="0089606D"/>
    <w:rsid w:val="00896129"/>
    <w:rsid w:val="00896316"/>
    <w:rsid w:val="0089713C"/>
    <w:rsid w:val="0089774F"/>
    <w:rsid w:val="00897875"/>
    <w:rsid w:val="00897B8F"/>
    <w:rsid w:val="00897F59"/>
    <w:rsid w:val="008A00D9"/>
    <w:rsid w:val="008A07D5"/>
    <w:rsid w:val="008A1C96"/>
    <w:rsid w:val="008A1FB7"/>
    <w:rsid w:val="008A21E8"/>
    <w:rsid w:val="008A229A"/>
    <w:rsid w:val="008A2A23"/>
    <w:rsid w:val="008A2AF5"/>
    <w:rsid w:val="008A2B5A"/>
    <w:rsid w:val="008A38DE"/>
    <w:rsid w:val="008A3A70"/>
    <w:rsid w:val="008A3F9D"/>
    <w:rsid w:val="008A41F8"/>
    <w:rsid w:val="008A5474"/>
    <w:rsid w:val="008A58BB"/>
    <w:rsid w:val="008A5C9A"/>
    <w:rsid w:val="008A6005"/>
    <w:rsid w:val="008A614F"/>
    <w:rsid w:val="008A65AE"/>
    <w:rsid w:val="008A6A55"/>
    <w:rsid w:val="008A6DF0"/>
    <w:rsid w:val="008A6F6E"/>
    <w:rsid w:val="008A7888"/>
    <w:rsid w:val="008A796E"/>
    <w:rsid w:val="008B0862"/>
    <w:rsid w:val="008B088C"/>
    <w:rsid w:val="008B0B64"/>
    <w:rsid w:val="008B1BF5"/>
    <w:rsid w:val="008B263F"/>
    <w:rsid w:val="008B3045"/>
    <w:rsid w:val="008B3E9E"/>
    <w:rsid w:val="008B47A6"/>
    <w:rsid w:val="008B5C7C"/>
    <w:rsid w:val="008B5E27"/>
    <w:rsid w:val="008B63FE"/>
    <w:rsid w:val="008B672C"/>
    <w:rsid w:val="008B7108"/>
    <w:rsid w:val="008B7AA6"/>
    <w:rsid w:val="008C065F"/>
    <w:rsid w:val="008C0743"/>
    <w:rsid w:val="008C0B4C"/>
    <w:rsid w:val="008C11D9"/>
    <w:rsid w:val="008C11F0"/>
    <w:rsid w:val="008C1918"/>
    <w:rsid w:val="008C1DBA"/>
    <w:rsid w:val="008C24E7"/>
    <w:rsid w:val="008C2500"/>
    <w:rsid w:val="008C2CAC"/>
    <w:rsid w:val="008C3C57"/>
    <w:rsid w:val="008C3E2A"/>
    <w:rsid w:val="008C45BD"/>
    <w:rsid w:val="008C4B19"/>
    <w:rsid w:val="008C5D1A"/>
    <w:rsid w:val="008C62D4"/>
    <w:rsid w:val="008C67A2"/>
    <w:rsid w:val="008C6B89"/>
    <w:rsid w:val="008C6B97"/>
    <w:rsid w:val="008C7EF7"/>
    <w:rsid w:val="008D094D"/>
    <w:rsid w:val="008D18AA"/>
    <w:rsid w:val="008D1A2A"/>
    <w:rsid w:val="008D1ADE"/>
    <w:rsid w:val="008D3199"/>
    <w:rsid w:val="008D3330"/>
    <w:rsid w:val="008D35D9"/>
    <w:rsid w:val="008D3B36"/>
    <w:rsid w:val="008D3B85"/>
    <w:rsid w:val="008D3BF8"/>
    <w:rsid w:val="008D462D"/>
    <w:rsid w:val="008D58B7"/>
    <w:rsid w:val="008D6084"/>
    <w:rsid w:val="008D64AC"/>
    <w:rsid w:val="008D656F"/>
    <w:rsid w:val="008D66CA"/>
    <w:rsid w:val="008D69B1"/>
    <w:rsid w:val="008D7338"/>
    <w:rsid w:val="008D785E"/>
    <w:rsid w:val="008D7D66"/>
    <w:rsid w:val="008E0012"/>
    <w:rsid w:val="008E0A71"/>
    <w:rsid w:val="008E0DF7"/>
    <w:rsid w:val="008E0FAD"/>
    <w:rsid w:val="008E11E4"/>
    <w:rsid w:val="008E1252"/>
    <w:rsid w:val="008E1347"/>
    <w:rsid w:val="008E16E0"/>
    <w:rsid w:val="008E1C15"/>
    <w:rsid w:val="008E1C9A"/>
    <w:rsid w:val="008E1D7A"/>
    <w:rsid w:val="008E28BD"/>
    <w:rsid w:val="008E2BE6"/>
    <w:rsid w:val="008E30C4"/>
    <w:rsid w:val="008E38B4"/>
    <w:rsid w:val="008E3BA4"/>
    <w:rsid w:val="008E3F17"/>
    <w:rsid w:val="008E44AB"/>
    <w:rsid w:val="008E4CAE"/>
    <w:rsid w:val="008E5179"/>
    <w:rsid w:val="008E51C2"/>
    <w:rsid w:val="008E57FE"/>
    <w:rsid w:val="008E6598"/>
    <w:rsid w:val="008E710F"/>
    <w:rsid w:val="008E7214"/>
    <w:rsid w:val="008E7471"/>
    <w:rsid w:val="008E7497"/>
    <w:rsid w:val="008E7884"/>
    <w:rsid w:val="008E7D6E"/>
    <w:rsid w:val="008F1056"/>
    <w:rsid w:val="008F2E8D"/>
    <w:rsid w:val="008F361D"/>
    <w:rsid w:val="008F387B"/>
    <w:rsid w:val="008F3DD9"/>
    <w:rsid w:val="008F4163"/>
    <w:rsid w:val="008F462B"/>
    <w:rsid w:val="008F4814"/>
    <w:rsid w:val="008F4B18"/>
    <w:rsid w:val="008F4DA6"/>
    <w:rsid w:val="008F538E"/>
    <w:rsid w:val="008F5A20"/>
    <w:rsid w:val="008F5ABA"/>
    <w:rsid w:val="008F6157"/>
    <w:rsid w:val="008F682A"/>
    <w:rsid w:val="008F698E"/>
    <w:rsid w:val="008F71AB"/>
    <w:rsid w:val="008F7905"/>
    <w:rsid w:val="008F7989"/>
    <w:rsid w:val="00900912"/>
    <w:rsid w:val="00900FC5"/>
    <w:rsid w:val="00901F1D"/>
    <w:rsid w:val="009028E8"/>
    <w:rsid w:val="00902E5C"/>
    <w:rsid w:val="0090363E"/>
    <w:rsid w:val="00903788"/>
    <w:rsid w:val="009046E5"/>
    <w:rsid w:val="009047C5"/>
    <w:rsid w:val="00910683"/>
    <w:rsid w:val="00910E00"/>
    <w:rsid w:val="00910E04"/>
    <w:rsid w:val="009116CE"/>
    <w:rsid w:val="00911714"/>
    <w:rsid w:val="00911D04"/>
    <w:rsid w:val="00911EFF"/>
    <w:rsid w:val="0091251B"/>
    <w:rsid w:val="0091310F"/>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2A6"/>
    <w:rsid w:val="00924770"/>
    <w:rsid w:val="00925346"/>
    <w:rsid w:val="00925743"/>
    <w:rsid w:val="0092579F"/>
    <w:rsid w:val="00927128"/>
    <w:rsid w:val="00927E8D"/>
    <w:rsid w:val="00927F23"/>
    <w:rsid w:val="009307CD"/>
    <w:rsid w:val="00930823"/>
    <w:rsid w:val="00931028"/>
    <w:rsid w:val="00931165"/>
    <w:rsid w:val="00931364"/>
    <w:rsid w:val="00931365"/>
    <w:rsid w:val="0093140E"/>
    <w:rsid w:val="00931451"/>
    <w:rsid w:val="00931491"/>
    <w:rsid w:val="009314FA"/>
    <w:rsid w:val="0093194F"/>
    <w:rsid w:val="00931BF3"/>
    <w:rsid w:val="00931C55"/>
    <w:rsid w:val="0093228F"/>
    <w:rsid w:val="00933333"/>
    <w:rsid w:val="0093349A"/>
    <w:rsid w:val="0093360C"/>
    <w:rsid w:val="009338BA"/>
    <w:rsid w:val="00933FCB"/>
    <w:rsid w:val="009346C8"/>
    <w:rsid w:val="00934CEC"/>
    <w:rsid w:val="00934E69"/>
    <w:rsid w:val="00935745"/>
    <w:rsid w:val="00935E70"/>
    <w:rsid w:val="0093609A"/>
    <w:rsid w:val="00936517"/>
    <w:rsid w:val="00937401"/>
    <w:rsid w:val="009376FB"/>
    <w:rsid w:val="00937D6B"/>
    <w:rsid w:val="00940477"/>
    <w:rsid w:val="00940876"/>
    <w:rsid w:val="00940A53"/>
    <w:rsid w:val="00940F3C"/>
    <w:rsid w:val="009410E0"/>
    <w:rsid w:val="00941FA9"/>
    <w:rsid w:val="00942641"/>
    <w:rsid w:val="009439B6"/>
    <w:rsid w:val="009444B4"/>
    <w:rsid w:val="00944644"/>
    <w:rsid w:val="00946A24"/>
    <w:rsid w:val="009470D4"/>
    <w:rsid w:val="00947337"/>
    <w:rsid w:val="00947A87"/>
    <w:rsid w:val="00947B97"/>
    <w:rsid w:val="00947E6E"/>
    <w:rsid w:val="009512FA"/>
    <w:rsid w:val="009516A9"/>
    <w:rsid w:val="00951E57"/>
    <w:rsid w:val="00952350"/>
    <w:rsid w:val="00952505"/>
    <w:rsid w:val="00953018"/>
    <w:rsid w:val="009533E2"/>
    <w:rsid w:val="00953554"/>
    <w:rsid w:val="0095385A"/>
    <w:rsid w:val="00954F3A"/>
    <w:rsid w:val="0095562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7507"/>
    <w:rsid w:val="00971441"/>
    <w:rsid w:val="00971555"/>
    <w:rsid w:val="009715D4"/>
    <w:rsid w:val="0097179A"/>
    <w:rsid w:val="00971B0A"/>
    <w:rsid w:val="009731F4"/>
    <w:rsid w:val="009732A4"/>
    <w:rsid w:val="00973AB3"/>
    <w:rsid w:val="00973C05"/>
    <w:rsid w:val="0097494E"/>
    <w:rsid w:val="00974999"/>
    <w:rsid w:val="009749BB"/>
    <w:rsid w:val="00974B58"/>
    <w:rsid w:val="00974CBD"/>
    <w:rsid w:val="00975445"/>
    <w:rsid w:val="009761ED"/>
    <w:rsid w:val="00976256"/>
    <w:rsid w:val="0097737D"/>
    <w:rsid w:val="00980209"/>
    <w:rsid w:val="0098022F"/>
    <w:rsid w:val="009810DE"/>
    <w:rsid w:val="00981B91"/>
    <w:rsid w:val="009822D7"/>
    <w:rsid w:val="009827E6"/>
    <w:rsid w:val="00982F84"/>
    <w:rsid w:val="009831C3"/>
    <w:rsid w:val="009837E1"/>
    <w:rsid w:val="0098427D"/>
    <w:rsid w:val="00984567"/>
    <w:rsid w:val="00985102"/>
    <w:rsid w:val="009854BC"/>
    <w:rsid w:val="00985A66"/>
    <w:rsid w:val="0098606C"/>
    <w:rsid w:val="009865D5"/>
    <w:rsid w:val="009876F2"/>
    <w:rsid w:val="00987C77"/>
    <w:rsid w:val="00987FED"/>
    <w:rsid w:val="00990345"/>
    <w:rsid w:val="00990701"/>
    <w:rsid w:val="0099119C"/>
    <w:rsid w:val="00991361"/>
    <w:rsid w:val="0099137A"/>
    <w:rsid w:val="0099211C"/>
    <w:rsid w:val="00992321"/>
    <w:rsid w:val="00993013"/>
    <w:rsid w:val="009930AB"/>
    <w:rsid w:val="00993B78"/>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7B1"/>
    <w:rsid w:val="00997A88"/>
    <w:rsid w:val="009A01E4"/>
    <w:rsid w:val="009A0917"/>
    <w:rsid w:val="009A0A33"/>
    <w:rsid w:val="009A0CC0"/>
    <w:rsid w:val="009A10B2"/>
    <w:rsid w:val="009A1351"/>
    <w:rsid w:val="009A1AAB"/>
    <w:rsid w:val="009A1B98"/>
    <w:rsid w:val="009A2041"/>
    <w:rsid w:val="009A2435"/>
    <w:rsid w:val="009A35DC"/>
    <w:rsid w:val="009A38AB"/>
    <w:rsid w:val="009A39EE"/>
    <w:rsid w:val="009A3A33"/>
    <w:rsid w:val="009A3D47"/>
    <w:rsid w:val="009A4D63"/>
    <w:rsid w:val="009A5356"/>
    <w:rsid w:val="009A5468"/>
    <w:rsid w:val="009A55D8"/>
    <w:rsid w:val="009A5D99"/>
    <w:rsid w:val="009A608C"/>
    <w:rsid w:val="009A66D6"/>
    <w:rsid w:val="009A6FDF"/>
    <w:rsid w:val="009A715F"/>
    <w:rsid w:val="009A76D6"/>
    <w:rsid w:val="009B03F1"/>
    <w:rsid w:val="009B15C4"/>
    <w:rsid w:val="009B2374"/>
    <w:rsid w:val="009B28D6"/>
    <w:rsid w:val="009B2E29"/>
    <w:rsid w:val="009B3163"/>
    <w:rsid w:val="009B422F"/>
    <w:rsid w:val="009B46BC"/>
    <w:rsid w:val="009B4D1A"/>
    <w:rsid w:val="009B519D"/>
    <w:rsid w:val="009B558B"/>
    <w:rsid w:val="009B60FE"/>
    <w:rsid w:val="009B663F"/>
    <w:rsid w:val="009B6863"/>
    <w:rsid w:val="009B6D21"/>
    <w:rsid w:val="009B7460"/>
    <w:rsid w:val="009B78ED"/>
    <w:rsid w:val="009B7FF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A1D"/>
    <w:rsid w:val="009C6BFC"/>
    <w:rsid w:val="009C70F8"/>
    <w:rsid w:val="009C78A3"/>
    <w:rsid w:val="009C7E68"/>
    <w:rsid w:val="009D00D7"/>
    <w:rsid w:val="009D0156"/>
    <w:rsid w:val="009D03B4"/>
    <w:rsid w:val="009D05DA"/>
    <w:rsid w:val="009D0815"/>
    <w:rsid w:val="009D09BA"/>
    <w:rsid w:val="009D11F6"/>
    <w:rsid w:val="009D163B"/>
    <w:rsid w:val="009D1A14"/>
    <w:rsid w:val="009D1E2A"/>
    <w:rsid w:val="009D1FA0"/>
    <w:rsid w:val="009D2BDF"/>
    <w:rsid w:val="009D3736"/>
    <w:rsid w:val="009D4529"/>
    <w:rsid w:val="009D460F"/>
    <w:rsid w:val="009D4E02"/>
    <w:rsid w:val="009D604F"/>
    <w:rsid w:val="009D61BB"/>
    <w:rsid w:val="009D6410"/>
    <w:rsid w:val="009D68BB"/>
    <w:rsid w:val="009D6909"/>
    <w:rsid w:val="009D6B46"/>
    <w:rsid w:val="009D700F"/>
    <w:rsid w:val="009D70C2"/>
    <w:rsid w:val="009D7244"/>
    <w:rsid w:val="009D77B9"/>
    <w:rsid w:val="009D7ADB"/>
    <w:rsid w:val="009D7B33"/>
    <w:rsid w:val="009E03C7"/>
    <w:rsid w:val="009E0490"/>
    <w:rsid w:val="009E06C3"/>
    <w:rsid w:val="009E0703"/>
    <w:rsid w:val="009E1035"/>
    <w:rsid w:val="009E16DA"/>
    <w:rsid w:val="009E1CD4"/>
    <w:rsid w:val="009E2391"/>
    <w:rsid w:val="009E2845"/>
    <w:rsid w:val="009E28B6"/>
    <w:rsid w:val="009E2A11"/>
    <w:rsid w:val="009E476A"/>
    <w:rsid w:val="009E4A16"/>
    <w:rsid w:val="009E4E05"/>
    <w:rsid w:val="009E56FF"/>
    <w:rsid w:val="009E5CB1"/>
    <w:rsid w:val="009E5E56"/>
    <w:rsid w:val="009E61EA"/>
    <w:rsid w:val="009E6990"/>
    <w:rsid w:val="009E6FEE"/>
    <w:rsid w:val="009F00B9"/>
    <w:rsid w:val="009F060F"/>
    <w:rsid w:val="009F0781"/>
    <w:rsid w:val="009F0850"/>
    <w:rsid w:val="009F15A8"/>
    <w:rsid w:val="009F1950"/>
    <w:rsid w:val="009F1BDF"/>
    <w:rsid w:val="009F1EAE"/>
    <w:rsid w:val="009F210A"/>
    <w:rsid w:val="009F2137"/>
    <w:rsid w:val="009F2732"/>
    <w:rsid w:val="009F2848"/>
    <w:rsid w:val="009F369D"/>
    <w:rsid w:val="009F36FE"/>
    <w:rsid w:val="009F3971"/>
    <w:rsid w:val="009F3A42"/>
    <w:rsid w:val="009F4990"/>
    <w:rsid w:val="009F4F25"/>
    <w:rsid w:val="009F59C2"/>
    <w:rsid w:val="009F60AF"/>
    <w:rsid w:val="009F7263"/>
    <w:rsid w:val="009F73B6"/>
    <w:rsid w:val="009F76EA"/>
    <w:rsid w:val="009F78EB"/>
    <w:rsid w:val="009F7DB2"/>
    <w:rsid w:val="009F7EB8"/>
    <w:rsid w:val="009F7ED3"/>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712"/>
    <w:rsid w:val="00A04A54"/>
    <w:rsid w:val="00A057C6"/>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6864"/>
    <w:rsid w:val="00A169E2"/>
    <w:rsid w:val="00A16F53"/>
    <w:rsid w:val="00A17584"/>
    <w:rsid w:val="00A17769"/>
    <w:rsid w:val="00A17EA2"/>
    <w:rsid w:val="00A17F59"/>
    <w:rsid w:val="00A201DB"/>
    <w:rsid w:val="00A20264"/>
    <w:rsid w:val="00A20997"/>
    <w:rsid w:val="00A210D4"/>
    <w:rsid w:val="00A212E6"/>
    <w:rsid w:val="00A213DD"/>
    <w:rsid w:val="00A21454"/>
    <w:rsid w:val="00A216CE"/>
    <w:rsid w:val="00A216F9"/>
    <w:rsid w:val="00A22025"/>
    <w:rsid w:val="00A22498"/>
    <w:rsid w:val="00A22571"/>
    <w:rsid w:val="00A2298D"/>
    <w:rsid w:val="00A235E1"/>
    <w:rsid w:val="00A23C69"/>
    <w:rsid w:val="00A24560"/>
    <w:rsid w:val="00A25B0F"/>
    <w:rsid w:val="00A25BBB"/>
    <w:rsid w:val="00A27FB6"/>
    <w:rsid w:val="00A30121"/>
    <w:rsid w:val="00A30368"/>
    <w:rsid w:val="00A3043A"/>
    <w:rsid w:val="00A30E02"/>
    <w:rsid w:val="00A30F6A"/>
    <w:rsid w:val="00A31060"/>
    <w:rsid w:val="00A31C3E"/>
    <w:rsid w:val="00A33CD0"/>
    <w:rsid w:val="00A34538"/>
    <w:rsid w:val="00A34677"/>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75B4"/>
    <w:rsid w:val="00A47701"/>
    <w:rsid w:val="00A47849"/>
    <w:rsid w:val="00A500B1"/>
    <w:rsid w:val="00A5140D"/>
    <w:rsid w:val="00A51906"/>
    <w:rsid w:val="00A52A53"/>
    <w:rsid w:val="00A52EE5"/>
    <w:rsid w:val="00A53037"/>
    <w:rsid w:val="00A532B9"/>
    <w:rsid w:val="00A5351D"/>
    <w:rsid w:val="00A53E79"/>
    <w:rsid w:val="00A53EAB"/>
    <w:rsid w:val="00A54031"/>
    <w:rsid w:val="00A5426D"/>
    <w:rsid w:val="00A54FC2"/>
    <w:rsid w:val="00A55122"/>
    <w:rsid w:val="00A55806"/>
    <w:rsid w:val="00A55CEA"/>
    <w:rsid w:val="00A56DE7"/>
    <w:rsid w:val="00A57EB2"/>
    <w:rsid w:val="00A6009E"/>
    <w:rsid w:val="00A60265"/>
    <w:rsid w:val="00A60500"/>
    <w:rsid w:val="00A60540"/>
    <w:rsid w:val="00A60B1F"/>
    <w:rsid w:val="00A6144B"/>
    <w:rsid w:val="00A61C60"/>
    <w:rsid w:val="00A62589"/>
    <w:rsid w:val="00A62AD0"/>
    <w:rsid w:val="00A62C3A"/>
    <w:rsid w:val="00A6319C"/>
    <w:rsid w:val="00A63812"/>
    <w:rsid w:val="00A63DF7"/>
    <w:rsid w:val="00A6454D"/>
    <w:rsid w:val="00A64767"/>
    <w:rsid w:val="00A64F2F"/>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B91"/>
    <w:rsid w:val="00A751E3"/>
    <w:rsid w:val="00A7536B"/>
    <w:rsid w:val="00A753B9"/>
    <w:rsid w:val="00A7549A"/>
    <w:rsid w:val="00A75504"/>
    <w:rsid w:val="00A75FD7"/>
    <w:rsid w:val="00A77168"/>
    <w:rsid w:val="00A7723B"/>
    <w:rsid w:val="00A773C3"/>
    <w:rsid w:val="00A774E6"/>
    <w:rsid w:val="00A778FA"/>
    <w:rsid w:val="00A7793C"/>
    <w:rsid w:val="00A77D21"/>
    <w:rsid w:val="00A80085"/>
    <w:rsid w:val="00A80276"/>
    <w:rsid w:val="00A8043B"/>
    <w:rsid w:val="00A807DA"/>
    <w:rsid w:val="00A80DA0"/>
    <w:rsid w:val="00A81323"/>
    <w:rsid w:val="00A814B9"/>
    <w:rsid w:val="00A820CB"/>
    <w:rsid w:val="00A82342"/>
    <w:rsid w:val="00A8236F"/>
    <w:rsid w:val="00A82D06"/>
    <w:rsid w:val="00A83BEF"/>
    <w:rsid w:val="00A84443"/>
    <w:rsid w:val="00A8487F"/>
    <w:rsid w:val="00A849A3"/>
    <w:rsid w:val="00A84A0E"/>
    <w:rsid w:val="00A8575D"/>
    <w:rsid w:val="00A861F4"/>
    <w:rsid w:val="00A86E0B"/>
    <w:rsid w:val="00A87199"/>
    <w:rsid w:val="00A90F12"/>
    <w:rsid w:val="00A91DAA"/>
    <w:rsid w:val="00A93101"/>
    <w:rsid w:val="00A93239"/>
    <w:rsid w:val="00A9413E"/>
    <w:rsid w:val="00A94293"/>
    <w:rsid w:val="00A9496E"/>
    <w:rsid w:val="00A949F0"/>
    <w:rsid w:val="00A94BDE"/>
    <w:rsid w:val="00A94FCA"/>
    <w:rsid w:val="00A95BDE"/>
    <w:rsid w:val="00A95E4C"/>
    <w:rsid w:val="00A96C60"/>
    <w:rsid w:val="00A9740B"/>
    <w:rsid w:val="00A9766C"/>
    <w:rsid w:val="00A977F8"/>
    <w:rsid w:val="00A979DB"/>
    <w:rsid w:val="00A97C93"/>
    <w:rsid w:val="00AA06C6"/>
    <w:rsid w:val="00AA08E7"/>
    <w:rsid w:val="00AA0A06"/>
    <w:rsid w:val="00AA0A87"/>
    <w:rsid w:val="00AA1351"/>
    <w:rsid w:val="00AA184C"/>
    <w:rsid w:val="00AA1AF4"/>
    <w:rsid w:val="00AA1C84"/>
    <w:rsid w:val="00AA1E3E"/>
    <w:rsid w:val="00AA3D7B"/>
    <w:rsid w:val="00AA3F9F"/>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728"/>
    <w:rsid w:val="00AB2797"/>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0F74"/>
    <w:rsid w:val="00AC1508"/>
    <w:rsid w:val="00AC2A0B"/>
    <w:rsid w:val="00AC2BEE"/>
    <w:rsid w:val="00AC2E53"/>
    <w:rsid w:val="00AC3208"/>
    <w:rsid w:val="00AC4259"/>
    <w:rsid w:val="00AC484F"/>
    <w:rsid w:val="00AC4AD2"/>
    <w:rsid w:val="00AC4B20"/>
    <w:rsid w:val="00AC5395"/>
    <w:rsid w:val="00AC55C7"/>
    <w:rsid w:val="00AC56F2"/>
    <w:rsid w:val="00AC5D9D"/>
    <w:rsid w:val="00AC71C3"/>
    <w:rsid w:val="00AC7F29"/>
    <w:rsid w:val="00AD09F7"/>
    <w:rsid w:val="00AD1EFA"/>
    <w:rsid w:val="00AD2072"/>
    <w:rsid w:val="00AD21B5"/>
    <w:rsid w:val="00AD2DBD"/>
    <w:rsid w:val="00AD2FBF"/>
    <w:rsid w:val="00AD33A1"/>
    <w:rsid w:val="00AD340E"/>
    <w:rsid w:val="00AD455D"/>
    <w:rsid w:val="00AD463C"/>
    <w:rsid w:val="00AD47C9"/>
    <w:rsid w:val="00AD4F60"/>
    <w:rsid w:val="00AD5044"/>
    <w:rsid w:val="00AD5114"/>
    <w:rsid w:val="00AD6236"/>
    <w:rsid w:val="00AD69D5"/>
    <w:rsid w:val="00AD6D07"/>
    <w:rsid w:val="00AD7619"/>
    <w:rsid w:val="00AD7770"/>
    <w:rsid w:val="00AD7773"/>
    <w:rsid w:val="00AE1772"/>
    <w:rsid w:val="00AE1990"/>
    <w:rsid w:val="00AE25E8"/>
    <w:rsid w:val="00AE2AD4"/>
    <w:rsid w:val="00AE2CA7"/>
    <w:rsid w:val="00AE2F1D"/>
    <w:rsid w:val="00AE4A7D"/>
    <w:rsid w:val="00AE4C81"/>
    <w:rsid w:val="00AE4E63"/>
    <w:rsid w:val="00AE586F"/>
    <w:rsid w:val="00AE5888"/>
    <w:rsid w:val="00AE5964"/>
    <w:rsid w:val="00AE62FE"/>
    <w:rsid w:val="00AE6582"/>
    <w:rsid w:val="00AE6DC5"/>
    <w:rsid w:val="00AE7686"/>
    <w:rsid w:val="00AE799A"/>
    <w:rsid w:val="00AF0340"/>
    <w:rsid w:val="00AF0E81"/>
    <w:rsid w:val="00AF117A"/>
    <w:rsid w:val="00AF134E"/>
    <w:rsid w:val="00AF16CA"/>
    <w:rsid w:val="00AF186E"/>
    <w:rsid w:val="00AF19DF"/>
    <w:rsid w:val="00AF1C77"/>
    <w:rsid w:val="00AF1D41"/>
    <w:rsid w:val="00AF26CF"/>
    <w:rsid w:val="00AF3124"/>
    <w:rsid w:val="00AF344D"/>
    <w:rsid w:val="00AF39B3"/>
    <w:rsid w:val="00AF3C1F"/>
    <w:rsid w:val="00AF3FED"/>
    <w:rsid w:val="00AF4402"/>
    <w:rsid w:val="00AF4639"/>
    <w:rsid w:val="00AF49CE"/>
    <w:rsid w:val="00AF4E92"/>
    <w:rsid w:val="00AF554B"/>
    <w:rsid w:val="00AF5C9B"/>
    <w:rsid w:val="00AF5D53"/>
    <w:rsid w:val="00AF5E2D"/>
    <w:rsid w:val="00AF644B"/>
    <w:rsid w:val="00AF69EB"/>
    <w:rsid w:val="00AF6CA6"/>
    <w:rsid w:val="00AF6DEC"/>
    <w:rsid w:val="00AF6EB6"/>
    <w:rsid w:val="00AF776A"/>
    <w:rsid w:val="00AF7796"/>
    <w:rsid w:val="00B003DB"/>
    <w:rsid w:val="00B011A9"/>
    <w:rsid w:val="00B01BAF"/>
    <w:rsid w:val="00B0224B"/>
    <w:rsid w:val="00B024ED"/>
    <w:rsid w:val="00B026B8"/>
    <w:rsid w:val="00B02EB3"/>
    <w:rsid w:val="00B02F7C"/>
    <w:rsid w:val="00B02FCB"/>
    <w:rsid w:val="00B033AF"/>
    <w:rsid w:val="00B033F8"/>
    <w:rsid w:val="00B03C1E"/>
    <w:rsid w:val="00B03FE4"/>
    <w:rsid w:val="00B04400"/>
    <w:rsid w:val="00B04493"/>
    <w:rsid w:val="00B04835"/>
    <w:rsid w:val="00B05A55"/>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BB"/>
    <w:rsid w:val="00B208FF"/>
    <w:rsid w:val="00B21271"/>
    <w:rsid w:val="00B22E22"/>
    <w:rsid w:val="00B22F5F"/>
    <w:rsid w:val="00B23353"/>
    <w:rsid w:val="00B237E6"/>
    <w:rsid w:val="00B23813"/>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64E"/>
    <w:rsid w:val="00B36D2B"/>
    <w:rsid w:val="00B37657"/>
    <w:rsid w:val="00B37AFD"/>
    <w:rsid w:val="00B37B07"/>
    <w:rsid w:val="00B4046F"/>
    <w:rsid w:val="00B406B3"/>
    <w:rsid w:val="00B40A36"/>
    <w:rsid w:val="00B41BCA"/>
    <w:rsid w:val="00B41D39"/>
    <w:rsid w:val="00B422C0"/>
    <w:rsid w:val="00B426CA"/>
    <w:rsid w:val="00B426E1"/>
    <w:rsid w:val="00B4387A"/>
    <w:rsid w:val="00B44155"/>
    <w:rsid w:val="00B44746"/>
    <w:rsid w:val="00B44854"/>
    <w:rsid w:val="00B44BA5"/>
    <w:rsid w:val="00B458D0"/>
    <w:rsid w:val="00B47773"/>
    <w:rsid w:val="00B4792C"/>
    <w:rsid w:val="00B50CAE"/>
    <w:rsid w:val="00B512AD"/>
    <w:rsid w:val="00B5196C"/>
    <w:rsid w:val="00B52553"/>
    <w:rsid w:val="00B525CB"/>
    <w:rsid w:val="00B52697"/>
    <w:rsid w:val="00B53CAA"/>
    <w:rsid w:val="00B53CB0"/>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1B20"/>
    <w:rsid w:val="00B72110"/>
    <w:rsid w:val="00B72B91"/>
    <w:rsid w:val="00B73019"/>
    <w:rsid w:val="00B7315F"/>
    <w:rsid w:val="00B7323A"/>
    <w:rsid w:val="00B7353B"/>
    <w:rsid w:val="00B737FB"/>
    <w:rsid w:val="00B73E5D"/>
    <w:rsid w:val="00B73EF3"/>
    <w:rsid w:val="00B7423D"/>
    <w:rsid w:val="00B74D05"/>
    <w:rsid w:val="00B74EF8"/>
    <w:rsid w:val="00B75893"/>
    <w:rsid w:val="00B75D76"/>
    <w:rsid w:val="00B7640D"/>
    <w:rsid w:val="00B771F4"/>
    <w:rsid w:val="00B7762A"/>
    <w:rsid w:val="00B777FA"/>
    <w:rsid w:val="00B77850"/>
    <w:rsid w:val="00B7796B"/>
    <w:rsid w:val="00B77F67"/>
    <w:rsid w:val="00B80C72"/>
    <w:rsid w:val="00B8101E"/>
    <w:rsid w:val="00B81736"/>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1B8E"/>
    <w:rsid w:val="00B92531"/>
    <w:rsid w:val="00B92618"/>
    <w:rsid w:val="00B92751"/>
    <w:rsid w:val="00B92871"/>
    <w:rsid w:val="00B92B69"/>
    <w:rsid w:val="00B92CC6"/>
    <w:rsid w:val="00B935C9"/>
    <w:rsid w:val="00B93E3D"/>
    <w:rsid w:val="00B94C95"/>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7B6"/>
    <w:rsid w:val="00BA2C2A"/>
    <w:rsid w:val="00BA2F30"/>
    <w:rsid w:val="00BA35D9"/>
    <w:rsid w:val="00BA3982"/>
    <w:rsid w:val="00BA3FD4"/>
    <w:rsid w:val="00BA405F"/>
    <w:rsid w:val="00BA4771"/>
    <w:rsid w:val="00BA482B"/>
    <w:rsid w:val="00BA5027"/>
    <w:rsid w:val="00BA58FC"/>
    <w:rsid w:val="00BA5D92"/>
    <w:rsid w:val="00BA665B"/>
    <w:rsid w:val="00BA6FE8"/>
    <w:rsid w:val="00BA732D"/>
    <w:rsid w:val="00BA7370"/>
    <w:rsid w:val="00BA778B"/>
    <w:rsid w:val="00BB0888"/>
    <w:rsid w:val="00BB0DF1"/>
    <w:rsid w:val="00BB0E49"/>
    <w:rsid w:val="00BB0E9B"/>
    <w:rsid w:val="00BB15EE"/>
    <w:rsid w:val="00BB2061"/>
    <w:rsid w:val="00BB26A6"/>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7CC"/>
    <w:rsid w:val="00BC1F25"/>
    <w:rsid w:val="00BC209F"/>
    <w:rsid w:val="00BC24AD"/>
    <w:rsid w:val="00BC2898"/>
    <w:rsid w:val="00BC2928"/>
    <w:rsid w:val="00BC29BD"/>
    <w:rsid w:val="00BC2BB1"/>
    <w:rsid w:val="00BC34A3"/>
    <w:rsid w:val="00BC3FF9"/>
    <w:rsid w:val="00BC4834"/>
    <w:rsid w:val="00BC4A97"/>
    <w:rsid w:val="00BC566B"/>
    <w:rsid w:val="00BC5A25"/>
    <w:rsid w:val="00BC5FDD"/>
    <w:rsid w:val="00BC68B4"/>
    <w:rsid w:val="00BC7277"/>
    <w:rsid w:val="00BD0140"/>
    <w:rsid w:val="00BD02CC"/>
    <w:rsid w:val="00BD088E"/>
    <w:rsid w:val="00BD0F18"/>
    <w:rsid w:val="00BD182E"/>
    <w:rsid w:val="00BD2063"/>
    <w:rsid w:val="00BD28C4"/>
    <w:rsid w:val="00BD2950"/>
    <w:rsid w:val="00BD337A"/>
    <w:rsid w:val="00BD33D9"/>
    <w:rsid w:val="00BD38C5"/>
    <w:rsid w:val="00BD3A6D"/>
    <w:rsid w:val="00BD3AF1"/>
    <w:rsid w:val="00BD3DEA"/>
    <w:rsid w:val="00BD3E97"/>
    <w:rsid w:val="00BD40E4"/>
    <w:rsid w:val="00BD52FE"/>
    <w:rsid w:val="00BD59B6"/>
    <w:rsid w:val="00BD6265"/>
    <w:rsid w:val="00BD62CF"/>
    <w:rsid w:val="00BD67B2"/>
    <w:rsid w:val="00BD68E2"/>
    <w:rsid w:val="00BD6D41"/>
    <w:rsid w:val="00BD7522"/>
    <w:rsid w:val="00BD76E5"/>
    <w:rsid w:val="00BD78FE"/>
    <w:rsid w:val="00BD7FA3"/>
    <w:rsid w:val="00BE0149"/>
    <w:rsid w:val="00BE0767"/>
    <w:rsid w:val="00BE07A6"/>
    <w:rsid w:val="00BE0CDF"/>
    <w:rsid w:val="00BE0F24"/>
    <w:rsid w:val="00BE12D7"/>
    <w:rsid w:val="00BE1372"/>
    <w:rsid w:val="00BE1775"/>
    <w:rsid w:val="00BE18DA"/>
    <w:rsid w:val="00BE1A14"/>
    <w:rsid w:val="00BE26C0"/>
    <w:rsid w:val="00BE3442"/>
    <w:rsid w:val="00BE37CD"/>
    <w:rsid w:val="00BE47B2"/>
    <w:rsid w:val="00BE4881"/>
    <w:rsid w:val="00BE48C7"/>
    <w:rsid w:val="00BE4F66"/>
    <w:rsid w:val="00BE4FBF"/>
    <w:rsid w:val="00BE5238"/>
    <w:rsid w:val="00BE5742"/>
    <w:rsid w:val="00BE6074"/>
    <w:rsid w:val="00BE6D73"/>
    <w:rsid w:val="00BE7257"/>
    <w:rsid w:val="00BE792A"/>
    <w:rsid w:val="00BF020D"/>
    <w:rsid w:val="00BF0532"/>
    <w:rsid w:val="00BF0609"/>
    <w:rsid w:val="00BF0EE8"/>
    <w:rsid w:val="00BF0F20"/>
    <w:rsid w:val="00BF10ED"/>
    <w:rsid w:val="00BF15F2"/>
    <w:rsid w:val="00BF1DD2"/>
    <w:rsid w:val="00BF23A3"/>
    <w:rsid w:val="00BF2A7E"/>
    <w:rsid w:val="00BF2CD0"/>
    <w:rsid w:val="00BF3331"/>
    <w:rsid w:val="00BF3A45"/>
    <w:rsid w:val="00BF436F"/>
    <w:rsid w:val="00BF5C05"/>
    <w:rsid w:val="00BF5E78"/>
    <w:rsid w:val="00BF6A12"/>
    <w:rsid w:val="00BF6FC6"/>
    <w:rsid w:val="00BF7B1E"/>
    <w:rsid w:val="00BF7C52"/>
    <w:rsid w:val="00BF7F99"/>
    <w:rsid w:val="00C00713"/>
    <w:rsid w:val="00C009A0"/>
    <w:rsid w:val="00C0167E"/>
    <w:rsid w:val="00C01F74"/>
    <w:rsid w:val="00C020C1"/>
    <w:rsid w:val="00C02558"/>
    <w:rsid w:val="00C025FE"/>
    <w:rsid w:val="00C0285F"/>
    <w:rsid w:val="00C028F5"/>
    <w:rsid w:val="00C02CBF"/>
    <w:rsid w:val="00C02F35"/>
    <w:rsid w:val="00C03305"/>
    <w:rsid w:val="00C033EC"/>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07BCA"/>
    <w:rsid w:val="00C1066C"/>
    <w:rsid w:val="00C10BB9"/>
    <w:rsid w:val="00C10E78"/>
    <w:rsid w:val="00C1159D"/>
    <w:rsid w:val="00C1233E"/>
    <w:rsid w:val="00C1276C"/>
    <w:rsid w:val="00C12FB3"/>
    <w:rsid w:val="00C138BC"/>
    <w:rsid w:val="00C13D85"/>
    <w:rsid w:val="00C14575"/>
    <w:rsid w:val="00C14639"/>
    <w:rsid w:val="00C14E82"/>
    <w:rsid w:val="00C14FF6"/>
    <w:rsid w:val="00C157F1"/>
    <w:rsid w:val="00C15A85"/>
    <w:rsid w:val="00C1637C"/>
    <w:rsid w:val="00C1641B"/>
    <w:rsid w:val="00C1641F"/>
    <w:rsid w:val="00C165FC"/>
    <w:rsid w:val="00C16DCE"/>
    <w:rsid w:val="00C176D5"/>
    <w:rsid w:val="00C17918"/>
    <w:rsid w:val="00C17D24"/>
    <w:rsid w:val="00C2082C"/>
    <w:rsid w:val="00C20EB0"/>
    <w:rsid w:val="00C21004"/>
    <w:rsid w:val="00C21005"/>
    <w:rsid w:val="00C218DF"/>
    <w:rsid w:val="00C220B6"/>
    <w:rsid w:val="00C2296B"/>
    <w:rsid w:val="00C22D7C"/>
    <w:rsid w:val="00C22D8D"/>
    <w:rsid w:val="00C22DDE"/>
    <w:rsid w:val="00C2338B"/>
    <w:rsid w:val="00C233CE"/>
    <w:rsid w:val="00C237DD"/>
    <w:rsid w:val="00C238F4"/>
    <w:rsid w:val="00C2393A"/>
    <w:rsid w:val="00C23A99"/>
    <w:rsid w:val="00C23AB5"/>
    <w:rsid w:val="00C23B8A"/>
    <w:rsid w:val="00C245EE"/>
    <w:rsid w:val="00C24AE1"/>
    <w:rsid w:val="00C24B8D"/>
    <w:rsid w:val="00C24BD7"/>
    <w:rsid w:val="00C24F7A"/>
    <w:rsid w:val="00C25813"/>
    <w:rsid w:val="00C26C71"/>
    <w:rsid w:val="00C27143"/>
    <w:rsid w:val="00C2725D"/>
    <w:rsid w:val="00C27490"/>
    <w:rsid w:val="00C27556"/>
    <w:rsid w:val="00C27D37"/>
    <w:rsid w:val="00C309E8"/>
    <w:rsid w:val="00C31583"/>
    <w:rsid w:val="00C32017"/>
    <w:rsid w:val="00C32571"/>
    <w:rsid w:val="00C325CD"/>
    <w:rsid w:val="00C3322E"/>
    <w:rsid w:val="00C337F5"/>
    <w:rsid w:val="00C3383E"/>
    <w:rsid w:val="00C33B90"/>
    <w:rsid w:val="00C34161"/>
    <w:rsid w:val="00C344F6"/>
    <w:rsid w:val="00C34B5F"/>
    <w:rsid w:val="00C358D4"/>
    <w:rsid w:val="00C365C6"/>
    <w:rsid w:val="00C366F4"/>
    <w:rsid w:val="00C36785"/>
    <w:rsid w:val="00C36FEA"/>
    <w:rsid w:val="00C3711C"/>
    <w:rsid w:val="00C37256"/>
    <w:rsid w:val="00C37A7B"/>
    <w:rsid w:val="00C37DC1"/>
    <w:rsid w:val="00C37FA6"/>
    <w:rsid w:val="00C37FFE"/>
    <w:rsid w:val="00C40791"/>
    <w:rsid w:val="00C40B50"/>
    <w:rsid w:val="00C419E3"/>
    <w:rsid w:val="00C419F4"/>
    <w:rsid w:val="00C41E6A"/>
    <w:rsid w:val="00C42150"/>
    <w:rsid w:val="00C42247"/>
    <w:rsid w:val="00C428E7"/>
    <w:rsid w:val="00C438A2"/>
    <w:rsid w:val="00C439BE"/>
    <w:rsid w:val="00C43A17"/>
    <w:rsid w:val="00C44F26"/>
    <w:rsid w:val="00C451B2"/>
    <w:rsid w:val="00C4539B"/>
    <w:rsid w:val="00C45466"/>
    <w:rsid w:val="00C455C1"/>
    <w:rsid w:val="00C4581D"/>
    <w:rsid w:val="00C46CA4"/>
    <w:rsid w:val="00C4709B"/>
    <w:rsid w:val="00C47472"/>
    <w:rsid w:val="00C500F0"/>
    <w:rsid w:val="00C504A7"/>
    <w:rsid w:val="00C506C9"/>
    <w:rsid w:val="00C50A16"/>
    <w:rsid w:val="00C518CF"/>
    <w:rsid w:val="00C51C9A"/>
    <w:rsid w:val="00C52C68"/>
    <w:rsid w:val="00C52D98"/>
    <w:rsid w:val="00C52DA1"/>
    <w:rsid w:val="00C53D24"/>
    <w:rsid w:val="00C54640"/>
    <w:rsid w:val="00C547A6"/>
    <w:rsid w:val="00C54A3A"/>
    <w:rsid w:val="00C54A5A"/>
    <w:rsid w:val="00C55C32"/>
    <w:rsid w:val="00C5602D"/>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888"/>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3605"/>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B39"/>
    <w:rsid w:val="00C90CA9"/>
    <w:rsid w:val="00C90F88"/>
    <w:rsid w:val="00C915F2"/>
    <w:rsid w:val="00C917B1"/>
    <w:rsid w:val="00C9193C"/>
    <w:rsid w:val="00C91B77"/>
    <w:rsid w:val="00C920E2"/>
    <w:rsid w:val="00C925F1"/>
    <w:rsid w:val="00C933D6"/>
    <w:rsid w:val="00C9370F"/>
    <w:rsid w:val="00C93765"/>
    <w:rsid w:val="00C93877"/>
    <w:rsid w:val="00C939D1"/>
    <w:rsid w:val="00C93D8C"/>
    <w:rsid w:val="00C93E07"/>
    <w:rsid w:val="00C940D9"/>
    <w:rsid w:val="00C946CC"/>
    <w:rsid w:val="00C959BD"/>
    <w:rsid w:val="00C95DFE"/>
    <w:rsid w:val="00C95F44"/>
    <w:rsid w:val="00C96331"/>
    <w:rsid w:val="00C96D1B"/>
    <w:rsid w:val="00C97106"/>
    <w:rsid w:val="00C978D4"/>
    <w:rsid w:val="00CA0031"/>
    <w:rsid w:val="00CA0413"/>
    <w:rsid w:val="00CA043A"/>
    <w:rsid w:val="00CA0E51"/>
    <w:rsid w:val="00CA1691"/>
    <w:rsid w:val="00CA36F3"/>
    <w:rsid w:val="00CA41E7"/>
    <w:rsid w:val="00CA44ED"/>
    <w:rsid w:val="00CA4A99"/>
    <w:rsid w:val="00CA4CCC"/>
    <w:rsid w:val="00CA5173"/>
    <w:rsid w:val="00CA5520"/>
    <w:rsid w:val="00CA5812"/>
    <w:rsid w:val="00CA5984"/>
    <w:rsid w:val="00CA5BD4"/>
    <w:rsid w:val="00CA5C14"/>
    <w:rsid w:val="00CA6B2F"/>
    <w:rsid w:val="00CA7019"/>
    <w:rsid w:val="00CA76FC"/>
    <w:rsid w:val="00CA7E7B"/>
    <w:rsid w:val="00CB0236"/>
    <w:rsid w:val="00CB0C97"/>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780"/>
    <w:rsid w:val="00CC194E"/>
    <w:rsid w:val="00CC1C03"/>
    <w:rsid w:val="00CC21AC"/>
    <w:rsid w:val="00CC232E"/>
    <w:rsid w:val="00CC2514"/>
    <w:rsid w:val="00CC2D34"/>
    <w:rsid w:val="00CC2F69"/>
    <w:rsid w:val="00CC315F"/>
    <w:rsid w:val="00CC3D38"/>
    <w:rsid w:val="00CC3F2F"/>
    <w:rsid w:val="00CC40C3"/>
    <w:rsid w:val="00CC4CB4"/>
    <w:rsid w:val="00CC4E5D"/>
    <w:rsid w:val="00CC4EF4"/>
    <w:rsid w:val="00CC50AE"/>
    <w:rsid w:val="00CC5FFE"/>
    <w:rsid w:val="00CC61B7"/>
    <w:rsid w:val="00CC61CA"/>
    <w:rsid w:val="00CC69EC"/>
    <w:rsid w:val="00CC71D3"/>
    <w:rsid w:val="00CC743D"/>
    <w:rsid w:val="00CD02ED"/>
    <w:rsid w:val="00CD050A"/>
    <w:rsid w:val="00CD1017"/>
    <w:rsid w:val="00CD109C"/>
    <w:rsid w:val="00CD205D"/>
    <w:rsid w:val="00CD2A22"/>
    <w:rsid w:val="00CD2B50"/>
    <w:rsid w:val="00CD3172"/>
    <w:rsid w:val="00CD405A"/>
    <w:rsid w:val="00CD4506"/>
    <w:rsid w:val="00CD520B"/>
    <w:rsid w:val="00CD576C"/>
    <w:rsid w:val="00CD592E"/>
    <w:rsid w:val="00CD5982"/>
    <w:rsid w:val="00CD5A1A"/>
    <w:rsid w:val="00CD5BF5"/>
    <w:rsid w:val="00CD5C26"/>
    <w:rsid w:val="00CD6126"/>
    <w:rsid w:val="00CD6CAB"/>
    <w:rsid w:val="00CD6FFF"/>
    <w:rsid w:val="00CD7EFA"/>
    <w:rsid w:val="00CE020E"/>
    <w:rsid w:val="00CE026B"/>
    <w:rsid w:val="00CE0566"/>
    <w:rsid w:val="00CE06EF"/>
    <w:rsid w:val="00CE1CD4"/>
    <w:rsid w:val="00CE24D3"/>
    <w:rsid w:val="00CE2761"/>
    <w:rsid w:val="00CE28FC"/>
    <w:rsid w:val="00CE314E"/>
    <w:rsid w:val="00CE3A85"/>
    <w:rsid w:val="00CE3D5C"/>
    <w:rsid w:val="00CE3E09"/>
    <w:rsid w:val="00CE3E14"/>
    <w:rsid w:val="00CE44C7"/>
    <w:rsid w:val="00CE53CC"/>
    <w:rsid w:val="00CE5F60"/>
    <w:rsid w:val="00CE65A7"/>
    <w:rsid w:val="00CE68EF"/>
    <w:rsid w:val="00CE68FE"/>
    <w:rsid w:val="00CE69CC"/>
    <w:rsid w:val="00CE6EC4"/>
    <w:rsid w:val="00CE7F26"/>
    <w:rsid w:val="00CF021C"/>
    <w:rsid w:val="00CF1226"/>
    <w:rsid w:val="00CF1ABB"/>
    <w:rsid w:val="00CF1E1D"/>
    <w:rsid w:val="00CF1EB8"/>
    <w:rsid w:val="00CF24FE"/>
    <w:rsid w:val="00CF287F"/>
    <w:rsid w:val="00CF305E"/>
    <w:rsid w:val="00CF35D0"/>
    <w:rsid w:val="00CF3B57"/>
    <w:rsid w:val="00CF3D61"/>
    <w:rsid w:val="00CF3DD5"/>
    <w:rsid w:val="00CF43E7"/>
    <w:rsid w:val="00CF4AF7"/>
    <w:rsid w:val="00CF4D20"/>
    <w:rsid w:val="00CF5EC0"/>
    <w:rsid w:val="00CF73F8"/>
    <w:rsid w:val="00CF7675"/>
    <w:rsid w:val="00CF7928"/>
    <w:rsid w:val="00CF7CA2"/>
    <w:rsid w:val="00D00911"/>
    <w:rsid w:val="00D00A8E"/>
    <w:rsid w:val="00D00DE0"/>
    <w:rsid w:val="00D00F79"/>
    <w:rsid w:val="00D012BF"/>
    <w:rsid w:val="00D01760"/>
    <w:rsid w:val="00D01838"/>
    <w:rsid w:val="00D028B5"/>
    <w:rsid w:val="00D0368E"/>
    <w:rsid w:val="00D03AC3"/>
    <w:rsid w:val="00D03D2D"/>
    <w:rsid w:val="00D03E7B"/>
    <w:rsid w:val="00D0401A"/>
    <w:rsid w:val="00D047E0"/>
    <w:rsid w:val="00D04B9F"/>
    <w:rsid w:val="00D04D43"/>
    <w:rsid w:val="00D04F94"/>
    <w:rsid w:val="00D04FFB"/>
    <w:rsid w:val="00D055FE"/>
    <w:rsid w:val="00D058E9"/>
    <w:rsid w:val="00D0612A"/>
    <w:rsid w:val="00D06693"/>
    <w:rsid w:val="00D1060D"/>
    <w:rsid w:val="00D10D14"/>
    <w:rsid w:val="00D10E7C"/>
    <w:rsid w:val="00D11182"/>
    <w:rsid w:val="00D1137B"/>
    <w:rsid w:val="00D11508"/>
    <w:rsid w:val="00D11807"/>
    <w:rsid w:val="00D11881"/>
    <w:rsid w:val="00D11DB3"/>
    <w:rsid w:val="00D12D82"/>
    <w:rsid w:val="00D12F77"/>
    <w:rsid w:val="00D1306E"/>
    <w:rsid w:val="00D130B7"/>
    <w:rsid w:val="00D134CD"/>
    <w:rsid w:val="00D13FE4"/>
    <w:rsid w:val="00D1401E"/>
    <w:rsid w:val="00D14B5F"/>
    <w:rsid w:val="00D14E13"/>
    <w:rsid w:val="00D14F23"/>
    <w:rsid w:val="00D160F6"/>
    <w:rsid w:val="00D16740"/>
    <w:rsid w:val="00D16A8B"/>
    <w:rsid w:val="00D16E39"/>
    <w:rsid w:val="00D171DE"/>
    <w:rsid w:val="00D172A4"/>
    <w:rsid w:val="00D17951"/>
    <w:rsid w:val="00D17AD8"/>
    <w:rsid w:val="00D201E8"/>
    <w:rsid w:val="00D205C7"/>
    <w:rsid w:val="00D2104A"/>
    <w:rsid w:val="00D21A58"/>
    <w:rsid w:val="00D21BB5"/>
    <w:rsid w:val="00D21FFC"/>
    <w:rsid w:val="00D223B6"/>
    <w:rsid w:val="00D223E8"/>
    <w:rsid w:val="00D224E1"/>
    <w:rsid w:val="00D22DC8"/>
    <w:rsid w:val="00D23094"/>
    <w:rsid w:val="00D23732"/>
    <w:rsid w:val="00D2374F"/>
    <w:rsid w:val="00D2477B"/>
    <w:rsid w:val="00D24F93"/>
    <w:rsid w:val="00D25027"/>
    <w:rsid w:val="00D2522A"/>
    <w:rsid w:val="00D2531C"/>
    <w:rsid w:val="00D25428"/>
    <w:rsid w:val="00D2553E"/>
    <w:rsid w:val="00D2587F"/>
    <w:rsid w:val="00D2742F"/>
    <w:rsid w:val="00D2754F"/>
    <w:rsid w:val="00D277C5"/>
    <w:rsid w:val="00D279D9"/>
    <w:rsid w:val="00D27FFA"/>
    <w:rsid w:val="00D309A0"/>
    <w:rsid w:val="00D312DC"/>
    <w:rsid w:val="00D31B84"/>
    <w:rsid w:val="00D31C6A"/>
    <w:rsid w:val="00D31EDF"/>
    <w:rsid w:val="00D31FF9"/>
    <w:rsid w:val="00D32149"/>
    <w:rsid w:val="00D32256"/>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1F88"/>
    <w:rsid w:val="00D422DB"/>
    <w:rsid w:val="00D42AC2"/>
    <w:rsid w:val="00D4498E"/>
    <w:rsid w:val="00D4515F"/>
    <w:rsid w:val="00D451E8"/>
    <w:rsid w:val="00D45EE8"/>
    <w:rsid w:val="00D466C9"/>
    <w:rsid w:val="00D46B43"/>
    <w:rsid w:val="00D47275"/>
    <w:rsid w:val="00D517F6"/>
    <w:rsid w:val="00D51AB7"/>
    <w:rsid w:val="00D51E15"/>
    <w:rsid w:val="00D52B7E"/>
    <w:rsid w:val="00D52E2F"/>
    <w:rsid w:val="00D52F59"/>
    <w:rsid w:val="00D53445"/>
    <w:rsid w:val="00D536E0"/>
    <w:rsid w:val="00D53C61"/>
    <w:rsid w:val="00D53E3E"/>
    <w:rsid w:val="00D54620"/>
    <w:rsid w:val="00D55904"/>
    <w:rsid w:val="00D55DFF"/>
    <w:rsid w:val="00D5614E"/>
    <w:rsid w:val="00D5616F"/>
    <w:rsid w:val="00D57940"/>
    <w:rsid w:val="00D60327"/>
    <w:rsid w:val="00D605BB"/>
    <w:rsid w:val="00D61384"/>
    <w:rsid w:val="00D61526"/>
    <w:rsid w:val="00D61C39"/>
    <w:rsid w:val="00D61F81"/>
    <w:rsid w:val="00D62088"/>
    <w:rsid w:val="00D620A6"/>
    <w:rsid w:val="00D623C0"/>
    <w:rsid w:val="00D62631"/>
    <w:rsid w:val="00D62BE6"/>
    <w:rsid w:val="00D62F00"/>
    <w:rsid w:val="00D63359"/>
    <w:rsid w:val="00D63706"/>
    <w:rsid w:val="00D63766"/>
    <w:rsid w:val="00D63912"/>
    <w:rsid w:val="00D63923"/>
    <w:rsid w:val="00D6451B"/>
    <w:rsid w:val="00D64B57"/>
    <w:rsid w:val="00D650F4"/>
    <w:rsid w:val="00D651A1"/>
    <w:rsid w:val="00D65B2B"/>
    <w:rsid w:val="00D65C15"/>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28F5"/>
    <w:rsid w:val="00D72BC3"/>
    <w:rsid w:val="00D72E9D"/>
    <w:rsid w:val="00D73249"/>
    <w:rsid w:val="00D732AC"/>
    <w:rsid w:val="00D73419"/>
    <w:rsid w:val="00D73437"/>
    <w:rsid w:val="00D73881"/>
    <w:rsid w:val="00D73CA9"/>
    <w:rsid w:val="00D751B7"/>
    <w:rsid w:val="00D75232"/>
    <w:rsid w:val="00D7524B"/>
    <w:rsid w:val="00D75396"/>
    <w:rsid w:val="00D753E7"/>
    <w:rsid w:val="00D759C0"/>
    <w:rsid w:val="00D75E99"/>
    <w:rsid w:val="00D765CE"/>
    <w:rsid w:val="00D766C7"/>
    <w:rsid w:val="00D7692B"/>
    <w:rsid w:val="00D7734F"/>
    <w:rsid w:val="00D7762A"/>
    <w:rsid w:val="00D7791D"/>
    <w:rsid w:val="00D77CF4"/>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4983"/>
    <w:rsid w:val="00D84C00"/>
    <w:rsid w:val="00D85494"/>
    <w:rsid w:val="00D8582C"/>
    <w:rsid w:val="00D85D61"/>
    <w:rsid w:val="00D8616D"/>
    <w:rsid w:val="00D8711B"/>
    <w:rsid w:val="00D87384"/>
    <w:rsid w:val="00D87882"/>
    <w:rsid w:val="00D9015D"/>
    <w:rsid w:val="00D90683"/>
    <w:rsid w:val="00D90B2A"/>
    <w:rsid w:val="00D91483"/>
    <w:rsid w:val="00D915C8"/>
    <w:rsid w:val="00D92653"/>
    <w:rsid w:val="00D93049"/>
    <w:rsid w:val="00D9310B"/>
    <w:rsid w:val="00D931F3"/>
    <w:rsid w:val="00D93726"/>
    <w:rsid w:val="00D93F3E"/>
    <w:rsid w:val="00D9405B"/>
    <w:rsid w:val="00D94942"/>
    <w:rsid w:val="00D9502A"/>
    <w:rsid w:val="00D95145"/>
    <w:rsid w:val="00D954BB"/>
    <w:rsid w:val="00D96594"/>
    <w:rsid w:val="00D96678"/>
    <w:rsid w:val="00D967CB"/>
    <w:rsid w:val="00D968D4"/>
    <w:rsid w:val="00D96EE0"/>
    <w:rsid w:val="00D96F14"/>
    <w:rsid w:val="00D97BD1"/>
    <w:rsid w:val="00D97EF0"/>
    <w:rsid w:val="00DA00C3"/>
    <w:rsid w:val="00DA01E9"/>
    <w:rsid w:val="00DA06B8"/>
    <w:rsid w:val="00DA14A9"/>
    <w:rsid w:val="00DA1863"/>
    <w:rsid w:val="00DA1CE7"/>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77C"/>
    <w:rsid w:val="00DB19BB"/>
    <w:rsid w:val="00DB1A00"/>
    <w:rsid w:val="00DB1AFF"/>
    <w:rsid w:val="00DB219A"/>
    <w:rsid w:val="00DB244B"/>
    <w:rsid w:val="00DB3165"/>
    <w:rsid w:val="00DB4292"/>
    <w:rsid w:val="00DB5023"/>
    <w:rsid w:val="00DB52D2"/>
    <w:rsid w:val="00DB6E46"/>
    <w:rsid w:val="00DB7117"/>
    <w:rsid w:val="00DB7760"/>
    <w:rsid w:val="00DB7DD4"/>
    <w:rsid w:val="00DC00B4"/>
    <w:rsid w:val="00DC0954"/>
    <w:rsid w:val="00DC0DF8"/>
    <w:rsid w:val="00DC15BA"/>
    <w:rsid w:val="00DC18CD"/>
    <w:rsid w:val="00DC1A68"/>
    <w:rsid w:val="00DC2072"/>
    <w:rsid w:val="00DC28EC"/>
    <w:rsid w:val="00DC30B8"/>
    <w:rsid w:val="00DC47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1B18"/>
    <w:rsid w:val="00DE20C6"/>
    <w:rsid w:val="00DE2C0C"/>
    <w:rsid w:val="00DE2E9B"/>
    <w:rsid w:val="00DE3119"/>
    <w:rsid w:val="00DE3789"/>
    <w:rsid w:val="00DE3C24"/>
    <w:rsid w:val="00DE3FF0"/>
    <w:rsid w:val="00DE4105"/>
    <w:rsid w:val="00DE4BEA"/>
    <w:rsid w:val="00DE5189"/>
    <w:rsid w:val="00DE67D2"/>
    <w:rsid w:val="00DE7108"/>
    <w:rsid w:val="00DE78D1"/>
    <w:rsid w:val="00DE78FF"/>
    <w:rsid w:val="00DE7B11"/>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0F4"/>
    <w:rsid w:val="00E00B25"/>
    <w:rsid w:val="00E00B7A"/>
    <w:rsid w:val="00E01677"/>
    <w:rsid w:val="00E02144"/>
    <w:rsid w:val="00E02186"/>
    <w:rsid w:val="00E025C0"/>
    <w:rsid w:val="00E025C2"/>
    <w:rsid w:val="00E026BB"/>
    <w:rsid w:val="00E027C5"/>
    <w:rsid w:val="00E03124"/>
    <w:rsid w:val="00E031C3"/>
    <w:rsid w:val="00E03951"/>
    <w:rsid w:val="00E03DB8"/>
    <w:rsid w:val="00E03F17"/>
    <w:rsid w:val="00E0420C"/>
    <w:rsid w:val="00E04EDD"/>
    <w:rsid w:val="00E057B6"/>
    <w:rsid w:val="00E05E70"/>
    <w:rsid w:val="00E064BC"/>
    <w:rsid w:val="00E068BB"/>
    <w:rsid w:val="00E070C1"/>
    <w:rsid w:val="00E07225"/>
    <w:rsid w:val="00E073FC"/>
    <w:rsid w:val="00E076B4"/>
    <w:rsid w:val="00E07B55"/>
    <w:rsid w:val="00E10579"/>
    <w:rsid w:val="00E109DD"/>
    <w:rsid w:val="00E1119F"/>
    <w:rsid w:val="00E11229"/>
    <w:rsid w:val="00E114CA"/>
    <w:rsid w:val="00E11C7B"/>
    <w:rsid w:val="00E127D1"/>
    <w:rsid w:val="00E13234"/>
    <w:rsid w:val="00E13867"/>
    <w:rsid w:val="00E1397F"/>
    <w:rsid w:val="00E13AB8"/>
    <w:rsid w:val="00E1482E"/>
    <w:rsid w:val="00E1592E"/>
    <w:rsid w:val="00E160A1"/>
    <w:rsid w:val="00E16382"/>
    <w:rsid w:val="00E1699C"/>
    <w:rsid w:val="00E16E75"/>
    <w:rsid w:val="00E1746D"/>
    <w:rsid w:val="00E2012A"/>
    <w:rsid w:val="00E205A2"/>
    <w:rsid w:val="00E20BA4"/>
    <w:rsid w:val="00E210D0"/>
    <w:rsid w:val="00E21887"/>
    <w:rsid w:val="00E21CC0"/>
    <w:rsid w:val="00E226EF"/>
    <w:rsid w:val="00E23137"/>
    <w:rsid w:val="00E23980"/>
    <w:rsid w:val="00E23AB0"/>
    <w:rsid w:val="00E241E9"/>
    <w:rsid w:val="00E243D8"/>
    <w:rsid w:val="00E24670"/>
    <w:rsid w:val="00E2490F"/>
    <w:rsid w:val="00E257C3"/>
    <w:rsid w:val="00E25CB3"/>
    <w:rsid w:val="00E25DA4"/>
    <w:rsid w:val="00E26237"/>
    <w:rsid w:val="00E26551"/>
    <w:rsid w:val="00E26CB8"/>
    <w:rsid w:val="00E26D16"/>
    <w:rsid w:val="00E26FCF"/>
    <w:rsid w:val="00E27165"/>
    <w:rsid w:val="00E275D9"/>
    <w:rsid w:val="00E3044A"/>
    <w:rsid w:val="00E30E49"/>
    <w:rsid w:val="00E312B1"/>
    <w:rsid w:val="00E31A4A"/>
    <w:rsid w:val="00E3344A"/>
    <w:rsid w:val="00E337CC"/>
    <w:rsid w:val="00E33B29"/>
    <w:rsid w:val="00E33B62"/>
    <w:rsid w:val="00E3403D"/>
    <w:rsid w:val="00E34376"/>
    <w:rsid w:val="00E344BD"/>
    <w:rsid w:val="00E34548"/>
    <w:rsid w:val="00E3476F"/>
    <w:rsid w:val="00E34E6C"/>
    <w:rsid w:val="00E352B9"/>
    <w:rsid w:val="00E353E2"/>
    <w:rsid w:val="00E36345"/>
    <w:rsid w:val="00E36C86"/>
    <w:rsid w:val="00E36CEB"/>
    <w:rsid w:val="00E37A28"/>
    <w:rsid w:val="00E400C7"/>
    <w:rsid w:val="00E40430"/>
    <w:rsid w:val="00E40690"/>
    <w:rsid w:val="00E40AEB"/>
    <w:rsid w:val="00E40E82"/>
    <w:rsid w:val="00E41141"/>
    <w:rsid w:val="00E4143A"/>
    <w:rsid w:val="00E41E97"/>
    <w:rsid w:val="00E41FFC"/>
    <w:rsid w:val="00E424C8"/>
    <w:rsid w:val="00E4251D"/>
    <w:rsid w:val="00E427EF"/>
    <w:rsid w:val="00E43D00"/>
    <w:rsid w:val="00E43FCB"/>
    <w:rsid w:val="00E443B4"/>
    <w:rsid w:val="00E445E4"/>
    <w:rsid w:val="00E457CB"/>
    <w:rsid w:val="00E45D47"/>
    <w:rsid w:val="00E45DE4"/>
    <w:rsid w:val="00E45E63"/>
    <w:rsid w:val="00E45F35"/>
    <w:rsid w:val="00E47027"/>
    <w:rsid w:val="00E4759C"/>
    <w:rsid w:val="00E47DA0"/>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7E4"/>
    <w:rsid w:val="00E548C3"/>
    <w:rsid w:val="00E54C6E"/>
    <w:rsid w:val="00E54F27"/>
    <w:rsid w:val="00E5555F"/>
    <w:rsid w:val="00E55FF1"/>
    <w:rsid w:val="00E56090"/>
    <w:rsid w:val="00E56408"/>
    <w:rsid w:val="00E565B9"/>
    <w:rsid w:val="00E56E7B"/>
    <w:rsid w:val="00E5733B"/>
    <w:rsid w:val="00E5756C"/>
    <w:rsid w:val="00E5768D"/>
    <w:rsid w:val="00E57811"/>
    <w:rsid w:val="00E57CC5"/>
    <w:rsid w:val="00E57D8F"/>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0D2"/>
    <w:rsid w:val="00E642EF"/>
    <w:rsid w:val="00E643A3"/>
    <w:rsid w:val="00E64700"/>
    <w:rsid w:val="00E65074"/>
    <w:rsid w:val="00E65857"/>
    <w:rsid w:val="00E65E70"/>
    <w:rsid w:val="00E66087"/>
    <w:rsid w:val="00E669E5"/>
    <w:rsid w:val="00E66D79"/>
    <w:rsid w:val="00E66FF9"/>
    <w:rsid w:val="00E6706F"/>
    <w:rsid w:val="00E673A2"/>
    <w:rsid w:val="00E67856"/>
    <w:rsid w:val="00E679C8"/>
    <w:rsid w:val="00E70314"/>
    <w:rsid w:val="00E70412"/>
    <w:rsid w:val="00E72080"/>
    <w:rsid w:val="00E724E7"/>
    <w:rsid w:val="00E72791"/>
    <w:rsid w:val="00E72B41"/>
    <w:rsid w:val="00E7347B"/>
    <w:rsid w:val="00E73792"/>
    <w:rsid w:val="00E73D03"/>
    <w:rsid w:val="00E7471C"/>
    <w:rsid w:val="00E7498A"/>
    <w:rsid w:val="00E7514E"/>
    <w:rsid w:val="00E76537"/>
    <w:rsid w:val="00E77784"/>
    <w:rsid w:val="00E77AF5"/>
    <w:rsid w:val="00E8035B"/>
    <w:rsid w:val="00E806D9"/>
    <w:rsid w:val="00E80ADE"/>
    <w:rsid w:val="00E820F4"/>
    <w:rsid w:val="00E82263"/>
    <w:rsid w:val="00E823F9"/>
    <w:rsid w:val="00E82C1F"/>
    <w:rsid w:val="00E83671"/>
    <w:rsid w:val="00E836AD"/>
    <w:rsid w:val="00E83D1E"/>
    <w:rsid w:val="00E840EE"/>
    <w:rsid w:val="00E84314"/>
    <w:rsid w:val="00E849CA"/>
    <w:rsid w:val="00E84A71"/>
    <w:rsid w:val="00E8556F"/>
    <w:rsid w:val="00E85E79"/>
    <w:rsid w:val="00E86556"/>
    <w:rsid w:val="00E86D35"/>
    <w:rsid w:val="00E86DC2"/>
    <w:rsid w:val="00E86E32"/>
    <w:rsid w:val="00E86F2E"/>
    <w:rsid w:val="00E8732E"/>
    <w:rsid w:val="00E9011F"/>
    <w:rsid w:val="00E906EB"/>
    <w:rsid w:val="00E9170E"/>
    <w:rsid w:val="00E919FB"/>
    <w:rsid w:val="00E91DE4"/>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A56"/>
    <w:rsid w:val="00EA5CC6"/>
    <w:rsid w:val="00EA63EF"/>
    <w:rsid w:val="00EA7026"/>
    <w:rsid w:val="00EA7CBF"/>
    <w:rsid w:val="00EB0A89"/>
    <w:rsid w:val="00EB0BD8"/>
    <w:rsid w:val="00EB1573"/>
    <w:rsid w:val="00EB1910"/>
    <w:rsid w:val="00EB2564"/>
    <w:rsid w:val="00EB294A"/>
    <w:rsid w:val="00EB2D83"/>
    <w:rsid w:val="00EB2E97"/>
    <w:rsid w:val="00EB3416"/>
    <w:rsid w:val="00EB497D"/>
    <w:rsid w:val="00EB4AE1"/>
    <w:rsid w:val="00EB52F4"/>
    <w:rsid w:val="00EB5694"/>
    <w:rsid w:val="00EB5779"/>
    <w:rsid w:val="00EB5D2F"/>
    <w:rsid w:val="00EB67F1"/>
    <w:rsid w:val="00EB6ADA"/>
    <w:rsid w:val="00EB7132"/>
    <w:rsid w:val="00EB72CD"/>
    <w:rsid w:val="00EB749A"/>
    <w:rsid w:val="00EB76B6"/>
    <w:rsid w:val="00EB793C"/>
    <w:rsid w:val="00EB7D8A"/>
    <w:rsid w:val="00EC04F7"/>
    <w:rsid w:val="00EC05E2"/>
    <w:rsid w:val="00EC0B39"/>
    <w:rsid w:val="00EC0E84"/>
    <w:rsid w:val="00EC1490"/>
    <w:rsid w:val="00EC16E2"/>
    <w:rsid w:val="00EC1CE7"/>
    <w:rsid w:val="00EC1DAE"/>
    <w:rsid w:val="00EC26F1"/>
    <w:rsid w:val="00EC2E9D"/>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63A"/>
    <w:rsid w:val="00ED1F03"/>
    <w:rsid w:val="00ED249D"/>
    <w:rsid w:val="00ED2D27"/>
    <w:rsid w:val="00ED2E91"/>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609"/>
    <w:rsid w:val="00ED77F0"/>
    <w:rsid w:val="00ED7825"/>
    <w:rsid w:val="00ED7FBC"/>
    <w:rsid w:val="00EE0253"/>
    <w:rsid w:val="00EE0297"/>
    <w:rsid w:val="00EE1258"/>
    <w:rsid w:val="00EE13DA"/>
    <w:rsid w:val="00EE1668"/>
    <w:rsid w:val="00EE1EDB"/>
    <w:rsid w:val="00EE24E2"/>
    <w:rsid w:val="00EE2A20"/>
    <w:rsid w:val="00EE365D"/>
    <w:rsid w:val="00EE366D"/>
    <w:rsid w:val="00EE40A4"/>
    <w:rsid w:val="00EE5454"/>
    <w:rsid w:val="00EE59B5"/>
    <w:rsid w:val="00EE5FB7"/>
    <w:rsid w:val="00EE6783"/>
    <w:rsid w:val="00EE678B"/>
    <w:rsid w:val="00EE77D4"/>
    <w:rsid w:val="00EE7B54"/>
    <w:rsid w:val="00EE7C47"/>
    <w:rsid w:val="00EE7C88"/>
    <w:rsid w:val="00EE7C8B"/>
    <w:rsid w:val="00EF0209"/>
    <w:rsid w:val="00EF0B6B"/>
    <w:rsid w:val="00EF0EA4"/>
    <w:rsid w:val="00EF13A6"/>
    <w:rsid w:val="00EF1E97"/>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DC"/>
    <w:rsid w:val="00F01657"/>
    <w:rsid w:val="00F01E67"/>
    <w:rsid w:val="00F02009"/>
    <w:rsid w:val="00F02744"/>
    <w:rsid w:val="00F02BFD"/>
    <w:rsid w:val="00F02D25"/>
    <w:rsid w:val="00F02FF4"/>
    <w:rsid w:val="00F03A9C"/>
    <w:rsid w:val="00F03C3D"/>
    <w:rsid w:val="00F0435D"/>
    <w:rsid w:val="00F04580"/>
    <w:rsid w:val="00F04ECA"/>
    <w:rsid w:val="00F04F8B"/>
    <w:rsid w:val="00F06E19"/>
    <w:rsid w:val="00F06F84"/>
    <w:rsid w:val="00F076E7"/>
    <w:rsid w:val="00F07A86"/>
    <w:rsid w:val="00F07AA1"/>
    <w:rsid w:val="00F102E0"/>
    <w:rsid w:val="00F105AE"/>
    <w:rsid w:val="00F10618"/>
    <w:rsid w:val="00F1085C"/>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2697"/>
    <w:rsid w:val="00F23069"/>
    <w:rsid w:val="00F23113"/>
    <w:rsid w:val="00F23145"/>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232D"/>
    <w:rsid w:val="00F32960"/>
    <w:rsid w:val="00F329D6"/>
    <w:rsid w:val="00F3399B"/>
    <w:rsid w:val="00F33F4B"/>
    <w:rsid w:val="00F346ED"/>
    <w:rsid w:val="00F34945"/>
    <w:rsid w:val="00F34E1E"/>
    <w:rsid w:val="00F3570C"/>
    <w:rsid w:val="00F35F49"/>
    <w:rsid w:val="00F363A4"/>
    <w:rsid w:val="00F36765"/>
    <w:rsid w:val="00F368FF"/>
    <w:rsid w:val="00F37068"/>
    <w:rsid w:val="00F37E5F"/>
    <w:rsid w:val="00F37F3F"/>
    <w:rsid w:val="00F40992"/>
    <w:rsid w:val="00F40F72"/>
    <w:rsid w:val="00F41596"/>
    <w:rsid w:val="00F41D8B"/>
    <w:rsid w:val="00F42121"/>
    <w:rsid w:val="00F424B3"/>
    <w:rsid w:val="00F428B1"/>
    <w:rsid w:val="00F428B4"/>
    <w:rsid w:val="00F4345D"/>
    <w:rsid w:val="00F4387B"/>
    <w:rsid w:val="00F45756"/>
    <w:rsid w:val="00F45921"/>
    <w:rsid w:val="00F45B91"/>
    <w:rsid w:val="00F46639"/>
    <w:rsid w:val="00F476FD"/>
    <w:rsid w:val="00F50183"/>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0AC"/>
    <w:rsid w:val="00F65559"/>
    <w:rsid w:val="00F659BB"/>
    <w:rsid w:val="00F65A3C"/>
    <w:rsid w:val="00F66009"/>
    <w:rsid w:val="00F66282"/>
    <w:rsid w:val="00F6639E"/>
    <w:rsid w:val="00F663DD"/>
    <w:rsid w:val="00F670E9"/>
    <w:rsid w:val="00F6749F"/>
    <w:rsid w:val="00F67AF1"/>
    <w:rsid w:val="00F67D8B"/>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100"/>
    <w:rsid w:val="00F815AC"/>
    <w:rsid w:val="00F83B33"/>
    <w:rsid w:val="00F83CAE"/>
    <w:rsid w:val="00F840BF"/>
    <w:rsid w:val="00F8427A"/>
    <w:rsid w:val="00F843DF"/>
    <w:rsid w:val="00F84646"/>
    <w:rsid w:val="00F8476E"/>
    <w:rsid w:val="00F84899"/>
    <w:rsid w:val="00F85585"/>
    <w:rsid w:val="00F859F0"/>
    <w:rsid w:val="00F85CC1"/>
    <w:rsid w:val="00F86787"/>
    <w:rsid w:val="00F86B5D"/>
    <w:rsid w:val="00F87634"/>
    <w:rsid w:val="00F87C13"/>
    <w:rsid w:val="00F87C5A"/>
    <w:rsid w:val="00F87E29"/>
    <w:rsid w:val="00F87F18"/>
    <w:rsid w:val="00F87F68"/>
    <w:rsid w:val="00F905BE"/>
    <w:rsid w:val="00F9075B"/>
    <w:rsid w:val="00F90C4D"/>
    <w:rsid w:val="00F91098"/>
    <w:rsid w:val="00F9167D"/>
    <w:rsid w:val="00F91CB2"/>
    <w:rsid w:val="00F927E8"/>
    <w:rsid w:val="00F9289C"/>
    <w:rsid w:val="00F92FC1"/>
    <w:rsid w:val="00F932D1"/>
    <w:rsid w:val="00F93DBC"/>
    <w:rsid w:val="00F93E41"/>
    <w:rsid w:val="00F94644"/>
    <w:rsid w:val="00F952E4"/>
    <w:rsid w:val="00F9537B"/>
    <w:rsid w:val="00F96079"/>
    <w:rsid w:val="00F963FC"/>
    <w:rsid w:val="00F97459"/>
    <w:rsid w:val="00F97CF1"/>
    <w:rsid w:val="00FA015F"/>
    <w:rsid w:val="00FA0FAC"/>
    <w:rsid w:val="00FA10F7"/>
    <w:rsid w:val="00FA1AB4"/>
    <w:rsid w:val="00FA1C4A"/>
    <w:rsid w:val="00FA1DA2"/>
    <w:rsid w:val="00FA313F"/>
    <w:rsid w:val="00FA3414"/>
    <w:rsid w:val="00FA347A"/>
    <w:rsid w:val="00FA3CDE"/>
    <w:rsid w:val="00FA4034"/>
    <w:rsid w:val="00FA49B7"/>
    <w:rsid w:val="00FA5043"/>
    <w:rsid w:val="00FA5A74"/>
    <w:rsid w:val="00FA60C1"/>
    <w:rsid w:val="00FA65A3"/>
    <w:rsid w:val="00FA6BCA"/>
    <w:rsid w:val="00FA6D46"/>
    <w:rsid w:val="00FA6F8B"/>
    <w:rsid w:val="00FA727C"/>
    <w:rsid w:val="00FA7A30"/>
    <w:rsid w:val="00FB033F"/>
    <w:rsid w:val="00FB0880"/>
    <w:rsid w:val="00FB12E3"/>
    <w:rsid w:val="00FB1570"/>
    <w:rsid w:val="00FB193B"/>
    <w:rsid w:val="00FB1FBC"/>
    <w:rsid w:val="00FB27B7"/>
    <w:rsid w:val="00FB35E3"/>
    <w:rsid w:val="00FB4050"/>
    <w:rsid w:val="00FB40BA"/>
    <w:rsid w:val="00FB4C98"/>
    <w:rsid w:val="00FB4CE3"/>
    <w:rsid w:val="00FB583C"/>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221"/>
    <w:rsid w:val="00FC76A9"/>
    <w:rsid w:val="00FC79AB"/>
    <w:rsid w:val="00FC7BE7"/>
    <w:rsid w:val="00FC7DAC"/>
    <w:rsid w:val="00FD005D"/>
    <w:rsid w:val="00FD0216"/>
    <w:rsid w:val="00FD04AE"/>
    <w:rsid w:val="00FD0DFA"/>
    <w:rsid w:val="00FD16ED"/>
    <w:rsid w:val="00FD1890"/>
    <w:rsid w:val="00FD1994"/>
    <w:rsid w:val="00FD3508"/>
    <w:rsid w:val="00FD393C"/>
    <w:rsid w:val="00FD3AFF"/>
    <w:rsid w:val="00FD43BB"/>
    <w:rsid w:val="00FD4AF3"/>
    <w:rsid w:val="00FD5443"/>
    <w:rsid w:val="00FD5B73"/>
    <w:rsid w:val="00FD6675"/>
    <w:rsid w:val="00FD6DC5"/>
    <w:rsid w:val="00FD72B1"/>
    <w:rsid w:val="00FD798D"/>
    <w:rsid w:val="00FE141E"/>
    <w:rsid w:val="00FE144E"/>
    <w:rsid w:val="00FE1768"/>
    <w:rsid w:val="00FE1DD5"/>
    <w:rsid w:val="00FE1FCD"/>
    <w:rsid w:val="00FE24ED"/>
    <w:rsid w:val="00FE24F4"/>
    <w:rsid w:val="00FE2560"/>
    <w:rsid w:val="00FE35D0"/>
    <w:rsid w:val="00FE42ED"/>
    <w:rsid w:val="00FE4E06"/>
    <w:rsid w:val="00FE55A7"/>
    <w:rsid w:val="00FE5C5A"/>
    <w:rsid w:val="00FE601E"/>
    <w:rsid w:val="00FE6432"/>
    <w:rsid w:val="00FE72A0"/>
    <w:rsid w:val="00FE7A8F"/>
    <w:rsid w:val="00FF0050"/>
    <w:rsid w:val="00FF045F"/>
    <w:rsid w:val="00FF05D7"/>
    <w:rsid w:val="00FF0816"/>
    <w:rsid w:val="00FF0EC4"/>
    <w:rsid w:val="00FF13D4"/>
    <w:rsid w:val="00FF2053"/>
    <w:rsid w:val="00FF22E8"/>
    <w:rsid w:val="00FF25D7"/>
    <w:rsid w:val="00FF26FB"/>
    <w:rsid w:val="00FF28E9"/>
    <w:rsid w:val="00FF3B37"/>
    <w:rsid w:val="00FF3CC7"/>
    <w:rsid w:val="00FF3D6F"/>
    <w:rsid w:val="00FF3D98"/>
    <w:rsid w:val="00FF441A"/>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0334">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636492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05093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0868074">
      <w:bodyDiv w:val="1"/>
      <w:marLeft w:val="0"/>
      <w:marRight w:val="0"/>
      <w:marTop w:val="0"/>
      <w:marBottom w:val="0"/>
      <w:divBdr>
        <w:top w:val="none" w:sz="0" w:space="0" w:color="auto"/>
        <w:left w:val="none" w:sz="0" w:space="0" w:color="auto"/>
        <w:bottom w:val="none" w:sz="0" w:space="0" w:color="auto"/>
        <w:right w:val="none" w:sz="0" w:space="0" w:color="auto"/>
      </w:divBdr>
      <w:divsChild>
        <w:div w:id="640811742">
          <w:marLeft w:val="0"/>
          <w:marRight w:val="0"/>
          <w:marTop w:val="0"/>
          <w:marBottom w:val="0"/>
          <w:divBdr>
            <w:top w:val="none" w:sz="0" w:space="0" w:color="auto"/>
            <w:left w:val="none" w:sz="0" w:space="0" w:color="auto"/>
            <w:bottom w:val="none" w:sz="0" w:space="0" w:color="auto"/>
            <w:right w:val="none" w:sz="0" w:space="0" w:color="auto"/>
          </w:divBdr>
          <w:divsChild>
            <w:div w:id="1667393878">
              <w:marLeft w:val="0"/>
              <w:marRight w:val="0"/>
              <w:marTop w:val="0"/>
              <w:marBottom w:val="0"/>
              <w:divBdr>
                <w:top w:val="none" w:sz="0" w:space="0" w:color="auto"/>
                <w:left w:val="none" w:sz="0" w:space="0" w:color="auto"/>
                <w:bottom w:val="none" w:sz="0" w:space="0" w:color="auto"/>
                <w:right w:val="none" w:sz="0" w:space="0" w:color="auto"/>
              </w:divBdr>
              <w:divsChild>
                <w:div w:id="205365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6937139">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8317977">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3971">
      <w:bodyDiv w:val="1"/>
      <w:marLeft w:val="0"/>
      <w:marRight w:val="0"/>
      <w:marTop w:val="0"/>
      <w:marBottom w:val="0"/>
      <w:divBdr>
        <w:top w:val="none" w:sz="0" w:space="0" w:color="auto"/>
        <w:left w:val="none" w:sz="0" w:space="0" w:color="auto"/>
        <w:bottom w:val="none" w:sz="0" w:space="0" w:color="auto"/>
        <w:right w:val="none" w:sz="0" w:space="0" w:color="auto"/>
      </w:divBdr>
      <w:divsChild>
        <w:div w:id="569851322">
          <w:marLeft w:val="0"/>
          <w:marRight w:val="0"/>
          <w:marTop w:val="0"/>
          <w:marBottom w:val="0"/>
          <w:divBdr>
            <w:top w:val="none" w:sz="0" w:space="0" w:color="auto"/>
            <w:left w:val="none" w:sz="0" w:space="0" w:color="auto"/>
            <w:bottom w:val="none" w:sz="0" w:space="0" w:color="auto"/>
            <w:right w:val="none" w:sz="0" w:space="0" w:color="auto"/>
          </w:divBdr>
          <w:divsChild>
            <w:div w:id="468135633">
              <w:marLeft w:val="0"/>
              <w:marRight w:val="0"/>
              <w:marTop w:val="0"/>
              <w:marBottom w:val="0"/>
              <w:divBdr>
                <w:top w:val="none" w:sz="0" w:space="0" w:color="auto"/>
                <w:left w:val="none" w:sz="0" w:space="0" w:color="auto"/>
                <w:bottom w:val="none" w:sz="0" w:space="0" w:color="auto"/>
                <w:right w:val="none" w:sz="0" w:space="0" w:color="auto"/>
              </w:divBdr>
              <w:divsChild>
                <w:div w:id="169699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260056">
      <w:bodyDiv w:val="1"/>
      <w:marLeft w:val="0"/>
      <w:marRight w:val="0"/>
      <w:marTop w:val="0"/>
      <w:marBottom w:val="0"/>
      <w:divBdr>
        <w:top w:val="none" w:sz="0" w:space="0" w:color="auto"/>
        <w:left w:val="none" w:sz="0" w:space="0" w:color="auto"/>
        <w:bottom w:val="none" w:sz="0" w:space="0" w:color="auto"/>
        <w:right w:val="none" w:sz="0" w:space="0" w:color="auto"/>
      </w:divBdr>
      <w:divsChild>
        <w:div w:id="196893523">
          <w:marLeft w:val="0"/>
          <w:marRight w:val="0"/>
          <w:marTop w:val="0"/>
          <w:marBottom w:val="0"/>
          <w:divBdr>
            <w:top w:val="none" w:sz="0" w:space="0" w:color="auto"/>
            <w:left w:val="none" w:sz="0" w:space="0" w:color="auto"/>
            <w:bottom w:val="none" w:sz="0" w:space="0" w:color="auto"/>
            <w:right w:val="none" w:sz="0" w:space="0" w:color="auto"/>
          </w:divBdr>
          <w:divsChild>
            <w:div w:id="1154762447">
              <w:marLeft w:val="0"/>
              <w:marRight w:val="0"/>
              <w:marTop w:val="0"/>
              <w:marBottom w:val="0"/>
              <w:divBdr>
                <w:top w:val="none" w:sz="0" w:space="0" w:color="auto"/>
                <w:left w:val="none" w:sz="0" w:space="0" w:color="auto"/>
                <w:bottom w:val="none" w:sz="0" w:space="0" w:color="auto"/>
                <w:right w:val="none" w:sz="0" w:space="0" w:color="auto"/>
              </w:divBdr>
              <w:divsChild>
                <w:div w:id="4794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9605319">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484139">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773052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0378688">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8828521">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646553">
      <w:bodyDiv w:val="1"/>
      <w:marLeft w:val="0"/>
      <w:marRight w:val="0"/>
      <w:marTop w:val="0"/>
      <w:marBottom w:val="0"/>
      <w:divBdr>
        <w:top w:val="none" w:sz="0" w:space="0" w:color="auto"/>
        <w:left w:val="none" w:sz="0" w:space="0" w:color="auto"/>
        <w:bottom w:val="none" w:sz="0" w:space="0" w:color="auto"/>
        <w:right w:val="none" w:sz="0" w:space="0" w:color="auto"/>
      </w:divBdr>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2604908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79490">
      <w:bodyDiv w:val="1"/>
      <w:marLeft w:val="0"/>
      <w:marRight w:val="0"/>
      <w:marTop w:val="0"/>
      <w:marBottom w:val="0"/>
      <w:divBdr>
        <w:top w:val="none" w:sz="0" w:space="0" w:color="auto"/>
        <w:left w:val="none" w:sz="0" w:space="0" w:color="auto"/>
        <w:bottom w:val="none" w:sz="0" w:space="0" w:color="auto"/>
        <w:right w:val="none" w:sz="0" w:space="0" w:color="auto"/>
      </w:divBdr>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1125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1472566">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2410784">
                  <w:marLeft w:val="0"/>
                  <w:marRight w:val="0"/>
                  <w:marTop w:val="0"/>
                  <w:marBottom w:val="0"/>
                  <w:divBdr>
                    <w:top w:val="none" w:sz="0" w:space="0" w:color="auto"/>
                    <w:left w:val="none" w:sz="0" w:space="0" w:color="auto"/>
                    <w:bottom w:val="none" w:sz="0" w:space="0" w:color="auto"/>
                    <w:right w:val="none" w:sz="0" w:space="0" w:color="auto"/>
                  </w:divBdr>
                  <w:divsChild>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7269821">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5223">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840300">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0672078">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57392023">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19CFD103-1022-4238-A154-1EA959991D37}"/>
</file>

<file path=docProps/app.xml><?xml version="1.0" encoding="utf-8"?>
<Properties xmlns="http://schemas.openxmlformats.org/officeDocument/2006/extended-properties" xmlns:vt="http://schemas.openxmlformats.org/officeDocument/2006/docPropsVTypes">
  <Template>Respuesta a consultas</Template>
  <TotalTime>101</TotalTime>
  <Pages>17</Pages>
  <Words>5974</Words>
  <Characters>32862</Characters>
  <Application>Microsoft Office Word</Application>
  <DocSecurity>0</DocSecurity>
  <Lines>273</Lines>
  <Paragraphs>77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Sebastián Ramírez Grisales</cp:lastModifiedBy>
  <cp:revision>46</cp:revision>
  <cp:lastPrinted>2020-01-30T15:05:00Z</cp:lastPrinted>
  <dcterms:created xsi:type="dcterms:W3CDTF">2021-05-12T21:29:00Z</dcterms:created>
  <dcterms:modified xsi:type="dcterms:W3CDTF">2021-05-14T16:02:00Z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