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DFF69" w14:textId="77777777" w:rsidR="00BC5E75" w:rsidRPr="002E61F7" w:rsidRDefault="00BC5E75" w:rsidP="00BC5E75">
      <w:pPr>
        <w:tabs>
          <w:tab w:val="left" w:pos="426"/>
        </w:tabs>
        <w:spacing w:after="0" w:line="240" w:lineRule="auto"/>
        <w:contextualSpacing/>
        <w:jc w:val="both"/>
        <w:rPr>
          <w:rFonts w:ascii="Arial" w:eastAsia="Calibri" w:hAnsi="Arial" w:cs="Arial"/>
          <w:b/>
          <w:bCs/>
          <w:lang w:val="es-MX"/>
        </w:rPr>
      </w:pPr>
      <w:bookmarkStart w:id="0" w:name="_Hlk77152637"/>
      <w:bookmarkStart w:id="1" w:name="_Hlk77157066"/>
      <w:bookmarkStart w:id="2" w:name="_Hlk78821436"/>
      <w:r w:rsidRPr="002E61F7">
        <w:rPr>
          <w:rFonts w:ascii="Arial" w:eastAsia="Calibri" w:hAnsi="Arial" w:cs="Arial"/>
          <w:b/>
          <w:bCs/>
          <w:lang w:val="es-MX"/>
        </w:rPr>
        <w:t>LEY DE GARANTÍAS ELECTORALES ‒ Finalidad</w:t>
      </w:r>
    </w:p>
    <w:p w14:paraId="0D0C19F7" w14:textId="77777777" w:rsidR="00BC5E75" w:rsidRPr="006D076F" w:rsidRDefault="00BC5E75" w:rsidP="00BC5E75">
      <w:pPr>
        <w:tabs>
          <w:tab w:val="left" w:pos="426"/>
        </w:tabs>
        <w:spacing w:after="0" w:line="240" w:lineRule="auto"/>
        <w:contextualSpacing/>
        <w:jc w:val="both"/>
        <w:rPr>
          <w:rFonts w:ascii="Arial" w:eastAsia="Calibri" w:hAnsi="Arial" w:cs="Arial"/>
          <w:b/>
          <w:bCs/>
          <w:sz w:val="20"/>
          <w:szCs w:val="20"/>
          <w:lang w:val="es-MX"/>
        </w:rPr>
      </w:pPr>
    </w:p>
    <w:p w14:paraId="244CE2C3" w14:textId="77777777" w:rsidR="00BC5E75" w:rsidRPr="006D076F" w:rsidRDefault="00BC5E75" w:rsidP="00BC5E75">
      <w:pPr>
        <w:tabs>
          <w:tab w:val="left" w:pos="426"/>
        </w:tabs>
        <w:spacing w:after="0" w:line="240" w:lineRule="auto"/>
        <w:contextualSpacing/>
        <w:jc w:val="both"/>
        <w:rPr>
          <w:rFonts w:ascii="Arial" w:eastAsia="Times New Roman" w:hAnsi="Arial" w:cs="Arial"/>
          <w:bCs/>
          <w:sz w:val="20"/>
          <w:szCs w:val="20"/>
          <w:lang w:val="es-MX" w:eastAsia="es-CO"/>
        </w:rPr>
      </w:pPr>
      <w:r w:rsidRPr="006D076F">
        <w:rPr>
          <w:rFonts w:ascii="Arial" w:eastAsia="Calibri" w:hAnsi="Arial" w:cs="Arial"/>
          <w:noProof/>
          <w:sz w:val="20"/>
          <w:szCs w:val="20"/>
          <w:lang w:val="es-ES_tradnl"/>
        </w:rPr>
        <w:t xml:space="preserve">[…], </w:t>
      </w:r>
      <w:r w:rsidRPr="006D076F">
        <w:rPr>
          <w:rFonts w:ascii="Arial" w:eastAsia="Times New Roman" w:hAnsi="Arial" w:cs="Arial"/>
          <w:bCs/>
          <w:sz w:val="20"/>
          <w:szCs w:val="20"/>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34A41800" w14:textId="77777777" w:rsidR="00BC5E75" w:rsidRPr="006D076F" w:rsidRDefault="00BC5E75" w:rsidP="00BC5E75">
      <w:pPr>
        <w:tabs>
          <w:tab w:val="left" w:pos="426"/>
        </w:tabs>
        <w:spacing w:after="0" w:line="240" w:lineRule="auto"/>
        <w:contextualSpacing/>
        <w:jc w:val="both"/>
        <w:rPr>
          <w:rFonts w:ascii="Arial" w:eastAsia="Calibri" w:hAnsi="Arial" w:cs="Arial"/>
          <w:b/>
          <w:bCs/>
          <w:sz w:val="20"/>
          <w:szCs w:val="20"/>
          <w:lang w:val="es-MX"/>
        </w:rPr>
      </w:pPr>
    </w:p>
    <w:p w14:paraId="16398494" w14:textId="77777777" w:rsidR="00BC5E75" w:rsidRPr="002E61F7" w:rsidRDefault="00BC5E75" w:rsidP="00BC5E75">
      <w:pPr>
        <w:tabs>
          <w:tab w:val="left" w:pos="426"/>
        </w:tabs>
        <w:spacing w:after="0" w:line="240" w:lineRule="auto"/>
        <w:contextualSpacing/>
        <w:jc w:val="both"/>
        <w:rPr>
          <w:rFonts w:ascii="Arial" w:eastAsia="Calibri" w:hAnsi="Arial" w:cs="Arial"/>
          <w:b/>
          <w:bCs/>
          <w:lang w:val="es-MX"/>
        </w:rPr>
      </w:pPr>
      <w:r w:rsidRPr="002E61F7">
        <w:rPr>
          <w:rFonts w:ascii="Arial" w:eastAsia="Calibri" w:hAnsi="Arial" w:cs="Arial"/>
          <w:b/>
          <w:bCs/>
          <w:lang w:val="es-MX"/>
        </w:rPr>
        <w:t>LEY DE GARANTÍAS ELECTORALES ‒</w:t>
      </w:r>
      <w:bookmarkEnd w:id="0"/>
      <w:r w:rsidRPr="002E61F7">
        <w:rPr>
          <w:rFonts w:ascii="Arial" w:eastAsia="Calibri" w:hAnsi="Arial" w:cs="Arial"/>
          <w:b/>
          <w:bCs/>
          <w:lang w:val="es-MX"/>
        </w:rPr>
        <w:t xml:space="preserve"> Tipos de restricciones </w:t>
      </w:r>
      <w:bookmarkStart w:id="3" w:name="_Hlk77157034"/>
      <w:r w:rsidRPr="002E61F7">
        <w:rPr>
          <w:rFonts w:ascii="Arial" w:eastAsia="Calibri" w:hAnsi="Arial" w:cs="Arial"/>
          <w:b/>
          <w:bCs/>
          <w:lang w:val="es-MX"/>
        </w:rPr>
        <w:t xml:space="preserve">‒ </w:t>
      </w:r>
      <w:bookmarkStart w:id="4" w:name="_Hlk77153098"/>
      <w:bookmarkEnd w:id="3"/>
      <w:r w:rsidRPr="002E61F7">
        <w:rPr>
          <w:rFonts w:ascii="Arial" w:eastAsia="Calibri" w:hAnsi="Arial" w:cs="Arial"/>
          <w:b/>
          <w:bCs/>
          <w:lang w:val="es-MX"/>
        </w:rPr>
        <w:t xml:space="preserve">Ámbito temporal </w:t>
      </w:r>
      <w:bookmarkEnd w:id="4"/>
    </w:p>
    <w:p w14:paraId="379FEDAB" w14:textId="77777777" w:rsidR="00BC5E75" w:rsidRPr="006D076F" w:rsidRDefault="00BC5E75" w:rsidP="00BC5E75">
      <w:pPr>
        <w:tabs>
          <w:tab w:val="left" w:pos="426"/>
        </w:tabs>
        <w:spacing w:after="0" w:line="240" w:lineRule="auto"/>
        <w:contextualSpacing/>
        <w:jc w:val="both"/>
        <w:rPr>
          <w:rFonts w:ascii="Arial" w:eastAsia="Calibri" w:hAnsi="Arial" w:cs="Arial"/>
          <w:b/>
          <w:bCs/>
          <w:sz w:val="20"/>
          <w:szCs w:val="20"/>
          <w:lang w:val="es-MX"/>
        </w:rPr>
      </w:pPr>
    </w:p>
    <w:bookmarkEnd w:id="1"/>
    <w:p w14:paraId="0D6D930A" w14:textId="77777777" w:rsidR="00BC5E75" w:rsidRPr="006D076F" w:rsidRDefault="00BC5E75" w:rsidP="00BC5E75">
      <w:pPr>
        <w:spacing w:after="0" w:line="240" w:lineRule="auto"/>
        <w:contextualSpacing/>
        <w:jc w:val="both"/>
        <w:rPr>
          <w:rFonts w:ascii="Arial" w:eastAsia="Arial" w:hAnsi="Arial" w:cs="Arial"/>
          <w:sz w:val="20"/>
          <w:szCs w:val="20"/>
          <w:lang w:val="es-ES" w:eastAsia="es-ES" w:bidi="es-ES"/>
        </w:rPr>
      </w:pPr>
      <w:r w:rsidRPr="006D076F">
        <w:rPr>
          <w:rFonts w:ascii="Arial" w:eastAsia="Calibri" w:hAnsi="Arial" w:cs="Arial"/>
          <w:noProof/>
          <w:sz w:val="20"/>
          <w:szCs w:val="20"/>
          <w:lang w:val="es-ES_tradnl"/>
        </w:rPr>
        <w:t xml:space="preserve">[…] </w:t>
      </w:r>
      <w:bookmarkStart w:id="5" w:name="_Hlk77165666"/>
      <w:r w:rsidRPr="006D076F">
        <w:rPr>
          <w:rFonts w:ascii="Arial" w:eastAsia="Arial" w:hAnsi="Arial" w:cs="Arial"/>
          <w:sz w:val="20"/>
          <w:szCs w:val="20"/>
          <w:lang w:val="es-ES" w:eastAsia="es-ES" w:bidi="es-ES"/>
        </w:rPr>
        <w:t xml:space="preserve">la Ley 996 de 2005 establece dos (2) tipos de restricciones en materia de contratación, las cuales coinciden parcialmente. </w:t>
      </w:r>
      <w:r w:rsidRPr="006D076F">
        <w:rPr>
          <w:rFonts w:ascii="Arial" w:eastAsia="Arial" w:hAnsi="Arial" w:cs="Arial"/>
          <w:i/>
          <w:iCs/>
          <w:sz w:val="20"/>
          <w:szCs w:val="20"/>
          <w:lang w:val="es-ES" w:eastAsia="es-ES" w:bidi="es-ES"/>
        </w:rPr>
        <w:t>En primer lugar</w:t>
      </w:r>
      <w:r w:rsidRPr="006D076F">
        <w:rPr>
          <w:rFonts w:ascii="Arial" w:eastAsia="Arial" w:hAnsi="Arial" w:cs="Arial"/>
          <w:sz w:val="20"/>
          <w:szCs w:val="20"/>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6D076F">
        <w:rPr>
          <w:rFonts w:ascii="Arial" w:eastAsia="Arial" w:hAnsi="Arial" w:cs="Arial"/>
          <w:i/>
          <w:iCs/>
          <w:sz w:val="20"/>
          <w:szCs w:val="20"/>
          <w:lang w:val="es-ES" w:eastAsia="es-ES" w:bidi="es-ES"/>
        </w:rPr>
        <w:t>En segundo lugar</w:t>
      </w:r>
      <w:r w:rsidRPr="006D076F">
        <w:rPr>
          <w:rFonts w:ascii="Arial" w:eastAsia="Arial" w:hAnsi="Arial" w:cs="Arial"/>
          <w:sz w:val="20"/>
          <w:szCs w:val="20"/>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3FAE98E9" w14:textId="77777777" w:rsidR="00BC5E75" w:rsidRDefault="00BC5E75" w:rsidP="00BC5E75">
      <w:pPr>
        <w:tabs>
          <w:tab w:val="left" w:pos="426"/>
        </w:tabs>
        <w:spacing w:after="0" w:line="240" w:lineRule="auto"/>
        <w:ind w:left="426" w:hanging="426"/>
        <w:contextualSpacing/>
        <w:jc w:val="both"/>
        <w:rPr>
          <w:rFonts w:ascii="Arial" w:eastAsia="Calibri" w:hAnsi="Arial" w:cs="Arial"/>
          <w:b/>
          <w:bCs/>
          <w:sz w:val="20"/>
          <w:szCs w:val="20"/>
          <w:lang w:val="es-MX"/>
        </w:rPr>
      </w:pPr>
    </w:p>
    <w:p w14:paraId="282CF7EA" w14:textId="77777777" w:rsidR="00BC5E75" w:rsidRPr="002E61F7" w:rsidRDefault="00BC5E75" w:rsidP="00BC5E75">
      <w:pPr>
        <w:tabs>
          <w:tab w:val="left" w:pos="426"/>
        </w:tabs>
        <w:spacing w:after="0" w:line="240" w:lineRule="auto"/>
        <w:ind w:left="426" w:hanging="426"/>
        <w:contextualSpacing/>
        <w:jc w:val="both"/>
        <w:rPr>
          <w:rFonts w:ascii="Arial" w:eastAsia="Calibri" w:hAnsi="Arial" w:cs="Arial"/>
          <w:b/>
          <w:bCs/>
          <w:lang w:val="es-MX"/>
        </w:rPr>
      </w:pPr>
      <w:r w:rsidRPr="002E61F7">
        <w:rPr>
          <w:rFonts w:ascii="Arial" w:eastAsia="Calibri" w:hAnsi="Arial" w:cs="Arial"/>
          <w:b/>
          <w:bCs/>
          <w:lang w:val="es-MX"/>
        </w:rPr>
        <w:t xml:space="preserve">LEY DE GARANTÍAS ELECTORALES ─ Prohibición ‒ </w:t>
      </w:r>
      <w:bookmarkEnd w:id="5"/>
      <w:r w:rsidRPr="002E61F7">
        <w:rPr>
          <w:rFonts w:ascii="Arial" w:eastAsia="Calibri" w:hAnsi="Arial" w:cs="Arial"/>
          <w:b/>
          <w:bCs/>
          <w:lang w:val="es-MX"/>
        </w:rPr>
        <w:t xml:space="preserve">Contratación directa ‒ Alcance </w:t>
      </w:r>
    </w:p>
    <w:p w14:paraId="602F9A9B" w14:textId="77777777" w:rsidR="00BC5E75" w:rsidRPr="006D076F" w:rsidRDefault="00BC5E75" w:rsidP="00BC5E75">
      <w:pPr>
        <w:tabs>
          <w:tab w:val="left" w:pos="426"/>
        </w:tabs>
        <w:spacing w:after="0" w:line="240" w:lineRule="auto"/>
        <w:contextualSpacing/>
        <w:jc w:val="both"/>
        <w:rPr>
          <w:rFonts w:ascii="Arial" w:eastAsia="Calibri" w:hAnsi="Arial" w:cs="Arial"/>
          <w:noProof/>
          <w:sz w:val="20"/>
          <w:szCs w:val="20"/>
          <w:lang w:val="es-MX"/>
        </w:rPr>
      </w:pPr>
    </w:p>
    <w:p w14:paraId="1D4B1AE8" w14:textId="77777777" w:rsidR="00BC5E75" w:rsidRPr="006D076F" w:rsidRDefault="00BC5E75" w:rsidP="00BC5E75">
      <w:pPr>
        <w:spacing w:after="0" w:line="240" w:lineRule="auto"/>
        <w:contextualSpacing/>
        <w:jc w:val="both"/>
        <w:rPr>
          <w:rFonts w:ascii="Arial" w:eastAsia="Times New Roman" w:hAnsi="Arial" w:cs="Arial"/>
          <w:bCs/>
          <w:sz w:val="20"/>
          <w:szCs w:val="20"/>
          <w:lang w:val="es-MX" w:eastAsia="x-none"/>
        </w:rPr>
      </w:pPr>
      <w:r w:rsidRPr="006D076F">
        <w:rPr>
          <w:rFonts w:ascii="Arial" w:eastAsia="Calibri" w:hAnsi="Arial" w:cs="Arial"/>
          <w:noProof/>
          <w:sz w:val="20"/>
          <w:szCs w:val="20"/>
          <w:lang w:val="es-ES_tradnl"/>
        </w:rPr>
        <w:t xml:space="preserve">[…] </w:t>
      </w:r>
      <w:r w:rsidRPr="006D076F">
        <w:rPr>
          <w:rFonts w:ascii="Arial" w:eastAsia="Times New Roman" w:hAnsi="Arial" w:cs="Arial"/>
          <w:bCs/>
          <w:sz w:val="20"/>
          <w:szCs w:val="20"/>
          <w:lang w:val="es-MX" w:eastAsia="x-none"/>
        </w:rPr>
        <w:t>ha de entenderse que, para los efectos de la Ley de Garantías Electorales y, en particular, para la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6D076F">
        <w:rPr>
          <w:rFonts w:ascii="Arial" w:eastAsia="Times New Roman" w:hAnsi="Arial" w:cs="Arial"/>
          <w:sz w:val="20"/>
          <w:szCs w:val="20"/>
          <w:vertAlign w:val="superscript"/>
          <w:lang w:eastAsia="x-none"/>
        </w:rPr>
        <w:t xml:space="preserve"> </w:t>
      </w:r>
    </w:p>
    <w:p w14:paraId="6553EDA7" w14:textId="77777777" w:rsidR="00BC5E75" w:rsidRDefault="00BC5E75" w:rsidP="00BC5E75">
      <w:pPr>
        <w:spacing w:after="0" w:line="240" w:lineRule="auto"/>
        <w:contextualSpacing/>
        <w:jc w:val="both"/>
        <w:rPr>
          <w:rFonts w:ascii="Arial" w:eastAsia="Times New Roman" w:hAnsi="Arial" w:cs="Arial"/>
          <w:bCs/>
          <w:sz w:val="20"/>
          <w:szCs w:val="20"/>
          <w:lang w:val="es-MX" w:eastAsia="x-none"/>
        </w:rPr>
      </w:pPr>
    </w:p>
    <w:p w14:paraId="5FD1026C" w14:textId="77777777" w:rsidR="00BC5E75" w:rsidRPr="006D076F" w:rsidRDefault="00BC5E75" w:rsidP="00BC5E75">
      <w:pPr>
        <w:spacing w:after="0" w:line="240" w:lineRule="auto"/>
        <w:contextualSpacing/>
        <w:jc w:val="both"/>
        <w:rPr>
          <w:rFonts w:ascii="Arial" w:eastAsia="Times New Roman" w:hAnsi="Arial" w:cs="Arial"/>
          <w:sz w:val="20"/>
          <w:szCs w:val="20"/>
          <w:lang w:eastAsia="x-none"/>
        </w:rPr>
      </w:pPr>
      <w:r w:rsidRPr="006D076F">
        <w:rPr>
          <w:rFonts w:ascii="Arial" w:eastAsia="Times New Roman" w:hAnsi="Arial" w:cs="Arial"/>
          <w:bCs/>
          <w:sz w:val="20"/>
          <w:szCs w:val="20"/>
          <w:lang w:val="es-MX" w:eastAsia="x-none"/>
        </w:rPr>
        <w:t>De lo anterior se desprende que la restricción aplica, sin perjuicio de las excepciones establecidas en la misma ley, para celebrar cualquier contrato de forma directa, esto es, sin que exista un proceso abierto y competitivo.</w:t>
      </w:r>
      <w:r w:rsidRPr="006D076F">
        <w:rPr>
          <w:rFonts w:ascii="Arial" w:eastAsia="Times New Roman" w:hAnsi="Arial" w:cs="Arial"/>
          <w:sz w:val="20"/>
          <w:szCs w:val="20"/>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las entidades públicas pueden seguir contratando bajo estos sistemas.</w:t>
      </w:r>
    </w:p>
    <w:p w14:paraId="7056D282" w14:textId="77777777" w:rsidR="00BC5E75" w:rsidRPr="002E61F7" w:rsidRDefault="00BC5E75" w:rsidP="00BC5E75">
      <w:pPr>
        <w:spacing w:after="0" w:line="240" w:lineRule="auto"/>
        <w:contextualSpacing/>
        <w:jc w:val="both"/>
        <w:rPr>
          <w:rFonts w:ascii="Arial" w:eastAsia="Times New Roman" w:hAnsi="Arial" w:cs="Arial"/>
          <w:lang w:eastAsia="x-none"/>
        </w:rPr>
      </w:pPr>
    </w:p>
    <w:p w14:paraId="4DD6A6EF" w14:textId="77777777" w:rsidR="00BC5E75" w:rsidRPr="006D076F" w:rsidRDefault="00BC5E75" w:rsidP="00BC5E75">
      <w:pPr>
        <w:tabs>
          <w:tab w:val="left" w:pos="426"/>
        </w:tabs>
        <w:spacing w:after="0" w:line="240" w:lineRule="auto"/>
        <w:contextualSpacing/>
        <w:jc w:val="both"/>
        <w:rPr>
          <w:rFonts w:ascii="Arial" w:eastAsia="Calibri" w:hAnsi="Arial" w:cs="Arial"/>
          <w:b/>
          <w:bCs/>
          <w:sz w:val="20"/>
          <w:szCs w:val="20"/>
          <w:lang w:val="es-MX"/>
        </w:rPr>
      </w:pPr>
      <w:r w:rsidRPr="002E61F7">
        <w:rPr>
          <w:rFonts w:ascii="Arial" w:eastAsia="Calibri" w:hAnsi="Arial" w:cs="Arial"/>
          <w:b/>
          <w:bCs/>
          <w:lang w:val="es-MX"/>
        </w:rPr>
        <w:t xml:space="preserve">LEY DE GARANTÍAS ELECTORALES ─ Prohibición ‒ Contratación directa ‒ </w:t>
      </w:r>
      <w:r w:rsidRPr="002E61F7">
        <w:rPr>
          <w:rFonts w:ascii="Arial" w:eastAsia="Times New Roman" w:hAnsi="Arial" w:cs="Arial"/>
          <w:b/>
          <w:bCs/>
          <w:lang w:eastAsia="es-CO"/>
        </w:rPr>
        <w:t>Excepciones</w:t>
      </w:r>
      <w:r w:rsidRPr="002E61F7">
        <w:rPr>
          <w:rFonts w:ascii="Arial" w:eastAsia="Calibri" w:hAnsi="Arial" w:cs="Arial"/>
          <w:b/>
          <w:bCs/>
          <w:lang w:val="es-MX"/>
        </w:rPr>
        <w:t xml:space="preserve"> </w:t>
      </w:r>
    </w:p>
    <w:p w14:paraId="3ECEF345" w14:textId="77777777" w:rsidR="00BC5E75" w:rsidRPr="006D076F" w:rsidRDefault="00BC5E75" w:rsidP="00BC5E75">
      <w:pPr>
        <w:tabs>
          <w:tab w:val="left" w:pos="426"/>
        </w:tabs>
        <w:spacing w:after="0" w:line="240" w:lineRule="auto"/>
        <w:contextualSpacing/>
        <w:jc w:val="both"/>
        <w:rPr>
          <w:rFonts w:ascii="Arial" w:eastAsia="Times New Roman" w:hAnsi="Arial" w:cs="Arial"/>
          <w:sz w:val="20"/>
          <w:szCs w:val="20"/>
          <w:lang w:eastAsia="x-none"/>
        </w:rPr>
      </w:pPr>
    </w:p>
    <w:p w14:paraId="24576CBE" w14:textId="77777777" w:rsidR="00BC5E75" w:rsidRDefault="00BC5E75" w:rsidP="00BC5E75">
      <w:pPr>
        <w:spacing w:after="0" w:line="240" w:lineRule="auto"/>
        <w:contextualSpacing/>
        <w:jc w:val="both"/>
        <w:rPr>
          <w:rFonts w:ascii="Arial" w:eastAsia="Times New Roman" w:hAnsi="Arial" w:cs="Arial"/>
          <w:bCs/>
          <w:sz w:val="20"/>
          <w:szCs w:val="20"/>
          <w:lang w:val="es-MX" w:eastAsia="es-CO"/>
        </w:rPr>
      </w:pPr>
      <w:r w:rsidRPr="006D076F">
        <w:rPr>
          <w:rFonts w:ascii="Arial" w:eastAsia="Calibri" w:hAnsi="Arial" w:cs="Arial"/>
          <w:noProof/>
          <w:sz w:val="20"/>
          <w:szCs w:val="20"/>
          <w:lang w:val="es-ES_tradnl"/>
        </w:rPr>
        <w:t xml:space="preserve">[…] </w:t>
      </w:r>
      <w:r w:rsidRPr="006D076F">
        <w:rPr>
          <w:rFonts w:ascii="Arial" w:eastAsia="Times New Roman" w:hAnsi="Arial" w:cs="Arial"/>
          <w:bCs/>
          <w:sz w:val="20"/>
          <w:szCs w:val="20"/>
          <w:lang w:val="es-MX" w:eastAsia="x-none"/>
        </w:rPr>
        <w:t xml:space="preserve">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w:t>
      </w:r>
      <w:r w:rsidRPr="006D076F">
        <w:rPr>
          <w:rFonts w:ascii="Arial" w:eastAsia="Times New Roman" w:hAnsi="Arial" w:cs="Arial"/>
          <w:bCs/>
          <w:sz w:val="20"/>
          <w:szCs w:val="20"/>
          <w:lang w:val="es-MX" w:eastAsia="x-none"/>
        </w:rPr>
        <w:lastRenderedPageBreak/>
        <w:t>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6D076F">
        <w:rPr>
          <w:rFonts w:ascii="Arial" w:eastAsia="Times New Roman" w:hAnsi="Arial" w:cs="Arial"/>
          <w:bCs/>
          <w:sz w:val="20"/>
          <w:szCs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48F38439" w14:textId="77777777" w:rsidR="00BC5E75" w:rsidRPr="006D076F" w:rsidRDefault="00BC5E75" w:rsidP="00BC5E75">
      <w:pPr>
        <w:spacing w:after="0" w:line="240" w:lineRule="auto"/>
        <w:contextualSpacing/>
        <w:jc w:val="both"/>
        <w:rPr>
          <w:rFonts w:ascii="Arial" w:eastAsia="Times New Roman" w:hAnsi="Arial" w:cs="Arial"/>
          <w:bCs/>
          <w:sz w:val="20"/>
          <w:szCs w:val="20"/>
          <w:lang w:val="es-MX" w:eastAsia="es-CO"/>
        </w:rPr>
      </w:pPr>
    </w:p>
    <w:p w14:paraId="41245852" w14:textId="77777777" w:rsidR="00BC5E75" w:rsidRPr="002E61F7" w:rsidRDefault="00BC5E75" w:rsidP="00BC5E75">
      <w:pPr>
        <w:spacing w:after="0" w:line="240" w:lineRule="auto"/>
        <w:contextualSpacing/>
        <w:jc w:val="both"/>
        <w:rPr>
          <w:rFonts w:ascii="Arial" w:eastAsia="Times New Roman" w:hAnsi="Arial" w:cs="Arial"/>
          <w:b/>
          <w:lang w:val="es-ES" w:eastAsia="es-CO"/>
        </w:rPr>
      </w:pPr>
      <w:r w:rsidRPr="002E61F7">
        <w:rPr>
          <w:rFonts w:ascii="Arial" w:eastAsia="Times New Roman" w:hAnsi="Arial" w:cs="Arial"/>
          <w:b/>
          <w:bCs/>
          <w:lang w:eastAsia="es-CO"/>
        </w:rPr>
        <w:t xml:space="preserve">LEY DE GARANTÍAS ELECTORALES </w:t>
      </w:r>
      <w:bookmarkStart w:id="6" w:name="_Hlk77166669"/>
      <w:r w:rsidRPr="002E61F7">
        <w:rPr>
          <w:rFonts w:ascii="Arial" w:eastAsia="Times New Roman" w:hAnsi="Arial" w:cs="Arial"/>
          <w:b/>
          <w:bCs/>
          <w:lang w:eastAsia="es-CO"/>
        </w:rPr>
        <w:t>‒</w:t>
      </w:r>
      <w:bookmarkEnd w:id="6"/>
      <w:r w:rsidRPr="002E61F7">
        <w:rPr>
          <w:rFonts w:ascii="Arial" w:eastAsia="Times New Roman" w:hAnsi="Arial" w:cs="Arial"/>
          <w:b/>
          <w:bCs/>
          <w:lang w:eastAsia="es-CO"/>
        </w:rPr>
        <w:t xml:space="preserve"> </w:t>
      </w:r>
      <w:r w:rsidRPr="002E61F7">
        <w:rPr>
          <w:rFonts w:ascii="Arial" w:eastAsia="Times New Roman" w:hAnsi="Arial" w:cs="Arial"/>
          <w:b/>
          <w:lang w:val="es-ES" w:eastAsia="es-CO"/>
        </w:rPr>
        <w:t xml:space="preserve">Prohibición del artículo 33 </w:t>
      </w:r>
      <w:r w:rsidRPr="002E61F7">
        <w:rPr>
          <w:rFonts w:ascii="Arial" w:eastAsia="Times New Roman" w:hAnsi="Arial" w:cs="Arial"/>
          <w:b/>
          <w:bCs/>
          <w:lang w:eastAsia="es-CO"/>
        </w:rPr>
        <w:t>‒ Destinatarios</w:t>
      </w:r>
    </w:p>
    <w:p w14:paraId="2A5D24EC" w14:textId="77777777" w:rsidR="00BC5E75" w:rsidRPr="006D076F" w:rsidRDefault="00BC5E75" w:rsidP="00BC5E75">
      <w:pPr>
        <w:tabs>
          <w:tab w:val="left" w:pos="426"/>
        </w:tabs>
        <w:spacing w:after="0" w:line="240" w:lineRule="auto"/>
        <w:contextualSpacing/>
        <w:jc w:val="both"/>
        <w:rPr>
          <w:rFonts w:ascii="Arial" w:eastAsia="Calibri" w:hAnsi="Arial" w:cs="Arial"/>
          <w:noProof/>
          <w:sz w:val="20"/>
          <w:szCs w:val="20"/>
          <w:lang w:val="es-ES"/>
        </w:rPr>
      </w:pPr>
    </w:p>
    <w:p w14:paraId="525E311F" w14:textId="77777777" w:rsidR="00BC5E75" w:rsidRPr="006D076F" w:rsidRDefault="00BC5E75" w:rsidP="00BC5E75">
      <w:pPr>
        <w:tabs>
          <w:tab w:val="left" w:pos="426"/>
        </w:tabs>
        <w:spacing w:after="0" w:line="240" w:lineRule="auto"/>
        <w:contextualSpacing/>
        <w:jc w:val="both"/>
        <w:rPr>
          <w:rFonts w:ascii="Arial" w:eastAsia="Times New Roman" w:hAnsi="Arial" w:cs="Arial"/>
          <w:bCs/>
          <w:sz w:val="20"/>
          <w:szCs w:val="20"/>
          <w:lang w:val="es-MX" w:eastAsia="x-none"/>
        </w:rPr>
      </w:pPr>
      <w:r w:rsidRPr="006D076F">
        <w:rPr>
          <w:rFonts w:ascii="Arial" w:eastAsia="Times New Roman" w:hAnsi="Arial" w:cs="Arial"/>
          <w:bCs/>
          <w:sz w:val="20"/>
          <w:szCs w:val="20"/>
          <w:lang w:val="es-MX"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6D076F">
        <w:rPr>
          <w:rFonts w:ascii="Arial" w:eastAsia="Calibri" w:hAnsi="Arial" w:cs="Arial"/>
          <w:sz w:val="20"/>
          <w:szCs w:val="20"/>
          <w:lang w:val="es-MX"/>
        </w:rPr>
        <w:t xml:space="preserve"> </w:t>
      </w:r>
      <w:r w:rsidRPr="006D076F">
        <w:rPr>
          <w:rFonts w:ascii="Arial" w:eastAsia="Times New Roman" w:hAnsi="Arial" w:cs="Arial"/>
          <w:bCs/>
          <w:sz w:val="20"/>
          <w:szCs w:val="20"/>
          <w:lang w:val="es-MX" w:eastAsia="x-none"/>
        </w:rPr>
        <w:t>En efecto, como ha sostenido el Consejo de Estado, el vocablo «todos» utilizado por el legislador comprende</w:t>
      </w:r>
      <w:r w:rsidRPr="006D076F">
        <w:rPr>
          <w:rFonts w:ascii="Arial" w:eastAsia="Calibri" w:hAnsi="Arial" w:cs="Arial"/>
          <w:sz w:val="20"/>
          <w:szCs w:val="20"/>
          <w:lang w:val="es-MX"/>
        </w:rPr>
        <w:t xml:space="preserve"> </w:t>
      </w:r>
      <w:r w:rsidRPr="006D076F">
        <w:rPr>
          <w:rFonts w:ascii="Arial" w:eastAsia="Times New Roman" w:hAnsi="Arial" w:cs="Arial"/>
          <w:bCs/>
          <w:sz w:val="20"/>
          <w:szCs w:val="20"/>
          <w:lang w:val="es-MX"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028F65BB" w14:textId="77777777" w:rsidR="00BC5E75" w:rsidRPr="006D076F" w:rsidRDefault="00BC5E75" w:rsidP="00BC5E75">
      <w:pPr>
        <w:tabs>
          <w:tab w:val="left" w:pos="426"/>
        </w:tabs>
        <w:spacing w:after="0" w:line="240" w:lineRule="auto"/>
        <w:contextualSpacing/>
        <w:jc w:val="both"/>
        <w:rPr>
          <w:rFonts w:ascii="Arial" w:eastAsia="Calibri" w:hAnsi="Arial" w:cs="Arial"/>
          <w:sz w:val="20"/>
          <w:szCs w:val="20"/>
          <w:lang w:val="es-MX"/>
        </w:rPr>
      </w:pPr>
    </w:p>
    <w:p w14:paraId="523E66E3" w14:textId="77777777" w:rsidR="00BC5E75" w:rsidRPr="002E61F7" w:rsidRDefault="00BC5E75" w:rsidP="00BC5E75">
      <w:pPr>
        <w:tabs>
          <w:tab w:val="left" w:pos="426"/>
        </w:tabs>
        <w:spacing w:after="0" w:line="240" w:lineRule="auto"/>
        <w:contextualSpacing/>
        <w:jc w:val="both"/>
        <w:rPr>
          <w:rFonts w:ascii="Arial" w:eastAsia="Calibri" w:hAnsi="Arial" w:cs="Arial"/>
          <w:b/>
          <w:bCs/>
          <w:lang w:val="es-MX"/>
        </w:rPr>
      </w:pPr>
      <w:r w:rsidRPr="002E61F7">
        <w:rPr>
          <w:rFonts w:ascii="Arial" w:eastAsia="Calibri" w:hAnsi="Arial" w:cs="Arial"/>
          <w:b/>
          <w:bCs/>
          <w:lang w:val="es-MX"/>
        </w:rPr>
        <w:t xml:space="preserve">LEY DE GARANTÍAS ELECTORALES ‒ Prohibición por elección de cargos populares – Convenios y contratos interadministrativos </w:t>
      </w:r>
      <w:r w:rsidRPr="002E61F7">
        <w:rPr>
          <w:rFonts w:ascii="Arial" w:eastAsia="Calibri" w:hAnsi="Arial" w:cs="Arial"/>
          <w:b/>
          <w:lang w:val="es-MX"/>
        </w:rPr>
        <w:t>– Definición – Criterio orgánico</w:t>
      </w:r>
    </w:p>
    <w:p w14:paraId="3EFDF5E6" w14:textId="77777777" w:rsidR="00BC5E75" w:rsidRPr="006D076F" w:rsidRDefault="00BC5E75" w:rsidP="00BC5E75">
      <w:pPr>
        <w:tabs>
          <w:tab w:val="left" w:pos="426"/>
        </w:tabs>
        <w:spacing w:after="0" w:line="240" w:lineRule="auto"/>
        <w:contextualSpacing/>
        <w:jc w:val="both"/>
        <w:rPr>
          <w:rFonts w:ascii="Arial" w:eastAsia="Calibri" w:hAnsi="Arial" w:cs="Arial"/>
          <w:sz w:val="20"/>
          <w:szCs w:val="20"/>
          <w:lang w:val="es-MX"/>
        </w:rPr>
      </w:pPr>
    </w:p>
    <w:p w14:paraId="2FCF4475" w14:textId="77777777" w:rsidR="00BC5E75" w:rsidRPr="006D076F" w:rsidRDefault="00BC5E75" w:rsidP="00BC5E75">
      <w:pPr>
        <w:tabs>
          <w:tab w:val="left" w:pos="426"/>
        </w:tabs>
        <w:spacing w:after="0" w:line="240" w:lineRule="auto"/>
        <w:contextualSpacing/>
        <w:jc w:val="both"/>
        <w:rPr>
          <w:rFonts w:ascii="Arial" w:eastAsia="Calibri" w:hAnsi="Arial" w:cs="Arial"/>
          <w:sz w:val="20"/>
          <w:szCs w:val="20"/>
          <w:lang w:val="es-MX"/>
        </w:rPr>
      </w:pPr>
      <w:r w:rsidRPr="006D076F">
        <w:rPr>
          <w:rFonts w:ascii="Arial" w:eastAsia="Calibri" w:hAnsi="Arial" w:cs="Arial"/>
          <w:sz w:val="20"/>
          <w:szCs w:val="20"/>
          <w:lang w:val="es-MX"/>
        </w:rPr>
        <w:t xml:space="preserve">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 </w:t>
      </w:r>
    </w:p>
    <w:p w14:paraId="3D82166B" w14:textId="77777777" w:rsidR="00BC5E75" w:rsidRPr="006D076F" w:rsidRDefault="00BC5E75" w:rsidP="00BC5E75">
      <w:pPr>
        <w:tabs>
          <w:tab w:val="left" w:pos="426"/>
        </w:tabs>
        <w:spacing w:after="0" w:line="240" w:lineRule="auto"/>
        <w:contextualSpacing/>
        <w:jc w:val="both"/>
        <w:rPr>
          <w:rFonts w:ascii="Arial" w:eastAsia="Calibri" w:hAnsi="Arial" w:cs="Arial"/>
          <w:sz w:val="20"/>
          <w:szCs w:val="20"/>
          <w:lang w:val="es-MX"/>
        </w:rPr>
      </w:pPr>
    </w:p>
    <w:p w14:paraId="42A2DF83" w14:textId="77777777" w:rsidR="00BC5E75" w:rsidRPr="006D076F" w:rsidRDefault="00BC5E75" w:rsidP="00BC5E75">
      <w:pPr>
        <w:widowControl w:val="0"/>
        <w:autoSpaceDE w:val="0"/>
        <w:autoSpaceDN w:val="0"/>
        <w:spacing w:after="0" w:line="240" w:lineRule="auto"/>
        <w:contextualSpacing/>
        <w:jc w:val="both"/>
        <w:rPr>
          <w:rFonts w:ascii="Arial" w:eastAsia="Arial" w:hAnsi="Arial" w:cs="Arial"/>
          <w:sz w:val="20"/>
          <w:szCs w:val="20"/>
          <w:lang w:val="es-ES" w:eastAsia="es-ES" w:bidi="es-ES"/>
        </w:rPr>
      </w:pPr>
      <w:r w:rsidRPr="006D076F">
        <w:rPr>
          <w:rFonts w:ascii="Arial" w:eastAsia="Calibri" w:hAnsi="Arial" w:cs="Arial"/>
          <w:sz w:val="20"/>
          <w:szCs w:val="20"/>
          <w:lang w:val="es-MX"/>
        </w:rPr>
        <w:t xml:space="preserve">[…] </w:t>
      </w:r>
      <w:r w:rsidRPr="006D076F">
        <w:rPr>
          <w:rFonts w:ascii="Arial" w:eastAsia="Calibri" w:hAnsi="Arial" w:cs="Arial"/>
          <w:bCs/>
          <w:sz w:val="20"/>
          <w:szCs w:val="20"/>
          <w:lang w:eastAsia="es-ES" w:bidi="es-ES"/>
        </w:rPr>
        <w:t xml:space="preserve">para determinar el alcance de la prohibición consagrada por la Ley de Garantías Electorales, conviene precisar la tipología de convenios o contratos interadministrativos. </w:t>
      </w:r>
      <w:r w:rsidRPr="006D076F">
        <w:rPr>
          <w:rFonts w:ascii="Arial" w:eastAsia="Arial" w:hAnsi="Arial" w:cs="Arial"/>
          <w:sz w:val="20"/>
          <w:szCs w:val="20"/>
          <w:lang w:val="es-ES" w:eastAsia="es-ES" w:bidi="es-ES"/>
        </w:rPr>
        <w:t>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6D076F">
        <w:rPr>
          <w:rFonts w:ascii="Arial" w:eastAsia="Arial" w:hAnsi="Arial" w:cs="Arial"/>
          <w:spacing w:val="-6"/>
          <w:sz w:val="20"/>
          <w:szCs w:val="20"/>
          <w:lang w:val="es-ES" w:eastAsia="es-ES" w:bidi="es-ES"/>
        </w:rPr>
        <w:t xml:space="preserve"> </w:t>
      </w:r>
      <w:r w:rsidRPr="006D076F">
        <w:rPr>
          <w:rFonts w:ascii="Arial" w:eastAsia="Arial" w:hAnsi="Arial" w:cs="Arial"/>
          <w:sz w:val="20"/>
          <w:szCs w:val="20"/>
          <w:lang w:val="es-ES" w:eastAsia="es-ES" w:bidi="es-ES"/>
        </w:rPr>
        <w:t>estatales.</w:t>
      </w:r>
    </w:p>
    <w:bookmarkEnd w:id="2"/>
    <w:p w14:paraId="7D6579DB" w14:textId="77777777" w:rsidR="00BC5E75" w:rsidRPr="006D076F" w:rsidRDefault="00BC5E75" w:rsidP="00BC5E75">
      <w:pPr>
        <w:spacing w:after="0" w:line="240" w:lineRule="auto"/>
        <w:contextualSpacing/>
        <w:jc w:val="both"/>
        <w:rPr>
          <w:rFonts w:ascii="Arial" w:eastAsia="Calibri" w:hAnsi="Arial" w:cs="Arial"/>
          <w:sz w:val="20"/>
          <w:szCs w:val="20"/>
          <w:lang w:val="es-MX"/>
        </w:rPr>
      </w:pPr>
    </w:p>
    <w:p w14:paraId="7B9ADF08" w14:textId="77777777" w:rsidR="007C773C" w:rsidRPr="006D7E12" w:rsidRDefault="007C773C">
      <w:pPr>
        <w:rPr>
          <w:rFonts w:ascii="Arial" w:eastAsia="Calibri" w:hAnsi="Arial" w:cs="Arial"/>
          <w:b/>
          <w:bCs/>
          <w:lang w:val="es-MX"/>
        </w:rPr>
      </w:pPr>
      <w:r w:rsidRPr="006D7E12">
        <w:rPr>
          <w:rFonts w:ascii="Arial" w:eastAsia="Calibri" w:hAnsi="Arial" w:cs="Arial"/>
          <w:b/>
          <w:bCs/>
          <w:lang w:val="es-MX"/>
        </w:rPr>
        <w:br w:type="page"/>
      </w:r>
    </w:p>
    <w:p w14:paraId="378826D0" w14:textId="11EFA71D" w:rsidR="00883C23" w:rsidRPr="00CB149C" w:rsidRDefault="00883C23" w:rsidP="00CB149C">
      <w:pPr>
        <w:spacing w:after="0" w:line="276" w:lineRule="auto"/>
        <w:jc w:val="right"/>
        <w:rPr>
          <w:rFonts w:ascii="Arial" w:eastAsia="Calibri" w:hAnsi="Arial" w:cs="Arial"/>
          <w:b/>
          <w:bCs/>
          <w:sz w:val="16"/>
          <w:szCs w:val="16"/>
        </w:rPr>
      </w:pPr>
      <w:r w:rsidRPr="006D7E12">
        <w:rPr>
          <w:rFonts w:ascii="Arial" w:eastAsia="Times New Roman" w:hAnsi="Arial" w:cs="Arial"/>
          <w:b/>
          <w:bCs/>
          <w:sz w:val="16"/>
          <w:szCs w:val="16"/>
          <w:lang w:eastAsia="es-ES"/>
        </w:rPr>
        <w:lastRenderedPageBreak/>
        <w:t>CCE-DES-FM-17</w:t>
      </w:r>
    </w:p>
    <w:p w14:paraId="25AAA676" w14:textId="633DC6BB" w:rsidR="00B918D9" w:rsidRDefault="00B918D9" w:rsidP="004A36F9">
      <w:pPr>
        <w:spacing w:after="0" w:line="240" w:lineRule="auto"/>
        <w:rPr>
          <w:rFonts w:ascii="Arial" w:eastAsia="Calibri" w:hAnsi="Arial" w:cs="Arial"/>
        </w:rPr>
      </w:pPr>
      <w:bookmarkStart w:id="7" w:name="_Hlk96417464"/>
      <w:bookmarkStart w:id="8" w:name="_Hlk100170951"/>
    </w:p>
    <w:p w14:paraId="66363838" w14:textId="77777777" w:rsidR="00B918D9" w:rsidRDefault="00B918D9" w:rsidP="00883C23">
      <w:pPr>
        <w:spacing w:after="0" w:line="240" w:lineRule="auto"/>
        <w:jc w:val="both"/>
        <w:rPr>
          <w:rFonts w:ascii="Arial" w:eastAsia="Calibri" w:hAnsi="Arial" w:cs="Arial"/>
        </w:rPr>
      </w:pPr>
    </w:p>
    <w:p w14:paraId="661322B5" w14:textId="5E5BB1CE" w:rsidR="00B918D9" w:rsidRDefault="00B918D9" w:rsidP="00883C23">
      <w:pPr>
        <w:spacing w:after="0" w:line="240" w:lineRule="auto"/>
        <w:jc w:val="both"/>
        <w:rPr>
          <w:rFonts w:ascii="Arial" w:eastAsia="Calibri" w:hAnsi="Arial" w:cs="Arial"/>
        </w:rPr>
      </w:pPr>
    </w:p>
    <w:p w14:paraId="6E19EE3C" w14:textId="7BC3F900" w:rsidR="00EC2FF6" w:rsidRDefault="00EC2FF6" w:rsidP="00EC2FF6">
      <w:pPr>
        <w:spacing w:after="0" w:line="240" w:lineRule="auto"/>
        <w:jc w:val="right"/>
        <w:rPr>
          <w:rFonts w:ascii="Arial" w:eastAsia="Calibri" w:hAnsi="Arial" w:cs="Arial"/>
        </w:rPr>
      </w:pPr>
      <w:r>
        <w:rPr>
          <w:noProof/>
          <w:lang w:eastAsia="es-CO"/>
        </w:rPr>
        <w:drawing>
          <wp:inline distT="0" distB="0" distL="0" distR="0" wp14:anchorId="28346FBC" wp14:editId="0D033D3C">
            <wp:extent cx="2996867" cy="78718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8468" t="50346" r="18654" b="24963"/>
                    <a:stretch/>
                  </pic:blipFill>
                  <pic:spPr bwMode="auto">
                    <a:xfrm>
                      <a:off x="0" y="0"/>
                      <a:ext cx="2998800" cy="787688"/>
                    </a:xfrm>
                    <a:prstGeom prst="rect">
                      <a:avLst/>
                    </a:prstGeom>
                    <a:ln>
                      <a:noFill/>
                    </a:ln>
                    <a:extLst>
                      <a:ext uri="{53640926-AAD7-44D8-BBD7-CCE9431645EC}">
                        <a14:shadowObscured xmlns:a14="http://schemas.microsoft.com/office/drawing/2010/main"/>
                      </a:ext>
                    </a:extLst>
                  </pic:spPr>
                </pic:pic>
              </a:graphicData>
            </a:graphic>
          </wp:inline>
        </w:drawing>
      </w:r>
    </w:p>
    <w:p w14:paraId="5F68988B" w14:textId="77777777" w:rsidR="00BD0742" w:rsidRDefault="00BD0742" w:rsidP="00BD0742">
      <w:pPr>
        <w:spacing w:after="0" w:line="240" w:lineRule="auto"/>
        <w:jc w:val="both"/>
        <w:rPr>
          <w:rFonts w:ascii="Arial" w:eastAsia="Calibri" w:hAnsi="Arial" w:cs="Arial"/>
        </w:rPr>
      </w:pPr>
      <w:r>
        <w:rPr>
          <w:rFonts w:ascii="Arial" w:eastAsia="Calibri" w:hAnsi="Arial" w:cs="Arial"/>
        </w:rPr>
        <w:t>Bogotá, 17 junio 2022</w:t>
      </w:r>
    </w:p>
    <w:p w14:paraId="07D05C10" w14:textId="77777777" w:rsidR="00BD0742" w:rsidRDefault="00BD0742" w:rsidP="00883C23">
      <w:pPr>
        <w:spacing w:after="0" w:line="240" w:lineRule="auto"/>
        <w:jc w:val="both"/>
        <w:rPr>
          <w:rFonts w:ascii="Arial" w:eastAsia="Calibri" w:hAnsi="Arial" w:cs="Arial"/>
        </w:rPr>
      </w:pPr>
    </w:p>
    <w:p w14:paraId="706FBDFB" w14:textId="36E29F2B" w:rsidR="00883C23" w:rsidRPr="006D7E12" w:rsidRDefault="00C30423" w:rsidP="00883C23">
      <w:pPr>
        <w:spacing w:after="0" w:line="240" w:lineRule="auto"/>
        <w:jc w:val="both"/>
        <w:rPr>
          <w:rFonts w:ascii="Arial" w:eastAsia="Calibri" w:hAnsi="Arial" w:cs="Arial"/>
        </w:rPr>
      </w:pPr>
      <w:r>
        <w:rPr>
          <w:rFonts w:ascii="Arial" w:eastAsia="Calibri" w:hAnsi="Arial" w:cs="Arial"/>
        </w:rPr>
        <w:t>Señor</w:t>
      </w:r>
      <w:r w:rsidR="00B95EB6">
        <w:rPr>
          <w:rFonts w:ascii="Arial" w:eastAsia="Calibri" w:hAnsi="Arial" w:cs="Arial"/>
        </w:rPr>
        <w:t>a</w:t>
      </w:r>
    </w:p>
    <w:p w14:paraId="09D8468A" w14:textId="20A25EF7" w:rsidR="00883C23" w:rsidRPr="006D7E12" w:rsidRDefault="00B95EB6" w:rsidP="00B95EB6">
      <w:pPr>
        <w:spacing w:after="0" w:line="240" w:lineRule="auto"/>
        <w:rPr>
          <w:rFonts w:ascii="Arial" w:eastAsia="Calibri" w:hAnsi="Arial" w:cs="Arial"/>
          <w:b/>
        </w:rPr>
      </w:pPr>
      <w:r w:rsidRPr="00B95EB6">
        <w:rPr>
          <w:rFonts w:ascii="Arial" w:eastAsia="Calibri" w:hAnsi="Arial" w:cs="Arial"/>
          <w:b/>
        </w:rPr>
        <w:t>Juliana Mayerly</w:t>
      </w:r>
      <w:r>
        <w:rPr>
          <w:rFonts w:ascii="Arial" w:eastAsia="Calibri" w:hAnsi="Arial" w:cs="Arial"/>
          <w:b/>
        </w:rPr>
        <w:t xml:space="preserve"> </w:t>
      </w:r>
      <w:r w:rsidRPr="00B95EB6">
        <w:rPr>
          <w:rFonts w:ascii="Arial" w:eastAsia="Calibri" w:hAnsi="Arial" w:cs="Arial"/>
          <w:b/>
        </w:rPr>
        <w:t>Bossa Quintero</w:t>
      </w:r>
    </w:p>
    <w:p w14:paraId="4916D574" w14:textId="537B5191" w:rsidR="00883C23" w:rsidRPr="006D7E12" w:rsidRDefault="00643B0C" w:rsidP="00883C23">
      <w:pPr>
        <w:spacing w:after="0" w:line="240" w:lineRule="auto"/>
        <w:jc w:val="both"/>
        <w:rPr>
          <w:rFonts w:ascii="Arial" w:eastAsia="Calibri" w:hAnsi="Arial" w:cs="Arial"/>
        </w:rPr>
      </w:pPr>
      <w:r>
        <w:rPr>
          <w:rFonts w:ascii="Arial" w:eastAsia="Calibri" w:hAnsi="Arial" w:cs="Arial"/>
        </w:rPr>
        <w:t>Bogotá D.C.</w:t>
      </w:r>
      <w:r w:rsidR="00883C23" w:rsidRPr="006D7E12">
        <w:rPr>
          <w:rFonts w:ascii="Arial" w:eastAsia="Calibri" w:hAnsi="Arial" w:cs="Arial"/>
        </w:rPr>
        <w:t xml:space="preserve"> </w:t>
      </w:r>
    </w:p>
    <w:p w14:paraId="42E4525C" w14:textId="77777777" w:rsidR="00CB149C" w:rsidRPr="006D7E12" w:rsidRDefault="00CB149C" w:rsidP="00883C23">
      <w:pPr>
        <w:spacing w:after="0" w:line="240" w:lineRule="auto"/>
        <w:jc w:val="both"/>
        <w:rPr>
          <w:rFonts w:ascii="Arial" w:eastAsia="Calibri" w:hAnsi="Arial" w:cs="Arial"/>
        </w:rPr>
      </w:pPr>
    </w:p>
    <w:p w14:paraId="1ADBFDD5" w14:textId="77777777" w:rsidR="00883C23" w:rsidRPr="006D7E12" w:rsidRDefault="00883C23" w:rsidP="00883C23">
      <w:pPr>
        <w:spacing w:after="0" w:line="240" w:lineRule="auto"/>
        <w:jc w:val="both"/>
        <w:rPr>
          <w:rFonts w:ascii="Arial" w:eastAsia="Calibri" w:hAnsi="Arial" w:cs="Arial"/>
        </w:rPr>
      </w:pPr>
    </w:p>
    <w:p w14:paraId="04A59977" w14:textId="79BA8ACE" w:rsidR="00883C23" w:rsidRPr="006D7E12" w:rsidRDefault="00883C23" w:rsidP="00883C23">
      <w:pPr>
        <w:spacing w:after="0" w:line="240" w:lineRule="auto"/>
        <w:jc w:val="both"/>
        <w:rPr>
          <w:rFonts w:ascii="Arial" w:eastAsia="Calibri" w:hAnsi="Arial" w:cs="Arial"/>
        </w:rPr>
      </w:pPr>
      <w:r w:rsidRPr="006D7E12">
        <w:rPr>
          <w:rFonts w:ascii="Arial" w:eastAsia="Calibri" w:hAnsi="Arial" w:cs="Arial"/>
        </w:rPr>
        <w:t xml:space="preserve">                                            </w:t>
      </w:r>
      <w:r w:rsidRPr="006D7E12">
        <w:rPr>
          <w:rFonts w:ascii="Arial" w:eastAsia="Calibri" w:hAnsi="Arial" w:cs="Arial"/>
          <w:b/>
        </w:rPr>
        <w:t xml:space="preserve">Concepto C – </w:t>
      </w:r>
      <w:r w:rsidR="00B95EB6">
        <w:rPr>
          <w:rFonts w:ascii="Arial" w:eastAsia="Calibri" w:hAnsi="Arial" w:cs="Arial"/>
          <w:b/>
        </w:rPr>
        <w:t>300</w:t>
      </w:r>
      <w:r w:rsidRPr="006D7E12">
        <w:rPr>
          <w:rFonts w:ascii="Arial" w:eastAsia="Calibri" w:hAnsi="Arial" w:cs="Arial"/>
          <w:b/>
        </w:rPr>
        <w:t xml:space="preserve"> de 2022</w:t>
      </w:r>
      <w:r w:rsidRPr="006D7E12">
        <w:rPr>
          <w:rFonts w:ascii="Arial" w:eastAsia="Calibri" w:hAnsi="Arial" w:cs="Arial"/>
        </w:rPr>
        <w:t xml:space="preserve"> </w:t>
      </w:r>
    </w:p>
    <w:p w14:paraId="5FFD2FD6" w14:textId="77777777" w:rsidR="00883C23" w:rsidRPr="006D7E12" w:rsidRDefault="00883C23" w:rsidP="00883C23">
      <w:pPr>
        <w:spacing w:after="0" w:line="240" w:lineRule="auto"/>
        <w:jc w:val="both"/>
        <w:rPr>
          <w:rFonts w:ascii="Arial" w:eastAsia="Calibri" w:hAnsi="Arial" w:cs="Arial"/>
          <w:b/>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370B6" w:rsidRPr="006D7E12" w14:paraId="2218F9C4" w14:textId="77777777" w:rsidTr="00301B6D">
        <w:trPr>
          <w:trHeight w:val="485"/>
        </w:trPr>
        <w:tc>
          <w:tcPr>
            <w:tcW w:w="2689" w:type="dxa"/>
            <w:hideMark/>
          </w:tcPr>
          <w:p w14:paraId="0F211B22" w14:textId="77777777" w:rsidR="00883C23" w:rsidRPr="006D7E12" w:rsidRDefault="00883C23" w:rsidP="00883C23">
            <w:pPr>
              <w:contextualSpacing/>
              <w:rPr>
                <w:rFonts w:ascii="Arial" w:eastAsia="Calibri" w:hAnsi="Arial" w:cs="Arial"/>
                <w:noProof/>
                <w:lang w:val="es-ES_tradnl"/>
              </w:rPr>
            </w:pPr>
            <w:r w:rsidRPr="006D7E12">
              <w:rPr>
                <w:rFonts w:ascii="Arial" w:eastAsia="Calibri" w:hAnsi="Arial" w:cs="Arial"/>
                <w:b/>
                <w:noProof/>
                <w:lang w:val="es-ES_tradnl"/>
              </w:rPr>
              <w:t>Temas:</w:t>
            </w:r>
            <w:r w:rsidRPr="006D7E12">
              <w:rPr>
                <w:rFonts w:ascii="Arial" w:eastAsia="Calibri" w:hAnsi="Arial" w:cs="Arial"/>
                <w:noProof/>
                <w:lang w:val="es-ES_tradnl"/>
              </w:rPr>
              <w:t xml:space="preserve">        </w:t>
            </w:r>
          </w:p>
        </w:tc>
        <w:tc>
          <w:tcPr>
            <w:tcW w:w="6237" w:type="dxa"/>
            <w:hideMark/>
          </w:tcPr>
          <w:p w14:paraId="660FAC4E" w14:textId="2B455462" w:rsidR="00647E66" w:rsidRPr="006D7E12" w:rsidRDefault="00647E66" w:rsidP="001D6442">
            <w:pPr>
              <w:tabs>
                <w:tab w:val="left" w:pos="426"/>
              </w:tabs>
              <w:contextualSpacing/>
              <w:jc w:val="both"/>
              <w:rPr>
                <w:rFonts w:ascii="Arial" w:eastAsia="Calibri" w:hAnsi="Arial" w:cs="Arial"/>
                <w:lang w:val="es-MX"/>
              </w:rPr>
            </w:pPr>
            <w:r w:rsidRPr="006D7E12">
              <w:rPr>
                <w:rFonts w:ascii="Arial" w:eastAsia="Calibri" w:hAnsi="Arial" w:cs="Arial"/>
                <w:lang w:val="es-MX"/>
              </w:rPr>
              <w:t xml:space="preserve">LEY DE GARANTÍAS ELECTORALES ‒ Finalidad / LEY DE GARANTÍAS ELECTORALES ‒ Tipos de restricciones ‒ Ámbito temporal / LEY DE GARANTÍAS ELECTORALES ─ Prohibición ‒ Contratación directa ‒ Alcance / LEY DE GARANTÍAS ELECTORALES ─ Prohibición ‒ Contratación directa ‒ </w:t>
            </w:r>
            <w:r w:rsidRPr="006D7E12">
              <w:rPr>
                <w:rFonts w:ascii="Arial" w:eastAsia="Times New Roman" w:hAnsi="Arial" w:cs="Arial"/>
                <w:lang w:eastAsia="es-CO"/>
              </w:rPr>
              <w:t xml:space="preserve">Excepciones / LEY DE GARANTÍAS ELECTORALES ‒ </w:t>
            </w:r>
            <w:r w:rsidRPr="006D7E12">
              <w:rPr>
                <w:rFonts w:ascii="Arial" w:eastAsia="Times New Roman" w:hAnsi="Arial" w:cs="Arial"/>
                <w:lang w:val="es-ES" w:eastAsia="es-CO"/>
              </w:rPr>
              <w:t xml:space="preserve">Prohibición del artículo 33 </w:t>
            </w:r>
            <w:r w:rsidRPr="006D7E12">
              <w:rPr>
                <w:rFonts w:ascii="Arial" w:eastAsia="Times New Roman" w:hAnsi="Arial" w:cs="Arial"/>
                <w:lang w:eastAsia="es-CO"/>
              </w:rPr>
              <w:t xml:space="preserve">‒ Destinatarios / </w:t>
            </w:r>
            <w:r w:rsidRPr="006D7E12">
              <w:rPr>
                <w:rFonts w:ascii="Arial" w:eastAsia="Calibri" w:hAnsi="Arial" w:cs="Arial"/>
                <w:lang w:val="es-MX"/>
              </w:rPr>
              <w:t xml:space="preserve">LEY DE GARANTÍAS ELECTORALES ‒ Prohibición por elección de cargos populares – Convenios y contratos interadministrativos – Definición – Criterio orgánico / CONTRATOS Y CONVENIOS INTERADMINISTRATIVOS – Modalidad de selección </w:t>
            </w:r>
          </w:p>
          <w:p w14:paraId="7A54573B" w14:textId="4F95C6A9" w:rsidR="00647E66" w:rsidRPr="006D7E12" w:rsidRDefault="00647E66" w:rsidP="00647E66">
            <w:pPr>
              <w:tabs>
                <w:tab w:val="left" w:pos="426"/>
              </w:tabs>
              <w:contextualSpacing/>
              <w:jc w:val="both"/>
              <w:rPr>
                <w:rFonts w:ascii="Arial" w:eastAsia="Calibri" w:hAnsi="Arial" w:cs="Arial"/>
                <w:sz w:val="12"/>
                <w:szCs w:val="12"/>
                <w:lang w:val="es-MX"/>
              </w:rPr>
            </w:pPr>
          </w:p>
          <w:p w14:paraId="0BA70935" w14:textId="77777777" w:rsidR="00883C23" w:rsidRPr="006D7E12" w:rsidRDefault="00883C23" w:rsidP="00883C23">
            <w:pPr>
              <w:spacing w:after="120"/>
              <w:rPr>
                <w:rFonts w:ascii="Arial" w:eastAsia="Calibri" w:hAnsi="Arial" w:cs="Arial"/>
                <w:lang w:val="es-MX"/>
              </w:rPr>
            </w:pPr>
          </w:p>
        </w:tc>
      </w:tr>
      <w:tr w:rsidR="000370B6" w:rsidRPr="006D7E12" w14:paraId="222FEFA6" w14:textId="77777777" w:rsidTr="00301B6D">
        <w:tc>
          <w:tcPr>
            <w:tcW w:w="2689" w:type="dxa"/>
          </w:tcPr>
          <w:p w14:paraId="3332A0EE" w14:textId="77777777" w:rsidR="00883C23" w:rsidRPr="006D7E12" w:rsidRDefault="00883C23" w:rsidP="00883C23">
            <w:pPr>
              <w:contextualSpacing/>
              <w:rPr>
                <w:rFonts w:ascii="Arial" w:eastAsia="Calibri" w:hAnsi="Arial" w:cs="Arial"/>
                <w:b/>
                <w:noProof/>
                <w:lang w:val="es-ES_tradnl"/>
              </w:rPr>
            </w:pPr>
            <w:r w:rsidRPr="006D7E12">
              <w:rPr>
                <w:rFonts w:ascii="Arial" w:eastAsia="Calibri" w:hAnsi="Arial" w:cs="Arial"/>
                <w:b/>
                <w:noProof/>
                <w:lang w:val="es-ES_tradnl"/>
              </w:rPr>
              <w:t>Radicación:</w:t>
            </w:r>
            <w:r w:rsidRPr="006D7E12">
              <w:rPr>
                <w:rFonts w:ascii="Arial" w:eastAsia="Calibri" w:hAnsi="Arial" w:cs="Arial"/>
                <w:noProof/>
                <w:lang w:val="es-ES_tradnl"/>
              </w:rPr>
              <w:t xml:space="preserve">                              </w:t>
            </w:r>
          </w:p>
        </w:tc>
        <w:tc>
          <w:tcPr>
            <w:tcW w:w="6237" w:type="dxa"/>
          </w:tcPr>
          <w:p w14:paraId="3854A44D" w14:textId="1BDBA582" w:rsidR="00883C23" w:rsidRPr="006D7E12" w:rsidRDefault="00883C23" w:rsidP="00883C23">
            <w:pPr>
              <w:contextualSpacing/>
              <w:jc w:val="both"/>
              <w:rPr>
                <w:rFonts w:ascii="Arial" w:eastAsia="Calibri" w:hAnsi="Arial" w:cs="Arial"/>
                <w:noProof/>
                <w:lang w:val="es-ES_tradnl"/>
              </w:rPr>
            </w:pPr>
            <w:r w:rsidRPr="006D7E12">
              <w:rPr>
                <w:rFonts w:ascii="Arial" w:eastAsia="Calibri" w:hAnsi="Arial" w:cs="Arial"/>
                <w:noProof/>
                <w:lang w:val="es-ES_tradnl"/>
              </w:rPr>
              <w:t xml:space="preserve">Respuesta a </w:t>
            </w:r>
            <w:r w:rsidR="00643B0C">
              <w:rPr>
                <w:rFonts w:ascii="Arial" w:eastAsia="Calibri" w:hAnsi="Arial" w:cs="Arial"/>
                <w:noProof/>
                <w:lang w:val="es-ES_tradnl"/>
              </w:rPr>
              <w:t xml:space="preserve">la </w:t>
            </w:r>
            <w:r w:rsidRPr="006D7E12">
              <w:rPr>
                <w:rFonts w:ascii="Arial" w:eastAsia="Calibri" w:hAnsi="Arial" w:cs="Arial"/>
                <w:noProof/>
                <w:lang w:val="es-ES_tradnl"/>
              </w:rPr>
              <w:t>consulta</w:t>
            </w:r>
            <w:r w:rsidR="00480975">
              <w:rPr>
                <w:rFonts w:ascii="Arial" w:eastAsia="Calibri" w:hAnsi="Arial" w:cs="Arial"/>
                <w:noProof/>
                <w:lang w:val="es-ES_tradnl"/>
              </w:rPr>
              <w:t xml:space="preserve"> </w:t>
            </w:r>
            <w:r w:rsidR="00847981" w:rsidRPr="00847981">
              <w:rPr>
                <w:rFonts w:ascii="Arial" w:eastAsia="Calibri" w:hAnsi="Arial" w:cs="Arial"/>
                <w:noProof/>
                <w:lang w:val="es-ES_tradnl"/>
              </w:rPr>
              <w:t>P20220330003195</w:t>
            </w:r>
          </w:p>
        </w:tc>
      </w:tr>
    </w:tbl>
    <w:p w14:paraId="24096655" w14:textId="77777777" w:rsidR="00883C23" w:rsidRPr="006D7E12" w:rsidRDefault="00883C23" w:rsidP="00883C23">
      <w:pPr>
        <w:spacing w:after="0" w:line="240" w:lineRule="auto"/>
        <w:jc w:val="both"/>
        <w:rPr>
          <w:rFonts w:ascii="Arial" w:eastAsia="Calibri" w:hAnsi="Arial" w:cs="Arial"/>
        </w:rPr>
      </w:pPr>
    </w:p>
    <w:p w14:paraId="17A7991B" w14:textId="77777777" w:rsidR="00883C23" w:rsidRPr="006D7E12" w:rsidRDefault="00883C23" w:rsidP="00883C23">
      <w:pPr>
        <w:spacing w:after="0" w:line="240" w:lineRule="auto"/>
        <w:contextualSpacing/>
        <w:jc w:val="both"/>
        <w:rPr>
          <w:rFonts w:ascii="Arial" w:eastAsia="Calibri" w:hAnsi="Arial" w:cs="Arial"/>
        </w:rPr>
      </w:pPr>
    </w:p>
    <w:p w14:paraId="13A96C90" w14:textId="604A29A9" w:rsidR="00883C23" w:rsidRPr="006D7E12" w:rsidRDefault="00883C23" w:rsidP="00883C23">
      <w:pPr>
        <w:spacing w:after="0" w:line="276" w:lineRule="auto"/>
        <w:contextualSpacing/>
        <w:jc w:val="both"/>
        <w:rPr>
          <w:rFonts w:ascii="Arial" w:eastAsia="Calibri" w:hAnsi="Arial" w:cs="Arial"/>
        </w:rPr>
      </w:pPr>
      <w:r w:rsidRPr="006D7E12">
        <w:rPr>
          <w:rFonts w:ascii="Arial" w:eastAsia="Calibri" w:hAnsi="Arial" w:cs="Arial"/>
        </w:rPr>
        <w:t>Estimad</w:t>
      </w:r>
      <w:r w:rsidR="00847981">
        <w:rPr>
          <w:rFonts w:ascii="Arial" w:eastAsia="Calibri" w:hAnsi="Arial" w:cs="Arial"/>
        </w:rPr>
        <w:t>a</w:t>
      </w:r>
      <w:r w:rsidRPr="006D7E12">
        <w:rPr>
          <w:rFonts w:ascii="Arial" w:eastAsia="Calibri" w:hAnsi="Arial" w:cs="Arial"/>
        </w:rPr>
        <w:t xml:space="preserve"> señor</w:t>
      </w:r>
      <w:r w:rsidR="00847981">
        <w:rPr>
          <w:rFonts w:ascii="Arial" w:eastAsia="Calibri" w:hAnsi="Arial" w:cs="Arial"/>
        </w:rPr>
        <w:t>a</w:t>
      </w:r>
      <w:r w:rsidR="000370B6" w:rsidRPr="006D7E12">
        <w:rPr>
          <w:rFonts w:ascii="Arial" w:eastAsia="Calibri" w:hAnsi="Arial" w:cs="Arial"/>
        </w:rPr>
        <w:t xml:space="preserve"> </w:t>
      </w:r>
      <w:r w:rsidR="00847981" w:rsidRPr="00847981">
        <w:rPr>
          <w:rFonts w:ascii="Arial" w:eastAsia="Calibri" w:hAnsi="Arial" w:cs="Arial"/>
        </w:rPr>
        <w:t>Bossa Quintero</w:t>
      </w:r>
      <w:r w:rsidRPr="006D7E12">
        <w:rPr>
          <w:rFonts w:ascii="Arial" w:eastAsia="Calibri" w:hAnsi="Arial" w:cs="Arial"/>
        </w:rPr>
        <w:t>:</w:t>
      </w:r>
    </w:p>
    <w:p w14:paraId="65B69C4A" w14:textId="77777777" w:rsidR="00883C23" w:rsidRPr="006D7E12" w:rsidRDefault="00883C23" w:rsidP="00883C23">
      <w:pPr>
        <w:spacing w:after="0" w:line="276" w:lineRule="auto"/>
        <w:ind w:firstLine="709"/>
        <w:contextualSpacing/>
        <w:jc w:val="both"/>
        <w:rPr>
          <w:rFonts w:ascii="Arial" w:eastAsia="Calibri" w:hAnsi="Arial" w:cs="Arial"/>
        </w:rPr>
      </w:pPr>
    </w:p>
    <w:p w14:paraId="2996A3C4" w14:textId="41F8C719" w:rsidR="00883C23" w:rsidRPr="006D7E12" w:rsidRDefault="00883C23" w:rsidP="00883C23">
      <w:pPr>
        <w:spacing w:after="0" w:line="276" w:lineRule="auto"/>
        <w:ind w:right="51"/>
        <w:contextualSpacing/>
        <w:jc w:val="both"/>
        <w:rPr>
          <w:rFonts w:ascii="Arial" w:eastAsia="Calibri" w:hAnsi="Arial" w:cs="Arial"/>
        </w:rPr>
      </w:pPr>
      <w:r w:rsidRPr="006D7E12">
        <w:rPr>
          <w:rFonts w:ascii="Arial" w:eastAsia="Calibri" w:hAnsi="Arial" w:cs="Arial"/>
        </w:rPr>
        <w:t xml:space="preserve">En ejercicio de la competencia otorgada por el numeral 8 del artículo 11 y el numeral 5 del artículo 3 del Decreto Ley 4170 de 2011, la Agencia Nacional de Contratación Pública – Colombia Compra Eficiente responde la consulta radicada el </w:t>
      </w:r>
      <w:r w:rsidR="004162B2">
        <w:rPr>
          <w:rFonts w:ascii="Arial" w:eastAsia="Calibri" w:hAnsi="Arial" w:cs="Arial"/>
        </w:rPr>
        <w:t>23</w:t>
      </w:r>
      <w:r w:rsidR="00583170">
        <w:rPr>
          <w:rFonts w:ascii="Arial" w:eastAsia="Calibri" w:hAnsi="Arial" w:cs="Arial"/>
        </w:rPr>
        <w:t xml:space="preserve"> de marzo de</w:t>
      </w:r>
      <w:r w:rsidRPr="006D7E12">
        <w:rPr>
          <w:rFonts w:ascii="Arial" w:eastAsia="Calibri" w:hAnsi="Arial" w:cs="Arial"/>
        </w:rPr>
        <w:t xml:space="preserve"> 2022</w:t>
      </w:r>
      <w:r w:rsidR="004162B2">
        <w:rPr>
          <w:rFonts w:ascii="Arial" w:eastAsia="Calibri" w:hAnsi="Arial" w:cs="Arial"/>
        </w:rPr>
        <w:t xml:space="preserve">, </w:t>
      </w:r>
      <w:r w:rsidR="004474EA">
        <w:rPr>
          <w:rFonts w:ascii="Arial" w:eastAsia="Calibri" w:hAnsi="Arial" w:cs="Arial"/>
        </w:rPr>
        <w:t xml:space="preserve">cuya pregunta número 1 –conforme al artículo </w:t>
      </w:r>
      <w:r w:rsidR="00712005">
        <w:rPr>
          <w:rFonts w:ascii="Arial" w:eastAsia="Calibri" w:hAnsi="Arial" w:cs="Arial"/>
        </w:rPr>
        <w:t>21 de la Ley 1437 de 2011</w:t>
      </w:r>
      <w:r w:rsidR="00211598">
        <w:rPr>
          <w:rFonts w:ascii="Arial" w:eastAsia="Calibri" w:hAnsi="Arial" w:cs="Arial"/>
        </w:rPr>
        <w:t>– fue remitida a esta entidad por el Departamento Administrativo de la Función Pública</w:t>
      </w:r>
      <w:r w:rsidR="00CD64EF">
        <w:rPr>
          <w:rFonts w:ascii="Arial" w:eastAsia="Calibri" w:hAnsi="Arial" w:cs="Arial"/>
        </w:rPr>
        <w:t xml:space="preserve"> mediante</w:t>
      </w:r>
      <w:r w:rsidR="001D4F3D">
        <w:rPr>
          <w:rFonts w:ascii="Arial" w:eastAsia="Calibri" w:hAnsi="Arial" w:cs="Arial"/>
        </w:rPr>
        <w:t xml:space="preserve"> oficio </w:t>
      </w:r>
      <w:r w:rsidR="002B2DA9" w:rsidRPr="002B2DA9">
        <w:rPr>
          <w:rFonts w:ascii="Arial" w:eastAsia="Calibri" w:hAnsi="Arial" w:cs="Arial"/>
        </w:rPr>
        <w:t>20222040128631</w:t>
      </w:r>
      <w:r w:rsidR="002B2DA9">
        <w:rPr>
          <w:rFonts w:ascii="Arial" w:eastAsia="Calibri" w:hAnsi="Arial" w:cs="Arial"/>
        </w:rPr>
        <w:t xml:space="preserve"> del 30 de marzo de 2022</w:t>
      </w:r>
      <w:r w:rsidRPr="006D7E12">
        <w:rPr>
          <w:rFonts w:ascii="Arial" w:eastAsia="Calibri" w:hAnsi="Arial" w:cs="Arial"/>
        </w:rPr>
        <w:t xml:space="preserve">. </w:t>
      </w:r>
    </w:p>
    <w:p w14:paraId="13156ABA" w14:textId="77777777" w:rsidR="00883C23" w:rsidRPr="006D7E12" w:rsidRDefault="00883C23" w:rsidP="00883C23">
      <w:pPr>
        <w:spacing w:after="0" w:line="276" w:lineRule="auto"/>
        <w:contextualSpacing/>
        <w:jc w:val="both"/>
        <w:rPr>
          <w:rFonts w:ascii="Arial" w:eastAsia="Calibri" w:hAnsi="Arial" w:cs="Arial"/>
        </w:rPr>
      </w:pPr>
    </w:p>
    <w:p w14:paraId="37AC10DA" w14:textId="77777777" w:rsidR="00883C23" w:rsidRPr="006D7E12" w:rsidRDefault="00883C23" w:rsidP="00883C23">
      <w:pPr>
        <w:tabs>
          <w:tab w:val="left" w:pos="284"/>
        </w:tabs>
        <w:spacing w:after="0" w:line="276" w:lineRule="auto"/>
        <w:contextualSpacing/>
        <w:jc w:val="both"/>
        <w:rPr>
          <w:rFonts w:ascii="Arial" w:eastAsia="Calibri" w:hAnsi="Arial" w:cs="Arial"/>
          <w:b/>
        </w:rPr>
      </w:pPr>
      <w:r w:rsidRPr="006D7E12">
        <w:rPr>
          <w:rFonts w:ascii="Arial" w:eastAsia="Calibri" w:hAnsi="Arial" w:cs="Arial"/>
          <w:b/>
        </w:rPr>
        <w:lastRenderedPageBreak/>
        <w:t xml:space="preserve">1. Problema planteado </w:t>
      </w:r>
    </w:p>
    <w:p w14:paraId="5F0F4646" w14:textId="77777777" w:rsidR="00883C23" w:rsidRPr="006D7E12" w:rsidRDefault="00883C23" w:rsidP="00883C23">
      <w:pPr>
        <w:tabs>
          <w:tab w:val="left" w:pos="284"/>
        </w:tabs>
        <w:spacing w:after="0" w:line="276" w:lineRule="auto"/>
        <w:ind w:firstLine="709"/>
        <w:contextualSpacing/>
        <w:jc w:val="both"/>
        <w:rPr>
          <w:rFonts w:ascii="Arial" w:eastAsia="Calibri" w:hAnsi="Arial" w:cs="Arial"/>
          <w:b/>
        </w:rPr>
      </w:pPr>
    </w:p>
    <w:p w14:paraId="6807C56B" w14:textId="5C3F10D9" w:rsidR="00883C23" w:rsidRPr="006D7E12" w:rsidRDefault="00883C23" w:rsidP="00F768FE">
      <w:pPr>
        <w:spacing w:after="0" w:line="276" w:lineRule="auto"/>
        <w:contextualSpacing/>
        <w:jc w:val="both"/>
        <w:rPr>
          <w:rFonts w:ascii="Arial" w:eastAsia="Times New Roman" w:hAnsi="Arial" w:cs="Arial"/>
          <w:lang w:eastAsia="es-ES_tradnl"/>
        </w:rPr>
      </w:pPr>
      <w:bookmarkStart w:id="9" w:name="_Hlk58917991"/>
      <w:bookmarkStart w:id="10" w:name="_Hlk56103000"/>
      <w:r w:rsidRPr="006D7E12">
        <w:rPr>
          <w:rFonts w:ascii="Arial" w:eastAsia="Times New Roman" w:hAnsi="Arial" w:cs="Arial"/>
          <w:lang w:eastAsia="es-ES_tradnl"/>
        </w:rPr>
        <w:t xml:space="preserve">Usted realiza la siguiente pregunta: </w:t>
      </w:r>
      <w:r w:rsidR="00F768FE">
        <w:rPr>
          <w:rFonts w:ascii="Arial" w:eastAsia="Times New Roman" w:hAnsi="Arial" w:cs="Arial"/>
          <w:lang w:eastAsia="es-ES_tradnl"/>
        </w:rPr>
        <w:t>«[…]</w:t>
      </w:r>
      <w:r w:rsidR="00F768FE" w:rsidRPr="00F768FE">
        <w:t xml:space="preserve"> </w:t>
      </w:r>
      <w:r w:rsidR="00F768FE" w:rsidRPr="00F768FE">
        <w:rPr>
          <w:rFonts w:ascii="Arial" w:eastAsia="Times New Roman" w:hAnsi="Arial" w:cs="Arial"/>
          <w:lang w:eastAsia="es-ES_tradnl"/>
        </w:rPr>
        <w:t>el convenio señalado en el artículo 59 de la Ley 30 de 1992 (...) la creación de universidades estatales u oficiales o de seccionales y demás instituciones de educación superior estatales u oficiales debe hacerse previo convenio entre la Nación y la entidad territorial respectiva, en donde se establezca el monto de los aportes permanentes de una y otra., es de aquellos que aplica restricción por Ley de garantías, o puede suscribirse sin impedimento alguno?</w:t>
      </w:r>
      <w:r w:rsidR="00F768FE">
        <w:rPr>
          <w:rFonts w:ascii="Arial" w:eastAsia="Times New Roman" w:hAnsi="Arial" w:cs="Arial"/>
          <w:lang w:eastAsia="es-ES_tradnl"/>
        </w:rPr>
        <w:t>».</w:t>
      </w:r>
    </w:p>
    <w:p w14:paraId="0D2D797C" w14:textId="77777777" w:rsidR="00883C23" w:rsidRPr="006D7E12" w:rsidRDefault="00883C23" w:rsidP="005F4339">
      <w:pPr>
        <w:tabs>
          <w:tab w:val="left" w:pos="426"/>
        </w:tabs>
        <w:spacing w:after="0" w:line="276" w:lineRule="auto"/>
        <w:contextualSpacing/>
        <w:jc w:val="both"/>
        <w:rPr>
          <w:rFonts w:ascii="Arial" w:eastAsia="Calibri" w:hAnsi="Arial" w:cs="Arial"/>
        </w:rPr>
      </w:pPr>
    </w:p>
    <w:bookmarkEnd w:id="9"/>
    <w:bookmarkEnd w:id="10"/>
    <w:p w14:paraId="249A34D5" w14:textId="77777777" w:rsidR="00883C23" w:rsidRPr="006D7E12" w:rsidRDefault="00883C23" w:rsidP="005F4339">
      <w:pPr>
        <w:tabs>
          <w:tab w:val="left" w:pos="284"/>
        </w:tabs>
        <w:spacing w:after="0" w:line="276" w:lineRule="auto"/>
        <w:contextualSpacing/>
        <w:jc w:val="both"/>
        <w:rPr>
          <w:rFonts w:ascii="Arial" w:eastAsia="Calibri" w:hAnsi="Arial" w:cs="Arial"/>
          <w:b/>
        </w:rPr>
      </w:pPr>
      <w:r w:rsidRPr="006D7E12">
        <w:rPr>
          <w:rFonts w:ascii="Arial" w:eastAsia="Calibri" w:hAnsi="Arial" w:cs="Arial"/>
          <w:b/>
        </w:rPr>
        <w:t>2. Consideraciones</w:t>
      </w:r>
    </w:p>
    <w:p w14:paraId="4AE99E5A" w14:textId="77777777" w:rsidR="00883C23" w:rsidRPr="006D7E12" w:rsidRDefault="00883C23" w:rsidP="005F4339">
      <w:pPr>
        <w:tabs>
          <w:tab w:val="left" w:pos="426"/>
        </w:tabs>
        <w:spacing w:after="0" w:line="276" w:lineRule="auto"/>
        <w:ind w:firstLine="709"/>
        <w:contextualSpacing/>
        <w:jc w:val="both"/>
        <w:rPr>
          <w:rFonts w:ascii="Arial" w:eastAsia="Calibri" w:hAnsi="Arial" w:cs="Arial"/>
          <w:bCs/>
        </w:rPr>
      </w:pPr>
    </w:p>
    <w:p w14:paraId="0A3FFB9D" w14:textId="5B147A33" w:rsidR="00B64ACB" w:rsidRPr="006D7E12" w:rsidRDefault="00B64ACB" w:rsidP="009A4214">
      <w:pPr>
        <w:spacing w:after="120" w:line="276" w:lineRule="auto"/>
        <w:jc w:val="both"/>
        <w:rPr>
          <w:rFonts w:ascii="Arial" w:hAnsi="Arial" w:cs="Arial"/>
          <w:lang w:val="es-ES"/>
        </w:rPr>
      </w:pPr>
      <w:bookmarkStart w:id="11" w:name="_Hlk96420693"/>
      <w:r w:rsidRPr="006D7E12">
        <w:rPr>
          <w:rFonts w:ascii="Arial" w:hAnsi="Arial" w:cs="Arial"/>
          <w:bCs/>
        </w:rPr>
        <w:t xml:space="preserve">En ejercicio de las competencias establecidas en los artículos 3.5 y 11.8 del Decreto 4170 de 2011, la Agencia Nacional de Contratación Pública – Colombia Compra Eficiente resuelve consultas sobre </w:t>
      </w:r>
      <w:r w:rsidRPr="006D7E12">
        <w:rPr>
          <w:rFonts w:ascii="Arial" w:hAnsi="Arial" w:cs="Arial"/>
          <w:lang w:val="es-ES"/>
        </w:rPr>
        <w:t xml:space="preserve">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sidR="002F060E">
        <w:rPr>
          <w:rFonts w:ascii="Arial" w:hAnsi="Arial" w:cs="Arial"/>
          <w:lang w:val="es-ES"/>
        </w:rPr>
        <w:t>concretos</w:t>
      </w:r>
      <w:r w:rsidRPr="006D7E12">
        <w:rPr>
          <w:rFonts w:ascii="Arial" w:hAnsi="Arial" w:cs="Arial"/>
          <w:bCs/>
        </w:rPr>
        <w:t xml:space="preserve"> de todos los partícipes de la contratación estatal</w:t>
      </w:r>
      <w:r w:rsidR="009A4214">
        <w:rPr>
          <w:rFonts w:ascii="Arial" w:hAnsi="Arial" w:cs="Arial"/>
          <w:bCs/>
        </w:rPr>
        <w:t>.</w:t>
      </w:r>
    </w:p>
    <w:p w14:paraId="53A467B6" w14:textId="1DEBA3F6" w:rsidR="00B64ACB" w:rsidRDefault="00B64ACB" w:rsidP="00B64ACB">
      <w:pPr>
        <w:spacing w:after="120" w:line="276" w:lineRule="auto"/>
        <w:ind w:firstLine="708"/>
        <w:jc w:val="both"/>
        <w:rPr>
          <w:rFonts w:ascii="Arial" w:hAnsi="Arial" w:cs="Arial"/>
          <w:lang w:val="es-ES"/>
        </w:rPr>
      </w:pPr>
      <w:r w:rsidRPr="006D7E12">
        <w:rPr>
          <w:rFonts w:ascii="Arial"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D7E12">
        <w:rPr>
          <w:rFonts w:ascii="Arial" w:hAnsi="Arial" w:cs="Arial"/>
          <w:vertAlign w:val="superscript"/>
          <w:lang w:val="es-ES"/>
        </w:rPr>
        <w:footnoteReference w:id="1"/>
      </w:r>
      <w:r w:rsidRPr="006D7E12">
        <w:rPr>
          <w:rFonts w:ascii="Arial" w:hAnsi="Arial" w:cs="Arial"/>
          <w:lang w:val="es-ES"/>
        </w:rPr>
        <w:t>. Esta competencia de interpretación de normas generales, por definición, no puede extenderse a la resolución de controversias</w:t>
      </w:r>
      <w:r w:rsidR="00642C80">
        <w:rPr>
          <w:rFonts w:ascii="Arial" w:hAnsi="Arial" w:cs="Arial"/>
          <w:lang w:val="es-ES"/>
        </w:rPr>
        <w:t xml:space="preserve"> ni</w:t>
      </w:r>
      <w:r w:rsidRPr="006D7E12">
        <w:rPr>
          <w:rFonts w:ascii="Arial" w:hAnsi="Arial" w:cs="Arial"/>
          <w:lang w:val="es-ES"/>
        </w:rPr>
        <w:t xml:space="preserve"> brindar asesorías sobre casos puntuales. Por lo anterior, previo concepto de sus órganos asesores, la solución de estos temas corresponde a la entidad de adoptar la decisión correspondiente y, en caso de conflicto, a las autoridades judiciales, fiscales y disciplinarias. De esta manera, le corresponderá a cada entidad definir la viabilidad técnica, jurídica y financiera de celebrar determinado contrato estatal en específico.</w:t>
      </w:r>
    </w:p>
    <w:p w14:paraId="73FDD6FA" w14:textId="56451782" w:rsidR="00E714C0" w:rsidRPr="00E714C0" w:rsidRDefault="00E714C0" w:rsidP="00E714C0">
      <w:pPr>
        <w:spacing w:before="120" w:line="276" w:lineRule="auto"/>
        <w:ind w:firstLine="708"/>
        <w:jc w:val="both"/>
        <w:rPr>
          <w:rFonts w:ascii="Arial" w:eastAsia="Calibri" w:hAnsi="Arial" w:cs="Arial"/>
          <w:color w:val="000000"/>
        </w:rPr>
      </w:pPr>
      <w:r>
        <w:rPr>
          <w:rFonts w:ascii="Arial" w:eastAsia="Calibri" w:hAnsi="Arial" w:cs="Arial"/>
          <w:bCs/>
          <w:color w:val="000000"/>
          <w:lang w:eastAsia="es-CO"/>
        </w:rPr>
        <w:t xml:space="preserve">Bajo estas consideraciones, corresponde a </w:t>
      </w:r>
      <w:r w:rsidRPr="00524963">
        <w:rPr>
          <w:rFonts w:ascii="Arial" w:eastAsia="Calibri" w:hAnsi="Arial" w:cs="Arial"/>
          <w:bCs/>
          <w:color w:val="000000"/>
          <w:lang w:eastAsia="es-CO"/>
        </w:rPr>
        <w:t>cada entidad pública, en ejercicio de su competencia y previa valoración de los elementos fácticos y jurídicos, determinar si</w:t>
      </w:r>
      <w:r>
        <w:rPr>
          <w:rFonts w:ascii="Arial" w:eastAsia="Calibri" w:hAnsi="Arial" w:cs="Arial"/>
          <w:bCs/>
          <w:color w:val="000000"/>
          <w:lang w:eastAsia="es-CO"/>
        </w:rPr>
        <w:t xml:space="preserve"> es </w:t>
      </w:r>
      <w:r>
        <w:rPr>
          <w:rFonts w:ascii="Arial" w:eastAsia="Calibri" w:hAnsi="Arial" w:cs="Arial"/>
          <w:bCs/>
          <w:color w:val="000000"/>
          <w:lang w:eastAsia="es-CO"/>
        </w:rPr>
        <w:lastRenderedPageBreak/>
        <w:t xml:space="preserve">procedente o no la celebración de un determinado contrato en específico. </w:t>
      </w:r>
      <w:r w:rsidRPr="00524963">
        <w:rPr>
          <w:rFonts w:ascii="Arial" w:eastAsia="Calibri" w:hAnsi="Arial" w:cs="Arial"/>
          <w:bCs/>
          <w:color w:val="000000"/>
          <w:lang w:eastAsia="es-CO"/>
        </w:rPr>
        <w:t>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Pr>
          <w:rFonts w:ascii="Arial" w:eastAsia="Calibri" w:hAnsi="Arial" w:cs="Arial"/>
          <w:bCs/>
          <w:color w:val="000000"/>
          <w:lang w:eastAsia="es-CO"/>
        </w:rPr>
        <w:t>.</w:t>
      </w:r>
    </w:p>
    <w:p w14:paraId="7FD6A583" w14:textId="7ED9BBC7" w:rsidR="00EF6644" w:rsidRPr="006D7E12" w:rsidRDefault="00B64ACB" w:rsidP="003B045C">
      <w:pPr>
        <w:spacing w:after="120" w:line="276" w:lineRule="auto"/>
        <w:ind w:firstLine="708"/>
        <w:jc w:val="both"/>
        <w:rPr>
          <w:rFonts w:ascii="Arial" w:eastAsia="Calibri" w:hAnsi="Arial" w:cs="Arial"/>
          <w:szCs w:val="24"/>
          <w:lang w:eastAsia="es-ES_tradnl"/>
        </w:rPr>
      </w:pPr>
      <w:r w:rsidRPr="006D7E12">
        <w:rPr>
          <w:rFonts w:ascii="Arial" w:eastAsia="Calibri" w:hAnsi="Arial" w:cs="Arial"/>
        </w:rPr>
        <w:t xml:space="preserve">Sin perjuicio de lo anterior, </w:t>
      </w:r>
      <w:r w:rsidRPr="006D7E12">
        <w:rPr>
          <w:rFonts w:ascii="Arial" w:eastAsia="Calibri" w:hAnsi="Arial" w:cs="Arial"/>
          <w:lang w:val="es-ES"/>
        </w:rPr>
        <w:t xml:space="preserve">la Agencia –dentro de los límites de sus atribuciones, es decir, </w:t>
      </w:r>
      <w:bookmarkStart w:id="12" w:name="_Hlk61025408"/>
      <w:r w:rsidRPr="006D7E12">
        <w:rPr>
          <w:rFonts w:ascii="Arial" w:eastAsia="Calibri" w:hAnsi="Arial" w:cs="Arial"/>
          <w:lang w:val="es-ES"/>
        </w:rPr>
        <w:t xml:space="preserve">haciendo abstracción del caso particular </w:t>
      </w:r>
      <w:bookmarkEnd w:id="12"/>
      <w:r w:rsidRPr="006D7E12">
        <w:rPr>
          <w:rFonts w:ascii="Arial" w:eastAsia="Calibri" w:hAnsi="Arial" w:cs="Arial"/>
          <w:lang w:val="es-ES"/>
        </w:rPr>
        <w:t>expuesto en la petición– resolverá la consulta conforme a las normas generales</w:t>
      </w:r>
      <w:r w:rsidR="00E11379" w:rsidRPr="006D7E12">
        <w:rPr>
          <w:rFonts w:ascii="Arial" w:eastAsia="Calibri" w:hAnsi="Arial" w:cs="Arial"/>
          <w:lang w:val="es-ES"/>
        </w:rPr>
        <w:t xml:space="preserve"> del sistema de compras públicas. </w:t>
      </w:r>
      <w:r w:rsidR="00A116E0" w:rsidRPr="006D7E12">
        <w:rPr>
          <w:rFonts w:ascii="Arial" w:eastAsia="Calibri" w:hAnsi="Arial" w:cs="Arial"/>
          <w:lang w:val="es-ES"/>
        </w:rPr>
        <w:t xml:space="preserve">Con este objetivo se analizarán los siguientes temas: </w:t>
      </w:r>
      <w:r w:rsidR="00A116E0" w:rsidRPr="006D7E12">
        <w:rPr>
          <w:rFonts w:ascii="Arial" w:eastAsia="Calibri" w:hAnsi="Arial" w:cs="Arial"/>
          <w:bCs/>
        </w:rPr>
        <w:t xml:space="preserve">i) definición y finalidad de la Ley de Garantías Electorales, ii) restricciones </w:t>
      </w:r>
      <w:r w:rsidR="00A116E0" w:rsidRPr="006D7E12">
        <w:rPr>
          <w:rFonts w:ascii="Arial" w:eastAsia="Calibri" w:hAnsi="Arial" w:cs="Arial"/>
          <w:bCs/>
          <w:lang w:val="es-MX"/>
        </w:rPr>
        <w:t>para elecciones presidenciales, iii) destinatarios de la prohibición del artículo 33 de la Ley 996 de 2005</w:t>
      </w:r>
      <w:r w:rsidR="00FA518A">
        <w:rPr>
          <w:rFonts w:ascii="Arial" w:eastAsia="Calibri" w:hAnsi="Arial" w:cs="Arial"/>
          <w:bCs/>
          <w:lang w:val="es-MX"/>
        </w:rPr>
        <w:t xml:space="preserve"> y</w:t>
      </w:r>
      <w:r w:rsidR="00A116E0" w:rsidRPr="006D7E12">
        <w:rPr>
          <w:rFonts w:ascii="Arial" w:eastAsia="Calibri" w:hAnsi="Arial" w:cs="Arial"/>
          <w:bCs/>
          <w:lang w:val="es-MX"/>
        </w:rPr>
        <w:t xml:space="preserve"> iv) </w:t>
      </w:r>
      <w:r w:rsidR="00A116E0" w:rsidRPr="006D7E12">
        <w:rPr>
          <w:rFonts w:ascii="Arial" w:eastAsia="Calibri" w:hAnsi="Arial" w:cs="Arial"/>
          <w:lang w:val="es-MX"/>
        </w:rPr>
        <w:t>restricciones en los comicios para cargos de elección popular</w:t>
      </w:r>
      <w:bookmarkStart w:id="13" w:name="_Hlk76110351"/>
      <w:r w:rsidR="00A116E0" w:rsidRPr="006D7E12">
        <w:rPr>
          <w:rFonts w:ascii="Arial" w:eastAsia="Calibri" w:hAnsi="Arial" w:cs="Arial"/>
          <w:lang w:val="es-MX"/>
        </w:rPr>
        <w:t xml:space="preserve"> </w:t>
      </w:r>
      <w:bookmarkEnd w:id="13"/>
      <w:r w:rsidR="00E11379" w:rsidRPr="006D7E12">
        <w:rPr>
          <w:rFonts w:ascii="Arial" w:eastAsia="Calibri" w:hAnsi="Arial" w:cs="Arial"/>
          <w:lang w:val="es-ES"/>
        </w:rPr>
        <w:t xml:space="preserve"> </w:t>
      </w:r>
      <w:r w:rsidRPr="006D7E12">
        <w:rPr>
          <w:rFonts w:ascii="Arial" w:eastAsia="Calibri" w:hAnsi="Arial" w:cs="Arial"/>
          <w:lang w:val="es-ES"/>
        </w:rPr>
        <w:t xml:space="preserve"> </w:t>
      </w:r>
    </w:p>
    <w:p w14:paraId="0E1300EA" w14:textId="59F0C531" w:rsidR="00883C23" w:rsidRPr="006D7E12" w:rsidRDefault="00883C23" w:rsidP="00BE1101">
      <w:pPr>
        <w:tabs>
          <w:tab w:val="left" w:pos="426"/>
        </w:tabs>
        <w:spacing w:after="0" w:line="276" w:lineRule="auto"/>
        <w:ind w:firstLine="709"/>
        <w:jc w:val="both"/>
        <w:rPr>
          <w:rFonts w:ascii="Arial" w:eastAsia="Calibri" w:hAnsi="Arial" w:cs="Arial"/>
          <w:bCs/>
        </w:rPr>
      </w:pPr>
      <w:r w:rsidRPr="006D7E12">
        <w:rPr>
          <w:rFonts w:ascii="Arial" w:eastAsia="Calibri" w:hAnsi="Arial" w:cs="Arial"/>
          <w:bCs/>
        </w:rPr>
        <w:t xml:space="preserve">La Agencia Nacional de Contratación Pública – Colombia Compra Eficiente 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C-674 del 6 de diciembre de 2021, C-677 del 4 de diciembre de 2021, </w:t>
      </w:r>
      <w:r w:rsidR="007C773C" w:rsidRPr="006D7E12">
        <w:rPr>
          <w:rFonts w:ascii="Arial" w:eastAsia="Calibri" w:hAnsi="Arial" w:cs="Arial"/>
          <w:bCs/>
        </w:rPr>
        <w:t xml:space="preserve">C-715 del 21 de enero de 2022, C-718 del 24 de enero de 2022 y C-726 del 24 de enero de 2022, C-002 del 15 de febrero de 2022, C005 del 16 de febrero de 2022, C-009 del 15 de febrero de 2022, C-014 del 18 de febrero de 2022, C-022 del 21 de febrero de 2022, C-023 del 22 de febrero de 2022, C-008 del 24 de febrero de 2022, C-045 del 3 de marzo de 2022, C-064 del 8 de marzo de 2022, C-072 del 11 de marzo de 2022, C-109 del 14 de marzo </w:t>
      </w:r>
      <w:r w:rsidR="007C773C" w:rsidRPr="006D7E12">
        <w:rPr>
          <w:rFonts w:ascii="Arial" w:eastAsia="Calibri" w:hAnsi="Arial" w:cs="Arial"/>
          <w:bCs/>
        </w:rPr>
        <w:lastRenderedPageBreak/>
        <w:t>de 2022, C-073 del 14 de marzo de 2022, C-075 del 10 de marzo de 2022, C-077 del 17 de marzo de 2022, C-092 del 16 de marzo de 2022, C-094 del 16 de marzo de 2022, C-096 del 22 de marzo de 2022, C-097 del 18 de marzo de 2022, C-098 del 9 de marzo de 2022, C-099 del 22 de marzo de 2022, C-102 del 22 de marzo de 2022, C-107 del 18 de marzo de 2022, C-111 del 22 de marzo de 2022. C-115 del 22 de marzo de 2022, C-116 del 18 de marzo de 2022, C-127 del 22 de marzo de 2022</w:t>
      </w:r>
      <w:r w:rsidR="00C9763D">
        <w:rPr>
          <w:rFonts w:ascii="Arial" w:eastAsia="Calibri" w:hAnsi="Arial" w:cs="Arial"/>
          <w:bCs/>
        </w:rPr>
        <w:t xml:space="preserve">, </w:t>
      </w:r>
      <w:r w:rsidR="007C773C" w:rsidRPr="006D7E12">
        <w:rPr>
          <w:rFonts w:ascii="Arial" w:eastAsia="Calibri" w:hAnsi="Arial" w:cs="Arial"/>
          <w:bCs/>
        </w:rPr>
        <w:t>C-164 del 22 de marzo de 2022</w:t>
      </w:r>
      <w:r w:rsidR="00C9763D">
        <w:rPr>
          <w:rFonts w:ascii="Arial" w:eastAsia="Calibri" w:hAnsi="Arial" w:cs="Arial"/>
          <w:bCs/>
        </w:rPr>
        <w:t xml:space="preserve"> y C-</w:t>
      </w:r>
      <w:r w:rsidR="0016368B">
        <w:rPr>
          <w:rFonts w:ascii="Arial" w:eastAsia="Calibri" w:hAnsi="Arial" w:cs="Arial"/>
          <w:bCs/>
        </w:rPr>
        <w:t xml:space="preserve">172 del </w:t>
      </w:r>
      <w:r w:rsidR="00D64882">
        <w:rPr>
          <w:rFonts w:ascii="Arial" w:eastAsia="Calibri" w:hAnsi="Arial" w:cs="Arial"/>
          <w:bCs/>
        </w:rPr>
        <w:t>7 de abril de 2022</w:t>
      </w:r>
      <w:r w:rsidR="007C773C" w:rsidRPr="006D7E12">
        <w:rPr>
          <w:rFonts w:ascii="Arial" w:eastAsia="Calibri" w:hAnsi="Arial" w:cs="Arial"/>
          <w:bCs/>
        </w:rPr>
        <w:t xml:space="preserve">. </w:t>
      </w:r>
      <w:r w:rsidRPr="006D7E12">
        <w:rPr>
          <w:rFonts w:ascii="Arial" w:eastAsia="Calibri" w:hAnsi="Arial" w:cs="Arial"/>
          <w:bCs/>
        </w:rPr>
        <w:t>La tesis desarrollada en estos conceptos se reitera y complementa a continuación:</w:t>
      </w:r>
    </w:p>
    <w:bookmarkEnd w:id="11"/>
    <w:p w14:paraId="0A16D86B" w14:textId="77777777" w:rsidR="00883C23" w:rsidRPr="006D7E12" w:rsidRDefault="00883C23" w:rsidP="00883C23">
      <w:pPr>
        <w:tabs>
          <w:tab w:val="left" w:pos="426"/>
        </w:tabs>
        <w:spacing w:after="0" w:line="276" w:lineRule="auto"/>
        <w:ind w:firstLine="709"/>
        <w:contextualSpacing/>
        <w:jc w:val="both"/>
        <w:rPr>
          <w:rFonts w:ascii="Arial" w:eastAsia="Calibri" w:hAnsi="Arial" w:cs="Arial"/>
          <w:b/>
          <w:bCs/>
        </w:rPr>
      </w:pPr>
    </w:p>
    <w:p w14:paraId="29793852" w14:textId="77777777" w:rsidR="00883C23" w:rsidRPr="006D7E12" w:rsidRDefault="00883C23" w:rsidP="00883C23">
      <w:pPr>
        <w:tabs>
          <w:tab w:val="left" w:pos="426"/>
        </w:tabs>
        <w:spacing w:after="0" w:line="276" w:lineRule="auto"/>
        <w:contextualSpacing/>
        <w:jc w:val="both"/>
        <w:rPr>
          <w:rFonts w:ascii="Arial" w:eastAsia="Calibri" w:hAnsi="Arial" w:cs="Arial"/>
          <w:b/>
          <w:bCs/>
        </w:rPr>
      </w:pPr>
      <w:r w:rsidRPr="006D7E12">
        <w:rPr>
          <w:rFonts w:ascii="Arial" w:eastAsia="Calibri" w:hAnsi="Arial" w:cs="Arial"/>
          <w:b/>
          <w:bCs/>
        </w:rPr>
        <w:t>2.1. Definición y finalidad de la Ley de Garantías Electorales: alcance de las restricciones</w:t>
      </w:r>
    </w:p>
    <w:p w14:paraId="2A726527" w14:textId="77777777" w:rsidR="00883C23" w:rsidRPr="006D7E12" w:rsidRDefault="00883C23" w:rsidP="00883C23">
      <w:pPr>
        <w:tabs>
          <w:tab w:val="left" w:pos="426"/>
        </w:tabs>
        <w:spacing w:after="0" w:line="276" w:lineRule="auto"/>
        <w:ind w:firstLine="709"/>
        <w:contextualSpacing/>
        <w:jc w:val="both"/>
        <w:rPr>
          <w:rFonts w:ascii="Arial" w:eastAsia="Calibri" w:hAnsi="Arial" w:cs="Arial"/>
          <w:bCs/>
        </w:rPr>
      </w:pPr>
    </w:p>
    <w:p w14:paraId="019F47F6" w14:textId="5528384D" w:rsidR="00883C23" w:rsidRPr="006D7E12" w:rsidRDefault="00883C23" w:rsidP="00883C23">
      <w:pPr>
        <w:tabs>
          <w:tab w:val="left" w:pos="426"/>
        </w:tabs>
        <w:spacing w:after="120" w:line="276" w:lineRule="auto"/>
        <w:jc w:val="both"/>
        <w:rPr>
          <w:rFonts w:ascii="Arial" w:eastAsia="Times New Roman" w:hAnsi="Arial" w:cs="Arial"/>
          <w:bCs/>
          <w:lang w:eastAsia="es-CO"/>
        </w:rPr>
      </w:pPr>
      <w:r w:rsidRPr="006D7E12">
        <w:rPr>
          <w:rFonts w:ascii="Arial" w:eastAsia="Calibri" w:hAnsi="Arial" w:cs="Arial"/>
          <w:bCs/>
        </w:rPr>
        <w:t>El ordenamiento jurídico colombiano contempla previsiones claras para evitar la obtención de beneficios personales en asuntos propios de la administración pública</w:t>
      </w:r>
      <w:r w:rsidRPr="006D7E12">
        <w:rPr>
          <w:rFonts w:ascii="Arial" w:eastAsia="Calibri" w:hAnsi="Arial" w:cs="Arial"/>
          <w:bCs/>
          <w:i/>
          <w:iCs/>
        </w:rPr>
        <w:t xml:space="preserve">. </w:t>
      </w:r>
      <w:r w:rsidRPr="006D7E12">
        <w:rPr>
          <w:rFonts w:ascii="Arial" w:eastAsia="Calibri" w:hAnsi="Arial" w:cs="Arial"/>
          <w:bCs/>
        </w:rPr>
        <w:t xml:space="preserve">Por ejemplo, el artículo 127 de la Constitución Política establece una prohibición contractual a los servidores públicos y en cuanto a aspectos políticos </w:t>
      </w:r>
      <w:r w:rsidR="004916F0" w:rsidRPr="006D7E12">
        <w:rPr>
          <w:rFonts w:ascii="Arial" w:eastAsia="Calibri" w:hAnsi="Arial" w:cs="Arial"/>
          <w:bCs/>
        </w:rPr>
        <w:t>consagra</w:t>
      </w:r>
      <w:r w:rsidRPr="006D7E12">
        <w:rPr>
          <w:rFonts w:ascii="Arial" w:eastAsia="Calibri" w:hAnsi="Arial" w:cs="Arial"/>
          <w:bCs/>
        </w:rPr>
        <w:t xml:space="preserve"> restricciones a ciertos empleados del Estado, incluso en época no electoral</w:t>
      </w:r>
      <w:r w:rsidRPr="006D7E12">
        <w:rPr>
          <w:rFonts w:ascii="Arial" w:eastAsia="Calibri" w:hAnsi="Arial" w:cs="Arial"/>
          <w:bCs/>
          <w:vertAlign w:val="superscript"/>
        </w:rPr>
        <w:footnoteReference w:id="2"/>
      </w:r>
      <w:r w:rsidRPr="006D7E12">
        <w:rPr>
          <w:rFonts w:ascii="Arial" w:eastAsia="Calibri" w:hAnsi="Arial" w:cs="Arial"/>
          <w:bCs/>
        </w:rPr>
        <w:t xml:space="preserve">. </w:t>
      </w:r>
    </w:p>
    <w:p w14:paraId="56986416" w14:textId="77777777" w:rsidR="00883C23" w:rsidRPr="006D7E12" w:rsidRDefault="00883C23" w:rsidP="00883C23">
      <w:pPr>
        <w:tabs>
          <w:tab w:val="left" w:pos="426"/>
        </w:tabs>
        <w:spacing w:after="0" w:line="276" w:lineRule="auto"/>
        <w:ind w:firstLine="709"/>
        <w:jc w:val="both"/>
        <w:rPr>
          <w:rFonts w:ascii="Arial" w:eastAsia="Times New Roman" w:hAnsi="Arial" w:cs="Arial"/>
          <w:bCs/>
          <w:lang w:val="es-MX" w:eastAsia="es-CO"/>
        </w:rPr>
      </w:pPr>
      <w:r w:rsidRPr="006D7E12">
        <w:rPr>
          <w:rFonts w:ascii="Arial" w:eastAsia="Times New Roman" w:hAnsi="Arial" w:cs="Arial"/>
          <w:bCs/>
          <w:lang w:eastAsia="es-CO"/>
        </w:rPr>
        <w:t>En el mismo sentido</w:t>
      </w:r>
      <w:r w:rsidRPr="006D7E12">
        <w:rPr>
          <w:rFonts w:ascii="Arial" w:eastAsia="Times New Roman" w:hAnsi="Arial" w:cs="Arial"/>
          <w:bCs/>
          <w:lang w:val="es-MX" w:eastAsia="es-CO"/>
        </w:rPr>
        <w:t xml:space="preserve">, </w:t>
      </w:r>
      <w:bookmarkStart w:id="14" w:name="_Hlk99576829"/>
      <w:r w:rsidRPr="006D7E12">
        <w:rPr>
          <w:rFonts w:ascii="Arial" w:eastAsia="Times New Roman" w:hAnsi="Arial" w:cs="Arial"/>
          <w:bCs/>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6D7E12">
        <w:rPr>
          <w:rFonts w:ascii="Arial" w:eastAsia="Times New Roman" w:hAnsi="Arial" w:cs="Arial"/>
          <w:bCs/>
          <w:vertAlign w:val="superscript"/>
          <w:lang w:val="es-MX" w:eastAsia="es-CO"/>
        </w:rPr>
        <w:footnoteReference w:id="3"/>
      </w:r>
      <w:r w:rsidRPr="006D7E12">
        <w:rPr>
          <w:rFonts w:ascii="Arial" w:eastAsia="Times New Roman" w:hAnsi="Arial" w:cs="Arial"/>
          <w:bCs/>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6D7E12">
        <w:rPr>
          <w:rFonts w:ascii="Arial" w:eastAsia="Calibri" w:hAnsi="Arial" w:cs="Arial"/>
          <w:noProof/>
          <w:lang w:val="es-ES_tradnl"/>
        </w:rPr>
        <w:t xml:space="preserve"> </w:t>
      </w:r>
      <w:bookmarkEnd w:id="14"/>
      <w:r w:rsidRPr="006D7E12">
        <w:rPr>
          <w:rFonts w:ascii="Arial" w:eastAsia="Times New Roman" w:hAnsi="Arial" w:cs="Arial"/>
          <w:bCs/>
          <w:lang w:val="es-MX" w:eastAsia="es-CO"/>
        </w:rPr>
        <w:t>En armonía con lo anterior, la Corte Constitucional ha abordado la definición de la Ley de Garantías Electorales. De esta manera, explica que tiene como propósito:</w:t>
      </w:r>
    </w:p>
    <w:p w14:paraId="2F4470EB" w14:textId="77777777" w:rsidR="00883C23" w:rsidRPr="006D7E12" w:rsidRDefault="00883C23" w:rsidP="00FF661D">
      <w:pPr>
        <w:spacing w:after="0" w:line="276" w:lineRule="auto"/>
        <w:ind w:right="709"/>
        <w:contextualSpacing/>
        <w:jc w:val="both"/>
        <w:rPr>
          <w:rFonts w:ascii="Arial" w:eastAsia="Times New Roman" w:hAnsi="Arial" w:cs="Arial"/>
          <w:sz w:val="21"/>
          <w:szCs w:val="21"/>
          <w:lang w:val="es-ES" w:eastAsia="es-CO"/>
        </w:rPr>
      </w:pPr>
    </w:p>
    <w:p w14:paraId="692F06F5" w14:textId="6E7BB27D" w:rsidR="00FF661D" w:rsidRPr="006D7E12" w:rsidRDefault="00883C23">
      <w:pPr>
        <w:spacing w:after="0" w:line="240" w:lineRule="auto"/>
        <w:ind w:left="709" w:right="709"/>
        <w:contextualSpacing/>
        <w:jc w:val="both"/>
        <w:rPr>
          <w:rFonts w:ascii="Arial" w:eastAsia="Times New Roman" w:hAnsi="Arial" w:cs="Arial"/>
          <w:bCs/>
          <w:sz w:val="21"/>
          <w:szCs w:val="21"/>
          <w:lang w:val="es-MX" w:eastAsia="es-CO"/>
        </w:rPr>
      </w:pPr>
      <w:r w:rsidRPr="006D7E12">
        <w:rPr>
          <w:rFonts w:ascii="Arial" w:eastAsia="Times New Roman" w:hAnsi="Arial" w:cs="Arial"/>
          <w:sz w:val="21"/>
          <w:szCs w:val="21"/>
          <w:lang w:val="es-ES" w:eastAsia="es-CO"/>
        </w:rPr>
        <w:t xml:space="preserve">[…] </w:t>
      </w:r>
      <w:r w:rsidRPr="006D7E12">
        <w:rPr>
          <w:rFonts w:ascii="Arial" w:eastAsia="Times New Roman" w:hAnsi="Arial" w:cs="Arial"/>
          <w:bCs/>
          <w:sz w:val="21"/>
          <w:szCs w:val="21"/>
          <w:lang w:val="es-MX" w:eastAsia="es-CO"/>
        </w:rPr>
        <w:t>la definición de reglas claras que permitan acceder a los canales de expresión democrática de manera efectiva e igualitaria. El objetivo de una ley de garantías es definir esas reglas.</w:t>
      </w:r>
    </w:p>
    <w:p w14:paraId="4E720956" w14:textId="22DF3CDF" w:rsidR="00883C23" w:rsidRPr="006D7E12" w:rsidRDefault="00883C23" w:rsidP="00FF661D">
      <w:pPr>
        <w:spacing w:after="0" w:line="240" w:lineRule="auto"/>
        <w:ind w:left="709" w:right="709"/>
        <w:contextualSpacing/>
        <w:jc w:val="both"/>
        <w:rPr>
          <w:rFonts w:ascii="Arial" w:eastAsia="Times New Roman" w:hAnsi="Arial" w:cs="Arial"/>
          <w:bCs/>
          <w:sz w:val="21"/>
          <w:szCs w:val="21"/>
          <w:lang w:val="es-MX" w:eastAsia="es-CO"/>
        </w:rPr>
      </w:pPr>
      <w:r w:rsidRPr="006D7E12">
        <w:rPr>
          <w:rFonts w:ascii="Arial" w:eastAsia="Times New Roman" w:hAnsi="Arial" w:cs="Arial"/>
          <w:bCs/>
          <w:sz w:val="21"/>
          <w:szCs w:val="21"/>
          <w:lang w:val="es-MX" w:eastAsia="es-CO"/>
        </w:rPr>
        <w:lastRenderedPageBreak/>
        <w:t xml:space="preserve">[…] </w:t>
      </w:r>
    </w:p>
    <w:p w14:paraId="23912079" w14:textId="77777777" w:rsidR="00FF661D" w:rsidRPr="006D7E12" w:rsidRDefault="00FF661D" w:rsidP="00BE1101">
      <w:pPr>
        <w:spacing w:after="0" w:line="240" w:lineRule="auto"/>
        <w:ind w:right="709"/>
        <w:contextualSpacing/>
        <w:jc w:val="both"/>
        <w:rPr>
          <w:rFonts w:ascii="Arial" w:eastAsia="Times New Roman" w:hAnsi="Arial" w:cs="Arial"/>
          <w:bCs/>
          <w:sz w:val="21"/>
          <w:szCs w:val="21"/>
          <w:lang w:val="es-MX" w:eastAsia="es-CO"/>
        </w:rPr>
      </w:pPr>
    </w:p>
    <w:p w14:paraId="07DD05FB" w14:textId="4C2ADDF0" w:rsidR="00883C23" w:rsidRPr="006D7E12" w:rsidRDefault="00883C23" w:rsidP="00FF661D">
      <w:pPr>
        <w:spacing w:after="0" w:line="240" w:lineRule="auto"/>
        <w:ind w:left="709" w:right="709"/>
        <w:contextualSpacing/>
        <w:jc w:val="both"/>
        <w:rPr>
          <w:rFonts w:ascii="Arial" w:eastAsia="Times New Roman" w:hAnsi="Arial" w:cs="Arial"/>
          <w:bCs/>
          <w:sz w:val="21"/>
          <w:szCs w:val="21"/>
          <w:lang w:val="es-MX" w:eastAsia="es-CO"/>
        </w:rPr>
      </w:pPr>
      <w:r w:rsidRPr="006D7E12">
        <w:rPr>
          <w:rFonts w:ascii="Arial" w:eastAsia="Times New Roman" w:hAnsi="Arial" w:cs="Arial"/>
          <w:bCs/>
          <w:sz w:val="21"/>
          <w:szCs w:val="21"/>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6D7E12">
        <w:rPr>
          <w:rFonts w:ascii="Arial" w:eastAsia="Calibri" w:hAnsi="Arial" w:cs="Arial"/>
          <w:sz w:val="20"/>
          <w:szCs w:val="20"/>
          <w:vertAlign w:val="superscript"/>
          <w:lang w:val="es-MX"/>
        </w:rPr>
        <w:footnoteReference w:id="4"/>
      </w:r>
    </w:p>
    <w:p w14:paraId="453B2A93" w14:textId="77777777" w:rsidR="00883C23" w:rsidRPr="006D7E12" w:rsidRDefault="00883C23" w:rsidP="00FF661D">
      <w:pPr>
        <w:spacing w:after="0" w:line="276" w:lineRule="auto"/>
        <w:ind w:left="709" w:right="709"/>
        <w:contextualSpacing/>
        <w:jc w:val="both"/>
        <w:rPr>
          <w:rFonts w:ascii="Arial" w:eastAsia="Times New Roman" w:hAnsi="Arial" w:cs="Arial"/>
          <w:bCs/>
          <w:sz w:val="21"/>
          <w:szCs w:val="21"/>
          <w:lang w:val="es-MX" w:eastAsia="es-CO"/>
        </w:rPr>
      </w:pPr>
    </w:p>
    <w:p w14:paraId="09DD32AE" w14:textId="1A7B6457" w:rsidR="00883C23" w:rsidRPr="006D7E12" w:rsidRDefault="00883C23" w:rsidP="00883C23">
      <w:pPr>
        <w:spacing w:after="0" w:line="276" w:lineRule="auto"/>
        <w:ind w:firstLine="709"/>
        <w:jc w:val="both"/>
        <w:rPr>
          <w:rFonts w:ascii="Arial" w:eastAsia="Times New Roman" w:hAnsi="Arial" w:cs="Arial"/>
          <w:bCs/>
          <w:lang w:val="es-MX" w:eastAsia="es-CO"/>
        </w:rPr>
      </w:pPr>
      <w:bookmarkStart w:id="15" w:name="_Hlk78818186"/>
      <w:r w:rsidRPr="006D7E12">
        <w:rPr>
          <w:rFonts w:ascii="Arial" w:eastAsia="Times New Roman" w:hAnsi="Arial" w:cs="Arial"/>
          <w:bCs/>
          <w:lang w:val="es-MX"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5"/>
      <w:r w:rsidRPr="006D7E12">
        <w:rPr>
          <w:rFonts w:ascii="Arial" w:eastAsia="Times New Roman" w:hAnsi="Arial" w:cs="Arial"/>
          <w:bCs/>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w:t>
      </w:r>
      <w:r w:rsidR="00C0768B" w:rsidRPr="006D7E12">
        <w:rPr>
          <w:rFonts w:ascii="Arial" w:eastAsia="Times New Roman" w:hAnsi="Arial" w:cs="Arial"/>
          <w:bCs/>
          <w:lang w:val="es-MX" w:eastAsia="es-CO"/>
        </w:rPr>
        <w:t xml:space="preserve">, </w:t>
      </w:r>
      <w:r w:rsidRPr="006D7E12">
        <w:rPr>
          <w:rFonts w:ascii="Arial" w:eastAsia="Times New Roman" w:hAnsi="Arial" w:cs="Arial"/>
          <w:bCs/>
          <w:lang w:val="es-MX" w:eastAsia="es-CO"/>
        </w:rPr>
        <w:t>precisó lo siguiente:</w:t>
      </w:r>
    </w:p>
    <w:p w14:paraId="05EDF88F" w14:textId="77777777" w:rsidR="00883C23" w:rsidRPr="006D7E12" w:rsidRDefault="00883C23" w:rsidP="00AC7ED9">
      <w:pPr>
        <w:spacing w:after="0" w:line="276" w:lineRule="auto"/>
        <w:ind w:firstLine="709"/>
        <w:contextualSpacing/>
        <w:jc w:val="both"/>
        <w:rPr>
          <w:rFonts w:ascii="Arial" w:eastAsia="Times New Roman" w:hAnsi="Arial" w:cs="Arial"/>
          <w:bCs/>
          <w:lang w:val="es-MX" w:eastAsia="es-CO"/>
        </w:rPr>
      </w:pPr>
    </w:p>
    <w:p w14:paraId="15653408" w14:textId="77777777" w:rsidR="00883C23" w:rsidRPr="006D7E12" w:rsidRDefault="00883C23" w:rsidP="00AC7ED9">
      <w:pPr>
        <w:spacing w:after="0" w:line="240" w:lineRule="auto"/>
        <w:ind w:left="709" w:right="709"/>
        <w:contextualSpacing/>
        <w:jc w:val="both"/>
        <w:rPr>
          <w:rFonts w:ascii="Arial" w:eastAsia="Times New Roman" w:hAnsi="Arial" w:cs="Arial"/>
          <w:bCs/>
          <w:sz w:val="21"/>
          <w:szCs w:val="21"/>
          <w:lang w:val="es-MX" w:eastAsia="es-CO"/>
        </w:rPr>
      </w:pPr>
      <w:r w:rsidRPr="006D7E12">
        <w:rPr>
          <w:rFonts w:ascii="Arial" w:eastAsia="Times New Roman" w:hAnsi="Arial" w:cs="Arial"/>
          <w:bCs/>
          <w:sz w:val="21"/>
          <w:szCs w:val="21"/>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6D7E12">
        <w:rPr>
          <w:rFonts w:ascii="Arial" w:eastAsia="Times New Roman" w:hAnsi="Arial" w:cs="Arial"/>
          <w:bCs/>
          <w:sz w:val="21"/>
          <w:szCs w:val="21"/>
          <w:lang w:val="es-MX" w:eastAsia="es-CO"/>
        </w:rPr>
        <w:t>legis</w:t>
      </w:r>
      <w:proofErr w:type="spellEnd"/>
      <w:r w:rsidRPr="006D7E12">
        <w:rPr>
          <w:rFonts w:ascii="Arial" w:eastAsia="Times New Roman" w:hAnsi="Arial" w:cs="Arial"/>
          <w:bCs/>
          <w:sz w:val="21"/>
          <w:szCs w:val="21"/>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4C1990E" w14:textId="77777777" w:rsidR="00AC7ED9" w:rsidRPr="006D7E12" w:rsidRDefault="00AC7ED9" w:rsidP="00AC7ED9">
      <w:pPr>
        <w:spacing w:after="0" w:line="240" w:lineRule="auto"/>
        <w:ind w:left="709" w:right="709"/>
        <w:contextualSpacing/>
        <w:jc w:val="both"/>
        <w:rPr>
          <w:rFonts w:ascii="Arial" w:eastAsia="Times New Roman" w:hAnsi="Arial" w:cs="Arial"/>
          <w:bCs/>
          <w:sz w:val="21"/>
          <w:szCs w:val="21"/>
          <w:lang w:val="es-MX" w:eastAsia="es-CO"/>
        </w:rPr>
      </w:pPr>
    </w:p>
    <w:p w14:paraId="6689E594" w14:textId="47070E6F" w:rsidR="00883C23" w:rsidRPr="006D7E12" w:rsidRDefault="00883C23" w:rsidP="00AC7ED9">
      <w:pPr>
        <w:spacing w:after="0" w:line="240" w:lineRule="auto"/>
        <w:ind w:left="709" w:right="709"/>
        <w:contextualSpacing/>
        <w:jc w:val="both"/>
        <w:rPr>
          <w:rFonts w:ascii="Arial" w:eastAsia="Times New Roman" w:hAnsi="Arial" w:cs="Arial"/>
          <w:bCs/>
          <w:sz w:val="21"/>
          <w:szCs w:val="21"/>
          <w:lang w:val="es-MX" w:eastAsia="es-CO"/>
        </w:rPr>
      </w:pPr>
      <w:r w:rsidRPr="006D7E12">
        <w:rPr>
          <w:rFonts w:ascii="Arial" w:eastAsia="Times New Roman" w:hAnsi="Arial" w:cs="Arial"/>
          <w:bCs/>
          <w:sz w:val="21"/>
          <w:szCs w:val="21"/>
          <w:lang w:val="es-MX" w:eastAsia="es-CO"/>
        </w:rPr>
        <w:t>La jurisprudencia de la Corte Constitucional</w:t>
      </w:r>
      <w:r w:rsidRPr="006D7E12">
        <w:rPr>
          <w:rFonts w:ascii="Arial" w:eastAsia="Times New Roman" w:hAnsi="Arial" w:cs="Arial"/>
          <w:bCs/>
          <w:sz w:val="21"/>
          <w:szCs w:val="21"/>
          <w:vertAlign w:val="superscript"/>
          <w:lang w:val="es-MX" w:eastAsia="es-CO"/>
        </w:rPr>
        <w:footnoteReference w:id="5"/>
      </w:r>
      <w:r w:rsidRPr="006D7E12">
        <w:rPr>
          <w:rFonts w:ascii="Arial" w:eastAsia="Times New Roman" w:hAnsi="Arial" w:cs="Arial"/>
          <w:bCs/>
          <w:sz w:val="21"/>
          <w:szCs w:val="21"/>
          <w:lang w:val="es-MX" w:eastAsia="es-CO"/>
        </w:rPr>
        <w:t> y del Consejo de Estado</w:t>
      </w:r>
      <w:r w:rsidRPr="006D7E12">
        <w:rPr>
          <w:rFonts w:ascii="Arial" w:eastAsia="Times New Roman" w:hAnsi="Arial" w:cs="Arial"/>
          <w:bCs/>
          <w:sz w:val="21"/>
          <w:szCs w:val="21"/>
          <w:vertAlign w:val="superscript"/>
          <w:lang w:val="es-MX" w:eastAsia="es-CO"/>
        </w:rPr>
        <w:footnoteReference w:id="6"/>
      </w:r>
      <w:r w:rsidRPr="006D7E12">
        <w:rPr>
          <w:rFonts w:ascii="Arial" w:eastAsia="Times New Roman" w:hAnsi="Arial" w:cs="Arial"/>
          <w:bCs/>
          <w:sz w:val="21"/>
          <w:szCs w:val="21"/>
          <w:lang w:val="es-MX"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w:t>
      </w:r>
      <w:r w:rsidRPr="006D7E12">
        <w:rPr>
          <w:rFonts w:ascii="Arial" w:eastAsia="Times New Roman" w:hAnsi="Arial" w:cs="Arial"/>
          <w:bCs/>
          <w:sz w:val="21"/>
          <w:szCs w:val="21"/>
          <w:lang w:val="es-MX" w:eastAsia="es-CO"/>
        </w:rPr>
        <w:lastRenderedPageBreak/>
        <w:t>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6D7E12">
        <w:rPr>
          <w:rFonts w:ascii="Arial" w:eastAsia="Times New Roman" w:hAnsi="Arial" w:cs="Arial"/>
          <w:bCs/>
          <w:vertAlign w:val="superscript"/>
          <w:lang w:val="es-MX" w:eastAsia="es-CO"/>
        </w:rPr>
        <w:footnoteReference w:id="7"/>
      </w:r>
      <w:r w:rsidRPr="006D7E12">
        <w:rPr>
          <w:rFonts w:ascii="Arial" w:eastAsia="Times New Roman" w:hAnsi="Arial" w:cs="Arial"/>
          <w:bCs/>
          <w:sz w:val="21"/>
          <w:szCs w:val="21"/>
          <w:lang w:val="es-MX" w:eastAsia="es-CO"/>
        </w:rPr>
        <w:t>.</w:t>
      </w:r>
    </w:p>
    <w:p w14:paraId="53395454" w14:textId="77777777" w:rsidR="00883C23" w:rsidRPr="006D7E12" w:rsidRDefault="00883C23" w:rsidP="00AC7ED9">
      <w:pPr>
        <w:spacing w:after="0" w:line="276" w:lineRule="auto"/>
        <w:ind w:right="709"/>
        <w:contextualSpacing/>
        <w:jc w:val="both"/>
        <w:rPr>
          <w:rFonts w:ascii="Arial" w:eastAsia="Times New Roman" w:hAnsi="Arial" w:cs="Arial"/>
          <w:bCs/>
          <w:sz w:val="21"/>
          <w:szCs w:val="21"/>
          <w:lang w:val="es-MX" w:eastAsia="es-CO"/>
        </w:rPr>
      </w:pPr>
    </w:p>
    <w:p w14:paraId="5964F421" w14:textId="4937F5BE" w:rsidR="00883C23" w:rsidRPr="006D7E12" w:rsidRDefault="00883C23" w:rsidP="00883C23">
      <w:pPr>
        <w:spacing w:after="120" w:line="276" w:lineRule="auto"/>
        <w:jc w:val="both"/>
        <w:rPr>
          <w:rFonts w:ascii="Arial" w:eastAsia="Arial" w:hAnsi="Arial" w:cs="Arial"/>
          <w:lang w:val="es-ES" w:eastAsia="es-ES" w:bidi="es-ES"/>
        </w:rPr>
      </w:pPr>
      <w:r w:rsidRPr="006D7E12">
        <w:rPr>
          <w:rFonts w:ascii="Arial" w:eastAsia="Times New Roman" w:hAnsi="Arial" w:cs="Arial"/>
          <w:bCs/>
          <w:lang w:val="es-MX" w:eastAsia="es-CO"/>
        </w:rPr>
        <w:tab/>
        <w:t>De</w:t>
      </w:r>
      <w:r w:rsidRPr="006D7E12">
        <w:rPr>
          <w:rFonts w:ascii="Arial" w:eastAsia="Arial" w:hAnsi="Arial" w:cs="Arial"/>
          <w:lang w:val="es-ES" w:eastAsia="es-ES" w:bidi="es-ES"/>
        </w:rPr>
        <w:t xml:space="preserve"> conformidad con lo anterior, </w:t>
      </w:r>
      <w:bookmarkStart w:id="16" w:name="_Hlk77236098"/>
      <w:bookmarkStart w:id="17" w:name="_Hlk100679383"/>
      <w:r w:rsidRPr="006D7E12">
        <w:rPr>
          <w:rFonts w:ascii="Arial" w:eastAsia="Arial" w:hAnsi="Arial" w:cs="Arial"/>
          <w:lang w:val="es-ES" w:eastAsia="es-ES" w:bidi="es-ES"/>
        </w:rPr>
        <w:t xml:space="preserve">la Ley de Garantías Electorales fijó una serie de regulaciones y prohibiciones dirigidas a los servidores públicos. </w:t>
      </w:r>
      <w:r w:rsidR="00244B1C" w:rsidRPr="006D7E12">
        <w:rPr>
          <w:rFonts w:ascii="Arial" w:eastAsia="Arial" w:hAnsi="Arial" w:cs="Arial"/>
          <w:lang w:val="es-ES" w:eastAsia="es-ES" w:bidi="es-ES"/>
        </w:rPr>
        <w:t>C</w:t>
      </w:r>
      <w:r w:rsidRPr="006D7E12">
        <w:rPr>
          <w:rFonts w:ascii="Arial" w:eastAsia="Arial" w:hAnsi="Arial" w:cs="Arial"/>
          <w:lang w:val="es-ES" w:eastAsia="es-ES" w:bidi="es-ES"/>
        </w:rPr>
        <w:t>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16"/>
    </w:p>
    <w:p w14:paraId="10F6791F" w14:textId="77777777" w:rsidR="00883C23" w:rsidRPr="006D7E12" w:rsidRDefault="00883C23" w:rsidP="00883C23">
      <w:pPr>
        <w:spacing w:after="120" w:line="276" w:lineRule="auto"/>
        <w:ind w:firstLine="708"/>
        <w:jc w:val="both"/>
        <w:rPr>
          <w:rFonts w:ascii="Arial" w:eastAsia="Calibri" w:hAnsi="Arial" w:cs="Arial"/>
        </w:rPr>
      </w:pPr>
      <w:r w:rsidRPr="006D7E12">
        <w:rPr>
          <w:rFonts w:ascii="Arial" w:eastAsia="Calibri" w:hAnsi="Arial" w:cs="Arial"/>
        </w:rPr>
        <w:t xml:space="preserve">Por un lado, el artículo 33 de la Ley 996 de 2005 prohíbe </w:t>
      </w:r>
      <w:r w:rsidRPr="006D7E12">
        <w:rPr>
          <w:rFonts w:ascii="Arial" w:eastAsia="Calibri" w:hAnsi="Arial" w:cs="Arial"/>
          <w:bCs/>
        </w:rPr>
        <w:t xml:space="preserve">«[…] </w:t>
      </w:r>
      <w:r w:rsidRPr="006D7E12">
        <w:rPr>
          <w:rFonts w:ascii="Arial" w:eastAsia="Calibri" w:hAnsi="Arial" w:cs="Arial"/>
        </w:rPr>
        <w:t>la contratación directa por parte de todos los entes del Estado</w:t>
      </w:r>
      <w:r w:rsidRPr="006D7E12">
        <w:rPr>
          <w:rFonts w:ascii="Arial" w:eastAsia="Calibri" w:hAnsi="Arial" w:cs="Arial"/>
          <w:bCs/>
        </w:rPr>
        <w:t>»</w:t>
      </w:r>
      <w:r w:rsidRPr="006D7E12">
        <w:rPr>
          <w:rFonts w:ascii="Arial" w:eastAsia="Calibri" w:hAnsi="Arial" w:cs="Arial"/>
        </w:rPr>
        <w:t xml:space="preserve"> durante los cuatro (4) meses anteriores a las elecciones presidenciales, salvo </w:t>
      </w:r>
      <w:r w:rsidRPr="006D7E12">
        <w:rPr>
          <w:rFonts w:ascii="Arial" w:eastAsia="Calibri" w:hAnsi="Arial" w:cs="Arial"/>
          <w:bCs/>
        </w:rPr>
        <w:t xml:space="preserve">«[…] </w:t>
      </w:r>
      <w:r w:rsidRPr="006D7E12">
        <w:rPr>
          <w:rFonts w:ascii="Arial" w:eastAsia="Calibri" w:hAnsi="Arial" w:cs="Aria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6D7E12">
        <w:rPr>
          <w:rFonts w:ascii="Arial" w:eastAsia="Calibri" w:hAnsi="Arial" w:cs="Arial"/>
          <w:bCs/>
        </w:rPr>
        <w:t>»</w:t>
      </w:r>
      <w:r w:rsidRPr="006D7E12">
        <w:rPr>
          <w:rFonts w:ascii="Arial" w:eastAsia="Calibri" w:hAnsi="Arial" w:cs="Arial"/>
          <w:bCs/>
          <w:vertAlign w:val="superscript"/>
        </w:rPr>
        <w:footnoteReference w:id="8"/>
      </w:r>
      <w:r w:rsidRPr="006D7E12">
        <w:rPr>
          <w:rFonts w:ascii="Arial" w:eastAsia="Calibri" w:hAnsi="Arial" w:cs="Arial"/>
        </w:rPr>
        <w:t>.</w:t>
      </w:r>
    </w:p>
    <w:p w14:paraId="5A9159A6" w14:textId="77777777" w:rsidR="00883C23" w:rsidRPr="006D7E12" w:rsidRDefault="00883C23" w:rsidP="00FF2BA2">
      <w:pPr>
        <w:widowControl w:val="0"/>
        <w:autoSpaceDE w:val="0"/>
        <w:autoSpaceDN w:val="0"/>
        <w:spacing w:after="0" w:line="276" w:lineRule="auto"/>
        <w:ind w:right="113" w:firstLine="708"/>
        <w:contextualSpacing/>
        <w:jc w:val="both"/>
        <w:rPr>
          <w:rFonts w:ascii="Arial" w:eastAsia="Arial" w:hAnsi="Arial" w:cs="Arial"/>
          <w:lang w:val="es-ES" w:eastAsia="es-ES" w:bidi="es-ES"/>
        </w:rPr>
      </w:pPr>
      <w:r w:rsidRPr="006D7E12">
        <w:rPr>
          <w:rFonts w:ascii="Arial" w:eastAsia="Calibri" w:hAnsi="Arial"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6D7E12">
        <w:rPr>
          <w:rFonts w:ascii="Arial" w:eastAsia="Calibri" w:hAnsi="Arial" w:cs="Arial"/>
          <w:bCs/>
        </w:rPr>
        <w:t xml:space="preserve">«[…] </w:t>
      </w:r>
      <w:r w:rsidRPr="006D7E12">
        <w:rPr>
          <w:rFonts w:ascii="Arial" w:eastAsia="Calibri" w:hAnsi="Arial"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6D7E12">
        <w:rPr>
          <w:rFonts w:ascii="Arial" w:eastAsia="Calibri" w:hAnsi="Arial" w:cs="Arial"/>
          <w:bCs/>
          <w:sz w:val="19"/>
          <w:szCs w:val="19"/>
        </w:rPr>
        <w:t>»</w:t>
      </w:r>
      <w:bookmarkEnd w:id="17"/>
      <w:r w:rsidRPr="006D7E12">
        <w:rPr>
          <w:rFonts w:ascii="Arial" w:eastAsia="Calibri" w:hAnsi="Arial" w:cs="Arial"/>
          <w:bCs/>
          <w:sz w:val="19"/>
          <w:szCs w:val="19"/>
          <w:vertAlign w:val="superscript"/>
        </w:rPr>
        <w:footnoteReference w:id="9"/>
      </w:r>
      <w:r w:rsidRPr="006D7E12">
        <w:rPr>
          <w:rFonts w:ascii="Arial" w:eastAsia="Calibri" w:hAnsi="Arial" w:cs="Arial"/>
          <w:lang w:val="es-MX"/>
        </w:rPr>
        <w:t>.</w:t>
      </w:r>
      <w:r w:rsidRPr="006D7E12">
        <w:rPr>
          <w:rFonts w:ascii="Arial" w:eastAsia="Arial" w:hAnsi="Arial" w:cs="Arial"/>
          <w:lang w:val="es-ES" w:eastAsia="es-ES" w:bidi="es-ES"/>
        </w:rPr>
        <w:t xml:space="preserve"> La Sala de Consulta y Servicio Civil del Consejo de Estado ha aclarado la </w:t>
      </w:r>
      <w:r w:rsidRPr="006D7E12">
        <w:rPr>
          <w:rFonts w:ascii="Arial" w:eastAsia="Arial" w:hAnsi="Arial" w:cs="Arial"/>
          <w:lang w:val="es-ES" w:eastAsia="es-ES" w:bidi="es-ES"/>
        </w:rPr>
        <w:lastRenderedPageBreak/>
        <w:t>distinción en la aplicación de las prohibiciones de la Ley 996 de 2005, dependiendo del tipo de elección que se trate. Al respecto, considera que:</w:t>
      </w:r>
    </w:p>
    <w:p w14:paraId="152928C6" w14:textId="77777777" w:rsidR="00883C23" w:rsidRPr="006D7E12" w:rsidRDefault="00883C23" w:rsidP="00FF2BA2">
      <w:pPr>
        <w:widowControl w:val="0"/>
        <w:autoSpaceDE w:val="0"/>
        <w:autoSpaceDN w:val="0"/>
        <w:spacing w:after="0" w:line="276" w:lineRule="auto"/>
        <w:ind w:left="805" w:right="812"/>
        <w:contextualSpacing/>
        <w:jc w:val="both"/>
        <w:rPr>
          <w:rFonts w:ascii="Arial" w:eastAsia="Arial" w:hAnsi="Arial" w:cs="Arial"/>
          <w:lang w:val="es-ES" w:eastAsia="es-ES" w:bidi="es-ES"/>
        </w:rPr>
      </w:pPr>
    </w:p>
    <w:p w14:paraId="670DE3E2" w14:textId="77777777" w:rsidR="00883C23" w:rsidRPr="006D7E12" w:rsidRDefault="00883C23" w:rsidP="00FF2BA2">
      <w:pPr>
        <w:widowControl w:val="0"/>
        <w:autoSpaceDE w:val="0"/>
        <w:autoSpaceDN w:val="0"/>
        <w:spacing w:after="0" w:line="240" w:lineRule="auto"/>
        <w:ind w:left="709" w:right="709"/>
        <w:contextualSpacing/>
        <w:jc w:val="both"/>
        <w:rPr>
          <w:rFonts w:ascii="Arial" w:eastAsia="Arial" w:hAnsi="Arial" w:cs="Arial"/>
          <w:sz w:val="21"/>
          <w:szCs w:val="21"/>
          <w:lang w:val="es-ES" w:eastAsia="es-ES" w:bidi="es-ES"/>
        </w:rPr>
      </w:pPr>
      <w:r w:rsidRPr="006D7E12">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20" w:name="_Hlk76109421"/>
      <w:r w:rsidRPr="006D7E12">
        <w:rPr>
          <w:rFonts w:ascii="Arial" w:eastAsia="Arial" w:hAnsi="Arial" w:cs="Arial"/>
          <w:sz w:val="21"/>
          <w:szCs w:val="21"/>
          <w:lang w:val="es-ES" w:eastAsia="es-ES" w:bidi="es-ES"/>
        </w:rPr>
        <w:t>se integran parcialmente</w:t>
      </w:r>
      <w:bookmarkEnd w:id="20"/>
      <w:r w:rsidRPr="006D7E12">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6D7E12">
        <w:rPr>
          <w:rFonts w:ascii="Arial" w:eastAsia="Arial" w:hAnsi="Arial" w:cs="Arial"/>
          <w:bCs/>
          <w:sz w:val="21"/>
          <w:szCs w:val="21"/>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Pr="006D7E12">
        <w:rPr>
          <w:rFonts w:ascii="Arial" w:eastAsia="Arial" w:hAnsi="Arial" w:cs="Arial"/>
          <w:sz w:val="21"/>
          <w:szCs w:val="21"/>
          <w:lang w:val="es-ES" w:eastAsia="es-ES" w:bidi="es-ES"/>
        </w:rPr>
        <w:t>.</w:t>
      </w:r>
      <w:r w:rsidRPr="006D7E12">
        <w:rPr>
          <w:rFonts w:ascii="Arial" w:eastAsia="Arial" w:hAnsi="Arial" w:cs="Arial"/>
          <w:sz w:val="21"/>
          <w:szCs w:val="21"/>
          <w:vertAlign w:val="superscript"/>
          <w:lang w:val="es-ES" w:eastAsia="es-ES" w:bidi="es-ES"/>
        </w:rPr>
        <w:footnoteReference w:id="10"/>
      </w:r>
    </w:p>
    <w:p w14:paraId="1AEC3889" w14:textId="77777777" w:rsidR="00883C23" w:rsidRPr="006D7E12" w:rsidRDefault="00883C23" w:rsidP="00FF2BA2">
      <w:pPr>
        <w:widowControl w:val="0"/>
        <w:autoSpaceDE w:val="0"/>
        <w:autoSpaceDN w:val="0"/>
        <w:spacing w:after="0" w:line="276" w:lineRule="auto"/>
        <w:contextualSpacing/>
        <w:rPr>
          <w:rFonts w:ascii="Arial" w:eastAsia="Arial" w:hAnsi="Arial" w:cs="Arial"/>
          <w:lang w:val="es-ES" w:eastAsia="es-ES" w:bidi="es-ES"/>
        </w:rPr>
      </w:pPr>
    </w:p>
    <w:p w14:paraId="734194AB" w14:textId="77777777" w:rsidR="00883C23" w:rsidRPr="006D7E12" w:rsidRDefault="00883C23" w:rsidP="00883C23">
      <w:pPr>
        <w:spacing w:after="120" w:line="276" w:lineRule="auto"/>
        <w:ind w:firstLine="709"/>
        <w:jc w:val="both"/>
        <w:rPr>
          <w:rFonts w:ascii="Arial" w:eastAsia="Arial" w:hAnsi="Arial" w:cs="Arial"/>
          <w:lang w:val="es-ES" w:eastAsia="es-ES" w:bidi="es-ES"/>
        </w:rPr>
      </w:pPr>
      <w:r w:rsidRPr="006D7E12">
        <w:rPr>
          <w:rFonts w:ascii="Arial" w:eastAsia="Arial" w:hAnsi="Arial" w:cs="Arial"/>
          <w:lang w:val="es-ES" w:eastAsia="es-ES" w:bidi="es-ES"/>
        </w:rPr>
        <w:t xml:space="preserve">De conformidad con lo anterior, </w:t>
      </w:r>
      <w:bookmarkStart w:id="21" w:name="_Hlk77236420"/>
      <w:bookmarkStart w:id="22" w:name="_Hlk78818435"/>
      <w:bookmarkStart w:id="23" w:name="_Hlk75780333"/>
      <w:r w:rsidRPr="006D7E12">
        <w:rPr>
          <w:rFonts w:ascii="Arial" w:eastAsia="Arial" w:hAnsi="Arial" w:cs="Arial"/>
          <w:lang w:val="es-ES" w:eastAsia="es-ES" w:bidi="es-ES"/>
        </w:rPr>
        <w:t xml:space="preserve">la Ley 996 de 2005 establece dos (2) tipos de restricciones en materia de contratación, las cuales coinciden parcialmente. </w:t>
      </w:r>
      <w:r w:rsidRPr="006D7E12">
        <w:rPr>
          <w:rFonts w:ascii="Arial" w:eastAsia="Arial" w:hAnsi="Arial" w:cs="Arial"/>
          <w:i/>
          <w:iCs/>
          <w:lang w:val="es-ES" w:eastAsia="es-ES" w:bidi="es-ES"/>
        </w:rPr>
        <w:t>En primer lugar</w:t>
      </w:r>
      <w:r w:rsidRPr="006D7E12">
        <w:rPr>
          <w:rFonts w:ascii="Arial" w:eastAsia="Arial" w:hAnsi="Arial"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6D7E12">
        <w:rPr>
          <w:rFonts w:ascii="Arial" w:eastAsia="Arial" w:hAnsi="Arial" w:cs="Arial"/>
          <w:i/>
          <w:iCs/>
          <w:lang w:val="es-ES" w:eastAsia="es-ES" w:bidi="es-ES"/>
        </w:rPr>
        <w:t>En segundo lugar</w:t>
      </w:r>
      <w:r w:rsidRPr="006D7E12">
        <w:rPr>
          <w:rFonts w:ascii="Arial" w:eastAsia="Arial" w:hAnsi="Arial"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21"/>
    </w:p>
    <w:bookmarkEnd w:id="22"/>
    <w:p w14:paraId="35F1471A" w14:textId="77777777" w:rsidR="00883C23" w:rsidRPr="006D7E12" w:rsidRDefault="00883C23" w:rsidP="00883C23">
      <w:pPr>
        <w:spacing w:after="120" w:line="276" w:lineRule="auto"/>
        <w:ind w:firstLine="709"/>
        <w:jc w:val="both"/>
        <w:rPr>
          <w:rFonts w:ascii="Arial" w:eastAsia="Arial" w:hAnsi="Arial" w:cs="Arial"/>
          <w:lang w:val="es-ES" w:eastAsia="es-ES" w:bidi="es-ES"/>
        </w:rPr>
      </w:pPr>
      <w:r w:rsidRPr="006D7E12">
        <w:rPr>
          <w:rFonts w:ascii="Arial" w:eastAsia="Arial" w:hAnsi="Arial" w:cs="Arial"/>
          <w:lang w:val="es-ES" w:eastAsia="es-ES" w:bidi="es-ES"/>
        </w:rPr>
        <w:lastRenderedPageBreak/>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23"/>
    <w:p w14:paraId="04418857" w14:textId="77777777" w:rsidR="00883C23" w:rsidRPr="006D7E12" w:rsidRDefault="00883C23" w:rsidP="00883C23">
      <w:pPr>
        <w:spacing w:after="0" w:line="276" w:lineRule="auto"/>
        <w:ind w:firstLine="708"/>
        <w:jc w:val="both"/>
        <w:rPr>
          <w:rFonts w:ascii="Arial" w:eastAsia="Arial" w:hAnsi="Arial" w:cs="Arial"/>
          <w:lang w:val="es-ES" w:eastAsia="es-ES" w:bidi="es-ES"/>
        </w:rPr>
      </w:pPr>
      <w:r w:rsidRPr="006D7E12">
        <w:rPr>
          <w:rFonts w:ascii="Arial" w:eastAsia="Arial" w:hAnsi="Arial"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6118278D" w14:textId="77777777" w:rsidR="00883C23" w:rsidRPr="006D7E12" w:rsidRDefault="00883C23" w:rsidP="00883C23">
      <w:pPr>
        <w:spacing w:after="0" w:line="276" w:lineRule="auto"/>
        <w:contextualSpacing/>
        <w:jc w:val="both"/>
        <w:rPr>
          <w:rFonts w:ascii="Arial" w:eastAsia="Times New Roman" w:hAnsi="Arial" w:cs="Arial"/>
          <w:bCs/>
          <w:lang w:val="es-ES" w:eastAsia="es-CO"/>
        </w:rPr>
      </w:pPr>
    </w:p>
    <w:p w14:paraId="6CC873B5" w14:textId="77777777" w:rsidR="00C83CBC" w:rsidRPr="006D7E12" w:rsidRDefault="00883C23" w:rsidP="00C83CBC">
      <w:pPr>
        <w:spacing w:after="0" w:line="276" w:lineRule="auto"/>
        <w:contextualSpacing/>
        <w:jc w:val="both"/>
        <w:rPr>
          <w:rFonts w:ascii="Arial" w:eastAsia="Times New Roman" w:hAnsi="Arial" w:cs="Arial"/>
          <w:b/>
          <w:lang w:val="es-ES" w:eastAsia="es-CO"/>
        </w:rPr>
      </w:pPr>
      <w:r w:rsidRPr="006D7E12">
        <w:rPr>
          <w:rFonts w:ascii="Arial" w:eastAsia="Times New Roman" w:hAnsi="Arial" w:cs="Arial"/>
          <w:b/>
          <w:lang w:val="es-ES" w:eastAsia="es-CO"/>
        </w:rPr>
        <w:t xml:space="preserve">2.2. </w:t>
      </w:r>
      <w:r w:rsidRPr="006D7E12">
        <w:rPr>
          <w:rFonts w:ascii="Arial" w:eastAsia="Times New Roman" w:hAnsi="Arial" w:cs="Arial"/>
          <w:b/>
          <w:bCs/>
          <w:lang w:val="es-MX" w:eastAsia="es-CO"/>
        </w:rPr>
        <w:t>Restricciones en elecciones presidenciales</w:t>
      </w:r>
      <w:r w:rsidR="00C83CBC" w:rsidRPr="006D7E12">
        <w:rPr>
          <w:rFonts w:ascii="Arial" w:eastAsia="Times New Roman" w:hAnsi="Arial" w:cs="Arial"/>
          <w:b/>
          <w:bCs/>
          <w:lang w:val="es-MX" w:eastAsia="es-CO"/>
        </w:rPr>
        <w:t>: prohibición del artículo 33 de la Ley 996 de 2005</w:t>
      </w:r>
    </w:p>
    <w:p w14:paraId="2FE8D1C1" w14:textId="77777777" w:rsidR="00883C23" w:rsidRPr="006D7E12" w:rsidRDefault="00883C23" w:rsidP="00883C23">
      <w:pPr>
        <w:spacing w:after="0" w:line="276" w:lineRule="auto"/>
        <w:contextualSpacing/>
        <w:jc w:val="both"/>
        <w:rPr>
          <w:rFonts w:ascii="Arial" w:eastAsia="Times New Roman" w:hAnsi="Arial" w:cs="Arial"/>
          <w:bCs/>
          <w:lang w:val="es-MX" w:eastAsia="x-none"/>
        </w:rPr>
      </w:pPr>
    </w:p>
    <w:p w14:paraId="11C3B3DB" w14:textId="245EE56F" w:rsidR="00883C23" w:rsidRPr="006D7E12" w:rsidRDefault="00883C23" w:rsidP="00497B71">
      <w:pPr>
        <w:spacing w:after="0" w:line="276" w:lineRule="auto"/>
        <w:contextualSpacing/>
        <w:jc w:val="both"/>
        <w:rPr>
          <w:rFonts w:ascii="Arial" w:eastAsia="Times New Roman" w:hAnsi="Arial" w:cs="Arial"/>
          <w:bCs/>
          <w:lang w:val="es-MX" w:eastAsia="es-CO"/>
        </w:rPr>
      </w:pPr>
      <w:r w:rsidRPr="006D7E12">
        <w:rPr>
          <w:rFonts w:ascii="Arial" w:eastAsia="Times New Roman" w:hAnsi="Arial" w:cs="Arial"/>
          <w:bCs/>
          <w:lang w:val="es-MX" w:eastAsia="x-none"/>
        </w:rPr>
        <w:t xml:space="preserve">El ámbito material de la prohibición contenida </w:t>
      </w:r>
      <w:bookmarkStart w:id="24" w:name="_Hlk75628761"/>
      <w:r w:rsidRPr="006D7E12">
        <w:rPr>
          <w:rFonts w:ascii="Arial" w:eastAsia="Times New Roman" w:hAnsi="Arial" w:cs="Arial"/>
          <w:bCs/>
          <w:lang w:val="es-MX" w:eastAsia="x-none"/>
        </w:rPr>
        <w:t xml:space="preserve">en el artículo 33 de la </w:t>
      </w:r>
      <w:r w:rsidR="00F05D7E" w:rsidRPr="006D7E12">
        <w:rPr>
          <w:rFonts w:ascii="Arial" w:eastAsia="Times New Roman" w:hAnsi="Arial" w:cs="Arial"/>
          <w:bCs/>
          <w:lang w:val="es-MX" w:eastAsia="x-none"/>
        </w:rPr>
        <w:t xml:space="preserve">Ley </w:t>
      </w:r>
      <w:r w:rsidRPr="006D7E12">
        <w:rPr>
          <w:rFonts w:ascii="Arial" w:eastAsia="Times New Roman" w:hAnsi="Arial" w:cs="Arial"/>
          <w:bCs/>
          <w:lang w:val="es-MX" w:eastAsia="x-none"/>
        </w:rPr>
        <w:t xml:space="preserve">996 de 2005 </w:t>
      </w:r>
      <w:bookmarkEnd w:id="24"/>
      <w:r w:rsidRPr="006D7E12">
        <w:rPr>
          <w:rFonts w:ascii="Arial" w:eastAsia="Times New Roman" w:hAnsi="Arial" w:cs="Arial"/>
          <w:bCs/>
          <w:lang w:val="es-MX" w:eastAsia="x-none"/>
        </w:rPr>
        <w:t xml:space="preserve">está delimitado por la expresión </w:t>
      </w:r>
      <w:r w:rsidRPr="006D7E12">
        <w:rPr>
          <w:rFonts w:ascii="Arial" w:eastAsia="Calibri" w:hAnsi="Arial" w:cs="Arial"/>
          <w:bCs/>
          <w:sz w:val="20"/>
          <w:szCs w:val="20"/>
          <w:lang w:val="es-MX"/>
        </w:rPr>
        <w:t>«</w:t>
      </w:r>
      <w:r w:rsidRPr="006D7E12">
        <w:rPr>
          <w:rFonts w:ascii="Arial" w:eastAsia="Times New Roman" w:hAnsi="Arial" w:cs="Arial"/>
          <w:bCs/>
          <w:lang w:val="es-MX" w:eastAsia="x-none"/>
        </w:rPr>
        <w:t>queda prohibida la contratación directa</w:t>
      </w:r>
      <w:r w:rsidRPr="006D7E12">
        <w:rPr>
          <w:rFonts w:ascii="Arial" w:eastAsia="Calibri" w:hAnsi="Arial" w:cs="Arial"/>
          <w:sz w:val="20"/>
          <w:szCs w:val="20"/>
          <w:lang w:val="es-MX"/>
        </w:rPr>
        <w:t>»</w:t>
      </w:r>
      <w:r w:rsidRPr="006D7E12">
        <w:rPr>
          <w:rFonts w:ascii="Arial" w:eastAsia="Times New Roman" w:hAnsi="Arial" w:cs="Arial"/>
          <w:bCs/>
          <w:lang w:val="es-MX" w:eastAsia="x-none"/>
        </w:rPr>
        <w:t>.</w:t>
      </w:r>
      <w:r w:rsidRPr="006D7E12">
        <w:rPr>
          <w:rFonts w:ascii="Arial" w:eastAsia="Times New Roman" w:hAnsi="Arial" w:cs="Arial"/>
          <w:lang w:val="es-MX" w:eastAsia="es-CO"/>
        </w:rPr>
        <w:t xml:space="preserve"> A propósito de </w:t>
      </w:r>
      <w:r w:rsidRPr="006D7E12">
        <w:rPr>
          <w:rFonts w:ascii="Arial" w:eastAsia="Times New Roman" w:hAnsi="Arial" w:cs="Arial"/>
          <w:lang w:eastAsia="es-CO"/>
        </w:rPr>
        <w:t>esta restricción de la Ley de Garantías Electorales, la Sala de Consulta y Servicio Civil del Consejo de Estado ha considerado que:</w:t>
      </w:r>
    </w:p>
    <w:p w14:paraId="1BD78AC3" w14:textId="77777777" w:rsidR="00883C23" w:rsidRPr="006D7E12" w:rsidRDefault="00883C23" w:rsidP="00497B71">
      <w:pPr>
        <w:spacing w:after="0" w:line="276" w:lineRule="auto"/>
        <w:ind w:left="708" w:right="709"/>
        <w:contextualSpacing/>
        <w:jc w:val="both"/>
        <w:rPr>
          <w:rFonts w:ascii="Arial" w:eastAsia="Calibri" w:hAnsi="Arial" w:cs="Arial"/>
          <w:sz w:val="21"/>
          <w:szCs w:val="21"/>
          <w:lang w:val="es-MX"/>
        </w:rPr>
      </w:pPr>
    </w:p>
    <w:p w14:paraId="36F32924" w14:textId="557F0038" w:rsidR="00883C23" w:rsidRPr="006D7E12" w:rsidRDefault="00883C23" w:rsidP="00497B71">
      <w:pPr>
        <w:spacing w:after="0" w:line="240" w:lineRule="auto"/>
        <w:ind w:left="709" w:right="709"/>
        <w:contextualSpacing/>
        <w:jc w:val="both"/>
        <w:rPr>
          <w:rFonts w:ascii="Arial" w:eastAsia="Calibri" w:hAnsi="Arial" w:cs="Arial"/>
          <w:sz w:val="21"/>
          <w:szCs w:val="21"/>
          <w:lang w:val="es-MX"/>
        </w:rPr>
      </w:pPr>
      <w:r w:rsidRPr="006D7E12">
        <w:rPr>
          <w:rFonts w:ascii="Arial" w:eastAsia="Calibri" w:hAnsi="Arial" w:cs="Arial"/>
          <w:sz w:val="21"/>
          <w:szCs w:val="21"/>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6D7E12">
        <w:rPr>
          <w:rFonts w:ascii="Arial" w:eastAsia="Times New Roman" w:hAnsi="Arial" w:cs="Arial"/>
          <w:vertAlign w:val="superscript"/>
          <w:lang w:eastAsia="es-CO"/>
        </w:rPr>
        <w:footnoteReference w:id="11"/>
      </w:r>
      <w:r w:rsidRPr="006D7E12">
        <w:rPr>
          <w:rFonts w:ascii="Arial" w:eastAsia="Calibri" w:hAnsi="Arial" w:cs="Arial"/>
          <w:sz w:val="21"/>
          <w:szCs w:val="21"/>
          <w:lang w:val="es-MX"/>
        </w:rPr>
        <w:t>.</w:t>
      </w:r>
    </w:p>
    <w:p w14:paraId="0438593C" w14:textId="77777777" w:rsidR="00497B71" w:rsidRPr="006D7E12" w:rsidRDefault="00497B71" w:rsidP="00497B71">
      <w:pPr>
        <w:spacing w:after="0" w:line="240" w:lineRule="auto"/>
        <w:ind w:left="709" w:right="709"/>
        <w:contextualSpacing/>
        <w:jc w:val="both"/>
        <w:rPr>
          <w:rFonts w:ascii="Arial" w:eastAsia="Calibri" w:hAnsi="Arial" w:cs="Arial"/>
          <w:sz w:val="21"/>
          <w:szCs w:val="21"/>
          <w:lang w:val="es-MX"/>
        </w:rPr>
      </w:pPr>
    </w:p>
    <w:p w14:paraId="297E1CCD" w14:textId="77777777" w:rsidR="00883C23" w:rsidRPr="006D7E12" w:rsidRDefault="00883C23" w:rsidP="00497B71">
      <w:pPr>
        <w:spacing w:after="0" w:line="240" w:lineRule="auto"/>
        <w:ind w:left="708" w:right="709"/>
        <w:contextualSpacing/>
        <w:jc w:val="both"/>
        <w:rPr>
          <w:rFonts w:ascii="Arial" w:eastAsia="Calibri" w:hAnsi="Arial" w:cs="Arial"/>
          <w:sz w:val="21"/>
          <w:szCs w:val="21"/>
          <w:lang w:val="es-MX"/>
        </w:rPr>
      </w:pPr>
      <w:r w:rsidRPr="006D7E12">
        <w:rPr>
          <w:rFonts w:ascii="Arial" w:eastAsia="Calibri" w:hAnsi="Arial" w:cs="Arial"/>
          <w:sz w:val="21"/>
          <w:szCs w:val="21"/>
          <w:lang w:val="es-MX"/>
        </w:rPr>
        <w:t xml:space="preserve">Esta Sala ha entendido que para los efectos de la ley de garantías, y dada su finalidad, el enunciado ´contratación directa´ es sinónimo </w:t>
      </w:r>
      <w:bookmarkStart w:id="27" w:name="_Hlk75741738"/>
      <w:r w:rsidRPr="006D7E12">
        <w:rPr>
          <w:rFonts w:ascii="Arial" w:eastAsia="Calibri" w:hAnsi="Arial" w:cs="Arial"/>
          <w:sz w:val="21"/>
          <w:szCs w:val="21"/>
          <w:lang w:val="es-MX"/>
        </w:rPr>
        <w:t xml:space="preserve">de cualquier sistema </w:t>
      </w:r>
      <w:r w:rsidRPr="006D7E12">
        <w:rPr>
          <w:rFonts w:ascii="Arial" w:eastAsia="Calibri" w:hAnsi="Arial" w:cs="Arial"/>
          <w:sz w:val="21"/>
          <w:szCs w:val="21"/>
          <w:lang w:val="es-MX"/>
        </w:rPr>
        <w:lastRenderedPageBreak/>
        <w:t xml:space="preserve">que no implique convocatoria pública y posibilidad de pluralidad de oferentes, </w:t>
      </w:r>
      <w:bookmarkEnd w:id="27"/>
      <w:r w:rsidRPr="006D7E12">
        <w:rPr>
          <w:rFonts w:ascii="Arial" w:eastAsia="Calibri" w:hAnsi="Arial" w:cs="Arial"/>
          <w:sz w:val="21"/>
          <w:szCs w:val="21"/>
          <w:lang w:val="es-MX"/>
        </w:rPr>
        <w:t>y que, además, no necesariamente hace referencia al procedimiento especial regulado por la ley de contratación estatal, sino a cualquier otro que prescinda de un proceso de licitación pública o concurso</w:t>
      </w:r>
      <w:r w:rsidRPr="006D7E12">
        <w:rPr>
          <w:rFonts w:ascii="Arial" w:eastAsia="Times New Roman" w:hAnsi="Arial" w:cs="Arial"/>
          <w:sz w:val="21"/>
          <w:szCs w:val="21"/>
          <w:vertAlign w:val="superscript"/>
          <w:lang w:val="es-MX"/>
        </w:rPr>
        <w:footnoteReference w:id="12"/>
      </w:r>
      <w:r w:rsidRPr="006D7E12">
        <w:rPr>
          <w:rFonts w:ascii="Arial" w:eastAsia="Times New Roman" w:hAnsi="Arial" w:cs="Arial"/>
          <w:sz w:val="21"/>
          <w:szCs w:val="21"/>
          <w:vertAlign w:val="superscript"/>
          <w:lang w:val="es-MX"/>
        </w:rPr>
        <w:t>.</w:t>
      </w:r>
      <w:r w:rsidRPr="006D7E12">
        <w:rPr>
          <w:rFonts w:ascii="Arial" w:eastAsia="Calibri" w:hAnsi="Arial" w:cs="Arial"/>
          <w:sz w:val="21"/>
          <w:szCs w:val="21"/>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6D7E12">
        <w:rPr>
          <w:rFonts w:ascii="Arial" w:eastAsia="Times New Roman" w:hAnsi="Arial" w:cs="Arial"/>
          <w:vertAlign w:val="superscript"/>
          <w:lang w:eastAsia="es-CO"/>
        </w:rPr>
        <w:footnoteReference w:id="13"/>
      </w:r>
      <w:r w:rsidRPr="006D7E12">
        <w:rPr>
          <w:rFonts w:ascii="Arial" w:eastAsia="Calibri" w:hAnsi="Arial" w:cs="Arial"/>
          <w:sz w:val="21"/>
          <w:szCs w:val="21"/>
          <w:lang w:val="es-MX"/>
        </w:rPr>
        <w:t xml:space="preserve"> .</w:t>
      </w:r>
    </w:p>
    <w:p w14:paraId="6623AC54" w14:textId="77777777" w:rsidR="00883C23" w:rsidRPr="006D7E12" w:rsidRDefault="00883C23" w:rsidP="00497B71">
      <w:pPr>
        <w:shd w:val="clear" w:color="auto" w:fill="FFFFFF"/>
        <w:spacing w:after="0" w:line="276" w:lineRule="auto"/>
        <w:ind w:firstLine="709"/>
        <w:contextualSpacing/>
        <w:jc w:val="both"/>
        <w:rPr>
          <w:rFonts w:ascii="Arial" w:eastAsia="Times New Roman" w:hAnsi="Arial" w:cs="Arial"/>
          <w:lang w:eastAsia="x-none"/>
        </w:rPr>
      </w:pPr>
    </w:p>
    <w:p w14:paraId="0196F3C7" w14:textId="77777777" w:rsidR="00883C23" w:rsidRPr="006D7E12" w:rsidRDefault="00883C23" w:rsidP="00D90D8A">
      <w:pPr>
        <w:spacing w:after="120" w:line="276" w:lineRule="auto"/>
        <w:ind w:firstLine="709"/>
        <w:jc w:val="both"/>
        <w:rPr>
          <w:rFonts w:ascii="Arial" w:eastAsia="Times New Roman" w:hAnsi="Arial" w:cs="Arial"/>
          <w:bCs/>
          <w:lang w:eastAsia="x-none"/>
        </w:rPr>
      </w:pPr>
      <w:bookmarkStart w:id="29" w:name="_Hlk94521748"/>
      <w:r w:rsidRPr="006D7E12">
        <w:rPr>
          <w:rFonts w:ascii="Arial" w:eastAsia="Times New Roman" w:hAnsi="Arial" w:cs="Arial"/>
          <w:lang w:eastAsia="x-none"/>
        </w:rPr>
        <w:t xml:space="preserve">De conformidad con el citado concepto, </w:t>
      </w:r>
      <w:bookmarkStart w:id="30" w:name="_Hlk78818702"/>
      <w:r w:rsidRPr="006D7E12">
        <w:rPr>
          <w:rFonts w:ascii="Arial" w:eastAsia="Times New Roman" w:hAnsi="Arial" w:cs="Arial"/>
          <w:lang w:eastAsia="x-none"/>
        </w:rPr>
        <w:t xml:space="preserve">la prohibición del artículo 33 de la Ley de Garantías Electorales se refiere a </w:t>
      </w:r>
      <w:bookmarkStart w:id="31" w:name="_Hlk74294635"/>
      <w:r w:rsidRPr="006D7E12">
        <w:rPr>
          <w:rFonts w:ascii="Arial" w:eastAsia="Times New Roman" w:hAnsi="Arial" w:cs="Arial"/>
          <w:sz w:val="19"/>
          <w:szCs w:val="19"/>
          <w:lang w:eastAsia="en-GB"/>
        </w:rPr>
        <w:t>«</w:t>
      </w:r>
      <w:bookmarkEnd w:id="31"/>
      <w:r w:rsidRPr="006D7E12">
        <w:rPr>
          <w:rFonts w:ascii="Arial" w:eastAsia="Times New Roman" w:hAnsi="Arial" w:cs="Arial"/>
          <w:lang w:eastAsia="x-none"/>
        </w:rPr>
        <w:t>cualquier sistema que no implique convocatoria pública y posibilidad de pluralidad de oferentes</w:t>
      </w:r>
      <w:bookmarkStart w:id="32" w:name="_Hlk74404754"/>
      <w:r w:rsidRPr="006D7E12">
        <w:rPr>
          <w:rFonts w:ascii="Arial" w:eastAsia="Times New Roman" w:hAnsi="Arial" w:cs="Arial"/>
          <w:lang w:eastAsia="en-GB"/>
        </w:rPr>
        <w:t>»</w:t>
      </w:r>
      <w:bookmarkEnd w:id="32"/>
      <w:r w:rsidRPr="006D7E12">
        <w:rPr>
          <w:rFonts w:ascii="Arial" w:eastAsia="Times New Roman" w:hAnsi="Arial" w:cs="Arial"/>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29"/>
      <w:bookmarkEnd w:id="30"/>
      <w:r w:rsidRPr="006D7E12">
        <w:rPr>
          <w:rFonts w:ascii="Arial" w:eastAsia="Times New Roman" w:hAnsi="Arial" w:cs="Arial"/>
          <w:lang w:eastAsia="x-none"/>
        </w:rPr>
        <w:t>Esta posición es congruente con la expedición de la Ley 1150 de 2007 que, entre otras reformas, introdujo la selección abreviada, rediseñó el concurso de méritos</w:t>
      </w:r>
      <w:r w:rsidRPr="006D7E12">
        <w:rPr>
          <w:rFonts w:ascii="Arial" w:eastAsia="Times New Roman" w:hAnsi="Arial" w:cs="Arial"/>
          <w:vertAlign w:val="superscript"/>
          <w:lang w:val="en-GB" w:eastAsia="x-none"/>
        </w:rPr>
        <w:footnoteReference w:id="14"/>
      </w:r>
      <w:r w:rsidRPr="006D7E12">
        <w:rPr>
          <w:rFonts w:ascii="Arial" w:eastAsia="Times New Roman" w:hAnsi="Arial" w:cs="Arial"/>
          <w:lang w:eastAsia="x-none"/>
        </w:rPr>
        <w:t xml:space="preserve"> y sistematizó las causales de contratación directa</w:t>
      </w:r>
      <w:r w:rsidRPr="006D7E12">
        <w:rPr>
          <w:rFonts w:ascii="Arial" w:eastAsia="Times New Roman" w:hAnsi="Arial" w:cs="Arial"/>
          <w:vertAlign w:val="superscript"/>
          <w:lang w:val="en-GB" w:eastAsia="x-none"/>
        </w:rPr>
        <w:footnoteReference w:id="15"/>
      </w:r>
      <w:r w:rsidRPr="006D7E12">
        <w:rPr>
          <w:rFonts w:ascii="Arial" w:eastAsia="Times New Roman" w:hAnsi="Arial" w:cs="Arial"/>
          <w:lang w:eastAsia="x-none"/>
        </w:rPr>
        <w:t xml:space="preserve">. </w:t>
      </w:r>
    </w:p>
    <w:p w14:paraId="1712C3EE" w14:textId="77777777" w:rsidR="00883C23" w:rsidRPr="006D7E12" w:rsidRDefault="00883C23" w:rsidP="00D90D8A">
      <w:pPr>
        <w:spacing w:after="120" w:line="276" w:lineRule="auto"/>
        <w:ind w:firstLine="709"/>
        <w:jc w:val="both"/>
        <w:rPr>
          <w:rFonts w:ascii="Arial" w:eastAsia="Times New Roman" w:hAnsi="Arial" w:cs="Arial"/>
          <w:lang w:val="es-MX" w:eastAsia="x-none"/>
        </w:rPr>
      </w:pPr>
      <w:r w:rsidRPr="006D7E12">
        <w:rPr>
          <w:rFonts w:ascii="Arial" w:eastAsia="Times New Roman" w:hAnsi="Arial" w:cs="Arial"/>
          <w:lang w:eastAsia="x-none"/>
        </w:rPr>
        <w:t xml:space="preserve">De esta forma, se ha depurado la noción de </w:t>
      </w:r>
      <w:r w:rsidRPr="006D7E12">
        <w:rPr>
          <w:rFonts w:ascii="Arial" w:eastAsia="Times New Roman" w:hAnsi="Arial" w:cs="Arial"/>
          <w:sz w:val="19"/>
          <w:szCs w:val="19"/>
          <w:lang w:eastAsia="en-GB"/>
        </w:rPr>
        <w:t>«</w:t>
      </w:r>
      <w:r w:rsidRPr="006D7E12">
        <w:rPr>
          <w:rFonts w:ascii="Arial" w:eastAsia="Times New Roman" w:hAnsi="Arial" w:cs="Arial"/>
          <w:lang w:eastAsia="x-none"/>
        </w:rPr>
        <w:t>contratación directa</w:t>
      </w:r>
      <w:r w:rsidRPr="006D7E12">
        <w:rPr>
          <w:rFonts w:ascii="Arial" w:eastAsia="Times New Roman" w:hAnsi="Arial" w:cs="Arial"/>
          <w:lang w:eastAsia="en-GB"/>
        </w:rPr>
        <w:t>»</w:t>
      </w:r>
      <w:r w:rsidRPr="006D7E12">
        <w:rPr>
          <w:rFonts w:ascii="Arial" w:eastAsia="Times New Roman" w:hAnsi="Arial"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6D7E12">
        <w:rPr>
          <w:rFonts w:ascii="Arial" w:eastAsia="Times New Roman" w:hAnsi="Arial" w:cs="Arial"/>
          <w:vertAlign w:val="superscript"/>
          <w:lang w:val="en-GB" w:eastAsia="x-none"/>
        </w:rPr>
        <w:footnoteReference w:id="16"/>
      </w:r>
      <w:r w:rsidRPr="006D7E12">
        <w:rPr>
          <w:rFonts w:ascii="Arial" w:eastAsia="Times New Roman" w:hAnsi="Arial" w:cs="Arial"/>
          <w:lang w:eastAsia="x-none"/>
        </w:rPr>
        <w:t>, han establecido sistemas de contratación que implican convocatoria pública y participación de varios oferentes</w:t>
      </w:r>
      <w:r w:rsidRPr="006D7E12">
        <w:rPr>
          <w:rFonts w:ascii="Arial" w:eastAsia="Times New Roman" w:hAnsi="Arial" w:cs="Arial"/>
          <w:lang w:eastAsia="en-GB"/>
        </w:rPr>
        <w:t>»</w:t>
      </w:r>
      <w:r w:rsidRPr="006D7E12">
        <w:rPr>
          <w:rFonts w:ascii="Arial" w:eastAsia="Times New Roman" w:hAnsi="Arial" w:cs="Arial"/>
          <w:lang w:eastAsia="x-none"/>
        </w:rPr>
        <w:t xml:space="preserve">. </w:t>
      </w:r>
    </w:p>
    <w:p w14:paraId="45F34280" w14:textId="77777777" w:rsidR="00883C23" w:rsidRPr="006D7E12" w:rsidRDefault="00883C23" w:rsidP="00D90D8A">
      <w:pPr>
        <w:spacing w:after="120" w:line="276" w:lineRule="auto"/>
        <w:ind w:firstLine="709"/>
        <w:jc w:val="both"/>
        <w:rPr>
          <w:rFonts w:ascii="Arial" w:eastAsia="Times New Roman" w:hAnsi="Arial" w:cs="Arial"/>
          <w:bCs/>
          <w:lang w:val="es-MX" w:eastAsia="es-CO"/>
        </w:rPr>
      </w:pPr>
      <w:r w:rsidRPr="006D7E12">
        <w:rPr>
          <w:rFonts w:ascii="Arial" w:eastAsia="Times New Roman" w:hAnsi="Arial" w:cs="Arial"/>
          <w:bCs/>
          <w:lang w:val="es-MX" w:eastAsia="x-none"/>
        </w:rPr>
        <w:t>E</w:t>
      </w:r>
      <w:r w:rsidRPr="006D7E12">
        <w:rPr>
          <w:rFonts w:ascii="Arial" w:eastAsia="Times New Roman" w:hAnsi="Arial" w:cs="Arial"/>
          <w:lang w:eastAsia="x-none"/>
        </w:rPr>
        <w:t xml:space="preserve">n efecto, vale la pena mencionar que, </w:t>
      </w:r>
      <w:bookmarkStart w:id="34" w:name="_Hlk75636073"/>
      <w:r w:rsidRPr="006D7E12">
        <w:rPr>
          <w:rFonts w:ascii="Arial" w:eastAsia="Times New Roman" w:hAnsi="Arial" w:cs="Arial"/>
          <w:lang w:eastAsia="x-none"/>
        </w:rPr>
        <w:t xml:space="preserve">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w:t>
      </w:r>
      <w:r w:rsidRPr="006D7E12">
        <w:rPr>
          <w:rFonts w:ascii="Arial" w:eastAsia="Times New Roman" w:hAnsi="Arial" w:cs="Arial"/>
          <w:lang w:eastAsia="x-none"/>
        </w:rPr>
        <w:lastRenderedPageBreak/>
        <w:t>convocatoria para inscribirse en forma previa se haga de manera pública, y que se permita la participación de una pluralidad de oferentes</w:t>
      </w:r>
      <w:bookmarkEnd w:id="34"/>
      <w:r w:rsidRPr="006D7E12">
        <w:rPr>
          <w:rFonts w:ascii="Arial" w:eastAsia="Times New Roman" w:hAnsi="Arial" w:cs="Arial"/>
          <w:vertAlign w:val="superscript"/>
          <w:lang w:eastAsia="x-none"/>
        </w:rPr>
        <w:footnoteReference w:id="17"/>
      </w:r>
      <w:r w:rsidRPr="006D7E12">
        <w:rPr>
          <w:rFonts w:ascii="Arial" w:eastAsia="Times New Roman" w:hAnsi="Arial" w:cs="Arial"/>
          <w:lang w:eastAsia="x-none"/>
        </w:rPr>
        <w:t xml:space="preserve">. </w:t>
      </w:r>
    </w:p>
    <w:p w14:paraId="204B00F5" w14:textId="66932824" w:rsidR="00883C23" w:rsidRPr="006D7E12" w:rsidRDefault="00883C23" w:rsidP="00D90D8A">
      <w:pPr>
        <w:spacing w:after="120" w:line="276" w:lineRule="auto"/>
        <w:ind w:firstLine="709"/>
        <w:jc w:val="both"/>
        <w:rPr>
          <w:rFonts w:ascii="Arial" w:eastAsia="Times New Roman" w:hAnsi="Arial" w:cs="Arial"/>
          <w:bCs/>
          <w:lang w:val="es-MX" w:eastAsia="es-CO"/>
        </w:rPr>
      </w:pPr>
      <w:r w:rsidRPr="006D7E12">
        <w:rPr>
          <w:rFonts w:ascii="Arial" w:eastAsia="Times New Roman" w:hAnsi="Arial" w:cs="Arial"/>
          <w:bCs/>
          <w:lang w:val="es-MX" w:eastAsia="es-CO"/>
        </w:rPr>
        <w:t>Como se advierte de lo anterior, el Consejo de Estado realiza una interpretación amplia de la contratación directa, para efectos de aplicar las restricciones establecidas en la Ley de Garantías</w:t>
      </w:r>
      <w:r w:rsidR="00F2080B" w:rsidRPr="006D7E12">
        <w:rPr>
          <w:rFonts w:ascii="Arial" w:eastAsia="Times New Roman" w:hAnsi="Arial" w:cs="Arial"/>
          <w:bCs/>
          <w:lang w:val="es-MX" w:eastAsia="es-CO"/>
        </w:rPr>
        <w:t xml:space="preserve"> Electorales</w:t>
      </w:r>
      <w:r w:rsidRPr="006D7E12">
        <w:rPr>
          <w:rFonts w:ascii="Arial" w:eastAsia="Times New Roman" w:hAnsi="Arial" w:cs="Arial"/>
          <w:bCs/>
          <w:lang w:val="es-MX" w:eastAsia="es-CO"/>
        </w:rPr>
        <w:t xml:space="preserve">, al señalar que no solo aplica frente a las entidades sometidas al Estatuto </w:t>
      </w:r>
      <w:r w:rsidR="00F820CB" w:rsidRPr="006D7E12">
        <w:rPr>
          <w:rFonts w:ascii="Arial" w:eastAsia="Times New Roman" w:hAnsi="Arial" w:cs="Arial"/>
          <w:bCs/>
          <w:lang w:val="es-MX" w:eastAsia="es-CO"/>
        </w:rPr>
        <w:t xml:space="preserve">General </w:t>
      </w:r>
      <w:r w:rsidRPr="006D7E12">
        <w:rPr>
          <w:rFonts w:ascii="Arial" w:eastAsia="Times New Roman" w:hAnsi="Arial" w:cs="Arial"/>
          <w:bCs/>
          <w:lang w:val="es-MX" w:eastAsia="es-CO"/>
        </w:rPr>
        <w:t>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787067B4" w14:textId="02DB6001" w:rsidR="00883C23" w:rsidRPr="006D7E12" w:rsidRDefault="00883C23" w:rsidP="00D90D8A">
      <w:pPr>
        <w:spacing w:after="120" w:line="276" w:lineRule="auto"/>
        <w:ind w:firstLine="709"/>
        <w:jc w:val="both"/>
        <w:rPr>
          <w:rFonts w:ascii="Arial" w:eastAsia="Times New Roman" w:hAnsi="Arial" w:cs="Arial"/>
          <w:bCs/>
          <w:lang w:val="es-MX" w:eastAsia="x-none"/>
        </w:rPr>
      </w:pPr>
      <w:bookmarkStart w:id="35" w:name="_Hlk78818796"/>
      <w:r w:rsidRPr="006D7E12">
        <w:rPr>
          <w:rFonts w:ascii="Arial" w:eastAsia="Times New Roman" w:hAnsi="Arial" w:cs="Arial"/>
          <w:bCs/>
          <w:lang w:val="es-MX" w:eastAsia="x-none"/>
        </w:rPr>
        <w:t xml:space="preserve"> Así las cosas, </w:t>
      </w:r>
      <w:bookmarkStart w:id="36" w:name="_Hlk99577798"/>
      <w:r w:rsidRPr="006D7E12">
        <w:rPr>
          <w:rFonts w:ascii="Arial" w:eastAsia="Times New Roman" w:hAnsi="Arial" w:cs="Arial"/>
          <w:bCs/>
          <w:lang w:val="es-MX" w:eastAsia="x-none"/>
        </w:rPr>
        <w:t>ha de entenderse que, para los efectos de la Ley de Garantías Electorales y, en particular, para la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6D7E12">
        <w:rPr>
          <w:rFonts w:ascii="Arial" w:eastAsia="Times New Roman" w:hAnsi="Arial" w:cs="Arial"/>
          <w:vertAlign w:val="superscript"/>
          <w:lang w:eastAsia="x-none"/>
        </w:rPr>
        <w:footnoteReference w:id="18"/>
      </w:r>
      <w:r w:rsidRPr="006D7E12">
        <w:rPr>
          <w:rFonts w:ascii="Arial" w:eastAsia="Times New Roman" w:hAnsi="Arial" w:cs="Arial"/>
          <w:bCs/>
          <w:lang w:val="es-MX" w:eastAsia="x-none"/>
        </w:rPr>
        <w:t>.</w:t>
      </w:r>
      <w:r w:rsidRPr="006D7E12">
        <w:rPr>
          <w:rFonts w:ascii="Arial" w:eastAsia="Times New Roman" w:hAnsi="Arial" w:cs="Arial"/>
          <w:vertAlign w:val="superscript"/>
          <w:lang w:eastAsia="x-none"/>
        </w:rPr>
        <w:t xml:space="preserve"> </w:t>
      </w:r>
    </w:p>
    <w:bookmarkEnd w:id="35"/>
    <w:p w14:paraId="0B476725" w14:textId="34FEC202" w:rsidR="00883C23" w:rsidRPr="006D7E12" w:rsidRDefault="00883C23" w:rsidP="00D90D8A">
      <w:pPr>
        <w:spacing w:after="120" w:line="276" w:lineRule="auto"/>
        <w:ind w:firstLine="709"/>
        <w:jc w:val="both"/>
        <w:rPr>
          <w:rFonts w:ascii="Arial" w:eastAsia="Times New Roman" w:hAnsi="Arial" w:cs="Arial"/>
          <w:lang w:eastAsia="x-none"/>
        </w:rPr>
      </w:pPr>
      <w:r w:rsidRPr="006D7E12">
        <w:rPr>
          <w:rFonts w:ascii="Arial" w:eastAsia="Times New Roman" w:hAnsi="Arial"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6D7E12">
        <w:rPr>
          <w:rFonts w:ascii="Arial" w:eastAsia="Times New Roman" w:hAnsi="Arial" w:cs="Arial"/>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las entidades públicas</w:t>
      </w:r>
      <w:r w:rsidR="007D7A6D" w:rsidRPr="006D7E12">
        <w:rPr>
          <w:rFonts w:ascii="Arial" w:eastAsia="Times New Roman" w:hAnsi="Arial" w:cs="Arial"/>
          <w:lang w:eastAsia="x-none"/>
        </w:rPr>
        <w:t xml:space="preserve"> pueden</w:t>
      </w:r>
      <w:r w:rsidRPr="006D7E12">
        <w:rPr>
          <w:rFonts w:ascii="Arial" w:eastAsia="Times New Roman" w:hAnsi="Arial" w:cs="Arial"/>
          <w:lang w:eastAsia="x-none"/>
        </w:rPr>
        <w:t xml:space="preserve"> seguir contratando bajo estos sistemas.</w:t>
      </w:r>
    </w:p>
    <w:p w14:paraId="4D4CA891" w14:textId="77777777" w:rsidR="00883C23" w:rsidRPr="006D7E12" w:rsidRDefault="00883C23" w:rsidP="00D90D8A">
      <w:pPr>
        <w:spacing w:after="120" w:line="276" w:lineRule="auto"/>
        <w:ind w:firstLine="709"/>
        <w:jc w:val="both"/>
        <w:rPr>
          <w:rFonts w:ascii="Arial" w:eastAsia="Times New Roman" w:hAnsi="Arial" w:cs="Arial"/>
          <w:bCs/>
          <w:lang w:val="es-MX" w:eastAsia="x-none"/>
        </w:rPr>
      </w:pPr>
      <w:bookmarkStart w:id="37" w:name="_Hlk77237094"/>
      <w:bookmarkEnd w:id="36"/>
      <w:r w:rsidRPr="006D7E12">
        <w:rPr>
          <w:rFonts w:ascii="Arial" w:eastAsia="Times New Roman" w:hAnsi="Arial" w:cs="Arial"/>
          <w:bCs/>
          <w:lang w:val="es-MX"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37"/>
    </w:p>
    <w:p w14:paraId="10EBB060" w14:textId="2C6590AF" w:rsidR="00883C23" w:rsidRPr="006D7E12" w:rsidRDefault="00883C23" w:rsidP="00D90D8A">
      <w:pPr>
        <w:spacing w:after="120" w:line="276" w:lineRule="auto"/>
        <w:ind w:firstLine="709"/>
        <w:jc w:val="both"/>
        <w:rPr>
          <w:rFonts w:ascii="Arial" w:eastAsia="Times New Roman" w:hAnsi="Arial" w:cs="Arial"/>
          <w:bCs/>
          <w:lang w:val="es-MX" w:eastAsia="es-CO"/>
        </w:rPr>
      </w:pPr>
      <w:r w:rsidRPr="006D7E12">
        <w:rPr>
          <w:rFonts w:ascii="Arial" w:eastAsia="Times New Roman" w:hAnsi="Arial" w:cs="Arial"/>
          <w:bCs/>
          <w:lang w:val="es-MX" w:eastAsia="x-none"/>
        </w:rPr>
        <w:t xml:space="preserve">De otro lado, </w:t>
      </w:r>
      <w:bookmarkStart w:id="38" w:name="_Hlk99577887"/>
      <w:bookmarkStart w:id="39" w:name="_Hlk100679762"/>
      <w:r w:rsidRPr="006D7E12">
        <w:rPr>
          <w:rFonts w:ascii="Arial" w:eastAsia="Times New Roman" w:hAnsi="Arial" w:cs="Arial"/>
          <w:bCs/>
          <w:lang w:val="es-MX" w:eastAsia="x-none"/>
        </w:rPr>
        <w:t>las excepciones a la restricción prevista en la Ley de Garantías</w:t>
      </w:r>
      <w:r w:rsidR="00174706" w:rsidRPr="006D7E12">
        <w:rPr>
          <w:rFonts w:ascii="Arial" w:eastAsia="Times New Roman" w:hAnsi="Arial" w:cs="Arial"/>
          <w:bCs/>
          <w:lang w:val="es-MX" w:eastAsia="x-none"/>
        </w:rPr>
        <w:t xml:space="preserve"> Electorales</w:t>
      </w:r>
      <w:r w:rsidRPr="006D7E12">
        <w:rPr>
          <w:rFonts w:ascii="Arial" w:eastAsia="Times New Roman" w:hAnsi="Arial" w:cs="Arial"/>
          <w:bCs/>
          <w:lang w:val="es-MX" w:eastAsia="x-none"/>
        </w:rPr>
        <w:t>,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w:t>
      </w:r>
      <w:r w:rsidR="00DF5A9D" w:rsidRPr="006D7E12">
        <w:rPr>
          <w:rFonts w:ascii="Arial" w:eastAsia="Times New Roman" w:hAnsi="Arial" w:cs="Arial"/>
          <w:bCs/>
          <w:lang w:val="es-MX" w:eastAsia="x-none"/>
        </w:rPr>
        <w:t>:</w:t>
      </w:r>
      <w:r w:rsidRPr="006D7E12">
        <w:rPr>
          <w:rFonts w:ascii="Arial" w:eastAsia="Times New Roman" w:hAnsi="Arial" w:cs="Arial"/>
          <w:bCs/>
          <w:lang w:val="es-MX" w:eastAsia="x-none"/>
        </w:rPr>
        <w:t xml:space="preserve"> i) la defensa y seguridad del Estado; ii) </w:t>
      </w:r>
      <w:r w:rsidRPr="006D7E12">
        <w:rPr>
          <w:rFonts w:ascii="Arial" w:eastAsia="Times New Roman" w:hAnsi="Arial" w:cs="Arial"/>
          <w:bCs/>
          <w:lang w:val="es-MX" w:eastAsia="x-none"/>
        </w:rPr>
        <w:lastRenderedPageBreak/>
        <w:t>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6D7E12">
        <w:rPr>
          <w:rFonts w:ascii="Arial" w:eastAsia="Times New Roman" w:hAnsi="Arial" w:cs="Arial"/>
          <w:bCs/>
          <w:lang w:val="es-MX" w:eastAsia="es-CO"/>
        </w:rPr>
        <w:t xml:space="preserve"> </w:t>
      </w:r>
      <w:r w:rsidR="007D7A6D" w:rsidRPr="006D7E12">
        <w:rPr>
          <w:rFonts w:ascii="Arial" w:eastAsia="Times New Roman" w:hAnsi="Arial" w:cs="Arial"/>
          <w:bCs/>
          <w:lang w:val="es-MX" w:eastAsia="es-CO"/>
        </w:rPr>
        <w:t>E</w:t>
      </w:r>
      <w:r w:rsidRPr="006D7E12">
        <w:rPr>
          <w:rFonts w:ascii="Arial" w:eastAsia="Times New Roman" w:hAnsi="Arial" w:cs="Arial"/>
          <w:bCs/>
          <w:lang w:val="es-MX" w:eastAsia="es-CO"/>
        </w:rPr>
        <w:t>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bookmarkEnd w:id="38"/>
    </w:p>
    <w:bookmarkEnd w:id="39"/>
    <w:p w14:paraId="3CDA035B" w14:textId="64863E82" w:rsidR="00883C23" w:rsidRPr="006D7E12" w:rsidRDefault="00883C23" w:rsidP="00883C23">
      <w:pPr>
        <w:spacing w:after="0" w:line="276" w:lineRule="auto"/>
        <w:ind w:firstLine="708"/>
        <w:jc w:val="both"/>
        <w:rPr>
          <w:rFonts w:ascii="Arial" w:eastAsia="Times New Roman" w:hAnsi="Arial" w:cs="Arial"/>
          <w:bCs/>
          <w:lang w:val="es-MX" w:eastAsia="x-none"/>
        </w:rPr>
      </w:pPr>
      <w:r w:rsidRPr="006D7E12">
        <w:rPr>
          <w:rFonts w:ascii="Arial" w:eastAsia="Times New Roman" w:hAnsi="Arial" w:cs="Arial"/>
          <w:bCs/>
          <w:lang w:val="es-MX" w:eastAsia="x-none"/>
        </w:rPr>
        <w:t>En esta labor es importante tener en cuenta, como lo anotó la Corte Constitucional, en Sentencia C-1153 de noviembre 11 de 2005</w:t>
      </w:r>
      <w:r w:rsidR="00F04513" w:rsidRPr="006D7E12">
        <w:rPr>
          <w:rFonts w:ascii="Calibri" w:eastAsia="Calibri" w:hAnsi="Calibri" w:cs="Times New Roman"/>
          <w:sz w:val="24"/>
          <w:lang w:val="es-MX"/>
        </w:rPr>
        <w:t>,</w:t>
      </w:r>
      <w:r w:rsidRPr="006D7E12">
        <w:rPr>
          <w:rFonts w:ascii="Arial" w:eastAsia="Times New Roman" w:hAnsi="Arial" w:cs="Arial"/>
          <w:bCs/>
          <w:lang w:val="es-MX" w:eastAsia="x-none"/>
        </w:rPr>
        <w:t xml:space="preserve"> </w:t>
      </w:r>
      <w:bookmarkStart w:id="40" w:name="_Hlk74309042"/>
      <w:r w:rsidRPr="006D7E12">
        <w:rPr>
          <w:rFonts w:ascii="Arial" w:eastAsia="Times New Roman" w:hAnsi="Arial" w:cs="Arial"/>
          <w:bCs/>
          <w:lang w:val="es-MX" w:eastAsia="x-none"/>
        </w:rPr>
        <w:t>que «</w:t>
      </w:r>
      <w:bookmarkEnd w:id="40"/>
      <w:r w:rsidRPr="006D7E12">
        <w:rPr>
          <w:rFonts w:ascii="Arial" w:eastAsia="Times New Roman" w:hAnsi="Arial" w:cs="Arial"/>
          <w:bCs/>
          <w:lang w:val="es-MX" w:eastAsia="x-none"/>
        </w:rPr>
        <w:t xml:space="preserve">si bien la limitación garantiza la igualdad de condiciones, también es necesario que tal limitación que pretende la igualdad </w:t>
      </w:r>
      <w:bookmarkStart w:id="41" w:name="_Hlk75768308"/>
      <w:r w:rsidRPr="006D7E12">
        <w:rPr>
          <w:rFonts w:ascii="Arial" w:eastAsia="Times New Roman" w:hAnsi="Arial" w:cs="Arial"/>
          <w:bCs/>
          <w:lang w:val="es-MX" w:eastAsia="x-none"/>
        </w:rPr>
        <w:t>no termine yendo en detrimento de intereses públicos, cuya garantía está en cabeza del ejecutivo, como son los inmersos en las excepciones para la prohibición de contratación</w:t>
      </w:r>
      <w:bookmarkStart w:id="42" w:name="_Hlk74309060"/>
      <w:r w:rsidRPr="006D7E12">
        <w:rPr>
          <w:rFonts w:ascii="Arial" w:eastAsia="Times New Roman" w:hAnsi="Arial" w:cs="Arial"/>
          <w:bCs/>
          <w:lang w:val="es-MX" w:eastAsia="x-none"/>
        </w:rPr>
        <w:t>»</w:t>
      </w:r>
      <w:bookmarkEnd w:id="42"/>
      <w:r w:rsidRPr="006D7E12">
        <w:rPr>
          <w:rFonts w:ascii="Arial" w:eastAsia="Calibri" w:hAnsi="Arial" w:cs="Arial"/>
          <w:vertAlign w:val="superscript"/>
          <w:lang w:val="es-MX"/>
        </w:rPr>
        <w:footnoteReference w:id="19"/>
      </w:r>
      <w:r w:rsidRPr="006D7E12">
        <w:rPr>
          <w:rFonts w:ascii="Arial" w:eastAsia="Times New Roman" w:hAnsi="Arial" w:cs="Arial"/>
          <w:bCs/>
          <w:lang w:val="es-MX"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43" w:name="_Hlk75783800"/>
      <w:bookmarkEnd w:id="41"/>
    </w:p>
    <w:p w14:paraId="12BF818B" w14:textId="77777777" w:rsidR="00883C23" w:rsidRPr="006D7E12" w:rsidRDefault="00883C23" w:rsidP="00883C23">
      <w:pPr>
        <w:spacing w:after="0" w:line="276" w:lineRule="auto"/>
        <w:ind w:firstLine="708"/>
        <w:jc w:val="both"/>
        <w:rPr>
          <w:rFonts w:ascii="Arial" w:eastAsia="Times New Roman" w:hAnsi="Arial" w:cs="Arial"/>
          <w:bCs/>
          <w:lang w:val="es-MX" w:eastAsia="x-none"/>
        </w:rPr>
      </w:pPr>
    </w:p>
    <w:p w14:paraId="57D96FE9" w14:textId="77777777" w:rsidR="00883C23" w:rsidRPr="006D7E12" w:rsidRDefault="00883C23" w:rsidP="00883C23">
      <w:pPr>
        <w:spacing w:after="0" w:line="276" w:lineRule="auto"/>
        <w:jc w:val="both"/>
        <w:rPr>
          <w:rFonts w:ascii="Arial" w:eastAsia="Times New Roman" w:hAnsi="Arial" w:cs="Arial"/>
          <w:b/>
          <w:lang w:val="es-MX" w:eastAsia="x-none"/>
        </w:rPr>
      </w:pPr>
      <w:r w:rsidRPr="006D7E12">
        <w:rPr>
          <w:rFonts w:ascii="Arial" w:eastAsia="Times New Roman" w:hAnsi="Arial" w:cs="Arial"/>
          <w:b/>
          <w:lang w:val="es-MX" w:eastAsia="x-none"/>
        </w:rPr>
        <w:t>2.3.  Destinatarios de la restricción del artículo 33 de la Ley 996 de 2005</w:t>
      </w:r>
    </w:p>
    <w:p w14:paraId="4BA7233F" w14:textId="77777777" w:rsidR="00883C23" w:rsidRPr="006D7E12" w:rsidRDefault="00883C23" w:rsidP="00883C23">
      <w:pPr>
        <w:spacing w:after="0" w:line="276" w:lineRule="auto"/>
        <w:jc w:val="both"/>
        <w:rPr>
          <w:rFonts w:ascii="Arial" w:eastAsia="Times New Roman" w:hAnsi="Arial" w:cs="Arial"/>
          <w:bCs/>
          <w:lang w:val="es-MX" w:eastAsia="x-none"/>
        </w:rPr>
      </w:pPr>
    </w:p>
    <w:p w14:paraId="66000D6A" w14:textId="0B7C7334" w:rsidR="00883C23" w:rsidRPr="006D7E12" w:rsidRDefault="00883C23" w:rsidP="00883C23">
      <w:pPr>
        <w:spacing w:after="0" w:line="276" w:lineRule="auto"/>
        <w:jc w:val="both"/>
        <w:rPr>
          <w:rFonts w:ascii="Arial" w:eastAsia="Times New Roman" w:hAnsi="Arial" w:cs="Arial"/>
          <w:bCs/>
          <w:lang w:val="es-MX" w:eastAsia="x-none"/>
        </w:rPr>
      </w:pPr>
      <w:bookmarkStart w:id="44" w:name="_Hlk99578018"/>
      <w:r w:rsidRPr="006D7E12">
        <w:rPr>
          <w:rFonts w:ascii="Arial" w:eastAsia="Times New Roman" w:hAnsi="Arial" w:cs="Arial"/>
          <w:bCs/>
          <w:lang w:val="es-MX"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6D7E12">
        <w:rPr>
          <w:rFonts w:ascii="Calibri" w:eastAsia="Calibri" w:hAnsi="Calibri" w:cs="Times New Roman"/>
          <w:sz w:val="24"/>
          <w:lang w:val="es-MX"/>
        </w:rPr>
        <w:t xml:space="preserve"> </w:t>
      </w:r>
      <w:r w:rsidRPr="006D7E12">
        <w:rPr>
          <w:rFonts w:ascii="Arial" w:eastAsia="Times New Roman" w:hAnsi="Arial" w:cs="Arial"/>
          <w:bCs/>
          <w:lang w:val="es-MX" w:eastAsia="x-none"/>
        </w:rPr>
        <w:t xml:space="preserve">En efecto, como ha sostenido el Consejo de Estado, el vocablo </w:t>
      </w:r>
      <w:bookmarkStart w:id="45" w:name="_Hlk75632581"/>
      <w:r w:rsidRPr="006D7E12">
        <w:rPr>
          <w:rFonts w:ascii="Arial" w:eastAsia="Times New Roman" w:hAnsi="Arial" w:cs="Arial"/>
          <w:bCs/>
          <w:lang w:val="es-MX" w:eastAsia="x-none"/>
        </w:rPr>
        <w:t>«</w:t>
      </w:r>
      <w:bookmarkEnd w:id="45"/>
      <w:r w:rsidRPr="006D7E12">
        <w:rPr>
          <w:rFonts w:ascii="Arial" w:eastAsia="Times New Roman" w:hAnsi="Arial" w:cs="Arial"/>
          <w:bCs/>
          <w:lang w:val="es-MX" w:eastAsia="x-none"/>
        </w:rPr>
        <w:t>todos» utilizado por el legislador comprende</w:t>
      </w:r>
      <w:r w:rsidRPr="006D7E12">
        <w:rPr>
          <w:rFonts w:ascii="Calibri" w:eastAsia="Calibri" w:hAnsi="Calibri" w:cs="Times New Roman"/>
          <w:sz w:val="24"/>
          <w:lang w:val="es-MX"/>
        </w:rPr>
        <w:t xml:space="preserve"> </w:t>
      </w:r>
      <w:r w:rsidRPr="006D7E12">
        <w:rPr>
          <w:rFonts w:ascii="Arial" w:eastAsia="Times New Roman" w:hAnsi="Arial" w:cs="Arial"/>
          <w:bCs/>
          <w:lang w:val="es-MX" w:eastAsia="x-none"/>
        </w:rPr>
        <w:t>a la totalidad de los entes del Estado, sin distinción del régimen jurídico, forma de organización o naturaleza, su pertenencia a una u otra rama del poder público o su autonomía</w:t>
      </w:r>
      <w:bookmarkEnd w:id="43"/>
      <w:r w:rsidRPr="006D7E12">
        <w:rPr>
          <w:rFonts w:ascii="Arial" w:eastAsia="Times New Roman" w:hAnsi="Arial" w:cs="Arial"/>
          <w:bCs/>
          <w:lang w:val="es-MX" w:eastAsia="x-none"/>
        </w:rPr>
        <w:t xml:space="preserve">, e incluso si las entidades estatales tienen régimen especial de contratación y están exceptuadas del ámbito de aplicación del Estatuto General de Contratación de la Administración Pública. </w:t>
      </w:r>
      <w:bookmarkEnd w:id="44"/>
      <w:r w:rsidRPr="006D7E12">
        <w:rPr>
          <w:rFonts w:ascii="Arial" w:eastAsia="Times New Roman" w:hAnsi="Arial" w:cs="Arial"/>
          <w:bCs/>
          <w:lang w:val="es-MX" w:eastAsia="x-none"/>
        </w:rPr>
        <w:t xml:space="preserve">El Consejo de Estado, en Concepto con radicado 1727 de fecha 20 de febrero de 2006, consideró que: </w:t>
      </w:r>
    </w:p>
    <w:p w14:paraId="2B0F7A12" w14:textId="77777777" w:rsidR="00883C23" w:rsidRPr="006D7E12" w:rsidRDefault="00883C23" w:rsidP="00883C23">
      <w:pPr>
        <w:spacing w:after="0" w:line="276" w:lineRule="auto"/>
        <w:ind w:firstLine="708"/>
        <w:contextualSpacing/>
        <w:jc w:val="both"/>
        <w:rPr>
          <w:rFonts w:ascii="Arial" w:eastAsia="Times New Roman" w:hAnsi="Arial" w:cs="Arial"/>
          <w:bCs/>
          <w:lang w:val="es-MX" w:eastAsia="x-none"/>
        </w:rPr>
      </w:pPr>
    </w:p>
    <w:p w14:paraId="0BCAC0DC" w14:textId="77777777" w:rsidR="00883C23" w:rsidRPr="006D7E12" w:rsidRDefault="00883C23" w:rsidP="00883C23">
      <w:pPr>
        <w:spacing w:after="0" w:line="240" w:lineRule="auto"/>
        <w:ind w:left="708" w:right="709"/>
        <w:contextualSpacing/>
        <w:jc w:val="both"/>
        <w:rPr>
          <w:rFonts w:ascii="Arial" w:eastAsia="Times New Roman" w:hAnsi="Arial" w:cs="Arial"/>
          <w:bCs/>
          <w:sz w:val="21"/>
          <w:szCs w:val="21"/>
          <w:lang w:val="es-MX" w:eastAsia="es-CO"/>
        </w:rPr>
      </w:pPr>
      <w:r w:rsidRPr="006D7E12">
        <w:rPr>
          <w:rFonts w:ascii="Arial" w:eastAsia="Times New Roman" w:hAnsi="Arial" w:cs="Arial"/>
          <w:bCs/>
          <w:sz w:val="21"/>
          <w:szCs w:val="21"/>
          <w:lang w:val="es-MX" w:eastAsia="x-none"/>
        </w:rPr>
        <w:t xml:space="preserve">El artículo 33 de la ley 996 de 2005, </w:t>
      </w:r>
      <w:bookmarkStart w:id="46" w:name="_Hlk75787147"/>
      <w:r w:rsidRPr="006D7E12">
        <w:rPr>
          <w:rFonts w:ascii="Arial" w:eastAsia="Times New Roman" w:hAnsi="Arial" w:cs="Arial"/>
          <w:bCs/>
          <w:sz w:val="21"/>
          <w:szCs w:val="21"/>
          <w:lang w:val="es-MX" w:eastAsia="x-none"/>
        </w:rPr>
        <w:t xml:space="preserve">efectivamente se aplica </w:t>
      </w:r>
      <w:bookmarkStart w:id="47" w:name="_Hlk76074089"/>
      <w:r w:rsidRPr="006D7E12">
        <w:rPr>
          <w:rFonts w:ascii="Arial" w:eastAsia="Times New Roman" w:hAnsi="Arial" w:cs="Arial"/>
          <w:bCs/>
          <w:sz w:val="21"/>
          <w:szCs w:val="21"/>
          <w:lang w:val="es-MX" w:eastAsia="x-none"/>
        </w:rPr>
        <w:t xml:space="preserve">incluso a las entidades estatales con régimen especial de contratación y que están </w:t>
      </w:r>
      <w:r w:rsidRPr="006D7E12">
        <w:rPr>
          <w:rFonts w:ascii="Arial" w:eastAsia="Times New Roman" w:hAnsi="Arial" w:cs="Arial"/>
          <w:bCs/>
          <w:sz w:val="21"/>
          <w:szCs w:val="21"/>
          <w:lang w:val="es-MX" w:eastAsia="x-none"/>
        </w:rPr>
        <w:lastRenderedPageBreak/>
        <w:t>exceptuadas del ámbito de aplicación del Estatuto General de Contratación de la Administración Pública</w:t>
      </w:r>
      <w:bookmarkEnd w:id="47"/>
      <w:r w:rsidRPr="006D7E12">
        <w:rPr>
          <w:rFonts w:ascii="Arial" w:eastAsia="Times New Roman" w:hAnsi="Arial" w:cs="Arial"/>
          <w:bCs/>
          <w:sz w:val="21"/>
          <w:szCs w:val="21"/>
          <w:lang w:val="es-MX" w:eastAsia="x-none"/>
        </w:rPr>
        <w:t>,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6D7E12">
        <w:rPr>
          <w:rFonts w:ascii="Arial" w:eastAsia="Times New Roman" w:hAnsi="Arial" w:cs="Arial"/>
          <w:bCs/>
          <w:sz w:val="21"/>
          <w:szCs w:val="21"/>
          <w:vertAlign w:val="superscript"/>
          <w:lang w:val="es-MX" w:eastAsia="x-none"/>
        </w:rPr>
        <w:footnoteReference w:id="20"/>
      </w:r>
      <w:r w:rsidRPr="006D7E12">
        <w:rPr>
          <w:rFonts w:ascii="Arial" w:eastAsia="Times New Roman" w:hAnsi="Arial" w:cs="Arial"/>
          <w:bCs/>
          <w:sz w:val="21"/>
          <w:szCs w:val="21"/>
          <w:lang w:val="es-MX" w:eastAsia="x-none"/>
        </w:rPr>
        <w:t>.</w:t>
      </w:r>
      <w:r w:rsidRPr="006D7E12">
        <w:rPr>
          <w:rFonts w:ascii="Arial" w:eastAsia="Times New Roman" w:hAnsi="Arial" w:cs="Arial"/>
          <w:bCs/>
          <w:sz w:val="21"/>
          <w:szCs w:val="21"/>
          <w:lang w:val="es-MX" w:eastAsia="es-CO"/>
        </w:rPr>
        <w:t xml:space="preserve"> </w:t>
      </w:r>
    </w:p>
    <w:p w14:paraId="7C5573DC" w14:textId="77777777" w:rsidR="00883C23" w:rsidRPr="006D7E12" w:rsidRDefault="00883C23" w:rsidP="00883C23">
      <w:pPr>
        <w:spacing w:after="0" w:line="276" w:lineRule="auto"/>
        <w:ind w:firstLine="708"/>
        <w:contextualSpacing/>
        <w:jc w:val="both"/>
        <w:rPr>
          <w:rFonts w:ascii="Arial" w:eastAsia="Times New Roman" w:hAnsi="Arial" w:cs="Arial"/>
          <w:bCs/>
          <w:lang w:val="es-MX" w:eastAsia="es-CO"/>
        </w:rPr>
      </w:pPr>
    </w:p>
    <w:p w14:paraId="754ACB1C" w14:textId="77777777" w:rsidR="00883C23" w:rsidRPr="006D7E12" w:rsidRDefault="00883C23" w:rsidP="00883C23">
      <w:pPr>
        <w:spacing w:after="0" w:line="276" w:lineRule="auto"/>
        <w:ind w:firstLine="708"/>
        <w:contextualSpacing/>
        <w:jc w:val="both"/>
        <w:rPr>
          <w:rFonts w:ascii="Arial" w:eastAsia="Calibri" w:hAnsi="Arial" w:cs="Arial"/>
          <w:lang w:val="es-MX"/>
        </w:rPr>
      </w:pPr>
      <w:r w:rsidRPr="006D7E12">
        <w:rPr>
          <w:rFonts w:ascii="Arial" w:eastAsia="Times New Roman" w:hAnsi="Arial" w:cs="Arial"/>
          <w:bCs/>
          <w:lang w:val="es-MX" w:eastAsia="x-none"/>
        </w:rPr>
        <w:t>En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id="48" w:name="_Hlk75635823"/>
      <w:r w:rsidRPr="006D7E12">
        <w:rPr>
          <w:rFonts w:ascii="Arial" w:eastAsia="Times New Roman" w:hAnsi="Arial" w:cs="Arial"/>
          <w:bCs/>
          <w:lang w:val="es-MX" w:eastAsia="x-none"/>
        </w:rPr>
        <w:t>»</w:t>
      </w:r>
      <w:bookmarkStart w:id="49" w:name="_Hlk75758868"/>
      <w:bookmarkStart w:id="50" w:name="_Hlk75741220"/>
      <w:bookmarkEnd w:id="48"/>
      <w:r w:rsidRPr="006D7E12">
        <w:rPr>
          <w:rFonts w:ascii="Arial" w:eastAsia="Calibri" w:hAnsi="Arial" w:cs="Arial"/>
          <w:sz w:val="24"/>
          <w:vertAlign w:val="superscript"/>
          <w:lang w:val="es-MX"/>
        </w:rPr>
        <w:footnoteReference w:id="21"/>
      </w:r>
      <w:bookmarkEnd w:id="49"/>
      <w:bookmarkEnd w:id="50"/>
      <w:r w:rsidRPr="006D7E12">
        <w:rPr>
          <w:rFonts w:ascii="Arial" w:eastAsia="Times New Roman" w:hAnsi="Arial" w:cs="Arial"/>
          <w:bCs/>
          <w:lang w:val="es-MX" w:eastAsia="x-none"/>
        </w:rPr>
        <w:t>.</w:t>
      </w:r>
      <w:r w:rsidRPr="006D7E12">
        <w:rPr>
          <w:rFonts w:ascii="Arial" w:eastAsia="Calibri" w:hAnsi="Arial" w:cs="Arial"/>
          <w:lang w:val="es-MX"/>
        </w:rPr>
        <w:t xml:space="preserve"> Sin embargo, debe precisarse el siguiente aspecto que distinguió la Sala de Consulta y Servicio Civil:</w:t>
      </w:r>
    </w:p>
    <w:p w14:paraId="515EEBAE" w14:textId="77777777" w:rsidR="00883C23" w:rsidRPr="006D7E12" w:rsidRDefault="00883C23" w:rsidP="00883C23">
      <w:pPr>
        <w:spacing w:after="0" w:line="276" w:lineRule="auto"/>
        <w:contextualSpacing/>
        <w:jc w:val="both"/>
        <w:rPr>
          <w:rFonts w:ascii="Arial" w:eastAsia="Calibri" w:hAnsi="Arial" w:cs="Arial"/>
          <w:lang w:val="es-MX"/>
        </w:rPr>
      </w:pPr>
    </w:p>
    <w:p w14:paraId="41844B73" w14:textId="77777777" w:rsidR="00883C23" w:rsidRPr="006D7E12" w:rsidRDefault="00883C23" w:rsidP="00883C23">
      <w:pPr>
        <w:spacing w:after="0" w:line="240" w:lineRule="auto"/>
        <w:ind w:left="708" w:right="709"/>
        <w:contextualSpacing/>
        <w:jc w:val="both"/>
        <w:rPr>
          <w:rFonts w:ascii="Arial" w:eastAsia="Calibri" w:hAnsi="Arial" w:cs="Arial"/>
          <w:sz w:val="21"/>
          <w:szCs w:val="21"/>
          <w:lang w:val="es-MX"/>
        </w:rPr>
      </w:pPr>
      <w:bookmarkStart w:id="52" w:name="_Hlk75811446"/>
      <w:r w:rsidRPr="006D7E12">
        <w:rPr>
          <w:rFonts w:ascii="Arial" w:eastAsia="Calibri" w:hAnsi="Arial" w:cs="Arial"/>
          <w:sz w:val="21"/>
          <w:szCs w:val="21"/>
          <w:lang w:val="es-MX"/>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52"/>
      <w:r w:rsidRPr="006D7E12">
        <w:rPr>
          <w:rFonts w:ascii="Arial" w:eastAsia="Calibri" w:hAnsi="Arial" w:cs="Arial"/>
          <w:sz w:val="24"/>
          <w:vertAlign w:val="superscript"/>
          <w:lang w:val="es-MX"/>
        </w:rPr>
        <w:footnoteReference w:id="22"/>
      </w:r>
      <w:r w:rsidRPr="006D7E12">
        <w:rPr>
          <w:rFonts w:ascii="Arial" w:eastAsia="Times New Roman" w:hAnsi="Arial" w:cs="Arial"/>
          <w:bCs/>
          <w:lang w:val="es-MX" w:eastAsia="x-none"/>
        </w:rPr>
        <w:t>.</w:t>
      </w:r>
    </w:p>
    <w:p w14:paraId="0B4F616F" w14:textId="77777777" w:rsidR="00883C23" w:rsidRPr="006D7E12" w:rsidRDefault="00883C23" w:rsidP="00883C23">
      <w:pPr>
        <w:spacing w:after="0" w:line="276" w:lineRule="auto"/>
        <w:contextualSpacing/>
        <w:jc w:val="both"/>
        <w:rPr>
          <w:rFonts w:ascii="Arial" w:eastAsia="Calibri" w:hAnsi="Arial" w:cs="Arial"/>
          <w:lang w:val="es-MX"/>
        </w:rPr>
      </w:pPr>
    </w:p>
    <w:p w14:paraId="7F598CF4" w14:textId="3121CBB7" w:rsidR="00883C23" w:rsidRPr="006D7E12" w:rsidRDefault="00883C23" w:rsidP="00883C23">
      <w:pPr>
        <w:spacing w:after="120" w:line="276" w:lineRule="auto"/>
        <w:ind w:firstLine="709"/>
        <w:jc w:val="both"/>
        <w:rPr>
          <w:rFonts w:ascii="Arial" w:eastAsia="Times New Roman" w:hAnsi="Arial" w:cs="Arial"/>
          <w:bCs/>
          <w:lang w:val="es-MX" w:eastAsia="x-none"/>
        </w:rPr>
      </w:pPr>
      <w:r w:rsidRPr="006D7E12">
        <w:rPr>
          <w:rFonts w:ascii="Arial" w:eastAsia="Calibri" w:hAnsi="Arial" w:cs="Arial"/>
          <w:lang w:val="es-MX"/>
        </w:rPr>
        <w:t>Aplicando este razonamiento,</w:t>
      </w:r>
      <w:bookmarkStart w:id="53" w:name="_Hlk75811096"/>
      <w:r w:rsidRPr="006D7E12">
        <w:rPr>
          <w:rFonts w:ascii="Arial" w:eastAsia="Calibri" w:hAnsi="Arial" w:cs="Arial"/>
          <w:lang w:val="es-MX"/>
        </w:rPr>
        <w:t xml:space="preserve"> se tiene que las empresas industriales y comerciales del estado y las empresas de servicios públicos oficiales y mixtas no pueden adquirir los </w:t>
      </w:r>
      <w:r w:rsidRPr="006D7E12">
        <w:rPr>
          <w:rFonts w:ascii="Arial" w:eastAsia="Calibri" w:hAnsi="Arial" w:cs="Arial"/>
          <w:lang w:val="es-MX"/>
        </w:rPr>
        <w:lastRenderedPageBreak/>
        <w:t xml:space="preserve">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w:t>
      </w:r>
      <w:r w:rsidR="00004152" w:rsidRPr="006D7E12">
        <w:rPr>
          <w:rFonts w:ascii="Arial" w:eastAsia="Calibri" w:hAnsi="Arial" w:cs="Arial"/>
          <w:lang w:val="es-MX"/>
        </w:rPr>
        <w:t xml:space="preserve">Ley </w:t>
      </w:r>
      <w:r w:rsidRPr="006D7E12">
        <w:rPr>
          <w:rFonts w:ascii="Arial" w:eastAsia="Calibri" w:hAnsi="Arial" w:cs="Arial"/>
          <w:lang w:val="es-MX"/>
        </w:rPr>
        <w:t>996 de 2005</w:t>
      </w:r>
      <w:bookmarkEnd w:id="53"/>
      <w:r w:rsidRPr="006D7E12">
        <w:rPr>
          <w:rFonts w:ascii="Arial" w:eastAsia="Calibri" w:hAnsi="Arial" w:cs="Arial"/>
          <w:lang w:val="es-MX"/>
        </w:rPr>
        <w:t>»</w:t>
      </w:r>
      <w:r w:rsidRPr="006D7E12">
        <w:rPr>
          <w:rFonts w:ascii="Arial" w:eastAsia="Calibri" w:hAnsi="Arial" w:cs="Arial"/>
          <w:sz w:val="24"/>
          <w:vertAlign w:val="superscript"/>
          <w:lang w:val="es-MX"/>
        </w:rPr>
        <w:t xml:space="preserve"> </w:t>
      </w:r>
      <w:r w:rsidRPr="006D7E12">
        <w:rPr>
          <w:rFonts w:ascii="Arial" w:eastAsia="Calibri" w:hAnsi="Arial" w:cs="Arial"/>
          <w:vertAlign w:val="superscript"/>
          <w:lang w:val="es-MX"/>
        </w:rPr>
        <w:footnoteReference w:id="23"/>
      </w:r>
      <w:r w:rsidRPr="006D7E12">
        <w:rPr>
          <w:rFonts w:ascii="Arial" w:eastAsia="Calibri" w:hAnsi="Arial" w:cs="Arial"/>
          <w:lang w:val="es-MX"/>
        </w:rPr>
        <w:t>.</w:t>
      </w:r>
    </w:p>
    <w:p w14:paraId="29815E3C" w14:textId="77777777" w:rsidR="00883C23" w:rsidRPr="006D7E12" w:rsidRDefault="00883C23" w:rsidP="00883C23">
      <w:pPr>
        <w:spacing w:after="0" w:line="276" w:lineRule="auto"/>
        <w:ind w:firstLine="708"/>
        <w:jc w:val="both"/>
        <w:rPr>
          <w:rFonts w:ascii="Arial" w:eastAsia="Times New Roman" w:hAnsi="Arial" w:cs="Arial"/>
          <w:bCs/>
          <w:lang w:val="es-MX" w:eastAsia="x-none"/>
        </w:rPr>
      </w:pPr>
      <w:bookmarkStart w:id="54" w:name="_Hlk77237229"/>
      <w:bookmarkEnd w:id="46"/>
      <w:r w:rsidRPr="006D7E12">
        <w:rPr>
          <w:rFonts w:ascii="Arial" w:eastAsia="Calibri" w:hAnsi="Arial" w:cs="Arial"/>
          <w:lang w:val="es-MX"/>
        </w:rPr>
        <w:t>Por lo tanto, la restricción prevista en la Ley 996 de 200</w:t>
      </w:r>
      <w:bookmarkStart w:id="55" w:name="_Hlk75741539"/>
      <w:r w:rsidRPr="006D7E12">
        <w:rPr>
          <w:rFonts w:ascii="Arial" w:eastAsia="Calibri" w:hAnsi="Arial" w:cs="Arial"/>
          <w:lang w:val="es-MX"/>
        </w:rPr>
        <w:t xml:space="preserve">5, </w:t>
      </w:r>
      <w:r w:rsidRPr="006D7E12">
        <w:rPr>
          <w:rFonts w:ascii="Arial" w:eastAsia="Times New Roman" w:hAnsi="Arial" w:cs="Arial"/>
          <w:bCs/>
          <w:lang w:val="es-MX" w:eastAsia="x-none"/>
        </w:rPr>
        <w:t>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bookmarkEnd w:id="54"/>
    <w:bookmarkEnd w:id="55"/>
    <w:p w14:paraId="6308E55B" w14:textId="77777777" w:rsidR="00883C23" w:rsidRPr="006D7E12" w:rsidRDefault="00883C23" w:rsidP="00883C23">
      <w:pPr>
        <w:spacing w:after="0" w:line="276" w:lineRule="auto"/>
        <w:jc w:val="both"/>
        <w:rPr>
          <w:rFonts w:ascii="Arial" w:eastAsia="Calibri" w:hAnsi="Arial" w:cs="Arial"/>
          <w:lang w:val="es-MX"/>
        </w:rPr>
      </w:pPr>
    </w:p>
    <w:p w14:paraId="6753D1C9" w14:textId="77777777" w:rsidR="00883C23" w:rsidRPr="006D7E12" w:rsidRDefault="00883C23" w:rsidP="00883C23">
      <w:pPr>
        <w:spacing w:after="0" w:line="276" w:lineRule="auto"/>
        <w:jc w:val="both"/>
        <w:rPr>
          <w:rFonts w:ascii="Arial" w:eastAsia="Calibri" w:hAnsi="Arial" w:cs="Arial"/>
          <w:b/>
          <w:bCs/>
          <w:lang w:val="es-MX"/>
        </w:rPr>
      </w:pPr>
      <w:bookmarkStart w:id="56" w:name="_Hlk75784645"/>
      <w:r w:rsidRPr="006D7E12">
        <w:rPr>
          <w:rFonts w:ascii="Arial" w:eastAsia="Calibri" w:hAnsi="Arial" w:cs="Arial"/>
          <w:b/>
          <w:bCs/>
          <w:lang w:val="es-MX"/>
        </w:rPr>
        <w:t xml:space="preserve">2.4. </w:t>
      </w:r>
      <w:bookmarkStart w:id="57" w:name="_Hlk77153296"/>
      <w:r w:rsidRPr="006D7E12">
        <w:rPr>
          <w:rFonts w:ascii="Arial" w:eastAsia="Times New Roman" w:hAnsi="Arial" w:cs="Arial"/>
          <w:b/>
          <w:bCs/>
          <w:lang w:val="es-MX" w:eastAsia="es-CO"/>
        </w:rPr>
        <w:t xml:space="preserve">Restricciones </w:t>
      </w:r>
      <w:bookmarkStart w:id="58" w:name="_Hlk75643279"/>
      <w:r w:rsidRPr="006D7E12">
        <w:rPr>
          <w:rFonts w:ascii="Arial" w:eastAsia="Times New Roman" w:hAnsi="Arial" w:cs="Arial"/>
          <w:b/>
          <w:bCs/>
          <w:lang w:val="es-MX" w:eastAsia="es-CO"/>
        </w:rPr>
        <w:t xml:space="preserve">para la celebración de contratos y convenios interadministrativos en los comicios para cargos de elección popular </w:t>
      </w:r>
    </w:p>
    <w:p w14:paraId="15A40448" w14:textId="77777777" w:rsidR="00883C23" w:rsidRPr="006D7E12" w:rsidRDefault="00883C23" w:rsidP="00883C23">
      <w:pPr>
        <w:tabs>
          <w:tab w:val="left" w:pos="426"/>
        </w:tabs>
        <w:spacing w:after="0" w:line="276" w:lineRule="auto"/>
        <w:jc w:val="both"/>
        <w:rPr>
          <w:rFonts w:ascii="Arial" w:eastAsia="Calibri" w:hAnsi="Arial" w:cs="Arial"/>
          <w:bCs/>
        </w:rPr>
      </w:pPr>
      <w:bookmarkStart w:id="59" w:name="_Hlk88210558"/>
      <w:bookmarkEnd w:id="57"/>
      <w:bookmarkEnd w:id="58"/>
    </w:p>
    <w:p w14:paraId="50450616" w14:textId="77777777" w:rsidR="00883C23" w:rsidRPr="006D7E12" w:rsidRDefault="00883C23" w:rsidP="00883C23">
      <w:pPr>
        <w:tabs>
          <w:tab w:val="left" w:pos="426"/>
        </w:tabs>
        <w:spacing w:after="120" w:line="276" w:lineRule="auto"/>
        <w:jc w:val="both"/>
        <w:rPr>
          <w:rFonts w:ascii="Arial" w:eastAsia="Calibri" w:hAnsi="Arial" w:cs="Arial"/>
          <w:bCs/>
        </w:rPr>
      </w:pPr>
      <w:r w:rsidRPr="006D7E12">
        <w:rPr>
          <w:rFonts w:ascii="Arial" w:eastAsia="Calibri" w:hAnsi="Arial" w:cs="Arial"/>
          <w:bCs/>
        </w:rPr>
        <w:t xml:space="preserve">El parágrafo del artículo 38 de la Ley 996 de 2005 dispone que «[l]os Gobernadores, </w:t>
      </w:r>
      <w:proofErr w:type="gramStart"/>
      <w:r w:rsidRPr="006D7E12">
        <w:rPr>
          <w:rFonts w:ascii="Arial" w:eastAsia="Calibri" w:hAnsi="Arial" w:cs="Arial"/>
          <w:bCs/>
        </w:rPr>
        <w:t>Alcaldes</w:t>
      </w:r>
      <w:proofErr w:type="gramEnd"/>
      <w:r w:rsidRPr="006D7E12">
        <w:rPr>
          <w:rFonts w:ascii="Arial" w:eastAsia="Calibri" w:hAnsi="Arial" w:cs="Arial"/>
          <w:bCs/>
        </w:rPr>
        <w:t xml:space="preserve">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6D7E12">
        <w:rPr>
          <w:rFonts w:ascii="Arial" w:eastAsia="Times New Roman" w:hAnsi="Arial" w:cs="Arial"/>
          <w:bCs/>
          <w:iCs/>
          <w:lang w:val="es-MX" w:eastAsia="x-none"/>
        </w:rPr>
        <w:t xml:space="preserve"> </w:t>
      </w:r>
      <w:bookmarkStart w:id="60" w:name="_Hlk99578153"/>
      <w:bookmarkEnd w:id="59"/>
      <w:r w:rsidRPr="006D7E12">
        <w:rPr>
          <w:rFonts w:ascii="Arial" w:eastAsia="Times New Roman" w:hAnsi="Arial" w:cs="Arial"/>
          <w:bCs/>
          <w:iCs/>
          <w:lang w:val="es-MX"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bookmarkEnd w:id="60"/>
      <w:r w:rsidRPr="006D7E12">
        <w:rPr>
          <w:rFonts w:ascii="Arial" w:eastAsia="Times New Roman" w:hAnsi="Arial" w:cs="Arial"/>
          <w:bCs/>
          <w:iCs/>
          <w:vertAlign w:val="superscript"/>
          <w:lang w:val="es-MX" w:eastAsia="x-none"/>
        </w:rPr>
        <w:footnoteReference w:id="24"/>
      </w:r>
      <w:r w:rsidRPr="006D7E12">
        <w:rPr>
          <w:rFonts w:ascii="Arial" w:eastAsia="Times New Roman" w:hAnsi="Arial" w:cs="Arial"/>
          <w:bCs/>
          <w:iCs/>
          <w:lang w:val="es-MX" w:eastAsia="x-none"/>
        </w:rPr>
        <w:t>.</w:t>
      </w:r>
      <w:r w:rsidRPr="006D7E12">
        <w:rPr>
          <w:rFonts w:ascii="Arial" w:eastAsia="Calibri" w:hAnsi="Arial" w:cs="Arial"/>
          <w:sz w:val="24"/>
          <w:lang w:val="es-MX"/>
        </w:rPr>
        <w:t xml:space="preserve"> </w:t>
      </w:r>
    </w:p>
    <w:p w14:paraId="03076239" w14:textId="77777777" w:rsidR="00883C23" w:rsidRPr="006D7E12" w:rsidRDefault="00883C23" w:rsidP="00883C23">
      <w:pPr>
        <w:widowControl w:val="0"/>
        <w:autoSpaceDE w:val="0"/>
        <w:autoSpaceDN w:val="0"/>
        <w:spacing w:after="120" w:line="276" w:lineRule="auto"/>
        <w:ind w:firstLine="707"/>
        <w:jc w:val="both"/>
        <w:rPr>
          <w:rFonts w:ascii="Arial" w:eastAsia="Arial" w:hAnsi="Arial" w:cs="Arial"/>
          <w:lang w:val="es-ES" w:eastAsia="es-ES" w:bidi="es-ES"/>
        </w:rPr>
      </w:pPr>
      <w:r w:rsidRPr="006D7E12">
        <w:rPr>
          <w:rFonts w:ascii="Arial" w:eastAsia="Calibri" w:hAnsi="Arial" w:cs="Arial"/>
          <w:bCs/>
          <w:lang w:eastAsia="es-ES" w:bidi="es-ES"/>
        </w:rPr>
        <w:t xml:space="preserve">Ahora bien, </w:t>
      </w:r>
      <w:bookmarkStart w:id="61" w:name="_Hlk78820161"/>
      <w:r w:rsidRPr="006D7E12">
        <w:rPr>
          <w:rFonts w:ascii="Arial" w:eastAsia="Calibri" w:hAnsi="Arial" w:cs="Arial"/>
          <w:bCs/>
          <w:lang w:eastAsia="es-ES" w:bidi="es-ES"/>
        </w:rPr>
        <w:t xml:space="preserve">para determinar el alcance de la prohibición consagrada por la Ley de Garantías Electorales, conviene precisar la tipología de convenios o contratos interadministrativos. </w:t>
      </w:r>
      <w:r w:rsidRPr="006D7E12">
        <w:rPr>
          <w:rFonts w:ascii="Arial" w:eastAsia="Arial" w:hAnsi="Arial" w:cs="Arial"/>
          <w:lang w:val="es-ES" w:eastAsia="es-ES" w:bidi="es-ES"/>
        </w:rPr>
        <w:t xml:space="preserve">Aunque la ley no la definió ni desarrolló, el Decreto 1082 de 2015 califica a los convenios o contratos interadministrativos como aquella contratación entre entidades </w:t>
      </w:r>
      <w:r w:rsidRPr="006D7E12">
        <w:rPr>
          <w:rFonts w:ascii="Arial" w:eastAsia="Arial" w:hAnsi="Arial" w:cs="Arial"/>
          <w:lang w:val="es-ES" w:eastAsia="es-ES" w:bidi="es-ES"/>
        </w:rPr>
        <w:lastRenderedPageBreak/>
        <w:t>estatales</w:t>
      </w:r>
      <w:r w:rsidRPr="006D7E12">
        <w:rPr>
          <w:rFonts w:ascii="Arial" w:eastAsia="Arial" w:hAnsi="Arial" w:cs="Arial"/>
          <w:vertAlign w:val="superscript"/>
          <w:lang w:val="es-ES" w:eastAsia="es-ES" w:bidi="es-ES"/>
        </w:rPr>
        <w:footnoteReference w:id="25"/>
      </w:r>
      <w:r w:rsidRPr="006D7E12">
        <w:rPr>
          <w:rFonts w:ascii="Arial" w:eastAsia="Arial" w:hAnsi="Arial" w:cs="Arial"/>
          <w:lang w:val="es-ES"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6D7E12">
        <w:rPr>
          <w:rFonts w:ascii="Arial" w:eastAsia="Arial" w:hAnsi="Arial" w:cs="Arial"/>
          <w:spacing w:val="-6"/>
          <w:lang w:val="es-ES" w:eastAsia="es-ES" w:bidi="es-ES"/>
        </w:rPr>
        <w:t xml:space="preserve"> </w:t>
      </w:r>
      <w:r w:rsidRPr="006D7E12">
        <w:rPr>
          <w:rFonts w:ascii="Arial" w:eastAsia="Arial" w:hAnsi="Arial" w:cs="Arial"/>
          <w:lang w:val="es-ES" w:eastAsia="es-ES" w:bidi="es-ES"/>
        </w:rPr>
        <w:t>estatales.</w:t>
      </w:r>
    </w:p>
    <w:p w14:paraId="4D4FCB38" w14:textId="0C3C14CA" w:rsidR="00883C23" w:rsidRPr="0096619D" w:rsidRDefault="00883C23" w:rsidP="0096619D">
      <w:pPr>
        <w:widowControl w:val="0"/>
        <w:autoSpaceDE w:val="0"/>
        <w:autoSpaceDN w:val="0"/>
        <w:spacing w:before="117" w:after="120" w:line="276" w:lineRule="auto"/>
        <w:ind w:firstLine="707"/>
        <w:jc w:val="both"/>
        <w:rPr>
          <w:rFonts w:ascii="Arial" w:eastAsia="Calibri" w:hAnsi="Arial" w:cs="Arial"/>
          <w:bCs/>
          <w:lang w:val="es-ES"/>
        </w:rPr>
      </w:pPr>
      <w:bookmarkStart w:id="62" w:name="_Hlk78820654"/>
      <w:bookmarkEnd w:id="61"/>
      <w:r w:rsidRPr="006D7E12">
        <w:rPr>
          <w:rFonts w:ascii="Arial" w:eastAsia="Arial" w:hAnsi="Arial" w:cs="Arial"/>
          <w:lang w:val="es-ES"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r w:rsidR="0096619D">
        <w:rPr>
          <w:rFonts w:ascii="Arial" w:eastAsia="Arial" w:hAnsi="Arial" w:cs="Arial"/>
          <w:lang w:val="es-ES" w:eastAsia="es-ES" w:bidi="es-ES"/>
        </w:rPr>
        <w:t xml:space="preserve"> </w:t>
      </w:r>
    </w:p>
    <w:p w14:paraId="09340B20" w14:textId="77777777" w:rsidR="00883C23" w:rsidRPr="006D7E12" w:rsidRDefault="00883C23" w:rsidP="00883C23">
      <w:pPr>
        <w:widowControl w:val="0"/>
        <w:autoSpaceDE w:val="0"/>
        <w:autoSpaceDN w:val="0"/>
        <w:spacing w:before="121" w:after="120" w:line="276" w:lineRule="auto"/>
        <w:ind w:firstLine="707"/>
        <w:jc w:val="both"/>
        <w:rPr>
          <w:rFonts w:ascii="Arial" w:eastAsia="Arial" w:hAnsi="Arial" w:cs="Arial"/>
          <w:lang w:val="es-ES" w:eastAsia="es-ES" w:bidi="es-ES"/>
        </w:rPr>
      </w:pPr>
      <w:bookmarkStart w:id="63" w:name="_Hlk99578261"/>
      <w:bookmarkEnd w:id="62"/>
      <w:r w:rsidRPr="006D7E12">
        <w:rPr>
          <w:rFonts w:ascii="Arial" w:eastAsia="Arial" w:hAnsi="Arial" w:cs="Arial"/>
          <w:lang w:val="es-ES" w:eastAsia="es-ES" w:bidi="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6D7E12">
        <w:rPr>
          <w:rFonts w:ascii="Arial" w:eastAsia="Arial" w:hAnsi="Arial" w:cs="Arial"/>
          <w:vertAlign w:val="superscript"/>
          <w:lang w:val="es-ES" w:eastAsia="es-ES" w:bidi="es-ES"/>
        </w:rPr>
        <w:footnoteReference w:id="26"/>
      </w:r>
      <w:r w:rsidRPr="006D7E12">
        <w:rPr>
          <w:rFonts w:ascii="Arial" w:eastAsia="Arial" w:hAnsi="Arial" w:cs="Arial"/>
          <w:lang w:val="es-ES" w:eastAsia="es-ES" w:bidi="es-ES"/>
        </w:rPr>
        <w:t>. Nótese que, en este caso, lo que cambia es la modalidad de selección y no la naturaleza de contrato</w:t>
      </w:r>
      <w:r w:rsidRPr="006D7E12">
        <w:rPr>
          <w:rFonts w:ascii="Arial" w:eastAsia="Arial" w:hAnsi="Arial" w:cs="Arial"/>
          <w:spacing w:val="-18"/>
          <w:lang w:val="es-ES" w:eastAsia="es-ES" w:bidi="es-ES"/>
        </w:rPr>
        <w:t xml:space="preserve"> </w:t>
      </w:r>
      <w:r w:rsidRPr="006D7E12">
        <w:rPr>
          <w:rFonts w:ascii="Arial" w:eastAsia="Arial" w:hAnsi="Arial" w:cs="Arial"/>
          <w:lang w:val="es-ES" w:eastAsia="es-ES" w:bidi="es-ES"/>
        </w:rPr>
        <w:t>interadministrativo.</w:t>
      </w:r>
    </w:p>
    <w:bookmarkEnd w:id="63"/>
    <w:p w14:paraId="2C9B84B2" w14:textId="77777777" w:rsidR="00883C23" w:rsidRPr="006D7E12" w:rsidRDefault="00883C23" w:rsidP="00883C23">
      <w:pPr>
        <w:widowControl w:val="0"/>
        <w:autoSpaceDE w:val="0"/>
        <w:autoSpaceDN w:val="0"/>
        <w:spacing w:before="114" w:after="0" w:line="276" w:lineRule="auto"/>
        <w:ind w:firstLine="707"/>
        <w:jc w:val="both"/>
        <w:rPr>
          <w:rFonts w:ascii="Arial" w:eastAsia="Arial" w:hAnsi="Arial" w:cs="Arial"/>
          <w:lang w:val="es-ES" w:eastAsia="es-ES" w:bidi="es-ES"/>
        </w:rPr>
      </w:pPr>
      <w:r w:rsidRPr="006D7E12">
        <w:rPr>
          <w:rFonts w:ascii="Arial" w:eastAsia="Arial" w:hAnsi="Arial" w:cs="Arial"/>
          <w:lang w:val="es-ES" w:eastAsia="es-ES" w:bidi="es-ES"/>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6D7E12">
        <w:rPr>
          <w:rFonts w:ascii="Arial" w:eastAsia="Arial" w:hAnsi="Arial" w:cs="Arial"/>
          <w:spacing w:val="-13"/>
          <w:lang w:val="es-ES" w:eastAsia="es-ES" w:bidi="es-ES"/>
        </w:rPr>
        <w:t xml:space="preserve"> </w:t>
      </w:r>
      <w:r w:rsidRPr="006D7E12">
        <w:rPr>
          <w:rFonts w:ascii="Arial" w:eastAsia="Arial" w:hAnsi="Arial" w:cs="Arial"/>
          <w:lang w:val="es-ES" w:eastAsia="es-ES" w:bidi="es-ES"/>
        </w:rPr>
        <w:t>que:</w:t>
      </w:r>
    </w:p>
    <w:p w14:paraId="653E71BC" w14:textId="77777777" w:rsidR="00883C23" w:rsidRPr="006D7E12" w:rsidRDefault="00883C23" w:rsidP="00883C23">
      <w:pPr>
        <w:widowControl w:val="0"/>
        <w:autoSpaceDE w:val="0"/>
        <w:autoSpaceDN w:val="0"/>
        <w:spacing w:after="0" w:line="276" w:lineRule="auto"/>
        <w:ind w:firstLine="707"/>
        <w:contextualSpacing/>
        <w:jc w:val="both"/>
        <w:rPr>
          <w:rFonts w:ascii="Arial" w:eastAsia="Arial" w:hAnsi="Arial" w:cs="Arial"/>
          <w:lang w:val="es-ES" w:eastAsia="es-ES" w:bidi="es-ES"/>
        </w:rPr>
      </w:pPr>
    </w:p>
    <w:p w14:paraId="279E27AB" w14:textId="77777777" w:rsidR="00883C23" w:rsidRPr="006D7E12" w:rsidRDefault="00883C23" w:rsidP="00883C23">
      <w:pPr>
        <w:spacing w:after="0" w:line="240" w:lineRule="auto"/>
        <w:ind w:left="709" w:right="709"/>
        <w:contextualSpacing/>
        <w:jc w:val="both"/>
        <w:rPr>
          <w:rFonts w:ascii="Arial" w:eastAsia="Calibri" w:hAnsi="Arial" w:cs="Arial"/>
          <w:sz w:val="21"/>
          <w:lang w:val="es-MX"/>
        </w:rPr>
      </w:pPr>
      <w:r w:rsidRPr="006D7E12">
        <w:rPr>
          <w:rFonts w:ascii="Arial" w:eastAsia="Calibri" w:hAnsi="Arial" w:cs="Arial"/>
          <w:sz w:val="21"/>
          <w:lang w:val="es-MX"/>
        </w:rPr>
        <w:t>[…]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6D7E12">
        <w:rPr>
          <w:rFonts w:ascii="Arial" w:eastAsia="Calibri" w:hAnsi="Arial" w:cs="Arial"/>
          <w:sz w:val="21"/>
          <w:vertAlign w:val="superscript"/>
          <w:lang w:val="es-MX"/>
        </w:rPr>
        <w:footnoteReference w:id="27"/>
      </w:r>
      <w:r w:rsidRPr="006D7E12">
        <w:rPr>
          <w:rFonts w:ascii="Arial" w:eastAsia="Calibri" w:hAnsi="Arial" w:cs="Arial"/>
          <w:sz w:val="21"/>
          <w:lang w:val="es-MX"/>
        </w:rPr>
        <w:t>.</w:t>
      </w:r>
    </w:p>
    <w:p w14:paraId="796493F3" w14:textId="77777777" w:rsidR="00883C23" w:rsidRPr="006D7E12" w:rsidRDefault="00883C23" w:rsidP="00883C23">
      <w:pPr>
        <w:spacing w:after="0" w:line="276" w:lineRule="auto"/>
        <w:ind w:left="709" w:right="709"/>
        <w:contextualSpacing/>
        <w:jc w:val="both"/>
        <w:rPr>
          <w:rFonts w:ascii="Arial" w:eastAsia="Calibri" w:hAnsi="Arial" w:cs="Arial"/>
          <w:lang w:val="es-MX"/>
        </w:rPr>
      </w:pPr>
    </w:p>
    <w:p w14:paraId="228CC066" w14:textId="77777777" w:rsidR="00883C23" w:rsidRPr="006D7E12" w:rsidRDefault="00883C23" w:rsidP="00693825">
      <w:pPr>
        <w:widowControl w:val="0"/>
        <w:autoSpaceDE w:val="0"/>
        <w:autoSpaceDN w:val="0"/>
        <w:spacing w:after="120" w:line="276" w:lineRule="auto"/>
        <w:ind w:firstLine="707"/>
        <w:jc w:val="both"/>
        <w:rPr>
          <w:rFonts w:ascii="Arial" w:eastAsia="Arial" w:hAnsi="Arial" w:cs="Arial"/>
          <w:lang w:val="es-ES" w:eastAsia="es-ES" w:bidi="es-ES"/>
        </w:rPr>
      </w:pPr>
      <w:r w:rsidRPr="006D7E12">
        <w:rPr>
          <w:rFonts w:ascii="Arial" w:eastAsia="Arial" w:hAnsi="Arial" w:cs="Arial"/>
          <w:lang w:val="es-ES" w:eastAsia="es-ES" w:bidi="es-ES"/>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0CBDCAEC" w14:textId="77777777" w:rsidR="00883C23" w:rsidRPr="006D7E12" w:rsidRDefault="00883C23" w:rsidP="00693825">
      <w:pPr>
        <w:widowControl w:val="0"/>
        <w:autoSpaceDE w:val="0"/>
        <w:autoSpaceDN w:val="0"/>
        <w:spacing w:before="119" w:after="120" w:line="276" w:lineRule="auto"/>
        <w:ind w:firstLine="707"/>
        <w:jc w:val="both"/>
        <w:rPr>
          <w:rFonts w:ascii="Arial" w:eastAsia="Arial" w:hAnsi="Arial" w:cs="Arial"/>
          <w:lang w:val="es-ES" w:eastAsia="es-ES" w:bidi="es-ES"/>
        </w:rPr>
      </w:pPr>
      <w:r w:rsidRPr="006D7E12">
        <w:rPr>
          <w:rFonts w:ascii="Arial" w:eastAsia="Arial" w:hAnsi="Arial" w:cs="Arial"/>
          <w:lang w:val="es-ES"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6D7E12">
        <w:rPr>
          <w:rFonts w:ascii="Arial" w:eastAsia="Arial" w:hAnsi="Arial" w:cs="Arial"/>
          <w:spacing w:val="-3"/>
          <w:lang w:val="es-ES" w:eastAsia="es-ES" w:bidi="es-ES"/>
        </w:rPr>
        <w:t xml:space="preserve"> </w:t>
      </w:r>
      <w:r w:rsidRPr="006D7E12">
        <w:rPr>
          <w:rFonts w:ascii="Arial" w:eastAsia="Arial" w:hAnsi="Arial" w:cs="Arial"/>
          <w:lang w:val="es-ES" w:eastAsia="es-ES" w:bidi="es-ES"/>
        </w:rPr>
        <w:t>estatales.</w:t>
      </w:r>
    </w:p>
    <w:p w14:paraId="681E663F" w14:textId="77777777" w:rsidR="00883C23" w:rsidRPr="006D7E12" w:rsidRDefault="00883C23" w:rsidP="00693825">
      <w:pPr>
        <w:widowControl w:val="0"/>
        <w:autoSpaceDE w:val="0"/>
        <w:autoSpaceDN w:val="0"/>
        <w:spacing w:before="120" w:after="120" w:line="276" w:lineRule="auto"/>
        <w:ind w:firstLine="709"/>
        <w:jc w:val="both"/>
        <w:rPr>
          <w:rFonts w:ascii="Arial" w:eastAsia="Arial" w:hAnsi="Arial" w:cs="Arial"/>
          <w:lang w:val="es-ES" w:eastAsia="es-ES" w:bidi="es-ES"/>
        </w:rPr>
      </w:pPr>
      <w:r w:rsidRPr="006D7E12">
        <w:rPr>
          <w:rFonts w:ascii="Arial" w:eastAsia="Arial" w:hAnsi="Arial" w:cs="Arial"/>
          <w:lang w:val="es-ES" w:eastAsia="es-ES" w:bidi="es-ES"/>
        </w:rPr>
        <w:lastRenderedPageBreak/>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6D7E12">
        <w:rPr>
          <w:rFonts w:ascii="Arial" w:eastAsia="Arial" w:hAnsi="Arial" w:cs="Arial"/>
          <w:spacing w:val="-4"/>
          <w:lang w:val="es-ES" w:eastAsia="es-ES" w:bidi="es-ES"/>
        </w:rPr>
        <w:t xml:space="preserve"> </w:t>
      </w:r>
      <w:r w:rsidRPr="006D7E12">
        <w:rPr>
          <w:rFonts w:ascii="Arial" w:eastAsia="Arial" w:hAnsi="Arial" w:cs="Arial"/>
          <w:lang w:val="es-ES" w:eastAsia="es-ES" w:bidi="es-ES"/>
        </w:rPr>
        <w:t>estatales.</w:t>
      </w:r>
    </w:p>
    <w:p w14:paraId="714566A9" w14:textId="77777777" w:rsidR="00883C23" w:rsidRPr="006D7E12" w:rsidRDefault="00883C23" w:rsidP="00693825">
      <w:pPr>
        <w:widowControl w:val="0"/>
        <w:autoSpaceDE w:val="0"/>
        <w:autoSpaceDN w:val="0"/>
        <w:spacing w:before="122" w:after="120" w:line="276" w:lineRule="auto"/>
        <w:ind w:firstLine="708"/>
        <w:jc w:val="both"/>
        <w:rPr>
          <w:rFonts w:ascii="Arial" w:eastAsia="Arial" w:hAnsi="Arial" w:cs="Arial"/>
          <w:lang w:val="es-ES" w:eastAsia="es-ES" w:bidi="es-ES"/>
        </w:rPr>
      </w:pPr>
      <w:r w:rsidRPr="006D7E12">
        <w:rPr>
          <w:rFonts w:ascii="Arial" w:eastAsia="Arial" w:hAnsi="Arial" w:cs="Arial"/>
          <w:lang w:val="es-ES" w:eastAsia="es-ES" w:bidi="es-ES"/>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0E805131" w14:textId="77777777" w:rsidR="00883C23" w:rsidRPr="006D7E12" w:rsidRDefault="00883C23" w:rsidP="00693825">
      <w:pPr>
        <w:widowControl w:val="0"/>
        <w:autoSpaceDE w:val="0"/>
        <w:autoSpaceDN w:val="0"/>
        <w:spacing w:after="120" w:line="276" w:lineRule="auto"/>
        <w:ind w:firstLine="708"/>
        <w:jc w:val="both"/>
        <w:rPr>
          <w:rFonts w:ascii="Arial" w:eastAsia="Calibri" w:hAnsi="Arial" w:cs="Arial"/>
          <w:bCs/>
          <w:lang w:eastAsia="es-ES" w:bidi="es-ES"/>
        </w:rPr>
      </w:pPr>
      <w:r w:rsidRPr="006D7E12">
        <w:rPr>
          <w:rFonts w:ascii="Arial" w:eastAsia="Arial" w:hAnsi="Arial" w:cs="Arial"/>
          <w:lang w:val="es-ES" w:eastAsia="es-ES" w:bidi="es-ES"/>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6D7E12">
        <w:rPr>
          <w:rFonts w:ascii="Arial" w:eastAsia="Arial" w:hAnsi="Arial" w:cs="Arial"/>
          <w:spacing w:val="-4"/>
          <w:lang w:val="es-ES" w:eastAsia="es-ES" w:bidi="es-ES"/>
        </w:rPr>
        <w:t xml:space="preserve"> </w:t>
      </w:r>
      <w:r w:rsidRPr="006D7E12">
        <w:rPr>
          <w:rFonts w:ascii="Arial" w:eastAsia="Arial" w:hAnsi="Arial" w:cs="Arial"/>
          <w:lang w:val="es-ES" w:eastAsia="es-ES" w:bidi="es-ES"/>
        </w:rPr>
        <w:t>[…]»</w:t>
      </w:r>
      <w:r w:rsidRPr="006D7E12">
        <w:rPr>
          <w:rFonts w:ascii="Arial" w:eastAsia="Arial" w:hAnsi="Arial" w:cs="Arial"/>
          <w:vertAlign w:val="superscript"/>
          <w:lang w:val="es-ES" w:eastAsia="es-ES" w:bidi="es-ES"/>
        </w:rPr>
        <w:footnoteReference w:id="28"/>
      </w:r>
      <w:r w:rsidRPr="006D7E12">
        <w:rPr>
          <w:rFonts w:ascii="Arial" w:eastAsia="Arial" w:hAnsi="Arial" w:cs="Arial"/>
          <w:lang w:val="es-ES" w:eastAsia="es-ES" w:bidi="es-ES"/>
        </w:rPr>
        <w:t>.</w:t>
      </w:r>
      <w:bookmarkStart w:id="64" w:name="_Hlk77171241"/>
    </w:p>
    <w:p w14:paraId="6BB77893" w14:textId="77777777" w:rsidR="00883C23" w:rsidRPr="006D7E12" w:rsidRDefault="00883C23" w:rsidP="00693825">
      <w:pPr>
        <w:widowControl w:val="0"/>
        <w:autoSpaceDE w:val="0"/>
        <w:autoSpaceDN w:val="0"/>
        <w:spacing w:after="0" w:line="276" w:lineRule="auto"/>
        <w:ind w:firstLine="709"/>
        <w:contextualSpacing/>
        <w:jc w:val="both"/>
        <w:rPr>
          <w:rFonts w:ascii="Arial" w:eastAsia="Arial" w:hAnsi="Arial" w:cs="Arial"/>
          <w:lang w:val="es-ES" w:eastAsia="es-ES" w:bidi="es-ES"/>
        </w:rPr>
      </w:pPr>
      <w:r w:rsidRPr="006D7E12">
        <w:rPr>
          <w:rFonts w:ascii="Arial" w:eastAsia="Arial" w:hAnsi="Arial" w:cs="Arial"/>
          <w:lang w:val="es-ES" w:eastAsia="es-ES" w:bidi="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78998CF2" w14:textId="77777777" w:rsidR="00883C23" w:rsidRPr="006D7E12" w:rsidRDefault="00883C23" w:rsidP="00693825">
      <w:pPr>
        <w:widowControl w:val="0"/>
        <w:autoSpaceDE w:val="0"/>
        <w:autoSpaceDN w:val="0"/>
        <w:spacing w:after="0" w:line="276" w:lineRule="auto"/>
        <w:ind w:firstLine="709"/>
        <w:contextualSpacing/>
        <w:jc w:val="both"/>
        <w:rPr>
          <w:rFonts w:ascii="Arial" w:eastAsia="Arial" w:hAnsi="Arial" w:cs="Arial"/>
          <w:lang w:val="es-ES" w:eastAsia="es-ES" w:bidi="es-ES"/>
        </w:rPr>
      </w:pPr>
    </w:p>
    <w:p w14:paraId="35C10F55" w14:textId="08DB945D" w:rsidR="00883C23" w:rsidRPr="006D7E12" w:rsidRDefault="00883C23" w:rsidP="00693825">
      <w:pPr>
        <w:spacing w:after="0" w:line="240" w:lineRule="auto"/>
        <w:ind w:left="709" w:right="709"/>
        <w:contextualSpacing/>
        <w:jc w:val="both"/>
        <w:rPr>
          <w:rFonts w:ascii="Arial" w:eastAsia="Calibri" w:hAnsi="Arial" w:cs="Arial"/>
          <w:sz w:val="21"/>
          <w:szCs w:val="21"/>
          <w:lang w:val="es-ES_tradnl"/>
        </w:rPr>
      </w:pPr>
      <w:r w:rsidRPr="006D7E12">
        <w:rPr>
          <w:rFonts w:ascii="Arial" w:eastAsia="Calibri" w:hAnsi="Arial" w:cs="Arial"/>
          <w:sz w:val="21"/>
          <w:szCs w:val="21"/>
          <w:lang w:val="es-ES_tradnl"/>
        </w:rPr>
        <w:lastRenderedPageBreak/>
        <w:t>La Sala de Consulta y Servicio Civil</w:t>
      </w:r>
      <w:r w:rsidRPr="006D7E12">
        <w:rPr>
          <w:rFonts w:ascii="Arial" w:eastAsia="Calibri" w:hAnsi="Arial" w:cs="Arial"/>
          <w:sz w:val="21"/>
          <w:szCs w:val="21"/>
          <w:vertAlign w:val="superscript"/>
          <w:lang w:val="es-ES_tradnl"/>
        </w:rPr>
        <w:footnoteReference w:id="29"/>
      </w:r>
      <w:r w:rsidRPr="006D7E12">
        <w:rPr>
          <w:rFonts w:ascii="Arial" w:eastAsia="Calibri" w:hAnsi="Arial" w:cs="Arial"/>
          <w:sz w:val="21"/>
          <w:szCs w:val="21"/>
          <w:lang w:val="es-ES_tradnl"/>
        </w:rPr>
        <w:t xml:space="preserve"> de esta Corporación se ha referido a los </w:t>
      </w:r>
      <w:r w:rsidRPr="006D7E12">
        <w:rPr>
          <w:rFonts w:ascii="Arial" w:eastAsia="Calibri" w:hAnsi="Arial" w:cs="Arial"/>
          <w:i/>
          <w:sz w:val="21"/>
          <w:szCs w:val="21"/>
          <w:lang w:val="es-ES_tradnl"/>
        </w:rPr>
        <w:t>“convenios interadministrativos”</w:t>
      </w:r>
      <w:r w:rsidRPr="006D7E12">
        <w:rPr>
          <w:rFonts w:ascii="Arial" w:eastAsia="Calibri" w:hAnsi="Arial" w:cs="Arial"/>
          <w:sz w:val="21"/>
          <w:szCs w:val="21"/>
          <w:lang w:val="es-ES_tradnl"/>
        </w:rPr>
        <w:t xml:space="preserve"> a los cuales alude el artículo 95 de la Ley 489 de 1998, calificándolos de </w:t>
      </w:r>
      <w:r w:rsidRPr="006D7E12">
        <w:rPr>
          <w:rFonts w:ascii="Arial" w:eastAsia="Calibri" w:hAnsi="Arial" w:cs="Arial"/>
          <w:i/>
          <w:sz w:val="21"/>
          <w:szCs w:val="21"/>
          <w:lang w:val="es-ES_tradnl"/>
        </w:rPr>
        <w:t xml:space="preserve">“puros” </w:t>
      </w:r>
      <w:r w:rsidRPr="006D7E12">
        <w:rPr>
          <w:rFonts w:ascii="Arial" w:eastAsia="Calibri" w:hAnsi="Arial" w:cs="Arial"/>
          <w:sz w:val="21"/>
          <w:szCs w:val="21"/>
          <w:lang w:val="es-ES_tradnl"/>
        </w:rPr>
        <w:t xml:space="preserve">y entendiendo que estos, además de perseguir la finalidad de cooperación antes indicada, no implican intereses contrapuestos ni tampoco se circunscriben a un </w:t>
      </w:r>
      <w:r w:rsidRPr="006D7E12">
        <w:rPr>
          <w:rFonts w:ascii="Arial" w:eastAsia="Calibri" w:hAnsi="Arial" w:cs="Arial"/>
          <w:i/>
          <w:sz w:val="21"/>
          <w:szCs w:val="21"/>
          <w:lang w:val="es-ES_tradnl"/>
        </w:rPr>
        <w:t>“intercambio patrimonial”</w:t>
      </w:r>
      <w:r w:rsidRPr="006D7E12">
        <w:rPr>
          <w:rFonts w:ascii="Arial" w:eastAsia="Calibri" w:hAnsi="Arial" w:cs="Arial"/>
          <w:sz w:val="21"/>
          <w:szCs w:val="21"/>
          <w:lang w:val="es-ES_tradnl"/>
        </w:rPr>
        <w:t>. Sin perjuicio de lo anterior, en otra oportunidad, la misma Sala</w:t>
      </w:r>
      <w:r w:rsidRPr="006D7E12">
        <w:rPr>
          <w:rFonts w:ascii="Arial" w:eastAsia="Calibri" w:hAnsi="Arial" w:cs="Arial"/>
          <w:sz w:val="21"/>
          <w:szCs w:val="21"/>
          <w:vertAlign w:val="superscript"/>
          <w:lang w:val="es-ES_tradnl"/>
        </w:rPr>
        <w:footnoteReference w:id="30"/>
      </w:r>
      <w:r w:rsidRPr="006D7E12">
        <w:rPr>
          <w:rFonts w:ascii="Arial" w:eastAsia="Calibri" w:hAnsi="Arial" w:cs="Arial"/>
          <w:sz w:val="21"/>
          <w:szCs w:val="21"/>
          <w:lang w:val="es-ES_tradnl"/>
        </w:rPr>
        <w:t xml:space="preserve"> había indicado que, si bien en dichos convenios no se daba un </w:t>
      </w:r>
      <w:r w:rsidRPr="006D7E12">
        <w:rPr>
          <w:rFonts w:ascii="Arial" w:eastAsia="Calibri" w:hAnsi="Arial" w:cs="Arial"/>
          <w:i/>
          <w:sz w:val="21"/>
          <w:szCs w:val="21"/>
          <w:lang w:val="es-ES_tradnl"/>
        </w:rPr>
        <w:t>“verdadero intercambio de bienes o servicios (contrato conmutativo)”</w:t>
      </w:r>
      <w:r w:rsidRPr="006D7E12">
        <w:rPr>
          <w:rFonts w:ascii="Arial" w:eastAsia="Calibri" w:hAnsi="Arial" w:cs="Arial"/>
          <w:sz w:val="21"/>
          <w:szCs w:val="21"/>
          <w:lang w:val="es-ES_tradnl"/>
        </w:rPr>
        <w:t>, ello no impedía que se conviniera una remuneración a cargo de alguna(s) entidad(es).</w:t>
      </w:r>
    </w:p>
    <w:p w14:paraId="6AD75D38" w14:textId="77777777" w:rsidR="00693825" w:rsidRPr="006D7E12" w:rsidRDefault="00693825" w:rsidP="00693825">
      <w:pPr>
        <w:spacing w:after="0" w:line="240" w:lineRule="auto"/>
        <w:ind w:left="709" w:right="709"/>
        <w:contextualSpacing/>
        <w:jc w:val="both"/>
        <w:rPr>
          <w:rFonts w:ascii="Arial" w:eastAsia="Calibri" w:hAnsi="Arial" w:cs="Arial"/>
          <w:sz w:val="21"/>
          <w:szCs w:val="21"/>
          <w:lang w:val="es-ES_tradnl"/>
        </w:rPr>
      </w:pPr>
    </w:p>
    <w:p w14:paraId="4A760D9D" w14:textId="77777777" w:rsidR="00883C23" w:rsidRPr="006D7E12" w:rsidRDefault="00883C23" w:rsidP="00693825">
      <w:pPr>
        <w:widowControl w:val="0"/>
        <w:autoSpaceDE w:val="0"/>
        <w:autoSpaceDN w:val="0"/>
        <w:spacing w:after="0" w:line="240" w:lineRule="auto"/>
        <w:ind w:left="709" w:right="709"/>
        <w:contextualSpacing/>
        <w:jc w:val="both"/>
        <w:rPr>
          <w:rFonts w:ascii="Arial" w:eastAsia="Arial" w:hAnsi="Arial" w:cs="Arial"/>
          <w:sz w:val="21"/>
          <w:szCs w:val="21"/>
          <w:lang w:val="es-ES" w:eastAsia="es-ES" w:bidi="es-ES"/>
        </w:rPr>
      </w:pPr>
      <w:r w:rsidRPr="006D7E12">
        <w:rPr>
          <w:rFonts w:ascii="Arial" w:eastAsia="Arial" w:hAnsi="Arial" w:cs="Arial"/>
          <w:sz w:val="21"/>
          <w:szCs w:val="21"/>
          <w:lang w:val="es-ES_tradnl" w:eastAsia="es-ES" w:bidi="es-ES"/>
        </w:rPr>
        <w:t xml:space="preserve">Lo expuesto evidencia que, en general, las interpretaciones en torno a los </w:t>
      </w:r>
      <w:r w:rsidRPr="006D7E12">
        <w:rPr>
          <w:rFonts w:ascii="Arial" w:eastAsia="Arial" w:hAnsi="Arial" w:cs="Arial"/>
          <w:i/>
          <w:sz w:val="21"/>
          <w:szCs w:val="21"/>
          <w:lang w:val="es-ES_tradnl" w:eastAsia="es-ES" w:bidi="es-ES"/>
        </w:rPr>
        <w:t>“convenios interadministrativos”</w:t>
      </w:r>
      <w:r w:rsidRPr="006D7E12">
        <w:rPr>
          <w:rFonts w:ascii="Arial" w:eastAsia="Arial" w:hAnsi="Arial" w:cs="Arial"/>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6D7E12">
        <w:rPr>
          <w:rFonts w:ascii="Arial" w:eastAsia="Arial" w:hAnsi="Arial" w:cs="Arial"/>
          <w:sz w:val="21"/>
          <w:szCs w:val="21"/>
          <w:vertAlign w:val="superscript"/>
          <w:lang w:val="es-ES_tradnl" w:eastAsia="es-ES" w:bidi="es-ES"/>
        </w:rPr>
        <w:footnoteReference w:id="31"/>
      </w:r>
      <w:r w:rsidRPr="006D7E12">
        <w:rPr>
          <w:rFonts w:ascii="Arial" w:eastAsia="Arial" w:hAnsi="Arial" w:cs="Arial"/>
          <w:sz w:val="21"/>
          <w:szCs w:val="21"/>
          <w:vertAlign w:val="superscript"/>
          <w:lang w:val="es-ES_tradnl" w:eastAsia="es-ES" w:bidi="es-ES"/>
        </w:rPr>
        <w:footnoteReference w:id="32"/>
      </w:r>
      <w:r w:rsidRPr="006D7E12">
        <w:rPr>
          <w:rFonts w:ascii="Arial" w:eastAsia="Arial" w:hAnsi="Arial" w:cs="Arial"/>
          <w:sz w:val="21"/>
          <w:szCs w:val="21"/>
          <w:lang w:val="es-ES_tradnl" w:eastAsia="es-ES" w:bidi="es-ES"/>
        </w:rPr>
        <w:t>.</w:t>
      </w:r>
    </w:p>
    <w:p w14:paraId="2DF522CB" w14:textId="77777777" w:rsidR="00883C23" w:rsidRPr="006D7E12" w:rsidRDefault="00883C23" w:rsidP="00693825">
      <w:pPr>
        <w:widowControl w:val="0"/>
        <w:autoSpaceDE w:val="0"/>
        <w:autoSpaceDN w:val="0"/>
        <w:spacing w:after="0" w:line="276" w:lineRule="auto"/>
        <w:contextualSpacing/>
        <w:jc w:val="both"/>
        <w:rPr>
          <w:rFonts w:ascii="Arial" w:eastAsia="Arial" w:hAnsi="Arial" w:cs="Arial"/>
          <w:lang w:val="es-ES" w:eastAsia="es-ES" w:bidi="es-ES"/>
        </w:rPr>
      </w:pPr>
    </w:p>
    <w:p w14:paraId="304488A9" w14:textId="77777777" w:rsidR="00883C23" w:rsidRPr="006D7E12" w:rsidRDefault="00883C23" w:rsidP="00883C23">
      <w:pPr>
        <w:widowControl w:val="0"/>
        <w:autoSpaceDE w:val="0"/>
        <w:autoSpaceDN w:val="0"/>
        <w:spacing w:after="120" w:line="276" w:lineRule="auto"/>
        <w:jc w:val="both"/>
        <w:rPr>
          <w:rFonts w:ascii="Arial" w:eastAsia="Arial" w:hAnsi="Arial" w:cs="Arial"/>
          <w:lang w:val="es-ES" w:eastAsia="es-ES" w:bidi="es-ES"/>
        </w:rPr>
      </w:pPr>
      <w:r w:rsidRPr="006D7E12">
        <w:rPr>
          <w:rFonts w:ascii="Arial" w:eastAsia="Arial" w:hAnsi="Arial" w:cs="Arial"/>
          <w:lang w:val="es-ES" w:eastAsia="es-ES" w:bidi="es-ES"/>
        </w:rPr>
        <w:tab/>
        <w:t>Vale la pena reiterar que el legislador y el ordenamiento jurídico, en general, en distintas ocasiones utiliza de forma indistinta los conceptos de contrato o convenio para referirse a la misma institución jurídica</w:t>
      </w:r>
      <w:r w:rsidRPr="006D7E12">
        <w:rPr>
          <w:rFonts w:ascii="Arial" w:eastAsia="Arial" w:hAnsi="Arial" w:cs="Arial"/>
          <w:vertAlign w:val="superscript"/>
          <w:lang w:val="es-ES" w:eastAsia="es-ES" w:bidi="es-ES"/>
        </w:rPr>
        <w:footnoteReference w:id="33"/>
      </w:r>
      <w:r w:rsidRPr="006D7E12">
        <w:rPr>
          <w:rFonts w:ascii="Arial" w:eastAsia="Arial" w:hAnsi="Arial" w:cs="Arial"/>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006D7E12">
        <w:rPr>
          <w:rFonts w:ascii="Arial" w:eastAsia="Arial" w:hAnsi="Arial" w:cs="Arial"/>
          <w:vertAlign w:val="superscript"/>
          <w:lang w:val="es-ES" w:eastAsia="es-ES" w:bidi="es-ES"/>
        </w:rPr>
        <w:footnoteReference w:id="34"/>
      </w:r>
      <w:r w:rsidRPr="006D7E12">
        <w:rPr>
          <w:rFonts w:ascii="Arial" w:eastAsia="Arial" w:hAnsi="Arial" w:cs="Arial"/>
          <w:lang w:val="es-ES" w:eastAsia="es-ES" w:bidi="es-ES"/>
        </w:rPr>
        <w:t>.</w:t>
      </w:r>
    </w:p>
    <w:p w14:paraId="503B76BD" w14:textId="68CC452E" w:rsidR="00883C23" w:rsidRPr="006D7E12" w:rsidRDefault="00883C23" w:rsidP="00112409">
      <w:pPr>
        <w:widowControl w:val="0"/>
        <w:autoSpaceDE w:val="0"/>
        <w:autoSpaceDN w:val="0"/>
        <w:spacing w:after="0" w:line="276" w:lineRule="auto"/>
        <w:contextualSpacing/>
        <w:jc w:val="both"/>
        <w:rPr>
          <w:rFonts w:ascii="Arial" w:eastAsia="Arial" w:hAnsi="Arial" w:cs="Arial"/>
          <w:lang w:val="es-ES" w:eastAsia="es-ES" w:bidi="es-ES"/>
        </w:rPr>
      </w:pPr>
      <w:r w:rsidRPr="006D7E12">
        <w:rPr>
          <w:rFonts w:ascii="Arial" w:eastAsia="Arial" w:hAnsi="Arial" w:cs="Arial"/>
          <w:lang w:val="es-ES" w:eastAsia="es-ES" w:bidi="es-ES"/>
        </w:rPr>
        <w:lastRenderedPageBreak/>
        <w:tab/>
        <w:t>En desarrollo de lo anterior, se destaca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w:t>
      </w:r>
      <w:r w:rsidR="00112409" w:rsidRPr="006D7E12">
        <w:rPr>
          <w:rFonts w:ascii="Arial" w:eastAsia="Arial" w:hAnsi="Arial" w:cs="Arial"/>
          <w:lang w:val="es-ES" w:eastAsia="es-ES" w:bidi="es-ES"/>
        </w:rPr>
        <w:t xml:space="preserve"> Electorales</w:t>
      </w:r>
      <w:r w:rsidRPr="006D7E12">
        <w:rPr>
          <w:rFonts w:ascii="Arial" w:eastAsia="Arial" w:hAnsi="Arial" w:cs="Arial"/>
          <w:lang w:val="es-ES" w:eastAsia="es-ES" w:bidi="es-ES"/>
        </w:rPr>
        <w:t>. En este sentido, la Circular, refiriéndose al parágrafo del artículo 38 de la Ley 996 de 2005, expresa:</w:t>
      </w:r>
    </w:p>
    <w:p w14:paraId="1447051B" w14:textId="77777777" w:rsidR="00883C23" w:rsidRPr="006D7E12" w:rsidRDefault="00883C23" w:rsidP="00112409">
      <w:pPr>
        <w:widowControl w:val="0"/>
        <w:autoSpaceDE w:val="0"/>
        <w:autoSpaceDN w:val="0"/>
        <w:spacing w:after="0" w:line="276" w:lineRule="auto"/>
        <w:contextualSpacing/>
        <w:jc w:val="both"/>
        <w:rPr>
          <w:rFonts w:ascii="Arial" w:eastAsia="Arial" w:hAnsi="Arial" w:cs="Arial"/>
          <w:lang w:val="es-ES" w:eastAsia="es-ES" w:bidi="es-ES"/>
        </w:rPr>
      </w:pPr>
    </w:p>
    <w:p w14:paraId="5357B916" w14:textId="77777777" w:rsidR="00112409" w:rsidRPr="006D7E12" w:rsidRDefault="00883C23" w:rsidP="00112409">
      <w:pPr>
        <w:spacing w:after="0" w:line="240" w:lineRule="auto"/>
        <w:ind w:left="709" w:right="709"/>
        <w:contextualSpacing/>
        <w:jc w:val="both"/>
        <w:rPr>
          <w:rFonts w:ascii="Arial" w:eastAsia="Calibri" w:hAnsi="Arial" w:cs="Arial"/>
          <w:sz w:val="21"/>
          <w:szCs w:val="21"/>
          <w:lang w:val="es-MX"/>
        </w:rPr>
      </w:pPr>
      <w:r w:rsidRPr="006D7E12">
        <w:rPr>
          <w:rFonts w:ascii="Arial" w:eastAsia="Calibri" w:hAnsi="Arial"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6D7E12">
        <w:rPr>
          <w:rFonts w:ascii="Arial" w:eastAsia="Calibri" w:hAnsi="Arial" w:cs="Arial"/>
          <w:sz w:val="21"/>
          <w:szCs w:val="21"/>
          <w:lang w:val="es-MX"/>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039BAB7D" w14:textId="25C00A4B" w:rsidR="00883C23" w:rsidRPr="006D7E12" w:rsidRDefault="00883C23" w:rsidP="00112409">
      <w:pPr>
        <w:spacing w:after="0" w:line="240" w:lineRule="auto"/>
        <w:ind w:left="709" w:right="709"/>
        <w:contextualSpacing/>
        <w:jc w:val="both"/>
        <w:rPr>
          <w:rFonts w:ascii="Arial" w:eastAsia="Calibri" w:hAnsi="Arial" w:cs="Arial"/>
          <w:sz w:val="21"/>
          <w:szCs w:val="21"/>
          <w:lang w:val="es-MX"/>
        </w:rPr>
      </w:pPr>
      <w:r w:rsidRPr="006D7E12">
        <w:rPr>
          <w:rFonts w:ascii="Arial" w:eastAsia="Calibri" w:hAnsi="Arial" w:cs="Arial"/>
          <w:sz w:val="21"/>
          <w:szCs w:val="21"/>
          <w:lang w:val="es-MX"/>
        </w:rPr>
        <w:t xml:space="preserve"> </w:t>
      </w:r>
    </w:p>
    <w:p w14:paraId="060E8340" w14:textId="676452A9" w:rsidR="00883C23" w:rsidRPr="006D7E12" w:rsidRDefault="00883C23" w:rsidP="00112409">
      <w:pPr>
        <w:spacing w:after="0" w:line="240" w:lineRule="auto"/>
        <w:ind w:left="709" w:right="709"/>
        <w:contextualSpacing/>
        <w:jc w:val="both"/>
        <w:rPr>
          <w:rFonts w:ascii="Arial" w:eastAsia="Calibri" w:hAnsi="Arial" w:cs="Arial"/>
          <w:sz w:val="21"/>
          <w:szCs w:val="21"/>
          <w:lang w:val="es-MX"/>
        </w:rPr>
      </w:pPr>
      <w:r w:rsidRPr="006D7E12">
        <w:rPr>
          <w:rFonts w:ascii="Arial" w:eastAsia="Calibri" w:hAnsi="Arial" w:cs="Arial"/>
          <w:sz w:val="21"/>
          <w:szCs w:val="21"/>
          <w:lang w:val="es-MX"/>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0EC41D27" w14:textId="77777777" w:rsidR="00112409" w:rsidRPr="006D7E12" w:rsidRDefault="00112409" w:rsidP="00112409">
      <w:pPr>
        <w:spacing w:after="0" w:line="240" w:lineRule="auto"/>
        <w:ind w:left="709" w:right="709"/>
        <w:contextualSpacing/>
        <w:jc w:val="both"/>
        <w:rPr>
          <w:rFonts w:ascii="Arial" w:eastAsia="Calibri" w:hAnsi="Arial" w:cs="Arial"/>
          <w:sz w:val="21"/>
          <w:szCs w:val="21"/>
          <w:lang w:val="es-MX"/>
        </w:rPr>
      </w:pPr>
    </w:p>
    <w:p w14:paraId="75CDE17F" w14:textId="77777777" w:rsidR="00883C23" w:rsidRPr="006D7E12" w:rsidRDefault="00883C23" w:rsidP="00112409">
      <w:pPr>
        <w:spacing w:after="0" w:line="240" w:lineRule="auto"/>
        <w:ind w:left="709" w:right="709"/>
        <w:contextualSpacing/>
        <w:jc w:val="both"/>
        <w:rPr>
          <w:rFonts w:ascii="Calibri" w:eastAsia="Calibri" w:hAnsi="Calibri" w:cs="Times New Roman"/>
          <w:sz w:val="24"/>
          <w:lang w:val="es-MX"/>
        </w:rPr>
      </w:pPr>
      <w:r w:rsidRPr="006D7E12">
        <w:rPr>
          <w:rFonts w:ascii="Arial" w:eastAsia="Calibri" w:hAnsi="Arial" w:cs="Arial"/>
          <w:sz w:val="21"/>
          <w:szCs w:val="21"/>
          <w:lang w:val="es-MX"/>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7650CEA1" w14:textId="77777777" w:rsidR="00883C23" w:rsidRPr="006D7E12" w:rsidRDefault="00883C23" w:rsidP="00112409">
      <w:pPr>
        <w:widowControl w:val="0"/>
        <w:autoSpaceDE w:val="0"/>
        <w:autoSpaceDN w:val="0"/>
        <w:spacing w:after="0" w:line="276" w:lineRule="auto"/>
        <w:contextualSpacing/>
        <w:jc w:val="both"/>
        <w:rPr>
          <w:rFonts w:ascii="Arial" w:eastAsia="Arial" w:hAnsi="Arial" w:cs="Arial"/>
          <w:lang w:val="es-ES" w:eastAsia="es-ES" w:bidi="es-ES"/>
        </w:rPr>
      </w:pPr>
    </w:p>
    <w:p w14:paraId="1513DC52" w14:textId="474A668D" w:rsidR="00883C23" w:rsidRPr="006D7E12" w:rsidRDefault="00883C23" w:rsidP="00883C23">
      <w:pPr>
        <w:widowControl w:val="0"/>
        <w:autoSpaceDE w:val="0"/>
        <w:autoSpaceDN w:val="0"/>
        <w:spacing w:after="120" w:line="276" w:lineRule="auto"/>
        <w:jc w:val="both"/>
        <w:rPr>
          <w:rFonts w:ascii="Arial" w:eastAsia="Calibri" w:hAnsi="Arial" w:cs="Arial"/>
          <w:bCs/>
          <w:lang w:eastAsia="es-ES" w:bidi="es-ES"/>
        </w:rPr>
      </w:pPr>
      <w:r w:rsidRPr="006D7E12">
        <w:rPr>
          <w:rFonts w:ascii="Arial" w:eastAsia="Arial" w:hAnsi="Arial" w:cs="Arial"/>
          <w:sz w:val="25"/>
          <w:lang w:val="es-ES" w:eastAsia="es-ES" w:bidi="es-ES"/>
        </w:rPr>
        <w:tab/>
      </w:r>
      <w:r w:rsidRPr="006D7E12">
        <w:rPr>
          <w:rFonts w:ascii="Arial" w:eastAsia="Arial" w:hAnsi="Arial" w:cs="Arial"/>
          <w:lang w:val="es-ES" w:eastAsia="es-ES" w:bidi="es-ES"/>
        </w:rPr>
        <w:t xml:space="preserve">Teniendo en cuenta lo anterior, se reitera la conclusión en el sentido de que lo que </w:t>
      </w:r>
      <w:r w:rsidRPr="006D7E12">
        <w:rPr>
          <w:rFonts w:ascii="Arial" w:eastAsia="Arial" w:hAnsi="Arial" w:cs="Arial"/>
          <w:lang w:val="es-ES" w:eastAsia="es-ES" w:bidi="es-ES"/>
        </w:rPr>
        <w:lastRenderedPageBreak/>
        <w:t>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w:t>
      </w:r>
      <w:r w:rsidR="00F82416" w:rsidRPr="006D7E12">
        <w:rPr>
          <w:rFonts w:ascii="Arial" w:eastAsia="Arial" w:hAnsi="Arial" w:cs="Arial"/>
          <w:lang w:val="es-ES" w:eastAsia="es-ES" w:bidi="es-ES"/>
        </w:rPr>
        <w:t xml:space="preserve"> Electorales</w:t>
      </w:r>
      <w:r w:rsidRPr="006D7E12">
        <w:rPr>
          <w:rFonts w:ascii="Arial" w:eastAsia="Arial" w:hAnsi="Arial" w:cs="Arial"/>
          <w:lang w:val="es-ES" w:eastAsia="es-ES" w:bidi="es-ES"/>
        </w:rPr>
        <w:t>.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64"/>
    </w:p>
    <w:p w14:paraId="1D3F2319" w14:textId="34A7B34D" w:rsidR="00BF36EC" w:rsidRPr="006D7E12" w:rsidRDefault="00883C23" w:rsidP="001247E7">
      <w:pPr>
        <w:tabs>
          <w:tab w:val="left" w:pos="426"/>
        </w:tabs>
        <w:spacing w:after="120" w:line="276" w:lineRule="auto"/>
        <w:ind w:firstLine="709"/>
        <w:jc w:val="both"/>
        <w:rPr>
          <w:rFonts w:ascii="Arial" w:eastAsia="Times New Roman" w:hAnsi="Arial" w:cs="Arial"/>
          <w:bCs/>
          <w:lang w:val="es-MX" w:eastAsia="es-CO"/>
        </w:rPr>
      </w:pPr>
      <w:r w:rsidRPr="006D7E12">
        <w:rPr>
          <w:rFonts w:ascii="Arial" w:eastAsia="Times New Roman" w:hAnsi="Arial" w:cs="Arial"/>
          <w:bCs/>
          <w:lang w:eastAsia="es-CO"/>
        </w:rPr>
        <w:t xml:space="preserve">Se observa entonces que </w:t>
      </w:r>
      <w:r w:rsidRPr="006D7E12">
        <w:rPr>
          <w:rFonts w:ascii="Arial" w:eastAsia="Times New Roman" w:hAnsi="Arial" w:cs="Arial"/>
          <w:bCs/>
          <w:lang w:val="es-MX"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6D7E12">
        <w:rPr>
          <w:rFonts w:ascii="Arial" w:eastAsia="Times New Roman" w:hAnsi="Arial" w:cs="Arial"/>
          <w:bCs/>
          <w:i/>
          <w:iCs/>
          <w:lang w:val="es-MX" w:eastAsia="es-CO"/>
        </w:rPr>
        <w:t>ibidem</w:t>
      </w:r>
      <w:r w:rsidRPr="006D7E12">
        <w:rPr>
          <w:rFonts w:ascii="Arial" w:eastAsia="Times New Roman" w:hAnsi="Arial" w:cs="Arial"/>
          <w:bCs/>
          <w:lang w:val="es-MX" w:eastAsia="es-CO"/>
        </w:rPr>
        <w:t xml:space="preserve">, no podrá celebrar tales convenios o contratos durante la aplicación de la </w:t>
      </w:r>
      <w:r w:rsidR="00C23407" w:rsidRPr="006D7E12">
        <w:rPr>
          <w:rFonts w:ascii="Arial" w:eastAsia="Times New Roman" w:hAnsi="Arial" w:cs="Arial"/>
          <w:bCs/>
          <w:lang w:val="es-MX" w:eastAsia="es-CO"/>
        </w:rPr>
        <w:t xml:space="preserve">Ley </w:t>
      </w:r>
      <w:r w:rsidRPr="006D7E12">
        <w:rPr>
          <w:rFonts w:ascii="Arial" w:eastAsia="Times New Roman" w:hAnsi="Arial" w:cs="Arial"/>
          <w:bCs/>
          <w:lang w:val="es-MX" w:eastAsia="es-CO"/>
        </w:rPr>
        <w:t xml:space="preserve">de </w:t>
      </w:r>
      <w:r w:rsidR="00C23407" w:rsidRPr="006D7E12">
        <w:rPr>
          <w:rFonts w:ascii="Arial" w:eastAsia="Times New Roman" w:hAnsi="Arial" w:cs="Arial"/>
          <w:bCs/>
          <w:lang w:val="es-MX" w:eastAsia="es-CO"/>
        </w:rPr>
        <w:t>Garantías</w:t>
      </w:r>
      <w:r w:rsidR="00A300C6" w:rsidRPr="006D7E12">
        <w:rPr>
          <w:rFonts w:ascii="Arial" w:eastAsia="Times New Roman" w:hAnsi="Arial" w:cs="Arial"/>
          <w:bCs/>
          <w:lang w:val="es-MX" w:eastAsia="es-CO"/>
        </w:rPr>
        <w:t xml:space="preserve"> Electorales</w:t>
      </w:r>
      <w:r w:rsidRPr="006D7E12">
        <w:rPr>
          <w:rFonts w:ascii="Arial" w:eastAsia="Times New Roman" w:hAnsi="Arial" w:cs="Arial"/>
          <w:bCs/>
          <w:lang w:val="es-MX" w:eastAsia="es-CO"/>
        </w:rPr>
        <w:t>, toda vez que la citada disposición hace referencia a dicha tipología contractual sin que el legislador hubiere contemplado excepción alguna frente a la modalidad de selección o naturaleza de su objeto</w:t>
      </w:r>
      <w:r w:rsidRPr="006D7E12">
        <w:rPr>
          <w:rFonts w:ascii="Arial" w:eastAsia="Calibri" w:hAnsi="Arial" w:cs="Arial"/>
          <w:bCs/>
          <w:vertAlign w:val="superscript"/>
          <w:lang w:val="es-MX" w:eastAsia="es-CO"/>
        </w:rPr>
        <w:footnoteReference w:id="35"/>
      </w:r>
      <w:r w:rsidRPr="006D7E12">
        <w:rPr>
          <w:rFonts w:ascii="Arial" w:eastAsia="Times New Roman" w:hAnsi="Arial" w:cs="Arial"/>
          <w:bCs/>
          <w:lang w:val="es-MX" w:eastAsia="es-CO"/>
        </w:rPr>
        <w:t xml:space="preserve">. </w:t>
      </w:r>
    </w:p>
    <w:p w14:paraId="01E23135" w14:textId="4D3A5405" w:rsidR="00883C23" w:rsidRPr="006D7E12" w:rsidRDefault="003B045C" w:rsidP="00C51624">
      <w:pPr>
        <w:widowControl w:val="0"/>
        <w:autoSpaceDE w:val="0"/>
        <w:autoSpaceDN w:val="0"/>
        <w:spacing w:after="0" w:line="276" w:lineRule="auto"/>
        <w:ind w:firstLine="709"/>
        <w:contextualSpacing/>
        <w:jc w:val="both"/>
        <w:rPr>
          <w:rFonts w:ascii="Arial" w:eastAsia="Calibri" w:hAnsi="Arial" w:cs="Arial"/>
          <w:lang w:eastAsia="es-ES" w:bidi="es-ES"/>
        </w:rPr>
      </w:pPr>
      <w:bookmarkStart w:id="65" w:name="_Hlk77154098"/>
      <w:r w:rsidRPr="006D7E12">
        <w:rPr>
          <w:rFonts w:ascii="Arial" w:eastAsia="Times New Roman" w:hAnsi="Arial" w:cs="Arial"/>
          <w:bCs/>
          <w:lang w:val="es-ES" w:eastAsia="es-CO" w:bidi="es-ES"/>
        </w:rPr>
        <w:t>En todo caso</w:t>
      </w:r>
      <w:r w:rsidR="00883C23" w:rsidRPr="006D7E12">
        <w:rPr>
          <w:rFonts w:ascii="Arial" w:eastAsia="Arial" w:hAnsi="Arial" w:cs="Arial"/>
          <w:lang w:val="es-ES" w:eastAsia="es-ES" w:bidi="es-ES"/>
        </w:rPr>
        <w:t xml:space="preserve">, es importante resaltar que la Sala de Consulta y Servicio Civil del Consejo de Estado se ha pronunciado en el sentido de que </w:t>
      </w:r>
      <w:bookmarkStart w:id="66" w:name="_Hlk78820889"/>
      <w:r w:rsidR="00883C23" w:rsidRPr="006D7E12">
        <w:rPr>
          <w:rFonts w:ascii="Arial" w:eastAsia="Arial" w:hAnsi="Arial" w:cs="Arial"/>
          <w:lang w:val="es-ES" w:eastAsia="es-ES" w:bidi="es-ES"/>
        </w:rPr>
        <w:t xml:space="preserve">no se les aplica la restricción </w:t>
      </w:r>
      <w:r w:rsidR="00C51624" w:rsidRPr="006D7E12">
        <w:rPr>
          <w:rFonts w:ascii="Arial" w:eastAsia="Arial" w:hAnsi="Arial" w:cs="Arial"/>
          <w:lang w:val="es-ES" w:eastAsia="es-ES" w:bidi="es-ES"/>
        </w:rPr>
        <w:t xml:space="preserve">contemplada en el artículo 38 </w:t>
      </w:r>
      <w:r w:rsidR="00883C23" w:rsidRPr="006D7E12">
        <w:rPr>
          <w:rFonts w:ascii="Arial" w:eastAsia="Arial" w:hAnsi="Arial" w:cs="Arial"/>
          <w:lang w:val="es-ES" w:eastAsia="es-ES" w:bidi="es-ES"/>
        </w:rPr>
        <w:t>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66"/>
      <w:r w:rsidR="00883C23" w:rsidRPr="006D7E12">
        <w:rPr>
          <w:rFonts w:ascii="Arial" w:eastAsia="Arial" w:hAnsi="Arial" w:cs="Arial"/>
          <w:vertAlign w:val="superscript"/>
          <w:lang w:val="es-ES" w:eastAsia="es-ES" w:bidi="es-ES"/>
        </w:rPr>
        <w:footnoteReference w:id="36"/>
      </w:r>
      <w:r w:rsidR="00883C23" w:rsidRPr="006D7E12">
        <w:rPr>
          <w:rFonts w:ascii="Arial" w:eastAsia="Calibri" w:hAnsi="Arial" w:cs="Arial"/>
          <w:lang w:eastAsia="es-ES" w:bidi="es-ES"/>
        </w:rPr>
        <w:t>.</w:t>
      </w:r>
      <w:bookmarkEnd w:id="65"/>
    </w:p>
    <w:bookmarkEnd w:id="56"/>
    <w:p w14:paraId="7F5B96EF" w14:textId="77777777" w:rsidR="00667C06" w:rsidRPr="006D7E12" w:rsidRDefault="00667C06" w:rsidP="00E802CA">
      <w:pPr>
        <w:spacing w:after="0" w:line="276" w:lineRule="auto"/>
        <w:contextualSpacing/>
        <w:jc w:val="both"/>
        <w:rPr>
          <w:rFonts w:ascii="Arial" w:eastAsia="Calibri" w:hAnsi="Arial" w:cs="Arial"/>
          <w:lang w:val="es-ES_tradnl"/>
        </w:rPr>
      </w:pPr>
    </w:p>
    <w:p w14:paraId="2A48EB4D" w14:textId="77777777" w:rsidR="00883C23" w:rsidRPr="006D7E12" w:rsidRDefault="00883C23" w:rsidP="00667C06">
      <w:pPr>
        <w:spacing w:after="0" w:line="276" w:lineRule="auto"/>
        <w:contextualSpacing/>
        <w:jc w:val="both"/>
        <w:rPr>
          <w:rFonts w:ascii="Arial" w:eastAsia="Calibri" w:hAnsi="Arial" w:cs="Arial"/>
          <w:b/>
        </w:rPr>
      </w:pPr>
      <w:r w:rsidRPr="006D7E12">
        <w:rPr>
          <w:rFonts w:ascii="Arial" w:eastAsia="Calibri" w:hAnsi="Arial" w:cs="Arial"/>
          <w:b/>
        </w:rPr>
        <w:t>3. Respuesta</w:t>
      </w:r>
    </w:p>
    <w:p w14:paraId="4A77B27A" w14:textId="77777777" w:rsidR="00883C23" w:rsidRPr="006D7E12" w:rsidRDefault="00883C23" w:rsidP="00667C06">
      <w:pPr>
        <w:spacing w:after="0" w:line="276" w:lineRule="auto"/>
        <w:contextualSpacing/>
        <w:jc w:val="both"/>
        <w:rPr>
          <w:rFonts w:ascii="Arial" w:eastAsia="Calibri" w:hAnsi="Arial" w:cs="Arial"/>
          <w:bCs/>
        </w:rPr>
      </w:pPr>
    </w:p>
    <w:p w14:paraId="498BF32B" w14:textId="1F3A9A67" w:rsidR="004F2E72" w:rsidRPr="006D7E12" w:rsidRDefault="00A02B1D" w:rsidP="006014D3">
      <w:pPr>
        <w:spacing w:after="0" w:line="240" w:lineRule="auto"/>
        <w:ind w:left="709" w:right="709"/>
        <w:jc w:val="both"/>
        <w:rPr>
          <w:rFonts w:ascii="Arial" w:eastAsia="Times New Roman" w:hAnsi="Arial" w:cs="Arial"/>
          <w:sz w:val="21"/>
          <w:szCs w:val="21"/>
          <w:shd w:val="clear" w:color="auto" w:fill="FFFFFF"/>
          <w:lang w:eastAsia="es-CO"/>
        </w:rPr>
      </w:pPr>
      <w:bookmarkStart w:id="67" w:name="_Hlk57650395"/>
      <w:r w:rsidRPr="00A02B1D">
        <w:rPr>
          <w:rFonts w:ascii="Arial" w:eastAsia="Times New Roman" w:hAnsi="Arial" w:cs="Arial"/>
          <w:sz w:val="21"/>
          <w:szCs w:val="21"/>
          <w:shd w:val="clear" w:color="auto" w:fill="FFFFFF"/>
          <w:lang w:eastAsia="es-CO"/>
        </w:rPr>
        <w:t xml:space="preserve">«[…] el convenio señalado en el artículo 59 de la Ley 30 de 1992 (...) la creación de universidades estatales u oficiales o de seccionales y demás instituciones de educación superior estatales u oficiales debe hacerse previo convenio entre la Nación y la entidad territorial respectiva, en donde se establezca el monto de los </w:t>
      </w:r>
      <w:r w:rsidRPr="00A02B1D">
        <w:rPr>
          <w:rFonts w:ascii="Arial" w:eastAsia="Times New Roman" w:hAnsi="Arial" w:cs="Arial"/>
          <w:sz w:val="21"/>
          <w:szCs w:val="21"/>
          <w:shd w:val="clear" w:color="auto" w:fill="FFFFFF"/>
          <w:lang w:eastAsia="es-CO"/>
        </w:rPr>
        <w:lastRenderedPageBreak/>
        <w:t>aportes permanentes de una y otra., es de aquellos que aplica restricción por Ley de garantías, o puede suscribirse sin impedimento alguno?»</w:t>
      </w:r>
      <w:r w:rsidR="000D38A1" w:rsidRPr="006D7E12">
        <w:rPr>
          <w:rFonts w:ascii="Arial" w:eastAsia="Times New Roman" w:hAnsi="Arial" w:cs="Arial"/>
          <w:sz w:val="21"/>
          <w:szCs w:val="21"/>
          <w:shd w:val="clear" w:color="auto" w:fill="FFFFFF"/>
          <w:lang w:eastAsia="es-CO"/>
        </w:rPr>
        <w:t>.</w:t>
      </w:r>
      <w:r w:rsidR="004F2E72" w:rsidRPr="006D7E12">
        <w:rPr>
          <w:rFonts w:ascii="Arial" w:eastAsia="Times New Roman" w:hAnsi="Arial" w:cs="Arial"/>
          <w:sz w:val="21"/>
          <w:szCs w:val="21"/>
          <w:shd w:val="clear" w:color="auto" w:fill="FFFFFF"/>
          <w:lang w:eastAsia="es-CO"/>
        </w:rPr>
        <w:t xml:space="preserve"> </w:t>
      </w:r>
    </w:p>
    <w:p w14:paraId="03A49C47" w14:textId="77777777" w:rsidR="004F2E72" w:rsidRPr="006D7E12" w:rsidRDefault="004F2E72" w:rsidP="00BE1101">
      <w:pPr>
        <w:spacing w:after="0" w:line="276" w:lineRule="auto"/>
        <w:ind w:left="709" w:right="709"/>
        <w:jc w:val="both"/>
        <w:rPr>
          <w:rFonts w:ascii="Arial" w:eastAsia="Times New Roman" w:hAnsi="Arial" w:cs="Arial"/>
          <w:shd w:val="clear" w:color="auto" w:fill="FFFFFF"/>
          <w:lang w:eastAsia="es-CO"/>
        </w:rPr>
      </w:pPr>
    </w:p>
    <w:p w14:paraId="6F6449AB" w14:textId="77777777" w:rsidR="002E6D93" w:rsidRDefault="00486B76" w:rsidP="002E6D93">
      <w:pPr>
        <w:spacing w:after="120"/>
        <w:jc w:val="both"/>
        <w:rPr>
          <w:rFonts w:ascii="Arial" w:eastAsia="Times New Roman" w:hAnsi="Arial" w:cs="Arial"/>
          <w:bCs/>
          <w:lang w:eastAsia="es-CO"/>
        </w:rPr>
      </w:pPr>
      <w:r w:rsidRPr="006D7E12">
        <w:rPr>
          <w:rFonts w:ascii="Arial" w:eastAsia="Times New Roman" w:hAnsi="Arial" w:cs="Arial"/>
          <w:bCs/>
          <w:lang w:val="es-MX" w:eastAsia="es-CO"/>
        </w:rPr>
        <w:t>De acuerdo con la interpretación de las normas generales del sistema de compras públicas</w:t>
      </w:r>
      <w:r w:rsidR="00DF33AC" w:rsidRPr="00DF33AC">
        <w:rPr>
          <w:rFonts w:ascii="Arial" w:eastAsia="Times New Roman" w:hAnsi="Arial" w:cs="Arial"/>
          <w:bCs/>
          <w:lang w:val="es-MX" w:eastAsia="es-CO"/>
        </w:rPr>
        <w:t>, sin perjuicio de cada entidad defina la viabilidad técnica, jurídica y financiera de celebrar determinado contrato estatal en específico,</w:t>
      </w:r>
      <w:r w:rsidRPr="006D7E12">
        <w:rPr>
          <w:rFonts w:ascii="Arial" w:eastAsia="Times New Roman" w:hAnsi="Arial" w:cs="Arial"/>
          <w:bCs/>
          <w:lang w:val="es-MX" w:eastAsia="es-CO"/>
        </w:rPr>
        <w:t xml:space="preserve"> </w:t>
      </w:r>
      <w:r w:rsidR="002E6D93" w:rsidRPr="00166B45">
        <w:rPr>
          <w:rFonts w:ascii="Arial" w:eastAsia="Times New Roman" w:hAnsi="Arial" w:cs="Arial"/>
          <w:bCs/>
          <w:lang w:eastAsia="es-CO"/>
        </w:rPr>
        <w:t>el artículo 33 de la Ley 996 de 2005 señala expresamente a los destinatarios de la prohibición, en el sentido de que son «todos los entes del Estado», expresión que contempla a los diferentes organismos o entidades autorizadas por la ley para suscribir contratos. En efecto,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756B10F1" w14:textId="77777777" w:rsidR="002E6D93" w:rsidRPr="00166B45" w:rsidRDefault="002E6D93" w:rsidP="002E6D93">
      <w:pPr>
        <w:spacing w:after="120"/>
        <w:ind w:firstLine="708"/>
        <w:jc w:val="both"/>
        <w:rPr>
          <w:rFonts w:ascii="Arial" w:eastAsia="Times New Roman" w:hAnsi="Arial" w:cs="Arial"/>
          <w:bCs/>
          <w:lang w:eastAsia="x-none"/>
        </w:rPr>
      </w:pPr>
      <w:r w:rsidRPr="00166B45">
        <w:rPr>
          <w:rFonts w:ascii="Arial" w:eastAsia="Times New Roman" w:hAnsi="Arial" w:cs="Arial"/>
          <w:bCs/>
          <w:lang w:eastAsia="x-none"/>
        </w:rPr>
        <w:t>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166B45">
        <w:rPr>
          <w:rFonts w:ascii="Arial" w:eastAsia="Times New Roman" w:hAnsi="Arial" w:cs="Arial"/>
          <w:vertAlign w:val="superscript"/>
          <w:lang w:eastAsia="x-none"/>
        </w:rPr>
        <w:t xml:space="preserve"> </w:t>
      </w:r>
      <w:r w:rsidRPr="00166B45">
        <w:rPr>
          <w:rFonts w:ascii="Arial" w:eastAsia="Times New Roman" w:hAnsi="Arial" w:cs="Arial"/>
          <w:bCs/>
          <w:lang w:eastAsia="x-none"/>
        </w:rPr>
        <w:t>De lo anterior se desprende que la restricción aplica para celebrar cualquier contrato de forma directa, esto es, sin que exista un proceso abierto y competitivo.</w:t>
      </w:r>
    </w:p>
    <w:p w14:paraId="2775D614" w14:textId="72C6CB38" w:rsidR="002E6D93" w:rsidRPr="00166B45" w:rsidRDefault="002E6D93" w:rsidP="002E6D93">
      <w:pPr>
        <w:spacing w:after="120"/>
        <w:ind w:firstLine="708"/>
        <w:jc w:val="both"/>
        <w:rPr>
          <w:rFonts w:ascii="Arial" w:eastAsia="Times New Roman" w:hAnsi="Arial" w:cs="Arial"/>
          <w:bCs/>
          <w:lang w:eastAsia="es-CO"/>
        </w:rPr>
      </w:pPr>
      <w:r>
        <w:rPr>
          <w:rFonts w:ascii="Arial" w:eastAsia="Times New Roman" w:hAnsi="Arial" w:cs="Arial"/>
          <w:bCs/>
          <w:lang w:eastAsia="x-none"/>
        </w:rPr>
        <w:t>Asimismo</w:t>
      </w:r>
      <w:r w:rsidRPr="00166B45">
        <w:rPr>
          <w:rFonts w:ascii="Arial" w:eastAsia="Times New Roman" w:hAnsi="Arial" w:cs="Arial"/>
          <w:bCs/>
          <w:lang w:eastAsia="x-none"/>
        </w:rPr>
        <w:t>,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w:t>
      </w:r>
      <w:r>
        <w:rPr>
          <w:rFonts w:ascii="Arial" w:eastAsia="Times New Roman" w:hAnsi="Arial" w:cs="Arial"/>
          <w:bCs/>
          <w:lang w:eastAsia="x-none"/>
        </w:rPr>
        <w:t>,</w:t>
      </w:r>
      <w:r w:rsidRPr="00166B45">
        <w:rPr>
          <w:rFonts w:ascii="Arial" w:eastAsia="Times New Roman" w:hAnsi="Arial" w:cs="Arial"/>
          <w:bCs/>
          <w:lang w:eastAsia="x-none"/>
        </w:rPr>
        <w:t xml:space="preserve"> en lo referente a</w:t>
      </w:r>
      <w:r>
        <w:rPr>
          <w:rFonts w:ascii="Arial" w:eastAsia="Times New Roman" w:hAnsi="Arial" w:cs="Arial"/>
          <w:bCs/>
          <w:lang w:eastAsia="x-none"/>
        </w:rPr>
        <w:t>:</w:t>
      </w:r>
      <w:r w:rsidRPr="00166B45">
        <w:rPr>
          <w:rFonts w:ascii="Arial" w:eastAsia="Times New Roman" w:hAnsi="Arial" w:cs="Arial"/>
          <w:bCs/>
          <w:lang w:eastAsia="x-none"/>
        </w:rPr>
        <w:t xml:space="preserve">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166B45">
        <w:rPr>
          <w:rFonts w:ascii="Arial" w:eastAsia="Times New Roman" w:hAnsi="Arial" w:cs="Arial"/>
          <w:bCs/>
          <w:lang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1B00894B" w14:textId="39E75FFA" w:rsidR="00E31F4D" w:rsidRPr="00393563" w:rsidRDefault="00AB0C32" w:rsidP="00393563">
      <w:pPr>
        <w:spacing w:after="120" w:line="276" w:lineRule="auto"/>
        <w:ind w:firstLine="708"/>
        <w:jc w:val="both"/>
        <w:rPr>
          <w:rFonts w:ascii="Arial" w:eastAsia="Calibri" w:hAnsi="Arial" w:cs="Arial"/>
          <w:bCs/>
          <w:lang w:val="es-MX"/>
        </w:rPr>
      </w:pPr>
      <w:r w:rsidRPr="006D7E12">
        <w:rPr>
          <w:rFonts w:ascii="Arial" w:eastAsia="Calibri" w:hAnsi="Arial" w:cs="Arial"/>
          <w:bCs/>
        </w:rPr>
        <w:t xml:space="preserve">De otro lado, </w:t>
      </w:r>
      <w:r w:rsidRPr="006D7E12">
        <w:rPr>
          <w:rFonts w:ascii="Arial" w:eastAsia="Calibri" w:hAnsi="Arial" w:cs="Arial"/>
          <w:bCs/>
          <w:lang w:val="es-MX"/>
        </w:rPr>
        <w:t xml:space="preserve">el parágrafo del artículo 38 de la Ley de Garantías Electorales, establece una restricción en virtud de la cual, durante el periodo de cuatro meses anteriores a cualquier jornada de elecciones, </w:t>
      </w:r>
      <w:r w:rsidR="00451F1F" w:rsidRPr="006D7E12">
        <w:rPr>
          <w:rFonts w:ascii="Arial" w:eastAsia="Calibri" w:hAnsi="Arial" w:cs="Arial"/>
        </w:rPr>
        <w:t xml:space="preserve">los gobernadores, alcaldes municipales o distritales, secretarios, gerentes y directores de entidades descentralizadas del orden municipal, </w:t>
      </w:r>
      <w:r w:rsidR="00451F1F" w:rsidRPr="006D7E12">
        <w:rPr>
          <w:rFonts w:ascii="Arial" w:eastAsia="Calibri" w:hAnsi="Arial" w:cs="Arial"/>
        </w:rPr>
        <w:lastRenderedPageBreak/>
        <w:t>departamental o distrital</w:t>
      </w:r>
      <w:r w:rsidR="00393563">
        <w:rPr>
          <w:rFonts w:ascii="Arial" w:eastAsia="Calibri" w:hAnsi="Arial" w:cs="Arial"/>
        </w:rPr>
        <w:t xml:space="preserve"> no pueden</w:t>
      </w:r>
      <w:r w:rsidR="00451F1F" w:rsidRPr="006D7E12">
        <w:rPr>
          <w:rFonts w:ascii="Arial" w:eastAsia="Calibri" w:hAnsi="Arial" w:cs="Arial"/>
          <w:bCs/>
        </w:rPr>
        <w:t xml:space="preserve"> </w:t>
      </w:r>
      <w:r w:rsidR="00451F1F" w:rsidRPr="006D7E12">
        <w:rPr>
          <w:rFonts w:ascii="Arial" w:eastAsia="Calibri" w:hAnsi="Arial" w:cs="Arial"/>
          <w:lang w:val="es-MX"/>
        </w:rPr>
        <w:t>celebrar convenios interadministrativos para la ejecución de recursos públicos</w:t>
      </w:r>
      <w:r w:rsidR="00393563">
        <w:rPr>
          <w:rFonts w:ascii="Arial" w:eastAsia="Calibri" w:hAnsi="Arial" w:cs="Arial"/>
          <w:lang w:val="es-MX"/>
        </w:rPr>
        <w:t>.</w:t>
      </w:r>
      <w:r w:rsidR="00393563">
        <w:rPr>
          <w:rFonts w:ascii="Arial" w:eastAsia="Calibri" w:hAnsi="Arial" w:cs="Arial"/>
          <w:bCs/>
          <w:lang w:val="es-MX"/>
        </w:rPr>
        <w:t xml:space="preserve"> </w:t>
      </w:r>
      <w:r w:rsidR="00A04F8D">
        <w:rPr>
          <w:rFonts w:ascii="Arial" w:eastAsia="Calibri" w:hAnsi="Arial" w:cs="Arial"/>
          <w:bCs/>
          <w:lang w:val="es-MX"/>
        </w:rPr>
        <w:t>P</w:t>
      </w:r>
      <w:r w:rsidR="00E31F4D" w:rsidRPr="006D7E12">
        <w:rPr>
          <w:rFonts w:ascii="Arial" w:eastAsia="Calibri" w:hAnsi="Arial" w:cs="Arial"/>
          <w:bCs/>
          <w:lang w:eastAsia="es-ES" w:bidi="es-ES"/>
        </w:rPr>
        <w:t xml:space="preserve">ara determinar el alcance de la prohibición consagrada por la Ley de Garantías Electorales, conviene precisar la tipología de convenios o contratos interadministrativos. </w:t>
      </w:r>
      <w:r w:rsidR="00E31F4D" w:rsidRPr="006D7E12">
        <w:rPr>
          <w:rFonts w:ascii="Arial" w:eastAsia="Arial" w:hAnsi="Arial" w:cs="Arial"/>
          <w:lang w:val="es-ES" w:eastAsia="es-ES" w:bidi="es-ES"/>
        </w:rPr>
        <w:t>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00E31F4D" w:rsidRPr="006D7E12">
        <w:rPr>
          <w:rFonts w:ascii="Arial" w:eastAsia="Arial" w:hAnsi="Arial" w:cs="Arial"/>
          <w:spacing w:val="-6"/>
          <w:lang w:val="es-ES" w:eastAsia="es-ES" w:bidi="es-ES"/>
        </w:rPr>
        <w:t xml:space="preserve"> </w:t>
      </w:r>
      <w:r w:rsidR="00E31F4D" w:rsidRPr="006D7E12">
        <w:rPr>
          <w:rFonts w:ascii="Arial" w:eastAsia="Arial" w:hAnsi="Arial" w:cs="Arial"/>
          <w:lang w:val="es-ES" w:eastAsia="es-ES" w:bidi="es-ES"/>
        </w:rPr>
        <w:t>estatales.</w:t>
      </w:r>
    </w:p>
    <w:p w14:paraId="4BB31D38" w14:textId="49B596E2" w:rsidR="00DD3340" w:rsidRPr="00EC2FF6" w:rsidRDefault="0082747B" w:rsidP="00EC2FF6">
      <w:pPr>
        <w:spacing w:before="120" w:line="276" w:lineRule="auto"/>
        <w:ind w:firstLine="708"/>
        <w:jc w:val="both"/>
        <w:rPr>
          <w:rFonts w:ascii="Arial" w:eastAsia="Calibri" w:hAnsi="Arial" w:cs="Arial"/>
          <w:color w:val="000000"/>
        </w:rPr>
      </w:pPr>
      <w:r>
        <w:rPr>
          <w:rFonts w:ascii="Arial" w:eastAsia="Calibri" w:hAnsi="Arial" w:cs="Arial"/>
          <w:bCs/>
          <w:color w:val="000000"/>
          <w:lang w:eastAsia="es-CO"/>
        </w:rPr>
        <w:t xml:space="preserve">Bajo estas consideraciones, corresponde a </w:t>
      </w:r>
      <w:r w:rsidRPr="00524963">
        <w:rPr>
          <w:rFonts w:ascii="Arial" w:eastAsia="Calibri" w:hAnsi="Arial" w:cs="Arial"/>
          <w:bCs/>
          <w:color w:val="000000"/>
          <w:lang w:eastAsia="es-CO"/>
        </w:rPr>
        <w:t>cada entidad pública, en ejercicio de su competencia y previa valoración de los elementos fácticos y jurídicos, determinar si</w:t>
      </w:r>
      <w:r>
        <w:rPr>
          <w:rFonts w:ascii="Arial" w:eastAsia="Calibri" w:hAnsi="Arial" w:cs="Arial"/>
          <w:bCs/>
          <w:color w:val="000000"/>
          <w:lang w:eastAsia="es-CO"/>
        </w:rPr>
        <w:t xml:space="preserve"> es procedente o no la celebración de un determinado contrato en específico. </w:t>
      </w:r>
      <w:r w:rsidRPr="00524963">
        <w:rPr>
          <w:rFonts w:ascii="Arial" w:eastAsia="Calibri" w:hAnsi="Arial" w:cs="Arial"/>
          <w:bCs/>
          <w:color w:val="000000"/>
          <w:lang w:eastAsia="es-CO"/>
        </w:rPr>
        <w:t>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Pr>
          <w:rFonts w:ascii="Arial" w:eastAsia="Calibri" w:hAnsi="Arial" w:cs="Arial"/>
          <w:bCs/>
          <w:color w:val="000000"/>
          <w:lang w:eastAsia="es-CO"/>
        </w:rPr>
        <w:t>.</w:t>
      </w:r>
    </w:p>
    <w:p w14:paraId="43565C37" w14:textId="09DED9A4" w:rsidR="00883C23" w:rsidRPr="006D7E12" w:rsidRDefault="00883C23" w:rsidP="00883C23">
      <w:pPr>
        <w:spacing w:after="0" w:line="276" w:lineRule="auto"/>
        <w:jc w:val="both"/>
        <w:rPr>
          <w:rFonts w:ascii="Times New Roman" w:eastAsia="Times New Roman" w:hAnsi="Times New Roman" w:cs="Times New Roman"/>
          <w:sz w:val="24"/>
          <w:szCs w:val="24"/>
          <w:lang w:eastAsia="es-ES_tradnl"/>
        </w:rPr>
      </w:pPr>
      <w:r w:rsidRPr="006D7E12">
        <w:rPr>
          <w:rFonts w:ascii="Arial" w:eastAsia="Calibri" w:hAnsi="Arial" w:cs="Arial"/>
        </w:rPr>
        <w:t>Este concepto tiene el alcance previsto en el artículo 28 del Código de Procedimiento Administrativo y de lo Contencioso Administrativo.</w:t>
      </w:r>
    </w:p>
    <w:p w14:paraId="631C94C0" w14:textId="77777777" w:rsidR="00883C23" w:rsidRPr="006D7E12" w:rsidRDefault="00883C23" w:rsidP="00883C23">
      <w:pPr>
        <w:spacing w:after="0" w:line="276" w:lineRule="auto"/>
        <w:jc w:val="both"/>
        <w:rPr>
          <w:rFonts w:ascii="Times New Roman" w:eastAsia="Times New Roman" w:hAnsi="Times New Roman" w:cs="Times New Roman"/>
          <w:sz w:val="24"/>
          <w:szCs w:val="24"/>
          <w:lang w:eastAsia="es-ES_tradnl"/>
        </w:rPr>
      </w:pPr>
    </w:p>
    <w:p w14:paraId="5A8383BB" w14:textId="06624AEA" w:rsidR="00883C23" w:rsidRDefault="00EC2FF6" w:rsidP="00883C23">
      <w:pPr>
        <w:spacing w:after="200" w:line="276" w:lineRule="auto"/>
        <w:jc w:val="both"/>
        <w:rPr>
          <w:rFonts w:ascii="Arial" w:eastAsia="Times New Roman" w:hAnsi="Arial" w:cs="Arial"/>
          <w:lang w:eastAsia="es-CO"/>
        </w:rPr>
      </w:pPr>
      <w:r w:rsidRPr="00570FD2">
        <w:rPr>
          <w:rFonts w:ascii="Arial" w:hAnsi="Arial" w:cs="Arial"/>
          <w:noProof/>
          <w:color w:val="000000" w:themeColor="text1"/>
          <w:lang w:eastAsia="es-CO"/>
        </w:rPr>
        <w:drawing>
          <wp:anchor distT="0" distB="0" distL="114300" distR="114300" simplePos="0" relativeHeight="251659264" behindDoc="0" locked="0" layoutInCell="1" allowOverlap="1" wp14:anchorId="5736A069" wp14:editId="1BF8EB00">
            <wp:simplePos x="0" y="0"/>
            <wp:positionH relativeFrom="margin">
              <wp:posOffset>1645920</wp:posOffset>
            </wp:positionH>
            <wp:positionV relativeFrom="paragraph">
              <wp:posOffset>231416</wp:posOffset>
            </wp:positionV>
            <wp:extent cx="2200275" cy="934085"/>
            <wp:effectExtent l="0" t="0" r="9525" b="0"/>
            <wp:wrapSquare wrapText="bothSides"/>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200275" cy="934085"/>
                    </a:xfrm>
                    <a:prstGeom prst="rect">
                      <a:avLst/>
                    </a:prstGeom>
                  </pic:spPr>
                </pic:pic>
              </a:graphicData>
            </a:graphic>
            <wp14:sizeRelH relativeFrom="page">
              <wp14:pctWidth>0</wp14:pctWidth>
            </wp14:sizeRelH>
            <wp14:sizeRelV relativeFrom="page">
              <wp14:pctHeight>0</wp14:pctHeight>
            </wp14:sizeRelV>
          </wp:anchor>
        </w:drawing>
      </w:r>
      <w:r w:rsidR="00883C23" w:rsidRPr="006D7E12">
        <w:rPr>
          <w:rFonts w:ascii="Arial" w:eastAsia="Times New Roman" w:hAnsi="Arial" w:cs="Arial"/>
          <w:lang w:eastAsia="es-CO"/>
        </w:rPr>
        <w:t>Atentamente,</w:t>
      </w:r>
    </w:p>
    <w:p w14:paraId="566A4932" w14:textId="75A2ECC5" w:rsidR="00EC2FF6" w:rsidRDefault="00EC2FF6" w:rsidP="00883C23">
      <w:pPr>
        <w:spacing w:after="200" w:line="276" w:lineRule="auto"/>
        <w:jc w:val="both"/>
        <w:rPr>
          <w:rFonts w:ascii="Arial" w:eastAsia="Times New Roman" w:hAnsi="Arial" w:cs="Arial"/>
          <w:lang w:eastAsia="es-CO"/>
        </w:rPr>
      </w:pPr>
    </w:p>
    <w:p w14:paraId="66EB5F9D" w14:textId="77777777" w:rsidR="00EC2FF6" w:rsidRDefault="00EC2FF6" w:rsidP="00883C23">
      <w:pPr>
        <w:spacing w:after="200" w:line="276" w:lineRule="auto"/>
        <w:jc w:val="both"/>
        <w:rPr>
          <w:rFonts w:ascii="Arial" w:eastAsia="Times New Roman" w:hAnsi="Arial" w:cs="Arial"/>
          <w:lang w:eastAsia="es-CO"/>
        </w:rPr>
      </w:pPr>
    </w:p>
    <w:p w14:paraId="6EBFEA51" w14:textId="77777777" w:rsidR="00EC2FF6" w:rsidRDefault="00EC2FF6" w:rsidP="00883C23">
      <w:pPr>
        <w:spacing w:after="200" w:line="276" w:lineRule="auto"/>
        <w:jc w:val="both"/>
        <w:rPr>
          <w:rFonts w:ascii="Arial" w:eastAsia="Times New Roman" w:hAnsi="Arial" w:cs="Arial"/>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6C314F" w:rsidRPr="006D7E12" w14:paraId="0494A309" w14:textId="77777777" w:rsidTr="00883C23">
        <w:trPr>
          <w:trHeight w:val="315"/>
        </w:trPr>
        <w:tc>
          <w:tcPr>
            <w:tcW w:w="812" w:type="dxa"/>
            <w:vAlign w:val="center"/>
            <w:hideMark/>
          </w:tcPr>
          <w:p w14:paraId="742CAC86" w14:textId="77777777" w:rsidR="00883C23" w:rsidRPr="006D7E12" w:rsidRDefault="00883C23" w:rsidP="00883C23">
            <w:pPr>
              <w:rPr>
                <w:rFonts w:ascii="Arial" w:eastAsia="Times New Roman" w:hAnsi="Arial" w:cs="Arial"/>
                <w:sz w:val="16"/>
                <w:szCs w:val="16"/>
                <w:lang w:eastAsia="es-ES"/>
              </w:rPr>
            </w:pPr>
            <w:r w:rsidRPr="006D7E12">
              <w:rPr>
                <w:rFonts w:ascii="Arial" w:eastAsia="Times New Roman" w:hAnsi="Arial" w:cs="Arial"/>
                <w:sz w:val="16"/>
                <w:szCs w:val="16"/>
                <w:lang w:eastAsia="es-ES"/>
              </w:rPr>
              <w:t>Elaboró:</w:t>
            </w:r>
          </w:p>
        </w:tc>
        <w:tc>
          <w:tcPr>
            <w:tcW w:w="4291" w:type="dxa"/>
            <w:tcBorders>
              <w:top w:val="nil"/>
              <w:left w:val="nil"/>
              <w:bottom w:val="dotted" w:sz="4" w:space="0" w:color="7F7F7F"/>
              <w:right w:val="nil"/>
            </w:tcBorders>
            <w:vAlign w:val="center"/>
            <w:hideMark/>
          </w:tcPr>
          <w:p w14:paraId="70E38C89" w14:textId="23534C10" w:rsidR="00883C23" w:rsidRPr="00395AEA" w:rsidRDefault="00867934" w:rsidP="00395AEA">
            <w:pPr>
              <w:rPr>
                <w:rFonts w:ascii="Arial" w:hAnsi="Arial" w:cs="Arial"/>
                <w:sz w:val="16"/>
                <w:szCs w:val="16"/>
                <w:lang w:val="es-ES_tradnl" w:eastAsia="es-ES"/>
              </w:rPr>
            </w:pPr>
            <w:r w:rsidRPr="00867934">
              <w:rPr>
                <w:rFonts w:ascii="Arial" w:hAnsi="Arial" w:cs="Arial"/>
                <w:sz w:val="16"/>
                <w:szCs w:val="16"/>
                <w:lang w:val="es-ES_tradnl" w:eastAsia="es-ES"/>
              </w:rPr>
              <w:t>Diana Fabiola Herrera Hernández</w:t>
            </w:r>
          </w:p>
          <w:p w14:paraId="64935E46" w14:textId="58D8E4A2" w:rsidR="00883C23" w:rsidRPr="006D7E12" w:rsidRDefault="00647E66" w:rsidP="00883C23">
            <w:pPr>
              <w:rPr>
                <w:rFonts w:ascii="Arial" w:eastAsia="Times New Roman" w:hAnsi="Arial" w:cs="Arial"/>
                <w:sz w:val="16"/>
                <w:szCs w:val="16"/>
                <w:lang w:eastAsia="es-ES"/>
              </w:rPr>
            </w:pPr>
            <w:r w:rsidRPr="006D7E12">
              <w:rPr>
                <w:rFonts w:ascii="Arial" w:eastAsia="Times New Roman" w:hAnsi="Arial" w:cs="Arial"/>
                <w:sz w:val="16"/>
                <w:szCs w:val="16"/>
                <w:lang w:eastAsia="es-ES"/>
              </w:rPr>
              <w:t>Contratista</w:t>
            </w:r>
            <w:r w:rsidR="00883C23" w:rsidRPr="006D7E12">
              <w:rPr>
                <w:rFonts w:ascii="Arial" w:eastAsia="Times New Roman" w:hAnsi="Arial" w:cs="Arial"/>
                <w:sz w:val="16"/>
                <w:szCs w:val="16"/>
                <w:lang w:eastAsia="es-ES"/>
              </w:rPr>
              <w:t xml:space="preserve"> de la Subdirección de Gestión Contractual</w:t>
            </w:r>
          </w:p>
        </w:tc>
      </w:tr>
      <w:tr w:rsidR="006C314F" w:rsidRPr="006D7E12" w14:paraId="6BBD5900" w14:textId="77777777" w:rsidTr="00883C23">
        <w:trPr>
          <w:trHeight w:val="330"/>
        </w:trPr>
        <w:tc>
          <w:tcPr>
            <w:tcW w:w="812" w:type="dxa"/>
            <w:vAlign w:val="center"/>
            <w:hideMark/>
          </w:tcPr>
          <w:p w14:paraId="553F508F" w14:textId="77777777" w:rsidR="00883C23" w:rsidRPr="006D7E12" w:rsidRDefault="00883C23" w:rsidP="00883C23">
            <w:pPr>
              <w:rPr>
                <w:rFonts w:ascii="Arial" w:eastAsia="Times New Roman" w:hAnsi="Arial" w:cs="Arial"/>
                <w:sz w:val="16"/>
                <w:szCs w:val="16"/>
                <w:lang w:eastAsia="es-ES"/>
              </w:rPr>
            </w:pPr>
            <w:r w:rsidRPr="006D7E12">
              <w:rPr>
                <w:rFonts w:ascii="Arial" w:eastAsia="Times New Roman" w:hAnsi="Arial" w:cs="Arial"/>
                <w:sz w:val="16"/>
                <w:szCs w:val="16"/>
                <w:lang w:eastAsia="es-ES"/>
              </w:rPr>
              <w:t>Revisó:</w:t>
            </w:r>
          </w:p>
        </w:tc>
        <w:tc>
          <w:tcPr>
            <w:tcW w:w="4291" w:type="dxa"/>
            <w:tcBorders>
              <w:top w:val="dotted" w:sz="4" w:space="0" w:color="7F7F7F"/>
              <w:left w:val="nil"/>
              <w:bottom w:val="dotted" w:sz="4" w:space="0" w:color="7F7F7F"/>
              <w:right w:val="nil"/>
            </w:tcBorders>
            <w:vAlign w:val="center"/>
            <w:hideMark/>
          </w:tcPr>
          <w:p w14:paraId="790251F1" w14:textId="77777777" w:rsidR="00883C23" w:rsidRPr="006D7E12" w:rsidRDefault="00883C23" w:rsidP="00883C23">
            <w:pPr>
              <w:rPr>
                <w:rFonts w:ascii="Arial" w:eastAsia="Times New Roman" w:hAnsi="Arial" w:cs="Arial"/>
                <w:sz w:val="16"/>
                <w:szCs w:val="16"/>
                <w:lang w:eastAsia="es-ES"/>
              </w:rPr>
            </w:pPr>
            <w:r w:rsidRPr="006D7E12">
              <w:rPr>
                <w:rFonts w:ascii="Arial" w:eastAsia="Times New Roman" w:hAnsi="Arial" w:cs="Arial"/>
                <w:sz w:val="16"/>
                <w:szCs w:val="16"/>
                <w:lang w:eastAsia="es-ES"/>
              </w:rPr>
              <w:t>Juan David Montoya Penagos</w:t>
            </w:r>
          </w:p>
          <w:p w14:paraId="690E7C24" w14:textId="77777777" w:rsidR="00883C23" w:rsidRPr="006D7E12" w:rsidRDefault="00883C23" w:rsidP="00883C23">
            <w:pPr>
              <w:rPr>
                <w:rFonts w:ascii="Arial" w:eastAsia="Times New Roman" w:hAnsi="Arial" w:cs="Arial"/>
                <w:sz w:val="16"/>
                <w:szCs w:val="16"/>
                <w:lang w:eastAsia="es-ES"/>
              </w:rPr>
            </w:pPr>
            <w:r w:rsidRPr="006D7E12">
              <w:rPr>
                <w:rFonts w:ascii="Arial" w:eastAsia="Times New Roman" w:hAnsi="Arial" w:cs="Arial"/>
                <w:sz w:val="16"/>
                <w:szCs w:val="16"/>
                <w:lang w:eastAsia="es-ES"/>
              </w:rPr>
              <w:t>Gestor T1-15 de la Subdirección de Gestión Contractual</w:t>
            </w:r>
          </w:p>
        </w:tc>
      </w:tr>
      <w:tr w:rsidR="006C314F" w:rsidRPr="006C314F" w14:paraId="548E02B4" w14:textId="77777777" w:rsidTr="00883C23">
        <w:trPr>
          <w:trHeight w:val="300"/>
        </w:trPr>
        <w:tc>
          <w:tcPr>
            <w:tcW w:w="812" w:type="dxa"/>
            <w:vAlign w:val="center"/>
            <w:hideMark/>
          </w:tcPr>
          <w:p w14:paraId="5A0C52BA" w14:textId="77777777" w:rsidR="00883C23" w:rsidRPr="006D7E12" w:rsidRDefault="00883C23" w:rsidP="00883C23">
            <w:pPr>
              <w:rPr>
                <w:rFonts w:ascii="Arial" w:eastAsia="Times New Roman" w:hAnsi="Arial" w:cs="Arial"/>
                <w:sz w:val="16"/>
                <w:szCs w:val="16"/>
                <w:lang w:eastAsia="es-ES"/>
              </w:rPr>
            </w:pPr>
            <w:r w:rsidRPr="006D7E12">
              <w:rPr>
                <w:rFonts w:ascii="Arial" w:eastAsia="Times New Roman" w:hAnsi="Arial" w:cs="Arial"/>
                <w:sz w:val="16"/>
                <w:szCs w:val="16"/>
                <w:lang w:eastAsia="es-ES"/>
              </w:rPr>
              <w:t>Aprobó:</w:t>
            </w:r>
          </w:p>
        </w:tc>
        <w:tc>
          <w:tcPr>
            <w:tcW w:w="4291" w:type="dxa"/>
            <w:tcBorders>
              <w:top w:val="dotted" w:sz="4" w:space="0" w:color="7F7F7F"/>
              <w:left w:val="nil"/>
              <w:bottom w:val="dotted" w:sz="4" w:space="0" w:color="7F7F7F"/>
              <w:right w:val="nil"/>
            </w:tcBorders>
            <w:vAlign w:val="center"/>
            <w:hideMark/>
          </w:tcPr>
          <w:p w14:paraId="163C089A" w14:textId="36A29B02" w:rsidR="004705F0" w:rsidRPr="00A4774B" w:rsidRDefault="00A4774B" w:rsidP="00A4774B">
            <w:pPr>
              <w:rPr>
                <w:rFonts w:ascii="Arial" w:hAnsi="Arial" w:cs="Arial"/>
                <w:sz w:val="16"/>
                <w:szCs w:val="16"/>
                <w:lang w:val="es-ES_tradnl" w:eastAsia="es-ES"/>
              </w:rPr>
            </w:pPr>
            <w:r w:rsidRPr="00181E53">
              <w:rPr>
                <w:rFonts w:ascii="Arial" w:hAnsi="Arial" w:cs="Arial"/>
                <w:sz w:val="16"/>
                <w:szCs w:val="16"/>
                <w:lang w:val="es-ES_tradnl" w:eastAsia="es-ES"/>
              </w:rPr>
              <w:t>Jorge Augusto Tirado Navarro</w:t>
            </w:r>
          </w:p>
          <w:p w14:paraId="0328F00E" w14:textId="7197DEB9" w:rsidR="00883C23" w:rsidRPr="006C314F" w:rsidRDefault="004705F0" w:rsidP="004705F0">
            <w:pPr>
              <w:rPr>
                <w:rFonts w:ascii="Arial" w:eastAsia="Times New Roman" w:hAnsi="Arial" w:cs="Arial"/>
                <w:sz w:val="16"/>
                <w:szCs w:val="16"/>
                <w:lang w:eastAsia="es-ES"/>
              </w:rPr>
            </w:pPr>
            <w:r w:rsidRPr="006D7E12">
              <w:rPr>
                <w:rFonts w:ascii="Arial" w:eastAsia="Times New Roman" w:hAnsi="Arial" w:cs="Arial"/>
                <w:sz w:val="16"/>
                <w:szCs w:val="16"/>
                <w:lang w:val="es-ES" w:eastAsia="es-ES"/>
              </w:rPr>
              <w:t xml:space="preserve">Subdirector de Gestión Contractual </w:t>
            </w:r>
            <w:r w:rsidR="00A4774B">
              <w:rPr>
                <w:rFonts w:ascii="Arial" w:eastAsia="Times New Roman" w:hAnsi="Arial" w:cs="Arial"/>
                <w:sz w:val="16"/>
                <w:szCs w:val="16"/>
                <w:lang w:val="es-ES" w:eastAsia="es-ES"/>
              </w:rPr>
              <w:t>ANCP – CCE</w:t>
            </w:r>
          </w:p>
        </w:tc>
      </w:tr>
      <w:bookmarkEnd w:id="7"/>
      <w:bookmarkEnd w:id="67"/>
    </w:tbl>
    <w:p w14:paraId="670AA761" w14:textId="77777777" w:rsidR="00883C23" w:rsidRPr="006C314F" w:rsidRDefault="00883C23" w:rsidP="00883C23">
      <w:pPr>
        <w:spacing w:after="120" w:line="276" w:lineRule="auto"/>
        <w:contextualSpacing/>
        <w:jc w:val="both"/>
        <w:rPr>
          <w:rFonts w:ascii="Arial" w:eastAsia="Calibri" w:hAnsi="Arial" w:cs="Arial"/>
          <w:b/>
          <w:bCs/>
          <w:sz w:val="20"/>
          <w:szCs w:val="20"/>
          <w:lang w:val="es-MX"/>
        </w:rPr>
      </w:pPr>
    </w:p>
    <w:bookmarkEnd w:id="8"/>
    <w:p w14:paraId="0EB7EF9B" w14:textId="77777777" w:rsidR="00E71F3C" w:rsidRPr="006C314F" w:rsidRDefault="00E71F3C"/>
    <w:sectPr w:rsidR="00E71F3C" w:rsidRPr="006C314F" w:rsidSect="00BE1101">
      <w:headerReference w:type="default" r:id="rId13"/>
      <w:footerReference w:type="default" r:id="rId14"/>
      <w:pgSz w:w="12240" w:h="15840"/>
      <w:pgMar w:top="411" w:right="1608"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0695F" w14:textId="77777777" w:rsidR="00112602" w:rsidRDefault="00112602" w:rsidP="00883C23">
      <w:pPr>
        <w:spacing w:after="0" w:line="240" w:lineRule="auto"/>
      </w:pPr>
      <w:r>
        <w:separator/>
      </w:r>
    </w:p>
  </w:endnote>
  <w:endnote w:type="continuationSeparator" w:id="0">
    <w:p w14:paraId="5764BF7E" w14:textId="77777777" w:rsidR="00112602" w:rsidRDefault="00112602" w:rsidP="00883C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CDF35" w14:textId="77777777" w:rsidR="00301B6D" w:rsidRDefault="00301B6D" w:rsidP="00301B6D">
    <w:pPr>
      <w:pStyle w:val="Sinespaciado"/>
      <w:rPr>
        <w:rFonts w:ascii="Arial" w:hAnsi="Arial" w:cs="Arial"/>
        <w:sz w:val="18"/>
        <w:szCs w:val="18"/>
      </w:rPr>
    </w:pPr>
  </w:p>
  <w:p w14:paraId="0D6BD032" w14:textId="77777777" w:rsidR="00301B6D" w:rsidRDefault="00301B6D" w:rsidP="00301B6D">
    <w:pPr>
      <w:pStyle w:val="Sinespaciado"/>
      <w:rPr>
        <w:rFonts w:ascii="Arial" w:hAnsi="Arial" w:cs="Arial"/>
        <w:sz w:val="18"/>
        <w:szCs w:val="18"/>
      </w:rPr>
    </w:pPr>
  </w:p>
  <w:p w14:paraId="7C1EBCC4" w14:textId="77777777" w:rsidR="00301B6D" w:rsidRPr="00883C23" w:rsidRDefault="00DB1FBD" w:rsidP="00301B6D">
    <w:pPr>
      <w:pStyle w:val="Piedepgina"/>
      <w:jc w:val="right"/>
      <w:rPr>
        <w:rFonts w:ascii="Arial" w:hAnsi="Arial" w:cs="Arial"/>
        <w:color w:val="7F7F7F"/>
        <w:sz w:val="16"/>
        <w:szCs w:val="16"/>
      </w:rPr>
    </w:pPr>
    <w:r w:rsidRPr="00883C23">
      <w:rPr>
        <w:rFonts w:ascii="Arial" w:hAnsi="Arial" w:cs="Arial"/>
        <w:bCs/>
        <w:color w:val="7F7F7F"/>
        <w:sz w:val="16"/>
        <w:szCs w:val="16"/>
      </w:rPr>
      <w:t xml:space="preserve">Página </w:t>
    </w:r>
    <w:r w:rsidRPr="00883C23">
      <w:rPr>
        <w:rFonts w:ascii="Arial" w:hAnsi="Arial" w:cs="Arial"/>
        <w:b/>
        <w:bCs/>
        <w:color w:val="7F7F7F"/>
        <w:sz w:val="16"/>
        <w:szCs w:val="16"/>
      </w:rPr>
      <w:fldChar w:fldCharType="begin"/>
    </w:r>
    <w:r w:rsidRPr="00883C23">
      <w:rPr>
        <w:rFonts w:ascii="Arial" w:hAnsi="Arial" w:cs="Arial"/>
        <w:b/>
        <w:bCs/>
        <w:color w:val="7F7F7F"/>
        <w:sz w:val="16"/>
        <w:szCs w:val="16"/>
      </w:rPr>
      <w:instrText>PAGE  \* Arabic  \* MERGEFORMAT</w:instrText>
    </w:r>
    <w:r w:rsidRPr="00883C23">
      <w:rPr>
        <w:rFonts w:ascii="Arial" w:hAnsi="Arial" w:cs="Arial"/>
        <w:b/>
        <w:bCs/>
        <w:color w:val="7F7F7F"/>
        <w:sz w:val="16"/>
        <w:szCs w:val="16"/>
      </w:rPr>
      <w:fldChar w:fldCharType="separate"/>
    </w:r>
    <w:r w:rsidR="00EC2FF6">
      <w:rPr>
        <w:rFonts w:ascii="Arial" w:hAnsi="Arial" w:cs="Arial"/>
        <w:b/>
        <w:bCs/>
        <w:noProof/>
        <w:color w:val="7F7F7F"/>
        <w:sz w:val="16"/>
        <w:szCs w:val="16"/>
      </w:rPr>
      <w:t>22</w:t>
    </w:r>
    <w:r w:rsidRPr="00883C23">
      <w:rPr>
        <w:rFonts w:ascii="Arial" w:hAnsi="Arial" w:cs="Arial"/>
        <w:b/>
        <w:bCs/>
        <w:color w:val="7F7F7F"/>
        <w:sz w:val="16"/>
        <w:szCs w:val="16"/>
      </w:rPr>
      <w:fldChar w:fldCharType="end"/>
    </w:r>
    <w:r w:rsidRPr="00883C23">
      <w:rPr>
        <w:rFonts w:ascii="Arial" w:hAnsi="Arial" w:cs="Arial"/>
        <w:color w:val="7F7F7F"/>
        <w:sz w:val="16"/>
        <w:szCs w:val="16"/>
      </w:rPr>
      <w:t xml:space="preserve"> de </w:t>
    </w:r>
    <w:r w:rsidRPr="00883C23">
      <w:rPr>
        <w:rFonts w:ascii="Arial" w:hAnsi="Arial" w:cs="Arial"/>
        <w:b/>
        <w:bCs/>
        <w:color w:val="7F7F7F"/>
        <w:sz w:val="16"/>
        <w:szCs w:val="16"/>
      </w:rPr>
      <w:fldChar w:fldCharType="begin"/>
    </w:r>
    <w:r w:rsidRPr="00883C23">
      <w:rPr>
        <w:rFonts w:ascii="Arial" w:hAnsi="Arial" w:cs="Arial"/>
        <w:b/>
        <w:bCs/>
        <w:color w:val="7F7F7F"/>
        <w:sz w:val="16"/>
        <w:szCs w:val="16"/>
      </w:rPr>
      <w:instrText>NUMPAGES  \* Arabic  \* MERGEFORMAT</w:instrText>
    </w:r>
    <w:r w:rsidRPr="00883C23">
      <w:rPr>
        <w:rFonts w:ascii="Arial" w:hAnsi="Arial" w:cs="Arial"/>
        <w:b/>
        <w:bCs/>
        <w:color w:val="7F7F7F"/>
        <w:sz w:val="16"/>
        <w:szCs w:val="16"/>
      </w:rPr>
      <w:fldChar w:fldCharType="separate"/>
    </w:r>
    <w:r w:rsidR="00EC2FF6">
      <w:rPr>
        <w:rFonts w:ascii="Arial" w:hAnsi="Arial" w:cs="Arial"/>
        <w:b/>
        <w:bCs/>
        <w:noProof/>
        <w:color w:val="7F7F7F"/>
        <w:sz w:val="16"/>
        <w:szCs w:val="16"/>
      </w:rPr>
      <w:t>23</w:t>
    </w:r>
    <w:r w:rsidRPr="00883C23">
      <w:rPr>
        <w:rFonts w:ascii="Arial" w:hAnsi="Arial" w:cs="Arial"/>
        <w:b/>
        <w:bCs/>
        <w:color w:val="7F7F7F"/>
        <w:sz w:val="16"/>
        <w:szCs w:val="16"/>
      </w:rPr>
      <w:fldChar w:fldCharType="end"/>
    </w:r>
  </w:p>
  <w:p w14:paraId="423CAAA8" w14:textId="77777777" w:rsidR="00301B6D" w:rsidRDefault="00DB1FBD" w:rsidP="00301B6D">
    <w:pPr>
      <w:pStyle w:val="Piedepgina"/>
      <w:jc w:val="center"/>
      <w:rPr>
        <w:lang w:val="es-ES"/>
      </w:rPr>
    </w:pPr>
    <w:r>
      <w:rPr>
        <w:noProof/>
        <w:lang w:val="es-CO" w:eastAsia="es-CO"/>
      </w:rPr>
      <w:drawing>
        <wp:inline distT="0" distB="0" distL="0" distR="0" wp14:anchorId="55A8C681" wp14:editId="46D427A4">
          <wp:extent cx="4241994" cy="595165"/>
          <wp:effectExtent l="0" t="0" r="635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C6BC7D3" w14:textId="77777777" w:rsidR="00301B6D" w:rsidRDefault="00301B6D" w:rsidP="00301B6D">
    <w:pPr>
      <w:pStyle w:val="Piedepgina"/>
      <w:jc w:val="center"/>
      <w:rPr>
        <w:lang w:val="es-ES"/>
      </w:rPr>
    </w:pPr>
  </w:p>
  <w:p w14:paraId="3DDDA67F" w14:textId="77777777" w:rsidR="00301B6D" w:rsidRPr="007B0854" w:rsidRDefault="00301B6D" w:rsidP="00301B6D">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838E3" w14:textId="77777777" w:rsidR="00112602" w:rsidRDefault="00112602" w:rsidP="00883C23">
      <w:pPr>
        <w:spacing w:after="0" w:line="240" w:lineRule="auto"/>
      </w:pPr>
      <w:r>
        <w:separator/>
      </w:r>
    </w:p>
  </w:footnote>
  <w:footnote w:type="continuationSeparator" w:id="0">
    <w:p w14:paraId="7CC1984D" w14:textId="77777777" w:rsidR="00112602" w:rsidRDefault="00112602" w:rsidP="00883C23">
      <w:pPr>
        <w:spacing w:after="0" w:line="240" w:lineRule="auto"/>
      </w:pPr>
      <w:r>
        <w:continuationSeparator/>
      </w:r>
    </w:p>
  </w:footnote>
  <w:footnote w:id="1">
    <w:p w14:paraId="36A31E4B" w14:textId="77777777" w:rsidR="00B64ACB" w:rsidRPr="00CB149C" w:rsidRDefault="00B64ACB" w:rsidP="00D044F7">
      <w:pPr>
        <w:pStyle w:val="Textonotapie"/>
        <w:spacing w:after="0" w:line="240" w:lineRule="auto"/>
        <w:ind w:firstLine="708"/>
        <w:rPr>
          <w:rFonts w:ascii="Arial" w:hAnsi="Arial" w:cs="Arial"/>
          <w:sz w:val="16"/>
          <w:szCs w:val="16"/>
          <w:lang w:val="es-ES"/>
        </w:rPr>
      </w:pPr>
      <w:r w:rsidRPr="00CB149C">
        <w:rPr>
          <w:rStyle w:val="Refdenotaalpie"/>
          <w:rFonts w:ascii="Arial" w:hAnsi="Arial" w:cs="Arial"/>
          <w:sz w:val="16"/>
          <w:szCs w:val="16"/>
        </w:rPr>
        <w:footnoteRef/>
      </w:r>
      <w:r w:rsidRPr="00CB149C">
        <w:rPr>
          <w:rFonts w:ascii="Arial" w:hAnsi="Arial" w:cs="Arial"/>
          <w:sz w:val="16"/>
          <w:szCs w:val="1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CB149C">
        <w:rPr>
          <w:rFonts w:ascii="Arial" w:hAnsi="Arial" w:cs="Arial"/>
          <w:i/>
          <w:iCs/>
          <w:sz w:val="16"/>
          <w:szCs w:val="16"/>
        </w:rPr>
        <w:t xml:space="preserve">ibidem </w:t>
      </w:r>
      <w:r w:rsidRPr="00CB149C">
        <w:rPr>
          <w:rFonts w:ascii="Arial" w:hAnsi="Arial" w:cs="Arial"/>
          <w:sz w:val="16"/>
          <w:szCs w:val="16"/>
        </w:rPr>
        <w:t>señala, de manera precisa, las funciones de Colombia Compra Eficiente. Concretamente, el numeral 5º de este artículo establece que le corresponde a esta entidad: «[a]</w:t>
      </w:r>
      <w:proofErr w:type="spellStart"/>
      <w:r w:rsidRPr="00CB149C">
        <w:rPr>
          <w:rFonts w:ascii="Arial" w:hAnsi="Arial" w:cs="Arial"/>
          <w:sz w:val="16"/>
          <w:szCs w:val="16"/>
        </w:rPr>
        <w:t>bsolver</w:t>
      </w:r>
      <w:proofErr w:type="spellEnd"/>
      <w:r w:rsidRPr="00CB149C">
        <w:rPr>
          <w:rFonts w:ascii="Arial" w:hAnsi="Arial" w:cs="Arial"/>
          <w:sz w:val="16"/>
          <w:szCs w:val="16"/>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CB149C">
        <w:rPr>
          <w:rFonts w:ascii="Arial" w:hAnsi="Arial" w:cs="Arial"/>
          <w:sz w:val="16"/>
          <w:szCs w:val="16"/>
        </w:rPr>
        <w:t>bsolver</w:t>
      </w:r>
      <w:proofErr w:type="spellEnd"/>
      <w:r w:rsidRPr="00CB149C">
        <w:rPr>
          <w:rFonts w:ascii="Arial" w:hAnsi="Arial" w:cs="Arial"/>
          <w:sz w:val="16"/>
          <w:szCs w:val="16"/>
        </w:rPr>
        <w:t xml:space="preserve"> consultas sobre la aplicación de normas de carácter general».</w:t>
      </w:r>
    </w:p>
  </w:footnote>
  <w:footnote w:id="2">
    <w:p w14:paraId="7592975B" w14:textId="77777777" w:rsidR="00883C23" w:rsidRPr="00CB149C" w:rsidRDefault="00883C23" w:rsidP="00D044F7">
      <w:pPr>
        <w:pStyle w:val="Textonotapie"/>
        <w:spacing w:after="0" w:line="240" w:lineRule="auto"/>
        <w:ind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1A6FC354" w14:textId="4BC44309" w:rsidR="00883C23" w:rsidRPr="00CB149C" w:rsidRDefault="00883C23">
      <w:pPr>
        <w:pStyle w:val="Textonotapie"/>
        <w:spacing w:after="0" w:line="240" w:lineRule="auto"/>
        <w:ind w:firstLine="709"/>
        <w:contextualSpacing/>
        <w:rPr>
          <w:rFonts w:ascii="Arial" w:hAnsi="Arial" w:cs="Arial"/>
          <w:sz w:val="16"/>
          <w:szCs w:val="16"/>
        </w:rPr>
      </w:pPr>
      <w:r w:rsidRPr="00CB149C">
        <w:rPr>
          <w:rFonts w:ascii="Arial" w:hAnsi="Arial"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4CA52D34" w14:textId="77777777" w:rsidR="00883C23" w:rsidRPr="00CB149C" w:rsidRDefault="00883C23" w:rsidP="00D044F7">
      <w:pPr>
        <w:pStyle w:val="Textonotapie"/>
        <w:spacing w:after="0" w:line="240" w:lineRule="auto"/>
        <w:ind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Gaceta del Congreso de la República No. 71 del 2005.</w:t>
      </w:r>
    </w:p>
  </w:footnote>
  <w:footnote w:id="4">
    <w:p w14:paraId="77C40CDD" w14:textId="77777777" w:rsidR="00883C23" w:rsidRPr="00CB149C" w:rsidRDefault="00883C23" w:rsidP="00D044F7">
      <w:pPr>
        <w:pStyle w:val="Textonotapie"/>
        <w:spacing w:after="0" w:line="240" w:lineRule="auto"/>
        <w:ind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Corte Constitucional, Sentencia C- 1153 de 2005, M.P. Marco Gerardo Monroy Cabra.</w:t>
      </w:r>
    </w:p>
  </w:footnote>
  <w:footnote w:id="5">
    <w:p w14:paraId="372E667C" w14:textId="77777777" w:rsidR="00883C23" w:rsidRPr="00CB149C" w:rsidRDefault="00883C23" w:rsidP="00D044F7">
      <w:pPr>
        <w:pStyle w:val="Textonotapie"/>
        <w:spacing w:after="0" w:line="240" w:lineRule="auto"/>
        <w:ind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0A1E619E" w14:textId="77777777" w:rsidR="00883C23" w:rsidRPr="00CB149C" w:rsidRDefault="00883C23" w:rsidP="00D044F7">
      <w:pPr>
        <w:pStyle w:val="Textonotapie"/>
        <w:spacing w:after="0" w:line="240" w:lineRule="auto"/>
        <w:ind w:firstLine="709"/>
        <w:contextualSpacing/>
        <w:rPr>
          <w:rFonts w:ascii="Arial" w:hAnsi="Arial" w:cs="Arial"/>
          <w:sz w:val="16"/>
          <w:szCs w:val="16"/>
          <w:lang w:val="es-CO"/>
        </w:rPr>
      </w:pPr>
      <w:r w:rsidRPr="00CB149C">
        <w:rPr>
          <w:rStyle w:val="Refdenotaalpie"/>
          <w:rFonts w:ascii="Arial" w:hAnsi="Arial" w:cs="Arial"/>
          <w:sz w:val="16"/>
          <w:szCs w:val="16"/>
        </w:rPr>
        <w:footnoteRef/>
      </w:r>
      <w:r w:rsidRPr="00CB149C">
        <w:rPr>
          <w:rFonts w:ascii="Arial" w:hAnsi="Arial"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4A939136" w14:textId="77777777" w:rsidR="00883C23" w:rsidRPr="00CB149C" w:rsidRDefault="00883C23" w:rsidP="00D044F7">
      <w:pPr>
        <w:pStyle w:val="Textonotapie"/>
        <w:spacing w:after="0" w:line="240" w:lineRule="auto"/>
        <w:ind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Consejo de Estado, Sala de Consulta y Servicio Civil de fecha 24 de julio de 2013, radicado 2166, Consejero Ponente: Álvaro </w:t>
      </w:r>
      <w:proofErr w:type="spellStart"/>
      <w:r w:rsidRPr="00CB149C">
        <w:rPr>
          <w:rFonts w:ascii="Arial" w:hAnsi="Arial" w:cs="Arial"/>
          <w:sz w:val="16"/>
          <w:szCs w:val="16"/>
        </w:rPr>
        <w:t>Namén</w:t>
      </w:r>
      <w:proofErr w:type="spellEnd"/>
      <w:r w:rsidRPr="00CB149C">
        <w:rPr>
          <w:rFonts w:ascii="Arial" w:hAnsi="Arial" w:cs="Arial"/>
          <w:sz w:val="16"/>
          <w:szCs w:val="16"/>
        </w:rPr>
        <w:t xml:space="preserve"> Vargas.  </w:t>
      </w:r>
    </w:p>
  </w:footnote>
  <w:footnote w:id="8">
    <w:p w14:paraId="1A36A1E8" w14:textId="77777777" w:rsidR="00883C23" w:rsidRPr="00CB149C" w:rsidRDefault="00883C23" w:rsidP="00D044F7">
      <w:pPr>
        <w:spacing w:after="0" w:line="240" w:lineRule="auto"/>
        <w:ind w:firstLine="709"/>
        <w:contextualSpacing/>
        <w:jc w:val="both"/>
        <w:rPr>
          <w:rFonts w:ascii="Arial" w:eastAsia="Times New Roman"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w:t>
      </w:r>
      <w:bookmarkStart w:id="18" w:name="33"/>
      <w:r w:rsidRPr="00CB149C">
        <w:rPr>
          <w:rFonts w:ascii="Arial" w:eastAsia="Calibri" w:hAnsi="Arial" w:cs="Arial"/>
          <w:bCs/>
          <w:color w:val="000000"/>
          <w:sz w:val="16"/>
          <w:szCs w:val="16"/>
        </w:rPr>
        <w:t>«</w:t>
      </w:r>
      <w:r w:rsidRPr="00CB149C">
        <w:rPr>
          <w:rFonts w:ascii="Arial" w:eastAsia="Times New Roman" w:hAnsi="Arial" w:cs="Arial"/>
          <w:sz w:val="16"/>
          <w:szCs w:val="16"/>
        </w:rPr>
        <w:t>Artículo 33. Restricciones a la contratación pública.</w:t>
      </w:r>
      <w:bookmarkEnd w:id="18"/>
      <w:r w:rsidRPr="00CB149C">
        <w:rPr>
          <w:rFonts w:ascii="Arial" w:eastAsia="Times New Roman" w:hAnsi="Arial"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3CEDFA3A" w14:textId="77777777" w:rsidR="00883C23" w:rsidRPr="00CB149C" w:rsidRDefault="00883C23" w:rsidP="00D044F7">
      <w:pPr>
        <w:spacing w:after="0" w:line="240" w:lineRule="auto"/>
        <w:ind w:firstLine="709"/>
        <w:contextualSpacing/>
        <w:jc w:val="both"/>
        <w:rPr>
          <w:rFonts w:ascii="Arial" w:eastAsia="Times New Roman" w:hAnsi="Arial" w:cs="Arial"/>
          <w:sz w:val="16"/>
          <w:szCs w:val="16"/>
        </w:rPr>
      </w:pPr>
      <w:r w:rsidRPr="00CB149C">
        <w:rPr>
          <w:rFonts w:ascii="Arial" w:eastAsia="Calibri" w:hAnsi="Arial" w:cs="Arial"/>
          <w:bCs/>
          <w:color w:val="000000"/>
          <w:sz w:val="16"/>
          <w:szCs w:val="16"/>
        </w:rPr>
        <w:t>»</w:t>
      </w:r>
      <w:r w:rsidRPr="00CB149C">
        <w:rPr>
          <w:rFonts w:ascii="Arial" w:eastAsia="Times New Roman" w:hAnsi="Arial" w:cs="Arial"/>
          <w:sz w:val="16"/>
          <w:szCs w:val="16"/>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CB149C">
        <w:rPr>
          <w:rFonts w:ascii="Arial" w:eastAsia="Calibri" w:hAnsi="Arial" w:cs="Arial"/>
          <w:bCs/>
          <w:color w:val="000000"/>
          <w:sz w:val="16"/>
          <w:szCs w:val="16"/>
        </w:rPr>
        <w:t>»</w:t>
      </w:r>
      <w:r w:rsidRPr="00CB149C">
        <w:rPr>
          <w:rFonts w:ascii="Arial" w:eastAsia="Times New Roman" w:hAnsi="Arial" w:cs="Arial"/>
          <w:sz w:val="16"/>
          <w:szCs w:val="16"/>
        </w:rPr>
        <w:t>.</w:t>
      </w:r>
    </w:p>
  </w:footnote>
  <w:footnote w:id="9">
    <w:p w14:paraId="10A55EB6" w14:textId="77777777" w:rsidR="00883C23" w:rsidRPr="00CB149C" w:rsidRDefault="00883C23" w:rsidP="00D044F7">
      <w:pPr>
        <w:pStyle w:val="NormalWeb"/>
        <w:spacing w:before="0" w:beforeAutospacing="0" w:after="0" w:afterAutospacing="0" w:line="240" w:lineRule="auto"/>
        <w:ind w:firstLine="709"/>
        <w:contextualSpacing/>
        <w:rPr>
          <w:rFonts w:ascii="Arial" w:hAnsi="Arial" w:cs="Arial"/>
          <w:sz w:val="16"/>
          <w:szCs w:val="16"/>
          <w:lang w:val="es-MX"/>
        </w:rPr>
      </w:pPr>
      <w:r w:rsidRPr="00CB149C">
        <w:rPr>
          <w:rStyle w:val="Refdenotaalpie"/>
          <w:rFonts w:ascii="Arial" w:hAnsi="Arial" w:cs="Arial"/>
          <w:sz w:val="16"/>
          <w:szCs w:val="16"/>
        </w:rPr>
        <w:footnoteRef/>
      </w:r>
      <w:r w:rsidRPr="00CB149C">
        <w:rPr>
          <w:rFonts w:ascii="Arial" w:hAnsi="Arial" w:cs="Arial"/>
          <w:sz w:val="16"/>
          <w:szCs w:val="16"/>
        </w:rPr>
        <w:t xml:space="preserve"> </w:t>
      </w:r>
      <w:bookmarkStart w:id="19" w:name="38"/>
      <w:r w:rsidRPr="00CB149C">
        <w:rPr>
          <w:rFonts w:ascii="Arial" w:eastAsia="Calibri" w:hAnsi="Arial" w:cs="Arial"/>
          <w:bCs/>
          <w:color w:val="000000"/>
          <w:sz w:val="16"/>
          <w:szCs w:val="16"/>
        </w:rPr>
        <w:t>«</w:t>
      </w:r>
      <w:r w:rsidRPr="00CB149C">
        <w:rPr>
          <w:rFonts w:ascii="Arial" w:hAnsi="Arial" w:cs="Arial"/>
          <w:sz w:val="16"/>
          <w:szCs w:val="16"/>
          <w:lang w:val="es-MX"/>
        </w:rPr>
        <w:t>Artículo 38. Prohibiciones para los servidores públicos. A los empleados del Estado les está prohibido:</w:t>
      </w:r>
      <w:bookmarkEnd w:id="19"/>
    </w:p>
    <w:p w14:paraId="332F2537" w14:textId="77777777" w:rsidR="00883C23" w:rsidRPr="00CB149C" w:rsidRDefault="00883C23" w:rsidP="00D044F7">
      <w:pPr>
        <w:pStyle w:val="NormalWeb"/>
        <w:spacing w:before="0" w:beforeAutospacing="0" w:after="0" w:afterAutospacing="0" w:line="240" w:lineRule="auto"/>
        <w:ind w:firstLine="709"/>
        <w:contextualSpacing/>
        <w:rPr>
          <w:rFonts w:ascii="Arial" w:hAnsi="Arial" w:cs="Arial"/>
          <w:sz w:val="16"/>
          <w:szCs w:val="16"/>
          <w:lang w:val="es-MX"/>
        </w:rPr>
      </w:pPr>
      <w:r w:rsidRPr="00CB149C">
        <w:rPr>
          <w:rFonts w:ascii="Arial" w:eastAsia="Calibri" w:hAnsi="Arial" w:cs="Arial"/>
          <w:bCs/>
          <w:color w:val="000000"/>
          <w:sz w:val="16"/>
          <w:szCs w:val="16"/>
        </w:rPr>
        <w:t>»</w:t>
      </w:r>
      <w:r w:rsidRPr="00CB149C">
        <w:rPr>
          <w:rFonts w:ascii="Arial" w:hAnsi="Arial" w:cs="Arial"/>
          <w:sz w:val="16"/>
          <w:szCs w:val="16"/>
          <w:lang w:val="es-MX"/>
        </w:rPr>
        <w:t xml:space="preserve"> […]</w:t>
      </w:r>
    </w:p>
    <w:p w14:paraId="32B37231" w14:textId="77777777" w:rsidR="00883C23" w:rsidRPr="00CB149C" w:rsidRDefault="00883C23" w:rsidP="00D044F7">
      <w:pPr>
        <w:pStyle w:val="NormalWeb"/>
        <w:spacing w:before="0" w:beforeAutospacing="0" w:after="0" w:afterAutospacing="0" w:line="240" w:lineRule="auto"/>
        <w:ind w:firstLine="709"/>
        <w:contextualSpacing/>
        <w:rPr>
          <w:rFonts w:ascii="Arial" w:hAnsi="Arial" w:cs="Arial"/>
          <w:sz w:val="16"/>
          <w:szCs w:val="16"/>
          <w:lang w:val="es-MX"/>
        </w:rPr>
      </w:pPr>
      <w:r w:rsidRPr="00CB149C">
        <w:rPr>
          <w:rFonts w:ascii="Arial" w:eastAsia="Calibri" w:hAnsi="Arial" w:cs="Arial"/>
          <w:bCs/>
          <w:color w:val="000000"/>
          <w:sz w:val="16"/>
          <w:szCs w:val="16"/>
        </w:rPr>
        <w:t>»</w:t>
      </w:r>
      <w:r w:rsidRPr="00CB149C">
        <w:rPr>
          <w:rStyle w:val="baj"/>
          <w:rFonts w:ascii="Arial" w:hAnsi="Arial" w:cs="Arial"/>
          <w:sz w:val="16"/>
          <w:szCs w:val="16"/>
          <w:lang w:val="es-MX"/>
        </w:rPr>
        <w:t xml:space="preserve"> Parágrafo.</w:t>
      </w:r>
      <w:r w:rsidRPr="00CB149C">
        <w:rPr>
          <w:rFonts w:ascii="Arial" w:hAnsi="Arial"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B149C">
        <w:rPr>
          <w:rFonts w:ascii="Arial" w:eastAsia="Calibri" w:hAnsi="Arial" w:cs="Arial"/>
          <w:bCs/>
          <w:color w:val="000000"/>
          <w:sz w:val="16"/>
          <w:szCs w:val="16"/>
        </w:rPr>
        <w:t>»</w:t>
      </w:r>
      <w:r w:rsidRPr="00CB149C">
        <w:rPr>
          <w:rFonts w:ascii="Arial" w:hAnsi="Arial" w:cs="Arial"/>
          <w:sz w:val="16"/>
          <w:szCs w:val="16"/>
          <w:lang w:val="es-MX"/>
        </w:rPr>
        <w:t>.</w:t>
      </w:r>
    </w:p>
  </w:footnote>
  <w:footnote w:id="10">
    <w:p w14:paraId="29309905" w14:textId="77777777" w:rsidR="00883C23" w:rsidRPr="00CB149C" w:rsidRDefault="00883C23" w:rsidP="00D044F7">
      <w:pPr>
        <w:spacing w:after="0" w:line="240" w:lineRule="auto"/>
        <w:ind w:left="100" w:right="244" w:firstLine="709"/>
        <w:contextualSpacing/>
        <w:jc w:val="both"/>
        <w:rPr>
          <w:rFonts w:ascii="Arial" w:hAnsi="Arial" w:cs="Arial"/>
          <w:sz w:val="16"/>
          <w:szCs w:val="16"/>
          <w:lang w:val="es-ES"/>
        </w:rPr>
      </w:pPr>
      <w:r w:rsidRPr="00CB149C">
        <w:rPr>
          <w:rStyle w:val="Refdenotaalpie"/>
          <w:rFonts w:ascii="Arial" w:hAnsi="Arial" w:cs="Arial"/>
          <w:sz w:val="16"/>
          <w:szCs w:val="16"/>
        </w:rPr>
        <w:footnoteRef/>
      </w:r>
      <w:r w:rsidRPr="00CB149C">
        <w:rPr>
          <w:rFonts w:ascii="Arial" w:hAnsi="Arial" w:cs="Arial"/>
          <w:sz w:val="16"/>
          <w:szCs w:val="16"/>
        </w:rPr>
        <w:t xml:space="preserve"> Consejo de Estado. Sala de Consulta y Servicio Civil. Concepto del 17 de febrero de 2015. C.P. William Zambrano Cetina. Radicación No. 11001-03-06-000-2015-00164-00(2269).</w:t>
      </w:r>
    </w:p>
  </w:footnote>
  <w:footnote w:id="11">
    <w:p w14:paraId="486B18C7" w14:textId="77777777" w:rsidR="00883C23" w:rsidRPr="00CB149C" w:rsidRDefault="00883C23" w:rsidP="00D044F7">
      <w:pPr>
        <w:pStyle w:val="Textonotapie"/>
        <w:spacing w:after="0" w:line="240" w:lineRule="auto"/>
        <w:ind w:right="51"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w:t>
      </w:r>
      <w:bookmarkStart w:id="25" w:name="_Hlk74272731"/>
      <w:r w:rsidRPr="00CB149C">
        <w:rPr>
          <w:rFonts w:ascii="Arial" w:hAnsi="Arial" w:cs="Arial"/>
          <w:sz w:val="16"/>
          <w:szCs w:val="16"/>
        </w:rPr>
        <w:t>«</w:t>
      </w:r>
      <w:bookmarkEnd w:id="25"/>
      <w:r w:rsidRPr="00CB149C">
        <w:rPr>
          <w:rFonts w:ascii="Arial" w:hAnsi="Arial" w:cs="Arial"/>
          <w:sz w:val="16"/>
          <w:szCs w:val="16"/>
          <w:lang w:val="es-ES"/>
        </w:rPr>
        <w:t xml:space="preserve">[25] </w:t>
      </w:r>
      <w:r w:rsidRPr="00CB149C">
        <w:rPr>
          <w:rFonts w:ascii="Arial" w:hAnsi="Arial" w:cs="Arial"/>
          <w:sz w:val="16"/>
          <w:szCs w:val="16"/>
        </w:rPr>
        <w:t>Cfr. Consejo de Estado. Sección Tercera. Sentencia de 3 de diciembre de 2007. Radicados: 24.715, 25.206, 25.409, 24.524, 27.834, 25.410, 26.105, 28.244, 31.447 -acumulados-</w:t>
      </w:r>
      <w:bookmarkStart w:id="26" w:name="_Hlk74271358"/>
      <w:r w:rsidRPr="00CB149C">
        <w:rPr>
          <w:rFonts w:ascii="Arial" w:hAnsi="Arial" w:cs="Arial"/>
          <w:sz w:val="16"/>
          <w:szCs w:val="16"/>
        </w:rPr>
        <w:t>»</w:t>
      </w:r>
      <w:bookmarkEnd w:id="26"/>
      <w:r w:rsidRPr="00CB149C">
        <w:rPr>
          <w:rFonts w:ascii="Arial" w:hAnsi="Arial" w:cs="Arial"/>
          <w:sz w:val="16"/>
          <w:szCs w:val="16"/>
        </w:rPr>
        <w:t>.</w:t>
      </w:r>
    </w:p>
  </w:footnote>
  <w:footnote w:id="12">
    <w:p w14:paraId="4FA25A77" w14:textId="77777777" w:rsidR="00883C23" w:rsidRPr="00CB149C" w:rsidRDefault="00883C23" w:rsidP="00D044F7">
      <w:pPr>
        <w:pStyle w:val="Textonotapie"/>
        <w:spacing w:after="0" w:line="240" w:lineRule="auto"/>
        <w:ind w:right="51"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w:t>
      </w:r>
      <w:bookmarkStart w:id="28" w:name="_Hlk74294506"/>
      <w:r w:rsidRPr="00CB149C">
        <w:rPr>
          <w:rFonts w:ascii="Arial" w:hAnsi="Arial" w:cs="Arial"/>
          <w:sz w:val="16"/>
          <w:szCs w:val="16"/>
        </w:rPr>
        <w:t>«</w:t>
      </w:r>
      <w:r w:rsidRPr="00CB149C">
        <w:rPr>
          <w:rFonts w:ascii="Arial" w:hAnsi="Arial" w:cs="Arial"/>
          <w:sz w:val="16"/>
          <w:szCs w:val="16"/>
          <w:lang w:val="es-ES"/>
        </w:rPr>
        <w:t xml:space="preserve">[26] </w:t>
      </w:r>
      <w:bookmarkEnd w:id="28"/>
      <w:r w:rsidRPr="00CB149C">
        <w:rPr>
          <w:rFonts w:ascii="Arial" w:hAnsi="Arial" w:cs="Arial"/>
          <w:sz w:val="16"/>
          <w:szCs w:val="16"/>
        </w:rPr>
        <w:t>Al respecto ver el concepto 1712 de 2 de febrero de 2006. Consejo de Estado Sala de Consulta y Servicio Civil».</w:t>
      </w:r>
    </w:p>
  </w:footnote>
  <w:footnote w:id="13">
    <w:p w14:paraId="22756EB5" w14:textId="77777777" w:rsidR="00883C23" w:rsidRPr="00CB149C" w:rsidRDefault="00883C23" w:rsidP="00D044F7">
      <w:pPr>
        <w:pStyle w:val="Textonotapie"/>
        <w:spacing w:after="0" w:line="240" w:lineRule="auto"/>
        <w:ind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Consejo de Estado. Sala de Consulta y Servicio Civil. Concepto del 2 de septiembre de 2013. Radicación número: 11001-03-06-000-2013-00412-00 (2168). Consejero Ponente: Álvaro </w:t>
      </w:r>
      <w:proofErr w:type="spellStart"/>
      <w:r w:rsidRPr="00CB149C">
        <w:rPr>
          <w:rFonts w:ascii="Arial" w:hAnsi="Arial" w:cs="Arial"/>
          <w:sz w:val="16"/>
          <w:szCs w:val="16"/>
        </w:rPr>
        <w:t>Namén</w:t>
      </w:r>
      <w:proofErr w:type="spellEnd"/>
      <w:r w:rsidRPr="00CB149C">
        <w:rPr>
          <w:rFonts w:ascii="Arial" w:hAnsi="Arial" w:cs="Arial"/>
          <w:sz w:val="16"/>
          <w:szCs w:val="16"/>
        </w:rPr>
        <w:t xml:space="preserve"> Vargas.</w:t>
      </w:r>
    </w:p>
  </w:footnote>
  <w:footnote w:id="14">
    <w:p w14:paraId="0E24E9AD" w14:textId="77777777" w:rsidR="00883C23" w:rsidRPr="00CB149C" w:rsidRDefault="00883C23" w:rsidP="00D044F7">
      <w:pPr>
        <w:pStyle w:val="Textonotapie"/>
        <w:spacing w:after="0" w:line="240" w:lineRule="auto"/>
        <w:ind w:firstLine="709"/>
        <w:contextualSpacing/>
        <w:rPr>
          <w:rFonts w:ascii="Arial" w:hAnsi="Arial" w:cs="Arial"/>
          <w:sz w:val="16"/>
          <w:szCs w:val="16"/>
          <w:lang w:val="es-ES"/>
        </w:rPr>
      </w:pPr>
      <w:r w:rsidRPr="00CB149C">
        <w:rPr>
          <w:rStyle w:val="Refdenotaalpie"/>
          <w:rFonts w:ascii="Arial" w:hAnsi="Arial" w:cs="Arial"/>
          <w:sz w:val="16"/>
          <w:szCs w:val="16"/>
        </w:rPr>
        <w:footnoteRef/>
      </w:r>
      <w:r w:rsidRPr="00CB149C">
        <w:rPr>
          <w:rFonts w:ascii="Arial" w:hAnsi="Arial" w:cs="Arial"/>
          <w:sz w:val="16"/>
          <w:szCs w:val="16"/>
        </w:rPr>
        <w:t xml:space="preserve"> </w:t>
      </w:r>
      <w:r w:rsidRPr="00CB149C">
        <w:rPr>
          <w:rFonts w:ascii="Arial" w:hAnsi="Arial" w:cs="Arial"/>
          <w:sz w:val="16"/>
          <w:szCs w:val="16"/>
          <w:lang w:val="es-ES"/>
        </w:rPr>
        <w:t xml:space="preserve">Artículo 2. </w:t>
      </w:r>
    </w:p>
  </w:footnote>
  <w:footnote w:id="15">
    <w:p w14:paraId="3925561C" w14:textId="77777777" w:rsidR="00883C23" w:rsidRPr="00CB149C" w:rsidRDefault="00883C23" w:rsidP="00D044F7">
      <w:pPr>
        <w:pStyle w:val="Textonotapie"/>
        <w:spacing w:after="0" w:line="240" w:lineRule="auto"/>
        <w:ind w:firstLine="709"/>
        <w:contextualSpacing/>
        <w:rPr>
          <w:rFonts w:ascii="Arial" w:hAnsi="Arial" w:cs="Arial"/>
          <w:sz w:val="16"/>
          <w:szCs w:val="16"/>
          <w:lang w:val="es-ES"/>
        </w:rPr>
      </w:pPr>
      <w:r w:rsidRPr="00CB149C">
        <w:rPr>
          <w:rStyle w:val="Refdenotaalpie"/>
          <w:rFonts w:ascii="Arial" w:hAnsi="Arial" w:cs="Arial"/>
          <w:sz w:val="16"/>
          <w:szCs w:val="16"/>
        </w:rPr>
        <w:footnoteRef/>
      </w:r>
      <w:r w:rsidRPr="00CB149C">
        <w:rPr>
          <w:rFonts w:ascii="Arial" w:hAnsi="Arial" w:cs="Arial"/>
          <w:sz w:val="16"/>
          <w:szCs w:val="16"/>
        </w:rPr>
        <w:t xml:space="preserve"> </w:t>
      </w:r>
      <w:r w:rsidRPr="00CB149C">
        <w:rPr>
          <w:rFonts w:ascii="Arial" w:hAnsi="Arial" w:cs="Arial"/>
          <w:i/>
          <w:sz w:val="16"/>
          <w:szCs w:val="16"/>
          <w:lang w:val="es-ES"/>
        </w:rPr>
        <w:t>Ídem</w:t>
      </w:r>
      <w:r w:rsidRPr="00CB149C">
        <w:rPr>
          <w:rFonts w:ascii="Arial" w:hAnsi="Arial" w:cs="Arial"/>
          <w:sz w:val="16"/>
          <w:szCs w:val="16"/>
          <w:lang w:val="es-ES"/>
        </w:rPr>
        <w:t>.</w:t>
      </w:r>
    </w:p>
  </w:footnote>
  <w:footnote w:id="16">
    <w:p w14:paraId="686535DA" w14:textId="77777777" w:rsidR="00883C23" w:rsidRPr="00CB149C" w:rsidRDefault="00883C23" w:rsidP="00D044F7">
      <w:pPr>
        <w:pStyle w:val="Textonotapie"/>
        <w:spacing w:after="0" w:line="240" w:lineRule="auto"/>
        <w:ind w:firstLine="709"/>
        <w:contextualSpacing/>
        <w:rPr>
          <w:rFonts w:ascii="Arial" w:hAnsi="Arial" w:cs="Arial"/>
          <w:sz w:val="16"/>
          <w:szCs w:val="16"/>
          <w:lang w:val="es-ES"/>
        </w:rPr>
      </w:pPr>
      <w:r w:rsidRPr="00CB149C">
        <w:rPr>
          <w:rStyle w:val="Refdenotaalpie"/>
          <w:rFonts w:ascii="Arial" w:hAnsi="Arial" w:cs="Arial"/>
          <w:sz w:val="16"/>
          <w:szCs w:val="16"/>
        </w:rPr>
        <w:footnoteRef/>
      </w:r>
      <w:r w:rsidRPr="00CB149C">
        <w:rPr>
          <w:rStyle w:val="Refdenotaalpie"/>
          <w:rFonts w:ascii="Arial" w:hAnsi="Arial" w:cs="Arial"/>
          <w:sz w:val="16"/>
          <w:szCs w:val="16"/>
        </w:rPr>
        <w:t xml:space="preserve"> </w:t>
      </w:r>
      <w:bookmarkStart w:id="33" w:name="_Hlk74297130"/>
      <w:r w:rsidRPr="00CB149C">
        <w:rPr>
          <w:rFonts w:ascii="Arial" w:hAnsi="Arial" w:cs="Arial"/>
          <w:sz w:val="16"/>
          <w:szCs w:val="16"/>
          <w:lang w:val="es-ES"/>
        </w:rPr>
        <w:t>«</w:t>
      </w:r>
      <w:bookmarkEnd w:id="33"/>
      <w:r w:rsidRPr="00CB149C">
        <w:rPr>
          <w:rFonts w:ascii="Arial" w:hAnsi="Arial" w:cs="Arial"/>
          <w:sz w:val="16"/>
          <w:szCs w:val="16"/>
          <w:lang w:val="es-ES"/>
        </w:rPr>
        <w:t xml:space="preserve">[…] A este respecto, cabe recordar que el artículo 860 del Código de Comercio regula la licitación en el derecho privado». </w:t>
      </w:r>
    </w:p>
  </w:footnote>
  <w:footnote w:id="17">
    <w:p w14:paraId="0DCFE98E" w14:textId="77777777" w:rsidR="00883C23" w:rsidRPr="00CB149C" w:rsidRDefault="00883C23" w:rsidP="00D044F7">
      <w:pPr>
        <w:shd w:val="clear" w:color="auto" w:fill="FFFFFF"/>
        <w:spacing w:after="0" w:line="240" w:lineRule="auto"/>
        <w:ind w:firstLine="709"/>
        <w:contextualSpacing/>
        <w:jc w:val="both"/>
        <w:rPr>
          <w:rFonts w:ascii="Arial" w:hAnsi="Arial" w:cs="Arial"/>
          <w:sz w:val="16"/>
          <w:szCs w:val="16"/>
          <w:lang w:val="es-ES"/>
        </w:rPr>
      </w:pPr>
      <w:r w:rsidRPr="00CB149C">
        <w:rPr>
          <w:rStyle w:val="Refdenotaalpie"/>
          <w:rFonts w:ascii="Arial" w:hAnsi="Arial" w:cs="Arial"/>
          <w:sz w:val="16"/>
          <w:szCs w:val="16"/>
        </w:rPr>
        <w:footnoteRef/>
      </w:r>
      <w:r w:rsidRPr="00CB149C">
        <w:rPr>
          <w:rStyle w:val="Refdenotaalpie"/>
          <w:rFonts w:ascii="Arial" w:hAnsi="Arial" w:cs="Arial"/>
          <w:sz w:val="16"/>
          <w:szCs w:val="16"/>
        </w:rPr>
        <w:t xml:space="preserve"> </w:t>
      </w:r>
      <w:r w:rsidRPr="00CB149C">
        <w:rPr>
          <w:rFonts w:ascii="Arial" w:hAnsi="Arial" w:cs="Arial"/>
          <w:sz w:val="16"/>
          <w:szCs w:val="16"/>
          <w:lang w:val="es-ES"/>
        </w:rPr>
        <w:t xml:space="preserve">Consejo de Estado. Sala de Consulta y Servicio Civil, Concepto de 8 de mayo de 2018. Radicación Número: 11001-03-06-000-2018-00095-00(2382). Consejero Ponente: Álvaro </w:t>
      </w:r>
      <w:proofErr w:type="spellStart"/>
      <w:r w:rsidRPr="00CB149C">
        <w:rPr>
          <w:rFonts w:ascii="Arial" w:hAnsi="Arial" w:cs="Arial"/>
          <w:sz w:val="16"/>
          <w:szCs w:val="16"/>
          <w:lang w:val="es-ES"/>
        </w:rPr>
        <w:t>Namén</w:t>
      </w:r>
      <w:proofErr w:type="spellEnd"/>
      <w:r w:rsidRPr="00CB149C">
        <w:rPr>
          <w:rFonts w:ascii="Arial" w:hAnsi="Arial" w:cs="Arial"/>
          <w:sz w:val="16"/>
          <w:szCs w:val="16"/>
          <w:lang w:val="es-ES"/>
        </w:rPr>
        <w:t xml:space="preserve"> Vargas.</w:t>
      </w:r>
    </w:p>
  </w:footnote>
  <w:footnote w:id="18">
    <w:p w14:paraId="7C3F9BA3" w14:textId="77777777" w:rsidR="00883C23" w:rsidRPr="00CB149C" w:rsidRDefault="00883C23" w:rsidP="00D044F7">
      <w:pPr>
        <w:pStyle w:val="Textonotapie"/>
        <w:spacing w:after="0" w:line="240" w:lineRule="auto"/>
        <w:ind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Consejo de Estado. Sala de Consulta y Servicio Civil. Concepto del 08 de mayo de 2018. </w:t>
      </w:r>
      <w:proofErr w:type="spellStart"/>
      <w:r w:rsidRPr="00CB149C">
        <w:rPr>
          <w:rFonts w:ascii="Arial" w:hAnsi="Arial" w:cs="Arial"/>
          <w:sz w:val="16"/>
          <w:szCs w:val="16"/>
        </w:rPr>
        <w:t>Exp</w:t>
      </w:r>
      <w:proofErr w:type="spellEnd"/>
      <w:r w:rsidRPr="00CB149C">
        <w:rPr>
          <w:rFonts w:ascii="Arial" w:hAnsi="Arial" w:cs="Arial"/>
          <w:sz w:val="16"/>
          <w:szCs w:val="16"/>
        </w:rPr>
        <w:t xml:space="preserve">. 2.382. C.P. Álvaro </w:t>
      </w:r>
      <w:proofErr w:type="spellStart"/>
      <w:r w:rsidRPr="00CB149C">
        <w:rPr>
          <w:rFonts w:ascii="Arial" w:hAnsi="Arial" w:cs="Arial"/>
          <w:sz w:val="16"/>
          <w:szCs w:val="16"/>
        </w:rPr>
        <w:t>Namén</w:t>
      </w:r>
      <w:proofErr w:type="spellEnd"/>
      <w:r w:rsidRPr="00CB149C">
        <w:rPr>
          <w:rFonts w:ascii="Arial" w:hAnsi="Arial" w:cs="Arial"/>
          <w:sz w:val="16"/>
          <w:szCs w:val="16"/>
        </w:rPr>
        <w:t xml:space="preserve"> Vargas.</w:t>
      </w:r>
    </w:p>
  </w:footnote>
  <w:footnote w:id="19">
    <w:p w14:paraId="2F42BF1E" w14:textId="77777777" w:rsidR="00883C23" w:rsidRPr="00CB149C" w:rsidRDefault="00883C23" w:rsidP="00D044F7">
      <w:pPr>
        <w:pStyle w:val="Textonotapie"/>
        <w:spacing w:after="0" w:line="240" w:lineRule="auto"/>
        <w:ind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0">
    <w:p w14:paraId="2EAAA1F7" w14:textId="77777777" w:rsidR="00883C23" w:rsidRPr="00CB149C" w:rsidRDefault="00883C23" w:rsidP="00D044F7">
      <w:pPr>
        <w:spacing w:after="0" w:line="240" w:lineRule="auto"/>
        <w:ind w:firstLine="709"/>
        <w:contextualSpacing/>
        <w:jc w:val="both"/>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1">
    <w:p w14:paraId="63143FD1" w14:textId="77777777" w:rsidR="00883C23" w:rsidRPr="00CB149C" w:rsidRDefault="00883C23" w:rsidP="00D044F7">
      <w:pPr>
        <w:pStyle w:val="Textonotapie"/>
        <w:spacing w:after="0" w:line="240" w:lineRule="auto"/>
        <w:ind w:right="51"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w:t>
      </w:r>
      <w:bookmarkStart w:id="51" w:name="_Hlk75633115"/>
      <w:r w:rsidRPr="00CB149C">
        <w:rPr>
          <w:rFonts w:ascii="Arial" w:hAnsi="Arial" w:cs="Arial"/>
          <w:sz w:val="16"/>
          <w:szCs w:val="16"/>
        </w:rPr>
        <w:t xml:space="preserve">Consejo de Estado. Sala de Consulta y Servicio Civil. Concepto </w:t>
      </w:r>
      <w:bookmarkEnd w:id="51"/>
      <w:r w:rsidRPr="00CB149C">
        <w:rPr>
          <w:rFonts w:ascii="Arial" w:hAnsi="Arial" w:cs="Arial"/>
          <w:sz w:val="16"/>
          <w:szCs w:val="16"/>
        </w:rPr>
        <w:t>de 6 de abril de 2006. Radicación Número: 11001-03-06-000-2006-00038-00(1738). Consejero Ponente: Enrique José Arboleda Perdomo:</w:t>
      </w:r>
      <w:r w:rsidRPr="00CB149C">
        <w:rPr>
          <w:rFonts w:ascii="Arial" w:eastAsia="Times New Roman" w:hAnsi="Arial" w:cs="Arial"/>
          <w:bCs/>
          <w:sz w:val="16"/>
          <w:szCs w:val="16"/>
          <w:lang w:eastAsia="x-none"/>
        </w:rPr>
        <w:t xml:space="preserve"> «</w:t>
      </w:r>
      <w:r w:rsidRPr="00CB149C">
        <w:rPr>
          <w:rFonts w:ascii="Arial" w:hAnsi="Arial"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CB149C">
        <w:rPr>
          <w:rFonts w:ascii="Arial" w:eastAsia="Times New Roman" w:hAnsi="Arial" w:cs="Arial"/>
          <w:bCs/>
          <w:sz w:val="16"/>
          <w:szCs w:val="16"/>
          <w:lang w:eastAsia="x-none"/>
        </w:rPr>
        <w:t>».</w:t>
      </w:r>
    </w:p>
  </w:footnote>
  <w:footnote w:id="22">
    <w:p w14:paraId="1AE132E2" w14:textId="77777777" w:rsidR="00883C23" w:rsidRPr="00CB149C" w:rsidRDefault="00883C23" w:rsidP="00D044F7">
      <w:pPr>
        <w:pStyle w:val="Textonotapie"/>
        <w:spacing w:after="0" w:line="240" w:lineRule="auto"/>
        <w:ind w:right="51"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Consejo de Estado. Sala de Consulta y Servicio Civil. Concepto de 6 de abril de 2006. Radicación Número: 11001-03-06-000-2006-00038-00(1738). Consejero Ponente: Enrique José Arboleda Perdomo.</w:t>
      </w:r>
    </w:p>
  </w:footnote>
  <w:footnote w:id="23">
    <w:p w14:paraId="4C69C88A" w14:textId="77777777" w:rsidR="00883C23" w:rsidRPr="00CB149C" w:rsidRDefault="00883C23" w:rsidP="00D044F7">
      <w:pPr>
        <w:pStyle w:val="Textonotapie"/>
        <w:spacing w:after="0" w:line="240" w:lineRule="auto"/>
        <w:ind w:right="51"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Consejo de Estado. Sala de Consulta y Servicio Civil, ídem.</w:t>
      </w:r>
    </w:p>
  </w:footnote>
  <w:footnote w:id="24">
    <w:p w14:paraId="113F3811" w14:textId="77777777" w:rsidR="00883C23" w:rsidRPr="00CB149C" w:rsidRDefault="00883C23" w:rsidP="00D044F7">
      <w:pPr>
        <w:pStyle w:val="Textonotapie"/>
        <w:spacing w:after="0" w:line="240" w:lineRule="auto"/>
        <w:ind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Consejo de Estado. Sala de Consulta y Servicio Civil. Concepto de 20 de febrero de2006. Radicación 11001-03-06-000-2006-00023-00(1724). Consejero Ponente: Flavio Augusto Rodríguez Arce.</w:t>
      </w:r>
    </w:p>
  </w:footnote>
  <w:footnote w:id="25">
    <w:p w14:paraId="4156A729" w14:textId="77777777" w:rsidR="00883C23" w:rsidRPr="00CB149C" w:rsidRDefault="00883C23" w:rsidP="00D044F7">
      <w:pPr>
        <w:spacing w:after="0" w:line="240" w:lineRule="auto"/>
        <w:ind w:firstLine="709"/>
        <w:contextualSpacing/>
        <w:jc w:val="both"/>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3457B892" w14:textId="77777777" w:rsidR="00883C23" w:rsidRPr="00CB149C" w:rsidRDefault="00883C23" w:rsidP="00D044F7">
      <w:pPr>
        <w:spacing w:after="0" w:line="240" w:lineRule="auto"/>
        <w:ind w:firstLine="709"/>
        <w:contextualSpacing/>
        <w:jc w:val="both"/>
        <w:rPr>
          <w:rFonts w:ascii="Arial" w:hAnsi="Arial" w:cs="Arial"/>
          <w:sz w:val="16"/>
          <w:szCs w:val="16"/>
        </w:rPr>
      </w:pPr>
      <w:r w:rsidRPr="00CB149C">
        <w:rPr>
          <w:rFonts w:ascii="Arial" w:hAnsi="Arial" w:cs="Arial"/>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CB149C">
        <w:rPr>
          <w:rFonts w:ascii="Arial" w:hAnsi="Arial" w:cs="Arial"/>
          <w:spacing w:val="-1"/>
          <w:sz w:val="16"/>
          <w:szCs w:val="16"/>
        </w:rPr>
        <w:t xml:space="preserve"> </w:t>
      </w:r>
      <w:r w:rsidRPr="00CB149C">
        <w:rPr>
          <w:rFonts w:ascii="Arial" w:hAnsi="Arial" w:cs="Arial"/>
          <w:sz w:val="16"/>
          <w:szCs w:val="16"/>
        </w:rPr>
        <w:t>Estatales».</w:t>
      </w:r>
    </w:p>
  </w:footnote>
  <w:footnote w:id="26">
    <w:p w14:paraId="2450895D" w14:textId="77777777" w:rsidR="00883C23" w:rsidRPr="00CB149C" w:rsidRDefault="00883C23" w:rsidP="00D044F7">
      <w:pPr>
        <w:spacing w:after="0" w:line="240" w:lineRule="auto"/>
        <w:ind w:firstLine="709"/>
        <w:contextualSpacing/>
        <w:jc w:val="both"/>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CB149C">
        <w:rPr>
          <w:rFonts w:ascii="Arial" w:hAnsi="Arial" w:cs="Arial"/>
          <w:spacing w:val="-6"/>
          <w:sz w:val="16"/>
          <w:szCs w:val="16"/>
        </w:rPr>
        <w:t xml:space="preserve"> </w:t>
      </w:r>
      <w:r w:rsidRPr="00CB149C">
        <w:rPr>
          <w:rFonts w:ascii="Arial" w:hAnsi="Arial" w:cs="Arial"/>
          <w:sz w:val="16"/>
          <w:szCs w:val="16"/>
        </w:rPr>
        <w:t>artículo».</w:t>
      </w:r>
    </w:p>
  </w:footnote>
  <w:footnote w:id="27">
    <w:p w14:paraId="40B283D6" w14:textId="77777777" w:rsidR="00883C23" w:rsidRPr="00CB149C" w:rsidRDefault="00883C23" w:rsidP="00D044F7">
      <w:pPr>
        <w:spacing w:after="0" w:line="240" w:lineRule="auto"/>
        <w:ind w:right="454" w:firstLine="709"/>
        <w:contextualSpacing/>
        <w:jc w:val="both"/>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position w:val="7"/>
          <w:sz w:val="16"/>
          <w:szCs w:val="16"/>
        </w:rPr>
        <w:t xml:space="preserve"> </w:t>
      </w:r>
      <w:r w:rsidRPr="00CB149C">
        <w:rPr>
          <w:rFonts w:ascii="Arial" w:hAnsi="Arial" w:cs="Arial"/>
          <w:sz w:val="16"/>
          <w:szCs w:val="16"/>
        </w:rPr>
        <w:t>Consejo de Estado. Sección Tercera. Sentencia del 23 de junio de 2010. Radicación No. 66001-23-31-000-1998-00261-01(17.860). Consejero Ponente: Mauricio Fajardo Gómez.</w:t>
      </w:r>
    </w:p>
  </w:footnote>
  <w:footnote w:id="28">
    <w:p w14:paraId="1B78746C" w14:textId="77777777" w:rsidR="00883C23" w:rsidRPr="00CB149C" w:rsidRDefault="00883C23" w:rsidP="00D044F7">
      <w:pPr>
        <w:spacing w:after="0" w:line="240" w:lineRule="auto"/>
        <w:ind w:firstLine="709"/>
        <w:contextualSpacing/>
        <w:jc w:val="both"/>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Consejo de Estado. Sección Tercera. Subsección C. Sentencia del 11 de diciembre de 2019. </w:t>
      </w:r>
      <w:proofErr w:type="spellStart"/>
      <w:r w:rsidRPr="00CB149C">
        <w:rPr>
          <w:rFonts w:ascii="Arial" w:hAnsi="Arial" w:cs="Arial"/>
          <w:sz w:val="16"/>
          <w:szCs w:val="16"/>
        </w:rPr>
        <w:t>Exp</w:t>
      </w:r>
      <w:proofErr w:type="spellEnd"/>
      <w:r w:rsidRPr="00CB149C">
        <w:rPr>
          <w:rFonts w:ascii="Arial" w:hAnsi="Arial" w:cs="Arial"/>
          <w:sz w:val="16"/>
          <w:szCs w:val="16"/>
        </w:rPr>
        <w:t>. 46.986. C.P. Jaime Enrique Rodríguez Navas.</w:t>
      </w:r>
    </w:p>
  </w:footnote>
  <w:footnote w:id="29">
    <w:p w14:paraId="7717183E" w14:textId="77777777" w:rsidR="00883C23" w:rsidRPr="00CB149C" w:rsidRDefault="00883C23" w:rsidP="00D044F7">
      <w:pPr>
        <w:pStyle w:val="Textonotapie"/>
        <w:spacing w:after="0" w:line="240" w:lineRule="auto"/>
        <w:ind w:firstLine="708"/>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[Referencia propia de la cita] «CE. SCSC. Concepto de 1 de noviembre de 2016 [Rad. 11001-03-06-000-2016-00125-00(2305)]. MP. Germán Alberto Bula Escobar».</w:t>
      </w:r>
    </w:p>
  </w:footnote>
  <w:footnote w:id="30">
    <w:p w14:paraId="4C09E787" w14:textId="77777777" w:rsidR="00883C23" w:rsidRPr="00CB149C" w:rsidRDefault="00883C23" w:rsidP="00D044F7">
      <w:pPr>
        <w:pStyle w:val="Textonotapie"/>
        <w:spacing w:after="0" w:line="240" w:lineRule="auto"/>
        <w:ind w:firstLine="708"/>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[Referencia propia de la cita] «CE. SCSC. Concepto de 30 de abril de 2008 [Rad. 11001-03-06-000-2008-00013-00(1881)]. MP. Enrique José Arboleda Perdomo. En esta oportunidad, la Sala indicó que el contenido </w:t>
      </w:r>
      <w:r w:rsidRPr="00CB149C">
        <w:rPr>
          <w:rFonts w:ascii="Arial" w:hAnsi="Arial" w:cs="Arial"/>
          <w:i/>
          <w:sz w:val="16"/>
          <w:szCs w:val="16"/>
        </w:rPr>
        <w:t>“obligacional”</w:t>
      </w:r>
      <w:r w:rsidRPr="00CB149C">
        <w:rPr>
          <w:rFonts w:ascii="Arial" w:hAnsi="Arial" w:cs="Arial"/>
          <w:sz w:val="16"/>
          <w:szCs w:val="16"/>
        </w:rPr>
        <w:t xml:space="preserve"> de los convenios se estructura definiendo el resultado querido por las partes y los medios que cada entidad despliega para la obtención del respectivo objeto».</w:t>
      </w:r>
    </w:p>
  </w:footnote>
  <w:footnote w:id="31">
    <w:p w14:paraId="3303FA30" w14:textId="77777777" w:rsidR="00883C23" w:rsidRPr="00CB149C" w:rsidRDefault="00883C23" w:rsidP="00D044F7">
      <w:pPr>
        <w:pStyle w:val="Textonotapie"/>
        <w:spacing w:after="0" w:line="240" w:lineRule="auto"/>
        <w:ind w:firstLine="708"/>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[Referencia propia de la cita] «La normativa vigente del EGCAP </w:t>
      </w:r>
      <w:r w:rsidRPr="00CB149C">
        <w:rPr>
          <w:rFonts w:ascii="Arial" w:hAnsi="Arial" w:cs="Arial"/>
          <w:i/>
          <w:sz w:val="16"/>
          <w:szCs w:val="16"/>
        </w:rPr>
        <w:t>[literal c) del numeral 4. del artículo 2 de la Ley 1150/07]</w:t>
      </w:r>
      <w:r w:rsidRPr="00CB149C">
        <w:rPr>
          <w:rFonts w:ascii="Arial" w:hAnsi="Arial" w:cs="Arial"/>
          <w:sz w:val="16"/>
          <w:szCs w:val="16"/>
        </w:rPr>
        <w:t xml:space="preserve"> se refiere a </w:t>
      </w:r>
      <w:r w:rsidRPr="00CB149C">
        <w:rPr>
          <w:rFonts w:ascii="Arial" w:hAnsi="Arial" w:cs="Arial"/>
          <w:i/>
          <w:sz w:val="16"/>
          <w:szCs w:val="16"/>
        </w:rPr>
        <w:t>“contratos interadministrativos”</w:t>
      </w:r>
      <w:r w:rsidRPr="00CB149C">
        <w:rPr>
          <w:rFonts w:ascii="Arial" w:hAnsi="Arial" w:cs="Arial"/>
          <w:sz w:val="16"/>
          <w:szCs w:val="16"/>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32">
    <w:p w14:paraId="3AA1DC9A" w14:textId="77777777" w:rsidR="00883C23" w:rsidRPr="00CB149C" w:rsidRDefault="00883C23" w:rsidP="00D044F7">
      <w:pPr>
        <w:pStyle w:val="Textonotapie"/>
        <w:spacing w:after="0" w:line="240" w:lineRule="auto"/>
        <w:ind w:firstLine="708"/>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w:t>
      </w:r>
      <w:proofErr w:type="spellStart"/>
      <w:r w:rsidRPr="00CB149C">
        <w:rPr>
          <w:rFonts w:ascii="Arial" w:hAnsi="Arial" w:cs="Arial"/>
          <w:sz w:val="16"/>
          <w:szCs w:val="16"/>
        </w:rPr>
        <w:t>Exp</w:t>
      </w:r>
      <w:proofErr w:type="spellEnd"/>
      <w:r w:rsidRPr="00CB149C">
        <w:rPr>
          <w:rFonts w:ascii="Arial" w:hAnsi="Arial" w:cs="Arial"/>
          <w:sz w:val="16"/>
          <w:szCs w:val="16"/>
        </w:rPr>
        <w:t xml:space="preserve">. 2.257. M.P. Álvaro </w:t>
      </w:r>
      <w:proofErr w:type="spellStart"/>
      <w:r w:rsidRPr="00CB149C">
        <w:rPr>
          <w:rFonts w:ascii="Arial" w:hAnsi="Arial" w:cs="Arial"/>
          <w:sz w:val="16"/>
          <w:szCs w:val="16"/>
        </w:rPr>
        <w:t>Namén</w:t>
      </w:r>
      <w:proofErr w:type="spellEnd"/>
      <w:r w:rsidRPr="00CB149C">
        <w:rPr>
          <w:rFonts w:ascii="Arial" w:hAnsi="Arial" w:cs="Arial"/>
          <w:sz w:val="16"/>
          <w:szCs w:val="16"/>
        </w:rPr>
        <w:t xml:space="preserve"> Vargas).</w:t>
      </w:r>
    </w:p>
  </w:footnote>
  <w:footnote w:id="33">
    <w:p w14:paraId="6E98DFA0" w14:textId="77777777" w:rsidR="00883C23" w:rsidRPr="00CB149C" w:rsidRDefault="00883C23" w:rsidP="00D044F7">
      <w:pPr>
        <w:pStyle w:val="Textonotapie"/>
        <w:spacing w:after="0" w:line="240" w:lineRule="auto"/>
        <w:ind w:firstLine="708"/>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Es lo que sucede, por ejemplo, con el Decreto 092 de 2017, que en su desarrollo hace referencia tanto a los «contratos» como a los «convenios». </w:t>
      </w:r>
    </w:p>
  </w:footnote>
  <w:footnote w:id="34">
    <w:p w14:paraId="79C7FB9A" w14:textId="77777777" w:rsidR="00883C23" w:rsidRPr="00CB149C" w:rsidRDefault="00883C23" w:rsidP="00D044F7">
      <w:pPr>
        <w:pStyle w:val="Textonotapie"/>
        <w:spacing w:after="0" w:line="240" w:lineRule="auto"/>
        <w:ind w:firstLine="708"/>
        <w:contextualSpacing/>
        <w:rPr>
          <w:rFonts w:ascii="Arial" w:hAnsi="Arial" w:cs="Arial"/>
          <w:sz w:val="16"/>
          <w:szCs w:val="16"/>
          <w:lang w:val="es-CO"/>
        </w:rPr>
      </w:pPr>
      <w:r w:rsidRPr="00CB149C">
        <w:rPr>
          <w:rStyle w:val="Refdenotaalpie"/>
          <w:rFonts w:ascii="Arial" w:hAnsi="Arial" w:cs="Arial"/>
          <w:sz w:val="16"/>
          <w:szCs w:val="16"/>
        </w:rPr>
        <w:footnoteRef/>
      </w:r>
      <w:r w:rsidRPr="00CB149C">
        <w:rPr>
          <w:rFonts w:ascii="Arial" w:hAnsi="Arial" w:cs="Arial"/>
          <w:sz w:val="16"/>
          <w:szCs w:val="16"/>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5">
    <w:p w14:paraId="080C342A" w14:textId="77777777" w:rsidR="00883C23" w:rsidRPr="00CB149C" w:rsidRDefault="00883C23" w:rsidP="00D044F7">
      <w:pPr>
        <w:pStyle w:val="Textonotapie"/>
        <w:spacing w:after="0" w:line="240" w:lineRule="auto"/>
        <w:ind w:firstLine="708"/>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Lo anterior, salvo que se traten de organismos internacionales que se rijan por normas internacionales y se financien con cargo a recursos de esos organismos (Cfr. Colombia Compra Eficiente. Concepto C-559 del 31 de agosto de 2021). </w:t>
      </w:r>
    </w:p>
  </w:footnote>
  <w:footnote w:id="36">
    <w:p w14:paraId="5739F46A" w14:textId="77777777" w:rsidR="00883C23" w:rsidRPr="00CB149C" w:rsidRDefault="00883C23" w:rsidP="00D044F7">
      <w:pPr>
        <w:pStyle w:val="Textonotapie"/>
        <w:spacing w:after="0" w:line="240" w:lineRule="auto"/>
        <w:ind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Consejo de Estado. Sala de Consulta y Servicio Civil. Concepto del 15 de noviembre de 2007. Expediente número 1863. Consejero Ponente: Luis Fernando Álvarez Jaramillo.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E2A80" w14:textId="77777777" w:rsidR="00301B6D" w:rsidRDefault="00DB1FBD">
    <w:pPr>
      <w:pStyle w:val="Encabezado"/>
    </w:pPr>
    <w:r>
      <w:rPr>
        <w:noProof/>
        <w:lang w:val="es-CO" w:eastAsia="es-CO"/>
      </w:rPr>
      <w:drawing>
        <wp:anchor distT="0" distB="0" distL="114300" distR="114300" simplePos="0" relativeHeight="251659264" behindDoc="1" locked="0" layoutInCell="1" allowOverlap="1" wp14:anchorId="3ED6FD1E" wp14:editId="58B93EBD">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2414D43" w14:textId="77777777" w:rsidR="00301B6D" w:rsidRDefault="00301B6D" w:rsidP="00301B6D">
    <w:pPr>
      <w:pStyle w:val="Encabezado"/>
      <w:spacing w:after="0"/>
    </w:pPr>
  </w:p>
  <w:p w14:paraId="0E3DD83D" w14:textId="77777777" w:rsidR="00301B6D" w:rsidRDefault="00301B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6"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2E52434E"/>
    <w:multiLevelType w:val="multilevel"/>
    <w:tmpl w:val="451480FA"/>
    <w:lvl w:ilvl="0">
      <w:start w:val="3"/>
      <w:numFmt w:val="decimal"/>
      <w:lvlText w:val="%1."/>
      <w:lvlJc w:val="left"/>
      <w:pPr>
        <w:ind w:left="360" w:hanging="360"/>
      </w:pPr>
      <w:rPr>
        <w:rFonts w:hint="default"/>
        <w:color w:val="3B3838"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B3838" w:themeColor="background2" w:themeShade="40"/>
      </w:rPr>
    </w:lvl>
    <w:lvl w:ilvl="3">
      <w:start w:val="1"/>
      <w:numFmt w:val="decimal"/>
      <w:lvlText w:val="%1.%2.%3.%4."/>
      <w:lvlJc w:val="left"/>
      <w:pPr>
        <w:ind w:left="720" w:hanging="720"/>
      </w:pPr>
      <w:rPr>
        <w:rFonts w:hint="default"/>
        <w:color w:val="3B3838" w:themeColor="background2" w:themeShade="40"/>
      </w:rPr>
    </w:lvl>
    <w:lvl w:ilvl="4">
      <w:start w:val="1"/>
      <w:numFmt w:val="decimal"/>
      <w:lvlText w:val="%1.%2.%3.%4.%5."/>
      <w:lvlJc w:val="left"/>
      <w:pPr>
        <w:ind w:left="1080" w:hanging="1080"/>
      </w:pPr>
      <w:rPr>
        <w:rFonts w:hint="default"/>
        <w:color w:val="3B3838" w:themeColor="background2" w:themeShade="40"/>
      </w:rPr>
    </w:lvl>
    <w:lvl w:ilvl="5">
      <w:start w:val="1"/>
      <w:numFmt w:val="decimal"/>
      <w:lvlText w:val="%1.%2.%3.%4.%5.%6."/>
      <w:lvlJc w:val="left"/>
      <w:pPr>
        <w:ind w:left="1080" w:hanging="1080"/>
      </w:pPr>
      <w:rPr>
        <w:rFonts w:hint="default"/>
        <w:color w:val="3B3838" w:themeColor="background2" w:themeShade="40"/>
      </w:rPr>
    </w:lvl>
    <w:lvl w:ilvl="6">
      <w:start w:val="1"/>
      <w:numFmt w:val="decimal"/>
      <w:lvlText w:val="%1.%2.%3.%4.%5.%6.%7."/>
      <w:lvlJc w:val="left"/>
      <w:pPr>
        <w:ind w:left="1440" w:hanging="1440"/>
      </w:pPr>
      <w:rPr>
        <w:rFonts w:hint="default"/>
        <w:color w:val="3B3838" w:themeColor="background2" w:themeShade="40"/>
      </w:rPr>
    </w:lvl>
    <w:lvl w:ilvl="7">
      <w:start w:val="1"/>
      <w:numFmt w:val="decimal"/>
      <w:lvlText w:val="%1.%2.%3.%4.%5.%6.%7.%8."/>
      <w:lvlJc w:val="left"/>
      <w:pPr>
        <w:ind w:left="1440" w:hanging="1440"/>
      </w:pPr>
      <w:rPr>
        <w:rFonts w:hint="default"/>
        <w:color w:val="3B3838" w:themeColor="background2" w:themeShade="40"/>
      </w:rPr>
    </w:lvl>
    <w:lvl w:ilvl="8">
      <w:start w:val="1"/>
      <w:numFmt w:val="decimal"/>
      <w:lvlText w:val="%1.%2.%3.%4.%5.%6.%7.%8.%9."/>
      <w:lvlJc w:val="left"/>
      <w:pPr>
        <w:ind w:left="1800" w:hanging="1800"/>
      </w:pPr>
      <w:rPr>
        <w:rFonts w:hint="default"/>
        <w:color w:val="3B3838" w:themeColor="background2" w:themeShade="40"/>
      </w:rPr>
    </w:lvl>
  </w:abstractNum>
  <w:abstractNum w:abstractNumId="8"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7"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25"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26"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7"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26987385">
    <w:abstractNumId w:val="11"/>
  </w:num>
  <w:num w:numId="2" w16cid:durableId="626469933">
    <w:abstractNumId w:val="9"/>
  </w:num>
  <w:num w:numId="3" w16cid:durableId="1515417857">
    <w:abstractNumId w:val="15"/>
  </w:num>
  <w:num w:numId="4" w16cid:durableId="46613805">
    <w:abstractNumId w:val="21"/>
  </w:num>
  <w:num w:numId="5" w16cid:durableId="2090151027">
    <w:abstractNumId w:val="23"/>
  </w:num>
  <w:num w:numId="6" w16cid:durableId="816803320">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36298219">
    <w:abstractNumId w:val="6"/>
  </w:num>
  <w:num w:numId="8" w16cid:durableId="860555799">
    <w:abstractNumId w:val="24"/>
  </w:num>
  <w:num w:numId="9" w16cid:durableId="1689213227">
    <w:abstractNumId w:val="6"/>
    <w:lvlOverride w:ilvl="0">
      <w:startOverride w:val="1"/>
    </w:lvlOverride>
  </w:num>
  <w:num w:numId="10" w16cid:durableId="461507930">
    <w:abstractNumId w:val="25"/>
  </w:num>
  <w:num w:numId="11" w16cid:durableId="150610325">
    <w:abstractNumId w:val="7"/>
  </w:num>
  <w:num w:numId="12" w16cid:durableId="510996896">
    <w:abstractNumId w:val="2"/>
  </w:num>
  <w:num w:numId="13" w16cid:durableId="2005890601">
    <w:abstractNumId w:val="4"/>
  </w:num>
  <w:num w:numId="14" w16cid:durableId="1110931709">
    <w:abstractNumId w:val="20"/>
  </w:num>
  <w:num w:numId="15" w16cid:durableId="1188981692">
    <w:abstractNumId w:val="13"/>
  </w:num>
  <w:num w:numId="16" w16cid:durableId="305010004">
    <w:abstractNumId w:val="10"/>
  </w:num>
  <w:num w:numId="17" w16cid:durableId="839389285">
    <w:abstractNumId w:val="14"/>
  </w:num>
  <w:num w:numId="18" w16cid:durableId="1141851805">
    <w:abstractNumId w:val="16"/>
  </w:num>
  <w:num w:numId="19" w16cid:durableId="2041659272">
    <w:abstractNumId w:val="5"/>
  </w:num>
  <w:num w:numId="20" w16cid:durableId="810638570">
    <w:abstractNumId w:val="27"/>
  </w:num>
  <w:num w:numId="21" w16cid:durableId="923878758">
    <w:abstractNumId w:val="22"/>
  </w:num>
  <w:num w:numId="22" w16cid:durableId="120997069">
    <w:abstractNumId w:val="18"/>
  </w:num>
  <w:num w:numId="23" w16cid:durableId="814567593">
    <w:abstractNumId w:val="17"/>
  </w:num>
  <w:num w:numId="24" w16cid:durableId="1982149985">
    <w:abstractNumId w:val="8"/>
  </w:num>
  <w:num w:numId="25" w16cid:durableId="704330075">
    <w:abstractNumId w:val="19"/>
  </w:num>
  <w:num w:numId="26" w16cid:durableId="1183131371">
    <w:abstractNumId w:val="1"/>
  </w:num>
  <w:num w:numId="27" w16cid:durableId="734936915">
    <w:abstractNumId w:val="12"/>
  </w:num>
  <w:num w:numId="28" w16cid:durableId="148644515">
    <w:abstractNumId w:val="26"/>
  </w:num>
  <w:num w:numId="29" w16cid:durableId="8230891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C23"/>
    <w:rsid w:val="00001824"/>
    <w:rsid w:val="00004152"/>
    <w:rsid w:val="000073BE"/>
    <w:rsid w:val="00007534"/>
    <w:rsid w:val="00007A76"/>
    <w:rsid w:val="00022FCB"/>
    <w:rsid w:val="000370B6"/>
    <w:rsid w:val="00061344"/>
    <w:rsid w:val="00080F8E"/>
    <w:rsid w:val="000B0FF6"/>
    <w:rsid w:val="000C1493"/>
    <w:rsid w:val="000C5E36"/>
    <w:rsid w:val="000D38A1"/>
    <w:rsid w:val="000F341C"/>
    <w:rsid w:val="00112409"/>
    <w:rsid w:val="00112602"/>
    <w:rsid w:val="001247E7"/>
    <w:rsid w:val="00141038"/>
    <w:rsid w:val="001446BB"/>
    <w:rsid w:val="0014538A"/>
    <w:rsid w:val="00153F85"/>
    <w:rsid w:val="0016346E"/>
    <w:rsid w:val="0016368B"/>
    <w:rsid w:val="00174706"/>
    <w:rsid w:val="00176B7A"/>
    <w:rsid w:val="00183806"/>
    <w:rsid w:val="00185051"/>
    <w:rsid w:val="00186060"/>
    <w:rsid w:val="001A0BBF"/>
    <w:rsid w:val="001A5A49"/>
    <w:rsid w:val="001B769B"/>
    <w:rsid w:val="001D21F3"/>
    <w:rsid w:val="001D4F3D"/>
    <w:rsid w:val="001D6442"/>
    <w:rsid w:val="001E4C5E"/>
    <w:rsid w:val="00211598"/>
    <w:rsid w:val="002237A9"/>
    <w:rsid w:val="00236548"/>
    <w:rsid w:val="00237FAC"/>
    <w:rsid w:val="00244B1C"/>
    <w:rsid w:val="00252A70"/>
    <w:rsid w:val="00264194"/>
    <w:rsid w:val="00270618"/>
    <w:rsid w:val="00281B48"/>
    <w:rsid w:val="00285917"/>
    <w:rsid w:val="00290CB5"/>
    <w:rsid w:val="002972EC"/>
    <w:rsid w:val="002B2DA9"/>
    <w:rsid w:val="002B3B3A"/>
    <w:rsid w:val="002C0430"/>
    <w:rsid w:val="002D2ECE"/>
    <w:rsid w:val="002E2D40"/>
    <w:rsid w:val="002E6D93"/>
    <w:rsid w:val="002F060E"/>
    <w:rsid w:val="00300BA8"/>
    <w:rsid w:val="00301B6D"/>
    <w:rsid w:val="0034289F"/>
    <w:rsid w:val="0036644F"/>
    <w:rsid w:val="00385DE6"/>
    <w:rsid w:val="00393563"/>
    <w:rsid w:val="00395AEA"/>
    <w:rsid w:val="003B045C"/>
    <w:rsid w:val="003C2318"/>
    <w:rsid w:val="004065B8"/>
    <w:rsid w:val="004162B2"/>
    <w:rsid w:val="00425FC0"/>
    <w:rsid w:val="0043053D"/>
    <w:rsid w:val="004474EA"/>
    <w:rsid w:val="0045061C"/>
    <w:rsid w:val="00451F1F"/>
    <w:rsid w:val="00452837"/>
    <w:rsid w:val="00462FFD"/>
    <w:rsid w:val="004705F0"/>
    <w:rsid w:val="004721DD"/>
    <w:rsid w:val="00480975"/>
    <w:rsid w:val="00486B76"/>
    <w:rsid w:val="00486D3B"/>
    <w:rsid w:val="00487CB4"/>
    <w:rsid w:val="004916F0"/>
    <w:rsid w:val="00497B71"/>
    <w:rsid w:val="004A36F9"/>
    <w:rsid w:val="004B2675"/>
    <w:rsid w:val="004B4CA2"/>
    <w:rsid w:val="004D41B6"/>
    <w:rsid w:val="004F2E72"/>
    <w:rsid w:val="004F432F"/>
    <w:rsid w:val="004F4B17"/>
    <w:rsid w:val="004F5C70"/>
    <w:rsid w:val="00515FAF"/>
    <w:rsid w:val="00580A57"/>
    <w:rsid w:val="00583170"/>
    <w:rsid w:val="00583B9F"/>
    <w:rsid w:val="005A66C6"/>
    <w:rsid w:val="005D5767"/>
    <w:rsid w:val="005E415D"/>
    <w:rsid w:val="005F2B73"/>
    <w:rsid w:val="005F4339"/>
    <w:rsid w:val="006014D3"/>
    <w:rsid w:val="006112E9"/>
    <w:rsid w:val="006117E7"/>
    <w:rsid w:val="00622CEC"/>
    <w:rsid w:val="00642C80"/>
    <w:rsid w:val="00643B0C"/>
    <w:rsid w:val="00646CF5"/>
    <w:rsid w:val="00647E66"/>
    <w:rsid w:val="00653CB1"/>
    <w:rsid w:val="00667C06"/>
    <w:rsid w:val="00672E63"/>
    <w:rsid w:val="00673D55"/>
    <w:rsid w:val="00674123"/>
    <w:rsid w:val="00674B81"/>
    <w:rsid w:val="006836E8"/>
    <w:rsid w:val="00693825"/>
    <w:rsid w:val="006A3BFD"/>
    <w:rsid w:val="006B0314"/>
    <w:rsid w:val="006C1B75"/>
    <w:rsid w:val="006C314F"/>
    <w:rsid w:val="006C4CAF"/>
    <w:rsid w:val="006D7E12"/>
    <w:rsid w:val="006F0121"/>
    <w:rsid w:val="0071069B"/>
    <w:rsid w:val="00712005"/>
    <w:rsid w:val="00726841"/>
    <w:rsid w:val="007861C7"/>
    <w:rsid w:val="00787213"/>
    <w:rsid w:val="007A0699"/>
    <w:rsid w:val="007A6243"/>
    <w:rsid w:val="007B1ADA"/>
    <w:rsid w:val="007C0727"/>
    <w:rsid w:val="007C6B2E"/>
    <w:rsid w:val="007C773C"/>
    <w:rsid w:val="007D666E"/>
    <w:rsid w:val="007D6B81"/>
    <w:rsid w:val="007D7A6D"/>
    <w:rsid w:val="0080531D"/>
    <w:rsid w:val="00805DD4"/>
    <w:rsid w:val="00820B42"/>
    <w:rsid w:val="008231E4"/>
    <w:rsid w:val="0082747B"/>
    <w:rsid w:val="00847981"/>
    <w:rsid w:val="00852D96"/>
    <w:rsid w:val="00867934"/>
    <w:rsid w:val="00883C23"/>
    <w:rsid w:val="00886A33"/>
    <w:rsid w:val="008870AC"/>
    <w:rsid w:val="008B41AF"/>
    <w:rsid w:val="008C4600"/>
    <w:rsid w:val="008D6556"/>
    <w:rsid w:val="008E0383"/>
    <w:rsid w:val="008E3661"/>
    <w:rsid w:val="00906730"/>
    <w:rsid w:val="00911176"/>
    <w:rsid w:val="00924A75"/>
    <w:rsid w:val="00950E3B"/>
    <w:rsid w:val="00951C48"/>
    <w:rsid w:val="0095308E"/>
    <w:rsid w:val="009533DD"/>
    <w:rsid w:val="0096619D"/>
    <w:rsid w:val="009976C6"/>
    <w:rsid w:val="009A4214"/>
    <w:rsid w:val="009B5870"/>
    <w:rsid w:val="009C0AE1"/>
    <w:rsid w:val="009C337D"/>
    <w:rsid w:val="009C4C67"/>
    <w:rsid w:val="009E08A9"/>
    <w:rsid w:val="009E6D0A"/>
    <w:rsid w:val="009F27D5"/>
    <w:rsid w:val="009F32D2"/>
    <w:rsid w:val="009F6248"/>
    <w:rsid w:val="00A01670"/>
    <w:rsid w:val="00A02B1D"/>
    <w:rsid w:val="00A04F8D"/>
    <w:rsid w:val="00A116E0"/>
    <w:rsid w:val="00A25431"/>
    <w:rsid w:val="00A300C6"/>
    <w:rsid w:val="00A351B9"/>
    <w:rsid w:val="00A37760"/>
    <w:rsid w:val="00A4774B"/>
    <w:rsid w:val="00A564F4"/>
    <w:rsid w:val="00A74BE2"/>
    <w:rsid w:val="00A86F7F"/>
    <w:rsid w:val="00AB0C32"/>
    <w:rsid w:val="00AB2D55"/>
    <w:rsid w:val="00AC7ED9"/>
    <w:rsid w:val="00AD3184"/>
    <w:rsid w:val="00B05B75"/>
    <w:rsid w:val="00B154E3"/>
    <w:rsid w:val="00B2624D"/>
    <w:rsid w:val="00B31385"/>
    <w:rsid w:val="00B52C9B"/>
    <w:rsid w:val="00B55E94"/>
    <w:rsid w:val="00B64ACB"/>
    <w:rsid w:val="00B8505B"/>
    <w:rsid w:val="00B918D9"/>
    <w:rsid w:val="00B95EB6"/>
    <w:rsid w:val="00BA170A"/>
    <w:rsid w:val="00BB2660"/>
    <w:rsid w:val="00BB7272"/>
    <w:rsid w:val="00BB7896"/>
    <w:rsid w:val="00BC5E75"/>
    <w:rsid w:val="00BD0742"/>
    <w:rsid w:val="00BE1101"/>
    <w:rsid w:val="00BE51F4"/>
    <w:rsid w:val="00BF32CB"/>
    <w:rsid w:val="00BF36EC"/>
    <w:rsid w:val="00C054F3"/>
    <w:rsid w:val="00C0768B"/>
    <w:rsid w:val="00C23407"/>
    <w:rsid w:val="00C30423"/>
    <w:rsid w:val="00C5025B"/>
    <w:rsid w:val="00C51555"/>
    <w:rsid w:val="00C51624"/>
    <w:rsid w:val="00C52368"/>
    <w:rsid w:val="00C53096"/>
    <w:rsid w:val="00C83CBC"/>
    <w:rsid w:val="00C91855"/>
    <w:rsid w:val="00C94147"/>
    <w:rsid w:val="00C9763D"/>
    <w:rsid w:val="00C97B5F"/>
    <w:rsid w:val="00CA4235"/>
    <w:rsid w:val="00CB034D"/>
    <w:rsid w:val="00CB149C"/>
    <w:rsid w:val="00CC128D"/>
    <w:rsid w:val="00CD64EF"/>
    <w:rsid w:val="00D044F7"/>
    <w:rsid w:val="00D15AE1"/>
    <w:rsid w:val="00D16915"/>
    <w:rsid w:val="00D406B8"/>
    <w:rsid w:val="00D64882"/>
    <w:rsid w:val="00D77C56"/>
    <w:rsid w:val="00D80C84"/>
    <w:rsid w:val="00D90D8A"/>
    <w:rsid w:val="00DB1FBD"/>
    <w:rsid w:val="00DD003E"/>
    <w:rsid w:val="00DD3340"/>
    <w:rsid w:val="00DF33AC"/>
    <w:rsid w:val="00DF5A9D"/>
    <w:rsid w:val="00E0484E"/>
    <w:rsid w:val="00E11379"/>
    <w:rsid w:val="00E31F4D"/>
    <w:rsid w:val="00E32EEB"/>
    <w:rsid w:val="00E5512D"/>
    <w:rsid w:val="00E61E06"/>
    <w:rsid w:val="00E6401D"/>
    <w:rsid w:val="00E714C0"/>
    <w:rsid w:val="00E71F3C"/>
    <w:rsid w:val="00E802CA"/>
    <w:rsid w:val="00E81AA7"/>
    <w:rsid w:val="00E8294A"/>
    <w:rsid w:val="00EC2FF6"/>
    <w:rsid w:val="00ED09A2"/>
    <w:rsid w:val="00ED68CA"/>
    <w:rsid w:val="00EE6DF5"/>
    <w:rsid w:val="00EF0791"/>
    <w:rsid w:val="00EF6644"/>
    <w:rsid w:val="00F04513"/>
    <w:rsid w:val="00F0595A"/>
    <w:rsid w:val="00F05D7E"/>
    <w:rsid w:val="00F2080B"/>
    <w:rsid w:val="00F3081E"/>
    <w:rsid w:val="00F464FE"/>
    <w:rsid w:val="00F51383"/>
    <w:rsid w:val="00F72B2B"/>
    <w:rsid w:val="00F768FE"/>
    <w:rsid w:val="00F820CB"/>
    <w:rsid w:val="00F82416"/>
    <w:rsid w:val="00F833EF"/>
    <w:rsid w:val="00FA518A"/>
    <w:rsid w:val="00FB2766"/>
    <w:rsid w:val="00FC1379"/>
    <w:rsid w:val="00FD58A6"/>
    <w:rsid w:val="00FE5DD8"/>
    <w:rsid w:val="00FF2BA2"/>
    <w:rsid w:val="00FF661D"/>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E2FDA"/>
  <w15:docId w15:val="{62CC449F-4273-43BB-8634-C33D8BF2D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883C23"/>
    <w:pPr>
      <w:keepNext/>
      <w:numPr>
        <w:numId w:val="17"/>
      </w:numPr>
      <w:spacing w:before="240" w:after="60" w:line="240" w:lineRule="auto"/>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883C23"/>
    <w:pPr>
      <w:keepNext/>
      <w:numPr>
        <w:ilvl w:val="1"/>
        <w:numId w:val="17"/>
      </w:numPr>
      <w:spacing w:before="240" w:after="60" w:line="240" w:lineRule="auto"/>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883C23"/>
    <w:pPr>
      <w:keepNext/>
      <w:numPr>
        <w:ilvl w:val="2"/>
        <w:numId w:val="17"/>
      </w:numPr>
      <w:spacing w:before="240" w:after="60" w:line="240" w:lineRule="auto"/>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883C23"/>
    <w:pPr>
      <w:keepNext/>
      <w:numPr>
        <w:ilvl w:val="3"/>
        <w:numId w:val="17"/>
      </w:numPr>
      <w:spacing w:before="240" w:after="60" w:line="240" w:lineRule="auto"/>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883C23"/>
    <w:pPr>
      <w:numPr>
        <w:ilvl w:val="4"/>
        <w:numId w:val="17"/>
      </w:numPr>
      <w:spacing w:before="240" w:after="60" w:line="240" w:lineRule="auto"/>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883C23"/>
    <w:pPr>
      <w:numPr>
        <w:ilvl w:val="5"/>
        <w:numId w:val="17"/>
      </w:numPr>
      <w:spacing w:before="240" w:after="60" w:line="240" w:lineRule="auto"/>
      <w:outlineLvl w:val="5"/>
    </w:pPr>
    <w:rPr>
      <w:rFonts w:ascii="Times New Roman" w:eastAsia="Times New Roman" w:hAnsi="Times New Roman" w:cs="Times New Roman"/>
      <w:b/>
      <w:bCs/>
      <w:lang w:val="es-ES" w:eastAsia="es-ES"/>
    </w:rPr>
  </w:style>
  <w:style w:type="paragraph" w:styleId="Ttulo7">
    <w:name w:val="heading 7"/>
    <w:basedOn w:val="Normal"/>
    <w:next w:val="Normal"/>
    <w:link w:val="Ttulo7Car"/>
    <w:qFormat/>
    <w:rsid w:val="00883C23"/>
    <w:pPr>
      <w:numPr>
        <w:ilvl w:val="6"/>
        <w:numId w:val="17"/>
      </w:numPr>
      <w:spacing w:before="240" w:after="60" w:line="240" w:lineRule="auto"/>
      <w:outlineLvl w:val="6"/>
    </w:pPr>
    <w:rPr>
      <w:rFonts w:ascii="Times New Roman" w:eastAsia="Times New Roman" w:hAnsi="Times New Roman" w:cs="Times New Roman"/>
      <w:sz w:val="24"/>
      <w:szCs w:val="24"/>
      <w:lang w:val="es-ES" w:eastAsia="es-ES"/>
    </w:rPr>
  </w:style>
  <w:style w:type="paragraph" w:styleId="Ttulo8">
    <w:name w:val="heading 8"/>
    <w:basedOn w:val="Normal"/>
    <w:next w:val="Normal"/>
    <w:link w:val="Ttulo8Car"/>
    <w:qFormat/>
    <w:rsid w:val="00883C23"/>
    <w:pPr>
      <w:numPr>
        <w:ilvl w:val="7"/>
        <w:numId w:val="17"/>
      </w:numPr>
      <w:spacing w:before="240" w:after="60" w:line="240" w:lineRule="auto"/>
      <w:outlineLvl w:val="7"/>
    </w:pPr>
    <w:rPr>
      <w:rFonts w:ascii="Times New Roman" w:eastAsia="Times New Roman" w:hAnsi="Times New Roman" w:cs="Times New Roman"/>
      <w:i/>
      <w:iCs/>
      <w:sz w:val="24"/>
      <w:szCs w:val="24"/>
      <w:lang w:val="es-ES" w:eastAsia="es-ES"/>
    </w:rPr>
  </w:style>
  <w:style w:type="paragraph" w:styleId="Ttulo9">
    <w:name w:val="heading 9"/>
    <w:basedOn w:val="Normal"/>
    <w:next w:val="Normal"/>
    <w:link w:val="Ttulo9Car"/>
    <w:qFormat/>
    <w:rsid w:val="00883C23"/>
    <w:pPr>
      <w:numPr>
        <w:ilvl w:val="8"/>
        <w:numId w:val="17"/>
      </w:numPr>
      <w:spacing w:before="240" w:after="60" w:line="240" w:lineRule="auto"/>
      <w:outlineLvl w:val="8"/>
    </w:pPr>
    <w:rPr>
      <w:rFonts w:ascii="Arial" w:eastAsia="Times New Roman" w:hAnsi="Arial" w:cs="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883C23"/>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883C23"/>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883C23"/>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883C23"/>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883C23"/>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883C23"/>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883C23"/>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883C23"/>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883C23"/>
    <w:rPr>
      <w:rFonts w:ascii="Arial" w:eastAsia="Times New Roman" w:hAnsi="Arial" w:cs="Arial"/>
      <w:lang w:val="es-ES" w:eastAsia="es-ES"/>
    </w:rPr>
  </w:style>
  <w:style w:type="numbering" w:customStyle="1" w:styleId="Sinlista1">
    <w:name w:val="Sin lista1"/>
    <w:next w:val="Sinlista"/>
    <w:uiPriority w:val="99"/>
    <w:semiHidden/>
    <w:unhideWhenUsed/>
    <w:rsid w:val="00883C23"/>
  </w:style>
  <w:style w:type="paragraph" w:styleId="Piedepgina">
    <w:name w:val="footer"/>
    <w:basedOn w:val="Normal"/>
    <w:link w:val="PiedepginaCar"/>
    <w:uiPriority w:val="99"/>
    <w:unhideWhenUsed/>
    <w:rsid w:val="00883C23"/>
    <w:pPr>
      <w:tabs>
        <w:tab w:val="center" w:pos="4419"/>
        <w:tab w:val="right" w:pos="8838"/>
      </w:tabs>
      <w:spacing w:after="200" w:line="276" w:lineRule="auto"/>
      <w:jc w:val="both"/>
    </w:pPr>
    <w:rPr>
      <w:sz w:val="24"/>
      <w:lang w:val="es-MX"/>
    </w:rPr>
  </w:style>
  <w:style w:type="character" w:customStyle="1" w:styleId="PiedepginaCar">
    <w:name w:val="Pie de página Car"/>
    <w:basedOn w:val="Fuentedeprrafopredeter"/>
    <w:link w:val="Piedepgina"/>
    <w:uiPriority w:val="99"/>
    <w:rsid w:val="00883C23"/>
    <w:rPr>
      <w:sz w:val="24"/>
      <w:lang w:val="es-MX"/>
    </w:rPr>
  </w:style>
  <w:style w:type="paragraph" w:styleId="Textodeglobo">
    <w:name w:val="Balloon Text"/>
    <w:basedOn w:val="Normal"/>
    <w:link w:val="TextodegloboCar"/>
    <w:uiPriority w:val="99"/>
    <w:semiHidden/>
    <w:unhideWhenUsed/>
    <w:rsid w:val="00883C23"/>
    <w:pPr>
      <w:spacing w:after="200" w:line="276" w:lineRule="auto"/>
      <w:jc w:val="both"/>
    </w:pPr>
    <w:rPr>
      <w:rFonts w:ascii="Tahoma" w:hAnsi="Tahoma" w:cs="Tahoma"/>
      <w:sz w:val="16"/>
      <w:szCs w:val="16"/>
      <w:lang w:val="es-MX"/>
    </w:rPr>
  </w:style>
  <w:style w:type="character" w:customStyle="1" w:styleId="TextodegloboCar">
    <w:name w:val="Texto de globo Car"/>
    <w:basedOn w:val="Fuentedeprrafopredeter"/>
    <w:link w:val="Textodeglobo"/>
    <w:uiPriority w:val="99"/>
    <w:semiHidden/>
    <w:rsid w:val="00883C23"/>
    <w:rPr>
      <w:rFonts w:ascii="Tahoma" w:hAnsi="Tahoma" w:cs="Tahoma"/>
      <w:sz w:val="16"/>
      <w:szCs w:val="16"/>
      <w:lang w:val="es-MX"/>
    </w:rPr>
  </w:style>
  <w:style w:type="paragraph" w:styleId="Encabezado">
    <w:name w:val="header"/>
    <w:basedOn w:val="Normal"/>
    <w:link w:val="EncabezadoCar"/>
    <w:uiPriority w:val="99"/>
    <w:unhideWhenUsed/>
    <w:rsid w:val="00883C23"/>
    <w:pPr>
      <w:tabs>
        <w:tab w:val="center" w:pos="4252"/>
        <w:tab w:val="right" w:pos="8504"/>
      </w:tabs>
      <w:spacing w:after="200" w:line="276" w:lineRule="auto"/>
      <w:jc w:val="both"/>
    </w:pPr>
    <w:rPr>
      <w:sz w:val="24"/>
      <w:lang w:val="es-MX"/>
    </w:rPr>
  </w:style>
  <w:style w:type="character" w:customStyle="1" w:styleId="EncabezadoCar">
    <w:name w:val="Encabezado Car"/>
    <w:basedOn w:val="Fuentedeprrafopredeter"/>
    <w:link w:val="Encabezado"/>
    <w:uiPriority w:val="99"/>
    <w:rsid w:val="00883C23"/>
    <w:rPr>
      <w:sz w:val="24"/>
      <w:lang w:val="es-MX"/>
    </w:rPr>
  </w:style>
  <w:style w:type="table" w:styleId="Tablaconcuadrcula">
    <w:name w:val="Table Grid"/>
    <w:basedOn w:val="Tablanormal"/>
    <w:uiPriority w:val="39"/>
    <w:rsid w:val="00883C23"/>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83C23"/>
    <w:pPr>
      <w:spacing w:after="200" w:line="276" w:lineRule="auto"/>
      <w:ind w:left="720"/>
      <w:contextualSpacing/>
      <w:jc w:val="both"/>
    </w:pPr>
    <w:rPr>
      <w:sz w:val="24"/>
      <w:lang w:val="es-MX"/>
    </w:rPr>
  </w:style>
  <w:style w:type="character" w:styleId="Refdecomentario">
    <w:name w:val="annotation reference"/>
    <w:basedOn w:val="Fuentedeprrafopredeter"/>
    <w:uiPriority w:val="99"/>
    <w:semiHidden/>
    <w:unhideWhenUsed/>
    <w:rsid w:val="00883C23"/>
    <w:rPr>
      <w:sz w:val="16"/>
      <w:szCs w:val="16"/>
    </w:rPr>
  </w:style>
  <w:style w:type="paragraph" w:styleId="Textocomentario">
    <w:name w:val="annotation text"/>
    <w:basedOn w:val="Normal"/>
    <w:link w:val="TextocomentarioCar"/>
    <w:uiPriority w:val="99"/>
    <w:unhideWhenUsed/>
    <w:rsid w:val="00883C23"/>
    <w:pPr>
      <w:spacing w:after="200" w:line="276" w:lineRule="auto"/>
      <w:jc w:val="both"/>
    </w:pPr>
    <w:rPr>
      <w:sz w:val="20"/>
      <w:szCs w:val="20"/>
      <w:lang w:val="es-MX"/>
    </w:rPr>
  </w:style>
  <w:style w:type="character" w:customStyle="1" w:styleId="TextocomentarioCar">
    <w:name w:val="Texto comentario Car"/>
    <w:basedOn w:val="Fuentedeprrafopredeter"/>
    <w:link w:val="Textocomentario"/>
    <w:uiPriority w:val="99"/>
    <w:rsid w:val="00883C23"/>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883C23"/>
    <w:rPr>
      <w:b/>
      <w:bCs/>
    </w:rPr>
  </w:style>
  <w:style w:type="character" w:customStyle="1" w:styleId="AsuntodelcomentarioCar">
    <w:name w:val="Asunto del comentario Car"/>
    <w:basedOn w:val="TextocomentarioCar"/>
    <w:link w:val="Asuntodelcomentario"/>
    <w:uiPriority w:val="99"/>
    <w:semiHidden/>
    <w:rsid w:val="00883C23"/>
    <w:rPr>
      <w:b/>
      <w:bCs/>
      <w:sz w:val="20"/>
      <w:szCs w:val="20"/>
      <w:lang w:val="es-MX"/>
    </w:rPr>
  </w:style>
  <w:style w:type="character" w:customStyle="1" w:styleId="Hipervnculo1">
    <w:name w:val="Hipervínculo1"/>
    <w:basedOn w:val="Fuentedeprrafopredeter"/>
    <w:uiPriority w:val="99"/>
    <w:unhideWhenUsed/>
    <w:rsid w:val="00883C23"/>
    <w:rPr>
      <w:color w:val="F2F2F2"/>
      <w:u w:val="single"/>
    </w:rPr>
  </w:style>
  <w:style w:type="paragraph" w:styleId="NormalWeb">
    <w:name w:val="Normal (Web)"/>
    <w:basedOn w:val="Normal"/>
    <w:link w:val="NormalWebCar"/>
    <w:uiPriority w:val="99"/>
    <w:unhideWhenUsed/>
    <w:rsid w:val="00883C23"/>
    <w:pPr>
      <w:spacing w:before="100" w:beforeAutospacing="1" w:after="100" w:afterAutospacing="1" w:line="276" w:lineRule="auto"/>
      <w:jc w:val="both"/>
    </w:pPr>
    <w:rPr>
      <w:rFonts w:ascii="Times New Roman" w:eastAsia="Times New Roman" w:hAnsi="Times New Roman" w:cs="Times New Roman"/>
      <w:sz w:val="24"/>
      <w:szCs w:val="24"/>
      <w:lang w:eastAsia="es-CO"/>
    </w:rPr>
  </w:style>
  <w:style w:type="paragraph" w:styleId="Sinespaciado">
    <w:name w:val="No Spacing"/>
    <w:aliases w:val="No Indent"/>
    <w:uiPriority w:val="3"/>
    <w:qFormat/>
    <w:rsid w:val="00883C23"/>
    <w:pPr>
      <w:spacing w:after="0" w:line="240" w:lineRule="auto"/>
      <w:jc w:val="both"/>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83C2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883C23"/>
    <w:pPr>
      <w:spacing w:after="200" w:line="276" w:lineRule="auto"/>
      <w:jc w:val="both"/>
    </w:pPr>
    <w:rPr>
      <w:sz w:val="20"/>
      <w:szCs w:val="20"/>
      <w:lang w:val="es-MX"/>
    </w:rPr>
  </w:style>
  <w:style w:type="character" w:customStyle="1" w:styleId="TextonotapieCar1">
    <w:name w:val="Texto nota pie Car1"/>
    <w:basedOn w:val="Fuentedeprrafopredeter"/>
    <w:uiPriority w:val="99"/>
    <w:semiHidden/>
    <w:rsid w:val="00883C23"/>
    <w:rPr>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83C23"/>
    <w:rPr>
      <w:sz w:val="24"/>
      <w:lang w:val="es-MX"/>
    </w:rPr>
  </w:style>
  <w:style w:type="paragraph" w:customStyle="1" w:styleId="Capitulo1">
    <w:name w:val="Capitulo 1"/>
    <w:basedOn w:val="Normal"/>
    <w:uiPriority w:val="99"/>
    <w:qFormat/>
    <w:rsid w:val="00883C23"/>
    <w:pPr>
      <w:keepNext/>
      <w:spacing w:before="120" w:after="200" w:line="276" w:lineRule="auto"/>
      <w:ind w:left="720" w:hanging="360"/>
      <w:jc w:val="both"/>
      <w:outlineLvl w:val="1"/>
    </w:pPr>
    <w:rPr>
      <w:rFonts w:ascii="Arial" w:eastAsia="Times New Roman"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883C23"/>
    <w:rPr>
      <w:vertAlign w:val="superscript"/>
    </w:rPr>
  </w:style>
  <w:style w:type="paragraph" w:customStyle="1" w:styleId="pa22">
    <w:name w:val="pa22"/>
    <w:basedOn w:val="Normal"/>
    <w:rsid w:val="00883C23"/>
    <w:pPr>
      <w:spacing w:before="100" w:beforeAutospacing="1" w:after="100" w:afterAutospacing="1" w:line="276" w:lineRule="auto"/>
      <w:jc w:val="both"/>
    </w:pPr>
    <w:rPr>
      <w:rFonts w:ascii="Times New Roman" w:eastAsia="Times New Roman" w:hAnsi="Times New Roman" w:cs="Times New Roman"/>
      <w:sz w:val="24"/>
      <w:szCs w:val="24"/>
      <w:lang w:val="es-ES" w:eastAsia="es-ES"/>
    </w:rPr>
  </w:style>
  <w:style w:type="character" w:styleId="Textoennegrita">
    <w:name w:val="Strong"/>
    <w:basedOn w:val="Fuentedeprrafopredeter"/>
    <w:uiPriority w:val="22"/>
    <w:qFormat/>
    <w:rsid w:val="00883C23"/>
    <w:rPr>
      <w:b/>
      <w:bCs/>
    </w:rPr>
  </w:style>
  <w:style w:type="character" w:styleId="nfasis">
    <w:name w:val="Emphasis"/>
    <w:basedOn w:val="Fuentedeprrafopredeter"/>
    <w:uiPriority w:val="20"/>
    <w:qFormat/>
    <w:rsid w:val="00883C23"/>
    <w:rPr>
      <w:i/>
      <w:iCs/>
    </w:rPr>
  </w:style>
  <w:style w:type="character" w:customStyle="1" w:styleId="Mencinsinresolver1">
    <w:name w:val="Mención sin resolver1"/>
    <w:basedOn w:val="Fuentedeprrafopredeter"/>
    <w:uiPriority w:val="99"/>
    <w:semiHidden/>
    <w:unhideWhenUsed/>
    <w:rsid w:val="00883C23"/>
    <w:rPr>
      <w:color w:val="605E5C"/>
      <w:shd w:val="clear" w:color="auto" w:fill="E1DFDD"/>
    </w:rPr>
  </w:style>
  <w:style w:type="paragraph" w:customStyle="1" w:styleId="Capitulo3">
    <w:name w:val="Capitulo 3"/>
    <w:basedOn w:val="Normal"/>
    <w:qFormat/>
    <w:rsid w:val="00883C23"/>
    <w:pPr>
      <w:keepNext/>
      <w:numPr>
        <w:numId w:val="7"/>
      </w:numPr>
      <w:spacing w:before="120" w:after="200" w:line="276" w:lineRule="auto"/>
      <w:jc w:val="both"/>
      <w:outlineLvl w:val="1"/>
    </w:pPr>
    <w:rPr>
      <w:rFonts w:ascii="Arial" w:eastAsia="Times New Roman" w:hAnsi="Arial" w:cs="Arial"/>
      <w:b/>
      <w:color w:val="000000"/>
      <w:sz w:val="20"/>
      <w:szCs w:val="20"/>
      <w:lang w:eastAsia="es-CO"/>
    </w:rPr>
  </w:style>
  <w:style w:type="paragraph" w:customStyle="1" w:styleId="InviasNormal">
    <w:name w:val="Invias Normal"/>
    <w:basedOn w:val="Normal"/>
    <w:link w:val="InviasNormalCar"/>
    <w:qFormat/>
    <w:rsid w:val="00883C23"/>
    <w:pPr>
      <w:tabs>
        <w:tab w:val="left" w:pos="-142"/>
      </w:tabs>
      <w:autoSpaceDE w:val="0"/>
      <w:autoSpaceDN w:val="0"/>
      <w:adjustRightInd w:val="0"/>
      <w:spacing w:before="120" w:after="240" w:line="276" w:lineRule="auto"/>
      <w:jc w:val="both"/>
    </w:pPr>
    <w:rPr>
      <w:rFonts w:ascii="Arial Narrow" w:eastAsia="Times New Roman" w:hAnsi="Arial Narrow" w:cs="Times New Roman"/>
      <w:color w:val="3C3C3C"/>
      <w:sz w:val="24"/>
      <w:szCs w:val="24"/>
      <w:lang w:val="x-none" w:eastAsia="es-ES"/>
    </w:rPr>
  </w:style>
  <w:style w:type="character" w:customStyle="1" w:styleId="InviasNormalCar">
    <w:name w:val="Invias Normal Car"/>
    <w:link w:val="InviasNormal"/>
    <w:locked/>
    <w:rsid w:val="00883C23"/>
    <w:rPr>
      <w:rFonts w:ascii="Arial Narrow" w:eastAsia="Times New Roman" w:hAnsi="Arial Narrow" w:cs="Times New Roman"/>
      <w:color w:val="3C3C3C"/>
      <w:sz w:val="24"/>
      <w:szCs w:val="24"/>
      <w:lang w:val="x-none" w:eastAsia="es-ES"/>
    </w:rPr>
  </w:style>
  <w:style w:type="paragraph" w:customStyle="1" w:styleId="Entidad-Capitulo">
    <w:name w:val="Entidad-Capitulo"/>
    <w:next w:val="Normal"/>
    <w:autoRedefine/>
    <w:uiPriority w:val="99"/>
    <w:qFormat/>
    <w:rsid w:val="00883C23"/>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883C23"/>
    <w:pPr>
      <w:spacing w:after="0" w:line="240" w:lineRule="auto"/>
      <w:jc w:val="both"/>
    </w:pPr>
    <w:rPr>
      <w:sz w:val="24"/>
      <w:lang w:val="es-MX"/>
    </w:rPr>
  </w:style>
  <w:style w:type="paragraph" w:customStyle="1" w:styleId="Appelnotedebasde">
    <w:name w:val="Appel note de bas de..."/>
    <w:basedOn w:val="Normal"/>
    <w:link w:val="Refdenotaalpie"/>
    <w:uiPriority w:val="99"/>
    <w:rsid w:val="00883C23"/>
    <w:pPr>
      <w:spacing w:line="240" w:lineRule="exact"/>
      <w:jc w:val="both"/>
    </w:pPr>
    <w:rPr>
      <w:vertAlign w:val="superscript"/>
    </w:rPr>
  </w:style>
  <w:style w:type="character" w:customStyle="1" w:styleId="NormalWebCar">
    <w:name w:val="Normal (Web) Car"/>
    <w:link w:val="NormalWeb"/>
    <w:uiPriority w:val="99"/>
    <w:locked/>
    <w:rsid w:val="00883C23"/>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883C23"/>
  </w:style>
  <w:style w:type="paragraph" w:styleId="Textoindependiente">
    <w:name w:val="Body Text"/>
    <w:basedOn w:val="Normal"/>
    <w:link w:val="TextoindependienteCar"/>
    <w:uiPriority w:val="1"/>
    <w:qFormat/>
    <w:rsid w:val="00883C23"/>
    <w:pPr>
      <w:widowControl w:val="0"/>
      <w:autoSpaceDE w:val="0"/>
      <w:autoSpaceDN w:val="0"/>
      <w:spacing w:after="200" w:line="276" w:lineRule="auto"/>
      <w:jc w:val="both"/>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883C23"/>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883C23"/>
    <w:pPr>
      <w:spacing w:after="200" w:line="276" w:lineRule="auto"/>
      <w:jc w:val="both"/>
    </w:pPr>
    <w:rPr>
      <w:sz w:val="20"/>
      <w:szCs w:val="20"/>
      <w:lang w:val="es-MX"/>
    </w:rPr>
  </w:style>
  <w:style w:type="character" w:customStyle="1" w:styleId="TextonotaalfinalCar">
    <w:name w:val="Texto nota al final Car"/>
    <w:basedOn w:val="Fuentedeprrafopredeter"/>
    <w:link w:val="Textonotaalfinal"/>
    <w:uiPriority w:val="99"/>
    <w:semiHidden/>
    <w:rsid w:val="00883C23"/>
    <w:rPr>
      <w:sz w:val="20"/>
      <w:szCs w:val="20"/>
      <w:lang w:val="es-MX"/>
    </w:rPr>
  </w:style>
  <w:style w:type="character" w:styleId="Refdenotaalfinal">
    <w:name w:val="endnote reference"/>
    <w:basedOn w:val="Fuentedeprrafopredeter"/>
    <w:uiPriority w:val="99"/>
    <w:semiHidden/>
    <w:unhideWhenUsed/>
    <w:rsid w:val="00883C23"/>
    <w:rPr>
      <w:vertAlign w:val="superscript"/>
    </w:rPr>
  </w:style>
  <w:style w:type="table" w:customStyle="1" w:styleId="Tablaconcuadrcula1">
    <w:name w:val="Tabla con cuadrícula1"/>
    <w:basedOn w:val="Tablanormal"/>
    <w:next w:val="Tablaconcuadrcula"/>
    <w:uiPriority w:val="39"/>
    <w:rsid w:val="00883C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883C23"/>
  </w:style>
  <w:style w:type="table" w:customStyle="1" w:styleId="Tablaconcuadrcula2">
    <w:name w:val="Tabla con cuadrícula2"/>
    <w:basedOn w:val="Tablanormal"/>
    <w:next w:val="Tablaconcuadrcula"/>
    <w:uiPriority w:val="39"/>
    <w:rsid w:val="00883C23"/>
    <w:pPr>
      <w:spacing w:before="12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883C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883C23"/>
    <w:pPr>
      <w:overflowPunct w:val="0"/>
      <w:autoSpaceDE w:val="0"/>
      <w:autoSpaceDN w:val="0"/>
      <w:adjustRightInd w:val="0"/>
      <w:spacing w:after="0" w:line="240" w:lineRule="auto"/>
      <w:jc w:val="right"/>
      <w:textAlignment w:val="baseline"/>
    </w:pPr>
    <w:rPr>
      <w:rFonts w:ascii="Verdana" w:eastAsia="Times New Roman" w:hAnsi="Verdana" w:cs="Times New Roman"/>
      <w:b/>
      <w:sz w:val="28"/>
      <w:szCs w:val="20"/>
      <w:lang w:val="es-ES_tradnl" w:eastAsia="es-ES"/>
    </w:rPr>
  </w:style>
  <w:style w:type="paragraph" w:customStyle="1" w:styleId="Default">
    <w:name w:val="Default"/>
    <w:rsid w:val="00883C23"/>
    <w:pPr>
      <w:autoSpaceDE w:val="0"/>
      <w:autoSpaceDN w:val="0"/>
      <w:adjustRightInd w:val="0"/>
      <w:spacing w:after="0" w:line="240" w:lineRule="auto"/>
    </w:pPr>
    <w:rPr>
      <w:rFonts w:ascii="Arial" w:hAnsi="Arial" w:cs="Arial"/>
      <w:color w:val="000000"/>
      <w:sz w:val="24"/>
      <w:szCs w:val="24"/>
      <w:lang w:val="es-ES"/>
    </w:rPr>
  </w:style>
  <w:style w:type="paragraph" w:customStyle="1" w:styleId="CM203">
    <w:name w:val="CM203"/>
    <w:basedOn w:val="Normal"/>
    <w:next w:val="Normal"/>
    <w:uiPriority w:val="99"/>
    <w:rsid w:val="00883C23"/>
    <w:pPr>
      <w:widowControl w:val="0"/>
      <w:autoSpaceDE w:val="0"/>
      <w:autoSpaceDN w:val="0"/>
      <w:adjustRightInd w:val="0"/>
      <w:spacing w:after="0" w:line="240" w:lineRule="auto"/>
    </w:pPr>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883C23"/>
    <w:pPr>
      <w:spacing w:after="120" w:line="480" w:lineRule="auto"/>
      <w:jc w:val="both"/>
    </w:pPr>
    <w:rPr>
      <w:sz w:val="24"/>
      <w:lang w:val="es-MX"/>
    </w:rPr>
  </w:style>
  <w:style w:type="character" w:customStyle="1" w:styleId="Textoindependiente2Car">
    <w:name w:val="Texto independiente 2 Car"/>
    <w:basedOn w:val="Fuentedeprrafopredeter"/>
    <w:link w:val="Textoindependiente2"/>
    <w:uiPriority w:val="99"/>
    <w:semiHidden/>
    <w:rsid w:val="00883C23"/>
    <w:rPr>
      <w:sz w:val="24"/>
      <w:lang w:val="es-MX"/>
    </w:rPr>
  </w:style>
  <w:style w:type="character" w:customStyle="1" w:styleId="apple-converted-space">
    <w:name w:val="apple-converted-space"/>
    <w:basedOn w:val="Fuentedeprrafopredeter"/>
    <w:rsid w:val="00883C23"/>
  </w:style>
  <w:style w:type="character" w:styleId="Hipervnculo">
    <w:name w:val="Hyperlink"/>
    <w:basedOn w:val="Fuentedeprrafopredeter"/>
    <w:uiPriority w:val="99"/>
    <w:unhideWhenUsed/>
    <w:rsid w:val="00883C23"/>
    <w:rPr>
      <w:color w:val="0563C1" w:themeColor="hyperlink"/>
      <w:u w:val="single"/>
    </w:rPr>
  </w:style>
  <w:style w:type="paragraph" w:customStyle="1" w:styleId="xgmail-cuerpodeltexto0">
    <w:name w:val="x_gmail-cuerpodeltexto0"/>
    <w:basedOn w:val="Normal"/>
    <w:rsid w:val="001E4C5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xgmail-cuerpodeltextocursiva">
    <w:name w:val="x_gmail-cuerpodeltextocursiva"/>
    <w:basedOn w:val="Fuentedeprrafopredeter"/>
    <w:rsid w:val="001E4C5E"/>
  </w:style>
  <w:style w:type="character" w:customStyle="1" w:styleId="Mencinsinresolver2">
    <w:name w:val="Mención sin resolver2"/>
    <w:basedOn w:val="Fuentedeprrafopredeter"/>
    <w:uiPriority w:val="99"/>
    <w:semiHidden/>
    <w:unhideWhenUsed/>
    <w:rsid w:val="00951C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09810">
      <w:bodyDiv w:val="1"/>
      <w:marLeft w:val="0"/>
      <w:marRight w:val="0"/>
      <w:marTop w:val="0"/>
      <w:marBottom w:val="0"/>
      <w:divBdr>
        <w:top w:val="none" w:sz="0" w:space="0" w:color="auto"/>
        <w:left w:val="none" w:sz="0" w:space="0" w:color="auto"/>
        <w:bottom w:val="none" w:sz="0" w:space="0" w:color="auto"/>
        <w:right w:val="none" w:sz="0" w:space="0" w:color="auto"/>
      </w:divBdr>
    </w:div>
    <w:div w:id="18981288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C4C964-22B9-455E-A0CB-A97A15146B23}">
  <ds:schemaRefs>
    <ds:schemaRef ds:uri="http://schemas.openxmlformats.org/officeDocument/2006/bibliography"/>
  </ds:schemaRefs>
</ds:datastoreItem>
</file>

<file path=customXml/itemProps2.xml><?xml version="1.0" encoding="utf-8"?>
<ds:datastoreItem xmlns:ds="http://schemas.openxmlformats.org/officeDocument/2006/customXml" ds:itemID="{DA572D9C-B81E-40C2-9B5D-565AAEA853A9}">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C5230615-F0E1-4492-828C-DC45E881F982}">
  <ds:schemaRefs>
    <ds:schemaRef ds:uri="http://schemas.microsoft.com/sharepoint/v3/contenttype/forms"/>
  </ds:schemaRefs>
</ds:datastoreItem>
</file>

<file path=customXml/itemProps4.xml><?xml version="1.0" encoding="utf-8"?>
<ds:datastoreItem xmlns:ds="http://schemas.openxmlformats.org/officeDocument/2006/customXml" ds:itemID="{CC7F2C81-2A7A-4DC0-82FC-07F00A93E9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8801</Words>
  <Characters>48410</Characters>
  <Application>Microsoft Office Word</Application>
  <DocSecurity>0</DocSecurity>
  <Lines>403</Lines>
  <Paragraphs>114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Edwin Johan Chocontá Quintero</cp:lastModifiedBy>
  <cp:revision>2</cp:revision>
  <dcterms:created xsi:type="dcterms:W3CDTF">2022-06-21T19:59:00Z</dcterms:created>
  <dcterms:modified xsi:type="dcterms:W3CDTF">2022-06-21T19:59:00Z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