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ADBF9" w14:textId="77777777" w:rsidR="00E245AB" w:rsidRPr="001E6A16" w:rsidRDefault="00E245AB" w:rsidP="00E245AB">
      <w:pPr>
        <w:spacing w:after="0"/>
        <w:rPr>
          <w:rFonts w:ascii="Century Gothic" w:hAnsi="Century Gothic"/>
        </w:rPr>
      </w:pPr>
      <w:bookmarkStart w:id="0" w:name="_Hlk143780582"/>
    </w:p>
    <w:p w14:paraId="6F4767A8" w14:textId="77777777" w:rsidR="00D021D3" w:rsidRPr="00A1045E" w:rsidRDefault="00D021D3" w:rsidP="00D021D3">
      <w:pPr>
        <w:spacing w:after="0" w:line="240" w:lineRule="auto"/>
        <w:jc w:val="both"/>
        <w:rPr>
          <w:rFonts w:ascii="Century Gothic" w:eastAsia="Times New Roman" w:hAnsi="Century Gothic" w:cs="Arial"/>
          <w:b/>
          <w:lang w:val="es-ES" w:eastAsia="es-ES_tradnl"/>
        </w:rPr>
      </w:pPr>
      <w:r w:rsidRPr="00A1045E">
        <w:rPr>
          <w:rFonts w:ascii="Century Gothic" w:eastAsia="Calibri" w:hAnsi="Century Gothic" w:cs="Arial"/>
          <w:b/>
          <w:lang w:val="es-MX" w:eastAsia="es-ES_tradnl"/>
        </w:rPr>
        <w:t xml:space="preserve">CABILDOS INDÍGENAS – AUTORIDADES TRADICIONALES INDÍGENAS – ASOCIACIONES DE CABILDOS INDÍGENAS Y/O AUTORIDADES TRADICIONALES INDÍGENAS – CONSEJOS INDÍGENAS Y ORGANIZACIONES INDÍGENAS – Noción – </w:t>
      </w:r>
      <w:r w:rsidRPr="00A1045E">
        <w:rPr>
          <w:rFonts w:ascii="Century Gothic" w:eastAsia="Times New Roman" w:hAnsi="Century Gothic" w:cs="Arial"/>
          <w:b/>
          <w:lang w:val="es-ES" w:eastAsia="es-ES_tradnl"/>
        </w:rPr>
        <w:t>Régimen de contratación – Decreto 1088 de 1993 – Decreto 252 de 2020 – Ley 1551 de 2012 – Decreto 1953 de 2014 – Ley 2160 de 2021 – Ley 2294 de 2023</w:t>
      </w:r>
    </w:p>
    <w:p w14:paraId="2160795E" w14:textId="77777777" w:rsidR="00D021D3" w:rsidRPr="00A1045E" w:rsidRDefault="00D021D3" w:rsidP="00D021D3">
      <w:pPr>
        <w:spacing w:after="0" w:line="240" w:lineRule="auto"/>
        <w:jc w:val="both"/>
        <w:rPr>
          <w:rFonts w:ascii="Century Gothic" w:eastAsia="Times New Roman" w:hAnsi="Century Gothic" w:cs="Arial"/>
          <w:b/>
          <w:lang w:val="es-ES" w:eastAsia="es-ES_tradnl"/>
        </w:rPr>
      </w:pPr>
    </w:p>
    <w:p w14:paraId="6561DEE1" w14:textId="55E470FF" w:rsidR="00390319" w:rsidRPr="00390319" w:rsidRDefault="00390319" w:rsidP="00390319">
      <w:pPr>
        <w:spacing w:after="0" w:line="240" w:lineRule="auto"/>
        <w:jc w:val="both"/>
        <w:rPr>
          <w:rFonts w:ascii="Century Gothic" w:eastAsia="Arial" w:hAnsi="Century Gothic" w:cs="Arial"/>
          <w:sz w:val="20"/>
          <w:szCs w:val="20"/>
          <w:lang w:val="es-ES"/>
        </w:rPr>
      </w:pPr>
      <w:r w:rsidRPr="00390319">
        <w:rPr>
          <w:rFonts w:ascii="Century Gothic" w:eastAsia="Arial" w:hAnsi="Century Gothic" w:cs="Arial"/>
          <w:sz w:val="20"/>
          <w:szCs w:val="20"/>
          <w:lang w:val="es-ES"/>
        </w:rPr>
        <w:t xml:space="preserve">Posteriormente, la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cuyo tenor literal dispuso: </w:t>
      </w:r>
    </w:p>
    <w:p w14:paraId="76B03973" w14:textId="63488FEA" w:rsidR="00390319" w:rsidRPr="00390319" w:rsidRDefault="00390319" w:rsidP="00390319">
      <w:pPr>
        <w:spacing w:after="0" w:line="240" w:lineRule="auto"/>
        <w:jc w:val="both"/>
        <w:rPr>
          <w:rFonts w:ascii="Century Gothic" w:eastAsia="Arial" w:hAnsi="Century Gothic" w:cs="Arial"/>
          <w:sz w:val="20"/>
          <w:szCs w:val="20"/>
          <w:lang w:val="es-ES"/>
        </w:rPr>
      </w:pPr>
      <w:r>
        <w:rPr>
          <w:rFonts w:ascii="Century Gothic" w:eastAsia="Arial" w:hAnsi="Century Gothic" w:cs="Arial"/>
          <w:sz w:val="20"/>
          <w:szCs w:val="20"/>
          <w:lang w:val="es-ES"/>
        </w:rPr>
        <w:t>[…]</w:t>
      </w:r>
    </w:p>
    <w:p w14:paraId="5CE86B1F" w14:textId="31A990A1" w:rsidR="00D021D3" w:rsidRPr="00A1045E" w:rsidRDefault="00390319" w:rsidP="00390319">
      <w:pPr>
        <w:spacing w:after="0" w:line="240" w:lineRule="auto"/>
        <w:jc w:val="both"/>
        <w:rPr>
          <w:rFonts w:ascii="Century Gothic" w:eastAsia="Arial" w:hAnsi="Century Gothic" w:cs="Arial"/>
          <w:sz w:val="20"/>
          <w:szCs w:val="20"/>
          <w:lang w:val="es-ES"/>
        </w:rPr>
      </w:pPr>
      <w:r w:rsidRPr="00390319">
        <w:rPr>
          <w:rFonts w:ascii="Century Gothic" w:eastAsia="Arial" w:hAnsi="Century Gothic" w:cs="Arial"/>
          <w:sz w:val="20"/>
          <w:szCs w:val="20"/>
          <w:lang w:val="es-ES"/>
        </w:rPr>
        <w:t>Finalmente, 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 bajo los siguientes términos:</w:t>
      </w:r>
    </w:p>
    <w:p w14:paraId="5B626FDB" w14:textId="77777777" w:rsidR="00D021D3" w:rsidRPr="00A1045E" w:rsidRDefault="00D021D3" w:rsidP="00D021D3">
      <w:pPr>
        <w:spacing w:after="0" w:line="240" w:lineRule="auto"/>
        <w:jc w:val="both"/>
        <w:rPr>
          <w:rFonts w:ascii="Century Gothic" w:eastAsia="Arial" w:hAnsi="Century Gothic" w:cs="Arial"/>
          <w:sz w:val="20"/>
          <w:szCs w:val="20"/>
          <w:lang w:val="es-ES"/>
        </w:rPr>
      </w:pPr>
      <w:r w:rsidRPr="00A1045E">
        <w:rPr>
          <w:rFonts w:ascii="Century Gothic" w:eastAsia="Arial" w:hAnsi="Century Gothic" w:cs="Arial"/>
          <w:sz w:val="20"/>
          <w:szCs w:val="20"/>
          <w:lang w:val="es-ES"/>
        </w:rPr>
        <w:t>[…]</w:t>
      </w:r>
    </w:p>
    <w:p w14:paraId="6A6A1E77" w14:textId="214D8EAC" w:rsidR="00D021D3" w:rsidRPr="00A1045E" w:rsidRDefault="00572460" w:rsidP="00D021D3">
      <w:pPr>
        <w:spacing w:after="0" w:line="240" w:lineRule="auto"/>
        <w:jc w:val="both"/>
        <w:rPr>
          <w:rFonts w:ascii="Century Gothic" w:eastAsia="Calibri" w:hAnsi="Century Gothic" w:cs="Arial"/>
          <w:sz w:val="20"/>
          <w:szCs w:val="20"/>
          <w:lang w:val="es-MX"/>
        </w:rPr>
      </w:pPr>
      <w:r w:rsidRPr="00572460">
        <w:rPr>
          <w:rFonts w:ascii="Century Gothic" w:eastAsia="Arial" w:hAnsi="Century Gothic" w:cs="Arial"/>
          <w:sz w:val="20"/>
          <w:szCs w:val="20"/>
          <w:lang w:val="es-ES"/>
        </w:rPr>
        <w:t xml:space="preserve">De acuerdo con lo expuesto, de los regímenes de contratación expuestos, puede concluirse  que: i) los cabildos indígenas en virtud de lo consagrado en el Decreto 2164 de 1995 y en la Ley 2160 de 2021 que modificó el artículo 7 de la Ley 80 de 1993, deben entenderse como entidades públicas especiales; </w:t>
      </w:r>
      <w:proofErr w:type="spellStart"/>
      <w:r w:rsidRPr="00572460">
        <w:rPr>
          <w:rFonts w:ascii="Century Gothic" w:eastAsia="Arial" w:hAnsi="Century Gothic" w:cs="Arial"/>
          <w:sz w:val="20"/>
          <w:szCs w:val="20"/>
          <w:lang w:val="es-ES"/>
        </w:rPr>
        <w:t>ii</w:t>
      </w:r>
      <w:proofErr w:type="spellEnd"/>
      <w:r w:rsidRPr="00572460">
        <w:rPr>
          <w:rFonts w:ascii="Century Gothic" w:eastAsia="Arial" w:hAnsi="Century Gothic" w:cs="Arial"/>
          <w:sz w:val="20"/>
          <w:szCs w:val="20"/>
          <w:lang w:val="es-ES"/>
        </w:rPr>
        <w:t xml:space="preserve">) las autoridades tradicionales indígenas son consideradas entidades de derecho público de conformidad con lo dispuesto en el Decreto 1088 de 1993 y la Ley 2294 de 2023; </w:t>
      </w:r>
      <w:proofErr w:type="spellStart"/>
      <w:r w:rsidRPr="00572460">
        <w:rPr>
          <w:rFonts w:ascii="Century Gothic" w:eastAsia="Arial" w:hAnsi="Century Gothic" w:cs="Arial"/>
          <w:sz w:val="20"/>
          <w:szCs w:val="20"/>
          <w:lang w:val="es-ES"/>
        </w:rPr>
        <w:t>iii</w:t>
      </w:r>
      <w:proofErr w:type="spellEnd"/>
      <w:r w:rsidRPr="00572460">
        <w:rPr>
          <w:rFonts w:ascii="Century Gothic" w:eastAsia="Arial" w:hAnsi="Century Gothic" w:cs="Arial"/>
          <w:sz w:val="20"/>
          <w:szCs w:val="20"/>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572460">
        <w:rPr>
          <w:rFonts w:ascii="Century Gothic" w:eastAsia="Arial" w:hAnsi="Century Gothic" w:cs="Arial"/>
          <w:sz w:val="20"/>
          <w:szCs w:val="20"/>
          <w:lang w:val="es-ES"/>
        </w:rPr>
        <w:t>iv</w:t>
      </w:r>
      <w:proofErr w:type="spellEnd"/>
      <w:r w:rsidRPr="00572460">
        <w:rPr>
          <w:rFonts w:ascii="Century Gothic" w:eastAsia="Arial" w:hAnsi="Century Gothic" w:cs="Arial"/>
          <w:sz w:val="20"/>
          <w:szCs w:val="20"/>
          <w:lang w:val="es-ES"/>
        </w:rPr>
        <w:t>)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resguardos que se asocien para administrar y ejecutar los recursos del SGP, en virtud de lo contemplado en el Decreto 1953 de 2014.</w:t>
      </w:r>
    </w:p>
    <w:p w14:paraId="041FA961" w14:textId="77777777" w:rsidR="00D021D3" w:rsidRPr="00A1045E" w:rsidRDefault="00D021D3" w:rsidP="00D021D3">
      <w:pPr>
        <w:spacing w:after="0" w:line="240" w:lineRule="auto"/>
        <w:jc w:val="both"/>
        <w:rPr>
          <w:rFonts w:ascii="Century Gothic" w:eastAsia="Calibri" w:hAnsi="Century Gothic" w:cs="Arial"/>
          <w:lang w:val="es-MX"/>
        </w:rPr>
      </w:pPr>
    </w:p>
    <w:p w14:paraId="4DB1A22A" w14:textId="77777777" w:rsidR="00D021D3" w:rsidRPr="00A1045E" w:rsidRDefault="00D021D3" w:rsidP="00D021D3">
      <w:pPr>
        <w:spacing w:after="0" w:line="240" w:lineRule="auto"/>
        <w:jc w:val="both"/>
        <w:rPr>
          <w:rFonts w:ascii="Century Gothic" w:eastAsia="Calibri" w:hAnsi="Century Gothic" w:cs="Arial"/>
          <w:b/>
          <w:lang w:val="es-MX" w:eastAsia="es-ES_tradnl"/>
        </w:rPr>
      </w:pPr>
      <w:r w:rsidRPr="00A1045E">
        <w:rPr>
          <w:rFonts w:ascii="Century Gothic" w:eastAsia="Calibri" w:hAnsi="Century Gothic" w:cs="Arial"/>
          <w:b/>
          <w:lang w:val="es-MX" w:eastAsia="es-ES_tradnl"/>
        </w:rPr>
        <w:t>SEGURIDAD SOCIAL INTEGRAL – Servicio público – Definición – Verificación</w:t>
      </w:r>
    </w:p>
    <w:p w14:paraId="32A6FA61" w14:textId="77777777" w:rsidR="00D021D3" w:rsidRPr="00A1045E" w:rsidRDefault="00D021D3" w:rsidP="00D021D3">
      <w:pPr>
        <w:spacing w:after="0" w:line="240" w:lineRule="auto"/>
        <w:jc w:val="both"/>
        <w:rPr>
          <w:rFonts w:ascii="Century Gothic" w:eastAsia="Arial" w:hAnsi="Century Gothic" w:cs="Arial"/>
          <w:lang w:val="es-ES"/>
        </w:rPr>
      </w:pPr>
    </w:p>
    <w:p w14:paraId="4AE01BE7" w14:textId="6F9CAAA3" w:rsidR="00D021D3" w:rsidRPr="00A1045E" w:rsidRDefault="00572460" w:rsidP="00D021D3">
      <w:pPr>
        <w:spacing w:after="0" w:line="240" w:lineRule="auto"/>
        <w:jc w:val="both"/>
        <w:rPr>
          <w:rFonts w:ascii="Century Gothic" w:eastAsia="Geomanist Light" w:hAnsi="Century Gothic" w:cs="Arial"/>
          <w:color w:val="000000" w:themeColor="text1"/>
          <w:sz w:val="20"/>
          <w:szCs w:val="20"/>
          <w:lang w:val="es-MX"/>
        </w:rPr>
      </w:pPr>
      <w:r w:rsidRPr="00572460">
        <w:rPr>
          <w:rFonts w:ascii="Century Gothic" w:eastAsia="Geomanist Light" w:hAnsi="Century Gothic" w:cs="Arial"/>
          <w:color w:val="000000" w:themeColor="text1"/>
          <w:sz w:val="20"/>
          <w:szCs w:val="20"/>
          <w:lang w:val="es-MX"/>
        </w:rPr>
        <w:lastRenderedPageBreak/>
        <w:t>La seguridad social es un servicio público obligatorio, cuya dirección, coordinación y control está a cargo del Estado y es prestado por entidades públicas y privadas. Mediante esta se evitan desequilibrios económicos y sociales que, de no resolverse, implicarían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129B3D65" w14:textId="77777777" w:rsidR="00D021D3" w:rsidRPr="00A1045E" w:rsidRDefault="00D021D3" w:rsidP="00D021D3">
      <w:pPr>
        <w:spacing w:after="0" w:line="240" w:lineRule="auto"/>
        <w:jc w:val="both"/>
        <w:rPr>
          <w:rFonts w:ascii="Century Gothic" w:eastAsia="Geomanist Light" w:hAnsi="Century Gothic" w:cs="Arial"/>
          <w:color w:val="000000" w:themeColor="text1"/>
          <w:lang w:val="es-MX"/>
        </w:rPr>
      </w:pPr>
    </w:p>
    <w:p w14:paraId="688F0250" w14:textId="77777777" w:rsidR="00D021D3" w:rsidRPr="00A1045E" w:rsidRDefault="00D021D3" w:rsidP="00D021D3">
      <w:pPr>
        <w:spacing w:after="0"/>
        <w:jc w:val="both"/>
        <w:rPr>
          <w:rFonts w:ascii="Century Gothic" w:eastAsia="Geomanist Light" w:hAnsi="Century Gothic" w:cs="Arial"/>
          <w:b/>
          <w:bCs/>
          <w:color w:val="000000" w:themeColor="text1"/>
          <w:lang w:val="es-MX"/>
        </w:rPr>
      </w:pPr>
      <w:r w:rsidRPr="00A1045E">
        <w:rPr>
          <w:rFonts w:ascii="Century Gothic" w:eastAsia="Geomanist Light" w:hAnsi="Century Gothic" w:cs="Arial"/>
          <w:b/>
          <w:bCs/>
          <w:color w:val="000000" w:themeColor="text1"/>
          <w:lang w:val="es-MX"/>
        </w:rPr>
        <w:t>SEGURIDAD SOCIAL INTEGRAL – Contratación estatal – Requisito del contrato estatal – Artículo 41 de la Ley 80 de 1993 – Artículo 50 de la Ley 789 de 2002</w:t>
      </w:r>
    </w:p>
    <w:p w14:paraId="5158A0DC" w14:textId="77777777" w:rsidR="00D021D3" w:rsidRPr="00A1045E" w:rsidRDefault="00D021D3" w:rsidP="00D021D3">
      <w:pPr>
        <w:spacing w:after="0"/>
        <w:jc w:val="both"/>
        <w:rPr>
          <w:rFonts w:ascii="Century Gothic" w:eastAsia="Geomanist Light" w:hAnsi="Century Gothic" w:cs="Arial"/>
          <w:b/>
          <w:bCs/>
          <w:color w:val="000000" w:themeColor="text1"/>
          <w:lang w:val="es-MX"/>
        </w:rPr>
      </w:pPr>
    </w:p>
    <w:p w14:paraId="2CEA59DF" w14:textId="7F23A0F0" w:rsidR="00310934" w:rsidRDefault="00310934" w:rsidP="00310934">
      <w:pPr>
        <w:spacing w:after="0" w:line="240" w:lineRule="auto"/>
        <w:jc w:val="both"/>
        <w:rPr>
          <w:rFonts w:ascii="Century Gothic" w:eastAsia="Geomanist Light" w:hAnsi="Century Gothic" w:cs="Arial"/>
          <w:color w:val="000000" w:themeColor="text1"/>
          <w:sz w:val="20"/>
          <w:szCs w:val="20"/>
          <w:lang w:val="es-MX"/>
        </w:rPr>
      </w:pPr>
      <w:r w:rsidRPr="00310934">
        <w:rPr>
          <w:rFonts w:ascii="Century Gothic" w:eastAsia="Geomanist Light" w:hAnsi="Century Gothic" w:cs="Arial"/>
          <w:color w:val="000000" w:themeColor="text1"/>
          <w:sz w:val="20"/>
          <w:szCs w:val="20"/>
          <w:lang w:val="es-MX"/>
        </w:rPr>
        <w:t xml:space="preserve">En materia de contratación estatal, el texto original del artículo 41 de la Ley 80 de 1993 dispuso que los requisitos para perfeccionar el contrato son: i) el acuerdo sobre el objeto y la contraprestación, y </w:t>
      </w:r>
      <w:proofErr w:type="spellStart"/>
      <w:r w:rsidRPr="00310934">
        <w:rPr>
          <w:rFonts w:ascii="Century Gothic" w:eastAsia="Geomanist Light" w:hAnsi="Century Gothic" w:cs="Arial"/>
          <w:color w:val="000000" w:themeColor="text1"/>
          <w:sz w:val="20"/>
          <w:szCs w:val="20"/>
          <w:lang w:val="es-MX"/>
        </w:rPr>
        <w:t>ii</w:t>
      </w:r>
      <w:proofErr w:type="spellEnd"/>
      <w:r w:rsidRPr="00310934">
        <w:rPr>
          <w:rFonts w:ascii="Century Gothic" w:eastAsia="Geomanist Light" w:hAnsi="Century Gothic" w:cs="Arial"/>
          <w:color w:val="000000" w:themeColor="text1"/>
          <w:sz w:val="20"/>
          <w:szCs w:val="20"/>
          <w:lang w:val="es-MX"/>
        </w:rPr>
        <w:t xml:space="preserve">) que conste por escrito. Por su parte, para iniciar la ejecución se requiere: i) la constitución y aprobación de la garantía y </w:t>
      </w:r>
      <w:proofErr w:type="spellStart"/>
      <w:r w:rsidRPr="00310934">
        <w:rPr>
          <w:rFonts w:ascii="Century Gothic" w:eastAsia="Geomanist Light" w:hAnsi="Century Gothic" w:cs="Arial"/>
          <w:color w:val="000000" w:themeColor="text1"/>
          <w:sz w:val="20"/>
          <w:szCs w:val="20"/>
          <w:lang w:val="es-MX"/>
        </w:rPr>
        <w:t>ii</w:t>
      </w:r>
      <w:proofErr w:type="spellEnd"/>
      <w:r w:rsidRPr="00310934">
        <w:rPr>
          <w:rFonts w:ascii="Century Gothic" w:eastAsia="Geomanist Light" w:hAnsi="Century Gothic" w:cs="Arial"/>
          <w:color w:val="000000" w:themeColor="text1"/>
          <w:sz w:val="20"/>
          <w:szCs w:val="20"/>
          <w:lang w:val="es-MX"/>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42F28EB1" w14:textId="77777777" w:rsidR="00310934" w:rsidRPr="00310934" w:rsidRDefault="00310934" w:rsidP="00310934">
      <w:pPr>
        <w:spacing w:after="0" w:line="240" w:lineRule="auto"/>
        <w:jc w:val="both"/>
        <w:rPr>
          <w:rFonts w:ascii="Century Gothic" w:eastAsia="Geomanist Light" w:hAnsi="Century Gothic" w:cs="Arial"/>
          <w:color w:val="000000" w:themeColor="text1"/>
          <w:sz w:val="20"/>
          <w:szCs w:val="20"/>
          <w:lang w:val="es-MX"/>
        </w:rPr>
      </w:pPr>
    </w:p>
    <w:p w14:paraId="1F00434E" w14:textId="21A7B8C4" w:rsidR="00D021D3" w:rsidRPr="00A1045E" w:rsidRDefault="00310934" w:rsidP="00310934">
      <w:pPr>
        <w:spacing w:after="0" w:line="240" w:lineRule="auto"/>
        <w:jc w:val="both"/>
        <w:rPr>
          <w:rFonts w:ascii="Century Gothic" w:eastAsia="Geomanist Light" w:hAnsi="Century Gothic" w:cs="Arial"/>
          <w:color w:val="000000" w:themeColor="text1"/>
          <w:sz w:val="20"/>
          <w:szCs w:val="20"/>
          <w:lang w:val="es-MX"/>
        </w:rPr>
      </w:pPr>
      <w:r w:rsidRPr="00310934">
        <w:rPr>
          <w:rFonts w:ascii="Century Gothic" w:eastAsia="Geomanist Light" w:hAnsi="Century Gothic" w:cs="Arial"/>
          <w:color w:val="000000" w:themeColor="text1"/>
          <w:sz w:val="20"/>
          <w:szCs w:val="20"/>
          <w:lang w:val="es-MX"/>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6822BDF5" w14:textId="77777777" w:rsidR="00D021D3" w:rsidRPr="00A1045E" w:rsidRDefault="00D021D3" w:rsidP="00D021D3">
      <w:pPr>
        <w:spacing w:after="0" w:line="240" w:lineRule="auto"/>
        <w:jc w:val="both"/>
        <w:rPr>
          <w:rFonts w:ascii="Century Gothic" w:eastAsia="Geomanist Light" w:hAnsi="Century Gothic" w:cs="Arial"/>
          <w:color w:val="000000" w:themeColor="text1"/>
          <w:lang w:val="es-MX"/>
        </w:rPr>
      </w:pPr>
    </w:p>
    <w:p w14:paraId="17DE49CE" w14:textId="483673B7" w:rsidR="00D021D3" w:rsidRPr="00A1045E" w:rsidRDefault="00D021D3" w:rsidP="00D021D3">
      <w:pPr>
        <w:spacing w:after="0"/>
        <w:jc w:val="both"/>
        <w:rPr>
          <w:rFonts w:ascii="Century Gothic" w:eastAsia="Geomanist Light" w:hAnsi="Century Gothic" w:cs="Arial"/>
          <w:b/>
          <w:bCs/>
          <w:color w:val="000000" w:themeColor="text1"/>
          <w:lang w:val="es-MX"/>
        </w:rPr>
      </w:pPr>
      <w:r w:rsidRPr="00A1045E">
        <w:rPr>
          <w:rFonts w:ascii="Century Gothic" w:eastAsia="Geomanist Light" w:hAnsi="Century Gothic" w:cs="Arial"/>
          <w:b/>
          <w:bCs/>
          <w:color w:val="000000" w:themeColor="text1"/>
          <w:lang w:val="es-MX"/>
        </w:rPr>
        <w:t xml:space="preserve">SEGURIDAD SOCIAL INTEGRAL – Acreditación – Pueblos Indígenas </w:t>
      </w:r>
      <w:r w:rsidR="00D348B7">
        <w:rPr>
          <w:rFonts w:ascii="Century Gothic" w:eastAsia="Geomanist Light" w:hAnsi="Century Gothic" w:cs="Arial"/>
          <w:b/>
          <w:bCs/>
          <w:color w:val="000000" w:themeColor="text1"/>
          <w:lang w:val="es-MX"/>
        </w:rPr>
        <w:t xml:space="preserve">– Personas jurídicas </w:t>
      </w:r>
      <w:r w:rsidRPr="00A1045E">
        <w:rPr>
          <w:rFonts w:ascii="Century Gothic" w:eastAsia="Geomanist Light" w:hAnsi="Century Gothic" w:cs="Arial"/>
          <w:b/>
          <w:bCs/>
          <w:color w:val="000000" w:themeColor="text1"/>
          <w:lang w:val="es-MX"/>
        </w:rPr>
        <w:t xml:space="preserve">– Artículo 5 de la Ley 691 de 2001 – Régimen Subsidiado – Regla general – Excepciones </w:t>
      </w:r>
    </w:p>
    <w:p w14:paraId="45C22998" w14:textId="77777777" w:rsidR="00D021D3" w:rsidRPr="00A1045E" w:rsidRDefault="00D021D3" w:rsidP="00D021D3">
      <w:pPr>
        <w:spacing w:after="0"/>
        <w:jc w:val="both"/>
        <w:rPr>
          <w:rFonts w:ascii="Century Gothic" w:eastAsia="Geomanist Light" w:hAnsi="Century Gothic" w:cs="Arial"/>
          <w:b/>
          <w:bCs/>
          <w:color w:val="000000" w:themeColor="text1"/>
          <w:lang w:val="es-MX"/>
        </w:rPr>
      </w:pPr>
    </w:p>
    <w:p w14:paraId="44C28A2E" w14:textId="7BC1D445" w:rsidR="00D021D3" w:rsidRPr="00A1045E" w:rsidRDefault="00B01267" w:rsidP="00D021D3">
      <w:pPr>
        <w:spacing w:after="0" w:line="240" w:lineRule="auto"/>
        <w:jc w:val="both"/>
        <w:rPr>
          <w:rFonts w:ascii="Century Gothic" w:eastAsia="Geomanist Light" w:hAnsi="Century Gothic" w:cs="Arial"/>
          <w:color w:val="000000" w:themeColor="text1"/>
          <w:sz w:val="20"/>
          <w:szCs w:val="20"/>
          <w:lang w:val="es-MX"/>
        </w:rPr>
      </w:pPr>
      <w:r w:rsidRPr="00B01267">
        <w:rPr>
          <w:rFonts w:ascii="Century Gothic" w:eastAsia="Geomanist Light" w:hAnsi="Century Gothic" w:cs="Arial"/>
          <w:color w:val="000000" w:themeColor="text1"/>
          <w:sz w:val="20"/>
          <w:szCs w:val="20"/>
          <w:lang w:val="es-MX"/>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 que la acreditación de dicho requisito se realiza en diferentes momentos del proceso contractual, tal como se detalla a continuación:</w:t>
      </w:r>
    </w:p>
    <w:p w14:paraId="4A96269F" w14:textId="77777777" w:rsidR="00100F0D" w:rsidRDefault="00D021D3" w:rsidP="00100F0D">
      <w:pPr>
        <w:spacing w:after="0" w:line="240" w:lineRule="auto"/>
        <w:jc w:val="both"/>
        <w:rPr>
          <w:rFonts w:ascii="Century Gothic" w:eastAsia="Geomanist Light" w:hAnsi="Century Gothic" w:cs="Arial"/>
          <w:color w:val="000000" w:themeColor="text1"/>
          <w:sz w:val="20"/>
          <w:szCs w:val="20"/>
          <w:lang w:val="es-MX"/>
        </w:rPr>
      </w:pPr>
      <w:r w:rsidRPr="00A1045E">
        <w:rPr>
          <w:rFonts w:ascii="Century Gothic" w:eastAsia="Geomanist Light" w:hAnsi="Century Gothic" w:cs="Arial"/>
          <w:color w:val="000000" w:themeColor="text1"/>
          <w:sz w:val="20"/>
          <w:szCs w:val="20"/>
          <w:lang w:val="es-MX"/>
        </w:rPr>
        <w:t>[…]</w:t>
      </w:r>
    </w:p>
    <w:p w14:paraId="6C1F4EBC" w14:textId="5DB6D855" w:rsidR="00100F0D" w:rsidRDefault="00100F0D" w:rsidP="00100F0D">
      <w:pPr>
        <w:spacing w:after="0" w:line="240" w:lineRule="auto"/>
        <w:jc w:val="both"/>
        <w:rPr>
          <w:rFonts w:ascii="Century Gothic" w:eastAsia="Geomanist Light" w:hAnsi="Century Gothic" w:cs="Arial"/>
          <w:color w:val="000000" w:themeColor="text1"/>
          <w:sz w:val="20"/>
          <w:szCs w:val="20"/>
          <w:lang w:val="es-MX"/>
        </w:rPr>
      </w:pPr>
      <w:r w:rsidRPr="00100F0D">
        <w:rPr>
          <w:rFonts w:ascii="Century Gothic" w:eastAsia="Geomanist Light" w:hAnsi="Century Gothic" w:cs="Arial"/>
          <w:color w:val="000000" w:themeColor="text1"/>
          <w:sz w:val="20"/>
          <w:szCs w:val="20"/>
          <w:lang w:val="es-MX"/>
        </w:rPr>
        <w:t xml:space="preserve">Ahora bien, en cuanto al objeto especifico de su consulta, de acuerdo con lo manifestado en el presente numeral, es necesario explicar que, las Asociaciones de Cabildos y Autoridades Tradicionales, los Cabildos y en general las organizaciones indígenas, en tanto </w:t>
      </w:r>
      <w:r w:rsidRPr="00100F0D">
        <w:rPr>
          <w:rFonts w:ascii="Century Gothic" w:eastAsia="Geomanist Light" w:hAnsi="Century Gothic" w:cs="Arial"/>
          <w:color w:val="000000" w:themeColor="text1"/>
          <w:sz w:val="20"/>
          <w:szCs w:val="20"/>
          <w:lang w:val="es-MX"/>
        </w:rPr>
        <w:lastRenderedPageBreak/>
        <w:t>personas jurídicas, en principio, deben cumplir con lo dispuesto en el tercer inciso del artículo 50 de la Ley 789 de 2002. Esto considerando que ni esta, ni otra norma en particular, exceptúa a este tipo de personas jurídicas del cumplimiento del requisito allí previsto.  Lo anterior supone que tales sujetos deban acreditar que se encuentran al día con los aportes parafiscales de que les correspondan, a efectos de cumplir con el requisito previsto en la parte final del segundo inciso del artículo 41 de la Ley 80 de 1993.</w:t>
      </w:r>
    </w:p>
    <w:p w14:paraId="2B89E677" w14:textId="77777777" w:rsidR="00100F0D" w:rsidRPr="00100F0D" w:rsidRDefault="00100F0D" w:rsidP="00100F0D">
      <w:pPr>
        <w:spacing w:after="0" w:line="240" w:lineRule="auto"/>
        <w:jc w:val="both"/>
        <w:rPr>
          <w:rFonts w:ascii="Century Gothic" w:eastAsia="Geomanist Light" w:hAnsi="Century Gothic" w:cs="Arial"/>
          <w:color w:val="000000" w:themeColor="text1"/>
          <w:sz w:val="20"/>
          <w:szCs w:val="20"/>
          <w:lang w:val="es-MX"/>
        </w:rPr>
      </w:pPr>
    </w:p>
    <w:p w14:paraId="69450218" w14:textId="081C6E1F" w:rsidR="00D021D3" w:rsidRPr="00A1045E" w:rsidRDefault="00100F0D" w:rsidP="00100F0D">
      <w:pPr>
        <w:spacing w:after="0" w:line="240" w:lineRule="auto"/>
        <w:jc w:val="both"/>
        <w:rPr>
          <w:rFonts w:ascii="Century Gothic" w:eastAsia="Geomanist Light" w:hAnsi="Century Gothic" w:cs="Arial"/>
          <w:color w:val="000000" w:themeColor="text1"/>
          <w:sz w:val="20"/>
          <w:szCs w:val="20"/>
          <w:lang w:val="es-MX"/>
        </w:rPr>
      </w:pPr>
      <w:r w:rsidRPr="00100F0D">
        <w:rPr>
          <w:rFonts w:ascii="Century Gothic" w:eastAsia="Geomanist Light" w:hAnsi="Century Gothic" w:cs="Arial"/>
          <w:color w:val="000000" w:themeColor="text1"/>
          <w:sz w:val="20"/>
          <w:szCs w:val="20"/>
          <w:lang w:val="es-MX"/>
        </w:rPr>
        <w:t xml:space="preserve"> Sin embargo, es necesario poner de presente que, los referidos aportes parafiscales que deben acreditarse son los que corresponde hacer a la respectiva persona jurídica respecto de sus “empleados”, esto es, respecto de las personas que tengan una relación laboral con la organización. En ese sentido, en el marco del cumplimiento del requisito previsto en el tercer inciso del artículo 50 de la Ley 789 de 2002, no les resultaría exigible a las Asociaciones de Cabildos y Autoridades Tradicionales, ni a los Cabildos y ni a las organizaciones indígenas, acreditar aportes parafiscales respecto de personas con las que no tengan una relación laboral, como bien podría ser el caso de un representante legal vinculado mediante contratos de mandato o prestación de servicios.</w:t>
      </w:r>
    </w:p>
    <w:p w14:paraId="176E449D" w14:textId="77777777" w:rsidR="00D021D3" w:rsidRPr="00A1045E" w:rsidRDefault="00D021D3" w:rsidP="00D021D3">
      <w:pPr>
        <w:rPr>
          <w:rFonts w:ascii="Century Gothic" w:eastAsia="Geomanist Light" w:hAnsi="Century Gothic" w:cs="Arial"/>
          <w:color w:val="000000" w:themeColor="text1"/>
          <w:lang w:val="es-MX"/>
        </w:rPr>
      </w:pPr>
    </w:p>
    <w:p w14:paraId="7C4AF21B" w14:textId="77777777" w:rsidR="00D021D3" w:rsidRPr="00A1045E" w:rsidRDefault="00D021D3" w:rsidP="00D021D3">
      <w:pPr>
        <w:rPr>
          <w:rFonts w:ascii="Century Gothic" w:eastAsia="Geomanist Light" w:hAnsi="Century Gothic" w:cs="Arial"/>
          <w:color w:val="000000" w:themeColor="text1"/>
          <w:lang w:val="es-MX"/>
        </w:rPr>
      </w:pPr>
    </w:p>
    <w:p w14:paraId="6236E30D" w14:textId="77777777" w:rsidR="00D021D3" w:rsidRPr="00A1045E" w:rsidRDefault="00D021D3" w:rsidP="00D021D3">
      <w:pPr>
        <w:rPr>
          <w:rFonts w:ascii="Century Gothic" w:eastAsia="Geomanist Light" w:hAnsi="Century Gothic" w:cs="Arial"/>
          <w:color w:val="000000" w:themeColor="text1"/>
          <w:lang w:val="es-MX"/>
        </w:rPr>
      </w:pPr>
    </w:p>
    <w:p w14:paraId="6EB163A1" w14:textId="77777777" w:rsidR="00D021D3" w:rsidRPr="00A1045E" w:rsidRDefault="00D021D3" w:rsidP="00D021D3">
      <w:pPr>
        <w:rPr>
          <w:rFonts w:ascii="Century Gothic" w:eastAsia="Geomanist Light" w:hAnsi="Century Gothic" w:cs="Arial"/>
          <w:color w:val="000000" w:themeColor="text1"/>
          <w:lang w:val="es-MX"/>
        </w:rPr>
      </w:pPr>
    </w:p>
    <w:p w14:paraId="0B0B4729" w14:textId="77777777" w:rsidR="00D021D3" w:rsidRPr="00A1045E" w:rsidRDefault="00D021D3" w:rsidP="00D021D3">
      <w:pPr>
        <w:rPr>
          <w:rFonts w:ascii="Century Gothic" w:eastAsia="Geomanist Light" w:hAnsi="Century Gothic" w:cs="Arial"/>
          <w:color w:val="000000" w:themeColor="text1"/>
          <w:lang w:val="es-MX"/>
        </w:rPr>
      </w:pPr>
    </w:p>
    <w:p w14:paraId="34DC0A19" w14:textId="77777777" w:rsidR="00D021D3" w:rsidRPr="00A1045E" w:rsidRDefault="00D021D3" w:rsidP="00D021D3">
      <w:pPr>
        <w:rPr>
          <w:rFonts w:ascii="Century Gothic" w:eastAsia="Geomanist Light" w:hAnsi="Century Gothic" w:cs="Arial"/>
          <w:color w:val="000000" w:themeColor="text1"/>
          <w:lang w:val="es-MX"/>
        </w:rPr>
      </w:pPr>
    </w:p>
    <w:p w14:paraId="5154BCC0" w14:textId="77777777" w:rsidR="00D021D3" w:rsidRPr="00A1045E" w:rsidRDefault="00D021D3" w:rsidP="00D021D3">
      <w:pPr>
        <w:rPr>
          <w:rFonts w:ascii="Century Gothic" w:eastAsia="Geomanist Light" w:hAnsi="Century Gothic" w:cs="Arial"/>
          <w:color w:val="000000" w:themeColor="text1"/>
          <w:lang w:val="es-MX"/>
        </w:rPr>
      </w:pPr>
    </w:p>
    <w:p w14:paraId="55E7C940" w14:textId="77777777" w:rsidR="00D021D3" w:rsidRPr="00A1045E" w:rsidRDefault="00D021D3" w:rsidP="00D021D3">
      <w:pPr>
        <w:rPr>
          <w:rFonts w:ascii="Century Gothic" w:eastAsia="Geomanist Light" w:hAnsi="Century Gothic" w:cs="Arial"/>
          <w:color w:val="000000" w:themeColor="text1"/>
          <w:lang w:val="es-MX"/>
        </w:rPr>
      </w:pPr>
    </w:p>
    <w:p w14:paraId="5105DA87" w14:textId="77777777" w:rsidR="00D021D3" w:rsidRPr="00A1045E" w:rsidRDefault="00D021D3" w:rsidP="00D021D3">
      <w:pPr>
        <w:rPr>
          <w:rFonts w:ascii="Century Gothic" w:eastAsia="Geomanist Light" w:hAnsi="Century Gothic" w:cs="Arial"/>
          <w:color w:val="000000" w:themeColor="text1"/>
          <w:lang w:val="es-MX"/>
        </w:rPr>
      </w:pPr>
    </w:p>
    <w:p w14:paraId="7350ADCF" w14:textId="77777777" w:rsidR="00D021D3" w:rsidRPr="00A1045E" w:rsidRDefault="00D021D3" w:rsidP="00D021D3">
      <w:pPr>
        <w:rPr>
          <w:rFonts w:ascii="Century Gothic" w:eastAsia="Geomanist Light" w:hAnsi="Century Gothic" w:cs="Arial"/>
          <w:color w:val="000000" w:themeColor="text1"/>
          <w:lang w:val="es-MX"/>
        </w:rPr>
      </w:pPr>
    </w:p>
    <w:p w14:paraId="2BEF54F3" w14:textId="77777777" w:rsidR="00D021D3" w:rsidRPr="00A1045E" w:rsidRDefault="00D021D3" w:rsidP="00D021D3">
      <w:pPr>
        <w:rPr>
          <w:rFonts w:ascii="Century Gothic" w:eastAsia="Geomanist Light" w:hAnsi="Century Gothic" w:cs="Arial"/>
          <w:color w:val="000000" w:themeColor="text1"/>
          <w:lang w:val="es-MX"/>
        </w:rPr>
      </w:pPr>
    </w:p>
    <w:p w14:paraId="23616D99" w14:textId="77777777" w:rsidR="00D021D3" w:rsidRPr="00A1045E" w:rsidRDefault="00D021D3" w:rsidP="00D021D3">
      <w:pPr>
        <w:rPr>
          <w:rFonts w:ascii="Century Gothic" w:eastAsia="Geomanist Light" w:hAnsi="Century Gothic" w:cs="Arial"/>
          <w:color w:val="000000" w:themeColor="text1"/>
          <w:lang w:val="es-MX"/>
        </w:rPr>
      </w:pPr>
    </w:p>
    <w:p w14:paraId="490C210D" w14:textId="77777777" w:rsidR="00D021D3" w:rsidRPr="00A1045E" w:rsidRDefault="00D021D3" w:rsidP="00D021D3">
      <w:pPr>
        <w:rPr>
          <w:rFonts w:ascii="Century Gothic" w:eastAsia="Geomanist Light" w:hAnsi="Century Gothic" w:cs="Arial"/>
          <w:color w:val="000000" w:themeColor="text1"/>
          <w:lang w:val="es-MX"/>
        </w:rPr>
      </w:pPr>
    </w:p>
    <w:p w14:paraId="113FD8E2" w14:textId="77777777" w:rsidR="00D021D3" w:rsidRPr="00A1045E" w:rsidRDefault="00D021D3" w:rsidP="00D021D3">
      <w:pPr>
        <w:rPr>
          <w:rFonts w:ascii="Century Gothic" w:eastAsia="Geomanist Light" w:hAnsi="Century Gothic" w:cs="Arial"/>
          <w:color w:val="000000" w:themeColor="text1"/>
          <w:lang w:val="es-MX"/>
        </w:rPr>
      </w:pPr>
    </w:p>
    <w:p w14:paraId="39E7478B" w14:textId="77777777" w:rsidR="00D021D3" w:rsidRPr="00A1045E" w:rsidRDefault="00D021D3" w:rsidP="00D021D3">
      <w:pPr>
        <w:rPr>
          <w:rFonts w:ascii="Century Gothic" w:eastAsia="Geomanist Light" w:hAnsi="Century Gothic" w:cs="Arial"/>
          <w:color w:val="000000" w:themeColor="text1"/>
          <w:lang w:val="es-MX"/>
        </w:rPr>
      </w:pPr>
    </w:p>
    <w:p w14:paraId="15DC56F1" w14:textId="77777777" w:rsidR="00D021D3" w:rsidRDefault="00D021D3" w:rsidP="00D021D3">
      <w:pPr>
        <w:rPr>
          <w:rFonts w:ascii="Century Gothic" w:eastAsia="Geomanist Light" w:hAnsi="Century Gothic" w:cs="Arial"/>
          <w:color w:val="000000" w:themeColor="text1"/>
          <w:lang w:val="es-MX"/>
        </w:rPr>
      </w:pPr>
    </w:p>
    <w:p w14:paraId="72439612" w14:textId="77777777" w:rsidR="004B7F3F" w:rsidRPr="00A1045E" w:rsidRDefault="004B7F3F" w:rsidP="00D021D3">
      <w:pPr>
        <w:rPr>
          <w:rFonts w:ascii="Century Gothic" w:eastAsia="Geomanist Light" w:hAnsi="Century Gothic" w:cs="Arial"/>
          <w:color w:val="000000" w:themeColor="text1"/>
          <w:lang w:val="es-MX"/>
        </w:rPr>
      </w:pPr>
    </w:p>
    <w:p w14:paraId="340CF24B" w14:textId="069BB749" w:rsidR="00D021D3" w:rsidRDefault="0046461A" w:rsidP="0046461A">
      <w:pPr>
        <w:jc w:val="right"/>
        <w:rPr>
          <w:rFonts w:ascii="Century Gothic" w:hAnsi="Century Gothic"/>
        </w:rPr>
      </w:pPr>
      <w:r>
        <w:rPr>
          <w:rFonts w:ascii="Century Gothic" w:hAnsi="Century Gothic"/>
          <w:noProof/>
        </w:rPr>
        <w:lastRenderedPageBreak/>
        <w:drawing>
          <wp:inline distT="0" distB="0" distL="0" distR="0" wp14:anchorId="1ED30FDD" wp14:editId="0F23B51C">
            <wp:extent cx="3257548" cy="870615"/>
            <wp:effectExtent l="0" t="0" r="635" b="5715"/>
            <wp:docPr id="179869373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693734" name="Imagen 1" descr="Interfaz de usuario gráfica, Texto, Aplicación&#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81514" cy="877020"/>
                    </a:xfrm>
                    <a:prstGeom prst="rect">
                      <a:avLst/>
                    </a:prstGeom>
                  </pic:spPr>
                </pic:pic>
              </a:graphicData>
            </a:graphic>
          </wp:inline>
        </w:drawing>
      </w:r>
    </w:p>
    <w:p w14:paraId="00F171F2" w14:textId="77777777" w:rsidR="0046461A" w:rsidRPr="00A1045E" w:rsidRDefault="0046461A" w:rsidP="00D021D3">
      <w:pPr>
        <w:jc w:val="both"/>
        <w:rPr>
          <w:rFonts w:ascii="Century Gothic" w:hAnsi="Century Gothic"/>
          <w:color w:val="000000" w:themeColor="text1"/>
        </w:rPr>
      </w:pPr>
    </w:p>
    <w:p w14:paraId="6FB7E3EF" w14:textId="77777777" w:rsidR="00D021D3" w:rsidRPr="00A1045E" w:rsidRDefault="00D021D3" w:rsidP="00D021D3">
      <w:pPr>
        <w:spacing w:after="0" w:line="240" w:lineRule="auto"/>
        <w:jc w:val="both"/>
        <w:rPr>
          <w:rFonts w:ascii="Century Gothic" w:eastAsia="Calibri" w:hAnsi="Century Gothic" w:cs="Arial"/>
          <w:color w:val="000000"/>
          <w:szCs w:val="24"/>
          <w:lang w:eastAsia="es-ES_tradnl"/>
        </w:rPr>
      </w:pPr>
      <w:bookmarkStart w:id="1" w:name="_Hlk100051121"/>
      <w:r w:rsidRPr="00A1045E">
        <w:rPr>
          <w:rFonts w:ascii="Century Gothic" w:eastAsia="Calibri" w:hAnsi="Century Gothic" w:cs="Arial"/>
          <w:color w:val="000000"/>
          <w:szCs w:val="24"/>
          <w:lang w:eastAsia="es-ES_tradnl"/>
        </w:rPr>
        <w:t>Señor</w:t>
      </w:r>
    </w:p>
    <w:p w14:paraId="7CB04CF8" w14:textId="77777777" w:rsidR="00D021D3" w:rsidRPr="00A1045E" w:rsidRDefault="00D021D3" w:rsidP="00D021D3">
      <w:pPr>
        <w:tabs>
          <w:tab w:val="center" w:pos="4394"/>
        </w:tabs>
        <w:spacing w:after="0" w:line="240" w:lineRule="auto"/>
        <w:jc w:val="both"/>
        <w:rPr>
          <w:rFonts w:ascii="Century Gothic" w:eastAsia="Calibri" w:hAnsi="Century Gothic" w:cs="Arial"/>
          <w:b/>
          <w:color w:val="000000"/>
          <w:szCs w:val="24"/>
          <w:lang w:eastAsia="es-ES_tradnl"/>
        </w:rPr>
      </w:pPr>
      <w:proofErr w:type="spellStart"/>
      <w:r w:rsidRPr="00A1045E">
        <w:rPr>
          <w:rFonts w:ascii="Century Gothic" w:eastAsia="Calibri" w:hAnsi="Century Gothic" w:cs="Arial"/>
          <w:b/>
          <w:color w:val="000000"/>
          <w:szCs w:val="24"/>
          <w:lang w:eastAsia="es-ES_tradnl"/>
        </w:rPr>
        <w:t>Linderman</w:t>
      </w:r>
      <w:proofErr w:type="spellEnd"/>
      <w:r w:rsidRPr="00A1045E">
        <w:rPr>
          <w:rFonts w:ascii="Century Gothic" w:eastAsia="Calibri" w:hAnsi="Century Gothic" w:cs="Arial"/>
          <w:b/>
          <w:color w:val="000000"/>
          <w:szCs w:val="24"/>
          <w:lang w:eastAsia="es-ES_tradnl"/>
        </w:rPr>
        <w:t xml:space="preserve"> Adrada López</w:t>
      </w:r>
    </w:p>
    <w:p w14:paraId="1285BDC2" w14:textId="77777777" w:rsidR="00D021D3" w:rsidRPr="00A1045E" w:rsidRDefault="00D021D3" w:rsidP="00D021D3">
      <w:pPr>
        <w:tabs>
          <w:tab w:val="center" w:pos="4394"/>
        </w:tabs>
        <w:spacing w:after="0" w:line="240" w:lineRule="auto"/>
        <w:jc w:val="both"/>
        <w:rPr>
          <w:rFonts w:ascii="Century Gothic" w:eastAsia="Calibri" w:hAnsi="Century Gothic" w:cs="Arial"/>
          <w:bCs/>
          <w:color w:val="000000"/>
          <w:szCs w:val="24"/>
          <w:lang w:eastAsia="es-ES_tradnl"/>
        </w:rPr>
      </w:pPr>
      <w:r w:rsidRPr="00A1045E">
        <w:rPr>
          <w:rFonts w:ascii="Century Gothic" w:eastAsia="Calibri" w:hAnsi="Century Gothic" w:cs="Arial"/>
          <w:bCs/>
          <w:color w:val="000000"/>
          <w:szCs w:val="24"/>
          <w:lang w:eastAsia="es-ES_tradnl"/>
        </w:rPr>
        <w:t>Consejero Mayor – Representante Legal</w:t>
      </w:r>
    </w:p>
    <w:p w14:paraId="2FCD721A" w14:textId="77777777" w:rsidR="00D021D3" w:rsidRPr="00A1045E" w:rsidRDefault="00D021D3" w:rsidP="00D021D3">
      <w:pPr>
        <w:tabs>
          <w:tab w:val="center" w:pos="4394"/>
        </w:tabs>
        <w:spacing w:after="0" w:line="240" w:lineRule="auto"/>
        <w:jc w:val="both"/>
        <w:rPr>
          <w:rFonts w:ascii="Century Gothic" w:eastAsia="Calibri" w:hAnsi="Century Gothic" w:cs="Arial"/>
          <w:bCs/>
          <w:color w:val="000000"/>
          <w:szCs w:val="24"/>
          <w:lang w:eastAsia="es-ES_tradnl"/>
        </w:rPr>
      </w:pPr>
      <w:r w:rsidRPr="00A1045E">
        <w:rPr>
          <w:rFonts w:ascii="Century Gothic" w:eastAsia="Calibri" w:hAnsi="Century Gothic" w:cs="Arial"/>
          <w:bCs/>
          <w:color w:val="000000"/>
          <w:szCs w:val="24"/>
          <w:lang w:eastAsia="es-ES_tradnl"/>
        </w:rPr>
        <w:t>Organización Regional Indígena Valle del Cauca – ORIVAC</w:t>
      </w:r>
    </w:p>
    <w:p w14:paraId="779F12E1" w14:textId="77777777" w:rsidR="00D021D3" w:rsidRPr="00A1045E" w:rsidRDefault="00D021D3" w:rsidP="00D021D3">
      <w:pPr>
        <w:tabs>
          <w:tab w:val="center" w:pos="4394"/>
        </w:tabs>
        <w:spacing w:after="0" w:line="240" w:lineRule="auto"/>
        <w:jc w:val="both"/>
        <w:rPr>
          <w:rFonts w:ascii="Century Gothic" w:eastAsia="Calibri" w:hAnsi="Century Gothic" w:cs="Arial"/>
          <w:bCs/>
          <w:color w:val="000000"/>
          <w:szCs w:val="24"/>
          <w:lang w:eastAsia="es-ES_tradnl"/>
        </w:rPr>
      </w:pPr>
      <w:r w:rsidRPr="00A1045E">
        <w:rPr>
          <w:rFonts w:ascii="Century Gothic" w:eastAsia="Calibri" w:hAnsi="Century Gothic" w:cs="Arial"/>
          <w:bCs/>
          <w:color w:val="000000"/>
          <w:szCs w:val="24"/>
          <w:lang w:eastAsia="es-ES_tradnl"/>
        </w:rPr>
        <w:t>Cali, Valle del Cauca</w:t>
      </w:r>
    </w:p>
    <w:p w14:paraId="2CA42DDC" w14:textId="77777777" w:rsidR="00D021D3" w:rsidRPr="00A1045E" w:rsidRDefault="00D021D3" w:rsidP="00D021D3">
      <w:pPr>
        <w:tabs>
          <w:tab w:val="center" w:pos="4394"/>
        </w:tabs>
        <w:spacing w:after="0" w:line="240" w:lineRule="auto"/>
        <w:jc w:val="both"/>
        <w:rPr>
          <w:rFonts w:ascii="Century Gothic" w:eastAsia="Calibri" w:hAnsi="Century Gothic" w:cs="Arial"/>
          <w:bCs/>
          <w:color w:val="000000"/>
          <w:szCs w:val="24"/>
          <w:lang w:eastAsia="es-ES_tradnl"/>
        </w:rPr>
      </w:pPr>
    </w:p>
    <w:p w14:paraId="31802EF5" w14:textId="77777777" w:rsidR="00D021D3" w:rsidRPr="00A1045E" w:rsidRDefault="00D021D3" w:rsidP="00D021D3">
      <w:pPr>
        <w:spacing w:after="0" w:line="240" w:lineRule="auto"/>
        <w:jc w:val="both"/>
        <w:rPr>
          <w:rFonts w:ascii="Century Gothic" w:eastAsia="Calibri" w:hAnsi="Century Gothic" w:cs="Arial"/>
          <w:b/>
          <w:bCs/>
          <w:color w:val="000000"/>
          <w:szCs w:val="24"/>
          <w:lang w:eastAsia="es-ES_tradnl"/>
        </w:rPr>
      </w:pPr>
    </w:p>
    <w:p w14:paraId="1D964546" w14:textId="77777777" w:rsidR="00D021D3" w:rsidRPr="00A1045E" w:rsidRDefault="00D021D3" w:rsidP="00D021D3">
      <w:pPr>
        <w:spacing w:after="0" w:line="240" w:lineRule="auto"/>
        <w:jc w:val="both"/>
        <w:rPr>
          <w:rFonts w:ascii="Century Gothic" w:eastAsia="Calibri" w:hAnsi="Century Gothic" w:cs="Arial"/>
          <w:b/>
          <w:bCs/>
          <w:color w:val="000000"/>
          <w:szCs w:val="24"/>
          <w:lang w:val="pt-BR" w:eastAsia="es-ES_tradnl"/>
        </w:rPr>
      </w:pPr>
      <w:r w:rsidRPr="00A1045E">
        <w:rPr>
          <w:rFonts w:ascii="Century Gothic" w:eastAsia="Calibri" w:hAnsi="Century Gothic" w:cs="Arial"/>
          <w:b/>
          <w:bCs/>
          <w:color w:val="000000"/>
          <w:szCs w:val="24"/>
          <w:lang w:eastAsia="es-ES_tradnl"/>
        </w:rPr>
        <w:t xml:space="preserve">                                            </w:t>
      </w:r>
      <w:r w:rsidRPr="00A1045E">
        <w:rPr>
          <w:rFonts w:ascii="Century Gothic" w:eastAsia="Calibri" w:hAnsi="Century Gothic" w:cs="Arial"/>
          <w:b/>
          <w:bCs/>
          <w:color w:val="000000"/>
          <w:szCs w:val="24"/>
          <w:lang w:val="pt-BR" w:eastAsia="es-ES_tradnl"/>
        </w:rPr>
        <w:t xml:space="preserve">Concepto C </w:t>
      </w:r>
      <w:r w:rsidRPr="001E6A16">
        <w:rPr>
          <w:rFonts w:ascii="Arial" w:eastAsia="Calibri" w:hAnsi="Arial" w:cs="Arial"/>
          <w:b/>
          <w:bCs/>
          <w:color w:val="000000"/>
          <w:szCs w:val="24"/>
          <w:lang w:val="pt-BR" w:eastAsia="es-ES_tradnl"/>
        </w:rPr>
        <w:t>‒</w:t>
      </w:r>
      <w:r w:rsidRPr="00A1045E">
        <w:rPr>
          <w:rFonts w:ascii="Century Gothic" w:eastAsia="Calibri" w:hAnsi="Century Gothic" w:cs="Arial"/>
          <w:b/>
          <w:bCs/>
          <w:color w:val="000000"/>
          <w:szCs w:val="24"/>
          <w:lang w:val="pt-BR" w:eastAsia="es-ES_tradnl"/>
        </w:rPr>
        <w:t xml:space="preserve"> 301 de 2023</w:t>
      </w:r>
    </w:p>
    <w:p w14:paraId="28EC40DC" w14:textId="77777777" w:rsidR="00D021D3" w:rsidRPr="00A1045E" w:rsidRDefault="00D021D3" w:rsidP="00D021D3">
      <w:pPr>
        <w:spacing w:after="0" w:line="240" w:lineRule="auto"/>
        <w:jc w:val="both"/>
        <w:rPr>
          <w:rFonts w:ascii="Century Gothic" w:eastAsia="Calibri" w:hAnsi="Century Gothic" w:cs="Arial"/>
          <w:b/>
          <w:bCs/>
          <w:color w:val="000000"/>
          <w:szCs w:val="24"/>
          <w:lang w:val="pt-BR"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021D3" w:rsidRPr="001E6A16" w14:paraId="3A53624B" w14:textId="77777777" w:rsidTr="00533D13">
        <w:trPr>
          <w:trHeight w:val="884"/>
        </w:trPr>
        <w:tc>
          <w:tcPr>
            <w:tcW w:w="2689" w:type="dxa"/>
            <w:hideMark/>
          </w:tcPr>
          <w:p w14:paraId="0A80F4C4" w14:textId="77777777" w:rsidR="00D021D3" w:rsidRPr="00A1045E" w:rsidRDefault="00D021D3" w:rsidP="00D021D3">
            <w:pPr>
              <w:jc w:val="both"/>
              <w:rPr>
                <w:rFonts w:ascii="Century Gothic" w:eastAsia="Calibri" w:hAnsi="Century Gothic" w:cs="Arial"/>
                <w:color w:val="000000"/>
                <w:szCs w:val="24"/>
                <w:lang w:val="es-ES_tradnl" w:eastAsia="es-ES_tradnl"/>
              </w:rPr>
            </w:pPr>
            <w:r w:rsidRPr="00A1045E">
              <w:rPr>
                <w:rFonts w:ascii="Century Gothic" w:eastAsia="Calibri" w:hAnsi="Century Gothic" w:cs="Arial"/>
                <w:b/>
                <w:color w:val="000000"/>
                <w:szCs w:val="24"/>
                <w:lang w:val="es-ES_tradnl" w:eastAsia="es-ES_tradnl"/>
              </w:rPr>
              <w:t>Temas:</w:t>
            </w:r>
            <w:r w:rsidRPr="00A1045E">
              <w:rPr>
                <w:rFonts w:ascii="Century Gothic" w:eastAsia="Calibri" w:hAnsi="Century Gothic" w:cs="Arial"/>
                <w:color w:val="000000"/>
                <w:szCs w:val="24"/>
                <w:lang w:val="es-ES_tradnl" w:eastAsia="es-ES_tradnl"/>
              </w:rPr>
              <w:t xml:space="preserve">                   </w:t>
            </w:r>
          </w:p>
        </w:tc>
        <w:tc>
          <w:tcPr>
            <w:tcW w:w="6237" w:type="dxa"/>
            <w:hideMark/>
          </w:tcPr>
          <w:p w14:paraId="103AC990" w14:textId="318E3B9D" w:rsidR="00D021D3" w:rsidRPr="00A1045E" w:rsidRDefault="00D021D3" w:rsidP="00D021D3">
            <w:pPr>
              <w:jc w:val="both"/>
              <w:rPr>
                <w:rFonts w:ascii="Century Gothic" w:eastAsia="Calibri" w:hAnsi="Century Gothic" w:cs="Arial"/>
                <w:bCs/>
                <w:szCs w:val="24"/>
                <w:highlight w:val="yellow"/>
                <w:lang w:val="es-ES_tradnl" w:eastAsia="es-ES_tradnl"/>
              </w:rPr>
            </w:pPr>
            <w:r w:rsidRPr="00A1045E">
              <w:rPr>
                <w:rFonts w:ascii="Century Gothic" w:eastAsia="Calibri" w:hAnsi="Century Gothic" w:cs="Arial"/>
                <w:bCs/>
                <w:lang w:val="es-MX" w:eastAsia="es-ES_tradnl"/>
              </w:rPr>
              <w:t>CABILDOS INDÍGENAS – AUTORIDADES TRADICIONALES INDÍGENAS – ASOCIACIONES DE CABILDOS INDÍGENAS Y/O AUTORIDADES TRADICIONALES INDÍGENAS – CONSEJOS INDÍGENAS Y ORGANIZACIONES INDÍGENAS – Noción – Régimen de contratación – Decreto 1088 de 1993 – Decreto 252 de 2020 – Ley 1551 de 2012 – Decreto 1953 de 2014 – Ley 2160 de 2021 – Ley 2294 de 2023 / SEGURIDAD SOCIAL INTEGRAL – Servicio público – Definición – Verificación / SEGURIDAD SOCIAL INTEGRAL – Contratación estatal – Requisito del contrato estatal – Artículo 41 de la Ley 80 de 1993 – Artículo 50 de la Ley 789 de 2002 /</w:t>
            </w:r>
            <w:r w:rsidRPr="00A1045E">
              <w:rPr>
                <w:rFonts w:ascii="Century Gothic" w:hAnsi="Century Gothic"/>
              </w:rPr>
              <w:t xml:space="preserve"> </w:t>
            </w:r>
            <w:r w:rsidRPr="00A1045E">
              <w:rPr>
                <w:rFonts w:ascii="Century Gothic" w:eastAsia="Calibri" w:hAnsi="Century Gothic" w:cs="Arial"/>
                <w:bCs/>
                <w:lang w:val="es-MX" w:eastAsia="es-ES_tradnl"/>
              </w:rPr>
              <w:t xml:space="preserve">SEGURIDAD SOCIAL INTEGRAL – Acreditación – Pueblos Indígenas </w:t>
            </w:r>
            <w:r w:rsidR="007B7322">
              <w:rPr>
                <w:rFonts w:ascii="Century Gothic" w:eastAsia="Calibri" w:hAnsi="Century Gothic" w:cs="Arial"/>
                <w:bCs/>
                <w:lang w:val="es-MX" w:eastAsia="es-ES_tradnl"/>
              </w:rPr>
              <w:t xml:space="preserve">– Personas jurídicas </w:t>
            </w:r>
            <w:r w:rsidRPr="00A1045E">
              <w:rPr>
                <w:rFonts w:ascii="Century Gothic" w:eastAsia="Calibri" w:hAnsi="Century Gothic" w:cs="Arial"/>
                <w:bCs/>
                <w:lang w:val="es-MX" w:eastAsia="es-ES_tradnl"/>
              </w:rPr>
              <w:t>– Artículo 5 de la Ley 691 de 2001 – Régimen Subsidiado – Regla general – Excepciones</w:t>
            </w:r>
          </w:p>
        </w:tc>
      </w:tr>
      <w:tr w:rsidR="00D021D3" w:rsidRPr="001E6A16" w14:paraId="02D775BE" w14:textId="77777777" w:rsidTr="00533D13">
        <w:tc>
          <w:tcPr>
            <w:tcW w:w="2689" w:type="dxa"/>
            <w:hideMark/>
          </w:tcPr>
          <w:p w14:paraId="2BEEADF1" w14:textId="77777777" w:rsidR="00D021D3" w:rsidRPr="00A1045E" w:rsidRDefault="00D021D3" w:rsidP="00D021D3">
            <w:pPr>
              <w:spacing w:before="120"/>
              <w:jc w:val="both"/>
              <w:rPr>
                <w:rFonts w:ascii="Century Gothic" w:eastAsia="Calibri" w:hAnsi="Century Gothic" w:cs="Arial"/>
                <w:b/>
                <w:color w:val="000000"/>
                <w:szCs w:val="24"/>
                <w:lang w:val="es-ES_tradnl" w:eastAsia="es-ES_tradnl"/>
              </w:rPr>
            </w:pPr>
            <w:r w:rsidRPr="00A1045E">
              <w:rPr>
                <w:rFonts w:ascii="Century Gothic" w:eastAsia="Calibri" w:hAnsi="Century Gothic" w:cs="Arial"/>
                <w:b/>
                <w:color w:val="000000"/>
                <w:szCs w:val="24"/>
                <w:lang w:val="es-ES_tradnl" w:eastAsia="es-ES_tradnl"/>
              </w:rPr>
              <w:t>Radicación:</w:t>
            </w:r>
            <w:r w:rsidRPr="00A1045E">
              <w:rPr>
                <w:rFonts w:ascii="Century Gothic" w:eastAsia="Calibri" w:hAnsi="Century Gothic" w:cs="Arial"/>
                <w:color w:val="000000"/>
                <w:szCs w:val="24"/>
                <w:lang w:val="es-ES_tradnl" w:eastAsia="es-ES_tradnl"/>
              </w:rPr>
              <w:t xml:space="preserve">               </w:t>
            </w:r>
          </w:p>
        </w:tc>
        <w:tc>
          <w:tcPr>
            <w:tcW w:w="6237" w:type="dxa"/>
            <w:hideMark/>
          </w:tcPr>
          <w:p w14:paraId="7E93B018" w14:textId="77777777" w:rsidR="00D021D3" w:rsidRPr="00A1045E" w:rsidRDefault="00D021D3" w:rsidP="00D021D3">
            <w:pPr>
              <w:spacing w:before="120"/>
              <w:jc w:val="both"/>
              <w:rPr>
                <w:rFonts w:ascii="Century Gothic" w:eastAsia="Calibri" w:hAnsi="Century Gothic" w:cs="Arial"/>
                <w:color w:val="000000"/>
                <w:szCs w:val="24"/>
                <w:lang w:val="es-ES_tradnl" w:eastAsia="es-ES_tradnl"/>
              </w:rPr>
            </w:pPr>
            <w:r w:rsidRPr="00A1045E">
              <w:rPr>
                <w:rFonts w:ascii="Century Gothic" w:eastAsia="Calibri" w:hAnsi="Century Gothic" w:cs="Arial"/>
                <w:color w:val="000000"/>
                <w:szCs w:val="24"/>
                <w:lang w:val="es-ES_tradnl" w:eastAsia="es-ES_tradnl"/>
              </w:rPr>
              <w:t>Respuesta a consulta P20230911015022</w:t>
            </w:r>
          </w:p>
        </w:tc>
      </w:tr>
    </w:tbl>
    <w:p w14:paraId="1ECCB897" w14:textId="77777777" w:rsidR="00D021D3" w:rsidRPr="00A1045E" w:rsidRDefault="00D021D3" w:rsidP="00D021D3">
      <w:pPr>
        <w:spacing w:after="0" w:line="240" w:lineRule="auto"/>
        <w:jc w:val="both"/>
        <w:rPr>
          <w:rFonts w:ascii="Century Gothic" w:eastAsia="Calibri" w:hAnsi="Century Gothic" w:cs="Arial"/>
          <w:color w:val="000000"/>
          <w:szCs w:val="24"/>
          <w:lang w:eastAsia="es-ES_tradnl"/>
        </w:rPr>
      </w:pPr>
    </w:p>
    <w:p w14:paraId="2ED24609" w14:textId="77777777" w:rsidR="00D021D3" w:rsidRPr="00A1045E" w:rsidRDefault="00D021D3" w:rsidP="00D021D3">
      <w:pPr>
        <w:spacing w:after="0" w:line="240" w:lineRule="auto"/>
        <w:jc w:val="both"/>
        <w:rPr>
          <w:rFonts w:ascii="Century Gothic" w:eastAsia="Calibri" w:hAnsi="Century Gothic" w:cs="Arial"/>
          <w:color w:val="000000"/>
          <w:szCs w:val="24"/>
          <w:lang w:val="es-ES_tradnl" w:eastAsia="es-ES_tradnl"/>
        </w:rPr>
      </w:pPr>
    </w:p>
    <w:p w14:paraId="53D59532" w14:textId="77777777" w:rsidR="00D021D3" w:rsidRPr="00A1045E" w:rsidRDefault="00D021D3" w:rsidP="00D021D3">
      <w:pPr>
        <w:spacing w:after="0" w:line="240" w:lineRule="auto"/>
        <w:jc w:val="both"/>
        <w:rPr>
          <w:rFonts w:ascii="Century Gothic" w:eastAsia="Calibri" w:hAnsi="Century Gothic" w:cs="Arial"/>
          <w:color w:val="000000"/>
          <w:szCs w:val="24"/>
          <w:lang w:val="es-ES_tradnl" w:eastAsia="es-ES_tradnl"/>
        </w:rPr>
      </w:pPr>
      <w:r w:rsidRPr="00A1045E">
        <w:rPr>
          <w:rFonts w:ascii="Century Gothic" w:eastAsia="Calibri" w:hAnsi="Century Gothic" w:cs="Arial"/>
          <w:color w:val="000000"/>
          <w:szCs w:val="24"/>
          <w:lang w:val="es-ES_tradnl" w:eastAsia="es-ES_tradnl"/>
        </w:rPr>
        <w:t xml:space="preserve">Estimado señor Adrada López: </w:t>
      </w:r>
    </w:p>
    <w:p w14:paraId="43C97568" w14:textId="77777777" w:rsidR="00D021D3" w:rsidRPr="00A1045E" w:rsidRDefault="00D021D3" w:rsidP="00D021D3">
      <w:pPr>
        <w:spacing w:after="0" w:line="240" w:lineRule="auto"/>
        <w:jc w:val="both"/>
        <w:rPr>
          <w:rFonts w:ascii="Century Gothic" w:eastAsia="Calibri" w:hAnsi="Century Gothic" w:cs="Arial"/>
          <w:color w:val="000000"/>
          <w:szCs w:val="24"/>
          <w:lang w:val="es-ES_tradnl" w:eastAsia="es-ES_tradnl"/>
        </w:rPr>
      </w:pPr>
    </w:p>
    <w:p w14:paraId="22A9F33F" w14:textId="77777777" w:rsidR="00D021D3" w:rsidRPr="00A1045E" w:rsidRDefault="00D021D3" w:rsidP="00D021D3">
      <w:pPr>
        <w:spacing w:after="0" w:line="276" w:lineRule="auto"/>
        <w:jc w:val="both"/>
        <w:rPr>
          <w:rFonts w:ascii="Century Gothic" w:eastAsia="Calibri" w:hAnsi="Century Gothic" w:cs="Arial"/>
          <w:color w:val="000000"/>
          <w:szCs w:val="24"/>
          <w:lang w:val="es-ES_tradnl" w:eastAsia="es-ES_tradnl"/>
        </w:rPr>
      </w:pPr>
      <w:r w:rsidRPr="00A1045E">
        <w:rPr>
          <w:rFonts w:ascii="Century Gothic" w:eastAsia="Calibri" w:hAnsi="Century Gothic" w:cs="Arial"/>
          <w:color w:val="000000"/>
          <w:szCs w:val="24"/>
          <w:lang w:val="es-ES_tradnl" w:eastAsia="es-ES_tradnl"/>
        </w:rPr>
        <w:t>En ejercicio de la competencia otorgada por el numeral 8 del artículo 11 y el numeral 5 del artículo 3 del Decreto Ley 4170 de 2011,</w:t>
      </w:r>
      <w:r w:rsidRPr="00A1045E">
        <w:rPr>
          <w:rFonts w:ascii="Century Gothic" w:eastAsia="Arial MT" w:hAnsi="Century Gothic" w:cs="Arial MT"/>
          <w:szCs w:val="24"/>
          <w:lang w:val="es-ES" w:eastAsia="es-ES_tradnl"/>
        </w:rPr>
        <w:t xml:space="preserve"> </w:t>
      </w:r>
      <w:r w:rsidRPr="00A1045E">
        <w:rPr>
          <w:rFonts w:ascii="Century Gothic" w:eastAsia="Calibri" w:hAnsi="Century Gothic" w:cs="Arial"/>
          <w:color w:val="000000"/>
          <w:szCs w:val="24"/>
          <w:lang w:val="es-ES_tradnl" w:eastAsia="es-ES_tradnl"/>
        </w:rPr>
        <w:t>la Agencia Nacional de Contratación Pública – Colombia Compra Eficiente, responde su consulta del 11 de septiembre de 2023.</w:t>
      </w:r>
    </w:p>
    <w:p w14:paraId="6CE570E8" w14:textId="77777777" w:rsidR="00D021D3" w:rsidRPr="00A1045E" w:rsidRDefault="00D021D3" w:rsidP="00D021D3">
      <w:pPr>
        <w:spacing w:after="0" w:line="276" w:lineRule="auto"/>
        <w:jc w:val="both"/>
        <w:rPr>
          <w:rFonts w:ascii="Century Gothic" w:eastAsia="Calibri" w:hAnsi="Century Gothic" w:cs="Arial"/>
          <w:b/>
          <w:color w:val="000000"/>
          <w:szCs w:val="24"/>
          <w:lang w:val="es-ES_tradnl" w:eastAsia="es-ES_tradnl"/>
        </w:rPr>
      </w:pPr>
    </w:p>
    <w:p w14:paraId="392956E3" w14:textId="77777777" w:rsidR="00D021D3" w:rsidRPr="00A1045E" w:rsidRDefault="00D021D3" w:rsidP="00D021D3">
      <w:pPr>
        <w:numPr>
          <w:ilvl w:val="0"/>
          <w:numId w:val="18"/>
        </w:numPr>
        <w:tabs>
          <w:tab w:val="left" w:pos="0"/>
          <w:tab w:val="left" w:pos="142"/>
          <w:tab w:val="left" w:pos="284"/>
        </w:tabs>
        <w:spacing w:after="0" w:line="276" w:lineRule="auto"/>
        <w:ind w:left="357" w:hanging="357"/>
        <w:contextualSpacing/>
        <w:jc w:val="both"/>
        <w:rPr>
          <w:rFonts w:ascii="Century Gothic" w:eastAsia="Calibri" w:hAnsi="Century Gothic" w:cs="Arial"/>
          <w:b/>
          <w:color w:val="000000"/>
          <w:lang w:val="es-ES_tradnl"/>
        </w:rPr>
      </w:pPr>
      <w:r w:rsidRPr="00A1045E">
        <w:rPr>
          <w:rFonts w:ascii="Century Gothic" w:eastAsia="Calibri" w:hAnsi="Century Gothic" w:cs="Arial"/>
          <w:b/>
          <w:color w:val="000000"/>
          <w:lang w:val="es-ES_tradnl"/>
        </w:rPr>
        <w:lastRenderedPageBreak/>
        <w:t xml:space="preserve">Problema planteado </w:t>
      </w:r>
    </w:p>
    <w:p w14:paraId="01F71DCE" w14:textId="77777777" w:rsidR="00D021D3" w:rsidRPr="00A1045E" w:rsidRDefault="00D021D3" w:rsidP="00D021D3">
      <w:pPr>
        <w:spacing w:after="0" w:line="276" w:lineRule="auto"/>
        <w:jc w:val="both"/>
        <w:rPr>
          <w:rFonts w:ascii="Century Gothic" w:eastAsia="Times New Roman" w:hAnsi="Century Gothic" w:cs="Arial"/>
          <w:bCs/>
          <w:lang w:eastAsia="es-ES_tradnl"/>
        </w:rPr>
      </w:pPr>
    </w:p>
    <w:p w14:paraId="003F2B6D" w14:textId="77777777" w:rsidR="00D021D3" w:rsidRPr="00A1045E" w:rsidRDefault="00D021D3" w:rsidP="00D021D3">
      <w:pPr>
        <w:spacing w:after="0" w:line="276" w:lineRule="auto"/>
        <w:jc w:val="both"/>
        <w:rPr>
          <w:rFonts w:ascii="Century Gothic" w:eastAsia="Times New Roman" w:hAnsi="Century Gothic" w:cs="Arial"/>
          <w:bCs/>
          <w:lang w:eastAsia="es-ES_tradnl"/>
        </w:rPr>
      </w:pPr>
      <w:r w:rsidRPr="00A1045E">
        <w:rPr>
          <w:rFonts w:ascii="Century Gothic" w:eastAsia="Times New Roman" w:hAnsi="Century Gothic" w:cs="Arial"/>
          <w:bCs/>
          <w:lang w:eastAsia="es-ES_tradnl"/>
        </w:rPr>
        <w:t>Usted realiza las siguientes preguntas:</w:t>
      </w:r>
    </w:p>
    <w:p w14:paraId="1271A1EF" w14:textId="77777777" w:rsidR="00D021D3" w:rsidRPr="00A1045E" w:rsidRDefault="00D021D3" w:rsidP="00D021D3">
      <w:pPr>
        <w:spacing w:after="0" w:line="276" w:lineRule="auto"/>
        <w:jc w:val="both"/>
        <w:rPr>
          <w:rFonts w:ascii="Century Gothic" w:eastAsia="Times New Roman" w:hAnsi="Century Gothic" w:cs="Arial"/>
          <w:bCs/>
          <w:lang w:eastAsia="es-ES_tradnl"/>
        </w:rPr>
      </w:pPr>
    </w:p>
    <w:p w14:paraId="2C5E142E" w14:textId="77777777" w:rsidR="00D021D3" w:rsidRPr="00A1045E"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r w:rsidRPr="00A1045E">
        <w:rPr>
          <w:rFonts w:ascii="Century Gothic" w:eastAsia="Times New Roman" w:hAnsi="Century Gothic" w:cs="Arial"/>
          <w:bCs/>
          <w:sz w:val="21"/>
          <w:szCs w:val="21"/>
          <w:lang w:val="es-ES" w:eastAsia="es-ES_tradnl"/>
        </w:rPr>
        <w:t>“En el marco de la celebración de los convenios y contratos a los que se refiere el Decreto 252 de 2020 y artículo 2, numeral 4, literal L) de la Ley 1150 de 2007: ¿Qué requisitos deben cumplir los Cabildos, Asociaciones de Cabildos y/o Autoridades Tradicionales y Organizaciones Indígenas en materia de seguridad social y aportes parafiscales? ¿Les aplica el artículo 50 de la Ley 789 de 2002? ¿Qué otra norma les aplica? ¿Cómo se acredita el cumplimiento de estos requisitos?</w:t>
      </w:r>
    </w:p>
    <w:p w14:paraId="3038E16F" w14:textId="77777777" w:rsidR="00D021D3" w:rsidRPr="00A1045E"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p>
    <w:p w14:paraId="112D260F" w14:textId="77777777" w:rsidR="00D021D3" w:rsidRPr="00A1045E"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r w:rsidRPr="00A1045E">
        <w:rPr>
          <w:rFonts w:ascii="Century Gothic" w:eastAsia="Times New Roman" w:hAnsi="Century Gothic" w:cs="Arial"/>
          <w:bCs/>
          <w:sz w:val="21"/>
          <w:szCs w:val="21"/>
          <w:lang w:val="es-ES" w:eastAsia="es-ES_tradnl"/>
        </w:rPr>
        <w:t>Lo anterior teniendo en cuenta que un gobernador indígena es el representante legal de una entidad sin ánimo de lucro de carácter especial, el cual realiza un trabajo comunitario de manera ad honorem Y goza de su propia salud, la cual está establecida en la ley 691 del 2001.”</w:t>
      </w:r>
    </w:p>
    <w:p w14:paraId="0C19D2E9" w14:textId="77777777" w:rsidR="00D021D3" w:rsidRPr="00A1045E" w:rsidRDefault="00D021D3" w:rsidP="00D021D3">
      <w:pPr>
        <w:spacing w:after="0" w:line="276" w:lineRule="auto"/>
        <w:jc w:val="both"/>
        <w:rPr>
          <w:rFonts w:ascii="Century Gothic" w:eastAsia="Times New Roman" w:hAnsi="Century Gothic" w:cs="Arial"/>
          <w:bCs/>
          <w:lang w:eastAsia="es-ES_tradnl"/>
        </w:rPr>
      </w:pPr>
    </w:p>
    <w:p w14:paraId="55BCF6BB" w14:textId="77777777" w:rsidR="00D021D3" w:rsidRPr="00A1045E" w:rsidRDefault="00D021D3" w:rsidP="00D021D3">
      <w:pPr>
        <w:numPr>
          <w:ilvl w:val="0"/>
          <w:numId w:val="18"/>
        </w:numPr>
        <w:tabs>
          <w:tab w:val="left" w:pos="0"/>
          <w:tab w:val="left" w:pos="284"/>
        </w:tabs>
        <w:spacing w:after="0" w:line="240" w:lineRule="auto"/>
        <w:ind w:left="357" w:hanging="357"/>
        <w:contextualSpacing/>
        <w:jc w:val="both"/>
        <w:rPr>
          <w:rFonts w:ascii="Century Gothic" w:eastAsia="Calibri" w:hAnsi="Century Gothic" w:cs="Arial"/>
          <w:b/>
          <w:color w:val="000000"/>
          <w:lang w:val="es-ES_tradnl"/>
        </w:rPr>
      </w:pPr>
      <w:r w:rsidRPr="00A1045E">
        <w:rPr>
          <w:rFonts w:ascii="Century Gothic" w:eastAsia="Calibri" w:hAnsi="Century Gothic" w:cs="Arial"/>
          <w:b/>
          <w:color w:val="000000"/>
          <w:lang w:val="es-ES_tradnl"/>
        </w:rPr>
        <w:t>Consideraciones</w:t>
      </w:r>
    </w:p>
    <w:p w14:paraId="4D5245B7" w14:textId="77777777" w:rsidR="00D021D3" w:rsidRPr="00A1045E" w:rsidRDefault="00D021D3" w:rsidP="00D021D3">
      <w:pPr>
        <w:tabs>
          <w:tab w:val="left" w:pos="0"/>
          <w:tab w:val="left" w:pos="284"/>
        </w:tabs>
        <w:spacing w:after="0" w:line="240" w:lineRule="auto"/>
        <w:ind w:left="357"/>
        <w:contextualSpacing/>
        <w:jc w:val="both"/>
        <w:rPr>
          <w:rFonts w:ascii="Century Gothic" w:eastAsia="Calibri" w:hAnsi="Century Gothic" w:cs="Arial"/>
          <w:b/>
          <w:color w:val="000000"/>
          <w:lang w:val="es-ES_tradnl"/>
        </w:rPr>
      </w:pPr>
    </w:p>
    <w:p w14:paraId="684958E4" w14:textId="77777777" w:rsidR="00D021D3" w:rsidRPr="00A1045E" w:rsidRDefault="00D021D3" w:rsidP="00D021D3">
      <w:pPr>
        <w:spacing w:after="120" w:line="276" w:lineRule="auto"/>
        <w:jc w:val="both"/>
        <w:rPr>
          <w:rFonts w:ascii="Century Gothic" w:hAnsi="Century Gothic" w:cs="Arial"/>
          <w:lang w:val="es-ES"/>
        </w:rPr>
      </w:pPr>
      <w:r w:rsidRPr="00A1045E">
        <w:rPr>
          <w:rFonts w:ascii="Century Gothic" w:hAnsi="Century Gothic" w:cs="Arial"/>
          <w:bCs/>
        </w:rPr>
        <w:t xml:space="preserve">La Agencia Nacional de Contratación Pública – Colombia Compra Eficiente resuelve consultas sobre </w:t>
      </w:r>
      <w:r w:rsidRPr="00A1045E">
        <w:rPr>
          <w:rFonts w:ascii="Century Gothic" w:hAnsi="Century Gothic"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A1045E">
        <w:rPr>
          <w:rFonts w:ascii="Century Gothic" w:hAnsi="Century Gothic" w:cs="Arial"/>
          <w:bCs/>
        </w:rPr>
        <w:t xml:space="preserve"> de todos los partícipes de la contratación estatal ni para interpretar el alcance de cualquier norma vigente en el ordenamiento jurídico.</w:t>
      </w:r>
    </w:p>
    <w:p w14:paraId="60E413BE" w14:textId="77777777" w:rsidR="00D021D3" w:rsidRPr="0004430F" w:rsidRDefault="00D021D3" w:rsidP="00D021D3">
      <w:pPr>
        <w:spacing w:after="120" w:line="276" w:lineRule="auto"/>
        <w:ind w:firstLine="708"/>
        <w:jc w:val="both"/>
        <w:rPr>
          <w:rFonts w:ascii="Century Gothic" w:hAnsi="Century Gothic" w:cs="Arial"/>
          <w:lang w:val="es-ES"/>
        </w:rPr>
      </w:pPr>
      <w:r w:rsidRPr="00A1045E">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4430F">
        <w:rPr>
          <w:rFonts w:ascii="Century Gothic" w:hAnsi="Century Gothic"/>
          <w:vertAlign w:val="superscript"/>
        </w:rPr>
        <w:footnoteReference w:id="1"/>
      </w:r>
      <w:r w:rsidRPr="0004430F">
        <w:rPr>
          <w:rFonts w:ascii="Century Gothic" w:hAnsi="Century Gothic" w:cs="Arial"/>
          <w:lang w:val="es-ES"/>
        </w:rPr>
        <w:t xml:space="preserve">. Esta competencia de interpretación de normas generales, </w:t>
      </w:r>
      <w:r w:rsidRPr="0004430F">
        <w:rPr>
          <w:rFonts w:ascii="Century Gothic" w:hAnsi="Century Gothic" w:cs="Arial"/>
          <w:lang w:val="es-ES"/>
        </w:rPr>
        <w:lastRenderedPageBreak/>
        <w:t xml:space="preserve">por definición, no puede extenderse a la resolución de controversias, brindar asesorías sobre casos puntuales ni interpretar normas ajenas al sistema de compras públicas. </w:t>
      </w:r>
    </w:p>
    <w:p w14:paraId="28D655F6" w14:textId="345D5D6A" w:rsidR="00D021D3" w:rsidRPr="0004430F" w:rsidRDefault="00D021D3" w:rsidP="00D021D3">
      <w:pPr>
        <w:tabs>
          <w:tab w:val="left" w:pos="426"/>
        </w:tabs>
        <w:spacing w:after="120" w:line="276" w:lineRule="auto"/>
        <w:jc w:val="both"/>
        <w:rPr>
          <w:rFonts w:ascii="Century Gothic" w:eastAsia="Calibri" w:hAnsi="Century Gothic" w:cs="Arial"/>
          <w:lang w:eastAsia="es-ES_tradnl"/>
        </w:rPr>
      </w:pPr>
      <w:r w:rsidRPr="0004430F">
        <w:rPr>
          <w:rFonts w:ascii="Century Gothic" w:hAnsi="Century Gothic" w:cs="Arial"/>
          <w:lang w:val="es-ES"/>
        </w:rPr>
        <w:tab/>
      </w:r>
      <w:r w:rsidRPr="0004430F">
        <w:rPr>
          <w:rFonts w:ascii="Century Gothic" w:hAnsi="Century Gothic" w:cs="Arial"/>
          <w:lang w:val="es-ES"/>
        </w:rPr>
        <w:tab/>
        <w:t>En este contexto, l</w:t>
      </w:r>
      <w:r w:rsidRPr="0004430F">
        <w:rPr>
          <w:rFonts w:ascii="Century Gothic" w:eastAsia="Calibri" w:hAnsi="Century Gothic" w:cs="Arial"/>
          <w:color w:val="000000" w:themeColor="text1"/>
          <w:lang w:val="es-ES"/>
        </w:rPr>
        <w:t xml:space="preserve">a </w:t>
      </w:r>
      <w:r w:rsidRPr="0004430F">
        <w:rPr>
          <w:rFonts w:ascii="Century Gothic" w:eastAsia="Calibri" w:hAnsi="Century Gothic" w:cs="Arial"/>
          <w:color w:val="000000" w:themeColor="text1"/>
          <w:lang w:val="es-ES_tradnl"/>
        </w:rPr>
        <w:t xml:space="preserve">Agencia Nacional de Contratación Pública – Colombia Compra Eficiente, </w:t>
      </w:r>
      <w:r w:rsidRPr="0004430F">
        <w:rPr>
          <w:rFonts w:ascii="Century Gothic" w:eastAsia="Calibri" w:hAnsi="Century Gothic" w:cs="Arial"/>
          <w:color w:val="000000" w:themeColor="text1"/>
          <w:lang w:val="es-ES"/>
        </w:rPr>
        <w:t>dentro de los límites de sus atribuciones,</w:t>
      </w:r>
      <w:r w:rsidRPr="0004430F">
        <w:rPr>
          <w:rFonts w:ascii="Century Gothic" w:eastAsia="Calibri" w:hAnsi="Century Gothic" w:cs="Arial"/>
          <w:lang w:val="es-ES" w:eastAsia="es-ES_tradnl"/>
        </w:rPr>
        <w:t xml:space="preserve"> </w:t>
      </w:r>
      <w:r w:rsidRPr="0004430F">
        <w:rPr>
          <w:rFonts w:ascii="Century Gothic" w:eastAsia="Calibri" w:hAnsi="Century Gothic" w:cs="Arial"/>
          <w:color w:val="000000"/>
          <w:lang w:val="es-ES" w:eastAsia="es-ES_tradnl"/>
        </w:rPr>
        <w:t>resolverá la consulta conforme a las normas generales en materia de contratación estatal. Con este objetivo se analizarán los siguientes temas:</w:t>
      </w:r>
      <w:r w:rsidRPr="0004430F">
        <w:rPr>
          <w:rFonts w:ascii="Century Gothic" w:eastAsia="Calibri" w:hAnsi="Century Gothic" w:cs="Arial"/>
          <w:lang w:eastAsia="es-ES_tradnl"/>
        </w:rPr>
        <w:t xml:space="preserve"> i) los regímenes de contratación de los cabildos indígenas, autoridades tradicionales indígenas, asociaciones de cabildos indígenas y/o autoridades tradicionales indígenas, </w:t>
      </w:r>
      <w:proofErr w:type="gramStart"/>
      <w:r w:rsidRPr="0004430F">
        <w:rPr>
          <w:rFonts w:ascii="Century Gothic" w:eastAsia="Calibri" w:hAnsi="Century Gothic" w:cs="Arial"/>
          <w:lang w:eastAsia="es-ES_tradnl"/>
        </w:rPr>
        <w:t>consejos indígenas y organizaciones indígenas</w:t>
      </w:r>
      <w:proofErr w:type="gramEnd"/>
      <w:r w:rsidRPr="0004430F">
        <w:rPr>
          <w:rFonts w:ascii="Century Gothic" w:eastAsia="Calibri" w:hAnsi="Century Gothic" w:cs="Arial"/>
          <w:lang w:eastAsia="es-ES_tradnl"/>
        </w:rPr>
        <w:t xml:space="preserve">, y </w:t>
      </w:r>
      <w:proofErr w:type="spellStart"/>
      <w:r w:rsidRPr="0004430F">
        <w:rPr>
          <w:rFonts w:ascii="Century Gothic" w:eastAsia="Calibri" w:hAnsi="Century Gothic" w:cs="Arial"/>
          <w:lang w:eastAsia="es-ES_tradnl"/>
        </w:rPr>
        <w:t>ii</w:t>
      </w:r>
      <w:proofErr w:type="spellEnd"/>
      <w:r w:rsidRPr="0004430F">
        <w:rPr>
          <w:rFonts w:ascii="Century Gothic" w:eastAsia="Calibri" w:hAnsi="Century Gothic" w:cs="Arial"/>
          <w:lang w:eastAsia="es-ES_tradnl"/>
        </w:rPr>
        <w:t xml:space="preserve">) </w:t>
      </w:r>
      <w:r w:rsidR="00E2411B" w:rsidRPr="00E2411B">
        <w:rPr>
          <w:rFonts w:ascii="Century Gothic" w:eastAsia="Calibri" w:hAnsi="Century Gothic" w:cs="Arial"/>
          <w:lang w:eastAsia="es-ES_tradnl"/>
        </w:rPr>
        <w:t>La Seguridad Social Integral en las diferentes etapas de los procesos de contratación pública: Aplicabilidad del artículo 50 de la Ley 789 de 2002 a las personas jurídicas representativas de los pueblos indígenas</w:t>
      </w:r>
      <w:r w:rsidR="00E2411B">
        <w:rPr>
          <w:rFonts w:ascii="Century Gothic" w:eastAsia="Calibri" w:hAnsi="Century Gothic" w:cs="Arial"/>
          <w:lang w:eastAsia="es-ES_tradnl"/>
        </w:rPr>
        <w:t>.</w:t>
      </w:r>
    </w:p>
    <w:p w14:paraId="41AC9476" w14:textId="77777777" w:rsidR="00D021D3" w:rsidRPr="0004430F" w:rsidRDefault="00D021D3" w:rsidP="00D021D3">
      <w:pPr>
        <w:tabs>
          <w:tab w:val="left" w:pos="426"/>
        </w:tabs>
        <w:spacing w:after="0" w:line="276" w:lineRule="auto"/>
        <w:jc w:val="both"/>
        <w:rPr>
          <w:rFonts w:ascii="Century Gothic" w:eastAsia="Times New Roman" w:hAnsi="Century Gothic" w:cs="Arial"/>
          <w:szCs w:val="24"/>
          <w:lang w:eastAsia="es-ES_tradnl"/>
        </w:rPr>
      </w:pPr>
      <w:r w:rsidRPr="0004430F">
        <w:rPr>
          <w:rFonts w:ascii="Century Gothic" w:hAnsi="Century Gothic" w:cs="Arial"/>
        </w:rPr>
        <w:tab/>
      </w:r>
      <w:r w:rsidRPr="0004430F">
        <w:rPr>
          <w:rFonts w:ascii="Century Gothic" w:hAnsi="Century Gothic" w:cs="Arial"/>
        </w:rPr>
        <w:tab/>
        <w:t xml:space="preserve">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C-213 del 13 de mayo de 2021, C-305 del 20 de mayo de 2021, 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 el radicado de respuesta RS20230227001739 del 27 de febrero de 2023, C- 084 del 28 de abril de 2023, C-044 del 8 de mayo de 2023, C-182 del 29 de junio de 2023 y C-319 del 2 de agosto de 2023, analizó el marco jurídico relacionado con la contratación por parte de indígenas, y las normas y jurisprudencia sobre la materia. Por su parte, </w:t>
      </w:r>
      <w:r w:rsidRPr="0004430F">
        <w:rPr>
          <w:rFonts w:ascii="Century Gothic" w:eastAsia="Arial" w:hAnsi="Century Gothic" w:cs="Arial"/>
          <w:lang w:val="es-ES"/>
        </w:rPr>
        <w:t>sobre el régimen de seguridad</w:t>
      </w:r>
      <w:r w:rsidRPr="0004430F">
        <w:rPr>
          <w:rFonts w:ascii="Century Gothic" w:eastAsia="Arial" w:hAnsi="Century Gothic" w:cs="Arial"/>
          <w:spacing w:val="-12"/>
          <w:lang w:val="es-ES"/>
        </w:rPr>
        <w:t xml:space="preserve"> </w:t>
      </w:r>
      <w:r w:rsidRPr="0004430F">
        <w:rPr>
          <w:rFonts w:ascii="Century Gothic" w:eastAsia="Arial" w:hAnsi="Century Gothic" w:cs="Arial"/>
          <w:lang w:val="es-ES"/>
        </w:rPr>
        <w:t>social,</w:t>
      </w:r>
      <w:r w:rsidRPr="0004430F">
        <w:rPr>
          <w:rFonts w:ascii="Century Gothic" w:eastAsia="Arial" w:hAnsi="Century Gothic" w:cs="Arial"/>
          <w:spacing w:val="-11"/>
          <w:lang w:val="es-ES"/>
        </w:rPr>
        <w:t xml:space="preserve"> esta Agencia </w:t>
      </w:r>
      <w:r w:rsidRPr="0004430F">
        <w:rPr>
          <w:rFonts w:ascii="Century Gothic" w:eastAsia="Arial" w:hAnsi="Century Gothic" w:cs="Arial"/>
          <w:lang w:val="es-ES"/>
        </w:rPr>
        <w:t>se pronunció en los conceptos con</w:t>
      </w:r>
      <w:r w:rsidRPr="0004430F">
        <w:rPr>
          <w:rFonts w:ascii="Century Gothic" w:eastAsia="Arial" w:hAnsi="Century Gothic" w:cs="Arial"/>
          <w:spacing w:val="-11"/>
          <w:lang w:val="es-ES"/>
        </w:rPr>
        <w:t xml:space="preserve"> </w:t>
      </w:r>
      <w:r w:rsidRPr="0004430F">
        <w:rPr>
          <w:rFonts w:ascii="Century Gothic" w:eastAsia="Arial" w:hAnsi="Century Gothic" w:cs="Arial"/>
          <w:lang w:val="es-ES"/>
        </w:rPr>
        <w:t>radicados</w:t>
      </w:r>
      <w:r w:rsidRPr="0004430F">
        <w:rPr>
          <w:rFonts w:ascii="Century Gothic" w:eastAsia="Arial" w:hAnsi="Century Gothic" w:cs="Arial"/>
          <w:spacing w:val="-11"/>
          <w:lang w:val="es-ES"/>
        </w:rPr>
        <w:t xml:space="preserve"> </w:t>
      </w:r>
      <w:r w:rsidRPr="0004430F">
        <w:rPr>
          <w:rFonts w:ascii="Century Gothic" w:eastAsia="Arial" w:hAnsi="Century Gothic" w:cs="Arial"/>
          <w:lang w:val="es-ES"/>
        </w:rPr>
        <w:t>42019130000005594</w:t>
      </w:r>
      <w:r w:rsidRPr="0004430F">
        <w:rPr>
          <w:rFonts w:ascii="Century Gothic" w:eastAsia="Arial" w:hAnsi="Century Gothic" w:cs="Arial"/>
          <w:spacing w:val="-10"/>
          <w:lang w:val="es-ES"/>
        </w:rPr>
        <w:t xml:space="preserve"> </w:t>
      </w:r>
      <w:r w:rsidRPr="0004430F">
        <w:rPr>
          <w:rFonts w:ascii="Century Gothic" w:eastAsia="Arial" w:hAnsi="Century Gothic" w:cs="Arial"/>
          <w:lang w:val="es-ES"/>
        </w:rPr>
        <w:t>de</w:t>
      </w:r>
      <w:r w:rsidRPr="0004430F">
        <w:rPr>
          <w:rFonts w:ascii="Century Gothic" w:eastAsia="Arial" w:hAnsi="Century Gothic" w:cs="Arial"/>
          <w:spacing w:val="-11"/>
          <w:lang w:val="es-ES"/>
        </w:rPr>
        <w:t xml:space="preserve"> </w:t>
      </w:r>
      <w:r w:rsidRPr="0004430F">
        <w:rPr>
          <w:rFonts w:ascii="Century Gothic" w:eastAsia="Arial" w:hAnsi="Century Gothic" w:cs="Arial"/>
          <w:lang w:val="es-ES"/>
        </w:rPr>
        <w:t>30</w:t>
      </w:r>
      <w:r w:rsidRPr="0004430F">
        <w:rPr>
          <w:rFonts w:ascii="Century Gothic" w:eastAsia="Arial" w:hAnsi="Century Gothic" w:cs="Arial"/>
          <w:spacing w:val="-11"/>
          <w:lang w:val="es-ES"/>
        </w:rPr>
        <w:t xml:space="preserve"> </w:t>
      </w:r>
      <w:r w:rsidRPr="0004430F">
        <w:rPr>
          <w:rFonts w:ascii="Century Gothic" w:eastAsia="Arial" w:hAnsi="Century Gothic" w:cs="Arial"/>
          <w:lang w:val="es-ES"/>
        </w:rPr>
        <w:t>de</w:t>
      </w:r>
      <w:r w:rsidRPr="0004430F">
        <w:rPr>
          <w:rFonts w:ascii="Century Gothic" w:eastAsia="Arial" w:hAnsi="Century Gothic" w:cs="Arial"/>
          <w:spacing w:val="-11"/>
          <w:lang w:val="es-ES"/>
        </w:rPr>
        <w:t xml:space="preserve"> </w:t>
      </w:r>
      <w:r w:rsidRPr="0004430F">
        <w:rPr>
          <w:rFonts w:ascii="Century Gothic" w:eastAsia="Arial" w:hAnsi="Century Gothic" w:cs="Arial"/>
          <w:lang w:val="es-ES"/>
        </w:rPr>
        <w:t>septiembre de 2019, 4201913000006384 de 21 de octubre de 2019, 4201912000007492 de 17</w:t>
      </w:r>
      <w:r w:rsidRPr="0004430F">
        <w:rPr>
          <w:rFonts w:ascii="Century Gothic" w:eastAsia="Arial" w:hAnsi="Century Gothic" w:cs="Arial"/>
          <w:spacing w:val="10"/>
          <w:lang w:val="es-ES"/>
        </w:rPr>
        <w:t xml:space="preserve"> </w:t>
      </w:r>
      <w:r w:rsidRPr="0004430F">
        <w:rPr>
          <w:rFonts w:ascii="Century Gothic" w:eastAsia="Arial" w:hAnsi="Century Gothic" w:cs="Arial"/>
          <w:lang w:val="es-ES"/>
        </w:rPr>
        <w:t xml:space="preserve">de diciembre de 2019, C-040 de 5 de febrero de 2020, C-042 de 5 de febrero de 2020, C-134 del 7 de abril 2021, C-038 del 1 de marzo de 2022, C-712 de 13 de octubre de 2022 y C-054 del 19 de abril de </w:t>
      </w:r>
      <w:r w:rsidRPr="0004430F">
        <w:rPr>
          <w:rFonts w:ascii="Century Gothic" w:eastAsia="Arial" w:hAnsi="Century Gothic" w:cs="Arial"/>
          <w:lang w:val="es-ES"/>
        </w:rPr>
        <w:lastRenderedPageBreak/>
        <w:t>2023</w:t>
      </w:r>
      <w:r w:rsidRPr="0004430F">
        <w:rPr>
          <w:rFonts w:ascii="Century Gothic" w:eastAsia="Times New Roman" w:hAnsi="Century Gothic" w:cs="Arial"/>
          <w:color w:val="000000"/>
          <w:vertAlign w:val="superscript"/>
          <w:lang w:val="es-ES" w:eastAsia="es-ES_tradnl"/>
        </w:rPr>
        <w:footnoteReference w:id="2"/>
      </w:r>
      <w:r w:rsidRPr="0004430F">
        <w:rPr>
          <w:rFonts w:ascii="Century Gothic" w:eastAsia="Times New Roman" w:hAnsi="Century Gothic" w:cs="Arial"/>
          <w:color w:val="000000"/>
          <w:lang w:val="es-ES" w:eastAsia="es-ES_tradnl"/>
        </w:rPr>
        <w:t>. Las tesis expuestas en dichas oportunidades se reiteran a continuación y se complementan en lo pertinente</w:t>
      </w:r>
      <w:r w:rsidRPr="0004430F">
        <w:rPr>
          <w:rFonts w:ascii="Century Gothic" w:eastAsia="Calibri" w:hAnsi="Century Gothic" w:cs="Arial"/>
          <w:color w:val="000000"/>
          <w:lang w:val="es-ES_tradnl" w:eastAsia="es-ES_tradnl"/>
        </w:rPr>
        <w:t xml:space="preserve">. </w:t>
      </w:r>
      <w:bookmarkStart w:id="2" w:name="_Hlk54011258"/>
    </w:p>
    <w:bookmarkEnd w:id="2"/>
    <w:p w14:paraId="14C84165" w14:textId="77777777" w:rsidR="00D021D3" w:rsidRPr="0004430F" w:rsidRDefault="00D021D3" w:rsidP="00D021D3">
      <w:pPr>
        <w:spacing w:after="0" w:line="240" w:lineRule="auto"/>
        <w:jc w:val="both"/>
        <w:rPr>
          <w:rFonts w:ascii="Century Gothic" w:eastAsia="Calibri" w:hAnsi="Century Gothic" w:cs="Arial"/>
          <w:b/>
          <w:lang w:val="es-ES_tradnl"/>
        </w:rPr>
      </w:pPr>
    </w:p>
    <w:p w14:paraId="618180F4" w14:textId="77777777" w:rsidR="00D021D3" w:rsidRPr="0004430F" w:rsidRDefault="00D021D3" w:rsidP="00D021D3">
      <w:pPr>
        <w:spacing w:after="0" w:line="276" w:lineRule="auto"/>
        <w:jc w:val="both"/>
        <w:rPr>
          <w:rFonts w:ascii="Century Gothic" w:eastAsia="Calibri" w:hAnsi="Century Gothic" w:cs="Arial"/>
          <w:b/>
          <w:lang w:val="es-ES"/>
        </w:rPr>
      </w:pPr>
      <w:r w:rsidRPr="0004430F">
        <w:rPr>
          <w:rFonts w:ascii="Century Gothic" w:eastAsia="Calibri" w:hAnsi="Century Gothic" w:cs="Arial"/>
          <w:b/>
          <w:lang w:val="es-ES_tradnl"/>
        </w:rPr>
        <w:t xml:space="preserve">2.1. </w:t>
      </w:r>
      <w:r w:rsidRPr="0004430F">
        <w:rPr>
          <w:rFonts w:ascii="Century Gothic" w:eastAsia="Calibri" w:hAnsi="Century Gothic" w:cs="Arial"/>
          <w:b/>
          <w:lang w:eastAsia="es-ES_tradnl"/>
        </w:rPr>
        <w:t>Los regímenes de contratación de los cabildos indígenas, autoridades tradicionales indígenas, asociaciones de cabildos indígenas y/o autoridades tradicionales indígenas, consejos indígenas y organizaciones indígenas</w:t>
      </w:r>
    </w:p>
    <w:p w14:paraId="403CF27F" w14:textId="77777777" w:rsidR="00D021D3" w:rsidRPr="0004430F" w:rsidRDefault="00D021D3" w:rsidP="00D021D3">
      <w:pPr>
        <w:spacing w:after="0" w:line="276" w:lineRule="auto"/>
        <w:jc w:val="both"/>
        <w:rPr>
          <w:rFonts w:ascii="Century Gothic" w:eastAsia="Calibri" w:hAnsi="Century Gothic" w:cs="Arial"/>
          <w:lang w:val="es-ES"/>
        </w:rPr>
      </w:pPr>
    </w:p>
    <w:p w14:paraId="7D2FD484" w14:textId="77777777" w:rsidR="00D021D3" w:rsidRDefault="00D021D3" w:rsidP="00926164">
      <w:pPr>
        <w:spacing w:after="0" w:line="276" w:lineRule="auto"/>
        <w:jc w:val="both"/>
        <w:rPr>
          <w:rFonts w:ascii="Century Gothic" w:eastAsia="Calibri" w:hAnsi="Century Gothic" w:cs="Arial"/>
          <w:lang w:val="es-ES"/>
        </w:rPr>
      </w:pPr>
      <w:r w:rsidRPr="0004430F">
        <w:rPr>
          <w:rFonts w:ascii="Century Gothic" w:eastAsia="Calibri" w:hAnsi="Century Gothic" w:cs="Arial"/>
          <w:lang w:val="es-ES"/>
        </w:rPr>
        <w:t>Con la suscripción del Convenio No. 169 de 1989 “Sobre pueblos indígenas y tribales en países independientes” de la Organización Internacional del Trabajo – OIT, incorporado al bloque de constitucionalidad</w:t>
      </w:r>
      <w:r w:rsidRPr="0004430F">
        <w:rPr>
          <w:rFonts w:ascii="Century Gothic" w:hAnsi="Century Gothic"/>
          <w:vertAlign w:val="superscript"/>
        </w:rPr>
        <w:footnoteReference w:id="3"/>
      </w:r>
      <w:r w:rsidRPr="0004430F">
        <w:rPr>
          <w:rFonts w:ascii="Century Gothic" w:eastAsia="Calibri" w:hAnsi="Century Gothic"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w:t>
      </w:r>
    </w:p>
    <w:p w14:paraId="008F59FA" w14:textId="77777777" w:rsidR="008F3EE6" w:rsidRPr="0004430F" w:rsidRDefault="008F3EE6" w:rsidP="00926164">
      <w:pPr>
        <w:spacing w:after="0" w:line="276" w:lineRule="auto"/>
        <w:jc w:val="both"/>
        <w:rPr>
          <w:rFonts w:ascii="Century Gothic" w:eastAsia="Calibri" w:hAnsi="Century Gothic" w:cs="Arial"/>
          <w:lang w:val="es-ES"/>
        </w:rPr>
      </w:pPr>
    </w:p>
    <w:p w14:paraId="2EF8B8C0"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2.</w:t>
      </w:r>
    </w:p>
    <w:p w14:paraId="16D46DB4"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p>
    <w:p w14:paraId="6E813E99"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6F4B53DD"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2. Esta acción deberá incluir medidas:</w:t>
      </w:r>
    </w:p>
    <w:p w14:paraId="37DD2EDC"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 Que aseguren a los miembros de dichos pueblos gozar, en pie de igualdad, de los derechos y oportunidades que la legislación nacional otorga a los demás miembros de la población;</w:t>
      </w:r>
    </w:p>
    <w:p w14:paraId="3B5B8537"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b). Que promuevan la plena efectividad de los derechos sociales, económicos y culturales de esos pueblos, respetando su identidad social y cultural, sus costumbres y tradiciones, y sus instituciones;</w:t>
      </w:r>
    </w:p>
    <w:p w14:paraId="411259E9"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c). Que ayuden a los miembros de los pueblos interesados a eliminar las diferencias socioeconómicas que puedan existir entre los miembros </w:t>
      </w:r>
      <w:r w:rsidRPr="0004430F">
        <w:rPr>
          <w:rFonts w:ascii="Century Gothic" w:eastAsia="Calibri" w:hAnsi="Century Gothic" w:cs="Arial"/>
          <w:sz w:val="21"/>
          <w:szCs w:val="21"/>
          <w:lang w:val="es-ES"/>
        </w:rPr>
        <w:lastRenderedPageBreak/>
        <w:t>indígenas y los demás miembros de la comunidad nacional, de una manera compatible con sus aspiraciones y formas de vida.”</w:t>
      </w:r>
    </w:p>
    <w:p w14:paraId="78100BB2"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1A9D9384" w14:textId="77777777" w:rsidR="00D021D3" w:rsidRPr="0004430F" w:rsidRDefault="00D021D3" w:rsidP="00D021D3">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14:paraId="2A30FF81" w14:textId="77777777" w:rsidR="00D021D3" w:rsidRPr="0004430F" w:rsidRDefault="00D021D3" w:rsidP="00D021D3">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34C6B575"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62C08D1"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w:t>
      </w:r>
    </w:p>
    <w:p w14:paraId="225B266D"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Los resguardos son de propiedad colectiva y no enajenable. </w:t>
      </w:r>
    </w:p>
    <w:p w14:paraId="1DDDD7AD"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La ley definirá las relaciones y la coordinación de estas entidades con aquellas de las cuales formen parte. </w:t>
      </w:r>
    </w:p>
    <w:p w14:paraId="62A7C48A"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592BC0EA"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7E94C897" w14:textId="77777777" w:rsidR="00D021D3" w:rsidRPr="0004430F" w:rsidRDefault="00D021D3" w:rsidP="00D021D3">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Esta norma dispuso que la conformación de las </w:t>
      </w:r>
      <w:r w:rsidRPr="0004430F">
        <w:rPr>
          <w:rFonts w:ascii="Century Gothic" w:eastAsia="Calibri" w:hAnsi="Century Gothic" w:cs="Arial"/>
          <w:i/>
          <w:iCs/>
          <w:lang w:val="es-ES"/>
        </w:rPr>
        <w:t>entidades territoriales indígenas</w:t>
      </w:r>
      <w:r w:rsidRPr="0004430F">
        <w:rPr>
          <w:rFonts w:ascii="Century Gothic" w:eastAsia="Calibri" w:hAnsi="Century Gothic" w:cs="Arial"/>
          <w:lang w:val="es-ES"/>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p>
    <w:p w14:paraId="2CE0452A" w14:textId="77777777" w:rsidR="00D021D3" w:rsidRPr="0004430F" w:rsidRDefault="00D021D3" w:rsidP="00D021D3">
      <w:pPr>
        <w:spacing w:after="0"/>
        <w:jc w:val="both"/>
        <w:rPr>
          <w:rFonts w:ascii="Century Gothic" w:eastAsia="Calibri" w:hAnsi="Century Gothic" w:cs="Arial"/>
          <w:lang w:val="es-ES"/>
        </w:rPr>
      </w:pPr>
    </w:p>
    <w:p w14:paraId="32CA1CEC"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0EC45A36" w14:textId="77777777" w:rsidR="00D021D3" w:rsidRPr="0004430F" w:rsidRDefault="00D021D3" w:rsidP="00D021D3">
      <w:pPr>
        <w:spacing w:after="0"/>
        <w:jc w:val="both"/>
        <w:rPr>
          <w:rFonts w:ascii="Century Gothic" w:eastAsia="Calibri" w:hAnsi="Century Gothic" w:cs="Arial"/>
          <w:lang w:val="es-ES"/>
        </w:rPr>
      </w:pPr>
    </w:p>
    <w:p w14:paraId="1DC5803E" w14:textId="77777777" w:rsidR="00D021D3" w:rsidRPr="0004430F" w:rsidRDefault="00D021D3" w:rsidP="00D021D3">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lastRenderedPageBreak/>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bookmarkStart w:id="3" w:name="_Hlk34989337"/>
      <w:r w:rsidRPr="0004430F">
        <w:rPr>
          <w:rFonts w:ascii="Century Gothic" w:eastAsia="Calibri" w:hAnsi="Century Gothic"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3"/>
      <w:r w:rsidRPr="0004430F">
        <w:rPr>
          <w:rFonts w:ascii="Century Gothic" w:eastAsia="Calibri" w:hAnsi="Century Gothic" w:cs="Arial"/>
          <w:lang w:val="es-ES"/>
        </w:rPr>
        <w:t xml:space="preserve">Al respecto, la disposición prescribe: </w:t>
      </w:r>
    </w:p>
    <w:p w14:paraId="3CD58DF6" w14:textId="77777777" w:rsidR="00D021D3" w:rsidRPr="0004430F" w:rsidRDefault="00D021D3" w:rsidP="00D021D3">
      <w:pPr>
        <w:spacing w:after="0"/>
        <w:jc w:val="both"/>
        <w:rPr>
          <w:rFonts w:ascii="Century Gothic" w:eastAsia="Calibri" w:hAnsi="Century Gothic" w:cs="Arial"/>
          <w:lang w:val="es-ES"/>
        </w:rPr>
      </w:pPr>
    </w:p>
    <w:p w14:paraId="67B3DC20"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7A109595"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2° Naturaleza Jurídica. Las asociaciones de que trata el presente </w:t>
      </w:r>
      <w:proofErr w:type="gramStart"/>
      <w:r w:rsidRPr="0004430F">
        <w:rPr>
          <w:rFonts w:ascii="Century Gothic" w:eastAsia="Calibri" w:hAnsi="Century Gothic" w:cs="Arial"/>
          <w:sz w:val="21"/>
          <w:szCs w:val="21"/>
          <w:lang w:val="es-ES"/>
        </w:rPr>
        <w:t>Decreto,</w:t>
      </w:r>
      <w:proofErr w:type="gramEnd"/>
      <w:r w:rsidRPr="0004430F">
        <w:rPr>
          <w:rFonts w:ascii="Century Gothic" w:eastAsia="Calibri" w:hAnsi="Century Gothic" w:cs="Arial"/>
          <w:sz w:val="21"/>
          <w:szCs w:val="21"/>
          <w:lang w:val="es-ES"/>
        </w:rPr>
        <w:t xml:space="preserve"> son entidades de Derecho Público de carácter especial, con personería jurídica, patrimonio propio y autonomía administrativa.”</w:t>
      </w:r>
    </w:p>
    <w:p w14:paraId="69476CCA" w14:textId="77777777" w:rsidR="00D021D3" w:rsidRPr="0004430F" w:rsidRDefault="00D021D3" w:rsidP="00D021D3">
      <w:pPr>
        <w:spacing w:after="0"/>
        <w:jc w:val="both"/>
        <w:rPr>
          <w:rFonts w:ascii="Century Gothic" w:eastAsia="Calibri" w:hAnsi="Century Gothic" w:cs="Arial"/>
          <w:lang w:val="es-ES"/>
        </w:rPr>
      </w:pPr>
    </w:p>
    <w:p w14:paraId="74255E5E" w14:textId="77777777" w:rsidR="00D021D3" w:rsidRPr="0004430F" w:rsidRDefault="00D021D3" w:rsidP="00D021D3">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58A225F2" w14:textId="77777777" w:rsidR="00D021D3" w:rsidRPr="0004430F" w:rsidRDefault="00D021D3" w:rsidP="00D021D3">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5F96A109"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30ACB43B" w14:textId="77777777" w:rsidR="00D021D3" w:rsidRPr="0004430F" w:rsidRDefault="00D021D3" w:rsidP="00D021D3">
      <w:pPr>
        <w:spacing w:after="120" w:line="240" w:lineRule="auto"/>
        <w:ind w:left="709" w:right="709"/>
        <w:jc w:val="both"/>
        <w:rPr>
          <w:rFonts w:ascii="Century Gothic" w:eastAsia="Calibri" w:hAnsi="Century Gothic" w:cs="Arial"/>
          <w:i/>
          <w:iCs/>
          <w:sz w:val="21"/>
          <w:szCs w:val="21"/>
          <w:lang w:val="es-ES"/>
        </w:rPr>
      </w:pPr>
      <w:r w:rsidRPr="0004430F">
        <w:rPr>
          <w:rFonts w:ascii="Century Gothic" w:eastAsia="Calibri" w:hAnsi="Century Gothic" w:cs="Arial"/>
          <w:sz w:val="21"/>
          <w:szCs w:val="21"/>
          <w:lang w:val="es-ES"/>
        </w:rPr>
        <w:t xml:space="preserve">“Artículo 2.14.7.5.1. Naturaleza Jurídica. Los resguardos indígenas son propiedad colectiva de las comunidades indígenas en favor de las cuales se constituyen y </w:t>
      </w:r>
      <w:r w:rsidRPr="0004430F">
        <w:rPr>
          <w:rFonts w:ascii="Century Gothic" w:eastAsia="Calibri" w:hAnsi="Century Gothic" w:cs="Arial"/>
          <w:i/>
          <w:iCs/>
          <w:sz w:val="21"/>
          <w:szCs w:val="21"/>
          <w:lang w:val="es-ES"/>
        </w:rPr>
        <w:t xml:space="preserve">conforme a los artículos 63 y 329 de la Constitución Política, tienen el carácter de inalienables, imprescriptibles e inembargables. </w:t>
      </w:r>
    </w:p>
    <w:p w14:paraId="6C8B0CBA"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Los resguardos son una institución legal y sociopolítica de carácter especial, conformada por una o más comunidades indígenas, que con </w:t>
      </w:r>
      <w:r w:rsidRPr="0004430F">
        <w:rPr>
          <w:rFonts w:ascii="Century Gothic" w:eastAsia="Calibri" w:hAnsi="Century Gothic" w:cs="Arial"/>
          <w:sz w:val="21"/>
          <w:szCs w:val="21"/>
          <w:lang w:val="es-ES"/>
        </w:rPr>
        <w:lastRenderedPageBreak/>
        <w:t xml:space="preserve">un título de propiedad colectiva que goza de las garantías de la propiedad privada, poseen su territorio y se rigen para el manejo de este y su vida interna por una organización autónoma amparada por el fuero indígena y su sistema normativo propio. </w:t>
      </w:r>
    </w:p>
    <w:p w14:paraId="2D743ED9"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5F9BC74C"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6399ED9"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w:t>
      </w:r>
    </w:p>
    <w:p w14:paraId="1B8FEEC9"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2.14.7.1.2. Definiciones. Para los fines exclusivos del presente título, </w:t>
      </w:r>
      <w:proofErr w:type="spellStart"/>
      <w:r w:rsidRPr="0004430F">
        <w:rPr>
          <w:rFonts w:ascii="Century Gothic" w:eastAsia="Calibri" w:hAnsi="Century Gothic" w:cs="Arial"/>
          <w:sz w:val="21"/>
          <w:szCs w:val="21"/>
          <w:lang w:val="es-ES"/>
        </w:rPr>
        <w:t>establécense</w:t>
      </w:r>
      <w:proofErr w:type="spellEnd"/>
      <w:r w:rsidRPr="0004430F">
        <w:rPr>
          <w:rFonts w:ascii="Century Gothic" w:eastAsia="Calibri" w:hAnsi="Century Gothic" w:cs="Arial"/>
          <w:sz w:val="21"/>
          <w:szCs w:val="21"/>
          <w:lang w:val="es-ES"/>
        </w:rPr>
        <w:t xml:space="preserve"> las siguientes definiciones:</w:t>
      </w:r>
    </w:p>
    <w:p w14:paraId="7BC8438C" w14:textId="77777777" w:rsidR="00D021D3" w:rsidRPr="0004430F" w:rsidRDefault="00D021D3" w:rsidP="00D021D3">
      <w:pPr>
        <w:spacing w:after="120" w:line="240" w:lineRule="auto"/>
        <w:ind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b/>
        <w:t>[...]</w:t>
      </w:r>
    </w:p>
    <w:p w14:paraId="4CD44A58"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734EECF"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Para los efectos de este título, las autoridades tradicionales de las comunidades indígenas tienen, frente al </w:t>
      </w:r>
      <w:proofErr w:type="spellStart"/>
      <w:r w:rsidRPr="0004430F">
        <w:rPr>
          <w:rFonts w:ascii="Century Gothic" w:eastAsia="Calibri" w:hAnsi="Century Gothic" w:cs="Arial"/>
          <w:sz w:val="21"/>
          <w:szCs w:val="21"/>
          <w:lang w:val="es-ES"/>
        </w:rPr>
        <w:t>Incoder</w:t>
      </w:r>
      <w:proofErr w:type="spellEnd"/>
      <w:r w:rsidRPr="0004430F">
        <w:rPr>
          <w:rFonts w:ascii="Century Gothic" w:eastAsia="Calibri" w:hAnsi="Century Gothic" w:cs="Arial"/>
          <w:sz w:val="21"/>
          <w:szCs w:val="21"/>
          <w:lang w:val="es-ES"/>
        </w:rPr>
        <w:t xml:space="preserve">, la misma representación y atribuciones que corresponde a los cabildos indígenas. </w:t>
      </w:r>
    </w:p>
    <w:p w14:paraId="14BA30B3"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5. Cabildo Indígena. </w:t>
      </w:r>
      <w:r w:rsidRPr="0004430F">
        <w:rPr>
          <w:rFonts w:ascii="Century Gothic" w:eastAsia="Calibri" w:hAnsi="Century Gothic" w:cs="Arial"/>
          <w:i/>
          <w:iCs/>
          <w:sz w:val="21"/>
          <w:szCs w:val="21"/>
          <w:lang w:val="es-ES"/>
        </w:rPr>
        <w:t>Es una entidad pública especial</w:t>
      </w:r>
      <w:r w:rsidRPr="0004430F">
        <w:rPr>
          <w:rFonts w:ascii="Century Gothic" w:eastAsia="Calibri" w:hAnsi="Century Gothic" w:cs="Arial"/>
          <w:sz w:val="21"/>
          <w:szCs w:val="21"/>
          <w:lang w:val="es-ES"/>
        </w:rPr>
        <w:t xml:space="preserve">,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w:t>
      </w:r>
      <w:proofErr w:type="gramStart"/>
      <w:r w:rsidRPr="0004430F">
        <w:rPr>
          <w:rFonts w:ascii="Century Gothic" w:eastAsia="Calibri" w:hAnsi="Century Gothic" w:cs="Arial"/>
          <w:sz w:val="21"/>
          <w:szCs w:val="21"/>
          <w:lang w:val="es-ES"/>
        </w:rPr>
        <w:t>[...]“ (</w:t>
      </w:r>
      <w:proofErr w:type="gramEnd"/>
      <w:r w:rsidRPr="0004430F">
        <w:rPr>
          <w:rFonts w:ascii="Century Gothic" w:eastAsia="Calibri" w:hAnsi="Century Gothic" w:cs="Arial"/>
          <w:sz w:val="21"/>
          <w:szCs w:val="21"/>
          <w:lang w:val="es-ES"/>
        </w:rPr>
        <w:t>Cursiva fuera de texto).</w:t>
      </w:r>
    </w:p>
    <w:p w14:paraId="45EB1107" w14:textId="77777777" w:rsidR="00D021D3" w:rsidRPr="0004430F" w:rsidRDefault="00D021D3" w:rsidP="00D021D3">
      <w:pPr>
        <w:spacing w:after="0"/>
        <w:jc w:val="both"/>
        <w:rPr>
          <w:rFonts w:ascii="Century Gothic" w:eastAsia="Calibri" w:hAnsi="Century Gothic" w:cs="Arial"/>
          <w:lang w:val="es-ES"/>
        </w:rPr>
      </w:pPr>
    </w:p>
    <w:p w14:paraId="65F916C0" w14:textId="77777777" w:rsidR="00D021D3" w:rsidRPr="0004430F" w:rsidRDefault="00D021D3" w:rsidP="00D021D3">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FEAC275"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0C32BBE7"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2o. De la definición de entidades, servidores y servicios públicos. Para los solos efectos de esta ley: </w:t>
      </w:r>
    </w:p>
    <w:p w14:paraId="115F45A4"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1o. Se denominan entidades estatales: </w:t>
      </w:r>
    </w:p>
    <w:p w14:paraId="0EFF6B50"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lastRenderedPageBreak/>
        <w:t xml:space="preserve">a) La Nación, las regiones, los departamentos, las provincias, el distrito capital y los distritos especiales, las áreas metropolitanas, las asociaciones de municipios, </w:t>
      </w:r>
      <w:r w:rsidRPr="0004430F">
        <w:rPr>
          <w:rFonts w:ascii="Century Gothic" w:eastAsia="Calibri" w:hAnsi="Century Gothic" w:cs="Arial"/>
          <w:i/>
          <w:sz w:val="21"/>
          <w:szCs w:val="21"/>
          <w:lang w:val="es-ES"/>
        </w:rPr>
        <w:t>los territorios indígenas</w:t>
      </w:r>
      <w:r w:rsidRPr="0004430F">
        <w:rPr>
          <w:rFonts w:ascii="Century Gothic" w:eastAsia="Calibri" w:hAnsi="Century Gothic" w:cs="Arial"/>
          <w:sz w:val="21"/>
          <w:szCs w:val="21"/>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77C4A185"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D7553C4" w14:textId="77777777" w:rsidR="00D021D3" w:rsidRPr="0004430F" w:rsidRDefault="00D021D3" w:rsidP="00D021D3">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291B6823" w14:textId="77777777" w:rsidR="00D021D3" w:rsidRPr="0004430F" w:rsidRDefault="00D021D3" w:rsidP="00D021D3">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Posteriormente se expidió la Ley 1454 de 2011, “</w:t>
      </w:r>
      <w:r w:rsidRPr="0004430F">
        <w:rPr>
          <w:rFonts w:ascii="Century Gothic" w:eastAsia="Calibri" w:hAnsi="Century Gothic" w:cs="Arial"/>
          <w:i/>
          <w:iCs/>
          <w:lang w:val="es-ES"/>
        </w:rPr>
        <w:t>Por la cual se dictan normas orgánicas sobre ordenamiento territorial y se modifican otras disposiciones”,</w:t>
      </w:r>
      <w:r w:rsidRPr="0004430F">
        <w:rPr>
          <w:rFonts w:ascii="Century Gothic" w:eastAsia="Calibri" w:hAnsi="Century Gothic" w:cs="Arial"/>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1B76C9B4"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3724C0B4"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180189B7"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E0D0088" w14:textId="77777777" w:rsidR="00D021D3" w:rsidRPr="0004430F" w:rsidRDefault="00D021D3" w:rsidP="00D021D3">
      <w:pPr>
        <w:spacing w:after="0"/>
        <w:jc w:val="both"/>
        <w:rPr>
          <w:rFonts w:ascii="Century Gothic" w:eastAsia="Calibri" w:hAnsi="Century Gothic" w:cs="Arial"/>
          <w:lang w:val="es-ES"/>
        </w:rPr>
      </w:pPr>
    </w:p>
    <w:p w14:paraId="23DA2D16" w14:textId="77777777" w:rsidR="00D021D3" w:rsidRPr="0004430F" w:rsidRDefault="00D021D3" w:rsidP="00D021D3">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lastRenderedPageBreak/>
        <w:t>Por su parte, la Corte Constitucional, en Sentencia C-489 de 2012, se pronunció sobre la constitucionalidad de la Ley 1454 de 2011, determinando que existe una omisión legislativa respecto de los territorios indígenas</w:t>
      </w:r>
      <w:r w:rsidRPr="0004430F">
        <w:rPr>
          <w:rFonts w:ascii="Century Gothic" w:hAnsi="Century Gothic"/>
          <w:vertAlign w:val="superscript"/>
        </w:rPr>
        <w:footnoteReference w:id="4"/>
      </w:r>
      <w:r w:rsidRPr="0004430F">
        <w:rPr>
          <w:rFonts w:ascii="Century Gothic" w:eastAsia="Calibri" w:hAnsi="Century Gothic" w:cs="Arial"/>
          <w:lang w:val="es-ES"/>
        </w:rPr>
        <w:t>:</w:t>
      </w:r>
    </w:p>
    <w:p w14:paraId="04006A01"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1EEF6701"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614F6582"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04430F">
        <w:rPr>
          <w:rFonts w:ascii="Century Gothic" w:eastAsia="Calibri" w:hAnsi="Century Gothic" w:cs="Arial"/>
          <w:sz w:val="21"/>
          <w:szCs w:val="21"/>
          <w:lang w:val="es-ES"/>
        </w:rPr>
        <w:t>tema</w:t>
      </w:r>
      <w:proofErr w:type="gramEnd"/>
      <w:r w:rsidRPr="0004430F">
        <w:rPr>
          <w:rFonts w:ascii="Century Gothic" w:eastAsia="Calibri" w:hAnsi="Century Gothic" w:cs="Arial"/>
          <w:sz w:val="21"/>
          <w:szCs w:val="21"/>
          <w:lang w:val="es-ES"/>
        </w:rPr>
        <w:t xml:space="preserve"> sino que sirven de remisión a posteriores desarrollos. [...]”</w:t>
      </w:r>
    </w:p>
    <w:p w14:paraId="3DF60564"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p>
    <w:p w14:paraId="2239AD04" w14:textId="77777777" w:rsidR="00D021D3" w:rsidRPr="0004430F" w:rsidRDefault="00D021D3" w:rsidP="00D021D3">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19AF2435"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6F0CD01B"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“Artículo 6°. El artículo 3° de la Ley 136 de 1994 quedará así: </w:t>
      </w:r>
    </w:p>
    <w:p w14:paraId="59988741"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3°. Funciones de los municipios. Corresponde al municipio:</w:t>
      </w:r>
    </w:p>
    <w:p w14:paraId="4B89B4BC"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w:t>
      </w:r>
    </w:p>
    <w:p w14:paraId="7CE76E41"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557DAB46"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w:t>
      </w:r>
      <w:r w:rsidRPr="0004430F">
        <w:rPr>
          <w:rFonts w:ascii="Century Gothic" w:eastAsia="Calibri" w:hAnsi="Century Gothic" w:cs="Arial"/>
          <w:sz w:val="21"/>
          <w:szCs w:val="21"/>
          <w:lang w:val="es-ES"/>
        </w:rPr>
        <w:lastRenderedPageBreak/>
        <w:t xml:space="preserve">deberá construirse de manera concertada con esas organizaciones y teniendo en cuenta sus necesidades y los lineamientos de los respectivos planes de desarrollo. </w:t>
      </w:r>
    </w:p>
    <w:p w14:paraId="5120796A"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65DEC14E" w14:textId="77777777" w:rsidR="00D021D3" w:rsidRPr="00A12E13" w:rsidRDefault="00D021D3" w:rsidP="00D021D3">
      <w:pPr>
        <w:spacing w:after="0"/>
        <w:ind w:left="708" w:right="709"/>
        <w:jc w:val="both"/>
        <w:rPr>
          <w:rFonts w:ascii="Century Gothic" w:eastAsia="Calibri" w:hAnsi="Century Gothic" w:cs="Arial"/>
          <w:lang w:val="es-ES"/>
        </w:rPr>
      </w:pPr>
    </w:p>
    <w:p w14:paraId="2DAAB975" w14:textId="77777777" w:rsidR="00D021D3" w:rsidRPr="0004430F" w:rsidRDefault="00D021D3" w:rsidP="00D021D3">
      <w:pPr>
        <w:spacing w:after="0" w:line="276" w:lineRule="auto"/>
        <w:ind w:firstLine="709"/>
        <w:jc w:val="both"/>
        <w:rPr>
          <w:rFonts w:ascii="Century Gothic" w:eastAsia="Calibri" w:hAnsi="Century Gothic" w:cs="Arial"/>
          <w:lang w:val="es-ES"/>
        </w:rPr>
      </w:pPr>
      <w:r w:rsidRPr="0004430F">
        <w:rPr>
          <w:rFonts w:ascii="Century Gothic" w:eastAsia="Calibri" w:hAnsi="Century Gothic" w:cs="Arial"/>
          <w:lang w:val="es-ES"/>
        </w:rPr>
        <w:t xml:space="preserve">Así, los municipios y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estos, la Ley, en el parágrafo 3 del artículo 6, prescribe lo siguiente: </w:t>
      </w:r>
    </w:p>
    <w:p w14:paraId="09999B78" w14:textId="77777777" w:rsidR="00D021D3" w:rsidRPr="0004430F" w:rsidRDefault="00D021D3" w:rsidP="00D021D3">
      <w:pPr>
        <w:spacing w:after="0"/>
        <w:jc w:val="both"/>
        <w:rPr>
          <w:rFonts w:ascii="Century Gothic" w:eastAsia="Calibri" w:hAnsi="Century Gothic" w:cs="Arial"/>
          <w:lang w:val="es-ES"/>
        </w:rPr>
      </w:pPr>
    </w:p>
    <w:p w14:paraId="64EDF587"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17F118F5" w14:textId="77777777" w:rsidR="00D021D3" w:rsidRPr="0004430F" w:rsidRDefault="00D021D3" w:rsidP="00D021D3">
      <w:pPr>
        <w:spacing w:after="120" w:line="240" w:lineRule="auto"/>
        <w:ind w:left="709" w:right="709"/>
        <w:jc w:val="both"/>
        <w:rPr>
          <w:rFonts w:ascii="Century Gothic" w:eastAsia="Calibri" w:hAnsi="Century Gothic" w:cs="Arial"/>
          <w:sz w:val="18"/>
          <w:szCs w:val="18"/>
          <w:lang w:val="es-ES"/>
        </w:rPr>
      </w:pPr>
      <w:r w:rsidRPr="0004430F">
        <w:rPr>
          <w:rFonts w:ascii="Century Gothic" w:eastAsia="Calibri" w:hAnsi="Century Gothic" w:cs="Arial"/>
          <w:sz w:val="21"/>
          <w:szCs w:val="21"/>
          <w:lang w:val="es-ES"/>
        </w:rPr>
        <w:t>[…]</w:t>
      </w:r>
    </w:p>
    <w:p w14:paraId="17572B79"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062B8AD7" w14:textId="77777777" w:rsidR="00D021D3" w:rsidRPr="0004430F" w:rsidRDefault="00D021D3" w:rsidP="00D021D3">
      <w:pPr>
        <w:spacing w:after="0"/>
        <w:jc w:val="both"/>
        <w:rPr>
          <w:rFonts w:ascii="Century Gothic" w:eastAsia="Calibri" w:hAnsi="Century Gothic" w:cs="Arial"/>
          <w:lang w:val="es-ES"/>
        </w:rPr>
      </w:pPr>
    </w:p>
    <w:p w14:paraId="4F7A1154" w14:textId="77777777" w:rsidR="00D021D3" w:rsidRPr="0004430F" w:rsidRDefault="00D021D3" w:rsidP="00D021D3">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Los convenios solidarios que pueden suscribir los municipios y distritos con los cabildos, las autoridades y organizaciones indígenas, no tienen límites en cuanto a su cuantía.</w:t>
      </w:r>
    </w:p>
    <w:p w14:paraId="18F79856" w14:textId="77777777" w:rsidR="00D021D3" w:rsidRPr="0004430F" w:rsidRDefault="00D021D3" w:rsidP="00D021D3">
      <w:pPr>
        <w:spacing w:after="120" w:line="276" w:lineRule="auto"/>
        <w:jc w:val="both"/>
        <w:rPr>
          <w:rFonts w:ascii="Century Gothic" w:eastAsia="Calibri" w:hAnsi="Century Gothic" w:cs="Arial"/>
          <w:lang w:val="es-ES"/>
        </w:rPr>
      </w:pPr>
      <w:r w:rsidRPr="0004430F">
        <w:rPr>
          <w:rFonts w:ascii="Century Gothic" w:eastAsia="Calibri" w:hAnsi="Century Gothic" w:cs="Arial"/>
          <w:lang w:val="es-ES"/>
        </w:rPr>
        <w:tab/>
        <w:t>Posteriormente, se expidió el Decreto 1953 de 2014, “</w:t>
      </w:r>
      <w:r w:rsidRPr="0004430F">
        <w:rPr>
          <w:rFonts w:ascii="Century Gothic" w:eastAsia="Calibri" w:hAnsi="Century Gothic" w:cs="Arial"/>
          <w:i/>
          <w:iCs/>
          <w:lang w:val="es-ES"/>
        </w:rPr>
        <w:t xml:space="preserve">Por el cual se crea un régimen especial con el fin de poner en funcionamiento los Territorios Indígenas respecto de la administración de los sistemas propios de los pueblos indígenas hasta que el Congreso expida la ley de </w:t>
      </w:r>
      <w:proofErr w:type="spellStart"/>
      <w:r w:rsidRPr="0004430F">
        <w:rPr>
          <w:rFonts w:ascii="Century Gothic" w:eastAsia="Calibri" w:hAnsi="Century Gothic" w:cs="Arial"/>
          <w:i/>
          <w:iCs/>
          <w:lang w:val="es-ES"/>
        </w:rPr>
        <w:t>que</w:t>
      </w:r>
      <w:proofErr w:type="spellEnd"/>
      <w:r w:rsidRPr="0004430F">
        <w:rPr>
          <w:rFonts w:ascii="Century Gothic" w:eastAsia="Calibri" w:hAnsi="Century Gothic" w:cs="Arial"/>
          <w:i/>
          <w:iCs/>
          <w:lang w:val="es-ES"/>
        </w:rPr>
        <w:t xml:space="preserve"> trata el artículo 329 de la Constitución Política”.</w:t>
      </w:r>
      <w:r w:rsidRPr="0004430F">
        <w:rPr>
          <w:rFonts w:ascii="Century Gothic" w:eastAsia="Calibri" w:hAnsi="Century Gothic" w:cs="Arial"/>
          <w:lang w:val="es-ES"/>
        </w:rPr>
        <w:t xml:space="preserve">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6D9BE665" w14:textId="77777777" w:rsidR="00D021D3" w:rsidRPr="0004430F" w:rsidRDefault="00D021D3" w:rsidP="00D021D3">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lastRenderedPageBreak/>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w:t>
      </w:r>
      <w:r w:rsidRPr="0004430F">
        <w:rPr>
          <w:rFonts w:ascii="Century Gothic" w:eastAsia="Calibri" w:hAnsi="Century Gothic" w:cs="Arial"/>
          <w:i/>
          <w:iCs/>
          <w:lang w:val="es-ES"/>
        </w:rPr>
        <w:t>personas jurídicas de derecho público especial</w:t>
      </w:r>
      <w:r w:rsidRPr="0004430F">
        <w:rPr>
          <w:rFonts w:ascii="Century Gothic" w:eastAsia="Calibri" w:hAnsi="Century Gothic" w:cs="Arial"/>
          <w:lang w:val="es-ES"/>
        </w:rPr>
        <w:t xml:space="preserve">. Adicionalmente, establece que para los fines y la ejecución de los recursos de que trata dicho decreto, </w:t>
      </w:r>
      <w:r w:rsidRPr="0004430F">
        <w:rPr>
          <w:rFonts w:ascii="Century Gothic" w:eastAsia="Calibri" w:hAnsi="Century Gothic" w:cs="Arial"/>
          <w:i/>
          <w:iCs/>
          <w:lang w:val="es-ES"/>
        </w:rPr>
        <w:t>los territorios y resguardos indígenas que hayan sido autorizados para administrar recursos del SGP serán considerados entidades estatales de acuerdo con lo indicado en el artículo 2 de la Ley 80 de 1993</w:t>
      </w:r>
      <w:r w:rsidRPr="0004430F">
        <w:rPr>
          <w:rFonts w:ascii="Century Gothic" w:eastAsia="Calibri" w:hAnsi="Century Gothic" w:cs="Arial"/>
          <w:lang w:val="es-ES"/>
        </w:rPr>
        <w:t xml:space="preserve">. </w:t>
      </w:r>
    </w:p>
    <w:p w14:paraId="10E291A7" w14:textId="77777777" w:rsidR="00D021D3" w:rsidRPr="0004430F" w:rsidRDefault="00D021D3" w:rsidP="00D021D3">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EFA68F1" w14:textId="77777777" w:rsidR="00D021D3" w:rsidRPr="0004430F" w:rsidRDefault="00D021D3" w:rsidP="00D021D3">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798C502"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4ACAC74D" w14:textId="77777777" w:rsidR="00D021D3" w:rsidRPr="0004430F" w:rsidRDefault="00D021D3" w:rsidP="00D021D3">
      <w:pPr>
        <w:spacing w:after="120" w:line="240" w:lineRule="auto"/>
        <w:ind w:left="709"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w:t>
      </w:r>
    </w:p>
    <w:p w14:paraId="604CAC30" w14:textId="77777777" w:rsidR="00D021D3" w:rsidRPr="0004430F" w:rsidRDefault="00D021D3" w:rsidP="00D021D3">
      <w:pPr>
        <w:spacing w:after="0" w:line="240" w:lineRule="auto"/>
        <w:ind w:left="708" w:right="709"/>
        <w:jc w:val="both"/>
        <w:rPr>
          <w:rFonts w:ascii="Century Gothic" w:eastAsia="Calibri" w:hAnsi="Century Gothic" w:cs="Arial"/>
          <w:sz w:val="21"/>
          <w:szCs w:val="21"/>
          <w:lang w:val="es-ES"/>
        </w:rPr>
      </w:pPr>
      <w:r w:rsidRPr="0004430F">
        <w:rPr>
          <w:rFonts w:ascii="Century Gothic" w:eastAsia="Calibri" w:hAnsi="Century Gothic"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787697C2" w14:textId="77777777" w:rsidR="00D021D3" w:rsidRPr="0004430F" w:rsidRDefault="00D021D3" w:rsidP="00D021D3">
      <w:pPr>
        <w:spacing w:after="0"/>
        <w:jc w:val="both"/>
        <w:rPr>
          <w:rFonts w:ascii="Century Gothic" w:eastAsia="Calibri" w:hAnsi="Century Gothic" w:cs="Arial"/>
          <w:lang w:val="es-ES"/>
        </w:rPr>
      </w:pPr>
    </w:p>
    <w:p w14:paraId="78A8E403" w14:textId="77777777" w:rsidR="00D021D3" w:rsidRPr="0004430F" w:rsidRDefault="00D021D3" w:rsidP="00D021D3">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 xml:space="preserve">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w:t>
      </w:r>
      <w:r w:rsidRPr="0004430F">
        <w:rPr>
          <w:rFonts w:ascii="Century Gothic" w:eastAsia="Calibri" w:hAnsi="Century Gothic" w:cs="Arial"/>
          <w:lang w:val="es-ES"/>
        </w:rPr>
        <w:lastRenderedPageBreak/>
        <w:t>indígenas, cabildos y/o autoridades tradicionales constituidos bajo lo dispuesto en el Decreto 1088 de 1993, no con otras entidades del Estado</w:t>
      </w:r>
      <w:r w:rsidRPr="0004430F">
        <w:rPr>
          <w:rFonts w:ascii="Century Gothic" w:hAnsi="Century Gothic"/>
          <w:vertAlign w:val="superscript"/>
        </w:rPr>
        <w:footnoteReference w:id="5"/>
      </w:r>
      <w:r w:rsidRPr="0004430F">
        <w:rPr>
          <w:rFonts w:ascii="Century Gothic" w:eastAsia="Calibri" w:hAnsi="Century Gothic" w:cs="Arial"/>
          <w:lang w:val="es-ES"/>
        </w:rPr>
        <w:t xml:space="preserve">. </w:t>
      </w:r>
    </w:p>
    <w:p w14:paraId="02402EB8" w14:textId="77777777" w:rsidR="00D021D3" w:rsidRPr="0004430F" w:rsidRDefault="00D021D3" w:rsidP="00D021D3">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734D0469" w14:textId="77777777" w:rsidR="00D021D3" w:rsidRPr="0004430F" w:rsidRDefault="00D021D3" w:rsidP="00D021D3">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04430F">
        <w:rPr>
          <w:rFonts w:ascii="Century Gothic" w:eastAsia="Calibri" w:hAnsi="Century Gothic" w:cs="Arial"/>
          <w:szCs w:val="24"/>
          <w:lang w:val="es-ES" w:eastAsia="es-ES_tradnl"/>
        </w:rPr>
        <w:t>personería jurídica ni capacidad jurídica</w:t>
      </w:r>
      <w:proofErr w:type="gramEnd"/>
      <w:r w:rsidRPr="0004430F">
        <w:rPr>
          <w:rFonts w:ascii="Century Gothic" w:eastAsia="Calibri" w:hAnsi="Century Gothic" w:cs="Arial"/>
          <w:szCs w:val="24"/>
          <w:lang w:val="es-ES" w:eastAsia="es-ES_tradnl"/>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6CAF197E" w14:textId="77777777" w:rsidR="00D021D3" w:rsidRPr="0004430F" w:rsidRDefault="00D021D3" w:rsidP="00D021D3">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cambio, 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w:t>
      </w:r>
      <w:r w:rsidRPr="0004430F">
        <w:rPr>
          <w:rFonts w:ascii="Century Gothic" w:eastAsia="Calibri" w:hAnsi="Century Gothic" w:cs="Arial"/>
          <w:szCs w:val="24"/>
          <w:lang w:val="es-ES" w:eastAsia="es-ES_tradnl"/>
        </w:rPr>
        <w:lastRenderedPageBreak/>
        <w:t xml:space="preserve">ser, exclusivamente: i) cabildos indígenas, </w:t>
      </w:r>
      <w:proofErr w:type="spellStart"/>
      <w:r w:rsidRPr="0004430F">
        <w:rPr>
          <w:rFonts w:ascii="Century Gothic" w:eastAsia="Calibri" w:hAnsi="Century Gothic" w:cs="Arial"/>
          <w:szCs w:val="24"/>
          <w:lang w:val="es-ES" w:eastAsia="es-ES_tradnl"/>
        </w:rPr>
        <w:t>ii</w:t>
      </w:r>
      <w:proofErr w:type="spellEnd"/>
      <w:r w:rsidRPr="0004430F">
        <w:rPr>
          <w:rFonts w:ascii="Century Gothic" w:eastAsia="Calibri" w:hAnsi="Century Gothic" w:cs="Arial"/>
          <w:szCs w:val="24"/>
          <w:lang w:val="es-ES" w:eastAsia="es-ES_tradnl"/>
        </w:rPr>
        <w:t xml:space="preserve">) resguardos indígenas, </w:t>
      </w:r>
      <w:proofErr w:type="spellStart"/>
      <w:r w:rsidRPr="0004430F">
        <w:rPr>
          <w:rFonts w:ascii="Century Gothic" w:eastAsia="Calibri" w:hAnsi="Century Gothic" w:cs="Arial"/>
          <w:szCs w:val="24"/>
          <w:lang w:val="es-ES" w:eastAsia="es-ES_tradnl"/>
        </w:rPr>
        <w:t>iii</w:t>
      </w:r>
      <w:proofErr w:type="spellEnd"/>
      <w:r w:rsidRPr="0004430F">
        <w:rPr>
          <w:rFonts w:ascii="Century Gothic" w:eastAsia="Calibri" w:hAnsi="Century Gothic" w:cs="Arial"/>
          <w:szCs w:val="24"/>
          <w:lang w:val="es-ES" w:eastAsia="es-ES_tradnl"/>
        </w:rPr>
        <w:t xml:space="preserve">) asociaciones de cabildos indígenas, </w:t>
      </w:r>
      <w:proofErr w:type="spellStart"/>
      <w:r w:rsidRPr="0004430F">
        <w:rPr>
          <w:rFonts w:ascii="Century Gothic" w:eastAsia="Calibri" w:hAnsi="Century Gothic" w:cs="Arial"/>
          <w:szCs w:val="24"/>
          <w:lang w:val="es-ES" w:eastAsia="es-ES_tradnl"/>
        </w:rPr>
        <w:t>iv</w:t>
      </w:r>
      <w:proofErr w:type="spellEnd"/>
      <w:r w:rsidRPr="0004430F">
        <w:rPr>
          <w:rFonts w:ascii="Century Gothic" w:eastAsia="Calibri" w:hAnsi="Century Gothic" w:cs="Arial"/>
          <w:szCs w:val="24"/>
          <w:lang w:val="es-ES" w:eastAsia="es-ES_tradnl"/>
        </w:rPr>
        <w:t>) asociaciones de autoridades indígenas, y v) otras formas de autoridad indígena</w:t>
      </w:r>
      <w:r w:rsidRPr="0004430F">
        <w:rPr>
          <w:rFonts w:ascii="Century Gothic" w:hAnsi="Century Gothic"/>
          <w:vertAlign w:val="superscript"/>
        </w:rPr>
        <w:footnoteReference w:id="6"/>
      </w:r>
      <w:r w:rsidRPr="0004430F">
        <w:rPr>
          <w:rFonts w:ascii="Century Gothic" w:eastAsia="Calibri" w:hAnsi="Century Gothic" w:cs="Arial"/>
          <w:szCs w:val="24"/>
          <w:lang w:val="es-ES" w:eastAsia="es-ES_tradnl"/>
        </w:rPr>
        <w:t>.</w:t>
      </w:r>
    </w:p>
    <w:p w14:paraId="1471F687" w14:textId="77777777" w:rsidR="00D021D3" w:rsidRPr="0004430F" w:rsidRDefault="00D021D3" w:rsidP="00D021D3">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ese sentido, i) la norma le confirió a las “organizaciones indígenas” capacidad para contratar con el Estado y </w:t>
      </w:r>
      <w:proofErr w:type="spellStart"/>
      <w:r w:rsidRPr="0004430F">
        <w:rPr>
          <w:rFonts w:ascii="Century Gothic" w:eastAsia="Calibri" w:hAnsi="Century Gothic" w:cs="Arial"/>
          <w:szCs w:val="24"/>
          <w:lang w:val="es-ES" w:eastAsia="es-ES_tradnl"/>
        </w:rPr>
        <w:t>ii</w:t>
      </w:r>
      <w:proofErr w:type="spellEnd"/>
      <w:r w:rsidRPr="0004430F">
        <w:rPr>
          <w:rFonts w:ascii="Century Gothic" w:eastAsia="Calibri" w:hAnsi="Century Gothic" w:cs="Arial"/>
          <w:szCs w:val="24"/>
          <w:lang w:val="es-ES" w:eastAsia="es-ES_tradnl"/>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04430F">
        <w:rPr>
          <w:rFonts w:ascii="Century Gothic" w:eastAsia="Calibri" w:hAnsi="Century Gothic" w:cs="Arial"/>
          <w:i/>
          <w:iCs/>
          <w:szCs w:val="24"/>
          <w:lang w:val="es-ES" w:eastAsia="es-ES_tradnl"/>
        </w:rPr>
        <w:t>“organizaciones indígenas”</w:t>
      </w:r>
      <w:r w:rsidRPr="0004430F">
        <w:rPr>
          <w:rFonts w:ascii="Century Gothic" w:eastAsia="Calibri" w:hAnsi="Century Gothic" w:cs="Arial"/>
          <w:szCs w:val="24"/>
          <w:lang w:val="es-ES" w:eastAsia="es-ES_tradnl"/>
        </w:rPr>
        <w:t xml:space="preserve"> como entidades estatales, no regula su naturaleza o régimen legal, sino que establece la regulación indicada en materia contractual. </w:t>
      </w:r>
    </w:p>
    <w:p w14:paraId="730B6757" w14:textId="77777777" w:rsidR="00D021D3" w:rsidRPr="00FA6559" w:rsidRDefault="00D021D3" w:rsidP="00D021D3">
      <w:pPr>
        <w:spacing w:after="0" w:line="276" w:lineRule="auto"/>
        <w:ind w:firstLine="680"/>
        <w:jc w:val="both"/>
        <w:rPr>
          <w:rFonts w:ascii="Century Gothic" w:eastAsia="Times New Roman" w:hAnsi="Century Gothic" w:cs="Arial"/>
          <w:lang w:eastAsia="es-ES_tradnl"/>
        </w:rPr>
      </w:pPr>
      <w:r w:rsidRPr="0004430F">
        <w:rPr>
          <w:rFonts w:ascii="Century Gothic" w:eastAsia="Calibri" w:hAnsi="Century Gothic" w:cs="Arial"/>
          <w:lang w:val="es-ES"/>
        </w:rPr>
        <w:t xml:space="preserve">Posteriormente, la Ley 2160 de 2021, </w:t>
      </w:r>
      <w:r w:rsidRPr="0004430F">
        <w:rPr>
          <w:rFonts w:ascii="Century Gothic" w:eastAsia="Calibri" w:hAnsi="Century Gothic" w:cs="Arial"/>
          <w:i/>
          <w:iCs/>
          <w:lang w:val="es-ES"/>
        </w:rPr>
        <w:t>“Por medio del cual se modifica la Ley 80 de 1993 y la Ley 1150 de 2007</w:t>
      </w:r>
      <w:r w:rsidRPr="0004430F">
        <w:rPr>
          <w:rFonts w:ascii="Century Gothic" w:hAnsi="Century Gothic" w:cs="Arial"/>
          <w:i/>
          <w:iCs/>
        </w:rPr>
        <w:t>”</w:t>
      </w:r>
      <w:r w:rsidRPr="0004430F">
        <w:rPr>
          <w:rFonts w:ascii="Century Gothic" w:eastAsia="Calibri" w:hAnsi="Century Gothic" w:cs="Arial"/>
          <w:lang w:val="es-ES"/>
        </w:rPr>
        <w:t>, estableció nuevas regulaciones con respecto a la capacidad contractual y naturaleza jurídica de varios tipos de organización, entre ellas los cabildos indígenas y asociaciones de autoridades tradicionales indígenas</w:t>
      </w:r>
      <w:r w:rsidRPr="00FA6559">
        <w:rPr>
          <w:rFonts w:ascii="Century Gothic" w:eastAsia="Times New Roman" w:hAnsi="Century Gothic" w:cs="Arial"/>
          <w:sz w:val="21"/>
          <w:szCs w:val="21"/>
          <w:vertAlign w:val="superscript"/>
          <w:lang w:eastAsia="es-ES_tradnl"/>
        </w:rPr>
        <w:footnoteReference w:id="7"/>
      </w:r>
      <w:r w:rsidRPr="00FA6559">
        <w:rPr>
          <w:rFonts w:ascii="Century Gothic" w:eastAsia="Times New Roman" w:hAnsi="Century Gothic" w:cs="Arial"/>
          <w:sz w:val="21"/>
          <w:szCs w:val="21"/>
          <w:lang w:eastAsia="es-ES_tradnl"/>
        </w:rPr>
        <w:t xml:space="preserve">. </w:t>
      </w:r>
      <w:r w:rsidRPr="00FA6559">
        <w:rPr>
          <w:rFonts w:ascii="Century Gothic" w:eastAsia="Times New Roman" w:hAnsi="Century Gothic" w:cs="Arial"/>
          <w:lang w:eastAsia="es-ES_tradnl"/>
        </w:rPr>
        <w:t xml:space="preserve">Teniendo en cuenta esta filosofía y objetivos buscados en el proyecto </w:t>
      </w:r>
      <w:r w:rsidRPr="00FA6559">
        <w:rPr>
          <w:rFonts w:ascii="Century Gothic" w:eastAsia="Times New Roman" w:hAnsi="Century Gothic" w:cs="Arial"/>
          <w:lang w:eastAsia="es-ES_tradnl"/>
        </w:rPr>
        <w:lastRenderedPageBreak/>
        <w:t xml:space="preserve">de ley, esta modificó, entre otras cosas, el artículo 7 de la Ley 80 de 1993 mediante su artículo 3°, cuyo tenor literal dispuso: </w:t>
      </w:r>
    </w:p>
    <w:p w14:paraId="17886DB1" w14:textId="77777777" w:rsidR="00D021D3" w:rsidRPr="00FA6559" w:rsidRDefault="00D021D3" w:rsidP="00D021D3">
      <w:pPr>
        <w:spacing w:after="0"/>
        <w:ind w:firstLine="680"/>
        <w:jc w:val="both"/>
        <w:rPr>
          <w:rFonts w:ascii="Century Gothic" w:eastAsia="Times New Roman" w:hAnsi="Century Gothic" w:cs="Arial"/>
          <w:bCs/>
          <w:lang w:val="es-ES"/>
        </w:rPr>
      </w:pPr>
    </w:p>
    <w:p w14:paraId="67E4E728" w14:textId="77777777" w:rsidR="00D021D3" w:rsidRPr="00FA6559" w:rsidRDefault="00D021D3" w:rsidP="00D021D3">
      <w:pPr>
        <w:shd w:val="clear" w:color="auto" w:fill="FFFFFF"/>
        <w:spacing w:after="120" w:line="240" w:lineRule="auto"/>
        <w:ind w:left="709" w:right="709"/>
        <w:jc w:val="both"/>
        <w:rPr>
          <w:rFonts w:ascii="Century Gothic" w:eastAsia="Times New Roman" w:hAnsi="Century Gothic" w:cs="Arial"/>
          <w:sz w:val="21"/>
          <w:szCs w:val="21"/>
          <w:lang w:val="es-ES"/>
        </w:rPr>
      </w:pPr>
      <w:r w:rsidRPr="00FA6559">
        <w:rPr>
          <w:rFonts w:ascii="Century Gothic" w:eastAsia="Times New Roman" w:hAnsi="Century Gothic" w:cs="Arial"/>
          <w:bCs/>
          <w:sz w:val="21"/>
          <w:szCs w:val="21"/>
          <w:lang w:val="es-ES"/>
        </w:rPr>
        <w:t>ARTÍCULO 7°.</w:t>
      </w:r>
      <w:r w:rsidRPr="00FA6559">
        <w:rPr>
          <w:rFonts w:ascii="Century Gothic" w:eastAsia="Times New Roman" w:hAnsi="Century Gothic" w:cs="Arial"/>
          <w:sz w:val="21"/>
          <w:szCs w:val="21"/>
          <w:lang w:val="es-ES"/>
        </w:rPr>
        <w:t> </w:t>
      </w:r>
      <w:proofErr w:type="gramStart"/>
      <w:r w:rsidRPr="00FA6559">
        <w:rPr>
          <w:rFonts w:ascii="Century Gothic" w:eastAsia="Times New Roman" w:hAnsi="Century Gothic" w:cs="Arial"/>
          <w:sz w:val="21"/>
          <w:szCs w:val="21"/>
          <w:lang w:val="es-ES"/>
        </w:rPr>
        <w:t>ENTIDADES A CONTRATAR</w:t>
      </w:r>
      <w:proofErr w:type="gramEnd"/>
      <w:r w:rsidRPr="00FA6559">
        <w:rPr>
          <w:rFonts w:ascii="Century Gothic" w:eastAsia="Times New Roman" w:hAnsi="Century Gothic" w:cs="Arial"/>
          <w:sz w:val="21"/>
          <w:szCs w:val="21"/>
          <w:lang w:val="es-ES"/>
        </w:rPr>
        <w:t>. Para los efectos de esta ley se entiende por:</w:t>
      </w:r>
    </w:p>
    <w:p w14:paraId="5384CACA" w14:textId="77777777" w:rsidR="00D021D3" w:rsidRPr="00FA6559" w:rsidRDefault="00D021D3" w:rsidP="00D021D3">
      <w:pPr>
        <w:shd w:val="clear" w:color="auto" w:fill="FFFFFF"/>
        <w:spacing w:before="100" w:beforeAutospacing="1" w:after="0" w:line="240" w:lineRule="auto"/>
        <w:ind w:left="709" w:right="709"/>
        <w:jc w:val="both"/>
        <w:rPr>
          <w:rFonts w:ascii="Century Gothic" w:eastAsia="Times New Roman" w:hAnsi="Century Gothic" w:cs="Arial"/>
          <w:sz w:val="21"/>
          <w:szCs w:val="21"/>
          <w:lang w:val="es-ES"/>
        </w:rPr>
      </w:pPr>
      <w:r w:rsidRPr="00FA6559">
        <w:rPr>
          <w:rFonts w:ascii="Century Gothic" w:eastAsia="Times New Roman" w:hAnsi="Century Gothic" w:cs="Arial"/>
          <w:sz w:val="21"/>
          <w:szCs w:val="21"/>
          <w:lang w:val="es-ES"/>
        </w:rPr>
        <w:t xml:space="preserve">“1. Cabildo Indígena: </w:t>
      </w:r>
      <w:r w:rsidRPr="00FA6559">
        <w:rPr>
          <w:rFonts w:ascii="Century Gothic" w:eastAsia="Times New Roman" w:hAnsi="Century Gothic" w:cs="Arial"/>
          <w:i/>
          <w:iCs/>
          <w:sz w:val="21"/>
          <w:szCs w:val="21"/>
          <w:lang w:val="es-ES"/>
        </w:rPr>
        <w:t>Es una entidad pública especial</w:t>
      </w:r>
      <w:r w:rsidRPr="00FA6559">
        <w:rPr>
          <w:rFonts w:ascii="Century Gothic" w:eastAsia="Times New Roman" w:hAnsi="Century Gothic" w:cs="Arial"/>
          <w:sz w:val="21"/>
          <w:szCs w:val="21"/>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28647862" w14:textId="77777777" w:rsidR="00D021D3" w:rsidRPr="00FA6559" w:rsidRDefault="00D021D3" w:rsidP="00D021D3">
      <w:pPr>
        <w:shd w:val="clear" w:color="auto" w:fill="FFFFFF"/>
        <w:spacing w:after="100" w:afterAutospacing="1" w:line="240" w:lineRule="auto"/>
        <w:ind w:left="709" w:right="709"/>
        <w:jc w:val="both"/>
        <w:rPr>
          <w:rFonts w:ascii="Century Gothic" w:eastAsia="Times New Roman" w:hAnsi="Century Gothic" w:cs="Arial"/>
          <w:sz w:val="21"/>
          <w:szCs w:val="21"/>
          <w:lang w:val="es-ES"/>
        </w:rPr>
      </w:pPr>
      <w:r w:rsidRPr="00FA6559">
        <w:rPr>
          <w:rFonts w:ascii="Century Gothic" w:eastAsia="Times New Roman" w:hAnsi="Century Gothic" w:cs="Arial"/>
          <w:sz w:val="21"/>
          <w:szCs w:val="21"/>
          <w:lang w:val="es-ES"/>
        </w:rPr>
        <w:t>[…]</w:t>
      </w:r>
    </w:p>
    <w:p w14:paraId="316B08A4" w14:textId="77777777" w:rsidR="00D021D3" w:rsidRPr="00FA6559" w:rsidRDefault="00D021D3" w:rsidP="00D021D3">
      <w:pPr>
        <w:shd w:val="clear" w:color="auto" w:fill="FFFFFF"/>
        <w:spacing w:before="100" w:beforeAutospacing="1" w:after="100" w:afterAutospacing="1" w:line="240" w:lineRule="auto"/>
        <w:ind w:left="709" w:right="709"/>
        <w:jc w:val="both"/>
        <w:rPr>
          <w:rFonts w:ascii="Century Gothic" w:eastAsia="Times New Roman" w:hAnsi="Century Gothic" w:cs="Arial"/>
          <w:sz w:val="21"/>
          <w:szCs w:val="21"/>
          <w:lang w:val="es-ES"/>
        </w:rPr>
      </w:pPr>
      <w:r w:rsidRPr="00FA6559">
        <w:rPr>
          <w:rFonts w:ascii="Century Gothic" w:eastAsia="Times New Roman" w:hAnsi="Century Gothic" w:cs="Arial"/>
          <w:sz w:val="21"/>
          <w:szCs w:val="21"/>
          <w:lang w:val="es-ES"/>
        </w:rPr>
        <w:t xml:space="preserve">8. Asociaciones de autoridades tradicionales indígenas. </w:t>
      </w:r>
      <w:r w:rsidRPr="00FA6559">
        <w:rPr>
          <w:rFonts w:ascii="Century Gothic" w:eastAsia="Times New Roman" w:hAnsi="Century Gothic" w:cs="Arial"/>
          <w:i/>
          <w:iCs/>
          <w:sz w:val="21"/>
          <w:szCs w:val="21"/>
          <w:lang w:val="es-ES"/>
        </w:rPr>
        <w:t>Entidad de derecho público</w:t>
      </w:r>
      <w:r w:rsidRPr="00FA6559">
        <w:rPr>
          <w:rFonts w:ascii="Century Gothic" w:eastAsia="Times New Roman" w:hAnsi="Century Gothic" w:cs="Arial"/>
          <w:sz w:val="21"/>
          <w:szCs w:val="21"/>
          <w:lang w:val="es-ES"/>
        </w:rPr>
        <w:t>, encargada de fomentar y coordinar con las autoridades locales, regionales y nacionales, la ejecución de proyectos en salud, educación y vivienda. Esta entidad estará conformada por diez (10) organizaciones regionales indígenas.” (Énfasis fuera de texto).</w:t>
      </w:r>
    </w:p>
    <w:p w14:paraId="72374887" w14:textId="77777777" w:rsidR="00D021D3" w:rsidRPr="00FA6559" w:rsidRDefault="00D021D3" w:rsidP="00D021D3">
      <w:pPr>
        <w:jc w:val="both"/>
        <w:rPr>
          <w:rFonts w:ascii="Century Gothic" w:eastAsia="Times New Roman" w:hAnsi="Century Gothic" w:cs="Arial"/>
          <w:lang w:val="es-ES"/>
        </w:rPr>
      </w:pPr>
      <w:r w:rsidRPr="00FA6559">
        <w:rPr>
          <w:rFonts w:ascii="Century Gothic" w:eastAsia="Times New Roman" w:hAnsi="Century Gothic" w:cs="Arial"/>
          <w:lang w:val="es-ES"/>
        </w:rPr>
        <w:tab/>
        <w:t xml:space="preserve">Finalmente, el anterior artículo fue modificado por el artículo 354 la Ley 2294 de 2023, </w:t>
      </w:r>
      <w:r w:rsidRPr="00FA6559">
        <w:rPr>
          <w:rFonts w:ascii="Century Gothic" w:hAnsi="Century Gothic" w:cs="Arial"/>
        </w:rPr>
        <w:t>P</w:t>
      </w:r>
      <w:r w:rsidRPr="00FA6559">
        <w:rPr>
          <w:rFonts w:ascii="Century Gothic" w:hAnsi="Century Gothic" w:cs="Arial"/>
          <w:i/>
          <w:iCs/>
        </w:rPr>
        <w:t xml:space="preserve">or el cual se expide el Plan Nacional de Desarrollo 2022-2026 "Colombia Potencia Mundial de la Vida”, </w:t>
      </w:r>
      <w:r w:rsidRPr="00FA6559">
        <w:rPr>
          <w:rFonts w:ascii="Century Gothic" w:hAnsi="Century Gothic" w:cs="Arial"/>
        </w:rPr>
        <w:t>estableciendo una nueva definición para “</w:t>
      </w:r>
      <w:r w:rsidRPr="00FA6559">
        <w:rPr>
          <w:rFonts w:ascii="Century Gothic" w:eastAsia="Times New Roman" w:hAnsi="Century Gothic" w:cs="Arial"/>
          <w:lang w:val="es-ES"/>
        </w:rPr>
        <w:t xml:space="preserve">Asociaciones de autoridades tradicionales indígenas”, denominándola ahora “Asociaciones de cabildos indígenas y/o autoridades tradicionales indígenas” y adicionó como entidad para contratar al “Consejo Indígena”, bajo los siguientes términos: </w:t>
      </w:r>
    </w:p>
    <w:p w14:paraId="4DE651C9" w14:textId="77777777" w:rsidR="00D021D3" w:rsidRPr="00FA6559" w:rsidRDefault="00D021D3" w:rsidP="00D021D3">
      <w:pPr>
        <w:spacing w:before="100" w:beforeAutospacing="1"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b/>
          <w:bCs/>
          <w:sz w:val="21"/>
          <w:szCs w:val="21"/>
          <w:lang w:eastAsia="es-CO"/>
        </w:rPr>
        <w:t>“ARTÍCULO 354.</w:t>
      </w:r>
      <w:r w:rsidRPr="00FA6559">
        <w:rPr>
          <w:rFonts w:ascii="Century Gothic" w:eastAsia="Times New Roman" w:hAnsi="Century Gothic" w:cs="Arial"/>
          <w:sz w:val="21"/>
          <w:szCs w:val="21"/>
          <w:lang w:eastAsia="es-CO"/>
        </w:rPr>
        <w:t xml:space="preserve"> Modifíquese el numeral 8 y adiciónese el numeral 9 al artículo 7° de la Ley 80 de 1993, así: </w:t>
      </w:r>
    </w:p>
    <w:p w14:paraId="17DC77D8" w14:textId="77777777" w:rsidR="00D021D3" w:rsidRPr="00FA6559" w:rsidRDefault="00D021D3" w:rsidP="00D021D3">
      <w:pPr>
        <w:spacing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b/>
          <w:bCs/>
          <w:i/>
          <w:iCs/>
          <w:sz w:val="21"/>
          <w:szCs w:val="21"/>
          <w:lang w:eastAsia="es-CO"/>
        </w:rPr>
        <w:t>Artículo 7°. Entidades a contratar.</w:t>
      </w:r>
      <w:r w:rsidRPr="00FA6559">
        <w:rPr>
          <w:rFonts w:ascii="Century Gothic" w:eastAsia="Times New Roman" w:hAnsi="Century Gothic" w:cs="Arial"/>
          <w:i/>
          <w:iCs/>
          <w:sz w:val="21"/>
          <w:szCs w:val="21"/>
          <w:lang w:eastAsia="es-CO"/>
        </w:rPr>
        <w:t xml:space="preserve"> Para los efectos de esta ley se entiende por:</w:t>
      </w:r>
    </w:p>
    <w:p w14:paraId="7FEE5B8D" w14:textId="77777777" w:rsidR="00D021D3" w:rsidRPr="00FA6559" w:rsidRDefault="00D021D3" w:rsidP="00D021D3">
      <w:pPr>
        <w:spacing w:after="0" w:line="240" w:lineRule="auto"/>
        <w:ind w:left="709" w:right="709"/>
        <w:jc w:val="both"/>
        <w:rPr>
          <w:rFonts w:ascii="Century Gothic" w:eastAsia="Times New Roman" w:hAnsi="Century Gothic" w:cs="Arial"/>
          <w:i/>
          <w:iCs/>
          <w:sz w:val="21"/>
          <w:szCs w:val="21"/>
          <w:lang w:eastAsia="es-CO"/>
        </w:rPr>
      </w:pPr>
      <w:r w:rsidRPr="00FA6559">
        <w:rPr>
          <w:rFonts w:ascii="Century Gothic" w:eastAsia="Times New Roman" w:hAnsi="Century Gothic" w:cs="Arial"/>
          <w:i/>
          <w:iCs/>
          <w:sz w:val="21"/>
          <w:szCs w:val="21"/>
          <w:lang w:eastAsia="es-CO"/>
        </w:rPr>
        <w:t>[…]</w:t>
      </w:r>
    </w:p>
    <w:p w14:paraId="763B385D" w14:textId="77777777" w:rsidR="00D021D3" w:rsidRPr="00FA6559" w:rsidRDefault="00D021D3" w:rsidP="00D021D3">
      <w:pPr>
        <w:spacing w:after="0" w:line="240" w:lineRule="auto"/>
        <w:ind w:left="709" w:right="709"/>
        <w:jc w:val="both"/>
        <w:rPr>
          <w:rFonts w:ascii="Century Gothic" w:eastAsia="Times New Roman" w:hAnsi="Century Gothic" w:cs="Times New Roman"/>
          <w:sz w:val="21"/>
          <w:szCs w:val="21"/>
          <w:lang w:eastAsia="es-CO"/>
        </w:rPr>
      </w:pPr>
    </w:p>
    <w:p w14:paraId="58EE49A2" w14:textId="77777777" w:rsidR="00D021D3" w:rsidRPr="00FA6559" w:rsidRDefault="00D021D3" w:rsidP="00D021D3">
      <w:pPr>
        <w:spacing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i/>
          <w:iCs/>
          <w:sz w:val="21"/>
          <w:szCs w:val="21"/>
          <w:lang w:eastAsia="es-CO"/>
        </w:rPr>
        <w:lastRenderedPageBreak/>
        <w:t>8. Asociaciones de cabildos indígenas y/o autoridades tradicionales indígenas. Entidad de derecho público, encargada de fomentar y coordinar con las autoridades locales, regionales y nacionales,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conforme a los lineamientos que al respecto reglamente el Ministerio del Interior y las demás entidades técnicas con competencias relacionadas para su conformación, dentro de los seis (6) meses siguientes a la expedición de la presente ley.</w:t>
      </w:r>
    </w:p>
    <w:p w14:paraId="488BC3D0" w14:textId="77777777" w:rsidR="00D021D3" w:rsidRPr="00FA6559" w:rsidRDefault="00D021D3" w:rsidP="00D021D3">
      <w:pPr>
        <w:spacing w:before="100" w:beforeAutospacing="1"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i/>
          <w:iCs/>
          <w:sz w:val="21"/>
          <w:szCs w:val="21"/>
          <w:lang w:eastAsia="es-CO"/>
        </w:rPr>
        <w:t>9. Consejo Indígena. Forma de gobierno indígena, conformados y reglamentados a través de sus usos y costumbres, de conformidad con lo dispuesto en el artículo 330 de la Constitución Política. […]”</w:t>
      </w:r>
    </w:p>
    <w:p w14:paraId="34E3D4FC" w14:textId="77777777" w:rsidR="00D021D3" w:rsidRPr="00FA6559" w:rsidRDefault="00D021D3" w:rsidP="00D021D3">
      <w:pPr>
        <w:spacing w:before="100" w:beforeAutospacing="1" w:after="0" w:line="276" w:lineRule="auto"/>
        <w:ind w:firstLine="708"/>
        <w:jc w:val="both"/>
        <w:rPr>
          <w:rFonts w:ascii="Century Gothic" w:eastAsia="Times New Roman" w:hAnsi="Century Gothic" w:cs="Times New Roman"/>
          <w:sz w:val="21"/>
          <w:szCs w:val="21"/>
          <w:lang w:eastAsia="es-CO"/>
        </w:rPr>
      </w:pPr>
      <w:r w:rsidRPr="00FA6559">
        <w:rPr>
          <w:rFonts w:ascii="Century Gothic" w:eastAsia="Times New Roman" w:hAnsi="Century Gothic" w:cs="Arial"/>
          <w:lang w:val="es-ES"/>
        </w:rPr>
        <w:t>Por su parte, el artículo 353 de la Ley 2294 de 2023, modificó las causales de contratación directa previstas en la Ley 1150 de 2007, en su literal l) del numeral 4 del artículo 2, en virtud de las cuales las entidades estatales suscriben contratos y convenios con Cabildos indígenas, y demás autoridades tradicionales y organizaciones indígenas, de la siguiente forma:</w:t>
      </w:r>
    </w:p>
    <w:p w14:paraId="236E99E5" w14:textId="77777777" w:rsidR="00D021D3" w:rsidRPr="00FA6559" w:rsidRDefault="00D021D3" w:rsidP="00D021D3">
      <w:pPr>
        <w:spacing w:before="100" w:beforeAutospacing="1"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b/>
          <w:bCs/>
          <w:sz w:val="21"/>
          <w:szCs w:val="21"/>
          <w:lang w:eastAsia="es-CO"/>
        </w:rPr>
        <w:t>“ARTÍCULO 353.</w:t>
      </w:r>
      <w:r w:rsidRPr="00FA6559">
        <w:rPr>
          <w:rFonts w:ascii="Century Gothic" w:eastAsia="Times New Roman" w:hAnsi="Century Gothic" w:cs="Arial"/>
          <w:sz w:val="21"/>
          <w:szCs w:val="21"/>
          <w:lang w:eastAsia="es-CO"/>
        </w:rPr>
        <w:t xml:space="preserve"> </w:t>
      </w:r>
      <w:r w:rsidRPr="00FA6559">
        <w:rPr>
          <w:rFonts w:ascii="Century Gothic" w:eastAsia="Times New Roman" w:hAnsi="Century Gothic" w:cs="Arial"/>
          <w:i/>
          <w:iCs/>
          <w:sz w:val="21"/>
          <w:szCs w:val="21"/>
          <w:lang w:eastAsia="es-CO"/>
        </w:rPr>
        <w:t>[…]</w:t>
      </w:r>
    </w:p>
    <w:p w14:paraId="6512B191" w14:textId="77777777" w:rsidR="00D021D3" w:rsidRPr="00FA6559" w:rsidRDefault="00D021D3" w:rsidP="00D021D3">
      <w:pPr>
        <w:spacing w:before="100" w:beforeAutospacing="1" w:after="0" w:line="240" w:lineRule="auto"/>
        <w:ind w:left="709" w:right="709"/>
        <w:jc w:val="both"/>
        <w:rPr>
          <w:rFonts w:ascii="Century Gothic" w:eastAsia="Times New Roman" w:hAnsi="Century Gothic" w:cs="Times New Roman"/>
          <w:sz w:val="21"/>
          <w:szCs w:val="21"/>
          <w:lang w:eastAsia="es-CO"/>
        </w:rPr>
      </w:pPr>
      <w:r w:rsidRPr="00FA6559">
        <w:rPr>
          <w:rFonts w:ascii="Century Gothic" w:eastAsia="Times New Roman" w:hAnsi="Century Gothic" w:cs="Arial"/>
          <w:i/>
          <w:iCs/>
          <w:sz w:val="21"/>
          <w:szCs w:val="21"/>
          <w:lang w:eastAsia="es-CO"/>
        </w:rPr>
        <w:t>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p>
    <w:p w14:paraId="1932FD8A" w14:textId="77777777" w:rsidR="00D021D3" w:rsidRPr="00FA6559" w:rsidRDefault="00D021D3" w:rsidP="00D021D3">
      <w:pPr>
        <w:shd w:val="clear" w:color="auto" w:fill="FFFFFF"/>
        <w:spacing w:after="0"/>
        <w:jc w:val="both"/>
        <w:rPr>
          <w:rFonts w:ascii="Century Gothic" w:eastAsia="Times New Roman" w:hAnsi="Century Gothic" w:cs="Arial"/>
        </w:rPr>
      </w:pPr>
    </w:p>
    <w:p w14:paraId="54356642" w14:textId="77777777" w:rsidR="00D021D3" w:rsidRPr="00FA6559" w:rsidRDefault="00D021D3" w:rsidP="00D021D3">
      <w:pPr>
        <w:shd w:val="clear" w:color="auto" w:fill="FFFFFF"/>
        <w:spacing w:after="0" w:line="276" w:lineRule="auto"/>
        <w:ind w:firstLine="708"/>
        <w:jc w:val="both"/>
        <w:rPr>
          <w:rFonts w:ascii="Century Gothic" w:eastAsia="Calibri" w:hAnsi="Century Gothic" w:cs="Arial"/>
          <w:lang w:val="es-MX"/>
        </w:rPr>
      </w:pPr>
      <w:r w:rsidRPr="00FA6559">
        <w:rPr>
          <w:rFonts w:ascii="Century Gothic" w:eastAsia="Arial" w:hAnsi="Century Gothic" w:cs="Arial"/>
          <w:lang w:val="es-ES"/>
        </w:rPr>
        <w:t xml:space="preserve">De acuerdo con lo expuesto, de los regímenes de contratación expuestos, puede concluirse  que: i) los cabildos indígenas en virtud de lo consagrado en el Decreto 2164 de 1995 y en la Ley 2160 de 2021 que modificó el artículo 7 de la Ley 80 de 1993, deben entenderse como entidades públicas especiales; </w:t>
      </w:r>
      <w:proofErr w:type="spellStart"/>
      <w:r w:rsidRPr="00FA6559">
        <w:rPr>
          <w:rFonts w:ascii="Century Gothic" w:eastAsia="Arial" w:hAnsi="Century Gothic" w:cs="Arial"/>
          <w:lang w:val="es-ES"/>
        </w:rPr>
        <w:t>ii</w:t>
      </w:r>
      <w:proofErr w:type="spellEnd"/>
      <w:r w:rsidRPr="00FA6559">
        <w:rPr>
          <w:rFonts w:ascii="Century Gothic" w:eastAsia="Arial" w:hAnsi="Century Gothic" w:cs="Arial"/>
          <w:lang w:val="es-ES"/>
        </w:rPr>
        <w:t xml:space="preserve">) las </w:t>
      </w:r>
      <w:r w:rsidRPr="00FA6559">
        <w:rPr>
          <w:rFonts w:ascii="Century Gothic" w:eastAsia="Arial" w:hAnsi="Century Gothic" w:cs="Arial"/>
          <w:lang w:val="es-ES"/>
        </w:rPr>
        <w:lastRenderedPageBreak/>
        <w:t xml:space="preserve">autoridades tradicionales indígenas son consideradas entidades de derecho público de conformidad con lo dispuesto en el Decreto 1088 de 1993 y la Ley 2294 de 2023; </w:t>
      </w:r>
      <w:proofErr w:type="spellStart"/>
      <w:r w:rsidRPr="00FA6559">
        <w:rPr>
          <w:rFonts w:ascii="Century Gothic" w:eastAsia="Arial" w:hAnsi="Century Gothic" w:cs="Arial"/>
          <w:lang w:val="es-ES"/>
        </w:rPr>
        <w:t>iii</w:t>
      </w:r>
      <w:proofErr w:type="spellEnd"/>
      <w:r w:rsidRPr="00FA6559">
        <w:rPr>
          <w:rFonts w:ascii="Century Gothic" w:eastAsia="Arial" w:hAnsi="Century Gothic" w:cs="Arial"/>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FA6559">
        <w:rPr>
          <w:rFonts w:ascii="Century Gothic" w:eastAsia="Arial" w:hAnsi="Century Gothic" w:cs="Arial"/>
          <w:lang w:val="es-ES"/>
        </w:rPr>
        <w:t>iv</w:t>
      </w:r>
      <w:proofErr w:type="spellEnd"/>
      <w:r w:rsidRPr="00FA6559">
        <w:rPr>
          <w:rFonts w:ascii="Century Gothic" w:eastAsia="Arial" w:hAnsi="Century Gothic" w:cs="Arial"/>
          <w:lang w:val="es-ES"/>
        </w:rPr>
        <w:t xml:space="preserve">)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w:t>
      </w:r>
      <w:r w:rsidRPr="00FA6559">
        <w:rPr>
          <w:rFonts w:ascii="Century Gothic" w:eastAsia="Calibri" w:hAnsi="Century Gothic" w:cs="Arial"/>
          <w:lang w:val="es-MX"/>
        </w:rPr>
        <w:t>resguardos que se asocien para administrar y ejecutar los recursos del SGP, en virtud de lo contemplado en el Decreto 1953 de 2014.</w:t>
      </w:r>
    </w:p>
    <w:p w14:paraId="1FA0C4A0" w14:textId="77777777" w:rsidR="00D021D3" w:rsidRPr="00FA6559" w:rsidRDefault="00D021D3" w:rsidP="00D021D3">
      <w:pPr>
        <w:shd w:val="clear" w:color="auto" w:fill="FFFFFF"/>
        <w:spacing w:after="0"/>
        <w:ind w:firstLine="708"/>
        <w:jc w:val="both"/>
        <w:rPr>
          <w:rFonts w:ascii="Century Gothic" w:eastAsia="Calibri" w:hAnsi="Century Gothic" w:cs="Arial"/>
          <w:lang w:val="es-MX"/>
        </w:rPr>
      </w:pPr>
    </w:p>
    <w:p w14:paraId="75A3EF03" w14:textId="193BCE74" w:rsidR="00D021D3" w:rsidRPr="00FA6559" w:rsidRDefault="00D021D3" w:rsidP="00D021D3">
      <w:pPr>
        <w:widowControl w:val="0"/>
        <w:tabs>
          <w:tab w:val="left" w:pos="1180"/>
          <w:tab w:val="left" w:pos="1181"/>
        </w:tabs>
        <w:autoSpaceDE w:val="0"/>
        <w:autoSpaceDN w:val="0"/>
        <w:spacing w:after="0" w:line="240" w:lineRule="auto"/>
        <w:jc w:val="both"/>
        <w:outlineLvl w:val="0"/>
        <w:rPr>
          <w:rFonts w:ascii="Century Gothic" w:eastAsia="Arial" w:hAnsi="Century Gothic" w:cs="Arial"/>
          <w:b/>
          <w:bCs/>
          <w:lang w:val="es-ES" w:eastAsia="es-MX"/>
        </w:rPr>
      </w:pPr>
      <w:r w:rsidRPr="00FA6559">
        <w:rPr>
          <w:rFonts w:ascii="Century Gothic" w:eastAsia="Arial" w:hAnsi="Century Gothic" w:cs="Arial"/>
          <w:b/>
          <w:bCs/>
          <w:lang w:val="es-ES" w:eastAsia="es-MX"/>
        </w:rPr>
        <w:t>2.2. La Seguridad Social Integral en las diferentes etapas de los procesos de contratación pública</w:t>
      </w:r>
      <w:r w:rsidR="00E2411B">
        <w:rPr>
          <w:rFonts w:ascii="Century Gothic" w:eastAsia="Arial" w:hAnsi="Century Gothic" w:cs="Arial"/>
          <w:b/>
          <w:bCs/>
          <w:lang w:val="es-ES" w:eastAsia="es-MX"/>
        </w:rPr>
        <w:t>:</w:t>
      </w:r>
      <w:r w:rsidR="00CF2D83">
        <w:rPr>
          <w:rFonts w:ascii="Century Gothic" w:eastAsia="Arial" w:hAnsi="Century Gothic" w:cs="Arial"/>
          <w:b/>
          <w:bCs/>
          <w:lang w:val="es-ES" w:eastAsia="es-MX"/>
        </w:rPr>
        <w:t xml:space="preserve"> Aplicabilidad del artículo 50 de la Ley 789 de 2002 a las </w:t>
      </w:r>
      <w:r w:rsidR="00E2411B">
        <w:rPr>
          <w:rFonts w:ascii="Century Gothic" w:eastAsia="Arial" w:hAnsi="Century Gothic" w:cs="Arial"/>
          <w:b/>
          <w:bCs/>
          <w:lang w:val="es-ES" w:eastAsia="es-MX"/>
        </w:rPr>
        <w:t>personas jurídicas representativas de los pueblos indígenas</w:t>
      </w:r>
    </w:p>
    <w:p w14:paraId="2D152B78" w14:textId="77777777" w:rsidR="00D021D3" w:rsidRPr="00FA6559" w:rsidRDefault="00D021D3" w:rsidP="00D021D3">
      <w:pPr>
        <w:widowControl w:val="0"/>
        <w:tabs>
          <w:tab w:val="left" w:pos="1180"/>
          <w:tab w:val="left" w:pos="1181"/>
        </w:tabs>
        <w:autoSpaceDE w:val="0"/>
        <w:autoSpaceDN w:val="0"/>
        <w:spacing w:after="0" w:line="276" w:lineRule="auto"/>
        <w:jc w:val="both"/>
        <w:outlineLvl w:val="0"/>
        <w:rPr>
          <w:rFonts w:ascii="Century Gothic" w:eastAsia="Arial" w:hAnsi="Century Gothic" w:cs="Arial"/>
          <w:b/>
          <w:bCs/>
          <w:lang w:val="es-ES" w:eastAsia="es-MX"/>
        </w:rPr>
      </w:pPr>
    </w:p>
    <w:p w14:paraId="20316B4B" w14:textId="77777777" w:rsidR="00D021D3" w:rsidRPr="00FA6559" w:rsidRDefault="00D021D3" w:rsidP="00D021D3">
      <w:pPr>
        <w:widowControl w:val="0"/>
        <w:autoSpaceDE w:val="0"/>
        <w:autoSpaceDN w:val="0"/>
        <w:spacing w:after="120" w:line="276" w:lineRule="auto"/>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La </w:t>
      </w:r>
      <w:r w:rsidRPr="00FA6559">
        <w:rPr>
          <w:rFonts w:ascii="Century Gothic" w:eastAsia="Arial" w:hAnsi="Century Gothic" w:cs="Arial"/>
          <w:i/>
          <w:iCs/>
          <w:lang w:val="es-ES" w:eastAsia="es-MX"/>
        </w:rPr>
        <w:t>seguridad social</w:t>
      </w:r>
      <w:r w:rsidRPr="00FA6559">
        <w:rPr>
          <w:rFonts w:ascii="Century Gothic" w:eastAsia="Arial" w:hAnsi="Century Gothic" w:cs="Arial"/>
          <w:lang w:val="es-ES" w:eastAsia="es-MX"/>
        </w:rPr>
        <w:t xml:space="preserve"> es un servicio público obligatorio, cuya dirección, coordinación y control está a cargo del Estado y es prestado por entidades públicas y privadas. Mediante esta se evitan desequilibrios económicos y sociales que, de no resolverse, implicarían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reducción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pérdida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ingresos</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causa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contingencias</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como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 enfermedad,</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accidentes,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maternidad</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desempleo,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entre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otras.</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 la Ley 100 de 1993, el Sistema de Seguridad Social Integral en Colombia se</w:t>
      </w:r>
      <w:r w:rsidRPr="00FA6559">
        <w:rPr>
          <w:rFonts w:ascii="Century Gothic" w:eastAsia="Arial" w:hAnsi="Century Gothic" w:cs="Arial"/>
          <w:spacing w:val="59"/>
          <w:lang w:val="es-ES" w:eastAsia="es-MX"/>
        </w:rPr>
        <w:t xml:space="preserve"> </w:t>
      </w:r>
      <w:r w:rsidRPr="00FA6559">
        <w:rPr>
          <w:rFonts w:ascii="Century Gothic" w:eastAsia="Arial" w:hAnsi="Century Gothic" w:cs="Arial"/>
          <w:lang w:val="es-ES" w:eastAsia="es-MX"/>
        </w:rPr>
        <w:t>compone 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sistemas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pensiones,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salud</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riesgos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laborales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servicios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sociales complementarios.</w:t>
      </w:r>
    </w:p>
    <w:p w14:paraId="22EDE7C7" w14:textId="77777777" w:rsidR="00D021D3" w:rsidRPr="00FA6559" w:rsidRDefault="00D021D3" w:rsidP="00D021D3">
      <w:pPr>
        <w:widowControl w:val="0"/>
        <w:autoSpaceDE w:val="0"/>
        <w:autoSpaceDN w:val="0"/>
        <w:spacing w:after="0" w:line="276" w:lineRule="auto"/>
        <w:jc w:val="both"/>
        <w:rPr>
          <w:rFonts w:ascii="Century Gothic" w:eastAsia="Arial" w:hAnsi="Century Gothic" w:cs="Arial"/>
          <w:lang w:val="es-ES" w:eastAsia="es-MX"/>
        </w:rPr>
      </w:pPr>
      <w:r w:rsidRPr="00FA6559">
        <w:rPr>
          <w:rFonts w:ascii="Century Gothic" w:eastAsia="Arial" w:hAnsi="Century Gothic" w:cs="Arial"/>
          <w:lang w:val="es-ES" w:eastAsia="es-MX"/>
        </w:rPr>
        <w:tab/>
        <w:t>En materia de contratación estatal, el texto original del artículo 41 de la Ley 80 de 1993 dispuso que los requisitos para perfeccionar</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contrato</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son:</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i)</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sobre</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objeto</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 xml:space="preserve">contraprestación, y </w:t>
      </w:r>
      <w:proofErr w:type="spellStart"/>
      <w:r w:rsidRPr="00FA6559">
        <w:rPr>
          <w:rFonts w:ascii="Century Gothic" w:eastAsia="Arial" w:hAnsi="Century Gothic" w:cs="Arial"/>
          <w:lang w:val="es-ES" w:eastAsia="es-MX"/>
        </w:rPr>
        <w:t>ii</w:t>
      </w:r>
      <w:proofErr w:type="spellEnd"/>
      <w:r w:rsidRPr="00FA6559">
        <w:rPr>
          <w:rFonts w:ascii="Century Gothic" w:eastAsia="Arial" w:hAnsi="Century Gothic" w:cs="Arial"/>
          <w:lang w:val="es-ES" w:eastAsia="es-MX"/>
        </w:rPr>
        <w:t>) que conste por escrito. Por su parte, para iniciar la ejecución se requiere: i) la constitución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aprobación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garantía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6"/>
          <w:lang w:val="es-ES" w:eastAsia="es-MX"/>
        </w:rPr>
        <w:t xml:space="preserve"> </w:t>
      </w:r>
      <w:proofErr w:type="spellStart"/>
      <w:r w:rsidRPr="00FA6559">
        <w:rPr>
          <w:rFonts w:ascii="Century Gothic" w:eastAsia="Arial" w:hAnsi="Century Gothic" w:cs="Arial"/>
          <w:lang w:val="es-ES" w:eastAsia="es-MX"/>
        </w:rPr>
        <w:t>ii</w:t>
      </w:r>
      <w:proofErr w:type="spellEnd"/>
      <w:r w:rsidRPr="00FA6559">
        <w:rPr>
          <w:rFonts w:ascii="Century Gothic" w:eastAsia="Arial" w:hAnsi="Century Gothic" w:cs="Arial"/>
          <w:lang w:val="es-ES" w:eastAsia="es-MX"/>
        </w:rPr>
        <w:t>)</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lastRenderedPageBreak/>
        <w:t>existencia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registro</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presupuestal,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FA6559">
        <w:rPr>
          <w:rFonts w:ascii="Century Gothic" w:eastAsia="Arial" w:hAnsi="Century Gothic" w:cs="Arial"/>
          <w:spacing w:val="-26"/>
          <w:lang w:val="es-ES" w:eastAsia="es-MX"/>
        </w:rPr>
        <w:t xml:space="preserve"> </w:t>
      </w:r>
      <w:r w:rsidRPr="00FA6559">
        <w:rPr>
          <w:rFonts w:ascii="Century Gothic" w:eastAsia="Arial" w:hAnsi="Century Gothic" w:cs="Arial"/>
          <w:lang w:val="es-ES" w:eastAsia="es-MX"/>
        </w:rPr>
        <w:t>Integral.</w:t>
      </w:r>
    </w:p>
    <w:p w14:paraId="1BE1745E" w14:textId="77777777" w:rsidR="00D021D3" w:rsidRPr="00FA6559" w:rsidRDefault="00D021D3" w:rsidP="00D021D3">
      <w:pPr>
        <w:widowControl w:val="0"/>
        <w:autoSpaceDE w:val="0"/>
        <w:autoSpaceDN w:val="0"/>
        <w:spacing w:before="120" w:after="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Por su parte, el artículo 50 de la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dispuso como</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obligación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quien</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 xml:space="preserve">quiere </w:t>
      </w:r>
      <w:r w:rsidRPr="00FA6559">
        <w:rPr>
          <w:rFonts w:ascii="Century Gothic" w:eastAsia="Arial" w:hAnsi="Century Gothic" w:cs="Arial"/>
          <w:i/>
          <w:iCs/>
          <w:lang w:val="es-ES" w:eastAsia="es-MX"/>
        </w:rPr>
        <w:t>celebrar, renovar o liquidar</w:t>
      </w:r>
      <w:r w:rsidRPr="00FA6559">
        <w:rPr>
          <w:rFonts w:ascii="Century Gothic" w:eastAsia="Arial" w:hAnsi="Century Gothic" w:cs="Arial"/>
          <w:lang w:val="es-ES" w:eastAsia="es-MX"/>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FA6559">
        <w:rPr>
          <w:rFonts w:ascii="Century Gothic" w:eastAsia="Arial" w:hAnsi="Century Gothic" w:cs="Arial"/>
          <w:i/>
          <w:iCs/>
          <w:lang w:val="es-ES" w:eastAsia="es-MX"/>
        </w:rPr>
        <w:t>liquidar</w:t>
      </w:r>
      <w:r w:rsidRPr="00FA6559">
        <w:rPr>
          <w:rFonts w:ascii="Century Gothic" w:eastAsia="Arial" w:hAnsi="Century Gothic" w:cs="Arial"/>
          <w:lang w:val="es-ES" w:eastAsia="es-MX"/>
        </w:rPr>
        <w:t xml:space="preserve"> los contratos, para verificar y dejar constancia del cumplimiento de las obligaciones del contratista frente a los aportes mencionados durante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toda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su</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vigencia,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estableciendo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una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correcta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relación</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entre</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monto</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cancelado y las sumas que debió</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cotizar</w:t>
      </w:r>
      <w:r w:rsidRPr="00FA6559">
        <w:rPr>
          <w:rFonts w:ascii="Century Gothic" w:eastAsia="Arial" w:hAnsi="Century Gothic" w:cs="Arial"/>
          <w:vertAlign w:val="superscript"/>
          <w:lang w:val="es-ES" w:eastAsia="es-MX"/>
        </w:rPr>
        <w:footnoteReference w:id="8"/>
      </w:r>
      <w:r w:rsidRPr="00FA6559">
        <w:rPr>
          <w:rFonts w:ascii="Century Gothic" w:eastAsia="Arial" w:hAnsi="Century Gothic" w:cs="Arial"/>
          <w:lang w:val="es-ES" w:eastAsia="es-MX"/>
        </w:rPr>
        <w:t>.</w:t>
      </w:r>
    </w:p>
    <w:p w14:paraId="333A0108" w14:textId="77777777" w:rsidR="00D021D3" w:rsidRPr="00FA6559" w:rsidRDefault="00D021D3" w:rsidP="00D021D3">
      <w:pPr>
        <w:widowControl w:val="0"/>
        <w:autoSpaceDE w:val="0"/>
        <w:autoSpaceDN w:val="0"/>
        <w:spacing w:before="120" w:after="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Además, aclara que las </w:t>
      </w:r>
      <w:r w:rsidRPr="00FA6559">
        <w:rPr>
          <w:rFonts w:ascii="Century Gothic" w:eastAsia="Arial" w:hAnsi="Century Gothic" w:cs="Arial"/>
          <w:i/>
          <w:iCs/>
          <w:lang w:val="es-ES" w:eastAsia="es-MX"/>
        </w:rPr>
        <w:t>personas jurídicas</w:t>
      </w:r>
      <w:r w:rsidRPr="00FA6559">
        <w:rPr>
          <w:rFonts w:ascii="Century Gothic" w:eastAsia="Arial" w:hAnsi="Century Gothic" w:cs="Arial"/>
          <w:lang w:val="es-ES" w:eastAsia="es-MX"/>
        </w:rPr>
        <w:t xml:space="preserve"> que quieran celebrar contratos </w:t>
      </w:r>
      <w:r w:rsidRPr="00FA6559">
        <w:rPr>
          <w:rFonts w:ascii="Century Gothic" w:eastAsia="Arial" w:hAnsi="Century Gothic" w:cs="Arial"/>
          <w:lang w:val="es-ES" w:eastAsia="es-MX"/>
        </w:rPr>
        <w:lastRenderedPageBreak/>
        <w:t>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i/>
          <w:iCs/>
          <w:lang w:val="es-ES" w:eastAsia="es-MX"/>
        </w:rPr>
        <w:t>para</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presentar</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la</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oferta</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las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personas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jurídicas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deben</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acreditar</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requisito</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señalado anteriormente.</w:t>
      </w:r>
    </w:p>
    <w:p w14:paraId="5346634D" w14:textId="77777777" w:rsidR="00D021D3" w:rsidRPr="00FA6559" w:rsidRDefault="00D021D3" w:rsidP="00D021D3">
      <w:pPr>
        <w:widowControl w:val="0"/>
        <w:autoSpaceDE w:val="0"/>
        <w:autoSpaceDN w:val="0"/>
        <w:spacing w:before="70" w:after="0" w:line="276" w:lineRule="auto"/>
        <w:ind w:firstLine="708"/>
        <w:jc w:val="both"/>
        <w:rPr>
          <w:rFonts w:ascii="Century Gothic" w:eastAsia="Arial" w:hAnsi="Century Gothic" w:cs="Arial"/>
          <w:lang w:val="es-ES" w:eastAsia="es-MX"/>
        </w:rPr>
      </w:pPr>
      <w:r w:rsidRPr="00FA6559">
        <w:rPr>
          <w:rFonts w:ascii="Century Gothic" w:eastAsia="Arial" w:hAnsi="Century Gothic" w:cs="Arial"/>
          <w:lang w:val="es-ES" w:eastAsia="es-MX"/>
        </w:rPr>
        <w:t>Esta norma fue analizada por la Sección Tercera del Consejo de Estado, la cual consideró</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que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50</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tiene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objeto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evitar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evasión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hayan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realizado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aportes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Sistema</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Seguridad</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Social</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Integral</w:t>
      </w:r>
      <w:r w:rsidRPr="00FA6559">
        <w:rPr>
          <w:rFonts w:ascii="Century Gothic" w:eastAsia="Arial" w:hAnsi="Century Gothic" w:cs="Arial"/>
          <w:vertAlign w:val="superscript"/>
          <w:lang w:val="es-ES" w:eastAsia="es-MX"/>
        </w:rPr>
        <w:footnoteReference w:id="9"/>
      </w:r>
      <w:r w:rsidRPr="00FA6559">
        <w:rPr>
          <w:rFonts w:ascii="Century Gothic" w:eastAsia="Arial" w:hAnsi="Century Gothic" w:cs="Arial"/>
          <w:sz w:val="21"/>
          <w:lang w:val="es-ES" w:eastAsia="es-MX"/>
        </w:rPr>
        <w:t>.</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 xml:space="preserve">lo tanto, la jurisprudencia reiteró la necesidad de que las entidades estatales, </w:t>
      </w:r>
      <w:r w:rsidRPr="00FA6559">
        <w:rPr>
          <w:rFonts w:ascii="Century Gothic" w:eastAsia="Arial" w:hAnsi="Century Gothic" w:cs="Arial"/>
          <w:i/>
          <w:iCs/>
          <w:lang w:val="es-ES" w:eastAsia="es-MX"/>
        </w:rPr>
        <w:t>durante la ejecución de un contrato</w:t>
      </w:r>
      <w:r w:rsidRPr="00FA6559">
        <w:rPr>
          <w:rFonts w:ascii="Century Gothic" w:eastAsia="Arial" w:hAnsi="Century Gothic" w:cs="Arial"/>
          <w:lang w:val="es-ES" w:eastAsia="es-MX"/>
        </w:rPr>
        <w:t>, verifiquen el cumplimiento de las obligaciones del sistema de seguridad</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social</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parte</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contratistas.</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esta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manera,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23</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1150 de 2007, que modificó el inciso segundo del artículo 41 de la Ley 80 de 1993, incluye la obligación, para los proponentes y contratistas, de estar a paz y salvo con los aportes parafiscales al Sistema de Seguridad Social Integral, al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señalar:</w:t>
      </w:r>
    </w:p>
    <w:p w14:paraId="4E5C612E" w14:textId="77777777" w:rsidR="00D021D3" w:rsidRPr="00FA6559" w:rsidRDefault="00D021D3" w:rsidP="00D021D3">
      <w:pPr>
        <w:widowControl w:val="0"/>
        <w:autoSpaceDE w:val="0"/>
        <w:autoSpaceDN w:val="0"/>
        <w:spacing w:before="1" w:after="0" w:line="240" w:lineRule="auto"/>
        <w:rPr>
          <w:rFonts w:ascii="Century Gothic" w:eastAsia="Arial" w:hAnsi="Century Gothic" w:cs="Arial"/>
          <w:sz w:val="24"/>
          <w:lang w:val="es-ES" w:eastAsia="es-MX"/>
        </w:rPr>
      </w:pPr>
    </w:p>
    <w:p w14:paraId="4909043E" w14:textId="77777777" w:rsidR="00D021D3" w:rsidRPr="00FA6559" w:rsidRDefault="00D021D3" w:rsidP="00D021D3">
      <w:pPr>
        <w:widowControl w:val="0"/>
        <w:autoSpaceDE w:val="0"/>
        <w:autoSpaceDN w:val="0"/>
        <w:spacing w:before="1" w:after="0" w:line="240" w:lineRule="auto"/>
        <w:ind w:left="709" w:right="709"/>
        <w:jc w:val="both"/>
        <w:rPr>
          <w:rFonts w:ascii="Century Gothic" w:eastAsia="Arial" w:hAnsi="Century Gothic" w:cs="Arial"/>
          <w:sz w:val="21"/>
          <w:lang w:val="es-ES" w:eastAsia="es-MX"/>
        </w:rPr>
      </w:pPr>
      <w:r w:rsidRPr="00FA6559">
        <w:rPr>
          <w:rFonts w:ascii="Century Gothic" w:eastAsia="Arial" w:hAnsi="Century Gothic" w:cs="Arial"/>
          <w:sz w:val="21"/>
          <w:lang w:val="es-ES" w:eastAsia="es-MX"/>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9F492E4" w14:textId="77777777" w:rsidR="00D021D3" w:rsidRPr="00FA6559" w:rsidRDefault="00D021D3" w:rsidP="00D021D3">
      <w:pPr>
        <w:widowControl w:val="0"/>
        <w:autoSpaceDE w:val="0"/>
        <w:autoSpaceDN w:val="0"/>
        <w:spacing w:before="1" w:after="0" w:line="240" w:lineRule="auto"/>
        <w:ind w:left="709" w:right="709"/>
        <w:jc w:val="both"/>
        <w:rPr>
          <w:rFonts w:ascii="Century Gothic" w:eastAsia="Arial" w:hAnsi="Century Gothic" w:cs="Arial"/>
          <w:sz w:val="21"/>
          <w:lang w:val="es-ES" w:eastAsia="es-MX"/>
        </w:rPr>
      </w:pPr>
      <w:r w:rsidRPr="00FA6559">
        <w:rPr>
          <w:rFonts w:ascii="Century Gothic" w:eastAsia="Arial" w:hAnsi="Century Gothic" w:cs="Arial"/>
          <w:sz w:val="21"/>
          <w:lang w:val="es-ES" w:eastAsia="es-MX"/>
        </w:rPr>
        <w:t>[…]</w:t>
      </w:r>
    </w:p>
    <w:p w14:paraId="36B422E6" w14:textId="77777777" w:rsidR="00D021D3" w:rsidRPr="00FA6559" w:rsidRDefault="00D021D3" w:rsidP="00D021D3">
      <w:pPr>
        <w:widowControl w:val="0"/>
        <w:autoSpaceDE w:val="0"/>
        <w:autoSpaceDN w:val="0"/>
        <w:spacing w:before="120" w:after="0" w:line="240" w:lineRule="auto"/>
        <w:ind w:left="709" w:right="709"/>
        <w:jc w:val="both"/>
        <w:rPr>
          <w:rFonts w:ascii="Century Gothic" w:eastAsia="Arial" w:hAnsi="Century Gothic" w:cs="Arial"/>
          <w:sz w:val="21"/>
          <w:lang w:val="es-ES" w:eastAsia="es-MX"/>
        </w:rPr>
      </w:pPr>
      <w:r w:rsidRPr="00FA6559">
        <w:rPr>
          <w:rFonts w:ascii="Century Gothic" w:eastAsia="Arial" w:hAnsi="Century Gothic" w:cs="Arial"/>
          <w:sz w:val="21"/>
          <w:lang w:val="es-ES" w:eastAsia="es-MX"/>
        </w:rPr>
        <w:t>Parágrafo 1. El requisito establecido en la parte final del inciso segundo de este artículo deberá acreditarse para la realización de cada pago derivado del contrato estatal.</w:t>
      </w:r>
    </w:p>
    <w:p w14:paraId="37ABA4F3" w14:textId="77777777" w:rsidR="00D021D3" w:rsidRPr="00FA6559" w:rsidRDefault="00D021D3" w:rsidP="00D021D3">
      <w:pPr>
        <w:widowControl w:val="0"/>
        <w:autoSpaceDE w:val="0"/>
        <w:autoSpaceDN w:val="0"/>
        <w:spacing w:before="120" w:after="0" w:line="240" w:lineRule="auto"/>
        <w:ind w:left="709" w:right="709"/>
        <w:jc w:val="both"/>
        <w:rPr>
          <w:rFonts w:ascii="Century Gothic" w:eastAsia="Arial" w:hAnsi="Century Gothic" w:cs="Arial"/>
          <w:lang w:val="es-ES" w:eastAsia="es-MX"/>
        </w:rPr>
      </w:pPr>
      <w:r w:rsidRPr="00FA6559">
        <w:rPr>
          <w:rFonts w:ascii="Century Gothic" w:eastAsia="Arial" w:hAnsi="Century Gothic" w:cs="Arial"/>
          <w:sz w:val="21"/>
          <w:lang w:val="es-ES" w:eastAsia="es-MX"/>
        </w:rPr>
        <w:t>El servidor público que sin justa causa no verifique el pago de los aportes a que</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t>se</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refiere</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t>el</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presente</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t>artículo,</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incurrirá</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en</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t>causal</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de</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t>mala</w:t>
      </w:r>
      <w:r w:rsidRPr="00FA6559">
        <w:rPr>
          <w:rFonts w:ascii="Century Gothic" w:eastAsia="Arial" w:hAnsi="Century Gothic" w:cs="Arial"/>
          <w:spacing w:val="-7"/>
          <w:sz w:val="21"/>
          <w:lang w:val="es-ES" w:eastAsia="es-MX"/>
        </w:rPr>
        <w:t xml:space="preserve"> </w:t>
      </w:r>
      <w:r w:rsidRPr="00FA6559">
        <w:rPr>
          <w:rFonts w:ascii="Century Gothic" w:eastAsia="Arial" w:hAnsi="Century Gothic" w:cs="Arial"/>
          <w:sz w:val="21"/>
          <w:lang w:val="es-ES" w:eastAsia="es-MX"/>
        </w:rPr>
        <w:t>conducta,</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sz w:val="21"/>
          <w:lang w:val="es-ES" w:eastAsia="es-MX"/>
        </w:rPr>
        <w:lastRenderedPageBreak/>
        <w:t>que será sancionada con arreglo al régimen disciplinario</w:t>
      </w:r>
      <w:r w:rsidRPr="00FA6559">
        <w:rPr>
          <w:rFonts w:ascii="Century Gothic" w:eastAsia="Arial" w:hAnsi="Century Gothic" w:cs="Arial"/>
          <w:spacing w:val="-12"/>
          <w:sz w:val="21"/>
          <w:lang w:val="es-ES" w:eastAsia="es-MX"/>
        </w:rPr>
        <w:t xml:space="preserve"> </w:t>
      </w:r>
      <w:r w:rsidRPr="00FA6559">
        <w:rPr>
          <w:rFonts w:ascii="Century Gothic" w:eastAsia="Arial" w:hAnsi="Century Gothic" w:cs="Arial"/>
          <w:sz w:val="21"/>
          <w:lang w:val="es-ES" w:eastAsia="es-MX"/>
        </w:rPr>
        <w:t>vigente</w:t>
      </w:r>
      <w:r w:rsidRPr="00FA6559">
        <w:rPr>
          <w:rFonts w:ascii="Century Gothic" w:eastAsia="Times New Roman" w:hAnsi="Century Gothic" w:cs="Arial"/>
          <w:sz w:val="21"/>
          <w:szCs w:val="21"/>
          <w:lang w:eastAsia="es-MX"/>
        </w:rPr>
        <w:t>”.</w:t>
      </w:r>
    </w:p>
    <w:p w14:paraId="4EE3DE7C" w14:textId="77777777" w:rsidR="00D021D3" w:rsidRPr="00FA6559" w:rsidRDefault="00D021D3" w:rsidP="00D021D3">
      <w:pPr>
        <w:widowControl w:val="0"/>
        <w:autoSpaceDE w:val="0"/>
        <w:autoSpaceDN w:val="0"/>
        <w:spacing w:after="0" w:line="276" w:lineRule="auto"/>
        <w:ind w:left="709" w:right="709"/>
        <w:jc w:val="both"/>
        <w:rPr>
          <w:rFonts w:ascii="Century Gothic" w:eastAsia="Arial" w:hAnsi="Century Gothic" w:cs="Arial"/>
          <w:lang w:val="es-ES" w:eastAsia="es-MX"/>
        </w:rPr>
      </w:pPr>
    </w:p>
    <w:p w14:paraId="16DB1D95" w14:textId="77777777" w:rsidR="00D021D3" w:rsidRPr="00FA6559" w:rsidRDefault="00D021D3" w:rsidP="00D021D3">
      <w:pPr>
        <w:widowControl w:val="0"/>
        <w:autoSpaceDE w:val="0"/>
        <w:autoSpaceDN w:val="0"/>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F0A8B22" w14:textId="77777777" w:rsidR="00D021D3" w:rsidRPr="00FA6559" w:rsidRDefault="00D021D3" w:rsidP="00D021D3">
      <w:pPr>
        <w:widowControl w:val="0"/>
        <w:autoSpaceDE w:val="0"/>
        <w:autoSpaceDN w:val="0"/>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FA6559" w:rsidDel="006B64E9">
        <w:rPr>
          <w:rFonts w:ascii="Century Gothic" w:eastAsia="Arial" w:hAnsi="Century Gothic" w:cs="Arial"/>
          <w:lang w:val="es-ES" w:eastAsia="es-MX"/>
        </w:rPr>
        <w:t xml:space="preserve"> </w:t>
      </w:r>
      <w:r w:rsidRPr="00FA6559">
        <w:rPr>
          <w:rFonts w:ascii="Century Gothic" w:eastAsia="Arial" w:hAnsi="Century Gothic" w:cs="Arial"/>
          <w:lang w:val="es-ES" w:eastAsia="es-MX"/>
        </w:rPr>
        <w:t xml:space="preserve">que la acreditación de dicho requisito se realiza en diferentes momentos del proceso contractual, tal como se detalla a continuación: </w:t>
      </w:r>
    </w:p>
    <w:p w14:paraId="0288856D" w14:textId="77777777" w:rsidR="00D021D3" w:rsidRPr="00FA6559" w:rsidRDefault="00D021D3" w:rsidP="00D021D3">
      <w:pPr>
        <w:widowControl w:val="0"/>
        <w:autoSpaceDE w:val="0"/>
        <w:autoSpaceDN w:val="0"/>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bCs/>
          <w:szCs w:val="24"/>
          <w:lang w:val="es-ES" w:eastAsia="es-MX"/>
        </w:rPr>
        <w:t>i)</w:t>
      </w:r>
      <w:r w:rsidRPr="00FA6559">
        <w:rPr>
          <w:rFonts w:ascii="Century Gothic" w:eastAsia="Arial" w:hAnsi="Century Gothic" w:cs="Arial"/>
          <w:szCs w:val="24"/>
          <w:lang w:val="es-ES" w:eastAsia="es-MX"/>
        </w:rPr>
        <w:t xml:space="preserve"> </w:t>
      </w:r>
      <w:r w:rsidRPr="00FA6559">
        <w:rPr>
          <w:rFonts w:ascii="Century Gothic" w:eastAsia="Arial" w:hAnsi="Century Gothic" w:cs="Arial"/>
          <w:i/>
          <w:iCs/>
          <w:lang w:val="es-ES" w:eastAsia="es-MX"/>
        </w:rPr>
        <w:t>Para presentar la oferta</w:t>
      </w:r>
      <w:r w:rsidRPr="00FA6559">
        <w:rPr>
          <w:rFonts w:ascii="Century Gothic" w:eastAsia="Arial" w:hAnsi="Century Gothic" w:cs="Arial"/>
          <w:lang w:val="es-ES" w:eastAsia="es-MX"/>
        </w:rPr>
        <w:t xml:space="preserve"> los proponentes deben acreditar el pago de los aportes de sus</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empleados,</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mediante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certificación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expedida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revisor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fiscal,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cuando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este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exista de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requerimientos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representante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legal,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durante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un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lapso equivalente al que exija el respectivo régimen de contratación para el que se hubiera constituido la sociedad, el cual, en todo caso, no será inferior a los seis (6) meses anteriores a la celebración del contrato</w:t>
      </w:r>
      <w:r w:rsidRPr="00FA6559">
        <w:rPr>
          <w:rFonts w:ascii="Century Gothic" w:eastAsia="Arial" w:hAnsi="Century Gothic" w:cs="Arial"/>
          <w:vertAlign w:val="superscript"/>
          <w:lang w:val="es-ES" w:eastAsia="es-MX"/>
        </w:rPr>
        <w:footnoteReference w:id="10"/>
      </w:r>
      <w:r w:rsidRPr="00FA6559">
        <w:rPr>
          <w:rFonts w:ascii="Century Gothic" w:eastAsia="Arial" w:hAnsi="Century Gothic" w:cs="Arial"/>
          <w:lang w:val="es-ES" w:eastAsia="es-MX"/>
        </w:rPr>
        <w:t>. Si bien este certificado no es un requisito</w:t>
      </w:r>
      <w:r w:rsidRPr="00FA6559">
        <w:rPr>
          <w:rFonts w:ascii="Century Gothic" w:eastAsia="Arial" w:hAnsi="Century Gothic" w:cs="Arial"/>
          <w:spacing w:val="45"/>
          <w:lang w:val="es-ES" w:eastAsia="es-MX"/>
        </w:rPr>
        <w:t xml:space="preserve"> </w:t>
      </w:r>
      <w:r w:rsidRPr="00FA6559">
        <w:rPr>
          <w:rFonts w:ascii="Century Gothic" w:eastAsia="Arial" w:hAnsi="Century Gothic" w:cs="Arial"/>
          <w:lang w:val="es-ES" w:eastAsia="es-MX"/>
        </w:rPr>
        <w:t xml:space="preserve">para perfeccionarlo ni para ejecutarlo, sí lo es para admitir la oferta en el procedimiento de selección. Cabe señalar que la acreditación en los términos indicados solo procede frente a las </w:t>
      </w:r>
      <w:r w:rsidRPr="00FA6559">
        <w:rPr>
          <w:rFonts w:ascii="Century Gothic" w:eastAsia="Arial" w:hAnsi="Century Gothic" w:cs="Arial"/>
          <w:i/>
          <w:iCs/>
          <w:lang w:val="es-ES" w:eastAsia="es-MX"/>
        </w:rPr>
        <w:t xml:space="preserve">personas jurídicas </w:t>
      </w:r>
      <w:r w:rsidRPr="00FA6559">
        <w:rPr>
          <w:rFonts w:ascii="Century Gothic" w:eastAsia="Arial" w:hAnsi="Century Gothic" w:cs="Arial"/>
          <w:lang w:val="es-ES" w:eastAsia="es-MX"/>
        </w:rPr>
        <w:lastRenderedPageBreak/>
        <w:t>–Ley 789 de 2002, art. 50, inciso 3°–.</w:t>
      </w:r>
    </w:p>
    <w:p w14:paraId="4A7353A1" w14:textId="77777777" w:rsidR="00D021D3" w:rsidRPr="00FA6559" w:rsidRDefault="00D021D3" w:rsidP="00D021D3">
      <w:pPr>
        <w:widowControl w:val="0"/>
        <w:autoSpaceDE w:val="0"/>
        <w:autoSpaceDN w:val="0"/>
        <w:spacing w:after="120" w:line="276" w:lineRule="auto"/>
        <w:jc w:val="both"/>
        <w:rPr>
          <w:rFonts w:ascii="Century Gothic" w:eastAsia="Arial" w:hAnsi="Century Gothic" w:cs="Arial"/>
          <w:szCs w:val="24"/>
          <w:lang w:val="es-ES" w:eastAsia="es-MX"/>
        </w:rPr>
      </w:pPr>
      <w:r w:rsidRPr="00FA6559">
        <w:rPr>
          <w:rFonts w:ascii="Century Gothic" w:eastAsia="Arial" w:hAnsi="Century Gothic" w:cs="Arial"/>
          <w:szCs w:val="24"/>
          <w:lang w:val="es-ES" w:eastAsia="es-MX"/>
        </w:rPr>
        <w:tab/>
      </w:r>
      <w:proofErr w:type="spellStart"/>
      <w:r w:rsidRPr="00FA6559">
        <w:rPr>
          <w:rFonts w:ascii="Century Gothic" w:eastAsia="Arial" w:hAnsi="Century Gothic" w:cs="Arial"/>
          <w:bCs/>
          <w:szCs w:val="24"/>
          <w:lang w:val="es-ES" w:eastAsia="es-MX"/>
        </w:rPr>
        <w:t>ii</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En el momento del </w:t>
      </w:r>
      <w:r w:rsidRPr="00FA6559">
        <w:rPr>
          <w:rFonts w:ascii="Century Gothic" w:eastAsia="Arial" w:hAnsi="Century Gothic" w:cs="Arial"/>
          <w:i/>
          <w:iCs/>
          <w:szCs w:val="24"/>
          <w:lang w:val="es-ES" w:eastAsia="es-MX"/>
        </w:rPr>
        <w:t>perfeccionamiento del contrato estatal</w:t>
      </w:r>
      <w:r w:rsidRPr="00FA6559">
        <w:rPr>
          <w:rFonts w:ascii="Century Gothic" w:eastAsia="Arial" w:hAnsi="Century Gothic" w:cs="Arial"/>
          <w:szCs w:val="24"/>
          <w:lang w:val="es-ES" w:eastAsia="es-MX"/>
        </w:rPr>
        <w:t>, se hace necesario que la entidad pública verifique que el sujeto con el cual contratará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455C27B3" w14:textId="77777777" w:rsidR="00D021D3" w:rsidRPr="00FA6559" w:rsidRDefault="00D021D3" w:rsidP="00D021D3">
      <w:pPr>
        <w:widowControl w:val="0"/>
        <w:autoSpaceDE w:val="0"/>
        <w:autoSpaceDN w:val="0"/>
        <w:spacing w:after="120" w:line="276" w:lineRule="auto"/>
        <w:jc w:val="both"/>
        <w:rPr>
          <w:rFonts w:ascii="Century Gothic" w:eastAsia="Arial" w:hAnsi="Century Gothic" w:cs="Arial"/>
          <w:szCs w:val="24"/>
          <w:lang w:val="es-ES" w:eastAsia="es-MX"/>
        </w:rPr>
      </w:pPr>
      <w:r w:rsidRPr="00FA6559">
        <w:rPr>
          <w:rFonts w:ascii="Century Gothic" w:eastAsia="Arial" w:hAnsi="Century Gothic" w:cs="Arial"/>
          <w:szCs w:val="24"/>
          <w:lang w:val="es-ES" w:eastAsia="es-MX"/>
        </w:rPr>
        <w:tab/>
      </w:r>
      <w:proofErr w:type="spellStart"/>
      <w:r w:rsidRPr="00FA6559">
        <w:rPr>
          <w:rFonts w:ascii="Century Gothic" w:eastAsia="Arial" w:hAnsi="Century Gothic" w:cs="Arial"/>
          <w:bCs/>
          <w:szCs w:val="24"/>
          <w:lang w:val="es-ES" w:eastAsia="es-MX"/>
        </w:rPr>
        <w:t>iii</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El pago de los aportes de seguridad social es un </w:t>
      </w:r>
      <w:r w:rsidRPr="00FA6559">
        <w:rPr>
          <w:rFonts w:ascii="Century Gothic" w:eastAsia="Arial" w:hAnsi="Century Gothic" w:cs="Arial"/>
          <w:i/>
          <w:iCs/>
          <w:szCs w:val="24"/>
          <w:lang w:val="es-ES" w:eastAsia="es-MX"/>
        </w:rPr>
        <w:t>requisito de ejecución</w:t>
      </w:r>
      <w:r w:rsidRPr="00FA6559">
        <w:rPr>
          <w:rFonts w:ascii="Century Gothic" w:eastAsia="Arial" w:hAnsi="Century Gothic" w:cs="Arial"/>
          <w:szCs w:val="24"/>
          <w:lang w:val="es-ES" w:eastAsia="es-MX"/>
        </w:rPr>
        <w:t xml:space="preserve"> del contrato, es decir, es un elemento </w:t>
      </w:r>
      <w:r w:rsidRPr="00FA6559">
        <w:rPr>
          <w:rFonts w:ascii="Century Gothic" w:eastAsia="Arial" w:hAnsi="Century Gothic" w:cs="Arial"/>
          <w:i/>
          <w:szCs w:val="24"/>
          <w:lang w:val="es-ES" w:eastAsia="es-MX"/>
        </w:rPr>
        <w:t>sine qua non</w:t>
      </w:r>
      <w:r w:rsidRPr="00FA6559">
        <w:rPr>
          <w:rFonts w:ascii="Century Gothic" w:eastAsia="Arial" w:hAnsi="Century Gothic" w:cs="Arial"/>
          <w:szCs w:val="24"/>
          <w:lang w:val="es-ES" w:eastAsia="es-MX"/>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requisito para la celebración del </w:t>
      </w:r>
      <w:proofErr w:type="gramStart"/>
      <w:r w:rsidRPr="00FA6559">
        <w:rPr>
          <w:rFonts w:ascii="Century Gothic" w:eastAsia="Arial" w:hAnsi="Century Gothic" w:cs="Arial"/>
          <w:szCs w:val="24"/>
          <w:lang w:val="es-ES" w:eastAsia="es-MX"/>
        </w:rPr>
        <w:t>contrato,</w:t>
      </w:r>
      <w:proofErr w:type="gramEnd"/>
      <w:r w:rsidRPr="00FA6559">
        <w:rPr>
          <w:rFonts w:ascii="Century Gothic" w:eastAsia="Arial" w:hAnsi="Century Gothic" w:cs="Arial"/>
          <w:szCs w:val="24"/>
          <w:lang w:val="es-ES" w:eastAsia="es-MX"/>
        </w:rPr>
        <w:t xml:space="preserve">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7B6BD132" w14:textId="77777777" w:rsidR="00D021D3" w:rsidRPr="00FA6559" w:rsidRDefault="00D021D3" w:rsidP="00D021D3">
      <w:pPr>
        <w:widowControl w:val="0"/>
        <w:autoSpaceDE w:val="0"/>
        <w:autoSpaceDN w:val="0"/>
        <w:spacing w:after="120" w:line="276" w:lineRule="auto"/>
        <w:ind w:firstLine="709"/>
        <w:jc w:val="both"/>
        <w:rPr>
          <w:rFonts w:ascii="Century Gothic" w:eastAsia="Arial" w:hAnsi="Century Gothic" w:cs="Arial"/>
          <w:lang w:val="es-ES" w:eastAsia="es-MX"/>
        </w:rPr>
      </w:pPr>
      <w:proofErr w:type="spellStart"/>
      <w:r w:rsidRPr="00FA6559">
        <w:rPr>
          <w:rFonts w:ascii="Century Gothic" w:eastAsia="Arial" w:hAnsi="Century Gothic" w:cs="Arial"/>
          <w:bCs/>
          <w:szCs w:val="24"/>
          <w:lang w:val="es-ES" w:eastAsia="es-MX"/>
        </w:rPr>
        <w:t>iv</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w:t>
      </w:r>
      <w:r w:rsidRPr="00FA6559">
        <w:rPr>
          <w:rFonts w:ascii="Century Gothic" w:eastAsia="Arial" w:hAnsi="Century Gothic" w:cs="Arial"/>
          <w:i/>
          <w:iCs/>
          <w:szCs w:val="24"/>
          <w:lang w:val="es-ES" w:eastAsia="es-MX"/>
        </w:rPr>
        <w:t>Durante la ejecución del contrato</w:t>
      </w:r>
      <w:r w:rsidRPr="00FA6559">
        <w:rPr>
          <w:rFonts w:ascii="Century Gothic" w:eastAsia="Arial" w:hAnsi="Century Gothic" w:cs="Arial"/>
          <w:szCs w:val="24"/>
          <w:lang w:val="es-ES" w:eastAsia="es-MX"/>
        </w:rPr>
        <w:t>, la entidad estatal debe verificar el pago a los aportes a seguridad social, verificación que deberá efectuar para realizar cada pago originado en el contrato –parágrafo 1, art. 41 de la Ley 80 de 1993, modificado por el art. 23 de la Ley 1150 de 2007–.</w:t>
      </w:r>
      <w:r w:rsidRPr="00FA6559">
        <w:rPr>
          <w:rFonts w:ascii="Century Gothic" w:eastAsia="Arial" w:hAnsi="Century Gothic" w:cs="Arial"/>
          <w:lang w:val="es-ES" w:eastAsia="es-MX"/>
        </w:rPr>
        <w:t xml:space="preserve"> </w:t>
      </w:r>
    </w:p>
    <w:p w14:paraId="72455CD4" w14:textId="77777777" w:rsidR="00D021D3" w:rsidRPr="00FA6559" w:rsidRDefault="00D021D3" w:rsidP="00D021D3">
      <w:pPr>
        <w:widowControl w:val="0"/>
        <w:autoSpaceDE w:val="0"/>
        <w:autoSpaceDN w:val="0"/>
        <w:spacing w:after="120" w:line="276" w:lineRule="auto"/>
        <w:jc w:val="both"/>
        <w:rPr>
          <w:rFonts w:ascii="Century Gothic" w:eastAsia="Arial" w:hAnsi="Century Gothic" w:cs="Arial"/>
          <w:lang w:val="es-ES" w:eastAsia="es-MX"/>
        </w:rPr>
      </w:pPr>
      <w:r w:rsidRPr="00FA6559">
        <w:rPr>
          <w:rFonts w:ascii="Century Gothic" w:eastAsia="Arial" w:hAnsi="Century Gothic" w:cs="Arial"/>
          <w:szCs w:val="24"/>
          <w:lang w:val="es-ES" w:eastAsia="es-MX"/>
        </w:rPr>
        <w:tab/>
      </w:r>
      <w:r w:rsidRPr="00FA6559">
        <w:rPr>
          <w:rFonts w:ascii="Century Gothic" w:eastAsia="Arial" w:hAnsi="Century Gothic" w:cs="Arial"/>
          <w:bCs/>
          <w:szCs w:val="24"/>
          <w:lang w:val="es-ES" w:eastAsia="es-MX"/>
        </w:rPr>
        <w:t>v)</w:t>
      </w:r>
      <w:r w:rsidRPr="00FA6559">
        <w:rPr>
          <w:rFonts w:ascii="Century Gothic" w:eastAsia="Arial" w:hAnsi="Century Gothic" w:cs="Arial"/>
          <w:szCs w:val="24"/>
          <w:lang w:val="es-ES" w:eastAsia="es-MX"/>
        </w:rPr>
        <w:t xml:space="preserve"> </w:t>
      </w:r>
      <w:r w:rsidRPr="00FA6559">
        <w:rPr>
          <w:rFonts w:ascii="Century Gothic" w:eastAsia="Arial" w:hAnsi="Century Gothic" w:cs="Arial"/>
          <w:lang w:val="es-ES" w:eastAsia="es-MX"/>
        </w:rPr>
        <w:t>Finalmente,</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virtud</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50</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entidad</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 xml:space="preserve">verificará, tanto para las personas naturales como para las jurídicas, la realización de los aportes al Sistema de Seguridad Social Integral, al </w:t>
      </w:r>
      <w:r w:rsidRPr="00FA6559">
        <w:rPr>
          <w:rFonts w:ascii="Century Gothic" w:eastAsia="Arial" w:hAnsi="Century Gothic" w:cs="Arial"/>
          <w:i/>
          <w:iCs/>
          <w:lang w:val="es-ES" w:eastAsia="es-MX"/>
        </w:rPr>
        <w:t>momento de su liquidación</w:t>
      </w:r>
      <w:r w:rsidRPr="00FA6559">
        <w:rPr>
          <w:rFonts w:ascii="Century Gothic" w:eastAsia="Arial" w:hAnsi="Century Gothic" w:cs="Arial"/>
          <w:lang w:val="es-ES" w:eastAsia="es-MX"/>
        </w:rPr>
        <w:t>, y dejarán constancia del cumplimiento de las obligaciones del contratista frente a los aportes mencionados durante toda su vigencia, estableciendo una correcta relación entre el monto cancelado y las sumas que debieron</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cotizar.</w:t>
      </w:r>
    </w:p>
    <w:p w14:paraId="6A071FFB" w14:textId="77777777" w:rsidR="00D021D3" w:rsidRPr="00FA6559" w:rsidRDefault="00D021D3" w:rsidP="00D021D3">
      <w:pPr>
        <w:widowControl w:val="0"/>
        <w:autoSpaceDE w:val="0"/>
        <w:autoSpaceDN w:val="0"/>
        <w:spacing w:after="120" w:line="276" w:lineRule="auto"/>
        <w:ind w:firstLine="708"/>
        <w:jc w:val="both"/>
        <w:rPr>
          <w:rFonts w:ascii="Century Gothic" w:eastAsia="Times New Roman" w:hAnsi="Century Gothic" w:cs="Arial"/>
          <w:lang w:val="es-ES" w:eastAsia="es-MX"/>
        </w:rPr>
      </w:pPr>
      <w:r w:rsidRPr="00FA6559">
        <w:rPr>
          <w:rFonts w:ascii="Century Gothic" w:eastAsia="Arial" w:hAnsi="Century Gothic" w:cs="Arial"/>
          <w:lang w:val="es-ES" w:eastAsia="es-MX"/>
        </w:rPr>
        <w:t xml:space="preserve"> A partir de las reglas mencionadas, se evidencia que estar al día en el pago de las obligaciones relacionadas con el Sistema de Seguridad Social Integral</w:t>
      </w:r>
      <w:r w:rsidRPr="00FA6559" w:rsidDel="00822685">
        <w:rPr>
          <w:rFonts w:ascii="Century Gothic" w:eastAsia="Arial" w:hAnsi="Century Gothic" w:cs="Arial"/>
          <w:lang w:val="es-ES" w:eastAsia="es-MX"/>
        </w:rPr>
        <w:t xml:space="preserve"> </w:t>
      </w:r>
      <w:r w:rsidRPr="00FA6559">
        <w:rPr>
          <w:rFonts w:ascii="Century Gothic" w:eastAsia="Arial" w:hAnsi="Century Gothic" w:cs="Arial"/>
          <w:lang w:val="es-ES" w:eastAsia="es-MX"/>
        </w:rPr>
        <w:t xml:space="preserve">es un </w:t>
      </w:r>
      <w:r w:rsidRPr="00FA6559">
        <w:rPr>
          <w:rFonts w:ascii="Century Gothic" w:eastAsia="Arial" w:hAnsi="Century Gothic" w:cs="Arial"/>
          <w:lang w:val="es-ES" w:eastAsia="es-MX"/>
        </w:rPr>
        <w:lastRenderedPageBreak/>
        <w:t xml:space="preserve">requisito cuya verificación debe realizarse en distintos momentos del proceso contractual, incluyendo la etapa precontractual. </w:t>
      </w:r>
      <w:r w:rsidRPr="00FA6559">
        <w:rPr>
          <w:rFonts w:ascii="Century Gothic" w:eastAsia="Times New Roman" w:hAnsi="Century Gothic" w:cs="Arial"/>
          <w:lang w:val="es-ES" w:eastAsia="es-MX"/>
        </w:rPr>
        <w:t xml:space="preserve">Por tanto, </w:t>
      </w:r>
      <w:bookmarkStart w:id="4" w:name="_Hlk80881612"/>
      <w:r w:rsidRPr="00FA6559">
        <w:rPr>
          <w:rFonts w:ascii="Century Gothic" w:eastAsia="Times New Roman" w:hAnsi="Century Gothic" w:cs="Arial"/>
          <w:lang w:val="es-ES" w:eastAsia="es-MX"/>
        </w:rPr>
        <w:t xml:space="preserve">la Agencia infiere que </w:t>
      </w:r>
      <w:bookmarkStart w:id="5" w:name="_Hlk78209422"/>
      <w:r w:rsidRPr="00FA6559">
        <w:rPr>
          <w:rFonts w:ascii="Century Gothic" w:eastAsia="Times New Roman" w:hAnsi="Century Gothic" w:cs="Arial"/>
          <w:lang w:val="es-ES" w:eastAsia="es-MX"/>
        </w:rPr>
        <w:t>la finalidad de las normas de la Ley 100 de 1993 y de otras normas complementarias, en desarrollo de las políticas públicas del Estado colombiano, es establecer un marco jurídico integral de seguridad social dentro del territorio nacional, cuyo cumplimiento también es obligatorio para las sociedades extranjeras con sucursal en Colombia.</w:t>
      </w:r>
      <w:bookmarkEnd w:id="5"/>
    </w:p>
    <w:p w14:paraId="2E62E0D6" w14:textId="77777777" w:rsidR="00D021D3" w:rsidRPr="00FA6559" w:rsidRDefault="00D021D3" w:rsidP="00D021D3">
      <w:pPr>
        <w:spacing w:before="120" w:after="120" w:line="276" w:lineRule="auto"/>
        <w:ind w:firstLine="709"/>
        <w:jc w:val="both"/>
        <w:rPr>
          <w:rFonts w:ascii="Century Gothic" w:eastAsia="Arial" w:hAnsi="Century Gothic" w:cs="Arial"/>
          <w:lang w:val="es-ES" w:eastAsia="es-MX"/>
        </w:rPr>
      </w:pPr>
      <w:bookmarkStart w:id="6" w:name="_Hlk80881665"/>
      <w:bookmarkEnd w:id="4"/>
      <w:r w:rsidRPr="00FA6559">
        <w:rPr>
          <w:rFonts w:ascii="Century Gothic" w:eastAsia="Times New Roman" w:hAnsi="Century Gothic" w:cs="Arial"/>
          <w:lang w:val="es-ES" w:eastAsia="es-MX"/>
        </w:rPr>
        <w:t>Nada distinto podría colegirse de las normas que regulan un servicio público esencial e irrenunciable, que además de comprender obligaciones para el Estado y la sociedad, se compone de normas de orden público y de aplicación en el territorio nacional</w:t>
      </w:r>
      <w:r w:rsidRPr="00FA6559">
        <w:rPr>
          <w:rFonts w:ascii="Century Gothic" w:eastAsia="Times New Roman" w:hAnsi="Century Gothic" w:cs="Arial"/>
          <w:vertAlign w:val="superscript"/>
          <w:lang w:val="es-ES" w:eastAsia="es-MX"/>
        </w:rPr>
        <w:footnoteReference w:id="11"/>
      </w:r>
      <w:r w:rsidRPr="00FA6559">
        <w:rPr>
          <w:rFonts w:ascii="Century Gothic" w:eastAsia="Times New Roman" w:hAnsi="Century Gothic" w:cs="Arial"/>
          <w:lang w:val="es-ES" w:eastAsia="es-MX"/>
        </w:rPr>
        <w:t xml:space="preserve">. </w:t>
      </w:r>
      <w:bookmarkEnd w:id="6"/>
      <w:r w:rsidRPr="00FA6559">
        <w:rPr>
          <w:rFonts w:ascii="Century Gothic" w:eastAsia="Times New Roman" w:hAnsi="Century Gothic" w:cs="Arial"/>
          <w:lang w:val="es-ES" w:eastAsia="es-MX"/>
        </w:rPr>
        <w:t>En este contexto, las sociedades extranjeras con sucursal en Colombia, interesadas en participar en procesos de contratación deberán</w:t>
      </w:r>
      <w:r w:rsidRPr="00FA6559">
        <w:rPr>
          <w:rFonts w:ascii="Century Gothic" w:eastAsia="Arial" w:hAnsi="Century Gothic" w:cs="Arial"/>
          <w:lang w:val="es-ES" w:eastAsia="es-MX"/>
        </w:rPr>
        <w:t xml:space="preserve"> acreditar el pago de los aportes de los empleados vinculados a la sucursal,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mediante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certificación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expedida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revisor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fiscal,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cuando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este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exista de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requerimientos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representante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legal,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durante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un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lapso equivalente al que exija el respectivo régimen de contratación para el que se hubiera constituido la sociedad, el cual, en todo caso, no será inferior a los seis (6) meses anteriores a la celebración del contrato.</w:t>
      </w:r>
    </w:p>
    <w:p w14:paraId="225846DD" w14:textId="77777777" w:rsidR="00D021D3" w:rsidRPr="00FA6559" w:rsidRDefault="00D021D3" w:rsidP="00D021D3">
      <w:pPr>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En relación con los proponentes plurales -consorcios y uniones temporales-, según lo anterior, puede afirmarse que cada uno de los miembros o integrantes del consorcio o de la unión temporal deberá acreditar encontrarse afiliado y al día en el pago de los aportes al Sistema de Seguridad Social, para lo cual deberá realizar la acreditación según su naturaleza jurídica.</w:t>
      </w:r>
    </w:p>
    <w:p w14:paraId="2FA34CF3" w14:textId="77777777" w:rsidR="00D021D3" w:rsidRDefault="00D021D3" w:rsidP="00D021D3">
      <w:pPr>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lastRenderedPageBreak/>
        <w:t xml:space="preserve">Lo anterior toda vez que, el artículo 7 de la Ley 80 de 1993 define los consorcios y las uniones temporales como un negocio jurídico de carácter privado con la finalidad de que dos o más personas naturales o jurídicas se asocien para la celebración, adjudicación y ejecución de un contrato estatal, sin personería jurídica, en donde sus miembros conservan su independencia jurídica. Por lo tanto, la verificación de los requisitos habilitantes por parte de la entidad estatal contratante debe efectuarse respecto de cada uno de los miembros del proponente plural. </w:t>
      </w:r>
    </w:p>
    <w:p w14:paraId="5EBAD3A5" w14:textId="188BA52C" w:rsidR="00890116" w:rsidRDefault="00DA7119" w:rsidP="00D021D3">
      <w:pPr>
        <w:spacing w:before="120" w:after="12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Ahora bien, </w:t>
      </w:r>
      <w:r w:rsidR="00742EBD">
        <w:rPr>
          <w:rFonts w:ascii="Century Gothic" w:eastAsia="Arial" w:hAnsi="Century Gothic" w:cs="Arial"/>
          <w:lang w:val="es-ES" w:eastAsia="es-MX"/>
        </w:rPr>
        <w:t>en cuanto al objeto especifico de su consulta</w:t>
      </w:r>
      <w:r w:rsidR="001643BF">
        <w:rPr>
          <w:rFonts w:ascii="Century Gothic" w:eastAsia="Arial" w:hAnsi="Century Gothic" w:cs="Arial"/>
          <w:lang w:val="es-ES" w:eastAsia="es-MX"/>
        </w:rPr>
        <w:t xml:space="preserve">, de acuerdo con lo </w:t>
      </w:r>
      <w:r w:rsidR="0086244B">
        <w:rPr>
          <w:rFonts w:ascii="Century Gothic" w:eastAsia="Arial" w:hAnsi="Century Gothic" w:cs="Arial"/>
          <w:lang w:val="es-ES" w:eastAsia="es-MX"/>
        </w:rPr>
        <w:t>manifestado</w:t>
      </w:r>
      <w:r w:rsidR="001643BF">
        <w:rPr>
          <w:rFonts w:ascii="Century Gothic" w:eastAsia="Arial" w:hAnsi="Century Gothic" w:cs="Arial"/>
          <w:lang w:val="es-ES" w:eastAsia="es-MX"/>
        </w:rPr>
        <w:t xml:space="preserve"> en el presente numeral</w:t>
      </w:r>
      <w:r w:rsidR="0086244B">
        <w:rPr>
          <w:rFonts w:ascii="Century Gothic" w:eastAsia="Arial" w:hAnsi="Century Gothic" w:cs="Arial"/>
          <w:lang w:val="es-ES" w:eastAsia="es-MX"/>
        </w:rPr>
        <w:t>,</w:t>
      </w:r>
      <w:r w:rsidR="001643BF">
        <w:rPr>
          <w:rFonts w:ascii="Century Gothic" w:eastAsia="Arial" w:hAnsi="Century Gothic" w:cs="Arial"/>
          <w:lang w:val="es-ES" w:eastAsia="es-MX"/>
        </w:rPr>
        <w:t xml:space="preserve"> es necesario explica</w:t>
      </w:r>
      <w:r w:rsidR="0005232F">
        <w:rPr>
          <w:rFonts w:ascii="Century Gothic" w:eastAsia="Arial" w:hAnsi="Century Gothic" w:cs="Arial"/>
          <w:lang w:val="es-ES" w:eastAsia="es-MX"/>
        </w:rPr>
        <w:t xml:space="preserve">r que, las Asociaciones de Cabildos y </w:t>
      </w:r>
      <w:r w:rsidR="00946869">
        <w:rPr>
          <w:rFonts w:ascii="Century Gothic" w:eastAsia="Arial" w:hAnsi="Century Gothic" w:cs="Arial"/>
          <w:lang w:val="es-ES" w:eastAsia="es-MX"/>
        </w:rPr>
        <w:t xml:space="preserve">Autoridades Tradicionales, los Cabildos y en general </w:t>
      </w:r>
      <w:r w:rsidR="0005232F">
        <w:rPr>
          <w:rFonts w:ascii="Century Gothic" w:eastAsia="Arial" w:hAnsi="Century Gothic" w:cs="Arial"/>
          <w:lang w:val="es-ES" w:eastAsia="es-MX"/>
        </w:rPr>
        <w:t xml:space="preserve">las organizaciones </w:t>
      </w:r>
      <w:r w:rsidR="004A4B65">
        <w:rPr>
          <w:rFonts w:ascii="Century Gothic" w:eastAsia="Arial" w:hAnsi="Century Gothic" w:cs="Arial"/>
          <w:lang w:val="es-ES" w:eastAsia="es-MX"/>
        </w:rPr>
        <w:t xml:space="preserve">indígenas, en tanto personas jurídicas, en principio, deben cumplir con lo dispuesto en el </w:t>
      </w:r>
      <w:r w:rsidR="00C12D69">
        <w:rPr>
          <w:rFonts w:ascii="Century Gothic" w:eastAsia="Arial" w:hAnsi="Century Gothic" w:cs="Arial"/>
          <w:lang w:val="es-ES" w:eastAsia="es-MX"/>
        </w:rPr>
        <w:t>tercer inciso del art</w:t>
      </w:r>
      <w:r w:rsidR="003C05B0">
        <w:rPr>
          <w:rFonts w:ascii="Century Gothic" w:eastAsia="Arial" w:hAnsi="Century Gothic" w:cs="Arial"/>
          <w:lang w:val="es-ES" w:eastAsia="es-MX"/>
        </w:rPr>
        <w:t>ículo 50 de la Ley 789 de 2002. Esto</w:t>
      </w:r>
      <w:r w:rsidR="00250C57">
        <w:rPr>
          <w:rFonts w:ascii="Century Gothic" w:eastAsia="Arial" w:hAnsi="Century Gothic" w:cs="Arial"/>
          <w:lang w:val="es-ES" w:eastAsia="es-MX"/>
        </w:rPr>
        <w:t xml:space="preserve"> considerando que ni esta, ni otra norma en particular, exceptúa a este tipo de personas jurídicas </w:t>
      </w:r>
      <w:r w:rsidR="00316636">
        <w:rPr>
          <w:rFonts w:ascii="Century Gothic" w:eastAsia="Arial" w:hAnsi="Century Gothic" w:cs="Arial"/>
          <w:lang w:val="es-ES" w:eastAsia="es-MX"/>
        </w:rPr>
        <w:t xml:space="preserve">del cumplimiento del requisito allí previsto. </w:t>
      </w:r>
      <w:r w:rsidR="003C05B0">
        <w:rPr>
          <w:rFonts w:ascii="Century Gothic" w:eastAsia="Arial" w:hAnsi="Century Gothic" w:cs="Arial"/>
          <w:lang w:val="es-ES" w:eastAsia="es-MX"/>
        </w:rPr>
        <w:t xml:space="preserve"> </w:t>
      </w:r>
      <w:r w:rsidR="00E962F4">
        <w:rPr>
          <w:rFonts w:ascii="Century Gothic" w:eastAsia="Arial" w:hAnsi="Century Gothic" w:cs="Arial"/>
          <w:lang w:val="es-ES" w:eastAsia="es-MX"/>
        </w:rPr>
        <w:t xml:space="preserve">Lo anterior supone que </w:t>
      </w:r>
      <w:r w:rsidR="00001ACD">
        <w:rPr>
          <w:rFonts w:ascii="Century Gothic" w:eastAsia="Arial" w:hAnsi="Century Gothic" w:cs="Arial"/>
          <w:lang w:val="es-ES" w:eastAsia="es-MX"/>
        </w:rPr>
        <w:t xml:space="preserve">tales sujetos deban acreditar </w:t>
      </w:r>
      <w:r w:rsidR="004A3553">
        <w:rPr>
          <w:rFonts w:ascii="Century Gothic" w:eastAsia="Arial" w:hAnsi="Century Gothic" w:cs="Arial"/>
          <w:lang w:val="es-ES" w:eastAsia="es-MX"/>
        </w:rPr>
        <w:t xml:space="preserve">que se encuentran al día con los aportes </w:t>
      </w:r>
      <w:r w:rsidR="003D480A">
        <w:rPr>
          <w:rFonts w:ascii="Century Gothic" w:eastAsia="Arial" w:hAnsi="Century Gothic" w:cs="Arial"/>
          <w:lang w:val="es-ES" w:eastAsia="es-MX"/>
        </w:rPr>
        <w:t xml:space="preserve">parafiscales de </w:t>
      </w:r>
      <w:r w:rsidR="0036680D">
        <w:rPr>
          <w:rFonts w:ascii="Century Gothic" w:eastAsia="Arial" w:hAnsi="Century Gothic" w:cs="Arial"/>
          <w:lang w:val="es-ES" w:eastAsia="es-MX"/>
        </w:rPr>
        <w:t>que les correspondan</w:t>
      </w:r>
      <w:r w:rsidR="00D423CC">
        <w:rPr>
          <w:rFonts w:ascii="Century Gothic" w:eastAsia="Arial" w:hAnsi="Century Gothic" w:cs="Arial"/>
          <w:lang w:val="es-ES" w:eastAsia="es-MX"/>
        </w:rPr>
        <w:t>, a efectos de cumplir con el requisito prev</w:t>
      </w:r>
      <w:r w:rsidR="00E75396">
        <w:rPr>
          <w:rFonts w:ascii="Century Gothic" w:eastAsia="Arial" w:hAnsi="Century Gothic" w:cs="Arial"/>
          <w:lang w:val="es-ES" w:eastAsia="es-MX"/>
        </w:rPr>
        <w:t>isto en la parte final del segundo inciso del artículo 41 de la Ley 80 de 1993.</w:t>
      </w:r>
    </w:p>
    <w:p w14:paraId="0812D993" w14:textId="7E2F6D23" w:rsidR="00DA7119" w:rsidRPr="00FA6559" w:rsidRDefault="003D480A" w:rsidP="00D021D3">
      <w:pPr>
        <w:spacing w:before="120" w:after="12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 </w:t>
      </w:r>
      <w:r w:rsidR="00A20CD7">
        <w:rPr>
          <w:rFonts w:ascii="Century Gothic" w:eastAsia="Arial" w:hAnsi="Century Gothic" w:cs="Arial"/>
          <w:lang w:val="es-ES" w:eastAsia="es-MX"/>
        </w:rPr>
        <w:t xml:space="preserve">Sin embargo, es necesario poner de presente que, </w:t>
      </w:r>
      <w:r w:rsidR="008902CF">
        <w:rPr>
          <w:rFonts w:ascii="Century Gothic" w:eastAsia="Arial" w:hAnsi="Century Gothic" w:cs="Arial"/>
          <w:lang w:val="es-ES" w:eastAsia="es-MX"/>
        </w:rPr>
        <w:t xml:space="preserve">los referidos aportes parafiscales que deben </w:t>
      </w:r>
      <w:r w:rsidR="00D1008A">
        <w:rPr>
          <w:rFonts w:ascii="Century Gothic" w:eastAsia="Arial" w:hAnsi="Century Gothic" w:cs="Arial"/>
          <w:lang w:val="es-ES" w:eastAsia="es-MX"/>
        </w:rPr>
        <w:t>acreditarse</w:t>
      </w:r>
      <w:r w:rsidR="008902CF">
        <w:rPr>
          <w:rFonts w:ascii="Century Gothic" w:eastAsia="Arial" w:hAnsi="Century Gothic" w:cs="Arial"/>
          <w:lang w:val="es-ES" w:eastAsia="es-MX"/>
        </w:rPr>
        <w:t xml:space="preserve"> son los que corresponde hacer a la respectiva persona </w:t>
      </w:r>
      <w:r w:rsidR="00D1008A">
        <w:rPr>
          <w:rFonts w:ascii="Century Gothic" w:eastAsia="Arial" w:hAnsi="Century Gothic" w:cs="Arial"/>
          <w:lang w:val="es-ES" w:eastAsia="es-MX"/>
        </w:rPr>
        <w:t xml:space="preserve">jurídica respecto de sus </w:t>
      </w:r>
      <w:r w:rsidR="009502A5" w:rsidRPr="00FA6559">
        <w:rPr>
          <w:rFonts w:ascii="Century Gothic" w:eastAsia="Arial" w:hAnsi="Century Gothic" w:cs="Arial"/>
          <w:i/>
          <w:iCs/>
          <w:lang w:val="es-ES" w:eastAsia="es-MX"/>
        </w:rPr>
        <w:t>“</w:t>
      </w:r>
      <w:r w:rsidR="00D1008A" w:rsidRPr="00FA6559">
        <w:rPr>
          <w:rFonts w:ascii="Century Gothic" w:eastAsia="Arial" w:hAnsi="Century Gothic" w:cs="Arial"/>
          <w:i/>
          <w:iCs/>
          <w:lang w:val="es-ES" w:eastAsia="es-MX"/>
        </w:rPr>
        <w:t>empleado</w:t>
      </w:r>
      <w:r w:rsidR="009502A5" w:rsidRPr="00FA6559">
        <w:rPr>
          <w:rFonts w:ascii="Century Gothic" w:eastAsia="Arial" w:hAnsi="Century Gothic" w:cs="Arial"/>
          <w:i/>
          <w:iCs/>
          <w:lang w:val="es-ES" w:eastAsia="es-MX"/>
        </w:rPr>
        <w:t>s”</w:t>
      </w:r>
      <w:r w:rsidR="009502A5">
        <w:rPr>
          <w:rFonts w:ascii="Century Gothic" w:eastAsia="Arial" w:hAnsi="Century Gothic" w:cs="Arial"/>
          <w:lang w:val="es-ES" w:eastAsia="es-MX"/>
        </w:rPr>
        <w:t xml:space="preserve">, esto es, respecto de las personas que tengan una relación laboral </w:t>
      </w:r>
      <w:r w:rsidR="00443857">
        <w:rPr>
          <w:rFonts w:ascii="Century Gothic" w:eastAsia="Arial" w:hAnsi="Century Gothic" w:cs="Arial"/>
          <w:lang w:val="es-ES" w:eastAsia="es-MX"/>
        </w:rPr>
        <w:t xml:space="preserve">con la organización. En ese sentido, en el marco del cumplimiento del requisito previsto en el tercer inciso del artículo 50 de la Ley 789 de 2002, </w:t>
      </w:r>
      <w:r w:rsidR="00E944DB">
        <w:rPr>
          <w:rFonts w:ascii="Century Gothic" w:eastAsia="Arial" w:hAnsi="Century Gothic" w:cs="Arial"/>
          <w:lang w:val="es-ES" w:eastAsia="es-MX"/>
        </w:rPr>
        <w:t xml:space="preserve">no les resultaría exigible a las Asociaciones de Cabildos y Autoridades Tradicionales, ni a los Cabildos y ni a las organizaciones indígenas, acreditar aportes </w:t>
      </w:r>
      <w:r w:rsidR="00C9043B">
        <w:rPr>
          <w:rFonts w:ascii="Century Gothic" w:eastAsia="Arial" w:hAnsi="Century Gothic" w:cs="Arial"/>
          <w:lang w:val="es-ES" w:eastAsia="es-MX"/>
        </w:rPr>
        <w:t>parafiscales respecto de personas con las que no tengan una relación laboral</w:t>
      </w:r>
      <w:r w:rsidR="00A4379B">
        <w:rPr>
          <w:rFonts w:ascii="Century Gothic" w:eastAsia="Arial" w:hAnsi="Century Gothic" w:cs="Arial"/>
          <w:lang w:val="es-ES" w:eastAsia="es-MX"/>
        </w:rPr>
        <w:t xml:space="preserve">, como bien podría ser el caso de un representante legal vinculado mediante contratos de mandato o prestación de servicios. </w:t>
      </w:r>
    </w:p>
    <w:p w14:paraId="26CBD6C1" w14:textId="34003170" w:rsidR="00D021D3" w:rsidRPr="00FA6559" w:rsidRDefault="00853683" w:rsidP="00D021D3">
      <w:pPr>
        <w:spacing w:after="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Fuera</w:t>
      </w:r>
      <w:r w:rsidRPr="00FA6559">
        <w:rPr>
          <w:rFonts w:ascii="Century Gothic" w:eastAsia="Arial" w:hAnsi="Century Gothic" w:cs="Arial"/>
          <w:lang w:val="es-ES" w:eastAsia="es-MX"/>
        </w:rPr>
        <w:t xml:space="preserve"> </w:t>
      </w:r>
      <w:r>
        <w:rPr>
          <w:rFonts w:ascii="Century Gothic" w:eastAsia="Arial" w:hAnsi="Century Gothic" w:cs="Arial"/>
          <w:lang w:val="es-ES" w:eastAsia="es-MX"/>
        </w:rPr>
        <w:t>de</w:t>
      </w:r>
      <w:r w:rsidR="00D021D3" w:rsidRPr="00FA6559">
        <w:rPr>
          <w:rFonts w:ascii="Century Gothic" w:eastAsia="Arial" w:hAnsi="Century Gothic" w:cs="Arial"/>
          <w:lang w:val="es-ES" w:eastAsia="es-MX"/>
        </w:rPr>
        <w:t xml:space="preserve"> lo anterior, teniendo en cuenta</w:t>
      </w:r>
      <w:r>
        <w:rPr>
          <w:rFonts w:ascii="Century Gothic" w:eastAsia="Arial" w:hAnsi="Century Gothic" w:cs="Arial"/>
          <w:lang w:val="es-ES" w:eastAsia="es-MX"/>
        </w:rPr>
        <w:t xml:space="preserve"> </w:t>
      </w:r>
      <w:r w:rsidR="00D021D3" w:rsidRPr="00FA6559">
        <w:rPr>
          <w:rFonts w:ascii="Century Gothic" w:eastAsia="Arial" w:hAnsi="Century Gothic" w:cs="Arial"/>
          <w:lang w:val="es-ES" w:eastAsia="es-MX"/>
        </w:rPr>
        <w:t>el objeto de su consulta es importante señalar lo dispuesto por el artículo 5 de la Ley 691 de 2001 “Mediante la cual se reglamenta la participación de los Grupos Étnicos en el Sistema General de Seguridad Social”</w:t>
      </w:r>
      <w:r w:rsidR="00996281">
        <w:rPr>
          <w:rFonts w:ascii="Century Gothic" w:eastAsia="Arial" w:hAnsi="Century Gothic" w:cs="Arial"/>
          <w:lang w:val="es-ES" w:eastAsia="es-MX"/>
        </w:rPr>
        <w:t>, establece lo siguiente</w:t>
      </w:r>
      <w:r w:rsidR="00D021D3" w:rsidRPr="00FA6559">
        <w:rPr>
          <w:rFonts w:ascii="Century Gothic" w:eastAsia="Arial" w:hAnsi="Century Gothic" w:cs="Arial"/>
          <w:lang w:val="es-ES" w:eastAsia="es-MX"/>
        </w:rPr>
        <w:t xml:space="preserve">: </w:t>
      </w:r>
    </w:p>
    <w:p w14:paraId="74FA60BC" w14:textId="77777777" w:rsidR="00D021D3" w:rsidRPr="00FA6559" w:rsidRDefault="00D021D3" w:rsidP="00D021D3">
      <w:pPr>
        <w:spacing w:after="0" w:line="276" w:lineRule="auto"/>
        <w:ind w:firstLine="709"/>
        <w:jc w:val="both"/>
        <w:rPr>
          <w:rFonts w:ascii="Century Gothic" w:eastAsia="Arial" w:hAnsi="Century Gothic" w:cs="Arial"/>
          <w:lang w:val="es-ES" w:eastAsia="es-MX"/>
        </w:rPr>
      </w:pPr>
    </w:p>
    <w:p w14:paraId="445DF618"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b/>
          <w:bCs/>
          <w:color w:val="000000"/>
          <w:sz w:val="21"/>
          <w:szCs w:val="21"/>
          <w:lang w:eastAsia="es-CO"/>
        </w:rPr>
        <w:t>“Artículo 5º.</w:t>
      </w:r>
      <w:r w:rsidRPr="00FA6559">
        <w:rPr>
          <w:rFonts w:ascii="Century Gothic" w:eastAsia="Times New Roman" w:hAnsi="Century Gothic" w:cs="Arial"/>
          <w:i/>
          <w:iCs/>
          <w:color w:val="000000"/>
          <w:sz w:val="21"/>
          <w:szCs w:val="21"/>
          <w:lang w:eastAsia="es-CO"/>
        </w:rPr>
        <w:t> Vinculación</w:t>
      </w:r>
      <w:r w:rsidRPr="00FA6559">
        <w:rPr>
          <w:rFonts w:ascii="Century Gothic" w:eastAsia="Times New Roman" w:hAnsi="Century Gothic" w:cs="Arial"/>
          <w:color w:val="000000"/>
          <w:sz w:val="21"/>
          <w:szCs w:val="21"/>
          <w:lang w:eastAsia="es-CO"/>
        </w:rPr>
        <w:t>. Los miembros de los Pueblos Indígenas participarán como afiliados al Régimen Subsidiado, en el Sistema General de Seguridad Social en Salud, excepto en los siguientes casos: </w:t>
      </w:r>
    </w:p>
    <w:p w14:paraId="63B6E2D7"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7A293010"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lastRenderedPageBreak/>
        <w:t>1. Que esté vinculado mediante contrato de trabajo. </w:t>
      </w:r>
    </w:p>
    <w:p w14:paraId="1925CD7A"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5A4877F1"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2. Que sea servidor público. </w:t>
      </w:r>
    </w:p>
    <w:p w14:paraId="292E425A"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6EB43C73"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3. Que goce de pensión de jubilación. </w:t>
      </w:r>
    </w:p>
    <w:p w14:paraId="13800C1B"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325D12E5"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Las tradicionales y legítimas autoridades de cada Pueblo Indígena, elaborarán un censo y lo mantendrán actualizado, para efectos del otorgamiento de los subsidios. Estos censos deberán ser registrados y verificados por el ente territorial municipal donde tengan asentamiento los pueblos indígenas. </w:t>
      </w:r>
    </w:p>
    <w:p w14:paraId="37AA9FAD"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27BC8A70"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b/>
          <w:bCs/>
          <w:color w:val="000000"/>
          <w:sz w:val="21"/>
          <w:szCs w:val="21"/>
          <w:lang w:eastAsia="es-CO"/>
        </w:rPr>
        <w:t>Parágrafo 1º</w:t>
      </w:r>
      <w:r w:rsidRPr="00FA6559">
        <w:rPr>
          <w:rFonts w:ascii="Century Gothic" w:eastAsia="Times New Roman" w:hAnsi="Century Gothic" w:cs="Arial"/>
          <w:color w:val="000000"/>
          <w:sz w:val="21"/>
          <w:szCs w:val="21"/>
          <w:lang w:eastAsia="es-CO"/>
        </w:rPr>
        <w:t>. El Ministerio de Salud vinculará a toda la población indígena del país en el término establecido en el artículo 157 literal b, inciso segundo de la Ley 100 de 1993. </w:t>
      </w:r>
    </w:p>
    <w:p w14:paraId="0717B552"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color w:val="000000"/>
          <w:sz w:val="21"/>
          <w:szCs w:val="21"/>
          <w:lang w:eastAsia="es-CO"/>
        </w:rPr>
        <w:t>  </w:t>
      </w:r>
    </w:p>
    <w:p w14:paraId="3393BAF8" w14:textId="77777777" w:rsidR="00D021D3" w:rsidRPr="00FA6559" w:rsidRDefault="00D021D3" w:rsidP="00D021D3">
      <w:pPr>
        <w:spacing w:after="0" w:line="240" w:lineRule="auto"/>
        <w:ind w:left="709" w:right="709"/>
        <w:jc w:val="both"/>
        <w:rPr>
          <w:rFonts w:ascii="Century Gothic" w:eastAsia="Times New Roman" w:hAnsi="Century Gothic" w:cs="Arial"/>
          <w:color w:val="000000"/>
          <w:sz w:val="21"/>
          <w:szCs w:val="21"/>
          <w:lang w:eastAsia="es-CO"/>
        </w:rPr>
      </w:pPr>
      <w:r w:rsidRPr="00FA6559">
        <w:rPr>
          <w:rFonts w:ascii="Century Gothic" w:eastAsia="Times New Roman" w:hAnsi="Century Gothic" w:cs="Arial"/>
          <w:b/>
          <w:bCs/>
          <w:color w:val="000000"/>
          <w:sz w:val="21"/>
          <w:szCs w:val="21"/>
          <w:lang w:eastAsia="es-CO"/>
        </w:rPr>
        <w:t>Parágrafo 2º</w:t>
      </w:r>
      <w:r w:rsidRPr="00FA6559">
        <w:rPr>
          <w:rFonts w:ascii="Century Gothic" w:eastAsia="Times New Roman" w:hAnsi="Century Gothic" w:cs="Arial"/>
          <w:color w:val="000000"/>
          <w:sz w:val="21"/>
          <w:szCs w:val="21"/>
          <w:lang w:eastAsia="es-CO"/>
        </w:rPr>
        <w:t>. La unificación del POS-S al POS del régimen contributivo se efectuará en relación con la totalidad de los servicios de salud en todos los niveles de atención y acorde con las particularidades socioculturales y geográficas de los pueblos indígenas.”</w:t>
      </w:r>
    </w:p>
    <w:p w14:paraId="45788E11" w14:textId="77777777" w:rsidR="00D021D3" w:rsidRPr="00FA6559" w:rsidRDefault="00D021D3" w:rsidP="00D021D3">
      <w:pPr>
        <w:spacing w:after="0" w:line="240" w:lineRule="auto"/>
        <w:ind w:left="709" w:right="709"/>
        <w:jc w:val="both"/>
        <w:rPr>
          <w:rFonts w:ascii="Century Gothic" w:eastAsia="Times New Roman" w:hAnsi="Century Gothic" w:cs="Arial"/>
          <w:color w:val="000000"/>
          <w:lang w:eastAsia="es-CO"/>
        </w:rPr>
      </w:pPr>
    </w:p>
    <w:p w14:paraId="26573BA7" w14:textId="082E4307" w:rsidR="008A470C" w:rsidRDefault="00D021D3" w:rsidP="004446BA">
      <w:pPr>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En virtud de esta norma, debe concluirse que, por regla general, los miembros de los Pueblos Indígenas se encuentran afiliados al Régimen Subsidiado del Sistema General de Seguridad Social en Salud, </w:t>
      </w:r>
      <w:r w:rsidR="00C96B0A">
        <w:rPr>
          <w:rFonts w:ascii="Century Gothic" w:eastAsia="Arial" w:hAnsi="Century Gothic" w:cs="Arial"/>
          <w:lang w:val="es-ES" w:eastAsia="es-MX"/>
        </w:rPr>
        <w:t xml:space="preserve">salvo en los tres supuestos indicados en el artículo 5 de la Ley 691 de 2001. En ese sentido, </w:t>
      </w:r>
      <w:r w:rsidR="00F77DB3">
        <w:rPr>
          <w:rFonts w:ascii="Century Gothic" w:eastAsia="Arial" w:hAnsi="Century Gothic" w:cs="Arial"/>
          <w:lang w:val="es-ES" w:eastAsia="es-MX"/>
        </w:rPr>
        <w:t>respecto de</w:t>
      </w:r>
      <w:r w:rsidR="003455AB">
        <w:rPr>
          <w:rFonts w:ascii="Century Gothic" w:eastAsia="Arial" w:hAnsi="Century Gothic" w:cs="Arial"/>
          <w:lang w:val="es-ES" w:eastAsia="es-MX"/>
        </w:rPr>
        <w:t xml:space="preserve"> los representantes legales </w:t>
      </w:r>
      <w:r w:rsidR="002632CB">
        <w:rPr>
          <w:rFonts w:ascii="Century Gothic" w:eastAsia="Arial" w:hAnsi="Century Gothic" w:cs="Arial"/>
          <w:lang w:val="es-ES" w:eastAsia="es-MX"/>
        </w:rPr>
        <w:t>de las referidas personas jurídicas representativas de los pueblos indígenas</w:t>
      </w:r>
      <w:r w:rsidR="00F77DB3">
        <w:rPr>
          <w:rFonts w:ascii="Century Gothic" w:eastAsia="Arial" w:hAnsi="Century Gothic" w:cs="Arial"/>
          <w:lang w:val="es-ES" w:eastAsia="es-MX"/>
        </w:rPr>
        <w:t xml:space="preserve">, </w:t>
      </w:r>
      <w:r w:rsidR="004A75B3">
        <w:rPr>
          <w:rFonts w:ascii="Century Gothic" w:eastAsia="Arial" w:hAnsi="Century Gothic" w:cs="Arial"/>
          <w:lang w:val="es-ES" w:eastAsia="es-MX"/>
        </w:rPr>
        <w:t>solo resultaría procedente acreditar aportes parafiscales</w:t>
      </w:r>
      <w:r w:rsidR="00DB1E62">
        <w:rPr>
          <w:rFonts w:ascii="Century Gothic" w:eastAsia="Arial" w:hAnsi="Century Gothic" w:cs="Arial"/>
          <w:lang w:val="es-ES" w:eastAsia="es-MX"/>
        </w:rPr>
        <w:t xml:space="preserve"> conforme al inciso tercero del artículo 50 de la Ley 789 de 2002, cuando estos tengan un </w:t>
      </w:r>
      <w:r w:rsidR="008A470C">
        <w:rPr>
          <w:rFonts w:ascii="Century Gothic" w:eastAsia="Arial" w:hAnsi="Century Gothic" w:cs="Arial"/>
          <w:lang w:val="es-ES" w:eastAsia="es-MX"/>
        </w:rPr>
        <w:t>vínculo</w:t>
      </w:r>
      <w:r w:rsidR="00DB1E62">
        <w:rPr>
          <w:rFonts w:ascii="Century Gothic" w:eastAsia="Arial" w:hAnsi="Century Gothic" w:cs="Arial"/>
          <w:lang w:val="es-ES" w:eastAsia="es-MX"/>
        </w:rPr>
        <w:t xml:space="preserve"> laboral con dicha organización</w:t>
      </w:r>
      <w:r w:rsidR="004446BA">
        <w:rPr>
          <w:rFonts w:ascii="Century Gothic" w:eastAsia="Arial" w:hAnsi="Century Gothic" w:cs="Arial"/>
          <w:lang w:val="es-ES" w:eastAsia="es-MX"/>
        </w:rPr>
        <w:t>.</w:t>
      </w:r>
      <w:r w:rsidR="009D5ED1">
        <w:rPr>
          <w:rFonts w:ascii="Century Gothic" w:eastAsia="Arial" w:hAnsi="Century Gothic" w:cs="Arial"/>
          <w:lang w:val="es-ES" w:eastAsia="es-MX"/>
        </w:rPr>
        <w:t xml:space="preserve"> </w:t>
      </w:r>
    </w:p>
    <w:p w14:paraId="0712F7CF" w14:textId="5FB22A6F" w:rsidR="008A470C" w:rsidRDefault="008A470C" w:rsidP="00BB52B5">
      <w:pPr>
        <w:spacing w:after="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Con todo, </w:t>
      </w:r>
      <w:r w:rsidR="007676AF">
        <w:rPr>
          <w:rFonts w:ascii="Century Gothic" w:eastAsia="Arial" w:hAnsi="Century Gothic" w:cs="Arial"/>
          <w:lang w:val="es-ES" w:eastAsia="es-MX"/>
        </w:rPr>
        <w:t>es necesario aclarar que, el hecho de que el representante legal</w:t>
      </w:r>
      <w:r w:rsidR="00F648AA">
        <w:rPr>
          <w:rFonts w:ascii="Century Gothic" w:eastAsia="Arial" w:hAnsi="Century Gothic" w:cs="Arial"/>
          <w:lang w:val="es-ES" w:eastAsia="es-MX"/>
        </w:rPr>
        <w:t xml:space="preserve"> no sea un empleado de la organización indígena no releva a la misma </w:t>
      </w:r>
      <w:r w:rsidR="001E1860">
        <w:rPr>
          <w:rFonts w:ascii="Century Gothic" w:eastAsia="Arial" w:hAnsi="Century Gothic" w:cs="Arial"/>
          <w:lang w:val="es-ES" w:eastAsia="es-MX"/>
        </w:rPr>
        <w:t xml:space="preserve">de acreditar lo señalado en el tercer inciso del artículo 50 de la Ley </w:t>
      </w:r>
      <w:r w:rsidR="00F042EA">
        <w:rPr>
          <w:rFonts w:ascii="Century Gothic" w:eastAsia="Arial" w:hAnsi="Century Gothic" w:cs="Arial"/>
          <w:lang w:val="es-ES" w:eastAsia="es-MX"/>
        </w:rPr>
        <w:t>789 de 2002 respecto del resto de sus empleado</w:t>
      </w:r>
      <w:r w:rsidR="00B324C3">
        <w:rPr>
          <w:rFonts w:ascii="Century Gothic" w:eastAsia="Arial" w:hAnsi="Century Gothic" w:cs="Arial"/>
          <w:lang w:val="es-ES" w:eastAsia="es-MX"/>
        </w:rPr>
        <w:t>s</w:t>
      </w:r>
      <w:r w:rsidR="00F042EA">
        <w:rPr>
          <w:rFonts w:ascii="Century Gothic" w:eastAsia="Arial" w:hAnsi="Century Gothic" w:cs="Arial"/>
          <w:lang w:val="es-ES" w:eastAsia="es-MX"/>
        </w:rPr>
        <w:t xml:space="preserve">. En el caso de que </w:t>
      </w:r>
      <w:r w:rsidR="007072E1">
        <w:rPr>
          <w:rFonts w:ascii="Century Gothic" w:eastAsia="Arial" w:hAnsi="Century Gothic" w:cs="Arial"/>
          <w:lang w:val="es-ES" w:eastAsia="es-MX"/>
        </w:rPr>
        <w:t xml:space="preserve">el Cabildo, Asociación de Cabildos o Autorizades Tradicionales u organización </w:t>
      </w:r>
      <w:r w:rsidR="00956925">
        <w:rPr>
          <w:rFonts w:ascii="Century Gothic" w:eastAsia="Arial" w:hAnsi="Century Gothic" w:cs="Arial"/>
          <w:lang w:val="es-ES" w:eastAsia="es-MX"/>
        </w:rPr>
        <w:t>indígena no tenga ningún empleado, o no est</w:t>
      </w:r>
      <w:r w:rsidR="00A27B2C">
        <w:rPr>
          <w:rFonts w:ascii="Century Gothic" w:eastAsia="Arial" w:hAnsi="Century Gothic" w:cs="Arial"/>
          <w:lang w:val="es-ES" w:eastAsia="es-MX"/>
        </w:rPr>
        <w:t>é</w:t>
      </w:r>
      <w:r w:rsidR="00956925">
        <w:rPr>
          <w:rFonts w:ascii="Century Gothic" w:eastAsia="Arial" w:hAnsi="Century Gothic" w:cs="Arial"/>
          <w:lang w:val="es-ES" w:eastAsia="es-MX"/>
        </w:rPr>
        <w:t xml:space="preserve"> obligada a </w:t>
      </w:r>
      <w:r w:rsidR="0044542D">
        <w:rPr>
          <w:rFonts w:ascii="Century Gothic" w:eastAsia="Arial" w:hAnsi="Century Gothic" w:cs="Arial"/>
          <w:lang w:val="es-ES" w:eastAsia="es-MX"/>
        </w:rPr>
        <w:t>realizar ningún aporte parafiscal deberá acreditar ello a efectos de dar cumplimiento a la norma</w:t>
      </w:r>
      <w:r w:rsidR="00B324C3">
        <w:rPr>
          <w:rFonts w:ascii="Century Gothic" w:eastAsia="Arial" w:hAnsi="Century Gothic" w:cs="Arial"/>
          <w:lang w:val="es-ES" w:eastAsia="es-MX"/>
        </w:rPr>
        <w:t xml:space="preserve"> y poder ej</w:t>
      </w:r>
      <w:r w:rsidR="00CF2D83">
        <w:rPr>
          <w:rFonts w:ascii="Century Gothic" w:eastAsia="Arial" w:hAnsi="Century Gothic" w:cs="Arial"/>
          <w:lang w:val="es-ES" w:eastAsia="es-MX"/>
        </w:rPr>
        <w:t xml:space="preserve">ecutar el contrato. </w:t>
      </w:r>
      <w:r w:rsidR="0044542D">
        <w:rPr>
          <w:rFonts w:ascii="Century Gothic" w:eastAsia="Arial" w:hAnsi="Century Gothic" w:cs="Arial"/>
          <w:lang w:val="es-ES" w:eastAsia="es-MX"/>
        </w:rPr>
        <w:t xml:space="preserve"> </w:t>
      </w:r>
      <w:r w:rsidR="00BB52B5">
        <w:rPr>
          <w:rFonts w:ascii="Century Gothic" w:eastAsia="Arial" w:hAnsi="Century Gothic" w:cs="Arial"/>
          <w:lang w:val="es-ES" w:eastAsia="es-MX"/>
        </w:rPr>
        <w:t xml:space="preserve"> </w:t>
      </w:r>
    </w:p>
    <w:p w14:paraId="58861260" w14:textId="77777777" w:rsidR="00BB52B5" w:rsidRDefault="00BB52B5" w:rsidP="00BB52B5">
      <w:pPr>
        <w:spacing w:after="0" w:line="276" w:lineRule="auto"/>
        <w:ind w:firstLine="709"/>
        <w:jc w:val="both"/>
        <w:rPr>
          <w:rFonts w:ascii="Century Gothic" w:eastAsia="Arial" w:hAnsi="Century Gothic" w:cs="Arial"/>
          <w:lang w:val="es-ES" w:eastAsia="es-MX"/>
        </w:rPr>
      </w:pPr>
    </w:p>
    <w:p w14:paraId="41818A13" w14:textId="77777777" w:rsidR="00D021D3" w:rsidRPr="002E1B1B" w:rsidRDefault="00D021D3" w:rsidP="00D021D3">
      <w:pPr>
        <w:spacing w:after="0"/>
        <w:jc w:val="both"/>
        <w:rPr>
          <w:rFonts w:ascii="Century Gothic" w:eastAsia="Calibri" w:hAnsi="Century Gothic" w:cs="Arial"/>
          <w:b/>
        </w:rPr>
      </w:pPr>
      <w:r w:rsidRPr="002E1B1B">
        <w:rPr>
          <w:rFonts w:ascii="Century Gothic" w:eastAsia="Calibri" w:hAnsi="Century Gothic" w:cs="Arial"/>
          <w:b/>
        </w:rPr>
        <w:t>3. Respuesta</w:t>
      </w:r>
    </w:p>
    <w:p w14:paraId="219AD618" w14:textId="77777777" w:rsidR="00D021D3" w:rsidRPr="002E1B1B" w:rsidRDefault="00D021D3" w:rsidP="00D021D3">
      <w:pPr>
        <w:spacing w:after="0"/>
        <w:jc w:val="both"/>
        <w:rPr>
          <w:rFonts w:ascii="Century Gothic" w:eastAsia="Calibri" w:hAnsi="Century Gothic" w:cs="Arial"/>
          <w:bCs/>
        </w:rPr>
      </w:pPr>
    </w:p>
    <w:p w14:paraId="4C140C5E" w14:textId="77777777" w:rsidR="00D021D3" w:rsidRPr="002E1B1B"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r w:rsidRPr="002E1B1B">
        <w:rPr>
          <w:rFonts w:ascii="Century Gothic" w:eastAsia="Times New Roman" w:hAnsi="Century Gothic" w:cs="Arial"/>
          <w:bCs/>
          <w:sz w:val="21"/>
          <w:szCs w:val="21"/>
          <w:lang w:val="es-ES" w:eastAsia="es-ES_tradnl"/>
        </w:rPr>
        <w:t xml:space="preserve">“En el marco de la celebración de los convenios y contratos a los que se refiere el Decreto 252 de 2020 y artículo 2, numeral 4, literal L) de la Ley </w:t>
      </w:r>
      <w:r w:rsidRPr="002E1B1B">
        <w:rPr>
          <w:rFonts w:ascii="Century Gothic" w:eastAsia="Times New Roman" w:hAnsi="Century Gothic" w:cs="Arial"/>
          <w:bCs/>
          <w:sz w:val="21"/>
          <w:szCs w:val="21"/>
          <w:lang w:val="es-ES" w:eastAsia="es-ES_tradnl"/>
        </w:rPr>
        <w:lastRenderedPageBreak/>
        <w:t>1150 de 2007: ¿Qué requisitos deben cumplir los Cabildos, Asociaciones de Cabildos y/o Autoridades Tradicionales y Organizaciones Indígenas en materia de seguridad social y aportes parafiscales? ¿Les aplica el artículo 50 de la Ley 789 de 2002? ¿Qué otra norma les aplica? ¿Cómo se acredita el cumplimiento de estos requisitos?</w:t>
      </w:r>
    </w:p>
    <w:p w14:paraId="382B4E16" w14:textId="77777777" w:rsidR="00D021D3" w:rsidRPr="002E1B1B"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p>
    <w:p w14:paraId="705F76F5" w14:textId="77777777" w:rsidR="00D021D3" w:rsidRPr="002E1B1B" w:rsidRDefault="00D021D3" w:rsidP="00D021D3">
      <w:pPr>
        <w:spacing w:after="0" w:line="240" w:lineRule="auto"/>
        <w:ind w:left="709" w:right="709"/>
        <w:jc w:val="both"/>
        <w:rPr>
          <w:rFonts w:ascii="Century Gothic" w:eastAsia="Times New Roman" w:hAnsi="Century Gothic" w:cs="Arial"/>
          <w:bCs/>
          <w:sz w:val="21"/>
          <w:szCs w:val="21"/>
          <w:lang w:val="es-ES" w:eastAsia="es-ES_tradnl"/>
        </w:rPr>
      </w:pPr>
      <w:r w:rsidRPr="002E1B1B">
        <w:rPr>
          <w:rFonts w:ascii="Century Gothic" w:eastAsia="Times New Roman" w:hAnsi="Century Gothic" w:cs="Arial"/>
          <w:bCs/>
          <w:sz w:val="21"/>
          <w:szCs w:val="21"/>
          <w:lang w:val="es-ES" w:eastAsia="es-ES_tradnl"/>
        </w:rPr>
        <w:t>Lo anterior teniendo en cuenta que un gobernador indígena es el representante legal de una entidad sin ánimo de lucro de carácter especial, el cual realiza un trabajo comunitario de manera ad honorem Y goza de su propia salud, la cual está establecida en la ley 691 del 2001.”</w:t>
      </w:r>
    </w:p>
    <w:p w14:paraId="19639476" w14:textId="77777777" w:rsidR="00D021D3" w:rsidRPr="002E1B1B" w:rsidRDefault="00D021D3" w:rsidP="00D021D3">
      <w:pPr>
        <w:spacing w:after="0" w:line="240" w:lineRule="auto"/>
        <w:ind w:right="709"/>
        <w:jc w:val="both"/>
        <w:rPr>
          <w:rFonts w:ascii="Century Gothic" w:eastAsia="Times New Roman" w:hAnsi="Century Gothic" w:cs="Arial"/>
          <w:bCs/>
          <w:lang w:eastAsia="es-ES_tradnl"/>
        </w:rPr>
      </w:pPr>
    </w:p>
    <w:p w14:paraId="06274888" w14:textId="21177669" w:rsidR="004446BA" w:rsidRDefault="004446BA" w:rsidP="00BB52B5">
      <w:pPr>
        <w:spacing w:after="120" w:line="276" w:lineRule="auto"/>
        <w:jc w:val="both"/>
        <w:rPr>
          <w:rFonts w:ascii="Century Gothic" w:eastAsia="Arial" w:hAnsi="Century Gothic" w:cs="Arial"/>
          <w:lang w:val="es-ES" w:eastAsia="es-MX"/>
        </w:rPr>
      </w:pPr>
      <w:r>
        <w:rPr>
          <w:rFonts w:ascii="Century Gothic" w:eastAsia="Arial" w:hAnsi="Century Gothic" w:cs="Arial"/>
          <w:lang w:val="es-ES" w:eastAsia="es-MX"/>
        </w:rPr>
        <w:t xml:space="preserve">De acuerdo con lo expuesto, </w:t>
      </w:r>
      <w:r w:rsidR="0021742A">
        <w:rPr>
          <w:rFonts w:ascii="Century Gothic" w:eastAsia="Arial" w:hAnsi="Century Gothic" w:cs="Arial"/>
          <w:lang w:val="es-ES" w:eastAsia="es-MX"/>
        </w:rPr>
        <w:t xml:space="preserve">a </w:t>
      </w:r>
      <w:r>
        <w:rPr>
          <w:rFonts w:ascii="Century Gothic" w:eastAsia="Arial" w:hAnsi="Century Gothic" w:cs="Arial"/>
          <w:lang w:val="es-ES" w:eastAsia="es-MX"/>
        </w:rPr>
        <w:t xml:space="preserve">las Asociaciones de Cabildos y Autoridades Tradicionales, </w:t>
      </w:r>
      <w:r w:rsidR="0021742A">
        <w:rPr>
          <w:rFonts w:ascii="Century Gothic" w:eastAsia="Arial" w:hAnsi="Century Gothic" w:cs="Arial"/>
          <w:lang w:val="es-ES" w:eastAsia="es-MX"/>
        </w:rPr>
        <w:t xml:space="preserve">a </w:t>
      </w:r>
      <w:r>
        <w:rPr>
          <w:rFonts w:ascii="Century Gothic" w:eastAsia="Arial" w:hAnsi="Century Gothic" w:cs="Arial"/>
          <w:lang w:val="es-ES" w:eastAsia="es-MX"/>
        </w:rPr>
        <w:t xml:space="preserve">los Cabildos y en general las organizaciones indígenas, en tanto personas jurídicas, deben cumplir con lo dispuesto en el tercer inciso del artículo 50 de la Ley 789 de 2002. Esto considerando que ni esta, ni otra norma en particular, exceptúa a este tipo de personas jurídicas del cumplimiento del requisito allí previsto.  </w:t>
      </w:r>
      <w:r w:rsidR="0021742A">
        <w:rPr>
          <w:rFonts w:ascii="Century Gothic" w:eastAsia="Arial" w:hAnsi="Century Gothic" w:cs="Arial"/>
          <w:lang w:val="es-ES" w:eastAsia="es-MX"/>
        </w:rPr>
        <w:t>Esto implica</w:t>
      </w:r>
      <w:r>
        <w:rPr>
          <w:rFonts w:ascii="Century Gothic" w:eastAsia="Arial" w:hAnsi="Century Gothic" w:cs="Arial"/>
          <w:lang w:val="es-ES" w:eastAsia="es-MX"/>
        </w:rPr>
        <w:t xml:space="preserve"> supone que tales </w:t>
      </w:r>
      <w:r w:rsidR="0021742A">
        <w:rPr>
          <w:rFonts w:ascii="Century Gothic" w:eastAsia="Arial" w:hAnsi="Century Gothic" w:cs="Arial"/>
          <w:lang w:val="es-ES" w:eastAsia="es-MX"/>
        </w:rPr>
        <w:t>personas jurídicas</w:t>
      </w:r>
      <w:r>
        <w:rPr>
          <w:rFonts w:ascii="Century Gothic" w:eastAsia="Arial" w:hAnsi="Century Gothic" w:cs="Arial"/>
          <w:lang w:val="es-ES" w:eastAsia="es-MX"/>
        </w:rPr>
        <w:t xml:space="preserve"> </w:t>
      </w:r>
      <w:r w:rsidR="0021742A">
        <w:rPr>
          <w:rFonts w:ascii="Century Gothic" w:eastAsia="Arial" w:hAnsi="Century Gothic" w:cs="Arial"/>
          <w:lang w:val="es-ES" w:eastAsia="es-MX"/>
        </w:rPr>
        <w:t xml:space="preserve">están llamadas a </w:t>
      </w:r>
      <w:r>
        <w:rPr>
          <w:rFonts w:ascii="Century Gothic" w:eastAsia="Arial" w:hAnsi="Century Gothic" w:cs="Arial"/>
          <w:lang w:val="es-ES" w:eastAsia="es-MX"/>
        </w:rPr>
        <w:t>acreditar que se encuentran al día con los aportes parafiscales de que les correspondan, a efectos de cumplir con el requisito previsto en la parte final del segundo inciso del artículo 41 de la Ley 80 de 1993.</w:t>
      </w:r>
    </w:p>
    <w:p w14:paraId="766D5038" w14:textId="73F942C2" w:rsidR="00774AE2" w:rsidRDefault="0021742A" w:rsidP="00FA6559">
      <w:pPr>
        <w:spacing w:after="12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No obstante, los </w:t>
      </w:r>
      <w:r w:rsidR="004446BA">
        <w:rPr>
          <w:rFonts w:ascii="Century Gothic" w:eastAsia="Arial" w:hAnsi="Century Gothic" w:cs="Arial"/>
          <w:lang w:val="es-ES" w:eastAsia="es-MX"/>
        </w:rPr>
        <w:t xml:space="preserve">aportes parafiscales que deben acreditarse son los que corresponde </w:t>
      </w:r>
      <w:r>
        <w:rPr>
          <w:rFonts w:ascii="Century Gothic" w:eastAsia="Arial" w:hAnsi="Century Gothic" w:cs="Arial"/>
          <w:lang w:val="es-ES" w:eastAsia="es-MX"/>
        </w:rPr>
        <w:t>realizar</w:t>
      </w:r>
      <w:r w:rsidR="004446BA">
        <w:rPr>
          <w:rFonts w:ascii="Century Gothic" w:eastAsia="Arial" w:hAnsi="Century Gothic" w:cs="Arial"/>
          <w:lang w:val="es-ES" w:eastAsia="es-MX"/>
        </w:rPr>
        <w:t xml:space="preserve"> a </w:t>
      </w:r>
      <w:r>
        <w:rPr>
          <w:rFonts w:ascii="Century Gothic" w:eastAsia="Arial" w:hAnsi="Century Gothic" w:cs="Arial"/>
          <w:lang w:val="es-ES" w:eastAsia="es-MX"/>
        </w:rPr>
        <w:t xml:space="preserve">estas </w:t>
      </w:r>
      <w:r w:rsidR="004446BA">
        <w:rPr>
          <w:rFonts w:ascii="Century Gothic" w:eastAsia="Arial" w:hAnsi="Century Gothic" w:cs="Arial"/>
          <w:lang w:val="es-ES" w:eastAsia="es-MX"/>
        </w:rPr>
        <w:t>persona</w:t>
      </w:r>
      <w:r>
        <w:rPr>
          <w:rFonts w:ascii="Century Gothic" w:eastAsia="Arial" w:hAnsi="Century Gothic" w:cs="Arial"/>
          <w:lang w:val="es-ES" w:eastAsia="es-MX"/>
        </w:rPr>
        <w:t>s</w:t>
      </w:r>
      <w:r w:rsidR="004446BA">
        <w:rPr>
          <w:rFonts w:ascii="Century Gothic" w:eastAsia="Arial" w:hAnsi="Century Gothic" w:cs="Arial"/>
          <w:lang w:val="es-ES" w:eastAsia="es-MX"/>
        </w:rPr>
        <w:t xml:space="preserve"> jurídica</w:t>
      </w:r>
      <w:r>
        <w:rPr>
          <w:rFonts w:ascii="Century Gothic" w:eastAsia="Arial" w:hAnsi="Century Gothic" w:cs="Arial"/>
          <w:lang w:val="es-ES" w:eastAsia="es-MX"/>
        </w:rPr>
        <w:t>s</w:t>
      </w:r>
      <w:r w:rsidR="004446BA">
        <w:rPr>
          <w:rFonts w:ascii="Century Gothic" w:eastAsia="Arial" w:hAnsi="Century Gothic" w:cs="Arial"/>
          <w:lang w:val="es-ES" w:eastAsia="es-MX"/>
        </w:rPr>
        <w:t xml:space="preserve"> respecto de sus </w:t>
      </w:r>
      <w:r w:rsidR="004446BA" w:rsidRPr="003B3EAE">
        <w:rPr>
          <w:rFonts w:ascii="Century Gothic" w:eastAsia="Arial" w:hAnsi="Century Gothic" w:cs="Arial"/>
          <w:i/>
          <w:iCs/>
          <w:lang w:val="es-ES" w:eastAsia="es-MX"/>
        </w:rPr>
        <w:t>“empleados”</w:t>
      </w:r>
      <w:r w:rsidR="004446BA">
        <w:rPr>
          <w:rFonts w:ascii="Century Gothic" w:eastAsia="Arial" w:hAnsi="Century Gothic" w:cs="Arial"/>
          <w:lang w:val="es-ES" w:eastAsia="es-MX"/>
        </w:rPr>
        <w:t xml:space="preserve">, </w:t>
      </w:r>
      <w:r>
        <w:rPr>
          <w:rFonts w:ascii="Century Gothic" w:eastAsia="Arial" w:hAnsi="Century Gothic" w:cs="Arial"/>
          <w:lang w:val="es-ES" w:eastAsia="es-MX"/>
        </w:rPr>
        <w:t>es decir</w:t>
      </w:r>
      <w:r w:rsidR="004446BA">
        <w:rPr>
          <w:rFonts w:ascii="Century Gothic" w:eastAsia="Arial" w:hAnsi="Century Gothic" w:cs="Arial"/>
          <w:lang w:val="es-ES" w:eastAsia="es-MX"/>
        </w:rPr>
        <w:t>,</w:t>
      </w:r>
      <w:r>
        <w:rPr>
          <w:rFonts w:ascii="Century Gothic" w:eastAsia="Arial" w:hAnsi="Century Gothic" w:cs="Arial"/>
          <w:lang w:val="es-ES" w:eastAsia="es-MX"/>
        </w:rPr>
        <w:t xml:space="preserve"> </w:t>
      </w:r>
      <w:r w:rsidR="004446BA">
        <w:rPr>
          <w:rFonts w:ascii="Century Gothic" w:eastAsia="Arial" w:hAnsi="Century Gothic" w:cs="Arial"/>
          <w:lang w:val="es-ES" w:eastAsia="es-MX"/>
        </w:rPr>
        <w:t xml:space="preserve">las personas que tengan </w:t>
      </w:r>
      <w:r w:rsidR="0075629A">
        <w:rPr>
          <w:rFonts w:ascii="Century Gothic" w:eastAsia="Arial" w:hAnsi="Century Gothic" w:cs="Arial"/>
          <w:lang w:val="es-ES" w:eastAsia="es-MX"/>
        </w:rPr>
        <w:t xml:space="preserve">vinculadas mediante </w:t>
      </w:r>
      <w:r w:rsidR="004446BA">
        <w:rPr>
          <w:rFonts w:ascii="Century Gothic" w:eastAsia="Arial" w:hAnsi="Century Gothic" w:cs="Arial"/>
          <w:lang w:val="es-ES" w:eastAsia="es-MX"/>
        </w:rPr>
        <w:t xml:space="preserve">una relación laboral. En ese </w:t>
      </w:r>
      <w:r w:rsidR="0075629A">
        <w:rPr>
          <w:rFonts w:ascii="Century Gothic" w:eastAsia="Arial" w:hAnsi="Century Gothic" w:cs="Arial"/>
          <w:lang w:val="es-ES" w:eastAsia="es-MX"/>
        </w:rPr>
        <w:t>orden</w:t>
      </w:r>
      <w:r w:rsidR="004446BA">
        <w:rPr>
          <w:rFonts w:ascii="Century Gothic" w:eastAsia="Arial" w:hAnsi="Century Gothic" w:cs="Arial"/>
          <w:lang w:val="es-ES" w:eastAsia="es-MX"/>
        </w:rPr>
        <w:t>, en el marco del cumplimiento del requisito previsto en el tercer inciso del artículo 50 de la Ley 789 de 2002, no les resultaría exigible a las Asociaciones de Cabildos y Autoridades Tradicionales, ni a los Cabildos y ni a las organizaciones indígenas, acreditar aportes parafiscales respecto de personas con las que no tengan una relación laboral, como bien podría ser el caso de un representante legal vinculado</w:t>
      </w:r>
      <w:r w:rsidR="008A470C">
        <w:rPr>
          <w:rFonts w:ascii="Century Gothic" w:eastAsia="Arial" w:hAnsi="Century Gothic" w:cs="Arial"/>
          <w:lang w:val="es-ES" w:eastAsia="es-MX"/>
        </w:rPr>
        <w:t xml:space="preserve">. </w:t>
      </w:r>
    </w:p>
    <w:p w14:paraId="6DDE6789" w14:textId="3CBF11D3" w:rsidR="00774AE2" w:rsidRDefault="00774AE2" w:rsidP="00FA6559">
      <w:pPr>
        <w:spacing w:after="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Sin perjuicio de lo anterior, el hecho de que el representante legal no sea un empleado de la organización indígena no releva a la misma de acreditar lo señalado en el tercer inciso del artículo 50 de la Ley 789 de 2002 respecto del resto de sus trabajadores. En el caso de que la respectiva persona </w:t>
      </w:r>
      <w:r w:rsidR="00B324C3">
        <w:rPr>
          <w:rFonts w:ascii="Century Gothic" w:eastAsia="Arial" w:hAnsi="Century Gothic" w:cs="Arial"/>
          <w:lang w:val="es-ES" w:eastAsia="es-MX"/>
        </w:rPr>
        <w:t>jurídica</w:t>
      </w:r>
      <w:r>
        <w:rPr>
          <w:rFonts w:ascii="Century Gothic" w:eastAsia="Arial" w:hAnsi="Century Gothic" w:cs="Arial"/>
          <w:lang w:val="es-ES" w:eastAsia="es-MX"/>
        </w:rPr>
        <w:t xml:space="preserve"> no tenga ningún empleado o no esté obligada a realizar ningún aporte parafiscal deberá acreditar ello a efectos de dar cumplimiento al requisito establecido en la norma.  </w:t>
      </w:r>
    </w:p>
    <w:p w14:paraId="55B09362" w14:textId="77777777" w:rsidR="00774AE2" w:rsidRDefault="00774AE2" w:rsidP="00D021D3">
      <w:pPr>
        <w:spacing w:after="0" w:line="276" w:lineRule="auto"/>
        <w:jc w:val="both"/>
        <w:rPr>
          <w:rFonts w:ascii="Century Gothic" w:eastAsia="Times New Roman" w:hAnsi="Century Gothic" w:cs="Arial"/>
          <w:color w:val="000000"/>
          <w:lang w:val="es-ES_tradnl" w:eastAsia="es-ES_tradnl"/>
        </w:rPr>
      </w:pPr>
    </w:p>
    <w:p w14:paraId="5FE3FDD3" w14:textId="77777777" w:rsidR="00516C2B" w:rsidRDefault="00516C2B" w:rsidP="00D021D3">
      <w:pPr>
        <w:spacing w:after="0" w:line="276" w:lineRule="auto"/>
        <w:jc w:val="both"/>
        <w:rPr>
          <w:rFonts w:ascii="Century Gothic" w:eastAsia="Times New Roman" w:hAnsi="Century Gothic" w:cs="Arial"/>
          <w:color w:val="000000"/>
          <w:lang w:val="es-ES_tradnl" w:eastAsia="es-ES_tradnl"/>
        </w:rPr>
      </w:pPr>
    </w:p>
    <w:p w14:paraId="1F885592" w14:textId="77777777" w:rsidR="00516C2B" w:rsidRDefault="00516C2B" w:rsidP="00D021D3">
      <w:pPr>
        <w:spacing w:after="0" w:line="276" w:lineRule="auto"/>
        <w:jc w:val="both"/>
        <w:rPr>
          <w:rFonts w:ascii="Century Gothic" w:eastAsia="Times New Roman" w:hAnsi="Century Gothic" w:cs="Arial"/>
          <w:color w:val="000000"/>
          <w:lang w:val="es-ES_tradnl" w:eastAsia="es-ES_tradnl"/>
        </w:rPr>
      </w:pPr>
    </w:p>
    <w:p w14:paraId="636F1EFD" w14:textId="422ABEF6" w:rsidR="00D021D3" w:rsidRPr="00FA6559" w:rsidRDefault="00D021D3" w:rsidP="00D021D3">
      <w:pPr>
        <w:spacing w:after="0" w:line="276" w:lineRule="auto"/>
        <w:jc w:val="both"/>
        <w:rPr>
          <w:rFonts w:ascii="Century Gothic" w:eastAsia="Times New Roman" w:hAnsi="Century Gothic" w:cs="Arial"/>
          <w:bCs/>
          <w:color w:val="000000"/>
          <w:szCs w:val="24"/>
          <w:lang w:eastAsia="es-ES_tradnl"/>
        </w:rPr>
      </w:pPr>
      <w:r w:rsidRPr="00FA6559">
        <w:rPr>
          <w:rFonts w:ascii="Century Gothic" w:eastAsia="Times New Roman" w:hAnsi="Century Gothic" w:cs="Arial"/>
          <w:color w:val="000000"/>
          <w:lang w:val="es-ES_tradnl" w:eastAsia="es-ES_tradnl"/>
        </w:rPr>
        <w:lastRenderedPageBreak/>
        <w:t>Este concepto tiene el alcance previsto en el artículo 28 del</w:t>
      </w:r>
      <w:r w:rsidRPr="00FA6559">
        <w:rPr>
          <w:rFonts w:ascii="Century Gothic" w:eastAsia="Times New Roman" w:hAnsi="Century Gothic" w:cs="Arial"/>
          <w:color w:val="000000"/>
          <w:szCs w:val="24"/>
          <w:lang w:val="es-ES_tradnl" w:eastAsia="es-ES_tradnl"/>
        </w:rPr>
        <w:t xml:space="preserve"> Código de Procedimiento Administrativo y de lo Contencioso Administrativo</w:t>
      </w:r>
      <w:r w:rsidR="008A470C">
        <w:rPr>
          <w:rFonts w:ascii="Century Gothic" w:eastAsia="Calibri" w:hAnsi="Century Gothic" w:cs="Arial"/>
          <w:lang w:val="es-ES" w:eastAsia="es-MX"/>
        </w:rPr>
        <w:t>.</w:t>
      </w:r>
    </w:p>
    <w:p w14:paraId="3904AED8" w14:textId="77777777" w:rsidR="00D021D3" w:rsidRPr="00FA6559" w:rsidRDefault="00D021D3" w:rsidP="00D021D3">
      <w:pPr>
        <w:widowControl w:val="0"/>
        <w:autoSpaceDE w:val="0"/>
        <w:autoSpaceDN w:val="0"/>
        <w:spacing w:after="0" w:line="276" w:lineRule="auto"/>
        <w:jc w:val="both"/>
        <w:rPr>
          <w:rFonts w:ascii="Century Gothic" w:eastAsia="Times New Roman" w:hAnsi="Century Gothic" w:cs="Arial"/>
          <w:color w:val="000000"/>
          <w:szCs w:val="24"/>
          <w:lang w:val="es-ES_tradnl" w:eastAsia="es-ES_tradnl"/>
        </w:rPr>
      </w:pPr>
    </w:p>
    <w:p w14:paraId="03B473A2" w14:textId="77777777" w:rsidR="00D021D3" w:rsidRPr="00FA6559" w:rsidRDefault="00D021D3" w:rsidP="00D021D3">
      <w:pPr>
        <w:spacing w:after="0" w:line="276" w:lineRule="auto"/>
        <w:jc w:val="both"/>
        <w:rPr>
          <w:rFonts w:ascii="Century Gothic" w:eastAsia="Times New Roman" w:hAnsi="Century Gothic" w:cs="Arial"/>
          <w:color w:val="000000"/>
          <w:lang w:val="es-ES_tradnl" w:eastAsia="es-CO"/>
        </w:rPr>
      </w:pPr>
      <w:r w:rsidRPr="00FA6559">
        <w:rPr>
          <w:rFonts w:ascii="Century Gothic" w:eastAsia="Times New Roman" w:hAnsi="Century Gothic" w:cs="Arial"/>
          <w:color w:val="000000" w:themeColor="text1"/>
          <w:lang w:val="es-ES" w:eastAsia="es-CO"/>
        </w:rPr>
        <w:t>Atentamente,</w:t>
      </w:r>
    </w:p>
    <w:p w14:paraId="3CC4B530" w14:textId="3814E92A" w:rsidR="00D021D3" w:rsidRPr="00FA6559" w:rsidRDefault="00516C2B" w:rsidP="00D021D3">
      <w:pPr>
        <w:spacing w:after="0" w:line="276" w:lineRule="auto"/>
        <w:jc w:val="center"/>
        <w:rPr>
          <w:rFonts w:ascii="Century Gothic" w:hAnsi="Century Gothic"/>
        </w:rPr>
      </w:pPr>
      <w:r>
        <w:rPr>
          <w:rFonts w:ascii="Arial" w:hAnsi="Arial" w:cs="Arial"/>
          <w:noProof/>
          <w:color w:val="000000"/>
          <w:lang w:val="es-ES_tradnl"/>
        </w:rPr>
        <w:drawing>
          <wp:inline distT="0" distB="0" distL="0" distR="0" wp14:anchorId="1541C587" wp14:editId="17439AA5">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p w14:paraId="6167DA23" w14:textId="77777777" w:rsidR="00D021D3" w:rsidRPr="00FA6559" w:rsidRDefault="00D021D3" w:rsidP="00D021D3">
      <w:pPr>
        <w:spacing w:after="0" w:line="276" w:lineRule="auto"/>
        <w:jc w:val="both"/>
        <w:rPr>
          <w:rFonts w:ascii="Century Gothic" w:eastAsia="Times New Roman" w:hAnsi="Century Gothic" w:cs="Arial"/>
          <w:color w:val="000000"/>
          <w:sz w:val="16"/>
          <w:szCs w:val="16"/>
          <w:lang w:val="es-ES_tradnl"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099"/>
      </w:tblGrid>
      <w:tr w:rsidR="00D021D3" w:rsidRPr="001E6A16" w14:paraId="07DE4901" w14:textId="77777777" w:rsidTr="00FA6559">
        <w:trPr>
          <w:trHeight w:val="160"/>
        </w:trPr>
        <w:tc>
          <w:tcPr>
            <w:tcW w:w="855" w:type="dxa"/>
            <w:vAlign w:val="center"/>
            <w:hideMark/>
          </w:tcPr>
          <w:p w14:paraId="6828598A"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val="es-ES_tradnl" w:eastAsia="es-ES"/>
              </w:rPr>
              <w:t>Elaboró:</w:t>
            </w:r>
          </w:p>
        </w:tc>
        <w:tc>
          <w:tcPr>
            <w:tcW w:w="5099" w:type="dxa"/>
            <w:tcBorders>
              <w:top w:val="nil"/>
              <w:left w:val="nil"/>
              <w:bottom w:val="dotted" w:sz="4" w:space="0" w:color="7F7F7F"/>
              <w:right w:val="nil"/>
            </w:tcBorders>
            <w:vAlign w:val="center"/>
            <w:hideMark/>
          </w:tcPr>
          <w:p w14:paraId="6EFFE164"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val="es-ES_tradnl" w:eastAsia="es-ES"/>
              </w:rPr>
              <w:t>Kevin Arlid Herrera Santa</w:t>
            </w:r>
          </w:p>
          <w:p w14:paraId="6976A67F"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val="es-ES_tradnl" w:eastAsia="es-ES"/>
              </w:rPr>
              <w:t>Contratista de la Subdirección de Gestión Contractual</w:t>
            </w:r>
          </w:p>
        </w:tc>
      </w:tr>
      <w:tr w:rsidR="00D021D3" w:rsidRPr="001E6A16" w14:paraId="0422ECEB" w14:textId="77777777" w:rsidTr="00FA6559">
        <w:trPr>
          <w:trHeight w:val="330"/>
        </w:trPr>
        <w:tc>
          <w:tcPr>
            <w:tcW w:w="855" w:type="dxa"/>
            <w:vAlign w:val="center"/>
            <w:hideMark/>
          </w:tcPr>
          <w:p w14:paraId="75A3704B"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val="es-ES_tradnl" w:eastAsia="es-ES"/>
              </w:rPr>
              <w:t>Revisó:</w:t>
            </w:r>
          </w:p>
        </w:tc>
        <w:tc>
          <w:tcPr>
            <w:tcW w:w="5099" w:type="dxa"/>
            <w:tcBorders>
              <w:top w:val="dotted" w:sz="4" w:space="0" w:color="7F7F7F"/>
              <w:left w:val="nil"/>
              <w:bottom w:val="dotted" w:sz="4" w:space="0" w:color="7F7F7F"/>
              <w:right w:val="nil"/>
            </w:tcBorders>
            <w:vAlign w:val="center"/>
            <w:hideMark/>
          </w:tcPr>
          <w:p w14:paraId="1A17F1A6" w14:textId="77777777" w:rsidR="00D021D3" w:rsidRPr="00FA6559" w:rsidRDefault="00D021D3" w:rsidP="00D021D3">
            <w:pPr>
              <w:jc w:val="both"/>
              <w:rPr>
                <w:rFonts w:ascii="Century Gothic" w:eastAsia="Times New Roman" w:hAnsi="Century Gothic" w:cs="Arial"/>
                <w:color w:val="000000"/>
                <w:sz w:val="16"/>
                <w:szCs w:val="16"/>
                <w:lang w:eastAsia="es-ES"/>
              </w:rPr>
            </w:pPr>
            <w:r w:rsidRPr="00FA6559">
              <w:rPr>
                <w:rFonts w:ascii="Century Gothic" w:eastAsia="Times New Roman" w:hAnsi="Century Gothic" w:cs="Arial"/>
                <w:color w:val="000000"/>
                <w:sz w:val="16"/>
                <w:szCs w:val="16"/>
                <w:lang w:eastAsia="es-ES"/>
              </w:rPr>
              <w:t>Alejandro Sarmiento Cantillo</w:t>
            </w:r>
          </w:p>
          <w:p w14:paraId="239E1F49" w14:textId="77777777" w:rsidR="00D021D3" w:rsidRPr="00FA6559" w:rsidRDefault="00D021D3" w:rsidP="00D021D3">
            <w:pPr>
              <w:jc w:val="both"/>
              <w:rPr>
                <w:rFonts w:ascii="Century Gothic" w:eastAsia="Times New Roman" w:hAnsi="Century Gothic" w:cs="Arial"/>
                <w:color w:val="000000"/>
                <w:sz w:val="16"/>
                <w:szCs w:val="16"/>
                <w:lang w:eastAsia="es-ES"/>
              </w:rPr>
            </w:pPr>
            <w:r w:rsidRPr="00FA6559">
              <w:rPr>
                <w:rFonts w:ascii="Century Gothic" w:eastAsia="Times New Roman" w:hAnsi="Century Gothic" w:cs="Arial"/>
                <w:color w:val="000000"/>
                <w:sz w:val="16"/>
                <w:szCs w:val="16"/>
                <w:lang w:eastAsia="es-ES"/>
              </w:rPr>
              <w:t>Gestor T1-15 de la Subdirección de Gestión Contractual</w:t>
            </w:r>
          </w:p>
        </w:tc>
      </w:tr>
      <w:tr w:rsidR="00D021D3" w:rsidRPr="001E6A16" w14:paraId="5EC5F408" w14:textId="77777777" w:rsidTr="00FA6559">
        <w:trPr>
          <w:trHeight w:val="300"/>
        </w:trPr>
        <w:tc>
          <w:tcPr>
            <w:tcW w:w="855" w:type="dxa"/>
            <w:vAlign w:val="center"/>
            <w:hideMark/>
          </w:tcPr>
          <w:p w14:paraId="4AE7AC17"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val="es-ES_tradnl" w:eastAsia="es-ES"/>
              </w:rPr>
              <w:t>Aprobó:</w:t>
            </w:r>
          </w:p>
        </w:tc>
        <w:tc>
          <w:tcPr>
            <w:tcW w:w="5099" w:type="dxa"/>
            <w:tcBorders>
              <w:top w:val="dotted" w:sz="4" w:space="0" w:color="7F7F7F"/>
              <w:left w:val="nil"/>
              <w:bottom w:val="dotted" w:sz="4" w:space="0" w:color="7F7F7F"/>
              <w:right w:val="nil"/>
            </w:tcBorders>
            <w:vAlign w:val="center"/>
            <w:hideMark/>
          </w:tcPr>
          <w:p w14:paraId="34C1DB74" w14:textId="77777777" w:rsidR="00D021D3" w:rsidRPr="00FA6559" w:rsidRDefault="00D021D3" w:rsidP="00D021D3">
            <w:pPr>
              <w:jc w:val="both"/>
              <w:rPr>
                <w:rFonts w:ascii="Century Gothic" w:eastAsia="Times New Roman" w:hAnsi="Century Gothic" w:cs="Arial"/>
                <w:color w:val="000000"/>
                <w:sz w:val="16"/>
                <w:szCs w:val="16"/>
                <w:lang w:eastAsia="es-ES"/>
              </w:rPr>
            </w:pPr>
            <w:r w:rsidRPr="00FA6559">
              <w:rPr>
                <w:rFonts w:ascii="Century Gothic" w:eastAsia="Times New Roman" w:hAnsi="Century Gothic" w:cs="Arial"/>
                <w:color w:val="000000"/>
                <w:sz w:val="16"/>
                <w:szCs w:val="16"/>
                <w:lang w:eastAsia="es-ES"/>
              </w:rPr>
              <w:t xml:space="preserve">Nohelia del Carmen </w:t>
            </w:r>
            <w:proofErr w:type="spellStart"/>
            <w:r w:rsidRPr="00FA6559">
              <w:rPr>
                <w:rFonts w:ascii="Century Gothic" w:eastAsia="Times New Roman" w:hAnsi="Century Gothic" w:cs="Arial"/>
                <w:color w:val="000000"/>
                <w:sz w:val="16"/>
                <w:szCs w:val="16"/>
                <w:lang w:eastAsia="es-ES"/>
              </w:rPr>
              <w:t>Zawady</w:t>
            </w:r>
            <w:proofErr w:type="spellEnd"/>
            <w:r w:rsidRPr="00FA6559">
              <w:rPr>
                <w:rFonts w:ascii="Century Gothic" w:eastAsia="Times New Roman" w:hAnsi="Century Gothic" w:cs="Arial"/>
                <w:color w:val="000000"/>
                <w:sz w:val="16"/>
                <w:szCs w:val="16"/>
                <w:lang w:eastAsia="es-ES"/>
              </w:rPr>
              <w:t xml:space="preserve"> Palacio</w:t>
            </w:r>
          </w:p>
          <w:p w14:paraId="0C0CB69A" w14:textId="77777777" w:rsidR="00D021D3" w:rsidRPr="00FA6559" w:rsidRDefault="00D021D3" w:rsidP="00D021D3">
            <w:pPr>
              <w:jc w:val="both"/>
              <w:rPr>
                <w:rFonts w:ascii="Century Gothic" w:eastAsia="Times New Roman" w:hAnsi="Century Gothic" w:cs="Arial"/>
                <w:color w:val="000000"/>
                <w:sz w:val="16"/>
                <w:szCs w:val="16"/>
                <w:lang w:val="es-ES_tradnl" w:eastAsia="es-ES"/>
              </w:rPr>
            </w:pPr>
            <w:r w:rsidRPr="00FA6559">
              <w:rPr>
                <w:rFonts w:ascii="Century Gothic" w:eastAsia="Times New Roman" w:hAnsi="Century Gothic" w:cs="Arial"/>
                <w:color w:val="000000"/>
                <w:sz w:val="16"/>
                <w:szCs w:val="16"/>
                <w:lang w:eastAsia="es-ES"/>
              </w:rPr>
              <w:t>Subdirectora de Gestión Contractual ANCP – CCE</w:t>
            </w:r>
          </w:p>
        </w:tc>
      </w:tr>
      <w:bookmarkEnd w:id="1"/>
    </w:tbl>
    <w:p w14:paraId="6B2FB8AF" w14:textId="77777777" w:rsidR="00D021D3" w:rsidRPr="00FA6559" w:rsidRDefault="00D021D3" w:rsidP="00D021D3">
      <w:pPr>
        <w:spacing w:after="0" w:line="240" w:lineRule="auto"/>
        <w:jc w:val="both"/>
        <w:textAlignment w:val="baseline"/>
        <w:rPr>
          <w:rFonts w:ascii="Century Gothic" w:hAnsi="Century Gothic"/>
        </w:rPr>
      </w:pPr>
    </w:p>
    <w:p w14:paraId="20CD135A" w14:textId="77777777" w:rsidR="00D021D3" w:rsidRPr="00FA6559" w:rsidRDefault="00D021D3" w:rsidP="00D021D3">
      <w:pPr>
        <w:jc w:val="both"/>
        <w:rPr>
          <w:rFonts w:ascii="Century Gothic" w:hAnsi="Century Gothic"/>
        </w:rPr>
      </w:pPr>
    </w:p>
    <w:p w14:paraId="766C2E3F" w14:textId="77777777" w:rsidR="00D021D3" w:rsidRPr="00FA6559" w:rsidRDefault="00D021D3" w:rsidP="00D021D3">
      <w:pPr>
        <w:rPr>
          <w:rFonts w:ascii="Century Gothic" w:hAnsi="Century Gothic"/>
        </w:rPr>
      </w:pPr>
    </w:p>
    <w:bookmarkEnd w:id="0"/>
    <w:p w14:paraId="0465BA6D" w14:textId="77777777" w:rsidR="00E245AB" w:rsidRPr="001E6A16" w:rsidRDefault="00E245AB" w:rsidP="00E245AB">
      <w:pPr>
        <w:spacing w:after="0"/>
        <w:rPr>
          <w:rFonts w:ascii="Century Gothic" w:hAnsi="Century Gothic"/>
        </w:rPr>
      </w:pPr>
    </w:p>
    <w:sectPr w:rsidR="00E245AB" w:rsidRPr="001E6A16"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2266C" w14:textId="77777777" w:rsidR="009C549F" w:rsidRDefault="009C549F" w:rsidP="004A1847">
      <w:pPr>
        <w:spacing w:after="0" w:line="240" w:lineRule="auto"/>
      </w:pPr>
      <w:r>
        <w:separator/>
      </w:r>
    </w:p>
  </w:endnote>
  <w:endnote w:type="continuationSeparator" w:id="0">
    <w:p w14:paraId="22F3684B" w14:textId="77777777" w:rsidR="009C549F" w:rsidRDefault="009C549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orbe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5E36B" w14:textId="77777777" w:rsidR="009C549F" w:rsidRDefault="009C549F" w:rsidP="004A1847">
      <w:pPr>
        <w:spacing w:after="0" w:line="240" w:lineRule="auto"/>
      </w:pPr>
      <w:r>
        <w:separator/>
      </w:r>
    </w:p>
  </w:footnote>
  <w:footnote w:type="continuationSeparator" w:id="0">
    <w:p w14:paraId="1EEEAF10" w14:textId="77777777" w:rsidR="009C549F" w:rsidRDefault="009C549F" w:rsidP="004A1847">
      <w:pPr>
        <w:spacing w:after="0" w:line="240" w:lineRule="auto"/>
      </w:pPr>
      <w:r>
        <w:continuationSeparator/>
      </w:r>
    </w:p>
  </w:footnote>
  <w:footnote w:id="1">
    <w:p w14:paraId="397E4DA7" w14:textId="77777777" w:rsidR="00D021D3" w:rsidRPr="00FA6559" w:rsidRDefault="00D021D3" w:rsidP="00D021D3">
      <w:pPr>
        <w:pStyle w:val="Textonotapie"/>
        <w:ind w:firstLine="708"/>
        <w:jc w:val="both"/>
        <w:rPr>
          <w:rFonts w:ascii="Century Gothic" w:hAnsi="Century Gothic" w:cs="Arial"/>
          <w:sz w:val="18"/>
          <w:szCs w:val="18"/>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La Agencia Nacional de Contratación Pública </w:t>
      </w:r>
      <w:r w:rsidRPr="001E6A16">
        <w:rPr>
          <w:rFonts w:ascii="Arial" w:hAnsi="Arial" w:cs="Arial"/>
          <w:sz w:val="18"/>
          <w:szCs w:val="18"/>
        </w:rPr>
        <w:t>‒</w:t>
      </w:r>
      <w:r w:rsidRPr="00FA6559">
        <w:rPr>
          <w:rFonts w:ascii="Century Gothic" w:hAnsi="Century Gothic" w:cs="Arial"/>
          <w:sz w:val="18"/>
          <w:szCs w:val="18"/>
        </w:rPr>
        <w:t xml:space="preserve"> Colombia Compra Eficiente fue creada por el Decreto Ley 4170 de 2011. Su objetivo es servir como ente rector de la pol</w:t>
      </w:r>
      <w:r w:rsidRPr="00FA6559">
        <w:rPr>
          <w:rFonts w:ascii="Century Gothic" w:hAnsi="Century Gothic" w:cs="Century Gothic"/>
          <w:sz w:val="18"/>
          <w:szCs w:val="18"/>
        </w:rPr>
        <w:t>í</w:t>
      </w:r>
      <w:r w:rsidRPr="00FA6559">
        <w:rPr>
          <w:rFonts w:ascii="Century Gothic" w:hAnsi="Century Gothic" w:cs="Arial"/>
          <w:sz w:val="18"/>
          <w:szCs w:val="18"/>
        </w:rPr>
        <w:t>tica de compras y contrataci</w:t>
      </w:r>
      <w:r w:rsidRPr="00FA6559">
        <w:rPr>
          <w:rFonts w:ascii="Century Gothic" w:hAnsi="Century Gothic" w:cs="Century Gothic"/>
          <w:sz w:val="18"/>
          <w:szCs w:val="18"/>
        </w:rPr>
        <w:t>ó</w:t>
      </w:r>
      <w:r w:rsidRPr="00FA6559">
        <w:rPr>
          <w:rFonts w:ascii="Century Gothic" w:hAnsi="Century Gothic" w:cs="Arial"/>
          <w:sz w:val="18"/>
          <w:szCs w:val="18"/>
        </w:rPr>
        <w:t xml:space="preserve">n del Estado. Para tales fines, como </w:t>
      </w:r>
      <w:r w:rsidRPr="00FA6559">
        <w:rPr>
          <w:rFonts w:ascii="Century Gothic" w:hAnsi="Century Gothic" w:cs="Century Gothic"/>
          <w:sz w:val="18"/>
          <w:szCs w:val="18"/>
        </w:rPr>
        <w:t>ó</w:t>
      </w:r>
      <w:r w:rsidRPr="00FA6559">
        <w:rPr>
          <w:rFonts w:ascii="Century Gothic" w:hAnsi="Century Gothic" w:cs="Arial"/>
          <w:sz w:val="18"/>
          <w:szCs w:val="18"/>
        </w:rPr>
        <w:t>rgano t</w:t>
      </w:r>
      <w:r w:rsidRPr="00FA6559">
        <w:rPr>
          <w:rFonts w:ascii="Century Gothic" w:hAnsi="Century Gothic" w:cs="Century Gothic"/>
          <w:sz w:val="18"/>
          <w:szCs w:val="18"/>
        </w:rPr>
        <w:t>é</w:t>
      </w:r>
      <w:r w:rsidRPr="00FA6559">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FA6559">
        <w:rPr>
          <w:rFonts w:ascii="Century Gothic" w:hAnsi="Century Gothic" w:cs="Arial"/>
          <w:i/>
          <w:iCs/>
          <w:sz w:val="18"/>
          <w:szCs w:val="18"/>
        </w:rPr>
        <w:t xml:space="preserve">ibidem </w:t>
      </w:r>
      <w:r w:rsidRPr="00FA6559">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D75DF34" w14:textId="77777777" w:rsidR="00D021D3" w:rsidRPr="00FA6559" w:rsidRDefault="00D021D3" w:rsidP="00D021D3">
      <w:pPr>
        <w:pStyle w:val="Textonotapie"/>
        <w:ind w:firstLine="709"/>
        <w:jc w:val="both"/>
        <w:rPr>
          <w:rFonts w:ascii="Century Gothic" w:hAnsi="Century Gothic" w:cs="Arial"/>
          <w:color w:val="000000"/>
          <w:sz w:val="18"/>
          <w:szCs w:val="18"/>
          <w:lang w:val="es-CO"/>
        </w:rPr>
      </w:pPr>
      <w:r w:rsidRPr="00FA6559">
        <w:rPr>
          <w:rStyle w:val="Refdenotaalpie"/>
          <w:rFonts w:ascii="Century Gothic" w:hAnsi="Century Gothic" w:cs="Arial"/>
          <w:color w:val="000000"/>
          <w:sz w:val="18"/>
          <w:szCs w:val="18"/>
        </w:rPr>
        <w:footnoteRef/>
      </w:r>
      <w:r w:rsidRPr="00FA6559">
        <w:rPr>
          <w:rFonts w:ascii="Century Gothic" w:hAnsi="Century Gothic" w:cs="Arial"/>
          <w:color w:val="000000"/>
          <w:sz w:val="18"/>
          <w:szCs w:val="18"/>
        </w:rPr>
        <w:t xml:space="preserve"> </w:t>
      </w:r>
      <w:r w:rsidRPr="00FA6559">
        <w:rPr>
          <w:rFonts w:ascii="Century Gothic" w:hAnsi="Century Gothic" w:cs="Arial"/>
          <w:sz w:val="18"/>
          <w:szCs w:val="18"/>
        </w:rPr>
        <w:t xml:space="preserve">Estos conceptos pueden ser consultados en la relatoría de Colombia Compra Eficiente en el siguiente enlace:  </w:t>
      </w:r>
      <w:hyperlink r:id="rId1" w:history="1">
        <w:r w:rsidRPr="00FA6559">
          <w:rPr>
            <w:rStyle w:val="Hipervnculo"/>
            <w:rFonts w:ascii="Century Gothic" w:hAnsi="Century Gothic" w:cs="Arial"/>
            <w:sz w:val="18"/>
            <w:szCs w:val="18"/>
          </w:rPr>
          <w:t>http://relatoria.colombiacompra.gov.co/busqueda/conceptos</w:t>
        </w:r>
      </w:hyperlink>
    </w:p>
  </w:footnote>
  <w:footnote w:id="3">
    <w:p w14:paraId="6E009811" w14:textId="77777777" w:rsidR="00D021D3" w:rsidRPr="00FA6559" w:rsidRDefault="00D021D3" w:rsidP="00D021D3">
      <w:pPr>
        <w:pStyle w:val="Textonotapie"/>
        <w:ind w:firstLine="708"/>
        <w:jc w:val="both"/>
        <w:rPr>
          <w:rFonts w:ascii="Century Gothic" w:eastAsia="Calibri" w:hAnsi="Century Gothic" w:cs="Arial"/>
          <w:sz w:val="18"/>
          <w:szCs w:val="18"/>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eastAsia="Calibri" w:hAnsi="Century Gothic"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27D6BDA3" w14:textId="77777777" w:rsidR="00D021D3" w:rsidRPr="00FA6559" w:rsidRDefault="00D021D3" w:rsidP="00D021D3">
      <w:pPr>
        <w:spacing w:after="0" w:line="240" w:lineRule="auto"/>
        <w:ind w:firstLine="708"/>
        <w:jc w:val="both"/>
        <w:rPr>
          <w:rFonts w:ascii="Century Gothic" w:hAnsi="Century Gothic" w:cs="Arial"/>
          <w:sz w:val="18"/>
          <w:szCs w:val="18"/>
        </w:rPr>
      </w:pPr>
      <w:r w:rsidRPr="00FA6559">
        <w:rPr>
          <w:rFonts w:ascii="Century Gothic" w:eastAsia="Calibri" w:hAnsi="Century Gothic" w:cs="Arial"/>
          <w:sz w:val="18"/>
          <w:szCs w:val="18"/>
        </w:rPr>
        <w:t>Los derechos y deberes consagrados en esta Carta, se interpretarán de conformidad con los tratados internacionales sobre derechos humanos ratificados por Colombia [...]”.</w:t>
      </w:r>
    </w:p>
  </w:footnote>
  <w:footnote w:id="4">
    <w:p w14:paraId="7435DA9F" w14:textId="77777777" w:rsidR="00D021D3" w:rsidRPr="00FA6559" w:rsidRDefault="00D021D3" w:rsidP="00D021D3">
      <w:pPr>
        <w:pStyle w:val="Textonotapie"/>
        <w:ind w:firstLine="708"/>
        <w:jc w:val="both"/>
        <w:rPr>
          <w:rFonts w:ascii="Century Gothic" w:hAnsi="Century Gothic" w:cs="Arial"/>
          <w:sz w:val="18"/>
          <w:szCs w:val="18"/>
          <w:lang w:val="es-CO"/>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eastAsia="Calibri" w:hAnsi="Century Gothic" w:cs="Arial"/>
          <w:sz w:val="18"/>
          <w:szCs w:val="18"/>
        </w:rPr>
        <w:t>Corte Constitucional. Sentencia C-489 de 2012. M.P. Adriana María Guillén Arango.</w:t>
      </w:r>
    </w:p>
  </w:footnote>
  <w:footnote w:id="5">
    <w:p w14:paraId="5110FFBF" w14:textId="77777777" w:rsidR="00D021D3" w:rsidRPr="00FA6559" w:rsidRDefault="00D021D3" w:rsidP="00D021D3">
      <w:pPr>
        <w:spacing w:after="0" w:line="240" w:lineRule="auto"/>
        <w:ind w:firstLine="708"/>
        <w:jc w:val="both"/>
        <w:rPr>
          <w:rFonts w:ascii="Century Gothic" w:eastAsia="Calibri" w:hAnsi="Century Gothic" w:cs="Arial"/>
          <w:sz w:val="18"/>
          <w:szCs w:val="18"/>
          <w:lang w:val="es-ES"/>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eastAsia="Calibri" w:hAnsi="Century Gothic"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4301124" w14:textId="77777777" w:rsidR="00D021D3" w:rsidRPr="00FA6559" w:rsidRDefault="00D021D3" w:rsidP="00D021D3">
      <w:pPr>
        <w:spacing w:after="0" w:line="240" w:lineRule="auto"/>
        <w:ind w:firstLine="708"/>
        <w:jc w:val="both"/>
        <w:rPr>
          <w:rFonts w:ascii="Century Gothic" w:eastAsia="Calibri" w:hAnsi="Century Gothic" w:cs="Arial"/>
          <w:sz w:val="18"/>
          <w:szCs w:val="18"/>
          <w:lang w:val="es-ES"/>
        </w:rPr>
      </w:pPr>
      <w:r w:rsidRPr="00FA6559">
        <w:rPr>
          <w:rFonts w:ascii="Century Gothic" w:eastAsia="Calibri" w:hAnsi="Century Gothic"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130E41E3" w14:textId="77777777" w:rsidR="00D021D3" w:rsidRPr="00FA6559" w:rsidRDefault="00D021D3" w:rsidP="00D021D3">
      <w:pPr>
        <w:pStyle w:val="Textonotapie"/>
        <w:jc w:val="both"/>
        <w:rPr>
          <w:rFonts w:ascii="Century Gothic" w:hAnsi="Century Gothic" w:cs="Arial"/>
          <w:sz w:val="18"/>
          <w:szCs w:val="18"/>
          <w:lang w:val="es-ES"/>
        </w:rPr>
      </w:pPr>
    </w:p>
  </w:footnote>
  <w:footnote w:id="6">
    <w:p w14:paraId="25025099" w14:textId="77777777" w:rsidR="00D021D3" w:rsidRPr="00FA6559" w:rsidRDefault="00D021D3" w:rsidP="00D021D3">
      <w:pPr>
        <w:pStyle w:val="Textonotapie"/>
        <w:ind w:firstLine="708"/>
        <w:jc w:val="both"/>
        <w:rPr>
          <w:rFonts w:ascii="Century Gothic" w:hAnsi="Century Gothic" w:cs="Arial"/>
          <w:sz w:val="18"/>
          <w:szCs w:val="18"/>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Decreto 252 de 2020: “Articulo 1. Adiciónese al artículo 10 del Decreto 1088 de 1993, el siguiente parágrafo:</w:t>
      </w:r>
    </w:p>
    <w:p w14:paraId="64DABAB9"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rPr>
        <w:t>Artículo 10. Naturaleza de los actos y contratos.</w:t>
      </w:r>
    </w:p>
    <w:p w14:paraId="363A2D70"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rPr>
        <w:t>[...]</w:t>
      </w:r>
    </w:p>
    <w:p w14:paraId="70EE008B"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597D30C"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5C886B9E"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rPr>
        <w:t>La entidad estatal podrá terminar unilateralmente el contrato o convenio en caso de incumplimiento de las obligaciones a cargo de la organización indígena.</w:t>
      </w:r>
    </w:p>
    <w:p w14:paraId="78957AC4" w14:textId="77777777" w:rsidR="00D021D3" w:rsidRPr="00FA6559" w:rsidRDefault="00D021D3" w:rsidP="00D021D3">
      <w:pPr>
        <w:pStyle w:val="Textonotapie"/>
        <w:ind w:firstLine="708"/>
        <w:jc w:val="both"/>
        <w:rPr>
          <w:rFonts w:ascii="Century Gothic" w:hAnsi="Century Gothic" w:cs="Arial"/>
          <w:sz w:val="18"/>
          <w:szCs w:val="18"/>
          <w:lang w:val="es-ES"/>
        </w:rPr>
      </w:pPr>
      <w:r w:rsidRPr="00FA6559">
        <w:rPr>
          <w:rFonts w:ascii="Century Gothic" w:hAnsi="Century Gothic" w:cs="Arial"/>
          <w:sz w:val="18"/>
          <w:szCs w:val="18"/>
        </w:rPr>
        <w:t>En estos convenios se tendrá como aporte de las organizaciones indígenas el conocimiento ancestral”.</w:t>
      </w:r>
    </w:p>
  </w:footnote>
  <w:footnote w:id="7">
    <w:p w14:paraId="1993A066" w14:textId="77777777" w:rsidR="00D021D3" w:rsidRPr="00FA6559" w:rsidRDefault="00D021D3" w:rsidP="00D021D3">
      <w:pPr>
        <w:pStyle w:val="Textonotapie"/>
        <w:ind w:firstLine="708"/>
        <w:jc w:val="both"/>
        <w:rPr>
          <w:rFonts w:ascii="Century Gothic" w:hAnsi="Century Gothic" w:cs="Arial"/>
          <w:sz w:val="18"/>
          <w:szCs w:val="18"/>
          <w:lang w:val="es-ES"/>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hAnsi="Century Gothic" w:cs="Arial"/>
          <w:sz w:val="18"/>
          <w:szCs w:val="18"/>
          <w:lang w:val="es-ES"/>
        </w:rPr>
        <w:t>Al respecto, la exposición de motivos expresó que: “</w:t>
      </w:r>
      <w:r w:rsidRPr="00FA6559">
        <w:rPr>
          <w:rFonts w:ascii="Century Gothic" w:hAnsi="Century Gothic" w:cs="Arial"/>
          <w:sz w:val="18"/>
          <w:szCs w:val="18"/>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4F7D31CF" w14:textId="77777777" w:rsidR="00D021D3" w:rsidRPr="00FA6559" w:rsidRDefault="00D021D3" w:rsidP="00D021D3">
      <w:pPr>
        <w:pStyle w:val="Textonotapie"/>
        <w:ind w:firstLine="708"/>
        <w:jc w:val="both"/>
        <w:rPr>
          <w:rFonts w:ascii="Century Gothic" w:hAnsi="Century Gothic" w:cs="Arial"/>
          <w:bCs/>
          <w:sz w:val="18"/>
          <w:szCs w:val="18"/>
          <w:lang w:val="es-ES"/>
        </w:rPr>
      </w:pPr>
      <w:r w:rsidRPr="00FA6559">
        <w:rPr>
          <w:rFonts w:ascii="Century Gothic" w:hAnsi="Century Gothic" w:cs="Arial"/>
          <w:bCs/>
          <w:sz w:val="18"/>
          <w:szCs w:val="18"/>
          <w:lang w:val="es-ES"/>
        </w:rPr>
        <w:t>[…]</w:t>
      </w:r>
    </w:p>
    <w:p w14:paraId="10ECBA5A"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FA6559">
        <w:rPr>
          <w:rFonts w:ascii="Century Gothic" w:hAnsi="Century Gothic" w:cs="Arial"/>
          <w:sz w:val="18"/>
          <w:szCs w:val="18"/>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8">
    <w:p w14:paraId="64B5D49A" w14:textId="77777777" w:rsidR="00D021D3" w:rsidRPr="00FA6559" w:rsidRDefault="00D021D3" w:rsidP="00D021D3">
      <w:pPr>
        <w:widowControl w:val="0"/>
        <w:autoSpaceDE w:val="0"/>
        <w:autoSpaceDN w:val="0"/>
        <w:spacing w:after="0"/>
        <w:ind w:firstLine="708"/>
        <w:jc w:val="both"/>
        <w:rPr>
          <w:rFonts w:ascii="Century Gothic" w:eastAsia="Arial" w:hAnsi="Century Gothic" w:cs="Arial"/>
          <w:sz w:val="18"/>
          <w:szCs w:val="18"/>
          <w:lang w:val="es-ES"/>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sus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obligaciones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con</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los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sistemas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salud,</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riesgos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profesionales,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pensiones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y</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aportes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a</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Cajas de Compensación Familiar, Instituto Colombiano de Bienestar Familiar y Servicio Nacional de Aprendizaje,</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cuando</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a</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ello</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haya</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lugar.</w:t>
      </w:r>
      <w:r w:rsidRPr="00FA6559">
        <w:rPr>
          <w:rFonts w:ascii="Century Gothic" w:eastAsia="Arial" w:hAnsi="Century Gothic" w:cs="Arial"/>
          <w:spacing w:val="-11"/>
          <w:sz w:val="18"/>
          <w:szCs w:val="18"/>
          <w:lang w:val="es-ES"/>
        </w:rPr>
        <w:t xml:space="preserve"> </w:t>
      </w:r>
      <w:r w:rsidRPr="00FA6559">
        <w:rPr>
          <w:rFonts w:ascii="Century Gothic" w:eastAsia="Arial" w:hAnsi="Century Gothic" w:cs="Arial"/>
          <w:sz w:val="18"/>
          <w:szCs w:val="18"/>
          <w:lang w:val="es-ES"/>
        </w:rPr>
        <w:t>Las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Entidades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públicas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en</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el</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momento</w:t>
      </w:r>
      <w:r w:rsidRPr="00FA6559">
        <w:rPr>
          <w:rFonts w:ascii="Century Gothic" w:eastAsia="Arial" w:hAnsi="Century Gothic" w:cs="Arial"/>
          <w:spacing w:val="-11"/>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liquidar</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los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cotizadas.</w:t>
      </w:r>
    </w:p>
    <w:p w14:paraId="2EAA03D8" w14:textId="77777777" w:rsidR="00D021D3" w:rsidRPr="00FA6559" w:rsidRDefault="00D021D3" w:rsidP="00D021D3">
      <w:pPr>
        <w:widowControl w:val="0"/>
        <w:autoSpaceDE w:val="0"/>
        <w:autoSpaceDN w:val="0"/>
        <w:spacing w:after="0"/>
        <w:ind w:firstLine="708"/>
        <w:jc w:val="both"/>
        <w:rPr>
          <w:rFonts w:ascii="Century Gothic" w:eastAsia="Arial" w:hAnsi="Century Gothic" w:cs="Arial"/>
          <w:sz w:val="18"/>
          <w:szCs w:val="18"/>
          <w:lang w:val="es-ES"/>
        </w:rPr>
      </w:pPr>
      <w:r w:rsidRPr="00FA6559">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B623E86" w14:textId="77777777" w:rsidR="00D021D3" w:rsidRPr="00FA6559" w:rsidRDefault="00D021D3" w:rsidP="00D021D3">
      <w:pPr>
        <w:widowControl w:val="0"/>
        <w:autoSpaceDE w:val="0"/>
        <w:autoSpaceDN w:val="0"/>
        <w:spacing w:after="0"/>
        <w:ind w:firstLine="708"/>
        <w:jc w:val="both"/>
        <w:rPr>
          <w:rFonts w:ascii="Century Gothic" w:eastAsia="Arial" w:hAnsi="Century Gothic" w:cs="Arial"/>
          <w:sz w:val="18"/>
          <w:szCs w:val="18"/>
          <w:lang w:val="es-ES"/>
        </w:rPr>
      </w:pPr>
      <w:r w:rsidRPr="00FA6559">
        <w:rPr>
          <w:rFonts w:ascii="Century Gothic" w:eastAsia="Arial" w:hAnsi="Century Gothic" w:cs="Arial"/>
          <w:sz w:val="18"/>
          <w:szCs w:val="18"/>
          <w:lang w:val="es-ES"/>
        </w:rPr>
        <w:t>Cuando</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la</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contratación</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se</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realice</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con</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personas</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jurídicas,</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se</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deberá</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acreditar</w:t>
      </w:r>
      <w:r w:rsidRPr="00FA6559">
        <w:rPr>
          <w:rFonts w:ascii="Century Gothic" w:eastAsia="Arial" w:hAnsi="Century Gothic" w:cs="Arial"/>
          <w:spacing w:val="-7"/>
          <w:sz w:val="18"/>
          <w:szCs w:val="18"/>
          <w:lang w:val="es-ES"/>
        </w:rPr>
        <w:t xml:space="preserve"> </w:t>
      </w:r>
      <w:r w:rsidRPr="00FA6559">
        <w:rPr>
          <w:rFonts w:ascii="Century Gothic" w:eastAsia="Arial" w:hAnsi="Century Gothic" w:cs="Arial"/>
          <w:sz w:val="18"/>
          <w:szCs w:val="18"/>
          <w:lang w:val="es-ES"/>
        </w:rPr>
        <w:t>el</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pago</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8"/>
          <w:sz w:val="18"/>
          <w:szCs w:val="18"/>
          <w:lang w:val="es-ES"/>
        </w:rPr>
        <w:t xml:space="preserve"> </w:t>
      </w:r>
      <w:r w:rsidRPr="00FA6559">
        <w:rPr>
          <w:rFonts w:ascii="Century Gothic" w:eastAsia="Arial" w:hAnsi="Century Gothic" w:cs="Arial"/>
          <w:sz w:val="18"/>
          <w:szCs w:val="18"/>
          <w:lang w:val="es-ES"/>
        </w:rPr>
        <w:t>los aportes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sus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empleados,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a</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los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sistemas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mencionados</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mediante</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certificación</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expedida</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por</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el</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FA6559">
        <w:rPr>
          <w:rFonts w:ascii="Century Gothic" w:eastAsia="Arial" w:hAnsi="Century Gothic" w:cs="Arial"/>
          <w:spacing w:val="-20"/>
          <w:sz w:val="18"/>
          <w:szCs w:val="18"/>
          <w:lang w:val="es-ES"/>
        </w:rPr>
        <w:t xml:space="preserve"> </w:t>
      </w:r>
      <w:r w:rsidRPr="00FA6559">
        <w:rPr>
          <w:rFonts w:ascii="Century Gothic" w:eastAsia="Arial" w:hAnsi="Century Gothic" w:cs="Arial"/>
          <w:sz w:val="18"/>
          <w:szCs w:val="18"/>
          <w:lang w:val="es-ES"/>
        </w:rPr>
        <w:t>constitución.</w:t>
      </w:r>
    </w:p>
    <w:p w14:paraId="13057858" w14:textId="77777777" w:rsidR="00D021D3" w:rsidRPr="00FA6559" w:rsidRDefault="00D021D3" w:rsidP="00D021D3">
      <w:pPr>
        <w:pStyle w:val="Textonotapie"/>
        <w:jc w:val="both"/>
        <w:rPr>
          <w:rFonts w:ascii="Century Gothic" w:eastAsia="Arial" w:hAnsi="Century Gothic" w:cs="Arial"/>
          <w:sz w:val="18"/>
          <w:szCs w:val="18"/>
          <w:lang w:val="es-ES"/>
        </w:rPr>
      </w:pPr>
      <w:r w:rsidRPr="00FA6559">
        <w:rPr>
          <w:rFonts w:ascii="Century Gothic" w:eastAsia="Arial" w:hAnsi="Century Gothic" w:cs="Arial"/>
          <w:sz w:val="18"/>
          <w:szCs w:val="18"/>
          <w:lang w:val="es-ES"/>
        </w:rPr>
        <w:tab/>
        <w:t>Para</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la</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presentación</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ofertas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por</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parte</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de</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personas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jurídicas</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será</w:t>
      </w:r>
      <w:r w:rsidRPr="00FA6559">
        <w:rPr>
          <w:rFonts w:ascii="Century Gothic" w:eastAsia="Arial" w:hAnsi="Century Gothic" w:cs="Arial"/>
          <w:spacing w:val="-10"/>
          <w:sz w:val="18"/>
          <w:szCs w:val="18"/>
          <w:lang w:val="es-ES"/>
        </w:rPr>
        <w:t xml:space="preserve"> </w:t>
      </w:r>
      <w:r w:rsidRPr="00FA6559">
        <w:rPr>
          <w:rFonts w:ascii="Century Gothic" w:eastAsia="Arial" w:hAnsi="Century Gothic" w:cs="Arial"/>
          <w:sz w:val="18"/>
          <w:szCs w:val="18"/>
          <w:lang w:val="es-ES"/>
        </w:rPr>
        <w:t>indispensable</w:t>
      </w:r>
      <w:r w:rsidRPr="00FA6559">
        <w:rPr>
          <w:rFonts w:ascii="Century Gothic" w:eastAsia="Arial" w:hAnsi="Century Gothic" w:cs="Arial"/>
          <w:spacing w:val="-9"/>
          <w:sz w:val="18"/>
          <w:szCs w:val="18"/>
          <w:lang w:val="es-ES"/>
        </w:rPr>
        <w:t xml:space="preserve"> </w:t>
      </w:r>
      <w:r w:rsidRPr="00FA6559">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FA6559">
        <w:rPr>
          <w:rFonts w:ascii="Century Gothic" w:eastAsia="Arial" w:hAnsi="Century Gothic" w:cs="Arial"/>
          <w:spacing w:val="-12"/>
          <w:sz w:val="18"/>
          <w:szCs w:val="18"/>
          <w:lang w:val="es-ES"/>
        </w:rPr>
        <w:t xml:space="preserve"> </w:t>
      </w:r>
      <w:r w:rsidRPr="00FA6559">
        <w:rPr>
          <w:rFonts w:ascii="Century Gothic" w:eastAsia="Arial" w:hAnsi="Century Gothic" w:cs="Arial"/>
          <w:sz w:val="18"/>
          <w:szCs w:val="18"/>
          <w:lang w:val="es-ES"/>
        </w:rPr>
        <w:t>conducta.</w:t>
      </w:r>
    </w:p>
    <w:p w14:paraId="53E67D64" w14:textId="77777777" w:rsidR="00D021D3" w:rsidRPr="00FA6559" w:rsidRDefault="00D021D3" w:rsidP="00D021D3">
      <w:pPr>
        <w:pStyle w:val="Textonotapie"/>
        <w:ind w:firstLine="709"/>
        <w:jc w:val="both"/>
        <w:rPr>
          <w:rFonts w:ascii="Century Gothic" w:eastAsia="Arial" w:hAnsi="Century Gothic" w:cs="Arial"/>
          <w:sz w:val="18"/>
          <w:szCs w:val="18"/>
          <w:lang w:val="es-ES"/>
        </w:rPr>
      </w:pPr>
      <w:r w:rsidRPr="00FA6559">
        <w:rPr>
          <w:rFonts w:ascii="Century Gothic" w:eastAsia="Arial" w:hAnsi="Century Gothic" w:cs="Arial"/>
          <w:sz w:val="18"/>
          <w:szCs w:val="18"/>
          <w:lang w:val="es-ES"/>
        </w:rPr>
        <w:t>[…]”</w:t>
      </w:r>
    </w:p>
    <w:p w14:paraId="4C6552B9" w14:textId="77777777" w:rsidR="00D021D3" w:rsidRPr="00FA6559" w:rsidRDefault="00D021D3" w:rsidP="00D021D3">
      <w:pPr>
        <w:pStyle w:val="Textonotapie"/>
        <w:jc w:val="both"/>
        <w:rPr>
          <w:rFonts w:ascii="Century Gothic" w:hAnsi="Century Gothic" w:cs="Arial"/>
          <w:sz w:val="18"/>
          <w:szCs w:val="18"/>
          <w:lang w:val="es-CO"/>
        </w:rPr>
      </w:pPr>
    </w:p>
  </w:footnote>
  <w:footnote w:id="9">
    <w:p w14:paraId="66236489" w14:textId="77777777" w:rsidR="00D021D3" w:rsidRPr="00FA6559" w:rsidRDefault="00D021D3" w:rsidP="00D021D3">
      <w:pPr>
        <w:pStyle w:val="Textonotapie"/>
        <w:ind w:firstLine="708"/>
        <w:jc w:val="both"/>
        <w:rPr>
          <w:rFonts w:ascii="Century Gothic" w:eastAsia="Arial" w:hAnsi="Century Gothic" w:cs="Arial"/>
          <w:sz w:val="18"/>
          <w:szCs w:val="18"/>
          <w:lang w:val="es-ES"/>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w:t>
      </w:r>
      <w:r w:rsidRPr="00FA6559">
        <w:rPr>
          <w:rFonts w:ascii="Century Gothic" w:eastAsia="Arial" w:hAnsi="Century Gothic" w:cs="Arial"/>
          <w:sz w:val="18"/>
          <w:szCs w:val="18"/>
          <w:lang w:val="es-ES"/>
        </w:rPr>
        <w:t>Consejo de Estado. Sección Tercera. Subsección C. Sentencia del 8 de junio de 2011. Exp. 20001-23-31-000-2005-00409-01(AP), C.P. Enrique Gil Botero.</w:t>
      </w:r>
    </w:p>
    <w:p w14:paraId="76D4DA18" w14:textId="77777777" w:rsidR="00D021D3" w:rsidRPr="00FA6559" w:rsidRDefault="00D021D3" w:rsidP="00D021D3">
      <w:pPr>
        <w:pStyle w:val="Textonotapie"/>
        <w:ind w:firstLine="708"/>
        <w:jc w:val="both"/>
        <w:rPr>
          <w:rFonts w:ascii="Century Gothic" w:hAnsi="Century Gothic" w:cs="Arial"/>
          <w:sz w:val="18"/>
          <w:szCs w:val="18"/>
          <w:lang w:val="es-CO"/>
        </w:rPr>
      </w:pPr>
    </w:p>
  </w:footnote>
  <w:footnote w:id="10">
    <w:p w14:paraId="5EBFD45C" w14:textId="77777777" w:rsidR="00D021D3" w:rsidRPr="00FA6559" w:rsidRDefault="00D021D3" w:rsidP="00D021D3">
      <w:pPr>
        <w:pStyle w:val="Textonotapie"/>
        <w:ind w:firstLine="708"/>
        <w:jc w:val="both"/>
        <w:rPr>
          <w:rFonts w:ascii="Century Gothic" w:hAnsi="Century Gothic" w:cs="Arial"/>
          <w:sz w:val="18"/>
          <w:szCs w:val="18"/>
          <w:lang w:val="es-CO"/>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Respecto a la revisoría fiscal de las sociedades extranjeras con sucursal en Colombia, el artículo 472.6 del Código de Comercio dispone que </w:t>
      </w:r>
      <w:r w:rsidRPr="00FA6559">
        <w:rPr>
          <w:rFonts w:ascii="Century Gothic" w:hAnsi="Century Gothic"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14:paraId="0042C131" w14:textId="77777777" w:rsidR="00D021D3" w:rsidRPr="00FA6559" w:rsidRDefault="00D021D3" w:rsidP="00D021D3">
      <w:pPr>
        <w:pStyle w:val="Textonotapie"/>
        <w:ind w:firstLine="708"/>
        <w:jc w:val="both"/>
        <w:rPr>
          <w:rFonts w:ascii="Century Gothic" w:hAnsi="Century Gothic" w:cs="Arial"/>
          <w:sz w:val="18"/>
          <w:szCs w:val="18"/>
        </w:rPr>
      </w:pPr>
      <w:r w:rsidRPr="00FA6559">
        <w:rPr>
          <w:rFonts w:ascii="Century Gothic" w:hAnsi="Century Gothic" w:cs="Arial"/>
          <w:sz w:val="18"/>
          <w:szCs w:val="18"/>
          <w:lang w:val="es-CO"/>
        </w:rPr>
        <w:t xml:space="preserve">Por lo demás, el artículo el artículo 489 </w:t>
      </w:r>
      <w:r w:rsidRPr="00FA6559">
        <w:rPr>
          <w:rFonts w:ascii="Century Gothic" w:hAnsi="Century Gothic" w:cs="Arial"/>
          <w:i/>
          <w:iCs/>
          <w:sz w:val="18"/>
          <w:szCs w:val="18"/>
          <w:lang w:val="es-CO"/>
        </w:rPr>
        <w:t>ibidem</w:t>
      </w:r>
      <w:r w:rsidRPr="00FA6559">
        <w:rPr>
          <w:rFonts w:ascii="Century Gothic" w:hAnsi="Century Gothic"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11">
    <w:p w14:paraId="1BFA1A44" w14:textId="77777777" w:rsidR="00D021D3" w:rsidRPr="00FA6559" w:rsidRDefault="00D021D3" w:rsidP="00D021D3">
      <w:pPr>
        <w:pStyle w:val="Textonotapie"/>
        <w:ind w:firstLine="708"/>
        <w:jc w:val="both"/>
        <w:rPr>
          <w:rFonts w:ascii="Century Gothic" w:hAnsi="Century Gothic" w:cs="Arial"/>
          <w:sz w:val="18"/>
          <w:szCs w:val="18"/>
        </w:rPr>
      </w:pPr>
      <w:r w:rsidRPr="00FA6559">
        <w:rPr>
          <w:rStyle w:val="Refdenotaalpie"/>
          <w:rFonts w:ascii="Century Gothic" w:hAnsi="Century Gothic" w:cs="Arial"/>
          <w:sz w:val="18"/>
          <w:szCs w:val="18"/>
        </w:rPr>
        <w:footnoteRef/>
      </w:r>
      <w:r w:rsidRPr="00FA6559">
        <w:rPr>
          <w:rFonts w:ascii="Century Gothic" w:hAnsi="Century Gothic" w:cs="Arial"/>
          <w:sz w:val="18"/>
          <w:szCs w:val="18"/>
        </w:rPr>
        <w:t xml:space="preserve"> Por ejemplo, el inciso primero del artículo 11 de la Ley 100 de 1993 dispone que “</w:t>
      </w:r>
      <w:r w:rsidRPr="00FA6559">
        <w:rPr>
          <w:rFonts w:ascii="Century Gothic" w:hAnsi="Century Gothic" w:cs="Arial"/>
          <w:sz w:val="18"/>
          <w:szCs w:val="18"/>
          <w:lang w:val="es-CO"/>
        </w:rPr>
        <w:t xml:space="preserve">El Sistema General de Pensiones consagrado en la presente ley, se aplicará a todos los habitantes del territorio nacional, conservando y respetando, adicionalmente todos los derechos, garantías, prerrogativas, servicios y beneficios adquiridos y establecidos conforme a disposiciones normativas anteriores, pactos, acuerdos o convenciones colectivas de trabajo para quienes a la fecha de vigencia de esta ley hayan cumplido los requisitos para acceder a una Pensión o se encuentren pensionados por jubilación, vejez, invalidez, sustitución o sobrevivientes de los sectores público, oficial, semioficial en todos los órdenes del régimen de Prima Media y del sector privado en general”. Por su parte, el artículo 153.1 </w:t>
      </w:r>
      <w:r w:rsidRPr="00FA6559">
        <w:rPr>
          <w:rFonts w:ascii="Century Gothic" w:hAnsi="Century Gothic" w:cs="Arial"/>
          <w:i/>
          <w:iCs/>
          <w:sz w:val="18"/>
          <w:szCs w:val="18"/>
          <w:lang w:val="es-CO"/>
        </w:rPr>
        <w:t>ibidem</w:t>
      </w:r>
      <w:r w:rsidRPr="00FA6559">
        <w:rPr>
          <w:rFonts w:ascii="Century Gothic" w:hAnsi="Century Gothic" w:cs="Arial"/>
          <w:sz w:val="18"/>
          <w:szCs w:val="18"/>
          <w:lang w:val="es-CO"/>
        </w:rPr>
        <w:t xml:space="preserve"> prescribe que “El Sistema General de Segundad Social en Salud cubre a todos los residentes en el país, en todas las etapas de la vida”. Finalmente, el artículo 3 del Decreto Ley 1295 de 1994 dispone que “El Sistema General de Riesgos Profesionales, con las excepciones previstas en el artículo 279 de la ley 100 de 1993, se aplica a todas las empresas que funcionen en el territorio nacional, y a los trabajadores, contratistas, subcontratistas, de los sectores público, oficial, semioficial, en todos sus órdenes, y del sector privado en general”. Sobre el principio de territorialidad de las normas que conforman el sistema de seguridad social integral, consúltese el Concepto del Ministerio de la Protección Social N° 302203 del 24 de septiembre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7674351">
    <w:abstractNumId w:val="8"/>
  </w:num>
  <w:num w:numId="2" w16cid:durableId="1673558870">
    <w:abstractNumId w:val="3"/>
  </w:num>
  <w:num w:numId="3" w16cid:durableId="807941734">
    <w:abstractNumId w:val="6"/>
  </w:num>
  <w:num w:numId="4" w16cid:durableId="393359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4288895">
    <w:abstractNumId w:val="3"/>
  </w:num>
  <w:num w:numId="6" w16cid:durableId="290014615">
    <w:abstractNumId w:val="14"/>
  </w:num>
  <w:num w:numId="7" w16cid:durableId="1317491864">
    <w:abstractNumId w:val="7"/>
  </w:num>
  <w:num w:numId="8" w16cid:durableId="1604916515">
    <w:abstractNumId w:val="13"/>
  </w:num>
  <w:num w:numId="9" w16cid:durableId="1698970428">
    <w:abstractNumId w:val="9"/>
  </w:num>
  <w:num w:numId="10" w16cid:durableId="1451363534">
    <w:abstractNumId w:val="12"/>
  </w:num>
  <w:num w:numId="11" w16cid:durableId="1154102663">
    <w:abstractNumId w:val="10"/>
  </w:num>
  <w:num w:numId="12" w16cid:durableId="339818142">
    <w:abstractNumId w:val="2"/>
  </w:num>
  <w:num w:numId="13" w16cid:durableId="579674707">
    <w:abstractNumId w:val="5"/>
  </w:num>
  <w:num w:numId="14" w16cid:durableId="1385986650">
    <w:abstractNumId w:val="15"/>
  </w:num>
  <w:num w:numId="15" w16cid:durableId="210533503">
    <w:abstractNumId w:val="11"/>
  </w:num>
  <w:num w:numId="16" w16cid:durableId="1499349663">
    <w:abstractNumId w:val="0"/>
  </w:num>
  <w:num w:numId="17" w16cid:durableId="1897622572">
    <w:abstractNumId w:val="4"/>
  </w:num>
  <w:num w:numId="18" w16cid:durableId="126230112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CD"/>
    <w:rsid w:val="00004E30"/>
    <w:rsid w:val="0004430F"/>
    <w:rsid w:val="0005232F"/>
    <w:rsid w:val="00061B2A"/>
    <w:rsid w:val="00082362"/>
    <w:rsid w:val="000A683E"/>
    <w:rsid w:val="000B19B9"/>
    <w:rsid w:val="000D0334"/>
    <w:rsid w:val="000F6486"/>
    <w:rsid w:val="00100F0D"/>
    <w:rsid w:val="00125105"/>
    <w:rsid w:val="00127233"/>
    <w:rsid w:val="001643BF"/>
    <w:rsid w:val="001E1860"/>
    <w:rsid w:val="001E4177"/>
    <w:rsid w:val="001E6A16"/>
    <w:rsid w:val="001F7DC6"/>
    <w:rsid w:val="0021742A"/>
    <w:rsid w:val="002421BB"/>
    <w:rsid w:val="00250C57"/>
    <w:rsid w:val="002632CB"/>
    <w:rsid w:val="002707A2"/>
    <w:rsid w:val="002951A0"/>
    <w:rsid w:val="002962BC"/>
    <w:rsid w:val="002A093D"/>
    <w:rsid w:val="002A0DD0"/>
    <w:rsid w:val="002A49AC"/>
    <w:rsid w:val="002A64FD"/>
    <w:rsid w:val="002C7A84"/>
    <w:rsid w:val="002E1B1B"/>
    <w:rsid w:val="002E4FD9"/>
    <w:rsid w:val="00310934"/>
    <w:rsid w:val="00316636"/>
    <w:rsid w:val="00322A85"/>
    <w:rsid w:val="003448F4"/>
    <w:rsid w:val="003455AB"/>
    <w:rsid w:val="0036680D"/>
    <w:rsid w:val="00374F5E"/>
    <w:rsid w:val="00377E3E"/>
    <w:rsid w:val="00390319"/>
    <w:rsid w:val="003A779E"/>
    <w:rsid w:val="003C05B0"/>
    <w:rsid w:val="003D0F4D"/>
    <w:rsid w:val="003D480A"/>
    <w:rsid w:val="003D5B0D"/>
    <w:rsid w:val="003E0499"/>
    <w:rsid w:val="003E1F8D"/>
    <w:rsid w:val="003F3941"/>
    <w:rsid w:val="00406575"/>
    <w:rsid w:val="0042722E"/>
    <w:rsid w:val="00443857"/>
    <w:rsid w:val="004446BA"/>
    <w:rsid w:val="0044542D"/>
    <w:rsid w:val="0046461A"/>
    <w:rsid w:val="004A1847"/>
    <w:rsid w:val="004A305D"/>
    <w:rsid w:val="004A3553"/>
    <w:rsid w:val="004A4B65"/>
    <w:rsid w:val="004A75B3"/>
    <w:rsid w:val="004B7F3F"/>
    <w:rsid w:val="004F21C4"/>
    <w:rsid w:val="004F685F"/>
    <w:rsid w:val="00516C2B"/>
    <w:rsid w:val="005566E8"/>
    <w:rsid w:val="00572460"/>
    <w:rsid w:val="00574867"/>
    <w:rsid w:val="00591460"/>
    <w:rsid w:val="005A2340"/>
    <w:rsid w:val="005C3777"/>
    <w:rsid w:val="005C5CDC"/>
    <w:rsid w:val="005D476C"/>
    <w:rsid w:val="006219F8"/>
    <w:rsid w:val="00665D70"/>
    <w:rsid w:val="00673BD2"/>
    <w:rsid w:val="006900D9"/>
    <w:rsid w:val="00706C16"/>
    <w:rsid w:val="007072E1"/>
    <w:rsid w:val="00717664"/>
    <w:rsid w:val="00742EBD"/>
    <w:rsid w:val="0075629A"/>
    <w:rsid w:val="00756841"/>
    <w:rsid w:val="007649AB"/>
    <w:rsid w:val="007676AF"/>
    <w:rsid w:val="00771D0C"/>
    <w:rsid w:val="00774AE2"/>
    <w:rsid w:val="007833AC"/>
    <w:rsid w:val="007845D3"/>
    <w:rsid w:val="007B268C"/>
    <w:rsid w:val="007B7171"/>
    <w:rsid w:val="007B7322"/>
    <w:rsid w:val="007C3DC2"/>
    <w:rsid w:val="007E5497"/>
    <w:rsid w:val="00806F5F"/>
    <w:rsid w:val="00820278"/>
    <w:rsid w:val="00853683"/>
    <w:rsid w:val="0086244B"/>
    <w:rsid w:val="0088076E"/>
    <w:rsid w:val="008843B6"/>
    <w:rsid w:val="00890116"/>
    <w:rsid w:val="008902CF"/>
    <w:rsid w:val="00891928"/>
    <w:rsid w:val="008A446D"/>
    <w:rsid w:val="008A470C"/>
    <w:rsid w:val="008D180B"/>
    <w:rsid w:val="008F0EA7"/>
    <w:rsid w:val="008F3EE6"/>
    <w:rsid w:val="00923EEF"/>
    <w:rsid w:val="00926164"/>
    <w:rsid w:val="00941347"/>
    <w:rsid w:val="009419F9"/>
    <w:rsid w:val="00946869"/>
    <w:rsid w:val="009502A5"/>
    <w:rsid w:val="00951BD0"/>
    <w:rsid w:val="00956925"/>
    <w:rsid w:val="00961B09"/>
    <w:rsid w:val="00965334"/>
    <w:rsid w:val="0097093E"/>
    <w:rsid w:val="00996281"/>
    <w:rsid w:val="009A6976"/>
    <w:rsid w:val="009C549F"/>
    <w:rsid w:val="009C71FA"/>
    <w:rsid w:val="009C72E7"/>
    <w:rsid w:val="009D5ED1"/>
    <w:rsid w:val="009F3A13"/>
    <w:rsid w:val="00A1045E"/>
    <w:rsid w:val="00A122D3"/>
    <w:rsid w:val="00A12E13"/>
    <w:rsid w:val="00A17F13"/>
    <w:rsid w:val="00A20739"/>
    <w:rsid w:val="00A20CD7"/>
    <w:rsid w:val="00A27B2C"/>
    <w:rsid w:val="00A33C78"/>
    <w:rsid w:val="00A4379B"/>
    <w:rsid w:val="00AB02C6"/>
    <w:rsid w:val="00AB0ADB"/>
    <w:rsid w:val="00B01267"/>
    <w:rsid w:val="00B324C3"/>
    <w:rsid w:val="00B72CD3"/>
    <w:rsid w:val="00B72FFF"/>
    <w:rsid w:val="00B85371"/>
    <w:rsid w:val="00BB52B5"/>
    <w:rsid w:val="00BC3D36"/>
    <w:rsid w:val="00BD7F72"/>
    <w:rsid w:val="00C04FB3"/>
    <w:rsid w:val="00C12D69"/>
    <w:rsid w:val="00C20F67"/>
    <w:rsid w:val="00C330EB"/>
    <w:rsid w:val="00C633A0"/>
    <w:rsid w:val="00C754BE"/>
    <w:rsid w:val="00C76B1C"/>
    <w:rsid w:val="00C9043B"/>
    <w:rsid w:val="00C94B9F"/>
    <w:rsid w:val="00C96B0A"/>
    <w:rsid w:val="00CB6357"/>
    <w:rsid w:val="00CC1B26"/>
    <w:rsid w:val="00CF2D83"/>
    <w:rsid w:val="00D021D3"/>
    <w:rsid w:val="00D1008A"/>
    <w:rsid w:val="00D348B7"/>
    <w:rsid w:val="00D423A2"/>
    <w:rsid w:val="00D423CC"/>
    <w:rsid w:val="00D63AC2"/>
    <w:rsid w:val="00D7383B"/>
    <w:rsid w:val="00DA231B"/>
    <w:rsid w:val="00DA7119"/>
    <w:rsid w:val="00DB1E62"/>
    <w:rsid w:val="00DF5254"/>
    <w:rsid w:val="00E16408"/>
    <w:rsid w:val="00E20894"/>
    <w:rsid w:val="00E2411B"/>
    <w:rsid w:val="00E245AB"/>
    <w:rsid w:val="00E2764C"/>
    <w:rsid w:val="00E27F2E"/>
    <w:rsid w:val="00E50AFE"/>
    <w:rsid w:val="00E75396"/>
    <w:rsid w:val="00E771DC"/>
    <w:rsid w:val="00E8772A"/>
    <w:rsid w:val="00E90F6B"/>
    <w:rsid w:val="00E92C27"/>
    <w:rsid w:val="00E944DB"/>
    <w:rsid w:val="00E962F4"/>
    <w:rsid w:val="00E97D30"/>
    <w:rsid w:val="00EA0E3D"/>
    <w:rsid w:val="00EE1AA8"/>
    <w:rsid w:val="00F042EA"/>
    <w:rsid w:val="00F31EDC"/>
    <w:rsid w:val="00F462B3"/>
    <w:rsid w:val="00F5664F"/>
    <w:rsid w:val="00F648AA"/>
    <w:rsid w:val="00F666C4"/>
    <w:rsid w:val="00F76AFC"/>
    <w:rsid w:val="00F77DB3"/>
    <w:rsid w:val="00FA6559"/>
    <w:rsid w:val="00FB5DD1"/>
    <w:rsid w:val="00FC2B5D"/>
    <w:rsid w:val="00FD3571"/>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D021D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D021D3"/>
    <w:rPr>
      <w:rFonts w:ascii="Arial" w:eastAsia="Arial" w:hAnsi="Arial" w:cs="Arial"/>
      <w:b/>
      <w:bCs/>
      <w:lang w:val="es-ES"/>
    </w:rPr>
  </w:style>
  <w:style w:type="character" w:styleId="Refdecomentario">
    <w:name w:val="annotation reference"/>
    <w:basedOn w:val="Fuentedeprrafopredeter"/>
    <w:uiPriority w:val="99"/>
    <w:semiHidden/>
    <w:unhideWhenUsed/>
    <w:rsid w:val="00D021D3"/>
    <w:rPr>
      <w:sz w:val="16"/>
      <w:szCs w:val="16"/>
    </w:rPr>
  </w:style>
  <w:style w:type="paragraph" w:styleId="Textocomentario">
    <w:name w:val="annotation text"/>
    <w:basedOn w:val="Normal"/>
    <w:link w:val="TextocomentarioCar"/>
    <w:uiPriority w:val="99"/>
    <w:unhideWhenUsed/>
    <w:rsid w:val="00D021D3"/>
    <w:pPr>
      <w:spacing w:line="240" w:lineRule="auto"/>
    </w:pPr>
    <w:rPr>
      <w:sz w:val="20"/>
      <w:szCs w:val="20"/>
    </w:rPr>
  </w:style>
  <w:style w:type="character" w:customStyle="1" w:styleId="TextocomentarioCar">
    <w:name w:val="Texto comentario Car"/>
    <w:basedOn w:val="Fuentedeprrafopredeter"/>
    <w:link w:val="Textocomentario"/>
    <w:uiPriority w:val="99"/>
    <w:rsid w:val="00D021D3"/>
    <w:rPr>
      <w:sz w:val="20"/>
      <w:szCs w:val="20"/>
    </w:rPr>
  </w:style>
  <w:style w:type="paragraph" w:styleId="Asuntodelcomentario">
    <w:name w:val="annotation subject"/>
    <w:basedOn w:val="Textocomentario"/>
    <w:next w:val="Textocomentario"/>
    <w:link w:val="AsuntodelcomentarioCar"/>
    <w:uiPriority w:val="99"/>
    <w:semiHidden/>
    <w:unhideWhenUsed/>
    <w:rsid w:val="00D021D3"/>
    <w:rPr>
      <w:b/>
      <w:bCs/>
    </w:rPr>
  </w:style>
  <w:style w:type="character" w:customStyle="1" w:styleId="AsuntodelcomentarioCar">
    <w:name w:val="Asunto del comentario Car"/>
    <w:basedOn w:val="TextocomentarioCar"/>
    <w:link w:val="Asuntodelcomentario"/>
    <w:uiPriority w:val="99"/>
    <w:semiHidden/>
    <w:rsid w:val="00D021D3"/>
    <w:rPr>
      <w:b/>
      <w:bCs/>
      <w:sz w:val="20"/>
      <w:szCs w:val="20"/>
    </w:rPr>
  </w:style>
  <w:style w:type="character" w:customStyle="1" w:styleId="NormalWebCar">
    <w:name w:val="Normal (Web) Car"/>
    <w:link w:val="NormalWeb"/>
    <w:uiPriority w:val="99"/>
    <w:semiHidden/>
    <w:locked/>
    <w:rsid w:val="00D021D3"/>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semiHidden/>
    <w:unhideWhenUsed/>
    <w:qFormat/>
    <w:rsid w:val="00D021D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D021D3"/>
    <w:rPr>
      <w:rFonts w:ascii="Arial" w:eastAsia="Arial" w:hAnsi="Arial" w:cs="Arial"/>
      <w:lang w:val="es-ES" w:eastAsia="es-ES" w:bidi="es-ES"/>
    </w:rPr>
  </w:style>
  <w:style w:type="paragraph" w:customStyle="1" w:styleId="Appelnotedebasde">
    <w:name w:val="Appel note de bas de..."/>
    <w:basedOn w:val="Normal"/>
    <w:link w:val="Refdenotaalpie"/>
    <w:uiPriority w:val="99"/>
    <w:rsid w:val="00D021D3"/>
    <w:pPr>
      <w:spacing w:line="240" w:lineRule="exact"/>
    </w:pPr>
    <w:rPr>
      <w:vertAlign w:val="superscript"/>
    </w:rPr>
  </w:style>
  <w:style w:type="character" w:customStyle="1" w:styleId="markedcontent">
    <w:name w:val="markedcontent"/>
    <w:basedOn w:val="Fuentedeprrafopredeter"/>
    <w:rsid w:val="00D021D3"/>
  </w:style>
  <w:style w:type="character" w:customStyle="1" w:styleId="baj">
    <w:name w:val="b_aj"/>
    <w:basedOn w:val="Fuentedeprrafopredeter"/>
    <w:rsid w:val="00D02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D0AD7-4A56-441D-AB97-1F165582BE6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28</Pages>
  <Words>9351</Words>
  <Characters>51433</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8</cp:revision>
  <cp:lastPrinted>2023-01-10T21:18:00Z</cp:lastPrinted>
  <dcterms:created xsi:type="dcterms:W3CDTF">2023-10-11T19:07:00Z</dcterms:created>
  <dcterms:modified xsi:type="dcterms:W3CDTF">2023-10-11T20:36:00Z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