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9C6380" w14:textId="77777777" w:rsidR="00B154E7" w:rsidRPr="00262582" w:rsidRDefault="00B154E7" w:rsidP="00B154E7">
      <w:pPr>
        <w:spacing w:after="0" w:line="240" w:lineRule="auto"/>
        <w:jc w:val="both"/>
        <w:rPr>
          <w:rFonts w:ascii="Verdana" w:eastAsia="Calibri" w:hAnsi="Verdana" w:cs="Arial"/>
          <w:b/>
          <w:color w:val="000000" w:themeColor="text1"/>
          <w:szCs w:val="24"/>
          <w:lang w:eastAsia="es-ES_tradnl"/>
        </w:rPr>
      </w:pPr>
      <w:r w:rsidRPr="00262582">
        <w:rPr>
          <w:rFonts w:ascii="Verdana" w:eastAsia="Calibri" w:hAnsi="Verdana" w:cs="Arial"/>
          <w:b/>
          <w:color w:val="000000" w:themeColor="text1"/>
          <w:szCs w:val="24"/>
          <w:lang w:eastAsia="es-ES_tradnl"/>
        </w:rPr>
        <w:t>LEY DE EMPRENDIMIENTO – Ley 2069 de 2020 – Artículo 32 – Criterios diferenciales – Emprendimientos de mujeres – Empresas de mujeres – Necesidad de reglamentación – Decreto 1860 de 2021</w:t>
      </w:r>
    </w:p>
    <w:p w14:paraId="39A20EED" w14:textId="77777777" w:rsidR="00B154E7" w:rsidRPr="00262582" w:rsidRDefault="00B154E7" w:rsidP="00B154E7">
      <w:pPr>
        <w:spacing w:after="0" w:line="240" w:lineRule="auto"/>
        <w:jc w:val="both"/>
        <w:rPr>
          <w:rFonts w:ascii="Verdana" w:eastAsia="Calibri" w:hAnsi="Verdana" w:cs="Arial"/>
          <w:b/>
          <w:color w:val="000000" w:themeColor="text1"/>
          <w:szCs w:val="24"/>
          <w:lang w:eastAsia="es-ES_tradnl"/>
        </w:rPr>
      </w:pPr>
    </w:p>
    <w:p w14:paraId="19236375" w14:textId="77777777" w:rsidR="00B154E7" w:rsidRPr="00262582" w:rsidRDefault="00B154E7" w:rsidP="00B154E7">
      <w:pPr>
        <w:tabs>
          <w:tab w:val="left" w:pos="709"/>
        </w:tabs>
        <w:spacing w:after="0" w:line="240" w:lineRule="auto"/>
        <w:jc w:val="both"/>
        <w:rPr>
          <w:rFonts w:ascii="Verdana" w:eastAsia="Times New Roman" w:hAnsi="Verdana" w:cs="Arial"/>
          <w:sz w:val="20"/>
          <w:szCs w:val="20"/>
          <w:lang w:eastAsia="es-ES_tradnl"/>
        </w:rPr>
      </w:pPr>
      <w:r w:rsidRPr="00262582">
        <w:rPr>
          <w:rFonts w:ascii="Verdana" w:eastAsia="Times New Roman" w:hAnsi="Verdana" w:cs="Arial"/>
          <w:sz w:val="20"/>
          <w:szCs w:val="20"/>
          <w:lang w:eastAsia="es-ES_tradnl"/>
        </w:rPr>
        <w:t xml:space="preserve">[…] el artículo 32 de la Ley 2069 de 2020 regula criterios diferenciales para los </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emprendimientos y empresas de mujeres</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 xml:space="preserve"> en el sistema de compras y contratación pública. […] De esta manera, los denominados </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criterios diferenciales</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 xml:space="preserve"> del artículo 32 ibidem –que incluyen tanto los </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requisitos diferenciales</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 xml:space="preserve"> como los </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puntajes adicionales</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 xml:space="preserve">– aplican a </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 los procesos de licitación pública, selección abreviada de menor cuantía y concurso de méritos […]</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 xml:space="preserve">,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7DAB2C4F" w14:textId="77777777" w:rsidR="00B154E7" w:rsidRPr="00262582" w:rsidRDefault="00B154E7" w:rsidP="00B154E7">
      <w:pPr>
        <w:tabs>
          <w:tab w:val="left" w:pos="709"/>
        </w:tabs>
        <w:spacing w:after="0" w:line="240" w:lineRule="auto"/>
        <w:jc w:val="both"/>
        <w:rPr>
          <w:rFonts w:ascii="Verdana" w:eastAsia="Times New Roman" w:hAnsi="Verdana" w:cs="Arial"/>
          <w:sz w:val="20"/>
          <w:szCs w:val="20"/>
          <w:lang w:eastAsia="es-ES_tradnl"/>
        </w:rPr>
      </w:pPr>
    </w:p>
    <w:p w14:paraId="2ACFC45E" w14:textId="77777777" w:rsidR="00B154E7" w:rsidRPr="00262582" w:rsidRDefault="00B154E7" w:rsidP="00B154E7">
      <w:pPr>
        <w:spacing w:after="0" w:line="240" w:lineRule="auto"/>
        <w:jc w:val="both"/>
        <w:rPr>
          <w:rFonts w:ascii="Verdana" w:eastAsia="Times New Roman" w:hAnsi="Verdana" w:cs="Arial"/>
          <w:sz w:val="20"/>
          <w:szCs w:val="20"/>
          <w:lang w:eastAsia="es-ES_tradnl"/>
        </w:rPr>
      </w:pPr>
      <w:r w:rsidRPr="00262582">
        <w:rPr>
          <w:rFonts w:ascii="Verdana" w:eastAsia="Times New Roman" w:hAnsi="Verdana" w:cs="Arial"/>
          <w:sz w:val="20"/>
          <w:szCs w:val="20"/>
          <w:lang w:eastAsia="es-ES_tradnl"/>
        </w:rPr>
        <w:t xml:space="preserve">No obstante, el artículo 32 de la Ley 2069 de 2020 –al igual que el artículo 31– alude a la necesidad del desarrollo normativo posterior. Al respecto, el parágrafo dispone que </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La definición de emprendimientos y empresas de mujeres se reglamentará por el gobierno nacional</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 xml:space="preserve">. […] En este contexto, el pasado 24 de diciembre, el gobierno nacional expidió el Decreto 1860 de 2021 </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Verdana" w:eastAsia="Times New Roman" w:hAnsi="Verdana" w:cs="Arial"/>
          <w:sz w:val="20"/>
          <w:szCs w:val="20"/>
          <w:lang w:eastAsia="es-ES_tradnl"/>
        </w:rPr>
        <w:t>”</w:t>
      </w:r>
      <w:r w:rsidRPr="00262582">
        <w:rPr>
          <w:rFonts w:ascii="Verdana" w:eastAsia="Times New Roman" w:hAnsi="Verdana" w:cs="Arial"/>
          <w:sz w:val="20"/>
          <w:szCs w:val="20"/>
          <w:lang w:eastAsia="es-ES_tradnl"/>
        </w:rPr>
        <w:t xml:space="preserve">.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  </w:t>
      </w:r>
    </w:p>
    <w:p w14:paraId="7FAD12C0" w14:textId="77777777" w:rsidR="00B154E7" w:rsidRPr="00262582" w:rsidRDefault="00B154E7" w:rsidP="00B154E7">
      <w:pPr>
        <w:spacing w:after="0" w:line="240" w:lineRule="auto"/>
        <w:jc w:val="both"/>
        <w:rPr>
          <w:rFonts w:ascii="Verdana" w:eastAsia="Calibri" w:hAnsi="Verdana" w:cs="Arial"/>
          <w:b/>
          <w:color w:val="000000" w:themeColor="text1"/>
          <w:sz w:val="20"/>
          <w:szCs w:val="20"/>
          <w:lang w:val="es-ES" w:eastAsia="es-ES_tradnl"/>
        </w:rPr>
      </w:pPr>
    </w:p>
    <w:p w14:paraId="2DB55054" w14:textId="77777777" w:rsidR="00B154E7" w:rsidRPr="00262582" w:rsidRDefault="00B154E7" w:rsidP="00B154E7">
      <w:pPr>
        <w:spacing w:after="0" w:line="240" w:lineRule="auto"/>
        <w:jc w:val="both"/>
        <w:rPr>
          <w:rFonts w:ascii="Verdana" w:eastAsia="Calibri" w:hAnsi="Verdana" w:cs="Arial"/>
          <w:b/>
          <w:lang w:val="es-ES_tradnl" w:eastAsia="es-ES_tradnl"/>
        </w:rPr>
      </w:pPr>
      <w:r w:rsidRPr="00262582">
        <w:rPr>
          <w:rFonts w:ascii="Verdana" w:eastAsia="Calibri" w:hAnsi="Verdana" w:cs="Arial"/>
          <w:b/>
          <w:color w:val="000000" w:themeColor="text1"/>
          <w:lang w:val="es-ES" w:eastAsia="es-ES_tradnl"/>
        </w:rPr>
        <w:t>DECRETO 1860 DE 2021 – Emprendimientos y empresas de mujeres – Definición – Artículo 2.2.1.2.4.2.14 – Numeral 3 – Registro mercantil</w:t>
      </w:r>
    </w:p>
    <w:p w14:paraId="1FD774AB" w14:textId="77777777" w:rsidR="00B154E7" w:rsidRPr="00262582" w:rsidRDefault="00B154E7" w:rsidP="00B154E7">
      <w:pPr>
        <w:spacing w:after="0" w:line="240" w:lineRule="auto"/>
        <w:jc w:val="both"/>
        <w:rPr>
          <w:rFonts w:ascii="Verdana" w:eastAsia="Calibri" w:hAnsi="Verdana" w:cs="Arial"/>
          <w:b/>
          <w:lang w:val="es-ES_tradnl" w:eastAsia="es-ES_tradnl"/>
        </w:rPr>
      </w:pPr>
    </w:p>
    <w:p w14:paraId="27A388E8" w14:textId="77777777" w:rsidR="00B154E7" w:rsidRPr="00262582" w:rsidRDefault="00B154E7" w:rsidP="00B154E7">
      <w:pPr>
        <w:spacing w:after="0" w:line="240" w:lineRule="auto"/>
        <w:jc w:val="both"/>
        <w:rPr>
          <w:rFonts w:ascii="Verdana" w:eastAsia="Calibri" w:hAnsi="Verdana" w:cs="Arial"/>
          <w:sz w:val="20"/>
          <w:szCs w:val="20"/>
          <w:lang w:val="es-ES" w:eastAsia="es-ES"/>
        </w:rPr>
      </w:pPr>
      <w:r w:rsidRPr="4F0B1698">
        <w:rPr>
          <w:rFonts w:ascii="Verdana" w:eastAsia="Calibri" w:hAnsi="Verdana" w:cs="Arial"/>
          <w:sz w:val="20"/>
          <w:szCs w:val="20"/>
          <w:lang w:val="es-ES" w:eastAsia="es-ES"/>
        </w:rPr>
        <w:t xml:space="preserve">[…] Teniendo en cuenta el objeto de la presente consulta, resulta relevante el análisis del numeral tercero del artículo antes citado, según el cual tratándose de personas naturales debe cumplirse con las siguientes condiciones para ser consideradas emprendimientos y empresas de mujeres y, en consecuencia, ser destinatarias de los criterios diferenciales de que trata el artículo 32 de la Ley de Emprendimiento: (i) que la persona natural sea una mujer; (ii) que haya ejercido actividades comerciales a través de un establecimiento de comercio; (iii)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w:t>
      </w:r>
    </w:p>
    <w:p w14:paraId="47C7FC61" w14:textId="77777777" w:rsidR="00B154E7" w:rsidRPr="00262582" w:rsidRDefault="00B154E7" w:rsidP="00B154E7">
      <w:pPr>
        <w:spacing w:after="0" w:line="240" w:lineRule="auto"/>
        <w:jc w:val="both"/>
        <w:rPr>
          <w:rFonts w:ascii="Verdana" w:eastAsia="Calibri" w:hAnsi="Verdana" w:cs="Arial"/>
          <w:sz w:val="20"/>
          <w:szCs w:val="20"/>
          <w:lang w:val="es-ES_tradnl" w:eastAsia="es-ES_tradnl"/>
        </w:rPr>
      </w:pPr>
    </w:p>
    <w:p w14:paraId="5E29F5BF" w14:textId="77777777" w:rsidR="00B154E7" w:rsidRPr="00262582" w:rsidRDefault="00B154E7" w:rsidP="56C12E42">
      <w:pPr>
        <w:spacing w:after="0" w:line="240" w:lineRule="auto"/>
        <w:jc w:val="both"/>
        <w:rPr>
          <w:rFonts w:ascii="Verdana" w:eastAsia="Calibri" w:hAnsi="Verdana" w:cs="Arial"/>
          <w:sz w:val="20"/>
          <w:szCs w:val="20"/>
          <w:lang w:val="es-ES" w:eastAsia="es-ES"/>
        </w:rPr>
      </w:pPr>
      <w:r w:rsidRPr="56C12E42">
        <w:rPr>
          <w:rFonts w:ascii="Verdana" w:eastAsia="Calibri" w:hAnsi="Verdana" w:cs="Arial"/>
          <w:sz w:val="20"/>
          <w:szCs w:val="20"/>
          <w:lang w:val="es-ES" w:eastAsia="es-ES"/>
        </w:rPr>
        <w:t xml:space="preserve">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w:t>
      </w:r>
      <w:r w:rsidRPr="56C12E42">
        <w:rPr>
          <w:rFonts w:ascii="Verdana" w:eastAsia="Calibri" w:hAnsi="Verdana" w:cs="Arial"/>
          <w:sz w:val="20"/>
          <w:szCs w:val="20"/>
          <w:lang w:val="es-ES" w:eastAsia="es-ES"/>
        </w:rPr>
        <w:lastRenderedPageBreak/>
        <w:t xml:space="preserve">manera, el criterio definido en el numeral tercero del artículo 3 antes citado deja por fuera a aquellas mujeres que no hayan ejercido actividades comerciales a través de un establecimiento de comercio, que no tengan registro mercantil, y/o que no cumplan con el requerimiento del tiempo mínimo de un año de ejercicio de las actividades.  </w:t>
      </w:r>
    </w:p>
    <w:p w14:paraId="0AC5786E" w14:textId="77777777" w:rsidR="00B154E7" w:rsidRPr="00262582" w:rsidRDefault="00B154E7" w:rsidP="00B154E7">
      <w:pPr>
        <w:spacing w:after="0" w:line="240" w:lineRule="auto"/>
        <w:jc w:val="both"/>
        <w:rPr>
          <w:rFonts w:ascii="Verdana" w:eastAsia="Calibri" w:hAnsi="Verdana" w:cs="Arial"/>
          <w:sz w:val="20"/>
          <w:szCs w:val="20"/>
          <w:lang w:val="es-ES_tradnl" w:eastAsia="es-ES_tradnl"/>
        </w:rPr>
      </w:pPr>
    </w:p>
    <w:p w14:paraId="54A9D7D8" w14:textId="77777777" w:rsidR="00B154E7" w:rsidRPr="00262582" w:rsidRDefault="00B154E7" w:rsidP="00B154E7">
      <w:pPr>
        <w:spacing w:after="0" w:line="240" w:lineRule="auto"/>
        <w:jc w:val="both"/>
        <w:rPr>
          <w:rFonts w:ascii="Verdana" w:eastAsia="Times New Roman" w:hAnsi="Verdana" w:cs="Arial"/>
          <w:b/>
          <w:noProof/>
          <w:color w:val="000000"/>
          <w:lang w:val="es-ES_tradnl" w:eastAsia="es-ES_tradnl"/>
        </w:rPr>
      </w:pPr>
      <w:r w:rsidRPr="00262582">
        <w:rPr>
          <w:rFonts w:ascii="Verdana" w:eastAsia="Calibri" w:hAnsi="Verdana" w:cs="Arial"/>
          <w:b/>
          <w:color w:val="000000" w:themeColor="text1"/>
          <w:lang w:val="es-ES" w:eastAsia="es-ES_tradnl"/>
        </w:rPr>
        <w:t xml:space="preserve">DECRETO 1860 DE 2021 </w:t>
      </w:r>
      <w:r w:rsidRPr="00262582">
        <w:rPr>
          <w:rFonts w:ascii="Verdana" w:eastAsia="Calibri" w:hAnsi="Verdana" w:cs="Arial"/>
          <w:b/>
          <w:color w:val="000000" w:themeColor="text1"/>
          <w:lang w:val="es-ES_tradnl" w:eastAsia="es-ES_tradnl"/>
        </w:rPr>
        <w:t>– Criterios diferenciales – Empresas y emprendimientos de mujeres – Experiencia</w:t>
      </w:r>
    </w:p>
    <w:p w14:paraId="12CA690A" w14:textId="77777777" w:rsidR="00B154E7" w:rsidRPr="00262582" w:rsidRDefault="00B154E7" w:rsidP="00B154E7">
      <w:pPr>
        <w:spacing w:after="0" w:line="240" w:lineRule="auto"/>
        <w:ind w:firstLine="709"/>
        <w:jc w:val="both"/>
        <w:rPr>
          <w:rFonts w:ascii="Verdana" w:eastAsia="Times New Roman" w:hAnsi="Verdana" w:cs="Arial"/>
          <w:b/>
          <w:bCs/>
          <w:noProof/>
          <w:color w:val="000000"/>
          <w:sz w:val="24"/>
          <w:szCs w:val="24"/>
          <w:lang w:val="es-ES_tradnl" w:eastAsia="es-ES_tradnl"/>
        </w:rPr>
      </w:pPr>
    </w:p>
    <w:p w14:paraId="7A2C69DD" w14:textId="77777777" w:rsidR="00B154E7" w:rsidRPr="00262582" w:rsidRDefault="00B154E7" w:rsidP="00B154E7">
      <w:pPr>
        <w:spacing w:after="0" w:line="240" w:lineRule="auto"/>
        <w:jc w:val="both"/>
        <w:rPr>
          <w:rFonts w:ascii="Verdana" w:eastAsia="Calibri" w:hAnsi="Verdana" w:cs="Arial"/>
          <w:bCs/>
          <w:color w:val="000000" w:themeColor="text1"/>
          <w:sz w:val="20"/>
          <w:szCs w:val="20"/>
          <w:lang w:val="es-ES" w:eastAsia="es-ES_tradnl"/>
        </w:rPr>
      </w:pPr>
      <w:r w:rsidRPr="00262582">
        <w:rPr>
          <w:rFonts w:ascii="Verdana" w:eastAsia="Calibri" w:hAnsi="Verdana" w:cs="Arial"/>
          <w:bCs/>
          <w:color w:val="000000" w:themeColor="text1"/>
          <w:sz w:val="20"/>
          <w:szCs w:val="20"/>
          <w:lang w:val="es-ES" w:eastAsia="es-ES_tradnl"/>
        </w:rPr>
        <w:t>[...]</w:t>
      </w:r>
    </w:p>
    <w:p w14:paraId="14E63D32" w14:textId="77777777" w:rsidR="00B154E7" w:rsidRPr="00262582" w:rsidRDefault="00B154E7" w:rsidP="00B154E7">
      <w:pPr>
        <w:spacing w:after="0" w:line="240" w:lineRule="auto"/>
        <w:jc w:val="both"/>
        <w:rPr>
          <w:rFonts w:ascii="Verdana" w:eastAsia="Calibri" w:hAnsi="Verdana" w:cs="Arial"/>
          <w:bCs/>
          <w:color w:val="000000" w:themeColor="text1"/>
          <w:sz w:val="20"/>
          <w:szCs w:val="20"/>
          <w:lang w:val="es-ES" w:eastAsia="es-ES_tradnl"/>
        </w:rPr>
      </w:pPr>
      <w:r w:rsidRPr="00262582">
        <w:rPr>
          <w:rFonts w:ascii="Verdana" w:eastAsia="Calibri" w:hAnsi="Verdana" w:cs="Arial"/>
          <w:bCs/>
          <w:color w:val="000000" w:themeColor="text1"/>
          <w:sz w:val="20"/>
          <w:szCs w:val="20"/>
          <w:lang w:val="es-ES" w:eastAsia="es-ES_tradnl"/>
        </w:rPr>
        <w:t>Para el efecto dichos requisitos habilitantes contemplados en el pliego de condiciones podrán ser menos exigentes para los emprendimientos y empresas de mujeres, según lo justifiquen los instrumentos de planeación precontractual que determinen las Entidades Estatales, por lo tanto, y de conformidad con el articulado adicionado por el Decreto 1860 de 2021, los requisitos habilitantes diferenciales que deberán incluir en los Documentos del Proceso deberán estar relacionados con los siguientes aspectos:</w:t>
      </w:r>
    </w:p>
    <w:p w14:paraId="5FC66F05" w14:textId="77777777" w:rsidR="00B154E7" w:rsidRPr="00262582" w:rsidRDefault="00B154E7" w:rsidP="00B154E7">
      <w:pPr>
        <w:spacing w:after="0" w:line="240" w:lineRule="auto"/>
        <w:jc w:val="both"/>
        <w:rPr>
          <w:rFonts w:ascii="Verdana" w:eastAsia="Calibri" w:hAnsi="Verdana" w:cs="Arial"/>
          <w:bCs/>
          <w:color w:val="000000" w:themeColor="text1"/>
          <w:sz w:val="20"/>
          <w:szCs w:val="20"/>
          <w:lang w:val="es-ES" w:eastAsia="es-ES_tradnl"/>
        </w:rPr>
      </w:pPr>
    </w:p>
    <w:p w14:paraId="5A9DF412" w14:textId="77777777" w:rsidR="00B154E7" w:rsidRPr="00262582" w:rsidRDefault="00B154E7" w:rsidP="00B154E7">
      <w:pPr>
        <w:spacing w:after="0" w:line="240" w:lineRule="auto"/>
        <w:jc w:val="both"/>
        <w:rPr>
          <w:rFonts w:ascii="Verdana" w:eastAsia="Calibri" w:hAnsi="Verdana" w:cs="Arial"/>
          <w:bCs/>
          <w:color w:val="000000" w:themeColor="text1"/>
          <w:sz w:val="20"/>
          <w:szCs w:val="20"/>
          <w:lang w:val="es-ES" w:eastAsia="es-ES_tradnl"/>
        </w:rPr>
      </w:pPr>
      <w:r>
        <w:rPr>
          <w:rFonts w:ascii="Verdana" w:eastAsia="Calibri" w:hAnsi="Verdana" w:cs="Arial"/>
          <w:bCs/>
          <w:color w:val="000000" w:themeColor="text1"/>
          <w:sz w:val="20"/>
          <w:szCs w:val="20"/>
          <w:lang w:val="es-ES" w:eastAsia="es-ES_tradnl"/>
        </w:rPr>
        <w:t>“</w:t>
      </w:r>
      <w:r w:rsidRPr="00262582">
        <w:rPr>
          <w:rFonts w:ascii="Verdana" w:eastAsia="Calibri" w:hAnsi="Verdana" w:cs="Arial"/>
          <w:bCs/>
          <w:color w:val="000000" w:themeColor="text1"/>
          <w:sz w:val="20"/>
          <w:szCs w:val="20"/>
          <w:lang w:val="es-ES" w:eastAsia="es-ES_tradnl"/>
        </w:rPr>
        <w:t>1</w:t>
      </w:r>
      <w:r w:rsidRPr="00EE7300">
        <w:rPr>
          <w:rFonts w:ascii="Verdana" w:eastAsia="Calibri" w:hAnsi="Verdana" w:cs="Arial"/>
          <w:bCs/>
          <w:color w:val="000000" w:themeColor="text1"/>
          <w:sz w:val="20"/>
          <w:szCs w:val="20"/>
          <w:lang w:val="es-ES" w:eastAsia="es-ES_tradnl"/>
        </w:rPr>
        <w:t>. Tiempo de experiencia.</w:t>
      </w:r>
    </w:p>
    <w:p w14:paraId="78A94DE6" w14:textId="77777777" w:rsidR="00B154E7" w:rsidRPr="00EE7300" w:rsidRDefault="00B154E7" w:rsidP="00B154E7">
      <w:pPr>
        <w:spacing w:after="0" w:line="240" w:lineRule="auto"/>
        <w:jc w:val="both"/>
        <w:rPr>
          <w:rFonts w:ascii="Verdana" w:eastAsia="Calibri" w:hAnsi="Verdana" w:cs="Arial"/>
          <w:b/>
          <w:color w:val="000000" w:themeColor="text1"/>
          <w:sz w:val="20"/>
          <w:szCs w:val="20"/>
          <w:lang w:val="es-ES" w:eastAsia="es-ES_tradnl"/>
        </w:rPr>
      </w:pPr>
      <w:r w:rsidRPr="00EE7300">
        <w:rPr>
          <w:rFonts w:ascii="Verdana" w:eastAsia="Calibri" w:hAnsi="Verdana" w:cs="Arial"/>
          <w:b/>
          <w:color w:val="000000" w:themeColor="text1"/>
          <w:sz w:val="20"/>
          <w:szCs w:val="20"/>
          <w:lang w:val="es-ES" w:eastAsia="es-ES_tradnl"/>
        </w:rPr>
        <w:t>2. Número de contratos para la acreditación de la experiencia.</w:t>
      </w:r>
    </w:p>
    <w:p w14:paraId="121E57F5" w14:textId="77777777" w:rsidR="00B154E7" w:rsidRPr="00262582" w:rsidRDefault="00B154E7" w:rsidP="00B154E7">
      <w:pPr>
        <w:spacing w:after="0" w:line="240" w:lineRule="auto"/>
        <w:jc w:val="both"/>
        <w:rPr>
          <w:rFonts w:ascii="Verdana" w:eastAsia="Calibri" w:hAnsi="Verdana" w:cs="Arial"/>
          <w:bCs/>
          <w:color w:val="000000" w:themeColor="text1"/>
          <w:sz w:val="20"/>
          <w:szCs w:val="20"/>
          <w:lang w:val="es-ES" w:eastAsia="es-ES_tradnl"/>
        </w:rPr>
      </w:pPr>
      <w:r w:rsidRPr="00262582">
        <w:rPr>
          <w:rFonts w:ascii="Verdana" w:eastAsia="Calibri" w:hAnsi="Verdana" w:cs="Arial"/>
          <w:bCs/>
          <w:color w:val="000000" w:themeColor="text1"/>
          <w:sz w:val="20"/>
          <w:szCs w:val="20"/>
          <w:lang w:val="es-ES" w:eastAsia="es-ES_tradnl"/>
        </w:rPr>
        <w:t>3. Índices de capacidad financiera.</w:t>
      </w:r>
    </w:p>
    <w:p w14:paraId="31211EF5" w14:textId="77777777" w:rsidR="00B154E7" w:rsidRPr="00262582" w:rsidRDefault="00B154E7" w:rsidP="00B154E7">
      <w:pPr>
        <w:spacing w:after="0" w:line="240" w:lineRule="auto"/>
        <w:jc w:val="both"/>
        <w:rPr>
          <w:rFonts w:ascii="Verdana" w:eastAsia="Calibri" w:hAnsi="Verdana" w:cs="Arial"/>
          <w:bCs/>
          <w:color w:val="000000" w:themeColor="text1"/>
          <w:sz w:val="20"/>
          <w:szCs w:val="20"/>
          <w:lang w:val="es-ES" w:eastAsia="es-ES_tradnl"/>
        </w:rPr>
      </w:pPr>
      <w:r w:rsidRPr="00262582">
        <w:rPr>
          <w:rFonts w:ascii="Verdana" w:eastAsia="Calibri" w:hAnsi="Verdana" w:cs="Arial"/>
          <w:bCs/>
          <w:color w:val="000000" w:themeColor="text1"/>
          <w:sz w:val="20"/>
          <w:szCs w:val="20"/>
          <w:lang w:val="es-ES" w:eastAsia="es-ES_tradnl"/>
        </w:rPr>
        <w:t>4. Índices de capacidad organizacional.</w:t>
      </w:r>
    </w:p>
    <w:p w14:paraId="5EAD6562" w14:textId="77777777" w:rsidR="00B154E7" w:rsidRPr="00262582" w:rsidRDefault="00B154E7" w:rsidP="00B154E7">
      <w:pPr>
        <w:spacing w:after="0" w:line="240" w:lineRule="auto"/>
        <w:jc w:val="both"/>
        <w:rPr>
          <w:rFonts w:ascii="Verdana" w:eastAsia="Calibri" w:hAnsi="Verdana" w:cs="Arial"/>
          <w:bCs/>
          <w:color w:val="000000" w:themeColor="text1"/>
          <w:sz w:val="20"/>
          <w:szCs w:val="20"/>
          <w:lang w:val="es-ES" w:eastAsia="es-ES_tradnl"/>
        </w:rPr>
      </w:pPr>
      <w:r w:rsidRPr="00262582">
        <w:rPr>
          <w:rFonts w:ascii="Verdana" w:eastAsia="Calibri" w:hAnsi="Verdana" w:cs="Arial"/>
          <w:bCs/>
          <w:color w:val="000000" w:themeColor="text1"/>
          <w:sz w:val="20"/>
          <w:szCs w:val="20"/>
          <w:lang w:val="es-ES" w:eastAsia="es-ES_tradnl"/>
        </w:rPr>
        <w:t>5. Valor de la garantía de seriedad de la oferta.</w:t>
      </w:r>
      <w:r>
        <w:rPr>
          <w:rFonts w:ascii="Verdana" w:eastAsia="Calibri" w:hAnsi="Verdana" w:cs="Arial"/>
          <w:bCs/>
          <w:color w:val="000000" w:themeColor="text1"/>
          <w:sz w:val="20"/>
          <w:szCs w:val="20"/>
          <w:lang w:val="es-ES" w:eastAsia="es-ES_tradnl"/>
        </w:rPr>
        <w:t>”</w:t>
      </w:r>
      <w:r w:rsidRPr="00262582">
        <w:rPr>
          <w:rFonts w:ascii="Verdana" w:eastAsia="Calibri" w:hAnsi="Verdana" w:cs="Arial"/>
          <w:bCs/>
          <w:color w:val="000000" w:themeColor="text1"/>
          <w:sz w:val="20"/>
          <w:szCs w:val="20"/>
          <w:lang w:val="es-ES" w:eastAsia="es-ES_tradnl"/>
        </w:rPr>
        <w:t xml:space="preserve"> (negrilla fuera de texto)</w:t>
      </w:r>
    </w:p>
    <w:p w14:paraId="3D174C46" w14:textId="77777777" w:rsidR="00B154E7" w:rsidRPr="00262582" w:rsidRDefault="00B154E7" w:rsidP="00B154E7">
      <w:pPr>
        <w:spacing w:after="0" w:line="240" w:lineRule="auto"/>
        <w:jc w:val="both"/>
        <w:rPr>
          <w:rFonts w:ascii="Verdana" w:eastAsia="Calibri" w:hAnsi="Verdana" w:cs="Arial"/>
          <w:bCs/>
          <w:color w:val="000000" w:themeColor="text1"/>
          <w:sz w:val="20"/>
          <w:szCs w:val="20"/>
          <w:lang w:val="es-ES" w:eastAsia="es-ES_tradnl"/>
        </w:rPr>
      </w:pPr>
    </w:p>
    <w:p w14:paraId="41D5F3F1" w14:textId="77777777" w:rsidR="00B154E7" w:rsidRPr="00262582" w:rsidRDefault="00B154E7" w:rsidP="00B154E7">
      <w:pPr>
        <w:spacing w:after="0" w:line="240" w:lineRule="auto"/>
        <w:jc w:val="both"/>
        <w:rPr>
          <w:rFonts w:ascii="Verdana" w:eastAsia="Calibri" w:hAnsi="Verdana" w:cs="Arial"/>
          <w:bCs/>
          <w:color w:val="000000" w:themeColor="text1"/>
          <w:sz w:val="20"/>
          <w:szCs w:val="20"/>
          <w:lang w:val="es-ES" w:eastAsia="es-ES_tradnl"/>
        </w:rPr>
      </w:pPr>
      <w:r w:rsidRPr="00262582">
        <w:rPr>
          <w:rFonts w:ascii="Verdana" w:eastAsia="Calibri" w:hAnsi="Verdana" w:cs="Arial"/>
          <w:bCs/>
          <w:color w:val="000000" w:themeColor="text1"/>
          <w:sz w:val="20"/>
          <w:szCs w:val="20"/>
          <w:lang w:val="es-ES" w:eastAsia="es-ES_tradnl"/>
        </w:rPr>
        <w:t>Los requisitos mencionados deberán fijarse respetando las condiciones habilitantes necesarias para el cumplimiento adecuado del contrato, teniendo en cuenta el alcance de las obligaciones. Además, según la norma citada, se determinó que en los procesos de contratación competitivos se debían incorporar requisitos habilitantes diferenciales para los emprendimientos y empresas de mujeres, relacionados con alguno o algunos de los siguientes aspectos: i) tiempo de experiencia, ii) número de contratos para la acreditación de la experiencia, iii) índices de capacidad financiera, iv) índices de capacidad organizacional y v) valor de la garantía de seriedad de la oferta. Igualmente, el decreto dispone que, con excepción de los procedimientos de selección donde el menor precio ofrecido sea el único factor de evaluación, las entidades otorgarán un puntaje adicional hasta de cero punto veinticinco por ciento (0.25%) del valor total de los puntos establecidos en los pliegos de condiciones o documento equivalente, a los proponentes que acrediten alguno de los supuestos señalados en el artículo 2.2.1.2.4.2.14 del Decreto 1082 de 2015.</w:t>
      </w:r>
    </w:p>
    <w:p w14:paraId="47FC4E93" w14:textId="77777777" w:rsidR="00B154E7" w:rsidRPr="00262582" w:rsidRDefault="00B154E7" w:rsidP="00B154E7">
      <w:pPr>
        <w:spacing w:after="0" w:line="240" w:lineRule="auto"/>
        <w:jc w:val="both"/>
        <w:rPr>
          <w:rFonts w:ascii="Verdana" w:eastAsia="Calibri" w:hAnsi="Verdana" w:cs="Arial"/>
          <w:bCs/>
          <w:color w:val="000000" w:themeColor="text1"/>
          <w:sz w:val="20"/>
          <w:szCs w:val="20"/>
          <w:lang w:val="es-ES" w:eastAsia="es-ES_tradnl"/>
        </w:rPr>
      </w:pPr>
    </w:p>
    <w:p w14:paraId="355F3811" w14:textId="77777777" w:rsidR="00B154E7" w:rsidRPr="00262582" w:rsidRDefault="00B154E7" w:rsidP="00B154E7">
      <w:pPr>
        <w:spacing w:after="0" w:line="240" w:lineRule="auto"/>
        <w:jc w:val="both"/>
        <w:rPr>
          <w:rFonts w:ascii="Verdana" w:eastAsia="Times New Roman" w:hAnsi="Verdana" w:cs="Arial"/>
          <w:noProof/>
          <w:lang w:val="es-ES" w:eastAsia="es-ES_tradnl"/>
        </w:rPr>
      </w:pPr>
    </w:p>
    <w:p w14:paraId="20F6B5C6" w14:textId="77777777" w:rsidR="00B154E7" w:rsidRPr="00262582" w:rsidRDefault="00B154E7" w:rsidP="00B154E7">
      <w:pPr>
        <w:spacing w:after="0" w:line="240" w:lineRule="auto"/>
        <w:jc w:val="both"/>
        <w:rPr>
          <w:rFonts w:ascii="Verdana" w:eastAsia="Times New Roman" w:hAnsi="Verdana" w:cs="Arial"/>
          <w:noProof/>
          <w:lang w:val="es-ES" w:eastAsia="es-ES_tradnl"/>
        </w:rPr>
      </w:pPr>
    </w:p>
    <w:p w14:paraId="33A83F5A" w14:textId="77777777" w:rsidR="00B154E7" w:rsidRPr="00262582" w:rsidRDefault="00B154E7" w:rsidP="00B154E7">
      <w:pPr>
        <w:spacing w:after="0" w:line="240" w:lineRule="auto"/>
        <w:jc w:val="both"/>
        <w:rPr>
          <w:rFonts w:ascii="Verdana" w:eastAsia="Times New Roman" w:hAnsi="Verdana" w:cs="Arial"/>
          <w:noProof/>
          <w:lang w:val="es-ES" w:eastAsia="es-ES_tradnl"/>
        </w:rPr>
      </w:pPr>
    </w:p>
    <w:p w14:paraId="5893320A" w14:textId="77777777" w:rsidR="00B154E7" w:rsidRDefault="00B154E7" w:rsidP="00B154E7">
      <w:pPr>
        <w:spacing w:after="0" w:line="240" w:lineRule="auto"/>
        <w:jc w:val="both"/>
        <w:rPr>
          <w:rFonts w:ascii="Verdana" w:eastAsia="Times New Roman" w:hAnsi="Verdana" w:cs="Arial"/>
          <w:noProof/>
          <w:lang w:val="es-ES" w:eastAsia="es-ES_tradnl"/>
        </w:rPr>
      </w:pPr>
    </w:p>
    <w:p w14:paraId="21F39B60" w14:textId="77777777" w:rsidR="00B154E7" w:rsidRPr="00262582" w:rsidRDefault="00B154E7" w:rsidP="00B154E7">
      <w:pPr>
        <w:spacing w:after="0" w:line="240" w:lineRule="auto"/>
        <w:jc w:val="both"/>
        <w:rPr>
          <w:rFonts w:ascii="Verdana" w:eastAsia="Times New Roman" w:hAnsi="Verdana" w:cs="Arial"/>
          <w:noProof/>
          <w:lang w:val="es-ES" w:eastAsia="es-ES_tradnl"/>
        </w:rPr>
      </w:pPr>
    </w:p>
    <w:p w14:paraId="199C8160" w14:textId="77777777" w:rsidR="00B154E7" w:rsidRPr="00262582" w:rsidRDefault="00B154E7" w:rsidP="00B154E7">
      <w:pPr>
        <w:spacing w:after="0" w:line="240" w:lineRule="auto"/>
        <w:jc w:val="both"/>
        <w:rPr>
          <w:rFonts w:ascii="Verdana" w:eastAsia="Times New Roman" w:hAnsi="Verdana" w:cs="Arial"/>
          <w:noProof/>
          <w:lang w:val="es-ES" w:eastAsia="es-ES_tradnl"/>
        </w:rPr>
      </w:pPr>
    </w:p>
    <w:p w14:paraId="241C0F00" w14:textId="77777777" w:rsidR="00B154E7" w:rsidRPr="00262582" w:rsidRDefault="00B154E7" w:rsidP="00B154E7">
      <w:pPr>
        <w:spacing w:after="0" w:line="240" w:lineRule="auto"/>
        <w:jc w:val="both"/>
        <w:rPr>
          <w:rFonts w:ascii="Verdana" w:eastAsia="Times New Roman" w:hAnsi="Verdana" w:cs="Arial"/>
          <w:noProof/>
          <w:lang w:val="es-ES" w:eastAsia="es-ES_tradnl"/>
        </w:rPr>
      </w:pPr>
    </w:p>
    <w:p w14:paraId="637845A5" w14:textId="77777777" w:rsidR="00B154E7" w:rsidRPr="00262582" w:rsidRDefault="00B154E7" w:rsidP="00B154E7">
      <w:pPr>
        <w:spacing w:after="0" w:line="240" w:lineRule="auto"/>
        <w:jc w:val="both"/>
        <w:rPr>
          <w:rFonts w:ascii="Verdana" w:eastAsia="Times New Roman" w:hAnsi="Verdana" w:cs="Arial"/>
          <w:noProof/>
          <w:lang w:val="es-ES" w:eastAsia="es-ES_tradnl"/>
        </w:rPr>
      </w:pPr>
    </w:p>
    <w:p w14:paraId="1814B232" w14:textId="77777777" w:rsidR="00B154E7" w:rsidRDefault="00B154E7" w:rsidP="00B154E7">
      <w:pPr>
        <w:spacing w:after="0" w:line="240" w:lineRule="auto"/>
        <w:jc w:val="both"/>
        <w:rPr>
          <w:rFonts w:ascii="Verdana" w:eastAsia="Times New Roman" w:hAnsi="Verdana" w:cs="Arial"/>
          <w:noProof/>
          <w:lang w:val="es-ES_tradnl" w:eastAsia="es-ES_tradnl"/>
        </w:rPr>
      </w:pPr>
    </w:p>
    <w:p w14:paraId="6D04E72D" w14:textId="77777777" w:rsidR="00B154E7" w:rsidRDefault="00B154E7" w:rsidP="00B154E7">
      <w:pPr>
        <w:spacing w:after="0" w:line="240" w:lineRule="auto"/>
        <w:jc w:val="both"/>
        <w:rPr>
          <w:rFonts w:ascii="Verdana" w:eastAsia="Times New Roman" w:hAnsi="Verdana" w:cs="Arial"/>
          <w:noProof/>
          <w:lang w:val="es-ES_tradnl" w:eastAsia="es-ES_tradnl"/>
        </w:rPr>
      </w:pPr>
    </w:p>
    <w:p w14:paraId="7025A055" w14:textId="77777777" w:rsidR="00B154E7" w:rsidRDefault="00B154E7" w:rsidP="00B154E7">
      <w:pPr>
        <w:spacing w:after="0" w:line="240" w:lineRule="auto"/>
        <w:jc w:val="both"/>
        <w:rPr>
          <w:rFonts w:ascii="Verdana" w:eastAsia="Times New Roman" w:hAnsi="Verdana" w:cs="Arial"/>
          <w:noProof/>
          <w:lang w:val="es-ES_tradnl" w:eastAsia="es-ES_tradnl"/>
        </w:rPr>
      </w:pPr>
      <w:r w:rsidRPr="00262582">
        <w:rPr>
          <w:rFonts w:ascii="Verdana" w:eastAsia="Times New Roman" w:hAnsi="Verdana" w:cs="Arial"/>
          <w:noProof/>
          <w:lang w:val="es-ES_tradnl" w:eastAsia="es-ES_tradnl"/>
        </w:rPr>
        <w:lastRenderedPageBreak/>
        <w:t>Bogotá D.C., [Día] de [Mes.NombreCapitalizado] de [Año]</w:t>
      </w:r>
    </w:p>
    <w:p w14:paraId="7668EBC2" w14:textId="77777777" w:rsidR="0021049B" w:rsidRPr="00262582" w:rsidRDefault="0021049B" w:rsidP="00B154E7">
      <w:pPr>
        <w:spacing w:after="0" w:line="240" w:lineRule="auto"/>
        <w:jc w:val="both"/>
        <w:rPr>
          <w:rFonts w:ascii="Verdana" w:eastAsia="Times New Roman" w:hAnsi="Verdana" w:cs="Arial"/>
          <w:noProof/>
          <w:lang w:val="es-ES_tradnl" w:eastAsia="es-ES_tradnl"/>
        </w:rPr>
      </w:pPr>
    </w:p>
    <w:p w14:paraId="6E84C7CD" w14:textId="3A6412B7" w:rsidR="00B154E7" w:rsidRPr="00262582" w:rsidRDefault="0021049B" w:rsidP="0021049B">
      <w:pPr>
        <w:spacing w:after="0" w:line="240" w:lineRule="auto"/>
        <w:jc w:val="right"/>
        <w:rPr>
          <w:rFonts w:ascii="Verdana" w:eastAsia="Times New Roman" w:hAnsi="Verdana" w:cs="Arial"/>
          <w:noProof/>
          <w:lang w:val="es-ES_tradnl" w:eastAsia="es-ES_tradnl"/>
        </w:rPr>
      </w:pPr>
      <w:r>
        <w:rPr>
          <w:noProof/>
          <w14:ligatures w14:val="standardContextual"/>
        </w:rPr>
        <w:drawing>
          <wp:inline distT="0" distB="0" distL="0" distR="0" wp14:anchorId="2C2ECF59" wp14:editId="33D29C9F">
            <wp:extent cx="3373432" cy="966159"/>
            <wp:effectExtent l="0" t="0" r="0" b="5715"/>
            <wp:docPr id="512619900"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619900" name="Imagen 1" descr="Interfaz de usuario gráfica, Aplicación&#10;&#10;Descripción generada automáticamente"/>
                    <pic:cNvPicPr/>
                  </pic:nvPicPr>
                  <pic:blipFill rotWithShape="1">
                    <a:blip r:embed="rId10"/>
                    <a:srcRect l="10624" t="33768" r="54471" b="32446"/>
                    <a:stretch/>
                  </pic:blipFill>
                  <pic:spPr bwMode="auto">
                    <a:xfrm>
                      <a:off x="0" y="0"/>
                      <a:ext cx="3389132" cy="970656"/>
                    </a:xfrm>
                    <a:prstGeom prst="rect">
                      <a:avLst/>
                    </a:prstGeom>
                    <a:ln>
                      <a:noFill/>
                    </a:ln>
                    <a:extLst>
                      <a:ext uri="{53640926-AAD7-44D8-BBD7-CCE9431645EC}">
                        <a14:shadowObscured xmlns:a14="http://schemas.microsoft.com/office/drawing/2010/main"/>
                      </a:ext>
                    </a:extLst>
                  </pic:spPr>
                </pic:pic>
              </a:graphicData>
            </a:graphic>
          </wp:inline>
        </w:drawing>
      </w:r>
    </w:p>
    <w:p w14:paraId="76F1E51A" w14:textId="77777777" w:rsidR="00B154E7" w:rsidRPr="00262582" w:rsidRDefault="00B154E7" w:rsidP="00B154E7">
      <w:pPr>
        <w:spacing w:after="0" w:line="240" w:lineRule="auto"/>
        <w:jc w:val="right"/>
        <w:rPr>
          <w:rFonts w:ascii="Verdana" w:eastAsia="Times New Roman" w:hAnsi="Verdana" w:cs="Arial"/>
          <w:noProof/>
          <w:lang w:val="es-ES_tradnl" w:eastAsia="es-ES_tradnl"/>
        </w:rPr>
      </w:pPr>
    </w:p>
    <w:p w14:paraId="38EF0A5C" w14:textId="77777777" w:rsidR="00B154E7" w:rsidRPr="00262582" w:rsidRDefault="00B154E7" w:rsidP="00B154E7">
      <w:pPr>
        <w:spacing w:after="0" w:line="240" w:lineRule="auto"/>
        <w:jc w:val="both"/>
        <w:rPr>
          <w:rFonts w:ascii="Verdana" w:eastAsia="Calibri" w:hAnsi="Verdana" w:cs="Arial"/>
          <w:lang w:val="es-ES" w:eastAsia="es-ES_tradnl"/>
        </w:rPr>
      </w:pPr>
      <w:r w:rsidRPr="00262582">
        <w:rPr>
          <w:rFonts w:ascii="Verdana" w:eastAsia="Calibri" w:hAnsi="Verdana" w:cs="Arial"/>
          <w:lang w:val="es-ES" w:eastAsia="es-ES_tradnl"/>
        </w:rPr>
        <w:t>Señora</w:t>
      </w:r>
    </w:p>
    <w:p w14:paraId="456D4543" w14:textId="77777777" w:rsidR="00B154E7" w:rsidRPr="00262582" w:rsidRDefault="00B154E7" w:rsidP="00B154E7">
      <w:pPr>
        <w:spacing w:after="0" w:line="240" w:lineRule="auto"/>
        <w:rPr>
          <w:rFonts w:ascii="Verdana" w:eastAsia="Calibri" w:hAnsi="Verdana" w:cs="Arial"/>
          <w:b/>
          <w:bCs/>
          <w:lang w:val="es-ES" w:eastAsia="es-ES_tradnl"/>
        </w:rPr>
      </w:pPr>
      <w:r w:rsidRPr="00262582">
        <w:rPr>
          <w:rFonts w:ascii="Verdana" w:eastAsia="Calibri" w:hAnsi="Verdana" w:cs="Arial"/>
          <w:b/>
          <w:bCs/>
          <w:lang w:val="es-ES" w:eastAsia="es-ES_tradnl"/>
        </w:rPr>
        <w:t>Monica Alejandra Coral Suarez</w:t>
      </w:r>
    </w:p>
    <w:p w14:paraId="0C06ED04" w14:textId="77777777" w:rsidR="00B154E7" w:rsidRPr="00262582" w:rsidRDefault="00B154E7" w:rsidP="00B154E7">
      <w:pPr>
        <w:spacing w:after="0" w:line="240" w:lineRule="auto"/>
        <w:rPr>
          <w:rFonts w:ascii="Verdana" w:eastAsia="Calibri" w:hAnsi="Verdana" w:cs="Arial"/>
          <w:lang w:val="es-ES_tradnl" w:eastAsia="es-ES_tradnl"/>
        </w:rPr>
      </w:pPr>
      <w:r w:rsidRPr="00262582">
        <w:rPr>
          <w:rFonts w:ascii="Verdana" w:eastAsia="Calibri" w:hAnsi="Verdana" w:cs="Arial"/>
          <w:bCs/>
          <w:lang w:val="es-ES_tradnl" w:eastAsia="es-ES_tradnl"/>
        </w:rPr>
        <w:t>Ciudad</w:t>
      </w:r>
    </w:p>
    <w:p w14:paraId="00BF657C" w14:textId="77777777" w:rsidR="00B154E7" w:rsidRPr="00262582" w:rsidRDefault="00B154E7" w:rsidP="00B154E7">
      <w:pPr>
        <w:spacing w:after="0" w:line="240" w:lineRule="auto"/>
        <w:rPr>
          <w:rFonts w:ascii="Verdana" w:eastAsia="Calibri" w:hAnsi="Verdana" w:cs="Arial"/>
          <w:lang w:val="es-ES_tradnl" w:eastAsia="es-ES_tradnl"/>
        </w:rPr>
      </w:pPr>
    </w:p>
    <w:p w14:paraId="49A4EDE9" w14:textId="77777777" w:rsidR="00B154E7" w:rsidRPr="00262582" w:rsidRDefault="00B154E7" w:rsidP="00B154E7">
      <w:pPr>
        <w:spacing w:after="0" w:line="240" w:lineRule="auto"/>
        <w:rPr>
          <w:rFonts w:ascii="Verdana" w:eastAsia="Calibri" w:hAnsi="Verdana" w:cs="Arial"/>
          <w:lang w:val="es-ES_tradnl" w:eastAsia="es-ES_tradnl"/>
        </w:rPr>
      </w:pPr>
    </w:p>
    <w:p w14:paraId="5747CF66" w14:textId="77777777" w:rsidR="00B154E7" w:rsidRPr="00262582" w:rsidRDefault="00B154E7" w:rsidP="00B154E7">
      <w:pPr>
        <w:spacing w:after="0" w:line="240" w:lineRule="auto"/>
        <w:ind w:left="2694"/>
        <w:rPr>
          <w:rFonts w:ascii="Verdana" w:eastAsia="Calibri" w:hAnsi="Verdana" w:cs="Arial"/>
          <w:b/>
          <w:bCs/>
          <w:lang w:val="es-ES" w:eastAsia="es-ES_tradnl"/>
        </w:rPr>
      </w:pPr>
      <w:r w:rsidRPr="00262582">
        <w:rPr>
          <w:rFonts w:ascii="Verdana" w:eastAsia="Calibri" w:hAnsi="Verdana" w:cs="Arial"/>
          <w:b/>
          <w:bCs/>
          <w:lang w:val="es-ES" w:eastAsia="es-ES_tradnl"/>
        </w:rPr>
        <w:t>Concepto C-301 de 2024</w:t>
      </w:r>
    </w:p>
    <w:p w14:paraId="78EC537E" w14:textId="77777777" w:rsidR="00B154E7" w:rsidRPr="00262582" w:rsidRDefault="00B154E7" w:rsidP="00B154E7">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B154E7" w:rsidRPr="00262582" w14:paraId="74208A53" w14:textId="77777777" w:rsidTr="009612FB">
        <w:trPr>
          <w:jc w:val="right"/>
        </w:trPr>
        <w:tc>
          <w:tcPr>
            <w:tcW w:w="1838" w:type="dxa"/>
          </w:tcPr>
          <w:p w14:paraId="1D4C0801" w14:textId="77777777" w:rsidR="00B154E7" w:rsidRPr="00262582" w:rsidRDefault="00B154E7" w:rsidP="009612FB">
            <w:pPr>
              <w:jc w:val="center"/>
              <w:rPr>
                <w:rFonts w:ascii="Verdana" w:eastAsia="Calibri" w:hAnsi="Verdana" w:cs="Arial"/>
                <w:lang w:val="es-ES_tradnl" w:eastAsia="es-ES_tradnl"/>
              </w:rPr>
            </w:pPr>
            <w:r w:rsidRPr="00262582">
              <w:rPr>
                <w:rFonts w:ascii="Verdana" w:eastAsia="Calibri" w:hAnsi="Verdana" w:cs="Arial"/>
                <w:b/>
                <w:lang w:val="es-ES_tradnl" w:eastAsia="es-ES_tradnl"/>
              </w:rPr>
              <w:t>Temas:</w:t>
            </w:r>
          </w:p>
        </w:tc>
        <w:tc>
          <w:tcPr>
            <w:tcW w:w="6237" w:type="dxa"/>
          </w:tcPr>
          <w:p w14:paraId="08DBD254" w14:textId="77777777" w:rsidR="00B154E7" w:rsidRPr="00262582" w:rsidRDefault="00B154E7" w:rsidP="009612FB">
            <w:pPr>
              <w:jc w:val="both"/>
              <w:textAlignment w:val="baseline"/>
              <w:rPr>
                <w:rFonts w:ascii="Verdana" w:eastAsia="Times New Roman" w:hAnsi="Verdana" w:cs="Arial"/>
                <w:lang w:val="es-ES" w:eastAsia="es-ES_tradnl"/>
              </w:rPr>
            </w:pPr>
            <w:r w:rsidRPr="00262582">
              <w:rPr>
                <w:rFonts w:ascii="Verdana" w:eastAsia="Calibri" w:hAnsi="Verdana" w:cs="Arial"/>
                <w:color w:val="000000" w:themeColor="text1"/>
                <w:szCs w:val="24"/>
                <w:lang w:eastAsia="es-ES_tradnl"/>
              </w:rPr>
              <w:t>LEY DE EMPRENDIMIENTO – Ley 2069 de 2020 – Artículo 32 – Criterios diferenciales – Emprendimientos de mujeres – Empresas de mujeres – Necesidad de reglamentación – Decreto 1860 de 2021 / DECRETO 1860 DE 2021 – Emprendimientos y empresas de mujeres – Definición – Artículo 2.2.1.2.4.2.14 – Numeral 3 – Registro mercantil / DECRETO 1860 DE 2021 – Criterios diferenciales – Empresas y emprendimientos de mujeres – Experiencia</w:t>
            </w:r>
          </w:p>
        </w:tc>
      </w:tr>
      <w:tr w:rsidR="00B154E7" w:rsidRPr="00262582" w14:paraId="47570546" w14:textId="77777777" w:rsidTr="009612FB">
        <w:trPr>
          <w:jc w:val="right"/>
        </w:trPr>
        <w:tc>
          <w:tcPr>
            <w:tcW w:w="1838" w:type="dxa"/>
          </w:tcPr>
          <w:p w14:paraId="1F6779A1" w14:textId="77777777" w:rsidR="00B154E7" w:rsidRPr="00262582" w:rsidRDefault="00B154E7" w:rsidP="009612FB">
            <w:pPr>
              <w:jc w:val="center"/>
              <w:rPr>
                <w:rFonts w:ascii="Verdana" w:eastAsia="Calibri" w:hAnsi="Verdana" w:cs="Arial"/>
                <w:b/>
                <w:lang w:val="es-ES" w:eastAsia="es-ES_tradnl"/>
              </w:rPr>
            </w:pPr>
            <w:r w:rsidRPr="00262582">
              <w:rPr>
                <w:rFonts w:ascii="Verdana" w:eastAsia="Calibri" w:hAnsi="Verdana" w:cs="Arial"/>
                <w:b/>
                <w:lang w:val="es-ES" w:eastAsia="es-ES_tradnl"/>
              </w:rPr>
              <w:t>Radicación:</w:t>
            </w:r>
          </w:p>
        </w:tc>
        <w:tc>
          <w:tcPr>
            <w:tcW w:w="6237" w:type="dxa"/>
          </w:tcPr>
          <w:p w14:paraId="5FB1E97B" w14:textId="77777777" w:rsidR="00B154E7" w:rsidRPr="00262582" w:rsidRDefault="00B154E7" w:rsidP="009612FB">
            <w:pPr>
              <w:jc w:val="both"/>
              <w:rPr>
                <w:rFonts w:ascii="Verdana" w:eastAsia="Calibri" w:hAnsi="Verdana" w:cs="Arial"/>
                <w:lang w:val="es-ES" w:eastAsia="es-ES_tradnl"/>
              </w:rPr>
            </w:pPr>
            <w:r w:rsidRPr="00262582">
              <w:rPr>
                <w:rFonts w:ascii="Verdana" w:eastAsia="Calibri" w:hAnsi="Verdana" w:cs="Arial"/>
                <w:lang w:val="es-ES" w:eastAsia="es-ES_tradnl"/>
              </w:rPr>
              <w:t xml:space="preserve">Respuesta a consulta radicado No. </w:t>
            </w:r>
            <w:r w:rsidRPr="00262582">
              <w:rPr>
                <w:rFonts w:ascii="Verdana" w:eastAsia="Times New Roman" w:hAnsi="Verdana" w:cs="Arial"/>
                <w:lang w:eastAsia="es-ES_tradnl"/>
              </w:rPr>
              <w:t>P20240708006887</w:t>
            </w:r>
          </w:p>
        </w:tc>
      </w:tr>
    </w:tbl>
    <w:p w14:paraId="7072365A" w14:textId="77777777" w:rsidR="00B154E7" w:rsidRPr="00262582" w:rsidRDefault="00B154E7" w:rsidP="00B154E7">
      <w:pPr>
        <w:spacing w:after="0" w:line="240" w:lineRule="auto"/>
        <w:jc w:val="both"/>
        <w:rPr>
          <w:rFonts w:ascii="Verdana" w:eastAsia="Calibri" w:hAnsi="Verdana" w:cs="Arial"/>
          <w:lang w:val="es-ES_tradnl" w:eastAsia="es-ES_tradnl"/>
        </w:rPr>
      </w:pPr>
    </w:p>
    <w:p w14:paraId="689C186C" w14:textId="77777777" w:rsidR="00B154E7" w:rsidRPr="00262582" w:rsidRDefault="00B154E7" w:rsidP="00B154E7">
      <w:pPr>
        <w:spacing w:after="0" w:line="240" w:lineRule="auto"/>
        <w:jc w:val="both"/>
        <w:rPr>
          <w:rFonts w:ascii="Verdana" w:eastAsia="Calibri" w:hAnsi="Verdana" w:cs="Arial"/>
          <w:lang w:val="es-ES_tradnl" w:eastAsia="es-ES_tradnl"/>
        </w:rPr>
      </w:pPr>
    </w:p>
    <w:p w14:paraId="4761DFA5" w14:textId="77777777" w:rsidR="00B154E7" w:rsidRPr="00262582" w:rsidRDefault="00B154E7" w:rsidP="00B154E7">
      <w:pPr>
        <w:spacing w:after="0" w:line="276" w:lineRule="auto"/>
        <w:contextualSpacing/>
        <w:jc w:val="both"/>
        <w:rPr>
          <w:rFonts w:ascii="Verdana" w:eastAsia="Calibri" w:hAnsi="Verdana" w:cs="Arial"/>
          <w:bCs/>
          <w:lang w:val="es-ES_tradnl" w:eastAsia="es-ES_tradnl"/>
        </w:rPr>
      </w:pPr>
      <w:r w:rsidRPr="00262582">
        <w:rPr>
          <w:rFonts w:ascii="Verdana" w:eastAsia="Calibri" w:hAnsi="Verdana" w:cs="Arial"/>
          <w:lang w:val="es-ES_tradnl" w:eastAsia="es-ES_tradnl"/>
        </w:rPr>
        <w:t>Estimada señora Coral</w:t>
      </w:r>
      <w:r w:rsidRPr="00262582">
        <w:rPr>
          <w:rFonts w:ascii="Verdana" w:eastAsia="Calibri" w:hAnsi="Verdana" w:cs="Arial"/>
          <w:bCs/>
          <w:lang w:val="es-ES_tradnl" w:eastAsia="es-ES_tradnl"/>
        </w:rPr>
        <w:t>:</w:t>
      </w:r>
    </w:p>
    <w:p w14:paraId="10CD92D0" w14:textId="77777777" w:rsidR="00B154E7" w:rsidRPr="00262582" w:rsidRDefault="00B154E7" w:rsidP="00B154E7">
      <w:pPr>
        <w:spacing w:after="0" w:line="276" w:lineRule="auto"/>
        <w:contextualSpacing/>
        <w:jc w:val="both"/>
        <w:rPr>
          <w:rFonts w:ascii="Verdana" w:eastAsia="Calibri" w:hAnsi="Verdana" w:cs="Arial"/>
          <w:lang w:val="es-ES_tradnl" w:eastAsia="es-ES_tradnl"/>
        </w:rPr>
      </w:pPr>
    </w:p>
    <w:p w14:paraId="3985EF2F" w14:textId="77777777" w:rsidR="00B154E7" w:rsidRPr="00262582" w:rsidRDefault="00B154E7" w:rsidP="00B154E7">
      <w:pPr>
        <w:spacing w:after="0" w:line="276" w:lineRule="auto"/>
        <w:contextualSpacing/>
        <w:jc w:val="both"/>
        <w:rPr>
          <w:rFonts w:ascii="Verdana" w:eastAsia="Calibri" w:hAnsi="Verdana" w:cs="Arial"/>
          <w:lang w:val="es-ES" w:eastAsia="es-ES_tradnl"/>
        </w:rPr>
      </w:pPr>
      <w:r w:rsidRPr="00262582">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8 de julio de 2024, en la cual manifiesta lo siguiente:</w:t>
      </w:r>
    </w:p>
    <w:p w14:paraId="6235ABB3" w14:textId="77777777" w:rsidR="00B154E7" w:rsidRPr="00262582" w:rsidRDefault="00B154E7" w:rsidP="00B154E7">
      <w:pPr>
        <w:spacing w:after="0" w:line="276" w:lineRule="auto"/>
        <w:contextualSpacing/>
        <w:jc w:val="both"/>
        <w:rPr>
          <w:rFonts w:ascii="Verdana" w:eastAsia="Calibri" w:hAnsi="Verdana" w:cs="Arial"/>
          <w:b/>
          <w:szCs w:val="24"/>
          <w:lang w:val="es-ES_tradnl" w:eastAsia="es-ES_tradnl"/>
        </w:rPr>
      </w:pPr>
    </w:p>
    <w:p w14:paraId="4008D2C3" w14:textId="77777777" w:rsidR="00B154E7" w:rsidRPr="00262582" w:rsidRDefault="00B154E7" w:rsidP="00B154E7">
      <w:pPr>
        <w:spacing w:after="0" w:line="240" w:lineRule="auto"/>
        <w:ind w:left="709" w:right="709"/>
        <w:contextualSpacing/>
        <w:jc w:val="both"/>
        <w:rPr>
          <w:rFonts w:ascii="Verdana" w:eastAsia="Times New Roman" w:hAnsi="Verdana" w:cs="Arial"/>
          <w:sz w:val="21"/>
          <w:szCs w:val="21"/>
          <w:lang w:eastAsia="es-ES_tradnl"/>
        </w:rPr>
      </w:pPr>
      <w:r w:rsidRPr="00262582">
        <w:rPr>
          <w:rFonts w:ascii="Verdana" w:eastAsia="Times New Roman" w:hAnsi="Verdana" w:cs="Arial"/>
          <w:sz w:val="21"/>
          <w:szCs w:val="21"/>
          <w:lang w:eastAsia="es-ES_tradnl"/>
        </w:rPr>
        <w:t>“El estímulo para Emprendimientos y empresas de mujeres, según el Decreto 1860 de 2021 artículo 2.2.1.2.4.2.14, las Persona natural que sea mujer como validan su experiencia?</w:t>
      </w:r>
    </w:p>
    <w:p w14:paraId="2D8A496C" w14:textId="77777777" w:rsidR="00B154E7" w:rsidRPr="00262582" w:rsidRDefault="00B154E7" w:rsidP="00B154E7">
      <w:pPr>
        <w:spacing w:after="0" w:line="240" w:lineRule="auto"/>
        <w:ind w:left="709" w:right="709"/>
        <w:contextualSpacing/>
        <w:jc w:val="both"/>
        <w:rPr>
          <w:rFonts w:ascii="Verdana" w:eastAsia="Times New Roman" w:hAnsi="Verdana" w:cs="Arial"/>
          <w:sz w:val="21"/>
          <w:szCs w:val="21"/>
          <w:lang w:eastAsia="es-ES_tradnl"/>
        </w:rPr>
      </w:pPr>
      <w:r w:rsidRPr="00262582">
        <w:rPr>
          <w:rFonts w:ascii="Verdana" w:eastAsia="Times New Roman" w:hAnsi="Verdana" w:cs="Arial"/>
          <w:sz w:val="21"/>
          <w:szCs w:val="21"/>
          <w:lang w:eastAsia="es-ES_tradnl"/>
        </w:rPr>
        <w:t xml:space="preserve">Si, en el artículo 20 y 23 del código de comercio establece los actos que no son mercantiles, indicando en el numeral 5. que no son actos mercantiles las prestaciones de servicio inherentes a las profesiones liberales, entendiéndose que son aquellas en donde predomina el </w:t>
      </w:r>
      <w:r w:rsidRPr="00262582">
        <w:rPr>
          <w:rFonts w:ascii="Verdana" w:eastAsia="Times New Roman" w:hAnsi="Verdana" w:cs="Arial"/>
          <w:sz w:val="21"/>
          <w:szCs w:val="21"/>
          <w:lang w:eastAsia="es-ES_tradnl"/>
        </w:rPr>
        <w:lastRenderedPageBreak/>
        <w:t>ejercicio del intelecto y su ejercicio requiere la habilitación a través de un título académico. El numeral 1.1.9.7. circular 100-000002 de 2022 la superintendencia de sociedades manifiesta que quienes ejerzan exclusivamente profesiones liberales no pueden matricularse pues no ejercen actos de comercio y se encuentran en calidad de comerciantes, calidad necesaria para matricularse ante cámara y comercio en Registro Mercantil.</w:t>
      </w:r>
    </w:p>
    <w:p w14:paraId="2D2F921F" w14:textId="77777777" w:rsidR="00B154E7" w:rsidRPr="00262582" w:rsidRDefault="00B154E7" w:rsidP="00B154E7">
      <w:pPr>
        <w:spacing w:after="0" w:line="240" w:lineRule="auto"/>
        <w:ind w:left="709" w:right="709"/>
        <w:contextualSpacing/>
        <w:jc w:val="both"/>
        <w:rPr>
          <w:rFonts w:ascii="Verdana" w:eastAsia="Times New Roman" w:hAnsi="Verdana" w:cs="Arial"/>
          <w:sz w:val="21"/>
          <w:szCs w:val="21"/>
          <w:lang w:eastAsia="es-ES_tradnl"/>
        </w:rPr>
      </w:pPr>
      <w:r w:rsidRPr="00262582">
        <w:rPr>
          <w:rFonts w:ascii="Verdana" w:eastAsia="Times New Roman" w:hAnsi="Verdana" w:cs="Arial"/>
          <w:sz w:val="21"/>
          <w:szCs w:val="21"/>
          <w:lang w:eastAsia="es-ES_tradnl"/>
        </w:rPr>
        <w:t>Dicha experiencia será validada con la fecha de expedición de la tarjeta profesional (COPNIA) o con certificado de obra?”.</w:t>
      </w:r>
    </w:p>
    <w:p w14:paraId="15057998" w14:textId="77777777" w:rsidR="00B154E7" w:rsidRPr="00262582" w:rsidRDefault="00B154E7" w:rsidP="00B154E7">
      <w:pPr>
        <w:spacing w:after="0" w:line="240" w:lineRule="auto"/>
        <w:ind w:left="709" w:right="709"/>
        <w:contextualSpacing/>
        <w:jc w:val="both"/>
        <w:rPr>
          <w:rFonts w:ascii="Verdana" w:eastAsia="Times New Roman" w:hAnsi="Verdana" w:cs="Arial"/>
          <w:sz w:val="21"/>
          <w:szCs w:val="21"/>
          <w:lang w:eastAsia="es-ES_tradnl"/>
        </w:rPr>
      </w:pPr>
    </w:p>
    <w:p w14:paraId="0E1676E4" w14:textId="77777777" w:rsidR="00B154E7" w:rsidRPr="00262582" w:rsidRDefault="00B154E7" w:rsidP="00B154E7">
      <w:pPr>
        <w:spacing w:after="120" w:line="276" w:lineRule="auto"/>
        <w:ind w:firstLine="709"/>
        <w:jc w:val="both"/>
        <w:rPr>
          <w:rFonts w:ascii="Verdana" w:eastAsia="Calibri" w:hAnsi="Verdana" w:cs="Arial"/>
          <w:color w:val="000000"/>
          <w:szCs w:val="24"/>
          <w:lang w:val="es-ES_tradnl" w:eastAsia="es-ES_tradnl"/>
        </w:rPr>
      </w:pPr>
      <w:r w:rsidRPr="00262582">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62582">
        <w:rPr>
          <w:rFonts w:ascii="Verdana" w:eastAsia="Calibri" w:hAnsi="Verdana" w:cs="Arial"/>
          <w:color w:val="000000"/>
          <w:szCs w:val="24"/>
          <w:lang w:val="es-ES_tradnl" w:eastAsia="es-ES_tradnl"/>
        </w:rPr>
        <w:tab/>
      </w:r>
    </w:p>
    <w:p w14:paraId="0EDBC4ED" w14:textId="77777777" w:rsidR="00B154E7" w:rsidRPr="00262582" w:rsidRDefault="00B154E7" w:rsidP="00B154E7">
      <w:pPr>
        <w:spacing w:after="0" w:line="276" w:lineRule="auto"/>
        <w:ind w:firstLine="709"/>
        <w:jc w:val="both"/>
        <w:rPr>
          <w:rFonts w:ascii="Verdana" w:eastAsia="Calibri" w:hAnsi="Verdana" w:cs="Arial"/>
          <w:lang w:val="es-ES" w:eastAsia="es-ES"/>
        </w:rPr>
      </w:pPr>
      <w:r w:rsidRPr="0026258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01E5F23" w14:textId="77777777" w:rsidR="00B154E7" w:rsidRPr="00262582" w:rsidRDefault="00B154E7" w:rsidP="00B154E7">
      <w:pPr>
        <w:spacing w:after="0" w:line="276" w:lineRule="auto"/>
        <w:contextualSpacing/>
        <w:jc w:val="both"/>
        <w:rPr>
          <w:rFonts w:ascii="Verdana" w:eastAsia="Times New Roman" w:hAnsi="Verdana" w:cs="Arial"/>
          <w:szCs w:val="24"/>
          <w:lang w:val="es-ES_tradnl" w:eastAsia="es-ES_tradnl"/>
        </w:rPr>
      </w:pPr>
    </w:p>
    <w:p w14:paraId="48348D8B" w14:textId="77777777" w:rsidR="00B154E7" w:rsidRPr="00262582" w:rsidRDefault="00B154E7" w:rsidP="00B154E7">
      <w:pPr>
        <w:tabs>
          <w:tab w:val="left" w:pos="0"/>
          <w:tab w:val="left" w:pos="284"/>
        </w:tabs>
        <w:spacing w:after="0" w:line="276" w:lineRule="auto"/>
        <w:contextualSpacing/>
        <w:jc w:val="both"/>
        <w:rPr>
          <w:rFonts w:ascii="Verdana" w:eastAsia="Calibri" w:hAnsi="Verdana" w:cs="Arial"/>
          <w:b/>
          <w:lang w:val="es-ES_tradnl"/>
        </w:rPr>
      </w:pPr>
      <w:r w:rsidRPr="00262582">
        <w:rPr>
          <w:rFonts w:ascii="Verdana" w:eastAsia="Calibri" w:hAnsi="Verdana" w:cs="Arial"/>
          <w:b/>
          <w:lang w:val="es-ES_tradnl"/>
        </w:rPr>
        <w:t>1. Problema planteado:</w:t>
      </w:r>
    </w:p>
    <w:p w14:paraId="2326E072" w14:textId="77777777" w:rsidR="00B154E7" w:rsidRPr="00262582" w:rsidRDefault="00B154E7" w:rsidP="00B154E7">
      <w:pPr>
        <w:tabs>
          <w:tab w:val="left" w:pos="0"/>
          <w:tab w:val="left" w:pos="284"/>
        </w:tabs>
        <w:spacing w:after="0" w:line="276" w:lineRule="auto"/>
        <w:contextualSpacing/>
        <w:jc w:val="both"/>
        <w:rPr>
          <w:rFonts w:ascii="Verdana" w:eastAsia="Calibri" w:hAnsi="Verdana" w:cs="Arial"/>
          <w:b/>
          <w:lang w:val="es-ES_tradnl"/>
        </w:rPr>
      </w:pPr>
    </w:p>
    <w:p w14:paraId="257D2BD0" w14:textId="77777777" w:rsidR="00B154E7" w:rsidRPr="00262582" w:rsidRDefault="00B154E7" w:rsidP="00B154E7">
      <w:pPr>
        <w:spacing w:after="0" w:line="276" w:lineRule="auto"/>
        <w:jc w:val="both"/>
        <w:rPr>
          <w:rFonts w:ascii="Verdana" w:eastAsia="Century Gothic" w:hAnsi="Verdana" w:cs="Century Gothic"/>
        </w:rPr>
      </w:pPr>
      <w:r w:rsidRPr="00262582">
        <w:rPr>
          <w:rFonts w:ascii="Verdana" w:eastAsia="Century Gothic" w:hAnsi="Verdana" w:cs="Century Gothic"/>
        </w:rPr>
        <w:t xml:space="preserve">De acuerdo con el contenido de su solicitud, esta Agencia resolverá el siguiente problema jurídico: ¿Cómo se valida la calidad de mujer persona natural que no cuenta con registro mercantil para los incentivos del artículo 2.2.1.2.4.2.14 del Decreto 1860 de 2021? </w:t>
      </w:r>
    </w:p>
    <w:p w14:paraId="4E069F75" w14:textId="77777777" w:rsidR="00B154E7" w:rsidRPr="00262582" w:rsidRDefault="00B154E7" w:rsidP="00B154E7">
      <w:pPr>
        <w:spacing w:after="0" w:line="276" w:lineRule="auto"/>
        <w:ind w:firstLine="709"/>
        <w:jc w:val="both"/>
        <w:rPr>
          <w:rFonts w:ascii="Verdana" w:eastAsia="Calibri" w:hAnsi="Verdana" w:cs="Arial"/>
          <w:lang w:val="es-ES" w:eastAsia="es-ES_tradnl"/>
        </w:rPr>
      </w:pPr>
    </w:p>
    <w:p w14:paraId="6F201D9F" w14:textId="77777777" w:rsidR="00B154E7" w:rsidRPr="00262582" w:rsidRDefault="00B154E7" w:rsidP="00B154E7">
      <w:pPr>
        <w:tabs>
          <w:tab w:val="left" w:pos="142"/>
          <w:tab w:val="left" w:pos="284"/>
        </w:tabs>
        <w:spacing w:after="0" w:line="276" w:lineRule="auto"/>
        <w:jc w:val="both"/>
        <w:rPr>
          <w:rFonts w:ascii="Verdana" w:eastAsia="Century Gothic" w:hAnsi="Verdana" w:cs="Century Gothic"/>
          <w:b/>
          <w:bCs/>
        </w:rPr>
      </w:pPr>
      <w:r w:rsidRPr="00262582">
        <w:rPr>
          <w:rFonts w:ascii="Verdana" w:eastAsia="Century Gothic" w:hAnsi="Verdana" w:cs="Century Gothic"/>
          <w:b/>
          <w:bCs/>
        </w:rPr>
        <w:t>2. Respuesta:</w:t>
      </w:r>
    </w:p>
    <w:p w14:paraId="3E1D5FF6" w14:textId="77777777" w:rsidR="00B154E7" w:rsidRPr="00262582" w:rsidRDefault="00B154E7" w:rsidP="00B154E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154E7" w:rsidRPr="00262582" w14:paraId="2C4DB54D" w14:textId="77777777" w:rsidTr="009612FB">
        <w:tc>
          <w:tcPr>
            <w:tcW w:w="8828" w:type="dxa"/>
            <w:shd w:val="clear" w:color="auto" w:fill="auto"/>
          </w:tcPr>
          <w:p w14:paraId="07F73C4F" w14:textId="77777777" w:rsidR="00B154E7" w:rsidRPr="00F074ED" w:rsidRDefault="00B154E7" w:rsidP="009612FB">
            <w:pPr>
              <w:spacing w:after="120" w:line="276" w:lineRule="auto"/>
              <w:jc w:val="both"/>
              <w:rPr>
                <w:rFonts w:ascii="Verdana" w:eastAsia="Times New Roman" w:hAnsi="Verdana" w:cs="Arial"/>
                <w:color w:val="000000" w:themeColor="text1"/>
                <w:sz w:val="24"/>
                <w:szCs w:val="24"/>
                <w:lang w:eastAsia="es-CO"/>
              </w:rPr>
            </w:pPr>
            <w:r>
              <w:rPr>
                <w:rFonts w:ascii="Verdana" w:hAnsi="Verdana" w:cs="Arial"/>
                <w:shd w:val="clear" w:color="auto" w:fill="FFFFFF"/>
              </w:rPr>
              <w:lastRenderedPageBreak/>
              <w:t>D</w:t>
            </w:r>
            <w:r w:rsidRPr="00F074ED">
              <w:rPr>
                <w:rFonts w:ascii="Verdana" w:hAnsi="Verdana" w:cs="Arial"/>
                <w:shd w:val="clear" w:color="auto" w:fill="FFFFFF"/>
              </w:rPr>
              <w:t xml:space="preserve">ebe advertirse que el texto de la norma bajo estudio no establece alguna hipótesis en virtud de la cual fuera posible encuadrar dentro de la definición de emprendimientos o empresas de mujeres, a personas naturales que no hayan desarrollado actividades a través de establecimiento de comercio con un término menor a un (1) año. Las personas naturales que no cuenten con registro mercantil, mediante el cual se acredita que han ejercido actividades comerciales a través de un establecimiento de comercio, aun cuando acrediten su condición de mujer mediante copia de la cedula de ciudadanía, cédula de extranjería o el pasaporte, no cumplirían con los requisitos establecidos en la definición de emprendimientos y empresas de mujeres que consagra el Decreto 1860 de 2021, para efectos de la aplicación de los criterios diferenciales establecidos por el artículo 32 de la Ley 2069 de 2020, reglamentados por </w:t>
            </w:r>
            <w:r>
              <w:rPr>
                <w:rFonts w:ascii="Verdana" w:hAnsi="Verdana" w:cs="Arial"/>
                <w:shd w:val="clear" w:color="auto" w:fill="FFFFFF"/>
              </w:rPr>
              <w:t>los</w:t>
            </w:r>
            <w:r w:rsidRPr="00F074ED">
              <w:rPr>
                <w:rFonts w:ascii="Verdana" w:hAnsi="Verdana" w:cs="Arial"/>
                <w:shd w:val="clear" w:color="auto" w:fill="FFFFFF"/>
              </w:rPr>
              <w:t xml:space="preserve"> artículo</w:t>
            </w:r>
            <w:r>
              <w:rPr>
                <w:rFonts w:ascii="Verdana" w:hAnsi="Verdana" w:cs="Arial"/>
                <w:shd w:val="clear" w:color="auto" w:fill="FFFFFF"/>
              </w:rPr>
              <w:t xml:space="preserve">s </w:t>
            </w:r>
            <w:r w:rsidRPr="00262582">
              <w:rPr>
                <w:rFonts w:ascii="Verdana" w:eastAsia="Century Gothic" w:hAnsi="Verdana" w:cs="Century Gothic"/>
              </w:rPr>
              <w:t xml:space="preserve">2.2.1.2.4.2.14 </w:t>
            </w:r>
            <w:r>
              <w:rPr>
                <w:rFonts w:ascii="Verdana" w:eastAsia="Century Gothic" w:hAnsi="Verdana" w:cs="Century Gothic"/>
              </w:rPr>
              <w:t>y</w:t>
            </w:r>
            <w:r w:rsidRPr="00F074ED">
              <w:rPr>
                <w:rFonts w:ascii="Verdana" w:hAnsi="Verdana" w:cs="Arial"/>
                <w:shd w:val="clear" w:color="auto" w:fill="FFFFFF"/>
              </w:rPr>
              <w:t xml:space="preserve"> 2.2.1.2.4.2.15 del Decreto 1082 de 2015.</w:t>
            </w:r>
          </w:p>
          <w:p w14:paraId="32D1514E" w14:textId="77777777" w:rsidR="00B154E7" w:rsidRPr="00F074ED" w:rsidRDefault="00B154E7" w:rsidP="009612FB">
            <w:pPr>
              <w:spacing w:after="120" w:line="276" w:lineRule="auto"/>
              <w:ind w:firstLine="709"/>
              <w:jc w:val="both"/>
              <w:rPr>
                <w:rFonts w:ascii="Verdana" w:eastAsia="Calibri" w:hAnsi="Verdana" w:cs="Arial"/>
                <w:bCs/>
                <w:color w:val="000000" w:themeColor="text1"/>
                <w:szCs w:val="24"/>
                <w:lang w:eastAsia="es-ES_tradnl"/>
              </w:rPr>
            </w:pPr>
            <w:r w:rsidRPr="00F074ED">
              <w:rPr>
                <w:rFonts w:ascii="Verdana" w:eastAsia="Calibri" w:hAnsi="Verdana" w:cs="Arial"/>
              </w:rPr>
              <w:t xml:space="preserve">Finalmente, respecto de la </w:t>
            </w:r>
            <w:r>
              <w:rPr>
                <w:rFonts w:ascii="Verdana" w:eastAsia="Calibri" w:hAnsi="Verdana" w:cs="Arial"/>
              </w:rPr>
              <w:t>acreditación de experiencia de</w:t>
            </w:r>
            <w:r w:rsidRPr="00F074ED">
              <w:rPr>
                <w:rFonts w:ascii="Verdana" w:eastAsia="Calibri" w:hAnsi="Verdana" w:cs="Arial"/>
              </w:rPr>
              <w:t xml:space="preserve"> un proponente</w:t>
            </w:r>
            <w:r>
              <w:rPr>
                <w:rFonts w:ascii="Verdana" w:eastAsia="Calibri" w:hAnsi="Verdana" w:cs="Arial"/>
              </w:rPr>
              <w:t xml:space="preserve"> </w:t>
            </w:r>
            <w:r w:rsidRPr="00F074ED">
              <w:rPr>
                <w:rFonts w:ascii="Verdana" w:eastAsia="Calibri" w:hAnsi="Verdana" w:cs="Arial"/>
              </w:rPr>
              <w:t>mujer, persona natural</w:t>
            </w:r>
            <w:r>
              <w:rPr>
                <w:rFonts w:ascii="Verdana" w:eastAsia="Calibri" w:hAnsi="Verdana" w:cs="Arial"/>
              </w:rPr>
              <w:t xml:space="preserve"> </w:t>
            </w:r>
            <w:r w:rsidRPr="00F074ED">
              <w:rPr>
                <w:rFonts w:ascii="Verdana" w:eastAsia="Calibri" w:hAnsi="Verdana" w:cs="Arial"/>
              </w:rPr>
              <w:t xml:space="preserve">que no tenga </w:t>
            </w:r>
            <w:r>
              <w:rPr>
                <w:rFonts w:ascii="Verdana" w:eastAsia="Calibri" w:hAnsi="Verdana" w:cs="Arial"/>
              </w:rPr>
              <w:t xml:space="preserve">registro mercantil, </w:t>
            </w:r>
            <w:r w:rsidRPr="00F074ED">
              <w:rPr>
                <w:rFonts w:ascii="Verdana" w:eastAsia="Calibri" w:hAnsi="Verdana" w:cs="Arial"/>
              </w:rPr>
              <w:t xml:space="preserve">se debe tener en cuenta que </w:t>
            </w:r>
            <w:r w:rsidRPr="00F074ED">
              <w:rPr>
                <w:rFonts w:ascii="Verdana" w:eastAsia="Calibri" w:hAnsi="Verdana" w:cs="Arial"/>
                <w:bCs/>
                <w:color w:val="000000" w:themeColor="text1"/>
                <w:szCs w:val="24"/>
                <w:lang w:eastAsia="es-ES_tradnl"/>
              </w:rPr>
              <w:t xml:space="preserve">los denominados </w:t>
            </w:r>
            <w:r>
              <w:rPr>
                <w:rFonts w:ascii="Verdana" w:eastAsia="Calibri" w:hAnsi="Verdana" w:cs="Arial"/>
                <w:bCs/>
                <w:color w:val="000000" w:themeColor="text1"/>
                <w:szCs w:val="24"/>
                <w:lang w:eastAsia="es-ES_tradnl"/>
              </w:rPr>
              <w:t>“</w:t>
            </w:r>
            <w:r w:rsidRPr="00F074ED">
              <w:rPr>
                <w:rFonts w:ascii="Verdana" w:eastAsia="Calibri" w:hAnsi="Verdana" w:cs="Arial"/>
                <w:bCs/>
                <w:color w:val="000000" w:themeColor="text1"/>
                <w:szCs w:val="24"/>
                <w:lang w:eastAsia="es-ES_tradnl"/>
              </w:rPr>
              <w:t>criterios diferenciales</w:t>
            </w:r>
            <w:r>
              <w:rPr>
                <w:rFonts w:ascii="Verdana" w:eastAsia="Calibri" w:hAnsi="Verdana" w:cs="Arial"/>
                <w:bCs/>
                <w:color w:val="000000" w:themeColor="text1"/>
                <w:szCs w:val="24"/>
                <w:lang w:eastAsia="es-ES_tradnl"/>
              </w:rPr>
              <w:t>”</w:t>
            </w:r>
            <w:r w:rsidRPr="00F074ED">
              <w:rPr>
                <w:rFonts w:ascii="Verdana" w:eastAsia="Calibri" w:hAnsi="Verdana" w:cs="Arial"/>
                <w:bCs/>
                <w:color w:val="000000" w:themeColor="text1"/>
                <w:szCs w:val="24"/>
                <w:lang w:eastAsia="es-ES_tradnl"/>
              </w:rPr>
              <w:t xml:space="preserve"> del artículo 32 de la Ley 2069 de 2020 –que incluyen tanto los </w:t>
            </w:r>
            <w:r>
              <w:rPr>
                <w:rFonts w:ascii="Verdana" w:eastAsia="Calibri" w:hAnsi="Verdana" w:cs="Arial"/>
                <w:bCs/>
                <w:color w:val="000000" w:themeColor="text1"/>
                <w:szCs w:val="24"/>
                <w:lang w:eastAsia="es-ES_tradnl"/>
              </w:rPr>
              <w:t>“</w:t>
            </w:r>
            <w:r w:rsidRPr="00F074ED">
              <w:rPr>
                <w:rFonts w:ascii="Verdana" w:eastAsia="Calibri" w:hAnsi="Verdana" w:cs="Arial"/>
                <w:bCs/>
                <w:color w:val="000000" w:themeColor="text1"/>
                <w:szCs w:val="24"/>
                <w:lang w:eastAsia="es-ES_tradnl"/>
              </w:rPr>
              <w:t>requisitos diferenciales</w:t>
            </w:r>
            <w:r>
              <w:rPr>
                <w:rFonts w:ascii="Verdana" w:eastAsia="Calibri" w:hAnsi="Verdana" w:cs="Arial"/>
                <w:bCs/>
                <w:color w:val="000000" w:themeColor="text1"/>
                <w:szCs w:val="24"/>
                <w:lang w:eastAsia="es-ES_tradnl"/>
              </w:rPr>
              <w:t>”</w:t>
            </w:r>
            <w:r w:rsidRPr="00F074ED">
              <w:rPr>
                <w:rFonts w:ascii="Verdana" w:eastAsia="Calibri" w:hAnsi="Verdana" w:cs="Arial"/>
                <w:bCs/>
                <w:color w:val="000000" w:themeColor="text1"/>
                <w:szCs w:val="24"/>
                <w:lang w:eastAsia="es-ES_tradnl"/>
              </w:rPr>
              <w:t xml:space="preserve"> como los </w:t>
            </w:r>
            <w:r>
              <w:rPr>
                <w:rFonts w:ascii="Verdana" w:eastAsia="Calibri" w:hAnsi="Verdana" w:cs="Arial"/>
                <w:bCs/>
                <w:color w:val="000000" w:themeColor="text1"/>
                <w:szCs w:val="24"/>
                <w:lang w:eastAsia="es-ES_tradnl"/>
              </w:rPr>
              <w:t>“</w:t>
            </w:r>
            <w:r w:rsidRPr="00F074ED">
              <w:rPr>
                <w:rFonts w:ascii="Verdana" w:eastAsia="Calibri" w:hAnsi="Verdana" w:cs="Arial"/>
                <w:bCs/>
                <w:color w:val="000000" w:themeColor="text1"/>
                <w:szCs w:val="24"/>
                <w:lang w:eastAsia="es-ES_tradnl"/>
              </w:rPr>
              <w:t>puntajes adicionales</w:t>
            </w:r>
            <w:r>
              <w:rPr>
                <w:rFonts w:ascii="Verdana" w:eastAsia="Calibri" w:hAnsi="Verdana" w:cs="Arial"/>
                <w:bCs/>
                <w:color w:val="000000" w:themeColor="text1"/>
                <w:szCs w:val="24"/>
                <w:lang w:eastAsia="es-ES_tradnl"/>
              </w:rPr>
              <w:t>”</w:t>
            </w:r>
            <w:r w:rsidRPr="00F074ED">
              <w:rPr>
                <w:rFonts w:ascii="Verdana" w:eastAsia="Calibri" w:hAnsi="Verdana" w:cs="Arial"/>
                <w:bCs/>
                <w:color w:val="000000" w:themeColor="text1"/>
                <w:szCs w:val="24"/>
                <w:lang w:eastAsia="es-ES_tradnl"/>
              </w:rPr>
              <w:t xml:space="preserve">– aplican a </w:t>
            </w:r>
            <w:r>
              <w:rPr>
                <w:rFonts w:ascii="Verdana" w:eastAsia="Calibri" w:hAnsi="Verdana" w:cs="Arial"/>
                <w:bCs/>
                <w:color w:val="000000" w:themeColor="text1"/>
                <w:szCs w:val="24"/>
                <w:lang w:eastAsia="es-ES_tradnl"/>
              </w:rPr>
              <w:t>“</w:t>
            </w:r>
            <w:r w:rsidRPr="00F074ED">
              <w:rPr>
                <w:rFonts w:ascii="Verdana" w:eastAsia="Calibri" w:hAnsi="Verdana" w:cs="Arial"/>
                <w:bCs/>
                <w:color w:val="000000" w:themeColor="text1"/>
                <w:szCs w:val="24"/>
                <w:lang w:eastAsia="es-ES_tradnl"/>
              </w:rPr>
              <w:t>[…] los procesos de licitación pública, selección abreviada de menor cuantía y concurso de méritos […]</w:t>
            </w:r>
            <w:r>
              <w:rPr>
                <w:rFonts w:ascii="Verdana" w:eastAsia="Calibri" w:hAnsi="Verdana" w:cs="Arial"/>
                <w:bCs/>
                <w:color w:val="000000" w:themeColor="text1"/>
                <w:szCs w:val="24"/>
                <w:lang w:eastAsia="es-ES_tradnl"/>
              </w:rPr>
              <w:t>”</w:t>
            </w:r>
            <w:r w:rsidRPr="00F074ED">
              <w:rPr>
                <w:rFonts w:ascii="Verdana" w:eastAsia="Calibri" w:hAnsi="Verdana" w:cs="Arial"/>
                <w:bCs/>
                <w:color w:val="000000" w:themeColor="text1"/>
                <w:szCs w:val="24"/>
                <w:lang w:eastAsia="es-ES_tradnl"/>
              </w:rPr>
              <w:t xml:space="preserve">, excluyendo las demás modalidades de selección del artículo 2 de la Ley 1150 de 2007. </w:t>
            </w:r>
          </w:p>
          <w:p w14:paraId="2328F66E" w14:textId="77777777" w:rsidR="00B154E7" w:rsidRPr="00F074ED" w:rsidRDefault="00B154E7" w:rsidP="009612FB">
            <w:pPr>
              <w:spacing w:after="120" w:line="276" w:lineRule="auto"/>
              <w:ind w:firstLine="709"/>
              <w:jc w:val="both"/>
              <w:rPr>
                <w:rFonts w:ascii="Verdana" w:eastAsia="Calibri" w:hAnsi="Verdana" w:cs="Arial"/>
              </w:rPr>
            </w:pPr>
            <w:r>
              <w:rPr>
                <w:rFonts w:ascii="Verdana" w:eastAsia="Calibri" w:hAnsi="Verdana" w:cs="Arial"/>
                <w:bCs/>
                <w:color w:val="000000" w:themeColor="text1"/>
                <w:szCs w:val="24"/>
                <w:lang w:eastAsia="es-ES_tradnl"/>
              </w:rPr>
              <w:t>Por tanto, si la mujer persona natural no tiene registro mercantil, no puede acreditar su condición de mujer y no podrá acreditar la experiencia como criterio diferencial para mujeres, ni ser acreedora de los puntajes adicionales señalados en el Decreto 1860 de 2021.</w:t>
            </w:r>
          </w:p>
          <w:p w14:paraId="75828C4F" w14:textId="77777777" w:rsidR="00B154E7" w:rsidRPr="00262582" w:rsidRDefault="00B154E7" w:rsidP="009612FB">
            <w:pPr>
              <w:spacing w:after="120" w:line="276" w:lineRule="auto"/>
              <w:ind w:firstLine="708"/>
              <w:jc w:val="both"/>
              <w:rPr>
                <w:rFonts w:ascii="Verdana" w:eastAsia="Calibri" w:hAnsi="Verdana" w:cs="Arial"/>
                <w:color w:val="7030A0"/>
              </w:rPr>
            </w:pPr>
            <w:r w:rsidRPr="00262582">
              <w:rPr>
                <w:rFonts w:ascii="Verdana" w:eastAsia="Times New Roman" w:hAnsi="Verdana" w:cs="Arial"/>
                <w:color w:val="000000" w:themeColor="text1"/>
                <w:lang w:eastAsia="es-CO"/>
              </w:rPr>
              <w:t xml:space="preserve">No obstante,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 </w:t>
            </w:r>
          </w:p>
        </w:tc>
      </w:tr>
    </w:tbl>
    <w:p w14:paraId="3C311587" w14:textId="77777777" w:rsidR="00B154E7" w:rsidRPr="00262582" w:rsidRDefault="00B154E7" w:rsidP="00B154E7">
      <w:pPr>
        <w:spacing w:after="0" w:line="276" w:lineRule="auto"/>
        <w:contextualSpacing/>
        <w:jc w:val="both"/>
        <w:rPr>
          <w:rFonts w:ascii="Verdana" w:eastAsia="Times New Roman" w:hAnsi="Verdana" w:cs="Arial"/>
          <w:lang w:eastAsia="es-ES_tradnl"/>
        </w:rPr>
      </w:pPr>
    </w:p>
    <w:p w14:paraId="4213AB9E" w14:textId="77777777" w:rsidR="00B154E7" w:rsidRPr="00262582" w:rsidRDefault="00B154E7" w:rsidP="00B154E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62582">
        <w:rPr>
          <w:rFonts w:ascii="Verdana" w:eastAsia="Century Gothic" w:hAnsi="Verdana" w:cs="Century Gothic"/>
          <w:b/>
          <w:bCs/>
        </w:rPr>
        <w:t>3. Razones de la respuesta:</w:t>
      </w:r>
    </w:p>
    <w:p w14:paraId="07ABA27F" w14:textId="77777777" w:rsidR="00B154E7" w:rsidRPr="00262582" w:rsidRDefault="00B154E7" w:rsidP="00B154E7">
      <w:pPr>
        <w:spacing w:after="0" w:line="276" w:lineRule="auto"/>
        <w:jc w:val="both"/>
        <w:rPr>
          <w:rFonts w:ascii="Verdana" w:eastAsia="Calibri" w:hAnsi="Verdana" w:cs="Arial"/>
          <w:color w:val="7030A0"/>
          <w:lang w:val="es-ES"/>
        </w:rPr>
      </w:pPr>
    </w:p>
    <w:p w14:paraId="5E858A4C" w14:textId="77777777" w:rsidR="00B154E7" w:rsidRPr="00262582" w:rsidRDefault="00B154E7" w:rsidP="00B154E7">
      <w:pPr>
        <w:spacing w:after="0" w:line="276" w:lineRule="auto"/>
        <w:jc w:val="both"/>
        <w:rPr>
          <w:rFonts w:ascii="Verdana" w:eastAsia="Calibri" w:hAnsi="Verdana" w:cs="Arial"/>
          <w:lang w:val="es-ES"/>
        </w:rPr>
      </w:pPr>
      <w:r w:rsidRPr="00262582">
        <w:rPr>
          <w:rFonts w:ascii="Verdana" w:eastAsia="Calibri" w:hAnsi="Verdana" w:cs="Arial"/>
          <w:lang w:val="es-ES"/>
        </w:rPr>
        <w:lastRenderedPageBreak/>
        <w:t xml:space="preserve">Lo anterior se sustenta en las siguientes consideraciones: </w:t>
      </w:r>
    </w:p>
    <w:p w14:paraId="44176D3C" w14:textId="77777777" w:rsidR="00B154E7" w:rsidRPr="00262582" w:rsidRDefault="00B154E7" w:rsidP="00B154E7">
      <w:pPr>
        <w:spacing w:after="0" w:line="276" w:lineRule="auto"/>
        <w:jc w:val="both"/>
        <w:rPr>
          <w:rFonts w:ascii="Verdana" w:eastAsia="Calibri" w:hAnsi="Verdana" w:cs="Arial"/>
          <w:lang w:val="es-ES"/>
        </w:rPr>
      </w:pPr>
    </w:p>
    <w:p w14:paraId="51C678A7" w14:textId="77777777" w:rsidR="00B154E7" w:rsidRPr="00FB127B" w:rsidRDefault="00B154E7" w:rsidP="00B154E7">
      <w:pPr>
        <w:pStyle w:val="Prrafodelista"/>
        <w:numPr>
          <w:ilvl w:val="0"/>
          <w:numId w:val="2"/>
        </w:numPr>
        <w:tabs>
          <w:tab w:val="left" w:pos="709"/>
        </w:tabs>
        <w:spacing w:after="120" w:line="276" w:lineRule="auto"/>
        <w:jc w:val="both"/>
        <w:rPr>
          <w:rFonts w:ascii="Verdana" w:eastAsia="Calibri" w:hAnsi="Verdana" w:cs="Arial"/>
          <w:bCs/>
          <w:color w:val="000000" w:themeColor="text1"/>
          <w:szCs w:val="24"/>
          <w:lang w:eastAsia="es-ES_tradnl"/>
        </w:rPr>
      </w:pPr>
      <w:r w:rsidRPr="00FB127B">
        <w:rPr>
          <w:rFonts w:ascii="Verdana" w:eastAsia="Calibri" w:hAnsi="Verdana" w:cs="Arial"/>
          <w:bCs/>
          <w:color w:val="000000" w:themeColor="text1"/>
          <w:szCs w:val="24"/>
          <w:lang w:eastAsia="es-ES_tradnl"/>
        </w:rPr>
        <w:t>El artículo 32 de la Ley 2069 de 2020</w:t>
      </w:r>
      <w:r w:rsidRPr="00F074ED">
        <w:rPr>
          <w:vertAlign w:val="superscript"/>
          <w:lang w:eastAsia="es-ES_tradnl"/>
        </w:rPr>
        <w:footnoteReference w:id="2"/>
      </w:r>
      <w:r w:rsidRPr="00FB127B">
        <w:rPr>
          <w:rFonts w:ascii="Verdana" w:eastAsia="Calibri" w:hAnsi="Verdana" w:cs="Arial"/>
          <w:bCs/>
          <w:color w:val="000000" w:themeColor="text1"/>
          <w:szCs w:val="24"/>
          <w:lang w:eastAsia="es-ES_tradnl"/>
        </w:rPr>
        <w:t xml:space="preserve"> regula criterios diferenciales para los “emprendimientos y empresas de mujeres” en el sistema de compras y contratación pública. En relación con este aspecto, el inciso primero de la norma citada prescribe: </w:t>
      </w:r>
    </w:p>
    <w:p w14:paraId="460F810C" w14:textId="77777777" w:rsidR="00B154E7" w:rsidRPr="00F074ED" w:rsidRDefault="00B154E7" w:rsidP="00B154E7">
      <w:pPr>
        <w:tabs>
          <w:tab w:val="left" w:pos="709"/>
        </w:tabs>
        <w:spacing w:after="0" w:line="240" w:lineRule="auto"/>
        <w:ind w:left="709" w:right="709"/>
        <w:contextualSpacing/>
        <w:jc w:val="both"/>
        <w:rPr>
          <w:rFonts w:ascii="Verdana" w:eastAsia="Calibri" w:hAnsi="Verdana" w:cs="Arial"/>
          <w:bCs/>
          <w:color w:val="000000" w:themeColor="text1"/>
          <w:sz w:val="21"/>
          <w:szCs w:val="21"/>
          <w:lang w:eastAsia="es-ES_tradnl"/>
        </w:rPr>
      </w:pPr>
      <w:r>
        <w:rPr>
          <w:rFonts w:ascii="Verdana" w:eastAsia="Calibri" w:hAnsi="Verdana" w:cs="Arial"/>
          <w:bCs/>
          <w:color w:val="000000" w:themeColor="text1"/>
          <w:sz w:val="21"/>
          <w:szCs w:val="21"/>
          <w:lang w:eastAsia="es-ES_tradnl"/>
        </w:rPr>
        <w:t>“</w:t>
      </w:r>
      <w:r w:rsidRPr="00F074ED">
        <w:rPr>
          <w:rFonts w:ascii="Verdana" w:eastAsia="Calibri" w:hAnsi="Verdana" w:cs="Arial"/>
          <w:bCs/>
          <w:color w:val="000000" w:themeColor="text1"/>
          <w:sz w:val="21"/>
          <w:szCs w:val="21"/>
          <w:lang w:eastAsia="es-ES_tradnl"/>
        </w:rPr>
        <w:t xml:space="preserve">De acuerdo con el resultado del análisis del sector, las entidades estatales incluirán requisitos diferenciales y puntajes adicionales en los procesos de </w:t>
      </w:r>
      <w:bookmarkStart w:id="0" w:name="_Hlk63770487"/>
      <w:r w:rsidRPr="00F074ED">
        <w:rPr>
          <w:rFonts w:ascii="Verdana" w:eastAsia="Calibri" w:hAnsi="Verdana" w:cs="Arial"/>
          <w:bCs/>
          <w:color w:val="000000" w:themeColor="text1"/>
          <w:sz w:val="21"/>
          <w:szCs w:val="21"/>
          <w:lang w:eastAsia="es-ES_tradnl"/>
        </w:rPr>
        <w:t>licitación pública, selección abreviada de menor cuantía y concurso de méritos</w:t>
      </w:r>
      <w:bookmarkEnd w:id="0"/>
      <w:r w:rsidRPr="00F074ED">
        <w:rPr>
          <w:rFonts w:ascii="Verdana" w:eastAsia="Calibri" w:hAnsi="Verdana" w:cs="Arial"/>
          <w:bCs/>
          <w:color w:val="000000" w:themeColor="text1"/>
          <w:sz w:val="21"/>
          <w:szCs w:val="21"/>
          <w:lang w:eastAsia="es-ES_tradnl"/>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Pr>
          <w:rFonts w:ascii="Verdana" w:eastAsia="Calibri" w:hAnsi="Verdana" w:cs="Arial"/>
          <w:bCs/>
          <w:color w:val="000000" w:themeColor="text1"/>
          <w:sz w:val="21"/>
          <w:szCs w:val="21"/>
          <w:lang w:eastAsia="es-ES_tradnl"/>
        </w:rPr>
        <w:t>”</w:t>
      </w:r>
      <w:r w:rsidRPr="00F074ED">
        <w:rPr>
          <w:rFonts w:ascii="Verdana" w:eastAsia="Calibri" w:hAnsi="Verdana" w:cs="Arial"/>
          <w:bCs/>
          <w:color w:val="000000" w:themeColor="text1"/>
          <w:sz w:val="21"/>
          <w:szCs w:val="21"/>
          <w:lang w:eastAsia="es-ES_tradnl"/>
        </w:rPr>
        <w:t>.</w:t>
      </w:r>
    </w:p>
    <w:p w14:paraId="5BD69627" w14:textId="77777777" w:rsidR="00B154E7" w:rsidRPr="00F074ED" w:rsidRDefault="00B154E7" w:rsidP="00B154E7">
      <w:pPr>
        <w:tabs>
          <w:tab w:val="left" w:pos="709"/>
        </w:tabs>
        <w:spacing w:after="0" w:line="276" w:lineRule="auto"/>
        <w:ind w:left="709" w:right="709"/>
        <w:contextualSpacing/>
        <w:jc w:val="both"/>
        <w:rPr>
          <w:rFonts w:ascii="Verdana" w:eastAsia="Calibri" w:hAnsi="Verdana" w:cs="Arial"/>
          <w:bCs/>
          <w:color w:val="000000" w:themeColor="text1"/>
          <w:szCs w:val="24"/>
          <w:lang w:eastAsia="es-ES_tradnl"/>
        </w:rPr>
      </w:pPr>
    </w:p>
    <w:p w14:paraId="524B4C7B" w14:textId="77777777" w:rsidR="00B154E7" w:rsidRDefault="00B154E7" w:rsidP="00B154E7">
      <w:pPr>
        <w:pStyle w:val="Prrafodelista"/>
        <w:numPr>
          <w:ilvl w:val="0"/>
          <w:numId w:val="2"/>
        </w:numPr>
        <w:tabs>
          <w:tab w:val="left" w:pos="709"/>
        </w:tabs>
        <w:spacing w:after="120" w:line="276" w:lineRule="auto"/>
        <w:jc w:val="both"/>
        <w:rPr>
          <w:rFonts w:ascii="Verdana" w:eastAsia="Calibri" w:hAnsi="Verdana" w:cs="Arial"/>
          <w:bCs/>
          <w:color w:val="000000" w:themeColor="text1"/>
          <w:szCs w:val="24"/>
          <w:lang w:eastAsia="es-ES_tradnl"/>
        </w:rPr>
      </w:pPr>
      <w:r w:rsidRPr="00FB127B">
        <w:rPr>
          <w:rFonts w:ascii="Verdana" w:eastAsia="Calibri" w:hAnsi="Verdana" w:cs="Arial"/>
          <w:bCs/>
          <w:color w:val="000000" w:themeColor="text1"/>
          <w:szCs w:val="24"/>
          <w:lang w:eastAsia="es-ES_tradnl"/>
        </w:rPr>
        <w:t xml:space="preserve">De esta manera, los denominados “criterios diferenciales” del artículo 32 </w:t>
      </w:r>
      <w:r w:rsidRPr="00FB127B">
        <w:rPr>
          <w:rFonts w:ascii="Verdana" w:eastAsia="Calibri" w:hAnsi="Verdana" w:cs="Arial"/>
          <w:bCs/>
          <w:i/>
          <w:iCs/>
          <w:color w:val="000000" w:themeColor="text1"/>
          <w:szCs w:val="24"/>
          <w:lang w:eastAsia="es-ES_tradnl"/>
        </w:rPr>
        <w:t>ibidem</w:t>
      </w:r>
      <w:r w:rsidRPr="00FB127B">
        <w:rPr>
          <w:rFonts w:ascii="Verdana" w:eastAsia="Calibri" w:hAnsi="Verdana" w:cs="Arial"/>
          <w:bCs/>
          <w:color w:val="000000" w:themeColor="text1"/>
          <w:szCs w:val="24"/>
          <w:lang w:eastAsia="es-ES_tradnl"/>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competitivos que realicen las entidades estatales excluidas de la Ley 80 de 1993.     </w:t>
      </w:r>
    </w:p>
    <w:p w14:paraId="2DC1DD42" w14:textId="77777777" w:rsidR="00B154E7" w:rsidRPr="00FB127B" w:rsidRDefault="00B154E7" w:rsidP="00B154E7">
      <w:pPr>
        <w:pStyle w:val="Prrafodelista"/>
        <w:tabs>
          <w:tab w:val="left" w:pos="709"/>
        </w:tabs>
        <w:spacing w:after="120" w:line="276" w:lineRule="auto"/>
        <w:jc w:val="both"/>
        <w:rPr>
          <w:rFonts w:ascii="Verdana" w:eastAsia="Calibri" w:hAnsi="Verdana" w:cs="Arial"/>
          <w:bCs/>
          <w:color w:val="000000" w:themeColor="text1"/>
          <w:szCs w:val="24"/>
          <w:lang w:eastAsia="es-ES_tradnl"/>
        </w:rPr>
      </w:pPr>
    </w:p>
    <w:p w14:paraId="0151E6E6" w14:textId="77777777" w:rsidR="00B154E7" w:rsidRPr="00FB127B" w:rsidRDefault="00B154E7" w:rsidP="00B154E7">
      <w:pPr>
        <w:pStyle w:val="Prrafodelista"/>
        <w:numPr>
          <w:ilvl w:val="0"/>
          <w:numId w:val="2"/>
        </w:numPr>
        <w:spacing w:before="120" w:after="120" w:line="276" w:lineRule="auto"/>
        <w:jc w:val="both"/>
        <w:rPr>
          <w:rFonts w:ascii="Verdana" w:eastAsia="Calibri" w:hAnsi="Verdana" w:cs="Arial"/>
          <w:color w:val="000000" w:themeColor="text1"/>
          <w:lang w:val="es-ES_tradnl" w:eastAsia="es-ES_tradnl"/>
        </w:rPr>
      </w:pPr>
      <w:r w:rsidRPr="00FB127B">
        <w:rPr>
          <w:rFonts w:ascii="Verdana" w:eastAsia="Calibri" w:hAnsi="Verdana" w:cs="Arial"/>
          <w:bCs/>
          <w:color w:val="000000" w:themeColor="text1"/>
          <w:szCs w:val="24"/>
          <w:lang w:eastAsia="es-ES_tradnl"/>
        </w:rPr>
        <w:t xml:space="preserve">No obstante, el artículo 32 de la Ley 2069 de 2020 –al igual que el artículo 31– alude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la potestad reglamentaria, en orden de establecer la regulación en marco de la cual las entidades estatales deben aplicar los criterios diferenciales establecidos en el artículo 32 de la Ley 2069 de 2020. </w:t>
      </w:r>
    </w:p>
    <w:p w14:paraId="3E13C8B1" w14:textId="77777777" w:rsidR="00B154E7" w:rsidRPr="00FB127B" w:rsidRDefault="00B154E7" w:rsidP="00B154E7">
      <w:pPr>
        <w:pStyle w:val="Prrafodelista"/>
        <w:rPr>
          <w:rFonts w:ascii="Verdana" w:eastAsia="Calibri" w:hAnsi="Verdana" w:cs="Arial"/>
          <w:color w:val="000000" w:themeColor="text1"/>
          <w:lang w:val="es-ES_tradnl" w:eastAsia="es-ES_tradnl"/>
        </w:rPr>
      </w:pPr>
    </w:p>
    <w:p w14:paraId="1806FE8E" w14:textId="77777777" w:rsidR="00B154E7" w:rsidRPr="00FB127B" w:rsidRDefault="00B154E7" w:rsidP="00B154E7">
      <w:pPr>
        <w:pStyle w:val="Prrafodelista"/>
        <w:numPr>
          <w:ilvl w:val="0"/>
          <w:numId w:val="2"/>
        </w:numPr>
        <w:spacing w:after="120" w:line="276" w:lineRule="auto"/>
        <w:jc w:val="both"/>
        <w:rPr>
          <w:rFonts w:ascii="Verdana" w:eastAsia="Calibri" w:hAnsi="Verdana" w:cs="Arial"/>
          <w:color w:val="000000" w:themeColor="text1"/>
          <w:lang w:val="es-ES_tradnl" w:eastAsia="es-ES_tradnl"/>
        </w:rPr>
      </w:pPr>
      <w:r w:rsidRPr="00FB127B">
        <w:rPr>
          <w:rFonts w:ascii="Verdana" w:eastAsia="Calibri" w:hAnsi="Verdana" w:cs="Arial"/>
          <w:color w:val="000000" w:themeColor="text1"/>
          <w:lang w:val="es-ES_tradnl" w:eastAsia="es-ES_tradnl"/>
        </w:rPr>
        <w:lastRenderedPageBreak/>
        <w:t>En este contexto, el 24 de diciembre de 2021, el gobierno nacional expidió el Decreto 1860 de 2021</w:t>
      </w:r>
      <w:r w:rsidRPr="00FB127B">
        <w:rPr>
          <w:rFonts w:ascii="Verdana" w:eastAsia="Times New Roman" w:hAnsi="Verdana" w:cs="Arial"/>
          <w:color w:val="000000" w:themeColor="text1"/>
          <w:sz w:val="24"/>
          <w:szCs w:val="24"/>
          <w:lang w:eastAsia="es-ES_tradnl"/>
        </w:rPr>
        <w:t xml:space="preserve"> </w:t>
      </w:r>
      <w:r w:rsidRPr="00FB127B">
        <w:rPr>
          <w:rFonts w:ascii="Verdana" w:eastAsia="Calibri" w:hAnsi="Verdana" w:cs="Arial"/>
          <w:color w:val="000000" w:themeColor="text1"/>
          <w:lang w:val="es-ES_tradnl" w:eastAsia="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w:t>
      </w:r>
      <w:r w:rsidRPr="00F074ED">
        <w:rPr>
          <w:vertAlign w:val="superscript"/>
          <w:lang w:eastAsia="es-ES_tradnl"/>
        </w:rPr>
        <w:footnoteReference w:id="3"/>
      </w:r>
      <w:r w:rsidRPr="00FB127B">
        <w:rPr>
          <w:rFonts w:ascii="Verdana" w:eastAsia="Calibri" w:hAnsi="Verdana" w:cs="Arial"/>
          <w:color w:val="000000" w:themeColor="text1"/>
          <w:lang w:val="es-ES_tradnl" w:eastAsia="es-ES_tradnl"/>
        </w:rPr>
        <w:t xml:space="preserve">.  </w:t>
      </w:r>
    </w:p>
    <w:p w14:paraId="5F603AC4" w14:textId="77777777" w:rsidR="00B154E7" w:rsidRPr="00A921EA" w:rsidRDefault="00B154E7" w:rsidP="00B154E7">
      <w:pPr>
        <w:pStyle w:val="Prrafodelista"/>
        <w:spacing w:after="120" w:line="276" w:lineRule="auto"/>
        <w:jc w:val="both"/>
        <w:rPr>
          <w:rFonts w:ascii="Verdana" w:eastAsia="Times New Roman" w:hAnsi="Verdana" w:cs="Arial"/>
          <w:color w:val="000000" w:themeColor="text1"/>
          <w:lang w:eastAsia="es-CO"/>
        </w:rPr>
      </w:pPr>
    </w:p>
    <w:p w14:paraId="09BB5F5A" w14:textId="77777777" w:rsidR="00B154E7" w:rsidRPr="00A921EA" w:rsidRDefault="00B154E7" w:rsidP="00B154E7">
      <w:pPr>
        <w:pStyle w:val="Prrafodelista"/>
        <w:numPr>
          <w:ilvl w:val="0"/>
          <w:numId w:val="2"/>
        </w:numPr>
        <w:spacing w:after="120" w:line="276" w:lineRule="auto"/>
        <w:jc w:val="both"/>
        <w:rPr>
          <w:rFonts w:ascii="Verdana" w:eastAsia="Times New Roman" w:hAnsi="Verdana" w:cs="Arial"/>
          <w:color w:val="000000" w:themeColor="text1"/>
          <w:lang w:eastAsia="es-CO"/>
        </w:rPr>
      </w:pPr>
      <w:r w:rsidRPr="00A921EA">
        <w:rPr>
          <w:rFonts w:ascii="Verdana" w:eastAsia="Calibri" w:hAnsi="Verdana" w:cs="Arial"/>
          <w:color w:val="000000" w:themeColor="text1"/>
          <w:lang w:val="es-ES_tradnl" w:eastAsia="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7445B39E" w14:textId="77777777" w:rsidR="00B154E7" w:rsidRPr="00A921EA" w:rsidRDefault="00B154E7" w:rsidP="00B154E7">
      <w:pPr>
        <w:pStyle w:val="Prrafodelista"/>
        <w:rPr>
          <w:rFonts w:ascii="Verdana" w:eastAsia="Calibri" w:hAnsi="Verdana" w:cs="Arial"/>
          <w:color w:val="000000" w:themeColor="text1"/>
          <w:lang w:val="es-ES_tradnl" w:eastAsia="es-ES_tradnl"/>
        </w:rPr>
      </w:pPr>
    </w:p>
    <w:p w14:paraId="3108AFE2" w14:textId="77777777" w:rsidR="00B154E7" w:rsidRPr="00A921EA" w:rsidRDefault="00B154E7" w:rsidP="00B154E7">
      <w:pPr>
        <w:pStyle w:val="Prrafodelista"/>
        <w:numPr>
          <w:ilvl w:val="0"/>
          <w:numId w:val="2"/>
        </w:numPr>
        <w:spacing w:after="120" w:line="276" w:lineRule="auto"/>
        <w:jc w:val="both"/>
        <w:rPr>
          <w:rFonts w:ascii="Verdana" w:eastAsia="Times New Roman" w:hAnsi="Verdana" w:cs="Arial"/>
          <w:color w:val="000000" w:themeColor="text1"/>
          <w:lang w:eastAsia="es-CO"/>
        </w:rPr>
      </w:pPr>
      <w:r w:rsidRPr="00A921EA">
        <w:rPr>
          <w:rFonts w:ascii="Verdana" w:eastAsia="Calibri" w:hAnsi="Verdana" w:cs="Arial"/>
          <w:color w:val="000000" w:themeColor="text1"/>
          <w:lang w:val="es-ES_tradnl" w:eastAsia="es-ES_tradnl"/>
        </w:rPr>
        <w:t xml:space="preserve">Conforme se viene explicando, el artículo 32 de la Ley 2069 de 2021 establece el deber de las entidades estatales de incluir </w:t>
      </w:r>
      <w:r w:rsidRPr="00A921EA">
        <w:rPr>
          <w:rFonts w:ascii="Verdana" w:eastAsia="Times New Roman" w:hAnsi="Verdana" w:cs="Arial"/>
          <w:color w:val="000000" w:themeColor="text1"/>
          <w:shd w:val="clear" w:color="auto" w:fill="FFFFFF"/>
          <w:lang w:eastAsia="es-ES_tradnl"/>
        </w:rPr>
        <w:t>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habilitantes diferenciales y puntajes adicionales en favor de los emprendimientos y empresas de mujeres. Esto, a título de medidas de acción afirmativa para incentivar la participación de emprendimientos y empresas de mujeres en el sistema de compras públicas y contratación estatal, sin perjuicio de los compromisos adquiridos por Colombia en los acuerdos comerciales en vigor.</w:t>
      </w:r>
    </w:p>
    <w:p w14:paraId="355031C4" w14:textId="77777777" w:rsidR="00B154E7" w:rsidRPr="00A921EA" w:rsidRDefault="00B154E7" w:rsidP="00B154E7">
      <w:pPr>
        <w:pStyle w:val="Prrafodelista"/>
        <w:rPr>
          <w:rFonts w:ascii="Verdana" w:eastAsia="Calibri" w:hAnsi="Verdana" w:cs="Arial"/>
          <w:color w:val="000000" w:themeColor="text1"/>
          <w:lang w:eastAsia="es-ES_tradnl"/>
        </w:rPr>
      </w:pPr>
    </w:p>
    <w:p w14:paraId="6091FCAD" w14:textId="77777777" w:rsidR="00B154E7" w:rsidRPr="00A921EA" w:rsidRDefault="00B154E7" w:rsidP="00B154E7">
      <w:pPr>
        <w:pStyle w:val="Prrafodelista"/>
        <w:numPr>
          <w:ilvl w:val="0"/>
          <w:numId w:val="2"/>
        </w:numPr>
        <w:spacing w:after="120" w:line="276" w:lineRule="auto"/>
        <w:jc w:val="both"/>
        <w:rPr>
          <w:rFonts w:ascii="Verdana" w:eastAsia="Times New Roman" w:hAnsi="Verdana" w:cs="Arial"/>
          <w:color w:val="000000" w:themeColor="text1"/>
          <w:lang w:eastAsia="es-CO"/>
        </w:rPr>
      </w:pPr>
      <w:r w:rsidRPr="00A921EA">
        <w:rPr>
          <w:rFonts w:ascii="Verdana" w:eastAsia="Calibri" w:hAnsi="Verdana" w:cs="Arial"/>
          <w:color w:val="000000" w:themeColor="text1"/>
          <w:lang w:eastAsia="es-ES_tradnl"/>
        </w:rPr>
        <w:t xml:space="preserve">En desarrollo de lo dispuesto en el parágrafo del artículo 32 de la Ley 2069 de 2020, el Decreto 1860 de 2021 adicionó el artículo 2.2.1.2.4.2.14 al </w:t>
      </w:r>
      <w:r w:rsidRPr="00A921EA">
        <w:rPr>
          <w:rFonts w:ascii="Verdana" w:eastAsia="Calibri" w:hAnsi="Verdana" w:cs="Arial"/>
          <w:color w:val="000000" w:themeColor="text1"/>
          <w:lang w:eastAsia="es-ES_tradnl"/>
        </w:rPr>
        <w:lastRenderedPageBreak/>
        <w:t xml:space="preserve">Decreto 1082 de 2015. Esta norma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 A tenor literal el citado artículo indica:   </w:t>
      </w:r>
    </w:p>
    <w:p w14:paraId="5B9755D5" w14:textId="77777777" w:rsidR="00B154E7" w:rsidRPr="00F074ED" w:rsidRDefault="00B154E7" w:rsidP="00B154E7">
      <w:pPr>
        <w:spacing w:after="0" w:line="276" w:lineRule="auto"/>
        <w:jc w:val="both"/>
        <w:rPr>
          <w:rFonts w:ascii="Verdana" w:eastAsia="Calibri" w:hAnsi="Verdana" w:cs="Arial"/>
          <w:color w:val="000000" w:themeColor="text1"/>
          <w:lang w:val="es-ES_tradnl" w:eastAsia="es-ES_tradnl"/>
        </w:rPr>
      </w:pPr>
    </w:p>
    <w:p w14:paraId="57C4B62D" w14:textId="77777777" w:rsidR="00B154E7" w:rsidRPr="00F074ED" w:rsidRDefault="00B154E7" w:rsidP="00B154E7">
      <w:pPr>
        <w:shd w:val="clear" w:color="auto" w:fill="FFFFFF"/>
        <w:spacing w:after="0" w:line="240" w:lineRule="auto"/>
        <w:ind w:left="709" w:right="709"/>
        <w:jc w:val="both"/>
        <w:textAlignment w:val="baseline"/>
        <w:rPr>
          <w:rFonts w:ascii="Verdana" w:eastAsia="Times New Roman" w:hAnsi="Verdana" w:cs="Arial"/>
          <w:color w:val="000000" w:themeColor="text1"/>
          <w:sz w:val="21"/>
          <w:szCs w:val="21"/>
          <w:lang w:eastAsia="es-CO"/>
        </w:rPr>
      </w:pPr>
      <w:r>
        <w:rPr>
          <w:rFonts w:ascii="Verdana" w:eastAsia="Times New Roman" w:hAnsi="Verdana" w:cs="Arial"/>
          <w:color w:val="000000" w:themeColor="text1"/>
          <w:sz w:val="21"/>
          <w:szCs w:val="21"/>
          <w:lang w:eastAsia="es-CO"/>
        </w:rPr>
        <w:t>“</w:t>
      </w:r>
      <w:r w:rsidRPr="00F074ED">
        <w:rPr>
          <w:rFonts w:ascii="Verdana" w:eastAsia="Times New Roman" w:hAnsi="Verdana" w:cs="Arial"/>
          <w:color w:val="000000" w:themeColor="text1"/>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308DC878" w14:textId="77777777" w:rsidR="00B154E7" w:rsidRPr="00F074ED" w:rsidRDefault="00B154E7" w:rsidP="00B154E7">
      <w:pPr>
        <w:shd w:val="clear" w:color="auto" w:fill="FFFFFF"/>
        <w:spacing w:after="0" w:line="240" w:lineRule="auto"/>
        <w:ind w:left="709" w:right="709"/>
        <w:jc w:val="both"/>
        <w:textAlignment w:val="baseline"/>
        <w:rPr>
          <w:rFonts w:ascii="Verdana" w:eastAsia="Times New Roman" w:hAnsi="Verdana" w:cs="Arial"/>
          <w:color w:val="000000" w:themeColor="text1"/>
          <w:sz w:val="21"/>
          <w:szCs w:val="21"/>
          <w:lang w:eastAsia="es-CO"/>
        </w:rPr>
      </w:pPr>
      <w:r w:rsidRPr="00F074ED">
        <w:rPr>
          <w:rFonts w:ascii="Verdana" w:eastAsia="Times New Roman" w:hAnsi="Verdana" w:cs="Arial"/>
          <w:color w:val="000000" w:themeColor="text1"/>
          <w:sz w:val="21"/>
          <w:szCs w:val="21"/>
          <w:lang w:eastAsia="es-CO"/>
        </w:rPr>
        <w:t>  </w:t>
      </w:r>
    </w:p>
    <w:p w14:paraId="4A50818E"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r w:rsidRPr="00F074ED">
        <w:rPr>
          <w:rFonts w:ascii="Verdana" w:eastAsia="Times New Roman" w:hAnsi="Verdana" w:cs="Arial"/>
          <w:color w:val="000000" w:themeColor="text1"/>
          <w:sz w:val="21"/>
          <w:szCs w:val="21"/>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0D86F5E3"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p>
    <w:p w14:paraId="0D93BC04"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r w:rsidRPr="00F074ED">
        <w:rPr>
          <w:rFonts w:ascii="Verdana" w:eastAsia="Times New Roman" w:hAnsi="Verdana" w:cs="Arial"/>
          <w:color w:val="000000" w:themeColor="text1"/>
          <w:sz w:val="21"/>
          <w:szCs w:val="2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77A0A1EB"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p>
    <w:p w14:paraId="6870A49D"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r w:rsidRPr="00F074ED">
        <w:rPr>
          <w:rFonts w:ascii="Verdana" w:eastAsia="Times New Roman" w:hAnsi="Verdana" w:cs="Arial"/>
          <w:color w:val="000000" w:themeColor="text1"/>
          <w:sz w:val="21"/>
          <w:szCs w:val="21"/>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4467F8C5"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p>
    <w:p w14:paraId="63BF8052"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r w:rsidRPr="00F074ED">
        <w:rPr>
          <w:rFonts w:ascii="Verdana" w:eastAsia="Times New Roman" w:hAnsi="Verdana" w:cs="Arial"/>
          <w:color w:val="000000" w:themeColor="text1"/>
          <w:sz w:val="21"/>
          <w:szCs w:val="21"/>
          <w:lang w:eastAsia="es-CO"/>
        </w:rPr>
        <w:t xml:space="preserve">Esta circunstancia se acreditará mediante certificación expedida por el representante legal y el revisor fiscal, cuando exista de acuerdo con los requerimientos de ley, o el contador, donde se señale de manera detallada todas las personas que conforman los cargos de nivel </w:t>
      </w:r>
      <w:r w:rsidRPr="00F074ED">
        <w:rPr>
          <w:rFonts w:ascii="Verdana" w:eastAsia="Times New Roman" w:hAnsi="Verdana" w:cs="Arial"/>
          <w:color w:val="000000" w:themeColor="text1"/>
          <w:sz w:val="21"/>
          <w:szCs w:val="21"/>
          <w:lang w:eastAsia="es-CO"/>
        </w:rPr>
        <w:lastRenderedPageBreak/>
        <w:t>directivo del proponente, el número de mujeres y el tiempo de vinculación.</w:t>
      </w:r>
    </w:p>
    <w:p w14:paraId="44AAB310"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p>
    <w:p w14:paraId="63A44E84"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r w:rsidRPr="00F074ED">
        <w:rPr>
          <w:rFonts w:ascii="Verdana" w:eastAsia="Times New Roman" w:hAnsi="Verdana" w:cs="Arial"/>
          <w:color w:val="000000" w:themeColor="text1"/>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316518C3"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p>
    <w:p w14:paraId="0E73BF85"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r w:rsidRPr="00F074ED">
        <w:rPr>
          <w:rFonts w:ascii="Verdana" w:eastAsia="Times New Roman" w:hAnsi="Verdana" w:cs="Arial"/>
          <w:i/>
          <w:iCs/>
          <w:color w:val="000000" w:themeColor="text1"/>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0986FA28"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p>
    <w:p w14:paraId="1A3783C9"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r w:rsidRPr="00F074ED">
        <w:rPr>
          <w:rFonts w:ascii="Verdana" w:eastAsia="Times New Roman" w:hAnsi="Verdana" w:cs="Arial"/>
          <w:color w:val="000000" w:themeColor="text1"/>
          <w:sz w:val="21"/>
          <w:szCs w:val="21"/>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5EC772C9"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p>
    <w:p w14:paraId="248B6EC6" w14:textId="77777777" w:rsidR="00B154E7" w:rsidRPr="00F074ED" w:rsidRDefault="00B154E7" w:rsidP="00B154E7">
      <w:pPr>
        <w:shd w:val="clear" w:color="auto" w:fill="FFFFFF"/>
        <w:spacing w:after="0" w:line="240" w:lineRule="auto"/>
        <w:ind w:left="709" w:right="709"/>
        <w:contextualSpacing/>
        <w:jc w:val="both"/>
        <w:textAlignment w:val="baseline"/>
        <w:rPr>
          <w:rFonts w:ascii="Verdana" w:eastAsia="Times New Roman" w:hAnsi="Verdana" w:cs="Arial"/>
          <w:color w:val="000000" w:themeColor="text1"/>
          <w:sz w:val="21"/>
          <w:szCs w:val="21"/>
          <w:lang w:eastAsia="es-CO"/>
        </w:rPr>
      </w:pPr>
      <w:r w:rsidRPr="00F074ED">
        <w:rPr>
          <w:rFonts w:ascii="Verdana" w:eastAsia="Times New Roman" w:hAnsi="Verdana" w:cs="Arial"/>
          <w:color w:val="000000" w:themeColor="text1"/>
          <w:sz w:val="21"/>
          <w:szCs w:val="21"/>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r>
        <w:rPr>
          <w:rFonts w:ascii="Verdana" w:eastAsia="Times New Roman" w:hAnsi="Verdana" w:cs="Arial"/>
          <w:sz w:val="21"/>
          <w:szCs w:val="21"/>
          <w:lang w:eastAsia="es-CO"/>
        </w:rPr>
        <w:t>”</w:t>
      </w:r>
      <w:r w:rsidRPr="00F074ED">
        <w:rPr>
          <w:rFonts w:ascii="Verdana" w:eastAsia="Times New Roman" w:hAnsi="Verdana" w:cs="Arial"/>
          <w:sz w:val="21"/>
          <w:szCs w:val="21"/>
          <w:lang w:eastAsia="es-CO"/>
        </w:rPr>
        <w:t xml:space="preserve"> [Énfasis fuera de texto].</w:t>
      </w:r>
    </w:p>
    <w:p w14:paraId="14256F09" w14:textId="77777777" w:rsidR="00B154E7" w:rsidRDefault="00B154E7" w:rsidP="00B154E7">
      <w:pPr>
        <w:spacing w:after="120" w:line="276" w:lineRule="auto"/>
        <w:jc w:val="both"/>
        <w:rPr>
          <w:rFonts w:ascii="Verdana" w:eastAsia="Calibri" w:hAnsi="Verdana" w:cs="Arial"/>
          <w:color w:val="000000" w:themeColor="text1"/>
          <w:lang w:val="es-ES_tradnl" w:eastAsia="es-ES_tradnl"/>
        </w:rPr>
      </w:pPr>
    </w:p>
    <w:p w14:paraId="7B215C38" w14:textId="77777777" w:rsidR="00B154E7"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sidRPr="00A921EA">
        <w:rPr>
          <w:rFonts w:ascii="Verdana" w:eastAsia="Calibri" w:hAnsi="Verdana" w:cs="Arial"/>
          <w:color w:val="000000" w:themeColor="text1"/>
          <w:lang w:eastAsia="es-ES_tradnl"/>
        </w:rPr>
        <w:t xml:space="preserve">De acuerdo con lo establecido en este artículo,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supuestos de hecho previstos en la norma citada, y acrediten estos supuestos con los documentos previstos para ello. </w:t>
      </w:r>
    </w:p>
    <w:p w14:paraId="49DBDA23" w14:textId="77777777" w:rsidR="00B154E7" w:rsidRDefault="00B154E7" w:rsidP="00B154E7">
      <w:pPr>
        <w:pStyle w:val="Prrafodelista"/>
        <w:spacing w:after="120" w:line="276" w:lineRule="auto"/>
        <w:jc w:val="both"/>
        <w:rPr>
          <w:rFonts w:ascii="Verdana" w:eastAsia="Calibri" w:hAnsi="Verdana" w:cs="Arial"/>
          <w:color w:val="000000" w:themeColor="text1"/>
          <w:lang w:eastAsia="es-ES_tradnl"/>
        </w:rPr>
      </w:pPr>
    </w:p>
    <w:p w14:paraId="124C4C0E"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sidRPr="00A921EA">
        <w:rPr>
          <w:rFonts w:ascii="Verdana" w:hAnsi="Verdana" w:cs="Arial"/>
          <w:shd w:val="clear" w:color="auto" w:fill="FFFFFF"/>
        </w:rPr>
        <w:t xml:space="preserve">Teniendo en cuenta el objeto de la presente consulta, resulta relevante el análisis del numeral tercero del artículo antes citado, según el cual tratándose de personas naturales debe cumplirse con las siguientes condiciones para ser consideradas emprendimientos y empresas de </w:t>
      </w:r>
      <w:r w:rsidRPr="00A921EA">
        <w:rPr>
          <w:rFonts w:ascii="Verdana" w:hAnsi="Verdana" w:cs="Arial"/>
          <w:shd w:val="clear" w:color="auto" w:fill="FFFFFF"/>
        </w:rPr>
        <w:lastRenderedPageBreak/>
        <w:t xml:space="preserve">mujeres y, en consecuencia, ser destinatarias de los criterios diferenciales de que trata el artículo 32 de la Ley de Emprendimiento: (i) que la persona natural sea una mujer; (ii) que haya ejercido actividades comerciales a través de un establecimiento de comercio; (iii)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w:t>
      </w:r>
    </w:p>
    <w:p w14:paraId="140E78AD" w14:textId="77777777" w:rsidR="00B154E7" w:rsidRPr="00A921EA" w:rsidRDefault="00B154E7" w:rsidP="00B154E7">
      <w:pPr>
        <w:pStyle w:val="Prrafodelista"/>
        <w:rPr>
          <w:rFonts w:ascii="Verdana" w:hAnsi="Verdana" w:cs="Arial"/>
          <w:shd w:val="clear" w:color="auto" w:fill="FFFFFF"/>
        </w:rPr>
      </w:pPr>
    </w:p>
    <w:p w14:paraId="0A38322F"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sidRPr="00A921EA">
        <w:rPr>
          <w:rFonts w:ascii="Verdana" w:hAnsi="Verdana" w:cs="Arial"/>
          <w:shd w:val="clear" w:color="auto" w:fill="FFFFFF"/>
        </w:rPr>
        <w:t xml:space="preserve">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año contado a partir de la fecha del cierre del proceso de selección. De esta manera, el criterio definido en el numeral tercero del artículo 3 antes citado deja por fuera a aquellas mujeres que no hayan ejercido actividades comerciales a través de un establecimiento de comercio, que no tengan registro mercantil, y/o que no cumplan con el requerimiento del tiempo mínimo de un año de ejercicio de las actividades.  </w:t>
      </w:r>
    </w:p>
    <w:p w14:paraId="28E9E46E" w14:textId="77777777" w:rsidR="00B154E7" w:rsidRPr="00A921EA" w:rsidRDefault="00B154E7" w:rsidP="00B154E7">
      <w:pPr>
        <w:pStyle w:val="Prrafodelista"/>
        <w:rPr>
          <w:rFonts w:ascii="Verdana" w:hAnsi="Verdana" w:cs="Arial"/>
          <w:shd w:val="clear" w:color="auto" w:fill="FFFFFF"/>
        </w:rPr>
      </w:pPr>
    </w:p>
    <w:p w14:paraId="2FED2202"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sidRPr="00A921EA">
        <w:rPr>
          <w:rFonts w:ascii="Verdana" w:hAnsi="Verdana" w:cs="Arial"/>
          <w:shd w:val="clear" w:color="auto" w:fill="FFFFFF"/>
        </w:rPr>
        <w:t xml:space="preserve">Dado que una de las condiciones para ser considerada emprendimiento y empresa de mujeres está relacionada con que la persona natural haya ejercido actividades comerciales a través de establecimiento de comercio, para efectos de la consulta, es indispensable referirse a qué se entiende por actividad comercial y el desarrollo de esta a través de un establecimiento de comercio. </w:t>
      </w:r>
    </w:p>
    <w:p w14:paraId="373E7C98" w14:textId="77777777" w:rsidR="00B154E7" w:rsidRPr="00A921EA" w:rsidRDefault="00B154E7" w:rsidP="00B154E7">
      <w:pPr>
        <w:pStyle w:val="Prrafodelista"/>
        <w:rPr>
          <w:rFonts w:ascii="Verdana" w:hAnsi="Verdana" w:cs="Arial"/>
          <w:shd w:val="clear" w:color="auto" w:fill="FFFFFF"/>
        </w:rPr>
      </w:pPr>
    </w:p>
    <w:p w14:paraId="733EB333"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sidRPr="00A921EA">
        <w:rPr>
          <w:rFonts w:ascii="Verdana" w:hAnsi="Verdana" w:cs="Arial"/>
          <w:shd w:val="clear" w:color="auto" w:fill="FFFFFF"/>
        </w:rPr>
        <w:t xml:space="preserve">Sobre el particular, es necesario tener en cuenta que la ley colombiana no consagra una definición de actos de comercio, sino que incorpora un listado de actos y actividades considerados como mercantiles en el artículo 20 del Código de Comercio que incluye una gama muy variada de operaciones usuales en la vida de los negocios, no taxativas. Así las cosas, no se define estáticamente el acto de comercio, permitiendo mediante la analogía realizar la ampliación dinámica del derecho mercantil facilitando su adaptación a un cambiante mundo de negocios. Adicionalmente, la ley provee un criterio auxiliar que permite ampliar la cobertura del derecho </w:t>
      </w:r>
      <w:r w:rsidRPr="00A921EA">
        <w:rPr>
          <w:rFonts w:ascii="Verdana" w:hAnsi="Verdana" w:cs="Arial"/>
          <w:shd w:val="clear" w:color="auto" w:fill="FFFFFF"/>
        </w:rPr>
        <w:lastRenderedPageBreak/>
        <w:t xml:space="preserve">comercial, atribuyéndole la calificación de </w:t>
      </w:r>
      <w:r w:rsidRPr="00A921EA">
        <w:rPr>
          <w:rFonts w:ascii="Verdana" w:hAnsi="Verdana" w:cs="Arial"/>
          <w:i/>
          <w:iCs/>
          <w:shd w:val="clear" w:color="auto" w:fill="FFFFFF"/>
        </w:rPr>
        <w:t>mercantiles</w:t>
      </w:r>
      <w:r w:rsidRPr="00A921EA">
        <w:rPr>
          <w:rFonts w:ascii="Verdana" w:hAnsi="Verdana" w:cs="Arial"/>
          <w:shd w:val="clear" w:color="auto" w:fill="FFFFFF"/>
        </w:rPr>
        <w:t xml:space="preserve"> a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 </w:t>
      </w:r>
    </w:p>
    <w:p w14:paraId="476D9F84" w14:textId="77777777" w:rsidR="00B154E7" w:rsidRPr="00A921EA" w:rsidRDefault="00B154E7" w:rsidP="00B154E7">
      <w:pPr>
        <w:pStyle w:val="Prrafodelista"/>
        <w:rPr>
          <w:rFonts w:ascii="Verdana" w:hAnsi="Verdana" w:cs="Arial"/>
          <w:shd w:val="clear" w:color="auto" w:fill="FFFFFF"/>
        </w:rPr>
      </w:pPr>
    </w:p>
    <w:p w14:paraId="538D6BAF"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sidRPr="00A921EA">
        <w:rPr>
          <w:rFonts w:ascii="Verdana" w:hAnsi="Verdana" w:cs="Arial"/>
          <w:shd w:val="clear" w:color="auto" w:fill="FFFFFF"/>
        </w:rPr>
        <w:t>Respecto del requisito del establecimiento de comercio, debe señalarse que la actividad comercial se realiza a través de éste que está sujeto al registro mercantil. En efecto, de conformidad con el artículo 25 del Código de Comercio, “</w:t>
      </w:r>
      <w:r w:rsidRPr="00A921EA">
        <w:rPr>
          <w:rFonts w:ascii="Verdana" w:hAnsi="Verdana" w:cs="Arial"/>
          <w:i/>
          <w:iCs/>
          <w:shd w:val="clear" w:color="auto" w:fill="FFFFFF"/>
        </w:rPr>
        <w:t>Se entenderá por empresa toda actividad económica organizada para la producción, transformación, circulación, administración o custodia de bienes, o para la prestación de servicios. Dicha actividad se realizará a través de uno o más establecimientos de comercio</w:t>
      </w:r>
      <w:r w:rsidRPr="00A921EA">
        <w:rPr>
          <w:rFonts w:ascii="Verdana" w:hAnsi="Verdana" w:cs="Arial"/>
          <w:shd w:val="clear" w:color="auto" w:fill="FFFFFF"/>
        </w:rPr>
        <w:t>”. El establecimiento de comercio es entonces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función económica a la que están destinados todos: la producción o distribución de bienes y servicios en el mercado</w:t>
      </w:r>
      <w:r w:rsidRPr="00F074ED">
        <w:rPr>
          <w:shd w:val="clear" w:color="auto" w:fill="FFFFFF"/>
          <w:vertAlign w:val="superscript"/>
        </w:rPr>
        <w:footnoteReference w:id="4"/>
      </w:r>
      <w:r w:rsidRPr="00A921EA">
        <w:rPr>
          <w:rFonts w:ascii="Verdana" w:hAnsi="Verdana" w:cs="Arial"/>
          <w:shd w:val="clear" w:color="auto" w:fill="FFFFFF"/>
        </w:rPr>
        <w:t>.</w:t>
      </w:r>
    </w:p>
    <w:p w14:paraId="73690584" w14:textId="77777777" w:rsidR="00B154E7" w:rsidRPr="00A921EA" w:rsidRDefault="00B154E7" w:rsidP="00B154E7">
      <w:pPr>
        <w:pStyle w:val="Prrafodelista"/>
        <w:rPr>
          <w:rFonts w:ascii="Verdana" w:hAnsi="Verdana" w:cs="Arial"/>
          <w:shd w:val="clear" w:color="auto" w:fill="FFFFFF"/>
        </w:rPr>
      </w:pPr>
    </w:p>
    <w:p w14:paraId="1F059D34"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sidRPr="00A921EA">
        <w:rPr>
          <w:rFonts w:ascii="Verdana" w:hAnsi="Verdana" w:cs="Arial"/>
          <w:shd w:val="clear" w:color="auto" w:fill="FFFFFF"/>
        </w:rPr>
        <w:t>Ahora bien, frente al requisito del registro mercantil, el artículo 26 del Código de Comercio dispone que “</w:t>
      </w:r>
      <w:r w:rsidRPr="00A921EA">
        <w:rPr>
          <w:rFonts w:ascii="Verdana" w:hAnsi="Verdana" w:cs="Arial"/>
          <w:i/>
          <w:iCs/>
          <w:shd w:val="clear" w:color="auto" w:fill="FFFFFF"/>
        </w:rPr>
        <w:t>el registro mercantil tendrá por objeto llevar la matrícula de los comerciantes y de los establecimientos de comercio, así como la inscripción de todos los actos, libros y documentos respecto de los cuales la ley exigiere esa formalidad</w:t>
      </w:r>
      <w:r w:rsidRPr="00A921EA">
        <w:rPr>
          <w:rFonts w:ascii="Verdana" w:hAnsi="Verdana" w:cs="Arial"/>
          <w:shd w:val="clear" w:color="auto" w:fill="FFFFFF"/>
        </w:rPr>
        <w:t xml:space="preserve">”. Asimismo, los numerales 6 y 33 del artículo 28 ibidem señalan que cuando un empresario 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 </w:t>
      </w:r>
    </w:p>
    <w:p w14:paraId="356C9E4C" w14:textId="77777777" w:rsidR="00B154E7" w:rsidRPr="00A921EA" w:rsidRDefault="00B154E7" w:rsidP="00B154E7">
      <w:pPr>
        <w:pStyle w:val="Prrafodelista"/>
        <w:rPr>
          <w:rFonts w:ascii="Verdana" w:hAnsi="Verdana" w:cs="Arial"/>
          <w:shd w:val="clear" w:color="auto" w:fill="FFFFFF"/>
        </w:rPr>
      </w:pPr>
    </w:p>
    <w:p w14:paraId="23018B40"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Pr>
          <w:rFonts w:ascii="Verdana" w:hAnsi="Verdana" w:cs="Arial"/>
          <w:shd w:val="clear" w:color="auto" w:fill="FFFFFF"/>
        </w:rPr>
        <w:lastRenderedPageBreak/>
        <w:t>D</w:t>
      </w:r>
      <w:r w:rsidRPr="00A921EA">
        <w:rPr>
          <w:rFonts w:ascii="Verdana" w:hAnsi="Verdana" w:cs="Arial"/>
          <w:shd w:val="clear" w:color="auto" w:fill="FFFFFF"/>
        </w:rPr>
        <w:t>e esta manera, se concluye que el numeral tercero del artículo 2.2.1.2.4.2.14 del Decreto 1082 de 2015 –adicionado por el artículo 3 del Decreto 1860 de 202</w:t>
      </w:r>
      <w:r>
        <w:rPr>
          <w:rFonts w:ascii="Verdana" w:hAnsi="Verdana" w:cs="Arial"/>
          <w:shd w:val="clear" w:color="auto" w:fill="FFFFFF"/>
        </w:rPr>
        <w:t>1</w:t>
      </w:r>
      <w:r w:rsidRPr="00A921EA">
        <w:rPr>
          <w:rFonts w:ascii="Verdana" w:hAnsi="Verdana" w:cs="Arial"/>
          <w:shd w:val="clear" w:color="auto" w:fill="FFFFFF"/>
        </w:rPr>
        <w:t>– para definir los emprendimientos y empresas de mujeres, en el caso de las personas naturales, parte del ejercicio de una actividad comercial y, de acuerdo con el análisis normativo realizado, esta se desarrolla a través de un establecimiento de comercio, el cual debe estar matriculado en el registro mercantil.  Así las cosas, es necesario que la persona natural que realiza actividades de comercio lo haga a través de un establecimiento, y que lo acredite por medio del registro de acuerdo con lo dispuesto no solo en el Decreto 18</w:t>
      </w:r>
      <w:r>
        <w:rPr>
          <w:rFonts w:ascii="Verdana" w:hAnsi="Verdana" w:cs="Arial"/>
          <w:shd w:val="clear" w:color="auto" w:fill="FFFFFF"/>
        </w:rPr>
        <w:t>6</w:t>
      </w:r>
      <w:r w:rsidRPr="00A921EA">
        <w:rPr>
          <w:rFonts w:ascii="Verdana" w:hAnsi="Verdana" w:cs="Arial"/>
          <w:shd w:val="clear" w:color="auto" w:fill="FFFFFF"/>
        </w:rPr>
        <w:t>0 de 202</w:t>
      </w:r>
      <w:r>
        <w:rPr>
          <w:rFonts w:ascii="Verdana" w:hAnsi="Verdana" w:cs="Arial"/>
          <w:shd w:val="clear" w:color="auto" w:fill="FFFFFF"/>
        </w:rPr>
        <w:t>1</w:t>
      </w:r>
      <w:r w:rsidRPr="00A921EA">
        <w:rPr>
          <w:rFonts w:ascii="Verdana" w:hAnsi="Verdana" w:cs="Arial"/>
          <w:shd w:val="clear" w:color="auto" w:fill="FFFFFF"/>
        </w:rPr>
        <w:t xml:space="preserve"> sino también por la ley comercial.</w:t>
      </w:r>
    </w:p>
    <w:p w14:paraId="0D47CE3A" w14:textId="77777777" w:rsidR="00B154E7" w:rsidRPr="00A921EA" w:rsidRDefault="00B154E7" w:rsidP="00B154E7">
      <w:pPr>
        <w:pStyle w:val="Prrafodelista"/>
        <w:rPr>
          <w:rFonts w:ascii="Verdana" w:hAnsi="Verdana" w:cs="Arial"/>
          <w:shd w:val="clear" w:color="auto" w:fill="FFFFFF"/>
        </w:rPr>
      </w:pPr>
    </w:p>
    <w:p w14:paraId="16BF2E7C"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sidRPr="00A921EA">
        <w:rPr>
          <w:rFonts w:ascii="Verdana" w:hAnsi="Verdana" w:cs="Arial"/>
          <w:shd w:val="clear" w:color="auto" w:fill="FFFFFF"/>
        </w:rPr>
        <w:t xml:space="preserve">En este punto, es pertinente aclarar que el registro mercantil solicitado únicamente es requerido para ser acreedor de los criterios diferenciales consagrados a favor de los emprendimientos y empresas de mujeres en el artículo 32 de la Ley 2069 de 2020 y el Decreto 1860 de 2021. Así lo previó el Gobierno Nacional de manera expresa, por lo que es el medio de prueba conducente para demostrar la actividad de comercio de cara al sistema de compras públicas y contratación estatal. Ello permite la implementación de acciones afirmativas que promueven la participación de este segmento empresarial y les incentiva a que, además, lo hagan de manera formal registrando su establecimiento ante la Cámara de Comercio respectiva tal como lo exige la ley comercial. Por tanto, será indispensable la presentación de dicho documento en caso de pretender beneficiarse de los requisitos habilitantes diferenciales u obtener el puntaje adicional. </w:t>
      </w:r>
    </w:p>
    <w:p w14:paraId="3F67135A" w14:textId="77777777" w:rsidR="00B154E7" w:rsidRPr="00A921EA" w:rsidRDefault="00B154E7" w:rsidP="00B154E7">
      <w:pPr>
        <w:pStyle w:val="Prrafodelista"/>
        <w:rPr>
          <w:rFonts w:ascii="Verdana" w:hAnsi="Verdana" w:cs="Arial"/>
          <w:shd w:val="clear" w:color="auto" w:fill="FFFFFF"/>
        </w:rPr>
      </w:pPr>
    </w:p>
    <w:p w14:paraId="705E4865"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sidRPr="00A921EA">
        <w:rPr>
          <w:rFonts w:ascii="Verdana" w:hAnsi="Verdana" w:cs="Arial"/>
          <w:shd w:val="clear" w:color="auto" w:fill="FFFFFF"/>
        </w:rPr>
        <w:t xml:space="preserve">En este sentido, para efectos del artículo 2.2.1.2.4.2.14 del Decreto 1082 de 2015, la acreditación de la condición de mujer y del ejercicio de actividades comerciales a través de establecimiento de comercio de la persona natural, solo será válida mediante la presentación de los documentos establecidos en el numeral 3 de la norma señalada, esto es, adjuntando copia de la cédula de ciudadanía, cédula de extranjería o pasaporte y copia del registro mercantil. </w:t>
      </w:r>
    </w:p>
    <w:p w14:paraId="6C0C4FB0" w14:textId="77777777" w:rsidR="00B154E7" w:rsidRPr="00A921EA" w:rsidRDefault="00B154E7" w:rsidP="00B154E7">
      <w:pPr>
        <w:pStyle w:val="Prrafodelista"/>
        <w:rPr>
          <w:rFonts w:ascii="Verdana" w:hAnsi="Verdana" w:cs="Arial"/>
          <w:shd w:val="clear" w:color="auto" w:fill="FFFFFF"/>
        </w:rPr>
      </w:pPr>
    </w:p>
    <w:p w14:paraId="2F59FCAA"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bookmarkStart w:id="1" w:name="_Hlk99548433"/>
      <w:r w:rsidRPr="00A921EA">
        <w:rPr>
          <w:rFonts w:ascii="Verdana" w:eastAsia="Times New Roman" w:hAnsi="Verdana" w:cs="Arial"/>
          <w:lang w:eastAsia="es-CO"/>
        </w:rPr>
        <w:t>Conforme a las consideraciones expuestas</w:t>
      </w:r>
      <w:r w:rsidRPr="00A921EA">
        <w:rPr>
          <w:rFonts w:ascii="Verdana" w:eastAsia="Times New Roman" w:hAnsi="Verdana" w:cs="Arial"/>
          <w:iCs/>
          <w:lang w:eastAsia="es-CO"/>
        </w:rPr>
        <w:t>,</w:t>
      </w:r>
      <w:r w:rsidRPr="00A921EA">
        <w:rPr>
          <w:rFonts w:ascii="Verdana" w:eastAsia="Times New Roman" w:hAnsi="Verdana" w:cs="Arial"/>
          <w:lang w:eastAsia="es-CO"/>
        </w:rPr>
        <w:t xml:space="preserve"> con relación a los </w:t>
      </w:r>
      <w:r w:rsidRPr="00A921EA">
        <w:rPr>
          <w:rFonts w:ascii="Verdana" w:eastAsia="Times New Roman" w:hAnsi="Verdana" w:cs="Arial"/>
          <w:i/>
          <w:iCs/>
          <w:lang w:eastAsia="es-CO"/>
        </w:rPr>
        <w:t xml:space="preserve">requisitos habilitantes, </w:t>
      </w:r>
      <w:r w:rsidRPr="00A921EA">
        <w:rPr>
          <w:rFonts w:ascii="Verdana" w:eastAsia="Times New Roman" w:hAnsi="Verdana" w:cs="Arial"/>
          <w:iCs/>
          <w:lang w:eastAsia="es-CO"/>
        </w:rPr>
        <w:t xml:space="preserve">así como frente a los </w:t>
      </w:r>
      <w:r w:rsidRPr="00A921EA">
        <w:rPr>
          <w:rFonts w:ascii="Verdana" w:eastAsia="Times New Roman" w:hAnsi="Verdana" w:cs="Arial"/>
          <w:lang w:eastAsia="es-CO"/>
        </w:rPr>
        <w:t xml:space="preserve">incentivos para las personas interesadas en celebrar contratos con el Estado, especialmente, criterios </w:t>
      </w:r>
      <w:r w:rsidRPr="00A921EA">
        <w:rPr>
          <w:rFonts w:ascii="Verdana" w:eastAsia="Times New Roman" w:hAnsi="Verdana" w:cs="Arial"/>
          <w:lang w:eastAsia="es-CO"/>
        </w:rPr>
        <w:lastRenderedPageBreak/>
        <w:t xml:space="preserve">diferenciales para los </w:t>
      </w:r>
      <w:r w:rsidRPr="00A921EA">
        <w:rPr>
          <w:rFonts w:ascii="Verdana" w:eastAsia="Times New Roman" w:hAnsi="Verdana" w:cs="Arial"/>
          <w:i/>
          <w:iCs/>
          <w:lang w:eastAsia="es-CO"/>
        </w:rPr>
        <w:t>“emprendimientos y empresas de mujeres”</w:t>
      </w:r>
      <w:r w:rsidRPr="00A921EA">
        <w:rPr>
          <w:rFonts w:ascii="Verdana" w:eastAsia="Times New Roman" w:hAnsi="Verdana" w:cs="Arial"/>
          <w:lang w:eastAsia="es-CO"/>
        </w:rPr>
        <w:t xml:space="preserve"> en el sistema de compras y contratación pública, es claro que </w:t>
      </w:r>
      <w:r>
        <w:rPr>
          <w:rFonts w:ascii="Verdana" w:eastAsia="Times New Roman" w:hAnsi="Verdana" w:cs="Arial"/>
          <w:lang w:eastAsia="es-CO"/>
        </w:rPr>
        <w:t>el</w:t>
      </w:r>
      <w:r w:rsidRPr="00A921EA">
        <w:rPr>
          <w:rFonts w:ascii="Verdana" w:eastAsia="Times New Roman" w:hAnsi="Verdana" w:cs="Arial"/>
          <w:lang w:eastAsia="es-CO"/>
        </w:rPr>
        <w:t xml:space="preserve"> artículo</w:t>
      </w:r>
      <w:r>
        <w:rPr>
          <w:rFonts w:ascii="Verdana" w:eastAsia="Times New Roman" w:hAnsi="Verdana" w:cs="Arial"/>
          <w:lang w:eastAsia="es-CO"/>
        </w:rPr>
        <w:t xml:space="preserve"> </w:t>
      </w:r>
      <w:r w:rsidRPr="00A921EA">
        <w:rPr>
          <w:rFonts w:ascii="Verdana" w:eastAsia="Times New Roman" w:hAnsi="Verdana" w:cs="Arial"/>
          <w:lang w:eastAsia="es-CO"/>
        </w:rPr>
        <w:t xml:space="preserve">32 de la Ley 2069 de 2021 introduce la posibilidad de las Entidades Estatales de incluir </w:t>
      </w:r>
      <w:r w:rsidRPr="00A921EA">
        <w:rPr>
          <w:rFonts w:ascii="Verdana" w:eastAsia="Times New Roman" w:hAnsi="Verdana" w:cs="Arial"/>
          <w:shd w:val="clear" w:color="auto" w:fill="FFFFFF"/>
          <w:lang w:eastAsia="es-CO"/>
        </w:rPr>
        <w:t>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emprendimientos y empresas de mujeres. Esto a título de medidas de acción afirmativa para incentivar la participación de estos sujetos en el sistema de compras públicas, sin perjuicio de los compromisos adquiridos por Colombia en los acuerdos comerciales en vigor. </w:t>
      </w:r>
      <w:r w:rsidRPr="00A921EA">
        <w:rPr>
          <w:rFonts w:ascii="Verdana" w:eastAsia="Times New Roman" w:hAnsi="Verdana" w:cs="Arial"/>
          <w:lang w:eastAsia="es-CO"/>
        </w:rPr>
        <w:t> </w:t>
      </w:r>
    </w:p>
    <w:p w14:paraId="2A3EC4A0" w14:textId="77777777" w:rsidR="00B154E7" w:rsidRPr="00A921EA" w:rsidRDefault="00B154E7" w:rsidP="00B154E7">
      <w:pPr>
        <w:pStyle w:val="Prrafodelista"/>
        <w:spacing w:after="120" w:line="276" w:lineRule="auto"/>
        <w:jc w:val="both"/>
        <w:rPr>
          <w:rFonts w:ascii="Verdana" w:eastAsia="Calibri" w:hAnsi="Verdana" w:cs="Arial"/>
          <w:color w:val="000000" w:themeColor="text1"/>
          <w:lang w:eastAsia="es-ES_tradnl"/>
        </w:rPr>
      </w:pPr>
    </w:p>
    <w:p w14:paraId="4509F0D0"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sidRPr="00A921EA">
        <w:rPr>
          <w:rFonts w:ascii="Verdana" w:eastAsia="Times New Roman" w:hAnsi="Verdana" w:cs="Arial"/>
          <w:lang w:eastAsia="es-CO"/>
        </w:rPr>
        <w:t>En relación con el significado de emprendimientos y empresas de mujeres y conforme a lo dicho en el parágrafo del artículo 32 de la Ley 2069 de 2020, el Decreto 1860 de 2021 adicionó el artículo 2.2.1.2.4.2.14 al Decreto 1082 de 2015. Esta norma establece las condiciones y requisitos en atención a los cuales se definen las empresas y emprendimientos de mujeres, a las que les aplican los criterios diferenciales.  </w:t>
      </w:r>
    </w:p>
    <w:p w14:paraId="2968285E" w14:textId="77777777" w:rsidR="00B154E7" w:rsidRPr="00A921EA" w:rsidRDefault="00B154E7" w:rsidP="00B154E7">
      <w:pPr>
        <w:pStyle w:val="Prrafodelista"/>
        <w:rPr>
          <w:rFonts w:ascii="Verdana" w:eastAsia="Times New Roman" w:hAnsi="Verdana" w:cs="Arial"/>
          <w:lang w:eastAsia="es-CO"/>
        </w:rPr>
      </w:pPr>
    </w:p>
    <w:p w14:paraId="1BE15898" w14:textId="77777777" w:rsidR="00B154E7" w:rsidRDefault="00B154E7" w:rsidP="00B154E7">
      <w:pPr>
        <w:pStyle w:val="Prrafodelista"/>
        <w:numPr>
          <w:ilvl w:val="0"/>
          <w:numId w:val="3"/>
        </w:numPr>
        <w:spacing w:after="120" w:line="276" w:lineRule="auto"/>
        <w:jc w:val="both"/>
        <w:rPr>
          <w:rFonts w:ascii="Verdana" w:eastAsia="Times New Roman" w:hAnsi="Verdana" w:cs="Arial"/>
          <w:lang w:eastAsia="es-CO"/>
        </w:rPr>
      </w:pPr>
      <w:r w:rsidRPr="00A56110">
        <w:rPr>
          <w:rFonts w:ascii="Verdana" w:eastAsia="Times New Roman" w:hAnsi="Verdana" w:cs="Arial"/>
          <w:lang w:eastAsia="es-CO"/>
        </w:rPr>
        <w:t xml:space="preserve">Por su parte el artículo 2.2.1.2.4.2.15 del Decreto 1082 de 2015, adicionado por el Decreto 1860 de 2021, que se analizará a fondo a continuación, complementa la regulación de criterios diferenciales estableciendo la posibilidad de unos requisitos habilitantes diferenciales para incentivar emprendimientos y empresas de mujeres, que deben ser menos rigurosos respecto a los contemplados para los otros proponentes que no cumplan con alguno de los criterios del artículo 2.2.1.2.4.2.14. </w:t>
      </w:r>
    </w:p>
    <w:p w14:paraId="2F108CC5" w14:textId="77777777" w:rsidR="00B154E7" w:rsidRPr="00A56110" w:rsidRDefault="00B154E7" w:rsidP="00B154E7">
      <w:pPr>
        <w:pStyle w:val="Prrafodelista"/>
        <w:rPr>
          <w:rFonts w:ascii="Verdana" w:eastAsia="Times New Roman" w:hAnsi="Verdana" w:cs="Arial"/>
          <w:lang w:eastAsia="es-CO"/>
        </w:rPr>
      </w:pPr>
    </w:p>
    <w:p w14:paraId="28F53B55"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sidRPr="00A921EA">
        <w:rPr>
          <w:rFonts w:ascii="Verdana" w:eastAsia="Times New Roman" w:hAnsi="Verdana" w:cs="Arial"/>
          <w:lang w:eastAsia="es-CO"/>
        </w:rPr>
        <w:t>Del mismo modo, el artículo 2.2.1.2.4.2.15 del Decreto 1082 de 2015 también regula un puntaje adicional de hasta el 0,25% del valor total de los puntos establecidos en los pliegos de condiciones o documentos equivalentes, para los proponentes que acrediten alguno de los supuestos del artículo 2.2.1.2.4.2.14 del Decreto 1082 de 2015.  </w:t>
      </w:r>
    </w:p>
    <w:p w14:paraId="62F1F695" w14:textId="77777777" w:rsidR="00B154E7" w:rsidRPr="00A921EA" w:rsidRDefault="00B154E7" w:rsidP="00B154E7">
      <w:pPr>
        <w:pStyle w:val="Prrafodelista"/>
        <w:rPr>
          <w:rFonts w:ascii="Verdana" w:eastAsia="Times New Roman" w:hAnsi="Verdana" w:cs="Arial"/>
          <w:lang w:eastAsia="es-CO"/>
        </w:rPr>
      </w:pPr>
    </w:p>
    <w:p w14:paraId="778D8FA3" w14:textId="77777777" w:rsidR="00B154E7" w:rsidRPr="00A56110" w:rsidRDefault="00B154E7" w:rsidP="00B154E7">
      <w:pPr>
        <w:pStyle w:val="Prrafodelista"/>
        <w:rPr>
          <w:rFonts w:ascii="Verdana" w:eastAsia="Times New Roman" w:hAnsi="Verdana" w:cs="Arial"/>
          <w:lang w:eastAsia="es-CO"/>
        </w:rPr>
      </w:pPr>
    </w:p>
    <w:p w14:paraId="0CCC546F"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sidRPr="00A921EA">
        <w:rPr>
          <w:rFonts w:ascii="Verdana" w:eastAsia="Times New Roman" w:hAnsi="Verdana" w:cs="Arial"/>
          <w:lang w:eastAsia="es-CO"/>
        </w:rPr>
        <w:t xml:space="preserve">No obstante, en virtud de los incentivos previstos en </w:t>
      </w:r>
      <w:r>
        <w:rPr>
          <w:rFonts w:ascii="Verdana" w:eastAsia="Times New Roman" w:hAnsi="Verdana" w:cs="Arial"/>
          <w:lang w:eastAsia="es-CO"/>
        </w:rPr>
        <w:t>el artículo</w:t>
      </w:r>
      <w:r w:rsidRPr="00A921EA">
        <w:rPr>
          <w:rFonts w:ascii="Verdana" w:eastAsia="Times New Roman" w:hAnsi="Verdana" w:cs="Arial"/>
          <w:lang w:eastAsia="es-CO"/>
        </w:rPr>
        <w:t xml:space="preserve"> 32 de la Ley 2069 de 2020 y su reglamentación contenida en el Decreto 1860 de 2021, es posible que la selección objetiva del contratista del Estado sea </w:t>
      </w:r>
      <w:r w:rsidRPr="00A921EA">
        <w:rPr>
          <w:rFonts w:ascii="Verdana" w:eastAsia="Times New Roman" w:hAnsi="Verdana" w:cs="Arial"/>
          <w:lang w:eastAsia="es-CO"/>
        </w:rPr>
        <w:lastRenderedPageBreak/>
        <w:t xml:space="preserve">realizada por las entidades contratantes acudiendo a factores habilitantes y de calificación de los participantes, fijados en los pliegos de condiciones de forma </w:t>
      </w:r>
      <w:r w:rsidRPr="00A921EA">
        <w:rPr>
          <w:rFonts w:ascii="Verdana" w:eastAsia="Times New Roman" w:hAnsi="Verdana" w:cs="Arial"/>
          <w:i/>
          <w:iCs/>
          <w:lang w:eastAsia="es-CO"/>
        </w:rPr>
        <w:t>diferencial</w:t>
      </w:r>
      <w:r w:rsidRPr="00A921EA">
        <w:rPr>
          <w:rFonts w:ascii="Verdana" w:eastAsia="Times New Roman" w:hAnsi="Verdana" w:cs="Arial"/>
          <w:lang w:eastAsia="es-CO"/>
        </w:rPr>
        <w:t xml:space="preserve">, con el objeto de fomentar o facilitar el acceso a las compras públicas de sujetos de menor capacidad en el mercado, como es el caso de los emprendimientos y empresas de mujeres, por razones de equidad, siempre y cuando el uso de estas medidas afirmativas resulte justificado y no ponga en riesgo el adecuado cumplimiento del contrato, según el análisis del sector y los estudios previos que soporten el proceso contractual. </w:t>
      </w:r>
    </w:p>
    <w:p w14:paraId="15CFCF50" w14:textId="77777777" w:rsidR="00B154E7" w:rsidRPr="00A921EA" w:rsidRDefault="00B154E7" w:rsidP="00B154E7">
      <w:pPr>
        <w:pStyle w:val="Prrafodelista"/>
        <w:rPr>
          <w:rFonts w:ascii="Verdana" w:eastAsia="Times New Roman" w:hAnsi="Verdana" w:cs="Arial"/>
          <w:lang w:eastAsia="es-CO"/>
        </w:rPr>
      </w:pPr>
    </w:p>
    <w:p w14:paraId="6050F140" w14:textId="77777777" w:rsidR="00B154E7" w:rsidRPr="00A921EA" w:rsidRDefault="00B154E7" w:rsidP="00B154E7">
      <w:pPr>
        <w:pStyle w:val="Prrafodelista"/>
        <w:numPr>
          <w:ilvl w:val="0"/>
          <w:numId w:val="3"/>
        </w:numPr>
        <w:spacing w:after="120" w:line="276" w:lineRule="auto"/>
        <w:jc w:val="both"/>
        <w:rPr>
          <w:rFonts w:ascii="Verdana" w:eastAsia="Calibri" w:hAnsi="Verdana" w:cs="Arial"/>
          <w:color w:val="000000" w:themeColor="text1"/>
          <w:lang w:eastAsia="es-ES_tradnl"/>
        </w:rPr>
      </w:pPr>
      <w:r w:rsidRPr="00A921EA">
        <w:rPr>
          <w:rFonts w:ascii="Verdana" w:eastAsia="Times New Roman" w:hAnsi="Verdana" w:cs="Arial"/>
          <w:lang w:eastAsia="es-CO"/>
        </w:rPr>
        <w:t xml:space="preserve">Para el efecto dichos requisitos habilitantes contemplados en el pliego de condiciones podrán ser menos exigentes para los emprendimientos y empresas de mujeres, según lo justifiquen los instrumentos de planeación precontractual que determinen las Entidades Estatales, por lo tanto, y de conformidad con el articulado adicionado por el Decreto 1860 de 2021, los requisitos </w:t>
      </w:r>
      <w:bookmarkEnd w:id="1"/>
      <w:r w:rsidRPr="00A921EA">
        <w:rPr>
          <w:rFonts w:ascii="Verdana" w:eastAsia="Times New Roman" w:hAnsi="Verdana" w:cs="Arial"/>
          <w:lang w:eastAsia="es-CO"/>
        </w:rPr>
        <w:t>habilitantes diferenciales que deberán incluir en los Documentos del Proceso deberán estar relacionados con los siguientes aspectos:</w:t>
      </w:r>
    </w:p>
    <w:p w14:paraId="1C43FF24" w14:textId="77777777" w:rsidR="00B154E7" w:rsidRPr="00F074ED" w:rsidRDefault="00B154E7" w:rsidP="00B154E7">
      <w:pPr>
        <w:spacing w:after="120" w:line="276" w:lineRule="auto"/>
        <w:ind w:firstLine="709"/>
        <w:jc w:val="both"/>
        <w:textAlignment w:val="baseline"/>
        <w:rPr>
          <w:rFonts w:ascii="Verdana" w:eastAsia="Times New Roman" w:hAnsi="Verdana" w:cs="Arial"/>
          <w:i/>
          <w:iCs/>
          <w:sz w:val="21"/>
          <w:szCs w:val="21"/>
          <w:lang w:eastAsia="es-CO"/>
        </w:rPr>
      </w:pPr>
      <w:r>
        <w:rPr>
          <w:rFonts w:ascii="Verdana" w:eastAsia="Times New Roman" w:hAnsi="Verdana" w:cs="Arial"/>
          <w:i/>
          <w:iCs/>
          <w:sz w:val="21"/>
          <w:szCs w:val="21"/>
          <w:lang w:eastAsia="es-CO"/>
        </w:rPr>
        <w:t>“</w:t>
      </w:r>
      <w:r w:rsidRPr="00F074ED">
        <w:rPr>
          <w:rFonts w:ascii="Verdana" w:eastAsia="Times New Roman" w:hAnsi="Verdana" w:cs="Arial"/>
          <w:i/>
          <w:iCs/>
          <w:sz w:val="21"/>
          <w:szCs w:val="21"/>
          <w:lang w:eastAsia="es-CO"/>
        </w:rPr>
        <w:t>1. Tiempo de experiencia.</w:t>
      </w:r>
    </w:p>
    <w:p w14:paraId="779FC837" w14:textId="77777777" w:rsidR="00B154E7" w:rsidRPr="00F074ED" w:rsidRDefault="00B154E7" w:rsidP="00B154E7">
      <w:pPr>
        <w:spacing w:after="120" w:line="276" w:lineRule="auto"/>
        <w:ind w:firstLine="709"/>
        <w:jc w:val="both"/>
        <w:textAlignment w:val="baseline"/>
        <w:rPr>
          <w:rFonts w:ascii="Verdana" w:eastAsia="Times New Roman" w:hAnsi="Verdana" w:cs="Arial"/>
          <w:b/>
          <w:bCs/>
          <w:i/>
          <w:iCs/>
          <w:sz w:val="21"/>
          <w:szCs w:val="21"/>
          <w:lang w:eastAsia="es-CO"/>
        </w:rPr>
      </w:pPr>
      <w:r w:rsidRPr="00F074ED">
        <w:rPr>
          <w:rFonts w:ascii="Verdana" w:eastAsia="Times New Roman" w:hAnsi="Verdana" w:cs="Arial"/>
          <w:b/>
          <w:bCs/>
          <w:i/>
          <w:iCs/>
          <w:sz w:val="21"/>
          <w:szCs w:val="21"/>
          <w:lang w:eastAsia="es-CO"/>
        </w:rPr>
        <w:t>2. Número de contratos para la acreditación de la experiencia.</w:t>
      </w:r>
    </w:p>
    <w:p w14:paraId="47D0D267" w14:textId="77777777" w:rsidR="00B154E7" w:rsidRPr="00F074ED" w:rsidRDefault="00B154E7" w:rsidP="00B154E7">
      <w:pPr>
        <w:spacing w:after="120" w:line="276" w:lineRule="auto"/>
        <w:ind w:firstLine="709"/>
        <w:jc w:val="both"/>
        <w:textAlignment w:val="baseline"/>
        <w:rPr>
          <w:rFonts w:ascii="Verdana" w:eastAsia="Times New Roman" w:hAnsi="Verdana" w:cs="Arial"/>
          <w:i/>
          <w:iCs/>
          <w:sz w:val="21"/>
          <w:szCs w:val="21"/>
          <w:lang w:eastAsia="es-CO"/>
        </w:rPr>
      </w:pPr>
      <w:r w:rsidRPr="00F074ED">
        <w:rPr>
          <w:rFonts w:ascii="Verdana" w:eastAsia="Times New Roman" w:hAnsi="Verdana" w:cs="Arial"/>
          <w:i/>
          <w:iCs/>
          <w:sz w:val="21"/>
          <w:szCs w:val="21"/>
          <w:lang w:eastAsia="es-CO"/>
        </w:rPr>
        <w:t>3. Índices de capacidad financiera.</w:t>
      </w:r>
    </w:p>
    <w:p w14:paraId="31248CF7" w14:textId="77777777" w:rsidR="00B154E7" w:rsidRPr="00F074ED" w:rsidRDefault="00B154E7" w:rsidP="00B154E7">
      <w:pPr>
        <w:spacing w:after="120" w:line="276" w:lineRule="auto"/>
        <w:ind w:firstLine="709"/>
        <w:jc w:val="both"/>
        <w:textAlignment w:val="baseline"/>
        <w:rPr>
          <w:rFonts w:ascii="Verdana" w:eastAsia="Times New Roman" w:hAnsi="Verdana" w:cs="Arial"/>
          <w:i/>
          <w:iCs/>
          <w:sz w:val="21"/>
          <w:szCs w:val="21"/>
          <w:lang w:eastAsia="es-CO"/>
        </w:rPr>
      </w:pPr>
      <w:r w:rsidRPr="00F074ED">
        <w:rPr>
          <w:rFonts w:ascii="Verdana" w:eastAsia="Times New Roman" w:hAnsi="Verdana" w:cs="Arial"/>
          <w:i/>
          <w:iCs/>
          <w:sz w:val="21"/>
          <w:szCs w:val="21"/>
          <w:lang w:eastAsia="es-CO"/>
        </w:rPr>
        <w:t>4. Índices de capacidad organizacional.</w:t>
      </w:r>
    </w:p>
    <w:p w14:paraId="6240A783" w14:textId="77777777" w:rsidR="00B154E7" w:rsidRPr="00F074ED" w:rsidRDefault="00B154E7" w:rsidP="00B154E7">
      <w:pPr>
        <w:spacing w:after="120" w:line="276" w:lineRule="auto"/>
        <w:ind w:firstLine="709"/>
        <w:jc w:val="both"/>
        <w:textAlignment w:val="baseline"/>
        <w:rPr>
          <w:rFonts w:ascii="Verdana" w:eastAsia="Times New Roman" w:hAnsi="Verdana" w:cs="Arial"/>
          <w:sz w:val="21"/>
          <w:szCs w:val="21"/>
          <w:lang w:eastAsia="es-CO"/>
        </w:rPr>
      </w:pPr>
      <w:r w:rsidRPr="00F074ED">
        <w:rPr>
          <w:rFonts w:ascii="Verdana" w:eastAsia="Times New Roman" w:hAnsi="Verdana" w:cs="Arial"/>
          <w:i/>
          <w:iCs/>
          <w:sz w:val="21"/>
          <w:szCs w:val="21"/>
          <w:lang w:eastAsia="es-CO"/>
        </w:rPr>
        <w:t>5. Valor de la garantía de seriedad de la oferta.</w:t>
      </w:r>
      <w:r>
        <w:rPr>
          <w:rFonts w:ascii="Verdana" w:eastAsia="Times New Roman" w:hAnsi="Verdana" w:cs="Arial"/>
          <w:i/>
          <w:iCs/>
          <w:sz w:val="21"/>
          <w:szCs w:val="21"/>
          <w:lang w:eastAsia="es-CO"/>
        </w:rPr>
        <w:t>”</w:t>
      </w:r>
      <w:r w:rsidRPr="00F074ED">
        <w:rPr>
          <w:rFonts w:ascii="Verdana" w:eastAsia="Times New Roman" w:hAnsi="Verdana" w:cs="Arial"/>
          <w:i/>
          <w:iCs/>
          <w:sz w:val="21"/>
          <w:szCs w:val="21"/>
          <w:lang w:eastAsia="es-CO"/>
        </w:rPr>
        <w:t xml:space="preserve"> (</w:t>
      </w:r>
      <w:r w:rsidRPr="00F074ED">
        <w:rPr>
          <w:rFonts w:ascii="Verdana" w:eastAsia="Times New Roman" w:hAnsi="Verdana" w:cs="Arial"/>
          <w:sz w:val="21"/>
          <w:szCs w:val="21"/>
          <w:lang w:eastAsia="es-CO"/>
        </w:rPr>
        <w:t>negrilla fuera de texto)</w:t>
      </w:r>
    </w:p>
    <w:p w14:paraId="656726E0" w14:textId="77777777" w:rsidR="00B154E7" w:rsidRDefault="00B154E7" w:rsidP="00B154E7">
      <w:pPr>
        <w:pStyle w:val="Prrafodelista"/>
        <w:numPr>
          <w:ilvl w:val="0"/>
          <w:numId w:val="4"/>
        </w:numPr>
        <w:spacing w:after="120" w:line="276" w:lineRule="auto"/>
        <w:jc w:val="both"/>
        <w:textAlignment w:val="baseline"/>
        <w:rPr>
          <w:rFonts w:ascii="Verdana" w:eastAsia="Calibri" w:hAnsi="Verdana" w:cs="Arial"/>
          <w:bCs/>
          <w:color w:val="000000"/>
          <w:szCs w:val="24"/>
          <w:lang w:eastAsia="es-ES_tradnl" w:bidi="es-ES"/>
        </w:rPr>
      </w:pPr>
      <w:r w:rsidRPr="00A921EA">
        <w:rPr>
          <w:rFonts w:ascii="Verdana" w:eastAsia="Times New Roman" w:hAnsi="Verdana" w:cs="Arial"/>
          <w:lang w:eastAsia="es-CO"/>
        </w:rPr>
        <w:t xml:space="preserve">Los requisitos mencionados deberán fijarse respetando las condiciones habilitantes necesarias para el cumplimiento adecuado del contrato, teniendo en cuenta el alcance de las obligaciones. </w:t>
      </w:r>
      <w:r w:rsidRPr="00A921EA">
        <w:rPr>
          <w:rFonts w:ascii="Verdana" w:eastAsia="Calibri" w:hAnsi="Verdana" w:cs="Arial"/>
          <w:bCs/>
          <w:color w:val="000000"/>
          <w:szCs w:val="24"/>
          <w:lang w:eastAsia="es-ES_tradnl" w:bidi="es-ES"/>
        </w:rPr>
        <w:t xml:space="preserve">Además, según la norma citada, se determinó que en los procesos de contratación competitivos se debían incorporar requisitos habilitantes diferenciales para los emprendimientos y empresas de mujeres, relacionados con alguno o algunos de los siguientes aspectos: i) tiempo de experiencia, ii) número de contratos para la acreditación de la experiencia, iii) índices de capacidad financiera, iv) índices de capacidad organizacional y v) valor de la garantía de seriedad de la oferta. Igualmente, el decreto dispone que, con excepción de los procedimientos de selección donde el menor precio ofrecido sea el único factor de evaluación, las entidades otorgarán un puntaje adicional hasta de cero punto veinticinco por ciento (0.25%) del </w:t>
      </w:r>
      <w:r w:rsidRPr="00A921EA">
        <w:rPr>
          <w:rFonts w:ascii="Verdana" w:eastAsia="Calibri" w:hAnsi="Verdana" w:cs="Arial"/>
          <w:bCs/>
          <w:color w:val="000000"/>
          <w:szCs w:val="24"/>
          <w:lang w:eastAsia="es-ES_tradnl" w:bidi="es-ES"/>
        </w:rPr>
        <w:lastRenderedPageBreak/>
        <w:t>valor total de los puntos establecidos en los pliegos de condiciones o documento equivalente, a los proponentes que acrediten alguno de los supuestos señalados en el artículo 2.2.1.2.4.2.14 del Decreto 1082 de 2015.</w:t>
      </w:r>
    </w:p>
    <w:p w14:paraId="414B5ADB" w14:textId="77777777" w:rsidR="00B154E7" w:rsidRPr="00A921EA" w:rsidRDefault="00B154E7" w:rsidP="00B154E7">
      <w:pPr>
        <w:pStyle w:val="Prrafodelista"/>
        <w:spacing w:after="120" w:line="276" w:lineRule="auto"/>
        <w:jc w:val="both"/>
        <w:textAlignment w:val="baseline"/>
        <w:rPr>
          <w:rFonts w:ascii="Verdana" w:eastAsia="Calibri" w:hAnsi="Verdana" w:cs="Arial"/>
          <w:bCs/>
          <w:color w:val="000000"/>
          <w:szCs w:val="24"/>
          <w:lang w:eastAsia="es-ES_tradnl" w:bidi="es-ES"/>
        </w:rPr>
      </w:pPr>
    </w:p>
    <w:p w14:paraId="02E96A97" w14:textId="77777777" w:rsidR="00B154E7" w:rsidRPr="00A921EA" w:rsidRDefault="00B154E7" w:rsidP="00B154E7">
      <w:pPr>
        <w:pStyle w:val="Prrafodelista"/>
        <w:numPr>
          <w:ilvl w:val="0"/>
          <w:numId w:val="4"/>
        </w:numPr>
        <w:spacing w:after="120" w:line="276" w:lineRule="auto"/>
        <w:jc w:val="both"/>
        <w:textAlignment w:val="baseline"/>
        <w:rPr>
          <w:rFonts w:ascii="Verdana" w:eastAsia="Calibri" w:hAnsi="Verdana" w:cs="Arial"/>
          <w:bCs/>
          <w:color w:val="000000"/>
          <w:lang w:eastAsia="es-ES_tradnl" w:bidi="es-ES"/>
        </w:rPr>
      </w:pPr>
      <w:r>
        <w:rPr>
          <w:rFonts w:ascii="Verdana" w:eastAsia="Calibri" w:hAnsi="Verdana" w:cs="Arial"/>
        </w:rPr>
        <w:t>Finalmente</w:t>
      </w:r>
      <w:r w:rsidRPr="00A921EA">
        <w:rPr>
          <w:rFonts w:ascii="Verdana" w:eastAsia="Calibri" w:hAnsi="Verdana" w:cs="Arial"/>
        </w:rPr>
        <w:t xml:space="preserve">, de acuerdo con el objeto de su petición, es necesario señalar que el </w:t>
      </w:r>
      <w:r w:rsidRPr="00A921EA">
        <w:rPr>
          <w:rFonts w:ascii="Verdana" w:eastAsia="Times New Roman" w:hAnsi="Verdana" w:cs="Arial"/>
          <w:lang w:eastAsia="es-CO"/>
        </w:rPr>
        <w:t>artículo 2.2.1.2.4.2.15 del Decreto 1082 de 2015 citado, en su numeral 2 señala que se puede incluir como requisito habilitante diferencial para los emprendimientos y empresas de mujeres en los pliegos de condiciones, el “Número de contratos para la acreditación de la experiencia”.</w:t>
      </w:r>
    </w:p>
    <w:p w14:paraId="4FAACCF7" w14:textId="77777777" w:rsidR="00B154E7" w:rsidRPr="005F7148" w:rsidRDefault="00B154E7" w:rsidP="00B154E7">
      <w:pPr>
        <w:spacing w:after="0" w:line="240" w:lineRule="auto"/>
        <w:ind w:left="709" w:right="709"/>
        <w:jc w:val="both"/>
        <w:rPr>
          <w:rFonts w:ascii="Verdana" w:eastAsia="Calibri" w:hAnsi="Verdana" w:cs="Arial"/>
          <w:sz w:val="21"/>
          <w:szCs w:val="21"/>
        </w:rPr>
      </w:pPr>
    </w:p>
    <w:p w14:paraId="6685FCB7" w14:textId="77777777" w:rsidR="00B154E7" w:rsidRPr="00262582" w:rsidRDefault="00B154E7" w:rsidP="00B154E7">
      <w:pPr>
        <w:tabs>
          <w:tab w:val="left" w:pos="142"/>
          <w:tab w:val="left" w:pos="284"/>
        </w:tabs>
        <w:spacing w:after="0" w:line="276" w:lineRule="auto"/>
        <w:jc w:val="both"/>
        <w:rPr>
          <w:rFonts w:ascii="Verdana" w:eastAsia="Century Gothic" w:hAnsi="Verdana" w:cs="Century Gothic"/>
          <w:b/>
          <w:bCs/>
        </w:rPr>
      </w:pPr>
      <w:r w:rsidRPr="00262582">
        <w:rPr>
          <w:rFonts w:ascii="Verdana" w:eastAsia="Century Gothic" w:hAnsi="Verdana" w:cs="Century Gothic"/>
          <w:b/>
          <w:bCs/>
        </w:rPr>
        <w:t>4. Referencias normativas, jurisprudenciales y otras fuentes:</w:t>
      </w:r>
    </w:p>
    <w:p w14:paraId="3D3CF948" w14:textId="77777777" w:rsidR="00B154E7" w:rsidRPr="00262582" w:rsidRDefault="00B154E7" w:rsidP="00B154E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154E7" w:rsidRPr="00262582" w14:paraId="17CFE54D" w14:textId="77777777" w:rsidTr="009612FB">
        <w:trPr>
          <w:trHeight w:val="870"/>
        </w:trPr>
        <w:tc>
          <w:tcPr>
            <w:tcW w:w="8647" w:type="dxa"/>
          </w:tcPr>
          <w:p w14:paraId="67342236" w14:textId="77777777" w:rsidR="00B154E7" w:rsidRPr="00584A97" w:rsidRDefault="00B154E7" w:rsidP="00B154E7">
            <w:pPr>
              <w:pStyle w:val="Prrafodelista"/>
              <w:widowControl w:val="0"/>
              <w:numPr>
                <w:ilvl w:val="0"/>
                <w:numId w:val="1"/>
              </w:numPr>
              <w:autoSpaceDE w:val="0"/>
              <w:autoSpaceDN w:val="0"/>
              <w:spacing w:line="276" w:lineRule="auto"/>
              <w:jc w:val="both"/>
              <w:rPr>
                <w:rFonts w:ascii="Verdana" w:hAnsi="Verdana" w:cs="Arial"/>
              </w:rPr>
            </w:pPr>
            <w:r w:rsidRPr="00584A97">
              <w:rPr>
                <w:rFonts w:ascii="Verdana" w:hAnsi="Verdana" w:cs="Arial"/>
              </w:rPr>
              <w:t>Ley 2069 de 2020, artículo 32.</w:t>
            </w:r>
          </w:p>
          <w:p w14:paraId="56115067" w14:textId="77777777" w:rsidR="00B154E7" w:rsidRPr="00584A97" w:rsidRDefault="00B154E7" w:rsidP="00B154E7">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84A97">
              <w:rPr>
                <w:rFonts w:ascii="Verdana" w:hAnsi="Verdana" w:cs="Arial"/>
              </w:rPr>
              <w:t xml:space="preserve">Decreto 1082 de 2015, </w:t>
            </w:r>
            <w:r w:rsidRPr="00584A97">
              <w:rPr>
                <w:rFonts w:ascii="Verdana" w:eastAsia="Calibri" w:hAnsi="Verdana" w:cs="Arial"/>
                <w:bCs/>
                <w:color w:val="000000"/>
                <w:szCs w:val="24"/>
                <w:lang w:eastAsia="es-ES_tradnl" w:bidi="es-ES"/>
              </w:rPr>
              <w:t xml:space="preserve">2.2.1.2.4.2.14 y </w:t>
            </w:r>
            <w:r w:rsidRPr="00584A97">
              <w:rPr>
                <w:rFonts w:ascii="Verdana" w:eastAsia="Times New Roman" w:hAnsi="Verdana" w:cs="Arial"/>
                <w:lang w:eastAsia="es-CO"/>
              </w:rPr>
              <w:t>2.2.1.2.4.2.15.</w:t>
            </w:r>
          </w:p>
          <w:p w14:paraId="714650A3" w14:textId="77777777" w:rsidR="00B154E7" w:rsidRPr="00584A97" w:rsidRDefault="00B154E7" w:rsidP="00B154E7">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B127B">
              <w:rPr>
                <w:rFonts w:ascii="Verdana" w:eastAsia="Calibri" w:hAnsi="Verdana" w:cs="Arial"/>
                <w:color w:val="000000" w:themeColor="text1"/>
                <w:lang w:val="es-ES_tradnl" w:eastAsia="es-ES_tradnl"/>
              </w:rPr>
              <w:t>Decreto 1860 de 2021</w:t>
            </w:r>
            <w:r>
              <w:rPr>
                <w:rFonts w:ascii="Verdana" w:eastAsia="Calibri" w:hAnsi="Verdana" w:cs="Arial"/>
                <w:color w:val="000000" w:themeColor="text1"/>
                <w:lang w:val="es-ES_tradnl" w:eastAsia="es-ES_tradnl"/>
              </w:rPr>
              <w:t>,</w:t>
            </w:r>
            <w:r w:rsidRPr="00FB127B">
              <w:rPr>
                <w:rFonts w:ascii="Verdana" w:eastAsia="Calibri" w:hAnsi="Verdana" w:cs="Arial"/>
                <w:color w:val="000000" w:themeColor="text1"/>
                <w:lang w:val="es-ES_tradnl" w:eastAsia="es-ES_tradnl"/>
              </w:rPr>
              <w:t xml:space="preserve"> artículo 1</w:t>
            </w:r>
            <w:r>
              <w:rPr>
                <w:rFonts w:ascii="Verdana" w:eastAsia="Calibri" w:hAnsi="Verdana" w:cs="Arial"/>
                <w:color w:val="000000" w:themeColor="text1"/>
                <w:lang w:val="es-ES_tradnl" w:eastAsia="es-ES_tradnl"/>
              </w:rPr>
              <w:t>.</w:t>
            </w:r>
          </w:p>
          <w:p w14:paraId="31907986" w14:textId="77777777" w:rsidR="00B154E7" w:rsidRPr="00584A97" w:rsidRDefault="00B154E7" w:rsidP="00B154E7">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eastAsia="Calibri" w:hAnsi="Verdana" w:cs="Arial"/>
                <w:color w:val="000000" w:themeColor="text1"/>
                <w:lang w:val="es-ES_tradnl" w:eastAsia="es-ES_tradnl"/>
              </w:rPr>
              <w:t>Código de Comercio, artículo 20, 21, 25, 26 y 28.</w:t>
            </w:r>
          </w:p>
          <w:p w14:paraId="0E92CA59" w14:textId="77777777" w:rsidR="00B154E7" w:rsidRDefault="00B154E7" w:rsidP="00B154E7">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84A97">
              <w:rPr>
                <w:rFonts w:ascii="Verdana" w:hAnsi="Verdana" w:cs="Arial"/>
              </w:rPr>
              <w:t>DE LA TORRE, Ramon Eduardo Madrinan. Principios de derecho comercial. Temis, 1980</w:t>
            </w:r>
          </w:p>
          <w:p w14:paraId="30696271" w14:textId="77777777" w:rsidR="00B154E7" w:rsidRDefault="00B154E7" w:rsidP="00B154E7">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84A97">
              <w:rPr>
                <w:rFonts w:ascii="Verdana" w:hAnsi="Verdana" w:cs="Arial"/>
              </w:rPr>
              <w:t>CÁRDENAS, Luis Gonzalo Baena, et al. Lecciones de derecho mercantil, 2. Books, 2013, vol. 1.</w:t>
            </w:r>
          </w:p>
          <w:p w14:paraId="55F26609" w14:textId="77777777" w:rsidR="00B154E7" w:rsidRDefault="00B154E7" w:rsidP="00B154E7">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84A97">
              <w:rPr>
                <w:rFonts w:ascii="Verdana" w:hAnsi="Verdana" w:cs="Arial"/>
              </w:rPr>
              <w:t>LINARES VESGA, Jesús Ángel. Curso de derecho comercial: parte general. Bogotá: _Grupo Editorial Ibáñez,, 2013</w:t>
            </w:r>
            <w:r>
              <w:rPr>
                <w:rFonts w:ascii="Verdana" w:hAnsi="Verdana" w:cs="Arial"/>
              </w:rPr>
              <w:t>.</w:t>
            </w:r>
          </w:p>
          <w:p w14:paraId="4F415111" w14:textId="77777777" w:rsidR="00B154E7" w:rsidRPr="00262582" w:rsidRDefault="00B154E7" w:rsidP="00B154E7">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7240DB">
              <w:rPr>
                <w:rFonts w:ascii="Verdana" w:hAnsi="Verdana" w:cs="Arial"/>
                <w:lang w:val="pt-BR"/>
              </w:rPr>
              <w:t xml:space="preserve">PINZÓN, Gabino; SÁNCHEZ, Jorge Pinzón. </w:t>
            </w:r>
            <w:r w:rsidRPr="00584A97">
              <w:rPr>
                <w:rFonts w:ascii="Verdana" w:hAnsi="Verdana" w:cs="Arial"/>
              </w:rPr>
              <w:t>Introducción al derecho comercial. 1985.</w:t>
            </w:r>
          </w:p>
        </w:tc>
      </w:tr>
    </w:tbl>
    <w:p w14:paraId="1D9C7292" w14:textId="77777777" w:rsidR="00B154E7" w:rsidRPr="00262582" w:rsidRDefault="00B154E7" w:rsidP="00B154E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5E41C57" w14:textId="77777777" w:rsidR="00B154E7" w:rsidRPr="00262582" w:rsidRDefault="00B154E7" w:rsidP="00B154E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62582">
        <w:rPr>
          <w:rFonts w:ascii="Verdana" w:eastAsia="Century Gothic" w:hAnsi="Verdana" w:cs="Century Gothic"/>
          <w:b/>
          <w:bCs/>
        </w:rPr>
        <w:t>5. Doctrina de la Agencia Nacional de Contratación Pública:</w:t>
      </w:r>
    </w:p>
    <w:p w14:paraId="6B1FEC27" w14:textId="77777777" w:rsidR="00B154E7" w:rsidRPr="00262582" w:rsidRDefault="00B154E7" w:rsidP="00B154E7">
      <w:pPr>
        <w:spacing w:after="0" w:line="276" w:lineRule="auto"/>
        <w:ind w:firstLine="709"/>
        <w:jc w:val="both"/>
        <w:rPr>
          <w:rFonts w:ascii="Verdana" w:eastAsia="Times New Roman" w:hAnsi="Verdana" w:cs="Arial"/>
          <w:szCs w:val="24"/>
          <w:lang w:val="es-ES" w:eastAsia="es-ES_tradnl"/>
        </w:rPr>
      </w:pPr>
    </w:p>
    <w:p w14:paraId="42B37700" w14:textId="77777777" w:rsidR="00B154E7" w:rsidRDefault="00B154E7" w:rsidP="00B154E7">
      <w:pPr>
        <w:widowControl w:val="0"/>
        <w:autoSpaceDE w:val="0"/>
        <w:autoSpaceDN w:val="0"/>
        <w:spacing w:after="0" w:line="276" w:lineRule="auto"/>
        <w:jc w:val="both"/>
        <w:rPr>
          <w:rFonts w:ascii="Verdana" w:eastAsia="Calibri" w:hAnsi="Verdana" w:cs="Arial"/>
          <w:lang w:eastAsia="es-ES_tradnl"/>
        </w:rPr>
      </w:pPr>
      <w:r w:rsidRPr="00262582">
        <w:rPr>
          <w:rFonts w:ascii="Verdana" w:eastAsia="Calibri" w:hAnsi="Verdana" w:cs="Arial"/>
          <w:lang w:val="es-ES_tradnl" w:eastAsia="es-ES_tradnl"/>
        </w:rPr>
        <w:t xml:space="preserve">Sobre los criterios diferenciales para emprendimientos y empresas de mujeres y su decreto reglamentario, se pronunció esta Subdirección en los conceptos </w:t>
      </w:r>
      <w:r w:rsidRPr="00262582">
        <w:rPr>
          <w:rFonts w:ascii="Verdana" w:eastAsia="Calibri" w:hAnsi="Verdana" w:cs="Arial"/>
          <w:lang w:val="es-MX"/>
        </w:rPr>
        <w:t xml:space="preserve">No. C-029 del 21 de febrero de 2021, C-037 del 26 de febrero de 2021, C-141 del 8 de abril de 2021, C-114 del 13 de abril de 2021, C-031 del 1 de marzo de 2022, 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w:t>
      </w:r>
      <w:r w:rsidRPr="00262582">
        <w:rPr>
          <w:rFonts w:ascii="Verdana" w:eastAsia="Calibri" w:hAnsi="Verdana" w:cs="Arial"/>
          <w:lang w:val="es-MX"/>
        </w:rPr>
        <w:lastRenderedPageBreak/>
        <w:t>junio de 2022, C-479 del 26 de julio de 2022, C-504 del 8 de agosto de 2022, C-522 del 16 de agosto de 2022, C-587 del 21 de septiembre de 2022, C- 626 del 29 de septiembre de 2022, C- 631 del 30 de septiembre de 2022, C-642 del 10 de octubre de 2022, C-676 del 24 de octubre de 2022, C-677 del 25 de octubre de 2022, C-696 de 26 de octubre de 2022, C-709 del 25 de octubre de 2022, C-715 del 4 de noviembre de 2022, C-781 del 25 de noviembre de 2022 y C-865 del 19 de diciembre de 2022</w:t>
      </w:r>
      <w:r w:rsidRPr="00262582">
        <w:rPr>
          <w:rFonts w:ascii="Verdana" w:eastAsia="Calibri" w:hAnsi="Verdana" w:cs="Arial"/>
          <w:lang w:val="es-ES" w:eastAsia="es-ES_tradnl"/>
        </w:rPr>
        <w:t xml:space="preserve">. </w:t>
      </w:r>
      <w:r w:rsidRPr="00A565E6">
        <w:rPr>
          <w:rFonts w:ascii="Verdana" w:eastAsia="Calibri" w:hAnsi="Verdana" w:cs="Arial"/>
          <w:lang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ooltip="Dirección URL original: https://relatoria.colombiacompra.gov.co/. Haga clic o pulse si confía en este vínculo." w:history="1">
        <w:r w:rsidRPr="00A565E6">
          <w:rPr>
            <w:rStyle w:val="Hipervnculo"/>
            <w:rFonts w:ascii="Verdana" w:eastAsia="Calibri" w:hAnsi="Verdana" w:cs="Arial"/>
            <w:lang w:eastAsia="es-ES_tradnl"/>
          </w:rPr>
          <w:t>https://relatoria.colombiacompra.gov.co/</w:t>
        </w:r>
      </w:hyperlink>
      <w:r w:rsidRPr="00A565E6">
        <w:rPr>
          <w:rFonts w:ascii="Verdana" w:eastAsia="Calibri" w:hAnsi="Verdana" w:cs="Arial"/>
          <w:lang w:eastAsia="es-ES_tradnl"/>
        </w:rPr>
        <w:t> . Te invitamos también a revisar la tercera edición del  Boletín de Relatoría de 2024 en el cual podrás consultar en detalle el marco normativo de documentos tipo:</w:t>
      </w:r>
    </w:p>
    <w:p w14:paraId="79E904F3" w14:textId="77777777" w:rsidR="00B154E7" w:rsidRPr="00262582" w:rsidRDefault="00B154E7" w:rsidP="00B154E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A565E6">
        <w:rPr>
          <w:rFonts w:ascii="Verdana" w:eastAsia="Calibri" w:hAnsi="Verdana" w:cs="Arial"/>
          <w:lang w:eastAsia="es-ES_tradnl"/>
        </w:rPr>
        <w:t xml:space="preserve"> </w:t>
      </w:r>
      <w:hyperlink r:id="rId12" w:tooltip="Dirección URL original: https://www.colombiacompra.gov.co/sites/cce_public/files/files_2020/boletin_de_realtoria_iii.pdf. Haga clic o pulse si confía en este vínculo." w:history="1">
        <w:r w:rsidRPr="00A565E6">
          <w:rPr>
            <w:rStyle w:val="Hipervnculo"/>
            <w:rFonts w:ascii="Verdana" w:eastAsia="Calibri" w:hAnsi="Verdana" w:cs="Arial"/>
            <w:lang w:eastAsia="es-ES_tradnl"/>
          </w:rPr>
          <w:t>https://www.colombiacompra.gov.co/sites/cce_public/files/files_2020/boletin_de_realtoria_iii.pdf</w:t>
        </w:r>
      </w:hyperlink>
    </w:p>
    <w:p w14:paraId="7B6FE931" w14:textId="77777777" w:rsidR="00B154E7" w:rsidRPr="00262582" w:rsidRDefault="00B154E7" w:rsidP="00B154E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0F51F404" w14:textId="77777777" w:rsidR="00B154E7" w:rsidRDefault="00B154E7" w:rsidP="00B154E7">
      <w:pPr>
        <w:spacing w:after="0" w:line="240" w:lineRule="auto"/>
        <w:jc w:val="both"/>
        <w:rPr>
          <w:rFonts w:ascii="Verdana" w:hAnsi="Verdana" w:cs="Arial"/>
          <w:color w:val="000000" w:themeColor="text1"/>
          <w:shd w:val="clear" w:color="auto" w:fill="FFFFFF"/>
        </w:rPr>
      </w:pPr>
      <w:r w:rsidRPr="009A2653">
        <w:rPr>
          <w:rFonts w:ascii="Verdana" w:hAnsi="Verdana" w:cs="Arial"/>
          <w:color w:val="000000" w:themeColor="text1"/>
          <w:shd w:val="clear" w:color="auto" w:fill="FFFFFF"/>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w:t>
      </w:r>
    </w:p>
    <w:p w14:paraId="560AF0A1" w14:textId="77777777" w:rsidR="00B154E7" w:rsidRDefault="00B154E7" w:rsidP="00B154E7">
      <w:pPr>
        <w:spacing w:after="0" w:line="240" w:lineRule="auto"/>
        <w:jc w:val="both"/>
        <w:rPr>
          <w:rFonts w:ascii="Verdana" w:hAnsi="Verdana" w:cs="Arial"/>
          <w:color w:val="000000" w:themeColor="text1"/>
          <w:shd w:val="clear" w:color="auto" w:fill="FFFFFF"/>
          <w:lang w:val="es-ES"/>
        </w:rPr>
      </w:pPr>
      <w:r w:rsidRPr="009A2653">
        <w:rPr>
          <w:rFonts w:ascii="Verdana" w:hAnsi="Verdana" w:cs="Arial"/>
          <w:color w:val="000000" w:themeColor="text1"/>
          <w:shd w:val="clear" w:color="auto" w:fill="FFFFFF"/>
        </w:rPr>
        <w:t xml:space="preserve"> </w:t>
      </w:r>
      <w:hyperlink r:id="rId13" w:tooltip="Dirección URL original: https://www.sucop.gov.co/entidades/colombiacompra/Normativa?IDNorma=17363. Haga clic o pulse si confía en este vínculo." w:history="1">
        <w:r w:rsidRPr="009A2653">
          <w:rPr>
            <w:rStyle w:val="Hipervnculo"/>
            <w:rFonts w:ascii="Verdana" w:hAnsi="Verdana" w:cs="Arial"/>
            <w:shd w:val="clear" w:color="auto" w:fill="FFFFFF"/>
          </w:rPr>
          <w:t>https://www.sucop.gov.co/entidades/colombiacompra/Normativa?IDNorma=17363</w:t>
        </w:r>
      </w:hyperlink>
      <w:r w:rsidRPr="009A2653">
        <w:rPr>
          <w:rFonts w:ascii="Verdana" w:hAnsi="Verdana" w:cs="Arial"/>
          <w:color w:val="000000" w:themeColor="text1"/>
          <w:shd w:val="clear" w:color="auto" w:fill="FFFFFF"/>
        </w:rPr>
        <w:t xml:space="preserve"> y </w:t>
      </w:r>
      <w:hyperlink r:id="rId14" w:tooltip="Dirección URL original: https://www.colombiacompra.gov.co/content/convocatorias. Haga clic o pulse si confía en este vínculo." w:history="1">
        <w:r w:rsidRPr="009A2653">
          <w:rPr>
            <w:rStyle w:val="Hipervnculo"/>
            <w:rFonts w:ascii="Verdana" w:hAnsi="Verdana" w:cs="Arial"/>
            <w:shd w:val="clear" w:color="auto" w:fill="FFFFFF"/>
          </w:rPr>
          <w:t>https://www.colombiacompra.gov.co/content/convocatorias</w:t>
        </w:r>
      </w:hyperlink>
    </w:p>
    <w:p w14:paraId="7CBE2CA6" w14:textId="77777777" w:rsidR="00B154E7" w:rsidRPr="00262582" w:rsidRDefault="00B154E7" w:rsidP="00B154E7">
      <w:pPr>
        <w:spacing w:after="0" w:line="240" w:lineRule="auto"/>
        <w:jc w:val="both"/>
        <w:rPr>
          <w:rFonts w:ascii="Verdana" w:hAnsi="Verdana"/>
        </w:rPr>
      </w:pPr>
    </w:p>
    <w:p w14:paraId="26C3C62E" w14:textId="77777777" w:rsidR="00B154E7" w:rsidRPr="00262582" w:rsidRDefault="00B154E7" w:rsidP="00B154E7">
      <w:pPr>
        <w:spacing w:after="0" w:line="240" w:lineRule="auto"/>
        <w:jc w:val="both"/>
        <w:rPr>
          <w:rFonts w:ascii="Verdana" w:hAnsi="Verdana"/>
        </w:rPr>
      </w:pPr>
      <w:r w:rsidRPr="00262582">
        <w:rPr>
          <w:rFonts w:ascii="Verdana" w:hAnsi="Verdana"/>
        </w:rPr>
        <w:t xml:space="preserve">Por último, lo invitamos a seguirnos en las redes sociales en las cuales se difunde información institucional: </w:t>
      </w:r>
    </w:p>
    <w:p w14:paraId="3F969F83" w14:textId="77777777" w:rsidR="00B154E7" w:rsidRPr="00262582" w:rsidRDefault="00B154E7" w:rsidP="00B154E7">
      <w:pPr>
        <w:spacing w:after="0" w:line="240" w:lineRule="auto"/>
        <w:jc w:val="both"/>
        <w:rPr>
          <w:rFonts w:ascii="Verdana" w:hAnsi="Verdana"/>
        </w:rPr>
      </w:pPr>
    </w:p>
    <w:p w14:paraId="10724567" w14:textId="77777777" w:rsidR="00B154E7" w:rsidRPr="00262582" w:rsidRDefault="00B154E7" w:rsidP="00B154E7">
      <w:pPr>
        <w:spacing w:after="0" w:line="240" w:lineRule="auto"/>
        <w:jc w:val="both"/>
        <w:rPr>
          <w:rFonts w:ascii="Verdana" w:hAnsi="Verdana"/>
        </w:rPr>
      </w:pPr>
      <w:r w:rsidRPr="00262582">
        <w:rPr>
          <w:rFonts w:ascii="Verdana" w:hAnsi="Verdana"/>
        </w:rPr>
        <w:t xml:space="preserve">Twitter: </w:t>
      </w:r>
      <w:r w:rsidRPr="00262582">
        <w:rPr>
          <w:rStyle w:val="Hipervnculo"/>
          <w:rFonts w:ascii="Verdana" w:hAnsi="Verdana"/>
          <w:color w:val="4472C4" w:themeColor="accent1"/>
        </w:rPr>
        <w:t>@colombiacompra</w:t>
      </w:r>
      <w:r w:rsidRPr="00262582">
        <w:rPr>
          <w:rFonts w:ascii="Verdana" w:hAnsi="Verdana"/>
          <w:color w:val="4472C4" w:themeColor="accent1"/>
        </w:rPr>
        <w:t xml:space="preserve"> </w:t>
      </w:r>
    </w:p>
    <w:p w14:paraId="0ADD279C" w14:textId="77777777" w:rsidR="00B154E7" w:rsidRPr="00262582" w:rsidRDefault="00B154E7" w:rsidP="00B154E7">
      <w:pPr>
        <w:spacing w:after="0" w:line="240" w:lineRule="auto"/>
        <w:jc w:val="both"/>
        <w:rPr>
          <w:rFonts w:ascii="Verdana" w:hAnsi="Verdana"/>
        </w:rPr>
      </w:pPr>
      <w:r w:rsidRPr="00262582">
        <w:rPr>
          <w:rFonts w:ascii="Verdana" w:hAnsi="Verdana"/>
        </w:rPr>
        <w:t xml:space="preserve">Facebook: </w:t>
      </w:r>
      <w:r w:rsidRPr="00262582">
        <w:rPr>
          <w:rStyle w:val="Hipervnculo"/>
          <w:rFonts w:ascii="Verdana" w:hAnsi="Verdana"/>
          <w:color w:val="4472C4" w:themeColor="accent1"/>
        </w:rPr>
        <w:t>ColombiaCompraEficiente</w:t>
      </w:r>
    </w:p>
    <w:p w14:paraId="61453F12" w14:textId="77777777" w:rsidR="00B154E7" w:rsidRPr="00262582" w:rsidRDefault="00B154E7" w:rsidP="00B154E7">
      <w:pPr>
        <w:spacing w:after="0" w:line="240" w:lineRule="auto"/>
        <w:jc w:val="both"/>
        <w:rPr>
          <w:rFonts w:ascii="Verdana" w:hAnsi="Verdana"/>
        </w:rPr>
      </w:pPr>
      <w:r w:rsidRPr="00262582">
        <w:rPr>
          <w:rFonts w:ascii="Verdana" w:hAnsi="Verdana"/>
        </w:rPr>
        <w:t xml:space="preserve">LinkedIn: </w:t>
      </w:r>
      <w:r w:rsidRPr="00262582">
        <w:rPr>
          <w:rStyle w:val="Hipervnculo"/>
          <w:rFonts w:ascii="Verdana" w:hAnsi="Verdana"/>
          <w:color w:val="4472C4" w:themeColor="accent1"/>
        </w:rPr>
        <w:t>Agencia Nacional de Contratación Pública - Colombia Compra Eficiente</w:t>
      </w:r>
      <w:r w:rsidRPr="00262582">
        <w:rPr>
          <w:rFonts w:ascii="Verdana" w:hAnsi="Verdana"/>
          <w:color w:val="4472C4" w:themeColor="accent1"/>
        </w:rPr>
        <w:t xml:space="preserve"> </w:t>
      </w:r>
      <w:r w:rsidRPr="00262582">
        <w:rPr>
          <w:rFonts w:ascii="Verdana" w:hAnsi="Verdana"/>
        </w:rPr>
        <w:t xml:space="preserve">Instagram: </w:t>
      </w:r>
      <w:r w:rsidRPr="00262582">
        <w:rPr>
          <w:rStyle w:val="Hipervnculo"/>
          <w:rFonts w:ascii="Verdana" w:hAnsi="Verdana"/>
          <w:color w:val="4472C4" w:themeColor="accent1"/>
        </w:rPr>
        <w:t>@colombiacompraeficiente_cce</w:t>
      </w:r>
    </w:p>
    <w:p w14:paraId="3891869B" w14:textId="77777777" w:rsidR="00B154E7" w:rsidRPr="0044528D" w:rsidRDefault="00B154E7" w:rsidP="00B154E7">
      <w:pPr>
        <w:widowControl w:val="0"/>
        <w:autoSpaceDE w:val="0"/>
        <w:autoSpaceDN w:val="0"/>
        <w:spacing w:after="0" w:line="276" w:lineRule="auto"/>
        <w:jc w:val="both"/>
        <w:rPr>
          <w:rFonts w:ascii="Verdana" w:hAnsi="Verdana"/>
        </w:rPr>
      </w:pPr>
    </w:p>
    <w:p w14:paraId="41E5C5D2" w14:textId="77777777" w:rsidR="00B154E7" w:rsidRPr="00262582" w:rsidRDefault="00B154E7" w:rsidP="00B154E7">
      <w:pPr>
        <w:widowControl w:val="0"/>
        <w:autoSpaceDE w:val="0"/>
        <w:autoSpaceDN w:val="0"/>
        <w:spacing w:after="0" w:line="276" w:lineRule="auto"/>
        <w:jc w:val="both"/>
        <w:rPr>
          <w:rFonts w:ascii="Verdana" w:hAnsi="Verdana" w:cs="Arial"/>
          <w:lang w:val="es-ES_tradnl"/>
        </w:rPr>
      </w:pPr>
      <w:r w:rsidRPr="00262582">
        <w:rPr>
          <w:rFonts w:ascii="Verdana" w:hAnsi="Verdana" w:cs="Arial"/>
        </w:rPr>
        <w:t xml:space="preserve">Este concepto tiene el alcance previsto en el artículo 28 del Código de Procedimiento Administrativo y de lo Contencioso Administrativo </w:t>
      </w:r>
      <w:r w:rsidRPr="00262582">
        <w:rPr>
          <w:rFonts w:ascii="Verdana" w:hAnsi="Verdana" w:cs="Arial"/>
          <w:lang w:val="es-ES_tradnl"/>
        </w:rPr>
        <w:t xml:space="preserve">y las expresiones aquí utilizadas con mayúscula inicial deben ser entendidas con el </w:t>
      </w:r>
      <w:r w:rsidRPr="00262582">
        <w:rPr>
          <w:rFonts w:ascii="Verdana" w:hAnsi="Verdana" w:cs="Arial"/>
          <w:lang w:val="es-ES_tradnl"/>
        </w:rPr>
        <w:lastRenderedPageBreak/>
        <w:t>significado que les otorga el artículo 2.2.1.1.1.3.1. del Decreto 1082 de 2015.</w:t>
      </w:r>
    </w:p>
    <w:p w14:paraId="26E2D724" w14:textId="77777777" w:rsidR="00B154E7" w:rsidRPr="00262582" w:rsidRDefault="00B154E7" w:rsidP="00B154E7">
      <w:pPr>
        <w:spacing w:after="0" w:line="276" w:lineRule="auto"/>
        <w:ind w:firstLine="709"/>
        <w:jc w:val="both"/>
        <w:rPr>
          <w:rFonts w:ascii="Verdana" w:eastAsia="Times New Roman" w:hAnsi="Verdana" w:cs="Arial"/>
          <w:szCs w:val="24"/>
          <w:lang w:val="es-ES_tradnl" w:eastAsia="es-ES_tradnl"/>
        </w:rPr>
      </w:pPr>
    </w:p>
    <w:p w14:paraId="67644F5A" w14:textId="77777777" w:rsidR="00B154E7" w:rsidRPr="00262582" w:rsidRDefault="00B154E7" w:rsidP="00B154E7">
      <w:pPr>
        <w:spacing w:after="0" w:line="276" w:lineRule="auto"/>
        <w:jc w:val="both"/>
        <w:rPr>
          <w:rFonts w:ascii="Verdana" w:eastAsia="Times New Roman" w:hAnsi="Verdana" w:cs="Arial"/>
          <w:lang w:val="es-ES_tradnl" w:eastAsia="es-CO"/>
        </w:rPr>
      </w:pPr>
      <w:bookmarkStart w:id="2" w:name="_Hlk117695077"/>
      <w:r w:rsidRPr="00262582">
        <w:rPr>
          <w:rFonts w:ascii="Verdana" w:eastAsia="Times New Roman" w:hAnsi="Verdana" w:cs="Arial"/>
          <w:lang w:val="es-ES_tradnl" w:eastAsia="es-CO"/>
        </w:rPr>
        <w:t>Atentamente,</w:t>
      </w:r>
    </w:p>
    <w:bookmarkEnd w:id="2"/>
    <w:p w14:paraId="0A8E52CE" w14:textId="6318D82D" w:rsidR="00B154E7" w:rsidRPr="00262582" w:rsidRDefault="00B15B52" w:rsidP="00B154E7">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0EEB27FC" wp14:editId="6E6998CE">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636"/>
      </w:tblGrid>
      <w:tr w:rsidR="00B154E7" w:rsidRPr="00262582" w14:paraId="7E57EA7D" w14:textId="77777777" w:rsidTr="009612FB">
        <w:trPr>
          <w:trHeight w:val="286"/>
        </w:trPr>
        <w:tc>
          <w:tcPr>
            <w:tcW w:w="893" w:type="dxa"/>
            <w:vAlign w:val="center"/>
            <w:hideMark/>
          </w:tcPr>
          <w:p w14:paraId="110B689A" w14:textId="77777777" w:rsidR="00B154E7" w:rsidRPr="00262582" w:rsidRDefault="00B154E7" w:rsidP="009612FB">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Elaboró:</w:t>
            </w:r>
          </w:p>
        </w:tc>
        <w:tc>
          <w:tcPr>
            <w:tcW w:w="4636" w:type="dxa"/>
            <w:tcBorders>
              <w:top w:val="nil"/>
              <w:left w:val="nil"/>
              <w:bottom w:val="dotted" w:sz="4" w:space="0" w:color="7F7F7F"/>
              <w:right w:val="nil"/>
            </w:tcBorders>
            <w:vAlign w:val="center"/>
            <w:hideMark/>
          </w:tcPr>
          <w:p w14:paraId="7DB8A585" w14:textId="77777777" w:rsidR="00B154E7" w:rsidRPr="00262582" w:rsidRDefault="00B154E7" w:rsidP="009612FB">
            <w:pPr>
              <w:rPr>
                <w:rFonts w:ascii="Verdana" w:eastAsia="Times New Roman" w:hAnsi="Verdana" w:cs="Arial"/>
                <w:sz w:val="16"/>
                <w:szCs w:val="16"/>
                <w:lang w:val="es-ES_tradnl" w:eastAsia="es-ES"/>
              </w:rPr>
            </w:pPr>
            <w:r w:rsidRPr="00262582">
              <w:rPr>
                <w:rFonts w:ascii="Verdana" w:eastAsia="Times New Roman" w:hAnsi="Verdana" w:cs="Arial"/>
                <w:sz w:val="16"/>
                <w:szCs w:val="16"/>
                <w:lang w:val="es-ES_tradnl" w:eastAsia="es-ES"/>
              </w:rPr>
              <w:t>Sergio Caballero</w:t>
            </w:r>
          </w:p>
          <w:p w14:paraId="2FB2EDC2" w14:textId="77777777" w:rsidR="00B154E7" w:rsidRPr="00262582" w:rsidRDefault="00B154E7" w:rsidP="009612FB">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Analista T1-1 de la Subdirección de Gestión Contractual</w:t>
            </w:r>
          </w:p>
        </w:tc>
      </w:tr>
      <w:tr w:rsidR="00B154E7" w:rsidRPr="00262582" w14:paraId="56070EBA" w14:textId="77777777" w:rsidTr="009612FB">
        <w:trPr>
          <w:trHeight w:val="299"/>
        </w:trPr>
        <w:tc>
          <w:tcPr>
            <w:tcW w:w="893" w:type="dxa"/>
            <w:vAlign w:val="center"/>
            <w:hideMark/>
          </w:tcPr>
          <w:p w14:paraId="0DCBB466" w14:textId="77777777" w:rsidR="00B154E7" w:rsidRPr="00262582" w:rsidRDefault="00B154E7" w:rsidP="009612FB">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Revisó:</w:t>
            </w:r>
          </w:p>
        </w:tc>
        <w:tc>
          <w:tcPr>
            <w:tcW w:w="4636" w:type="dxa"/>
            <w:tcBorders>
              <w:top w:val="dotted" w:sz="4" w:space="0" w:color="7F7F7F"/>
              <w:left w:val="nil"/>
              <w:bottom w:val="dotted" w:sz="4" w:space="0" w:color="7F7F7F"/>
              <w:right w:val="nil"/>
            </w:tcBorders>
            <w:vAlign w:val="center"/>
            <w:hideMark/>
          </w:tcPr>
          <w:p w14:paraId="5AD4719D" w14:textId="77777777" w:rsidR="00B154E7" w:rsidRPr="00262582" w:rsidRDefault="00B154E7" w:rsidP="009612FB">
            <w:pPr>
              <w:rPr>
                <w:rFonts w:ascii="Verdana" w:eastAsia="Times New Roman" w:hAnsi="Verdana" w:cs="Arial"/>
                <w:sz w:val="16"/>
                <w:szCs w:val="16"/>
                <w:lang w:val="es-ES_tradnl" w:eastAsia="es-ES"/>
              </w:rPr>
            </w:pPr>
            <w:r w:rsidRPr="00262582">
              <w:rPr>
                <w:rFonts w:ascii="Verdana" w:eastAsia="Times New Roman" w:hAnsi="Verdana" w:cs="Arial"/>
                <w:sz w:val="16"/>
                <w:szCs w:val="16"/>
                <w:lang w:val="es-ES_tradnl" w:eastAsia="es-ES"/>
              </w:rPr>
              <w:t>Juan David Cárdenas</w:t>
            </w:r>
            <w:r>
              <w:rPr>
                <w:rFonts w:ascii="Verdana" w:eastAsia="Times New Roman" w:hAnsi="Verdana" w:cs="Arial"/>
                <w:sz w:val="16"/>
                <w:szCs w:val="16"/>
                <w:lang w:val="es-ES_tradnl" w:eastAsia="es-ES"/>
              </w:rPr>
              <w:t xml:space="preserve"> Cabeza</w:t>
            </w:r>
          </w:p>
          <w:p w14:paraId="23177598" w14:textId="77777777" w:rsidR="00B154E7" w:rsidRPr="00262582" w:rsidRDefault="00B154E7" w:rsidP="009612FB">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Contratista de la Subdirección de Gestión Contractual</w:t>
            </w:r>
          </w:p>
        </w:tc>
      </w:tr>
      <w:tr w:rsidR="00B154E7" w:rsidRPr="00262582" w14:paraId="3E2218BE" w14:textId="77777777" w:rsidTr="009612FB">
        <w:trPr>
          <w:trHeight w:val="272"/>
        </w:trPr>
        <w:tc>
          <w:tcPr>
            <w:tcW w:w="893" w:type="dxa"/>
            <w:vAlign w:val="center"/>
            <w:hideMark/>
          </w:tcPr>
          <w:p w14:paraId="67CCCC7C" w14:textId="77777777" w:rsidR="00B154E7" w:rsidRPr="00262582" w:rsidRDefault="00B154E7" w:rsidP="009612FB">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Aprobó:</w:t>
            </w:r>
          </w:p>
        </w:tc>
        <w:tc>
          <w:tcPr>
            <w:tcW w:w="4636" w:type="dxa"/>
            <w:tcBorders>
              <w:top w:val="dotted" w:sz="4" w:space="0" w:color="7F7F7F"/>
              <w:left w:val="nil"/>
              <w:bottom w:val="dotted" w:sz="4" w:space="0" w:color="7F7F7F"/>
              <w:right w:val="nil"/>
            </w:tcBorders>
            <w:vAlign w:val="center"/>
            <w:hideMark/>
          </w:tcPr>
          <w:p w14:paraId="36CDA5DC" w14:textId="77777777" w:rsidR="00B154E7" w:rsidRPr="00262582" w:rsidRDefault="00B154E7" w:rsidP="009612FB">
            <w:pPr>
              <w:rPr>
                <w:rFonts w:ascii="Verdana" w:eastAsia="Times New Roman" w:hAnsi="Verdana" w:cs="Arial"/>
                <w:sz w:val="16"/>
                <w:szCs w:val="16"/>
                <w:lang w:eastAsia="es-ES"/>
              </w:rPr>
            </w:pPr>
            <w:r w:rsidRPr="00262582">
              <w:rPr>
                <w:rFonts w:ascii="Verdana" w:eastAsia="Times New Roman" w:hAnsi="Verdana" w:cs="Arial"/>
                <w:sz w:val="16"/>
                <w:szCs w:val="16"/>
                <w:lang w:eastAsia="es-ES"/>
              </w:rPr>
              <w:t>Carolina Quintero Gacharná</w:t>
            </w:r>
          </w:p>
          <w:p w14:paraId="0A60C995" w14:textId="77777777" w:rsidR="00B154E7" w:rsidRPr="00262582" w:rsidRDefault="00B154E7" w:rsidP="009612FB">
            <w:pPr>
              <w:rPr>
                <w:rFonts w:ascii="Verdana" w:eastAsia="Times New Roman" w:hAnsi="Verdana" w:cs="Arial"/>
                <w:sz w:val="14"/>
                <w:szCs w:val="14"/>
                <w:lang w:eastAsia="es-ES"/>
              </w:rPr>
            </w:pPr>
            <w:r w:rsidRPr="00262582">
              <w:rPr>
                <w:rFonts w:ascii="Verdana" w:eastAsia="Times New Roman" w:hAnsi="Verdana" w:cs="Arial"/>
                <w:sz w:val="16"/>
                <w:szCs w:val="16"/>
                <w:lang w:eastAsia="es-ES"/>
              </w:rPr>
              <w:t>Subdirectora de Gestión Contractual ANCP – CCE</w:t>
            </w:r>
          </w:p>
        </w:tc>
      </w:tr>
    </w:tbl>
    <w:p w14:paraId="3D1C1308" w14:textId="77777777" w:rsidR="00B154E7" w:rsidRPr="00262582" w:rsidRDefault="00B154E7" w:rsidP="00B154E7">
      <w:pPr>
        <w:spacing w:after="0" w:line="276" w:lineRule="auto"/>
        <w:jc w:val="both"/>
        <w:rPr>
          <w:rFonts w:ascii="Verdana" w:eastAsia="Times New Roman" w:hAnsi="Verdana" w:cs="Arial"/>
          <w:lang w:val="es-ES_tradnl"/>
        </w:rPr>
      </w:pPr>
    </w:p>
    <w:p w14:paraId="7912E3DB" w14:textId="77777777" w:rsidR="00B154E7" w:rsidRPr="00262582" w:rsidRDefault="00B154E7" w:rsidP="00B154E7">
      <w:pPr>
        <w:spacing w:after="0" w:line="240" w:lineRule="auto"/>
        <w:rPr>
          <w:rFonts w:ascii="Verdana" w:eastAsia="Times New Roman" w:hAnsi="Verdana" w:cs="Arial"/>
          <w:sz w:val="24"/>
          <w:szCs w:val="24"/>
          <w:lang w:eastAsia="es-ES_tradnl"/>
        </w:rPr>
      </w:pPr>
    </w:p>
    <w:p w14:paraId="64BC5379" w14:textId="77777777" w:rsidR="00B154E7" w:rsidRPr="00262582" w:rsidRDefault="00B154E7" w:rsidP="00B154E7">
      <w:pPr>
        <w:rPr>
          <w:rFonts w:ascii="Verdana" w:hAnsi="Verdana"/>
        </w:rPr>
      </w:pPr>
    </w:p>
    <w:p w14:paraId="27DB402B" w14:textId="77777777" w:rsidR="00B154E7" w:rsidRPr="00EF55F6" w:rsidRDefault="00B154E7" w:rsidP="00B154E7"/>
    <w:p w14:paraId="06049104" w14:textId="77777777" w:rsidR="00C24FFE" w:rsidRDefault="00C24FFE"/>
    <w:sectPr w:rsidR="00C24FFE" w:rsidSect="00B154E7">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10FB8" w14:textId="77777777" w:rsidR="00230FB1" w:rsidRDefault="00230FB1" w:rsidP="00B154E7">
      <w:pPr>
        <w:spacing w:after="0" w:line="240" w:lineRule="auto"/>
      </w:pPr>
      <w:r>
        <w:separator/>
      </w:r>
    </w:p>
  </w:endnote>
  <w:endnote w:type="continuationSeparator" w:id="0">
    <w:p w14:paraId="0DFA6968" w14:textId="77777777" w:rsidR="00230FB1" w:rsidRDefault="00230FB1" w:rsidP="00B154E7">
      <w:pPr>
        <w:spacing w:after="0" w:line="240" w:lineRule="auto"/>
      </w:pPr>
      <w:r>
        <w:continuationSeparator/>
      </w:r>
    </w:p>
  </w:endnote>
  <w:endnote w:type="continuationNotice" w:id="1">
    <w:p w14:paraId="02E88B71" w14:textId="77777777" w:rsidR="0002656B" w:rsidRDefault="000265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F95A1" w14:textId="77777777" w:rsidR="00B154E7" w:rsidRDefault="00B154E7">
    <w:pPr>
      <w:pStyle w:val="Piedepgina"/>
    </w:pPr>
  </w:p>
  <w:p w14:paraId="24FC0C45" w14:textId="77777777" w:rsidR="00B154E7" w:rsidRPr="00174B77" w:rsidRDefault="00B154E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46F712E" w14:textId="77777777" w:rsidR="00B154E7" w:rsidRDefault="00B154E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255E1CD" w14:textId="77777777" w:rsidR="00B154E7" w:rsidRPr="00E41027" w:rsidRDefault="00B154E7" w:rsidP="00D520D8">
    <w:pPr>
      <w:spacing w:after="0"/>
      <w:jc w:val="both"/>
      <w:rPr>
        <w:rFonts w:ascii="Verdana" w:hAnsi="Verdana"/>
        <w:sz w:val="18"/>
        <w:szCs w:val="18"/>
      </w:rPr>
    </w:pPr>
    <w:r w:rsidRPr="00E41027">
      <w:rPr>
        <w:rFonts w:ascii="Verdana" w:hAnsi="Verdana"/>
        <w:sz w:val="18"/>
        <w:szCs w:val="18"/>
      </w:rPr>
      <w:t>Mesa de servicio: (+57) 601 7456788</w:t>
    </w:r>
  </w:p>
  <w:p w14:paraId="63C46B7C" w14:textId="77777777" w:rsidR="00B154E7" w:rsidRDefault="00B154E7"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B5DD7E" w14:textId="77777777" w:rsidR="00230FB1" w:rsidRDefault="00230FB1" w:rsidP="00B154E7">
      <w:pPr>
        <w:spacing w:after="0" w:line="240" w:lineRule="auto"/>
      </w:pPr>
      <w:r>
        <w:separator/>
      </w:r>
    </w:p>
  </w:footnote>
  <w:footnote w:type="continuationSeparator" w:id="0">
    <w:p w14:paraId="24C593B1" w14:textId="77777777" w:rsidR="00230FB1" w:rsidRDefault="00230FB1" w:rsidP="00B154E7">
      <w:pPr>
        <w:spacing w:after="0" w:line="240" w:lineRule="auto"/>
      </w:pPr>
      <w:r>
        <w:continuationSeparator/>
      </w:r>
    </w:p>
  </w:footnote>
  <w:footnote w:type="continuationNotice" w:id="1">
    <w:p w14:paraId="72B1DAE5" w14:textId="77777777" w:rsidR="0002656B" w:rsidRDefault="0002656B">
      <w:pPr>
        <w:spacing w:after="0" w:line="240" w:lineRule="auto"/>
      </w:pPr>
    </w:p>
  </w:footnote>
  <w:footnote w:id="2">
    <w:p w14:paraId="1BA31912" w14:textId="77777777" w:rsidR="00B154E7" w:rsidRPr="00865A50" w:rsidRDefault="00B154E7" w:rsidP="00B154E7">
      <w:pPr>
        <w:pStyle w:val="Textonotapie"/>
        <w:ind w:firstLine="709"/>
        <w:contextualSpacing/>
        <w:jc w:val="both"/>
        <w:rPr>
          <w:rFonts w:ascii="Arial" w:hAnsi="Arial" w:cs="Arial"/>
          <w:sz w:val="10"/>
          <w:szCs w:val="10"/>
        </w:rPr>
      </w:pPr>
      <w:r w:rsidRPr="00865A50">
        <w:rPr>
          <w:rStyle w:val="Refdenotaalpie"/>
          <w:rFonts w:ascii="Arial" w:hAnsi="Arial" w:cs="Arial"/>
          <w:sz w:val="10"/>
          <w:szCs w:val="10"/>
        </w:rPr>
        <w:footnoteRef/>
      </w:r>
      <w:r w:rsidRPr="00865A50">
        <w:rPr>
          <w:rFonts w:ascii="Arial" w:hAnsi="Arial" w:cs="Arial"/>
          <w:sz w:val="10"/>
          <w:szCs w:val="10"/>
        </w:rPr>
        <w:t xml:space="preserve"> Ley 2069 de 2020 </w:t>
      </w:r>
      <w:r>
        <w:rPr>
          <w:rFonts w:ascii="Arial" w:hAnsi="Arial" w:cs="Arial"/>
          <w:sz w:val="10"/>
          <w:szCs w:val="10"/>
        </w:rPr>
        <w:t>“</w:t>
      </w:r>
      <w:r w:rsidRPr="00865A50">
        <w:rPr>
          <w:rFonts w:ascii="Arial" w:hAnsi="Arial" w:cs="Arial"/>
          <w:sz w:val="10"/>
          <w:szCs w:val="10"/>
        </w:rPr>
        <w:t xml:space="preserve">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5B0593E4" w14:textId="77777777" w:rsidR="00B154E7" w:rsidRPr="00865A50" w:rsidRDefault="00B154E7" w:rsidP="00B154E7">
      <w:pPr>
        <w:pStyle w:val="Textonotapie"/>
        <w:ind w:firstLine="708"/>
        <w:contextualSpacing/>
        <w:jc w:val="both"/>
        <w:rPr>
          <w:rFonts w:ascii="Arial" w:hAnsi="Arial" w:cs="Arial"/>
          <w:sz w:val="10"/>
          <w:szCs w:val="10"/>
        </w:rPr>
      </w:pPr>
      <w:r>
        <w:rPr>
          <w:rFonts w:ascii="Arial" w:hAnsi="Arial" w:cs="Arial"/>
          <w:sz w:val="10"/>
          <w:szCs w:val="10"/>
        </w:rPr>
        <w:t>“</w:t>
      </w:r>
      <w:r w:rsidRPr="00865A50">
        <w:rPr>
          <w:rFonts w:ascii="Arial" w:hAnsi="Arial" w:cs="Arial"/>
          <w:sz w:val="10"/>
          <w:szCs w:val="10"/>
        </w:rPr>
        <w:t>Parágrafo primero. La definición de emprendimientos y empresas de mujeres se reglamentará por el gobierno nacional</w:t>
      </w:r>
      <w:r>
        <w:rPr>
          <w:rFonts w:ascii="Arial" w:hAnsi="Arial" w:cs="Arial"/>
          <w:sz w:val="10"/>
          <w:szCs w:val="10"/>
        </w:rPr>
        <w:t>”</w:t>
      </w:r>
      <w:r w:rsidRPr="00865A50">
        <w:rPr>
          <w:rFonts w:ascii="Arial" w:hAnsi="Arial" w:cs="Arial"/>
          <w:sz w:val="10"/>
          <w:szCs w:val="10"/>
        </w:rPr>
        <w:t xml:space="preserve">.  </w:t>
      </w:r>
    </w:p>
  </w:footnote>
  <w:footnote w:id="3">
    <w:p w14:paraId="00076F31" w14:textId="77777777" w:rsidR="00B154E7" w:rsidRPr="00865A50" w:rsidRDefault="00B154E7" w:rsidP="00B154E7">
      <w:pPr>
        <w:pStyle w:val="Textonotapie"/>
        <w:ind w:firstLine="709"/>
        <w:contextualSpacing/>
        <w:jc w:val="both"/>
        <w:rPr>
          <w:rFonts w:ascii="Arial" w:hAnsi="Arial" w:cs="Arial"/>
          <w:sz w:val="10"/>
          <w:szCs w:val="10"/>
        </w:rPr>
      </w:pPr>
      <w:r w:rsidRPr="00865A50">
        <w:rPr>
          <w:rStyle w:val="Refdenotaalpie"/>
          <w:rFonts w:ascii="Arial" w:hAnsi="Arial" w:cs="Arial"/>
          <w:sz w:val="10"/>
          <w:szCs w:val="10"/>
        </w:rPr>
        <w:footnoteRef/>
      </w:r>
      <w:r w:rsidRPr="00865A50">
        <w:rPr>
          <w:rFonts w:ascii="Arial" w:hAnsi="Arial" w:cs="Arial"/>
          <w:sz w:val="10"/>
          <w:szCs w:val="10"/>
        </w:rPr>
        <w:t xml:space="preserve"> Decreto 1860 de 2021. </w:t>
      </w:r>
      <w:r>
        <w:rPr>
          <w:rFonts w:ascii="Arial" w:hAnsi="Arial" w:cs="Arial"/>
          <w:sz w:val="10"/>
          <w:szCs w:val="10"/>
        </w:rPr>
        <w:t>“</w:t>
      </w:r>
      <w:r w:rsidRPr="00865A50">
        <w:rPr>
          <w:rFonts w:ascii="Arial" w:hAnsi="Arial" w:cs="Arial"/>
          <w:sz w:val="10"/>
          <w:szCs w:val="10"/>
        </w:rPr>
        <w:t>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r>
        <w:rPr>
          <w:rFonts w:ascii="Arial" w:hAnsi="Arial" w:cs="Arial"/>
          <w:sz w:val="10"/>
          <w:szCs w:val="10"/>
        </w:rPr>
        <w:t>”</w:t>
      </w:r>
      <w:r w:rsidRPr="00865A50">
        <w:rPr>
          <w:rFonts w:ascii="Arial" w:hAnsi="Arial" w:cs="Arial"/>
          <w:sz w:val="10"/>
          <w:szCs w:val="10"/>
        </w:rPr>
        <w:t>.</w:t>
      </w:r>
    </w:p>
    <w:p w14:paraId="38416AB7" w14:textId="77777777" w:rsidR="00B154E7" w:rsidRPr="00865A50" w:rsidRDefault="00B154E7" w:rsidP="00B154E7">
      <w:pPr>
        <w:pStyle w:val="Textonotapie"/>
        <w:ind w:firstLine="709"/>
        <w:contextualSpacing/>
        <w:jc w:val="both"/>
        <w:rPr>
          <w:rFonts w:ascii="Arial" w:hAnsi="Arial" w:cs="Arial"/>
          <w:sz w:val="10"/>
          <w:szCs w:val="10"/>
        </w:rPr>
      </w:pPr>
    </w:p>
  </w:footnote>
  <w:footnote w:id="4">
    <w:p w14:paraId="40A7C600" w14:textId="77777777" w:rsidR="00B154E7" w:rsidRPr="00865A50" w:rsidRDefault="00B154E7" w:rsidP="00B154E7">
      <w:pPr>
        <w:pStyle w:val="Textonotapie"/>
        <w:ind w:firstLine="709"/>
        <w:jc w:val="both"/>
        <w:rPr>
          <w:rFonts w:ascii="Arial" w:hAnsi="Arial" w:cs="Arial"/>
          <w:sz w:val="10"/>
          <w:szCs w:val="10"/>
          <w:lang w:val="es-ES"/>
        </w:rPr>
      </w:pPr>
      <w:r w:rsidRPr="00865A50">
        <w:rPr>
          <w:rStyle w:val="Refdenotaalpie"/>
          <w:rFonts w:ascii="Arial" w:hAnsi="Arial" w:cs="Arial"/>
          <w:sz w:val="10"/>
          <w:szCs w:val="10"/>
        </w:rPr>
        <w:footnoteRef/>
      </w:r>
      <w:r w:rsidRPr="00865A50">
        <w:rPr>
          <w:rFonts w:ascii="Arial" w:hAnsi="Arial" w:cs="Arial"/>
          <w:sz w:val="10"/>
          <w:szCs w:val="10"/>
        </w:rPr>
        <w:t xml:space="preserve"> </w:t>
      </w:r>
      <w:r w:rsidRPr="00865A50">
        <w:rPr>
          <w:rFonts w:ascii="Arial" w:hAnsi="Arial" w:cs="Arial"/>
          <w:sz w:val="10"/>
          <w:szCs w:val="10"/>
          <w:lang w:val="es-ES"/>
        </w:rPr>
        <w:t>Cfr. DE LA TORRE, Ramon Eduardo Madrinan. Principios de derecho comercial. Temis, 1980; CÁRDENAS, Luis Gonzalo Baena, et al. Lecciones de derecho mercantil, 2. Books, 2013, vol. 1.; LINARES VESGA, Jesús Ángel. Curso de derecho comercial: parte general. Bogotá: _Grupo Editorial Ibáñez,, 2013; PINZÓN, Gabino; SÁNCHEZ, Jorge Pinzón. Introducción al derecho comercial. 1985.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3B51A" w14:textId="77777777" w:rsidR="00B154E7" w:rsidRDefault="00B154E7">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DA34972" wp14:editId="0C457E4C">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610AED6B" wp14:editId="7B430A7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F27B51C" w14:textId="77777777" w:rsidR="00B154E7" w:rsidRDefault="00B154E7">
    <w:pPr>
      <w:pStyle w:val="Encabezado"/>
    </w:pPr>
  </w:p>
  <w:p w14:paraId="215BC705" w14:textId="77777777" w:rsidR="00B154E7" w:rsidRDefault="00B154E7" w:rsidP="004A305D">
    <w:pPr>
      <w:spacing w:after="0"/>
      <w:rPr>
        <w:rFonts w:ascii="Verdana" w:hAnsi="Verdana"/>
        <w:b/>
        <w:bCs/>
      </w:rPr>
    </w:pPr>
  </w:p>
  <w:p w14:paraId="58EEC81B" w14:textId="77777777" w:rsidR="00B154E7" w:rsidRPr="004A305D" w:rsidRDefault="00B154E7" w:rsidP="00B01B1A">
    <w:pPr>
      <w:spacing w:after="0" w:line="120" w:lineRule="auto"/>
      <w:rPr>
        <w:rFonts w:ascii="Century Gothic" w:eastAsia="Geo" w:hAnsi="Century Gothic" w:cs="Geo"/>
        <w:sz w:val="16"/>
        <w:szCs w:val="16"/>
        <w:lang w:eastAsia="es-CO"/>
      </w:rPr>
    </w:pPr>
  </w:p>
  <w:p w14:paraId="5B7FA3FA" w14:textId="77777777" w:rsidR="00B154E7" w:rsidRDefault="00B154E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A74E3B"/>
    <w:multiLevelType w:val="hybridMultilevel"/>
    <w:tmpl w:val="925C75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8857F94"/>
    <w:multiLevelType w:val="hybridMultilevel"/>
    <w:tmpl w:val="5D02AC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6CFC4FEB"/>
    <w:multiLevelType w:val="hybridMultilevel"/>
    <w:tmpl w:val="73FACD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2"/>
  </w:num>
  <w:num w:numId="2" w16cid:durableId="1127511889">
    <w:abstractNumId w:val="0"/>
  </w:num>
  <w:num w:numId="3" w16cid:durableId="1618755313">
    <w:abstractNumId w:val="3"/>
  </w:num>
  <w:num w:numId="4" w16cid:durableId="961158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4E7"/>
    <w:rsid w:val="0002656B"/>
    <w:rsid w:val="0021049B"/>
    <w:rsid w:val="00230FB1"/>
    <w:rsid w:val="00474DF4"/>
    <w:rsid w:val="004F471F"/>
    <w:rsid w:val="00650B8C"/>
    <w:rsid w:val="006A16DE"/>
    <w:rsid w:val="0073366D"/>
    <w:rsid w:val="00913E5B"/>
    <w:rsid w:val="00957278"/>
    <w:rsid w:val="00A16C1F"/>
    <w:rsid w:val="00B154E7"/>
    <w:rsid w:val="00B15B52"/>
    <w:rsid w:val="00C24FFE"/>
    <w:rsid w:val="00DE1583"/>
    <w:rsid w:val="56C12E4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58833"/>
  <w15:chartTrackingRefBased/>
  <w15:docId w15:val="{A19127FB-0408-4A98-A0DB-33D4792AB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4E7"/>
    <w:rPr>
      <w:kern w:val="0"/>
      <w14:ligatures w14:val="none"/>
    </w:rPr>
  </w:style>
  <w:style w:type="paragraph" w:styleId="Ttulo1">
    <w:name w:val="heading 1"/>
    <w:basedOn w:val="Normal"/>
    <w:next w:val="Normal"/>
    <w:link w:val="Ttulo1Car"/>
    <w:uiPriority w:val="9"/>
    <w:qFormat/>
    <w:rsid w:val="00B154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154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154E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154E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154E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154E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54E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54E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54E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54E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154E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154E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154E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154E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154E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54E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54E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54E7"/>
    <w:rPr>
      <w:rFonts w:eastAsiaTheme="majorEastAsia" w:cstheme="majorBidi"/>
      <w:color w:val="272727" w:themeColor="text1" w:themeTint="D8"/>
    </w:rPr>
  </w:style>
  <w:style w:type="paragraph" w:styleId="Ttulo">
    <w:name w:val="Title"/>
    <w:basedOn w:val="Normal"/>
    <w:next w:val="Normal"/>
    <w:link w:val="TtuloCar"/>
    <w:uiPriority w:val="10"/>
    <w:qFormat/>
    <w:rsid w:val="00B154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154E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54E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54E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54E7"/>
    <w:pPr>
      <w:spacing w:before="160"/>
      <w:jc w:val="center"/>
    </w:pPr>
    <w:rPr>
      <w:i/>
      <w:iCs/>
      <w:color w:val="404040" w:themeColor="text1" w:themeTint="BF"/>
    </w:rPr>
  </w:style>
  <w:style w:type="character" w:customStyle="1" w:styleId="CitaCar">
    <w:name w:val="Cita Car"/>
    <w:basedOn w:val="Fuentedeprrafopredeter"/>
    <w:link w:val="Cita"/>
    <w:uiPriority w:val="29"/>
    <w:rsid w:val="00B154E7"/>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B154E7"/>
    <w:pPr>
      <w:ind w:left="720"/>
      <w:contextualSpacing/>
    </w:pPr>
  </w:style>
  <w:style w:type="character" w:styleId="nfasisintenso">
    <w:name w:val="Intense Emphasis"/>
    <w:basedOn w:val="Fuentedeprrafopredeter"/>
    <w:uiPriority w:val="21"/>
    <w:qFormat/>
    <w:rsid w:val="00B154E7"/>
    <w:rPr>
      <w:i/>
      <w:iCs/>
      <w:color w:val="2F5496" w:themeColor="accent1" w:themeShade="BF"/>
    </w:rPr>
  </w:style>
  <w:style w:type="paragraph" w:styleId="Citadestacada">
    <w:name w:val="Intense Quote"/>
    <w:basedOn w:val="Normal"/>
    <w:next w:val="Normal"/>
    <w:link w:val="CitadestacadaCar"/>
    <w:uiPriority w:val="30"/>
    <w:qFormat/>
    <w:rsid w:val="00B154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154E7"/>
    <w:rPr>
      <w:i/>
      <w:iCs/>
      <w:color w:val="2F5496" w:themeColor="accent1" w:themeShade="BF"/>
    </w:rPr>
  </w:style>
  <w:style w:type="character" w:styleId="Referenciaintensa">
    <w:name w:val="Intense Reference"/>
    <w:basedOn w:val="Fuentedeprrafopredeter"/>
    <w:uiPriority w:val="32"/>
    <w:qFormat/>
    <w:rsid w:val="00B154E7"/>
    <w:rPr>
      <w:b/>
      <w:bCs/>
      <w:smallCaps/>
      <w:color w:val="2F5496" w:themeColor="accent1" w:themeShade="BF"/>
      <w:spacing w:val="5"/>
    </w:rPr>
  </w:style>
  <w:style w:type="paragraph" w:styleId="Encabezado">
    <w:name w:val="header"/>
    <w:basedOn w:val="Normal"/>
    <w:link w:val="EncabezadoCar"/>
    <w:uiPriority w:val="99"/>
    <w:unhideWhenUsed/>
    <w:rsid w:val="00B154E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154E7"/>
    <w:rPr>
      <w:kern w:val="0"/>
      <w14:ligatures w14:val="none"/>
    </w:rPr>
  </w:style>
  <w:style w:type="paragraph" w:styleId="Piedepgina">
    <w:name w:val="footer"/>
    <w:basedOn w:val="Normal"/>
    <w:link w:val="PiedepginaCar"/>
    <w:uiPriority w:val="99"/>
    <w:unhideWhenUsed/>
    <w:rsid w:val="00B154E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54E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154E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154E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154E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154E7"/>
    <w:rPr>
      <w:vertAlign w:val="superscript"/>
    </w:rPr>
  </w:style>
  <w:style w:type="character" w:customStyle="1" w:styleId="normaltextrun">
    <w:name w:val="normaltextrun"/>
    <w:basedOn w:val="Fuentedeprrafopredeter"/>
    <w:rsid w:val="00B154E7"/>
  </w:style>
  <w:style w:type="table" w:styleId="Tablaconcuadrcula">
    <w:name w:val="Table Grid"/>
    <w:basedOn w:val="Tablanormal"/>
    <w:uiPriority w:val="39"/>
    <w:qFormat/>
    <w:rsid w:val="00B154E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154E7"/>
    <w:rPr>
      <w:color w:val="0000FF"/>
      <w:u w:val="single"/>
    </w:rPr>
  </w:style>
  <w:style w:type="table" w:customStyle="1" w:styleId="Tablaconcuadrcula1">
    <w:name w:val="Tabla con cuadrícula1"/>
    <w:basedOn w:val="Tablanormal"/>
    <w:next w:val="Tablaconcuadrcula"/>
    <w:uiPriority w:val="59"/>
    <w:rsid w:val="00B154E7"/>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154E7"/>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15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sucop.gov.co%2Fentidades%2Fcolombiacompra%2FNormativa%3FIDNorma%3D17363&amp;data=05%7C02%7Csergio.caballero%40colombiacompra.gov.co%7C5aad36a736844ec87b2108dcc1fa4639%7C7b09041e245149d08cb179d5e3d8c1be%7C0%7C0%7C638598527918246310%7CUnknown%7CTWFpbGZsb3d8eyJWIjoiMC4wLjAwMDAiLCJQIjoiV2luMzIiLCJBTiI6Ik1haWwiLCJXVCI6Mn0%3D%7C0%7C%7C%7C&amp;sdata=zn%2FIgTqrwf9eTs8FqwVzWYgOfOmaciAjTuTgBBUfuAc%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files_2020%2Fboletin_de_realtoria_iii.pdf&amp;data=05%7C02%7Csergio.caballero%40colombiacompra.gov.co%7C5aad36a736844ec87b2108dcc1fa4639%7C7b09041e245149d08cb179d5e3d8c1be%7C0%7C0%7C638598527918236341%7CUnknown%7CTWFpbGZsb3d8eyJWIjoiMC4wLjAwMDAiLCJQIjoiV2luMzIiLCJBTiI6Ik1haWwiLCJXVCI6Mn0%3D%7C0%7C%7C%7C&amp;sdata=suWiKgAXI6RPAGd1cMip%2B6rgP8F%2F2yvMoSBrk1afqMw%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convocatorias&amp;data=05%7C02%7Csergio.caballero%40colombiacompra.gov.co%7C5aad36a736844ec87b2108dcc1fa4639%7C7b09041e245149d08cb179d5e3d8c1be%7C0%7C0%7C638598527918253802%7CUnknown%7CTWFpbGZsb3d8eyJWIjoiMC4wLjAwMDAiLCJQIjoiV2luMzIiLCJBTiI6Ik1haWwiLCJXVCI6Mn0%3D%7C0%7C%7C%7C&amp;sdata=GwrjQB3Ux3BnWR1wNwy6IF5e3PKmQS0T5Gmy2ZXJYw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0175CB-DCD1-4119-A7FB-7A36CBE0698F}">
  <ds:schemaRefs>
    <ds:schemaRef ds:uri="http://purl.org/dc/elements/1.1/"/>
    <ds:schemaRef ds:uri="http://purl.org/dc/terms/"/>
    <ds:schemaRef ds:uri="http://schemas.openxmlformats.org/package/2006/metadata/core-properties"/>
    <ds:schemaRef ds:uri="http://schemas.microsoft.com/office/2006/documentManagement/types"/>
    <ds:schemaRef ds:uri="http://www.w3.org/XML/1998/namespace"/>
    <ds:schemaRef ds:uri="9d85dbaf-23eb-4e57-a637-93dcacc8b1a1"/>
    <ds:schemaRef ds:uri="a6cb9e4b-f1d1-4245-83ec-6cad768d538a"/>
    <ds:schemaRef ds:uri="http://schemas.microsoft.com/office/2006/metadata/propertie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A6C94DB6-B32F-4C0C-9618-C5F305ECBA0F}">
  <ds:schemaRefs>
    <ds:schemaRef ds:uri="http://schemas.microsoft.com/sharepoint/v3/contenttype/forms"/>
  </ds:schemaRefs>
</ds:datastoreItem>
</file>

<file path=customXml/itemProps3.xml><?xml version="1.0" encoding="utf-8"?>
<ds:datastoreItem xmlns:ds="http://schemas.openxmlformats.org/officeDocument/2006/customXml" ds:itemID="{9C8840CF-38BF-419A-BB3D-7529FEA29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6051</Words>
  <Characters>33285</Characters>
  <Application>Microsoft Office Word</Application>
  <DocSecurity>0</DocSecurity>
  <Lines>277</Lines>
  <Paragraphs>78</Paragraphs>
  <ScaleCrop>false</ScaleCrop>
  <Company/>
  <LinksUpToDate>false</LinksUpToDate>
  <CharactersWithSpaces>39258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Richard Andrés Montenegro Siefken</cp:lastModifiedBy>
  <cp:revision>2</cp:revision>
  <dcterms:created xsi:type="dcterms:W3CDTF">2024-08-26T19:49:00Z</dcterms:created>
  <dcterms:modified xsi:type="dcterms:W3CDTF">2024-08-26T19:49:00Z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