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EA1DE2" w:rsidRDefault="00B55C69" w:rsidP="008536BB">
      <w:pPr>
        <w:jc w:val="right"/>
        <w:rPr>
          <w:rFonts w:ascii="Arial" w:eastAsia="Calibri" w:hAnsi="Arial" w:cs="Arial"/>
          <w:b/>
          <w:sz w:val="20"/>
          <w:szCs w:val="20"/>
          <w:lang w:val="es-ES_tradnl"/>
        </w:rPr>
      </w:pPr>
      <w:bookmarkStart w:id="0" w:name="_Hlk28946138"/>
      <w:bookmarkStart w:id="1" w:name="_Hlk29548183"/>
      <w:r w:rsidRPr="00EA1DE2">
        <w:rPr>
          <w:rFonts w:ascii="Arial" w:hAnsi="Arial" w:cs="Arial"/>
          <w:bCs/>
          <w:sz w:val="16"/>
          <w:szCs w:val="16"/>
          <w:lang w:val="es-ES_tradnl" w:eastAsia="es-ES"/>
        </w:rPr>
        <w:t>CCE-DES-FM-17</w:t>
      </w:r>
      <w:bookmarkEnd w:id="0"/>
      <w:bookmarkEnd w:id="1"/>
    </w:p>
    <w:p w14:paraId="55FBD910" w14:textId="77777777" w:rsidR="008536BB" w:rsidRPr="00EA1DE2" w:rsidRDefault="008536BB" w:rsidP="00B95C30">
      <w:pPr>
        <w:spacing w:line="276" w:lineRule="auto"/>
        <w:jc w:val="both"/>
        <w:rPr>
          <w:rFonts w:ascii="Arial" w:hAnsi="Arial" w:cs="Arial"/>
          <w:noProof/>
          <w:sz w:val="22"/>
          <w:lang w:val="es-ES_tradnl"/>
        </w:rPr>
      </w:pPr>
    </w:p>
    <w:p w14:paraId="6A654097" w14:textId="523CAACE" w:rsidR="00C978D4" w:rsidRPr="00EA1DE2" w:rsidRDefault="00272945" w:rsidP="00C978D4">
      <w:pPr>
        <w:jc w:val="both"/>
        <w:rPr>
          <w:rFonts w:ascii="Arial" w:eastAsia="Calibri" w:hAnsi="Arial" w:cs="Arial"/>
          <w:b/>
          <w:sz w:val="22"/>
          <w:lang w:val="es-ES_tradnl"/>
        </w:rPr>
      </w:pPr>
      <w:r w:rsidRPr="00EA1DE2">
        <w:rPr>
          <w:rFonts w:ascii="Arial" w:eastAsia="Calibri" w:hAnsi="Arial" w:cs="Arial"/>
          <w:b/>
          <w:sz w:val="22"/>
          <w:lang w:val="es-ES_tradnl"/>
        </w:rPr>
        <w:t>SELECCIÓN OBJETIVA</w:t>
      </w:r>
      <w:r w:rsidR="00C978D4" w:rsidRPr="00EA1DE2">
        <w:rPr>
          <w:rFonts w:ascii="Arial" w:eastAsia="Calibri" w:hAnsi="Arial" w:cs="Arial"/>
          <w:b/>
          <w:sz w:val="22"/>
          <w:lang w:val="es-ES_tradnl"/>
        </w:rPr>
        <w:t xml:space="preserve"> – </w:t>
      </w:r>
      <w:r w:rsidR="00003D39" w:rsidRPr="00EA1DE2">
        <w:rPr>
          <w:rFonts w:ascii="Arial" w:eastAsia="Calibri" w:hAnsi="Arial" w:cs="Arial"/>
          <w:b/>
          <w:sz w:val="22"/>
          <w:lang w:val="es-ES_tradnl"/>
        </w:rPr>
        <w:t>Contratación estatal</w:t>
      </w:r>
      <w:r w:rsidR="00616D7F" w:rsidRPr="00EA1DE2">
        <w:rPr>
          <w:rFonts w:ascii="Arial" w:eastAsia="Calibri" w:hAnsi="Arial" w:cs="Arial"/>
          <w:b/>
          <w:sz w:val="22"/>
          <w:lang w:val="es-ES_tradnl"/>
        </w:rPr>
        <w:t xml:space="preserve"> </w:t>
      </w:r>
      <w:r w:rsidR="00C978D4" w:rsidRPr="00EA1DE2">
        <w:rPr>
          <w:rFonts w:ascii="Arial" w:eastAsia="Calibri" w:hAnsi="Arial" w:cs="Arial"/>
          <w:b/>
          <w:sz w:val="22"/>
          <w:lang w:val="es-ES_tradnl"/>
        </w:rPr>
        <w:t xml:space="preserve">– </w:t>
      </w:r>
      <w:r w:rsidRPr="00EA1DE2">
        <w:rPr>
          <w:rFonts w:ascii="Arial" w:eastAsia="Calibri" w:hAnsi="Arial" w:cs="Arial"/>
          <w:b/>
          <w:sz w:val="22"/>
          <w:lang w:val="es-ES_tradnl"/>
        </w:rPr>
        <w:t>Concepto</w:t>
      </w:r>
    </w:p>
    <w:p w14:paraId="4AAB8DDD" w14:textId="537B898C" w:rsidR="00C978D4" w:rsidRPr="00EA1DE2" w:rsidRDefault="00C978D4" w:rsidP="0099531F">
      <w:pPr>
        <w:jc w:val="both"/>
        <w:rPr>
          <w:rFonts w:ascii="Arial" w:eastAsia="Calibri" w:hAnsi="Arial" w:cs="Arial"/>
          <w:b/>
          <w:sz w:val="22"/>
          <w:lang w:val="es-ES_tradnl"/>
        </w:rPr>
      </w:pPr>
    </w:p>
    <w:p w14:paraId="33E10CCB" w14:textId="470486AD" w:rsidR="00636F88" w:rsidRPr="00EA1DE2" w:rsidRDefault="00D06A4D" w:rsidP="0099531F">
      <w:pPr>
        <w:jc w:val="both"/>
        <w:rPr>
          <w:rFonts w:ascii="Arial" w:eastAsia="Calibri" w:hAnsi="Arial" w:cs="Arial"/>
          <w:sz w:val="20"/>
          <w:szCs w:val="20"/>
          <w:lang w:val="es-ES_tradnl"/>
        </w:rPr>
      </w:pPr>
      <w:r w:rsidRPr="00EA1DE2">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EA1DE2">
        <w:rPr>
          <w:rFonts w:ascii="Arial" w:eastAsia="Calibri" w:hAnsi="Arial" w:cs="Arial"/>
          <w:sz w:val="20"/>
          <w:szCs w:val="20"/>
          <w:lang w:val="es-ES_tradnl"/>
        </w:rPr>
        <w:t>equivalentes,</w:t>
      </w:r>
      <w:proofErr w:type="gramEnd"/>
      <w:r w:rsidRPr="00EA1DE2">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r w:rsidR="00AF6DEC" w:rsidRPr="00EA1DE2">
        <w:rPr>
          <w:rFonts w:ascii="Arial" w:eastAsia="Calibri" w:hAnsi="Arial" w:cs="Arial"/>
          <w:sz w:val="20"/>
          <w:szCs w:val="20"/>
          <w:lang w:val="es-ES_tradnl"/>
        </w:rPr>
        <w:t>.</w:t>
      </w:r>
    </w:p>
    <w:p w14:paraId="0EA25C4D" w14:textId="77777777" w:rsidR="00AF6DEC" w:rsidRPr="00EA1DE2" w:rsidRDefault="00AF6DEC" w:rsidP="0099531F">
      <w:pPr>
        <w:jc w:val="both"/>
        <w:rPr>
          <w:rFonts w:ascii="Arial" w:eastAsia="Calibri" w:hAnsi="Arial" w:cs="Arial"/>
          <w:b/>
          <w:sz w:val="22"/>
          <w:lang w:val="es-ES_tradnl"/>
        </w:rPr>
      </w:pPr>
    </w:p>
    <w:p w14:paraId="73365DCF" w14:textId="63E2A713" w:rsidR="00272945" w:rsidRPr="00EA1DE2" w:rsidRDefault="00B54215" w:rsidP="00272945">
      <w:pPr>
        <w:jc w:val="both"/>
        <w:rPr>
          <w:rFonts w:ascii="Arial" w:eastAsia="Calibri" w:hAnsi="Arial" w:cs="Arial"/>
          <w:b/>
          <w:sz w:val="22"/>
          <w:lang w:val="es-ES_tradnl"/>
        </w:rPr>
      </w:pPr>
      <w:r w:rsidRPr="00EA1DE2">
        <w:rPr>
          <w:rFonts w:ascii="Arial" w:eastAsia="Calibri" w:hAnsi="Arial" w:cs="Arial"/>
          <w:b/>
          <w:sz w:val="22"/>
          <w:lang w:val="es-ES_tradnl"/>
        </w:rPr>
        <w:t>EMPATE</w:t>
      </w:r>
      <w:r w:rsidR="00272945" w:rsidRPr="00EA1DE2">
        <w:rPr>
          <w:rFonts w:ascii="Arial" w:eastAsia="Calibri" w:hAnsi="Arial" w:cs="Arial"/>
          <w:b/>
          <w:sz w:val="22"/>
          <w:lang w:val="es-ES_tradnl"/>
        </w:rPr>
        <w:t xml:space="preserve"> – </w:t>
      </w:r>
      <w:r w:rsidRPr="00EA1DE2">
        <w:rPr>
          <w:rFonts w:ascii="Arial" w:eastAsia="Calibri" w:hAnsi="Arial" w:cs="Arial"/>
          <w:b/>
          <w:sz w:val="22"/>
          <w:lang w:val="es-ES_tradnl"/>
        </w:rPr>
        <w:t>Procedimiento de selección</w:t>
      </w:r>
      <w:r w:rsidR="00272945" w:rsidRPr="00EA1DE2">
        <w:rPr>
          <w:rFonts w:ascii="Arial" w:eastAsia="Calibri" w:hAnsi="Arial" w:cs="Arial"/>
          <w:b/>
          <w:sz w:val="22"/>
          <w:lang w:val="es-ES_tradnl"/>
        </w:rPr>
        <w:t xml:space="preserve"> – Concepto</w:t>
      </w:r>
    </w:p>
    <w:p w14:paraId="182F8CB9" w14:textId="246E5B50" w:rsidR="00272945" w:rsidRPr="00EA1DE2" w:rsidRDefault="00272945" w:rsidP="0099531F">
      <w:pPr>
        <w:jc w:val="both"/>
        <w:rPr>
          <w:rFonts w:ascii="Arial" w:eastAsia="Calibri" w:hAnsi="Arial" w:cs="Arial"/>
          <w:b/>
          <w:sz w:val="22"/>
          <w:lang w:val="es-ES_tradnl"/>
        </w:rPr>
      </w:pPr>
    </w:p>
    <w:p w14:paraId="29DD8E0A" w14:textId="001A73BD" w:rsidR="006F71F5" w:rsidRPr="00EA1DE2" w:rsidRDefault="00F3690F" w:rsidP="005C6D19">
      <w:pPr>
        <w:jc w:val="both"/>
        <w:rPr>
          <w:rFonts w:ascii="Arial" w:hAnsi="Arial" w:cs="Arial"/>
          <w:noProof/>
          <w:sz w:val="22"/>
          <w:lang w:val="es-ES_tradnl"/>
        </w:rPr>
      </w:pPr>
      <w:r w:rsidRPr="00EA1DE2">
        <w:rPr>
          <w:rFonts w:ascii="Arial" w:eastAsia="Calibri" w:hAnsi="Arial" w:cs="Arial"/>
          <w:sz w:val="20"/>
          <w:szCs w:val="20"/>
          <w:lang w:val="es-ES_tradnl"/>
        </w:rPr>
        <w:t>[…]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r w:rsidR="005C6D19" w:rsidRPr="00EA1DE2">
        <w:rPr>
          <w:rFonts w:ascii="Arial" w:eastAsia="Calibri" w:hAnsi="Arial" w:cs="Arial"/>
          <w:sz w:val="20"/>
          <w:szCs w:val="20"/>
          <w:lang w:val="es-ES_tradnl"/>
        </w:rPr>
        <w:t>.</w:t>
      </w:r>
    </w:p>
    <w:p w14:paraId="2B2F279A" w14:textId="77777777" w:rsidR="005C6D19" w:rsidRPr="00EA1DE2" w:rsidRDefault="005C6D19" w:rsidP="00DF71EA">
      <w:pPr>
        <w:jc w:val="both"/>
        <w:rPr>
          <w:rFonts w:ascii="Arial" w:eastAsia="Calibri" w:hAnsi="Arial" w:cs="Arial"/>
          <w:b/>
          <w:sz w:val="22"/>
          <w:lang w:val="es-ES_tradnl"/>
        </w:rPr>
      </w:pPr>
    </w:p>
    <w:p w14:paraId="04086EC5" w14:textId="5C2FA739" w:rsidR="00DF71EA" w:rsidRPr="00EA1DE2" w:rsidRDefault="00D73881" w:rsidP="00DF71EA">
      <w:pPr>
        <w:jc w:val="both"/>
        <w:rPr>
          <w:rFonts w:ascii="Arial" w:eastAsia="Calibri" w:hAnsi="Arial" w:cs="Arial"/>
          <w:b/>
          <w:sz w:val="22"/>
          <w:lang w:val="es-ES_tradnl"/>
        </w:rPr>
      </w:pPr>
      <w:r w:rsidRPr="00EA1DE2">
        <w:rPr>
          <w:rFonts w:ascii="Arial" w:eastAsia="Calibri" w:hAnsi="Arial" w:cs="Arial"/>
          <w:b/>
          <w:sz w:val="22"/>
          <w:lang w:val="es-ES_tradnl"/>
        </w:rPr>
        <w:t>FACTORES DE DESEMPATE</w:t>
      </w:r>
      <w:r w:rsidR="00DF71EA" w:rsidRPr="00EA1DE2">
        <w:rPr>
          <w:rFonts w:ascii="Arial" w:eastAsia="Calibri" w:hAnsi="Arial" w:cs="Arial"/>
          <w:b/>
          <w:sz w:val="22"/>
          <w:lang w:val="es-ES_tradnl"/>
        </w:rPr>
        <w:t xml:space="preserve"> – </w:t>
      </w:r>
      <w:r w:rsidRPr="00EA1DE2">
        <w:rPr>
          <w:rFonts w:ascii="Arial" w:eastAsia="Calibri" w:hAnsi="Arial" w:cs="Arial"/>
          <w:b/>
          <w:sz w:val="22"/>
          <w:lang w:val="es-ES_tradnl"/>
        </w:rPr>
        <w:t>Características</w:t>
      </w:r>
      <w:r w:rsidR="00DF71EA" w:rsidRPr="00EA1DE2">
        <w:rPr>
          <w:rFonts w:ascii="Arial" w:eastAsia="Calibri" w:hAnsi="Arial" w:cs="Arial"/>
          <w:b/>
          <w:sz w:val="22"/>
          <w:lang w:val="es-ES_tradnl"/>
        </w:rPr>
        <w:t xml:space="preserve"> – </w:t>
      </w:r>
      <w:r w:rsidRPr="00EA1DE2">
        <w:rPr>
          <w:rFonts w:ascii="Arial" w:eastAsia="Calibri" w:hAnsi="Arial" w:cs="Arial"/>
          <w:b/>
          <w:sz w:val="22"/>
          <w:lang w:val="es-ES_tradnl"/>
        </w:rPr>
        <w:t>Límites</w:t>
      </w:r>
    </w:p>
    <w:p w14:paraId="583F00A4" w14:textId="390EB1EB" w:rsidR="00DF71EA" w:rsidRPr="00EA1DE2" w:rsidRDefault="00DF71EA" w:rsidP="00B95C30">
      <w:pPr>
        <w:spacing w:line="276" w:lineRule="auto"/>
        <w:jc w:val="both"/>
        <w:rPr>
          <w:rFonts w:ascii="Arial" w:hAnsi="Arial" w:cs="Arial"/>
          <w:noProof/>
          <w:sz w:val="22"/>
          <w:lang w:val="es-ES_tradnl"/>
        </w:rPr>
      </w:pPr>
    </w:p>
    <w:p w14:paraId="7686A6BB" w14:textId="1B24ED8A" w:rsidR="00F77A2C" w:rsidRPr="00EA1DE2" w:rsidRDefault="00133536" w:rsidP="00133536">
      <w:pPr>
        <w:spacing w:after="120"/>
        <w:jc w:val="both"/>
        <w:rPr>
          <w:rFonts w:ascii="Arial" w:eastAsia="Calibri" w:hAnsi="Arial" w:cs="Arial"/>
          <w:sz w:val="20"/>
          <w:szCs w:val="20"/>
          <w:lang w:val="es-ES_tradnl"/>
        </w:rPr>
      </w:pPr>
      <w:r w:rsidRPr="00EA1DE2">
        <w:rPr>
          <w:rFonts w:ascii="Arial" w:eastAsia="Calibri" w:hAnsi="Arial" w:cs="Arial"/>
          <w:sz w:val="20"/>
          <w:szCs w:val="20"/>
          <w:lang w:val="es-ES_tradnl"/>
        </w:rPr>
        <w:t xml:space="preserve">[…] </w:t>
      </w:r>
      <w:r w:rsidR="00F77A2C" w:rsidRPr="00EA1DE2">
        <w:rPr>
          <w:rFonts w:ascii="Arial" w:eastAsia="Calibri" w:hAnsi="Arial" w:cs="Arial"/>
          <w:sz w:val="20"/>
          <w:szCs w:val="20"/>
          <w:lang w:val="es-ES_tradnl"/>
        </w:rPr>
        <w:t xml:space="preserve">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5204F243" w14:textId="04E7B4EE" w:rsidR="00D73881" w:rsidRPr="00EA1DE2" w:rsidRDefault="00F77A2C" w:rsidP="00F77A2C">
      <w:pPr>
        <w:jc w:val="both"/>
        <w:rPr>
          <w:rFonts w:ascii="Arial" w:eastAsia="Calibri" w:hAnsi="Arial" w:cs="Arial"/>
          <w:sz w:val="20"/>
          <w:szCs w:val="20"/>
          <w:lang w:val="es-ES_tradnl"/>
        </w:rPr>
      </w:pPr>
      <w:r w:rsidRPr="00EA1DE2">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EA1DE2">
        <w:rPr>
          <w:rFonts w:ascii="Arial" w:eastAsia="Calibri" w:hAnsi="Arial" w:cs="Arial"/>
          <w:sz w:val="20"/>
          <w:szCs w:val="20"/>
          <w:lang w:val="es-ES_tradnl"/>
        </w:rPr>
        <w:t>inaplicarlos</w:t>
      </w:r>
      <w:proofErr w:type="spellEnd"/>
      <w:r w:rsidRPr="00EA1DE2">
        <w:rPr>
          <w:rFonts w:ascii="Arial" w:eastAsia="Calibri" w:hAnsi="Arial" w:cs="Arial"/>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r w:rsidR="003D3F28" w:rsidRPr="00EA1DE2">
        <w:rPr>
          <w:rFonts w:ascii="Arial" w:eastAsia="Calibri" w:hAnsi="Arial" w:cs="Arial"/>
          <w:sz w:val="20"/>
          <w:szCs w:val="20"/>
          <w:lang w:val="es-ES_tradnl"/>
        </w:rPr>
        <w:t>.</w:t>
      </w:r>
      <w:r w:rsidR="00D73881" w:rsidRPr="00EA1DE2">
        <w:rPr>
          <w:rFonts w:ascii="Arial" w:eastAsia="Calibri" w:hAnsi="Arial" w:cs="Arial"/>
          <w:sz w:val="20"/>
          <w:szCs w:val="20"/>
          <w:lang w:val="es-ES_tradnl"/>
        </w:rPr>
        <w:t xml:space="preserve"> </w:t>
      </w:r>
    </w:p>
    <w:p w14:paraId="20087230" w14:textId="77777777" w:rsidR="00617D72" w:rsidRPr="00EA1DE2" w:rsidRDefault="00617D72" w:rsidP="00D73881">
      <w:pPr>
        <w:jc w:val="both"/>
        <w:rPr>
          <w:rFonts w:ascii="Arial" w:eastAsia="Calibri" w:hAnsi="Arial" w:cs="Arial"/>
          <w:b/>
          <w:sz w:val="22"/>
          <w:lang w:val="es-ES_tradnl"/>
        </w:rPr>
      </w:pPr>
    </w:p>
    <w:p w14:paraId="7144E95B" w14:textId="6179FDBF" w:rsidR="00D73881" w:rsidRPr="00EA1DE2" w:rsidRDefault="00D73881" w:rsidP="00D73881">
      <w:pPr>
        <w:jc w:val="both"/>
        <w:rPr>
          <w:rFonts w:ascii="Arial" w:eastAsia="Calibri" w:hAnsi="Arial" w:cs="Arial"/>
          <w:b/>
          <w:sz w:val="22"/>
          <w:lang w:val="es-ES_tradnl"/>
        </w:rPr>
      </w:pPr>
      <w:r w:rsidRPr="00EA1DE2">
        <w:rPr>
          <w:rFonts w:ascii="Arial" w:eastAsia="Calibri" w:hAnsi="Arial" w:cs="Arial"/>
          <w:b/>
          <w:sz w:val="22"/>
          <w:lang w:val="es-ES_tradnl"/>
        </w:rPr>
        <w:t xml:space="preserve">LEY DE EMPRENDIMIENTO – Ley </w:t>
      </w:r>
      <w:r w:rsidR="007B209C" w:rsidRPr="00EA1DE2">
        <w:rPr>
          <w:rFonts w:ascii="Arial" w:eastAsia="Calibri" w:hAnsi="Arial" w:cs="Arial"/>
          <w:b/>
          <w:sz w:val="22"/>
          <w:lang w:val="es-ES_tradnl"/>
        </w:rPr>
        <w:t>2069</w:t>
      </w:r>
      <w:r w:rsidRPr="00EA1DE2">
        <w:rPr>
          <w:rFonts w:ascii="Arial" w:eastAsia="Calibri" w:hAnsi="Arial" w:cs="Arial"/>
          <w:b/>
          <w:sz w:val="22"/>
          <w:lang w:val="es-ES_tradnl"/>
        </w:rPr>
        <w:t xml:space="preserve"> de 2020 – Vigencia </w:t>
      </w:r>
    </w:p>
    <w:p w14:paraId="0D3B8DEB" w14:textId="33C83BCF" w:rsidR="00D73881" w:rsidRPr="00EA1DE2" w:rsidRDefault="00D73881" w:rsidP="00D73881">
      <w:pPr>
        <w:jc w:val="both"/>
        <w:rPr>
          <w:rFonts w:ascii="Arial" w:eastAsia="Calibri" w:hAnsi="Arial" w:cs="Arial"/>
          <w:b/>
          <w:sz w:val="22"/>
          <w:lang w:val="es-ES_tradnl"/>
        </w:rPr>
      </w:pPr>
    </w:p>
    <w:p w14:paraId="39668D0C" w14:textId="47082B69" w:rsidR="008410B1" w:rsidRPr="00EA1DE2" w:rsidRDefault="008410B1" w:rsidP="008410B1">
      <w:pPr>
        <w:jc w:val="both"/>
        <w:rPr>
          <w:rFonts w:ascii="Arial" w:eastAsia="Calibri" w:hAnsi="Arial" w:cs="Arial"/>
          <w:sz w:val="20"/>
          <w:szCs w:val="20"/>
          <w:lang w:val="es-ES_tradnl"/>
        </w:rPr>
      </w:pPr>
      <w:r w:rsidRPr="00EA1DE2">
        <w:rPr>
          <w:rFonts w:ascii="Arial" w:eastAsia="Calibri" w:hAnsi="Arial" w:cs="Arial"/>
          <w:sz w:val="20"/>
          <w:szCs w:val="20"/>
          <w:lang w:val="es-ES_tradnl"/>
        </w:rPr>
        <w:lastRenderedPageBreak/>
        <w:t xml:space="preserve">El 31 de diciembre de 2020 se promulgó la Ley </w:t>
      </w:r>
      <w:r w:rsidR="007B209C" w:rsidRPr="00EA1DE2">
        <w:rPr>
          <w:rFonts w:ascii="Arial" w:eastAsia="Calibri" w:hAnsi="Arial" w:cs="Arial"/>
          <w:sz w:val="20"/>
          <w:szCs w:val="20"/>
          <w:lang w:val="es-ES_tradnl"/>
        </w:rPr>
        <w:t>2069</w:t>
      </w:r>
      <w:r w:rsidRPr="00EA1DE2">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86BC4E6" w14:textId="77777777" w:rsidR="008410B1" w:rsidRPr="00EA1DE2" w:rsidRDefault="008410B1" w:rsidP="008410B1">
      <w:pPr>
        <w:jc w:val="both"/>
        <w:rPr>
          <w:rFonts w:ascii="Arial" w:eastAsia="Calibri" w:hAnsi="Arial" w:cs="Arial"/>
          <w:sz w:val="20"/>
          <w:szCs w:val="20"/>
          <w:lang w:val="es-ES_tradnl"/>
        </w:rPr>
      </w:pPr>
    </w:p>
    <w:p w14:paraId="23AB3850" w14:textId="71F6214C" w:rsidR="008410B1" w:rsidRPr="00EA1DE2" w:rsidRDefault="008410B1" w:rsidP="008410B1">
      <w:pPr>
        <w:jc w:val="both"/>
        <w:rPr>
          <w:rFonts w:ascii="Arial" w:eastAsia="Calibri" w:hAnsi="Arial" w:cs="Arial"/>
          <w:sz w:val="20"/>
          <w:szCs w:val="20"/>
          <w:lang w:val="es-ES_tradnl"/>
        </w:rPr>
      </w:pPr>
      <w:r w:rsidRPr="00EA1DE2">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EA1DE2">
        <w:rPr>
          <w:rFonts w:ascii="Arial" w:eastAsia="Calibri" w:hAnsi="Arial" w:cs="Arial"/>
          <w:sz w:val="20"/>
          <w:szCs w:val="20"/>
          <w:lang w:val="es-ES_tradnl"/>
        </w:rPr>
        <w:t>de acuerdo a</w:t>
      </w:r>
      <w:proofErr w:type="gramEnd"/>
      <w:r w:rsidRPr="00EA1DE2">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EA1DE2">
        <w:rPr>
          <w:rFonts w:ascii="Arial" w:eastAsia="Calibri" w:hAnsi="Arial" w:cs="Arial"/>
          <w:sz w:val="20"/>
          <w:szCs w:val="20"/>
          <w:lang w:val="es-ES_tradnl"/>
        </w:rPr>
        <w:t>mipymes</w:t>
      </w:r>
      <w:proofErr w:type="spellEnd"/>
      <w:r w:rsidRPr="00EA1DE2">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EA1DE2">
        <w:rPr>
          <w:rFonts w:ascii="Arial" w:eastAsia="Calibri" w:hAnsi="Arial" w:cs="Arial"/>
          <w:sz w:val="20"/>
          <w:szCs w:val="20"/>
          <w:lang w:val="es-ES_tradnl"/>
        </w:rPr>
        <w:t>,</w:t>
      </w:r>
      <w:r w:rsidR="00B74EF8" w:rsidRPr="00EA1DE2">
        <w:rPr>
          <w:rFonts w:ascii="Arial" w:eastAsia="Calibri" w:hAnsi="Arial" w:cs="Arial"/>
          <w:sz w:val="20"/>
          <w:szCs w:val="20"/>
          <w:lang w:val="es-ES_tradnl"/>
        </w:rPr>
        <w:t xml:space="preserve"> </w:t>
      </w:r>
      <w:r w:rsidRPr="00EA1DE2">
        <w:rPr>
          <w:rFonts w:ascii="Arial" w:eastAsia="Calibri" w:hAnsi="Arial" w:cs="Arial"/>
          <w:sz w:val="20"/>
          <w:szCs w:val="20"/>
          <w:lang w:val="es-ES_tradnl"/>
        </w:rPr>
        <w:t>y se prevén medidas de educación para el emprendimiento y la innovación.</w:t>
      </w:r>
    </w:p>
    <w:p w14:paraId="017696B6" w14:textId="68374247" w:rsidR="00965729" w:rsidRPr="00EA1DE2" w:rsidRDefault="00965729" w:rsidP="008410B1">
      <w:pPr>
        <w:jc w:val="both"/>
        <w:rPr>
          <w:rFonts w:ascii="Arial" w:eastAsia="Calibri" w:hAnsi="Arial" w:cs="Arial"/>
          <w:b/>
          <w:sz w:val="22"/>
          <w:lang w:val="es-ES_tradnl"/>
        </w:rPr>
      </w:pPr>
    </w:p>
    <w:p w14:paraId="2AF69B60" w14:textId="04369561" w:rsidR="00383677" w:rsidRPr="00EA1DE2" w:rsidRDefault="00383677" w:rsidP="008410B1">
      <w:pPr>
        <w:jc w:val="both"/>
        <w:rPr>
          <w:rFonts w:ascii="Arial" w:eastAsia="Calibri" w:hAnsi="Arial" w:cs="Arial"/>
          <w:b/>
          <w:sz w:val="22"/>
          <w:lang w:val="es-ES_tradnl"/>
        </w:rPr>
      </w:pPr>
      <w:r w:rsidRPr="00EA1DE2">
        <w:rPr>
          <w:rFonts w:ascii="Arial" w:eastAsia="Calibri" w:hAnsi="Arial" w:cs="Arial"/>
          <w:b/>
          <w:sz w:val="22"/>
          <w:lang w:val="es-ES_tradnl"/>
        </w:rPr>
        <w:t>FACTORES DE DESEMPATE – Ley 2069 – Artículo 35 – Aplicación directa</w:t>
      </w:r>
    </w:p>
    <w:p w14:paraId="6CBC62EA" w14:textId="122B927D" w:rsidR="00383677" w:rsidRPr="00EA1DE2" w:rsidRDefault="00383677" w:rsidP="008410B1">
      <w:pPr>
        <w:jc w:val="both"/>
        <w:rPr>
          <w:rFonts w:ascii="Arial" w:eastAsia="Calibri" w:hAnsi="Arial" w:cs="Arial"/>
          <w:b/>
          <w:sz w:val="22"/>
          <w:lang w:val="es-ES_tradnl"/>
        </w:rPr>
      </w:pPr>
    </w:p>
    <w:p w14:paraId="2C9F730B" w14:textId="05B79711" w:rsidR="00383677" w:rsidRPr="00EA1DE2" w:rsidRDefault="00383677" w:rsidP="00383677">
      <w:pPr>
        <w:jc w:val="both"/>
        <w:rPr>
          <w:rFonts w:ascii="Arial" w:eastAsia="Calibri" w:hAnsi="Arial" w:cs="Arial"/>
          <w:bCs/>
          <w:sz w:val="20"/>
          <w:szCs w:val="22"/>
          <w:lang w:val="es-ES_tradnl"/>
        </w:rPr>
      </w:pPr>
      <w:r w:rsidRPr="00EA1DE2">
        <w:rPr>
          <w:rFonts w:ascii="Arial" w:eastAsia="Calibri" w:hAnsi="Arial" w:cs="Arial"/>
          <w:bCs/>
          <w:sz w:val="20"/>
          <w:szCs w:val="22"/>
          <w:lang w:val="es-ES_tradnl"/>
        </w:rPr>
        <w:t>En efecto, 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podrá reglamentar la aplicación de factores de desempate en casos en que concurran dos o más de los factores aquí previstos».</w:t>
      </w:r>
    </w:p>
    <w:p w14:paraId="24EF3281" w14:textId="77777777" w:rsidR="00965729" w:rsidRPr="00EA1DE2" w:rsidRDefault="00965729" w:rsidP="008410B1">
      <w:pPr>
        <w:jc w:val="both"/>
        <w:rPr>
          <w:rFonts w:ascii="Arial" w:eastAsia="Calibri" w:hAnsi="Arial" w:cs="Arial"/>
          <w:b/>
          <w:sz w:val="22"/>
          <w:lang w:val="es-ES_tradnl"/>
        </w:rPr>
      </w:pPr>
    </w:p>
    <w:p w14:paraId="5C894141" w14:textId="15F52C8C" w:rsidR="00D73881" w:rsidRPr="00EA1DE2" w:rsidRDefault="00D73881" w:rsidP="00D73881">
      <w:pPr>
        <w:jc w:val="both"/>
        <w:rPr>
          <w:rFonts w:ascii="Arial" w:eastAsia="Calibri" w:hAnsi="Arial" w:cs="Arial"/>
          <w:b/>
          <w:sz w:val="22"/>
          <w:lang w:val="es-ES_tradnl"/>
        </w:rPr>
      </w:pPr>
      <w:r w:rsidRPr="00EA1DE2">
        <w:rPr>
          <w:rFonts w:ascii="Arial" w:eastAsia="Calibri" w:hAnsi="Arial" w:cs="Arial"/>
          <w:b/>
          <w:sz w:val="22"/>
          <w:lang w:val="es-ES_tradnl"/>
        </w:rPr>
        <w:t xml:space="preserve">FACTORES DE DESEMPATE – Ley </w:t>
      </w:r>
      <w:r w:rsidR="007B209C" w:rsidRPr="00EA1DE2">
        <w:rPr>
          <w:rFonts w:ascii="Arial" w:eastAsia="Calibri" w:hAnsi="Arial" w:cs="Arial"/>
          <w:b/>
          <w:sz w:val="22"/>
          <w:lang w:val="es-ES_tradnl"/>
        </w:rPr>
        <w:t>2069</w:t>
      </w:r>
      <w:r w:rsidRPr="00EA1DE2">
        <w:rPr>
          <w:rFonts w:ascii="Arial" w:eastAsia="Calibri" w:hAnsi="Arial" w:cs="Arial"/>
          <w:b/>
          <w:sz w:val="22"/>
          <w:lang w:val="es-ES_tradnl"/>
        </w:rPr>
        <w:t xml:space="preserve"> – Artículo 35 – Acreditación</w:t>
      </w:r>
    </w:p>
    <w:p w14:paraId="4D9EB4C1" w14:textId="20D03020" w:rsidR="00D73881" w:rsidRPr="00EA1DE2" w:rsidRDefault="00D73881" w:rsidP="00B95C30">
      <w:pPr>
        <w:spacing w:line="276" w:lineRule="auto"/>
        <w:jc w:val="both"/>
        <w:rPr>
          <w:rFonts w:ascii="Arial" w:hAnsi="Arial" w:cs="Arial"/>
          <w:noProof/>
          <w:sz w:val="22"/>
          <w:lang w:val="es-ES_tradnl"/>
        </w:rPr>
      </w:pPr>
    </w:p>
    <w:p w14:paraId="395CDEF5" w14:textId="2B50E295" w:rsidR="00BC1C23" w:rsidRPr="00EA1DE2" w:rsidRDefault="00BC1C23" w:rsidP="00BC1C23">
      <w:pPr>
        <w:jc w:val="both"/>
        <w:rPr>
          <w:rFonts w:ascii="Arial" w:eastAsia="Calibri" w:hAnsi="Arial" w:cs="Arial"/>
          <w:sz w:val="20"/>
          <w:szCs w:val="20"/>
          <w:lang w:val="es-ES_tradnl"/>
        </w:rPr>
      </w:pPr>
      <w:r w:rsidRPr="00EA1DE2">
        <w:rPr>
          <w:rFonts w:ascii="Arial" w:eastAsia="Calibri" w:hAnsi="Arial" w:cs="Arial"/>
          <w:sz w:val="20"/>
          <w:szCs w:val="20"/>
          <w:lang w:val="es-ES_tradnl"/>
        </w:rPr>
        <w:t xml:space="preserve">El artículo 35 de la Ley 2069 de 2020 no establece medios específicos para acreditar las circunstancias a las que se refieren sus numerales y que dan lugar a la aplicación de las reglas de desempate.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591133F6" w14:textId="77777777" w:rsidR="00383677" w:rsidRPr="00EA1DE2" w:rsidRDefault="00383677" w:rsidP="00BC1C23">
      <w:pPr>
        <w:jc w:val="both"/>
        <w:rPr>
          <w:rFonts w:ascii="Arial" w:eastAsia="Calibri" w:hAnsi="Arial" w:cs="Arial"/>
          <w:sz w:val="20"/>
          <w:szCs w:val="20"/>
          <w:lang w:val="es-ES_tradnl"/>
        </w:rPr>
      </w:pPr>
    </w:p>
    <w:p w14:paraId="5B078637" w14:textId="3AE22443" w:rsidR="00B167C8" w:rsidRPr="00EA1DE2" w:rsidRDefault="00BC1C23" w:rsidP="00BC1C23">
      <w:pPr>
        <w:jc w:val="both"/>
        <w:rPr>
          <w:rFonts w:ascii="Arial" w:hAnsi="Arial" w:cs="Arial"/>
          <w:noProof/>
          <w:sz w:val="22"/>
          <w:lang w:val="es-ES_tradnl"/>
        </w:rPr>
      </w:pPr>
      <w:r w:rsidRPr="00EA1DE2">
        <w:rPr>
          <w:rFonts w:ascii="Arial" w:eastAsia="Calibri" w:hAnsi="Arial" w:cs="Arial"/>
          <w:sz w:val="20"/>
          <w:szCs w:val="20"/>
          <w:lang w:val="es-ES_tradnl"/>
        </w:rPr>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w:t>
      </w:r>
      <w:r w:rsidRPr="00EA1DE2">
        <w:rPr>
          <w:rFonts w:ascii="Arial" w:eastAsia="Calibri" w:hAnsi="Arial" w:cs="Arial"/>
          <w:sz w:val="20"/>
          <w:szCs w:val="20"/>
          <w:lang w:val="es-ES_tradnl"/>
        </w:rPr>
        <w:lastRenderedPageBreak/>
        <w:t>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13C27EB7" w14:textId="77777777" w:rsidR="00B167C8" w:rsidRPr="00EA1DE2" w:rsidRDefault="00B167C8" w:rsidP="00B95C30">
      <w:pPr>
        <w:spacing w:line="276" w:lineRule="auto"/>
        <w:jc w:val="both"/>
        <w:rPr>
          <w:rFonts w:ascii="Arial" w:hAnsi="Arial" w:cs="Arial"/>
          <w:noProof/>
          <w:sz w:val="22"/>
          <w:lang w:val="es-ES_tradnl"/>
        </w:rPr>
      </w:pPr>
    </w:p>
    <w:p w14:paraId="0AB212D3" w14:textId="62A833AF" w:rsidR="00B167C8" w:rsidRPr="00EA1DE2" w:rsidRDefault="00383677" w:rsidP="00B95C30">
      <w:pPr>
        <w:spacing w:line="276" w:lineRule="auto"/>
        <w:jc w:val="both"/>
        <w:rPr>
          <w:rFonts w:ascii="Arial" w:hAnsi="Arial" w:cs="Arial"/>
          <w:noProof/>
          <w:sz w:val="22"/>
          <w:lang w:val="es-ES_tradnl"/>
        </w:rPr>
      </w:pPr>
      <w:r w:rsidRPr="00EA1DE2">
        <w:rPr>
          <w:rFonts w:ascii="Arial" w:eastAsia="Calibri" w:hAnsi="Arial" w:cs="Arial"/>
          <w:b/>
          <w:sz w:val="22"/>
          <w:lang w:val="es-ES_tradnl"/>
        </w:rPr>
        <w:t xml:space="preserve">FACTORES DE DESEMPATE – Ley 2069 – Artículo 35 – Numeral 2 – Concepto jurídico indeterminado – Participación mayoritaria </w:t>
      </w:r>
      <w:r w:rsidR="00EA1DE2" w:rsidRPr="00EA1DE2">
        <w:rPr>
          <w:rFonts w:ascii="Arial" w:eastAsia="Calibri" w:hAnsi="Arial" w:cs="Arial"/>
          <w:b/>
          <w:sz w:val="22"/>
          <w:lang w:val="es-ES_tradnl"/>
        </w:rPr>
        <w:t>– Superior al 50%</w:t>
      </w:r>
    </w:p>
    <w:p w14:paraId="5B23BC21" w14:textId="07204032" w:rsidR="00B167C8" w:rsidRPr="00EA1DE2" w:rsidRDefault="00B167C8" w:rsidP="00B95C30">
      <w:pPr>
        <w:spacing w:line="276" w:lineRule="auto"/>
        <w:jc w:val="both"/>
        <w:rPr>
          <w:rFonts w:ascii="Arial" w:hAnsi="Arial" w:cs="Arial"/>
          <w:noProof/>
          <w:sz w:val="22"/>
          <w:lang w:val="es-ES_tradnl"/>
        </w:rPr>
      </w:pPr>
    </w:p>
    <w:p w14:paraId="71011D17" w14:textId="5DD71100" w:rsidR="00EA1DE2" w:rsidRPr="00EA1DE2" w:rsidRDefault="00EA1DE2" w:rsidP="00EA1DE2">
      <w:pPr>
        <w:jc w:val="both"/>
        <w:rPr>
          <w:rFonts w:ascii="Arial" w:hAnsi="Arial" w:cs="Arial"/>
          <w:noProof/>
          <w:sz w:val="20"/>
          <w:szCs w:val="22"/>
          <w:lang w:val="es-ES_tradnl"/>
        </w:rPr>
      </w:pPr>
      <w:r w:rsidRPr="00EA1DE2">
        <w:rPr>
          <w:rFonts w:ascii="Arial" w:hAnsi="Arial" w:cs="Arial"/>
          <w:noProof/>
          <w:sz w:val="20"/>
          <w:szCs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claridad este requisito. A menos de indicarse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1EB40378" w14:textId="77777777" w:rsidR="00EA1DE2" w:rsidRPr="00EA1DE2" w:rsidRDefault="00EA1DE2" w:rsidP="00EA1DE2">
      <w:pPr>
        <w:jc w:val="both"/>
        <w:rPr>
          <w:rFonts w:ascii="Arial" w:hAnsi="Arial" w:cs="Arial"/>
          <w:noProof/>
          <w:sz w:val="20"/>
          <w:szCs w:val="22"/>
          <w:lang w:val="es-ES_tradnl"/>
        </w:rPr>
      </w:pPr>
    </w:p>
    <w:p w14:paraId="47C05A37" w14:textId="0DAA6AFC" w:rsidR="00F53F4F" w:rsidRPr="00EA1DE2" w:rsidRDefault="00EA1DE2" w:rsidP="00EA1DE2">
      <w:pPr>
        <w:jc w:val="both"/>
        <w:rPr>
          <w:rFonts w:ascii="Arial" w:hAnsi="Arial" w:cs="Arial"/>
          <w:noProof/>
          <w:sz w:val="22"/>
          <w:lang w:val="es-ES_tradnl"/>
        </w:rPr>
      </w:pPr>
      <w:r w:rsidRPr="00EA1DE2">
        <w:rPr>
          <w:rFonts w:ascii="Arial" w:hAnsi="Arial" w:cs="Arial"/>
          <w:noProof/>
          <w:sz w:val="20"/>
          <w:szCs w:val="22"/>
          <w:lang w:val="es-ES_tradnl"/>
        </w:rPr>
        <w:t>En tal sentido, teniendo en cuenta que no hay definición legal expresa, el Diccionario de la Lengua Española dice que «participar» es «Tener parte en una sociedad o negocio o ser socio de ellos». Esta noción es acorde con el derecho societario, en el cual se indica 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 Por lo tanto, de conformidad con el artículo 35, numeral 2 de la Ley 2069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Teniendo en cuenta que participar debe entenderse –a menos que el reglamento disponga lo contrario– como tomar parte en la sociedad o proponente plural, de acuerdo al aporte en dinero o trabajo, esta Agencia considera que no basta con que una mujer cabeza de familia o víctima de la violencia intrafamiliar esté vinculada laboralmente o prestando un servicio, para asumir que está «participando».</w:t>
      </w:r>
    </w:p>
    <w:p w14:paraId="4C890ADD" w14:textId="4072A01E" w:rsidR="00160C01" w:rsidRPr="00EA1DE2" w:rsidRDefault="00160C01" w:rsidP="00B95C30">
      <w:pPr>
        <w:spacing w:line="276" w:lineRule="auto"/>
        <w:jc w:val="both"/>
        <w:rPr>
          <w:rFonts w:ascii="Arial" w:hAnsi="Arial" w:cs="Arial"/>
          <w:noProof/>
          <w:sz w:val="22"/>
          <w:lang w:val="es-ES_tradnl"/>
        </w:rPr>
      </w:pPr>
    </w:p>
    <w:p w14:paraId="087584F4" w14:textId="1F7A4741" w:rsidR="00160C01" w:rsidRPr="00EA1DE2" w:rsidRDefault="00160C01" w:rsidP="00B95C30">
      <w:pPr>
        <w:spacing w:line="276" w:lineRule="auto"/>
        <w:jc w:val="both"/>
        <w:rPr>
          <w:rFonts w:ascii="Arial" w:hAnsi="Arial" w:cs="Arial"/>
          <w:noProof/>
          <w:sz w:val="22"/>
          <w:lang w:val="es-ES_tradnl"/>
        </w:rPr>
      </w:pPr>
    </w:p>
    <w:p w14:paraId="310C4E73" w14:textId="402A5058" w:rsidR="00160C01" w:rsidRPr="00EA1DE2" w:rsidRDefault="00160C01" w:rsidP="00B95C30">
      <w:pPr>
        <w:spacing w:line="276" w:lineRule="auto"/>
        <w:jc w:val="both"/>
        <w:rPr>
          <w:rFonts w:ascii="Arial" w:hAnsi="Arial" w:cs="Arial"/>
          <w:noProof/>
          <w:sz w:val="22"/>
          <w:lang w:val="es-ES_tradnl"/>
        </w:rPr>
      </w:pPr>
    </w:p>
    <w:p w14:paraId="32590D25" w14:textId="3C8933E1" w:rsidR="00160C01" w:rsidRPr="00EA1DE2" w:rsidRDefault="00160C01" w:rsidP="00B95C30">
      <w:pPr>
        <w:spacing w:line="276" w:lineRule="auto"/>
        <w:jc w:val="both"/>
        <w:rPr>
          <w:rFonts w:ascii="Arial" w:hAnsi="Arial" w:cs="Arial"/>
          <w:noProof/>
          <w:sz w:val="22"/>
          <w:lang w:val="es-ES_tradnl"/>
        </w:rPr>
      </w:pPr>
    </w:p>
    <w:p w14:paraId="7698083D" w14:textId="418113A1" w:rsidR="00656F2E" w:rsidRPr="00EA1DE2" w:rsidRDefault="00656F2E" w:rsidP="00B95C30">
      <w:pPr>
        <w:spacing w:line="276" w:lineRule="auto"/>
        <w:jc w:val="both"/>
        <w:rPr>
          <w:rFonts w:ascii="Arial" w:hAnsi="Arial" w:cs="Arial"/>
          <w:noProof/>
          <w:sz w:val="22"/>
          <w:lang w:val="es-ES_tradnl"/>
        </w:rPr>
      </w:pPr>
    </w:p>
    <w:p w14:paraId="0FDAF0EA" w14:textId="5D590A49" w:rsidR="00656F2E" w:rsidRPr="00EA1DE2" w:rsidRDefault="00656F2E" w:rsidP="00B95C30">
      <w:pPr>
        <w:spacing w:line="276" w:lineRule="auto"/>
        <w:jc w:val="both"/>
        <w:rPr>
          <w:rFonts w:ascii="Arial" w:hAnsi="Arial" w:cs="Arial"/>
          <w:noProof/>
          <w:sz w:val="22"/>
          <w:lang w:val="es-ES_tradnl"/>
        </w:rPr>
      </w:pPr>
    </w:p>
    <w:p w14:paraId="3BEC8516" w14:textId="7BBA6C6A" w:rsidR="00656F2E" w:rsidRPr="00EA1DE2" w:rsidRDefault="00656F2E" w:rsidP="00B95C30">
      <w:pPr>
        <w:spacing w:line="276" w:lineRule="auto"/>
        <w:jc w:val="both"/>
        <w:rPr>
          <w:rFonts w:ascii="Arial" w:hAnsi="Arial" w:cs="Arial"/>
          <w:noProof/>
          <w:sz w:val="22"/>
          <w:lang w:val="es-ES_tradnl"/>
        </w:rPr>
      </w:pPr>
    </w:p>
    <w:p w14:paraId="39DE0D07" w14:textId="16A69C63" w:rsidR="00656F2E" w:rsidRPr="00EA1DE2" w:rsidRDefault="00656F2E" w:rsidP="00B95C30">
      <w:pPr>
        <w:spacing w:line="276" w:lineRule="auto"/>
        <w:jc w:val="both"/>
        <w:rPr>
          <w:rFonts w:ascii="Arial" w:hAnsi="Arial" w:cs="Arial"/>
          <w:noProof/>
          <w:sz w:val="22"/>
          <w:lang w:val="es-ES_tradnl"/>
        </w:rPr>
      </w:pPr>
    </w:p>
    <w:p w14:paraId="10CA4973" w14:textId="3B707F31" w:rsidR="00656F2E" w:rsidRPr="00EA1DE2" w:rsidRDefault="00656F2E" w:rsidP="00B95C30">
      <w:pPr>
        <w:spacing w:line="276" w:lineRule="auto"/>
        <w:jc w:val="both"/>
        <w:rPr>
          <w:rFonts w:ascii="Arial" w:hAnsi="Arial" w:cs="Arial"/>
          <w:noProof/>
          <w:sz w:val="22"/>
          <w:lang w:val="es-ES_tradnl"/>
        </w:rPr>
      </w:pPr>
    </w:p>
    <w:p w14:paraId="65CC6067" w14:textId="6C9B34F2" w:rsidR="00656F2E" w:rsidRPr="00EA1DE2" w:rsidRDefault="00656F2E" w:rsidP="00B95C30">
      <w:pPr>
        <w:spacing w:line="276" w:lineRule="auto"/>
        <w:jc w:val="both"/>
        <w:rPr>
          <w:rFonts w:ascii="Arial" w:hAnsi="Arial" w:cs="Arial"/>
          <w:noProof/>
          <w:sz w:val="22"/>
          <w:lang w:val="es-ES_tradnl"/>
        </w:rPr>
      </w:pPr>
    </w:p>
    <w:p w14:paraId="194B067A" w14:textId="6E4432C9" w:rsidR="00656F2E" w:rsidRPr="00EA1DE2" w:rsidRDefault="00656F2E" w:rsidP="00B95C30">
      <w:pPr>
        <w:spacing w:line="276" w:lineRule="auto"/>
        <w:jc w:val="both"/>
        <w:rPr>
          <w:rFonts w:ascii="Arial" w:hAnsi="Arial" w:cs="Arial"/>
          <w:noProof/>
          <w:sz w:val="22"/>
          <w:lang w:val="es-ES_tradnl"/>
        </w:rPr>
      </w:pPr>
    </w:p>
    <w:p w14:paraId="495D3943" w14:textId="186A9D14" w:rsidR="00656F2E" w:rsidRPr="00EA1DE2" w:rsidRDefault="00656F2E" w:rsidP="00B95C30">
      <w:pPr>
        <w:spacing w:line="276" w:lineRule="auto"/>
        <w:jc w:val="both"/>
        <w:rPr>
          <w:rFonts w:ascii="Arial" w:hAnsi="Arial" w:cs="Arial"/>
          <w:noProof/>
          <w:sz w:val="22"/>
          <w:lang w:val="es-ES_tradnl"/>
        </w:rPr>
      </w:pPr>
    </w:p>
    <w:p w14:paraId="4D18C4A8" w14:textId="4A3D4A4E" w:rsidR="00656F2E" w:rsidRPr="00EA1DE2" w:rsidRDefault="00656F2E" w:rsidP="00B95C30">
      <w:pPr>
        <w:spacing w:line="276" w:lineRule="auto"/>
        <w:jc w:val="both"/>
        <w:rPr>
          <w:rFonts w:ascii="Arial" w:hAnsi="Arial" w:cs="Arial"/>
          <w:noProof/>
          <w:sz w:val="22"/>
          <w:lang w:val="es-ES_tradnl"/>
        </w:rPr>
      </w:pPr>
    </w:p>
    <w:p w14:paraId="6A8A869B" w14:textId="514D7C5B" w:rsidR="00B95C30" w:rsidRPr="00EA1DE2" w:rsidRDefault="00B95C30" w:rsidP="00B95C30">
      <w:pPr>
        <w:jc w:val="both"/>
        <w:rPr>
          <w:rFonts w:ascii="Arial" w:hAnsi="Arial" w:cs="Arial"/>
          <w:b/>
          <w:sz w:val="22"/>
          <w:lang w:val="es-ES_tradnl"/>
        </w:rPr>
      </w:pPr>
    </w:p>
    <w:p w14:paraId="5758C776" w14:textId="46590C9E" w:rsidR="00B8444A" w:rsidRPr="00EA1DE2" w:rsidRDefault="007A58FE" w:rsidP="00B8444A">
      <w:pPr>
        <w:jc w:val="right"/>
        <w:rPr>
          <w:rFonts w:ascii="Arial" w:eastAsia="Calibri" w:hAnsi="Arial" w:cs="Arial"/>
          <w:sz w:val="22"/>
          <w:lang w:val="es-ES_tradnl"/>
        </w:rPr>
      </w:pPr>
      <w:bookmarkStart w:id="2" w:name="_Hlk65676167"/>
      <w:r w:rsidRPr="00EA1DE2">
        <w:rPr>
          <w:rFonts w:ascii="Arial" w:eastAsia="Calibri" w:hAnsi="Arial" w:cs="Arial"/>
          <w:sz w:val="22"/>
          <w:lang w:val="es-ES_tradnl"/>
        </w:rPr>
        <w:lastRenderedPageBreak/>
        <w:t xml:space="preserve"> </w:t>
      </w:r>
    </w:p>
    <w:p w14:paraId="71E7BE4A" w14:textId="6AF9F1AC" w:rsidR="002762BE" w:rsidRPr="00EA1DE2" w:rsidRDefault="002762BE" w:rsidP="002762BE">
      <w:pPr>
        <w:spacing w:line="276" w:lineRule="auto"/>
        <w:jc w:val="both"/>
        <w:rPr>
          <w:rFonts w:ascii="Arial" w:hAnsi="Arial" w:cs="Arial"/>
          <w:noProof/>
          <w:sz w:val="22"/>
          <w:lang w:val="es-ES_tradnl"/>
        </w:rPr>
      </w:pPr>
    </w:p>
    <w:p w14:paraId="4FBF25A3" w14:textId="2692F431" w:rsidR="007A58FE" w:rsidRPr="00EA1DE2" w:rsidRDefault="00A17983" w:rsidP="00A17983">
      <w:pPr>
        <w:spacing w:line="276" w:lineRule="auto"/>
        <w:jc w:val="right"/>
        <w:rPr>
          <w:rFonts w:ascii="Arial" w:hAnsi="Arial" w:cs="Arial"/>
          <w:noProof/>
          <w:sz w:val="22"/>
          <w:lang w:val="es-ES_tradnl"/>
        </w:rPr>
      </w:pPr>
      <w:r w:rsidRPr="00A17983">
        <w:rPr>
          <w:rFonts w:ascii="Arial" w:hAnsi="Arial" w:cs="Arial"/>
          <w:noProof/>
          <w:sz w:val="22"/>
          <w:lang w:val="es-ES_tradnl"/>
        </w:rPr>
        <w:drawing>
          <wp:inline distT="0" distB="0" distL="0" distR="0" wp14:anchorId="6EAEBC50" wp14:editId="09DB7AA8">
            <wp:extent cx="2924175" cy="774906"/>
            <wp:effectExtent l="0" t="0" r="0" b="6350"/>
            <wp:docPr id="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10;&#10;Descripción generada automáticamente"/>
                    <pic:cNvPicPr/>
                  </pic:nvPicPr>
                  <pic:blipFill>
                    <a:blip r:embed="rId11"/>
                    <a:stretch>
                      <a:fillRect/>
                    </a:stretch>
                  </pic:blipFill>
                  <pic:spPr>
                    <a:xfrm>
                      <a:off x="0" y="0"/>
                      <a:ext cx="2935359" cy="777870"/>
                    </a:xfrm>
                    <a:prstGeom prst="rect">
                      <a:avLst/>
                    </a:prstGeom>
                  </pic:spPr>
                </pic:pic>
              </a:graphicData>
            </a:graphic>
          </wp:inline>
        </w:drawing>
      </w:r>
    </w:p>
    <w:p w14:paraId="26BBC2F8" w14:textId="77777777" w:rsidR="00B8444A" w:rsidRPr="00EA1DE2" w:rsidRDefault="00B8444A" w:rsidP="00B95C30">
      <w:pPr>
        <w:jc w:val="both"/>
        <w:rPr>
          <w:rFonts w:ascii="Arial" w:eastAsia="Calibri" w:hAnsi="Arial" w:cs="Arial"/>
          <w:sz w:val="22"/>
          <w:lang w:val="es-ES_tradnl"/>
        </w:rPr>
      </w:pPr>
    </w:p>
    <w:p w14:paraId="5F5AE9EF" w14:textId="184F5ADC" w:rsidR="00B95C30" w:rsidRPr="00EA1DE2" w:rsidRDefault="00BE4FBF" w:rsidP="00B95C30">
      <w:pPr>
        <w:jc w:val="both"/>
        <w:rPr>
          <w:rFonts w:ascii="Arial" w:eastAsia="Calibri" w:hAnsi="Arial" w:cs="Arial"/>
          <w:sz w:val="22"/>
          <w:lang w:val="es-ES_tradnl"/>
        </w:rPr>
      </w:pPr>
      <w:r w:rsidRPr="00EA1DE2">
        <w:rPr>
          <w:rFonts w:ascii="Arial" w:eastAsia="Calibri" w:hAnsi="Arial" w:cs="Arial"/>
          <w:sz w:val="22"/>
          <w:lang w:val="es-ES_tradnl"/>
        </w:rPr>
        <w:t>Señor</w:t>
      </w:r>
      <w:r w:rsidR="00E21E17" w:rsidRPr="00EA1DE2">
        <w:rPr>
          <w:rFonts w:ascii="Arial" w:eastAsia="Calibri" w:hAnsi="Arial" w:cs="Arial"/>
          <w:sz w:val="22"/>
          <w:lang w:val="es-ES_tradnl"/>
        </w:rPr>
        <w:t>a</w:t>
      </w:r>
    </w:p>
    <w:p w14:paraId="08693ECE" w14:textId="7A3ADF7E" w:rsidR="00E21E17" w:rsidRPr="00EA1DE2" w:rsidRDefault="00E21E17" w:rsidP="00B63DAB">
      <w:pPr>
        <w:jc w:val="both"/>
        <w:rPr>
          <w:rFonts w:ascii="Arial" w:eastAsia="Calibri" w:hAnsi="Arial" w:cs="Arial"/>
          <w:b/>
          <w:sz w:val="22"/>
          <w:lang w:val="es-ES_tradnl"/>
        </w:rPr>
      </w:pPr>
      <w:r w:rsidRPr="00EA1DE2">
        <w:rPr>
          <w:rFonts w:ascii="Arial" w:eastAsia="Calibri" w:hAnsi="Arial" w:cs="Arial"/>
          <w:b/>
          <w:sz w:val="22"/>
          <w:lang w:val="es-ES_tradnl"/>
        </w:rPr>
        <w:t xml:space="preserve">Evelin Ordóñez Urbano </w:t>
      </w:r>
    </w:p>
    <w:p w14:paraId="1576487D" w14:textId="6218F4DD" w:rsidR="00C619B8" w:rsidRPr="00EA1DE2" w:rsidRDefault="00B63DAB" w:rsidP="00B95C30">
      <w:pPr>
        <w:jc w:val="both"/>
        <w:rPr>
          <w:rFonts w:ascii="Arial" w:eastAsia="Calibri" w:hAnsi="Arial" w:cs="Arial"/>
          <w:sz w:val="22"/>
          <w:lang w:val="es-ES_tradnl"/>
        </w:rPr>
      </w:pPr>
      <w:r w:rsidRPr="00EA1DE2">
        <w:rPr>
          <w:rFonts w:ascii="Arial" w:eastAsia="Calibri" w:hAnsi="Arial" w:cs="Arial"/>
          <w:sz w:val="22"/>
          <w:lang w:val="es-ES_tradnl"/>
        </w:rPr>
        <w:t>Bogotá D.C.</w:t>
      </w:r>
    </w:p>
    <w:p w14:paraId="7276B167" w14:textId="476253B7" w:rsidR="002046EC" w:rsidRPr="00EA1DE2" w:rsidRDefault="002046EC" w:rsidP="00B95C30">
      <w:pPr>
        <w:jc w:val="both"/>
        <w:rPr>
          <w:rFonts w:ascii="Arial" w:eastAsia="Calibri" w:hAnsi="Arial" w:cs="Arial"/>
          <w:sz w:val="22"/>
          <w:lang w:val="es-ES_tradnl"/>
        </w:rPr>
      </w:pPr>
    </w:p>
    <w:p w14:paraId="22327351" w14:textId="77777777" w:rsidR="00383677" w:rsidRPr="00EA1DE2" w:rsidRDefault="00383677" w:rsidP="00B95C30">
      <w:pPr>
        <w:jc w:val="both"/>
        <w:rPr>
          <w:rFonts w:ascii="Arial" w:eastAsia="Calibri" w:hAnsi="Arial" w:cs="Arial"/>
          <w:sz w:val="22"/>
          <w:lang w:val="es-ES_tradnl"/>
        </w:rPr>
      </w:pPr>
    </w:p>
    <w:p w14:paraId="12E66182" w14:textId="7B78AC11" w:rsidR="00B95C30" w:rsidRPr="00EA1DE2" w:rsidRDefault="00F53F4F" w:rsidP="001D6CD2">
      <w:pPr>
        <w:rPr>
          <w:rFonts w:ascii="Arial" w:eastAsia="Calibri" w:hAnsi="Arial" w:cs="Arial"/>
          <w:b/>
          <w:bCs/>
          <w:sz w:val="22"/>
          <w:lang w:val="es-ES_tradnl"/>
        </w:rPr>
      </w:pPr>
      <w:r w:rsidRPr="00EA1DE2">
        <w:rPr>
          <w:rFonts w:ascii="Arial" w:eastAsia="Calibri" w:hAnsi="Arial" w:cs="Arial"/>
          <w:b/>
          <w:bCs/>
          <w:sz w:val="22"/>
          <w:lang w:val="es-ES_tradnl"/>
        </w:rPr>
        <w:t xml:space="preserve">                                            </w:t>
      </w:r>
      <w:r w:rsidR="00B95C30" w:rsidRPr="00EA1DE2">
        <w:rPr>
          <w:rFonts w:ascii="Arial" w:eastAsia="Calibri" w:hAnsi="Arial" w:cs="Arial"/>
          <w:b/>
          <w:bCs/>
          <w:sz w:val="22"/>
          <w:lang w:val="es-ES_tradnl"/>
        </w:rPr>
        <w:t xml:space="preserve">Concepto C ‒ </w:t>
      </w:r>
      <w:r w:rsidR="00D76A92" w:rsidRPr="00EA1DE2">
        <w:rPr>
          <w:rFonts w:ascii="Arial" w:eastAsia="Calibri" w:hAnsi="Arial" w:cs="Arial"/>
          <w:b/>
          <w:bCs/>
          <w:sz w:val="22"/>
          <w:lang w:val="es-ES_tradnl"/>
        </w:rPr>
        <w:t>302</w:t>
      </w:r>
      <w:r w:rsidR="00B95C30" w:rsidRPr="00EA1DE2">
        <w:rPr>
          <w:rFonts w:ascii="Arial" w:eastAsia="Calibri" w:hAnsi="Arial" w:cs="Arial"/>
          <w:b/>
          <w:bCs/>
          <w:sz w:val="22"/>
          <w:lang w:val="es-ES_tradnl"/>
        </w:rPr>
        <w:t xml:space="preserve"> de 202</w:t>
      </w:r>
      <w:r w:rsidR="005E781C" w:rsidRPr="00EA1DE2">
        <w:rPr>
          <w:rFonts w:ascii="Arial" w:eastAsia="Calibri" w:hAnsi="Arial" w:cs="Arial"/>
          <w:b/>
          <w:bCs/>
          <w:sz w:val="22"/>
          <w:lang w:val="es-ES_tradnl"/>
        </w:rPr>
        <w:t>1</w:t>
      </w:r>
    </w:p>
    <w:p w14:paraId="3BCC282D" w14:textId="4E80A491" w:rsidR="00DD6485" w:rsidRPr="00EA1DE2" w:rsidRDefault="00DD6485"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A1DE2" w:rsidRPr="00EA1DE2" w14:paraId="19DFC051" w14:textId="77777777" w:rsidTr="008F4163">
        <w:tc>
          <w:tcPr>
            <w:tcW w:w="2689" w:type="dxa"/>
          </w:tcPr>
          <w:p w14:paraId="6BC0D1AC" w14:textId="77777777" w:rsidR="00B95C30" w:rsidRPr="00EA1DE2" w:rsidRDefault="00B95C30" w:rsidP="008F4163">
            <w:pPr>
              <w:jc w:val="both"/>
              <w:rPr>
                <w:rFonts w:ascii="Arial" w:eastAsia="Calibri" w:hAnsi="Arial" w:cs="Arial"/>
                <w:sz w:val="22"/>
                <w:lang w:val="es-ES_tradnl"/>
              </w:rPr>
            </w:pPr>
            <w:r w:rsidRPr="00EA1DE2">
              <w:rPr>
                <w:rFonts w:ascii="Arial" w:eastAsia="Calibri" w:hAnsi="Arial" w:cs="Arial"/>
                <w:b/>
                <w:sz w:val="22"/>
                <w:lang w:val="es-ES_tradnl"/>
              </w:rPr>
              <w:t>Temas:</w:t>
            </w:r>
            <w:r w:rsidRPr="00EA1DE2">
              <w:rPr>
                <w:rFonts w:ascii="Arial" w:eastAsia="Calibri" w:hAnsi="Arial" w:cs="Arial"/>
                <w:sz w:val="22"/>
                <w:lang w:val="es-ES_tradnl"/>
              </w:rPr>
              <w:t xml:space="preserve">                                      </w:t>
            </w:r>
          </w:p>
        </w:tc>
        <w:tc>
          <w:tcPr>
            <w:tcW w:w="6237" w:type="dxa"/>
          </w:tcPr>
          <w:p w14:paraId="5F389CAF" w14:textId="69B7C727" w:rsidR="00B95C30" w:rsidRPr="00EA1DE2" w:rsidRDefault="008B63FE" w:rsidP="008F4163">
            <w:pPr>
              <w:jc w:val="both"/>
              <w:rPr>
                <w:rFonts w:ascii="Arial" w:eastAsia="Calibri" w:hAnsi="Arial" w:cs="Arial"/>
                <w:bCs/>
                <w:sz w:val="22"/>
                <w:lang w:val="es-ES_tradnl"/>
              </w:rPr>
            </w:pPr>
            <w:r w:rsidRPr="00EA1DE2">
              <w:rPr>
                <w:rFonts w:ascii="Arial" w:eastAsia="Calibri" w:hAnsi="Arial" w:cs="Arial"/>
                <w:bCs/>
                <w:sz w:val="22"/>
                <w:lang w:val="es-ES_tradnl"/>
              </w:rPr>
              <w:t xml:space="preserve">SELECCIÓN OBJETIVA – Contratación estatal – Concepto </w:t>
            </w:r>
            <w:r w:rsidR="00B95C30" w:rsidRPr="00EA1DE2">
              <w:rPr>
                <w:rFonts w:ascii="Arial" w:eastAsia="Calibri" w:hAnsi="Arial" w:cs="Arial"/>
                <w:bCs/>
                <w:sz w:val="22"/>
                <w:lang w:val="es-ES_tradnl"/>
              </w:rPr>
              <w:t>/</w:t>
            </w:r>
            <w:r w:rsidRPr="00EA1DE2">
              <w:rPr>
                <w:rFonts w:ascii="Arial" w:eastAsia="Calibri" w:hAnsi="Arial" w:cs="Arial"/>
                <w:bCs/>
                <w:sz w:val="22"/>
                <w:lang w:val="es-ES_tradnl"/>
              </w:rPr>
              <w:t xml:space="preserve"> EMPATE – Procedimiento de selección – Concepto / FACTORES DE DESEMPATE – Características – Límites / LEY DE EMPRENDIMIENTO – Ley </w:t>
            </w:r>
            <w:r w:rsidR="007B209C" w:rsidRPr="00EA1DE2">
              <w:rPr>
                <w:rFonts w:ascii="Arial" w:eastAsia="Calibri" w:hAnsi="Arial" w:cs="Arial"/>
                <w:bCs/>
                <w:sz w:val="22"/>
                <w:lang w:val="es-ES_tradnl"/>
              </w:rPr>
              <w:t>2069</w:t>
            </w:r>
            <w:r w:rsidRPr="00EA1DE2">
              <w:rPr>
                <w:rFonts w:ascii="Arial" w:eastAsia="Calibri" w:hAnsi="Arial" w:cs="Arial"/>
                <w:bCs/>
                <w:sz w:val="22"/>
                <w:lang w:val="es-ES_tradnl"/>
              </w:rPr>
              <w:t xml:space="preserve"> de 2020 – Vigencia /</w:t>
            </w:r>
            <w:r w:rsidR="00656F2E" w:rsidRPr="00EA1DE2">
              <w:rPr>
                <w:rFonts w:ascii="Arial" w:eastAsia="Calibri" w:hAnsi="Arial" w:cs="Arial"/>
                <w:bCs/>
                <w:sz w:val="22"/>
                <w:lang w:val="es-ES_tradnl"/>
              </w:rPr>
              <w:t xml:space="preserve"> </w:t>
            </w:r>
            <w:r w:rsidR="00383677" w:rsidRPr="00EA1DE2">
              <w:rPr>
                <w:rFonts w:ascii="Arial" w:eastAsia="Calibri" w:hAnsi="Arial" w:cs="Arial"/>
                <w:bCs/>
                <w:sz w:val="22"/>
                <w:lang w:val="es-ES_tradnl"/>
              </w:rPr>
              <w:t>FACTORES DE DESEMPATE – Ley 2069 – Artículo 35 – Aplicación directa / FACTORES DE DESEMPATE – Ley 2069 – Artículo 35 – Acreditación / FACTORES DE DESEMPATE – Ley 2069 – Artículo 35 – Numeral 2 – Concepto jurídico indeterminado – Participación mayoritaria</w:t>
            </w:r>
            <w:r w:rsidR="00EA1DE2" w:rsidRPr="00EA1DE2">
              <w:t xml:space="preserve"> – </w:t>
            </w:r>
            <w:r w:rsidR="00EA1DE2" w:rsidRPr="00EA1DE2">
              <w:rPr>
                <w:rFonts w:ascii="Arial" w:eastAsia="Calibri" w:hAnsi="Arial" w:cs="Arial"/>
                <w:bCs/>
                <w:sz w:val="22"/>
                <w:lang w:val="es-ES_tradnl"/>
              </w:rPr>
              <w:t>Superior al 50%</w:t>
            </w:r>
          </w:p>
        </w:tc>
      </w:tr>
      <w:tr w:rsidR="00EA1DE2" w:rsidRPr="00EA1DE2" w14:paraId="27CD52AB" w14:textId="77777777" w:rsidTr="008F4163">
        <w:tc>
          <w:tcPr>
            <w:tcW w:w="2689" w:type="dxa"/>
          </w:tcPr>
          <w:p w14:paraId="37E195A1" w14:textId="1BA218D5" w:rsidR="00B95C30" w:rsidRPr="00EA1DE2" w:rsidRDefault="00B95C30" w:rsidP="008F4163">
            <w:pPr>
              <w:spacing w:before="120"/>
              <w:jc w:val="both"/>
              <w:rPr>
                <w:rFonts w:ascii="Arial" w:eastAsia="Calibri" w:hAnsi="Arial" w:cs="Arial"/>
                <w:b/>
                <w:sz w:val="22"/>
                <w:lang w:val="es-ES_tradnl"/>
              </w:rPr>
            </w:pPr>
            <w:r w:rsidRPr="00EA1DE2">
              <w:rPr>
                <w:rFonts w:ascii="Arial" w:eastAsia="Calibri" w:hAnsi="Arial" w:cs="Arial"/>
                <w:b/>
                <w:sz w:val="22"/>
                <w:lang w:val="es-ES_tradnl"/>
              </w:rPr>
              <w:t>Radicación:</w:t>
            </w:r>
            <w:r w:rsidRPr="00EA1DE2">
              <w:rPr>
                <w:rFonts w:ascii="Arial" w:eastAsia="Calibri" w:hAnsi="Arial" w:cs="Arial"/>
                <w:sz w:val="22"/>
                <w:lang w:val="es-ES_tradnl"/>
              </w:rPr>
              <w:t xml:space="preserve">                              </w:t>
            </w:r>
          </w:p>
        </w:tc>
        <w:tc>
          <w:tcPr>
            <w:tcW w:w="6237" w:type="dxa"/>
          </w:tcPr>
          <w:p w14:paraId="09088B1B" w14:textId="57AE7030" w:rsidR="00B95C30" w:rsidRPr="00EA1DE2" w:rsidRDefault="00B95C30" w:rsidP="008F4163">
            <w:pPr>
              <w:spacing w:before="120"/>
              <w:jc w:val="both"/>
              <w:rPr>
                <w:rFonts w:ascii="Arial" w:eastAsia="Calibri" w:hAnsi="Arial" w:cs="Arial"/>
                <w:sz w:val="22"/>
                <w:lang w:val="es-ES_tradnl"/>
              </w:rPr>
            </w:pPr>
            <w:r w:rsidRPr="00EA1DE2">
              <w:rPr>
                <w:rFonts w:ascii="Arial" w:eastAsia="Calibri" w:hAnsi="Arial" w:cs="Arial"/>
                <w:sz w:val="22"/>
                <w:lang w:val="es-ES_tradnl"/>
              </w:rPr>
              <w:t xml:space="preserve">Respuesta a consulta # </w:t>
            </w:r>
            <w:r w:rsidR="00D76A92" w:rsidRPr="00EA1DE2">
              <w:rPr>
                <w:rFonts w:ascii="Arial" w:eastAsia="Calibri" w:hAnsi="Arial" w:cs="Arial"/>
                <w:sz w:val="22"/>
                <w:lang w:val="es-ES_tradnl"/>
              </w:rPr>
              <w:t>P20210511004089</w:t>
            </w:r>
          </w:p>
        </w:tc>
      </w:tr>
    </w:tbl>
    <w:p w14:paraId="5FC37587" w14:textId="6D158169" w:rsidR="00DD6485" w:rsidRPr="00EA1DE2" w:rsidRDefault="00DD6485" w:rsidP="003C3339">
      <w:pPr>
        <w:jc w:val="both"/>
        <w:rPr>
          <w:rFonts w:ascii="Arial" w:eastAsia="Calibri" w:hAnsi="Arial" w:cs="Arial"/>
          <w:sz w:val="22"/>
          <w:lang w:val="es-ES_tradnl"/>
        </w:rPr>
      </w:pPr>
    </w:p>
    <w:p w14:paraId="6D129CDE" w14:textId="77777777" w:rsidR="000F21BA" w:rsidRPr="00EA1DE2" w:rsidRDefault="000F21BA" w:rsidP="003C3339">
      <w:pPr>
        <w:jc w:val="both"/>
        <w:rPr>
          <w:rFonts w:ascii="Arial" w:eastAsia="Calibri" w:hAnsi="Arial" w:cs="Arial"/>
          <w:sz w:val="22"/>
          <w:lang w:val="es-ES_tradnl"/>
        </w:rPr>
      </w:pPr>
    </w:p>
    <w:p w14:paraId="1CF4AEA0" w14:textId="0294FB07" w:rsidR="003C3339" w:rsidRPr="00EA1DE2" w:rsidRDefault="003C3339" w:rsidP="003C3339">
      <w:pPr>
        <w:jc w:val="both"/>
        <w:rPr>
          <w:rFonts w:ascii="Arial" w:eastAsia="Calibri" w:hAnsi="Arial" w:cs="Arial"/>
          <w:sz w:val="22"/>
          <w:lang w:val="es-ES_tradnl"/>
        </w:rPr>
      </w:pPr>
      <w:r w:rsidRPr="00EA1DE2">
        <w:rPr>
          <w:rFonts w:ascii="Arial" w:eastAsia="Calibri" w:hAnsi="Arial" w:cs="Arial"/>
          <w:sz w:val="22"/>
          <w:lang w:val="es-ES_tradnl"/>
        </w:rPr>
        <w:t>Estimad</w:t>
      </w:r>
      <w:r w:rsidR="00E21E17" w:rsidRPr="00EA1DE2">
        <w:rPr>
          <w:rFonts w:ascii="Arial" w:eastAsia="Calibri" w:hAnsi="Arial" w:cs="Arial"/>
          <w:sz w:val="22"/>
          <w:lang w:val="es-ES_tradnl"/>
        </w:rPr>
        <w:t>a</w:t>
      </w:r>
      <w:r w:rsidRPr="00EA1DE2">
        <w:rPr>
          <w:rFonts w:ascii="Arial" w:eastAsia="Calibri" w:hAnsi="Arial" w:cs="Arial"/>
          <w:sz w:val="22"/>
          <w:lang w:val="es-ES_tradnl"/>
        </w:rPr>
        <w:t xml:space="preserve"> </w:t>
      </w:r>
      <w:r w:rsidR="0063732C" w:rsidRPr="00EA1DE2">
        <w:rPr>
          <w:rFonts w:ascii="Arial" w:eastAsia="Calibri" w:hAnsi="Arial" w:cs="Arial"/>
          <w:sz w:val="22"/>
          <w:lang w:val="es-ES_tradnl"/>
        </w:rPr>
        <w:t>señor</w:t>
      </w:r>
      <w:r w:rsidR="00E21E17" w:rsidRPr="00EA1DE2">
        <w:rPr>
          <w:rFonts w:ascii="Arial" w:eastAsia="Calibri" w:hAnsi="Arial" w:cs="Arial"/>
          <w:sz w:val="22"/>
          <w:lang w:val="es-ES_tradnl"/>
        </w:rPr>
        <w:t>a</w:t>
      </w:r>
      <w:r w:rsidR="00BE4FBF" w:rsidRPr="00EA1DE2">
        <w:rPr>
          <w:rFonts w:ascii="Arial" w:eastAsia="Calibri" w:hAnsi="Arial" w:cs="Arial"/>
          <w:sz w:val="22"/>
          <w:lang w:val="es-ES_tradnl"/>
        </w:rPr>
        <w:t xml:space="preserve"> </w:t>
      </w:r>
      <w:r w:rsidR="00E21E17" w:rsidRPr="00EA1DE2">
        <w:rPr>
          <w:rFonts w:ascii="Arial" w:eastAsia="Calibri" w:hAnsi="Arial" w:cs="Arial"/>
          <w:sz w:val="22"/>
          <w:lang w:val="es-ES_tradnl"/>
        </w:rPr>
        <w:t>Ordóñez</w:t>
      </w:r>
      <w:r w:rsidRPr="00EA1DE2">
        <w:rPr>
          <w:rFonts w:ascii="Arial" w:eastAsia="Calibri" w:hAnsi="Arial" w:cs="Arial"/>
          <w:sz w:val="22"/>
          <w:lang w:val="es-ES_tradnl"/>
        </w:rPr>
        <w:t>:</w:t>
      </w:r>
    </w:p>
    <w:p w14:paraId="2C1641D4" w14:textId="77777777" w:rsidR="00DD6485" w:rsidRPr="00EA1DE2" w:rsidRDefault="00DD6485" w:rsidP="00DF76A2">
      <w:pPr>
        <w:jc w:val="both"/>
        <w:rPr>
          <w:rFonts w:ascii="Arial" w:eastAsia="Calibri" w:hAnsi="Arial" w:cs="Arial"/>
          <w:sz w:val="22"/>
        </w:rPr>
      </w:pPr>
    </w:p>
    <w:p w14:paraId="2109B2D3" w14:textId="0C5204AF" w:rsidR="00DD5B04" w:rsidRPr="00EA1DE2" w:rsidRDefault="00DD5B04" w:rsidP="00DF76A2">
      <w:pPr>
        <w:spacing w:line="276" w:lineRule="auto"/>
        <w:jc w:val="both"/>
        <w:rPr>
          <w:rFonts w:ascii="Arial" w:eastAsia="Calibri" w:hAnsi="Arial" w:cs="Arial"/>
          <w:sz w:val="22"/>
          <w:lang w:val="es-ES_tradnl"/>
        </w:rPr>
      </w:pPr>
      <w:r w:rsidRPr="00EA1DE2">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EA1DE2">
        <w:rPr>
          <w:rFonts w:ascii="Arial" w:eastAsia="Calibri" w:hAnsi="Arial" w:cs="Arial"/>
          <w:sz w:val="22"/>
          <w:lang w:val="es-ES_tradnl"/>
        </w:rPr>
        <w:t xml:space="preserve"> </w:t>
      </w:r>
      <w:r w:rsidRPr="00EA1DE2">
        <w:rPr>
          <w:rFonts w:ascii="Arial" w:eastAsia="Calibri" w:hAnsi="Arial" w:cs="Arial"/>
          <w:sz w:val="22"/>
          <w:lang w:val="es-ES_tradnl"/>
        </w:rPr>
        <w:t xml:space="preserve">responde su consulta del </w:t>
      </w:r>
      <w:r w:rsidR="00096BC6" w:rsidRPr="00EA1DE2">
        <w:rPr>
          <w:rFonts w:ascii="Arial" w:eastAsia="Calibri" w:hAnsi="Arial" w:cs="Arial"/>
          <w:sz w:val="22"/>
          <w:lang w:val="es-ES_tradnl"/>
        </w:rPr>
        <w:t>11</w:t>
      </w:r>
      <w:r w:rsidR="00FD4AF3" w:rsidRPr="00EA1DE2">
        <w:rPr>
          <w:rFonts w:ascii="Arial" w:eastAsia="Calibri" w:hAnsi="Arial" w:cs="Arial"/>
          <w:sz w:val="22"/>
          <w:lang w:val="es-ES_tradnl"/>
        </w:rPr>
        <w:t xml:space="preserve"> de </w:t>
      </w:r>
      <w:r w:rsidR="00B3783A" w:rsidRPr="00EA1DE2">
        <w:rPr>
          <w:rFonts w:ascii="Arial" w:eastAsia="Calibri" w:hAnsi="Arial" w:cs="Arial"/>
          <w:sz w:val="22"/>
          <w:lang w:val="es-ES_tradnl"/>
        </w:rPr>
        <w:t>ma</w:t>
      </w:r>
      <w:r w:rsidR="00096BC6" w:rsidRPr="00EA1DE2">
        <w:rPr>
          <w:rFonts w:ascii="Arial" w:eastAsia="Calibri" w:hAnsi="Arial" w:cs="Arial"/>
          <w:sz w:val="22"/>
          <w:lang w:val="es-ES_tradnl"/>
        </w:rPr>
        <w:t>y</w:t>
      </w:r>
      <w:r w:rsidR="00B3783A" w:rsidRPr="00EA1DE2">
        <w:rPr>
          <w:rFonts w:ascii="Arial" w:eastAsia="Calibri" w:hAnsi="Arial" w:cs="Arial"/>
          <w:sz w:val="22"/>
          <w:lang w:val="es-ES_tradnl"/>
        </w:rPr>
        <w:t>o</w:t>
      </w:r>
      <w:r w:rsidRPr="00EA1DE2">
        <w:rPr>
          <w:rFonts w:ascii="Arial" w:eastAsia="Calibri" w:hAnsi="Arial" w:cs="Arial"/>
          <w:sz w:val="22"/>
          <w:lang w:val="es-ES_tradnl"/>
        </w:rPr>
        <w:t xml:space="preserve"> de</w:t>
      </w:r>
      <w:r w:rsidR="00B3783A" w:rsidRPr="00EA1DE2">
        <w:rPr>
          <w:rFonts w:ascii="Arial" w:eastAsia="Calibri" w:hAnsi="Arial" w:cs="Arial"/>
          <w:sz w:val="22"/>
          <w:lang w:val="es-ES_tradnl"/>
        </w:rPr>
        <w:t xml:space="preserve"> </w:t>
      </w:r>
      <w:r w:rsidRPr="00EA1DE2">
        <w:rPr>
          <w:rFonts w:ascii="Arial" w:eastAsia="Calibri" w:hAnsi="Arial" w:cs="Arial"/>
          <w:sz w:val="22"/>
          <w:lang w:val="es-ES_tradnl"/>
        </w:rPr>
        <w:t>202</w:t>
      </w:r>
      <w:r w:rsidR="00FB0880" w:rsidRPr="00EA1DE2">
        <w:rPr>
          <w:rFonts w:ascii="Arial" w:eastAsia="Calibri" w:hAnsi="Arial" w:cs="Arial"/>
          <w:sz w:val="22"/>
          <w:lang w:val="es-ES_tradnl"/>
        </w:rPr>
        <w:t>1</w:t>
      </w:r>
      <w:r w:rsidR="008C3C57" w:rsidRPr="00EA1DE2">
        <w:rPr>
          <w:rFonts w:ascii="Arial" w:eastAsia="Calibri" w:hAnsi="Arial" w:cs="Arial"/>
          <w:sz w:val="22"/>
          <w:lang w:val="es-ES_tradnl"/>
        </w:rPr>
        <w:t>.</w:t>
      </w:r>
    </w:p>
    <w:p w14:paraId="0C1E0712" w14:textId="77777777" w:rsidR="00DD5B04" w:rsidRPr="00EA1DE2" w:rsidRDefault="00DD5B04" w:rsidP="000F21BA">
      <w:pPr>
        <w:jc w:val="both"/>
        <w:rPr>
          <w:rFonts w:ascii="Arial" w:eastAsia="Calibri" w:hAnsi="Arial" w:cs="Arial"/>
          <w:b/>
          <w:sz w:val="22"/>
          <w:lang w:val="es-ES_tradnl"/>
        </w:rPr>
      </w:pPr>
    </w:p>
    <w:p w14:paraId="7701FCC7" w14:textId="77777777" w:rsidR="00DD5B04" w:rsidRPr="00EA1DE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EA1DE2">
        <w:rPr>
          <w:rFonts w:ascii="Arial" w:eastAsia="Calibri" w:hAnsi="Arial" w:cs="Arial"/>
          <w:b/>
          <w:sz w:val="22"/>
          <w:lang w:val="es-ES_tradnl"/>
        </w:rPr>
        <w:t xml:space="preserve">Problema planteado </w:t>
      </w:r>
    </w:p>
    <w:p w14:paraId="224B43D3" w14:textId="77777777" w:rsidR="00DD5B04" w:rsidRPr="00EA1DE2" w:rsidRDefault="00DD5B04" w:rsidP="000F21BA">
      <w:pPr>
        <w:tabs>
          <w:tab w:val="left" w:pos="426"/>
        </w:tabs>
        <w:jc w:val="both"/>
        <w:rPr>
          <w:rFonts w:ascii="Arial" w:eastAsia="Calibri" w:hAnsi="Arial" w:cs="Arial"/>
          <w:b/>
          <w:sz w:val="22"/>
          <w:lang w:val="es-ES_tradnl"/>
        </w:rPr>
      </w:pPr>
    </w:p>
    <w:p w14:paraId="3C575DE9" w14:textId="7D715AE4" w:rsidR="00443B55" w:rsidRPr="00EA1DE2" w:rsidRDefault="00C86427" w:rsidP="0099583D">
      <w:pPr>
        <w:spacing w:line="276" w:lineRule="auto"/>
        <w:jc w:val="both"/>
        <w:rPr>
          <w:rFonts w:ascii="Arial" w:hAnsi="Arial" w:cs="Arial"/>
          <w:sz w:val="22"/>
          <w:lang w:val="es-ES_tradnl"/>
        </w:rPr>
      </w:pPr>
      <w:r w:rsidRPr="00EA1DE2">
        <w:rPr>
          <w:rFonts w:ascii="Arial" w:hAnsi="Arial" w:cs="Arial"/>
          <w:sz w:val="22"/>
          <w:lang w:val="es-ES_tradnl"/>
        </w:rPr>
        <w:t>U</w:t>
      </w:r>
      <w:r w:rsidR="00363B19" w:rsidRPr="00EA1DE2">
        <w:rPr>
          <w:rFonts w:ascii="Arial" w:hAnsi="Arial" w:cs="Arial"/>
          <w:sz w:val="22"/>
          <w:lang w:val="es-ES_tradnl"/>
        </w:rPr>
        <w:t xml:space="preserve">sted formula </w:t>
      </w:r>
      <w:r w:rsidR="006D46A3" w:rsidRPr="00EA1DE2">
        <w:rPr>
          <w:rFonts w:ascii="Arial" w:hAnsi="Arial" w:cs="Arial"/>
          <w:sz w:val="22"/>
          <w:lang w:val="es-ES_tradnl"/>
        </w:rPr>
        <w:t>la siguiente</w:t>
      </w:r>
      <w:r w:rsidR="00C028F5" w:rsidRPr="00EA1DE2">
        <w:rPr>
          <w:rFonts w:ascii="Arial" w:hAnsi="Arial" w:cs="Arial"/>
          <w:sz w:val="22"/>
          <w:lang w:val="es-ES_tradnl"/>
        </w:rPr>
        <w:t xml:space="preserve"> </w:t>
      </w:r>
      <w:r w:rsidR="00286713" w:rsidRPr="00EA1DE2">
        <w:rPr>
          <w:rFonts w:ascii="Arial" w:hAnsi="Arial" w:cs="Arial"/>
          <w:sz w:val="22"/>
          <w:lang w:val="es-ES_tradnl"/>
        </w:rPr>
        <w:t xml:space="preserve">consulta </w:t>
      </w:r>
      <w:r w:rsidR="00DB3A5C" w:rsidRPr="00EA1DE2">
        <w:rPr>
          <w:rFonts w:ascii="Arial" w:hAnsi="Arial" w:cs="Arial"/>
          <w:sz w:val="22"/>
          <w:lang w:val="es-ES_tradnl"/>
        </w:rPr>
        <w:t>sobre la aplicación del factor de desempate d</w:t>
      </w:r>
      <w:r w:rsidR="00FB0880" w:rsidRPr="00EA1DE2">
        <w:rPr>
          <w:rFonts w:ascii="Arial" w:hAnsi="Arial" w:cs="Arial"/>
          <w:sz w:val="22"/>
          <w:lang w:val="es-ES_tradnl"/>
        </w:rPr>
        <w:t>el artículo 35</w:t>
      </w:r>
      <w:r w:rsidR="00DB3A5C" w:rsidRPr="00EA1DE2">
        <w:rPr>
          <w:rFonts w:ascii="Arial" w:hAnsi="Arial" w:cs="Arial"/>
          <w:sz w:val="22"/>
          <w:lang w:val="es-ES_tradnl"/>
        </w:rPr>
        <w:t>.</w:t>
      </w:r>
      <w:r w:rsidR="00C24144" w:rsidRPr="00EA1DE2">
        <w:rPr>
          <w:rFonts w:ascii="Arial" w:hAnsi="Arial" w:cs="Arial"/>
          <w:sz w:val="22"/>
          <w:lang w:val="es-ES_tradnl"/>
        </w:rPr>
        <w:t>2</w:t>
      </w:r>
      <w:r w:rsidR="00FB0880" w:rsidRPr="00EA1DE2">
        <w:rPr>
          <w:rFonts w:ascii="Arial" w:hAnsi="Arial" w:cs="Arial"/>
          <w:sz w:val="22"/>
          <w:lang w:val="es-ES_tradnl"/>
        </w:rPr>
        <w:t xml:space="preserve"> de la Ley </w:t>
      </w:r>
      <w:r w:rsidR="007B209C" w:rsidRPr="00EA1DE2">
        <w:rPr>
          <w:rFonts w:ascii="Arial" w:hAnsi="Arial" w:cs="Arial"/>
          <w:sz w:val="22"/>
          <w:lang w:val="es-ES_tradnl"/>
        </w:rPr>
        <w:t>2069</w:t>
      </w:r>
      <w:r w:rsidR="00FB0880" w:rsidRPr="00EA1DE2">
        <w:rPr>
          <w:rFonts w:ascii="Arial" w:hAnsi="Arial" w:cs="Arial"/>
          <w:sz w:val="22"/>
          <w:lang w:val="es-ES_tradnl"/>
        </w:rPr>
        <w:t xml:space="preserve"> de 2020</w:t>
      </w:r>
      <w:r w:rsidR="00716630" w:rsidRPr="00EA1DE2">
        <w:rPr>
          <w:rFonts w:ascii="Arial" w:hAnsi="Arial" w:cs="Arial"/>
          <w:sz w:val="22"/>
          <w:lang w:val="es-ES_tradnl"/>
        </w:rPr>
        <w:t>, «Por medio de la cual se impulsa el emprendimiento en Colombia»</w:t>
      </w:r>
      <w:r w:rsidR="00286713" w:rsidRPr="00EA1DE2">
        <w:rPr>
          <w:rFonts w:ascii="Arial" w:hAnsi="Arial" w:cs="Arial"/>
          <w:sz w:val="22"/>
          <w:lang w:val="es-ES_tradnl"/>
        </w:rPr>
        <w:t>, solicitando se aclare</w:t>
      </w:r>
      <w:r w:rsidR="00B422C0" w:rsidRPr="00EA1DE2">
        <w:rPr>
          <w:rFonts w:ascii="Arial" w:hAnsi="Arial" w:cs="Arial"/>
          <w:sz w:val="22"/>
          <w:lang w:val="es-ES_tradnl"/>
        </w:rPr>
        <w:t>:</w:t>
      </w:r>
      <w:r w:rsidR="007E18DF" w:rsidRPr="00EA1DE2">
        <w:rPr>
          <w:rFonts w:ascii="Arial" w:hAnsi="Arial" w:cs="Arial"/>
          <w:sz w:val="22"/>
          <w:lang w:val="es-ES_tradnl"/>
        </w:rPr>
        <w:t xml:space="preserve"> </w:t>
      </w:r>
    </w:p>
    <w:p w14:paraId="1DCB479C" w14:textId="77777777" w:rsidR="00B11A61" w:rsidRPr="00EA1DE2" w:rsidRDefault="00B11A61" w:rsidP="00B11A61">
      <w:pPr>
        <w:pStyle w:val="Default"/>
        <w:ind w:left="709" w:right="709"/>
        <w:jc w:val="both"/>
        <w:rPr>
          <w:color w:val="auto"/>
          <w:sz w:val="21"/>
          <w:szCs w:val="21"/>
          <w:lang w:val="es-ES_tradnl"/>
        </w:rPr>
      </w:pPr>
    </w:p>
    <w:p w14:paraId="79D0132C" w14:textId="3A67C3A0" w:rsidR="004275A7" w:rsidRPr="00EA1DE2" w:rsidRDefault="001C79A4" w:rsidP="00455165">
      <w:pPr>
        <w:pStyle w:val="Default"/>
        <w:ind w:left="709" w:right="709"/>
        <w:jc w:val="both"/>
        <w:rPr>
          <w:color w:val="auto"/>
          <w:sz w:val="21"/>
          <w:szCs w:val="21"/>
        </w:rPr>
      </w:pPr>
      <w:r w:rsidRPr="00EA1DE2">
        <w:rPr>
          <w:color w:val="auto"/>
          <w:sz w:val="21"/>
          <w:szCs w:val="21"/>
          <w:lang w:val="es-ES_tradnl"/>
        </w:rPr>
        <w:t>«</w:t>
      </w:r>
      <w:r w:rsidR="00965729" w:rsidRPr="00EA1DE2">
        <w:rPr>
          <w:color w:val="auto"/>
          <w:sz w:val="21"/>
          <w:szCs w:val="21"/>
          <w:lang w:val="es-ES_tradnl"/>
        </w:rPr>
        <w:t>[…]</w:t>
      </w:r>
      <w:r w:rsidR="00B11A61" w:rsidRPr="00EA1DE2">
        <w:rPr>
          <w:color w:val="auto"/>
          <w:sz w:val="21"/>
          <w:szCs w:val="21"/>
          <w:lang w:val="es-ES_tradnl"/>
        </w:rPr>
        <w:t xml:space="preserve"> </w:t>
      </w:r>
      <w:r w:rsidR="00455165" w:rsidRPr="00EA1DE2">
        <w:rPr>
          <w:color w:val="auto"/>
          <w:sz w:val="21"/>
          <w:szCs w:val="21"/>
          <w:lang w:val="es-ES_tradnl"/>
        </w:rPr>
        <w:t>¿si por el hecho de que una empresa cuente con una socia que maneja el 5% de las acciones de la compañía, y donde la socia es mujer cabeza de familia ya estaría cumpliendo con el requerimiento del numeral anterior?</w:t>
      </w:r>
      <w:r w:rsidR="00286713" w:rsidRPr="00EA1DE2">
        <w:rPr>
          <w:color w:val="auto"/>
          <w:sz w:val="21"/>
          <w:szCs w:val="21"/>
          <w:lang w:val="es-ES_tradnl"/>
        </w:rPr>
        <w:t xml:space="preserve"> </w:t>
      </w:r>
      <w:proofErr w:type="gramStart"/>
      <w:r w:rsidR="00455165" w:rsidRPr="00EA1DE2">
        <w:rPr>
          <w:color w:val="auto"/>
          <w:sz w:val="21"/>
          <w:szCs w:val="21"/>
          <w:lang w:val="es-ES_tradnl"/>
        </w:rPr>
        <w:t>O</w:t>
      </w:r>
      <w:proofErr w:type="gramEnd"/>
      <w:r w:rsidR="00455165" w:rsidRPr="00EA1DE2">
        <w:rPr>
          <w:color w:val="auto"/>
          <w:sz w:val="21"/>
          <w:szCs w:val="21"/>
          <w:lang w:val="es-ES_tradnl"/>
        </w:rPr>
        <w:t xml:space="preserve"> por lo contrario, ¿el socio de la empresa que acredite como “mujer cabeza de familia” para entrar en el factor de desempate, debe contar con el mayor porcentaje de socio de la empresa? </w:t>
      </w:r>
      <w:r w:rsidR="00965729" w:rsidRPr="00EA1DE2">
        <w:rPr>
          <w:color w:val="auto"/>
          <w:sz w:val="21"/>
          <w:szCs w:val="21"/>
        </w:rPr>
        <w:t>[…]</w:t>
      </w:r>
      <w:r w:rsidR="00AD33A1" w:rsidRPr="00EA1DE2">
        <w:rPr>
          <w:color w:val="auto"/>
          <w:sz w:val="21"/>
          <w:szCs w:val="21"/>
          <w:lang w:val="es-ES_tradnl"/>
        </w:rPr>
        <w:t>».</w:t>
      </w:r>
      <w:r w:rsidR="00E073FC" w:rsidRPr="00EA1DE2">
        <w:rPr>
          <w:color w:val="auto"/>
          <w:sz w:val="21"/>
          <w:szCs w:val="21"/>
          <w:lang w:val="es-ES_tradnl"/>
        </w:rPr>
        <w:t xml:space="preserve"> </w:t>
      </w:r>
    </w:p>
    <w:p w14:paraId="3830C92C" w14:textId="00B8D1F2" w:rsidR="00507066" w:rsidRPr="00EA1DE2" w:rsidRDefault="00507066" w:rsidP="007B59D8">
      <w:pPr>
        <w:spacing w:line="276" w:lineRule="auto"/>
        <w:ind w:left="709" w:right="709"/>
        <w:jc w:val="both"/>
        <w:rPr>
          <w:rFonts w:ascii="Arial" w:hAnsi="Arial" w:cs="Arial"/>
          <w:sz w:val="22"/>
          <w:szCs w:val="22"/>
          <w:lang w:val="es-ES_tradnl"/>
        </w:rPr>
      </w:pPr>
    </w:p>
    <w:p w14:paraId="4D5AE0CB" w14:textId="326EA836" w:rsidR="00C24144" w:rsidRPr="00EA1DE2" w:rsidRDefault="00C24144" w:rsidP="007B59D8">
      <w:pPr>
        <w:spacing w:line="276" w:lineRule="auto"/>
        <w:ind w:left="709" w:right="709"/>
        <w:jc w:val="both"/>
        <w:rPr>
          <w:rFonts w:ascii="Arial" w:hAnsi="Arial" w:cs="Arial"/>
          <w:sz w:val="22"/>
          <w:szCs w:val="22"/>
          <w:lang w:val="es-ES_tradnl"/>
        </w:rPr>
      </w:pPr>
    </w:p>
    <w:p w14:paraId="5A37E41A" w14:textId="77777777" w:rsidR="00C24144" w:rsidRPr="00EA1DE2" w:rsidRDefault="00C24144" w:rsidP="007B59D8">
      <w:pPr>
        <w:spacing w:line="276" w:lineRule="auto"/>
        <w:ind w:left="709" w:right="709"/>
        <w:jc w:val="both"/>
        <w:rPr>
          <w:rFonts w:ascii="Arial" w:hAnsi="Arial" w:cs="Arial"/>
          <w:sz w:val="22"/>
          <w:szCs w:val="22"/>
          <w:lang w:val="es-ES_tradnl"/>
        </w:rPr>
      </w:pPr>
    </w:p>
    <w:p w14:paraId="124D2DCA" w14:textId="77777777" w:rsidR="00DD5B04" w:rsidRPr="00EA1DE2"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A1DE2">
        <w:rPr>
          <w:rFonts w:ascii="Arial" w:eastAsia="Calibri" w:hAnsi="Arial" w:cs="Arial"/>
          <w:b/>
          <w:sz w:val="22"/>
          <w:lang w:val="es-ES_tradnl"/>
        </w:rPr>
        <w:t>Consideraciones</w:t>
      </w:r>
    </w:p>
    <w:p w14:paraId="7D050D2E" w14:textId="77777777" w:rsidR="00435703" w:rsidRPr="00EA1DE2" w:rsidRDefault="00435703" w:rsidP="00DA2E27">
      <w:pPr>
        <w:jc w:val="both"/>
        <w:rPr>
          <w:rFonts w:ascii="Arial" w:eastAsia="Calibri" w:hAnsi="Arial" w:cs="Arial"/>
          <w:sz w:val="22"/>
          <w:szCs w:val="22"/>
          <w:lang w:val="es-ES_tradnl"/>
        </w:rPr>
      </w:pPr>
    </w:p>
    <w:p w14:paraId="305BC2F1" w14:textId="14C8E4FF" w:rsidR="003C4317" w:rsidRPr="00EA1DE2" w:rsidRDefault="008E30C4" w:rsidP="00EE4F17">
      <w:pPr>
        <w:spacing w:after="120" w:line="276" w:lineRule="auto"/>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La Subdirección de Gestión Contractual responderá </w:t>
      </w:r>
      <w:r w:rsidR="00271230" w:rsidRPr="00EA1DE2">
        <w:rPr>
          <w:rFonts w:ascii="Arial" w:eastAsia="Calibri" w:hAnsi="Arial" w:cs="Arial"/>
          <w:sz w:val="22"/>
          <w:szCs w:val="22"/>
          <w:lang w:val="es-ES_tradnl"/>
        </w:rPr>
        <w:t>la consulta</w:t>
      </w:r>
      <w:r w:rsidRPr="00EA1DE2">
        <w:rPr>
          <w:rFonts w:ascii="Arial" w:eastAsia="Calibri" w:hAnsi="Arial" w:cs="Arial"/>
          <w:sz w:val="22"/>
          <w:szCs w:val="22"/>
          <w:lang w:val="es-ES_tradnl"/>
        </w:rPr>
        <w:t xml:space="preserve">, </w:t>
      </w:r>
      <w:r w:rsidR="00271230" w:rsidRPr="00EA1DE2">
        <w:rPr>
          <w:rFonts w:ascii="Arial" w:eastAsia="Calibri" w:hAnsi="Arial" w:cs="Arial"/>
          <w:sz w:val="22"/>
          <w:szCs w:val="22"/>
          <w:lang w:val="es-ES_tradnl"/>
        </w:rPr>
        <w:t>luego de analizar los</w:t>
      </w:r>
      <w:r w:rsidR="00822EC4" w:rsidRPr="00EA1DE2">
        <w:rPr>
          <w:rFonts w:ascii="Arial" w:eastAsia="Calibri" w:hAnsi="Arial" w:cs="Arial"/>
          <w:sz w:val="22"/>
          <w:szCs w:val="22"/>
          <w:lang w:val="es-ES_tradnl"/>
        </w:rPr>
        <w:t xml:space="preserve"> siguientes temas: </w:t>
      </w:r>
      <w:r w:rsidR="00833ADA" w:rsidRPr="00EA1DE2">
        <w:rPr>
          <w:rFonts w:ascii="Arial" w:eastAsia="Calibri" w:hAnsi="Arial" w:cs="Arial"/>
          <w:sz w:val="22"/>
          <w:szCs w:val="22"/>
          <w:lang w:val="es-ES_tradnl"/>
        </w:rPr>
        <w:t xml:space="preserve">i) definición de los criterios de desempate en la contratación estatal, </w:t>
      </w:r>
      <w:proofErr w:type="spellStart"/>
      <w:r w:rsidR="00822EC4" w:rsidRPr="00EA1DE2">
        <w:rPr>
          <w:rFonts w:ascii="Arial" w:eastAsia="Calibri" w:hAnsi="Arial" w:cs="Arial"/>
          <w:sz w:val="22"/>
          <w:szCs w:val="22"/>
          <w:lang w:val="es-ES_tradnl"/>
        </w:rPr>
        <w:t>i</w:t>
      </w:r>
      <w:r w:rsidR="00833ADA" w:rsidRPr="00EA1DE2">
        <w:rPr>
          <w:rFonts w:ascii="Arial" w:eastAsia="Calibri" w:hAnsi="Arial" w:cs="Arial"/>
          <w:sz w:val="22"/>
          <w:szCs w:val="22"/>
          <w:lang w:val="es-ES_tradnl"/>
        </w:rPr>
        <w:t>i</w:t>
      </w:r>
      <w:proofErr w:type="spellEnd"/>
      <w:r w:rsidR="00822EC4" w:rsidRPr="00EA1DE2">
        <w:rPr>
          <w:rFonts w:ascii="Arial" w:eastAsia="Calibri" w:hAnsi="Arial" w:cs="Arial"/>
          <w:sz w:val="22"/>
          <w:szCs w:val="22"/>
          <w:lang w:val="es-ES_tradnl"/>
        </w:rPr>
        <w:t>)</w:t>
      </w:r>
      <w:r w:rsidR="00A12574" w:rsidRPr="00EA1DE2">
        <w:rPr>
          <w:rFonts w:ascii="Arial" w:eastAsia="Calibri" w:hAnsi="Arial" w:cs="Arial"/>
          <w:sz w:val="22"/>
          <w:szCs w:val="22"/>
          <w:lang w:val="es-ES_tradnl"/>
        </w:rPr>
        <w:t xml:space="preserve"> vigencia y ámbito de aplicación de la Ley </w:t>
      </w:r>
      <w:r w:rsidR="007B209C" w:rsidRPr="00EA1DE2">
        <w:rPr>
          <w:rFonts w:ascii="Arial" w:eastAsia="Calibri" w:hAnsi="Arial" w:cs="Arial"/>
          <w:sz w:val="22"/>
          <w:szCs w:val="22"/>
          <w:lang w:val="es-ES_tradnl"/>
        </w:rPr>
        <w:t>2069</w:t>
      </w:r>
      <w:r w:rsidR="00A12574" w:rsidRPr="00EA1DE2">
        <w:rPr>
          <w:rFonts w:ascii="Arial" w:eastAsia="Calibri" w:hAnsi="Arial" w:cs="Arial"/>
          <w:sz w:val="22"/>
          <w:szCs w:val="22"/>
          <w:lang w:val="es-ES_tradnl"/>
        </w:rPr>
        <w:t xml:space="preserve"> de 2020 y</w:t>
      </w:r>
      <w:r w:rsidR="00833ADA" w:rsidRPr="00EA1DE2">
        <w:rPr>
          <w:rFonts w:ascii="Arial" w:eastAsia="Calibri" w:hAnsi="Arial" w:cs="Arial"/>
          <w:sz w:val="22"/>
          <w:szCs w:val="22"/>
          <w:lang w:val="es-ES_tradnl"/>
        </w:rPr>
        <w:t xml:space="preserve"> </w:t>
      </w:r>
      <w:proofErr w:type="spellStart"/>
      <w:r w:rsidR="00523F41" w:rsidRPr="00EA1DE2">
        <w:rPr>
          <w:rFonts w:ascii="Arial" w:eastAsia="Calibri" w:hAnsi="Arial" w:cs="Arial"/>
          <w:sz w:val="22"/>
          <w:szCs w:val="22"/>
          <w:lang w:val="es-ES_tradnl"/>
        </w:rPr>
        <w:t>iii</w:t>
      </w:r>
      <w:proofErr w:type="spellEnd"/>
      <w:r w:rsidR="00523F41" w:rsidRPr="00EA1DE2">
        <w:rPr>
          <w:rFonts w:ascii="Arial" w:eastAsia="Calibri" w:hAnsi="Arial" w:cs="Arial"/>
          <w:sz w:val="22"/>
          <w:szCs w:val="22"/>
          <w:lang w:val="es-ES_tradnl"/>
        </w:rPr>
        <w:t>)</w:t>
      </w:r>
      <w:r w:rsidR="0069351C" w:rsidRPr="00EA1DE2">
        <w:rPr>
          <w:rFonts w:ascii="Arial" w:eastAsia="Calibri" w:hAnsi="Arial" w:cs="Arial"/>
          <w:sz w:val="22"/>
          <w:szCs w:val="22"/>
          <w:lang w:val="es-ES_tradnl"/>
        </w:rPr>
        <w:t xml:space="preserve"> aplicación</w:t>
      </w:r>
      <w:r w:rsidR="009D6909" w:rsidRPr="00EA1DE2">
        <w:rPr>
          <w:rFonts w:ascii="Arial" w:eastAsia="Calibri" w:hAnsi="Arial" w:cs="Arial"/>
          <w:sz w:val="22"/>
          <w:szCs w:val="22"/>
          <w:lang w:val="es-ES_tradnl"/>
        </w:rPr>
        <w:t xml:space="preserve"> de los factores de desempate</w:t>
      </w:r>
      <w:r w:rsidR="003C4317" w:rsidRPr="00EA1DE2">
        <w:rPr>
          <w:rFonts w:ascii="Arial" w:eastAsia="Calibri" w:hAnsi="Arial" w:cs="Arial"/>
          <w:sz w:val="22"/>
          <w:szCs w:val="22"/>
          <w:lang w:val="es-ES_tradnl"/>
        </w:rPr>
        <w:t xml:space="preserve"> consagrados en el artículo 35 de la mencionada </w:t>
      </w:r>
      <w:r w:rsidR="009B0A04" w:rsidRPr="00EA1DE2">
        <w:rPr>
          <w:rFonts w:ascii="Arial" w:eastAsia="Calibri" w:hAnsi="Arial" w:cs="Arial"/>
          <w:sz w:val="22"/>
          <w:szCs w:val="22"/>
          <w:lang w:val="es-ES_tradnl"/>
        </w:rPr>
        <w:t>l</w:t>
      </w:r>
      <w:r w:rsidR="003C4317" w:rsidRPr="00EA1DE2">
        <w:rPr>
          <w:rFonts w:ascii="Arial" w:eastAsia="Calibri" w:hAnsi="Arial" w:cs="Arial"/>
          <w:sz w:val="22"/>
          <w:szCs w:val="22"/>
          <w:lang w:val="es-ES_tradnl"/>
        </w:rPr>
        <w:t>ey.</w:t>
      </w:r>
    </w:p>
    <w:p w14:paraId="59510D3B" w14:textId="555AC5C1" w:rsidR="00DA2E27" w:rsidRPr="00EA1DE2" w:rsidRDefault="00930F83" w:rsidP="00EE4F17">
      <w:pPr>
        <w:spacing w:line="276" w:lineRule="auto"/>
        <w:ind w:firstLine="708"/>
        <w:jc w:val="both"/>
        <w:rPr>
          <w:rFonts w:ascii="Arial" w:eastAsia="Calibri" w:hAnsi="Arial" w:cs="Arial"/>
          <w:bCs/>
          <w:sz w:val="22"/>
        </w:rPr>
      </w:pPr>
      <w:r w:rsidRPr="00EA1DE2">
        <w:rPr>
          <w:rFonts w:ascii="Arial" w:eastAsia="Calibri" w:hAnsi="Arial" w:cs="Arial"/>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w:t>
      </w:r>
      <w:r w:rsidRPr="00EA1DE2">
        <w:rPr>
          <w:rFonts w:ascii="Arial" w:eastAsia="Calibri" w:hAnsi="Arial" w:cs="Arial"/>
          <w:bCs/>
          <w:sz w:val="22"/>
        </w:rPr>
        <w:t>Igualmente, en los conceptos C-009, C-012, C-013, C-015, C-016, C-026 del 4 de febrero de 2021, así como en los conceptos C-006 del 5 de febrero de 2021, C-043 del 9 de febrero de 2021,</w:t>
      </w:r>
      <w:r w:rsidR="00B62744" w:rsidRPr="00EA1DE2">
        <w:rPr>
          <w:rFonts w:ascii="Arial" w:eastAsia="Calibri" w:hAnsi="Arial" w:cs="Arial"/>
          <w:bCs/>
          <w:sz w:val="22"/>
        </w:rPr>
        <w:t xml:space="preserve"> C-007 del 16 de febrero de 2021,</w:t>
      </w:r>
      <w:r w:rsidRPr="00EA1DE2">
        <w:rPr>
          <w:rFonts w:ascii="Arial" w:eastAsia="Calibri" w:hAnsi="Arial" w:cs="Arial"/>
          <w:bCs/>
          <w:sz w:val="22"/>
        </w:rPr>
        <w:t xml:space="preserve"> C-081 y C-087 del 23 de febrero de 2021, C-044 del 3 de marzo de 2021, C-056 del 10 de marzo de 2021, C-061 del 10 de marzo de 2021, C-055 del 10 de marzo de 2021, C-058 del 11 de marzo de 2021, C-069 del 12 de marzo de 2021,</w:t>
      </w:r>
      <w:r w:rsidR="00E33BA7" w:rsidRPr="00EA1DE2">
        <w:rPr>
          <w:rFonts w:ascii="Arial" w:eastAsia="Calibri" w:hAnsi="Arial" w:cs="Arial"/>
          <w:bCs/>
          <w:sz w:val="22"/>
        </w:rPr>
        <w:t xml:space="preserve"> C-101 del 24 de marzo de 202,</w:t>
      </w:r>
      <w:r w:rsidRPr="00EA1DE2">
        <w:rPr>
          <w:rFonts w:ascii="Arial" w:eastAsia="Calibri" w:hAnsi="Arial" w:cs="Arial"/>
          <w:bCs/>
          <w:sz w:val="22"/>
        </w:rPr>
        <w:t xml:space="preserve"> C-102 del 25 de marzo de 2021, C-136, C-138 y C-139 del 7 de abril de 2021, C-141 del 08 de abril de 2021, C-162 y C-165 de 13 de abril de 2021, C-164 del 19 de abril de 2021</w:t>
      </w:r>
      <w:r w:rsidR="00E33BA7" w:rsidRPr="00EA1DE2">
        <w:rPr>
          <w:rFonts w:ascii="Arial" w:eastAsia="Calibri" w:hAnsi="Arial" w:cs="Arial"/>
          <w:bCs/>
          <w:sz w:val="22"/>
        </w:rPr>
        <w:t xml:space="preserve">, </w:t>
      </w:r>
      <w:r w:rsidR="00A53DF7" w:rsidRPr="00EA1DE2">
        <w:rPr>
          <w:rFonts w:ascii="Arial" w:eastAsia="Calibri" w:hAnsi="Arial" w:cs="Arial"/>
          <w:bCs/>
          <w:sz w:val="22"/>
        </w:rPr>
        <w:t>C-160</w:t>
      </w:r>
      <w:r w:rsidR="00D960E2" w:rsidRPr="00EA1DE2">
        <w:rPr>
          <w:rFonts w:ascii="Arial" w:eastAsia="Calibri" w:hAnsi="Arial" w:cs="Arial"/>
          <w:bCs/>
          <w:sz w:val="22"/>
        </w:rPr>
        <w:t xml:space="preserve"> del 20 de abril de 2021, </w:t>
      </w:r>
      <w:r w:rsidR="00E33BA7" w:rsidRPr="00EA1DE2">
        <w:rPr>
          <w:rFonts w:ascii="Arial" w:eastAsia="Calibri" w:hAnsi="Arial" w:cs="Arial"/>
          <w:bCs/>
          <w:sz w:val="22"/>
        </w:rPr>
        <w:t>C-166 del 23 de abril de 2021</w:t>
      </w:r>
      <w:r w:rsidR="00425F63" w:rsidRPr="00EA1DE2">
        <w:rPr>
          <w:rFonts w:ascii="Arial" w:eastAsia="Calibri" w:hAnsi="Arial" w:cs="Arial"/>
          <w:bCs/>
          <w:sz w:val="22"/>
        </w:rPr>
        <w:t>,</w:t>
      </w:r>
      <w:r w:rsidRPr="00EA1DE2">
        <w:rPr>
          <w:rFonts w:ascii="Arial" w:eastAsia="Calibri" w:hAnsi="Arial" w:cs="Arial"/>
          <w:bCs/>
          <w:sz w:val="22"/>
        </w:rPr>
        <w:t xml:space="preserve"> C-191 del 26 de abril de 2021</w:t>
      </w:r>
      <w:r w:rsidR="00425F63" w:rsidRPr="00EA1DE2">
        <w:rPr>
          <w:rFonts w:ascii="Arial" w:eastAsia="Calibri" w:hAnsi="Arial" w:cs="Arial"/>
          <w:bCs/>
          <w:sz w:val="22"/>
        </w:rPr>
        <w:t>,</w:t>
      </w:r>
      <w:r w:rsidR="00AB5031" w:rsidRPr="00EA1DE2">
        <w:rPr>
          <w:rFonts w:ascii="Arial" w:eastAsia="Calibri" w:hAnsi="Arial" w:cs="Arial"/>
          <w:bCs/>
          <w:sz w:val="22"/>
        </w:rPr>
        <w:t xml:space="preserve"> </w:t>
      </w:r>
      <w:r w:rsidR="00B8743F" w:rsidRPr="00EA1DE2">
        <w:rPr>
          <w:rFonts w:ascii="Arial" w:eastAsia="Calibri" w:hAnsi="Arial" w:cs="Arial"/>
          <w:bCs/>
          <w:sz w:val="22"/>
        </w:rPr>
        <w:t>C-181 del 28 de abril de 2021,</w:t>
      </w:r>
      <w:r w:rsidR="00425F63" w:rsidRPr="00EA1DE2">
        <w:rPr>
          <w:rFonts w:ascii="Arial" w:eastAsia="Calibri" w:hAnsi="Arial" w:cs="Arial"/>
          <w:bCs/>
          <w:sz w:val="22"/>
        </w:rPr>
        <w:t xml:space="preserve"> C-187</w:t>
      </w:r>
      <w:r w:rsidR="00D034AF" w:rsidRPr="00EA1DE2">
        <w:rPr>
          <w:rFonts w:ascii="Arial" w:eastAsia="Calibri" w:hAnsi="Arial" w:cs="Arial"/>
          <w:bCs/>
          <w:sz w:val="22"/>
        </w:rPr>
        <w:t xml:space="preserve"> del 28 de abril de 2021, C-192 del 29 de abril de 2021, </w:t>
      </w:r>
      <w:r w:rsidR="00A53DF7" w:rsidRPr="00EA1DE2">
        <w:rPr>
          <w:rFonts w:ascii="Arial" w:eastAsia="Calibri" w:hAnsi="Arial" w:cs="Arial"/>
          <w:bCs/>
          <w:sz w:val="22"/>
        </w:rPr>
        <w:t xml:space="preserve">C-100 y </w:t>
      </w:r>
      <w:r w:rsidR="00D034AF" w:rsidRPr="00EA1DE2">
        <w:rPr>
          <w:rFonts w:ascii="Arial" w:eastAsia="Calibri" w:hAnsi="Arial" w:cs="Arial"/>
          <w:bCs/>
          <w:sz w:val="22"/>
        </w:rPr>
        <w:t>C-206 del 3 de mayo de 2021</w:t>
      </w:r>
      <w:r w:rsidR="00217F98" w:rsidRPr="00EA1DE2">
        <w:rPr>
          <w:rFonts w:ascii="Arial" w:eastAsia="Calibri" w:hAnsi="Arial" w:cs="Arial"/>
          <w:bCs/>
          <w:sz w:val="22"/>
        </w:rPr>
        <w:t>, C-198 del 5 de mayo de 2021, C-203 del 6 de mayo de 2021</w:t>
      </w:r>
      <w:r w:rsidR="008F09E6" w:rsidRPr="00EA1DE2">
        <w:rPr>
          <w:rFonts w:ascii="Arial" w:eastAsia="Calibri" w:hAnsi="Arial" w:cs="Arial"/>
          <w:bCs/>
          <w:sz w:val="22"/>
        </w:rPr>
        <w:t>, C-180</w:t>
      </w:r>
      <w:r w:rsidR="00C14B2D" w:rsidRPr="00EA1DE2">
        <w:rPr>
          <w:rFonts w:ascii="Arial" w:eastAsia="Calibri" w:hAnsi="Arial" w:cs="Arial"/>
          <w:bCs/>
          <w:sz w:val="22"/>
        </w:rPr>
        <w:t>, C-207</w:t>
      </w:r>
      <w:r w:rsidR="002903CE" w:rsidRPr="00EA1DE2">
        <w:rPr>
          <w:rFonts w:ascii="Arial" w:eastAsia="Calibri" w:hAnsi="Arial" w:cs="Arial"/>
          <w:bCs/>
          <w:sz w:val="22"/>
        </w:rPr>
        <w:t>, C-209</w:t>
      </w:r>
      <w:r w:rsidR="008F09E6" w:rsidRPr="00EA1DE2">
        <w:rPr>
          <w:rFonts w:ascii="Arial" w:eastAsia="Calibri" w:hAnsi="Arial" w:cs="Arial"/>
          <w:bCs/>
          <w:sz w:val="22"/>
        </w:rPr>
        <w:t xml:space="preserve"> </w:t>
      </w:r>
      <w:r w:rsidR="00A53DF7" w:rsidRPr="00EA1DE2">
        <w:rPr>
          <w:rFonts w:ascii="Arial" w:eastAsia="Calibri" w:hAnsi="Arial" w:cs="Arial"/>
          <w:bCs/>
          <w:sz w:val="22"/>
        </w:rPr>
        <w:t>y</w:t>
      </w:r>
      <w:r w:rsidR="008F09E6" w:rsidRPr="00EA1DE2">
        <w:rPr>
          <w:rFonts w:ascii="Arial" w:eastAsia="Calibri" w:hAnsi="Arial" w:cs="Arial"/>
          <w:bCs/>
          <w:sz w:val="22"/>
        </w:rPr>
        <w:t xml:space="preserve"> C-210 del 10 de mayo de 2021, C-221 del 18 de mayo de 2021</w:t>
      </w:r>
      <w:r w:rsidR="008070BE" w:rsidRPr="00EA1DE2">
        <w:rPr>
          <w:rFonts w:ascii="Arial" w:eastAsia="Calibri" w:hAnsi="Arial" w:cs="Arial"/>
          <w:bCs/>
          <w:sz w:val="22"/>
        </w:rPr>
        <w:t>,</w:t>
      </w:r>
      <w:r w:rsidR="00223EBB" w:rsidRPr="00EA1DE2">
        <w:rPr>
          <w:rFonts w:ascii="Arial" w:eastAsia="Calibri" w:hAnsi="Arial" w:cs="Arial"/>
          <w:bCs/>
          <w:sz w:val="22"/>
        </w:rPr>
        <w:t xml:space="preserve"> C-239 del 25 de mayo de 2021</w:t>
      </w:r>
      <w:r w:rsidR="00A53DF7" w:rsidRPr="00EA1DE2">
        <w:rPr>
          <w:rFonts w:ascii="Arial" w:eastAsia="Calibri" w:hAnsi="Arial" w:cs="Arial"/>
          <w:bCs/>
          <w:sz w:val="22"/>
        </w:rPr>
        <w:t>,</w:t>
      </w:r>
      <w:r w:rsidR="008070BE" w:rsidRPr="00EA1DE2">
        <w:rPr>
          <w:rFonts w:ascii="Arial" w:eastAsia="Calibri" w:hAnsi="Arial" w:cs="Arial"/>
          <w:bCs/>
          <w:sz w:val="22"/>
        </w:rPr>
        <w:t xml:space="preserve"> C-235 del 27</w:t>
      </w:r>
      <w:r w:rsidR="00FB7512" w:rsidRPr="00EA1DE2">
        <w:rPr>
          <w:rFonts w:ascii="Arial" w:eastAsia="Calibri" w:hAnsi="Arial" w:cs="Arial"/>
          <w:bCs/>
          <w:sz w:val="22"/>
        </w:rPr>
        <w:t xml:space="preserve"> de mayo de </w:t>
      </w:r>
      <w:r w:rsidR="008070BE" w:rsidRPr="00EA1DE2">
        <w:rPr>
          <w:rFonts w:ascii="Arial" w:eastAsia="Calibri" w:hAnsi="Arial" w:cs="Arial"/>
          <w:bCs/>
          <w:sz w:val="22"/>
        </w:rPr>
        <w:t>2021, C-265 del 1</w:t>
      </w:r>
      <w:r w:rsidR="00FB7512" w:rsidRPr="00EA1DE2">
        <w:rPr>
          <w:rFonts w:ascii="Arial" w:eastAsia="Calibri" w:hAnsi="Arial" w:cs="Arial"/>
          <w:bCs/>
          <w:sz w:val="22"/>
        </w:rPr>
        <w:t xml:space="preserve"> de junio de </w:t>
      </w:r>
      <w:r w:rsidR="008070BE" w:rsidRPr="00EA1DE2">
        <w:rPr>
          <w:rFonts w:ascii="Arial" w:eastAsia="Calibri" w:hAnsi="Arial" w:cs="Arial"/>
          <w:bCs/>
          <w:sz w:val="22"/>
        </w:rPr>
        <w:t>2021 y C-272 del 9</w:t>
      </w:r>
      <w:r w:rsidR="00FB7512" w:rsidRPr="00EA1DE2">
        <w:rPr>
          <w:rFonts w:ascii="Arial" w:eastAsia="Calibri" w:hAnsi="Arial" w:cs="Arial"/>
          <w:bCs/>
          <w:sz w:val="22"/>
        </w:rPr>
        <w:t xml:space="preserve"> de junio de </w:t>
      </w:r>
      <w:r w:rsidR="008070BE" w:rsidRPr="00EA1DE2">
        <w:rPr>
          <w:rFonts w:ascii="Arial" w:eastAsia="Calibri" w:hAnsi="Arial" w:cs="Arial"/>
          <w:bCs/>
          <w:sz w:val="22"/>
        </w:rPr>
        <w:t>2021</w:t>
      </w:r>
      <w:r w:rsidR="001E7065">
        <w:rPr>
          <w:rFonts w:ascii="Arial" w:eastAsia="Calibri" w:hAnsi="Arial" w:cs="Arial"/>
          <w:bCs/>
          <w:sz w:val="22"/>
        </w:rPr>
        <w:t>,</w:t>
      </w:r>
      <w:r w:rsidR="00D034AF" w:rsidRPr="00EA1DE2">
        <w:rPr>
          <w:rFonts w:ascii="Arial" w:eastAsia="Calibri" w:hAnsi="Arial" w:cs="Arial"/>
          <w:bCs/>
          <w:sz w:val="22"/>
        </w:rPr>
        <w:t xml:space="preserve"> </w:t>
      </w:r>
      <w:r w:rsidRPr="00EA1DE2">
        <w:rPr>
          <w:rFonts w:ascii="Arial" w:eastAsia="Calibri" w:hAnsi="Arial" w:cs="Arial"/>
          <w:bCs/>
          <w:sz w:val="22"/>
        </w:rPr>
        <w:t>se analizaron algunos aspectos sobre la aplicación de l</w:t>
      </w:r>
      <w:r w:rsidR="00EE4F17" w:rsidRPr="00EA1DE2">
        <w:rPr>
          <w:rFonts w:ascii="Arial" w:eastAsia="Calibri" w:hAnsi="Arial" w:cs="Arial"/>
          <w:bCs/>
          <w:sz w:val="22"/>
        </w:rPr>
        <w:t>os factores de desempate introducidos por la</w:t>
      </w:r>
      <w:r w:rsidRPr="00EA1DE2">
        <w:rPr>
          <w:rFonts w:ascii="Arial" w:eastAsia="Calibri" w:hAnsi="Arial" w:cs="Arial"/>
          <w:bCs/>
          <w:sz w:val="22"/>
        </w:rPr>
        <w:t xml:space="preserve"> Ley</w:t>
      </w:r>
      <w:r w:rsidR="006D5842" w:rsidRPr="00EA1DE2">
        <w:rPr>
          <w:rFonts w:ascii="Arial" w:eastAsia="Calibri" w:hAnsi="Arial" w:cs="Arial"/>
          <w:bCs/>
          <w:sz w:val="22"/>
        </w:rPr>
        <w:t xml:space="preserve"> 2069 de 2020</w:t>
      </w:r>
      <w:r w:rsidR="009B0A04" w:rsidRPr="00EA1DE2">
        <w:rPr>
          <w:rFonts w:ascii="Arial" w:eastAsia="Calibri" w:hAnsi="Arial" w:cs="Arial"/>
          <w:bCs/>
          <w:sz w:val="22"/>
        </w:rPr>
        <w:t xml:space="preserve">. Las tesis desarrolladas en dichos conceptos se reiteran </w:t>
      </w:r>
      <w:r w:rsidR="001E7065">
        <w:rPr>
          <w:rFonts w:ascii="Arial" w:eastAsia="Calibri" w:hAnsi="Arial" w:cs="Arial"/>
          <w:bCs/>
          <w:sz w:val="22"/>
        </w:rPr>
        <w:t>a continuación.</w:t>
      </w:r>
    </w:p>
    <w:p w14:paraId="727D4DC8" w14:textId="77777777" w:rsidR="00FB7512" w:rsidRPr="00EA1DE2" w:rsidRDefault="00FB7512" w:rsidP="00EE4F92">
      <w:pPr>
        <w:spacing w:line="276" w:lineRule="auto"/>
        <w:jc w:val="both"/>
        <w:rPr>
          <w:rFonts w:ascii="Arial" w:eastAsia="Calibri" w:hAnsi="Arial" w:cs="Arial"/>
          <w:b/>
          <w:bCs/>
          <w:sz w:val="22"/>
          <w:szCs w:val="22"/>
          <w:lang w:val="es-ES_tradnl"/>
        </w:rPr>
      </w:pPr>
    </w:p>
    <w:p w14:paraId="4175169A" w14:textId="33EEFD6F" w:rsidR="00EE4F92" w:rsidRPr="00EA1DE2" w:rsidRDefault="00EE4F92" w:rsidP="00EE4F92">
      <w:pPr>
        <w:spacing w:line="276" w:lineRule="auto"/>
        <w:jc w:val="both"/>
        <w:rPr>
          <w:rFonts w:ascii="Arial" w:eastAsia="Calibri" w:hAnsi="Arial" w:cs="Arial"/>
          <w:b/>
          <w:bCs/>
          <w:sz w:val="22"/>
          <w:szCs w:val="22"/>
          <w:lang w:val="es-ES_tradnl"/>
        </w:rPr>
      </w:pPr>
      <w:r w:rsidRPr="00EA1DE2">
        <w:rPr>
          <w:rFonts w:ascii="Arial" w:eastAsia="Calibri" w:hAnsi="Arial" w:cs="Arial"/>
          <w:b/>
          <w:bCs/>
          <w:sz w:val="22"/>
          <w:szCs w:val="22"/>
          <w:lang w:val="es-ES_tradnl"/>
        </w:rPr>
        <w:t>2.1. Factores de desempate en la contratación estatal: concepto y características</w:t>
      </w:r>
    </w:p>
    <w:p w14:paraId="43F0ECFC" w14:textId="77777777" w:rsidR="00EE4F92" w:rsidRPr="00EA1DE2" w:rsidRDefault="00EE4F92" w:rsidP="00EE4F92">
      <w:pPr>
        <w:spacing w:line="276" w:lineRule="auto"/>
        <w:jc w:val="both"/>
        <w:rPr>
          <w:rFonts w:ascii="Arial" w:eastAsia="Calibri" w:hAnsi="Arial" w:cs="Arial"/>
          <w:sz w:val="22"/>
          <w:szCs w:val="22"/>
          <w:lang w:val="es-ES_tradnl"/>
        </w:rPr>
      </w:pPr>
    </w:p>
    <w:p w14:paraId="0CC04DA0" w14:textId="0F1D473C" w:rsidR="00EE4F92" w:rsidRPr="00EA1DE2" w:rsidRDefault="00EE4F92" w:rsidP="00EE4F92">
      <w:pPr>
        <w:spacing w:line="276" w:lineRule="auto"/>
        <w:jc w:val="both"/>
        <w:rPr>
          <w:rFonts w:ascii="Arial" w:eastAsia="Calibri" w:hAnsi="Arial" w:cs="Arial"/>
          <w:sz w:val="22"/>
          <w:szCs w:val="22"/>
          <w:lang w:val="es-ES_tradnl"/>
        </w:rPr>
      </w:pPr>
      <w:bookmarkStart w:id="3" w:name="_Hlk71538005"/>
      <w:r w:rsidRPr="00EA1DE2">
        <w:rPr>
          <w:rFonts w:ascii="Arial" w:eastAsia="Calibri" w:hAnsi="Arial" w:cs="Arial"/>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EA1DE2">
        <w:rPr>
          <w:rFonts w:ascii="Arial" w:eastAsia="Calibri" w:hAnsi="Arial" w:cs="Arial"/>
          <w:sz w:val="22"/>
          <w:szCs w:val="22"/>
          <w:lang w:val="es-ES_tradnl"/>
        </w:rPr>
        <w:t>equivalentes,</w:t>
      </w:r>
      <w:proofErr w:type="gramEnd"/>
      <w:r w:rsidRPr="00EA1DE2">
        <w:rPr>
          <w:rFonts w:ascii="Arial" w:eastAsia="Calibri" w:hAnsi="Arial" w:cs="Arial"/>
          <w:sz w:val="22"/>
          <w:szCs w:val="22"/>
          <w:lang w:val="es-ES_tradnl"/>
        </w:rPr>
        <w:t xml:space="preserve"> tendrán </w:t>
      </w:r>
      <w:r w:rsidRPr="00EA1DE2">
        <w:rPr>
          <w:rFonts w:ascii="Arial" w:eastAsia="Calibri" w:hAnsi="Arial" w:cs="Arial"/>
          <w:sz w:val="22"/>
          <w:szCs w:val="22"/>
          <w:lang w:val="es-ES_tradnl"/>
        </w:rPr>
        <w:lastRenderedPageBreak/>
        <w:t>en cuenta criterios como la experiencia y la capacidad jurídica, financiera y de organización, entre otros elementos que garanticen la escogencia de la mejor opción de negocio para la entidad estatal.</w:t>
      </w:r>
    </w:p>
    <w:bookmarkEnd w:id="3"/>
    <w:p w14:paraId="486EB0F1" w14:textId="4AB0593A" w:rsidR="00EE4F92" w:rsidRPr="00EA1DE2" w:rsidRDefault="00EE4F92" w:rsidP="00EE4F92">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En esta perspectiva, </w:t>
      </w:r>
      <w:bookmarkStart w:id="4" w:name="_Hlk71538043"/>
      <w:r w:rsidRPr="00EA1DE2">
        <w:rPr>
          <w:rFonts w:ascii="Arial" w:eastAsia="Calibri" w:hAnsi="Arial" w:cs="Arial"/>
          <w:sz w:val="22"/>
          <w:szCs w:val="22"/>
          <w:lang w:val="es-ES_tradnl"/>
        </w:rPr>
        <w:t xml:space="preserve">los requisitos habilitantes o de participación, así como los criterios de evaluación o de calificación con puntos, son instrumentos por medio de los cuales se pretende </w:t>
      </w:r>
      <w:r w:rsidR="004B7273">
        <w:rPr>
          <w:rFonts w:ascii="Arial" w:eastAsia="Calibri" w:hAnsi="Arial" w:cs="Arial"/>
          <w:sz w:val="22"/>
          <w:szCs w:val="22"/>
          <w:lang w:val="es-ES_tradnl"/>
        </w:rPr>
        <w:t xml:space="preserve">materializar </w:t>
      </w:r>
      <w:r w:rsidRPr="00EA1DE2">
        <w:rPr>
          <w:rFonts w:ascii="Arial" w:eastAsia="Calibri" w:hAnsi="Arial" w:cs="Arial"/>
          <w:sz w:val="22"/>
          <w:szCs w:val="22"/>
          <w:lang w:val="es-ES_tradnl"/>
        </w:rPr>
        <w:t xml:space="preserve">el principio de selección objetiva en la contratación pública. Sin embargo, en algunas ocasiones, así se establezcan requisitos habilitantes y factores de calificación </w:t>
      </w:r>
      <w:r w:rsidR="004B7273">
        <w:rPr>
          <w:rFonts w:ascii="Arial" w:eastAsia="Calibri" w:hAnsi="Arial" w:cs="Arial"/>
          <w:sz w:val="22"/>
          <w:szCs w:val="22"/>
          <w:lang w:val="es-ES_tradnl"/>
        </w:rPr>
        <w:t>adecuados</w:t>
      </w:r>
      <w:r w:rsidRPr="00EA1DE2">
        <w:rPr>
          <w:rFonts w:ascii="Arial" w:eastAsia="Calibri" w:hAnsi="Arial" w:cs="Arial"/>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4B7273">
        <w:rPr>
          <w:rFonts w:ascii="Arial" w:eastAsia="Calibri" w:hAnsi="Arial" w:cs="Arial"/>
          <w:sz w:val="22"/>
          <w:szCs w:val="22"/>
          <w:lang w:val="es-ES_tradnl"/>
        </w:rPr>
        <w:t>equivalente</w:t>
      </w:r>
      <w:r w:rsidRPr="00EA1DE2">
        <w:rPr>
          <w:rFonts w:ascii="Arial" w:eastAsia="Calibri" w:hAnsi="Arial" w:cs="Arial"/>
          <w:sz w:val="22"/>
          <w:szCs w:val="22"/>
          <w:lang w:val="es-ES_tradnl"/>
        </w:rPr>
        <w:t>, al ponderarse los criterios de calificación que, en principio, aplican al procedimiento de selección</w:t>
      </w:r>
      <w:bookmarkEnd w:id="4"/>
      <w:r w:rsidRPr="00EA1DE2">
        <w:rPr>
          <w:rFonts w:ascii="Arial" w:eastAsia="Calibri" w:hAnsi="Arial" w:cs="Arial"/>
          <w:sz w:val="22"/>
          <w:szCs w:val="22"/>
          <w:lang w:val="es-ES_tradnl"/>
        </w:rPr>
        <w:t xml:space="preserve">. </w:t>
      </w:r>
    </w:p>
    <w:p w14:paraId="5986E1C5" w14:textId="77777777" w:rsidR="00EE4F92" w:rsidRPr="00EA1DE2" w:rsidRDefault="00EE4F92" w:rsidP="00EE4F92">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Sin embargo, </w:t>
      </w:r>
      <w:bookmarkStart w:id="5" w:name="_Hlk71538124"/>
      <w:r w:rsidRPr="00EA1DE2">
        <w:rPr>
          <w:rFonts w:ascii="Arial" w:eastAsia="Calibri" w:hAnsi="Arial" w:cs="Arial"/>
          <w:sz w:val="22"/>
          <w:szCs w:val="22"/>
          <w:lang w:val="es-ES_tradnl"/>
        </w:rPr>
        <w:t>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EA1DE2">
        <w:rPr>
          <w:rStyle w:val="Refdenotaalpie"/>
          <w:rFonts w:ascii="Arial" w:hAnsi="Arial" w:cs="Arial"/>
          <w:sz w:val="21"/>
          <w:szCs w:val="21"/>
          <w:lang w:val="es-ES_tradnl"/>
        </w:rPr>
        <w:footnoteReference w:id="2"/>
      </w:r>
      <w:r w:rsidRPr="00EA1DE2">
        <w:rPr>
          <w:rFonts w:ascii="Arial" w:eastAsia="Calibri" w:hAnsi="Arial" w:cs="Arial"/>
          <w:sz w:val="22"/>
          <w:szCs w:val="22"/>
          <w:lang w:val="es-ES_tradnl"/>
        </w:rPr>
        <w:t xml:space="preserve">. </w:t>
      </w:r>
    </w:p>
    <w:p w14:paraId="269022B4" w14:textId="77777777" w:rsidR="00EE4F92" w:rsidRPr="00EA1DE2" w:rsidRDefault="00EE4F92" w:rsidP="00EE4F92">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En tal sentido, la Corte Constitucional explica que cuando la ley establece factores de desempate obligatorios, las entidades estatales no pueden </w:t>
      </w:r>
      <w:proofErr w:type="spellStart"/>
      <w:r w:rsidRPr="00EA1DE2">
        <w:rPr>
          <w:rFonts w:ascii="Arial" w:eastAsia="Calibri" w:hAnsi="Arial" w:cs="Arial"/>
          <w:sz w:val="22"/>
          <w:szCs w:val="22"/>
          <w:lang w:val="es-ES_tradnl"/>
        </w:rPr>
        <w:t>inaplicarlos</w:t>
      </w:r>
      <w:proofErr w:type="spellEnd"/>
      <w:r w:rsidRPr="00EA1DE2">
        <w:rPr>
          <w:rFonts w:ascii="Arial" w:eastAsia="Calibri" w:hAnsi="Arial" w:cs="Arial"/>
          <w:sz w:val="22"/>
          <w:szCs w:val="22"/>
          <w:lang w:val="es-ES_tradnl"/>
        </w:rPr>
        <w:t>, porque ello podría vulnerar el principio de igualdad, especialmente, cuando algunos de estos criterios surgen como acciones afirmativas para ciertos sectores de la población</w:t>
      </w:r>
      <w:r w:rsidRPr="00EA1DE2">
        <w:rPr>
          <w:rStyle w:val="Refdenotaalpie"/>
          <w:rFonts w:ascii="Arial" w:eastAsia="Calibri" w:hAnsi="Arial" w:cs="Arial"/>
          <w:sz w:val="22"/>
          <w:szCs w:val="22"/>
          <w:lang w:val="es-ES_tradnl"/>
        </w:rPr>
        <w:footnoteReference w:id="3"/>
      </w:r>
      <w:r w:rsidRPr="00EA1DE2">
        <w:rPr>
          <w:rFonts w:ascii="Arial" w:eastAsia="Calibri" w:hAnsi="Arial" w:cs="Arial"/>
          <w:sz w:val="22"/>
          <w:szCs w:val="22"/>
          <w:lang w:val="es-ES_tradnl"/>
        </w:rPr>
        <w:t>. Más aún, el Consejo de Estado ha señalado que contrariar los factores de desempate genera la nulidad del contrato, conforme al artículo 44, inciso 1º de la Ley 80 de 1993</w:t>
      </w:r>
      <w:r w:rsidRPr="00EA1DE2">
        <w:rPr>
          <w:rStyle w:val="Refdenotaalpie"/>
          <w:rFonts w:ascii="Arial" w:eastAsia="Calibri" w:hAnsi="Arial" w:cs="Arial"/>
          <w:sz w:val="22"/>
          <w:szCs w:val="22"/>
          <w:lang w:val="es-ES_tradnl"/>
        </w:rPr>
        <w:footnoteReference w:id="4"/>
      </w:r>
      <w:r w:rsidRPr="00EA1DE2">
        <w:rPr>
          <w:rFonts w:ascii="Arial" w:eastAsia="Calibri" w:hAnsi="Arial" w:cs="Arial"/>
          <w:sz w:val="22"/>
          <w:szCs w:val="22"/>
          <w:lang w:val="es-ES_tradnl"/>
        </w:rPr>
        <w:t>.</w:t>
      </w:r>
    </w:p>
    <w:bookmarkEnd w:id="5"/>
    <w:p w14:paraId="02900898" w14:textId="77777777" w:rsidR="00EE4F92" w:rsidRPr="00EA1DE2" w:rsidRDefault="00EE4F92" w:rsidP="00EE4F92">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lastRenderedPageBreak/>
        <w:t xml:space="preserve">Ahora bien, en cumplimiento de los principios de reciprocidad y de </w:t>
      </w:r>
      <w:r w:rsidRPr="00EA1DE2">
        <w:rPr>
          <w:rFonts w:ascii="Arial" w:eastAsia="Calibri" w:hAnsi="Arial" w:cs="Arial"/>
          <w:i/>
          <w:iCs/>
          <w:sz w:val="22"/>
          <w:szCs w:val="22"/>
          <w:lang w:val="es-ES_tradnl"/>
        </w:rPr>
        <w:t xml:space="preserve">pacta sunt </w:t>
      </w:r>
      <w:proofErr w:type="spellStart"/>
      <w:r w:rsidRPr="00EA1DE2">
        <w:rPr>
          <w:rFonts w:ascii="Arial" w:eastAsia="Calibri" w:hAnsi="Arial" w:cs="Arial"/>
          <w:i/>
          <w:iCs/>
          <w:sz w:val="22"/>
          <w:szCs w:val="22"/>
          <w:lang w:val="es-ES_tradnl"/>
        </w:rPr>
        <w:t>servanda</w:t>
      </w:r>
      <w:proofErr w:type="spellEnd"/>
      <w:r w:rsidRPr="00EA1DE2">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AA66158" w14:textId="77777777" w:rsidR="00EE4F92" w:rsidRPr="00EA1DE2" w:rsidRDefault="00EE4F92" w:rsidP="00EE4F92">
      <w:pPr>
        <w:spacing w:line="276" w:lineRule="auto"/>
        <w:rPr>
          <w:rFonts w:ascii="Arial" w:eastAsia="Calibri" w:hAnsi="Arial" w:cs="Arial"/>
          <w:sz w:val="22"/>
          <w:szCs w:val="22"/>
          <w:lang w:val="es-ES_tradnl"/>
        </w:rPr>
      </w:pPr>
    </w:p>
    <w:p w14:paraId="0BF15AAB" w14:textId="77777777" w:rsidR="00EE4F92" w:rsidRPr="00EA1DE2" w:rsidRDefault="00EE4F92" w:rsidP="00EE4F92">
      <w:pPr>
        <w:spacing w:line="276" w:lineRule="auto"/>
        <w:jc w:val="both"/>
        <w:rPr>
          <w:rFonts w:ascii="Arial" w:eastAsia="Calibri" w:hAnsi="Arial" w:cs="Arial"/>
          <w:b/>
          <w:bCs/>
          <w:sz w:val="22"/>
          <w:szCs w:val="22"/>
          <w:lang w:val="es-ES_tradnl"/>
        </w:rPr>
      </w:pPr>
      <w:r w:rsidRPr="00EA1DE2">
        <w:rPr>
          <w:rFonts w:ascii="Arial" w:eastAsia="Calibri" w:hAnsi="Arial" w:cs="Arial"/>
          <w:b/>
          <w:bCs/>
          <w:sz w:val="22"/>
          <w:szCs w:val="22"/>
          <w:lang w:val="es-ES_tradnl"/>
        </w:rPr>
        <w:t>2.2. Vigencia y ámbito de aplicación de la Ley 2069 de 2020</w:t>
      </w:r>
    </w:p>
    <w:p w14:paraId="4530199A" w14:textId="77777777" w:rsidR="00EE4F92" w:rsidRPr="00EA1DE2" w:rsidRDefault="00EE4F92" w:rsidP="00EE4F92">
      <w:pPr>
        <w:spacing w:line="276" w:lineRule="auto"/>
        <w:jc w:val="both"/>
        <w:rPr>
          <w:rFonts w:ascii="Arial" w:eastAsia="Calibri" w:hAnsi="Arial" w:cs="Arial"/>
          <w:sz w:val="22"/>
          <w:szCs w:val="22"/>
          <w:lang w:val="es-ES_tradnl"/>
        </w:rPr>
      </w:pPr>
    </w:p>
    <w:p w14:paraId="61530DB9" w14:textId="77777777" w:rsidR="00EE4F92" w:rsidRPr="00EA1DE2" w:rsidRDefault="00EE4F92" w:rsidP="00EE4F92">
      <w:pPr>
        <w:spacing w:line="276" w:lineRule="auto"/>
        <w:jc w:val="both"/>
        <w:rPr>
          <w:rFonts w:ascii="Arial" w:eastAsia="Calibri" w:hAnsi="Arial" w:cs="Arial"/>
          <w:sz w:val="22"/>
          <w:szCs w:val="22"/>
          <w:lang w:val="es-ES_tradnl"/>
        </w:rPr>
      </w:pPr>
      <w:r w:rsidRPr="00EA1DE2">
        <w:rPr>
          <w:rFonts w:ascii="Arial" w:eastAsia="Calibri" w:hAnsi="Arial" w:cs="Arial"/>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A4257CF" w14:textId="77777777" w:rsidR="00EE4F92" w:rsidRPr="00EA1DE2" w:rsidRDefault="00EE4F92" w:rsidP="00EE4F92">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EA1DE2">
        <w:rPr>
          <w:rFonts w:ascii="Arial" w:eastAsia="Calibri" w:hAnsi="Arial" w:cs="Arial"/>
          <w:sz w:val="22"/>
          <w:szCs w:val="22"/>
          <w:lang w:val="es-ES_tradnl"/>
        </w:rPr>
        <w:t>de acuerdo a</w:t>
      </w:r>
      <w:proofErr w:type="gramEnd"/>
      <w:r w:rsidRPr="00EA1DE2">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EA1DE2">
        <w:rPr>
          <w:rFonts w:ascii="Arial" w:eastAsia="Calibri" w:hAnsi="Arial" w:cs="Arial"/>
          <w:sz w:val="22"/>
          <w:szCs w:val="22"/>
          <w:lang w:val="es-ES_tradnl"/>
        </w:rPr>
        <w:t>mipymes</w:t>
      </w:r>
      <w:proofErr w:type="spellEnd"/>
      <w:r w:rsidRPr="00EA1DE2">
        <w:rPr>
          <w:rFonts w:ascii="Arial" w:eastAsia="Calibri" w:hAnsi="Arial" w:cs="Arial"/>
          <w:sz w:val="22"/>
          <w:szCs w:val="22"/>
          <w:lang w:val="es-ES_tradnl"/>
        </w:rPr>
        <w:t>–, mediante la racionalización y simplificación de los trámites y tarifas</w:t>
      </w:r>
      <w:r w:rsidRPr="00EA1DE2">
        <w:rPr>
          <w:rStyle w:val="Refdenotaalpie"/>
          <w:rFonts w:ascii="Arial" w:eastAsia="Calibri" w:hAnsi="Arial" w:cs="Arial"/>
          <w:sz w:val="22"/>
          <w:szCs w:val="22"/>
          <w:lang w:val="es-ES_tradnl"/>
        </w:rPr>
        <w:footnoteReference w:id="5"/>
      </w:r>
      <w:r w:rsidRPr="00EA1DE2">
        <w:rPr>
          <w:rFonts w:ascii="Arial" w:eastAsia="Calibri" w:hAnsi="Arial" w:cs="Arial"/>
          <w:sz w:val="22"/>
          <w:szCs w:val="22"/>
          <w:lang w:val="es-ES_tradnl"/>
        </w:rPr>
        <w:t>, así como incentivos a favor de aquellas dentro del sistema de compras y contratación pública</w:t>
      </w:r>
      <w:r w:rsidRPr="00EA1DE2">
        <w:rPr>
          <w:rStyle w:val="Refdenotaalpie"/>
          <w:rFonts w:ascii="Arial" w:eastAsia="Calibri" w:hAnsi="Arial" w:cs="Arial"/>
          <w:sz w:val="22"/>
          <w:szCs w:val="22"/>
          <w:lang w:val="es-ES_tradnl"/>
        </w:rPr>
        <w:footnoteReference w:id="6"/>
      </w:r>
      <w:r w:rsidRPr="00EA1DE2">
        <w:rPr>
          <w:rFonts w:ascii="Arial" w:eastAsia="Calibri" w:hAnsi="Arial" w:cs="Arial"/>
          <w:sz w:val="22"/>
          <w:szCs w:val="22"/>
          <w:lang w:val="es-ES_tradnl"/>
        </w:rPr>
        <w:t>. De igual forma, se consagran mecanismos de acceso al financiamiento</w:t>
      </w:r>
      <w:r w:rsidRPr="00EA1DE2">
        <w:rPr>
          <w:rStyle w:val="Refdenotaalpie"/>
          <w:rFonts w:ascii="Arial" w:eastAsia="Calibri" w:hAnsi="Arial" w:cs="Arial"/>
          <w:sz w:val="22"/>
          <w:szCs w:val="22"/>
          <w:lang w:val="es-ES_tradnl"/>
        </w:rPr>
        <w:footnoteReference w:id="7"/>
      </w:r>
      <w:r w:rsidRPr="00EA1DE2">
        <w:rPr>
          <w:rFonts w:ascii="Arial" w:eastAsia="Calibri" w:hAnsi="Arial" w:cs="Arial"/>
          <w:sz w:val="22"/>
          <w:szCs w:val="22"/>
          <w:lang w:val="es-ES_tradnl"/>
        </w:rPr>
        <w:t xml:space="preserve">, se unifican las fuentes de emprendimiento y de desarrollo empresarial, para fortalecer y promover los distintos </w:t>
      </w:r>
      <w:r w:rsidRPr="00EA1DE2">
        <w:rPr>
          <w:rFonts w:ascii="Arial" w:eastAsia="Calibri" w:hAnsi="Arial" w:cs="Arial"/>
          <w:sz w:val="22"/>
          <w:szCs w:val="22"/>
          <w:lang w:val="es-ES_tradnl"/>
        </w:rPr>
        <w:lastRenderedPageBreak/>
        <w:t>sectores de la economía</w:t>
      </w:r>
      <w:r w:rsidRPr="00EA1DE2">
        <w:rPr>
          <w:rStyle w:val="Refdenotaalpie"/>
          <w:rFonts w:ascii="Arial" w:eastAsia="Calibri" w:hAnsi="Arial" w:cs="Arial"/>
          <w:sz w:val="22"/>
          <w:szCs w:val="22"/>
          <w:lang w:val="es-ES_tradnl"/>
        </w:rPr>
        <w:footnoteReference w:id="8"/>
      </w:r>
      <w:r w:rsidRPr="00EA1DE2">
        <w:rPr>
          <w:rFonts w:ascii="Arial" w:eastAsia="Calibri" w:hAnsi="Arial" w:cs="Arial"/>
          <w:sz w:val="22"/>
          <w:szCs w:val="22"/>
          <w:lang w:val="es-ES_tradnl"/>
        </w:rPr>
        <w:t xml:space="preserve"> y se prevén medidas de educación para el emprendimiento y la innovación</w:t>
      </w:r>
      <w:r w:rsidRPr="00EA1DE2">
        <w:rPr>
          <w:rStyle w:val="Refdenotaalpie"/>
          <w:rFonts w:ascii="Arial" w:eastAsia="Calibri" w:hAnsi="Arial" w:cs="Arial"/>
          <w:sz w:val="22"/>
          <w:szCs w:val="22"/>
          <w:lang w:val="es-ES_tradnl"/>
        </w:rPr>
        <w:footnoteReference w:id="9"/>
      </w:r>
      <w:r w:rsidRPr="00EA1DE2">
        <w:rPr>
          <w:rFonts w:ascii="Arial" w:eastAsia="Calibri" w:hAnsi="Arial" w:cs="Arial"/>
          <w:sz w:val="22"/>
          <w:szCs w:val="22"/>
          <w:lang w:val="es-ES_tradnl"/>
        </w:rPr>
        <w:t>.</w:t>
      </w:r>
    </w:p>
    <w:p w14:paraId="748F81E7" w14:textId="211B340E" w:rsidR="00EA0455" w:rsidRPr="00EA1DE2" w:rsidRDefault="00EE4F92" w:rsidP="00EE4F92">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EA1DE2">
        <w:rPr>
          <w:rFonts w:ascii="Arial" w:eastAsia="Calibri" w:hAnsi="Arial" w:cs="Arial"/>
          <w:sz w:val="22"/>
          <w:szCs w:val="22"/>
          <w:lang w:val="es-ES_tradnl"/>
        </w:rPr>
        <w:t>mipymes</w:t>
      </w:r>
      <w:proofErr w:type="spellEnd"/>
      <w:r w:rsidRPr="00EA1DE2">
        <w:rPr>
          <w:rFonts w:ascii="Arial" w:eastAsia="Calibri" w:hAnsi="Arial" w:cs="Arial"/>
          <w:sz w:val="22"/>
          <w:szCs w:val="22"/>
          <w:lang w:val="es-ES_tradnl"/>
        </w:rPr>
        <w:t xml:space="preserve"> en el procedimiento de mínima cuantía, </w:t>
      </w:r>
      <w:proofErr w:type="spellStart"/>
      <w:r w:rsidRPr="00EA1DE2">
        <w:rPr>
          <w:rFonts w:ascii="Arial" w:eastAsia="Calibri" w:hAnsi="Arial" w:cs="Arial"/>
          <w:sz w:val="22"/>
          <w:szCs w:val="22"/>
          <w:lang w:val="es-ES_tradnl"/>
        </w:rPr>
        <w:t>ii</w:t>
      </w:r>
      <w:proofErr w:type="spellEnd"/>
      <w:r w:rsidRPr="00EA1DE2">
        <w:rPr>
          <w:rFonts w:ascii="Arial" w:eastAsia="Calibri" w:hAnsi="Arial" w:cs="Arial"/>
          <w:sz w:val="22"/>
          <w:szCs w:val="22"/>
          <w:lang w:val="es-ES_tradnl"/>
        </w:rPr>
        <w:t xml:space="preserve">) criterios diferenciales para </w:t>
      </w:r>
      <w:proofErr w:type="spellStart"/>
      <w:r w:rsidRPr="00EA1DE2">
        <w:rPr>
          <w:rFonts w:ascii="Arial" w:eastAsia="Calibri" w:hAnsi="Arial" w:cs="Arial"/>
          <w:sz w:val="22"/>
          <w:szCs w:val="22"/>
          <w:lang w:val="es-ES_tradnl"/>
        </w:rPr>
        <w:t>mipymes</w:t>
      </w:r>
      <w:proofErr w:type="spellEnd"/>
      <w:r w:rsidRPr="00EA1DE2">
        <w:rPr>
          <w:rFonts w:ascii="Arial" w:eastAsia="Calibri" w:hAnsi="Arial" w:cs="Arial"/>
          <w:sz w:val="22"/>
          <w:szCs w:val="22"/>
          <w:lang w:val="es-ES_tradnl"/>
        </w:rPr>
        <w:t xml:space="preserve"> en el sistema de compras públicas, </w:t>
      </w:r>
      <w:proofErr w:type="spellStart"/>
      <w:r w:rsidRPr="00EA1DE2">
        <w:rPr>
          <w:rFonts w:ascii="Arial" w:eastAsia="Calibri" w:hAnsi="Arial" w:cs="Arial"/>
          <w:sz w:val="22"/>
          <w:szCs w:val="22"/>
          <w:lang w:val="es-ES_tradnl"/>
        </w:rPr>
        <w:t>iii</w:t>
      </w:r>
      <w:proofErr w:type="spellEnd"/>
      <w:r w:rsidRPr="00EA1DE2">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EA1DE2">
        <w:rPr>
          <w:rFonts w:ascii="Arial" w:eastAsia="Calibri" w:hAnsi="Arial" w:cs="Arial"/>
          <w:sz w:val="22"/>
          <w:szCs w:val="22"/>
          <w:lang w:val="es-ES_tradnl"/>
        </w:rPr>
        <w:t>iv</w:t>
      </w:r>
      <w:proofErr w:type="spellEnd"/>
      <w:r w:rsidRPr="00EA1DE2">
        <w:rPr>
          <w:rFonts w:ascii="Arial" w:eastAsia="Calibri" w:hAnsi="Arial" w:cs="Arial"/>
          <w:sz w:val="22"/>
          <w:szCs w:val="22"/>
          <w:lang w:val="es-ES_tradnl"/>
        </w:rPr>
        <w:t xml:space="preserve">) promoción del acceso de las </w:t>
      </w:r>
      <w:proofErr w:type="spellStart"/>
      <w:r w:rsidRPr="00EA1DE2">
        <w:rPr>
          <w:rFonts w:ascii="Arial" w:eastAsia="Calibri" w:hAnsi="Arial" w:cs="Arial"/>
          <w:sz w:val="22"/>
          <w:szCs w:val="22"/>
          <w:lang w:val="es-ES_tradnl"/>
        </w:rPr>
        <w:t>mipymes</w:t>
      </w:r>
      <w:proofErr w:type="spellEnd"/>
      <w:r w:rsidRPr="00EA1DE2">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proofErr w:type="gramStart"/>
      <w:r w:rsidRPr="00EA1DE2">
        <w:rPr>
          <w:rFonts w:ascii="Arial" w:eastAsia="Calibri" w:hAnsi="Arial" w:cs="Arial"/>
          <w:sz w:val="22"/>
          <w:szCs w:val="22"/>
          <w:lang w:val="es-ES_tradnl"/>
        </w:rPr>
        <w:t>continuación</w:t>
      </w:r>
      <w:proofErr w:type="gramEnd"/>
      <w:r w:rsidRPr="00EA1DE2">
        <w:rPr>
          <w:rFonts w:ascii="Arial" w:eastAsia="Calibri" w:hAnsi="Arial" w:cs="Arial"/>
          <w:sz w:val="22"/>
          <w:szCs w:val="22"/>
          <w:lang w:val="es-ES_tradnl"/>
        </w:rPr>
        <w:t xml:space="preserve"> se estudiará el contenido y alcance de dicha norma.  </w:t>
      </w:r>
    </w:p>
    <w:p w14:paraId="76F598EA" w14:textId="77777777" w:rsidR="006C189C" w:rsidRPr="00EA1DE2" w:rsidRDefault="006C189C" w:rsidP="00DA2E27">
      <w:pPr>
        <w:jc w:val="both"/>
        <w:rPr>
          <w:rFonts w:ascii="Arial" w:eastAsia="Calibri" w:hAnsi="Arial" w:cs="Arial"/>
          <w:sz w:val="22"/>
          <w:szCs w:val="22"/>
          <w:lang w:val="es-ES_tradnl"/>
        </w:rPr>
      </w:pPr>
    </w:p>
    <w:p w14:paraId="60EFF375" w14:textId="39DC0909" w:rsidR="004B7273" w:rsidRPr="00AD5142" w:rsidRDefault="00523F41" w:rsidP="004B7273">
      <w:pPr>
        <w:spacing w:line="276" w:lineRule="auto"/>
        <w:jc w:val="both"/>
        <w:rPr>
          <w:rFonts w:ascii="Arial" w:eastAsia="Calibri" w:hAnsi="Arial" w:cs="Arial"/>
          <w:b/>
          <w:bCs/>
          <w:color w:val="000000" w:themeColor="text1"/>
          <w:sz w:val="22"/>
          <w:szCs w:val="22"/>
          <w:lang w:val="es-ES_tradnl"/>
        </w:rPr>
      </w:pPr>
      <w:r w:rsidRPr="00EA1DE2">
        <w:rPr>
          <w:rFonts w:ascii="Arial" w:eastAsia="Calibri" w:hAnsi="Arial" w:cs="Arial"/>
          <w:b/>
          <w:bCs/>
          <w:sz w:val="22"/>
          <w:szCs w:val="22"/>
          <w:lang w:val="es-ES_tradnl"/>
        </w:rPr>
        <w:t>2.3.</w:t>
      </w:r>
      <w:r w:rsidR="00833ADA" w:rsidRPr="00EA1DE2">
        <w:rPr>
          <w:rFonts w:ascii="Arial" w:eastAsia="Calibri" w:hAnsi="Arial" w:cs="Arial"/>
          <w:b/>
          <w:bCs/>
          <w:sz w:val="22"/>
          <w:szCs w:val="22"/>
          <w:lang w:val="es-ES_tradnl"/>
        </w:rPr>
        <w:t xml:space="preserve"> </w:t>
      </w:r>
      <w:r w:rsidR="006B1488" w:rsidRPr="00EA1DE2">
        <w:rPr>
          <w:rFonts w:ascii="Arial" w:eastAsia="Calibri" w:hAnsi="Arial" w:cs="Arial"/>
          <w:b/>
          <w:bCs/>
          <w:sz w:val="22"/>
          <w:szCs w:val="22"/>
          <w:lang w:val="es-ES_tradnl"/>
        </w:rPr>
        <w:t>Aplicación de</w:t>
      </w:r>
      <w:r w:rsidR="00833ADA" w:rsidRPr="00EA1DE2">
        <w:rPr>
          <w:rFonts w:ascii="Arial" w:eastAsia="Calibri" w:hAnsi="Arial" w:cs="Arial"/>
          <w:b/>
          <w:bCs/>
          <w:sz w:val="22"/>
          <w:szCs w:val="22"/>
          <w:lang w:val="es-ES_tradnl"/>
        </w:rPr>
        <w:t xml:space="preserve"> los factores de desempate consagrados en el artículo 35 de la</w:t>
      </w:r>
      <w:r w:rsidR="00755229" w:rsidRPr="00EA1DE2">
        <w:rPr>
          <w:rFonts w:ascii="Arial" w:eastAsia="Calibri" w:hAnsi="Arial" w:cs="Arial"/>
          <w:b/>
          <w:bCs/>
          <w:sz w:val="22"/>
          <w:szCs w:val="22"/>
          <w:lang w:val="es-ES_tradnl"/>
        </w:rPr>
        <w:t xml:space="preserve"> Ley </w:t>
      </w:r>
      <w:r w:rsidR="007B209C" w:rsidRPr="00EA1DE2">
        <w:rPr>
          <w:rFonts w:ascii="Arial" w:eastAsia="Calibri" w:hAnsi="Arial" w:cs="Arial"/>
          <w:b/>
          <w:bCs/>
          <w:sz w:val="22"/>
          <w:szCs w:val="22"/>
          <w:lang w:val="es-ES_tradnl"/>
        </w:rPr>
        <w:t>2069</w:t>
      </w:r>
      <w:r w:rsidR="00755229" w:rsidRPr="00EA1DE2">
        <w:rPr>
          <w:rFonts w:ascii="Arial" w:eastAsia="Calibri" w:hAnsi="Arial" w:cs="Arial"/>
          <w:b/>
          <w:bCs/>
          <w:sz w:val="22"/>
          <w:szCs w:val="22"/>
          <w:lang w:val="es-ES_tradnl"/>
        </w:rPr>
        <w:t xml:space="preserve"> de 2020</w:t>
      </w:r>
      <w:r w:rsidR="004B7273">
        <w:rPr>
          <w:rFonts w:ascii="Arial" w:eastAsia="Calibri" w:hAnsi="Arial" w:cs="Arial"/>
          <w:b/>
          <w:bCs/>
          <w:sz w:val="22"/>
          <w:szCs w:val="22"/>
          <w:lang w:val="es-ES_tradnl"/>
        </w:rPr>
        <w:t xml:space="preserve">. </w:t>
      </w:r>
      <w:r w:rsidR="004B7273">
        <w:rPr>
          <w:rFonts w:ascii="Arial" w:eastAsia="Calibri" w:hAnsi="Arial" w:cs="Arial"/>
          <w:b/>
          <w:bCs/>
          <w:color w:val="000000" w:themeColor="text1"/>
          <w:sz w:val="22"/>
          <w:szCs w:val="22"/>
          <w:lang w:val="es-ES_tradnl"/>
        </w:rPr>
        <w:t>E</w:t>
      </w:r>
      <w:r w:rsidR="004B7273" w:rsidRPr="00AD5142">
        <w:rPr>
          <w:rFonts w:ascii="Arial" w:eastAsia="Calibri" w:hAnsi="Arial" w:cs="Arial"/>
          <w:b/>
          <w:bCs/>
          <w:color w:val="000000" w:themeColor="text1"/>
          <w:sz w:val="22"/>
          <w:szCs w:val="22"/>
          <w:lang w:val="es-ES_tradnl"/>
        </w:rPr>
        <w:t>n especial, el previsto en el numeral 2</w:t>
      </w:r>
    </w:p>
    <w:p w14:paraId="39B77F09" w14:textId="77777777" w:rsidR="00FC6DB9" w:rsidRPr="00EA1DE2" w:rsidRDefault="00FC6DB9" w:rsidP="00DA2E27">
      <w:pPr>
        <w:jc w:val="both"/>
        <w:rPr>
          <w:rFonts w:ascii="Arial" w:eastAsia="Calibri" w:hAnsi="Arial" w:cs="Arial"/>
          <w:sz w:val="22"/>
          <w:szCs w:val="22"/>
          <w:lang w:val="es-ES_tradnl"/>
        </w:rPr>
      </w:pPr>
    </w:p>
    <w:p w14:paraId="28246740" w14:textId="5686D694" w:rsidR="00BD3AF1" w:rsidRPr="00EA1DE2" w:rsidRDefault="00FC6DB9" w:rsidP="00271230">
      <w:pPr>
        <w:spacing w:line="276" w:lineRule="auto"/>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El artículo 35 de la Ley </w:t>
      </w:r>
      <w:r w:rsidR="007B209C" w:rsidRPr="00EA1DE2">
        <w:rPr>
          <w:rFonts w:ascii="Arial" w:eastAsia="Calibri" w:hAnsi="Arial" w:cs="Arial"/>
          <w:sz w:val="22"/>
          <w:szCs w:val="22"/>
          <w:lang w:val="es-ES_tradnl"/>
        </w:rPr>
        <w:t>2069</w:t>
      </w:r>
      <w:r w:rsidRPr="00EA1DE2">
        <w:rPr>
          <w:rFonts w:ascii="Arial" w:eastAsia="Calibri" w:hAnsi="Arial" w:cs="Arial"/>
          <w:sz w:val="22"/>
          <w:szCs w:val="22"/>
          <w:lang w:val="es-ES_tradnl"/>
        </w:rPr>
        <w:t xml:space="preserve"> de 2020</w:t>
      </w:r>
      <w:r w:rsidR="00486226" w:rsidRPr="00EA1DE2">
        <w:rPr>
          <w:rFonts w:ascii="Arial" w:eastAsia="Calibri" w:hAnsi="Arial" w:cs="Arial"/>
          <w:sz w:val="22"/>
          <w:szCs w:val="22"/>
          <w:lang w:val="es-ES_tradnl"/>
        </w:rPr>
        <w:t xml:space="preserve"> modifica la regulación de los </w:t>
      </w:r>
      <w:r w:rsidR="008F4163" w:rsidRPr="00EA1DE2">
        <w:rPr>
          <w:rFonts w:ascii="Arial" w:eastAsia="Calibri" w:hAnsi="Arial" w:cs="Arial"/>
          <w:sz w:val="22"/>
          <w:szCs w:val="22"/>
          <w:lang w:val="es-ES_tradnl"/>
        </w:rPr>
        <w:t>factores</w:t>
      </w:r>
      <w:r w:rsidR="00486226" w:rsidRPr="00EA1DE2">
        <w:rPr>
          <w:rFonts w:ascii="Arial" w:eastAsia="Calibri" w:hAnsi="Arial" w:cs="Arial"/>
          <w:sz w:val="22"/>
          <w:szCs w:val="22"/>
          <w:lang w:val="es-ES_tradnl"/>
        </w:rPr>
        <w:t xml:space="preserve"> de</w:t>
      </w:r>
      <w:r w:rsidR="008F4163" w:rsidRPr="00EA1DE2">
        <w:rPr>
          <w:rFonts w:ascii="Arial" w:eastAsia="Calibri" w:hAnsi="Arial" w:cs="Arial"/>
          <w:sz w:val="22"/>
          <w:szCs w:val="22"/>
          <w:lang w:val="es-ES_tradnl"/>
        </w:rPr>
        <w:t xml:space="preserve"> desempate en la contratación estatal. En consideración a que</w:t>
      </w:r>
      <w:r w:rsidR="006660F0" w:rsidRPr="00EA1DE2">
        <w:rPr>
          <w:rFonts w:ascii="Arial" w:eastAsia="Calibri" w:hAnsi="Arial" w:cs="Arial"/>
          <w:sz w:val="22"/>
          <w:szCs w:val="22"/>
          <w:lang w:val="es-ES_tradnl"/>
        </w:rPr>
        <w:t xml:space="preserve"> en la consulta se solicita que la Agencia Nacional de Contratación Pública – Colombia Compra Eficiente</w:t>
      </w:r>
      <w:r w:rsidR="00B6040C" w:rsidRPr="00EA1DE2">
        <w:rPr>
          <w:rFonts w:ascii="Arial" w:eastAsia="Calibri" w:hAnsi="Arial" w:cs="Arial"/>
          <w:sz w:val="22"/>
          <w:szCs w:val="22"/>
          <w:lang w:val="es-ES_tradnl"/>
        </w:rPr>
        <w:t xml:space="preserve"> </w:t>
      </w:r>
      <w:r w:rsidR="00087A64" w:rsidRPr="00EA1DE2">
        <w:rPr>
          <w:rFonts w:ascii="Arial" w:eastAsia="Calibri" w:hAnsi="Arial" w:cs="Arial"/>
          <w:sz w:val="22"/>
          <w:szCs w:val="22"/>
          <w:lang w:val="es-ES_tradnl"/>
        </w:rPr>
        <w:t xml:space="preserve">efectúe </w:t>
      </w:r>
      <w:r w:rsidR="00707A2E" w:rsidRPr="00EA1DE2">
        <w:rPr>
          <w:rFonts w:ascii="Arial" w:eastAsia="Calibri" w:hAnsi="Arial" w:cs="Arial"/>
          <w:sz w:val="22"/>
          <w:szCs w:val="22"/>
          <w:lang w:val="es-ES_tradnl"/>
        </w:rPr>
        <w:t xml:space="preserve">ciertas </w:t>
      </w:r>
      <w:r w:rsidR="00087A64" w:rsidRPr="00EA1DE2">
        <w:rPr>
          <w:rFonts w:ascii="Arial" w:eastAsia="Calibri" w:hAnsi="Arial" w:cs="Arial"/>
          <w:sz w:val="22"/>
          <w:szCs w:val="22"/>
          <w:lang w:val="es-ES_tradnl"/>
        </w:rPr>
        <w:t>precisiones hermenéuticas sobre</w:t>
      </w:r>
      <w:r w:rsidR="00707A2E" w:rsidRPr="00EA1DE2">
        <w:rPr>
          <w:rFonts w:ascii="Arial" w:eastAsia="Calibri" w:hAnsi="Arial" w:cs="Arial"/>
          <w:sz w:val="22"/>
          <w:szCs w:val="22"/>
          <w:lang w:val="es-ES_tradnl"/>
        </w:rPr>
        <w:t xml:space="preserve"> algunos numerales de dicho artículo</w:t>
      </w:r>
      <w:r w:rsidR="00B6040C" w:rsidRPr="00EA1DE2">
        <w:rPr>
          <w:rFonts w:ascii="Arial" w:eastAsia="Calibri" w:hAnsi="Arial" w:cs="Arial"/>
          <w:sz w:val="22"/>
          <w:szCs w:val="22"/>
          <w:lang w:val="es-ES_tradnl"/>
        </w:rPr>
        <w:t xml:space="preserve">, </w:t>
      </w:r>
      <w:r w:rsidR="00707A2E" w:rsidRPr="00EA1DE2">
        <w:rPr>
          <w:rFonts w:ascii="Arial" w:eastAsia="Calibri" w:hAnsi="Arial" w:cs="Arial"/>
          <w:sz w:val="22"/>
          <w:szCs w:val="22"/>
          <w:lang w:val="es-ES_tradnl"/>
        </w:rPr>
        <w:t>la</w:t>
      </w:r>
      <w:r w:rsidR="00BE0CDF" w:rsidRPr="00EA1DE2">
        <w:rPr>
          <w:rFonts w:ascii="Arial" w:eastAsia="Calibri" w:hAnsi="Arial" w:cs="Arial"/>
          <w:sz w:val="22"/>
          <w:szCs w:val="22"/>
          <w:lang w:val="es-ES_tradnl"/>
        </w:rPr>
        <w:t xml:space="preserve"> Subdirección de Gestión Contractual</w:t>
      </w:r>
      <w:r w:rsidR="00C438A2" w:rsidRPr="00EA1DE2">
        <w:rPr>
          <w:rFonts w:ascii="Arial" w:eastAsia="Calibri" w:hAnsi="Arial" w:cs="Arial"/>
          <w:sz w:val="22"/>
          <w:szCs w:val="22"/>
          <w:lang w:val="es-ES_tradnl"/>
        </w:rPr>
        <w:t xml:space="preserve"> </w:t>
      </w:r>
      <w:r w:rsidR="00707A2E" w:rsidRPr="00EA1DE2">
        <w:rPr>
          <w:rFonts w:ascii="Arial" w:eastAsia="Calibri" w:hAnsi="Arial" w:cs="Arial"/>
          <w:sz w:val="22"/>
          <w:szCs w:val="22"/>
          <w:lang w:val="es-ES_tradnl"/>
        </w:rPr>
        <w:t xml:space="preserve">se pronunciará sobre el </w:t>
      </w:r>
      <w:r w:rsidR="00AC5D9D" w:rsidRPr="00EA1DE2">
        <w:rPr>
          <w:rFonts w:ascii="Arial" w:eastAsia="Calibri" w:hAnsi="Arial" w:cs="Arial"/>
          <w:sz w:val="22"/>
          <w:szCs w:val="22"/>
          <w:lang w:val="es-ES_tradnl"/>
        </w:rPr>
        <w:t>alcance</w:t>
      </w:r>
      <w:r w:rsidR="00707A2E" w:rsidRPr="00EA1DE2">
        <w:rPr>
          <w:rFonts w:ascii="Arial" w:eastAsia="Calibri" w:hAnsi="Arial" w:cs="Arial"/>
          <w:sz w:val="22"/>
          <w:szCs w:val="22"/>
          <w:lang w:val="es-ES_tradnl"/>
        </w:rPr>
        <w:t xml:space="preserve"> que otorga a tales disposiciones</w:t>
      </w:r>
      <w:r w:rsidR="00DB5F44" w:rsidRPr="00EA1DE2">
        <w:rPr>
          <w:rFonts w:ascii="Arial" w:eastAsia="Calibri" w:hAnsi="Arial" w:cs="Arial"/>
          <w:sz w:val="22"/>
          <w:szCs w:val="22"/>
          <w:lang w:val="es-ES_tradnl"/>
        </w:rPr>
        <w:t>. Esto</w:t>
      </w:r>
      <w:r w:rsidR="00BE0CDF" w:rsidRPr="00EA1DE2">
        <w:rPr>
          <w:rFonts w:ascii="Arial" w:eastAsia="Calibri" w:hAnsi="Arial" w:cs="Arial"/>
          <w:sz w:val="22"/>
          <w:szCs w:val="22"/>
          <w:lang w:val="es-ES_tradnl"/>
        </w:rPr>
        <w:t xml:space="preserve"> sin pasar por alto la novedad de </w:t>
      </w:r>
      <w:r w:rsidR="00F92FC1" w:rsidRPr="00EA1DE2">
        <w:rPr>
          <w:rFonts w:ascii="Arial" w:eastAsia="Calibri" w:hAnsi="Arial" w:cs="Arial"/>
          <w:sz w:val="22"/>
          <w:szCs w:val="22"/>
          <w:lang w:val="es-ES_tradnl"/>
        </w:rPr>
        <w:t xml:space="preserve">la Ley </w:t>
      </w:r>
      <w:r w:rsidR="007B209C" w:rsidRPr="00EA1DE2">
        <w:rPr>
          <w:rFonts w:ascii="Arial" w:eastAsia="Calibri" w:hAnsi="Arial" w:cs="Arial"/>
          <w:sz w:val="22"/>
          <w:szCs w:val="22"/>
          <w:lang w:val="es-ES_tradnl"/>
        </w:rPr>
        <w:t>2069</w:t>
      </w:r>
      <w:r w:rsidR="00F92FC1" w:rsidRPr="00EA1DE2">
        <w:rPr>
          <w:rFonts w:ascii="Arial" w:eastAsia="Calibri" w:hAnsi="Arial" w:cs="Arial"/>
          <w:sz w:val="22"/>
          <w:szCs w:val="22"/>
          <w:lang w:val="es-ES_tradnl"/>
        </w:rPr>
        <w:t xml:space="preserve"> de 2020</w:t>
      </w:r>
      <w:r w:rsidR="00963550" w:rsidRPr="00EA1DE2">
        <w:rPr>
          <w:rFonts w:ascii="Arial" w:eastAsia="Calibri" w:hAnsi="Arial" w:cs="Arial"/>
          <w:sz w:val="22"/>
          <w:szCs w:val="22"/>
          <w:lang w:val="es-ES_tradnl"/>
        </w:rPr>
        <w:t xml:space="preserve"> –dada su reciente </w:t>
      </w:r>
      <w:proofErr w:type="gramStart"/>
      <w:r w:rsidR="00963550" w:rsidRPr="00EA1DE2">
        <w:rPr>
          <w:rFonts w:ascii="Arial" w:eastAsia="Calibri" w:hAnsi="Arial" w:cs="Arial"/>
          <w:sz w:val="22"/>
          <w:szCs w:val="22"/>
          <w:lang w:val="es-ES_tradnl"/>
        </w:rPr>
        <w:t>entrada en vigencia</w:t>
      </w:r>
      <w:proofErr w:type="gramEnd"/>
      <w:r w:rsidR="00963550" w:rsidRPr="00EA1DE2">
        <w:rPr>
          <w:rFonts w:ascii="Arial" w:eastAsia="Calibri" w:hAnsi="Arial" w:cs="Arial"/>
          <w:sz w:val="22"/>
          <w:szCs w:val="22"/>
          <w:lang w:val="es-ES_tradnl"/>
        </w:rPr>
        <w:t>–</w:t>
      </w:r>
      <w:r w:rsidR="00BE0CDF" w:rsidRPr="00EA1DE2">
        <w:rPr>
          <w:rFonts w:ascii="Arial" w:eastAsia="Calibri" w:hAnsi="Arial" w:cs="Arial"/>
          <w:sz w:val="22"/>
          <w:szCs w:val="22"/>
          <w:lang w:val="es-ES_tradnl"/>
        </w:rPr>
        <w:t xml:space="preserve"> y la ausencia de </w:t>
      </w:r>
      <w:r w:rsidR="00963550" w:rsidRPr="00EA1DE2">
        <w:rPr>
          <w:rFonts w:ascii="Arial" w:eastAsia="Calibri" w:hAnsi="Arial" w:cs="Arial"/>
          <w:sz w:val="22"/>
          <w:szCs w:val="22"/>
          <w:lang w:val="es-ES_tradnl"/>
        </w:rPr>
        <w:t>pronunciamientos jurisprudenciales</w:t>
      </w:r>
      <w:r w:rsidR="00BE0CDF" w:rsidRPr="00EA1DE2">
        <w:rPr>
          <w:rFonts w:ascii="Arial" w:eastAsia="Calibri" w:hAnsi="Arial" w:cs="Arial"/>
          <w:sz w:val="22"/>
          <w:szCs w:val="22"/>
          <w:lang w:val="es-ES_tradnl"/>
        </w:rPr>
        <w:t xml:space="preserve"> o estudios doctrinarios</w:t>
      </w:r>
      <w:r w:rsidR="00963550" w:rsidRPr="00EA1DE2">
        <w:rPr>
          <w:rFonts w:ascii="Arial" w:eastAsia="Calibri" w:hAnsi="Arial" w:cs="Arial"/>
          <w:sz w:val="22"/>
          <w:szCs w:val="22"/>
          <w:lang w:val="es-ES_tradnl"/>
        </w:rPr>
        <w:t xml:space="preserve"> sobre el tema</w:t>
      </w:r>
      <w:r w:rsidR="00545997" w:rsidRPr="00EA1DE2">
        <w:rPr>
          <w:rFonts w:ascii="Arial" w:eastAsia="Calibri" w:hAnsi="Arial" w:cs="Arial"/>
          <w:sz w:val="22"/>
          <w:szCs w:val="22"/>
          <w:lang w:val="es-ES_tradnl"/>
        </w:rPr>
        <w:t>, que seguramente contribuirán a decantar la interpretación de las normas en comento.</w:t>
      </w:r>
    </w:p>
    <w:p w14:paraId="3BBAF618" w14:textId="590D56E1" w:rsidR="005359BF" w:rsidRPr="00EA1DE2" w:rsidRDefault="005359BF" w:rsidP="005359BF">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w:t>
      </w:r>
      <w:r w:rsidR="00D75232" w:rsidRPr="00EA1DE2">
        <w:rPr>
          <w:rFonts w:ascii="Arial" w:eastAsia="Calibri" w:hAnsi="Arial" w:cs="Arial"/>
          <w:sz w:val="22"/>
          <w:szCs w:val="22"/>
          <w:lang w:val="es-ES_tradnl"/>
        </w:rPr>
        <w:t>2069</w:t>
      </w:r>
      <w:r w:rsidRPr="00EA1DE2">
        <w:rPr>
          <w:rFonts w:ascii="Arial" w:eastAsia="Calibri" w:hAnsi="Arial" w:cs="Arial"/>
          <w:sz w:val="22"/>
          <w:szCs w:val="22"/>
          <w:lang w:val="es-ES_tradnl"/>
        </w:rPr>
        <w:t xml:space="preserve"> de 2020 goza de aplicación directa desde la fecha de su promulgación, es decir, no requiere de una reglamentación previa como presupuesto para su eficacia. Esta precisión </w:t>
      </w:r>
      <w:r w:rsidR="00E85E96" w:rsidRPr="00EA1DE2">
        <w:rPr>
          <w:rFonts w:ascii="Arial" w:eastAsia="Calibri" w:hAnsi="Arial" w:cs="Arial"/>
          <w:sz w:val="22"/>
          <w:szCs w:val="22"/>
          <w:lang w:val="es-ES_tradnl"/>
        </w:rPr>
        <w:t>es importante</w:t>
      </w:r>
      <w:r w:rsidRPr="00EA1DE2">
        <w:rPr>
          <w:rFonts w:ascii="Arial" w:eastAsia="Calibri" w:hAnsi="Arial" w:cs="Arial"/>
          <w:sz w:val="22"/>
          <w:szCs w:val="22"/>
          <w:lang w:val="es-ES_tradnl"/>
        </w:rPr>
        <w:t xml:space="preserve">, porque algunos enunciados normativos de la </w:t>
      </w:r>
      <w:r w:rsidR="00E85E96" w:rsidRPr="00EA1DE2">
        <w:rPr>
          <w:rFonts w:ascii="Arial" w:eastAsia="Calibri" w:hAnsi="Arial" w:cs="Arial"/>
          <w:sz w:val="22"/>
          <w:szCs w:val="22"/>
          <w:lang w:val="es-ES_tradnl"/>
        </w:rPr>
        <w:t>l</w:t>
      </w:r>
      <w:r w:rsidRPr="00EA1DE2">
        <w:rPr>
          <w:rFonts w:ascii="Arial" w:eastAsia="Calibri" w:hAnsi="Arial" w:cs="Arial"/>
          <w:sz w:val="22"/>
          <w:szCs w:val="22"/>
          <w:lang w:val="es-ES_tradnl"/>
        </w:rPr>
        <w:t xml:space="preserve">ey bajo análisis establecen un mandato de reglamentación, dirigido al gobierno nacional, como condición para aplicar lo dispuesto en </w:t>
      </w:r>
      <w:r w:rsidR="00E85E96" w:rsidRPr="00EA1DE2">
        <w:rPr>
          <w:rFonts w:ascii="Arial" w:eastAsia="Calibri" w:hAnsi="Arial" w:cs="Arial"/>
          <w:sz w:val="22"/>
          <w:szCs w:val="22"/>
          <w:lang w:val="es-ES_tradnl"/>
        </w:rPr>
        <w:t xml:space="preserve">la </w:t>
      </w:r>
      <w:r w:rsidRPr="00EA1DE2">
        <w:rPr>
          <w:rFonts w:ascii="Arial" w:eastAsia="Calibri" w:hAnsi="Arial" w:cs="Arial"/>
          <w:sz w:val="22"/>
          <w:szCs w:val="22"/>
          <w:lang w:val="es-ES_tradnl"/>
        </w:rPr>
        <w:t>Ley</w:t>
      </w:r>
      <w:r w:rsidR="00E85E96" w:rsidRPr="00EA1DE2">
        <w:rPr>
          <w:rFonts w:ascii="Arial" w:eastAsia="Calibri" w:hAnsi="Arial" w:cs="Arial"/>
          <w:sz w:val="22"/>
          <w:szCs w:val="22"/>
          <w:lang w:val="es-ES_tradnl"/>
        </w:rPr>
        <w:t xml:space="preserve"> de Emprendimiento</w:t>
      </w:r>
      <w:r w:rsidRPr="00EA1DE2">
        <w:rPr>
          <w:rFonts w:ascii="Arial" w:eastAsia="Calibri" w:hAnsi="Arial" w:cs="Arial"/>
          <w:sz w:val="22"/>
          <w:szCs w:val="22"/>
          <w:lang w:val="es-ES_tradnl"/>
        </w:rPr>
        <w:t xml:space="preserve">. </w:t>
      </w:r>
    </w:p>
    <w:p w14:paraId="64E70AB9" w14:textId="73794390" w:rsidR="00963550" w:rsidRPr="00EA1DE2" w:rsidRDefault="00BA482B" w:rsidP="0091690B">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Por ejemplo, </w:t>
      </w:r>
      <w:r w:rsidR="007534AD" w:rsidRPr="00EA1DE2">
        <w:rPr>
          <w:rFonts w:ascii="Arial" w:eastAsia="Calibri" w:hAnsi="Arial" w:cs="Arial"/>
          <w:sz w:val="22"/>
          <w:szCs w:val="22"/>
          <w:lang w:val="es-ES_tradnl"/>
        </w:rPr>
        <w:t xml:space="preserve">el artículo 31, en el segundo inciso, </w:t>
      </w:r>
      <w:r w:rsidR="00685D37" w:rsidRPr="00EA1DE2">
        <w:rPr>
          <w:rFonts w:ascii="Arial" w:eastAsia="Calibri" w:hAnsi="Arial" w:cs="Arial"/>
          <w:sz w:val="22"/>
          <w:szCs w:val="22"/>
          <w:lang w:val="es-ES_tradnl"/>
        </w:rPr>
        <w:t xml:space="preserve">determina que «El Gobierno Nacional reglamentará la definición de los criterios diferenciales, sobre reglas objetivas que </w:t>
      </w:r>
      <w:r w:rsidR="00685D37" w:rsidRPr="00EA1DE2">
        <w:rPr>
          <w:rFonts w:ascii="Arial" w:eastAsia="Calibri" w:hAnsi="Arial" w:cs="Arial"/>
          <w:sz w:val="22"/>
          <w:szCs w:val="22"/>
          <w:lang w:val="es-ES_tradnl"/>
        </w:rPr>
        <w:lastRenderedPageBreak/>
        <w:t>podrán implementar las Entidades Estatales».</w:t>
      </w:r>
      <w:r w:rsidR="0006626E" w:rsidRPr="00EA1DE2">
        <w:rPr>
          <w:rFonts w:ascii="Arial" w:eastAsia="Calibri" w:hAnsi="Arial" w:cs="Arial"/>
          <w:sz w:val="22"/>
          <w:szCs w:val="22"/>
          <w:lang w:val="es-ES_tradnl"/>
        </w:rPr>
        <w:t xml:space="preserve"> </w:t>
      </w:r>
      <w:r w:rsidR="00787B1B" w:rsidRPr="00EA1DE2">
        <w:rPr>
          <w:rFonts w:ascii="Arial" w:eastAsia="Calibri" w:hAnsi="Arial" w:cs="Arial"/>
          <w:sz w:val="22"/>
          <w:szCs w:val="22"/>
          <w:lang w:val="es-ES_tradnl"/>
        </w:rPr>
        <w:t>Del mismo modo, el parágrafo primero del artículo 32 establece que «La definición de emprendimientos y empresas de mujeres se reglamentará por el gobierno nacional»</w:t>
      </w:r>
      <w:r w:rsidR="00FD72B1" w:rsidRPr="00EA1DE2">
        <w:rPr>
          <w:rFonts w:ascii="Arial" w:eastAsia="Calibri" w:hAnsi="Arial" w:cs="Arial"/>
          <w:sz w:val="22"/>
          <w:szCs w:val="22"/>
          <w:lang w:val="es-ES_tradnl"/>
        </w:rPr>
        <w:t xml:space="preserve">, en tanto que el inciso cuarto del artículo 12 de la Ley 1150 de 2007, modificado por el artículo </w:t>
      </w:r>
      <w:r w:rsidR="00F13F51" w:rsidRPr="00EA1DE2">
        <w:rPr>
          <w:rFonts w:ascii="Arial" w:eastAsia="Calibri" w:hAnsi="Arial" w:cs="Arial"/>
          <w:sz w:val="22"/>
          <w:szCs w:val="22"/>
          <w:lang w:val="es-ES_tradnl"/>
        </w:rPr>
        <w:t xml:space="preserve">34 de la Ley </w:t>
      </w:r>
      <w:r w:rsidR="007B209C" w:rsidRPr="00EA1DE2">
        <w:rPr>
          <w:rFonts w:ascii="Arial" w:eastAsia="Calibri" w:hAnsi="Arial" w:cs="Arial"/>
          <w:sz w:val="22"/>
          <w:szCs w:val="22"/>
          <w:lang w:val="es-ES_tradnl"/>
        </w:rPr>
        <w:t>2069</w:t>
      </w:r>
      <w:r w:rsidR="00F13F51" w:rsidRPr="00EA1DE2">
        <w:rPr>
          <w:rFonts w:ascii="Arial" w:eastAsia="Calibri" w:hAnsi="Arial" w:cs="Arial"/>
          <w:sz w:val="22"/>
          <w:szCs w:val="22"/>
          <w:lang w:val="es-ES_tradnl"/>
        </w:rPr>
        <w:t xml:space="preserve"> de 2020, </w:t>
      </w:r>
      <w:r w:rsidR="00CD02ED" w:rsidRPr="00EA1DE2">
        <w:rPr>
          <w:rFonts w:ascii="Arial" w:eastAsia="Calibri" w:hAnsi="Arial" w:cs="Arial"/>
          <w:sz w:val="22"/>
          <w:szCs w:val="22"/>
          <w:lang w:val="es-ES_tradnl"/>
        </w:rPr>
        <w:t xml:space="preserve">indica que en los pliegos de condiciones las entidades estatales deben </w:t>
      </w:r>
      <w:r w:rsidR="00B1507C" w:rsidRPr="00EA1DE2">
        <w:rPr>
          <w:rFonts w:ascii="Arial" w:eastAsia="Calibri" w:hAnsi="Arial" w:cs="Arial"/>
          <w:sz w:val="22"/>
          <w:szCs w:val="22"/>
          <w:lang w:val="es-ES_tradnl"/>
        </w:rPr>
        <w:t>prever mecanismos que garanticen la provisión de bienes y servicios por parte de sujetos de especial protección constitucional «</w:t>
      </w:r>
      <w:r w:rsidR="0017655B" w:rsidRPr="00EA1DE2">
        <w:rPr>
          <w:rFonts w:ascii="Arial" w:eastAsia="Calibri" w:hAnsi="Arial" w:cs="Arial"/>
          <w:sz w:val="22"/>
          <w:szCs w:val="22"/>
          <w:lang w:val="es-ES_tradnl"/>
        </w:rPr>
        <w:t>[…] en las condiciones que señale el reglamento».</w:t>
      </w:r>
    </w:p>
    <w:p w14:paraId="6BE8E6DF" w14:textId="5B7E8D06" w:rsidR="002F24DA" w:rsidRPr="00EA1DE2" w:rsidRDefault="002F24DA" w:rsidP="00BD3AF1">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Lo</w:t>
      </w:r>
      <w:r w:rsidR="008E4CAE" w:rsidRPr="00EA1DE2">
        <w:rPr>
          <w:rFonts w:ascii="Arial" w:eastAsia="Calibri" w:hAnsi="Arial" w:cs="Arial"/>
          <w:sz w:val="22"/>
          <w:szCs w:val="22"/>
          <w:lang w:val="es-ES_tradnl"/>
        </w:rPr>
        <w:t xml:space="preserve"> mismo no sucede con el artículo 35</w:t>
      </w:r>
      <w:r w:rsidR="00535B2F" w:rsidRPr="00EA1DE2">
        <w:rPr>
          <w:rFonts w:ascii="Arial" w:eastAsia="Calibri" w:hAnsi="Arial" w:cs="Arial"/>
          <w:sz w:val="22"/>
          <w:szCs w:val="22"/>
          <w:lang w:val="es-ES_tradnl"/>
        </w:rPr>
        <w:t xml:space="preserve">. En efecto, </w:t>
      </w:r>
      <w:r w:rsidR="00535B2F" w:rsidRPr="00EA1DE2">
        <w:rPr>
          <w:rFonts w:ascii="Arial" w:hAnsi="Arial" w:cs="Arial"/>
          <w:sz w:val="22"/>
          <w:szCs w:val="22"/>
          <w:lang w:val="es-ES_tradnl"/>
        </w:rPr>
        <w:t>si bien los factores de desempate regulados en el artículo 35 deben aplicarse «</w:t>
      </w:r>
      <w:r w:rsidR="00535B2F" w:rsidRPr="00EA1DE2">
        <w:rPr>
          <w:rFonts w:ascii="Arial" w:hAnsi="Arial" w:cs="Arial"/>
          <w:lang w:val="es-ES_tradnl"/>
        </w:rPr>
        <w:t xml:space="preserve">[…] </w:t>
      </w:r>
      <w:r w:rsidR="00535B2F" w:rsidRPr="00EA1DE2">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535B2F" w:rsidRPr="00EA1DE2">
        <w:rPr>
          <w:rFonts w:ascii="Arial" w:eastAsia="Calibri" w:hAnsi="Arial" w:cs="Arial"/>
          <w:sz w:val="22"/>
          <w:szCs w:val="22"/>
          <w:lang w:val="es-ES_tradnl"/>
        </w:rPr>
        <w:t xml:space="preserve"> </w:t>
      </w:r>
      <w:r w:rsidR="00287BDB" w:rsidRPr="00EA1DE2">
        <w:rPr>
          <w:rFonts w:ascii="Arial" w:eastAsia="Calibri" w:hAnsi="Arial" w:cs="Arial"/>
          <w:sz w:val="22"/>
          <w:szCs w:val="22"/>
          <w:lang w:val="es-ES_tradnl"/>
        </w:rPr>
        <w:t xml:space="preserve"> </w:t>
      </w:r>
    </w:p>
    <w:p w14:paraId="7F4456D7" w14:textId="77777777" w:rsidR="00E63BC3" w:rsidRPr="00EA1DE2" w:rsidRDefault="00E63BC3" w:rsidP="00E63BC3">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EA1DE2">
        <w:rPr>
          <w:rFonts w:ascii="Arial" w:eastAsia="Calibri" w:hAnsi="Arial" w:cs="Arial"/>
          <w:i/>
          <w:iCs/>
          <w:sz w:val="22"/>
          <w:szCs w:val="22"/>
          <w:lang w:val="es-ES_tradnl"/>
        </w:rPr>
        <w:t>podrá reglamentar</w:t>
      </w:r>
      <w:r w:rsidRPr="00EA1DE2">
        <w:rPr>
          <w:rFonts w:ascii="Arial" w:eastAsia="Calibri" w:hAnsi="Arial" w:cs="Arial"/>
          <w:sz w:val="22"/>
          <w:szCs w:val="22"/>
          <w:lang w:val="es-ES_tradnl"/>
        </w:rPr>
        <w:t xml:space="preserve"> la aplicación de factores de desempate en casos en que concurran dos o más de los factores aquí previstos» (Énfasis fuera de texto).</w:t>
      </w:r>
    </w:p>
    <w:p w14:paraId="7BC46E83" w14:textId="598F76C7" w:rsidR="00E63BC3" w:rsidRPr="00EA1DE2" w:rsidRDefault="00E63BC3" w:rsidP="00E63BC3">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Como se observa</w:t>
      </w:r>
      <w:r w:rsidR="004B7273">
        <w:rPr>
          <w:rFonts w:ascii="Arial" w:eastAsia="Calibri" w:hAnsi="Arial" w:cs="Arial"/>
          <w:sz w:val="22"/>
          <w:szCs w:val="22"/>
          <w:lang w:val="es-ES_tradnl"/>
        </w:rPr>
        <w:t>,</w:t>
      </w:r>
      <w:r w:rsidRPr="00EA1DE2">
        <w:rPr>
          <w:rFonts w:ascii="Arial" w:eastAsia="Calibri" w:hAnsi="Arial" w:cs="Arial"/>
          <w:sz w:val="22"/>
          <w:szCs w:val="22"/>
          <w:lang w:val="es-ES_tradnl"/>
        </w:rPr>
        <w:t xml:space="preserve">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39D093E6" w14:textId="77777777" w:rsidR="00E63BC3" w:rsidRPr="00EA1DE2" w:rsidRDefault="00E63BC3" w:rsidP="00E63BC3">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w:t>
      </w:r>
      <w:r w:rsidRPr="00EA1DE2">
        <w:rPr>
          <w:rFonts w:ascii="Arial" w:hAnsi="Arial" w:cs="Arial"/>
          <w:sz w:val="22"/>
          <w:szCs w:val="22"/>
          <w:lang w:val="es-ES_tradnl"/>
        </w:rPr>
        <w:lastRenderedPageBreak/>
        <w:t>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11C69F39" w14:textId="711F686B" w:rsidR="00E63BC3" w:rsidRPr="00EA1DE2" w:rsidRDefault="00E63BC3" w:rsidP="00E63BC3">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Ahora bien, hasta la promulgación de la Ley 2069 de 2020, el artículo 2.2.1.1.2.2.9. del Decreto 1082 de 2015 regulaba los factores de desempate que debían aplicarse en los procesos de selección</w:t>
      </w:r>
      <w:r w:rsidRPr="00EA1DE2">
        <w:rPr>
          <w:rStyle w:val="Refdenotaalpie"/>
          <w:rFonts w:ascii="Arial" w:hAnsi="Arial" w:cs="Arial"/>
          <w:sz w:val="22"/>
          <w:szCs w:val="22"/>
          <w:lang w:val="es-ES_tradnl"/>
        </w:rPr>
        <w:footnoteReference w:id="10"/>
      </w:r>
      <w:r w:rsidRPr="00EA1DE2">
        <w:rPr>
          <w:rFonts w:ascii="Arial" w:hAnsi="Arial" w:cs="Arial"/>
          <w:sz w:val="22"/>
          <w:szCs w:val="22"/>
          <w:lang w:val="es-ES_tradnl"/>
        </w:rPr>
        <w:t xml:space="preserve">. En criterio de esta Agencia, </w:t>
      </w:r>
      <w:r w:rsidR="00C150D8" w:rsidRPr="00EA1DE2">
        <w:rPr>
          <w:rFonts w:ascii="Arial" w:hAnsi="Arial" w:cs="Arial"/>
          <w:sz w:val="22"/>
          <w:szCs w:val="22"/>
          <w:lang w:val="es-ES_tradnl"/>
        </w:rPr>
        <w:t xml:space="preserve">esta </w:t>
      </w:r>
      <w:r w:rsidRPr="00EA1DE2">
        <w:rPr>
          <w:rFonts w:ascii="Arial" w:hAnsi="Arial" w:cs="Arial"/>
          <w:sz w:val="22"/>
          <w:szCs w:val="22"/>
          <w:lang w:val="es-ES_tradnl"/>
        </w:rPr>
        <w:t xml:space="preserve">norma debe entenderse derogada por el artículo 35 de la Ley 2069 de 2020. Ello no solo porque el artículo 84 </w:t>
      </w:r>
      <w:r w:rsidR="00041102" w:rsidRPr="00EA1DE2">
        <w:rPr>
          <w:rFonts w:ascii="Arial" w:hAnsi="Arial" w:cs="Arial"/>
          <w:sz w:val="22"/>
          <w:szCs w:val="22"/>
          <w:lang w:val="es-ES_tradnl"/>
        </w:rPr>
        <w:t>dispone</w:t>
      </w:r>
      <w:r w:rsidRPr="00EA1DE2">
        <w:rPr>
          <w:rFonts w:ascii="Arial" w:hAnsi="Arial" w:cs="Arial"/>
          <w:sz w:val="22"/>
          <w:szCs w:val="22"/>
          <w:lang w:val="es-ES_tradnl"/>
        </w:rPr>
        <w:t xml:space="preserve"> que</w:t>
      </w:r>
      <w:r w:rsidR="00041102" w:rsidRPr="00EA1DE2">
        <w:rPr>
          <w:rFonts w:ascii="Arial" w:hAnsi="Arial" w:cs="Arial"/>
          <w:sz w:val="22"/>
          <w:szCs w:val="22"/>
          <w:lang w:val="es-ES_tradnl"/>
        </w:rPr>
        <w:t xml:space="preserve"> esta ley</w:t>
      </w:r>
      <w:r w:rsidRPr="00EA1DE2">
        <w:rPr>
          <w:rFonts w:ascii="Arial" w:hAnsi="Arial" w:cs="Arial"/>
          <w:sz w:val="22"/>
          <w:szCs w:val="22"/>
          <w:lang w:val="es-ES_tradnl"/>
        </w:rPr>
        <w:t xml:space="preserv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0BD6F7D2" w14:textId="72263CDB" w:rsidR="00E63BC3" w:rsidRPr="00EA1DE2" w:rsidRDefault="00E63BC3" w:rsidP="007B59D8">
      <w:pPr>
        <w:spacing w:before="120" w:line="276" w:lineRule="auto"/>
        <w:ind w:firstLine="708"/>
        <w:jc w:val="both"/>
        <w:rPr>
          <w:rFonts w:ascii="Arial" w:hAnsi="Arial" w:cs="Arial"/>
          <w:sz w:val="22"/>
          <w:szCs w:val="22"/>
          <w:lang w:val="es-ES_tradnl"/>
        </w:rPr>
      </w:pPr>
      <w:r w:rsidRPr="00EA1DE2">
        <w:rPr>
          <w:rFonts w:ascii="Arial" w:hAnsi="Arial" w:cs="Arial"/>
          <w:sz w:val="22"/>
          <w:szCs w:val="22"/>
          <w:lang w:val="es-ES_tradnl"/>
        </w:rPr>
        <w:lastRenderedPageBreak/>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6" w:name="_Hlk62546732"/>
      <w:r w:rsidRPr="00EA1DE2">
        <w:rPr>
          <w:rFonts w:ascii="Arial" w:hAnsi="Arial" w:cs="Arial"/>
          <w:sz w:val="22"/>
          <w:szCs w:val="22"/>
          <w:lang w:val="es-ES_tradnl"/>
        </w:rPr>
        <w:t xml:space="preserve">Dado que el Decreto 1082 de 2015 es un reglamento </w:t>
      </w:r>
      <w:proofErr w:type="spellStart"/>
      <w:r w:rsidRPr="00EA1DE2">
        <w:rPr>
          <w:rFonts w:ascii="Arial" w:hAnsi="Arial" w:cs="Arial"/>
          <w:i/>
          <w:iCs/>
          <w:sz w:val="22"/>
          <w:szCs w:val="22"/>
          <w:lang w:val="es-ES_tradnl"/>
        </w:rPr>
        <w:t>secundum</w:t>
      </w:r>
      <w:proofErr w:type="spellEnd"/>
      <w:r w:rsidRPr="00EA1DE2">
        <w:rPr>
          <w:rFonts w:ascii="Arial" w:hAnsi="Arial" w:cs="Arial"/>
          <w:i/>
          <w:iCs/>
          <w:sz w:val="22"/>
          <w:szCs w:val="22"/>
          <w:lang w:val="es-ES_tradnl"/>
        </w:rPr>
        <w:t xml:space="preserve"> </w:t>
      </w:r>
      <w:proofErr w:type="spellStart"/>
      <w:r w:rsidRPr="00EA1DE2">
        <w:rPr>
          <w:rFonts w:ascii="Arial" w:hAnsi="Arial" w:cs="Arial"/>
          <w:i/>
          <w:iCs/>
          <w:sz w:val="22"/>
          <w:szCs w:val="22"/>
          <w:lang w:val="es-ES_tradnl"/>
        </w:rPr>
        <w:t>legem</w:t>
      </w:r>
      <w:proofErr w:type="spellEnd"/>
      <w:r w:rsidRPr="00EA1DE2">
        <w:rPr>
          <w:rFonts w:ascii="Arial" w:hAnsi="Arial" w:cs="Arial"/>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bookmarkEnd w:id="6"/>
      <w:r w:rsidRPr="00EA1DE2">
        <w:rPr>
          <w:rFonts w:ascii="Arial" w:hAnsi="Arial" w:cs="Arial"/>
          <w:sz w:val="22"/>
          <w:szCs w:val="22"/>
          <w:lang w:val="es-ES_tradnl"/>
        </w:rPr>
        <w:t xml:space="preserve">.      </w:t>
      </w:r>
    </w:p>
    <w:p w14:paraId="6525352B" w14:textId="3EFAFCBE" w:rsidR="00325AD9" w:rsidRPr="00EA1DE2" w:rsidRDefault="009F210A" w:rsidP="007B59D8">
      <w:pPr>
        <w:spacing w:before="120" w:line="276" w:lineRule="auto"/>
        <w:ind w:firstLine="708"/>
        <w:jc w:val="both"/>
        <w:rPr>
          <w:rFonts w:ascii="Arial" w:hAnsi="Arial" w:cs="Arial"/>
          <w:sz w:val="22"/>
          <w:szCs w:val="22"/>
          <w:lang w:val="es-ES_tradnl"/>
        </w:rPr>
      </w:pPr>
      <w:r w:rsidRPr="00EA1DE2">
        <w:rPr>
          <w:rFonts w:ascii="Arial" w:eastAsia="Calibri" w:hAnsi="Arial" w:cs="Arial"/>
          <w:sz w:val="22"/>
          <w:szCs w:val="22"/>
          <w:lang w:val="es-ES_tradnl"/>
        </w:rPr>
        <w:t>Luego</w:t>
      </w:r>
      <w:r w:rsidR="00D82A7D" w:rsidRPr="00EA1DE2">
        <w:rPr>
          <w:rFonts w:ascii="Arial" w:eastAsia="Calibri" w:hAnsi="Arial" w:cs="Arial"/>
          <w:sz w:val="22"/>
          <w:szCs w:val="22"/>
          <w:lang w:val="es-ES_tradnl"/>
        </w:rPr>
        <w:t xml:space="preserve"> de aclarar</w:t>
      </w:r>
      <w:r w:rsidR="00325AD9" w:rsidRPr="00EA1DE2">
        <w:rPr>
          <w:rFonts w:ascii="Arial" w:eastAsia="Calibri" w:hAnsi="Arial" w:cs="Arial"/>
          <w:sz w:val="22"/>
          <w:szCs w:val="22"/>
          <w:lang w:val="es-ES_tradnl"/>
        </w:rPr>
        <w:t xml:space="preserve"> que el artículo 35 de la Ley </w:t>
      </w:r>
      <w:r w:rsidR="007B209C" w:rsidRPr="00EA1DE2">
        <w:rPr>
          <w:rFonts w:ascii="Arial" w:eastAsia="Calibri" w:hAnsi="Arial" w:cs="Arial"/>
          <w:sz w:val="22"/>
          <w:szCs w:val="22"/>
          <w:lang w:val="es-ES_tradnl"/>
        </w:rPr>
        <w:t>2069</w:t>
      </w:r>
      <w:r w:rsidR="00325AD9" w:rsidRPr="00EA1DE2">
        <w:rPr>
          <w:rFonts w:ascii="Arial" w:eastAsia="Calibri" w:hAnsi="Arial" w:cs="Arial"/>
          <w:sz w:val="22"/>
          <w:szCs w:val="22"/>
          <w:lang w:val="es-ES_tradnl"/>
        </w:rPr>
        <w:t xml:space="preserve"> de 2020 se encuentra vigente y que no requiere </w:t>
      </w:r>
      <w:r w:rsidR="00D82A7D" w:rsidRPr="00EA1DE2">
        <w:rPr>
          <w:rFonts w:ascii="Arial" w:eastAsia="Calibri" w:hAnsi="Arial" w:cs="Arial"/>
          <w:sz w:val="22"/>
          <w:szCs w:val="22"/>
          <w:lang w:val="es-ES_tradnl"/>
        </w:rPr>
        <w:t>reglamentación</w:t>
      </w:r>
      <w:r w:rsidR="00325AD9" w:rsidRPr="00EA1DE2">
        <w:rPr>
          <w:rFonts w:ascii="Arial" w:eastAsia="Calibri" w:hAnsi="Arial" w:cs="Arial"/>
          <w:sz w:val="22"/>
          <w:szCs w:val="22"/>
          <w:lang w:val="es-ES_tradnl"/>
        </w:rPr>
        <w:t xml:space="preserve"> previa para que </w:t>
      </w:r>
      <w:r w:rsidR="0041674B" w:rsidRPr="00EA1DE2">
        <w:rPr>
          <w:rFonts w:ascii="Arial" w:eastAsia="Calibri" w:hAnsi="Arial" w:cs="Arial"/>
          <w:sz w:val="22"/>
          <w:szCs w:val="22"/>
          <w:lang w:val="es-ES_tradnl"/>
        </w:rPr>
        <w:t xml:space="preserve">sea exigible en los procedimientos de selección, es </w:t>
      </w:r>
      <w:r w:rsidR="00B309AD" w:rsidRPr="00EA1DE2">
        <w:rPr>
          <w:rFonts w:ascii="Arial" w:eastAsia="Calibri" w:hAnsi="Arial" w:cs="Arial"/>
          <w:sz w:val="22"/>
          <w:szCs w:val="22"/>
          <w:lang w:val="es-ES_tradnl"/>
        </w:rPr>
        <w:t xml:space="preserve">necesario </w:t>
      </w:r>
      <w:r w:rsidR="0041674B" w:rsidRPr="00EA1DE2">
        <w:rPr>
          <w:rFonts w:ascii="Arial" w:eastAsia="Calibri" w:hAnsi="Arial" w:cs="Arial"/>
          <w:sz w:val="22"/>
          <w:szCs w:val="22"/>
          <w:lang w:val="es-ES_tradnl"/>
        </w:rPr>
        <w:t xml:space="preserve">hacer referencia al objeto de </w:t>
      </w:r>
      <w:r w:rsidR="00A00F5E" w:rsidRPr="00EA1DE2">
        <w:rPr>
          <w:rFonts w:ascii="Arial" w:eastAsia="Calibri" w:hAnsi="Arial" w:cs="Arial"/>
          <w:sz w:val="22"/>
          <w:szCs w:val="22"/>
          <w:lang w:val="es-ES_tradnl"/>
        </w:rPr>
        <w:t>la</w:t>
      </w:r>
      <w:r w:rsidR="0041674B" w:rsidRPr="00EA1DE2">
        <w:rPr>
          <w:rFonts w:ascii="Arial" w:eastAsia="Calibri" w:hAnsi="Arial" w:cs="Arial"/>
          <w:sz w:val="22"/>
          <w:szCs w:val="22"/>
          <w:lang w:val="es-ES_tradnl"/>
        </w:rPr>
        <w:t xml:space="preserve"> consulta. </w:t>
      </w:r>
      <w:r w:rsidR="00735E2E" w:rsidRPr="00EA1DE2">
        <w:rPr>
          <w:rFonts w:ascii="Arial" w:eastAsia="Calibri" w:hAnsi="Arial" w:cs="Arial"/>
          <w:sz w:val="22"/>
          <w:szCs w:val="22"/>
          <w:lang w:val="es-ES_tradnl"/>
        </w:rPr>
        <w:t xml:space="preserve">En ella, </w:t>
      </w:r>
      <w:r w:rsidR="0041674B" w:rsidRPr="00EA1DE2">
        <w:rPr>
          <w:rFonts w:ascii="Arial" w:eastAsia="Calibri" w:hAnsi="Arial" w:cs="Arial"/>
          <w:sz w:val="22"/>
          <w:szCs w:val="22"/>
          <w:lang w:val="es-ES_tradnl"/>
        </w:rPr>
        <w:t xml:space="preserve">se </w:t>
      </w:r>
      <w:r w:rsidR="000116B0" w:rsidRPr="00EA1DE2">
        <w:rPr>
          <w:rFonts w:ascii="Arial" w:eastAsia="Calibri" w:hAnsi="Arial" w:cs="Arial"/>
          <w:sz w:val="22"/>
          <w:szCs w:val="22"/>
          <w:lang w:val="es-ES_tradnl"/>
        </w:rPr>
        <w:t xml:space="preserve">indaga </w:t>
      </w:r>
      <w:r w:rsidR="00111835" w:rsidRPr="00EA1DE2">
        <w:rPr>
          <w:rFonts w:ascii="Arial" w:eastAsia="Calibri" w:hAnsi="Arial" w:cs="Arial"/>
          <w:sz w:val="22"/>
          <w:szCs w:val="22"/>
          <w:lang w:val="es-ES_tradnl"/>
        </w:rPr>
        <w:t>sobre</w:t>
      </w:r>
      <w:r w:rsidR="00FA1D66" w:rsidRPr="00EA1DE2">
        <w:rPr>
          <w:rFonts w:ascii="Arial" w:eastAsia="Calibri" w:hAnsi="Arial" w:cs="Arial"/>
          <w:sz w:val="22"/>
          <w:szCs w:val="22"/>
          <w:lang w:val="es-ES_tradnl"/>
        </w:rPr>
        <w:t xml:space="preserve"> la</w:t>
      </w:r>
      <w:r w:rsidR="00030DFB" w:rsidRPr="00EA1DE2">
        <w:rPr>
          <w:rFonts w:ascii="Arial" w:eastAsia="Calibri" w:hAnsi="Arial" w:cs="Arial"/>
          <w:sz w:val="22"/>
          <w:szCs w:val="22"/>
          <w:lang w:val="es-ES_tradnl"/>
        </w:rPr>
        <w:t xml:space="preserve"> </w:t>
      </w:r>
      <w:r w:rsidR="0030257B" w:rsidRPr="00EA1DE2">
        <w:rPr>
          <w:rFonts w:ascii="Arial" w:eastAsia="Calibri" w:hAnsi="Arial" w:cs="Arial"/>
          <w:sz w:val="22"/>
          <w:szCs w:val="22"/>
          <w:lang w:val="es-ES_tradnl"/>
        </w:rPr>
        <w:t>forma de acreditación de factor de desempate</w:t>
      </w:r>
      <w:r w:rsidR="00B309AD" w:rsidRPr="00EA1DE2">
        <w:rPr>
          <w:rFonts w:ascii="Arial" w:eastAsia="Calibri" w:hAnsi="Arial" w:cs="Arial"/>
          <w:sz w:val="22"/>
          <w:szCs w:val="22"/>
          <w:lang w:val="es-ES_tradnl"/>
        </w:rPr>
        <w:t xml:space="preserve"> previsto en el numeral 2</w:t>
      </w:r>
      <w:r w:rsidR="00FA1D66" w:rsidRPr="00EA1DE2">
        <w:rPr>
          <w:rFonts w:ascii="Arial" w:eastAsia="Calibri" w:hAnsi="Arial" w:cs="Arial"/>
          <w:sz w:val="22"/>
          <w:szCs w:val="22"/>
          <w:lang w:val="es-ES_tradnl"/>
        </w:rPr>
        <w:t xml:space="preserve">, el cual </w:t>
      </w:r>
      <w:r w:rsidR="00B309AD" w:rsidRPr="00EA1DE2">
        <w:rPr>
          <w:rFonts w:ascii="Arial" w:eastAsia="Calibri" w:hAnsi="Arial" w:cs="Arial"/>
          <w:sz w:val="22"/>
          <w:szCs w:val="22"/>
          <w:lang w:val="es-ES_tradnl"/>
        </w:rPr>
        <w:t xml:space="preserve">dispone </w:t>
      </w:r>
      <w:r w:rsidR="00FA1D66" w:rsidRPr="00EA1DE2">
        <w:rPr>
          <w:rFonts w:ascii="Arial" w:eastAsia="Calibri" w:hAnsi="Arial" w:cs="Arial"/>
          <w:sz w:val="22"/>
          <w:szCs w:val="22"/>
          <w:lang w:val="es-ES_tradnl"/>
        </w:rPr>
        <w:t>lo siguiente:</w:t>
      </w:r>
    </w:p>
    <w:p w14:paraId="1BD2BF5B" w14:textId="77777777" w:rsidR="00FA1D66" w:rsidRPr="00EA1DE2" w:rsidRDefault="00FA1D66" w:rsidP="00BB606C">
      <w:pPr>
        <w:ind w:left="709" w:right="709"/>
        <w:jc w:val="both"/>
        <w:rPr>
          <w:rFonts w:ascii="Arial" w:eastAsia="Calibri" w:hAnsi="Arial" w:cs="Arial"/>
          <w:sz w:val="21"/>
          <w:szCs w:val="21"/>
          <w:lang w:val="es-ES_tradnl"/>
        </w:rPr>
      </w:pPr>
    </w:p>
    <w:p w14:paraId="0BC827BE" w14:textId="5AA234DC" w:rsidR="00530458" w:rsidRPr="00EA1DE2" w:rsidRDefault="00530458" w:rsidP="00BB606C">
      <w:pPr>
        <w:ind w:left="709" w:right="709"/>
        <w:jc w:val="both"/>
        <w:rPr>
          <w:rFonts w:ascii="Arial" w:eastAsia="Calibri" w:hAnsi="Arial" w:cs="Arial"/>
          <w:sz w:val="21"/>
          <w:szCs w:val="21"/>
          <w:lang w:val="es-ES_tradnl"/>
        </w:rPr>
      </w:pPr>
      <w:r w:rsidRPr="00EA1DE2">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32521D9A" w14:textId="77777777" w:rsidR="00BC45E1" w:rsidRPr="00EA1DE2" w:rsidRDefault="00BC45E1" w:rsidP="004B205A">
      <w:pPr>
        <w:spacing w:after="120"/>
        <w:ind w:left="709" w:right="709"/>
        <w:jc w:val="both"/>
        <w:rPr>
          <w:rFonts w:ascii="Arial" w:eastAsia="Calibri" w:hAnsi="Arial" w:cs="Arial"/>
          <w:sz w:val="21"/>
          <w:szCs w:val="21"/>
          <w:lang w:val="es-ES_tradnl"/>
        </w:rPr>
      </w:pPr>
    </w:p>
    <w:p w14:paraId="217A8E4B" w14:textId="1BF8C960" w:rsidR="00530458" w:rsidRPr="00EA1DE2" w:rsidRDefault="00530458" w:rsidP="004B205A">
      <w:pPr>
        <w:spacing w:after="120"/>
        <w:ind w:left="709" w:right="709"/>
        <w:jc w:val="both"/>
        <w:rPr>
          <w:rFonts w:ascii="Arial" w:eastAsia="Calibri" w:hAnsi="Arial" w:cs="Arial"/>
          <w:sz w:val="21"/>
          <w:szCs w:val="21"/>
          <w:lang w:val="es-ES_tradnl"/>
        </w:rPr>
      </w:pPr>
      <w:r w:rsidRPr="00EA1DE2">
        <w:rPr>
          <w:rFonts w:ascii="Arial" w:eastAsia="Calibri" w:hAnsi="Arial" w:cs="Arial"/>
          <w:sz w:val="21"/>
          <w:szCs w:val="21"/>
          <w:lang w:val="es-ES_tradnl"/>
        </w:rPr>
        <w:t>[…]</w:t>
      </w:r>
    </w:p>
    <w:p w14:paraId="2B7F48FA" w14:textId="571CD8D0" w:rsidR="00766D49" w:rsidRPr="00EA1DE2" w:rsidRDefault="00BB606C" w:rsidP="0050674C">
      <w:pPr>
        <w:ind w:left="709" w:right="709"/>
        <w:jc w:val="both"/>
        <w:rPr>
          <w:rFonts w:ascii="Arial" w:eastAsia="Calibri" w:hAnsi="Arial" w:cs="Arial"/>
          <w:sz w:val="21"/>
          <w:szCs w:val="21"/>
          <w:lang w:val="es-ES_tradnl"/>
        </w:rPr>
      </w:pPr>
      <w:r w:rsidRPr="00EA1DE2">
        <w:rPr>
          <w:rFonts w:ascii="Arial" w:eastAsia="Calibri" w:hAnsi="Arial" w:cs="Arial"/>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5E1207E2" w14:textId="74C55D63" w:rsidR="00766D49" w:rsidRPr="00EA1DE2" w:rsidRDefault="00766D49" w:rsidP="007B59D8">
      <w:pPr>
        <w:spacing w:line="276" w:lineRule="auto"/>
        <w:ind w:left="709" w:right="709"/>
        <w:jc w:val="both"/>
        <w:rPr>
          <w:rFonts w:ascii="Arial" w:eastAsia="Calibri" w:hAnsi="Arial" w:cs="Arial"/>
          <w:sz w:val="22"/>
          <w:szCs w:val="22"/>
          <w:lang w:val="es-ES_tradnl"/>
        </w:rPr>
      </w:pPr>
    </w:p>
    <w:p w14:paraId="2D34285E" w14:textId="3C0CC66A" w:rsidR="00CC4EF4" w:rsidRPr="00EA1DE2" w:rsidRDefault="00CC4EF4" w:rsidP="00CC4EF4">
      <w:pPr>
        <w:spacing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Como se advierte, est</w:t>
      </w:r>
      <w:r w:rsidR="009B66DF" w:rsidRPr="00EA1DE2">
        <w:rPr>
          <w:rFonts w:ascii="Arial" w:eastAsia="Calibri" w:hAnsi="Arial" w:cs="Arial"/>
          <w:sz w:val="22"/>
          <w:szCs w:val="22"/>
          <w:lang w:val="es-ES_tradnl"/>
        </w:rPr>
        <w:t>e</w:t>
      </w:r>
      <w:r w:rsidRPr="00EA1DE2">
        <w:rPr>
          <w:rFonts w:ascii="Arial" w:eastAsia="Calibri" w:hAnsi="Arial" w:cs="Arial"/>
          <w:sz w:val="22"/>
          <w:szCs w:val="22"/>
          <w:lang w:val="es-ES_tradnl"/>
        </w:rPr>
        <w:t xml:space="preserve"> numeral</w:t>
      </w:r>
      <w:r w:rsidR="009B66DF" w:rsidRPr="00EA1DE2">
        <w:rPr>
          <w:rFonts w:ascii="Arial" w:eastAsia="Calibri" w:hAnsi="Arial" w:cs="Arial"/>
          <w:sz w:val="22"/>
          <w:szCs w:val="22"/>
          <w:lang w:val="es-ES_tradnl"/>
        </w:rPr>
        <w:t xml:space="preserve"> </w:t>
      </w:r>
      <w:r w:rsidR="0058721E" w:rsidRPr="00EA1DE2">
        <w:rPr>
          <w:rFonts w:ascii="Arial" w:eastAsia="Calibri" w:hAnsi="Arial" w:cs="Arial"/>
          <w:sz w:val="22"/>
          <w:szCs w:val="22"/>
          <w:lang w:val="es-ES_tradnl"/>
        </w:rPr>
        <w:t>–</w:t>
      </w:r>
      <w:r w:rsidR="009B66DF" w:rsidRPr="00EA1DE2">
        <w:rPr>
          <w:rFonts w:ascii="Arial" w:eastAsia="Calibri" w:hAnsi="Arial" w:cs="Arial"/>
          <w:sz w:val="22"/>
          <w:szCs w:val="22"/>
          <w:lang w:val="es-ES_tradnl"/>
        </w:rPr>
        <w:t>al igual que los demás del artículo 35</w:t>
      </w:r>
      <w:r w:rsidR="009B66DF" w:rsidRPr="00EA1DE2">
        <w:rPr>
          <w:rFonts w:ascii="Arial" w:eastAsia="Calibri" w:hAnsi="Arial" w:cs="Arial"/>
          <w:i/>
          <w:iCs/>
          <w:sz w:val="22"/>
          <w:szCs w:val="22"/>
          <w:lang w:val="es-ES_tradnl"/>
        </w:rPr>
        <w:t xml:space="preserve"> </w:t>
      </w:r>
      <w:r w:rsidR="00111835" w:rsidRPr="00EA1DE2">
        <w:rPr>
          <w:rFonts w:ascii="Arial" w:eastAsia="Calibri" w:hAnsi="Arial" w:cs="Arial"/>
          <w:sz w:val="22"/>
          <w:szCs w:val="22"/>
          <w:lang w:val="es-ES_tradnl"/>
        </w:rPr>
        <w:t>de la Ley de Emprendimiento</w:t>
      </w:r>
      <w:r w:rsidR="0058721E" w:rsidRPr="00EA1DE2">
        <w:rPr>
          <w:rFonts w:ascii="Arial" w:eastAsia="Calibri" w:hAnsi="Arial" w:cs="Arial"/>
          <w:sz w:val="22"/>
          <w:szCs w:val="22"/>
          <w:lang w:val="es-ES_tradnl"/>
        </w:rPr>
        <w:t>–</w:t>
      </w:r>
      <w:r w:rsidRPr="00EA1DE2">
        <w:rPr>
          <w:rFonts w:ascii="Arial" w:eastAsia="Calibri" w:hAnsi="Arial" w:cs="Arial"/>
          <w:sz w:val="22"/>
          <w:szCs w:val="22"/>
          <w:lang w:val="es-ES_tradnl"/>
        </w:rPr>
        <w:t xml:space="preserve"> </w:t>
      </w:r>
      <w:bookmarkStart w:id="7" w:name="_Hlk62459524"/>
      <w:r w:rsidRPr="00EA1DE2">
        <w:rPr>
          <w:rFonts w:ascii="Arial" w:eastAsia="Calibri" w:hAnsi="Arial" w:cs="Arial"/>
          <w:sz w:val="22"/>
          <w:szCs w:val="22"/>
          <w:lang w:val="es-ES_tradnl"/>
        </w:rPr>
        <w:t xml:space="preserve">no establece un medio específico para acreditar las circunstancias a las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EA1DE2">
        <w:rPr>
          <w:rFonts w:ascii="Arial" w:eastAsia="Calibri" w:hAnsi="Arial" w:cs="Arial"/>
          <w:sz w:val="22"/>
          <w:szCs w:val="22"/>
          <w:lang w:val="es-ES_tradnl"/>
        </w:rPr>
        <w:t>encuentra</w:t>
      </w:r>
      <w:r w:rsidRPr="00EA1DE2">
        <w:rPr>
          <w:rFonts w:ascii="Arial" w:eastAsia="Calibri" w:hAnsi="Arial" w:cs="Arial"/>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EA1DE2">
        <w:rPr>
          <w:rFonts w:ascii="Arial" w:eastAsia="Calibri" w:hAnsi="Arial" w:cs="Arial"/>
          <w:sz w:val="22"/>
          <w:szCs w:val="22"/>
          <w:lang w:val="es-ES_tradnl"/>
        </w:rPr>
        <w:t>2069</w:t>
      </w:r>
      <w:r w:rsidRPr="00EA1DE2">
        <w:rPr>
          <w:rFonts w:ascii="Arial" w:eastAsia="Calibri" w:hAnsi="Arial" w:cs="Arial"/>
          <w:sz w:val="22"/>
          <w:szCs w:val="22"/>
          <w:lang w:val="es-ES_tradnl"/>
        </w:rPr>
        <w:t xml:space="preserve"> de 2020 podría establecer los medios de </w:t>
      </w:r>
      <w:r w:rsidRPr="00EA1DE2">
        <w:rPr>
          <w:rFonts w:ascii="Arial" w:eastAsia="Calibri" w:hAnsi="Arial" w:cs="Arial"/>
          <w:sz w:val="22"/>
          <w:szCs w:val="22"/>
          <w:lang w:val="es-ES_tradnl"/>
        </w:rPr>
        <w:lastRenderedPageBreak/>
        <w:t>prueba, así como las autoridades encargadas de certificar las circunstancias del artículo 35. Sin embargo, mientras ello no suceda, deberá aplicarse el criterio indicado con anterioridad.</w:t>
      </w:r>
    </w:p>
    <w:bookmarkEnd w:id="7"/>
    <w:p w14:paraId="5BDB94EE" w14:textId="6560A1CD" w:rsidR="00BD6D41" w:rsidRPr="00EA1DE2" w:rsidRDefault="004567DA" w:rsidP="00336CD9">
      <w:pPr>
        <w:spacing w:before="120" w:line="276" w:lineRule="auto"/>
        <w:ind w:firstLine="709"/>
        <w:jc w:val="both"/>
        <w:rPr>
          <w:rFonts w:ascii="Arial" w:eastAsia="Calibri" w:hAnsi="Arial" w:cs="Arial"/>
          <w:sz w:val="22"/>
          <w:szCs w:val="22"/>
          <w:lang w:val="es-ES_tradnl"/>
        </w:rPr>
      </w:pPr>
      <w:r w:rsidRPr="00EA1DE2">
        <w:rPr>
          <w:rFonts w:ascii="Arial" w:eastAsia="Calibri" w:hAnsi="Arial" w:cs="Arial"/>
          <w:sz w:val="22"/>
          <w:szCs w:val="22"/>
          <w:lang w:val="es-ES_tradnl"/>
        </w:rPr>
        <w:t xml:space="preserve">Así, en relación con el numeral 2 del artículo 35, como lo ha indicado la Corte Constitucional, </w:t>
      </w:r>
      <w:r w:rsidR="00974CBD" w:rsidRPr="00EA1DE2">
        <w:rPr>
          <w:rFonts w:ascii="Arial" w:eastAsia="Calibri" w:hAnsi="Arial" w:cs="Arial"/>
          <w:sz w:val="22"/>
          <w:szCs w:val="22"/>
          <w:lang w:val="es-ES_tradnl"/>
        </w:rPr>
        <w:t>«[…] la condición de padre o madre cabeza de familia se acredita cuando la persona (i) tiene la responsabilidad permanente de hijos menores o personas incapacitadas para trabajar, (</w:t>
      </w:r>
      <w:proofErr w:type="spellStart"/>
      <w:r w:rsidR="00974CBD" w:rsidRPr="00EA1DE2">
        <w:rPr>
          <w:rFonts w:ascii="Arial" w:eastAsia="Calibri" w:hAnsi="Arial" w:cs="Arial"/>
          <w:sz w:val="22"/>
          <w:szCs w:val="22"/>
          <w:lang w:val="es-ES_tradnl"/>
        </w:rPr>
        <w:t>ii</w:t>
      </w:r>
      <w:proofErr w:type="spellEnd"/>
      <w:r w:rsidR="00974CBD" w:rsidRPr="00EA1DE2">
        <w:rPr>
          <w:rFonts w:ascii="Arial" w:eastAsia="Calibri" w:hAnsi="Arial" w:cs="Arial"/>
          <w:sz w:val="22"/>
          <w:szCs w:val="22"/>
          <w:lang w:val="es-ES_tradnl"/>
        </w:rPr>
        <w:t>) no cuenta con la ayuda de otros miembros de la familia y (</w:t>
      </w:r>
      <w:proofErr w:type="spellStart"/>
      <w:r w:rsidR="00974CBD" w:rsidRPr="00EA1DE2">
        <w:rPr>
          <w:rFonts w:ascii="Arial" w:eastAsia="Calibri" w:hAnsi="Arial" w:cs="Arial"/>
          <w:sz w:val="22"/>
          <w:szCs w:val="22"/>
          <w:lang w:val="es-ES_tradnl"/>
        </w:rPr>
        <w:t>iii</w:t>
      </w:r>
      <w:proofErr w:type="spellEnd"/>
      <w:r w:rsidR="00974CBD" w:rsidRPr="00EA1DE2">
        <w:rPr>
          <w:rFonts w:ascii="Arial" w:eastAsia="Calibri" w:hAnsi="Arial" w:cs="Arial"/>
          <w:sz w:val="22"/>
          <w:szCs w:val="22"/>
          <w:lang w:val="es-ES_tradnl"/>
        </w:rPr>
        <w:t>)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00974CBD" w:rsidRPr="00EA1DE2">
        <w:rPr>
          <w:rStyle w:val="Refdenotaalpie"/>
          <w:rFonts w:ascii="Arial" w:eastAsia="Calibri" w:hAnsi="Arial" w:cs="Arial"/>
          <w:sz w:val="22"/>
          <w:szCs w:val="22"/>
          <w:lang w:val="es-ES_tradnl"/>
        </w:rPr>
        <w:footnoteReference w:id="11"/>
      </w:r>
      <w:r w:rsidR="00974CBD" w:rsidRPr="00EA1DE2">
        <w:rPr>
          <w:rFonts w:ascii="Arial" w:eastAsia="Calibri" w:hAnsi="Arial" w:cs="Arial"/>
          <w:sz w:val="22"/>
          <w:szCs w:val="22"/>
          <w:lang w:val="es-ES_tradnl"/>
        </w:rPr>
        <w:t>.</w:t>
      </w:r>
      <w:r w:rsidR="0022609C" w:rsidRPr="00EA1DE2">
        <w:rPr>
          <w:rFonts w:ascii="Arial" w:eastAsia="Calibri" w:hAnsi="Arial" w:cs="Arial"/>
          <w:sz w:val="22"/>
          <w:szCs w:val="22"/>
          <w:lang w:val="es-ES_tradnl"/>
        </w:rPr>
        <w:t xml:space="preserve"> El </w:t>
      </w:r>
      <w:r w:rsidR="002F40E2" w:rsidRPr="00EA1DE2">
        <w:rPr>
          <w:rFonts w:ascii="Arial" w:eastAsia="Calibri" w:hAnsi="Arial" w:cs="Arial"/>
          <w:sz w:val="22"/>
          <w:szCs w:val="22"/>
          <w:lang w:val="es-ES_tradnl"/>
        </w:rPr>
        <w:t>proponente</w:t>
      </w:r>
      <w:r w:rsidR="0022609C" w:rsidRPr="00EA1DE2">
        <w:rPr>
          <w:rFonts w:ascii="Arial" w:eastAsia="Calibri" w:hAnsi="Arial" w:cs="Arial"/>
          <w:sz w:val="22"/>
          <w:szCs w:val="22"/>
          <w:lang w:val="es-ES_tradnl"/>
        </w:rPr>
        <w:t xml:space="preserve"> también podrá acreditar que la</w:t>
      </w:r>
      <w:r w:rsidR="002F40E2" w:rsidRPr="00EA1DE2">
        <w:rPr>
          <w:rFonts w:ascii="Arial" w:eastAsia="Calibri" w:hAnsi="Arial" w:cs="Arial"/>
          <w:sz w:val="22"/>
          <w:szCs w:val="22"/>
          <w:lang w:val="es-ES_tradnl"/>
        </w:rPr>
        <w:t xml:space="preserve">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002F40E2" w:rsidRPr="00EA1DE2">
        <w:rPr>
          <w:rStyle w:val="Refdenotaalpie"/>
          <w:rFonts w:ascii="Arial" w:eastAsia="Calibri" w:hAnsi="Arial" w:cs="Arial"/>
          <w:sz w:val="22"/>
          <w:szCs w:val="22"/>
          <w:lang w:val="es-ES_tradnl"/>
        </w:rPr>
        <w:footnoteReference w:id="12"/>
      </w:r>
      <w:r w:rsidR="00F62227" w:rsidRPr="00EA1DE2">
        <w:rPr>
          <w:rFonts w:ascii="Arial" w:eastAsia="Calibri" w:hAnsi="Arial" w:cs="Arial"/>
          <w:sz w:val="22"/>
          <w:szCs w:val="22"/>
          <w:lang w:val="es-ES_tradnl"/>
        </w:rPr>
        <w:t>.</w:t>
      </w:r>
      <w:r w:rsidR="007651EF" w:rsidRPr="00EA1DE2">
        <w:rPr>
          <w:rFonts w:ascii="Arial" w:eastAsia="Calibri" w:hAnsi="Arial" w:cs="Arial"/>
          <w:sz w:val="22"/>
          <w:szCs w:val="22"/>
          <w:lang w:val="es-ES_tradnl"/>
        </w:rPr>
        <w:t xml:space="preserve"> </w:t>
      </w:r>
    </w:p>
    <w:p w14:paraId="27A795A3" w14:textId="77777777" w:rsidR="007E7657" w:rsidRPr="00EA1DE2" w:rsidRDefault="0093360C" w:rsidP="007E7657">
      <w:pPr>
        <w:spacing w:before="120" w:line="276" w:lineRule="auto"/>
        <w:ind w:firstLine="709"/>
        <w:jc w:val="both"/>
        <w:rPr>
          <w:rFonts w:ascii="Arial" w:hAnsi="Arial" w:cs="Arial"/>
          <w:sz w:val="22"/>
          <w:szCs w:val="22"/>
          <w:lang w:val="es-ES_tradnl"/>
        </w:rPr>
      </w:pPr>
      <w:bookmarkStart w:id="8" w:name="_Hlk62481891"/>
      <w:r w:rsidRPr="00EA1DE2">
        <w:rPr>
          <w:rFonts w:ascii="Arial" w:hAnsi="Arial" w:cs="Arial"/>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w:t>
      </w:r>
      <w:proofErr w:type="gramStart"/>
      <w:r w:rsidRPr="00EA1DE2">
        <w:rPr>
          <w:rFonts w:ascii="Arial" w:hAnsi="Arial" w:cs="Arial"/>
          <w:sz w:val="22"/>
          <w:szCs w:val="22"/>
          <w:lang w:val="es-ES_tradnl"/>
        </w:rPr>
        <w:t>la misma</w:t>
      </w:r>
      <w:proofErr w:type="gramEnd"/>
      <w:r w:rsidRPr="00EA1DE2">
        <w:rPr>
          <w:rFonts w:ascii="Arial" w:hAnsi="Arial" w:cs="Arial"/>
          <w:sz w:val="22"/>
          <w:szCs w:val="22"/>
          <w:lang w:val="es-ES_tradnl"/>
        </w:rPr>
        <w:t>,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EA1DE2">
        <w:rPr>
          <w:rStyle w:val="Refdenotaalpie"/>
          <w:rFonts w:ascii="Arial" w:hAnsi="Arial" w:cs="Arial"/>
          <w:sz w:val="22"/>
          <w:szCs w:val="22"/>
          <w:lang w:val="es-ES_tradnl"/>
        </w:rPr>
        <w:footnoteReference w:id="13"/>
      </w:r>
      <w:r w:rsidRPr="00EA1DE2">
        <w:rPr>
          <w:rFonts w:ascii="Arial" w:hAnsi="Arial" w:cs="Arial"/>
          <w:sz w:val="22"/>
          <w:szCs w:val="22"/>
          <w:lang w:val="es-ES_tradnl"/>
        </w:rPr>
        <w:t>.</w:t>
      </w:r>
      <w:r w:rsidR="007E7657" w:rsidRPr="00EA1DE2">
        <w:rPr>
          <w:rFonts w:ascii="Arial" w:hAnsi="Arial" w:cs="Arial"/>
          <w:sz w:val="22"/>
          <w:szCs w:val="22"/>
          <w:lang w:val="es-ES_tradnl"/>
        </w:rPr>
        <w:t xml:space="preserve"> </w:t>
      </w:r>
    </w:p>
    <w:bookmarkEnd w:id="8"/>
    <w:p w14:paraId="472C2CE9" w14:textId="649ECBE8" w:rsidR="0093360C" w:rsidRPr="00EA1DE2" w:rsidRDefault="007E7657" w:rsidP="007E7657">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Por su parte, el artículo 21 de la Ley 1257 de 2008</w:t>
      </w:r>
      <w:r w:rsidR="0044361F" w:rsidRPr="00EA1DE2">
        <w:rPr>
          <w:rFonts w:ascii="Arial" w:hAnsi="Arial" w:cs="Arial"/>
          <w:sz w:val="22"/>
          <w:szCs w:val="22"/>
          <w:lang w:val="es-ES_tradnl"/>
        </w:rPr>
        <w:t>, p</w:t>
      </w:r>
      <w:r w:rsidRPr="00EA1DE2">
        <w:rPr>
          <w:rFonts w:ascii="Arial" w:hAnsi="Arial" w:cs="Arial"/>
          <w:sz w:val="22"/>
          <w:szCs w:val="22"/>
          <w:lang w:val="es-ES_tradnl"/>
        </w:rPr>
        <w:t xml:space="preserve">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9" w:name="_Hlk62482124"/>
      <w:r w:rsidRPr="00EA1DE2">
        <w:rPr>
          <w:rFonts w:ascii="Arial" w:hAnsi="Arial" w:cs="Arial"/>
          <w:sz w:val="22"/>
          <w:szCs w:val="22"/>
          <w:lang w:val="es-ES_tradnl"/>
        </w:rPr>
        <w:t xml:space="preserve">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w:t>
      </w:r>
      <w:r w:rsidRPr="00EA1DE2">
        <w:rPr>
          <w:rFonts w:ascii="Arial" w:hAnsi="Arial" w:cs="Arial"/>
          <w:sz w:val="22"/>
          <w:szCs w:val="22"/>
          <w:lang w:val="es-ES_tradnl"/>
        </w:rPr>
        <w:lastRenderedPageBreak/>
        <w:t xml:space="preserve">una providencia motivada. Por lo tanto, este documento permite acreditar la situación de mujer víctima de violencia intrafamiliar. Las autoridades competentes mencionadas con anterioridad deben «[…] remitir todos los casos de violencia intrafamiliar a la </w:t>
      </w:r>
      <w:proofErr w:type="gramStart"/>
      <w:r w:rsidRPr="00EA1DE2">
        <w:rPr>
          <w:rFonts w:ascii="Arial" w:hAnsi="Arial" w:cs="Arial"/>
          <w:sz w:val="22"/>
          <w:szCs w:val="22"/>
          <w:lang w:val="es-ES_tradnl"/>
        </w:rPr>
        <w:t>Fiscalía General</w:t>
      </w:r>
      <w:proofErr w:type="gramEnd"/>
      <w:r w:rsidRPr="00EA1DE2">
        <w:rPr>
          <w:rFonts w:ascii="Arial" w:hAnsi="Arial" w:cs="Arial"/>
          <w:sz w:val="22"/>
          <w:szCs w:val="22"/>
          <w:lang w:val="es-ES_tradnl"/>
        </w:rPr>
        <w:t xml:space="preserve">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9"/>
    <w:p w14:paraId="210237BF" w14:textId="43CB55ED" w:rsidR="009D460F" w:rsidRPr="00EA1DE2" w:rsidRDefault="003A41C5" w:rsidP="003A41C5">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Ahora bien, el numeral 2 del artículo 35</w:t>
      </w:r>
      <w:r w:rsidR="0093360C" w:rsidRPr="00EA1DE2">
        <w:rPr>
          <w:rFonts w:ascii="Arial" w:hAnsi="Arial" w:cs="Arial"/>
          <w:sz w:val="22"/>
          <w:szCs w:val="22"/>
          <w:lang w:val="es-ES_tradnl"/>
        </w:rPr>
        <w:t xml:space="preserve"> de la Ley </w:t>
      </w:r>
      <w:r w:rsidR="007B209C" w:rsidRPr="00EA1DE2">
        <w:rPr>
          <w:rFonts w:ascii="Arial" w:hAnsi="Arial" w:cs="Arial"/>
          <w:sz w:val="22"/>
          <w:szCs w:val="22"/>
          <w:lang w:val="es-ES_tradnl"/>
        </w:rPr>
        <w:t>2069</w:t>
      </w:r>
      <w:r w:rsidR="0093360C" w:rsidRPr="00EA1DE2">
        <w:rPr>
          <w:rFonts w:ascii="Arial" w:hAnsi="Arial" w:cs="Arial"/>
          <w:sz w:val="22"/>
          <w:szCs w:val="22"/>
          <w:lang w:val="es-ES_tradnl"/>
        </w:rPr>
        <w:t xml:space="preserve"> de 2020</w:t>
      </w:r>
      <w:r w:rsidRPr="00EA1DE2">
        <w:rPr>
          <w:rFonts w:ascii="Arial" w:hAnsi="Arial" w:cs="Arial"/>
          <w:sz w:val="22"/>
          <w:szCs w:val="22"/>
          <w:lang w:val="es-ES_tradnl"/>
        </w:rPr>
        <w:t xml:space="preserve"> no establece que este factor de desempate únicamente puede aplicarse cuando en la persona jurídica existe participación mayoritaria </w:t>
      </w:r>
      <w:r w:rsidRPr="00EA1DE2">
        <w:rPr>
          <w:rFonts w:ascii="Arial" w:hAnsi="Arial" w:cs="Arial"/>
          <w:i/>
          <w:iCs/>
          <w:sz w:val="22"/>
          <w:szCs w:val="22"/>
          <w:lang w:val="es-ES_tradnl"/>
        </w:rPr>
        <w:t>solo</w:t>
      </w:r>
      <w:r w:rsidRPr="00EA1DE2">
        <w:rPr>
          <w:rFonts w:ascii="Arial" w:hAnsi="Arial" w:cs="Arial"/>
          <w:sz w:val="22"/>
          <w:szCs w:val="22"/>
          <w:lang w:val="es-ES_tradnl"/>
        </w:rPr>
        <w:t xml:space="preserve"> de mujeres cabeza de familia o </w:t>
      </w:r>
      <w:r w:rsidRPr="00EA1DE2">
        <w:rPr>
          <w:rFonts w:ascii="Arial" w:hAnsi="Arial" w:cs="Arial"/>
          <w:i/>
          <w:iCs/>
          <w:sz w:val="22"/>
          <w:szCs w:val="22"/>
          <w:lang w:val="es-ES_tradnl"/>
        </w:rPr>
        <w:t>solo</w:t>
      </w:r>
      <w:r w:rsidRPr="00EA1DE2">
        <w:rPr>
          <w:rFonts w:ascii="Arial" w:hAnsi="Arial" w:cs="Arial"/>
          <w:sz w:val="22"/>
          <w:szCs w:val="22"/>
          <w:lang w:val="es-ES_tradnl"/>
        </w:rPr>
        <w:t xml:space="preserve"> de mujeres víctimas de la violencia intrafamiliar. Lo que </w:t>
      </w:r>
      <w:r w:rsidR="0044361F" w:rsidRPr="00EA1DE2">
        <w:rPr>
          <w:rFonts w:ascii="Arial" w:hAnsi="Arial" w:cs="Arial"/>
          <w:sz w:val="22"/>
          <w:szCs w:val="22"/>
          <w:lang w:val="es-ES_tradnl"/>
        </w:rPr>
        <w:t>dispone</w:t>
      </w:r>
      <w:r w:rsidRPr="00EA1DE2">
        <w:rPr>
          <w:rFonts w:ascii="Arial" w:hAnsi="Arial" w:cs="Arial"/>
          <w:sz w:val="22"/>
          <w:szCs w:val="22"/>
          <w:lang w:val="es-ES_tradnl"/>
        </w:rPr>
        <w:t xml:space="preserve"> es que se debe «Preferir la propuesta de la mujer cabeza de familia, mujeres víctimas de la violencia intrafamiliar o de la persona jurídica en la cual participe </w:t>
      </w:r>
      <w:r w:rsidRPr="00EA1DE2">
        <w:rPr>
          <w:rFonts w:ascii="Arial" w:hAnsi="Arial" w:cs="Arial"/>
          <w:i/>
          <w:iCs/>
          <w:sz w:val="22"/>
          <w:szCs w:val="22"/>
          <w:lang w:val="es-ES_tradnl"/>
        </w:rPr>
        <w:t>o participen</w:t>
      </w:r>
      <w:r w:rsidRPr="00EA1DE2">
        <w:rPr>
          <w:rFonts w:ascii="Arial" w:hAnsi="Arial" w:cs="Arial"/>
          <w:sz w:val="22"/>
          <w:szCs w:val="22"/>
          <w:lang w:val="es-ES_tradnl"/>
        </w:rPr>
        <w:t xml:space="preserve"> mayoritariamente; o, la de un proponente plural constituido por mujeres cabeza de familia, mujeres víctimas de violencia intrafamiliar y/o personas jurídicas en las cuales participe </w:t>
      </w:r>
      <w:r w:rsidRPr="00EA1DE2">
        <w:rPr>
          <w:rFonts w:ascii="Arial" w:hAnsi="Arial" w:cs="Arial"/>
          <w:i/>
          <w:iCs/>
          <w:sz w:val="22"/>
          <w:szCs w:val="22"/>
          <w:lang w:val="es-ES_tradnl"/>
        </w:rPr>
        <w:t xml:space="preserve">o participen </w:t>
      </w:r>
      <w:r w:rsidRPr="00EA1DE2">
        <w:rPr>
          <w:rFonts w:ascii="Arial" w:hAnsi="Arial" w:cs="Arial"/>
          <w:sz w:val="22"/>
          <w:szCs w:val="22"/>
          <w:lang w:val="es-ES_tradnl"/>
        </w:rPr>
        <w:t xml:space="preserve">mayoritariamente» </w:t>
      </w:r>
      <w:r w:rsidR="00315910">
        <w:rPr>
          <w:rFonts w:ascii="Arial" w:hAnsi="Arial" w:cs="Arial"/>
          <w:sz w:val="22"/>
          <w:szCs w:val="22"/>
          <w:lang w:val="es-ES_tradnl"/>
        </w:rPr>
        <w:t>(</w:t>
      </w:r>
      <w:r w:rsidRPr="00EA1DE2">
        <w:rPr>
          <w:rFonts w:ascii="Arial" w:hAnsi="Arial" w:cs="Arial"/>
          <w:sz w:val="22"/>
          <w:szCs w:val="22"/>
          <w:lang w:val="es-ES_tradnl"/>
        </w:rPr>
        <w:t>cursiva fuera de texto</w:t>
      </w:r>
      <w:r w:rsidR="00315910">
        <w:rPr>
          <w:rFonts w:ascii="Arial" w:hAnsi="Arial" w:cs="Arial"/>
          <w:sz w:val="22"/>
          <w:szCs w:val="22"/>
          <w:lang w:val="es-ES_tradnl"/>
        </w:rPr>
        <w:t>)</w:t>
      </w:r>
      <w:r w:rsidRPr="00EA1DE2">
        <w:rPr>
          <w:rFonts w:ascii="Arial" w:hAnsi="Arial" w:cs="Arial"/>
          <w:sz w:val="22"/>
          <w:szCs w:val="22"/>
          <w:lang w:val="es-ES_tradnl"/>
        </w:rPr>
        <w:t>.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115D70FB" w14:textId="77777777" w:rsidR="00B32E31" w:rsidRPr="00EA1DE2" w:rsidRDefault="009D460F" w:rsidP="00B32E31">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Para poderse beneficiar del factor de desempate, el proponente plural debe estar constituido i) por mujeres cabeza de familia o mujeres víctimas de violencia intrafamiliar y/o </w:t>
      </w:r>
      <w:proofErr w:type="spellStart"/>
      <w:r w:rsidRPr="00EA1DE2">
        <w:rPr>
          <w:rFonts w:ascii="Arial" w:hAnsi="Arial" w:cs="Arial"/>
          <w:sz w:val="22"/>
          <w:szCs w:val="22"/>
          <w:lang w:val="es-ES_tradnl"/>
        </w:rPr>
        <w:t>ii</w:t>
      </w:r>
      <w:proofErr w:type="spellEnd"/>
      <w:r w:rsidRPr="00EA1DE2">
        <w:rPr>
          <w:rFonts w:ascii="Arial" w:hAnsi="Arial" w:cs="Arial"/>
          <w:sz w:val="22"/>
          <w:szCs w:val="22"/>
          <w:lang w:val="es-ES_tradnl"/>
        </w:rPr>
        <w:t>)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36730E2" w14:textId="3D12BF20" w:rsidR="00E5768D" w:rsidRPr="00EA1DE2" w:rsidRDefault="008A41F8" w:rsidP="00B32E31">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El artículo 35, numeral 2, de la Ley </w:t>
      </w:r>
      <w:r w:rsidR="007B209C" w:rsidRPr="00EA1DE2">
        <w:rPr>
          <w:rFonts w:ascii="Arial" w:hAnsi="Arial" w:cs="Arial"/>
          <w:sz w:val="22"/>
          <w:szCs w:val="22"/>
          <w:lang w:val="es-ES_tradnl"/>
        </w:rPr>
        <w:t>2069</w:t>
      </w:r>
      <w:r w:rsidRPr="00EA1DE2">
        <w:rPr>
          <w:rFonts w:ascii="Arial" w:hAnsi="Arial" w:cs="Arial"/>
          <w:sz w:val="22"/>
          <w:szCs w:val="22"/>
          <w:lang w:val="es-ES_tradnl"/>
        </w:rPr>
        <w:t xml:space="preserve"> de 2020</w:t>
      </w:r>
      <w:r w:rsidR="008510A1" w:rsidRPr="00EA1DE2">
        <w:rPr>
          <w:rFonts w:ascii="Arial" w:hAnsi="Arial" w:cs="Arial"/>
          <w:sz w:val="22"/>
          <w:szCs w:val="22"/>
          <w:lang w:val="es-ES_tradnl"/>
        </w:rPr>
        <w:t xml:space="preserve"> </w:t>
      </w:r>
      <w:r w:rsidRPr="00EA1DE2">
        <w:rPr>
          <w:rFonts w:ascii="Arial" w:hAnsi="Arial" w:cs="Arial"/>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w:t>
      </w:r>
      <w:r w:rsidR="00B237E6" w:rsidRPr="00EA1DE2">
        <w:rPr>
          <w:rFonts w:ascii="Arial" w:hAnsi="Arial" w:cs="Arial"/>
          <w:sz w:val="22"/>
          <w:szCs w:val="22"/>
          <w:lang w:val="es-ES_tradnl"/>
        </w:rPr>
        <w:t>que se</w:t>
      </w:r>
      <w:r w:rsidRPr="00EA1DE2">
        <w:rPr>
          <w:rFonts w:ascii="Arial" w:hAnsi="Arial" w:cs="Arial"/>
          <w:sz w:val="22"/>
          <w:szCs w:val="22"/>
          <w:lang w:val="es-ES_tradnl"/>
        </w:rPr>
        <w:t xml:space="preserve"> indicar</w:t>
      </w:r>
      <w:r w:rsidR="00B237E6" w:rsidRPr="00EA1DE2">
        <w:rPr>
          <w:rFonts w:ascii="Arial" w:hAnsi="Arial" w:cs="Arial"/>
          <w:sz w:val="22"/>
          <w:szCs w:val="22"/>
          <w:lang w:val="es-ES_tradnl"/>
        </w:rPr>
        <w:t>a</w:t>
      </w:r>
      <w:r w:rsidRPr="00EA1DE2">
        <w:rPr>
          <w:rFonts w:ascii="Arial" w:hAnsi="Arial" w:cs="Arial"/>
          <w:sz w:val="22"/>
          <w:szCs w:val="22"/>
          <w:lang w:val="es-ES_tradnl"/>
        </w:rPr>
        <w:t xml:space="preserv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404BAF40" w14:textId="0B95E047" w:rsidR="00E070C1" w:rsidRPr="00EA1DE2" w:rsidRDefault="008A41F8" w:rsidP="00B32E31">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En tal sentido, teniendo en cuenta que no hay definición legal expresa, el Diccionario de la Lengua Española dice que «participar» es «Tener parte en una sociedad o negocio o </w:t>
      </w:r>
      <w:r w:rsidRPr="00EA1DE2">
        <w:rPr>
          <w:rFonts w:ascii="Arial" w:hAnsi="Arial" w:cs="Arial"/>
          <w:sz w:val="22"/>
          <w:szCs w:val="22"/>
          <w:lang w:val="es-ES_tradnl"/>
        </w:rPr>
        <w:lastRenderedPageBreak/>
        <w:t>ser socio de ellos»</w:t>
      </w:r>
      <w:r w:rsidRPr="00EA1DE2">
        <w:rPr>
          <w:rStyle w:val="Refdenotaalpie"/>
          <w:rFonts w:ascii="Arial" w:hAnsi="Arial" w:cs="Arial"/>
          <w:sz w:val="22"/>
          <w:szCs w:val="22"/>
          <w:lang w:val="es-ES_tradnl"/>
        </w:rPr>
        <w:footnoteReference w:id="14"/>
      </w:r>
      <w:r w:rsidRPr="00EA1DE2">
        <w:rPr>
          <w:rFonts w:ascii="Arial" w:hAnsi="Arial" w:cs="Arial"/>
          <w:sz w:val="22"/>
          <w:szCs w:val="22"/>
          <w:lang w:val="es-ES_tradnl"/>
        </w:rPr>
        <w:t xml:space="preserve">. Esta noción es acorde con el derecho societario, </w:t>
      </w:r>
      <w:r w:rsidR="00315910">
        <w:rPr>
          <w:rFonts w:ascii="Arial" w:hAnsi="Arial" w:cs="Arial"/>
          <w:color w:val="000000" w:themeColor="text1"/>
          <w:sz w:val="22"/>
          <w:szCs w:val="22"/>
          <w:lang w:val="es-ES_tradnl"/>
        </w:rPr>
        <w:t>bajo el entendimiento que</w:t>
      </w:r>
      <w:r w:rsidRPr="00EA1DE2">
        <w:rPr>
          <w:rFonts w:ascii="Arial" w:hAnsi="Arial" w:cs="Arial"/>
          <w:sz w:val="22"/>
          <w:szCs w:val="22"/>
          <w:lang w:val="es-ES_tradnl"/>
        </w:rPr>
        <w:t xml:space="preserve"> la participación recae en algunos casos en proporción a las acciones –en las sociedades por acciones– o </w:t>
      </w:r>
      <w:proofErr w:type="gramStart"/>
      <w:r w:rsidRPr="00EA1DE2">
        <w:rPr>
          <w:rFonts w:ascii="Arial" w:hAnsi="Arial" w:cs="Arial"/>
          <w:sz w:val="22"/>
          <w:szCs w:val="22"/>
          <w:lang w:val="es-ES_tradnl"/>
        </w:rPr>
        <w:t>de acuerdo a</w:t>
      </w:r>
      <w:proofErr w:type="gramEnd"/>
      <w:r w:rsidRPr="00EA1DE2">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w:t>
      </w:r>
      <w:r w:rsidR="00E5768D" w:rsidRPr="00EA1DE2">
        <w:rPr>
          <w:rFonts w:ascii="Arial" w:hAnsi="Arial" w:cs="Arial"/>
          <w:sz w:val="22"/>
          <w:szCs w:val="22"/>
          <w:lang w:val="es-ES_tradnl"/>
        </w:rPr>
        <w:t xml:space="preserve"> </w:t>
      </w:r>
    </w:p>
    <w:p w14:paraId="4D500AAE" w14:textId="447697B0" w:rsidR="008A0753" w:rsidRPr="00EA1DE2" w:rsidRDefault="00A00CF1" w:rsidP="008A0753">
      <w:pPr>
        <w:spacing w:before="120" w:line="276" w:lineRule="auto"/>
        <w:ind w:firstLine="709"/>
        <w:jc w:val="both"/>
        <w:rPr>
          <w:rFonts w:ascii="Arial" w:hAnsi="Arial" w:cs="Arial"/>
          <w:sz w:val="22"/>
          <w:szCs w:val="22"/>
        </w:rPr>
      </w:pPr>
      <w:r w:rsidRPr="00EA1DE2">
        <w:rPr>
          <w:rFonts w:ascii="Arial" w:hAnsi="Arial" w:cs="Arial"/>
          <w:sz w:val="22"/>
          <w:szCs w:val="22"/>
        </w:rPr>
        <w:t>Por otra parte</w:t>
      </w:r>
      <w:r w:rsidR="008A0753" w:rsidRPr="00EA1DE2">
        <w:rPr>
          <w:rFonts w:ascii="Arial" w:hAnsi="Arial" w:cs="Arial"/>
          <w:sz w:val="22"/>
          <w:szCs w:val="22"/>
        </w:rPr>
        <w:t xml:space="preserve">, debe decirse que, si bien la norma en comento no definió </w:t>
      </w:r>
      <w:r w:rsidRPr="00EA1DE2">
        <w:rPr>
          <w:rFonts w:ascii="Arial" w:hAnsi="Arial" w:cs="Arial"/>
          <w:sz w:val="22"/>
          <w:szCs w:val="22"/>
        </w:rPr>
        <w:t>en que consiste el carácter mayoritario</w:t>
      </w:r>
      <w:r w:rsidR="00EA2DD7" w:rsidRPr="00EA1DE2">
        <w:rPr>
          <w:rFonts w:ascii="Arial" w:hAnsi="Arial" w:cs="Arial"/>
          <w:sz w:val="22"/>
          <w:szCs w:val="22"/>
        </w:rPr>
        <w:t xml:space="preserve"> de la participación</w:t>
      </w:r>
      <w:r w:rsidR="008A0753" w:rsidRPr="00EA1DE2">
        <w:rPr>
          <w:rFonts w:ascii="Arial" w:hAnsi="Arial" w:cs="Arial"/>
          <w:sz w:val="22"/>
          <w:szCs w:val="22"/>
        </w:rPr>
        <w:t>, se puede afirmar –acorde con el derecho societario– que por est</w:t>
      </w:r>
      <w:r w:rsidR="004025CB" w:rsidRPr="00EA1DE2">
        <w:rPr>
          <w:rFonts w:ascii="Arial" w:hAnsi="Arial" w:cs="Arial"/>
          <w:sz w:val="22"/>
          <w:szCs w:val="22"/>
        </w:rPr>
        <w:t>a</w:t>
      </w:r>
      <w:r w:rsidR="008A0753" w:rsidRPr="00EA1DE2">
        <w:rPr>
          <w:rFonts w:ascii="Arial" w:hAnsi="Arial" w:cs="Arial"/>
          <w:sz w:val="22"/>
          <w:szCs w:val="22"/>
        </w:rPr>
        <w:t xml:space="preserve"> se entiende la posición de un socio cuando tiene más del cincuenta por ciento (50%) de participación en la sociedad. Conforme a lo anterior, la expresión «mayoritariamente», contenida en el numeral 2 del artículo 35 de la ley 2069 de 2020 exige que las mujeres cabeza de familia o mujeres víctimas de la violencia </w:t>
      </w:r>
      <w:proofErr w:type="spellStart"/>
      <w:r w:rsidR="008A0753" w:rsidRPr="00EA1DE2">
        <w:rPr>
          <w:rFonts w:ascii="Arial" w:hAnsi="Arial" w:cs="Arial"/>
          <w:sz w:val="22"/>
          <w:szCs w:val="22"/>
        </w:rPr>
        <w:t>intrafamilar</w:t>
      </w:r>
      <w:proofErr w:type="spellEnd"/>
      <w:r w:rsidR="008A0753" w:rsidRPr="00EA1DE2">
        <w:rPr>
          <w:rFonts w:ascii="Arial" w:hAnsi="Arial" w:cs="Arial"/>
          <w:sz w:val="22"/>
          <w:szCs w:val="22"/>
        </w:rPr>
        <w:t xml:space="preserve"> cuenten –singular o conjuntamente– con una participación superior al (50%) en la sociedad, para que esta pueda ser considerada como mayoritaria. Lo anterior sin perjuicio que, como se mencionó anteriormente, </w:t>
      </w:r>
      <w:r w:rsidR="008A0753" w:rsidRPr="00EA1DE2">
        <w:rPr>
          <w:rFonts w:ascii="Arial" w:hAnsi="Arial" w:cs="Arial"/>
          <w:sz w:val="22"/>
          <w:szCs w:val="22"/>
          <w:lang w:val="es-ES_tradnl"/>
        </w:rPr>
        <w:t>el gobierno nacional, por vía reglamentaria, le otorgue un alcance diferente al enunciado normativo analizado.</w:t>
      </w:r>
    </w:p>
    <w:p w14:paraId="03AE53F7" w14:textId="77777777" w:rsidR="008A0753" w:rsidRPr="00EA1DE2" w:rsidRDefault="008A0753" w:rsidP="008A0753">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En caso de que una mujer cabeza de familia o víctima de violencia intrafamiliar tenga participación superior al 50% en la persona jurídica, podría presentarse uno de los eventos de </w:t>
      </w:r>
      <w:r w:rsidRPr="00EA1DE2">
        <w:rPr>
          <w:rFonts w:ascii="Arial" w:hAnsi="Arial" w:cs="Arial"/>
          <w:i/>
          <w:iCs/>
          <w:sz w:val="22"/>
          <w:szCs w:val="22"/>
          <w:lang w:val="es-ES_tradnl"/>
        </w:rPr>
        <w:t>situación de control</w:t>
      </w:r>
      <w:r w:rsidRPr="00EA1DE2">
        <w:rPr>
          <w:rFonts w:ascii="Arial" w:hAnsi="Arial" w:cs="Arial"/>
          <w:sz w:val="22"/>
          <w:szCs w:val="22"/>
          <w:lang w:val="es-ES_tradnl"/>
        </w:rPr>
        <w:t xml:space="preserve"> en materia societaria. Lo anterior con fundamento en el parágrafo 1º del artículo 261 del Código de Comercio, que prescribe lo siguiente:</w:t>
      </w:r>
    </w:p>
    <w:p w14:paraId="51D7CD1F" w14:textId="77777777" w:rsidR="008A0753" w:rsidRPr="00EA1DE2" w:rsidRDefault="008A0753" w:rsidP="008A0753">
      <w:pPr>
        <w:ind w:left="709" w:right="709"/>
        <w:jc w:val="both"/>
        <w:rPr>
          <w:rFonts w:ascii="Arial" w:hAnsi="Arial" w:cs="Arial"/>
          <w:sz w:val="21"/>
          <w:szCs w:val="21"/>
        </w:rPr>
      </w:pPr>
    </w:p>
    <w:p w14:paraId="5EE50669" w14:textId="77777777" w:rsidR="008A0753" w:rsidRPr="00EA1DE2" w:rsidRDefault="008A0753" w:rsidP="008A0753">
      <w:pPr>
        <w:ind w:left="709" w:right="709"/>
        <w:jc w:val="both"/>
        <w:rPr>
          <w:rFonts w:ascii="Arial" w:hAnsi="Arial" w:cs="Arial"/>
          <w:sz w:val="21"/>
          <w:szCs w:val="21"/>
        </w:rPr>
      </w:pPr>
      <w:r w:rsidRPr="00EA1DE2">
        <w:rPr>
          <w:rFonts w:ascii="Arial" w:hAnsi="Arial" w:cs="Arial"/>
          <w:sz w:val="21"/>
          <w:szCs w:val="21"/>
        </w:rPr>
        <w:t xml:space="preserve">Igualmente habrá subordinación, para todos los efectos legales, cuando el control conforme a los supuestos previstos en el presente artículo, sea ejercido </w:t>
      </w:r>
      <w:r w:rsidRPr="00EA1DE2">
        <w:rPr>
          <w:rFonts w:ascii="Arial" w:hAnsi="Arial" w:cs="Arial"/>
          <w:i/>
          <w:iCs/>
          <w:sz w:val="21"/>
          <w:szCs w:val="21"/>
        </w:rPr>
        <w:t>por una o varias personas naturales</w:t>
      </w:r>
      <w:r w:rsidRPr="00EA1DE2">
        <w:rPr>
          <w:rFonts w:ascii="Arial" w:hAnsi="Arial" w:cs="Arial"/>
          <w:sz w:val="21"/>
          <w:szCs w:val="21"/>
        </w:rPr>
        <w:t xml:space="preserve"> o jurídicas de naturaleza no societaria, bien sea directamente o por intermedio o con el concurso de entidades en las cuales éstas posean más del cincuenta por ciento (50%) del capital o configure la mayoría mínima para la toma de decisiones o ejerzan influencia dominante en la dirección o toma de decisiones de la entidad (énfasis fuera de texto).</w:t>
      </w:r>
    </w:p>
    <w:p w14:paraId="1333D66B" w14:textId="77777777" w:rsidR="008A0753" w:rsidRPr="00EA1DE2" w:rsidRDefault="008A0753" w:rsidP="008A0753">
      <w:pPr>
        <w:spacing w:line="276" w:lineRule="auto"/>
        <w:ind w:firstLine="709"/>
        <w:jc w:val="both"/>
        <w:rPr>
          <w:rFonts w:ascii="Arial" w:hAnsi="Arial" w:cs="Arial"/>
          <w:sz w:val="22"/>
          <w:szCs w:val="22"/>
          <w:lang w:val="es-ES_tradnl"/>
        </w:rPr>
      </w:pPr>
    </w:p>
    <w:p w14:paraId="46B58C68" w14:textId="77777777" w:rsidR="008A0753" w:rsidRPr="00EA1DE2" w:rsidRDefault="008A0753" w:rsidP="008A0753">
      <w:pPr>
        <w:spacing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Así también lo ha reconocido la doctrina, al señalar que «[…] es claro </w:t>
      </w:r>
      <w:proofErr w:type="gramStart"/>
      <w:r w:rsidRPr="00EA1DE2">
        <w:rPr>
          <w:rFonts w:ascii="Arial" w:hAnsi="Arial" w:cs="Arial"/>
          <w:sz w:val="22"/>
          <w:szCs w:val="22"/>
          <w:lang w:val="es-ES_tradnl"/>
        </w:rPr>
        <w:t>que</w:t>
      </w:r>
      <w:proofErr w:type="gramEnd"/>
      <w:r w:rsidRPr="00EA1DE2">
        <w:rPr>
          <w:rFonts w:ascii="Arial" w:hAnsi="Arial" w:cs="Arial"/>
          <w:sz w:val="22"/>
          <w:szCs w:val="22"/>
          <w:lang w:val="es-ES_tradnl"/>
        </w:rPr>
        <w:t xml:space="preserve"> si un socio posee más del 50%, así sea persona natural, asume la calidad de controlante de la sociedad»</w:t>
      </w:r>
      <w:r w:rsidRPr="00EA1DE2">
        <w:rPr>
          <w:rStyle w:val="Refdenotaalpie"/>
          <w:rFonts w:ascii="Arial" w:hAnsi="Arial" w:cs="Arial"/>
          <w:sz w:val="22"/>
          <w:szCs w:val="22"/>
          <w:lang w:val="es-ES_tradnl"/>
        </w:rPr>
        <w:footnoteReference w:id="15"/>
      </w:r>
      <w:r w:rsidRPr="00EA1DE2">
        <w:rPr>
          <w:rFonts w:ascii="Arial" w:hAnsi="Arial" w:cs="Arial"/>
          <w:sz w:val="22"/>
          <w:szCs w:val="22"/>
          <w:lang w:val="es-ES_tradnl"/>
        </w:rPr>
        <w:t>. En aquellos casos en los cuales la persona jurídica se encuentra obligada a estar inscrita en el Registro Único de Proponentes –RUP– para participar en un proceso de contratación</w:t>
      </w:r>
      <w:r w:rsidRPr="00EA1DE2">
        <w:rPr>
          <w:rStyle w:val="Refdenotaalpie"/>
          <w:rFonts w:ascii="Arial" w:hAnsi="Arial" w:cs="Arial"/>
          <w:sz w:val="22"/>
          <w:szCs w:val="22"/>
          <w:lang w:val="es-ES_tradnl"/>
        </w:rPr>
        <w:footnoteReference w:id="16"/>
      </w:r>
      <w:r w:rsidRPr="00EA1DE2">
        <w:rPr>
          <w:rFonts w:ascii="Arial" w:hAnsi="Arial" w:cs="Arial"/>
          <w:sz w:val="22"/>
          <w:szCs w:val="22"/>
          <w:lang w:val="es-ES_tradnl"/>
        </w:rPr>
        <w:t xml:space="preserve">, el certificado del RUP debe dar cuenta de la situación de control existente, </w:t>
      </w:r>
      <w:r w:rsidRPr="00EA1DE2">
        <w:rPr>
          <w:rFonts w:ascii="Arial" w:hAnsi="Arial" w:cs="Arial"/>
          <w:sz w:val="22"/>
          <w:szCs w:val="22"/>
          <w:lang w:val="es-ES_tradnl"/>
        </w:rPr>
        <w:lastRenderedPageBreak/>
        <w:t xml:space="preserve">pues así lo exige el numeral 2.2. del artículo 2.2.1.1.1.5.2. del Decreto 1082 de 2015, en los siguientes términos: </w:t>
      </w:r>
    </w:p>
    <w:p w14:paraId="3DD83AD6" w14:textId="77777777" w:rsidR="008A0753" w:rsidRPr="00EA1DE2" w:rsidRDefault="008A0753" w:rsidP="008A0753">
      <w:pPr>
        <w:spacing w:line="276" w:lineRule="auto"/>
        <w:ind w:firstLine="709"/>
        <w:jc w:val="both"/>
        <w:rPr>
          <w:rFonts w:ascii="Arial" w:hAnsi="Arial" w:cs="Arial"/>
          <w:sz w:val="22"/>
          <w:szCs w:val="22"/>
          <w:lang w:val="es-ES_tradnl"/>
        </w:rPr>
      </w:pPr>
    </w:p>
    <w:p w14:paraId="2B560167" w14:textId="77777777" w:rsidR="008A0753" w:rsidRPr="00EA1DE2" w:rsidRDefault="008A0753" w:rsidP="008A0753">
      <w:pPr>
        <w:ind w:left="709" w:right="709"/>
        <w:jc w:val="both"/>
        <w:rPr>
          <w:rFonts w:ascii="Arial" w:hAnsi="Arial" w:cs="Arial"/>
          <w:sz w:val="21"/>
          <w:szCs w:val="21"/>
        </w:rPr>
      </w:pPr>
      <w:r w:rsidRPr="00EA1DE2">
        <w:rPr>
          <w:rFonts w:ascii="Arial" w:hAnsi="Arial" w:cs="Arial"/>
          <w:sz w:val="21"/>
          <w:szCs w:val="21"/>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D80A835" w14:textId="77777777" w:rsidR="008A0753" w:rsidRPr="00EA1DE2" w:rsidRDefault="008A0753" w:rsidP="008A0753">
      <w:pPr>
        <w:ind w:left="709" w:right="709"/>
        <w:jc w:val="both"/>
        <w:rPr>
          <w:rFonts w:ascii="Arial" w:hAnsi="Arial" w:cs="Arial"/>
          <w:sz w:val="21"/>
          <w:szCs w:val="21"/>
        </w:rPr>
      </w:pPr>
    </w:p>
    <w:p w14:paraId="6BC1C049" w14:textId="77777777" w:rsidR="008A0753" w:rsidRPr="00EA1DE2" w:rsidRDefault="008A0753" w:rsidP="008A0753">
      <w:pPr>
        <w:ind w:left="709" w:right="709"/>
        <w:jc w:val="both"/>
        <w:rPr>
          <w:rFonts w:ascii="Arial" w:hAnsi="Arial" w:cs="Arial"/>
          <w:sz w:val="21"/>
          <w:szCs w:val="21"/>
        </w:rPr>
      </w:pPr>
      <w:r w:rsidRPr="00EA1DE2">
        <w:rPr>
          <w:rFonts w:ascii="Arial" w:hAnsi="Arial" w:cs="Arial"/>
          <w:sz w:val="21"/>
          <w:szCs w:val="21"/>
        </w:rPr>
        <w:t>[…]</w:t>
      </w:r>
    </w:p>
    <w:p w14:paraId="02FA91DB" w14:textId="77777777" w:rsidR="008A0753" w:rsidRPr="00EA1DE2" w:rsidRDefault="008A0753" w:rsidP="008A0753">
      <w:pPr>
        <w:ind w:left="709" w:right="709"/>
        <w:jc w:val="both"/>
        <w:rPr>
          <w:rFonts w:ascii="Arial" w:hAnsi="Arial" w:cs="Arial"/>
          <w:sz w:val="21"/>
          <w:szCs w:val="21"/>
        </w:rPr>
      </w:pPr>
      <w:r w:rsidRPr="00EA1DE2">
        <w:rPr>
          <w:rFonts w:ascii="Arial" w:hAnsi="Arial" w:cs="Arial"/>
          <w:sz w:val="21"/>
          <w:szCs w:val="21"/>
        </w:rPr>
        <w:t>2. Si es una persona jurídica:</w:t>
      </w:r>
    </w:p>
    <w:p w14:paraId="61BA303C" w14:textId="77777777" w:rsidR="008A0753" w:rsidRPr="00EA1DE2" w:rsidRDefault="008A0753" w:rsidP="008A0753">
      <w:pPr>
        <w:ind w:left="709" w:right="709"/>
        <w:jc w:val="both"/>
        <w:rPr>
          <w:rFonts w:ascii="Arial" w:hAnsi="Arial" w:cs="Arial"/>
          <w:sz w:val="21"/>
          <w:szCs w:val="21"/>
        </w:rPr>
      </w:pPr>
    </w:p>
    <w:p w14:paraId="3ED9580C" w14:textId="77777777" w:rsidR="008A0753" w:rsidRPr="00EA1DE2" w:rsidRDefault="008A0753" w:rsidP="008A0753">
      <w:pPr>
        <w:ind w:left="709" w:right="709"/>
        <w:jc w:val="both"/>
        <w:rPr>
          <w:rFonts w:ascii="Arial" w:hAnsi="Arial" w:cs="Arial"/>
          <w:sz w:val="21"/>
          <w:szCs w:val="21"/>
        </w:rPr>
      </w:pPr>
      <w:r w:rsidRPr="00EA1DE2">
        <w:rPr>
          <w:rFonts w:ascii="Arial" w:hAnsi="Arial" w:cs="Arial"/>
          <w:sz w:val="21"/>
          <w:szCs w:val="21"/>
        </w:rPr>
        <w:t>[…]</w:t>
      </w:r>
    </w:p>
    <w:p w14:paraId="3313A492" w14:textId="77777777" w:rsidR="008A0753" w:rsidRPr="00EA1DE2" w:rsidRDefault="008A0753" w:rsidP="008A0753">
      <w:pPr>
        <w:ind w:left="709" w:right="709"/>
        <w:jc w:val="both"/>
        <w:rPr>
          <w:rFonts w:ascii="Arial" w:hAnsi="Arial" w:cs="Arial"/>
          <w:sz w:val="21"/>
          <w:szCs w:val="21"/>
        </w:rPr>
      </w:pPr>
      <w:r w:rsidRPr="00EA1DE2">
        <w:rPr>
          <w:rFonts w:ascii="Arial" w:hAnsi="Arial" w:cs="Arial"/>
          <w:sz w:val="21"/>
          <w:szCs w:val="21"/>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139D3136" w14:textId="77777777" w:rsidR="008A0753" w:rsidRPr="00EA1DE2" w:rsidRDefault="008A0753" w:rsidP="008A0753">
      <w:pPr>
        <w:spacing w:line="276" w:lineRule="auto"/>
        <w:jc w:val="both"/>
        <w:rPr>
          <w:rFonts w:ascii="Arial" w:hAnsi="Arial" w:cs="Arial"/>
          <w:sz w:val="22"/>
          <w:szCs w:val="22"/>
          <w:lang w:val="es-ES_tradnl"/>
        </w:rPr>
      </w:pPr>
    </w:p>
    <w:p w14:paraId="107592A0" w14:textId="77777777" w:rsidR="008A0753" w:rsidRPr="00EA1DE2" w:rsidRDefault="008A0753" w:rsidP="008A0753">
      <w:pPr>
        <w:spacing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Sin embargo, no necesariamente la procedencia del factor de desempate regulado en el artículo 35, numeral 2, de la Ley 2069 de 2020 presupone la demostración de una situación de control, porque puede suceder que la participación mayoritaria la tengan varias mujeres cabeza de familia y/o víctimas de violencia intrafamiliar –o sea, no una de ellas individualmente considerada– y que, a pesar de eso, no exista situación de control. Esto en la medida en que el mencionado numeral emplea una expresión que alude a los verbos –en singular y en plural– «participe o participen mayoritariamente». En otras palabras, podría presentarse el supuesto en que si bien la participación en la sociedad, de las mujeres cabeza de familia o mujeres víctimas de violencia intrafamiliar, sea mayoritaria en su sumatoria, no haya situación de control. Al fin y al cabo, como se ha indicado doctrinariamente, el artículo 261 del Código de Comercio establece «[…] presunciones legales de subordinación, por lo que, aunque una sociedad cumpla con uno de los supuestos allí consagrados, siempre tendrá la posibilidad de desvirtuar tal presunción, </w:t>
      </w:r>
      <w:r w:rsidRPr="00EA1DE2">
        <w:rPr>
          <w:rFonts w:ascii="Arial" w:hAnsi="Arial" w:cs="Arial"/>
          <w:sz w:val="22"/>
          <w:szCs w:val="22"/>
          <w:lang w:val="es-ES_tradnl"/>
        </w:rPr>
        <w:lastRenderedPageBreak/>
        <w:t>demostrando la inexistencia de la situación de control, esto es, el poder para adoptar las decisiones al interior de la sociedad que se presume subordinada»</w:t>
      </w:r>
      <w:r w:rsidRPr="00EA1DE2">
        <w:rPr>
          <w:rStyle w:val="Refdenotaalpie"/>
          <w:rFonts w:ascii="Arial" w:hAnsi="Arial" w:cs="Arial"/>
          <w:sz w:val="22"/>
          <w:szCs w:val="22"/>
          <w:lang w:val="es-ES_tradnl"/>
        </w:rPr>
        <w:footnoteReference w:id="17"/>
      </w:r>
      <w:r w:rsidRPr="00EA1DE2">
        <w:rPr>
          <w:rFonts w:ascii="Arial" w:hAnsi="Arial" w:cs="Arial"/>
          <w:sz w:val="22"/>
          <w:szCs w:val="22"/>
          <w:lang w:val="es-ES_tradnl"/>
        </w:rPr>
        <w:t>.</w:t>
      </w:r>
    </w:p>
    <w:p w14:paraId="0986CBD6" w14:textId="77777777" w:rsidR="008A0753" w:rsidRPr="00EA1DE2" w:rsidRDefault="008A0753" w:rsidP="008A0753">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Así, de conformidad con el artículo 35, numeral 2 de la Ley 2069 de 2020, si en un procedimiento de selección se presenta una persona jurídica en la que la participación mayoritaria sea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14CF5650" w14:textId="77955E58" w:rsidR="00AC3945" w:rsidRPr="00EA1DE2" w:rsidRDefault="008A0753" w:rsidP="008E6896">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Teniendo en cuenta que participar debe entenderse –a menos que el reglamento disponga lo contrario– como tomar parte en la sociedad, de acuerdo con el aporte en dinero o trabajo, esta Agencia considera que no basta con que una mujer cabeza de familia o víctima de la violencia intrafamiliar esté vinculada laboralmente o prestando un servicio, para asumir que está «participando»; sino que la participación debe entenderse en términos de la composición accionaria o cuotas parte, de conformidad con las disposiciones indicadas del derecho societario, como ya se explicó. En consecuencia, no basta con que un proponente tenga en su planta a mujeres que reúnan dicha condición, sino que se debe demostrar la participación de </w:t>
      </w:r>
      <w:proofErr w:type="gramStart"/>
      <w:r w:rsidRPr="00EA1DE2">
        <w:rPr>
          <w:rFonts w:ascii="Arial" w:hAnsi="Arial" w:cs="Arial"/>
          <w:sz w:val="22"/>
          <w:szCs w:val="22"/>
          <w:lang w:val="es-ES_tradnl"/>
        </w:rPr>
        <w:t>las mismas</w:t>
      </w:r>
      <w:proofErr w:type="gramEnd"/>
      <w:r w:rsidRPr="00EA1DE2">
        <w:rPr>
          <w:rFonts w:ascii="Arial" w:hAnsi="Arial" w:cs="Arial"/>
          <w:sz w:val="22"/>
          <w:szCs w:val="22"/>
          <w:lang w:val="es-ES_tradnl"/>
        </w:rPr>
        <w:t>, según el certificado de existencia y representación legal. Sin embargo, se aclara que esta es la interpretación que por ahora la Agencia considera más razonable y que no desconoce la posibilidad de que el gobierno nacional, por vía reglamentaria, le otorgue un alcance diferente al enunciado normativo.</w:t>
      </w:r>
    </w:p>
    <w:p w14:paraId="3A18C43B" w14:textId="77777777" w:rsidR="008E6896" w:rsidRPr="00EA1DE2" w:rsidRDefault="008E6896" w:rsidP="008E6896">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Finalmente, 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02E0A79E" w14:textId="77777777" w:rsidR="00E622C5" w:rsidRPr="00EA1DE2" w:rsidRDefault="00E622C5" w:rsidP="00510DE9">
      <w:pPr>
        <w:tabs>
          <w:tab w:val="left" w:pos="0"/>
        </w:tabs>
        <w:jc w:val="both"/>
        <w:rPr>
          <w:rFonts w:ascii="Arial" w:eastAsia="Calibri" w:hAnsi="Arial" w:cs="Arial"/>
          <w:b/>
          <w:sz w:val="22"/>
          <w:lang w:val="es-ES_tradnl"/>
        </w:rPr>
      </w:pPr>
    </w:p>
    <w:p w14:paraId="37CA9805" w14:textId="35727433" w:rsidR="00DD5B04" w:rsidRPr="00EA1DE2" w:rsidRDefault="004177A6" w:rsidP="00510DE9">
      <w:pPr>
        <w:tabs>
          <w:tab w:val="left" w:pos="0"/>
        </w:tabs>
        <w:jc w:val="both"/>
        <w:rPr>
          <w:rFonts w:ascii="Arial" w:eastAsia="Calibri" w:hAnsi="Arial" w:cs="Arial"/>
          <w:b/>
          <w:sz w:val="22"/>
          <w:lang w:val="es-ES_tradnl"/>
        </w:rPr>
      </w:pPr>
      <w:r w:rsidRPr="00EA1DE2">
        <w:rPr>
          <w:rFonts w:ascii="Arial" w:eastAsia="Calibri" w:hAnsi="Arial" w:cs="Arial"/>
          <w:b/>
          <w:sz w:val="22"/>
          <w:lang w:val="es-ES_tradnl"/>
        </w:rPr>
        <w:t>3</w:t>
      </w:r>
      <w:r w:rsidR="00B011A9" w:rsidRPr="00EA1DE2">
        <w:rPr>
          <w:rFonts w:ascii="Arial" w:eastAsia="Calibri" w:hAnsi="Arial" w:cs="Arial"/>
          <w:b/>
          <w:sz w:val="22"/>
          <w:lang w:val="es-ES_tradnl"/>
        </w:rPr>
        <w:t xml:space="preserve">. </w:t>
      </w:r>
      <w:r w:rsidR="00DD5B04" w:rsidRPr="00EA1DE2">
        <w:rPr>
          <w:rFonts w:ascii="Arial" w:eastAsia="Calibri" w:hAnsi="Arial" w:cs="Arial"/>
          <w:b/>
          <w:sz w:val="22"/>
          <w:lang w:val="es-ES_tradnl"/>
        </w:rPr>
        <w:t>Respuesta</w:t>
      </w:r>
      <w:r w:rsidR="002A7D84" w:rsidRPr="00EA1DE2">
        <w:rPr>
          <w:rFonts w:ascii="Arial" w:eastAsia="Calibri" w:hAnsi="Arial" w:cs="Arial"/>
          <w:b/>
          <w:sz w:val="22"/>
          <w:lang w:val="es-ES_tradnl"/>
        </w:rPr>
        <w:t>s</w:t>
      </w:r>
    </w:p>
    <w:p w14:paraId="0B74D5B8" w14:textId="5C19C49A" w:rsidR="00C4581D" w:rsidRPr="00EA1DE2" w:rsidRDefault="00C4581D" w:rsidP="00DA2E27">
      <w:pPr>
        <w:tabs>
          <w:tab w:val="left" w:pos="0"/>
        </w:tabs>
        <w:jc w:val="both"/>
        <w:rPr>
          <w:rFonts w:ascii="Arial" w:eastAsia="Calibri" w:hAnsi="Arial" w:cs="Arial"/>
          <w:sz w:val="22"/>
          <w:lang w:val="es-ES_tradnl"/>
        </w:rPr>
      </w:pPr>
    </w:p>
    <w:p w14:paraId="4D1ED4BC" w14:textId="32D41381" w:rsidR="002325E4" w:rsidRPr="00EA1DE2" w:rsidRDefault="002325E4" w:rsidP="002325E4">
      <w:pPr>
        <w:pStyle w:val="Default"/>
        <w:ind w:left="709" w:right="709"/>
        <w:jc w:val="both"/>
        <w:rPr>
          <w:color w:val="auto"/>
          <w:sz w:val="21"/>
          <w:szCs w:val="21"/>
        </w:rPr>
      </w:pPr>
      <w:r w:rsidRPr="00EA1DE2">
        <w:rPr>
          <w:color w:val="auto"/>
          <w:sz w:val="21"/>
          <w:szCs w:val="21"/>
          <w:lang w:val="es-ES_tradnl"/>
        </w:rPr>
        <w:t xml:space="preserve">«[…] ¿si por el hecho de que una empresa cuente con una socia que maneja el 5% de las acciones de la compañía, y donde la socia es mujer cabeza de familia ya estaría cumpliendo con el requerimiento del numeral anterior? </w:t>
      </w:r>
      <w:proofErr w:type="gramStart"/>
      <w:r w:rsidRPr="00EA1DE2">
        <w:rPr>
          <w:color w:val="auto"/>
          <w:sz w:val="21"/>
          <w:szCs w:val="21"/>
          <w:lang w:val="es-ES_tradnl"/>
        </w:rPr>
        <w:t>O</w:t>
      </w:r>
      <w:proofErr w:type="gramEnd"/>
      <w:r w:rsidRPr="00EA1DE2">
        <w:rPr>
          <w:color w:val="auto"/>
          <w:sz w:val="21"/>
          <w:szCs w:val="21"/>
          <w:lang w:val="es-ES_tradnl"/>
        </w:rPr>
        <w:t xml:space="preserve"> por lo </w:t>
      </w:r>
      <w:r w:rsidRPr="00EA1DE2">
        <w:rPr>
          <w:color w:val="auto"/>
          <w:sz w:val="21"/>
          <w:szCs w:val="21"/>
          <w:lang w:val="es-ES_tradnl"/>
        </w:rPr>
        <w:lastRenderedPageBreak/>
        <w:t xml:space="preserve">contrario, ¿el socio de la empresa que acredite como “mujer cabeza de familia” para entrar en el factor de desempate, debe contar con el mayor porcentaje de socio de la empresa? </w:t>
      </w:r>
      <w:r w:rsidRPr="00EA1DE2">
        <w:rPr>
          <w:color w:val="auto"/>
          <w:sz w:val="21"/>
          <w:szCs w:val="21"/>
        </w:rPr>
        <w:t>[…]</w:t>
      </w:r>
      <w:r w:rsidRPr="00EA1DE2">
        <w:rPr>
          <w:color w:val="auto"/>
          <w:sz w:val="21"/>
          <w:szCs w:val="21"/>
          <w:lang w:val="es-ES_tradnl"/>
        </w:rPr>
        <w:t xml:space="preserve">» </w:t>
      </w:r>
    </w:p>
    <w:p w14:paraId="76CA9553" w14:textId="77777777" w:rsidR="0002173E" w:rsidRPr="00EA1DE2" w:rsidRDefault="0002173E" w:rsidP="0002173E">
      <w:pPr>
        <w:jc w:val="both"/>
        <w:rPr>
          <w:rFonts w:ascii="Arial" w:eastAsia="Calibri" w:hAnsi="Arial" w:cs="Arial"/>
          <w:sz w:val="22"/>
          <w:szCs w:val="22"/>
          <w:lang w:val="es-ES_tradnl"/>
        </w:rPr>
      </w:pPr>
    </w:p>
    <w:p w14:paraId="60FAE711" w14:textId="26CEEEE1" w:rsidR="00D91484" w:rsidRPr="00EA1DE2" w:rsidRDefault="00D91484" w:rsidP="00D91484">
      <w:pPr>
        <w:spacing w:after="120" w:line="276" w:lineRule="auto"/>
        <w:jc w:val="both"/>
        <w:rPr>
          <w:rFonts w:ascii="Arial" w:hAnsi="Arial" w:cs="Arial"/>
          <w:sz w:val="22"/>
          <w:szCs w:val="22"/>
          <w:lang w:val="es-ES_tradnl"/>
        </w:rPr>
      </w:pPr>
      <w:r w:rsidRPr="00EA1DE2">
        <w:rPr>
          <w:rFonts w:ascii="Arial" w:hAnsi="Arial" w:cs="Arial"/>
          <w:sz w:val="22"/>
          <w:szCs w:val="22"/>
          <w:lang w:val="es-ES_tradnl"/>
        </w:rPr>
        <w:t xml:space="preserve">El artículo 35, numeral 2, de la Ley 2069 de 2020 utiliza un concepto jurídico indeterminado, cuando se refiere a la </w:t>
      </w:r>
      <w:r w:rsidRPr="00EA1DE2">
        <w:rPr>
          <w:rFonts w:ascii="Arial" w:hAnsi="Arial" w:cs="Arial"/>
          <w:i/>
          <w:iCs/>
          <w:sz w:val="22"/>
          <w:szCs w:val="22"/>
          <w:lang w:val="es-ES_tradnl"/>
        </w:rPr>
        <w:t>participación mayoritaria</w:t>
      </w:r>
      <w:r w:rsidRPr="00EA1DE2">
        <w:rPr>
          <w:rFonts w:ascii="Arial" w:hAnsi="Arial" w:cs="Arial"/>
          <w:sz w:val="22"/>
          <w:szCs w:val="22"/>
          <w:lang w:val="es-ES_tradnl"/>
        </w:rPr>
        <w:t xml:space="preserve"> de las mujeres cabeza de familia o mujeres víctimas de la violencia intrafamiliar en la persona jurídica. El decreto reglamentario que se expida podría precisar con mayor claridad este requisito. A menos de indicarse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147F5D28" w14:textId="14E9854B" w:rsidR="00D91484" w:rsidRPr="00EA1DE2" w:rsidRDefault="00D91484" w:rsidP="00D91484">
      <w:pPr>
        <w:spacing w:line="276" w:lineRule="auto"/>
        <w:ind w:firstLine="708"/>
        <w:jc w:val="both"/>
        <w:rPr>
          <w:rFonts w:ascii="Arial" w:hAnsi="Arial" w:cs="Arial"/>
          <w:sz w:val="22"/>
          <w:szCs w:val="22"/>
          <w:lang w:val="es-ES_tradnl"/>
        </w:rPr>
      </w:pPr>
      <w:r w:rsidRPr="00EA1DE2">
        <w:rPr>
          <w:rFonts w:ascii="Arial" w:hAnsi="Arial" w:cs="Arial"/>
          <w:sz w:val="22"/>
          <w:szCs w:val="22"/>
          <w:lang w:val="es-ES_tradnl"/>
        </w:rPr>
        <w:t xml:space="preserve">En tal sentido, teniendo en cuenta que no hay definición legal expresa, el Diccionario de la Lengua Española dice que «participar» es «Tener parte en una sociedad o negocio o ser socio de ellos». Esta noción es acorde con el derecho societario, en el cual se indica que la participación recae en algunos casos en proporción a las acciones –en las sociedades por acciones– o de acuerdo </w:t>
      </w:r>
      <w:r w:rsidR="0091690B">
        <w:rPr>
          <w:rFonts w:ascii="Arial" w:hAnsi="Arial" w:cs="Arial"/>
          <w:sz w:val="22"/>
          <w:szCs w:val="22"/>
          <w:lang w:val="es-ES_tradnl"/>
        </w:rPr>
        <w:t>con</w:t>
      </w:r>
      <w:r w:rsidRPr="00EA1DE2">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 </w:t>
      </w:r>
    </w:p>
    <w:p w14:paraId="7525832C" w14:textId="67266BFD" w:rsidR="00D91484" w:rsidRPr="00EA1DE2" w:rsidRDefault="00D91484" w:rsidP="00D91484">
      <w:pPr>
        <w:spacing w:before="120" w:line="276" w:lineRule="auto"/>
        <w:ind w:firstLine="709"/>
        <w:jc w:val="both"/>
        <w:rPr>
          <w:rFonts w:ascii="Arial" w:hAnsi="Arial" w:cs="Arial"/>
          <w:sz w:val="22"/>
          <w:szCs w:val="22"/>
          <w:lang w:val="es-ES_tradnl"/>
        </w:rPr>
      </w:pPr>
      <w:r w:rsidRPr="00EA1DE2">
        <w:rPr>
          <w:rFonts w:ascii="Arial" w:hAnsi="Arial" w:cs="Arial"/>
          <w:sz w:val="22"/>
          <w:szCs w:val="22"/>
          <w:lang w:val="es-ES_tradnl"/>
        </w:rPr>
        <w:t xml:space="preserve">Por lo tanto, de conformidad con el artículo 35, numeral 2 de la Ley 2069 de 2020, si en un procedimiento de selección se presenta una persona jurídica en </w:t>
      </w:r>
      <w:r w:rsidR="00227252">
        <w:rPr>
          <w:rFonts w:ascii="Arial" w:hAnsi="Arial" w:cs="Arial"/>
          <w:sz w:val="22"/>
          <w:szCs w:val="22"/>
          <w:lang w:val="es-ES_tradnl"/>
        </w:rPr>
        <w:t>la</w:t>
      </w:r>
      <w:r w:rsidR="00227252" w:rsidRPr="00EA1DE2">
        <w:rPr>
          <w:rFonts w:ascii="Arial" w:hAnsi="Arial" w:cs="Arial"/>
          <w:sz w:val="22"/>
          <w:szCs w:val="22"/>
          <w:lang w:val="es-ES_tradnl"/>
        </w:rPr>
        <w:t xml:space="preserve"> </w:t>
      </w:r>
      <w:r w:rsidRPr="00EA1DE2">
        <w:rPr>
          <w:rFonts w:ascii="Arial" w:hAnsi="Arial" w:cs="Arial"/>
          <w:sz w:val="22"/>
          <w:szCs w:val="22"/>
          <w:lang w:val="es-ES_tradnl"/>
        </w:rPr>
        <w:t xml:space="preserve">que la participación mayoritaria </w:t>
      </w:r>
      <w:r w:rsidR="00227252" w:rsidRPr="00AD5142">
        <w:rPr>
          <w:rFonts w:ascii="Arial" w:hAnsi="Arial" w:cs="Arial"/>
          <w:sz w:val="22"/>
          <w:szCs w:val="22"/>
          <w:lang w:val="es-ES_tradnl"/>
        </w:rPr>
        <w:t>–o sea, mayor al 50%–</w:t>
      </w:r>
      <w:r w:rsidR="00227252">
        <w:rPr>
          <w:rFonts w:ascii="Arial" w:hAnsi="Arial" w:cs="Arial"/>
          <w:sz w:val="22"/>
          <w:szCs w:val="22"/>
          <w:lang w:val="es-ES_tradnl"/>
        </w:rPr>
        <w:t xml:space="preserve"> </w:t>
      </w:r>
      <w:r w:rsidRPr="00EA1DE2">
        <w:rPr>
          <w:rFonts w:ascii="Arial" w:hAnsi="Arial" w:cs="Arial"/>
          <w:sz w:val="22"/>
          <w:szCs w:val="22"/>
          <w:lang w:val="es-ES_tradnl"/>
        </w:rPr>
        <w:t xml:space="preserve">es de mujeres cabeza de familia o mujeres víctimas de la violencia intrafamiliar, se prefiere a este sobre los demás oferentes. Teniendo en cuenta que participar debe entenderse –a menos que el reglamento disponga lo contrario– como tomar parte en la sociedad, de acuerdo </w:t>
      </w:r>
      <w:r w:rsidR="00227252">
        <w:rPr>
          <w:rFonts w:ascii="Arial" w:hAnsi="Arial" w:cs="Arial"/>
          <w:sz w:val="22"/>
          <w:szCs w:val="22"/>
          <w:lang w:val="es-ES_tradnl"/>
        </w:rPr>
        <w:t>con el</w:t>
      </w:r>
      <w:r w:rsidR="00227252" w:rsidRPr="00EA1DE2">
        <w:rPr>
          <w:rFonts w:ascii="Arial" w:hAnsi="Arial" w:cs="Arial"/>
          <w:sz w:val="22"/>
          <w:szCs w:val="22"/>
          <w:lang w:val="es-ES_tradnl"/>
        </w:rPr>
        <w:t xml:space="preserve"> </w:t>
      </w:r>
      <w:r w:rsidRPr="00EA1DE2">
        <w:rPr>
          <w:rFonts w:ascii="Arial" w:hAnsi="Arial" w:cs="Arial"/>
          <w:sz w:val="22"/>
          <w:szCs w:val="22"/>
          <w:lang w:val="es-ES_tradnl"/>
        </w:rPr>
        <w:t>aporte en dinero o trabajo, esta Agencia considera que no basta con que una mujer cabeza de familia o víctima de la violencia intrafamiliar esté vinculada laboralmente o prestando un servicio, para asumir que está «participando»</w:t>
      </w:r>
      <w:r w:rsidR="00227252">
        <w:rPr>
          <w:rFonts w:ascii="Arial" w:hAnsi="Arial" w:cs="Arial"/>
          <w:sz w:val="22"/>
          <w:szCs w:val="22"/>
          <w:lang w:val="es-ES_tradnl"/>
        </w:rPr>
        <w:t xml:space="preserve">; </w:t>
      </w:r>
      <w:r w:rsidR="00227252">
        <w:rPr>
          <w:rFonts w:ascii="Arial" w:hAnsi="Arial" w:cs="Arial"/>
          <w:color w:val="000000" w:themeColor="text1"/>
          <w:sz w:val="22"/>
          <w:szCs w:val="22"/>
          <w:lang w:val="es-ES_tradnl"/>
        </w:rPr>
        <w:t>sino que la participación debe entenderse en términos de la composición accionaria o cuotas parte.</w:t>
      </w:r>
      <w:r w:rsidRPr="00EA1DE2">
        <w:rPr>
          <w:rFonts w:ascii="Arial" w:hAnsi="Arial" w:cs="Arial"/>
          <w:sz w:val="22"/>
          <w:szCs w:val="22"/>
          <w:lang w:val="es-ES_tradnl"/>
        </w:rPr>
        <w:t xml:space="preserve"> </w:t>
      </w:r>
    </w:p>
    <w:p w14:paraId="03A99A21" w14:textId="37E0A127" w:rsidR="00A5694C" w:rsidRPr="00EA1DE2" w:rsidRDefault="00A5694C" w:rsidP="00A5694C">
      <w:pPr>
        <w:spacing w:before="120" w:line="276" w:lineRule="auto"/>
        <w:jc w:val="both"/>
        <w:rPr>
          <w:rFonts w:ascii="Arial" w:hAnsi="Arial" w:cs="Arial"/>
          <w:sz w:val="22"/>
          <w:szCs w:val="22"/>
          <w:lang w:val="es-ES_tradnl"/>
        </w:rPr>
      </w:pPr>
      <w:r w:rsidRPr="00EA1DE2">
        <w:rPr>
          <w:rFonts w:ascii="Arial" w:hAnsi="Arial" w:cs="Arial"/>
          <w:sz w:val="22"/>
          <w:szCs w:val="22"/>
          <w:lang w:val="es-ES_tradnl"/>
        </w:rPr>
        <w:tab/>
      </w:r>
      <w:r w:rsidR="00CD709A" w:rsidRPr="00EA1DE2">
        <w:rPr>
          <w:rFonts w:ascii="Arial" w:hAnsi="Arial" w:cs="Arial"/>
          <w:sz w:val="22"/>
          <w:szCs w:val="22"/>
          <w:lang w:val="es-ES_tradnl"/>
        </w:rPr>
        <w:t>E</w:t>
      </w:r>
      <w:r w:rsidR="00D324D8" w:rsidRPr="00EA1DE2">
        <w:rPr>
          <w:rFonts w:ascii="Arial" w:hAnsi="Arial" w:cs="Arial"/>
          <w:sz w:val="22"/>
          <w:szCs w:val="22"/>
          <w:lang w:val="es-ES_tradnl"/>
        </w:rPr>
        <w:t>l carácter mayoritario de la participación</w:t>
      </w:r>
      <w:r w:rsidR="0091690B">
        <w:rPr>
          <w:rFonts w:ascii="Arial" w:hAnsi="Arial" w:cs="Arial"/>
          <w:sz w:val="22"/>
          <w:szCs w:val="22"/>
          <w:lang w:val="es-ES_tradnl"/>
        </w:rPr>
        <w:t>,</w:t>
      </w:r>
      <w:r w:rsidR="00D324D8" w:rsidRPr="00EA1DE2">
        <w:rPr>
          <w:rFonts w:ascii="Arial" w:hAnsi="Arial" w:cs="Arial"/>
          <w:sz w:val="22"/>
          <w:szCs w:val="22"/>
          <w:lang w:val="es-ES_tradnl"/>
        </w:rPr>
        <w:t xml:space="preserve"> al que hace referencia </w:t>
      </w:r>
      <w:r w:rsidR="007745D9" w:rsidRPr="00EA1DE2">
        <w:rPr>
          <w:rFonts w:ascii="Arial" w:hAnsi="Arial" w:cs="Arial"/>
          <w:sz w:val="22"/>
          <w:szCs w:val="22"/>
          <w:lang w:val="es-ES_tradnl"/>
        </w:rPr>
        <w:t>el numeral 2 del artículo 35 de la Ley 2069 de 2020</w:t>
      </w:r>
      <w:r w:rsidR="00944456" w:rsidRPr="00EA1DE2">
        <w:rPr>
          <w:rFonts w:ascii="Arial" w:hAnsi="Arial" w:cs="Arial"/>
          <w:sz w:val="22"/>
          <w:szCs w:val="22"/>
          <w:lang w:val="es-ES_tradnl"/>
        </w:rPr>
        <w:t xml:space="preserve">, </w:t>
      </w:r>
      <w:r w:rsidR="00CD709A" w:rsidRPr="00EA1DE2">
        <w:rPr>
          <w:rFonts w:ascii="Arial" w:hAnsi="Arial" w:cs="Arial"/>
          <w:sz w:val="22"/>
          <w:szCs w:val="22"/>
          <w:lang w:val="es-ES_tradnl"/>
        </w:rPr>
        <w:t>de conformidad</w:t>
      </w:r>
      <w:r w:rsidR="00944456" w:rsidRPr="00EA1DE2">
        <w:rPr>
          <w:rFonts w:ascii="Arial" w:hAnsi="Arial" w:cs="Arial"/>
          <w:sz w:val="22"/>
          <w:szCs w:val="22"/>
          <w:lang w:val="es-ES_tradnl"/>
        </w:rPr>
        <w:t xml:space="preserve"> </w:t>
      </w:r>
      <w:r w:rsidR="00CD709A" w:rsidRPr="00EA1DE2">
        <w:rPr>
          <w:rFonts w:ascii="Arial" w:hAnsi="Arial" w:cs="Arial"/>
          <w:sz w:val="22"/>
          <w:szCs w:val="22"/>
          <w:lang w:val="es-ES_tradnl"/>
        </w:rPr>
        <w:t>con e</w:t>
      </w:r>
      <w:r w:rsidR="00944456" w:rsidRPr="00EA1DE2">
        <w:rPr>
          <w:rFonts w:ascii="Arial" w:hAnsi="Arial" w:cs="Arial"/>
          <w:sz w:val="22"/>
          <w:szCs w:val="22"/>
          <w:lang w:val="es-ES_tradnl"/>
        </w:rPr>
        <w:t xml:space="preserve">l derecho societario, </w:t>
      </w:r>
      <w:r w:rsidR="00CD709A" w:rsidRPr="00EA1DE2">
        <w:rPr>
          <w:rFonts w:ascii="Arial" w:hAnsi="Arial" w:cs="Arial"/>
          <w:sz w:val="22"/>
          <w:szCs w:val="22"/>
          <w:lang w:val="es-ES_tradnl"/>
        </w:rPr>
        <w:t>está determinado por el hecho de que más del cincuenta por ciento (50%) de la participación</w:t>
      </w:r>
      <w:r w:rsidR="00944456" w:rsidRPr="00EA1DE2">
        <w:rPr>
          <w:rFonts w:ascii="Arial" w:hAnsi="Arial" w:cs="Arial"/>
          <w:sz w:val="22"/>
          <w:szCs w:val="22"/>
          <w:lang w:val="es-ES_tradnl"/>
        </w:rPr>
        <w:t xml:space="preserve"> </w:t>
      </w:r>
      <w:r w:rsidR="0091690B">
        <w:rPr>
          <w:rFonts w:ascii="Arial" w:hAnsi="Arial" w:cs="Arial"/>
          <w:sz w:val="22"/>
          <w:szCs w:val="22"/>
          <w:lang w:val="es-ES_tradnl"/>
        </w:rPr>
        <w:t xml:space="preserve">en la persona jurídica </w:t>
      </w:r>
      <w:r w:rsidR="006E7EF4" w:rsidRPr="00EA1DE2">
        <w:rPr>
          <w:rFonts w:ascii="Arial" w:hAnsi="Arial" w:cs="Arial"/>
          <w:sz w:val="22"/>
          <w:szCs w:val="22"/>
        </w:rPr>
        <w:t>–singular o conjuntamente–</w:t>
      </w:r>
      <w:r w:rsidR="0091690B">
        <w:rPr>
          <w:rFonts w:ascii="Arial" w:hAnsi="Arial" w:cs="Arial"/>
          <w:sz w:val="22"/>
          <w:szCs w:val="22"/>
        </w:rPr>
        <w:t xml:space="preserve"> sea </w:t>
      </w:r>
      <w:r w:rsidR="00530454" w:rsidRPr="00EA1DE2">
        <w:rPr>
          <w:rFonts w:ascii="Arial" w:hAnsi="Arial" w:cs="Arial"/>
          <w:sz w:val="22"/>
          <w:szCs w:val="22"/>
        </w:rPr>
        <w:t xml:space="preserve">de mujeres cabeza de familia o mujeres víctimas de violencia </w:t>
      </w:r>
      <w:r w:rsidR="006E7EF4" w:rsidRPr="00EA1DE2">
        <w:rPr>
          <w:rFonts w:ascii="Arial" w:hAnsi="Arial" w:cs="Arial"/>
          <w:sz w:val="22"/>
          <w:szCs w:val="22"/>
        </w:rPr>
        <w:t>intrafamiliar</w:t>
      </w:r>
      <w:r w:rsidR="00530454" w:rsidRPr="00EA1DE2">
        <w:rPr>
          <w:rFonts w:ascii="Arial" w:hAnsi="Arial" w:cs="Arial"/>
          <w:sz w:val="22"/>
          <w:szCs w:val="22"/>
        </w:rPr>
        <w:t>,</w:t>
      </w:r>
      <w:r w:rsidR="006E7EF4" w:rsidRPr="00EA1DE2">
        <w:rPr>
          <w:rFonts w:ascii="Arial" w:hAnsi="Arial" w:cs="Arial"/>
          <w:sz w:val="22"/>
          <w:szCs w:val="22"/>
        </w:rPr>
        <w:t xml:space="preserve"> porcentaje a partir del cual</w:t>
      </w:r>
      <w:r w:rsidR="00530454" w:rsidRPr="00EA1DE2">
        <w:rPr>
          <w:rFonts w:ascii="Arial" w:hAnsi="Arial" w:cs="Arial"/>
          <w:sz w:val="22"/>
          <w:szCs w:val="22"/>
        </w:rPr>
        <w:t xml:space="preserve"> </w:t>
      </w:r>
      <w:r w:rsidR="006E7EF4" w:rsidRPr="00EA1DE2">
        <w:rPr>
          <w:rFonts w:ascii="Arial" w:hAnsi="Arial" w:cs="Arial"/>
          <w:sz w:val="22"/>
          <w:szCs w:val="22"/>
        </w:rPr>
        <w:t xml:space="preserve">una participación es </w:t>
      </w:r>
      <w:r w:rsidR="00530454" w:rsidRPr="00EA1DE2">
        <w:rPr>
          <w:rFonts w:ascii="Arial" w:hAnsi="Arial" w:cs="Arial"/>
          <w:sz w:val="22"/>
          <w:szCs w:val="22"/>
        </w:rPr>
        <w:t>considerada como mayoritaria.</w:t>
      </w:r>
      <w:r w:rsidR="006D2E4A" w:rsidRPr="00EA1DE2">
        <w:rPr>
          <w:rFonts w:ascii="Arial" w:hAnsi="Arial" w:cs="Arial"/>
          <w:sz w:val="22"/>
          <w:szCs w:val="22"/>
        </w:rPr>
        <w:t xml:space="preserve"> En ese sentido, habrá lugar a la </w:t>
      </w:r>
      <w:r w:rsidR="00DC59F4" w:rsidRPr="00EA1DE2">
        <w:rPr>
          <w:rFonts w:ascii="Arial" w:hAnsi="Arial" w:cs="Arial"/>
          <w:sz w:val="22"/>
          <w:szCs w:val="22"/>
        </w:rPr>
        <w:t>aplicación</w:t>
      </w:r>
      <w:r w:rsidR="006D2E4A" w:rsidRPr="00EA1DE2">
        <w:rPr>
          <w:rFonts w:ascii="Arial" w:hAnsi="Arial" w:cs="Arial"/>
          <w:sz w:val="22"/>
          <w:szCs w:val="22"/>
        </w:rPr>
        <w:t xml:space="preserve"> de la regla de desempate</w:t>
      </w:r>
      <w:r w:rsidR="00DC59F4" w:rsidRPr="00EA1DE2">
        <w:rPr>
          <w:rFonts w:ascii="Arial" w:hAnsi="Arial" w:cs="Arial"/>
          <w:sz w:val="22"/>
          <w:szCs w:val="22"/>
        </w:rPr>
        <w:t>,</w:t>
      </w:r>
      <w:r w:rsidR="006D2E4A" w:rsidRPr="00EA1DE2">
        <w:rPr>
          <w:rFonts w:ascii="Arial" w:hAnsi="Arial" w:cs="Arial"/>
          <w:sz w:val="22"/>
          <w:szCs w:val="22"/>
        </w:rPr>
        <w:t xml:space="preserve"> </w:t>
      </w:r>
      <w:r w:rsidR="00D971D2" w:rsidRPr="00EA1DE2">
        <w:rPr>
          <w:rFonts w:ascii="Arial" w:hAnsi="Arial" w:cs="Arial"/>
          <w:sz w:val="22"/>
          <w:szCs w:val="22"/>
        </w:rPr>
        <w:t xml:space="preserve">en </w:t>
      </w:r>
      <w:r w:rsidR="00352AEA" w:rsidRPr="00EA1DE2">
        <w:rPr>
          <w:rFonts w:ascii="Arial" w:hAnsi="Arial" w:cs="Arial"/>
          <w:sz w:val="22"/>
          <w:szCs w:val="22"/>
        </w:rPr>
        <w:t>caso de que</w:t>
      </w:r>
      <w:r w:rsidR="001B154F" w:rsidRPr="00EA1DE2">
        <w:rPr>
          <w:rFonts w:ascii="Arial" w:hAnsi="Arial" w:cs="Arial"/>
          <w:sz w:val="22"/>
          <w:szCs w:val="22"/>
        </w:rPr>
        <w:t>:</w:t>
      </w:r>
      <w:r w:rsidR="00352AEA" w:rsidRPr="00EA1DE2">
        <w:rPr>
          <w:rFonts w:ascii="Arial" w:hAnsi="Arial" w:cs="Arial"/>
          <w:sz w:val="22"/>
          <w:szCs w:val="22"/>
        </w:rPr>
        <w:t xml:space="preserve"> </w:t>
      </w:r>
      <w:r w:rsidR="001B154F" w:rsidRPr="00EA1DE2">
        <w:rPr>
          <w:rFonts w:ascii="Arial" w:hAnsi="Arial" w:cs="Arial"/>
          <w:sz w:val="22"/>
          <w:szCs w:val="22"/>
        </w:rPr>
        <w:t xml:space="preserve">i) </w:t>
      </w:r>
      <w:r w:rsidR="00352AEA" w:rsidRPr="00EA1DE2">
        <w:rPr>
          <w:rFonts w:ascii="Arial" w:hAnsi="Arial" w:cs="Arial"/>
          <w:sz w:val="22"/>
          <w:szCs w:val="22"/>
        </w:rPr>
        <w:t xml:space="preserve">una persona jurídica acredite que una mujer cabeza de familia o víctima de violencia </w:t>
      </w:r>
      <w:r w:rsidR="006E41E6" w:rsidRPr="00EA1DE2">
        <w:rPr>
          <w:rFonts w:ascii="Arial" w:hAnsi="Arial" w:cs="Arial"/>
          <w:sz w:val="22"/>
          <w:szCs w:val="22"/>
        </w:rPr>
        <w:t>intrafamiliar</w:t>
      </w:r>
      <w:r w:rsidR="00D971D2" w:rsidRPr="00EA1DE2">
        <w:rPr>
          <w:rFonts w:ascii="Arial" w:hAnsi="Arial" w:cs="Arial"/>
          <w:sz w:val="22"/>
          <w:szCs w:val="22"/>
        </w:rPr>
        <w:t xml:space="preserve"> tiene una participación superior al porcentaje indicado</w:t>
      </w:r>
      <w:r w:rsidR="0091690B">
        <w:rPr>
          <w:rFonts w:ascii="Arial" w:hAnsi="Arial" w:cs="Arial"/>
          <w:sz w:val="22"/>
          <w:szCs w:val="22"/>
        </w:rPr>
        <w:t xml:space="preserve"> </w:t>
      </w:r>
      <w:r w:rsidR="001B154F" w:rsidRPr="00EA1DE2">
        <w:rPr>
          <w:rFonts w:ascii="Arial" w:hAnsi="Arial" w:cs="Arial"/>
          <w:sz w:val="22"/>
          <w:szCs w:val="22"/>
        </w:rPr>
        <w:t>–es decir tiene la condición de socia mayoritaria–</w:t>
      </w:r>
      <w:r w:rsidR="00D971D2" w:rsidRPr="00EA1DE2">
        <w:rPr>
          <w:rFonts w:ascii="Arial" w:hAnsi="Arial" w:cs="Arial"/>
          <w:sz w:val="22"/>
          <w:szCs w:val="22"/>
        </w:rPr>
        <w:t>, o</w:t>
      </w:r>
      <w:r w:rsidR="00DC59F4" w:rsidRPr="00EA1DE2">
        <w:rPr>
          <w:rFonts w:ascii="Arial" w:hAnsi="Arial" w:cs="Arial"/>
          <w:sz w:val="22"/>
          <w:szCs w:val="22"/>
        </w:rPr>
        <w:t xml:space="preserve"> </w:t>
      </w:r>
      <w:proofErr w:type="spellStart"/>
      <w:r w:rsidR="001B154F" w:rsidRPr="00EA1DE2">
        <w:rPr>
          <w:rFonts w:ascii="Arial" w:hAnsi="Arial" w:cs="Arial"/>
          <w:sz w:val="22"/>
          <w:szCs w:val="22"/>
        </w:rPr>
        <w:t>ii</w:t>
      </w:r>
      <w:proofErr w:type="spellEnd"/>
      <w:r w:rsidR="001B154F" w:rsidRPr="00EA1DE2">
        <w:rPr>
          <w:rFonts w:ascii="Arial" w:hAnsi="Arial" w:cs="Arial"/>
          <w:sz w:val="22"/>
          <w:szCs w:val="22"/>
        </w:rPr>
        <w:t xml:space="preserve">) </w:t>
      </w:r>
      <w:r w:rsidR="00DC59F4" w:rsidRPr="00EA1DE2">
        <w:rPr>
          <w:rFonts w:ascii="Arial" w:hAnsi="Arial" w:cs="Arial"/>
          <w:sz w:val="22"/>
          <w:szCs w:val="22"/>
        </w:rPr>
        <w:t xml:space="preserve">si la </w:t>
      </w:r>
      <w:r w:rsidR="006E41E6" w:rsidRPr="00EA1DE2">
        <w:rPr>
          <w:rFonts w:ascii="Arial" w:hAnsi="Arial" w:cs="Arial"/>
          <w:sz w:val="22"/>
          <w:szCs w:val="22"/>
        </w:rPr>
        <w:t>participaci</w:t>
      </w:r>
      <w:r w:rsidR="0091690B">
        <w:rPr>
          <w:rFonts w:ascii="Arial" w:hAnsi="Arial" w:cs="Arial"/>
          <w:sz w:val="22"/>
          <w:szCs w:val="22"/>
        </w:rPr>
        <w:t>ón</w:t>
      </w:r>
      <w:r w:rsidR="006E41E6" w:rsidRPr="00EA1DE2">
        <w:rPr>
          <w:rFonts w:ascii="Arial" w:hAnsi="Arial" w:cs="Arial"/>
          <w:sz w:val="22"/>
          <w:szCs w:val="22"/>
        </w:rPr>
        <w:t xml:space="preserve"> de diferentes mujeres cabeza de familia o </w:t>
      </w:r>
      <w:r w:rsidR="001B154F" w:rsidRPr="00EA1DE2">
        <w:rPr>
          <w:rFonts w:ascii="Arial" w:hAnsi="Arial" w:cs="Arial"/>
          <w:sz w:val="22"/>
          <w:szCs w:val="22"/>
        </w:rPr>
        <w:t>víctimas</w:t>
      </w:r>
      <w:r w:rsidR="006E41E6" w:rsidRPr="00EA1DE2">
        <w:rPr>
          <w:rFonts w:ascii="Arial" w:hAnsi="Arial" w:cs="Arial"/>
          <w:sz w:val="22"/>
          <w:szCs w:val="22"/>
        </w:rPr>
        <w:t xml:space="preserve"> de violencia intra</w:t>
      </w:r>
      <w:r w:rsidR="006E7EF4" w:rsidRPr="00EA1DE2">
        <w:rPr>
          <w:rFonts w:ascii="Arial" w:hAnsi="Arial" w:cs="Arial"/>
          <w:sz w:val="22"/>
          <w:szCs w:val="22"/>
        </w:rPr>
        <w:t>fa</w:t>
      </w:r>
      <w:r w:rsidR="006E41E6" w:rsidRPr="00EA1DE2">
        <w:rPr>
          <w:rFonts w:ascii="Arial" w:hAnsi="Arial" w:cs="Arial"/>
          <w:sz w:val="22"/>
          <w:szCs w:val="22"/>
        </w:rPr>
        <w:t>miliar</w:t>
      </w:r>
      <w:r w:rsidR="001B154F" w:rsidRPr="00EA1DE2">
        <w:rPr>
          <w:rFonts w:ascii="Arial" w:hAnsi="Arial" w:cs="Arial"/>
          <w:sz w:val="22"/>
          <w:szCs w:val="22"/>
        </w:rPr>
        <w:t xml:space="preserve"> suman entre s</w:t>
      </w:r>
      <w:r w:rsidR="006E7EF4" w:rsidRPr="00EA1DE2">
        <w:rPr>
          <w:rFonts w:ascii="Arial" w:hAnsi="Arial" w:cs="Arial"/>
          <w:sz w:val="22"/>
          <w:szCs w:val="22"/>
        </w:rPr>
        <w:t>í</w:t>
      </w:r>
      <w:r w:rsidR="001B154F" w:rsidRPr="00EA1DE2">
        <w:rPr>
          <w:rFonts w:ascii="Arial" w:hAnsi="Arial" w:cs="Arial"/>
          <w:sz w:val="22"/>
          <w:szCs w:val="22"/>
        </w:rPr>
        <w:t xml:space="preserve"> un porcentaje </w:t>
      </w:r>
      <w:r w:rsidR="00B45563" w:rsidRPr="00EA1DE2">
        <w:rPr>
          <w:rFonts w:ascii="Arial" w:hAnsi="Arial" w:cs="Arial"/>
          <w:sz w:val="22"/>
          <w:szCs w:val="22"/>
        </w:rPr>
        <w:t>equivalente al de un</w:t>
      </w:r>
      <w:r w:rsidR="006E7EF4" w:rsidRPr="00EA1DE2">
        <w:rPr>
          <w:rFonts w:ascii="Arial" w:hAnsi="Arial" w:cs="Arial"/>
          <w:sz w:val="22"/>
          <w:szCs w:val="22"/>
        </w:rPr>
        <w:t>a</w:t>
      </w:r>
      <w:r w:rsidR="00B45563" w:rsidRPr="00EA1DE2">
        <w:rPr>
          <w:rFonts w:ascii="Arial" w:hAnsi="Arial" w:cs="Arial"/>
          <w:sz w:val="22"/>
          <w:szCs w:val="22"/>
        </w:rPr>
        <w:t xml:space="preserve"> participación mayoritaria. </w:t>
      </w:r>
      <w:r w:rsidR="00DB5ECC">
        <w:rPr>
          <w:rFonts w:ascii="Arial" w:hAnsi="Arial" w:cs="Arial"/>
          <w:sz w:val="22"/>
          <w:szCs w:val="22"/>
        </w:rPr>
        <w:t xml:space="preserve">Esto indica que </w:t>
      </w:r>
      <w:r w:rsidR="00181C99">
        <w:rPr>
          <w:rFonts w:ascii="Arial" w:hAnsi="Arial" w:cs="Arial"/>
          <w:sz w:val="22"/>
          <w:szCs w:val="22"/>
        </w:rPr>
        <w:t xml:space="preserve">la </w:t>
      </w:r>
      <w:r w:rsidR="00DB5ECC">
        <w:rPr>
          <w:rFonts w:ascii="Arial" w:hAnsi="Arial" w:cs="Arial"/>
          <w:sz w:val="22"/>
          <w:szCs w:val="22"/>
        </w:rPr>
        <w:t xml:space="preserve">participación </w:t>
      </w:r>
      <w:r w:rsidR="00D74DAE">
        <w:rPr>
          <w:rFonts w:ascii="Arial" w:hAnsi="Arial" w:cs="Arial"/>
          <w:sz w:val="22"/>
          <w:szCs w:val="22"/>
        </w:rPr>
        <w:lastRenderedPageBreak/>
        <w:t xml:space="preserve">del cinco por ciento (5%) </w:t>
      </w:r>
      <w:r w:rsidR="00356B3D">
        <w:rPr>
          <w:rFonts w:ascii="Arial" w:hAnsi="Arial" w:cs="Arial"/>
          <w:sz w:val="22"/>
          <w:szCs w:val="22"/>
        </w:rPr>
        <w:t>de una mujer cabeza de familia</w:t>
      </w:r>
      <w:r w:rsidR="00181C99">
        <w:rPr>
          <w:rFonts w:ascii="Arial" w:hAnsi="Arial" w:cs="Arial"/>
          <w:sz w:val="22"/>
          <w:szCs w:val="22"/>
        </w:rPr>
        <w:t>, individualmente considerada,</w:t>
      </w:r>
      <w:r w:rsidR="00356B3D">
        <w:rPr>
          <w:rFonts w:ascii="Arial" w:hAnsi="Arial" w:cs="Arial"/>
          <w:sz w:val="22"/>
          <w:szCs w:val="22"/>
        </w:rPr>
        <w:t xml:space="preserve"> </w:t>
      </w:r>
      <w:r w:rsidR="00D74DAE">
        <w:rPr>
          <w:rFonts w:ascii="Arial" w:hAnsi="Arial" w:cs="Arial"/>
          <w:sz w:val="22"/>
          <w:szCs w:val="22"/>
        </w:rPr>
        <w:t>no puede ser entendida como una participación mayoritaria</w:t>
      </w:r>
      <w:r w:rsidR="004D7E3D">
        <w:rPr>
          <w:rFonts w:ascii="Arial" w:hAnsi="Arial" w:cs="Arial"/>
          <w:sz w:val="22"/>
          <w:szCs w:val="22"/>
        </w:rPr>
        <w:t xml:space="preserve"> en dicha sociedad</w:t>
      </w:r>
      <w:r w:rsidR="007B591E">
        <w:rPr>
          <w:rFonts w:ascii="Arial" w:hAnsi="Arial" w:cs="Arial"/>
          <w:sz w:val="22"/>
          <w:szCs w:val="22"/>
        </w:rPr>
        <w:t xml:space="preserve">, </w:t>
      </w:r>
      <w:r w:rsidR="004D7E3D">
        <w:rPr>
          <w:rFonts w:ascii="Arial" w:hAnsi="Arial" w:cs="Arial"/>
          <w:sz w:val="22"/>
          <w:szCs w:val="22"/>
        </w:rPr>
        <w:t xml:space="preserve">a efectos </w:t>
      </w:r>
      <w:r w:rsidR="00227252">
        <w:rPr>
          <w:rFonts w:ascii="Arial" w:hAnsi="Arial" w:cs="Arial"/>
          <w:sz w:val="22"/>
          <w:szCs w:val="22"/>
        </w:rPr>
        <w:t xml:space="preserve">de </w:t>
      </w:r>
      <w:r w:rsidR="004D7E3D">
        <w:rPr>
          <w:rFonts w:ascii="Arial" w:hAnsi="Arial" w:cs="Arial"/>
          <w:sz w:val="22"/>
          <w:szCs w:val="22"/>
        </w:rPr>
        <w:t>aplicar el numeral 2 del artículo 35 de la Ley 2069 de 2020</w:t>
      </w:r>
      <w:r w:rsidR="007B591E">
        <w:rPr>
          <w:rFonts w:ascii="Arial" w:hAnsi="Arial" w:cs="Arial"/>
          <w:sz w:val="22"/>
          <w:szCs w:val="22"/>
        </w:rPr>
        <w:t>.</w:t>
      </w:r>
    </w:p>
    <w:p w14:paraId="6DD3A91B" w14:textId="77777777" w:rsidR="00D30BDF" w:rsidRPr="00EA1DE2" w:rsidRDefault="00D30BDF" w:rsidP="007B59D8">
      <w:pPr>
        <w:spacing w:after="120"/>
        <w:jc w:val="both"/>
        <w:rPr>
          <w:rFonts w:ascii="Arial" w:hAnsi="Arial" w:cs="Arial"/>
          <w:sz w:val="22"/>
          <w:szCs w:val="22"/>
          <w:lang w:val="es-ES_tradnl"/>
        </w:rPr>
      </w:pPr>
    </w:p>
    <w:p w14:paraId="7B2C921D" w14:textId="3C90A82C" w:rsidR="00DD5B04" w:rsidRPr="00EA1DE2" w:rsidRDefault="00DD5B04" w:rsidP="00DF76A2">
      <w:pPr>
        <w:spacing w:line="276" w:lineRule="auto"/>
        <w:jc w:val="both"/>
        <w:rPr>
          <w:rFonts w:ascii="Arial" w:hAnsi="Arial" w:cs="Arial"/>
          <w:sz w:val="22"/>
          <w:lang w:val="es-ES_tradnl"/>
        </w:rPr>
      </w:pPr>
      <w:r w:rsidRPr="00EA1DE2">
        <w:rPr>
          <w:rFonts w:ascii="Arial" w:hAnsi="Arial" w:cs="Arial"/>
          <w:sz w:val="22"/>
          <w:lang w:val="es-ES_tradnl"/>
        </w:rPr>
        <w:t>Este concepto tiene el alcance previsto en el artículo 28 del Código de Procedimiento Administrativo y de lo Contencioso Administrativo.</w:t>
      </w:r>
    </w:p>
    <w:p w14:paraId="77EE5912" w14:textId="2A63F107" w:rsidR="00DD5B04" w:rsidRPr="00EA1DE2" w:rsidRDefault="00DD5B04" w:rsidP="00A17983">
      <w:pPr>
        <w:pStyle w:val="NormalWeb"/>
        <w:spacing w:before="0" w:beforeAutospacing="0" w:after="0" w:afterAutospacing="0" w:line="276" w:lineRule="auto"/>
        <w:jc w:val="center"/>
        <w:rPr>
          <w:rFonts w:ascii="Arial" w:hAnsi="Arial" w:cs="Arial"/>
          <w:sz w:val="22"/>
          <w:szCs w:val="22"/>
          <w:lang w:val="es-ES_tradnl"/>
        </w:rPr>
      </w:pPr>
    </w:p>
    <w:p w14:paraId="0DDBEF2B" w14:textId="3B0E6B2D" w:rsidR="00DD5B04" w:rsidRPr="00EA1DE2"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EA1DE2">
        <w:rPr>
          <w:rFonts w:ascii="Arial" w:hAnsi="Arial" w:cs="Arial"/>
          <w:sz w:val="22"/>
          <w:szCs w:val="22"/>
          <w:lang w:val="es-ES_tradnl"/>
        </w:rPr>
        <w:t>Atentamente,</w:t>
      </w:r>
    </w:p>
    <w:p w14:paraId="692FC307" w14:textId="19230B4E" w:rsidR="00921304" w:rsidRPr="00EA1DE2" w:rsidRDefault="00921304" w:rsidP="00DF76A2">
      <w:pPr>
        <w:pStyle w:val="NormalWeb"/>
        <w:spacing w:before="0" w:beforeAutospacing="0" w:after="0" w:afterAutospacing="0" w:line="276" w:lineRule="auto"/>
        <w:jc w:val="both"/>
        <w:rPr>
          <w:rFonts w:ascii="Arial" w:hAnsi="Arial" w:cs="Arial"/>
          <w:sz w:val="22"/>
          <w:szCs w:val="22"/>
          <w:lang w:val="es-ES_tradnl"/>
        </w:rPr>
      </w:pPr>
    </w:p>
    <w:p w14:paraId="30AA3DC7" w14:textId="50EC15BE" w:rsidR="00921304" w:rsidRPr="00EA1DE2" w:rsidRDefault="00921304" w:rsidP="00F90C4D">
      <w:pPr>
        <w:pStyle w:val="NormalWeb"/>
        <w:spacing w:before="0" w:beforeAutospacing="0" w:after="0" w:afterAutospacing="0" w:line="276" w:lineRule="auto"/>
        <w:jc w:val="center"/>
        <w:rPr>
          <w:rFonts w:ascii="Arial" w:hAnsi="Arial" w:cs="Arial"/>
          <w:sz w:val="22"/>
          <w:szCs w:val="22"/>
          <w:lang w:val="es-ES_tradnl"/>
        </w:rPr>
      </w:pPr>
    </w:p>
    <w:p w14:paraId="5CBAE239" w14:textId="4BBD3D8C" w:rsidR="00425C43" w:rsidRPr="00EA1DE2" w:rsidRDefault="00425C43" w:rsidP="00B37657">
      <w:pPr>
        <w:jc w:val="center"/>
        <w:rPr>
          <w:rFonts w:ascii="Arial" w:hAnsi="Arial" w:cs="Arial"/>
          <w:sz w:val="18"/>
          <w:szCs w:val="20"/>
          <w:lang w:val="es-ES_tradnl" w:eastAsia="es-CO"/>
        </w:rPr>
      </w:pPr>
    </w:p>
    <w:p w14:paraId="5A41D02A" w14:textId="07CB741D" w:rsidR="0067216B" w:rsidRPr="00EA1DE2" w:rsidRDefault="00A17983" w:rsidP="00B37657">
      <w:pPr>
        <w:jc w:val="center"/>
        <w:rPr>
          <w:rFonts w:ascii="Arial" w:hAnsi="Arial" w:cs="Arial"/>
          <w:sz w:val="18"/>
          <w:szCs w:val="20"/>
          <w:lang w:val="es-ES_tradnl" w:eastAsia="es-CO"/>
        </w:rPr>
      </w:pPr>
      <w:r>
        <w:rPr>
          <w:noProof/>
        </w:rPr>
        <w:drawing>
          <wp:inline distT="0" distB="0" distL="0" distR="0" wp14:anchorId="233222D3" wp14:editId="556ECB86">
            <wp:extent cx="2514600" cy="1114425"/>
            <wp:effectExtent l="0" t="0" r="0" b="9525"/>
            <wp:docPr id="1" name="Imagen 1" descr="C:\Users\Andres\Desktop\CCE\Orginal firmado J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Andres\Desktop\CCE\Orginal firmado JANT.jpg"/>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21A58202" w14:textId="77777777" w:rsidR="0054131C" w:rsidRPr="00EA1DE2" w:rsidRDefault="0054131C" w:rsidP="000F21BA">
      <w:pPr>
        <w:jc w:val="both"/>
        <w:rPr>
          <w:rFonts w:ascii="Arial" w:hAnsi="Arial" w:cs="Arial"/>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A1DE2" w:rsidRPr="00EA1DE2" w14:paraId="0068129F" w14:textId="77777777" w:rsidTr="002B1CCD">
        <w:trPr>
          <w:trHeight w:val="315"/>
        </w:trPr>
        <w:tc>
          <w:tcPr>
            <w:tcW w:w="812" w:type="dxa"/>
            <w:vAlign w:val="center"/>
            <w:hideMark/>
          </w:tcPr>
          <w:p w14:paraId="6FEBF8C7" w14:textId="77777777" w:rsidR="00E92E97" w:rsidRPr="00EA1DE2" w:rsidRDefault="00E92E97" w:rsidP="002B1CCD">
            <w:pPr>
              <w:jc w:val="both"/>
              <w:rPr>
                <w:rFonts w:ascii="Arial" w:hAnsi="Arial" w:cs="Arial"/>
                <w:sz w:val="16"/>
                <w:szCs w:val="16"/>
                <w:lang w:val="es-ES_tradnl" w:eastAsia="es-ES"/>
              </w:rPr>
            </w:pPr>
            <w:bookmarkStart w:id="10" w:name="_Hlk65676225"/>
            <w:r w:rsidRPr="00EA1DE2">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AB3DA89" w14:textId="77777777" w:rsidR="00E92E97" w:rsidRPr="00EA1DE2" w:rsidRDefault="00E92E97" w:rsidP="002B1CCD">
            <w:pPr>
              <w:jc w:val="both"/>
              <w:rPr>
                <w:rFonts w:ascii="Arial" w:hAnsi="Arial" w:cs="Arial"/>
                <w:sz w:val="16"/>
                <w:szCs w:val="16"/>
                <w:lang w:val="es-ES_tradnl" w:eastAsia="es-ES"/>
              </w:rPr>
            </w:pPr>
            <w:r w:rsidRPr="00EA1DE2">
              <w:rPr>
                <w:rFonts w:ascii="Arial" w:hAnsi="Arial" w:cs="Arial"/>
                <w:sz w:val="16"/>
                <w:szCs w:val="16"/>
                <w:lang w:val="es-ES_tradnl" w:eastAsia="es-ES"/>
              </w:rPr>
              <w:t>Alejandro Sarmiento Cantillo</w:t>
            </w:r>
          </w:p>
          <w:p w14:paraId="70D39781" w14:textId="77777777" w:rsidR="00E92E97" w:rsidRPr="00EA1DE2" w:rsidRDefault="00E92E97" w:rsidP="002B1CCD">
            <w:pPr>
              <w:jc w:val="both"/>
              <w:rPr>
                <w:rFonts w:ascii="Arial" w:hAnsi="Arial" w:cs="Arial"/>
                <w:sz w:val="16"/>
                <w:szCs w:val="16"/>
                <w:lang w:val="es-ES_tradnl" w:eastAsia="es-ES"/>
              </w:rPr>
            </w:pPr>
            <w:r w:rsidRPr="00EA1DE2">
              <w:rPr>
                <w:rFonts w:ascii="Arial" w:hAnsi="Arial" w:cs="Arial"/>
                <w:sz w:val="16"/>
                <w:szCs w:val="16"/>
                <w:lang w:val="es-ES_tradnl" w:eastAsia="es-ES"/>
              </w:rPr>
              <w:t>Gestor T1-11 de la Subdirección de Gestión Contractual</w:t>
            </w:r>
          </w:p>
        </w:tc>
      </w:tr>
      <w:tr w:rsidR="00EA1DE2" w:rsidRPr="00EA1DE2" w14:paraId="5F304B36" w14:textId="77777777" w:rsidTr="002B1CCD">
        <w:trPr>
          <w:trHeight w:val="330"/>
        </w:trPr>
        <w:tc>
          <w:tcPr>
            <w:tcW w:w="812" w:type="dxa"/>
            <w:vAlign w:val="center"/>
            <w:hideMark/>
          </w:tcPr>
          <w:p w14:paraId="339F20D3" w14:textId="77777777" w:rsidR="00E92E97" w:rsidRPr="00EA1DE2" w:rsidRDefault="00E92E97" w:rsidP="002B1CCD">
            <w:pPr>
              <w:jc w:val="both"/>
              <w:rPr>
                <w:rFonts w:ascii="Arial" w:hAnsi="Arial" w:cs="Arial"/>
                <w:sz w:val="16"/>
                <w:szCs w:val="16"/>
                <w:lang w:val="es-ES_tradnl" w:eastAsia="es-ES"/>
              </w:rPr>
            </w:pPr>
            <w:r w:rsidRPr="00EA1DE2">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BB07EE" w14:textId="4709C9AE" w:rsidR="00E92E97" w:rsidRPr="00EA1DE2" w:rsidRDefault="006E7EF4" w:rsidP="002B1CCD">
            <w:pPr>
              <w:jc w:val="both"/>
              <w:rPr>
                <w:rFonts w:ascii="Arial" w:hAnsi="Arial" w:cs="Arial"/>
                <w:sz w:val="16"/>
                <w:szCs w:val="16"/>
                <w:lang w:val="es-ES_tradnl" w:eastAsia="es-ES"/>
              </w:rPr>
            </w:pPr>
            <w:r w:rsidRPr="00EA1DE2">
              <w:rPr>
                <w:rFonts w:ascii="Arial" w:hAnsi="Arial" w:cs="Arial"/>
                <w:sz w:val="16"/>
                <w:szCs w:val="16"/>
                <w:lang w:val="es-ES_tradnl" w:eastAsia="es-ES"/>
              </w:rPr>
              <w:t>Sebastián Ramírez Grisales</w:t>
            </w:r>
          </w:p>
          <w:p w14:paraId="742C3669" w14:textId="77777777" w:rsidR="00E92E97" w:rsidRPr="00EA1DE2" w:rsidRDefault="00E92E97" w:rsidP="002B1CCD">
            <w:pPr>
              <w:jc w:val="both"/>
              <w:rPr>
                <w:rFonts w:ascii="Arial" w:hAnsi="Arial" w:cs="Arial"/>
                <w:sz w:val="16"/>
                <w:szCs w:val="16"/>
                <w:lang w:val="es-ES_tradnl" w:eastAsia="es-ES"/>
              </w:rPr>
            </w:pPr>
            <w:r w:rsidRPr="00EA1DE2">
              <w:rPr>
                <w:rFonts w:ascii="Arial" w:hAnsi="Arial" w:cs="Arial"/>
                <w:sz w:val="16"/>
                <w:szCs w:val="16"/>
                <w:lang w:val="es-ES_tradnl" w:eastAsia="es-ES"/>
              </w:rPr>
              <w:t>Gestor T1-15 de la Subdirección de Gestión Contractual</w:t>
            </w:r>
          </w:p>
        </w:tc>
      </w:tr>
      <w:tr w:rsidR="00E92E97" w:rsidRPr="00EA1DE2" w14:paraId="632A4006" w14:textId="77777777" w:rsidTr="002B1CCD">
        <w:trPr>
          <w:trHeight w:val="300"/>
        </w:trPr>
        <w:tc>
          <w:tcPr>
            <w:tcW w:w="812" w:type="dxa"/>
            <w:vAlign w:val="center"/>
            <w:hideMark/>
          </w:tcPr>
          <w:p w14:paraId="5AC23434" w14:textId="77777777" w:rsidR="00E92E97" w:rsidRPr="00EA1DE2" w:rsidRDefault="00E92E97" w:rsidP="002B1CCD">
            <w:pPr>
              <w:jc w:val="both"/>
              <w:rPr>
                <w:rFonts w:ascii="Arial" w:hAnsi="Arial" w:cs="Arial"/>
                <w:sz w:val="16"/>
                <w:szCs w:val="16"/>
                <w:lang w:val="es-ES_tradnl" w:eastAsia="es-ES"/>
              </w:rPr>
            </w:pPr>
            <w:r w:rsidRPr="00EA1DE2">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5983B5" w14:textId="77777777" w:rsidR="00E92E97" w:rsidRPr="00EA1DE2" w:rsidRDefault="00E92E97" w:rsidP="002B1CCD">
            <w:pPr>
              <w:jc w:val="both"/>
              <w:rPr>
                <w:rFonts w:ascii="Arial" w:hAnsi="Arial" w:cs="Arial"/>
                <w:sz w:val="16"/>
                <w:szCs w:val="16"/>
                <w:lang w:val="es-ES_tradnl" w:eastAsia="es-ES"/>
              </w:rPr>
            </w:pPr>
            <w:r w:rsidRPr="00EA1DE2">
              <w:rPr>
                <w:rFonts w:ascii="Arial" w:hAnsi="Arial" w:cs="Arial"/>
                <w:sz w:val="16"/>
                <w:szCs w:val="16"/>
                <w:lang w:val="es-ES_tradnl" w:eastAsia="es-ES"/>
              </w:rPr>
              <w:t>Jorge Augusto Tirado Navarro</w:t>
            </w:r>
          </w:p>
          <w:p w14:paraId="701EA845" w14:textId="77777777" w:rsidR="00E92E97" w:rsidRPr="00EA1DE2" w:rsidRDefault="00E92E97" w:rsidP="002B1CCD">
            <w:pPr>
              <w:jc w:val="both"/>
              <w:rPr>
                <w:rFonts w:ascii="Arial" w:hAnsi="Arial" w:cs="Arial"/>
                <w:sz w:val="16"/>
                <w:szCs w:val="16"/>
                <w:lang w:val="es-ES_tradnl" w:eastAsia="es-ES"/>
              </w:rPr>
            </w:pPr>
            <w:r w:rsidRPr="00EA1DE2">
              <w:rPr>
                <w:rFonts w:ascii="Arial" w:hAnsi="Arial" w:cs="Arial"/>
                <w:sz w:val="16"/>
                <w:szCs w:val="16"/>
                <w:lang w:val="es-ES_tradnl" w:eastAsia="es-ES"/>
              </w:rPr>
              <w:t>Subdirector de Gestión Contractual ANCP – CCE</w:t>
            </w:r>
          </w:p>
        </w:tc>
      </w:tr>
      <w:bookmarkEnd w:id="2"/>
      <w:bookmarkEnd w:id="10"/>
    </w:tbl>
    <w:p w14:paraId="6305C88F" w14:textId="77777777" w:rsidR="00E92E97" w:rsidRPr="00EA1DE2" w:rsidRDefault="00E92E97" w:rsidP="000F21BA">
      <w:pPr>
        <w:jc w:val="both"/>
        <w:rPr>
          <w:rFonts w:ascii="Arial" w:hAnsi="Arial" w:cs="Arial"/>
          <w:lang w:val="es-ES_tradnl"/>
        </w:rPr>
      </w:pPr>
    </w:p>
    <w:sectPr w:rsidR="00E92E97" w:rsidRPr="00EA1DE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B3ADA" w14:textId="77777777" w:rsidR="00E02D3E" w:rsidRDefault="00E02D3E">
      <w:r>
        <w:separator/>
      </w:r>
    </w:p>
  </w:endnote>
  <w:endnote w:type="continuationSeparator" w:id="0">
    <w:p w14:paraId="46678FB7" w14:textId="77777777" w:rsidR="00E02D3E" w:rsidRDefault="00E02D3E">
      <w:r>
        <w:continuationSeparator/>
      </w:r>
    </w:p>
  </w:endnote>
  <w:endnote w:type="continuationNotice" w:id="1">
    <w:p w14:paraId="5E320548" w14:textId="77777777" w:rsidR="00E02D3E" w:rsidRDefault="00E02D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740F4" w14:textId="77777777" w:rsidR="00E02D3E" w:rsidRDefault="00E02D3E">
      <w:r>
        <w:separator/>
      </w:r>
    </w:p>
  </w:footnote>
  <w:footnote w:type="continuationSeparator" w:id="0">
    <w:p w14:paraId="7D50B4A5" w14:textId="77777777" w:rsidR="00E02D3E" w:rsidRDefault="00E02D3E">
      <w:r>
        <w:continuationSeparator/>
      </w:r>
    </w:p>
  </w:footnote>
  <w:footnote w:type="continuationNotice" w:id="1">
    <w:p w14:paraId="5459DD92" w14:textId="77777777" w:rsidR="00E02D3E" w:rsidRDefault="00E02D3E"/>
  </w:footnote>
  <w:footnote w:id="2">
    <w:p w14:paraId="302A0F22"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Consejo de Estado. Sección Tercera. Sentencia del 29 de octubre de 2.015. Consejera Ponente: Stella Conto Díaz Del Castillo. Expediente: 31.918.</w:t>
      </w:r>
    </w:p>
    <w:p w14:paraId="589347D1" w14:textId="77777777" w:rsidR="00EE4F92" w:rsidRPr="00427BDA" w:rsidRDefault="00EE4F92" w:rsidP="00EE4F92">
      <w:pPr>
        <w:pStyle w:val="Textonotapie"/>
        <w:ind w:firstLine="709"/>
        <w:jc w:val="both"/>
        <w:rPr>
          <w:rFonts w:ascii="Arial" w:hAnsi="Arial" w:cs="Arial"/>
          <w:sz w:val="19"/>
          <w:szCs w:val="19"/>
          <w:lang w:val="es-ES"/>
        </w:rPr>
      </w:pPr>
    </w:p>
  </w:footnote>
  <w:footnote w:id="3">
    <w:p w14:paraId="25370D2C"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Corte Constitucional. Sentencia T-684A del 14 de septiembre de 2011. Magistrado Ponente: Mauricio González Cuervo.</w:t>
      </w:r>
    </w:p>
    <w:p w14:paraId="4C010835" w14:textId="77777777" w:rsidR="00EE4F92" w:rsidRPr="00427BDA" w:rsidRDefault="00EE4F92" w:rsidP="00EE4F92">
      <w:pPr>
        <w:pStyle w:val="Textonotapie"/>
        <w:ind w:firstLine="709"/>
        <w:jc w:val="both"/>
        <w:rPr>
          <w:rFonts w:ascii="Arial" w:hAnsi="Arial" w:cs="Arial"/>
          <w:sz w:val="19"/>
          <w:szCs w:val="19"/>
          <w:lang w:val="es-ES"/>
        </w:rPr>
      </w:pPr>
    </w:p>
  </w:footnote>
  <w:footnote w:id="4">
    <w:p w14:paraId="5EA4AE12"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6EB6DA0E" w14:textId="77777777" w:rsidR="00EE4F92" w:rsidRPr="00427BDA" w:rsidRDefault="00EE4F92" w:rsidP="00EE4F92">
      <w:pPr>
        <w:pStyle w:val="Textonotapie"/>
        <w:ind w:firstLine="709"/>
        <w:jc w:val="both"/>
        <w:rPr>
          <w:rFonts w:ascii="Arial" w:hAnsi="Arial" w:cs="Arial"/>
          <w:sz w:val="19"/>
          <w:szCs w:val="19"/>
          <w:lang w:val="es-CO"/>
        </w:rPr>
      </w:pPr>
    </w:p>
  </w:footnote>
  <w:footnote w:id="5">
    <w:p w14:paraId="77D82C0A"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2 al 29.</w:t>
      </w:r>
    </w:p>
    <w:p w14:paraId="3B1E7DA2" w14:textId="77777777" w:rsidR="00EE4F92" w:rsidRPr="00427BDA" w:rsidRDefault="00EE4F92" w:rsidP="00EE4F92">
      <w:pPr>
        <w:pStyle w:val="Textonotapie"/>
        <w:ind w:firstLine="709"/>
        <w:jc w:val="both"/>
        <w:rPr>
          <w:rFonts w:ascii="Arial" w:hAnsi="Arial" w:cs="Arial"/>
          <w:sz w:val="19"/>
          <w:szCs w:val="19"/>
          <w:lang w:val="es-ES"/>
        </w:rPr>
      </w:pPr>
    </w:p>
  </w:footnote>
  <w:footnote w:id="6">
    <w:p w14:paraId="1BC68F63"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30 al 36.</w:t>
      </w:r>
    </w:p>
    <w:p w14:paraId="2B779325" w14:textId="77777777" w:rsidR="00EE4F92" w:rsidRPr="00427BDA" w:rsidRDefault="00EE4F92" w:rsidP="00EE4F92">
      <w:pPr>
        <w:pStyle w:val="Textonotapie"/>
        <w:ind w:firstLine="709"/>
        <w:jc w:val="both"/>
        <w:rPr>
          <w:rFonts w:ascii="Arial" w:hAnsi="Arial" w:cs="Arial"/>
          <w:sz w:val="19"/>
          <w:szCs w:val="19"/>
          <w:lang w:val="es-ES"/>
        </w:rPr>
      </w:pPr>
    </w:p>
  </w:footnote>
  <w:footnote w:id="7">
    <w:p w14:paraId="2554C58A"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37 al 45.</w:t>
      </w:r>
    </w:p>
    <w:p w14:paraId="402B0378" w14:textId="77777777" w:rsidR="00EE4F92" w:rsidRPr="00427BDA" w:rsidRDefault="00EE4F92" w:rsidP="00EE4F92">
      <w:pPr>
        <w:pStyle w:val="Textonotapie"/>
        <w:ind w:firstLine="709"/>
        <w:jc w:val="both"/>
        <w:rPr>
          <w:rFonts w:ascii="Arial" w:hAnsi="Arial" w:cs="Arial"/>
          <w:sz w:val="19"/>
          <w:szCs w:val="19"/>
          <w:lang w:val="es-ES"/>
        </w:rPr>
      </w:pPr>
    </w:p>
  </w:footnote>
  <w:footnote w:id="8">
    <w:p w14:paraId="4D30DF3F"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46 al 73.</w:t>
      </w:r>
    </w:p>
    <w:p w14:paraId="66F146C1" w14:textId="77777777" w:rsidR="00EE4F92" w:rsidRPr="00427BDA" w:rsidRDefault="00EE4F92" w:rsidP="00EE4F92">
      <w:pPr>
        <w:pStyle w:val="Textonotapie"/>
        <w:ind w:firstLine="709"/>
        <w:jc w:val="both"/>
        <w:rPr>
          <w:rFonts w:ascii="Arial" w:hAnsi="Arial" w:cs="Arial"/>
          <w:sz w:val="19"/>
          <w:szCs w:val="19"/>
          <w:lang w:val="es-ES"/>
        </w:rPr>
      </w:pPr>
    </w:p>
  </w:footnote>
  <w:footnote w:id="9">
    <w:p w14:paraId="51345645"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74 al 83.</w:t>
      </w:r>
    </w:p>
    <w:p w14:paraId="5FDE6E14" w14:textId="77777777" w:rsidR="00EE4F92" w:rsidRPr="00427BDA" w:rsidRDefault="00EE4F92" w:rsidP="00EE4F92">
      <w:pPr>
        <w:pStyle w:val="Textonotapie"/>
        <w:ind w:firstLine="709"/>
        <w:jc w:val="both"/>
        <w:rPr>
          <w:rFonts w:ascii="Arial" w:hAnsi="Arial" w:cs="Arial"/>
          <w:sz w:val="19"/>
          <w:szCs w:val="19"/>
          <w:lang w:val="es-ES"/>
        </w:rPr>
      </w:pPr>
    </w:p>
  </w:footnote>
  <w:footnote w:id="10">
    <w:p w14:paraId="50EDE9E9" w14:textId="77777777" w:rsidR="00E63BC3" w:rsidRPr="00DA2E27" w:rsidRDefault="00E63BC3"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52337971"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1BC6D02D"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»1. Preferir la oferta de bienes o servicios nacionales frente a la oferta de bienes o servicios extranjeros.</w:t>
      </w:r>
    </w:p>
    <w:p w14:paraId="352D05F2"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»2. Preferir las ofertas presentada por una Mipyme nacional.</w:t>
      </w:r>
    </w:p>
    <w:p w14:paraId="1B49E637"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7D118286"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23C957E0" w14:textId="77777777" w:rsidR="00E63BC3" w:rsidRPr="00DA2E27" w:rsidRDefault="00E63BC3" w:rsidP="00AE4C37">
      <w:pPr>
        <w:pStyle w:val="Textonotapie"/>
        <w:ind w:firstLine="709"/>
        <w:jc w:val="both"/>
        <w:rPr>
          <w:rFonts w:ascii="Arial" w:hAnsi="Arial" w:cs="Arial"/>
          <w:sz w:val="19"/>
          <w:szCs w:val="19"/>
          <w:lang w:val="es-CO"/>
        </w:rPr>
      </w:pPr>
      <w:r w:rsidRPr="00DA2E27">
        <w:rPr>
          <w:rFonts w:ascii="Arial" w:hAnsi="Arial" w:cs="Arial"/>
          <w:sz w:val="19"/>
          <w:szCs w:val="19"/>
          <w:lang w:val="es-ES"/>
        </w:rPr>
        <w:t>»5. Utilizar un método aleatorio para seleccionar el oferente, método que deberá haber sido previsto en los pliegos de condiciones del Proceso de Contratación».</w:t>
      </w:r>
    </w:p>
  </w:footnote>
  <w:footnote w:id="11">
    <w:p w14:paraId="260D678A" w14:textId="1CD5D6B9" w:rsidR="00974CBD" w:rsidRPr="00DA2E27" w:rsidRDefault="00974CBD"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0015623B" w:rsidRPr="00DA2E27">
        <w:rPr>
          <w:rFonts w:ascii="Arial" w:hAnsi="Arial" w:cs="Arial"/>
          <w:sz w:val="19"/>
          <w:szCs w:val="19"/>
          <w:lang w:val="es-ES"/>
        </w:rPr>
        <w:t>Sentencia T-003 de 2018. Magistrada Ponente: Cristina Pardo Schlesinger.</w:t>
      </w:r>
    </w:p>
    <w:p w14:paraId="529B3D57" w14:textId="77777777" w:rsidR="00F62227" w:rsidRPr="00DA2E27" w:rsidRDefault="00F62227" w:rsidP="00AE4C37">
      <w:pPr>
        <w:pStyle w:val="Textonotapie"/>
        <w:ind w:firstLine="709"/>
        <w:jc w:val="both"/>
        <w:rPr>
          <w:rFonts w:ascii="Arial" w:hAnsi="Arial" w:cs="Arial"/>
          <w:sz w:val="19"/>
          <w:szCs w:val="19"/>
          <w:lang w:val="es-CO"/>
        </w:rPr>
      </w:pPr>
    </w:p>
  </w:footnote>
  <w:footnote w:id="12">
    <w:p w14:paraId="3C693AC2" w14:textId="48BDDA13" w:rsidR="002F40E2" w:rsidRPr="00DA2E27" w:rsidRDefault="002F40E2"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00F62227" w:rsidRPr="00DA2E27">
        <w:rPr>
          <w:rFonts w:ascii="Arial" w:hAnsi="Arial" w:cs="Arial"/>
          <w:sz w:val="19"/>
          <w:szCs w:val="19"/>
          <w:lang w:val="es-ES"/>
        </w:rPr>
        <w:t>Sentencia T-967 de 2014. Magistrada Ponente: Gloria Stella Ortiz Delgado.</w:t>
      </w:r>
    </w:p>
    <w:p w14:paraId="3663EC63" w14:textId="77777777" w:rsidR="008E2BE6" w:rsidRPr="00DA2E27" w:rsidRDefault="008E2BE6" w:rsidP="00AE4C37">
      <w:pPr>
        <w:pStyle w:val="Textonotapie"/>
        <w:ind w:firstLine="709"/>
        <w:jc w:val="both"/>
        <w:rPr>
          <w:rFonts w:ascii="Arial" w:hAnsi="Arial" w:cs="Arial"/>
          <w:sz w:val="19"/>
          <w:szCs w:val="19"/>
          <w:lang w:val="es-CO"/>
        </w:rPr>
      </w:pPr>
    </w:p>
  </w:footnote>
  <w:footnote w:id="13">
    <w:p w14:paraId="6210057F" w14:textId="5D225F08" w:rsidR="0093360C" w:rsidRPr="00DA2E27" w:rsidRDefault="0093360C" w:rsidP="00AE4C37">
      <w:pPr>
        <w:pStyle w:val="Textonotapie"/>
        <w:ind w:firstLine="709"/>
        <w:jc w:val="both"/>
        <w:rPr>
          <w:rFonts w:ascii="Arial" w:hAnsi="Arial" w:cs="Arial"/>
          <w:sz w:val="19"/>
          <w:szCs w:val="19"/>
          <w:lang w:val="es-CO"/>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 xml:space="preserve">Así lo admitió el Departamento Administrativo de la Función Pública en Concepto con radicado No. 20206000017881, del 22 de enero de 2020. Disponible en: </w:t>
      </w:r>
      <w:hyperlink r:id="rId1" w:history="1">
        <w:r w:rsidRPr="00301B25">
          <w:rPr>
            <w:rStyle w:val="Hipervnculo"/>
            <w:rFonts w:ascii="Arial" w:hAnsi="Arial" w:cs="Arial"/>
            <w:sz w:val="19"/>
            <w:szCs w:val="19"/>
            <w:lang w:val="es-ES"/>
          </w:rPr>
          <w:t>https://www.funcionpublica.gov.co/eva/gestornormativo/norma.php?i=115437</w:t>
        </w:r>
      </w:hyperlink>
    </w:p>
  </w:footnote>
  <w:footnote w:id="14">
    <w:p w14:paraId="1BB84D39" w14:textId="47370854" w:rsidR="008A41F8" w:rsidRDefault="008A41F8" w:rsidP="00AE4C37">
      <w:pPr>
        <w:pStyle w:val="Textonotapie"/>
        <w:ind w:firstLine="709"/>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Diccionario de la Lengua Española. En: https://dle.rae.es/participar</w:t>
      </w:r>
    </w:p>
    <w:p w14:paraId="2547495F" w14:textId="77777777" w:rsidR="00EB6E49" w:rsidRPr="00DA2E27" w:rsidRDefault="00EB6E49" w:rsidP="00AE4C37">
      <w:pPr>
        <w:pStyle w:val="Textonotapie"/>
        <w:ind w:firstLine="709"/>
        <w:rPr>
          <w:rFonts w:ascii="Arial" w:hAnsi="Arial" w:cs="Arial"/>
          <w:sz w:val="19"/>
          <w:szCs w:val="19"/>
          <w:lang w:val="es-ES"/>
        </w:rPr>
      </w:pPr>
    </w:p>
  </w:footnote>
  <w:footnote w:id="15">
    <w:p w14:paraId="12511545" w14:textId="77777777" w:rsidR="008A0753" w:rsidRDefault="008A0753" w:rsidP="008A0753">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VELÁSQUEZ RESTREPO, Carlos Alberto. Orden societario. 4ª ed. Medellín: Señal Editora, 2014. p. </w:t>
      </w:r>
      <w:r w:rsidRPr="00AD5142">
        <w:rPr>
          <w:rFonts w:ascii="Arial" w:hAnsi="Arial" w:cs="Arial"/>
          <w:sz w:val="19"/>
          <w:szCs w:val="19"/>
          <w:lang w:val="es-ES"/>
        </w:rPr>
        <w:t>674</w:t>
      </w:r>
      <w:r>
        <w:rPr>
          <w:rFonts w:ascii="Arial" w:hAnsi="Arial" w:cs="Arial"/>
          <w:sz w:val="19"/>
          <w:szCs w:val="19"/>
          <w:lang w:val="es-ES"/>
        </w:rPr>
        <w:t>.</w:t>
      </w:r>
    </w:p>
    <w:p w14:paraId="4BA9B85B" w14:textId="77777777" w:rsidR="008A0753" w:rsidRPr="00AD5142" w:rsidRDefault="008A0753" w:rsidP="008A0753">
      <w:pPr>
        <w:pStyle w:val="Textonotapie"/>
        <w:ind w:firstLine="709"/>
        <w:jc w:val="both"/>
        <w:rPr>
          <w:rFonts w:ascii="Arial" w:hAnsi="Arial" w:cs="Arial"/>
          <w:sz w:val="19"/>
          <w:szCs w:val="19"/>
          <w:lang w:val="es-ES"/>
        </w:rPr>
      </w:pPr>
    </w:p>
  </w:footnote>
  <w:footnote w:id="16">
    <w:p w14:paraId="49124F0E" w14:textId="77777777" w:rsidR="008A0753" w:rsidRPr="00AD5142" w:rsidRDefault="008A0753" w:rsidP="008A0753">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Los dos primeros incisos del artículo 6 de la Ley 1150 de 2007, modificado por el artículo 221 del Decreto 19 de 2012, disponen que: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E6F9750" w14:textId="77777777" w:rsidR="008A0753" w:rsidRPr="00AD5142" w:rsidRDefault="008A0753" w:rsidP="008A0753">
      <w:pPr>
        <w:pStyle w:val="Textonotapie"/>
        <w:ind w:firstLine="709"/>
        <w:jc w:val="both"/>
        <w:rPr>
          <w:rFonts w:ascii="Arial" w:hAnsi="Arial" w:cs="Arial"/>
          <w:sz w:val="19"/>
          <w:szCs w:val="19"/>
          <w:lang w:val="es-CO"/>
        </w:rPr>
      </w:pPr>
      <w:r w:rsidRPr="00AD5142">
        <w:rPr>
          <w:rFonts w:ascii="Arial" w:hAnsi="Arial" w:cs="Arial"/>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7">
    <w:p w14:paraId="7A0CBFFC" w14:textId="77777777" w:rsidR="008A0753" w:rsidRPr="00AD5142" w:rsidRDefault="008A0753" w:rsidP="008A0753">
      <w:pPr>
        <w:pStyle w:val="Textonotapie"/>
        <w:ind w:firstLine="709"/>
        <w:jc w:val="both"/>
        <w:rPr>
          <w:rFonts w:ascii="Arial" w:hAnsi="Arial" w:cs="Arial"/>
          <w:sz w:val="19"/>
          <w:szCs w:val="19"/>
          <w:lang w:val="es-ES"/>
        </w:rPr>
      </w:pPr>
      <w:r w:rsidRPr="00AD5142">
        <w:rPr>
          <w:rStyle w:val="Refdenotaalpie"/>
          <w:rFonts w:ascii="Arial" w:hAnsi="Arial" w:cs="Arial"/>
          <w:sz w:val="19"/>
          <w:szCs w:val="19"/>
        </w:rPr>
        <w:footnoteRef/>
      </w:r>
      <w:r w:rsidRPr="00AD5142">
        <w:rPr>
          <w:rFonts w:ascii="Arial" w:hAnsi="Arial" w:cs="Arial"/>
          <w:sz w:val="19"/>
          <w:szCs w:val="19"/>
        </w:rPr>
        <w:t xml:space="preserve"> </w:t>
      </w:r>
      <w:r w:rsidRPr="00AD5142">
        <w:rPr>
          <w:rFonts w:ascii="Arial" w:hAnsi="Arial" w:cs="Arial"/>
          <w:sz w:val="19"/>
          <w:szCs w:val="19"/>
          <w:lang w:val="es-ES"/>
        </w:rPr>
        <w:t>VELÁSQUEZ, Op.cit., p. 673.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07796457">
    <w:abstractNumId w:val="9"/>
  </w:num>
  <w:num w:numId="2" w16cid:durableId="1897929964">
    <w:abstractNumId w:val="7"/>
  </w:num>
  <w:num w:numId="3" w16cid:durableId="1189490686">
    <w:abstractNumId w:val="12"/>
  </w:num>
  <w:num w:numId="4" w16cid:durableId="299963790">
    <w:abstractNumId w:val="15"/>
  </w:num>
  <w:num w:numId="5" w16cid:durableId="1528564970">
    <w:abstractNumId w:val="19"/>
  </w:num>
  <w:num w:numId="6" w16cid:durableId="31746098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4261276">
    <w:abstractNumId w:val="17"/>
  </w:num>
  <w:num w:numId="8" w16cid:durableId="696737270">
    <w:abstractNumId w:val="0"/>
  </w:num>
  <w:num w:numId="9" w16cid:durableId="1533499612">
    <w:abstractNumId w:val="3"/>
  </w:num>
  <w:num w:numId="10" w16cid:durableId="2828078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804534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0352153">
    <w:abstractNumId w:val="8"/>
  </w:num>
  <w:num w:numId="13" w16cid:durableId="1012489493">
    <w:abstractNumId w:val="11"/>
  </w:num>
  <w:num w:numId="14" w16cid:durableId="1937670102">
    <w:abstractNumId w:val="6"/>
  </w:num>
  <w:num w:numId="15" w16cid:durableId="1160389811">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671648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604968">
    <w:abstractNumId w:val="21"/>
  </w:num>
  <w:num w:numId="18" w16cid:durableId="890307021">
    <w:abstractNumId w:val="13"/>
  </w:num>
  <w:num w:numId="19" w16cid:durableId="1125854107">
    <w:abstractNumId w:val="2"/>
  </w:num>
  <w:num w:numId="20" w16cid:durableId="1137920232">
    <w:abstractNumId w:val="22"/>
  </w:num>
  <w:num w:numId="21" w16cid:durableId="1644844502">
    <w:abstractNumId w:val="14"/>
  </w:num>
  <w:num w:numId="22" w16cid:durableId="1940260882">
    <w:abstractNumId w:val="5"/>
  </w:num>
  <w:num w:numId="23" w16cid:durableId="452285956">
    <w:abstractNumId w:val="4"/>
  </w:num>
  <w:num w:numId="24" w16cid:durableId="336202143">
    <w:abstractNumId w:val="20"/>
  </w:num>
  <w:num w:numId="25" w16cid:durableId="10516578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5F02"/>
    <w:rsid w:val="0000600A"/>
    <w:rsid w:val="00006081"/>
    <w:rsid w:val="00007750"/>
    <w:rsid w:val="000077FD"/>
    <w:rsid w:val="00007E37"/>
    <w:rsid w:val="00010C40"/>
    <w:rsid w:val="000112B4"/>
    <w:rsid w:val="000116B0"/>
    <w:rsid w:val="00011DCC"/>
    <w:rsid w:val="00012532"/>
    <w:rsid w:val="00012B9E"/>
    <w:rsid w:val="00012F37"/>
    <w:rsid w:val="00012FBA"/>
    <w:rsid w:val="00013C6B"/>
    <w:rsid w:val="0001406B"/>
    <w:rsid w:val="000143F8"/>
    <w:rsid w:val="00014624"/>
    <w:rsid w:val="00015B44"/>
    <w:rsid w:val="00016081"/>
    <w:rsid w:val="00016432"/>
    <w:rsid w:val="000165AC"/>
    <w:rsid w:val="00016651"/>
    <w:rsid w:val="000171A2"/>
    <w:rsid w:val="00017B65"/>
    <w:rsid w:val="00020158"/>
    <w:rsid w:val="000207E0"/>
    <w:rsid w:val="000209E2"/>
    <w:rsid w:val="00020F8F"/>
    <w:rsid w:val="0002173E"/>
    <w:rsid w:val="00021A95"/>
    <w:rsid w:val="00021C8A"/>
    <w:rsid w:val="0002256F"/>
    <w:rsid w:val="00023DAE"/>
    <w:rsid w:val="00024293"/>
    <w:rsid w:val="00024896"/>
    <w:rsid w:val="000255FA"/>
    <w:rsid w:val="00025D0A"/>
    <w:rsid w:val="000263A1"/>
    <w:rsid w:val="000263F0"/>
    <w:rsid w:val="00026407"/>
    <w:rsid w:val="00026608"/>
    <w:rsid w:val="00027787"/>
    <w:rsid w:val="000278D2"/>
    <w:rsid w:val="00030DFB"/>
    <w:rsid w:val="00031364"/>
    <w:rsid w:val="000315E1"/>
    <w:rsid w:val="00031682"/>
    <w:rsid w:val="0003236E"/>
    <w:rsid w:val="0003339A"/>
    <w:rsid w:val="000341F2"/>
    <w:rsid w:val="00035046"/>
    <w:rsid w:val="000351F2"/>
    <w:rsid w:val="0003571A"/>
    <w:rsid w:val="00035768"/>
    <w:rsid w:val="00036E03"/>
    <w:rsid w:val="0004031A"/>
    <w:rsid w:val="000406DB"/>
    <w:rsid w:val="0004094D"/>
    <w:rsid w:val="00041029"/>
    <w:rsid w:val="00041102"/>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600D"/>
    <w:rsid w:val="000463B5"/>
    <w:rsid w:val="00046717"/>
    <w:rsid w:val="00046A63"/>
    <w:rsid w:val="00046C09"/>
    <w:rsid w:val="00047157"/>
    <w:rsid w:val="0004716A"/>
    <w:rsid w:val="00047385"/>
    <w:rsid w:val="000473E8"/>
    <w:rsid w:val="000504DE"/>
    <w:rsid w:val="00051074"/>
    <w:rsid w:val="00052411"/>
    <w:rsid w:val="000526F0"/>
    <w:rsid w:val="0005273D"/>
    <w:rsid w:val="00052B79"/>
    <w:rsid w:val="00052E4B"/>
    <w:rsid w:val="00052EA0"/>
    <w:rsid w:val="000536A7"/>
    <w:rsid w:val="000536E3"/>
    <w:rsid w:val="00053896"/>
    <w:rsid w:val="00053A00"/>
    <w:rsid w:val="00054243"/>
    <w:rsid w:val="0005474D"/>
    <w:rsid w:val="00055CB9"/>
    <w:rsid w:val="00056810"/>
    <w:rsid w:val="00056F66"/>
    <w:rsid w:val="0005702F"/>
    <w:rsid w:val="00061010"/>
    <w:rsid w:val="00061D06"/>
    <w:rsid w:val="00062CDD"/>
    <w:rsid w:val="00062DB3"/>
    <w:rsid w:val="00063472"/>
    <w:rsid w:val="00063BB6"/>
    <w:rsid w:val="000640AF"/>
    <w:rsid w:val="00064940"/>
    <w:rsid w:val="00064CAE"/>
    <w:rsid w:val="00064DB7"/>
    <w:rsid w:val="00064FA7"/>
    <w:rsid w:val="00065195"/>
    <w:rsid w:val="0006536C"/>
    <w:rsid w:val="0006626E"/>
    <w:rsid w:val="000703DE"/>
    <w:rsid w:val="00070AF1"/>
    <w:rsid w:val="000714DE"/>
    <w:rsid w:val="0007160A"/>
    <w:rsid w:val="0007254F"/>
    <w:rsid w:val="0007357C"/>
    <w:rsid w:val="00073C30"/>
    <w:rsid w:val="00074305"/>
    <w:rsid w:val="000744D0"/>
    <w:rsid w:val="0007496A"/>
    <w:rsid w:val="00074B2A"/>
    <w:rsid w:val="00074EEE"/>
    <w:rsid w:val="000753D5"/>
    <w:rsid w:val="000756A8"/>
    <w:rsid w:val="00075B3E"/>
    <w:rsid w:val="00076456"/>
    <w:rsid w:val="0007779B"/>
    <w:rsid w:val="000777E7"/>
    <w:rsid w:val="0007790A"/>
    <w:rsid w:val="000779F2"/>
    <w:rsid w:val="0008017B"/>
    <w:rsid w:val="00080ACD"/>
    <w:rsid w:val="000811ED"/>
    <w:rsid w:val="00081D62"/>
    <w:rsid w:val="00082B74"/>
    <w:rsid w:val="00083099"/>
    <w:rsid w:val="00083EDC"/>
    <w:rsid w:val="000844D0"/>
    <w:rsid w:val="00084B97"/>
    <w:rsid w:val="0008510E"/>
    <w:rsid w:val="000856DE"/>
    <w:rsid w:val="00085F17"/>
    <w:rsid w:val="00085FB0"/>
    <w:rsid w:val="00085FB3"/>
    <w:rsid w:val="0008686B"/>
    <w:rsid w:val="00086B2A"/>
    <w:rsid w:val="00086ED2"/>
    <w:rsid w:val="00087619"/>
    <w:rsid w:val="00087A64"/>
    <w:rsid w:val="0009082C"/>
    <w:rsid w:val="00090C39"/>
    <w:rsid w:val="000914D6"/>
    <w:rsid w:val="00091569"/>
    <w:rsid w:val="00092CDB"/>
    <w:rsid w:val="00092DCA"/>
    <w:rsid w:val="00093851"/>
    <w:rsid w:val="000942EB"/>
    <w:rsid w:val="00095B70"/>
    <w:rsid w:val="0009617E"/>
    <w:rsid w:val="0009628D"/>
    <w:rsid w:val="0009670F"/>
    <w:rsid w:val="00096BC6"/>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0A4"/>
    <w:rsid w:val="000B5781"/>
    <w:rsid w:val="000B5CB1"/>
    <w:rsid w:val="000B75F4"/>
    <w:rsid w:val="000C0185"/>
    <w:rsid w:val="000C0F81"/>
    <w:rsid w:val="000C128D"/>
    <w:rsid w:val="000C17A3"/>
    <w:rsid w:val="000C1D4B"/>
    <w:rsid w:val="000C2922"/>
    <w:rsid w:val="000C2DC4"/>
    <w:rsid w:val="000C3260"/>
    <w:rsid w:val="000C3B77"/>
    <w:rsid w:val="000C3F6D"/>
    <w:rsid w:val="000C3FB5"/>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4C0"/>
    <w:rsid w:val="000D3FDC"/>
    <w:rsid w:val="000D490B"/>
    <w:rsid w:val="000D4E38"/>
    <w:rsid w:val="000D50DB"/>
    <w:rsid w:val="000D5557"/>
    <w:rsid w:val="000D6288"/>
    <w:rsid w:val="000D728B"/>
    <w:rsid w:val="000D7541"/>
    <w:rsid w:val="000D75E1"/>
    <w:rsid w:val="000E028E"/>
    <w:rsid w:val="000E22CF"/>
    <w:rsid w:val="000E2977"/>
    <w:rsid w:val="000E2CC0"/>
    <w:rsid w:val="000E2DEA"/>
    <w:rsid w:val="000E30AC"/>
    <w:rsid w:val="000E3B46"/>
    <w:rsid w:val="000E3E11"/>
    <w:rsid w:val="000E3F7B"/>
    <w:rsid w:val="000E4596"/>
    <w:rsid w:val="000E4B94"/>
    <w:rsid w:val="000E4D50"/>
    <w:rsid w:val="000E5768"/>
    <w:rsid w:val="000E5843"/>
    <w:rsid w:val="000E6139"/>
    <w:rsid w:val="000E63B7"/>
    <w:rsid w:val="000E653C"/>
    <w:rsid w:val="000E6BE1"/>
    <w:rsid w:val="000E7E0B"/>
    <w:rsid w:val="000F0136"/>
    <w:rsid w:val="000F078A"/>
    <w:rsid w:val="000F122D"/>
    <w:rsid w:val="000F1414"/>
    <w:rsid w:val="000F1450"/>
    <w:rsid w:val="000F14E8"/>
    <w:rsid w:val="000F19AF"/>
    <w:rsid w:val="000F1BBD"/>
    <w:rsid w:val="000F21BA"/>
    <w:rsid w:val="000F290F"/>
    <w:rsid w:val="000F4403"/>
    <w:rsid w:val="000F480B"/>
    <w:rsid w:val="000F4E17"/>
    <w:rsid w:val="000F5615"/>
    <w:rsid w:val="000F6578"/>
    <w:rsid w:val="000F6F92"/>
    <w:rsid w:val="000F7E8F"/>
    <w:rsid w:val="000F7FBB"/>
    <w:rsid w:val="001000FB"/>
    <w:rsid w:val="00100A9E"/>
    <w:rsid w:val="00100F6A"/>
    <w:rsid w:val="001011CA"/>
    <w:rsid w:val="00102605"/>
    <w:rsid w:val="00102686"/>
    <w:rsid w:val="00102745"/>
    <w:rsid w:val="00103795"/>
    <w:rsid w:val="00103915"/>
    <w:rsid w:val="001039AA"/>
    <w:rsid w:val="00103EA0"/>
    <w:rsid w:val="00104149"/>
    <w:rsid w:val="00104F1C"/>
    <w:rsid w:val="0010515E"/>
    <w:rsid w:val="001051E5"/>
    <w:rsid w:val="00105A74"/>
    <w:rsid w:val="00105ACB"/>
    <w:rsid w:val="00105AEF"/>
    <w:rsid w:val="00105E84"/>
    <w:rsid w:val="00106259"/>
    <w:rsid w:val="001068EB"/>
    <w:rsid w:val="001078CE"/>
    <w:rsid w:val="00110F61"/>
    <w:rsid w:val="001111BD"/>
    <w:rsid w:val="0011165A"/>
    <w:rsid w:val="00111835"/>
    <w:rsid w:val="00111B2B"/>
    <w:rsid w:val="00112774"/>
    <w:rsid w:val="00112B2E"/>
    <w:rsid w:val="00113003"/>
    <w:rsid w:val="00113062"/>
    <w:rsid w:val="001134AB"/>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CFD"/>
    <w:rsid w:val="00117E69"/>
    <w:rsid w:val="00121103"/>
    <w:rsid w:val="00121B78"/>
    <w:rsid w:val="00121BAB"/>
    <w:rsid w:val="00121E3C"/>
    <w:rsid w:val="00122220"/>
    <w:rsid w:val="00122655"/>
    <w:rsid w:val="00122B23"/>
    <w:rsid w:val="00122B7E"/>
    <w:rsid w:val="00123E27"/>
    <w:rsid w:val="00123FB5"/>
    <w:rsid w:val="0012400F"/>
    <w:rsid w:val="001249DC"/>
    <w:rsid w:val="0012572D"/>
    <w:rsid w:val="00125BED"/>
    <w:rsid w:val="00125C59"/>
    <w:rsid w:val="00125D4F"/>
    <w:rsid w:val="001261BD"/>
    <w:rsid w:val="00126FC1"/>
    <w:rsid w:val="00127004"/>
    <w:rsid w:val="0012770B"/>
    <w:rsid w:val="00127AF2"/>
    <w:rsid w:val="00127EDC"/>
    <w:rsid w:val="00127F42"/>
    <w:rsid w:val="00127F6D"/>
    <w:rsid w:val="00130355"/>
    <w:rsid w:val="00130365"/>
    <w:rsid w:val="001304E5"/>
    <w:rsid w:val="00131B5A"/>
    <w:rsid w:val="001329BC"/>
    <w:rsid w:val="00132C30"/>
    <w:rsid w:val="00132EFD"/>
    <w:rsid w:val="00133536"/>
    <w:rsid w:val="00133AED"/>
    <w:rsid w:val="0013490B"/>
    <w:rsid w:val="00134BCD"/>
    <w:rsid w:val="00134E09"/>
    <w:rsid w:val="001350AB"/>
    <w:rsid w:val="00135DB9"/>
    <w:rsid w:val="00135E5D"/>
    <w:rsid w:val="0013695C"/>
    <w:rsid w:val="00136BF7"/>
    <w:rsid w:val="00136C78"/>
    <w:rsid w:val="001378B9"/>
    <w:rsid w:val="00137FFA"/>
    <w:rsid w:val="00140109"/>
    <w:rsid w:val="0014026A"/>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6B82"/>
    <w:rsid w:val="001471AB"/>
    <w:rsid w:val="00147F35"/>
    <w:rsid w:val="00150005"/>
    <w:rsid w:val="0015044A"/>
    <w:rsid w:val="00150726"/>
    <w:rsid w:val="00151AEB"/>
    <w:rsid w:val="00151B99"/>
    <w:rsid w:val="00151E79"/>
    <w:rsid w:val="001521B2"/>
    <w:rsid w:val="00152AA9"/>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495C"/>
    <w:rsid w:val="00165703"/>
    <w:rsid w:val="00165E5C"/>
    <w:rsid w:val="00166204"/>
    <w:rsid w:val="00166797"/>
    <w:rsid w:val="0016685F"/>
    <w:rsid w:val="00166A13"/>
    <w:rsid w:val="0016712F"/>
    <w:rsid w:val="00167503"/>
    <w:rsid w:val="001676A9"/>
    <w:rsid w:val="00167A15"/>
    <w:rsid w:val="00167A50"/>
    <w:rsid w:val="00167D1A"/>
    <w:rsid w:val="00167DF5"/>
    <w:rsid w:val="00170001"/>
    <w:rsid w:val="0017192E"/>
    <w:rsid w:val="00172198"/>
    <w:rsid w:val="00172612"/>
    <w:rsid w:val="00172817"/>
    <w:rsid w:val="001734E3"/>
    <w:rsid w:val="001742BF"/>
    <w:rsid w:val="001742E1"/>
    <w:rsid w:val="001743B6"/>
    <w:rsid w:val="00175E49"/>
    <w:rsid w:val="0017649F"/>
    <w:rsid w:val="0017655B"/>
    <w:rsid w:val="00177EAA"/>
    <w:rsid w:val="001805C1"/>
    <w:rsid w:val="00180A2E"/>
    <w:rsid w:val="001813AF"/>
    <w:rsid w:val="00181C99"/>
    <w:rsid w:val="001826C9"/>
    <w:rsid w:val="001829CD"/>
    <w:rsid w:val="00182F01"/>
    <w:rsid w:val="00183519"/>
    <w:rsid w:val="001838C4"/>
    <w:rsid w:val="00184219"/>
    <w:rsid w:val="00184F27"/>
    <w:rsid w:val="0018519B"/>
    <w:rsid w:val="00185966"/>
    <w:rsid w:val="00185A2D"/>
    <w:rsid w:val="00185A78"/>
    <w:rsid w:val="00185AFE"/>
    <w:rsid w:val="00185E78"/>
    <w:rsid w:val="00187177"/>
    <w:rsid w:val="00187ABD"/>
    <w:rsid w:val="00187AFD"/>
    <w:rsid w:val="001904E3"/>
    <w:rsid w:val="0019087A"/>
    <w:rsid w:val="00191C5A"/>
    <w:rsid w:val="00191CEB"/>
    <w:rsid w:val="00191E63"/>
    <w:rsid w:val="00192202"/>
    <w:rsid w:val="00192D68"/>
    <w:rsid w:val="0019388B"/>
    <w:rsid w:val="00193ADE"/>
    <w:rsid w:val="00193B9A"/>
    <w:rsid w:val="00193E82"/>
    <w:rsid w:val="001940ED"/>
    <w:rsid w:val="0019469C"/>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2730"/>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583"/>
    <w:rsid w:val="001B096B"/>
    <w:rsid w:val="001B0F9F"/>
    <w:rsid w:val="001B123C"/>
    <w:rsid w:val="001B154F"/>
    <w:rsid w:val="001B1A0D"/>
    <w:rsid w:val="001B1B4E"/>
    <w:rsid w:val="001B1BF1"/>
    <w:rsid w:val="001B21AC"/>
    <w:rsid w:val="001B2456"/>
    <w:rsid w:val="001B2BF4"/>
    <w:rsid w:val="001B3D24"/>
    <w:rsid w:val="001B449C"/>
    <w:rsid w:val="001B4AA2"/>
    <w:rsid w:val="001B4ADE"/>
    <w:rsid w:val="001B5530"/>
    <w:rsid w:val="001B5DAE"/>
    <w:rsid w:val="001B5EF8"/>
    <w:rsid w:val="001B71E8"/>
    <w:rsid w:val="001B734D"/>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9E4"/>
    <w:rsid w:val="001D2EEE"/>
    <w:rsid w:val="001D30F3"/>
    <w:rsid w:val="001D31A0"/>
    <w:rsid w:val="001D338E"/>
    <w:rsid w:val="001D3E8A"/>
    <w:rsid w:val="001D4562"/>
    <w:rsid w:val="001D490C"/>
    <w:rsid w:val="001D56E9"/>
    <w:rsid w:val="001D5D97"/>
    <w:rsid w:val="001D6944"/>
    <w:rsid w:val="001D6CD2"/>
    <w:rsid w:val="001D796A"/>
    <w:rsid w:val="001D7985"/>
    <w:rsid w:val="001D7A84"/>
    <w:rsid w:val="001D7C79"/>
    <w:rsid w:val="001E003B"/>
    <w:rsid w:val="001E1CC4"/>
    <w:rsid w:val="001E1D38"/>
    <w:rsid w:val="001E28A0"/>
    <w:rsid w:val="001E3FFE"/>
    <w:rsid w:val="001E4258"/>
    <w:rsid w:val="001E5140"/>
    <w:rsid w:val="001E5D6A"/>
    <w:rsid w:val="001E6A94"/>
    <w:rsid w:val="001E7065"/>
    <w:rsid w:val="001E70FB"/>
    <w:rsid w:val="001E780A"/>
    <w:rsid w:val="001F0806"/>
    <w:rsid w:val="001F0D15"/>
    <w:rsid w:val="001F0FA0"/>
    <w:rsid w:val="001F1349"/>
    <w:rsid w:val="001F1863"/>
    <w:rsid w:val="001F2356"/>
    <w:rsid w:val="001F2A68"/>
    <w:rsid w:val="001F2C47"/>
    <w:rsid w:val="001F454D"/>
    <w:rsid w:val="001F4773"/>
    <w:rsid w:val="001F5008"/>
    <w:rsid w:val="001F56AA"/>
    <w:rsid w:val="001F57EB"/>
    <w:rsid w:val="001F58AA"/>
    <w:rsid w:val="001F5A4E"/>
    <w:rsid w:val="001F5EF6"/>
    <w:rsid w:val="001F657F"/>
    <w:rsid w:val="001F6FB6"/>
    <w:rsid w:val="001F7055"/>
    <w:rsid w:val="001F72BB"/>
    <w:rsid w:val="001F7978"/>
    <w:rsid w:val="001F7A0E"/>
    <w:rsid w:val="001F7A4B"/>
    <w:rsid w:val="0020022E"/>
    <w:rsid w:val="0020054E"/>
    <w:rsid w:val="00201508"/>
    <w:rsid w:val="00201AC4"/>
    <w:rsid w:val="00201F1E"/>
    <w:rsid w:val="00202012"/>
    <w:rsid w:val="00202761"/>
    <w:rsid w:val="0020299B"/>
    <w:rsid w:val="00202B2A"/>
    <w:rsid w:val="00202E44"/>
    <w:rsid w:val="002037AA"/>
    <w:rsid w:val="00203808"/>
    <w:rsid w:val="00203FE3"/>
    <w:rsid w:val="002042D8"/>
    <w:rsid w:val="00204515"/>
    <w:rsid w:val="002046EC"/>
    <w:rsid w:val="00204BF5"/>
    <w:rsid w:val="00204E6B"/>
    <w:rsid w:val="002053EC"/>
    <w:rsid w:val="002053EF"/>
    <w:rsid w:val="002058D4"/>
    <w:rsid w:val="0020596F"/>
    <w:rsid w:val="002060D6"/>
    <w:rsid w:val="0020632A"/>
    <w:rsid w:val="0020697F"/>
    <w:rsid w:val="0020726E"/>
    <w:rsid w:val="00207389"/>
    <w:rsid w:val="002110EB"/>
    <w:rsid w:val="00211338"/>
    <w:rsid w:val="00211388"/>
    <w:rsid w:val="0021148C"/>
    <w:rsid w:val="00211694"/>
    <w:rsid w:val="0021201A"/>
    <w:rsid w:val="00212545"/>
    <w:rsid w:val="002138FE"/>
    <w:rsid w:val="00213A1F"/>
    <w:rsid w:val="00213B7F"/>
    <w:rsid w:val="00213C63"/>
    <w:rsid w:val="00214502"/>
    <w:rsid w:val="002146C7"/>
    <w:rsid w:val="00214741"/>
    <w:rsid w:val="00214938"/>
    <w:rsid w:val="0021539A"/>
    <w:rsid w:val="00215852"/>
    <w:rsid w:val="00215B01"/>
    <w:rsid w:val="00215B8E"/>
    <w:rsid w:val="00216264"/>
    <w:rsid w:val="002169A0"/>
    <w:rsid w:val="002176B6"/>
    <w:rsid w:val="0021792D"/>
    <w:rsid w:val="00217DB8"/>
    <w:rsid w:val="00217F98"/>
    <w:rsid w:val="002202CE"/>
    <w:rsid w:val="0022032A"/>
    <w:rsid w:val="0022151F"/>
    <w:rsid w:val="0022194E"/>
    <w:rsid w:val="002220B1"/>
    <w:rsid w:val="002221CE"/>
    <w:rsid w:val="00222BE8"/>
    <w:rsid w:val="00222DF6"/>
    <w:rsid w:val="00223102"/>
    <w:rsid w:val="002232CB"/>
    <w:rsid w:val="00223EBB"/>
    <w:rsid w:val="00224022"/>
    <w:rsid w:val="00226055"/>
    <w:rsid w:val="0022609C"/>
    <w:rsid w:val="0022613F"/>
    <w:rsid w:val="0022614F"/>
    <w:rsid w:val="00226236"/>
    <w:rsid w:val="002266AF"/>
    <w:rsid w:val="00226862"/>
    <w:rsid w:val="002270C9"/>
    <w:rsid w:val="00227252"/>
    <w:rsid w:val="00227A8B"/>
    <w:rsid w:val="00227E94"/>
    <w:rsid w:val="0023093B"/>
    <w:rsid w:val="0023146B"/>
    <w:rsid w:val="002315A0"/>
    <w:rsid w:val="00231748"/>
    <w:rsid w:val="00231DCC"/>
    <w:rsid w:val="00231EC7"/>
    <w:rsid w:val="002325E4"/>
    <w:rsid w:val="00232D85"/>
    <w:rsid w:val="00232E15"/>
    <w:rsid w:val="00233079"/>
    <w:rsid w:val="0023382C"/>
    <w:rsid w:val="00233977"/>
    <w:rsid w:val="00233C58"/>
    <w:rsid w:val="00233C71"/>
    <w:rsid w:val="002345B6"/>
    <w:rsid w:val="002347A6"/>
    <w:rsid w:val="002347C3"/>
    <w:rsid w:val="00234B84"/>
    <w:rsid w:val="00235DCF"/>
    <w:rsid w:val="00236016"/>
    <w:rsid w:val="00237065"/>
    <w:rsid w:val="00237589"/>
    <w:rsid w:val="0023758D"/>
    <w:rsid w:val="002375A7"/>
    <w:rsid w:val="0024019A"/>
    <w:rsid w:val="00240EC1"/>
    <w:rsid w:val="0024120F"/>
    <w:rsid w:val="0024131D"/>
    <w:rsid w:val="002415B8"/>
    <w:rsid w:val="00241B82"/>
    <w:rsid w:val="0024296E"/>
    <w:rsid w:val="00242D5F"/>
    <w:rsid w:val="00242D62"/>
    <w:rsid w:val="002430D0"/>
    <w:rsid w:val="002431D7"/>
    <w:rsid w:val="00244058"/>
    <w:rsid w:val="00245718"/>
    <w:rsid w:val="002457E9"/>
    <w:rsid w:val="00245E07"/>
    <w:rsid w:val="0024665E"/>
    <w:rsid w:val="00247712"/>
    <w:rsid w:val="002505E7"/>
    <w:rsid w:val="00250A9E"/>
    <w:rsid w:val="00250EC6"/>
    <w:rsid w:val="002515C7"/>
    <w:rsid w:val="00251866"/>
    <w:rsid w:val="00251A9F"/>
    <w:rsid w:val="00251F62"/>
    <w:rsid w:val="00252492"/>
    <w:rsid w:val="00252B35"/>
    <w:rsid w:val="00253070"/>
    <w:rsid w:val="0025316D"/>
    <w:rsid w:val="00253A02"/>
    <w:rsid w:val="00253B81"/>
    <w:rsid w:val="00254AE9"/>
    <w:rsid w:val="002554DE"/>
    <w:rsid w:val="00255575"/>
    <w:rsid w:val="00255E11"/>
    <w:rsid w:val="0025640A"/>
    <w:rsid w:val="002564B7"/>
    <w:rsid w:val="00256835"/>
    <w:rsid w:val="002569F0"/>
    <w:rsid w:val="00256C01"/>
    <w:rsid w:val="00256E1A"/>
    <w:rsid w:val="00256ECF"/>
    <w:rsid w:val="00257454"/>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8A"/>
    <w:rsid w:val="002661F1"/>
    <w:rsid w:val="00266316"/>
    <w:rsid w:val="00266DB6"/>
    <w:rsid w:val="0026734B"/>
    <w:rsid w:val="00267D49"/>
    <w:rsid w:val="002711A4"/>
    <w:rsid w:val="00271230"/>
    <w:rsid w:val="00271F13"/>
    <w:rsid w:val="00272945"/>
    <w:rsid w:val="00272E89"/>
    <w:rsid w:val="002742D0"/>
    <w:rsid w:val="0027482E"/>
    <w:rsid w:val="002748F1"/>
    <w:rsid w:val="00274DB5"/>
    <w:rsid w:val="00275BB1"/>
    <w:rsid w:val="002762BE"/>
    <w:rsid w:val="00276EF7"/>
    <w:rsid w:val="0027770B"/>
    <w:rsid w:val="00277933"/>
    <w:rsid w:val="00277F8D"/>
    <w:rsid w:val="00277FA7"/>
    <w:rsid w:val="00280046"/>
    <w:rsid w:val="00280B4F"/>
    <w:rsid w:val="00280F3D"/>
    <w:rsid w:val="00280FA8"/>
    <w:rsid w:val="0028106A"/>
    <w:rsid w:val="00281EB4"/>
    <w:rsid w:val="00282E03"/>
    <w:rsid w:val="0028308E"/>
    <w:rsid w:val="002834E9"/>
    <w:rsid w:val="002837BA"/>
    <w:rsid w:val="00283A52"/>
    <w:rsid w:val="00283C49"/>
    <w:rsid w:val="00283C5E"/>
    <w:rsid w:val="00283E26"/>
    <w:rsid w:val="0028428F"/>
    <w:rsid w:val="00284CFC"/>
    <w:rsid w:val="00285832"/>
    <w:rsid w:val="00285969"/>
    <w:rsid w:val="0028599C"/>
    <w:rsid w:val="00285DE7"/>
    <w:rsid w:val="0028663B"/>
    <w:rsid w:val="00286713"/>
    <w:rsid w:val="00286CEC"/>
    <w:rsid w:val="002870F9"/>
    <w:rsid w:val="002871A9"/>
    <w:rsid w:val="00287505"/>
    <w:rsid w:val="00287BDB"/>
    <w:rsid w:val="002903CE"/>
    <w:rsid w:val="00290781"/>
    <w:rsid w:val="00291784"/>
    <w:rsid w:val="002920DF"/>
    <w:rsid w:val="002927FE"/>
    <w:rsid w:val="002928A3"/>
    <w:rsid w:val="002929BB"/>
    <w:rsid w:val="002942CA"/>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D90"/>
    <w:rsid w:val="002A2EA5"/>
    <w:rsid w:val="002A301E"/>
    <w:rsid w:val="002A3555"/>
    <w:rsid w:val="002A3D94"/>
    <w:rsid w:val="002A4736"/>
    <w:rsid w:val="002A4B1C"/>
    <w:rsid w:val="002A55FE"/>
    <w:rsid w:val="002A5C15"/>
    <w:rsid w:val="002A625C"/>
    <w:rsid w:val="002A6AFB"/>
    <w:rsid w:val="002A733D"/>
    <w:rsid w:val="002A774A"/>
    <w:rsid w:val="002A7840"/>
    <w:rsid w:val="002A78F3"/>
    <w:rsid w:val="002A7D84"/>
    <w:rsid w:val="002A7E5C"/>
    <w:rsid w:val="002A7F6D"/>
    <w:rsid w:val="002B0D83"/>
    <w:rsid w:val="002B1342"/>
    <w:rsid w:val="002B1615"/>
    <w:rsid w:val="002B1F83"/>
    <w:rsid w:val="002B27C8"/>
    <w:rsid w:val="002B2A7F"/>
    <w:rsid w:val="002B3094"/>
    <w:rsid w:val="002B330B"/>
    <w:rsid w:val="002B39BE"/>
    <w:rsid w:val="002B438C"/>
    <w:rsid w:val="002B48DB"/>
    <w:rsid w:val="002B4B34"/>
    <w:rsid w:val="002B541A"/>
    <w:rsid w:val="002B5EAB"/>
    <w:rsid w:val="002B5F2E"/>
    <w:rsid w:val="002B6407"/>
    <w:rsid w:val="002B6416"/>
    <w:rsid w:val="002B6459"/>
    <w:rsid w:val="002B6ED8"/>
    <w:rsid w:val="002B6F22"/>
    <w:rsid w:val="002B7014"/>
    <w:rsid w:val="002B73B0"/>
    <w:rsid w:val="002C01F8"/>
    <w:rsid w:val="002C24B4"/>
    <w:rsid w:val="002C2B3A"/>
    <w:rsid w:val="002C2B87"/>
    <w:rsid w:val="002C3CF4"/>
    <w:rsid w:val="002C441A"/>
    <w:rsid w:val="002C4A73"/>
    <w:rsid w:val="002C4B84"/>
    <w:rsid w:val="002C4C0C"/>
    <w:rsid w:val="002C5016"/>
    <w:rsid w:val="002C5C2F"/>
    <w:rsid w:val="002C5D0F"/>
    <w:rsid w:val="002C60B9"/>
    <w:rsid w:val="002C67FD"/>
    <w:rsid w:val="002C6F77"/>
    <w:rsid w:val="002C704D"/>
    <w:rsid w:val="002C7E9E"/>
    <w:rsid w:val="002D0726"/>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D66E1"/>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5BAD"/>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293"/>
    <w:rsid w:val="002F692F"/>
    <w:rsid w:val="002F69AE"/>
    <w:rsid w:val="002F7031"/>
    <w:rsid w:val="002F7961"/>
    <w:rsid w:val="002F7B66"/>
    <w:rsid w:val="00300CB4"/>
    <w:rsid w:val="00300E24"/>
    <w:rsid w:val="00301B25"/>
    <w:rsid w:val="0030257B"/>
    <w:rsid w:val="003033BA"/>
    <w:rsid w:val="00303C19"/>
    <w:rsid w:val="00303ECE"/>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1D6F"/>
    <w:rsid w:val="00312190"/>
    <w:rsid w:val="003125E0"/>
    <w:rsid w:val="0031271D"/>
    <w:rsid w:val="003132BB"/>
    <w:rsid w:val="00313337"/>
    <w:rsid w:val="00313447"/>
    <w:rsid w:val="00313748"/>
    <w:rsid w:val="00313EA3"/>
    <w:rsid w:val="003151FE"/>
    <w:rsid w:val="00315365"/>
    <w:rsid w:val="00315457"/>
    <w:rsid w:val="00315910"/>
    <w:rsid w:val="003161A4"/>
    <w:rsid w:val="00316955"/>
    <w:rsid w:val="0031713F"/>
    <w:rsid w:val="0031720A"/>
    <w:rsid w:val="0031749B"/>
    <w:rsid w:val="003174E5"/>
    <w:rsid w:val="00317C9D"/>
    <w:rsid w:val="00317CD2"/>
    <w:rsid w:val="00317D99"/>
    <w:rsid w:val="00317F49"/>
    <w:rsid w:val="0032078D"/>
    <w:rsid w:val="00320ADF"/>
    <w:rsid w:val="0032137B"/>
    <w:rsid w:val="00321A70"/>
    <w:rsid w:val="00321BD6"/>
    <w:rsid w:val="00321FA3"/>
    <w:rsid w:val="003227D3"/>
    <w:rsid w:val="00322937"/>
    <w:rsid w:val="00323881"/>
    <w:rsid w:val="00324885"/>
    <w:rsid w:val="003251A8"/>
    <w:rsid w:val="003254B1"/>
    <w:rsid w:val="00325AD9"/>
    <w:rsid w:val="00325BA8"/>
    <w:rsid w:val="00325D98"/>
    <w:rsid w:val="00326568"/>
    <w:rsid w:val="0032682A"/>
    <w:rsid w:val="00327A5C"/>
    <w:rsid w:val="003305BD"/>
    <w:rsid w:val="0033092C"/>
    <w:rsid w:val="0033122A"/>
    <w:rsid w:val="003315AC"/>
    <w:rsid w:val="00331932"/>
    <w:rsid w:val="00331F74"/>
    <w:rsid w:val="00332382"/>
    <w:rsid w:val="00332453"/>
    <w:rsid w:val="0033251B"/>
    <w:rsid w:val="003339F9"/>
    <w:rsid w:val="00333A88"/>
    <w:rsid w:val="00333CDC"/>
    <w:rsid w:val="00335B15"/>
    <w:rsid w:val="00335B21"/>
    <w:rsid w:val="00335D3F"/>
    <w:rsid w:val="00336104"/>
    <w:rsid w:val="003363ED"/>
    <w:rsid w:val="00336729"/>
    <w:rsid w:val="00336CD9"/>
    <w:rsid w:val="0033726D"/>
    <w:rsid w:val="00337CA8"/>
    <w:rsid w:val="0034000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202"/>
    <w:rsid w:val="0034778E"/>
    <w:rsid w:val="00347A5A"/>
    <w:rsid w:val="00347FDB"/>
    <w:rsid w:val="003501E2"/>
    <w:rsid w:val="00351899"/>
    <w:rsid w:val="00351ABA"/>
    <w:rsid w:val="00351E10"/>
    <w:rsid w:val="00352AEA"/>
    <w:rsid w:val="003533F4"/>
    <w:rsid w:val="003536F6"/>
    <w:rsid w:val="00353DD5"/>
    <w:rsid w:val="00353F36"/>
    <w:rsid w:val="00355131"/>
    <w:rsid w:val="00355F74"/>
    <w:rsid w:val="003560DB"/>
    <w:rsid w:val="003564DB"/>
    <w:rsid w:val="00356B3D"/>
    <w:rsid w:val="00356F87"/>
    <w:rsid w:val="00357D01"/>
    <w:rsid w:val="00357E83"/>
    <w:rsid w:val="00360850"/>
    <w:rsid w:val="00360CF3"/>
    <w:rsid w:val="00361A59"/>
    <w:rsid w:val="00361C9E"/>
    <w:rsid w:val="00363348"/>
    <w:rsid w:val="00363857"/>
    <w:rsid w:val="00363B19"/>
    <w:rsid w:val="00363D59"/>
    <w:rsid w:val="00363F08"/>
    <w:rsid w:val="003640F7"/>
    <w:rsid w:val="003654B3"/>
    <w:rsid w:val="003658F2"/>
    <w:rsid w:val="0036594A"/>
    <w:rsid w:val="00365D3A"/>
    <w:rsid w:val="003664FF"/>
    <w:rsid w:val="00366BD2"/>
    <w:rsid w:val="003670B8"/>
    <w:rsid w:val="003704A3"/>
    <w:rsid w:val="003706F2"/>
    <w:rsid w:val="003709E8"/>
    <w:rsid w:val="0037124F"/>
    <w:rsid w:val="003736F0"/>
    <w:rsid w:val="00373827"/>
    <w:rsid w:val="0037401C"/>
    <w:rsid w:val="0037507B"/>
    <w:rsid w:val="00375B2A"/>
    <w:rsid w:val="00375C7C"/>
    <w:rsid w:val="00377027"/>
    <w:rsid w:val="00377135"/>
    <w:rsid w:val="00380272"/>
    <w:rsid w:val="003805DB"/>
    <w:rsid w:val="00380692"/>
    <w:rsid w:val="0038152A"/>
    <w:rsid w:val="0038245D"/>
    <w:rsid w:val="00382631"/>
    <w:rsid w:val="00382BAD"/>
    <w:rsid w:val="003835FD"/>
    <w:rsid w:val="00383677"/>
    <w:rsid w:val="00383EDF"/>
    <w:rsid w:val="00384C5E"/>
    <w:rsid w:val="00384DF1"/>
    <w:rsid w:val="00384FF3"/>
    <w:rsid w:val="00386456"/>
    <w:rsid w:val="003865A9"/>
    <w:rsid w:val="003903B4"/>
    <w:rsid w:val="0039092B"/>
    <w:rsid w:val="00390BD9"/>
    <w:rsid w:val="00390F32"/>
    <w:rsid w:val="0039135E"/>
    <w:rsid w:val="0039285D"/>
    <w:rsid w:val="0039319C"/>
    <w:rsid w:val="00393577"/>
    <w:rsid w:val="00393CAE"/>
    <w:rsid w:val="003945F4"/>
    <w:rsid w:val="0039479F"/>
    <w:rsid w:val="00394EB5"/>
    <w:rsid w:val="003953B4"/>
    <w:rsid w:val="0039615F"/>
    <w:rsid w:val="003966A0"/>
    <w:rsid w:val="00396A29"/>
    <w:rsid w:val="00397FF0"/>
    <w:rsid w:val="003A0177"/>
    <w:rsid w:val="003A0878"/>
    <w:rsid w:val="003A116B"/>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160"/>
    <w:rsid w:val="003A65A5"/>
    <w:rsid w:val="003A65AC"/>
    <w:rsid w:val="003A72F5"/>
    <w:rsid w:val="003A73EC"/>
    <w:rsid w:val="003A78E5"/>
    <w:rsid w:val="003B0341"/>
    <w:rsid w:val="003B15F3"/>
    <w:rsid w:val="003B1961"/>
    <w:rsid w:val="003B1E57"/>
    <w:rsid w:val="003B1E5C"/>
    <w:rsid w:val="003B2EF3"/>
    <w:rsid w:val="003B48C4"/>
    <w:rsid w:val="003B534F"/>
    <w:rsid w:val="003B5391"/>
    <w:rsid w:val="003B58CE"/>
    <w:rsid w:val="003B65D7"/>
    <w:rsid w:val="003B65E0"/>
    <w:rsid w:val="003B6BC4"/>
    <w:rsid w:val="003B6BD4"/>
    <w:rsid w:val="003B6F4D"/>
    <w:rsid w:val="003B6FE7"/>
    <w:rsid w:val="003C0491"/>
    <w:rsid w:val="003C0C0F"/>
    <w:rsid w:val="003C0D1F"/>
    <w:rsid w:val="003C116A"/>
    <w:rsid w:val="003C1AF4"/>
    <w:rsid w:val="003C1CB8"/>
    <w:rsid w:val="003C22DA"/>
    <w:rsid w:val="003C2550"/>
    <w:rsid w:val="003C287F"/>
    <w:rsid w:val="003C28EE"/>
    <w:rsid w:val="003C3339"/>
    <w:rsid w:val="003C375A"/>
    <w:rsid w:val="003C4317"/>
    <w:rsid w:val="003C4D9F"/>
    <w:rsid w:val="003C4F2E"/>
    <w:rsid w:val="003C5247"/>
    <w:rsid w:val="003C53BA"/>
    <w:rsid w:val="003C5B02"/>
    <w:rsid w:val="003C5E8A"/>
    <w:rsid w:val="003C622C"/>
    <w:rsid w:val="003C6505"/>
    <w:rsid w:val="003C73C7"/>
    <w:rsid w:val="003C7CFB"/>
    <w:rsid w:val="003D050B"/>
    <w:rsid w:val="003D0B98"/>
    <w:rsid w:val="003D0C3C"/>
    <w:rsid w:val="003D0DE5"/>
    <w:rsid w:val="003D1351"/>
    <w:rsid w:val="003D15B3"/>
    <w:rsid w:val="003D21C1"/>
    <w:rsid w:val="003D24DB"/>
    <w:rsid w:val="003D3B15"/>
    <w:rsid w:val="003D3B2E"/>
    <w:rsid w:val="003D3F28"/>
    <w:rsid w:val="003D4101"/>
    <w:rsid w:val="003D43F7"/>
    <w:rsid w:val="003D484D"/>
    <w:rsid w:val="003D49CB"/>
    <w:rsid w:val="003D5F10"/>
    <w:rsid w:val="003D6B8F"/>
    <w:rsid w:val="003D7566"/>
    <w:rsid w:val="003E0224"/>
    <w:rsid w:val="003E09BB"/>
    <w:rsid w:val="003E1329"/>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86C"/>
    <w:rsid w:val="003E59A7"/>
    <w:rsid w:val="003E5B9F"/>
    <w:rsid w:val="003E5E38"/>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5E"/>
    <w:rsid w:val="003F559E"/>
    <w:rsid w:val="003F59B7"/>
    <w:rsid w:val="003F6181"/>
    <w:rsid w:val="003F6BFC"/>
    <w:rsid w:val="003F7343"/>
    <w:rsid w:val="00400002"/>
    <w:rsid w:val="00400054"/>
    <w:rsid w:val="004016A3"/>
    <w:rsid w:val="00401B31"/>
    <w:rsid w:val="0040202B"/>
    <w:rsid w:val="0040219D"/>
    <w:rsid w:val="004025CB"/>
    <w:rsid w:val="00402DE1"/>
    <w:rsid w:val="00402EEB"/>
    <w:rsid w:val="004037C2"/>
    <w:rsid w:val="00404041"/>
    <w:rsid w:val="004040D4"/>
    <w:rsid w:val="00404AF3"/>
    <w:rsid w:val="00404B43"/>
    <w:rsid w:val="00404C61"/>
    <w:rsid w:val="00405487"/>
    <w:rsid w:val="004059F1"/>
    <w:rsid w:val="00405B8A"/>
    <w:rsid w:val="0040602B"/>
    <w:rsid w:val="0040606C"/>
    <w:rsid w:val="004060DC"/>
    <w:rsid w:val="004065E4"/>
    <w:rsid w:val="00406DF5"/>
    <w:rsid w:val="00406F35"/>
    <w:rsid w:val="004077D0"/>
    <w:rsid w:val="00407A7A"/>
    <w:rsid w:val="00407ABC"/>
    <w:rsid w:val="00407B6D"/>
    <w:rsid w:val="00407F1E"/>
    <w:rsid w:val="00410068"/>
    <w:rsid w:val="004100E3"/>
    <w:rsid w:val="00410A88"/>
    <w:rsid w:val="00410CC8"/>
    <w:rsid w:val="00411317"/>
    <w:rsid w:val="00411692"/>
    <w:rsid w:val="00411A9E"/>
    <w:rsid w:val="0041259F"/>
    <w:rsid w:val="00412B1B"/>
    <w:rsid w:val="00412B4D"/>
    <w:rsid w:val="00412C2E"/>
    <w:rsid w:val="00412C51"/>
    <w:rsid w:val="00413262"/>
    <w:rsid w:val="0041329C"/>
    <w:rsid w:val="004139F4"/>
    <w:rsid w:val="00413C36"/>
    <w:rsid w:val="00413FFA"/>
    <w:rsid w:val="00414246"/>
    <w:rsid w:val="0041463D"/>
    <w:rsid w:val="00414A82"/>
    <w:rsid w:val="00414D9A"/>
    <w:rsid w:val="00415194"/>
    <w:rsid w:val="00415816"/>
    <w:rsid w:val="00415B88"/>
    <w:rsid w:val="00415D32"/>
    <w:rsid w:val="00415F4C"/>
    <w:rsid w:val="004160A2"/>
    <w:rsid w:val="0041674B"/>
    <w:rsid w:val="004170D7"/>
    <w:rsid w:val="00417528"/>
    <w:rsid w:val="004176DC"/>
    <w:rsid w:val="004177A6"/>
    <w:rsid w:val="00417C23"/>
    <w:rsid w:val="00417EFD"/>
    <w:rsid w:val="004200EE"/>
    <w:rsid w:val="00420786"/>
    <w:rsid w:val="004209D2"/>
    <w:rsid w:val="00420BBA"/>
    <w:rsid w:val="00420D6E"/>
    <w:rsid w:val="00420F50"/>
    <w:rsid w:val="004214B4"/>
    <w:rsid w:val="0042158C"/>
    <w:rsid w:val="00421617"/>
    <w:rsid w:val="004217A7"/>
    <w:rsid w:val="00421BD2"/>
    <w:rsid w:val="00421E00"/>
    <w:rsid w:val="00421FCB"/>
    <w:rsid w:val="00422403"/>
    <w:rsid w:val="00422DCA"/>
    <w:rsid w:val="00423D04"/>
    <w:rsid w:val="00423F9F"/>
    <w:rsid w:val="004255E5"/>
    <w:rsid w:val="00425C43"/>
    <w:rsid w:val="00425F63"/>
    <w:rsid w:val="004273FA"/>
    <w:rsid w:val="004275A7"/>
    <w:rsid w:val="00427C79"/>
    <w:rsid w:val="00430186"/>
    <w:rsid w:val="00430F17"/>
    <w:rsid w:val="00431CC7"/>
    <w:rsid w:val="0043260C"/>
    <w:rsid w:val="0043269A"/>
    <w:rsid w:val="00432E92"/>
    <w:rsid w:val="004330B3"/>
    <w:rsid w:val="004333C2"/>
    <w:rsid w:val="00434787"/>
    <w:rsid w:val="00434C13"/>
    <w:rsid w:val="00434D8B"/>
    <w:rsid w:val="00435294"/>
    <w:rsid w:val="00435542"/>
    <w:rsid w:val="00435703"/>
    <w:rsid w:val="00435BD5"/>
    <w:rsid w:val="00436323"/>
    <w:rsid w:val="0043683F"/>
    <w:rsid w:val="00436F40"/>
    <w:rsid w:val="004370FA"/>
    <w:rsid w:val="00440096"/>
    <w:rsid w:val="004403DD"/>
    <w:rsid w:val="00440CC3"/>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26C"/>
    <w:rsid w:val="0045271D"/>
    <w:rsid w:val="00452755"/>
    <w:rsid w:val="00452803"/>
    <w:rsid w:val="004529C6"/>
    <w:rsid w:val="00452EAD"/>
    <w:rsid w:val="004533D1"/>
    <w:rsid w:val="004534D1"/>
    <w:rsid w:val="00453796"/>
    <w:rsid w:val="004540B8"/>
    <w:rsid w:val="00454548"/>
    <w:rsid w:val="00454717"/>
    <w:rsid w:val="00454C0F"/>
    <w:rsid w:val="00454DF8"/>
    <w:rsid w:val="00455004"/>
    <w:rsid w:val="00455047"/>
    <w:rsid w:val="00455165"/>
    <w:rsid w:val="00455354"/>
    <w:rsid w:val="0045558D"/>
    <w:rsid w:val="004556D6"/>
    <w:rsid w:val="00455BD3"/>
    <w:rsid w:val="00455E77"/>
    <w:rsid w:val="004567DA"/>
    <w:rsid w:val="00456970"/>
    <w:rsid w:val="00456BB1"/>
    <w:rsid w:val="00456CD4"/>
    <w:rsid w:val="00456DDB"/>
    <w:rsid w:val="00456E61"/>
    <w:rsid w:val="00457031"/>
    <w:rsid w:val="00457A12"/>
    <w:rsid w:val="00460915"/>
    <w:rsid w:val="00460946"/>
    <w:rsid w:val="004614A9"/>
    <w:rsid w:val="00461E97"/>
    <w:rsid w:val="0046256F"/>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3F33"/>
    <w:rsid w:val="0047586C"/>
    <w:rsid w:val="00475C5A"/>
    <w:rsid w:val="00475C9C"/>
    <w:rsid w:val="0047676B"/>
    <w:rsid w:val="0047773C"/>
    <w:rsid w:val="00477C5F"/>
    <w:rsid w:val="00480050"/>
    <w:rsid w:val="0048011C"/>
    <w:rsid w:val="004808DE"/>
    <w:rsid w:val="00480F9A"/>
    <w:rsid w:val="00481477"/>
    <w:rsid w:val="00481912"/>
    <w:rsid w:val="00481AC4"/>
    <w:rsid w:val="00481DC1"/>
    <w:rsid w:val="00482507"/>
    <w:rsid w:val="0048268A"/>
    <w:rsid w:val="00482A64"/>
    <w:rsid w:val="00482E57"/>
    <w:rsid w:val="004835CA"/>
    <w:rsid w:val="004836F8"/>
    <w:rsid w:val="004836FE"/>
    <w:rsid w:val="00484A39"/>
    <w:rsid w:val="00484F0F"/>
    <w:rsid w:val="00484F40"/>
    <w:rsid w:val="0048540C"/>
    <w:rsid w:val="00485B61"/>
    <w:rsid w:val="004861B4"/>
    <w:rsid w:val="00486226"/>
    <w:rsid w:val="004866F2"/>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6EC"/>
    <w:rsid w:val="004938FD"/>
    <w:rsid w:val="00493E04"/>
    <w:rsid w:val="004940E3"/>
    <w:rsid w:val="0049530F"/>
    <w:rsid w:val="00496664"/>
    <w:rsid w:val="00496786"/>
    <w:rsid w:val="0049695B"/>
    <w:rsid w:val="00496D8F"/>
    <w:rsid w:val="00497399"/>
    <w:rsid w:val="00497463"/>
    <w:rsid w:val="004A054C"/>
    <w:rsid w:val="004A08D1"/>
    <w:rsid w:val="004A16C1"/>
    <w:rsid w:val="004A1786"/>
    <w:rsid w:val="004A1CE2"/>
    <w:rsid w:val="004A1E92"/>
    <w:rsid w:val="004A284A"/>
    <w:rsid w:val="004A34D2"/>
    <w:rsid w:val="004A4301"/>
    <w:rsid w:val="004A4D93"/>
    <w:rsid w:val="004A4ECA"/>
    <w:rsid w:val="004A546E"/>
    <w:rsid w:val="004A549F"/>
    <w:rsid w:val="004A58EE"/>
    <w:rsid w:val="004A59B7"/>
    <w:rsid w:val="004A6051"/>
    <w:rsid w:val="004A623B"/>
    <w:rsid w:val="004A6A04"/>
    <w:rsid w:val="004A6A52"/>
    <w:rsid w:val="004A7608"/>
    <w:rsid w:val="004A7AD6"/>
    <w:rsid w:val="004B0A44"/>
    <w:rsid w:val="004B0F0B"/>
    <w:rsid w:val="004B1545"/>
    <w:rsid w:val="004B205A"/>
    <w:rsid w:val="004B2197"/>
    <w:rsid w:val="004B298A"/>
    <w:rsid w:val="004B2BB8"/>
    <w:rsid w:val="004B4116"/>
    <w:rsid w:val="004B50CB"/>
    <w:rsid w:val="004B578D"/>
    <w:rsid w:val="004B5BE7"/>
    <w:rsid w:val="004B5E2D"/>
    <w:rsid w:val="004B6C07"/>
    <w:rsid w:val="004B7273"/>
    <w:rsid w:val="004B74D3"/>
    <w:rsid w:val="004B755E"/>
    <w:rsid w:val="004B788E"/>
    <w:rsid w:val="004B7A77"/>
    <w:rsid w:val="004B7AD9"/>
    <w:rsid w:val="004B7E5D"/>
    <w:rsid w:val="004C044F"/>
    <w:rsid w:val="004C1198"/>
    <w:rsid w:val="004C12B3"/>
    <w:rsid w:val="004C1895"/>
    <w:rsid w:val="004C22F7"/>
    <w:rsid w:val="004C2B27"/>
    <w:rsid w:val="004C3929"/>
    <w:rsid w:val="004C4160"/>
    <w:rsid w:val="004C5212"/>
    <w:rsid w:val="004C5EF0"/>
    <w:rsid w:val="004C64C9"/>
    <w:rsid w:val="004C70D7"/>
    <w:rsid w:val="004C7226"/>
    <w:rsid w:val="004C74C9"/>
    <w:rsid w:val="004C7915"/>
    <w:rsid w:val="004C7D70"/>
    <w:rsid w:val="004C7E45"/>
    <w:rsid w:val="004D01B9"/>
    <w:rsid w:val="004D02F9"/>
    <w:rsid w:val="004D03FE"/>
    <w:rsid w:val="004D0446"/>
    <w:rsid w:val="004D06A3"/>
    <w:rsid w:val="004D0F95"/>
    <w:rsid w:val="004D106A"/>
    <w:rsid w:val="004D1519"/>
    <w:rsid w:val="004D1B84"/>
    <w:rsid w:val="004D1C7E"/>
    <w:rsid w:val="004D245A"/>
    <w:rsid w:val="004D2B5B"/>
    <w:rsid w:val="004D31EE"/>
    <w:rsid w:val="004D36AF"/>
    <w:rsid w:val="004D3BD1"/>
    <w:rsid w:val="004D3EC8"/>
    <w:rsid w:val="004D4BA1"/>
    <w:rsid w:val="004D584D"/>
    <w:rsid w:val="004D5A7E"/>
    <w:rsid w:val="004D6120"/>
    <w:rsid w:val="004D66B2"/>
    <w:rsid w:val="004D6826"/>
    <w:rsid w:val="004D7497"/>
    <w:rsid w:val="004D7E3D"/>
    <w:rsid w:val="004E023F"/>
    <w:rsid w:val="004E03E8"/>
    <w:rsid w:val="004E0546"/>
    <w:rsid w:val="004E0556"/>
    <w:rsid w:val="004E0742"/>
    <w:rsid w:val="004E0C64"/>
    <w:rsid w:val="004E0F6B"/>
    <w:rsid w:val="004E1545"/>
    <w:rsid w:val="004E1F1C"/>
    <w:rsid w:val="004E2887"/>
    <w:rsid w:val="004E2A35"/>
    <w:rsid w:val="004E2CCF"/>
    <w:rsid w:val="004E3B71"/>
    <w:rsid w:val="004E40CE"/>
    <w:rsid w:val="004E5404"/>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3B"/>
    <w:rsid w:val="004F5970"/>
    <w:rsid w:val="004F5EB8"/>
    <w:rsid w:val="004F5F0C"/>
    <w:rsid w:val="004F6121"/>
    <w:rsid w:val="004F6161"/>
    <w:rsid w:val="004F66BC"/>
    <w:rsid w:val="004F6C26"/>
    <w:rsid w:val="004F7AC9"/>
    <w:rsid w:val="0050062F"/>
    <w:rsid w:val="00500E74"/>
    <w:rsid w:val="0050160F"/>
    <w:rsid w:val="005027A6"/>
    <w:rsid w:val="0050284E"/>
    <w:rsid w:val="0050306F"/>
    <w:rsid w:val="00503A17"/>
    <w:rsid w:val="0050579F"/>
    <w:rsid w:val="00505892"/>
    <w:rsid w:val="00505DCB"/>
    <w:rsid w:val="0050674C"/>
    <w:rsid w:val="00507066"/>
    <w:rsid w:val="005075CA"/>
    <w:rsid w:val="00507B06"/>
    <w:rsid w:val="00507BF1"/>
    <w:rsid w:val="0051074C"/>
    <w:rsid w:val="00510A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CB"/>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4"/>
    <w:rsid w:val="00530458"/>
    <w:rsid w:val="00530522"/>
    <w:rsid w:val="005305E5"/>
    <w:rsid w:val="0053086F"/>
    <w:rsid w:val="00530CBA"/>
    <w:rsid w:val="00530F38"/>
    <w:rsid w:val="00531544"/>
    <w:rsid w:val="00531E66"/>
    <w:rsid w:val="00531F26"/>
    <w:rsid w:val="00532501"/>
    <w:rsid w:val="0053277C"/>
    <w:rsid w:val="005327C0"/>
    <w:rsid w:val="00533101"/>
    <w:rsid w:val="00533CA9"/>
    <w:rsid w:val="00533DC2"/>
    <w:rsid w:val="005346AD"/>
    <w:rsid w:val="00534EFB"/>
    <w:rsid w:val="00534F60"/>
    <w:rsid w:val="005357F1"/>
    <w:rsid w:val="005359BF"/>
    <w:rsid w:val="00535B2F"/>
    <w:rsid w:val="00535C73"/>
    <w:rsid w:val="00535D15"/>
    <w:rsid w:val="00536053"/>
    <w:rsid w:val="005363C6"/>
    <w:rsid w:val="005369E6"/>
    <w:rsid w:val="00536C80"/>
    <w:rsid w:val="005371AC"/>
    <w:rsid w:val="00537672"/>
    <w:rsid w:val="005376B5"/>
    <w:rsid w:val="0053772F"/>
    <w:rsid w:val="00537A70"/>
    <w:rsid w:val="00537B64"/>
    <w:rsid w:val="00537B77"/>
    <w:rsid w:val="005400ED"/>
    <w:rsid w:val="005407B0"/>
    <w:rsid w:val="00540C4C"/>
    <w:rsid w:val="00540D73"/>
    <w:rsid w:val="0054131C"/>
    <w:rsid w:val="00541469"/>
    <w:rsid w:val="00541571"/>
    <w:rsid w:val="005416D5"/>
    <w:rsid w:val="005419DA"/>
    <w:rsid w:val="00541B1F"/>
    <w:rsid w:val="00541C9D"/>
    <w:rsid w:val="0054275A"/>
    <w:rsid w:val="005428B8"/>
    <w:rsid w:val="005428BE"/>
    <w:rsid w:val="00542BD7"/>
    <w:rsid w:val="00543084"/>
    <w:rsid w:val="00543584"/>
    <w:rsid w:val="00543A9E"/>
    <w:rsid w:val="0054413A"/>
    <w:rsid w:val="00544288"/>
    <w:rsid w:val="005446BB"/>
    <w:rsid w:val="00544DA5"/>
    <w:rsid w:val="00544F43"/>
    <w:rsid w:val="005451B4"/>
    <w:rsid w:val="0054552D"/>
    <w:rsid w:val="00545997"/>
    <w:rsid w:val="00545E30"/>
    <w:rsid w:val="00545EA3"/>
    <w:rsid w:val="00546C9B"/>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69C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3CFA"/>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5D92"/>
    <w:rsid w:val="0057696F"/>
    <w:rsid w:val="005774FE"/>
    <w:rsid w:val="0058040C"/>
    <w:rsid w:val="00580842"/>
    <w:rsid w:val="00580D6D"/>
    <w:rsid w:val="00580FD8"/>
    <w:rsid w:val="005813DE"/>
    <w:rsid w:val="00581796"/>
    <w:rsid w:val="0058195C"/>
    <w:rsid w:val="00581B45"/>
    <w:rsid w:val="00582480"/>
    <w:rsid w:val="00582805"/>
    <w:rsid w:val="0058290E"/>
    <w:rsid w:val="00582CAB"/>
    <w:rsid w:val="00582FA6"/>
    <w:rsid w:val="00583375"/>
    <w:rsid w:val="005836D5"/>
    <w:rsid w:val="0058375E"/>
    <w:rsid w:val="00584233"/>
    <w:rsid w:val="005842D0"/>
    <w:rsid w:val="005845FB"/>
    <w:rsid w:val="00584E43"/>
    <w:rsid w:val="005850FB"/>
    <w:rsid w:val="005855AE"/>
    <w:rsid w:val="00585829"/>
    <w:rsid w:val="00585CA8"/>
    <w:rsid w:val="00586412"/>
    <w:rsid w:val="005864B9"/>
    <w:rsid w:val="00586564"/>
    <w:rsid w:val="005866C4"/>
    <w:rsid w:val="0058721E"/>
    <w:rsid w:val="00590F1A"/>
    <w:rsid w:val="00591C03"/>
    <w:rsid w:val="00591E2A"/>
    <w:rsid w:val="005923C4"/>
    <w:rsid w:val="0059327B"/>
    <w:rsid w:val="0059397D"/>
    <w:rsid w:val="00593EA2"/>
    <w:rsid w:val="00593F75"/>
    <w:rsid w:val="005940A0"/>
    <w:rsid w:val="0059429A"/>
    <w:rsid w:val="00594CBE"/>
    <w:rsid w:val="00596AF7"/>
    <w:rsid w:val="00596CCE"/>
    <w:rsid w:val="005A1976"/>
    <w:rsid w:val="005A2120"/>
    <w:rsid w:val="005A2501"/>
    <w:rsid w:val="005A2920"/>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5A"/>
    <w:rsid w:val="005A7885"/>
    <w:rsid w:val="005B12B2"/>
    <w:rsid w:val="005B143B"/>
    <w:rsid w:val="005B1890"/>
    <w:rsid w:val="005B19BD"/>
    <w:rsid w:val="005B1E45"/>
    <w:rsid w:val="005B21C4"/>
    <w:rsid w:val="005B2744"/>
    <w:rsid w:val="005B2A28"/>
    <w:rsid w:val="005B35AB"/>
    <w:rsid w:val="005B3621"/>
    <w:rsid w:val="005B39DF"/>
    <w:rsid w:val="005B3EBE"/>
    <w:rsid w:val="005B4948"/>
    <w:rsid w:val="005B501D"/>
    <w:rsid w:val="005B54CC"/>
    <w:rsid w:val="005B6C97"/>
    <w:rsid w:val="005B71BB"/>
    <w:rsid w:val="005B74AD"/>
    <w:rsid w:val="005B7E96"/>
    <w:rsid w:val="005C0177"/>
    <w:rsid w:val="005C0429"/>
    <w:rsid w:val="005C06A5"/>
    <w:rsid w:val="005C06CE"/>
    <w:rsid w:val="005C084F"/>
    <w:rsid w:val="005C0EE9"/>
    <w:rsid w:val="005C169F"/>
    <w:rsid w:val="005C16A8"/>
    <w:rsid w:val="005C1716"/>
    <w:rsid w:val="005C1762"/>
    <w:rsid w:val="005C1954"/>
    <w:rsid w:val="005C1C0B"/>
    <w:rsid w:val="005C2011"/>
    <w:rsid w:val="005C3EA3"/>
    <w:rsid w:val="005C44DE"/>
    <w:rsid w:val="005C5011"/>
    <w:rsid w:val="005C5241"/>
    <w:rsid w:val="005C529E"/>
    <w:rsid w:val="005C57BA"/>
    <w:rsid w:val="005C5C52"/>
    <w:rsid w:val="005C5D3D"/>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19A"/>
    <w:rsid w:val="005D2917"/>
    <w:rsid w:val="005D2EB2"/>
    <w:rsid w:val="005D2F48"/>
    <w:rsid w:val="005D319C"/>
    <w:rsid w:val="005D3B32"/>
    <w:rsid w:val="005D3BB1"/>
    <w:rsid w:val="005D464B"/>
    <w:rsid w:val="005D466F"/>
    <w:rsid w:val="005D49F0"/>
    <w:rsid w:val="005D4F5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4F9D"/>
    <w:rsid w:val="005E52C9"/>
    <w:rsid w:val="005E58C1"/>
    <w:rsid w:val="005E5FD6"/>
    <w:rsid w:val="005E781C"/>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F47"/>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3FE"/>
    <w:rsid w:val="00605AC3"/>
    <w:rsid w:val="00605FFC"/>
    <w:rsid w:val="00606908"/>
    <w:rsid w:val="0060776B"/>
    <w:rsid w:val="00607996"/>
    <w:rsid w:val="00607A37"/>
    <w:rsid w:val="00607E9F"/>
    <w:rsid w:val="00610035"/>
    <w:rsid w:val="0061085E"/>
    <w:rsid w:val="006112A7"/>
    <w:rsid w:val="00611398"/>
    <w:rsid w:val="006113B4"/>
    <w:rsid w:val="0061186D"/>
    <w:rsid w:val="00612322"/>
    <w:rsid w:val="006123C0"/>
    <w:rsid w:val="006129AB"/>
    <w:rsid w:val="00613191"/>
    <w:rsid w:val="0061338C"/>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61F"/>
    <w:rsid w:val="00633DBF"/>
    <w:rsid w:val="00634122"/>
    <w:rsid w:val="0063444B"/>
    <w:rsid w:val="00634BEF"/>
    <w:rsid w:val="00635E32"/>
    <w:rsid w:val="006360FC"/>
    <w:rsid w:val="006361B9"/>
    <w:rsid w:val="006361C9"/>
    <w:rsid w:val="00636405"/>
    <w:rsid w:val="006365DE"/>
    <w:rsid w:val="00636BE4"/>
    <w:rsid w:val="00636F88"/>
    <w:rsid w:val="0063732C"/>
    <w:rsid w:val="00637409"/>
    <w:rsid w:val="00637802"/>
    <w:rsid w:val="00637836"/>
    <w:rsid w:val="00637B91"/>
    <w:rsid w:val="00637C26"/>
    <w:rsid w:val="00637F44"/>
    <w:rsid w:val="00641078"/>
    <w:rsid w:val="00641242"/>
    <w:rsid w:val="00641761"/>
    <w:rsid w:val="00642126"/>
    <w:rsid w:val="006423FE"/>
    <w:rsid w:val="00642A32"/>
    <w:rsid w:val="00642B8E"/>
    <w:rsid w:val="00642F7C"/>
    <w:rsid w:val="006433D5"/>
    <w:rsid w:val="00643412"/>
    <w:rsid w:val="006457E1"/>
    <w:rsid w:val="00645844"/>
    <w:rsid w:val="00645CEB"/>
    <w:rsid w:val="00645E63"/>
    <w:rsid w:val="00646B20"/>
    <w:rsid w:val="00646C76"/>
    <w:rsid w:val="00646D0F"/>
    <w:rsid w:val="006479F9"/>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4E32"/>
    <w:rsid w:val="00655301"/>
    <w:rsid w:val="00655371"/>
    <w:rsid w:val="00655507"/>
    <w:rsid w:val="006564A5"/>
    <w:rsid w:val="00656C4B"/>
    <w:rsid w:val="00656F2E"/>
    <w:rsid w:val="006572A7"/>
    <w:rsid w:val="006573EA"/>
    <w:rsid w:val="006577C9"/>
    <w:rsid w:val="00660017"/>
    <w:rsid w:val="006606A4"/>
    <w:rsid w:val="00661029"/>
    <w:rsid w:val="006610C3"/>
    <w:rsid w:val="0066135A"/>
    <w:rsid w:val="00661A38"/>
    <w:rsid w:val="00662053"/>
    <w:rsid w:val="0066272D"/>
    <w:rsid w:val="00662E58"/>
    <w:rsid w:val="00662F39"/>
    <w:rsid w:val="0066352A"/>
    <w:rsid w:val="006635A0"/>
    <w:rsid w:val="00663D26"/>
    <w:rsid w:val="00664351"/>
    <w:rsid w:val="00665968"/>
    <w:rsid w:val="00665BF7"/>
    <w:rsid w:val="00665E65"/>
    <w:rsid w:val="00665FA4"/>
    <w:rsid w:val="006660F0"/>
    <w:rsid w:val="00666178"/>
    <w:rsid w:val="0066639E"/>
    <w:rsid w:val="00666473"/>
    <w:rsid w:val="00666B49"/>
    <w:rsid w:val="00666C72"/>
    <w:rsid w:val="00666E6C"/>
    <w:rsid w:val="0066707F"/>
    <w:rsid w:val="00667ED8"/>
    <w:rsid w:val="0067064C"/>
    <w:rsid w:val="00670B20"/>
    <w:rsid w:val="00670C7A"/>
    <w:rsid w:val="00670E12"/>
    <w:rsid w:val="00670F27"/>
    <w:rsid w:val="0067216B"/>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EA"/>
    <w:rsid w:val="006811C9"/>
    <w:rsid w:val="006812CE"/>
    <w:rsid w:val="006824B2"/>
    <w:rsid w:val="006826C1"/>
    <w:rsid w:val="00682C89"/>
    <w:rsid w:val="006832B8"/>
    <w:rsid w:val="00683329"/>
    <w:rsid w:val="006837B2"/>
    <w:rsid w:val="00683800"/>
    <w:rsid w:val="00684462"/>
    <w:rsid w:val="006848D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51C"/>
    <w:rsid w:val="00693772"/>
    <w:rsid w:val="00693984"/>
    <w:rsid w:val="00693B77"/>
    <w:rsid w:val="00694160"/>
    <w:rsid w:val="00694705"/>
    <w:rsid w:val="00694B42"/>
    <w:rsid w:val="00694E8B"/>
    <w:rsid w:val="006959A5"/>
    <w:rsid w:val="00695C0C"/>
    <w:rsid w:val="00696736"/>
    <w:rsid w:val="00696A05"/>
    <w:rsid w:val="00697665"/>
    <w:rsid w:val="00697C9A"/>
    <w:rsid w:val="00697E68"/>
    <w:rsid w:val="00697FC1"/>
    <w:rsid w:val="006A0274"/>
    <w:rsid w:val="006A039D"/>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7C3"/>
    <w:rsid w:val="006A7AB8"/>
    <w:rsid w:val="006A7CB5"/>
    <w:rsid w:val="006A7FD0"/>
    <w:rsid w:val="006B025C"/>
    <w:rsid w:val="006B04DB"/>
    <w:rsid w:val="006B08ED"/>
    <w:rsid w:val="006B1488"/>
    <w:rsid w:val="006B2170"/>
    <w:rsid w:val="006B2534"/>
    <w:rsid w:val="006B2CB2"/>
    <w:rsid w:val="006B347D"/>
    <w:rsid w:val="006B3E19"/>
    <w:rsid w:val="006B4488"/>
    <w:rsid w:val="006B4D5D"/>
    <w:rsid w:val="006B50C4"/>
    <w:rsid w:val="006B53AE"/>
    <w:rsid w:val="006B58B4"/>
    <w:rsid w:val="006B67AC"/>
    <w:rsid w:val="006B7593"/>
    <w:rsid w:val="006B786A"/>
    <w:rsid w:val="006B7E4E"/>
    <w:rsid w:val="006C003A"/>
    <w:rsid w:val="006C107C"/>
    <w:rsid w:val="006C189C"/>
    <w:rsid w:val="006C20F9"/>
    <w:rsid w:val="006C2454"/>
    <w:rsid w:val="006C2551"/>
    <w:rsid w:val="006C27B9"/>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8E2"/>
    <w:rsid w:val="006D2C65"/>
    <w:rsid w:val="006D2E4A"/>
    <w:rsid w:val="006D32C6"/>
    <w:rsid w:val="006D360E"/>
    <w:rsid w:val="006D3697"/>
    <w:rsid w:val="006D39D2"/>
    <w:rsid w:val="006D3A94"/>
    <w:rsid w:val="006D3F2A"/>
    <w:rsid w:val="006D4370"/>
    <w:rsid w:val="006D46A3"/>
    <w:rsid w:val="006D5039"/>
    <w:rsid w:val="006D5842"/>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10A"/>
    <w:rsid w:val="006E41E6"/>
    <w:rsid w:val="006E437F"/>
    <w:rsid w:val="006E4D5B"/>
    <w:rsid w:val="006E602F"/>
    <w:rsid w:val="006E6720"/>
    <w:rsid w:val="006E6F73"/>
    <w:rsid w:val="006E7275"/>
    <w:rsid w:val="006E77B8"/>
    <w:rsid w:val="006E7AAF"/>
    <w:rsid w:val="006E7EF4"/>
    <w:rsid w:val="006F0F74"/>
    <w:rsid w:val="006F13A9"/>
    <w:rsid w:val="006F13BA"/>
    <w:rsid w:val="006F15CC"/>
    <w:rsid w:val="006F15F6"/>
    <w:rsid w:val="006F36EA"/>
    <w:rsid w:val="006F3B2B"/>
    <w:rsid w:val="006F4147"/>
    <w:rsid w:val="006F4315"/>
    <w:rsid w:val="006F4CB0"/>
    <w:rsid w:val="006F4F78"/>
    <w:rsid w:val="006F547E"/>
    <w:rsid w:val="006F5CCF"/>
    <w:rsid w:val="006F68C2"/>
    <w:rsid w:val="006F6F04"/>
    <w:rsid w:val="006F71F5"/>
    <w:rsid w:val="006F72A8"/>
    <w:rsid w:val="006F79BB"/>
    <w:rsid w:val="006F7EBA"/>
    <w:rsid w:val="007000A6"/>
    <w:rsid w:val="007003CF"/>
    <w:rsid w:val="00700610"/>
    <w:rsid w:val="0070138A"/>
    <w:rsid w:val="0070157E"/>
    <w:rsid w:val="00702858"/>
    <w:rsid w:val="007030D4"/>
    <w:rsid w:val="00703279"/>
    <w:rsid w:val="00703B61"/>
    <w:rsid w:val="00703E11"/>
    <w:rsid w:val="00704102"/>
    <w:rsid w:val="0070437C"/>
    <w:rsid w:val="0070461C"/>
    <w:rsid w:val="00704F37"/>
    <w:rsid w:val="00705631"/>
    <w:rsid w:val="00705818"/>
    <w:rsid w:val="00705D65"/>
    <w:rsid w:val="00705F62"/>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CC4"/>
    <w:rsid w:val="00720A12"/>
    <w:rsid w:val="0072138B"/>
    <w:rsid w:val="00721BFF"/>
    <w:rsid w:val="007232EE"/>
    <w:rsid w:val="00723475"/>
    <w:rsid w:val="007236C4"/>
    <w:rsid w:val="00724635"/>
    <w:rsid w:val="00724F21"/>
    <w:rsid w:val="00725134"/>
    <w:rsid w:val="0072554B"/>
    <w:rsid w:val="0072571F"/>
    <w:rsid w:val="00725AFD"/>
    <w:rsid w:val="00726603"/>
    <w:rsid w:val="007266AC"/>
    <w:rsid w:val="00727AA5"/>
    <w:rsid w:val="00727B1D"/>
    <w:rsid w:val="00727DDC"/>
    <w:rsid w:val="00730CD6"/>
    <w:rsid w:val="00730F74"/>
    <w:rsid w:val="0073114B"/>
    <w:rsid w:val="00732151"/>
    <w:rsid w:val="00732EBC"/>
    <w:rsid w:val="007330FE"/>
    <w:rsid w:val="007333B6"/>
    <w:rsid w:val="00734952"/>
    <w:rsid w:val="00734987"/>
    <w:rsid w:val="00734990"/>
    <w:rsid w:val="00734FF5"/>
    <w:rsid w:val="00735B78"/>
    <w:rsid w:val="00735DA7"/>
    <w:rsid w:val="00735E2E"/>
    <w:rsid w:val="00736700"/>
    <w:rsid w:val="00736792"/>
    <w:rsid w:val="007368B4"/>
    <w:rsid w:val="007378E0"/>
    <w:rsid w:val="0074040E"/>
    <w:rsid w:val="00740529"/>
    <w:rsid w:val="00740876"/>
    <w:rsid w:val="00741358"/>
    <w:rsid w:val="007414D0"/>
    <w:rsid w:val="00741626"/>
    <w:rsid w:val="00742014"/>
    <w:rsid w:val="00742332"/>
    <w:rsid w:val="00742886"/>
    <w:rsid w:val="00742A3A"/>
    <w:rsid w:val="00742DD2"/>
    <w:rsid w:val="00742E47"/>
    <w:rsid w:val="007437C6"/>
    <w:rsid w:val="007441A2"/>
    <w:rsid w:val="00744E80"/>
    <w:rsid w:val="00745035"/>
    <w:rsid w:val="0074531C"/>
    <w:rsid w:val="00745547"/>
    <w:rsid w:val="007459D0"/>
    <w:rsid w:val="0074623A"/>
    <w:rsid w:val="00746420"/>
    <w:rsid w:val="007465DD"/>
    <w:rsid w:val="00746635"/>
    <w:rsid w:val="00746A60"/>
    <w:rsid w:val="00746E04"/>
    <w:rsid w:val="00746E08"/>
    <w:rsid w:val="00746E3D"/>
    <w:rsid w:val="007473B9"/>
    <w:rsid w:val="00747C96"/>
    <w:rsid w:val="00747CF5"/>
    <w:rsid w:val="00750075"/>
    <w:rsid w:val="007502EC"/>
    <w:rsid w:val="00750382"/>
    <w:rsid w:val="0075094E"/>
    <w:rsid w:val="00750A29"/>
    <w:rsid w:val="00750FA8"/>
    <w:rsid w:val="00750FB5"/>
    <w:rsid w:val="007520F0"/>
    <w:rsid w:val="007522E8"/>
    <w:rsid w:val="007529DB"/>
    <w:rsid w:val="007534AD"/>
    <w:rsid w:val="00753771"/>
    <w:rsid w:val="00753A55"/>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055"/>
    <w:rsid w:val="0076445F"/>
    <w:rsid w:val="00764EC5"/>
    <w:rsid w:val="007651EF"/>
    <w:rsid w:val="00765CC9"/>
    <w:rsid w:val="00766D49"/>
    <w:rsid w:val="00766ECC"/>
    <w:rsid w:val="007672F3"/>
    <w:rsid w:val="007677B5"/>
    <w:rsid w:val="007678B1"/>
    <w:rsid w:val="007708A8"/>
    <w:rsid w:val="00772100"/>
    <w:rsid w:val="00772275"/>
    <w:rsid w:val="00772C9A"/>
    <w:rsid w:val="007734E4"/>
    <w:rsid w:val="0077380D"/>
    <w:rsid w:val="00773BC8"/>
    <w:rsid w:val="00774549"/>
    <w:rsid w:val="007745D9"/>
    <w:rsid w:val="0077466F"/>
    <w:rsid w:val="00775198"/>
    <w:rsid w:val="007752B7"/>
    <w:rsid w:val="007759A8"/>
    <w:rsid w:val="00775C27"/>
    <w:rsid w:val="00775D98"/>
    <w:rsid w:val="00775E4F"/>
    <w:rsid w:val="00776B93"/>
    <w:rsid w:val="00776FE5"/>
    <w:rsid w:val="00777101"/>
    <w:rsid w:val="007774E7"/>
    <w:rsid w:val="0077768C"/>
    <w:rsid w:val="00777696"/>
    <w:rsid w:val="00777EDF"/>
    <w:rsid w:val="00777FF4"/>
    <w:rsid w:val="00780251"/>
    <w:rsid w:val="007804FE"/>
    <w:rsid w:val="0078064A"/>
    <w:rsid w:val="00780F32"/>
    <w:rsid w:val="00781049"/>
    <w:rsid w:val="0078122E"/>
    <w:rsid w:val="00781939"/>
    <w:rsid w:val="00781D29"/>
    <w:rsid w:val="007825EF"/>
    <w:rsid w:val="0078286B"/>
    <w:rsid w:val="00782D2C"/>
    <w:rsid w:val="00782E34"/>
    <w:rsid w:val="00782FC2"/>
    <w:rsid w:val="0078347A"/>
    <w:rsid w:val="00783E93"/>
    <w:rsid w:val="0078410A"/>
    <w:rsid w:val="00784938"/>
    <w:rsid w:val="00784FC4"/>
    <w:rsid w:val="007859C8"/>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1A"/>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4CB0"/>
    <w:rsid w:val="007A5250"/>
    <w:rsid w:val="007A58FE"/>
    <w:rsid w:val="007A5947"/>
    <w:rsid w:val="007A5EDC"/>
    <w:rsid w:val="007A717B"/>
    <w:rsid w:val="007A7714"/>
    <w:rsid w:val="007B0302"/>
    <w:rsid w:val="007B0313"/>
    <w:rsid w:val="007B0854"/>
    <w:rsid w:val="007B0C3F"/>
    <w:rsid w:val="007B0E48"/>
    <w:rsid w:val="007B1D1B"/>
    <w:rsid w:val="007B209C"/>
    <w:rsid w:val="007B21AA"/>
    <w:rsid w:val="007B240E"/>
    <w:rsid w:val="007B2504"/>
    <w:rsid w:val="007B2549"/>
    <w:rsid w:val="007B303E"/>
    <w:rsid w:val="007B32C0"/>
    <w:rsid w:val="007B32F7"/>
    <w:rsid w:val="007B3659"/>
    <w:rsid w:val="007B3881"/>
    <w:rsid w:val="007B38B5"/>
    <w:rsid w:val="007B3BF3"/>
    <w:rsid w:val="007B431B"/>
    <w:rsid w:val="007B4558"/>
    <w:rsid w:val="007B4632"/>
    <w:rsid w:val="007B46A2"/>
    <w:rsid w:val="007B4828"/>
    <w:rsid w:val="007B4B2D"/>
    <w:rsid w:val="007B4C25"/>
    <w:rsid w:val="007B4D4A"/>
    <w:rsid w:val="007B5428"/>
    <w:rsid w:val="007B591E"/>
    <w:rsid w:val="007B59B7"/>
    <w:rsid w:val="007B59D8"/>
    <w:rsid w:val="007B6C64"/>
    <w:rsid w:val="007B6EC8"/>
    <w:rsid w:val="007B6F81"/>
    <w:rsid w:val="007B7EA2"/>
    <w:rsid w:val="007C097D"/>
    <w:rsid w:val="007C0AF2"/>
    <w:rsid w:val="007C1672"/>
    <w:rsid w:val="007C17AE"/>
    <w:rsid w:val="007C1BDC"/>
    <w:rsid w:val="007C1EDD"/>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6E38"/>
    <w:rsid w:val="007D7CFC"/>
    <w:rsid w:val="007E0812"/>
    <w:rsid w:val="007E0825"/>
    <w:rsid w:val="007E0C77"/>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5105"/>
    <w:rsid w:val="007F5A56"/>
    <w:rsid w:val="007F5D42"/>
    <w:rsid w:val="007F616E"/>
    <w:rsid w:val="007F6B46"/>
    <w:rsid w:val="007F72CB"/>
    <w:rsid w:val="007F736A"/>
    <w:rsid w:val="007F7635"/>
    <w:rsid w:val="007F785F"/>
    <w:rsid w:val="007F7961"/>
    <w:rsid w:val="007F7AF6"/>
    <w:rsid w:val="007F7B1F"/>
    <w:rsid w:val="007F7E36"/>
    <w:rsid w:val="00800E6D"/>
    <w:rsid w:val="008014D9"/>
    <w:rsid w:val="0080150F"/>
    <w:rsid w:val="0080153A"/>
    <w:rsid w:val="00801A2A"/>
    <w:rsid w:val="00802041"/>
    <w:rsid w:val="008022C9"/>
    <w:rsid w:val="00802605"/>
    <w:rsid w:val="00802F9E"/>
    <w:rsid w:val="00803700"/>
    <w:rsid w:val="00803D9D"/>
    <w:rsid w:val="00805496"/>
    <w:rsid w:val="008055E1"/>
    <w:rsid w:val="00805901"/>
    <w:rsid w:val="008059C6"/>
    <w:rsid w:val="00805AD7"/>
    <w:rsid w:val="00805BD6"/>
    <w:rsid w:val="00805DE3"/>
    <w:rsid w:val="008070BE"/>
    <w:rsid w:val="00807C35"/>
    <w:rsid w:val="00807F35"/>
    <w:rsid w:val="00807F69"/>
    <w:rsid w:val="0081005B"/>
    <w:rsid w:val="008100F7"/>
    <w:rsid w:val="00810206"/>
    <w:rsid w:val="0081022B"/>
    <w:rsid w:val="00810A15"/>
    <w:rsid w:val="00811898"/>
    <w:rsid w:val="00811CDC"/>
    <w:rsid w:val="008124D8"/>
    <w:rsid w:val="008135BB"/>
    <w:rsid w:val="0081381B"/>
    <w:rsid w:val="00813A7B"/>
    <w:rsid w:val="00813F04"/>
    <w:rsid w:val="0081513E"/>
    <w:rsid w:val="00815DA5"/>
    <w:rsid w:val="00816221"/>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86"/>
    <w:rsid w:val="00822EC4"/>
    <w:rsid w:val="0082348D"/>
    <w:rsid w:val="008236BE"/>
    <w:rsid w:val="008241CE"/>
    <w:rsid w:val="00825240"/>
    <w:rsid w:val="00825B43"/>
    <w:rsid w:val="00826F71"/>
    <w:rsid w:val="00827CC0"/>
    <w:rsid w:val="00827FB6"/>
    <w:rsid w:val="00830051"/>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2B0"/>
    <w:rsid w:val="00836E74"/>
    <w:rsid w:val="00836EAB"/>
    <w:rsid w:val="00837673"/>
    <w:rsid w:val="008377B1"/>
    <w:rsid w:val="00837937"/>
    <w:rsid w:val="00837D82"/>
    <w:rsid w:val="00840893"/>
    <w:rsid w:val="00840E88"/>
    <w:rsid w:val="008410B1"/>
    <w:rsid w:val="0084187F"/>
    <w:rsid w:val="0084234C"/>
    <w:rsid w:val="008423EC"/>
    <w:rsid w:val="008429A6"/>
    <w:rsid w:val="00843615"/>
    <w:rsid w:val="00843698"/>
    <w:rsid w:val="008436C2"/>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0F99"/>
    <w:rsid w:val="0085100B"/>
    <w:rsid w:val="008510A1"/>
    <w:rsid w:val="0085304C"/>
    <w:rsid w:val="008536BB"/>
    <w:rsid w:val="00853A3C"/>
    <w:rsid w:val="008548CA"/>
    <w:rsid w:val="00854C9A"/>
    <w:rsid w:val="00855C11"/>
    <w:rsid w:val="00855F88"/>
    <w:rsid w:val="008563B0"/>
    <w:rsid w:val="00856804"/>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59"/>
    <w:rsid w:val="008650BE"/>
    <w:rsid w:val="00865D6F"/>
    <w:rsid w:val="00865EAF"/>
    <w:rsid w:val="0086633B"/>
    <w:rsid w:val="00866495"/>
    <w:rsid w:val="00866881"/>
    <w:rsid w:val="00866931"/>
    <w:rsid w:val="00867512"/>
    <w:rsid w:val="008678A3"/>
    <w:rsid w:val="00867C13"/>
    <w:rsid w:val="00867C1D"/>
    <w:rsid w:val="008701CD"/>
    <w:rsid w:val="0087033C"/>
    <w:rsid w:val="008715ED"/>
    <w:rsid w:val="008717D8"/>
    <w:rsid w:val="00871E3C"/>
    <w:rsid w:val="00872F97"/>
    <w:rsid w:val="00874607"/>
    <w:rsid w:val="008746F4"/>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168"/>
    <w:rsid w:val="00883559"/>
    <w:rsid w:val="008850EB"/>
    <w:rsid w:val="00885228"/>
    <w:rsid w:val="008857E3"/>
    <w:rsid w:val="00886DF2"/>
    <w:rsid w:val="00886FAA"/>
    <w:rsid w:val="00886FB9"/>
    <w:rsid w:val="00887057"/>
    <w:rsid w:val="00887080"/>
    <w:rsid w:val="00887C79"/>
    <w:rsid w:val="008908DC"/>
    <w:rsid w:val="0089107B"/>
    <w:rsid w:val="008913CC"/>
    <w:rsid w:val="008914AE"/>
    <w:rsid w:val="008919CF"/>
    <w:rsid w:val="00891C9A"/>
    <w:rsid w:val="00891F84"/>
    <w:rsid w:val="00891FC3"/>
    <w:rsid w:val="008928EC"/>
    <w:rsid w:val="00892A15"/>
    <w:rsid w:val="00892E5D"/>
    <w:rsid w:val="008935CF"/>
    <w:rsid w:val="0089422F"/>
    <w:rsid w:val="0089436B"/>
    <w:rsid w:val="00894436"/>
    <w:rsid w:val="00894BB1"/>
    <w:rsid w:val="008951D0"/>
    <w:rsid w:val="00895442"/>
    <w:rsid w:val="0089582D"/>
    <w:rsid w:val="008959C6"/>
    <w:rsid w:val="0089606D"/>
    <w:rsid w:val="00896129"/>
    <w:rsid w:val="008961B8"/>
    <w:rsid w:val="00896316"/>
    <w:rsid w:val="0089774F"/>
    <w:rsid w:val="00897875"/>
    <w:rsid w:val="00897B8F"/>
    <w:rsid w:val="008A00D9"/>
    <w:rsid w:val="008A0753"/>
    <w:rsid w:val="008A07D5"/>
    <w:rsid w:val="008A117B"/>
    <w:rsid w:val="008A12A7"/>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5FC"/>
    <w:rsid w:val="008B1BAB"/>
    <w:rsid w:val="008B1BF5"/>
    <w:rsid w:val="008B263F"/>
    <w:rsid w:val="008B3045"/>
    <w:rsid w:val="008B46D0"/>
    <w:rsid w:val="008B47A6"/>
    <w:rsid w:val="008B5C7C"/>
    <w:rsid w:val="008B5D21"/>
    <w:rsid w:val="008B63FE"/>
    <w:rsid w:val="008B672C"/>
    <w:rsid w:val="008B6883"/>
    <w:rsid w:val="008B7108"/>
    <w:rsid w:val="008C065F"/>
    <w:rsid w:val="008C0743"/>
    <w:rsid w:val="008C0B4C"/>
    <w:rsid w:val="008C11F0"/>
    <w:rsid w:val="008C121A"/>
    <w:rsid w:val="008C1918"/>
    <w:rsid w:val="008C1DBA"/>
    <w:rsid w:val="008C24E7"/>
    <w:rsid w:val="008C2500"/>
    <w:rsid w:val="008C2944"/>
    <w:rsid w:val="008C2CAC"/>
    <w:rsid w:val="008C3C57"/>
    <w:rsid w:val="008C3E2A"/>
    <w:rsid w:val="008C45BD"/>
    <w:rsid w:val="008C4B19"/>
    <w:rsid w:val="008C62D4"/>
    <w:rsid w:val="008C6B89"/>
    <w:rsid w:val="008C6B97"/>
    <w:rsid w:val="008C7EF7"/>
    <w:rsid w:val="008D094D"/>
    <w:rsid w:val="008D1008"/>
    <w:rsid w:val="008D18AA"/>
    <w:rsid w:val="008D1A2A"/>
    <w:rsid w:val="008D1ADE"/>
    <w:rsid w:val="008D3199"/>
    <w:rsid w:val="008D35D9"/>
    <w:rsid w:val="008D3955"/>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6E2"/>
    <w:rsid w:val="008E38B4"/>
    <w:rsid w:val="008E3BA4"/>
    <w:rsid w:val="008E3F17"/>
    <w:rsid w:val="008E44AB"/>
    <w:rsid w:val="008E46DA"/>
    <w:rsid w:val="008E4CAE"/>
    <w:rsid w:val="008E5179"/>
    <w:rsid w:val="008E57FE"/>
    <w:rsid w:val="008E6598"/>
    <w:rsid w:val="008E6896"/>
    <w:rsid w:val="008E6BAD"/>
    <w:rsid w:val="008E710F"/>
    <w:rsid w:val="008E7214"/>
    <w:rsid w:val="008E7471"/>
    <w:rsid w:val="008E7497"/>
    <w:rsid w:val="008E7884"/>
    <w:rsid w:val="008E7D6E"/>
    <w:rsid w:val="008F09E6"/>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0D53"/>
    <w:rsid w:val="009015BE"/>
    <w:rsid w:val="00901F1D"/>
    <w:rsid w:val="0090260C"/>
    <w:rsid w:val="009028E8"/>
    <w:rsid w:val="00902E5C"/>
    <w:rsid w:val="0090363E"/>
    <w:rsid w:val="00903788"/>
    <w:rsid w:val="0090392B"/>
    <w:rsid w:val="009046E5"/>
    <w:rsid w:val="009047C5"/>
    <w:rsid w:val="00910683"/>
    <w:rsid w:val="0091074C"/>
    <w:rsid w:val="00910E00"/>
    <w:rsid w:val="00910E04"/>
    <w:rsid w:val="009116CE"/>
    <w:rsid w:val="00911714"/>
    <w:rsid w:val="00911D04"/>
    <w:rsid w:val="00911EFF"/>
    <w:rsid w:val="009121D7"/>
    <w:rsid w:val="0091310F"/>
    <w:rsid w:val="009136D4"/>
    <w:rsid w:val="00914B9A"/>
    <w:rsid w:val="00914C3F"/>
    <w:rsid w:val="00914F33"/>
    <w:rsid w:val="00915EFE"/>
    <w:rsid w:val="00915FCE"/>
    <w:rsid w:val="0091690B"/>
    <w:rsid w:val="00916AFE"/>
    <w:rsid w:val="00916FC8"/>
    <w:rsid w:val="009170D3"/>
    <w:rsid w:val="0091759C"/>
    <w:rsid w:val="00920026"/>
    <w:rsid w:val="009203E2"/>
    <w:rsid w:val="00920BF5"/>
    <w:rsid w:val="00920F61"/>
    <w:rsid w:val="00921304"/>
    <w:rsid w:val="00921395"/>
    <w:rsid w:val="00921805"/>
    <w:rsid w:val="00921E63"/>
    <w:rsid w:val="00923396"/>
    <w:rsid w:val="0092361F"/>
    <w:rsid w:val="00923F56"/>
    <w:rsid w:val="009242A6"/>
    <w:rsid w:val="00924770"/>
    <w:rsid w:val="00925346"/>
    <w:rsid w:val="00925743"/>
    <w:rsid w:val="0092579F"/>
    <w:rsid w:val="00927E8D"/>
    <w:rsid w:val="00927EEE"/>
    <w:rsid w:val="00927F23"/>
    <w:rsid w:val="009307CD"/>
    <w:rsid w:val="00930F83"/>
    <w:rsid w:val="00931364"/>
    <w:rsid w:val="00931365"/>
    <w:rsid w:val="00931451"/>
    <w:rsid w:val="009314FA"/>
    <w:rsid w:val="009317DF"/>
    <w:rsid w:val="0093194F"/>
    <w:rsid w:val="00931BF3"/>
    <w:rsid w:val="00931C55"/>
    <w:rsid w:val="0093228F"/>
    <w:rsid w:val="00933333"/>
    <w:rsid w:val="0093349A"/>
    <w:rsid w:val="0093360C"/>
    <w:rsid w:val="009338BA"/>
    <w:rsid w:val="00933FCB"/>
    <w:rsid w:val="009346C8"/>
    <w:rsid w:val="00934CEC"/>
    <w:rsid w:val="00934E69"/>
    <w:rsid w:val="0093563E"/>
    <w:rsid w:val="00935E70"/>
    <w:rsid w:val="0093609A"/>
    <w:rsid w:val="0093694D"/>
    <w:rsid w:val="00937401"/>
    <w:rsid w:val="009376FB"/>
    <w:rsid w:val="00937D6B"/>
    <w:rsid w:val="00940477"/>
    <w:rsid w:val="00940876"/>
    <w:rsid w:val="00940A53"/>
    <w:rsid w:val="00940F3C"/>
    <w:rsid w:val="009410E0"/>
    <w:rsid w:val="00941FA9"/>
    <w:rsid w:val="009439B6"/>
    <w:rsid w:val="009440BA"/>
    <w:rsid w:val="0094420C"/>
    <w:rsid w:val="00944456"/>
    <w:rsid w:val="009444B4"/>
    <w:rsid w:val="00944644"/>
    <w:rsid w:val="00945811"/>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B74"/>
    <w:rsid w:val="00961C14"/>
    <w:rsid w:val="00961D53"/>
    <w:rsid w:val="00961E5F"/>
    <w:rsid w:val="009625C6"/>
    <w:rsid w:val="009629B5"/>
    <w:rsid w:val="00962A50"/>
    <w:rsid w:val="00963550"/>
    <w:rsid w:val="00963933"/>
    <w:rsid w:val="00964138"/>
    <w:rsid w:val="009648D6"/>
    <w:rsid w:val="00964B3F"/>
    <w:rsid w:val="00964C98"/>
    <w:rsid w:val="00965729"/>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775DB"/>
    <w:rsid w:val="0098022F"/>
    <w:rsid w:val="009804C1"/>
    <w:rsid w:val="009810C5"/>
    <w:rsid w:val="009810DE"/>
    <w:rsid w:val="00981B91"/>
    <w:rsid w:val="009822D7"/>
    <w:rsid w:val="009827E6"/>
    <w:rsid w:val="0098298D"/>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2BE"/>
    <w:rsid w:val="00993B78"/>
    <w:rsid w:val="00994F3F"/>
    <w:rsid w:val="00995119"/>
    <w:rsid w:val="0099531F"/>
    <w:rsid w:val="009953AD"/>
    <w:rsid w:val="009957D7"/>
    <w:rsid w:val="0099583D"/>
    <w:rsid w:val="00996020"/>
    <w:rsid w:val="0099629E"/>
    <w:rsid w:val="00996992"/>
    <w:rsid w:val="00996E1E"/>
    <w:rsid w:val="00996FC6"/>
    <w:rsid w:val="00997148"/>
    <w:rsid w:val="00997392"/>
    <w:rsid w:val="0099747C"/>
    <w:rsid w:val="0099771C"/>
    <w:rsid w:val="00997A2E"/>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298"/>
    <w:rsid w:val="009A6FDF"/>
    <w:rsid w:val="009A715F"/>
    <w:rsid w:val="009A76D6"/>
    <w:rsid w:val="009B03F1"/>
    <w:rsid w:val="009B0A04"/>
    <w:rsid w:val="009B20DC"/>
    <w:rsid w:val="009B2374"/>
    <w:rsid w:val="009B28D6"/>
    <w:rsid w:val="009B2E29"/>
    <w:rsid w:val="009B3163"/>
    <w:rsid w:val="009B422F"/>
    <w:rsid w:val="009B46BC"/>
    <w:rsid w:val="009B4D1A"/>
    <w:rsid w:val="009B4EB9"/>
    <w:rsid w:val="009B519D"/>
    <w:rsid w:val="009B558B"/>
    <w:rsid w:val="009B663F"/>
    <w:rsid w:val="009B66DF"/>
    <w:rsid w:val="009B6863"/>
    <w:rsid w:val="009B6D21"/>
    <w:rsid w:val="009B740F"/>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182"/>
    <w:rsid w:val="009C6799"/>
    <w:rsid w:val="009C6BFC"/>
    <w:rsid w:val="009C70F8"/>
    <w:rsid w:val="009C7113"/>
    <w:rsid w:val="009C78A3"/>
    <w:rsid w:val="009C7E68"/>
    <w:rsid w:val="009D00D7"/>
    <w:rsid w:val="009D0156"/>
    <w:rsid w:val="009D03B4"/>
    <w:rsid w:val="009D05DA"/>
    <w:rsid w:val="009D09EE"/>
    <w:rsid w:val="009D11F6"/>
    <w:rsid w:val="009D1A14"/>
    <w:rsid w:val="009D1E2A"/>
    <w:rsid w:val="009D1FA0"/>
    <w:rsid w:val="009D2BDF"/>
    <w:rsid w:val="009D3141"/>
    <w:rsid w:val="009D3736"/>
    <w:rsid w:val="009D4529"/>
    <w:rsid w:val="009D460F"/>
    <w:rsid w:val="009D604F"/>
    <w:rsid w:val="009D607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640"/>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A88"/>
    <w:rsid w:val="009F4F25"/>
    <w:rsid w:val="009F59C2"/>
    <w:rsid w:val="009F7263"/>
    <w:rsid w:val="009F76EA"/>
    <w:rsid w:val="009F78EB"/>
    <w:rsid w:val="009F7DB2"/>
    <w:rsid w:val="009F7DBF"/>
    <w:rsid w:val="009F7F32"/>
    <w:rsid w:val="009F7FA0"/>
    <w:rsid w:val="009F7FEB"/>
    <w:rsid w:val="00A003D5"/>
    <w:rsid w:val="00A0056C"/>
    <w:rsid w:val="00A00CF1"/>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43D"/>
    <w:rsid w:val="00A078FB"/>
    <w:rsid w:val="00A07F4D"/>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541"/>
    <w:rsid w:val="00A15621"/>
    <w:rsid w:val="00A15670"/>
    <w:rsid w:val="00A157A0"/>
    <w:rsid w:val="00A1585B"/>
    <w:rsid w:val="00A15C19"/>
    <w:rsid w:val="00A15FE9"/>
    <w:rsid w:val="00A16809"/>
    <w:rsid w:val="00A17584"/>
    <w:rsid w:val="00A17769"/>
    <w:rsid w:val="00A17983"/>
    <w:rsid w:val="00A17EA2"/>
    <w:rsid w:val="00A20264"/>
    <w:rsid w:val="00A20997"/>
    <w:rsid w:val="00A210D4"/>
    <w:rsid w:val="00A213DD"/>
    <w:rsid w:val="00A21454"/>
    <w:rsid w:val="00A216CE"/>
    <w:rsid w:val="00A2191E"/>
    <w:rsid w:val="00A22025"/>
    <w:rsid w:val="00A22498"/>
    <w:rsid w:val="00A22571"/>
    <w:rsid w:val="00A2268D"/>
    <w:rsid w:val="00A2298D"/>
    <w:rsid w:val="00A235E1"/>
    <w:rsid w:val="00A24560"/>
    <w:rsid w:val="00A25069"/>
    <w:rsid w:val="00A25940"/>
    <w:rsid w:val="00A25B0F"/>
    <w:rsid w:val="00A25BBB"/>
    <w:rsid w:val="00A26514"/>
    <w:rsid w:val="00A265E1"/>
    <w:rsid w:val="00A27FB6"/>
    <w:rsid w:val="00A30121"/>
    <w:rsid w:val="00A30368"/>
    <w:rsid w:val="00A3043A"/>
    <w:rsid w:val="00A30E02"/>
    <w:rsid w:val="00A30F6A"/>
    <w:rsid w:val="00A31060"/>
    <w:rsid w:val="00A31C3E"/>
    <w:rsid w:val="00A34538"/>
    <w:rsid w:val="00A34677"/>
    <w:rsid w:val="00A3540F"/>
    <w:rsid w:val="00A355B0"/>
    <w:rsid w:val="00A35630"/>
    <w:rsid w:val="00A35914"/>
    <w:rsid w:val="00A36189"/>
    <w:rsid w:val="00A366A6"/>
    <w:rsid w:val="00A3677A"/>
    <w:rsid w:val="00A3791C"/>
    <w:rsid w:val="00A379CD"/>
    <w:rsid w:val="00A37E73"/>
    <w:rsid w:val="00A37FB6"/>
    <w:rsid w:val="00A409E2"/>
    <w:rsid w:val="00A4104A"/>
    <w:rsid w:val="00A41081"/>
    <w:rsid w:val="00A411CA"/>
    <w:rsid w:val="00A42080"/>
    <w:rsid w:val="00A42096"/>
    <w:rsid w:val="00A426F3"/>
    <w:rsid w:val="00A42FDF"/>
    <w:rsid w:val="00A430A9"/>
    <w:rsid w:val="00A431FE"/>
    <w:rsid w:val="00A4352C"/>
    <w:rsid w:val="00A4384F"/>
    <w:rsid w:val="00A439E5"/>
    <w:rsid w:val="00A4414E"/>
    <w:rsid w:val="00A4497A"/>
    <w:rsid w:val="00A44AB5"/>
    <w:rsid w:val="00A44BE8"/>
    <w:rsid w:val="00A44C96"/>
    <w:rsid w:val="00A44CDD"/>
    <w:rsid w:val="00A44F54"/>
    <w:rsid w:val="00A45F9B"/>
    <w:rsid w:val="00A46574"/>
    <w:rsid w:val="00A47701"/>
    <w:rsid w:val="00A47849"/>
    <w:rsid w:val="00A47D36"/>
    <w:rsid w:val="00A500B1"/>
    <w:rsid w:val="00A52A53"/>
    <w:rsid w:val="00A52EE5"/>
    <w:rsid w:val="00A53037"/>
    <w:rsid w:val="00A532B9"/>
    <w:rsid w:val="00A5351D"/>
    <w:rsid w:val="00A53DF7"/>
    <w:rsid w:val="00A53E79"/>
    <w:rsid w:val="00A54031"/>
    <w:rsid w:val="00A5426D"/>
    <w:rsid w:val="00A54FC2"/>
    <w:rsid w:val="00A550CF"/>
    <w:rsid w:val="00A55122"/>
    <w:rsid w:val="00A55806"/>
    <w:rsid w:val="00A55CEA"/>
    <w:rsid w:val="00A5616A"/>
    <w:rsid w:val="00A5694C"/>
    <w:rsid w:val="00A56C39"/>
    <w:rsid w:val="00A56DE7"/>
    <w:rsid w:val="00A576E8"/>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34F"/>
    <w:rsid w:val="00A668BA"/>
    <w:rsid w:val="00A66FA7"/>
    <w:rsid w:val="00A67170"/>
    <w:rsid w:val="00A67E16"/>
    <w:rsid w:val="00A67EB1"/>
    <w:rsid w:val="00A67F1C"/>
    <w:rsid w:val="00A703CC"/>
    <w:rsid w:val="00A70C5C"/>
    <w:rsid w:val="00A70ECA"/>
    <w:rsid w:val="00A710A2"/>
    <w:rsid w:val="00A71EA7"/>
    <w:rsid w:val="00A7232C"/>
    <w:rsid w:val="00A730AD"/>
    <w:rsid w:val="00A734FB"/>
    <w:rsid w:val="00A73855"/>
    <w:rsid w:val="00A739B4"/>
    <w:rsid w:val="00A73D64"/>
    <w:rsid w:val="00A74216"/>
    <w:rsid w:val="00A74360"/>
    <w:rsid w:val="00A744B4"/>
    <w:rsid w:val="00A751E3"/>
    <w:rsid w:val="00A7536B"/>
    <w:rsid w:val="00A753B9"/>
    <w:rsid w:val="00A7549A"/>
    <w:rsid w:val="00A75504"/>
    <w:rsid w:val="00A755DA"/>
    <w:rsid w:val="00A75FD7"/>
    <w:rsid w:val="00A76F9D"/>
    <w:rsid w:val="00A77168"/>
    <w:rsid w:val="00A7723B"/>
    <w:rsid w:val="00A773C3"/>
    <w:rsid w:val="00A7793C"/>
    <w:rsid w:val="00A77D21"/>
    <w:rsid w:val="00A80085"/>
    <w:rsid w:val="00A8043B"/>
    <w:rsid w:val="00A80DA0"/>
    <w:rsid w:val="00A81323"/>
    <w:rsid w:val="00A81848"/>
    <w:rsid w:val="00A820CB"/>
    <w:rsid w:val="00A82342"/>
    <w:rsid w:val="00A8236F"/>
    <w:rsid w:val="00A82D06"/>
    <w:rsid w:val="00A83BEF"/>
    <w:rsid w:val="00A84443"/>
    <w:rsid w:val="00A8487F"/>
    <w:rsid w:val="00A849A3"/>
    <w:rsid w:val="00A84A0E"/>
    <w:rsid w:val="00A8575D"/>
    <w:rsid w:val="00A861F4"/>
    <w:rsid w:val="00A86E0B"/>
    <w:rsid w:val="00A90F12"/>
    <w:rsid w:val="00A9181B"/>
    <w:rsid w:val="00A91DAA"/>
    <w:rsid w:val="00A93101"/>
    <w:rsid w:val="00A93239"/>
    <w:rsid w:val="00A9413E"/>
    <w:rsid w:val="00A94293"/>
    <w:rsid w:val="00A9496E"/>
    <w:rsid w:val="00A949F0"/>
    <w:rsid w:val="00A94BDE"/>
    <w:rsid w:val="00A94FCA"/>
    <w:rsid w:val="00A95A8D"/>
    <w:rsid w:val="00A95E4C"/>
    <w:rsid w:val="00A96C60"/>
    <w:rsid w:val="00A9740B"/>
    <w:rsid w:val="00A9766C"/>
    <w:rsid w:val="00A977F8"/>
    <w:rsid w:val="00A979DB"/>
    <w:rsid w:val="00A97C93"/>
    <w:rsid w:val="00AA06C6"/>
    <w:rsid w:val="00AA08E7"/>
    <w:rsid w:val="00AA0A06"/>
    <w:rsid w:val="00AA1351"/>
    <w:rsid w:val="00AA184C"/>
    <w:rsid w:val="00AA1AF4"/>
    <w:rsid w:val="00AA1B68"/>
    <w:rsid w:val="00AA1C84"/>
    <w:rsid w:val="00AA2813"/>
    <w:rsid w:val="00AA3D7B"/>
    <w:rsid w:val="00AA42A0"/>
    <w:rsid w:val="00AA442B"/>
    <w:rsid w:val="00AA46A4"/>
    <w:rsid w:val="00AA5779"/>
    <w:rsid w:val="00AA58A1"/>
    <w:rsid w:val="00AA61C7"/>
    <w:rsid w:val="00AA669D"/>
    <w:rsid w:val="00AA66ED"/>
    <w:rsid w:val="00AA6B59"/>
    <w:rsid w:val="00AA6BE1"/>
    <w:rsid w:val="00AA7416"/>
    <w:rsid w:val="00AA7869"/>
    <w:rsid w:val="00AA7A60"/>
    <w:rsid w:val="00AA7B42"/>
    <w:rsid w:val="00AB02B2"/>
    <w:rsid w:val="00AB041C"/>
    <w:rsid w:val="00AB14E8"/>
    <w:rsid w:val="00AB1737"/>
    <w:rsid w:val="00AB1A30"/>
    <w:rsid w:val="00AB1B1D"/>
    <w:rsid w:val="00AB1CD8"/>
    <w:rsid w:val="00AB2216"/>
    <w:rsid w:val="00AB33E5"/>
    <w:rsid w:val="00AB34DA"/>
    <w:rsid w:val="00AB350B"/>
    <w:rsid w:val="00AB358D"/>
    <w:rsid w:val="00AB37A1"/>
    <w:rsid w:val="00AB3BAD"/>
    <w:rsid w:val="00AB3CFD"/>
    <w:rsid w:val="00AB49BC"/>
    <w:rsid w:val="00AB4DEE"/>
    <w:rsid w:val="00AB4E32"/>
    <w:rsid w:val="00AB5031"/>
    <w:rsid w:val="00AB5C19"/>
    <w:rsid w:val="00AB724B"/>
    <w:rsid w:val="00AB726C"/>
    <w:rsid w:val="00AB72B4"/>
    <w:rsid w:val="00AB7549"/>
    <w:rsid w:val="00AB7A7A"/>
    <w:rsid w:val="00AC02AA"/>
    <w:rsid w:val="00AC0537"/>
    <w:rsid w:val="00AC0A84"/>
    <w:rsid w:val="00AC1508"/>
    <w:rsid w:val="00AC1E03"/>
    <w:rsid w:val="00AC2A0B"/>
    <w:rsid w:val="00AC2BEE"/>
    <w:rsid w:val="00AC2E53"/>
    <w:rsid w:val="00AC3945"/>
    <w:rsid w:val="00AC3B90"/>
    <w:rsid w:val="00AC484F"/>
    <w:rsid w:val="00AC4AD2"/>
    <w:rsid w:val="00AC4B20"/>
    <w:rsid w:val="00AC506D"/>
    <w:rsid w:val="00AC5395"/>
    <w:rsid w:val="00AC55C7"/>
    <w:rsid w:val="00AC56F2"/>
    <w:rsid w:val="00AC5D9D"/>
    <w:rsid w:val="00AC6455"/>
    <w:rsid w:val="00AC71C3"/>
    <w:rsid w:val="00AC7BEB"/>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7FE"/>
    <w:rsid w:val="00AE1990"/>
    <w:rsid w:val="00AE25E8"/>
    <w:rsid w:val="00AE2AD4"/>
    <w:rsid w:val="00AE2CA7"/>
    <w:rsid w:val="00AE2F1D"/>
    <w:rsid w:val="00AE4A7D"/>
    <w:rsid w:val="00AE4C37"/>
    <w:rsid w:val="00AE4C81"/>
    <w:rsid w:val="00AE586F"/>
    <w:rsid w:val="00AE62FE"/>
    <w:rsid w:val="00AE6582"/>
    <w:rsid w:val="00AE6A56"/>
    <w:rsid w:val="00AE6DC5"/>
    <w:rsid w:val="00AE7686"/>
    <w:rsid w:val="00AE77E7"/>
    <w:rsid w:val="00AE799A"/>
    <w:rsid w:val="00AF0E81"/>
    <w:rsid w:val="00AF116B"/>
    <w:rsid w:val="00AF117A"/>
    <w:rsid w:val="00AF134E"/>
    <w:rsid w:val="00AF16CA"/>
    <w:rsid w:val="00AF186E"/>
    <w:rsid w:val="00AF19DF"/>
    <w:rsid w:val="00AF1D41"/>
    <w:rsid w:val="00AF1F6C"/>
    <w:rsid w:val="00AF26CF"/>
    <w:rsid w:val="00AF3124"/>
    <w:rsid w:val="00AF344D"/>
    <w:rsid w:val="00AF39B3"/>
    <w:rsid w:val="00AF3C1F"/>
    <w:rsid w:val="00AF3FED"/>
    <w:rsid w:val="00AF4402"/>
    <w:rsid w:val="00AF4639"/>
    <w:rsid w:val="00AF4E92"/>
    <w:rsid w:val="00AF554B"/>
    <w:rsid w:val="00AF5859"/>
    <w:rsid w:val="00AF5C9B"/>
    <w:rsid w:val="00AF5D53"/>
    <w:rsid w:val="00AF5E2D"/>
    <w:rsid w:val="00AF5F73"/>
    <w:rsid w:val="00AF644B"/>
    <w:rsid w:val="00AF69EB"/>
    <w:rsid w:val="00AF6A6C"/>
    <w:rsid w:val="00AF6CA6"/>
    <w:rsid w:val="00AF6DEC"/>
    <w:rsid w:val="00AF6EB6"/>
    <w:rsid w:val="00AF7796"/>
    <w:rsid w:val="00B011A9"/>
    <w:rsid w:val="00B01BAF"/>
    <w:rsid w:val="00B024ED"/>
    <w:rsid w:val="00B026B8"/>
    <w:rsid w:val="00B02EB3"/>
    <w:rsid w:val="00B02F7C"/>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1A61"/>
    <w:rsid w:val="00B1219D"/>
    <w:rsid w:val="00B12735"/>
    <w:rsid w:val="00B12F44"/>
    <w:rsid w:val="00B13228"/>
    <w:rsid w:val="00B13C48"/>
    <w:rsid w:val="00B13E35"/>
    <w:rsid w:val="00B13E54"/>
    <w:rsid w:val="00B13EC0"/>
    <w:rsid w:val="00B14102"/>
    <w:rsid w:val="00B14D32"/>
    <w:rsid w:val="00B14FCC"/>
    <w:rsid w:val="00B1507C"/>
    <w:rsid w:val="00B1557C"/>
    <w:rsid w:val="00B155DC"/>
    <w:rsid w:val="00B15766"/>
    <w:rsid w:val="00B15E4A"/>
    <w:rsid w:val="00B1666A"/>
    <w:rsid w:val="00B167C8"/>
    <w:rsid w:val="00B1686D"/>
    <w:rsid w:val="00B16BF7"/>
    <w:rsid w:val="00B16C64"/>
    <w:rsid w:val="00B17129"/>
    <w:rsid w:val="00B1741D"/>
    <w:rsid w:val="00B17447"/>
    <w:rsid w:val="00B17719"/>
    <w:rsid w:val="00B1771D"/>
    <w:rsid w:val="00B17B91"/>
    <w:rsid w:val="00B17EEE"/>
    <w:rsid w:val="00B20209"/>
    <w:rsid w:val="00B203C9"/>
    <w:rsid w:val="00B2088D"/>
    <w:rsid w:val="00B208FF"/>
    <w:rsid w:val="00B21271"/>
    <w:rsid w:val="00B22809"/>
    <w:rsid w:val="00B22E22"/>
    <w:rsid w:val="00B22F5F"/>
    <w:rsid w:val="00B23353"/>
    <w:rsid w:val="00B237E6"/>
    <w:rsid w:val="00B23813"/>
    <w:rsid w:val="00B23FD9"/>
    <w:rsid w:val="00B24591"/>
    <w:rsid w:val="00B245D5"/>
    <w:rsid w:val="00B245EF"/>
    <w:rsid w:val="00B24805"/>
    <w:rsid w:val="00B24C36"/>
    <w:rsid w:val="00B24D9F"/>
    <w:rsid w:val="00B24F94"/>
    <w:rsid w:val="00B25126"/>
    <w:rsid w:val="00B25703"/>
    <w:rsid w:val="00B25A52"/>
    <w:rsid w:val="00B25EAF"/>
    <w:rsid w:val="00B25FC3"/>
    <w:rsid w:val="00B2692F"/>
    <w:rsid w:val="00B26992"/>
    <w:rsid w:val="00B26D64"/>
    <w:rsid w:val="00B27875"/>
    <w:rsid w:val="00B3008D"/>
    <w:rsid w:val="00B30884"/>
    <w:rsid w:val="00B309AD"/>
    <w:rsid w:val="00B30AF1"/>
    <w:rsid w:val="00B30E11"/>
    <w:rsid w:val="00B30EAE"/>
    <w:rsid w:val="00B30EEB"/>
    <w:rsid w:val="00B31423"/>
    <w:rsid w:val="00B317AE"/>
    <w:rsid w:val="00B323E0"/>
    <w:rsid w:val="00B32458"/>
    <w:rsid w:val="00B32DC0"/>
    <w:rsid w:val="00B32E31"/>
    <w:rsid w:val="00B3346C"/>
    <w:rsid w:val="00B335E4"/>
    <w:rsid w:val="00B33C23"/>
    <w:rsid w:val="00B345B4"/>
    <w:rsid w:val="00B348B1"/>
    <w:rsid w:val="00B34A28"/>
    <w:rsid w:val="00B35046"/>
    <w:rsid w:val="00B357F4"/>
    <w:rsid w:val="00B35B6A"/>
    <w:rsid w:val="00B35E93"/>
    <w:rsid w:val="00B36D2B"/>
    <w:rsid w:val="00B37657"/>
    <w:rsid w:val="00B3783A"/>
    <w:rsid w:val="00B37AFD"/>
    <w:rsid w:val="00B37B07"/>
    <w:rsid w:val="00B4046F"/>
    <w:rsid w:val="00B406B3"/>
    <w:rsid w:val="00B40A36"/>
    <w:rsid w:val="00B41532"/>
    <w:rsid w:val="00B41BCA"/>
    <w:rsid w:val="00B41D39"/>
    <w:rsid w:val="00B422C0"/>
    <w:rsid w:val="00B426CA"/>
    <w:rsid w:val="00B426E1"/>
    <w:rsid w:val="00B4387A"/>
    <w:rsid w:val="00B44746"/>
    <w:rsid w:val="00B44854"/>
    <w:rsid w:val="00B44BA5"/>
    <w:rsid w:val="00B45563"/>
    <w:rsid w:val="00B458D0"/>
    <w:rsid w:val="00B458E8"/>
    <w:rsid w:val="00B46E24"/>
    <w:rsid w:val="00B4792C"/>
    <w:rsid w:val="00B47EB4"/>
    <w:rsid w:val="00B50CAE"/>
    <w:rsid w:val="00B512AD"/>
    <w:rsid w:val="00B5196C"/>
    <w:rsid w:val="00B525CB"/>
    <w:rsid w:val="00B52697"/>
    <w:rsid w:val="00B53D1A"/>
    <w:rsid w:val="00B53EB8"/>
    <w:rsid w:val="00B54215"/>
    <w:rsid w:val="00B54590"/>
    <w:rsid w:val="00B54D8F"/>
    <w:rsid w:val="00B55857"/>
    <w:rsid w:val="00B55C69"/>
    <w:rsid w:val="00B56050"/>
    <w:rsid w:val="00B56851"/>
    <w:rsid w:val="00B56D6E"/>
    <w:rsid w:val="00B572F7"/>
    <w:rsid w:val="00B57B9D"/>
    <w:rsid w:val="00B57DAF"/>
    <w:rsid w:val="00B60094"/>
    <w:rsid w:val="00B6022C"/>
    <w:rsid w:val="00B6040C"/>
    <w:rsid w:val="00B614F8"/>
    <w:rsid w:val="00B61994"/>
    <w:rsid w:val="00B61B18"/>
    <w:rsid w:val="00B61FD4"/>
    <w:rsid w:val="00B6235B"/>
    <w:rsid w:val="00B62744"/>
    <w:rsid w:val="00B62880"/>
    <w:rsid w:val="00B63872"/>
    <w:rsid w:val="00B63CB2"/>
    <w:rsid w:val="00B63DAB"/>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2D0F"/>
    <w:rsid w:val="00B73019"/>
    <w:rsid w:val="00B7315F"/>
    <w:rsid w:val="00B7323A"/>
    <w:rsid w:val="00B7353B"/>
    <w:rsid w:val="00B737FB"/>
    <w:rsid w:val="00B73E5D"/>
    <w:rsid w:val="00B73EF3"/>
    <w:rsid w:val="00B7423D"/>
    <w:rsid w:val="00B747E4"/>
    <w:rsid w:val="00B74D05"/>
    <w:rsid w:val="00B74EF8"/>
    <w:rsid w:val="00B75893"/>
    <w:rsid w:val="00B771F4"/>
    <w:rsid w:val="00B7762A"/>
    <w:rsid w:val="00B777FA"/>
    <w:rsid w:val="00B77850"/>
    <w:rsid w:val="00B7796B"/>
    <w:rsid w:val="00B80C72"/>
    <w:rsid w:val="00B80DB1"/>
    <w:rsid w:val="00B8101E"/>
    <w:rsid w:val="00B817DF"/>
    <w:rsid w:val="00B81964"/>
    <w:rsid w:val="00B81E6F"/>
    <w:rsid w:val="00B82123"/>
    <w:rsid w:val="00B8225B"/>
    <w:rsid w:val="00B82BB5"/>
    <w:rsid w:val="00B83182"/>
    <w:rsid w:val="00B839F0"/>
    <w:rsid w:val="00B842B3"/>
    <w:rsid w:val="00B8444A"/>
    <w:rsid w:val="00B84C6C"/>
    <w:rsid w:val="00B851E4"/>
    <w:rsid w:val="00B854CE"/>
    <w:rsid w:val="00B85681"/>
    <w:rsid w:val="00B857E8"/>
    <w:rsid w:val="00B857EB"/>
    <w:rsid w:val="00B858AD"/>
    <w:rsid w:val="00B86162"/>
    <w:rsid w:val="00B86877"/>
    <w:rsid w:val="00B8695D"/>
    <w:rsid w:val="00B86E66"/>
    <w:rsid w:val="00B871E9"/>
    <w:rsid w:val="00B873BA"/>
    <w:rsid w:val="00B8743F"/>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8A6"/>
    <w:rsid w:val="00B9691F"/>
    <w:rsid w:val="00B96EEC"/>
    <w:rsid w:val="00B97392"/>
    <w:rsid w:val="00B976C7"/>
    <w:rsid w:val="00B97A73"/>
    <w:rsid w:val="00BA0C54"/>
    <w:rsid w:val="00BA0CF8"/>
    <w:rsid w:val="00BA1382"/>
    <w:rsid w:val="00BA15E3"/>
    <w:rsid w:val="00BA1A8C"/>
    <w:rsid w:val="00BA20B6"/>
    <w:rsid w:val="00BA20D8"/>
    <w:rsid w:val="00BA22FC"/>
    <w:rsid w:val="00BA24FB"/>
    <w:rsid w:val="00BA2C2A"/>
    <w:rsid w:val="00BA2F30"/>
    <w:rsid w:val="00BA3982"/>
    <w:rsid w:val="00BA405F"/>
    <w:rsid w:val="00BA4771"/>
    <w:rsid w:val="00BA482B"/>
    <w:rsid w:val="00BA4A4D"/>
    <w:rsid w:val="00BA5027"/>
    <w:rsid w:val="00BA520F"/>
    <w:rsid w:val="00BA525F"/>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3C9"/>
    <w:rsid w:val="00BB57ED"/>
    <w:rsid w:val="00BB5A2D"/>
    <w:rsid w:val="00BB606C"/>
    <w:rsid w:val="00BB65C3"/>
    <w:rsid w:val="00BB662E"/>
    <w:rsid w:val="00BB67A9"/>
    <w:rsid w:val="00BB6C01"/>
    <w:rsid w:val="00BB7942"/>
    <w:rsid w:val="00BB7CD1"/>
    <w:rsid w:val="00BC0F33"/>
    <w:rsid w:val="00BC14A7"/>
    <w:rsid w:val="00BC17CC"/>
    <w:rsid w:val="00BC1C23"/>
    <w:rsid w:val="00BC209F"/>
    <w:rsid w:val="00BC24AD"/>
    <w:rsid w:val="00BC2898"/>
    <w:rsid w:val="00BC2928"/>
    <w:rsid w:val="00BC29BD"/>
    <w:rsid w:val="00BC2BB1"/>
    <w:rsid w:val="00BC34A3"/>
    <w:rsid w:val="00BC3FF9"/>
    <w:rsid w:val="00BC40EA"/>
    <w:rsid w:val="00BC431A"/>
    <w:rsid w:val="00BC45E1"/>
    <w:rsid w:val="00BC4834"/>
    <w:rsid w:val="00BC4A97"/>
    <w:rsid w:val="00BC5A25"/>
    <w:rsid w:val="00BC5FDD"/>
    <w:rsid w:val="00BC68B4"/>
    <w:rsid w:val="00BC7277"/>
    <w:rsid w:val="00BD0140"/>
    <w:rsid w:val="00BD02CC"/>
    <w:rsid w:val="00BD088E"/>
    <w:rsid w:val="00BD0F18"/>
    <w:rsid w:val="00BD182E"/>
    <w:rsid w:val="00BD1F98"/>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504"/>
    <w:rsid w:val="00BE26C0"/>
    <w:rsid w:val="00BE3287"/>
    <w:rsid w:val="00BE3442"/>
    <w:rsid w:val="00BE37CD"/>
    <w:rsid w:val="00BE47B2"/>
    <w:rsid w:val="00BE4881"/>
    <w:rsid w:val="00BE48C7"/>
    <w:rsid w:val="00BE4F66"/>
    <w:rsid w:val="00BE4FBF"/>
    <w:rsid w:val="00BE5238"/>
    <w:rsid w:val="00BE549F"/>
    <w:rsid w:val="00BE5742"/>
    <w:rsid w:val="00BE6074"/>
    <w:rsid w:val="00BE6D73"/>
    <w:rsid w:val="00BE7257"/>
    <w:rsid w:val="00BF0095"/>
    <w:rsid w:val="00BF020D"/>
    <w:rsid w:val="00BF0532"/>
    <w:rsid w:val="00BF058F"/>
    <w:rsid w:val="00BF0609"/>
    <w:rsid w:val="00BF0EE8"/>
    <w:rsid w:val="00BF10ED"/>
    <w:rsid w:val="00BF12D2"/>
    <w:rsid w:val="00BF1DD2"/>
    <w:rsid w:val="00BF23A3"/>
    <w:rsid w:val="00BF2A7E"/>
    <w:rsid w:val="00BF3331"/>
    <w:rsid w:val="00BF3A45"/>
    <w:rsid w:val="00BF436F"/>
    <w:rsid w:val="00BF5C05"/>
    <w:rsid w:val="00BF6A12"/>
    <w:rsid w:val="00BF6A1A"/>
    <w:rsid w:val="00BF6FC6"/>
    <w:rsid w:val="00BF7C52"/>
    <w:rsid w:val="00BF7F99"/>
    <w:rsid w:val="00C00713"/>
    <w:rsid w:val="00C009A0"/>
    <w:rsid w:val="00C00E84"/>
    <w:rsid w:val="00C01F74"/>
    <w:rsid w:val="00C0206E"/>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51F"/>
    <w:rsid w:val="00C056DF"/>
    <w:rsid w:val="00C05A61"/>
    <w:rsid w:val="00C05FBA"/>
    <w:rsid w:val="00C05FEE"/>
    <w:rsid w:val="00C066B4"/>
    <w:rsid w:val="00C06CCF"/>
    <w:rsid w:val="00C0794D"/>
    <w:rsid w:val="00C10E78"/>
    <w:rsid w:val="00C1159D"/>
    <w:rsid w:val="00C1233E"/>
    <w:rsid w:val="00C1276C"/>
    <w:rsid w:val="00C12FB3"/>
    <w:rsid w:val="00C138BC"/>
    <w:rsid w:val="00C138BE"/>
    <w:rsid w:val="00C13D85"/>
    <w:rsid w:val="00C14575"/>
    <w:rsid w:val="00C14639"/>
    <w:rsid w:val="00C14B2D"/>
    <w:rsid w:val="00C14E82"/>
    <w:rsid w:val="00C14FF6"/>
    <w:rsid w:val="00C150D8"/>
    <w:rsid w:val="00C15A85"/>
    <w:rsid w:val="00C1637C"/>
    <w:rsid w:val="00C1641B"/>
    <w:rsid w:val="00C165FC"/>
    <w:rsid w:val="00C16C6B"/>
    <w:rsid w:val="00C16DCE"/>
    <w:rsid w:val="00C176D5"/>
    <w:rsid w:val="00C17D24"/>
    <w:rsid w:val="00C2082C"/>
    <w:rsid w:val="00C20EB0"/>
    <w:rsid w:val="00C21004"/>
    <w:rsid w:val="00C21005"/>
    <w:rsid w:val="00C218DF"/>
    <w:rsid w:val="00C21E83"/>
    <w:rsid w:val="00C220B6"/>
    <w:rsid w:val="00C227CF"/>
    <w:rsid w:val="00C22D7C"/>
    <w:rsid w:val="00C22DDE"/>
    <w:rsid w:val="00C2338B"/>
    <w:rsid w:val="00C233CE"/>
    <w:rsid w:val="00C237DD"/>
    <w:rsid w:val="00C238F4"/>
    <w:rsid w:val="00C2393A"/>
    <w:rsid w:val="00C23A99"/>
    <w:rsid w:val="00C23AB5"/>
    <w:rsid w:val="00C24144"/>
    <w:rsid w:val="00C245EE"/>
    <w:rsid w:val="00C24AE1"/>
    <w:rsid w:val="00C24B8D"/>
    <w:rsid w:val="00C24BD7"/>
    <w:rsid w:val="00C24F7A"/>
    <w:rsid w:val="00C25813"/>
    <w:rsid w:val="00C26C71"/>
    <w:rsid w:val="00C27143"/>
    <w:rsid w:val="00C273A1"/>
    <w:rsid w:val="00C27490"/>
    <w:rsid w:val="00C27556"/>
    <w:rsid w:val="00C27D37"/>
    <w:rsid w:val="00C27DC9"/>
    <w:rsid w:val="00C309E8"/>
    <w:rsid w:val="00C32017"/>
    <w:rsid w:val="00C3245E"/>
    <w:rsid w:val="00C32571"/>
    <w:rsid w:val="00C325CD"/>
    <w:rsid w:val="00C3322E"/>
    <w:rsid w:val="00C337F5"/>
    <w:rsid w:val="00C3383E"/>
    <w:rsid w:val="00C33B90"/>
    <w:rsid w:val="00C34161"/>
    <w:rsid w:val="00C34B5F"/>
    <w:rsid w:val="00C357AD"/>
    <w:rsid w:val="00C358D4"/>
    <w:rsid w:val="00C365C6"/>
    <w:rsid w:val="00C366F4"/>
    <w:rsid w:val="00C36785"/>
    <w:rsid w:val="00C3711C"/>
    <w:rsid w:val="00C37256"/>
    <w:rsid w:val="00C374DE"/>
    <w:rsid w:val="00C37A7B"/>
    <w:rsid w:val="00C37DC1"/>
    <w:rsid w:val="00C37FFE"/>
    <w:rsid w:val="00C40B50"/>
    <w:rsid w:val="00C419E3"/>
    <w:rsid w:val="00C419F4"/>
    <w:rsid w:val="00C41E6A"/>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4F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00B3"/>
    <w:rsid w:val="00C612C4"/>
    <w:rsid w:val="00C619A1"/>
    <w:rsid w:val="00C619B8"/>
    <w:rsid w:val="00C62370"/>
    <w:rsid w:val="00C626E4"/>
    <w:rsid w:val="00C62BBB"/>
    <w:rsid w:val="00C6305F"/>
    <w:rsid w:val="00C6325B"/>
    <w:rsid w:val="00C63DDD"/>
    <w:rsid w:val="00C63E99"/>
    <w:rsid w:val="00C640A2"/>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338"/>
    <w:rsid w:val="00C70FFB"/>
    <w:rsid w:val="00C71E2A"/>
    <w:rsid w:val="00C733BA"/>
    <w:rsid w:val="00C742F6"/>
    <w:rsid w:val="00C7592B"/>
    <w:rsid w:val="00C760DC"/>
    <w:rsid w:val="00C76BBD"/>
    <w:rsid w:val="00C77777"/>
    <w:rsid w:val="00C800B7"/>
    <w:rsid w:val="00C8082B"/>
    <w:rsid w:val="00C80C6B"/>
    <w:rsid w:val="00C81210"/>
    <w:rsid w:val="00C81A88"/>
    <w:rsid w:val="00C81D46"/>
    <w:rsid w:val="00C82298"/>
    <w:rsid w:val="00C82DC7"/>
    <w:rsid w:val="00C8331F"/>
    <w:rsid w:val="00C833B4"/>
    <w:rsid w:val="00C836D8"/>
    <w:rsid w:val="00C84284"/>
    <w:rsid w:val="00C84E33"/>
    <w:rsid w:val="00C85FFC"/>
    <w:rsid w:val="00C861FC"/>
    <w:rsid w:val="00C86427"/>
    <w:rsid w:val="00C86C87"/>
    <w:rsid w:val="00C9005E"/>
    <w:rsid w:val="00C90111"/>
    <w:rsid w:val="00C9038E"/>
    <w:rsid w:val="00C9077B"/>
    <w:rsid w:val="00C90CA9"/>
    <w:rsid w:val="00C90F88"/>
    <w:rsid w:val="00C915F2"/>
    <w:rsid w:val="00C917B1"/>
    <w:rsid w:val="00C9193C"/>
    <w:rsid w:val="00C91B77"/>
    <w:rsid w:val="00C920E2"/>
    <w:rsid w:val="00C93070"/>
    <w:rsid w:val="00C93297"/>
    <w:rsid w:val="00C9370F"/>
    <w:rsid w:val="00C93765"/>
    <w:rsid w:val="00C93877"/>
    <w:rsid w:val="00C93D8C"/>
    <w:rsid w:val="00C93E07"/>
    <w:rsid w:val="00C946CC"/>
    <w:rsid w:val="00C94A99"/>
    <w:rsid w:val="00C959BD"/>
    <w:rsid w:val="00C95AB3"/>
    <w:rsid w:val="00C95DFE"/>
    <w:rsid w:val="00C95F44"/>
    <w:rsid w:val="00C96331"/>
    <w:rsid w:val="00C96D1B"/>
    <w:rsid w:val="00C97106"/>
    <w:rsid w:val="00C9778A"/>
    <w:rsid w:val="00C978D4"/>
    <w:rsid w:val="00CA0031"/>
    <w:rsid w:val="00CA0215"/>
    <w:rsid w:val="00CA0413"/>
    <w:rsid w:val="00CA043A"/>
    <w:rsid w:val="00CA0E51"/>
    <w:rsid w:val="00CA100C"/>
    <w:rsid w:val="00CA1691"/>
    <w:rsid w:val="00CA3981"/>
    <w:rsid w:val="00CA41E7"/>
    <w:rsid w:val="00CA47B7"/>
    <w:rsid w:val="00CA4A99"/>
    <w:rsid w:val="00CA4CCC"/>
    <w:rsid w:val="00CA4DC9"/>
    <w:rsid w:val="00CA5173"/>
    <w:rsid w:val="00CA5520"/>
    <w:rsid w:val="00CA5812"/>
    <w:rsid w:val="00CA5984"/>
    <w:rsid w:val="00CA5BD4"/>
    <w:rsid w:val="00CA5C14"/>
    <w:rsid w:val="00CA7019"/>
    <w:rsid w:val="00CA76FC"/>
    <w:rsid w:val="00CA7E7B"/>
    <w:rsid w:val="00CB0236"/>
    <w:rsid w:val="00CB0B4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5C92"/>
    <w:rsid w:val="00CB61B3"/>
    <w:rsid w:val="00CB620B"/>
    <w:rsid w:val="00CB6801"/>
    <w:rsid w:val="00CB6F83"/>
    <w:rsid w:val="00CB71C5"/>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0B"/>
    <w:rsid w:val="00CC3BE8"/>
    <w:rsid w:val="00CC3D38"/>
    <w:rsid w:val="00CC3F2F"/>
    <w:rsid w:val="00CC40C3"/>
    <w:rsid w:val="00CC4CB4"/>
    <w:rsid w:val="00CC4E5D"/>
    <w:rsid w:val="00CC4EF4"/>
    <w:rsid w:val="00CC50AE"/>
    <w:rsid w:val="00CC5FFE"/>
    <w:rsid w:val="00CC613A"/>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6267"/>
    <w:rsid w:val="00CD709A"/>
    <w:rsid w:val="00CD7630"/>
    <w:rsid w:val="00CD7B2D"/>
    <w:rsid w:val="00CD7EFA"/>
    <w:rsid w:val="00CE020E"/>
    <w:rsid w:val="00CE0566"/>
    <w:rsid w:val="00CE1CD4"/>
    <w:rsid w:val="00CE2761"/>
    <w:rsid w:val="00CE2858"/>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7EC"/>
    <w:rsid w:val="00CF1226"/>
    <w:rsid w:val="00CF1ABB"/>
    <w:rsid w:val="00CF1E1D"/>
    <w:rsid w:val="00CF24FE"/>
    <w:rsid w:val="00CF287F"/>
    <w:rsid w:val="00CF2B7A"/>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4AF"/>
    <w:rsid w:val="00D035C6"/>
    <w:rsid w:val="00D0368E"/>
    <w:rsid w:val="00D03AC3"/>
    <w:rsid w:val="00D03D2D"/>
    <w:rsid w:val="00D03E7B"/>
    <w:rsid w:val="00D0401A"/>
    <w:rsid w:val="00D045BA"/>
    <w:rsid w:val="00D047E0"/>
    <w:rsid w:val="00D04B9F"/>
    <w:rsid w:val="00D04D43"/>
    <w:rsid w:val="00D04EA0"/>
    <w:rsid w:val="00D04FFB"/>
    <w:rsid w:val="00D055FE"/>
    <w:rsid w:val="00D058E9"/>
    <w:rsid w:val="00D0612A"/>
    <w:rsid w:val="00D06A4D"/>
    <w:rsid w:val="00D1060D"/>
    <w:rsid w:val="00D10D14"/>
    <w:rsid w:val="00D10E7C"/>
    <w:rsid w:val="00D11182"/>
    <w:rsid w:val="00D1137B"/>
    <w:rsid w:val="00D11508"/>
    <w:rsid w:val="00D11807"/>
    <w:rsid w:val="00D11DB3"/>
    <w:rsid w:val="00D12D82"/>
    <w:rsid w:val="00D12F77"/>
    <w:rsid w:val="00D1306E"/>
    <w:rsid w:val="00D130B7"/>
    <w:rsid w:val="00D134CD"/>
    <w:rsid w:val="00D13645"/>
    <w:rsid w:val="00D1401E"/>
    <w:rsid w:val="00D14136"/>
    <w:rsid w:val="00D1425B"/>
    <w:rsid w:val="00D14B5F"/>
    <w:rsid w:val="00D14E13"/>
    <w:rsid w:val="00D14F23"/>
    <w:rsid w:val="00D160F6"/>
    <w:rsid w:val="00D16740"/>
    <w:rsid w:val="00D16928"/>
    <w:rsid w:val="00D16A8B"/>
    <w:rsid w:val="00D16E39"/>
    <w:rsid w:val="00D171DE"/>
    <w:rsid w:val="00D172A4"/>
    <w:rsid w:val="00D17951"/>
    <w:rsid w:val="00D17AD8"/>
    <w:rsid w:val="00D205B3"/>
    <w:rsid w:val="00D2104A"/>
    <w:rsid w:val="00D21A58"/>
    <w:rsid w:val="00D21BB5"/>
    <w:rsid w:val="00D21FFC"/>
    <w:rsid w:val="00D223B6"/>
    <w:rsid w:val="00D223E8"/>
    <w:rsid w:val="00D224E1"/>
    <w:rsid w:val="00D22925"/>
    <w:rsid w:val="00D22DC8"/>
    <w:rsid w:val="00D2477B"/>
    <w:rsid w:val="00D2522A"/>
    <w:rsid w:val="00D2531C"/>
    <w:rsid w:val="00D25428"/>
    <w:rsid w:val="00D2553E"/>
    <w:rsid w:val="00D2587F"/>
    <w:rsid w:val="00D2742F"/>
    <w:rsid w:val="00D2754F"/>
    <w:rsid w:val="00D277C5"/>
    <w:rsid w:val="00D279D9"/>
    <w:rsid w:val="00D27F78"/>
    <w:rsid w:val="00D30BDF"/>
    <w:rsid w:val="00D312DC"/>
    <w:rsid w:val="00D31B84"/>
    <w:rsid w:val="00D31C6A"/>
    <w:rsid w:val="00D31EDF"/>
    <w:rsid w:val="00D31FF9"/>
    <w:rsid w:val="00D32149"/>
    <w:rsid w:val="00D32256"/>
    <w:rsid w:val="00D324D8"/>
    <w:rsid w:val="00D32A27"/>
    <w:rsid w:val="00D32ABC"/>
    <w:rsid w:val="00D33BBB"/>
    <w:rsid w:val="00D33FA4"/>
    <w:rsid w:val="00D34B25"/>
    <w:rsid w:val="00D34C7F"/>
    <w:rsid w:val="00D34F4E"/>
    <w:rsid w:val="00D3549E"/>
    <w:rsid w:val="00D357F3"/>
    <w:rsid w:val="00D35C0E"/>
    <w:rsid w:val="00D364F3"/>
    <w:rsid w:val="00D36FBF"/>
    <w:rsid w:val="00D373A8"/>
    <w:rsid w:val="00D379A5"/>
    <w:rsid w:val="00D37BB3"/>
    <w:rsid w:val="00D401BE"/>
    <w:rsid w:val="00D4043A"/>
    <w:rsid w:val="00D40DB0"/>
    <w:rsid w:val="00D41093"/>
    <w:rsid w:val="00D41851"/>
    <w:rsid w:val="00D41858"/>
    <w:rsid w:val="00D41EEB"/>
    <w:rsid w:val="00D422DB"/>
    <w:rsid w:val="00D42AC2"/>
    <w:rsid w:val="00D42DDF"/>
    <w:rsid w:val="00D44932"/>
    <w:rsid w:val="00D4498E"/>
    <w:rsid w:val="00D4515F"/>
    <w:rsid w:val="00D451E8"/>
    <w:rsid w:val="00D466C9"/>
    <w:rsid w:val="00D47275"/>
    <w:rsid w:val="00D47B85"/>
    <w:rsid w:val="00D511FC"/>
    <w:rsid w:val="00D517F6"/>
    <w:rsid w:val="00D51AB7"/>
    <w:rsid w:val="00D51E15"/>
    <w:rsid w:val="00D52B7E"/>
    <w:rsid w:val="00D52E2F"/>
    <w:rsid w:val="00D52F59"/>
    <w:rsid w:val="00D53445"/>
    <w:rsid w:val="00D53E3E"/>
    <w:rsid w:val="00D54620"/>
    <w:rsid w:val="00D552CC"/>
    <w:rsid w:val="00D55904"/>
    <w:rsid w:val="00D55CB8"/>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3CC3"/>
    <w:rsid w:val="00D6451B"/>
    <w:rsid w:val="00D64B57"/>
    <w:rsid w:val="00D651A1"/>
    <w:rsid w:val="00D65DEA"/>
    <w:rsid w:val="00D6650F"/>
    <w:rsid w:val="00D66579"/>
    <w:rsid w:val="00D66B88"/>
    <w:rsid w:val="00D66CF2"/>
    <w:rsid w:val="00D676D3"/>
    <w:rsid w:val="00D67B06"/>
    <w:rsid w:val="00D67BC7"/>
    <w:rsid w:val="00D67C3B"/>
    <w:rsid w:val="00D67C7A"/>
    <w:rsid w:val="00D701F1"/>
    <w:rsid w:val="00D705D3"/>
    <w:rsid w:val="00D70E00"/>
    <w:rsid w:val="00D70F7C"/>
    <w:rsid w:val="00D715AC"/>
    <w:rsid w:val="00D71851"/>
    <w:rsid w:val="00D718CF"/>
    <w:rsid w:val="00D72857"/>
    <w:rsid w:val="00D728F5"/>
    <w:rsid w:val="00D72E9D"/>
    <w:rsid w:val="00D73249"/>
    <w:rsid w:val="00D7333A"/>
    <w:rsid w:val="00D73419"/>
    <w:rsid w:val="00D73881"/>
    <w:rsid w:val="00D73CA9"/>
    <w:rsid w:val="00D74DAE"/>
    <w:rsid w:val="00D751B7"/>
    <w:rsid w:val="00D75232"/>
    <w:rsid w:val="00D7524B"/>
    <w:rsid w:val="00D75396"/>
    <w:rsid w:val="00D759C0"/>
    <w:rsid w:val="00D75E99"/>
    <w:rsid w:val="00D765CE"/>
    <w:rsid w:val="00D766C7"/>
    <w:rsid w:val="00D7692B"/>
    <w:rsid w:val="00D76A92"/>
    <w:rsid w:val="00D7734F"/>
    <w:rsid w:val="00D7791D"/>
    <w:rsid w:val="00D8039E"/>
    <w:rsid w:val="00D8044C"/>
    <w:rsid w:val="00D805D6"/>
    <w:rsid w:val="00D8075E"/>
    <w:rsid w:val="00D80860"/>
    <w:rsid w:val="00D80D4C"/>
    <w:rsid w:val="00D8184D"/>
    <w:rsid w:val="00D81A7B"/>
    <w:rsid w:val="00D8223C"/>
    <w:rsid w:val="00D826A2"/>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484"/>
    <w:rsid w:val="00D915C8"/>
    <w:rsid w:val="00D925E2"/>
    <w:rsid w:val="00D9310B"/>
    <w:rsid w:val="00D931F3"/>
    <w:rsid w:val="00D93726"/>
    <w:rsid w:val="00D93F3E"/>
    <w:rsid w:val="00D9405B"/>
    <w:rsid w:val="00D94942"/>
    <w:rsid w:val="00D9508F"/>
    <w:rsid w:val="00D95145"/>
    <w:rsid w:val="00D960E2"/>
    <w:rsid w:val="00D96594"/>
    <w:rsid w:val="00D96678"/>
    <w:rsid w:val="00D967CB"/>
    <w:rsid w:val="00D968D4"/>
    <w:rsid w:val="00D96EE0"/>
    <w:rsid w:val="00D971D2"/>
    <w:rsid w:val="00D97BD1"/>
    <w:rsid w:val="00D97EF0"/>
    <w:rsid w:val="00DA00C3"/>
    <w:rsid w:val="00DA01E9"/>
    <w:rsid w:val="00DA06B8"/>
    <w:rsid w:val="00DA14A9"/>
    <w:rsid w:val="00DA286D"/>
    <w:rsid w:val="00DA2969"/>
    <w:rsid w:val="00DA29B7"/>
    <w:rsid w:val="00DA2E27"/>
    <w:rsid w:val="00DA2E5F"/>
    <w:rsid w:val="00DA337C"/>
    <w:rsid w:val="00DA422F"/>
    <w:rsid w:val="00DA4606"/>
    <w:rsid w:val="00DA4842"/>
    <w:rsid w:val="00DA4A59"/>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00"/>
    <w:rsid w:val="00DB1AFF"/>
    <w:rsid w:val="00DB219A"/>
    <w:rsid w:val="00DB3165"/>
    <w:rsid w:val="00DB3A5C"/>
    <w:rsid w:val="00DB4292"/>
    <w:rsid w:val="00DB5023"/>
    <w:rsid w:val="00DB5ECC"/>
    <w:rsid w:val="00DB5F44"/>
    <w:rsid w:val="00DB66B3"/>
    <w:rsid w:val="00DB6E46"/>
    <w:rsid w:val="00DB7117"/>
    <w:rsid w:val="00DB7760"/>
    <w:rsid w:val="00DB7DD4"/>
    <w:rsid w:val="00DC00B4"/>
    <w:rsid w:val="00DC016F"/>
    <w:rsid w:val="00DC0954"/>
    <w:rsid w:val="00DC0DF8"/>
    <w:rsid w:val="00DC15BA"/>
    <w:rsid w:val="00DC18CD"/>
    <w:rsid w:val="00DC1A68"/>
    <w:rsid w:val="00DC1F87"/>
    <w:rsid w:val="00DC30B8"/>
    <w:rsid w:val="00DC478F"/>
    <w:rsid w:val="00DC59F4"/>
    <w:rsid w:val="00DC61AC"/>
    <w:rsid w:val="00DC62E5"/>
    <w:rsid w:val="00DC6D70"/>
    <w:rsid w:val="00DC6DAA"/>
    <w:rsid w:val="00DC6F33"/>
    <w:rsid w:val="00DC7349"/>
    <w:rsid w:val="00DC7389"/>
    <w:rsid w:val="00DD0EA9"/>
    <w:rsid w:val="00DD0FC8"/>
    <w:rsid w:val="00DD14D8"/>
    <w:rsid w:val="00DD1599"/>
    <w:rsid w:val="00DD16F1"/>
    <w:rsid w:val="00DD1B03"/>
    <w:rsid w:val="00DD1B70"/>
    <w:rsid w:val="00DD1E43"/>
    <w:rsid w:val="00DD1EDF"/>
    <w:rsid w:val="00DD1FF6"/>
    <w:rsid w:val="00DD2A62"/>
    <w:rsid w:val="00DD2F2F"/>
    <w:rsid w:val="00DD2F7A"/>
    <w:rsid w:val="00DD36D2"/>
    <w:rsid w:val="00DD37C4"/>
    <w:rsid w:val="00DD3885"/>
    <w:rsid w:val="00DD4EE7"/>
    <w:rsid w:val="00DD5808"/>
    <w:rsid w:val="00DD5946"/>
    <w:rsid w:val="00DD5B04"/>
    <w:rsid w:val="00DD5DAE"/>
    <w:rsid w:val="00DD5EC6"/>
    <w:rsid w:val="00DD605F"/>
    <w:rsid w:val="00DD6485"/>
    <w:rsid w:val="00DD6A79"/>
    <w:rsid w:val="00DD72A0"/>
    <w:rsid w:val="00DD735D"/>
    <w:rsid w:val="00DD7F7D"/>
    <w:rsid w:val="00DE0159"/>
    <w:rsid w:val="00DE064A"/>
    <w:rsid w:val="00DE082D"/>
    <w:rsid w:val="00DE0EE1"/>
    <w:rsid w:val="00DE0FC5"/>
    <w:rsid w:val="00DE112D"/>
    <w:rsid w:val="00DE1410"/>
    <w:rsid w:val="00DE20C6"/>
    <w:rsid w:val="00DE3119"/>
    <w:rsid w:val="00DE3C24"/>
    <w:rsid w:val="00DE3FF0"/>
    <w:rsid w:val="00DE4105"/>
    <w:rsid w:val="00DE4BEA"/>
    <w:rsid w:val="00DE5189"/>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2D3E"/>
    <w:rsid w:val="00E03124"/>
    <w:rsid w:val="00E031C3"/>
    <w:rsid w:val="00E03951"/>
    <w:rsid w:val="00E03DB8"/>
    <w:rsid w:val="00E03F17"/>
    <w:rsid w:val="00E0420C"/>
    <w:rsid w:val="00E047DE"/>
    <w:rsid w:val="00E04EDD"/>
    <w:rsid w:val="00E05178"/>
    <w:rsid w:val="00E05580"/>
    <w:rsid w:val="00E05E70"/>
    <w:rsid w:val="00E064BC"/>
    <w:rsid w:val="00E070C1"/>
    <w:rsid w:val="00E07225"/>
    <w:rsid w:val="00E073FC"/>
    <w:rsid w:val="00E076B4"/>
    <w:rsid w:val="00E07B55"/>
    <w:rsid w:val="00E10579"/>
    <w:rsid w:val="00E109DD"/>
    <w:rsid w:val="00E110EF"/>
    <w:rsid w:val="00E11229"/>
    <w:rsid w:val="00E114CA"/>
    <w:rsid w:val="00E127D1"/>
    <w:rsid w:val="00E1303F"/>
    <w:rsid w:val="00E13867"/>
    <w:rsid w:val="00E1397F"/>
    <w:rsid w:val="00E13AB8"/>
    <w:rsid w:val="00E1482E"/>
    <w:rsid w:val="00E1530D"/>
    <w:rsid w:val="00E16382"/>
    <w:rsid w:val="00E1671C"/>
    <w:rsid w:val="00E1699C"/>
    <w:rsid w:val="00E16C9F"/>
    <w:rsid w:val="00E16E75"/>
    <w:rsid w:val="00E1746D"/>
    <w:rsid w:val="00E2012A"/>
    <w:rsid w:val="00E205A2"/>
    <w:rsid w:val="00E20BA4"/>
    <w:rsid w:val="00E20F85"/>
    <w:rsid w:val="00E210D0"/>
    <w:rsid w:val="00E2173D"/>
    <w:rsid w:val="00E21887"/>
    <w:rsid w:val="00E21CC0"/>
    <w:rsid w:val="00E21E17"/>
    <w:rsid w:val="00E22E02"/>
    <w:rsid w:val="00E23137"/>
    <w:rsid w:val="00E23980"/>
    <w:rsid w:val="00E23AB0"/>
    <w:rsid w:val="00E241E9"/>
    <w:rsid w:val="00E2463C"/>
    <w:rsid w:val="00E2576F"/>
    <w:rsid w:val="00E257C3"/>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3BA7"/>
    <w:rsid w:val="00E33FAE"/>
    <w:rsid w:val="00E3403D"/>
    <w:rsid w:val="00E344BD"/>
    <w:rsid w:val="00E34548"/>
    <w:rsid w:val="00E34E6C"/>
    <w:rsid w:val="00E353E2"/>
    <w:rsid w:val="00E36345"/>
    <w:rsid w:val="00E36C86"/>
    <w:rsid w:val="00E36CEB"/>
    <w:rsid w:val="00E37A28"/>
    <w:rsid w:val="00E37C49"/>
    <w:rsid w:val="00E400C7"/>
    <w:rsid w:val="00E40430"/>
    <w:rsid w:val="00E40690"/>
    <w:rsid w:val="00E40AEB"/>
    <w:rsid w:val="00E40E82"/>
    <w:rsid w:val="00E41141"/>
    <w:rsid w:val="00E4143A"/>
    <w:rsid w:val="00E424C8"/>
    <w:rsid w:val="00E4251D"/>
    <w:rsid w:val="00E427EF"/>
    <w:rsid w:val="00E43D00"/>
    <w:rsid w:val="00E43E42"/>
    <w:rsid w:val="00E443B4"/>
    <w:rsid w:val="00E445E4"/>
    <w:rsid w:val="00E457CB"/>
    <w:rsid w:val="00E45D47"/>
    <w:rsid w:val="00E45DE4"/>
    <w:rsid w:val="00E45E63"/>
    <w:rsid w:val="00E46834"/>
    <w:rsid w:val="00E4759C"/>
    <w:rsid w:val="00E50A7B"/>
    <w:rsid w:val="00E50B0B"/>
    <w:rsid w:val="00E50C57"/>
    <w:rsid w:val="00E510FE"/>
    <w:rsid w:val="00E514BA"/>
    <w:rsid w:val="00E51E25"/>
    <w:rsid w:val="00E5205B"/>
    <w:rsid w:val="00E521AE"/>
    <w:rsid w:val="00E529A3"/>
    <w:rsid w:val="00E533EE"/>
    <w:rsid w:val="00E53449"/>
    <w:rsid w:val="00E53A21"/>
    <w:rsid w:val="00E53BCA"/>
    <w:rsid w:val="00E53DE2"/>
    <w:rsid w:val="00E53F02"/>
    <w:rsid w:val="00E5428D"/>
    <w:rsid w:val="00E54534"/>
    <w:rsid w:val="00E548C3"/>
    <w:rsid w:val="00E54F27"/>
    <w:rsid w:val="00E552B2"/>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2C5"/>
    <w:rsid w:val="00E623E6"/>
    <w:rsid w:val="00E6295C"/>
    <w:rsid w:val="00E62BBF"/>
    <w:rsid w:val="00E62C76"/>
    <w:rsid w:val="00E630A2"/>
    <w:rsid w:val="00E630C0"/>
    <w:rsid w:val="00E63107"/>
    <w:rsid w:val="00E6312C"/>
    <w:rsid w:val="00E634E6"/>
    <w:rsid w:val="00E63BC3"/>
    <w:rsid w:val="00E63DCE"/>
    <w:rsid w:val="00E642EF"/>
    <w:rsid w:val="00E64700"/>
    <w:rsid w:val="00E64AEA"/>
    <w:rsid w:val="00E65074"/>
    <w:rsid w:val="00E65857"/>
    <w:rsid w:val="00E65E70"/>
    <w:rsid w:val="00E66087"/>
    <w:rsid w:val="00E66716"/>
    <w:rsid w:val="00E66D79"/>
    <w:rsid w:val="00E66F69"/>
    <w:rsid w:val="00E66FF9"/>
    <w:rsid w:val="00E6706F"/>
    <w:rsid w:val="00E673A2"/>
    <w:rsid w:val="00E67856"/>
    <w:rsid w:val="00E679C8"/>
    <w:rsid w:val="00E70314"/>
    <w:rsid w:val="00E70403"/>
    <w:rsid w:val="00E724E7"/>
    <w:rsid w:val="00E72B41"/>
    <w:rsid w:val="00E7347B"/>
    <w:rsid w:val="00E73792"/>
    <w:rsid w:val="00E7383B"/>
    <w:rsid w:val="00E73D03"/>
    <w:rsid w:val="00E7471C"/>
    <w:rsid w:val="00E7498A"/>
    <w:rsid w:val="00E7514E"/>
    <w:rsid w:val="00E75578"/>
    <w:rsid w:val="00E76537"/>
    <w:rsid w:val="00E77784"/>
    <w:rsid w:val="00E77AF5"/>
    <w:rsid w:val="00E8035B"/>
    <w:rsid w:val="00E81302"/>
    <w:rsid w:val="00E8138F"/>
    <w:rsid w:val="00E815BF"/>
    <w:rsid w:val="00E81EA0"/>
    <w:rsid w:val="00E820F4"/>
    <w:rsid w:val="00E82263"/>
    <w:rsid w:val="00E823F9"/>
    <w:rsid w:val="00E82C1F"/>
    <w:rsid w:val="00E83671"/>
    <w:rsid w:val="00E83D1E"/>
    <w:rsid w:val="00E840EE"/>
    <w:rsid w:val="00E84314"/>
    <w:rsid w:val="00E849CA"/>
    <w:rsid w:val="00E84A71"/>
    <w:rsid w:val="00E8556F"/>
    <w:rsid w:val="00E85E96"/>
    <w:rsid w:val="00E86556"/>
    <w:rsid w:val="00E86D35"/>
    <w:rsid w:val="00E86DC2"/>
    <w:rsid w:val="00E86E32"/>
    <w:rsid w:val="00E86F2E"/>
    <w:rsid w:val="00E8732E"/>
    <w:rsid w:val="00E87B92"/>
    <w:rsid w:val="00E9011F"/>
    <w:rsid w:val="00E906EB"/>
    <w:rsid w:val="00E9170E"/>
    <w:rsid w:val="00E919FB"/>
    <w:rsid w:val="00E9241E"/>
    <w:rsid w:val="00E92460"/>
    <w:rsid w:val="00E926BB"/>
    <w:rsid w:val="00E92E62"/>
    <w:rsid w:val="00E92E97"/>
    <w:rsid w:val="00E93804"/>
    <w:rsid w:val="00E9429D"/>
    <w:rsid w:val="00E95434"/>
    <w:rsid w:val="00E95B3C"/>
    <w:rsid w:val="00E96467"/>
    <w:rsid w:val="00E966DA"/>
    <w:rsid w:val="00E96948"/>
    <w:rsid w:val="00E97102"/>
    <w:rsid w:val="00E9737B"/>
    <w:rsid w:val="00E97A3F"/>
    <w:rsid w:val="00E97F0A"/>
    <w:rsid w:val="00EA0100"/>
    <w:rsid w:val="00EA0455"/>
    <w:rsid w:val="00EA0BCE"/>
    <w:rsid w:val="00EA10E4"/>
    <w:rsid w:val="00EA17BC"/>
    <w:rsid w:val="00EA1DE2"/>
    <w:rsid w:val="00EA2744"/>
    <w:rsid w:val="00EA2DD7"/>
    <w:rsid w:val="00EA37B9"/>
    <w:rsid w:val="00EA39F7"/>
    <w:rsid w:val="00EA3DC2"/>
    <w:rsid w:val="00EA3F76"/>
    <w:rsid w:val="00EA434E"/>
    <w:rsid w:val="00EA4757"/>
    <w:rsid w:val="00EA560B"/>
    <w:rsid w:val="00EA5669"/>
    <w:rsid w:val="00EA5CC6"/>
    <w:rsid w:val="00EA63EF"/>
    <w:rsid w:val="00EA6A7D"/>
    <w:rsid w:val="00EA7CBF"/>
    <w:rsid w:val="00EB0A89"/>
    <w:rsid w:val="00EB0BD8"/>
    <w:rsid w:val="00EB0E31"/>
    <w:rsid w:val="00EB1573"/>
    <w:rsid w:val="00EB1910"/>
    <w:rsid w:val="00EB2564"/>
    <w:rsid w:val="00EB2D83"/>
    <w:rsid w:val="00EB2E97"/>
    <w:rsid w:val="00EB3416"/>
    <w:rsid w:val="00EB4AE1"/>
    <w:rsid w:val="00EB52F4"/>
    <w:rsid w:val="00EB5694"/>
    <w:rsid w:val="00EB5779"/>
    <w:rsid w:val="00EB5D2F"/>
    <w:rsid w:val="00EB5E06"/>
    <w:rsid w:val="00EB67F1"/>
    <w:rsid w:val="00EB6ADA"/>
    <w:rsid w:val="00EB6E49"/>
    <w:rsid w:val="00EB7132"/>
    <w:rsid w:val="00EB72CD"/>
    <w:rsid w:val="00EB749A"/>
    <w:rsid w:val="00EB76B6"/>
    <w:rsid w:val="00EB7D8A"/>
    <w:rsid w:val="00EC04F7"/>
    <w:rsid w:val="00EC05E2"/>
    <w:rsid w:val="00EC0E84"/>
    <w:rsid w:val="00EC16E2"/>
    <w:rsid w:val="00EC1CE7"/>
    <w:rsid w:val="00EC1DAE"/>
    <w:rsid w:val="00EC26B8"/>
    <w:rsid w:val="00EC26F1"/>
    <w:rsid w:val="00EC3BA2"/>
    <w:rsid w:val="00EC3C94"/>
    <w:rsid w:val="00EC44DF"/>
    <w:rsid w:val="00EC4FB9"/>
    <w:rsid w:val="00EC5393"/>
    <w:rsid w:val="00EC5741"/>
    <w:rsid w:val="00EC5DA3"/>
    <w:rsid w:val="00EC6014"/>
    <w:rsid w:val="00EC6565"/>
    <w:rsid w:val="00EC6B3E"/>
    <w:rsid w:val="00EC73DE"/>
    <w:rsid w:val="00EC755F"/>
    <w:rsid w:val="00EC7637"/>
    <w:rsid w:val="00EC7C07"/>
    <w:rsid w:val="00EC7CF0"/>
    <w:rsid w:val="00EC7CF2"/>
    <w:rsid w:val="00ED046C"/>
    <w:rsid w:val="00ED053A"/>
    <w:rsid w:val="00ED058C"/>
    <w:rsid w:val="00ED1F03"/>
    <w:rsid w:val="00ED249D"/>
    <w:rsid w:val="00ED2720"/>
    <w:rsid w:val="00ED2D27"/>
    <w:rsid w:val="00ED3347"/>
    <w:rsid w:val="00ED3441"/>
    <w:rsid w:val="00ED3860"/>
    <w:rsid w:val="00ED391C"/>
    <w:rsid w:val="00ED3954"/>
    <w:rsid w:val="00ED39AC"/>
    <w:rsid w:val="00ED43A2"/>
    <w:rsid w:val="00ED4967"/>
    <w:rsid w:val="00ED5140"/>
    <w:rsid w:val="00ED538C"/>
    <w:rsid w:val="00ED5771"/>
    <w:rsid w:val="00ED587F"/>
    <w:rsid w:val="00ED5964"/>
    <w:rsid w:val="00ED623F"/>
    <w:rsid w:val="00ED63A5"/>
    <w:rsid w:val="00ED69BA"/>
    <w:rsid w:val="00ED6BBD"/>
    <w:rsid w:val="00ED6D1A"/>
    <w:rsid w:val="00ED72E9"/>
    <w:rsid w:val="00ED732E"/>
    <w:rsid w:val="00ED74B3"/>
    <w:rsid w:val="00ED77F0"/>
    <w:rsid w:val="00ED7825"/>
    <w:rsid w:val="00ED7FBC"/>
    <w:rsid w:val="00EE0253"/>
    <w:rsid w:val="00EE0297"/>
    <w:rsid w:val="00EE04DE"/>
    <w:rsid w:val="00EE1258"/>
    <w:rsid w:val="00EE13DA"/>
    <w:rsid w:val="00EE1486"/>
    <w:rsid w:val="00EE1668"/>
    <w:rsid w:val="00EE1C3A"/>
    <w:rsid w:val="00EE1EDB"/>
    <w:rsid w:val="00EE24E2"/>
    <w:rsid w:val="00EE29B3"/>
    <w:rsid w:val="00EE2A20"/>
    <w:rsid w:val="00EE366D"/>
    <w:rsid w:val="00EE40A4"/>
    <w:rsid w:val="00EE4F17"/>
    <w:rsid w:val="00EE4F92"/>
    <w:rsid w:val="00EE5302"/>
    <w:rsid w:val="00EE5454"/>
    <w:rsid w:val="00EE59B5"/>
    <w:rsid w:val="00EE5C4B"/>
    <w:rsid w:val="00EE5FB7"/>
    <w:rsid w:val="00EE6783"/>
    <w:rsid w:val="00EE678B"/>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7AB"/>
    <w:rsid w:val="00EF397D"/>
    <w:rsid w:val="00EF427A"/>
    <w:rsid w:val="00EF45DF"/>
    <w:rsid w:val="00EF4944"/>
    <w:rsid w:val="00EF4952"/>
    <w:rsid w:val="00EF498F"/>
    <w:rsid w:val="00EF4A42"/>
    <w:rsid w:val="00EF510C"/>
    <w:rsid w:val="00EF55C4"/>
    <w:rsid w:val="00EF57BC"/>
    <w:rsid w:val="00EF5CA8"/>
    <w:rsid w:val="00EF5E74"/>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5539"/>
    <w:rsid w:val="00F0591F"/>
    <w:rsid w:val="00F064FF"/>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772"/>
    <w:rsid w:val="00F148B7"/>
    <w:rsid w:val="00F14EA9"/>
    <w:rsid w:val="00F152AC"/>
    <w:rsid w:val="00F15505"/>
    <w:rsid w:val="00F15BFF"/>
    <w:rsid w:val="00F1634B"/>
    <w:rsid w:val="00F16E4F"/>
    <w:rsid w:val="00F171B2"/>
    <w:rsid w:val="00F17244"/>
    <w:rsid w:val="00F20117"/>
    <w:rsid w:val="00F20931"/>
    <w:rsid w:val="00F20ECE"/>
    <w:rsid w:val="00F213A0"/>
    <w:rsid w:val="00F21D54"/>
    <w:rsid w:val="00F21EF4"/>
    <w:rsid w:val="00F221A2"/>
    <w:rsid w:val="00F225F6"/>
    <w:rsid w:val="00F22697"/>
    <w:rsid w:val="00F22C15"/>
    <w:rsid w:val="00F2308C"/>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A64"/>
    <w:rsid w:val="00F33994"/>
    <w:rsid w:val="00F3399B"/>
    <w:rsid w:val="00F33F4B"/>
    <w:rsid w:val="00F346ED"/>
    <w:rsid w:val="00F34945"/>
    <w:rsid w:val="00F34E1E"/>
    <w:rsid w:val="00F3570C"/>
    <w:rsid w:val="00F363A4"/>
    <w:rsid w:val="00F36765"/>
    <w:rsid w:val="00F368FF"/>
    <w:rsid w:val="00F3690F"/>
    <w:rsid w:val="00F37068"/>
    <w:rsid w:val="00F37D69"/>
    <w:rsid w:val="00F37E02"/>
    <w:rsid w:val="00F37E5F"/>
    <w:rsid w:val="00F37F3F"/>
    <w:rsid w:val="00F40992"/>
    <w:rsid w:val="00F40F72"/>
    <w:rsid w:val="00F41596"/>
    <w:rsid w:val="00F415ED"/>
    <w:rsid w:val="00F41D8B"/>
    <w:rsid w:val="00F42121"/>
    <w:rsid w:val="00F424B3"/>
    <w:rsid w:val="00F4263B"/>
    <w:rsid w:val="00F428B1"/>
    <w:rsid w:val="00F428B4"/>
    <w:rsid w:val="00F4345D"/>
    <w:rsid w:val="00F4387B"/>
    <w:rsid w:val="00F45921"/>
    <w:rsid w:val="00F45B91"/>
    <w:rsid w:val="00F46639"/>
    <w:rsid w:val="00F476FD"/>
    <w:rsid w:val="00F47968"/>
    <w:rsid w:val="00F50183"/>
    <w:rsid w:val="00F501DE"/>
    <w:rsid w:val="00F50D92"/>
    <w:rsid w:val="00F51495"/>
    <w:rsid w:val="00F51765"/>
    <w:rsid w:val="00F51A51"/>
    <w:rsid w:val="00F51BC6"/>
    <w:rsid w:val="00F51CB4"/>
    <w:rsid w:val="00F51DE0"/>
    <w:rsid w:val="00F52200"/>
    <w:rsid w:val="00F52324"/>
    <w:rsid w:val="00F52950"/>
    <w:rsid w:val="00F52C9D"/>
    <w:rsid w:val="00F533F1"/>
    <w:rsid w:val="00F53F4F"/>
    <w:rsid w:val="00F55185"/>
    <w:rsid w:val="00F55679"/>
    <w:rsid w:val="00F55F7D"/>
    <w:rsid w:val="00F561E3"/>
    <w:rsid w:val="00F565E6"/>
    <w:rsid w:val="00F56918"/>
    <w:rsid w:val="00F56AFA"/>
    <w:rsid w:val="00F575E2"/>
    <w:rsid w:val="00F579FF"/>
    <w:rsid w:val="00F57CCD"/>
    <w:rsid w:val="00F600E0"/>
    <w:rsid w:val="00F605EC"/>
    <w:rsid w:val="00F60F60"/>
    <w:rsid w:val="00F612CE"/>
    <w:rsid w:val="00F6133C"/>
    <w:rsid w:val="00F61405"/>
    <w:rsid w:val="00F62227"/>
    <w:rsid w:val="00F624A7"/>
    <w:rsid w:val="00F62AB6"/>
    <w:rsid w:val="00F65A3C"/>
    <w:rsid w:val="00F66009"/>
    <w:rsid w:val="00F66282"/>
    <w:rsid w:val="00F6639E"/>
    <w:rsid w:val="00F668FB"/>
    <w:rsid w:val="00F670E9"/>
    <w:rsid w:val="00F6749F"/>
    <w:rsid w:val="00F67AF1"/>
    <w:rsid w:val="00F67D8B"/>
    <w:rsid w:val="00F700CD"/>
    <w:rsid w:val="00F701C5"/>
    <w:rsid w:val="00F70961"/>
    <w:rsid w:val="00F70A8F"/>
    <w:rsid w:val="00F70F65"/>
    <w:rsid w:val="00F71397"/>
    <w:rsid w:val="00F72389"/>
    <w:rsid w:val="00F72516"/>
    <w:rsid w:val="00F72FB4"/>
    <w:rsid w:val="00F732CF"/>
    <w:rsid w:val="00F735E5"/>
    <w:rsid w:val="00F73B82"/>
    <w:rsid w:val="00F73E80"/>
    <w:rsid w:val="00F7469C"/>
    <w:rsid w:val="00F7492E"/>
    <w:rsid w:val="00F74945"/>
    <w:rsid w:val="00F749A3"/>
    <w:rsid w:val="00F74AE8"/>
    <w:rsid w:val="00F760C4"/>
    <w:rsid w:val="00F76C11"/>
    <w:rsid w:val="00F76FC7"/>
    <w:rsid w:val="00F77021"/>
    <w:rsid w:val="00F770AB"/>
    <w:rsid w:val="00F77A2C"/>
    <w:rsid w:val="00F77E61"/>
    <w:rsid w:val="00F80221"/>
    <w:rsid w:val="00F80A0A"/>
    <w:rsid w:val="00F80C81"/>
    <w:rsid w:val="00F815AC"/>
    <w:rsid w:val="00F829A6"/>
    <w:rsid w:val="00F83B33"/>
    <w:rsid w:val="00F83CAE"/>
    <w:rsid w:val="00F840BF"/>
    <w:rsid w:val="00F8427A"/>
    <w:rsid w:val="00F843DF"/>
    <w:rsid w:val="00F84646"/>
    <w:rsid w:val="00F84899"/>
    <w:rsid w:val="00F85585"/>
    <w:rsid w:val="00F859F0"/>
    <w:rsid w:val="00F85CC1"/>
    <w:rsid w:val="00F86B5D"/>
    <w:rsid w:val="00F86FD5"/>
    <w:rsid w:val="00F87634"/>
    <w:rsid w:val="00F87C13"/>
    <w:rsid w:val="00F87C5A"/>
    <w:rsid w:val="00F87E29"/>
    <w:rsid w:val="00F87F18"/>
    <w:rsid w:val="00F87F68"/>
    <w:rsid w:val="00F907A5"/>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D66"/>
    <w:rsid w:val="00FA1DA2"/>
    <w:rsid w:val="00FA2927"/>
    <w:rsid w:val="00FA313F"/>
    <w:rsid w:val="00FA3414"/>
    <w:rsid w:val="00FA347A"/>
    <w:rsid w:val="00FA3CDE"/>
    <w:rsid w:val="00FA49B7"/>
    <w:rsid w:val="00FA4DCA"/>
    <w:rsid w:val="00FA5043"/>
    <w:rsid w:val="00FA60C1"/>
    <w:rsid w:val="00FA65A3"/>
    <w:rsid w:val="00FA6BCA"/>
    <w:rsid w:val="00FA6F8B"/>
    <w:rsid w:val="00FA727C"/>
    <w:rsid w:val="00FA7A30"/>
    <w:rsid w:val="00FB033F"/>
    <w:rsid w:val="00FB0880"/>
    <w:rsid w:val="00FB12E3"/>
    <w:rsid w:val="00FB1570"/>
    <w:rsid w:val="00FB16C4"/>
    <w:rsid w:val="00FB193B"/>
    <w:rsid w:val="00FB1FBC"/>
    <w:rsid w:val="00FB27B7"/>
    <w:rsid w:val="00FB35E3"/>
    <w:rsid w:val="00FB4C98"/>
    <w:rsid w:val="00FB4CE3"/>
    <w:rsid w:val="00FB583C"/>
    <w:rsid w:val="00FB630E"/>
    <w:rsid w:val="00FB6738"/>
    <w:rsid w:val="00FB691B"/>
    <w:rsid w:val="00FB6BE6"/>
    <w:rsid w:val="00FB731C"/>
    <w:rsid w:val="00FB7512"/>
    <w:rsid w:val="00FB7628"/>
    <w:rsid w:val="00FB7EC1"/>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B82"/>
    <w:rsid w:val="00FC5CF4"/>
    <w:rsid w:val="00FC5D64"/>
    <w:rsid w:val="00FC61D6"/>
    <w:rsid w:val="00FC6A39"/>
    <w:rsid w:val="00FC6DB9"/>
    <w:rsid w:val="00FC726C"/>
    <w:rsid w:val="00FC76A9"/>
    <w:rsid w:val="00FC79AB"/>
    <w:rsid w:val="00FC7BE7"/>
    <w:rsid w:val="00FC7DAC"/>
    <w:rsid w:val="00FD005D"/>
    <w:rsid w:val="00FD0216"/>
    <w:rsid w:val="00FD04AE"/>
    <w:rsid w:val="00FD0DFA"/>
    <w:rsid w:val="00FD1890"/>
    <w:rsid w:val="00FD1994"/>
    <w:rsid w:val="00FD279F"/>
    <w:rsid w:val="00FD2BA6"/>
    <w:rsid w:val="00FD3508"/>
    <w:rsid w:val="00FD388F"/>
    <w:rsid w:val="00FD393C"/>
    <w:rsid w:val="00FD3AFF"/>
    <w:rsid w:val="00FD43BB"/>
    <w:rsid w:val="00FD4AF3"/>
    <w:rsid w:val="00FD4DF3"/>
    <w:rsid w:val="00FD5443"/>
    <w:rsid w:val="00FD6675"/>
    <w:rsid w:val="00FD6AB6"/>
    <w:rsid w:val="00FD6DC5"/>
    <w:rsid w:val="00FD72B1"/>
    <w:rsid w:val="00FD798D"/>
    <w:rsid w:val="00FE141E"/>
    <w:rsid w:val="00FE144E"/>
    <w:rsid w:val="00FE1768"/>
    <w:rsid w:val="00FE1DD5"/>
    <w:rsid w:val="00FE24F4"/>
    <w:rsid w:val="00FE2560"/>
    <w:rsid w:val="00FE279F"/>
    <w:rsid w:val="00FE35D0"/>
    <w:rsid w:val="00FE362F"/>
    <w:rsid w:val="00FE3E5B"/>
    <w:rsid w:val="00FE42ED"/>
    <w:rsid w:val="00FE4E06"/>
    <w:rsid w:val="00FE55A7"/>
    <w:rsid w:val="00FE5C5A"/>
    <w:rsid w:val="00FE5D2D"/>
    <w:rsid w:val="00FE601E"/>
    <w:rsid w:val="00FE6432"/>
    <w:rsid w:val="00FE69D4"/>
    <w:rsid w:val="00FE72A0"/>
    <w:rsid w:val="00FE7375"/>
    <w:rsid w:val="00FE76D3"/>
    <w:rsid w:val="00FF0050"/>
    <w:rsid w:val="00FF045F"/>
    <w:rsid w:val="00FF0816"/>
    <w:rsid w:val="00FF13D4"/>
    <w:rsid w:val="00FF2053"/>
    <w:rsid w:val="00FF3B37"/>
    <w:rsid w:val="00FF3CC7"/>
    <w:rsid w:val="00FF3D6F"/>
    <w:rsid w:val="00FF441A"/>
    <w:rsid w:val="00FF4BD8"/>
    <w:rsid w:val="00FF4D11"/>
    <w:rsid w:val="00FF5214"/>
    <w:rsid w:val="00FF5846"/>
    <w:rsid w:val="00FF5868"/>
    <w:rsid w:val="00FF596E"/>
    <w:rsid w:val="00FF5B1B"/>
    <w:rsid w:val="00FF5B59"/>
    <w:rsid w:val="00FF5BFD"/>
    <w:rsid w:val="00FF6095"/>
    <w:rsid w:val="00FF62FE"/>
    <w:rsid w:val="00FF6553"/>
    <w:rsid w:val="00FF6F86"/>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octoggle">
    <w:name w:val="toctoggle"/>
    <w:basedOn w:val="Fuentedeprrafopredeter"/>
    <w:rsid w:val="00357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33541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425472">
      <w:bodyDiv w:val="1"/>
      <w:marLeft w:val="0"/>
      <w:marRight w:val="0"/>
      <w:marTop w:val="0"/>
      <w:marBottom w:val="0"/>
      <w:divBdr>
        <w:top w:val="none" w:sz="0" w:space="0" w:color="auto"/>
        <w:left w:val="none" w:sz="0" w:space="0" w:color="auto"/>
        <w:bottom w:val="none" w:sz="0" w:space="0" w:color="auto"/>
        <w:right w:val="none" w:sz="0" w:space="0" w:color="auto"/>
      </w:divBdr>
      <w:divsChild>
        <w:div w:id="202138646">
          <w:marLeft w:val="0"/>
          <w:marRight w:val="0"/>
          <w:marTop w:val="0"/>
          <w:marBottom w:val="150"/>
          <w:divBdr>
            <w:top w:val="none" w:sz="0" w:space="0" w:color="auto"/>
            <w:left w:val="none" w:sz="0" w:space="0" w:color="auto"/>
            <w:bottom w:val="none" w:sz="0" w:space="0" w:color="auto"/>
            <w:right w:val="none" w:sz="0" w:space="0" w:color="auto"/>
          </w:divBdr>
          <w:divsChild>
            <w:div w:id="1410538138">
              <w:marLeft w:val="0"/>
              <w:marRight w:val="0"/>
              <w:marTop w:val="0"/>
              <w:marBottom w:val="0"/>
              <w:divBdr>
                <w:top w:val="none" w:sz="0" w:space="0" w:color="auto"/>
                <w:left w:val="none" w:sz="0" w:space="0" w:color="auto"/>
                <w:bottom w:val="none" w:sz="0" w:space="0" w:color="auto"/>
                <w:right w:val="none" w:sz="0" w:space="0" w:color="auto"/>
              </w:divBdr>
            </w:div>
          </w:divsChild>
        </w:div>
        <w:div w:id="613631745">
          <w:marLeft w:val="0"/>
          <w:marRight w:val="0"/>
          <w:marTop w:val="0"/>
          <w:marBottom w:val="150"/>
          <w:divBdr>
            <w:top w:val="none" w:sz="0" w:space="0" w:color="auto"/>
            <w:left w:val="none" w:sz="0" w:space="0" w:color="auto"/>
            <w:bottom w:val="none" w:sz="0" w:space="0" w:color="auto"/>
            <w:right w:val="none" w:sz="0" w:space="0" w:color="auto"/>
          </w:divBdr>
          <w:divsChild>
            <w:div w:id="14124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775582">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89178">
      <w:bodyDiv w:val="1"/>
      <w:marLeft w:val="0"/>
      <w:marRight w:val="0"/>
      <w:marTop w:val="0"/>
      <w:marBottom w:val="0"/>
      <w:divBdr>
        <w:top w:val="none" w:sz="0" w:space="0" w:color="auto"/>
        <w:left w:val="none" w:sz="0" w:space="0" w:color="auto"/>
        <w:bottom w:val="none" w:sz="0" w:space="0" w:color="auto"/>
        <w:right w:val="none" w:sz="0" w:space="0" w:color="auto"/>
      </w:divBdr>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320536">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89693897">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816453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4487248">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78026546">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19413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965481">
      <w:bodyDiv w:val="1"/>
      <w:marLeft w:val="0"/>
      <w:marRight w:val="0"/>
      <w:marTop w:val="0"/>
      <w:marBottom w:val="0"/>
      <w:divBdr>
        <w:top w:val="none" w:sz="0" w:space="0" w:color="auto"/>
        <w:left w:val="none" w:sz="0" w:space="0" w:color="auto"/>
        <w:bottom w:val="none" w:sz="0" w:space="0" w:color="auto"/>
        <w:right w:val="none" w:sz="0" w:space="0" w:color="auto"/>
      </w:divBdr>
      <w:divsChild>
        <w:div w:id="95832983">
          <w:marLeft w:val="0"/>
          <w:marRight w:val="0"/>
          <w:marTop w:val="0"/>
          <w:marBottom w:val="150"/>
          <w:divBdr>
            <w:top w:val="none" w:sz="0" w:space="0" w:color="auto"/>
            <w:left w:val="none" w:sz="0" w:space="0" w:color="auto"/>
            <w:bottom w:val="none" w:sz="0" w:space="0" w:color="auto"/>
            <w:right w:val="none" w:sz="0" w:space="0" w:color="auto"/>
          </w:divBdr>
          <w:divsChild>
            <w:div w:id="2100713208">
              <w:marLeft w:val="0"/>
              <w:marRight w:val="0"/>
              <w:marTop w:val="0"/>
              <w:marBottom w:val="0"/>
              <w:divBdr>
                <w:top w:val="none" w:sz="0" w:space="0" w:color="auto"/>
                <w:left w:val="none" w:sz="0" w:space="0" w:color="auto"/>
                <w:bottom w:val="none" w:sz="0" w:space="0" w:color="auto"/>
                <w:right w:val="none" w:sz="0" w:space="0" w:color="auto"/>
              </w:divBdr>
            </w:div>
          </w:divsChild>
        </w:div>
        <w:div w:id="4402272">
          <w:marLeft w:val="0"/>
          <w:marRight w:val="0"/>
          <w:marTop w:val="0"/>
          <w:marBottom w:val="150"/>
          <w:divBdr>
            <w:top w:val="none" w:sz="0" w:space="0" w:color="auto"/>
            <w:left w:val="none" w:sz="0" w:space="0" w:color="auto"/>
            <w:bottom w:val="none" w:sz="0" w:space="0" w:color="auto"/>
            <w:right w:val="none" w:sz="0" w:space="0" w:color="auto"/>
          </w:divBdr>
          <w:divsChild>
            <w:div w:id="2299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682429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771056">
      <w:bodyDiv w:val="1"/>
      <w:marLeft w:val="0"/>
      <w:marRight w:val="0"/>
      <w:marTop w:val="0"/>
      <w:marBottom w:val="0"/>
      <w:divBdr>
        <w:top w:val="none" w:sz="0" w:space="0" w:color="auto"/>
        <w:left w:val="none" w:sz="0" w:space="0" w:color="auto"/>
        <w:bottom w:val="none" w:sz="0" w:space="0" w:color="auto"/>
        <w:right w:val="none" w:sz="0" w:space="0" w:color="auto"/>
      </w:divBdr>
      <w:divsChild>
        <w:div w:id="1866946911">
          <w:marLeft w:val="0"/>
          <w:marRight w:val="0"/>
          <w:marTop w:val="0"/>
          <w:marBottom w:val="150"/>
          <w:divBdr>
            <w:top w:val="none" w:sz="0" w:space="0" w:color="auto"/>
            <w:left w:val="none" w:sz="0" w:space="0" w:color="auto"/>
            <w:bottom w:val="none" w:sz="0" w:space="0" w:color="auto"/>
            <w:right w:val="none" w:sz="0" w:space="0" w:color="auto"/>
          </w:divBdr>
          <w:divsChild>
            <w:div w:id="214389241">
              <w:marLeft w:val="0"/>
              <w:marRight w:val="0"/>
              <w:marTop w:val="0"/>
              <w:marBottom w:val="0"/>
              <w:divBdr>
                <w:top w:val="none" w:sz="0" w:space="0" w:color="auto"/>
                <w:left w:val="none" w:sz="0" w:space="0" w:color="auto"/>
                <w:bottom w:val="none" w:sz="0" w:space="0" w:color="auto"/>
                <w:right w:val="none" w:sz="0" w:space="0" w:color="auto"/>
              </w:divBdr>
            </w:div>
          </w:divsChild>
        </w:div>
        <w:div w:id="2002847621">
          <w:marLeft w:val="0"/>
          <w:marRight w:val="0"/>
          <w:marTop w:val="0"/>
          <w:marBottom w:val="150"/>
          <w:divBdr>
            <w:top w:val="none" w:sz="0" w:space="0" w:color="auto"/>
            <w:left w:val="none" w:sz="0" w:space="0" w:color="auto"/>
            <w:bottom w:val="none" w:sz="0" w:space="0" w:color="auto"/>
            <w:right w:val="none" w:sz="0" w:space="0" w:color="auto"/>
          </w:divBdr>
          <w:divsChild>
            <w:div w:id="8718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11543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0F070-FD4B-48AA-96C9-D346CC6FD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18</Pages>
  <Words>7206</Words>
  <Characters>39638</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2022-04-08T21:36:00Z</dcterms:created>
  <dcterms:modified xsi:type="dcterms:W3CDTF">2022-04-08T21:36:00Z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