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10E18" w14:textId="77777777" w:rsidR="007D1132" w:rsidRPr="007D1132" w:rsidRDefault="007D1132" w:rsidP="007D1132">
      <w:pPr>
        <w:spacing w:after="0" w:line="240" w:lineRule="auto"/>
        <w:jc w:val="both"/>
        <w:rPr>
          <w:rFonts w:ascii="Century Gothic" w:eastAsia="Arial" w:hAnsi="Century Gothic" w:cs="Arial"/>
          <w:color w:val="000000"/>
        </w:rPr>
      </w:pPr>
      <w:bookmarkStart w:id="0" w:name="_Hlk94281581"/>
      <w:bookmarkStart w:id="1" w:name="_Hlk102489058"/>
      <w:bookmarkStart w:id="2" w:name="_Hlk34951122"/>
      <w:r w:rsidRPr="007D1132">
        <w:rPr>
          <w:rFonts w:ascii="Century Gothic" w:eastAsia="Arial" w:hAnsi="Century Gothic" w:cs="Arial"/>
          <w:b/>
          <w:color w:val="000000"/>
        </w:rPr>
        <w:t xml:space="preserve">PRINCIPIO DE SELECCIÓN OBJETIVA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Fundamento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Alcance</w:t>
      </w:r>
    </w:p>
    <w:p w14:paraId="16B676E1" w14:textId="77777777" w:rsidR="007D1132" w:rsidRPr="007D1132" w:rsidRDefault="007D1132" w:rsidP="007D1132">
      <w:pPr>
        <w:spacing w:after="0" w:line="240" w:lineRule="auto"/>
        <w:jc w:val="both"/>
        <w:rPr>
          <w:rFonts w:ascii="Century Gothic" w:eastAsia="Arial" w:hAnsi="Century Gothic" w:cs="Arial"/>
          <w:color w:val="000000"/>
        </w:rPr>
      </w:pPr>
    </w:p>
    <w:p w14:paraId="70FB4624" w14:textId="77777777" w:rsidR="007D1132" w:rsidRPr="007D1132" w:rsidRDefault="007D1132" w:rsidP="007D1132">
      <w:pPr>
        <w:spacing w:after="0" w:line="240" w:lineRule="auto"/>
        <w:jc w:val="both"/>
        <w:rPr>
          <w:rFonts w:ascii="Century Gothic" w:eastAsia="Arial" w:hAnsi="Century Gothic" w:cs="Arial"/>
          <w:color w:val="000000"/>
          <w:sz w:val="20"/>
          <w:szCs w:val="20"/>
        </w:rPr>
      </w:pPr>
      <w:r w:rsidRPr="007D1132">
        <w:rPr>
          <w:rFonts w:ascii="Century Gothic" w:eastAsia="Arial" w:hAnsi="Century Gothic" w:cs="Arial"/>
          <w:color w:val="000000"/>
          <w:sz w:val="20"/>
          <w:szCs w:val="20"/>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7D1132">
        <w:rPr>
          <w:rFonts w:ascii="Century Gothic" w:eastAsia="Arial" w:hAnsi="Century Gothic" w:cs="Arial"/>
          <w:color w:val="000000"/>
          <w:sz w:val="20"/>
          <w:szCs w:val="20"/>
        </w:rPr>
        <w:tab/>
      </w:r>
    </w:p>
    <w:p w14:paraId="72BEB9F4" w14:textId="77777777" w:rsidR="007D1132" w:rsidRPr="007D1132" w:rsidRDefault="007D1132" w:rsidP="007D1132">
      <w:pPr>
        <w:spacing w:after="0" w:line="240" w:lineRule="auto"/>
        <w:jc w:val="both"/>
        <w:rPr>
          <w:rFonts w:ascii="Century Gothic" w:eastAsia="Arial" w:hAnsi="Century Gothic" w:cs="Arial"/>
          <w:color w:val="000000"/>
        </w:rPr>
      </w:pPr>
    </w:p>
    <w:p w14:paraId="19F0AE9E" w14:textId="77777777" w:rsidR="007D1132" w:rsidRPr="007D1132" w:rsidRDefault="007D1132" w:rsidP="007D1132">
      <w:pPr>
        <w:spacing w:after="0" w:line="240" w:lineRule="auto"/>
        <w:jc w:val="both"/>
        <w:rPr>
          <w:rFonts w:ascii="Century Gothic" w:eastAsia="Arial" w:hAnsi="Century Gothic" w:cs="Arial"/>
          <w:b/>
          <w:color w:val="000000"/>
        </w:rPr>
      </w:pPr>
      <w:r w:rsidRPr="007D1132">
        <w:rPr>
          <w:rFonts w:ascii="Century Gothic" w:eastAsia="Arial" w:hAnsi="Century Gothic" w:cs="Arial"/>
          <w:b/>
          <w:color w:val="000000"/>
        </w:rPr>
        <w:t xml:space="preserve">SUBSANABILIDAD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Concepto de unificación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Aplicación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Improcedencia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Circunstancias posteriores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Cierre del proceso</w:t>
      </w:r>
    </w:p>
    <w:p w14:paraId="4167A94F" w14:textId="77777777" w:rsidR="007D1132" w:rsidRPr="007D1132" w:rsidRDefault="007D1132" w:rsidP="007D1132">
      <w:pPr>
        <w:spacing w:after="0" w:line="240" w:lineRule="auto"/>
        <w:jc w:val="both"/>
        <w:rPr>
          <w:rFonts w:ascii="Century Gothic" w:eastAsia="Arial" w:hAnsi="Century Gothic" w:cs="Arial"/>
          <w:color w:val="000000"/>
        </w:rPr>
      </w:pPr>
    </w:p>
    <w:p w14:paraId="40D7013C" w14:textId="77777777" w:rsidR="007D1132" w:rsidRPr="007D1132" w:rsidRDefault="007D1132" w:rsidP="007D1132">
      <w:pPr>
        <w:spacing w:after="0" w:line="240" w:lineRule="auto"/>
        <w:jc w:val="both"/>
        <w:rPr>
          <w:rFonts w:ascii="Century Gothic" w:eastAsia="Arial" w:hAnsi="Century Gothic" w:cs="Arial"/>
          <w:color w:val="000000"/>
          <w:sz w:val="20"/>
          <w:szCs w:val="20"/>
        </w:rPr>
      </w:pPr>
      <w:r w:rsidRPr="007D1132">
        <w:rPr>
          <w:rFonts w:ascii="Century Gothic" w:eastAsia="Arial" w:hAnsi="Century Gothic" w:cs="Arial"/>
          <w:color w:val="000000"/>
          <w:sz w:val="20"/>
          <w:szCs w:val="20"/>
        </w:rPr>
        <w:t xml:space="preserve">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w:t>
      </w:r>
      <w:r w:rsidRPr="007D1132">
        <w:rPr>
          <w:rFonts w:ascii="Century Gothic" w:eastAsia="Arial" w:hAnsi="Century Gothic" w:cs="Arial"/>
          <w:color w:val="000000"/>
          <w:sz w:val="20"/>
          <w:szCs w:val="20"/>
        </w:rPr>
        <w:lastRenderedPageBreak/>
        <w:t>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14:paraId="135723DB" w14:textId="77777777" w:rsidR="007D1132" w:rsidRPr="007D1132" w:rsidRDefault="007D1132" w:rsidP="007D1132">
      <w:pPr>
        <w:spacing w:after="0" w:line="240" w:lineRule="auto"/>
        <w:jc w:val="both"/>
        <w:rPr>
          <w:rFonts w:ascii="Century Gothic" w:eastAsia="Arial" w:hAnsi="Century Gothic" w:cs="Arial"/>
          <w:color w:val="000000"/>
          <w:sz w:val="20"/>
          <w:szCs w:val="20"/>
        </w:rPr>
      </w:pPr>
    </w:p>
    <w:p w14:paraId="11073FDC" w14:textId="77777777" w:rsidR="007D1132" w:rsidRPr="007D1132" w:rsidRDefault="007D1132" w:rsidP="007D1132">
      <w:pPr>
        <w:spacing w:after="0" w:line="240" w:lineRule="auto"/>
        <w:jc w:val="both"/>
        <w:rPr>
          <w:rFonts w:ascii="Century Gothic" w:eastAsia="Arial" w:hAnsi="Century Gothic" w:cs="Arial"/>
          <w:color w:val="000000"/>
        </w:rPr>
      </w:pPr>
      <w:r w:rsidRPr="007D1132">
        <w:rPr>
          <w:rFonts w:ascii="Century Gothic" w:eastAsia="Arial" w:hAnsi="Century Gothic" w:cs="Arial"/>
          <w:b/>
          <w:color w:val="000000"/>
        </w:rPr>
        <w:t xml:space="preserve">SUBSANABILIDAD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Oportunidad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Traslado </w:t>
      </w:r>
      <w:r w:rsidRPr="007D1132">
        <w:rPr>
          <w:rFonts w:ascii="Century Gothic" w:eastAsia="Arial" w:hAnsi="Century Gothic" w:cs="Arial"/>
          <w:b/>
          <w:color w:val="000000"/>
          <w:sz w:val="20"/>
          <w:szCs w:val="20"/>
        </w:rPr>
        <w:t>–</w:t>
      </w:r>
      <w:r w:rsidRPr="007D1132">
        <w:rPr>
          <w:rFonts w:ascii="Century Gothic" w:eastAsia="Arial" w:hAnsi="Century Gothic" w:cs="Arial"/>
          <w:b/>
          <w:color w:val="000000"/>
        </w:rPr>
        <w:t xml:space="preserve"> Informe de evaluación </w:t>
      </w:r>
    </w:p>
    <w:p w14:paraId="5E299058" w14:textId="77777777" w:rsidR="007D1132" w:rsidRPr="007D1132" w:rsidRDefault="007D1132" w:rsidP="007D1132">
      <w:pPr>
        <w:spacing w:after="0" w:line="240" w:lineRule="auto"/>
        <w:jc w:val="both"/>
        <w:rPr>
          <w:rFonts w:ascii="Century Gothic" w:eastAsia="Arial" w:hAnsi="Century Gothic" w:cs="Arial"/>
          <w:color w:val="000000"/>
          <w:sz w:val="20"/>
          <w:szCs w:val="20"/>
        </w:rPr>
      </w:pPr>
    </w:p>
    <w:p w14:paraId="7B936D5C" w14:textId="77777777" w:rsidR="007D1132" w:rsidRPr="007D1132" w:rsidRDefault="007D1132" w:rsidP="007D1132">
      <w:pPr>
        <w:spacing w:after="0" w:line="240" w:lineRule="auto"/>
        <w:jc w:val="both"/>
        <w:rPr>
          <w:rFonts w:ascii="Century Gothic" w:eastAsia="Arial" w:hAnsi="Century Gothic" w:cs="Arial"/>
          <w:color w:val="000000"/>
          <w:sz w:val="20"/>
          <w:szCs w:val="20"/>
        </w:rPr>
      </w:pPr>
      <w:r w:rsidRPr="007D1132">
        <w:rPr>
          <w:rFonts w:ascii="Century Gothic" w:eastAsia="Arial" w:hAnsi="Century Gothic" w:cs="Arial"/>
          <w:color w:val="000000"/>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14:paraId="142E9594" w14:textId="77777777" w:rsidR="007D1132" w:rsidRDefault="007D1132" w:rsidP="00824A3B">
      <w:pPr>
        <w:spacing w:after="0"/>
        <w:rPr>
          <w:rFonts w:ascii="Century Gothic" w:eastAsia="Geomanist Light" w:hAnsi="Century Gothic" w:cs="Arial"/>
          <w:color w:val="000000" w:themeColor="text1"/>
          <w:lang w:val="es-MX"/>
        </w:rPr>
      </w:pPr>
    </w:p>
    <w:p w14:paraId="0C656E92" w14:textId="77777777" w:rsidR="007D1132" w:rsidRDefault="007D1132" w:rsidP="00824A3B">
      <w:pPr>
        <w:spacing w:after="0"/>
        <w:rPr>
          <w:rFonts w:ascii="Century Gothic" w:eastAsia="Geomanist Light" w:hAnsi="Century Gothic" w:cs="Arial"/>
          <w:color w:val="000000" w:themeColor="text1"/>
          <w:lang w:val="es-MX"/>
        </w:rPr>
      </w:pPr>
    </w:p>
    <w:p w14:paraId="467F32C6" w14:textId="77777777" w:rsidR="007D1132" w:rsidRDefault="007D1132" w:rsidP="00824A3B">
      <w:pPr>
        <w:spacing w:after="0"/>
        <w:rPr>
          <w:rFonts w:ascii="Century Gothic" w:eastAsia="Geomanist Light" w:hAnsi="Century Gothic" w:cs="Arial"/>
          <w:color w:val="000000" w:themeColor="text1"/>
          <w:lang w:val="es-MX"/>
        </w:rPr>
      </w:pPr>
    </w:p>
    <w:p w14:paraId="59AC10D4" w14:textId="77777777" w:rsidR="007D1132" w:rsidRDefault="007D1132" w:rsidP="00824A3B">
      <w:pPr>
        <w:spacing w:after="0"/>
        <w:rPr>
          <w:rFonts w:ascii="Century Gothic" w:eastAsia="Geomanist Light" w:hAnsi="Century Gothic" w:cs="Arial"/>
          <w:color w:val="000000" w:themeColor="text1"/>
          <w:lang w:val="es-MX"/>
        </w:rPr>
      </w:pPr>
    </w:p>
    <w:p w14:paraId="7BDEE0C9" w14:textId="77777777" w:rsidR="007D1132" w:rsidRDefault="007D1132" w:rsidP="00824A3B">
      <w:pPr>
        <w:spacing w:after="0"/>
        <w:rPr>
          <w:rFonts w:ascii="Century Gothic" w:eastAsia="Geomanist Light" w:hAnsi="Century Gothic" w:cs="Arial"/>
          <w:color w:val="000000" w:themeColor="text1"/>
          <w:lang w:val="es-MX"/>
        </w:rPr>
      </w:pPr>
    </w:p>
    <w:p w14:paraId="4BE8B45A" w14:textId="77777777" w:rsidR="007D1132" w:rsidRDefault="007D1132" w:rsidP="00824A3B">
      <w:pPr>
        <w:spacing w:after="0"/>
        <w:rPr>
          <w:rFonts w:ascii="Century Gothic" w:eastAsia="Geomanist Light" w:hAnsi="Century Gothic" w:cs="Arial"/>
          <w:color w:val="000000" w:themeColor="text1"/>
          <w:lang w:val="es-MX"/>
        </w:rPr>
      </w:pPr>
    </w:p>
    <w:p w14:paraId="0D07A2DA" w14:textId="77777777" w:rsidR="007D1132" w:rsidRDefault="007D1132" w:rsidP="00824A3B">
      <w:pPr>
        <w:spacing w:after="0"/>
        <w:rPr>
          <w:rFonts w:ascii="Century Gothic" w:eastAsia="Geomanist Light" w:hAnsi="Century Gothic" w:cs="Arial"/>
          <w:color w:val="000000" w:themeColor="text1"/>
          <w:lang w:val="es-MX"/>
        </w:rPr>
      </w:pPr>
    </w:p>
    <w:p w14:paraId="74A93393" w14:textId="77777777" w:rsidR="007D1132" w:rsidRDefault="007D1132" w:rsidP="00824A3B">
      <w:pPr>
        <w:spacing w:after="0"/>
        <w:rPr>
          <w:rFonts w:ascii="Century Gothic" w:eastAsia="Geomanist Light" w:hAnsi="Century Gothic" w:cs="Arial"/>
          <w:color w:val="000000" w:themeColor="text1"/>
          <w:lang w:val="es-MX"/>
        </w:rPr>
      </w:pPr>
    </w:p>
    <w:p w14:paraId="3617D3B8" w14:textId="77777777" w:rsidR="007D1132" w:rsidRDefault="007D1132" w:rsidP="00824A3B">
      <w:pPr>
        <w:spacing w:after="0"/>
        <w:rPr>
          <w:rFonts w:ascii="Century Gothic" w:eastAsia="Geomanist Light" w:hAnsi="Century Gothic" w:cs="Arial"/>
          <w:color w:val="000000" w:themeColor="text1"/>
          <w:lang w:val="es-MX"/>
        </w:rPr>
      </w:pPr>
    </w:p>
    <w:p w14:paraId="720438A7" w14:textId="77777777" w:rsidR="007D1132" w:rsidRDefault="007D1132" w:rsidP="00824A3B">
      <w:pPr>
        <w:spacing w:after="0"/>
        <w:rPr>
          <w:rFonts w:ascii="Century Gothic" w:eastAsia="Geomanist Light" w:hAnsi="Century Gothic" w:cs="Arial"/>
          <w:color w:val="000000" w:themeColor="text1"/>
          <w:lang w:val="es-MX"/>
        </w:rPr>
      </w:pPr>
    </w:p>
    <w:p w14:paraId="06EC49CD" w14:textId="77777777" w:rsidR="007D1132" w:rsidRDefault="007D1132" w:rsidP="00824A3B">
      <w:pPr>
        <w:spacing w:after="0"/>
        <w:rPr>
          <w:rFonts w:ascii="Century Gothic" w:eastAsia="Geomanist Light" w:hAnsi="Century Gothic" w:cs="Arial"/>
          <w:color w:val="000000" w:themeColor="text1"/>
          <w:lang w:val="es-MX"/>
        </w:rPr>
      </w:pPr>
    </w:p>
    <w:p w14:paraId="276C4772" w14:textId="2A4F7D1B" w:rsidR="00824A3B" w:rsidRDefault="00824A3B" w:rsidP="00824A3B">
      <w:pPr>
        <w:spacing w:after="0"/>
        <w:rPr>
          <w:rFonts w:ascii="Century Gothic" w:eastAsia="Geomanist Light" w:hAnsi="Century Gothic" w:cs="Arial"/>
          <w:color w:val="201F1E"/>
          <w:lang w:val="es-MX"/>
        </w:rPr>
      </w:pPr>
      <w:r w:rsidRPr="003439D8">
        <w:rPr>
          <w:rFonts w:ascii="Century Gothic" w:eastAsia="Geomanist Light" w:hAnsi="Century Gothic" w:cs="Arial"/>
          <w:color w:val="000000" w:themeColor="text1"/>
          <w:lang w:val="es-MX"/>
        </w:rPr>
        <w:lastRenderedPageBreak/>
        <w:t>Bogotá D.C., </w:t>
      </w:r>
      <w:r w:rsidR="000D0ED5" w:rsidRPr="000D0ED5">
        <w:rPr>
          <w:rFonts w:ascii="Century Gothic" w:eastAsia="Geomanist Light" w:hAnsi="Century Gothic" w:cs="Arial"/>
          <w:color w:val="000000" w:themeColor="text1"/>
          <w:lang w:val="es-MX"/>
        </w:rPr>
        <w:t>04 de Julio de 2023</w:t>
      </w:r>
      <w:r w:rsidRPr="003439D8">
        <w:rPr>
          <w:rFonts w:ascii="Century Gothic" w:eastAsia="Geomanist Light" w:hAnsi="Century Gothic" w:cs="Arial"/>
          <w:color w:val="201F1E"/>
          <w:lang w:val="es-MX"/>
        </w:rPr>
        <w:t xml:space="preserve"> </w:t>
      </w:r>
      <w:r w:rsidRPr="003439D8">
        <w:rPr>
          <w:rFonts w:ascii="Century Gothic" w:eastAsia="Geomanist Light" w:hAnsi="Century Gothic" w:cs="Arial"/>
          <w:color w:val="201F1E"/>
          <w:lang w:val="es-MX"/>
        </w:rPr>
        <w:cr/>
      </w:r>
    </w:p>
    <w:p w14:paraId="33A2BD01" w14:textId="182C7C7D" w:rsidR="00710BE6" w:rsidRPr="003439D8" w:rsidRDefault="00710BE6" w:rsidP="00710BE6">
      <w:pPr>
        <w:spacing w:after="0"/>
        <w:jc w:val="right"/>
        <w:rPr>
          <w:rFonts w:ascii="Century Gothic" w:eastAsia="Times New Roman" w:hAnsi="Century Gothic" w:cs="Arial"/>
          <w:bCs/>
          <w:lang w:val="es-MX" w:eastAsia="es-ES"/>
        </w:rPr>
      </w:pPr>
      <w:r>
        <w:rPr>
          <w:rFonts w:ascii="Century Gothic" w:eastAsia="Times New Roman" w:hAnsi="Century Gothic" w:cs="Arial"/>
          <w:bCs/>
          <w:noProof/>
          <w:lang w:val="es-MX" w:eastAsia="es-ES"/>
        </w:rPr>
        <w:drawing>
          <wp:inline distT="0" distB="0" distL="0" distR="0" wp14:anchorId="22C37EEE" wp14:editId="31B21716">
            <wp:extent cx="2943225" cy="695325"/>
            <wp:effectExtent l="0" t="0" r="9525" b="9525"/>
            <wp:docPr id="6567882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3225" cy="695325"/>
                    </a:xfrm>
                    <a:prstGeom prst="rect">
                      <a:avLst/>
                    </a:prstGeom>
                    <a:noFill/>
                    <a:ln>
                      <a:noFill/>
                    </a:ln>
                  </pic:spPr>
                </pic:pic>
              </a:graphicData>
            </a:graphic>
          </wp:inline>
        </w:drawing>
      </w:r>
    </w:p>
    <w:p w14:paraId="7FFDB18F" w14:textId="77777777" w:rsidR="00824A3B" w:rsidRPr="003439D8" w:rsidRDefault="00824A3B" w:rsidP="00824A3B">
      <w:pPr>
        <w:spacing w:after="0"/>
        <w:contextualSpacing/>
        <w:jc w:val="both"/>
        <w:rPr>
          <w:rFonts w:ascii="Century Gothic" w:eastAsia="Calibri" w:hAnsi="Century Gothic" w:cs="Arial"/>
          <w:lang w:val="es-ES_tradnl" w:eastAsia="es-ES_tradnl"/>
        </w:rPr>
      </w:pPr>
    </w:p>
    <w:p w14:paraId="4291B049" w14:textId="77777777" w:rsidR="00824A3B" w:rsidRPr="003439D8" w:rsidRDefault="00824A3B" w:rsidP="00824A3B">
      <w:pPr>
        <w:contextualSpacing/>
        <w:jc w:val="both"/>
        <w:rPr>
          <w:rFonts w:ascii="Century Gothic" w:eastAsia="Calibri" w:hAnsi="Century Gothic" w:cs="Arial"/>
          <w:lang w:eastAsia="es-ES_tradnl"/>
        </w:rPr>
      </w:pPr>
      <w:r w:rsidRPr="003439D8">
        <w:rPr>
          <w:rFonts w:ascii="Century Gothic" w:eastAsia="Calibri" w:hAnsi="Century Gothic" w:cs="Arial"/>
          <w:lang w:eastAsia="es-ES_tradnl"/>
        </w:rPr>
        <w:t>Señor</w:t>
      </w:r>
    </w:p>
    <w:p w14:paraId="6A24CBBD" w14:textId="77777777" w:rsidR="00824A3B" w:rsidRPr="003439D8" w:rsidRDefault="00824A3B" w:rsidP="00824A3B">
      <w:pPr>
        <w:contextualSpacing/>
        <w:jc w:val="both"/>
        <w:rPr>
          <w:rFonts w:ascii="Century Gothic" w:eastAsia="Calibri" w:hAnsi="Century Gothic" w:cs="Arial"/>
          <w:b/>
          <w:lang w:eastAsia="es-ES_tradnl"/>
        </w:rPr>
      </w:pPr>
      <w:r w:rsidRPr="003439D8">
        <w:rPr>
          <w:rFonts w:ascii="Century Gothic" w:eastAsia="Calibri" w:hAnsi="Century Gothic" w:cs="Arial"/>
          <w:b/>
          <w:lang w:eastAsia="es-ES_tradnl"/>
        </w:rPr>
        <w:t>Carlos Alberto Rodríguez Casas</w:t>
      </w:r>
    </w:p>
    <w:p w14:paraId="20A90F18" w14:textId="77777777" w:rsidR="00824A3B" w:rsidRPr="003439D8" w:rsidRDefault="00824A3B" w:rsidP="00824A3B">
      <w:pPr>
        <w:contextualSpacing/>
        <w:jc w:val="both"/>
        <w:rPr>
          <w:rFonts w:ascii="Century Gothic" w:eastAsia="Calibri" w:hAnsi="Century Gothic" w:cs="Arial"/>
          <w:bCs/>
          <w:lang w:eastAsia="es-ES_tradnl"/>
        </w:rPr>
      </w:pPr>
      <w:r w:rsidRPr="003439D8">
        <w:rPr>
          <w:rFonts w:ascii="Century Gothic" w:eastAsia="Geomanist Light" w:hAnsi="Century Gothic" w:cs="Arial"/>
          <w:color w:val="000000" w:themeColor="text1"/>
          <w:lang w:val="es-MX"/>
        </w:rPr>
        <w:t>Bogotá D.C.</w:t>
      </w:r>
    </w:p>
    <w:p w14:paraId="10B4C1BF" w14:textId="77777777" w:rsidR="00824A3B" w:rsidRPr="003439D8" w:rsidRDefault="00824A3B" w:rsidP="00824A3B">
      <w:pPr>
        <w:contextualSpacing/>
        <w:jc w:val="both"/>
        <w:rPr>
          <w:rFonts w:ascii="Century Gothic" w:eastAsia="Calibri" w:hAnsi="Century Gothic" w:cs="Arial"/>
          <w:lang w:val="es-ES_tradnl" w:eastAsia="es-ES_tradnl"/>
        </w:rPr>
      </w:pPr>
    </w:p>
    <w:p w14:paraId="01796E71" w14:textId="77777777" w:rsidR="00824A3B" w:rsidRPr="003439D8" w:rsidRDefault="00824A3B" w:rsidP="00824A3B">
      <w:pPr>
        <w:contextualSpacing/>
        <w:rPr>
          <w:rFonts w:ascii="Century Gothic" w:eastAsia="Calibri" w:hAnsi="Century Gothic" w:cs="Arial"/>
          <w:b/>
          <w:bCs/>
          <w:lang w:val="es-ES_tradnl" w:eastAsia="es-ES_tradnl"/>
        </w:rPr>
      </w:pPr>
    </w:p>
    <w:p w14:paraId="2A8EA56A" w14:textId="77777777" w:rsidR="00824A3B" w:rsidRPr="003439D8" w:rsidRDefault="00824A3B" w:rsidP="00824A3B">
      <w:pPr>
        <w:ind w:left="2124" w:firstLine="570"/>
        <w:contextualSpacing/>
        <w:rPr>
          <w:rFonts w:ascii="Century Gothic" w:eastAsia="Calibri" w:hAnsi="Century Gothic" w:cs="Arial"/>
          <w:b/>
          <w:bCs/>
          <w:lang w:val="es-ES_tradnl" w:eastAsia="es-ES_tradnl"/>
        </w:rPr>
      </w:pPr>
      <w:r w:rsidRPr="003439D8">
        <w:rPr>
          <w:rFonts w:ascii="Century Gothic" w:eastAsia="Calibri" w:hAnsi="Century Gothic" w:cs="Arial"/>
          <w:b/>
          <w:bCs/>
          <w:lang w:val="es-ES_tradnl" w:eastAsia="es-ES_tradnl"/>
        </w:rPr>
        <w:t>Concepto C – 304 de 2023</w:t>
      </w:r>
    </w:p>
    <w:p w14:paraId="3D6CAE79" w14:textId="77777777" w:rsidR="00824A3B" w:rsidRPr="003439D8" w:rsidRDefault="00824A3B" w:rsidP="00824A3B">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24A3B" w:rsidRPr="003439D8" w14:paraId="6ED9033C" w14:textId="77777777" w:rsidTr="007C419F">
        <w:tc>
          <w:tcPr>
            <w:tcW w:w="2689" w:type="dxa"/>
          </w:tcPr>
          <w:p w14:paraId="0D6E2A92" w14:textId="77777777" w:rsidR="00824A3B" w:rsidRPr="003439D8" w:rsidRDefault="00824A3B" w:rsidP="007C419F">
            <w:pPr>
              <w:contextualSpacing/>
              <w:jc w:val="both"/>
              <w:rPr>
                <w:rFonts w:ascii="Century Gothic" w:eastAsia="Calibri" w:hAnsi="Century Gothic" w:cs="Arial"/>
                <w:lang w:val="es-ES_tradnl" w:eastAsia="es-ES_tradnl"/>
              </w:rPr>
            </w:pPr>
            <w:r w:rsidRPr="003439D8">
              <w:rPr>
                <w:rFonts w:ascii="Century Gothic" w:eastAsia="Calibri" w:hAnsi="Century Gothic" w:cs="Arial"/>
                <w:b/>
                <w:lang w:val="es-ES_tradnl" w:eastAsia="es-ES_tradnl"/>
              </w:rPr>
              <w:t>Temas:</w:t>
            </w:r>
            <w:r w:rsidRPr="003439D8">
              <w:rPr>
                <w:rFonts w:ascii="Century Gothic" w:eastAsia="Calibri" w:hAnsi="Century Gothic" w:cs="Arial"/>
                <w:lang w:val="es-ES_tradnl" w:eastAsia="es-ES_tradnl"/>
              </w:rPr>
              <w:t xml:space="preserve">                                      </w:t>
            </w:r>
          </w:p>
        </w:tc>
        <w:tc>
          <w:tcPr>
            <w:tcW w:w="6237" w:type="dxa"/>
          </w:tcPr>
          <w:p w14:paraId="5663CD4C" w14:textId="77777777" w:rsidR="00824A3B" w:rsidRPr="003439D8" w:rsidRDefault="00824A3B" w:rsidP="007C419F">
            <w:pPr>
              <w:spacing w:after="120"/>
              <w:contextualSpacing/>
              <w:jc w:val="both"/>
              <w:rPr>
                <w:rFonts w:ascii="Century Gothic" w:eastAsia="Calibri" w:hAnsi="Century Gothic" w:cs="Arial"/>
                <w:bCs/>
                <w:lang w:val="es-ES_tradnl" w:eastAsia="es-ES_tradnl"/>
              </w:rPr>
            </w:pPr>
            <w:r w:rsidRPr="003439D8">
              <w:rPr>
                <w:rFonts w:ascii="Century Gothic" w:eastAsia="Calibri" w:hAnsi="Century Gothic" w:cs="Arial"/>
                <w:bCs/>
                <w:lang w:val="es-ES_tradnl" w:eastAsia="es-ES_tradnl"/>
              </w:rPr>
              <w:t>PRINCIPIO DE SELECCIÓN OBJETIVA – Fundamento – Alcance / SUBSANABILIDAD – Concepto de unificación – Aplicación – Improcedencia – Circunstancias posteriores – Cierre del proceso / SUBSANABILIDAD – Oportunidad – Traslado – Informe de evaluación</w:t>
            </w:r>
          </w:p>
          <w:p w14:paraId="4DC7C788" w14:textId="77777777" w:rsidR="00824A3B" w:rsidRPr="003439D8" w:rsidRDefault="00824A3B" w:rsidP="007C419F">
            <w:pPr>
              <w:spacing w:after="120"/>
              <w:contextualSpacing/>
              <w:jc w:val="both"/>
              <w:rPr>
                <w:rFonts w:ascii="Century Gothic" w:eastAsia="Calibri" w:hAnsi="Century Gothic" w:cs="Arial"/>
                <w:bCs/>
                <w:sz w:val="12"/>
                <w:szCs w:val="12"/>
                <w:lang w:val="es-MX" w:eastAsia="es-ES_tradnl"/>
              </w:rPr>
            </w:pPr>
          </w:p>
          <w:p w14:paraId="043E8DF8" w14:textId="77777777" w:rsidR="00824A3B" w:rsidRPr="003439D8" w:rsidRDefault="00824A3B" w:rsidP="007C419F">
            <w:pPr>
              <w:spacing w:after="120"/>
              <w:contextualSpacing/>
              <w:jc w:val="both"/>
              <w:rPr>
                <w:rFonts w:ascii="Century Gothic" w:eastAsia="Calibri" w:hAnsi="Century Gothic" w:cs="Arial"/>
                <w:bCs/>
                <w:sz w:val="12"/>
                <w:szCs w:val="12"/>
                <w:lang w:val="es-ES_tradnl" w:eastAsia="es-ES_tradnl"/>
              </w:rPr>
            </w:pPr>
          </w:p>
        </w:tc>
      </w:tr>
      <w:tr w:rsidR="00824A3B" w:rsidRPr="003439D8" w14:paraId="3979E824" w14:textId="77777777" w:rsidTr="007C419F">
        <w:trPr>
          <w:trHeight w:val="227"/>
        </w:trPr>
        <w:tc>
          <w:tcPr>
            <w:tcW w:w="2689" w:type="dxa"/>
          </w:tcPr>
          <w:p w14:paraId="165E1214" w14:textId="77777777" w:rsidR="00824A3B" w:rsidRPr="003439D8" w:rsidRDefault="00824A3B" w:rsidP="007C419F">
            <w:pPr>
              <w:contextualSpacing/>
              <w:jc w:val="both"/>
              <w:rPr>
                <w:rFonts w:ascii="Century Gothic" w:eastAsia="Calibri" w:hAnsi="Century Gothic" w:cs="Arial"/>
                <w:b/>
                <w:lang w:val="es-ES_tradnl" w:eastAsia="es-ES_tradnl"/>
              </w:rPr>
            </w:pPr>
            <w:r w:rsidRPr="003439D8">
              <w:rPr>
                <w:rFonts w:ascii="Century Gothic" w:eastAsia="Calibri" w:hAnsi="Century Gothic" w:cs="Arial"/>
                <w:b/>
                <w:lang w:val="es-ES_tradnl" w:eastAsia="es-ES_tradnl"/>
              </w:rPr>
              <w:t>Radicación:</w:t>
            </w:r>
            <w:r w:rsidRPr="003439D8">
              <w:rPr>
                <w:rFonts w:ascii="Century Gothic" w:eastAsia="Calibri" w:hAnsi="Century Gothic" w:cs="Arial"/>
                <w:lang w:val="es-ES_tradnl" w:eastAsia="es-ES_tradnl"/>
              </w:rPr>
              <w:t xml:space="preserve">                             </w:t>
            </w:r>
          </w:p>
        </w:tc>
        <w:tc>
          <w:tcPr>
            <w:tcW w:w="6237" w:type="dxa"/>
          </w:tcPr>
          <w:p w14:paraId="31E857B7" w14:textId="77777777" w:rsidR="00824A3B" w:rsidRPr="003439D8" w:rsidRDefault="00824A3B" w:rsidP="007C419F">
            <w:pPr>
              <w:contextualSpacing/>
              <w:jc w:val="both"/>
              <w:rPr>
                <w:rFonts w:ascii="Century Gothic" w:eastAsia="Calibri" w:hAnsi="Century Gothic" w:cs="Arial"/>
                <w:lang w:val="es-ES_tradnl" w:eastAsia="es-ES_tradnl"/>
              </w:rPr>
            </w:pPr>
            <w:r w:rsidRPr="003439D8">
              <w:rPr>
                <w:rFonts w:ascii="Century Gothic" w:eastAsia="Calibri" w:hAnsi="Century Gothic" w:cs="Arial"/>
                <w:lang w:val="es-ES_tradnl" w:eastAsia="es-ES_tradnl"/>
              </w:rPr>
              <w:t>Respuesta a consulta P20230609012245</w:t>
            </w:r>
          </w:p>
        </w:tc>
      </w:tr>
    </w:tbl>
    <w:p w14:paraId="14CB6CB2" w14:textId="77777777" w:rsidR="00824A3B" w:rsidRPr="003439D8" w:rsidRDefault="00824A3B" w:rsidP="00824A3B">
      <w:pPr>
        <w:contextualSpacing/>
        <w:jc w:val="both"/>
        <w:rPr>
          <w:rFonts w:ascii="Century Gothic" w:eastAsia="Calibri" w:hAnsi="Century Gothic" w:cs="Arial"/>
          <w:lang w:val="es-ES_tradnl" w:eastAsia="es-ES_tradnl"/>
        </w:rPr>
      </w:pPr>
    </w:p>
    <w:p w14:paraId="5B15A44E" w14:textId="77777777" w:rsidR="00824A3B" w:rsidRPr="003439D8" w:rsidRDefault="00824A3B" w:rsidP="00824A3B">
      <w:pPr>
        <w:contextualSpacing/>
        <w:jc w:val="both"/>
        <w:rPr>
          <w:rFonts w:ascii="Century Gothic" w:eastAsia="Calibri" w:hAnsi="Century Gothic" w:cs="Arial"/>
          <w:lang w:val="es-ES_tradnl" w:eastAsia="es-ES_tradnl"/>
        </w:rPr>
      </w:pPr>
    </w:p>
    <w:p w14:paraId="684D34A7" w14:textId="77777777" w:rsidR="00824A3B" w:rsidRPr="003439D8" w:rsidRDefault="00824A3B" w:rsidP="00824A3B">
      <w:pPr>
        <w:contextualSpacing/>
        <w:jc w:val="both"/>
        <w:rPr>
          <w:rFonts w:ascii="Century Gothic" w:eastAsia="Calibri" w:hAnsi="Century Gothic" w:cs="Arial"/>
          <w:lang w:val="es-ES" w:eastAsia="es-ES"/>
        </w:rPr>
      </w:pPr>
      <w:r w:rsidRPr="003439D8">
        <w:rPr>
          <w:rFonts w:ascii="Century Gothic" w:eastAsia="Calibri" w:hAnsi="Century Gothic" w:cs="Arial"/>
          <w:lang w:val="es-ES" w:eastAsia="es-ES"/>
        </w:rPr>
        <w:t xml:space="preserve">Respetado señor </w:t>
      </w:r>
      <w:r w:rsidRPr="003439D8">
        <w:rPr>
          <w:rFonts w:ascii="Century Gothic" w:eastAsia="Times New Roman" w:hAnsi="Century Gothic" w:cs="Arial"/>
          <w:lang w:eastAsia="es-ES"/>
        </w:rPr>
        <w:t>Rodríguez</w:t>
      </w:r>
      <w:r w:rsidRPr="003439D8">
        <w:rPr>
          <w:rFonts w:ascii="Century Gothic" w:eastAsia="Calibri" w:hAnsi="Century Gothic" w:cs="Arial"/>
          <w:lang w:val="es-ES" w:eastAsia="es-ES"/>
        </w:rPr>
        <w:t>:</w:t>
      </w:r>
    </w:p>
    <w:p w14:paraId="74E9CF38" w14:textId="77777777" w:rsidR="00824A3B" w:rsidRPr="003439D8" w:rsidRDefault="00824A3B" w:rsidP="00824A3B">
      <w:pPr>
        <w:spacing w:line="276" w:lineRule="auto"/>
        <w:contextualSpacing/>
        <w:jc w:val="both"/>
        <w:rPr>
          <w:rFonts w:ascii="Century Gothic" w:eastAsia="Calibri" w:hAnsi="Century Gothic" w:cs="Arial"/>
          <w:szCs w:val="24"/>
          <w:lang w:val="es-ES_tradnl" w:eastAsia="es-ES_tradnl"/>
        </w:rPr>
      </w:pPr>
    </w:p>
    <w:bookmarkEnd w:id="0"/>
    <w:bookmarkEnd w:id="1"/>
    <w:p w14:paraId="48BF8E68" w14:textId="77777777" w:rsidR="00824A3B" w:rsidRPr="003439D8" w:rsidRDefault="00824A3B" w:rsidP="00824A3B">
      <w:pPr>
        <w:spacing w:after="0" w:line="276" w:lineRule="auto"/>
        <w:jc w:val="both"/>
        <w:rPr>
          <w:rFonts w:ascii="Century Gothic" w:eastAsia="Calibri" w:hAnsi="Century Gothic" w:cs="Arial"/>
          <w:color w:val="000000" w:themeColor="text1"/>
          <w:lang w:val="es-ES_tradnl"/>
        </w:rPr>
      </w:pPr>
      <w:r w:rsidRPr="003439D8">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3439D8">
        <w:rPr>
          <w:rFonts w:ascii="Century Gothic" w:eastAsia="Arial MT" w:hAnsi="Century Gothic" w:cs="Arial MT"/>
          <w:lang w:val="es-ES"/>
        </w:rPr>
        <w:t xml:space="preserve">, </w:t>
      </w:r>
      <w:bookmarkEnd w:id="3"/>
      <w:r w:rsidRPr="003439D8">
        <w:rPr>
          <w:rFonts w:ascii="Century Gothic" w:eastAsia="Calibri" w:hAnsi="Century Gothic" w:cs="Arial"/>
          <w:color w:val="000000" w:themeColor="text1"/>
          <w:lang w:val="es-ES_tradnl"/>
        </w:rPr>
        <w:t>la Agencia Nacional de Contratación Pública – Colombia Compra Eficiente responde la consulta radicada el 9 de junio de 2023.</w:t>
      </w:r>
    </w:p>
    <w:p w14:paraId="77C6F761" w14:textId="77777777" w:rsidR="00824A3B" w:rsidRPr="003439D8" w:rsidRDefault="00824A3B" w:rsidP="00824A3B">
      <w:pPr>
        <w:spacing w:after="0" w:line="276" w:lineRule="auto"/>
        <w:jc w:val="both"/>
        <w:rPr>
          <w:rFonts w:ascii="Century Gothic" w:eastAsia="Calibri" w:hAnsi="Century Gothic" w:cs="Arial"/>
          <w:b/>
          <w:color w:val="000000" w:themeColor="text1"/>
          <w:lang w:val="es-ES_tradnl"/>
        </w:rPr>
      </w:pPr>
    </w:p>
    <w:p w14:paraId="270D4F02" w14:textId="77777777" w:rsidR="00824A3B" w:rsidRPr="003439D8" w:rsidRDefault="00824A3B" w:rsidP="00824A3B">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3439D8">
        <w:rPr>
          <w:rFonts w:ascii="Century Gothic" w:eastAsia="Calibri" w:hAnsi="Century Gothic" w:cs="Arial"/>
          <w:b/>
          <w:color w:val="000000" w:themeColor="text1"/>
          <w:lang w:val="es-ES_tradnl"/>
        </w:rPr>
        <w:t xml:space="preserve">Problemas planteados </w:t>
      </w:r>
    </w:p>
    <w:p w14:paraId="449CC27D" w14:textId="77777777" w:rsidR="00824A3B" w:rsidRPr="003439D8" w:rsidRDefault="00824A3B" w:rsidP="00824A3B">
      <w:pPr>
        <w:tabs>
          <w:tab w:val="left" w:pos="426"/>
        </w:tabs>
        <w:spacing w:after="0" w:line="276" w:lineRule="auto"/>
        <w:jc w:val="both"/>
        <w:rPr>
          <w:rFonts w:ascii="Century Gothic" w:eastAsia="Calibri" w:hAnsi="Century Gothic" w:cs="Arial"/>
          <w:b/>
          <w:color w:val="000000" w:themeColor="text1"/>
          <w:lang w:val="es-ES_tradnl"/>
        </w:rPr>
      </w:pPr>
    </w:p>
    <w:p w14:paraId="4CDE092E" w14:textId="77777777" w:rsidR="00824A3B" w:rsidRPr="003439D8" w:rsidRDefault="00824A3B" w:rsidP="00824A3B">
      <w:pPr>
        <w:spacing w:after="0" w:line="276" w:lineRule="auto"/>
        <w:jc w:val="both"/>
        <w:rPr>
          <w:rFonts w:ascii="Century Gothic" w:hAnsi="Century Gothic" w:cs="Arial"/>
          <w:color w:val="000000" w:themeColor="text1"/>
          <w:lang w:val="es-ES_tradnl"/>
        </w:rPr>
      </w:pPr>
      <w:r w:rsidRPr="003439D8">
        <w:rPr>
          <w:rFonts w:ascii="Century Gothic" w:hAnsi="Century Gothic" w:cs="Arial"/>
          <w:color w:val="000000" w:themeColor="text1"/>
          <w:lang w:val="es-ES_tradnl"/>
        </w:rPr>
        <w:t xml:space="preserve">Usted realiza las siguientes preguntas: i) “Teniendo en cuenta las disposiciones legales, las reglas y parámetros establecidos por la jurisprudencia especializada y los conceptos emitidos por Colombia Compra Eficiente, ¿es jurídicamente viable que una entidad contratante que ha consagrado en sus documentos precontractuales la regla de la subsanabilidad de todo documento o requisito de una oferta que no sea susceptible de asignación de puntaje, pueda, en la etapa de calificación de las propuestas, calificar qué documentos pueden ser </w:t>
      </w:r>
      <w:r w:rsidRPr="003439D8">
        <w:rPr>
          <w:rFonts w:ascii="Century Gothic" w:hAnsi="Century Gothic" w:cs="Arial"/>
          <w:color w:val="000000" w:themeColor="text1"/>
          <w:lang w:val="es-ES_tradnl"/>
        </w:rPr>
        <w:lastRenderedPageBreak/>
        <w:t>subsanados y cuáles no?”, ii) “Bajo las mismas consideraciones del numeral anterior ¿puede la entidad contratante abstenerse de aceptar la subsanación de documentos que no asignan puntaje bajo la consideración de que debiendo haberse presentado al momento del cierre del proceso de selección, admitirlos implica una modificación o mejora de la oferta presentada?”, iii) “¿Se ajusta a derecho la consideración según la cual aun reconociendo la naturaleza habilitante del documento cuya presentación no se hizo con la oferta, pero existente a la fecha del cierre, implica una violación al principio de igualdad?” y iv) “¿Puede la entidad contratante desconocer su propia regla precontractual de subsanabilidad de documentos que no asignen puntaje, argumentando que la subsanación solo es posible ‘sobre ofrecimientos realizados por el oferente al momento de la presentación de su oferta’. O que ‘aun tratándose de aspectos habilitantes, tampoco es de recibido (sic) que los oferentes pretendan mejorar sus ofertas sobre aspectos que no hicieron parie de su ofrecimiento inicial, pues en ese caso, no estaría acreditando un elemento que incorporó en su propuesta ni subsanando un defecto de esta, si no que, estaría incluyendo un nuevo aspecto de la oferta, rompiendo así con la equidad e igualdad sobre la cual se realiza la correspondiente verificación y evaluación...’".</w:t>
      </w:r>
    </w:p>
    <w:p w14:paraId="7D130665" w14:textId="77777777" w:rsidR="00824A3B" w:rsidRPr="003439D8" w:rsidRDefault="00824A3B" w:rsidP="00824A3B">
      <w:pPr>
        <w:spacing w:after="0" w:line="276" w:lineRule="auto"/>
        <w:ind w:right="709"/>
        <w:jc w:val="both"/>
        <w:rPr>
          <w:rFonts w:ascii="Century Gothic" w:hAnsi="Century Gothic" w:cs="Arial"/>
          <w:color w:val="000000" w:themeColor="text1"/>
        </w:rPr>
      </w:pPr>
    </w:p>
    <w:p w14:paraId="5DE944FB" w14:textId="77777777" w:rsidR="00824A3B" w:rsidRPr="003439D8" w:rsidRDefault="00824A3B" w:rsidP="00824A3B">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3439D8">
        <w:rPr>
          <w:rFonts w:ascii="Century Gothic" w:eastAsia="Calibri" w:hAnsi="Century Gothic" w:cs="Arial"/>
          <w:b/>
          <w:color w:val="000000" w:themeColor="text1"/>
          <w:lang w:val="es-ES_tradnl"/>
        </w:rPr>
        <w:t>Consideraciones</w:t>
      </w:r>
    </w:p>
    <w:p w14:paraId="5908276D" w14:textId="77777777" w:rsidR="00824A3B" w:rsidRPr="003439D8" w:rsidRDefault="00824A3B" w:rsidP="00824A3B">
      <w:pPr>
        <w:spacing w:after="0" w:line="276" w:lineRule="auto"/>
        <w:jc w:val="both"/>
        <w:rPr>
          <w:rFonts w:ascii="Century Gothic" w:eastAsia="Calibri" w:hAnsi="Century Gothic" w:cs="Arial"/>
          <w:color w:val="000000" w:themeColor="text1"/>
          <w:lang w:val="es-ES"/>
        </w:rPr>
      </w:pPr>
    </w:p>
    <w:p w14:paraId="28DD5D10" w14:textId="77777777" w:rsidR="00824A3B" w:rsidRPr="003439D8" w:rsidRDefault="00824A3B" w:rsidP="00824A3B">
      <w:pPr>
        <w:spacing w:after="120" w:line="276" w:lineRule="auto"/>
        <w:jc w:val="both"/>
        <w:rPr>
          <w:rFonts w:ascii="Century Gothic" w:hAnsi="Century Gothic" w:cs="Arial"/>
          <w:lang w:val="es-ES"/>
        </w:rPr>
      </w:pPr>
      <w:r w:rsidRPr="003439D8">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3439D8">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3439D8">
        <w:rPr>
          <w:rFonts w:ascii="Century Gothic" w:hAnsi="Century Gothic" w:cs="Arial"/>
          <w:bCs/>
        </w:rPr>
        <w:t xml:space="preserve"> de todos los partícipes de la contratación estatal.</w:t>
      </w:r>
    </w:p>
    <w:p w14:paraId="4F47E7D5" w14:textId="77777777" w:rsidR="00824A3B" w:rsidRPr="003439D8" w:rsidRDefault="00824A3B" w:rsidP="00824A3B">
      <w:pPr>
        <w:spacing w:after="120" w:line="276" w:lineRule="auto"/>
        <w:ind w:firstLine="708"/>
        <w:jc w:val="both"/>
        <w:rPr>
          <w:rFonts w:ascii="Century Gothic" w:hAnsi="Century Gothic" w:cs="Arial"/>
          <w:lang w:val="es-ES"/>
        </w:rPr>
      </w:pPr>
      <w:r w:rsidRPr="003439D8">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439D8">
        <w:rPr>
          <w:rFonts w:ascii="Century Gothic" w:hAnsi="Century Gothic" w:cs="Arial"/>
          <w:vertAlign w:val="superscript"/>
          <w:lang w:val="es-ES"/>
        </w:rPr>
        <w:footnoteReference w:id="2"/>
      </w:r>
      <w:r w:rsidRPr="003439D8">
        <w:rPr>
          <w:rFonts w:ascii="Century Gothic" w:hAnsi="Century Gothic"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en específico.</w:t>
      </w:r>
    </w:p>
    <w:p w14:paraId="1495B8FD" w14:textId="77777777" w:rsidR="00824A3B" w:rsidRPr="003439D8" w:rsidRDefault="00824A3B" w:rsidP="00824A3B">
      <w:pPr>
        <w:spacing w:line="276" w:lineRule="auto"/>
        <w:ind w:firstLine="708"/>
        <w:jc w:val="both"/>
        <w:rPr>
          <w:rFonts w:ascii="Century Gothic" w:hAnsi="Century Gothic" w:cs="Arial"/>
          <w:color w:val="000000" w:themeColor="text1"/>
          <w:lang w:val="es-ES"/>
        </w:rPr>
      </w:pPr>
      <w:r w:rsidRPr="003439D8">
        <w:rPr>
          <w:rFonts w:ascii="Century Gothic" w:eastAsia="Calibri" w:hAnsi="Century Gothic" w:cs="Arial"/>
        </w:rPr>
        <w:lastRenderedPageBreak/>
        <w:t xml:space="preserve">Sin perjuicio de lo anterior, </w:t>
      </w:r>
      <w:r w:rsidRPr="003439D8">
        <w:rPr>
          <w:rFonts w:ascii="Century Gothic" w:eastAsia="Calibri" w:hAnsi="Century Gothic" w:cs="Arial"/>
          <w:lang w:val="es-ES"/>
        </w:rPr>
        <w:t>la Agencia –dentro de los límites de sus atribuciones– resolverá la consulta conforme a las normas generales del sistema de compras públicas. Con este objetivo</w:t>
      </w:r>
      <w:r w:rsidRPr="003439D8">
        <w:rPr>
          <w:rFonts w:ascii="Century Gothic" w:eastAsia="Calibri" w:hAnsi="Century Gothic" w:cs="Arial"/>
          <w:color w:val="000000" w:themeColor="text1"/>
        </w:rPr>
        <w:t xml:space="preserve"> </w:t>
      </w:r>
      <w:r w:rsidRPr="003439D8">
        <w:rPr>
          <w:rFonts w:ascii="Century Gothic" w:eastAsia="Calibri" w:hAnsi="Century Gothic" w:cs="Arial"/>
          <w:color w:val="000000" w:themeColor="text1"/>
          <w:lang w:val="es-ES"/>
        </w:rPr>
        <w:t>se abordarán los siguientes temas</w:t>
      </w:r>
      <w:r w:rsidRPr="003439D8">
        <w:rPr>
          <w:rFonts w:ascii="Century Gothic" w:hAnsi="Century Gothic" w:cs="Arial"/>
          <w:color w:val="000000" w:themeColor="text1"/>
          <w:lang w:val="es-ES"/>
        </w:rPr>
        <w:t>: i) principio de selección objetiva en la contratación estatal y ii) alcance de la regla de la subsanabilidad de las ofertas en los procedimientos de selección</w:t>
      </w:r>
    </w:p>
    <w:p w14:paraId="4EE676E2" w14:textId="77777777" w:rsidR="00824A3B" w:rsidRPr="003439D8" w:rsidRDefault="00824A3B" w:rsidP="00824A3B">
      <w:pPr>
        <w:spacing w:before="120" w:after="0" w:line="276" w:lineRule="auto"/>
        <w:ind w:firstLine="709"/>
        <w:jc w:val="both"/>
        <w:rPr>
          <w:rFonts w:ascii="Century Gothic" w:eastAsia="Calibri" w:hAnsi="Century Gothic" w:cs="Arial"/>
          <w:color w:val="000000" w:themeColor="text1"/>
          <w:lang w:val="es-ES"/>
        </w:rPr>
      </w:pPr>
      <w:r w:rsidRPr="003439D8">
        <w:rPr>
          <w:rFonts w:ascii="Century Gothic" w:eastAsia="Calibri" w:hAnsi="Century Gothic" w:cs="Arial"/>
          <w:color w:val="000000" w:themeColor="text1"/>
          <w:lang w:val="es-ES"/>
        </w:rPr>
        <w:t>La Agencia Nacional de Contratación Pública – Colombia Compra Eficiente, en el Concepto</w:t>
      </w:r>
      <w:r w:rsidRPr="003439D8">
        <w:rPr>
          <w:rFonts w:ascii="Century Gothic" w:eastAsia="Calibri" w:hAnsi="Century Gothic" w:cs="Arial"/>
          <w:color w:val="000000" w:themeColor="text1"/>
          <w:lang w:eastAsia="en-GB"/>
        </w:rPr>
        <w:t xml:space="preserve"> CU-060 del 24 de febrero de 2020, unificó su postura sobre el alcance de la regla de subsanabilidad prevista en el artículo 5 de la Ley 1150 de 2007</w:t>
      </w:r>
      <w:r w:rsidRPr="003439D8">
        <w:rPr>
          <w:rFonts w:ascii="Century Gothic" w:eastAsia="Calibri" w:hAnsi="Century Gothic" w:cs="Arial"/>
          <w:color w:val="000000" w:themeColor="text1"/>
          <w:lang w:val="es-ES"/>
        </w:rPr>
        <w:t xml:space="preserve">. </w:t>
      </w:r>
      <w:r w:rsidRPr="003439D8">
        <w:rPr>
          <w:rFonts w:ascii="Century Gothic" w:eastAsia="Calibri" w:hAnsi="Century Gothic" w:cs="Arial"/>
          <w:color w:val="000000" w:themeColor="text1"/>
          <w:lang w:val="es-ES_tradnl"/>
        </w:rPr>
        <w:t>La tesis propuesta se ha reiterado en 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y C-216 del 6 de junio de 2023</w:t>
      </w:r>
      <w:r w:rsidRPr="003439D8">
        <w:rPr>
          <w:rStyle w:val="Refdenotaalpie"/>
          <w:rFonts w:ascii="Century Gothic" w:eastAsia="Calibri" w:hAnsi="Century Gothic" w:cs="Arial"/>
        </w:rPr>
        <w:footnoteReference w:id="3"/>
      </w:r>
      <w:r w:rsidRPr="003439D8">
        <w:rPr>
          <w:rFonts w:ascii="Century Gothic" w:eastAsia="Calibri" w:hAnsi="Century Gothic" w:cs="Arial"/>
          <w:color w:val="000000" w:themeColor="text1"/>
          <w:lang w:val="es-ES_tradnl"/>
        </w:rPr>
        <w:t>. Las ideas de estos conceptos se retoman a continuación.</w:t>
      </w:r>
    </w:p>
    <w:p w14:paraId="7A6BA60C" w14:textId="77777777" w:rsidR="00824A3B" w:rsidRPr="003439D8" w:rsidRDefault="00824A3B" w:rsidP="00824A3B">
      <w:pPr>
        <w:pStyle w:val="Sinespaciado"/>
        <w:widowControl w:val="0"/>
        <w:autoSpaceDE w:val="0"/>
        <w:autoSpaceDN w:val="0"/>
        <w:spacing w:line="276" w:lineRule="auto"/>
        <w:jc w:val="both"/>
        <w:rPr>
          <w:rFonts w:ascii="Century Gothic" w:hAnsi="Century Gothic" w:cs="Arial"/>
          <w:b/>
          <w:sz w:val="22"/>
        </w:rPr>
      </w:pPr>
    </w:p>
    <w:p w14:paraId="0ECE146C" w14:textId="77777777" w:rsidR="00824A3B" w:rsidRPr="003439D8" w:rsidRDefault="00824A3B" w:rsidP="00824A3B">
      <w:pPr>
        <w:spacing w:after="0" w:line="276" w:lineRule="auto"/>
        <w:contextualSpacing/>
        <w:jc w:val="both"/>
        <w:rPr>
          <w:rFonts w:ascii="Century Gothic" w:eastAsia="Arial" w:hAnsi="Century Gothic" w:cs="Arial"/>
          <w:b/>
          <w:bCs/>
          <w:lang w:val="es-ES_tradnl" w:eastAsia="es-ES_tradnl"/>
        </w:rPr>
      </w:pPr>
      <w:bookmarkStart w:id="4" w:name="_Hlk73970609"/>
      <w:r w:rsidRPr="003439D8">
        <w:rPr>
          <w:rFonts w:ascii="Century Gothic" w:eastAsia="Arial" w:hAnsi="Century Gothic" w:cs="Arial"/>
          <w:b/>
          <w:bCs/>
          <w:lang w:val="es-ES_tradnl" w:eastAsia="es-ES_tradnl"/>
        </w:rPr>
        <w:t xml:space="preserve">2.1. Principio de selección objetiva en la contratación estatal  </w:t>
      </w:r>
    </w:p>
    <w:p w14:paraId="12F222AB" w14:textId="77777777" w:rsidR="00824A3B" w:rsidRPr="003439D8" w:rsidRDefault="00824A3B" w:rsidP="00824A3B">
      <w:pPr>
        <w:spacing w:after="0" w:line="276" w:lineRule="auto"/>
        <w:contextualSpacing/>
        <w:jc w:val="both"/>
        <w:rPr>
          <w:rFonts w:ascii="Century Gothic" w:eastAsia="Arial" w:hAnsi="Century Gothic" w:cs="Arial"/>
          <w:b/>
          <w:bCs/>
          <w:lang w:val="es-ES_tradnl" w:eastAsia="es-ES_tradnl"/>
        </w:rPr>
      </w:pPr>
    </w:p>
    <w:p w14:paraId="6E28ACC5" w14:textId="77777777" w:rsidR="00824A3B" w:rsidRPr="003439D8" w:rsidRDefault="00824A3B" w:rsidP="00824A3B">
      <w:pPr>
        <w:spacing w:after="0" w:line="276" w:lineRule="auto"/>
        <w:jc w:val="both"/>
        <w:rPr>
          <w:rFonts w:ascii="Century Gothic" w:eastAsia="Arial" w:hAnsi="Century Gothic" w:cs="Arial"/>
          <w:color w:val="000000"/>
        </w:rPr>
      </w:pPr>
      <w:r w:rsidRPr="003439D8">
        <w:rPr>
          <w:rFonts w:ascii="Century Gothic" w:eastAsia="Arial" w:hAnsi="Century Gothic" w:cs="Arial"/>
          <w:color w:val="000000"/>
        </w:rPr>
        <w:lastRenderedPageBreak/>
        <w:t xml:space="preserve">Uno de los principios transversales de los procedimientos de selección es el de </w:t>
      </w:r>
      <w:r w:rsidRPr="003439D8">
        <w:rPr>
          <w:rFonts w:ascii="Century Gothic" w:eastAsia="Arial" w:hAnsi="Century Gothic" w:cs="Arial"/>
          <w:i/>
          <w:color w:val="000000"/>
        </w:rPr>
        <w:t>selección objetiva</w:t>
      </w:r>
      <w:r w:rsidRPr="003439D8">
        <w:rPr>
          <w:rFonts w:ascii="Century Gothic" w:eastAsia="Arial" w:hAnsi="Century Gothic" w:cs="Arial"/>
          <w:color w:val="000000"/>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3439D8">
        <w:rPr>
          <w:rFonts w:ascii="Century Gothic" w:eastAsia="Arial" w:hAnsi="Century Gothic" w:cs="Arial"/>
          <w:color w:val="000000"/>
          <w:vertAlign w:val="superscript"/>
        </w:rPr>
        <w:footnoteReference w:id="4"/>
      </w:r>
      <w:r w:rsidRPr="003439D8">
        <w:rPr>
          <w:rFonts w:ascii="Century Gothic" w:eastAsia="Arial" w:hAnsi="Century Gothic" w:cs="Arial"/>
          <w:color w:val="000000"/>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14:paraId="2978F9AE" w14:textId="77777777" w:rsidR="00824A3B" w:rsidRPr="003439D8" w:rsidRDefault="00824A3B" w:rsidP="00824A3B">
      <w:pPr>
        <w:spacing w:after="0" w:line="276" w:lineRule="auto"/>
        <w:jc w:val="both"/>
        <w:rPr>
          <w:rFonts w:ascii="Century Gothic" w:eastAsia="Arial" w:hAnsi="Century Gothic" w:cs="Arial"/>
          <w:color w:val="000000"/>
        </w:rPr>
      </w:pPr>
    </w:p>
    <w:p w14:paraId="210F4248"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439D8">
        <w:rPr>
          <w:rFonts w:ascii="Century Gothic" w:eastAsia="Arial" w:hAnsi="Century Gothic" w:cs="Arial"/>
          <w:color w:val="000000"/>
          <w:sz w:val="21"/>
          <w:szCs w:val="21"/>
        </w:rPr>
        <w:t>equivalentes,</w:t>
      </w:r>
      <w:proofErr w:type="gramEnd"/>
      <w:r w:rsidRPr="003439D8">
        <w:rPr>
          <w:rFonts w:ascii="Century Gothic" w:eastAsia="Arial" w:hAnsi="Century Gothic" w:cs="Arial"/>
          <w:color w:val="000000"/>
          <w:sz w:val="21"/>
          <w:szCs w:val="21"/>
        </w:rPr>
        <w:t xml:space="preserve"> tendrán en cuenta los siguientes criterios:</w:t>
      </w:r>
    </w:p>
    <w:p w14:paraId="616E953A"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w:t>
      </w:r>
      <w:r w:rsidRPr="003439D8">
        <w:rPr>
          <w:rFonts w:ascii="Century Gothic" w:eastAsia="Arial" w:hAnsi="Century Gothic" w:cs="Arial"/>
          <w:color w:val="000000"/>
          <w:sz w:val="21"/>
          <w:szCs w:val="21"/>
        </w:rPr>
        <w:lastRenderedPageBreak/>
        <w:t>presente ley, de acuerdo con lo cual se expedirá la respectiva certificación.</w:t>
      </w:r>
    </w:p>
    <w:p w14:paraId="6A5FC070"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66677E1"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En los procesos de selección en los que se tenga en cuenta los factores técnicos y económicos, la oferta más ventajosa será la que resulte de aplicar alguna de las siguientes alternativas:</w:t>
      </w:r>
    </w:p>
    <w:p w14:paraId="5411E1DB"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a) La ponderación de los elementos de calidad y precio soportados en puntajes o fórmulas señaladas en el pliego de condiciones; o</w:t>
      </w:r>
    </w:p>
    <w:p w14:paraId="4D1276C9"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b) La ponderación de los elementos de calidad y precio que representen la mejor relación de costo-beneficio para la entidad.</w:t>
      </w:r>
    </w:p>
    <w:p w14:paraId="5863C9E5"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07453DF9"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6671C87"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En ningún caso se podrá incluir el precio, como factor de escogencia para la selección de consultores.</w:t>
      </w:r>
    </w:p>
    <w:p w14:paraId="3CBE1AD2"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439D8">
        <w:rPr>
          <w:rFonts w:ascii="Century Gothic" w:eastAsia="Arial" w:hAnsi="Century Gothic" w:cs="Arial"/>
          <w:color w:val="000000"/>
          <w:sz w:val="21"/>
          <w:szCs w:val="21"/>
        </w:rPr>
        <w:t>puntaje,</w:t>
      </w:r>
      <w:proofErr w:type="gramEnd"/>
      <w:r w:rsidRPr="003439D8">
        <w:rPr>
          <w:rFonts w:ascii="Century Gothic" w:eastAsia="Arial" w:hAnsi="Century Gothic" w:cs="Arial"/>
          <w:color w:val="000000"/>
          <w:sz w:val="21"/>
          <w:szCs w:val="21"/>
        </w:rPr>
        <w:t xml:space="preserve"> deberán ser solicitados por las entidades estatales y deberán ser entregados por los proponentes hasta el término de traslado del </w:t>
      </w:r>
      <w:r w:rsidRPr="003439D8">
        <w:rPr>
          <w:rFonts w:ascii="Century Gothic" w:eastAsia="Arial" w:hAnsi="Century Gothic" w:cs="Arial"/>
          <w:color w:val="000000"/>
          <w:sz w:val="21"/>
          <w:szCs w:val="21"/>
        </w:rPr>
        <w:lastRenderedPageBreak/>
        <w:t>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6417B178"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Durante el término otorgado para subsanar las ofertas, los proponentes no podrán acreditar circunstancias ocurridas con posterioridad al cierre del proceso.</w:t>
      </w:r>
    </w:p>
    <w:p w14:paraId="7C0037DC"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PARÁGRAFO 2o. Las certificaciones de sistemas de gestión de calidad no serán objeto de calificación, ni podrán establecerse como documento habilitante para participar en licitaciones o concursos.</w:t>
      </w:r>
    </w:p>
    <w:p w14:paraId="2F6BE903"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3439D8">
        <w:rPr>
          <w:rFonts w:ascii="Century Gothic" w:eastAsia="Arial" w:hAnsi="Century Gothic" w:cs="Arial"/>
          <w:color w:val="000000"/>
          <w:sz w:val="21"/>
          <w:szCs w:val="21"/>
        </w:rPr>
        <w:t>la misma</w:t>
      </w:r>
      <w:proofErr w:type="gramEnd"/>
      <w:r w:rsidRPr="003439D8">
        <w:rPr>
          <w:rFonts w:ascii="Century Gothic" w:eastAsia="Arial" w:hAnsi="Century Gothic" w:cs="Arial"/>
          <w:color w:val="000000"/>
          <w:sz w:val="21"/>
          <w:szCs w:val="21"/>
        </w:rPr>
        <w:t>.</w:t>
      </w:r>
    </w:p>
    <w:p w14:paraId="59D6D5C1"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21D339C3" w14:textId="77777777" w:rsidR="00824A3B" w:rsidRPr="003439D8" w:rsidRDefault="00824A3B" w:rsidP="00824A3B">
      <w:pPr>
        <w:spacing w:after="0" w:line="240" w:lineRule="auto"/>
        <w:ind w:left="709" w:right="709"/>
        <w:jc w:val="both"/>
        <w:rPr>
          <w:rFonts w:ascii="Century Gothic" w:eastAsia="Arial" w:hAnsi="Century Gothic" w:cs="Arial"/>
          <w:color w:val="000000"/>
        </w:rPr>
      </w:pPr>
      <w:r w:rsidRPr="003439D8">
        <w:rPr>
          <w:rFonts w:ascii="Century Gothic" w:eastAsia="Arial" w:hAnsi="Century Gothic" w:cs="Arial"/>
          <w:color w:val="000000"/>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3439D8">
        <w:rPr>
          <w:rFonts w:ascii="Century Gothic" w:eastAsia="Arial" w:hAnsi="Century Gothic" w:cs="Arial"/>
          <w:color w:val="000000"/>
        </w:rPr>
        <w:t xml:space="preserve"> </w:t>
      </w:r>
    </w:p>
    <w:p w14:paraId="3F5BAFDA" w14:textId="77777777" w:rsidR="00824A3B" w:rsidRPr="003439D8" w:rsidRDefault="00824A3B" w:rsidP="00824A3B">
      <w:pPr>
        <w:spacing w:after="0" w:line="276" w:lineRule="auto"/>
        <w:jc w:val="both"/>
        <w:rPr>
          <w:rFonts w:ascii="Century Gothic" w:eastAsia="Arial" w:hAnsi="Century Gothic" w:cs="Arial"/>
          <w:color w:val="000000"/>
        </w:rPr>
      </w:pPr>
    </w:p>
    <w:p w14:paraId="3B761902"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3CAA4143"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bookmarkStart w:id="5" w:name="_1fob9te" w:colFirst="0" w:colLast="0"/>
      <w:bookmarkEnd w:id="5"/>
      <w:r w:rsidRPr="003439D8">
        <w:rPr>
          <w:rFonts w:ascii="Century Gothic" w:eastAsia="Arial" w:hAnsi="Century Gothic" w:cs="Arial"/>
          <w:color w:val="000000"/>
        </w:rPr>
        <w:tab/>
        <w:t xml:space="preserve">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w:t>
      </w:r>
      <w:r w:rsidRPr="003439D8">
        <w:rPr>
          <w:rFonts w:ascii="Century Gothic" w:eastAsia="Arial" w:hAnsi="Century Gothic" w:cs="Arial"/>
          <w:color w:val="000000"/>
        </w:rPr>
        <w:lastRenderedPageBreak/>
        <w:t>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439D8">
        <w:rPr>
          <w:rFonts w:ascii="Century Gothic" w:eastAsia="Arial" w:hAnsi="Century Gothic" w:cs="Arial"/>
          <w:color w:val="000000"/>
          <w:vertAlign w:val="superscript"/>
        </w:rPr>
        <w:footnoteReference w:id="5"/>
      </w:r>
      <w:r w:rsidRPr="003439D8">
        <w:rPr>
          <w:rFonts w:ascii="Century Gothic" w:eastAsia="Arial" w:hAnsi="Century Gothic" w:cs="Arial"/>
          <w:color w:val="000000"/>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3439D8">
        <w:rPr>
          <w:rFonts w:ascii="Century Gothic" w:eastAsia="Arial" w:hAnsi="Century Gothic" w:cs="Arial"/>
          <w:i/>
          <w:color w:val="000000"/>
        </w:rPr>
        <w:t xml:space="preserve">habilitantes </w:t>
      </w:r>
      <w:r w:rsidRPr="003439D8">
        <w:rPr>
          <w:rFonts w:ascii="Century Gothic" w:eastAsia="Arial" w:hAnsi="Century Gothic" w:cs="Arial"/>
          <w:color w:val="000000"/>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6A967184"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288DCE6A"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14:paraId="63347CD7" w14:textId="77777777" w:rsidR="00824A3B" w:rsidRPr="003439D8" w:rsidRDefault="00824A3B" w:rsidP="00824A3B">
      <w:pPr>
        <w:tabs>
          <w:tab w:val="left" w:pos="0"/>
        </w:tabs>
        <w:spacing w:after="0" w:line="276" w:lineRule="auto"/>
        <w:jc w:val="both"/>
        <w:rPr>
          <w:rFonts w:ascii="Century Gothic" w:eastAsia="Arial" w:hAnsi="Century Gothic" w:cs="Arial"/>
          <w:color w:val="000000"/>
        </w:rPr>
      </w:pPr>
      <w:r w:rsidRPr="003439D8">
        <w:rPr>
          <w:rFonts w:ascii="Century Gothic" w:eastAsia="Arial" w:hAnsi="Century Gothic" w:cs="Arial"/>
          <w:color w:val="000000"/>
        </w:rPr>
        <w:lastRenderedPageBreak/>
        <w:tab/>
        <w:t>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que en consecuencia, darán lugar a la escogencia objetiva de la mejor propuesta para la entidad”</w:t>
      </w:r>
      <w:r w:rsidRPr="003439D8">
        <w:rPr>
          <w:rFonts w:ascii="Century Gothic" w:eastAsia="Arial" w:hAnsi="Century Gothic" w:cs="Arial"/>
          <w:color w:val="000000"/>
          <w:vertAlign w:val="superscript"/>
        </w:rPr>
        <w:footnoteReference w:id="6"/>
      </w:r>
      <w:r w:rsidRPr="003439D8">
        <w:rPr>
          <w:rFonts w:ascii="Century Gothic" w:eastAsia="Arial" w:hAnsi="Century Gothic" w:cs="Arial"/>
          <w:color w:val="000000"/>
        </w:rPr>
        <w:t>. Todas estas categorías designan los “[…] factores a los cuales cabe otorgarles puntajes o que pueden ser ponderados, precisamente, pues estos son los factores que en últimas permiten una comparación de ofertas y una diferenciación entre ellas”</w:t>
      </w:r>
      <w:r w:rsidRPr="003439D8">
        <w:rPr>
          <w:rFonts w:ascii="Century Gothic" w:eastAsia="Arial" w:hAnsi="Century Gothic" w:cs="Arial"/>
          <w:color w:val="000000"/>
          <w:vertAlign w:val="superscript"/>
        </w:rPr>
        <w:footnoteReference w:id="7"/>
      </w:r>
      <w:r w:rsidRPr="003439D8">
        <w:rPr>
          <w:rFonts w:ascii="Century Gothic" w:eastAsia="Arial" w:hAnsi="Century Gothic" w:cs="Arial"/>
          <w:color w:val="000000"/>
        </w:rPr>
        <w:t>. Conforme a esto, la doctrina explica que:</w:t>
      </w:r>
    </w:p>
    <w:p w14:paraId="6FA6371E" w14:textId="77777777" w:rsidR="00824A3B" w:rsidRPr="003439D8" w:rsidRDefault="00824A3B" w:rsidP="00824A3B">
      <w:pPr>
        <w:tabs>
          <w:tab w:val="left" w:pos="0"/>
        </w:tabs>
        <w:spacing w:after="0" w:line="276" w:lineRule="auto"/>
        <w:ind w:left="709" w:right="709"/>
        <w:jc w:val="both"/>
        <w:rPr>
          <w:rFonts w:ascii="Century Gothic" w:eastAsia="Arial" w:hAnsi="Century Gothic" w:cs="Arial"/>
          <w:color w:val="000000"/>
          <w:sz w:val="21"/>
          <w:szCs w:val="21"/>
        </w:rPr>
      </w:pPr>
    </w:p>
    <w:p w14:paraId="569D7322" w14:textId="77777777" w:rsidR="00824A3B" w:rsidRPr="003439D8" w:rsidRDefault="00824A3B" w:rsidP="00824A3B">
      <w:pPr>
        <w:tabs>
          <w:tab w:val="left" w:pos="0"/>
        </w:tabs>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7156B54B" w14:textId="77777777" w:rsidR="00824A3B" w:rsidRPr="003439D8" w:rsidRDefault="00824A3B" w:rsidP="00824A3B">
      <w:pPr>
        <w:tabs>
          <w:tab w:val="left" w:pos="0"/>
        </w:tabs>
        <w:spacing w:after="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2675E533" w14:textId="77777777" w:rsidR="00824A3B" w:rsidRPr="003439D8" w:rsidRDefault="00824A3B" w:rsidP="00824A3B">
      <w:pPr>
        <w:tabs>
          <w:tab w:val="left" w:pos="0"/>
        </w:tabs>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w:t>
      </w:r>
    </w:p>
    <w:p w14:paraId="13E69F2F" w14:textId="77777777" w:rsidR="00824A3B" w:rsidRPr="003439D8" w:rsidRDefault="00824A3B" w:rsidP="00824A3B">
      <w:pPr>
        <w:tabs>
          <w:tab w:val="left" w:pos="0"/>
        </w:tabs>
        <w:spacing w:after="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w:t>
      </w:r>
      <w:r w:rsidRPr="003439D8">
        <w:rPr>
          <w:rFonts w:ascii="Century Gothic" w:eastAsia="Arial" w:hAnsi="Century Gothic" w:cs="Arial"/>
          <w:color w:val="000000"/>
          <w:sz w:val="21"/>
          <w:szCs w:val="21"/>
        </w:rPr>
        <w:lastRenderedPageBreak/>
        <w:t>en ello, poder hacer la comparación entre las ofertas y concluir cuál de ellas es la más ventajosa para la entidad estatal</w:t>
      </w:r>
      <w:r w:rsidRPr="003439D8">
        <w:rPr>
          <w:rFonts w:ascii="Century Gothic" w:eastAsia="Arial" w:hAnsi="Century Gothic" w:cs="Arial"/>
          <w:color w:val="000000"/>
          <w:sz w:val="21"/>
          <w:szCs w:val="21"/>
          <w:vertAlign w:val="superscript"/>
        </w:rPr>
        <w:footnoteReference w:id="8"/>
      </w:r>
      <w:r w:rsidRPr="003439D8">
        <w:rPr>
          <w:rFonts w:ascii="Century Gothic" w:eastAsia="Arial" w:hAnsi="Century Gothic" w:cs="Arial"/>
          <w:color w:val="000000"/>
          <w:sz w:val="21"/>
          <w:szCs w:val="21"/>
        </w:rPr>
        <w:t>.</w:t>
      </w:r>
    </w:p>
    <w:p w14:paraId="117596C2" w14:textId="77777777" w:rsidR="00824A3B" w:rsidRPr="003439D8" w:rsidRDefault="00824A3B" w:rsidP="00824A3B">
      <w:pPr>
        <w:tabs>
          <w:tab w:val="left" w:pos="0"/>
        </w:tabs>
        <w:spacing w:after="0" w:line="276" w:lineRule="auto"/>
        <w:ind w:left="709" w:right="709"/>
        <w:jc w:val="both"/>
        <w:rPr>
          <w:rFonts w:ascii="Century Gothic" w:eastAsia="Arial" w:hAnsi="Century Gothic" w:cs="Arial"/>
          <w:color w:val="000000"/>
          <w:sz w:val="21"/>
          <w:szCs w:val="21"/>
        </w:rPr>
      </w:pPr>
    </w:p>
    <w:p w14:paraId="67254B4B"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1CC66CA4" w14:textId="77777777" w:rsidR="00824A3B" w:rsidRPr="003439D8" w:rsidRDefault="00824A3B" w:rsidP="00824A3B">
      <w:pPr>
        <w:tabs>
          <w:tab w:val="left" w:pos="0"/>
        </w:tabs>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 xml:space="preserve">En ese sentido, la asignación de puntaje es un mecanismo mediante el cual las entidades ponderan los factores de calificación </w:t>
      </w:r>
      <w:r w:rsidRPr="003439D8">
        <w:rPr>
          <w:rFonts w:ascii="Arial" w:eastAsia="Tahoma" w:hAnsi="Arial" w:cs="Arial"/>
          <w:color w:val="000000"/>
        </w:rPr>
        <w:t>ꟷ</w:t>
      </w:r>
      <w:r w:rsidRPr="003439D8">
        <w:rPr>
          <w:rFonts w:ascii="Century Gothic" w:eastAsia="Arial" w:hAnsi="Century Gothic" w:cs="Arial"/>
          <w:i/>
          <w:color w:val="000000"/>
        </w:rPr>
        <w:t>v.g.</w:t>
      </w:r>
      <w:r w:rsidRPr="003439D8">
        <w:rPr>
          <w:rFonts w:ascii="Century Gothic" w:eastAsia="Arial" w:hAnsi="Century Gothic" w:cs="Arial"/>
          <w:color w:val="000000"/>
        </w:rPr>
        <w:t xml:space="preserve"> técnicos y económicos, de calidad y precio, etc.</w:t>
      </w:r>
      <w:r w:rsidRPr="003439D8">
        <w:rPr>
          <w:rFonts w:ascii="Arial" w:eastAsia="Tahoma" w:hAnsi="Arial" w:cs="Arial"/>
          <w:color w:val="000000"/>
        </w:rPr>
        <w:t>ꟷ</w:t>
      </w:r>
      <w:r w:rsidRPr="003439D8">
        <w:rPr>
          <w:rFonts w:ascii="Century Gothic" w:eastAsia="Arial" w:hAnsi="Century Gothic" w:cs="Arial"/>
          <w:color w:val="000000"/>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costo beneficio.</w:t>
      </w:r>
    </w:p>
    <w:p w14:paraId="034294BE" w14:textId="77777777" w:rsidR="00824A3B" w:rsidRPr="003439D8" w:rsidRDefault="00824A3B" w:rsidP="00824A3B">
      <w:pPr>
        <w:spacing w:after="120" w:line="276" w:lineRule="auto"/>
        <w:jc w:val="both"/>
        <w:rPr>
          <w:rFonts w:ascii="Century Gothic" w:eastAsia="Arial" w:hAnsi="Century Gothic" w:cs="Arial"/>
          <w:color w:val="000000"/>
        </w:rPr>
      </w:pPr>
      <w:r w:rsidRPr="003439D8">
        <w:rPr>
          <w:rFonts w:ascii="Century Gothic" w:eastAsia="Arial" w:hAnsi="Century Gothic" w:cs="Arial"/>
          <w:color w:val="000000"/>
        </w:rPr>
        <w:tab/>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w:t>
      </w:r>
      <w:r w:rsidRPr="003439D8">
        <w:rPr>
          <w:rFonts w:ascii="Century Gothic" w:eastAsia="Arial" w:hAnsi="Century Gothic" w:cs="Arial"/>
          <w:color w:val="000000"/>
        </w:rPr>
        <w:lastRenderedPageBreak/>
        <w:t>oferta más favorable en estos casos debe determinarse ponderando en las ofertas: i) las condiciones técnicas y económicas mínimas; ii) las condiciones técnicas adicionales que representan ventajas de calidad o de funcionamiento; iii) las condiciones económicas adicionales que representen ventajas en términos de economía, eficiencia y eficacia; y iv)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3439D8">
        <w:rPr>
          <w:rFonts w:ascii="Century Gothic" w:eastAsia="Arial" w:hAnsi="Century Gothic" w:cs="Arial"/>
          <w:color w:val="000000"/>
          <w:vertAlign w:val="superscript"/>
        </w:rPr>
        <w:footnoteReference w:id="9"/>
      </w:r>
      <w:r w:rsidRPr="003439D8">
        <w:rPr>
          <w:rFonts w:ascii="Century Gothic" w:eastAsia="Arial" w:hAnsi="Century Gothic" w:cs="Arial"/>
          <w:color w:val="000000"/>
        </w:rPr>
        <w:t>.</w:t>
      </w:r>
    </w:p>
    <w:p w14:paraId="2C50E33D" w14:textId="77777777" w:rsidR="00824A3B" w:rsidRPr="003439D8" w:rsidRDefault="00824A3B" w:rsidP="00824A3B">
      <w:pPr>
        <w:spacing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Conforme a lo anterior, el deber de selección objetiva está ligado a la determinación del ofrecimiento más favorable, cuyo contenido debe ser precisado </w:t>
      </w:r>
      <w:r w:rsidRPr="003439D8">
        <w:rPr>
          <w:rFonts w:ascii="Century Gothic" w:eastAsia="Arial" w:hAnsi="Century Gothic" w:cs="Arial"/>
          <w:color w:val="000000"/>
        </w:rPr>
        <w:lastRenderedPageBreak/>
        <w:t>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14:paraId="362A6711" w14:textId="77777777" w:rsidR="00824A3B" w:rsidRPr="003439D8" w:rsidRDefault="00824A3B" w:rsidP="00824A3B">
      <w:pPr>
        <w:spacing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ii) el artículo 24, numeral 5º, literal a), que manda que en los pliegos de condiciones se indiquen “[…] los requisitos objetivos necesarios para participar en el correspondiente proceso de selección”, iii)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iv)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vii)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w:t>
      </w:r>
      <w:r w:rsidRPr="003439D8">
        <w:rPr>
          <w:rFonts w:ascii="Century Gothic" w:eastAsia="Arial" w:hAnsi="Century Gothic" w:cs="Arial"/>
          <w:color w:val="000000"/>
        </w:rPr>
        <w:lastRenderedPageBreak/>
        <w:t xml:space="preserve">y lugar que se consideren necesarias para garantizar reglas objetivas, claras y completas”, viii) el inciso final del artículo 38, que obliga a las entidades estatales que tengan como objeto la prestación de servicios y actividades de telecomunicaciones a respetar el principio de selección objetiva, y ix) el segundo inciso del artículo 76, que ordena cumplir también con dicho principio a las entidades que tengan por objeto la exploración, explotación y comercialización de recursos naturales renovables y no renovables. </w:t>
      </w:r>
    </w:p>
    <w:p w14:paraId="13C0C1BC" w14:textId="77777777" w:rsidR="00824A3B" w:rsidRPr="003439D8" w:rsidRDefault="00824A3B" w:rsidP="00824A3B">
      <w:pPr>
        <w:spacing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ii)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64D4F281" w14:textId="77777777" w:rsidR="00824A3B" w:rsidRPr="003439D8" w:rsidRDefault="00824A3B" w:rsidP="00824A3B">
      <w:pPr>
        <w:spacing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3439D8">
        <w:rPr>
          <w:rFonts w:ascii="Century Gothic" w:eastAsia="Arial" w:hAnsi="Century Gothic" w:cs="Arial"/>
          <w:color w:val="000000"/>
          <w:vertAlign w:val="superscript"/>
        </w:rPr>
        <w:footnoteReference w:id="10"/>
      </w:r>
      <w:r w:rsidRPr="003439D8">
        <w:rPr>
          <w:rFonts w:ascii="Century Gothic" w:eastAsia="Arial" w:hAnsi="Century Gothic" w:cs="Arial"/>
          <w:color w:val="000000"/>
        </w:rPr>
        <w:t xml:space="preserve">. Igualmente, ha señalado que “el principio de escogencia o selección objetiva de los contratistas fundamenta uno de los principales deberes de todos los responsables de la contratación estatal en </w:t>
      </w:r>
      <w:r w:rsidRPr="003439D8">
        <w:rPr>
          <w:rFonts w:ascii="Century Gothic" w:eastAsia="Arial" w:hAnsi="Century Gothic" w:cs="Arial"/>
          <w:color w:val="000000"/>
        </w:rPr>
        <w:lastRenderedPageBreak/>
        <w:t>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3439D8">
        <w:rPr>
          <w:rFonts w:ascii="Century Gothic" w:eastAsia="Arial" w:hAnsi="Century Gothic" w:cs="Arial"/>
          <w:color w:val="000000"/>
          <w:vertAlign w:val="superscript"/>
        </w:rPr>
        <w:footnoteReference w:id="11"/>
      </w:r>
      <w:r w:rsidRPr="003439D8">
        <w:rPr>
          <w:rFonts w:ascii="Century Gothic" w:eastAsia="Arial" w:hAnsi="Century Gothic" w:cs="Arial"/>
          <w:color w:val="000000"/>
        </w:rPr>
        <w:t>.</w:t>
      </w:r>
    </w:p>
    <w:p w14:paraId="58683B51" w14:textId="77777777" w:rsidR="00824A3B" w:rsidRPr="003439D8" w:rsidRDefault="00824A3B" w:rsidP="00824A3B">
      <w:pPr>
        <w:spacing w:after="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14:paraId="31B88751" w14:textId="77777777" w:rsidR="00824A3B" w:rsidRPr="003439D8" w:rsidRDefault="00824A3B" w:rsidP="00824A3B">
      <w:pPr>
        <w:pStyle w:val="Textoindependiente"/>
        <w:spacing w:after="0"/>
        <w:jc w:val="both"/>
        <w:rPr>
          <w:rFonts w:ascii="Century Gothic" w:hAnsi="Century Gothic" w:cs="Arial"/>
        </w:rPr>
      </w:pPr>
    </w:p>
    <w:p w14:paraId="0F2BEFB1" w14:textId="77777777" w:rsidR="00824A3B" w:rsidRPr="003439D8" w:rsidRDefault="00824A3B" w:rsidP="00824A3B">
      <w:pPr>
        <w:pStyle w:val="Sinespaciado"/>
        <w:widowControl w:val="0"/>
        <w:autoSpaceDE w:val="0"/>
        <w:autoSpaceDN w:val="0"/>
        <w:spacing w:line="276" w:lineRule="auto"/>
        <w:jc w:val="both"/>
        <w:rPr>
          <w:rFonts w:ascii="Century Gothic" w:hAnsi="Century Gothic" w:cs="Arial"/>
          <w:b/>
          <w:sz w:val="22"/>
        </w:rPr>
      </w:pPr>
      <w:r w:rsidRPr="003439D8">
        <w:rPr>
          <w:rFonts w:ascii="Century Gothic" w:hAnsi="Century Gothic" w:cs="Arial"/>
          <w:b/>
          <w:sz w:val="22"/>
        </w:rPr>
        <w:t xml:space="preserve">2.2. </w:t>
      </w:r>
      <w:bookmarkEnd w:id="4"/>
      <w:r w:rsidRPr="003439D8">
        <w:rPr>
          <w:rFonts w:ascii="Century Gothic" w:hAnsi="Century Gothic" w:cs="Arial"/>
          <w:b/>
          <w:sz w:val="22"/>
        </w:rPr>
        <w:t>Alcance de la regla de la subsanabilidad de las ofertas en los procedimientos de selección</w:t>
      </w:r>
    </w:p>
    <w:p w14:paraId="239714CC" w14:textId="77777777" w:rsidR="00824A3B" w:rsidRPr="003439D8" w:rsidRDefault="00824A3B" w:rsidP="00824A3B">
      <w:pPr>
        <w:pStyle w:val="Sinespaciado"/>
        <w:spacing w:line="276" w:lineRule="auto"/>
        <w:jc w:val="both"/>
        <w:rPr>
          <w:rFonts w:ascii="Century Gothic" w:hAnsi="Century Gothic" w:cs="Arial"/>
          <w:sz w:val="22"/>
        </w:rPr>
      </w:pPr>
    </w:p>
    <w:p w14:paraId="76059220" w14:textId="77777777" w:rsidR="00824A3B" w:rsidRPr="003439D8" w:rsidRDefault="00824A3B" w:rsidP="00824A3B">
      <w:pPr>
        <w:pBdr>
          <w:top w:val="nil"/>
          <w:left w:val="nil"/>
          <w:bottom w:val="nil"/>
          <w:right w:val="nil"/>
          <w:between w:val="nil"/>
        </w:pBdr>
        <w:spacing w:after="120" w:line="276" w:lineRule="auto"/>
        <w:jc w:val="both"/>
        <w:rPr>
          <w:rFonts w:ascii="Century Gothic" w:eastAsia="Quattrocento Sans" w:hAnsi="Century Gothic" w:cs="Quattrocento Sans"/>
          <w:color w:val="000000"/>
          <w:sz w:val="18"/>
          <w:szCs w:val="18"/>
        </w:rPr>
      </w:pPr>
      <w:r w:rsidRPr="003439D8">
        <w:rPr>
          <w:rFonts w:ascii="Century Gothic" w:eastAsia="Arial" w:hAnsi="Century Gothic" w:cs="Arial"/>
          <w:color w:val="000000"/>
        </w:rPr>
        <w:t>Esta Subdirección se ha pronunciado en diversas oportunidades acerca del alcance de la regla de la subsanabilidad, contenida actualmente en el artículo 5 de la Ley 1150 de 2007. Al respecto, la postura que se reitera en el presente concepto es la siguiente: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4EC3C26C" w14:textId="77777777" w:rsidR="00824A3B" w:rsidRPr="003439D8" w:rsidRDefault="00824A3B" w:rsidP="00824A3B">
      <w:pPr>
        <w:spacing w:before="120" w:line="276" w:lineRule="auto"/>
        <w:ind w:firstLine="709"/>
        <w:jc w:val="both"/>
        <w:rPr>
          <w:rFonts w:ascii="Century Gothic" w:hAnsi="Century Gothic" w:cs="Arial"/>
          <w:lang w:val="es-ES_tradnl"/>
        </w:rPr>
      </w:pPr>
      <w:r w:rsidRPr="003439D8">
        <w:rPr>
          <w:rFonts w:ascii="Century Gothic" w:hAnsi="Century Gothic" w:cs="Arial"/>
          <w:lang w:val="es-ES_tradnl"/>
        </w:rPr>
        <w:lastRenderedPageBreak/>
        <w:t>Sobre este aspecto, debe resaltarse que la posibilidad de enmendar, corregir o subsanar los errores en los que se incurre en los documentos contentivos de la oferta es un tema que ha tenido diferentes momentos o etapas en el ordenamiento jurídico colombiano</w:t>
      </w:r>
      <w:r w:rsidRPr="003439D8">
        <w:rPr>
          <w:rFonts w:ascii="Century Gothic" w:eastAsia="Arial" w:hAnsi="Century Gothic" w:cs="Arial"/>
          <w:color w:val="000000"/>
        </w:rPr>
        <w:t xml:space="preserve">. En un </w:t>
      </w:r>
      <w:r w:rsidRPr="003439D8">
        <w:rPr>
          <w:rFonts w:ascii="Century Gothic" w:eastAsia="Arial" w:hAnsi="Century Gothic" w:cs="Arial"/>
          <w:i/>
          <w:color w:val="000000"/>
        </w:rPr>
        <w:t>primer momento</w:t>
      </w:r>
      <w:r w:rsidRPr="003439D8">
        <w:rPr>
          <w:rFonts w:ascii="Century Gothic" w:eastAsia="Arial" w:hAnsi="Century Gothic" w:cs="Arial"/>
          <w:color w:val="000000"/>
        </w:rPr>
        <w:t xml:space="preserve">, antes de expedirse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4706792F" w14:textId="77777777" w:rsidR="00824A3B" w:rsidRPr="003439D8" w:rsidRDefault="00824A3B" w:rsidP="00824A3B">
      <w:pPr>
        <w:spacing w:before="120" w:after="0" w:line="276" w:lineRule="auto"/>
        <w:ind w:firstLine="709"/>
        <w:jc w:val="both"/>
        <w:rPr>
          <w:rFonts w:ascii="Century Gothic" w:hAnsi="Century Gothic"/>
        </w:rPr>
      </w:pPr>
      <w:r w:rsidRPr="003439D8">
        <w:rPr>
          <w:rFonts w:ascii="Century Gothic" w:eastAsia="Arial" w:hAnsi="Century Gothic" w:cs="Arial"/>
          <w:color w:val="000000"/>
        </w:rPr>
        <w:t xml:space="preserve">En un </w:t>
      </w:r>
      <w:r w:rsidRPr="003439D8">
        <w:rPr>
          <w:rFonts w:ascii="Century Gothic" w:eastAsia="Arial" w:hAnsi="Century Gothic" w:cs="Arial"/>
          <w:i/>
          <w:color w:val="000000"/>
        </w:rPr>
        <w:t>segundo momento</w:t>
      </w:r>
      <w:r w:rsidRPr="003439D8">
        <w:rPr>
          <w:rFonts w:ascii="Century Gothic" w:eastAsia="Arial" w:hAnsi="Century Gothic"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14:paraId="5E63D2A5" w14:textId="77777777" w:rsidR="00824A3B" w:rsidRPr="003439D8" w:rsidRDefault="00824A3B" w:rsidP="00824A3B">
      <w:pPr>
        <w:spacing w:after="0" w:line="276" w:lineRule="auto"/>
        <w:jc w:val="both"/>
        <w:rPr>
          <w:rFonts w:ascii="Century Gothic" w:eastAsia="Arial" w:hAnsi="Century Gothic" w:cs="Arial"/>
          <w:color w:val="000000"/>
        </w:rPr>
      </w:pPr>
    </w:p>
    <w:p w14:paraId="3694E43A"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9044836" w14:textId="77777777" w:rsidR="00824A3B" w:rsidRPr="003439D8" w:rsidRDefault="00824A3B" w:rsidP="00824A3B">
      <w:pPr>
        <w:spacing w:after="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0452E982" w14:textId="77777777" w:rsidR="00824A3B" w:rsidRPr="003439D8" w:rsidRDefault="00824A3B" w:rsidP="00824A3B">
      <w:pPr>
        <w:spacing w:after="0" w:line="276" w:lineRule="auto"/>
        <w:jc w:val="both"/>
        <w:rPr>
          <w:rFonts w:ascii="Century Gothic" w:eastAsia="Arial" w:hAnsi="Century Gothic" w:cs="Arial"/>
          <w:b/>
          <w:color w:val="000000"/>
        </w:rPr>
      </w:pPr>
    </w:p>
    <w:p w14:paraId="7BD4C1F1" w14:textId="77777777" w:rsidR="00824A3B" w:rsidRPr="003439D8" w:rsidRDefault="00824A3B" w:rsidP="00824A3B">
      <w:pPr>
        <w:spacing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Bajo el amparo de esta norma, el régimen jurídico de subsanabilidad de las ofertas sufre un cambio fundamental, pues ya no era posible rechazar las ofertas por falta de requisitos o documentos que no fueran “</w:t>
      </w:r>
      <w:r w:rsidRPr="003439D8">
        <w:rPr>
          <w:rFonts w:ascii="Century Gothic" w:eastAsia="Arial" w:hAnsi="Century Gothic" w:cs="Arial"/>
          <w:i/>
          <w:color w:val="000000"/>
        </w:rPr>
        <w:t>necesarios para la comparación de propuestas</w:t>
      </w:r>
      <w:r w:rsidRPr="003439D8">
        <w:rPr>
          <w:rFonts w:ascii="Century Gothic" w:eastAsia="Arial" w:hAnsi="Century Gothic" w:cs="Arial"/>
          <w:color w:val="000000"/>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2C2130B7"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lastRenderedPageBreak/>
        <w:t>El artículo 25.15 debía leerse en conjunto con otras de la Ley 80 de 1993, particularmente con el artículo 30.7</w:t>
      </w:r>
      <w:r w:rsidRPr="003439D8">
        <w:rPr>
          <w:rFonts w:ascii="Century Gothic" w:eastAsia="Arial" w:hAnsi="Century Gothic" w:cs="Arial"/>
          <w:color w:val="000000"/>
          <w:vertAlign w:val="superscript"/>
        </w:rPr>
        <w:footnoteReference w:id="12"/>
      </w:r>
      <w:r w:rsidRPr="003439D8">
        <w:rPr>
          <w:rFonts w:ascii="Century Gothic" w:eastAsia="Arial" w:hAnsi="Century Gothic"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3439D8">
        <w:rPr>
          <w:rFonts w:ascii="Century Gothic" w:eastAsia="Arial" w:hAnsi="Century Gothic" w:cs="Arial"/>
          <w:color w:val="000000"/>
          <w:vertAlign w:val="superscript"/>
        </w:rPr>
        <w:footnoteReference w:id="13"/>
      </w:r>
      <w:r w:rsidRPr="003439D8">
        <w:rPr>
          <w:rFonts w:ascii="Century Gothic" w:eastAsia="Arial" w:hAnsi="Century Gothic"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w:t>
      </w:r>
      <w:proofErr w:type="gramStart"/>
      <w:r w:rsidRPr="003439D8">
        <w:rPr>
          <w:rFonts w:ascii="Century Gothic" w:eastAsia="Arial" w:hAnsi="Century Gothic" w:cs="Arial"/>
          <w:color w:val="000000"/>
        </w:rPr>
        <w:t>la misma</w:t>
      </w:r>
      <w:proofErr w:type="gramEnd"/>
      <w:r w:rsidRPr="003439D8">
        <w:rPr>
          <w:rFonts w:ascii="Century Gothic" w:eastAsia="Arial" w:hAnsi="Century Gothic" w:cs="Arial"/>
          <w:color w:val="000000"/>
        </w:rPr>
        <w:t xml:space="preserve"> no podía llevar a su rechazo, sin antes verificar que lo omitido fuera un aspecto necesario para la comparación. </w:t>
      </w:r>
    </w:p>
    <w:p w14:paraId="1056A131" w14:textId="77777777" w:rsidR="00824A3B" w:rsidRPr="003439D8" w:rsidRDefault="00824A3B" w:rsidP="00824A3B">
      <w:pPr>
        <w:spacing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En un </w:t>
      </w:r>
      <w:r w:rsidRPr="003439D8">
        <w:rPr>
          <w:rFonts w:ascii="Century Gothic" w:eastAsia="Arial" w:hAnsi="Century Gothic" w:cs="Arial"/>
          <w:i/>
          <w:color w:val="000000"/>
        </w:rPr>
        <w:t>tercer momento</w:t>
      </w:r>
      <w:r w:rsidRPr="003439D8">
        <w:rPr>
          <w:rFonts w:ascii="Century Gothic" w:eastAsia="Arial" w:hAnsi="Century Gothic"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3439D8">
        <w:rPr>
          <w:rFonts w:ascii="Century Gothic" w:eastAsia="Arial" w:hAnsi="Century Gothic" w:cs="Arial"/>
          <w:b/>
          <w:color w:val="000000"/>
        </w:rPr>
        <w:t xml:space="preserve">, </w:t>
      </w:r>
      <w:r w:rsidRPr="003439D8">
        <w:rPr>
          <w:rFonts w:ascii="Century Gothic" w:eastAsia="Arial" w:hAnsi="Century Gothic" w:cs="Arial"/>
          <w:color w:val="000000"/>
        </w:rPr>
        <w:t xml:space="preserve">todos aquellos requisitos de la propuesta que no afecten la asignación de </w:t>
      </w:r>
      <w:proofErr w:type="gramStart"/>
      <w:r w:rsidRPr="003439D8">
        <w:rPr>
          <w:rFonts w:ascii="Century Gothic" w:eastAsia="Arial" w:hAnsi="Century Gothic" w:cs="Arial"/>
          <w:color w:val="000000"/>
        </w:rPr>
        <w:t>puntaje,</w:t>
      </w:r>
      <w:proofErr w:type="gramEnd"/>
      <w:r w:rsidRPr="003439D8">
        <w:rPr>
          <w:rFonts w:ascii="Century Gothic" w:eastAsia="Arial" w:hAnsi="Century Gothic" w:cs="Arial"/>
          <w:color w:val="000000"/>
        </w:rPr>
        <w:t xml:space="preserv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66729DEE" w14:textId="77777777" w:rsidR="00824A3B" w:rsidRPr="003439D8" w:rsidRDefault="00824A3B" w:rsidP="00824A3B">
      <w:pPr>
        <w:spacing w:after="120" w:line="276" w:lineRule="auto"/>
        <w:ind w:firstLine="709"/>
        <w:jc w:val="both"/>
        <w:rPr>
          <w:rFonts w:ascii="Century Gothic" w:hAnsi="Century Gothic"/>
        </w:rPr>
      </w:pPr>
      <w:r w:rsidRPr="003439D8">
        <w:rPr>
          <w:rFonts w:ascii="Century Gothic" w:eastAsia="Arial" w:hAnsi="Century Gothic"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w:t>
      </w:r>
      <w:r w:rsidRPr="003439D8">
        <w:rPr>
          <w:rFonts w:ascii="Century Gothic" w:eastAsia="Arial" w:hAnsi="Century Gothic" w:cs="Arial"/>
          <w:color w:val="000000"/>
        </w:rPr>
        <w:lastRenderedPageBreak/>
        <w:t xml:space="preserve">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56219817" w14:textId="77777777" w:rsidR="00824A3B" w:rsidRPr="003439D8" w:rsidRDefault="00824A3B" w:rsidP="00824A3B">
      <w:pPr>
        <w:spacing w:after="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El artículo 5 de la Ley 1150 de 2007, además de consagrar un criterio más claro, y, de paso, reducir la discrecionalidad de la Administración, fijó un ámbito temporal para la subsanación de las ofertas: “</w:t>
      </w:r>
      <w:r w:rsidRPr="003439D8">
        <w:rPr>
          <w:rFonts w:ascii="Century Gothic" w:eastAsia="Arial" w:hAnsi="Century Gothic" w:cs="Arial"/>
          <w:i/>
          <w:color w:val="000000"/>
        </w:rPr>
        <w:t>en cualquier momento, hasta la adjudicación</w:t>
      </w:r>
      <w:r w:rsidRPr="003439D8">
        <w:rPr>
          <w:rFonts w:ascii="Century Gothic" w:eastAsia="Arial" w:hAnsi="Century Gothic"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61D48205" w14:textId="77777777" w:rsidR="00824A3B" w:rsidRPr="003439D8" w:rsidRDefault="00824A3B" w:rsidP="00824A3B">
      <w:pPr>
        <w:spacing w:after="0" w:line="276" w:lineRule="auto"/>
        <w:jc w:val="both"/>
        <w:rPr>
          <w:rFonts w:ascii="Century Gothic" w:eastAsia="Arial" w:hAnsi="Century Gothic" w:cs="Arial"/>
          <w:color w:val="000000"/>
        </w:rPr>
      </w:pPr>
    </w:p>
    <w:p w14:paraId="308CE796" w14:textId="77777777" w:rsidR="00824A3B" w:rsidRPr="003439D8" w:rsidRDefault="00824A3B" w:rsidP="00824A3B">
      <w:pPr>
        <w:spacing w:after="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439D8">
        <w:rPr>
          <w:rFonts w:ascii="Century Gothic" w:eastAsia="Arial" w:hAnsi="Century Gothic" w:cs="Arial"/>
          <w:color w:val="000000"/>
          <w:sz w:val="21"/>
          <w:szCs w:val="21"/>
          <w:vertAlign w:val="superscript"/>
        </w:rPr>
        <w:footnoteReference w:id="14"/>
      </w:r>
      <w:r w:rsidRPr="003439D8">
        <w:rPr>
          <w:rFonts w:ascii="Century Gothic" w:eastAsia="Arial" w:hAnsi="Century Gothic" w:cs="Arial"/>
          <w:color w:val="000000"/>
          <w:sz w:val="21"/>
          <w:szCs w:val="21"/>
        </w:rPr>
        <w:t>.</w:t>
      </w:r>
    </w:p>
    <w:p w14:paraId="289D434E" w14:textId="77777777" w:rsidR="00824A3B" w:rsidRPr="003439D8" w:rsidRDefault="00824A3B" w:rsidP="00824A3B">
      <w:pPr>
        <w:spacing w:after="0" w:line="276" w:lineRule="auto"/>
        <w:jc w:val="both"/>
        <w:rPr>
          <w:rFonts w:ascii="Century Gothic" w:eastAsia="Arial" w:hAnsi="Century Gothic" w:cs="Arial"/>
          <w:b/>
          <w:color w:val="000000"/>
        </w:rPr>
      </w:pPr>
    </w:p>
    <w:p w14:paraId="342BCAB3" w14:textId="77777777" w:rsidR="00824A3B" w:rsidRPr="003439D8" w:rsidRDefault="00824A3B" w:rsidP="00824A3B">
      <w:pPr>
        <w:pBdr>
          <w:top w:val="nil"/>
          <w:left w:val="nil"/>
          <w:bottom w:val="nil"/>
          <w:right w:val="nil"/>
          <w:between w:val="nil"/>
        </w:pBdr>
        <w:tabs>
          <w:tab w:val="left" w:pos="284"/>
        </w:tabs>
        <w:spacing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Esa interpretación fue compartida por la Agencia Nacional de Contratación Pública – Colombia Compra Eficiente, pues en la Circular Externa Única se había precisado que si durante un proceso de contratación hay proponentes que no acreditaron en sus ofertas requisitos que no afectan la asignación de puntaje o la comparación de </w:t>
      </w:r>
      <w:proofErr w:type="gramStart"/>
      <w:r w:rsidRPr="003439D8">
        <w:rPr>
          <w:rFonts w:ascii="Century Gothic" w:eastAsia="Arial" w:hAnsi="Century Gothic" w:cs="Arial"/>
          <w:color w:val="000000"/>
        </w:rPr>
        <w:t>las mismas</w:t>
      </w:r>
      <w:proofErr w:type="gramEnd"/>
      <w:r w:rsidRPr="003439D8">
        <w:rPr>
          <w:rFonts w:ascii="Century Gothic" w:eastAsia="Arial" w:hAnsi="Century Gothic" w:cs="Arial"/>
          <w:color w:val="000000"/>
        </w:rPr>
        <w:t>, la entidad estatal deberá indicarlo en el informe de evaluación y advertir que la correspondiente oferta no será evaluada hasta que se subsane.</w:t>
      </w:r>
    </w:p>
    <w:p w14:paraId="0F0BF3D2" w14:textId="77777777" w:rsidR="00824A3B" w:rsidRPr="003439D8" w:rsidRDefault="00824A3B" w:rsidP="00824A3B">
      <w:pPr>
        <w:pBdr>
          <w:top w:val="nil"/>
          <w:left w:val="nil"/>
          <w:bottom w:val="nil"/>
          <w:right w:val="nil"/>
          <w:between w:val="nil"/>
        </w:pBdr>
        <w:tabs>
          <w:tab w:val="left" w:pos="284"/>
        </w:tabs>
        <w:spacing w:before="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En un </w:t>
      </w:r>
      <w:r w:rsidRPr="003439D8">
        <w:rPr>
          <w:rFonts w:ascii="Century Gothic" w:eastAsia="Arial" w:hAnsi="Century Gothic" w:cs="Arial"/>
          <w:i/>
          <w:color w:val="000000"/>
        </w:rPr>
        <w:t>cuarto momento</w:t>
      </w:r>
      <w:r w:rsidRPr="003439D8">
        <w:rPr>
          <w:rFonts w:ascii="Century Gothic" w:eastAsia="Arial" w:hAnsi="Century Gothic"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w:t>
      </w:r>
      <w:r w:rsidRPr="003439D8">
        <w:rPr>
          <w:rFonts w:ascii="Century Gothic" w:eastAsia="Arial" w:hAnsi="Century Gothic" w:cs="Arial"/>
          <w:color w:val="000000"/>
        </w:rPr>
        <w:lastRenderedPageBreak/>
        <w:t xml:space="preserve">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3439D8">
        <w:rPr>
          <w:rFonts w:ascii="Century Gothic" w:eastAsia="Arial" w:hAnsi="Century Gothic" w:cs="Arial"/>
          <w:color w:val="000000"/>
        </w:rPr>
        <w:t>puntaje,</w:t>
      </w:r>
      <w:proofErr w:type="gramEnd"/>
      <w:r w:rsidRPr="003439D8">
        <w:rPr>
          <w:rFonts w:ascii="Century Gothic" w:eastAsia="Arial" w:hAnsi="Century Gothic" w:cs="Arial"/>
          <w:color w:val="00000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58957B01" w14:textId="77777777" w:rsidR="00824A3B" w:rsidRPr="003439D8" w:rsidRDefault="00824A3B" w:rsidP="00824A3B">
      <w:pPr>
        <w:spacing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Como puede observarse, 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e iii) introduce modificaciones en relación con algunos aspectos que se analizarán a continuación. </w:t>
      </w:r>
    </w:p>
    <w:p w14:paraId="799CCCA5"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3439D8">
        <w:rPr>
          <w:rFonts w:ascii="Century Gothic" w:eastAsia="Arial" w:hAnsi="Century Gothic" w:cs="Arial"/>
          <w:color w:val="000000"/>
          <w:vertAlign w:val="superscript"/>
        </w:rPr>
        <w:footnoteReference w:id="15"/>
      </w:r>
      <w:r w:rsidRPr="003439D8">
        <w:rPr>
          <w:rFonts w:ascii="Century Gothic" w:eastAsia="Arial" w:hAnsi="Century Gothic" w:cs="Arial"/>
          <w:color w:val="000000"/>
        </w:rPr>
        <w:t xml:space="preserve">; en el último los documentos o requisitos subsanables pueden y deben solicitarse hasta el momento previo a su realización.  </w:t>
      </w:r>
    </w:p>
    <w:p w14:paraId="0F63DCBE"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w:t>
      </w:r>
      <w:r w:rsidRPr="003439D8">
        <w:rPr>
          <w:rFonts w:ascii="Century Gothic" w:eastAsia="Arial" w:hAnsi="Century Gothic" w:cs="Arial"/>
          <w:color w:val="000000"/>
        </w:rPr>
        <w:lastRenderedPageBreak/>
        <w:t xml:space="preserve">informe de evaluación: “deberán ser solicitados por las entidades estatales y deberán ser entregados por los proponentes hasta el término de traslado del informe de evaluación que corresponda a cada modalidad de selección”. </w:t>
      </w:r>
    </w:p>
    <w:p w14:paraId="05180FD0"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No obstante, de la lectura de este aparte podrían, en la práctica, darse dos interpretaciones que dan lugar a dos formas de proceder en los procesos de selección, en lo que se refiere a la subsanabilidad de las ofertas. </w:t>
      </w:r>
      <w:r w:rsidRPr="003439D8">
        <w:rPr>
          <w:rFonts w:ascii="Century Gothic" w:eastAsia="Arial" w:hAnsi="Century Gothic" w:cs="Arial"/>
          <w:i/>
          <w:color w:val="000000"/>
        </w:rPr>
        <w:t>Primera</w:t>
      </w:r>
      <w:r w:rsidRPr="003439D8">
        <w:rPr>
          <w:rFonts w:ascii="Century Gothic" w:eastAsia="Arial" w:hAnsi="Century Gothic"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3439D8">
        <w:rPr>
          <w:rFonts w:ascii="Century Gothic" w:eastAsia="Arial" w:hAnsi="Century Gothic" w:cs="Arial"/>
          <w:i/>
          <w:color w:val="000000"/>
        </w:rPr>
        <w:t>segunda</w:t>
      </w:r>
      <w:r w:rsidRPr="003439D8">
        <w:rPr>
          <w:rFonts w:ascii="Century Gothic" w:eastAsia="Arial" w:hAnsi="Century Gothic" w:cs="Arial"/>
          <w:color w:val="000000"/>
        </w:rPr>
        <w:t xml:space="preserve">, que el término del traslado del informe de evaluación es el límite para la subsanación de ofertas, pero no el único momento para hacerlo. </w:t>
      </w:r>
    </w:p>
    <w:p w14:paraId="0723472D"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6F6E4E0E"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75B55E94"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w:t>
      </w:r>
      <w:r w:rsidRPr="003439D8">
        <w:rPr>
          <w:rFonts w:ascii="Century Gothic" w:eastAsia="Arial" w:hAnsi="Century Gothic" w:cs="Arial"/>
          <w:color w:val="000000"/>
        </w:rPr>
        <w:lastRenderedPageBreak/>
        <w:t xml:space="preserve">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49FA3865"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3439D8">
        <w:rPr>
          <w:rFonts w:ascii="Century Gothic" w:eastAsia="Arial" w:hAnsi="Century Gothic" w:cs="Arial"/>
          <w:b/>
          <w:i/>
          <w:color w:val="000000"/>
        </w:rPr>
        <w:t>.</w:t>
      </w:r>
      <w:r w:rsidRPr="003439D8">
        <w:rPr>
          <w:rFonts w:ascii="Century Gothic" w:eastAsia="Arial" w:hAnsi="Century Gothic" w:cs="Arial"/>
          <w:b/>
          <w:color w:val="000000"/>
        </w:rPr>
        <w:t xml:space="preserve"> </w:t>
      </w:r>
      <w:r w:rsidRPr="003439D8">
        <w:rPr>
          <w:rFonts w:ascii="Century Gothic" w:eastAsia="Arial" w:hAnsi="Century Gothic" w:cs="Arial"/>
          <w:color w:val="000000"/>
        </w:rPr>
        <w:t xml:space="preserve">Lo anterior ofrece dos aspectos que merecen clarificación: </w:t>
      </w:r>
      <w:r w:rsidRPr="003439D8">
        <w:rPr>
          <w:rFonts w:ascii="Century Gothic" w:eastAsia="Arial" w:hAnsi="Century Gothic" w:cs="Arial"/>
          <w:i/>
          <w:color w:val="000000"/>
        </w:rPr>
        <w:t>primero</w:t>
      </w:r>
      <w:r w:rsidRPr="003439D8">
        <w:rPr>
          <w:rFonts w:ascii="Century Gothic" w:eastAsia="Arial" w:hAnsi="Century Gothic" w:cs="Arial"/>
          <w:color w:val="000000"/>
        </w:rPr>
        <w:t xml:space="preserve">, qué debe entenderse por circunstancias ocurridas con posterioridad; y </w:t>
      </w:r>
      <w:r w:rsidRPr="003439D8">
        <w:rPr>
          <w:rFonts w:ascii="Century Gothic" w:eastAsia="Arial" w:hAnsi="Century Gothic" w:cs="Arial"/>
          <w:i/>
          <w:color w:val="000000"/>
        </w:rPr>
        <w:t>segundo</w:t>
      </w:r>
      <w:r w:rsidRPr="003439D8">
        <w:rPr>
          <w:rFonts w:ascii="Century Gothic" w:eastAsia="Arial" w:hAnsi="Century Gothic" w:cs="Arial"/>
          <w:color w:val="000000"/>
        </w:rPr>
        <w:t>, qué es el cierre del proceso.</w:t>
      </w:r>
    </w:p>
    <w:p w14:paraId="1F52526F" w14:textId="77777777" w:rsidR="00824A3B" w:rsidRPr="003439D8" w:rsidRDefault="00824A3B" w:rsidP="00824A3B">
      <w:pPr>
        <w:spacing w:after="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La Sala de Consulta y Servicio Civil del Consejo de Estado ya había tenido la oportunidad de precisar estas expresiones, a propósito de un concepto en el que se refirió al artículo 10 del derogado Decreto 2474 de 2008</w:t>
      </w:r>
      <w:r w:rsidRPr="003439D8">
        <w:rPr>
          <w:rFonts w:ascii="Century Gothic" w:eastAsia="Arial" w:hAnsi="Century Gothic" w:cs="Arial"/>
          <w:color w:val="000000"/>
          <w:vertAlign w:val="superscript"/>
        </w:rPr>
        <w:footnoteReference w:id="16"/>
      </w:r>
      <w:r w:rsidRPr="003439D8">
        <w:rPr>
          <w:rFonts w:ascii="Century Gothic" w:eastAsia="Arial" w:hAnsi="Century Gothic"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34313AB3" w14:textId="77777777" w:rsidR="00824A3B" w:rsidRPr="003439D8" w:rsidRDefault="00824A3B" w:rsidP="00824A3B">
      <w:pPr>
        <w:spacing w:after="0"/>
        <w:ind w:left="709" w:right="709"/>
        <w:jc w:val="both"/>
        <w:rPr>
          <w:rFonts w:ascii="Century Gothic" w:eastAsia="Arial" w:hAnsi="Century Gothic" w:cs="Arial"/>
          <w:color w:val="000000"/>
          <w:sz w:val="21"/>
          <w:szCs w:val="21"/>
        </w:rPr>
      </w:pPr>
    </w:p>
    <w:p w14:paraId="5FA5BEB7" w14:textId="77777777" w:rsidR="00824A3B" w:rsidRPr="003439D8" w:rsidRDefault="00824A3B" w:rsidP="00824A3B">
      <w:pPr>
        <w:spacing w:after="12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Sin embargo, debe tenerse en cuenta que la última norma en cita -Decreto 2474 de 2008, aparte subrayado-, establece un límite a la subsanabilidad, puesto que en cualquier caso debe referirse o recaer </w:t>
      </w:r>
      <w:r w:rsidRPr="003439D8">
        <w:rPr>
          <w:rFonts w:ascii="Century Gothic" w:eastAsia="Arial" w:hAnsi="Century Gothic" w:cs="Arial"/>
          <w:color w:val="000000"/>
          <w:sz w:val="21"/>
          <w:szCs w:val="21"/>
        </w:rPr>
        <w:lastRenderedPageBreak/>
        <w:t>sobre circunstancias ocurridas antes del cierre del respectivo proceso, esto es, del vencimiento del plazo para presentar ofertas.</w:t>
      </w:r>
    </w:p>
    <w:p w14:paraId="74925C93" w14:textId="77777777" w:rsidR="00824A3B" w:rsidRPr="003439D8" w:rsidRDefault="00824A3B" w:rsidP="00824A3B">
      <w:pPr>
        <w:spacing w:after="0" w:line="240" w:lineRule="auto"/>
        <w:ind w:left="709" w:right="709"/>
        <w:jc w:val="both"/>
        <w:rPr>
          <w:rFonts w:ascii="Century Gothic" w:eastAsia="Arial" w:hAnsi="Century Gothic" w:cs="Arial"/>
          <w:color w:val="000000"/>
          <w:sz w:val="21"/>
          <w:szCs w:val="21"/>
        </w:rPr>
      </w:pPr>
      <w:r w:rsidRPr="003439D8">
        <w:rPr>
          <w:rFonts w:ascii="Century Gothic" w:eastAsia="Arial" w:hAnsi="Century Gothic" w:cs="Arial"/>
          <w:color w:val="000000"/>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3439D8">
        <w:rPr>
          <w:rFonts w:ascii="Century Gothic" w:eastAsia="Arial" w:hAnsi="Century Gothic" w:cs="Arial"/>
          <w:color w:val="000000"/>
          <w:sz w:val="21"/>
          <w:szCs w:val="21"/>
        </w:rPr>
        <w:t>la misma</w:t>
      </w:r>
      <w:proofErr w:type="gramEnd"/>
      <w:r w:rsidRPr="003439D8">
        <w:rPr>
          <w:rFonts w:ascii="Century Gothic" w:eastAsia="Arial" w:hAnsi="Century Gothic" w:cs="Arial"/>
          <w:color w:val="000000"/>
          <w:sz w:val="21"/>
          <w:szCs w:val="21"/>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w:t>
      </w:r>
      <w:r w:rsidRPr="003439D8">
        <w:rPr>
          <w:rFonts w:ascii="Century Gothic" w:eastAsia="Arial" w:hAnsi="Century Gothic" w:cs="Arial"/>
          <w:color w:val="000000"/>
          <w:sz w:val="21"/>
          <w:szCs w:val="21"/>
        </w:rPr>
        <w:lastRenderedPageBreak/>
        <w:t xml:space="preserve">requerir al interesado para que haga entrega </w:t>
      </w:r>
      <w:proofErr w:type="gramStart"/>
      <w:r w:rsidRPr="003439D8">
        <w:rPr>
          <w:rFonts w:ascii="Century Gothic" w:eastAsia="Arial" w:hAnsi="Century Gothic" w:cs="Arial"/>
          <w:color w:val="000000"/>
          <w:sz w:val="21"/>
          <w:szCs w:val="21"/>
        </w:rPr>
        <w:t>del mismo</w:t>
      </w:r>
      <w:proofErr w:type="gramEnd"/>
      <w:r w:rsidRPr="003439D8">
        <w:rPr>
          <w:rFonts w:ascii="Century Gothic" w:eastAsia="Arial" w:hAnsi="Century Gothic" w:cs="Arial"/>
          <w:color w:val="000000"/>
          <w:sz w:val="21"/>
          <w:szCs w:val="21"/>
        </w:rPr>
        <w:t xml:space="preserve"> o lo actualice, pero no para que se constituya la sociedad con posterioridad al cierre del proceso, pues si ello no se había hecho, significa simplemente que el oferente no tenía la condición para participar</w:t>
      </w:r>
      <w:r w:rsidRPr="003439D8">
        <w:rPr>
          <w:rFonts w:ascii="Century Gothic" w:eastAsia="Arial" w:hAnsi="Century Gothic" w:cs="Arial"/>
          <w:color w:val="000000"/>
          <w:sz w:val="21"/>
          <w:szCs w:val="21"/>
          <w:vertAlign w:val="superscript"/>
        </w:rPr>
        <w:footnoteReference w:id="17"/>
      </w:r>
      <w:r w:rsidRPr="003439D8">
        <w:rPr>
          <w:rFonts w:ascii="Century Gothic" w:eastAsia="Arial" w:hAnsi="Century Gothic" w:cs="Arial"/>
          <w:color w:val="000000"/>
          <w:sz w:val="21"/>
          <w:szCs w:val="21"/>
        </w:rPr>
        <w:t>.</w:t>
      </w:r>
    </w:p>
    <w:p w14:paraId="2DF67B66" w14:textId="77777777" w:rsidR="00824A3B" w:rsidRPr="003439D8" w:rsidRDefault="00824A3B" w:rsidP="00824A3B">
      <w:pPr>
        <w:spacing w:after="0" w:line="276" w:lineRule="auto"/>
        <w:jc w:val="both"/>
        <w:rPr>
          <w:rFonts w:ascii="Century Gothic" w:eastAsia="Arial" w:hAnsi="Century Gothic" w:cs="Arial"/>
          <w:color w:val="000000"/>
        </w:rPr>
      </w:pPr>
    </w:p>
    <w:p w14:paraId="63E8C59B" w14:textId="77777777" w:rsidR="00824A3B" w:rsidRPr="003439D8" w:rsidRDefault="00824A3B" w:rsidP="00824A3B">
      <w:pPr>
        <w:spacing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3F1A512"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1856949C"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3439D8">
        <w:rPr>
          <w:rFonts w:ascii="Century Gothic" w:eastAsia="Arial" w:hAnsi="Century Gothic" w:cs="Arial"/>
          <w:color w:val="000000"/>
          <w:vertAlign w:val="superscript"/>
        </w:rPr>
        <w:footnoteReference w:id="18"/>
      </w:r>
      <w:r w:rsidRPr="003439D8">
        <w:rPr>
          <w:rFonts w:ascii="Century Gothic" w:eastAsia="Arial" w:hAnsi="Century Gothic" w:cs="Arial"/>
          <w:color w:val="000000"/>
        </w:rPr>
        <w:t>; iii) si un oferente no anexó el certificado de existencia y representación legal, el documento aportado con posterioridad debe dar cuenta de que la sociedad existe desde antes del cierre del proceso</w:t>
      </w:r>
      <w:r w:rsidRPr="003439D8">
        <w:rPr>
          <w:rFonts w:ascii="Century Gothic" w:eastAsia="Arial" w:hAnsi="Century Gothic" w:cs="Arial"/>
          <w:color w:val="000000"/>
          <w:vertAlign w:val="superscript"/>
        </w:rPr>
        <w:footnoteReference w:id="19"/>
      </w:r>
      <w:r w:rsidRPr="003439D8">
        <w:rPr>
          <w:rFonts w:ascii="Century Gothic" w:eastAsia="Arial" w:hAnsi="Century Gothic" w:cs="Arial"/>
          <w:color w:val="000000"/>
        </w:rPr>
        <w:t xml:space="preserve">; iv) si un oferente olvidó adjuntar un certificado que demuestra un título universitario, el documento, aunque tenga fecha posterior al cierre del proceso, debe acreditar </w:t>
      </w:r>
      <w:r w:rsidRPr="003439D8">
        <w:rPr>
          <w:rFonts w:ascii="Century Gothic" w:eastAsia="Arial" w:hAnsi="Century Gothic" w:cs="Arial"/>
          <w:color w:val="000000"/>
        </w:rPr>
        <w:lastRenderedPageBreak/>
        <w:t xml:space="preserve">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14:paraId="4C8FDBE5"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3439D8">
        <w:rPr>
          <w:rFonts w:ascii="Century Gothic" w:eastAsia="Arial" w:hAnsi="Century Gothic" w:cs="Arial"/>
          <w:color w:val="000000"/>
        </w:rPr>
        <w:t>que</w:t>
      </w:r>
      <w:proofErr w:type="gramEnd"/>
      <w:r w:rsidRPr="003439D8">
        <w:rPr>
          <w:rFonts w:ascii="Century Gothic" w:eastAsia="Arial" w:hAnsi="Century Gothic" w:cs="Arial"/>
          <w:color w:val="00000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439D8">
        <w:rPr>
          <w:rFonts w:ascii="Century Gothic" w:eastAsia="Arial" w:hAnsi="Century Gothic" w:cs="Arial"/>
          <w:color w:val="000000"/>
          <w:vertAlign w:val="superscript"/>
        </w:rPr>
        <w:footnoteReference w:id="20"/>
      </w:r>
      <w:r w:rsidRPr="003439D8">
        <w:rPr>
          <w:rFonts w:ascii="Century Gothic" w:eastAsia="Arial" w:hAnsi="Century Gothic" w:cs="Arial"/>
          <w:color w:val="000000"/>
        </w:rPr>
        <w:t xml:space="preserve">. </w:t>
      </w:r>
    </w:p>
    <w:p w14:paraId="45F3B503"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14:paraId="3173FF3E"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w:t>
      </w:r>
      <w:r w:rsidRPr="003439D8">
        <w:rPr>
          <w:rFonts w:ascii="Century Gothic" w:eastAsia="Arial" w:hAnsi="Century Gothic" w:cs="Arial"/>
          <w:color w:val="000000"/>
        </w:rPr>
        <w:lastRenderedPageBreak/>
        <w:t xml:space="preserve">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4A13CE7B"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14:paraId="74E5202B" w14:textId="77777777" w:rsidR="00824A3B" w:rsidRPr="003439D8" w:rsidRDefault="00824A3B" w:rsidP="00824A3B">
      <w:pPr>
        <w:spacing w:before="120" w:after="120" w:line="276" w:lineRule="auto"/>
        <w:ind w:firstLine="709"/>
        <w:jc w:val="both"/>
        <w:rPr>
          <w:rFonts w:ascii="Century Gothic" w:eastAsia="Arial" w:hAnsi="Century Gothic" w:cs="Arial"/>
          <w:color w:val="000000"/>
        </w:rPr>
      </w:pPr>
      <w:r w:rsidRPr="003439D8">
        <w:rPr>
          <w:rFonts w:ascii="Century Gothic" w:eastAsia="Arial" w:hAnsi="Century Gothic"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15100982" w14:textId="77777777" w:rsidR="00824A3B" w:rsidRPr="003439D8" w:rsidRDefault="00824A3B" w:rsidP="00824A3B">
      <w:pPr>
        <w:spacing w:after="0" w:line="276" w:lineRule="auto"/>
        <w:ind w:firstLine="709"/>
        <w:jc w:val="both"/>
        <w:rPr>
          <w:rFonts w:ascii="Century Gothic" w:hAnsi="Century Gothic"/>
        </w:rPr>
      </w:pPr>
      <w:r w:rsidRPr="003439D8">
        <w:rPr>
          <w:rFonts w:ascii="Century Gothic" w:eastAsia="Arial" w:hAnsi="Century Gothic" w:cs="Arial"/>
          <w:color w:val="000000"/>
        </w:rPr>
        <w:lastRenderedPageBreak/>
        <w:t xml:space="preserve">Finalmente, el parágrafo 3 del artículo 5 de la Ley 1882 de 2018 determinó, de manera expresa, que “la no entrega de la garantía de seriedad junto con la propuesta no será subsanable y será causal de rechazo de </w:t>
      </w:r>
      <w:proofErr w:type="gramStart"/>
      <w:r w:rsidRPr="003439D8">
        <w:rPr>
          <w:rFonts w:ascii="Century Gothic" w:eastAsia="Arial" w:hAnsi="Century Gothic" w:cs="Arial"/>
          <w:color w:val="000000"/>
        </w:rPr>
        <w:t>la misma</w:t>
      </w:r>
      <w:proofErr w:type="gramEnd"/>
      <w:r w:rsidRPr="003439D8">
        <w:rPr>
          <w:rFonts w:ascii="Century Gothic" w:eastAsia="Arial" w:hAnsi="Century Gothic" w:cs="Arial"/>
          <w:color w:val="000000"/>
        </w:rPr>
        <w:t>”, dejando claro que se trata de un documento de obligatoria presentación junto con la propuesta y que materializa los principios de seriedad e irrevocabilidad de la oferta.</w:t>
      </w:r>
    </w:p>
    <w:p w14:paraId="23498BAE" w14:textId="77777777" w:rsidR="00824A3B" w:rsidRPr="003439D8" w:rsidRDefault="00824A3B" w:rsidP="00824A3B">
      <w:pPr>
        <w:tabs>
          <w:tab w:val="left" w:pos="709"/>
        </w:tabs>
        <w:spacing w:after="0" w:line="276" w:lineRule="auto"/>
        <w:jc w:val="both"/>
        <w:rPr>
          <w:rFonts w:ascii="Century Gothic" w:eastAsia="Calibri" w:hAnsi="Century Gothic" w:cs="Arial"/>
          <w:bCs/>
          <w:color w:val="000000" w:themeColor="text1"/>
        </w:rPr>
      </w:pPr>
    </w:p>
    <w:p w14:paraId="578068AD" w14:textId="77777777" w:rsidR="00824A3B" w:rsidRPr="003439D8" w:rsidRDefault="00824A3B" w:rsidP="00824A3B">
      <w:pPr>
        <w:tabs>
          <w:tab w:val="left" w:pos="0"/>
        </w:tabs>
        <w:spacing w:after="0"/>
        <w:jc w:val="both"/>
        <w:rPr>
          <w:rFonts w:ascii="Century Gothic" w:eastAsia="Calibri" w:hAnsi="Century Gothic" w:cs="Arial"/>
          <w:b/>
          <w:color w:val="000000" w:themeColor="text1"/>
          <w:lang w:val="es-ES_tradnl"/>
        </w:rPr>
      </w:pPr>
      <w:r w:rsidRPr="003439D8">
        <w:rPr>
          <w:rFonts w:ascii="Century Gothic" w:eastAsia="Calibri" w:hAnsi="Century Gothic" w:cs="Arial"/>
          <w:b/>
          <w:color w:val="000000" w:themeColor="text1"/>
          <w:lang w:val="es-ES_tradnl"/>
        </w:rPr>
        <w:t>3. Respuestas</w:t>
      </w:r>
    </w:p>
    <w:p w14:paraId="743CA636" w14:textId="77777777" w:rsidR="00824A3B" w:rsidRPr="003439D8" w:rsidRDefault="00824A3B" w:rsidP="00824A3B">
      <w:pPr>
        <w:spacing w:after="0" w:line="276" w:lineRule="auto"/>
        <w:jc w:val="both"/>
        <w:rPr>
          <w:rFonts w:ascii="Century Gothic" w:hAnsi="Century Gothic" w:cs="Arial"/>
          <w:color w:val="000000" w:themeColor="text1"/>
          <w:lang w:val="es-ES_tradnl"/>
        </w:rPr>
      </w:pPr>
    </w:p>
    <w:p w14:paraId="55C15F00" w14:textId="77777777" w:rsidR="00824A3B" w:rsidRPr="003439D8" w:rsidRDefault="00824A3B" w:rsidP="00824A3B">
      <w:pPr>
        <w:spacing w:after="120" w:line="240" w:lineRule="auto"/>
        <w:ind w:left="709" w:right="709"/>
        <w:jc w:val="both"/>
        <w:rPr>
          <w:rFonts w:ascii="Century Gothic" w:hAnsi="Century Gothic" w:cs="Arial"/>
          <w:color w:val="000000" w:themeColor="text1"/>
          <w:sz w:val="21"/>
          <w:szCs w:val="21"/>
          <w:lang w:val="es-ES_tradnl"/>
        </w:rPr>
      </w:pPr>
      <w:r w:rsidRPr="003439D8">
        <w:rPr>
          <w:rFonts w:ascii="Century Gothic" w:hAnsi="Century Gothic" w:cs="Arial"/>
          <w:color w:val="000000" w:themeColor="text1"/>
          <w:sz w:val="21"/>
          <w:szCs w:val="21"/>
          <w:lang w:val="es-ES_tradnl"/>
        </w:rPr>
        <w:t>i) “Teniendo en cuenta las disposiciones legales, las reglas y parámetros establecidos por la jurisprudencia especializada y los conceptos emitidos por Colombia Compra Eficiente, ¿es jurídicamente viable que una entidad contratante que ha consagrado en sus documentos precontractuales la regla de la subsanabilidad de todo documento o requisito de una oferta que no sea susceptible de asignación de puntaje, pueda, en la etapa de calificación de las propuestas, calificar qué documentos pueden ser subsanados y cuáles no?”.</w:t>
      </w:r>
    </w:p>
    <w:p w14:paraId="766666BA" w14:textId="77777777" w:rsidR="00824A3B" w:rsidRPr="003439D8" w:rsidRDefault="00824A3B" w:rsidP="00824A3B">
      <w:pPr>
        <w:spacing w:after="120" w:line="240" w:lineRule="auto"/>
        <w:ind w:left="709" w:right="709"/>
        <w:jc w:val="both"/>
        <w:rPr>
          <w:rFonts w:ascii="Century Gothic" w:hAnsi="Century Gothic" w:cs="Arial"/>
          <w:color w:val="000000" w:themeColor="text1"/>
          <w:sz w:val="21"/>
          <w:szCs w:val="21"/>
          <w:lang w:val="es-ES_tradnl"/>
        </w:rPr>
      </w:pPr>
      <w:r w:rsidRPr="003439D8">
        <w:rPr>
          <w:rFonts w:ascii="Century Gothic" w:hAnsi="Century Gothic" w:cs="Arial"/>
          <w:color w:val="000000" w:themeColor="text1"/>
          <w:sz w:val="21"/>
          <w:szCs w:val="21"/>
          <w:lang w:val="es-ES_tradnl"/>
        </w:rPr>
        <w:t xml:space="preserve">ii) “Bajo las mismas consideraciones del numeral anterior ¿puede la entidad contratante abstenerse de aceptar la subsanación de documentos que no asignan puntaje bajo la consideración de que debiendo haberse presentado al momento del cierre del proceso de selección, admitirlos implica una modificación o mejora de la oferta presentada?”. </w:t>
      </w:r>
    </w:p>
    <w:p w14:paraId="517FE4B5" w14:textId="77777777" w:rsidR="00824A3B" w:rsidRPr="003439D8" w:rsidRDefault="00824A3B" w:rsidP="00824A3B">
      <w:pPr>
        <w:spacing w:after="120" w:line="240" w:lineRule="auto"/>
        <w:ind w:left="709" w:right="709"/>
        <w:jc w:val="both"/>
        <w:rPr>
          <w:rFonts w:ascii="Century Gothic" w:hAnsi="Century Gothic" w:cs="Arial"/>
          <w:color w:val="000000" w:themeColor="text1"/>
          <w:sz w:val="21"/>
          <w:szCs w:val="21"/>
          <w:lang w:val="es-ES_tradnl"/>
        </w:rPr>
      </w:pPr>
      <w:r w:rsidRPr="003439D8">
        <w:rPr>
          <w:rFonts w:ascii="Century Gothic" w:hAnsi="Century Gothic" w:cs="Arial"/>
          <w:color w:val="000000" w:themeColor="text1"/>
          <w:sz w:val="21"/>
          <w:szCs w:val="21"/>
          <w:lang w:val="es-ES_tradnl"/>
        </w:rPr>
        <w:t xml:space="preserve">iii) “¿Se ajusta a derecho la consideración según la cual aun reconociendo la naturaleza habilitante del documento cuya presentación no se hizo con la oferta, pero existente a la fecha del cierre, implica una violación al principio de igualdad?”. </w:t>
      </w:r>
    </w:p>
    <w:p w14:paraId="3275C667" w14:textId="77777777" w:rsidR="00824A3B" w:rsidRPr="003439D8" w:rsidRDefault="00824A3B" w:rsidP="00824A3B">
      <w:pPr>
        <w:spacing w:after="0" w:line="240" w:lineRule="auto"/>
        <w:ind w:left="709" w:right="709"/>
        <w:jc w:val="both"/>
        <w:rPr>
          <w:rFonts w:ascii="Century Gothic" w:hAnsi="Century Gothic" w:cs="Arial"/>
          <w:color w:val="000000" w:themeColor="text1"/>
          <w:sz w:val="21"/>
          <w:szCs w:val="21"/>
        </w:rPr>
      </w:pPr>
      <w:r w:rsidRPr="003439D8">
        <w:rPr>
          <w:rFonts w:ascii="Century Gothic" w:hAnsi="Century Gothic" w:cs="Arial"/>
          <w:color w:val="000000" w:themeColor="text1"/>
          <w:sz w:val="21"/>
          <w:szCs w:val="21"/>
          <w:lang w:val="es-ES_tradnl"/>
        </w:rPr>
        <w:t>iv) “¿Puede la entidad contratante desconocer su propia regla precontractual de subsanabilidad de documentos que no asignen puntaje, argumentando que la subsanación solo es posible ‘sobre ofrecimientos realizados por el oferente al momento de la presentación de su oferta’. O que ‘aun tratándose de aspectos habilitantes, tampoco es de recibido (sic) que los oferentes pretendan mejorar sus ofertas sobre aspectos que no hicieron parie de su ofrecimiento inicial, pues en ese caso, no estaría acreditando un elemento que incorporó en su propuesta ni subsanando un defecto de esta, si no que, estaría incluyendo un nuevo aspecto de la oferta, rompiendo así con la equidad e igualdad sobre la cual se realiza la correspondiente verificación y evaluación...’"</w:t>
      </w:r>
      <w:r w:rsidRPr="003439D8">
        <w:rPr>
          <w:rFonts w:ascii="Century Gothic" w:hAnsi="Century Gothic" w:cs="Arial"/>
          <w:color w:val="000000" w:themeColor="text1"/>
          <w:sz w:val="21"/>
          <w:szCs w:val="21"/>
        </w:rPr>
        <w:t>.</w:t>
      </w:r>
    </w:p>
    <w:p w14:paraId="6B491E4E" w14:textId="77777777" w:rsidR="00824A3B" w:rsidRPr="003439D8" w:rsidRDefault="00824A3B" w:rsidP="00824A3B">
      <w:pPr>
        <w:spacing w:after="0" w:line="276" w:lineRule="auto"/>
        <w:jc w:val="both"/>
        <w:rPr>
          <w:rFonts w:ascii="Century Gothic" w:hAnsi="Century Gothic" w:cs="Arial"/>
          <w:color w:val="000000" w:themeColor="text1"/>
        </w:rPr>
      </w:pPr>
      <w:r w:rsidRPr="003439D8">
        <w:rPr>
          <w:rFonts w:ascii="Century Gothic" w:hAnsi="Century Gothic" w:cs="Arial"/>
          <w:color w:val="000000" w:themeColor="text1"/>
          <w:sz w:val="21"/>
          <w:szCs w:val="21"/>
        </w:rPr>
        <w:t xml:space="preserve"> </w:t>
      </w:r>
    </w:p>
    <w:p w14:paraId="6F1C7BB6" w14:textId="77777777" w:rsidR="00824A3B" w:rsidRPr="003439D8" w:rsidRDefault="00824A3B" w:rsidP="00824A3B">
      <w:pPr>
        <w:spacing w:line="276" w:lineRule="auto"/>
        <w:jc w:val="both"/>
        <w:rPr>
          <w:rFonts w:ascii="Century Gothic" w:hAnsi="Century Gothic" w:cs="Arial"/>
          <w:shd w:val="clear" w:color="auto" w:fill="FFFFFF"/>
          <w:lang w:val="es-ES" w:eastAsia="es-MX"/>
        </w:rPr>
      </w:pPr>
      <w:r w:rsidRPr="003439D8">
        <w:rPr>
          <w:rFonts w:ascii="Century Gothic" w:eastAsia="Calibri" w:hAnsi="Century Gothic" w:cs="Arial"/>
          <w:lang w:val="es-ES_tradnl"/>
        </w:rPr>
        <w:t>De acuerdo con la explicación precedente</w:t>
      </w:r>
      <w:r w:rsidRPr="003439D8">
        <w:rPr>
          <w:rFonts w:ascii="Century Gothic" w:hAnsi="Century Gothic" w:cs="Arial"/>
        </w:rPr>
        <w:t xml:space="preserve">, teniendo en cuenta las reglas dispuestas en </w:t>
      </w:r>
      <w:r w:rsidRPr="003439D8">
        <w:rPr>
          <w:rFonts w:ascii="Century Gothic" w:eastAsia="Calibri" w:hAnsi="Century Gothic" w:cs="Arial"/>
          <w:lang w:val="es-ES_tradnl"/>
        </w:rPr>
        <w:t xml:space="preserve">la Ley 1882 de 2018, se mantiene el criterio de la Ley 80 de 1993, relativo a que todo lo que no sea necesario para la comparación de propuestas </w:t>
      </w:r>
      <w:r w:rsidRPr="003439D8">
        <w:rPr>
          <w:rFonts w:ascii="Century Gothic" w:eastAsia="Calibri" w:hAnsi="Century Gothic" w:cs="Arial"/>
          <w:lang w:val="es-ES_tradnl"/>
        </w:rPr>
        <w:lastRenderedPageBreak/>
        <w:t>no es argumento suficiente para su rechazo en las diferentes modalidades de selección. Por un lado, se conserva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32C2EC2E" w14:textId="77777777" w:rsidR="00824A3B" w:rsidRPr="003439D8" w:rsidRDefault="00824A3B" w:rsidP="00824A3B">
      <w:pPr>
        <w:spacing w:before="120" w:after="120" w:line="276" w:lineRule="auto"/>
        <w:ind w:firstLine="709"/>
        <w:jc w:val="both"/>
        <w:rPr>
          <w:rFonts w:ascii="Century Gothic" w:eastAsia="Calibri" w:hAnsi="Century Gothic" w:cs="Arial"/>
          <w:lang w:val="es-ES_tradnl"/>
        </w:rPr>
      </w:pPr>
      <w:r w:rsidRPr="003439D8">
        <w:rPr>
          <w:rFonts w:ascii="Century Gothic" w:hAnsi="Century Gothic" w:cs="Arial"/>
          <w:lang w:val="es-ES_tradnl"/>
        </w:rPr>
        <w:t xml:space="preserve">Por otra parte, </w:t>
      </w:r>
      <w:r w:rsidRPr="003439D8">
        <w:rPr>
          <w:rFonts w:ascii="Century Gothic" w:eastAsia="Calibri" w:hAnsi="Century Gothic" w:cs="Arial"/>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AEB6C4F" w14:textId="77777777" w:rsidR="00824A3B" w:rsidRPr="003439D8" w:rsidRDefault="00824A3B" w:rsidP="00824A3B">
      <w:pPr>
        <w:spacing w:before="120" w:after="120" w:line="276" w:lineRule="auto"/>
        <w:ind w:firstLine="709"/>
        <w:jc w:val="both"/>
        <w:rPr>
          <w:rFonts w:ascii="Century Gothic" w:eastAsia="Calibri" w:hAnsi="Century Gothic" w:cs="Arial"/>
          <w:lang w:val="es-ES_tradnl"/>
        </w:rPr>
      </w:pPr>
      <w:r w:rsidRPr="003439D8">
        <w:rPr>
          <w:rFonts w:ascii="Century Gothic" w:eastAsia="Calibri" w:hAnsi="Century Gothic" w:cs="Arial"/>
          <w:lang w:val="es-ES_tradnl"/>
        </w:rPr>
        <w:t xml:space="preserve">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34A71D78" w14:textId="77777777" w:rsidR="00824A3B" w:rsidRPr="003439D8" w:rsidRDefault="00824A3B" w:rsidP="00824A3B">
      <w:pPr>
        <w:spacing w:before="120" w:after="120" w:line="276" w:lineRule="auto"/>
        <w:ind w:firstLine="709"/>
        <w:jc w:val="both"/>
        <w:rPr>
          <w:rFonts w:ascii="Century Gothic" w:eastAsia="Calibri" w:hAnsi="Century Gothic" w:cs="Arial"/>
          <w:lang w:val="es-ES_tradnl"/>
        </w:rPr>
      </w:pPr>
      <w:r w:rsidRPr="003439D8">
        <w:rPr>
          <w:rFonts w:ascii="Century Gothic" w:eastAsia="Calibri" w:hAnsi="Century Gothic" w:cs="Arial"/>
          <w:lang w:val="es-ES_tradn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 iii) si un oferente no anexó el Certificado de existencia y representación legal, el documento aportado con posterioridad debe dar cuenta de que la sociedad existía antes del cierre del proceso;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w:t>
      </w:r>
      <w:r w:rsidRPr="003439D8">
        <w:rPr>
          <w:rFonts w:ascii="Century Gothic" w:eastAsia="Calibri" w:hAnsi="Century Gothic" w:cs="Arial"/>
          <w:lang w:val="es-ES_tradnl"/>
        </w:rPr>
        <w:lastRenderedPageBreak/>
        <w:t xml:space="preserve">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A22475C" w14:textId="77777777" w:rsidR="00824A3B" w:rsidRPr="003439D8" w:rsidRDefault="00824A3B" w:rsidP="00824A3B">
      <w:pPr>
        <w:pStyle w:val="Default"/>
        <w:spacing w:line="276" w:lineRule="auto"/>
        <w:ind w:firstLine="708"/>
        <w:jc w:val="both"/>
        <w:rPr>
          <w:rFonts w:ascii="Century Gothic" w:eastAsia="Calibri" w:hAnsi="Century Gothic"/>
          <w:color w:val="auto"/>
          <w:sz w:val="22"/>
          <w:szCs w:val="22"/>
          <w:lang w:val="es-ES_tradnl"/>
        </w:rPr>
      </w:pPr>
      <w:r w:rsidRPr="003439D8">
        <w:rPr>
          <w:rFonts w:ascii="Century Gothic" w:eastAsia="Calibri" w:hAnsi="Century Gothic"/>
          <w:color w:val="auto"/>
          <w:sz w:val="22"/>
          <w:szCs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3439D8">
        <w:rPr>
          <w:rFonts w:ascii="Century Gothic" w:eastAsia="Calibri" w:hAnsi="Century Gothic"/>
          <w:color w:val="auto"/>
          <w:sz w:val="22"/>
          <w:szCs w:val="22"/>
          <w:lang w:val="es-ES_tradnl"/>
        </w:rPr>
        <w:t>que</w:t>
      </w:r>
      <w:proofErr w:type="gramEnd"/>
      <w:r w:rsidRPr="003439D8">
        <w:rPr>
          <w:rFonts w:ascii="Century Gothic" w:eastAsia="Calibri" w:hAnsi="Century Gothic"/>
          <w:color w:val="auto"/>
          <w:sz w:val="22"/>
          <w:szCs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601841D4" w14:textId="77777777" w:rsidR="00824A3B" w:rsidRPr="003439D8" w:rsidRDefault="00824A3B" w:rsidP="00824A3B">
      <w:pPr>
        <w:spacing w:before="120" w:after="120" w:line="276" w:lineRule="auto"/>
        <w:ind w:firstLine="708"/>
        <w:jc w:val="both"/>
        <w:rPr>
          <w:rFonts w:ascii="Century Gothic" w:eastAsia="Arial" w:hAnsi="Century Gothic" w:cs="Arial"/>
          <w:color w:val="000000"/>
        </w:rPr>
      </w:pPr>
      <w:r w:rsidRPr="003439D8">
        <w:rPr>
          <w:rFonts w:ascii="Century Gothic" w:eastAsia="Arial" w:hAnsi="Century Gothic" w:cs="Arial"/>
          <w:color w:val="000000"/>
        </w:rPr>
        <w:t xml:space="preserve">Con el fin de comprender si determinado elemento de la oferta es o no subsanable,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Sin perjuicio de lo anterior, el parágrafo 3 del artículo 5 de la Ley 1882 de 2018 determinó, de manera expresa, que “la no entrega de la garantía de seriedad junto con la propuesta no será subsanable y será causal de rechazo de </w:t>
      </w:r>
      <w:proofErr w:type="gramStart"/>
      <w:r w:rsidRPr="003439D8">
        <w:rPr>
          <w:rFonts w:ascii="Century Gothic" w:eastAsia="Arial" w:hAnsi="Century Gothic" w:cs="Arial"/>
          <w:color w:val="000000"/>
        </w:rPr>
        <w:t>la misma</w:t>
      </w:r>
      <w:proofErr w:type="gramEnd"/>
      <w:r w:rsidRPr="003439D8">
        <w:rPr>
          <w:rFonts w:ascii="Century Gothic" w:eastAsia="Arial" w:hAnsi="Century Gothic" w:cs="Arial"/>
          <w:color w:val="000000"/>
        </w:rPr>
        <w:t xml:space="preserve">”, dejando claro que se trata de un documento de obligatoria presentación junto con la propuesta y que materializa los principios de seriedad e irrevocabilidad de la oferta. </w:t>
      </w:r>
    </w:p>
    <w:p w14:paraId="1DA23EB4" w14:textId="77777777" w:rsidR="00824A3B" w:rsidRPr="003439D8" w:rsidRDefault="00824A3B" w:rsidP="00824A3B">
      <w:pPr>
        <w:spacing w:before="120" w:after="120" w:line="276" w:lineRule="auto"/>
        <w:ind w:firstLine="708"/>
        <w:jc w:val="both"/>
        <w:rPr>
          <w:rFonts w:ascii="Century Gothic" w:eastAsia="Arial" w:hAnsi="Century Gothic" w:cs="Arial"/>
          <w:color w:val="000000"/>
        </w:rPr>
      </w:pPr>
      <w:r w:rsidRPr="003439D8">
        <w:rPr>
          <w:rFonts w:ascii="Century Gothic" w:eastAsia="Arial" w:hAnsi="Century Gothic" w:cs="Arial"/>
          <w:color w:val="000000"/>
        </w:rPr>
        <w:t>En resumen, por regla general, son subsanables i) la falta de entrega o ii)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14:paraId="744C4D50" w14:textId="77777777" w:rsidR="00824A3B" w:rsidRPr="003439D8" w:rsidRDefault="00824A3B" w:rsidP="00824A3B">
      <w:pPr>
        <w:widowControl w:val="0"/>
        <w:autoSpaceDE w:val="0"/>
        <w:autoSpaceDN w:val="0"/>
        <w:spacing w:after="120" w:line="276" w:lineRule="auto"/>
        <w:ind w:firstLine="709"/>
        <w:jc w:val="both"/>
        <w:rPr>
          <w:rFonts w:ascii="Century Gothic" w:eastAsia="Arial MT" w:hAnsi="Century Gothic" w:cs="Arial"/>
          <w:color w:val="000000" w:themeColor="text1"/>
          <w:lang w:val="es-ES"/>
        </w:rPr>
      </w:pPr>
      <w:r w:rsidRPr="003439D8">
        <w:rPr>
          <w:rFonts w:ascii="Century Gothic" w:eastAsia="Arial MT" w:hAnsi="Century Gothic" w:cs="Arial"/>
          <w:color w:val="000000" w:themeColor="text1"/>
          <w:lang w:val="es-ES"/>
        </w:rPr>
        <w:lastRenderedPageBreak/>
        <w:t xml:space="preserve">Por ello, dentro del marco general trazado en el presente oficio, </w:t>
      </w:r>
      <w:r w:rsidRPr="003439D8">
        <w:rPr>
          <w:rStyle w:val="normaltextrun"/>
          <w:rFonts w:ascii="Century Gothic" w:hAnsi="Century Gothic" w:cs="Arial"/>
          <w:color w:val="000000"/>
          <w:shd w:val="clear" w:color="auto" w:fill="FFFFFF"/>
        </w:rPr>
        <w:t xml:space="preserve">corresponde a cada entidad pública, en ejercicio de su competencia, determinar si es procedente o no la subsanación de un documento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w:t>
      </w:r>
      <w:r w:rsidRPr="003439D8">
        <w:rPr>
          <w:rStyle w:val="findhit"/>
          <w:rFonts w:ascii="Century Gothic" w:hAnsi="Century Gothic" w:cs="Arial"/>
          <w:color w:val="000000"/>
          <w:shd w:val="clear" w:color="auto" w:fill="FFFFFF"/>
        </w:rPr>
        <w:t>principio de juridicidad</w:t>
      </w:r>
      <w:r w:rsidRPr="003439D8">
        <w:rPr>
          <w:rStyle w:val="normaltextrun"/>
          <w:rFonts w:ascii="Century Gothic" w:hAnsi="Century Gothic" w:cs="Arial"/>
          <w:color w:val="000000"/>
          <w:shd w:val="clear" w:color="auto" w:fill="FFFFFF"/>
        </w:rPr>
        <w:t>.</w:t>
      </w:r>
      <w:r w:rsidRPr="003439D8">
        <w:rPr>
          <w:rStyle w:val="eop"/>
          <w:rFonts w:ascii="Century Gothic" w:hAnsi="Century Gothic" w:cs="Arial"/>
          <w:color w:val="000000"/>
          <w:shd w:val="clear" w:color="auto" w:fill="FFFFFF"/>
        </w:rPr>
        <w:t> </w:t>
      </w:r>
      <w:r w:rsidRPr="003439D8">
        <w:rPr>
          <w:rFonts w:ascii="Century Gothic" w:eastAsia="Arial MT" w:hAnsi="Century Gothic" w:cs="Arial"/>
          <w:color w:val="000000" w:themeColor="text1"/>
          <w:lang w:val="es-ES"/>
        </w:rPr>
        <w:t xml:space="preserve">  </w:t>
      </w:r>
    </w:p>
    <w:p w14:paraId="2E3EF2AB" w14:textId="77777777" w:rsidR="00824A3B" w:rsidRPr="003439D8" w:rsidRDefault="00824A3B" w:rsidP="00824A3B">
      <w:pPr>
        <w:spacing w:after="0" w:line="276" w:lineRule="auto"/>
        <w:jc w:val="both"/>
        <w:rPr>
          <w:rFonts w:ascii="Century Gothic" w:hAnsi="Century Gothic" w:cs="Arial"/>
          <w:lang w:val="es-ES"/>
        </w:rPr>
      </w:pPr>
    </w:p>
    <w:p w14:paraId="3FF066A8" w14:textId="77777777" w:rsidR="00824A3B" w:rsidRPr="003439D8" w:rsidRDefault="00824A3B" w:rsidP="00824A3B">
      <w:pPr>
        <w:widowControl w:val="0"/>
        <w:autoSpaceDE w:val="0"/>
        <w:autoSpaceDN w:val="0"/>
        <w:spacing w:after="0" w:line="276" w:lineRule="auto"/>
        <w:jc w:val="both"/>
        <w:rPr>
          <w:rFonts w:ascii="Century Gothic" w:hAnsi="Century Gothic" w:cs="Arial"/>
          <w:color w:val="000000" w:themeColor="text1"/>
          <w:lang w:val="es-ES_tradnl" w:bidi="es-ES"/>
        </w:rPr>
      </w:pPr>
      <w:r w:rsidRPr="003439D8">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049F2163" w14:textId="77777777" w:rsidR="00824A3B" w:rsidRPr="003439D8" w:rsidRDefault="00824A3B" w:rsidP="00824A3B">
      <w:pPr>
        <w:widowControl w:val="0"/>
        <w:autoSpaceDE w:val="0"/>
        <w:autoSpaceDN w:val="0"/>
        <w:spacing w:after="0" w:line="276" w:lineRule="auto"/>
        <w:jc w:val="both"/>
        <w:rPr>
          <w:rFonts w:ascii="Century Gothic" w:hAnsi="Century Gothic" w:cs="Arial"/>
          <w:color w:val="000000" w:themeColor="text1"/>
          <w:lang w:val="es-ES_tradnl" w:bidi="es-ES"/>
        </w:rPr>
      </w:pPr>
    </w:p>
    <w:p w14:paraId="67D08B16" w14:textId="77777777" w:rsidR="00824A3B" w:rsidRPr="003439D8" w:rsidRDefault="00824A3B" w:rsidP="00824A3B">
      <w:pPr>
        <w:tabs>
          <w:tab w:val="left" w:pos="426"/>
        </w:tabs>
        <w:spacing w:line="276" w:lineRule="auto"/>
        <w:jc w:val="both"/>
        <w:rPr>
          <w:rFonts w:ascii="Century Gothic" w:eastAsia="Times New Roman" w:hAnsi="Century Gothic" w:cs="Arial"/>
          <w:color w:val="000000" w:themeColor="text1"/>
        </w:rPr>
      </w:pPr>
      <w:r w:rsidRPr="003439D8">
        <w:rPr>
          <w:rFonts w:ascii="Century Gothic" w:eastAsia="Times New Roman" w:hAnsi="Century Gothic" w:cs="Arial"/>
          <w:color w:val="000000" w:themeColor="text1"/>
        </w:rPr>
        <w:t>Atentamente,</w:t>
      </w:r>
    </w:p>
    <w:p w14:paraId="4674A6B4" w14:textId="6C274FFF" w:rsidR="00824A3B" w:rsidRPr="003439D8" w:rsidRDefault="00DB0243" w:rsidP="00824A3B">
      <w:pPr>
        <w:jc w:val="center"/>
        <w:rPr>
          <w:rFonts w:ascii="Century Gothic" w:eastAsia="Times New Roman" w:hAnsi="Century Gothic" w:cs="Arial"/>
          <w:lang w:eastAsia="es-CO"/>
        </w:rPr>
      </w:pPr>
      <w:r>
        <w:rPr>
          <w:noProof/>
        </w:rPr>
        <w:drawing>
          <wp:inline distT="0" distB="0" distL="0" distR="0" wp14:anchorId="3B34D097" wp14:editId="7432FA82">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824A3B" w:rsidRPr="003439D8" w14:paraId="36B59BD1" w14:textId="77777777" w:rsidTr="007C419F">
        <w:trPr>
          <w:trHeight w:val="409"/>
        </w:trPr>
        <w:tc>
          <w:tcPr>
            <w:tcW w:w="817" w:type="dxa"/>
            <w:tcBorders>
              <w:top w:val="nil"/>
              <w:left w:val="nil"/>
              <w:bottom w:val="nil"/>
              <w:right w:val="nil"/>
            </w:tcBorders>
            <w:vAlign w:val="center"/>
            <w:hideMark/>
          </w:tcPr>
          <w:p w14:paraId="042C2DD2"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DE69061"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Juan David Montoya Penagos</w:t>
            </w:r>
          </w:p>
          <w:p w14:paraId="013DB0D5"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Contratista de la Subdirección de Gestión Contractual</w:t>
            </w:r>
          </w:p>
        </w:tc>
      </w:tr>
      <w:tr w:rsidR="00824A3B" w:rsidRPr="003439D8" w14:paraId="0AB1C079" w14:textId="77777777" w:rsidTr="007C419F">
        <w:trPr>
          <w:trHeight w:val="409"/>
        </w:trPr>
        <w:tc>
          <w:tcPr>
            <w:tcW w:w="817" w:type="dxa"/>
            <w:tcBorders>
              <w:top w:val="nil"/>
              <w:left w:val="nil"/>
              <w:right w:val="nil"/>
            </w:tcBorders>
            <w:vAlign w:val="center"/>
          </w:tcPr>
          <w:p w14:paraId="702782DB" w14:textId="77777777" w:rsidR="00824A3B" w:rsidRPr="003439D8" w:rsidRDefault="00824A3B" w:rsidP="007C419F">
            <w:pPr>
              <w:jc w:val="both"/>
              <w:rPr>
                <w:rFonts w:ascii="Century Gothic" w:hAnsi="Century Gothic" w:cs="Arial"/>
                <w:sz w:val="16"/>
                <w:szCs w:val="16"/>
              </w:rPr>
            </w:pPr>
            <w:r w:rsidRPr="003439D8">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36D4005F"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 xml:space="preserve">Juan David Cárdenas Cabeza </w:t>
            </w:r>
          </w:p>
          <w:p w14:paraId="7E1F1D3E" w14:textId="4D5D0E86"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Contratista de la Subdirección de Gestión Contractual</w:t>
            </w:r>
          </w:p>
        </w:tc>
      </w:tr>
      <w:tr w:rsidR="00824A3B" w:rsidRPr="003439D8" w14:paraId="0B126A20" w14:textId="77777777" w:rsidTr="007C419F">
        <w:trPr>
          <w:trHeight w:val="389"/>
        </w:trPr>
        <w:tc>
          <w:tcPr>
            <w:tcW w:w="817" w:type="dxa"/>
            <w:tcBorders>
              <w:top w:val="nil"/>
              <w:left w:val="nil"/>
              <w:bottom w:val="nil"/>
              <w:right w:val="nil"/>
            </w:tcBorders>
            <w:vAlign w:val="center"/>
            <w:hideMark/>
          </w:tcPr>
          <w:p w14:paraId="603199A1"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9DF8DC0"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Nohelia del Carmen Zawady Palacio</w:t>
            </w:r>
          </w:p>
          <w:p w14:paraId="404DFDE7" w14:textId="77777777" w:rsidR="00824A3B" w:rsidRPr="003439D8" w:rsidRDefault="00824A3B" w:rsidP="007C419F">
            <w:pPr>
              <w:spacing w:after="0" w:line="240" w:lineRule="auto"/>
              <w:jc w:val="both"/>
              <w:rPr>
                <w:rFonts w:ascii="Century Gothic" w:hAnsi="Century Gothic" w:cs="Arial"/>
                <w:sz w:val="16"/>
                <w:szCs w:val="16"/>
              </w:rPr>
            </w:pPr>
            <w:r w:rsidRPr="003439D8">
              <w:rPr>
                <w:rFonts w:ascii="Century Gothic" w:hAnsi="Century Gothic" w:cs="Arial"/>
                <w:sz w:val="16"/>
                <w:szCs w:val="16"/>
              </w:rPr>
              <w:t>Subdirectora de Gestión Contractual ANCP - CCE</w:t>
            </w:r>
          </w:p>
        </w:tc>
      </w:tr>
      <w:bookmarkEnd w:id="2"/>
    </w:tbl>
    <w:p w14:paraId="5C7E13FB" w14:textId="77777777" w:rsidR="00824A3B" w:rsidRPr="003439D8" w:rsidRDefault="00824A3B" w:rsidP="00824A3B">
      <w:pPr>
        <w:tabs>
          <w:tab w:val="left" w:pos="0"/>
        </w:tabs>
        <w:spacing w:line="276" w:lineRule="auto"/>
        <w:contextualSpacing/>
        <w:jc w:val="both"/>
        <w:rPr>
          <w:rFonts w:ascii="Century Gothic" w:hAnsi="Century Gothic"/>
          <w:lang w:val="es-MX"/>
        </w:rPr>
      </w:pPr>
    </w:p>
    <w:p w14:paraId="6BD17386" w14:textId="77777777" w:rsidR="00824A3B" w:rsidRPr="003439D8" w:rsidRDefault="00824A3B" w:rsidP="00824A3B">
      <w:pPr>
        <w:rPr>
          <w:rFonts w:ascii="Century Gothic" w:hAnsi="Century Gothic"/>
        </w:rPr>
      </w:pPr>
    </w:p>
    <w:p w14:paraId="5D49D8BC" w14:textId="77777777" w:rsidR="00824A3B" w:rsidRPr="003439D8" w:rsidRDefault="00824A3B" w:rsidP="00824A3B">
      <w:pPr>
        <w:rPr>
          <w:rFonts w:ascii="Century Gothic" w:hAnsi="Century Gothic"/>
        </w:rPr>
      </w:pPr>
      <w:r w:rsidRPr="003439D8">
        <w:rPr>
          <w:rFonts w:ascii="Century Gothic" w:hAnsi="Century Gothic"/>
        </w:rPr>
        <w:t xml:space="preserve"> </w:t>
      </w:r>
    </w:p>
    <w:p w14:paraId="0FD4057A" w14:textId="77777777" w:rsidR="00C330EB" w:rsidRPr="003439D8" w:rsidRDefault="00C330EB" w:rsidP="00EC5CDC">
      <w:pPr>
        <w:rPr>
          <w:rFonts w:ascii="Century Gothic" w:hAnsi="Century Gothic"/>
        </w:rPr>
      </w:pPr>
    </w:p>
    <w:sectPr w:rsidR="00C330EB" w:rsidRPr="003439D8" w:rsidSect="00923EEF">
      <w:headerReference w:type="default" r:id="rId12"/>
      <w:footerReference w:type="default" r:id="rId13"/>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38458" w14:textId="77777777" w:rsidR="009F3B6F" w:rsidRDefault="009F3B6F" w:rsidP="004A1847">
      <w:pPr>
        <w:spacing w:after="0" w:line="240" w:lineRule="auto"/>
      </w:pPr>
      <w:r>
        <w:separator/>
      </w:r>
    </w:p>
  </w:endnote>
  <w:endnote w:type="continuationSeparator" w:id="0">
    <w:p w14:paraId="286A2DB6" w14:textId="77777777" w:rsidR="009F3B6F" w:rsidRDefault="009F3B6F" w:rsidP="004A1847">
      <w:pPr>
        <w:spacing w:after="0" w:line="240" w:lineRule="auto"/>
      </w:pPr>
      <w:r>
        <w:continuationSeparator/>
      </w:r>
    </w:p>
  </w:endnote>
  <w:endnote w:type="continuationNotice" w:id="1">
    <w:p w14:paraId="1BFE42D2" w14:textId="77777777" w:rsidR="009F3B6F" w:rsidRDefault="009F3B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07A26" w14:textId="77777777" w:rsidR="009F3B6F" w:rsidRDefault="009F3B6F" w:rsidP="004A1847">
      <w:pPr>
        <w:spacing w:after="0" w:line="240" w:lineRule="auto"/>
      </w:pPr>
      <w:r>
        <w:separator/>
      </w:r>
    </w:p>
  </w:footnote>
  <w:footnote w:type="continuationSeparator" w:id="0">
    <w:p w14:paraId="5088FAF3" w14:textId="77777777" w:rsidR="009F3B6F" w:rsidRDefault="009F3B6F" w:rsidP="004A1847">
      <w:pPr>
        <w:spacing w:after="0" w:line="240" w:lineRule="auto"/>
      </w:pPr>
      <w:r>
        <w:continuationSeparator/>
      </w:r>
    </w:p>
  </w:footnote>
  <w:footnote w:type="continuationNotice" w:id="1">
    <w:p w14:paraId="2FA01DE3" w14:textId="77777777" w:rsidR="009F3B6F" w:rsidRDefault="009F3B6F">
      <w:pPr>
        <w:spacing w:after="0" w:line="240" w:lineRule="auto"/>
      </w:pPr>
    </w:p>
  </w:footnote>
  <w:footnote w:id="2">
    <w:p w14:paraId="136E5864" w14:textId="77777777" w:rsidR="00824A3B" w:rsidRPr="003439D8" w:rsidRDefault="00824A3B" w:rsidP="00824A3B">
      <w:pPr>
        <w:pStyle w:val="Textonotapie"/>
        <w:ind w:firstLine="708"/>
        <w:jc w:val="both"/>
        <w:rPr>
          <w:rFonts w:ascii="Century Gothic" w:hAnsi="Century Gothic" w:cs="Arial"/>
          <w:sz w:val="16"/>
          <w:szCs w:val="16"/>
          <w:lang w:val="es-ES"/>
        </w:rPr>
      </w:pPr>
      <w:r w:rsidRPr="003439D8">
        <w:rPr>
          <w:rStyle w:val="Refdenotaalpie"/>
          <w:rFonts w:ascii="Century Gothic" w:hAnsi="Century Gothic" w:cs="Arial"/>
          <w:sz w:val="16"/>
          <w:szCs w:val="16"/>
        </w:rPr>
        <w:footnoteRef/>
      </w:r>
      <w:r w:rsidRPr="003439D8">
        <w:rPr>
          <w:rFonts w:ascii="Century Gothic" w:hAnsi="Century Gothic" w:cs="Arial"/>
          <w:sz w:val="16"/>
          <w:szCs w:val="16"/>
        </w:rPr>
        <w:t xml:space="preserve"> La Agencia Nacional de Contratación Pública </w:t>
      </w:r>
      <w:r w:rsidRPr="003439D8">
        <w:rPr>
          <w:rFonts w:ascii="Arial" w:hAnsi="Arial" w:cs="Arial"/>
          <w:sz w:val="16"/>
          <w:szCs w:val="16"/>
        </w:rPr>
        <w:t>‒</w:t>
      </w:r>
      <w:r w:rsidRPr="003439D8">
        <w:rPr>
          <w:rFonts w:ascii="Century Gothic" w:hAnsi="Century Gothic" w:cs="Arial"/>
          <w:sz w:val="16"/>
          <w:szCs w:val="16"/>
        </w:rPr>
        <w:t xml:space="preserve"> Colombia Compra Eficiente fue creada por el Decreto Ley 4170 de 2011. Su objetivo es servir como ente rector de la pol</w:t>
      </w:r>
      <w:r w:rsidRPr="003439D8">
        <w:rPr>
          <w:rFonts w:ascii="Century Gothic" w:hAnsi="Century Gothic" w:cs="Century Gothic"/>
          <w:sz w:val="16"/>
          <w:szCs w:val="16"/>
        </w:rPr>
        <w:t>í</w:t>
      </w:r>
      <w:r w:rsidRPr="003439D8">
        <w:rPr>
          <w:rFonts w:ascii="Century Gothic" w:hAnsi="Century Gothic" w:cs="Arial"/>
          <w:sz w:val="16"/>
          <w:szCs w:val="16"/>
        </w:rPr>
        <w:t>tica de compras y contrataci</w:t>
      </w:r>
      <w:r w:rsidRPr="003439D8">
        <w:rPr>
          <w:rFonts w:ascii="Century Gothic" w:hAnsi="Century Gothic" w:cs="Century Gothic"/>
          <w:sz w:val="16"/>
          <w:szCs w:val="16"/>
        </w:rPr>
        <w:t>ó</w:t>
      </w:r>
      <w:r w:rsidRPr="003439D8">
        <w:rPr>
          <w:rFonts w:ascii="Century Gothic" w:hAnsi="Century Gothic" w:cs="Arial"/>
          <w:sz w:val="16"/>
          <w:szCs w:val="16"/>
        </w:rPr>
        <w:t xml:space="preserve">n del Estado. Para tales fines, como </w:t>
      </w:r>
      <w:r w:rsidRPr="003439D8">
        <w:rPr>
          <w:rFonts w:ascii="Century Gothic" w:hAnsi="Century Gothic" w:cs="Century Gothic"/>
          <w:sz w:val="16"/>
          <w:szCs w:val="16"/>
        </w:rPr>
        <w:t>ó</w:t>
      </w:r>
      <w:r w:rsidRPr="003439D8">
        <w:rPr>
          <w:rFonts w:ascii="Century Gothic" w:hAnsi="Century Gothic" w:cs="Arial"/>
          <w:sz w:val="16"/>
          <w:szCs w:val="16"/>
        </w:rPr>
        <w:t>rgano t</w:t>
      </w:r>
      <w:r w:rsidRPr="003439D8">
        <w:rPr>
          <w:rFonts w:ascii="Century Gothic" w:hAnsi="Century Gothic" w:cs="Century Gothic"/>
          <w:sz w:val="16"/>
          <w:szCs w:val="16"/>
        </w:rPr>
        <w:t>é</w:t>
      </w:r>
      <w:r w:rsidRPr="003439D8">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3439D8">
        <w:rPr>
          <w:rFonts w:ascii="Century Gothic" w:hAnsi="Century Gothic" w:cs="Arial"/>
          <w:i/>
          <w:iCs/>
          <w:sz w:val="16"/>
          <w:szCs w:val="16"/>
        </w:rPr>
        <w:t xml:space="preserve">ibidem </w:t>
      </w:r>
      <w:r w:rsidRPr="003439D8">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0B41BAFD" w14:textId="77777777" w:rsidR="00824A3B" w:rsidRPr="003439D8" w:rsidRDefault="00824A3B" w:rsidP="00824A3B">
      <w:pPr>
        <w:pStyle w:val="Textonotapie"/>
        <w:ind w:firstLine="709"/>
        <w:jc w:val="both"/>
        <w:rPr>
          <w:rFonts w:ascii="Century Gothic" w:hAnsi="Century Gothic" w:cs="Arial"/>
          <w:sz w:val="16"/>
          <w:szCs w:val="16"/>
          <w:shd w:val="clear" w:color="auto" w:fill="E6E6E6"/>
        </w:rPr>
      </w:pPr>
      <w:r w:rsidRPr="003439D8">
        <w:rPr>
          <w:rStyle w:val="Refdenotaalpie"/>
          <w:rFonts w:ascii="Century Gothic" w:hAnsi="Century Gothic" w:cs="Arial"/>
          <w:sz w:val="16"/>
          <w:szCs w:val="16"/>
        </w:rPr>
        <w:footnoteRef/>
      </w:r>
      <w:r w:rsidRPr="003439D8">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3439D8">
          <w:rPr>
            <w:rStyle w:val="Hipervnculo"/>
            <w:rFonts w:ascii="Century Gothic" w:hAnsi="Century Gothic" w:cs="Arial"/>
            <w:sz w:val="16"/>
            <w:szCs w:val="16"/>
          </w:rPr>
          <w:t>https://relatoria.colombiacompra.gov.co/busqueda/conceptos</w:t>
        </w:r>
      </w:hyperlink>
      <w:r w:rsidRPr="003439D8">
        <w:rPr>
          <w:rStyle w:val="Hipervnculo"/>
          <w:rFonts w:ascii="Century Gothic" w:hAnsi="Century Gothic" w:cs="Arial"/>
          <w:sz w:val="16"/>
          <w:szCs w:val="16"/>
        </w:rPr>
        <w:t xml:space="preserve">. </w:t>
      </w:r>
      <w:r w:rsidRPr="003439D8">
        <w:rPr>
          <w:rFonts w:ascii="Century Gothic" w:hAnsi="Century Gothic" w:cs="Arial"/>
          <w:sz w:val="16"/>
          <w:szCs w:val="16"/>
          <w:shd w:val="clear" w:color="auto" w:fill="E6E6E6"/>
        </w:rPr>
        <w:t xml:space="preserve"> </w:t>
      </w:r>
    </w:p>
  </w:footnote>
  <w:footnote w:id="4">
    <w:p w14:paraId="73AF3A66"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Al respecto, conviene recordar el artículo 29 de la Ley 80 de 1993, derogado por el artículo 32 de la Ley 1150 de 2007, que establecía: “La selección de contratistas será objetiva.</w:t>
      </w:r>
    </w:p>
    <w:p w14:paraId="246047A1"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1CA8A69C" w14:textId="4FA82B25"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0D0C6E37"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30ECE8A8"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En caso de comparación de propuestas nacionales y extranjeras, se incluirán los costos necesarios para la entrega del producto terminado en el lugar de su utilización”.</w:t>
      </w:r>
    </w:p>
  </w:footnote>
  <w:footnote w:id="5">
    <w:p w14:paraId="0BA6431C" w14:textId="77777777" w:rsidR="00824A3B" w:rsidRPr="003439D8" w:rsidRDefault="00824A3B" w:rsidP="00824A3B">
      <w:pPr>
        <w:pBdr>
          <w:top w:val="nil"/>
          <w:left w:val="nil"/>
          <w:bottom w:val="nil"/>
          <w:right w:val="nil"/>
          <w:between w:val="nil"/>
        </w:pBdr>
        <w:spacing w:after="0" w:line="240" w:lineRule="auto"/>
        <w:ind w:firstLine="708"/>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DÁVILA VINUEZA, Luis Guillermo. Régimen jurídico de la contratación estatal. Tercera edición, Bogotá: Legis, 2016. p. 355.</w:t>
      </w:r>
    </w:p>
  </w:footnote>
  <w:footnote w:id="6">
    <w:p w14:paraId="046946FE" w14:textId="77777777" w:rsidR="00824A3B" w:rsidRPr="003439D8" w:rsidRDefault="00824A3B" w:rsidP="00824A3B">
      <w:pPr>
        <w:pBdr>
          <w:top w:val="nil"/>
          <w:left w:val="nil"/>
          <w:bottom w:val="nil"/>
          <w:right w:val="nil"/>
          <w:between w:val="nil"/>
        </w:pBdr>
        <w:spacing w:after="0" w:line="240" w:lineRule="auto"/>
        <w:ind w:firstLine="708"/>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RODRÍGUEZ TAMAYO, Mauricio F. Evaluación y rechazo de ofertas en la Ley 80 de 1993. Primera edición. Medellín: Librería Jurídica Sánchez, 2016. pp. 110-111.</w:t>
      </w:r>
    </w:p>
  </w:footnote>
  <w:footnote w:id="7">
    <w:p w14:paraId="55D52C21" w14:textId="77777777" w:rsidR="00824A3B" w:rsidRPr="003439D8" w:rsidRDefault="00824A3B" w:rsidP="00824A3B">
      <w:pPr>
        <w:pBdr>
          <w:top w:val="nil"/>
          <w:left w:val="nil"/>
          <w:bottom w:val="nil"/>
          <w:right w:val="nil"/>
          <w:between w:val="nil"/>
        </w:pBdr>
        <w:spacing w:after="0" w:line="240" w:lineRule="auto"/>
        <w:ind w:firstLine="708"/>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8">
    <w:p w14:paraId="6E0ACE1E" w14:textId="77777777" w:rsidR="00824A3B" w:rsidRPr="003439D8" w:rsidRDefault="00824A3B" w:rsidP="00824A3B">
      <w:pPr>
        <w:pBdr>
          <w:top w:val="nil"/>
          <w:left w:val="nil"/>
          <w:bottom w:val="nil"/>
          <w:right w:val="nil"/>
          <w:between w:val="nil"/>
        </w:pBdr>
        <w:spacing w:after="0" w:line="240" w:lineRule="auto"/>
        <w:ind w:firstLine="708"/>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i/>
          <w:color w:val="000000"/>
          <w:sz w:val="16"/>
          <w:szCs w:val="16"/>
        </w:rPr>
        <w:t xml:space="preserve"> Ibídem.</w:t>
      </w:r>
    </w:p>
  </w:footnote>
  <w:footnote w:id="9">
    <w:p w14:paraId="2F9256D3"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hAnsi="Century Gothic" w:cs="Arial"/>
          <w:sz w:val="16"/>
          <w:szCs w:val="16"/>
          <w:vertAlign w:val="superscript"/>
        </w:rPr>
        <w:footnoteRef/>
      </w:r>
      <w:r w:rsidRPr="003439D8">
        <w:rPr>
          <w:rFonts w:ascii="Century Gothic" w:eastAsia="Arial" w:hAnsi="Century Gothic" w:cs="Arial"/>
          <w:sz w:val="16"/>
          <w:szCs w:val="16"/>
        </w:rPr>
        <w:t xml:space="preserve"> Decreto 1082 de 2015 “Artículo 2.2.1.1.2.2.2. </w:t>
      </w:r>
      <w:bookmarkStart w:id="6" w:name="_Hlk127183858"/>
      <w:r w:rsidRPr="003439D8">
        <w:rPr>
          <w:rFonts w:ascii="Century Gothic" w:eastAsia="Arial" w:hAnsi="Century Gothic" w:cs="Arial"/>
          <w:sz w:val="16"/>
          <w:szCs w:val="16"/>
        </w:rPr>
        <w:t>Modificado por el </w:t>
      </w:r>
      <w:bookmarkEnd w:id="6"/>
      <w:r w:rsidRPr="003439D8">
        <w:rPr>
          <w:rFonts w:ascii="Century Gothic" w:eastAsia="Arial" w:hAnsi="Century Gothic" w:cs="Arial"/>
          <w:sz w:val="16"/>
          <w:szCs w:val="16"/>
        </w:rPr>
        <w:t>Decreto 142 de 2023, artículo 4º. Ofrecimiento más favorable.</w:t>
      </w:r>
      <w:r w:rsidRPr="003439D8">
        <w:rPr>
          <w:rFonts w:ascii="Century Gothic" w:eastAsia="Arial" w:hAnsi="Century Gothic" w:cs="Arial"/>
          <w:b/>
          <w:bCs/>
          <w:sz w:val="16"/>
          <w:szCs w:val="16"/>
        </w:rPr>
        <w:t xml:space="preserve"> </w:t>
      </w:r>
      <w:r w:rsidRPr="003439D8">
        <w:rPr>
          <w:rFonts w:ascii="Century Gothic" w:eastAsia="Arial" w:hAnsi="Century Gothic" w:cs="Arial"/>
          <w:sz w:val="16"/>
          <w:szCs w:val="16"/>
          <w:lang w:val="es-MX"/>
        </w:rPr>
        <w:t>La Entidad Estatal debe determinar la oferta más favorable teniendo en cuenta las normas aplicables a cada modalidad de selección del contratista.</w:t>
      </w:r>
    </w:p>
    <w:p w14:paraId="1C19B54C"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214CD384"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1. Las condiciones técnicas y económicas mínimas de la oferta.</w:t>
      </w:r>
    </w:p>
    <w:p w14:paraId="1B5B3D8E"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165538D2"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5E7187A9"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4. El valor en dinero que la Entidad Estatal asigna a cada ofrecimiento técnico o económico adicional, para permitir la ponderación de las ofertas presentadas.</w:t>
      </w:r>
    </w:p>
    <w:p w14:paraId="446E4126"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54C63814"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La Entidad Estatal debe adjudicar al oferente que presentó la oferta con la mejor relación costo-beneficio y suscribir el contrato por el precio total ofrecido.</w:t>
      </w:r>
    </w:p>
    <w:p w14:paraId="536238F9"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7A307CE6" w14:textId="77777777" w:rsidR="00824A3B" w:rsidRPr="003439D8" w:rsidRDefault="00824A3B" w:rsidP="00824A3B">
      <w:pPr>
        <w:spacing w:after="0" w:line="240" w:lineRule="auto"/>
        <w:ind w:firstLine="708"/>
        <w:jc w:val="both"/>
        <w:rPr>
          <w:rFonts w:ascii="Century Gothic" w:eastAsia="Arial" w:hAnsi="Century Gothic" w:cs="Arial"/>
          <w:sz w:val="16"/>
          <w:szCs w:val="16"/>
          <w:lang w:val="es-MX"/>
        </w:rPr>
      </w:pPr>
      <w:r w:rsidRPr="003439D8">
        <w:rPr>
          <w:rFonts w:ascii="Century Gothic" w:eastAsia="Arial" w:hAnsi="Century Gothic"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31347898" w14:textId="77777777" w:rsidR="00824A3B" w:rsidRPr="003439D8" w:rsidRDefault="00824A3B" w:rsidP="00824A3B">
      <w:pPr>
        <w:spacing w:after="0" w:line="240" w:lineRule="auto"/>
        <w:ind w:firstLine="708"/>
        <w:jc w:val="both"/>
        <w:rPr>
          <w:rFonts w:ascii="Century Gothic" w:eastAsia="Arial" w:hAnsi="Century Gothic" w:cs="Arial"/>
          <w:sz w:val="16"/>
          <w:szCs w:val="16"/>
        </w:rPr>
      </w:pPr>
      <w:r w:rsidRPr="003439D8">
        <w:rPr>
          <w:rFonts w:ascii="Century Gothic" w:eastAsia="Arial" w:hAnsi="Century Gothic" w:cs="Arial"/>
          <w:sz w:val="16"/>
          <w:szCs w:val="16"/>
        </w:rPr>
        <w:t>[…]”. </w:t>
      </w:r>
    </w:p>
  </w:footnote>
  <w:footnote w:id="10">
    <w:p w14:paraId="45032E91"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Consejo de Estado. Sección Tercera. Subsección A. Sentencia del 25 de octubre de 2019. Exp. 39.945. Consejera Ponente: María Adriana Marín.</w:t>
      </w:r>
    </w:p>
  </w:footnote>
  <w:footnote w:id="11">
    <w:p w14:paraId="261E583B" w14:textId="77777777" w:rsidR="00824A3B" w:rsidRPr="003439D8" w:rsidRDefault="00824A3B" w:rsidP="00824A3B">
      <w:pPr>
        <w:pBdr>
          <w:top w:val="nil"/>
          <w:left w:val="nil"/>
          <w:bottom w:val="nil"/>
          <w:right w:val="nil"/>
          <w:between w:val="nil"/>
        </w:pBdr>
        <w:spacing w:after="0" w:line="240" w:lineRule="auto"/>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vertAlign w:val="superscript"/>
        </w:rPr>
        <w:t xml:space="preserve"> </w:t>
      </w:r>
      <w:r w:rsidRPr="003439D8">
        <w:rPr>
          <w:rFonts w:ascii="Century Gothic" w:eastAsia="Arial" w:hAnsi="Century Gothic" w:cs="Arial"/>
          <w:color w:val="000000"/>
          <w:sz w:val="16"/>
          <w:szCs w:val="16"/>
        </w:rPr>
        <w:t>Consejo de Estado. Sección Tercera. Subsección A. Sentencia del 5 de julio de 2018. Exp. 37.834. Consejero Ponente: Carlos Alberto Zambrano Barrera.</w:t>
      </w:r>
    </w:p>
  </w:footnote>
  <w:footnote w:id="12">
    <w:p w14:paraId="752B83F5"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13">
    <w:p w14:paraId="21723482"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4">
    <w:p w14:paraId="35552549"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Consejo de Estado. Sección Tercera, Subsección C. Sentencia del 26 de febrero de 2014. C.P. Enrique Gil Botero, Rad. 1999-00113-01 (25.804). </w:t>
      </w:r>
    </w:p>
  </w:footnote>
  <w:footnote w:id="15">
    <w:p w14:paraId="1E8434FE"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vertAlign w:val="superscript"/>
        </w:rPr>
        <w:t xml:space="preserve"> </w:t>
      </w:r>
      <w:r w:rsidRPr="003439D8">
        <w:rPr>
          <w:rFonts w:ascii="Century Gothic" w:eastAsia="Arial" w:hAnsi="Century Gothic"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6">
    <w:p w14:paraId="50F1B516" w14:textId="77777777" w:rsidR="00824A3B" w:rsidRPr="003439D8" w:rsidRDefault="00824A3B" w:rsidP="00824A3B">
      <w:pP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3439D8">
          <w:rPr>
            <w:rFonts w:ascii="Century Gothic" w:eastAsia="Arial" w:hAnsi="Century Gothic" w:cs="Arial"/>
            <w:color w:val="000000"/>
            <w:sz w:val="16"/>
            <w:szCs w:val="16"/>
          </w:rPr>
          <w:t>Ley 1150 de 2007</w:t>
        </w:r>
      </w:hyperlink>
      <w:r w:rsidRPr="003439D8">
        <w:rPr>
          <w:rFonts w:ascii="Century Gothic" w:eastAsia="Arial" w:hAnsi="Century Gothic" w:cs="Arial"/>
          <w:color w:val="000000"/>
          <w:sz w:val="16"/>
          <w:szCs w:val="16"/>
        </w:rPr>
        <w:t> y en el presente decreto.</w:t>
      </w:r>
    </w:p>
    <w:p w14:paraId="63BCEB66" w14:textId="77777777" w:rsidR="00824A3B" w:rsidRPr="003439D8" w:rsidRDefault="00824A3B" w:rsidP="00824A3B">
      <w:pPr>
        <w:spacing w:after="0"/>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19FA329" w14:textId="77777777" w:rsidR="00824A3B" w:rsidRPr="003439D8" w:rsidRDefault="00824A3B" w:rsidP="00824A3B">
      <w:pPr>
        <w:spacing w:after="0"/>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Será rechazada la oferta del proponente que dentro del término previsto en el pliego o en la solicitud, no responda al requerimiento que le haga la entidad para subsanarla.</w:t>
      </w:r>
    </w:p>
    <w:p w14:paraId="44434671" w14:textId="77777777" w:rsidR="00824A3B" w:rsidRPr="003439D8" w:rsidRDefault="00824A3B" w:rsidP="00824A3B">
      <w:pPr>
        <w:spacing w:after="0"/>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Cuando se utilice el mecanismo de subasta esta posibilidad deberá ejercerse hasta el momento previo a su realización, de conformidad con el artículo 22 del presente decreto.</w:t>
      </w:r>
    </w:p>
    <w:p w14:paraId="63F24221" w14:textId="77777777" w:rsidR="00824A3B" w:rsidRPr="003439D8" w:rsidRDefault="00824A3B" w:rsidP="00824A3B">
      <w:pPr>
        <w:spacing w:after="0"/>
        <w:ind w:firstLine="709"/>
        <w:jc w:val="both"/>
        <w:rPr>
          <w:rFonts w:ascii="Century Gothic" w:eastAsia="Arial" w:hAnsi="Century Gothic" w:cs="Arial"/>
          <w:color w:val="000000"/>
          <w:sz w:val="16"/>
          <w:szCs w:val="16"/>
        </w:rPr>
      </w:pPr>
      <w:r w:rsidRPr="003439D8">
        <w:rPr>
          <w:rFonts w:ascii="Century Gothic" w:eastAsia="Arial" w:hAnsi="Century Gothic" w:cs="Arial"/>
          <w:color w:val="000000"/>
          <w:sz w:val="16"/>
          <w:szCs w:val="16"/>
        </w:rPr>
        <w:t xml:space="preserve">En ningún caso la entidad podrá señalar taxativamente los requisitos o documentos subsanables o no subsanables en el pliego de condiciones, </w:t>
      </w:r>
      <w:r w:rsidRPr="003439D8">
        <w:rPr>
          <w:rFonts w:ascii="Century Gothic" w:eastAsia="Arial" w:hAnsi="Century Gothic" w:cs="Arial"/>
          <w:i/>
          <w:color w:val="000000"/>
          <w:sz w:val="16"/>
          <w:szCs w:val="16"/>
        </w:rPr>
        <w:t>ni permitir que se subsane la falta de capacidad para presentar la oferta, ni que se acrediten circunstancias ocurridas con posterioridad al cierre del proceso</w:t>
      </w:r>
      <w:r w:rsidRPr="003439D8">
        <w:rPr>
          <w:rFonts w:ascii="Century Gothic" w:eastAsia="Arial" w:hAnsi="Century Gothic" w:cs="Arial"/>
          <w:color w:val="000000"/>
          <w:sz w:val="16"/>
          <w:szCs w:val="16"/>
        </w:rPr>
        <w:t xml:space="preserve">”. (Cursivas fuera de texto). </w:t>
      </w:r>
    </w:p>
  </w:footnote>
  <w:footnote w:id="17">
    <w:p w14:paraId="5FDFC719"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Consejo de Estado, Sala de Consulta y Servicio Civil, concepto del 6 de noviembre de 2008. C.P. William Zambrano Cetina. Rad. 2008-00079-00(1927).</w:t>
      </w:r>
    </w:p>
  </w:footnote>
  <w:footnote w:id="18">
    <w:p w14:paraId="26E6057E"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Ver Consejo de Estado, Sección Tercera, Subsección C. Sentencia del 26 de febrero de 2011. C.P. Jaime Orlando Santofimio. Rad. 36.408.  </w:t>
      </w:r>
    </w:p>
  </w:footnote>
  <w:footnote w:id="19">
    <w:p w14:paraId="616D6C77"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Ver Consejo de Estado, Sección Tercera, Subsección C. Sentencia del 26 de febrero de 2014. C.P. Enrique Gil Botero. Rad. 25.804.  </w:t>
      </w:r>
    </w:p>
  </w:footnote>
  <w:footnote w:id="20">
    <w:p w14:paraId="3DE70C30"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r w:rsidRPr="003439D8">
        <w:rPr>
          <w:rFonts w:ascii="Century Gothic" w:hAnsi="Century Gothic" w:cs="Arial"/>
          <w:sz w:val="16"/>
          <w:szCs w:val="16"/>
          <w:vertAlign w:val="superscript"/>
        </w:rPr>
        <w:footnoteRef/>
      </w:r>
      <w:r w:rsidRPr="003439D8">
        <w:rPr>
          <w:rFonts w:ascii="Century Gothic" w:eastAsia="Arial" w:hAnsi="Century Gothic" w:cs="Arial"/>
          <w:color w:val="000000"/>
          <w:sz w:val="16"/>
          <w:szCs w:val="16"/>
        </w:rPr>
        <w:t xml:space="preserve"> Consejo de Estado, Sala de Consulta y Servicio Civil, concepto del 20 de mayo de 2010. C.P. Enrique José Arboleda Perdomo. Rad. 2010-00034-00(1992).</w:t>
      </w:r>
    </w:p>
    <w:p w14:paraId="63CB6A0C" w14:textId="77777777" w:rsidR="00824A3B" w:rsidRPr="003439D8" w:rsidRDefault="00824A3B" w:rsidP="00824A3B">
      <w:pPr>
        <w:pBdr>
          <w:top w:val="nil"/>
          <w:left w:val="nil"/>
          <w:bottom w:val="nil"/>
          <w:right w:val="nil"/>
          <w:between w:val="nil"/>
        </w:pBdr>
        <w:spacing w:after="0"/>
        <w:ind w:firstLine="709"/>
        <w:jc w:val="both"/>
        <w:rPr>
          <w:rFonts w:ascii="Century Gothic" w:eastAsia="Arial" w:hAnsi="Century Gothic"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187885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A683E"/>
    <w:rsid w:val="000B19B9"/>
    <w:rsid w:val="000D0334"/>
    <w:rsid w:val="000D0ED5"/>
    <w:rsid w:val="000F6486"/>
    <w:rsid w:val="000F79E0"/>
    <w:rsid w:val="00127233"/>
    <w:rsid w:val="00185B93"/>
    <w:rsid w:val="001A4308"/>
    <w:rsid w:val="001E4177"/>
    <w:rsid w:val="002951A0"/>
    <w:rsid w:val="002962BC"/>
    <w:rsid w:val="002A49AC"/>
    <w:rsid w:val="002A64FD"/>
    <w:rsid w:val="002C7A84"/>
    <w:rsid w:val="003439D8"/>
    <w:rsid w:val="003A779E"/>
    <w:rsid w:val="003D0F4D"/>
    <w:rsid w:val="003E0499"/>
    <w:rsid w:val="003F3941"/>
    <w:rsid w:val="004A1847"/>
    <w:rsid w:val="004A305D"/>
    <w:rsid w:val="004F21C4"/>
    <w:rsid w:val="004F685F"/>
    <w:rsid w:val="005566E8"/>
    <w:rsid w:val="00574867"/>
    <w:rsid w:val="005C5CDC"/>
    <w:rsid w:val="005D476C"/>
    <w:rsid w:val="006219F8"/>
    <w:rsid w:val="00665D70"/>
    <w:rsid w:val="00706C16"/>
    <w:rsid w:val="00710BE6"/>
    <w:rsid w:val="00756841"/>
    <w:rsid w:val="007649AB"/>
    <w:rsid w:val="007833AC"/>
    <w:rsid w:val="007C3DC2"/>
    <w:rsid w:val="007D1132"/>
    <w:rsid w:val="007E5497"/>
    <w:rsid w:val="00806F5F"/>
    <w:rsid w:val="00820278"/>
    <w:rsid w:val="00824A3B"/>
    <w:rsid w:val="008843B6"/>
    <w:rsid w:val="00891928"/>
    <w:rsid w:val="008A446D"/>
    <w:rsid w:val="008F0EA7"/>
    <w:rsid w:val="00923EEF"/>
    <w:rsid w:val="009419F9"/>
    <w:rsid w:val="00961B09"/>
    <w:rsid w:val="00965334"/>
    <w:rsid w:val="0097093E"/>
    <w:rsid w:val="009C71FA"/>
    <w:rsid w:val="009C72E7"/>
    <w:rsid w:val="009F3B6F"/>
    <w:rsid w:val="00A17F13"/>
    <w:rsid w:val="00A20739"/>
    <w:rsid w:val="00A33C78"/>
    <w:rsid w:val="00A35D8D"/>
    <w:rsid w:val="00AB0ADB"/>
    <w:rsid w:val="00AE5061"/>
    <w:rsid w:val="00AF6B70"/>
    <w:rsid w:val="00B72CD3"/>
    <w:rsid w:val="00B72FFF"/>
    <w:rsid w:val="00BD7F72"/>
    <w:rsid w:val="00BF6AF2"/>
    <w:rsid w:val="00C330EB"/>
    <w:rsid w:val="00C754BE"/>
    <w:rsid w:val="00C8699A"/>
    <w:rsid w:val="00CB6357"/>
    <w:rsid w:val="00CC1B26"/>
    <w:rsid w:val="00D423A2"/>
    <w:rsid w:val="00D63AC2"/>
    <w:rsid w:val="00D7383B"/>
    <w:rsid w:val="00DB0243"/>
    <w:rsid w:val="00E16408"/>
    <w:rsid w:val="00E20894"/>
    <w:rsid w:val="00E245AB"/>
    <w:rsid w:val="00E50AFE"/>
    <w:rsid w:val="00E771DC"/>
    <w:rsid w:val="00E8772A"/>
    <w:rsid w:val="00E90F6B"/>
    <w:rsid w:val="00E92C27"/>
    <w:rsid w:val="00EA0E3D"/>
    <w:rsid w:val="00EC5CDC"/>
    <w:rsid w:val="00EE1AA8"/>
    <w:rsid w:val="00F31EDC"/>
    <w:rsid w:val="00F5664F"/>
    <w:rsid w:val="00F76AFC"/>
    <w:rsid w:val="00FB5DD1"/>
    <w:rsid w:val="00FC2B5D"/>
    <w:rsid w:val="00FF1449"/>
    <w:rsid w:val="0B9B08E2"/>
    <w:rsid w:val="1FF5B473"/>
    <w:rsid w:val="2F63CA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824A3B"/>
    <w:rPr>
      <w:color w:val="0563C1" w:themeColor="hyperlink"/>
      <w:u w:val="single"/>
    </w:rPr>
  </w:style>
  <w:style w:type="paragraph" w:customStyle="1" w:styleId="Appelnotedebasde">
    <w:name w:val="Appel note de bas de..."/>
    <w:basedOn w:val="Normal"/>
    <w:link w:val="Refdenotaalpie"/>
    <w:uiPriority w:val="99"/>
    <w:rsid w:val="00824A3B"/>
    <w:pPr>
      <w:spacing w:line="240" w:lineRule="exact"/>
    </w:pPr>
    <w:rPr>
      <w:vertAlign w:val="superscript"/>
    </w:rPr>
  </w:style>
  <w:style w:type="paragraph" w:styleId="Sinespaciado">
    <w:name w:val="No Spacing"/>
    <w:aliases w:val="No Indent"/>
    <w:uiPriority w:val="3"/>
    <w:qFormat/>
    <w:rsid w:val="00824A3B"/>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24A3B"/>
    <w:rPr>
      <w:rFonts w:ascii="Geomanist Light" w:hAnsi="Geomanist Light"/>
      <w:lang w:val="es-ES"/>
    </w:rPr>
  </w:style>
  <w:style w:type="paragraph" w:styleId="Textoindependiente">
    <w:name w:val="Body Text"/>
    <w:basedOn w:val="Normal"/>
    <w:link w:val="TextoindependienteCar"/>
    <w:uiPriority w:val="99"/>
    <w:unhideWhenUsed/>
    <w:rsid w:val="00824A3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824A3B"/>
    <w:rPr>
      <w:rFonts w:eastAsiaTheme="minorEastAsia"/>
      <w:lang w:eastAsia="es-CO"/>
    </w:rPr>
  </w:style>
  <w:style w:type="character" w:customStyle="1" w:styleId="eop">
    <w:name w:val="eop"/>
    <w:basedOn w:val="Fuentedeprrafopredeter"/>
    <w:rsid w:val="00824A3B"/>
  </w:style>
  <w:style w:type="character" w:customStyle="1" w:styleId="findhit">
    <w:name w:val="findhit"/>
    <w:basedOn w:val="Fuentedeprrafopredeter"/>
    <w:rsid w:val="00824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540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9D423BB-FE91-424E-A383-2A411BE8B70A}"/>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29</Pages>
  <Words>10431</Words>
  <Characters>57375</Characters>
  <Application>Microsoft Office Word</Application>
  <DocSecurity>0</DocSecurity>
  <Lines>478</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7</cp:revision>
  <cp:lastPrinted>2023-01-10T21:18:00Z</cp:lastPrinted>
  <dcterms:created xsi:type="dcterms:W3CDTF">2023-07-04T15:14:00Z</dcterms:created>
  <dcterms:modified xsi:type="dcterms:W3CDTF">2023-07-24T20:19:00Z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