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95B2" w14:textId="77777777" w:rsidR="008F50DF" w:rsidRPr="008F50DF" w:rsidRDefault="008F50DF" w:rsidP="008F50DF">
      <w:pPr>
        <w:spacing w:after="0" w:line="276" w:lineRule="auto"/>
        <w:jc w:val="both"/>
        <w:rPr>
          <w:rFonts w:ascii="Verdana" w:eastAsia="Calibri" w:hAnsi="Verdana" w:cs="Arial"/>
          <w:b/>
          <w:bCs/>
          <w:lang w:val="es-ES_tradnl"/>
        </w:rPr>
      </w:pPr>
      <w:bookmarkStart w:id="0" w:name="_Hlk143780582"/>
      <w:r w:rsidRPr="008F50DF">
        <w:rPr>
          <w:rFonts w:ascii="Verdana" w:eastAsia="Calibri" w:hAnsi="Verdana" w:cs="Arial"/>
          <w:b/>
          <w:bCs/>
          <w:lang w:val="es-ES_tradnl"/>
        </w:rPr>
        <w:t xml:space="preserve">DOCUMENTOS TIPO – Fundamento normativo – Obligatoriedad </w:t>
      </w:r>
    </w:p>
    <w:p w14:paraId="3DB0B870" w14:textId="77777777" w:rsidR="008F50DF" w:rsidRPr="008F50DF" w:rsidRDefault="008F50DF" w:rsidP="008F50DF">
      <w:pPr>
        <w:spacing w:after="0" w:line="276" w:lineRule="auto"/>
        <w:jc w:val="both"/>
        <w:rPr>
          <w:rFonts w:ascii="Verdana" w:eastAsia="Calibri" w:hAnsi="Verdana" w:cs="Arial"/>
          <w:b/>
          <w:bCs/>
          <w:sz w:val="20"/>
          <w:szCs w:val="20"/>
          <w:lang w:val="es-ES_tradnl"/>
        </w:rPr>
      </w:pPr>
    </w:p>
    <w:p w14:paraId="3FA07462" w14:textId="77777777" w:rsidR="008F50DF" w:rsidRPr="008F50DF" w:rsidRDefault="008F50DF" w:rsidP="008F50DF">
      <w:pPr>
        <w:tabs>
          <w:tab w:val="left" w:pos="709"/>
        </w:tabs>
        <w:spacing w:after="0" w:line="240" w:lineRule="auto"/>
        <w:jc w:val="both"/>
        <w:rPr>
          <w:rFonts w:ascii="Verdana" w:eastAsia="Calibri" w:hAnsi="Verdana" w:cs="Arial"/>
          <w:sz w:val="20"/>
          <w:szCs w:val="20"/>
          <w:lang w:val="es-ES"/>
        </w:rPr>
      </w:pPr>
      <w:r w:rsidRPr="008F50DF">
        <w:rPr>
          <w:rFonts w:ascii="Verdana" w:eastAsia="Calibri"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099DA953" w14:textId="77777777" w:rsidR="008F50DF" w:rsidRPr="008F50DF" w:rsidRDefault="008F50DF" w:rsidP="008F50DF">
      <w:pPr>
        <w:spacing w:after="0" w:line="276" w:lineRule="auto"/>
        <w:jc w:val="both"/>
        <w:rPr>
          <w:rFonts w:ascii="Verdana" w:eastAsia="Calibri" w:hAnsi="Verdana" w:cs="Arial"/>
          <w:b/>
          <w:bCs/>
          <w:lang w:val="es-ES_tradnl"/>
        </w:rPr>
      </w:pPr>
    </w:p>
    <w:p w14:paraId="007580D7" w14:textId="77777777" w:rsidR="008F50DF" w:rsidRPr="008F50DF" w:rsidRDefault="008F50DF" w:rsidP="008F50DF">
      <w:pPr>
        <w:widowControl w:val="0"/>
        <w:autoSpaceDE w:val="0"/>
        <w:autoSpaceDN w:val="0"/>
        <w:spacing w:after="0" w:line="276" w:lineRule="auto"/>
        <w:jc w:val="both"/>
        <w:rPr>
          <w:rFonts w:ascii="Verdana" w:eastAsia="Calibri" w:hAnsi="Verdana" w:cs="Times New Roman"/>
          <w:b/>
          <w:bCs/>
          <w:lang w:val="es-ES"/>
        </w:rPr>
      </w:pPr>
      <w:r w:rsidRPr="008F50DF">
        <w:rPr>
          <w:rFonts w:ascii="Verdana" w:eastAsia="Calibri" w:hAnsi="Verdana" w:cs="Arial"/>
          <w:b/>
          <w:bCs/>
          <w:lang w:val="es-ES_tradnl"/>
        </w:rPr>
        <w:t>SECTOR SOCIAL</w:t>
      </w:r>
      <w:r w:rsidRPr="008F50DF">
        <w:rPr>
          <w:rFonts w:ascii="Verdana" w:eastAsia="Calibri" w:hAnsi="Verdana" w:cs="Times New Roman"/>
          <w:lang w:val="es-ES"/>
        </w:rPr>
        <w:t xml:space="preserve"> </w:t>
      </w:r>
      <w:r w:rsidRPr="008F50DF">
        <w:rPr>
          <w:rFonts w:ascii="Verdana" w:eastAsia="Calibri" w:hAnsi="Verdana" w:cs="Times New Roman"/>
          <w:b/>
          <w:bCs/>
          <w:lang w:val="es-ES"/>
        </w:rPr>
        <w:t>– Documentos tipo – Vigentes</w:t>
      </w:r>
    </w:p>
    <w:p w14:paraId="36DC679C" w14:textId="77777777" w:rsidR="008F50DF" w:rsidRPr="008F50DF" w:rsidRDefault="008F50DF" w:rsidP="008F50DF">
      <w:pPr>
        <w:widowControl w:val="0"/>
        <w:autoSpaceDE w:val="0"/>
        <w:autoSpaceDN w:val="0"/>
        <w:spacing w:after="0" w:line="276" w:lineRule="auto"/>
        <w:jc w:val="both"/>
        <w:rPr>
          <w:rFonts w:ascii="Verdana" w:eastAsia="Calibri" w:hAnsi="Verdana" w:cs="Times New Roman"/>
          <w:b/>
          <w:bCs/>
          <w:lang w:val="es-ES"/>
        </w:rPr>
      </w:pPr>
    </w:p>
    <w:p w14:paraId="407FABA8" w14:textId="77777777" w:rsidR="008F50DF" w:rsidRPr="008F50DF" w:rsidRDefault="008F50DF" w:rsidP="008F50DF">
      <w:pPr>
        <w:widowControl w:val="0"/>
        <w:autoSpaceDE w:val="0"/>
        <w:autoSpaceDN w:val="0"/>
        <w:spacing w:after="0" w:line="240" w:lineRule="auto"/>
        <w:jc w:val="both"/>
        <w:rPr>
          <w:rFonts w:ascii="Verdana" w:eastAsia="Calibri" w:hAnsi="Verdana" w:cs="Times New Roman"/>
          <w:b/>
          <w:bCs/>
          <w:sz w:val="20"/>
          <w:szCs w:val="20"/>
          <w:lang w:val="es-ES"/>
        </w:rPr>
      </w:pPr>
      <w:r w:rsidRPr="008F50DF">
        <w:rPr>
          <w:rFonts w:ascii="Verdana" w:eastAsia="Aptos" w:hAnsi="Verdana" w:cs="Times New Roman"/>
          <w:kern w:val="2"/>
          <w:sz w:val="20"/>
          <w:szCs w:val="20"/>
          <w14:ligatures w14:val="standardContextual"/>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7CE9251E" w14:textId="77777777" w:rsidR="008F50DF" w:rsidRPr="008F50DF" w:rsidRDefault="008F50DF" w:rsidP="008F50DF">
      <w:pPr>
        <w:widowControl w:val="0"/>
        <w:autoSpaceDE w:val="0"/>
        <w:autoSpaceDN w:val="0"/>
        <w:spacing w:after="0" w:line="276" w:lineRule="auto"/>
        <w:jc w:val="both"/>
        <w:rPr>
          <w:rFonts w:ascii="Verdana" w:eastAsia="Calibri" w:hAnsi="Verdana" w:cs="Times New Roman"/>
          <w:lang w:val="es-ES"/>
        </w:rPr>
      </w:pPr>
    </w:p>
    <w:p w14:paraId="1741EEFB" w14:textId="77777777" w:rsidR="008F50DF" w:rsidRPr="008F50DF" w:rsidRDefault="008F50DF" w:rsidP="008F50DF">
      <w:pPr>
        <w:spacing w:after="0" w:line="276" w:lineRule="auto"/>
        <w:jc w:val="both"/>
        <w:rPr>
          <w:rFonts w:ascii="Verdana" w:eastAsia="Calibri" w:hAnsi="Verdana" w:cs="Times New Roman"/>
          <w:sz w:val="20"/>
          <w:szCs w:val="20"/>
          <w:lang w:val="es-ES"/>
        </w:rPr>
      </w:pPr>
      <w:r w:rsidRPr="008F50DF">
        <w:rPr>
          <w:rFonts w:ascii="Verdana" w:eastAsia="Calibri" w:hAnsi="Verdana" w:cs="Times New Roman"/>
          <w:b/>
          <w:bCs/>
          <w:lang w:val="es-ES"/>
        </w:rPr>
        <w:t xml:space="preserve">DOCUMENTOS TIPO – Aplicación – Matriz de Experiencia </w:t>
      </w:r>
    </w:p>
    <w:p w14:paraId="5779C90E" w14:textId="77777777" w:rsidR="008F50DF" w:rsidRPr="008F50DF" w:rsidRDefault="008F50DF" w:rsidP="008F50DF">
      <w:pPr>
        <w:spacing w:after="0" w:line="240" w:lineRule="auto"/>
        <w:rPr>
          <w:rFonts w:ascii="Verdana" w:eastAsia="Geomanist Light" w:hAnsi="Verdana" w:cs="Arial"/>
          <w:lang w:val="es-MX"/>
        </w:rPr>
      </w:pPr>
    </w:p>
    <w:p w14:paraId="76230EED" w14:textId="77777777" w:rsidR="008F50DF" w:rsidRPr="008F50DF" w:rsidRDefault="008F50DF" w:rsidP="008F50DF">
      <w:pPr>
        <w:widowControl w:val="0"/>
        <w:autoSpaceDE w:val="0"/>
        <w:autoSpaceDN w:val="0"/>
        <w:spacing w:after="0" w:line="240" w:lineRule="auto"/>
        <w:jc w:val="both"/>
        <w:rPr>
          <w:rFonts w:ascii="Verdana" w:eastAsia="Calibri" w:hAnsi="Verdana" w:cs="Times New Roman"/>
          <w:sz w:val="20"/>
          <w:szCs w:val="20"/>
          <w:lang w:val="es-ES"/>
        </w:rPr>
      </w:pPr>
      <w:r w:rsidRPr="008F50DF">
        <w:rPr>
          <w:rFonts w:ascii="Verdana" w:eastAsia="Calibri" w:hAnsi="Verdana" w:cs="Times New Roman"/>
          <w:sz w:val="20"/>
          <w:szCs w:val="20"/>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3A008911" w14:textId="77777777" w:rsidR="008F50DF" w:rsidRPr="008F50DF" w:rsidRDefault="008F50DF" w:rsidP="008F50DF">
      <w:pPr>
        <w:widowControl w:val="0"/>
        <w:autoSpaceDE w:val="0"/>
        <w:autoSpaceDN w:val="0"/>
        <w:spacing w:after="0" w:line="240" w:lineRule="auto"/>
        <w:jc w:val="both"/>
        <w:rPr>
          <w:rFonts w:ascii="Verdana" w:eastAsia="Calibri" w:hAnsi="Verdana" w:cs="Times New Roman"/>
          <w:sz w:val="20"/>
          <w:szCs w:val="20"/>
          <w:lang w:val="es-ES"/>
        </w:rPr>
      </w:pPr>
    </w:p>
    <w:p w14:paraId="41972B77" w14:textId="77777777" w:rsidR="008F50DF" w:rsidRPr="008F50DF" w:rsidRDefault="008F50DF" w:rsidP="008F50DF">
      <w:pPr>
        <w:widowControl w:val="0"/>
        <w:autoSpaceDE w:val="0"/>
        <w:autoSpaceDN w:val="0"/>
        <w:spacing w:after="0" w:line="240" w:lineRule="auto"/>
        <w:jc w:val="both"/>
        <w:rPr>
          <w:rFonts w:ascii="Verdana" w:eastAsia="Calibri" w:hAnsi="Verdana" w:cs="Times New Roman"/>
          <w:sz w:val="20"/>
          <w:szCs w:val="20"/>
          <w:lang w:val="es-ES"/>
        </w:rPr>
      </w:pPr>
      <w:r w:rsidRPr="008F50DF">
        <w:rPr>
          <w:rFonts w:ascii="Verdana" w:eastAsia="Calibri" w:hAnsi="Verdana" w:cs="Times New Roman"/>
          <w:sz w:val="20"/>
          <w:szCs w:val="20"/>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5F6B4959" w14:textId="77777777" w:rsidR="008F50DF" w:rsidRPr="008F50DF" w:rsidRDefault="008F50DF" w:rsidP="008F50DF">
      <w:pPr>
        <w:widowControl w:val="0"/>
        <w:autoSpaceDE w:val="0"/>
        <w:autoSpaceDN w:val="0"/>
        <w:spacing w:after="0" w:line="240" w:lineRule="auto"/>
        <w:jc w:val="both"/>
        <w:rPr>
          <w:rFonts w:ascii="Verdana" w:eastAsia="Calibri" w:hAnsi="Verdana" w:cs="Times New Roman"/>
          <w:sz w:val="20"/>
          <w:szCs w:val="20"/>
          <w:lang w:val="es-ES"/>
        </w:rPr>
      </w:pPr>
    </w:p>
    <w:p w14:paraId="31E9C25C" w14:textId="77777777" w:rsidR="008F50DF" w:rsidRPr="008F50DF" w:rsidRDefault="008F50DF" w:rsidP="008F50DF">
      <w:pPr>
        <w:widowControl w:val="0"/>
        <w:autoSpaceDE w:val="0"/>
        <w:autoSpaceDN w:val="0"/>
        <w:spacing w:after="0" w:line="240" w:lineRule="auto"/>
        <w:jc w:val="both"/>
        <w:rPr>
          <w:rFonts w:ascii="Verdana" w:eastAsia="Calibri" w:hAnsi="Verdana" w:cs="Times New Roman"/>
          <w:b/>
          <w:bCs/>
          <w:lang w:val="es-ES"/>
        </w:rPr>
      </w:pPr>
      <w:r w:rsidRPr="008F50DF">
        <w:rPr>
          <w:rFonts w:ascii="Verdana" w:eastAsia="Calibri" w:hAnsi="Verdana" w:cs="Times New Roman"/>
          <w:b/>
          <w:bCs/>
          <w:lang w:val="es-ES"/>
        </w:rPr>
        <w:t>DOCUMENTOS TIPO – Sector educativo – Actividad – Suministro e instalación – Alcance</w:t>
      </w:r>
    </w:p>
    <w:p w14:paraId="6FD213E4" w14:textId="77777777" w:rsidR="008F50DF" w:rsidRPr="008F50DF" w:rsidRDefault="008F50DF" w:rsidP="008F50DF">
      <w:pPr>
        <w:widowControl w:val="0"/>
        <w:autoSpaceDE w:val="0"/>
        <w:autoSpaceDN w:val="0"/>
        <w:spacing w:after="0" w:line="240" w:lineRule="auto"/>
        <w:jc w:val="both"/>
        <w:rPr>
          <w:rFonts w:ascii="Verdana" w:eastAsia="Calibri" w:hAnsi="Verdana" w:cs="Times New Roman"/>
          <w:b/>
          <w:bCs/>
          <w:lang w:val="es-ES"/>
        </w:rPr>
      </w:pPr>
    </w:p>
    <w:p w14:paraId="6952152D" w14:textId="77777777" w:rsidR="008F50DF" w:rsidRPr="008F50DF" w:rsidRDefault="008F50DF" w:rsidP="008F50DF">
      <w:pPr>
        <w:spacing w:after="0" w:line="240" w:lineRule="auto"/>
        <w:jc w:val="both"/>
        <w:rPr>
          <w:rFonts w:ascii="Verdana" w:eastAsia="Times New Roman" w:hAnsi="Verdana" w:cs="Times New Roman"/>
          <w:color w:val="000000"/>
          <w:sz w:val="20"/>
          <w:szCs w:val="20"/>
          <w:lang w:eastAsia="es-CO"/>
        </w:rPr>
      </w:pPr>
      <w:r w:rsidRPr="008F50DF">
        <w:rPr>
          <w:rFonts w:ascii="Verdana" w:eastAsia="Calibri" w:hAnsi="Verdana" w:cs="Times New Roman"/>
          <w:sz w:val="20"/>
          <w:szCs w:val="20"/>
          <w:lang w:val="es-ES" w:eastAsia="es-MX"/>
        </w:rPr>
        <w:t xml:space="preserve">(…) </w:t>
      </w:r>
      <w:r w:rsidRPr="008F50DF">
        <w:rPr>
          <w:rFonts w:ascii="Verdana" w:eastAsia="Times New Roman" w:hAnsi="Verdana" w:cs="Times New Roman"/>
          <w:color w:val="000000"/>
          <w:sz w:val="20"/>
          <w:szCs w:val="20"/>
          <w:lang w:eastAsia="es-CO"/>
        </w:rPr>
        <w:t xml:space="preserve">en su solicitud usted indaga sobre la aplicación de las actividades 1.12, 1.14 y 1.16 contenidas en la Matriz 1 – Experiencia para un contrato que tiene por objeto la dotación </w:t>
      </w:r>
      <w:r w:rsidRPr="008F50DF">
        <w:rPr>
          <w:rFonts w:ascii="Verdana" w:eastAsia="Times New Roman" w:hAnsi="Verdana" w:cs="Times New Roman"/>
          <w:color w:val="000000"/>
          <w:sz w:val="20"/>
          <w:szCs w:val="20"/>
          <w:lang w:eastAsia="es-CO"/>
        </w:rPr>
        <w:lastRenderedPageBreak/>
        <w:t xml:space="preserve">de infraestructura educativa. De esta forma, resulta pertinente establecer el alcance de las actividades mencionadas para determinar si estas se enmarcan o no en el proyecto que pretende contratar la entidad. </w:t>
      </w:r>
    </w:p>
    <w:p w14:paraId="0D03493A" w14:textId="77777777" w:rsidR="008F50DF" w:rsidRPr="008F50DF" w:rsidRDefault="008F50DF" w:rsidP="008F50DF">
      <w:pPr>
        <w:spacing w:after="0" w:line="240" w:lineRule="auto"/>
        <w:jc w:val="both"/>
        <w:rPr>
          <w:rFonts w:ascii="Verdana" w:eastAsia="Times New Roman" w:hAnsi="Verdana" w:cs="Times New Roman"/>
          <w:color w:val="000000"/>
          <w:sz w:val="20"/>
          <w:szCs w:val="20"/>
          <w:lang w:eastAsia="es-CO"/>
        </w:rPr>
      </w:pPr>
    </w:p>
    <w:p w14:paraId="521CDC6F" w14:textId="77777777" w:rsidR="008F50DF" w:rsidRPr="008F50DF" w:rsidRDefault="008F50DF" w:rsidP="008F50DF">
      <w:pPr>
        <w:spacing w:after="0" w:line="240" w:lineRule="auto"/>
        <w:jc w:val="both"/>
        <w:rPr>
          <w:rFonts w:ascii="Verdana" w:eastAsia="Times New Roman" w:hAnsi="Verdana" w:cs="Times New Roman"/>
          <w:color w:val="000000"/>
          <w:sz w:val="20"/>
          <w:szCs w:val="20"/>
          <w:lang w:eastAsia="es-CO"/>
        </w:rPr>
      </w:pPr>
      <w:r w:rsidRPr="008F50DF">
        <w:rPr>
          <w:rFonts w:ascii="Verdana" w:eastAsia="Times New Roman" w:hAnsi="Verdana" w:cs="Times New Roman"/>
          <w:color w:val="000000"/>
          <w:sz w:val="20"/>
          <w:szCs w:val="20"/>
          <w:lang w:eastAsia="es-CO"/>
        </w:rPr>
        <w:t>(…)</w:t>
      </w:r>
    </w:p>
    <w:p w14:paraId="3841682A" w14:textId="77777777" w:rsidR="008F50DF" w:rsidRPr="008F50DF" w:rsidRDefault="008F50DF" w:rsidP="008F50DF">
      <w:pPr>
        <w:spacing w:after="0" w:line="240" w:lineRule="auto"/>
        <w:jc w:val="both"/>
        <w:rPr>
          <w:rFonts w:ascii="Verdana" w:eastAsia="Times New Roman" w:hAnsi="Verdana" w:cs="Times New Roman"/>
          <w:color w:val="000000"/>
          <w:sz w:val="20"/>
          <w:szCs w:val="20"/>
          <w:lang w:eastAsia="es-CO"/>
        </w:rPr>
      </w:pPr>
    </w:p>
    <w:p w14:paraId="4045E4EE" w14:textId="77777777" w:rsidR="008F50DF" w:rsidRPr="008F50DF" w:rsidRDefault="008F50DF" w:rsidP="008F50DF">
      <w:pPr>
        <w:spacing w:after="0" w:line="240" w:lineRule="auto"/>
        <w:jc w:val="both"/>
        <w:rPr>
          <w:rFonts w:ascii="Verdana" w:eastAsia="Aptos" w:hAnsi="Verdana" w:cs="Times New Roman"/>
          <w:kern w:val="2"/>
          <w:sz w:val="20"/>
          <w:szCs w:val="20"/>
          <w:lang w:eastAsia="es-CO"/>
          <w14:ligatures w14:val="standardContextual"/>
        </w:rPr>
      </w:pPr>
      <w:r w:rsidRPr="008F50DF">
        <w:rPr>
          <w:rFonts w:ascii="Verdana" w:eastAsia="Aptos" w:hAnsi="Verdana" w:cs="Times New Roman"/>
          <w:kern w:val="2"/>
          <w:sz w:val="20"/>
          <w:szCs w:val="20"/>
          <w:lang w:eastAsia="es-CO"/>
          <w14:ligatures w14:val="standardContextual"/>
        </w:rPr>
        <w:t xml:space="preserve">(…) las actividades indicadas aplican para los procesos que adelanten las entidades obligadas a utilizar los documentos tipo, cuando correspondan al </w:t>
      </w:r>
      <w:r w:rsidRPr="008F50DF">
        <w:rPr>
          <w:rFonts w:ascii="Verdana" w:eastAsia="Aptos" w:hAnsi="Verdana" w:cs="Times New Roman"/>
          <w:i/>
          <w:iCs/>
          <w:kern w:val="2"/>
          <w:sz w:val="20"/>
          <w:szCs w:val="20"/>
          <w:lang w:eastAsia="es-CO"/>
          <w14:ligatures w14:val="standardContextual"/>
        </w:rPr>
        <w:t>suministro e instalación</w:t>
      </w:r>
      <w:r w:rsidRPr="008F50DF">
        <w:rPr>
          <w:rFonts w:ascii="Verdana" w:eastAsia="Aptos" w:hAnsi="Verdana" w:cs="Times New Roman"/>
          <w:kern w:val="2"/>
          <w:sz w:val="20"/>
          <w:szCs w:val="20"/>
          <w:lang w:eastAsia="es-CO"/>
          <w14:ligatures w14:val="standardContextual"/>
        </w:rPr>
        <w:t xml:space="preserve"> de mobiliario interno o externo (1.12), sistemas de aire acondicionado, sistemas de ventilación o similares (1.14), y equipos especiales, electromecánicos y/o electrónicos, maquinarias u otros tipos de equipos (1.16) sobre infraestructura educativa.</w:t>
      </w:r>
    </w:p>
    <w:p w14:paraId="546C57D9" w14:textId="77777777" w:rsidR="008F50DF" w:rsidRPr="008F50DF" w:rsidRDefault="008F50DF" w:rsidP="008F50DF">
      <w:pPr>
        <w:spacing w:after="0" w:line="240" w:lineRule="auto"/>
        <w:jc w:val="both"/>
        <w:rPr>
          <w:rFonts w:ascii="Verdana" w:eastAsia="Aptos" w:hAnsi="Verdana" w:cs="Times New Roman"/>
          <w:kern w:val="2"/>
          <w:sz w:val="20"/>
          <w:szCs w:val="20"/>
          <w:lang w:eastAsia="es-CO"/>
          <w14:ligatures w14:val="standardContextual"/>
        </w:rPr>
      </w:pPr>
    </w:p>
    <w:p w14:paraId="5B73146B" w14:textId="77777777" w:rsidR="008F50DF" w:rsidRPr="008F50DF" w:rsidRDefault="008F50DF" w:rsidP="008F50DF">
      <w:pPr>
        <w:spacing w:after="0" w:line="240" w:lineRule="auto"/>
        <w:jc w:val="both"/>
        <w:rPr>
          <w:rFonts w:ascii="Verdana" w:eastAsia="Times New Roman" w:hAnsi="Verdana" w:cs="Times New Roman"/>
          <w:color w:val="000000"/>
          <w:sz w:val="20"/>
          <w:szCs w:val="20"/>
          <w:lang w:eastAsia="es-CO"/>
        </w:rPr>
      </w:pPr>
      <w:r w:rsidRPr="008F50DF">
        <w:rPr>
          <w:rFonts w:ascii="Verdana" w:eastAsia="Times New Roman" w:hAnsi="Verdana" w:cs="Times New Roman"/>
          <w:color w:val="000000"/>
          <w:sz w:val="20"/>
          <w:szCs w:val="20"/>
          <w:lang w:eastAsia="es-CO"/>
        </w:rPr>
        <w:t>De esta forma, la actividad de suministro está ligada a la actividad de instalación de los muebles mencionados que se encuentran en edificaciones que hacen parte de la infraestructura educativa. Así, por sí sola, la actividad de suministro no requiere la aplicación de los documentos tipo expedidos por esta Agencia en el sector educativo. Es decir que, si una entidad pretende adelantar un proceso que tenga por objeto el suministro de mobiliario interno o externo, el suministro de sistemas de aire acondicionado, sistemas de ventilación o similares, y el suministro de equipos especiales, electromecánicos y/o electrónicos, maquinarias u otros tipos de equipos sobre infraestructura educativa, no tendrá que aplicar los documentos tipo expedidos por esta Agencia en el sector educativo.</w:t>
      </w:r>
    </w:p>
    <w:p w14:paraId="68E33EFC" w14:textId="77777777" w:rsidR="008F50DF" w:rsidRPr="008F50DF" w:rsidRDefault="008F50DF" w:rsidP="008F50DF">
      <w:pPr>
        <w:widowControl w:val="0"/>
        <w:autoSpaceDE w:val="0"/>
        <w:autoSpaceDN w:val="0"/>
        <w:spacing w:after="0" w:line="240" w:lineRule="auto"/>
        <w:jc w:val="both"/>
        <w:rPr>
          <w:rFonts w:ascii="Verdana" w:eastAsia="Calibri" w:hAnsi="Verdana" w:cs="Times New Roman"/>
          <w:sz w:val="20"/>
          <w:szCs w:val="20"/>
          <w:highlight w:val="yellow"/>
          <w:lang w:val="es-ES"/>
        </w:rPr>
      </w:pPr>
    </w:p>
    <w:p w14:paraId="70F43BE3" w14:textId="77777777" w:rsidR="008F50DF" w:rsidRPr="008F50DF" w:rsidRDefault="008F50DF" w:rsidP="008F50DF">
      <w:pPr>
        <w:spacing w:after="0" w:line="240" w:lineRule="auto"/>
        <w:jc w:val="both"/>
        <w:rPr>
          <w:rFonts w:ascii="Verdana" w:eastAsia="Calibri" w:hAnsi="Verdana" w:cs="Arial"/>
          <w:b/>
          <w:bCs/>
          <w:color w:val="000000"/>
          <w:kern w:val="2"/>
          <w:lang w:val="es-ES_tradnl"/>
          <w14:ligatures w14:val="standardContextual"/>
        </w:rPr>
      </w:pPr>
      <w:r w:rsidRPr="008F50DF">
        <w:rPr>
          <w:rFonts w:ascii="Verdana" w:eastAsia="Calibri" w:hAnsi="Verdana" w:cs="Arial"/>
          <w:b/>
          <w:bCs/>
          <w:color w:val="000000"/>
          <w:kern w:val="2"/>
          <w:lang w:val="es-ES_tradnl"/>
          <w14:ligatures w14:val="standardContextual"/>
        </w:rPr>
        <w:t>INSTALACIÓN – Obra – Contrato mixto – Prestación principal</w:t>
      </w:r>
    </w:p>
    <w:p w14:paraId="64AA5458" w14:textId="77777777" w:rsidR="008F50DF" w:rsidRPr="008F50DF" w:rsidRDefault="008F50DF" w:rsidP="008F50DF">
      <w:pPr>
        <w:spacing w:after="0" w:line="240" w:lineRule="auto"/>
        <w:jc w:val="both"/>
        <w:rPr>
          <w:rFonts w:ascii="Verdana" w:eastAsia="Calibri" w:hAnsi="Verdana" w:cs="Arial"/>
          <w:b/>
          <w:bCs/>
          <w:color w:val="000000"/>
          <w:kern w:val="2"/>
          <w:sz w:val="20"/>
          <w:szCs w:val="20"/>
          <w:lang w:val="es-ES_tradnl"/>
          <w14:ligatures w14:val="standardContextual"/>
        </w:rPr>
      </w:pPr>
      <w:r w:rsidRPr="008F50DF">
        <w:rPr>
          <w:rFonts w:ascii="Verdana" w:eastAsia="Calibri" w:hAnsi="Verdana" w:cs="Arial"/>
          <w:b/>
          <w:bCs/>
          <w:color w:val="000000"/>
          <w:kern w:val="2"/>
          <w:sz w:val="20"/>
          <w:szCs w:val="20"/>
          <w:lang w:val="es-ES_tradnl"/>
          <w14:ligatures w14:val="standardContextual"/>
        </w:rPr>
        <w:t xml:space="preserve"> </w:t>
      </w:r>
    </w:p>
    <w:p w14:paraId="7572AEEC" w14:textId="77777777" w:rsidR="008F50DF" w:rsidRPr="008F50DF" w:rsidRDefault="008F50DF" w:rsidP="14E3E404">
      <w:pPr>
        <w:spacing w:after="0" w:line="240" w:lineRule="auto"/>
        <w:jc w:val="both"/>
        <w:rPr>
          <w:rFonts w:ascii="Verdana" w:eastAsia="Calibri" w:hAnsi="Verdana" w:cs="Arial"/>
          <w:color w:val="000000"/>
          <w:kern w:val="2"/>
          <w:sz w:val="20"/>
          <w:szCs w:val="20"/>
          <w:lang w:val="es-ES"/>
          <w14:ligatures w14:val="standardContextual"/>
        </w:rPr>
      </w:pPr>
      <w:r w:rsidRPr="14E3E404">
        <w:rPr>
          <w:rFonts w:ascii="Verdana" w:eastAsia="Calibri" w:hAnsi="Verdana" w:cs="Arial"/>
          <w:color w:val="000000"/>
          <w:kern w:val="2"/>
          <w:sz w:val="20"/>
          <w:szCs w:val="20"/>
          <w:lang w:val="es-ES"/>
          <w14:ligatures w14:val="standardContextual"/>
        </w:rPr>
        <w:t xml:space="preserve">La obligación de instalar un bien mueble en un inmueble –convirtiendo a aquel en un inmueble por adhesión o por destinación– </w:t>
      </w:r>
      <w:r w:rsidRPr="14E3E404">
        <w:rPr>
          <w:rFonts w:ascii="Verdana" w:eastAsia="Calibri" w:hAnsi="Verdana" w:cs="Arial"/>
          <w:i/>
          <w:iCs/>
          <w:color w:val="000000"/>
          <w:kern w:val="2"/>
          <w:sz w:val="20"/>
          <w:szCs w:val="20"/>
          <w:lang w:val="es-ES"/>
          <w14:ligatures w14:val="standardContextual"/>
        </w:rPr>
        <w:t>no</w:t>
      </w:r>
      <w:r w:rsidRPr="14E3E404">
        <w:rPr>
          <w:rFonts w:ascii="Verdana" w:eastAsia="Calibri" w:hAnsi="Verdana" w:cs="Arial"/>
          <w:color w:val="000000"/>
          <w:kern w:val="2"/>
          <w:sz w:val="20"/>
          <w:szCs w:val="20"/>
          <w:lang w:val="es-ES"/>
          <w14:ligatures w14:val="standardContextual"/>
        </w:rPr>
        <w:t xml:space="preserve"> es privativa del contrato de obra pública, pues puede estar presente también en un contrato de suministro, de compraventa o en un contrato mixto (atípico). Lo que determinará cuál es la tipología contractual o la existencia del contrato mixto será la valoración de los siguientes elementos: i) la definición de cuál es la prestación principal del contrato –para lo cual un criterio puede ser cuál es la prestación que tiene el mayor valor–, </w:t>
      </w:r>
      <w:proofErr w:type="spellStart"/>
      <w:r w:rsidRPr="14E3E404">
        <w:rPr>
          <w:rFonts w:ascii="Verdana" w:eastAsia="Calibri" w:hAnsi="Verdana" w:cs="Arial"/>
          <w:color w:val="000000"/>
          <w:kern w:val="2"/>
          <w:sz w:val="20"/>
          <w:szCs w:val="20"/>
          <w:lang w:val="es-ES"/>
          <w14:ligatures w14:val="standardContextual"/>
        </w:rPr>
        <w:t>ii</w:t>
      </w:r>
      <w:proofErr w:type="spellEnd"/>
      <w:r w:rsidRPr="14E3E404">
        <w:rPr>
          <w:rFonts w:ascii="Verdana" w:eastAsia="Calibri" w:hAnsi="Verdana" w:cs="Arial"/>
          <w:color w:val="000000"/>
          <w:kern w:val="2"/>
          <w:sz w:val="20"/>
          <w:szCs w:val="20"/>
          <w:lang w:val="es-ES"/>
          <w14:ligatures w14:val="standardContextual"/>
        </w:rPr>
        <w:t xml:space="preserve">) la finalidad de las partes y </w:t>
      </w:r>
      <w:proofErr w:type="spellStart"/>
      <w:r w:rsidRPr="14E3E404">
        <w:rPr>
          <w:rFonts w:ascii="Verdana" w:eastAsia="Calibri" w:hAnsi="Verdana" w:cs="Arial"/>
          <w:color w:val="000000"/>
          <w:kern w:val="2"/>
          <w:sz w:val="20"/>
          <w:szCs w:val="20"/>
          <w:lang w:val="es-ES"/>
          <w14:ligatures w14:val="standardContextual"/>
        </w:rPr>
        <w:t>iii</w:t>
      </w:r>
      <w:proofErr w:type="spellEnd"/>
      <w:r w:rsidRPr="14E3E404">
        <w:rPr>
          <w:rFonts w:ascii="Verdana" w:eastAsia="Calibri" w:hAnsi="Verdana" w:cs="Arial"/>
          <w:color w:val="000000"/>
          <w:kern w:val="2"/>
          <w:sz w:val="20"/>
          <w:szCs w:val="20"/>
          <w:lang w:val="es-ES"/>
          <w14:ligatures w14:val="standardContextual"/>
        </w:rPr>
        <w:t>) si se trata de prestaciones mixtas, “que las prestaciones correspondientes que pretendan fusionarse se encuentren directamente vinculadas entre sí, de tal manera que mantengan relaciones de complemento y que permitan predicar su tratamiento solo como una unidad funcional dirigida a la satisfacción de la necesidad de la entidad”. Este es un análisis que, por tanto, debe realizarse en cada caso, considerando los datos técnicos y económicos del objeto contractual.</w:t>
      </w:r>
    </w:p>
    <w:p w14:paraId="4BAD96B5" w14:textId="77777777" w:rsidR="008F50DF" w:rsidRPr="008F50DF" w:rsidRDefault="008F50DF" w:rsidP="008F50DF">
      <w:pPr>
        <w:spacing w:after="0" w:line="240" w:lineRule="auto"/>
        <w:jc w:val="both"/>
        <w:rPr>
          <w:rFonts w:ascii="Verdana" w:eastAsia="Calibri" w:hAnsi="Verdana" w:cs="Arial"/>
          <w:color w:val="000000"/>
          <w:kern w:val="2"/>
          <w:sz w:val="20"/>
          <w:szCs w:val="20"/>
          <w:lang w:val="es-ES_tradnl"/>
          <w14:ligatures w14:val="standardContextual"/>
        </w:rPr>
      </w:pPr>
    </w:p>
    <w:p w14:paraId="5D7B8B13" w14:textId="77777777" w:rsidR="008F50DF" w:rsidRPr="008F50DF" w:rsidRDefault="008F50DF" w:rsidP="008F50DF">
      <w:pPr>
        <w:spacing w:after="0" w:line="240" w:lineRule="auto"/>
        <w:jc w:val="both"/>
        <w:rPr>
          <w:rFonts w:ascii="Verdana" w:eastAsia="Calibri" w:hAnsi="Verdana" w:cs="Arial"/>
          <w:b/>
          <w:bCs/>
          <w:color w:val="000000"/>
          <w:kern w:val="2"/>
          <w:lang w:val="es-ES_tradnl"/>
          <w14:ligatures w14:val="standardContextual"/>
        </w:rPr>
      </w:pPr>
      <w:r w:rsidRPr="008F50DF">
        <w:rPr>
          <w:rFonts w:ascii="Verdana" w:eastAsia="Calibri" w:hAnsi="Verdana" w:cs="Arial"/>
          <w:b/>
          <w:bCs/>
          <w:color w:val="000000"/>
          <w:kern w:val="2"/>
          <w:lang w:val="es-ES_tradnl"/>
          <w14:ligatures w14:val="standardContextual"/>
        </w:rPr>
        <w:t>INSTALACIÓN – Obra – Aplicación – Documentos tipo – Sector Educativo</w:t>
      </w:r>
    </w:p>
    <w:p w14:paraId="67933244" w14:textId="77777777" w:rsidR="008F50DF" w:rsidRPr="008F50DF" w:rsidRDefault="008F50DF" w:rsidP="008F50DF">
      <w:pPr>
        <w:spacing w:after="0" w:line="240" w:lineRule="auto"/>
        <w:jc w:val="both"/>
        <w:rPr>
          <w:rFonts w:ascii="Verdana" w:eastAsia="Calibri" w:hAnsi="Verdana" w:cs="Arial"/>
          <w:color w:val="000000"/>
          <w:kern w:val="2"/>
          <w:sz w:val="20"/>
          <w:szCs w:val="20"/>
          <w:lang w:val="es-ES_tradnl"/>
          <w14:ligatures w14:val="standardContextual"/>
        </w:rPr>
      </w:pPr>
    </w:p>
    <w:p w14:paraId="14FC36CB" w14:textId="77777777" w:rsidR="008F50DF" w:rsidRPr="008F50DF" w:rsidRDefault="008F50DF" w:rsidP="008F50DF">
      <w:pPr>
        <w:spacing w:after="0" w:line="240" w:lineRule="auto"/>
        <w:jc w:val="both"/>
        <w:rPr>
          <w:rFonts w:ascii="Verdana" w:eastAsia="Times New Roman" w:hAnsi="Verdana" w:cs="Times New Roman"/>
          <w:color w:val="000000"/>
          <w:sz w:val="20"/>
          <w:szCs w:val="20"/>
          <w:lang w:eastAsia="es-CO"/>
        </w:rPr>
      </w:pPr>
      <w:r w:rsidRPr="008F50DF">
        <w:rPr>
          <w:rFonts w:ascii="Verdana" w:eastAsia="Calibri" w:hAnsi="Verdana" w:cs="Arial"/>
          <w:sz w:val="20"/>
          <w:szCs w:val="20"/>
          <w:lang w:val="es-ES" w:eastAsia="es-ES_tradnl"/>
        </w:rPr>
        <w:t xml:space="preserve">En este contexto, </w:t>
      </w:r>
      <w:r w:rsidRPr="008F50DF">
        <w:rPr>
          <w:rFonts w:ascii="Verdana" w:eastAsia="Aptos" w:hAnsi="Verdana" w:cs="Arial"/>
          <w:kern w:val="2"/>
          <w:sz w:val="20"/>
          <w:szCs w:val="20"/>
          <w:lang w:eastAsia="es-ES_tradnl"/>
          <w14:ligatures w14:val="standardContextual"/>
        </w:rPr>
        <w:t xml:space="preserve">no es posible afirmar de manera categórica que el suministro e instalación de bienes muebles como </w:t>
      </w:r>
      <w:r w:rsidRPr="008F50DF">
        <w:rPr>
          <w:rFonts w:ascii="Verdana" w:eastAsia="Times New Roman" w:hAnsi="Verdana" w:cs="Times New Roman"/>
          <w:color w:val="000000"/>
          <w:sz w:val="20"/>
          <w:szCs w:val="20"/>
          <w:lang w:eastAsia="es-CO"/>
        </w:rPr>
        <w:t xml:space="preserve">mobiliario interno o externo, sistemas de aires acondicionadas o sistemas de ventilación o similar, y equipos especiales o electromecánicos y/o electrónicos y/o maquinarias u otros tipos de equipos sobre </w:t>
      </w:r>
      <w:r w:rsidRPr="008F50DF">
        <w:rPr>
          <w:rFonts w:ascii="Verdana" w:eastAsia="Aptos" w:hAnsi="Verdana" w:cs="Arial"/>
          <w:kern w:val="2"/>
          <w:sz w:val="20"/>
          <w:szCs w:val="20"/>
          <w:lang w:eastAsia="es-ES_tradnl"/>
          <w14:ligatures w14:val="standardContextual"/>
        </w:rPr>
        <w:t xml:space="preserve">un </w:t>
      </w:r>
      <w:r w:rsidRPr="008F50DF">
        <w:rPr>
          <w:rFonts w:ascii="Verdana" w:eastAsia="Aptos" w:hAnsi="Verdana" w:cs="Arial"/>
          <w:kern w:val="2"/>
          <w:sz w:val="20"/>
          <w:szCs w:val="20"/>
          <w:lang w:eastAsia="es-ES_tradnl"/>
          <w14:ligatures w14:val="standardContextual"/>
        </w:rPr>
        <w:lastRenderedPageBreak/>
        <w:t xml:space="preserve">inmueble que tiene la categoría de infraestructura educativa deba clasificarse, en todos los casos, como un contrato de obra pública para efecto de la utilización de los Documentos Tipo </w:t>
      </w:r>
      <w:r w:rsidRPr="008F50DF">
        <w:rPr>
          <w:rFonts w:ascii="Verdana" w:eastAsia="Times New Roman" w:hAnsi="Verdana" w:cs="Times New Roman"/>
          <w:color w:val="000000"/>
          <w:sz w:val="20"/>
          <w:szCs w:val="20"/>
          <w:lang w:eastAsia="es-CO"/>
        </w:rPr>
        <w:t>del Sector Educativo</w:t>
      </w:r>
      <w:r w:rsidRPr="008F50DF">
        <w:rPr>
          <w:rFonts w:ascii="Verdana" w:eastAsia="Aptos" w:hAnsi="Verdana" w:cs="Arial"/>
          <w:kern w:val="2"/>
          <w:sz w:val="20"/>
          <w:szCs w:val="20"/>
          <w:lang w:eastAsia="es-ES_tradnl"/>
          <w14:ligatures w14:val="standardContextual"/>
        </w:rPr>
        <w:t xml:space="preserve">. Para establecer la naturaleza jurídica de este tipo de contratos, la entidad estatal debe analizar las circunstancias particulares de cada caso y considerar los criterios que permitan identificar la prestación principal, la finalidad de las partes y la relación de conexidad de las prestaciones.  </w:t>
      </w:r>
    </w:p>
    <w:p w14:paraId="2ACEC64A" w14:textId="77777777" w:rsidR="008F50DF" w:rsidRPr="008F50DF" w:rsidRDefault="008F50DF" w:rsidP="008F50DF">
      <w:pPr>
        <w:spacing w:after="0" w:line="240" w:lineRule="auto"/>
        <w:jc w:val="both"/>
        <w:rPr>
          <w:rFonts w:ascii="Verdana" w:eastAsia="Calibri" w:hAnsi="Verdana" w:cs="Arial"/>
          <w:sz w:val="20"/>
          <w:szCs w:val="20"/>
          <w:lang w:eastAsia="es-ES_tradnl"/>
        </w:rPr>
      </w:pPr>
    </w:p>
    <w:p w14:paraId="5999D5BB" w14:textId="77777777" w:rsidR="008F50DF" w:rsidRPr="008F50DF" w:rsidRDefault="008F50DF" w:rsidP="008F50DF">
      <w:pPr>
        <w:spacing w:after="0" w:line="240" w:lineRule="auto"/>
        <w:jc w:val="both"/>
        <w:rPr>
          <w:rFonts w:ascii="Verdana" w:eastAsia="Calibri" w:hAnsi="Verdana" w:cs="Arial"/>
          <w:sz w:val="20"/>
          <w:szCs w:val="20"/>
          <w:lang w:eastAsia="es-ES_tradnl"/>
        </w:rPr>
      </w:pPr>
      <w:r w:rsidRPr="008F50DF">
        <w:rPr>
          <w:rFonts w:ascii="Verdana" w:eastAsia="Calibri" w:hAnsi="Verdana" w:cs="Arial"/>
          <w:sz w:val="20"/>
          <w:szCs w:val="20"/>
          <w:lang w:eastAsia="es-ES_tradnl"/>
        </w:rPr>
        <w:t>(…)</w:t>
      </w:r>
    </w:p>
    <w:p w14:paraId="7DA94065" w14:textId="77777777" w:rsidR="008F50DF" w:rsidRPr="008F50DF" w:rsidRDefault="008F50DF" w:rsidP="008F50DF">
      <w:pPr>
        <w:spacing w:after="0" w:line="240" w:lineRule="auto"/>
        <w:jc w:val="both"/>
        <w:rPr>
          <w:rFonts w:ascii="Verdana" w:eastAsia="Calibri" w:hAnsi="Verdana" w:cs="Arial"/>
          <w:sz w:val="20"/>
          <w:szCs w:val="20"/>
          <w:lang w:eastAsia="es-ES_tradnl"/>
        </w:rPr>
      </w:pPr>
    </w:p>
    <w:p w14:paraId="61185E3F" w14:textId="77777777" w:rsidR="008F50DF" w:rsidRPr="008F50DF" w:rsidRDefault="008F50DF" w:rsidP="008F50DF">
      <w:pPr>
        <w:spacing w:after="0" w:line="240" w:lineRule="auto"/>
        <w:jc w:val="both"/>
        <w:rPr>
          <w:rFonts w:ascii="Verdana" w:eastAsia="Calibri" w:hAnsi="Verdana" w:cs="Arial"/>
          <w:sz w:val="20"/>
          <w:szCs w:val="20"/>
          <w:lang w:eastAsia="es-ES_tradnl"/>
        </w:rPr>
      </w:pPr>
      <w:r w:rsidRPr="008F50DF">
        <w:rPr>
          <w:rFonts w:ascii="Verdana" w:eastAsia="Calibri" w:hAnsi="Verdana" w:cs="Arial"/>
          <w:sz w:val="20"/>
          <w:szCs w:val="20"/>
          <w:lang w:eastAsia="es-ES_tradnl"/>
        </w:rPr>
        <w:t>A modo de ilustración, si la instalación de equipos exige intervenciones intramurales que afecten paredes, redes eléctricas, sistemas hidráulicos o elementos estructurales del inmueble, podría sostenerse que la naturaleza del contrato es la de obra, ya que la actividad principal consiste en transformar y adecuar el inmueble para permitir el funcionamiento adecuado de los bienes instalados. En estos casos, el criterio determinante no es únicamente el componente presupuestal, sino la finalidad del contrato y el grado de intervención en el inmueble.</w:t>
      </w:r>
    </w:p>
    <w:p w14:paraId="7EE484F4" w14:textId="77777777" w:rsidR="008F50DF" w:rsidRPr="008F50DF" w:rsidRDefault="008F50DF" w:rsidP="008F50DF">
      <w:pPr>
        <w:widowControl w:val="0"/>
        <w:autoSpaceDE w:val="0"/>
        <w:autoSpaceDN w:val="0"/>
        <w:spacing w:after="0" w:line="240" w:lineRule="auto"/>
        <w:jc w:val="both"/>
        <w:rPr>
          <w:rFonts w:ascii="Verdana" w:eastAsia="Calibri" w:hAnsi="Verdana" w:cs="Times New Roman"/>
          <w:b/>
          <w:bCs/>
          <w:lang w:val="es-ES"/>
        </w:rPr>
      </w:pPr>
    </w:p>
    <w:p w14:paraId="1FCD7E54" w14:textId="77777777" w:rsidR="008F50DF" w:rsidRPr="008F50DF" w:rsidRDefault="008F50DF" w:rsidP="008F50DF">
      <w:pPr>
        <w:spacing w:after="0" w:line="240" w:lineRule="auto"/>
        <w:jc w:val="both"/>
        <w:rPr>
          <w:rFonts w:ascii="Verdana" w:eastAsia="Calibri" w:hAnsi="Verdana" w:cs="Arial"/>
          <w:color w:val="000000"/>
          <w:kern w:val="2"/>
          <w:sz w:val="20"/>
          <w:szCs w:val="20"/>
          <w:lang w:val="es-ES_tradnl"/>
          <w14:ligatures w14:val="standardContextual"/>
        </w:rPr>
      </w:pPr>
    </w:p>
    <w:p w14:paraId="29740F65" w14:textId="77777777" w:rsidR="008F50DF" w:rsidRPr="008F50DF" w:rsidRDefault="008F50DF" w:rsidP="008F50DF">
      <w:pPr>
        <w:spacing w:line="278" w:lineRule="auto"/>
        <w:jc w:val="both"/>
        <w:rPr>
          <w:rFonts w:ascii="Arial" w:eastAsia="Calibri" w:hAnsi="Arial" w:cs="Arial"/>
          <w:color w:val="000000"/>
          <w:kern w:val="2"/>
          <w:sz w:val="20"/>
          <w:szCs w:val="20"/>
          <w:lang w:val="es-ES_tradnl"/>
          <w14:ligatures w14:val="standardContextual"/>
        </w:rPr>
      </w:pPr>
    </w:p>
    <w:p w14:paraId="647F55FA" w14:textId="77777777" w:rsidR="008F50DF" w:rsidRPr="008F50DF" w:rsidRDefault="008F50DF" w:rsidP="008F50DF">
      <w:pPr>
        <w:spacing w:after="0" w:line="240" w:lineRule="auto"/>
        <w:rPr>
          <w:rFonts w:ascii="Verdana" w:eastAsia="Geomanist Light" w:hAnsi="Verdana" w:cs="Arial"/>
          <w:color w:val="000000"/>
          <w:kern w:val="2"/>
          <w:sz w:val="24"/>
          <w:szCs w:val="24"/>
          <w14:ligatures w14:val="standardContextual"/>
        </w:rPr>
      </w:pPr>
    </w:p>
    <w:p w14:paraId="0412522F" w14:textId="77777777" w:rsidR="008F50DF" w:rsidRPr="008F50DF" w:rsidRDefault="008F50DF" w:rsidP="008F50DF">
      <w:pPr>
        <w:spacing w:after="0" w:line="240" w:lineRule="auto"/>
        <w:rPr>
          <w:rFonts w:ascii="Verdana" w:eastAsia="Geomanist Light" w:hAnsi="Verdana" w:cs="Arial"/>
          <w:color w:val="000000"/>
          <w:kern w:val="2"/>
          <w:sz w:val="24"/>
          <w:szCs w:val="24"/>
          <w14:ligatures w14:val="standardContextual"/>
        </w:rPr>
      </w:pPr>
    </w:p>
    <w:p w14:paraId="4DE779F0" w14:textId="77777777" w:rsidR="008F50DF" w:rsidRPr="008F50DF" w:rsidRDefault="008F50DF" w:rsidP="008F50DF">
      <w:pPr>
        <w:spacing w:after="0" w:line="240" w:lineRule="auto"/>
        <w:rPr>
          <w:rFonts w:ascii="Verdana" w:eastAsia="Geomanist Light" w:hAnsi="Verdana" w:cs="Arial"/>
          <w:color w:val="000000"/>
          <w:kern w:val="2"/>
          <w:sz w:val="24"/>
          <w:szCs w:val="24"/>
          <w14:ligatures w14:val="standardContextual"/>
        </w:rPr>
      </w:pPr>
    </w:p>
    <w:p w14:paraId="443DD41D" w14:textId="77777777" w:rsidR="008F50DF" w:rsidRPr="008F50DF" w:rsidRDefault="008F50DF" w:rsidP="008F50DF">
      <w:pPr>
        <w:spacing w:line="278" w:lineRule="auto"/>
        <w:jc w:val="both"/>
        <w:rPr>
          <w:rFonts w:ascii="Arial" w:eastAsia="Calibri" w:hAnsi="Arial" w:cs="Arial"/>
          <w:b/>
          <w:bCs/>
          <w:color w:val="000000"/>
          <w:kern w:val="2"/>
          <w:sz w:val="24"/>
          <w:szCs w:val="24"/>
          <w14:ligatures w14:val="standardContextual"/>
        </w:rPr>
      </w:pPr>
    </w:p>
    <w:p w14:paraId="12FF33E8" w14:textId="77777777" w:rsidR="008F50DF" w:rsidRPr="008F50DF" w:rsidRDefault="008F50DF" w:rsidP="008F50DF">
      <w:pPr>
        <w:spacing w:line="278" w:lineRule="auto"/>
        <w:jc w:val="both"/>
        <w:rPr>
          <w:rFonts w:ascii="Arial" w:eastAsia="Calibri" w:hAnsi="Arial" w:cs="Arial"/>
          <w:b/>
          <w:bCs/>
          <w:color w:val="000000"/>
          <w:kern w:val="2"/>
          <w:sz w:val="24"/>
          <w:szCs w:val="24"/>
          <w14:ligatures w14:val="standardContextual"/>
        </w:rPr>
      </w:pPr>
    </w:p>
    <w:p w14:paraId="6376F6D0" w14:textId="77777777" w:rsidR="008F50DF" w:rsidRPr="008F50DF" w:rsidRDefault="008F50DF" w:rsidP="008F50DF">
      <w:pPr>
        <w:spacing w:line="278" w:lineRule="auto"/>
        <w:jc w:val="both"/>
        <w:rPr>
          <w:rFonts w:ascii="Arial" w:eastAsia="Calibri" w:hAnsi="Arial" w:cs="Arial"/>
          <w:b/>
          <w:bCs/>
          <w:color w:val="000000"/>
          <w:kern w:val="2"/>
          <w:sz w:val="24"/>
          <w:szCs w:val="24"/>
          <w14:ligatures w14:val="standardContextual"/>
        </w:rPr>
      </w:pPr>
    </w:p>
    <w:p w14:paraId="65E777DB" w14:textId="77777777" w:rsidR="008F50DF" w:rsidRPr="008F50DF" w:rsidRDefault="008F50DF" w:rsidP="008F50DF">
      <w:pPr>
        <w:spacing w:line="278" w:lineRule="auto"/>
        <w:jc w:val="both"/>
        <w:rPr>
          <w:rFonts w:ascii="Arial" w:eastAsia="Calibri" w:hAnsi="Arial" w:cs="Arial"/>
          <w:b/>
          <w:bCs/>
          <w:color w:val="000000"/>
          <w:kern w:val="2"/>
          <w:sz w:val="24"/>
          <w:szCs w:val="24"/>
          <w14:ligatures w14:val="standardContextual"/>
        </w:rPr>
      </w:pPr>
    </w:p>
    <w:p w14:paraId="7BEDF4C8" w14:textId="77777777" w:rsidR="008F50DF" w:rsidRPr="008F50DF" w:rsidRDefault="008F50DF" w:rsidP="008F50DF">
      <w:pPr>
        <w:spacing w:line="278" w:lineRule="auto"/>
        <w:jc w:val="both"/>
        <w:rPr>
          <w:rFonts w:ascii="Arial" w:eastAsia="Calibri" w:hAnsi="Arial" w:cs="Arial"/>
          <w:b/>
          <w:bCs/>
          <w:color w:val="000000"/>
          <w:kern w:val="2"/>
          <w:sz w:val="24"/>
          <w:szCs w:val="24"/>
          <w14:ligatures w14:val="standardContextual"/>
        </w:rPr>
      </w:pPr>
    </w:p>
    <w:p w14:paraId="72D48FE5" w14:textId="77777777" w:rsidR="008F50DF" w:rsidRDefault="008F50DF" w:rsidP="008F50DF">
      <w:pPr>
        <w:spacing w:line="278" w:lineRule="auto"/>
        <w:jc w:val="both"/>
        <w:rPr>
          <w:rFonts w:ascii="Arial" w:eastAsia="Calibri" w:hAnsi="Arial" w:cs="Arial"/>
          <w:b/>
          <w:bCs/>
          <w:color w:val="000000"/>
          <w:kern w:val="2"/>
          <w:sz w:val="24"/>
          <w:szCs w:val="24"/>
          <w14:ligatures w14:val="standardContextual"/>
        </w:rPr>
      </w:pPr>
    </w:p>
    <w:p w14:paraId="24D49982" w14:textId="77777777" w:rsidR="00E620F1" w:rsidRDefault="00E620F1" w:rsidP="008F50DF">
      <w:pPr>
        <w:spacing w:line="278" w:lineRule="auto"/>
        <w:jc w:val="both"/>
        <w:rPr>
          <w:rFonts w:ascii="Arial" w:eastAsia="Calibri" w:hAnsi="Arial" w:cs="Arial"/>
          <w:b/>
          <w:bCs/>
          <w:color w:val="000000"/>
          <w:kern w:val="2"/>
          <w:sz w:val="24"/>
          <w:szCs w:val="24"/>
          <w14:ligatures w14:val="standardContextual"/>
        </w:rPr>
      </w:pPr>
    </w:p>
    <w:p w14:paraId="4506311F" w14:textId="77777777" w:rsidR="00E620F1" w:rsidRDefault="00E620F1" w:rsidP="008F50DF">
      <w:pPr>
        <w:spacing w:line="278" w:lineRule="auto"/>
        <w:jc w:val="both"/>
        <w:rPr>
          <w:rFonts w:ascii="Arial" w:eastAsia="Calibri" w:hAnsi="Arial" w:cs="Arial"/>
          <w:b/>
          <w:bCs/>
          <w:color w:val="000000"/>
          <w:kern w:val="2"/>
          <w:sz w:val="24"/>
          <w:szCs w:val="24"/>
          <w14:ligatures w14:val="standardContextual"/>
        </w:rPr>
      </w:pPr>
    </w:p>
    <w:p w14:paraId="5BD3B8AD" w14:textId="77777777" w:rsidR="00E620F1" w:rsidRPr="008F50DF" w:rsidRDefault="00E620F1" w:rsidP="008F50DF">
      <w:pPr>
        <w:spacing w:line="278" w:lineRule="auto"/>
        <w:jc w:val="both"/>
        <w:rPr>
          <w:rFonts w:ascii="Arial" w:eastAsia="Calibri" w:hAnsi="Arial" w:cs="Arial"/>
          <w:b/>
          <w:bCs/>
          <w:color w:val="000000"/>
          <w:kern w:val="2"/>
          <w:sz w:val="24"/>
          <w:szCs w:val="24"/>
          <w14:ligatures w14:val="standardContextual"/>
        </w:rPr>
      </w:pPr>
    </w:p>
    <w:p w14:paraId="5FA12C1E" w14:textId="77777777" w:rsidR="008F50DF" w:rsidRPr="008F50DF" w:rsidRDefault="008F50DF" w:rsidP="008F50DF">
      <w:pPr>
        <w:spacing w:line="278" w:lineRule="auto"/>
        <w:jc w:val="both"/>
        <w:rPr>
          <w:rFonts w:ascii="Arial" w:eastAsia="Calibri" w:hAnsi="Arial" w:cs="Arial"/>
          <w:b/>
          <w:bCs/>
          <w:color w:val="000000"/>
          <w:kern w:val="2"/>
          <w:sz w:val="24"/>
          <w:szCs w:val="24"/>
          <w14:ligatures w14:val="standardContextual"/>
        </w:rPr>
      </w:pPr>
    </w:p>
    <w:p w14:paraId="45265257" w14:textId="77777777" w:rsidR="008F50DF" w:rsidRPr="008F50DF" w:rsidRDefault="008F50DF" w:rsidP="008F50DF">
      <w:pPr>
        <w:spacing w:line="278" w:lineRule="auto"/>
        <w:jc w:val="both"/>
        <w:rPr>
          <w:rFonts w:ascii="Arial" w:eastAsia="Calibri" w:hAnsi="Arial" w:cs="Arial"/>
          <w:b/>
          <w:bCs/>
          <w:color w:val="000000"/>
          <w:kern w:val="2"/>
          <w:sz w:val="24"/>
          <w:szCs w:val="24"/>
          <w14:ligatures w14:val="standardContextual"/>
        </w:rPr>
      </w:pPr>
    </w:p>
    <w:p w14:paraId="5ABC9C30" w14:textId="78709E94" w:rsidR="008F50DF" w:rsidRDefault="008F50DF" w:rsidP="008F50DF">
      <w:pPr>
        <w:spacing w:after="0" w:line="240" w:lineRule="auto"/>
        <w:rPr>
          <w:rFonts w:ascii="Verdana" w:eastAsia="Aptos" w:hAnsi="Verdana" w:cs="Times New Roman"/>
          <w:kern w:val="2"/>
          <w:sz w:val="24"/>
          <w:szCs w:val="24"/>
          <w14:ligatures w14:val="standardContextual"/>
        </w:rPr>
      </w:pPr>
      <w:r w:rsidRPr="008F50DF">
        <w:rPr>
          <w:rFonts w:ascii="Verdana" w:eastAsia="Aptos" w:hAnsi="Verdana" w:cs="Times New Roman"/>
          <w:kern w:val="2"/>
          <w:sz w:val="24"/>
          <w:szCs w:val="24"/>
          <w14:ligatures w14:val="standardContextual"/>
        </w:rPr>
        <w:lastRenderedPageBreak/>
        <w:t xml:space="preserve">Bogotá D.C., </w:t>
      </w:r>
      <w:r w:rsidR="007A37E1">
        <w:rPr>
          <w:rFonts w:ascii="Verdana" w:eastAsia="Aptos" w:hAnsi="Verdana" w:cs="Times New Roman"/>
          <w:kern w:val="2"/>
          <w:sz w:val="24"/>
          <w:szCs w:val="24"/>
          <w14:ligatures w14:val="standardContextual"/>
        </w:rPr>
        <w:t>08 de abril de 2026</w:t>
      </w:r>
    </w:p>
    <w:p w14:paraId="44357FCF" w14:textId="77777777" w:rsidR="007A37E1" w:rsidRDefault="007A37E1" w:rsidP="008F50DF">
      <w:pPr>
        <w:spacing w:after="0" w:line="240" w:lineRule="auto"/>
        <w:rPr>
          <w:rFonts w:ascii="Verdana" w:eastAsia="Aptos" w:hAnsi="Verdana" w:cs="Times New Roman"/>
          <w:kern w:val="2"/>
          <w:sz w:val="24"/>
          <w:szCs w:val="24"/>
          <w14:ligatures w14:val="standardContextual"/>
        </w:rPr>
      </w:pPr>
    </w:p>
    <w:p w14:paraId="4C321BEA" w14:textId="3F7A1C86" w:rsidR="007A37E1" w:rsidRPr="008F50DF" w:rsidRDefault="007A37E1" w:rsidP="007A37E1">
      <w:pPr>
        <w:spacing w:after="0" w:line="240" w:lineRule="auto"/>
        <w:jc w:val="right"/>
        <w:rPr>
          <w:rFonts w:ascii="Verdana" w:eastAsia="Aptos" w:hAnsi="Verdana" w:cs="Times New Roman"/>
          <w:kern w:val="2"/>
          <w:sz w:val="24"/>
          <w:szCs w:val="24"/>
          <w14:ligatures w14:val="standardContextual"/>
        </w:rPr>
      </w:pPr>
    </w:p>
    <w:p w14:paraId="10C0D70D" w14:textId="4B794198" w:rsidR="008F50DF" w:rsidRPr="008F50DF" w:rsidRDefault="008F50DF" w:rsidP="008F50DF">
      <w:pPr>
        <w:spacing w:after="0" w:line="240" w:lineRule="auto"/>
        <w:rPr>
          <w:rFonts w:ascii="Verdana" w:eastAsia="Calibri" w:hAnsi="Verdana" w:cs="Arial"/>
          <w:lang w:val="es-ES" w:eastAsia="es-ES"/>
        </w:rPr>
      </w:pPr>
    </w:p>
    <w:p w14:paraId="5106B9A1" w14:textId="4AA51CC4" w:rsidR="008F50DF" w:rsidRPr="008F50DF" w:rsidRDefault="00F62DFB" w:rsidP="008F50DF">
      <w:pPr>
        <w:spacing w:after="0" w:line="240" w:lineRule="auto"/>
        <w:rPr>
          <w:rFonts w:ascii="Verdana" w:eastAsia="Calibri" w:hAnsi="Verdana" w:cs="Arial"/>
          <w:lang w:val="es-ES" w:eastAsia="es-ES"/>
        </w:rPr>
      </w:pPr>
      <w:r w:rsidRPr="007A37E1">
        <w:rPr>
          <w:rFonts w:ascii="Verdana" w:eastAsia="Aptos" w:hAnsi="Verdana" w:cs="Times New Roman"/>
          <w:noProof/>
          <w:kern w:val="2"/>
          <w:sz w:val="24"/>
          <w:szCs w:val="24"/>
          <w14:ligatures w14:val="standardContextual"/>
        </w:rPr>
        <w:drawing>
          <wp:anchor distT="0" distB="0" distL="114300" distR="114300" simplePos="0" relativeHeight="251658240" behindDoc="0" locked="0" layoutInCell="1" allowOverlap="1" wp14:anchorId="6A905021" wp14:editId="5B112AC9">
            <wp:simplePos x="0" y="0"/>
            <wp:positionH relativeFrom="margin">
              <wp:posOffset>2847340</wp:posOffset>
            </wp:positionH>
            <wp:positionV relativeFrom="paragraph">
              <wp:posOffset>7620</wp:posOffset>
            </wp:positionV>
            <wp:extent cx="2760980" cy="818515"/>
            <wp:effectExtent l="0" t="0" r="1270" b="635"/>
            <wp:wrapSquare wrapText="bothSides"/>
            <wp:docPr id="3858706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870670" name=""/>
                    <pic:cNvPicPr/>
                  </pic:nvPicPr>
                  <pic:blipFill>
                    <a:blip r:embed="rId10">
                      <a:extLst>
                        <a:ext uri="{28A0092B-C50C-407E-A947-70E740481C1C}">
                          <a14:useLocalDpi xmlns:a14="http://schemas.microsoft.com/office/drawing/2010/main" val="0"/>
                        </a:ext>
                      </a:extLst>
                    </a:blip>
                    <a:stretch>
                      <a:fillRect/>
                    </a:stretch>
                  </pic:blipFill>
                  <pic:spPr>
                    <a:xfrm>
                      <a:off x="0" y="0"/>
                      <a:ext cx="2760980" cy="818515"/>
                    </a:xfrm>
                    <a:prstGeom prst="rect">
                      <a:avLst/>
                    </a:prstGeom>
                  </pic:spPr>
                </pic:pic>
              </a:graphicData>
            </a:graphic>
            <wp14:sizeRelH relativeFrom="margin">
              <wp14:pctWidth>0</wp14:pctWidth>
            </wp14:sizeRelH>
            <wp14:sizeRelV relativeFrom="margin">
              <wp14:pctHeight>0</wp14:pctHeight>
            </wp14:sizeRelV>
          </wp:anchor>
        </w:drawing>
      </w:r>
      <w:r w:rsidR="008F50DF" w:rsidRPr="008F50DF">
        <w:rPr>
          <w:rFonts w:ascii="Verdana" w:eastAsia="Calibri" w:hAnsi="Verdana" w:cs="Arial"/>
          <w:lang w:val="es-ES" w:eastAsia="es-ES"/>
        </w:rPr>
        <w:t>Señora</w:t>
      </w:r>
    </w:p>
    <w:p w14:paraId="0A0C4044" w14:textId="77777777" w:rsidR="008F50DF" w:rsidRPr="008F50DF" w:rsidRDefault="008F50DF" w:rsidP="008F50DF">
      <w:pPr>
        <w:spacing w:after="0" w:line="240" w:lineRule="auto"/>
        <w:rPr>
          <w:rFonts w:ascii="Verdana" w:eastAsia="Aptos" w:hAnsi="Verdana" w:cs="Times New Roman"/>
          <w:b/>
          <w:bCs/>
          <w:kern w:val="2"/>
          <w14:ligatures w14:val="standardContextual"/>
        </w:rPr>
      </w:pPr>
      <w:r w:rsidRPr="008F50DF">
        <w:rPr>
          <w:rFonts w:ascii="Verdana" w:eastAsia="Aptos" w:hAnsi="Verdana" w:cs="Times New Roman"/>
          <w:b/>
          <w:bCs/>
          <w:kern w:val="2"/>
          <w14:ligatures w14:val="standardContextual"/>
        </w:rPr>
        <w:t>Anyeli Jaramillo Soto</w:t>
      </w:r>
    </w:p>
    <w:p w14:paraId="130A1DF6" w14:textId="77777777" w:rsidR="008F50DF" w:rsidRPr="008F50DF" w:rsidRDefault="008F50DF" w:rsidP="008F50DF">
      <w:pPr>
        <w:spacing w:after="0" w:line="240" w:lineRule="auto"/>
        <w:rPr>
          <w:rFonts w:ascii="Verdana" w:eastAsia="Aptos" w:hAnsi="Verdana" w:cs="Times New Roman"/>
          <w:lang w:eastAsia="es-ES_tradnl"/>
        </w:rPr>
      </w:pPr>
      <w:r w:rsidRPr="008F50DF">
        <w:rPr>
          <w:rFonts w:ascii="Verdana" w:eastAsia="Aptos" w:hAnsi="Verdana" w:cs="Times New Roman"/>
          <w:lang w:eastAsia="es-ES_tradnl"/>
        </w:rPr>
        <w:t xml:space="preserve">Secretaría de Infraestructura </w:t>
      </w:r>
    </w:p>
    <w:p w14:paraId="062C351F" w14:textId="77777777" w:rsidR="008F50DF" w:rsidRPr="008F50DF" w:rsidRDefault="008F50DF" w:rsidP="008F50DF">
      <w:pPr>
        <w:spacing w:after="0" w:line="240" w:lineRule="auto"/>
        <w:rPr>
          <w:rFonts w:ascii="Verdana" w:eastAsia="Calibri" w:hAnsi="Verdana" w:cs="Arial"/>
          <w:lang w:val="es-ES_tradnl" w:eastAsia="es-ES_tradnl"/>
        </w:rPr>
      </w:pPr>
      <w:r w:rsidRPr="008F50DF">
        <w:rPr>
          <w:rFonts w:ascii="Verdana" w:eastAsia="Calibri" w:hAnsi="Verdana" w:cs="Arial"/>
          <w:lang w:val="es-ES_tradnl" w:eastAsia="es-ES_tradnl"/>
        </w:rPr>
        <w:t>Gobernación de Risaralda</w:t>
      </w:r>
    </w:p>
    <w:p w14:paraId="68FE9610" w14:textId="77777777" w:rsidR="008F50DF" w:rsidRPr="008F50DF" w:rsidRDefault="008F50DF" w:rsidP="008F50DF">
      <w:pPr>
        <w:spacing w:after="0" w:line="240" w:lineRule="auto"/>
        <w:rPr>
          <w:rFonts w:ascii="Verdana" w:eastAsia="Calibri" w:hAnsi="Verdana" w:cs="Arial"/>
          <w:lang w:val="es-ES_tradnl" w:eastAsia="es-ES_tradnl"/>
        </w:rPr>
      </w:pPr>
      <w:r w:rsidRPr="008F50DF">
        <w:rPr>
          <w:rFonts w:ascii="Verdana" w:eastAsia="Calibri" w:hAnsi="Verdana" w:cs="Arial"/>
          <w:lang w:val="es-ES_tradnl" w:eastAsia="es-ES_tradnl"/>
        </w:rPr>
        <w:t>Pereira, Risaralda</w:t>
      </w:r>
    </w:p>
    <w:p w14:paraId="09CFDFAC" w14:textId="77777777" w:rsidR="008F50DF" w:rsidRPr="008F50DF" w:rsidRDefault="008F50DF" w:rsidP="008F50DF">
      <w:pPr>
        <w:spacing w:after="0" w:line="240" w:lineRule="auto"/>
        <w:rPr>
          <w:rFonts w:ascii="Verdana" w:eastAsia="Calibri" w:hAnsi="Verdana" w:cs="Arial"/>
          <w:b/>
          <w:bCs/>
          <w:lang w:val="es-ES_tradnl"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8F50DF" w:rsidRPr="008F50DF" w14:paraId="29DA4690" w14:textId="77777777">
        <w:trPr>
          <w:trHeight w:val="229"/>
        </w:trPr>
        <w:tc>
          <w:tcPr>
            <w:tcW w:w="2268" w:type="dxa"/>
          </w:tcPr>
          <w:p w14:paraId="06C486A1" w14:textId="77777777" w:rsidR="008F50DF" w:rsidRPr="008F50DF" w:rsidRDefault="008F50DF" w:rsidP="008F50DF">
            <w:pPr>
              <w:jc w:val="both"/>
              <w:rPr>
                <w:rFonts w:ascii="Verdana" w:eastAsia="Calibri" w:hAnsi="Verdana" w:cs="Arial"/>
                <w:b/>
                <w:bCs/>
                <w:lang w:val="es-ES_tradnl" w:eastAsia="es-ES_tradnl"/>
              </w:rPr>
            </w:pPr>
          </w:p>
        </w:tc>
        <w:tc>
          <w:tcPr>
            <w:tcW w:w="6100" w:type="dxa"/>
          </w:tcPr>
          <w:p w14:paraId="3C6D8A5B" w14:textId="77777777" w:rsidR="008F50DF" w:rsidRPr="008F50DF" w:rsidRDefault="008F50DF" w:rsidP="008F50DF">
            <w:pPr>
              <w:jc w:val="both"/>
              <w:rPr>
                <w:rFonts w:ascii="Verdana" w:eastAsia="Calibri" w:hAnsi="Verdana" w:cs="Arial"/>
                <w:b/>
                <w:bCs/>
                <w:lang w:val="es-ES" w:eastAsia="es-ES"/>
              </w:rPr>
            </w:pPr>
            <w:r w:rsidRPr="008F50DF">
              <w:rPr>
                <w:rFonts w:ascii="Verdana" w:eastAsia="Calibri" w:hAnsi="Verdana" w:cs="Arial"/>
                <w:b/>
                <w:bCs/>
                <w:lang w:val="es-ES" w:eastAsia="es-ES"/>
              </w:rPr>
              <w:t xml:space="preserve">Concepto </w:t>
            </w:r>
            <w:bookmarkStart w:id="1" w:name="OLE_LINK1"/>
            <w:r w:rsidRPr="008F50DF">
              <w:rPr>
                <w:rFonts w:ascii="Verdana" w:eastAsia="Calibri" w:hAnsi="Verdana" w:cs="Arial"/>
                <w:b/>
                <w:bCs/>
                <w:lang w:val="es-ES" w:eastAsia="es-ES"/>
              </w:rPr>
              <w:t>C-304 de 2026</w:t>
            </w:r>
            <w:bookmarkEnd w:id="1"/>
          </w:p>
          <w:p w14:paraId="5161A3EB" w14:textId="77777777" w:rsidR="008F50DF" w:rsidRPr="008F50DF" w:rsidRDefault="008F50DF" w:rsidP="008F50DF">
            <w:pPr>
              <w:jc w:val="both"/>
              <w:rPr>
                <w:rFonts w:ascii="Verdana" w:eastAsia="Calibri" w:hAnsi="Verdana" w:cs="Arial"/>
                <w:b/>
                <w:bCs/>
                <w:lang w:val="es-ES" w:eastAsia="es-ES"/>
              </w:rPr>
            </w:pPr>
          </w:p>
        </w:tc>
      </w:tr>
      <w:tr w:rsidR="008F50DF" w:rsidRPr="008F50DF" w14:paraId="3E847AAB" w14:textId="77777777">
        <w:trPr>
          <w:trHeight w:val="884"/>
        </w:trPr>
        <w:tc>
          <w:tcPr>
            <w:tcW w:w="2268" w:type="dxa"/>
          </w:tcPr>
          <w:p w14:paraId="35D1D423" w14:textId="77777777" w:rsidR="008F50DF" w:rsidRPr="008F50DF" w:rsidRDefault="008F50DF" w:rsidP="008F50DF">
            <w:pPr>
              <w:jc w:val="both"/>
              <w:rPr>
                <w:rFonts w:ascii="Verdana" w:eastAsia="Calibri" w:hAnsi="Verdana" w:cs="Arial"/>
                <w:lang w:val="es-ES_tradnl" w:eastAsia="es-ES_tradnl"/>
              </w:rPr>
            </w:pPr>
            <w:r w:rsidRPr="008F50DF">
              <w:rPr>
                <w:rFonts w:ascii="Verdana" w:eastAsia="Calibri" w:hAnsi="Verdana" w:cs="Arial"/>
                <w:b/>
                <w:lang w:val="es-ES_tradnl" w:eastAsia="es-ES_tradnl"/>
              </w:rPr>
              <w:t>Temas:</w:t>
            </w:r>
            <w:r w:rsidRPr="008F50DF">
              <w:rPr>
                <w:rFonts w:ascii="Verdana" w:eastAsia="Calibri" w:hAnsi="Verdana" w:cs="Arial"/>
                <w:lang w:val="es-ES_tradnl" w:eastAsia="es-ES_tradnl"/>
              </w:rPr>
              <w:t xml:space="preserve">                   </w:t>
            </w:r>
          </w:p>
        </w:tc>
        <w:tc>
          <w:tcPr>
            <w:tcW w:w="6100" w:type="dxa"/>
          </w:tcPr>
          <w:p w14:paraId="4DC403AD" w14:textId="77777777" w:rsidR="008F50DF" w:rsidRPr="008F50DF" w:rsidRDefault="008F50DF" w:rsidP="008F50DF">
            <w:pPr>
              <w:jc w:val="both"/>
              <w:rPr>
                <w:rFonts w:ascii="Verdana" w:eastAsia="Calibri" w:hAnsi="Verdana" w:cs="Arial"/>
                <w:color w:val="000000"/>
                <w:lang w:val="es-ES_tradnl"/>
              </w:rPr>
            </w:pPr>
            <w:r w:rsidRPr="008F50DF">
              <w:rPr>
                <w:rFonts w:ascii="Verdana" w:eastAsia="Calibri" w:hAnsi="Verdana" w:cs="Arial"/>
                <w:lang w:val="es-ES_tradnl"/>
              </w:rPr>
              <w:t>DOCUMENTOS TIPO – Fundamento normativo – Obligatoriedad / SECTOR SOCIAL</w:t>
            </w:r>
            <w:r w:rsidRPr="008F50DF">
              <w:rPr>
                <w:rFonts w:ascii="Verdana" w:eastAsia="Calibri" w:hAnsi="Verdana" w:cs="Times New Roman"/>
                <w:lang w:val="es-ES"/>
              </w:rPr>
              <w:t xml:space="preserve"> – Documentos tipo – Vigentes / DOCUMENTOS TIPO – Aplicación – Matriz de Experiencia / DOCUMENTOS TIPO – Sector educativo – Actividad – Suministro e instalación – Alcance / </w:t>
            </w:r>
            <w:r w:rsidRPr="008F50DF">
              <w:rPr>
                <w:rFonts w:ascii="Verdana" w:eastAsia="Calibri" w:hAnsi="Verdana" w:cs="Arial"/>
                <w:color w:val="000000"/>
                <w:lang w:val="es-ES_tradnl"/>
              </w:rPr>
              <w:t xml:space="preserve">INSTALACIÓN – Obra – Contrato mixto – Prestación principal / INSTALACIÓN – Obra – Aplicación – Documentos tipo – Sector Educativo </w:t>
            </w:r>
          </w:p>
          <w:p w14:paraId="73CDF031" w14:textId="77777777" w:rsidR="008F50DF" w:rsidRPr="008F50DF" w:rsidRDefault="008F50DF" w:rsidP="008F50DF">
            <w:pPr>
              <w:jc w:val="both"/>
              <w:rPr>
                <w:rFonts w:ascii="Verdana" w:eastAsia="Calibri" w:hAnsi="Verdana" w:cs="Arial"/>
                <w:bCs/>
                <w:lang w:eastAsia="es-ES"/>
              </w:rPr>
            </w:pPr>
          </w:p>
        </w:tc>
      </w:tr>
      <w:tr w:rsidR="008F50DF" w:rsidRPr="008F50DF" w14:paraId="610E516B" w14:textId="77777777">
        <w:tc>
          <w:tcPr>
            <w:tcW w:w="2268" w:type="dxa"/>
          </w:tcPr>
          <w:p w14:paraId="7B62B720" w14:textId="77777777" w:rsidR="008F50DF" w:rsidRPr="008F50DF" w:rsidRDefault="008F50DF" w:rsidP="008F50DF">
            <w:pPr>
              <w:jc w:val="both"/>
              <w:rPr>
                <w:rFonts w:ascii="Verdana" w:eastAsia="Calibri" w:hAnsi="Verdana" w:cs="Arial"/>
                <w:b/>
                <w:lang w:val="es-ES_tradnl" w:eastAsia="es-ES_tradnl"/>
              </w:rPr>
            </w:pPr>
            <w:r w:rsidRPr="008F50DF">
              <w:rPr>
                <w:rFonts w:ascii="Verdana" w:eastAsia="Calibri" w:hAnsi="Verdana" w:cs="Arial"/>
                <w:b/>
                <w:lang w:val="es-ES_tradnl" w:eastAsia="es-ES_tradnl"/>
              </w:rPr>
              <w:t>Radicación:</w:t>
            </w:r>
            <w:r w:rsidRPr="008F50DF">
              <w:rPr>
                <w:rFonts w:ascii="Verdana" w:eastAsia="Calibri" w:hAnsi="Verdana" w:cs="Arial"/>
                <w:lang w:val="es-ES_tradnl" w:eastAsia="es-ES_tradnl"/>
              </w:rPr>
              <w:t xml:space="preserve">               </w:t>
            </w:r>
          </w:p>
        </w:tc>
        <w:tc>
          <w:tcPr>
            <w:tcW w:w="6100" w:type="dxa"/>
          </w:tcPr>
          <w:p w14:paraId="151851FF" w14:textId="77777777" w:rsidR="008F50DF" w:rsidRPr="008F50DF" w:rsidRDefault="008F50DF" w:rsidP="008F50DF">
            <w:pPr>
              <w:ind w:left="3" w:hanging="3"/>
              <w:jc w:val="both"/>
              <w:rPr>
                <w:rFonts w:ascii="Verdana" w:eastAsia="Calibri" w:hAnsi="Verdana" w:cs="Arial"/>
                <w:lang w:val="es-ES_tradnl" w:eastAsia="es-ES_tradnl"/>
              </w:rPr>
            </w:pPr>
            <w:r w:rsidRPr="008F50DF">
              <w:rPr>
                <w:rFonts w:ascii="Verdana" w:eastAsia="Calibri" w:hAnsi="Verdana" w:cs="Arial"/>
                <w:lang w:val="es-ES_tradnl" w:eastAsia="es-ES_tradnl"/>
              </w:rPr>
              <w:t xml:space="preserve">Respuesta a consultas con radicados Nos. 1_2026_02_25_002611, </w:t>
            </w:r>
            <w:r w:rsidRPr="008F50DF">
              <w:rPr>
                <w:rFonts w:ascii="Verdana" w:eastAsia="Aptos" w:hAnsi="Verdana" w:cs="Times New Roman"/>
                <w:lang w:val="es-ES_tradnl"/>
              </w:rPr>
              <w:t xml:space="preserve">1_2026_02_26_002655, 1_2026_02_26_002658 y 1_2026_02_26_00266 </w:t>
            </w:r>
          </w:p>
        </w:tc>
      </w:tr>
    </w:tbl>
    <w:p w14:paraId="7D564F08" w14:textId="77777777" w:rsidR="008F50DF" w:rsidRPr="008F50DF" w:rsidRDefault="008F50DF" w:rsidP="008F50DF">
      <w:pPr>
        <w:spacing w:after="0" w:line="240" w:lineRule="auto"/>
        <w:jc w:val="both"/>
        <w:rPr>
          <w:rFonts w:ascii="Verdana" w:eastAsia="Calibri" w:hAnsi="Verdana" w:cs="Arial"/>
          <w:lang w:val="es-ES_tradnl" w:eastAsia="es-ES_tradnl"/>
        </w:rPr>
      </w:pPr>
    </w:p>
    <w:p w14:paraId="7322EBF3" w14:textId="77777777" w:rsidR="008F50DF" w:rsidRPr="008F50DF" w:rsidRDefault="008F50DF" w:rsidP="008F50DF">
      <w:pPr>
        <w:spacing w:after="0" w:line="276" w:lineRule="auto"/>
        <w:jc w:val="both"/>
        <w:rPr>
          <w:rFonts w:ascii="Verdana" w:eastAsia="Calibri" w:hAnsi="Verdana" w:cs="Arial"/>
          <w:lang w:val="es-ES" w:eastAsia="es-ES"/>
        </w:rPr>
      </w:pPr>
      <w:r w:rsidRPr="008F50DF">
        <w:rPr>
          <w:rFonts w:ascii="Verdana" w:eastAsia="Calibri" w:hAnsi="Verdana" w:cs="Arial"/>
          <w:lang w:val="es-ES" w:eastAsia="es-ES"/>
        </w:rPr>
        <w:t xml:space="preserve">Estimada señora </w:t>
      </w:r>
      <w:r w:rsidRPr="008F50DF">
        <w:rPr>
          <w:rFonts w:ascii="Verdana" w:eastAsia="Aptos" w:hAnsi="Verdana" w:cs="Times New Roman"/>
          <w:kern w:val="2"/>
          <w14:ligatures w14:val="standardContextual"/>
        </w:rPr>
        <w:t>Jaramillo Soto</w:t>
      </w:r>
      <w:r w:rsidRPr="008F50DF">
        <w:rPr>
          <w:rFonts w:ascii="Verdana" w:eastAsia="Calibri" w:hAnsi="Verdana" w:cs="Arial"/>
          <w:lang w:val="es-ES" w:eastAsia="es-ES"/>
        </w:rPr>
        <w:t xml:space="preserve">: </w:t>
      </w:r>
    </w:p>
    <w:p w14:paraId="1DC2C7D5" w14:textId="77777777" w:rsidR="008F50DF" w:rsidRPr="008F50DF" w:rsidRDefault="008F50DF" w:rsidP="008F50DF">
      <w:pPr>
        <w:tabs>
          <w:tab w:val="left" w:pos="3768"/>
        </w:tabs>
        <w:spacing w:after="0" w:line="276" w:lineRule="auto"/>
        <w:jc w:val="both"/>
        <w:rPr>
          <w:rFonts w:ascii="Verdana" w:eastAsia="Calibri" w:hAnsi="Verdana" w:cs="Arial"/>
          <w:lang w:val="es-ES" w:eastAsia="es-ES"/>
        </w:rPr>
      </w:pPr>
      <w:r w:rsidRPr="008F50DF">
        <w:rPr>
          <w:rFonts w:ascii="Verdana" w:eastAsia="Calibri" w:hAnsi="Verdana" w:cs="Arial"/>
          <w:lang w:val="es-ES" w:eastAsia="es-ES"/>
        </w:rPr>
        <w:tab/>
      </w:r>
    </w:p>
    <w:p w14:paraId="54790846" w14:textId="77777777" w:rsidR="008F50DF" w:rsidRPr="008F50DF" w:rsidRDefault="008F50DF" w:rsidP="008F50DF">
      <w:pPr>
        <w:spacing w:after="0" w:line="276" w:lineRule="auto"/>
        <w:jc w:val="both"/>
        <w:rPr>
          <w:rFonts w:ascii="Verdana" w:eastAsia="Calibri" w:hAnsi="Verdana" w:cs="Arial"/>
          <w:lang w:val="es-ES" w:eastAsia="es-ES"/>
        </w:rPr>
      </w:pPr>
      <w:r w:rsidRPr="008F50DF">
        <w:rPr>
          <w:rFonts w:ascii="Verdana" w:eastAsia="Calibri" w:hAnsi="Verdana" w:cs="Arial"/>
          <w:lang w:val="es-ES" w:eastAsia="es-ES"/>
        </w:rPr>
        <w:t>En ejercicio de la competencia otorgada por los artículos 3, numeral 5º, y 11, numeral 8º, del Decreto Ley 4170 de 2011,</w:t>
      </w:r>
      <w:r w:rsidRPr="008F50DF">
        <w:rPr>
          <w:rFonts w:ascii="Verdana" w:eastAsia="Arial MT" w:hAnsi="Verdana" w:cs="Arial MT"/>
          <w:lang w:val="es-ES" w:eastAsia="es-ES"/>
        </w:rPr>
        <w:t xml:space="preserve"> </w:t>
      </w:r>
      <w:r w:rsidRPr="008F50DF">
        <w:rPr>
          <w:rFonts w:ascii="Verdana" w:eastAsia="Calibri" w:hAnsi="Verdana" w:cs="Arial"/>
        </w:rPr>
        <w:t xml:space="preserve">así como lo establecido por la </w:t>
      </w:r>
      <w:r w:rsidRPr="008F50DF">
        <w:rPr>
          <w:rFonts w:ascii="Verdana" w:eastAsia="Aptos" w:hAnsi="Verdana" w:cs="Arial"/>
          <w:bCs/>
          <w:kern w:val="2"/>
          <w:lang w:eastAsia="es-ES" w:bidi="es-ES"/>
          <w14:ligatures w14:val="standardContextual"/>
        </w:rPr>
        <w:t>Resolución 469 de 2025 expedida por esta Entidad</w:t>
      </w:r>
      <w:r w:rsidRPr="008F50DF">
        <w:rPr>
          <w:rFonts w:ascii="Verdana" w:eastAsia="Calibri" w:hAnsi="Verdana" w:cs="Arial"/>
        </w:rPr>
        <w:t xml:space="preserve">, </w:t>
      </w:r>
      <w:r w:rsidRPr="008F50DF">
        <w:rPr>
          <w:rFonts w:ascii="Verdana" w:eastAsia="Calibri" w:hAnsi="Verdana" w:cs="Arial"/>
          <w:lang w:val="es-ES" w:eastAsia="es-ES"/>
        </w:rPr>
        <w:t xml:space="preserve">la Agencia Nacional de Contratación Pública – Colombia Compra Eficiente– responde sus solicitudes de consultas del 25 de febrero de 2026, en las cuales manifiesta lo siguiente: </w:t>
      </w:r>
    </w:p>
    <w:p w14:paraId="423F53B9" w14:textId="77777777" w:rsidR="008F50DF" w:rsidRPr="008F50DF" w:rsidRDefault="008F50DF" w:rsidP="008F50DF">
      <w:pPr>
        <w:shd w:val="clear" w:color="auto" w:fill="FFFFFF"/>
        <w:spacing w:after="0" w:line="240" w:lineRule="auto"/>
        <w:jc w:val="both"/>
        <w:rPr>
          <w:rFonts w:ascii="Calibri" w:eastAsia="Times New Roman" w:hAnsi="Calibri" w:cs="Calibri"/>
          <w:color w:val="242424"/>
          <w:lang w:eastAsia="es-MX"/>
        </w:rPr>
      </w:pPr>
      <w:r w:rsidRPr="008F50DF">
        <w:rPr>
          <w:rFonts w:ascii="Arial" w:eastAsia="Times New Roman" w:hAnsi="Arial" w:cs="Arial"/>
          <w:color w:val="242424"/>
          <w:sz w:val="24"/>
          <w:szCs w:val="24"/>
          <w:lang w:eastAsia="es-MX"/>
        </w:rPr>
        <w:t> </w:t>
      </w:r>
    </w:p>
    <w:p w14:paraId="127BC86F" w14:textId="77777777" w:rsidR="008F50DF" w:rsidRPr="008F50DF" w:rsidRDefault="008F50DF" w:rsidP="008F50DF">
      <w:pPr>
        <w:shd w:val="clear" w:color="auto" w:fill="FFFFFF"/>
        <w:spacing w:after="120" w:line="240" w:lineRule="auto"/>
        <w:ind w:left="709" w:right="709"/>
        <w:jc w:val="both"/>
        <w:rPr>
          <w:rFonts w:ascii="Verdana" w:eastAsia="Times New Roman" w:hAnsi="Verdana" w:cs="Calibri"/>
          <w:color w:val="242424"/>
          <w:sz w:val="20"/>
          <w:szCs w:val="20"/>
          <w:lang w:eastAsia="es-MX"/>
        </w:rPr>
      </w:pPr>
      <w:r w:rsidRPr="008F50DF">
        <w:rPr>
          <w:rFonts w:ascii="Verdana" w:eastAsia="Times New Roman" w:hAnsi="Verdana" w:cs="Arial"/>
          <w:color w:val="242424"/>
          <w:sz w:val="20"/>
          <w:szCs w:val="20"/>
          <w:lang w:eastAsia="es-MX"/>
        </w:rPr>
        <w:t>“Actualmente se adelanta la construcción de un SENA Étnico en el Municipio de Pueblo Rico – Risaralda, proyecto desarrollado Entre el Ministerio del Interior, la Gobernación de Risaralda, la Corporación Autónoma de Risaralda y el Servicio Nacional de Aprendizaje – SENA en el marco del respectivo convenio interadministrativo 2044 de 2021.</w:t>
      </w:r>
    </w:p>
    <w:p w14:paraId="31C51734" w14:textId="77777777" w:rsidR="008F50DF" w:rsidRPr="008F50DF" w:rsidRDefault="008F50DF" w:rsidP="008F50DF">
      <w:pPr>
        <w:shd w:val="clear" w:color="auto" w:fill="FFFFFF"/>
        <w:spacing w:after="120" w:line="240" w:lineRule="auto"/>
        <w:ind w:left="709" w:right="709"/>
        <w:jc w:val="both"/>
        <w:rPr>
          <w:rFonts w:ascii="Verdana" w:eastAsia="Times New Roman" w:hAnsi="Verdana" w:cs="Calibri"/>
          <w:color w:val="242424"/>
          <w:sz w:val="20"/>
          <w:szCs w:val="20"/>
          <w:lang w:eastAsia="es-MX"/>
        </w:rPr>
      </w:pPr>
      <w:r w:rsidRPr="008F50DF">
        <w:rPr>
          <w:rFonts w:ascii="Verdana" w:eastAsia="Times New Roman" w:hAnsi="Verdana" w:cs="Arial"/>
          <w:color w:val="242424"/>
          <w:sz w:val="20"/>
          <w:szCs w:val="20"/>
          <w:lang w:eastAsia="es-MX"/>
        </w:rPr>
        <w:lastRenderedPageBreak/>
        <w:t>En virtud de lo anterior, la Gobernación de Risaralda requiere adelantar el proceso de contratación para la dotación integral de los diferentes ambientes de formación. Cada aula cuenta con equipamiento específico y diferenciado, de acuerdo con la especialidad técnica o profesional que allí se impartirá. En consecuencia, el comité técnico del convenio, junto con el SENA, definió especificaciones técnicas particulares para cada ambiente, atendiendo las necesidades académicas concretas y las condiciones técnicas uniformes propias de cada línea de formación.</w:t>
      </w:r>
    </w:p>
    <w:p w14:paraId="7117E74D" w14:textId="77777777" w:rsidR="008F50DF" w:rsidRPr="008F50DF" w:rsidRDefault="008F50DF" w:rsidP="008F50DF">
      <w:pPr>
        <w:shd w:val="clear" w:color="auto" w:fill="FFFFFF"/>
        <w:spacing w:after="120" w:line="240" w:lineRule="auto"/>
        <w:ind w:left="709" w:right="709"/>
        <w:jc w:val="both"/>
        <w:rPr>
          <w:rFonts w:ascii="Verdana" w:eastAsia="Times New Roman" w:hAnsi="Verdana" w:cs="Calibri"/>
          <w:color w:val="242424"/>
          <w:sz w:val="20"/>
          <w:szCs w:val="20"/>
          <w:lang w:eastAsia="es-MX"/>
        </w:rPr>
      </w:pPr>
      <w:r w:rsidRPr="008F50DF">
        <w:rPr>
          <w:rFonts w:ascii="Verdana" w:eastAsia="Times New Roman" w:hAnsi="Verdana" w:cs="Arial"/>
          <w:color w:val="242424"/>
          <w:sz w:val="20"/>
          <w:szCs w:val="20"/>
          <w:lang w:eastAsia="es-MX"/>
        </w:rPr>
        <w:t>Teniendo en cuenta que actualmente se encuentran vigentes los Pliegos Tipo para infraestructura social en su versión 2, dentro de los cuales se contempla en la Matriz 1 – Experiencia para el proceso de selección abreviada de menor cuantía actividades asociadas a dotación de infraestructura educativa, surge la inquietud sobre su aplicabilidad obligatoria en el caso descrito. Específicamente, en la MATRIZ - EXPERIENCIA PARA PROYECTOS DE INFRAESTRUCTURA SOCIAL PARA EL SECTOR EDUCATIVO para las actividades de 1. OBRAS EN INFRAESTRUCTURA DE EDUCACIÓN se tiene la siguiente experiencia relacionada con la necesidad a contratar por la entidad:</w:t>
      </w:r>
    </w:p>
    <w:p w14:paraId="3D1164C4" w14:textId="77777777" w:rsidR="008F50DF" w:rsidRPr="008F50DF" w:rsidRDefault="008F50DF" w:rsidP="008F50DF">
      <w:pPr>
        <w:shd w:val="clear" w:color="auto" w:fill="FFFFFF"/>
        <w:spacing w:after="120" w:line="240" w:lineRule="auto"/>
        <w:ind w:left="709" w:right="709"/>
        <w:jc w:val="both"/>
        <w:rPr>
          <w:rFonts w:ascii="Verdana" w:eastAsia="Times New Roman" w:hAnsi="Verdana" w:cs="Calibri"/>
          <w:color w:val="242424"/>
          <w:sz w:val="20"/>
          <w:szCs w:val="20"/>
          <w:lang w:eastAsia="es-MX"/>
        </w:rPr>
      </w:pPr>
      <w:r w:rsidRPr="008F50DF">
        <w:rPr>
          <w:rFonts w:ascii="Verdana" w:eastAsia="Times New Roman" w:hAnsi="Verdana" w:cs="Arial"/>
          <w:color w:val="242424"/>
          <w:sz w:val="20"/>
          <w:szCs w:val="20"/>
          <w:lang w:eastAsia="es-MX"/>
        </w:rPr>
        <w:t>1.12. SUMINISTRO Y/O INSTALACIÓN DE DOTACIÓN Y/O DE MOBILIARIO INTERNO O EXTERNO PARA INFRAESTRUCTURA EDUCATIVA</w:t>
      </w:r>
    </w:p>
    <w:p w14:paraId="5F538D57" w14:textId="77777777" w:rsidR="008F50DF" w:rsidRPr="008F50DF" w:rsidRDefault="008F50DF" w:rsidP="008F50DF">
      <w:pPr>
        <w:shd w:val="clear" w:color="auto" w:fill="FFFFFF"/>
        <w:spacing w:after="120" w:line="240" w:lineRule="auto"/>
        <w:ind w:left="709" w:right="709"/>
        <w:jc w:val="both"/>
        <w:rPr>
          <w:rFonts w:ascii="Verdana" w:eastAsia="Times New Roman" w:hAnsi="Verdana" w:cs="Calibri"/>
          <w:color w:val="242424"/>
          <w:sz w:val="20"/>
          <w:szCs w:val="20"/>
          <w:lang w:eastAsia="es-MX"/>
        </w:rPr>
      </w:pPr>
      <w:r w:rsidRPr="008F50DF">
        <w:rPr>
          <w:rFonts w:ascii="Verdana" w:eastAsia="Times New Roman" w:hAnsi="Verdana" w:cs="Arial"/>
          <w:color w:val="242424"/>
          <w:sz w:val="20"/>
          <w:szCs w:val="20"/>
          <w:lang w:eastAsia="es-MX"/>
        </w:rPr>
        <w:t>1.14. SUMINISTRO Y/O INSTALACIÓN DE SISTEMAS DE AIRES ACONDICIONADOS O SISTEMAS DE VENTILACIÓN O SIMILARES PARA INFRAESTRUCTURA EDUCATIVA</w:t>
      </w:r>
    </w:p>
    <w:p w14:paraId="23623027" w14:textId="77777777" w:rsidR="008F50DF" w:rsidRPr="008F50DF" w:rsidRDefault="008F50DF" w:rsidP="008F50DF">
      <w:pPr>
        <w:shd w:val="clear" w:color="auto" w:fill="FFFFFF"/>
        <w:spacing w:after="120" w:line="240" w:lineRule="auto"/>
        <w:ind w:left="709" w:right="709"/>
        <w:jc w:val="both"/>
        <w:rPr>
          <w:rFonts w:ascii="Verdana" w:eastAsia="Times New Roman" w:hAnsi="Verdana" w:cs="Calibri"/>
          <w:color w:val="242424"/>
          <w:sz w:val="20"/>
          <w:szCs w:val="20"/>
          <w:lang w:eastAsia="es-MX"/>
        </w:rPr>
      </w:pPr>
      <w:r w:rsidRPr="008F50DF">
        <w:rPr>
          <w:rFonts w:ascii="Verdana" w:eastAsia="Times New Roman" w:hAnsi="Verdana" w:cs="Arial"/>
          <w:color w:val="242424"/>
          <w:sz w:val="20"/>
          <w:szCs w:val="20"/>
          <w:lang w:eastAsia="es-MX"/>
        </w:rPr>
        <w:t>1.16. SUMINISTRO E INSTALACIÓN DE EQUIPOS ESPECIALES Y/O ELECTROMECANICOS Y/O ELECTRONICOS Y/O MAQUINARIA U OTROS TIPOS DE EQUIPOS PARA EDIFICACIONES DE INFRAESTRUCTURA EDUCATIVA</w:t>
      </w:r>
    </w:p>
    <w:p w14:paraId="08DE1114" w14:textId="77777777" w:rsidR="008F50DF" w:rsidRPr="008F50DF" w:rsidRDefault="008F50DF" w:rsidP="008F50DF">
      <w:pPr>
        <w:shd w:val="clear" w:color="auto" w:fill="FFFFFF"/>
        <w:spacing w:after="120" w:line="240" w:lineRule="auto"/>
        <w:ind w:left="709" w:right="709"/>
        <w:jc w:val="both"/>
        <w:rPr>
          <w:rFonts w:ascii="Verdana" w:eastAsia="Times New Roman" w:hAnsi="Verdana" w:cs="Calibri"/>
          <w:color w:val="242424"/>
          <w:sz w:val="20"/>
          <w:szCs w:val="20"/>
          <w:lang w:eastAsia="es-MX"/>
        </w:rPr>
      </w:pPr>
      <w:r w:rsidRPr="008F50DF">
        <w:rPr>
          <w:rFonts w:ascii="Verdana" w:eastAsia="Times New Roman" w:hAnsi="Verdana" w:cs="Arial"/>
          <w:color w:val="242424"/>
          <w:sz w:val="20"/>
          <w:szCs w:val="20"/>
          <w:lang w:eastAsia="es-MX"/>
        </w:rPr>
        <w:t>El artículo 4 de la Ley 1882 de 2018, modificado por la Ley 2022 de 2020, establece la obligatoriedad para las entidades estatales de adoptar los documentos tipo expedidos por el Gobierno Nacional en los procesos de selección que correspondan a las tipologías definidas.</w:t>
      </w:r>
    </w:p>
    <w:p w14:paraId="4A41D5A0" w14:textId="77777777" w:rsidR="008F50DF" w:rsidRPr="008F50DF" w:rsidRDefault="008F50DF" w:rsidP="008F50DF">
      <w:pPr>
        <w:shd w:val="clear" w:color="auto" w:fill="FFFFFF"/>
        <w:spacing w:after="120" w:line="240" w:lineRule="auto"/>
        <w:ind w:left="709" w:right="709"/>
        <w:jc w:val="both"/>
        <w:rPr>
          <w:rFonts w:ascii="Verdana" w:eastAsia="Times New Roman" w:hAnsi="Verdana" w:cs="Calibri"/>
          <w:color w:val="242424"/>
          <w:sz w:val="20"/>
          <w:szCs w:val="20"/>
          <w:lang w:eastAsia="es-MX"/>
        </w:rPr>
      </w:pPr>
      <w:r w:rsidRPr="008F50DF">
        <w:rPr>
          <w:rFonts w:ascii="Verdana" w:eastAsia="Times New Roman" w:hAnsi="Verdana" w:cs="Arial"/>
          <w:color w:val="242424"/>
          <w:sz w:val="20"/>
          <w:szCs w:val="20"/>
          <w:lang w:eastAsia="es-MX"/>
        </w:rPr>
        <w:t>No obstante, en el caso concreto, el objeto contractual no corresponde a la construcción de infraestructura educativa, sino a la adquisición y dotación de bienes con características técnicas uniformes para cada ambiente de formación, lo que genera duda razonable frente a si dicho proceso se enmarca en el ámbito material de aplicación de los Pliegos Tipo de Infraestructura Educativa vigentes.</w:t>
      </w:r>
    </w:p>
    <w:p w14:paraId="5AAD3F27" w14:textId="77777777" w:rsidR="008F50DF" w:rsidRPr="008F50DF" w:rsidRDefault="008F50DF" w:rsidP="008F50DF">
      <w:pPr>
        <w:shd w:val="clear" w:color="auto" w:fill="FFFFFF"/>
        <w:spacing w:after="120" w:line="240" w:lineRule="auto"/>
        <w:ind w:left="709" w:right="709"/>
        <w:jc w:val="both"/>
        <w:rPr>
          <w:rFonts w:ascii="Verdana" w:eastAsia="Times New Roman" w:hAnsi="Verdana" w:cs="Calibri"/>
          <w:color w:val="242424"/>
          <w:sz w:val="20"/>
          <w:szCs w:val="20"/>
          <w:lang w:eastAsia="es-MX"/>
        </w:rPr>
      </w:pPr>
      <w:r w:rsidRPr="008F50DF">
        <w:rPr>
          <w:rFonts w:ascii="Verdana" w:eastAsia="Times New Roman" w:hAnsi="Verdana" w:cs="Arial"/>
          <w:color w:val="242424"/>
          <w:sz w:val="20"/>
          <w:szCs w:val="20"/>
          <w:lang w:eastAsia="es-MX"/>
        </w:rPr>
        <w:t>En ese orden, respetuosamente solicitamos orientación jurídica frente a la siguiente inquietud:</w:t>
      </w:r>
    </w:p>
    <w:p w14:paraId="435CA7D0" w14:textId="77777777" w:rsidR="008F50DF" w:rsidRPr="008F50DF" w:rsidRDefault="008F50DF" w:rsidP="008F50DF">
      <w:pPr>
        <w:shd w:val="clear" w:color="auto" w:fill="FFFFFF"/>
        <w:spacing w:after="0" w:line="240" w:lineRule="auto"/>
        <w:ind w:left="709" w:right="709"/>
        <w:jc w:val="both"/>
        <w:rPr>
          <w:rFonts w:ascii="Verdana" w:eastAsia="Times New Roman" w:hAnsi="Verdana" w:cs="Calibri"/>
          <w:color w:val="242424"/>
          <w:sz w:val="20"/>
          <w:szCs w:val="20"/>
          <w:lang w:eastAsia="es-MX"/>
        </w:rPr>
      </w:pPr>
      <w:r w:rsidRPr="008F50DF">
        <w:rPr>
          <w:rFonts w:ascii="Verdana" w:eastAsia="Times New Roman" w:hAnsi="Verdana" w:cs="Arial"/>
          <w:color w:val="242424"/>
          <w:sz w:val="20"/>
          <w:szCs w:val="20"/>
          <w:lang w:eastAsia="es-MX"/>
        </w:rPr>
        <w:t xml:space="preserve">¿Es obligatoria la aplicación de los Pliegos Tipo de Infraestructura Educativa para contratar la dotación del SENA Étnico, aun cuando las </w:t>
      </w:r>
      <w:r w:rsidRPr="008F50DF">
        <w:rPr>
          <w:rFonts w:ascii="Verdana" w:eastAsia="Times New Roman" w:hAnsi="Verdana" w:cs="Arial"/>
          <w:color w:val="242424"/>
          <w:sz w:val="20"/>
          <w:szCs w:val="20"/>
          <w:lang w:eastAsia="es-MX"/>
        </w:rPr>
        <w:lastRenderedPageBreak/>
        <w:t>características técnicas de cada una de las aulas son diferentes (cocina, construcción, TIC, eléctrica, entre otras) y corresponden a bienes de características técnicas uniformes?</w:t>
      </w:r>
      <w:r w:rsidRPr="008F50DF">
        <w:rPr>
          <w:rFonts w:ascii="Verdana" w:eastAsia="Century Gothic" w:hAnsi="Verdana" w:cs="Arial"/>
          <w:sz w:val="20"/>
          <w:szCs w:val="20"/>
          <w:lang w:eastAsia="es-MX"/>
        </w:rPr>
        <w:t xml:space="preserve">”. </w:t>
      </w:r>
    </w:p>
    <w:p w14:paraId="549EBEF0" w14:textId="77777777" w:rsidR="008F50DF" w:rsidRPr="008F50DF" w:rsidRDefault="008F50DF" w:rsidP="008F50DF">
      <w:pPr>
        <w:spacing w:after="0" w:line="240" w:lineRule="auto"/>
        <w:ind w:left="709" w:right="709"/>
        <w:jc w:val="both"/>
        <w:rPr>
          <w:rFonts w:ascii="Arial" w:eastAsia="Aptos" w:hAnsi="Arial" w:cs="Arial"/>
          <w:kern w:val="2"/>
          <w:sz w:val="21"/>
          <w:szCs w:val="21"/>
          <w14:ligatures w14:val="standardContextual"/>
        </w:rPr>
      </w:pPr>
    </w:p>
    <w:p w14:paraId="690FD800" w14:textId="77777777" w:rsidR="008F50DF" w:rsidRPr="008F50DF" w:rsidRDefault="008F50DF" w:rsidP="008F50DF">
      <w:pPr>
        <w:spacing w:after="120" w:line="276" w:lineRule="auto"/>
        <w:ind w:firstLine="709"/>
        <w:jc w:val="both"/>
        <w:rPr>
          <w:rFonts w:ascii="Verdana" w:eastAsia="Calibri" w:hAnsi="Verdana" w:cs="Arial"/>
          <w:color w:val="000000"/>
          <w:kern w:val="2"/>
          <w:lang w:val="es-ES" w:eastAsia="es-ES"/>
          <w14:ligatures w14:val="standardContextual"/>
        </w:rPr>
      </w:pPr>
      <w:r w:rsidRPr="008F50DF">
        <w:rPr>
          <w:rFonts w:ascii="Verdana" w:eastAsia="Calibri" w:hAnsi="Verdana" w:cs="Arial"/>
          <w:color w:val="000000"/>
          <w:kern w:val="2"/>
          <w:lang w:val="es-ES" w:eastAsia="es-ES"/>
          <w14:ligatures w14:val="standardContextual"/>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F50DF">
        <w:rPr>
          <w:rFonts w:ascii="Verdana" w:eastAsia="Calibri" w:hAnsi="Verdana" w:cs="Arial"/>
          <w:color w:val="000000"/>
          <w:kern w:val="2"/>
          <w:lang w:val="es-ES_tradnl" w:eastAsia="es-ES_tradnl"/>
          <w14:ligatures w14:val="standardContextual"/>
        </w:rPr>
        <w:tab/>
      </w:r>
    </w:p>
    <w:p w14:paraId="1FDE5789" w14:textId="77777777" w:rsidR="008F50DF" w:rsidRPr="008F50DF" w:rsidRDefault="008F50DF" w:rsidP="008F50DF">
      <w:pPr>
        <w:spacing w:after="0" w:line="276" w:lineRule="auto"/>
        <w:ind w:firstLine="709"/>
        <w:jc w:val="both"/>
        <w:rPr>
          <w:rFonts w:ascii="Verdana" w:eastAsia="Calibri" w:hAnsi="Verdana" w:cs="Arial"/>
          <w:color w:val="000000"/>
          <w:kern w:val="2"/>
          <w:lang w:val="es-ES" w:eastAsia="es-ES"/>
          <w14:ligatures w14:val="standardContextual"/>
        </w:rPr>
      </w:pPr>
      <w:r w:rsidRPr="008F50DF">
        <w:rPr>
          <w:rFonts w:ascii="Verdana" w:eastAsia="Calibri" w:hAnsi="Verdana" w:cs="Arial"/>
          <w:color w:val="000000"/>
          <w:kern w:val="2"/>
          <w:lang w:val="es-ES" w:eastAsia="es-ES"/>
          <w14:ligatures w14:val="standardContextual"/>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8F50DF">
        <w:rPr>
          <w:rFonts w:ascii="Verdana" w:eastAsia="Calibri" w:hAnsi="Verdana" w:cs="Arial"/>
          <w:color w:val="7030A0"/>
          <w:kern w:val="2"/>
          <w:lang w:val="es-ES" w:eastAsia="es-ES"/>
          <w14:ligatures w14:val="standardContextual"/>
        </w:rPr>
        <w:t xml:space="preserve"> </w:t>
      </w:r>
      <w:r w:rsidRPr="008F50DF">
        <w:rPr>
          <w:rFonts w:ascii="Verdana" w:eastAsia="Calibri" w:hAnsi="Verdana" w:cs="Arial"/>
          <w:color w:val="000000"/>
          <w:kern w:val="2"/>
          <w:lang w:val="es-ES" w:eastAsia="es-ES"/>
          <w14:ligatures w14:val="standardContextual"/>
        </w:rPr>
        <w:t>problema</w:t>
      </w:r>
      <w:r w:rsidRPr="008F50DF">
        <w:rPr>
          <w:rFonts w:ascii="Verdana" w:eastAsia="Calibri" w:hAnsi="Verdana" w:cs="Arial"/>
          <w:color w:val="7030A0"/>
          <w:kern w:val="2"/>
          <w:lang w:val="es-ES" w:eastAsia="es-ES"/>
          <w14:ligatures w14:val="standardContextual"/>
        </w:rPr>
        <w:t xml:space="preserve"> </w:t>
      </w:r>
      <w:r w:rsidRPr="008F50DF">
        <w:rPr>
          <w:rFonts w:ascii="Verdana" w:eastAsia="Calibri" w:hAnsi="Verdana" w:cs="Arial"/>
          <w:color w:val="000000"/>
          <w:kern w:val="2"/>
          <w:lang w:val="es-ES" w:eastAsia="es-ES"/>
          <w14:ligatures w14:val="standardContextual"/>
        </w:rPr>
        <w:t>jurídico</w:t>
      </w:r>
      <w:r w:rsidRPr="008F50DF">
        <w:rPr>
          <w:rFonts w:ascii="Verdana" w:eastAsia="Calibri" w:hAnsi="Verdana" w:cs="Arial"/>
          <w:color w:val="7030A0"/>
          <w:kern w:val="2"/>
          <w:lang w:val="es-ES" w:eastAsia="es-ES"/>
          <w14:ligatures w14:val="standardContextual"/>
        </w:rPr>
        <w:t xml:space="preserve"> </w:t>
      </w:r>
      <w:r w:rsidRPr="008F50DF">
        <w:rPr>
          <w:rFonts w:ascii="Verdana" w:eastAsia="Calibri" w:hAnsi="Verdana" w:cs="Arial"/>
          <w:color w:val="000000"/>
          <w:kern w:val="2"/>
          <w:lang w:val="es-ES" w:eastAsia="es-ES"/>
          <w14:ligatures w14:val="standardContextual"/>
        </w:rPr>
        <w:t xml:space="preserve">de su consulta. </w:t>
      </w:r>
    </w:p>
    <w:p w14:paraId="2FD0ECF3" w14:textId="77777777" w:rsidR="008F50DF" w:rsidRPr="008F50DF" w:rsidRDefault="008F50DF" w:rsidP="008F50DF">
      <w:pPr>
        <w:spacing w:after="0" w:line="276" w:lineRule="auto"/>
        <w:jc w:val="both"/>
        <w:rPr>
          <w:rFonts w:ascii="Verdana" w:eastAsia="Calibri" w:hAnsi="Verdana" w:cs="Arial"/>
          <w:lang w:val="es-ES" w:eastAsia="es-ES"/>
        </w:rPr>
      </w:pPr>
    </w:p>
    <w:p w14:paraId="7D1EF95F" w14:textId="77777777" w:rsidR="008F50DF" w:rsidRPr="008F50DF" w:rsidRDefault="008F50DF" w:rsidP="008F50DF">
      <w:pPr>
        <w:numPr>
          <w:ilvl w:val="0"/>
          <w:numId w:val="17"/>
        </w:numPr>
        <w:tabs>
          <w:tab w:val="left" w:pos="142"/>
          <w:tab w:val="left" w:pos="284"/>
        </w:tabs>
        <w:spacing w:after="0" w:line="276" w:lineRule="auto"/>
        <w:jc w:val="both"/>
        <w:rPr>
          <w:rFonts w:ascii="Verdana" w:eastAsia="Century Gothic" w:hAnsi="Verdana" w:cs="Century Gothic"/>
          <w:b/>
          <w:bCs/>
        </w:rPr>
      </w:pPr>
      <w:r w:rsidRPr="008F50DF">
        <w:rPr>
          <w:rFonts w:ascii="Verdana" w:eastAsia="Century Gothic" w:hAnsi="Verdana" w:cs="Century Gothic"/>
          <w:b/>
          <w:bCs/>
        </w:rPr>
        <w:t>Problema planteado:</w:t>
      </w:r>
    </w:p>
    <w:p w14:paraId="28519C36" w14:textId="77777777" w:rsidR="008F50DF" w:rsidRPr="008F50DF" w:rsidRDefault="008F50DF" w:rsidP="008F50DF">
      <w:pPr>
        <w:tabs>
          <w:tab w:val="left" w:pos="426"/>
        </w:tabs>
        <w:spacing w:after="0" w:line="276" w:lineRule="auto"/>
        <w:jc w:val="both"/>
        <w:rPr>
          <w:rFonts w:ascii="Verdana" w:eastAsia="Century Gothic" w:hAnsi="Verdana" w:cs="Century Gothic"/>
          <w:lang w:val="es-ES"/>
        </w:rPr>
      </w:pPr>
    </w:p>
    <w:p w14:paraId="5DE29044" w14:textId="3DB90188" w:rsidR="008F50DF" w:rsidRPr="008F50DF" w:rsidRDefault="008F50DF" w:rsidP="008F50DF">
      <w:pPr>
        <w:spacing w:after="0" w:line="276" w:lineRule="auto"/>
        <w:jc w:val="both"/>
        <w:rPr>
          <w:rFonts w:ascii="Verdana" w:eastAsia="Calibri" w:hAnsi="Verdana" w:cs="Arial"/>
          <w:bCs/>
          <w:kern w:val="2"/>
          <w:lang w:val="es-ES_tradnl" w:eastAsia="es-ES_tradnl"/>
          <w14:ligatures w14:val="standardContextual"/>
        </w:rPr>
      </w:pPr>
      <w:r w:rsidRPr="008F50DF">
        <w:rPr>
          <w:rFonts w:ascii="Verdana" w:eastAsia="Century Gothic" w:hAnsi="Verdana" w:cs="Century Gothic"/>
        </w:rPr>
        <w:t xml:space="preserve">De acuerdo con el contenido de su solicitud, en relación con los Documentos Tipo del Sector Educativo, esta Agencia resolverá los siguientes problemas jurídicos: i) ¿Las actividades </w:t>
      </w:r>
      <w:r w:rsidRPr="008F50DF">
        <w:rPr>
          <w:rFonts w:ascii="Verdana" w:eastAsia="Times New Roman" w:hAnsi="Verdana" w:cs="Times New Roman"/>
          <w:color w:val="000000"/>
          <w:lang w:eastAsia="es-CO"/>
        </w:rPr>
        <w:t xml:space="preserve">1.12, 1.14 y 1.16 contenidas en la Matriz 1 – Experiencia aplican para adelantar un contrato que tiene por objeto la dotación de infraestructura educativa? y </w:t>
      </w:r>
      <w:proofErr w:type="spellStart"/>
      <w:r w:rsidRPr="008F50DF">
        <w:rPr>
          <w:rFonts w:ascii="Verdana" w:eastAsia="Times New Roman" w:hAnsi="Verdana" w:cs="Times New Roman"/>
          <w:color w:val="000000"/>
          <w:lang w:eastAsia="es-CO"/>
        </w:rPr>
        <w:t>ii</w:t>
      </w:r>
      <w:proofErr w:type="spellEnd"/>
      <w:r w:rsidRPr="008F50DF">
        <w:rPr>
          <w:rFonts w:ascii="Verdana" w:eastAsia="Times New Roman" w:hAnsi="Verdana" w:cs="Times New Roman"/>
          <w:color w:val="000000"/>
          <w:lang w:eastAsia="es-CO"/>
        </w:rPr>
        <w:t>)</w:t>
      </w:r>
      <w:r w:rsidR="007828D2">
        <w:rPr>
          <w:rFonts w:ascii="Verdana" w:eastAsia="Times New Roman" w:hAnsi="Verdana" w:cs="Times New Roman"/>
          <w:color w:val="000000"/>
          <w:lang w:eastAsia="es-CO"/>
        </w:rPr>
        <w:t xml:space="preserve"> </w:t>
      </w:r>
      <w:r w:rsidRPr="008F50DF">
        <w:rPr>
          <w:rFonts w:ascii="Verdana" w:eastAsia="Times New Roman" w:hAnsi="Verdana" w:cs="Times New Roman"/>
          <w:color w:val="000000"/>
          <w:lang w:eastAsia="es-CO"/>
        </w:rPr>
        <w:t>¿Toda instalación de cualquiera de los elementos contenidos en los numerales 1.12, 1.14 y 1.16 de la Matriz 1 – Experiencia, es constitutiva de un contrato de obra pública para efectos de la aplicación de los documentos tipo referidos?</w:t>
      </w:r>
    </w:p>
    <w:p w14:paraId="57C579F0" w14:textId="77777777" w:rsidR="008F50DF" w:rsidRPr="008F50DF" w:rsidRDefault="008F50DF" w:rsidP="008F50DF">
      <w:pPr>
        <w:spacing w:after="0" w:line="276" w:lineRule="auto"/>
        <w:jc w:val="both"/>
        <w:rPr>
          <w:rFonts w:ascii="Verdana" w:eastAsia="Century Gothic" w:hAnsi="Verdana" w:cs="Century Gothic"/>
          <w:lang w:val="es-ES_tradnl"/>
        </w:rPr>
      </w:pPr>
    </w:p>
    <w:p w14:paraId="4DE3C1FB" w14:textId="77777777" w:rsidR="008F50DF" w:rsidRPr="008F50DF" w:rsidRDefault="008F50DF" w:rsidP="008F50DF">
      <w:pPr>
        <w:tabs>
          <w:tab w:val="left" w:pos="142"/>
          <w:tab w:val="left" w:pos="284"/>
        </w:tabs>
        <w:spacing w:after="0" w:line="276" w:lineRule="auto"/>
        <w:contextualSpacing/>
        <w:jc w:val="both"/>
        <w:rPr>
          <w:rFonts w:ascii="Verdana" w:eastAsia="Century Gothic" w:hAnsi="Verdana" w:cs="Century Gothic"/>
          <w:b/>
          <w:bCs/>
          <w:lang w:val="es-ES"/>
        </w:rPr>
      </w:pPr>
      <w:r w:rsidRPr="008F50DF">
        <w:rPr>
          <w:rFonts w:ascii="Verdana" w:eastAsia="Century Gothic" w:hAnsi="Verdana" w:cs="Century Gothic"/>
          <w:b/>
          <w:bCs/>
          <w:lang w:val="es-ES"/>
        </w:rPr>
        <w:t>2. Respuestas:</w:t>
      </w:r>
    </w:p>
    <w:p w14:paraId="35959333" w14:textId="77777777" w:rsidR="008F50DF" w:rsidRPr="008F50DF" w:rsidRDefault="008F50DF" w:rsidP="008F50DF">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F50DF" w:rsidRPr="008F50DF" w14:paraId="676D7950" w14:textId="77777777">
        <w:trPr>
          <w:trHeight w:val="40"/>
        </w:trPr>
        <w:tc>
          <w:tcPr>
            <w:tcW w:w="8828" w:type="dxa"/>
            <w:tcBorders>
              <w:top w:val="dotted" w:sz="4" w:space="0" w:color="auto"/>
              <w:left w:val="dotted" w:sz="4" w:space="0" w:color="auto"/>
              <w:bottom w:val="dotted" w:sz="4" w:space="0" w:color="auto"/>
              <w:right w:val="dotted" w:sz="4" w:space="0" w:color="auto"/>
            </w:tcBorders>
          </w:tcPr>
          <w:p w14:paraId="463CDD46" w14:textId="77777777" w:rsidR="008F50DF" w:rsidRPr="008F50DF" w:rsidRDefault="008F50DF" w:rsidP="008F50DF">
            <w:pPr>
              <w:widowControl w:val="0"/>
              <w:autoSpaceDE w:val="0"/>
              <w:autoSpaceDN w:val="0"/>
              <w:spacing w:line="276" w:lineRule="auto"/>
              <w:jc w:val="both"/>
              <w:rPr>
                <w:rFonts w:ascii="Verdana" w:eastAsia="Calibri" w:hAnsi="Verdana" w:cs="Arial"/>
                <w:bCs/>
                <w:color w:val="000000"/>
              </w:rPr>
            </w:pPr>
            <w:r w:rsidRPr="008F50DF">
              <w:rPr>
                <w:rFonts w:ascii="Verdana" w:eastAsia="Calibri" w:hAnsi="Verdana" w:cs="Arial"/>
                <w:lang w:val="es-ES"/>
              </w:rPr>
              <w:lastRenderedPageBreak/>
              <w:t xml:space="preserve">i. </w:t>
            </w:r>
            <w:r w:rsidRPr="008F50DF">
              <w:rPr>
                <w:rFonts w:ascii="Verdana" w:eastAsia="Calibri" w:hAnsi="Verdana" w:cs="Times New Roman"/>
                <w:lang w:val="es-ES" w:eastAsia="es-MX"/>
              </w:rPr>
              <w:t xml:space="preserve">El artículo 8 de las Resoluciones 539, 540 y 541 del 21 de agosto de 2025, adoptan los Documentos Tipo complementarios para los procesos de infraestructura social relacionados con el sector educativo -según la modalidad que corresponda-. De acuerdo con el parágrafo segundo del artículo 9 de las citadas resoluciones, estos documentos aplican a los procesos contractuales que correspondan a las actividades definidas en la Matriz 1 – Experiencia del Sector Educativo. </w:t>
            </w:r>
          </w:p>
          <w:p w14:paraId="2801A6CA" w14:textId="77777777" w:rsidR="008F50DF" w:rsidRPr="008F50DF" w:rsidRDefault="008F50DF" w:rsidP="008F50DF">
            <w:pPr>
              <w:spacing w:after="120" w:line="276" w:lineRule="auto"/>
              <w:jc w:val="both"/>
              <w:rPr>
                <w:rFonts w:ascii="Verdana" w:eastAsia="Times New Roman" w:hAnsi="Verdana" w:cs="Times New Roman"/>
                <w:color w:val="000000"/>
                <w:lang w:eastAsia="es-CO"/>
              </w:rPr>
            </w:pPr>
            <w:r w:rsidRPr="008F50DF">
              <w:rPr>
                <w:rFonts w:ascii="Verdana" w:eastAsia="Calibri" w:hAnsi="Verdana" w:cs="Times New Roman"/>
                <w:lang w:val="es-ES" w:eastAsia="es-MX"/>
              </w:rPr>
              <w:tab/>
              <w:t xml:space="preserve">La Matriz 1 – Experiencia del Sector Educativo, </w:t>
            </w:r>
            <w:r w:rsidRPr="008F50DF">
              <w:rPr>
                <w:rFonts w:ascii="Verdana" w:eastAsia="Times New Roman" w:hAnsi="Verdana" w:cs="Times New Roman"/>
                <w:color w:val="000000"/>
                <w:lang w:eastAsia="es-CO"/>
              </w:rPr>
              <w:t>en la modalidad de licitación pública, selección abreviada de menor cuantía y mínima cuantía dispone de los siguientes cuatro (4) tipos de obras de infraestructura educativa:</w:t>
            </w:r>
            <w:r w:rsidRPr="008F50DF">
              <w:rPr>
                <w:rFonts w:ascii="Times New Roman" w:eastAsia="Arial" w:hAnsi="Times New Roman" w:cs="Aptos"/>
                <w:lang w:eastAsia="es-ES"/>
              </w:rPr>
              <w:t xml:space="preserve"> </w:t>
            </w:r>
            <w:r w:rsidRPr="008F50DF">
              <w:rPr>
                <w:rFonts w:ascii="Verdana" w:eastAsia="Arial" w:hAnsi="Verdana" w:cs="Aptos"/>
                <w:lang w:eastAsia="es-ES"/>
              </w:rPr>
              <w:t xml:space="preserve">“1. OBRAS EN INFRAESTRUCTURA DE EDUCACIÓN, 2. OBRAS EN INFRAESTRUCTURA RECREODEPORTIVA Y CULTURAL EN INFRAESTRUCTURA EDUCATIVA, 3. OBRAS EN VÍAS DE ACCESO O PARQUEADEROS O ZONAS DE CIRCULACIÓN (VEHICULAR O PEATONAL) O PLAZUELAS O PLAZAS O PLAZUELAS EN INFRAESTRUCTURA EDUCATIVA, y 4. OBRAS PARA ATENCIÓN, PREVENCIÓN O MITIGACIÓN DE EMERGENCIAS DIFERENTES A CONTRATACIÓN DIRECTA PARA EL SECTOR EDUCATIVO. Sobre los tipos de obras señaladas, la Matriz 1 – Experiencia contiene una serie de actividades donde la entidad debe encuadrar el objeto del proceso que pretende ejecutar. </w:t>
            </w:r>
          </w:p>
          <w:p w14:paraId="62685D7C" w14:textId="77777777" w:rsidR="008F50DF" w:rsidRPr="008F50DF" w:rsidRDefault="008F50DF" w:rsidP="008F50DF">
            <w:pPr>
              <w:spacing w:after="120" w:line="276" w:lineRule="auto"/>
              <w:jc w:val="both"/>
              <w:rPr>
                <w:rFonts w:ascii="Verdana" w:eastAsia="Times New Roman" w:hAnsi="Verdana" w:cs="Times New Roman"/>
                <w:color w:val="000000"/>
                <w:lang w:eastAsia="es-CO"/>
              </w:rPr>
            </w:pPr>
            <w:r w:rsidRPr="008F50DF">
              <w:rPr>
                <w:rFonts w:ascii="Verdana" w:eastAsia="Times New Roman" w:hAnsi="Verdana" w:cs="Times New Roman"/>
                <w:color w:val="000000"/>
                <w:lang w:eastAsia="es-CO"/>
              </w:rPr>
              <w:tab/>
              <w:t xml:space="preserve">Concretamente, en su solicitud usted indaga sobre la aplicación de las actividades 1.12, 1.14 y 1.16 contenidas en la Matriz 1 – Experiencia para un contrato que tiene por objeto la dotación de infraestructura educativa. De esta forma, resulta pertinente establecer el alcance de las actividades mencionadas para determinar si estas se enmarcan o no en el proyecto que pretende contratar la entidad. </w:t>
            </w:r>
          </w:p>
          <w:p w14:paraId="58D75089" w14:textId="77777777" w:rsidR="008F50DF" w:rsidRPr="008F50DF" w:rsidRDefault="008F50DF" w:rsidP="008F50DF">
            <w:pPr>
              <w:spacing w:after="120" w:line="276" w:lineRule="auto"/>
              <w:ind w:firstLine="708"/>
              <w:jc w:val="both"/>
              <w:rPr>
                <w:rFonts w:ascii="Verdana" w:eastAsia="Aptos" w:hAnsi="Verdana" w:cs="Times New Roman"/>
                <w:lang w:eastAsia="es-CO"/>
              </w:rPr>
            </w:pPr>
            <w:r w:rsidRPr="008F50DF">
              <w:rPr>
                <w:rFonts w:ascii="Verdana" w:eastAsia="Times New Roman" w:hAnsi="Verdana" w:cs="Times New Roman"/>
                <w:color w:val="000000"/>
                <w:lang w:eastAsia="es-CO"/>
              </w:rPr>
              <w:t xml:space="preserve">Las actividades 1.12, 1.14 y 1.16 contenidas en el capítulo I “Obras en infraestructura educativa” de la Matriz 1 – Experiencia de los Documentos Tipo del Sector Educativo, </w:t>
            </w:r>
            <w:r w:rsidRPr="008F50DF">
              <w:rPr>
                <w:rFonts w:ascii="Verdana" w:eastAsia="Aptos" w:hAnsi="Verdana" w:cs="Times New Roman"/>
                <w:lang w:eastAsia="es-CO"/>
              </w:rPr>
              <w:t xml:space="preserve">aplican para los procesos que adelanten las entidades obligadas a utilizar los documentos tipo, cuando correspondan al </w:t>
            </w:r>
            <w:r w:rsidRPr="008F50DF">
              <w:rPr>
                <w:rFonts w:ascii="Verdana" w:eastAsia="Aptos" w:hAnsi="Verdana" w:cs="Times New Roman"/>
                <w:i/>
                <w:iCs/>
                <w:lang w:eastAsia="es-CO"/>
              </w:rPr>
              <w:t>suministro e instalación</w:t>
            </w:r>
            <w:r w:rsidRPr="008F50DF">
              <w:rPr>
                <w:rFonts w:ascii="Verdana" w:eastAsia="Aptos" w:hAnsi="Verdana" w:cs="Times New Roman"/>
                <w:lang w:eastAsia="es-CO"/>
              </w:rPr>
              <w:t xml:space="preserve"> de mobiliario interno o externo (1.12), sistemas de aire acondicionado, sistemas de ventilación o similares (1.14), y equipos especiales, electromecánicos y/o electrónicos, maquinarias u otros tipos de equipos (1.16) sobre infraestructura educativa.</w:t>
            </w:r>
          </w:p>
          <w:p w14:paraId="57398696" w14:textId="77777777" w:rsidR="008F50DF" w:rsidRPr="008F50DF" w:rsidRDefault="008F50DF" w:rsidP="008F50DF">
            <w:pPr>
              <w:spacing w:after="120" w:line="276" w:lineRule="auto"/>
              <w:jc w:val="both"/>
              <w:rPr>
                <w:rFonts w:ascii="Verdana" w:eastAsia="Times New Roman" w:hAnsi="Verdana" w:cs="Times New Roman"/>
                <w:color w:val="000000"/>
                <w:lang w:eastAsia="es-CO"/>
              </w:rPr>
            </w:pPr>
            <w:r w:rsidRPr="008F50DF">
              <w:rPr>
                <w:rFonts w:ascii="Verdana" w:eastAsia="Times New Roman" w:hAnsi="Verdana" w:cs="Times New Roman"/>
                <w:color w:val="000000"/>
                <w:lang w:eastAsia="es-CO"/>
              </w:rPr>
              <w:lastRenderedPageBreak/>
              <w:tab/>
              <w:t xml:space="preserve">De esta forma, </w:t>
            </w:r>
            <w:r w:rsidRPr="008F50DF">
              <w:rPr>
                <w:rFonts w:ascii="Verdana" w:eastAsia="Times New Roman" w:hAnsi="Verdana" w:cs="Times New Roman"/>
                <w:i/>
                <w:iCs/>
                <w:color w:val="000000"/>
                <w:lang w:eastAsia="es-CO"/>
              </w:rPr>
              <w:t>la actividad de suministro está ligada a la actividad de instalación de los muebles mencionados que se encuentran en edificaciones que hacen parte de la infraestructura educativa.</w:t>
            </w:r>
            <w:r w:rsidRPr="008F50DF">
              <w:rPr>
                <w:rFonts w:ascii="Verdana" w:eastAsia="Times New Roman" w:hAnsi="Verdana" w:cs="Times New Roman"/>
                <w:color w:val="000000"/>
                <w:lang w:eastAsia="es-CO"/>
              </w:rPr>
              <w:t xml:space="preserve"> Así, por sí sola, la actividad de suministro no requiere la aplicación de los documentos tipo expedidos por esta Agencia en el Sector Educativo. Es decir que, si una entidad pretende adelantar un proceso que tenga por objeto el suministro de mobiliario interno o externo, el suministro de sistemas de aire acondicionado, sistemas de ventilación o similares, y el suministro de equipos especiales, electromecánicos y/o electrónicos, maquinarias u otros tipos de equipos sobre infraestructura educativa, no tendrá que aplicar los documentos tipo expedidos por esta Agencia en el sector educativo.</w:t>
            </w:r>
          </w:p>
          <w:p w14:paraId="54ED1B22" w14:textId="77777777" w:rsidR="008F50DF" w:rsidRPr="008F50DF" w:rsidRDefault="008F50DF" w:rsidP="008F50DF">
            <w:pPr>
              <w:spacing w:after="120" w:line="276" w:lineRule="auto"/>
              <w:jc w:val="both"/>
              <w:rPr>
                <w:rFonts w:ascii="Verdana" w:eastAsia="Times New Roman" w:hAnsi="Verdana" w:cs="Times New Roman"/>
                <w:color w:val="000000"/>
                <w:lang w:eastAsia="es-CO"/>
              </w:rPr>
            </w:pPr>
            <w:r w:rsidRPr="008F50DF">
              <w:rPr>
                <w:rFonts w:ascii="Verdana" w:eastAsia="Times New Roman" w:hAnsi="Verdana" w:cs="Times New Roman"/>
                <w:color w:val="000000"/>
                <w:lang w:eastAsia="es-CO"/>
              </w:rPr>
              <w:tab/>
              <w:t>Ahora bien, si el objeto del proceso de selección implica la instalación de mobiliario interno o externo, sistemas de aire acondicionado, sistemas de ventilación o similares, y la instalación de equipos especiales, electromecánicos y/o electrónicos, maquinarias u otros tipos de equipos sobre infraestructura educativa, se deberán aplicar los documentos tipo del sector educativo expedidos por esta Agencia. En estos casos, la entidad que adelante el proceso también deberá contratar el suministro utilizando los documentos tipo referidos, ya que, como se indicó, las actividades 1.12, 1.14 y 1.16 contenidas en dichos documentos aplican para el suministro e instalación del mobiliario y los equipos mencionados.</w:t>
            </w:r>
          </w:p>
          <w:p w14:paraId="2736BDBF" w14:textId="77777777" w:rsidR="008F50DF" w:rsidRPr="008F50DF" w:rsidRDefault="008F50DF" w:rsidP="008F50DF">
            <w:pPr>
              <w:spacing w:line="276" w:lineRule="auto"/>
              <w:jc w:val="both"/>
              <w:rPr>
                <w:rFonts w:ascii="Verdana" w:eastAsia="Calibri" w:hAnsi="Verdana" w:cs="Arial"/>
                <w:color w:val="000000"/>
                <w:lang w:val="es-ES_tradnl"/>
              </w:rPr>
            </w:pPr>
            <w:r w:rsidRPr="008F50DF">
              <w:rPr>
                <w:rFonts w:ascii="Verdana" w:eastAsia="Times New Roman" w:hAnsi="Verdana" w:cs="Times New Roman"/>
                <w:color w:val="000000"/>
                <w:lang w:eastAsia="es-CO"/>
              </w:rPr>
              <w:tab/>
              <w:t xml:space="preserve">El argumento expuesto en los párrafos precedentes es acorde con los documentos tipo adoptados mediante las Resoluciones 539, 540 y 541 de 2025. En el artículo 1 de cada una de estas resoluciones se establece que estos aplican a </w:t>
            </w:r>
            <w:r w:rsidRPr="008F50DF">
              <w:rPr>
                <w:rFonts w:ascii="Verdana" w:eastAsia="Times New Roman" w:hAnsi="Verdana" w:cs="Times New Roman"/>
                <w:i/>
                <w:iCs/>
                <w:color w:val="000000"/>
                <w:lang w:eastAsia="es-CO"/>
              </w:rPr>
              <w:t>“(…) los procesos de obra pública de infraestructura social”</w:t>
            </w:r>
            <w:r w:rsidRPr="008F50DF">
              <w:rPr>
                <w:rFonts w:ascii="Verdana" w:eastAsia="Times New Roman" w:hAnsi="Verdana" w:cs="Times New Roman"/>
                <w:color w:val="000000"/>
                <w:lang w:eastAsia="es-CO"/>
              </w:rPr>
              <w:t xml:space="preserve"> que se adelanten en cada una de las modalidades que estas acogen. Es decir, que los documentos tipo señalados aplica, para </w:t>
            </w:r>
            <w:r w:rsidRPr="008F50DF">
              <w:rPr>
                <w:rFonts w:ascii="Verdana" w:eastAsia="Calibri" w:hAnsi="Verdana" w:cs="Arial"/>
                <w:color w:val="000000"/>
                <w:lang w:val="es-ES_tradnl"/>
              </w:rPr>
              <w:t>los contratos “(…) que celebren las entidades estatales para la construcción, mantenimiento, instalación y, en general, para la realización de cualquier otro trabajo material sobre bienes inmuebles, cualquiera que sea la modalidad de ejecución y pago”</w:t>
            </w:r>
            <w:r w:rsidRPr="008F50DF">
              <w:rPr>
                <w:rFonts w:ascii="Verdana" w:eastAsia="Calibri" w:hAnsi="Verdana" w:cs="Arial"/>
                <w:color w:val="000000"/>
                <w:vertAlign w:val="superscript"/>
                <w:lang w:val="es-ES_tradnl"/>
              </w:rPr>
              <w:footnoteReference w:id="1"/>
            </w:r>
            <w:r w:rsidRPr="008F50DF">
              <w:rPr>
                <w:rFonts w:ascii="Verdana" w:eastAsia="Calibri" w:hAnsi="Verdana" w:cs="Arial"/>
                <w:color w:val="000000"/>
                <w:lang w:val="es-ES_tradnl"/>
              </w:rPr>
              <w:t xml:space="preserve">. </w:t>
            </w:r>
          </w:p>
          <w:p w14:paraId="7A1A0C6B" w14:textId="77777777" w:rsidR="008F50DF" w:rsidRPr="008F50DF" w:rsidRDefault="008F50DF" w:rsidP="008F50DF">
            <w:pPr>
              <w:spacing w:line="276" w:lineRule="auto"/>
              <w:jc w:val="both"/>
              <w:rPr>
                <w:rFonts w:ascii="Verdana" w:eastAsia="Times New Roman" w:hAnsi="Verdana" w:cs="Times New Roman"/>
                <w:color w:val="000000"/>
                <w:lang w:eastAsia="es-CO"/>
              </w:rPr>
            </w:pPr>
          </w:p>
          <w:p w14:paraId="545B6260" w14:textId="77777777" w:rsidR="008F50DF" w:rsidRPr="008F50DF" w:rsidRDefault="008F50DF" w:rsidP="008F50DF">
            <w:pPr>
              <w:spacing w:after="120" w:line="276" w:lineRule="auto"/>
              <w:jc w:val="both"/>
              <w:rPr>
                <w:rFonts w:ascii="Verdana" w:eastAsia="Calibri" w:hAnsi="Verdana" w:cs="Arial"/>
                <w:lang w:val="es-ES_tradnl"/>
              </w:rPr>
            </w:pPr>
            <w:proofErr w:type="spellStart"/>
            <w:r w:rsidRPr="008F50DF">
              <w:rPr>
                <w:rFonts w:ascii="Verdana" w:eastAsia="Times New Roman" w:hAnsi="Verdana" w:cs="Times New Roman"/>
                <w:color w:val="000000"/>
                <w:lang w:eastAsia="es-CO"/>
              </w:rPr>
              <w:lastRenderedPageBreak/>
              <w:t>iii</w:t>
            </w:r>
            <w:proofErr w:type="spellEnd"/>
            <w:r w:rsidRPr="008F50DF">
              <w:rPr>
                <w:rFonts w:ascii="Verdana" w:eastAsia="Times New Roman" w:hAnsi="Verdana" w:cs="Times New Roman"/>
                <w:color w:val="000000"/>
                <w:lang w:eastAsia="es-CO"/>
              </w:rPr>
              <w:t xml:space="preserve">. Las actividades 1.12, 1.14 y 1.16 contenidas en la Matriz 1 – Experiencia de los Documentos Tipo del Sector Educativo, </w:t>
            </w:r>
            <w:r w:rsidRPr="008F50DF">
              <w:rPr>
                <w:rFonts w:ascii="Verdana" w:eastAsia="Calibri" w:hAnsi="Verdana" w:cs="Arial"/>
                <w:lang w:val="es-ES"/>
              </w:rPr>
              <w:t xml:space="preserve">incluyen la instalación, la cual, como se indicó, es constitutiva del objeto de contrato de obra pública. </w:t>
            </w:r>
          </w:p>
          <w:p w14:paraId="50D9E04E" w14:textId="77777777" w:rsidR="008F50DF" w:rsidRPr="008F50DF" w:rsidRDefault="008F50DF" w:rsidP="008F50DF">
            <w:pPr>
              <w:spacing w:after="120" w:line="276" w:lineRule="auto"/>
              <w:ind w:firstLine="709"/>
              <w:jc w:val="both"/>
              <w:rPr>
                <w:rFonts w:ascii="Verdana" w:eastAsia="Calibri" w:hAnsi="Verdana" w:cs="Arial"/>
                <w:lang w:val="es-ES_tradnl"/>
              </w:rPr>
            </w:pPr>
            <w:r w:rsidRPr="008F50DF">
              <w:rPr>
                <w:rFonts w:ascii="Verdana" w:eastAsia="Calibri" w:hAnsi="Verdana" w:cs="Arial"/>
                <w:lang w:val="es-ES_tradnl"/>
              </w:rPr>
              <w:t xml:space="preserve">Sin embargo, esto no quiere decir que </w:t>
            </w:r>
            <w:r w:rsidRPr="008F50DF">
              <w:rPr>
                <w:rFonts w:ascii="Verdana" w:eastAsia="Calibri" w:hAnsi="Verdana" w:cs="Arial"/>
                <w:i/>
                <w:iCs/>
                <w:lang w:val="es-ES_tradnl"/>
              </w:rPr>
              <w:t>toda</w:t>
            </w:r>
            <w:r w:rsidRPr="008F50DF">
              <w:rPr>
                <w:rFonts w:ascii="Verdana" w:eastAsia="Calibri" w:hAnsi="Verdana" w:cs="Arial"/>
                <w:lang w:val="es-ES_tradnl"/>
              </w:rPr>
              <w:t xml:space="preserve"> instalación que se pacte, como obligación a cargo del contratista, permita clasificar el negocio jurídico como un contrato de obra pública. Por ejemplo, para el supuesto de la instalación de equipos de aire acondicionado o mobiliario, ¿cómo se sabe si el contrato es o no uno de obra pública, teniendo en cuenta que el artículo 32, numeral 1, de la Ley 80 de 1993, dispone que la “instalación” de elementos sobre bienes inmuebles es constitutivo de esta tipología contractual? La Sala de Consulta y Servicio Civil del Consejo de Estado sugiere el siguiente criterio hermenéutico: “Ante la ausencia y vacío legislativo, para la Sala un criterio de interpretación que ayude a dilucidar esta situación será el de atender al carácter de la prestación principal. El objeto principal, a su vez, podría determinarse en función de cuál es la prestación que tenga el mayor de los valores estimados”. </w:t>
            </w:r>
          </w:p>
          <w:p w14:paraId="517EEB99" w14:textId="77777777" w:rsidR="008F50DF" w:rsidRPr="008F50DF" w:rsidRDefault="008F50DF" w:rsidP="008F50DF">
            <w:pPr>
              <w:spacing w:after="120" w:line="276" w:lineRule="auto"/>
              <w:ind w:firstLine="709"/>
              <w:jc w:val="both"/>
              <w:rPr>
                <w:rFonts w:ascii="Verdana" w:eastAsia="Calibri" w:hAnsi="Verdana" w:cs="Arial"/>
                <w:lang w:val="es-ES"/>
              </w:rPr>
            </w:pPr>
            <w:r w:rsidRPr="008F50DF">
              <w:rPr>
                <w:rFonts w:ascii="Verdana" w:eastAsia="Calibri" w:hAnsi="Verdana" w:cs="Arial"/>
                <w:lang w:val="es-ES"/>
              </w:rPr>
              <w:t xml:space="preserve">Con fundamento en lo anterior, puede decirse que la obligación de instalar un bien mueble en un inmueble –convirtiendo a aquel en un inmueble por adhesión o por destinación– </w:t>
            </w:r>
            <w:r w:rsidRPr="008F50DF">
              <w:rPr>
                <w:rFonts w:ascii="Verdana" w:eastAsia="Calibri" w:hAnsi="Verdana" w:cs="Arial"/>
                <w:i/>
                <w:lang w:val="es-ES"/>
              </w:rPr>
              <w:t>no</w:t>
            </w:r>
            <w:r w:rsidRPr="008F50DF">
              <w:rPr>
                <w:rFonts w:ascii="Verdana" w:eastAsia="Calibri" w:hAnsi="Verdana" w:cs="Arial"/>
                <w:lang w:val="es-ES"/>
              </w:rPr>
              <w:t xml:space="preserve"> es privativa del contrato de obra pública, pues puede estar presente también en un contrato de suministro, de compraventa o en un contrato mixto (atípico). Lo que determinará cuál es la tipología contractual o la existencia del contrato mixto será la valoración de los siguientes elementos: i) la definición de cuál es la prestación principal del contrato, </w:t>
            </w:r>
            <w:proofErr w:type="spellStart"/>
            <w:r w:rsidRPr="008F50DF">
              <w:rPr>
                <w:rFonts w:ascii="Verdana" w:eastAsia="Calibri" w:hAnsi="Verdana" w:cs="Arial"/>
                <w:lang w:val="es-ES"/>
              </w:rPr>
              <w:t>ii</w:t>
            </w:r>
            <w:proofErr w:type="spellEnd"/>
            <w:r w:rsidRPr="008F50DF">
              <w:rPr>
                <w:rFonts w:ascii="Verdana" w:eastAsia="Calibri" w:hAnsi="Verdana" w:cs="Arial"/>
                <w:lang w:val="es-ES"/>
              </w:rPr>
              <w:t xml:space="preserve">) la finalidad de las partes y </w:t>
            </w:r>
            <w:proofErr w:type="spellStart"/>
            <w:r w:rsidRPr="008F50DF">
              <w:rPr>
                <w:rFonts w:ascii="Verdana" w:eastAsia="Calibri" w:hAnsi="Verdana" w:cs="Arial"/>
                <w:lang w:val="es-ES"/>
              </w:rPr>
              <w:t>iii</w:t>
            </w:r>
            <w:proofErr w:type="spellEnd"/>
            <w:r w:rsidRPr="008F50DF">
              <w:rPr>
                <w:rFonts w:ascii="Verdana" w:eastAsia="Calibri" w:hAnsi="Verdana" w:cs="Arial"/>
                <w:lang w:val="es-ES"/>
              </w:rPr>
              <w:t>) si se trata de prestaciones mixtas, “que las prestaciones correspondientes que pretendan fusionarse se encuentren directamente vinculadas entre sí, de tal manera que mantengan relaciones de complemento y que permitan predicar su tratamiento solo como una unidad funcional dirigida a la satisfacción de la necesidad de la entidad”. Este es un análisis que, por tanto, debe realizarse en cada caso concreto, considerando los datos técnicos y económicos del objeto contractual.</w:t>
            </w:r>
          </w:p>
          <w:p w14:paraId="0D212F91" w14:textId="77777777" w:rsidR="008F50DF" w:rsidRPr="008F50DF" w:rsidRDefault="008F50DF" w:rsidP="008F50DF">
            <w:pPr>
              <w:spacing w:after="120" w:line="276" w:lineRule="auto"/>
              <w:ind w:firstLine="708"/>
              <w:jc w:val="both"/>
              <w:rPr>
                <w:rFonts w:ascii="Verdana" w:eastAsia="Times New Roman" w:hAnsi="Verdana" w:cs="Times New Roman"/>
                <w:color w:val="000000"/>
                <w:lang w:eastAsia="es-CO"/>
              </w:rPr>
            </w:pPr>
            <w:r w:rsidRPr="008F50DF">
              <w:rPr>
                <w:rFonts w:ascii="Verdana" w:eastAsia="Calibri" w:hAnsi="Verdana" w:cs="Arial"/>
                <w:lang w:val="es-ES" w:eastAsia="es-ES_tradnl"/>
              </w:rPr>
              <w:t xml:space="preserve">En este contexto, </w:t>
            </w:r>
            <w:r w:rsidRPr="008F50DF">
              <w:rPr>
                <w:rFonts w:ascii="Verdana" w:eastAsia="Aptos" w:hAnsi="Verdana" w:cs="Arial"/>
                <w:lang w:eastAsia="es-ES_tradnl"/>
              </w:rPr>
              <w:t xml:space="preserve">no es posible afirmar de manera categórica que el suministro e instalación de bienes muebles como </w:t>
            </w:r>
            <w:r w:rsidRPr="008F50DF">
              <w:rPr>
                <w:rFonts w:ascii="Verdana" w:eastAsia="Times New Roman" w:hAnsi="Verdana" w:cs="Times New Roman"/>
                <w:color w:val="000000"/>
                <w:lang w:eastAsia="es-CO"/>
              </w:rPr>
              <w:t xml:space="preserve">mobiliario interno o externo, sistemas de aires acondicionadas o sistemas de ventilación o similar, y equipos especiales o electromecánicos y/o electrónicos y/o maquinarias u otros tipos </w:t>
            </w:r>
            <w:r w:rsidRPr="008F50DF">
              <w:rPr>
                <w:rFonts w:ascii="Verdana" w:eastAsia="Times New Roman" w:hAnsi="Verdana" w:cs="Times New Roman"/>
                <w:color w:val="000000"/>
                <w:lang w:eastAsia="es-CO"/>
              </w:rPr>
              <w:lastRenderedPageBreak/>
              <w:t xml:space="preserve">de equipos sobre </w:t>
            </w:r>
            <w:r w:rsidRPr="008F50DF">
              <w:rPr>
                <w:rFonts w:ascii="Verdana" w:eastAsia="Aptos" w:hAnsi="Verdana" w:cs="Arial"/>
                <w:lang w:eastAsia="es-ES_tradnl"/>
              </w:rPr>
              <w:t xml:space="preserve">un inmueble que tiene la categoría de infraestructura educativa deba clasificarse, en todos los casos, como un contrato de obra pública para efecto de la utilización de los Documentos Tipo </w:t>
            </w:r>
            <w:r w:rsidRPr="008F50DF">
              <w:rPr>
                <w:rFonts w:ascii="Verdana" w:eastAsia="Times New Roman" w:hAnsi="Verdana" w:cs="Times New Roman"/>
                <w:color w:val="000000"/>
                <w:lang w:eastAsia="es-CO"/>
              </w:rPr>
              <w:t>del Sector Educativo</w:t>
            </w:r>
            <w:r w:rsidRPr="008F50DF">
              <w:rPr>
                <w:rFonts w:ascii="Verdana" w:eastAsia="Aptos" w:hAnsi="Verdana" w:cs="Arial"/>
                <w:lang w:eastAsia="es-ES_tradnl"/>
              </w:rPr>
              <w:t xml:space="preserve">. Para establecer la naturaleza jurídica de este tipo de contratos, la entidad estatal debe analizar las circunstancias particulares de cada caso y considerar los criterios que permitan identificar la prestación principal, la finalidad de las partes y la relación de conexidad de las prestaciones.  </w:t>
            </w:r>
          </w:p>
          <w:p w14:paraId="4D2A7F21" w14:textId="77777777" w:rsidR="008F50DF" w:rsidRPr="008F50DF" w:rsidRDefault="008F50DF" w:rsidP="008F50DF">
            <w:pPr>
              <w:spacing w:after="120" w:line="276" w:lineRule="auto"/>
              <w:ind w:firstLine="709"/>
              <w:jc w:val="both"/>
              <w:rPr>
                <w:rFonts w:ascii="Verdana" w:eastAsia="Calibri" w:hAnsi="Verdana" w:cs="Arial"/>
                <w:lang w:val="es-ES_tradnl"/>
              </w:rPr>
            </w:pPr>
            <w:r w:rsidRPr="008F50DF">
              <w:rPr>
                <w:rFonts w:ascii="Verdana" w:eastAsia="Calibri" w:hAnsi="Verdana" w:cs="Arial"/>
                <w:lang w:eastAsia="es-ES_tradnl"/>
              </w:rPr>
              <w:t>Atendiendo a lo señalado por l</w:t>
            </w:r>
            <w:r w:rsidRPr="008F50DF">
              <w:rPr>
                <w:rFonts w:ascii="Verdana" w:eastAsia="Calibri" w:hAnsi="Verdana" w:cs="Arial"/>
                <w:lang w:val="es-ES_tradnl"/>
              </w:rPr>
              <w:t>a Sala de Consulta y Servicio Civil del Consejo de Estado,</w:t>
            </w:r>
            <w:r w:rsidRPr="008F50DF">
              <w:rPr>
                <w:rFonts w:ascii="Verdana" w:eastAsia="Calibri" w:hAnsi="Verdana" w:cs="Times New Roman"/>
                <w:color w:val="000000"/>
              </w:rPr>
              <w:t xml:space="preserve"> adhiriéndose al método de absorción para efectos de integrar el régimen jurídico aplicable,</w:t>
            </w:r>
            <w:r w:rsidRPr="008F50DF">
              <w:rPr>
                <w:rFonts w:ascii="Verdana" w:eastAsia="Calibri" w:hAnsi="Verdana" w:cs="Arial"/>
                <w:lang w:val="es-ES_tradnl"/>
              </w:rPr>
              <w:t xml:space="preserve"> se considera que en el caso referido es fundamental determinar la prestación principal para establecer dicho </w:t>
            </w:r>
            <w:r w:rsidRPr="008F50DF">
              <w:rPr>
                <w:rFonts w:ascii="Verdana" w:eastAsia="Calibri" w:hAnsi="Verdana" w:cs="Arial"/>
                <w:lang w:eastAsia="es-ES_tradnl"/>
              </w:rPr>
              <w:t>régimen</w:t>
            </w:r>
            <w:r w:rsidRPr="008F50DF">
              <w:rPr>
                <w:rFonts w:ascii="Verdana" w:eastAsia="Calibri" w:hAnsi="Verdana" w:cs="Arial"/>
                <w:lang w:val="es-ES_tradnl"/>
              </w:rPr>
              <w:t>.</w:t>
            </w:r>
            <w:r w:rsidRPr="008F50DF">
              <w:rPr>
                <w:rFonts w:ascii="Verdana" w:eastAsia="Calibri" w:hAnsi="Verdana" w:cs="Arial"/>
                <w:lang w:val="es-ES" w:eastAsia="es-ES_tradnl"/>
              </w:rPr>
              <w:t xml:space="preserve"> </w:t>
            </w:r>
          </w:p>
          <w:p w14:paraId="725BEA54" w14:textId="77777777" w:rsidR="008F50DF" w:rsidRPr="008F50DF" w:rsidRDefault="008F50DF" w:rsidP="008F50DF">
            <w:pPr>
              <w:spacing w:after="120" w:line="276" w:lineRule="auto"/>
              <w:ind w:firstLine="709"/>
              <w:jc w:val="both"/>
              <w:rPr>
                <w:rFonts w:ascii="Verdana" w:eastAsia="Calibri" w:hAnsi="Verdana" w:cs="Arial"/>
                <w:lang w:eastAsia="es-ES_tradnl"/>
              </w:rPr>
            </w:pPr>
            <w:r w:rsidRPr="008F50DF">
              <w:rPr>
                <w:rFonts w:ascii="Verdana" w:eastAsia="Calibri" w:hAnsi="Verdana" w:cs="Arial"/>
                <w:lang w:eastAsia="es-ES_tradnl"/>
              </w:rPr>
              <w:t xml:space="preserve">Para tales efectos, la entidad estatal podría determinar </w:t>
            </w:r>
            <w:r w:rsidRPr="008F50DF">
              <w:rPr>
                <w:rFonts w:ascii="Verdana" w:eastAsia="Calibri" w:hAnsi="Verdana" w:cs="Arial"/>
                <w:color w:val="000000"/>
                <w:lang w:val="es-ES_tradnl"/>
              </w:rPr>
              <w:t>el régimen del contrato típico al que pertenece</w:t>
            </w:r>
            <w:r w:rsidRPr="008F50DF">
              <w:rPr>
                <w:rFonts w:ascii="Verdana" w:eastAsia="Calibri" w:hAnsi="Verdana" w:cs="Arial"/>
                <w:lang w:eastAsia="es-ES_tradnl"/>
              </w:rPr>
              <w:t xml:space="preserve"> atendiendo a cuál de las obligaciones - suministro o instalación-, absorbe a la otra, bien sea por su relevancia funcional o por su peso económico. Así, para establecer si un contrato debe ser considerado de obra, la entidad debe verificar si la obligación predominante consiste en la ejecución de actividades materiales que intervengan el bien inmueble al que se incorporara el aire acondicionado o el mobiliario. </w:t>
            </w:r>
          </w:p>
          <w:p w14:paraId="4B399472" w14:textId="77777777" w:rsidR="008F50DF" w:rsidRPr="008F50DF" w:rsidRDefault="008F50DF" w:rsidP="008F50DF">
            <w:pPr>
              <w:spacing w:after="120" w:line="276" w:lineRule="auto"/>
              <w:ind w:firstLine="709"/>
              <w:jc w:val="both"/>
              <w:rPr>
                <w:rFonts w:ascii="Verdana" w:eastAsia="Calibri" w:hAnsi="Verdana" w:cs="Arial"/>
                <w:lang w:eastAsia="es-ES_tradnl"/>
              </w:rPr>
            </w:pPr>
            <w:r w:rsidRPr="008F50DF">
              <w:rPr>
                <w:rFonts w:ascii="Verdana" w:eastAsia="Calibri" w:hAnsi="Verdana" w:cs="Arial"/>
                <w:lang w:eastAsia="es-ES_tradnl"/>
              </w:rPr>
              <w:t>A modo de ilustración, si la instalación de equipos exige intervenciones intramurales que afecten paredes, redes eléctricas, sistemas hidráulicos o elementos estructurales del inmueble, podría sostenerse que la naturaleza del contrato es la de obra, ya que la actividad principal consiste en transformar y adecuar el inmueble para permitir el funcionamiento adecuado de los bienes instalados. En estos casos, el criterio determinante no es únicamente el componente presupuestal, sino la finalidad del contrato y el grado de intervención en el inmueble.</w:t>
            </w:r>
          </w:p>
          <w:p w14:paraId="7B00C409" w14:textId="77777777" w:rsidR="008F50DF" w:rsidRPr="008F50DF" w:rsidRDefault="008F50DF" w:rsidP="008F50DF">
            <w:pPr>
              <w:spacing w:line="276" w:lineRule="auto"/>
              <w:ind w:firstLine="709"/>
              <w:jc w:val="both"/>
              <w:rPr>
                <w:rFonts w:ascii="Verdana" w:eastAsia="Calibri" w:hAnsi="Verdana" w:cs="Arial"/>
                <w:lang w:eastAsia="es-ES_tradnl"/>
              </w:rPr>
            </w:pPr>
            <w:r w:rsidRPr="008F50DF">
              <w:rPr>
                <w:rFonts w:ascii="Verdana" w:eastAsia="Calibri" w:hAnsi="Verdana" w:cs="Arial"/>
                <w:lang w:eastAsia="es-ES_tradnl"/>
              </w:rPr>
              <w:t xml:space="preserve">En este contexto, a juicio de esta Agencia, es importante que la entidad realice una valoración integral de las actividades y obligaciones del contrato teniendo en cuenta los distintos criterios expuestos para para determinar el régimen contractual aplicable al contrato, y por ende, si deben aplicarse o no los Documentos Tipo del Sector Educativo expedidos por esta Agencia. </w:t>
            </w:r>
          </w:p>
        </w:tc>
      </w:tr>
    </w:tbl>
    <w:p w14:paraId="6DD3EF91" w14:textId="77777777" w:rsidR="008F50DF" w:rsidRPr="008F50DF" w:rsidRDefault="008F50DF" w:rsidP="008F50DF">
      <w:pPr>
        <w:tabs>
          <w:tab w:val="left" w:pos="142"/>
          <w:tab w:val="left" w:pos="284"/>
        </w:tabs>
        <w:spacing w:after="0" w:line="276" w:lineRule="auto"/>
        <w:jc w:val="both"/>
        <w:rPr>
          <w:rFonts w:ascii="Verdana" w:eastAsia="Century Gothic" w:hAnsi="Verdana" w:cs="Century Gothic"/>
          <w:b/>
          <w:bCs/>
          <w:lang w:val="es-ES"/>
        </w:rPr>
      </w:pPr>
    </w:p>
    <w:p w14:paraId="769A7107" w14:textId="77777777" w:rsidR="008F50DF" w:rsidRPr="008F50DF" w:rsidRDefault="008F50DF" w:rsidP="008F50DF">
      <w:pPr>
        <w:tabs>
          <w:tab w:val="left" w:pos="142"/>
          <w:tab w:val="left" w:pos="284"/>
        </w:tabs>
        <w:spacing w:after="0" w:line="276" w:lineRule="auto"/>
        <w:jc w:val="both"/>
        <w:rPr>
          <w:rFonts w:ascii="Verdana" w:eastAsia="Century Gothic" w:hAnsi="Verdana" w:cs="Century Gothic"/>
          <w:b/>
          <w:bCs/>
          <w:lang w:val="es-ES"/>
        </w:rPr>
      </w:pPr>
      <w:r w:rsidRPr="008F50DF">
        <w:rPr>
          <w:rFonts w:ascii="Verdana" w:eastAsia="Century Gothic" w:hAnsi="Verdana" w:cs="Century Gothic"/>
          <w:b/>
          <w:bCs/>
          <w:lang w:val="es-ES"/>
        </w:rPr>
        <w:t>3. Razones de la respuesta:</w:t>
      </w:r>
    </w:p>
    <w:p w14:paraId="1DEF145A" w14:textId="77777777" w:rsidR="008F50DF" w:rsidRPr="008F50DF" w:rsidRDefault="008F50DF" w:rsidP="008F50DF">
      <w:pPr>
        <w:spacing w:after="0" w:line="276" w:lineRule="auto"/>
        <w:jc w:val="both"/>
        <w:rPr>
          <w:rFonts w:ascii="Verdana" w:eastAsia="Calibri" w:hAnsi="Verdana" w:cs="Arial"/>
          <w:lang w:val="es-ES"/>
        </w:rPr>
      </w:pPr>
    </w:p>
    <w:p w14:paraId="77EC8F71" w14:textId="77777777" w:rsidR="008F50DF" w:rsidRPr="008F50DF" w:rsidRDefault="008F50DF" w:rsidP="008F50DF">
      <w:pPr>
        <w:spacing w:after="0" w:line="276" w:lineRule="auto"/>
        <w:jc w:val="both"/>
        <w:rPr>
          <w:rFonts w:ascii="Verdana" w:eastAsia="Calibri" w:hAnsi="Verdana" w:cs="Arial"/>
          <w:lang w:val="es-ES"/>
        </w:rPr>
      </w:pPr>
      <w:r w:rsidRPr="008F50DF">
        <w:rPr>
          <w:rFonts w:ascii="Verdana" w:eastAsia="Calibri" w:hAnsi="Verdana" w:cs="Arial"/>
          <w:lang w:val="es-ES"/>
        </w:rPr>
        <w:lastRenderedPageBreak/>
        <w:t xml:space="preserve">Lo anterior se sustenta en las siguientes consideraciones: </w:t>
      </w:r>
    </w:p>
    <w:p w14:paraId="4947DE95" w14:textId="77777777" w:rsidR="008F50DF" w:rsidRPr="008F50DF" w:rsidRDefault="008F50DF" w:rsidP="008F50DF">
      <w:pPr>
        <w:spacing w:after="0" w:line="276" w:lineRule="auto"/>
        <w:jc w:val="both"/>
        <w:rPr>
          <w:rFonts w:ascii="Verdana" w:eastAsia="Calibri" w:hAnsi="Verdana" w:cs="Arial"/>
          <w:lang w:val="es-ES"/>
        </w:rPr>
      </w:pPr>
    </w:p>
    <w:p w14:paraId="6532CFC5" w14:textId="77777777" w:rsidR="008F50DF" w:rsidRPr="008F50DF" w:rsidRDefault="008F50DF" w:rsidP="008F50DF">
      <w:pPr>
        <w:widowControl w:val="0"/>
        <w:autoSpaceDE w:val="0"/>
        <w:autoSpaceDN w:val="0"/>
        <w:spacing w:line="276" w:lineRule="auto"/>
        <w:jc w:val="both"/>
        <w:rPr>
          <w:rFonts w:ascii="Verdana" w:eastAsia="Aptos" w:hAnsi="Verdana" w:cs="Arial"/>
        </w:rPr>
      </w:pPr>
      <w:r w:rsidRPr="008F50DF">
        <w:rPr>
          <w:rFonts w:ascii="Verdana" w:eastAsia="Calibri" w:hAnsi="Verdana" w:cs="Arial"/>
          <w:lang w:val="es-ES"/>
        </w:rPr>
        <w:t xml:space="preserve">i. </w:t>
      </w:r>
      <w:r w:rsidRPr="008F50DF">
        <w:rPr>
          <w:rFonts w:ascii="Verdana" w:eastAsia="Aptos" w:hAnsi="Verdana" w:cs="Arial"/>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6959AA01" w14:textId="77777777" w:rsidR="008F50DF" w:rsidRPr="008F50DF" w:rsidRDefault="008F50DF" w:rsidP="008F50DF">
      <w:pPr>
        <w:spacing w:after="120" w:line="276" w:lineRule="auto"/>
        <w:ind w:firstLine="708"/>
        <w:jc w:val="both"/>
        <w:rPr>
          <w:rFonts w:ascii="Verdana" w:eastAsia="Aptos" w:hAnsi="Verdana" w:cs="Arial"/>
        </w:rPr>
      </w:pPr>
      <w:r w:rsidRPr="008F50DF">
        <w:rPr>
          <w:rFonts w:ascii="Verdana" w:eastAsia="Aptos" w:hAnsi="Verdana" w:cs="Arial"/>
          <w:lang w:val="es-ES"/>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2FDBE8B7" w14:textId="77777777" w:rsidR="008F50DF" w:rsidRPr="008F50DF" w:rsidRDefault="008F50DF" w:rsidP="008F50DF">
      <w:pPr>
        <w:spacing w:after="120" w:line="276" w:lineRule="auto"/>
        <w:ind w:firstLine="708"/>
        <w:jc w:val="both"/>
        <w:rPr>
          <w:rFonts w:ascii="Verdana" w:eastAsia="Times New Roman" w:hAnsi="Verdana" w:cs="Times New Roman"/>
          <w:color w:val="000000"/>
          <w:lang w:eastAsia="es-CO"/>
        </w:rPr>
      </w:pPr>
      <w:r w:rsidRPr="008F50DF">
        <w:rPr>
          <w:rFonts w:ascii="Verdana" w:eastAsia="Aptos" w:hAnsi="Verdana" w:cs="Arial"/>
        </w:rPr>
        <w:t xml:space="preserve">En el sector social, </w:t>
      </w:r>
      <w:r w:rsidRPr="008F50DF">
        <w:rPr>
          <w:rFonts w:ascii="Verdana" w:eastAsia="Calibri" w:hAnsi="Verdana" w:cs="Arial"/>
          <w:lang w:val="es-MX"/>
        </w:rPr>
        <w:t xml:space="preserve">la Agencia Nacional de Contratación Pública – Colombia Compra </w:t>
      </w:r>
      <w:r w:rsidRPr="008F50DF">
        <w:rPr>
          <w:rFonts w:ascii="Verdana" w:eastAsia="Calibri" w:hAnsi="Verdana" w:cs="Arial"/>
        </w:rPr>
        <w:t xml:space="preserve">Eficiente </w:t>
      </w:r>
      <w:r w:rsidRPr="008F50DF">
        <w:rPr>
          <w:rFonts w:ascii="Verdana" w:eastAsia="Times New Roman" w:hAnsi="Verdana" w:cs="Times New Roman"/>
          <w:color w:val="000000"/>
          <w:lang w:eastAsia="es-CO"/>
        </w:rPr>
        <w:t xml:space="preserve">en el segundo semestre del año 2025 adoptó las siguientes Resoluciones para </w:t>
      </w:r>
      <w:r w:rsidRPr="008F50DF">
        <w:rPr>
          <w:rFonts w:ascii="Verdana" w:eastAsia="Times New Roman" w:hAnsi="Verdana" w:cs="Times New Roman"/>
          <w:i/>
          <w:iCs/>
          <w:color w:val="000000"/>
          <w:lang w:eastAsia="es-CO"/>
        </w:rPr>
        <w:t>contratar obra pública</w:t>
      </w:r>
      <w:r w:rsidRPr="008F50DF">
        <w:rPr>
          <w:rFonts w:ascii="Verdana" w:eastAsia="Times New Roman" w:hAnsi="Verdana" w:cs="Times New Roman"/>
          <w:color w:val="000000"/>
          <w:lang w:eastAsia="es-CO"/>
        </w:rPr>
        <w:t xml:space="preserve"> y concurso de méritos:</w:t>
      </w:r>
    </w:p>
    <w:p w14:paraId="227B9417" w14:textId="77777777" w:rsidR="008F50DF" w:rsidRPr="008F50DF" w:rsidRDefault="008F50DF" w:rsidP="008F50DF">
      <w:pPr>
        <w:spacing w:after="120" w:line="276" w:lineRule="auto"/>
        <w:ind w:firstLine="708"/>
        <w:jc w:val="both"/>
        <w:rPr>
          <w:rFonts w:ascii="Verdana" w:eastAsia="Times New Roman" w:hAnsi="Verdana" w:cs="Times New Roman"/>
          <w:color w:val="000000"/>
          <w:lang w:eastAsia="es-CO"/>
        </w:rPr>
      </w:pPr>
      <w:r w:rsidRPr="008F50DF">
        <w:rPr>
          <w:rFonts w:ascii="Verdana" w:eastAsia="Times New Roman" w:hAnsi="Verdana" w:cs="Times New Roman"/>
          <w:color w:val="000000"/>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79ED0780" w14:textId="77777777" w:rsidR="008F50DF" w:rsidRPr="008F50DF" w:rsidRDefault="008F50DF" w:rsidP="008F50DF">
      <w:pPr>
        <w:spacing w:after="120" w:line="276" w:lineRule="auto"/>
        <w:ind w:firstLine="708"/>
        <w:jc w:val="both"/>
        <w:rPr>
          <w:rFonts w:ascii="Verdana" w:eastAsia="Times New Roman" w:hAnsi="Verdana" w:cs="Times New Roman"/>
          <w:color w:val="000000"/>
          <w:lang w:eastAsia="es-CO"/>
        </w:rPr>
      </w:pPr>
      <w:r w:rsidRPr="008F50DF">
        <w:rPr>
          <w:rFonts w:ascii="Verdana" w:eastAsia="Times New Roman" w:hAnsi="Verdana" w:cs="Times New Roman"/>
          <w:color w:val="000000"/>
          <w:lang w:eastAsia="es-CO"/>
        </w:rPr>
        <w:t xml:space="preserve"> </w:t>
      </w:r>
      <w:proofErr w:type="spellStart"/>
      <w:r w:rsidRPr="008F50DF">
        <w:rPr>
          <w:rFonts w:ascii="Verdana" w:eastAsia="Times New Roman" w:hAnsi="Verdana" w:cs="Times New Roman"/>
          <w:color w:val="000000"/>
          <w:lang w:eastAsia="es-CO"/>
        </w:rPr>
        <w:t>ii</w:t>
      </w:r>
      <w:proofErr w:type="spellEnd"/>
      <w:r w:rsidRPr="008F50DF">
        <w:rPr>
          <w:rFonts w:ascii="Verdana" w:eastAsia="Times New Roman" w:hAnsi="Verdana" w:cs="Times New Roman"/>
          <w:color w:val="000000"/>
          <w:lang w:eastAsia="es-CO"/>
        </w:rPr>
        <w:t xml:space="preserve">)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w:t>
      </w:r>
      <w:r w:rsidRPr="008F50DF">
        <w:rPr>
          <w:rFonts w:ascii="Verdana" w:eastAsia="Times New Roman" w:hAnsi="Verdana" w:cs="Times New Roman"/>
          <w:color w:val="000000"/>
          <w:lang w:eastAsia="es-CO"/>
        </w:rPr>
        <w:lastRenderedPageBreak/>
        <w:t>infraestructura social relacionados con los sectores educación, salud, cultura, recreación y deporte, institucional y vivienda".</w:t>
      </w:r>
    </w:p>
    <w:p w14:paraId="1545AED7" w14:textId="77777777" w:rsidR="008F50DF" w:rsidRPr="008F50DF" w:rsidRDefault="008F50DF" w:rsidP="008F50DF">
      <w:pPr>
        <w:spacing w:after="120" w:line="276" w:lineRule="auto"/>
        <w:ind w:firstLine="708"/>
        <w:jc w:val="both"/>
        <w:rPr>
          <w:rFonts w:ascii="Verdana" w:eastAsia="Times New Roman" w:hAnsi="Verdana" w:cs="Times New Roman"/>
          <w:color w:val="000000"/>
          <w:lang w:eastAsia="es-CO"/>
        </w:rPr>
      </w:pPr>
      <w:proofErr w:type="spellStart"/>
      <w:r w:rsidRPr="008F50DF">
        <w:rPr>
          <w:rFonts w:ascii="Verdana" w:eastAsia="Times New Roman" w:hAnsi="Verdana" w:cs="Times New Roman"/>
          <w:color w:val="000000"/>
          <w:lang w:eastAsia="es-CO"/>
        </w:rPr>
        <w:t>iii</w:t>
      </w:r>
      <w:proofErr w:type="spellEnd"/>
      <w:r w:rsidRPr="008F50DF">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2D5132F7" w14:textId="77777777" w:rsidR="008F50DF" w:rsidRPr="008F50DF" w:rsidRDefault="008F50DF" w:rsidP="008F50DF">
      <w:pPr>
        <w:spacing w:after="120" w:line="276" w:lineRule="auto"/>
        <w:ind w:firstLine="708"/>
        <w:jc w:val="both"/>
        <w:rPr>
          <w:rFonts w:ascii="Verdana" w:eastAsia="Times New Roman" w:hAnsi="Verdana" w:cs="Times New Roman"/>
          <w:color w:val="000000"/>
          <w:lang w:eastAsia="es-CO"/>
        </w:rPr>
      </w:pPr>
      <w:proofErr w:type="spellStart"/>
      <w:r w:rsidRPr="008F50DF">
        <w:rPr>
          <w:rFonts w:ascii="Verdana" w:eastAsia="Times New Roman" w:hAnsi="Verdana" w:cs="Times New Roman"/>
          <w:color w:val="000000"/>
          <w:lang w:eastAsia="es-CO"/>
        </w:rPr>
        <w:t>iv</w:t>
      </w:r>
      <w:proofErr w:type="spellEnd"/>
      <w:r w:rsidRPr="008F50DF">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1F1D04CD" w14:textId="77777777" w:rsidR="008F50DF" w:rsidRPr="008F50DF" w:rsidRDefault="008F50DF" w:rsidP="008F50DF">
      <w:pPr>
        <w:spacing w:after="120" w:line="276" w:lineRule="auto"/>
        <w:ind w:firstLine="708"/>
        <w:jc w:val="both"/>
        <w:rPr>
          <w:rFonts w:ascii="Verdana" w:eastAsia="Times New Roman" w:hAnsi="Verdana" w:cs="Times New Roman"/>
          <w:color w:val="000000"/>
          <w:lang w:eastAsia="es-CO"/>
        </w:rPr>
      </w:pPr>
      <w:r w:rsidRPr="008F50DF">
        <w:rPr>
          <w:rFonts w:ascii="Verdana" w:eastAsia="Times New Roman" w:hAnsi="Verdana" w:cs="Times New Roman"/>
          <w:color w:val="000000"/>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8F50DF">
        <w:rPr>
          <w:rFonts w:ascii="Verdana" w:eastAsia="Aptos" w:hAnsi="Verdana" w:cs="Times New Roman"/>
          <w:kern w:val="2"/>
          <w14:ligatures w14:val="standardContextual"/>
        </w:rPr>
        <w:t xml:space="preserve"> </w:t>
      </w:r>
    </w:p>
    <w:p w14:paraId="374DE27F" w14:textId="77777777" w:rsidR="008F50DF" w:rsidRPr="008F50DF" w:rsidRDefault="008F50DF" w:rsidP="008F50DF">
      <w:pPr>
        <w:spacing w:after="120" w:line="276" w:lineRule="auto"/>
        <w:ind w:firstLine="708"/>
        <w:jc w:val="both"/>
        <w:textAlignment w:val="baseline"/>
        <w:rPr>
          <w:rFonts w:ascii="Verdana" w:eastAsia="Calibri" w:hAnsi="Verdana" w:cs="Arial"/>
        </w:rPr>
      </w:pPr>
      <w:r w:rsidRPr="008F50DF">
        <w:rPr>
          <w:rFonts w:ascii="Verdana" w:eastAsia="Aptos" w:hAnsi="Verdana" w:cs="Times New Roman"/>
          <w:kern w:val="2"/>
          <w14:ligatures w14:val="standardContextual"/>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8F50DF">
        <w:rPr>
          <w:rFonts w:ascii="Verdana" w:eastAsia="Calibri" w:hAnsi="Verdana" w:cs="Arial"/>
          <w:vertAlign w:val="superscript"/>
        </w:rPr>
        <w:footnoteReference w:id="2"/>
      </w:r>
      <w:r w:rsidRPr="008F50DF">
        <w:rPr>
          <w:rFonts w:ascii="Verdana" w:eastAsia="Calibri" w:hAnsi="Verdana" w:cs="Arial"/>
        </w:rPr>
        <w:t>.</w:t>
      </w:r>
    </w:p>
    <w:p w14:paraId="41F6FA8D" w14:textId="77777777" w:rsidR="008F50DF" w:rsidRPr="008F50DF" w:rsidRDefault="008F50DF" w:rsidP="008F50DF">
      <w:pPr>
        <w:widowControl w:val="0"/>
        <w:autoSpaceDE w:val="0"/>
        <w:autoSpaceDN w:val="0"/>
        <w:spacing w:after="120" w:line="276" w:lineRule="auto"/>
        <w:ind w:firstLine="708"/>
        <w:jc w:val="both"/>
        <w:rPr>
          <w:rFonts w:ascii="Verdana" w:eastAsia="Calibri" w:hAnsi="Verdana" w:cs="Times New Roman"/>
          <w:lang w:val="es-ES"/>
        </w:rPr>
      </w:pPr>
      <w:r w:rsidRPr="008F50DF">
        <w:rPr>
          <w:rFonts w:ascii="Verdana" w:eastAsia="Calibri" w:hAnsi="Verdana" w:cs="Times New Roman"/>
          <w:lang w:val="es-ES"/>
        </w:rPr>
        <w:lastRenderedPageBreak/>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8F50DF">
        <w:rPr>
          <w:rFonts w:ascii="Verdana" w:eastAsia="Calibri" w:hAnsi="Verdana" w:cs="Times New Roman"/>
          <w:shd w:val="clear" w:color="auto" w:fill="E8E8E8"/>
          <w:lang w:val="es-ES"/>
        </w:rPr>
        <w:t>–[texto]–,</w:t>
      </w:r>
      <w:r w:rsidRPr="008F50DF">
        <w:rPr>
          <w:rFonts w:ascii="Verdana" w:eastAsia="Calibri" w:hAnsi="Verdana" w:cs="Times New Roman"/>
          <w:lang w:val="es-ES"/>
        </w:rPr>
        <w:t xml:space="preserve"> para lo cual deberán observarse las instrucciones contenidas en los mismos para su diligenciamiento.</w:t>
      </w:r>
    </w:p>
    <w:p w14:paraId="3AF6D9F3" w14:textId="77777777" w:rsidR="008F50DF" w:rsidRPr="008F50DF" w:rsidRDefault="008F50DF" w:rsidP="008F50DF">
      <w:pPr>
        <w:widowControl w:val="0"/>
        <w:autoSpaceDE w:val="0"/>
        <w:autoSpaceDN w:val="0"/>
        <w:spacing w:after="120" w:line="276" w:lineRule="auto"/>
        <w:ind w:firstLine="708"/>
        <w:jc w:val="both"/>
        <w:rPr>
          <w:rFonts w:ascii="Verdana" w:eastAsia="Calibri" w:hAnsi="Verdana" w:cs="Times New Roman"/>
          <w:lang w:val="es-ES"/>
        </w:rPr>
      </w:pPr>
      <w:r w:rsidRPr="008F50DF">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2B141A3E" w14:textId="77777777" w:rsidR="008F50DF" w:rsidRPr="008F50DF" w:rsidRDefault="008F50DF" w:rsidP="008F50DF">
      <w:pPr>
        <w:widowControl w:val="0"/>
        <w:autoSpaceDE w:val="0"/>
        <w:autoSpaceDN w:val="0"/>
        <w:spacing w:after="120" w:line="276" w:lineRule="auto"/>
        <w:ind w:firstLine="708"/>
        <w:jc w:val="both"/>
        <w:rPr>
          <w:rFonts w:ascii="Verdana" w:eastAsia="Calibri" w:hAnsi="Verdana" w:cs="Times New Roman"/>
          <w:lang w:val="es-ES"/>
        </w:rPr>
      </w:pPr>
      <w:r w:rsidRPr="008F50DF">
        <w:rPr>
          <w:rFonts w:ascii="Verdana" w:eastAsia="Calibri" w:hAnsi="Verdana" w:cs="Times New Roman"/>
          <w:lang w:val="es-ES"/>
        </w:rPr>
        <w:t xml:space="preserve">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w:t>
      </w:r>
      <w:r w:rsidRPr="008F50DF">
        <w:rPr>
          <w:rFonts w:ascii="Verdana" w:eastAsia="Calibri" w:hAnsi="Verdana" w:cs="Times New Roman"/>
          <w:lang w:val="es-ES"/>
        </w:rPr>
        <w:lastRenderedPageBreak/>
        <w:t>Agencia mediante las cuales se adoptan documentos tipo.</w:t>
      </w:r>
    </w:p>
    <w:p w14:paraId="3D3F83A2" w14:textId="77777777" w:rsidR="008F50DF" w:rsidRPr="008F50DF" w:rsidRDefault="008F50DF" w:rsidP="008F50DF">
      <w:pPr>
        <w:widowControl w:val="0"/>
        <w:autoSpaceDE w:val="0"/>
        <w:autoSpaceDN w:val="0"/>
        <w:spacing w:after="120" w:line="276" w:lineRule="auto"/>
        <w:ind w:firstLine="708"/>
        <w:jc w:val="both"/>
        <w:rPr>
          <w:rFonts w:ascii="Verdana" w:eastAsia="Calibri" w:hAnsi="Verdana" w:cs="Times New Roman"/>
          <w:lang w:val="es-ES"/>
        </w:rPr>
      </w:pPr>
      <w:r w:rsidRPr="008F50DF">
        <w:rPr>
          <w:rFonts w:ascii="Verdana" w:eastAsia="Calibri" w:hAnsi="Verdana" w:cs="Times New Roman"/>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48A99FCA" w14:textId="77777777" w:rsidR="008F50DF" w:rsidRPr="008F50DF" w:rsidRDefault="008F50DF" w:rsidP="008F50DF">
      <w:pPr>
        <w:widowControl w:val="0"/>
        <w:autoSpaceDE w:val="0"/>
        <w:autoSpaceDN w:val="0"/>
        <w:spacing w:after="120" w:line="276" w:lineRule="auto"/>
        <w:ind w:firstLine="708"/>
        <w:jc w:val="both"/>
        <w:rPr>
          <w:rFonts w:ascii="Verdana" w:eastAsia="Calibri" w:hAnsi="Verdana" w:cs="Times New Roman"/>
          <w:lang w:val="es-ES"/>
        </w:rPr>
      </w:pPr>
      <w:r w:rsidRPr="008F50DF">
        <w:rPr>
          <w:rFonts w:ascii="Verdana" w:eastAsia="Calibri" w:hAnsi="Verdana" w:cs="Times New Roman"/>
          <w:lang w:val="es-ES"/>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2E63DC3B" w14:textId="77777777" w:rsidR="008F50DF" w:rsidRPr="008F50DF" w:rsidRDefault="008F50DF" w:rsidP="008F50DF">
      <w:pPr>
        <w:widowControl w:val="0"/>
        <w:autoSpaceDE w:val="0"/>
        <w:autoSpaceDN w:val="0"/>
        <w:spacing w:after="0" w:line="276" w:lineRule="auto"/>
        <w:ind w:firstLine="708"/>
        <w:jc w:val="both"/>
        <w:rPr>
          <w:rFonts w:ascii="Verdana" w:eastAsia="Calibri" w:hAnsi="Verdana" w:cs="Times New Roman"/>
          <w:lang w:val="es-ES"/>
        </w:rPr>
      </w:pPr>
      <w:r w:rsidRPr="008F50DF">
        <w:rPr>
          <w:rFonts w:ascii="Verdana" w:eastAsia="Calibri" w:hAnsi="Verdana" w:cs="Times New Roman"/>
          <w:lang w:val="es-ES"/>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480480BA" w14:textId="77777777" w:rsidR="008F50DF" w:rsidRPr="008F50DF" w:rsidRDefault="008F50DF" w:rsidP="008F50DF">
      <w:pPr>
        <w:widowControl w:val="0"/>
        <w:autoSpaceDE w:val="0"/>
        <w:autoSpaceDN w:val="0"/>
        <w:spacing w:after="0" w:line="276" w:lineRule="auto"/>
        <w:ind w:firstLine="708"/>
        <w:jc w:val="both"/>
        <w:rPr>
          <w:rFonts w:ascii="Verdana" w:eastAsia="Calibri" w:hAnsi="Verdana" w:cs="Times New Roman"/>
          <w:lang w:val="es-ES"/>
        </w:rPr>
      </w:pPr>
    </w:p>
    <w:p w14:paraId="6FCB295F" w14:textId="77777777" w:rsidR="008F50DF" w:rsidRPr="008F50DF" w:rsidRDefault="008F50DF" w:rsidP="008F50DF">
      <w:pPr>
        <w:spacing w:after="120" w:line="276" w:lineRule="auto"/>
        <w:jc w:val="both"/>
        <w:rPr>
          <w:rFonts w:ascii="Verdana" w:eastAsia="Calibri" w:hAnsi="Verdana" w:cs="Times New Roman"/>
          <w:lang w:val="es-ES" w:eastAsia="es-MX"/>
        </w:rPr>
      </w:pPr>
      <w:proofErr w:type="spellStart"/>
      <w:r w:rsidRPr="008F50DF">
        <w:rPr>
          <w:rFonts w:ascii="Verdana" w:eastAsia="Calibri" w:hAnsi="Verdana" w:cs="Times New Roman"/>
          <w:lang w:val="es-ES"/>
        </w:rPr>
        <w:t>ii</w:t>
      </w:r>
      <w:proofErr w:type="spellEnd"/>
      <w:r w:rsidRPr="008F50DF">
        <w:rPr>
          <w:rFonts w:ascii="Verdana" w:eastAsia="Calibri" w:hAnsi="Verdana" w:cs="Times New Roman"/>
          <w:lang w:val="es-ES"/>
        </w:rPr>
        <w:t xml:space="preserve">. </w:t>
      </w:r>
      <w:r w:rsidRPr="008F50DF">
        <w:rPr>
          <w:rFonts w:ascii="Verdana" w:eastAsia="Calibri" w:hAnsi="Verdana" w:cs="Times New Roman"/>
          <w:lang w:val="es-ES" w:eastAsia="es-MX"/>
        </w:rPr>
        <w:t xml:space="preserve">El artículo 8 de las Resoluciones 539, 540 y 541 del 21 de agosto de 2025, adoptan los Documentos Tipo complementarios para los procesos de infraestructura social relacionados con el sector educativo -según la modalidad que corresponda-. De acuerdo con el parágrafo segundo del artículo 9 de las citadas resoluciones, estos documentos aplican a los procesos contractuales que correspondan a las actividades definidas en la Matriz 1 – Experiencia del Sector Educativo. </w:t>
      </w:r>
    </w:p>
    <w:p w14:paraId="5FFF1E7E" w14:textId="77777777" w:rsidR="008F50DF" w:rsidRPr="008F50DF" w:rsidRDefault="008F50DF" w:rsidP="008F50DF">
      <w:pPr>
        <w:spacing w:after="120" w:line="276" w:lineRule="auto"/>
        <w:jc w:val="both"/>
        <w:rPr>
          <w:rFonts w:ascii="Verdana" w:eastAsia="Arial" w:hAnsi="Verdana" w:cs="Aptos"/>
          <w:lang w:eastAsia="es-ES"/>
        </w:rPr>
      </w:pPr>
      <w:r w:rsidRPr="008F50DF">
        <w:rPr>
          <w:rFonts w:ascii="Verdana" w:eastAsia="Calibri" w:hAnsi="Verdana" w:cs="Times New Roman"/>
          <w:lang w:val="es-ES" w:eastAsia="es-MX"/>
        </w:rPr>
        <w:lastRenderedPageBreak/>
        <w:tab/>
        <w:t xml:space="preserve">La Matriz 1 – Experiencia del Sector Educativo, </w:t>
      </w:r>
      <w:r w:rsidRPr="008F50DF">
        <w:rPr>
          <w:rFonts w:ascii="Verdana" w:eastAsia="Times New Roman" w:hAnsi="Verdana" w:cs="Times New Roman"/>
          <w:color w:val="000000"/>
          <w:lang w:eastAsia="es-CO"/>
        </w:rPr>
        <w:t>en la modalidad de licitación pública, selección abreviada de menor cuantía y mínima cuantía dispone de los siguientes cuatro (4) tipos de obras de infraestructura educativa:</w:t>
      </w:r>
      <w:r w:rsidRPr="008F50DF">
        <w:rPr>
          <w:rFonts w:ascii="Times New Roman" w:eastAsia="Arial" w:hAnsi="Times New Roman" w:cs="Aptos"/>
          <w:lang w:eastAsia="es-ES"/>
        </w:rPr>
        <w:t xml:space="preserve"> </w:t>
      </w:r>
      <w:r w:rsidRPr="008F50DF">
        <w:rPr>
          <w:rFonts w:ascii="Verdana" w:eastAsia="Arial" w:hAnsi="Verdana" w:cs="Aptos"/>
          <w:lang w:eastAsia="es-ES"/>
        </w:rPr>
        <w:t xml:space="preserve">“1. OBRAS EN INFRAESTRUCTURA DE EDUCACIÓN, 2. OBRAS EN INFRAESTRUCTURA RECREODEPORTIVA Y CULTURAL EN INFRAESTRUCTURA EDUCATIVA, 3. OBRAS EN VÍAS DE ACCESO O PARQUEADEROS O ZONAS DE CIRCULACIÓN (VEHICULAR O PEATONAL) O PLAZUELAS O PLAZAS O PLAZUELAS EN INFRAESTRUCTURA EDUCATIVA, y 4. OBRAS PARA ATENCIÓN, PREVENCIÓN O MITIGACIÓN DE EMERGENCIAS DIFERENTES A CONTRATACIÓN DIRECTA PARA EL SECTOR EDUCATIVO. Sobre los tipos de obras señaladas, la Matriz 1 – Experiencia contiene una serie de actividades donde la entidad debe encuadrar el objeto del proceso que pretende ejecutar. Estas actividades se relacionan con proyectos de construcción, ampliación, reconstrucción, adecuación, conservación, intervención, remodelación, mantenimiento, mejoramiento, modificación, optimización, rehabilitación, remodelación, reposición y/o reparación y/o suministro, entre otras actividades, sobre infraestructura educativa. </w:t>
      </w:r>
    </w:p>
    <w:p w14:paraId="5941A0B6" w14:textId="77777777" w:rsidR="008F50DF" w:rsidRPr="008F50DF" w:rsidRDefault="008F50DF" w:rsidP="008F50DF">
      <w:pPr>
        <w:spacing w:after="120" w:line="276" w:lineRule="auto"/>
        <w:jc w:val="both"/>
        <w:rPr>
          <w:rFonts w:ascii="Verdana" w:eastAsia="Times New Roman" w:hAnsi="Verdana" w:cs="Times New Roman"/>
          <w:color w:val="000000"/>
          <w:lang w:eastAsia="es-CO"/>
        </w:rPr>
      </w:pPr>
      <w:r w:rsidRPr="008F50DF">
        <w:rPr>
          <w:rFonts w:ascii="Verdana" w:eastAsia="Arial" w:hAnsi="Verdana" w:cs="Aptos"/>
          <w:lang w:eastAsia="es-ES"/>
        </w:rPr>
        <w:tab/>
        <w:t>De esta forma, los tipos de obras señaladas y las actividades previstas en la Matriz 1</w:t>
      </w:r>
      <w:r w:rsidRPr="008F50DF">
        <w:rPr>
          <w:rFonts w:ascii="Verdana" w:eastAsia="Calibri" w:hAnsi="Verdana" w:cs="Times New Roman"/>
          <w:lang w:val="es-ES" w:eastAsia="es-MX"/>
        </w:rPr>
        <w:t xml:space="preserve">– Experiencia del Sector Educativo, </w:t>
      </w:r>
      <w:r w:rsidRPr="008F50DF">
        <w:rPr>
          <w:rFonts w:ascii="Verdana" w:eastAsia="Times New Roman" w:hAnsi="Verdana" w:cs="Times New Roman"/>
          <w:color w:val="000000"/>
          <w:lang w:eastAsia="es-CO"/>
        </w:rPr>
        <w:t>en la modalidad de licitación pública, selección abreviada de menor cuantía y mínima cuantía, recaen sobre infraestructura educativa. Esto es importante para precisar el ámbito de aplicación de los Documentos Tipo de este sector adoptados en de las Resoluciones 539, 540 y 541 de 2025.</w:t>
      </w:r>
    </w:p>
    <w:p w14:paraId="45BF5742" w14:textId="77777777" w:rsidR="008F50DF" w:rsidRPr="008F50DF" w:rsidRDefault="008F50DF" w:rsidP="008F50DF">
      <w:pPr>
        <w:spacing w:after="120" w:line="276" w:lineRule="auto"/>
        <w:jc w:val="both"/>
        <w:rPr>
          <w:rFonts w:ascii="Verdana" w:eastAsia="Times New Roman" w:hAnsi="Verdana" w:cs="Times New Roman"/>
          <w:color w:val="000000"/>
          <w:lang w:eastAsia="es-CO"/>
        </w:rPr>
      </w:pPr>
      <w:r w:rsidRPr="008F50DF">
        <w:rPr>
          <w:rFonts w:ascii="Verdana" w:eastAsia="Times New Roman" w:hAnsi="Verdana" w:cs="Times New Roman"/>
          <w:color w:val="000000"/>
          <w:lang w:eastAsia="es-CO"/>
        </w:rPr>
        <w:tab/>
        <w:t xml:space="preserve">Concretamente, en su solicitud usted indaga sobre la aplicación de las actividades 1.12, 1.14 y 1.16 contenidas en la Matriz 1 – Experiencia para un contrato que tiene por objeto la dotación de infraestructura educativa. De esta forma, resulta pertinente establecer el alcance de las actividades mencionadas para determinar si estas se enmarcan o no en el proyecto que pretende contratar la entidad. </w:t>
      </w:r>
    </w:p>
    <w:p w14:paraId="58836374" w14:textId="77777777" w:rsidR="008F50DF" w:rsidRPr="008F50DF" w:rsidRDefault="008F50DF" w:rsidP="008F50DF">
      <w:pPr>
        <w:spacing w:after="0" w:line="276" w:lineRule="auto"/>
        <w:ind w:firstLine="708"/>
        <w:jc w:val="both"/>
        <w:rPr>
          <w:rFonts w:ascii="Verdana" w:eastAsia="Times New Roman" w:hAnsi="Verdana" w:cs="Times New Roman"/>
          <w:color w:val="000000"/>
          <w:lang w:eastAsia="es-CO"/>
        </w:rPr>
      </w:pPr>
      <w:r w:rsidRPr="008F50DF">
        <w:rPr>
          <w:rFonts w:ascii="Verdana" w:eastAsia="Times New Roman" w:hAnsi="Verdana" w:cs="Times New Roman"/>
          <w:color w:val="000000"/>
          <w:lang w:eastAsia="es-CO"/>
        </w:rPr>
        <w:t>Las actividades 1.12, 1.14 y 1.16 se encuentran contenidas en el capítulo I “Obras en infraestructura educativa” de la Matriz 1 – Experiencia de los Documentos Tipo del Sector Educativo en las modalidades de licitación pública, selección abreviada de menor cuantía y mínima cuantía, de la siguiente forma:</w:t>
      </w:r>
    </w:p>
    <w:p w14:paraId="438B493C" w14:textId="77777777" w:rsidR="008F50DF" w:rsidRPr="008F50DF" w:rsidRDefault="008F50DF" w:rsidP="008F50DF">
      <w:pPr>
        <w:spacing w:after="0" w:line="240" w:lineRule="auto"/>
        <w:jc w:val="both"/>
        <w:rPr>
          <w:rFonts w:ascii="Verdana" w:eastAsia="Times New Roman" w:hAnsi="Verdana" w:cs="Times New Roman"/>
          <w:color w:val="000000"/>
          <w:lang w:eastAsia="es-CO"/>
        </w:rPr>
      </w:pPr>
    </w:p>
    <w:p w14:paraId="51855272" w14:textId="77777777" w:rsidR="008F50DF" w:rsidRPr="008F50DF" w:rsidRDefault="008F50DF" w:rsidP="008F50DF">
      <w:pPr>
        <w:shd w:val="clear" w:color="auto" w:fill="FFFFFF"/>
        <w:spacing w:after="120" w:line="240" w:lineRule="auto"/>
        <w:ind w:left="709" w:right="709"/>
        <w:jc w:val="both"/>
        <w:rPr>
          <w:rFonts w:ascii="Verdana" w:eastAsia="Times New Roman" w:hAnsi="Verdana" w:cs="Arial"/>
          <w:color w:val="242424"/>
          <w:sz w:val="21"/>
          <w:szCs w:val="21"/>
          <w:lang w:eastAsia="es-MX"/>
        </w:rPr>
      </w:pPr>
      <w:r w:rsidRPr="008F50DF">
        <w:rPr>
          <w:rFonts w:ascii="Verdana" w:eastAsia="Times New Roman" w:hAnsi="Verdana" w:cs="Arial"/>
          <w:color w:val="242424"/>
          <w:sz w:val="21"/>
          <w:szCs w:val="21"/>
          <w:lang w:eastAsia="es-MX"/>
        </w:rPr>
        <w:lastRenderedPageBreak/>
        <w:t>“1.12. SUMINISTRO Y/O INSTALACIÓN DE DOTACIÓN Y/O DE MOBILIARIO INTERNO O EXTERNO PARA INFRAESTRUCTURA EDUCATIVA</w:t>
      </w:r>
    </w:p>
    <w:p w14:paraId="02B8BC7B" w14:textId="77777777" w:rsidR="008F50DF" w:rsidRPr="008F50DF" w:rsidRDefault="008F50DF" w:rsidP="008F50DF">
      <w:pPr>
        <w:shd w:val="clear" w:color="auto" w:fill="FFFFFF"/>
        <w:spacing w:after="120" w:line="240" w:lineRule="auto"/>
        <w:ind w:left="709" w:right="709"/>
        <w:jc w:val="both"/>
        <w:rPr>
          <w:rFonts w:ascii="Verdana" w:eastAsia="Times New Roman" w:hAnsi="Verdana" w:cs="Calibri"/>
          <w:color w:val="242424"/>
          <w:sz w:val="21"/>
          <w:szCs w:val="21"/>
          <w:lang w:eastAsia="es-MX"/>
        </w:rPr>
      </w:pPr>
      <w:r w:rsidRPr="008F50DF">
        <w:rPr>
          <w:rFonts w:ascii="Verdana" w:eastAsia="Times New Roman" w:hAnsi="Verdana" w:cs="Arial"/>
          <w:color w:val="242424"/>
          <w:sz w:val="21"/>
          <w:szCs w:val="21"/>
          <w:lang w:eastAsia="es-MX"/>
        </w:rPr>
        <w:t>(…)</w:t>
      </w:r>
    </w:p>
    <w:p w14:paraId="04235EBA" w14:textId="77777777" w:rsidR="008F50DF" w:rsidRPr="008F50DF" w:rsidRDefault="008F50DF" w:rsidP="008F50DF">
      <w:pPr>
        <w:shd w:val="clear" w:color="auto" w:fill="FFFFFF"/>
        <w:spacing w:after="120" w:line="240" w:lineRule="auto"/>
        <w:ind w:left="709" w:right="709"/>
        <w:jc w:val="both"/>
        <w:rPr>
          <w:rFonts w:ascii="Verdana" w:eastAsia="Times New Roman" w:hAnsi="Verdana" w:cs="Arial"/>
          <w:color w:val="242424"/>
          <w:sz w:val="21"/>
          <w:szCs w:val="21"/>
          <w:lang w:eastAsia="es-MX"/>
        </w:rPr>
      </w:pPr>
      <w:r w:rsidRPr="008F50DF">
        <w:rPr>
          <w:rFonts w:ascii="Verdana" w:eastAsia="Times New Roman" w:hAnsi="Verdana" w:cs="Arial"/>
          <w:color w:val="242424"/>
          <w:sz w:val="21"/>
          <w:szCs w:val="21"/>
          <w:lang w:eastAsia="es-MX"/>
        </w:rPr>
        <w:t>1.14. SUMINISTRO Y/O INSTALACIÓN DE SISTEMAS DE AIRES ACONDICIONADOS O SISTEMAS DE VENTILACIÓN O SIMILARES PARA INFRAESTRUCTURA EDUCATIVA</w:t>
      </w:r>
    </w:p>
    <w:p w14:paraId="5BF5C735" w14:textId="77777777" w:rsidR="008F50DF" w:rsidRPr="008F50DF" w:rsidRDefault="008F50DF" w:rsidP="008F50DF">
      <w:pPr>
        <w:shd w:val="clear" w:color="auto" w:fill="FFFFFF"/>
        <w:spacing w:after="120" w:line="240" w:lineRule="auto"/>
        <w:ind w:left="709" w:right="709"/>
        <w:jc w:val="both"/>
        <w:rPr>
          <w:rFonts w:ascii="Verdana" w:eastAsia="Times New Roman" w:hAnsi="Verdana" w:cs="Calibri"/>
          <w:color w:val="242424"/>
          <w:sz w:val="21"/>
          <w:szCs w:val="21"/>
          <w:lang w:eastAsia="es-MX"/>
        </w:rPr>
      </w:pPr>
      <w:r w:rsidRPr="008F50DF">
        <w:rPr>
          <w:rFonts w:ascii="Verdana" w:eastAsia="Times New Roman" w:hAnsi="Verdana" w:cs="Arial"/>
          <w:color w:val="242424"/>
          <w:sz w:val="21"/>
          <w:szCs w:val="21"/>
          <w:lang w:eastAsia="es-MX"/>
        </w:rPr>
        <w:t>(…)</w:t>
      </w:r>
    </w:p>
    <w:p w14:paraId="7EE83194" w14:textId="77777777" w:rsidR="008F50DF" w:rsidRPr="008F50DF" w:rsidRDefault="008F50DF" w:rsidP="008F50DF">
      <w:pPr>
        <w:shd w:val="clear" w:color="auto" w:fill="FFFFFF"/>
        <w:spacing w:after="0" w:line="240" w:lineRule="auto"/>
        <w:ind w:left="709" w:right="709"/>
        <w:jc w:val="both"/>
        <w:rPr>
          <w:rFonts w:ascii="Verdana" w:eastAsia="Times New Roman" w:hAnsi="Verdana" w:cs="Arial"/>
          <w:color w:val="242424"/>
          <w:sz w:val="21"/>
          <w:szCs w:val="21"/>
          <w:lang w:eastAsia="es-MX"/>
        </w:rPr>
      </w:pPr>
      <w:r w:rsidRPr="008F50DF">
        <w:rPr>
          <w:rFonts w:ascii="Verdana" w:eastAsia="Times New Roman" w:hAnsi="Verdana" w:cs="Arial"/>
          <w:color w:val="242424"/>
          <w:sz w:val="21"/>
          <w:szCs w:val="21"/>
          <w:lang w:eastAsia="es-MX"/>
        </w:rPr>
        <w:t>1.16. SUMINISTRO E INSTALACIÓN DE EQUIPOS ESPECIALES Y/O ELECTROMECANICOS Y/O ELECTRONICOS Y/O MAQUINARIA U OTROS TIPOS DE EQUIPOS PARA EDIFICACIONES DE INFRAESTRUCTURA EDUCATIVA”.</w:t>
      </w:r>
    </w:p>
    <w:p w14:paraId="2CC2FCEB" w14:textId="77777777" w:rsidR="008F50DF" w:rsidRPr="008F50DF" w:rsidRDefault="008F50DF" w:rsidP="008F50DF">
      <w:pPr>
        <w:spacing w:after="0" w:line="276" w:lineRule="auto"/>
        <w:jc w:val="both"/>
        <w:rPr>
          <w:rFonts w:ascii="Verdana" w:eastAsia="Times New Roman" w:hAnsi="Verdana" w:cs="Times New Roman"/>
          <w:color w:val="000000"/>
          <w:lang w:eastAsia="es-CO"/>
        </w:rPr>
      </w:pPr>
    </w:p>
    <w:p w14:paraId="4F6D8A7A" w14:textId="77777777" w:rsidR="008F50DF" w:rsidRPr="008F50DF" w:rsidRDefault="008F50DF" w:rsidP="008F50DF">
      <w:pPr>
        <w:spacing w:after="120" w:line="276" w:lineRule="auto"/>
        <w:jc w:val="both"/>
        <w:rPr>
          <w:rFonts w:ascii="Verdana" w:eastAsia="Aptos" w:hAnsi="Verdana" w:cs="Times New Roman"/>
          <w:kern w:val="2"/>
          <w:lang w:eastAsia="es-CO"/>
          <w14:ligatures w14:val="standardContextual"/>
        </w:rPr>
      </w:pPr>
      <w:r w:rsidRPr="008F50DF">
        <w:rPr>
          <w:rFonts w:ascii="Verdana" w:eastAsia="Aptos" w:hAnsi="Verdana" w:cs="Times New Roman"/>
          <w:kern w:val="2"/>
          <w:lang w:eastAsia="es-CO"/>
          <w14:ligatures w14:val="standardContextual"/>
        </w:rPr>
        <w:t xml:space="preserve">Como se aprecia, las actividades indicadas aplican para los procesos que adelanten las entidades obligadas a utilizar los documentos tipo, cuando correspondan al </w:t>
      </w:r>
      <w:r w:rsidRPr="008F50DF">
        <w:rPr>
          <w:rFonts w:ascii="Verdana" w:eastAsia="Aptos" w:hAnsi="Verdana" w:cs="Times New Roman"/>
          <w:i/>
          <w:iCs/>
          <w:kern w:val="2"/>
          <w:lang w:eastAsia="es-CO"/>
          <w14:ligatures w14:val="standardContextual"/>
        </w:rPr>
        <w:t>suministro e instalación</w:t>
      </w:r>
      <w:r w:rsidRPr="008F50DF">
        <w:rPr>
          <w:rFonts w:ascii="Verdana" w:eastAsia="Aptos" w:hAnsi="Verdana" w:cs="Times New Roman"/>
          <w:kern w:val="2"/>
          <w:lang w:eastAsia="es-CO"/>
          <w14:ligatures w14:val="standardContextual"/>
        </w:rPr>
        <w:t xml:space="preserve"> de mobiliario interno o externo (1.12), sistemas de aire acondicionado, sistemas de ventilación o similares (1.14), y equipos especiales, electromecánicos y/o electrónicos, maquinarias u otros tipos de equipos (1.16) sobre infraestructura educativa.</w:t>
      </w:r>
    </w:p>
    <w:p w14:paraId="3866529F" w14:textId="77777777" w:rsidR="008F50DF" w:rsidRPr="008F50DF" w:rsidRDefault="008F50DF" w:rsidP="008F50DF">
      <w:pPr>
        <w:spacing w:after="120" w:line="276" w:lineRule="auto"/>
        <w:jc w:val="both"/>
        <w:rPr>
          <w:rFonts w:ascii="Verdana" w:eastAsia="Times New Roman" w:hAnsi="Verdana" w:cs="Times New Roman"/>
          <w:color w:val="000000"/>
          <w:lang w:eastAsia="es-CO"/>
        </w:rPr>
      </w:pPr>
      <w:r w:rsidRPr="008F50DF">
        <w:rPr>
          <w:rFonts w:ascii="Verdana" w:eastAsia="Times New Roman" w:hAnsi="Verdana" w:cs="Times New Roman"/>
          <w:color w:val="000000"/>
          <w:lang w:eastAsia="es-CO"/>
        </w:rPr>
        <w:tab/>
        <w:t>De esta forma, la actividad de suministro está ligada a la actividad de instalación de los muebles mencionados que se encuentran en edificaciones que hacen parte de la infraestructura educativa. Así, por sí sola, la actividad de suministro no requiere la aplicación de los documentos tipo expedidos por esta Agencia en el sector educativo. Es decir que, si una entidad pretende adelantar un proceso que tenga por objeto el suministro de mobiliario interno o externo, el suministro de sistemas de aire acondicionado, sistemas de ventilación o similares, y el suministro de equipos especiales, electromecánicos y/o electrónicos, maquinarias u otros tipos de equipos sobre infraestructura educativa, no tendrá que aplicar los documentos tipo expedidos por esta Agencia en el sector educativo.</w:t>
      </w:r>
    </w:p>
    <w:p w14:paraId="487C719B" w14:textId="77777777" w:rsidR="008F50DF" w:rsidRPr="008F50DF" w:rsidRDefault="008F50DF" w:rsidP="008F50DF">
      <w:pPr>
        <w:spacing w:after="120" w:line="276" w:lineRule="auto"/>
        <w:jc w:val="both"/>
        <w:rPr>
          <w:rFonts w:ascii="Verdana" w:eastAsia="Times New Roman" w:hAnsi="Verdana" w:cs="Times New Roman"/>
          <w:color w:val="000000"/>
          <w:lang w:eastAsia="es-CO"/>
        </w:rPr>
      </w:pPr>
      <w:r w:rsidRPr="008F50DF">
        <w:rPr>
          <w:rFonts w:ascii="Verdana" w:eastAsia="Times New Roman" w:hAnsi="Verdana" w:cs="Times New Roman"/>
          <w:color w:val="000000"/>
          <w:lang w:eastAsia="es-CO"/>
        </w:rPr>
        <w:tab/>
        <w:t xml:space="preserve">Ahora bien, si el objeto del proceso de selección implica la instalación de mobiliario interno o externo, sistemas de aire acondicionado, sistemas de ventilación o similares, y la instalación de equipos especiales, electromecánicos y/o electrónicos, maquinarias u otros tipos de equipos sobre infraestructura educativa, se deberán aplicar los documentos tipo del sector educativo </w:t>
      </w:r>
      <w:r w:rsidRPr="008F50DF">
        <w:rPr>
          <w:rFonts w:ascii="Verdana" w:eastAsia="Times New Roman" w:hAnsi="Verdana" w:cs="Times New Roman"/>
          <w:color w:val="000000"/>
          <w:lang w:eastAsia="es-CO"/>
        </w:rPr>
        <w:lastRenderedPageBreak/>
        <w:t>expedidos por esta Agencia. En estos casos, la entidad que adelante el proceso también deberá contratar el suministro utilizando los documentos tipo referidos, ya que, como se indicó, las actividades 1.12, 1.14 y 1.16 contenidas en dichos documentos aplican para el suministro e instalación del mobiliario y los equipos mencionados.</w:t>
      </w:r>
    </w:p>
    <w:p w14:paraId="691F2AF6" w14:textId="77777777" w:rsidR="008F50DF" w:rsidRPr="008F50DF" w:rsidRDefault="008F50DF" w:rsidP="008F50DF">
      <w:pPr>
        <w:spacing w:after="0" w:line="276" w:lineRule="auto"/>
        <w:jc w:val="both"/>
        <w:rPr>
          <w:rFonts w:ascii="Verdana" w:eastAsia="Calibri" w:hAnsi="Verdana" w:cs="Arial"/>
          <w:color w:val="000000"/>
          <w:kern w:val="2"/>
          <w:lang w:val="es-ES_tradnl"/>
          <w14:ligatures w14:val="standardContextual"/>
        </w:rPr>
      </w:pPr>
      <w:r w:rsidRPr="008F50DF">
        <w:rPr>
          <w:rFonts w:ascii="Verdana" w:eastAsia="Times New Roman" w:hAnsi="Verdana" w:cs="Times New Roman"/>
          <w:color w:val="000000"/>
          <w:lang w:eastAsia="es-CO"/>
        </w:rPr>
        <w:tab/>
        <w:t xml:space="preserve">El argumento expuesto en los párrafos precedentes es acorde con los documentos tipo adoptados mediante las Resoluciones 539, 540 y 541 de 2025. En el artículo 1 de cada una de estas resoluciones se establece que estos aplican a </w:t>
      </w:r>
      <w:r w:rsidRPr="008F50DF">
        <w:rPr>
          <w:rFonts w:ascii="Verdana" w:eastAsia="Times New Roman" w:hAnsi="Verdana" w:cs="Times New Roman"/>
          <w:i/>
          <w:iCs/>
          <w:color w:val="000000"/>
          <w:lang w:eastAsia="es-CO"/>
        </w:rPr>
        <w:t>“(…) los procesos de obra pública de infraestructura social”</w:t>
      </w:r>
      <w:r w:rsidRPr="008F50DF">
        <w:rPr>
          <w:rFonts w:ascii="Verdana" w:eastAsia="Times New Roman" w:hAnsi="Verdana" w:cs="Times New Roman"/>
          <w:color w:val="000000"/>
          <w:lang w:eastAsia="es-CO"/>
        </w:rPr>
        <w:t xml:space="preserve"> que se adelanten en cada una de las modalidades que estas acogen. Es decir, que los documentos tipo señalados aplica, para </w:t>
      </w:r>
      <w:r w:rsidRPr="008F50DF">
        <w:rPr>
          <w:rFonts w:ascii="Verdana" w:eastAsia="Calibri" w:hAnsi="Verdana" w:cs="Arial"/>
          <w:color w:val="000000"/>
          <w:kern w:val="2"/>
          <w:lang w:val="es-ES_tradnl"/>
          <w14:ligatures w14:val="standardContextual"/>
        </w:rPr>
        <w:t>los contratos “(…) que celebren las entidades estatales para la construcción, mantenimiento, instalación y, en general, para la realización de cualquier otro trabajo material sobre bienes inmuebles, cualquiera que sea la modalidad de ejecución y pago”</w:t>
      </w:r>
      <w:r w:rsidRPr="008F50DF">
        <w:rPr>
          <w:rFonts w:ascii="Verdana" w:eastAsia="Calibri" w:hAnsi="Verdana" w:cs="Arial"/>
          <w:color w:val="000000"/>
          <w:kern w:val="2"/>
          <w:vertAlign w:val="superscript"/>
          <w:lang w:val="es-ES_tradnl"/>
          <w14:ligatures w14:val="standardContextual"/>
        </w:rPr>
        <w:footnoteReference w:id="3"/>
      </w:r>
      <w:r w:rsidRPr="008F50DF">
        <w:rPr>
          <w:rFonts w:ascii="Verdana" w:eastAsia="Calibri" w:hAnsi="Verdana" w:cs="Arial"/>
          <w:color w:val="000000"/>
          <w:kern w:val="2"/>
          <w:lang w:val="es-ES_tradnl"/>
          <w14:ligatures w14:val="standardContextual"/>
        </w:rPr>
        <w:t xml:space="preserve">. </w:t>
      </w:r>
    </w:p>
    <w:p w14:paraId="6BC00F88" w14:textId="77777777" w:rsidR="008F50DF" w:rsidRPr="008F50DF" w:rsidRDefault="008F50DF" w:rsidP="008F50DF">
      <w:pPr>
        <w:spacing w:after="0" w:line="276" w:lineRule="auto"/>
        <w:jc w:val="both"/>
        <w:rPr>
          <w:rFonts w:ascii="Verdana" w:eastAsia="Times New Roman" w:hAnsi="Verdana" w:cs="Times New Roman"/>
          <w:color w:val="000000"/>
          <w:lang w:eastAsia="es-CO"/>
        </w:rPr>
      </w:pPr>
    </w:p>
    <w:p w14:paraId="4220D163" w14:textId="77777777" w:rsidR="008F50DF" w:rsidRPr="008F50DF" w:rsidRDefault="008F50DF" w:rsidP="008F50DF">
      <w:pPr>
        <w:spacing w:after="120" w:line="276" w:lineRule="auto"/>
        <w:jc w:val="both"/>
        <w:rPr>
          <w:rFonts w:ascii="Verdana" w:eastAsia="Times New Roman" w:hAnsi="Verdana" w:cs="Times New Roman"/>
          <w:color w:val="000000"/>
          <w:lang w:eastAsia="es-CO"/>
        </w:rPr>
      </w:pPr>
      <w:proofErr w:type="spellStart"/>
      <w:r w:rsidRPr="008F50DF">
        <w:rPr>
          <w:rFonts w:ascii="Verdana" w:eastAsia="Times New Roman" w:hAnsi="Verdana" w:cs="Times New Roman"/>
          <w:color w:val="000000"/>
          <w:lang w:eastAsia="es-CO"/>
        </w:rPr>
        <w:t>iii</w:t>
      </w:r>
      <w:proofErr w:type="spellEnd"/>
      <w:r w:rsidRPr="008F50DF">
        <w:rPr>
          <w:rFonts w:ascii="Verdana" w:eastAsia="Times New Roman" w:hAnsi="Verdana" w:cs="Times New Roman"/>
          <w:color w:val="000000"/>
          <w:lang w:eastAsia="es-CO"/>
        </w:rPr>
        <w:t xml:space="preserve">. Sin perjuicio de lo anterior, debe indicarse que para efectos de la aplicación de las actividades 1.12, 1.14 y 1.16 contenidas en la Matriz 1 – Experiencia de los Documentos Tipo del Sector Educativo, la entidad que adelanta el proceso de selección deberá determinar en cada caso, si este se enmarca o no en el ámbito de aplicación de esas actividades. </w:t>
      </w:r>
    </w:p>
    <w:p w14:paraId="000D9BE9" w14:textId="77777777" w:rsidR="008F50DF" w:rsidRPr="008F50DF" w:rsidRDefault="008F50DF" w:rsidP="008F50DF">
      <w:pPr>
        <w:spacing w:after="120" w:line="276" w:lineRule="auto"/>
        <w:ind w:firstLine="708"/>
        <w:jc w:val="both"/>
        <w:rPr>
          <w:rFonts w:ascii="Verdana" w:eastAsia="Calibri" w:hAnsi="Verdana" w:cs="Arial"/>
          <w:lang w:val="es-ES"/>
        </w:rPr>
      </w:pPr>
      <w:r w:rsidRPr="008F50DF">
        <w:rPr>
          <w:rFonts w:ascii="Verdana" w:eastAsia="Calibri" w:hAnsi="Verdana" w:cs="Arial"/>
          <w:lang w:val="es-ES"/>
        </w:rPr>
        <w:t xml:space="preserve">No obstante, teniendo en cuenta que las actividades señaladas incluyen la instalación, la cual, como se indicó, es constitutiva del objeto de contrato de obra pública, es importante hacer algunas precisiones en torno al alcance de este concepto. Como lo ha indicado la Sala de Consulta y Servicio Civil del Consejo de Estado, dentro del contrato de obra pública se considera incluido “[…], todo trabajo que tiene por objeto, crear, construir, conservar o modificar bienes inmuebles incorporándose a dicho concepto trabajos como la construcción, </w:t>
      </w:r>
      <w:r w:rsidRPr="008F50DF">
        <w:rPr>
          <w:rFonts w:ascii="Verdana" w:eastAsia="Calibri" w:hAnsi="Verdana" w:cs="Arial"/>
          <w:i/>
          <w:lang w:val="es-ES"/>
        </w:rPr>
        <w:t>instalación</w:t>
      </w:r>
      <w:r w:rsidRPr="008F50DF">
        <w:rPr>
          <w:rFonts w:ascii="Verdana" w:eastAsia="Calibri" w:hAnsi="Verdana" w:cs="Arial"/>
          <w:lang w:val="es-ES"/>
        </w:rPr>
        <w:t xml:space="preserve">, conservación, mantenimiento, reparación y demolición de los bienes inmuebles, así como la construcción, </w:t>
      </w:r>
      <w:r w:rsidRPr="008F50DF">
        <w:rPr>
          <w:rFonts w:ascii="Verdana" w:eastAsia="Calibri" w:hAnsi="Verdana" w:cs="Arial"/>
          <w:i/>
          <w:lang w:val="es-ES"/>
        </w:rPr>
        <w:t>instalación</w:t>
      </w:r>
      <w:r w:rsidRPr="008F50DF">
        <w:rPr>
          <w:rFonts w:ascii="Verdana" w:eastAsia="Calibri" w:hAnsi="Verdana" w:cs="Arial"/>
          <w:lang w:val="es-ES"/>
        </w:rPr>
        <w:t xml:space="preserve">, conservación, </w:t>
      </w:r>
      <w:r w:rsidRPr="008F50DF">
        <w:rPr>
          <w:rFonts w:ascii="Verdana" w:eastAsia="Calibri" w:hAnsi="Verdana" w:cs="Arial"/>
          <w:lang w:val="es-ES"/>
        </w:rPr>
        <w:lastRenderedPageBreak/>
        <w:t>mantenimiento, reparación y demolición de aquellos bienes destinados a un servicio público o al uso común”</w:t>
      </w:r>
      <w:r w:rsidRPr="008F50DF">
        <w:rPr>
          <w:rFonts w:ascii="Calibri" w:eastAsia="Calibri" w:hAnsi="Calibri" w:cs="Times New Roman"/>
          <w:vertAlign w:val="superscript"/>
        </w:rPr>
        <w:footnoteReference w:id="4"/>
      </w:r>
      <w:r w:rsidRPr="008F50DF">
        <w:rPr>
          <w:rFonts w:ascii="Verdana" w:eastAsia="Calibri" w:hAnsi="Verdana" w:cs="Arial"/>
          <w:lang w:val="es-ES"/>
        </w:rPr>
        <w:t xml:space="preserve"> (énfasis fuera de texto).</w:t>
      </w:r>
    </w:p>
    <w:p w14:paraId="2522DE10" w14:textId="77777777" w:rsidR="008F50DF" w:rsidRPr="008F50DF" w:rsidRDefault="008F50DF" w:rsidP="008F50DF">
      <w:pPr>
        <w:spacing w:after="120" w:line="276" w:lineRule="auto"/>
        <w:ind w:firstLine="709"/>
        <w:jc w:val="both"/>
        <w:rPr>
          <w:rFonts w:ascii="Verdana" w:eastAsia="Calibri" w:hAnsi="Verdana" w:cs="Arial"/>
          <w:lang w:val="es-ES_tradnl"/>
        </w:rPr>
      </w:pPr>
      <w:r w:rsidRPr="008F50DF">
        <w:rPr>
          <w:rFonts w:ascii="Verdana" w:eastAsia="Calibri" w:hAnsi="Verdana" w:cs="Arial"/>
          <w:lang w:val="es-ES_tradnl"/>
        </w:rPr>
        <w:t>Según el Diccionario de la Lengua Española, “instalar” es “Poner o colocar en el lugar debido a alguien o algo”, así como “Colocar en un lugar o edificio los enseres y servicios que en él se hayan de utilizar; como en una fábrica, los conductos de agua, aparatos para la luz, etc.”</w:t>
      </w:r>
      <w:r w:rsidRPr="008F50DF">
        <w:rPr>
          <w:rFonts w:ascii="Calibri" w:eastAsia="Calibri" w:hAnsi="Calibri" w:cs="Times New Roman"/>
          <w:vertAlign w:val="superscript"/>
        </w:rPr>
        <w:footnoteReference w:id="5"/>
      </w:r>
      <w:r w:rsidRPr="008F50DF">
        <w:rPr>
          <w:rFonts w:ascii="Verdana" w:eastAsia="Calibri" w:hAnsi="Verdana" w:cs="Arial"/>
          <w:lang w:val="es-ES_tradnl"/>
        </w:rPr>
        <w:t>. Por tanto, la instalación de cosas –como redes, equipos u otros elementos– en los bienes inmuebles es, en principio, una actividad que ingresa dentro de los contratos de obra celebrados por las entidades estatales, pues comporta la realización de un trabajo material.</w:t>
      </w:r>
    </w:p>
    <w:p w14:paraId="45ADC9EE" w14:textId="77777777" w:rsidR="008F50DF" w:rsidRPr="008F50DF" w:rsidRDefault="008F50DF" w:rsidP="008F50DF">
      <w:pPr>
        <w:spacing w:after="120" w:line="276" w:lineRule="auto"/>
        <w:ind w:firstLine="709"/>
        <w:jc w:val="both"/>
        <w:rPr>
          <w:rFonts w:ascii="Verdana" w:eastAsia="Calibri" w:hAnsi="Verdana" w:cs="Arial"/>
          <w:lang w:val="es-ES_tradnl"/>
        </w:rPr>
      </w:pPr>
      <w:r w:rsidRPr="008F50DF">
        <w:rPr>
          <w:rFonts w:ascii="Verdana" w:eastAsia="Calibri" w:hAnsi="Verdana" w:cs="Arial"/>
          <w:lang w:val="es-ES_tradnl"/>
        </w:rPr>
        <w:t xml:space="preserve">Sin embargo, esto no quiere decir que </w:t>
      </w:r>
      <w:r w:rsidRPr="008F50DF">
        <w:rPr>
          <w:rFonts w:ascii="Verdana" w:eastAsia="Calibri" w:hAnsi="Verdana" w:cs="Arial"/>
          <w:i/>
          <w:iCs/>
          <w:lang w:val="es-ES_tradnl"/>
        </w:rPr>
        <w:t>toda</w:t>
      </w:r>
      <w:r w:rsidRPr="008F50DF">
        <w:rPr>
          <w:rFonts w:ascii="Verdana" w:eastAsia="Calibri" w:hAnsi="Verdana" w:cs="Arial"/>
          <w:lang w:val="es-ES_tradnl"/>
        </w:rPr>
        <w:t xml:space="preserve"> instalación que se pacte, como obligación a cargo del contratista, permita clasificar el negocio jurídico como un contrato de obra pública. Así lo reconoció también la Sala de Consulta y Servicio Civil, indicando que “En la práctica se encuentran contratos para el suministro de equipos que involucran prestaciones adicionales relacionadas con su instalación, servicios de mantenimiento, y de capacitación tendientes a la entrega para la puesta en funcionamiento por parte de la entidad estatal”</w:t>
      </w:r>
      <w:r w:rsidRPr="008F50DF">
        <w:rPr>
          <w:rFonts w:ascii="Calibri" w:eastAsia="Calibri" w:hAnsi="Calibri" w:cs="Times New Roman"/>
          <w:vertAlign w:val="superscript"/>
        </w:rPr>
        <w:footnoteReference w:id="6"/>
      </w:r>
      <w:r w:rsidRPr="008F50DF">
        <w:rPr>
          <w:rFonts w:ascii="Verdana" w:eastAsia="Calibri" w:hAnsi="Verdana" w:cs="Arial"/>
          <w:lang w:val="es-ES_tradnl"/>
        </w:rPr>
        <w:t>, agregando que “En el caso citado, no existe un contrato de compraventa o suministro de bienes muebles, un contrato de obra y un contrato de prestación de servicios. Se trata de un solo contrato con una prestación principal y unas accesorias relacionadas directamente con el primero”</w:t>
      </w:r>
      <w:r w:rsidRPr="008F50DF">
        <w:rPr>
          <w:rFonts w:ascii="Calibri" w:eastAsia="Calibri" w:hAnsi="Calibri" w:cs="Times New Roman"/>
          <w:vertAlign w:val="superscript"/>
        </w:rPr>
        <w:footnoteReference w:id="7"/>
      </w:r>
      <w:r w:rsidRPr="008F50DF">
        <w:rPr>
          <w:rFonts w:ascii="Verdana" w:eastAsia="Calibri" w:hAnsi="Verdana" w:cs="Arial"/>
          <w:lang w:val="es-ES_tradnl"/>
        </w:rPr>
        <w:t>.</w:t>
      </w:r>
    </w:p>
    <w:p w14:paraId="372886D4" w14:textId="77777777" w:rsidR="008F50DF" w:rsidRPr="008F50DF" w:rsidRDefault="008F50DF" w:rsidP="008F50DF">
      <w:pPr>
        <w:spacing w:after="120" w:line="276" w:lineRule="auto"/>
        <w:ind w:firstLine="709"/>
        <w:jc w:val="both"/>
        <w:rPr>
          <w:rFonts w:ascii="Verdana" w:eastAsia="Calibri" w:hAnsi="Verdana" w:cs="Arial"/>
          <w:lang w:val="es-ES_tradnl"/>
        </w:rPr>
      </w:pPr>
      <w:r w:rsidRPr="008F50DF">
        <w:rPr>
          <w:rFonts w:ascii="Verdana" w:eastAsia="Calibri" w:hAnsi="Verdana" w:cs="Arial"/>
          <w:lang w:val="es-ES_tradnl"/>
        </w:rPr>
        <w:t xml:space="preserve">En otras palabras, para la Sala, es posible que las entidades públicas, en ejercicio de su autonomía de la voluntad, celebren contratos estatales que involucren prestaciones mixtas, también denominados “contratos mixtos” –modalidad de contratos atípicos–, siempre que “las prestaciones correspondientes que pretendan fusionarse se encuentren directamente vinculadas entre sí, de tal manera que mantengan relaciones de complemento y </w:t>
      </w:r>
      <w:r w:rsidRPr="008F50DF">
        <w:rPr>
          <w:rFonts w:ascii="Verdana" w:eastAsia="Calibri" w:hAnsi="Verdana" w:cs="Arial"/>
          <w:lang w:val="es-ES_tradnl"/>
        </w:rPr>
        <w:lastRenderedPageBreak/>
        <w:t>que permitan predicar su tratamiento solo como una unidad funcional dirigida a la satisfacción de la necesidad de la entidad”</w:t>
      </w:r>
      <w:r w:rsidRPr="008F50DF">
        <w:rPr>
          <w:rFonts w:ascii="Calibri" w:eastAsia="Calibri" w:hAnsi="Calibri" w:cs="Times New Roman"/>
          <w:vertAlign w:val="superscript"/>
        </w:rPr>
        <w:footnoteReference w:id="8"/>
      </w:r>
      <w:r w:rsidRPr="008F50DF">
        <w:rPr>
          <w:rFonts w:ascii="Verdana" w:eastAsia="Calibri" w:hAnsi="Verdana" w:cs="Arial"/>
          <w:lang w:val="es-ES_tradnl"/>
        </w:rPr>
        <w:t xml:space="preserve">. </w:t>
      </w:r>
    </w:p>
    <w:p w14:paraId="28C944EA" w14:textId="77777777" w:rsidR="008F50DF" w:rsidRPr="008F50DF" w:rsidRDefault="008F50DF" w:rsidP="008F50DF">
      <w:pPr>
        <w:spacing w:after="120" w:line="276" w:lineRule="auto"/>
        <w:ind w:firstLine="709"/>
        <w:jc w:val="both"/>
        <w:rPr>
          <w:rFonts w:ascii="Verdana" w:eastAsia="Calibri" w:hAnsi="Verdana" w:cs="Arial"/>
          <w:lang w:val="es-ES_tradnl"/>
        </w:rPr>
      </w:pPr>
      <w:r w:rsidRPr="008F50DF">
        <w:rPr>
          <w:rFonts w:ascii="Verdana" w:eastAsia="Calibri" w:hAnsi="Verdana" w:cs="Arial"/>
          <w:lang w:val="es-ES_tradnl"/>
        </w:rPr>
        <w:t xml:space="preserve">La Agencia Nacional de Contratación Pública – Colombia Compra Eficiente comparte la tesis de la Sala de Consulta y Servicio Civil, pues considera que aquella se sustenta en dos argumentos: primero, en que el artículo 32 de la Ley 80 de 1993 no establece un listado taxativo de contratos estatales, sino que afirma que también lo son los “derivados del ejercicio de la autonomía de la voluntad”; y segundo, en que el artículo 40 ratifica lo anterior, al señalar que “Las entidades podrán celebrar los contratos y acuerdos que permitan la autonomía de la voluntad y requieran el cumplimiento de los fines estatales”. En consecuencia, las entidades estatales pueden celebrar contratos atípicos mixtos, respetando los límites del principio de legalidad, una de cuyas expresiones es la tipificación de los contratos estatales. </w:t>
      </w:r>
    </w:p>
    <w:p w14:paraId="4C658CF0" w14:textId="77777777" w:rsidR="008F50DF" w:rsidRPr="008F50DF" w:rsidRDefault="008F50DF" w:rsidP="008F50DF">
      <w:pPr>
        <w:spacing w:after="120" w:line="276" w:lineRule="auto"/>
        <w:ind w:firstLine="709"/>
        <w:jc w:val="both"/>
        <w:rPr>
          <w:rFonts w:ascii="Verdana" w:eastAsia="Calibri" w:hAnsi="Verdana" w:cs="Arial"/>
        </w:rPr>
      </w:pPr>
      <w:r w:rsidRPr="008F50DF">
        <w:rPr>
          <w:rFonts w:ascii="Verdana" w:eastAsia="Calibri" w:hAnsi="Verdana" w:cs="Arial"/>
          <w:lang w:val="es-ES_tradnl"/>
        </w:rPr>
        <w:t>Expresado de otro modo, cuando el legislador haya establecido el contenido de un contrato, para tipificarlo y predicar, a partir de esta calificación, consecuencias jurídicas como la modalidad de selección aplicable, requisitos habilitantes o gravámenes tributarios, prevalece la caracterización establecida en la ley, en lugar de la definición convencional estipulada entre las partes. Sin embargo, esto no se opone, como se ha dicho, a que las entidades estatales y los particulares celebren contratos que mezclen elementos de distintas tipologías contractuales, como, por ejemplo, el suministro o la compraventa con la instalación, o el diseño con la construcción. En estos casos se perfeccionan contratos mixtos, denominados por la Sala de Consulta y Servicio Civil, “contratos atípicos con tipicidad social”, porque en ellos se “conjugan los elementos de diversos contratos típicos en un solo contrato el cual tomará la denominación de contrato mixto”</w:t>
      </w:r>
      <w:r w:rsidRPr="008F50DF">
        <w:rPr>
          <w:rFonts w:ascii="Calibri" w:eastAsia="Calibri" w:hAnsi="Calibri" w:cs="Times New Roman"/>
          <w:vertAlign w:val="superscript"/>
        </w:rPr>
        <w:footnoteReference w:id="9"/>
      </w:r>
      <w:r w:rsidRPr="008F50DF">
        <w:rPr>
          <w:rFonts w:ascii="Verdana" w:eastAsia="Calibri" w:hAnsi="Verdana" w:cs="Arial"/>
          <w:lang w:val="es-ES_tradnl"/>
        </w:rPr>
        <w:t>.</w:t>
      </w:r>
    </w:p>
    <w:p w14:paraId="6EDCBB69" w14:textId="77777777" w:rsidR="008F50DF" w:rsidRPr="008F50DF" w:rsidRDefault="008F50DF" w:rsidP="008F50DF">
      <w:pPr>
        <w:spacing w:after="120" w:line="276" w:lineRule="auto"/>
        <w:ind w:firstLine="709"/>
        <w:jc w:val="both"/>
        <w:rPr>
          <w:rFonts w:ascii="Verdana" w:eastAsia="Calibri" w:hAnsi="Verdana" w:cs="Arial"/>
          <w:lang w:val="es-ES_tradnl"/>
        </w:rPr>
      </w:pPr>
      <w:r w:rsidRPr="008F50DF">
        <w:rPr>
          <w:rFonts w:ascii="Verdana" w:eastAsia="Calibri" w:hAnsi="Verdana" w:cs="Arial"/>
          <w:lang w:val="es-ES_tradnl"/>
        </w:rPr>
        <w:lastRenderedPageBreak/>
        <w:t>Esta idea, de cualquier manera, no deja de generar interrogantes en el caso concreto. ¿Cómo se puede determinar en un caso concreto si el contrato es típico o mixto? Por ejemplo, para el supuesto de la instalación de equipos de aire acondicionado o mobiliario, ¿cómo se sabe si el contrato es o no uno de obra pública, teniendo en cuenta que el artículo 32, numeral 1, de la Ley 80 de 1993, dispone que la “instalación” de elementos sobre bienes inmuebles es constitutivo de esta tipología contractual? La Sala de Consulta y Servicio Civil del Consejo de Estado sugiere el siguiente criterio hermenéutico: “Ante la ausencia y vacío legislativo, para la Sala un criterio de interpretación que ayude a dilucidar esta situación será el de atender al carácter de la prestación principal. El objeto principal, a su vez, podría determinarse en función de cuál es la prestación que tenga el mayor de los valores estimados”</w:t>
      </w:r>
      <w:r w:rsidRPr="008F50DF">
        <w:rPr>
          <w:rFonts w:ascii="Calibri" w:eastAsia="Calibri" w:hAnsi="Calibri" w:cs="Times New Roman"/>
          <w:vertAlign w:val="superscript"/>
        </w:rPr>
        <w:footnoteReference w:id="10"/>
      </w:r>
      <w:r w:rsidRPr="008F50DF">
        <w:rPr>
          <w:rFonts w:ascii="Verdana" w:eastAsia="Calibri" w:hAnsi="Verdana" w:cs="Arial"/>
          <w:lang w:val="es-ES_tradnl"/>
        </w:rPr>
        <w:t xml:space="preserve">. </w:t>
      </w:r>
    </w:p>
    <w:p w14:paraId="250E9E63" w14:textId="77777777" w:rsidR="008F50DF" w:rsidRPr="008F50DF" w:rsidRDefault="008F50DF" w:rsidP="008F50DF">
      <w:pPr>
        <w:spacing w:after="120" w:line="276" w:lineRule="auto"/>
        <w:ind w:firstLine="708"/>
        <w:jc w:val="both"/>
        <w:rPr>
          <w:rFonts w:ascii="Verdana" w:eastAsia="Calibri" w:hAnsi="Verdana" w:cs="Arial"/>
          <w:color w:val="000000"/>
          <w:lang w:val="es-ES_tradnl"/>
        </w:rPr>
      </w:pPr>
      <w:r w:rsidRPr="008F50DF">
        <w:rPr>
          <w:rFonts w:ascii="Verdana" w:eastAsia="Calibri" w:hAnsi="Verdana" w:cs="Arial"/>
          <w:color w:val="000000"/>
          <w:lang w:val="es-ES_tradnl"/>
        </w:rPr>
        <w:t xml:space="preserve">En similar sentido, de acuerdo con la jurisprudencia de la Sala de Casación Civil de la Corte Suprema de Justicia, el régimen contractual de los </w:t>
      </w:r>
      <w:r w:rsidRPr="008F50DF">
        <w:rPr>
          <w:rFonts w:ascii="Verdana" w:eastAsia="Calibri" w:hAnsi="Verdana" w:cs="Arial"/>
          <w:i/>
          <w:iCs/>
          <w:color w:val="000000"/>
          <w:lang w:val="es-ES_tradnl"/>
        </w:rPr>
        <w:t>contratos mixtos</w:t>
      </w:r>
      <w:r w:rsidRPr="008F50DF">
        <w:rPr>
          <w:rFonts w:ascii="Verdana" w:eastAsia="Calibri" w:hAnsi="Verdana" w:cs="Arial"/>
          <w:color w:val="000000"/>
          <w:lang w:val="es-ES_tradnl"/>
        </w:rPr>
        <w:t xml:space="preserve"> se ha determinado por el método de absorción. Conforme a este criterio, debe identificarse el objeto principal de la prestación para aplicar el régimen del contrato típico al que pertenece, es decir, las reglas que disciplinan el acuerdo en su conjunto se someten al contrato nominado del objeto principal. Por ello, “en el contrato mixto habría siempre un elemento prevalente que absorbe los elementos secundarios; esta circunstancia permitiría regular el contrato entero con las normas del contrato nominado correspondiente, el que estaría dotado de una fuerza de expansión respecto de las figuras contractuales que estén provistas de una función económica análoga”</w:t>
      </w:r>
      <w:r w:rsidRPr="008F50DF">
        <w:rPr>
          <w:rFonts w:ascii="Calibri" w:eastAsia="Calibri" w:hAnsi="Calibri" w:cs="Times New Roman"/>
          <w:vertAlign w:val="superscript"/>
        </w:rPr>
        <w:footnoteReference w:id="11"/>
      </w:r>
      <w:r w:rsidRPr="008F50DF">
        <w:rPr>
          <w:rFonts w:ascii="Verdana" w:eastAsia="Calibri" w:hAnsi="Verdana" w:cs="Arial"/>
          <w:color w:val="000000"/>
          <w:lang w:val="es-ES_tradnl"/>
        </w:rPr>
        <w:t xml:space="preserve">. </w:t>
      </w:r>
    </w:p>
    <w:p w14:paraId="3CDEFD87" w14:textId="77777777" w:rsidR="008F50DF" w:rsidRPr="008F50DF" w:rsidRDefault="008F50DF" w:rsidP="008F50DF">
      <w:pPr>
        <w:spacing w:after="0" w:line="276" w:lineRule="auto"/>
        <w:ind w:firstLine="708"/>
        <w:jc w:val="both"/>
        <w:rPr>
          <w:rFonts w:ascii="Verdana" w:eastAsia="Calibri" w:hAnsi="Verdana" w:cs="Arial"/>
          <w:color w:val="000000"/>
          <w:lang w:val="es-ES_tradnl"/>
        </w:rPr>
      </w:pPr>
      <w:r w:rsidRPr="008F50DF">
        <w:rPr>
          <w:rFonts w:ascii="Verdana" w:eastAsia="Calibri" w:hAnsi="Verdana" w:cs="Arial"/>
          <w:color w:val="000000"/>
          <w:lang w:val="es-ES_tradnl"/>
        </w:rPr>
        <w:lastRenderedPageBreak/>
        <w:t>La jurisprudencia citada también explica los métodos de analogía y combinación. El primero alude a que el contrato atípico se rige por las normas que disciplinan la figura contractual típica más parecida. El segundo, por su parte, considera que, si un contrato comprende prestaciones de diferentes tipologías, deben aplicarse las normas correspondientes a cada figura. Para la Corte Suprema de Justicia, los criterios de absorción y combinación se reducen a la analogía</w:t>
      </w:r>
      <w:r w:rsidRPr="008F50DF">
        <w:rPr>
          <w:rFonts w:ascii="Calibri" w:eastAsia="Calibri" w:hAnsi="Calibri" w:cs="Times New Roman"/>
          <w:vertAlign w:val="superscript"/>
        </w:rPr>
        <w:footnoteReference w:id="12"/>
      </w:r>
      <w:r w:rsidRPr="008F50DF">
        <w:rPr>
          <w:rFonts w:ascii="Verdana" w:eastAsia="Calibri" w:hAnsi="Verdana" w:cs="Arial"/>
          <w:color w:val="000000"/>
          <w:lang w:val="es-ES_tradnl"/>
        </w:rPr>
        <w:t>. En todo caso, la doctrina advierte que:</w:t>
      </w:r>
    </w:p>
    <w:p w14:paraId="51B0FB69" w14:textId="77777777" w:rsidR="008F50DF" w:rsidRPr="008F50DF" w:rsidRDefault="008F50DF" w:rsidP="008F50DF">
      <w:pPr>
        <w:tabs>
          <w:tab w:val="left" w:pos="2208"/>
        </w:tabs>
        <w:spacing w:after="0" w:line="276" w:lineRule="auto"/>
        <w:ind w:firstLine="709"/>
        <w:jc w:val="both"/>
        <w:rPr>
          <w:rFonts w:ascii="Verdana" w:eastAsia="Calibri" w:hAnsi="Verdana" w:cs="Arial"/>
          <w:color w:val="000000"/>
          <w:lang w:val="es-ES_tradnl"/>
        </w:rPr>
      </w:pPr>
      <w:r w:rsidRPr="008F50DF">
        <w:rPr>
          <w:rFonts w:ascii="Verdana" w:eastAsia="Calibri" w:hAnsi="Verdana" w:cs="Arial"/>
          <w:color w:val="000000"/>
          <w:lang w:val="es-ES_tradnl"/>
        </w:rPr>
        <w:tab/>
      </w:r>
    </w:p>
    <w:p w14:paraId="0DA9BD0B" w14:textId="77777777" w:rsidR="008F50DF" w:rsidRPr="008F50DF" w:rsidRDefault="008F50DF" w:rsidP="008F50DF">
      <w:pPr>
        <w:spacing w:after="0" w:line="240" w:lineRule="auto"/>
        <w:ind w:left="709" w:right="709"/>
        <w:jc w:val="both"/>
        <w:rPr>
          <w:rFonts w:ascii="Verdana" w:eastAsia="Calibri" w:hAnsi="Verdana" w:cs="Arial"/>
          <w:color w:val="000000"/>
          <w:sz w:val="20"/>
          <w:szCs w:val="20"/>
        </w:rPr>
      </w:pPr>
      <w:r w:rsidRPr="008F50DF">
        <w:rPr>
          <w:rFonts w:ascii="Verdana" w:eastAsia="Calibri" w:hAnsi="Verdana" w:cs="Arial"/>
          <w:color w:val="000000"/>
          <w:sz w:val="20"/>
          <w:szCs w:val="20"/>
        </w:rPr>
        <w:t>[...] “la afinidad con otros tipos no excluye una relevancia original y autónoma del contrato”. Por tanto, se hace necesario auscultar también el interés y la intención de las partes en el contrato atípico.</w:t>
      </w:r>
      <w:r w:rsidRPr="008F50DF">
        <w:rPr>
          <w:rFonts w:ascii="Verdana" w:eastAsia="Calibri" w:hAnsi="Verdana" w:cs="Arial"/>
          <w:sz w:val="20"/>
          <w:szCs w:val="20"/>
        </w:rPr>
        <w:t xml:space="preserve"> </w:t>
      </w:r>
      <w:r w:rsidRPr="008F50DF">
        <w:rPr>
          <w:rFonts w:ascii="Verdana" w:eastAsia="Calibri" w:hAnsi="Verdana" w:cs="Arial"/>
          <w:color w:val="000000"/>
          <w:sz w:val="20"/>
          <w:szCs w:val="20"/>
        </w:rPr>
        <w:t>En últimas es la autonomía negocial la que da origen a los contratos innominados. La creación de un nuevo tipo contractual no es sino una adecuación progresiva del fenómeno de la autonomía negocial a los intereses específicos de los sujetos. La creación de un nuevo tipo contractual no es sino la adecuación progresiva del fenómeno de la autonomía negocial a los intereses específicos de los sujetos</w:t>
      </w:r>
      <w:r w:rsidRPr="008F50DF">
        <w:rPr>
          <w:rFonts w:ascii="Calibri" w:eastAsia="Calibri" w:hAnsi="Calibri" w:cs="Times New Roman"/>
          <w:vertAlign w:val="superscript"/>
        </w:rPr>
        <w:footnoteReference w:id="13"/>
      </w:r>
      <w:r w:rsidRPr="008F50DF">
        <w:rPr>
          <w:rFonts w:ascii="Verdana" w:eastAsia="Calibri" w:hAnsi="Verdana" w:cs="Arial"/>
          <w:color w:val="000000"/>
          <w:sz w:val="20"/>
          <w:szCs w:val="20"/>
        </w:rPr>
        <w:t>.</w:t>
      </w:r>
    </w:p>
    <w:p w14:paraId="43C616ED" w14:textId="77777777" w:rsidR="008F50DF" w:rsidRPr="008F50DF" w:rsidRDefault="008F50DF" w:rsidP="008F50DF">
      <w:pPr>
        <w:spacing w:after="0" w:line="240" w:lineRule="auto"/>
        <w:ind w:left="709" w:right="709"/>
        <w:jc w:val="both"/>
        <w:rPr>
          <w:rFonts w:ascii="Verdana" w:eastAsia="Calibri" w:hAnsi="Verdana" w:cs="Arial"/>
          <w:color w:val="000000"/>
          <w:sz w:val="20"/>
          <w:szCs w:val="20"/>
        </w:rPr>
      </w:pPr>
    </w:p>
    <w:p w14:paraId="216A6A53" w14:textId="77777777" w:rsidR="008F50DF" w:rsidRPr="008F50DF" w:rsidRDefault="008F50DF" w:rsidP="008F50DF">
      <w:pPr>
        <w:spacing w:after="120" w:line="276" w:lineRule="auto"/>
        <w:ind w:firstLine="709"/>
        <w:jc w:val="both"/>
        <w:rPr>
          <w:rFonts w:ascii="Verdana" w:eastAsia="Calibri" w:hAnsi="Verdana" w:cs="Arial"/>
          <w:lang w:val="es-ES"/>
        </w:rPr>
      </w:pPr>
      <w:r w:rsidRPr="008F50DF">
        <w:rPr>
          <w:rFonts w:ascii="Verdana" w:eastAsia="Calibri" w:hAnsi="Verdana" w:cs="Arial"/>
          <w:lang w:val="es-ES"/>
        </w:rPr>
        <w:t xml:space="preserve">Con fundamento en lo anterior, puede decirse que la obligación de instalar un bien mueble en un inmueble –convirtiendo a aquel en un inmueble por adhesión o por destinación– </w:t>
      </w:r>
      <w:r w:rsidRPr="008F50DF">
        <w:rPr>
          <w:rFonts w:ascii="Verdana" w:eastAsia="Calibri" w:hAnsi="Verdana" w:cs="Arial"/>
          <w:i/>
          <w:lang w:val="es-ES"/>
        </w:rPr>
        <w:t>no</w:t>
      </w:r>
      <w:r w:rsidRPr="008F50DF">
        <w:rPr>
          <w:rFonts w:ascii="Verdana" w:eastAsia="Calibri" w:hAnsi="Verdana" w:cs="Arial"/>
          <w:lang w:val="es-ES"/>
        </w:rPr>
        <w:t xml:space="preserve"> es privativa del contrato de obra pública, pues puede estar presente también en un contrato de suministro, de compraventa o en un contrato mixto (atípico). Lo que determinará cuál es la tipología contractual o la existencia del contrato mixto será la valoración de los siguientes elementos: i) la definición de cuál es la prestación principal del contrato, </w:t>
      </w:r>
      <w:proofErr w:type="spellStart"/>
      <w:r w:rsidRPr="008F50DF">
        <w:rPr>
          <w:rFonts w:ascii="Verdana" w:eastAsia="Calibri" w:hAnsi="Verdana" w:cs="Arial"/>
          <w:lang w:val="es-ES"/>
        </w:rPr>
        <w:t>ii</w:t>
      </w:r>
      <w:proofErr w:type="spellEnd"/>
      <w:r w:rsidRPr="008F50DF">
        <w:rPr>
          <w:rFonts w:ascii="Verdana" w:eastAsia="Calibri" w:hAnsi="Verdana" w:cs="Arial"/>
          <w:lang w:val="es-ES"/>
        </w:rPr>
        <w:t xml:space="preserve">) la finalidad de las partes y </w:t>
      </w:r>
      <w:proofErr w:type="spellStart"/>
      <w:r w:rsidRPr="008F50DF">
        <w:rPr>
          <w:rFonts w:ascii="Verdana" w:eastAsia="Calibri" w:hAnsi="Verdana" w:cs="Arial"/>
          <w:lang w:val="es-ES"/>
        </w:rPr>
        <w:t>iii</w:t>
      </w:r>
      <w:proofErr w:type="spellEnd"/>
      <w:r w:rsidRPr="008F50DF">
        <w:rPr>
          <w:rFonts w:ascii="Verdana" w:eastAsia="Calibri" w:hAnsi="Verdana" w:cs="Arial"/>
          <w:lang w:val="es-ES"/>
        </w:rPr>
        <w:t xml:space="preserve">) si se trata de prestaciones mixtas, “que las prestaciones correspondientes que pretendan fusionarse se encuentren directamente vinculadas entre sí, de tal manera que mantengan relaciones de </w:t>
      </w:r>
      <w:r w:rsidRPr="008F50DF">
        <w:rPr>
          <w:rFonts w:ascii="Verdana" w:eastAsia="Calibri" w:hAnsi="Verdana" w:cs="Arial"/>
          <w:lang w:val="es-ES"/>
        </w:rPr>
        <w:lastRenderedPageBreak/>
        <w:t>complemento y que permitan predicar su tratamiento solo como una unidad funcional dirigida a la satisfacción de la necesidad de la entidad”</w:t>
      </w:r>
      <w:r w:rsidRPr="008F50DF">
        <w:rPr>
          <w:rFonts w:ascii="Calibri" w:eastAsia="Calibri" w:hAnsi="Calibri" w:cs="Times New Roman"/>
          <w:vertAlign w:val="superscript"/>
        </w:rPr>
        <w:footnoteReference w:id="14"/>
      </w:r>
      <w:r w:rsidRPr="008F50DF">
        <w:rPr>
          <w:rFonts w:ascii="Verdana" w:eastAsia="Calibri" w:hAnsi="Verdana" w:cs="Arial"/>
          <w:lang w:val="es-ES"/>
        </w:rPr>
        <w:t>. Este es un análisis que, por tanto, debe realizarse en cada caso concreto, considerando los datos técnicos y económicos del objeto contractual.</w:t>
      </w:r>
    </w:p>
    <w:p w14:paraId="0A7DBF08" w14:textId="77777777" w:rsidR="008F50DF" w:rsidRPr="008F50DF" w:rsidRDefault="008F50DF" w:rsidP="008F50DF">
      <w:pPr>
        <w:spacing w:after="120" w:line="276" w:lineRule="auto"/>
        <w:ind w:firstLine="708"/>
        <w:jc w:val="both"/>
        <w:rPr>
          <w:rFonts w:ascii="Verdana" w:eastAsia="Times New Roman" w:hAnsi="Verdana" w:cs="Times New Roman"/>
          <w:color w:val="000000"/>
          <w:lang w:eastAsia="es-CO"/>
        </w:rPr>
      </w:pPr>
      <w:r w:rsidRPr="008F50DF">
        <w:rPr>
          <w:rFonts w:ascii="Verdana" w:eastAsia="Calibri" w:hAnsi="Verdana" w:cs="Arial"/>
          <w:lang w:val="es-ES" w:eastAsia="es-ES_tradnl"/>
        </w:rPr>
        <w:t xml:space="preserve">En este contexto, </w:t>
      </w:r>
      <w:r w:rsidRPr="008F50DF">
        <w:rPr>
          <w:rFonts w:ascii="Verdana" w:eastAsia="Aptos" w:hAnsi="Verdana" w:cs="Arial"/>
          <w:kern w:val="2"/>
          <w:lang w:eastAsia="es-ES_tradnl"/>
          <w14:ligatures w14:val="standardContextual"/>
        </w:rPr>
        <w:t xml:space="preserve">no es posible afirmar de manera categórica que el suministro e instalación de bienes muebles como </w:t>
      </w:r>
      <w:r w:rsidRPr="008F50DF">
        <w:rPr>
          <w:rFonts w:ascii="Verdana" w:eastAsia="Times New Roman" w:hAnsi="Verdana" w:cs="Times New Roman"/>
          <w:color w:val="000000"/>
          <w:lang w:eastAsia="es-CO"/>
        </w:rPr>
        <w:t xml:space="preserve">mobiliario interno o externo, sistemas de aires acondicionadas o sistemas de ventilación o similar, y equipos especiales o electromecánicos y/o electrónicos y/o maquinarias u otros tipos de equipos sobre </w:t>
      </w:r>
      <w:r w:rsidRPr="008F50DF">
        <w:rPr>
          <w:rFonts w:ascii="Verdana" w:eastAsia="Aptos" w:hAnsi="Verdana" w:cs="Arial"/>
          <w:kern w:val="2"/>
          <w:lang w:eastAsia="es-ES_tradnl"/>
          <w14:ligatures w14:val="standardContextual"/>
        </w:rPr>
        <w:t xml:space="preserve">un inmueble que tiene la categoría de infraestructura educativa deba clasificarse, en todos los casos, como un contrato de obra pública para efecto de la utilización de los Documentos Tipo </w:t>
      </w:r>
      <w:r w:rsidRPr="008F50DF">
        <w:rPr>
          <w:rFonts w:ascii="Verdana" w:eastAsia="Times New Roman" w:hAnsi="Verdana" w:cs="Times New Roman"/>
          <w:color w:val="000000"/>
          <w:lang w:eastAsia="es-CO"/>
        </w:rPr>
        <w:t>del Sector Educativo</w:t>
      </w:r>
      <w:r w:rsidRPr="008F50DF">
        <w:rPr>
          <w:rFonts w:ascii="Verdana" w:eastAsia="Aptos" w:hAnsi="Verdana" w:cs="Arial"/>
          <w:kern w:val="2"/>
          <w:lang w:eastAsia="es-ES_tradnl"/>
          <w14:ligatures w14:val="standardContextual"/>
        </w:rPr>
        <w:t xml:space="preserve">. Para establecer la naturaleza jurídica de este tipo de contratos, la entidad estatal debe analizar las circunstancias particulares de cada caso y considerar los criterios que permitan identificar la prestación principal, la finalidad de las partes y la relación de conexidad de las prestaciones.  </w:t>
      </w:r>
    </w:p>
    <w:p w14:paraId="15165752" w14:textId="77777777" w:rsidR="008F50DF" w:rsidRPr="008F50DF" w:rsidRDefault="008F50DF" w:rsidP="008F50DF">
      <w:pPr>
        <w:spacing w:after="120" w:line="276" w:lineRule="auto"/>
        <w:ind w:firstLine="709"/>
        <w:jc w:val="both"/>
        <w:rPr>
          <w:rFonts w:ascii="Verdana" w:eastAsia="Calibri" w:hAnsi="Verdana" w:cs="Arial"/>
          <w:lang w:val="es-ES_tradnl"/>
        </w:rPr>
      </w:pPr>
      <w:r w:rsidRPr="008F50DF">
        <w:rPr>
          <w:rFonts w:ascii="Verdana" w:eastAsia="Calibri" w:hAnsi="Verdana" w:cs="Arial"/>
          <w:lang w:eastAsia="es-ES_tradnl"/>
        </w:rPr>
        <w:t>Atendiendo a lo señalado por l</w:t>
      </w:r>
      <w:r w:rsidRPr="008F50DF">
        <w:rPr>
          <w:rFonts w:ascii="Verdana" w:eastAsia="Calibri" w:hAnsi="Verdana" w:cs="Arial"/>
          <w:lang w:val="es-ES_tradnl"/>
        </w:rPr>
        <w:t>a Sala de Consulta y Servicio Civil del Consejo de Estado,</w:t>
      </w:r>
      <w:r w:rsidRPr="008F50DF">
        <w:rPr>
          <w:rFonts w:ascii="Verdana" w:eastAsia="Calibri" w:hAnsi="Verdana" w:cs="Times New Roman"/>
          <w:color w:val="000000"/>
        </w:rPr>
        <w:t xml:space="preserve"> adhiriéndose al método de absorción para efectos de integrar el régimen jurídico aplicable,</w:t>
      </w:r>
      <w:r w:rsidRPr="008F50DF">
        <w:rPr>
          <w:rFonts w:ascii="Verdana" w:eastAsia="Calibri" w:hAnsi="Verdana" w:cs="Arial"/>
          <w:lang w:val="es-ES_tradnl"/>
        </w:rPr>
        <w:t xml:space="preserve"> se considera que en el caso referido es fundamental determinar la prestación principal para establecer dicho </w:t>
      </w:r>
      <w:r w:rsidRPr="008F50DF">
        <w:rPr>
          <w:rFonts w:ascii="Verdana" w:eastAsia="Calibri" w:hAnsi="Verdana" w:cs="Arial"/>
          <w:lang w:eastAsia="es-ES_tradnl"/>
        </w:rPr>
        <w:t>régimen</w:t>
      </w:r>
      <w:r w:rsidRPr="008F50DF">
        <w:rPr>
          <w:rFonts w:ascii="Verdana" w:eastAsia="Calibri" w:hAnsi="Verdana" w:cs="Arial"/>
          <w:lang w:val="es-ES_tradnl"/>
        </w:rPr>
        <w:t xml:space="preserve">, </w:t>
      </w:r>
      <w:r w:rsidRPr="008F50DF">
        <w:rPr>
          <w:rFonts w:ascii="Verdana" w:eastAsia="Calibri" w:hAnsi="Verdana" w:cs="Arial"/>
          <w:lang w:eastAsia="es-ES_tradnl"/>
        </w:rPr>
        <w:t xml:space="preserve">teniendo en cuenta que la tipología contractual </w:t>
      </w:r>
      <w:r w:rsidRPr="008F50DF">
        <w:rPr>
          <w:rFonts w:ascii="Verdana" w:eastAsia="Calibri" w:hAnsi="Verdana" w:cs="Arial"/>
          <w:lang w:val="es-ES" w:eastAsia="es-ES_tradnl"/>
        </w:rPr>
        <w:t xml:space="preserve">es importante para definir aspectos como la modalidad de selección que debe utilizar la entidad y los requisitos habilitantes o ponderables que deben incorporar en el pliego de condiciones para la selección objetiva de la mejor oferta. </w:t>
      </w:r>
    </w:p>
    <w:p w14:paraId="1520AE39" w14:textId="77777777" w:rsidR="008F50DF" w:rsidRPr="008F50DF" w:rsidRDefault="008F50DF" w:rsidP="008F50DF">
      <w:pPr>
        <w:spacing w:after="120" w:line="276" w:lineRule="auto"/>
        <w:ind w:firstLine="709"/>
        <w:jc w:val="both"/>
        <w:rPr>
          <w:rFonts w:ascii="Verdana" w:eastAsia="Calibri" w:hAnsi="Verdana" w:cs="Arial"/>
          <w:lang w:eastAsia="es-ES_tradnl"/>
        </w:rPr>
      </w:pPr>
      <w:r w:rsidRPr="008F50DF">
        <w:rPr>
          <w:rFonts w:ascii="Verdana" w:eastAsia="Calibri" w:hAnsi="Verdana" w:cs="Arial"/>
          <w:lang w:eastAsia="es-ES_tradnl"/>
        </w:rPr>
        <w:t xml:space="preserve">Para tales efectos, la entidad estatal podría determinar </w:t>
      </w:r>
      <w:r w:rsidRPr="008F50DF">
        <w:rPr>
          <w:rFonts w:ascii="Verdana" w:eastAsia="Calibri" w:hAnsi="Verdana" w:cs="Arial"/>
          <w:color w:val="000000"/>
          <w:lang w:val="es-ES_tradnl"/>
        </w:rPr>
        <w:t>el régimen del contrato típico al que pertenece</w:t>
      </w:r>
      <w:r w:rsidRPr="008F50DF">
        <w:rPr>
          <w:rFonts w:ascii="Verdana" w:eastAsia="Calibri" w:hAnsi="Verdana" w:cs="Arial"/>
          <w:lang w:eastAsia="es-ES_tradnl"/>
        </w:rPr>
        <w:t xml:space="preserve"> atendiendo a cuál de las obligaciones - suministro o instalación -, absorbe a la otra, bien sea por su relevancia funcional o por su peso económico. Así, para establecer si un contrato debe ser considerado de obra, la entidad debe verificar si la obligación predominante consiste en la ejecución de actividades materiales que intervengan el bien inmueble al que se incorporara el aire acondicionado o el mobiliario. </w:t>
      </w:r>
    </w:p>
    <w:p w14:paraId="21C8747C" w14:textId="77777777" w:rsidR="008F50DF" w:rsidRPr="008F50DF" w:rsidRDefault="008F50DF" w:rsidP="008F50DF">
      <w:pPr>
        <w:spacing w:after="120" w:line="276" w:lineRule="auto"/>
        <w:ind w:firstLine="709"/>
        <w:jc w:val="both"/>
        <w:rPr>
          <w:rFonts w:ascii="Verdana" w:eastAsia="Calibri" w:hAnsi="Verdana" w:cs="Arial"/>
          <w:lang w:eastAsia="es-ES_tradnl"/>
        </w:rPr>
      </w:pPr>
      <w:r w:rsidRPr="008F50DF">
        <w:rPr>
          <w:rFonts w:ascii="Verdana" w:eastAsia="Calibri" w:hAnsi="Verdana" w:cs="Arial"/>
          <w:lang w:eastAsia="es-ES_tradnl"/>
        </w:rPr>
        <w:lastRenderedPageBreak/>
        <w:t xml:space="preserve">En esta línea, uno de los criterios que podrían ser utilizados consiste en identificar el porcentaje del presupuesto destinado a las actividades de instalación e intervención del inmueble respecto del valor total del contrato. Otro criterio también está relacionado con la complejidad técnica y física de las labores de instalación. De esta manera, si por ejemplo, el valor de las actividades de instalación supera significativamente, más del 50 % del presupuesto, o si dichas actividades constituyen la esencia del negocio jurídico, o confluyen ambos criterios, podría concluirse que se trata de un contrato de obra y no de un simple contrato de suministro o instalación. </w:t>
      </w:r>
    </w:p>
    <w:p w14:paraId="2229803B" w14:textId="77777777" w:rsidR="008F50DF" w:rsidRPr="008F50DF" w:rsidRDefault="008F50DF" w:rsidP="008F50DF">
      <w:pPr>
        <w:spacing w:after="120" w:line="276" w:lineRule="auto"/>
        <w:ind w:firstLine="709"/>
        <w:jc w:val="both"/>
        <w:rPr>
          <w:rFonts w:ascii="Verdana" w:eastAsia="Calibri" w:hAnsi="Verdana" w:cs="Arial"/>
          <w:lang w:eastAsia="es-ES_tradnl"/>
        </w:rPr>
      </w:pPr>
      <w:r w:rsidRPr="008F50DF">
        <w:rPr>
          <w:rFonts w:ascii="Verdana" w:eastAsia="Calibri" w:hAnsi="Verdana" w:cs="Arial"/>
          <w:lang w:eastAsia="es-ES_tradnl"/>
        </w:rPr>
        <w:t>En contraste, si las labores de instalación son secundarias o accesorias, en su valor económico o en su complejidad técnica, y el elemento central del negocio jurídico es la entrega de los bienes muebles, la naturaleza del contrato correspondería a la de suministro. Esto podría suceder cuando la instalación se limita a ajustes menores, sin afectar la estructura o funcionamiento del inmueble.</w:t>
      </w:r>
    </w:p>
    <w:p w14:paraId="2D292057" w14:textId="77777777" w:rsidR="008F50DF" w:rsidRPr="008F50DF" w:rsidRDefault="008F50DF" w:rsidP="008F50DF">
      <w:pPr>
        <w:spacing w:after="120" w:line="276" w:lineRule="auto"/>
        <w:ind w:firstLine="709"/>
        <w:jc w:val="both"/>
        <w:rPr>
          <w:rFonts w:ascii="Verdana" w:eastAsia="Calibri" w:hAnsi="Verdana" w:cs="Arial"/>
          <w:lang w:eastAsia="es-ES_tradnl"/>
        </w:rPr>
      </w:pPr>
      <w:r w:rsidRPr="008F50DF">
        <w:rPr>
          <w:rFonts w:ascii="Verdana" w:eastAsia="Calibri" w:hAnsi="Verdana" w:cs="Arial"/>
          <w:lang w:eastAsia="es-ES_tradnl"/>
        </w:rPr>
        <w:t>En este análisis, es de especial relevancia que la entidad estatal analice escenarios en los cuales, aunque el valor de los bienes objeto de suministro supere el de las actividades de instalación, el alcance de las obras necesarias para adecuar o intervenir el inmueble es tan significativo que la esencia del contrato deja de ser la provisión de los bienes y pasa a ser la ejecución de la obra misma. A modo de ilustración, si la instalación de equipos exige intervenciones intramurales que afecten paredes, redes eléctricas, sistemas hidráulicos o elementos estructurales del inmueble, podría sostenerse que la naturaleza del contrato es la de obra, ya que la actividad principal consiste en transformar y adecuar el inmueble para permitir el funcionamiento adecuado de los bienes instalados. En estos casos, el criterio determinante no es únicamente el componente presupuestal, sino la finalidad del contrato y el grado de intervención en el inmueble.</w:t>
      </w:r>
    </w:p>
    <w:p w14:paraId="1DCA7955" w14:textId="77777777" w:rsidR="008F50DF" w:rsidRPr="008F50DF" w:rsidRDefault="008F50DF" w:rsidP="008F50DF">
      <w:pPr>
        <w:spacing w:after="0" w:line="276" w:lineRule="auto"/>
        <w:ind w:firstLine="709"/>
        <w:jc w:val="both"/>
        <w:rPr>
          <w:rFonts w:ascii="Verdana" w:eastAsia="Calibri" w:hAnsi="Verdana" w:cs="Arial"/>
          <w:lang w:eastAsia="es-ES_tradnl"/>
        </w:rPr>
      </w:pPr>
      <w:r w:rsidRPr="008F50DF">
        <w:rPr>
          <w:rFonts w:ascii="Verdana" w:eastAsia="Calibri" w:hAnsi="Verdana" w:cs="Arial"/>
          <w:lang w:eastAsia="es-ES_tradnl"/>
        </w:rPr>
        <w:t xml:space="preserve">En este contexto, a juicio de esta Agencia, es importante que la entidad realice una valoración integral de las actividades y obligaciones del contrato teniendo en cuenta los distintos criterios expuestos para para determinar el régimen contractual aplicable al contrato y por ende si deben aplicarse o no los Documentos Tipo del Sector Educativo expedidos por esta Agencia. </w:t>
      </w:r>
    </w:p>
    <w:p w14:paraId="7B9D6F8B" w14:textId="77777777" w:rsidR="008F50DF" w:rsidRPr="008F50DF" w:rsidRDefault="008F50DF" w:rsidP="008F50DF">
      <w:pPr>
        <w:spacing w:after="0" w:line="276" w:lineRule="auto"/>
        <w:ind w:firstLine="709"/>
        <w:jc w:val="both"/>
        <w:rPr>
          <w:rFonts w:ascii="Verdana" w:eastAsia="Calibri" w:hAnsi="Verdana" w:cs="Arial"/>
          <w:lang w:eastAsia="es-ES_tradnl"/>
        </w:rPr>
      </w:pPr>
    </w:p>
    <w:p w14:paraId="61CD1424" w14:textId="77777777" w:rsidR="008F50DF" w:rsidRPr="008F50DF" w:rsidRDefault="008F50DF" w:rsidP="008F50DF">
      <w:pPr>
        <w:snapToGrid w:val="0"/>
        <w:spacing w:after="120" w:line="276" w:lineRule="auto"/>
        <w:jc w:val="both"/>
        <w:rPr>
          <w:rFonts w:ascii="Verdana" w:eastAsia="Times New Roman" w:hAnsi="Verdana" w:cs="Arial"/>
          <w:kern w:val="2"/>
          <w:sz w:val="24"/>
          <w:szCs w:val="24"/>
          <w:shd w:val="clear" w:color="auto" w:fill="FFFFFF"/>
          <w:lang w:val="es-ES_tradnl" w:eastAsia="es-ES_tradnl"/>
          <w14:ligatures w14:val="standardContextual"/>
        </w:rPr>
      </w:pPr>
      <w:proofErr w:type="spellStart"/>
      <w:r w:rsidRPr="008F50DF">
        <w:rPr>
          <w:rFonts w:ascii="Verdana" w:eastAsia="Calibri" w:hAnsi="Verdana" w:cs="Arial"/>
          <w:lang w:eastAsia="es-ES_tradnl"/>
        </w:rPr>
        <w:lastRenderedPageBreak/>
        <w:t>iv</w:t>
      </w:r>
      <w:proofErr w:type="spellEnd"/>
      <w:r w:rsidRPr="008F50DF">
        <w:rPr>
          <w:rFonts w:ascii="Verdana" w:eastAsia="Calibri" w:hAnsi="Verdana" w:cs="Arial"/>
          <w:lang w:eastAsia="es-ES_tradnl"/>
        </w:rPr>
        <w:t xml:space="preserve">. </w:t>
      </w:r>
      <w:r w:rsidRPr="008F50DF">
        <w:rPr>
          <w:rFonts w:ascii="Verdana" w:eastAsia="Aptos" w:hAnsi="Verdana" w:cs="Aptos"/>
          <w:kern w:val="2"/>
          <w14:ligatures w14:val="standardContextual"/>
        </w:rPr>
        <w:t>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w:t>
      </w:r>
      <w:r w:rsidRPr="008F50DF">
        <w:rPr>
          <w:rFonts w:ascii="Verdana" w:eastAsia="Times New Roman" w:hAnsi="Verdana" w:cs="Arial"/>
          <w:kern w:val="2"/>
          <w:sz w:val="24"/>
          <w:szCs w:val="24"/>
          <w:shd w:val="clear" w:color="auto" w:fill="FFFFFF"/>
          <w:lang w:val="es-ES_tradnl" w:eastAsia="es-ES_tradnl"/>
          <w14:ligatures w14:val="standardContextual"/>
        </w:rPr>
        <w:t xml:space="preserve"> </w:t>
      </w:r>
    </w:p>
    <w:p w14:paraId="138A919B" w14:textId="77777777" w:rsidR="008F50DF" w:rsidRPr="008F50DF" w:rsidRDefault="008F50DF" w:rsidP="008F50DF">
      <w:pPr>
        <w:spacing w:after="120" w:line="276" w:lineRule="auto"/>
        <w:ind w:firstLine="708"/>
        <w:jc w:val="both"/>
        <w:rPr>
          <w:rFonts w:ascii="Verdana" w:eastAsia="Aptos" w:hAnsi="Verdana" w:cs="Times New Roman"/>
          <w:kern w:val="2"/>
          <w14:ligatures w14:val="standardContextual"/>
        </w:rPr>
      </w:pPr>
      <w:r w:rsidRPr="008F50DF">
        <w:rPr>
          <w:rFonts w:ascii="Verdana" w:eastAsia="Calibri" w:hAnsi="Verdana" w:cs="Arial"/>
          <w:bCs/>
          <w:color w:val="000000"/>
          <w:kern w:val="2"/>
          <w14:ligatures w14:val="standardContextual"/>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600A9B2" w14:textId="77777777" w:rsidR="008F50DF" w:rsidRPr="008F50DF" w:rsidRDefault="008F50DF" w:rsidP="008F50DF">
      <w:pPr>
        <w:spacing w:after="0" w:line="276" w:lineRule="auto"/>
        <w:ind w:firstLine="708"/>
        <w:jc w:val="both"/>
        <w:rPr>
          <w:rFonts w:ascii="Verdana" w:eastAsia="Calibri" w:hAnsi="Verdana" w:cs="Arial"/>
          <w:bCs/>
          <w:color w:val="000000"/>
          <w:kern w:val="2"/>
          <w14:ligatures w14:val="standardContextual"/>
        </w:rPr>
      </w:pPr>
      <w:r w:rsidRPr="008F50DF">
        <w:rPr>
          <w:rFonts w:ascii="Verdana" w:eastAsia="Calibri" w:hAnsi="Verdana" w:cs="Arial"/>
          <w:bCs/>
          <w:color w:val="000000"/>
          <w:kern w:val="2"/>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227AE8F5" w14:textId="77777777" w:rsidR="008F50DF" w:rsidRPr="008F50DF" w:rsidRDefault="008F50DF" w:rsidP="008F50DF">
      <w:pPr>
        <w:spacing w:after="0" w:line="276" w:lineRule="auto"/>
        <w:jc w:val="both"/>
        <w:rPr>
          <w:rFonts w:ascii="Verdana" w:eastAsia="Calibri" w:hAnsi="Verdana" w:cs="Arial"/>
          <w:lang w:eastAsia="es-ES_tradnl"/>
        </w:rPr>
      </w:pPr>
    </w:p>
    <w:p w14:paraId="6047C9EE" w14:textId="77777777" w:rsidR="008F50DF" w:rsidRPr="008F50DF" w:rsidRDefault="008F50DF" w:rsidP="008F50DF">
      <w:pPr>
        <w:tabs>
          <w:tab w:val="left" w:pos="142"/>
          <w:tab w:val="left" w:pos="284"/>
        </w:tabs>
        <w:spacing w:after="0" w:line="276" w:lineRule="auto"/>
        <w:jc w:val="both"/>
        <w:rPr>
          <w:rFonts w:ascii="Verdana" w:eastAsia="Century Gothic" w:hAnsi="Verdana" w:cs="Century Gothic"/>
          <w:b/>
          <w:bCs/>
          <w:lang w:val="es-ES_tradnl"/>
        </w:rPr>
      </w:pPr>
      <w:r w:rsidRPr="008F50DF">
        <w:rPr>
          <w:rFonts w:ascii="Verdana" w:eastAsia="Century Gothic" w:hAnsi="Verdana" w:cs="Century Gothic"/>
          <w:b/>
          <w:bCs/>
          <w:lang w:val="es-ES_tradnl"/>
        </w:rPr>
        <w:t>4. Referencias normativas, jurisprudenciales y otras fuentes:</w:t>
      </w:r>
    </w:p>
    <w:p w14:paraId="3D1AA1E0" w14:textId="77777777" w:rsidR="008F50DF" w:rsidRPr="008F50DF" w:rsidRDefault="008F50DF" w:rsidP="008F50DF">
      <w:pPr>
        <w:spacing w:after="0"/>
        <w:ind w:left="-15840"/>
        <w:jc w:val="both"/>
        <w:rPr>
          <w:rFonts w:ascii="Verdana" w:eastAsia="Calibri" w:hAnsi="Verdana" w:cs="Arial"/>
          <w:b/>
          <w:bCs/>
        </w:rPr>
      </w:pPr>
      <w:r w:rsidRPr="008F50DF">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8F50DF" w:rsidRPr="008F50DF" w14:paraId="055F838B" w14:textId="77777777">
        <w:trPr>
          <w:trHeight w:val="870"/>
        </w:trPr>
        <w:tc>
          <w:tcPr>
            <w:tcW w:w="8647" w:type="dxa"/>
            <w:tcBorders>
              <w:top w:val="dotted" w:sz="4" w:space="0" w:color="auto"/>
              <w:left w:val="dotted" w:sz="4" w:space="0" w:color="auto"/>
              <w:bottom w:val="dotted" w:sz="4" w:space="0" w:color="auto"/>
              <w:right w:val="dotted" w:sz="4" w:space="0" w:color="auto"/>
            </w:tcBorders>
          </w:tcPr>
          <w:p w14:paraId="41C0F63A" w14:textId="77777777" w:rsidR="008F50DF" w:rsidRPr="008F50DF" w:rsidRDefault="008F50DF" w:rsidP="008F50DF">
            <w:pPr>
              <w:contextualSpacing/>
              <w:jc w:val="both"/>
              <w:rPr>
                <w:rFonts w:ascii="Verdana" w:eastAsia="Calibri" w:hAnsi="Verdana" w:cs="Arial"/>
                <w:bCs/>
              </w:rPr>
            </w:pPr>
          </w:p>
          <w:p w14:paraId="22B2DF78" w14:textId="77777777" w:rsidR="008F50DF" w:rsidRPr="008F50DF" w:rsidRDefault="008F50DF" w:rsidP="008F50DF">
            <w:pPr>
              <w:widowControl w:val="0"/>
              <w:numPr>
                <w:ilvl w:val="0"/>
                <w:numId w:val="16"/>
              </w:numPr>
              <w:autoSpaceDE w:val="0"/>
              <w:autoSpaceDN w:val="0"/>
              <w:spacing w:line="276" w:lineRule="auto"/>
              <w:jc w:val="both"/>
              <w:rPr>
                <w:rFonts w:ascii="Verdana" w:eastAsia="Calibri" w:hAnsi="Verdana" w:cs="Arial"/>
                <w:lang w:val="es-ES_tradnl"/>
              </w:rPr>
            </w:pPr>
            <w:r w:rsidRPr="008F50DF">
              <w:rPr>
                <w:rFonts w:ascii="Verdana" w:eastAsia="Calibri" w:hAnsi="Verdana" w:cs="Arial"/>
                <w:lang w:val="es-ES_tradnl"/>
              </w:rPr>
              <w:t xml:space="preserve">Ley 2022 de 2020, artículo 1. </w:t>
            </w:r>
          </w:p>
          <w:p w14:paraId="4333D49D" w14:textId="77777777" w:rsidR="008F50DF" w:rsidRPr="008F50DF" w:rsidRDefault="008F50DF" w:rsidP="008F50DF">
            <w:pPr>
              <w:widowControl w:val="0"/>
              <w:numPr>
                <w:ilvl w:val="0"/>
                <w:numId w:val="16"/>
              </w:numPr>
              <w:autoSpaceDE w:val="0"/>
              <w:autoSpaceDN w:val="0"/>
              <w:spacing w:line="276" w:lineRule="auto"/>
              <w:jc w:val="both"/>
              <w:rPr>
                <w:rFonts w:ascii="Verdana" w:eastAsia="Calibri" w:hAnsi="Verdana" w:cs="Arial"/>
              </w:rPr>
            </w:pPr>
            <w:r w:rsidRPr="008F50DF">
              <w:rPr>
                <w:rFonts w:ascii="Verdana" w:eastAsia="Calibri" w:hAnsi="Verdana" w:cs="Arial"/>
              </w:rPr>
              <w:t>Ley 1150 de 2007, artículo 2.</w:t>
            </w:r>
          </w:p>
          <w:p w14:paraId="36705298" w14:textId="77777777" w:rsidR="008F50DF" w:rsidRPr="008F50DF" w:rsidRDefault="008F50DF" w:rsidP="008F50DF">
            <w:pPr>
              <w:widowControl w:val="0"/>
              <w:numPr>
                <w:ilvl w:val="0"/>
                <w:numId w:val="16"/>
              </w:numPr>
              <w:autoSpaceDE w:val="0"/>
              <w:autoSpaceDN w:val="0"/>
              <w:spacing w:line="276" w:lineRule="auto"/>
              <w:contextualSpacing/>
              <w:jc w:val="both"/>
              <w:rPr>
                <w:rFonts w:ascii="Verdana" w:eastAsia="Calibri" w:hAnsi="Verdana" w:cs="Arial"/>
              </w:rPr>
            </w:pPr>
            <w:r w:rsidRPr="008F50DF">
              <w:rPr>
                <w:rFonts w:ascii="Verdana" w:eastAsia="Calibri" w:hAnsi="Verdana" w:cs="Arial"/>
                <w:lang w:val="es-ES_tradnl"/>
              </w:rPr>
              <w:t xml:space="preserve">Documentos Tipo. Disponibles en: </w:t>
            </w:r>
            <w:hyperlink r:id="rId11" w:history="1">
              <w:r w:rsidRPr="008F50DF">
                <w:rPr>
                  <w:rFonts w:ascii="Verdana" w:eastAsia="Calibri" w:hAnsi="Verdana" w:cs="Arial"/>
                  <w:color w:val="0000FF"/>
                  <w:u w:val="single"/>
                  <w:lang w:val="es-ES_tradnl"/>
                </w:rPr>
                <w:t>https://www.colombiacompra.gov.co/documentos-tipo/documentos-tipo</w:t>
              </w:r>
            </w:hyperlink>
            <w:r w:rsidRPr="008F50DF">
              <w:rPr>
                <w:rFonts w:ascii="Verdana" w:eastAsia="Calibri" w:hAnsi="Verdana" w:cs="Arial"/>
                <w:lang w:val="es-ES_tradnl"/>
              </w:rPr>
              <w:t>.</w:t>
            </w:r>
          </w:p>
          <w:p w14:paraId="0E1D569B" w14:textId="77777777" w:rsidR="008F50DF" w:rsidRPr="008F50DF" w:rsidRDefault="008F50DF" w:rsidP="008F50DF">
            <w:pPr>
              <w:widowControl w:val="0"/>
              <w:numPr>
                <w:ilvl w:val="0"/>
                <w:numId w:val="16"/>
              </w:numPr>
              <w:autoSpaceDE w:val="0"/>
              <w:autoSpaceDN w:val="0"/>
              <w:spacing w:line="276" w:lineRule="auto"/>
              <w:jc w:val="both"/>
              <w:rPr>
                <w:rFonts w:ascii="Verdana" w:eastAsia="Calibri" w:hAnsi="Verdana" w:cs="Arial"/>
                <w:lang w:val="es-ES_tradnl"/>
              </w:rPr>
            </w:pPr>
            <w:r w:rsidRPr="008F50DF">
              <w:rPr>
                <w:rFonts w:ascii="Verdana" w:eastAsia="Calibri" w:hAnsi="Verdana" w:cs="Arial"/>
                <w:lang w:val="es-ES_tradnl"/>
              </w:rPr>
              <w:t>Consejo de Estado. Sala de Consulta y Servicio Civil. Concepto del 5 de septiembre de 2018. Consejero Ponente: Edgar González López. Radicación interna: 2386.</w:t>
            </w:r>
          </w:p>
          <w:p w14:paraId="1690336E" w14:textId="77777777" w:rsidR="008F50DF" w:rsidRPr="008F50DF" w:rsidRDefault="008F50DF" w:rsidP="008F50DF">
            <w:pPr>
              <w:widowControl w:val="0"/>
              <w:numPr>
                <w:ilvl w:val="0"/>
                <w:numId w:val="16"/>
              </w:numPr>
              <w:autoSpaceDE w:val="0"/>
              <w:autoSpaceDN w:val="0"/>
              <w:spacing w:line="276" w:lineRule="auto"/>
              <w:jc w:val="both"/>
              <w:rPr>
                <w:rFonts w:ascii="Verdana" w:eastAsia="Calibri" w:hAnsi="Verdana" w:cs="Arial"/>
                <w:lang w:val="es-ES_tradnl"/>
              </w:rPr>
            </w:pPr>
            <w:r w:rsidRPr="008F50DF">
              <w:rPr>
                <w:rFonts w:ascii="Verdana" w:eastAsia="Calibri" w:hAnsi="Verdana" w:cs="Arial"/>
                <w:lang w:val="es-ES_tradnl"/>
              </w:rPr>
              <w:t>RENGIFO GARCÍA, Ernesto. Interpretación del contrato atípico a la luz de la jurisprudencia colombiana. En: Los contratos en el derecho privado. Bogotá: Legis – Universidad del Rosario, 2009. p. 48.</w:t>
            </w:r>
          </w:p>
          <w:p w14:paraId="3511C280" w14:textId="77777777" w:rsidR="008F50DF" w:rsidRPr="008F50DF" w:rsidRDefault="008F50DF" w:rsidP="008F50DF">
            <w:pPr>
              <w:widowControl w:val="0"/>
              <w:numPr>
                <w:ilvl w:val="0"/>
                <w:numId w:val="16"/>
              </w:numPr>
              <w:autoSpaceDE w:val="0"/>
              <w:autoSpaceDN w:val="0"/>
              <w:spacing w:line="276" w:lineRule="auto"/>
              <w:jc w:val="both"/>
              <w:rPr>
                <w:rFonts w:ascii="Verdana" w:eastAsia="Calibri" w:hAnsi="Verdana" w:cs="Arial"/>
                <w:lang w:val="es-ES_tradnl"/>
              </w:rPr>
            </w:pPr>
            <w:r w:rsidRPr="008F50DF">
              <w:rPr>
                <w:rFonts w:ascii="Verdana" w:eastAsia="Calibri" w:hAnsi="Verdana" w:cs="Arial"/>
                <w:lang w:val="es-ES_tradnl"/>
              </w:rPr>
              <w:t>RENGIFO GARCÍA, Ernesto. Interpretación del contrato atípico a la luz de la jurisprudencia colombiana. En: Los contratos en el derecho privado. Bogotá: Legis – Universidad del Rosario, 2009. p. 48</w:t>
            </w:r>
          </w:p>
        </w:tc>
      </w:tr>
    </w:tbl>
    <w:p w14:paraId="3C461335" w14:textId="77777777" w:rsidR="008F50DF" w:rsidRPr="008F50DF" w:rsidRDefault="008F50DF" w:rsidP="008F50DF">
      <w:pPr>
        <w:tabs>
          <w:tab w:val="left" w:pos="142"/>
          <w:tab w:val="left" w:pos="284"/>
        </w:tabs>
        <w:spacing w:after="0" w:line="276" w:lineRule="auto"/>
        <w:jc w:val="both"/>
        <w:rPr>
          <w:rFonts w:ascii="Verdana" w:eastAsia="Calibri" w:hAnsi="Verdana" w:cs="Arial"/>
        </w:rPr>
      </w:pPr>
    </w:p>
    <w:p w14:paraId="675BBC6E" w14:textId="77777777" w:rsidR="008F50DF" w:rsidRPr="008F50DF" w:rsidRDefault="008F50DF" w:rsidP="008F50DF">
      <w:pPr>
        <w:tabs>
          <w:tab w:val="left" w:pos="142"/>
          <w:tab w:val="left" w:pos="284"/>
        </w:tabs>
        <w:spacing w:after="0" w:line="276" w:lineRule="auto"/>
        <w:jc w:val="both"/>
        <w:rPr>
          <w:rFonts w:ascii="Verdana" w:eastAsia="Century Gothic" w:hAnsi="Verdana" w:cs="Century Gothic"/>
          <w:b/>
          <w:bCs/>
          <w:lang w:val="es-ES"/>
        </w:rPr>
      </w:pPr>
      <w:r w:rsidRPr="008F50DF">
        <w:rPr>
          <w:rFonts w:ascii="Verdana" w:eastAsia="Calibri" w:hAnsi="Verdana" w:cs="Arial"/>
          <w:b/>
          <w:bCs/>
        </w:rPr>
        <w:t>5</w:t>
      </w:r>
      <w:r w:rsidRPr="008F50DF">
        <w:rPr>
          <w:rFonts w:ascii="Verdana" w:eastAsia="Calibri" w:hAnsi="Verdana" w:cs="Arial"/>
        </w:rPr>
        <w:t>.</w:t>
      </w:r>
      <w:r w:rsidRPr="008F50DF">
        <w:rPr>
          <w:rFonts w:ascii="Verdana" w:eastAsia="Century Gothic" w:hAnsi="Verdana" w:cs="Century Gothic"/>
          <w:b/>
          <w:bCs/>
          <w:lang w:val="es-ES"/>
        </w:rPr>
        <w:t>Doctrina de la Agencia Nacional de Contratación Pública:</w:t>
      </w:r>
    </w:p>
    <w:p w14:paraId="4558C28B" w14:textId="77777777" w:rsidR="008F50DF" w:rsidRPr="008F50DF" w:rsidRDefault="008F50DF" w:rsidP="008F50DF">
      <w:pPr>
        <w:spacing w:after="0" w:line="276" w:lineRule="auto"/>
        <w:jc w:val="both"/>
        <w:rPr>
          <w:rFonts w:ascii="Verdana" w:eastAsia="Calibri" w:hAnsi="Verdana" w:cs="Arial"/>
          <w:kern w:val="2"/>
          <w:shd w:val="clear" w:color="auto" w:fill="FFFFFF"/>
          <w:lang w:val="es-ES"/>
          <w14:ligatures w14:val="standardContextual"/>
        </w:rPr>
      </w:pPr>
    </w:p>
    <w:p w14:paraId="792C2EA0" w14:textId="77777777" w:rsidR="008F50DF" w:rsidRPr="008F50DF" w:rsidRDefault="008F50DF" w:rsidP="008F50DF">
      <w:pPr>
        <w:spacing w:after="0" w:line="276" w:lineRule="auto"/>
        <w:jc w:val="both"/>
        <w:rPr>
          <w:rFonts w:ascii="Verdana" w:eastAsia="Calibri" w:hAnsi="Verdana" w:cs="Arial"/>
          <w:kern w:val="2"/>
          <w:shd w:val="clear" w:color="auto" w:fill="FFFFFF"/>
          <w:lang w:val="es-ES"/>
          <w14:ligatures w14:val="standardContextual"/>
        </w:rPr>
      </w:pPr>
      <w:r w:rsidRPr="008F50DF">
        <w:rPr>
          <w:rFonts w:ascii="Verdana" w:eastAsia="Calibri" w:hAnsi="Verdana" w:cs="Arial"/>
          <w:kern w:val="2"/>
          <w:shd w:val="clear" w:color="auto" w:fill="FFFFFF"/>
          <w:lang w:val="es-ES"/>
          <w14:ligatures w14:val="standardContextual"/>
        </w:rPr>
        <w:t>La Agencia Nacional de Contratación Pública – Colombia Compra Eficiente se pronunció</w:t>
      </w:r>
      <w:r w:rsidRPr="008F50DF">
        <w:rPr>
          <w:rFonts w:ascii="Verdana" w:eastAsia="Calibri" w:hAnsi="Verdana" w:cs="Times New Roman"/>
          <w:kern w:val="2"/>
          <w14:ligatures w14:val="standardContextual"/>
        </w:rPr>
        <w:t xml:space="preserve"> </w:t>
      </w:r>
      <w:r w:rsidRPr="008F50DF">
        <w:rPr>
          <w:rFonts w:ascii="Verdana" w:eastAsia="Calibri" w:hAnsi="Verdana" w:cs="Arial"/>
          <w:kern w:val="2"/>
          <w:shd w:val="clear" w:color="auto" w:fill="FFFFFF"/>
          <w:lang w:val="es-ES"/>
          <w14:ligatures w14:val="standardContextual"/>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8F50DF">
        <w:rPr>
          <w:rFonts w:ascii="Verdana" w:eastAsia="Calibri" w:hAnsi="Verdana" w:cs="Arial"/>
          <w:kern w:val="2"/>
          <w:shd w:val="clear" w:color="auto" w:fill="FFFFFF"/>
          <w:lang w:val="es-ES"/>
          <w14:ligatures w14:val="standardContextual"/>
        </w:rPr>
        <w:tab/>
        <w:t xml:space="preserve">C-636 del 1 de noviembre de 2024, C-777 del 9 de diciembre de 2024, C-971 del 21 de enero de 2025 y C-1813 del 31 de diciembre de 2025, entre otros. </w:t>
      </w:r>
    </w:p>
    <w:p w14:paraId="2F05B20D" w14:textId="77777777" w:rsidR="008F50DF" w:rsidRPr="008F50DF" w:rsidRDefault="008F50DF" w:rsidP="008F50DF">
      <w:pPr>
        <w:spacing w:after="0" w:line="276" w:lineRule="auto"/>
        <w:jc w:val="both"/>
        <w:rPr>
          <w:rFonts w:ascii="Verdana" w:eastAsia="Calibri" w:hAnsi="Verdana" w:cs="Arial"/>
          <w:kern w:val="2"/>
          <w:shd w:val="clear" w:color="auto" w:fill="FFFFFF"/>
          <w:lang w:val="es-ES"/>
          <w14:ligatures w14:val="standardContextual"/>
        </w:rPr>
      </w:pPr>
    </w:p>
    <w:p w14:paraId="088C755E" w14:textId="77777777" w:rsidR="008F50DF" w:rsidRPr="008F50DF" w:rsidRDefault="008F50DF" w:rsidP="008F50DF">
      <w:pPr>
        <w:spacing w:after="0" w:line="276" w:lineRule="auto"/>
        <w:jc w:val="both"/>
        <w:rPr>
          <w:rFonts w:ascii="Verdana" w:eastAsia="Calibri" w:hAnsi="Verdana" w:cs="Arial"/>
          <w:kern w:val="2"/>
          <w:shd w:val="clear" w:color="auto" w:fill="FFFFFF"/>
          <w:lang w:val="es-ES"/>
          <w14:ligatures w14:val="standardContextual"/>
        </w:rPr>
      </w:pPr>
      <w:r w:rsidRPr="008F50DF">
        <w:rPr>
          <w:rFonts w:ascii="Verdana" w:eastAsia="Calibri" w:hAnsi="Verdana" w:cs="Arial"/>
          <w:kern w:val="2"/>
          <w:shd w:val="clear" w:color="auto" w:fill="FFFFFF"/>
          <w:lang w:val="es-ES"/>
          <w14:ligatures w14:val="standardContextual"/>
        </w:rPr>
        <w:t xml:space="preserve">Así mismo, esta Subdirección se ha pronunciado sobre el objeto y las características del contrato de obra pública en los Conceptos 4201913000008014 del 24 de diciembre del año 2019, C-530 del 13 de agosto de 2020, C-038 del 5 de abril de 2021, C-110 del 7 de marzo de 2025 y C-915 del 15 de julio de 2025, entre otros. Igualmente, la Subdirección se ha referido a los contratos Mixtos y objetos sociales con prestaciones mixtas en los conceptos con radicados 2201913000009572 y 2201913000009588 del 24 de diciembre de 2019, C-694 del 29 de diciembre de 2021, C-440 del 2 de septiembre de 2021, C–933 de 2022, C–484 del 09 de octubre de 2024, C-864 del 11 de agosto de 2025 y C-1580 del 24 de diciembre de 2025.  </w:t>
      </w:r>
    </w:p>
    <w:p w14:paraId="0F7F460F" w14:textId="77777777" w:rsidR="008F50DF" w:rsidRPr="008F50DF" w:rsidRDefault="008F50DF" w:rsidP="008F50DF">
      <w:pPr>
        <w:spacing w:after="0" w:line="240" w:lineRule="auto"/>
        <w:jc w:val="both"/>
        <w:rPr>
          <w:rFonts w:ascii="Verdana" w:eastAsia="Calibri" w:hAnsi="Verdana" w:cs="Arial"/>
          <w:color w:val="000000"/>
          <w:shd w:val="clear" w:color="auto" w:fill="FFFFFF"/>
        </w:rPr>
      </w:pPr>
    </w:p>
    <w:p w14:paraId="20AF55B0" w14:textId="77777777" w:rsidR="008F50DF" w:rsidRPr="008F50DF" w:rsidRDefault="008F50DF" w:rsidP="008F50DF">
      <w:pPr>
        <w:widowControl w:val="0"/>
        <w:autoSpaceDE w:val="0"/>
        <w:autoSpaceDN w:val="0"/>
        <w:spacing w:after="0" w:line="276" w:lineRule="auto"/>
        <w:jc w:val="both"/>
        <w:rPr>
          <w:rFonts w:ascii="Verdana" w:eastAsia="Calibri" w:hAnsi="Verdana" w:cs="Arial"/>
          <w:color w:val="0000FF"/>
          <w:u w:val="single"/>
          <w:shd w:val="clear" w:color="auto" w:fill="FFFFFF"/>
        </w:rPr>
      </w:pPr>
      <w:r w:rsidRPr="008F50DF">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8F50DF">
          <w:rPr>
            <w:rFonts w:ascii="Verdana" w:eastAsia="Calibri" w:hAnsi="Verdana" w:cs="Arial"/>
            <w:color w:val="0000FF"/>
            <w:u w:val="single"/>
            <w:shd w:val="clear" w:color="auto" w:fill="FFFFFF"/>
          </w:rPr>
          <w:t>https://relatoria.colombiacompra.gov.co/</w:t>
        </w:r>
      </w:hyperlink>
      <w:r w:rsidRPr="008F50DF">
        <w:rPr>
          <w:rFonts w:ascii="Verdana" w:eastAsia="Calibri" w:hAnsi="Verdana" w:cs="Arial"/>
          <w:color w:val="0000FF"/>
          <w:u w:val="single"/>
          <w:shd w:val="clear" w:color="auto" w:fill="FFFFFF"/>
        </w:rPr>
        <w:t> .</w:t>
      </w:r>
    </w:p>
    <w:p w14:paraId="0177092C" w14:textId="77777777" w:rsidR="008F50DF" w:rsidRPr="008F50DF" w:rsidRDefault="008F50DF" w:rsidP="008F50DF">
      <w:pPr>
        <w:widowControl w:val="0"/>
        <w:autoSpaceDE w:val="0"/>
        <w:autoSpaceDN w:val="0"/>
        <w:spacing w:after="0" w:line="276" w:lineRule="auto"/>
        <w:jc w:val="both"/>
        <w:rPr>
          <w:rFonts w:ascii="Verdana" w:eastAsia="Calibri" w:hAnsi="Verdana" w:cs="Arial"/>
          <w:color w:val="0000FF"/>
          <w:u w:val="single"/>
          <w:shd w:val="clear" w:color="auto" w:fill="FFFFFF"/>
        </w:rPr>
      </w:pPr>
    </w:p>
    <w:p w14:paraId="4EA7945B" w14:textId="77777777" w:rsidR="008F50DF" w:rsidRPr="008F50DF" w:rsidRDefault="008F50DF" w:rsidP="008F50DF">
      <w:pPr>
        <w:spacing w:after="0" w:line="276" w:lineRule="auto"/>
        <w:jc w:val="both"/>
        <w:rPr>
          <w:rFonts w:ascii="Verdana" w:eastAsia="Aptos" w:hAnsi="Verdana" w:cs="Arial"/>
          <w:kern w:val="2"/>
          <w14:ligatures w14:val="standardContextual"/>
        </w:rPr>
      </w:pPr>
      <w:r w:rsidRPr="008F50DF">
        <w:rPr>
          <w:rFonts w:ascii="Verdana" w:eastAsia="Aptos" w:hAnsi="Verdana" w:cs="Arial"/>
          <w:kern w:val="2"/>
          <w14:ligatures w14:val="standardContextual"/>
        </w:rPr>
        <w:t xml:space="preserve">La sostenibilidad no es una opción, es una obligación. Por ello, la Agencia Nacional de Contratación Pública –Colombia Compra Eficiente– te invita a realizar el </w:t>
      </w:r>
      <w:r w:rsidRPr="008F50DF">
        <w:rPr>
          <w:rFonts w:ascii="Verdana" w:eastAsia="Aptos" w:hAnsi="Verdana" w:cs="Arial"/>
          <w:b/>
          <w:bCs/>
          <w:kern w:val="2"/>
          <w14:ligatures w14:val="standardContextual"/>
        </w:rPr>
        <w:t>Curso de Contratación Pública Sostenible y Socialmente Responsable</w:t>
      </w:r>
      <w:r w:rsidRPr="008F50DF">
        <w:rPr>
          <w:rFonts w:ascii="Verdana" w:eastAsia="Aptos" w:hAnsi="Verdana" w:cs="Arial"/>
          <w:kern w:val="2"/>
          <w14:ligatures w14:val="standardContextual"/>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8F50DF">
        <w:rPr>
          <w:rFonts w:ascii="Verdana" w:eastAsia="Aptos" w:hAnsi="Verdana" w:cs="Arial"/>
          <w:kern w:val="2"/>
          <w14:ligatures w14:val="standardContextual"/>
        </w:rPr>
        <w:br/>
      </w:r>
      <w:hyperlink r:id="rId13" w:tgtFrame="_new" w:history="1">
        <w:r w:rsidRPr="008F50DF">
          <w:rPr>
            <w:rFonts w:ascii="Verdana" w:eastAsia="Aptos" w:hAnsi="Verdana" w:cs="Arial"/>
            <w:color w:val="0000FF"/>
            <w:kern w:val="2"/>
            <w:u w:val="single"/>
            <w14:ligatures w14:val="standardContextual"/>
          </w:rPr>
          <w:t>https://formacionvirtual.colombiacompra.gov.co/mod/page/view.php?id=3718</w:t>
        </w:r>
      </w:hyperlink>
    </w:p>
    <w:p w14:paraId="0DF349D2" w14:textId="77777777" w:rsidR="008F50DF" w:rsidRPr="008F50DF" w:rsidRDefault="008F50DF" w:rsidP="008F50DF">
      <w:pPr>
        <w:spacing w:after="0" w:line="276" w:lineRule="auto"/>
        <w:jc w:val="both"/>
        <w:rPr>
          <w:rFonts w:ascii="Verdana" w:eastAsia="Aptos" w:hAnsi="Verdana" w:cs="Arial"/>
          <w:kern w:val="2"/>
          <w14:ligatures w14:val="standardContextual"/>
        </w:rPr>
      </w:pPr>
      <w:r w:rsidRPr="008F50DF">
        <w:rPr>
          <w:rFonts w:ascii="Verdana" w:eastAsia="Aptos" w:hAnsi="Verdana" w:cs="Arial"/>
          <w:kern w:val="2"/>
          <w14:ligatures w14:val="standardContextual"/>
        </w:rPr>
        <w:t xml:space="preserve">De otro lado, te contamos que esta Agencia ha da un paso decisivo en la estandarización y modernización del </w:t>
      </w:r>
      <w:r w:rsidRPr="008F50DF">
        <w:rPr>
          <w:rFonts w:ascii="Verdana" w:eastAsia="Aptos" w:hAnsi="Verdana" w:cs="Arial"/>
          <w:b/>
          <w:bCs/>
          <w:kern w:val="2"/>
          <w14:ligatures w14:val="standardContextual"/>
        </w:rPr>
        <w:t>sector  social</w:t>
      </w:r>
      <w:r w:rsidRPr="008F50DF">
        <w:rPr>
          <w:rFonts w:ascii="Verdana" w:eastAsia="Aptos" w:hAnsi="Verdana" w:cs="Arial"/>
          <w:kern w:val="2"/>
          <w14:ligatures w14:val="standardContextual"/>
        </w:rPr>
        <w:t xml:space="preserve"> con la expedición de las </w:t>
      </w:r>
      <w:r w:rsidRPr="008F50DF">
        <w:rPr>
          <w:rFonts w:ascii="Verdana" w:eastAsia="Aptos" w:hAnsi="Verdana" w:cs="Arial"/>
          <w:b/>
          <w:bCs/>
          <w:kern w:val="2"/>
          <w14:ligatures w14:val="standardContextual"/>
        </w:rPr>
        <w:t>Resoluciones 539, 540, 541, 952 y 953 de 2025</w:t>
      </w:r>
      <w:r w:rsidRPr="008F50DF">
        <w:rPr>
          <w:rFonts w:ascii="Verdana" w:eastAsia="Aptos" w:hAnsi="Verdana" w:cs="Arial"/>
          <w:kern w:val="2"/>
          <w14:ligatures w14:val="standardContextual"/>
        </w:rPr>
        <w:t xml:space="preserve">, </w:t>
      </w:r>
      <w:r w:rsidRPr="008F50DF">
        <w:rPr>
          <w:rFonts w:ascii="Verdana" w:eastAsia="Aptos" w:hAnsi="Verdana" w:cs="Arial"/>
          <w:b/>
          <w:bCs/>
          <w:kern w:val="2"/>
          <w14:ligatures w14:val="standardContextual"/>
        </w:rPr>
        <w:t>mediante las cuales adoptó Documentos Tipo</w:t>
      </w:r>
      <w:r w:rsidRPr="008F50DF">
        <w:rPr>
          <w:rFonts w:ascii="Verdana" w:eastAsia="Aptos" w:hAnsi="Verdana" w:cs="Arial"/>
          <w:kern w:val="2"/>
          <w14:ligatures w14:val="standardContextual"/>
        </w:rPr>
        <w:t xml:space="preserve"> para las modalidades de selección de</w:t>
      </w:r>
      <w:r w:rsidRPr="008F50DF">
        <w:rPr>
          <w:rFonts w:ascii="Verdana" w:eastAsia="Aptos" w:hAnsi="Verdana" w:cs="Arial"/>
          <w:b/>
          <w:bCs/>
          <w:kern w:val="2"/>
          <w14:ligatures w14:val="standardContextual"/>
        </w:rPr>
        <w:t xml:space="preserve"> licitación pública (versión 2), selección abreviada de menor cuantía, mínima cuantía, consultoría e interventoría</w:t>
      </w:r>
      <w:r w:rsidRPr="008F50DF">
        <w:rPr>
          <w:rFonts w:ascii="Verdana" w:eastAsia="Aptos" w:hAnsi="Verdana" w:cs="Arial"/>
          <w:kern w:val="2"/>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8F50DF">
          <w:rPr>
            <w:rFonts w:ascii="Verdana" w:eastAsia="Aptos" w:hAnsi="Verdana" w:cs="Arial"/>
            <w:color w:val="0000FF"/>
            <w:kern w:val="2"/>
            <w:u w:val="single"/>
            <w14:ligatures w14:val="standardContextual"/>
          </w:rPr>
          <w:t>https://www.colombiacompra.gov.co/normativa-y-relatoria/documentos-tipo</w:t>
        </w:r>
      </w:hyperlink>
    </w:p>
    <w:p w14:paraId="4963A54D" w14:textId="77777777" w:rsidR="008F50DF" w:rsidRPr="008F50DF" w:rsidRDefault="008F50DF" w:rsidP="008F50DF">
      <w:pPr>
        <w:spacing w:after="0" w:line="276" w:lineRule="auto"/>
        <w:jc w:val="both"/>
        <w:rPr>
          <w:rFonts w:ascii="Verdana" w:eastAsia="Aptos" w:hAnsi="Verdana" w:cs="Arial"/>
          <w:kern w:val="2"/>
          <w14:ligatures w14:val="standardContextual"/>
        </w:rPr>
      </w:pPr>
    </w:p>
    <w:p w14:paraId="0EC954AA" w14:textId="77777777" w:rsidR="008F50DF" w:rsidRPr="008F50DF" w:rsidRDefault="008F50DF" w:rsidP="008F50DF">
      <w:pPr>
        <w:spacing w:after="0" w:line="276" w:lineRule="auto"/>
        <w:jc w:val="both"/>
        <w:rPr>
          <w:rFonts w:ascii="Verdana" w:eastAsia="Aptos" w:hAnsi="Verdana" w:cs="Arial"/>
          <w:kern w:val="2"/>
          <w14:ligatures w14:val="standardContextual"/>
        </w:rPr>
      </w:pPr>
      <w:r w:rsidRPr="008F50DF">
        <w:rPr>
          <w:rFonts w:ascii="Verdana" w:eastAsia="Aptos" w:hAnsi="Verdana" w:cs="Arial"/>
          <w:kern w:val="2"/>
          <w14:ligatures w14:val="standardContextual"/>
        </w:rPr>
        <w:t xml:space="preserve">Si quieres conocer más sobre la aplicación de Documentos Tipo puedes consultar la última versión de la </w:t>
      </w:r>
      <w:r w:rsidRPr="008F50DF">
        <w:rPr>
          <w:rFonts w:ascii="Verdana" w:eastAsia="Aptos" w:hAnsi="Verdana" w:cs="Arial"/>
          <w:b/>
          <w:bCs/>
          <w:kern w:val="2"/>
          <w14:ligatures w14:val="standardContextual"/>
        </w:rPr>
        <w:t>Guía para la comprensión e implementación de los Documentos Tipo de obra pública de infraestructura de transporte</w:t>
      </w:r>
      <w:r w:rsidRPr="008F50DF">
        <w:rPr>
          <w:rFonts w:ascii="Verdana" w:eastAsia="Aptos" w:hAnsi="Verdana" w:cs="Arial"/>
          <w:kern w:val="2"/>
          <w14:ligatures w14:val="standardContextu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8F50DF">
        <w:rPr>
          <w:rFonts w:ascii="Verdana" w:eastAsia="Aptos" w:hAnsi="Verdana" w:cs="Arial"/>
          <w:kern w:val="2"/>
          <w14:ligatures w14:val="standardContextual"/>
        </w:rPr>
        <w:br/>
      </w:r>
      <w:hyperlink r:id="rId15" w:tgtFrame="_new" w:history="1">
        <w:r w:rsidRPr="008F50DF">
          <w:rPr>
            <w:rFonts w:ascii="Verdana" w:eastAsia="Aptos" w:hAnsi="Verdana" w:cs="Arial"/>
            <w:color w:val="0000FF"/>
            <w:kern w:val="2"/>
            <w:u w:val="single"/>
            <w14:ligatures w14:val="standardContextual"/>
          </w:rPr>
          <w:t>https://www.colombiacompra.gov.co/archivos/manual/guia-para-la-</w:t>
        </w:r>
        <w:r w:rsidRPr="008F50DF">
          <w:rPr>
            <w:rFonts w:ascii="Verdana" w:eastAsia="Aptos" w:hAnsi="Verdana" w:cs="Arial"/>
            <w:color w:val="0000FF"/>
            <w:kern w:val="2"/>
            <w:u w:val="single"/>
            <w14:ligatures w14:val="standardContextual"/>
          </w:rPr>
          <w:lastRenderedPageBreak/>
          <w:t>comprension-e-implementacion-de-los-documentos-tipo-de-obra-publica-de-infraestructura-de-transporte-bajo-las-diferentes-modalidades-de-contratacion-vigentes</w:t>
        </w:r>
      </w:hyperlink>
    </w:p>
    <w:p w14:paraId="5CC1C17E" w14:textId="77777777" w:rsidR="008F50DF" w:rsidRPr="008F50DF" w:rsidRDefault="008F50DF" w:rsidP="008F50DF">
      <w:pPr>
        <w:spacing w:after="0"/>
        <w:jc w:val="both"/>
        <w:rPr>
          <w:rFonts w:ascii="Verdana" w:eastAsia="Aptos" w:hAnsi="Verdana" w:cs="Times New Roman"/>
          <w:color w:val="212121"/>
        </w:rPr>
      </w:pPr>
    </w:p>
    <w:p w14:paraId="1028E069" w14:textId="77777777" w:rsidR="008F50DF" w:rsidRPr="008F50DF" w:rsidRDefault="008F50DF" w:rsidP="008F50DF">
      <w:pPr>
        <w:spacing w:after="0" w:line="240" w:lineRule="auto"/>
        <w:jc w:val="both"/>
        <w:rPr>
          <w:rFonts w:ascii="Verdana" w:eastAsia="Calibri" w:hAnsi="Verdana" w:cs="Times New Roman"/>
        </w:rPr>
      </w:pPr>
      <w:r w:rsidRPr="008F50DF">
        <w:rPr>
          <w:rFonts w:ascii="Verdana" w:eastAsia="Aptos" w:hAnsi="Verdana" w:cs="Times New Roman"/>
        </w:rPr>
        <w:t xml:space="preserve">Por último, lo invitamos a seguirnos en las redes sociales en las cuales se difunde información institucional: </w:t>
      </w:r>
    </w:p>
    <w:p w14:paraId="0B35C343" w14:textId="77777777" w:rsidR="008F50DF" w:rsidRPr="008F50DF" w:rsidRDefault="008F50DF" w:rsidP="008F50DF">
      <w:pPr>
        <w:spacing w:after="0" w:line="240" w:lineRule="auto"/>
        <w:jc w:val="both"/>
        <w:rPr>
          <w:rFonts w:ascii="Verdana" w:eastAsia="Aptos" w:hAnsi="Verdana" w:cs="Times New Roman"/>
        </w:rPr>
      </w:pPr>
    </w:p>
    <w:p w14:paraId="28908DC6" w14:textId="77777777" w:rsidR="008F50DF" w:rsidRPr="008F50DF" w:rsidRDefault="008F50DF" w:rsidP="008F50DF">
      <w:pPr>
        <w:spacing w:after="0" w:line="240" w:lineRule="auto"/>
        <w:jc w:val="both"/>
        <w:rPr>
          <w:rFonts w:ascii="Verdana" w:eastAsia="Aptos" w:hAnsi="Verdana" w:cs="Times New Roman"/>
        </w:rPr>
      </w:pPr>
      <w:r w:rsidRPr="008F50DF">
        <w:rPr>
          <w:rFonts w:ascii="Verdana" w:eastAsia="Aptos" w:hAnsi="Verdana" w:cs="Times New Roman"/>
        </w:rPr>
        <w:t xml:space="preserve">Twitter: </w:t>
      </w:r>
      <w:r w:rsidRPr="008F50DF">
        <w:rPr>
          <w:rFonts w:ascii="Verdana" w:eastAsia="Calibri" w:hAnsi="Verdana" w:cs="Times New Roman"/>
          <w:color w:val="156082"/>
          <w:u w:val="single"/>
        </w:rPr>
        <w:t>@colombiacompra</w:t>
      </w:r>
      <w:r w:rsidRPr="008F50DF">
        <w:rPr>
          <w:rFonts w:ascii="Verdana" w:eastAsia="Calibri" w:hAnsi="Verdana" w:cs="Times New Roman"/>
          <w:color w:val="156082"/>
        </w:rPr>
        <w:t xml:space="preserve"> </w:t>
      </w:r>
    </w:p>
    <w:p w14:paraId="4C9BB3C1" w14:textId="77777777" w:rsidR="008F50DF" w:rsidRPr="008F50DF" w:rsidRDefault="008F50DF" w:rsidP="008F50DF">
      <w:pPr>
        <w:spacing w:after="0" w:line="240" w:lineRule="auto"/>
        <w:jc w:val="both"/>
        <w:rPr>
          <w:rFonts w:ascii="Verdana" w:eastAsia="Aptos" w:hAnsi="Verdana" w:cs="Times New Roman"/>
        </w:rPr>
      </w:pPr>
      <w:r w:rsidRPr="008F50DF">
        <w:rPr>
          <w:rFonts w:ascii="Verdana" w:eastAsia="Aptos" w:hAnsi="Verdana" w:cs="Times New Roman"/>
        </w:rPr>
        <w:t xml:space="preserve">Facebook: </w:t>
      </w:r>
      <w:proofErr w:type="spellStart"/>
      <w:r w:rsidRPr="008F50DF">
        <w:rPr>
          <w:rFonts w:ascii="Verdana" w:eastAsia="Calibri" w:hAnsi="Verdana" w:cs="Times New Roman"/>
          <w:color w:val="156082"/>
          <w:u w:val="single"/>
        </w:rPr>
        <w:t>ColombiaCompraEficiente</w:t>
      </w:r>
      <w:proofErr w:type="spellEnd"/>
    </w:p>
    <w:p w14:paraId="0C4BD041" w14:textId="77777777" w:rsidR="008F50DF" w:rsidRPr="008F50DF" w:rsidRDefault="008F50DF" w:rsidP="008F50DF">
      <w:pPr>
        <w:spacing w:after="0" w:line="240" w:lineRule="auto"/>
        <w:jc w:val="both"/>
        <w:rPr>
          <w:rFonts w:ascii="Verdana" w:eastAsia="Aptos" w:hAnsi="Verdana" w:cs="Times New Roman"/>
        </w:rPr>
      </w:pPr>
      <w:r w:rsidRPr="008F50DF">
        <w:rPr>
          <w:rFonts w:ascii="Verdana" w:eastAsia="Aptos" w:hAnsi="Verdana" w:cs="Times New Roman"/>
        </w:rPr>
        <w:t xml:space="preserve">LinkedIn: </w:t>
      </w:r>
      <w:r w:rsidRPr="008F50DF">
        <w:rPr>
          <w:rFonts w:ascii="Verdana" w:eastAsia="Calibri" w:hAnsi="Verdana" w:cs="Times New Roman"/>
          <w:color w:val="156082"/>
          <w:u w:val="single"/>
        </w:rPr>
        <w:t>Agencia Nacional de Contratación Pública - Colombia Compra Eficiente</w:t>
      </w:r>
      <w:r w:rsidRPr="008F50DF">
        <w:rPr>
          <w:rFonts w:ascii="Verdana" w:eastAsia="Calibri" w:hAnsi="Verdana" w:cs="Times New Roman"/>
          <w:color w:val="156082"/>
        </w:rPr>
        <w:t xml:space="preserve"> </w:t>
      </w:r>
      <w:r w:rsidRPr="008F50DF">
        <w:rPr>
          <w:rFonts w:ascii="Verdana" w:eastAsia="Aptos" w:hAnsi="Verdana" w:cs="Times New Roman"/>
        </w:rPr>
        <w:t xml:space="preserve">Instagram: </w:t>
      </w:r>
      <w:r w:rsidRPr="008F50DF">
        <w:rPr>
          <w:rFonts w:ascii="Verdana" w:eastAsia="Calibri" w:hAnsi="Verdana" w:cs="Times New Roman"/>
          <w:color w:val="156082"/>
          <w:u w:val="single"/>
        </w:rPr>
        <w:t>@colombiacompraeficiente_cce</w:t>
      </w:r>
    </w:p>
    <w:p w14:paraId="5380F89F" w14:textId="77777777" w:rsidR="008F50DF" w:rsidRPr="008F50DF" w:rsidRDefault="008F50DF" w:rsidP="008F50DF">
      <w:pPr>
        <w:spacing w:after="0" w:line="276" w:lineRule="auto"/>
        <w:jc w:val="both"/>
        <w:rPr>
          <w:rFonts w:ascii="Verdana" w:eastAsia="Aptos" w:hAnsi="Verdana" w:cs="Times New Roman"/>
        </w:rPr>
      </w:pPr>
    </w:p>
    <w:p w14:paraId="15CECFA5" w14:textId="77777777" w:rsidR="008F50DF" w:rsidRPr="008F50DF" w:rsidRDefault="008F50DF" w:rsidP="008F50DF">
      <w:pPr>
        <w:spacing w:after="0" w:line="276" w:lineRule="auto"/>
        <w:jc w:val="both"/>
        <w:rPr>
          <w:rFonts w:ascii="Verdana" w:eastAsia="Calibri" w:hAnsi="Verdana" w:cs="Times New Roman"/>
          <w:bCs/>
          <w:lang w:val="es-ES_tradnl"/>
        </w:rPr>
      </w:pPr>
      <w:r w:rsidRPr="008F50DF">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A00A54A" w14:textId="77777777" w:rsidR="008F50DF" w:rsidRPr="008F50DF" w:rsidRDefault="008F50DF" w:rsidP="008F50DF">
      <w:pPr>
        <w:spacing w:after="0" w:line="276" w:lineRule="auto"/>
        <w:jc w:val="both"/>
        <w:rPr>
          <w:rFonts w:ascii="Verdana" w:eastAsia="Calibri" w:hAnsi="Verdana" w:cs="Times New Roman"/>
        </w:rPr>
      </w:pPr>
    </w:p>
    <w:p w14:paraId="45D1D223" w14:textId="77777777" w:rsidR="008F50DF" w:rsidRPr="008F50DF" w:rsidRDefault="008F50DF" w:rsidP="008F50DF">
      <w:pPr>
        <w:spacing w:after="0" w:line="276" w:lineRule="auto"/>
        <w:jc w:val="both"/>
        <w:rPr>
          <w:rFonts w:ascii="Verdana" w:eastAsia="Calibri" w:hAnsi="Verdana" w:cs="Times New Roman"/>
        </w:rPr>
      </w:pPr>
      <w:r w:rsidRPr="008F50DF">
        <w:rPr>
          <w:rFonts w:ascii="Verdana" w:eastAsia="Calibri" w:hAnsi="Verdana" w:cs="Times New Roman"/>
        </w:rPr>
        <w:t>Atentamente,</w:t>
      </w:r>
    </w:p>
    <w:p w14:paraId="1D7762C8" w14:textId="64AD9BE6" w:rsidR="008F50DF" w:rsidRPr="008F50DF" w:rsidRDefault="002A53D1" w:rsidP="008F50DF">
      <w:pPr>
        <w:tabs>
          <w:tab w:val="left" w:pos="1320"/>
        </w:tabs>
        <w:jc w:val="center"/>
        <w:rPr>
          <w:rFonts w:ascii="Century Gothic" w:eastAsia="Calibri" w:hAnsi="Century Gothic" w:cs="Times New Roman"/>
        </w:rPr>
      </w:pPr>
      <w:r w:rsidRPr="004D5C25">
        <w:rPr>
          <w:rFonts w:ascii="Century Gothic" w:hAnsi="Century Gothic"/>
          <w:noProof/>
        </w:rPr>
        <w:drawing>
          <wp:inline distT="0" distB="0" distL="0" distR="0" wp14:anchorId="7342A57C" wp14:editId="5ED38B91">
            <wp:extent cx="2547937" cy="1093844"/>
            <wp:effectExtent l="0" t="0" r="508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2553823" cy="1096371"/>
                    </a:xfrm>
                    <a:prstGeom prst="rect">
                      <a:avLst/>
                    </a:prstGeom>
                  </pic:spPr>
                </pic:pic>
              </a:graphicData>
            </a:graphic>
          </wp:inline>
        </w:drawing>
      </w: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8F50DF" w:rsidRPr="008F50DF" w14:paraId="34F94330" w14:textId="77777777" w:rsidTr="4669E175">
        <w:trPr>
          <w:trHeight w:val="323"/>
        </w:trPr>
        <w:tc>
          <w:tcPr>
            <w:tcW w:w="1041" w:type="dxa"/>
            <w:vAlign w:val="center"/>
            <w:hideMark/>
          </w:tcPr>
          <w:p w14:paraId="081552E0" w14:textId="77777777" w:rsidR="008F50DF" w:rsidRPr="008F50DF" w:rsidRDefault="008F50DF" w:rsidP="008F50DF">
            <w:pPr>
              <w:rPr>
                <w:rFonts w:ascii="Verdana" w:eastAsia="Calibri" w:hAnsi="Verdana" w:cs="Arial"/>
                <w:sz w:val="16"/>
                <w:szCs w:val="16"/>
                <w:lang w:val="es-ES_tradnl" w:eastAsia="es-ES"/>
              </w:rPr>
            </w:pPr>
            <w:r w:rsidRPr="008F50DF">
              <w:rPr>
                <w:rFonts w:ascii="Verdana" w:eastAsia="Calibri" w:hAnsi="Verdana" w:cs="Arial"/>
                <w:sz w:val="16"/>
                <w:szCs w:val="16"/>
                <w:lang w:val="es-ES_tradnl" w:eastAsia="es-ES"/>
              </w:rPr>
              <w:t>Elaboró:</w:t>
            </w:r>
          </w:p>
        </w:tc>
        <w:tc>
          <w:tcPr>
            <w:tcW w:w="6561" w:type="dxa"/>
            <w:tcBorders>
              <w:top w:val="nil"/>
              <w:left w:val="nil"/>
              <w:bottom w:val="dotted" w:sz="4" w:space="0" w:color="7F7F7F" w:themeColor="text1" w:themeTint="80"/>
              <w:right w:val="nil"/>
            </w:tcBorders>
            <w:vAlign w:val="center"/>
            <w:hideMark/>
          </w:tcPr>
          <w:p w14:paraId="3519020A" w14:textId="77777777" w:rsidR="008F50DF" w:rsidRPr="008F50DF" w:rsidRDefault="008F50DF" w:rsidP="008F50DF">
            <w:pPr>
              <w:rPr>
                <w:rFonts w:ascii="Verdana" w:eastAsia="Arial" w:hAnsi="Verdana" w:cs="Arial"/>
                <w:sz w:val="16"/>
                <w:szCs w:val="16"/>
                <w:lang w:val="es-ES"/>
              </w:rPr>
            </w:pPr>
            <w:r w:rsidRPr="008F50DF">
              <w:rPr>
                <w:rFonts w:ascii="Verdana" w:eastAsia="Arial" w:hAnsi="Verdana" w:cs="Arial"/>
                <w:sz w:val="16"/>
                <w:szCs w:val="16"/>
                <w:lang w:val="es-ES"/>
              </w:rPr>
              <w:t xml:space="preserve">Carlos Mario Castrillón Endo </w:t>
            </w:r>
          </w:p>
          <w:p w14:paraId="1B7008FC" w14:textId="77777777" w:rsidR="008F50DF" w:rsidRPr="008F50DF" w:rsidRDefault="008F50DF" w:rsidP="008F50DF">
            <w:pPr>
              <w:rPr>
                <w:rFonts w:ascii="Verdana" w:eastAsia="Arial" w:hAnsi="Verdana" w:cs="Arial"/>
                <w:sz w:val="16"/>
                <w:szCs w:val="16"/>
                <w:lang w:val="es-ES_tradnl"/>
              </w:rPr>
            </w:pPr>
            <w:r w:rsidRPr="008F50DF">
              <w:rPr>
                <w:rFonts w:ascii="Verdana" w:eastAsia="Arial" w:hAnsi="Verdana" w:cs="Arial"/>
                <w:sz w:val="16"/>
                <w:szCs w:val="16"/>
                <w:lang w:val="es-ES_tradnl"/>
              </w:rPr>
              <w:t>Contratista de la Subdirección de Gestión Contractual</w:t>
            </w:r>
          </w:p>
          <w:p w14:paraId="34156CBC" w14:textId="77777777" w:rsidR="008F50DF" w:rsidRPr="008F50DF" w:rsidRDefault="008F50DF" w:rsidP="008F50DF">
            <w:pPr>
              <w:rPr>
                <w:rFonts w:ascii="Verdana" w:eastAsia="Arial" w:hAnsi="Verdana" w:cs="Arial"/>
                <w:sz w:val="16"/>
                <w:szCs w:val="16"/>
                <w:lang w:val="es-ES_tradnl"/>
              </w:rPr>
            </w:pPr>
          </w:p>
        </w:tc>
      </w:tr>
      <w:tr w:rsidR="008F50DF" w:rsidRPr="008F50DF" w14:paraId="5CAAE81F" w14:textId="77777777" w:rsidTr="4669E175">
        <w:trPr>
          <w:trHeight w:val="338"/>
        </w:trPr>
        <w:tc>
          <w:tcPr>
            <w:tcW w:w="1041" w:type="dxa"/>
            <w:vAlign w:val="center"/>
            <w:hideMark/>
          </w:tcPr>
          <w:p w14:paraId="59934893" w14:textId="77777777" w:rsidR="008F50DF" w:rsidRPr="008F50DF" w:rsidRDefault="008F50DF" w:rsidP="008F50DF">
            <w:pPr>
              <w:rPr>
                <w:rFonts w:ascii="Verdana" w:eastAsia="Calibri" w:hAnsi="Verdana" w:cs="Arial"/>
                <w:sz w:val="16"/>
                <w:szCs w:val="16"/>
                <w:lang w:val="es-ES_tradnl" w:eastAsia="es-ES"/>
              </w:rPr>
            </w:pPr>
            <w:r w:rsidRPr="008F50DF">
              <w:rPr>
                <w:rFonts w:ascii="Verdana" w:eastAsia="Calibri" w:hAnsi="Verdana" w:cs="Arial"/>
                <w:sz w:val="16"/>
                <w:szCs w:val="16"/>
                <w:lang w:val="es-ES_tradnl" w:eastAsia="es-ES"/>
              </w:rPr>
              <w:t>Revisó:</w:t>
            </w:r>
          </w:p>
        </w:tc>
        <w:tc>
          <w:tcPr>
            <w:tcW w:w="6561" w:type="dxa"/>
            <w:tcBorders>
              <w:top w:val="dotted" w:sz="4" w:space="0" w:color="7F7F7F" w:themeColor="text1" w:themeTint="80"/>
              <w:left w:val="nil"/>
              <w:bottom w:val="dotted" w:sz="4" w:space="0" w:color="7F7F7F" w:themeColor="text1" w:themeTint="80"/>
              <w:right w:val="nil"/>
            </w:tcBorders>
            <w:vAlign w:val="center"/>
            <w:hideMark/>
          </w:tcPr>
          <w:p w14:paraId="02541BD4" w14:textId="77777777" w:rsidR="008F50DF" w:rsidRPr="008F50DF" w:rsidRDefault="008F50DF" w:rsidP="4669E175">
            <w:pPr>
              <w:rPr>
                <w:rFonts w:ascii="Verdana" w:eastAsia="Arial" w:hAnsi="Verdana" w:cs="Arial"/>
                <w:sz w:val="16"/>
                <w:szCs w:val="16"/>
                <w:lang w:val="es-ES"/>
              </w:rPr>
            </w:pPr>
            <w:r w:rsidRPr="4669E175">
              <w:rPr>
                <w:rFonts w:ascii="Verdana" w:eastAsia="Arial" w:hAnsi="Verdana" w:cs="Arial"/>
                <w:sz w:val="16"/>
                <w:szCs w:val="16"/>
                <w:lang w:val="es-ES"/>
              </w:rPr>
              <w:t xml:space="preserve">Lida Milena </w:t>
            </w:r>
            <w:proofErr w:type="spellStart"/>
            <w:r w:rsidRPr="4669E175">
              <w:rPr>
                <w:rFonts w:ascii="Verdana" w:eastAsia="Arial" w:hAnsi="Verdana" w:cs="Arial"/>
                <w:sz w:val="16"/>
                <w:szCs w:val="16"/>
                <w:lang w:val="es-ES"/>
              </w:rPr>
              <w:t>Guanumen</w:t>
            </w:r>
            <w:proofErr w:type="spellEnd"/>
            <w:r w:rsidRPr="4669E175">
              <w:rPr>
                <w:rFonts w:ascii="Verdana" w:eastAsia="Arial" w:hAnsi="Verdana" w:cs="Arial"/>
                <w:sz w:val="16"/>
                <w:szCs w:val="16"/>
                <w:lang w:val="es-ES"/>
              </w:rPr>
              <w:t xml:space="preserve"> Pacheco</w:t>
            </w:r>
          </w:p>
          <w:p w14:paraId="6FBC411F" w14:textId="77777777" w:rsidR="008F50DF" w:rsidRPr="008F50DF" w:rsidRDefault="008F50DF" w:rsidP="008F50DF">
            <w:pPr>
              <w:rPr>
                <w:rFonts w:ascii="Verdana" w:eastAsia="Arial" w:hAnsi="Verdana" w:cs="Arial"/>
                <w:sz w:val="16"/>
                <w:szCs w:val="16"/>
                <w:lang w:val="es-ES"/>
              </w:rPr>
            </w:pPr>
            <w:r w:rsidRPr="008F50DF">
              <w:rPr>
                <w:rFonts w:ascii="Verdana" w:eastAsia="Arial" w:hAnsi="Verdana" w:cs="Arial"/>
                <w:sz w:val="16"/>
                <w:szCs w:val="16"/>
                <w:lang w:val="es-ES_tradnl"/>
              </w:rPr>
              <w:t>Contratista de la Subdirección de Gestión Contractual</w:t>
            </w:r>
          </w:p>
          <w:p w14:paraId="241B2971" w14:textId="77777777" w:rsidR="008F50DF" w:rsidRPr="008F50DF" w:rsidRDefault="008F50DF" w:rsidP="008F50DF">
            <w:pPr>
              <w:rPr>
                <w:rFonts w:ascii="Verdana" w:eastAsia="Arial" w:hAnsi="Verdana" w:cs="Arial"/>
                <w:sz w:val="16"/>
                <w:szCs w:val="16"/>
                <w:lang w:val="es-ES"/>
              </w:rPr>
            </w:pPr>
            <w:r w:rsidRPr="008F50DF">
              <w:rPr>
                <w:rFonts w:ascii="Verdana" w:eastAsia="Arial" w:hAnsi="Verdana" w:cs="Arial"/>
                <w:sz w:val="16"/>
                <w:szCs w:val="16"/>
                <w:lang w:val="es-ES"/>
              </w:rPr>
              <w:t>Juan David Cárdenas Cabeza</w:t>
            </w:r>
          </w:p>
          <w:p w14:paraId="4111A31A" w14:textId="77777777" w:rsidR="008F50DF" w:rsidRPr="008F50DF" w:rsidRDefault="008F50DF" w:rsidP="008F50DF">
            <w:pPr>
              <w:rPr>
                <w:rFonts w:ascii="Verdana" w:eastAsia="Arial" w:hAnsi="Verdana" w:cs="Arial"/>
                <w:sz w:val="16"/>
                <w:szCs w:val="16"/>
                <w:lang w:val="es-ES_tradnl"/>
              </w:rPr>
            </w:pPr>
            <w:r w:rsidRPr="008F50DF">
              <w:rPr>
                <w:rFonts w:ascii="Verdana" w:eastAsia="Arial" w:hAnsi="Verdana" w:cs="Arial"/>
                <w:sz w:val="16"/>
                <w:szCs w:val="16"/>
                <w:lang w:val="es-ES_tradnl"/>
              </w:rPr>
              <w:t>Contratista de la Subdirección de Gestión Contractual</w:t>
            </w:r>
          </w:p>
        </w:tc>
      </w:tr>
      <w:tr w:rsidR="008F50DF" w:rsidRPr="008F50DF" w14:paraId="71DFBE8D" w14:textId="77777777" w:rsidTr="4669E175">
        <w:trPr>
          <w:trHeight w:val="308"/>
        </w:trPr>
        <w:tc>
          <w:tcPr>
            <w:tcW w:w="1041" w:type="dxa"/>
            <w:vAlign w:val="center"/>
          </w:tcPr>
          <w:p w14:paraId="2397D8A3" w14:textId="77777777" w:rsidR="008F50DF" w:rsidRPr="008F50DF" w:rsidRDefault="008F50DF" w:rsidP="008F50DF">
            <w:pPr>
              <w:rPr>
                <w:rFonts w:ascii="Verdana" w:eastAsia="Calibri" w:hAnsi="Verdana" w:cs="Arial"/>
                <w:sz w:val="16"/>
                <w:szCs w:val="16"/>
                <w:lang w:val="es-ES_tradnl" w:eastAsia="es-ES"/>
              </w:rPr>
            </w:pPr>
            <w:r w:rsidRPr="008F50DF">
              <w:rPr>
                <w:rFonts w:ascii="Verdana" w:eastAsia="Calibri" w:hAnsi="Verdana" w:cs="Arial"/>
                <w:sz w:val="16"/>
                <w:szCs w:val="16"/>
                <w:lang w:val="es-ES_tradnl" w:eastAsia="es-ES"/>
              </w:rPr>
              <w:t>Aprobó:</w:t>
            </w:r>
          </w:p>
        </w:tc>
        <w:tc>
          <w:tcPr>
            <w:tcW w:w="6561" w:type="dxa"/>
            <w:tcBorders>
              <w:top w:val="dotted" w:sz="4" w:space="0" w:color="7F7F7F" w:themeColor="text1" w:themeTint="80"/>
              <w:left w:val="nil"/>
              <w:bottom w:val="dotted" w:sz="4" w:space="0" w:color="7F7F7F" w:themeColor="text1" w:themeTint="80"/>
              <w:right w:val="nil"/>
            </w:tcBorders>
            <w:vAlign w:val="center"/>
          </w:tcPr>
          <w:p w14:paraId="135EA3DC" w14:textId="77777777" w:rsidR="008F50DF" w:rsidRPr="008F50DF" w:rsidRDefault="008F50DF" w:rsidP="008F50DF">
            <w:pPr>
              <w:rPr>
                <w:rFonts w:ascii="Verdana" w:eastAsia="Calibri" w:hAnsi="Verdana" w:cs="Arial"/>
                <w:sz w:val="16"/>
                <w:szCs w:val="16"/>
                <w:lang w:val="es-ES" w:eastAsia="es-ES"/>
              </w:rPr>
            </w:pPr>
            <w:r w:rsidRPr="008F50DF">
              <w:rPr>
                <w:rFonts w:ascii="Verdana" w:eastAsia="Calibri" w:hAnsi="Verdana" w:cs="Arial"/>
                <w:sz w:val="16"/>
                <w:szCs w:val="16"/>
                <w:lang w:val="es-ES" w:eastAsia="es-ES"/>
              </w:rPr>
              <w:t>Carolina Quintero Gacharná</w:t>
            </w:r>
          </w:p>
          <w:p w14:paraId="30C0DCB4" w14:textId="77777777" w:rsidR="008F50DF" w:rsidRPr="008F50DF" w:rsidRDefault="008F50DF" w:rsidP="008F50DF">
            <w:pPr>
              <w:rPr>
                <w:rFonts w:ascii="Verdana" w:eastAsia="Calibri" w:hAnsi="Verdana" w:cs="Arial"/>
                <w:sz w:val="16"/>
                <w:szCs w:val="16"/>
                <w:lang w:val="es-ES_tradnl" w:eastAsia="es-ES"/>
              </w:rPr>
            </w:pPr>
            <w:r w:rsidRPr="008F50DF">
              <w:rPr>
                <w:rFonts w:ascii="Verdana" w:eastAsia="Calibri" w:hAnsi="Verdana" w:cs="Arial"/>
                <w:sz w:val="16"/>
                <w:szCs w:val="16"/>
                <w:lang w:val="es-ES_tradnl" w:eastAsia="es-ES"/>
              </w:rPr>
              <w:t>Subdirectora de Gestión Contractual ANCP – CCE</w:t>
            </w:r>
          </w:p>
        </w:tc>
      </w:tr>
    </w:tbl>
    <w:p w14:paraId="3D0C2400" w14:textId="77777777" w:rsidR="00624D56" w:rsidRPr="000E2B93" w:rsidRDefault="00624D56" w:rsidP="30821638">
      <w:pPr>
        <w:spacing w:after="0" w:line="240" w:lineRule="auto"/>
        <w:jc w:val="both"/>
        <w:textAlignment w:val="baseline"/>
        <w:rPr>
          <w:rFonts w:ascii="Verdana" w:eastAsia="Verdana" w:hAnsi="Verdana" w:cs="Verdana"/>
          <w:lang w:eastAsia="es-CO"/>
        </w:rPr>
      </w:pPr>
    </w:p>
    <w:p w14:paraId="69BC4D14" w14:textId="76CF382E"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719A2" w14:textId="77777777" w:rsidR="00EB3208" w:rsidRDefault="00EB3208" w:rsidP="004A1847">
      <w:pPr>
        <w:spacing w:after="0" w:line="240" w:lineRule="auto"/>
      </w:pPr>
      <w:r>
        <w:separator/>
      </w:r>
    </w:p>
  </w:endnote>
  <w:endnote w:type="continuationSeparator" w:id="0">
    <w:p w14:paraId="45C6855F" w14:textId="77777777" w:rsidR="00EB3208" w:rsidRDefault="00EB320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0A51D40B" w14:textId="77777777" w:rsidR="001F2FFA" w:rsidRDefault="001F2FFA">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E620F1"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E620F1">
      <w:rPr>
        <w:rFonts w:ascii="Verdana" w:eastAsia="Verdana" w:hAnsi="Verdana" w:cs="Verdana"/>
        <w:b/>
        <w:bCs/>
        <w:color w:val="000000"/>
        <w:sz w:val="18"/>
        <w:szCs w:val="18"/>
        <w:lang w:val="pt-BR" w:eastAsia="es-CO"/>
      </w:rPr>
      <w:t xml:space="preserve">Código: </w:t>
    </w:r>
    <w:r w:rsidRPr="00E620F1">
      <w:rPr>
        <w:rFonts w:ascii="Verdana" w:eastAsia="Verdana" w:hAnsi="Verdana" w:cs="Verdana"/>
        <w:color w:val="000000"/>
        <w:sz w:val="18"/>
        <w:szCs w:val="18"/>
        <w:lang w:val="pt-BR" w:eastAsia="es-CO"/>
      </w:rPr>
      <w:t xml:space="preserve">CCE-REC-FM-17 </w:t>
    </w:r>
    <w:r w:rsidRPr="00E620F1">
      <w:rPr>
        <w:rFonts w:ascii="Verdana" w:eastAsia="Verdana" w:hAnsi="Verdana" w:cs="Verdana"/>
        <w:b/>
        <w:bCs/>
        <w:color w:val="000000"/>
        <w:sz w:val="18"/>
        <w:szCs w:val="18"/>
        <w:lang w:val="pt-BR" w:eastAsia="es-CO"/>
      </w:rPr>
      <w:t xml:space="preserve">V: </w:t>
    </w:r>
    <w:r w:rsidRPr="00E620F1">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51E79" w14:textId="77777777" w:rsidR="00EB3208" w:rsidRDefault="00EB3208" w:rsidP="004A1847">
      <w:pPr>
        <w:spacing w:after="0" w:line="240" w:lineRule="auto"/>
      </w:pPr>
      <w:r>
        <w:separator/>
      </w:r>
    </w:p>
  </w:footnote>
  <w:footnote w:type="continuationSeparator" w:id="0">
    <w:p w14:paraId="708190A1" w14:textId="77777777" w:rsidR="00EB3208" w:rsidRDefault="00EB3208" w:rsidP="004A1847">
      <w:pPr>
        <w:spacing w:after="0" w:line="240" w:lineRule="auto"/>
      </w:pPr>
      <w:r>
        <w:continuationSeparator/>
      </w:r>
    </w:p>
  </w:footnote>
  <w:footnote w:id="1">
    <w:p w14:paraId="099E7CCE" w14:textId="77777777" w:rsidR="008F50DF" w:rsidRPr="00D615FB" w:rsidRDefault="008F50DF" w:rsidP="008F50DF">
      <w:pPr>
        <w:pStyle w:val="Textonotapie"/>
        <w:ind w:firstLine="708"/>
        <w:rPr>
          <w:rFonts w:ascii="Verdana" w:hAnsi="Verdana"/>
          <w:sz w:val="18"/>
          <w:szCs w:val="18"/>
        </w:rPr>
      </w:pPr>
      <w:r w:rsidRPr="00D615FB">
        <w:rPr>
          <w:rStyle w:val="Refdenotaalpie"/>
          <w:rFonts w:ascii="Verdana" w:hAnsi="Verdana"/>
          <w:sz w:val="18"/>
          <w:szCs w:val="18"/>
        </w:rPr>
        <w:footnoteRef/>
      </w:r>
      <w:r w:rsidRPr="00D615FB">
        <w:rPr>
          <w:rFonts w:ascii="Verdana" w:hAnsi="Verdana"/>
          <w:sz w:val="18"/>
          <w:szCs w:val="18"/>
        </w:rPr>
        <w:t xml:space="preserve"> </w:t>
      </w:r>
      <w:r w:rsidRPr="008F50DF">
        <w:rPr>
          <w:rFonts w:ascii="Verdana" w:eastAsia="Calibri" w:hAnsi="Verdana" w:cs="Arial"/>
          <w:color w:val="000000"/>
          <w:sz w:val="18"/>
          <w:szCs w:val="18"/>
          <w:lang w:val="es-ES_tradnl"/>
        </w:rPr>
        <w:t>Numeral 1 del artículo 32 de la Ley 80 de 1993.</w:t>
      </w:r>
    </w:p>
  </w:footnote>
  <w:footnote w:id="2">
    <w:p w14:paraId="2026A80E" w14:textId="77777777" w:rsidR="008F50DF" w:rsidRPr="00D615FB" w:rsidRDefault="008F50DF" w:rsidP="008F50DF">
      <w:pPr>
        <w:pStyle w:val="Textonotapie"/>
        <w:ind w:firstLine="708"/>
        <w:jc w:val="both"/>
        <w:rPr>
          <w:rFonts w:ascii="Verdana" w:hAnsi="Verdana"/>
          <w:sz w:val="18"/>
          <w:szCs w:val="18"/>
        </w:rPr>
      </w:pPr>
      <w:r w:rsidRPr="00D615FB">
        <w:rPr>
          <w:rStyle w:val="Refdenotaalpie"/>
          <w:rFonts w:ascii="Verdana" w:hAnsi="Verdana"/>
          <w:sz w:val="18"/>
          <w:szCs w:val="18"/>
        </w:rPr>
        <w:footnoteRef/>
      </w:r>
      <w:r w:rsidRPr="00D615FB">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0609E3ED" w14:textId="77777777" w:rsidR="008F50DF" w:rsidRPr="00D615FB" w:rsidRDefault="008F50DF" w:rsidP="008F50DF">
      <w:pPr>
        <w:pStyle w:val="Textonotapie"/>
        <w:ind w:firstLine="708"/>
        <w:jc w:val="both"/>
        <w:rPr>
          <w:rFonts w:ascii="Verdana" w:hAnsi="Verdana"/>
          <w:sz w:val="18"/>
          <w:szCs w:val="18"/>
        </w:rPr>
      </w:pPr>
    </w:p>
    <w:p w14:paraId="4479AF79" w14:textId="77777777" w:rsidR="008F50DF" w:rsidRPr="00D615FB" w:rsidRDefault="008F50DF" w:rsidP="008F50DF">
      <w:pPr>
        <w:pStyle w:val="Textonotapie"/>
        <w:ind w:firstLine="708"/>
        <w:jc w:val="both"/>
        <w:rPr>
          <w:rFonts w:ascii="Verdana" w:hAnsi="Verdana"/>
          <w:sz w:val="18"/>
          <w:szCs w:val="18"/>
        </w:rPr>
      </w:pPr>
      <w:r w:rsidRPr="00D615FB">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0B4D8D87" w14:textId="77777777" w:rsidR="008F50DF" w:rsidRPr="00D615FB" w:rsidRDefault="008F50DF" w:rsidP="008F50DF">
      <w:pPr>
        <w:pStyle w:val="Textonotapie"/>
        <w:ind w:firstLine="708"/>
        <w:jc w:val="both"/>
        <w:rPr>
          <w:rFonts w:ascii="Verdana" w:hAnsi="Verdana"/>
          <w:sz w:val="18"/>
          <w:szCs w:val="18"/>
        </w:rPr>
      </w:pPr>
    </w:p>
    <w:p w14:paraId="393B1BFB" w14:textId="77777777" w:rsidR="008F50DF" w:rsidRPr="00D615FB" w:rsidRDefault="008F50DF" w:rsidP="008F50DF">
      <w:pPr>
        <w:pStyle w:val="Textonotapie"/>
        <w:ind w:firstLine="708"/>
        <w:jc w:val="both"/>
        <w:rPr>
          <w:rFonts w:ascii="Verdana" w:hAnsi="Verdana"/>
          <w:sz w:val="18"/>
          <w:szCs w:val="18"/>
        </w:rPr>
      </w:pPr>
      <w:r w:rsidRPr="00D615FB">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2BAD3EE8" w14:textId="77777777" w:rsidR="008F50DF" w:rsidRPr="00D615FB" w:rsidRDefault="008F50DF" w:rsidP="008F50DF">
      <w:pPr>
        <w:pStyle w:val="Textonotapie"/>
        <w:ind w:firstLine="708"/>
        <w:jc w:val="both"/>
        <w:rPr>
          <w:rFonts w:ascii="Verdana" w:hAnsi="Verdana"/>
          <w:sz w:val="18"/>
          <w:szCs w:val="18"/>
        </w:rPr>
      </w:pPr>
    </w:p>
    <w:p w14:paraId="30531224" w14:textId="77777777" w:rsidR="008F50DF" w:rsidRPr="00D615FB" w:rsidRDefault="008F50DF" w:rsidP="008F50DF">
      <w:pPr>
        <w:pStyle w:val="Textonotapie"/>
        <w:ind w:firstLine="708"/>
        <w:jc w:val="both"/>
        <w:rPr>
          <w:rFonts w:ascii="Verdana" w:hAnsi="Verdana"/>
          <w:sz w:val="18"/>
          <w:szCs w:val="18"/>
        </w:rPr>
      </w:pPr>
      <w:r w:rsidRPr="00D615FB">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7DEBA9F8" w14:textId="77777777" w:rsidR="008F50DF" w:rsidRPr="00D615FB" w:rsidRDefault="008F50DF" w:rsidP="008F50DF">
      <w:pPr>
        <w:pStyle w:val="Textonotapie"/>
        <w:ind w:firstLine="708"/>
        <w:jc w:val="both"/>
        <w:rPr>
          <w:rFonts w:ascii="Verdana" w:hAnsi="Verdana"/>
          <w:sz w:val="18"/>
          <w:szCs w:val="18"/>
        </w:rPr>
      </w:pPr>
    </w:p>
    <w:p w14:paraId="54E48674" w14:textId="77777777" w:rsidR="008F50DF" w:rsidRPr="00D615FB" w:rsidRDefault="008F50DF" w:rsidP="008F50DF">
      <w:pPr>
        <w:pStyle w:val="Textonotapie"/>
        <w:ind w:firstLine="708"/>
        <w:jc w:val="both"/>
        <w:rPr>
          <w:rFonts w:ascii="Verdana" w:hAnsi="Verdana"/>
          <w:sz w:val="18"/>
          <w:szCs w:val="18"/>
        </w:rPr>
      </w:pPr>
      <w:r w:rsidRPr="00D615FB">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 w:id="3">
    <w:p w14:paraId="5E06F79D" w14:textId="77777777" w:rsidR="008F50DF" w:rsidRPr="008F50DF" w:rsidRDefault="008F50DF" w:rsidP="008F50DF">
      <w:pPr>
        <w:pStyle w:val="Textonotapie"/>
        <w:ind w:firstLine="708"/>
        <w:rPr>
          <w:rFonts w:ascii="Verdana" w:eastAsia="Calibri" w:hAnsi="Verdana" w:cs="Arial"/>
          <w:color w:val="000000"/>
          <w:sz w:val="18"/>
          <w:szCs w:val="18"/>
          <w:lang w:val="es-ES_tradnl"/>
        </w:rPr>
      </w:pPr>
      <w:r w:rsidRPr="00D615FB">
        <w:rPr>
          <w:rStyle w:val="Refdenotaalpie"/>
          <w:rFonts w:ascii="Verdana" w:hAnsi="Verdana"/>
          <w:sz w:val="18"/>
          <w:szCs w:val="18"/>
        </w:rPr>
        <w:footnoteRef/>
      </w:r>
      <w:r w:rsidRPr="00D615FB">
        <w:rPr>
          <w:rFonts w:ascii="Verdana" w:hAnsi="Verdana"/>
          <w:sz w:val="18"/>
          <w:szCs w:val="18"/>
        </w:rPr>
        <w:t xml:space="preserve"> </w:t>
      </w:r>
      <w:r w:rsidRPr="008F50DF">
        <w:rPr>
          <w:rFonts w:ascii="Verdana" w:eastAsia="Calibri" w:hAnsi="Verdana" w:cs="Arial"/>
          <w:color w:val="000000"/>
          <w:sz w:val="18"/>
          <w:szCs w:val="18"/>
          <w:lang w:val="es-ES_tradnl"/>
        </w:rPr>
        <w:t>Numeral 1 del artículo 32 de la Ley 80 de 1993.</w:t>
      </w:r>
    </w:p>
    <w:p w14:paraId="4C563C51" w14:textId="77777777" w:rsidR="008F50DF" w:rsidRPr="00D615FB" w:rsidRDefault="008F50DF" w:rsidP="008F50DF">
      <w:pPr>
        <w:pStyle w:val="Textonotapie"/>
        <w:ind w:firstLine="708"/>
        <w:rPr>
          <w:rFonts w:ascii="Verdana" w:hAnsi="Verdana"/>
          <w:sz w:val="18"/>
          <w:szCs w:val="18"/>
        </w:rPr>
      </w:pPr>
    </w:p>
  </w:footnote>
  <w:footnote w:id="4">
    <w:p w14:paraId="2354DA0D" w14:textId="77777777" w:rsidR="008F50DF" w:rsidRPr="00D615FB" w:rsidRDefault="008F50DF" w:rsidP="008F50DF">
      <w:pPr>
        <w:pStyle w:val="Textonotapie"/>
        <w:ind w:firstLine="709"/>
        <w:jc w:val="both"/>
        <w:rPr>
          <w:rFonts w:ascii="Verdana" w:hAnsi="Verdana" w:cs="Arial"/>
          <w:sz w:val="18"/>
          <w:szCs w:val="18"/>
        </w:rPr>
      </w:pPr>
      <w:r w:rsidRPr="00D615FB">
        <w:rPr>
          <w:rStyle w:val="Refdenotaalpie"/>
          <w:rFonts w:ascii="Verdana" w:hAnsi="Verdana" w:cs="Arial"/>
          <w:sz w:val="18"/>
          <w:szCs w:val="18"/>
        </w:rPr>
        <w:footnoteRef/>
      </w:r>
      <w:r w:rsidRPr="00D615FB">
        <w:rPr>
          <w:rFonts w:ascii="Verdana" w:hAnsi="Verdana" w:cs="Arial"/>
          <w:sz w:val="18"/>
          <w:szCs w:val="18"/>
        </w:rPr>
        <w:t xml:space="preserve"> Consejo de Estado. Sala de Consulta y Servicio Civil. Concepto del 5 de septiembre de 2018. Consejero Ponente: Edgar González López. Radicación interna: 2386.</w:t>
      </w:r>
    </w:p>
    <w:p w14:paraId="093DEA69" w14:textId="77777777" w:rsidR="008F50DF" w:rsidRPr="00D615FB" w:rsidRDefault="008F50DF" w:rsidP="008F50DF">
      <w:pPr>
        <w:pStyle w:val="Textonotapie"/>
        <w:ind w:firstLine="709"/>
        <w:jc w:val="both"/>
        <w:rPr>
          <w:rFonts w:ascii="Verdana" w:hAnsi="Verdana" w:cs="Arial"/>
          <w:sz w:val="18"/>
          <w:szCs w:val="18"/>
        </w:rPr>
      </w:pPr>
    </w:p>
  </w:footnote>
  <w:footnote w:id="5">
    <w:p w14:paraId="27566EC6" w14:textId="77777777" w:rsidR="008F50DF" w:rsidRPr="00D615FB" w:rsidRDefault="008F50DF" w:rsidP="008F50DF">
      <w:pPr>
        <w:pStyle w:val="Textonotapie"/>
        <w:ind w:firstLine="709"/>
        <w:jc w:val="both"/>
        <w:rPr>
          <w:rFonts w:ascii="Verdana" w:hAnsi="Verdana" w:cs="Arial"/>
          <w:sz w:val="18"/>
          <w:szCs w:val="18"/>
          <w:lang w:val="es-ES"/>
        </w:rPr>
      </w:pPr>
      <w:r w:rsidRPr="00D615FB">
        <w:rPr>
          <w:rStyle w:val="Refdenotaalpie"/>
          <w:rFonts w:ascii="Verdana" w:hAnsi="Verdana" w:cs="Arial"/>
          <w:sz w:val="18"/>
          <w:szCs w:val="18"/>
        </w:rPr>
        <w:footnoteRef/>
      </w:r>
      <w:r w:rsidRPr="00D615FB">
        <w:rPr>
          <w:rFonts w:ascii="Verdana" w:hAnsi="Verdana" w:cs="Arial"/>
          <w:sz w:val="18"/>
          <w:szCs w:val="18"/>
        </w:rPr>
        <w:t xml:space="preserve"> </w:t>
      </w:r>
      <w:r w:rsidRPr="00D615FB">
        <w:rPr>
          <w:rFonts w:ascii="Verdana" w:hAnsi="Verdana" w:cs="Arial"/>
          <w:sz w:val="18"/>
          <w:szCs w:val="18"/>
          <w:lang w:val="es-ES"/>
        </w:rPr>
        <w:t xml:space="preserve">En: </w:t>
      </w:r>
      <w:hyperlink r:id="rId1" w:history="1">
        <w:r w:rsidRPr="00D615FB">
          <w:rPr>
            <w:rStyle w:val="Hipervnculo"/>
            <w:rFonts w:ascii="Verdana" w:hAnsi="Verdana" w:cs="Arial"/>
            <w:sz w:val="18"/>
            <w:szCs w:val="18"/>
            <w:lang w:val="es-ES"/>
          </w:rPr>
          <w:t>https://dle.rae.es/instalar?m=form</w:t>
        </w:r>
      </w:hyperlink>
    </w:p>
    <w:p w14:paraId="39E47759" w14:textId="77777777" w:rsidR="008F50DF" w:rsidRPr="00D615FB" w:rsidRDefault="008F50DF" w:rsidP="008F50DF">
      <w:pPr>
        <w:pStyle w:val="Textonotapie"/>
        <w:ind w:firstLine="709"/>
        <w:jc w:val="both"/>
        <w:rPr>
          <w:rFonts w:ascii="Verdana" w:hAnsi="Verdana" w:cs="Arial"/>
          <w:sz w:val="18"/>
          <w:szCs w:val="18"/>
          <w:lang w:val="es-ES"/>
        </w:rPr>
      </w:pPr>
    </w:p>
  </w:footnote>
  <w:footnote w:id="6">
    <w:p w14:paraId="0CC36DDF" w14:textId="77777777" w:rsidR="008F50DF" w:rsidRPr="00D615FB" w:rsidRDefault="008F50DF" w:rsidP="008F50DF">
      <w:pPr>
        <w:pStyle w:val="Textonotapie"/>
        <w:ind w:firstLine="709"/>
        <w:jc w:val="both"/>
        <w:rPr>
          <w:rFonts w:ascii="Verdana" w:hAnsi="Verdana" w:cs="Arial"/>
          <w:sz w:val="18"/>
          <w:szCs w:val="18"/>
          <w:lang w:val="es-ES"/>
        </w:rPr>
      </w:pPr>
      <w:r w:rsidRPr="00D615FB">
        <w:rPr>
          <w:rStyle w:val="Refdenotaalpie"/>
          <w:rFonts w:ascii="Verdana" w:hAnsi="Verdana" w:cs="Arial"/>
          <w:sz w:val="18"/>
          <w:szCs w:val="18"/>
        </w:rPr>
        <w:footnoteRef/>
      </w:r>
      <w:r w:rsidRPr="00D615FB">
        <w:rPr>
          <w:rFonts w:ascii="Verdana" w:hAnsi="Verdana" w:cs="Arial"/>
          <w:sz w:val="18"/>
          <w:szCs w:val="18"/>
        </w:rPr>
        <w:t xml:space="preserve"> </w:t>
      </w:r>
      <w:r w:rsidRPr="00D615FB">
        <w:rPr>
          <w:rFonts w:ascii="Verdana" w:hAnsi="Verdana" w:cs="Arial"/>
          <w:sz w:val="18"/>
          <w:szCs w:val="18"/>
          <w:lang w:val="es-ES"/>
        </w:rPr>
        <w:t xml:space="preserve">Ibíd. </w:t>
      </w:r>
    </w:p>
    <w:p w14:paraId="405AC400" w14:textId="77777777" w:rsidR="008F50DF" w:rsidRPr="00D615FB" w:rsidRDefault="008F50DF" w:rsidP="008F50DF">
      <w:pPr>
        <w:pStyle w:val="Textonotapie"/>
        <w:ind w:firstLine="709"/>
        <w:jc w:val="both"/>
        <w:rPr>
          <w:rFonts w:ascii="Verdana" w:hAnsi="Verdana" w:cs="Arial"/>
          <w:sz w:val="18"/>
          <w:szCs w:val="18"/>
          <w:lang w:val="es-ES"/>
        </w:rPr>
      </w:pPr>
    </w:p>
  </w:footnote>
  <w:footnote w:id="7">
    <w:p w14:paraId="751E127B" w14:textId="77777777" w:rsidR="008F50DF" w:rsidRDefault="008F50DF" w:rsidP="008F50DF">
      <w:pPr>
        <w:pStyle w:val="Textonotapie"/>
        <w:ind w:firstLine="709"/>
        <w:jc w:val="both"/>
        <w:rPr>
          <w:rFonts w:ascii="Verdana" w:hAnsi="Verdana" w:cs="Arial"/>
          <w:sz w:val="18"/>
          <w:szCs w:val="18"/>
          <w:lang w:val="es-ES"/>
        </w:rPr>
      </w:pPr>
      <w:r w:rsidRPr="00D615FB">
        <w:rPr>
          <w:rStyle w:val="Refdenotaalpie"/>
          <w:rFonts w:ascii="Verdana" w:hAnsi="Verdana" w:cs="Arial"/>
          <w:sz w:val="18"/>
          <w:szCs w:val="18"/>
        </w:rPr>
        <w:footnoteRef/>
      </w:r>
      <w:r w:rsidRPr="00D615FB">
        <w:rPr>
          <w:rFonts w:ascii="Verdana" w:hAnsi="Verdana" w:cs="Arial"/>
          <w:sz w:val="18"/>
          <w:szCs w:val="18"/>
        </w:rPr>
        <w:t xml:space="preserve"> </w:t>
      </w:r>
      <w:r w:rsidRPr="00D615FB">
        <w:rPr>
          <w:rFonts w:ascii="Verdana" w:hAnsi="Verdana" w:cs="Arial"/>
          <w:sz w:val="18"/>
          <w:szCs w:val="18"/>
          <w:lang w:val="es-ES"/>
        </w:rPr>
        <w:t>Ibíd.</w:t>
      </w:r>
    </w:p>
    <w:p w14:paraId="1DB7FAC3" w14:textId="77777777" w:rsidR="008F50DF" w:rsidRPr="00D615FB" w:rsidRDefault="008F50DF" w:rsidP="008F50DF">
      <w:pPr>
        <w:pStyle w:val="Textonotapie"/>
        <w:ind w:firstLine="709"/>
        <w:jc w:val="both"/>
        <w:rPr>
          <w:rFonts w:ascii="Verdana" w:hAnsi="Verdana" w:cs="Arial"/>
          <w:sz w:val="18"/>
          <w:szCs w:val="18"/>
          <w:lang w:val="es-ES"/>
        </w:rPr>
      </w:pPr>
    </w:p>
  </w:footnote>
  <w:footnote w:id="8">
    <w:p w14:paraId="361BCAE8" w14:textId="77777777" w:rsidR="008F50DF" w:rsidRPr="00D615FB" w:rsidRDefault="008F50DF" w:rsidP="008F50DF">
      <w:pPr>
        <w:pStyle w:val="Textonotapie"/>
        <w:ind w:firstLine="709"/>
        <w:jc w:val="both"/>
        <w:rPr>
          <w:rFonts w:ascii="Verdana" w:hAnsi="Verdana" w:cs="Arial"/>
          <w:sz w:val="18"/>
          <w:szCs w:val="18"/>
          <w:lang w:val="es-ES"/>
        </w:rPr>
      </w:pPr>
      <w:r w:rsidRPr="00D615FB">
        <w:rPr>
          <w:rStyle w:val="Refdenotaalpie"/>
          <w:rFonts w:ascii="Verdana" w:hAnsi="Verdana" w:cs="Arial"/>
          <w:sz w:val="18"/>
          <w:szCs w:val="18"/>
        </w:rPr>
        <w:footnoteRef/>
      </w:r>
      <w:r w:rsidRPr="00D615FB">
        <w:rPr>
          <w:rFonts w:ascii="Verdana" w:hAnsi="Verdana" w:cs="Arial"/>
          <w:sz w:val="18"/>
          <w:szCs w:val="18"/>
          <w:lang w:val="es-ES"/>
        </w:rPr>
        <w:t>Ibíd.</w:t>
      </w:r>
    </w:p>
  </w:footnote>
  <w:footnote w:id="9">
    <w:p w14:paraId="6343E55E" w14:textId="77777777" w:rsidR="008F50DF" w:rsidRPr="00D615FB" w:rsidRDefault="008F50DF" w:rsidP="008F50DF">
      <w:pPr>
        <w:pStyle w:val="Textonotapie"/>
        <w:ind w:firstLine="709"/>
        <w:jc w:val="both"/>
        <w:rPr>
          <w:rFonts w:ascii="Verdana" w:hAnsi="Verdana" w:cs="Arial"/>
          <w:sz w:val="18"/>
          <w:szCs w:val="18"/>
        </w:rPr>
      </w:pPr>
      <w:r w:rsidRPr="00D615FB">
        <w:rPr>
          <w:rStyle w:val="Refdenotaalpie"/>
          <w:rFonts w:ascii="Verdana" w:hAnsi="Verdana" w:cs="Arial"/>
          <w:sz w:val="18"/>
          <w:szCs w:val="18"/>
        </w:rPr>
        <w:footnoteRef/>
      </w:r>
      <w:r w:rsidRPr="00D615FB">
        <w:rPr>
          <w:rFonts w:ascii="Verdana" w:hAnsi="Verdana" w:cs="Arial"/>
          <w:sz w:val="18"/>
          <w:szCs w:val="18"/>
        </w:rPr>
        <w:t xml:space="preserve"> </w:t>
      </w:r>
      <w:r w:rsidRPr="00D615FB">
        <w:rPr>
          <w:rFonts w:ascii="Verdana" w:hAnsi="Verdana" w:cs="Arial"/>
          <w:sz w:val="18"/>
          <w:szCs w:val="18"/>
          <w:lang w:val="es-ES"/>
        </w:rPr>
        <w:t xml:space="preserve">Ibíd. En similar sentido, </w:t>
      </w:r>
      <w:r w:rsidRPr="00D615FB">
        <w:rPr>
          <w:rFonts w:ascii="Verdana" w:hAnsi="Verdana" w:cs="Arial"/>
          <w:sz w:val="18"/>
          <w:szCs w:val="18"/>
        </w:rPr>
        <w:t>SUÁREZ BELTRÁN, Gonzalo. Estudios de derecho público contractual: Bogotá: Legis, 2014. p. 238. Al respecto, también se considera que «Esta clase de contratos está constituida por aquellas figuras cuyos elementos son conocidos (elementos legales); dispuestos, sin embargo, en combinaciones diferentes a las que se pueden apreciar en los contratos típicos y que, además, han sido tomadas de más de un tipo de contrato. Estos elementos pueden encontrarse en una relación de coordinación o de subordinación» (Cfr. ARRUBLA PAUCAR, Jaime Alberto. Contratos mercantiles: contratos atípicos. Octava edición. Bogotá: Legis, 2015. p. 36).</w:t>
      </w:r>
    </w:p>
    <w:p w14:paraId="3EC3451A" w14:textId="77777777" w:rsidR="008F50DF" w:rsidRPr="00D615FB" w:rsidRDefault="008F50DF" w:rsidP="008F50DF">
      <w:pPr>
        <w:pStyle w:val="Textonotapie"/>
        <w:ind w:firstLine="709"/>
        <w:jc w:val="both"/>
        <w:rPr>
          <w:rFonts w:ascii="Verdana" w:hAnsi="Verdana" w:cs="Arial"/>
          <w:sz w:val="18"/>
          <w:szCs w:val="18"/>
          <w:lang w:val="es-ES"/>
        </w:rPr>
      </w:pPr>
    </w:p>
  </w:footnote>
  <w:footnote w:id="10">
    <w:p w14:paraId="643EDD3F" w14:textId="77777777" w:rsidR="008F50DF" w:rsidRPr="00D615FB" w:rsidRDefault="008F50DF" w:rsidP="008F50DF">
      <w:pPr>
        <w:pStyle w:val="Textonotapie"/>
        <w:ind w:firstLine="709"/>
        <w:jc w:val="both"/>
        <w:rPr>
          <w:rFonts w:ascii="Verdana" w:hAnsi="Verdana" w:cs="Arial"/>
          <w:sz w:val="18"/>
          <w:szCs w:val="18"/>
        </w:rPr>
      </w:pPr>
      <w:r w:rsidRPr="00D615FB">
        <w:rPr>
          <w:rStyle w:val="Refdenotaalpie"/>
          <w:rFonts w:ascii="Verdana" w:hAnsi="Verdana" w:cs="Arial"/>
          <w:sz w:val="18"/>
          <w:szCs w:val="18"/>
        </w:rPr>
        <w:footnoteRef/>
      </w:r>
      <w:r w:rsidRPr="00D615FB">
        <w:rPr>
          <w:rFonts w:ascii="Verdana" w:hAnsi="Verdana" w:cs="Arial"/>
          <w:sz w:val="18"/>
          <w:szCs w:val="18"/>
        </w:rPr>
        <w:t xml:space="preserve"> Consejo de Estado. Sala de Consulta y Servicio Civil. Concepto del 5 de septiembre de 2018. Consejero Ponente: Edgar González López. Radicación interna: 2386.</w:t>
      </w:r>
    </w:p>
    <w:p w14:paraId="5ABA9BD1" w14:textId="77777777" w:rsidR="008F50DF" w:rsidRPr="00D615FB" w:rsidRDefault="008F50DF" w:rsidP="008F50DF">
      <w:pPr>
        <w:pStyle w:val="Textonotapie"/>
        <w:ind w:firstLine="709"/>
        <w:jc w:val="both"/>
        <w:rPr>
          <w:rFonts w:ascii="Verdana" w:hAnsi="Verdana" w:cs="Arial"/>
          <w:sz w:val="18"/>
          <w:szCs w:val="18"/>
          <w:lang w:val="es-ES"/>
        </w:rPr>
      </w:pPr>
    </w:p>
  </w:footnote>
  <w:footnote w:id="11">
    <w:p w14:paraId="43F88A46" w14:textId="77777777" w:rsidR="008F50DF" w:rsidRPr="00D615FB" w:rsidRDefault="008F50DF" w:rsidP="008F50DF">
      <w:pPr>
        <w:pStyle w:val="Textonotapie"/>
        <w:ind w:firstLine="709"/>
        <w:jc w:val="both"/>
        <w:rPr>
          <w:rFonts w:ascii="Verdana" w:hAnsi="Verdana" w:cs="Arial"/>
          <w:sz w:val="18"/>
          <w:szCs w:val="18"/>
        </w:rPr>
      </w:pPr>
      <w:r w:rsidRPr="00D615FB">
        <w:rPr>
          <w:rStyle w:val="Refdenotaalpie"/>
          <w:rFonts w:ascii="Verdana" w:hAnsi="Verdana" w:cs="Arial"/>
          <w:sz w:val="18"/>
          <w:szCs w:val="18"/>
        </w:rPr>
        <w:footnoteRef/>
      </w:r>
      <w:r w:rsidRPr="00D615FB">
        <w:rPr>
          <w:rFonts w:ascii="Verdana" w:hAnsi="Verdana" w:cs="Arial"/>
          <w:sz w:val="18"/>
          <w:szCs w:val="18"/>
        </w:rPr>
        <w:t xml:space="preserve"> CORTE SUPREMA DE JUSTICIA. Sala de Casación Civil. Sentencia del 5 de diciembre de 1956. M.P. Pablo Emilio Manotas. Decisión publicada en el Gaceta Judicial LXXXIV, No. 2177-2180. p. 317. Este criterio se adoptó explícitamente en el derogado artículo 3.3.1.1 del Decreto 734 de 2012. Concretamente, el inciso cuarto disponía que «En el caso de que el objeto contractual incluya los servicios de consultoría y otras obligaciones principales, como por ejemplo en el caso de ejecución de proyectos que incluyen diseño y construcción de la obra, la escogencia del contratista deberá adelantarse mediante licitación pública y selección abreviada, según corresponda de conformidad con lo señalado en la ley y en el presente decreto, sin perjuicio de lo previsto para la mínima cuantía. En todo caso, el equipo de profesionales y expertos propuestos deberá ser aprobado por la entidad».</w:t>
      </w:r>
    </w:p>
    <w:p w14:paraId="30DD881B" w14:textId="77777777" w:rsidR="008F50DF" w:rsidRPr="00D615FB" w:rsidRDefault="008F50DF" w:rsidP="008F50DF">
      <w:pPr>
        <w:pStyle w:val="Textonotapie"/>
        <w:ind w:firstLine="709"/>
        <w:jc w:val="both"/>
        <w:rPr>
          <w:rFonts w:ascii="Verdana" w:hAnsi="Verdana" w:cs="Arial"/>
          <w:sz w:val="18"/>
          <w:szCs w:val="18"/>
        </w:rPr>
      </w:pPr>
    </w:p>
  </w:footnote>
  <w:footnote w:id="12">
    <w:p w14:paraId="3DBB4422" w14:textId="77777777" w:rsidR="008F50DF" w:rsidRPr="00D615FB" w:rsidRDefault="008F50DF" w:rsidP="008F50DF">
      <w:pPr>
        <w:pStyle w:val="Textonotapie"/>
        <w:ind w:firstLine="709"/>
        <w:jc w:val="both"/>
        <w:rPr>
          <w:rFonts w:ascii="Verdana" w:hAnsi="Verdana" w:cs="Arial"/>
          <w:sz w:val="18"/>
          <w:szCs w:val="18"/>
        </w:rPr>
      </w:pPr>
      <w:r w:rsidRPr="00D615FB">
        <w:rPr>
          <w:rStyle w:val="Refdenotaalpie"/>
          <w:rFonts w:ascii="Verdana" w:hAnsi="Verdana" w:cs="Arial"/>
          <w:sz w:val="18"/>
          <w:szCs w:val="18"/>
        </w:rPr>
        <w:footnoteRef/>
      </w:r>
      <w:r w:rsidRPr="00D615FB">
        <w:rPr>
          <w:rFonts w:ascii="Verdana" w:hAnsi="Verdana" w:cs="Arial"/>
          <w:sz w:val="18"/>
          <w:szCs w:val="18"/>
        </w:rPr>
        <w:t xml:space="preserve"> Por ello, explica que «[…] todos estos criterios de interpretación no son, en último análisis más que especificaciones del principio de la analogía, inspiradas en las peculiaridades de cada materia. De aquí, también, que el criterio de interpretación más serio, respecto del contrato innominado mixto, es, además de la aplicación directa de las reglas generales sobre los contratos, el de la aplicación analógica de las singulares relativas al contrato nominado dado, que se manifiesten como las más adecuadas al contrato mixto que se debe interpretar, y si éstas no existen, entonces recurrir a las de la analogía iuris» (</w:t>
      </w:r>
      <w:r w:rsidRPr="00D615FB">
        <w:rPr>
          <w:rFonts w:ascii="Verdana" w:hAnsi="Verdana" w:cs="Arial"/>
          <w:i/>
          <w:iCs/>
          <w:sz w:val="18"/>
          <w:szCs w:val="18"/>
        </w:rPr>
        <w:t>ibidem</w:t>
      </w:r>
      <w:r w:rsidRPr="00D615FB">
        <w:rPr>
          <w:rFonts w:ascii="Verdana" w:hAnsi="Verdana" w:cs="Arial"/>
          <w:sz w:val="18"/>
          <w:szCs w:val="18"/>
        </w:rPr>
        <w:t>).</w:t>
      </w:r>
    </w:p>
    <w:p w14:paraId="54319B66" w14:textId="77777777" w:rsidR="008F50DF" w:rsidRPr="00D615FB" w:rsidRDefault="008F50DF" w:rsidP="008F50DF">
      <w:pPr>
        <w:pStyle w:val="Textonotapie"/>
        <w:ind w:firstLine="709"/>
        <w:jc w:val="both"/>
        <w:rPr>
          <w:rFonts w:ascii="Verdana" w:hAnsi="Verdana" w:cs="Arial"/>
          <w:sz w:val="18"/>
          <w:szCs w:val="18"/>
        </w:rPr>
      </w:pPr>
    </w:p>
  </w:footnote>
  <w:footnote w:id="13">
    <w:p w14:paraId="0E238A19" w14:textId="77777777" w:rsidR="008F50DF" w:rsidRPr="00D615FB" w:rsidRDefault="008F50DF" w:rsidP="008F50DF">
      <w:pPr>
        <w:pStyle w:val="Textonotapie"/>
        <w:ind w:firstLine="709"/>
        <w:jc w:val="both"/>
        <w:rPr>
          <w:rFonts w:ascii="Verdana" w:hAnsi="Verdana" w:cs="Arial"/>
          <w:sz w:val="18"/>
          <w:szCs w:val="18"/>
        </w:rPr>
      </w:pPr>
      <w:r w:rsidRPr="00D615FB">
        <w:rPr>
          <w:rStyle w:val="Refdenotaalpie"/>
          <w:rFonts w:ascii="Verdana" w:hAnsi="Verdana" w:cs="Arial"/>
          <w:sz w:val="18"/>
          <w:szCs w:val="18"/>
        </w:rPr>
        <w:footnoteRef/>
      </w:r>
      <w:r w:rsidRPr="00D615FB">
        <w:rPr>
          <w:rFonts w:ascii="Verdana" w:hAnsi="Verdana" w:cs="Arial"/>
          <w:sz w:val="18"/>
          <w:szCs w:val="18"/>
        </w:rPr>
        <w:t xml:space="preserve"> RENGIFO GARCÍA, Ernesto. Interpretación del contrato atípico a la luz de la jurisprudencia colombiana. En: Los contratos en el derecho privado. Bogotá: Legis – Universidad del Rosario, 2009. p. 48. </w:t>
      </w:r>
    </w:p>
    <w:p w14:paraId="0475A618" w14:textId="77777777" w:rsidR="008F50DF" w:rsidRPr="00D615FB" w:rsidRDefault="008F50DF" w:rsidP="008F50DF">
      <w:pPr>
        <w:pStyle w:val="Textonotapie"/>
        <w:ind w:firstLine="709"/>
        <w:jc w:val="both"/>
        <w:rPr>
          <w:rFonts w:ascii="Verdana" w:hAnsi="Verdana" w:cs="Arial"/>
          <w:sz w:val="18"/>
          <w:szCs w:val="18"/>
        </w:rPr>
      </w:pPr>
    </w:p>
  </w:footnote>
  <w:footnote w:id="14">
    <w:p w14:paraId="3071A55C" w14:textId="77777777" w:rsidR="008F50DF" w:rsidRPr="00D615FB" w:rsidRDefault="008F50DF" w:rsidP="008F50DF">
      <w:pPr>
        <w:pStyle w:val="Textonotapie"/>
        <w:ind w:firstLine="709"/>
        <w:jc w:val="both"/>
        <w:rPr>
          <w:rFonts w:ascii="Verdana" w:hAnsi="Verdana" w:cs="Arial"/>
          <w:sz w:val="18"/>
          <w:szCs w:val="18"/>
          <w:lang w:val="es-ES"/>
        </w:rPr>
      </w:pPr>
      <w:r w:rsidRPr="00D615FB">
        <w:rPr>
          <w:rStyle w:val="Refdenotaalpie"/>
          <w:rFonts w:ascii="Verdana" w:hAnsi="Verdana" w:cs="Arial"/>
          <w:sz w:val="18"/>
          <w:szCs w:val="18"/>
        </w:rPr>
        <w:footnoteRef/>
      </w:r>
      <w:r w:rsidRPr="00D615FB">
        <w:rPr>
          <w:rFonts w:ascii="Verdana" w:hAnsi="Verdana" w:cs="Arial"/>
          <w:sz w:val="18"/>
          <w:szCs w:val="18"/>
        </w:rPr>
        <w:t xml:space="preserve"> Consejo de Estado. Sala de Consulta y Servicio Civil. Concepto del 5 de septiembre de 2018. Consejero Ponente: Edgar González López. Radicación interna: 2386.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827985604">
    <w:abstractNumId w:val="9"/>
  </w:num>
  <w:num w:numId="17"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1E9C"/>
    <w:rsid w:val="00082362"/>
    <w:rsid w:val="00083D4E"/>
    <w:rsid w:val="000860E7"/>
    <w:rsid w:val="000A683E"/>
    <w:rsid w:val="000B19B9"/>
    <w:rsid w:val="000D0334"/>
    <w:rsid w:val="000D5DA7"/>
    <w:rsid w:val="000F17EF"/>
    <w:rsid w:val="000F6486"/>
    <w:rsid w:val="00116940"/>
    <w:rsid w:val="00125105"/>
    <w:rsid w:val="00127233"/>
    <w:rsid w:val="0015699B"/>
    <w:rsid w:val="001973C1"/>
    <w:rsid w:val="001A33BF"/>
    <w:rsid w:val="001B159D"/>
    <w:rsid w:val="001E4177"/>
    <w:rsid w:val="001F0B24"/>
    <w:rsid w:val="001F2FFA"/>
    <w:rsid w:val="001F7DC6"/>
    <w:rsid w:val="0022400B"/>
    <w:rsid w:val="00233A69"/>
    <w:rsid w:val="00237F79"/>
    <w:rsid w:val="002421BB"/>
    <w:rsid w:val="0025796E"/>
    <w:rsid w:val="002707A2"/>
    <w:rsid w:val="002951A0"/>
    <w:rsid w:val="002962BC"/>
    <w:rsid w:val="0029772E"/>
    <w:rsid w:val="002A093D"/>
    <w:rsid w:val="002A0DD0"/>
    <w:rsid w:val="002A49AC"/>
    <w:rsid w:val="002A53D1"/>
    <w:rsid w:val="002A64FD"/>
    <w:rsid w:val="002C4FF6"/>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5051"/>
    <w:rsid w:val="0042722E"/>
    <w:rsid w:val="0044528D"/>
    <w:rsid w:val="00466E39"/>
    <w:rsid w:val="004A1847"/>
    <w:rsid w:val="004A305D"/>
    <w:rsid w:val="004D7755"/>
    <w:rsid w:val="004E2536"/>
    <w:rsid w:val="004F21C4"/>
    <w:rsid w:val="004F685F"/>
    <w:rsid w:val="005566E8"/>
    <w:rsid w:val="00574867"/>
    <w:rsid w:val="00591460"/>
    <w:rsid w:val="005A65E0"/>
    <w:rsid w:val="005C3777"/>
    <w:rsid w:val="005C5CDC"/>
    <w:rsid w:val="005D476C"/>
    <w:rsid w:val="006200BF"/>
    <w:rsid w:val="006219F8"/>
    <w:rsid w:val="00624D56"/>
    <w:rsid w:val="006302F7"/>
    <w:rsid w:val="00646B9F"/>
    <w:rsid w:val="00665D70"/>
    <w:rsid w:val="006900D9"/>
    <w:rsid w:val="006D0669"/>
    <w:rsid w:val="006F7034"/>
    <w:rsid w:val="00706C16"/>
    <w:rsid w:val="007340C3"/>
    <w:rsid w:val="0075235A"/>
    <w:rsid w:val="00756841"/>
    <w:rsid w:val="007649AB"/>
    <w:rsid w:val="00771D0C"/>
    <w:rsid w:val="007828D2"/>
    <w:rsid w:val="007833AC"/>
    <w:rsid w:val="007877B3"/>
    <w:rsid w:val="007A37E1"/>
    <w:rsid w:val="007B268C"/>
    <w:rsid w:val="007B7171"/>
    <w:rsid w:val="007C0C0F"/>
    <w:rsid w:val="007C284E"/>
    <w:rsid w:val="007C3AF1"/>
    <w:rsid w:val="007C3DC2"/>
    <w:rsid w:val="007E5497"/>
    <w:rsid w:val="00806F5F"/>
    <w:rsid w:val="00820278"/>
    <w:rsid w:val="008258C9"/>
    <w:rsid w:val="00844AE9"/>
    <w:rsid w:val="00867F95"/>
    <w:rsid w:val="008843B6"/>
    <w:rsid w:val="00891928"/>
    <w:rsid w:val="008A446D"/>
    <w:rsid w:val="008B25F1"/>
    <w:rsid w:val="008D180B"/>
    <w:rsid w:val="008E1262"/>
    <w:rsid w:val="008F0EA7"/>
    <w:rsid w:val="008F50DF"/>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75DD2"/>
    <w:rsid w:val="00AB0ADB"/>
    <w:rsid w:val="00AF5B37"/>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56A0E"/>
    <w:rsid w:val="00C754BE"/>
    <w:rsid w:val="00C76B1C"/>
    <w:rsid w:val="00C925AC"/>
    <w:rsid w:val="00CB6357"/>
    <w:rsid w:val="00CC1B26"/>
    <w:rsid w:val="00CE1BE5"/>
    <w:rsid w:val="00D361FD"/>
    <w:rsid w:val="00D423A2"/>
    <w:rsid w:val="00D44E26"/>
    <w:rsid w:val="00D520D8"/>
    <w:rsid w:val="00D63AC2"/>
    <w:rsid w:val="00D7383B"/>
    <w:rsid w:val="00D7788A"/>
    <w:rsid w:val="00DA231B"/>
    <w:rsid w:val="00DC39FC"/>
    <w:rsid w:val="00DF5254"/>
    <w:rsid w:val="00E02524"/>
    <w:rsid w:val="00E138CB"/>
    <w:rsid w:val="00E16408"/>
    <w:rsid w:val="00E20894"/>
    <w:rsid w:val="00E245AB"/>
    <w:rsid w:val="00E2764C"/>
    <w:rsid w:val="00E27F2E"/>
    <w:rsid w:val="00E50AFE"/>
    <w:rsid w:val="00E620F1"/>
    <w:rsid w:val="00E75C92"/>
    <w:rsid w:val="00E771DC"/>
    <w:rsid w:val="00E8772A"/>
    <w:rsid w:val="00E90F6B"/>
    <w:rsid w:val="00E92C27"/>
    <w:rsid w:val="00EA0E3D"/>
    <w:rsid w:val="00EB3208"/>
    <w:rsid w:val="00EC38A7"/>
    <w:rsid w:val="00EE1AA8"/>
    <w:rsid w:val="00F23FEA"/>
    <w:rsid w:val="00F31EDC"/>
    <w:rsid w:val="00F3251F"/>
    <w:rsid w:val="00F462B3"/>
    <w:rsid w:val="00F5424E"/>
    <w:rsid w:val="00F5664F"/>
    <w:rsid w:val="00F62DFB"/>
    <w:rsid w:val="00F666C4"/>
    <w:rsid w:val="00F673C9"/>
    <w:rsid w:val="00F76AFC"/>
    <w:rsid w:val="00FA47C0"/>
    <w:rsid w:val="00FB5DD1"/>
    <w:rsid w:val="00FC2B5D"/>
    <w:rsid w:val="00FF1449"/>
    <w:rsid w:val="00FF7963"/>
    <w:rsid w:val="071B8F93"/>
    <w:rsid w:val="07C73DD1"/>
    <w:rsid w:val="09908A09"/>
    <w:rsid w:val="0EFE6349"/>
    <w:rsid w:val="0FF4CCA8"/>
    <w:rsid w:val="13CFC91B"/>
    <w:rsid w:val="14E3E404"/>
    <w:rsid w:val="19A2EC2C"/>
    <w:rsid w:val="21779BE6"/>
    <w:rsid w:val="2859CA1B"/>
    <w:rsid w:val="2C4D2425"/>
    <w:rsid w:val="2EE1E026"/>
    <w:rsid w:val="30821638"/>
    <w:rsid w:val="32A4F9CF"/>
    <w:rsid w:val="33A1FF93"/>
    <w:rsid w:val="356CEDFD"/>
    <w:rsid w:val="3C591AFD"/>
    <w:rsid w:val="42183F0A"/>
    <w:rsid w:val="4669E175"/>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123D180C-075B-445A-94B6-F355E08A5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8F5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8F50DF"/>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le.rae.es/instalar?m=for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DD721F-0B6E-4A73-9976-DCAF7A868B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9</TotalTime>
  <Pages>27</Pages>
  <Words>8662</Words>
  <Characters>48594</Characters>
  <Application>Microsoft Office Word</Application>
  <DocSecurity>0</DocSecurity>
  <Lines>916</Lines>
  <Paragraphs>175</Paragraphs>
  <ScaleCrop>false</ScaleCrop>
  <Company/>
  <LinksUpToDate>false</LinksUpToDate>
  <CharactersWithSpaces>57081</CharactersWithSpaces>
  <SharedDoc>false</SharedDoc>
  <HLinks>
    <vt:vector size="36" baseType="variant">
      <vt:variant>
        <vt:i4>5505101</vt:i4>
      </vt:variant>
      <vt:variant>
        <vt:i4>12</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2162739</vt:i4>
      </vt:variant>
      <vt:variant>
        <vt:i4>3</vt:i4>
      </vt:variant>
      <vt:variant>
        <vt:i4>0</vt:i4>
      </vt:variant>
      <vt:variant>
        <vt:i4>5</vt:i4>
      </vt:variant>
      <vt:variant>
        <vt:lpwstr>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vt:lpwstr>
      </vt:variant>
      <vt:variant>
        <vt:lpwstr/>
      </vt:variant>
      <vt:variant>
        <vt:i4>4653144</vt:i4>
      </vt:variant>
      <vt:variant>
        <vt:i4>0</vt:i4>
      </vt:variant>
      <vt:variant>
        <vt:i4>0</vt:i4>
      </vt:variant>
      <vt:variant>
        <vt:i4>5</vt:i4>
      </vt:variant>
      <vt:variant>
        <vt:lpwstr>https://www.colombiacompra.gov.co/documentos-tipo/documentos-tipo</vt:lpwstr>
      </vt:variant>
      <vt:variant>
        <vt:lpwstr/>
      </vt:variant>
      <vt:variant>
        <vt:i4>7667809</vt:i4>
      </vt:variant>
      <vt:variant>
        <vt:i4>0</vt:i4>
      </vt:variant>
      <vt:variant>
        <vt:i4>0</vt:i4>
      </vt:variant>
      <vt:variant>
        <vt:i4>5</vt:i4>
      </vt:variant>
      <vt:variant>
        <vt:lpwstr>https://dle.rae.es/instalar?m=form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2023-01-11T03:18:00Z</cp:lastPrinted>
  <dcterms:created xsi:type="dcterms:W3CDTF">2026-04-06T15:19:00Z</dcterms:created>
  <dcterms:modified xsi:type="dcterms:W3CDTF">2026-04-09T14:02:00Z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