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ACB61" w14:textId="77777777" w:rsidR="000D3FCF" w:rsidRPr="00481068" w:rsidRDefault="000D3FCF" w:rsidP="000D3FCF">
      <w:pPr>
        <w:spacing w:line="276" w:lineRule="auto"/>
        <w:jc w:val="right"/>
        <w:rPr>
          <w:rFonts w:ascii="Arial" w:eastAsia="Calibri" w:hAnsi="Arial" w:cs="Arial"/>
          <w:b/>
          <w:bCs/>
          <w:sz w:val="16"/>
          <w:szCs w:val="16"/>
        </w:rPr>
      </w:pPr>
      <w:r w:rsidRPr="00481068">
        <w:rPr>
          <w:rFonts w:ascii="Arial" w:hAnsi="Arial" w:cs="Arial"/>
          <w:b/>
          <w:bCs/>
          <w:sz w:val="16"/>
          <w:szCs w:val="16"/>
          <w:lang w:eastAsia="es-ES"/>
        </w:rPr>
        <w:t>CCE-DES-FM-17</w:t>
      </w:r>
    </w:p>
    <w:p w14:paraId="08877547" w14:textId="77777777" w:rsidR="000D3FCF" w:rsidRDefault="000D3FCF" w:rsidP="007323DA">
      <w:pPr>
        <w:spacing w:after="120"/>
        <w:contextualSpacing/>
        <w:jc w:val="both"/>
        <w:rPr>
          <w:rFonts w:ascii="Arial" w:eastAsia="Calibri" w:hAnsi="Arial" w:cs="Arial"/>
          <w:b/>
          <w:bCs/>
          <w:color w:val="000000" w:themeColor="text1"/>
          <w:sz w:val="22"/>
          <w:lang w:val="es-ES_tradnl"/>
        </w:rPr>
      </w:pPr>
    </w:p>
    <w:p w14:paraId="0DAE9567" w14:textId="6D98587C" w:rsidR="007323DA" w:rsidRPr="00A41BCE" w:rsidRDefault="007323DA" w:rsidP="007323DA">
      <w:pPr>
        <w:spacing w:after="120"/>
        <w:contextualSpacing/>
        <w:jc w:val="both"/>
        <w:rPr>
          <w:rFonts w:ascii="Arial" w:eastAsia="Calibri" w:hAnsi="Arial" w:cs="Arial"/>
          <w:b/>
          <w:bCs/>
          <w:color w:val="000000" w:themeColor="text1"/>
          <w:sz w:val="20"/>
          <w:szCs w:val="20"/>
          <w:lang w:val="es-ES_tradnl"/>
        </w:rPr>
      </w:pPr>
      <w:r w:rsidRPr="00A41BCE">
        <w:rPr>
          <w:rFonts w:ascii="Arial" w:eastAsia="Calibri" w:hAnsi="Arial" w:cs="Arial"/>
          <w:b/>
          <w:bCs/>
          <w:color w:val="000000" w:themeColor="text1"/>
          <w:sz w:val="20"/>
          <w:szCs w:val="20"/>
          <w:lang w:val="es-ES_tradnl"/>
        </w:rPr>
        <w:t>LEY DE GARANTÍAS ELECTORALES – Finalidad</w:t>
      </w:r>
    </w:p>
    <w:p w14:paraId="7DA65A5E" w14:textId="77777777" w:rsidR="007323DA" w:rsidRPr="00A41BCE" w:rsidRDefault="007323DA" w:rsidP="007323DA">
      <w:pPr>
        <w:spacing w:after="120"/>
        <w:contextualSpacing/>
        <w:jc w:val="both"/>
        <w:rPr>
          <w:rFonts w:ascii="Arial" w:eastAsia="Calibri" w:hAnsi="Arial" w:cs="Arial"/>
          <w:color w:val="000000" w:themeColor="text1"/>
          <w:sz w:val="20"/>
          <w:szCs w:val="20"/>
          <w:lang w:val="es-ES_tradnl"/>
        </w:rPr>
      </w:pPr>
    </w:p>
    <w:p w14:paraId="71E5D310" w14:textId="77777777" w:rsidR="007323DA" w:rsidRPr="00A41BCE" w:rsidRDefault="007323DA" w:rsidP="007323DA">
      <w:pPr>
        <w:tabs>
          <w:tab w:val="left" w:pos="426"/>
        </w:tabs>
        <w:spacing w:after="120"/>
        <w:jc w:val="both"/>
        <w:rPr>
          <w:rFonts w:ascii="Arial" w:hAnsi="Arial" w:cs="Arial"/>
          <w:bCs/>
          <w:color w:val="000000" w:themeColor="text1"/>
          <w:sz w:val="20"/>
          <w:szCs w:val="20"/>
          <w:lang w:eastAsia="es-CO"/>
        </w:rPr>
      </w:pPr>
      <w:r w:rsidRPr="00A41BCE">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w:t>
      </w:r>
      <w:r w:rsidRPr="00A41BCE">
        <w:rPr>
          <w:rFonts w:ascii="Arial" w:hAnsi="Arial" w:cs="Arial"/>
          <w:bCs/>
          <w:i/>
          <w:iCs/>
          <w:color w:val="000000" w:themeColor="text1"/>
          <w:sz w:val="20"/>
          <w:szCs w:val="20"/>
          <w:lang w:eastAsia="es-CO"/>
        </w:rPr>
        <w:t xml:space="preserve">. </w:t>
      </w:r>
      <w:r w:rsidRPr="00A41BCE">
        <w:rPr>
          <w:rFonts w:ascii="Arial" w:hAnsi="Arial" w:cs="Arial"/>
          <w:bCs/>
          <w:color w:val="000000" w:themeColor="text1"/>
          <w:sz w:val="20"/>
          <w:szCs w:val="20"/>
          <w:lang w:eastAsia="es-CO"/>
        </w:rPr>
        <w:t>Por ejemplo, el artículo 127 de la Constitución Política establece una prohibición contractual a los servidores públicos y en cuanto a aspectos políticos consagra restricciones a ciertos empleados del Estado, incluso en época no electoral. 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A41BCE">
        <w:rPr>
          <w:rFonts w:ascii="Arial" w:hAnsi="Arial" w:cs="Arial"/>
          <w:bCs/>
          <w:color w:val="000000" w:themeColor="text1"/>
          <w:sz w:val="20"/>
          <w:szCs w:val="20"/>
          <w:lang w:val="es-ES_tradnl" w:eastAsia="es-CO"/>
        </w:rPr>
        <w:t xml:space="preserve"> </w:t>
      </w:r>
      <w:r w:rsidRPr="00A41BCE">
        <w:rPr>
          <w:rFonts w:ascii="Arial" w:hAnsi="Arial" w:cs="Arial"/>
          <w:bCs/>
          <w:color w:val="000000" w:themeColor="text1"/>
          <w:sz w:val="20"/>
          <w:szCs w:val="20"/>
          <w:lang w:eastAsia="es-CO"/>
        </w:rPr>
        <w:t>En armonía con lo anterior, la Corte Constitucional ha abordado la definición de la Ley de Garantías Electorales</w:t>
      </w:r>
      <w:r w:rsidRPr="00A41BCE">
        <w:rPr>
          <w:rFonts w:ascii="Arial" w:hAnsi="Arial" w:cs="Arial"/>
          <w:bCs/>
          <w:color w:val="000000" w:themeColor="text1"/>
          <w:sz w:val="20"/>
          <w:szCs w:val="20"/>
          <w:lang w:val="es-ES_tradnl" w:eastAsia="es-CO"/>
        </w:rPr>
        <w:t xml:space="preserve">. </w:t>
      </w:r>
      <w:r w:rsidRPr="00A41BCE">
        <w:rPr>
          <w:rFonts w:ascii="Arial" w:hAnsi="Arial" w:cs="Arial"/>
          <w:bCs/>
          <w:color w:val="000000" w:themeColor="text1"/>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8DF0407" w14:textId="77777777" w:rsidR="007323DA" w:rsidRPr="00A41BCE" w:rsidRDefault="007323DA" w:rsidP="007323DA">
      <w:pPr>
        <w:tabs>
          <w:tab w:val="left" w:pos="426"/>
        </w:tabs>
        <w:jc w:val="both"/>
        <w:rPr>
          <w:rFonts w:ascii="Arial" w:eastAsia="Calibri" w:hAnsi="Arial" w:cs="Arial"/>
          <w:bCs/>
          <w:color w:val="000000" w:themeColor="text1"/>
          <w:sz w:val="20"/>
          <w:szCs w:val="20"/>
          <w:lang w:val="es-ES_tradnl"/>
        </w:rPr>
      </w:pPr>
    </w:p>
    <w:p w14:paraId="3EAA33B8" w14:textId="77777777" w:rsidR="007323DA" w:rsidRPr="00A41BCE" w:rsidRDefault="007323DA" w:rsidP="007323DA">
      <w:pPr>
        <w:tabs>
          <w:tab w:val="left" w:pos="426"/>
        </w:tabs>
        <w:jc w:val="both"/>
        <w:rPr>
          <w:rFonts w:ascii="Arial" w:eastAsia="Calibri" w:hAnsi="Arial" w:cs="Arial"/>
          <w:b/>
          <w:bCs/>
          <w:color w:val="000000" w:themeColor="text1"/>
          <w:sz w:val="20"/>
          <w:szCs w:val="20"/>
          <w:lang w:val="es-ES_tradnl"/>
        </w:rPr>
      </w:pPr>
      <w:bookmarkStart w:id="0" w:name="_Hlk77152637"/>
      <w:bookmarkStart w:id="1" w:name="_Hlk77157066"/>
      <w:r w:rsidRPr="00A41BCE">
        <w:rPr>
          <w:rFonts w:ascii="Arial" w:eastAsia="Calibri" w:hAnsi="Arial" w:cs="Arial"/>
          <w:b/>
          <w:bCs/>
          <w:color w:val="000000" w:themeColor="text1"/>
          <w:sz w:val="20"/>
          <w:szCs w:val="20"/>
          <w:lang w:val="es-ES_tradnl"/>
        </w:rPr>
        <w:t>LEY DE GARANTÍAS ELECTORALES ‒</w:t>
      </w:r>
      <w:bookmarkEnd w:id="0"/>
      <w:r w:rsidRPr="00A41BCE">
        <w:rPr>
          <w:rFonts w:ascii="Arial" w:eastAsia="Calibri" w:hAnsi="Arial" w:cs="Arial"/>
          <w:b/>
          <w:bCs/>
          <w:color w:val="000000" w:themeColor="text1"/>
          <w:sz w:val="20"/>
          <w:szCs w:val="20"/>
          <w:lang w:val="es-ES_tradnl"/>
        </w:rPr>
        <w:t xml:space="preserve"> Restricciones </w:t>
      </w:r>
      <w:bookmarkStart w:id="2" w:name="_Hlk77157034"/>
      <w:r w:rsidRPr="00A41BCE">
        <w:rPr>
          <w:rFonts w:ascii="Arial" w:eastAsia="Calibri" w:hAnsi="Arial" w:cs="Arial"/>
          <w:b/>
          <w:bCs/>
          <w:color w:val="000000" w:themeColor="text1"/>
          <w:sz w:val="20"/>
          <w:szCs w:val="20"/>
          <w:lang w:val="es-ES_tradnl"/>
        </w:rPr>
        <w:t xml:space="preserve">‒ </w:t>
      </w:r>
      <w:bookmarkEnd w:id="2"/>
      <w:r w:rsidRPr="00A41BCE">
        <w:rPr>
          <w:rFonts w:ascii="Arial" w:eastAsia="Calibri" w:hAnsi="Arial" w:cs="Arial"/>
          <w:b/>
          <w:bCs/>
          <w:color w:val="000000" w:themeColor="text1"/>
          <w:sz w:val="20"/>
          <w:szCs w:val="20"/>
          <w:lang w:val="es-ES_tradnl"/>
        </w:rPr>
        <w:t>Contratación</w:t>
      </w:r>
      <w:bookmarkStart w:id="3" w:name="_Hlk77153098"/>
      <w:r w:rsidRPr="00A41BCE">
        <w:rPr>
          <w:rFonts w:ascii="Arial" w:eastAsia="Calibri" w:hAnsi="Arial" w:cs="Arial"/>
          <w:b/>
          <w:bCs/>
          <w:color w:val="000000" w:themeColor="text1"/>
          <w:sz w:val="20"/>
          <w:szCs w:val="20"/>
          <w:lang w:val="es-ES_tradnl"/>
        </w:rPr>
        <w:t xml:space="preserve"> ‒ Tipos de elección</w:t>
      </w:r>
      <w:bookmarkEnd w:id="3"/>
      <w:r w:rsidRPr="00A41BCE">
        <w:rPr>
          <w:rFonts w:ascii="Arial" w:eastAsia="Calibri" w:hAnsi="Arial" w:cs="Arial"/>
          <w:b/>
          <w:bCs/>
          <w:color w:val="000000" w:themeColor="text1"/>
          <w:sz w:val="20"/>
          <w:szCs w:val="20"/>
          <w:lang w:val="es-ES_tradnl"/>
        </w:rPr>
        <w:t xml:space="preserve"> </w:t>
      </w:r>
    </w:p>
    <w:p w14:paraId="228EF602" w14:textId="77777777" w:rsidR="007323DA" w:rsidRPr="00A41BCE" w:rsidRDefault="007323DA" w:rsidP="007323DA">
      <w:pPr>
        <w:tabs>
          <w:tab w:val="left" w:pos="426"/>
        </w:tabs>
        <w:jc w:val="both"/>
        <w:rPr>
          <w:rFonts w:ascii="Arial" w:eastAsia="Calibri" w:hAnsi="Arial" w:cs="Arial"/>
          <w:b/>
          <w:bCs/>
          <w:color w:val="000000" w:themeColor="text1"/>
          <w:sz w:val="20"/>
          <w:szCs w:val="20"/>
          <w:lang w:val="es-ES_tradnl"/>
        </w:rPr>
      </w:pPr>
    </w:p>
    <w:p w14:paraId="61806E3C" w14:textId="53C2C9B6" w:rsidR="007323DA" w:rsidRPr="00A41BCE" w:rsidRDefault="007323DA" w:rsidP="007323DA">
      <w:pPr>
        <w:tabs>
          <w:tab w:val="left" w:pos="426"/>
        </w:tabs>
        <w:jc w:val="both"/>
        <w:rPr>
          <w:rFonts w:ascii="Arial" w:hAnsi="Arial" w:cs="Arial"/>
          <w:bCs/>
          <w:color w:val="000000" w:themeColor="text1"/>
          <w:sz w:val="20"/>
          <w:szCs w:val="20"/>
          <w:lang w:eastAsia="es-CO"/>
        </w:rPr>
      </w:pPr>
      <w:bookmarkStart w:id="4" w:name="_Hlk77165666"/>
      <w:bookmarkEnd w:id="1"/>
      <w:r w:rsidRPr="00A41BCE">
        <w:rPr>
          <w:rFonts w:ascii="Arial" w:hAnsi="Arial" w:cs="Arial"/>
          <w:bCs/>
          <w:color w:val="000000" w:themeColor="text1"/>
          <w:sz w:val="20"/>
          <w:szCs w:val="20"/>
          <w:lang w:val="es-ES_tradnl" w:eastAsia="es-CO"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Pr="00A41BCE">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41BCE">
        <w:rPr>
          <w:rFonts w:ascii="Arial" w:hAnsi="Arial" w:cs="Arial"/>
          <w:bCs/>
          <w:color w:val="000000" w:themeColor="text1"/>
          <w:sz w:val="20"/>
          <w:szCs w:val="20"/>
          <w:lang w:val="es-ES_tradnl" w:eastAsia="es-CO" w:bidi="es-ES"/>
        </w:rPr>
        <w:t xml:space="preserve"> </w:t>
      </w:r>
      <w:r w:rsidRPr="00A41BCE">
        <w:rPr>
          <w:rFonts w:ascii="Arial" w:hAnsi="Arial" w:cs="Arial"/>
          <w:bCs/>
          <w:color w:val="000000" w:themeColor="text1"/>
          <w:sz w:val="20"/>
          <w:szCs w:val="20"/>
          <w:lang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F3404F" w:rsidRPr="00A41BCE">
        <w:rPr>
          <w:rFonts w:ascii="Arial" w:hAnsi="Arial" w:cs="Arial"/>
          <w:bCs/>
          <w:color w:val="000000" w:themeColor="text1"/>
          <w:sz w:val="20"/>
          <w:szCs w:val="20"/>
          <w:lang w:eastAsia="es-CO"/>
        </w:rPr>
        <w:t>.</w:t>
      </w:r>
    </w:p>
    <w:p w14:paraId="72C129C0" w14:textId="77777777" w:rsidR="00F3404F" w:rsidRPr="00A41BCE" w:rsidRDefault="00F3404F" w:rsidP="007323DA">
      <w:pPr>
        <w:tabs>
          <w:tab w:val="left" w:pos="426"/>
        </w:tabs>
        <w:jc w:val="both"/>
        <w:rPr>
          <w:rFonts w:ascii="Arial" w:hAnsi="Arial" w:cs="Arial"/>
          <w:bCs/>
          <w:color w:val="000000" w:themeColor="text1"/>
          <w:sz w:val="20"/>
          <w:szCs w:val="20"/>
          <w:lang w:val="es-ES_tradnl" w:eastAsia="es-CO" w:bidi="es-ES"/>
        </w:rPr>
      </w:pPr>
    </w:p>
    <w:p w14:paraId="1711E6E4" w14:textId="77777777" w:rsidR="007323DA" w:rsidRPr="00A41BCE" w:rsidRDefault="007323DA" w:rsidP="007323DA">
      <w:pPr>
        <w:tabs>
          <w:tab w:val="left" w:pos="426"/>
        </w:tabs>
        <w:jc w:val="both"/>
        <w:rPr>
          <w:rFonts w:ascii="Arial" w:eastAsia="Calibri" w:hAnsi="Arial" w:cs="Arial"/>
          <w:b/>
          <w:bCs/>
          <w:sz w:val="20"/>
          <w:szCs w:val="20"/>
          <w:lang w:val="es-ES_tradnl"/>
        </w:rPr>
      </w:pPr>
      <w:r w:rsidRPr="00A41BCE">
        <w:rPr>
          <w:rFonts w:ascii="Arial" w:eastAsia="Calibri" w:hAnsi="Arial" w:cs="Arial"/>
          <w:b/>
          <w:bCs/>
          <w:sz w:val="20"/>
          <w:szCs w:val="20"/>
          <w:lang w:val="es-ES_tradnl"/>
        </w:rPr>
        <w:t xml:space="preserve">LEY DE GARANTÍAS ELECTORALES ─ Prohibición artículo 33 ‒ </w:t>
      </w:r>
      <w:bookmarkEnd w:id="4"/>
      <w:r w:rsidRPr="00A41BCE">
        <w:rPr>
          <w:rFonts w:ascii="Arial" w:eastAsia="Calibri" w:hAnsi="Arial" w:cs="Arial"/>
          <w:b/>
          <w:bCs/>
          <w:sz w:val="20"/>
          <w:szCs w:val="20"/>
          <w:lang w:val="es-ES_tradnl"/>
        </w:rPr>
        <w:t xml:space="preserve">Contratación directa ‒ Alcance </w:t>
      </w:r>
    </w:p>
    <w:p w14:paraId="24D36C4E" w14:textId="77777777" w:rsidR="007323DA" w:rsidRPr="00A41BCE" w:rsidRDefault="007323DA" w:rsidP="007323DA">
      <w:pPr>
        <w:tabs>
          <w:tab w:val="left" w:pos="426"/>
        </w:tabs>
        <w:jc w:val="both"/>
        <w:rPr>
          <w:rFonts w:ascii="Arial" w:eastAsia="Calibri" w:hAnsi="Arial" w:cs="Arial"/>
          <w:noProof/>
          <w:sz w:val="20"/>
          <w:szCs w:val="20"/>
          <w:lang w:val="es-ES_tradnl"/>
        </w:rPr>
      </w:pPr>
    </w:p>
    <w:p w14:paraId="5DEEBE02" w14:textId="77777777" w:rsidR="007323DA" w:rsidRPr="00A41BCE" w:rsidRDefault="007323DA" w:rsidP="007323DA">
      <w:pPr>
        <w:jc w:val="both"/>
        <w:rPr>
          <w:rFonts w:ascii="Arial" w:hAnsi="Arial" w:cs="Arial"/>
          <w:bCs/>
          <w:sz w:val="20"/>
          <w:szCs w:val="20"/>
          <w:lang w:val="es-ES_tradnl" w:eastAsia="x-none"/>
        </w:rPr>
      </w:pPr>
      <w:r w:rsidRPr="00A41BCE">
        <w:rPr>
          <w:rFonts w:ascii="Arial" w:eastAsia="Calibri" w:hAnsi="Arial" w:cs="Arial"/>
          <w:noProof/>
          <w:sz w:val="20"/>
          <w:szCs w:val="20"/>
          <w:lang w:val="es-ES_tradnl"/>
        </w:rPr>
        <w:t xml:space="preserve">[…] </w:t>
      </w:r>
      <w:r w:rsidRPr="00A41BCE">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41BCE">
        <w:rPr>
          <w:rFonts w:ascii="Arial" w:hAnsi="Arial" w:cs="Arial"/>
          <w:sz w:val="20"/>
          <w:szCs w:val="20"/>
          <w:vertAlign w:val="superscript"/>
          <w:lang w:val="es-ES_tradnl" w:eastAsia="x-none"/>
        </w:rPr>
        <w:t xml:space="preserve">. </w:t>
      </w:r>
      <w:r w:rsidRPr="00A41BCE">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A41BCE">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2AFC2C1E" w14:textId="77777777" w:rsidR="007323DA" w:rsidRPr="00A41BCE" w:rsidRDefault="007323DA" w:rsidP="007323DA">
      <w:pPr>
        <w:jc w:val="both"/>
        <w:rPr>
          <w:rFonts w:ascii="Arial" w:hAnsi="Arial" w:cs="Arial"/>
          <w:b/>
          <w:bCs/>
          <w:sz w:val="20"/>
          <w:szCs w:val="20"/>
          <w:lang w:val="es-ES_tradnl" w:eastAsia="es-ES"/>
        </w:rPr>
      </w:pPr>
    </w:p>
    <w:p w14:paraId="27354920" w14:textId="77777777" w:rsidR="007323DA" w:rsidRPr="00A41BCE" w:rsidRDefault="007323DA" w:rsidP="007323DA">
      <w:pPr>
        <w:shd w:val="clear" w:color="auto" w:fill="FFFFFF"/>
        <w:jc w:val="both"/>
        <w:rPr>
          <w:rFonts w:ascii="Arial" w:hAnsi="Arial" w:cs="Arial"/>
          <w:b/>
          <w:bCs/>
          <w:sz w:val="20"/>
          <w:szCs w:val="20"/>
          <w:lang w:val="es-ES_tradnl" w:eastAsia="es-CO"/>
        </w:rPr>
      </w:pPr>
      <w:r w:rsidRPr="00A41BCE">
        <w:rPr>
          <w:rFonts w:ascii="Arial" w:hAnsi="Arial" w:cs="Arial"/>
          <w:b/>
          <w:bCs/>
          <w:sz w:val="20"/>
          <w:szCs w:val="20"/>
          <w:lang w:val="es-ES_tradnl" w:eastAsia="es-CO"/>
        </w:rPr>
        <w:t xml:space="preserve">LEY DE GARANTÍAS ELECTORALES </w:t>
      </w:r>
      <w:bookmarkStart w:id="5" w:name="_Hlk77022358"/>
      <w:r w:rsidRPr="00A41BCE">
        <w:rPr>
          <w:rFonts w:ascii="Arial" w:hAnsi="Arial" w:cs="Arial"/>
          <w:b/>
          <w:bCs/>
          <w:sz w:val="20"/>
          <w:szCs w:val="20"/>
          <w:lang w:val="es-ES_tradnl" w:eastAsia="es-CO"/>
        </w:rPr>
        <w:t>‒</w:t>
      </w:r>
      <w:bookmarkEnd w:id="5"/>
      <w:r w:rsidRPr="00A41BCE">
        <w:rPr>
          <w:rFonts w:ascii="Arial" w:hAnsi="Arial" w:cs="Arial"/>
          <w:b/>
          <w:bCs/>
          <w:sz w:val="20"/>
          <w:szCs w:val="20"/>
          <w:lang w:val="es-ES_tradnl" w:eastAsia="es-CO"/>
        </w:rPr>
        <w:t xml:space="preserve"> Excepciones</w:t>
      </w:r>
      <w:r w:rsidRPr="00A41BCE">
        <w:rPr>
          <w:rFonts w:ascii="Arial" w:hAnsi="Arial" w:cs="Arial"/>
          <w:b/>
          <w:sz w:val="20"/>
          <w:szCs w:val="20"/>
          <w:lang w:val="es-ES_tradnl" w:eastAsia="es-CO"/>
        </w:rPr>
        <w:t xml:space="preserve"> </w:t>
      </w:r>
    </w:p>
    <w:p w14:paraId="42431C61" w14:textId="77777777" w:rsidR="007323DA" w:rsidRPr="00A41BCE" w:rsidRDefault="007323DA" w:rsidP="007323DA">
      <w:pPr>
        <w:shd w:val="clear" w:color="auto" w:fill="FFFFFF"/>
        <w:jc w:val="both"/>
        <w:rPr>
          <w:rFonts w:ascii="Arial" w:hAnsi="Arial" w:cs="Arial"/>
          <w:b/>
          <w:sz w:val="20"/>
          <w:szCs w:val="20"/>
          <w:lang w:val="es-ES_tradnl" w:eastAsia="es-CO"/>
        </w:rPr>
      </w:pPr>
    </w:p>
    <w:p w14:paraId="23A48138" w14:textId="77777777" w:rsidR="007323DA" w:rsidRPr="00A41BCE" w:rsidRDefault="007323DA" w:rsidP="007323DA">
      <w:pPr>
        <w:tabs>
          <w:tab w:val="left" w:pos="426"/>
        </w:tabs>
        <w:jc w:val="both"/>
        <w:rPr>
          <w:rFonts w:ascii="Arial" w:eastAsia="Calibri" w:hAnsi="Arial" w:cs="Arial"/>
          <w:sz w:val="20"/>
          <w:szCs w:val="20"/>
          <w:lang w:val="es-ES_tradnl"/>
        </w:rPr>
      </w:pPr>
      <w:r w:rsidRPr="00A41BCE">
        <w:rPr>
          <w:rFonts w:ascii="Arial" w:hAnsi="Arial" w:cs="Arial"/>
          <w:sz w:val="20"/>
          <w:szCs w:val="20"/>
          <w:lang w:val="es-ES_tradnl" w:eastAsia="x-none"/>
        </w:rPr>
        <w:t xml:space="preserve">[…] </w:t>
      </w:r>
      <w:r w:rsidRPr="00A41BCE">
        <w:rPr>
          <w:rFonts w:ascii="Arial" w:hAnsi="Arial" w:cs="Arial"/>
          <w:bCs/>
          <w:sz w:val="20"/>
          <w:szCs w:val="20"/>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A41BCE">
        <w:rPr>
          <w:rFonts w:ascii="Arial" w:hAnsi="Arial" w:cs="Arial"/>
          <w:bCs/>
          <w:sz w:val="20"/>
          <w:szCs w:val="20"/>
          <w:lang w:val="es-ES_tradnl" w:eastAsia="x-none"/>
        </w:rPr>
        <w:t>ii</w:t>
      </w:r>
      <w:proofErr w:type="spellEnd"/>
      <w:r w:rsidRPr="00A41BCE">
        <w:rPr>
          <w:rFonts w:ascii="Arial" w:hAnsi="Arial" w:cs="Arial"/>
          <w:bCs/>
          <w:sz w:val="20"/>
          <w:szCs w:val="20"/>
          <w:lang w:val="es-ES_tradnl" w:eastAsia="x-none"/>
        </w:rPr>
        <w:t xml:space="preserve">) los contratos de crédito público; </w:t>
      </w:r>
      <w:proofErr w:type="spellStart"/>
      <w:r w:rsidRPr="00A41BCE">
        <w:rPr>
          <w:rFonts w:ascii="Arial" w:hAnsi="Arial" w:cs="Arial"/>
          <w:bCs/>
          <w:sz w:val="20"/>
          <w:szCs w:val="20"/>
          <w:lang w:val="es-ES_tradnl" w:eastAsia="x-none"/>
        </w:rPr>
        <w:t>iii</w:t>
      </w:r>
      <w:proofErr w:type="spellEnd"/>
      <w:r w:rsidRPr="00A41BCE">
        <w:rPr>
          <w:rFonts w:ascii="Arial" w:hAnsi="Arial" w:cs="Arial"/>
          <w:bCs/>
          <w:sz w:val="20"/>
          <w:szCs w:val="20"/>
          <w:lang w:val="es-ES_tradnl" w:eastAsia="x-none"/>
        </w:rPr>
        <w:t xml:space="preserve">) los requeridos para cubrir las emergencias educativas, sanitarias y desastres; </w:t>
      </w:r>
      <w:proofErr w:type="spellStart"/>
      <w:r w:rsidRPr="00A41BCE">
        <w:rPr>
          <w:rFonts w:ascii="Arial" w:hAnsi="Arial" w:cs="Arial"/>
          <w:bCs/>
          <w:sz w:val="20"/>
          <w:szCs w:val="20"/>
          <w:lang w:val="es-ES_tradnl" w:eastAsia="x-none"/>
        </w:rPr>
        <w:t>iv</w:t>
      </w:r>
      <w:proofErr w:type="spellEnd"/>
      <w:r w:rsidRPr="00A41BCE">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78FDFBDC" w14:textId="77777777" w:rsidR="007323DA" w:rsidRPr="00A41BCE" w:rsidRDefault="007323DA" w:rsidP="007323DA">
      <w:pPr>
        <w:tabs>
          <w:tab w:val="left" w:pos="426"/>
        </w:tabs>
        <w:jc w:val="both"/>
        <w:rPr>
          <w:rFonts w:ascii="Arial" w:eastAsia="Calibri" w:hAnsi="Arial" w:cs="Arial"/>
          <w:noProof/>
          <w:sz w:val="20"/>
          <w:szCs w:val="20"/>
          <w:lang w:val="es-ES_tradnl"/>
        </w:rPr>
      </w:pPr>
    </w:p>
    <w:p w14:paraId="42B421CE" w14:textId="77777777" w:rsidR="007323DA" w:rsidRPr="00A41BCE" w:rsidRDefault="007323DA" w:rsidP="007323DA">
      <w:pPr>
        <w:jc w:val="both"/>
        <w:rPr>
          <w:rFonts w:ascii="Arial" w:hAnsi="Arial" w:cs="Arial"/>
          <w:b/>
          <w:sz w:val="20"/>
          <w:szCs w:val="20"/>
          <w:lang w:val="es-ES_tradnl" w:eastAsia="es-CO"/>
        </w:rPr>
      </w:pPr>
      <w:r w:rsidRPr="00A41BCE">
        <w:rPr>
          <w:rFonts w:ascii="Arial" w:hAnsi="Arial" w:cs="Arial"/>
          <w:b/>
          <w:bCs/>
          <w:sz w:val="20"/>
          <w:szCs w:val="20"/>
          <w:lang w:val="es-ES_tradnl" w:eastAsia="es-CO"/>
        </w:rPr>
        <w:t xml:space="preserve">LEY DE GARANTÍAS ELECTORALES </w:t>
      </w:r>
      <w:bookmarkStart w:id="6" w:name="_Hlk77166669"/>
      <w:r w:rsidRPr="00A41BCE">
        <w:rPr>
          <w:rFonts w:ascii="Arial" w:hAnsi="Arial" w:cs="Arial"/>
          <w:b/>
          <w:bCs/>
          <w:sz w:val="20"/>
          <w:szCs w:val="20"/>
          <w:lang w:val="es-ES_tradnl" w:eastAsia="es-CO"/>
        </w:rPr>
        <w:t>‒</w:t>
      </w:r>
      <w:bookmarkEnd w:id="6"/>
      <w:r w:rsidRPr="00A41BCE">
        <w:rPr>
          <w:rFonts w:ascii="Arial" w:hAnsi="Arial" w:cs="Arial"/>
          <w:b/>
          <w:bCs/>
          <w:sz w:val="20"/>
          <w:szCs w:val="20"/>
          <w:lang w:val="es-ES_tradnl" w:eastAsia="es-CO"/>
        </w:rPr>
        <w:t xml:space="preserve"> </w:t>
      </w:r>
      <w:r w:rsidRPr="00A41BCE">
        <w:rPr>
          <w:rFonts w:ascii="Arial" w:hAnsi="Arial" w:cs="Arial"/>
          <w:b/>
          <w:sz w:val="20"/>
          <w:szCs w:val="20"/>
          <w:lang w:val="es-ES_tradnl" w:eastAsia="es-CO"/>
        </w:rPr>
        <w:t xml:space="preserve">Prohibición del artículo 33 </w:t>
      </w:r>
      <w:r w:rsidRPr="00A41BCE">
        <w:rPr>
          <w:rFonts w:ascii="Arial" w:hAnsi="Arial" w:cs="Arial"/>
          <w:b/>
          <w:bCs/>
          <w:sz w:val="20"/>
          <w:szCs w:val="20"/>
          <w:lang w:val="es-ES_tradnl" w:eastAsia="es-CO"/>
        </w:rPr>
        <w:t>‒ Destinatarios</w:t>
      </w:r>
    </w:p>
    <w:p w14:paraId="1381B17B" w14:textId="77777777" w:rsidR="007323DA" w:rsidRPr="00A41BCE" w:rsidRDefault="007323DA" w:rsidP="007323DA">
      <w:pPr>
        <w:tabs>
          <w:tab w:val="left" w:pos="426"/>
        </w:tabs>
        <w:jc w:val="both"/>
        <w:rPr>
          <w:rFonts w:ascii="Arial" w:eastAsia="Calibri" w:hAnsi="Arial" w:cs="Arial"/>
          <w:noProof/>
          <w:sz w:val="20"/>
          <w:szCs w:val="20"/>
          <w:lang w:val="es-ES_tradnl"/>
        </w:rPr>
      </w:pPr>
    </w:p>
    <w:p w14:paraId="718286C2" w14:textId="77777777" w:rsidR="007323DA" w:rsidRPr="00A41BCE" w:rsidRDefault="007323DA" w:rsidP="007323DA">
      <w:pPr>
        <w:tabs>
          <w:tab w:val="left" w:pos="426"/>
        </w:tabs>
        <w:jc w:val="both"/>
        <w:rPr>
          <w:rFonts w:ascii="Arial" w:hAnsi="Arial" w:cs="Arial"/>
          <w:bCs/>
          <w:sz w:val="20"/>
          <w:szCs w:val="20"/>
          <w:lang w:val="es-ES_tradnl" w:eastAsia="x-none"/>
        </w:rPr>
      </w:pPr>
      <w:r w:rsidRPr="00A41BCE">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A41BCE">
        <w:rPr>
          <w:rFonts w:ascii="Arial" w:eastAsia="Calibri" w:hAnsi="Arial" w:cs="Arial"/>
          <w:sz w:val="20"/>
          <w:szCs w:val="20"/>
          <w:lang w:val="es-ES_tradnl"/>
        </w:rPr>
        <w:t xml:space="preserve"> </w:t>
      </w:r>
      <w:r w:rsidRPr="00A41BCE">
        <w:rPr>
          <w:rFonts w:ascii="Arial" w:hAnsi="Arial" w:cs="Arial"/>
          <w:bCs/>
          <w:sz w:val="20"/>
          <w:szCs w:val="20"/>
          <w:lang w:val="es-ES_tradnl" w:eastAsia="x-none"/>
        </w:rPr>
        <w:t>En efecto, tal como lo ha sostenido el Consejo de Estado, el vocablo «todos» utilizado por el legislador comprende</w:t>
      </w:r>
      <w:r w:rsidRPr="00A41BCE">
        <w:rPr>
          <w:rFonts w:ascii="Arial" w:eastAsia="Calibri" w:hAnsi="Arial" w:cs="Arial"/>
          <w:sz w:val="20"/>
          <w:szCs w:val="20"/>
          <w:lang w:val="es-ES_tradnl"/>
        </w:rPr>
        <w:t xml:space="preserve"> </w:t>
      </w:r>
      <w:r w:rsidRPr="00A41BCE">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778C0D4" w14:textId="77777777" w:rsidR="007323DA" w:rsidRPr="00A41BCE" w:rsidRDefault="007323DA" w:rsidP="007323DA">
      <w:pPr>
        <w:widowControl w:val="0"/>
        <w:autoSpaceDE w:val="0"/>
        <w:autoSpaceDN w:val="0"/>
        <w:jc w:val="both"/>
        <w:rPr>
          <w:rFonts w:ascii="Arial" w:eastAsia="Arial" w:hAnsi="Arial" w:cs="Arial"/>
          <w:color w:val="000000" w:themeColor="text1"/>
          <w:sz w:val="20"/>
          <w:szCs w:val="20"/>
          <w:lang w:val="es-ES_tradnl" w:eastAsia="es-ES" w:bidi="es-ES"/>
        </w:rPr>
      </w:pPr>
    </w:p>
    <w:p w14:paraId="2E8A64B3" w14:textId="77777777" w:rsidR="007323DA" w:rsidRPr="00A41BCE" w:rsidRDefault="007323DA" w:rsidP="007323DA">
      <w:pPr>
        <w:tabs>
          <w:tab w:val="left" w:pos="3374"/>
        </w:tabs>
        <w:jc w:val="both"/>
        <w:rPr>
          <w:rFonts w:ascii="Arial" w:eastAsia="Calibri" w:hAnsi="Arial" w:cs="Arial"/>
          <w:b/>
          <w:bCs/>
          <w:sz w:val="20"/>
          <w:szCs w:val="20"/>
        </w:rPr>
      </w:pPr>
      <w:r w:rsidRPr="00A41BCE">
        <w:rPr>
          <w:rFonts w:ascii="Arial" w:eastAsia="Calibri" w:hAnsi="Arial" w:cs="Arial"/>
          <w:b/>
          <w:color w:val="000000" w:themeColor="text1"/>
          <w:sz w:val="20"/>
          <w:szCs w:val="20"/>
        </w:rPr>
        <w:t xml:space="preserve">ORGANISMOS INTERNACIONALES – </w:t>
      </w:r>
      <w:r w:rsidRPr="00A41BCE">
        <w:rPr>
          <w:rFonts w:ascii="Arial" w:eastAsia="Calibri" w:hAnsi="Arial" w:cs="Arial"/>
          <w:b/>
          <w:bCs/>
          <w:sz w:val="20"/>
          <w:szCs w:val="20"/>
        </w:rPr>
        <w:t xml:space="preserve">Régimen de contratación </w:t>
      </w:r>
    </w:p>
    <w:p w14:paraId="0E45FF25" w14:textId="77777777" w:rsidR="007323DA" w:rsidRPr="00A41BCE" w:rsidRDefault="007323DA" w:rsidP="007323DA">
      <w:pPr>
        <w:jc w:val="both"/>
        <w:rPr>
          <w:rFonts w:ascii="Arial" w:eastAsia="Calibri" w:hAnsi="Arial" w:cs="Arial"/>
          <w:color w:val="000000" w:themeColor="text1"/>
          <w:sz w:val="20"/>
          <w:szCs w:val="20"/>
        </w:rPr>
      </w:pPr>
    </w:p>
    <w:p w14:paraId="2E59F94C" w14:textId="77777777" w:rsidR="007323DA" w:rsidRPr="00A41BCE" w:rsidRDefault="007323DA" w:rsidP="007323DA">
      <w:pPr>
        <w:jc w:val="both"/>
        <w:rPr>
          <w:rFonts w:ascii="Arial" w:hAnsi="Arial" w:cs="Arial"/>
          <w:bCs/>
          <w:sz w:val="20"/>
          <w:szCs w:val="20"/>
          <w:lang w:eastAsia="x-none"/>
        </w:rPr>
      </w:pPr>
      <w:r w:rsidRPr="00A41BCE">
        <w:rPr>
          <w:rFonts w:ascii="Arial" w:hAnsi="Arial" w:cs="Arial"/>
          <w:bCs/>
          <w:sz w:val="20"/>
          <w:szCs w:val="20"/>
          <w:lang w:val="es-ES" w:eastAsia="x-none"/>
        </w:rPr>
        <w:t xml:space="preserve">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w:t>
      </w:r>
      <w:r w:rsidRPr="00A41BCE">
        <w:rPr>
          <w:rFonts w:ascii="Arial" w:hAnsi="Arial" w:cs="Arial"/>
          <w:bCs/>
          <w:sz w:val="20"/>
          <w:szCs w:val="20"/>
          <w:lang w:val="es-ES" w:eastAsia="x-none"/>
        </w:rPr>
        <w:lastRenderedPageBreak/>
        <w:t>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Pr="00A41BCE">
        <w:rPr>
          <w:rFonts w:ascii="Arial" w:hAnsi="Arial" w:cs="Arial"/>
          <w:bCs/>
          <w:sz w:val="20"/>
          <w:szCs w:val="20"/>
          <w:lang w:val="es-ES_tradnl" w:eastAsia="x-none"/>
        </w:rPr>
        <w:t xml:space="preserve">. </w:t>
      </w:r>
    </w:p>
    <w:p w14:paraId="4CBD9DB1" w14:textId="77777777" w:rsidR="007323DA" w:rsidRPr="00A41BCE" w:rsidRDefault="007323DA" w:rsidP="007323DA">
      <w:pPr>
        <w:tabs>
          <w:tab w:val="left" w:pos="3374"/>
        </w:tabs>
        <w:jc w:val="both"/>
        <w:rPr>
          <w:rFonts w:ascii="Arial" w:eastAsia="Calibri" w:hAnsi="Arial" w:cs="Arial"/>
          <w:sz w:val="20"/>
          <w:szCs w:val="20"/>
        </w:rPr>
      </w:pPr>
    </w:p>
    <w:p w14:paraId="21577B46" w14:textId="3EF95DAF" w:rsidR="007323DA" w:rsidRPr="00A41BCE" w:rsidRDefault="007323DA" w:rsidP="007323DA">
      <w:pPr>
        <w:tabs>
          <w:tab w:val="left" w:pos="3374"/>
        </w:tabs>
        <w:jc w:val="both"/>
        <w:rPr>
          <w:rFonts w:ascii="Arial" w:eastAsia="Calibri" w:hAnsi="Arial" w:cs="Arial"/>
          <w:b/>
          <w:bCs/>
          <w:sz w:val="20"/>
          <w:szCs w:val="20"/>
        </w:rPr>
      </w:pPr>
      <w:r w:rsidRPr="00A41BCE">
        <w:rPr>
          <w:rFonts w:ascii="Arial" w:eastAsia="Calibri" w:hAnsi="Arial" w:cs="Arial"/>
          <w:b/>
          <w:bCs/>
          <w:sz w:val="20"/>
          <w:szCs w:val="20"/>
        </w:rPr>
        <w:t xml:space="preserve">ORGANISMOS INTERNACIONALES – Ley de Garantías Electorales – Restricción – Contratación Directa – Artículo 33 – Alcance – </w:t>
      </w:r>
      <w:r w:rsidR="00EF3B0F" w:rsidRPr="00A41BCE">
        <w:rPr>
          <w:rFonts w:ascii="Arial" w:eastAsia="Calibri" w:hAnsi="Arial" w:cs="Arial"/>
          <w:b/>
          <w:bCs/>
          <w:sz w:val="20"/>
          <w:szCs w:val="20"/>
        </w:rPr>
        <w:t xml:space="preserve">Unificación de Criterios </w:t>
      </w:r>
    </w:p>
    <w:p w14:paraId="3420FC74" w14:textId="77777777" w:rsidR="007323DA" w:rsidRPr="00A41BCE" w:rsidRDefault="007323DA" w:rsidP="007323DA">
      <w:pPr>
        <w:tabs>
          <w:tab w:val="left" w:pos="3374"/>
        </w:tabs>
        <w:jc w:val="both"/>
        <w:rPr>
          <w:rFonts w:ascii="Arial" w:eastAsia="Calibri" w:hAnsi="Arial" w:cs="Arial"/>
          <w:b/>
          <w:bCs/>
          <w:sz w:val="20"/>
          <w:szCs w:val="20"/>
        </w:rPr>
      </w:pPr>
    </w:p>
    <w:p w14:paraId="7081C7AD" w14:textId="77777777" w:rsidR="007323DA" w:rsidRPr="00A41BCE" w:rsidRDefault="007323DA" w:rsidP="007323DA">
      <w:pPr>
        <w:jc w:val="both"/>
        <w:rPr>
          <w:rFonts w:ascii="Arial" w:hAnsi="Arial" w:cs="Arial"/>
          <w:bCs/>
          <w:sz w:val="20"/>
          <w:szCs w:val="20"/>
          <w:lang w:val="es-ES" w:eastAsia="x-none"/>
        </w:rPr>
      </w:pPr>
      <w:r w:rsidRPr="00A41BCE">
        <w:rPr>
          <w:rFonts w:ascii="Arial" w:hAnsi="Arial" w:cs="Arial"/>
          <w:bCs/>
          <w:sz w:val="20"/>
          <w:szCs w:val="20"/>
          <w:lang w:val="es-ES" w:eastAsia="x-none"/>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 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sidRPr="00A41BCE">
        <w:rPr>
          <w:rFonts w:ascii="Arial" w:hAnsi="Arial" w:cs="Arial"/>
          <w:bCs/>
          <w:sz w:val="20"/>
          <w:szCs w:val="20"/>
          <w:lang w:eastAsia="x-none"/>
        </w:rPr>
        <w:t>.</w:t>
      </w:r>
    </w:p>
    <w:p w14:paraId="3DD63A60" w14:textId="77777777" w:rsidR="007323DA" w:rsidRPr="00481068" w:rsidRDefault="007323DA" w:rsidP="007323DA">
      <w:pPr>
        <w:jc w:val="both"/>
        <w:rPr>
          <w:rFonts w:ascii="Arial" w:hAnsi="Arial" w:cs="Arial"/>
          <w:bCs/>
          <w:sz w:val="20"/>
          <w:szCs w:val="20"/>
          <w:lang w:eastAsia="x-none"/>
        </w:rPr>
      </w:pPr>
    </w:p>
    <w:p w14:paraId="5E8A3889" w14:textId="77777777" w:rsidR="007323DA" w:rsidRPr="00481068" w:rsidRDefault="007323DA" w:rsidP="007323DA">
      <w:pPr>
        <w:jc w:val="both"/>
        <w:rPr>
          <w:rFonts w:ascii="Arial" w:hAnsi="Arial" w:cs="Arial"/>
          <w:bCs/>
          <w:sz w:val="20"/>
          <w:szCs w:val="20"/>
          <w:lang w:eastAsia="x-none"/>
        </w:rPr>
      </w:pPr>
    </w:p>
    <w:p w14:paraId="77A7BA6E" w14:textId="77777777" w:rsidR="007323DA" w:rsidRPr="00481068" w:rsidRDefault="007323DA" w:rsidP="007323DA">
      <w:pPr>
        <w:jc w:val="both"/>
        <w:rPr>
          <w:rFonts w:ascii="Arial" w:hAnsi="Arial" w:cs="Arial"/>
          <w:bCs/>
          <w:sz w:val="20"/>
          <w:szCs w:val="20"/>
          <w:lang w:eastAsia="x-none"/>
        </w:rPr>
      </w:pPr>
    </w:p>
    <w:p w14:paraId="78A805EB" w14:textId="77777777" w:rsidR="007323DA" w:rsidRPr="00481068" w:rsidRDefault="007323DA" w:rsidP="007323DA">
      <w:pPr>
        <w:tabs>
          <w:tab w:val="left" w:pos="3374"/>
        </w:tabs>
        <w:jc w:val="both"/>
        <w:rPr>
          <w:rFonts w:ascii="Arial" w:eastAsia="Calibri" w:hAnsi="Arial" w:cs="Arial"/>
          <w:sz w:val="22"/>
        </w:rPr>
      </w:pPr>
    </w:p>
    <w:p w14:paraId="60F8013B" w14:textId="77777777" w:rsidR="007323DA" w:rsidRPr="00481068" w:rsidRDefault="007323DA" w:rsidP="007323DA">
      <w:pPr>
        <w:tabs>
          <w:tab w:val="left" w:pos="3374"/>
        </w:tabs>
        <w:jc w:val="both"/>
        <w:rPr>
          <w:rFonts w:ascii="Arial" w:eastAsia="Calibri" w:hAnsi="Arial" w:cs="Arial"/>
          <w:sz w:val="22"/>
        </w:rPr>
      </w:pPr>
    </w:p>
    <w:p w14:paraId="25540DD3" w14:textId="77777777" w:rsidR="007323DA" w:rsidRPr="00481068" w:rsidRDefault="007323DA" w:rsidP="007323DA">
      <w:pPr>
        <w:tabs>
          <w:tab w:val="left" w:pos="3374"/>
        </w:tabs>
        <w:jc w:val="both"/>
        <w:rPr>
          <w:rFonts w:ascii="Arial" w:eastAsia="Calibri" w:hAnsi="Arial" w:cs="Arial"/>
          <w:sz w:val="22"/>
        </w:rPr>
      </w:pPr>
    </w:p>
    <w:p w14:paraId="24A325E1" w14:textId="77777777" w:rsidR="007323DA" w:rsidRPr="00481068" w:rsidRDefault="007323DA" w:rsidP="007323DA">
      <w:pPr>
        <w:tabs>
          <w:tab w:val="left" w:pos="3374"/>
        </w:tabs>
        <w:jc w:val="both"/>
        <w:rPr>
          <w:rFonts w:ascii="Arial" w:eastAsia="Calibri" w:hAnsi="Arial" w:cs="Arial"/>
          <w:sz w:val="22"/>
        </w:rPr>
      </w:pPr>
    </w:p>
    <w:p w14:paraId="21F0F47E" w14:textId="77777777" w:rsidR="007323DA" w:rsidRPr="00481068" w:rsidRDefault="007323DA" w:rsidP="007323DA">
      <w:pPr>
        <w:tabs>
          <w:tab w:val="left" w:pos="3374"/>
        </w:tabs>
        <w:jc w:val="both"/>
        <w:rPr>
          <w:rFonts w:ascii="Arial" w:eastAsia="Calibri" w:hAnsi="Arial" w:cs="Arial"/>
          <w:sz w:val="22"/>
        </w:rPr>
      </w:pPr>
    </w:p>
    <w:p w14:paraId="33E051C0" w14:textId="77777777" w:rsidR="007323DA" w:rsidRPr="00481068" w:rsidRDefault="007323DA" w:rsidP="007323DA">
      <w:pPr>
        <w:tabs>
          <w:tab w:val="left" w:pos="3374"/>
        </w:tabs>
        <w:jc w:val="both"/>
        <w:rPr>
          <w:rFonts w:ascii="Arial" w:eastAsia="Calibri" w:hAnsi="Arial" w:cs="Arial"/>
          <w:sz w:val="22"/>
        </w:rPr>
      </w:pPr>
    </w:p>
    <w:p w14:paraId="3FAD13A2" w14:textId="77777777" w:rsidR="007323DA" w:rsidRPr="00481068" w:rsidRDefault="007323DA" w:rsidP="007323DA">
      <w:pPr>
        <w:tabs>
          <w:tab w:val="left" w:pos="3374"/>
        </w:tabs>
        <w:jc w:val="both"/>
        <w:rPr>
          <w:rFonts w:ascii="Arial" w:eastAsia="Calibri" w:hAnsi="Arial" w:cs="Arial"/>
          <w:sz w:val="22"/>
        </w:rPr>
      </w:pPr>
    </w:p>
    <w:p w14:paraId="6DD7025E" w14:textId="77777777" w:rsidR="007323DA" w:rsidRPr="00481068" w:rsidRDefault="007323DA" w:rsidP="007323DA">
      <w:pPr>
        <w:tabs>
          <w:tab w:val="left" w:pos="3374"/>
        </w:tabs>
        <w:jc w:val="both"/>
        <w:rPr>
          <w:rFonts w:ascii="Arial" w:eastAsia="Calibri" w:hAnsi="Arial" w:cs="Arial"/>
          <w:sz w:val="22"/>
        </w:rPr>
      </w:pPr>
    </w:p>
    <w:p w14:paraId="6C82CC27" w14:textId="77777777" w:rsidR="007323DA" w:rsidRPr="00481068" w:rsidRDefault="007323DA" w:rsidP="007323DA">
      <w:pPr>
        <w:tabs>
          <w:tab w:val="left" w:pos="3374"/>
        </w:tabs>
        <w:jc w:val="both"/>
        <w:rPr>
          <w:rFonts w:ascii="Arial" w:eastAsia="Calibri" w:hAnsi="Arial" w:cs="Arial"/>
          <w:sz w:val="22"/>
        </w:rPr>
      </w:pPr>
    </w:p>
    <w:p w14:paraId="70DEE5AF" w14:textId="77777777" w:rsidR="007323DA" w:rsidRPr="00481068" w:rsidRDefault="007323DA" w:rsidP="007323DA">
      <w:pPr>
        <w:tabs>
          <w:tab w:val="left" w:pos="3374"/>
        </w:tabs>
        <w:jc w:val="both"/>
        <w:rPr>
          <w:rFonts w:ascii="Arial" w:eastAsia="Calibri" w:hAnsi="Arial" w:cs="Arial"/>
          <w:sz w:val="22"/>
        </w:rPr>
      </w:pPr>
    </w:p>
    <w:p w14:paraId="321E4B9C" w14:textId="77777777" w:rsidR="007323DA" w:rsidRPr="00481068" w:rsidRDefault="007323DA" w:rsidP="007323DA">
      <w:pPr>
        <w:tabs>
          <w:tab w:val="left" w:pos="3374"/>
        </w:tabs>
        <w:jc w:val="both"/>
        <w:rPr>
          <w:rFonts w:ascii="Arial" w:eastAsia="Calibri" w:hAnsi="Arial" w:cs="Arial"/>
          <w:sz w:val="22"/>
        </w:rPr>
      </w:pPr>
    </w:p>
    <w:p w14:paraId="4F475BD7" w14:textId="77777777" w:rsidR="007323DA" w:rsidRPr="00481068" w:rsidRDefault="007323DA" w:rsidP="007323DA">
      <w:pPr>
        <w:tabs>
          <w:tab w:val="left" w:pos="3374"/>
        </w:tabs>
        <w:jc w:val="both"/>
        <w:rPr>
          <w:rFonts w:ascii="Arial" w:eastAsia="Calibri" w:hAnsi="Arial" w:cs="Arial"/>
          <w:sz w:val="22"/>
        </w:rPr>
      </w:pPr>
    </w:p>
    <w:p w14:paraId="7F9B1B79" w14:textId="77777777" w:rsidR="007323DA" w:rsidRPr="00481068" w:rsidRDefault="007323DA" w:rsidP="007323DA">
      <w:pPr>
        <w:tabs>
          <w:tab w:val="left" w:pos="3374"/>
        </w:tabs>
        <w:jc w:val="both"/>
        <w:rPr>
          <w:rFonts w:ascii="Arial" w:eastAsia="Calibri" w:hAnsi="Arial" w:cs="Arial"/>
          <w:sz w:val="22"/>
        </w:rPr>
      </w:pPr>
    </w:p>
    <w:p w14:paraId="7C79DF06" w14:textId="77777777" w:rsidR="007323DA" w:rsidRPr="00481068" w:rsidRDefault="007323DA" w:rsidP="007323DA">
      <w:pPr>
        <w:tabs>
          <w:tab w:val="left" w:pos="3374"/>
        </w:tabs>
        <w:jc w:val="both"/>
        <w:rPr>
          <w:rFonts w:ascii="Arial" w:eastAsia="Calibri" w:hAnsi="Arial" w:cs="Arial"/>
          <w:sz w:val="22"/>
        </w:rPr>
      </w:pPr>
    </w:p>
    <w:p w14:paraId="6A6DE2F0" w14:textId="77777777" w:rsidR="007323DA" w:rsidRPr="00481068" w:rsidRDefault="007323DA" w:rsidP="007323DA">
      <w:pPr>
        <w:tabs>
          <w:tab w:val="left" w:pos="3374"/>
        </w:tabs>
        <w:jc w:val="both"/>
        <w:rPr>
          <w:rFonts w:ascii="Arial" w:eastAsia="Calibri" w:hAnsi="Arial" w:cs="Arial"/>
          <w:sz w:val="22"/>
        </w:rPr>
      </w:pPr>
    </w:p>
    <w:p w14:paraId="72023C3C" w14:textId="77777777" w:rsidR="007323DA" w:rsidRPr="00481068" w:rsidRDefault="007323DA" w:rsidP="007323DA">
      <w:pPr>
        <w:jc w:val="both"/>
        <w:rPr>
          <w:rFonts w:ascii="Arial" w:eastAsia="Calibri" w:hAnsi="Arial" w:cs="Arial"/>
          <w:noProof/>
          <w:color w:val="000000" w:themeColor="text1"/>
          <w:sz w:val="22"/>
        </w:rPr>
      </w:pPr>
    </w:p>
    <w:p w14:paraId="21B315CC" w14:textId="05F9F0C0" w:rsidR="007323DA" w:rsidRPr="004D2F8C" w:rsidRDefault="007323DA" w:rsidP="004D2F8C">
      <w:pPr>
        <w:jc w:val="right"/>
        <w:rPr>
          <w:rFonts w:ascii="Arial" w:hAnsi="Arial" w:cs="Arial"/>
          <w:sz w:val="16"/>
          <w:szCs w:val="16"/>
        </w:rPr>
      </w:pPr>
      <w:r w:rsidRPr="00895B07">
        <w:rPr>
          <w:rFonts w:ascii="Arial" w:hAnsi="Arial" w:cs="Arial"/>
          <w:sz w:val="16"/>
          <w:szCs w:val="16"/>
        </w:rPr>
        <w:t xml:space="preserve">CCE-DES-FM-17 </w:t>
      </w:r>
    </w:p>
    <w:p w14:paraId="6E57F558" w14:textId="77777777" w:rsidR="007323DA" w:rsidRPr="00481068" w:rsidRDefault="007323DA" w:rsidP="007323DA">
      <w:pPr>
        <w:rPr>
          <w:rFonts w:ascii="Arial" w:eastAsia="Calibri" w:hAnsi="Arial" w:cs="Arial"/>
          <w:sz w:val="22"/>
        </w:rPr>
      </w:pPr>
    </w:p>
    <w:bookmarkStart w:id="7" w:name="_Hlk96417464"/>
    <w:bookmarkStart w:id="8" w:name="OLE_LINK1"/>
    <w:bookmarkStart w:id="9" w:name="OLE_LINK2"/>
    <w:p w14:paraId="63CFCCAC" w14:textId="5AED34B6" w:rsidR="00726757" w:rsidRDefault="00726757" w:rsidP="00726757">
      <w:pPr>
        <w:jc w:val="right"/>
      </w:pPr>
      <w:r>
        <w:lastRenderedPageBreak/>
        <w:fldChar w:fldCharType="begin"/>
      </w:r>
      <w:r>
        <w:instrText xml:space="preserve"> INCLUDEPICTURE "/var/folders/tb/0fmk9b510f57pz5rwhv8lnpw0000gp/T/com.microsoft.Word/WebArchiveCopyPasteTempFiles/page1image3244032" \* MERGEFORMATINET </w:instrText>
      </w:r>
      <w:r>
        <w:fldChar w:fldCharType="separate"/>
      </w:r>
      <w:r>
        <w:rPr>
          <w:noProof/>
        </w:rPr>
        <w:drawing>
          <wp:inline distT="0" distB="0" distL="0" distR="0" wp14:anchorId="62E77065" wp14:editId="20F10F85">
            <wp:extent cx="2402205" cy="614045"/>
            <wp:effectExtent l="0" t="0" r="0" b="0"/>
            <wp:docPr id="2" name="Imagen 2" descr="page1image324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2440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fldChar w:fldCharType="end"/>
      </w:r>
    </w:p>
    <w:p w14:paraId="3F6C20B0" w14:textId="4E003EFE" w:rsidR="007323DA" w:rsidRPr="00481068" w:rsidRDefault="007323DA" w:rsidP="007323DA">
      <w:pPr>
        <w:jc w:val="both"/>
        <w:rPr>
          <w:rFonts w:ascii="Arial" w:eastAsia="Calibri" w:hAnsi="Arial" w:cs="Arial"/>
          <w:sz w:val="22"/>
        </w:rPr>
      </w:pPr>
      <w:r w:rsidRPr="00481068">
        <w:rPr>
          <w:rFonts w:ascii="Arial" w:eastAsia="Calibri" w:hAnsi="Arial" w:cs="Arial"/>
          <w:sz w:val="22"/>
        </w:rPr>
        <w:t>Señor</w:t>
      </w:r>
      <w:r w:rsidR="008A4DDE">
        <w:rPr>
          <w:rFonts w:ascii="Arial" w:eastAsia="Calibri" w:hAnsi="Arial" w:cs="Arial"/>
          <w:sz w:val="22"/>
        </w:rPr>
        <w:t>es</w:t>
      </w:r>
    </w:p>
    <w:p w14:paraId="322ED32F" w14:textId="7B34A520" w:rsidR="007323DA" w:rsidRPr="00481068" w:rsidRDefault="00A41BCE" w:rsidP="007323DA">
      <w:pPr>
        <w:jc w:val="both"/>
        <w:rPr>
          <w:rFonts w:ascii="Arial" w:eastAsia="Calibri" w:hAnsi="Arial" w:cs="Arial"/>
          <w:b/>
          <w:sz w:val="22"/>
        </w:rPr>
      </w:pPr>
      <w:r>
        <w:rPr>
          <w:rFonts w:ascii="Arial" w:eastAsia="Calibri" w:hAnsi="Arial" w:cs="Arial"/>
          <w:b/>
          <w:sz w:val="22"/>
        </w:rPr>
        <w:t>Defensoría</w:t>
      </w:r>
      <w:r w:rsidR="008A4DDE">
        <w:rPr>
          <w:rFonts w:ascii="Arial" w:eastAsia="Calibri" w:hAnsi="Arial" w:cs="Arial"/>
          <w:b/>
          <w:sz w:val="22"/>
        </w:rPr>
        <w:t xml:space="preserve"> del Pueblo</w:t>
      </w:r>
    </w:p>
    <w:p w14:paraId="49688458" w14:textId="535DEDD6" w:rsidR="007323DA" w:rsidRPr="00923CC1" w:rsidRDefault="00116B73" w:rsidP="007323DA">
      <w:pPr>
        <w:jc w:val="both"/>
        <w:rPr>
          <w:rFonts w:ascii="Arial" w:eastAsia="Calibri" w:hAnsi="Arial" w:cs="Arial"/>
          <w:sz w:val="22"/>
        </w:rPr>
      </w:pPr>
      <w:r>
        <w:rPr>
          <w:rFonts w:ascii="Arial" w:eastAsia="Calibri" w:hAnsi="Arial" w:cs="Arial"/>
          <w:sz w:val="22"/>
        </w:rPr>
        <w:t>Bogotá, D.C.</w:t>
      </w:r>
    </w:p>
    <w:p w14:paraId="49AA0EBE" w14:textId="77777777" w:rsidR="007323DA" w:rsidRPr="00481068" w:rsidRDefault="007323DA" w:rsidP="007323DA">
      <w:pPr>
        <w:jc w:val="both"/>
        <w:rPr>
          <w:rFonts w:ascii="Arial" w:eastAsia="Calibri" w:hAnsi="Arial" w:cs="Arial"/>
          <w:color w:val="FF0000"/>
          <w:sz w:val="22"/>
        </w:rPr>
      </w:pPr>
    </w:p>
    <w:p w14:paraId="1C0462A5" w14:textId="74E26C6A" w:rsidR="007323DA" w:rsidRPr="00481068" w:rsidRDefault="007323DA" w:rsidP="007323DA">
      <w:pPr>
        <w:jc w:val="both"/>
        <w:rPr>
          <w:rFonts w:ascii="Arial" w:eastAsia="Calibri" w:hAnsi="Arial" w:cs="Arial"/>
          <w:sz w:val="22"/>
        </w:rPr>
      </w:pPr>
      <w:r w:rsidRPr="00481068">
        <w:rPr>
          <w:rFonts w:ascii="Arial" w:eastAsia="Calibri" w:hAnsi="Arial" w:cs="Arial"/>
          <w:sz w:val="22"/>
        </w:rPr>
        <w:t xml:space="preserve">                                            </w:t>
      </w:r>
      <w:r w:rsidRPr="00481068">
        <w:rPr>
          <w:rFonts w:ascii="Arial" w:eastAsia="Calibri" w:hAnsi="Arial" w:cs="Arial"/>
          <w:b/>
          <w:sz w:val="22"/>
        </w:rPr>
        <w:t xml:space="preserve">Concepto C – </w:t>
      </w:r>
      <w:r w:rsidR="008A4DDE">
        <w:rPr>
          <w:rFonts w:ascii="Arial" w:eastAsia="Calibri" w:hAnsi="Arial" w:cs="Arial"/>
          <w:b/>
          <w:sz w:val="22"/>
        </w:rPr>
        <w:t>305</w:t>
      </w:r>
      <w:r w:rsidRPr="00481068">
        <w:rPr>
          <w:rFonts w:ascii="Arial" w:eastAsia="Calibri" w:hAnsi="Arial" w:cs="Arial"/>
          <w:b/>
          <w:sz w:val="22"/>
        </w:rPr>
        <w:t xml:space="preserve"> de 2022</w:t>
      </w:r>
      <w:r w:rsidRPr="00481068">
        <w:rPr>
          <w:rFonts w:ascii="Arial" w:eastAsia="Calibri" w:hAnsi="Arial" w:cs="Arial"/>
          <w:sz w:val="22"/>
        </w:rPr>
        <w:t xml:space="preserve"> </w:t>
      </w:r>
    </w:p>
    <w:p w14:paraId="6F4922B0" w14:textId="77777777" w:rsidR="007323DA" w:rsidRPr="00481068" w:rsidRDefault="007323DA" w:rsidP="007323DA">
      <w:pPr>
        <w:jc w:val="both"/>
        <w:rPr>
          <w:rFonts w:ascii="Arial" w:eastAsia="Calibri" w:hAnsi="Arial" w:cs="Arial"/>
          <w:b/>
          <w:sz w:val="22"/>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323DA" w:rsidRPr="00481068" w14:paraId="3324296A" w14:textId="77777777" w:rsidTr="005106B1">
        <w:trPr>
          <w:trHeight w:val="485"/>
        </w:trPr>
        <w:tc>
          <w:tcPr>
            <w:tcW w:w="2689" w:type="dxa"/>
            <w:hideMark/>
          </w:tcPr>
          <w:p w14:paraId="63C4B677" w14:textId="77777777" w:rsidR="007323DA" w:rsidRPr="00481068" w:rsidRDefault="007323DA" w:rsidP="005106B1">
            <w:pPr>
              <w:contextualSpacing/>
              <w:rPr>
                <w:rFonts w:ascii="Arial" w:eastAsia="Calibri" w:hAnsi="Arial" w:cs="Arial"/>
                <w:noProof/>
                <w:sz w:val="22"/>
                <w:lang w:val="es-ES_tradnl"/>
              </w:rPr>
            </w:pPr>
            <w:r w:rsidRPr="00481068">
              <w:rPr>
                <w:rFonts w:ascii="Arial" w:eastAsia="Calibri" w:hAnsi="Arial" w:cs="Arial"/>
                <w:b/>
                <w:noProof/>
                <w:sz w:val="22"/>
                <w:lang w:val="es-ES_tradnl"/>
              </w:rPr>
              <w:t>Temas:</w:t>
            </w:r>
            <w:r w:rsidRPr="00481068">
              <w:rPr>
                <w:rFonts w:ascii="Arial" w:eastAsia="Calibri" w:hAnsi="Arial" w:cs="Arial"/>
                <w:noProof/>
                <w:sz w:val="22"/>
                <w:lang w:val="es-ES_tradnl"/>
              </w:rPr>
              <w:t xml:space="preserve">        </w:t>
            </w:r>
          </w:p>
        </w:tc>
        <w:tc>
          <w:tcPr>
            <w:tcW w:w="6237" w:type="dxa"/>
            <w:hideMark/>
          </w:tcPr>
          <w:p w14:paraId="621EC23D" w14:textId="2DAFA454" w:rsidR="007323DA" w:rsidRPr="00481068" w:rsidRDefault="007323DA" w:rsidP="005106B1">
            <w:pPr>
              <w:spacing w:after="120"/>
              <w:contextualSpacing/>
              <w:jc w:val="both"/>
              <w:rPr>
                <w:rFonts w:ascii="Arial" w:eastAsia="Calibri" w:hAnsi="Arial" w:cs="Arial"/>
                <w:b/>
                <w:sz w:val="12"/>
                <w:szCs w:val="12"/>
              </w:rPr>
            </w:pPr>
            <w:r w:rsidRPr="00481068">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w:t>
            </w:r>
            <w:r w:rsidRPr="00481068">
              <w:rPr>
                <w:rFonts w:ascii="Arial" w:eastAsia="Calibri" w:hAnsi="Arial" w:cs="Arial"/>
                <w:bCs/>
                <w:sz w:val="22"/>
                <w:lang w:val="es-ES_tradnl"/>
              </w:rPr>
              <w:t xml:space="preserve">LEY DE GARANTÍAS ELECTORALES ─ Prohibición artículo 33 ‒ Contratación directa ‒ Alcance / </w:t>
            </w:r>
            <w:r w:rsidRPr="00481068">
              <w:rPr>
                <w:rFonts w:ascii="Arial" w:hAnsi="Arial" w:cs="Arial"/>
                <w:bCs/>
                <w:sz w:val="22"/>
                <w:lang w:val="es-ES_tradnl" w:eastAsia="es-CO"/>
              </w:rPr>
              <w:t>LEY DE GARANTÍAS ELECTORALES ‒ Excepciones</w:t>
            </w:r>
            <w:r w:rsidRPr="00481068">
              <w:rPr>
                <w:rFonts w:ascii="Arial" w:hAnsi="Arial" w:cs="Arial"/>
                <w:sz w:val="22"/>
                <w:lang w:val="es-ES_tradnl" w:eastAsia="es-CO"/>
              </w:rPr>
              <w:t xml:space="preserve"> / </w:t>
            </w:r>
            <w:r w:rsidRPr="00481068">
              <w:rPr>
                <w:rFonts w:ascii="Arial" w:hAnsi="Arial" w:cs="Arial"/>
                <w:bCs/>
                <w:sz w:val="22"/>
                <w:lang w:val="es-ES_tradnl" w:eastAsia="es-CO"/>
              </w:rPr>
              <w:t xml:space="preserve">LEY DE GARANTÍAS ELECTORALES ‒ </w:t>
            </w:r>
            <w:r w:rsidRPr="00481068">
              <w:rPr>
                <w:rFonts w:ascii="Arial" w:hAnsi="Arial" w:cs="Arial"/>
                <w:sz w:val="22"/>
                <w:lang w:val="es-ES_tradnl" w:eastAsia="es-CO"/>
              </w:rPr>
              <w:t xml:space="preserve">Prohibición del artículo 33 </w:t>
            </w:r>
            <w:r w:rsidRPr="00481068">
              <w:rPr>
                <w:rFonts w:ascii="Arial" w:hAnsi="Arial" w:cs="Arial"/>
                <w:bCs/>
                <w:sz w:val="22"/>
                <w:lang w:val="es-ES_tradnl" w:eastAsia="es-CO"/>
              </w:rPr>
              <w:t>‒ Destinatarios / ORGANISMOS INTERNACIONALES – Régimen de contratación / ORGANISMOS INTERNACIONALES – Ley de garantías electorales – Restricción – Contratación Directa – Artículo 33 – Alcance – Unificación de criterios</w:t>
            </w:r>
          </w:p>
          <w:p w14:paraId="510E7826" w14:textId="77777777" w:rsidR="007323DA" w:rsidRPr="00481068" w:rsidRDefault="007323DA" w:rsidP="005106B1">
            <w:pPr>
              <w:spacing w:after="120"/>
              <w:rPr>
                <w:rFonts w:ascii="Arial" w:eastAsia="Calibri" w:hAnsi="Arial" w:cs="Arial"/>
                <w:bCs/>
                <w:sz w:val="22"/>
              </w:rPr>
            </w:pPr>
          </w:p>
        </w:tc>
      </w:tr>
      <w:tr w:rsidR="007323DA" w:rsidRPr="00481068" w14:paraId="2CADF570" w14:textId="77777777" w:rsidTr="005106B1">
        <w:trPr>
          <w:trHeight w:val="231"/>
        </w:trPr>
        <w:tc>
          <w:tcPr>
            <w:tcW w:w="2689" w:type="dxa"/>
          </w:tcPr>
          <w:p w14:paraId="0D5598A9" w14:textId="77777777" w:rsidR="007323DA" w:rsidRPr="00481068" w:rsidRDefault="007323DA" w:rsidP="005106B1">
            <w:pPr>
              <w:contextualSpacing/>
              <w:rPr>
                <w:rFonts w:ascii="Arial" w:eastAsia="Calibri" w:hAnsi="Arial" w:cs="Arial"/>
                <w:b/>
                <w:noProof/>
                <w:sz w:val="22"/>
                <w:lang w:val="es-ES_tradnl"/>
              </w:rPr>
            </w:pPr>
            <w:r w:rsidRPr="00481068">
              <w:rPr>
                <w:rFonts w:ascii="Arial" w:eastAsia="Calibri" w:hAnsi="Arial" w:cs="Arial"/>
                <w:b/>
                <w:noProof/>
                <w:sz w:val="22"/>
                <w:lang w:val="es-ES_tradnl"/>
              </w:rPr>
              <w:t>Radicación:</w:t>
            </w:r>
            <w:r w:rsidRPr="00481068">
              <w:rPr>
                <w:rFonts w:ascii="Arial" w:eastAsia="Calibri" w:hAnsi="Arial" w:cs="Arial"/>
                <w:noProof/>
                <w:sz w:val="22"/>
                <w:lang w:val="es-ES_tradnl"/>
              </w:rPr>
              <w:t xml:space="preserve">                              </w:t>
            </w:r>
          </w:p>
        </w:tc>
        <w:tc>
          <w:tcPr>
            <w:tcW w:w="6237" w:type="dxa"/>
          </w:tcPr>
          <w:p w14:paraId="27CE3402" w14:textId="4B403A1E" w:rsidR="007323DA" w:rsidRPr="00481068" w:rsidRDefault="007323DA" w:rsidP="005106B1">
            <w:pPr>
              <w:jc w:val="both"/>
              <w:rPr>
                <w:rFonts w:ascii="Arial" w:eastAsia="Calibri" w:hAnsi="Arial" w:cs="Arial"/>
                <w:noProof/>
                <w:sz w:val="22"/>
                <w:lang w:val="es-ES_tradnl"/>
              </w:rPr>
            </w:pPr>
            <w:r w:rsidRPr="00481068">
              <w:rPr>
                <w:rFonts w:ascii="Arial" w:eastAsia="Calibri" w:hAnsi="Arial" w:cs="Arial"/>
                <w:noProof/>
                <w:sz w:val="22"/>
                <w:lang w:val="es-ES_tradnl"/>
              </w:rPr>
              <w:t xml:space="preserve">Respuesta a la consulta </w:t>
            </w:r>
            <w:r w:rsidR="008A4DDE" w:rsidRPr="008A4DDE">
              <w:rPr>
                <w:rFonts w:ascii="Arial" w:eastAsia="Calibri" w:hAnsi="Arial" w:cs="Arial"/>
                <w:noProof/>
                <w:sz w:val="22"/>
                <w:lang w:val="es-ES_tradnl"/>
              </w:rPr>
              <w:t>P20220331003248</w:t>
            </w:r>
          </w:p>
        </w:tc>
      </w:tr>
    </w:tbl>
    <w:p w14:paraId="28AD92D2" w14:textId="77777777" w:rsidR="007323DA" w:rsidRPr="00481068" w:rsidRDefault="007323DA" w:rsidP="007323DA">
      <w:pPr>
        <w:jc w:val="both"/>
        <w:rPr>
          <w:rFonts w:ascii="Arial" w:eastAsia="Calibri" w:hAnsi="Arial" w:cs="Arial"/>
          <w:sz w:val="22"/>
        </w:rPr>
      </w:pPr>
    </w:p>
    <w:p w14:paraId="25E6408E" w14:textId="77777777" w:rsidR="007323DA" w:rsidRPr="00481068" w:rsidRDefault="007323DA" w:rsidP="007323DA">
      <w:pPr>
        <w:jc w:val="both"/>
        <w:rPr>
          <w:rFonts w:ascii="Arial" w:eastAsia="Calibri" w:hAnsi="Arial" w:cs="Arial"/>
          <w:sz w:val="22"/>
        </w:rPr>
      </w:pPr>
    </w:p>
    <w:p w14:paraId="0D475F41" w14:textId="64494E84" w:rsidR="007323DA" w:rsidRPr="00481068" w:rsidRDefault="007323DA" w:rsidP="007323DA">
      <w:pPr>
        <w:spacing w:line="276" w:lineRule="auto"/>
        <w:jc w:val="both"/>
        <w:rPr>
          <w:rFonts w:ascii="Arial" w:eastAsia="Calibri" w:hAnsi="Arial" w:cs="Arial"/>
          <w:sz w:val="22"/>
        </w:rPr>
      </w:pPr>
      <w:r w:rsidRPr="00481068">
        <w:rPr>
          <w:rFonts w:ascii="Arial" w:eastAsia="Calibri" w:hAnsi="Arial" w:cs="Arial"/>
          <w:sz w:val="22"/>
        </w:rPr>
        <w:t>Estimad</w:t>
      </w:r>
      <w:r w:rsidR="008A4DDE">
        <w:rPr>
          <w:rFonts w:ascii="Arial" w:eastAsia="Calibri" w:hAnsi="Arial" w:cs="Arial"/>
          <w:sz w:val="22"/>
        </w:rPr>
        <w:t>os</w:t>
      </w:r>
      <w:r>
        <w:rPr>
          <w:rFonts w:ascii="Arial" w:eastAsia="Calibri" w:hAnsi="Arial" w:cs="Arial"/>
          <w:sz w:val="22"/>
        </w:rPr>
        <w:t xml:space="preserve"> </w:t>
      </w:r>
      <w:r w:rsidR="008A4DDE">
        <w:rPr>
          <w:rFonts w:ascii="Arial" w:eastAsia="Calibri" w:hAnsi="Arial" w:cs="Arial"/>
          <w:sz w:val="22"/>
        </w:rPr>
        <w:t xml:space="preserve">Señores: </w:t>
      </w:r>
      <w:r>
        <w:rPr>
          <w:rFonts w:ascii="Arial" w:eastAsia="Calibri" w:hAnsi="Arial" w:cs="Arial"/>
          <w:sz w:val="22"/>
        </w:rPr>
        <w:t xml:space="preserve"> </w:t>
      </w:r>
    </w:p>
    <w:p w14:paraId="061E0806" w14:textId="77777777" w:rsidR="007323DA" w:rsidRPr="00481068" w:rsidRDefault="007323DA" w:rsidP="007323DA">
      <w:pPr>
        <w:spacing w:line="276" w:lineRule="auto"/>
        <w:ind w:firstLine="709"/>
        <w:jc w:val="both"/>
        <w:rPr>
          <w:rFonts w:ascii="Arial" w:eastAsia="Calibri" w:hAnsi="Arial" w:cs="Arial"/>
          <w:sz w:val="22"/>
        </w:rPr>
      </w:pPr>
    </w:p>
    <w:p w14:paraId="492685A0" w14:textId="5DD9A4E4" w:rsidR="007323DA" w:rsidRPr="00481068" w:rsidRDefault="007323DA" w:rsidP="007323DA">
      <w:pPr>
        <w:spacing w:line="276" w:lineRule="auto"/>
        <w:ind w:right="51"/>
        <w:jc w:val="both"/>
        <w:rPr>
          <w:rFonts w:ascii="Arial" w:eastAsia="Calibri" w:hAnsi="Arial" w:cs="Arial"/>
          <w:sz w:val="22"/>
        </w:rPr>
      </w:pPr>
      <w:r w:rsidRPr="00481068">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D94E34">
        <w:rPr>
          <w:rFonts w:ascii="Arial" w:eastAsia="Calibri" w:hAnsi="Arial" w:cs="Arial"/>
          <w:sz w:val="22"/>
        </w:rPr>
        <w:t>30</w:t>
      </w:r>
      <w:r w:rsidR="00D94E34" w:rsidRPr="00481068">
        <w:rPr>
          <w:rFonts w:ascii="Arial" w:eastAsia="Calibri" w:hAnsi="Arial" w:cs="Arial"/>
          <w:sz w:val="22"/>
        </w:rPr>
        <w:t xml:space="preserve"> </w:t>
      </w:r>
      <w:r w:rsidRPr="00481068">
        <w:rPr>
          <w:rFonts w:ascii="Arial" w:eastAsia="Calibri" w:hAnsi="Arial" w:cs="Arial"/>
          <w:sz w:val="22"/>
        </w:rPr>
        <w:t xml:space="preserve">de marzo de 2022. </w:t>
      </w:r>
    </w:p>
    <w:p w14:paraId="65E134D9" w14:textId="77777777" w:rsidR="007323DA" w:rsidRPr="00481068" w:rsidRDefault="007323DA" w:rsidP="007323DA">
      <w:pPr>
        <w:spacing w:line="276" w:lineRule="auto"/>
        <w:jc w:val="both"/>
        <w:rPr>
          <w:rFonts w:ascii="Arial" w:eastAsia="Calibri" w:hAnsi="Arial" w:cs="Arial"/>
          <w:sz w:val="22"/>
        </w:rPr>
      </w:pPr>
    </w:p>
    <w:p w14:paraId="0BBA52EC" w14:textId="7C279D40" w:rsidR="00F3404F" w:rsidRDefault="007323DA" w:rsidP="00F3404F">
      <w:pPr>
        <w:pStyle w:val="Prrafodelista"/>
        <w:numPr>
          <w:ilvl w:val="0"/>
          <w:numId w:val="35"/>
        </w:numPr>
        <w:tabs>
          <w:tab w:val="left" w:pos="284"/>
        </w:tabs>
        <w:spacing w:line="276" w:lineRule="auto"/>
        <w:jc w:val="both"/>
        <w:rPr>
          <w:rFonts w:ascii="Arial" w:eastAsia="Calibri" w:hAnsi="Arial" w:cs="Arial"/>
          <w:b/>
          <w:sz w:val="22"/>
        </w:rPr>
      </w:pPr>
      <w:r w:rsidRPr="00F3404F">
        <w:rPr>
          <w:rFonts w:ascii="Arial" w:eastAsia="Calibri" w:hAnsi="Arial" w:cs="Arial"/>
          <w:b/>
          <w:sz w:val="22"/>
        </w:rPr>
        <w:t xml:space="preserve">Problema planteado </w:t>
      </w:r>
      <w:bookmarkStart w:id="10" w:name="_Hlk58917991"/>
      <w:bookmarkStart w:id="11" w:name="_Hlk56103000"/>
    </w:p>
    <w:p w14:paraId="16C88B53" w14:textId="77777777" w:rsidR="00F3404F" w:rsidRPr="00F3404F" w:rsidRDefault="00F3404F" w:rsidP="00F3404F">
      <w:pPr>
        <w:pStyle w:val="Prrafodelista"/>
        <w:tabs>
          <w:tab w:val="left" w:pos="284"/>
        </w:tabs>
        <w:spacing w:line="276" w:lineRule="auto"/>
        <w:jc w:val="both"/>
        <w:rPr>
          <w:rFonts w:ascii="Arial" w:eastAsia="Calibri" w:hAnsi="Arial" w:cs="Arial"/>
          <w:b/>
          <w:sz w:val="22"/>
        </w:rPr>
      </w:pPr>
    </w:p>
    <w:p w14:paraId="7F3B5768" w14:textId="593BB192" w:rsidR="007323DA" w:rsidRDefault="007323DA" w:rsidP="00F3404F">
      <w:pPr>
        <w:tabs>
          <w:tab w:val="left" w:pos="284"/>
        </w:tabs>
        <w:spacing w:line="276" w:lineRule="auto"/>
        <w:jc w:val="both"/>
        <w:rPr>
          <w:rFonts w:ascii="Arial" w:hAnsi="Arial" w:cs="Arial"/>
          <w:color w:val="000000"/>
          <w:sz w:val="22"/>
          <w:lang w:val="es-ES_tradnl"/>
        </w:rPr>
      </w:pPr>
      <w:r w:rsidRPr="00F3404F">
        <w:rPr>
          <w:rFonts w:ascii="Arial" w:hAnsi="Arial" w:cs="Arial"/>
          <w:color w:val="000000"/>
          <w:sz w:val="22"/>
          <w:lang w:val="es-ES_tradnl"/>
        </w:rPr>
        <w:t>Respe</w:t>
      </w:r>
      <w:r w:rsidR="00F3404F" w:rsidRPr="00F3404F">
        <w:rPr>
          <w:rFonts w:ascii="Arial" w:hAnsi="Arial" w:cs="Arial"/>
          <w:color w:val="000000"/>
          <w:sz w:val="22"/>
          <w:lang w:val="es-ES_tradnl"/>
        </w:rPr>
        <w:t>c</w:t>
      </w:r>
      <w:r w:rsidRPr="00F3404F">
        <w:rPr>
          <w:rFonts w:ascii="Arial" w:hAnsi="Arial" w:cs="Arial"/>
          <w:color w:val="000000"/>
          <w:sz w:val="22"/>
          <w:lang w:val="es-ES_tradnl"/>
        </w:rPr>
        <w:t xml:space="preserve">to a la prohibición del artículo 33 de la Ley de Garantías Electorales, usted realiza las siguientes preguntas: </w:t>
      </w:r>
      <w:bookmarkStart w:id="12" w:name="_Hlk98832248"/>
      <w:bookmarkStart w:id="13" w:name="_Hlk94514883"/>
    </w:p>
    <w:p w14:paraId="621803C1" w14:textId="77777777" w:rsidR="00D94E34" w:rsidRPr="00F3404F" w:rsidRDefault="00D94E34" w:rsidP="00F3404F">
      <w:pPr>
        <w:tabs>
          <w:tab w:val="left" w:pos="284"/>
        </w:tabs>
        <w:spacing w:line="276" w:lineRule="auto"/>
        <w:jc w:val="both"/>
        <w:rPr>
          <w:rFonts w:ascii="Arial" w:eastAsia="Calibri" w:hAnsi="Arial" w:cs="Arial"/>
          <w:b/>
          <w:sz w:val="22"/>
        </w:rPr>
      </w:pPr>
    </w:p>
    <w:bookmarkEnd w:id="10"/>
    <w:bookmarkEnd w:id="11"/>
    <w:bookmarkEnd w:id="12"/>
    <w:bookmarkEnd w:id="13"/>
    <w:p w14:paraId="4DB32B96" w14:textId="5D90CF8A" w:rsidR="00F3404F" w:rsidRPr="00F3404F" w:rsidRDefault="00F3404F" w:rsidP="00923CC1">
      <w:pPr>
        <w:pStyle w:val="NormalWeb"/>
        <w:spacing w:before="0" w:beforeAutospacing="0"/>
        <w:ind w:left="709" w:right="709"/>
        <w:jc w:val="both"/>
        <w:rPr>
          <w:rFonts w:ascii="Arial" w:hAnsi="Arial" w:cs="Arial"/>
          <w:sz w:val="21"/>
          <w:szCs w:val="21"/>
        </w:rPr>
      </w:pPr>
      <w:r w:rsidRPr="00F3404F">
        <w:rPr>
          <w:rFonts w:ascii="Arial" w:hAnsi="Arial" w:cs="Arial"/>
          <w:sz w:val="21"/>
          <w:szCs w:val="21"/>
        </w:rPr>
        <w:t>«¿Es viable jurídicamente por parte de la Defensoría del Pueblo de Colombia, suscribir acuerdos o convenios con organismos o agencias de cooperación internacional, siendo los recursos involucrados en la ejecución de los mismos totalmente financiados o erogados con cargo al cooperante internacional?</w:t>
      </w:r>
    </w:p>
    <w:p w14:paraId="6D9BF7C0" w14:textId="32096C4B" w:rsidR="00F3404F" w:rsidRPr="00F3404F" w:rsidRDefault="00F3404F" w:rsidP="00923CC1">
      <w:pPr>
        <w:pStyle w:val="NormalWeb"/>
        <w:spacing w:after="0" w:afterAutospacing="0"/>
        <w:ind w:left="709" w:right="709"/>
        <w:jc w:val="both"/>
        <w:rPr>
          <w:rFonts w:ascii="Arial" w:hAnsi="Arial" w:cs="Arial"/>
          <w:sz w:val="21"/>
          <w:szCs w:val="21"/>
        </w:rPr>
      </w:pPr>
      <w:r w:rsidRPr="00F3404F">
        <w:rPr>
          <w:rFonts w:ascii="Arial" w:hAnsi="Arial" w:cs="Arial"/>
          <w:sz w:val="21"/>
          <w:szCs w:val="21"/>
        </w:rPr>
        <w:t xml:space="preserve">¿Está la suscripción de acuerdos y/o convenios de cooperación internacional enmarcada dentro de las prohibiciones consagradas en el artículo 33 de la citada norma, o al no estar definidas dentro de los artículos 20 de la Ley 1150 y 157 del </w:t>
      </w:r>
      <w:r w:rsidRPr="00F3404F">
        <w:rPr>
          <w:rFonts w:ascii="Arial" w:hAnsi="Arial" w:cs="Arial"/>
          <w:sz w:val="21"/>
          <w:szCs w:val="21"/>
        </w:rPr>
        <w:lastRenderedPageBreak/>
        <w:t>Decreto 1082 del 2015 #2.2.1.2.4.4.1, se encuentran excluidos y por lo tanto su suscripción es pertinente jurídicamente?</w:t>
      </w:r>
      <w:r w:rsidRPr="00F3404F">
        <w:rPr>
          <w:rFonts w:ascii="Arial" w:hAnsi="Arial" w:cs="Arial"/>
          <w:sz w:val="21"/>
          <w:szCs w:val="21"/>
          <w:lang w:val="es-ES"/>
        </w:rPr>
        <w:t>».</w:t>
      </w:r>
    </w:p>
    <w:p w14:paraId="51920C41" w14:textId="77777777" w:rsidR="007323DA" w:rsidRPr="00481068" w:rsidRDefault="007323DA" w:rsidP="007323DA">
      <w:pPr>
        <w:tabs>
          <w:tab w:val="left" w:pos="284"/>
        </w:tabs>
        <w:spacing w:line="276" w:lineRule="auto"/>
        <w:jc w:val="both"/>
        <w:rPr>
          <w:rFonts w:ascii="Arial" w:eastAsia="Calibri" w:hAnsi="Arial" w:cs="Arial"/>
          <w:b/>
          <w:sz w:val="22"/>
        </w:rPr>
      </w:pPr>
      <w:r w:rsidRPr="00481068">
        <w:rPr>
          <w:rFonts w:ascii="Arial" w:eastAsia="Calibri" w:hAnsi="Arial" w:cs="Arial"/>
          <w:b/>
          <w:sz w:val="22"/>
        </w:rPr>
        <w:t>2. Consideraciones</w:t>
      </w:r>
    </w:p>
    <w:p w14:paraId="6AED091B" w14:textId="77777777" w:rsidR="007323DA" w:rsidRPr="00481068" w:rsidRDefault="007323DA" w:rsidP="007323DA">
      <w:pPr>
        <w:tabs>
          <w:tab w:val="left" w:pos="426"/>
        </w:tabs>
        <w:spacing w:line="276" w:lineRule="auto"/>
        <w:ind w:firstLine="709"/>
        <w:jc w:val="both"/>
        <w:rPr>
          <w:rFonts w:ascii="Arial" w:eastAsia="Calibri" w:hAnsi="Arial" w:cs="Arial"/>
          <w:bCs/>
          <w:sz w:val="22"/>
        </w:rPr>
      </w:pPr>
    </w:p>
    <w:p w14:paraId="22834C71" w14:textId="77777777" w:rsidR="007323DA" w:rsidRPr="00481068" w:rsidRDefault="007323DA" w:rsidP="007323DA">
      <w:pPr>
        <w:spacing w:line="276" w:lineRule="auto"/>
        <w:jc w:val="both"/>
        <w:rPr>
          <w:rFonts w:ascii="Arial" w:eastAsia="Calibri" w:hAnsi="Arial" w:cs="Arial"/>
          <w:color w:val="000000"/>
          <w:sz w:val="22"/>
        </w:rPr>
      </w:pPr>
      <w:r w:rsidRPr="00481068">
        <w:rPr>
          <w:rFonts w:ascii="Arial" w:eastAsia="Calibri" w:hAnsi="Arial" w:cs="Arial"/>
          <w:color w:val="000000"/>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481068">
        <w:rPr>
          <w:rFonts w:ascii="Arial" w:eastAsia="Calibri" w:hAnsi="Arial" w:cs="Arial"/>
          <w:color w:val="000000"/>
          <w:sz w:val="22"/>
          <w:vertAlign w:val="superscript"/>
        </w:rPr>
        <w:footnoteReference w:id="2"/>
      </w:r>
      <w:r w:rsidRPr="00481068">
        <w:rPr>
          <w:rFonts w:ascii="Arial" w:eastAsia="Calibri" w:hAnsi="Arial" w:cs="Arial"/>
          <w:color w:val="000000"/>
          <w:sz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221859CD" w14:textId="77777777" w:rsidR="007323DA" w:rsidRPr="00481068" w:rsidRDefault="007323DA" w:rsidP="007323DA">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1B39E3A5" w14:textId="77777777" w:rsidR="007323DA" w:rsidRPr="00481068" w:rsidRDefault="007323DA" w:rsidP="007323DA">
      <w:pPr>
        <w:spacing w:before="120" w:line="276" w:lineRule="auto"/>
        <w:ind w:firstLine="708"/>
        <w:jc w:val="both"/>
        <w:rPr>
          <w:rFonts w:ascii="Arial" w:eastAsia="Calibri" w:hAnsi="Arial" w:cs="Arial"/>
          <w:color w:val="000000"/>
          <w:sz w:val="22"/>
        </w:rPr>
      </w:pPr>
      <w:r w:rsidRPr="00481068">
        <w:rPr>
          <w:rFonts w:ascii="Arial" w:eastAsia="Calibri" w:hAnsi="Arial" w:cs="Arial"/>
          <w:bCs/>
          <w:color w:val="000000"/>
          <w:sz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16DEE013" w14:textId="77777777" w:rsidR="007323DA" w:rsidRPr="00481068" w:rsidRDefault="007323DA" w:rsidP="007323DA">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lastRenderedPageBreak/>
        <w:t xml:space="preserve">Sin perjuicio de lo anterior, </w:t>
      </w:r>
      <w:r w:rsidRPr="00481068">
        <w:rPr>
          <w:rFonts w:ascii="Arial" w:eastAsia="Calibri" w:hAnsi="Arial" w:cs="Arial"/>
          <w:color w:val="000000"/>
          <w:sz w:val="22"/>
          <w:lang w:val="es-ES"/>
        </w:rPr>
        <w:t xml:space="preserve">la Agencia –dentro de los límites de sus atribuciones, esto es, </w:t>
      </w:r>
      <w:bookmarkStart w:id="14" w:name="_Hlk61025408"/>
      <w:r w:rsidRPr="00481068">
        <w:rPr>
          <w:rFonts w:ascii="Arial" w:eastAsia="Calibri" w:hAnsi="Arial" w:cs="Arial"/>
          <w:color w:val="000000"/>
          <w:sz w:val="22"/>
          <w:lang w:val="es-ES"/>
        </w:rPr>
        <w:t>haciendo abstracción del caso particular expuesto por el peticionario</w:t>
      </w:r>
      <w:bookmarkEnd w:id="14"/>
      <w:r w:rsidRPr="00481068">
        <w:rPr>
          <w:rFonts w:ascii="Arial" w:eastAsia="Calibri" w:hAnsi="Arial" w:cs="Arial"/>
          <w:color w:val="000000"/>
          <w:sz w:val="22"/>
          <w:lang w:val="es-ES"/>
        </w:rPr>
        <w:t xml:space="preserve">– resolverá la consulta conforme a las normas generales en materia de contratación estatal. </w:t>
      </w:r>
      <w:r w:rsidRPr="00481068">
        <w:rPr>
          <w:rFonts w:ascii="Arial" w:eastAsia="Calibri" w:hAnsi="Arial" w:cs="Arial"/>
          <w:color w:val="000000" w:themeColor="text1"/>
          <w:sz w:val="22"/>
          <w:lang w:val="es-ES"/>
        </w:rPr>
        <w:t>Con este objetivo se analizarán los siguientes temas</w:t>
      </w:r>
      <w:r w:rsidRPr="00481068">
        <w:rPr>
          <w:rFonts w:ascii="Arial" w:eastAsia="Calibri" w:hAnsi="Arial" w:cs="Arial"/>
          <w:color w:val="000000"/>
          <w:sz w:val="22"/>
        </w:rPr>
        <w:t xml:space="preserve">: </w:t>
      </w:r>
      <w:r w:rsidRPr="00481068">
        <w:rPr>
          <w:rFonts w:ascii="Arial" w:eastAsia="Calibri" w:hAnsi="Arial" w:cs="Arial"/>
          <w:color w:val="000000"/>
          <w:sz w:val="22"/>
          <w:lang w:val="es-ES_tradnl"/>
        </w:rPr>
        <w:t xml:space="preserve">i) alcance de las restricciones establecidas en la Ley 996 de 2005 –más conocida como «Ley de Garantías Electorales»–, </w:t>
      </w:r>
      <w:proofErr w:type="spellStart"/>
      <w:r w:rsidRPr="00481068">
        <w:rPr>
          <w:rFonts w:ascii="Arial" w:eastAsia="Calibri" w:hAnsi="Arial" w:cs="Arial"/>
          <w:color w:val="000000"/>
          <w:sz w:val="22"/>
          <w:lang w:val="es-ES_tradnl"/>
        </w:rPr>
        <w:t>ii</w:t>
      </w:r>
      <w:proofErr w:type="spellEnd"/>
      <w:r w:rsidRPr="00481068">
        <w:rPr>
          <w:rFonts w:ascii="Arial" w:eastAsia="Calibri" w:hAnsi="Arial" w:cs="Arial"/>
          <w:color w:val="000000"/>
          <w:sz w:val="22"/>
          <w:lang w:val="es-ES_tradnl"/>
        </w:rPr>
        <w:t xml:space="preserve">) restricciones especiales aplicables de cara a las elecciones presidenciales, </w:t>
      </w:r>
      <w:proofErr w:type="spellStart"/>
      <w:r w:rsidRPr="00481068">
        <w:rPr>
          <w:rFonts w:ascii="Arial" w:eastAsia="Calibri" w:hAnsi="Arial" w:cs="Arial"/>
          <w:color w:val="000000"/>
          <w:sz w:val="22"/>
          <w:lang w:val="es-ES_tradnl"/>
        </w:rPr>
        <w:t>iii</w:t>
      </w:r>
      <w:proofErr w:type="spellEnd"/>
      <w:r w:rsidRPr="00481068">
        <w:rPr>
          <w:rFonts w:ascii="Arial" w:eastAsia="Calibri" w:hAnsi="Arial" w:cs="Arial"/>
          <w:color w:val="000000"/>
          <w:sz w:val="22"/>
          <w:lang w:val="es-ES_tradnl"/>
        </w:rPr>
        <w:t>) aplicación de la Ley de Garantías Electorales a la contratación directa sometida a los reglamentos de los organismos de cooperación, asistencia o ayuda internacional</w:t>
      </w:r>
      <w:r w:rsidRPr="00481068">
        <w:rPr>
          <w:rFonts w:ascii="Arial" w:eastAsia="Calibri" w:hAnsi="Arial" w:cs="Arial"/>
          <w:color w:val="000000"/>
          <w:sz w:val="22"/>
        </w:rPr>
        <w:t>.</w:t>
      </w:r>
    </w:p>
    <w:p w14:paraId="7F46F60A" w14:textId="77777777" w:rsidR="007323DA" w:rsidRPr="00481068" w:rsidRDefault="007323DA" w:rsidP="007323DA">
      <w:pPr>
        <w:tabs>
          <w:tab w:val="left" w:pos="426"/>
        </w:tabs>
        <w:spacing w:before="120" w:line="276" w:lineRule="auto"/>
        <w:ind w:firstLine="709"/>
        <w:jc w:val="both"/>
        <w:rPr>
          <w:rFonts w:ascii="Arial" w:hAnsi="Arial" w:cs="Arial"/>
          <w:sz w:val="22"/>
        </w:rPr>
      </w:pPr>
      <w:r w:rsidRPr="00481068">
        <w:rPr>
          <w:rFonts w:ascii="Arial" w:eastAsia="Calibri" w:hAnsi="Arial" w:cs="Arial"/>
          <w:color w:val="000000"/>
          <w:sz w:val="22"/>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 y C-077 del 17 de marzo de 2022, entre otros. </w:t>
      </w:r>
    </w:p>
    <w:p w14:paraId="6059E63A" w14:textId="77777777" w:rsidR="007323DA" w:rsidRPr="00481068" w:rsidRDefault="007323DA" w:rsidP="007323DA">
      <w:pPr>
        <w:tabs>
          <w:tab w:val="left" w:pos="426"/>
        </w:tabs>
        <w:spacing w:before="120" w:line="276" w:lineRule="auto"/>
        <w:ind w:firstLine="709"/>
        <w:jc w:val="both"/>
        <w:rPr>
          <w:rFonts w:ascii="Arial" w:eastAsia="Calibri" w:hAnsi="Arial" w:cs="Arial"/>
          <w:sz w:val="22"/>
          <w:lang w:val="es-ES"/>
        </w:rPr>
      </w:pPr>
      <w:r w:rsidRPr="00481068">
        <w:rPr>
          <w:rFonts w:ascii="Arial" w:hAnsi="Arial" w:cs="Arial"/>
          <w:sz w:val="22"/>
        </w:rPr>
        <w:t xml:space="preserve">Los conceptos mencionados en el párrafo precedente fueron complementados, en lo pertinente, por el Concepto CU-180 del 8 de abril de 2022, en el que se efectuaron algunas precisiones sobre los Conceptos </w:t>
      </w:r>
      <w:r w:rsidRPr="00481068">
        <w:rPr>
          <w:rFonts w:ascii="Arial" w:hAnsi="Arial" w:cs="Arial"/>
          <w:bCs/>
          <w:sz w:val="22"/>
        </w:rPr>
        <w:t>C-296 del 22 de junio</w:t>
      </w:r>
      <w:r w:rsidRPr="00481068">
        <w:rPr>
          <w:rFonts w:ascii="Arial" w:hAnsi="Arial" w:cs="Arial"/>
          <w:sz w:val="22"/>
        </w:rPr>
        <w:t xml:space="preserve"> de 2021, C-559 del 31 de agosto de 2021 y C-100 de 29 de marzo de 2022, relacionados con la aplicación de la Ley de Garantías Electorales frente a la contratación con organismos internacionales. </w:t>
      </w:r>
      <w:bookmarkStart w:id="15" w:name="_Hlk102372764"/>
      <w:bookmarkStart w:id="16" w:name="_Hlk102372981"/>
      <w:r w:rsidRPr="00481068">
        <w:rPr>
          <w:rFonts w:ascii="Arial" w:eastAsia="Calibri" w:hAnsi="Arial" w:cs="Arial"/>
          <w:sz w:val="22"/>
          <w:lang w:val="es-ES"/>
        </w:rPr>
        <w:t>De acuerdo con el artículo 10 de la Ley 1437 de 2011, es necesario tener en cuenta que «</w:t>
      </w:r>
      <w:r w:rsidRPr="00481068">
        <w:rPr>
          <w:rFonts w:ascii="Arial" w:eastAsia="Calibri" w:hAnsi="Arial" w:cs="Arial"/>
          <w:sz w:val="22"/>
        </w:rPr>
        <w:t>Al resolver los asuntos de su competencia, las autoridades aplicarán las disposiciones constitucionales, legales y reglamentarias de manera uniforme a situaciones que tengan los mismos supuestos fácticos y jurídicos». Por tanto,</w:t>
      </w:r>
      <w:r w:rsidRPr="00481068">
        <w:rPr>
          <w:rFonts w:ascii="Arial" w:eastAsia="Calibri" w:hAnsi="Arial" w:cs="Arial"/>
          <w:sz w:val="22"/>
          <w:lang w:val="es-ES"/>
        </w:rPr>
        <w:t xml:space="preserve"> la tesis desarrollada en el Concepto de Unificación CU-180 del 8 de abril de 2022 se reitera a continuación</w:t>
      </w:r>
      <w:bookmarkEnd w:id="15"/>
      <w:r w:rsidRPr="00481068">
        <w:rPr>
          <w:rFonts w:ascii="Arial" w:eastAsia="Calibri" w:hAnsi="Arial" w:cs="Arial"/>
          <w:sz w:val="22"/>
          <w:lang w:val="es-ES"/>
        </w:rPr>
        <w:t>:</w:t>
      </w:r>
    </w:p>
    <w:bookmarkEnd w:id="16"/>
    <w:p w14:paraId="73E21E00" w14:textId="77777777" w:rsidR="007323DA" w:rsidRPr="00481068" w:rsidRDefault="007323DA" w:rsidP="007323DA">
      <w:pPr>
        <w:spacing w:line="276" w:lineRule="auto"/>
        <w:contextualSpacing/>
        <w:jc w:val="both"/>
        <w:rPr>
          <w:rFonts w:ascii="Arial" w:eastAsia="Calibri" w:hAnsi="Arial" w:cs="Arial"/>
          <w:color w:val="000000"/>
          <w:sz w:val="22"/>
        </w:rPr>
      </w:pPr>
    </w:p>
    <w:p w14:paraId="44A5EB86" w14:textId="77777777" w:rsidR="007323DA" w:rsidRPr="00481068" w:rsidRDefault="007323DA" w:rsidP="007323DA">
      <w:pPr>
        <w:tabs>
          <w:tab w:val="left" w:pos="426"/>
        </w:tabs>
        <w:spacing w:line="276" w:lineRule="auto"/>
        <w:jc w:val="both"/>
        <w:rPr>
          <w:rFonts w:ascii="Arial" w:eastAsia="Calibri" w:hAnsi="Arial" w:cs="Arial"/>
          <w:b/>
          <w:bCs/>
          <w:sz w:val="22"/>
          <w:lang w:val="es-ES_tradnl"/>
        </w:rPr>
      </w:pPr>
      <w:r w:rsidRPr="00481068">
        <w:rPr>
          <w:rFonts w:ascii="Arial" w:eastAsia="Calibri" w:hAnsi="Arial" w:cs="Arial"/>
          <w:b/>
          <w:bCs/>
          <w:sz w:val="22"/>
          <w:lang w:val="es-ES_tradnl"/>
        </w:rPr>
        <w:lastRenderedPageBreak/>
        <w:t>2.1. Definición y finalidad de la Ley de Garantías Electorales: alcance de las restricciones</w:t>
      </w:r>
    </w:p>
    <w:p w14:paraId="2C494188" w14:textId="77777777" w:rsidR="007323DA" w:rsidRPr="00481068" w:rsidRDefault="007323DA" w:rsidP="007323DA">
      <w:pPr>
        <w:tabs>
          <w:tab w:val="left" w:pos="426"/>
        </w:tabs>
        <w:spacing w:line="276" w:lineRule="auto"/>
        <w:ind w:firstLine="709"/>
        <w:jc w:val="both"/>
        <w:rPr>
          <w:rFonts w:ascii="Arial" w:eastAsia="Calibri" w:hAnsi="Arial" w:cs="Arial"/>
          <w:bCs/>
          <w:sz w:val="22"/>
          <w:lang w:val="es-ES_tradnl"/>
        </w:rPr>
      </w:pPr>
    </w:p>
    <w:p w14:paraId="1163CDAF" w14:textId="77777777" w:rsidR="007323DA" w:rsidRPr="00481068" w:rsidRDefault="007323DA" w:rsidP="007323DA">
      <w:pPr>
        <w:tabs>
          <w:tab w:val="left" w:pos="426"/>
        </w:tabs>
        <w:spacing w:after="120" w:line="276" w:lineRule="auto"/>
        <w:jc w:val="both"/>
        <w:rPr>
          <w:rFonts w:ascii="Arial" w:hAnsi="Arial" w:cs="Arial"/>
          <w:bCs/>
          <w:sz w:val="22"/>
          <w:lang w:eastAsia="es-CO"/>
        </w:rPr>
      </w:pPr>
      <w:r w:rsidRPr="00481068">
        <w:rPr>
          <w:rFonts w:ascii="Arial" w:eastAsia="Calibri" w:hAnsi="Arial" w:cs="Arial"/>
          <w:bCs/>
          <w:sz w:val="22"/>
        </w:rPr>
        <w:t>El ordenamiento jurídico colombiano contempla previsiones claras para evitar la obtención de beneficios personales en asuntos propios de la administración pública</w:t>
      </w:r>
      <w:r w:rsidRPr="00481068">
        <w:rPr>
          <w:rFonts w:ascii="Arial" w:eastAsia="Calibri" w:hAnsi="Arial" w:cs="Arial"/>
          <w:bCs/>
          <w:i/>
          <w:iCs/>
          <w:sz w:val="22"/>
        </w:rPr>
        <w:t xml:space="preserve">. </w:t>
      </w:r>
      <w:r w:rsidRPr="00481068">
        <w:rPr>
          <w:rFonts w:ascii="Arial" w:eastAsia="Calibri" w:hAnsi="Arial" w:cs="Arial"/>
          <w:bCs/>
          <w:sz w:val="22"/>
        </w:rPr>
        <w:t>Por ejemplo, el artículo 127 de la Constitución Política establece una prohibición contractual a los servidores públicos y en cuanto a aspectos políticos consagra restricciones a ciertos empleados del Estado, incluso en época no electoral</w:t>
      </w:r>
      <w:r w:rsidRPr="00481068">
        <w:rPr>
          <w:rFonts w:ascii="Arial" w:eastAsia="Calibri" w:hAnsi="Arial" w:cs="Arial"/>
          <w:bCs/>
          <w:sz w:val="22"/>
          <w:vertAlign w:val="superscript"/>
        </w:rPr>
        <w:footnoteReference w:id="3"/>
      </w:r>
      <w:r w:rsidRPr="00481068">
        <w:rPr>
          <w:rFonts w:ascii="Arial" w:eastAsia="Calibri" w:hAnsi="Arial" w:cs="Arial"/>
          <w:bCs/>
          <w:sz w:val="22"/>
        </w:rPr>
        <w:t xml:space="preserve">. </w:t>
      </w:r>
    </w:p>
    <w:p w14:paraId="3CD66CCB" w14:textId="77777777" w:rsidR="007323DA" w:rsidRPr="00481068" w:rsidRDefault="007323DA" w:rsidP="007323DA">
      <w:pPr>
        <w:tabs>
          <w:tab w:val="left" w:pos="426"/>
        </w:tabs>
        <w:spacing w:line="276" w:lineRule="auto"/>
        <w:ind w:firstLine="709"/>
        <w:jc w:val="both"/>
        <w:rPr>
          <w:rFonts w:ascii="Arial" w:hAnsi="Arial" w:cs="Arial"/>
          <w:bCs/>
          <w:sz w:val="22"/>
          <w:lang w:eastAsia="es-CO"/>
        </w:rPr>
      </w:pPr>
      <w:r w:rsidRPr="00481068">
        <w:rPr>
          <w:rFonts w:ascii="Arial" w:hAnsi="Arial" w:cs="Arial"/>
          <w:bCs/>
          <w:sz w:val="22"/>
          <w:lang w:eastAsia="es-CO"/>
        </w:rPr>
        <w:t xml:space="preserve">En el mismo sentido, </w:t>
      </w:r>
      <w:bookmarkStart w:id="17" w:name="_Hlk99576829"/>
      <w:r w:rsidRPr="00481068">
        <w:rPr>
          <w:rFonts w:ascii="Arial" w:hAnsi="Arial" w:cs="Arial"/>
          <w:bCs/>
          <w:sz w:val="22"/>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068">
        <w:rPr>
          <w:rFonts w:ascii="Arial" w:hAnsi="Arial" w:cs="Arial"/>
          <w:bCs/>
          <w:sz w:val="22"/>
          <w:vertAlign w:val="superscript"/>
          <w:lang w:eastAsia="es-CO"/>
        </w:rPr>
        <w:footnoteReference w:id="4"/>
      </w:r>
      <w:r w:rsidRPr="00481068">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eastAsia="Calibri" w:hAnsi="Arial" w:cs="Arial"/>
          <w:noProof/>
          <w:sz w:val="22"/>
          <w:lang w:val="es-ES_tradnl"/>
        </w:rPr>
        <w:t xml:space="preserve"> </w:t>
      </w:r>
      <w:bookmarkEnd w:id="17"/>
      <w:r w:rsidRPr="00481068">
        <w:rPr>
          <w:rFonts w:ascii="Arial" w:hAnsi="Arial" w:cs="Arial"/>
          <w:bCs/>
          <w:sz w:val="22"/>
          <w:lang w:eastAsia="es-CO"/>
        </w:rPr>
        <w:t>En armonía con lo anterior, la Corte Constitucional ha abordado la definición de la Ley de Garantías Electorales. De esta manera, explica que tiene como propósito:</w:t>
      </w:r>
    </w:p>
    <w:p w14:paraId="091886C2" w14:textId="77777777" w:rsidR="007323DA" w:rsidRPr="00481068" w:rsidRDefault="007323DA" w:rsidP="007323DA">
      <w:pPr>
        <w:spacing w:line="276" w:lineRule="auto"/>
        <w:ind w:right="709"/>
        <w:contextualSpacing/>
        <w:jc w:val="both"/>
        <w:rPr>
          <w:rFonts w:ascii="Arial" w:hAnsi="Arial" w:cs="Arial"/>
          <w:sz w:val="22"/>
          <w:lang w:val="es-ES" w:eastAsia="es-CO"/>
        </w:rPr>
      </w:pPr>
    </w:p>
    <w:p w14:paraId="0CF6803E" w14:textId="2E8C4526"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sz w:val="21"/>
          <w:szCs w:val="21"/>
          <w:lang w:val="es-ES" w:eastAsia="es-CO"/>
        </w:rPr>
        <w:t xml:space="preserve">[…] </w:t>
      </w:r>
      <w:r w:rsidRPr="00481068">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67A2941A" w14:textId="77777777"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 xml:space="preserve">[…] </w:t>
      </w:r>
    </w:p>
    <w:p w14:paraId="63189185" w14:textId="77777777" w:rsidR="007323DA" w:rsidRPr="00481068" w:rsidRDefault="007323DA" w:rsidP="007323DA">
      <w:pPr>
        <w:ind w:right="709"/>
        <w:contextualSpacing/>
        <w:jc w:val="both"/>
        <w:rPr>
          <w:rFonts w:ascii="Arial" w:hAnsi="Arial" w:cs="Arial"/>
          <w:bCs/>
          <w:sz w:val="21"/>
          <w:szCs w:val="21"/>
          <w:lang w:eastAsia="es-CO"/>
        </w:rPr>
      </w:pPr>
    </w:p>
    <w:p w14:paraId="4093809F" w14:textId="56459CB8"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w:t>
      </w:r>
      <w:r w:rsidRPr="00481068">
        <w:rPr>
          <w:rFonts w:ascii="Arial" w:hAnsi="Arial" w:cs="Arial"/>
          <w:bCs/>
          <w:sz w:val="21"/>
          <w:szCs w:val="21"/>
          <w:lang w:eastAsia="es-CO"/>
        </w:rPr>
        <w:lastRenderedPageBreak/>
        <w:t>comunicación de los candidatos. Igualmente, una ley de garantías debe permitir que, en el debate democrático, sean las ideas y las propuestas las que definan el ascenso al poder, y no el músculo económico de los que se lo disputan.</w:t>
      </w:r>
      <w:r w:rsidRPr="00481068">
        <w:rPr>
          <w:rFonts w:ascii="Arial" w:eastAsia="Calibri" w:hAnsi="Arial" w:cs="Arial"/>
          <w:sz w:val="20"/>
          <w:szCs w:val="20"/>
          <w:vertAlign w:val="superscript"/>
        </w:rPr>
        <w:footnoteReference w:id="5"/>
      </w:r>
    </w:p>
    <w:p w14:paraId="75BA1D6A" w14:textId="77777777" w:rsidR="007323DA" w:rsidRPr="00481068" w:rsidRDefault="007323DA" w:rsidP="007323DA">
      <w:pPr>
        <w:spacing w:line="276" w:lineRule="auto"/>
        <w:ind w:left="709" w:right="709"/>
        <w:contextualSpacing/>
        <w:jc w:val="both"/>
        <w:rPr>
          <w:rFonts w:ascii="Arial" w:hAnsi="Arial" w:cs="Arial"/>
          <w:bCs/>
          <w:sz w:val="22"/>
          <w:lang w:eastAsia="es-CO"/>
        </w:rPr>
      </w:pPr>
    </w:p>
    <w:p w14:paraId="00075A8E" w14:textId="77777777" w:rsidR="007323DA" w:rsidRPr="00481068" w:rsidRDefault="007323DA" w:rsidP="007323DA">
      <w:pPr>
        <w:spacing w:line="276" w:lineRule="auto"/>
        <w:ind w:firstLine="709"/>
        <w:jc w:val="both"/>
        <w:rPr>
          <w:rFonts w:ascii="Arial" w:hAnsi="Arial" w:cs="Arial"/>
          <w:bCs/>
          <w:sz w:val="22"/>
          <w:lang w:eastAsia="es-CO"/>
        </w:rPr>
      </w:pPr>
      <w:bookmarkStart w:id="18" w:name="_Hlk78818186"/>
      <w:r w:rsidRPr="00481068">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8"/>
      <w:r w:rsidRPr="00481068">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3529B48E" w14:textId="77777777" w:rsidR="007323DA" w:rsidRPr="00481068" w:rsidRDefault="007323DA" w:rsidP="007323DA">
      <w:pPr>
        <w:spacing w:line="276" w:lineRule="auto"/>
        <w:ind w:firstLine="709"/>
        <w:contextualSpacing/>
        <w:jc w:val="both"/>
        <w:rPr>
          <w:rFonts w:ascii="Arial" w:hAnsi="Arial" w:cs="Arial"/>
          <w:bCs/>
          <w:sz w:val="22"/>
          <w:lang w:eastAsia="es-CO"/>
        </w:rPr>
      </w:pPr>
    </w:p>
    <w:p w14:paraId="1C00838E" w14:textId="479A177C"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AC3A923" w14:textId="77777777" w:rsidR="007323DA" w:rsidRPr="00481068" w:rsidRDefault="007323DA" w:rsidP="007323DA">
      <w:pPr>
        <w:ind w:left="709" w:right="709"/>
        <w:contextualSpacing/>
        <w:jc w:val="both"/>
        <w:rPr>
          <w:rFonts w:ascii="Arial" w:hAnsi="Arial" w:cs="Arial"/>
          <w:bCs/>
          <w:sz w:val="21"/>
          <w:szCs w:val="21"/>
          <w:lang w:eastAsia="es-CO"/>
        </w:rPr>
      </w:pPr>
    </w:p>
    <w:p w14:paraId="1F3C99A8" w14:textId="7D83C550"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La jurisprudencia de la Corte Constitucional</w:t>
      </w:r>
      <w:r w:rsidRPr="00481068">
        <w:rPr>
          <w:rFonts w:ascii="Arial" w:hAnsi="Arial" w:cs="Arial"/>
          <w:bCs/>
          <w:sz w:val="21"/>
          <w:szCs w:val="21"/>
          <w:vertAlign w:val="superscript"/>
          <w:lang w:eastAsia="es-CO"/>
        </w:rPr>
        <w:footnoteReference w:id="6"/>
      </w:r>
      <w:r w:rsidRPr="00481068">
        <w:rPr>
          <w:rFonts w:ascii="Arial" w:hAnsi="Arial" w:cs="Arial"/>
          <w:bCs/>
          <w:sz w:val="21"/>
          <w:szCs w:val="21"/>
          <w:lang w:eastAsia="es-CO"/>
        </w:rPr>
        <w:t> y del Consejo de Estado</w:t>
      </w:r>
      <w:r w:rsidRPr="00481068">
        <w:rPr>
          <w:rFonts w:ascii="Arial" w:hAnsi="Arial" w:cs="Arial"/>
          <w:bCs/>
          <w:sz w:val="21"/>
          <w:szCs w:val="21"/>
          <w:vertAlign w:val="superscript"/>
          <w:lang w:eastAsia="es-CO"/>
        </w:rPr>
        <w:footnoteReference w:id="7"/>
      </w:r>
      <w:r w:rsidRPr="00481068">
        <w:rPr>
          <w:rFonts w:ascii="Arial"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w:t>
      </w:r>
      <w:r w:rsidRPr="00481068">
        <w:rPr>
          <w:rFonts w:ascii="Arial" w:hAnsi="Arial" w:cs="Arial"/>
          <w:bCs/>
          <w:sz w:val="21"/>
          <w:szCs w:val="21"/>
          <w:lang w:eastAsia="es-CO"/>
        </w:rPr>
        <w:lastRenderedPageBreak/>
        <w:t>libertad de actuar o capacidad de obrar, sobrepasar sus precisos términos comporta el desconocimiento de la voluntad del legislador</w:t>
      </w:r>
      <w:r w:rsidR="00270683">
        <w:rPr>
          <w:rFonts w:ascii="Arial" w:hAnsi="Arial" w:cs="Arial"/>
          <w:bCs/>
          <w:sz w:val="21"/>
          <w:szCs w:val="21"/>
          <w:lang w:eastAsia="es-CO"/>
        </w:rPr>
        <w:t>.</w:t>
      </w:r>
      <w:r w:rsidRPr="00481068">
        <w:rPr>
          <w:rFonts w:ascii="Arial" w:hAnsi="Arial" w:cs="Arial"/>
          <w:bCs/>
          <w:vertAlign w:val="superscript"/>
          <w:lang w:eastAsia="es-CO"/>
        </w:rPr>
        <w:footnoteReference w:id="8"/>
      </w:r>
    </w:p>
    <w:p w14:paraId="72DF71C2" w14:textId="77777777" w:rsidR="007323DA" w:rsidRPr="00481068" w:rsidRDefault="007323DA" w:rsidP="007323DA">
      <w:pPr>
        <w:spacing w:line="276" w:lineRule="auto"/>
        <w:ind w:right="709"/>
        <w:contextualSpacing/>
        <w:jc w:val="both"/>
        <w:rPr>
          <w:rFonts w:ascii="Arial" w:hAnsi="Arial" w:cs="Arial"/>
          <w:bCs/>
          <w:sz w:val="22"/>
          <w:lang w:eastAsia="es-CO"/>
        </w:rPr>
      </w:pPr>
    </w:p>
    <w:p w14:paraId="011C145E" w14:textId="42278D21" w:rsidR="007323DA" w:rsidRPr="00481068" w:rsidRDefault="007323DA" w:rsidP="00A41BCE">
      <w:pPr>
        <w:spacing w:after="120" w:line="276" w:lineRule="auto"/>
        <w:ind w:firstLine="708"/>
        <w:jc w:val="both"/>
        <w:rPr>
          <w:rFonts w:ascii="Arial" w:eastAsia="Arial" w:hAnsi="Arial" w:cs="Arial"/>
          <w:sz w:val="22"/>
          <w:lang w:val="es-ES" w:eastAsia="es-ES" w:bidi="es-ES"/>
        </w:rPr>
      </w:pPr>
      <w:r w:rsidRPr="00481068">
        <w:rPr>
          <w:rFonts w:ascii="Arial" w:hAnsi="Arial" w:cs="Arial"/>
          <w:bCs/>
          <w:sz w:val="22"/>
          <w:lang w:eastAsia="es-CO"/>
        </w:rPr>
        <w:t>De</w:t>
      </w:r>
      <w:r w:rsidRPr="00481068">
        <w:rPr>
          <w:rFonts w:ascii="Arial" w:eastAsia="Arial" w:hAnsi="Arial" w:cs="Arial"/>
          <w:sz w:val="22"/>
          <w:lang w:val="es-ES" w:eastAsia="es-ES" w:bidi="es-ES"/>
        </w:rPr>
        <w:t xml:space="preserve"> conformidad con lo anterior, </w:t>
      </w:r>
      <w:bookmarkStart w:id="19" w:name="_Hlk77236098"/>
      <w:r w:rsidRPr="00481068">
        <w:rPr>
          <w:rFonts w:ascii="Arial" w:eastAsia="Arial" w:hAnsi="Arial" w:cs="Arial"/>
          <w:sz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9"/>
    </w:p>
    <w:p w14:paraId="2D461B6A" w14:textId="77777777" w:rsidR="007323DA" w:rsidRPr="00481068" w:rsidRDefault="007323DA" w:rsidP="007323DA">
      <w:pPr>
        <w:spacing w:after="120" w:line="276" w:lineRule="auto"/>
        <w:ind w:firstLine="708"/>
        <w:jc w:val="both"/>
        <w:rPr>
          <w:rFonts w:ascii="Arial" w:eastAsia="Calibri" w:hAnsi="Arial" w:cs="Arial"/>
          <w:sz w:val="22"/>
        </w:rPr>
      </w:pPr>
      <w:r w:rsidRPr="00481068">
        <w:rPr>
          <w:rFonts w:ascii="Arial" w:eastAsia="Calibri" w:hAnsi="Arial" w:cs="Arial"/>
          <w:sz w:val="22"/>
        </w:rPr>
        <w:t xml:space="preserve">Por un lado, el artículo 33 de la Ley 996 de 2005 prohíbe </w:t>
      </w:r>
      <w:r w:rsidRPr="00481068">
        <w:rPr>
          <w:rFonts w:ascii="Arial" w:eastAsia="Calibri" w:hAnsi="Arial" w:cs="Arial"/>
          <w:bCs/>
          <w:sz w:val="22"/>
        </w:rPr>
        <w:t xml:space="preserve">«[…] </w:t>
      </w:r>
      <w:r w:rsidRPr="00481068">
        <w:rPr>
          <w:rFonts w:ascii="Arial" w:eastAsia="Calibri" w:hAnsi="Arial" w:cs="Arial"/>
          <w:sz w:val="22"/>
        </w:rPr>
        <w:t>la contratación directa por parte de todos los entes del Estado</w:t>
      </w:r>
      <w:r w:rsidRPr="00481068">
        <w:rPr>
          <w:rFonts w:ascii="Arial" w:eastAsia="Calibri" w:hAnsi="Arial" w:cs="Arial"/>
          <w:bCs/>
          <w:sz w:val="22"/>
        </w:rPr>
        <w:t>»</w:t>
      </w:r>
      <w:r w:rsidRPr="00481068">
        <w:rPr>
          <w:rFonts w:ascii="Arial" w:eastAsia="Calibri" w:hAnsi="Arial" w:cs="Arial"/>
          <w:sz w:val="22"/>
        </w:rPr>
        <w:t xml:space="preserve"> durante los cuatro (4) meses anteriores a las elecciones presidenciales, salvo </w:t>
      </w:r>
      <w:r w:rsidRPr="00481068">
        <w:rPr>
          <w:rFonts w:ascii="Arial" w:eastAsia="Calibri" w:hAnsi="Arial" w:cs="Arial"/>
          <w:bCs/>
          <w:sz w:val="22"/>
        </w:rPr>
        <w:t xml:space="preserve">«[…] </w:t>
      </w:r>
      <w:r w:rsidRPr="00481068">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eastAsia="Calibri" w:hAnsi="Arial" w:cs="Arial"/>
          <w:bCs/>
          <w:sz w:val="22"/>
        </w:rPr>
        <w:t>»</w:t>
      </w:r>
      <w:r w:rsidRPr="00481068">
        <w:rPr>
          <w:rFonts w:ascii="Arial" w:eastAsia="Calibri" w:hAnsi="Arial" w:cs="Arial"/>
          <w:bCs/>
          <w:sz w:val="22"/>
          <w:vertAlign w:val="superscript"/>
        </w:rPr>
        <w:footnoteReference w:id="9"/>
      </w:r>
      <w:r w:rsidRPr="00481068">
        <w:rPr>
          <w:rFonts w:ascii="Arial" w:eastAsia="Calibri" w:hAnsi="Arial" w:cs="Arial"/>
          <w:sz w:val="22"/>
        </w:rPr>
        <w:t>.</w:t>
      </w:r>
    </w:p>
    <w:p w14:paraId="75966D00" w14:textId="77777777" w:rsidR="007323DA" w:rsidRPr="00481068" w:rsidRDefault="007323DA" w:rsidP="007323DA">
      <w:pPr>
        <w:widowControl w:val="0"/>
        <w:autoSpaceDE w:val="0"/>
        <w:autoSpaceDN w:val="0"/>
        <w:spacing w:line="276" w:lineRule="auto"/>
        <w:ind w:right="113" w:firstLine="708"/>
        <w:contextualSpacing/>
        <w:jc w:val="both"/>
        <w:rPr>
          <w:rFonts w:ascii="Arial" w:eastAsia="Arial" w:hAnsi="Arial" w:cs="Arial"/>
          <w:sz w:val="22"/>
          <w:lang w:val="es-ES" w:eastAsia="es-ES" w:bidi="es-ES"/>
        </w:rPr>
      </w:pPr>
      <w:r w:rsidRPr="00481068">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068">
        <w:rPr>
          <w:rFonts w:ascii="Arial" w:eastAsia="Calibri" w:hAnsi="Arial" w:cs="Arial"/>
          <w:bCs/>
          <w:sz w:val="22"/>
        </w:rPr>
        <w:t xml:space="preserve">«[…] </w:t>
      </w:r>
      <w:r w:rsidRPr="00481068">
        <w:rPr>
          <w:rFonts w:ascii="Arial" w:eastAsia="Calibri" w:hAnsi="Arial" w:cs="Arial"/>
          <w:sz w:val="22"/>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481068">
        <w:rPr>
          <w:rFonts w:ascii="Arial" w:eastAsia="Calibri" w:hAnsi="Arial" w:cs="Arial"/>
          <w:sz w:val="22"/>
        </w:rPr>
        <w:lastRenderedPageBreak/>
        <w:t>proselitista</w:t>
      </w:r>
      <w:r w:rsidRPr="00481068">
        <w:rPr>
          <w:rFonts w:ascii="Arial" w:eastAsia="Calibri" w:hAnsi="Arial" w:cs="Arial"/>
          <w:bCs/>
          <w:sz w:val="22"/>
        </w:rPr>
        <w:t>»</w:t>
      </w:r>
      <w:r w:rsidRPr="00481068">
        <w:rPr>
          <w:rFonts w:ascii="Arial" w:eastAsia="Calibri" w:hAnsi="Arial" w:cs="Arial"/>
          <w:bCs/>
          <w:sz w:val="22"/>
          <w:vertAlign w:val="superscript"/>
        </w:rPr>
        <w:footnoteReference w:id="10"/>
      </w:r>
      <w:r w:rsidRPr="00481068">
        <w:rPr>
          <w:rFonts w:ascii="Arial" w:eastAsia="Calibri" w:hAnsi="Arial" w:cs="Arial"/>
          <w:sz w:val="22"/>
        </w:rPr>
        <w:t>.</w:t>
      </w:r>
      <w:r w:rsidRPr="00481068">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6E086E2" w14:textId="77777777" w:rsidR="007323DA" w:rsidRPr="00481068" w:rsidRDefault="007323DA" w:rsidP="007323DA">
      <w:pPr>
        <w:widowControl w:val="0"/>
        <w:autoSpaceDE w:val="0"/>
        <w:autoSpaceDN w:val="0"/>
        <w:spacing w:line="276" w:lineRule="auto"/>
        <w:ind w:left="805" w:right="812"/>
        <w:contextualSpacing/>
        <w:jc w:val="both"/>
        <w:rPr>
          <w:rFonts w:ascii="Arial" w:eastAsia="Arial" w:hAnsi="Arial" w:cs="Arial"/>
          <w:sz w:val="22"/>
          <w:lang w:val="es-ES" w:eastAsia="es-ES" w:bidi="es-ES"/>
        </w:rPr>
      </w:pPr>
    </w:p>
    <w:p w14:paraId="0EA3614C" w14:textId="76F06BD9" w:rsidR="007323DA" w:rsidRPr="00481068" w:rsidRDefault="007323DA" w:rsidP="007323DA">
      <w:pPr>
        <w:widowControl w:val="0"/>
        <w:autoSpaceDE w:val="0"/>
        <w:autoSpaceDN w:val="0"/>
        <w:ind w:left="709" w:right="709"/>
        <w:contextualSpacing/>
        <w:jc w:val="both"/>
        <w:rPr>
          <w:rFonts w:ascii="Arial" w:eastAsia="Arial" w:hAnsi="Arial" w:cs="Arial"/>
          <w:sz w:val="21"/>
          <w:szCs w:val="21"/>
          <w:lang w:val="es-ES" w:eastAsia="es-ES" w:bidi="es-ES"/>
        </w:rPr>
      </w:pPr>
      <w:r w:rsidRPr="0048106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2" w:name="_Hlk76109421"/>
      <w:r w:rsidRPr="00481068">
        <w:rPr>
          <w:rFonts w:ascii="Arial" w:eastAsia="Arial" w:hAnsi="Arial" w:cs="Arial"/>
          <w:sz w:val="21"/>
          <w:szCs w:val="21"/>
          <w:lang w:val="es-ES" w:eastAsia="es-ES" w:bidi="es-ES"/>
        </w:rPr>
        <w:t>se integran parcialmente</w:t>
      </w:r>
      <w:bookmarkEnd w:id="22"/>
      <w:r w:rsidRPr="0048106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068">
        <w:rPr>
          <w:rFonts w:ascii="Arial" w:eastAsia="Arial" w:hAnsi="Arial" w:cs="Arial"/>
          <w:bCs/>
          <w:sz w:val="21"/>
          <w:szCs w:val="21"/>
          <w:lang w:val="es-ES" w:eastAsia="es-ES" w:bidi="es-ES"/>
        </w:rPr>
        <w:t xml:space="preserve">En cambio, para elecciones en general, excluyendo las correspondientes a </w:t>
      </w:r>
      <w:proofErr w:type="gramStart"/>
      <w:r w:rsidRPr="00481068">
        <w:rPr>
          <w:rFonts w:ascii="Arial" w:eastAsia="Arial" w:hAnsi="Arial" w:cs="Arial"/>
          <w:bCs/>
          <w:sz w:val="21"/>
          <w:szCs w:val="21"/>
          <w:lang w:val="es-ES" w:eastAsia="es-ES" w:bidi="es-ES"/>
        </w:rPr>
        <w:t>Presidente</w:t>
      </w:r>
      <w:proofErr w:type="gramEnd"/>
      <w:r w:rsidRPr="00481068">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81068">
        <w:rPr>
          <w:rFonts w:ascii="Arial" w:eastAsia="Arial" w:hAnsi="Arial" w:cs="Arial"/>
          <w:sz w:val="21"/>
          <w:szCs w:val="21"/>
          <w:lang w:val="es-ES" w:eastAsia="es-ES" w:bidi="es-ES"/>
        </w:rPr>
        <w:t>.</w:t>
      </w:r>
      <w:r w:rsidRPr="00481068">
        <w:rPr>
          <w:rFonts w:ascii="Arial" w:eastAsia="Arial" w:hAnsi="Arial" w:cs="Arial"/>
          <w:sz w:val="21"/>
          <w:szCs w:val="21"/>
          <w:vertAlign w:val="superscript"/>
          <w:lang w:val="es-ES" w:eastAsia="es-ES" w:bidi="es-ES"/>
        </w:rPr>
        <w:footnoteReference w:id="11"/>
      </w:r>
    </w:p>
    <w:p w14:paraId="2CD8683E" w14:textId="77777777" w:rsidR="007323DA" w:rsidRPr="00481068" w:rsidRDefault="007323DA" w:rsidP="007323DA">
      <w:pPr>
        <w:widowControl w:val="0"/>
        <w:autoSpaceDE w:val="0"/>
        <w:autoSpaceDN w:val="0"/>
        <w:spacing w:line="276" w:lineRule="auto"/>
        <w:contextualSpacing/>
        <w:rPr>
          <w:rFonts w:ascii="Arial" w:eastAsia="Arial" w:hAnsi="Arial" w:cs="Arial"/>
          <w:sz w:val="22"/>
          <w:lang w:val="es-ES" w:eastAsia="es-ES" w:bidi="es-ES"/>
        </w:rPr>
      </w:pPr>
    </w:p>
    <w:p w14:paraId="0523DEE1" w14:textId="77777777" w:rsidR="007323DA" w:rsidRPr="00481068" w:rsidRDefault="007323DA" w:rsidP="007323DA">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t xml:space="preserve">De conformidad con lo anterior, </w:t>
      </w:r>
      <w:bookmarkStart w:id="23" w:name="_Hlk77236420"/>
      <w:bookmarkStart w:id="24" w:name="_Hlk78818435"/>
      <w:bookmarkStart w:id="25" w:name="_Hlk75780333"/>
      <w:r w:rsidRPr="00481068">
        <w:rPr>
          <w:rFonts w:ascii="Arial" w:eastAsia="Arial" w:hAnsi="Arial" w:cs="Arial"/>
          <w:sz w:val="22"/>
          <w:lang w:val="es-ES" w:eastAsia="es-ES" w:bidi="es-ES"/>
        </w:rPr>
        <w:t xml:space="preserve">la Ley 996 de 2005 establece dos (2) tipos de restricciones en materia de contratación, las cuales coinciden parcialmente. </w:t>
      </w:r>
      <w:r w:rsidRPr="00481068">
        <w:rPr>
          <w:rFonts w:ascii="Arial" w:eastAsia="Arial" w:hAnsi="Arial" w:cs="Arial"/>
          <w:i/>
          <w:iCs/>
          <w:sz w:val="22"/>
          <w:lang w:val="es-ES" w:eastAsia="es-ES" w:bidi="es-ES"/>
        </w:rPr>
        <w:t>En primer lugar</w:t>
      </w:r>
      <w:r w:rsidRPr="00481068">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068">
        <w:rPr>
          <w:rFonts w:ascii="Arial" w:eastAsia="Arial" w:hAnsi="Arial" w:cs="Arial"/>
          <w:i/>
          <w:iCs/>
          <w:sz w:val="22"/>
          <w:lang w:val="es-ES" w:eastAsia="es-ES" w:bidi="es-ES"/>
        </w:rPr>
        <w:t xml:space="preserve">En segundo </w:t>
      </w:r>
      <w:r w:rsidRPr="00481068">
        <w:rPr>
          <w:rFonts w:ascii="Arial" w:eastAsia="Arial" w:hAnsi="Arial" w:cs="Arial"/>
          <w:i/>
          <w:iCs/>
          <w:sz w:val="22"/>
          <w:lang w:val="es-ES" w:eastAsia="es-ES" w:bidi="es-ES"/>
        </w:rPr>
        <w:lastRenderedPageBreak/>
        <w:t>lugar</w:t>
      </w:r>
      <w:r w:rsidRPr="00481068">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3"/>
    </w:p>
    <w:bookmarkEnd w:id="24"/>
    <w:p w14:paraId="4C2A14BC" w14:textId="77777777" w:rsidR="007323DA" w:rsidRPr="00481068" w:rsidRDefault="007323DA" w:rsidP="007323DA">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481068">
        <w:rPr>
          <w:rFonts w:ascii="Arial" w:eastAsia="Arial" w:hAnsi="Arial" w:cs="Arial"/>
          <w:sz w:val="22"/>
          <w:lang w:val="es-ES" w:eastAsia="es-ES" w:bidi="es-ES"/>
        </w:rPr>
        <w:t>Presidente</w:t>
      </w:r>
      <w:proofErr w:type="gramEnd"/>
      <w:r w:rsidRPr="00481068">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81068">
        <w:rPr>
          <w:rFonts w:ascii="Arial" w:eastAsia="Arial" w:hAnsi="Arial" w:cs="Arial"/>
          <w:sz w:val="22"/>
          <w:lang w:val="es-ES" w:eastAsia="es-ES" w:bidi="es-ES"/>
        </w:rPr>
        <w:t>Presidente</w:t>
      </w:r>
      <w:proofErr w:type="gramEnd"/>
      <w:r w:rsidRPr="00481068">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bookmarkEnd w:id="25"/>
    <w:p w14:paraId="056A5694" w14:textId="77777777" w:rsidR="007323DA" w:rsidRPr="00481068" w:rsidRDefault="007323DA" w:rsidP="007323DA">
      <w:pPr>
        <w:spacing w:before="120" w:line="276" w:lineRule="auto"/>
        <w:ind w:firstLine="708"/>
        <w:jc w:val="both"/>
        <w:rPr>
          <w:rFonts w:ascii="Arial" w:eastAsia="Arial" w:hAnsi="Arial" w:cs="Arial"/>
          <w:sz w:val="22"/>
          <w:lang w:val="es-ES_tradnl" w:eastAsia="es-ES" w:bidi="es-ES"/>
        </w:rPr>
      </w:pPr>
      <w:r w:rsidRPr="00481068">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81068">
        <w:rPr>
          <w:rFonts w:ascii="Arial" w:eastAsia="Arial" w:hAnsi="Arial" w:cs="Arial"/>
          <w:sz w:val="22"/>
          <w:lang w:val="es-ES" w:eastAsia="es-ES" w:bidi="es-ES"/>
        </w:rPr>
        <w:t>Presidente</w:t>
      </w:r>
      <w:proofErr w:type="gramEnd"/>
      <w:r w:rsidRPr="00481068">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B881CEB" w14:textId="77777777" w:rsidR="007323DA" w:rsidRPr="00481068" w:rsidRDefault="007323DA" w:rsidP="007323DA">
      <w:pPr>
        <w:spacing w:line="276" w:lineRule="auto"/>
        <w:jc w:val="both"/>
        <w:rPr>
          <w:rFonts w:ascii="Arial" w:eastAsia="Arial" w:hAnsi="Arial" w:cs="Arial"/>
          <w:sz w:val="22"/>
          <w:lang w:val="es-ES_tradnl" w:eastAsia="es-ES" w:bidi="es-ES"/>
        </w:rPr>
      </w:pPr>
    </w:p>
    <w:p w14:paraId="0FCA4335" w14:textId="77777777" w:rsidR="007323DA" w:rsidRPr="00481068" w:rsidRDefault="007323DA" w:rsidP="007323DA">
      <w:pPr>
        <w:spacing w:line="276" w:lineRule="auto"/>
        <w:jc w:val="both"/>
        <w:rPr>
          <w:rFonts w:ascii="Arial" w:eastAsia="Calibri" w:hAnsi="Arial" w:cs="Arial"/>
          <w:b/>
          <w:sz w:val="22"/>
          <w:lang w:val="es-ES_tradnl" w:eastAsia="es-CO"/>
        </w:rPr>
      </w:pPr>
      <w:r w:rsidRPr="00481068">
        <w:rPr>
          <w:rFonts w:ascii="Arial" w:eastAsia="Calibri" w:hAnsi="Arial" w:cs="Arial"/>
          <w:b/>
          <w:sz w:val="22"/>
          <w:lang w:val="es-ES_tradnl" w:eastAsia="es-CO"/>
        </w:rPr>
        <w:t xml:space="preserve">2.2. </w:t>
      </w:r>
      <w:r w:rsidRPr="00481068">
        <w:rPr>
          <w:rFonts w:ascii="Arial" w:eastAsia="Calibri" w:hAnsi="Arial" w:cs="Arial"/>
          <w:b/>
          <w:bCs/>
          <w:sz w:val="22"/>
          <w:lang w:val="es-ES_tradnl" w:eastAsia="es-CO"/>
        </w:rPr>
        <w:t>Restricciones en elecciones presidenciales: prohibición del artículo 33 de la Ley 996 de 2005</w:t>
      </w:r>
    </w:p>
    <w:p w14:paraId="5D8107F1" w14:textId="77777777" w:rsidR="007323DA" w:rsidRPr="00481068" w:rsidRDefault="007323DA" w:rsidP="007323DA">
      <w:pPr>
        <w:spacing w:line="276" w:lineRule="auto"/>
        <w:jc w:val="both"/>
        <w:rPr>
          <w:rFonts w:ascii="Arial" w:eastAsia="Calibri" w:hAnsi="Arial" w:cs="Arial"/>
          <w:bCs/>
          <w:sz w:val="22"/>
          <w:lang w:val="es-ES_tradnl" w:eastAsia="x-none"/>
        </w:rPr>
      </w:pPr>
    </w:p>
    <w:p w14:paraId="3A1A9187" w14:textId="77777777" w:rsidR="007323DA" w:rsidRPr="00481068" w:rsidRDefault="007323DA" w:rsidP="007323DA">
      <w:pPr>
        <w:spacing w:line="276" w:lineRule="auto"/>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 xml:space="preserve">El ámbito material de la prohibición contenida en el artículo 33 de la ley 996 de 2005 está delimitado por la expresión </w:t>
      </w:r>
      <w:r w:rsidRPr="00481068">
        <w:rPr>
          <w:rFonts w:ascii="Arial" w:eastAsia="Calibri" w:hAnsi="Arial" w:cs="Arial"/>
          <w:bCs/>
          <w:sz w:val="20"/>
          <w:szCs w:val="20"/>
          <w:lang w:val="es-ES_tradnl"/>
        </w:rPr>
        <w:t>«</w:t>
      </w:r>
      <w:r w:rsidRPr="00481068">
        <w:rPr>
          <w:rFonts w:ascii="Arial" w:eastAsia="Calibri" w:hAnsi="Arial" w:cs="Arial"/>
          <w:bCs/>
          <w:sz w:val="22"/>
          <w:lang w:val="es-ES_tradnl" w:eastAsia="x-none"/>
        </w:rPr>
        <w:t>queda prohibida la contratación directa</w:t>
      </w:r>
      <w:r w:rsidRPr="00481068">
        <w:rPr>
          <w:rFonts w:ascii="Arial" w:eastAsia="Calibri" w:hAnsi="Arial" w:cs="Arial"/>
          <w:sz w:val="20"/>
          <w:szCs w:val="20"/>
          <w:lang w:val="es-ES_tradnl"/>
        </w:rPr>
        <w:t>»</w:t>
      </w:r>
      <w:r w:rsidRPr="00481068">
        <w:rPr>
          <w:rFonts w:ascii="Arial" w:eastAsia="Calibri" w:hAnsi="Arial" w:cs="Arial"/>
          <w:bCs/>
          <w:sz w:val="22"/>
          <w:lang w:val="es-ES_tradnl" w:eastAsia="x-none"/>
        </w:rPr>
        <w:t xml:space="preserve">. </w:t>
      </w:r>
      <w:r w:rsidRPr="00481068">
        <w:rPr>
          <w:rFonts w:ascii="Arial" w:eastAsia="Calibri" w:hAnsi="Arial" w:cs="Arial"/>
          <w:sz w:val="22"/>
          <w:lang w:val="es-ES_tradnl" w:eastAsia="es-CO"/>
        </w:rPr>
        <w:t xml:space="preserve"> A propósito de esta restricción de la Ley de Garantías Electorales, la Sala de Consulta y Servicio Civil del Consejo de Estado ha considerado que:</w:t>
      </w:r>
    </w:p>
    <w:p w14:paraId="284DADE1" w14:textId="77777777" w:rsidR="007323DA" w:rsidRPr="00481068" w:rsidRDefault="007323DA" w:rsidP="007323DA">
      <w:pPr>
        <w:spacing w:line="259" w:lineRule="auto"/>
        <w:ind w:left="708" w:right="709"/>
        <w:jc w:val="both"/>
        <w:rPr>
          <w:rFonts w:ascii="Arial" w:eastAsia="Calibri" w:hAnsi="Arial" w:cs="Arial"/>
          <w:sz w:val="22"/>
          <w:lang w:val="es-ES_tradnl"/>
        </w:rPr>
      </w:pPr>
    </w:p>
    <w:p w14:paraId="47144F4E" w14:textId="0066488A" w:rsidR="007323DA" w:rsidRPr="00481068" w:rsidRDefault="007323DA" w:rsidP="007323DA">
      <w:pPr>
        <w:spacing w:after="120"/>
        <w:ind w:left="709" w:right="709"/>
        <w:jc w:val="both"/>
        <w:rPr>
          <w:rFonts w:ascii="Arial" w:eastAsia="Calibri" w:hAnsi="Arial" w:cs="Arial"/>
          <w:sz w:val="21"/>
          <w:szCs w:val="21"/>
          <w:lang w:val="es-ES_tradnl"/>
        </w:rPr>
      </w:pPr>
      <w:r w:rsidRPr="00481068">
        <w:rPr>
          <w:rFonts w:ascii="Arial" w:eastAsia="Calibri" w:hAnsi="Arial" w:cs="Arial"/>
          <w:sz w:val="21"/>
          <w:szCs w:val="21"/>
          <w:lang w:val="es-ES_tradnl"/>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w:t>
      </w:r>
      <w:r w:rsidRPr="00481068">
        <w:rPr>
          <w:rFonts w:ascii="Arial" w:eastAsia="Calibri" w:hAnsi="Arial" w:cs="Arial"/>
          <w:sz w:val="21"/>
          <w:szCs w:val="21"/>
          <w:lang w:val="es-ES_tradnl"/>
        </w:rPr>
        <w:lastRenderedPageBreak/>
        <w:t>taxativamente señale la ley (numeral 4, artículo 2, ley 1150 de 2007), y cumpliendo siempre los principios que rigen la contratación pública</w:t>
      </w:r>
      <w:r w:rsidRPr="00481068">
        <w:rPr>
          <w:rFonts w:ascii="Arial" w:eastAsia="Calibri" w:hAnsi="Arial" w:cs="Arial"/>
          <w:sz w:val="21"/>
          <w:szCs w:val="21"/>
          <w:vertAlign w:val="superscript"/>
        </w:rPr>
        <w:footnoteReference w:id="12"/>
      </w:r>
      <w:r w:rsidRPr="00481068">
        <w:rPr>
          <w:rFonts w:ascii="Arial" w:eastAsia="Calibri" w:hAnsi="Arial" w:cs="Arial"/>
          <w:sz w:val="21"/>
          <w:szCs w:val="21"/>
          <w:lang w:val="es-ES_tradnl"/>
        </w:rPr>
        <w:t>.</w:t>
      </w:r>
    </w:p>
    <w:p w14:paraId="71333082" w14:textId="6EF98E67" w:rsidR="007323DA" w:rsidRPr="00481068" w:rsidRDefault="007323DA" w:rsidP="007323DA">
      <w:pPr>
        <w:ind w:left="708" w:right="709"/>
        <w:jc w:val="both"/>
        <w:rPr>
          <w:rFonts w:ascii="Arial" w:eastAsia="Calibri" w:hAnsi="Arial" w:cs="Arial"/>
          <w:sz w:val="21"/>
          <w:szCs w:val="21"/>
          <w:lang w:val="es-ES_tradnl"/>
        </w:rPr>
      </w:pPr>
      <w:r w:rsidRPr="00481068">
        <w:rPr>
          <w:rFonts w:ascii="Arial" w:eastAsia="Calibri" w:hAnsi="Arial" w:cs="Arial"/>
          <w:sz w:val="21"/>
          <w:szCs w:val="21"/>
          <w:lang w:val="es-ES_tradnl"/>
        </w:rPr>
        <w:t xml:space="preserve">Esta Sala ha entendido </w:t>
      </w:r>
      <w:proofErr w:type="gramStart"/>
      <w:r w:rsidRPr="00481068">
        <w:rPr>
          <w:rFonts w:ascii="Arial" w:eastAsia="Calibri" w:hAnsi="Arial" w:cs="Arial"/>
          <w:sz w:val="21"/>
          <w:szCs w:val="21"/>
          <w:lang w:val="es-ES_tradnl"/>
        </w:rPr>
        <w:t>que</w:t>
      </w:r>
      <w:proofErr w:type="gramEnd"/>
      <w:r w:rsidRPr="00481068">
        <w:rPr>
          <w:rFonts w:ascii="Arial" w:eastAsia="Calibri" w:hAnsi="Arial" w:cs="Arial"/>
          <w:sz w:val="21"/>
          <w:szCs w:val="21"/>
          <w:lang w:val="es-ES_tradnl"/>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068">
        <w:rPr>
          <w:rFonts w:ascii="Arial" w:eastAsia="Calibri" w:hAnsi="Arial" w:cs="Arial"/>
          <w:sz w:val="21"/>
          <w:szCs w:val="21"/>
          <w:vertAlign w:val="superscript"/>
        </w:rPr>
        <w:footnoteReference w:id="13"/>
      </w:r>
      <w:r w:rsidRPr="00481068">
        <w:rPr>
          <w:rFonts w:ascii="Arial" w:eastAsia="Calibri" w:hAnsi="Arial" w:cs="Arial"/>
          <w:sz w:val="21"/>
          <w:szCs w:val="21"/>
          <w:vertAlign w:val="superscript"/>
          <w:lang w:val="es-ES_tradnl"/>
        </w:rPr>
        <w:t>.</w:t>
      </w:r>
      <w:r w:rsidRPr="00481068">
        <w:rPr>
          <w:rFonts w:ascii="Arial" w:eastAsia="Calibri" w:hAnsi="Arial" w:cs="Arial"/>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270683">
        <w:rPr>
          <w:rFonts w:ascii="Arial" w:eastAsia="Calibri" w:hAnsi="Arial" w:cs="Arial"/>
          <w:sz w:val="21"/>
          <w:szCs w:val="21"/>
          <w:lang w:val="es-ES_tradnl"/>
        </w:rPr>
        <w:t>.</w:t>
      </w:r>
      <w:r w:rsidRPr="00481068">
        <w:rPr>
          <w:rFonts w:ascii="Arial" w:eastAsia="Calibri" w:hAnsi="Arial" w:cs="Arial"/>
          <w:sz w:val="21"/>
          <w:szCs w:val="21"/>
          <w:vertAlign w:val="superscript"/>
        </w:rPr>
        <w:footnoteReference w:id="14"/>
      </w:r>
    </w:p>
    <w:p w14:paraId="53D8EEE0" w14:textId="77777777" w:rsidR="007323DA" w:rsidRPr="00481068" w:rsidRDefault="007323DA" w:rsidP="007323DA">
      <w:pPr>
        <w:shd w:val="clear" w:color="auto" w:fill="FFFFFF"/>
        <w:spacing w:line="276" w:lineRule="auto"/>
        <w:ind w:firstLine="709"/>
        <w:jc w:val="both"/>
        <w:rPr>
          <w:rFonts w:ascii="Arial" w:eastAsia="Calibri" w:hAnsi="Arial" w:cs="Arial"/>
          <w:sz w:val="22"/>
          <w:lang w:val="es-ES_tradnl" w:eastAsia="x-none"/>
        </w:rPr>
      </w:pPr>
    </w:p>
    <w:p w14:paraId="4450E6C2" w14:textId="77777777" w:rsidR="007323DA" w:rsidRPr="00481068" w:rsidRDefault="007323DA" w:rsidP="007323DA">
      <w:pPr>
        <w:spacing w:line="276" w:lineRule="auto"/>
        <w:ind w:firstLine="708"/>
        <w:jc w:val="both"/>
        <w:rPr>
          <w:rFonts w:ascii="Arial" w:eastAsia="Calibri" w:hAnsi="Arial" w:cs="Arial"/>
          <w:bCs/>
          <w:sz w:val="22"/>
          <w:lang w:val="es-ES_tradnl" w:eastAsia="x-none"/>
        </w:rPr>
      </w:pPr>
      <w:r w:rsidRPr="00481068">
        <w:rPr>
          <w:rFonts w:ascii="Arial" w:eastAsia="Calibri" w:hAnsi="Arial" w:cs="Arial"/>
          <w:sz w:val="22"/>
          <w:lang w:val="es-ES_tradnl" w:eastAsia="x-none"/>
        </w:rPr>
        <w:t xml:space="preserve">De acuerdo con el citado concepto, la prohibición del artículo 33 de la Ley de Garantías Electorales se refiere a </w:t>
      </w:r>
      <w:r w:rsidRPr="00481068">
        <w:rPr>
          <w:rFonts w:ascii="Arial" w:eastAsia="Calibri" w:hAnsi="Arial" w:cs="Arial"/>
          <w:sz w:val="19"/>
          <w:szCs w:val="19"/>
          <w:lang w:val="es-ES_tradnl" w:eastAsia="en-GB"/>
        </w:rPr>
        <w:t>«</w:t>
      </w:r>
      <w:r w:rsidRPr="00481068">
        <w:rPr>
          <w:rFonts w:ascii="Arial" w:eastAsia="Calibri" w:hAnsi="Arial" w:cs="Arial"/>
          <w:sz w:val="22"/>
          <w:lang w:val="es-ES_tradnl" w:eastAsia="x-none"/>
        </w:rPr>
        <w:t>cualquier sistema que no implique convocatoria pública y posibilidad de pluralidad de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481068">
        <w:rPr>
          <w:rFonts w:ascii="Arial" w:eastAsia="Calibri" w:hAnsi="Arial" w:cs="Arial"/>
          <w:sz w:val="22"/>
          <w:vertAlign w:val="superscript"/>
        </w:rPr>
        <w:footnoteReference w:id="15"/>
      </w:r>
      <w:r w:rsidRPr="00481068">
        <w:rPr>
          <w:rFonts w:ascii="Arial" w:eastAsia="Calibri" w:hAnsi="Arial" w:cs="Arial"/>
          <w:sz w:val="22"/>
          <w:lang w:val="es-ES_tradnl" w:eastAsia="x-none"/>
        </w:rPr>
        <w:t xml:space="preserve"> y sistematizó las causales de contratación directa</w:t>
      </w:r>
      <w:r w:rsidRPr="00481068">
        <w:rPr>
          <w:rFonts w:ascii="Arial" w:eastAsia="Calibri" w:hAnsi="Arial" w:cs="Arial"/>
          <w:sz w:val="22"/>
          <w:vertAlign w:val="superscript"/>
        </w:rPr>
        <w:footnoteReference w:id="16"/>
      </w:r>
      <w:r w:rsidRPr="00481068">
        <w:rPr>
          <w:rFonts w:ascii="Arial" w:eastAsia="Calibri" w:hAnsi="Arial" w:cs="Arial"/>
          <w:sz w:val="22"/>
          <w:lang w:val="es-ES_tradnl" w:eastAsia="x-none"/>
        </w:rPr>
        <w:t>.</w:t>
      </w:r>
    </w:p>
    <w:p w14:paraId="6EB18314" w14:textId="77777777" w:rsidR="007323DA" w:rsidRPr="00481068" w:rsidRDefault="007323DA" w:rsidP="007323DA">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sz w:val="22"/>
          <w:lang w:val="es-ES_tradnl" w:eastAsia="x-none"/>
        </w:rPr>
        <w:t xml:space="preserve">De esta forma, se ha depurado la noción de </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contratación directa</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w:t>
      </w:r>
      <w:r w:rsidRPr="00481068">
        <w:rPr>
          <w:rFonts w:ascii="Arial" w:eastAsia="Calibri" w:hAnsi="Arial" w:cs="Arial"/>
          <w:sz w:val="22"/>
          <w:lang w:val="es-ES_tradnl" w:eastAsia="x-none"/>
        </w:rPr>
        <w:lastRenderedPageBreak/>
        <w:t>sino también en leyes especiales e, incluso, en el derecho privado</w:t>
      </w:r>
      <w:r w:rsidRPr="00481068">
        <w:rPr>
          <w:rFonts w:ascii="Arial" w:eastAsia="Calibri" w:hAnsi="Arial" w:cs="Arial"/>
          <w:sz w:val="22"/>
          <w:vertAlign w:val="superscript"/>
        </w:rPr>
        <w:footnoteReference w:id="17"/>
      </w:r>
      <w:r w:rsidRPr="00481068">
        <w:rPr>
          <w:rFonts w:ascii="Arial" w:eastAsia="Calibri" w:hAnsi="Arial" w:cs="Arial"/>
          <w:sz w:val="22"/>
          <w:lang w:val="es-ES_tradnl" w:eastAsia="x-none"/>
        </w:rPr>
        <w:t>, han establecido sistemas de contratación que implican convocatoria pública y participación de varios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xml:space="preserve">. </w:t>
      </w:r>
    </w:p>
    <w:p w14:paraId="2AFE97F8" w14:textId="77777777" w:rsidR="007323DA" w:rsidRPr="00481068" w:rsidRDefault="007323DA" w:rsidP="007323D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E</w:t>
      </w:r>
      <w:r w:rsidRPr="00481068">
        <w:rPr>
          <w:rFonts w:ascii="Arial" w:eastAsia="Calibri" w:hAnsi="Arial" w:cs="Arial"/>
          <w:sz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068">
        <w:rPr>
          <w:rFonts w:ascii="Arial" w:eastAsia="Calibri" w:hAnsi="Arial" w:cs="Arial"/>
          <w:sz w:val="22"/>
          <w:vertAlign w:val="superscript"/>
        </w:rPr>
        <w:footnoteReference w:id="18"/>
      </w:r>
      <w:r w:rsidRPr="00481068">
        <w:rPr>
          <w:rFonts w:ascii="Arial" w:eastAsia="Calibri" w:hAnsi="Arial" w:cs="Arial"/>
          <w:sz w:val="22"/>
          <w:lang w:val="es-ES_tradnl" w:eastAsia="x-none"/>
        </w:rPr>
        <w:t xml:space="preserve">. </w:t>
      </w:r>
    </w:p>
    <w:p w14:paraId="0418C8C2" w14:textId="77777777" w:rsidR="007323DA" w:rsidRPr="00481068" w:rsidRDefault="007323DA" w:rsidP="007323D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5DA6EC7" w14:textId="77777777" w:rsidR="007323DA" w:rsidRPr="00481068" w:rsidRDefault="007323DA" w:rsidP="007323D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eastAsia="Calibri" w:hAnsi="Arial" w:cs="Arial"/>
          <w:sz w:val="22"/>
          <w:vertAlign w:val="superscript"/>
        </w:rPr>
        <w:footnoteReference w:id="19"/>
      </w:r>
      <w:r w:rsidRPr="00481068">
        <w:rPr>
          <w:rFonts w:ascii="Arial" w:eastAsia="Calibri" w:hAnsi="Arial" w:cs="Arial"/>
          <w:bCs/>
          <w:sz w:val="22"/>
          <w:lang w:val="es-ES_tradnl" w:eastAsia="x-none"/>
        </w:rPr>
        <w:t>.</w:t>
      </w:r>
      <w:r w:rsidRPr="00481068">
        <w:rPr>
          <w:rFonts w:ascii="Arial" w:eastAsia="Calibri" w:hAnsi="Arial" w:cs="Arial"/>
          <w:sz w:val="22"/>
          <w:vertAlign w:val="superscript"/>
          <w:lang w:val="es-ES_tradnl" w:eastAsia="x-none"/>
        </w:rPr>
        <w:t xml:space="preserve"> </w:t>
      </w:r>
    </w:p>
    <w:p w14:paraId="67D899E3" w14:textId="77777777" w:rsidR="007323DA" w:rsidRPr="00481068" w:rsidRDefault="007323DA" w:rsidP="007323DA">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bCs/>
          <w:sz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eastAsia="Calibri" w:hAnsi="Arial" w:cs="Arial"/>
          <w:sz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w:t>
      </w:r>
      <w:r w:rsidRPr="00481068">
        <w:rPr>
          <w:rFonts w:ascii="Arial" w:eastAsia="Calibri" w:hAnsi="Arial" w:cs="Arial"/>
          <w:sz w:val="22"/>
          <w:lang w:val="es-ES_tradnl" w:eastAsia="x-none"/>
        </w:rPr>
        <w:lastRenderedPageBreak/>
        <w:t>cual en ese período preelectoral de que trata la disposición las entidades públicas pueden seguir contratando bajo estos procedimientos.</w:t>
      </w:r>
    </w:p>
    <w:p w14:paraId="7B94923F" w14:textId="77777777" w:rsidR="007323DA" w:rsidRPr="00481068" w:rsidRDefault="007323DA" w:rsidP="007323D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es-CO"/>
        </w:rPr>
        <w:t xml:space="preserve">Como en otras oportunidades lo ha manifestado esta Agencia, las prórrogas, modificaciones o adiciones de los contratos suscritos antes de la </w:t>
      </w:r>
      <w:proofErr w:type="gramStart"/>
      <w:r w:rsidRPr="00481068">
        <w:rPr>
          <w:rFonts w:ascii="Arial" w:eastAsia="Calibri" w:hAnsi="Arial" w:cs="Arial"/>
          <w:bCs/>
          <w:sz w:val="22"/>
          <w:lang w:val="es-ES_tradnl" w:eastAsia="es-CO"/>
        </w:rPr>
        <w:t>entrada en vigencia</w:t>
      </w:r>
      <w:proofErr w:type="gramEnd"/>
      <w:r w:rsidRPr="00481068">
        <w:rPr>
          <w:rFonts w:ascii="Arial" w:eastAsia="Calibri" w:hAnsi="Arial" w:cs="Arial"/>
          <w:bCs/>
          <w:sz w:val="22"/>
          <w:lang w:val="es-ES_tradnl" w:eastAsia="es-CO"/>
        </w:rPr>
        <w:t xml:space="preserve"> de las prohibiciones anotadas, así como la cesión de los mismos, pueden tener lugar en el período de aplicación de la Ley de Garantías</w:t>
      </w:r>
      <w:r w:rsidRPr="00481068">
        <w:rPr>
          <w:rFonts w:ascii="Arial" w:eastAsia="Calibri" w:hAnsi="Arial" w:cs="Arial"/>
          <w:sz w:val="22"/>
          <w:vertAlign w:val="superscript"/>
        </w:rPr>
        <w:footnoteReference w:id="20"/>
      </w:r>
      <w:r w:rsidRPr="00481068">
        <w:rPr>
          <w:rFonts w:ascii="Arial" w:eastAsia="Calibri" w:hAnsi="Arial" w:cs="Arial"/>
          <w:bCs/>
          <w:sz w:val="22"/>
          <w:lang w:val="es-ES_tradnl" w:eastAsia="es-CO"/>
        </w:rPr>
        <w:t>. Esto sin que ello haga nugatoria la restricción de la contratación directa y siempre que cumplan los principios de planeación, transparencia y responsabilidad.</w:t>
      </w:r>
    </w:p>
    <w:p w14:paraId="0DBB7399" w14:textId="77777777" w:rsidR="007323DA" w:rsidRPr="00481068" w:rsidRDefault="007323DA" w:rsidP="007323D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481068">
        <w:rPr>
          <w:rFonts w:ascii="Arial" w:eastAsia="Calibri" w:hAnsi="Arial" w:cs="Arial"/>
          <w:bCs/>
          <w:sz w:val="22"/>
          <w:lang w:val="es-ES_tradnl" w:eastAsia="x-none"/>
        </w:rPr>
        <w:t>ii</w:t>
      </w:r>
      <w:proofErr w:type="spellEnd"/>
      <w:r w:rsidRPr="00481068">
        <w:rPr>
          <w:rFonts w:ascii="Arial" w:eastAsia="Calibri" w:hAnsi="Arial" w:cs="Arial"/>
          <w:bCs/>
          <w:sz w:val="22"/>
          <w:lang w:val="es-ES_tradnl" w:eastAsia="x-none"/>
        </w:rPr>
        <w:t xml:space="preserve">) los contratos de crédito público; </w:t>
      </w:r>
      <w:proofErr w:type="spellStart"/>
      <w:r w:rsidRPr="00481068">
        <w:rPr>
          <w:rFonts w:ascii="Arial" w:eastAsia="Calibri" w:hAnsi="Arial" w:cs="Arial"/>
          <w:bCs/>
          <w:sz w:val="22"/>
          <w:lang w:val="es-ES_tradnl" w:eastAsia="x-none"/>
        </w:rPr>
        <w:t>iii</w:t>
      </w:r>
      <w:proofErr w:type="spellEnd"/>
      <w:r w:rsidRPr="00481068">
        <w:rPr>
          <w:rFonts w:ascii="Arial" w:eastAsia="Calibri" w:hAnsi="Arial" w:cs="Arial"/>
          <w:bCs/>
          <w:sz w:val="22"/>
          <w:lang w:val="es-ES_tradnl" w:eastAsia="x-none"/>
        </w:rPr>
        <w:t xml:space="preserve">) los requeridos para cubrir las emergencias educativas, sanitarias y desastres; </w:t>
      </w:r>
      <w:proofErr w:type="spellStart"/>
      <w:r w:rsidRPr="00481068">
        <w:rPr>
          <w:rFonts w:ascii="Arial" w:eastAsia="Calibri" w:hAnsi="Arial" w:cs="Arial"/>
          <w:bCs/>
          <w:sz w:val="22"/>
          <w:lang w:val="es-ES_tradnl" w:eastAsia="x-none"/>
        </w:rPr>
        <w:t>iv</w:t>
      </w:r>
      <w:proofErr w:type="spellEnd"/>
      <w:r w:rsidRPr="00481068">
        <w:rPr>
          <w:rFonts w:ascii="Arial" w:eastAsia="Calibri" w:hAnsi="Arial" w:cs="Arial"/>
          <w:bCs/>
          <w:sz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068">
        <w:rPr>
          <w:rFonts w:ascii="Arial" w:eastAsia="Calibri" w:hAnsi="Arial" w:cs="Arial"/>
          <w:bCs/>
          <w:sz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B4E8008" w14:textId="3FCC6A5A" w:rsidR="007323DA" w:rsidRDefault="007323DA" w:rsidP="007323D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068">
        <w:rPr>
          <w:rFonts w:ascii="Arial" w:eastAsia="Calibri" w:hAnsi="Arial" w:cs="Arial"/>
          <w:sz w:val="22"/>
          <w:vertAlign w:val="superscript"/>
        </w:rPr>
        <w:footnoteReference w:id="21"/>
      </w:r>
      <w:r w:rsidRPr="00481068">
        <w:rPr>
          <w:rFonts w:ascii="Arial" w:eastAsia="Calibri" w:hAnsi="Arial" w:cs="Arial"/>
          <w:bCs/>
          <w:sz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E2348FF" w14:textId="77777777" w:rsidR="007323DA" w:rsidRDefault="007323DA" w:rsidP="007323DA">
      <w:pPr>
        <w:spacing w:line="276" w:lineRule="auto"/>
        <w:jc w:val="both"/>
        <w:rPr>
          <w:rFonts w:ascii="Arial" w:hAnsi="Arial" w:cs="Arial"/>
          <w:b/>
          <w:sz w:val="22"/>
          <w:lang w:eastAsia="x-none"/>
        </w:rPr>
      </w:pPr>
    </w:p>
    <w:p w14:paraId="4AB43148" w14:textId="77777777" w:rsidR="007323DA" w:rsidRPr="00C84F90" w:rsidRDefault="007323DA" w:rsidP="00923CC1">
      <w:pPr>
        <w:spacing w:line="276" w:lineRule="auto"/>
        <w:ind w:firstLine="708"/>
        <w:jc w:val="both"/>
        <w:rPr>
          <w:rFonts w:ascii="Arial" w:hAnsi="Arial" w:cs="Arial"/>
          <w:b/>
          <w:sz w:val="22"/>
          <w:lang w:eastAsia="x-none"/>
        </w:rPr>
      </w:pPr>
      <w:r w:rsidRPr="00923CC1">
        <w:rPr>
          <w:rFonts w:ascii="Arial" w:hAnsi="Arial" w:cs="Arial"/>
          <w:b/>
          <w:i/>
          <w:iCs/>
          <w:sz w:val="22"/>
          <w:lang w:eastAsia="x-none"/>
        </w:rPr>
        <w:t>2.2.1.</w:t>
      </w:r>
      <w:r w:rsidRPr="00C84F90">
        <w:rPr>
          <w:rFonts w:ascii="Arial" w:hAnsi="Arial" w:cs="Arial"/>
          <w:b/>
          <w:sz w:val="22"/>
          <w:lang w:eastAsia="x-none"/>
        </w:rPr>
        <w:t xml:space="preserve">  Destinatarios de la restricción del artículo 33 de la Ley 996 de 2005</w:t>
      </w:r>
    </w:p>
    <w:p w14:paraId="7DD37E67" w14:textId="77777777" w:rsidR="007323DA" w:rsidRPr="00C84F90" w:rsidRDefault="007323DA" w:rsidP="007323DA">
      <w:pPr>
        <w:spacing w:line="276" w:lineRule="auto"/>
        <w:jc w:val="both"/>
        <w:rPr>
          <w:rFonts w:ascii="Arial" w:hAnsi="Arial" w:cs="Arial"/>
          <w:bCs/>
          <w:sz w:val="22"/>
          <w:lang w:eastAsia="x-none"/>
        </w:rPr>
      </w:pPr>
    </w:p>
    <w:p w14:paraId="35A54129" w14:textId="77777777" w:rsidR="007323DA" w:rsidRPr="00C84F90" w:rsidRDefault="007323DA" w:rsidP="007323DA">
      <w:pPr>
        <w:spacing w:line="276" w:lineRule="auto"/>
        <w:jc w:val="both"/>
        <w:rPr>
          <w:rFonts w:ascii="Arial" w:hAnsi="Arial" w:cs="Arial"/>
          <w:bCs/>
          <w:sz w:val="22"/>
          <w:lang w:eastAsia="x-none"/>
        </w:rPr>
      </w:pPr>
      <w:r w:rsidRPr="00C84F90">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84F90">
        <w:t xml:space="preserve"> </w:t>
      </w:r>
      <w:r w:rsidRPr="00C84F90">
        <w:rPr>
          <w:rFonts w:ascii="Arial" w:hAnsi="Arial" w:cs="Arial"/>
          <w:bCs/>
          <w:sz w:val="22"/>
          <w:lang w:eastAsia="x-none"/>
        </w:rPr>
        <w:t>En efecto, tal como lo ha sostenido el Consejo de Estado, el vocablo «todos» utilizado por el legislador comprende</w:t>
      </w:r>
      <w:r w:rsidRPr="00C84F90">
        <w:t xml:space="preserve"> </w:t>
      </w:r>
      <w:r w:rsidRPr="00C84F90">
        <w:rPr>
          <w:rFonts w:ascii="Arial"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1FC19298" w14:textId="77777777" w:rsidR="007323DA" w:rsidRPr="00C84F90" w:rsidRDefault="007323DA" w:rsidP="007323DA">
      <w:pPr>
        <w:spacing w:line="276" w:lineRule="auto"/>
        <w:ind w:firstLine="708"/>
        <w:jc w:val="both"/>
        <w:rPr>
          <w:rFonts w:ascii="Arial" w:hAnsi="Arial" w:cs="Arial"/>
          <w:bCs/>
          <w:sz w:val="22"/>
          <w:lang w:eastAsia="x-none"/>
        </w:rPr>
      </w:pPr>
    </w:p>
    <w:p w14:paraId="60219CBF" w14:textId="77777777" w:rsidR="007323DA" w:rsidRPr="00C84F90" w:rsidRDefault="007323DA" w:rsidP="007323DA">
      <w:pPr>
        <w:ind w:left="708" w:right="709"/>
        <w:jc w:val="both"/>
        <w:rPr>
          <w:rFonts w:ascii="Arial" w:hAnsi="Arial" w:cs="Arial"/>
          <w:bCs/>
          <w:sz w:val="21"/>
          <w:szCs w:val="21"/>
          <w:lang w:eastAsia="es-CO"/>
        </w:rPr>
      </w:pPr>
      <w:r w:rsidRPr="009F5860">
        <w:rPr>
          <w:rFonts w:ascii="Arial" w:eastAsia="Calibri" w:hAnsi="Arial" w:cs="Arial"/>
          <w:sz w:val="21"/>
          <w:szCs w:val="21"/>
          <w:lang w:val="es-ES"/>
        </w:rPr>
        <w:t>«</w:t>
      </w:r>
      <w:r w:rsidRPr="00C84F90">
        <w:rPr>
          <w:rFonts w:ascii="Arial" w:hAnsi="Arial" w:cs="Arial"/>
          <w:bCs/>
          <w:sz w:val="21"/>
          <w:szCs w:val="21"/>
          <w:lang w:eastAsia="x-none"/>
        </w:rPr>
        <w:t xml:space="preserve">El artículo 33 de la ley 996 de 2005, </w:t>
      </w:r>
      <w:bookmarkStart w:id="26" w:name="_Hlk75787147"/>
      <w:r w:rsidRPr="00C84F90">
        <w:rPr>
          <w:rFonts w:ascii="Arial" w:hAnsi="Arial" w:cs="Arial"/>
          <w:bCs/>
          <w:sz w:val="21"/>
          <w:szCs w:val="21"/>
          <w:lang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Fonts w:ascii="Arial" w:hAnsi="Arial" w:cs="Arial"/>
          <w:bCs/>
          <w:sz w:val="21"/>
          <w:szCs w:val="21"/>
          <w:lang w:eastAsia="x-none"/>
        </w:rPr>
        <w:t>.</w:t>
      </w:r>
      <w:r w:rsidRPr="009F5860">
        <w:rPr>
          <w:rFonts w:ascii="Arial" w:hAnsi="Arial" w:cs="Arial"/>
          <w:sz w:val="21"/>
          <w:szCs w:val="21"/>
          <w:lang w:val="es-ES"/>
        </w:rPr>
        <w:t>»</w:t>
      </w:r>
      <w:r w:rsidRPr="00C84F90">
        <w:rPr>
          <w:rFonts w:ascii="Arial" w:hAnsi="Arial" w:cs="Arial"/>
          <w:bCs/>
          <w:sz w:val="21"/>
          <w:szCs w:val="21"/>
          <w:vertAlign w:val="superscript"/>
          <w:lang w:eastAsia="x-none"/>
        </w:rPr>
        <w:footnoteReference w:id="22"/>
      </w:r>
      <w:r w:rsidRPr="00C84F90">
        <w:rPr>
          <w:rFonts w:ascii="Arial" w:hAnsi="Arial" w:cs="Arial"/>
          <w:bCs/>
          <w:sz w:val="21"/>
          <w:szCs w:val="21"/>
          <w:lang w:eastAsia="es-CO"/>
        </w:rPr>
        <w:t xml:space="preserve"> </w:t>
      </w:r>
    </w:p>
    <w:p w14:paraId="048728D4" w14:textId="77777777" w:rsidR="007323DA" w:rsidRPr="00C84F90" w:rsidRDefault="007323DA" w:rsidP="007323DA">
      <w:pPr>
        <w:spacing w:line="276" w:lineRule="auto"/>
        <w:ind w:firstLine="708"/>
        <w:jc w:val="both"/>
        <w:rPr>
          <w:rFonts w:ascii="Arial" w:hAnsi="Arial" w:cs="Arial"/>
          <w:bCs/>
          <w:sz w:val="22"/>
          <w:lang w:eastAsia="es-CO"/>
        </w:rPr>
      </w:pPr>
    </w:p>
    <w:p w14:paraId="5035ED89" w14:textId="77777777" w:rsidR="007323DA" w:rsidRPr="00C84F90" w:rsidRDefault="007323DA" w:rsidP="007323DA">
      <w:pPr>
        <w:spacing w:line="276" w:lineRule="auto"/>
        <w:ind w:firstLine="708"/>
        <w:jc w:val="both"/>
        <w:rPr>
          <w:rFonts w:ascii="Arial" w:hAnsi="Arial" w:cs="Arial"/>
          <w:sz w:val="22"/>
        </w:rPr>
      </w:pPr>
      <w:r>
        <w:rPr>
          <w:rFonts w:ascii="Arial" w:hAnsi="Arial" w:cs="Arial"/>
          <w:bCs/>
          <w:sz w:val="22"/>
          <w:lang w:eastAsia="x-none"/>
        </w:rPr>
        <w:t>De igual forma, e</w:t>
      </w:r>
      <w:r w:rsidRPr="00C84F90">
        <w:rPr>
          <w:rFonts w:ascii="Arial" w:hAnsi="Arial" w:cs="Arial"/>
          <w:bCs/>
          <w:sz w:val="22"/>
          <w:lang w:eastAsia="x-none"/>
        </w:rPr>
        <w:t>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84F90">
        <w:rPr>
          <w:rFonts w:ascii="Arial" w:hAnsi="Arial" w:cs="Arial"/>
          <w:vertAlign w:val="superscript"/>
        </w:rPr>
        <w:footnoteReference w:id="23"/>
      </w:r>
      <w:r w:rsidRPr="00C84F90">
        <w:rPr>
          <w:rFonts w:ascii="Arial" w:hAnsi="Arial" w:cs="Arial"/>
          <w:bCs/>
          <w:sz w:val="22"/>
          <w:lang w:eastAsia="x-none"/>
        </w:rPr>
        <w:t>.</w:t>
      </w:r>
      <w:r w:rsidRPr="00C84F90">
        <w:rPr>
          <w:rFonts w:ascii="Arial" w:hAnsi="Arial" w:cs="Arial"/>
          <w:sz w:val="22"/>
        </w:rPr>
        <w:t xml:space="preserve"> Sin embargo, debe precisarse el siguiente aspecto que distinguió la Sala de Consulta y Servicio Civil:</w:t>
      </w:r>
    </w:p>
    <w:p w14:paraId="3FE6742A" w14:textId="77777777" w:rsidR="007323DA" w:rsidRPr="00C84F90" w:rsidRDefault="007323DA" w:rsidP="00923CC1">
      <w:pPr>
        <w:jc w:val="both"/>
        <w:rPr>
          <w:rFonts w:ascii="Arial" w:hAnsi="Arial" w:cs="Arial"/>
          <w:sz w:val="22"/>
        </w:rPr>
      </w:pPr>
    </w:p>
    <w:p w14:paraId="07034F78" w14:textId="7B584BBE" w:rsidR="007323DA" w:rsidRPr="00C84F90" w:rsidRDefault="007323DA" w:rsidP="007323DA">
      <w:pPr>
        <w:ind w:left="708" w:right="709"/>
        <w:jc w:val="both"/>
        <w:rPr>
          <w:rFonts w:ascii="Arial" w:hAnsi="Arial" w:cs="Arial"/>
          <w:sz w:val="21"/>
          <w:szCs w:val="21"/>
        </w:rPr>
      </w:pPr>
      <w:r w:rsidRPr="00C84F90">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Arial" w:hAnsi="Arial" w:cs="Arial"/>
          <w:sz w:val="21"/>
          <w:szCs w:val="21"/>
        </w:rPr>
        <w:t>.</w:t>
      </w:r>
      <w:r w:rsidRPr="00C84F90">
        <w:rPr>
          <w:rFonts w:ascii="Arial" w:hAnsi="Arial" w:cs="Arial"/>
          <w:vertAlign w:val="superscript"/>
        </w:rPr>
        <w:footnoteReference w:id="24"/>
      </w:r>
      <w:r w:rsidRPr="009F1B7D">
        <w:rPr>
          <w:rFonts w:ascii="Arial" w:hAnsi="Arial" w:cs="Arial"/>
          <w:sz w:val="21"/>
          <w:szCs w:val="21"/>
          <w:lang w:val="es-ES"/>
        </w:rPr>
        <w:t xml:space="preserve"> </w:t>
      </w:r>
    </w:p>
    <w:p w14:paraId="250C6AC3" w14:textId="77777777" w:rsidR="007323DA" w:rsidRPr="00C84F90" w:rsidRDefault="007323DA" w:rsidP="007323DA">
      <w:pPr>
        <w:spacing w:line="276" w:lineRule="auto"/>
        <w:jc w:val="both"/>
        <w:rPr>
          <w:rFonts w:ascii="Arial" w:hAnsi="Arial" w:cs="Arial"/>
          <w:sz w:val="22"/>
        </w:rPr>
      </w:pPr>
    </w:p>
    <w:p w14:paraId="68688F35" w14:textId="77777777" w:rsidR="007323DA" w:rsidRPr="00C84F90" w:rsidRDefault="007323DA" w:rsidP="007323DA">
      <w:pPr>
        <w:spacing w:after="120" w:line="276" w:lineRule="auto"/>
        <w:ind w:firstLine="709"/>
        <w:jc w:val="both"/>
        <w:rPr>
          <w:rFonts w:ascii="Arial" w:hAnsi="Arial" w:cs="Arial"/>
          <w:bCs/>
          <w:sz w:val="22"/>
          <w:lang w:eastAsia="x-none"/>
        </w:rPr>
      </w:pPr>
      <w:r w:rsidRPr="00C84F90">
        <w:rPr>
          <w:rFonts w:ascii="Arial" w:hAnsi="Arial" w:cs="Arial"/>
          <w:sz w:val="22"/>
        </w:rPr>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C84F90">
        <w:rPr>
          <w:rFonts w:ascii="Arial" w:hAnsi="Arial" w:cs="Arial"/>
          <w:vertAlign w:val="superscript"/>
        </w:rPr>
        <w:t xml:space="preserve"> </w:t>
      </w:r>
      <w:r w:rsidRPr="00C84F90">
        <w:rPr>
          <w:rFonts w:ascii="Arial" w:hAnsi="Arial" w:cs="Arial"/>
          <w:sz w:val="22"/>
          <w:vertAlign w:val="superscript"/>
        </w:rPr>
        <w:footnoteReference w:id="25"/>
      </w:r>
      <w:r w:rsidRPr="00C84F90">
        <w:rPr>
          <w:rFonts w:ascii="Arial" w:hAnsi="Arial" w:cs="Arial"/>
          <w:sz w:val="22"/>
        </w:rPr>
        <w:t>.</w:t>
      </w:r>
    </w:p>
    <w:bookmarkEnd w:id="26"/>
    <w:p w14:paraId="67738D78" w14:textId="41458883" w:rsidR="007323DA" w:rsidRPr="00481068" w:rsidRDefault="007323DA" w:rsidP="00270683">
      <w:pPr>
        <w:spacing w:after="200" w:line="276" w:lineRule="auto"/>
        <w:ind w:firstLine="708"/>
        <w:jc w:val="both"/>
        <w:rPr>
          <w:rFonts w:ascii="Arial" w:eastAsia="Calibri" w:hAnsi="Arial" w:cs="Arial"/>
          <w:bCs/>
          <w:sz w:val="22"/>
          <w:lang w:val="es-ES" w:eastAsia="es-CO"/>
        </w:rPr>
      </w:pPr>
      <w:r w:rsidRPr="00C84F90">
        <w:rPr>
          <w:rFonts w:ascii="Arial" w:hAnsi="Arial" w:cs="Arial"/>
          <w:sz w:val="22"/>
        </w:rPr>
        <w:t xml:space="preserve">Por lo tanto, la restricción prevista en la Ley 996 de 2005, </w:t>
      </w:r>
      <w:r w:rsidRPr="00C84F90">
        <w:rPr>
          <w:rFonts w:ascii="Arial" w:hAnsi="Arial" w:cs="Arial"/>
          <w:bCs/>
          <w:sz w:val="22"/>
          <w:lang w:eastAsia="x-none"/>
        </w:rPr>
        <w:t xml:space="preserve">teniendo en cuenta la finalidad de la ley de garantías electorales, cobija a cualquier ente público que pueda a través de la contratación directa romper el equilibrio entre los candidatos en </w:t>
      </w:r>
      <w:r>
        <w:rPr>
          <w:rFonts w:ascii="Arial" w:hAnsi="Arial" w:cs="Arial"/>
          <w:bCs/>
          <w:sz w:val="22"/>
          <w:lang w:eastAsia="x-none"/>
        </w:rPr>
        <w:t xml:space="preserve">desarrollo de </w:t>
      </w:r>
      <w:r w:rsidRPr="00C84F90">
        <w:rPr>
          <w:rFonts w:ascii="Arial" w:hAnsi="Arial" w:cs="Arial"/>
          <w:bCs/>
          <w:sz w:val="22"/>
          <w:lang w:eastAsia="x-none"/>
        </w:rPr>
        <w:t xml:space="preserve">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w:t>
      </w:r>
      <w:r w:rsidRPr="00C84F90">
        <w:rPr>
          <w:rFonts w:ascii="Arial" w:hAnsi="Arial" w:cs="Arial"/>
          <w:bCs/>
          <w:sz w:val="22"/>
          <w:lang w:eastAsia="x-none"/>
        </w:rPr>
        <w:lastRenderedPageBreak/>
        <w:t>tanto en la contratación regulada por la Ley 80 de 1993 como en la regida por el Derecho Privado.</w:t>
      </w:r>
    </w:p>
    <w:p w14:paraId="57073432" w14:textId="77777777" w:rsidR="007323DA" w:rsidRPr="00481068" w:rsidRDefault="007323DA" w:rsidP="007323DA">
      <w:pPr>
        <w:spacing w:line="276" w:lineRule="auto"/>
        <w:jc w:val="both"/>
        <w:rPr>
          <w:rFonts w:ascii="Arial" w:eastAsia="Calibri" w:hAnsi="Arial" w:cs="Arial"/>
          <w:sz w:val="22"/>
        </w:rPr>
      </w:pPr>
      <w:r w:rsidRPr="00481068">
        <w:rPr>
          <w:rFonts w:ascii="Arial" w:eastAsia="Calibri" w:hAnsi="Arial" w:cs="Arial"/>
          <w:b/>
          <w:bCs/>
          <w:color w:val="000000"/>
          <w:sz w:val="22"/>
        </w:rPr>
        <w:t xml:space="preserve">2.3. </w:t>
      </w:r>
      <w:r w:rsidRPr="00481068">
        <w:rPr>
          <w:rFonts w:ascii="Arial" w:hAnsi="Arial" w:cs="Arial"/>
          <w:b/>
          <w:bCs/>
          <w:color w:val="000000" w:themeColor="text1"/>
          <w:sz w:val="22"/>
        </w:rPr>
        <w:t>Contratos con organismos internacionales y restricciones de la Ley de Garantías para la contratación directa</w:t>
      </w:r>
    </w:p>
    <w:p w14:paraId="4A6A48D1" w14:textId="77777777" w:rsidR="007323DA" w:rsidRPr="00481068" w:rsidRDefault="007323DA" w:rsidP="00923CC1">
      <w:pPr>
        <w:snapToGrid w:val="0"/>
        <w:jc w:val="both"/>
        <w:rPr>
          <w:rFonts w:ascii="Arial" w:eastAsia="Calibri" w:hAnsi="Arial" w:cs="Arial"/>
          <w:bCs/>
          <w:sz w:val="22"/>
        </w:rPr>
      </w:pPr>
    </w:p>
    <w:p w14:paraId="6A784DEB" w14:textId="77777777" w:rsidR="007323DA" w:rsidRPr="00481068" w:rsidRDefault="007323DA" w:rsidP="007323DA">
      <w:pPr>
        <w:spacing w:after="120" w:line="276" w:lineRule="auto"/>
        <w:jc w:val="both"/>
        <w:rPr>
          <w:rFonts w:ascii="Arial" w:hAnsi="Arial" w:cs="Arial"/>
          <w:sz w:val="22"/>
          <w:lang w:val="es-ES"/>
        </w:rPr>
      </w:pPr>
      <w:bookmarkStart w:id="27" w:name="_Hlk99449041"/>
      <w:r w:rsidRPr="00481068">
        <w:rPr>
          <w:rFonts w:ascii="Arial" w:hAnsi="Arial" w:cs="Arial"/>
          <w:sz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481068">
        <w:rPr>
          <w:rStyle w:val="Refdenotaalpie"/>
          <w:rFonts w:ascii="Arial" w:hAnsi="Arial" w:cs="Arial"/>
          <w:sz w:val="22"/>
        </w:rPr>
        <w:footnoteReference w:id="26"/>
      </w:r>
      <w:r w:rsidRPr="00481068">
        <w:rPr>
          <w:rFonts w:ascii="Arial" w:hAnsi="Arial" w:cs="Arial"/>
          <w:sz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245221F7" w14:textId="77777777" w:rsidR="007323DA" w:rsidRPr="00481068" w:rsidRDefault="007323DA" w:rsidP="007323DA">
      <w:pPr>
        <w:pStyle w:val="Prrafodelista"/>
        <w:snapToGrid w:val="0"/>
        <w:spacing w:before="120" w:after="120" w:line="276" w:lineRule="auto"/>
        <w:ind w:left="0" w:firstLine="709"/>
        <w:jc w:val="both"/>
        <w:rPr>
          <w:rFonts w:ascii="Arial" w:eastAsia="Calibri" w:hAnsi="Arial" w:cs="Arial"/>
          <w:sz w:val="22"/>
        </w:rPr>
      </w:pPr>
      <w:bookmarkStart w:id="28" w:name="_Hlk99449078"/>
      <w:bookmarkEnd w:id="27"/>
      <w:r w:rsidRPr="00481068">
        <w:rPr>
          <w:rFonts w:ascii="Arial" w:eastAsia="Calibri" w:hAnsi="Arial" w:cs="Arial"/>
          <w:sz w:val="22"/>
        </w:rPr>
        <w:t>El artículo 13 de la Ley 80 de 1993 regula de forma general el régimen aplicable a los contratos que celebren las entidades referidas en el artículo segundo del estatuto</w:t>
      </w:r>
      <w:r w:rsidRPr="00481068">
        <w:rPr>
          <w:rStyle w:val="Refdenotaalpie"/>
          <w:rFonts w:ascii="Arial" w:hAnsi="Arial" w:cs="Arial"/>
          <w:sz w:val="22"/>
        </w:rPr>
        <w:footnoteReference w:id="27"/>
      </w:r>
      <w:r w:rsidRPr="00481068">
        <w:rPr>
          <w:rFonts w:ascii="Arial" w:eastAsia="Calibri" w:hAnsi="Arial" w:cs="Arial"/>
          <w:sz w:val="22"/>
        </w:rPr>
        <w:t xml:space="preserve">,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bookmarkEnd w:id="28"/>
    </w:p>
    <w:p w14:paraId="7DEDC24A" w14:textId="77777777" w:rsidR="007323DA" w:rsidRPr="00481068" w:rsidRDefault="007323DA" w:rsidP="007323DA">
      <w:pPr>
        <w:pStyle w:val="Prrafodelista"/>
        <w:snapToGrid w:val="0"/>
        <w:spacing w:before="120" w:after="120" w:line="276" w:lineRule="auto"/>
        <w:ind w:left="0" w:firstLine="709"/>
        <w:jc w:val="both"/>
        <w:rPr>
          <w:rFonts w:ascii="Arial" w:eastAsia="Calibri" w:hAnsi="Arial" w:cs="Arial"/>
          <w:sz w:val="12"/>
          <w:szCs w:val="12"/>
        </w:rPr>
      </w:pPr>
    </w:p>
    <w:p w14:paraId="25438E9D" w14:textId="77777777" w:rsidR="007323DA" w:rsidRPr="00481068" w:rsidRDefault="007323DA" w:rsidP="007323DA">
      <w:pPr>
        <w:pStyle w:val="Prrafodelista"/>
        <w:snapToGrid w:val="0"/>
        <w:spacing w:line="276" w:lineRule="auto"/>
        <w:ind w:left="0" w:firstLine="709"/>
        <w:jc w:val="both"/>
        <w:rPr>
          <w:rFonts w:ascii="Arial" w:eastAsia="Calibri" w:hAnsi="Arial" w:cs="Arial"/>
          <w:sz w:val="22"/>
        </w:rPr>
      </w:pPr>
      <w:r w:rsidRPr="00481068">
        <w:rPr>
          <w:rFonts w:ascii="Arial" w:eastAsia="Calibri" w:hAnsi="Arial" w:cs="Arial"/>
          <w:sz w:val="22"/>
        </w:rPr>
        <w:t xml:space="preserve">Nótese cómo el artículo citado permite que las entidades estatales no se rijan siempre por la normativa colombiana, permitiendo, en algunos casos, la aplicación de la ley </w:t>
      </w:r>
      <w:r w:rsidRPr="00481068">
        <w:rPr>
          <w:rFonts w:ascii="Arial" w:eastAsia="Calibri" w:hAnsi="Arial" w:cs="Arial"/>
          <w:sz w:val="22"/>
        </w:rPr>
        <w:lastRenderedPageBreak/>
        <w:t>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2BC2EF15" w14:textId="77777777" w:rsidR="007323DA" w:rsidRPr="00481068" w:rsidRDefault="007323DA" w:rsidP="007323DA">
      <w:pPr>
        <w:pStyle w:val="Prrafodelista"/>
        <w:snapToGrid w:val="0"/>
        <w:spacing w:line="276" w:lineRule="auto"/>
        <w:ind w:left="0" w:firstLine="709"/>
        <w:jc w:val="both"/>
        <w:rPr>
          <w:rFonts w:ascii="Arial" w:eastAsia="Calibri" w:hAnsi="Arial" w:cs="Arial"/>
          <w:sz w:val="22"/>
        </w:rPr>
      </w:pPr>
    </w:p>
    <w:p w14:paraId="705ACE7E" w14:textId="4F415447" w:rsidR="007323DA" w:rsidRPr="00481068" w:rsidRDefault="007323DA" w:rsidP="007323DA">
      <w:pPr>
        <w:pStyle w:val="Prrafodelista"/>
        <w:ind w:left="709" w:right="709"/>
        <w:jc w:val="both"/>
        <w:rPr>
          <w:rFonts w:ascii="Arial" w:eastAsia="MS Mincho" w:hAnsi="Arial" w:cs="Arial"/>
          <w:sz w:val="21"/>
          <w:szCs w:val="21"/>
          <w:lang w:eastAsia="es-ES"/>
        </w:rPr>
      </w:pPr>
      <w:r w:rsidRPr="00481068">
        <w:rPr>
          <w:rFonts w:ascii="Arial" w:eastAsia="MS Mincho" w:hAnsi="Arial" w:cs="Arial"/>
          <w:sz w:val="21"/>
          <w:szCs w:val="21"/>
          <w:lang w:eastAsia="es-ES"/>
        </w:rPr>
        <w:t>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481068">
        <w:rPr>
          <w:rStyle w:val="Refdenotaalpie"/>
          <w:rFonts w:ascii="Arial" w:hAnsi="Arial" w:cs="Arial"/>
          <w:sz w:val="21"/>
          <w:szCs w:val="21"/>
        </w:rPr>
        <w:footnoteReference w:id="28"/>
      </w:r>
      <w:r w:rsidRPr="00481068">
        <w:rPr>
          <w:rFonts w:ascii="Arial" w:eastAsia="MS Mincho" w:hAnsi="Arial" w:cs="Arial"/>
          <w:sz w:val="21"/>
          <w:szCs w:val="21"/>
          <w:lang w:eastAsia="es-ES"/>
        </w:rPr>
        <w:t xml:space="preserve">. </w:t>
      </w:r>
    </w:p>
    <w:p w14:paraId="66B0BE1E" w14:textId="77777777" w:rsidR="007323DA" w:rsidRPr="00481068" w:rsidRDefault="007323DA" w:rsidP="007323DA">
      <w:pPr>
        <w:pStyle w:val="Prrafodelista"/>
        <w:spacing w:before="120"/>
        <w:ind w:left="851" w:right="709"/>
        <w:rPr>
          <w:rFonts w:ascii="Arial" w:eastAsia="Calibri" w:hAnsi="Arial" w:cs="Arial"/>
          <w:sz w:val="22"/>
        </w:rPr>
      </w:pPr>
    </w:p>
    <w:p w14:paraId="257A78F7" w14:textId="77777777" w:rsidR="007323DA" w:rsidRPr="00481068" w:rsidRDefault="007323DA" w:rsidP="007323DA">
      <w:pPr>
        <w:spacing w:line="276" w:lineRule="auto"/>
        <w:ind w:firstLine="709"/>
        <w:jc w:val="both"/>
        <w:rPr>
          <w:rFonts w:ascii="Arial" w:eastAsia="Calibri" w:hAnsi="Arial" w:cs="Arial"/>
          <w:sz w:val="22"/>
          <w:lang w:val="es-ES"/>
        </w:rPr>
      </w:pPr>
      <w:r w:rsidRPr="00481068">
        <w:rPr>
          <w:rFonts w:ascii="Arial" w:eastAsia="Calibri" w:hAnsi="Arial" w:cs="Arial"/>
          <w:sz w:val="22"/>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481068">
        <w:rPr>
          <w:rStyle w:val="Refdenotaalpie"/>
          <w:rFonts w:ascii="Arial" w:eastAsia="Calibri" w:hAnsi="Arial" w:cs="Arial"/>
          <w:sz w:val="22"/>
        </w:rPr>
        <w:footnoteReference w:id="29"/>
      </w:r>
      <w:r w:rsidRPr="00481068">
        <w:rPr>
          <w:rFonts w:ascii="Arial" w:eastAsia="Calibri" w:hAnsi="Arial" w:cs="Arial"/>
          <w:sz w:val="22"/>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14:paraId="667F5D11" w14:textId="77777777" w:rsidR="007323DA" w:rsidRPr="00AA758C" w:rsidRDefault="007323DA" w:rsidP="007323DA">
      <w:pPr>
        <w:spacing w:before="120" w:after="120" w:line="276" w:lineRule="auto"/>
        <w:ind w:firstLine="709"/>
        <w:jc w:val="both"/>
        <w:rPr>
          <w:rFonts w:ascii="Arial" w:eastAsia="Calibri" w:hAnsi="Arial" w:cs="Arial"/>
          <w:sz w:val="22"/>
          <w:lang w:val="es-ES"/>
        </w:rPr>
      </w:pPr>
      <w:r w:rsidRPr="00481068">
        <w:rPr>
          <w:rFonts w:ascii="Arial" w:eastAsia="Calibri" w:hAnsi="Arial" w:cs="Arial"/>
          <w:sz w:val="22"/>
          <w:lang w:val="es-ES"/>
        </w:rPr>
        <w:lastRenderedPageBreak/>
        <w:t>Para comprender el alcance del régimen aplicable a los contratos o convenios que se suscriban con organismos internacionales, de acuerdo con la financiación de estos, resulta necesario analizar el artículo 20 de la Ley 1150 de 2007</w:t>
      </w:r>
      <w:r w:rsidRPr="00481068">
        <w:rPr>
          <w:rStyle w:val="Refdenotaalpie"/>
          <w:rFonts w:ascii="Arial" w:eastAsia="Calibri" w:hAnsi="Arial" w:cs="Arial"/>
          <w:sz w:val="22"/>
        </w:rPr>
        <w:footnoteReference w:id="30"/>
      </w:r>
      <w:r w:rsidRPr="00481068">
        <w:rPr>
          <w:rFonts w:ascii="Arial" w:eastAsia="Calibri" w:hAnsi="Arial" w:cs="Arial"/>
          <w:sz w:val="22"/>
          <w:lang w:val="es-ES"/>
        </w:rPr>
        <w:t xml:space="preserve">. De conformidad con este artículo, en lo que tiene que ver con el </w:t>
      </w:r>
      <w:r w:rsidRPr="00481068">
        <w:rPr>
          <w:rFonts w:ascii="Arial" w:eastAsia="Calibri" w:hAnsi="Arial" w:cs="Arial"/>
          <w:i/>
          <w:iCs/>
          <w:sz w:val="22"/>
          <w:lang w:val="es-ES"/>
        </w:rPr>
        <w:t>inciso primero</w:t>
      </w:r>
      <w:r w:rsidRPr="00481068">
        <w:rPr>
          <w:rFonts w:ascii="Arial" w:eastAsia="Calibri" w:hAnsi="Arial" w:cs="Arial"/>
          <w:sz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w:t>
      </w:r>
      <w:r w:rsidRPr="00AA758C">
        <w:rPr>
          <w:rFonts w:ascii="Arial" w:eastAsia="Calibri" w:hAnsi="Arial" w:cs="Arial"/>
          <w:sz w:val="22"/>
          <w:lang w:val="es-ES"/>
        </w:rPr>
        <w:t xml:space="preserve">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3F223E00" w14:textId="77777777" w:rsidR="007323DA" w:rsidRPr="00481068" w:rsidRDefault="007323DA" w:rsidP="007323DA">
      <w:pPr>
        <w:spacing w:before="120" w:line="276" w:lineRule="auto"/>
        <w:ind w:firstLine="709"/>
        <w:jc w:val="both"/>
        <w:rPr>
          <w:rFonts w:ascii="Arial" w:eastAsia="Calibri" w:hAnsi="Arial" w:cs="Arial"/>
          <w:sz w:val="22"/>
          <w:lang w:val="es-ES"/>
        </w:rPr>
      </w:pPr>
      <w:r w:rsidRPr="00AA758C">
        <w:rPr>
          <w:rFonts w:ascii="Arial" w:eastAsia="Calibri" w:hAnsi="Arial" w:cs="Arial"/>
          <w:sz w:val="22"/>
          <w:lang w:val="es-ES"/>
        </w:rPr>
        <w:t xml:space="preserve">Por otro lado, la norma establece un segundo criterio, en el </w:t>
      </w:r>
      <w:r w:rsidRPr="00AA758C">
        <w:rPr>
          <w:rFonts w:ascii="Arial" w:eastAsia="Calibri" w:hAnsi="Arial" w:cs="Arial"/>
          <w:i/>
          <w:iCs/>
          <w:sz w:val="22"/>
          <w:lang w:val="es-ES"/>
        </w:rPr>
        <w:t>inciso segundo,</w:t>
      </w:r>
      <w:r w:rsidRPr="00AA758C">
        <w:rPr>
          <w:rFonts w:ascii="Arial" w:eastAsia="Calibri" w:hAnsi="Arial" w:cs="Arial"/>
          <w:sz w:val="22"/>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entidades. En tal sentido, los otros supuestos en que es posible someter el régimen contractual a los reglamentos de los organismos internacionales son los siguientes</w:t>
      </w:r>
      <w:r w:rsidRPr="00481068">
        <w:rPr>
          <w:rFonts w:ascii="Arial" w:eastAsia="Calibri" w:hAnsi="Arial" w:cs="Arial"/>
          <w:sz w:val="22"/>
          <w:lang w:val="es-ES"/>
        </w:rPr>
        <w:t xml:space="preserve">: </w:t>
      </w:r>
    </w:p>
    <w:p w14:paraId="1FB16443" w14:textId="77777777" w:rsidR="007323DA" w:rsidRPr="00481068" w:rsidRDefault="007323DA" w:rsidP="007323DA">
      <w:pPr>
        <w:spacing w:line="276" w:lineRule="auto"/>
        <w:ind w:firstLine="709"/>
        <w:jc w:val="both"/>
        <w:rPr>
          <w:rFonts w:ascii="Arial" w:eastAsia="Calibri" w:hAnsi="Arial" w:cs="Arial"/>
          <w:sz w:val="22"/>
          <w:lang w:val="es-ES"/>
        </w:rPr>
      </w:pPr>
    </w:p>
    <w:p w14:paraId="73602525" w14:textId="77777777" w:rsidR="007323DA" w:rsidRPr="00481068" w:rsidRDefault="007323DA" w:rsidP="007323DA">
      <w:pPr>
        <w:pStyle w:val="Prrafodelista"/>
        <w:numPr>
          <w:ilvl w:val="0"/>
          <w:numId w:val="29"/>
        </w:numPr>
        <w:spacing w:after="200" w:line="276" w:lineRule="auto"/>
        <w:ind w:left="1134" w:right="709" w:hanging="141"/>
        <w:jc w:val="both"/>
        <w:rPr>
          <w:rFonts w:ascii="Arial" w:eastAsia="Calibri" w:hAnsi="Arial" w:cs="Arial"/>
          <w:sz w:val="21"/>
          <w:szCs w:val="21"/>
        </w:rPr>
      </w:pPr>
      <w:r w:rsidRPr="00481068">
        <w:rPr>
          <w:rFonts w:ascii="Arial" w:eastAsia="Calibri" w:hAnsi="Arial" w:cs="Arial"/>
          <w:sz w:val="21"/>
          <w:szCs w:val="21"/>
        </w:rPr>
        <w:lastRenderedPageBreak/>
        <w:t xml:space="preserve">Desarrollo de programas de promoción, prevención y atención en salud. </w:t>
      </w:r>
    </w:p>
    <w:p w14:paraId="4A7DEF3B"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necesarios para la operación de la OIT.</w:t>
      </w:r>
    </w:p>
    <w:p w14:paraId="5C4F8EC3"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que se ejecuten en desarrollo del sistema integrado de monitoreo de cultivos ilícitos.</w:t>
      </w:r>
    </w:p>
    <w:p w14:paraId="7324B0FE"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la operación del programa mundial de alimentos.</w:t>
      </w:r>
    </w:p>
    <w:p w14:paraId="61A6FE87"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el desarrollo de programas de apoyo educativo a población desplazada y vulnerable adelantados por la Unesco y la OIM.</w:t>
      </w:r>
    </w:p>
    <w:p w14:paraId="5E7F5D6E"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2"/>
        </w:rPr>
      </w:pPr>
      <w:r w:rsidRPr="00481068">
        <w:rPr>
          <w:rFonts w:ascii="Arial" w:hAnsi="Arial" w:cs="Arial"/>
          <w:sz w:val="21"/>
          <w:szCs w:val="21"/>
        </w:rPr>
        <w:t>Los contratos o convenios financiados con fondos de los organismos multilaterales de crédito y entes gubernamentales extranjeros.</w:t>
      </w:r>
      <w:r w:rsidRPr="00481068">
        <w:rPr>
          <w:rFonts w:ascii="Arial" w:hAnsi="Arial" w:cs="Arial"/>
          <w:sz w:val="22"/>
        </w:rPr>
        <w:t xml:space="preserve"> </w:t>
      </w:r>
    </w:p>
    <w:p w14:paraId="57301D60" w14:textId="77777777" w:rsidR="007323DA" w:rsidRPr="00481068" w:rsidRDefault="007323DA" w:rsidP="007323DA">
      <w:pPr>
        <w:pStyle w:val="Prrafodelista"/>
        <w:ind w:left="1429"/>
        <w:rPr>
          <w:rFonts w:ascii="Arial" w:hAnsi="Arial" w:cs="Arial"/>
          <w:sz w:val="22"/>
        </w:rPr>
      </w:pPr>
    </w:p>
    <w:p w14:paraId="6BE3D299" w14:textId="77777777" w:rsidR="007323DA" w:rsidRPr="00481068" w:rsidRDefault="007323DA" w:rsidP="007323DA">
      <w:pPr>
        <w:spacing w:line="276" w:lineRule="auto"/>
        <w:ind w:firstLine="709"/>
        <w:jc w:val="both"/>
        <w:rPr>
          <w:rFonts w:ascii="Arial" w:eastAsia="Calibri" w:hAnsi="Arial" w:cs="Arial"/>
          <w:sz w:val="22"/>
          <w:lang w:val="es-ES"/>
        </w:rPr>
      </w:pPr>
      <w:r w:rsidRPr="00481068">
        <w:rPr>
          <w:rFonts w:ascii="Arial" w:eastAsia="Calibri" w:hAnsi="Arial" w:cs="Arial"/>
          <w:sz w:val="22"/>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14:paraId="1E1338E9" w14:textId="77777777" w:rsidR="007323DA" w:rsidRPr="00481068" w:rsidRDefault="007323DA" w:rsidP="007323DA">
      <w:pPr>
        <w:spacing w:line="276" w:lineRule="auto"/>
        <w:ind w:firstLine="709"/>
        <w:jc w:val="both"/>
        <w:rPr>
          <w:rFonts w:ascii="Arial" w:eastAsia="Calibri" w:hAnsi="Arial" w:cs="Arial"/>
          <w:sz w:val="22"/>
          <w:lang w:val="es-ES"/>
        </w:rPr>
      </w:pPr>
    </w:p>
    <w:p w14:paraId="627B09E6" w14:textId="15B04D0B" w:rsidR="007323DA" w:rsidRPr="00481068" w:rsidRDefault="00AA758C" w:rsidP="007323DA">
      <w:pPr>
        <w:ind w:left="709" w:right="709"/>
        <w:jc w:val="both"/>
        <w:rPr>
          <w:rFonts w:ascii="Arial" w:eastAsia="Calibri" w:hAnsi="Arial" w:cs="Arial"/>
          <w:sz w:val="21"/>
          <w:szCs w:val="21"/>
          <w:lang w:val="es-ES"/>
        </w:rPr>
      </w:pPr>
      <w:r w:rsidRPr="006337DF">
        <w:rPr>
          <w:rFonts w:ascii="Arial" w:hAnsi="Arial" w:cs="Arial"/>
          <w:sz w:val="21"/>
          <w:szCs w:val="21"/>
        </w:rPr>
        <w:t>«</w:t>
      </w:r>
      <w:r w:rsidR="007323DA" w:rsidRPr="00481068">
        <w:rPr>
          <w:rFonts w:ascii="Arial" w:eastAsia="Calibri" w:hAnsi="Arial"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Pr="006337DF">
        <w:rPr>
          <w:rFonts w:ascii="Arial" w:hAnsi="Arial" w:cs="Arial"/>
          <w:sz w:val="21"/>
          <w:szCs w:val="21"/>
        </w:rPr>
        <w:t>»</w:t>
      </w:r>
    </w:p>
    <w:p w14:paraId="2537B2CB" w14:textId="77777777" w:rsidR="007323DA" w:rsidRPr="00481068" w:rsidRDefault="007323DA" w:rsidP="007323DA">
      <w:pPr>
        <w:ind w:left="709" w:right="709"/>
        <w:jc w:val="both"/>
        <w:rPr>
          <w:rFonts w:ascii="Arial" w:eastAsia="Calibri" w:hAnsi="Arial" w:cs="Arial"/>
          <w:sz w:val="22"/>
          <w:lang w:val="es-ES"/>
        </w:rPr>
      </w:pPr>
    </w:p>
    <w:p w14:paraId="64D2E159" w14:textId="77777777" w:rsidR="007323DA" w:rsidRPr="00481068" w:rsidRDefault="007323DA" w:rsidP="007323DA">
      <w:pPr>
        <w:spacing w:after="120" w:line="276" w:lineRule="auto"/>
        <w:ind w:firstLine="709"/>
        <w:jc w:val="both"/>
        <w:rPr>
          <w:rFonts w:ascii="Arial" w:hAnsi="Arial" w:cs="Arial"/>
          <w:sz w:val="22"/>
        </w:rPr>
      </w:pPr>
      <w:r w:rsidRPr="00481068">
        <w:rPr>
          <w:rFonts w:ascii="Arial" w:eastAsia="Calibri" w:hAnsi="Arial" w:cs="Arial"/>
          <w:sz w:val="22"/>
          <w:lang w:val="es-ES"/>
        </w:rPr>
        <w:t xml:space="preserve">De otra parte, en relación con los contratos del inciso primero del artículo 20 de la Ley 1150 de 2007, conviene mencionar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dispuso que: «se deben modificar los contratos o convenios para efectos de que estos estén sujetos a las normas </w:t>
      </w:r>
      <w:r w:rsidRPr="00481068">
        <w:rPr>
          <w:rFonts w:ascii="Arial" w:eastAsia="Calibri" w:hAnsi="Arial" w:cs="Arial"/>
          <w:sz w:val="22"/>
          <w:lang w:val="es-ES"/>
        </w:rPr>
        <w:lastRenderedPageBreak/>
        <w:t>del sistema de compras y contratación pública, si el aporte de recursos públicos es superior al cincuenta por ciento (50%) del total o de las normas internas de la entidad de cooperación si el aporte es inferior»</w:t>
      </w:r>
      <w:r w:rsidRPr="00481068">
        <w:rPr>
          <w:rStyle w:val="Refdenotaalpie"/>
          <w:rFonts w:ascii="Arial" w:eastAsia="Calibri" w:hAnsi="Arial" w:cs="Arial"/>
          <w:sz w:val="22"/>
        </w:rPr>
        <w:footnoteReference w:id="31"/>
      </w:r>
      <w:r w:rsidRPr="00481068">
        <w:rPr>
          <w:rFonts w:ascii="Arial" w:eastAsia="Calibri" w:hAnsi="Arial" w:cs="Arial"/>
          <w:sz w:val="22"/>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481068">
        <w:rPr>
          <w:rFonts w:ascii="Arial" w:hAnsi="Arial" w:cs="Arial"/>
          <w:sz w:val="22"/>
        </w:rPr>
        <w:t xml:space="preserve">. </w:t>
      </w:r>
    </w:p>
    <w:p w14:paraId="091BF7BD" w14:textId="77777777" w:rsidR="007323DA" w:rsidRPr="00481068" w:rsidRDefault="007323DA" w:rsidP="007323DA">
      <w:pPr>
        <w:snapToGrid w:val="0"/>
        <w:spacing w:after="120" w:line="276" w:lineRule="auto"/>
        <w:ind w:firstLine="709"/>
        <w:jc w:val="both"/>
        <w:rPr>
          <w:rFonts w:ascii="Arial" w:eastAsia="Calibri" w:hAnsi="Arial" w:cs="Arial"/>
          <w:sz w:val="22"/>
          <w:lang w:val="es-ES"/>
        </w:rPr>
      </w:pPr>
      <w:r w:rsidRPr="00481068">
        <w:rPr>
          <w:rFonts w:ascii="Arial" w:hAnsi="Arial" w:cs="Arial"/>
          <w:sz w:val="22"/>
        </w:rPr>
        <w:t xml:space="preserve">Ahora bien, de acuerdo con el </w:t>
      </w:r>
      <w:r w:rsidRPr="00481068">
        <w:rPr>
          <w:rFonts w:ascii="Arial" w:eastAsia="Calibri" w:hAnsi="Arial" w:cs="Arial"/>
          <w:sz w:val="22"/>
          <w:lang w:val="es-ES"/>
        </w:rPr>
        <w:t>Concepto CU-180 del 8 de abril de 2022 de esta Agencia, el artículo 20 de la Ley 1150 de 2007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 Por tanto, sobre el artículo 33 de la Ley de Garantías</w:t>
      </w:r>
      <w:r w:rsidRPr="00481068">
        <w:rPr>
          <w:rFonts w:ascii="Arial" w:eastAsia="Calibri" w:hAnsi="Arial" w:cs="Arial"/>
          <w:sz w:val="22"/>
        </w:rPr>
        <w:t xml:space="preserve">, </w:t>
      </w:r>
      <w:r w:rsidRPr="00481068">
        <w:rPr>
          <w:rFonts w:ascii="Arial" w:eastAsia="Calibri" w:hAnsi="Arial" w:cs="Arial"/>
          <w:sz w:val="22"/>
          <w:lang w:val="es-ES"/>
        </w:rPr>
        <w:t xml:space="preserve">la Agencia –al retomar la tesis del Concepto C-559 del 31 de agosto de 2021– consideró lo siguiente: «[…] </w:t>
      </w:r>
      <w:r w:rsidRPr="00481068">
        <w:rPr>
          <w:rFonts w:ascii="Arial" w:eastAsia="Calibri" w:hAnsi="Arial" w:cs="Arial"/>
          <w:i/>
          <w:iCs/>
          <w:sz w:val="22"/>
          <w:lang w:val="es-ES"/>
        </w:rPr>
        <w:t>dado que</w:t>
      </w:r>
      <w:r w:rsidRPr="00481068">
        <w:rPr>
          <w:rFonts w:ascii="Arial" w:eastAsia="Calibri" w:hAnsi="Arial" w:cs="Arial"/>
          <w:sz w:val="22"/>
          <w:lang w:val="es-ES"/>
        </w:rPr>
        <w:t xml:space="preserve"> […] </w:t>
      </w:r>
      <w:r w:rsidRPr="00481068">
        <w:rPr>
          <w:rFonts w:ascii="Arial" w:eastAsia="Calibri" w:hAnsi="Arial" w:cs="Arial"/>
          <w:i/>
          <w:iCs/>
          <w:sz w:val="22"/>
          <w:lang w:val="es-ES"/>
        </w:rPr>
        <w:t xml:space="preserve">existen algunos casos en los cuales el legislador habilitó a las entidades públicas para que suscribieran contratos </w:t>
      </w:r>
      <w:r w:rsidRPr="00481068">
        <w:rPr>
          <w:rFonts w:ascii="Arial" w:eastAsia="Calibri" w:hAnsi="Arial" w:cs="Arial"/>
          <w:i/>
          <w:iCs/>
          <w:sz w:val="22"/>
          <w:lang w:val="es-ES"/>
        </w:rPr>
        <w:lastRenderedPageBreak/>
        <w:t>cuyo régimen es distinto al derecho nacional,</w:t>
      </w:r>
      <w:r w:rsidRPr="00481068">
        <w:rPr>
          <w:rFonts w:ascii="Arial" w:eastAsia="Calibri" w:hAnsi="Arial" w:cs="Arial"/>
          <w:sz w:val="22"/>
          <w:lang w:val="es-ES"/>
        </w:rPr>
        <w:t xml:space="preserve"> […] </w:t>
      </w:r>
      <w:r w:rsidRPr="00481068">
        <w:rPr>
          <w:rFonts w:ascii="Arial" w:eastAsia="Calibri" w:hAnsi="Arial" w:cs="Arial"/>
          <w:i/>
          <w:iCs/>
          <w:sz w:val="22"/>
          <w:lang w:val="es-ES"/>
        </w:rPr>
        <w:t>en estos eventos dicha restricción no sería aplicable</w:t>
      </w:r>
      <w:r w:rsidRPr="00481068">
        <w:rPr>
          <w:rFonts w:ascii="Arial" w:eastAsia="Calibri" w:hAnsi="Arial" w:cs="Arial"/>
          <w:sz w:val="22"/>
          <w:lang w:val="es-ES"/>
        </w:rPr>
        <w:t xml:space="preserve">» (Énfasis fuera de texto). </w:t>
      </w:r>
    </w:p>
    <w:p w14:paraId="10FBD06D" w14:textId="77777777" w:rsidR="007323DA" w:rsidRPr="00481068" w:rsidRDefault="007323DA" w:rsidP="007323DA">
      <w:pPr>
        <w:snapToGrid w:val="0"/>
        <w:spacing w:line="276" w:lineRule="auto"/>
        <w:ind w:firstLine="708"/>
        <w:jc w:val="both"/>
        <w:rPr>
          <w:rFonts w:ascii="Arial" w:eastAsia="Calibri" w:hAnsi="Arial" w:cs="Arial"/>
          <w:sz w:val="22"/>
          <w:lang w:val="es-ES"/>
        </w:rPr>
      </w:pPr>
      <w:r w:rsidRPr="00481068">
        <w:rPr>
          <w:rFonts w:ascii="Arial" w:eastAsia="Calibri" w:hAnsi="Arial" w:cs="Arial"/>
          <w:sz w:val="22"/>
          <w:lang w:val="es-E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 en el Concepto CU-180 del 8 de abril de 2022, la Agencia estimó que:</w:t>
      </w:r>
    </w:p>
    <w:p w14:paraId="27779302" w14:textId="77777777" w:rsidR="007323DA" w:rsidRPr="00481068" w:rsidRDefault="007323DA" w:rsidP="007323DA">
      <w:pPr>
        <w:snapToGrid w:val="0"/>
        <w:spacing w:line="276" w:lineRule="auto"/>
        <w:jc w:val="both"/>
        <w:rPr>
          <w:rFonts w:ascii="Arial" w:eastAsia="Calibri" w:hAnsi="Arial" w:cs="Arial"/>
          <w:sz w:val="22"/>
          <w:lang w:val="es-ES"/>
        </w:rPr>
      </w:pPr>
    </w:p>
    <w:p w14:paraId="314F6A0D" w14:textId="184B1351"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 siempre y cuando se cumplan con los requisitos que el artículo 20 impone, las partes que deseen contratar podrán incorporar las normas contenidas en los reglamentos de los organismos internacionales, de forma completa y absoluta o de manera sectorizada y parcial. En este último caso, entonces, podrán convenir, por ejemplo, que al contrato se apliquen solo ciertas normas extranjeras de su reglamento relacionadas con el procedimiento de selección o la forma de celebrar el contrato, y estipular que la ejecución de este se regirá por el ordenamiento nacional. </w:t>
      </w:r>
    </w:p>
    <w:p w14:paraId="4EA442A6" w14:textId="77777777"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En todo caso, dada la naturaleza potestativa de la variación de régimen normativo que gobierna el contrato, las partes serán las encargadas de establecer el alcance de tal variación, optando por el régimen nacional o por el internacional, o bien por ambos de manera alternada, consecutiva o paralela. </w:t>
      </w:r>
    </w:p>
    <w:p w14:paraId="0E9DB08D" w14:textId="77777777"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528AC752" w14:textId="77777777"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w:t>
      </w:r>
      <w:r w:rsidRPr="00481068">
        <w:rPr>
          <w:rFonts w:ascii="Arial" w:eastAsia="Calibri" w:hAnsi="Arial" w:cs="Arial"/>
          <w:sz w:val="21"/>
          <w:szCs w:val="21"/>
          <w:lang w:val="es-ES"/>
        </w:rPr>
        <w:lastRenderedPageBreak/>
        <w:t xml:space="preserve">los procedimientos de selección, será aplicable la prohibición contenida en el artículo 33 citado. </w:t>
      </w:r>
    </w:p>
    <w:p w14:paraId="310D742D" w14:textId="35899913" w:rsidR="007323DA" w:rsidRPr="00481068" w:rsidRDefault="007323DA" w:rsidP="007323DA">
      <w:pPr>
        <w:snapToGrid w:val="0"/>
        <w:ind w:left="709" w:right="709"/>
        <w:jc w:val="both"/>
        <w:rPr>
          <w:rFonts w:ascii="Arial" w:eastAsia="Calibri" w:hAnsi="Arial" w:cs="Arial"/>
          <w:sz w:val="22"/>
          <w:lang w:val="es-ES"/>
        </w:rPr>
      </w:pPr>
      <w:r w:rsidRPr="00481068">
        <w:rPr>
          <w:rFonts w:ascii="Arial" w:eastAsia="Calibri" w:hAnsi="Arial" w:cs="Arial"/>
          <w:sz w:val="21"/>
          <w:szCs w:val="21"/>
          <w:lang w:val="es-ES"/>
        </w:rPr>
        <w:t>Así las cosas, con el fin de unificar los criterios expresados en los conceptos emitidos por esta Subdirección en pasadas oportunidades, es menester precisar que, si bien la prohibición para la contratación directa contenida en el artículo 33 de la Ley de Garantías Electorales aplica a todos los entes del Estado cualquiera que sea el régimen jurídico de contratación de carácter nacional, no puede obviarse que, de conformidad con el artículo 20 de la Ley 1150 de 2007, el legislador ha permitido que en ciertos casos las partes que pretendan celebrar un contrato regulado por esta última disposición pueden optar por aplicar la normativa nacional o la internacional de manera absoluta o parcial</w:t>
      </w:r>
      <w:r w:rsidR="00AA758C">
        <w:rPr>
          <w:rFonts w:ascii="Arial" w:eastAsia="Calibri" w:hAnsi="Arial" w:cs="Arial"/>
          <w:sz w:val="21"/>
          <w:szCs w:val="21"/>
          <w:lang w:val="es-ES"/>
        </w:rPr>
        <w:t>.</w:t>
      </w:r>
      <w:r w:rsidR="00AA758C" w:rsidRPr="006337DF">
        <w:rPr>
          <w:rFonts w:ascii="Arial" w:hAnsi="Arial" w:cs="Arial"/>
          <w:sz w:val="21"/>
          <w:szCs w:val="21"/>
        </w:rPr>
        <w:t>»</w:t>
      </w:r>
      <w:r w:rsidRPr="00481068">
        <w:rPr>
          <w:rStyle w:val="Refdenotaalpie"/>
          <w:rFonts w:ascii="Arial" w:eastAsia="Calibri" w:hAnsi="Arial" w:cs="Arial"/>
          <w:sz w:val="21"/>
          <w:szCs w:val="21"/>
          <w:lang w:val="es-ES"/>
        </w:rPr>
        <w:footnoteReference w:id="32"/>
      </w:r>
    </w:p>
    <w:p w14:paraId="6C2E9E96" w14:textId="77777777" w:rsidR="007323DA" w:rsidRPr="00481068" w:rsidRDefault="007323DA" w:rsidP="007323DA">
      <w:pPr>
        <w:snapToGrid w:val="0"/>
        <w:spacing w:line="276" w:lineRule="auto"/>
        <w:jc w:val="both"/>
        <w:rPr>
          <w:rFonts w:ascii="Arial" w:eastAsia="Calibri" w:hAnsi="Arial" w:cs="Arial"/>
          <w:sz w:val="22"/>
          <w:lang w:val="es-ES"/>
        </w:rPr>
      </w:pPr>
    </w:p>
    <w:p w14:paraId="5386E231" w14:textId="77777777" w:rsidR="007323DA" w:rsidRPr="00481068" w:rsidRDefault="007323DA" w:rsidP="007323DA">
      <w:pPr>
        <w:snapToGrid w:val="0"/>
        <w:spacing w:line="276" w:lineRule="auto"/>
        <w:jc w:val="both"/>
        <w:rPr>
          <w:rFonts w:ascii="Arial" w:eastAsia="Calibri" w:hAnsi="Arial" w:cs="Arial"/>
          <w:bCs/>
          <w:sz w:val="22"/>
          <w:lang w:val="es-ES"/>
        </w:rPr>
      </w:pPr>
      <w:r w:rsidRPr="00481068">
        <w:rPr>
          <w:rFonts w:ascii="Arial" w:eastAsia="Calibri" w:hAnsi="Arial" w:cs="Arial"/>
          <w:sz w:val="22"/>
          <w:lang w:val="es-ES"/>
        </w:rPr>
        <w:tab/>
        <w:t xml:space="preserve">De acuerdo con la fundamentación del concepto citado, lo anterior no implica una violación de las normas nacionales, puesto que la contratación con los sujetos previstos en el artículo 20 de la Ley 1150 de 2007 se encuentra amparada por tratados, convenios o convenciones ratificados por el Estado e incorporados debidamente al ordenamiento jurídico interno. De esta manera, en dicho concepto también estimó que este régimen de excepcionalidad obedece a </w:t>
      </w:r>
      <w:r w:rsidRPr="00481068">
        <w:rPr>
          <w:rFonts w:ascii="Arial" w:eastAsia="Calibri" w:hAnsi="Arial" w:cs="Arial"/>
          <w:sz w:val="22"/>
          <w:lang w:val="es-ES_tradnl"/>
        </w:rPr>
        <w:t xml:space="preserve">razones de política económica exterior y de apertura para obtener la colaboración efectiva de los organismos multilaterales de crédito. En este contexto, «[…] </w:t>
      </w:r>
      <w:r w:rsidRPr="00481068">
        <w:rPr>
          <w:rFonts w:ascii="Arial" w:eastAsia="Calibri" w:hAnsi="Arial" w:cs="Arial"/>
          <w:sz w:val="22"/>
          <w:lang w:val="es-ES"/>
        </w:rPr>
        <w:t>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w:t>
      </w:r>
    </w:p>
    <w:p w14:paraId="7D0A8A32" w14:textId="77777777" w:rsidR="00AA758C" w:rsidRPr="00481068" w:rsidRDefault="00AA758C" w:rsidP="007323DA">
      <w:pPr>
        <w:spacing w:before="120" w:line="276" w:lineRule="auto"/>
        <w:ind w:firstLine="709"/>
        <w:contextualSpacing/>
        <w:jc w:val="both"/>
        <w:rPr>
          <w:rFonts w:ascii="Arial" w:eastAsia="Calibri" w:hAnsi="Arial" w:cs="Arial"/>
          <w:bCs/>
          <w:sz w:val="22"/>
          <w:lang w:eastAsia="es-CO"/>
        </w:rPr>
      </w:pPr>
    </w:p>
    <w:p w14:paraId="3AEF8851" w14:textId="77777777" w:rsidR="007323DA" w:rsidRPr="00481068" w:rsidRDefault="007323DA" w:rsidP="007323DA">
      <w:pPr>
        <w:spacing w:line="276" w:lineRule="auto"/>
        <w:contextualSpacing/>
        <w:jc w:val="both"/>
        <w:rPr>
          <w:rFonts w:ascii="Arial" w:eastAsia="Calibri" w:hAnsi="Arial" w:cs="Arial"/>
          <w:b/>
          <w:sz w:val="22"/>
        </w:rPr>
      </w:pPr>
      <w:r w:rsidRPr="00481068">
        <w:rPr>
          <w:rFonts w:ascii="Arial" w:eastAsia="Calibri" w:hAnsi="Arial" w:cs="Arial"/>
          <w:b/>
          <w:sz w:val="22"/>
        </w:rPr>
        <w:t>3. Respuesta</w:t>
      </w:r>
    </w:p>
    <w:p w14:paraId="3FA29CFA" w14:textId="77777777" w:rsidR="001D71CF" w:rsidRDefault="001F4534" w:rsidP="00257A25">
      <w:pPr>
        <w:pStyle w:val="NormalWeb"/>
        <w:ind w:left="720" w:right="709"/>
        <w:jc w:val="both"/>
        <w:rPr>
          <w:rFonts w:ascii="Arial" w:hAnsi="Arial" w:cs="Arial"/>
          <w:sz w:val="21"/>
          <w:szCs w:val="21"/>
        </w:rPr>
      </w:pPr>
      <w:bookmarkStart w:id="29" w:name="_Hlk57650395"/>
      <w:r w:rsidRPr="00F3404F">
        <w:rPr>
          <w:rFonts w:ascii="Arial" w:hAnsi="Arial" w:cs="Arial"/>
          <w:sz w:val="21"/>
          <w:szCs w:val="21"/>
        </w:rPr>
        <w:t>«¿Es viable jurídicamente por parte de la Defensoría del Pueblo de Colombia, suscribir acuerdos o convenios con organismos o agencias de cooperación internacional, siendo los recursos involucrados en la ejecución de los mismos totalmente financiados o erogados con cargo al cooperante internacional?</w:t>
      </w:r>
    </w:p>
    <w:p w14:paraId="48F7CAD2" w14:textId="77777777" w:rsidR="001D71CF" w:rsidRPr="000A23B5" w:rsidRDefault="001D71CF" w:rsidP="001D71CF">
      <w:pPr>
        <w:pStyle w:val="NormalWeb"/>
        <w:ind w:left="720" w:right="709"/>
        <w:jc w:val="both"/>
        <w:rPr>
          <w:rFonts w:ascii="Arial" w:hAnsi="Arial" w:cs="Arial"/>
          <w:sz w:val="21"/>
          <w:szCs w:val="21"/>
        </w:rPr>
      </w:pPr>
      <w:r w:rsidRPr="00F3404F">
        <w:rPr>
          <w:rFonts w:ascii="Arial" w:hAnsi="Arial" w:cs="Arial"/>
          <w:sz w:val="21"/>
          <w:szCs w:val="21"/>
        </w:rPr>
        <w:t>¿Está la suscripción de acuerdos y/o convenios de cooperación internacional enmarcada dentro de las prohibiciones consagradas en el artículo 33 de la citada norma, o al no estar definidas dentro de los artículos 20 de la Ley 1150 y 157 del Decreto 1082 del 2015 #2.2.1.2.4.4.1, se encuentran excluidos y por lo tanto su suscripción es pertinente jurídicamente?</w:t>
      </w:r>
      <w:r w:rsidRPr="00F3404F">
        <w:rPr>
          <w:rFonts w:ascii="Arial" w:hAnsi="Arial" w:cs="Arial"/>
          <w:sz w:val="21"/>
          <w:szCs w:val="21"/>
          <w:lang w:val="es-ES"/>
        </w:rPr>
        <w:t>».</w:t>
      </w:r>
    </w:p>
    <w:p w14:paraId="055F9D08" w14:textId="6EF2DF1B" w:rsidR="00AA758C" w:rsidRDefault="00AA758C" w:rsidP="00923CC1">
      <w:pPr>
        <w:spacing w:before="120" w:line="276" w:lineRule="auto"/>
        <w:jc w:val="both"/>
        <w:rPr>
          <w:rFonts w:ascii="Arial" w:hAnsi="Arial" w:cs="Arial"/>
          <w:sz w:val="22"/>
          <w:lang w:val="es-ES"/>
        </w:rPr>
      </w:pPr>
      <w:bookmarkStart w:id="30" w:name="_Hlk102373021"/>
      <w:r>
        <w:rPr>
          <w:rFonts w:ascii="Arial" w:hAnsi="Arial" w:cs="Arial"/>
          <w:bCs/>
          <w:sz w:val="22"/>
          <w:lang w:eastAsia="es-CO"/>
        </w:rPr>
        <w:t xml:space="preserve">De conformidad con las consideraciones anteriores, respecto del supuesto consultado, es posible concluir que la posibilidad de contratar directamente dependerá de </w:t>
      </w:r>
      <w:r>
        <w:rPr>
          <w:rFonts w:ascii="Arial" w:hAnsi="Arial" w:cs="Arial"/>
          <w:sz w:val="22"/>
          <w:lang w:val="es-ES"/>
        </w:rPr>
        <w:t xml:space="preserve">si </w:t>
      </w:r>
      <w:r w:rsidRPr="00EE4D96">
        <w:rPr>
          <w:rFonts w:ascii="Arial" w:hAnsi="Arial" w:cs="Arial"/>
          <w:sz w:val="22"/>
        </w:rPr>
        <w:t>l</w:t>
      </w:r>
      <w:r w:rsidRPr="00EE4D96">
        <w:rPr>
          <w:rFonts w:ascii="Arial" w:hAnsi="Arial" w:cs="Arial"/>
          <w:sz w:val="22"/>
          <w:lang w:val="es-ES"/>
        </w:rPr>
        <w:t>a celebración de tal contratación, al amparo del artículo 20 de la Ley 1150 de 2007, ha sido sometida por las partes al reglamento (normativa extranjera) de los organismos internacionales, organismos de cooperación, asistencia o ayuda internacionales o personas extranjeras de derecho público</w:t>
      </w:r>
      <w:r>
        <w:rPr>
          <w:rFonts w:ascii="Arial" w:hAnsi="Arial" w:cs="Arial"/>
          <w:sz w:val="22"/>
          <w:lang w:val="es-ES"/>
        </w:rPr>
        <w:t xml:space="preserve">; evento en el cual </w:t>
      </w:r>
      <w:r w:rsidRPr="00EE4D96">
        <w:rPr>
          <w:rFonts w:ascii="Arial" w:hAnsi="Arial" w:cs="Arial"/>
          <w:sz w:val="22"/>
          <w:lang w:val="es-ES"/>
        </w:rPr>
        <w:t>no le es aplicable la prohibición contenida en el artículo 33 de la Ley de Garantías Electorales (norma nacional).</w:t>
      </w:r>
    </w:p>
    <w:p w14:paraId="6BA78007" w14:textId="55DC5103" w:rsidR="007323DA" w:rsidRPr="00E344C8" w:rsidRDefault="00AA758C" w:rsidP="004E1615">
      <w:pPr>
        <w:spacing w:before="120" w:line="276" w:lineRule="auto"/>
        <w:ind w:firstLine="708"/>
        <w:jc w:val="both"/>
        <w:rPr>
          <w:rFonts w:ascii="Arial" w:eastAsia="Calibri" w:hAnsi="Arial" w:cs="Arial"/>
          <w:color w:val="000000"/>
          <w:sz w:val="22"/>
        </w:rPr>
      </w:pPr>
      <w:r>
        <w:rPr>
          <w:rFonts w:ascii="Arial" w:hAnsi="Arial" w:cs="Arial"/>
          <w:bCs/>
          <w:sz w:val="22"/>
          <w:lang w:eastAsia="es-CO"/>
        </w:rPr>
        <w:t>De este modo, s</w:t>
      </w:r>
      <w:r w:rsidR="007323DA" w:rsidRPr="00481068">
        <w:rPr>
          <w:rFonts w:ascii="Arial" w:hAnsi="Arial" w:cs="Arial"/>
          <w:bCs/>
          <w:sz w:val="22"/>
          <w:lang w:eastAsia="es-CO"/>
        </w:rPr>
        <w:t xml:space="preserve">e reitera la tesis del </w:t>
      </w:r>
      <w:r w:rsidR="007323DA" w:rsidRPr="00481068">
        <w:rPr>
          <w:rFonts w:ascii="Arial" w:hAnsi="Arial" w:cs="Arial"/>
          <w:bCs/>
          <w:sz w:val="22"/>
          <w:lang w:val="es-ES" w:eastAsia="es-CO"/>
        </w:rPr>
        <w:t>Concepto de Unificación CU-180 del 8 de abril de 2022</w:t>
      </w:r>
      <w:bookmarkEnd w:id="30"/>
      <w:r w:rsidR="007323DA" w:rsidRPr="00481068">
        <w:rPr>
          <w:rFonts w:ascii="Arial" w:hAnsi="Arial" w:cs="Arial"/>
          <w:bCs/>
          <w:sz w:val="22"/>
          <w:lang w:val="es-ES" w:eastAsia="es-CO"/>
        </w:rPr>
        <w:t xml:space="preserve">. </w:t>
      </w:r>
      <w:r w:rsidR="007323DA" w:rsidRPr="00481068">
        <w:rPr>
          <w:rFonts w:ascii="Arial" w:eastAsia="Calibri" w:hAnsi="Arial" w:cs="Arial"/>
          <w:sz w:val="22"/>
          <w:lang w:val="es-ES"/>
        </w:rPr>
        <w:t>Por tanto, sobre el artículo 33 de la Ley de Garantías</w:t>
      </w:r>
      <w:r w:rsidR="007323DA" w:rsidRPr="00481068">
        <w:rPr>
          <w:rFonts w:ascii="Arial" w:eastAsia="Calibri" w:hAnsi="Arial" w:cs="Arial"/>
          <w:sz w:val="22"/>
        </w:rPr>
        <w:t xml:space="preserve">, </w:t>
      </w:r>
      <w:r w:rsidR="007323DA" w:rsidRPr="00481068">
        <w:rPr>
          <w:rFonts w:ascii="Arial" w:eastAsia="Calibri" w:hAnsi="Arial" w:cs="Arial"/>
          <w:sz w:val="22"/>
          <w:lang w:val="es-ES"/>
        </w:rPr>
        <w:t xml:space="preserve">la Agencia –al retomar la tesis del Concepto C-559 del 31 de agosto de 2021– consideró lo siguiente: «[…] </w:t>
      </w:r>
      <w:r w:rsidR="007323DA" w:rsidRPr="00481068">
        <w:rPr>
          <w:rFonts w:ascii="Arial" w:eastAsia="Calibri" w:hAnsi="Arial" w:cs="Arial"/>
          <w:i/>
          <w:iCs/>
          <w:sz w:val="22"/>
          <w:lang w:val="es-ES"/>
        </w:rPr>
        <w:t>dado que</w:t>
      </w:r>
      <w:r w:rsidR="007323DA" w:rsidRPr="00481068">
        <w:rPr>
          <w:rFonts w:ascii="Arial" w:eastAsia="Calibri" w:hAnsi="Arial" w:cs="Arial"/>
          <w:sz w:val="22"/>
          <w:lang w:val="es-ES"/>
        </w:rPr>
        <w:t xml:space="preserve"> […] </w:t>
      </w:r>
      <w:r w:rsidR="007323DA" w:rsidRPr="00481068">
        <w:rPr>
          <w:rFonts w:ascii="Arial" w:eastAsia="Calibri" w:hAnsi="Arial" w:cs="Arial"/>
          <w:i/>
          <w:iCs/>
          <w:sz w:val="22"/>
          <w:lang w:val="es-ES"/>
        </w:rPr>
        <w:t>existen algunos casos en los cuales el legislador habilitó a las entidades públicas para que suscribieran contratos cuyo régimen es distinto al derecho nacional,</w:t>
      </w:r>
      <w:r w:rsidR="007323DA" w:rsidRPr="00481068">
        <w:rPr>
          <w:rFonts w:ascii="Arial" w:eastAsia="Calibri" w:hAnsi="Arial" w:cs="Arial"/>
          <w:sz w:val="22"/>
          <w:lang w:val="es-ES"/>
        </w:rPr>
        <w:t xml:space="preserve"> […] </w:t>
      </w:r>
      <w:r w:rsidR="007323DA" w:rsidRPr="00481068">
        <w:rPr>
          <w:rFonts w:ascii="Arial" w:eastAsia="Calibri" w:hAnsi="Arial" w:cs="Arial"/>
          <w:i/>
          <w:iCs/>
          <w:sz w:val="22"/>
          <w:lang w:val="es-ES"/>
        </w:rPr>
        <w:t>en estos eventos dicha restricción no sería aplicable</w:t>
      </w:r>
      <w:r w:rsidR="007323DA" w:rsidRPr="00481068">
        <w:rPr>
          <w:rFonts w:ascii="Arial" w:eastAsia="Calibri" w:hAnsi="Arial" w:cs="Arial"/>
          <w:sz w:val="22"/>
          <w:lang w:val="es-ES"/>
        </w:rPr>
        <w:t xml:space="preserve">» (Énfasis fuera de texto). </w:t>
      </w:r>
    </w:p>
    <w:p w14:paraId="13E77B5D" w14:textId="77777777" w:rsidR="007323DA" w:rsidRPr="00481068" w:rsidRDefault="007323DA" w:rsidP="007323DA">
      <w:pPr>
        <w:spacing w:before="120" w:line="276" w:lineRule="auto"/>
        <w:ind w:firstLine="851"/>
        <w:jc w:val="both"/>
        <w:rPr>
          <w:rFonts w:ascii="Arial" w:eastAsia="Calibri" w:hAnsi="Arial" w:cs="Arial"/>
          <w:sz w:val="22"/>
          <w:lang w:val="es-ES"/>
        </w:rPr>
      </w:pPr>
      <w:r w:rsidRPr="00481068">
        <w:rPr>
          <w:rFonts w:ascii="Arial" w:eastAsia="Calibri" w:hAnsi="Arial" w:cs="Arial"/>
          <w:sz w:val="22"/>
          <w:lang w:val="es-E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w:t>
      </w:r>
    </w:p>
    <w:p w14:paraId="373EFB14" w14:textId="001D0740" w:rsidR="007323DA" w:rsidRPr="00481068" w:rsidRDefault="007323DA" w:rsidP="007323DA">
      <w:pPr>
        <w:spacing w:line="276" w:lineRule="auto"/>
        <w:jc w:val="both"/>
        <w:rPr>
          <w:rFonts w:ascii="Arial" w:eastAsia="Calibri" w:hAnsi="Arial" w:cs="Arial"/>
          <w:sz w:val="22"/>
          <w:lang w:val="es-ES"/>
        </w:rPr>
      </w:pPr>
      <w:r w:rsidRPr="00481068">
        <w:rPr>
          <w:rFonts w:ascii="Arial" w:eastAsia="Calibri" w:hAnsi="Arial" w:cs="Arial"/>
          <w:sz w:val="22"/>
          <w:lang w:val="es-ES"/>
        </w:rPr>
        <w:tab/>
      </w:r>
      <w:r w:rsidRPr="00481068">
        <w:rPr>
          <w:rFonts w:ascii="Arial" w:eastAsia="Calibri" w:hAnsi="Arial" w:cs="Arial"/>
          <w:sz w:val="22"/>
          <w:lang w:val="es-ES"/>
        </w:rPr>
        <w:tab/>
      </w:r>
    </w:p>
    <w:p w14:paraId="0632EE2F" w14:textId="77777777"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w:t>
      </w:r>
      <w:r w:rsidRPr="00481068">
        <w:rPr>
          <w:rFonts w:ascii="Arial" w:eastAsia="Calibri" w:hAnsi="Arial" w:cs="Arial"/>
          <w:sz w:val="21"/>
          <w:szCs w:val="21"/>
          <w:lang w:val="es-ES"/>
        </w:rPr>
        <w:lastRenderedPageBreak/>
        <w:t>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6AE8323A" w14:textId="77777777" w:rsidR="007323DA" w:rsidRPr="00481068" w:rsidRDefault="007323DA" w:rsidP="007323DA">
      <w:pPr>
        <w:snapToGrid w:val="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p>
    <w:p w14:paraId="509E160B" w14:textId="77777777" w:rsidR="007323DA" w:rsidRPr="00481068" w:rsidRDefault="007323DA" w:rsidP="00923CC1">
      <w:pPr>
        <w:snapToGrid w:val="0"/>
        <w:ind w:left="709" w:right="709"/>
        <w:jc w:val="both"/>
        <w:rPr>
          <w:rFonts w:ascii="Arial" w:hAnsi="Arial" w:cs="Arial"/>
          <w:bCs/>
          <w:sz w:val="22"/>
          <w:lang w:val="es-ES" w:eastAsia="es-CO"/>
        </w:rPr>
      </w:pPr>
    </w:p>
    <w:p w14:paraId="3080CC24" w14:textId="6C72B4A1" w:rsidR="00344ABA" w:rsidRDefault="007323DA" w:rsidP="00344ABA">
      <w:pPr>
        <w:spacing w:line="276" w:lineRule="auto"/>
        <w:ind w:firstLine="709"/>
        <w:jc w:val="both"/>
        <w:rPr>
          <w:rFonts w:ascii="Arial" w:hAnsi="Arial" w:cs="Arial"/>
          <w:sz w:val="22"/>
          <w:lang w:eastAsia="x-none"/>
        </w:rPr>
      </w:pPr>
      <w:r w:rsidRPr="00481068">
        <w:rPr>
          <w:rFonts w:ascii="Arial" w:eastAsia="Calibri" w:hAnsi="Arial" w:cs="Arial"/>
          <w:bCs/>
          <w:color w:val="000000"/>
          <w:sz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481068">
        <w:rPr>
          <w:rFonts w:ascii="Arial" w:hAnsi="Arial" w:cs="Arial"/>
          <w:sz w:val="22"/>
          <w:lang w:eastAsia="x-none"/>
        </w:rPr>
        <w:t>.</w:t>
      </w:r>
    </w:p>
    <w:p w14:paraId="5B1FB799" w14:textId="13F9049A" w:rsidR="00572952" w:rsidRPr="00572952" w:rsidRDefault="00B0698F" w:rsidP="00607479">
      <w:pPr>
        <w:spacing w:before="120" w:after="120" w:line="276" w:lineRule="auto"/>
        <w:ind w:firstLine="708"/>
        <w:jc w:val="both"/>
        <w:rPr>
          <w:rFonts w:ascii="Arial" w:hAnsi="Arial" w:cs="Arial"/>
          <w:bCs/>
          <w:sz w:val="22"/>
          <w:lang w:eastAsia="x-none"/>
        </w:rPr>
      </w:pPr>
      <w:r>
        <w:rPr>
          <w:rFonts w:ascii="Arial" w:eastAsia="Calibri" w:hAnsi="Arial" w:cs="Arial"/>
          <w:color w:val="000000"/>
          <w:sz w:val="22"/>
        </w:rPr>
        <w:t>En conclusión, según</w:t>
      </w:r>
      <w:r w:rsidR="000F7B23">
        <w:rPr>
          <w:rFonts w:ascii="Arial" w:eastAsia="Calibri" w:hAnsi="Arial" w:cs="Arial"/>
          <w:color w:val="000000"/>
          <w:sz w:val="22"/>
        </w:rPr>
        <w:t xml:space="preserve"> las consideraciones </w:t>
      </w:r>
      <w:r>
        <w:rPr>
          <w:rFonts w:ascii="Arial" w:eastAsia="Calibri" w:hAnsi="Arial" w:cs="Arial"/>
          <w:color w:val="000000"/>
          <w:sz w:val="22"/>
        </w:rPr>
        <w:t>expuestas</w:t>
      </w:r>
      <w:r w:rsidR="000F7B23">
        <w:rPr>
          <w:rFonts w:ascii="Arial" w:eastAsia="Calibri" w:hAnsi="Arial" w:cs="Arial"/>
          <w:color w:val="000000"/>
          <w:sz w:val="22"/>
        </w:rPr>
        <w:t>,</w:t>
      </w:r>
      <w:r w:rsidR="00344ABA" w:rsidRPr="00E70F70">
        <w:rPr>
          <w:rFonts w:ascii="Arial" w:eastAsia="Calibri" w:hAnsi="Arial" w:cs="Arial"/>
          <w:color w:val="000000"/>
          <w:sz w:val="22"/>
        </w:rPr>
        <w:t xml:space="preserve"> </w:t>
      </w:r>
      <w:r w:rsidR="000F7B23">
        <w:rPr>
          <w:rFonts w:ascii="Arial" w:eastAsia="Calibri" w:hAnsi="Arial" w:cs="Arial"/>
          <w:color w:val="000000"/>
          <w:sz w:val="22"/>
        </w:rPr>
        <w:t xml:space="preserve">es necesario </w:t>
      </w:r>
      <w:r w:rsidR="00344ABA" w:rsidRPr="00E70F70">
        <w:rPr>
          <w:rFonts w:ascii="Arial" w:eastAsia="Calibri" w:hAnsi="Arial" w:cs="Arial"/>
          <w:color w:val="000000"/>
          <w:sz w:val="22"/>
        </w:rPr>
        <w:t xml:space="preserve">recordar que </w:t>
      </w:r>
      <w:r>
        <w:rPr>
          <w:rFonts w:ascii="Arial" w:eastAsia="Calibri" w:hAnsi="Arial" w:cs="Arial"/>
          <w:color w:val="000000"/>
          <w:sz w:val="22"/>
        </w:rPr>
        <w:t xml:space="preserve">el ámbito material de aplicación de </w:t>
      </w:r>
      <w:r w:rsidR="00344ABA" w:rsidRPr="00E70F70">
        <w:rPr>
          <w:rFonts w:ascii="Arial" w:eastAsia="Calibri" w:hAnsi="Arial" w:cs="Arial"/>
          <w:color w:val="000000"/>
          <w:sz w:val="22"/>
        </w:rPr>
        <w:t xml:space="preserve">la prohibición del artículo 33 de la Ley 996 de 2005 </w:t>
      </w:r>
      <w:r>
        <w:rPr>
          <w:rFonts w:ascii="Arial" w:eastAsia="Calibri" w:hAnsi="Arial" w:cs="Arial"/>
          <w:color w:val="000000"/>
          <w:sz w:val="22"/>
        </w:rPr>
        <w:t>está determinado por la expresión</w:t>
      </w:r>
      <w:r w:rsidR="00E70F70" w:rsidRPr="00E70F70">
        <w:rPr>
          <w:rFonts w:ascii="Arial" w:eastAsia="Calibri" w:hAnsi="Arial" w:cs="Arial"/>
          <w:color w:val="000000"/>
          <w:sz w:val="22"/>
        </w:rPr>
        <w:t xml:space="preserve"> </w:t>
      </w:r>
      <w:r w:rsidR="00E70F70" w:rsidRPr="00E70F70">
        <w:rPr>
          <w:rFonts w:ascii="Arial" w:eastAsia="Calibri" w:hAnsi="Arial" w:cs="Arial"/>
          <w:bCs/>
          <w:sz w:val="22"/>
          <w:lang w:val="es-ES_tradnl"/>
        </w:rPr>
        <w:t>«</w:t>
      </w:r>
      <w:r w:rsidR="00E70F70" w:rsidRPr="00E70F70">
        <w:rPr>
          <w:rFonts w:ascii="Arial" w:eastAsia="Calibri" w:hAnsi="Arial" w:cs="Arial"/>
          <w:bCs/>
          <w:sz w:val="22"/>
          <w:lang w:val="es-ES_tradnl" w:eastAsia="x-none"/>
        </w:rPr>
        <w:t>queda prohibida la contratación directa</w:t>
      </w:r>
      <w:r w:rsidR="00E70F70" w:rsidRPr="00E70F70">
        <w:rPr>
          <w:rFonts w:ascii="Arial" w:eastAsia="Calibri" w:hAnsi="Arial" w:cs="Arial"/>
          <w:sz w:val="22"/>
          <w:lang w:val="es-ES_tradnl"/>
        </w:rPr>
        <w:t xml:space="preserve">», por parte de cualquier entidad </w:t>
      </w:r>
      <w:r w:rsidR="00572952">
        <w:rPr>
          <w:rFonts w:ascii="Arial" w:eastAsia="Calibri" w:hAnsi="Arial" w:cs="Arial"/>
          <w:sz w:val="22"/>
          <w:lang w:val="es-ES_tradnl"/>
        </w:rPr>
        <w:t>del Estado</w:t>
      </w:r>
      <w:r w:rsidR="00E70F70" w:rsidRPr="00E70F70">
        <w:rPr>
          <w:rFonts w:ascii="Arial" w:eastAsia="Calibri" w:hAnsi="Arial" w:cs="Arial"/>
          <w:sz w:val="22"/>
          <w:lang w:val="es-ES_tradnl"/>
        </w:rPr>
        <w:t xml:space="preserve">,  </w:t>
      </w:r>
      <w:r w:rsidR="00E70F70" w:rsidRPr="00C84F90">
        <w:rPr>
          <w:rFonts w:ascii="Arial" w:hAnsi="Arial" w:cs="Arial"/>
          <w:bCs/>
          <w:sz w:val="22"/>
          <w:lang w:eastAsia="x-none"/>
        </w:rPr>
        <w:t xml:space="preserve">sin distinción del régimen jurídico, forma de organización o naturaleza, </w:t>
      </w:r>
      <w:r w:rsidR="00572952">
        <w:rPr>
          <w:rFonts w:ascii="Arial" w:hAnsi="Arial" w:cs="Arial"/>
          <w:bCs/>
          <w:sz w:val="22"/>
          <w:lang w:eastAsia="x-none"/>
        </w:rPr>
        <w:t xml:space="preserve">ni </w:t>
      </w:r>
      <w:r w:rsidR="00E70F70" w:rsidRPr="00C84F90">
        <w:rPr>
          <w:rFonts w:ascii="Arial" w:hAnsi="Arial" w:cs="Arial"/>
          <w:bCs/>
          <w:sz w:val="22"/>
          <w:lang w:eastAsia="x-none"/>
        </w:rPr>
        <w:t>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0F7B23">
        <w:rPr>
          <w:rFonts w:ascii="Arial" w:hAnsi="Arial" w:cs="Arial"/>
          <w:bCs/>
          <w:sz w:val="22"/>
          <w:lang w:eastAsia="x-none"/>
        </w:rPr>
        <w:t xml:space="preserve"> </w:t>
      </w:r>
      <w:r w:rsidR="00E36985">
        <w:rPr>
          <w:rFonts w:ascii="Arial" w:hAnsi="Arial" w:cs="Arial"/>
          <w:bCs/>
          <w:sz w:val="22"/>
          <w:lang w:eastAsia="x-none"/>
        </w:rPr>
        <w:t xml:space="preserve">No obstante, </w:t>
      </w:r>
      <w:r w:rsidR="00607479">
        <w:rPr>
          <w:rFonts w:ascii="Arial" w:hAnsi="Arial" w:cs="Arial"/>
          <w:bCs/>
          <w:sz w:val="22"/>
          <w:lang w:eastAsia="x-none"/>
        </w:rPr>
        <w:t xml:space="preserve">en atención a lo dispuesto en el artículo 20 de la Ley 1150 de 2007, </w:t>
      </w:r>
      <w:r w:rsidR="00E36985">
        <w:rPr>
          <w:rFonts w:ascii="Arial" w:hAnsi="Arial" w:cs="Arial"/>
          <w:bCs/>
          <w:sz w:val="22"/>
          <w:lang w:eastAsia="x-none"/>
        </w:rPr>
        <w:t xml:space="preserve">tratándose de contratos </w:t>
      </w:r>
      <w:r w:rsidR="009428C5">
        <w:rPr>
          <w:rFonts w:ascii="Arial" w:hAnsi="Arial" w:cs="Arial"/>
          <w:bCs/>
          <w:sz w:val="22"/>
          <w:lang w:eastAsia="x-none"/>
        </w:rPr>
        <w:t>con organismos internacionales la aplicación de la restricción depende de</w:t>
      </w:r>
      <w:r w:rsidR="0074132D">
        <w:rPr>
          <w:rFonts w:ascii="Arial" w:hAnsi="Arial" w:cs="Arial"/>
          <w:bCs/>
          <w:sz w:val="22"/>
          <w:lang w:eastAsia="x-none"/>
        </w:rPr>
        <w:t xml:space="preserve">l régimen con sujeción al cual se celebre el contrato, ya que no de celebrarse </w:t>
      </w:r>
      <w:r w:rsidR="006B33BC">
        <w:rPr>
          <w:rFonts w:ascii="Arial" w:hAnsi="Arial" w:cs="Arial"/>
          <w:bCs/>
          <w:sz w:val="22"/>
          <w:lang w:eastAsia="x-none"/>
        </w:rPr>
        <w:t>conforme a la normativa internacional</w:t>
      </w:r>
      <w:r w:rsidR="00971F42">
        <w:rPr>
          <w:rFonts w:ascii="Arial" w:hAnsi="Arial" w:cs="Arial"/>
          <w:bCs/>
          <w:sz w:val="22"/>
          <w:lang w:eastAsia="x-none"/>
        </w:rPr>
        <w:t xml:space="preserve"> el artículo 33 no </w:t>
      </w:r>
      <w:r w:rsidR="003C4CB5">
        <w:rPr>
          <w:rFonts w:ascii="Arial" w:hAnsi="Arial" w:cs="Arial"/>
          <w:bCs/>
          <w:sz w:val="22"/>
          <w:lang w:eastAsia="x-none"/>
        </w:rPr>
        <w:t xml:space="preserve">será aplicable, según las consideraciones expuestas en el presente concepto. </w:t>
      </w:r>
    </w:p>
    <w:p w14:paraId="5D737EEB" w14:textId="77777777" w:rsidR="00E70F70" w:rsidRPr="00481068" w:rsidRDefault="00E70F70" w:rsidP="00E70F70">
      <w:pPr>
        <w:spacing w:line="276" w:lineRule="auto"/>
        <w:jc w:val="both"/>
        <w:rPr>
          <w:rFonts w:asciiTheme="minorBidi" w:hAnsiTheme="minorBidi"/>
          <w:sz w:val="22"/>
        </w:rPr>
      </w:pPr>
    </w:p>
    <w:p w14:paraId="20AC5DA5" w14:textId="77777777" w:rsidR="007323DA" w:rsidRPr="00481068" w:rsidRDefault="007323DA" w:rsidP="007323DA">
      <w:pPr>
        <w:spacing w:line="276" w:lineRule="auto"/>
        <w:jc w:val="both"/>
        <w:rPr>
          <w:rFonts w:ascii="Arial" w:hAnsi="Arial" w:cs="Arial"/>
          <w:color w:val="000000" w:themeColor="text1"/>
          <w:sz w:val="22"/>
          <w:lang w:val="es-ES_tradnl"/>
        </w:rPr>
      </w:pPr>
      <w:r w:rsidRPr="00481068">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7"/>
    <w:bookmarkEnd w:id="29"/>
    <w:p w14:paraId="0F914C99" w14:textId="77777777" w:rsidR="007323DA" w:rsidRPr="00481068" w:rsidRDefault="007323DA" w:rsidP="007323DA">
      <w:pPr>
        <w:spacing w:before="120" w:line="276" w:lineRule="auto"/>
        <w:jc w:val="both"/>
        <w:rPr>
          <w:rFonts w:ascii="Arial" w:hAnsi="Arial" w:cs="Arial"/>
          <w:color w:val="000000" w:themeColor="text1"/>
          <w:sz w:val="22"/>
          <w:lang w:val="es-ES_tradnl"/>
        </w:rPr>
      </w:pPr>
    </w:p>
    <w:p w14:paraId="03933B4D" w14:textId="77777777" w:rsidR="00FB19E0" w:rsidRDefault="007323DA" w:rsidP="00FB19E0">
      <w:pPr>
        <w:jc w:val="both"/>
        <w:rPr>
          <w:rFonts w:ascii="Arial" w:hAnsi="Arial" w:cs="Arial"/>
          <w:sz w:val="22"/>
          <w:lang w:val="es-ES" w:eastAsia="es-CO"/>
        </w:rPr>
      </w:pPr>
      <w:r w:rsidRPr="00481068">
        <w:rPr>
          <w:rFonts w:ascii="Arial" w:hAnsi="Arial" w:cs="Arial"/>
          <w:color w:val="000000" w:themeColor="text1"/>
          <w:sz w:val="22"/>
          <w:lang w:val="es-ES_tradnl"/>
        </w:rPr>
        <w:t>Atentamente,</w:t>
      </w:r>
      <w:r>
        <w:rPr>
          <w:rFonts w:ascii="Arial" w:hAnsi="Arial" w:cs="Arial"/>
          <w:lang w:val="es-ES_tradnl"/>
        </w:rPr>
        <w:t xml:space="preserve"> </w:t>
      </w:r>
    </w:p>
    <w:p w14:paraId="4256A0AF" w14:textId="3C07EA50" w:rsidR="00FB19E0" w:rsidRPr="00924DEF" w:rsidRDefault="00991B37" w:rsidP="00991B37">
      <w:pPr>
        <w:jc w:val="center"/>
        <w:rPr>
          <w:rFonts w:ascii="Arial" w:hAnsi="Arial" w:cs="Arial"/>
          <w:sz w:val="22"/>
          <w:lang w:val="es-ES" w:eastAsia="es-CO"/>
        </w:rPr>
      </w:pPr>
      <w:r w:rsidRPr="009000E4">
        <w:rPr>
          <w:rFonts w:ascii="Arial" w:hAnsi="Arial" w:cs="Arial"/>
          <w:noProof/>
          <w:lang w:val="es-ES_tradnl"/>
        </w:rPr>
        <w:drawing>
          <wp:inline distT="0" distB="0" distL="0" distR="0" wp14:anchorId="16B4CFD7" wp14:editId="3196173D">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05F3DC2" w14:textId="77777777" w:rsidR="00FB19E0" w:rsidRPr="009F5860" w:rsidRDefault="00FB19E0" w:rsidP="00FB19E0">
      <w:pPr>
        <w:jc w:val="center"/>
        <w:rPr>
          <w:rFonts w:ascii="Arial" w:hAnsi="Arial" w:cs="Arial"/>
          <w:sz w:val="22"/>
          <w:lang w:val="es-ES" w:eastAsia="es-CO"/>
        </w:rPr>
      </w:pPr>
    </w:p>
    <w:p w14:paraId="30D0E955" w14:textId="77777777" w:rsidR="00FB19E0" w:rsidRPr="009F5860" w:rsidRDefault="00FB19E0" w:rsidP="00FB19E0">
      <w:pPr>
        <w:jc w:val="center"/>
        <w:rPr>
          <w:rFonts w:ascii="Arial" w:hAnsi="Arial" w:cs="Arial"/>
          <w:sz w:val="18"/>
          <w:szCs w:val="20"/>
          <w:lang w:val="es-ES" w:eastAsia="es-CO"/>
        </w:rPr>
      </w:pPr>
    </w:p>
    <w:p w14:paraId="59944203" w14:textId="77777777" w:rsidR="00FB19E0" w:rsidRDefault="00FB19E0" w:rsidP="00FB19E0">
      <w:pP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B19E0" w:rsidRPr="009F5860" w14:paraId="2626C2EA" w14:textId="77777777" w:rsidTr="005A4C52">
        <w:trPr>
          <w:trHeight w:val="315"/>
        </w:trPr>
        <w:tc>
          <w:tcPr>
            <w:tcW w:w="812" w:type="dxa"/>
            <w:vAlign w:val="center"/>
            <w:hideMark/>
          </w:tcPr>
          <w:p w14:paraId="27B548A7" w14:textId="77777777" w:rsidR="00FB19E0" w:rsidRPr="009F5860" w:rsidRDefault="00FB19E0" w:rsidP="005A4C52">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70B10728" w14:textId="77777777" w:rsidR="00FB19E0" w:rsidRPr="005C5D24" w:rsidRDefault="00FB19E0" w:rsidP="005A4C52">
            <w:pPr>
              <w:rPr>
                <w:rFonts w:ascii="Arial" w:hAnsi="Arial" w:cs="Arial"/>
                <w:sz w:val="16"/>
                <w:szCs w:val="16"/>
                <w:lang w:val="es-ES" w:eastAsia="es-ES"/>
              </w:rPr>
            </w:pPr>
            <w:r w:rsidRPr="005C5D24">
              <w:rPr>
                <w:rFonts w:ascii="Arial" w:hAnsi="Arial" w:cs="Arial"/>
                <w:sz w:val="16"/>
                <w:szCs w:val="16"/>
                <w:lang w:val="es-ES" w:eastAsia="es-ES"/>
              </w:rPr>
              <w:t xml:space="preserve">Camilo Perdomo Villamil </w:t>
            </w:r>
          </w:p>
          <w:p w14:paraId="526C773A" w14:textId="77777777" w:rsidR="00FB19E0" w:rsidRPr="009F5860" w:rsidRDefault="00FB19E0" w:rsidP="005A4C52">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FB19E0" w:rsidRPr="009F5860" w14:paraId="601AFA29" w14:textId="77777777" w:rsidTr="005A4C52">
        <w:trPr>
          <w:trHeight w:val="330"/>
        </w:trPr>
        <w:tc>
          <w:tcPr>
            <w:tcW w:w="812" w:type="dxa"/>
            <w:vAlign w:val="center"/>
            <w:hideMark/>
          </w:tcPr>
          <w:p w14:paraId="3810527D" w14:textId="77777777" w:rsidR="00FB19E0" w:rsidRPr="009F5860" w:rsidRDefault="00FB19E0" w:rsidP="005A4C52">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396A30" w14:textId="77777777" w:rsidR="00FB19E0" w:rsidRPr="00C00312" w:rsidRDefault="00FB19E0" w:rsidP="005A4C52">
            <w:pPr>
              <w:rPr>
                <w:rFonts w:ascii="Arial" w:hAnsi="Arial" w:cs="Arial"/>
                <w:sz w:val="16"/>
                <w:szCs w:val="16"/>
                <w:lang w:val="es-ES" w:eastAsia="es-ES"/>
              </w:rPr>
            </w:pPr>
            <w:r>
              <w:rPr>
                <w:rFonts w:ascii="Arial" w:hAnsi="Arial" w:cs="Arial"/>
                <w:sz w:val="16"/>
                <w:szCs w:val="16"/>
                <w:lang w:val="es-ES" w:eastAsia="es-ES"/>
              </w:rPr>
              <w:t>Alejandro Sarmiento Cantillo</w:t>
            </w:r>
          </w:p>
          <w:p w14:paraId="66AB990A" w14:textId="77777777" w:rsidR="00FB19E0" w:rsidRPr="009F5860" w:rsidRDefault="00FB19E0" w:rsidP="005A4C52">
            <w:pPr>
              <w:rPr>
                <w:rFonts w:ascii="Arial" w:hAnsi="Arial" w:cs="Arial"/>
                <w:sz w:val="16"/>
                <w:szCs w:val="16"/>
                <w:lang w:val="es-ES" w:eastAsia="es-ES"/>
              </w:rPr>
            </w:pPr>
            <w:r w:rsidRPr="00C00312">
              <w:rPr>
                <w:rFonts w:ascii="Arial" w:hAnsi="Arial" w:cs="Arial"/>
                <w:sz w:val="16"/>
                <w:szCs w:val="16"/>
                <w:lang w:val="es-ES" w:eastAsia="es-ES"/>
              </w:rPr>
              <w:t>Gestor T1-15 de la Subdirección de Gestión Contractual</w:t>
            </w:r>
          </w:p>
        </w:tc>
      </w:tr>
      <w:tr w:rsidR="00FB19E0" w:rsidRPr="0008465D" w14:paraId="59E6EC0C" w14:textId="77777777" w:rsidTr="005A4C52">
        <w:trPr>
          <w:trHeight w:val="300"/>
        </w:trPr>
        <w:tc>
          <w:tcPr>
            <w:tcW w:w="812" w:type="dxa"/>
            <w:vAlign w:val="center"/>
            <w:hideMark/>
          </w:tcPr>
          <w:p w14:paraId="05FBD575" w14:textId="77777777" w:rsidR="00FB19E0" w:rsidRPr="009F5860" w:rsidRDefault="00FB19E0" w:rsidP="005A4C52">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38A5D3" w14:textId="77777777" w:rsidR="00FB19E0" w:rsidRPr="00150200" w:rsidRDefault="00FB19E0" w:rsidP="005A4C52">
            <w:pPr>
              <w:rPr>
                <w:rFonts w:ascii="Arial" w:hAnsi="Arial" w:cs="Arial"/>
                <w:sz w:val="16"/>
                <w:szCs w:val="16"/>
                <w:lang w:val="es-ES_tradnl" w:eastAsia="es-ES"/>
              </w:rPr>
            </w:pPr>
            <w:r w:rsidRPr="00150200">
              <w:rPr>
                <w:rFonts w:ascii="Arial" w:hAnsi="Arial" w:cs="Arial"/>
                <w:sz w:val="16"/>
                <w:szCs w:val="16"/>
                <w:lang w:val="es-ES_tradnl" w:eastAsia="es-ES"/>
              </w:rPr>
              <w:t>Jorge Augusto Tirado Navarro</w:t>
            </w:r>
          </w:p>
          <w:p w14:paraId="7D3E4B97" w14:textId="77777777" w:rsidR="00FB19E0" w:rsidRPr="0008465D" w:rsidRDefault="00FB19E0" w:rsidP="005A4C52">
            <w:pPr>
              <w:rPr>
                <w:rFonts w:ascii="Arial" w:hAnsi="Arial" w:cs="Arial"/>
                <w:sz w:val="16"/>
                <w:szCs w:val="16"/>
                <w:lang w:val="es-ES" w:eastAsia="es-ES"/>
              </w:rPr>
            </w:pPr>
            <w:r w:rsidRPr="00150200">
              <w:rPr>
                <w:rFonts w:ascii="Arial" w:hAnsi="Arial" w:cs="Arial"/>
                <w:sz w:val="16"/>
                <w:szCs w:val="16"/>
                <w:lang w:val="es-ES_tradnl" w:eastAsia="es-ES"/>
              </w:rPr>
              <w:t>Subdirector de Gestión Contractual ANCP – CCE</w:t>
            </w:r>
          </w:p>
        </w:tc>
      </w:tr>
      <w:bookmarkEnd w:id="8"/>
      <w:bookmarkEnd w:id="9"/>
    </w:tbl>
    <w:p w14:paraId="3A069318" w14:textId="77777777" w:rsidR="000266D4" w:rsidRPr="00B60BAC" w:rsidRDefault="000266D4" w:rsidP="00FB19E0">
      <w:pPr>
        <w:pStyle w:val="NormalWeb"/>
        <w:spacing w:before="0" w:beforeAutospacing="0" w:after="0" w:afterAutospacing="0" w:line="276" w:lineRule="auto"/>
        <w:jc w:val="both"/>
        <w:rPr>
          <w:rFonts w:ascii="Arial" w:eastAsia="Calibri" w:hAnsi="Arial" w:cs="Arial"/>
          <w:bCs/>
          <w:sz w:val="22"/>
          <w:lang w:val="es-ES_tradnl"/>
        </w:rPr>
      </w:pPr>
    </w:p>
    <w:sectPr w:rsidR="000266D4" w:rsidRPr="00B60BA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665CC" w14:textId="77777777" w:rsidR="002167DB" w:rsidRDefault="002167DB">
      <w:r>
        <w:separator/>
      </w:r>
    </w:p>
  </w:endnote>
  <w:endnote w:type="continuationSeparator" w:id="0">
    <w:p w14:paraId="1DD6F3D9" w14:textId="77777777" w:rsidR="002167DB" w:rsidRDefault="002167DB">
      <w:r>
        <w:continuationSeparator/>
      </w:r>
    </w:p>
  </w:endnote>
  <w:endnote w:type="continuationNotice" w:id="1">
    <w:p w14:paraId="2203D1B2" w14:textId="77777777" w:rsidR="002167DB" w:rsidRDefault="00216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p w14:paraId="01E6CE61" w14:textId="77777777" w:rsidR="00183D77" w:rsidRDefault="00183D77"/>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A85D4" w14:textId="77777777" w:rsidR="002167DB" w:rsidRDefault="002167DB">
      <w:r>
        <w:separator/>
      </w:r>
    </w:p>
  </w:footnote>
  <w:footnote w:type="continuationSeparator" w:id="0">
    <w:p w14:paraId="164E6BB8" w14:textId="77777777" w:rsidR="002167DB" w:rsidRDefault="002167DB">
      <w:r>
        <w:continuationSeparator/>
      </w:r>
    </w:p>
  </w:footnote>
  <w:footnote w:type="continuationNotice" w:id="1">
    <w:p w14:paraId="30A9CCB9" w14:textId="77777777" w:rsidR="002167DB" w:rsidRDefault="002167DB"/>
  </w:footnote>
  <w:footnote w:id="2">
    <w:p w14:paraId="4C2594CA" w14:textId="77777777" w:rsidR="007323DA" w:rsidRPr="00AA758C" w:rsidRDefault="007323DA" w:rsidP="007323DA">
      <w:pPr>
        <w:pStyle w:val="Textonotapie"/>
        <w:ind w:firstLine="708"/>
        <w:contextualSpacing/>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«Artículo 3°. Funciones. La Agencia Nacional de Contratación Pública –Colombia Compra Eficiente– ejercerá las siguientes funciones: </w:t>
      </w:r>
    </w:p>
    <w:p w14:paraId="58C9DBE1" w14:textId="77777777" w:rsidR="007323DA" w:rsidRPr="00AA758C" w:rsidRDefault="007323DA" w:rsidP="007323DA">
      <w:pPr>
        <w:pStyle w:val="Textonotapie"/>
        <w:ind w:firstLine="709"/>
        <w:contextualSpacing/>
        <w:jc w:val="both"/>
        <w:rPr>
          <w:rFonts w:ascii="Arial" w:hAnsi="Arial" w:cs="Arial"/>
          <w:sz w:val="19"/>
          <w:szCs w:val="19"/>
          <w:lang w:val="es-ES"/>
        </w:rPr>
      </w:pPr>
      <w:r w:rsidRPr="00AA758C">
        <w:rPr>
          <w:rFonts w:ascii="Arial" w:hAnsi="Arial" w:cs="Arial"/>
          <w:sz w:val="19"/>
          <w:szCs w:val="19"/>
          <w:lang w:val="es-ES"/>
        </w:rPr>
        <w:t xml:space="preserve">»[...] </w:t>
      </w:r>
    </w:p>
    <w:p w14:paraId="5305200D" w14:textId="77777777" w:rsidR="007323DA" w:rsidRPr="00AA758C" w:rsidRDefault="007323DA" w:rsidP="007323DA">
      <w:pPr>
        <w:pStyle w:val="Textonotapie"/>
        <w:ind w:firstLine="709"/>
        <w:contextualSpacing/>
        <w:jc w:val="both"/>
        <w:rPr>
          <w:rFonts w:ascii="Arial" w:hAnsi="Arial" w:cs="Arial"/>
          <w:sz w:val="19"/>
          <w:szCs w:val="19"/>
          <w:lang w:val="es-ES"/>
        </w:rPr>
      </w:pPr>
      <w:r w:rsidRPr="00AA758C">
        <w:rPr>
          <w:rFonts w:ascii="Arial" w:hAnsi="Arial" w:cs="Arial"/>
          <w:sz w:val="19"/>
          <w:szCs w:val="19"/>
          <w:lang w:val="es-ES"/>
        </w:rPr>
        <w:t>»5. Absolver consultas sobre la aplicación de normas de carácter general y expedir circulares externas en materia de compras y contratación pública».</w:t>
      </w:r>
    </w:p>
    <w:p w14:paraId="06AB8059" w14:textId="77777777" w:rsidR="007323DA" w:rsidRPr="00AA758C" w:rsidRDefault="007323DA" w:rsidP="007323DA">
      <w:pPr>
        <w:pStyle w:val="Textonotapie"/>
        <w:ind w:firstLine="709"/>
        <w:contextualSpacing/>
        <w:jc w:val="both"/>
        <w:rPr>
          <w:rFonts w:ascii="Arial" w:hAnsi="Arial" w:cs="Arial"/>
          <w:sz w:val="19"/>
          <w:szCs w:val="19"/>
          <w:lang w:val="es-ES"/>
        </w:rPr>
      </w:pPr>
      <w:r w:rsidRPr="00AA758C">
        <w:rPr>
          <w:rFonts w:ascii="Arial" w:eastAsia="Times New Roman" w:hAnsi="Arial" w:cs="Arial"/>
          <w:sz w:val="19"/>
          <w:szCs w:val="19"/>
          <w:lang w:val="es-CO" w:eastAsia="es-ES_tradnl"/>
        </w:rPr>
        <w:t>«</w:t>
      </w:r>
      <w:r w:rsidRPr="00AA758C">
        <w:rPr>
          <w:rFonts w:ascii="Arial" w:hAnsi="Arial" w:cs="Arial"/>
          <w:sz w:val="19"/>
          <w:szCs w:val="19"/>
          <w:lang w:val="es-ES"/>
        </w:rPr>
        <w:t xml:space="preserve">Artículo 11. Subdirección de Gestión Contractual. Son funciones de la Subdirección de Gestión Contractual las siguientes: </w:t>
      </w:r>
    </w:p>
    <w:p w14:paraId="7C677FD7" w14:textId="77777777" w:rsidR="007323DA" w:rsidRPr="00AA758C" w:rsidRDefault="007323DA" w:rsidP="007323DA">
      <w:pPr>
        <w:pStyle w:val="Textonotapie"/>
        <w:ind w:firstLine="709"/>
        <w:contextualSpacing/>
        <w:jc w:val="both"/>
        <w:rPr>
          <w:rFonts w:ascii="Arial" w:hAnsi="Arial" w:cs="Arial"/>
          <w:sz w:val="19"/>
          <w:szCs w:val="19"/>
          <w:lang w:val="es-ES"/>
        </w:rPr>
      </w:pPr>
      <w:r w:rsidRPr="00AA758C">
        <w:rPr>
          <w:rFonts w:ascii="Arial" w:hAnsi="Arial" w:cs="Arial"/>
          <w:sz w:val="19"/>
          <w:szCs w:val="19"/>
          <w:lang w:val="es-ES"/>
        </w:rPr>
        <w:t xml:space="preserve">»[...] </w:t>
      </w:r>
    </w:p>
    <w:p w14:paraId="29A04D13" w14:textId="77777777" w:rsidR="007323DA" w:rsidRPr="00AA758C" w:rsidRDefault="007323DA" w:rsidP="007323DA">
      <w:pPr>
        <w:pStyle w:val="Textonotapie"/>
        <w:ind w:firstLine="708"/>
        <w:contextualSpacing/>
        <w:jc w:val="both"/>
        <w:rPr>
          <w:rFonts w:ascii="Arial" w:hAnsi="Arial" w:cs="Arial"/>
          <w:sz w:val="19"/>
          <w:szCs w:val="19"/>
        </w:rPr>
      </w:pPr>
      <w:r w:rsidRPr="00AA758C">
        <w:rPr>
          <w:rFonts w:ascii="Arial" w:eastAsia="Times New Roman" w:hAnsi="Arial" w:cs="Arial"/>
          <w:sz w:val="19"/>
          <w:szCs w:val="19"/>
          <w:lang w:val="es-CO" w:eastAsia="es-ES_tradnl"/>
        </w:rPr>
        <w:t>»</w:t>
      </w:r>
      <w:r w:rsidRPr="00AA758C">
        <w:rPr>
          <w:rFonts w:ascii="Arial" w:hAnsi="Arial" w:cs="Arial"/>
          <w:sz w:val="19"/>
          <w:szCs w:val="19"/>
          <w:lang w:val="es-ES"/>
        </w:rPr>
        <w:t>8. Absolver consultas sobre la aplicación de normas de carácter general».</w:t>
      </w:r>
    </w:p>
  </w:footnote>
  <w:footnote w:id="3">
    <w:p w14:paraId="05B99006" w14:textId="77777777" w:rsidR="007323DA" w:rsidRPr="00AA758C" w:rsidRDefault="007323DA" w:rsidP="007323DA">
      <w:pPr>
        <w:pStyle w:val="Textonotapie"/>
        <w:ind w:firstLine="709"/>
        <w:contextualSpacing/>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AD6D98C" w14:textId="77777777" w:rsidR="007323DA" w:rsidRPr="00AA758C" w:rsidRDefault="007323DA" w:rsidP="007323DA">
      <w:pPr>
        <w:pStyle w:val="Textonotapie"/>
        <w:ind w:firstLine="709"/>
        <w:contextualSpacing/>
        <w:jc w:val="both"/>
        <w:rPr>
          <w:rFonts w:ascii="Arial" w:hAnsi="Arial" w:cs="Arial"/>
          <w:sz w:val="19"/>
          <w:szCs w:val="19"/>
        </w:rPr>
      </w:pPr>
      <w:r w:rsidRPr="00AA758C">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5F649F82" w14:textId="77777777" w:rsidR="007323DA" w:rsidRPr="00AA758C" w:rsidRDefault="007323DA" w:rsidP="007323DA">
      <w:pPr>
        <w:pStyle w:val="Textonotapie"/>
        <w:ind w:firstLine="709"/>
        <w:contextualSpacing/>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Gaceta del Congreso de la República No. 71 del 2005.</w:t>
      </w:r>
    </w:p>
  </w:footnote>
  <w:footnote w:id="5">
    <w:p w14:paraId="32481B4A" w14:textId="77777777" w:rsidR="007323DA" w:rsidRPr="00AA758C" w:rsidRDefault="007323DA" w:rsidP="007323DA">
      <w:pPr>
        <w:pStyle w:val="Textonotapie"/>
        <w:ind w:firstLine="709"/>
        <w:contextualSpacing/>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Corte Constitucional, Sentencia C- 1153 de 2005, M.P. Marco Gerardo Monroy Cabra.</w:t>
      </w:r>
    </w:p>
  </w:footnote>
  <w:footnote w:id="6">
    <w:p w14:paraId="2763FE82" w14:textId="77777777" w:rsidR="00A41BCE" w:rsidRPr="00AA758C" w:rsidRDefault="00A41BCE" w:rsidP="007323DA">
      <w:pPr>
        <w:pStyle w:val="Textonotapie"/>
        <w:ind w:firstLine="709"/>
        <w:contextualSpacing/>
        <w:jc w:val="both"/>
        <w:rPr>
          <w:rFonts w:ascii="Arial" w:hAnsi="Arial" w:cs="Arial"/>
          <w:sz w:val="19"/>
          <w:szCs w:val="19"/>
        </w:rPr>
      </w:pPr>
    </w:p>
    <w:p w14:paraId="134BB04A" w14:textId="21BB3EC6" w:rsidR="007323DA" w:rsidRPr="00AA758C" w:rsidRDefault="007323DA" w:rsidP="007323DA">
      <w:pPr>
        <w:pStyle w:val="Textonotapie"/>
        <w:ind w:firstLine="709"/>
        <w:contextualSpacing/>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4DF3EC40" w14:textId="77777777" w:rsidR="00A41BCE" w:rsidRPr="00AA758C" w:rsidRDefault="00A41BCE" w:rsidP="007323DA">
      <w:pPr>
        <w:pStyle w:val="Textonotapie"/>
        <w:ind w:firstLine="709"/>
        <w:contextualSpacing/>
        <w:jc w:val="both"/>
        <w:rPr>
          <w:rFonts w:ascii="Arial" w:hAnsi="Arial" w:cs="Arial"/>
          <w:sz w:val="19"/>
          <w:szCs w:val="19"/>
          <w:lang w:val="es-CO"/>
        </w:rPr>
      </w:pPr>
    </w:p>
    <w:p w14:paraId="59B6C885" w14:textId="4ED7F58C" w:rsidR="007323DA" w:rsidRPr="00AA758C" w:rsidRDefault="007323DA" w:rsidP="007323DA">
      <w:pPr>
        <w:pStyle w:val="Textonotapie"/>
        <w:ind w:firstLine="709"/>
        <w:contextualSpacing/>
        <w:jc w:val="both"/>
        <w:rPr>
          <w:rFonts w:ascii="Arial" w:hAnsi="Arial" w:cs="Arial"/>
          <w:sz w:val="19"/>
          <w:szCs w:val="19"/>
          <w:lang w:val="es-CO"/>
        </w:rPr>
      </w:pPr>
      <w:r w:rsidRPr="00AA758C">
        <w:rPr>
          <w:rStyle w:val="Refdenotaalpie"/>
          <w:rFonts w:ascii="Arial" w:hAnsi="Arial" w:cs="Arial"/>
          <w:sz w:val="19"/>
          <w:szCs w:val="19"/>
        </w:rPr>
        <w:footnoteRef/>
      </w:r>
      <w:r w:rsidRPr="00AA758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543774A6" w14:textId="77777777" w:rsidR="007323DA" w:rsidRPr="00AA758C" w:rsidRDefault="007323DA" w:rsidP="007323DA">
      <w:pPr>
        <w:pStyle w:val="Textonotapie"/>
        <w:ind w:firstLine="709"/>
        <w:contextualSpacing/>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Consejo de Estado, Sala de Consulta y Servicio Civil de fecha 24 de julio de 2013, radicado 2166, Consejero Ponente: Álvaro Namén Vargas.  </w:t>
      </w:r>
    </w:p>
  </w:footnote>
  <w:footnote w:id="9">
    <w:p w14:paraId="54677E7D" w14:textId="77777777" w:rsidR="00A41BCE" w:rsidRPr="00AA758C" w:rsidRDefault="00A41BCE" w:rsidP="007323DA">
      <w:pPr>
        <w:ind w:firstLine="709"/>
        <w:contextualSpacing/>
        <w:jc w:val="both"/>
        <w:rPr>
          <w:rFonts w:ascii="Arial" w:hAnsi="Arial" w:cs="Arial"/>
          <w:sz w:val="19"/>
          <w:szCs w:val="19"/>
        </w:rPr>
      </w:pPr>
    </w:p>
    <w:p w14:paraId="6E82F871" w14:textId="775A0B11" w:rsidR="007323DA" w:rsidRPr="00AA758C" w:rsidRDefault="007323DA" w:rsidP="007323DA">
      <w:pPr>
        <w:ind w:firstLine="709"/>
        <w:contextualSpacing/>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w:t>
      </w:r>
      <w:bookmarkStart w:id="20" w:name="33"/>
      <w:r w:rsidRPr="00AA758C">
        <w:rPr>
          <w:rFonts w:ascii="Arial" w:eastAsia="Calibri" w:hAnsi="Arial" w:cs="Arial"/>
          <w:color w:val="000000"/>
          <w:sz w:val="19"/>
          <w:szCs w:val="19"/>
        </w:rPr>
        <w:t>«</w:t>
      </w:r>
      <w:r w:rsidRPr="00AA758C">
        <w:rPr>
          <w:rFonts w:ascii="Arial" w:hAnsi="Arial" w:cs="Arial"/>
          <w:sz w:val="19"/>
          <w:szCs w:val="19"/>
        </w:rPr>
        <w:t>Artículo 33. Restricciones a la contratación pública.</w:t>
      </w:r>
      <w:bookmarkEnd w:id="20"/>
      <w:r w:rsidRPr="00AA758C">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3181F5B9" w14:textId="77777777" w:rsidR="007323DA" w:rsidRPr="00AA758C" w:rsidRDefault="007323DA" w:rsidP="007323DA">
      <w:pPr>
        <w:ind w:firstLine="709"/>
        <w:contextualSpacing/>
        <w:jc w:val="both"/>
        <w:rPr>
          <w:rFonts w:ascii="Arial" w:hAnsi="Arial" w:cs="Arial"/>
          <w:sz w:val="19"/>
          <w:szCs w:val="19"/>
        </w:rPr>
      </w:pPr>
      <w:r w:rsidRPr="00AA758C">
        <w:rPr>
          <w:rFonts w:ascii="Arial" w:eastAsia="Calibri" w:hAnsi="Arial" w:cs="Arial"/>
          <w:color w:val="000000"/>
          <w:sz w:val="19"/>
          <w:szCs w:val="19"/>
        </w:rPr>
        <w:t>»</w:t>
      </w:r>
      <w:r w:rsidRPr="00AA758C">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A758C">
        <w:rPr>
          <w:rFonts w:ascii="Arial" w:eastAsia="Calibri" w:hAnsi="Arial" w:cs="Arial"/>
          <w:color w:val="000000"/>
          <w:sz w:val="19"/>
          <w:szCs w:val="19"/>
        </w:rPr>
        <w:t>»</w:t>
      </w:r>
      <w:r w:rsidRPr="00AA758C">
        <w:rPr>
          <w:rFonts w:ascii="Arial" w:hAnsi="Arial" w:cs="Arial"/>
          <w:sz w:val="19"/>
          <w:szCs w:val="19"/>
        </w:rPr>
        <w:t>.</w:t>
      </w:r>
    </w:p>
  </w:footnote>
  <w:footnote w:id="10">
    <w:p w14:paraId="61BC789F" w14:textId="77777777" w:rsidR="007323DA" w:rsidRPr="00AA758C" w:rsidRDefault="007323DA" w:rsidP="007323DA">
      <w:pPr>
        <w:pStyle w:val="NormalWeb"/>
        <w:spacing w:before="0" w:beforeAutospacing="0" w:after="0" w:afterAutospacing="0"/>
        <w:ind w:firstLine="709"/>
        <w:contextualSpacing/>
        <w:jc w:val="both"/>
        <w:rPr>
          <w:rFonts w:ascii="Arial" w:hAnsi="Arial" w:cs="Arial"/>
          <w:sz w:val="19"/>
          <w:szCs w:val="19"/>
          <w:lang w:val="es-MX"/>
        </w:rPr>
      </w:pPr>
      <w:r w:rsidRPr="00AA758C">
        <w:rPr>
          <w:rStyle w:val="Refdenotaalpie"/>
          <w:rFonts w:ascii="Arial" w:hAnsi="Arial" w:cs="Arial"/>
          <w:sz w:val="19"/>
          <w:szCs w:val="19"/>
        </w:rPr>
        <w:footnoteRef/>
      </w:r>
      <w:r w:rsidRPr="00AA758C">
        <w:rPr>
          <w:rFonts w:ascii="Arial" w:hAnsi="Arial" w:cs="Arial"/>
          <w:sz w:val="19"/>
          <w:szCs w:val="19"/>
        </w:rPr>
        <w:t xml:space="preserve"> </w:t>
      </w:r>
      <w:bookmarkStart w:id="21" w:name="38"/>
      <w:r w:rsidRPr="00AA758C">
        <w:rPr>
          <w:rFonts w:ascii="Arial" w:eastAsia="Calibri" w:hAnsi="Arial" w:cs="Arial"/>
          <w:color w:val="000000"/>
          <w:sz w:val="19"/>
          <w:szCs w:val="19"/>
        </w:rPr>
        <w:t>«</w:t>
      </w:r>
      <w:r w:rsidRPr="00AA758C">
        <w:rPr>
          <w:rFonts w:ascii="Arial" w:hAnsi="Arial" w:cs="Arial"/>
          <w:sz w:val="19"/>
          <w:szCs w:val="19"/>
          <w:lang w:val="es-MX"/>
        </w:rPr>
        <w:t>Artículo 38. Prohibiciones para los servidores públicos. A los empleados del Estado les está prohibido:</w:t>
      </w:r>
      <w:bookmarkEnd w:id="21"/>
    </w:p>
    <w:p w14:paraId="166C515E" w14:textId="77777777" w:rsidR="007323DA" w:rsidRPr="00AA758C" w:rsidRDefault="007323DA" w:rsidP="007323DA">
      <w:pPr>
        <w:pStyle w:val="NormalWeb"/>
        <w:spacing w:before="0" w:beforeAutospacing="0" w:after="0" w:afterAutospacing="0"/>
        <w:ind w:firstLine="709"/>
        <w:contextualSpacing/>
        <w:jc w:val="both"/>
        <w:rPr>
          <w:rFonts w:ascii="Arial" w:hAnsi="Arial" w:cs="Arial"/>
          <w:sz w:val="19"/>
          <w:szCs w:val="19"/>
          <w:lang w:val="es-MX"/>
        </w:rPr>
      </w:pPr>
      <w:r w:rsidRPr="00AA758C">
        <w:rPr>
          <w:rFonts w:ascii="Arial" w:eastAsia="Calibri" w:hAnsi="Arial" w:cs="Arial"/>
          <w:color w:val="000000"/>
          <w:sz w:val="19"/>
          <w:szCs w:val="19"/>
        </w:rPr>
        <w:t>»</w:t>
      </w:r>
      <w:r w:rsidRPr="00AA758C">
        <w:rPr>
          <w:rFonts w:ascii="Arial" w:hAnsi="Arial" w:cs="Arial"/>
          <w:sz w:val="19"/>
          <w:szCs w:val="19"/>
          <w:lang w:val="es-MX"/>
        </w:rPr>
        <w:t xml:space="preserve"> […]</w:t>
      </w:r>
    </w:p>
    <w:p w14:paraId="547A4250" w14:textId="6E1BC3E1" w:rsidR="007323DA" w:rsidRDefault="007323DA" w:rsidP="007323DA">
      <w:pPr>
        <w:pStyle w:val="NormalWeb"/>
        <w:spacing w:before="0" w:beforeAutospacing="0" w:after="0" w:afterAutospacing="0"/>
        <w:ind w:firstLine="709"/>
        <w:contextualSpacing/>
        <w:jc w:val="both"/>
        <w:rPr>
          <w:rFonts w:ascii="Arial" w:hAnsi="Arial" w:cs="Arial"/>
          <w:sz w:val="19"/>
          <w:szCs w:val="19"/>
          <w:lang w:val="es-MX"/>
        </w:rPr>
      </w:pPr>
      <w:r w:rsidRPr="00AA758C">
        <w:rPr>
          <w:rFonts w:ascii="Arial" w:eastAsia="Calibri" w:hAnsi="Arial" w:cs="Arial"/>
          <w:color w:val="000000"/>
          <w:sz w:val="19"/>
          <w:szCs w:val="19"/>
        </w:rPr>
        <w:t>»</w:t>
      </w:r>
      <w:r w:rsidRPr="00AA758C">
        <w:rPr>
          <w:rStyle w:val="baj"/>
          <w:rFonts w:ascii="Arial" w:hAnsi="Arial" w:cs="Arial"/>
          <w:sz w:val="19"/>
          <w:szCs w:val="19"/>
          <w:lang w:val="es-MX"/>
        </w:rPr>
        <w:t xml:space="preserve"> Parágrafo.</w:t>
      </w:r>
      <w:r w:rsidRPr="00AA758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A758C">
        <w:rPr>
          <w:rFonts w:ascii="Arial" w:eastAsia="Calibri" w:hAnsi="Arial" w:cs="Arial"/>
          <w:color w:val="000000"/>
          <w:sz w:val="19"/>
          <w:szCs w:val="19"/>
        </w:rPr>
        <w:t>»</w:t>
      </w:r>
      <w:r w:rsidRPr="00AA758C">
        <w:rPr>
          <w:rFonts w:ascii="Arial" w:hAnsi="Arial" w:cs="Arial"/>
          <w:sz w:val="19"/>
          <w:szCs w:val="19"/>
          <w:lang w:val="es-MX"/>
        </w:rPr>
        <w:t>.</w:t>
      </w:r>
    </w:p>
    <w:p w14:paraId="3A3671A5" w14:textId="77777777" w:rsidR="00257A25" w:rsidRPr="00AA758C" w:rsidRDefault="00257A25" w:rsidP="007323DA">
      <w:pPr>
        <w:pStyle w:val="NormalWeb"/>
        <w:spacing w:before="0" w:beforeAutospacing="0" w:after="0" w:afterAutospacing="0"/>
        <w:ind w:firstLine="709"/>
        <w:contextualSpacing/>
        <w:jc w:val="both"/>
        <w:rPr>
          <w:rFonts w:ascii="Arial" w:hAnsi="Arial" w:cs="Arial"/>
          <w:sz w:val="19"/>
          <w:szCs w:val="19"/>
          <w:lang w:val="es-MX"/>
        </w:rPr>
      </w:pPr>
    </w:p>
  </w:footnote>
  <w:footnote w:id="11">
    <w:p w14:paraId="714ED59F" w14:textId="77777777" w:rsidR="007323DA" w:rsidRPr="00AA758C" w:rsidRDefault="007323DA" w:rsidP="007323DA">
      <w:pPr>
        <w:ind w:left="100" w:right="244" w:firstLine="709"/>
        <w:contextualSpacing/>
        <w:jc w:val="both"/>
        <w:rPr>
          <w:rFonts w:ascii="Arial" w:hAnsi="Arial" w:cs="Arial"/>
          <w:sz w:val="19"/>
          <w:szCs w:val="19"/>
          <w:lang w:val="es-ES"/>
        </w:rPr>
      </w:pPr>
      <w:r w:rsidRPr="00AA758C">
        <w:rPr>
          <w:rStyle w:val="Refdenotaalpie"/>
          <w:rFonts w:ascii="Arial" w:hAnsi="Arial" w:cs="Arial"/>
          <w:sz w:val="19"/>
          <w:szCs w:val="19"/>
        </w:rPr>
        <w:footnoteRef/>
      </w:r>
      <w:r w:rsidRPr="00AA758C">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78661770" w14:textId="0983B4D3" w:rsidR="007323DA" w:rsidRDefault="007323DA" w:rsidP="007323DA">
      <w:pPr>
        <w:pStyle w:val="Textonotapie"/>
        <w:ind w:firstLine="709"/>
        <w:jc w:val="both"/>
        <w:rPr>
          <w:rFonts w:ascii="Arial" w:hAnsi="Arial" w:cs="Arial"/>
          <w:color w:val="000000"/>
          <w:sz w:val="19"/>
          <w:szCs w:val="19"/>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w:t>
      </w:r>
      <w:r w:rsidRPr="00AA758C">
        <w:rPr>
          <w:rFonts w:ascii="Arial" w:hAnsi="Arial" w:cs="Arial"/>
          <w:color w:val="000000"/>
          <w:sz w:val="19"/>
          <w:szCs w:val="19"/>
          <w:lang w:val="es-ES"/>
        </w:rPr>
        <w:t xml:space="preserve">[25] </w:t>
      </w:r>
      <w:r w:rsidRPr="00AA758C">
        <w:rPr>
          <w:rFonts w:ascii="Arial" w:hAnsi="Arial" w:cs="Arial"/>
          <w:color w:val="000000"/>
          <w:sz w:val="19"/>
          <w:szCs w:val="19"/>
        </w:rPr>
        <w:t>Cfr. Consejo de Estado. Sección Tercera. Sentencia de 3 de diciembre de 2007. Radicados: 24.715, 25.206, 25.409, 24.524, 27.834, 25.410, 26.105, 28.244, 31.447 -acumulados-».</w:t>
      </w:r>
    </w:p>
    <w:p w14:paraId="1CBCB083" w14:textId="77777777" w:rsidR="00257A25" w:rsidRPr="00AA758C" w:rsidRDefault="00257A25" w:rsidP="007323DA">
      <w:pPr>
        <w:pStyle w:val="Textonotapie"/>
        <w:ind w:firstLine="709"/>
        <w:jc w:val="both"/>
        <w:rPr>
          <w:rFonts w:ascii="Arial" w:hAnsi="Arial" w:cs="Arial"/>
          <w:color w:val="000000"/>
          <w:sz w:val="19"/>
          <w:szCs w:val="19"/>
        </w:rPr>
      </w:pPr>
    </w:p>
  </w:footnote>
  <w:footnote w:id="13">
    <w:p w14:paraId="7F9E2C6E" w14:textId="77777777" w:rsidR="007323DA" w:rsidRPr="00AA758C" w:rsidRDefault="007323DA" w:rsidP="007323DA">
      <w:pPr>
        <w:pStyle w:val="Textonotapie"/>
        <w:ind w:firstLine="709"/>
        <w:jc w:val="both"/>
        <w:rPr>
          <w:rFonts w:ascii="Arial" w:hAnsi="Arial" w:cs="Arial"/>
          <w:color w:val="000000"/>
          <w:sz w:val="19"/>
          <w:szCs w:val="19"/>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w:t>
      </w:r>
      <w:r w:rsidRPr="00AA758C">
        <w:rPr>
          <w:rFonts w:ascii="Arial" w:hAnsi="Arial" w:cs="Arial"/>
          <w:color w:val="000000"/>
          <w:sz w:val="19"/>
          <w:szCs w:val="19"/>
          <w:lang w:val="es-ES"/>
        </w:rPr>
        <w:t xml:space="preserve">[26] </w:t>
      </w:r>
      <w:r w:rsidRPr="00AA758C">
        <w:rPr>
          <w:rFonts w:ascii="Arial" w:hAnsi="Arial" w:cs="Arial"/>
          <w:color w:val="000000"/>
          <w:sz w:val="19"/>
          <w:szCs w:val="19"/>
        </w:rPr>
        <w:t>Al respecto ver el concepto 1712 de 2 de febrero de 2006. Consejo de Estado Sala de Consulta y Servicio Civil».</w:t>
      </w:r>
    </w:p>
  </w:footnote>
  <w:footnote w:id="14">
    <w:p w14:paraId="3082B15F" w14:textId="77777777" w:rsidR="00257A25" w:rsidRDefault="00257A25" w:rsidP="007323DA">
      <w:pPr>
        <w:pStyle w:val="Textonotapie"/>
        <w:ind w:firstLine="709"/>
        <w:jc w:val="both"/>
        <w:rPr>
          <w:rFonts w:ascii="Arial" w:hAnsi="Arial" w:cs="Arial"/>
          <w:color w:val="000000"/>
          <w:sz w:val="19"/>
          <w:szCs w:val="19"/>
        </w:rPr>
      </w:pPr>
    </w:p>
    <w:p w14:paraId="721B64D4" w14:textId="3EFDFA93" w:rsidR="007323DA" w:rsidRPr="00AA758C" w:rsidRDefault="007323DA" w:rsidP="007323DA">
      <w:pPr>
        <w:pStyle w:val="Textonotapie"/>
        <w:ind w:firstLine="709"/>
        <w:jc w:val="both"/>
        <w:rPr>
          <w:rFonts w:ascii="Arial" w:hAnsi="Arial" w:cs="Arial"/>
          <w:color w:val="000000"/>
          <w:sz w:val="19"/>
          <w:szCs w:val="19"/>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Consejo de Estado. Sala de Consulta y Servicio Civil. Concepto del 2 de septiembre de 2013. Radicación número: 11001-03-06-000-2013-00412-00 (2168). Consejero Ponente: Álvaro Namén Vargas.</w:t>
      </w:r>
    </w:p>
  </w:footnote>
  <w:footnote w:id="15">
    <w:p w14:paraId="40D38AA9" w14:textId="77777777" w:rsidR="00257A25" w:rsidRDefault="00257A25" w:rsidP="007323DA">
      <w:pPr>
        <w:pStyle w:val="Textonotapie"/>
        <w:ind w:firstLine="709"/>
        <w:jc w:val="both"/>
        <w:rPr>
          <w:rFonts w:ascii="Arial" w:hAnsi="Arial" w:cs="Arial"/>
          <w:color w:val="000000"/>
          <w:sz w:val="19"/>
          <w:szCs w:val="19"/>
        </w:rPr>
      </w:pPr>
    </w:p>
    <w:p w14:paraId="1FF8165F" w14:textId="31B3265D" w:rsidR="007323DA" w:rsidRPr="00AA758C" w:rsidRDefault="007323DA" w:rsidP="007323DA">
      <w:pPr>
        <w:pStyle w:val="Textonotapie"/>
        <w:ind w:firstLine="709"/>
        <w:jc w:val="both"/>
        <w:rPr>
          <w:rFonts w:ascii="Arial" w:hAnsi="Arial" w:cs="Arial"/>
          <w:color w:val="000000"/>
          <w:sz w:val="19"/>
          <w:szCs w:val="19"/>
          <w:lang w:val="es-ES"/>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w:t>
      </w:r>
      <w:r w:rsidRPr="00AA758C">
        <w:rPr>
          <w:rFonts w:ascii="Arial" w:hAnsi="Arial" w:cs="Arial"/>
          <w:color w:val="000000"/>
          <w:sz w:val="19"/>
          <w:szCs w:val="19"/>
          <w:lang w:val="es-ES"/>
        </w:rPr>
        <w:t xml:space="preserve">Artículo 2. </w:t>
      </w:r>
    </w:p>
  </w:footnote>
  <w:footnote w:id="16">
    <w:p w14:paraId="0CC1AC80" w14:textId="77777777" w:rsidR="00257A25" w:rsidRDefault="00257A25" w:rsidP="007323DA">
      <w:pPr>
        <w:pStyle w:val="Textonotapie"/>
        <w:ind w:firstLine="709"/>
        <w:jc w:val="both"/>
        <w:rPr>
          <w:rFonts w:ascii="Arial" w:hAnsi="Arial" w:cs="Arial"/>
          <w:color w:val="000000"/>
          <w:sz w:val="19"/>
          <w:szCs w:val="19"/>
        </w:rPr>
      </w:pPr>
    </w:p>
    <w:p w14:paraId="0B7F1002" w14:textId="3C470CC5" w:rsidR="007323DA" w:rsidRPr="00AA758C" w:rsidRDefault="007323DA" w:rsidP="007323DA">
      <w:pPr>
        <w:pStyle w:val="Textonotapie"/>
        <w:ind w:firstLine="709"/>
        <w:jc w:val="both"/>
        <w:rPr>
          <w:rFonts w:ascii="Arial" w:hAnsi="Arial" w:cs="Arial"/>
          <w:color w:val="000000"/>
          <w:sz w:val="19"/>
          <w:szCs w:val="19"/>
          <w:lang w:val="es-ES"/>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w:t>
      </w:r>
      <w:r w:rsidRPr="00AA758C">
        <w:rPr>
          <w:rFonts w:ascii="Arial" w:hAnsi="Arial" w:cs="Arial"/>
          <w:i/>
          <w:color w:val="000000"/>
          <w:sz w:val="19"/>
          <w:szCs w:val="19"/>
          <w:lang w:val="es-ES"/>
        </w:rPr>
        <w:t>Ídem</w:t>
      </w:r>
      <w:r w:rsidRPr="00AA758C">
        <w:rPr>
          <w:rFonts w:ascii="Arial" w:hAnsi="Arial" w:cs="Arial"/>
          <w:color w:val="000000"/>
          <w:sz w:val="19"/>
          <w:szCs w:val="19"/>
          <w:lang w:val="es-ES"/>
        </w:rPr>
        <w:t>.</w:t>
      </w:r>
    </w:p>
  </w:footnote>
  <w:footnote w:id="17">
    <w:p w14:paraId="2495D9DF" w14:textId="773F2DF6" w:rsidR="007323DA" w:rsidRDefault="007323DA" w:rsidP="007323DA">
      <w:pPr>
        <w:pStyle w:val="Textonotapie"/>
        <w:ind w:firstLine="709"/>
        <w:jc w:val="both"/>
        <w:rPr>
          <w:rFonts w:ascii="Arial" w:hAnsi="Arial" w:cs="Arial"/>
          <w:color w:val="000000"/>
          <w:sz w:val="19"/>
          <w:szCs w:val="19"/>
          <w:lang w:val="es-ES"/>
        </w:rPr>
      </w:pPr>
      <w:r w:rsidRPr="00AA758C">
        <w:rPr>
          <w:rStyle w:val="Refdenotaalpie"/>
          <w:rFonts w:ascii="Arial" w:hAnsi="Arial" w:cs="Arial"/>
          <w:sz w:val="19"/>
          <w:szCs w:val="19"/>
        </w:rPr>
        <w:footnoteRef/>
      </w:r>
      <w:r w:rsidRPr="00AA758C">
        <w:rPr>
          <w:rStyle w:val="Refdenotaalpie"/>
          <w:rFonts w:ascii="Arial" w:hAnsi="Arial" w:cs="Arial"/>
          <w:color w:val="000000"/>
          <w:sz w:val="19"/>
          <w:szCs w:val="19"/>
        </w:rPr>
        <w:t xml:space="preserve"> </w:t>
      </w:r>
      <w:r w:rsidRPr="00AA758C">
        <w:rPr>
          <w:rFonts w:ascii="Arial" w:hAnsi="Arial" w:cs="Arial"/>
          <w:color w:val="000000"/>
          <w:sz w:val="19"/>
          <w:szCs w:val="19"/>
          <w:lang w:val="es-ES"/>
        </w:rPr>
        <w:t xml:space="preserve">«[…] A este respecto, cabe recordar que el artículo 860 del Código de Comercio regula la licitación en el derecho privado». </w:t>
      </w:r>
    </w:p>
    <w:p w14:paraId="4DD332AC" w14:textId="77777777" w:rsidR="00257A25" w:rsidRPr="00AA758C" w:rsidRDefault="00257A25" w:rsidP="007323DA">
      <w:pPr>
        <w:pStyle w:val="Textonotapie"/>
        <w:ind w:firstLine="709"/>
        <w:jc w:val="both"/>
        <w:rPr>
          <w:rFonts w:ascii="Arial" w:hAnsi="Arial" w:cs="Arial"/>
          <w:color w:val="000000"/>
          <w:sz w:val="19"/>
          <w:szCs w:val="19"/>
          <w:lang w:val="es-ES"/>
        </w:rPr>
      </w:pPr>
    </w:p>
  </w:footnote>
  <w:footnote w:id="18">
    <w:p w14:paraId="23D3FBE2" w14:textId="77777777" w:rsidR="007323DA" w:rsidRPr="00AA758C" w:rsidRDefault="007323DA" w:rsidP="007323DA">
      <w:pPr>
        <w:shd w:val="clear" w:color="auto" w:fill="FFFFFF"/>
        <w:ind w:firstLine="709"/>
        <w:jc w:val="both"/>
        <w:rPr>
          <w:rFonts w:ascii="Arial" w:hAnsi="Arial" w:cs="Arial"/>
          <w:color w:val="000000"/>
          <w:sz w:val="19"/>
          <w:szCs w:val="19"/>
          <w:lang w:val="es-ES"/>
        </w:rPr>
      </w:pPr>
      <w:r w:rsidRPr="00AA758C">
        <w:rPr>
          <w:rStyle w:val="Refdenotaalpie"/>
          <w:rFonts w:ascii="Arial" w:hAnsi="Arial" w:cs="Arial"/>
          <w:sz w:val="19"/>
          <w:szCs w:val="19"/>
        </w:rPr>
        <w:footnoteRef/>
      </w:r>
      <w:r w:rsidRPr="00AA758C">
        <w:rPr>
          <w:rStyle w:val="Refdenotaalpie"/>
          <w:rFonts w:ascii="Arial" w:hAnsi="Arial" w:cs="Arial"/>
          <w:color w:val="000000"/>
          <w:sz w:val="19"/>
          <w:szCs w:val="19"/>
        </w:rPr>
        <w:t xml:space="preserve"> </w:t>
      </w:r>
      <w:r w:rsidRPr="00AA758C">
        <w:rPr>
          <w:rFonts w:ascii="Arial" w:hAnsi="Arial" w:cs="Arial"/>
          <w:color w:val="000000"/>
          <w:sz w:val="19"/>
          <w:szCs w:val="19"/>
          <w:lang w:val="es-ES"/>
        </w:rPr>
        <w:t xml:space="preserve">Consejo de Estado. Sala de Consulta y Servicio Civil, Concepto de 8 de mayo de 2018. Radicación Número: 11001-03-06-000-2018-00095-00(2382). Consejero Ponente: Álvaro </w:t>
      </w:r>
      <w:proofErr w:type="spellStart"/>
      <w:r w:rsidRPr="00AA758C">
        <w:rPr>
          <w:rFonts w:ascii="Arial" w:hAnsi="Arial" w:cs="Arial"/>
          <w:color w:val="000000"/>
          <w:sz w:val="19"/>
          <w:szCs w:val="19"/>
          <w:lang w:val="es-ES"/>
        </w:rPr>
        <w:t>Namén</w:t>
      </w:r>
      <w:proofErr w:type="spellEnd"/>
      <w:r w:rsidRPr="00AA758C">
        <w:rPr>
          <w:rFonts w:ascii="Arial" w:hAnsi="Arial" w:cs="Arial"/>
          <w:color w:val="000000"/>
          <w:sz w:val="19"/>
          <w:szCs w:val="19"/>
          <w:lang w:val="es-ES"/>
        </w:rPr>
        <w:t xml:space="preserve"> Vargas.</w:t>
      </w:r>
    </w:p>
  </w:footnote>
  <w:footnote w:id="19">
    <w:p w14:paraId="529AD349" w14:textId="77777777" w:rsidR="00257A25" w:rsidRDefault="00257A25" w:rsidP="007323DA">
      <w:pPr>
        <w:pStyle w:val="Textonotapie"/>
        <w:ind w:firstLine="709"/>
        <w:jc w:val="both"/>
        <w:rPr>
          <w:rFonts w:ascii="Arial" w:hAnsi="Arial" w:cs="Arial"/>
          <w:color w:val="000000"/>
          <w:sz w:val="19"/>
          <w:szCs w:val="19"/>
        </w:rPr>
      </w:pPr>
    </w:p>
    <w:p w14:paraId="1672C59A" w14:textId="7C6BE771" w:rsidR="007323DA" w:rsidRPr="00AA758C" w:rsidRDefault="007323DA" w:rsidP="007323DA">
      <w:pPr>
        <w:pStyle w:val="Textonotapie"/>
        <w:ind w:firstLine="709"/>
        <w:jc w:val="both"/>
        <w:rPr>
          <w:rFonts w:ascii="Arial" w:hAnsi="Arial" w:cs="Arial"/>
          <w:color w:val="000000"/>
          <w:sz w:val="19"/>
          <w:szCs w:val="19"/>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Consejo de Estado. Sala de Consulta y Servicio Civil. Concepto del 08 de mayo de 2018. Exp. 2.382. C.P. Álvaro Namén Vargas.</w:t>
      </w:r>
    </w:p>
  </w:footnote>
  <w:footnote w:id="20">
    <w:p w14:paraId="4C1356C6" w14:textId="77777777" w:rsidR="007323DA" w:rsidRPr="00AA758C" w:rsidRDefault="007323DA" w:rsidP="007323DA">
      <w:pPr>
        <w:pStyle w:val="Textonotapie"/>
        <w:ind w:firstLine="709"/>
        <w:jc w:val="both"/>
        <w:rPr>
          <w:rFonts w:ascii="Arial" w:hAnsi="Arial" w:cs="Arial"/>
          <w:color w:val="000000"/>
          <w:sz w:val="19"/>
          <w:szCs w:val="19"/>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Cfr. Concepto C-757 del 30 de diciembre de 2021.</w:t>
      </w:r>
    </w:p>
  </w:footnote>
  <w:footnote w:id="21">
    <w:p w14:paraId="7F2C5D02" w14:textId="77777777" w:rsidR="00AA758C" w:rsidRPr="00AA758C" w:rsidRDefault="00AA758C" w:rsidP="007323DA">
      <w:pPr>
        <w:pStyle w:val="Textonotapie"/>
        <w:ind w:firstLine="709"/>
        <w:jc w:val="both"/>
        <w:rPr>
          <w:rFonts w:ascii="Arial" w:hAnsi="Arial" w:cs="Arial"/>
          <w:color w:val="000000"/>
          <w:sz w:val="19"/>
          <w:szCs w:val="19"/>
        </w:rPr>
      </w:pPr>
    </w:p>
    <w:p w14:paraId="1CF4BBC1" w14:textId="628764A1" w:rsidR="007323DA" w:rsidRPr="00AA758C" w:rsidRDefault="007323DA" w:rsidP="007323DA">
      <w:pPr>
        <w:pStyle w:val="Textonotapie"/>
        <w:ind w:firstLine="709"/>
        <w:jc w:val="both"/>
        <w:rPr>
          <w:rFonts w:ascii="Arial" w:hAnsi="Arial" w:cs="Arial"/>
          <w:color w:val="000000"/>
          <w:sz w:val="19"/>
          <w:szCs w:val="19"/>
        </w:rPr>
      </w:pPr>
      <w:r w:rsidRPr="00AA758C">
        <w:rPr>
          <w:rStyle w:val="Refdenotaalpie"/>
          <w:rFonts w:ascii="Arial" w:hAnsi="Arial" w:cs="Arial"/>
          <w:sz w:val="19"/>
          <w:szCs w:val="19"/>
        </w:rPr>
        <w:footnoteRef/>
      </w:r>
      <w:r w:rsidRPr="00AA758C">
        <w:rPr>
          <w:rFonts w:ascii="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1A6EBB2E" w14:textId="77777777" w:rsidR="007323DA" w:rsidRPr="00AA758C" w:rsidRDefault="007323DA" w:rsidP="007323DA">
      <w:pPr>
        <w:ind w:firstLine="709"/>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250F865D" w14:textId="77777777" w:rsidR="007323DA" w:rsidRPr="00AA758C" w:rsidRDefault="007323DA" w:rsidP="007323DA">
      <w:pPr>
        <w:pStyle w:val="Textonotapie"/>
        <w:ind w:right="51" w:firstLine="709"/>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AA758C">
        <w:rPr>
          <w:rFonts w:ascii="Arial" w:eastAsia="Times New Roman" w:hAnsi="Arial" w:cs="Arial"/>
          <w:sz w:val="19"/>
          <w:szCs w:val="19"/>
          <w:lang w:eastAsia="x-none"/>
        </w:rPr>
        <w:t xml:space="preserve"> «</w:t>
      </w:r>
      <w:r w:rsidRPr="00AA758C">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AA758C">
        <w:rPr>
          <w:rFonts w:ascii="Arial" w:eastAsia="Times New Roman" w:hAnsi="Arial" w:cs="Arial"/>
          <w:sz w:val="19"/>
          <w:szCs w:val="19"/>
          <w:lang w:eastAsia="x-none"/>
        </w:rPr>
        <w:t>».</w:t>
      </w:r>
    </w:p>
  </w:footnote>
  <w:footnote w:id="24">
    <w:p w14:paraId="5FA26F88" w14:textId="77777777" w:rsidR="007323DA" w:rsidRPr="00AA758C" w:rsidRDefault="007323DA" w:rsidP="007323DA">
      <w:pPr>
        <w:pStyle w:val="Textonotapie"/>
        <w:ind w:right="51" w:firstLine="709"/>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759D94C3" w14:textId="77777777" w:rsidR="007323DA" w:rsidRPr="00AA758C" w:rsidRDefault="007323DA" w:rsidP="007323DA">
      <w:pPr>
        <w:pStyle w:val="Textonotapie"/>
        <w:ind w:right="51" w:firstLine="709"/>
        <w:jc w:val="both"/>
        <w:rPr>
          <w:rFonts w:ascii="Arial" w:hAnsi="Arial" w:cs="Arial"/>
          <w:sz w:val="19"/>
          <w:szCs w:val="19"/>
        </w:rPr>
      </w:pPr>
    </w:p>
  </w:footnote>
  <w:footnote w:id="25">
    <w:p w14:paraId="3960ED4F" w14:textId="77777777" w:rsidR="007323DA" w:rsidRPr="00AA758C" w:rsidRDefault="007323DA" w:rsidP="007323DA">
      <w:pPr>
        <w:pStyle w:val="Textonotapie"/>
        <w:ind w:right="51" w:firstLine="709"/>
        <w:jc w:val="both"/>
        <w:rPr>
          <w:rFonts w:ascii="Arial" w:hAnsi="Arial" w:cs="Arial"/>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Consejo de Estado. Sala de Consulta y Servicio Civil, ídem.</w:t>
      </w:r>
    </w:p>
  </w:footnote>
  <w:footnote w:id="26">
    <w:p w14:paraId="567CBBE6" w14:textId="456E94BA" w:rsidR="007323DA" w:rsidRDefault="007323DA" w:rsidP="007323DA">
      <w:pPr>
        <w:pStyle w:val="Textonotapie"/>
        <w:ind w:firstLine="709"/>
        <w:jc w:val="both"/>
        <w:rPr>
          <w:rFonts w:ascii="Arial" w:hAnsi="Arial" w:cs="Arial"/>
          <w:color w:val="000000" w:themeColor="text1"/>
          <w:sz w:val="19"/>
          <w:szCs w:val="19"/>
          <w:lang w:val="es-CO"/>
        </w:rPr>
      </w:pPr>
      <w:r w:rsidRPr="00AA758C">
        <w:rPr>
          <w:rStyle w:val="Refdenotaalpie"/>
          <w:rFonts w:ascii="Arial" w:hAnsi="Arial" w:cs="Arial"/>
          <w:sz w:val="19"/>
          <w:szCs w:val="19"/>
        </w:rPr>
        <w:footnoteRef/>
      </w:r>
      <w:r w:rsidRPr="00AA758C">
        <w:rPr>
          <w:rFonts w:ascii="Arial" w:hAnsi="Arial" w:cs="Arial"/>
          <w:color w:val="000000" w:themeColor="text1"/>
          <w:sz w:val="19"/>
          <w:szCs w:val="19"/>
          <w:lang w:val="es-CO"/>
        </w:rPr>
        <w:t xml:space="preserve"> FIGUEROA U. Organismos internacionales. 2ª edición. Santiago de Chile: Editorial RIL editores, 2010.</w:t>
      </w:r>
    </w:p>
    <w:p w14:paraId="3E4C6A61" w14:textId="77777777" w:rsidR="00257A25" w:rsidRPr="00AA758C" w:rsidRDefault="00257A25" w:rsidP="007323DA">
      <w:pPr>
        <w:pStyle w:val="Textonotapie"/>
        <w:ind w:firstLine="709"/>
        <w:jc w:val="both"/>
        <w:rPr>
          <w:rFonts w:ascii="Arial" w:hAnsi="Arial" w:cs="Arial"/>
          <w:color w:val="000000" w:themeColor="text1"/>
          <w:sz w:val="19"/>
          <w:szCs w:val="19"/>
          <w:lang w:val="es-CO"/>
        </w:rPr>
      </w:pPr>
    </w:p>
  </w:footnote>
  <w:footnote w:id="27">
    <w:p w14:paraId="0A415C58"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Style w:val="Refdenotaalpie"/>
          <w:rFonts w:ascii="Arial" w:hAnsi="Arial" w:cs="Arial"/>
          <w:sz w:val="19"/>
          <w:szCs w:val="19"/>
        </w:rPr>
        <w:footnoteRef/>
      </w:r>
      <w:r w:rsidRPr="00AA758C">
        <w:rPr>
          <w:rFonts w:ascii="Arial" w:hAnsi="Arial" w:cs="Arial"/>
          <w:color w:val="000000" w:themeColor="text1"/>
          <w:sz w:val="19"/>
          <w:szCs w:val="19"/>
        </w:rPr>
        <w:t xml:space="preserve"> Ley 80 de 1993: «Artículo 13. De la normatividad aplicable a los contratos estatales. Los contratos que celebren las entidades a que se refiere el artículo </w:t>
      </w:r>
      <w:hyperlink r:id="rId1" w:anchor="2" w:history="1">
        <w:r w:rsidRPr="00AA758C">
          <w:t>2</w:t>
        </w:r>
      </w:hyperlink>
      <w:r w:rsidRPr="00AA758C">
        <w:rPr>
          <w:rFonts w:ascii="Arial" w:hAnsi="Arial" w:cs="Arial"/>
          <w:color w:val="000000" w:themeColor="text1"/>
          <w:sz w:val="19"/>
          <w:szCs w:val="19"/>
        </w:rPr>
        <w:t>o. del presente estatuto se regirán por las disposiciones comerciales y civiles pertinentes, salvo en las materias particularmente reguladas en esta ley.</w:t>
      </w:r>
    </w:p>
    <w:p w14:paraId="08806421"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»Los contratos celebrados en el exterior se podrán regir en su ejecución por las reglas del país en donde se hayan suscrito, a menos que deban cumplirse en Colombia»</w:t>
      </w:r>
    </w:p>
    <w:p w14:paraId="408DF664"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»Los contratos que se celebren en Colombia y deban ejecutarse o cumplirse en el extranjero, podrán someterse a la ley extranjera».</w:t>
      </w:r>
    </w:p>
  </w:footnote>
  <w:footnote w:id="28">
    <w:p w14:paraId="21324135" w14:textId="4E39550C" w:rsidR="007323DA" w:rsidRDefault="007323DA" w:rsidP="007323DA">
      <w:pPr>
        <w:pStyle w:val="Textonotapie"/>
        <w:ind w:firstLine="709"/>
        <w:jc w:val="both"/>
        <w:rPr>
          <w:rFonts w:ascii="Arial" w:hAnsi="Arial" w:cs="Arial"/>
          <w:color w:val="000000" w:themeColor="text1"/>
          <w:sz w:val="19"/>
          <w:szCs w:val="19"/>
          <w:lang w:val="es-CO"/>
        </w:rPr>
      </w:pPr>
      <w:r w:rsidRPr="00AA758C">
        <w:rPr>
          <w:rStyle w:val="Refdenotaalpie"/>
          <w:rFonts w:ascii="Arial" w:hAnsi="Arial" w:cs="Arial"/>
          <w:sz w:val="19"/>
          <w:szCs w:val="19"/>
        </w:rPr>
        <w:footnoteRef/>
      </w:r>
      <w:r w:rsidRPr="00AA758C">
        <w:rPr>
          <w:rFonts w:ascii="Arial" w:hAnsi="Arial" w:cs="Arial"/>
          <w:color w:val="000000" w:themeColor="text1"/>
          <w:sz w:val="19"/>
          <w:szCs w:val="19"/>
        </w:rPr>
        <w:t xml:space="preserve"> Consejo de Estado. Sección Tercera, Subsección C. Sentencia del 26 de noviembre de 2015. </w:t>
      </w:r>
      <w:proofErr w:type="spellStart"/>
      <w:r w:rsidRPr="00AA758C">
        <w:rPr>
          <w:rFonts w:ascii="Arial" w:hAnsi="Arial" w:cs="Arial"/>
          <w:color w:val="000000" w:themeColor="text1"/>
          <w:sz w:val="19"/>
          <w:szCs w:val="19"/>
          <w:lang w:val="es-ES_tradnl"/>
        </w:rPr>
        <w:t>Exp</w:t>
      </w:r>
      <w:proofErr w:type="spellEnd"/>
      <w:r w:rsidRPr="00AA758C">
        <w:rPr>
          <w:rFonts w:ascii="Arial" w:hAnsi="Arial" w:cs="Arial"/>
          <w:color w:val="000000" w:themeColor="text1"/>
          <w:sz w:val="19"/>
          <w:szCs w:val="19"/>
          <w:lang w:val="es-ES_tradnl"/>
        </w:rPr>
        <w:t xml:space="preserve">. </w:t>
      </w:r>
      <w:r w:rsidRPr="00AA758C">
        <w:rPr>
          <w:rFonts w:ascii="Arial" w:hAnsi="Arial" w:cs="Arial"/>
          <w:color w:val="000000" w:themeColor="text1"/>
          <w:sz w:val="19"/>
          <w:szCs w:val="19"/>
          <w:lang w:val="es-CO"/>
        </w:rPr>
        <w:t xml:space="preserve">54.069. C.P Jaime Orlando Santofimio Gamboa. </w:t>
      </w:r>
    </w:p>
    <w:p w14:paraId="08808DF2" w14:textId="77777777" w:rsidR="00257A25" w:rsidRPr="00AA758C" w:rsidRDefault="00257A25" w:rsidP="007323DA">
      <w:pPr>
        <w:pStyle w:val="Textonotapie"/>
        <w:ind w:firstLine="709"/>
        <w:jc w:val="both"/>
        <w:rPr>
          <w:rFonts w:ascii="Arial" w:hAnsi="Arial" w:cs="Arial"/>
          <w:color w:val="000000" w:themeColor="text1"/>
          <w:sz w:val="19"/>
          <w:szCs w:val="19"/>
          <w:lang w:val="es-ES_tradnl"/>
        </w:rPr>
      </w:pPr>
    </w:p>
  </w:footnote>
  <w:footnote w:id="29">
    <w:p w14:paraId="1FFC50CB" w14:textId="77777777" w:rsidR="007323DA" w:rsidRPr="00AA758C" w:rsidRDefault="007323DA" w:rsidP="007323DA">
      <w:pPr>
        <w:pStyle w:val="Textonotapie"/>
        <w:ind w:firstLine="709"/>
        <w:jc w:val="both"/>
        <w:rPr>
          <w:rFonts w:ascii="Arial" w:hAnsi="Arial" w:cs="Arial"/>
          <w:color w:val="000000" w:themeColor="text1"/>
          <w:sz w:val="19"/>
          <w:szCs w:val="19"/>
          <w:lang w:eastAsia="es-CO"/>
        </w:rPr>
      </w:pPr>
      <w:r w:rsidRPr="00AA758C">
        <w:rPr>
          <w:rStyle w:val="Refdenotaalpie"/>
          <w:rFonts w:ascii="Arial" w:hAnsi="Arial" w:cs="Arial"/>
          <w:sz w:val="19"/>
          <w:szCs w:val="19"/>
        </w:rPr>
        <w:footnoteRef/>
      </w:r>
      <w:r w:rsidRPr="00AA758C">
        <w:rPr>
          <w:rFonts w:ascii="Arial" w:hAnsi="Arial" w:cs="Arial"/>
          <w:color w:val="000000" w:themeColor="text1"/>
          <w:sz w:val="19"/>
          <w:szCs w:val="19"/>
        </w:rPr>
        <w:t xml:space="preserve"> </w:t>
      </w:r>
      <w:r w:rsidRPr="00AA758C">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30">
    <w:p w14:paraId="2DB43A9D"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Style w:val="Refdenotaalpie"/>
          <w:rFonts w:ascii="Arial" w:hAnsi="Arial" w:cs="Arial"/>
          <w:sz w:val="19"/>
          <w:szCs w:val="19"/>
        </w:rPr>
        <w:footnoteRef/>
      </w:r>
      <w:r w:rsidRPr="00AA758C">
        <w:rPr>
          <w:rFonts w:ascii="Arial" w:hAnsi="Arial" w:cs="Arial"/>
          <w:color w:val="000000" w:themeColor="text1"/>
          <w:sz w:val="19"/>
          <w:szCs w:val="19"/>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76395BB8"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11809503"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14:paraId="0CE14E9D"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w:t>
      </w:r>
      <w:r w:rsidRPr="00AA758C">
        <w:rPr>
          <w:rStyle w:val="baj"/>
          <w:rFonts w:ascii="Arial" w:hAnsi="Arial" w:cs="Arial"/>
          <w:color w:val="000000" w:themeColor="text1"/>
          <w:sz w:val="19"/>
          <w:szCs w:val="19"/>
        </w:rPr>
        <w:t>PARÁGRAFO 1o.</w:t>
      </w:r>
      <w:r w:rsidRPr="00AA758C">
        <w:rPr>
          <w:rFonts w:ascii="Arial" w:hAnsi="Arial" w:cs="Arial"/>
          <w:color w:val="000000" w:themeColor="text1"/>
          <w:sz w:val="19"/>
          <w:szCs w:val="19"/>
        </w:rPr>
        <w:t> Los contratos o acuerdos celebrados con personas extranjeras de derecho público, podrán someterse a las reglas de tales organismos.</w:t>
      </w:r>
    </w:p>
    <w:p w14:paraId="3A918B31"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w:t>
      </w:r>
      <w:r w:rsidRPr="00AA758C">
        <w:rPr>
          <w:rStyle w:val="baj"/>
          <w:rFonts w:ascii="Arial" w:hAnsi="Arial" w:cs="Arial"/>
          <w:color w:val="000000" w:themeColor="text1"/>
          <w:sz w:val="19"/>
          <w:szCs w:val="19"/>
        </w:rPr>
        <w:t>PARÁGRAFO 2o.</w:t>
      </w:r>
      <w:r w:rsidRPr="00AA758C">
        <w:rPr>
          <w:rFonts w:ascii="Arial" w:hAnsi="Arial" w:cs="Arial"/>
          <w:color w:val="000000" w:themeColor="text1"/>
          <w:sz w:val="19"/>
          <w:szCs w:val="19"/>
        </w:rPr>
        <w:t xml:space="preserve"> Las entidades estatales tendrán la obligación de reportar la información a los organismos de control y al </w:t>
      </w:r>
      <w:proofErr w:type="spellStart"/>
      <w:r w:rsidRPr="00AA758C">
        <w:rPr>
          <w:rFonts w:ascii="Arial" w:hAnsi="Arial" w:cs="Arial"/>
          <w:color w:val="000000" w:themeColor="text1"/>
          <w:sz w:val="19"/>
          <w:szCs w:val="19"/>
        </w:rPr>
        <w:t>Secop</w:t>
      </w:r>
      <w:proofErr w:type="spellEnd"/>
      <w:r w:rsidRPr="00AA758C">
        <w:rPr>
          <w:rFonts w:ascii="Arial" w:hAnsi="Arial" w:cs="Arial"/>
          <w:color w:val="000000" w:themeColor="text1"/>
          <w:sz w:val="19"/>
          <w:szCs w:val="19"/>
        </w:rPr>
        <w:t xml:space="preserve"> relativa a la ejecución de los contratos a los que se refiere el presente artículo.</w:t>
      </w:r>
    </w:p>
    <w:p w14:paraId="7C95AC71" w14:textId="77777777" w:rsidR="007323DA" w:rsidRPr="00AA758C"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w:t>
      </w:r>
      <w:r w:rsidRPr="00AA758C">
        <w:rPr>
          <w:rStyle w:val="baj"/>
          <w:rFonts w:ascii="Arial" w:hAnsi="Arial" w:cs="Arial"/>
          <w:color w:val="000000" w:themeColor="text1"/>
          <w:sz w:val="19"/>
          <w:szCs w:val="19"/>
        </w:rPr>
        <w:t>PARÁGRAFO 3o.</w:t>
      </w:r>
      <w:r w:rsidRPr="00AA758C">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31">
    <w:p w14:paraId="15055C7F"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Style w:val="Refdenotaalpie"/>
          <w:rFonts w:ascii="Arial" w:hAnsi="Arial" w:cs="Arial"/>
          <w:sz w:val="19"/>
          <w:szCs w:val="19"/>
        </w:rPr>
        <w:footnoteRef/>
      </w:r>
      <w:r w:rsidRPr="00AA758C">
        <w:rPr>
          <w:rFonts w:ascii="Arial" w:hAnsi="Arial" w:cs="Arial"/>
          <w:color w:val="000000" w:themeColor="text1"/>
          <w:sz w:val="19"/>
          <w:szCs w:val="19"/>
        </w:rPr>
        <w:t xml:space="preserve"> Decreto 1082 de 2015. «Artículo </w:t>
      </w:r>
      <w:r w:rsidRPr="00AA758C">
        <w:rPr>
          <w:rStyle w:val="Textoennegrita"/>
          <w:rFonts w:ascii="Arial" w:hAnsi="Arial" w:cs="Arial"/>
          <w:b w:val="0"/>
          <w:bCs w:val="0"/>
          <w:color w:val="000000" w:themeColor="text1"/>
          <w:sz w:val="19"/>
          <w:szCs w:val="19"/>
        </w:rPr>
        <w:t>2.2.1.2.4.4.1. </w:t>
      </w:r>
      <w:r w:rsidRPr="00AA758C">
        <w:rPr>
          <w:rStyle w:val="nfasis"/>
          <w:rFonts w:ascii="Arial" w:hAnsi="Arial" w:cs="Arial"/>
          <w:color w:val="000000" w:themeColor="text1"/>
          <w:sz w:val="19"/>
          <w:szCs w:val="19"/>
        </w:rPr>
        <w:t>Régimen aplicable a los contratos o convenios de cooperación Internacional. </w:t>
      </w:r>
      <w:r w:rsidRPr="00AA758C">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09BA27EA"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w:t>
      </w:r>
      <w:r w:rsidRPr="00AA758C">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AA758C">
        <w:rPr>
          <w:rFonts w:ascii="Arial" w:hAnsi="Arial" w:cs="Arial"/>
          <w:color w:val="000000" w:themeColor="text1"/>
          <w:sz w:val="19"/>
          <w:szCs w:val="19"/>
        </w:rPr>
        <w:t>.</w:t>
      </w:r>
    </w:p>
    <w:p w14:paraId="459A0331"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407937B5"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055AEA7B"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2" w:history="1">
        <w:r w:rsidRPr="00AA758C">
          <w:rPr>
            <w:rStyle w:val="Hipervnculo"/>
            <w:rFonts w:ascii="Arial" w:hAnsi="Arial" w:cs="Arial"/>
            <w:color w:val="000000" w:themeColor="text1"/>
            <w:sz w:val="19"/>
            <w:szCs w:val="19"/>
          </w:rPr>
          <w:t>Ley 1150 de 2007</w:t>
        </w:r>
      </w:hyperlink>
      <w:r w:rsidRPr="00AA758C">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3" w:history="1">
        <w:r w:rsidRPr="00AA758C">
          <w:rPr>
            <w:rStyle w:val="Hipervnculo"/>
            <w:rFonts w:ascii="Arial" w:hAnsi="Arial" w:cs="Arial"/>
            <w:color w:val="000000" w:themeColor="text1"/>
            <w:sz w:val="19"/>
            <w:szCs w:val="19"/>
          </w:rPr>
          <w:t> Ley 1150 de 2007</w:t>
        </w:r>
      </w:hyperlink>
      <w:r w:rsidRPr="00AA758C">
        <w:rPr>
          <w:rFonts w:ascii="Arial" w:hAnsi="Arial" w:cs="Arial"/>
          <w:color w:val="000000" w:themeColor="text1"/>
          <w:sz w:val="19"/>
          <w:szCs w:val="19"/>
        </w:rPr>
        <w:t>.</w:t>
      </w:r>
    </w:p>
    <w:p w14:paraId="0BE22E5A"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»Los contratos con personas extranjeras de derecho público se deben celebrar y ejecutar según se acuerde entre las partes».</w:t>
      </w:r>
    </w:p>
  </w:footnote>
  <w:footnote w:id="32">
    <w:p w14:paraId="7F18F8F9"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Style w:val="Refdenotaalpie"/>
          <w:rFonts w:ascii="Arial" w:hAnsi="Arial" w:cs="Arial"/>
          <w:sz w:val="19"/>
          <w:szCs w:val="19"/>
        </w:rPr>
        <w:footnoteRef/>
      </w:r>
      <w:r w:rsidRPr="00AA758C">
        <w:rPr>
          <w:rFonts w:ascii="Arial" w:hAnsi="Arial" w:cs="Arial"/>
          <w:sz w:val="19"/>
          <w:szCs w:val="19"/>
        </w:rPr>
        <w:t xml:space="preserve"> </w:t>
      </w:r>
      <w:r w:rsidRPr="00AA758C">
        <w:rPr>
          <w:rFonts w:ascii="Arial" w:hAnsi="Arial" w:cs="Arial"/>
          <w:color w:val="000000" w:themeColor="text1"/>
          <w:sz w:val="19"/>
          <w:szCs w:val="19"/>
        </w:rPr>
        <w:t xml:space="preserve">En otros apartes del Concepto CU-180 del 8 de abril de 2022 se sintetizó la postura de unificación en los siguientes términos: «En este orden de ideas, esta Subdirección unifica su criterio en torno a la aplicación de la prohibición del artículo 33 de la Ley de Garantías Electorales, en el sentido de que,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7C147731" w14:textId="77777777" w:rsidR="007323DA" w:rsidRPr="00AA758C"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A758C">
        <w:rPr>
          <w:rFonts w:ascii="Arial" w:hAnsi="Arial" w:cs="Arial"/>
          <w:color w:val="000000" w:themeColor="text1"/>
          <w:sz w:val="19"/>
          <w:szCs w:val="19"/>
        </w:rPr>
        <w:t>»En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33F0"/>
    <w:multiLevelType w:val="hybridMultilevel"/>
    <w:tmpl w:val="304A0488"/>
    <w:lvl w:ilvl="0" w:tplc="601C9E02">
      <w:start w:val="1"/>
      <w:numFmt w:val="decimal"/>
      <w:lvlText w:val="%1."/>
      <w:lvlJc w:val="left"/>
      <w:pPr>
        <w:ind w:left="720" w:hanging="360"/>
      </w:pPr>
      <w:rPr>
        <w:rFonts w:ascii="Arial" w:hAnsi="Arial" w:cs="Arial" w:hint="default"/>
        <w:color w:val="00000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E07F5E"/>
    <w:multiLevelType w:val="hybridMultilevel"/>
    <w:tmpl w:val="BDA263A4"/>
    <w:lvl w:ilvl="0" w:tplc="AB882AE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E7794A"/>
    <w:multiLevelType w:val="multilevel"/>
    <w:tmpl w:val="A68E040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6"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0"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3DDA1BC7"/>
    <w:multiLevelType w:val="multilevel"/>
    <w:tmpl w:val="A68E040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2AD0CF0"/>
    <w:multiLevelType w:val="hybridMultilevel"/>
    <w:tmpl w:val="304A0488"/>
    <w:lvl w:ilvl="0" w:tplc="FFFFFFFF">
      <w:start w:val="1"/>
      <w:numFmt w:val="decimal"/>
      <w:lvlText w:val="%1."/>
      <w:lvlJc w:val="left"/>
      <w:pPr>
        <w:ind w:left="720" w:hanging="360"/>
      </w:pPr>
      <w:rPr>
        <w:rFonts w:ascii="Arial" w:hAnsi="Arial" w:cs="Arial"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C792844"/>
    <w:multiLevelType w:val="hybridMultilevel"/>
    <w:tmpl w:val="7430D0FE"/>
    <w:lvl w:ilvl="0" w:tplc="AB882AE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0" w15:restartNumberingAfterBreak="0">
    <w:nsid w:val="72B130D3"/>
    <w:multiLevelType w:val="hybridMultilevel"/>
    <w:tmpl w:val="304A0488"/>
    <w:lvl w:ilvl="0" w:tplc="FFFFFFFF">
      <w:start w:val="1"/>
      <w:numFmt w:val="decimal"/>
      <w:lvlText w:val="%1."/>
      <w:lvlJc w:val="left"/>
      <w:pPr>
        <w:ind w:left="720" w:hanging="360"/>
      </w:pPr>
      <w:rPr>
        <w:rFonts w:ascii="Arial" w:hAnsi="Arial" w:cs="Arial"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45270627">
    <w:abstractNumId w:val="13"/>
  </w:num>
  <w:num w:numId="2" w16cid:durableId="1695038877">
    <w:abstractNumId w:val="11"/>
  </w:num>
  <w:num w:numId="3" w16cid:durableId="1531214341">
    <w:abstractNumId w:val="17"/>
  </w:num>
  <w:num w:numId="4" w16cid:durableId="790442644">
    <w:abstractNumId w:val="22"/>
  </w:num>
  <w:num w:numId="5" w16cid:durableId="1260678501">
    <w:abstractNumId w:val="27"/>
  </w:num>
  <w:num w:numId="6" w16cid:durableId="108719106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9798656">
    <w:abstractNumId w:val="24"/>
  </w:num>
  <w:num w:numId="8" w16cid:durableId="272128414">
    <w:abstractNumId w:val="1"/>
  </w:num>
  <w:num w:numId="9" w16cid:durableId="1707638553">
    <w:abstractNumId w:val="6"/>
  </w:num>
  <w:num w:numId="10" w16cid:durableId="1471435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02137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5092196">
    <w:abstractNumId w:val="12"/>
  </w:num>
  <w:num w:numId="13" w16cid:durableId="223105452">
    <w:abstractNumId w:val="16"/>
  </w:num>
  <w:num w:numId="14" w16cid:durableId="253517298">
    <w:abstractNumId w:val="10"/>
  </w:num>
  <w:num w:numId="15" w16cid:durableId="1433623751">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95310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6399991">
    <w:abstractNumId w:val="31"/>
  </w:num>
  <w:num w:numId="18" w16cid:durableId="1518960134">
    <w:abstractNumId w:val="18"/>
  </w:num>
  <w:num w:numId="19" w16cid:durableId="604654584">
    <w:abstractNumId w:val="5"/>
  </w:num>
  <w:num w:numId="20" w16cid:durableId="1667126314">
    <w:abstractNumId w:val="32"/>
  </w:num>
  <w:num w:numId="21" w16cid:durableId="1674062011">
    <w:abstractNumId w:val="19"/>
  </w:num>
  <w:num w:numId="22" w16cid:durableId="1888832006">
    <w:abstractNumId w:val="9"/>
  </w:num>
  <w:num w:numId="23" w16cid:durableId="940600456">
    <w:abstractNumId w:val="7"/>
  </w:num>
  <w:num w:numId="24" w16cid:durableId="424884948">
    <w:abstractNumId w:val="29"/>
  </w:num>
  <w:num w:numId="25" w16cid:durableId="907688112">
    <w:abstractNumId w:val="23"/>
  </w:num>
  <w:num w:numId="26" w16cid:durableId="57552710">
    <w:abstractNumId w:val="26"/>
  </w:num>
  <w:num w:numId="27" w16cid:durableId="221599526">
    <w:abstractNumId w:val="8"/>
  </w:num>
  <w:num w:numId="28" w16cid:durableId="1320311027">
    <w:abstractNumId w:val="20"/>
  </w:num>
  <w:num w:numId="29" w16cid:durableId="10199649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700054">
    <w:abstractNumId w:val="0"/>
  </w:num>
  <w:num w:numId="31" w16cid:durableId="87971969">
    <w:abstractNumId w:val="21"/>
  </w:num>
  <w:num w:numId="32" w16cid:durableId="1019552411">
    <w:abstractNumId w:val="30"/>
  </w:num>
  <w:num w:numId="33" w16cid:durableId="1080298662">
    <w:abstractNumId w:val="15"/>
  </w:num>
  <w:num w:numId="34" w16cid:durableId="1771663930">
    <w:abstractNumId w:val="2"/>
  </w:num>
  <w:num w:numId="35" w16cid:durableId="405146992">
    <w:abstractNumId w:val="28"/>
  </w:num>
  <w:num w:numId="36" w16cid:durableId="1826698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4EC6"/>
    <w:rsid w:val="000055D9"/>
    <w:rsid w:val="000059D3"/>
    <w:rsid w:val="000064A0"/>
    <w:rsid w:val="0001035E"/>
    <w:rsid w:val="00016CFF"/>
    <w:rsid w:val="00022E15"/>
    <w:rsid w:val="000266D4"/>
    <w:rsid w:val="000279B3"/>
    <w:rsid w:val="000300AA"/>
    <w:rsid w:val="00032912"/>
    <w:rsid w:val="00037573"/>
    <w:rsid w:val="00040DEA"/>
    <w:rsid w:val="00045246"/>
    <w:rsid w:val="000472FF"/>
    <w:rsid w:val="0004752B"/>
    <w:rsid w:val="000529A0"/>
    <w:rsid w:val="00053EE1"/>
    <w:rsid w:val="0005551F"/>
    <w:rsid w:val="00055A31"/>
    <w:rsid w:val="0005657D"/>
    <w:rsid w:val="000565DF"/>
    <w:rsid w:val="00056BD1"/>
    <w:rsid w:val="00063887"/>
    <w:rsid w:val="0006537A"/>
    <w:rsid w:val="00071907"/>
    <w:rsid w:val="000721E4"/>
    <w:rsid w:val="000744B4"/>
    <w:rsid w:val="000747C8"/>
    <w:rsid w:val="00076A78"/>
    <w:rsid w:val="00080ACD"/>
    <w:rsid w:val="00082FC1"/>
    <w:rsid w:val="00084B97"/>
    <w:rsid w:val="0008539A"/>
    <w:rsid w:val="000938AD"/>
    <w:rsid w:val="000942EB"/>
    <w:rsid w:val="0009676A"/>
    <w:rsid w:val="000A0158"/>
    <w:rsid w:val="000A2092"/>
    <w:rsid w:val="000A23B5"/>
    <w:rsid w:val="000A296C"/>
    <w:rsid w:val="000A3A9D"/>
    <w:rsid w:val="000A3B5A"/>
    <w:rsid w:val="000A3C64"/>
    <w:rsid w:val="000A47AF"/>
    <w:rsid w:val="000A4B58"/>
    <w:rsid w:val="000A617B"/>
    <w:rsid w:val="000A7C27"/>
    <w:rsid w:val="000B0FAB"/>
    <w:rsid w:val="000B103F"/>
    <w:rsid w:val="000B419B"/>
    <w:rsid w:val="000B7A43"/>
    <w:rsid w:val="000C122C"/>
    <w:rsid w:val="000C2392"/>
    <w:rsid w:val="000C639D"/>
    <w:rsid w:val="000C75EC"/>
    <w:rsid w:val="000C7EDB"/>
    <w:rsid w:val="000D0ED2"/>
    <w:rsid w:val="000D10ED"/>
    <w:rsid w:val="000D1EBE"/>
    <w:rsid w:val="000D2339"/>
    <w:rsid w:val="000D2424"/>
    <w:rsid w:val="000D3FCF"/>
    <w:rsid w:val="000D68EA"/>
    <w:rsid w:val="000D7D13"/>
    <w:rsid w:val="000E004B"/>
    <w:rsid w:val="000E11AD"/>
    <w:rsid w:val="000E2BB6"/>
    <w:rsid w:val="000E3509"/>
    <w:rsid w:val="000E5DAF"/>
    <w:rsid w:val="000F14E8"/>
    <w:rsid w:val="000F576E"/>
    <w:rsid w:val="000F5896"/>
    <w:rsid w:val="000F7B23"/>
    <w:rsid w:val="001019AF"/>
    <w:rsid w:val="00103915"/>
    <w:rsid w:val="001051E5"/>
    <w:rsid w:val="001055C4"/>
    <w:rsid w:val="00106AB7"/>
    <w:rsid w:val="00106E99"/>
    <w:rsid w:val="00107323"/>
    <w:rsid w:val="00112405"/>
    <w:rsid w:val="001124A9"/>
    <w:rsid w:val="00113705"/>
    <w:rsid w:val="00116B73"/>
    <w:rsid w:val="00122B23"/>
    <w:rsid w:val="00125BED"/>
    <w:rsid w:val="00125C59"/>
    <w:rsid w:val="00125C66"/>
    <w:rsid w:val="00127AF2"/>
    <w:rsid w:val="00130016"/>
    <w:rsid w:val="001344EB"/>
    <w:rsid w:val="001350C4"/>
    <w:rsid w:val="00135A5C"/>
    <w:rsid w:val="00136BF7"/>
    <w:rsid w:val="00137E3E"/>
    <w:rsid w:val="00137FFA"/>
    <w:rsid w:val="001402C5"/>
    <w:rsid w:val="00141245"/>
    <w:rsid w:val="001418A4"/>
    <w:rsid w:val="001434A4"/>
    <w:rsid w:val="001458D4"/>
    <w:rsid w:val="00145CF3"/>
    <w:rsid w:val="00146B80"/>
    <w:rsid w:val="00146DE2"/>
    <w:rsid w:val="00150200"/>
    <w:rsid w:val="00150F04"/>
    <w:rsid w:val="00151978"/>
    <w:rsid w:val="00151DB3"/>
    <w:rsid w:val="00160401"/>
    <w:rsid w:val="00161B15"/>
    <w:rsid w:val="00161B32"/>
    <w:rsid w:val="0016200B"/>
    <w:rsid w:val="00163A34"/>
    <w:rsid w:val="001640DB"/>
    <w:rsid w:val="00165D90"/>
    <w:rsid w:val="00167950"/>
    <w:rsid w:val="00170A22"/>
    <w:rsid w:val="001753F7"/>
    <w:rsid w:val="00177B94"/>
    <w:rsid w:val="00180477"/>
    <w:rsid w:val="001811A6"/>
    <w:rsid w:val="00182E2B"/>
    <w:rsid w:val="00182F57"/>
    <w:rsid w:val="00183D77"/>
    <w:rsid w:val="0018492C"/>
    <w:rsid w:val="00185773"/>
    <w:rsid w:val="00187333"/>
    <w:rsid w:val="00195789"/>
    <w:rsid w:val="00196CBA"/>
    <w:rsid w:val="0019733B"/>
    <w:rsid w:val="001A0E2A"/>
    <w:rsid w:val="001A0F0E"/>
    <w:rsid w:val="001A2ADE"/>
    <w:rsid w:val="001A2DD2"/>
    <w:rsid w:val="001A3EC0"/>
    <w:rsid w:val="001B0444"/>
    <w:rsid w:val="001B07AA"/>
    <w:rsid w:val="001B2456"/>
    <w:rsid w:val="001B2A1D"/>
    <w:rsid w:val="001B3D7D"/>
    <w:rsid w:val="001B47ED"/>
    <w:rsid w:val="001B76A8"/>
    <w:rsid w:val="001C26F2"/>
    <w:rsid w:val="001C2D80"/>
    <w:rsid w:val="001C31F8"/>
    <w:rsid w:val="001C3E5C"/>
    <w:rsid w:val="001C435C"/>
    <w:rsid w:val="001C6D2E"/>
    <w:rsid w:val="001D6E9F"/>
    <w:rsid w:val="001D71CF"/>
    <w:rsid w:val="001E2FB8"/>
    <w:rsid w:val="001F0E9B"/>
    <w:rsid w:val="001F115F"/>
    <w:rsid w:val="001F2356"/>
    <w:rsid w:val="001F2F72"/>
    <w:rsid w:val="001F4534"/>
    <w:rsid w:val="001F4546"/>
    <w:rsid w:val="001F7547"/>
    <w:rsid w:val="00202A9C"/>
    <w:rsid w:val="0020632A"/>
    <w:rsid w:val="0021094E"/>
    <w:rsid w:val="002110EB"/>
    <w:rsid w:val="00211338"/>
    <w:rsid w:val="00211388"/>
    <w:rsid w:val="0021234D"/>
    <w:rsid w:val="00213052"/>
    <w:rsid w:val="00213A1F"/>
    <w:rsid w:val="002143A8"/>
    <w:rsid w:val="00214621"/>
    <w:rsid w:val="0021491F"/>
    <w:rsid w:val="002157D0"/>
    <w:rsid w:val="002167DB"/>
    <w:rsid w:val="00216BE6"/>
    <w:rsid w:val="00222383"/>
    <w:rsid w:val="002304E7"/>
    <w:rsid w:val="00232F46"/>
    <w:rsid w:val="00233A94"/>
    <w:rsid w:val="00234B84"/>
    <w:rsid w:val="0024107C"/>
    <w:rsid w:val="0024506E"/>
    <w:rsid w:val="002455B1"/>
    <w:rsid w:val="00245778"/>
    <w:rsid w:val="00247712"/>
    <w:rsid w:val="002545BD"/>
    <w:rsid w:val="00254960"/>
    <w:rsid w:val="0025797C"/>
    <w:rsid w:val="00257A25"/>
    <w:rsid w:val="00261CA9"/>
    <w:rsid w:val="002634F5"/>
    <w:rsid w:val="00263ECC"/>
    <w:rsid w:val="00270683"/>
    <w:rsid w:val="00270886"/>
    <w:rsid w:val="00270F5A"/>
    <w:rsid w:val="002714DA"/>
    <w:rsid w:val="002739C3"/>
    <w:rsid w:val="002747D6"/>
    <w:rsid w:val="00274B85"/>
    <w:rsid w:val="002765EE"/>
    <w:rsid w:val="002801FE"/>
    <w:rsid w:val="0028243F"/>
    <w:rsid w:val="00283FB7"/>
    <w:rsid w:val="0028449C"/>
    <w:rsid w:val="002928F0"/>
    <w:rsid w:val="00294800"/>
    <w:rsid w:val="00294F8D"/>
    <w:rsid w:val="00295A3E"/>
    <w:rsid w:val="00297CE1"/>
    <w:rsid w:val="002A19F5"/>
    <w:rsid w:val="002A712A"/>
    <w:rsid w:val="002B21FB"/>
    <w:rsid w:val="002B25ED"/>
    <w:rsid w:val="002B5281"/>
    <w:rsid w:val="002B6146"/>
    <w:rsid w:val="002C3D17"/>
    <w:rsid w:val="002C496D"/>
    <w:rsid w:val="002C4AFE"/>
    <w:rsid w:val="002C4C0C"/>
    <w:rsid w:val="002C62F3"/>
    <w:rsid w:val="002C69DB"/>
    <w:rsid w:val="002C7125"/>
    <w:rsid w:val="002D66CE"/>
    <w:rsid w:val="002D708C"/>
    <w:rsid w:val="002D7E0C"/>
    <w:rsid w:val="002E214A"/>
    <w:rsid w:val="002E2392"/>
    <w:rsid w:val="002E55ED"/>
    <w:rsid w:val="002F49AB"/>
    <w:rsid w:val="00302C23"/>
    <w:rsid w:val="003033BA"/>
    <w:rsid w:val="003045D3"/>
    <w:rsid w:val="00304741"/>
    <w:rsid w:val="00304B88"/>
    <w:rsid w:val="00305BDF"/>
    <w:rsid w:val="00310967"/>
    <w:rsid w:val="00311B20"/>
    <w:rsid w:val="00312F9D"/>
    <w:rsid w:val="0031426E"/>
    <w:rsid w:val="00321169"/>
    <w:rsid w:val="0032137B"/>
    <w:rsid w:val="00322937"/>
    <w:rsid w:val="003264C6"/>
    <w:rsid w:val="00326FF2"/>
    <w:rsid w:val="00327372"/>
    <w:rsid w:val="00327A5C"/>
    <w:rsid w:val="0033092C"/>
    <w:rsid w:val="00331FBE"/>
    <w:rsid w:val="00332769"/>
    <w:rsid w:val="00332A9D"/>
    <w:rsid w:val="00333786"/>
    <w:rsid w:val="00333B5D"/>
    <w:rsid w:val="00334D06"/>
    <w:rsid w:val="00336729"/>
    <w:rsid w:val="003370E7"/>
    <w:rsid w:val="0034177C"/>
    <w:rsid w:val="0034322C"/>
    <w:rsid w:val="003432C8"/>
    <w:rsid w:val="00344ABA"/>
    <w:rsid w:val="003467EA"/>
    <w:rsid w:val="0034680A"/>
    <w:rsid w:val="00352AB9"/>
    <w:rsid w:val="00352F08"/>
    <w:rsid w:val="00353678"/>
    <w:rsid w:val="00353DD5"/>
    <w:rsid w:val="00355189"/>
    <w:rsid w:val="00356E40"/>
    <w:rsid w:val="00361021"/>
    <w:rsid w:val="00363B8C"/>
    <w:rsid w:val="003640A6"/>
    <w:rsid w:val="003713CB"/>
    <w:rsid w:val="00371889"/>
    <w:rsid w:val="00371FC5"/>
    <w:rsid w:val="00376ADC"/>
    <w:rsid w:val="003775C1"/>
    <w:rsid w:val="003779D5"/>
    <w:rsid w:val="00382349"/>
    <w:rsid w:val="003856A6"/>
    <w:rsid w:val="00386456"/>
    <w:rsid w:val="00387D23"/>
    <w:rsid w:val="003949F2"/>
    <w:rsid w:val="003953D2"/>
    <w:rsid w:val="00396DE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C465F"/>
    <w:rsid w:val="003C4CB5"/>
    <w:rsid w:val="003E2DDF"/>
    <w:rsid w:val="003E3D71"/>
    <w:rsid w:val="003F14DE"/>
    <w:rsid w:val="003F1DE4"/>
    <w:rsid w:val="003F78F9"/>
    <w:rsid w:val="003F79C4"/>
    <w:rsid w:val="00400E2E"/>
    <w:rsid w:val="004021D6"/>
    <w:rsid w:val="00405E73"/>
    <w:rsid w:val="004068B0"/>
    <w:rsid w:val="00407E41"/>
    <w:rsid w:val="00413FFA"/>
    <w:rsid w:val="00415084"/>
    <w:rsid w:val="004178A0"/>
    <w:rsid w:val="00423F9F"/>
    <w:rsid w:val="00427D43"/>
    <w:rsid w:val="00431CAB"/>
    <w:rsid w:val="00432813"/>
    <w:rsid w:val="00434787"/>
    <w:rsid w:val="00435489"/>
    <w:rsid w:val="0043561A"/>
    <w:rsid w:val="004422D6"/>
    <w:rsid w:val="00442F3F"/>
    <w:rsid w:val="00447D96"/>
    <w:rsid w:val="0045255A"/>
    <w:rsid w:val="00452576"/>
    <w:rsid w:val="0045271D"/>
    <w:rsid w:val="00452803"/>
    <w:rsid w:val="00452ED2"/>
    <w:rsid w:val="00454217"/>
    <w:rsid w:val="00455354"/>
    <w:rsid w:val="0045661E"/>
    <w:rsid w:val="00456E03"/>
    <w:rsid w:val="00461B68"/>
    <w:rsid w:val="00461B96"/>
    <w:rsid w:val="00464030"/>
    <w:rsid w:val="00466520"/>
    <w:rsid w:val="0046677A"/>
    <w:rsid w:val="00470F8A"/>
    <w:rsid w:val="00474C5E"/>
    <w:rsid w:val="00475A1B"/>
    <w:rsid w:val="004808DE"/>
    <w:rsid w:val="004861B4"/>
    <w:rsid w:val="00486600"/>
    <w:rsid w:val="00490C1C"/>
    <w:rsid w:val="0049241A"/>
    <w:rsid w:val="00492B4A"/>
    <w:rsid w:val="00494A1C"/>
    <w:rsid w:val="004956A7"/>
    <w:rsid w:val="00495786"/>
    <w:rsid w:val="00497A1B"/>
    <w:rsid w:val="004A08D1"/>
    <w:rsid w:val="004A34D2"/>
    <w:rsid w:val="004A357A"/>
    <w:rsid w:val="004B0CD0"/>
    <w:rsid w:val="004B2369"/>
    <w:rsid w:val="004B602F"/>
    <w:rsid w:val="004C1243"/>
    <w:rsid w:val="004C19EE"/>
    <w:rsid w:val="004C1E98"/>
    <w:rsid w:val="004C22F7"/>
    <w:rsid w:val="004D245F"/>
    <w:rsid w:val="004D2F8C"/>
    <w:rsid w:val="004E1615"/>
    <w:rsid w:val="004E5B1F"/>
    <w:rsid w:val="004E61D5"/>
    <w:rsid w:val="004F30A6"/>
    <w:rsid w:val="00505308"/>
    <w:rsid w:val="005053B0"/>
    <w:rsid w:val="0051074C"/>
    <w:rsid w:val="00511A0E"/>
    <w:rsid w:val="00511F8C"/>
    <w:rsid w:val="00512961"/>
    <w:rsid w:val="00512C4F"/>
    <w:rsid w:val="00513AF2"/>
    <w:rsid w:val="00514110"/>
    <w:rsid w:val="00514622"/>
    <w:rsid w:val="00515801"/>
    <w:rsid w:val="005200B7"/>
    <w:rsid w:val="00522C81"/>
    <w:rsid w:val="00523559"/>
    <w:rsid w:val="005245A5"/>
    <w:rsid w:val="00525706"/>
    <w:rsid w:val="005262CF"/>
    <w:rsid w:val="00530F05"/>
    <w:rsid w:val="00530FEA"/>
    <w:rsid w:val="005312DB"/>
    <w:rsid w:val="00532762"/>
    <w:rsid w:val="00534245"/>
    <w:rsid w:val="005404CB"/>
    <w:rsid w:val="0054311A"/>
    <w:rsid w:val="0054408C"/>
    <w:rsid w:val="0054413A"/>
    <w:rsid w:val="005449E9"/>
    <w:rsid w:val="0054771C"/>
    <w:rsid w:val="00551E7C"/>
    <w:rsid w:val="005527B3"/>
    <w:rsid w:val="00552E97"/>
    <w:rsid w:val="0055305B"/>
    <w:rsid w:val="005564CA"/>
    <w:rsid w:val="005612E5"/>
    <w:rsid w:val="0056182B"/>
    <w:rsid w:val="00562315"/>
    <w:rsid w:val="00562A57"/>
    <w:rsid w:val="005634FD"/>
    <w:rsid w:val="005715A2"/>
    <w:rsid w:val="00572952"/>
    <w:rsid w:val="00573BE5"/>
    <w:rsid w:val="005756AA"/>
    <w:rsid w:val="005813DE"/>
    <w:rsid w:val="0058223E"/>
    <w:rsid w:val="00582B0B"/>
    <w:rsid w:val="005868D7"/>
    <w:rsid w:val="00586DD4"/>
    <w:rsid w:val="0059030D"/>
    <w:rsid w:val="00594FFF"/>
    <w:rsid w:val="005A00D7"/>
    <w:rsid w:val="005A145F"/>
    <w:rsid w:val="005A1976"/>
    <w:rsid w:val="005A35EF"/>
    <w:rsid w:val="005A3F3E"/>
    <w:rsid w:val="005A54FD"/>
    <w:rsid w:val="005A579F"/>
    <w:rsid w:val="005A58CE"/>
    <w:rsid w:val="005A5A3D"/>
    <w:rsid w:val="005B10F8"/>
    <w:rsid w:val="005B1C54"/>
    <w:rsid w:val="005B2B61"/>
    <w:rsid w:val="005B3CF3"/>
    <w:rsid w:val="005B4004"/>
    <w:rsid w:val="005C0652"/>
    <w:rsid w:val="005C117E"/>
    <w:rsid w:val="005C3047"/>
    <w:rsid w:val="005C5C52"/>
    <w:rsid w:val="005C5D24"/>
    <w:rsid w:val="005C7F06"/>
    <w:rsid w:val="005D153B"/>
    <w:rsid w:val="005D1A48"/>
    <w:rsid w:val="005D1FAE"/>
    <w:rsid w:val="005D2C3E"/>
    <w:rsid w:val="005D51FA"/>
    <w:rsid w:val="005D7861"/>
    <w:rsid w:val="005D791B"/>
    <w:rsid w:val="005E1574"/>
    <w:rsid w:val="005E164A"/>
    <w:rsid w:val="005E1D71"/>
    <w:rsid w:val="005E5A60"/>
    <w:rsid w:val="005E66BE"/>
    <w:rsid w:val="005F2C11"/>
    <w:rsid w:val="005F3969"/>
    <w:rsid w:val="005F46FD"/>
    <w:rsid w:val="005F5153"/>
    <w:rsid w:val="005F5F8F"/>
    <w:rsid w:val="005F688C"/>
    <w:rsid w:val="006003F5"/>
    <w:rsid w:val="0060057C"/>
    <w:rsid w:val="006030A3"/>
    <w:rsid w:val="0060361A"/>
    <w:rsid w:val="006043FE"/>
    <w:rsid w:val="00604CF2"/>
    <w:rsid w:val="0060534E"/>
    <w:rsid w:val="006065A2"/>
    <w:rsid w:val="00607479"/>
    <w:rsid w:val="00610326"/>
    <w:rsid w:val="00614817"/>
    <w:rsid w:val="00615029"/>
    <w:rsid w:val="00615D36"/>
    <w:rsid w:val="006167DA"/>
    <w:rsid w:val="00620B93"/>
    <w:rsid w:val="00620DB3"/>
    <w:rsid w:val="00621056"/>
    <w:rsid w:val="00622313"/>
    <w:rsid w:val="00623AC2"/>
    <w:rsid w:val="0062633A"/>
    <w:rsid w:val="00633DBF"/>
    <w:rsid w:val="00637451"/>
    <w:rsid w:val="00640C1D"/>
    <w:rsid w:val="00651506"/>
    <w:rsid w:val="006516B8"/>
    <w:rsid w:val="00653896"/>
    <w:rsid w:val="00655371"/>
    <w:rsid w:val="006559D1"/>
    <w:rsid w:val="00662BB0"/>
    <w:rsid w:val="0066455D"/>
    <w:rsid w:val="0066493E"/>
    <w:rsid w:val="00666B29"/>
    <w:rsid w:val="006673AF"/>
    <w:rsid w:val="00670210"/>
    <w:rsid w:val="00670B20"/>
    <w:rsid w:val="00671CAA"/>
    <w:rsid w:val="006731B0"/>
    <w:rsid w:val="0067359B"/>
    <w:rsid w:val="006738BC"/>
    <w:rsid w:val="00675F64"/>
    <w:rsid w:val="00676127"/>
    <w:rsid w:val="00676428"/>
    <w:rsid w:val="00681DB8"/>
    <w:rsid w:val="00684444"/>
    <w:rsid w:val="00687259"/>
    <w:rsid w:val="006903E9"/>
    <w:rsid w:val="006908DB"/>
    <w:rsid w:val="00691104"/>
    <w:rsid w:val="00692C8D"/>
    <w:rsid w:val="00694A15"/>
    <w:rsid w:val="00695F93"/>
    <w:rsid w:val="0069634F"/>
    <w:rsid w:val="00697665"/>
    <w:rsid w:val="00697CA8"/>
    <w:rsid w:val="006A3B6B"/>
    <w:rsid w:val="006A7CB5"/>
    <w:rsid w:val="006A7FD0"/>
    <w:rsid w:val="006B1B56"/>
    <w:rsid w:val="006B22D4"/>
    <w:rsid w:val="006B33BC"/>
    <w:rsid w:val="006B43F6"/>
    <w:rsid w:val="006B46C8"/>
    <w:rsid w:val="006B4EF4"/>
    <w:rsid w:val="006B6746"/>
    <w:rsid w:val="006C0A3F"/>
    <w:rsid w:val="006C405D"/>
    <w:rsid w:val="006C4782"/>
    <w:rsid w:val="006D7687"/>
    <w:rsid w:val="006E0572"/>
    <w:rsid w:val="006E552C"/>
    <w:rsid w:val="006F021B"/>
    <w:rsid w:val="006F1275"/>
    <w:rsid w:val="006F1872"/>
    <w:rsid w:val="00700883"/>
    <w:rsid w:val="00701CE7"/>
    <w:rsid w:val="007031AA"/>
    <w:rsid w:val="00703CFA"/>
    <w:rsid w:val="00705631"/>
    <w:rsid w:val="007057EC"/>
    <w:rsid w:val="0070660C"/>
    <w:rsid w:val="00715C29"/>
    <w:rsid w:val="00715EAA"/>
    <w:rsid w:val="00717496"/>
    <w:rsid w:val="007201D3"/>
    <w:rsid w:val="00722CE7"/>
    <w:rsid w:val="00723116"/>
    <w:rsid w:val="00723D9F"/>
    <w:rsid w:val="0072427F"/>
    <w:rsid w:val="00725AFD"/>
    <w:rsid w:val="00726757"/>
    <w:rsid w:val="00726A65"/>
    <w:rsid w:val="00726E6A"/>
    <w:rsid w:val="007279B4"/>
    <w:rsid w:val="00727F71"/>
    <w:rsid w:val="007323DA"/>
    <w:rsid w:val="00732F7D"/>
    <w:rsid w:val="00733B90"/>
    <w:rsid w:val="0073425D"/>
    <w:rsid w:val="00734BFF"/>
    <w:rsid w:val="00736278"/>
    <w:rsid w:val="00740243"/>
    <w:rsid w:val="0074132D"/>
    <w:rsid w:val="00742DD2"/>
    <w:rsid w:val="00743635"/>
    <w:rsid w:val="00743BC8"/>
    <w:rsid w:val="007441A2"/>
    <w:rsid w:val="007444F8"/>
    <w:rsid w:val="00745035"/>
    <w:rsid w:val="00746A83"/>
    <w:rsid w:val="00746E08"/>
    <w:rsid w:val="00747259"/>
    <w:rsid w:val="00747C96"/>
    <w:rsid w:val="0075094E"/>
    <w:rsid w:val="007522E8"/>
    <w:rsid w:val="00755064"/>
    <w:rsid w:val="0075647A"/>
    <w:rsid w:val="007634AD"/>
    <w:rsid w:val="00770B33"/>
    <w:rsid w:val="00771442"/>
    <w:rsid w:val="007739E1"/>
    <w:rsid w:val="00773BC8"/>
    <w:rsid w:val="007750D6"/>
    <w:rsid w:val="007769DC"/>
    <w:rsid w:val="00776D19"/>
    <w:rsid w:val="00776DF7"/>
    <w:rsid w:val="00780199"/>
    <w:rsid w:val="00780F32"/>
    <w:rsid w:val="0078122E"/>
    <w:rsid w:val="00781CF5"/>
    <w:rsid w:val="00785E45"/>
    <w:rsid w:val="0078715B"/>
    <w:rsid w:val="007873A0"/>
    <w:rsid w:val="00790037"/>
    <w:rsid w:val="00790653"/>
    <w:rsid w:val="007909AE"/>
    <w:rsid w:val="0079299F"/>
    <w:rsid w:val="0079381F"/>
    <w:rsid w:val="00795647"/>
    <w:rsid w:val="007A2F81"/>
    <w:rsid w:val="007A5354"/>
    <w:rsid w:val="007A5EB3"/>
    <w:rsid w:val="007B0854"/>
    <w:rsid w:val="007B0869"/>
    <w:rsid w:val="007B4DE6"/>
    <w:rsid w:val="007B6EC8"/>
    <w:rsid w:val="007C05BB"/>
    <w:rsid w:val="007C1BE1"/>
    <w:rsid w:val="007C2837"/>
    <w:rsid w:val="007C29FB"/>
    <w:rsid w:val="007C2EB2"/>
    <w:rsid w:val="007D66E2"/>
    <w:rsid w:val="007D7656"/>
    <w:rsid w:val="007E4AA9"/>
    <w:rsid w:val="007E4E80"/>
    <w:rsid w:val="007E527E"/>
    <w:rsid w:val="007F067B"/>
    <w:rsid w:val="007F22A0"/>
    <w:rsid w:val="007F4CF6"/>
    <w:rsid w:val="007F6023"/>
    <w:rsid w:val="007F6B46"/>
    <w:rsid w:val="007F72CB"/>
    <w:rsid w:val="007F785F"/>
    <w:rsid w:val="0080431C"/>
    <w:rsid w:val="00811C61"/>
    <w:rsid w:val="0081204F"/>
    <w:rsid w:val="0081444F"/>
    <w:rsid w:val="00814737"/>
    <w:rsid w:val="0081678E"/>
    <w:rsid w:val="00817396"/>
    <w:rsid w:val="0081766B"/>
    <w:rsid w:val="008217B7"/>
    <w:rsid w:val="00824088"/>
    <w:rsid w:val="00826122"/>
    <w:rsid w:val="0082700C"/>
    <w:rsid w:val="008277D3"/>
    <w:rsid w:val="0083119B"/>
    <w:rsid w:val="00831220"/>
    <w:rsid w:val="00832937"/>
    <w:rsid w:val="00836EAB"/>
    <w:rsid w:val="0083724E"/>
    <w:rsid w:val="00844AFA"/>
    <w:rsid w:val="0085092D"/>
    <w:rsid w:val="00850F79"/>
    <w:rsid w:val="00851DFA"/>
    <w:rsid w:val="00857630"/>
    <w:rsid w:val="00860716"/>
    <w:rsid w:val="0086183C"/>
    <w:rsid w:val="008618BB"/>
    <w:rsid w:val="00861FAA"/>
    <w:rsid w:val="00863624"/>
    <w:rsid w:val="00863ED2"/>
    <w:rsid w:val="0086755D"/>
    <w:rsid w:val="0087039D"/>
    <w:rsid w:val="008720B5"/>
    <w:rsid w:val="0087534A"/>
    <w:rsid w:val="0087623E"/>
    <w:rsid w:val="00881451"/>
    <w:rsid w:val="00885A16"/>
    <w:rsid w:val="00886323"/>
    <w:rsid w:val="00887548"/>
    <w:rsid w:val="0089774F"/>
    <w:rsid w:val="008978EB"/>
    <w:rsid w:val="008A1491"/>
    <w:rsid w:val="008A4DDE"/>
    <w:rsid w:val="008A5007"/>
    <w:rsid w:val="008A796E"/>
    <w:rsid w:val="008B10A0"/>
    <w:rsid w:val="008B1306"/>
    <w:rsid w:val="008B193D"/>
    <w:rsid w:val="008B4559"/>
    <w:rsid w:val="008C033A"/>
    <w:rsid w:val="008C11F0"/>
    <w:rsid w:val="008C45BD"/>
    <w:rsid w:val="008C57A8"/>
    <w:rsid w:val="008D0142"/>
    <w:rsid w:val="008D185E"/>
    <w:rsid w:val="008D2E97"/>
    <w:rsid w:val="008D4A7B"/>
    <w:rsid w:val="008D5139"/>
    <w:rsid w:val="008D57F7"/>
    <w:rsid w:val="008D69B1"/>
    <w:rsid w:val="008D747C"/>
    <w:rsid w:val="008E1503"/>
    <w:rsid w:val="008E1C15"/>
    <w:rsid w:val="008E2465"/>
    <w:rsid w:val="008E3EAE"/>
    <w:rsid w:val="008E6B43"/>
    <w:rsid w:val="008E7D6E"/>
    <w:rsid w:val="008F2004"/>
    <w:rsid w:val="008F47E2"/>
    <w:rsid w:val="008F4B5E"/>
    <w:rsid w:val="008F538E"/>
    <w:rsid w:val="00902E5C"/>
    <w:rsid w:val="00903857"/>
    <w:rsid w:val="009047C5"/>
    <w:rsid w:val="009106F5"/>
    <w:rsid w:val="00922047"/>
    <w:rsid w:val="009233DF"/>
    <w:rsid w:val="00923CC1"/>
    <w:rsid w:val="00926E92"/>
    <w:rsid w:val="0092758D"/>
    <w:rsid w:val="00932C29"/>
    <w:rsid w:val="00933333"/>
    <w:rsid w:val="0093417D"/>
    <w:rsid w:val="00937401"/>
    <w:rsid w:val="00942296"/>
    <w:rsid w:val="009422A0"/>
    <w:rsid w:val="0094231D"/>
    <w:rsid w:val="009428C5"/>
    <w:rsid w:val="00945163"/>
    <w:rsid w:val="00950C81"/>
    <w:rsid w:val="009528B3"/>
    <w:rsid w:val="0095385A"/>
    <w:rsid w:val="0095402D"/>
    <w:rsid w:val="0095780A"/>
    <w:rsid w:val="00966C46"/>
    <w:rsid w:val="00971412"/>
    <w:rsid w:val="009715D4"/>
    <w:rsid w:val="00971F42"/>
    <w:rsid w:val="00972860"/>
    <w:rsid w:val="00973D7A"/>
    <w:rsid w:val="00974C92"/>
    <w:rsid w:val="00975D16"/>
    <w:rsid w:val="00977951"/>
    <w:rsid w:val="00982D34"/>
    <w:rsid w:val="009831DD"/>
    <w:rsid w:val="0098427D"/>
    <w:rsid w:val="009862C1"/>
    <w:rsid w:val="009865D5"/>
    <w:rsid w:val="009868CC"/>
    <w:rsid w:val="00991B37"/>
    <w:rsid w:val="00991BE0"/>
    <w:rsid w:val="00992809"/>
    <w:rsid w:val="009953AD"/>
    <w:rsid w:val="009A6C94"/>
    <w:rsid w:val="009A7370"/>
    <w:rsid w:val="009A7808"/>
    <w:rsid w:val="009B0019"/>
    <w:rsid w:val="009B026A"/>
    <w:rsid w:val="009B56EC"/>
    <w:rsid w:val="009B7B3C"/>
    <w:rsid w:val="009C118E"/>
    <w:rsid w:val="009C1812"/>
    <w:rsid w:val="009C5CBA"/>
    <w:rsid w:val="009C7EC7"/>
    <w:rsid w:val="009D424B"/>
    <w:rsid w:val="009D429E"/>
    <w:rsid w:val="009D45A0"/>
    <w:rsid w:val="009D701E"/>
    <w:rsid w:val="009E02D8"/>
    <w:rsid w:val="009E0326"/>
    <w:rsid w:val="009E0AA0"/>
    <w:rsid w:val="009E0AA6"/>
    <w:rsid w:val="009E2481"/>
    <w:rsid w:val="009E2F55"/>
    <w:rsid w:val="009E3DB3"/>
    <w:rsid w:val="009E495B"/>
    <w:rsid w:val="009E535E"/>
    <w:rsid w:val="009E61EA"/>
    <w:rsid w:val="009E6BCF"/>
    <w:rsid w:val="009E719B"/>
    <w:rsid w:val="009E74F4"/>
    <w:rsid w:val="009E751B"/>
    <w:rsid w:val="009F14E8"/>
    <w:rsid w:val="009F59C2"/>
    <w:rsid w:val="009F7299"/>
    <w:rsid w:val="00A0188B"/>
    <w:rsid w:val="00A02186"/>
    <w:rsid w:val="00A021E2"/>
    <w:rsid w:val="00A0301B"/>
    <w:rsid w:val="00A041BC"/>
    <w:rsid w:val="00A06E51"/>
    <w:rsid w:val="00A070D3"/>
    <w:rsid w:val="00A127D2"/>
    <w:rsid w:val="00A13AAC"/>
    <w:rsid w:val="00A13B39"/>
    <w:rsid w:val="00A1403F"/>
    <w:rsid w:val="00A17358"/>
    <w:rsid w:val="00A20264"/>
    <w:rsid w:val="00A221AC"/>
    <w:rsid w:val="00A2270E"/>
    <w:rsid w:val="00A24287"/>
    <w:rsid w:val="00A24560"/>
    <w:rsid w:val="00A253C3"/>
    <w:rsid w:val="00A337FB"/>
    <w:rsid w:val="00A34538"/>
    <w:rsid w:val="00A37FB6"/>
    <w:rsid w:val="00A41BCE"/>
    <w:rsid w:val="00A42844"/>
    <w:rsid w:val="00A431FE"/>
    <w:rsid w:val="00A45FAA"/>
    <w:rsid w:val="00A501CA"/>
    <w:rsid w:val="00A53281"/>
    <w:rsid w:val="00A53E79"/>
    <w:rsid w:val="00A6057E"/>
    <w:rsid w:val="00A62C77"/>
    <w:rsid w:val="00A64271"/>
    <w:rsid w:val="00A668BA"/>
    <w:rsid w:val="00A715F6"/>
    <w:rsid w:val="00A73709"/>
    <w:rsid w:val="00A8043B"/>
    <w:rsid w:val="00A82AF0"/>
    <w:rsid w:val="00A839EF"/>
    <w:rsid w:val="00A8430C"/>
    <w:rsid w:val="00A8512C"/>
    <w:rsid w:val="00A852EB"/>
    <w:rsid w:val="00A854AC"/>
    <w:rsid w:val="00A86EBD"/>
    <w:rsid w:val="00A91512"/>
    <w:rsid w:val="00A9477A"/>
    <w:rsid w:val="00A95153"/>
    <w:rsid w:val="00A952A6"/>
    <w:rsid w:val="00A965EA"/>
    <w:rsid w:val="00AA08E7"/>
    <w:rsid w:val="00AA16A5"/>
    <w:rsid w:val="00AA1C3E"/>
    <w:rsid w:val="00AA442B"/>
    <w:rsid w:val="00AA669D"/>
    <w:rsid w:val="00AA68E2"/>
    <w:rsid w:val="00AA73E0"/>
    <w:rsid w:val="00AA7416"/>
    <w:rsid w:val="00AA758C"/>
    <w:rsid w:val="00AA7812"/>
    <w:rsid w:val="00AB0018"/>
    <w:rsid w:val="00AB0520"/>
    <w:rsid w:val="00AB0E40"/>
    <w:rsid w:val="00AB2BA0"/>
    <w:rsid w:val="00AB6E2C"/>
    <w:rsid w:val="00AC0D43"/>
    <w:rsid w:val="00AC1E34"/>
    <w:rsid w:val="00AC24AF"/>
    <w:rsid w:val="00AC49DA"/>
    <w:rsid w:val="00AC75AB"/>
    <w:rsid w:val="00AC7739"/>
    <w:rsid w:val="00AD3E4D"/>
    <w:rsid w:val="00AE24CB"/>
    <w:rsid w:val="00AE491A"/>
    <w:rsid w:val="00AE4D29"/>
    <w:rsid w:val="00AE68C2"/>
    <w:rsid w:val="00AF26CF"/>
    <w:rsid w:val="00AF3F88"/>
    <w:rsid w:val="00AF45AA"/>
    <w:rsid w:val="00AF7E46"/>
    <w:rsid w:val="00B01474"/>
    <w:rsid w:val="00B02849"/>
    <w:rsid w:val="00B04BA9"/>
    <w:rsid w:val="00B05A55"/>
    <w:rsid w:val="00B05FD8"/>
    <w:rsid w:val="00B06595"/>
    <w:rsid w:val="00B0698F"/>
    <w:rsid w:val="00B06D20"/>
    <w:rsid w:val="00B13EC0"/>
    <w:rsid w:val="00B142B9"/>
    <w:rsid w:val="00B1449F"/>
    <w:rsid w:val="00B15019"/>
    <w:rsid w:val="00B15CEA"/>
    <w:rsid w:val="00B214ED"/>
    <w:rsid w:val="00B22E22"/>
    <w:rsid w:val="00B251C2"/>
    <w:rsid w:val="00B304F8"/>
    <w:rsid w:val="00B30910"/>
    <w:rsid w:val="00B30D48"/>
    <w:rsid w:val="00B324EA"/>
    <w:rsid w:val="00B3296D"/>
    <w:rsid w:val="00B35763"/>
    <w:rsid w:val="00B3622A"/>
    <w:rsid w:val="00B40595"/>
    <w:rsid w:val="00B42225"/>
    <w:rsid w:val="00B4347D"/>
    <w:rsid w:val="00B43F68"/>
    <w:rsid w:val="00B45DF9"/>
    <w:rsid w:val="00B46978"/>
    <w:rsid w:val="00B525CB"/>
    <w:rsid w:val="00B530AE"/>
    <w:rsid w:val="00B57782"/>
    <w:rsid w:val="00B60230"/>
    <w:rsid w:val="00B60BAC"/>
    <w:rsid w:val="00B60F4E"/>
    <w:rsid w:val="00B63872"/>
    <w:rsid w:val="00B63CB2"/>
    <w:rsid w:val="00B63E7F"/>
    <w:rsid w:val="00B64EDB"/>
    <w:rsid w:val="00B656B3"/>
    <w:rsid w:val="00B70328"/>
    <w:rsid w:val="00B709C8"/>
    <w:rsid w:val="00B7252A"/>
    <w:rsid w:val="00B7315F"/>
    <w:rsid w:val="00B74C52"/>
    <w:rsid w:val="00B7534F"/>
    <w:rsid w:val="00B83E21"/>
    <w:rsid w:val="00B90817"/>
    <w:rsid w:val="00B91B8E"/>
    <w:rsid w:val="00B9230A"/>
    <w:rsid w:val="00B94AEB"/>
    <w:rsid w:val="00B95436"/>
    <w:rsid w:val="00B97305"/>
    <w:rsid w:val="00BA1382"/>
    <w:rsid w:val="00BA22FC"/>
    <w:rsid w:val="00BA2F25"/>
    <w:rsid w:val="00BA37F9"/>
    <w:rsid w:val="00BA4771"/>
    <w:rsid w:val="00BB31D3"/>
    <w:rsid w:val="00BB5AF6"/>
    <w:rsid w:val="00BB6E5C"/>
    <w:rsid w:val="00BB7B97"/>
    <w:rsid w:val="00BC007C"/>
    <w:rsid w:val="00BC57E0"/>
    <w:rsid w:val="00BC6501"/>
    <w:rsid w:val="00BD15F7"/>
    <w:rsid w:val="00BD1CEE"/>
    <w:rsid w:val="00BD2B3F"/>
    <w:rsid w:val="00BD447D"/>
    <w:rsid w:val="00BD62B6"/>
    <w:rsid w:val="00BD664D"/>
    <w:rsid w:val="00BD78FE"/>
    <w:rsid w:val="00BE2DB4"/>
    <w:rsid w:val="00BE3565"/>
    <w:rsid w:val="00BE4AF4"/>
    <w:rsid w:val="00BE4B35"/>
    <w:rsid w:val="00BF1C81"/>
    <w:rsid w:val="00BF23A3"/>
    <w:rsid w:val="00BF5980"/>
    <w:rsid w:val="00BF7712"/>
    <w:rsid w:val="00BF7C52"/>
    <w:rsid w:val="00C10376"/>
    <w:rsid w:val="00C15A13"/>
    <w:rsid w:val="00C165FC"/>
    <w:rsid w:val="00C2118A"/>
    <w:rsid w:val="00C229DD"/>
    <w:rsid w:val="00C258BA"/>
    <w:rsid w:val="00C273CC"/>
    <w:rsid w:val="00C27707"/>
    <w:rsid w:val="00C30123"/>
    <w:rsid w:val="00C32017"/>
    <w:rsid w:val="00C3264A"/>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4C9E"/>
    <w:rsid w:val="00C768FD"/>
    <w:rsid w:val="00C76E32"/>
    <w:rsid w:val="00C811FF"/>
    <w:rsid w:val="00C86516"/>
    <w:rsid w:val="00C90182"/>
    <w:rsid w:val="00C90AC4"/>
    <w:rsid w:val="00C913E3"/>
    <w:rsid w:val="00C91B89"/>
    <w:rsid w:val="00C91F75"/>
    <w:rsid w:val="00C934F1"/>
    <w:rsid w:val="00C93AB7"/>
    <w:rsid w:val="00C93D8C"/>
    <w:rsid w:val="00C97D94"/>
    <w:rsid w:val="00CA0EEF"/>
    <w:rsid w:val="00CA383B"/>
    <w:rsid w:val="00CA3A35"/>
    <w:rsid w:val="00CA48A4"/>
    <w:rsid w:val="00CB38DD"/>
    <w:rsid w:val="00CB43A0"/>
    <w:rsid w:val="00CB5F4F"/>
    <w:rsid w:val="00CB7A3E"/>
    <w:rsid w:val="00CC00CD"/>
    <w:rsid w:val="00CC11F9"/>
    <w:rsid w:val="00CC315F"/>
    <w:rsid w:val="00CD1721"/>
    <w:rsid w:val="00CE0566"/>
    <w:rsid w:val="00CE2969"/>
    <w:rsid w:val="00CE4D2A"/>
    <w:rsid w:val="00CF272C"/>
    <w:rsid w:val="00CF550D"/>
    <w:rsid w:val="00CF7EA6"/>
    <w:rsid w:val="00D01760"/>
    <w:rsid w:val="00D025E9"/>
    <w:rsid w:val="00D0412A"/>
    <w:rsid w:val="00D046A1"/>
    <w:rsid w:val="00D056A5"/>
    <w:rsid w:val="00D1040E"/>
    <w:rsid w:val="00D10606"/>
    <w:rsid w:val="00D10E7C"/>
    <w:rsid w:val="00D13FEB"/>
    <w:rsid w:val="00D150F4"/>
    <w:rsid w:val="00D16E39"/>
    <w:rsid w:val="00D17E38"/>
    <w:rsid w:val="00D21BB5"/>
    <w:rsid w:val="00D223B6"/>
    <w:rsid w:val="00D24489"/>
    <w:rsid w:val="00D31BE6"/>
    <w:rsid w:val="00D31C6A"/>
    <w:rsid w:val="00D32256"/>
    <w:rsid w:val="00D32352"/>
    <w:rsid w:val="00D330B8"/>
    <w:rsid w:val="00D3532E"/>
    <w:rsid w:val="00D36A58"/>
    <w:rsid w:val="00D41E3A"/>
    <w:rsid w:val="00D44435"/>
    <w:rsid w:val="00D50F51"/>
    <w:rsid w:val="00D547F0"/>
    <w:rsid w:val="00D557A4"/>
    <w:rsid w:val="00D57940"/>
    <w:rsid w:val="00D60327"/>
    <w:rsid w:val="00D61290"/>
    <w:rsid w:val="00D63EFC"/>
    <w:rsid w:val="00D64E0B"/>
    <w:rsid w:val="00D7159F"/>
    <w:rsid w:val="00D72C79"/>
    <w:rsid w:val="00D72E9D"/>
    <w:rsid w:val="00D74158"/>
    <w:rsid w:val="00D75E99"/>
    <w:rsid w:val="00D80493"/>
    <w:rsid w:val="00D82CE5"/>
    <w:rsid w:val="00D8342C"/>
    <w:rsid w:val="00D84608"/>
    <w:rsid w:val="00D853BF"/>
    <w:rsid w:val="00D93726"/>
    <w:rsid w:val="00D94657"/>
    <w:rsid w:val="00D94E34"/>
    <w:rsid w:val="00D9640A"/>
    <w:rsid w:val="00D96760"/>
    <w:rsid w:val="00D96CAD"/>
    <w:rsid w:val="00D96F24"/>
    <w:rsid w:val="00D974C8"/>
    <w:rsid w:val="00DA5510"/>
    <w:rsid w:val="00DA5AB1"/>
    <w:rsid w:val="00DA71AD"/>
    <w:rsid w:val="00DB1AFF"/>
    <w:rsid w:val="00DB5CB5"/>
    <w:rsid w:val="00DB6B98"/>
    <w:rsid w:val="00DB7276"/>
    <w:rsid w:val="00DC1944"/>
    <w:rsid w:val="00DC430C"/>
    <w:rsid w:val="00DC518A"/>
    <w:rsid w:val="00DC62E5"/>
    <w:rsid w:val="00DC7BD2"/>
    <w:rsid w:val="00DD5EC6"/>
    <w:rsid w:val="00DD7115"/>
    <w:rsid w:val="00DD735D"/>
    <w:rsid w:val="00DE02B7"/>
    <w:rsid w:val="00DE0E3E"/>
    <w:rsid w:val="00DE2630"/>
    <w:rsid w:val="00DE3119"/>
    <w:rsid w:val="00DE52D6"/>
    <w:rsid w:val="00DE6601"/>
    <w:rsid w:val="00DE76E6"/>
    <w:rsid w:val="00DE78C7"/>
    <w:rsid w:val="00DF236B"/>
    <w:rsid w:val="00DF2F4F"/>
    <w:rsid w:val="00DF4451"/>
    <w:rsid w:val="00DF453C"/>
    <w:rsid w:val="00DF6A2A"/>
    <w:rsid w:val="00DF6A8C"/>
    <w:rsid w:val="00E0142A"/>
    <w:rsid w:val="00E01B70"/>
    <w:rsid w:val="00E109DD"/>
    <w:rsid w:val="00E12707"/>
    <w:rsid w:val="00E13AB8"/>
    <w:rsid w:val="00E149D6"/>
    <w:rsid w:val="00E16A32"/>
    <w:rsid w:val="00E20C2F"/>
    <w:rsid w:val="00E23999"/>
    <w:rsid w:val="00E25CB3"/>
    <w:rsid w:val="00E267B7"/>
    <w:rsid w:val="00E27359"/>
    <w:rsid w:val="00E33B62"/>
    <w:rsid w:val="00E344C8"/>
    <w:rsid w:val="00E356DF"/>
    <w:rsid w:val="00E361EA"/>
    <w:rsid w:val="00E36985"/>
    <w:rsid w:val="00E36CEB"/>
    <w:rsid w:val="00E37F96"/>
    <w:rsid w:val="00E4143A"/>
    <w:rsid w:val="00E42188"/>
    <w:rsid w:val="00E43B20"/>
    <w:rsid w:val="00E47985"/>
    <w:rsid w:val="00E47AD2"/>
    <w:rsid w:val="00E51ACB"/>
    <w:rsid w:val="00E53189"/>
    <w:rsid w:val="00E54EA7"/>
    <w:rsid w:val="00E558C8"/>
    <w:rsid w:val="00E56090"/>
    <w:rsid w:val="00E5641B"/>
    <w:rsid w:val="00E565B9"/>
    <w:rsid w:val="00E57660"/>
    <w:rsid w:val="00E6143E"/>
    <w:rsid w:val="00E63F11"/>
    <w:rsid w:val="00E654EE"/>
    <w:rsid w:val="00E669B0"/>
    <w:rsid w:val="00E677A9"/>
    <w:rsid w:val="00E70F70"/>
    <w:rsid w:val="00E71BD5"/>
    <w:rsid w:val="00E82D14"/>
    <w:rsid w:val="00E8395B"/>
    <w:rsid w:val="00E87DD5"/>
    <w:rsid w:val="00E90220"/>
    <w:rsid w:val="00E91454"/>
    <w:rsid w:val="00E934F4"/>
    <w:rsid w:val="00E95100"/>
    <w:rsid w:val="00E9556D"/>
    <w:rsid w:val="00E95FC9"/>
    <w:rsid w:val="00E961A5"/>
    <w:rsid w:val="00EA1767"/>
    <w:rsid w:val="00EA3E75"/>
    <w:rsid w:val="00EA5464"/>
    <w:rsid w:val="00EA6435"/>
    <w:rsid w:val="00EB3343"/>
    <w:rsid w:val="00EB436C"/>
    <w:rsid w:val="00EC0E7E"/>
    <w:rsid w:val="00EC164A"/>
    <w:rsid w:val="00EC1910"/>
    <w:rsid w:val="00EC1CE7"/>
    <w:rsid w:val="00EC26CF"/>
    <w:rsid w:val="00EC3850"/>
    <w:rsid w:val="00EC3C1E"/>
    <w:rsid w:val="00EC50ED"/>
    <w:rsid w:val="00EC5DE8"/>
    <w:rsid w:val="00ED0ED8"/>
    <w:rsid w:val="00ED4037"/>
    <w:rsid w:val="00ED587F"/>
    <w:rsid w:val="00EE0C5C"/>
    <w:rsid w:val="00EE55E7"/>
    <w:rsid w:val="00EE59B5"/>
    <w:rsid w:val="00EF005A"/>
    <w:rsid w:val="00EF17BF"/>
    <w:rsid w:val="00EF3B0F"/>
    <w:rsid w:val="00EF4D78"/>
    <w:rsid w:val="00F017F5"/>
    <w:rsid w:val="00F1108B"/>
    <w:rsid w:val="00F12666"/>
    <w:rsid w:val="00F14256"/>
    <w:rsid w:val="00F209CD"/>
    <w:rsid w:val="00F20F92"/>
    <w:rsid w:val="00F21C5F"/>
    <w:rsid w:val="00F23BE9"/>
    <w:rsid w:val="00F257B4"/>
    <w:rsid w:val="00F25971"/>
    <w:rsid w:val="00F30727"/>
    <w:rsid w:val="00F31980"/>
    <w:rsid w:val="00F31A68"/>
    <w:rsid w:val="00F3404F"/>
    <w:rsid w:val="00F35B82"/>
    <w:rsid w:val="00F36681"/>
    <w:rsid w:val="00F36B35"/>
    <w:rsid w:val="00F41E63"/>
    <w:rsid w:val="00F424A0"/>
    <w:rsid w:val="00F42E49"/>
    <w:rsid w:val="00F463A8"/>
    <w:rsid w:val="00F46FE1"/>
    <w:rsid w:val="00F47D16"/>
    <w:rsid w:val="00F47F2D"/>
    <w:rsid w:val="00F50E11"/>
    <w:rsid w:val="00F55286"/>
    <w:rsid w:val="00F55BC8"/>
    <w:rsid w:val="00F55FDD"/>
    <w:rsid w:val="00F56584"/>
    <w:rsid w:val="00F574C1"/>
    <w:rsid w:val="00F57729"/>
    <w:rsid w:val="00F57B4F"/>
    <w:rsid w:val="00F57B72"/>
    <w:rsid w:val="00F57C75"/>
    <w:rsid w:val="00F57F91"/>
    <w:rsid w:val="00F6159E"/>
    <w:rsid w:val="00F67177"/>
    <w:rsid w:val="00F715EE"/>
    <w:rsid w:val="00F7357E"/>
    <w:rsid w:val="00F7517F"/>
    <w:rsid w:val="00F76963"/>
    <w:rsid w:val="00F7741E"/>
    <w:rsid w:val="00F8031F"/>
    <w:rsid w:val="00F82742"/>
    <w:rsid w:val="00F84255"/>
    <w:rsid w:val="00F84899"/>
    <w:rsid w:val="00F859F0"/>
    <w:rsid w:val="00F87E29"/>
    <w:rsid w:val="00F90B96"/>
    <w:rsid w:val="00F92839"/>
    <w:rsid w:val="00F92BDD"/>
    <w:rsid w:val="00F941F3"/>
    <w:rsid w:val="00F94DB6"/>
    <w:rsid w:val="00F9522F"/>
    <w:rsid w:val="00F979BB"/>
    <w:rsid w:val="00FA050F"/>
    <w:rsid w:val="00FA22FF"/>
    <w:rsid w:val="00FA3261"/>
    <w:rsid w:val="00FA3CCA"/>
    <w:rsid w:val="00FA4DCC"/>
    <w:rsid w:val="00FB19E0"/>
    <w:rsid w:val="00FB236D"/>
    <w:rsid w:val="00FB27B7"/>
    <w:rsid w:val="00FB384A"/>
    <w:rsid w:val="00FB510B"/>
    <w:rsid w:val="00FB5572"/>
    <w:rsid w:val="00FB56AC"/>
    <w:rsid w:val="00FB656D"/>
    <w:rsid w:val="00FB6738"/>
    <w:rsid w:val="00FC113C"/>
    <w:rsid w:val="00FC1644"/>
    <w:rsid w:val="00FC18DC"/>
    <w:rsid w:val="00FC1D91"/>
    <w:rsid w:val="00FC32DA"/>
    <w:rsid w:val="00FC7C7B"/>
    <w:rsid w:val="00FD10FB"/>
    <w:rsid w:val="00FD2A74"/>
    <w:rsid w:val="00FD388C"/>
    <w:rsid w:val="00FE0323"/>
    <w:rsid w:val="00FE06EB"/>
    <w:rsid w:val="00FE098C"/>
    <w:rsid w:val="00FE0AC3"/>
    <w:rsid w:val="00FE141E"/>
    <w:rsid w:val="00FE1E7C"/>
    <w:rsid w:val="00FE2265"/>
    <w:rsid w:val="00FE22C6"/>
    <w:rsid w:val="00FE42ED"/>
    <w:rsid w:val="00FE5C5A"/>
    <w:rsid w:val="00FE71C5"/>
    <w:rsid w:val="00FF031D"/>
    <w:rsid w:val="00FF232F"/>
    <w:rsid w:val="00FF3ACC"/>
    <w:rsid w:val="00FF5FA6"/>
    <w:rsid w:val="00FF77F7"/>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757"/>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732F7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732F7D"/>
    <w:pPr>
      <w:keepNext/>
      <w:keepLines/>
      <w:spacing w:before="40"/>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rFonts w:asciiTheme="minorHAnsi" w:eastAsiaTheme="minorHAnsi" w:hAnsiTheme="minorHAnsi" w:cstheme="minorBidi"/>
      <w:sz w:val="22"/>
      <w:szCs w:val="22"/>
      <w:vertAlign w:val="superscript"/>
      <w:lang w:eastAsia="en-US"/>
    </w:rPr>
  </w:style>
  <w:style w:type="paragraph" w:styleId="Revisin">
    <w:name w:val="Revision"/>
    <w:hidden/>
    <w:uiPriority w:val="99"/>
    <w:semiHidden/>
    <w:rsid w:val="00817396"/>
    <w:pPr>
      <w:spacing w:after="0" w:line="240" w:lineRule="auto"/>
    </w:pPr>
    <w:rPr>
      <w:sz w:val="24"/>
      <w:lang w:val="es-MX"/>
    </w:rPr>
  </w:style>
  <w:style w:type="character" w:styleId="Mencinsinresolver">
    <w:name w:val="Unresolved Mention"/>
    <w:basedOn w:val="Fuentedeprrafopredeter"/>
    <w:uiPriority w:val="99"/>
    <w:unhideWhenUsed/>
    <w:rsid w:val="00EB3343"/>
    <w:rPr>
      <w:color w:val="605E5C"/>
      <w:shd w:val="clear" w:color="auto" w:fill="E1DFDD"/>
    </w:rPr>
  </w:style>
  <w:style w:type="paragraph" w:customStyle="1" w:styleId="Normal11pt">
    <w:name w:val="Normal + 11 pt"/>
    <w:aliases w:val="Negro,Justificado,Izquierda:  -0,95 cm,Derecha:  0,04 cm"/>
    <w:basedOn w:val="Normal"/>
    <w:uiPriority w:val="99"/>
    <w:rsid w:val="0019733B"/>
    <w:pPr>
      <w:ind w:left="-540"/>
      <w:jc w:val="both"/>
    </w:pPr>
    <w:rPr>
      <w:rFonts w:ascii="Arial" w:hAnsi="Arial" w:cs="Arial"/>
      <w:color w:val="000000"/>
      <w:sz w:val="22"/>
      <w:szCs w:val="22"/>
      <w:lang w:val="es-ES_tradnl" w:eastAsia="es-ES"/>
    </w:rPr>
  </w:style>
  <w:style w:type="character" w:customStyle="1" w:styleId="Ttulo1Car">
    <w:name w:val="Título 1 Car"/>
    <w:basedOn w:val="Fuentedeprrafopredeter"/>
    <w:link w:val="Ttulo1"/>
    <w:uiPriority w:val="1"/>
    <w:rsid w:val="00732F7D"/>
    <w:rPr>
      <w:rFonts w:ascii="Arial" w:eastAsia="Arial" w:hAnsi="Arial" w:cs="Arial"/>
      <w:b/>
      <w:bCs/>
      <w:lang w:val="es-ES"/>
    </w:rPr>
  </w:style>
  <w:style w:type="character" w:customStyle="1" w:styleId="Ttulo2Car">
    <w:name w:val="Título 2 Car"/>
    <w:basedOn w:val="Fuentedeprrafopredeter"/>
    <w:link w:val="Ttulo2"/>
    <w:uiPriority w:val="9"/>
    <w:semiHidden/>
    <w:rsid w:val="00732F7D"/>
    <w:rPr>
      <w:rFonts w:asciiTheme="majorHAnsi" w:eastAsiaTheme="majorEastAsia" w:hAnsiTheme="majorHAnsi" w:cstheme="majorBidi"/>
      <w:color w:val="365F91" w:themeColor="accent1" w:themeShade="BF"/>
      <w:sz w:val="26"/>
      <w:szCs w:val="26"/>
      <w:lang w:eastAsia="es-ES_tradnl"/>
    </w:rPr>
  </w:style>
  <w:style w:type="character" w:customStyle="1" w:styleId="Mencinsinresolver2">
    <w:name w:val="Mención sin resolver2"/>
    <w:basedOn w:val="Fuentedeprrafopredeter"/>
    <w:uiPriority w:val="99"/>
    <w:semiHidden/>
    <w:unhideWhenUsed/>
    <w:rsid w:val="00732F7D"/>
    <w:rPr>
      <w:color w:val="605E5C"/>
      <w:shd w:val="clear" w:color="auto" w:fill="E1DFDD"/>
    </w:rPr>
  </w:style>
  <w:style w:type="paragraph" w:customStyle="1" w:styleId="paragraph">
    <w:name w:val="paragraph"/>
    <w:basedOn w:val="Normal"/>
    <w:rsid w:val="00732F7D"/>
    <w:pPr>
      <w:spacing w:before="100" w:beforeAutospacing="1" w:after="100" w:afterAutospacing="1"/>
    </w:pPr>
    <w:rPr>
      <w:lang w:eastAsia="es-CO"/>
    </w:rPr>
  </w:style>
  <w:style w:type="character" w:customStyle="1" w:styleId="textrun">
    <w:name w:val="textrun"/>
    <w:basedOn w:val="Fuentedeprrafopredeter"/>
    <w:rsid w:val="00732F7D"/>
  </w:style>
  <w:style w:type="character" w:customStyle="1" w:styleId="normaltextrun">
    <w:name w:val="normaltextrun"/>
    <w:basedOn w:val="Fuentedeprrafopredeter"/>
    <w:rsid w:val="00732F7D"/>
  </w:style>
  <w:style w:type="character" w:customStyle="1" w:styleId="eop">
    <w:name w:val="eop"/>
    <w:basedOn w:val="Fuentedeprrafopredeter"/>
    <w:rsid w:val="00732F7D"/>
  </w:style>
  <w:style w:type="character" w:customStyle="1" w:styleId="spellingerror">
    <w:name w:val="spellingerror"/>
    <w:basedOn w:val="Fuentedeprrafopredeter"/>
    <w:rsid w:val="00732F7D"/>
  </w:style>
  <w:style w:type="character" w:styleId="Nmerodepgina">
    <w:name w:val="page number"/>
    <w:basedOn w:val="Fuentedeprrafopredeter"/>
    <w:uiPriority w:val="99"/>
    <w:semiHidden/>
    <w:unhideWhenUsed/>
    <w:rsid w:val="00732F7D"/>
  </w:style>
  <w:style w:type="paragraph" w:styleId="Sangradetextonormal">
    <w:name w:val="Body Text Indent"/>
    <w:basedOn w:val="Normal"/>
    <w:link w:val="SangradetextonormalCar"/>
    <w:uiPriority w:val="99"/>
    <w:semiHidden/>
    <w:unhideWhenUsed/>
    <w:rsid w:val="00732F7D"/>
    <w:pPr>
      <w:spacing w:after="120"/>
      <w:ind w:left="283"/>
    </w:pPr>
  </w:style>
  <w:style w:type="character" w:customStyle="1" w:styleId="SangradetextonormalCar">
    <w:name w:val="Sangría de texto normal Car"/>
    <w:basedOn w:val="Fuentedeprrafopredeter"/>
    <w:link w:val="Sangradetextonormal"/>
    <w:uiPriority w:val="99"/>
    <w:semiHidden/>
    <w:rsid w:val="00732F7D"/>
    <w:rPr>
      <w:sz w:val="24"/>
      <w:lang w:val="es-MX"/>
    </w:rPr>
  </w:style>
  <w:style w:type="character" w:customStyle="1" w:styleId="baj">
    <w:name w:val="b_aj"/>
    <w:basedOn w:val="Fuentedeprrafopredeter"/>
    <w:rsid w:val="00732F7D"/>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732F7D"/>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732F7D"/>
    <w:rPr>
      <w:vertAlign w:val="superscript"/>
    </w:rPr>
  </w:style>
  <w:style w:type="table" w:customStyle="1" w:styleId="Tablaconcuadrcula11">
    <w:name w:val="Tabla con cuadrícula11"/>
    <w:basedOn w:val="Tablanormal"/>
    <w:next w:val="Tablaconcuadrcula"/>
    <w:uiPriority w:val="39"/>
    <w:rsid w:val="00732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2882668">
      <w:bodyDiv w:val="1"/>
      <w:marLeft w:val="0"/>
      <w:marRight w:val="0"/>
      <w:marTop w:val="0"/>
      <w:marBottom w:val="0"/>
      <w:divBdr>
        <w:top w:val="none" w:sz="0" w:space="0" w:color="auto"/>
        <w:left w:val="none" w:sz="0" w:space="0" w:color="auto"/>
        <w:bottom w:val="none" w:sz="0" w:space="0" w:color="auto"/>
        <w:right w:val="none" w:sz="0" w:space="0" w:color="auto"/>
      </w:divBdr>
      <w:divsChild>
        <w:div w:id="1595700640">
          <w:marLeft w:val="0"/>
          <w:marRight w:val="0"/>
          <w:marTop w:val="0"/>
          <w:marBottom w:val="0"/>
          <w:divBdr>
            <w:top w:val="none" w:sz="0" w:space="0" w:color="auto"/>
            <w:left w:val="none" w:sz="0" w:space="0" w:color="auto"/>
            <w:bottom w:val="none" w:sz="0" w:space="0" w:color="auto"/>
            <w:right w:val="none" w:sz="0" w:space="0" w:color="auto"/>
          </w:divBdr>
        </w:div>
      </w:divsChild>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499884698">
      <w:bodyDiv w:val="1"/>
      <w:marLeft w:val="0"/>
      <w:marRight w:val="0"/>
      <w:marTop w:val="0"/>
      <w:marBottom w:val="0"/>
      <w:divBdr>
        <w:top w:val="none" w:sz="0" w:space="0" w:color="auto"/>
        <w:left w:val="none" w:sz="0" w:space="0" w:color="auto"/>
        <w:bottom w:val="none" w:sz="0" w:space="0" w:color="auto"/>
        <w:right w:val="none" w:sz="0" w:space="0" w:color="auto"/>
      </w:divBdr>
      <w:divsChild>
        <w:div w:id="931008939">
          <w:marLeft w:val="0"/>
          <w:marRight w:val="0"/>
          <w:marTop w:val="0"/>
          <w:marBottom w:val="0"/>
          <w:divBdr>
            <w:top w:val="none" w:sz="0" w:space="0" w:color="auto"/>
            <w:left w:val="none" w:sz="0" w:space="0" w:color="auto"/>
            <w:bottom w:val="none" w:sz="0" w:space="0" w:color="auto"/>
            <w:right w:val="none" w:sz="0" w:space="0" w:color="auto"/>
          </w:divBdr>
          <w:divsChild>
            <w:div w:id="1244223385">
              <w:marLeft w:val="0"/>
              <w:marRight w:val="0"/>
              <w:marTop w:val="0"/>
              <w:marBottom w:val="0"/>
              <w:divBdr>
                <w:top w:val="none" w:sz="0" w:space="0" w:color="auto"/>
                <w:left w:val="none" w:sz="0" w:space="0" w:color="auto"/>
                <w:bottom w:val="none" w:sz="0" w:space="0" w:color="auto"/>
                <w:right w:val="none" w:sz="0" w:space="0" w:color="auto"/>
              </w:divBdr>
              <w:divsChild>
                <w:div w:id="27178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77A4082-7DB8-EA4E-857D-245F6E660B4D}">
  <ds:schemaRefs>
    <ds:schemaRef ds:uri="http://schemas.openxmlformats.org/officeDocument/2006/bibliography"/>
  </ds:schemaRefs>
</ds:datastoreItem>
</file>

<file path=customXml/itemProps4.xml><?xml version="1.0" encoding="utf-8"?>
<ds:datastoreItem xmlns:ds="http://schemas.openxmlformats.org/officeDocument/2006/customXml" ds:itemID="{3C756A3C-6E8C-4188-BBF3-8EA6CC33633B}"/>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TotalTime>
  <Pages>26</Pages>
  <Words>9087</Words>
  <Characters>49982</Characters>
  <Application>Microsoft Office Word</Application>
  <DocSecurity>0</DocSecurity>
  <Lines>416</Lines>
  <Paragraphs>117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nicolle saenz camargo</cp:lastModifiedBy>
  <cp:revision>8</cp:revision>
  <cp:lastPrinted>2020-01-30T18:05:00Z</cp:lastPrinted>
  <dcterms:created xsi:type="dcterms:W3CDTF">2022-05-13T22:57:00Z</dcterms:created>
  <dcterms:modified xsi:type="dcterms:W3CDTF">2022-05-21T17:52:00Z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