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C8CD2" w14:textId="77777777" w:rsidR="000A7622" w:rsidRPr="00ED0894" w:rsidRDefault="000A7622" w:rsidP="000A7622">
      <w:pPr>
        <w:spacing w:after="0" w:line="276" w:lineRule="auto"/>
        <w:jc w:val="right"/>
        <w:rPr>
          <w:rFonts w:ascii="Arial" w:eastAsia="Calibri" w:hAnsi="Arial" w:cs="Arial"/>
          <w:b/>
          <w:bCs/>
          <w:lang w:val="es-MX"/>
        </w:rPr>
      </w:pPr>
      <w:bookmarkStart w:id="0" w:name="_Hlk29890381"/>
      <w:bookmarkStart w:id="1" w:name="_Hlk84451806"/>
      <w:bookmarkStart w:id="2" w:name="_Hlk83323805"/>
      <w:bookmarkEnd w:id="0"/>
      <w:r w:rsidRPr="00ED0894">
        <w:rPr>
          <w:rFonts w:ascii="Arial" w:eastAsia="Times New Roman" w:hAnsi="Arial" w:cs="Arial"/>
          <w:b/>
          <w:bCs/>
          <w:sz w:val="16"/>
          <w:szCs w:val="16"/>
          <w:lang w:val="es-MX" w:eastAsia="es-ES"/>
        </w:rPr>
        <w:t>CCE-DES-FM-17</w:t>
      </w:r>
    </w:p>
    <w:p w14:paraId="25C31DCC" w14:textId="77777777" w:rsidR="000A7622" w:rsidRPr="00ED0894" w:rsidRDefault="000A7622" w:rsidP="000A7622">
      <w:pPr>
        <w:spacing w:after="0" w:line="240" w:lineRule="auto"/>
        <w:jc w:val="both"/>
        <w:rPr>
          <w:rFonts w:ascii="Arial" w:hAnsi="Arial" w:cs="Arial"/>
          <w:lang w:val="es-MX"/>
        </w:rPr>
      </w:pPr>
    </w:p>
    <w:p w14:paraId="1C0BB5F0" w14:textId="77777777" w:rsidR="00D525E3" w:rsidRPr="00ED0894" w:rsidRDefault="00D525E3" w:rsidP="00310D55">
      <w:pPr>
        <w:spacing w:line="240" w:lineRule="auto"/>
        <w:jc w:val="both"/>
        <w:rPr>
          <w:rFonts w:ascii="Arial" w:eastAsia="Calibri" w:hAnsi="Arial" w:cs="Arial"/>
          <w:b/>
          <w:color w:val="000000" w:themeColor="text1"/>
          <w:lang w:val="es-MX"/>
        </w:rPr>
      </w:pPr>
      <w:r w:rsidRPr="00ED0894">
        <w:rPr>
          <w:rFonts w:ascii="Arial" w:eastAsia="Calibri" w:hAnsi="Arial" w:cs="Arial"/>
          <w:b/>
          <w:color w:val="000000" w:themeColor="text1"/>
          <w:lang w:val="es-MX"/>
        </w:rPr>
        <w:t xml:space="preserve">CAPACIDAD RESIDUAL – </w:t>
      </w:r>
      <w:r w:rsidRPr="00ED0894">
        <w:rPr>
          <w:rFonts w:ascii="Arial" w:eastAsia="Calibri" w:hAnsi="Arial" w:cs="Arial"/>
          <w:b/>
          <w:bCs/>
        </w:rPr>
        <w:t xml:space="preserve">Cálculo – Factores </w:t>
      </w:r>
    </w:p>
    <w:p w14:paraId="3B2676C8" w14:textId="36FF54BB" w:rsidR="002D0C97" w:rsidRDefault="002D0C97" w:rsidP="002D0C97">
      <w:pPr>
        <w:autoSpaceDE w:val="0"/>
        <w:autoSpaceDN w:val="0"/>
        <w:adjustRightInd w:val="0"/>
        <w:spacing w:line="240" w:lineRule="auto"/>
        <w:jc w:val="both"/>
        <w:rPr>
          <w:rFonts w:ascii="Arial" w:eastAsia="Calibri" w:hAnsi="Arial" w:cs="Arial"/>
          <w:sz w:val="20"/>
          <w:szCs w:val="20"/>
          <w:lang w:val="es-MX"/>
        </w:rPr>
      </w:pPr>
      <w:r w:rsidRPr="002D0C97">
        <w:rPr>
          <w:rFonts w:ascii="Arial" w:eastAsia="Calibri" w:hAnsi="Arial" w:cs="Arial"/>
          <w:sz w:val="20"/>
          <w:szCs w:val="20"/>
          <w:lang w:val="es-MX"/>
        </w:rPr>
        <w:t xml:space="preserve">Por su parte, el artículo 2.2.1.1.1.6.4 del Decreto 1082 de 2015 dispone que las entidades estatales deberán calcular la capacidad residual conforme a la metodología definida por Colombia Compre Eficiente. Para tale fines, resulta necesario tener en cuenta los factores de i) Experiencia –E–, </w:t>
      </w:r>
      <w:proofErr w:type="spellStart"/>
      <w:r w:rsidRPr="002D0C97">
        <w:rPr>
          <w:rFonts w:ascii="Arial" w:eastAsia="Calibri" w:hAnsi="Arial" w:cs="Arial"/>
          <w:sz w:val="20"/>
          <w:szCs w:val="20"/>
          <w:lang w:val="es-MX"/>
        </w:rPr>
        <w:t>ii</w:t>
      </w:r>
      <w:proofErr w:type="spellEnd"/>
      <w:r w:rsidRPr="002D0C97">
        <w:rPr>
          <w:rFonts w:ascii="Arial" w:eastAsia="Calibri" w:hAnsi="Arial" w:cs="Arial"/>
          <w:sz w:val="20"/>
          <w:szCs w:val="20"/>
          <w:lang w:val="es-MX"/>
        </w:rPr>
        <w:t xml:space="preserve">) Capacidad Financiera –CF–, </w:t>
      </w:r>
      <w:proofErr w:type="spellStart"/>
      <w:r w:rsidRPr="002D0C97">
        <w:rPr>
          <w:rFonts w:ascii="Arial" w:eastAsia="Calibri" w:hAnsi="Arial" w:cs="Arial"/>
          <w:sz w:val="20"/>
          <w:szCs w:val="20"/>
          <w:lang w:val="es-MX"/>
        </w:rPr>
        <w:t>iii</w:t>
      </w:r>
      <w:proofErr w:type="spellEnd"/>
      <w:r w:rsidRPr="002D0C97">
        <w:rPr>
          <w:rFonts w:ascii="Arial" w:eastAsia="Calibri" w:hAnsi="Arial" w:cs="Arial"/>
          <w:sz w:val="20"/>
          <w:szCs w:val="20"/>
          <w:lang w:val="es-MX"/>
        </w:rPr>
        <w:t xml:space="preserve">) Capacidad Técnica –CT–, </w:t>
      </w:r>
      <w:proofErr w:type="spellStart"/>
      <w:r w:rsidRPr="002D0C97">
        <w:rPr>
          <w:rFonts w:ascii="Arial" w:eastAsia="Calibri" w:hAnsi="Arial" w:cs="Arial"/>
          <w:sz w:val="20"/>
          <w:szCs w:val="20"/>
          <w:lang w:val="es-MX"/>
        </w:rPr>
        <w:t>iv</w:t>
      </w:r>
      <w:proofErr w:type="spellEnd"/>
      <w:r w:rsidRPr="002D0C97">
        <w:rPr>
          <w:rFonts w:ascii="Arial" w:eastAsia="Calibri" w:hAnsi="Arial" w:cs="Arial"/>
          <w:sz w:val="20"/>
          <w:szCs w:val="20"/>
          <w:lang w:val="es-MX"/>
        </w:rPr>
        <w:t>) Capacidad de Organización y v) los Saldos de los Contratos en Ejecución –SCE–</w:t>
      </w:r>
      <w:r>
        <w:rPr>
          <w:rFonts w:ascii="Arial" w:eastAsia="Calibri" w:hAnsi="Arial" w:cs="Arial"/>
          <w:sz w:val="20"/>
          <w:szCs w:val="20"/>
          <w:lang w:val="es-MX"/>
        </w:rPr>
        <w:t xml:space="preserve">. </w:t>
      </w:r>
    </w:p>
    <w:p w14:paraId="26768BA2" w14:textId="44603D8F" w:rsidR="002D0C97" w:rsidRDefault="002D0C97" w:rsidP="002D0C97">
      <w:pPr>
        <w:autoSpaceDE w:val="0"/>
        <w:autoSpaceDN w:val="0"/>
        <w:adjustRightInd w:val="0"/>
        <w:spacing w:line="240" w:lineRule="auto"/>
        <w:jc w:val="both"/>
        <w:rPr>
          <w:rFonts w:ascii="Arial" w:eastAsia="Calibri" w:hAnsi="Arial" w:cs="Arial"/>
          <w:sz w:val="20"/>
          <w:szCs w:val="20"/>
          <w:lang w:val="es-MX"/>
        </w:rPr>
      </w:pPr>
      <w:r w:rsidRPr="002D0C97">
        <w:rPr>
          <w:rFonts w:ascii="Arial" w:eastAsia="Calibri" w:hAnsi="Arial" w:cs="Arial"/>
          <w:sz w:val="20"/>
          <w:szCs w:val="20"/>
          <w:lang w:val="es-MX"/>
        </w:rPr>
        <w:t xml:space="preserve">De igual manera, establece que el interesado en celebrar contratos de obra pública acreditará su capacidad residual con los siguientes documentos: i) la lista de los contratos de obras civiles en ejecución suscritos con entidades estatales y con entidades privadas; </w:t>
      </w:r>
      <w:proofErr w:type="spellStart"/>
      <w:r w:rsidRPr="002D0C97">
        <w:rPr>
          <w:rFonts w:ascii="Arial" w:eastAsia="Calibri" w:hAnsi="Arial" w:cs="Arial"/>
          <w:sz w:val="20"/>
          <w:szCs w:val="20"/>
          <w:lang w:val="es-MX"/>
        </w:rPr>
        <w:t>ii</w:t>
      </w:r>
      <w:proofErr w:type="spellEnd"/>
      <w:r w:rsidRPr="002D0C97">
        <w:rPr>
          <w:rFonts w:ascii="Arial" w:eastAsia="Calibri" w:hAnsi="Arial" w:cs="Arial"/>
          <w:sz w:val="20"/>
          <w:szCs w:val="20"/>
          <w:lang w:val="es-MX"/>
        </w:rPr>
        <w:t xml:space="preserve">) la lista de contratos de obras civiles en ejecución, suscritos por sociedades, consorcios o uniones temporales, en los cuales el proponente tenga participación, con entidades estatales y con entidades privadas; y finalmente </w:t>
      </w:r>
      <w:proofErr w:type="spellStart"/>
      <w:r w:rsidRPr="002D0C97">
        <w:rPr>
          <w:rFonts w:ascii="Arial" w:eastAsia="Calibri" w:hAnsi="Arial" w:cs="Arial"/>
          <w:sz w:val="20"/>
          <w:szCs w:val="20"/>
          <w:lang w:val="es-MX"/>
        </w:rPr>
        <w:t>iii</w:t>
      </w:r>
      <w:proofErr w:type="spellEnd"/>
      <w:r w:rsidRPr="002D0C97">
        <w:rPr>
          <w:rFonts w:ascii="Arial" w:eastAsia="Calibri" w:hAnsi="Arial" w:cs="Arial"/>
          <w:sz w:val="20"/>
          <w:szCs w:val="20"/>
          <w:lang w:val="es-MX"/>
        </w:rPr>
        <w:t>) el balance general auditado del año inmediatamente anterior y estado de resultados auditado del año en que haya obtenido el mayor ingreso operacional en los últimos cinco (5) años</w:t>
      </w:r>
      <w:r>
        <w:rPr>
          <w:rFonts w:ascii="Arial" w:eastAsia="Calibri" w:hAnsi="Arial" w:cs="Arial"/>
          <w:sz w:val="20"/>
          <w:szCs w:val="20"/>
          <w:lang w:val="es-MX"/>
        </w:rPr>
        <w:t xml:space="preserve">. </w:t>
      </w:r>
    </w:p>
    <w:p w14:paraId="6B0D1CFA" w14:textId="06BF11FA" w:rsidR="00D525E3" w:rsidRPr="00ED0894" w:rsidRDefault="00D525E3" w:rsidP="002D0C97">
      <w:pPr>
        <w:autoSpaceDE w:val="0"/>
        <w:autoSpaceDN w:val="0"/>
        <w:adjustRightInd w:val="0"/>
        <w:spacing w:line="240" w:lineRule="auto"/>
        <w:jc w:val="both"/>
        <w:rPr>
          <w:rFonts w:ascii="Arial" w:eastAsia="Calibri" w:hAnsi="Arial" w:cs="Arial"/>
          <w:b/>
        </w:rPr>
      </w:pPr>
      <w:r w:rsidRPr="00ED0894">
        <w:rPr>
          <w:rFonts w:ascii="Arial" w:eastAsia="Calibri" w:hAnsi="Arial" w:cs="Arial"/>
          <w:b/>
          <w:bCs/>
        </w:rPr>
        <w:t xml:space="preserve">CAPACIDAD RESIDUAL – Saldos de Contratos en Ejecución </w:t>
      </w:r>
      <w:r w:rsidRPr="00ED0894">
        <w:rPr>
          <w:rFonts w:ascii="Arial" w:eastAsia="Calibri" w:hAnsi="Arial" w:cs="Arial"/>
          <w:b/>
          <w:color w:val="000000" w:themeColor="text1"/>
        </w:rPr>
        <w:t xml:space="preserve">«SCE» </w:t>
      </w:r>
      <w:r w:rsidRPr="00ED0894">
        <w:rPr>
          <w:rFonts w:ascii="Arial" w:eastAsia="Calibri" w:hAnsi="Arial" w:cs="Arial"/>
          <w:b/>
          <w:bCs/>
        </w:rPr>
        <w:t>– Contratos de obra – Contratos suspendidos</w:t>
      </w:r>
      <w:r w:rsidR="00DB6D76">
        <w:rPr>
          <w:rFonts w:ascii="Arial" w:eastAsia="Calibri" w:hAnsi="Arial" w:cs="Arial"/>
          <w:b/>
          <w:bCs/>
        </w:rPr>
        <w:t xml:space="preserve"> – Saldos pendientes por ejecutar </w:t>
      </w:r>
    </w:p>
    <w:p w14:paraId="3A33BB17" w14:textId="406587D5" w:rsidR="00DB6D76" w:rsidRDefault="00DB6D76" w:rsidP="00310D55">
      <w:pPr>
        <w:spacing w:line="240" w:lineRule="auto"/>
        <w:ind w:right="49"/>
        <w:jc w:val="both"/>
        <w:rPr>
          <w:rFonts w:ascii="Arial" w:eastAsia="Calibri" w:hAnsi="Arial" w:cs="Arial"/>
          <w:bCs/>
          <w:color w:val="000000" w:themeColor="text1"/>
          <w:sz w:val="20"/>
          <w:szCs w:val="20"/>
        </w:rPr>
      </w:pPr>
      <w:r w:rsidRPr="00DB6D76">
        <w:rPr>
          <w:rFonts w:ascii="Arial" w:eastAsia="Calibri" w:hAnsi="Arial" w:cs="Arial"/>
          <w:bCs/>
          <w:color w:val="000000" w:themeColor="text1"/>
          <w:sz w:val="20"/>
          <w:szCs w:val="20"/>
        </w:rPr>
        <w:t>En este sentido, los saldos pendientes se derivan de las obligaciones que se encuentran en ejecución al momento de la presentación de la oferta y se refieren a contratos cuyo objeto sea la ejecución de obras civiles. Se aclara que deben tenerse en cuenta los contratos sin acta de inicio, pues el criterio determinante para establecer si un contrato se encuentra en ejecución no lo determina el acta, sino que el mismo contrato obligue al proponente, tal como se establece en la Guía indicada. Además, los saldos pendientes por ejecutar de los contratos afectados por una suspensión constituyen, también, información relevante para calcular la capacidad residual del proponente «CRP». Lo anterior, en la medida en que la ejecución de los contratos en principio suspendidos puede, eventualmente, afectar la aptitud del oferente para cumplir con el contrato ofertado, razón por la que, ante la posibilidad de que tales contratos se reanuden, la Guía estimó necesario evaluar los saldos pendientes por ejecutar de tales contratos para determinar si el proponente cumple con la capacidad residual requerida</w:t>
      </w:r>
      <w:r>
        <w:rPr>
          <w:rFonts w:ascii="Arial" w:eastAsia="Calibri" w:hAnsi="Arial" w:cs="Arial"/>
          <w:bCs/>
          <w:color w:val="000000" w:themeColor="text1"/>
          <w:sz w:val="20"/>
          <w:szCs w:val="20"/>
        </w:rPr>
        <w:t xml:space="preserve">. </w:t>
      </w:r>
    </w:p>
    <w:p w14:paraId="1153F16C" w14:textId="77777777" w:rsidR="00D525E3" w:rsidRPr="00ED0894" w:rsidRDefault="00D525E3" w:rsidP="00310D55">
      <w:pPr>
        <w:spacing w:line="240" w:lineRule="auto"/>
        <w:jc w:val="both"/>
        <w:rPr>
          <w:rFonts w:ascii="Arial" w:eastAsia="Calibri" w:hAnsi="Arial" w:cs="Arial"/>
          <w:bCs/>
          <w:color w:val="000000" w:themeColor="text1"/>
          <w:sz w:val="20"/>
          <w:szCs w:val="20"/>
        </w:rPr>
      </w:pPr>
      <w:r w:rsidRPr="00ED0894">
        <w:rPr>
          <w:rFonts w:ascii="Arial" w:eastAsia="Calibri" w:hAnsi="Arial" w:cs="Arial"/>
          <w:b/>
          <w:bCs/>
        </w:rPr>
        <w:t>CAPACIDAD RESIDUAL – Contrato reanudado – Contrato Suspendido</w:t>
      </w:r>
    </w:p>
    <w:p w14:paraId="2E5F941E" w14:textId="5C86B310" w:rsidR="00BB402C" w:rsidRPr="00ED0894" w:rsidRDefault="00D525E3" w:rsidP="008A6B02">
      <w:pPr>
        <w:spacing w:line="240" w:lineRule="auto"/>
        <w:jc w:val="both"/>
        <w:rPr>
          <w:rFonts w:ascii="Arial" w:eastAsia="Calibri" w:hAnsi="Arial" w:cs="Arial"/>
          <w:color w:val="000000" w:themeColor="text1"/>
          <w:sz w:val="20"/>
          <w:szCs w:val="20"/>
        </w:rPr>
      </w:pPr>
      <w:r w:rsidRPr="00ED0894">
        <w:rPr>
          <w:rFonts w:ascii="Arial" w:eastAsia="Calibri" w:hAnsi="Arial" w:cs="Arial"/>
          <w:bCs/>
          <w:color w:val="000000" w:themeColor="text1"/>
          <w:sz w:val="20"/>
          <w:szCs w:val="20"/>
          <w:lang w:val="es-ES"/>
        </w:rPr>
        <w:t xml:space="preserve">Respecto del factor de saldos de los contratos en ejecución «SCE», es necesario tener en cuenta que la Guía para Determinar y Verificar la Capacidad Residual del Proponente en los Procesos de Contratación de Obra Pública, define a este factor como «la suma de los montos por ejecutar de los contratos en ejecución durante los 12 meses siguientes».  </w:t>
      </w:r>
      <w:r w:rsidR="008A6B02" w:rsidRPr="008A6B02">
        <w:rPr>
          <w:rFonts w:ascii="Arial" w:eastAsia="Calibri" w:hAnsi="Arial" w:cs="Arial"/>
          <w:bCs/>
          <w:color w:val="000000" w:themeColor="text1"/>
          <w:sz w:val="20"/>
          <w:szCs w:val="20"/>
          <w:lang w:val="es-ES"/>
        </w:rPr>
        <w:t>En este sentido, los saldos pendientes se derivan de las obligaciones que se encuentran en ejecución al momento de la presentación de la oferta y se refieren a contratos cuyo objeto sea la ejecución de obras civiles.</w:t>
      </w:r>
    </w:p>
    <w:p w14:paraId="3758BE09" w14:textId="77777777" w:rsidR="000A7622" w:rsidRPr="00ED0894" w:rsidRDefault="000A7622" w:rsidP="006C07D7">
      <w:pPr>
        <w:spacing w:after="0" w:line="240" w:lineRule="auto"/>
        <w:jc w:val="both"/>
        <w:rPr>
          <w:rFonts w:ascii="Arial" w:eastAsia="Calibri" w:hAnsi="Arial" w:cs="Arial"/>
          <w:b/>
          <w:lang w:val="es-MX"/>
        </w:rPr>
      </w:pPr>
      <w:bookmarkStart w:id="3" w:name="_Hlk65849162"/>
      <w:r w:rsidRPr="00ED0894">
        <w:rPr>
          <w:rFonts w:ascii="Arial" w:eastAsia="Calibri" w:hAnsi="Arial" w:cs="Arial"/>
          <w:b/>
          <w:lang w:val="es-MX"/>
        </w:rPr>
        <w:t>DOCUMENTOS TIPO – Versión 3 – Licitación Pública - Capacidad residual – Rechazo de la oferta – Causales</w:t>
      </w:r>
    </w:p>
    <w:p w14:paraId="627F21F4" w14:textId="77777777" w:rsidR="000A7622" w:rsidRPr="00ED0894" w:rsidRDefault="000A7622" w:rsidP="007A61E4">
      <w:pPr>
        <w:spacing w:after="0" w:line="240" w:lineRule="auto"/>
        <w:jc w:val="both"/>
        <w:rPr>
          <w:rFonts w:ascii="Arial" w:eastAsia="Calibri" w:hAnsi="Arial" w:cs="Arial"/>
          <w:sz w:val="20"/>
          <w:szCs w:val="20"/>
          <w:lang w:val="es-MX"/>
        </w:rPr>
      </w:pPr>
    </w:p>
    <w:bookmarkEnd w:id="3"/>
    <w:p w14:paraId="3E03E55B" w14:textId="77777777" w:rsidR="00F31C2D" w:rsidRDefault="00F31C2D" w:rsidP="004A0BA5">
      <w:pPr>
        <w:spacing w:before="120" w:after="120" w:line="240" w:lineRule="auto"/>
        <w:jc w:val="both"/>
        <w:rPr>
          <w:rFonts w:ascii="Arial" w:hAnsi="Arial" w:cs="Arial"/>
          <w:sz w:val="20"/>
          <w:szCs w:val="20"/>
          <w:lang w:val="es-MX"/>
        </w:rPr>
      </w:pPr>
      <w:r w:rsidRPr="00F31C2D">
        <w:rPr>
          <w:rFonts w:ascii="Arial" w:hAnsi="Arial" w:cs="Arial"/>
          <w:sz w:val="20"/>
          <w:szCs w:val="20"/>
          <w:lang w:val="es-MX"/>
        </w:rPr>
        <w:t xml:space="preserve">Como se consideró en los conceptos del 25 de septiembre y el 23 de diciembre de 2019 −radicados Nos. 2201913000007117 y 2201913000009538−, las causales de rechazo de ofertas contempladas en los documentos tipo son taxativas, descartándose que la entidad introduzca otras,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w:t>
      </w:r>
      <w:r w:rsidRPr="00F31C2D">
        <w:rPr>
          <w:rFonts w:ascii="Arial" w:hAnsi="Arial" w:cs="Arial"/>
          <w:sz w:val="20"/>
          <w:szCs w:val="20"/>
          <w:lang w:val="es-MX"/>
        </w:rPr>
        <w:lastRenderedPageBreak/>
        <w:t>índole, mediante la cual se pretenda ampliar su alcance. En ese contexto, las tres causales de rechazo mencionadas tienen el siguiente alcance:</w:t>
      </w:r>
    </w:p>
    <w:p w14:paraId="5A0C6C74" w14:textId="77777777" w:rsidR="00F31C2D" w:rsidRPr="00F31C2D" w:rsidRDefault="00F31C2D" w:rsidP="00F31C2D">
      <w:pPr>
        <w:spacing w:after="0" w:line="276" w:lineRule="auto"/>
        <w:jc w:val="both"/>
        <w:rPr>
          <w:rFonts w:ascii="Arial" w:hAnsi="Arial" w:cs="Arial"/>
          <w:sz w:val="20"/>
          <w:szCs w:val="18"/>
          <w:lang w:val="es-MX"/>
        </w:rPr>
      </w:pPr>
      <w:r w:rsidRPr="00F31C2D">
        <w:rPr>
          <w:rFonts w:ascii="Arial" w:hAnsi="Arial" w:cs="Arial"/>
          <w:sz w:val="20"/>
          <w:szCs w:val="18"/>
          <w:lang w:val="es-MX"/>
        </w:rPr>
        <w:t xml:space="preserve">i) La causal del literal Z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configuración de la causal de rechazo del literal Z es objetiva, pues solo aplica ante la omisión del proponente de informar el número total de contratos en ejecución antes del cierre. </w:t>
      </w:r>
    </w:p>
    <w:p w14:paraId="29A988EA" w14:textId="1D787955" w:rsidR="00F31C2D" w:rsidRPr="00F31C2D" w:rsidRDefault="00F31C2D" w:rsidP="00F31C2D">
      <w:pPr>
        <w:spacing w:after="0" w:line="276" w:lineRule="auto"/>
        <w:jc w:val="both"/>
        <w:rPr>
          <w:rFonts w:ascii="Arial" w:hAnsi="Arial" w:cs="Arial"/>
          <w:sz w:val="20"/>
          <w:szCs w:val="18"/>
          <w:lang w:val="es-MX"/>
        </w:rPr>
      </w:pPr>
      <w:proofErr w:type="spellStart"/>
      <w:r>
        <w:rPr>
          <w:rFonts w:ascii="Arial" w:hAnsi="Arial" w:cs="Arial"/>
          <w:sz w:val="20"/>
          <w:szCs w:val="18"/>
          <w:lang w:val="es-MX"/>
        </w:rPr>
        <w:t>i</w:t>
      </w:r>
      <w:r w:rsidRPr="00F31C2D">
        <w:rPr>
          <w:rFonts w:ascii="Arial" w:hAnsi="Arial" w:cs="Arial"/>
          <w:sz w:val="20"/>
          <w:szCs w:val="18"/>
          <w:lang w:val="es-MX"/>
        </w:rPr>
        <w:t>i</w:t>
      </w:r>
      <w:proofErr w:type="spellEnd"/>
      <w:r w:rsidRPr="00F31C2D">
        <w:rPr>
          <w:rFonts w:ascii="Arial" w:hAnsi="Arial" w:cs="Arial"/>
          <w:sz w:val="20"/>
          <w:szCs w:val="18"/>
          <w:lang w:val="es-MX"/>
        </w:rPr>
        <w:t xml:space="preserve">) 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 </w:t>
      </w:r>
    </w:p>
    <w:p w14:paraId="5ACB30F3" w14:textId="31D36129" w:rsidR="004A0BA5" w:rsidRDefault="00F31C2D" w:rsidP="00F31C2D">
      <w:pPr>
        <w:spacing w:after="0" w:line="276" w:lineRule="auto"/>
        <w:jc w:val="both"/>
        <w:rPr>
          <w:rFonts w:ascii="Arial" w:hAnsi="Arial" w:cs="Arial"/>
          <w:sz w:val="20"/>
          <w:szCs w:val="18"/>
          <w:lang w:val="es-MX"/>
        </w:rPr>
      </w:pPr>
      <w:proofErr w:type="spellStart"/>
      <w:r w:rsidRPr="00F31C2D">
        <w:rPr>
          <w:rFonts w:ascii="Arial" w:hAnsi="Arial" w:cs="Arial"/>
          <w:sz w:val="20"/>
          <w:szCs w:val="18"/>
          <w:lang w:val="es-MX"/>
        </w:rPr>
        <w:t>iii</w:t>
      </w:r>
      <w:proofErr w:type="spellEnd"/>
      <w:r w:rsidRPr="00F31C2D">
        <w:rPr>
          <w:rFonts w:ascii="Arial" w:hAnsi="Arial" w:cs="Arial"/>
          <w:sz w:val="20"/>
          <w:szCs w:val="18"/>
          <w:lang w:val="es-MX"/>
        </w:rPr>
        <w:t>) Lo dicho en los numerales precedentes tampoco descarta la posibilidad de que la entidad rechace la oferta si encuentra configurada la causal establecida en el literal H del numeral 1.15, que aplica cuando el proponente aporta información inexacta</w:t>
      </w:r>
    </w:p>
    <w:p w14:paraId="15432CFA" w14:textId="77777777" w:rsidR="00F31C2D" w:rsidRPr="00F31C2D" w:rsidRDefault="00F31C2D" w:rsidP="00F31C2D">
      <w:pPr>
        <w:spacing w:after="0" w:line="276" w:lineRule="auto"/>
        <w:jc w:val="both"/>
        <w:rPr>
          <w:rFonts w:ascii="Arial" w:hAnsi="Arial" w:cs="Arial"/>
          <w:sz w:val="20"/>
          <w:szCs w:val="18"/>
          <w:lang w:val="es-MX"/>
        </w:rPr>
      </w:pPr>
    </w:p>
    <w:p w14:paraId="04ADA1D7" w14:textId="77777777" w:rsidR="000A7622" w:rsidRPr="00ED0894" w:rsidRDefault="000A7622" w:rsidP="004A0BA5">
      <w:pPr>
        <w:spacing w:after="0" w:line="240" w:lineRule="auto"/>
        <w:jc w:val="both"/>
        <w:rPr>
          <w:rFonts w:ascii="Arial" w:eastAsia="Calibri" w:hAnsi="Arial" w:cs="Arial"/>
          <w:b/>
          <w:lang w:val="es-MX"/>
        </w:rPr>
      </w:pPr>
      <w:bookmarkStart w:id="4" w:name="_Hlk65849173"/>
      <w:r w:rsidRPr="00ED0894">
        <w:rPr>
          <w:rFonts w:ascii="Arial" w:eastAsia="Calibri" w:hAnsi="Arial" w:cs="Arial"/>
          <w:b/>
          <w:lang w:val="es-MX"/>
        </w:rPr>
        <w:t xml:space="preserve">CAPACIDAD RESIDUAL – Rechazo de la oferta – Afectación – Subsanabilidad </w:t>
      </w:r>
    </w:p>
    <w:bookmarkEnd w:id="4"/>
    <w:p w14:paraId="14266C41" w14:textId="77777777" w:rsidR="000A7622" w:rsidRPr="00ED0894" w:rsidRDefault="000A7622" w:rsidP="000A7622">
      <w:pPr>
        <w:spacing w:after="0" w:line="240" w:lineRule="auto"/>
        <w:jc w:val="both"/>
        <w:rPr>
          <w:rFonts w:ascii="Arial" w:eastAsia="Calibri" w:hAnsi="Arial" w:cs="Arial"/>
          <w:b/>
          <w:sz w:val="20"/>
          <w:szCs w:val="20"/>
          <w:lang w:val="es-MX"/>
        </w:rPr>
      </w:pPr>
    </w:p>
    <w:p w14:paraId="785B2E2A" w14:textId="472E83B5" w:rsidR="004A0BA5" w:rsidRPr="00ED0894" w:rsidRDefault="004A0BA5" w:rsidP="004A0BA5">
      <w:pPr>
        <w:spacing w:after="0" w:line="240" w:lineRule="auto"/>
        <w:jc w:val="both"/>
        <w:rPr>
          <w:rFonts w:ascii="Arial" w:hAnsi="Arial" w:cs="Arial"/>
          <w:sz w:val="20"/>
          <w:szCs w:val="20"/>
        </w:rPr>
      </w:pPr>
      <w:r w:rsidRPr="00ED0894">
        <w:rPr>
          <w:rFonts w:ascii="Arial" w:hAnsi="Arial" w:cs="Arial"/>
          <w:sz w:val="20"/>
          <w:szCs w:val="20"/>
        </w:rPr>
        <w:t xml:space="preserve">[…] aunque las causales de rechazo del literal E, H y Z del numeral 1.15 de los documentos tipo se relacionan con la capacidad residual como requisito habilitante, estas se aplican en supuestos diferentes, de acuerdo con lo explicado </w:t>
      </w:r>
      <w:r w:rsidRPr="00ED0894">
        <w:rPr>
          <w:rFonts w:ascii="Arial" w:hAnsi="Arial" w:cs="Arial"/>
          <w:i/>
          <w:sz w:val="20"/>
          <w:szCs w:val="20"/>
        </w:rPr>
        <w:t>ut supra</w:t>
      </w:r>
      <w:r w:rsidRPr="00ED0894">
        <w:rPr>
          <w:rFonts w:ascii="Arial" w:hAnsi="Arial" w:cs="Arial"/>
          <w:sz w:val="20"/>
          <w:szCs w:val="20"/>
        </w:rPr>
        <w:t>. La causal del literal H se produce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 Por su parte, la causal del literal Z se presenta cuando el proponente deja de informar la totalidad de los contratos que tiene en ejecución antes del cierre o no reporta la información de los contratos exigida en el documento base. Siguiendo con el ejemplo, el supuesto de hecho se presenta si el proponente, teniendo tres contratos de obra en ejecución antes del cierre, no informa la totalidad de estos.</w:t>
      </w:r>
    </w:p>
    <w:p w14:paraId="5E7F9F47" w14:textId="77777777" w:rsidR="004A0BA5" w:rsidRPr="00ED0894" w:rsidRDefault="004A0BA5" w:rsidP="004A0BA5">
      <w:pPr>
        <w:spacing w:after="0" w:line="240" w:lineRule="auto"/>
        <w:jc w:val="both"/>
        <w:rPr>
          <w:rFonts w:ascii="Arial" w:hAnsi="Arial" w:cs="Arial"/>
          <w:sz w:val="20"/>
          <w:szCs w:val="20"/>
        </w:rPr>
      </w:pPr>
    </w:p>
    <w:p w14:paraId="0D0C0873" w14:textId="729038BA" w:rsidR="000A7622" w:rsidRPr="00ED0894" w:rsidRDefault="000A7622" w:rsidP="004A0BA5">
      <w:pPr>
        <w:spacing w:after="0" w:line="240" w:lineRule="auto"/>
        <w:jc w:val="both"/>
        <w:rPr>
          <w:rFonts w:ascii="Arial" w:eastAsia="Calibri" w:hAnsi="Arial" w:cs="Arial"/>
          <w:b/>
          <w:lang w:val="es-MX"/>
        </w:rPr>
      </w:pPr>
      <w:bookmarkStart w:id="5" w:name="_Hlk65849188"/>
      <w:r w:rsidRPr="00ED0894">
        <w:rPr>
          <w:rFonts w:ascii="Arial" w:eastAsia="Calibri" w:hAnsi="Arial" w:cs="Arial"/>
          <w:b/>
          <w:lang w:val="es-MX"/>
        </w:rPr>
        <w:t xml:space="preserve">RECHAZO DE LA OFERTA – Capacidad residual – Documento Base – Literal Z – Versión 3 – Licitación Pública – </w:t>
      </w:r>
      <w:r w:rsidRPr="00ED0894">
        <w:rPr>
          <w:rFonts w:ascii="Arial" w:hAnsi="Arial" w:cs="Arial"/>
          <w:b/>
          <w:lang w:val="es-MX"/>
        </w:rPr>
        <w:t>Alcance</w:t>
      </w:r>
      <w:bookmarkEnd w:id="5"/>
    </w:p>
    <w:p w14:paraId="21ACDC6D" w14:textId="77777777" w:rsidR="000A7622" w:rsidRPr="00ED0894" w:rsidRDefault="000A7622" w:rsidP="004A0BA5">
      <w:pPr>
        <w:spacing w:after="0" w:line="240" w:lineRule="auto"/>
        <w:jc w:val="both"/>
        <w:rPr>
          <w:rFonts w:ascii="Arial" w:eastAsia="Calibri" w:hAnsi="Arial" w:cs="Arial"/>
          <w:b/>
          <w:lang w:val="es-MX"/>
        </w:rPr>
      </w:pPr>
    </w:p>
    <w:p w14:paraId="5A1199FE" w14:textId="1882E43C" w:rsidR="004A0BA5" w:rsidRDefault="004A0BA5" w:rsidP="004A0BA5">
      <w:pPr>
        <w:spacing w:after="120" w:line="240" w:lineRule="auto"/>
        <w:jc w:val="both"/>
        <w:rPr>
          <w:rFonts w:ascii="Arial" w:hAnsi="Arial" w:cs="Arial"/>
          <w:sz w:val="20"/>
          <w:szCs w:val="20"/>
        </w:rPr>
      </w:pPr>
      <w:r w:rsidRPr="00ED0894">
        <w:rPr>
          <w:rFonts w:ascii="Arial" w:hAnsi="Arial" w:cs="Arial"/>
          <w:sz w:val="20"/>
          <w:szCs w:val="20"/>
        </w:rPr>
        <w:t xml:space="preserve">La causal del literal Z procede cuando el proponente no informa todos los contratos de obra, fenómeno que se verifica al constatar que el número de contratos reportado es menor al número de contratos que debían reportarse. En este supuesto, lo que genera el rechazo de la oferta no es la ausencia de la información del contrato omitido, sino el hecho de haberse informado menos contratos de los que tenía en ejecución. Incluso, en el evento en el que el proponente «corrija» el error e informe la existencia de un contrato no reportado, implica aceptar que ocurrió la causal del literal Z, esto es, que el proponente incumplió su obligación de informar todos los contratos de obra que tenía en ejecución. </w:t>
      </w:r>
    </w:p>
    <w:p w14:paraId="737BBE3A" w14:textId="5A985BD3" w:rsidR="007712BC" w:rsidRDefault="007712BC" w:rsidP="004A0BA5">
      <w:pPr>
        <w:spacing w:after="120" w:line="240" w:lineRule="auto"/>
        <w:jc w:val="both"/>
        <w:rPr>
          <w:rFonts w:ascii="Arial" w:hAnsi="Arial" w:cs="Arial"/>
          <w:b/>
          <w:bCs/>
          <w:sz w:val="20"/>
          <w:szCs w:val="20"/>
        </w:rPr>
      </w:pPr>
    </w:p>
    <w:p w14:paraId="2207997A" w14:textId="671C26DB" w:rsidR="006A1A44" w:rsidRPr="006A1A44" w:rsidRDefault="006A1A44" w:rsidP="004A0BA5">
      <w:pPr>
        <w:spacing w:after="120" w:line="240" w:lineRule="auto"/>
        <w:jc w:val="both"/>
        <w:rPr>
          <w:rFonts w:ascii="Arial" w:hAnsi="Arial" w:cs="Arial"/>
          <w:b/>
          <w:bCs/>
          <w:sz w:val="20"/>
          <w:szCs w:val="20"/>
        </w:rPr>
      </w:pPr>
      <w:r>
        <w:rPr>
          <w:rFonts w:ascii="Arial" w:hAnsi="Arial" w:cs="Arial"/>
          <w:b/>
          <w:bCs/>
          <w:sz w:val="20"/>
          <w:szCs w:val="20"/>
        </w:rPr>
        <w:t xml:space="preserve">CAUSAL DE RECHAZO – Documentos tipo – Numeral 1.15 – Documento base – Literal Z – Contratos perfeccionados – Configuración </w:t>
      </w:r>
    </w:p>
    <w:bookmarkEnd w:id="1"/>
    <w:p w14:paraId="00614FBC" w14:textId="24786561" w:rsidR="007E1B61" w:rsidRPr="00ED0894" w:rsidRDefault="007E1B61" w:rsidP="00671FBB">
      <w:pPr>
        <w:spacing w:after="0" w:line="240" w:lineRule="auto"/>
        <w:jc w:val="right"/>
        <w:rPr>
          <w:rFonts w:ascii="Arial" w:eastAsia="Calibri" w:hAnsi="Arial" w:cs="Arial"/>
          <w:color w:val="000000"/>
          <w:szCs w:val="24"/>
          <w:lang w:val="es-ES_tradnl" w:eastAsia="es-ES_tradnl"/>
        </w:rPr>
      </w:pPr>
    </w:p>
    <w:p w14:paraId="520C03F2" w14:textId="5FC6D4F0" w:rsidR="006A1A44" w:rsidRPr="006A1A44" w:rsidRDefault="00744EA7" w:rsidP="006A1A44">
      <w:pPr>
        <w:spacing w:line="240" w:lineRule="auto"/>
        <w:jc w:val="both"/>
        <w:rPr>
          <w:rFonts w:ascii="Arial" w:hAnsi="Arial" w:cs="Arial"/>
          <w:bCs/>
          <w:sz w:val="21"/>
          <w:szCs w:val="21"/>
          <w:lang w:val="es-MX"/>
        </w:rPr>
      </w:pPr>
      <w:r>
        <w:rPr>
          <w:rFonts w:ascii="Arial" w:hAnsi="Arial" w:cs="Arial"/>
        </w:rPr>
        <w:lastRenderedPageBreak/>
        <w:t xml:space="preserve"> </w:t>
      </w:r>
      <w:r w:rsidR="006A1A44">
        <w:rPr>
          <w:rFonts w:ascii="Arial" w:hAnsi="Arial" w:cs="Arial"/>
          <w:lang w:val="es-ES"/>
        </w:rPr>
        <w:t>[…] l</w:t>
      </w:r>
      <w:r>
        <w:rPr>
          <w:rFonts w:ascii="Arial" w:hAnsi="Arial" w:cs="Arial"/>
          <w:lang w:val="es-ES"/>
        </w:rPr>
        <w:t>a causal de rechazo del literal Z del numeral 1.15 del pliego aplica por «</w:t>
      </w:r>
      <w:r w:rsidRPr="00AE5513">
        <w:rPr>
          <w:rFonts w:ascii="Arial" w:hAnsi="Arial" w:cs="Arial"/>
          <w:lang w:val="es-MX"/>
        </w:rPr>
        <w:t xml:space="preserve">No informar todos </w:t>
      </w:r>
      <w:r w:rsidRPr="006A1A44">
        <w:rPr>
          <w:rFonts w:ascii="Arial" w:hAnsi="Arial" w:cs="Arial"/>
          <w:sz w:val="21"/>
          <w:szCs w:val="21"/>
          <w:lang w:val="es-MX"/>
        </w:rPr>
        <w:t xml:space="preserve">los contratos que el Proponente tenga en ejecución antes del cierre, necesarios para acreditar su capacidad residual conforme a la sección 3.10». Para estos efectos, conforme a las definiciones previstas en </w:t>
      </w:r>
      <w:r w:rsidRPr="006A1A44">
        <w:rPr>
          <w:rFonts w:ascii="Arial" w:hAnsi="Arial" w:cs="Arial"/>
          <w:bCs/>
          <w:sz w:val="21"/>
          <w:szCs w:val="21"/>
          <w:lang w:val="es-ES"/>
        </w:rPr>
        <w:t>la Guía para Determinar y Verificar la Capacidad Residual del Proponente en los Procesos de Contratación de Obra Pública, el numeral II del literal E del numeral 3.10.2 del documento base dispone que «</w:t>
      </w:r>
      <w:r w:rsidRPr="006A1A44">
        <w:rPr>
          <w:rFonts w:ascii="Arial" w:hAnsi="Arial" w:cs="Arial"/>
          <w:bCs/>
          <w:sz w:val="21"/>
          <w:szCs w:val="21"/>
          <w:lang w:val="es-MX"/>
        </w:rPr>
        <w:t>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p>
    <w:p w14:paraId="55DDC3FE" w14:textId="563889D1" w:rsidR="00744EA7" w:rsidRPr="006A1A44" w:rsidRDefault="00744EA7" w:rsidP="006A1A44">
      <w:pPr>
        <w:spacing w:line="240" w:lineRule="auto"/>
        <w:jc w:val="both"/>
        <w:rPr>
          <w:rFonts w:ascii="Arial" w:hAnsi="Arial" w:cs="Arial"/>
          <w:bCs/>
          <w:sz w:val="21"/>
          <w:szCs w:val="21"/>
          <w:lang w:val="es-MX"/>
        </w:rPr>
      </w:pPr>
      <w:r w:rsidRPr="006A1A44">
        <w:rPr>
          <w:rFonts w:ascii="Arial" w:hAnsi="Arial" w:cs="Arial"/>
          <w:bCs/>
          <w:sz w:val="21"/>
          <w:szCs w:val="21"/>
          <w:lang w:val="es-MX"/>
        </w:rPr>
        <w:t xml:space="preserve">Como se observa, la definición solo aplica a los </w:t>
      </w:r>
      <w:r w:rsidRPr="006A1A44">
        <w:rPr>
          <w:rFonts w:ascii="Arial" w:hAnsi="Arial" w:cs="Arial"/>
          <w:bCs/>
          <w:i/>
          <w:iCs/>
          <w:sz w:val="21"/>
          <w:szCs w:val="21"/>
          <w:lang w:val="es-MX"/>
        </w:rPr>
        <w:t>contratos perfeccionados</w:t>
      </w:r>
      <w:r w:rsidRPr="006A1A44">
        <w:rPr>
          <w:rFonts w:ascii="Arial" w:hAnsi="Arial" w:cs="Arial"/>
          <w:bCs/>
          <w:sz w:val="21"/>
          <w:szCs w:val="21"/>
          <w:lang w:val="es-MX"/>
        </w:rPr>
        <w:t xml:space="preserve">, aunque estos estén suspendidos o no tengan acta de inicio. Por tanto, están fuera de esta los </w:t>
      </w:r>
      <w:r w:rsidRPr="006A1A44">
        <w:rPr>
          <w:rFonts w:ascii="Arial" w:hAnsi="Arial" w:cs="Arial"/>
          <w:bCs/>
          <w:i/>
          <w:iCs/>
          <w:sz w:val="21"/>
          <w:szCs w:val="21"/>
          <w:lang w:val="es-MX"/>
        </w:rPr>
        <w:t>contratos adjudicados</w:t>
      </w:r>
      <w:r w:rsidRPr="006A1A44">
        <w:rPr>
          <w:rFonts w:ascii="Arial" w:hAnsi="Arial" w:cs="Arial"/>
          <w:bCs/>
          <w:sz w:val="21"/>
          <w:szCs w:val="21"/>
          <w:lang w:val="es-MX"/>
        </w:rPr>
        <w:t xml:space="preserve">, pues –en los términos del artículo 41 de la Ley 80 de 1993– los contratos estatales de las entidades sometidas al Estatuto General de Contratación de la Administración Pública </w:t>
      </w:r>
      <w:r w:rsidRPr="006A1A44">
        <w:rPr>
          <w:rFonts w:ascii="Arial" w:hAnsi="Arial" w:cs="Arial"/>
          <w:bCs/>
          <w:sz w:val="21"/>
          <w:szCs w:val="21"/>
        </w:rPr>
        <w:t xml:space="preserve">se perfeccionan cuando se logre acuerdo sobre el objeto y la contraprestación y éste se eleve a escrito. </w:t>
      </w:r>
      <w:r w:rsidRPr="006A1A44">
        <w:rPr>
          <w:rFonts w:ascii="Arial" w:hAnsi="Arial" w:cs="Arial"/>
          <w:sz w:val="21"/>
          <w:szCs w:val="21"/>
        </w:rPr>
        <w:t xml:space="preserve">Lo expuesto es congruente con </w:t>
      </w:r>
      <w:r w:rsidRPr="006A1A44">
        <w:rPr>
          <w:rFonts w:ascii="Arial" w:eastAsia="Calibri" w:hAnsi="Arial" w:cs="Arial"/>
          <w:color w:val="000000" w:themeColor="text1"/>
          <w:sz w:val="21"/>
          <w:szCs w:val="21"/>
          <w:lang w:val="es-MX"/>
        </w:rPr>
        <w:t xml:space="preserve">el artículo 2.2.1.1.1.6.4 del Decreto 1082 de 2015, en virtud del cual, para efectos de </w:t>
      </w:r>
      <w:r w:rsidRPr="006A1A44">
        <w:rPr>
          <w:rFonts w:ascii="Arial" w:hAnsi="Arial" w:cs="Arial"/>
          <w:sz w:val="21"/>
          <w:szCs w:val="21"/>
          <w:lang w:val="es-MX"/>
        </w:rPr>
        <w:t>acreditar la capacidad residual del proponente, se requiere el listado de contratos de obra civiles en ejecución suscritos con entidades estatales y con entidades privadas.</w:t>
      </w:r>
    </w:p>
    <w:p w14:paraId="1BC3EB0A" w14:textId="2CECF2CD" w:rsidR="007E1B61" w:rsidRDefault="007E1B61" w:rsidP="007A61E4">
      <w:pPr>
        <w:spacing w:after="0" w:line="240" w:lineRule="auto"/>
        <w:jc w:val="both"/>
        <w:rPr>
          <w:rFonts w:ascii="Arial" w:eastAsia="Calibri" w:hAnsi="Arial" w:cs="Arial"/>
          <w:color w:val="000000"/>
          <w:szCs w:val="24"/>
          <w:lang w:val="es-ES_tradnl" w:eastAsia="es-ES_tradnl"/>
        </w:rPr>
      </w:pPr>
    </w:p>
    <w:p w14:paraId="192B7772" w14:textId="33920324" w:rsidR="006C62E8" w:rsidRDefault="006C62E8" w:rsidP="007A61E4">
      <w:pPr>
        <w:spacing w:after="0" w:line="240" w:lineRule="auto"/>
        <w:jc w:val="both"/>
        <w:rPr>
          <w:rFonts w:ascii="Arial" w:eastAsia="Calibri" w:hAnsi="Arial" w:cs="Arial"/>
          <w:color w:val="000000"/>
          <w:szCs w:val="24"/>
          <w:lang w:val="es-ES_tradnl" w:eastAsia="es-ES_tradnl"/>
        </w:rPr>
      </w:pPr>
    </w:p>
    <w:p w14:paraId="038F54CC" w14:textId="2CB4CBFC" w:rsidR="006C62E8" w:rsidRDefault="006C62E8" w:rsidP="007A61E4">
      <w:pPr>
        <w:spacing w:after="0" w:line="240" w:lineRule="auto"/>
        <w:jc w:val="both"/>
        <w:rPr>
          <w:rFonts w:ascii="Arial" w:eastAsia="Calibri" w:hAnsi="Arial" w:cs="Arial"/>
          <w:color w:val="000000"/>
          <w:szCs w:val="24"/>
          <w:lang w:val="es-ES_tradnl" w:eastAsia="es-ES_tradnl"/>
        </w:rPr>
      </w:pPr>
    </w:p>
    <w:p w14:paraId="2F024D07" w14:textId="0651CE27" w:rsidR="006C62E8" w:rsidRDefault="006C62E8" w:rsidP="007A61E4">
      <w:pPr>
        <w:spacing w:after="0" w:line="240" w:lineRule="auto"/>
        <w:jc w:val="both"/>
        <w:rPr>
          <w:rFonts w:ascii="Arial" w:eastAsia="Calibri" w:hAnsi="Arial" w:cs="Arial"/>
          <w:color w:val="000000"/>
          <w:szCs w:val="24"/>
          <w:lang w:val="es-ES_tradnl" w:eastAsia="es-ES_tradnl"/>
        </w:rPr>
      </w:pPr>
    </w:p>
    <w:p w14:paraId="0B5E6206" w14:textId="3EE327F8" w:rsidR="006C62E8" w:rsidRDefault="006C62E8" w:rsidP="007A61E4">
      <w:pPr>
        <w:spacing w:after="0" w:line="240" w:lineRule="auto"/>
        <w:jc w:val="both"/>
        <w:rPr>
          <w:rFonts w:ascii="Arial" w:eastAsia="Calibri" w:hAnsi="Arial" w:cs="Arial"/>
          <w:color w:val="000000"/>
          <w:szCs w:val="24"/>
          <w:lang w:val="es-ES_tradnl" w:eastAsia="es-ES_tradnl"/>
        </w:rPr>
      </w:pPr>
    </w:p>
    <w:p w14:paraId="2B8119E1" w14:textId="12CA9CD7" w:rsidR="006C62E8" w:rsidRDefault="006C62E8" w:rsidP="007A61E4">
      <w:pPr>
        <w:spacing w:after="0" w:line="240" w:lineRule="auto"/>
        <w:jc w:val="both"/>
        <w:rPr>
          <w:rFonts w:ascii="Arial" w:eastAsia="Calibri" w:hAnsi="Arial" w:cs="Arial"/>
          <w:color w:val="000000"/>
          <w:szCs w:val="24"/>
          <w:lang w:val="es-ES_tradnl" w:eastAsia="es-ES_tradnl"/>
        </w:rPr>
      </w:pPr>
    </w:p>
    <w:p w14:paraId="01EF9E41" w14:textId="6096D54A" w:rsidR="006C62E8" w:rsidRDefault="006C62E8" w:rsidP="007A61E4">
      <w:pPr>
        <w:spacing w:after="0" w:line="240" w:lineRule="auto"/>
        <w:jc w:val="both"/>
        <w:rPr>
          <w:rFonts w:ascii="Arial" w:eastAsia="Calibri" w:hAnsi="Arial" w:cs="Arial"/>
          <w:color w:val="000000"/>
          <w:szCs w:val="24"/>
          <w:lang w:val="es-ES_tradnl" w:eastAsia="es-ES_tradnl"/>
        </w:rPr>
      </w:pPr>
    </w:p>
    <w:p w14:paraId="15816223" w14:textId="1F9E9290" w:rsidR="006C62E8" w:rsidRDefault="006C62E8" w:rsidP="007A61E4">
      <w:pPr>
        <w:spacing w:after="0" w:line="240" w:lineRule="auto"/>
        <w:jc w:val="both"/>
        <w:rPr>
          <w:rFonts w:ascii="Arial" w:eastAsia="Calibri" w:hAnsi="Arial" w:cs="Arial"/>
          <w:color w:val="000000"/>
          <w:szCs w:val="24"/>
          <w:lang w:val="es-ES_tradnl" w:eastAsia="es-ES_tradnl"/>
        </w:rPr>
      </w:pPr>
    </w:p>
    <w:p w14:paraId="21695A7B" w14:textId="61C0F50D" w:rsidR="006C62E8" w:rsidRDefault="006C62E8" w:rsidP="007A61E4">
      <w:pPr>
        <w:spacing w:after="0" w:line="240" w:lineRule="auto"/>
        <w:jc w:val="both"/>
        <w:rPr>
          <w:rFonts w:ascii="Arial" w:eastAsia="Calibri" w:hAnsi="Arial" w:cs="Arial"/>
          <w:color w:val="000000"/>
          <w:szCs w:val="24"/>
          <w:lang w:val="es-ES_tradnl" w:eastAsia="es-ES_tradnl"/>
        </w:rPr>
      </w:pPr>
    </w:p>
    <w:p w14:paraId="4285E1CB" w14:textId="2533FC11" w:rsidR="006C62E8" w:rsidRDefault="006C62E8" w:rsidP="007A61E4">
      <w:pPr>
        <w:spacing w:after="0" w:line="240" w:lineRule="auto"/>
        <w:jc w:val="both"/>
        <w:rPr>
          <w:rFonts w:ascii="Arial" w:eastAsia="Calibri" w:hAnsi="Arial" w:cs="Arial"/>
          <w:color w:val="000000"/>
          <w:szCs w:val="24"/>
          <w:lang w:val="es-ES_tradnl" w:eastAsia="es-ES_tradnl"/>
        </w:rPr>
      </w:pPr>
    </w:p>
    <w:p w14:paraId="5659F16A" w14:textId="538F5629" w:rsidR="006C62E8" w:rsidRDefault="006C62E8" w:rsidP="007A61E4">
      <w:pPr>
        <w:spacing w:after="0" w:line="240" w:lineRule="auto"/>
        <w:jc w:val="both"/>
        <w:rPr>
          <w:rFonts w:ascii="Arial" w:eastAsia="Calibri" w:hAnsi="Arial" w:cs="Arial"/>
          <w:color w:val="000000"/>
          <w:szCs w:val="24"/>
          <w:lang w:val="es-ES_tradnl" w:eastAsia="es-ES_tradnl"/>
        </w:rPr>
      </w:pPr>
    </w:p>
    <w:p w14:paraId="3CE936E4" w14:textId="59EB940E" w:rsidR="006C62E8" w:rsidRDefault="006C62E8" w:rsidP="007A61E4">
      <w:pPr>
        <w:spacing w:after="0" w:line="240" w:lineRule="auto"/>
        <w:jc w:val="both"/>
        <w:rPr>
          <w:rFonts w:ascii="Arial" w:eastAsia="Calibri" w:hAnsi="Arial" w:cs="Arial"/>
          <w:color w:val="000000"/>
          <w:szCs w:val="24"/>
          <w:lang w:val="es-ES_tradnl" w:eastAsia="es-ES_tradnl"/>
        </w:rPr>
      </w:pPr>
    </w:p>
    <w:p w14:paraId="3D9BC503" w14:textId="1BE1DB75" w:rsidR="006C62E8" w:rsidRDefault="006C62E8" w:rsidP="007A61E4">
      <w:pPr>
        <w:spacing w:after="0" w:line="240" w:lineRule="auto"/>
        <w:jc w:val="both"/>
        <w:rPr>
          <w:rFonts w:ascii="Arial" w:eastAsia="Calibri" w:hAnsi="Arial" w:cs="Arial"/>
          <w:color w:val="000000"/>
          <w:szCs w:val="24"/>
          <w:lang w:val="es-ES_tradnl" w:eastAsia="es-ES_tradnl"/>
        </w:rPr>
      </w:pPr>
    </w:p>
    <w:p w14:paraId="42ACE967" w14:textId="7E82DC58" w:rsidR="006C62E8" w:rsidRDefault="006C62E8" w:rsidP="007A61E4">
      <w:pPr>
        <w:spacing w:after="0" w:line="240" w:lineRule="auto"/>
        <w:jc w:val="both"/>
        <w:rPr>
          <w:rFonts w:ascii="Arial" w:eastAsia="Calibri" w:hAnsi="Arial" w:cs="Arial"/>
          <w:color w:val="000000"/>
          <w:szCs w:val="24"/>
          <w:lang w:val="es-ES_tradnl" w:eastAsia="es-ES_tradnl"/>
        </w:rPr>
      </w:pPr>
    </w:p>
    <w:p w14:paraId="7D4C2A8E" w14:textId="0F164BB9" w:rsidR="006C62E8" w:rsidRDefault="006C62E8" w:rsidP="007A61E4">
      <w:pPr>
        <w:spacing w:after="0" w:line="240" w:lineRule="auto"/>
        <w:jc w:val="both"/>
        <w:rPr>
          <w:rFonts w:ascii="Arial" w:eastAsia="Calibri" w:hAnsi="Arial" w:cs="Arial"/>
          <w:color w:val="000000"/>
          <w:szCs w:val="24"/>
          <w:lang w:val="es-ES_tradnl" w:eastAsia="es-ES_tradnl"/>
        </w:rPr>
      </w:pPr>
    </w:p>
    <w:p w14:paraId="6563B4BF" w14:textId="3D19FA99" w:rsidR="008A1647" w:rsidRDefault="008A1647" w:rsidP="007A61E4">
      <w:pPr>
        <w:spacing w:after="0" w:line="240" w:lineRule="auto"/>
        <w:jc w:val="both"/>
        <w:rPr>
          <w:rFonts w:ascii="Arial" w:eastAsia="Calibri" w:hAnsi="Arial" w:cs="Arial"/>
          <w:color w:val="000000"/>
          <w:szCs w:val="24"/>
          <w:lang w:val="es-ES_tradnl" w:eastAsia="es-ES_tradnl"/>
        </w:rPr>
      </w:pPr>
    </w:p>
    <w:p w14:paraId="28AF990C" w14:textId="738F368D" w:rsidR="008A1647" w:rsidRDefault="008A1647" w:rsidP="007A61E4">
      <w:pPr>
        <w:spacing w:after="0" w:line="240" w:lineRule="auto"/>
        <w:jc w:val="both"/>
        <w:rPr>
          <w:rFonts w:ascii="Arial" w:eastAsia="Calibri" w:hAnsi="Arial" w:cs="Arial"/>
          <w:color w:val="000000"/>
          <w:szCs w:val="24"/>
          <w:lang w:val="es-ES_tradnl" w:eastAsia="es-ES_tradnl"/>
        </w:rPr>
      </w:pPr>
    </w:p>
    <w:p w14:paraId="582CAD37" w14:textId="44FE09B2" w:rsidR="008A1647" w:rsidRDefault="008A1647" w:rsidP="007A61E4">
      <w:pPr>
        <w:spacing w:after="0" w:line="240" w:lineRule="auto"/>
        <w:jc w:val="both"/>
        <w:rPr>
          <w:rFonts w:ascii="Arial" w:eastAsia="Calibri" w:hAnsi="Arial" w:cs="Arial"/>
          <w:color w:val="000000"/>
          <w:szCs w:val="24"/>
          <w:lang w:val="es-ES_tradnl" w:eastAsia="es-ES_tradnl"/>
        </w:rPr>
      </w:pPr>
    </w:p>
    <w:p w14:paraId="60C6CF06" w14:textId="4600FF75" w:rsidR="008A1647" w:rsidRDefault="008A1647" w:rsidP="007A61E4">
      <w:pPr>
        <w:spacing w:after="0" w:line="240" w:lineRule="auto"/>
        <w:jc w:val="both"/>
        <w:rPr>
          <w:rFonts w:ascii="Arial" w:eastAsia="Calibri" w:hAnsi="Arial" w:cs="Arial"/>
          <w:color w:val="000000"/>
          <w:szCs w:val="24"/>
          <w:lang w:val="es-ES_tradnl" w:eastAsia="es-ES_tradnl"/>
        </w:rPr>
      </w:pPr>
    </w:p>
    <w:p w14:paraId="2F550306" w14:textId="6B61B6A6" w:rsidR="008A1647" w:rsidRDefault="008A1647" w:rsidP="007A61E4">
      <w:pPr>
        <w:spacing w:after="0" w:line="240" w:lineRule="auto"/>
        <w:jc w:val="both"/>
        <w:rPr>
          <w:rFonts w:ascii="Arial" w:eastAsia="Calibri" w:hAnsi="Arial" w:cs="Arial"/>
          <w:color w:val="000000"/>
          <w:szCs w:val="24"/>
          <w:lang w:val="es-ES_tradnl" w:eastAsia="es-ES_tradnl"/>
        </w:rPr>
      </w:pPr>
    </w:p>
    <w:p w14:paraId="1EA8E45C" w14:textId="504D602F" w:rsidR="008A1647" w:rsidRDefault="008A1647" w:rsidP="007A61E4">
      <w:pPr>
        <w:spacing w:after="0" w:line="240" w:lineRule="auto"/>
        <w:jc w:val="both"/>
        <w:rPr>
          <w:rFonts w:ascii="Arial" w:eastAsia="Calibri" w:hAnsi="Arial" w:cs="Arial"/>
          <w:color w:val="000000"/>
          <w:szCs w:val="24"/>
          <w:lang w:val="es-ES_tradnl" w:eastAsia="es-ES_tradnl"/>
        </w:rPr>
      </w:pPr>
    </w:p>
    <w:p w14:paraId="436FBED8" w14:textId="30F94128" w:rsidR="008A1647" w:rsidRDefault="008A1647" w:rsidP="007A61E4">
      <w:pPr>
        <w:spacing w:after="0" w:line="240" w:lineRule="auto"/>
        <w:jc w:val="both"/>
        <w:rPr>
          <w:rFonts w:ascii="Arial" w:eastAsia="Calibri" w:hAnsi="Arial" w:cs="Arial"/>
          <w:color w:val="000000"/>
          <w:szCs w:val="24"/>
          <w:lang w:val="es-ES_tradnl" w:eastAsia="es-ES_tradnl"/>
        </w:rPr>
      </w:pPr>
    </w:p>
    <w:p w14:paraId="65456974" w14:textId="32EB83BF" w:rsidR="008A1647" w:rsidRDefault="008A1647" w:rsidP="007A61E4">
      <w:pPr>
        <w:spacing w:after="0" w:line="240" w:lineRule="auto"/>
        <w:jc w:val="both"/>
        <w:rPr>
          <w:rFonts w:ascii="Arial" w:eastAsia="Calibri" w:hAnsi="Arial" w:cs="Arial"/>
          <w:color w:val="000000"/>
          <w:szCs w:val="24"/>
          <w:lang w:val="es-ES_tradnl" w:eastAsia="es-ES_tradnl"/>
        </w:rPr>
      </w:pPr>
    </w:p>
    <w:p w14:paraId="102A12DA" w14:textId="3921EE37" w:rsidR="008A1647" w:rsidRDefault="008A1647" w:rsidP="007A61E4">
      <w:pPr>
        <w:spacing w:after="0" w:line="240" w:lineRule="auto"/>
        <w:jc w:val="both"/>
        <w:rPr>
          <w:rFonts w:ascii="Arial" w:eastAsia="Calibri" w:hAnsi="Arial" w:cs="Arial"/>
          <w:color w:val="000000"/>
          <w:szCs w:val="24"/>
          <w:lang w:val="es-ES_tradnl" w:eastAsia="es-ES_tradnl"/>
        </w:rPr>
      </w:pPr>
    </w:p>
    <w:p w14:paraId="65BC9696" w14:textId="0EE9D3D5" w:rsidR="008A1647" w:rsidRDefault="008A1647" w:rsidP="007A61E4">
      <w:pPr>
        <w:spacing w:after="0" w:line="240" w:lineRule="auto"/>
        <w:jc w:val="both"/>
        <w:rPr>
          <w:rFonts w:ascii="Arial" w:eastAsia="Calibri" w:hAnsi="Arial" w:cs="Arial"/>
          <w:color w:val="000000"/>
          <w:szCs w:val="24"/>
          <w:lang w:val="es-ES_tradnl" w:eastAsia="es-ES_tradnl"/>
        </w:rPr>
      </w:pPr>
    </w:p>
    <w:p w14:paraId="3B7055F7" w14:textId="77777777" w:rsidR="008A1647" w:rsidRDefault="008A1647" w:rsidP="007A61E4">
      <w:pPr>
        <w:spacing w:after="0" w:line="240" w:lineRule="auto"/>
        <w:jc w:val="both"/>
        <w:rPr>
          <w:rFonts w:ascii="Arial" w:eastAsia="Calibri" w:hAnsi="Arial" w:cs="Arial"/>
          <w:color w:val="000000"/>
          <w:szCs w:val="24"/>
          <w:lang w:val="es-ES_tradnl" w:eastAsia="es-ES_tradnl"/>
        </w:rPr>
      </w:pPr>
    </w:p>
    <w:p w14:paraId="7D09725F" w14:textId="6E759939" w:rsidR="006C62E8" w:rsidRDefault="006C62E8" w:rsidP="007A61E4">
      <w:pPr>
        <w:spacing w:after="0" w:line="240" w:lineRule="auto"/>
        <w:jc w:val="both"/>
        <w:rPr>
          <w:rFonts w:ascii="Arial" w:eastAsia="Calibri" w:hAnsi="Arial" w:cs="Arial"/>
          <w:color w:val="000000"/>
          <w:szCs w:val="24"/>
          <w:lang w:val="es-ES_tradnl" w:eastAsia="es-ES_tradnl"/>
        </w:rPr>
      </w:pPr>
    </w:p>
    <w:p w14:paraId="30842382" w14:textId="5C45F1B6" w:rsidR="006C62E8" w:rsidRDefault="00921159" w:rsidP="00921159">
      <w:pPr>
        <w:spacing w:after="0" w:line="240" w:lineRule="auto"/>
        <w:jc w:val="right"/>
        <w:rPr>
          <w:rFonts w:ascii="Arial" w:eastAsia="Calibri" w:hAnsi="Arial" w:cs="Arial"/>
          <w:color w:val="000000"/>
          <w:szCs w:val="24"/>
          <w:lang w:val="es-ES_tradnl" w:eastAsia="es-ES_tradnl"/>
        </w:rPr>
      </w:pPr>
      <w:r>
        <w:rPr>
          <w:noProof/>
        </w:rPr>
        <w:lastRenderedPageBreak/>
        <w:drawing>
          <wp:inline distT="0" distB="0" distL="0" distR="0" wp14:anchorId="0256C6A9" wp14:editId="14FE28AA">
            <wp:extent cx="2471073" cy="695739"/>
            <wp:effectExtent l="0" t="0" r="5715"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stretch>
                      <a:fillRect/>
                    </a:stretch>
                  </pic:blipFill>
                  <pic:spPr>
                    <a:xfrm>
                      <a:off x="0" y="0"/>
                      <a:ext cx="2478198" cy="697745"/>
                    </a:xfrm>
                    <a:prstGeom prst="rect">
                      <a:avLst/>
                    </a:prstGeom>
                  </pic:spPr>
                </pic:pic>
              </a:graphicData>
            </a:graphic>
          </wp:inline>
        </w:drawing>
      </w:r>
    </w:p>
    <w:p w14:paraId="022E5A71" w14:textId="475056C6" w:rsidR="006C62E8" w:rsidRDefault="006C62E8" w:rsidP="007A61E4">
      <w:pPr>
        <w:spacing w:after="0" w:line="240" w:lineRule="auto"/>
        <w:jc w:val="both"/>
        <w:rPr>
          <w:rFonts w:ascii="Arial" w:eastAsia="Calibri" w:hAnsi="Arial" w:cs="Arial"/>
          <w:color w:val="000000"/>
          <w:szCs w:val="24"/>
          <w:lang w:val="es-ES_tradnl" w:eastAsia="es-ES_tradnl"/>
        </w:rPr>
      </w:pPr>
    </w:p>
    <w:p w14:paraId="701DCCD6" w14:textId="77777777" w:rsidR="006C62E8" w:rsidRPr="00ED0894" w:rsidRDefault="006C62E8" w:rsidP="007A61E4">
      <w:pPr>
        <w:spacing w:after="0" w:line="240" w:lineRule="auto"/>
        <w:jc w:val="both"/>
        <w:rPr>
          <w:rFonts w:ascii="Arial" w:eastAsia="Calibri" w:hAnsi="Arial" w:cs="Arial"/>
          <w:color w:val="000000"/>
          <w:szCs w:val="24"/>
          <w:lang w:val="es-ES_tradnl" w:eastAsia="es-ES_tradnl"/>
        </w:rPr>
      </w:pPr>
    </w:p>
    <w:p w14:paraId="55B2D914" w14:textId="14E90022" w:rsidR="007E1B61" w:rsidRPr="00ED0894" w:rsidRDefault="007E1B61" w:rsidP="007A61E4">
      <w:pPr>
        <w:spacing w:after="0" w:line="240" w:lineRule="auto"/>
        <w:jc w:val="both"/>
        <w:rPr>
          <w:rFonts w:ascii="Arial" w:eastAsia="Calibri" w:hAnsi="Arial" w:cs="Arial"/>
          <w:color w:val="000000"/>
          <w:szCs w:val="24"/>
          <w:lang w:val="es-ES_tradnl" w:eastAsia="es-ES_tradnl"/>
        </w:rPr>
      </w:pPr>
      <w:bookmarkStart w:id="6" w:name="_Hlk103609845"/>
      <w:r w:rsidRPr="00ED0894">
        <w:rPr>
          <w:rFonts w:ascii="Arial" w:eastAsia="Calibri" w:hAnsi="Arial" w:cs="Arial"/>
          <w:color w:val="000000"/>
          <w:szCs w:val="24"/>
          <w:lang w:val="es-ES_tradnl" w:eastAsia="es-ES_tradnl"/>
        </w:rPr>
        <w:t xml:space="preserve">Bogotá, </w:t>
      </w:r>
      <w:r w:rsidR="00462510">
        <w:rPr>
          <w:rFonts w:ascii="Arial" w:eastAsia="Calibri" w:hAnsi="Arial" w:cs="Arial"/>
          <w:color w:val="000000"/>
          <w:szCs w:val="24"/>
          <w:lang w:val="es-ES_tradnl" w:eastAsia="es-ES_tradnl"/>
        </w:rPr>
        <w:t xml:space="preserve">16 </w:t>
      </w:r>
      <w:proofErr w:type="gramStart"/>
      <w:r w:rsidR="00462510">
        <w:rPr>
          <w:rFonts w:ascii="Arial" w:eastAsia="Calibri" w:hAnsi="Arial" w:cs="Arial"/>
          <w:color w:val="000000"/>
          <w:szCs w:val="24"/>
          <w:lang w:val="es-ES_tradnl" w:eastAsia="es-ES_tradnl"/>
        </w:rPr>
        <w:t>Mayo</w:t>
      </w:r>
      <w:proofErr w:type="gramEnd"/>
      <w:r w:rsidR="00462510">
        <w:rPr>
          <w:rFonts w:ascii="Arial" w:eastAsia="Calibri" w:hAnsi="Arial" w:cs="Arial"/>
          <w:color w:val="000000"/>
          <w:szCs w:val="24"/>
          <w:lang w:val="es-ES_tradnl" w:eastAsia="es-ES_tradnl"/>
        </w:rPr>
        <w:t xml:space="preserve"> 2022</w:t>
      </w:r>
    </w:p>
    <w:p w14:paraId="0595C8E1" w14:textId="77777777" w:rsidR="007E1B61" w:rsidRPr="00ED0894" w:rsidRDefault="007E1B61" w:rsidP="007A61E4">
      <w:pPr>
        <w:spacing w:after="0" w:line="240" w:lineRule="auto"/>
        <w:jc w:val="both"/>
        <w:rPr>
          <w:rFonts w:ascii="Arial" w:eastAsia="Calibri" w:hAnsi="Arial" w:cs="Arial"/>
          <w:color w:val="000000"/>
          <w:szCs w:val="24"/>
          <w:lang w:val="es-ES_tradnl" w:eastAsia="es-ES_tradnl"/>
        </w:rPr>
      </w:pPr>
    </w:p>
    <w:p w14:paraId="0F1E6AC2" w14:textId="77777777" w:rsidR="007E1B61" w:rsidRPr="00ED0894" w:rsidRDefault="007E1B61" w:rsidP="007A61E4">
      <w:pPr>
        <w:spacing w:after="0" w:line="240" w:lineRule="auto"/>
        <w:jc w:val="both"/>
        <w:rPr>
          <w:rFonts w:ascii="Arial" w:eastAsia="Calibri" w:hAnsi="Arial" w:cs="Arial"/>
          <w:color w:val="000000"/>
          <w:szCs w:val="24"/>
          <w:lang w:val="es-ES_tradnl" w:eastAsia="es-ES_tradnl"/>
        </w:rPr>
      </w:pPr>
    </w:p>
    <w:p w14:paraId="2D229988" w14:textId="39D5F043" w:rsidR="000A7622" w:rsidRPr="00ED0894" w:rsidRDefault="000A7622" w:rsidP="007A61E4">
      <w:pPr>
        <w:spacing w:after="0" w:line="240" w:lineRule="auto"/>
        <w:jc w:val="both"/>
        <w:rPr>
          <w:rFonts w:ascii="Arial" w:eastAsia="Calibri" w:hAnsi="Arial" w:cs="Arial"/>
          <w:color w:val="000000"/>
          <w:szCs w:val="24"/>
          <w:lang w:val="es-ES_tradnl" w:eastAsia="es-ES_tradnl"/>
        </w:rPr>
      </w:pPr>
      <w:r w:rsidRPr="00ED0894">
        <w:rPr>
          <w:rFonts w:ascii="Arial" w:eastAsia="Calibri" w:hAnsi="Arial" w:cs="Arial"/>
          <w:color w:val="000000"/>
          <w:szCs w:val="24"/>
          <w:lang w:val="es-ES_tradnl" w:eastAsia="es-ES_tradnl"/>
        </w:rPr>
        <w:t>Señor</w:t>
      </w:r>
    </w:p>
    <w:p w14:paraId="09576357" w14:textId="7F8D7076" w:rsidR="00D525E3" w:rsidRPr="00ED0894" w:rsidRDefault="001368FF" w:rsidP="007A61E4">
      <w:pPr>
        <w:spacing w:after="0" w:line="240" w:lineRule="auto"/>
        <w:jc w:val="both"/>
        <w:rPr>
          <w:rFonts w:ascii="Arial" w:eastAsia="Times New Roman" w:hAnsi="Arial" w:cs="Arial"/>
          <w:b/>
          <w:bCs/>
          <w:color w:val="000000"/>
        </w:rPr>
      </w:pPr>
      <w:r>
        <w:rPr>
          <w:rFonts w:ascii="Arial" w:eastAsia="Times New Roman" w:hAnsi="Arial" w:cs="Arial"/>
          <w:b/>
          <w:bCs/>
          <w:color w:val="000000"/>
        </w:rPr>
        <w:t xml:space="preserve">Adolfo Rubio Rolón </w:t>
      </w:r>
    </w:p>
    <w:p w14:paraId="03F635FF" w14:textId="6DF22E57" w:rsidR="000A7622" w:rsidRPr="00ED0894" w:rsidRDefault="001368FF" w:rsidP="007A61E4">
      <w:pPr>
        <w:spacing w:after="0" w:line="240" w:lineRule="auto"/>
        <w:jc w:val="both"/>
        <w:rPr>
          <w:rFonts w:ascii="Arial" w:eastAsia="Times New Roman" w:hAnsi="Arial" w:cs="Arial"/>
          <w:color w:val="000000"/>
        </w:rPr>
      </w:pPr>
      <w:r>
        <w:rPr>
          <w:rFonts w:ascii="Arial" w:eastAsia="Times New Roman" w:hAnsi="Arial" w:cs="Arial"/>
          <w:color w:val="000000"/>
        </w:rPr>
        <w:t xml:space="preserve">Santa Marta, Magdalena </w:t>
      </w:r>
      <w:r w:rsidR="000A7622" w:rsidRPr="00ED0894">
        <w:rPr>
          <w:rFonts w:ascii="Arial" w:eastAsia="Times New Roman" w:hAnsi="Arial" w:cs="Arial"/>
          <w:color w:val="000000"/>
        </w:rPr>
        <w:t xml:space="preserve"> </w:t>
      </w:r>
    </w:p>
    <w:p w14:paraId="6C15BDB1" w14:textId="77777777" w:rsidR="00811AFA" w:rsidRPr="00ED0894" w:rsidRDefault="00811AFA" w:rsidP="007A61E4">
      <w:pPr>
        <w:spacing w:after="0" w:line="240" w:lineRule="auto"/>
        <w:jc w:val="both"/>
        <w:rPr>
          <w:rFonts w:ascii="Arial" w:eastAsia="Calibri" w:hAnsi="Arial" w:cs="Arial"/>
          <w:color w:val="000000"/>
          <w:szCs w:val="24"/>
          <w:lang w:eastAsia="es-ES_tradnl"/>
        </w:rPr>
      </w:pPr>
    </w:p>
    <w:p w14:paraId="17823B4D" w14:textId="77777777" w:rsidR="000A7622" w:rsidRPr="00ED0894" w:rsidRDefault="000A7622" w:rsidP="000A7622">
      <w:pPr>
        <w:spacing w:after="0" w:line="240" w:lineRule="auto"/>
        <w:jc w:val="both"/>
        <w:rPr>
          <w:rFonts w:ascii="Arial" w:eastAsia="Calibri" w:hAnsi="Arial" w:cs="Arial"/>
          <w:color w:val="000000"/>
          <w:szCs w:val="24"/>
          <w:lang w:eastAsia="es-ES_tradnl"/>
        </w:rPr>
      </w:pPr>
    </w:p>
    <w:p w14:paraId="7A29AD45" w14:textId="6DAA3D37" w:rsidR="000A7622" w:rsidRPr="00ED0894" w:rsidRDefault="000A7622" w:rsidP="000A7622">
      <w:pPr>
        <w:spacing w:after="0" w:line="240" w:lineRule="auto"/>
        <w:ind w:firstLine="2694"/>
        <w:rPr>
          <w:rFonts w:ascii="Arial" w:eastAsia="Calibri" w:hAnsi="Arial" w:cs="Arial"/>
          <w:b/>
          <w:bCs/>
          <w:color w:val="000000"/>
          <w:szCs w:val="24"/>
          <w:lang w:val="es-ES_tradnl" w:eastAsia="es-ES_tradnl"/>
        </w:rPr>
      </w:pPr>
      <w:r w:rsidRPr="00ED0894">
        <w:rPr>
          <w:rFonts w:ascii="Arial" w:eastAsia="Calibri" w:hAnsi="Arial" w:cs="Arial"/>
          <w:b/>
          <w:bCs/>
          <w:color w:val="000000"/>
          <w:szCs w:val="24"/>
          <w:lang w:val="es-ES_tradnl" w:eastAsia="es-ES_tradnl"/>
        </w:rPr>
        <w:t xml:space="preserve">Concepto C ‒ </w:t>
      </w:r>
      <w:r w:rsidR="001368FF">
        <w:rPr>
          <w:rFonts w:ascii="Arial" w:eastAsia="Calibri" w:hAnsi="Arial" w:cs="Arial"/>
          <w:b/>
          <w:bCs/>
          <w:color w:val="000000"/>
          <w:szCs w:val="24"/>
          <w:lang w:val="es-ES_tradnl" w:eastAsia="es-ES_tradnl"/>
        </w:rPr>
        <w:t>306</w:t>
      </w:r>
      <w:r w:rsidRPr="00ED0894">
        <w:rPr>
          <w:rFonts w:ascii="Arial" w:eastAsia="Calibri" w:hAnsi="Arial" w:cs="Arial"/>
          <w:b/>
          <w:bCs/>
          <w:color w:val="000000"/>
          <w:szCs w:val="24"/>
          <w:lang w:val="es-ES_tradnl" w:eastAsia="es-ES_tradnl"/>
        </w:rPr>
        <w:t xml:space="preserve"> de 202</w:t>
      </w:r>
      <w:r w:rsidR="00D525E3" w:rsidRPr="00ED0894">
        <w:rPr>
          <w:rFonts w:ascii="Arial" w:eastAsia="Calibri" w:hAnsi="Arial" w:cs="Arial"/>
          <w:b/>
          <w:bCs/>
          <w:color w:val="000000"/>
          <w:szCs w:val="24"/>
          <w:lang w:val="es-ES_tradnl" w:eastAsia="es-ES_tradnl"/>
        </w:rPr>
        <w:t>2</w:t>
      </w:r>
    </w:p>
    <w:p w14:paraId="78AF5627" w14:textId="0249486B" w:rsidR="000A7622" w:rsidRPr="00ED0894" w:rsidRDefault="000A7622" w:rsidP="000A7622">
      <w:pPr>
        <w:spacing w:after="0" w:line="240" w:lineRule="auto"/>
        <w:rPr>
          <w:rFonts w:ascii="Arial" w:eastAsia="Calibri" w:hAnsi="Arial" w:cs="Arial"/>
          <w:lang w:val="es-MX"/>
        </w:rPr>
      </w:pPr>
      <w:r w:rsidRPr="00ED0894">
        <w:rPr>
          <w:rFonts w:ascii="Arial" w:eastAsia="Calibri" w:hAnsi="Arial" w:cs="Arial"/>
          <w:lang w:val="es-MX"/>
        </w:rPr>
        <w:t xml:space="preserve">                                          </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42"/>
        <w:gridCol w:w="2547"/>
        <w:gridCol w:w="6237"/>
      </w:tblGrid>
      <w:tr w:rsidR="000A7622" w:rsidRPr="00ED0894" w14:paraId="3F5E649A" w14:textId="77777777" w:rsidTr="000A7622">
        <w:trPr>
          <w:gridBefore w:val="1"/>
          <w:wBefore w:w="142" w:type="dxa"/>
        </w:trPr>
        <w:tc>
          <w:tcPr>
            <w:tcW w:w="2547" w:type="dxa"/>
            <w:hideMark/>
          </w:tcPr>
          <w:p w14:paraId="79890EE0" w14:textId="77777777" w:rsidR="000A7622" w:rsidRPr="00ED0894" w:rsidRDefault="000A7622" w:rsidP="000A7622">
            <w:pPr>
              <w:rPr>
                <w:rFonts w:ascii="Arial" w:eastAsia="Calibri" w:hAnsi="Arial" w:cs="Arial"/>
                <w:lang w:val="es-MX"/>
              </w:rPr>
            </w:pPr>
            <w:r w:rsidRPr="00ED0894">
              <w:rPr>
                <w:rFonts w:ascii="Arial" w:eastAsia="Calibri" w:hAnsi="Arial" w:cs="Arial"/>
                <w:b/>
                <w:lang w:val="es-MX"/>
              </w:rPr>
              <w:t>Temas:</w:t>
            </w:r>
            <w:r w:rsidRPr="00ED0894">
              <w:rPr>
                <w:rFonts w:ascii="Arial" w:eastAsia="Calibri" w:hAnsi="Arial" w:cs="Arial"/>
                <w:lang w:val="es-MX"/>
              </w:rPr>
              <w:t xml:space="preserve">           </w:t>
            </w:r>
          </w:p>
          <w:p w14:paraId="1A0C9932" w14:textId="77777777" w:rsidR="000A7622" w:rsidRPr="00ED0894" w:rsidRDefault="000A7622" w:rsidP="000A7622">
            <w:pPr>
              <w:rPr>
                <w:rFonts w:ascii="Arial" w:eastAsia="Calibri" w:hAnsi="Arial" w:cs="Arial"/>
                <w:lang w:val="es-MX"/>
              </w:rPr>
            </w:pPr>
            <w:r w:rsidRPr="00ED0894">
              <w:rPr>
                <w:rFonts w:ascii="Arial" w:eastAsia="Calibri" w:hAnsi="Arial" w:cs="Arial"/>
                <w:lang w:val="es-MX"/>
              </w:rPr>
              <w:t xml:space="preserve">                           </w:t>
            </w:r>
          </w:p>
        </w:tc>
        <w:tc>
          <w:tcPr>
            <w:tcW w:w="6237" w:type="dxa"/>
            <w:hideMark/>
          </w:tcPr>
          <w:p w14:paraId="581BD8F0" w14:textId="2447C7BB" w:rsidR="000A7622" w:rsidRPr="006A1A44" w:rsidRDefault="00D525E3" w:rsidP="006A1A44">
            <w:pPr>
              <w:spacing w:after="120"/>
              <w:jc w:val="both"/>
              <w:rPr>
                <w:rFonts w:ascii="Arial" w:hAnsi="Arial" w:cs="Arial"/>
                <w:bCs/>
                <w:sz w:val="20"/>
                <w:szCs w:val="20"/>
              </w:rPr>
            </w:pPr>
            <w:r w:rsidRPr="006A1A44">
              <w:rPr>
                <w:rFonts w:ascii="Arial" w:hAnsi="Arial" w:cs="Arial"/>
                <w:bCs/>
              </w:rPr>
              <w:t>CAPACIDAD RESIDUAL – Cálculo – Factores / CAPACIDAD RESIDUAL – Saldos de Contratos en Ejecución «SCE» – Contratos de obra – Contratos suspendidos</w:t>
            </w:r>
            <w:r w:rsidR="00DB6D76" w:rsidRPr="006A1A44">
              <w:rPr>
                <w:rFonts w:ascii="Arial" w:hAnsi="Arial" w:cs="Arial"/>
                <w:bCs/>
              </w:rPr>
              <w:t xml:space="preserve"> – </w:t>
            </w:r>
            <w:r w:rsidR="00DB6D76" w:rsidRPr="006A1A44">
              <w:rPr>
                <w:rFonts w:ascii="Arial" w:eastAsia="Calibri" w:hAnsi="Arial" w:cs="Arial"/>
                <w:bCs/>
              </w:rPr>
              <w:t>Saldos pendientes por ejecutar</w:t>
            </w:r>
            <w:r w:rsidRPr="006A1A44">
              <w:rPr>
                <w:rFonts w:ascii="Arial" w:hAnsi="Arial" w:cs="Arial"/>
                <w:bCs/>
              </w:rPr>
              <w:t xml:space="preserve"> / CAPACIDAD RESIDUAL – Contrato reanudado – Contrato Suspendido</w:t>
            </w:r>
            <w:r w:rsidR="000A7622" w:rsidRPr="006A1A44">
              <w:rPr>
                <w:rFonts w:ascii="Arial" w:eastAsia="Calibri" w:hAnsi="Arial" w:cs="Arial"/>
                <w:bCs/>
                <w:color w:val="000000" w:themeColor="text1"/>
              </w:rPr>
              <w:t xml:space="preserve">/ </w:t>
            </w:r>
            <w:r w:rsidR="000A7622" w:rsidRPr="006A1A44">
              <w:rPr>
                <w:rFonts w:ascii="Arial" w:eastAsia="Calibri" w:hAnsi="Arial" w:cs="Arial"/>
                <w:bCs/>
                <w:color w:val="000000" w:themeColor="text1"/>
                <w:sz w:val="20"/>
                <w:szCs w:val="20"/>
              </w:rPr>
              <w:t xml:space="preserve"> </w:t>
            </w:r>
            <w:r w:rsidR="000A7622" w:rsidRPr="006A1A44">
              <w:rPr>
                <w:rFonts w:ascii="Arial" w:eastAsia="Calibri" w:hAnsi="Arial" w:cs="Arial"/>
                <w:bCs/>
                <w:lang w:val="es-MX"/>
              </w:rPr>
              <w:t xml:space="preserve">DOCUMENTOS TIPO – Versión 3 – Licitación Pública - Capacidad residual – Rechazo de la oferta – Causales / CAPACIDAD </w:t>
            </w:r>
            <w:r w:rsidR="000A7622" w:rsidRPr="006A1A44">
              <w:rPr>
                <w:rFonts w:ascii="Arial" w:eastAsia="Calibri" w:hAnsi="Arial" w:cs="Arial"/>
                <w:bCs/>
                <w:color w:val="000000" w:themeColor="text1"/>
                <w:lang w:val="es-MX"/>
              </w:rPr>
              <w:t xml:space="preserve">RESIDUAL – </w:t>
            </w:r>
            <w:r w:rsidR="000A7622" w:rsidRPr="006A1A44">
              <w:rPr>
                <w:rFonts w:ascii="Arial" w:eastAsia="Calibri" w:hAnsi="Arial" w:cs="Arial"/>
                <w:bCs/>
              </w:rPr>
              <w:t xml:space="preserve">Cálculo – Factores </w:t>
            </w:r>
            <w:r w:rsidR="000A7622" w:rsidRPr="006A1A44">
              <w:rPr>
                <w:rFonts w:ascii="Arial" w:eastAsia="Calibri" w:hAnsi="Arial" w:cs="Arial"/>
                <w:bCs/>
                <w:lang w:val="es-ES_tradnl"/>
              </w:rPr>
              <w:t xml:space="preserve">/ </w:t>
            </w:r>
            <w:r w:rsidR="000A7622" w:rsidRPr="006A1A44">
              <w:rPr>
                <w:rFonts w:ascii="Arial" w:eastAsia="Calibri" w:hAnsi="Arial" w:cs="Arial"/>
                <w:bCs/>
              </w:rPr>
              <w:t xml:space="preserve">CAPACIDAD RESIDUAL – Saldos de Contratos en Ejecución </w:t>
            </w:r>
            <w:r w:rsidR="000A7622" w:rsidRPr="006A1A44">
              <w:rPr>
                <w:rFonts w:ascii="Arial" w:eastAsia="Calibri" w:hAnsi="Arial" w:cs="Arial"/>
                <w:bCs/>
                <w:color w:val="000000" w:themeColor="text1"/>
              </w:rPr>
              <w:t xml:space="preserve">«SCE» </w:t>
            </w:r>
            <w:r w:rsidR="000A7622" w:rsidRPr="006A1A44">
              <w:rPr>
                <w:rFonts w:ascii="Arial" w:eastAsia="Calibri" w:hAnsi="Arial" w:cs="Arial"/>
                <w:bCs/>
              </w:rPr>
              <w:t xml:space="preserve">– Contratos de obra </w:t>
            </w:r>
            <w:r w:rsidR="000A7622" w:rsidRPr="006A1A44">
              <w:rPr>
                <w:rFonts w:ascii="Arial" w:eastAsia="Calibri" w:hAnsi="Arial" w:cs="Arial"/>
                <w:bCs/>
                <w:lang w:val="es-ES_tradnl"/>
              </w:rPr>
              <w:t xml:space="preserve">/ </w:t>
            </w:r>
            <w:r w:rsidR="000A7622" w:rsidRPr="006A1A44">
              <w:rPr>
                <w:rFonts w:ascii="Arial" w:eastAsia="Calibri" w:hAnsi="Arial" w:cs="Arial"/>
                <w:bCs/>
                <w:color w:val="000000"/>
              </w:rPr>
              <w:t>DOCUMENTOS TIPO – Agua potable y saneamiento básico – Capacidad Residual – Rechazo de la oferta – Causales</w:t>
            </w:r>
            <w:r w:rsidR="000A7622" w:rsidRPr="006A1A44">
              <w:rPr>
                <w:rFonts w:ascii="Arial" w:eastAsia="Calibri" w:hAnsi="Arial" w:cs="Arial"/>
                <w:bCs/>
                <w:lang w:val="es-ES_tradnl"/>
              </w:rPr>
              <w:t xml:space="preserve"> / </w:t>
            </w:r>
            <w:r w:rsidR="000A7622" w:rsidRPr="006A1A44">
              <w:rPr>
                <w:rFonts w:ascii="Arial" w:eastAsia="Calibri" w:hAnsi="Arial" w:cs="Arial"/>
                <w:bCs/>
                <w:lang w:val="es-MX"/>
              </w:rPr>
              <w:t xml:space="preserve">RECHAZO DE LA OFERTA – Documento Base – Capacidad Residual – Literal AA – Alcance </w:t>
            </w:r>
            <w:r w:rsidR="000A7622" w:rsidRPr="006A1A44">
              <w:rPr>
                <w:rFonts w:ascii="Arial" w:eastAsia="Calibri" w:hAnsi="Arial" w:cs="Arial"/>
                <w:bCs/>
                <w:lang w:val="es-ES_tradnl"/>
              </w:rPr>
              <w:t xml:space="preserve">/ </w:t>
            </w:r>
            <w:r w:rsidR="000A7622" w:rsidRPr="006A1A44">
              <w:rPr>
                <w:rFonts w:ascii="Arial" w:eastAsia="Calibri" w:hAnsi="Arial" w:cs="Arial"/>
                <w:bCs/>
                <w:lang w:val="es-MX"/>
              </w:rPr>
              <w:t>RECHAZO DE LA OFERTA –Documento base – Capacidad residual – Rechazo de la oferta – Literal H – Alcance</w:t>
            </w:r>
            <w:r w:rsidR="00343F2F" w:rsidRPr="006A1A44">
              <w:rPr>
                <w:rFonts w:ascii="Arial" w:hAnsi="Arial" w:cs="Arial"/>
                <w:bCs/>
                <w:sz w:val="20"/>
                <w:szCs w:val="20"/>
              </w:rPr>
              <w:t>/</w:t>
            </w:r>
            <w:r w:rsidR="00766A30" w:rsidRPr="006A1A44">
              <w:rPr>
                <w:rFonts w:ascii="Arial" w:hAnsi="Arial" w:cs="Arial"/>
                <w:bCs/>
                <w:sz w:val="20"/>
                <w:szCs w:val="20"/>
              </w:rPr>
              <w:t xml:space="preserve"> </w:t>
            </w:r>
            <w:r w:rsidR="006A1A44" w:rsidRPr="006A1A44">
              <w:rPr>
                <w:rFonts w:ascii="Arial" w:hAnsi="Arial" w:cs="Arial"/>
                <w:bCs/>
                <w:sz w:val="20"/>
                <w:szCs w:val="20"/>
              </w:rPr>
              <w:t xml:space="preserve">CAUSAL DE RECHAZO – Documentos tipo – Numeral 1.15 – Documento base – Literal Z – Contratos perfeccionados – Configuración/ </w:t>
            </w:r>
          </w:p>
        </w:tc>
      </w:tr>
      <w:tr w:rsidR="000A7622" w:rsidRPr="00ED0894" w14:paraId="01F11836" w14:textId="77777777" w:rsidTr="000A7622">
        <w:tc>
          <w:tcPr>
            <w:tcW w:w="2689" w:type="dxa"/>
            <w:gridSpan w:val="2"/>
          </w:tcPr>
          <w:p w14:paraId="28834890" w14:textId="77777777" w:rsidR="000A7622" w:rsidRPr="00ED0894" w:rsidRDefault="000A7622" w:rsidP="000A7622">
            <w:pPr>
              <w:jc w:val="both"/>
              <w:rPr>
                <w:rFonts w:ascii="Arial" w:eastAsia="Calibri" w:hAnsi="Arial" w:cs="Arial"/>
                <w:b/>
                <w:color w:val="000000"/>
                <w:szCs w:val="24"/>
                <w:lang w:val="es-ES_tradnl" w:eastAsia="es-ES_tradnl"/>
              </w:rPr>
            </w:pPr>
            <w:r w:rsidRPr="00ED0894">
              <w:rPr>
                <w:rFonts w:ascii="Arial" w:eastAsia="Calibri" w:hAnsi="Arial" w:cs="Arial"/>
                <w:b/>
                <w:color w:val="000000"/>
                <w:szCs w:val="24"/>
                <w:lang w:val="es-ES_tradnl" w:eastAsia="es-ES_tradnl"/>
              </w:rPr>
              <w:t>Radicación:</w:t>
            </w:r>
            <w:r w:rsidRPr="00ED0894">
              <w:rPr>
                <w:rFonts w:ascii="Arial" w:eastAsia="Calibri" w:hAnsi="Arial" w:cs="Arial"/>
                <w:color w:val="000000"/>
                <w:szCs w:val="24"/>
                <w:lang w:val="es-ES_tradnl" w:eastAsia="es-ES_tradnl"/>
              </w:rPr>
              <w:t xml:space="preserve">                              </w:t>
            </w:r>
          </w:p>
        </w:tc>
        <w:tc>
          <w:tcPr>
            <w:tcW w:w="6237" w:type="dxa"/>
          </w:tcPr>
          <w:p w14:paraId="4F837A21" w14:textId="065D4A21" w:rsidR="000A7622" w:rsidRPr="00ED0894" w:rsidRDefault="000A7622" w:rsidP="000A7622">
            <w:pPr>
              <w:jc w:val="both"/>
              <w:rPr>
                <w:rFonts w:ascii="Arial" w:eastAsia="Calibri" w:hAnsi="Arial" w:cs="Arial"/>
                <w:color w:val="000000"/>
                <w:szCs w:val="24"/>
                <w:lang w:val="es-ES_tradnl" w:eastAsia="es-ES_tradnl"/>
              </w:rPr>
            </w:pPr>
            <w:r w:rsidRPr="00ED0894">
              <w:rPr>
                <w:rFonts w:ascii="Arial" w:eastAsia="Calibri" w:hAnsi="Arial" w:cs="Arial"/>
                <w:color w:val="000000"/>
                <w:szCs w:val="24"/>
                <w:lang w:val="es-ES_tradnl" w:eastAsia="es-ES_tradnl"/>
              </w:rPr>
              <w:t xml:space="preserve">Respuesta a consulta </w:t>
            </w:r>
            <w:r w:rsidR="00D525E3" w:rsidRPr="00ED0894">
              <w:rPr>
                <w:rFonts w:ascii="Arial" w:eastAsia="Calibri" w:hAnsi="Arial" w:cs="Arial"/>
                <w:color w:val="000000"/>
                <w:szCs w:val="24"/>
                <w:lang w:val="es-ES_tradnl" w:eastAsia="es-ES_tradnl"/>
              </w:rPr>
              <w:t>P20220</w:t>
            </w:r>
            <w:r w:rsidR="00247754">
              <w:rPr>
                <w:rFonts w:ascii="Arial" w:eastAsia="Calibri" w:hAnsi="Arial" w:cs="Arial"/>
                <w:color w:val="000000"/>
                <w:szCs w:val="24"/>
                <w:lang w:val="es-ES_tradnl" w:eastAsia="es-ES_tradnl"/>
              </w:rPr>
              <w:t>331003256</w:t>
            </w:r>
          </w:p>
        </w:tc>
      </w:tr>
    </w:tbl>
    <w:p w14:paraId="75B57687" w14:textId="7D1CD0C0" w:rsidR="000A7622" w:rsidRPr="00ED0894" w:rsidRDefault="000A7622" w:rsidP="000A7622">
      <w:pPr>
        <w:spacing w:after="0" w:line="240" w:lineRule="auto"/>
        <w:jc w:val="both"/>
        <w:rPr>
          <w:rFonts w:ascii="Arial" w:eastAsia="Calibri" w:hAnsi="Arial" w:cs="Arial"/>
          <w:color w:val="000000"/>
          <w:szCs w:val="24"/>
          <w:lang w:val="es-ES_tradnl" w:eastAsia="es-ES_tradnl"/>
        </w:rPr>
      </w:pPr>
    </w:p>
    <w:p w14:paraId="55815CD8" w14:textId="77777777" w:rsidR="00D47433" w:rsidRPr="00ED0894" w:rsidRDefault="00D47433" w:rsidP="000A7622">
      <w:pPr>
        <w:spacing w:after="0" w:line="240" w:lineRule="auto"/>
        <w:jc w:val="both"/>
        <w:rPr>
          <w:rFonts w:ascii="Arial" w:eastAsia="Calibri" w:hAnsi="Arial" w:cs="Arial"/>
          <w:color w:val="000000"/>
          <w:szCs w:val="24"/>
          <w:lang w:val="es-ES_tradnl" w:eastAsia="es-ES_tradnl"/>
        </w:rPr>
      </w:pPr>
    </w:p>
    <w:p w14:paraId="4D910889" w14:textId="053A7369" w:rsidR="000A7622" w:rsidRPr="00ED0894" w:rsidRDefault="000A7622" w:rsidP="000A7622">
      <w:pPr>
        <w:spacing w:after="0" w:line="240" w:lineRule="auto"/>
        <w:jc w:val="both"/>
        <w:rPr>
          <w:rFonts w:ascii="Arial" w:eastAsia="Calibri" w:hAnsi="Arial" w:cs="Arial"/>
          <w:color w:val="000000"/>
          <w:szCs w:val="24"/>
          <w:lang w:val="es-ES_tradnl" w:eastAsia="es-ES_tradnl"/>
        </w:rPr>
      </w:pPr>
      <w:r w:rsidRPr="00ED0894">
        <w:rPr>
          <w:rFonts w:ascii="Arial" w:eastAsia="Calibri" w:hAnsi="Arial" w:cs="Arial"/>
          <w:color w:val="000000"/>
          <w:szCs w:val="24"/>
          <w:lang w:val="es-ES_tradnl" w:eastAsia="es-ES_tradnl"/>
        </w:rPr>
        <w:t>Estimad</w:t>
      </w:r>
      <w:r w:rsidR="001368FF">
        <w:rPr>
          <w:rFonts w:ascii="Arial" w:eastAsia="Calibri" w:hAnsi="Arial" w:cs="Arial"/>
          <w:color w:val="000000"/>
          <w:szCs w:val="24"/>
          <w:lang w:val="es-ES_tradnl" w:eastAsia="es-ES_tradnl"/>
        </w:rPr>
        <w:t>o</w:t>
      </w:r>
      <w:r w:rsidRPr="00ED0894">
        <w:rPr>
          <w:rFonts w:ascii="Arial" w:eastAsia="Calibri" w:hAnsi="Arial" w:cs="Arial"/>
          <w:color w:val="000000"/>
          <w:szCs w:val="24"/>
          <w:lang w:val="es-ES_tradnl" w:eastAsia="es-ES_tradnl"/>
        </w:rPr>
        <w:t xml:space="preserve"> señor</w:t>
      </w:r>
      <w:r w:rsidR="001368FF">
        <w:rPr>
          <w:rFonts w:ascii="Arial" w:eastAsia="Calibri" w:hAnsi="Arial" w:cs="Arial"/>
          <w:color w:val="000000"/>
          <w:szCs w:val="24"/>
          <w:lang w:val="es-ES_tradnl" w:eastAsia="es-ES_tradnl"/>
        </w:rPr>
        <w:t xml:space="preserve"> Rubio</w:t>
      </w:r>
      <w:r w:rsidR="006C07D7" w:rsidRPr="00ED0894">
        <w:rPr>
          <w:rFonts w:ascii="Arial" w:eastAsia="Calibri" w:hAnsi="Arial" w:cs="Arial"/>
          <w:color w:val="000000"/>
          <w:szCs w:val="24"/>
          <w:lang w:val="es-ES_tradnl" w:eastAsia="es-ES_tradnl"/>
        </w:rPr>
        <w:t>:</w:t>
      </w:r>
    </w:p>
    <w:p w14:paraId="50015466" w14:textId="77777777" w:rsidR="000A7622" w:rsidRPr="00ED0894" w:rsidRDefault="000A7622" w:rsidP="000A7622">
      <w:pPr>
        <w:spacing w:after="0" w:line="240" w:lineRule="auto"/>
        <w:jc w:val="both"/>
        <w:rPr>
          <w:rFonts w:ascii="Arial" w:eastAsia="Calibri" w:hAnsi="Arial" w:cs="Arial"/>
          <w:color w:val="000000"/>
          <w:szCs w:val="24"/>
          <w:lang w:val="es-ES_tradnl" w:eastAsia="es-ES_tradnl"/>
        </w:rPr>
      </w:pPr>
    </w:p>
    <w:p w14:paraId="5E0FA4B8" w14:textId="43F19660" w:rsidR="000A7622" w:rsidRPr="00ED0894" w:rsidRDefault="000A7622" w:rsidP="000A7622">
      <w:pPr>
        <w:spacing w:after="0" w:line="276" w:lineRule="auto"/>
        <w:jc w:val="both"/>
        <w:rPr>
          <w:rFonts w:ascii="Arial" w:eastAsia="Calibri" w:hAnsi="Arial" w:cs="Arial"/>
          <w:color w:val="000000"/>
          <w:szCs w:val="24"/>
          <w:lang w:val="es-ES_tradnl" w:eastAsia="es-ES_tradnl"/>
        </w:rPr>
      </w:pPr>
      <w:r w:rsidRPr="00ED0894">
        <w:rPr>
          <w:rFonts w:ascii="Arial" w:eastAsia="Calibri" w:hAnsi="Arial" w:cs="Arial"/>
          <w:color w:val="000000"/>
          <w:szCs w:val="24"/>
          <w:lang w:val="es-ES_tradnl" w:eastAsia="es-ES_tradnl"/>
        </w:rPr>
        <w:t>En ejercicio de la competencia otorgada por el numeral 8 del artículo 11 y el numeral 5 del artículo 3 del Decreto Ley 4170 de 2011, la Agencia Nacional de Contratación Pública – Colombia Compra Eficiente, a través de la Subdirección de Gestión Contractual, responde su</w:t>
      </w:r>
      <w:r w:rsidR="002075BE" w:rsidRPr="00ED0894">
        <w:rPr>
          <w:rFonts w:ascii="Arial" w:eastAsia="Calibri" w:hAnsi="Arial" w:cs="Arial"/>
          <w:color w:val="000000"/>
          <w:szCs w:val="24"/>
          <w:lang w:val="es-ES_tradnl" w:eastAsia="es-ES_tradnl"/>
        </w:rPr>
        <w:t>s</w:t>
      </w:r>
      <w:r w:rsidRPr="00ED0894">
        <w:rPr>
          <w:rFonts w:ascii="Arial" w:eastAsia="Calibri" w:hAnsi="Arial" w:cs="Arial"/>
          <w:color w:val="000000"/>
          <w:szCs w:val="24"/>
          <w:lang w:val="es-ES_tradnl" w:eastAsia="es-ES_tradnl"/>
        </w:rPr>
        <w:t xml:space="preserve"> consulta</w:t>
      </w:r>
      <w:r w:rsidR="002075BE" w:rsidRPr="00ED0894">
        <w:rPr>
          <w:rFonts w:ascii="Arial" w:eastAsia="Calibri" w:hAnsi="Arial" w:cs="Arial"/>
          <w:color w:val="000000"/>
          <w:szCs w:val="24"/>
          <w:lang w:val="es-ES_tradnl" w:eastAsia="es-ES_tradnl"/>
        </w:rPr>
        <w:t>s</w:t>
      </w:r>
      <w:r w:rsidRPr="00ED0894">
        <w:rPr>
          <w:rFonts w:ascii="Arial" w:eastAsia="Calibri" w:hAnsi="Arial" w:cs="Arial"/>
          <w:color w:val="000000"/>
          <w:szCs w:val="24"/>
          <w:lang w:val="es-ES_tradnl" w:eastAsia="es-ES_tradnl"/>
        </w:rPr>
        <w:t xml:space="preserve"> del </w:t>
      </w:r>
      <w:r w:rsidR="001368FF">
        <w:rPr>
          <w:rFonts w:ascii="Arial" w:eastAsia="Calibri" w:hAnsi="Arial" w:cs="Arial"/>
          <w:color w:val="000000"/>
          <w:szCs w:val="24"/>
          <w:lang w:val="es-ES_tradnl" w:eastAsia="es-ES_tradnl"/>
        </w:rPr>
        <w:t xml:space="preserve">31 de marzo de </w:t>
      </w:r>
      <w:r w:rsidR="00D525E3" w:rsidRPr="00ED0894">
        <w:rPr>
          <w:rFonts w:ascii="Arial" w:eastAsia="Calibri" w:hAnsi="Arial" w:cs="Arial"/>
          <w:color w:val="000000"/>
          <w:szCs w:val="24"/>
          <w:lang w:val="es-ES_tradnl" w:eastAsia="es-ES_tradnl"/>
        </w:rPr>
        <w:t>2022</w:t>
      </w:r>
      <w:r w:rsidRPr="00ED0894">
        <w:rPr>
          <w:rFonts w:ascii="Arial" w:eastAsia="Calibri" w:hAnsi="Arial" w:cs="Arial"/>
          <w:color w:val="000000"/>
          <w:szCs w:val="24"/>
          <w:lang w:val="es-ES_tradnl" w:eastAsia="es-ES_tradnl"/>
        </w:rPr>
        <w:t xml:space="preserve">. </w:t>
      </w:r>
    </w:p>
    <w:p w14:paraId="192F149E" w14:textId="77777777" w:rsidR="000A7622" w:rsidRPr="00ED0894" w:rsidRDefault="000A7622" w:rsidP="000A7622">
      <w:pPr>
        <w:spacing w:after="0" w:line="276" w:lineRule="auto"/>
        <w:jc w:val="both"/>
        <w:rPr>
          <w:rFonts w:ascii="Arial" w:eastAsia="Calibri" w:hAnsi="Arial" w:cs="Arial"/>
          <w:b/>
          <w:color w:val="000000"/>
          <w:szCs w:val="24"/>
          <w:lang w:val="es-ES_tradnl" w:eastAsia="es-ES_tradnl"/>
        </w:rPr>
      </w:pPr>
    </w:p>
    <w:p w14:paraId="3E36A8D9" w14:textId="27213147" w:rsidR="000A7622" w:rsidRPr="00ED0894" w:rsidRDefault="000A7622" w:rsidP="000A7622">
      <w:pPr>
        <w:pStyle w:val="Sinespaciado"/>
        <w:rPr>
          <w:rFonts w:ascii="Arial" w:hAnsi="Arial" w:cs="Arial"/>
          <w:b/>
          <w:bCs/>
          <w:lang w:val="es-ES_tradnl"/>
        </w:rPr>
      </w:pPr>
      <w:r w:rsidRPr="00ED0894">
        <w:rPr>
          <w:rFonts w:ascii="Arial" w:hAnsi="Arial" w:cs="Arial"/>
          <w:b/>
          <w:bCs/>
          <w:lang w:val="es-ES_tradnl"/>
        </w:rPr>
        <w:t>1. Problema planteado</w:t>
      </w:r>
    </w:p>
    <w:p w14:paraId="51F85031" w14:textId="26257928" w:rsidR="000A7622" w:rsidRPr="00ED0894" w:rsidRDefault="000A7622" w:rsidP="00310D55">
      <w:pPr>
        <w:tabs>
          <w:tab w:val="left" w:pos="426"/>
        </w:tabs>
        <w:spacing w:after="0" w:line="240" w:lineRule="auto"/>
        <w:jc w:val="both"/>
        <w:rPr>
          <w:rFonts w:ascii="Arial" w:eastAsia="Calibri" w:hAnsi="Arial" w:cs="Arial"/>
          <w:b/>
          <w:color w:val="000000"/>
          <w:sz w:val="21"/>
          <w:szCs w:val="21"/>
          <w:lang w:val="es-ES_tradnl" w:eastAsia="es-ES_tradnl"/>
        </w:rPr>
      </w:pPr>
    </w:p>
    <w:p w14:paraId="06A5AD74" w14:textId="631139DA" w:rsidR="00DC2E95" w:rsidRPr="00ED0894" w:rsidRDefault="007870C5" w:rsidP="00310D55">
      <w:pPr>
        <w:tabs>
          <w:tab w:val="left" w:pos="426"/>
        </w:tabs>
        <w:spacing w:after="0" w:line="240" w:lineRule="auto"/>
        <w:jc w:val="both"/>
        <w:rPr>
          <w:rFonts w:ascii="Arial" w:eastAsia="Calibri" w:hAnsi="Arial" w:cs="Arial"/>
          <w:bCs/>
          <w:color w:val="000000"/>
          <w:lang w:val="es-ES_tradnl" w:eastAsia="es-ES_tradnl"/>
        </w:rPr>
      </w:pPr>
      <w:r>
        <w:rPr>
          <w:rFonts w:ascii="Arial" w:eastAsia="Calibri" w:hAnsi="Arial" w:cs="Arial"/>
          <w:bCs/>
          <w:color w:val="000000"/>
          <w:lang w:val="es-ES_tradnl" w:eastAsia="es-ES_tradnl"/>
        </w:rPr>
        <w:lastRenderedPageBreak/>
        <w:t>E</w:t>
      </w:r>
      <w:r w:rsidR="001368FF">
        <w:rPr>
          <w:rFonts w:ascii="Arial" w:eastAsia="Calibri" w:hAnsi="Arial" w:cs="Arial"/>
          <w:bCs/>
          <w:color w:val="000000"/>
          <w:lang w:val="es-ES_tradnl" w:eastAsia="es-ES_tradnl"/>
        </w:rPr>
        <w:t xml:space="preserve">n relación </w:t>
      </w:r>
      <w:r w:rsidR="00134D8B">
        <w:rPr>
          <w:rFonts w:ascii="Arial" w:eastAsia="Calibri" w:hAnsi="Arial" w:cs="Arial"/>
          <w:bCs/>
          <w:color w:val="000000"/>
          <w:lang w:val="es-ES_tradnl" w:eastAsia="es-ES_tradnl"/>
        </w:rPr>
        <w:t>la</w:t>
      </w:r>
      <w:r w:rsidR="001368FF">
        <w:rPr>
          <w:rFonts w:ascii="Arial" w:eastAsia="Calibri" w:hAnsi="Arial" w:cs="Arial"/>
          <w:bCs/>
          <w:color w:val="000000"/>
          <w:lang w:val="es-ES_tradnl" w:eastAsia="es-ES_tradnl"/>
        </w:rPr>
        <w:t xml:space="preserve"> causal de rechazo del literal </w:t>
      </w:r>
      <w:r w:rsidR="008C7B12">
        <w:rPr>
          <w:rFonts w:ascii="Arial" w:eastAsia="Calibri" w:hAnsi="Arial" w:cs="Arial"/>
          <w:bCs/>
          <w:color w:val="000000"/>
          <w:lang w:val="es-ES_tradnl" w:eastAsia="es-ES_tradnl"/>
        </w:rPr>
        <w:t xml:space="preserve">z del numeral 1.15 de los </w:t>
      </w:r>
      <w:r w:rsidR="003444C6">
        <w:rPr>
          <w:rFonts w:ascii="Arial" w:eastAsia="Calibri" w:hAnsi="Arial" w:cs="Arial"/>
          <w:bCs/>
          <w:color w:val="000000"/>
          <w:lang w:val="es-ES_tradnl" w:eastAsia="es-ES_tradnl"/>
        </w:rPr>
        <w:t>«D</w:t>
      </w:r>
      <w:r w:rsidR="008C7B12">
        <w:rPr>
          <w:rFonts w:ascii="Arial" w:eastAsia="Calibri" w:hAnsi="Arial" w:cs="Arial"/>
          <w:bCs/>
          <w:color w:val="000000"/>
          <w:lang w:val="es-ES_tradnl" w:eastAsia="es-ES_tradnl"/>
        </w:rPr>
        <w:t xml:space="preserve">ocumentos </w:t>
      </w:r>
      <w:r w:rsidR="003444C6">
        <w:rPr>
          <w:rFonts w:ascii="Arial" w:eastAsia="Calibri" w:hAnsi="Arial" w:cs="Arial"/>
          <w:bCs/>
          <w:color w:val="000000"/>
          <w:lang w:val="es-ES_tradnl" w:eastAsia="es-ES_tradnl"/>
        </w:rPr>
        <w:t>T</w:t>
      </w:r>
      <w:r w:rsidR="008C7B12">
        <w:rPr>
          <w:rFonts w:ascii="Arial" w:eastAsia="Calibri" w:hAnsi="Arial" w:cs="Arial"/>
          <w:bCs/>
          <w:color w:val="000000"/>
          <w:lang w:val="es-ES_tradnl" w:eastAsia="es-ES_tradnl"/>
        </w:rPr>
        <w:t>ipo</w:t>
      </w:r>
      <w:r w:rsidR="003444C6">
        <w:rPr>
          <w:rFonts w:ascii="Arial" w:eastAsia="Calibri" w:hAnsi="Arial" w:cs="Arial"/>
          <w:bCs/>
          <w:color w:val="000000"/>
          <w:lang w:val="es-ES_tradnl" w:eastAsia="es-ES_tradnl"/>
        </w:rPr>
        <w:t xml:space="preserve"> – Versión 3» de</w:t>
      </w:r>
      <w:r w:rsidR="008C7B12">
        <w:rPr>
          <w:rFonts w:ascii="Arial" w:eastAsia="Calibri" w:hAnsi="Arial" w:cs="Arial"/>
          <w:bCs/>
          <w:color w:val="000000"/>
          <w:lang w:val="es-ES_tradnl" w:eastAsia="es-ES_tradnl"/>
        </w:rPr>
        <w:t xml:space="preserve"> licitación pública de infraestructura de transporte</w:t>
      </w:r>
      <w:r w:rsidR="004B285D">
        <w:rPr>
          <w:rFonts w:ascii="Arial" w:eastAsia="Calibri" w:hAnsi="Arial" w:cs="Arial"/>
          <w:bCs/>
          <w:color w:val="000000"/>
          <w:lang w:val="es-ES_tradnl" w:eastAsia="es-ES_tradnl"/>
        </w:rPr>
        <w:t>, u</w:t>
      </w:r>
      <w:r w:rsidR="004B285D" w:rsidRPr="00ED0894">
        <w:rPr>
          <w:rFonts w:ascii="Arial" w:eastAsia="Calibri" w:hAnsi="Arial" w:cs="Arial"/>
          <w:bCs/>
          <w:color w:val="000000"/>
          <w:lang w:val="es-ES_tradnl" w:eastAsia="es-ES_tradnl"/>
        </w:rPr>
        <w:t>sted realiza la</w:t>
      </w:r>
      <w:r w:rsidR="004B285D">
        <w:rPr>
          <w:rFonts w:ascii="Arial" w:eastAsia="Calibri" w:hAnsi="Arial" w:cs="Arial"/>
          <w:bCs/>
          <w:color w:val="000000"/>
          <w:lang w:val="es-ES_tradnl" w:eastAsia="es-ES_tradnl"/>
        </w:rPr>
        <w:t xml:space="preserve"> siguiente pregunta</w:t>
      </w:r>
      <w:r w:rsidR="00DC2E95" w:rsidRPr="00ED0894">
        <w:rPr>
          <w:rFonts w:ascii="Arial" w:eastAsia="Calibri" w:hAnsi="Arial" w:cs="Arial"/>
          <w:bCs/>
          <w:color w:val="000000"/>
          <w:lang w:val="es-ES_tradnl" w:eastAsia="es-ES_tradnl"/>
        </w:rPr>
        <w:t>:</w:t>
      </w:r>
    </w:p>
    <w:p w14:paraId="6059097B" w14:textId="77777777" w:rsidR="00DC2E95" w:rsidRPr="00ED0894" w:rsidRDefault="00DC2E95" w:rsidP="00310D55">
      <w:pPr>
        <w:tabs>
          <w:tab w:val="left" w:pos="426"/>
        </w:tabs>
        <w:spacing w:after="0" w:line="240" w:lineRule="auto"/>
        <w:jc w:val="both"/>
        <w:rPr>
          <w:rFonts w:ascii="Arial" w:eastAsia="Calibri" w:hAnsi="Arial" w:cs="Arial"/>
          <w:b/>
          <w:color w:val="000000"/>
          <w:sz w:val="21"/>
          <w:szCs w:val="21"/>
          <w:lang w:val="es-ES_tradnl" w:eastAsia="es-ES_tradnl"/>
        </w:rPr>
      </w:pPr>
    </w:p>
    <w:p w14:paraId="2D71698E" w14:textId="4C78C6A5" w:rsidR="00BE42E8" w:rsidRPr="00D76269" w:rsidRDefault="00D76269" w:rsidP="00D76269">
      <w:pPr>
        <w:pStyle w:val="Prrafodelista"/>
        <w:spacing w:line="240" w:lineRule="auto"/>
        <w:ind w:left="709" w:right="709"/>
        <w:jc w:val="both"/>
        <w:rPr>
          <w:rFonts w:ascii="Arial" w:hAnsi="Arial" w:cs="Arial"/>
          <w:bCs/>
          <w:sz w:val="21"/>
          <w:szCs w:val="21"/>
          <w:lang w:val="es-ES" w:eastAsia="es-CO"/>
        </w:rPr>
      </w:pPr>
      <w:r w:rsidRPr="00ED0894">
        <w:rPr>
          <w:rFonts w:ascii="Arial" w:hAnsi="Arial" w:cs="Arial"/>
          <w:bCs/>
          <w:sz w:val="21"/>
          <w:szCs w:val="21"/>
          <w:lang w:val="es-ES" w:eastAsia="es-CO"/>
        </w:rPr>
        <w:t>«</w:t>
      </w:r>
      <w:r w:rsidR="00D9394C">
        <w:rPr>
          <w:rFonts w:ascii="Arial" w:hAnsi="Arial" w:cs="Arial"/>
          <w:bCs/>
          <w:sz w:val="21"/>
          <w:szCs w:val="21"/>
          <w:lang w:val="es-ES" w:eastAsia="es-CO"/>
        </w:rPr>
        <w:t>S</w:t>
      </w:r>
      <w:r w:rsidR="008A330E" w:rsidRPr="008A330E">
        <w:rPr>
          <w:rFonts w:ascii="Arial" w:hAnsi="Arial" w:cs="Arial"/>
          <w:bCs/>
          <w:sz w:val="21"/>
          <w:szCs w:val="21"/>
          <w:lang w:val="es-ES" w:eastAsia="es-CO"/>
        </w:rPr>
        <w:t xml:space="preserve">olicito realizar la siguiente consulta, la cual </w:t>
      </w:r>
      <w:proofErr w:type="spellStart"/>
      <w:r w:rsidR="008A330E" w:rsidRPr="008A330E">
        <w:rPr>
          <w:rFonts w:ascii="Arial" w:hAnsi="Arial" w:cs="Arial"/>
          <w:bCs/>
          <w:sz w:val="21"/>
          <w:szCs w:val="21"/>
          <w:lang w:val="es-ES" w:eastAsia="es-CO"/>
        </w:rPr>
        <w:t>esta</w:t>
      </w:r>
      <w:proofErr w:type="spellEnd"/>
      <w:r w:rsidR="008A330E">
        <w:rPr>
          <w:rFonts w:ascii="Arial" w:hAnsi="Arial" w:cs="Arial"/>
          <w:bCs/>
          <w:sz w:val="21"/>
          <w:szCs w:val="21"/>
          <w:lang w:val="es-ES" w:eastAsia="es-CO"/>
        </w:rPr>
        <w:t xml:space="preserve"> </w:t>
      </w:r>
      <w:r w:rsidR="008A330E" w:rsidRPr="008A330E">
        <w:rPr>
          <w:rFonts w:ascii="Arial" w:hAnsi="Arial" w:cs="Arial"/>
          <w:bCs/>
          <w:sz w:val="21"/>
          <w:szCs w:val="21"/>
          <w:lang w:val="es-ES" w:eastAsia="es-CO"/>
        </w:rPr>
        <w:t>relacionada con el numeral 1,15 de los pliegos de condiciones tipo</w:t>
      </w:r>
      <w:r w:rsidR="009B73D5">
        <w:rPr>
          <w:rFonts w:ascii="Arial" w:hAnsi="Arial" w:cs="Arial"/>
          <w:bCs/>
          <w:sz w:val="21"/>
          <w:szCs w:val="21"/>
          <w:lang w:val="es-ES" w:eastAsia="es-CO"/>
        </w:rPr>
        <w:t>, que estipula lo siguiente</w:t>
      </w:r>
      <w:r w:rsidR="00274283">
        <w:rPr>
          <w:rFonts w:ascii="Arial" w:hAnsi="Arial" w:cs="Arial"/>
          <w:bCs/>
          <w:sz w:val="21"/>
          <w:szCs w:val="21"/>
          <w:lang w:val="es-ES" w:eastAsia="es-CO"/>
        </w:rPr>
        <w:t xml:space="preserve">: </w:t>
      </w:r>
      <w:r w:rsidR="00274283" w:rsidRPr="00274283">
        <w:rPr>
          <w:rFonts w:ascii="Arial" w:hAnsi="Arial" w:cs="Arial"/>
          <w:bCs/>
          <w:sz w:val="21"/>
          <w:szCs w:val="21"/>
          <w:lang w:val="es-ES" w:eastAsia="es-CO"/>
        </w:rPr>
        <w:t>No informar todos los contratos que el proponente tenga en ejecución antes del cierre, necesarios para acreditar su capacidad residual conforme a la sección 3.10.</w:t>
      </w:r>
      <w:r>
        <w:rPr>
          <w:rFonts w:ascii="Arial" w:hAnsi="Arial" w:cs="Arial"/>
          <w:bCs/>
          <w:sz w:val="21"/>
          <w:szCs w:val="21"/>
          <w:lang w:val="es-ES" w:eastAsia="es-CO"/>
        </w:rPr>
        <w:t xml:space="preserve"> […] </w:t>
      </w:r>
      <w:r w:rsidRPr="00D76269">
        <w:rPr>
          <w:rFonts w:ascii="Arial" w:hAnsi="Arial" w:cs="Arial"/>
          <w:bCs/>
          <w:sz w:val="21"/>
          <w:szCs w:val="21"/>
          <w:lang w:val="es-ES" w:eastAsia="es-CO"/>
        </w:rPr>
        <w:t>¿Cuándo se considera que un contrato debe ser reportado en el formato 5 saldo de contratos en</w:t>
      </w:r>
      <w:r>
        <w:rPr>
          <w:rFonts w:ascii="Arial" w:hAnsi="Arial" w:cs="Arial"/>
          <w:bCs/>
          <w:sz w:val="21"/>
          <w:szCs w:val="21"/>
          <w:lang w:val="es-ES" w:eastAsia="es-CO"/>
        </w:rPr>
        <w:t xml:space="preserve"> </w:t>
      </w:r>
      <w:r w:rsidRPr="00D76269">
        <w:rPr>
          <w:rFonts w:ascii="Arial" w:hAnsi="Arial" w:cs="Arial"/>
          <w:bCs/>
          <w:sz w:val="21"/>
          <w:szCs w:val="21"/>
          <w:lang w:val="es-ES" w:eastAsia="es-CO"/>
        </w:rPr>
        <w:t>ejecución (SCE)? ¿al ser adjudicado o al ser suscrito?</w:t>
      </w:r>
      <w:r w:rsidR="000A7622" w:rsidRPr="00D76269">
        <w:rPr>
          <w:rFonts w:ascii="Arial" w:hAnsi="Arial" w:cs="Arial"/>
          <w:sz w:val="21"/>
          <w:szCs w:val="21"/>
          <w:lang w:val="es-ES"/>
        </w:rPr>
        <w:t>»</w:t>
      </w:r>
      <w:r w:rsidR="00F01AE7">
        <w:rPr>
          <w:rFonts w:ascii="Arial" w:hAnsi="Arial" w:cs="Arial"/>
          <w:sz w:val="21"/>
          <w:szCs w:val="21"/>
          <w:lang w:val="es-ES"/>
        </w:rPr>
        <w:t>.</w:t>
      </w:r>
    </w:p>
    <w:p w14:paraId="017EAE43" w14:textId="77777777" w:rsidR="000A7622" w:rsidRPr="00ED0894" w:rsidRDefault="000A7622" w:rsidP="000A7622">
      <w:pPr>
        <w:tabs>
          <w:tab w:val="left" w:pos="426"/>
        </w:tabs>
        <w:spacing w:after="0" w:line="276" w:lineRule="auto"/>
        <w:jc w:val="both"/>
        <w:rPr>
          <w:rFonts w:ascii="Arial" w:eastAsia="Calibri" w:hAnsi="Arial" w:cs="Arial"/>
          <w:lang w:val="es-MX"/>
        </w:rPr>
      </w:pPr>
    </w:p>
    <w:p w14:paraId="73EFE25B" w14:textId="77777777" w:rsidR="000A7622" w:rsidRPr="00ED0894" w:rsidRDefault="000A7622" w:rsidP="000A7622">
      <w:pPr>
        <w:numPr>
          <w:ilvl w:val="0"/>
          <w:numId w:val="1"/>
        </w:numPr>
        <w:tabs>
          <w:tab w:val="left" w:pos="426"/>
        </w:tabs>
        <w:spacing w:after="0" w:line="276" w:lineRule="auto"/>
        <w:ind w:left="284" w:hanging="284"/>
        <w:contextualSpacing/>
        <w:jc w:val="both"/>
        <w:rPr>
          <w:rFonts w:ascii="Arial" w:eastAsia="Calibri" w:hAnsi="Arial" w:cs="Arial"/>
          <w:b/>
          <w:lang w:val="es-MX"/>
        </w:rPr>
      </w:pPr>
      <w:r w:rsidRPr="00ED0894">
        <w:rPr>
          <w:rFonts w:ascii="Arial" w:eastAsia="Calibri" w:hAnsi="Arial" w:cs="Arial"/>
          <w:b/>
          <w:lang w:val="es-MX"/>
        </w:rPr>
        <w:t>Consideraciones</w:t>
      </w:r>
    </w:p>
    <w:p w14:paraId="54CBA8BB" w14:textId="77777777" w:rsidR="000A7622" w:rsidRPr="00ED0894" w:rsidRDefault="000A7622" w:rsidP="000A7622">
      <w:pPr>
        <w:tabs>
          <w:tab w:val="left" w:pos="426"/>
        </w:tabs>
        <w:spacing w:after="0" w:line="276" w:lineRule="auto"/>
        <w:contextualSpacing/>
        <w:jc w:val="both"/>
        <w:rPr>
          <w:rFonts w:ascii="Arial" w:eastAsia="Calibri" w:hAnsi="Arial" w:cs="Arial"/>
          <w:b/>
          <w:lang w:val="es-MX"/>
        </w:rPr>
      </w:pPr>
    </w:p>
    <w:p w14:paraId="572D9DA5" w14:textId="5C1D6074" w:rsidR="00294599" w:rsidRPr="00ED0894" w:rsidRDefault="000A7622" w:rsidP="00ED0894">
      <w:pPr>
        <w:spacing w:after="120" w:line="276" w:lineRule="auto"/>
        <w:jc w:val="both"/>
        <w:rPr>
          <w:rFonts w:ascii="Arial" w:eastAsia="Calibri" w:hAnsi="Arial" w:cs="Arial"/>
          <w:color w:val="000000" w:themeColor="text1"/>
        </w:rPr>
      </w:pPr>
      <w:r w:rsidRPr="00ED0894">
        <w:rPr>
          <w:rFonts w:ascii="Arial" w:hAnsi="Arial" w:cs="Arial"/>
        </w:rPr>
        <w:t>Para resolver el objeto de la consulta, se analizarán los siguientes temas: i)</w:t>
      </w:r>
      <w:r w:rsidRPr="00ED0894">
        <w:rPr>
          <w:rFonts w:ascii="Arial" w:eastAsia="Calibri" w:hAnsi="Arial" w:cs="Arial"/>
          <w:color w:val="000000" w:themeColor="text1"/>
        </w:rPr>
        <w:t xml:space="preserve"> capacidad residual como requisito del proceso de selección; y </w:t>
      </w:r>
      <w:proofErr w:type="spellStart"/>
      <w:r w:rsidRPr="00ED0894">
        <w:rPr>
          <w:rFonts w:ascii="Arial" w:eastAsia="Calibri" w:hAnsi="Arial" w:cs="Arial"/>
          <w:color w:val="000000" w:themeColor="text1"/>
        </w:rPr>
        <w:t>ii</w:t>
      </w:r>
      <w:proofErr w:type="spellEnd"/>
      <w:r w:rsidRPr="00ED0894">
        <w:rPr>
          <w:rFonts w:ascii="Arial" w:eastAsia="Calibri" w:hAnsi="Arial" w:cs="Arial"/>
          <w:color w:val="000000" w:themeColor="text1"/>
        </w:rPr>
        <w:t xml:space="preserve">) </w:t>
      </w:r>
      <w:r w:rsidRPr="00ED0894">
        <w:rPr>
          <w:rFonts w:ascii="Arial" w:hAnsi="Arial" w:cs="Arial"/>
          <w:color w:val="000000"/>
          <w:shd w:val="clear" w:color="auto" w:fill="FFFFFF"/>
        </w:rPr>
        <w:t>rechazo de propuestas por falta de acreditación del requisito de capacidad residual en</w:t>
      </w:r>
      <w:r w:rsidRPr="00ED0894">
        <w:rPr>
          <w:rFonts w:ascii="Arial" w:hAnsi="Arial" w:cs="Arial"/>
        </w:rPr>
        <w:t xml:space="preserve"> los documentos tipo de licitación de obra pública de infraestructura de transporte – versión 3.</w:t>
      </w:r>
    </w:p>
    <w:p w14:paraId="05D7D06C" w14:textId="6B0E73AB" w:rsidR="001B1730" w:rsidRPr="00ED0894" w:rsidRDefault="001B1730" w:rsidP="00ED0894">
      <w:pPr>
        <w:pStyle w:val="paragraph"/>
        <w:spacing w:before="0" w:beforeAutospacing="0" w:after="120" w:afterAutospacing="0" w:line="276" w:lineRule="auto"/>
        <w:ind w:firstLine="705"/>
        <w:jc w:val="both"/>
        <w:textAlignment w:val="baseline"/>
        <w:rPr>
          <w:rFonts w:ascii="Segoe UI" w:hAnsi="Segoe UI" w:cs="Segoe UI"/>
          <w:sz w:val="18"/>
          <w:szCs w:val="18"/>
        </w:rPr>
      </w:pPr>
      <w:r w:rsidRPr="00ED0894">
        <w:rPr>
          <w:rStyle w:val="normaltextrun"/>
          <w:rFonts w:ascii="Arial" w:hAnsi="Arial" w:cs="Arial"/>
          <w:color w:val="000000"/>
          <w:sz w:val="22"/>
          <w:szCs w:val="22"/>
        </w:rPr>
        <w:t xml:space="preserve">Antes de abordar los problemas planteados, es importante señalar que la Agencia Nacional de Contratación Pública − Colombia Compra Eficiente se ha pronunciado sobre el rechazo de las propuestas en la contratación estatal, </w:t>
      </w:r>
      <w:r w:rsidRPr="00ED0894">
        <w:rPr>
          <w:rStyle w:val="normaltextrun"/>
          <w:rFonts w:ascii="Arial" w:hAnsi="Arial" w:cs="Arial"/>
          <w:sz w:val="22"/>
          <w:szCs w:val="22"/>
          <w:lang w:val="es-MX"/>
        </w:rPr>
        <w:t xml:space="preserve">en los conceptos del 6, 9, 16 y 20 de agosto, del 5, 12, 20 y 30 de septiembre, del 21 de octubre, del 14 de noviembre y del 23 de diciembre de 2019 –radicados Nos. 2201913000005608, 2201913000005750, 2201913000005976, 2201913000006033, 2201913000006562, 2201913000006773, 2201913000007021, 2201913000007240, 2201913000007850, 2201913000008483 y 2201913000009538, respectivamente–. De igual forma, en los conceptos C-019 del 14 de enero de 2020, C-037 del 28 de enero de 2020, C-033 del 13 de marzo de 2020, C-137 del 26 de marzo de 2020, C-153 del 1 de abril de 2020, C-184 del 2 de abril de </w:t>
      </w:r>
      <w:proofErr w:type="gramStart"/>
      <w:r w:rsidRPr="00ED0894">
        <w:rPr>
          <w:rStyle w:val="normaltextrun"/>
          <w:rFonts w:ascii="Arial" w:hAnsi="Arial" w:cs="Arial"/>
          <w:sz w:val="22"/>
          <w:szCs w:val="22"/>
          <w:lang w:val="es-MX"/>
        </w:rPr>
        <w:t>2020  C</w:t>
      </w:r>
      <w:proofErr w:type="gramEnd"/>
      <w:r w:rsidRPr="00ED0894">
        <w:rPr>
          <w:rStyle w:val="normaltextrun"/>
          <w:rFonts w:ascii="Arial" w:hAnsi="Arial" w:cs="Arial"/>
          <w:sz w:val="22"/>
          <w:szCs w:val="22"/>
          <w:lang w:val="es-MX"/>
        </w:rPr>
        <w:t>-016 del 21 de abril de 2020</w:t>
      </w:r>
      <w:r w:rsidR="001368FF">
        <w:rPr>
          <w:rStyle w:val="normaltextrun"/>
          <w:rFonts w:ascii="Arial" w:hAnsi="Arial" w:cs="Arial"/>
          <w:sz w:val="22"/>
          <w:szCs w:val="22"/>
          <w:lang w:val="es-MX"/>
        </w:rPr>
        <w:t xml:space="preserve"> y C-173 de 7 de abril de 2022</w:t>
      </w:r>
      <w:r w:rsidRPr="00ED0894">
        <w:rPr>
          <w:rStyle w:val="normaltextrun"/>
          <w:rFonts w:ascii="Arial" w:hAnsi="Arial" w:cs="Arial"/>
          <w:sz w:val="22"/>
          <w:szCs w:val="22"/>
          <w:lang w:val="es-MX"/>
        </w:rPr>
        <w:t>. </w:t>
      </w:r>
      <w:r w:rsidRPr="00ED0894">
        <w:rPr>
          <w:rStyle w:val="eop"/>
          <w:rFonts w:ascii="Arial" w:hAnsi="Arial" w:cs="Arial"/>
          <w:sz w:val="22"/>
          <w:szCs w:val="22"/>
        </w:rPr>
        <w:t> </w:t>
      </w:r>
    </w:p>
    <w:p w14:paraId="43638059" w14:textId="50E8FD2A" w:rsidR="001B1730" w:rsidRPr="00ED0894" w:rsidRDefault="001B1730" w:rsidP="00ED0894">
      <w:pPr>
        <w:pStyle w:val="paragraph"/>
        <w:spacing w:before="0" w:beforeAutospacing="0" w:after="0" w:afterAutospacing="0" w:line="276" w:lineRule="auto"/>
        <w:ind w:firstLine="705"/>
        <w:jc w:val="both"/>
        <w:textAlignment w:val="baseline"/>
        <w:rPr>
          <w:rFonts w:ascii="Segoe UI" w:hAnsi="Segoe UI" w:cs="Segoe UI"/>
          <w:sz w:val="18"/>
          <w:szCs w:val="18"/>
        </w:rPr>
      </w:pPr>
      <w:r w:rsidRPr="00ED0894">
        <w:rPr>
          <w:rStyle w:val="normaltextrun"/>
          <w:rFonts w:ascii="Arial" w:hAnsi="Arial" w:cs="Arial"/>
          <w:sz w:val="22"/>
          <w:szCs w:val="22"/>
          <w:lang w:val="es-MX"/>
        </w:rPr>
        <w:t>Por otro lado, en los conceptos del 13, 20 y 25 de septiembre de 2019 −radicados Nos. 2201913000006805, 2201913000007017, 2201913000007009, 2201913000007117, respectivamente−, estudió las causales de rechazo en los documentos tipo. Igualmente, en los conceptos del 21 de agosto y el 30 de octubre de 2019 −radicados Nos. 2201913000006054 y 2201913000008148–, C-033 del 13 de marzo de 2020, C-133 del 30 de marzo de 2020, C-196 del 8 de abril de 2020, C-297 del 4 de junio de 2020, C-489 del 23 de julio de 2020, C-522 del 6 de agosto de 2020, C-547 del 12 de agosto de 2020, C- 663 del 30 de noviembre de 2021 y C-</w:t>
      </w:r>
      <w:r w:rsidR="00A32359" w:rsidRPr="00ED0894">
        <w:rPr>
          <w:rStyle w:val="normaltextrun"/>
          <w:rFonts w:ascii="Arial" w:hAnsi="Arial" w:cs="Arial"/>
          <w:sz w:val="22"/>
          <w:szCs w:val="22"/>
          <w:lang w:val="es-MX"/>
        </w:rPr>
        <w:t xml:space="preserve">692 del 28 de diciembre de 2021 </w:t>
      </w:r>
      <w:r w:rsidRPr="00ED0894">
        <w:rPr>
          <w:rStyle w:val="normaltextrun"/>
          <w:rFonts w:ascii="Arial" w:hAnsi="Arial" w:cs="Arial"/>
          <w:sz w:val="22"/>
          <w:szCs w:val="22"/>
          <w:lang w:val="es-MX"/>
        </w:rPr>
        <w:t xml:space="preserve"> analizó el rechazo de propuestas por falta de acreditación del requisito de capacidad residual. Las tesis desarrolladas en estos conceptos se reiteran a continuación.</w:t>
      </w:r>
      <w:r w:rsidRPr="00ED0894">
        <w:rPr>
          <w:rStyle w:val="eop"/>
          <w:rFonts w:ascii="Arial" w:hAnsi="Arial" w:cs="Arial"/>
          <w:sz w:val="22"/>
          <w:szCs w:val="22"/>
        </w:rPr>
        <w:t> </w:t>
      </w:r>
    </w:p>
    <w:p w14:paraId="297029DD" w14:textId="77777777" w:rsidR="000A7622" w:rsidRPr="00ED0894" w:rsidRDefault="000A7622" w:rsidP="000A7622">
      <w:pPr>
        <w:tabs>
          <w:tab w:val="left" w:pos="426"/>
        </w:tabs>
        <w:spacing w:after="0" w:line="276" w:lineRule="auto"/>
        <w:contextualSpacing/>
        <w:jc w:val="both"/>
        <w:rPr>
          <w:rFonts w:ascii="Arial" w:eastAsia="Calibri" w:hAnsi="Arial" w:cs="Arial"/>
          <w:b/>
          <w:lang w:val="es-MX"/>
        </w:rPr>
      </w:pPr>
    </w:p>
    <w:p w14:paraId="531C894C" w14:textId="7932B98E" w:rsidR="0077505D" w:rsidRPr="00ED0894" w:rsidRDefault="000A7622" w:rsidP="0077505D">
      <w:pPr>
        <w:spacing w:after="0" w:line="276" w:lineRule="auto"/>
        <w:jc w:val="both"/>
        <w:rPr>
          <w:rFonts w:ascii="Arial" w:eastAsia="Calibri" w:hAnsi="Arial" w:cs="Arial"/>
          <w:b/>
          <w:bCs/>
          <w:color w:val="000000"/>
          <w:szCs w:val="24"/>
          <w:lang w:eastAsia="en-GB"/>
        </w:rPr>
      </w:pPr>
      <w:r w:rsidRPr="00ED0894">
        <w:rPr>
          <w:rFonts w:ascii="Arial" w:eastAsia="Calibri" w:hAnsi="Arial" w:cs="Arial"/>
          <w:b/>
          <w:bCs/>
          <w:color w:val="000000"/>
          <w:lang w:eastAsia="en-GB"/>
        </w:rPr>
        <w:t>2.</w:t>
      </w:r>
      <w:r w:rsidR="00BE2A4B" w:rsidRPr="00ED0894">
        <w:rPr>
          <w:rFonts w:ascii="Arial" w:eastAsia="Calibri" w:hAnsi="Arial" w:cs="Arial"/>
          <w:b/>
          <w:bCs/>
          <w:color w:val="000000"/>
          <w:lang w:eastAsia="en-GB"/>
        </w:rPr>
        <w:t>1</w:t>
      </w:r>
      <w:r w:rsidRPr="00ED0894">
        <w:rPr>
          <w:rFonts w:ascii="Arial" w:eastAsia="Calibri" w:hAnsi="Arial" w:cs="Arial"/>
          <w:b/>
          <w:bCs/>
          <w:color w:val="000000"/>
          <w:lang w:eastAsia="en-GB"/>
        </w:rPr>
        <w:t>. Capacidad residual como requisito habilitante</w:t>
      </w:r>
      <w:r w:rsidR="0077505D" w:rsidRPr="00ED0894">
        <w:rPr>
          <w:rFonts w:ascii="Arial" w:eastAsia="Calibri" w:hAnsi="Arial" w:cs="Arial"/>
          <w:b/>
          <w:bCs/>
          <w:color w:val="000000"/>
          <w:lang w:eastAsia="en-GB"/>
        </w:rPr>
        <w:t xml:space="preserve">: </w:t>
      </w:r>
      <w:r w:rsidR="0077505D" w:rsidRPr="00ED0894">
        <w:rPr>
          <w:rFonts w:ascii="Arial" w:eastAsia="Calibri" w:hAnsi="Arial" w:cs="Arial"/>
          <w:b/>
          <w:bCs/>
          <w:color w:val="000000"/>
          <w:szCs w:val="24"/>
          <w:lang w:eastAsia="en-GB"/>
        </w:rPr>
        <w:t>saldo de Contratos en Ejecución –SCE–</w:t>
      </w:r>
    </w:p>
    <w:p w14:paraId="783E4B9B" w14:textId="77777777" w:rsidR="00C2687E" w:rsidRPr="00ED0894" w:rsidRDefault="00C2687E" w:rsidP="00C2687E">
      <w:pPr>
        <w:spacing w:after="0" w:line="276" w:lineRule="auto"/>
        <w:jc w:val="both"/>
        <w:rPr>
          <w:rFonts w:ascii="Arial" w:hAnsi="Arial" w:cs="Arial"/>
          <w:color w:val="000000" w:themeColor="text1"/>
          <w:lang w:val="es-MX"/>
        </w:rPr>
      </w:pPr>
    </w:p>
    <w:p w14:paraId="2D4E720C" w14:textId="18405D0C" w:rsidR="00C2687E" w:rsidRPr="00ED0894" w:rsidRDefault="00C2687E" w:rsidP="00C2687E">
      <w:pPr>
        <w:spacing w:line="276" w:lineRule="auto"/>
        <w:jc w:val="both"/>
        <w:rPr>
          <w:rFonts w:ascii="Arial" w:hAnsi="Arial" w:cs="Arial"/>
          <w:color w:val="000000" w:themeColor="text1"/>
          <w:lang w:val="es-MX"/>
        </w:rPr>
      </w:pPr>
      <w:r w:rsidRPr="00ED0894">
        <w:rPr>
          <w:rFonts w:ascii="Arial" w:hAnsi="Arial" w:cs="Arial"/>
          <w:color w:val="000000" w:themeColor="text1"/>
          <w:lang w:val="es-MX"/>
        </w:rPr>
        <w:lastRenderedPageBreak/>
        <w:t>De acuerdo con el artículo 2.2.1.1.1.3.1 del Decreto 1082 de 2015, la capacidad residual es la aptitud de los oferentes para cumplir de manera oportuna y a cabalidad el objeto de un contrato de obra pública, sin que los demás compromisos contractuales que han adquirido afecten su habilidad de cumplir el objeto del contrato que está en proceso de selección</w:t>
      </w:r>
      <w:r w:rsidRPr="00ED0894">
        <w:rPr>
          <w:rFonts w:ascii="Arial" w:hAnsi="Arial" w:cs="Arial"/>
          <w:color w:val="000000" w:themeColor="text1"/>
          <w:szCs w:val="20"/>
          <w:vertAlign w:val="superscript"/>
          <w:lang w:val="es-MX"/>
        </w:rPr>
        <w:footnoteReference w:id="1"/>
      </w:r>
      <w:r w:rsidRPr="00ED0894">
        <w:rPr>
          <w:rFonts w:ascii="Arial" w:hAnsi="Arial" w:cs="Arial"/>
          <w:color w:val="000000" w:themeColor="text1"/>
          <w:lang w:val="es-MX"/>
        </w:rPr>
        <w:t>. Por su parte, el Consejo de Estado ha definido la capacidad residual como «la diferencia que existe entre el potencial de contratación que se tiene y los compromisos que haya adquirido y que se encuentren en ejecución, para la fecha de presentación de la oferta»</w:t>
      </w:r>
      <w:r w:rsidRPr="00ED0894">
        <w:rPr>
          <w:rFonts w:ascii="Arial" w:eastAsia="Calibri" w:hAnsi="Arial" w:cs="Arial"/>
          <w:color w:val="000000" w:themeColor="text1"/>
          <w:vertAlign w:val="superscript"/>
          <w:lang w:val="es-MX"/>
        </w:rPr>
        <w:footnoteReference w:id="2"/>
      </w:r>
      <w:r w:rsidRPr="00ED0894">
        <w:rPr>
          <w:rFonts w:ascii="Arial" w:hAnsi="Arial" w:cs="Arial"/>
          <w:color w:val="000000" w:themeColor="text1"/>
          <w:lang w:val="es-MX"/>
        </w:rPr>
        <w:t>.</w:t>
      </w:r>
    </w:p>
    <w:p w14:paraId="3579FB4B" w14:textId="77777777" w:rsidR="00C2687E" w:rsidRPr="00ED0894" w:rsidRDefault="00C2687E" w:rsidP="00C2687E">
      <w:pPr>
        <w:spacing w:before="120" w:after="0" w:line="276" w:lineRule="auto"/>
        <w:ind w:firstLine="708"/>
        <w:jc w:val="both"/>
        <w:rPr>
          <w:rFonts w:ascii="Arial" w:hAnsi="Arial" w:cs="Arial"/>
          <w:color w:val="000000" w:themeColor="text1"/>
          <w:lang w:val="es-MX"/>
        </w:rPr>
      </w:pPr>
      <w:r w:rsidRPr="00ED0894">
        <w:rPr>
          <w:rFonts w:ascii="Arial" w:hAnsi="Arial" w:cs="Arial"/>
          <w:color w:val="000000" w:themeColor="text1"/>
          <w:lang w:val="es-MX"/>
        </w:rPr>
        <w:t xml:space="preserve">De esta manera, la capacidad residual se refiere a la suficiencia que tiene el proponente para asumir nuevas obligaciones que se derivan del contrato objeto del proceso de contratación, en relación con las obligaciones que ya adquirió frente a otros contratos. Por su parte, el artículo 6 de la Ley 1150 de 2007 dispone que la capacidad residual de los interesados en participar en procesos de selección para contratos de obra deberá ser igual o superior al que la entidad ha establecido en los pliegos de condiciones, en los siguientes términos: </w:t>
      </w:r>
    </w:p>
    <w:p w14:paraId="23AA4A48" w14:textId="77777777" w:rsidR="00C2687E" w:rsidRPr="00ED0894" w:rsidRDefault="00C2687E" w:rsidP="00C2687E">
      <w:pPr>
        <w:spacing w:after="0" w:line="276" w:lineRule="auto"/>
        <w:ind w:firstLine="708"/>
        <w:jc w:val="both"/>
        <w:rPr>
          <w:rFonts w:ascii="Arial" w:hAnsi="Arial" w:cs="Arial"/>
          <w:color w:val="000000" w:themeColor="text1"/>
          <w:lang w:val="es-MX"/>
        </w:rPr>
      </w:pPr>
    </w:p>
    <w:p w14:paraId="56F0846C" w14:textId="77777777" w:rsidR="00C2687E" w:rsidRPr="00ED0894" w:rsidRDefault="00C2687E" w:rsidP="00C2687E">
      <w:pPr>
        <w:spacing w:after="120" w:line="240" w:lineRule="auto"/>
        <w:ind w:left="709" w:right="709"/>
        <w:jc w:val="both"/>
        <w:rPr>
          <w:rFonts w:ascii="Arial" w:eastAsia="Calibri" w:hAnsi="Arial" w:cs="Arial"/>
          <w:color w:val="000000" w:themeColor="text1"/>
          <w:sz w:val="21"/>
          <w:szCs w:val="21"/>
          <w:lang w:val="es-MX"/>
        </w:rPr>
      </w:pPr>
      <w:r w:rsidRPr="00ED0894">
        <w:rPr>
          <w:rFonts w:ascii="Arial" w:eastAsia="Calibri" w:hAnsi="Arial" w:cs="Arial"/>
          <w:color w:val="000000" w:themeColor="text1"/>
          <w:sz w:val="21"/>
          <w:szCs w:val="21"/>
          <w:lang w:val="es-MX"/>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6414FC06" w14:textId="77777777" w:rsidR="00C2687E" w:rsidRPr="00ED0894" w:rsidRDefault="00C2687E" w:rsidP="00C2687E">
      <w:pPr>
        <w:spacing w:after="0" w:line="240" w:lineRule="auto"/>
        <w:ind w:left="708" w:right="709"/>
        <w:jc w:val="both"/>
        <w:rPr>
          <w:rFonts w:ascii="Arial" w:eastAsia="Calibri" w:hAnsi="Arial" w:cs="Arial"/>
          <w:color w:val="000000" w:themeColor="text1"/>
          <w:sz w:val="21"/>
          <w:szCs w:val="21"/>
          <w:lang w:val="es-MX"/>
        </w:rPr>
      </w:pPr>
      <w:r w:rsidRPr="00ED0894">
        <w:rPr>
          <w:rFonts w:ascii="Arial" w:eastAsia="Calibri" w:hAnsi="Arial" w:cs="Arial"/>
          <w:color w:val="000000" w:themeColor="text1"/>
          <w:sz w:val="21"/>
          <w:szCs w:val="21"/>
          <w:lang w:val="es-MX"/>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14155563" w14:textId="77777777" w:rsidR="00C2687E" w:rsidRPr="00ED0894" w:rsidRDefault="00C2687E" w:rsidP="00C2687E">
      <w:pPr>
        <w:spacing w:after="0" w:line="276" w:lineRule="auto"/>
        <w:ind w:right="709"/>
        <w:jc w:val="both"/>
        <w:rPr>
          <w:rFonts w:ascii="Arial" w:eastAsia="Calibri" w:hAnsi="Arial" w:cs="Arial"/>
          <w:color w:val="000000" w:themeColor="text1"/>
          <w:lang w:val="es-MX"/>
        </w:rPr>
      </w:pPr>
    </w:p>
    <w:p w14:paraId="11797D53" w14:textId="77777777" w:rsidR="00C2687E" w:rsidRPr="00ED0894" w:rsidRDefault="00C2687E" w:rsidP="00C2687E">
      <w:pPr>
        <w:spacing w:line="276" w:lineRule="auto"/>
        <w:ind w:firstLine="709"/>
        <w:jc w:val="both"/>
        <w:rPr>
          <w:rFonts w:ascii="Arial" w:eastAsia="Calibri" w:hAnsi="Arial" w:cs="Arial"/>
          <w:color w:val="000000" w:themeColor="text1"/>
        </w:rPr>
      </w:pPr>
      <w:r w:rsidRPr="00ED0894">
        <w:rPr>
          <w:rFonts w:ascii="Arial" w:eastAsia="Calibri" w:hAnsi="Arial" w:cs="Arial"/>
          <w:color w:val="000000" w:themeColor="text1"/>
          <w:lang w:val="es-MX"/>
        </w:rPr>
        <w:t xml:space="preserve">De acuerdo con </w:t>
      </w:r>
      <w:r w:rsidRPr="00ED0894">
        <w:rPr>
          <w:rFonts w:ascii="Arial" w:eastAsia="Calibri" w:hAnsi="Arial" w:cs="Arial"/>
          <w:color w:val="000000" w:themeColor="text1"/>
        </w:rPr>
        <w:t xml:space="preserve">el artículo 72 de la Ley 1682 de 2013, la «capacidad residual de contratación cuando se realicen contratos de obra pública se obtendrá de sustraer de la capacidad de contratación, el saldo del valor de los contratos en ejecución». La «capacidad de contratación», según se desprende de la misma disposición, «[…] se deberá calcular </w:t>
      </w:r>
      <w:r w:rsidRPr="00ED0894">
        <w:rPr>
          <w:rFonts w:ascii="Arial" w:eastAsia="Calibri" w:hAnsi="Arial" w:cs="Arial"/>
          <w:color w:val="000000" w:themeColor="text1"/>
        </w:rPr>
        <w:lastRenderedPageBreak/>
        <w:t>mediante la evaluación de los siguientes factores: Experiencia (E), Capacidad Financiera (CF), Capacidad Técnica (CT), y Capacidad de Organización (CO)».</w:t>
      </w:r>
    </w:p>
    <w:p w14:paraId="7CC9A221" w14:textId="77777777" w:rsidR="00C2687E" w:rsidRPr="00ED0894" w:rsidRDefault="00C2687E" w:rsidP="00C2687E">
      <w:pPr>
        <w:spacing w:before="120" w:after="120" w:line="276" w:lineRule="auto"/>
        <w:ind w:firstLine="709"/>
        <w:jc w:val="both"/>
        <w:rPr>
          <w:rFonts w:ascii="Arial" w:eastAsia="Calibri" w:hAnsi="Arial" w:cs="Arial"/>
          <w:color w:val="000000" w:themeColor="text1"/>
          <w:lang w:val="es-MX"/>
        </w:rPr>
      </w:pPr>
      <w:bookmarkStart w:id="7" w:name="_Hlk103608376"/>
      <w:r w:rsidRPr="00ED0894">
        <w:rPr>
          <w:rFonts w:ascii="Arial" w:eastAsia="Calibri" w:hAnsi="Arial" w:cs="Arial"/>
          <w:color w:val="000000" w:themeColor="text1"/>
          <w:lang w:val="es-MX"/>
        </w:rPr>
        <w:t xml:space="preserve">Por su parte, el artículo 2.2.1.1.1.6.4 del Decreto 1082 de 2015 dispone que las entidades estatales deberán calcular la capacidad residual conforme a la metodología definida por Colombia Compre Eficiente. Para tale fines, resulta necesario tener en cuenta los factores de i) Experiencia –E–, </w:t>
      </w:r>
      <w:proofErr w:type="spellStart"/>
      <w:r w:rsidRPr="00ED0894">
        <w:rPr>
          <w:rFonts w:ascii="Arial" w:eastAsia="Calibri" w:hAnsi="Arial" w:cs="Arial"/>
          <w:color w:val="000000" w:themeColor="text1"/>
          <w:lang w:val="es-MX"/>
        </w:rPr>
        <w:t>ii</w:t>
      </w:r>
      <w:proofErr w:type="spellEnd"/>
      <w:r w:rsidRPr="00ED0894">
        <w:rPr>
          <w:rFonts w:ascii="Arial" w:eastAsia="Calibri" w:hAnsi="Arial" w:cs="Arial"/>
          <w:color w:val="000000" w:themeColor="text1"/>
          <w:lang w:val="es-MX"/>
        </w:rPr>
        <w:t xml:space="preserve">) Capacidad Financiera –CF–, </w:t>
      </w:r>
      <w:proofErr w:type="spellStart"/>
      <w:r w:rsidRPr="00ED0894">
        <w:rPr>
          <w:rFonts w:ascii="Arial" w:eastAsia="Calibri" w:hAnsi="Arial" w:cs="Arial"/>
          <w:color w:val="000000" w:themeColor="text1"/>
          <w:lang w:val="es-MX"/>
        </w:rPr>
        <w:t>iii</w:t>
      </w:r>
      <w:proofErr w:type="spellEnd"/>
      <w:r w:rsidRPr="00ED0894">
        <w:rPr>
          <w:rFonts w:ascii="Arial" w:eastAsia="Calibri" w:hAnsi="Arial" w:cs="Arial"/>
          <w:color w:val="000000" w:themeColor="text1"/>
          <w:lang w:val="es-MX"/>
        </w:rPr>
        <w:t xml:space="preserve">) Capacidad Técnica –CT–, </w:t>
      </w:r>
      <w:proofErr w:type="spellStart"/>
      <w:r w:rsidRPr="00ED0894">
        <w:rPr>
          <w:rFonts w:ascii="Arial" w:eastAsia="Calibri" w:hAnsi="Arial" w:cs="Arial"/>
          <w:color w:val="000000" w:themeColor="text1"/>
          <w:lang w:val="es-MX"/>
        </w:rPr>
        <w:t>iv</w:t>
      </w:r>
      <w:proofErr w:type="spellEnd"/>
      <w:r w:rsidRPr="00ED0894">
        <w:rPr>
          <w:rFonts w:ascii="Arial" w:eastAsia="Calibri" w:hAnsi="Arial" w:cs="Arial"/>
          <w:color w:val="000000" w:themeColor="text1"/>
          <w:lang w:val="es-MX"/>
        </w:rPr>
        <w:t>) Capacidad de Organización y v) los Saldos de los Contratos en Ejecución –SCE–</w:t>
      </w:r>
    </w:p>
    <w:p w14:paraId="5E5DC90B" w14:textId="77777777" w:rsidR="00C2687E" w:rsidRPr="00ED0894" w:rsidRDefault="00C2687E" w:rsidP="00C2687E">
      <w:pPr>
        <w:spacing w:before="120" w:after="120" w:line="276" w:lineRule="auto"/>
        <w:ind w:firstLine="709"/>
        <w:jc w:val="both"/>
        <w:rPr>
          <w:rFonts w:ascii="Arial" w:hAnsi="Arial" w:cs="Arial"/>
          <w:szCs w:val="20"/>
          <w:lang w:val="es-MX"/>
        </w:rPr>
      </w:pPr>
      <w:r w:rsidRPr="00ED0894">
        <w:rPr>
          <w:rFonts w:ascii="Arial" w:eastAsia="Calibri" w:hAnsi="Arial" w:cs="Arial"/>
          <w:color w:val="000000" w:themeColor="text1"/>
          <w:lang w:val="es-MX"/>
        </w:rPr>
        <w:t xml:space="preserve">De igual manera, </w:t>
      </w:r>
      <w:r w:rsidRPr="00ED0894">
        <w:rPr>
          <w:rFonts w:ascii="Arial" w:hAnsi="Arial" w:cs="Arial"/>
          <w:szCs w:val="20"/>
          <w:lang w:val="es-MX"/>
        </w:rPr>
        <w:t xml:space="preserve">establece que el interesado en celebrar contratos de obra pública acreditará su capacidad residual con los siguientes documentos: i) la lista de los contratos de obras civiles en ejecución suscritos con entidades estatales y con entidades privadas; </w:t>
      </w:r>
      <w:proofErr w:type="spellStart"/>
      <w:r w:rsidRPr="00ED0894">
        <w:rPr>
          <w:rFonts w:ascii="Arial" w:hAnsi="Arial" w:cs="Arial"/>
          <w:szCs w:val="20"/>
          <w:lang w:val="es-MX"/>
        </w:rPr>
        <w:t>ii</w:t>
      </w:r>
      <w:proofErr w:type="spellEnd"/>
      <w:r w:rsidRPr="00ED0894">
        <w:rPr>
          <w:rFonts w:ascii="Arial" w:hAnsi="Arial" w:cs="Arial"/>
          <w:szCs w:val="20"/>
          <w:lang w:val="es-MX"/>
        </w:rPr>
        <w:t xml:space="preserve">) la lista de contratos de obras civiles en ejecución, suscritos por sociedades, consorcios o uniones temporales, en los cuales el proponente tenga participación, con entidades estatales y con entidades privadas; y finalmente </w:t>
      </w:r>
      <w:proofErr w:type="spellStart"/>
      <w:r w:rsidRPr="00ED0894">
        <w:rPr>
          <w:rFonts w:ascii="Arial" w:hAnsi="Arial" w:cs="Arial"/>
          <w:szCs w:val="20"/>
          <w:lang w:val="es-MX"/>
        </w:rPr>
        <w:t>iii</w:t>
      </w:r>
      <w:proofErr w:type="spellEnd"/>
      <w:r w:rsidRPr="00ED0894">
        <w:rPr>
          <w:rFonts w:ascii="Arial" w:hAnsi="Arial" w:cs="Arial"/>
          <w:szCs w:val="20"/>
          <w:lang w:val="es-MX"/>
        </w:rPr>
        <w:t>) el balance general auditado del año inmediatamente anterior y estado de resultados auditado del año en que haya obtenido el mayor ingreso operacional en los últimos cinco (5) años</w:t>
      </w:r>
      <w:bookmarkEnd w:id="7"/>
      <w:r w:rsidRPr="00ED0894">
        <w:rPr>
          <w:rFonts w:ascii="Arial" w:hAnsi="Arial" w:cs="Arial"/>
          <w:szCs w:val="20"/>
          <w:vertAlign w:val="superscript"/>
          <w:lang w:val="es-MX"/>
        </w:rPr>
        <w:footnoteReference w:id="3"/>
      </w:r>
      <w:r w:rsidRPr="00ED0894">
        <w:rPr>
          <w:rFonts w:ascii="Arial" w:hAnsi="Arial" w:cs="Arial"/>
          <w:szCs w:val="20"/>
          <w:lang w:val="es-MX"/>
        </w:rPr>
        <w:t xml:space="preserve">. </w:t>
      </w:r>
    </w:p>
    <w:p w14:paraId="4EF68AFB" w14:textId="77777777" w:rsidR="00C2687E" w:rsidRPr="00ED0894" w:rsidRDefault="00C2687E" w:rsidP="00C2687E">
      <w:pPr>
        <w:spacing w:before="120" w:after="120" w:line="276" w:lineRule="auto"/>
        <w:ind w:firstLine="709"/>
        <w:jc w:val="both"/>
        <w:rPr>
          <w:rFonts w:ascii="Arial" w:eastAsia="Calibri" w:hAnsi="Arial" w:cs="Arial"/>
          <w:bCs/>
          <w:color w:val="000000" w:themeColor="text1"/>
        </w:rPr>
      </w:pPr>
      <w:r w:rsidRPr="00ED0894">
        <w:rPr>
          <w:rFonts w:ascii="Arial" w:hAnsi="Arial" w:cs="Arial"/>
          <w:color w:val="000000" w:themeColor="text1"/>
          <w:lang w:val="es-MX"/>
        </w:rPr>
        <w:t>De conformidad con lo expuesto, la Agencia Nacional de Contratación Pública – Colombia Compra Eficiente expidió la Guía para Determinar y Verificar la Capacidad Residual del Proponente en los Procesos de Contratación de Obra Pública. Este documento establece, entre otras cuestiones, que a la entidad contratante le corresponde, primero, establecer la capacidad residual del proceso de contratación «CRPC» y, segundo, determinar si los proponentes cumplen con la capacidad residual del proceso de contratación, teniendo en cuenta la información mencionada en el párrafo precedente.</w:t>
      </w:r>
    </w:p>
    <w:p w14:paraId="633E8CCF" w14:textId="77777777" w:rsidR="00C2687E" w:rsidRPr="00ED0894" w:rsidRDefault="00C2687E" w:rsidP="00C2687E">
      <w:pPr>
        <w:spacing w:line="276" w:lineRule="auto"/>
        <w:ind w:firstLine="709"/>
        <w:jc w:val="both"/>
        <w:rPr>
          <w:rFonts w:ascii="Arial" w:eastAsia="Calibri" w:hAnsi="Arial" w:cs="Arial"/>
          <w:bCs/>
          <w:color w:val="000000" w:themeColor="text1"/>
        </w:rPr>
      </w:pPr>
      <w:r w:rsidRPr="00ED0894">
        <w:rPr>
          <w:rFonts w:ascii="Arial" w:eastAsia="Calibri" w:hAnsi="Arial" w:cs="Arial"/>
          <w:bCs/>
          <w:color w:val="000000" w:themeColor="text1"/>
        </w:rPr>
        <w:t xml:space="preserve">En relación con el primer aspecto, sobre la determinación de la capacidad residual del proceso de contratación «CRPC», debe determinarse si el plazo del contrato es superior a doce meses. Si no lo es, la CRPC equivale al presupuesto oficial estimado del Proceso de Contratación menos el anticipo o pago anticipado cuando haya lugar. Si lo es, </w:t>
      </w:r>
      <w:r w:rsidRPr="00ED0894">
        <w:rPr>
          <w:rFonts w:ascii="Arial" w:eastAsia="Calibri" w:hAnsi="Arial" w:cs="Arial"/>
          <w:bCs/>
          <w:color w:val="000000" w:themeColor="text1"/>
        </w:rPr>
        <w:lastRenderedPageBreak/>
        <w:t>equivale a la proporción lineal de 12 meses del presupuesto oficial estimado menos el anticipo o pago anticipado.</w:t>
      </w:r>
    </w:p>
    <w:p w14:paraId="71ACC1EE" w14:textId="77777777" w:rsidR="00C2687E" w:rsidRPr="00ED0894" w:rsidRDefault="00C2687E" w:rsidP="00C2687E">
      <w:pPr>
        <w:spacing w:before="120" w:line="276" w:lineRule="auto"/>
        <w:ind w:firstLine="709"/>
        <w:jc w:val="both"/>
        <w:rPr>
          <w:rFonts w:ascii="Arial" w:eastAsia="Calibri" w:hAnsi="Arial" w:cs="Arial"/>
          <w:bCs/>
          <w:color w:val="000000" w:themeColor="text1"/>
        </w:rPr>
      </w:pPr>
      <w:r w:rsidRPr="00ED0894">
        <w:rPr>
          <w:rFonts w:ascii="Arial" w:eastAsia="Calibri" w:hAnsi="Arial" w:cs="Arial"/>
          <w:bCs/>
          <w:color w:val="000000" w:themeColor="text1"/>
        </w:rPr>
        <w:t xml:space="preserve">En cuanto al segundo aspecto, sobre la validación de </w:t>
      </w:r>
      <w:bookmarkStart w:id="8" w:name="_Hlk68683272"/>
      <w:r w:rsidRPr="00ED0894">
        <w:rPr>
          <w:rFonts w:ascii="Arial" w:eastAsia="Calibri" w:hAnsi="Arial" w:cs="Arial"/>
          <w:bCs/>
          <w:color w:val="000000" w:themeColor="text1"/>
        </w:rPr>
        <w:t>que cada proponente cumpla con la CRPC</w:t>
      </w:r>
      <w:bookmarkEnd w:id="8"/>
      <w:r w:rsidRPr="00ED0894">
        <w:rPr>
          <w:rFonts w:ascii="Arial" w:eastAsia="Calibri" w:hAnsi="Arial" w:cs="Arial"/>
          <w:bCs/>
          <w:color w:val="000000" w:themeColor="text1"/>
        </w:rPr>
        <w:t xml:space="preserve">, la entidad pública debe verificar que la capacidad residual del proponente «CRP» sea igual o superior a la capacidad referida en el párrafo precedente. De todas formas, previamente debe establecer la CRP, con fundamento en los siguientes factores: i) experiencia «E»; </w:t>
      </w:r>
      <w:proofErr w:type="spellStart"/>
      <w:r w:rsidRPr="00ED0894">
        <w:rPr>
          <w:rFonts w:ascii="Arial" w:eastAsia="Calibri" w:hAnsi="Arial" w:cs="Arial"/>
          <w:bCs/>
          <w:color w:val="000000" w:themeColor="text1"/>
        </w:rPr>
        <w:t>ii</w:t>
      </w:r>
      <w:proofErr w:type="spellEnd"/>
      <w:r w:rsidRPr="00ED0894">
        <w:rPr>
          <w:rFonts w:ascii="Arial" w:eastAsia="Calibri" w:hAnsi="Arial" w:cs="Arial"/>
          <w:bCs/>
          <w:color w:val="000000" w:themeColor="text1"/>
        </w:rPr>
        <w:t xml:space="preserve">) capacidad financiera «CF»; </w:t>
      </w:r>
      <w:proofErr w:type="spellStart"/>
      <w:r w:rsidRPr="00ED0894">
        <w:rPr>
          <w:rFonts w:ascii="Arial" w:eastAsia="Calibri" w:hAnsi="Arial" w:cs="Arial"/>
          <w:bCs/>
          <w:color w:val="000000" w:themeColor="text1"/>
        </w:rPr>
        <w:t>iii</w:t>
      </w:r>
      <w:proofErr w:type="spellEnd"/>
      <w:r w:rsidRPr="00ED0894">
        <w:rPr>
          <w:rFonts w:ascii="Arial" w:eastAsia="Calibri" w:hAnsi="Arial" w:cs="Arial"/>
          <w:bCs/>
          <w:color w:val="000000" w:themeColor="text1"/>
        </w:rPr>
        <w:t xml:space="preserve">) capacidad técnica «CT», </w:t>
      </w:r>
      <w:proofErr w:type="spellStart"/>
      <w:r w:rsidRPr="00ED0894">
        <w:rPr>
          <w:rFonts w:ascii="Arial" w:eastAsia="Calibri" w:hAnsi="Arial" w:cs="Arial"/>
          <w:bCs/>
          <w:color w:val="000000" w:themeColor="text1"/>
        </w:rPr>
        <w:t>iv</w:t>
      </w:r>
      <w:proofErr w:type="spellEnd"/>
      <w:r w:rsidRPr="00ED0894">
        <w:rPr>
          <w:rFonts w:ascii="Arial" w:eastAsia="Calibri" w:hAnsi="Arial" w:cs="Arial"/>
          <w:bCs/>
          <w:color w:val="000000" w:themeColor="text1"/>
        </w:rPr>
        <w:t>) capacidad de organización «CO»; y v) los saldos de los contratos en ejecución «SCE», según la siguiente formula:</w:t>
      </w:r>
    </w:p>
    <w:p w14:paraId="0B98B469" w14:textId="77777777" w:rsidR="00C2687E" w:rsidRPr="00ED0894" w:rsidRDefault="00C2687E" w:rsidP="00C2687E">
      <w:pPr>
        <w:spacing w:line="276" w:lineRule="auto"/>
        <w:ind w:firstLine="709"/>
        <w:jc w:val="both"/>
        <w:rPr>
          <w:rFonts w:ascii="Arial" w:eastAsia="Calibri" w:hAnsi="Arial" w:cs="Arial"/>
          <w:bCs/>
          <w:color w:val="000000" w:themeColor="text1"/>
        </w:rPr>
      </w:pPr>
      <w:r w:rsidRPr="00ED0894">
        <w:rPr>
          <w:rFonts w:ascii="Arial" w:eastAsia="Calibri" w:hAnsi="Arial" w:cs="Arial"/>
          <w:bCs/>
          <w:noProof/>
          <w:color w:val="000000" w:themeColor="text1"/>
        </w:rPr>
        <w:drawing>
          <wp:anchor distT="0" distB="0" distL="0" distR="0" simplePos="0" relativeHeight="251661312" behindDoc="0" locked="0" layoutInCell="1" allowOverlap="1" wp14:anchorId="671EFCF4" wp14:editId="2ADAFD60">
            <wp:simplePos x="0" y="0"/>
            <wp:positionH relativeFrom="margin">
              <wp:align>center</wp:align>
            </wp:positionH>
            <wp:positionV relativeFrom="paragraph">
              <wp:posOffset>222250</wp:posOffset>
            </wp:positionV>
            <wp:extent cx="4638040" cy="552450"/>
            <wp:effectExtent l="0" t="0" r="0" b="0"/>
            <wp:wrapTopAndBottom/>
            <wp:docPr id="1" name="image3.jpeg"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descr="Diagrama&#10;&#10;Descripción generada automáticamente"/>
                    <pic:cNvPicPr/>
                  </pic:nvPicPr>
                  <pic:blipFill>
                    <a:blip r:embed="rId12" cstate="print"/>
                    <a:stretch>
                      <a:fillRect/>
                    </a:stretch>
                  </pic:blipFill>
                  <pic:spPr>
                    <a:xfrm>
                      <a:off x="0" y="0"/>
                      <a:ext cx="4638040" cy="552450"/>
                    </a:xfrm>
                    <a:prstGeom prst="rect">
                      <a:avLst/>
                    </a:prstGeom>
                  </pic:spPr>
                </pic:pic>
              </a:graphicData>
            </a:graphic>
            <wp14:sizeRelH relativeFrom="margin">
              <wp14:pctWidth>0</wp14:pctWidth>
            </wp14:sizeRelH>
            <wp14:sizeRelV relativeFrom="margin">
              <wp14:pctHeight>0</wp14:pctHeight>
            </wp14:sizeRelV>
          </wp:anchor>
        </w:drawing>
      </w:r>
    </w:p>
    <w:p w14:paraId="7C4DD7D0" w14:textId="77777777" w:rsidR="00C2687E" w:rsidRPr="00ED0894" w:rsidRDefault="00C2687E" w:rsidP="00C2687E">
      <w:pPr>
        <w:spacing w:line="276" w:lineRule="auto"/>
        <w:jc w:val="both"/>
        <w:rPr>
          <w:rFonts w:ascii="Arial" w:eastAsia="Calibri" w:hAnsi="Arial" w:cs="Arial"/>
          <w:bCs/>
          <w:color w:val="000000" w:themeColor="text1"/>
          <w:lang w:val="es-MX"/>
        </w:rPr>
      </w:pPr>
    </w:p>
    <w:p w14:paraId="515D4531" w14:textId="77777777" w:rsidR="00C2687E" w:rsidRPr="00ED0894" w:rsidRDefault="00C2687E" w:rsidP="00C2687E">
      <w:pPr>
        <w:spacing w:after="0" w:line="276" w:lineRule="auto"/>
        <w:ind w:firstLine="709"/>
        <w:jc w:val="both"/>
        <w:rPr>
          <w:rFonts w:ascii="Arial" w:hAnsi="Arial" w:cs="Arial"/>
          <w:i/>
          <w:iCs/>
        </w:rPr>
      </w:pPr>
      <w:r w:rsidRPr="00ED0894">
        <w:rPr>
          <w:rFonts w:ascii="Arial" w:eastAsia="Calibri" w:hAnsi="Arial" w:cs="Arial"/>
          <w:bCs/>
          <w:color w:val="000000" w:themeColor="text1"/>
          <w:lang w:val="es-MX"/>
        </w:rPr>
        <w:t xml:space="preserve">Particularmente, </w:t>
      </w:r>
      <w:bookmarkStart w:id="9" w:name="_Hlk100139879"/>
      <w:r w:rsidRPr="00ED0894">
        <w:rPr>
          <w:rFonts w:ascii="Arial" w:eastAsia="Calibri" w:hAnsi="Arial" w:cs="Arial"/>
          <w:bCs/>
          <w:color w:val="000000" w:themeColor="text1"/>
          <w:lang w:val="es-MX"/>
        </w:rPr>
        <w:t xml:space="preserve">respecto del factor de saldos de los contratos en ejecución </w:t>
      </w:r>
      <w:r w:rsidRPr="00ED0894">
        <w:rPr>
          <w:rFonts w:ascii="Arial" w:eastAsia="Calibri" w:hAnsi="Arial" w:cs="Arial"/>
          <w:bCs/>
          <w:color w:val="000000" w:themeColor="text1"/>
        </w:rPr>
        <w:t>«SCE»,</w:t>
      </w:r>
      <w:r w:rsidRPr="00ED0894">
        <w:rPr>
          <w:rFonts w:ascii="Arial" w:hAnsi="Arial" w:cs="Arial"/>
        </w:rPr>
        <w:t xml:space="preserve"> es necesario tener en cuenta que la Guía para Determinar y Verificar la Capacidad Residual del Proponente en los Procesos de Contratación de Obra Pública</w:t>
      </w:r>
      <w:r w:rsidRPr="00ED0894">
        <w:rPr>
          <w:rFonts w:ascii="Arial" w:hAnsi="Arial" w:cs="Arial"/>
          <w:i/>
          <w:iCs/>
        </w:rPr>
        <w:t xml:space="preserve">, </w:t>
      </w:r>
      <w:r w:rsidRPr="00ED0894">
        <w:rPr>
          <w:rFonts w:ascii="Arial" w:hAnsi="Arial" w:cs="Arial"/>
        </w:rPr>
        <w:t xml:space="preserve">define a este factor </w:t>
      </w:r>
      <w:r w:rsidRPr="00ED0894">
        <w:rPr>
          <w:rFonts w:ascii="Arial" w:eastAsia="Calibri" w:hAnsi="Arial" w:cs="Arial"/>
          <w:bCs/>
          <w:color w:val="000000" w:themeColor="text1"/>
        </w:rPr>
        <w:t>como «la suma de los montos por ejecutar de los contratos en ejecución durante los 12 meses siguientes»</w:t>
      </w:r>
      <w:bookmarkEnd w:id="9"/>
      <w:r w:rsidRPr="00ED0894">
        <w:rPr>
          <w:rFonts w:ascii="Arial" w:eastAsia="Calibri" w:hAnsi="Arial" w:cs="Arial"/>
          <w:bCs/>
          <w:color w:val="000000" w:themeColor="text1"/>
        </w:rPr>
        <w:t>. Así mismo, define los</w:t>
      </w:r>
      <w:r w:rsidRPr="00ED0894">
        <w:rPr>
          <w:rFonts w:ascii="Arial" w:hAnsi="Arial" w:cs="Arial"/>
        </w:rPr>
        <w:t xml:space="preserve"> </w:t>
      </w:r>
      <w:bookmarkStart w:id="10" w:name="_Hlk78819022"/>
      <w:r w:rsidRPr="00ED0894">
        <w:rPr>
          <w:rFonts w:ascii="Arial" w:hAnsi="Arial" w:cs="Arial"/>
          <w:i/>
          <w:iCs/>
        </w:rPr>
        <w:t>Contratos en Ejecución</w:t>
      </w:r>
      <w:r w:rsidRPr="00ED0894">
        <w:rPr>
          <w:rFonts w:ascii="Arial" w:hAnsi="Arial" w:cs="Arial"/>
        </w:rPr>
        <w:t xml:space="preserve"> </w:t>
      </w:r>
      <w:bookmarkEnd w:id="10"/>
      <w:r w:rsidRPr="00ED0894">
        <w:rPr>
          <w:rFonts w:ascii="Arial" w:hAnsi="Arial" w:cs="Arial"/>
        </w:rPr>
        <w:t xml:space="preserve">de la siguiente manera: </w:t>
      </w:r>
      <w:r w:rsidRPr="00ED0894">
        <w:rPr>
          <w:rFonts w:ascii="Arial" w:hAnsi="Arial" w:cs="Arial"/>
          <w:i/>
          <w:iCs/>
        </w:rPr>
        <w:t xml:space="preserve"> </w:t>
      </w:r>
    </w:p>
    <w:p w14:paraId="023441BF" w14:textId="77777777" w:rsidR="00C2687E" w:rsidRPr="00ED0894" w:rsidRDefault="00C2687E" w:rsidP="00C2687E">
      <w:pPr>
        <w:spacing w:after="0" w:line="276" w:lineRule="auto"/>
        <w:ind w:firstLine="709"/>
        <w:jc w:val="both"/>
        <w:rPr>
          <w:rFonts w:ascii="Arial" w:hAnsi="Arial" w:cs="Arial"/>
        </w:rPr>
      </w:pPr>
    </w:p>
    <w:p w14:paraId="29CAE0CE" w14:textId="30C68E08" w:rsidR="00C2687E" w:rsidRPr="00ED0894" w:rsidRDefault="00C2687E" w:rsidP="00C2687E">
      <w:pPr>
        <w:spacing w:after="0" w:line="240" w:lineRule="auto"/>
        <w:ind w:left="709" w:right="709"/>
        <w:jc w:val="both"/>
        <w:rPr>
          <w:rFonts w:ascii="Arial" w:hAnsi="Arial" w:cs="Arial"/>
          <w:sz w:val="21"/>
          <w:szCs w:val="21"/>
        </w:rPr>
      </w:pPr>
      <w:r w:rsidRPr="00ED0894">
        <w:rPr>
          <w:rFonts w:ascii="Arial" w:hAnsi="Arial" w:cs="Arial"/>
          <w:sz w:val="21"/>
          <w:szCs w:val="21"/>
        </w:rPr>
        <w:t>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p>
    <w:p w14:paraId="4C439110" w14:textId="020A35EA" w:rsidR="00C2687E" w:rsidRPr="00ED0894" w:rsidRDefault="00C2687E" w:rsidP="00C2687E">
      <w:pPr>
        <w:spacing w:after="0" w:line="276" w:lineRule="auto"/>
        <w:ind w:right="709"/>
        <w:jc w:val="both"/>
        <w:rPr>
          <w:rFonts w:ascii="Arial" w:hAnsi="Arial" w:cs="Arial"/>
        </w:rPr>
      </w:pPr>
    </w:p>
    <w:p w14:paraId="28427964" w14:textId="77777777" w:rsidR="00B74220" w:rsidRPr="00ED0894" w:rsidRDefault="00C2687E" w:rsidP="00B74220">
      <w:pPr>
        <w:spacing w:after="0" w:line="276" w:lineRule="auto"/>
        <w:ind w:firstLine="709"/>
        <w:jc w:val="both"/>
        <w:rPr>
          <w:rFonts w:ascii="Arial" w:hAnsi="Arial" w:cs="Arial"/>
          <w:szCs w:val="20"/>
          <w:lang w:val="es-MX"/>
        </w:rPr>
      </w:pPr>
      <w:bookmarkStart w:id="11" w:name="_Hlk100139912"/>
      <w:bookmarkStart w:id="12" w:name="_Hlk103609030"/>
      <w:r w:rsidRPr="00ED0894">
        <w:rPr>
          <w:rFonts w:ascii="Arial" w:hAnsi="Arial" w:cs="Arial"/>
        </w:rPr>
        <w:t>En este sentido, los saldos pendientes se derivan de las obligaciones que se encuentran en ejecución al momento de la presentación de la oferta y se refieren a contratos cuyo objeto sea la ejecución de obras civiles</w:t>
      </w:r>
      <w:bookmarkEnd w:id="11"/>
      <w:r w:rsidRPr="00ED0894">
        <w:rPr>
          <w:rFonts w:ascii="Arial" w:hAnsi="Arial" w:cs="Arial"/>
        </w:rPr>
        <w:t xml:space="preserve">. </w:t>
      </w:r>
      <w:bookmarkStart w:id="13" w:name="_Hlk100139986"/>
      <w:r w:rsidRPr="00ED0894">
        <w:rPr>
          <w:rFonts w:ascii="Arial" w:hAnsi="Arial" w:cs="Arial"/>
        </w:rPr>
        <w:t xml:space="preserve">Se aclara que deben tenerse en cuenta los contratos sin acta de inicio, pues el criterio determinante para establecer si un contrato se encuentra en ejecución no lo determina el acta, sino que el mismo contrato obligue al proponente, tal como se establece en la Guía indicada. Además, los saldos pendientes por ejecutar de los contratos afectados por una suspensión constituyen, también, información relevante para calcular la capacidad residual del proponente </w:t>
      </w:r>
      <w:r w:rsidRPr="00ED0894">
        <w:rPr>
          <w:rFonts w:ascii="Arial" w:eastAsia="Calibri" w:hAnsi="Arial" w:cs="Arial"/>
          <w:b/>
          <w:color w:val="000000" w:themeColor="text1"/>
        </w:rPr>
        <w:t>«</w:t>
      </w:r>
      <w:r w:rsidRPr="00ED0894">
        <w:rPr>
          <w:rFonts w:ascii="Arial" w:eastAsia="Calibri" w:hAnsi="Arial" w:cs="Arial"/>
          <w:bCs/>
          <w:color w:val="000000" w:themeColor="text1"/>
        </w:rPr>
        <w:t>CRP</w:t>
      </w:r>
      <w:r w:rsidRPr="00ED0894">
        <w:rPr>
          <w:rFonts w:ascii="Arial" w:eastAsia="Calibri" w:hAnsi="Arial" w:cs="Arial"/>
          <w:b/>
          <w:color w:val="000000" w:themeColor="text1"/>
        </w:rPr>
        <w:t>»</w:t>
      </w:r>
      <w:r w:rsidRPr="00ED0894">
        <w:rPr>
          <w:rFonts w:ascii="Arial" w:hAnsi="Arial" w:cs="Arial"/>
        </w:rPr>
        <w:t>. Lo anterior, en la medida en que la ejecución de los contratos en principio suspendidos puede, eventualmente, afectar la aptitud del oferente para cumplir con el contrato ofertado, razón por la que, ante la posibilidad de que tales contratos se reanuden, la Guía estimó necesario evaluar los saldos pendientes por ejecutar de tales contratos para determinar si el proponente cumple con la capacidad residual requerida</w:t>
      </w:r>
      <w:bookmarkEnd w:id="13"/>
      <w:bookmarkEnd w:id="12"/>
      <w:r w:rsidRPr="00ED0894">
        <w:rPr>
          <w:rFonts w:ascii="Arial" w:hAnsi="Arial" w:cs="Arial"/>
        </w:rPr>
        <w:t>.</w:t>
      </w:r>
      <w:r w:rsidR="00B74220" w:rsidRPr="00ED0894">
        <w:rPr>
          <w:rFonts w:ascii="Arial" w:hAnsi="Arial" w:cs="Arial"/>
        </w:rPr>
        <w:t xml:space="preserve"> </w:t>
      </w:r>
      <w:r w:rsidR="00B74220" w:rsidRPr="00ED0894">
        <w:rPr>
          <w:rFonts w:ascii="Arial" w:hAnsi="Arial" w:cs="Arial"/>
          <w:szCs w:val="20"/>
          <w:lang w:val="es-MX"/>
        </w:rPr>
        <w:t>Por lo demás, en dicha guía también se precisa que:</w:t>
      </w:r>
    </w:p>
    <w:p w14:paraId="1937CC12" w14:textId="77777777" w:rsidR="00B74220" w:rsidRPr="00ED0894" w:rsidRDefault="00B74220" w:rsidP="00B74220">
      <w:pPr>
        <w:spacing w:after="0" w:line="276" w:lineRule="auto"/>
        <w:ind w:firstLine="709"/>
        <w:jc w:val="both"/>
        <w:rPr>
          <w:rFonts w:ascii="Arial" w:hAnsi="Arial" w:cs="Arial"/>
          <w:szCs w:val="20"/>
          <w:lang w:val="es-MX"/>
        </w:rPr>
      </w:pPr>
    </w:p>
    <w:p w14:paraId="0C9C80BF" w14:textId="77777777" w:rsidR="00B74220" w:rsidRPr="00ED0894" w:rsidRDefault="00B74220" w:rsidP="00B74220">
      <w:pPr>
        <w:spacing w:after="0" w:line="240" w:lineRule="auto"/>
        <w:ind w:left="709" w:right="709"/>
        <w:jc w:val="both"/>
        <w:rPr>
          <w:rFonts w:ascii="Arial" w:hAnsi="Arial" w:cs="Arial"/>
          <w:sz w:val="21"/>
          <w:szCs w:val="21"/>
        </w:rPr>
      </w:pPr>
      <w:bookmarkStart w:id="14" w:name="_Hlk100140013"/>
      <w:r w:rsidRPr="00ED0894">
        <w:rPr>
          <w:rFonts w:ascii="Arial" w:hAnsi="Arial" w:cs="Arial"/>
          <w:sz w:val="21"/>
          <w:szCs w:val="21"/>
        </w:rPr>
        <w:t>El cálculo del Saldo de los Contratos en Ejecución debe hacerse linealmente calculando una ejecución diaria equivalente al valor del contrato dividido por el plazo del contrato expresado en días. Este resultado se multiplica por el número de días pendientes para cumplir el plazo del contrato y si el contrato es ejecutado por una estructura plural por la participación del proponente en el respectivo contratista. Si el número de días por ejecutar en un contrato es superior a 12 meses, es decir 360 días, el Saldo del Contrato en Ejecución solo tendrá en cuenta la proporción lineal de 12 meses</w:t>
      </w:r>
      <w:bookmarkEnd w:id="14"/>
      <w:r w:rsidRPr="00ED0894">
        <w:rPr>
          <w:rFonts w:ascii="Arial" w:hAnsi="Arial" w:cs="Arial"/>
          <w:sz w:val="21"/>
          <w:szCs w:val="21"/>
        </w:rPr>
        <w:t>.</w:t>
      </w:r>
    </w:p>
    <w:p w14:paraId="6B03C752" w14:textId="77777777" w:rsidR="00B74220" w:rsidRPr="00ED0894" w:rsidRDefault="00B74220" w:rsidP="00B74220">
      <w:pPr>
        <w:spacing w:after="120" w:line="240" w:lineRule="auto"/>
        <w:ind w:left="709" w:right="709"/>
        <w:jc w:val="both"/>
        <w:rPr>
          <w:rFonts w:ascii="Arial" w:hAnsi="Arial" w:cs="Arial"/>
          <w:sz w:val="21"/>
          <w:szCs w:val="21"/>
          <w:lang w:val="es-MX"/>
        </w:rPr>
      </w:pPr>
      <w:r w:rsidRPr="00ED0894">
        <w:rPr>
          <w:rFonts w:ascii="Arial" w:hAnsi="Arial" w:cs="Arial"/>
          <w:sz w:val="21"/>
          <w:szCs w:val="21"/>
          <w:lang w:val="es-MX"/>
        </w:rPr>
        <w:t>[…]</w:t>
      </w:r>
    </w:p>
    <w:p w14:paraId="0B028DE0" w14:textId="77777777" w:rsidR="00B74220" w:rsidRPr="00ED0894" w:rsidRDefault="00B74220" w:rsidP="00B74220">
      <w:pPr>
        <w:spacing w:after="0" w:line="240" w:lineRule="auto"/>
        <w:ind w:left="709" w:right="709"/>
        <w:jc w:val="both"/>
        <w:rPr>
          <w:rFonts w:ascii="Arial" w:hAnsi="Arial" w:cs="Arial"/>
          <w:sz w:val="21"/>
          <w:szCs w:val="21"/>
        </w:rPr>
      </w:pPr>
      <w:r w:rsidRPr="00ED0894">
        <w:rPr>
          <w:rFonts w:ascii="Arial" w:hAnsi="Arial" w:cs="Arial"/>
          <w:i/>
          <w:iCs/>
          <w:sz w:val="21"/>
          <w:szCs w:val="21"/>
        </w:rPr>
        <w:t>Si un contrato se encuentra suspendido, el cálculo del Saldo del Contrato en Ejecución de dicho contrato debe calcularse asumiendo que lo que falta por ejecutar empezará a ejecutarse en la fecha de la presentación de la oferta del Proceso de Contratación</w:t>
      </w:r>
      <w:r w:rsidRPr="00ED0894">
        <w:rPr>
          <w:rFonts w:ascii="Arial" w:hAnsi="Arial" w:cs="Arial"/>
          <w:sz w:val="21"/>
          <w:szCs w:val="21"/>
        </w:rPr>
        <w:t>. (Énfasis fuera de texto)</w:t>
      </w:r>
    </w:p>
    <w:p w14:paraId="67CEF8D6" w14:textId="7C09923A" w:rsidR="00C2687E" w:rsidRPr="00ED0894" w:rsidRDefault="00C2687E" w:rsidP="00ED0894">
      <w:pPr>
        <w:spacing w:after="0" w:line="276" w:lineRule="auto"/>
        <w:ind w:firstLine="709"/>
        <w:jc w:val="both"/>
        <w:rPr>
          <w:rFonts w:ascii="Arial" w:hAnsi="Arial" w:cs="Arial"/>
        </w:rPr>
      </w:pPr>
    </w:p>
    <w:p w14:paraId="0A2D07C8" w14:textId="77777777" w:rsidR="00C2687E" w:rsidRPr="00ED0894" w:rsidRDefault="00C2687E" w:rsidP="00C2687E">
      <w:pPr>
        <w:spacing w:after="0" w:line="276" w:lineRule="auto"/>
        <w:ind w:firstLine="709"/>
        <w:jc w:val="both"/>
        <w:rPr>
          <w:rFonts w:ascii="Arial" w:hAnsi="Arial" w:cs="Arial"/>
        </w:rPr>
      </w:pPr>
      <w:r w:rsidRPr="00ED0894">
        <w:rPr>
          <w:rFonts w:ascii="Arial" w:hAnsi="Arial" w:cs="Arial"/>
        </w:rPr>
        <w:t xml:space="preserve">De este modo, para acreditar el factor </w:t>
      </w:r>
      <w:r w:rsidRPr="00ED0894">
        <w:rPr>
          <w:rFonts w:ascii="Arial" w:eastAsia="Calibri" w:hAnsi="Arial" w:cs="Arial"/>
          <w:bCs/>
          <w:color w:val="000000" w:themeColor="text1"/>
          <w:lang w:val="es-MX"/>
        </w:rPr>
        <w:t xml:space="preserve">saldos de los contratos en ejecución </w:t>
      </w:r>
      <w:r w:rsidRPr="00ED0894">
        <w:rPr>
          <w:rFonts w:ascii="Arial" w:eastAsia="Calibri" w:hAnsi="Arial" w:cs="Arial"/>
          <w:bCs/>
          <w:color w:val="000000" w:themeColor="text1"/>
        </w:rPr>
        <w:t>«SCE»</w:t>
      </w:r>
      <w:r w:rsidRPr="00ED0894">
        <w:rPr>
          <w:rFonts w:ascii="Arial" w:hAnsi="Arial" w:cs="Arial"/>
        </w:rPr>
        <w:t xml:space="preserve">  como lo establece la Guía, el proponente debe presentar la lista de contratos de obras civiles en ejecución, tanto a nivel nacional como internacional señalando: i) el valor del contrato; </w:t>
      </w:r>
      <w:proofErr w:type="spellStart"/>
      <w:r w:rsidRPr="00ED0894">
        <w:rPr>
          <w:rFonts w:ascii="Arial" w:hAnsi="Arial" w:cs="Arial"/>
        </w:rPr>
        <w:t>ii</w:t>
      </w:r>
      <w:proofErr w:type="spellEnd"/>
      <w:r w:rsidRPr="00ED0894">
        <w:rPr>
          <w:rFonts w:ascii="Arial" w:hAnsi="Arial" w:cs="Arial"/>
        </w:rPr>
        <w:t xml:space="preserve">) el plazo del contrato en meses; </w:t>
      </w:r>
      <w:proofErr w:type="spellStart"/>
      <w:r w:rsidRPr="00ED0894">
        <w:rPr>
          <w:rFonts w:ascii="Arial" w:hAnsi="Arial" w:cs="Arial"/>
        </w:rPr>
        <w:t>iii</w:t>
      </w:r>
      <w:proofErr w:type="spellEnd"/>
      <w:r w:rsidRPr="00ED0894">
        <w:rPr>
          <w:rFonts w:ascii="Arial" w:hAnsi="Arial" w:cs="Arial"/>
        </w:rPr>
        <w:t xml:space="preserve">) la fecha de inicio de las obras objeto del contrato (día, mes, año); </w:t>
      </w:r>
      <w:proofErr w:type="spellStart"/>
      <w:r w:rsidRPr="00ED0894">
        <w:rPr>
          <w:rFonts w:ascii="Arial" w:hAnsi="Arial" w:cs="Arial"/>
        </w:rPr>
        <w:t>iv</w:t>
      </w:r>
      <w:proofErr w:type="spellEnd"/>
      <w:r w:rsidRPr="00ED0894">
        <w:rPr>
          <w:rFonts w:ascii="Arial" w:hAnsi="Arial" w:cs="Arial"/>
        </w:rPr>
        <w:t xml:space="preserve">)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 En concordancia con lo anterior, sobre la acreditación del factor </w:t>
      </w:r>
      <w:r w:rsidRPr="00ED0894">
        <w:rPr>
          <w:rFonts w:ascii="Arial" w:eastAsia="Calibri" w:hAnsi="Arial" w:cs="Arial"/>
          <w:bCs/>
          <w:color w:val="000000" w:themeColor="text1"/>
        </w:rPr>
        <w:t xml:space="preserve">«SCE» </w:t>
      </w:r>
      <w:r w:rsidRPr="00ED0894">
        <w:rPr>
          <w:rFonts w:ascii="Arial" w:hAnsi="Arial" w:cs="Arial"/>
        </w:rPr>
        <w:t xml:space="preserve">en los documentos tipo de licitación de obra pública para infraestructura de transporte, </w:t>
      </w:r>
      <w:bookmarkStart w:id="15" w:name="_Hlk100140108"/>
      <w:r w:rsidRPr="00ED0894">
        <w:rPr>
          <w:rFonts w:ascii="Arial" w:hAnsi="Arial" w:cs="Arial"/>
        </w:rPr>
        <w:t>el literal E del numeral 3.10.2 del documento base</w:t>
      </w:r>
      <w:bookmarkEnd w:id="15"/>
      <w:r w:rsidRPr="00ED0894">
        <w:rPr>
          <w:rFonts w:ascii="Arial" w:hAnsi="Arial" w:cs="Arial"/>
        </w:rPr>
        <w:t xml:space="preserve"> señala lo siguiente:</w:t>
      </w:r>
    </w:p>
    <w:p w14:paraId="7C90358E" w14:textId="77777777" w:rsidR="00C2687E" w:rsidRPr="00ED0894" w:rsidRDefault="00C2687E" w:rsidP="00C2687E">
      <w:pPr>
        <w:spacing w:after="0" w:line="276" w:lineRule="auto"/>
        <w:ind w:firstLine="709"/>
        <w:jc w:val="both"/>
        <w:rPr>
          <w:rFonts w:ascii="Arial" w:hAnsi="Arial" w:cs="Arial"/>
        </w:rPr>
      </w:pPr>
    </w:p>
    <w:p w14:paraId="436387BD" w14:textId="77777777" w:rsidR="00C2687E" w:rsidRPr="00ED0894" w:rsidRDefault="00C2687E" w:rsidP="00C2687E">
      <w:pPr>
        <w:spacing w:after="0"/>
        <w:ind w:left="709" w:right="709"/>
        <w:jc w:val="both"/>
        <w:rPr>
          <w:rFonts w:ascii="Arial" w:eastAsia="Arial," w:hAnsi="Arial" w:cs="Arial"/>
          <w:sz w:val="21"/>
          <w:szCs w:val="21"/>
        </w:rPr>
      </w:pPr>
      <w:r w:rsidRPr="00ED0894">
        <w:rPr>
          <w:rFonts w:ascii="Arial" w:hAnsi="Arial" w:cs="Arial"/>
          <w:sz w:val="21"/>
          <w:szCs w:val="21"/>
        </w:rPr>
        <w:t>Para</w:t>
      </w:r>
      <w:r w:rsidRPr="00ED0894">
        <w:rPr>
          <w:rFonts w:ascii="Arial" w:eastAsia="Arial," w:hAnsi="Arial" w:cs="Arial"/>
          <w:sz w:val="21"/>
          <w:szCs w:val="21"/>
        </w:rPr>
        <w:t xml:space="preserve"> </w:t>
      </w:r>
      <w:r w:rsidRPr="00ED0894">
        <w:rPr>
          <w:rFonts w:ascii="Arial" w:hAnsi="Arial" w:cs="Arial"/>
          <w:sz w:val="21"/>
          <w:szCs w:val="21"/>
        </w:rPr>
        <w:t>acreditar</w:t>
      </w:r>
      <w:r w:rsidRPr="00ED0894">
        <w:rPr>
          <w:rFonts w:ascii="Arial" w:eastAsia="Arial," w:hAnsi="Arial" w:cs="Arial"/>
          <w:sz w:val="21"/>
          <w:szCs w:val="21"/>
        </w:rPr>
        <w:t xml:space="preserve"> </w:t>
      </w:r>
      <w:r w:rsidRPr="00ED0894">
        <w:rPr>
          <w:rFonts w:ascii="Arial" w:hAnsi="Arial" w:cs="Arial"/>
          <w:sz w:val="21"/>
          <w:szCs w:val="21"/>
        </w:rPr>
        <w:t>el</w:t>
      </w:r>
      <w:r w:rsidRPr="00ED0894">
        <w:rPr>
          <w:rFonts w:ascii="Arial" w:eastAsia="Arial," w:hAnsi="Arial" w:cs="Arial"/>
          <w:sz w:val="21"/>
          <w:szCs w:val="21"/>
        </w:rPr>
        <w:t xml:space="preserve"> </w:t>
      </w:r>
      <w:r w:rsidRPr="00ED0894">
        <w:rPr>
          <w:rFonts w:ascii="Arial" w:hAnsi="Arial" w:cs="Arial"/>
          <w:sz w:val="21"/>
          <w:szCs w:val="21"/>
        </w:rPr>
        <w:t>factor</w:t>
      </w:r>
      <w:r w:rsidRPr="00ED0894">
        <w:rPr>
          <w:rFonts w:ascii="Arial" w:eastAsia="Arial," w:hAnsi="Arial" w:cs="Arial"/>
          <w:sz w:val="21"/>
          <w:szCs w:val="21"/>
        </w:rPr>
        <w:t xml:space="preserve"> </w:t>
      </w:r>
      <w:r w:rsidRPr="00ED0894">
        <w:rPr>
          <w:rFonts w:ascii="Arial" w:hAnsi="Arial" w:cs="Arial"/>
          <w:sz w:val="21"/>
          <w:szCs w:val="21"/>
        </w:rPr>
        <w:t>(SCE)</w:t>
      </w:r>
      <w:r w:rsidRPr="00ED0894">
        <w:rPr>
          <w:rFonts w:ascii="Arial" w:eastAsia="Arial," w:hAnsi="Arial" w:cs="Arial"/>
          <w:sz w:val="21"/>
          <w:szCs w:val="21"/>
        </w:rPr>
        <w:t xml:space="preserve"> </w:t>
      </w:r>
      <w:r w:rsidRPr="00ED0894">
        <w:rPr>
          <w:rFonts w:ascii="Arial" w:hAnsi="Arial" w:cs="Arial"/>
          <w:sz w:val="21"/>
          <w:szCs w:val="21"/>
        </w:rPr>
        <w:t>el</w:t>
      </w:r>
      <w:r w:rsidRPr="00ED0894">
        <w:rPr>
          <w:rFonts w:ascii="Arial" w:eastAsia="Arial," w:hAnsi="Arial" w:cs="Arial"/>
          <w:sz w:val="21"/>
          <w:szCs w:val="21"/>
        </w:rPr>
        <w:t xml:space="preserve"> </w:t>
      </w:r>
      <w:r w:rsidRPr="00ED0894">
        <w:rPr>
          <w:rFonts w:ascii="Arial" w:hAnsi="Arial" w:cs="Arial"/>
          <w:sz w:val="21"/>
          <w:szCs w:val="21"/>
        </w:rPr>
        <w:t>Proponente</w:t>
      </w:r>
      <w:r w:rsidRPr="00ED0894">
        <w:rPr>
          <w:rFonts w:ascii="Arial" w:eastAsia="Arial," w:hAnsi="Arial" w:cs="Arial"/>
          <w:sz w:val="21"/>
          <w:szCs w:val="21"/>
        </w:rPr>
        <w:t xml:space="preserve"> </w:t>
      </w:r>
      <w:r w:rsidRPr="00ED0894">
        <w:rPr>
          <w:rFonts w:ascii="Arial" w:hAnsi="Arial" w:cs="Arial"/>
          <w:sz w:val="21"/>
          <w:szCs w:val="21"/>
        </w:rPr>
        <w:t>tendrá</w:t>
      </w:r>
      <w:r w:rsidRPr="00ED0894">
        <w:rPr>
          <w:rFonts w:ascii="Arial" w:eastAsia="Arial," w:hAnsi="Arial" w:cs="Arial"/>
          <w:sz w:val="21"/>
          <w:szCs w:val="21"/>
        </w:rPr>
        <w:t xml:space="preserve"> </w:t>
      </w:r>
      <w:r w:rsidRPr="00ED0894">
        <w:rPr>
          <w:rFonts w:ascii="Arial" w:hAnsi="Arial" w:cs="Arial"/>
          <w:sz w:val="21"/>
          <w:szCs w:val="21"/>
        </w:rPr>
        <w:t>en</w:t>
      </w:r>
      <w:r w:rsidRPr="00ED0894">
        <w:rPr>
          <w:rFonts w:ascii="Arial" w:eastAsia="Arial," w:hAnsi="Arial" w:cs="Arial"/>
          <w:sz w:val="21"/>
          <w:szCs w:val="21"/>
        </w:rPr>
        <w:t xml:space="preserve"> </w:t>
      </w:r>
      <w:r w:rsidRPr="00ED0894">
        <w:rPr>
          <w:rFonts w:ascii="Arial" w:hAnsi="Arial" w:cs="Arial"/>
          <w:sz w:val="21"/>
          <w:szCs w:val="21"/>
        </w:rPr>
        <w:t>cuenta</w:t>
      </w:r>
      <w:r w:rsidRPr="00ED0894">
        <w:rPr>
          <w:rFonts w:ascii="Arial" w:eastAsia="Arial," w:hAnsi="Arial" w:cs="Arial"/>
          <w:sz w:val="21"/>
          <w:szCs w:val="21"/>
        </w:rPr>
        <w:t xml:space="preserve"> </w:t>
      </w:r>
      <w:r w:rsidRPr="00ED0894">
        <w:rPr>
          <w:rFonts w:ascii="Arial" w:hAnsi="Arial" w:cs="Arial"/>
          <w:sz w:val="21"/>
          <w:szCs w:val="21"/>
        </w:rPr>
        <w:t>lo</w:t>
      </w:r>
      <w:r w:rsidRPr="00ED0894">
        <w:rPr>
          <w:rFonts w:ascii="Arial" w:eastAsia="Arial," w:hAnsi="Arial" w:cs="Arial"/>
          <w:sz w:val="21"/>
          <w:szCs w:val="21"/>
        </w:rPr>
        <w:t xml:space="preserve"> </w:t>
      </w:r>
      <w:r w:rsidRPr="00ED0894">
        <w:rPr>
          <w:rFonts w:ascii="Arial" w:hAnsi="Arial" w:cs="Arial"/>
          <w:sz w:val="21"/>
          <w:szCs w:val="21"/>
        </w:rPr>
        <w:t>siguiente:</w:t>
      </w:r>
      <w:r w:rsidRPr="00ED0894">
        <w:rPr>
          <w:rFonts w:ascii="Arial" w:eastAsia="Arial," w:hAnsi="Arial" w:cs="Arial"/>
          <w:sz w:val="21"/>
          <w:szCs w:val="21"/>
        </w:rPr>
        <w:t xml:space="preserve"> </w:t>
      </w:r>
    </w:p>
    <w:p w14:paraId="5C5B40F0" w14:textId="77777777" w:rsidR="00C2687E" w:rsidRPr="00ED0894" w:rsidRDefault="00C2687E" w:rsidP="00C2687E">
      <w:pPr>
        <w:spacing w:after="0"/>
        <w:ind w:right="709" w:firstLine="709"/>
        <w:jc w:val="both"/>
        <w:rPr>
          <w:rFonts w:ascii="Arial" w:eastAsia="Arial," w:hAnsi="Arial" w:cs="Arial"/>
          <w:sz w:val="21"/>
          <w:szCs w:val="21"/>
        </w:rPr>
      </w:pPr>
      <w:r w:rsidRPr="00ED0894">
        <w:rPr>
          <w:rFonts w:ascii="Arial" w:eastAsia="Arial," w:hAnsi="Arial" w:cs="Arial"/>
          <w:sz w:val="21"/>
          <w:szCs w:val="21"/>
        </w:rPr>
        <w:t>[…]</w:t>
      </w:r>
    </w:p>
    <w:p w14:paraId="33D72AE1" w14:textId="77777777" w:rsidR="00C2687E" w:rsidRPr="00ED0894" w:rsidRDefault="00C2687E" w:rsidP="00C2687E">
      <w:pPr>
        <w:spacing w:after="0"/>
        <w:ind w:right="709" w:firstLine="709"/>
        <w:jc w:val="both"/>
        <w:rPr>
          <w:rFonts w:ascii="Arial" w:eastAsia="Arial," w:hAnsi="Arial" w:cs="Arial"/>
          <w:sz w:val="21"/>
          <w:szCs w:val="21"/>
        </w:rPr>
      </w:pPr>
    </w:p>
    <w:p w14:paraId="6094BE99" w14:textId="77777777" w:rsidR="00C2687E" w:rsidRPr="00ED0894" w:rsidRDefault="00C2687E" w:rsidP="00C2687E">
      <w:pPr>
        <w:spacing w:after="0" w:line="240" w:lineRule="auto"/>
        <w:ind w:left="1134" w:right="709" w:hanging="425"/>
        <w:jc w:val="both"/>
        <w:rPr>
          <w:rFonts w:ascii="Arial" w:eastAsia="Arial" w:hAnsi="Arial" w:cs="Arial"/>
          <w:sz w:val="21"/>
          <w:szCs w:val="21"/>
          <w:lang w:val="es-MX"/>
        </w:rPr>
      </w:pPr>
      <w:r w:rsidRPr="00ED0894">
        <w:rPr>
          <w:rFonts w:ascii="Arial" w:eastAsia="Arial" w:hAnsi="Arial" w:cs="Arial"/>
          <w:sz w:val="21"/>
          <w:szCs w:val="21"/>
          <w:lang w:val="es-MX"/>
        </w:rPr>
        <w:t>II.    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p>
    <w:p w14:paraId="4560CAA6" w14:textId="77777777" w:rsidR="00C2687E" w:rsidRPr="00ED0894" w:rsidRDefault="00C2687E" w:rsidP="00C2687E">
      <w:pPr>
        <w:spacing w:after="0" w:line="240" w:lineRule="auto"/>
        <w:ind w:left="1134" w:right="709" w:hanging="425"/>
        <w:jc w:val="both"/>
        <w:rPr>
          <w:rFonts w:ascii="Arial" w:eastAsia="Arial" w:hAnsi="Arial" w:cs="Arial"/>
          <w:sz w:val="21"/>
          <w:szCs w:val="21"/>
          <w:lang w:val="es-MX"/>
        </w:rPr>
      </w:pPr>
      <w:r w:rsidRPr="00ED0894">
        <w:rPr>
          <w:rFonts w:ascii="Arial" w:eastAsia="Arial" w:hAnsi="Arial" w:cs="Arial"/>
          <w:sz w:val="21"/>
          <w:szCs w:val="21"/>
          <w:lang w:val="es-MX"/>
        </w:rPr>
        <w:t>III.  Se tendrán en cuenta los contratos de obras civiles en ejecución suscritos por el proponente o por sociedades, consorcios o uniones temporales en los cuales el proponente tenga participación</w:t>
      </w:r>
    </w:p>
    <w:p w14:paraId="2D4B1EB1" w14:textId="77777777" w:rsidR="00C2687E" w:rsidRPr="00ED0894" w:rsidRDefault="00C2687E" w:rsidP="00C2687E">
      <w:pPr>
        <w:spacing w:after="0" w:line="240" w:lineRule="auto"/>
        <w:ind w:left="1134" w:right="709" w:hanging="425"/>
        <w:jc w:val="both"/>
        <w:rPr>
          <w:rFonts w:ascii="Arial" w:eastAsia="Arial" w:hAnsi="Arial" w:cs="Arial"/>
          <w:i/>
          <w:iCs/>
          <w:sz w:val="21"/>
          <w:szCs w:val="21"/>
          <w:lang w:val="es-MX"/>
        </w:rPr>
      </w:pPr>
      <w:r w:rsidRPr="00ED0894">
        <w:rPr>
          <w:rFonts w:ascii="Arial" w:eastAsia="Arial" w:hAnsi="Arial" w:cs="Arial"/>
          <w:sz w:val="21"/>
          <w:szCs w:val="21"/>
          <w:lang w:val="es-MX"/>
        </w:rPr>
        <w:t xml:space="preserve">IV.  </w:t>
      </w:r>
      <w:bookmarkStart w:id="16" w:name="_Hlk100140218"/>
      <w:r w:rsidRPr="00ED0894">
        <w:rPr>
          <w:rFonts w:ascii="Arial" w:eastAsia="Arial" w:hAnsi="Arial" w:cs="Arial"/>
          <w:i/>
          <w:iCs/>
          <w:sz w:val="21"/>
          <w:szCs w:val="21"/>
          <w:lang w:val="es-MX"/>
        </w:rPr>
        <w:t>Si</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un</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contrato</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se</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encuentra</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suspendido,</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el</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cálculo</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del</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(SCE)</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de</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dicho</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contrato</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debe</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efectuarse</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asumiendo</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que</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lo</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que</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falta</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por</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ejecutar</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iniciara</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en</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la</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fecha de</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presentación</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de</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la</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oferta</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del</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Proceso de Contratación.</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Si</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el</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contrato</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está</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suspendido</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el</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Proponente</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debe</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informar</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el</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saldo</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pendiente</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por</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ejecutar</w:t>
      </w:r>
      <w:bookmarkEnd w:id="16"/>
      <w:r w:rsidRPr="00ED0894">
        <w:rPr>
          <w:rFonts w:ascii="Arial" w:eastAsia="Arial" w:hAnsi="Arial" w:cs="Arial"/>
          <w:i/>
          <w:iCs/>
          <w:sz w:val="21"/>
          <w:szCs w:val="21"/>
          <w:lang w:val="es-MX"/>
        </w:rPr>
        <w:t xml:space="preserve">. </w:t>
      </w:r>
    </w:p>
    <w:p w14:paraId="35E544B8" w14:textId="64301D78" w:rsidR="00C2687E" w:rsidRPr="00ED0894" w:rsidRDefault="00C2687E" w:rsidP="00C2687E">
      <w:pPr>
        <w:spacing w:after="0" w:line="240" w:lineRule="auto"/>
        <w:ind w:left="1134" w:right="709" w:hanging="425"/>
        <w:jc w:val="both"/>
        <w:rPr>
          <w:rFonts w:ascii="Arial" w:eastAsia="Arial" w:hAnsi="Arial" w:cs="Arial"/>
          <w:sz w:val="21"/>
          <w:szCs w:val="21"/>
          <w:lang w:val="es-MX"/>
        </w:rPr>
      </w:pPr>
      <w:r w:rsidRPr="00ED0894">
        <w:rPr>
          <w:rFonts w:ascii="Arial" w:eastAsia="Arial" w:hAnsi="Arial" w:cs="Arial"/>
          <w:sz w:val="21"/>
          <w:szCs w:val="21"/>
          <w:lang w:val="es-MX"/>
        </w:rPr>
        <w:lastRenderedPageBreak/>
        <w:t xml:space="preserve">V.  </w:t>
      </w:r>
      <w:bookmarkStart w:id="17" w:name="_Hlk100140164"/>
      <w:r w:rsidRPr="00ED0894">
        <w:rPr>
          <w:rFonts w:ascii="Arial" w:hAnsi="Arial" w:cs="Arial"/>
          <w:sz w:val="21"/>
          <w:szCs w:val="21"/>
        </w:rPr>
        <w:t>El</w:t>
      </w:r>
      <w:r w:rsidRPr="00ED0894">
        <w:rPr>
          <w:rFonts w:ascii="Arial" w:eastAsia="Arial" w:hAnsi="Arial" w:cs="Arial"/>
          <w:sz w:val="21"/>
          <w:szCs w:val="21"/>
        </w:rPr>
        <w:t xml:space="preserve"> </w:t>
      </w:r>
      <w:r w:rsidRPr="00ED0894">
        <w:rPr>
          <w:rFonts w:ascii="Arial" w:hAnsi="Arial" w:cs="Arial"/>
          <w:sz w:val="21"/>
          <w:szCs w:val="21"/>
        </w:rPr>
        <w:t>cálculo</w:t>
      </w:r>
      <w:r w:rsidRPr="00ED0894">
        <w:rPr>
          <w:rFonts w:ascii="Arial" w:eastAsia="Arial" w:hAnsi="Arial" w:cs="Arial"/>
          <w:sz w:val="21"/>
          <w:szCs w:val="21"/>
        </w:rPr>
        <w:t xml:space="preserve"> </w:t>
      </w:r>
      <w:r w:rsidRPr="00ED0894">
        <w:rPr>
          <w:rFonts w:ascii="Arial" w:hAnsi="Arial" w:cs="Arial"/>
          <w:sz w:val="21"/>
          <w:szCs w:val="21"/>
        </w:rPr>
        <w:t>del</w:t>
      </w:r>
      <w:r w:rsidRPr="00ED0894">
        <w:rPr>
          <w:rFonts w:ascii="Arial" w:eastAsia="Arial" w:hAnsi="Arial" w:cs="Arial"/>
          <w:sz w:val="21"/>
          <w:szCs w:val="21"/>
        </w:rPr>
        <w:t xml:space="preserve"> </w:t>
      </w:r>
      <w:r w:rsidRPr="00ED0894">
        <w:rPr>
          <w:rFonts w:ascii="Arial" w:hAnsi="Arial" w:cs="Arial"/>
          <w:sz w:val="21"/>
          <w:szCs w:val="21"/>
        </w:rPr>
        <w:t>factor</w:t>
      </w:r>
      <w:r w:rsidRPr="00ED0894">
        <w:rPr>
          <w:rFonts w:ascii="Arial" w:eastAsia="Arial" w:hAnsi="Arial" w:cs="Arial"/>
          <w:sz w:val="21"/>
          <w:szCs w:val="21"/>
        </w:rPr>
        <w:t xml:space="preserve"> </w:t>
      </w:r>
      <w:r w:rsidRPr="00ED0894">
        <w:rPr>
          <w:rFonts w:ascii="Arial" w:hAnsi="Arial" w:cs="Arial"/>
          <w:sz w:val="21"/>
          <w:szCs w:val="21"/>
        </w:rPr>
        <w:t>(SCE)</w:t>
      </w:r>
      <w:r w:rsidRPr="00ED0894">
        <w:rPr>
          <w:rFonts w:ascii="Arial" w:eastAsia="Arial" w:hAnsi="Arial" w:cs="Arial"/>
          <w:sz w:val="21"/>
          <w:szCs w:val="21"/>
        </w:rPr>
        <w:t xml:space="preserve"> </w:t>
      </w:r>
      <w:r w:rsidRPr="00ED0894">
        <w:rPr>
          <w:rFonts w:ascii="Arial" w:hAnsi="Arial" w:cs="Arial"/>
          <w:sz w:val="21"/>
          <w:szCs w:val="21"/>
        </w:rPr>
        <w:t>debe</w:t>
      </w:r>
      <w:r w:rsidRPr="00ED0894">
        <w:rPr>
          <w:rFonts w:ascii="Arial" w:eastAsia="Arial" w:hAnsi="Arial" w:cs="Arial"/>
          <w:sz w:val="21"/>
          <w:szCs w:val="21"/>
        </w:rPr>
        <w:t xml:space="preserve"> </w:t>
      </w:r>
      <w:r w:rsidRPr="00ED0894">
        <w:rPr>
          <w:rFonts w:ascii="Arial" w:hAnsi="Arial" w:cs="Arial"/>
          <w:sz w:val="21"/>
          <w:szCs w:val="21"/>
        </w:rPr>
        <w:t>hacerse</w:t>
      </w:r>
      <w:r w:rsidRPr="00ED0894">
        <w:rPr>
          <w:rFonts w:ascii="Arial" w:eastAsia="Arial" w:hAnsi="Arial" w:cs="Arial"/>
          <w:sz w:val="21"/>
          <w:szCs w:val="21"/>
        </w:rPr>
        <w:t xml:space="preserve"> </w:t>
      </w:r>
      <w:r w:rsidRPr="00ED0894">
        <w:rPr>
          <w:rFonts w:ascii="Arial" w:hAnsi="Arial" w:cs="Arial"/>
          <w:sz w:val="21"/>
          <w:szCs w:val="21"/>
        </w:rPr>
        <w:t>linealmente</w:t>
      </w:r>
      <w:r w:rsidRPr="00ED0894">
        <w:rPr>
          <w:rFonts w:ascii="Arial" w:eastAsia="Arial" w:hAnsi="Arial" w:cs="Arial"/>
          <w:sz w:val="21"/>
          <w:szCs w:val="21"/>
        </w:rPr>
        <w:t xml:space="preserve"> </w:t>
      </w:r>
      <w:r w:rsidRPr="00ED0894">
        <w:rPr>
          <w:rFonts w:ascii="Arial" w:hAnsi="Arial" w:cs="Arial"/>
          <w:sz w:val="21"/>
          <w:szCs w:val="21"/>
        </w:rPr>
        <w:t>calculando</w:t>
      </w:r>
      <w:r w:rsidRPr="00ED0894">
        <w:rPr>
          <w:rFonts w:ascii="Arial" w:eastAsia="Arial" w:hAnsi="Arial" w:cs="Arial"/>
          <w:sz w:val="21"/>
          <w:szCs w:val="21"/>
        </w:rPr>
        <w:t xml:space="preserve"> </w:t>
      </w:r>
      <w:r w:rsidRPr="00ED0894">
        <w:rPr>
          <w:rFonts w:ascii="Arial" w:hAnsi="Arial" w:cs="Arial"/>
          <w:sz w:val="21"/>
          <w:szCs w:val="21"/>
        </w:rPr>
        <w:t>una</w:t>
      </w:r>
      <w:r w:rsidRPr="00ED0894">
        <w:rPr>
          <w:rFonts w:ascii="Arial" w:eastAsia="Arial" w:hAnsi="Arial" w:cs="Arial"/>
          <w:sz w:val="21"/>
          <w:szCs w:val="21"/>
        </w:rPr>
        <w:t xml:space="preserve"> </w:t>
      </w:r>
      <w:r w:rsidRPr="00ED0894">
        <w:rPr>
          <w:rFonts w:ascii="Arial" w:hAnsi="Arial" w:cs="Arial"/>
          <w:sz w:val="21"/>
          <w:szCs w:val="21"/>
        </w:rPr>
        <w:t>ejecución</w:t>
      </w:r>
      <w:r w:rsidRPr="00ED0894">
        <w:rPr>
          <w:rFonts w:ascii="Arial" w:eastAsia="Arial" w:hAnsi="Arial" w:cs="Arial"/>
          <w:sz w:val="21"/>
          <w:szCs w:val="21"/>
        </w:rPr>
        <w:t xml:space="preserve"> </w:t>
      </w:r>
      <w:r w:rsidRPr="00ED0894">
        <w:rPr>
          <w:rFonts w:ascii="Arial" w:hAnsi="Arial" w:cs="Arial"/>
          <w:sz w:val="21"/>
          <w:szCs w:val="21"/>
        </w:rPr>
        <w:t>diaria</w:t>
      </w:r>
      <w:r w:rsidRPr="00ED0894">
        <w:rPr>
          <w:rFonts w:ascii="Arial" w:eastAsia="Arial" w:hAnsi="Arial" w:cs="Arial"/>
          <w:sz w:val="21"/>
          <w:szCs w:val="21"/>
        </w:rPr>
        <w:t xml:space="preserve"> </w:t>
      </w:r>
      <w:r w:rsidRPr="00ED0894">
        <w:rPr>
          <w:rFonts w:ascii="Arial" w:hAnsi="Arial" w:cs="Arial"/>
          <w:sz w:val="21"/>
          <w:szCs w:val="21"/>
        </w:rPr>
        <w:t>equivalente</w:t>
      </w:r>
      <w:r w:rsidRPr="00ED0894">
        <w:rPr>
          <w:rFonts w:ascii="Arial" w:eastAsia="Arial" w:hAnsi="Arial" w:cs="Arial"/>
          <w:sz w:val="21"/>
          <w:szCs w:val="21"/>
        </w:rPr>
        <w:t xml:space="preserve"> </w:t>
      </w:r>
      <w:r w:rsidRPr="00ED0894">
        <w:rPr>
          <w:rFonts w:ascii="Arial" w:hAnsi="Arial" w:cs="Arial"/>
          <w:sz w:val="21"/>
          <w:szCs w:val="21"/>
        </w:rPr>
        <w:t>al</w:t>
      </w:r>
      <w:r w:rsidRPr="00ED0894">
        <w:rPr>
          <w:rFonts w:ascii="Arial" w:eastAsia="Arial" w:hAnsi="Arial" w:cs="Arial"/>
          <w:sz w:val="21"/>
          <w:szCs w:val="21"/>
        </w:rPr>
        <w:t xml:space="preserve"> </w:t>
      </w:r>
      <w:r w:rsidRPr="00ED0894">
        <w:rPr>
          <w:rFonts w:ascii="Arial" w:hAnsi="Arial" w:cs="Arial"/>
          <w:sz w:val="21"/>
          <w:szCs w:val="21"/>
        </w:rPr>
        <w:t>valor</w:t>
      </w:r>
      <w:r w:rsidRPr="00ED0894">
        <w:rPr>
          <w:rFonts w:ascii="Arial" w:eastAsia="Arial" w:hAnsi="Arial" w:cs="Arial"/>
          <w:sz w:val="21"/>
          <w:szCs w:val="21"/>
        </w:rPr>
        <w:t xml:space="preserve"> </w:t>
      </w:r>
      <w:r w:rsidRPr="00ED0894">
        <w:rPr>
          <w:rFonts w:ascii="Arial" w:hAnsi="Arial" w:cs="Arial"/>
          <w:sz w:val="21"/>
          <w:szCs w:val="21"/>
        </w:rPr>
        <w:t>del</w:t>
      </w:r>
      <w:r w:rsidRPr="00ED0894">
        <w:rPr>
          <w:rFonts w:ascii="Arial" w:eastAsia="Arial" w:hAnsi="Arial" w:cs="Arial"/>
          <w:sz w:val="21"/>
          <w:szCs w:val="21"/>
        </w:rPr>
        <w:t xml:space="preserve"> </w:t>
      </w:r>
      <w:r w:rsidRPr="00ED0894">
        <w:rPr>
          <w:rFonts w:ascii="Arial" w:hAnsi="Arial" w:cs="Arial"/>
          <w:sz w:val="21"/>
          <w:szCs w:val="21"/>
        </w:rPr>
        <w:t>contrato</w:t>
      </w:r>
      <w:r w:rsidRPr="00ED0894">
        <w:rPr>
          <w:rFonts w:ascii="Arial" w:eastAsia="Arial" w:hAnsi="Arial" w:cs="Arial"/>
          <w:sz w:val="21"/>
          <w:szCs w:val="21"/>
        </w:rPr>
        <w:t xml:space="preserve"> </w:t>
      </w:r>
      <w:r w:rsidRPr="00ED0894">
        <w:rPr>
          <w:rFonts w:ascii="Arial" w:hAnsi="Arial" w:cs="Arial"/>
          <w:sz w:val="21"/>
          <w:szCs w:val="21"/>
        </w:rPr>
        <w:t>dividido</w:t>
      </w:r>
      <w:r w:rsidRPr="00ED0894">
        <w:rPr>
          <w:rFonts w:ascii="Arial" w:eastAsia="Arial" w:hAnsi="Arial" w:cs="Arial"/>
          <w:sz w:val="21"/>
          <w:szCs w:val="21"/>
        </w:rPr>
        <w:t xml:space="preserve"> </w:t>
      </w:r>
      <w:r w:rsidRPr="00ED0894">
        <w:rPr>
          <w:rFonts w:ascii="Arial" w:hAnsi="Arial" w:cs="Arial"/>
          <w:sz w:val="21"/>
          <w:szCs w:val="21"/>
        </w:rPr>
        <w:t>por</w:t>
      </w:r>
      <w:r w:rsidRPr="00ED0894">
        <w:rPr>
          <w:rFonts w:ascii="Arial" w:eastAsia="Arial" w:hAnsi="Arial" w:cs="Arial"/>
          <w:sz w:val="21"/>
          <w:szCs w:val="21"/>
        </w:rPr>
        <w:t xml:space="preserve"> </w:t>
      </w:r>
      <w:r w:rsidRPr="00ED0894">
        <w:rPr>
          <w:rFonts w:ascii="Arial" w:hAnsi="Arial" w:cs="Arial"/>
          <w:sz w:val="21"/>
          <w:szCs w:val="21"/>
        </w:rPr>
        <w:t>el</w:t>
      </w:r>
      <w:r w:rsidRPr="00ED0894">
        <w:rPr>
          <w:rFonts w:ascii="Arial" w:eastAsia="Arial" w:hAnsi="Arial" w:cs="Arial"/>
          <w:sz w:val="21"/>
          <w:szCs w:val="21"/>
        </w:rPr>
        <w:t xml:space="preserve"> </w:t>
      </w:r>
      <w:r w:rsidRPr="00ED0894">
        <w:rPr>
          <w:rFonts w:ascii="Arial" w:hAnsi="Arial" w:cs="Arial"/>
          <w:sz w:val="21"/>
          <w:szCs w:val="21"/>
        </w:rPr>
        <w:t>plazo</w:t>
      </w:r>
      <w:r w:rsidRPr="00ED0894">
        <w:rPr>
          <w:rFonts w:ascii="Arial" w:eastAsia="Arial" w:hAnsi="Arial" w:cs="Arial"/>
          <w:sz w:val="21"/>
          <w:szCs w:val="21"/>
        </w:rPr>
        <w:t xml:space="preserve"> </w:t>
      </w:r>
      <w:r w:rsidRPr="00ED0894">
        <w:rPr>
          <w:rFonts w:ascii="Arial" w:hAnsi="Arial" w:cs="Arial"/>
          <w:sz w:val="21"/>
          <w:szCs w:val="21"/>
        </w:rPr>
        <w:t>del</w:t>
      </w:r>
      <w:r w:rsidRPr="00ED0894">
        <w:rPr>
          <w:rFonts w:ascii="Arial" w:eastAsia="Arial" w:hAnsi="Arial" w:cs="Arial"/>
          <w:sz w:val="21"/>
          <w:szCs w:val="21"/>
        </w:rPr>
        <w:t xml:space="preserve"> </w:t>
      </w:r>
      <w:r w:rsidRPr="00ED0894">
        <w:rPr>
          <w:rFonts w:ascii="Arial" w:hAnsi="Arial" w:cs="Arial"/>
          <w:sz w:val="21"/>
          <w:szCs w:val="21"/>
        </w:rPr>
        <w:t>contrato</w:t>
      </w:r>
      <w:r w:rsidRPr="00ED0894">
        <w:rPr>
          <w:rFonts w:ascii="Arial" w:eastAsia="Arial" w:hAnsi="Arial" w:cs="Arial"/>
          <w:sz w:val="21"/>
          <w:szCs w:val="21"/>
        </w:rPr>
        <w:t xml:space="preserve"> </w:t>
      </w:r>
      <w:r w:rsidRPr="00ED0894">
        <w:rPr>
          <w:rFonts w:ascii="Arial" w:hAnsi="Arial" w:cs="Arial"/>
          <w:sz w:val="21"/>
          <w:szCs w:val="21"/>
        </w:rPr>
        <w:t>expresado</w:t>
      </w:r>
      <w:r w:rsidRPr="00ED0894">
        <w:rPr>
          <w:rFonts w:ascii="Arial" w:eastAsia="Arial" w:hAnsi="Arial" w:cs="Arial"/>
          <w:sz w:val="21"/>
          <w:szCs w:val="21"/>
        </w:rPr>
        <w:t xml:space="preserve"> </w:t>
      </w:r>
      <w:r w:rsidRPr="00ED0894">
        <w:rPr>
          <w:rFonts w:ascii="Arial" w:hAnsi="Arial" w:cs="Arial"/>
          <w:sz w:val="21"/>
          <w:szCs w:val="21"/>
        </w:rPr>
        <w:t>en</w:t>
      </w:r>
      <w:r w:rsidRPr="00ED0894">
        <w:rPr>
          <w:rFonts w:ascii="Arial" w:eastAsia="Arial" w:hAnsi="Arial" w:cs="Arial"/>
          <w:sz w:val="21"/>
          <w:szCs w:val="21"/>
        </w:rPr>
        <w:t xml:space="preserve"> </w:t>
      </w:r>
      <w:r w:rsidRPr="00ED0894">
        <w:rPr>
          <w:rFonts w:ascii="Arial" w:hAnsi="Arial" w:cs="Arial"/>
          <w:sz w:val="21"/>
          <w:szCs w:val="21"/>
        </w:rPr>
        <w:t>días.</w:t>
      </w:r>
      <w:r w:rsidRPr="00ED0894">
        <w:rPr>
          <w:rFonts w:ascii="Arial" w:eastAsia="Arial" w:hAnsi="Arial" w:cs="Arial"/>
          <w:sz w:val="21"/>
          <w:szCs w:val="21"/>
        </w:rPr>
        <w:t xml:space="preserve"> </w:t>
      </w:r>
      <w:r w:rsidRPr="00ED0894">
        <w:rPr>
          <w:rFonts w:ascii="Arial" w:hAnsi="Arial" w:cs="Arial"/>
          <w:sz w:val="21"/>
          <w:szCs w:val="21"/>
        </w:rPr>
        <w:t>Este</w:t>
      </w:r>
      <w:r w:rsidRPr="00ED0894">
        <w:rPr>
          <w:rFonts w:ascii="Arial" w:eastAsia="Arial" w:hAnsi="Arial" w:cs="Arial"/>
          <w:sz w:val="21"/>
          <w:szCs w:val="21"/>
        </w:rPr>
        <w:t xml:space="preserve"> </w:t>
      </w:r>
      <w:r w:rsidRPr="00ED0894">
        <w:rPr>
          <w:rFonts w:ascii="Arial" w:hAnsi="Arial" w:cs="Arial"/>
          <w:sz w:val="21"/>
          <w:szCs w:val="21"/>
        </w:rPr>
        <w:t>resultado</w:t>
      </w:r>
      <w:r w:rsidRPr="00ED0894">
        <w:rPr>
          <w:rFonts w:ascii="Arial" w:eastAsia="Arial" w:hAnsi="Arial" w:cs="Arial"/>
          <w:sz w:val="21"/>
          <w:szCs w:val="21"/>
        </w:rPr>
        <w:t xml:space="preserve"> </w:t>
      </w:r>
      <w:r w:rsidRPr="00ED0894">
        <w:rPr>
          <w:rFonts w:ascii="Arial" w:hAnsi="Arial" w:cs="Arial"/>
          <w:sz w:val="21"/>
          <w:szCs w:val="21"/>
        </w:rPr>
        <w:t>se</w:t>
      </w:r>
      <w:r w:rsidRPr="00ED0894">
        <w:rPr>
          <w:rFonts w:ascii="Arial" w:eastAsia="Arial" w:hAnsi="Arial" w:cs="Arial"/>
          <w:sz w:val="21"/>
          <w:szCs w:val="21"/>
        </w:rPr>
        <w:t xml:space="preserve"> </w:t>
      </w:r>
      <w:r w:rsidRPr="00ED0894">
        <w:rPr>
          <w:rFonts w:ascii="Arial" w:hAnsi="Arial" w:cs="Arial"/>
          <w:sz w:val="21"/>
          <w:szCs w:val="21"/>
        </w:rPr>
        <w:t>multiplica</w:t>
      </w:r>
      <w:r w:rsidRPr="00ED0894">
        <w:rPr>
          <w:rFonts w:ascii="Arial" w:eastAsia="Arial" w:hAnsi="Arial" w:cs="Arial"/>
          <w:sz w:val="21"/>
          <w:szCs w:val="21"/>
        </w:rPr>
        <w:t xml:space="preserve"> </w:t>
      </w:r>
      <w:r w:rsidRPr="00ED0894">
        <w:rPr>
          <w:rFonts w:ascii="Arial" w:hAnsi="Arial" w:cs="Arial"/>
          <w:sz w:val="21"/>
          <w:szCs w:val="21"/>
        </w:rPr>
        <w:t>por</w:t>
      </w:r>
      <w:r w:rsidRPr="00ED0894">
        <w:rPr>
          <w:rFonts w:ascii="Arial" w:eastAsia="Arial" w:hAnsi="Arial" w:cs="Arial"/>
          <w:sz w:val="21"/>
          <w:szCs w:val="21"/>
        </w:rPr>
        <w:t xml:space="preserve"> </w:t>
      </w:r>
      <w:r w:rsidRPr="00ED0894">
        <w:rPr>
          <w:rFonts w:ascii="Arial" w:hAnsi="Arial" w:cs="Arial"/>
          <w:sz w:val="21"/>
          <w:szCs w:val="21"/>
        </w:rPr>
        <w:t>el</w:t>
      </w:r>
      <w:r w:rsidRPr="00ED0894">
        <w:rPr>
          <w:rFonts w:ascii="Arial" w:eastAsia="Arial" w:hAnsi="Arial" w:cs="Arial"/>
          <w:sz w:val="21"/>
          <w:szCs w:val="21"/>
        </w:rPr>
        <w:t xml:space="preserve"> </w:t>
      </w:r>
      <w:r w:rsidRPr="00ED0894">
        <w:rPr>
          <w:rFonts w:ascii="Arial" w:hAnsi="Arial" w:cs="Arial"/>
          <w:sz w:val="21"/>
          <w:szCs w:val="21"/>
        </w:rPr>
        <w:t>número</w:t>
      </w:r>
      <w:r w:rsidRPr="00ED0894">
        <w:rPr>
          <w:rFonts w:ascii="Arial" w:eastAsia="Arial" w:hAnsi="Arial" w:cs="Arial"/>
          <w:sz w:val="21"/>
          <w:szCs w:val="21"/>
        </w:rPr>
        <w:t xml:space="preserve"> </w:t>
      </w:r>
      <w:r w:rsidRPr="00ED0894">
        <w:rPr>
          <w:rFonts w:ascii="Arial" w:hAnsi="Arial" w:cs="Arial"/>
          <w:sz w:val="21"/>
          <w:szCs w:val="21"/>
        </w:rPr>
        <w:t>de</w:t>
      </w:r>
      <w:r w:rsidRPr="00ED0894">
        <w:rPr>
          <w:rFonts w:ascii="Arial" w:eastAsia="Arial" w:hAnsi="Arial" w:cs="Arial"/>
          <w:sz w:val="21"/>
          <w:szCs w:val="21"/>
        </w:rPr>
        <w:t xml:space="preserve"> </w:t>
      </w:r>
      <w:r w:rsidRPr="00ED0894">
        <w:rPr>
          <w:rFonts w:ascii="Arial" w:hAnsi="Arial" w:cs="Arial"/>
          <w:sz w:val="21"/>
          <w:szCs w:val="21"/>
        </w:rPr>
        <w:t>días</w:t>
      </w:r>
      <w:r w:rsidRPr="00ED0894">
        <w:rPr>
          <w:rFonts w:ascii="Arial" w:eastAsia="Arial" w:hAnsi="Arial" w:cs="Arial"/>
          <w:sz w:val="21"/>
          <w:szCs w:val="21"/>
        </w:rPr>
        <w:t xml:space="preserve"> </w:t>
      </w:r>
      <w:r w:rsidRPr="00ED0894">
        <w:rPr>
          <w:rFonts w:ascii="Arial" w:hAnsi="Arial" w:cs="Arial"/>
          <w:sz w:val="21"/>
          <w:szCs w:val="21"/>
        </w:rPr>
        <w:t>pendientes</w:t>
      </w:r>
      <w:r w:rsidRPr="00ED0894">
        <w:rPr>
          <w:rFonts w:ascii="Arial" w:eastAsia="Arial" w:hAnsi="Arial" w:cs="Arial"/>
          <w:sz w:val="21"/>
          <w:szCs w:val="21"/>
        </w:rPr>
        <w:t xml:space="preserve"> </w:t>
      </w:r>
      <w:r w:rsidRPr="00ED0894">
        <w:rPr>
          <w:rFonts w:ascii="Arial" w:hAnsi="Arial" w:cs="Arial"/>
          <w:sz w:val="21"/>
          <w:szCs w:val="21"/>
        </w:rPr>
        <w:t>para</w:t>
      </w:r>
      <w:r w:rsidRPr="00ED0894">
        <w:rPr>
          <w:rFonts w:ascii="Arial" w:eastAsia="Arial" w:hAnsi="Arial" w:cs="Arial"/>
          <w:sz w:val="21"/>
          <w:szCs w:val="21"/>
        </w:rPr>
        <w:t xml:space="preserve"> </w:t>
      </w:r>
      <w:r w:rsidRPr="00ED0894">
        <w:rPr>
          <w:rFonts w:ascii="Arial" w:hAnsi="Arial" w:cs="Arial"/>
          <w:sz w:val="21"/>
          <w:szCs w:val="21"/>
        </w:rPr>
        <w:t>cumplir</w:t>
      </w:r>
      <w:r w:rsidRPr="00ED0894">
        <w:rPr>
          <w:rFonts w:ascii="Arial" w:eastAsia="Arial" w:hAnsi="Arial" w:cs="Arial"/>
          <w:sz w:val="21"/>
          <w:szCs w:val="21"/>
        </w:rPr>
        <w:t xml:space="preserve"> </w:t>
      </w:r>
      <w:r w:rsidRPr="00ED0894">
        <w:rPr>
          <w:rFonts w:ascii="Arial" w:hAnsi="Arial" w:cs="Arial"/>
          <w:sz w:val="21"/>
          <w:szCs w:val="21"/>
        </w:rPr>
        <w:t>el</w:t>
      </w:r>
      <w:r w:rsidRPr="00ED0894">
        <w:rPr>
          <w:rFonts w:ascii="Arial" w:eastAsia="Arial" w:hAnsi="Arial" w:cs="Arial"/>
          <w:sz w:val="21"/>
          <w:szCs w:val="21"/>
        </w:rPr>
        <w:t xml:space="preserve"> </w:t>
      </w:r>
      <w:r w:rsidRPr="00ED0894">
        <w:rPr>
          <w:rFonts w:ascii="Arial" w:hAnsi="Arial" w:cs="Arial"/>
          <w:sz w:val="21"/>
          <w:szCs w:val="21"/>
        </w:rPr>
        <w:t>plazo</w:t>
      </w:r>
      <w:r w:rsidRPr="00ED0894">
        <w:rPr>
          <w:rFonts w:ascii="Arial" w:eastAsia="Arial" w:hAnsi="Arial" w:cs="Arial"/>
          <w:sz w:val="21"/>
          <w:szCs w:val="21"/>
        </w:rPr>
        <w:t xml:space="preserve"> </w:t>
      </w:r>
      <w:r w:rsidRPr="00ED0894">
        <w:rPr>
          <w:rFonts w:ascii="Arial" w:hAnsi="Arial" w:cs="Arial"/>
          <w:sz w:val="21"/>
          <w:szCs w:val="21"/>
        </w:rPr>
        <w:t>del</w:t>
      </w:r>
      <w:r w:rsidRPr="00ED0894">
        <w:rPr>
          <w:rFonts w:ascii="Arial" w:eastAsia="Arial" w:hAnsi="Arial" w:cs="Arial"/>
          <w:sz w:val="21"/>
          <w:szCs w:val="21"/>
        </w:rPr>
        <w:t xml:space="preserve"> </w:t>
      </w:r>
      <w:r w:rsidRPr="00ED0894">
        <w:rPr>
          <w:rFonts w:ascii="Arial" w:hAnsi="Arial" w:cs="Arial"/>
          <w:sz w:val="21"/>
          <w:szCs w:val="21"/>
        </w:rPr>
        <w:t>contrato</w:t>
      </w:r>
      <w:r w:rsidRPr="00ED0894">
        <w:rPr>
          <w:rFonts w:ascii="Arial" w:eastAsia="Arial" w:hAnsi="Arial" w:cs="Arial"/>
          <w:sz w:val="21"/>
          <w:szCs w:val="21"/>
        </w:rPr>
        <w:t xml:space="preserve"> </w:t>
      </w:r>
      <w:r w:rsidRPr="00ED0894">
        <w:rPr>
          <w:rFonts w:ascii="Arial" w:hAnsi="Arial" w:cs="Arial"/>
          <w:sz w:val="21"/>
          <w:szCs w:val="21"/>
        </w:rPr>
        <w:t>y</w:t>
      </w:r>
      <w:r w:rsidRPr="00ED0894">
        <w:rPr>
          <w:rFonts w:ascii="Arial" w:eastAsia="Arial" w:hAnsi="Arial" w:cs="Arial"/>
          <w:sz w:val="21"/>
          <w:szCs w:val="21"/>
        </w:rPr>
        <w:t xml:space="preserve"> </w:t>
      </w:r>
      <w:r w:rsidRPr="00ED0894">
        <w:rPr>
          <w:rFonts w:ascii="Arial" w:hAnsi="Arial" w:cs="Arial"/>
          <w:sz w:val="21"/>
          <w:szCs w:val="21"/>
        </w:rPr>
        <w:t>si</w:t>
      </w:r>
      <w:r w:rsidRPr="00ED0894">
        <w:rPr>
          <w:rFonts w:ascii="Arial" w:eastAsia="Arial" w:hAnsi="Arial" w:cs="Arial"/>
          <w:sz w:val="21"/>
          <w:szCs w:val="21"/>
        </w:rPr>
        <w:t xml:space="preserve"> </w:t>
      </w:r>
      <w:r w:rsidRPr="00ED0894">
        <w:rPr>
          <w:rFonts w:ascii="Arial" w:hAnsi="Arial" w:cs="Arial"/>
          <w:sz w:val="21"/>
          <w:szCs w:val="21"/>
        </w:rPr>
        <w:t>el</w:t>
      </w:r>
      <w:r w:rsidRPr="00ED0894">
        <w:rPr>
          <w:rFonts w:ascii="Arial" w:eastAsia="Arial" w:hAnsi="Arial" w:cs="Arial"/>
          <w:sz w:val="21"/>
          <w:szCs w:val="21"/>
        </w:rPr>
        <w:t xml:space="preserve"> </w:t>
      </w:r>
      <w:r w:rsidRPr="00ED0894">
        <w:rPr>
          <w:rFonts w:ascii="Arial" w:hAnsi="Arial" w:cs="Arial"/>
          <w:sz w:val="21"/>
          <w:szCs w:val="21"/>
        </w:rPr>
        <w:t>contrato</w:t>
      </w:r>
      <w:r w:rsidRPr="00ED0894">
        <w:rPr>
          <w:rFonts w:ascii="Arial" w:eastAsia="Arial" w:hAnsi="Arial" w:cs="Arial"/>
          <w:sz w:val="21"/>
          <w:szCs w:val="21"/>
        </w:rPr>
        <w:t xml:space="preserve"> </w:t>
      </w:r>
      <w:r w:rsidRPr="00ED0894">
        <w:rPr>
          <w:rFonts w:ascii="Arial" w:hAnsi="Arial" w:cs="Arial"/>
          <w:sz w:val="21"/>
          <w:szCs w:val="21"/>
        </w:rPr>
        <w:t>es</w:t>
      </w:r>
      <w:r w:rsidRPr="00ED0894">
        <w:rPr>
          <w:rFonts w:ascii="Arial" w:eastAsia="Arial" w:hAnsi="Arial" w:cs="Arial"/>
          <w:sz w:val="21"/>
          <w:szCs w:val="21"/>
        </w:rPr>
        <w:t xml:space="preserve"> </w:t>
      </w:r>
      <w:r w:rsidRPr="00ED0894">
        <w:rPr>
          <w:rFonts w:ascii="Arial" w:hAnsi="Arial" w:cs="Arial"/>
          <w:sz w:val="21"/>
          <w:szCs w:val="21"/>
        </w:rPr>
        <w:t>ejecutado</w:t>
      </w:r>
      <w:r w:rsidRPr="00ED0894">
        <w:rPr>
          <w:rFonts w:ascii="Arial" w:eastAsia="Arial" w:hAnsi="Arial" w:cs="Arial"/>
          <w:sz w:val="21"/>
          <w:szCs w:val="21"/>
        </w:rPr>
        <w:t xml:space="preserve"> </w:t>
      </w:r>
      <w:r w:rsidRPr="00ED0894">
        <w:rPr>
          <w:rFonts w:ascii="Arial" w:hAnsi="Arial" w:cs="Arial"/>
          <w:sz w:val="21"/>
          <w:szCs w:val="21"/>
        </w:rPr>
        <w:t>por</w:t>
      </w:r>
      <w:r w:rsidRPr="00ED0894">
        <w:rPr>
          <w:rFonts w:ascii="Arial" w:eastAsia="Arial" w:hAnsi="Arial" w:cs="Arial"/>
          <w:sz w:val="21"/>
          <w:szCs w:val="21"/>
        </w:rPr>
        <w:t xml:space="preserve"> </w:t>
      </w:r>
      <w:r w:rsidRPr="00ED0894">
        <w:rPr>
          <w:rFonts w:ascii="Arial" w:hAnsi="Arial" w:cs="Arial"/>
          <w:sz w:val="21"/>
          <w:szCs w:val="21"/>
        </w:rPr>
        <w:t>una estructura plural</w:t>
      </w:r>
      <w:r w:rsidRPr="00ED0894">
        <w:rPr>
          <w:rFonts w:ascii="Arial" w:eastAsia="Arial" w:hAnsi="Arial" w:cs="Arial"/>
          <w:sz w:val="21"/>
          <w:szCs w:val="21"/>
        </w:rPr>
        <w:t xml:space="preserve"> </w:t>
      </w:r>
      <w:r w:rsidRPr="00ED0894">
        <w:rPr>
          <w:rFonts w:ascii="Arial" w:hAnsi="Arial" w:cs="Arial"/>
          <w:sz w:val="21"/>
          <w:szCs w:val="21"/>
        </w:rPr>
        <w:t>por</w:t>
      </w:r>
      <w:r w:rsidRPr="00ED0894">
        <w:rPr>
          <w:rFonts w:ascii="Arial" w:eastAsia="Arial" w:hAnsi="Arial" w:cs="Arial"/>
          <w:sz w:val="21"/>
          <w:szCs w:val="21"/>
        </w:rPr>
        <w:t xml:space="preserve"> </w:t>
      </w:r>
      <w:r w:rsidRPr="00ED0894">
        <w:rPr>
          <w:rFonts w:ascii="Arial" w:hAnsi="Arial" w:cs="Arial"/>
          <w:sz w:val="21"/>
          <w:szCs w:val="21"/>
        </w:rPr>
        <w:t>la</w:t>
      </w:r>
      <w:r w:rsidRPr="00ED0894">
        <w:rPr>
          <w:rFonts w:ascii="Arial" w:eastAsia="Arial" w:hAnsi="Arial" w:cs="Arial"/>
          <w:sz w:val="21"/>
          <w:szCs w:val="21"/>
        </w:rPr>
        <w:t xml:space="preserve"> </w:t>
      </w:r>
      <w:r w:rsidRPr="00ED0894">
        <w:rPr>
          <w:rFonts w:ascii="Arial" w:hAnsi="Arial" w:cs="Arial"/>
          <w:sz w:val="21"/>
          <w:szCs w:val="21"/>
        </w:rPr>
        <w:t>participación</w:t>
      </w:r>
      <w:r w:rsidRPr="00ED0894">
        <w:rPr>
          <w:rFonts w:ascii="Arial" w:eastAsia="Arial" w:hAnsi="Arial" w:cs="Arial"/>
          <w:sz w:val="21"/>
          <w:szCs w:val="21"/>
        </w:rPr>
        <w:t xml:space="preserve"> </w:t>
      </w:r>
      <w:r w:rsidRPr="00ED0894">
        <w:rPr>
          <w:rFonts w:ascii="Arial" w:hAnsi="Arial" w:cs="Arial"/>
          <w:sz w:val="21"/>
          <w:szCs w:val="21"/>
        </w:rPr>
        <w:t>del</w:t>
      </w:r>
      <w:r w:rsidRPr="00ED0894">
        <w:rPr>
          <w:rFonts w:ascii="Arial" w:eastAsia="Arial" w:hAnsi="Arial" w:cs="Arial"/>
          <w:sz w:val="21"/>
          <w:szCs w:val="21"/>
        </w:rPr>
        <w:t xml:space="preserve"> </w:t>
      </w:r>
      <w:r w:rsidRPr="00ED0894">
        <w:rPr>
          <w:rFonts w:ascii="Arial" w:hAnsi="Arial" w:cs="Arial"/>
          <w:sz w:val="21"/>
          <w:szCs w:val="21"/>
        </w:rPr>
        <w:t>Proponente</w:t>
      </w:r>
      <w:r w:rsidRPr="00ED0894">
        <w:rPr>
          <w:rFonts w:ascii="Arial" w:eastAsia="Arial" w:hAnsi="Arial" w:cs="Arial"/>
          <w:sz w:val="21"/>
          <w:szCs w:val="21"/>
        </w:rPr>
        <w:t xml:space="preserve"> </w:t>
      </w:r>
      <w:r w:rsidRPr="00ED0894">
        <w:rPr>
          <w:rFonts w:ascii="Arial" w:hAnsi="Arial" w:cs="Arial"/>
          <w:sz w:val="21"/>
          <w:szCs w:val="21"/>
        </w:rPr>
        <w:t>en</w:t>
      </w:r>
      <w:r w:rsidRPr="00ED0894">
        <w:rPr>
          <w:rFonts w:ascii="Arial" w:eastAsia="Arial" w:hAnsi="Arial" w:cs="Arial"/>
          <w:sz w:val="21"/>
          <w:szCs w:val="21"/>
        </w:rPr>
        <w:t xml:space="preserve"> </w:t>
      </w:r>
      <w:r w:rsidRPr="00ED0894">
        <w:rPr>
          <w:rFonts w:ascii="Arial" w:hAnsi="Arial" w:cs="Arial"/>
          <w:sz w:val="21"/>
          <w:szCs w:val="21"/>
        </w:rPr>
        <w:t>la respectiva estructura</w:t>
      </w:r>
      <w:bookmarkEnd w:id="17"/>
      <w:r w:rsidRPr="00ED0894">
        <w:rPr>
          <w:rFonts w:ascii="Arial" w:hAnsi="Arial" w:cs="Arial"/>
          <w:sz w:val="21"/>
          <w:szCs w:val="21"/>
        </w:rPr>
        <w:t xml:space="preserve">. </w:t>
      </w:r>
      <w:r w:rsidR="00B74220" w:rsidRPr="00ED0894">
        <w:rPr>
          <w:rFonts w:ascii="Arial" w:hAnsi="Arial" w:cs="Arial"/>
          <w:sz w:val="21"/>
          <w:szCs w:val="21"/>
        </w:rPr>
        <w:t>(Énfasis fuera de texto)</w:t>
      </w:r>
    </w:p>
    <w:p w14:paraId="378A0735" w14:textId="77777777" w:rsidR="00C2687E" w:rsidRPr="00ED0894" w:rsidRDefault="00C2687E" w:rsidP="00C2687E">
      <w:pPr>
        <w:spacing w:after="0" w:line="276" w:lineRule="auto"/>
        <w:contextualSpacing/>
        <w:jc w:val="both"/>
        <w:rPr>
          <w:rFonts w:ascii="Arial" w:eastAsia="Arial," w:hAnsi="Arial" w:cs="Arial"/>
          <w:lang w:val="es-MX"/>
        </w:rPr>
      </w:pPr>
    </w:p>
    <w:p w14:paraId="56C3415A" w14:textId="71F49AC4" w:rsidR="00CD33E7" w:rsidRPr="00ED0894" w:rsidRDefault="00C2687E" w:rsidP="002D0C97">
      <w:pPr>
        <w:spacing w:after="0" w:line="276" w:lineRule="auto"/>
        <w:ind w:firstLine="708"/>
        <w:jc w:val="both"/>
        <w:rPr>
          <w:rFonts w:ascii="Arial" w:hAnsi="Arial" w:cs="Arial"/>
        </w:rPr>
      </w:pPr>
      <w:r w:rsidRPr="00ED0894">
        <w:rPr>
          <w:rFonts w:ascii="Arial" w:eastAsia="Arial," w:hAnsi="Arial" w:cs="Arial"/>
        </w:rPr>
        <w:t xml:space="preserve">Como se aprecia, los apartados transcritos del documento base están en armonía con lo dispuesto en la </w:t>
      </w:r>
      <w:r w:rsidRPr="00ED0894">
        <w:rPr>
          <w:rFonts w:ascii="Arial" w:hAnsi="Arial" w:cs="Arial"/>
        </w:rPr>
        <w:t xml:space="preserve">Guía para Determinar y Verificar la Capacidad Residual del Proponente en los Procesos de Contratación de Obra Pública, y se refieren a los contratos de obras civiles en ejecución, incluyendo a los contratos suspendidos y los que no tienen acta de inicio. Lo expuesto es congruente con </w:t>
      </w:r>
      <w:r w:rsidRPr="00ED0894">
        <w:rPr>
          <w:rFonts w:ascii="Arial" w:eastAsia="Calibri" w:hAnsi="Arial" w:cs="Arial"/>
          <w:color w:val="000000" w:themeColor="text1"/>
          <w:lang w:val="es-MX"/>
        </w:rPr>
        <w:t xml:space="preserve">el artículo 2.2.1.1.1.6.4 del Decreto 1082 de 2015, en virtud del cual, para efectos de </w:t>
      </w:r>
      <w:r w:rsidRPr="00ED0894">
        <w:rPr>
          <w:rFonts w:ascii="Arial" w:hAnsi="Arial" w:cs="Arial"/>
          <w:szCs w:val="20"/>
          <w:lang w:val="es-MX"/>
        </w:rPr>
        <w:t>acreditar la capacidad residual del proponente, se requiere el listado de contratos de obra civiles en ejecución suscritos con entidades estatales y con entidades privadas.</w:t>
      </w:r>
      <w:r w:rsidR="00CD33E7" w:rsidRPr="00ED0894">
        <w:rPr>
          <w:rFonts w:ascii="Arial" w:hAnsi="Arial" w:cs="Arial"/>
          <w:szCs w:val="20"/>
          <w:lang w:val="es-MX"/>
        </w:rPr>
        <w:t xml:space="preserve"> </w:t>
      </w:r>
    </w:p>
    <w:p w14:paraId="40682F04" w14:textId="77777777" w:rsidR="0077505D" w:rsidRPr="00ED0894" w:rsidRDefault="0077505D" w:rsidP="0077505D">
      <w:pPr>
        <w:spacing w:after="0" w:line="276" w:lineRule="auto"/>
        <w:jc w:val="both"/>
        <w:rPr>
          <w:rFonts w:ascii="Arial" w:eastAsia="Times New Roman" w:hAnsi="Arial" w:cs="Arial"/>
          <w:lang w:eastAsia="es-ES_tradnl"/>
        </w:rPr>
      </w:pPr>
    </w:p>
    <w:p w14:paraId="6E0C12BA" w14:textId="77777777" w:rsidR="000A7622" w:rsidRPr="00ED0894" w:rsidRDefault="000A7622" w:rsidP="000A7622">
      <w:pPr>
        <w:tabs>
          <w:tab w:val="left" w:pos="426"/>
        </w:tabs>
        <w:spacing w:after="0" w:line="276" w:lineRule="auto"/>
        <w:jc w:val="both"/>
        <w:rPr>
          <w:rFonts w:ascii="Arial" w:hAnsi="Arial" w:cs="Arial"/>
          <w:b/>
          <w:bCs/>
          <w:szCs w:val="20"/>
          <w:lang w:val="es-MX"/>
        </w:rPr>
      </w:pPr>
      <w:r w:rsidRPr="00ED0894">
        <w:rPr>
          <w:rFonts w:ascii="Arial" w:eastAsia="Calibri" w:hAnsi="Arial" w:cs="Arial"/>
          <w:b/>
          <w:bCs/>
          <w:color w:val="000000"/>
          <w:lang w:eastAsia="en-GB"/>
        </w:rPr>
        <w:t xml:space="preserve">2.2. Capacidad residual </w:t>
      </w:r>
      <w:r w:rsidRPr="00ED0894">
        <w:rPr>
          <w:rFonts w:ascii="Arial" w:hAnsi="Arial" w:cs="Arial"/>
          <w:b/>
          <w:bCs/>
          <w:szCs w:val="20"/>
          <w:lang w:val="es-MX"/>
        </w:rPr>
        <w:t>y rechazo de la oferta</w:t>
      </w:r>
      <w:r w:rsidRPr="00ED0894">
        <w:rPr>
          <w:rFonts w:ascii="Arial" w:eastAsia="Calibri" w:hAnsi="Arial" w:cs="Arial"/>
          <w:b/>
          <w:bCs/>
          <w:color w:val="000000"/>
          <w:lang w:eastAsia="en-GB"/>
        </w:rPr>
        <w:t xml:space="preserve"> en los «Documentos Tipo – Versión 3» </w:t>
      </w:r>
      <w:r w:rsidRPr="00ED0894">
        <w:rPr>
          <w:rFonts w:ascii="Arial" w:hAnsi="Arial" w:cs="Arial"/>
          <w:b/>
          <w:bCs/>
          <w:szCs w:val="20"/>
          <w:lang w:val="es-MX"/>
        </w:rPr>
        <w:t>de licitación para obra pública de infraestructura de transporte</w:t>
      </w:r>
    </w:p>
    <w:p w14:paraId="603750E5" w14:textId="77777777" w:rsidR="000A7622" w:rsidRPr="00ED0894" w:rsidRDefault="000A7622" w:rsidP="000A7622">
      <w:pPr>
        <w:tabs>
          <w:tab w:val="left" w:pos="426"/>
        </w:tabs>
        <w:spacing w:after="0" w:line="276" w:lineRule="auto"/>
        <w:jc w:val="both"/>
        <w:rPr>
          <w:rFonts w:ascii="Arial" w:hAnsi="Arial" w:cs="Arial"/>
          <w:b/>
          <w:bCs/>
          <w:szCs w:val="20"/>
          <w:lang w:val="es-MX"/>
        </w:rPr>
      </w:pPr>
    </w:p>
    <w:p w14:paraId="26951CF6" w14:textId="77777777" w:rsidR="00F7551C" w:rsidRPr="00ED0894" w:rsidRDefault="00F7551C" w:rsidP="00F7551C">
      <w:pPr>
        <w:tabs>
          <w:tab w:val="left" w:pos="426"/>
        </w:tabs>
        <w:spacing w:after="0" w:line="276" w:lineRule="auto"/>
        <w:jc w:val="both"/>
        <w:rPr>
          <w:rFonts w:ascii="Arial" w:eastAsia="Calibri" w:hAnsi="Arial" w:cs="Arial"/>
          <w:b/>
          <w:bCs/>
          <w:color w:val="000000"/>
          <w:lang w:eastAsia="en-GB"/>
        </w:rPr>
      </w:pPr>
      <w:r w:rsidRPr="00ED0894">
        <w:rPr>
          <w:rFonts w:ascii="Arial" w:hAnsi="Arial" w:cs="Arial"/>
          <w:szCs w:val="20"/>
          <w:lang w:val="es-MX"/>
        </w:rPr>
        <w:t xml:space="preserve">El numeral 3.10 del documento base de obra de licitación para obra pública de infraestructura de transporte –versión 3– establece </w:t>
      </w:r>
      <w:r w:rsidRPr="00ED0894">
        <w:rPr>
          <w:rFonts w:ascii="Arial" w:hAnsi="Arial" w:cs="Arial"/>
          <w:szCs w:val="20"/>
        </w:rPr>
        <w:t xml:space="preserve">como requisito habilitante la capacidad residual. En este documento tipo, </w:t>
      </w:r>
      <w:r w:rsidRPr="00ED0894">
        <w:rPr>
          <w:rFonts w:ascii="Arial" w:hAnsi="Arial" w:cs="Arial"/>
          <w:szCs w:val="20"/>
          <w:lang w:val="es-MX"/>
        </w:rPr>
        <w:t>al menos tres causales de rechazo del numeral 1.15 se relacionan con la capacidad residual como requisito habilitante, esto es, los literales E, H y Z. Estas causales disponen lo siguiente:</w:t>
      </w:r>
    </w:p>
    <w:p w14:paraId="4184DAF7" w14:textId="77777777" w:rsidR="00F7551C" w:rsidRPr="00ED0894" w:rsidRDefault="00F7551C" w:rsidP="00F7551C">
      <w:pPr>
        <w:spacing w:after="0"/>
        <w:ind w:left="709" w:right="709"/>
        <w:jc w:val="both"/>
        <w:rPr>
          <w:rFonts w:ascii="Arial" w:hAnsi="Arial" w:cs="Arial"/>
          <w:b/>
          <w:bCs/>
          <w:sz w:val="21"/>
          <w:szCs w:val="21"/>
        </w:rPr>
      </w:pPr>
    </w:p>
    <w:p w14:paraId="20D10827" w14:textId="77777777" w:rsidR="00F7551C" w:rsidRPr="00ED0894" w:rsidRDefault="00F7551C" w:rsidP="00F7551C">
      <w:pPr>
        <w:spacing w:line="240" w:lineRule="auto"/>
        <w:ind w:left="709" w:right="709"/>
        <w:jc w:val="both"/>
        <w:rPr>
          <w:rFonts w:ascii="Arial" w:hAnsi="Arial" w:cs="Arial"/>
          <w:b/>
          <w:bCs/>
          <w:sz w:val="21"/>
          <w:szCs w:val="21"/>
          <w:lang w:val="es-MX"/>
        </w:rPr>
      </w:pPr>
      <w:r w:rsidRPr="00ED0894">
        <w:rPr>
          <w:rFonts w:ascii="Arial" w:hAnsi="Arial" w:cs="Arial"/>
          <w:b/>
          <w:bCs/>
          <w:sz w:val="21"/>
          <w:szCs w:val="21"/>
          <w:lang w:val="es-MX"/>
        </w:rPr>
        <w:t>1.15.</w:t>
      </w:r>
      <w:r w:rsidRPr="00ED0894">
        <w:rPr>
          <w:rFonts w:ascii="Arial" w:hAnsi="Arial" w:cs="Arial"/>
          <w:b/>
          <w:bCs/>
          <w:sz w:val="21"/>
          <w:szCs w:val="21"/>
          <w:lang w:val="es-MX"/>
        </w:rPr>
        <w:tab/>
        <w:t xml:space="preserve">CAUSALES DE RECHAZO </w:t>
      </w:r>
    </w:p>
    <w:p w14:paraId="0E329284" w14:textId="77777777" w:rsidR="00F7551C" w:rsidRPr="00ED0894" w:rsidRDefault="00F7551C" w:rsidP="00F7551C">
      <w:pPr>
        <w:spacing w:line="240" w:lineRule="auto"/>
        <w:ind w:left="709" w:right="709"/>
        <w:jc w:val="both"/>
        <w:rPr>
          <w:rFonts w:ascii="Arial" w:hAnsi="Arial" w:cs="Arial"/>
          <w:sz w:val="21"/>
          <w:szCs w:val="21"/>
          <w:lang w:val="es-MX"/>
        </w:rPr>
      </w:pPr>
      <w:r w:rsidRPr="00ED0894">
        <w:rPr>
          <w:rFonts w:ascii="Arial" w:hAnsi="Arial" w:cs="Arial"/>
          <w:sz w:val="21"/>
          <w:szCs w:val="21"/>
          <w:lang w:val="es-MX"/>
        </w:rPr>
        <w:t>Son causales de rechazo las siguientes [Las Entidades no podrán modificar o incluir causales de rechazo distintas a las señaladas en la presente sección]:</w:t>
      </w:r>
    </w:p>
    <w:p w14:paraId="452B9D55" w14:textId="77777777" w:rsidR="00F7551C" w:rsidRPr="00ED0894" w:rsidRDefault="00F7551C" w:rsidP="00F7551C">
      <w:pPr>
        <w:spacing w:after="120" w:line="240" w:lineRule="auto"/>
        <w:ind w:left="709" w:right="709"/>
        <w:jc w:val="both"/>
        <w:rPr>
          <w:rFonts w:ascii="Arial" w:hAnsi="Arial" w:cs="Arial"/>
          <w:sz w:val="21"/>
          <w:szCs w:val="21"/>
          <w:lang w:val="es-MX"/>
        </w:rPr>
      </w:pPr>
      <w:r w:rsidRPr="00ED0894">
        <w:rPr>
          <w:rFonts w:ascii="Arial" w:hAnsi="Arial" w:cs="Arial"/>
          <w:sz w:val="21"/>
          <w:szCs w:val="21"/>
          <w:lang w:val="es-MX"/>
        </w:rPr>
        <w:t>[…]</w:t>
      </w:r>
    </w:p>
    <w:p w14:paraId="353F9561" w14:textId="77777777" w:rsidR="00F7551C" w:rsidRPr="00ED0894" w:rsidRDefault="00F7551C" w:rsidP="00F7551C">
      <w:pPr>
        <w:spacing w:line="240" w:lineRule="auto"/>
        <w:ind w:left="709" w:right="709"/>
        <w:jc w:val="both"/>
        <w:rPr>
          <w:rFonts w:ascii="Arial" w:hAnsi="Arial" w:cs="Arial"/>
          <w:sz w:val="21"/>
          <w:szCs w:val="21"/>
          <w:lang w:val="es-MX"/>
        </w:rPr>
      </w:pPr>
      <w:r w:rsidRPr="00ED0894">
        <w:rPr>
          <w:rFonts w:ascii="Arial" w:hAnsi="Arial" w:cs="Arial"/>
          <w:sz w:val="21"/>
          <w:szCs w:val="21"/>
          <w:lang w:val="es-MX"/>
        </w:rPr>
        <w:t>E. Que el Proponente no aclare, subsane o aporte documentos necesarios para el cumplimiento de un requisito habilitante en los términos establecidos en la sección 1.6.</w:t>
      </w:r>
    </w:p>
    <w:p w14:paraId="6352795C" w14:textId="77777777" w:rsidR="00F7551C" w:rsidRPr="00ED0894" w:rsidRDefault="00F7551C" w:rsidP="00F7551C">
      <w:pPr>
        <w:spacing w:line="240" w:lineRule="auto"/>
        <w:ind w:left="709" w:right="709"/>
        <w:jc w:val="both"/>
        <w:rPr>
          <w:rFonts w:ascii="Arial" w:hAnsi="Arial" w:cs="Arial"/>
          <w:sz w:val="21"/>
          <w:szCs w:val="21"/>
          <w:lang w:val="es-MX"/>
        </w:rPr>
      </w:pPr>
      <w:r w:rsidRPr="00ED0894">
        <w:rPr>
          <w:rFonts w:ascii="Arial" w:hAnsi="Arial" w:cs="Arial"/>
          <w:sz w:val="21"/>
          <w:szCs w:val="21"/>
          <w:lang w:val="es-MX"/>
        </w:rPr>
        <w:t>[…]</w:t>
      </w:r>
    </w:p>
    <w:p w14:paraId="6E06B76E" w14:textId="77777777" w:rsidR="00F7551C" w:rsidRPr="00ED0894" w:rsidRDefault="00F7551C" w:rsidP="00F7551C">
      <w:pPr>
        <w:spacing w:before="120" w:line="240" w:lineRule="auto"/>
        <w:ind w:left="709" w:right="709"/>
        <w:jc w:val="both"/>
        <w:rPr>
          <w:rFonts w:ascii="Arial" w:hAnsi="Arial" w:cs="Arial"/>
          <w:sz w:val="21"/>
          <w:szCs w:val="21"/>
          <w:lang w:val="es-MX"/>
        </w:rPr>
      </w:pPr>
      <w:r w:rsidRPr="00ED0894">
        <w:rPr>
          <w:rFonts w:ascii="Arial" w:hAnsi="Arial" w:cs="Arial"/>
          <w:sz w:val="21"/>
          <w:szCs w:val="21"/>
          <w:lang w:val="es-MX"/>
        </w:rPr>
        <w:t>H. Que el Proponente aporte información inexacta sobre la cual pueda existir una posible falsedad en los términos de la sección 1.11.</w:t>
      </w:r>
    </w:p>
    <w:p w14:paraId="12B7DE37" w14:textId="77777777" w:rsidR="00F7551C" w:rsidRPr="00ED0894" w:rsidRDefault="00F7551C" w:rsidP="00F7551C">
      <w:pPr>
        <w:spacing w:after="120" w:line="240" w:lineRule="auto"/>
        <w:ind w:left="709" w:right="709"/>
        <w:jc w:val="both"/>
        <w:rPr>
          <w:rFonts w:ascii="Arial" w:hAnsi="Arial" w:cs="Arial"/>
          <w:sz w:val="21"/>
          <w:szCs w:val="21"/>
          <w:lang w:val="es-MX"/>
        </w:rPr>
      </w:pPr>
      <w:r w:rsidRPr="00ED0894">
        <w:rPr>
          <w:rFonts w:ascii="Arial" w:hAnsi="Arial" w:cs="Arial"/>
          <w:sz w:val="21"/>
          <w:szCs w:val="21"/>
          <w:lang w:val="es-MX"/>
        </w:rPr>
        <w:t>[…]</w:t>
      </w:r>
    </w:p>
    <w:p w14:paraId="32D4A325" w14:textId="77777777" w:rsidR="00F7551C" w:rsidRPr="00ED0894" w:rsidRDefault="00F7551C" w:rsidP="00F7551C">
      <w:pPr>
        <w:spacing w:after="0" w:line="240" w:lineRule="auto"/>
        <w:ind w:left="709" w:right="709"/>
        <w:jc w:val="both"/>
        <w:rPr>
          <w:rFonts w:ascii="Arial" w:hAnsi="Arial" w:cs="Arial"/>
          <w:sz w:val="21"/>
          <w:szCs w:val="21"/>
          <w:lang w:val="es-MX"/>
        </w:rPr>
      </w:pPr>
      <w:r w:rsidRPr="00ED0894">
        <w:rPr>
          <w:rFonts w:ascii="Arial" w:hAnsi="Arial" w:cs="Arial"/>
          <w:sz w:val="21"/>
          <w:szCs w:val="21"/>
          <w:lang w:val="es-MX"/>
        </w:rPr>
        <w:t xml:space="preserve">Z. </w:t>
      </w:r>
      <w:bookmarkStart w:id="18" w:name="_Hlk78878480"/>
      <w:r w:rsidRPr="00ED0894">
        <w:rPr>
          <w:rFonts w:ascii="Arial" w:hAnsi="Arial" w:cs="Arial"/>
          <w:sz w:val="21"/>
          <w:szCs w:val="21"/>
          <w:lang w:val="es-MX"/>
        </w:rPr>
        <w:t>No informar todos los contratos que el Proponente tenga en ejecución antes del cierre, necesarios para acreditar su capacidad residual conforme a la sección 3.10.</w:t>
      </w:r>
    </w:p>
    <w:bookmarkEnd w:id="18"/>
    <w:p w14:paraId="2283A101" w14:textId="77777777" w:rsidR="00F7551C" w:rsidRPr="00ED0894" w:rsidRDefault="00F7551C" w:rsidP="00F7551C">
      <w:pPr>
        <w:spacing w:after="0"/>
        <w:ind w:left="709" w:right="709"/>
        <w:jc w:val="both"/>
        <w:rPr>
          <w:rFonts w:ascii="Arial" w:hAnsi="Arial" w:cs="Arial"/>
          <w:szCs w:val="20"/>
          <w:lang w:val="es-MX"/>
        </w:rPr>
      </w:pPr>
    </w:p>
    <w:p w14:paraId="2EC45FAF" w14:textId="77777777" w:rsidR="00F7551C" w:rsidRPr="00ED0894" w:rsidRDefault="00F7551C" w:rsidP="00F7551C">
      <w:pPr>
        <w:spacing w:after="120" w:line="276" w:lineRule="auto"/>
        <w:ind w:firstLine="709"/>
        <w:jc w:val="both"/>
        <w:rPr>
          <w:rFonts w:ascii="Arial" w:hAnsi="Arial" w:cs="Arial"/>
          <w:szCs w:val="20"/>
          <w:lang w:val="es-MX"/>
        </w:rPr>
      </w:pPr>
      <w:bookmarkStart w:id="19" w:name="_Hlk91596805"/>
      <w:r w:rsidRPr="00ED0894">
        <w:rPr>
          <w:rFonts w:ascii="Arial" w:hAnsi="Arial" w:cs="Arial"/>
          <w:szCs w:val="20"/>
          <w:lang w:val="es-MX"/>
        </w:rPr>
        <w:lastRenderedPageBreak/>
        <w:t>Como se consideró en los conceptos del 25 de septiembre y el 23 de diciembre de 2019 −radicados Nos. 2201913000007117 y 2201913000009538−, las causales de rechazo de ofertas contempladas en los documentos tipo son taxativas, descartándose que la entidad introduzca otras,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En ese contexto, las tres causales de rechazo mencionadas tienen el siguiente alcance:</w:t>
      </w:r>
    </w:p>
    <w:bookmarkEnd w:id="19"/>
    <w:p w14:paraId="3E977884" w14:textId="77777777" w:rsidR="00F7551C" w:rsidRPr="00ED0894" w:rsidRDefault="00F7551C" w:rsidP="00F7551C">
      <w:pPr>
        <w:spacing w:before="120" w:after="120" w:line="276" w:lineRule="auto"/>
        <w:ind w:firstLine="709"/>
        <w:jc w:val="both"/>
        <w:rPr>
          <w:rFonts w:ascii="Arial" w:hAnsi="Arial" w:cs="Arial"/>
          <w:i/>
          <w:iCs/>
          <w:lang w:val="es-MX"/>
        </w:rPr>
      </w:pPr>
      <w:r w:rsidRPr="00ED0894">
        <w:rPr>
          <w:rFonts w:ascii="Arial" w:hAnsi="Arial" w:cs="Arial"/>
          <w:i/>
          <w:szCs w:val="20"/>
          <w:lang w:val="es-MX"/>
        </w:rPr>
        <w:t>i)</w:t>
      </w:r>
      <w:r w:rsidRPr="00ED0894">
        <w:rPr>
          <w:rFonts w:ascii="Arial" w:hAnsi="Arial" w:cs="Arial"/>
          <w:szCs w:val="20"/>
          <w:lang w:val="es-MX"/>
        </w:rPr>
        <w:t xml:space="preserve"> La causal del </w:t>
      </w:r>
      <w:r w:rsidRPr="00ED0894">
        <w:rPr>
          <w:rFonts w:ascii="Arial" w:hAnsi="Arial" w:cs="Arial"/>
          <w:i/>
          <w:iCs/>
          <w:szCs w:val="20"/>
          <w:lang w:val="es-MX"/>
        </w:rPr>
        <w:t>literal Z</w:t>
      </w:r>
      <w:r w:rsidRPr="00ED0894">
        <w:rPr>
          <w:rFonts w:ascii="Arial" w:hAnsi="Arial" w:cs="Arial"/>
          <w:szCs w:val="20"/>
          <w:lang w:val="es-MX"/>
        </w:rPr>
        <w:t xml:space="preserve">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w:t>
      </w:r>
      <w:r w:rsidRPr="00ED0894">
        <w:rPr>
          <w:rFonts w:ascii="Arial" w:hAnsi="Arial" w:cs="Arial"/>
          <w:lang w:val="es-MX"/>
        </w:rPr>
        <w:t>configuración de la causal de rechazo del literal Z es objetiva, pues solo aplica ante la omisión del proponente de informar el número total de contratos en ejecución antes del cierre</w:t>
      </w:r>
      <w:r w:rsidRPr="00ED0894">
        <w:rPr>
          <w:rFonts w:ascii="Arial" w:hAnsi="Arial" w:cs="Arial"/>
          <w:szCs w:val="20"/>
          <w:lang w:val="es-MX"/>
        </w:rPr>
        <w:t xml:space="preserve">. </w:t>
      </w:r>
    </w:p>
    <w:p w14:paraId="53F745C8" w14:textId="77777777" w:rsidR="00F7551C" w:rsidRPr="00ED0894" w:rsidRDefault="00F7551C" w:rsidP="00F7551C">
      <w:pPr>
        <w:spacing w:before="120" w:line="276" w:lineRule="auto"/>
        <w:ind w:firstLine="708"/>
        <w:jc w:val="both"/>
        <w:rPr>
          <w:rFonts w:ascii="Arial" w:hAnsi="Arial" w:cs="Arial"/>
          <w:szCs w:val="20"/>
          <w:lang w:val="es-MX"/>
        </w:rPr>
      </w:pPr>
      <w:bookmarkStart w:id="20" w:name="_Hlk91596835"/>
      <w:proofErr w:type="spellStart"/>
      <w:r w:rsidRPr="00ED0894">
        <w:rPr>
          <w:rFonts w:ascii="Arial" w:hAnsi="Arial" w:cs="Arial"/>
          <w:i/>
          <w:szCs w:val="20"/>
          <w:lang w:val="es-MX"/>
        </w:rPr>
        <w:t>ii</w:t>
      </w:r>
      <w:proofErr w:type="spellEnd"/>
      <w:r w:rsidRPr="00ED0894">
        <w:rPr>
          <w:rFonts w:ascii="Arial" w:hAnsi="Arial" w:cs="Arial"/>
          <w:i/>
          <w:szCs w:val="20"/>
          <w:lang w:val="es-MX"/>
        </w:rPr>
        <w:t xml:space="preserve">) </w:t>
      </w:r>
      <w:r w:rsidRPr="00ED0894">
        <w:rPr>
          <w:rFonts w:ascii="Arial" w:hAnsi="Arial" w:cs="Arial"/>
          <w:szCs w:val="20"/>
          <w:lang w:val="es-MX"/>
        </w:rPr>
        <w:t xml:space="preserve">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w:t>
      </w:r>
      <w:r w:rsidRPr="00ED0894">
        <w:rPr>
          <w:rFonts w:ascii="Arial" w:hAnsi="Arial" w:cs="Arial"/>
          <w:i/>
          <w:iCs/>
          <w:szCs w:val="20"/>
          <w:lang w:val="es-MX"/>
        </w:rPr>
        <w:t>literal E</w:t>
      </w:r>
      <w:r w:rsidRPr="00ED0894">
        <w:rPr>
          <w:rFonts w:ascii="Arial" w:hAnsi="Arial" w:cs="Arial"/>
          <w:szCs w:val="20"/>
          <w:lang w:val="es-MX"/>
        </w:rPr>
        <w:t xml:space="preserve"> del numeral 1.15.</w:t>
      </w:r>
      <w:bookmarkEnd w:id="20"/>
      <w:r w:rsidRPr="00ED0894">
        <w:rPr>
          <w:rFonts w:ascii="Arial" w:hAnsi="Arial" w:cs="Arial"/>
          <w:szCs w:val="20"/>
          <w:lang w:val="es-MX"/>
        </w:rPr>
        <w:t xml:space="preserve"> </w:t>
      </w:r>
    </w:p>
    <w:p w14:paraId="503CDDBA" w14:textId="77777777" w:rsidR="00F7551C" w:rsidRPr="00ED0894" w:rsidRDefault="00F7551C" w:rsidP="00F7551C">
      <w:pPr>
        <w:spacing w:before="120" w:after="0" w:line="276" w:lineRule="auto"/>
        <w:ind w:firstLine="708"/>
        <w:jc w:val="both"/>
        <w:rPr>
          <w:rFonts w:ascii="Arial" w:hAnsi="Arial" w:cs="Arial"/>
          <w:szCs w:val="20"/>
          <w:lang w:val="es-MX"/>
        </w:rPr>
      </w:pPr>
      <w:proofErr w:type="spellStart"/>
      <w:r w:rsidRPr="00ED0894">
        <w:rPr>
          <w:rFonts w:ascii="Arial" w:hAnsi="Arial" w:cs="Arial"/>
          <w:i/>
          <w:szCs w:val="20"/>
          <w:lang w:val="es-MX"/>
        </w:rPr>
        <w:t>iii</w:t>
      </w:r>
      <w:proofErr w:type="spellEnd"/>
      <w:r w:rsidRPr="00ED0894">
        <w:rPr>
          <w:rFonts w:ascii="Arial" w:hAnsi="Arial" w:cs="Arial"/>
          <w:i/>
          <w:szCs w:val="20"/>
          <w:lang w:val="es-MX"/>
        </w:rPr>
        <w:t xml:space="preserve">) </w:t>
      </w:r>
      <w:r w:rsidRPr="00ED0894">
        <w:rPr>
          <w:rFonts w:ascii="Arial" w:hAnsi="Arial" w:cs="Arial"/>
          <w:szCs w:val="20"/>
          <w:lang w:val="es-MX"/>
        </w:rPr>
        <w:t xml:space="preserve">Lo dicho en los numerales precedentes tampoco descarta la posibilidad de que la entidad rechace la oferta si encuentra configurada la causal establecida en </w:t>
      </w:r>
      <w:bookmarkStart w:id="21" w:name="_Hlk81383775"/>
      <w:r w:rsidRPr="00ED0894">
        <w:rPr>
          <w:rFonts w:ascii="Arial" w:hAnsi="Arial" w:cs="Arial"/>
          <w:szCs w:val="20"/>
          <w:lang w:val="es-MX"/>
        </w:rPr>
        <w:t xml:space="preserve">el </w:t>
      </w:r>
      <w:r w:rsidRPr="00ED0894">
        <w:rPr>
          <w:rFonts w:ascii="Arial" w:hAnsi="Arial" w:cs="Arial"/>
          <w:i/>
          <w:iCs/>
          <w:szCs w:val="20"/>
          <w:lang w:val="es-MX"/>
        </w:rPr>
        <w:t>literal H</w:t>
      </w:r>
      <w:r w:rsidRPr="00ED0894">
        <w:rPr>
          <w:rFonts w:ascii="Arial" w:hAnsi="Arial" w:cs="Arial"/>
          <w:szCs w:val="20"/>
          <w:lang w:val="es-MX"/>
        </w:rPr>
        <w:t xml:space="preserve"> del numeral 1.15, que aplica cuando el proponente aporta información inexacta, de acuerdo con lo señalado en el numeral 1.11. del documento base</w:t>
      </w:r>
      <w:bookmarkEnd w:id="21"/>
      <w:r w:rsidRPr="00ED0894">
        <w:rPr>
          <w:rFonts w:ascii="Arial" w:hAnsi="Arial" w:cs="Arial"/>
          <w:szCs w:val="20"/>
          <w:lang w:val="es-MX"/>
        </w:rPr>
        <w:t xml:space="preserve">: </w:t>
      </w:r>
    </w:p>
    <w:p w14:paraId="4A12FAC4" w14:textId="77777777" w:rsidR="00F7551C" w:rsidRPr="00ED0894" w:rsidRDefault="00F7551C" w:rsidP="00F7551C">
      <w:pPr>
        <w:spacing w:after="0" w:line="276" w:lineRule="auto"/>
        <w:jc w:val="both"/>
        <w:rPr>
          <w:rFonts w:ascii="Arial" w:hAnsi="Arial" w:cs="Arial"/>
          <w:lang w:val="es-MX"/>
        </w:rPr>
      </w:pPr>
    </w:p>
    <w:p w14:paraId="552B1502" w14:textId="77777777" w:rsidR="00F7551C" w:rsidRPr="00ED0894" w:rsidRDefault="00F7551C" w:rsidP="00F7551C">
      <w:pPr>
        <w:spacing w:after="120" w:line="240" w:lineRule="auto"/>
        <w:ind w:left="709" w:right="709"/>
        <w:jc w:val="both"/>
        <w:rPr>
          <w:rFonts w:ascii="Arial" w:hAnsi="Arial" w:cs="Arial"/>
          <w:b/>
          <w:bCs/>
          <w:sz w:val="21"/>
          <w:szCs w:val="21"/>
        </w:rPr>
      </w:pPr>
      <w:r w:rsidRPr="00ED0894">
        <w:rPr>
          <w:rFonts w:ascii="Arial" w:hAnsi="Arial" w:cs="Arial"/>
          <w:b/>
          <w:bCs/>
          <w:sz w:val="21"/>
          <w:szCs w:val="21"/>
        </w:rPr>
        <w:t xml:space="preserve">1.11 INFORMACIÓN INEXACTA </w:t>
      </w:r>
    </w:p>
    <w:p w14:paraId="70D1C577" w14:textId="77777777" w:rsidR="00F7551C" w:rsidRPr="00ED0894" w:rsidRDefault="00F7551C" w:rsidP="00F7551C">
      <w:pPr>
        <w:spacing w:after="120" w:line="240" w:lineRule="auto"/>
        <w:ind w:left="709" w:right="709"/>
        <w:jc w:val="both"/>
        <w:rPr>
          <w:rFonts w:ascii="Arial" w:hAnsi="Arial" w:cs="Arial"/>
          <w:sz w:val="21"/>
          <w:szCs w:val="21"/>
        </w:rPr>
      </w:pPr>
      <w:r w:rsidRPr="00ED0894">
        <w:rPr>
          <w:rFonts w:ascii="Arial" w:hAnsi="Arial" w:cs="Arial"/>
          <w:sz w:val="21"/>
          <w:szCs w:val="21"/>
        </w:rPr>
        <w:t xml:space="preserve">La Entidad </w:t>
      </w:r>
      <w:bookmarkStart w:id="22" w:name="_Hlk88664526"/>
      <w:r w:rsidRPr="00ED0894">
        <w:rPr>
          <w:rFonts w:ascii="Arial" w:hAnsi="Arial" w:cs="Arial"/>
          <w:sz w:val="21"/>
          <w:szCs w:val="21"/>
        </w:rPr>
        <w:t>se reserva el derecho de verificar integralmente la información aportada por el Proponente</w:t>
      </w:r>
      <w:bookmarkEnd w:id="22"/>
      <w:r w:rsidRPr="00ED0894">
        <w:rPr>
          <w:rFonts w:ascii="Arial" w:hAnsi="Arial" w:cs="Arial"/>
          <w:sz w:val="21"/>
          <w:szCs w:val="21"/>
        </w:rPr>
        <w:t xml:space="preserve">. Para esto, puede acudir a las autoridades, personas, empresas o entidades respectivas. </w:t>
      </w:r>
    </w:p>
    <w:p w14:paraId="3A915AF8" w14:textId="77777777" w:rsidR="00F7551C" w:rsidRPr="00ED0894" w:rsidRDefault="00F7551C" w:rsidP="00F7551C">
      <w:pPr>
        <w:spacing w:after="120" w:line="240" w:lineRule="auto"/>
        <w:ind w:left="709" w:right="709"/>
        <w:jc w:val="both"/>
        <w:rPr>
          <w:rFonts w:ascii="Arial" w:hAnsi="Arial" w:cs="Arial"/>
          <w:sz w:val="21"/>
          <w:szCs w:val="21"/>
        </w:rPr>
      </w:pPr>
      <w:r w:rsidRPr="00ED0894">
        <w:rPr>
          <w:rFonts w:ascii="Arial" w:hAnsi="Arial" w:cs="Arial"/>
          <w:sz w:val="21"/>
          <w:szCs w:val="21"/>
        </w:rPr>
        <w:t xml:space="preserve">Cuando exista inconsistencia entre la información suministrada por el Proponente y la efectivamente verificada por la Entidad, la información que pretende demostrar el Proponente se tendrá por no acreditada. </w:t>
      </w:r>
    </w:p>
    <w:p w14:paraId="755BB5EE" w14:textId="77777777" w:rsidR="00F7551C" w:rsidRPr="00ED0894" w:rsidRDefault="00F7551C" w:rsidP="00F7551C">
      <w:pPr>
        <w:spacing w:after="0" w:line="240" w:lineRule="auto"/>
        <w:ind w:left="709" w:right="709"/>
        <w:jc w:val="both"/>
        <w:rPr>
          <w:rFonts w:ascii="Arial" w:hAnsi="Arial" w:cs="Arial"/>
          <w:sz w:val="21"/>
          <w:szCs w:val="21"/>
        </w:rPr>
      </w:pPr>
      <w:r w:rsidRPr="00ED0894">
        <w:rPr>
          <w:rFonts w:ascii="Arial" w:hAnsi="Arial" w:cs="Arial"/>
          <w:sz w:val="21"/>
          <w:szCs w:val="21"/>
        </w:rPr>
        <w:t xml:space="preserve">La Entidad compulsará copias a las autoridades competentes en aquellos eventos en los cuales la información aportada tenga inconsistencias sobre las cuales pueda existir una presunta falsedad, sin que el Proponente haya demostrado lo contrario, y procederá a rechazar la oferta. </w:t>
      </w:r>
    </w:p>
    <w:p w14:paraId="5A5F637F" w14:textId="77777777" w:rsidR="00F7551C" w:rsidRPr="00ED0894" w:rsidRDefault="00F7551C" w:rsidP="00F7551C">
      <w:pPr>
        <w:spacing w:after="0" w:line="240" w:lineRule="auto"/>
        <w:ind w:left="709" w:right="709"/>
        <w:jc w:val="both"/>
        <w:rPr>
          <w:rFonts w:ascii="Arial" w:hAnsi="Arial" w:cs="Arial"/>
          <w:sz w:val="21"/>
          <w:szCs w:val="21"/>
        </w:rPr>
      </w:pPr>
      <w:r w:rsidRPr="00ED0894">
        <w:rPr>
          <w:rFonts w:ascii="Arial" w:hAnsi="Arial" w:cs="Arial"/>
          <w:sz w:val="21"/>
          <w:szCs w:val="21"/>
        </w:rPr>
        <w:t>[…]</w:t>
      </w:r>
    </w:p>
    <w:p w14:paraId="1878D8AE" w14:textId="77777777" w:rsidR="00F7551C" w:rsidRPr="00ED0894" w:rsidRDefault="00F7551C" w:rsidP="00F7551C">
      <w:pPr>
        <w:spacing w:after="0" w:line="276" w:lineRule="auto"/>
        <w:jc w:val="both"/>
        <w:rPr>
          <w:rFonts w:ascii="Arial" w:hAnsi="Arial" w:cs="Arial"/>
        </w:rPr>
      </w:pPr>
    </w:p>
    <w:p w14:paraId="6F1D4102" w14:textId="77777777" w:rsidR="00F7551C" w:rsidRPr="00ED0894" w:rsidRDefault="00F7551C" w:rsidP="00F7551C">
      <w:pPr>
        <w:spacing w:after="120" w:line="276" w:lineRule="auto"/>
        <w:ind w:firstLine="709"/>
        <w:jc w:val="both"/>
        <w:rPr>
          <w:rFonts w:ascii="Arial" w:hAnsi="Arial" w:cs="Arial"/>
        </w:rPr>
      </w:pPr>
      <w:proofErr w:type="gramStart"/>
      <w:r w:rsidRPr="00ED0894">
        <w:rPr>
          <w:rFonts w:ascii="Arial" w:hAnsi="Arial" w:cs="Arial"/>
        </w:rPr>
        <w:lastRenderedPageBreak/>
        <w:t>Este numeral faculta</w:t>
      </w:r>
      <w:proofErr w:type="gramEnd"/>
      <w:r w:rsidRPr="00ED0894">
        <w:rPr>
          <w:rFonts w:ascii="Arial" w:hAnsi="Arial" w:cs="Arial"/>
        </w:rPr>
        <w:t xml:space="preserve"> a la entidad estatal para verificar la información aportada, para lo cual podrá acudir a las autoridades, personas, empresas o entidades que estén en posición de otorgar la información. No obstante, tal verificación es potestativa, no obligatoria, pues los procedimientos de selección exigen que los proponentes actúen conforme al principio de la buena fe, «que se debe manifestar en la presentación completa y veraz de la información que constituye su oferta, así como la lealtad y comportamiento adecuado frente a la entidad estatal y los demás proponentes durante las diferentes etapas del procedimiento de contratación»</w:t>
      </w:r>
      <w:r w:rsidRPr="00ED0894">
        <w:rPr>
          <w:rFonts w:ascii="Arial" w:hAnsi="Arial" w:cs="Arial"/>
          <w:vertAlign w:val="superscript"/>
        </w:rPr>
        <w:footnoteReference w:id="4"/>
      </w:r>
      <w:r w:rsidRPr="00ED0894">
        <w:rPr>
          <w:rFonts w:ascii="Arial" w:hAnsi="Arial" w:cs="Arial"/>
        </w:rPr>
        <w:t>. Conforme a ello, la prerrogativa de verificación es una herramienta para que la Administración adquiera certeza frente al cumplimiento de los requisitos del procedimiento de selección y del comportamiento leal que se exige de los proponentes.</w:t>
      </w:r>
    </w:p>
    <w:p w14:paraId="5053D399" w14:textId="77777777" w:rsidR="00F7551C" w:rsidRPr="00ED0894" w:rsidRDefault="00F7551C" w:rsidP="00F7551C">
      <w:pPr>
        <w:spacing w:before="120" w:after="120" w:line="276" w:lineRule="auto"/>
        <w:ind w:firstLine="708"/>
        <w:jc w:val="both"/>
        <w:rPr>
          <w:rFonts w:ascii="Arial" w:eastAsiaTheme="minorEastAsia" w:hAnsi="Arial" w:cs="Arial"/>
          <w:lang w:val="es-MX" w:eastAsia="es-CO"/>
        </w:rPr>
      </w:pPr>
      <w:r w:rsidRPr="00ED0894">
        <w:rPr>
          <w:rFonts w:ascii="Arial" w:eastAsiaTheme="minorEastAsia" w:hAnsi="Arial" w:cs="Arial"/>
          <w:lang w:eastAsia="es-CO"/>
        </w:rPr>
        <w:t>Según</w:t>
      </w:r>
      <w:r w:rsidRPr="00ED0894">
        <w:rPr>
          <w:rFonts w:ascii="Arial" w:eastAsiaTheme="minorEastAsia" w:hAnsi="Arial" w:cs="Arial"/>
          <w:lang w:val="es-MX" w:eastAsia="es-CO"/>
        </w:rPr>
        <w:t xml:space="preserve"> lo expuesto por esta Agencia en el concepto con radicado 2201913000008148 del 30 de octubre de 2019, la inexactitud –en el contexto de los «Documentos Tipo»– se entiende como «la disparidad, imprecisión, disconformidad o falta de precisión que se da de una información a otra». En este sentido, «[…] se habla de inexactitud cuando la información que aporta el proponente no concuerda con la que verifica la entidad, lo cual lleva a que esta información se entienda como no acreditada».</w:t>
      </w:r>
    </w:p>
    <w:p w14:paraId="3AE987BF" w14:textId="77777777" w:rsidR="00F7551C" w:rsidRPr="00ED0894" w:rsidRDefault="00F7551C" w:rsidP="00F7551C">
      <w:pPr>
        <w:spacing w:before="120" w:after="120" w:line="276" w:lineRule="auto"/>
        <w:ind w:firstLine="709"/>
        <w:jc w:val="both"/>
        <w:rPr>
          <w:rFonts w:ascii="Arial" w:hAnsi="Arial" w:cs="Arial"/>
        </w:rPr>
      </w:pPr>
      <w:r w:rsidRPr="00ED0894">
        <w:rPr>
          <w:rFonts w:ascii="Arial" w:hAnsi="Arial" w:cs="Arial"/>
          <w:lang w:val="es-MX"/>
        </w:rPr>
        <w:t xml:space="preserve">La </w:t>
      </w:r>
      <w:r w:rsidRPr="00ED0894">
        <w:rPr>
          <w:rFonts w:ascii="Arial" w:hAnsi="Arial" w:cs="Arial"/>
        </w:rPr>
        <w:t xml:space="preserve">regla de verificación de la información prevista en el numeral 1.11 del documento base aplica frente a la totalidad de la información y documentación aportada para cumplir los requisitos exigidos en el pliego de condiciones. Además, dispone dos supuestos, con consecuencias diferentes: el primero, señala que una vez verificada la información y evidenciada la inconsistencia, la entidad estatal la tendrá por no acreditada. Por ejemplo, cuando se presente una certificación de experiencia, y ante las observaciones recibidas en el traslado del informe de evaluación se verifique con la entidad contratante que las emitió, que no es acorde con el objeto contractual ejecutado, la entidad que adelanta el proceso de contratación, ante la duda, no tendrá en cuenta la certificación para evaluar la experiencia, sin perjuicio de que el proponente cumpla con este requisito con los demás certificados que aporte. En este evento, se trata de inconsistencias que, aunque no se superan por la ausencia de otro medio probatorio, no tienen la connotación de falsedad. </w:t>
      </w:r>
    </w:p>
    <w:p w14:paraId="2C098B32" w14:textId="77777777" w:rsidR="00F7551C" w:rsidRPr="00ED0894" w:rsidRDefault="00F7551C" w:rsidP="00F7551C">
      <w:pPr>
        <w:spacing w:before="120" w:after="120" w:line="276" w:lineRule="auto"/>
        <w:ind w:firstLine="709"/>
        <w:jc w:val="both"/>
        <w:rPr>
          <w:rFonts w:ascii="Arial" w:hAnsi="Arial" w:cs="Arial"/>
        </w:rPr>
      </w:pPr>
      <w:r w:rsidRPr="00ED0894">
        <w:rPr>
          <w:rFonts w:ascii="Arial" w:hAnsi="Arial" w:cs="Arial"/>
        </w:rPr>
        <w:t xml:space="preserve">El segundo evento se configura cuando de la verificación se corrobora que las inconsistencias obedecerían a una presunta falsedad no desvirtuada por el proponente, caso en el cual se rechaza la oferta y se informa a las autoridades correspondientes. Siguiendo con el ejemplo propuesto de la certificación de experiencia, la entidad que adelanta el procedimiento de selección, al comunicarse con la entidad para quien se ejecutó el contrato a acreditar, le informan que la certificación aportada por el proponente no fue expedida por esta, por cuanto ese objeto no fue ejecutado ni contratado. En este supuesto, cuando la entidad tiene el suficiente convencimiento de la existencia de la presunta falsedad, y luego de dar la oportunidad para que el proponente se manifieste, es </w:t>
      </w:r>
      <w:r w:rsidRPr="00ED0894">
        <w:rPr>
          <w:rFonts w:ascii="Arial" w:hAnsi="Arial" w:cs="Arial"/>
        </w:rPr>
        <w:lastRenderedPageBreak/>
        <w:t xml:space="preserve">procedente rechazar la oferta y compulsar copias a las autoridades competentes, quienes adelantarán las respectivas investigaciones. </w:t>
      </w:r>
    </w:p>
    <w:p w14:paraId="052DCAB8" w14:textId="77777777" w:rsidR="00F7551C" w:rsidRPr="00ED0894" w:rsidRDefault="00F7551C" w:rsidP="00F7551C">
      <w:pPr>
        <w:spacing w:before="120" w:after="120" w:line="276" w:lineRule="auto"/>
        <w:ind w:firstLine="708"/>
        <w:jc w:val="both"/>
        <w:rPr>
          <w:rFonts w:ascii="Arial" w:hAnsi="Arial" w:cs="Arial"/>
        </w:rPr>
      </w:pPr>
      <w:r w:rsidRPr="00ED0894">
        <w:rPr>
          <w:rFonts w:ascii="Arial" w:hAnsi="Arial" w:cs="Arial"/>
        </w:rPr>
        <w:t>Ahora bien, aunque las</w:t>
      </w:r>
      <w:r w:rsidRPr="00ED0894">
        <w:rPr>
          <w:rFonts w:ascii="Arial" w:hAnsi="Arial" w:cs="Arial"/>
          <w:szCs w:val="20"/>
        </w:rPr>
        <w:t xml:space="preserve"> causales de rechazo del literal E, H y Z del numeral 1.15 de los documentos tipo se relacionan con la capacidad residual como requisito habilitante</w:t>
      </w:r>
      <w:r w:rsidRPr="00ED0894">
        <w:rPr>
          <w:rFonts w:ascii="Arial" w:hAnsi="Arial" w:cs="Arial"/>
        </w:rPr>
        <w:t xml:space="preserve">, estas se aplican en supuestos diferentes, de acuerdo con lo explicado </w:t>
      </w:r>
      <w:r w:rsidRPr="00ED0894">
        <w:rPr>
          <w:rFonts w:ascii="Arial" w:hAnsi="Arial" w:cs="Arial"/>
          <w:i/>
        </w:rPr>
        <w:t>ut supra</w:t>
      </w:r>
      <w:r w:rsidRPr="00ED0894">
        <w:rPr>
          <w:rFonts w:ascii="Arial" w:hAnsi="Arial" w:cs="Arial"/>
        </w:rPr>
        <w:t>. De esta manera, la causal del literal H se produce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 Por su parte, la causal del literal Z se presenta cuando el proponente deja de informar la totalidad de los contratos que tiene en ejecución antes del cierre o no reporta la información de los contratos exigida en el documento base. Siguiendo con el ejemplo, el supuesto de hecho se presenta si el proponente, teniendo tres contratos de obra en ejecución antes del cierre, no informa la totalidad de estos.</w:t>
      </w:r>
    </w:p>
    <w:p w14:paraId="48C6A83F" w14:textId="77777777" w:rsidR="00F7551C" w:rsidRPr="00ED0894" w:rsidRDefault="00F7551C" w:rsidP="00F7551C">
      <w:pPr>
        <w:spacing w:before="120" w:after="120" w:line="276" w:lineRule="auto"/>
        <w:ind w:firstLine="708"/>
        <w:jc w:val="both"/>
        <w:rPr>
          <w:rFonts w:ascii="Arial" w:hAnsi="Arial" w:cs="Arial"/>
        </w:rPr>
      </w:pPr>
      <w:r w:rsidRPr="00ED0894">
        <w:rPr>
          <w:rFonts w:ascii="Arial" w:hAnsi="Arial" w:cs="Arial"/>
        </w:rPr>
        <w:t xml:space="preserve">Finalmente, esta distinción también se proyecta sobre las reglas de </w:t>
      </w:r>
      <w:proofErr w:type="spellStart"/>
      <w:r w:rsidRPr="00ED0894">
        <w:rPr>
          <w:rFonts w:ascii="Arial" w:hAnsi="Arial" w:cs="Arial"/>
        </w:rPr>
        <w:t>subsanabilidad</w:t>
      </w:r>
      <w:proofErr w:type="spellEnd"/>
      <w:r w:rsidRPr="00ED0894">
        <w:rPr>
          <w:rFonts w:ascii="Arial" w:hAnsi="Arial" w:cs="Arial"/>
        </w:rPr>
        <w:t xml:space="preserve"> de las ofertas de la Ley 1150 de 2007, pues solo habrá lugar a subsanar en los eventos en los que el proponente omite información sobre los contratos informados, esto es, en el evento de la causal del literal E. Dicho de otra forma, no se puede subsanar cuando se incurre en las causales H y Z, eventos en los cuales el rechazo procede de forma automática, es decir, sin permitirle al proponente subsanar la «inexactitud» de la oferta o el número de contratos de obra que tenía el deber de reportar, dada la forma en que están configuradas las causales de rechazo enunciadas.</w:t>
      </w:r>
    </w:p>
    <w:p w14:paraId="08314398" w14:textId="77777777" w:rsidR="00F7551C" w:rsidRPr="00ED0894" w:rsidRDefault="00F7551C" w:rsidP="00F7551C">
      <w:pPr>
        <w:spacing w:before="120" w:after="120" w:line="276" w:lineRule="auto"/>
        <w:ind w:firstLine="708"/>
        <w:jc w:val="both"/>
        <w:rPr>
          <w:rFonts w:ascii="Arial" w:hAnsi="Arial" w:cs="Arial"/>
        </w:rPr>
      </w:pPr>
      <w:r w:rsidRPr="00ED0894">
        <w:rPr>
          <w:rFonts w:ascii="Arial" w:hAnsi="Arial" w:cs="Arial"/>
          <w:noProof/>
        </w:rPr>
        <w:t>Ahora bien, es importate precisar que lo</w:t>
      </w:r>
      <w:r w:rsidRPr="00ED0894">
        <w:rPr>
          <w:rFonts w:ascii="Arial" w:hAnsi="Arial" w:cs="Arial"/>
        </w:rPr>
        <w:t xml:space="preserve"> expresado en el párrafo precedente no contradice lo dispuesto en el artículo 5, parágrafo 1, de la Ley 1150 de 2007, adicionado por el artículo 5 de la Ley 1882 de 2018, norma que dispone que «[…]</w:t>
      </w:r>
      <w:r w:rsidRPr="00ED0894">
        <w:t xml:space="preserve"> </w:t>
      </w:r>
      <w:r w:rsidRPr="00ED0894">
        <w:rPr>
          <w:rFonts w:ascii="Arial" w:hAnsi="Arial" w:cs="Arial"/>
        </w:rPr>
        <w:t xml:space="preserve">todos aquellos requisitos de la propuesta que no afecten la asignación de puntaje deberán ser solicitados por las entidades estatales y deberán ser entregados por los proponentes». Es cierto que la información «inexacta» y los contratos que no fueron informados no afectan la asignación de puntaje, pues estos se solicitan para la acreditación de la capacidad residual del proponente, que es uno de los requisitos habilitantes a los que se refiere el Capítulo III del documento base. Sin embargo, los supuestos de hecho en los que se fundamentan las causales de rechazo no permiten la subsanación. De esta manera, la imposibilidad de subsanar se deriva, entonces, del supuesto de hecho de aquellas causales, sin que en esto sea relevante que se otorguen o no puntos a la propuesta por el requisito de capacidad residual. </w:t>
      </w:r>
    </w:p>
    <w:p w14:paraId="64FAD55D" w14:textId="77777777" w:rsidR="00F7551C" w:rsidRPr="00ED0894" w:rsidRDefault="00F7551C" w:rsidP="00F7551C">
      <w:pPr>
        <w:spacing w:before="120" w:after="120" w:line="276" w:lineRule="auto"/>
        <w:ind w:firstLine="709"/>
        <w:jc w:val="both"/>
        <w:rPr>
          <w:rFonts w:ascii="Arial" w:hAnsi="Arial" w:cs="Arial"/>
        </w:rPr>
      </w:pPr>
      <w:r w:rsidRPr="00ED0894">
        <w:rPr>
          <w:rFonts w:ascii="Arial" w:hAnsi="Arial" w:cs="Arial"/>
        </w:rPr>
        <w:t xml:space="preserve">Como se expresó, la causal del literal Z procede cuando el proponente no informa todos los contratos de obra, fenómeno que se verifica al constatar que el número de contratos reportado es menor al número de contratos que debían reportarse. En este supuesto, lo que genera el rechazo de la oferta no es la ausencia de la información del contrato omitido, sino el hecho de haberse informado menos contratos de los que tenía en </w:t>
      </w:r>
      <w:r w:rsidRPr="00ED0894">
        <w:rPr>
          <w:rFonts w:ascii="Arial" w:hAnsi="Arial" w:cs="Arial"/>
        </w:rPr>
        <w:lastRenderedPageBreak/>
        <w:t xml:space="preserve">ejecución. Incluso, en el evento en que el proponente «corrija» el error e informe la existencia de un contrato no reportado, implica aceptar que ocurrió la causal del literal Z, esto es, que el proponente incumplió su obligación de informar todos los contratos de obra que tenía en ejecución. </w:t>
      </w:r>
    </w:p>
    <w:p w14:paraId="05D84501" w14:textId="77777777" w:rsidR="00F7551C" w:rsidRPr="00ED0894" w:rsidRDefault="00F7551C" w:rsidP="00F7551C">
      <w:pPr>
        <w:spacing w:before="120" w:after="120" w:line="276" w:lineRule="auto"/>
        <w:ind w:firstLine="709"/>
        <w:jc w:val="both"/>
        <w:rPr>
          <w:rFonts w:ascii="Arial" w:hAnsi="Arial" w:cs="Arial"/>
        </w:rPr>
      </w:pPr>
      <w:r w:rsidRPr="00ED0894">
        <w:rPr>
          <w:rFonts w:ascii="Arial" w:hAnsi="Arial" w:cs="Arial"/>
        </w:rPr>
        <w:t xml:space="preserve">Conclusión similar le aplica al literal H del numeral 1.15. del documento base, en el entendido de que el supuesto de hecho de esa causal, esto es, lo que genera el rechazo de la oferta, es la acción del proponente de aportar «[…] información inexacta sobre la cual pueda existir una posible falsedad […]», no la ausencia de la información que podría haberse tomado del contrato viciado de falsedad. Al respecto, surge la siguiente inquietud: ¿es posible subsanar el hecho de aportar una firma falsa presentando el documento firmado válidamente? Para esta entidad, la respuesta es negativa debido a que la finalidad que persigue la causal </w:t>
      </w:r>
      <w:r w:rsidRPr="00ED0894">
        <w:rPr>
          <w:rFonts w:ascii="Arial" w:hAnsi="Arial" w:cs="Arial"/>
          <w:i/>
        </w:rPr>
        <w:t>sub examine</w:t>
      </w:r>
      <w:r w:rsidRPr="00ED0894">
        <w:rPr>
          <w:rFonts w:ascii="Arial" w:hAnsi="Arial" w:cs="Arial"/>
        </w:rPr>
        <w:t xml:space="preserve"> es desincentivar todas las prácticas fraudulentas en los procesos de contratación estatal. </w:t>
      </w:r>
    </w:p>
    <w:p w14:paraId="54DBE046" w14:textId="3CE65114" w:rsidR="00F7551C" w:rsidRPr="00ED0894" w:rsidRDefault="00761125" w:rsidP="00F7551C">
      <w:pPr>
        <w:spacing w:before="120" w:after="120" w:line="276" w:lineRule="auto"/>
        <w:ind w:firstLine="709"/>
        <w:jc w:val="both"/>
        <w:rPr>
          <w:rFonts w:ascii="Arial" w:hAnsi="Arial" w:cs="Arial"/>
        </w:rPr>
      </w:pPr>
      <w:r w:rsidRPr="00ED0894">
        <w:rPr>
          <w:rStyle w:val="normaltextrun"/>
          <w:rFonts w:ascii="Arial" w:hAnsi="Arial" w:cs="Arial"/>
          <w:color w:val="000000"/>
          <w:shd w:val="clear" w:color="auto" w:fill="FFFFFF"/>
        </w:rPr>
        <w:t xml:space="preserve">En este sentido, la configuración de la causal se determinará teniendo en cuenta si la información inexacta conduce a una posible falsedad. Piénsese en el evento en que el proponente reporta todos los contratos de obra en ejecución en el formato de saldos de contratos en ejecución, pero </w:t>
      </w:r>
      <w:r w:rsidRPr="00ED0894">
        <w:rPr>
          <w:rStyle w:val="normaltextrun"/>
          <w:rFonts w:ascii="Arial" w:hAnsi="Arial" w:cs="Arial"/>
          <w:color w:val="000000"/>
          <w:shd w:val="clear" w:color="auto" w:fill="FFFFFF"/>
          <w:lang w:val="es-MX"/>
        </w:rPr>
        <w:t>incurre en algún error en la información de estos contratos, como por ejemplo en el valor o el plazo</w:t>
      </w:r>
      <w:r w:rsidRPr="00ED0894">
        <w:rPr>
          <w:rStyle w:val="normaltextrun"/>
          <w:rFonts w:ascii="Arial" w:hAnsi="Arial" w:cs="Arial"/>
          <w:color w:val="000000"/>
          <w:shd w:val="clear" w:color="auto" w:fill="FFFFFF"/>
        </w:rPr>
        <w:t xml:space="preserve">. En este caso, conforme a la explicación precedente, en principio, no se trata de información inexacta que tenga la connotación de falsedad por lo que no habría lugar a rechazo de la propuesta por esta </w:t>
      </w:r>
      <w:proofErr w:type="spellStart"/>
      <w:r w:rsidRPr="00ED0894">
        <w:rPr>
          <w:rStyle w:val="normaltextrun"/>
          <w:rFonts w:ascii="Arial" w:hAnsi="Arial" w:cs="Arial"/>
          <w:color w:val="000000"/>
          <w:shd w:val="clear" w:color="auto" w:fill="FFFFFF"/>
        </w:rPr>
        <w:t>causal</w:t>
      </w:r>
      <w:proofErr w:type="spellEnd"/>
      <w:r w:rsidRPr="00ED0894">
        <w:rPr>
          <w:rStyle w:val="normaltextrun"/>
          <w:rFonts w:ascii="Arial" w:hAnsi="Arial" w:cs="Arial"/>
          <w:color w:val="000000"/>
          <w:shd w:val="clear" w:color="auto" w:fill="FFFFFF"/>
        </w:rPr>
        <w:t>. Por ello, si el proponente omite o se equivoca en la información específica de un contrato incluido en el formato respectivo</w:t>
      </w:r>
      <w:r w:rsidRPr="00ED0894">
        <w:rPr>
          <w:rStyle w:val="normaltextrun"/>
          <w:rFonts w:ascii="Arial" w:hAnsi="Arial" w:cs="Arial"/>
          <w:color w:val="000000"/>
          <w:shd w:val="clear" w:color="auto" w:fill="FFFFFF"/>
          <w:lang w:val="es-MX"/>
        </w:rPr>
        <w:t>, la entidad podrá requerirlo para que aclare la información y, en caso de no responder, rechazar la propuesta por la causal que consagra el literal E del numeral 1.15</w:t>
      </w:r>
      <w:r w:rsidR="00F7551C" w:rsidRPr="00ED0894">
        <w:rPr>
          <w:rFonts w:ascii="Arial" w:hAnsi="Arial" w:cs="Arial"/>
        </w:rPr>
        <w:t xml:space="preserve">. </w:t>
      </w:r>
    </w:p>
    <w:p w14:paraId="1237BE04" w14:textId="7461DF82" w:rsidR="00F7551C" w:rsidRPr="00ED0894" w:rsidRDefault="0020268A" w:rsidP="00F7551C">
      <w:pPr>
        <w:spacing w:before="120" w:after="120" w:line="276" w:lineRule="auto"/>
        <w:ind w:firstLine="709"/>
        <w:jc w:val="both"/>
        <w:rPr>
          <w:rFonts w:ascii="Arial" w:hAnsi="Arial" w:cs="Arial"/>
        </w:rPr>
      </w:pPr>
      <w:r w:rsidRPr="00ED0894">
        <w:rPr>
          <w:rStyle w:val="normaltextrun"/>
          <w:rFonts w:ascii="Arial" w:hAnsi="Arial" w:cs="Arial"/>
          <w:color w:val="000000"/>
          <w:shd w:val="clear" w:color="auto" w:fill="FFFFFF"/>
        </w:rPr>
        <w:t xml:space="preserve">Sin embargo, las situaciones en la que la información inexacta conduce a una posible falsedad pueden ser múltiples y su configuración como causal de rechazo dependerá de las circunstancias particulares de cada caso. Por consiguiente, la entidad estatal deberá analizar concretamente cada una de ellas para determinar si existe una posible falsedad, caso en el cual, luego de dar la oportunidad para que el proponente se manifieste, es procedente rechazar la oferta y compulsar copias a las autoridades competentes, quienes adelantarán las respectivas investigaciones. Por ejemplo, </w:t>
      </w:r>
      <w:r w:rsidRPr="00ED0894">
        <w:rPr>
          <w:rStyle w:val="normaltextrun"/>
          <w:rFonts w:ascii="Arial" w:hAnsi="Arial" w:cs="Arial"/>
          <w:color w:val="000000"/>
          <w:shd w:val="clear" w:color="auto" w:fill="FFFFFF"/>
          <w:lang w:val="es-MX"/>
        </w:rPr>
        <w:t>en el evento en que se reporten todos los contratos y la entidad advierta que se consignó información errada en el formato respectivo soportada en documentos presuntamente falsos. En este caso,</w:t>
      </w:r>
      <w:r w:rsidRPr="00ED0894">
        <w:rPr>
          <w:rStyle w:val="normaltextrun"/>
          <w:rFonts w:ascii="Arial" w:hAnsi="Arial" w:cs="Arial"/>
          <w:color w:val="000000"/>
          <w:shd w:val="clear" w:color="auto" w:fill="FFFFFF"/>
        </w:rPr>
        <w:t xml:space="preserve"> los datos erróneos corresponden a información inexacta sobre la cual pueda existir una posible falsedad, lo cual da lugar a la configuración de la causal de rechazo del literal H </w:t>
      </w:r>
      <w:r w:rsidRPr="00ED0894">
        <w:rPr>
          <w:rStyle w:val="normaltextrun"/>
          <w:rFonts w:ascii="Arial" w:hAnsi="Arial" w:cs="Arial"/>
          <w:color w:val="000000"/>
          <w:shd w:val="clear" w:color="auto" w:fill="FFFFFF"/>
          <w:lang w:val="es-MX"/>
        </w:rPr>
        <w:t xml:space="preserve">del numeral 1.15. del documento base </w:t>
      </w:r>
      <w:r w:rsidRPr="00ED0894">
        <w:rPr>
          <w:rStyle w:val="normaltextrun"/>
          <w:rFonts w:ascii="Arial" w:hAnsi="Arial" w:cs="Arial"/>
          <w:color w:val="000000"/>
          <w:shd w:val="clear" w:color="auto" w:fill="FFFFFF"/>
        </w:rPr>
        <w:t xml:space="preserve">e impide la </w:t>
      </w:r>
      <w:proofErr w:type="spellStart"/>
      <w:r w:rsidRPr="00ED0894">
        <w:rPr>
          <w:rStyle w:val="normaltextrun"/>
          <w:rFonts w:ascii="Arial" w:hAnsi="Arial" w:cs="Arial"/>
          <w:color w:val="000000"/>
          <w:shd w:val="clear" w:color="auto" w:fill="FFFFFF"/>
        </w:rPr>
        <w:t>subsanabilidad</w:t>
      </w:r>
      <w:proofErr w:type="spellEnd"/>
      <w:r w:rsidRPr="00ED0894">
        <w:rPr>
          <w:rStyle w:val="normaltextrun"/>
          <w:rFonts w:ascii="Arial" w:hAnsi="Arial" w:cs="Arial"/>
          <w:color w:val="000000"/>
          <w:shd w:val="clear" w:color="auto" w:fill="FFFFFF"/>
        </w:rPr>
        <w:t xml:space="preserve"> de la oferta en este aspecto</w:t>
      </w:r>
      <w:r w:rsidR="00F7551C" w:rsidRPr="00ED0894">
        <w:rPr>
          <w:rFonts w:ascii="Arial" w:hAnsi="Arial" w:cs="Arial"/>
        </w:rPr>
        <w:t xml:space="preserve">. </w:t>
      </w:r>
    </w:p>
    <w:p w14:paraId="68E8AF22" w14:textId="77777777" w:rsidR="000A7622" w:rsidRPr="00ED0894" w:rsidRDefault="000A7622" w:rsidP="000A7622">
      <w:pPr>
        <w:spacing w:after="0" w:line="276" w:lineRule="auto"/>
        <w:ind w:firstLine="708"/>
        <w:jc w:val="both"/>
        <w:rPr>
          <w:rFonts w:ascii="Arial" w:hAnsi="Arial" w:cs="Arial"/>
        </w:rPr>
      </w:pPr>
      <w:r w:rsidRPr="00ED0894">
        <w:rPr>
          <w:rFonts w:ascii="Arial" w:hAnsi="Arial" w:cs="Arial"/>
        </w:rPr>
        <w:t xml:space="preserve">En relación con la información contractual no incluida que pueda afectar la capacidad residual del proponente, el pliego de condiciones del «Documento Tipo – </w:t>
      </w:r>
      <w:r w:rsidRPr="00ED0894">
        <w:rPr>
          <w:rFonts w:ascii="Arial" w:hAnsi="Arial" w:cs="Arial"/>
        </w:rPr>
        <w:lastRenderedPageBreak/>
        <w:t xml:space="preserve">Versión 3» de licitación para obra pública de infraestructura de transporte estableció una regla especial en el numeral 3.10 así: </w:t>
      </w:r>
    </w:p>
    <w:p w14:paraId="41939BD2" w14:textId="77777777" w:rsidR="000A7622" w:rsidRPr="00ED0894" w:rsidRDefault="000A7622" w:rsidP="000A7622">
      <w:pPr>
        <w:spacing w:after="0" w:line="276" w:lineRule="auto"/>
        <w:ind w:firstLine="709"/>
        <w:jc w:val="both"/>
        <w:rPr>
          <w:rFonts w:ascii="Arial" w:hAnsi="Arial" w:cs="Arial"/>
        </w:rPr>
      </w:pPr>
    </w:p>
    <w:p w14:paraId="56CD936A" w14:textId="77777777" w:rsidR="000A7622" w:rsidRPr="00ED0894" w:rsidRDefault="000A7622" w:rsidP="000A7622">
      <w:pPr>
        <w:keepNext/>
        <w:spacing w:after="120" w:line="240" w:lineRule="auto"/>
        <w:ind w:left="709" w:right="709"/>
        <w:outlineLvl w:val="1"/>
        <w:rPr>
          <w:rFonts w:ascii="Arial" w:eastAsia="Times New Roman" w:hAnsi="Arial" w:cs="Arial"/>
          <w:b/>
          <w:sz w:val="21"/>
          <w:szCs w:val="21"/>
          <w:lang w:eastAsia="es-CO"/>
        </w:rPr>
      </w:pPr>
      <w:bookmarkStart w:id="23" w:name="_Toc32096843"/>
      <w:bookmarkStart w:id="24" w:name="_Toc32144836"/>
      <w:r w:rsidRPr="00ED0894">
        <w:rPr>
          <w:rFonts w:ascii="Arial" w:eastAsia="Times New Roman" w:hAnsi="Arial" w:cs="Arial"/>
          <w:b/>
          <w:sz w:val="21"/>
          <w:szCs w:val="21"/>
          <w:lang w:eastAsia="es-CO"/>
        </w:rPr>
        <w:t>3.10. CAPACIDAD RESIDUAL</w:t>
      </w:r>
      <w:bookmarkEnd w:id="23"/>
      <w:bookmarkEnd w:id="24"/>
      <w:r w:rsidRPr="00ED0894">
        <w:rPr>
          <w:rFonts w:ascii="Arial" w:eastAsia="Times New Roman" w:hAnsi="Arial" w:cs="Arial"/>
          <w:b/>
          <w:sz w:val="21"/>
          <w:szCs w:val="21"/>
          <w:lang w:eastAsia="es-CO"/>
        </w:rPr>
        <w:t xml:space="preserve"> </w:t>
      </w:r>
    </w:p>
    <w:p w14:paraId="279D3854" w14:textId="77777777" w:rsidR="000A7622" w:rsidRPr="00ED0894" w:rsidRDefault="000A7622" w:rsidP="000A7622">
      <w:pPr>
        <w:widowControl w:val="0"/>
        <w:spacing w:after="0" w:line="240" w:lineRule="auto"/>
        <w:ind w:left="709" w:right="709"/>
        <w:jc w:val="both"/>
        <w:rPr>
          <w:rFonts w:ascii="Arial" w:eastAsia="Arial" w:hAnsi="Arial" w:cs="Arial"/>
          <w:sz w:val="21"/>
          <w:szCs w:val="21"/>
        </w:rPr>
      </w:pPr>
      <w:r w:rsidRPr="00ED0894">
        <w:rPr>
          <w:rFonts w:ascii="Arial" w:hAnsi="Arial" w:cs="Arial"/>
          <w:sz w:val="21"/>
          <w:szCs w:val="21"/>
        </w:rPr>
        <w:t>El</w:t>
      </w:r>
      <w:r w:rsidRPr="00ED0894">
        <w:rPr>
          <w:rFonts w:ascii="Arial" w:eastAsia="Arial" w:hAnsi="Arial" w:cs="Arial"/>
          <w:sz w:val="21"/>
          <w:szCs w:val="21"/>
        </w:rPr>
        <w:t xml:space="preserve"> </w:t>
      </w:r>
      <w:r w:rsidRPr="00ED0894">
        <w:rPr>
          <w:rFonts w:ascii="Arial" w:hAnsi="Arial" w:cs="Arial"/>
          <w:sz w:val="21"/>
          <w:szCs w:val="21"/>
        </w:rPr>
        <w:t>Proponente</w:t>
      </w:r>
      <w:r w:rsidRPr="00ED0894">
        <w:rPr>
          <w:rFonts w:ascii="Arial" w:eastAsia="Arial" w:hAnsi="Arial" w:cs="Arial"/>
          <w:sz w:val="21"/>
          <w:szCs w:val="21"/>
        </w:rPr>
        <w:t xml:space="preserve"> </w:t>
      </w:r>
      <w:r w:rsidRPr="00ED0894">
        <w:rPr>
          <w:rFonts w:ascii="Arial" w:hAnsi="Arial" w:cs="Arial"/>
          <w:sz w:val="21"/>
          <w:szCs w:val="21"/>
        </w:rPr>
        <w:t>será</w:t>
      </w:r>
      <w:r w:rsidRPr="00ED0894">
        <w:rPr>
          <w:rFonts w:ascii="Arial" w:eastAsia="Arial" w:hAnsi="Arial" w:cs="Arial"/>
          <w:sz w:val="21"/>
          <w:szCs w:val="21"/>
        </w:rPr>
        <w:t xml:space="preserve"> </w:t>
      </w:r>
      <w:r w:rsidRPr="00ED0894">
        <w:rPr>
          <w:rFonts w:ascii="Arial" w:hAnsi="Arial" w:cs="Arial"/>
          <w:sz w:val="21"/>
          <w:szCs w:val="21"/>
        </w:rPr>
        <w:t>hábil</w:t>
      </w:r>
      <w:r w:rsidRPr="00ED0894">
        <w:rPr>
          <w:rFonts w:ascii="Arial" w:eastAsia="Arial" w:hAnsi="Arial" w:cs="Arial"/>
          <w:sz w:val="21"/>
          <w:szCs w:val="21"/>
        </w:rPr>
        <w:t xml:space="preserve"> </w:t>
      </w:r>
      <w:r w:rsidRPr="00ED0894">
        <w:rPr>
          <w:rFonts w:ascii="Arial" w:hAnsi="Arial" w:cs="Arial"/>
          <w:sz w:val="21"/>
          <w:szCs w:val="21"/>
        </w:rPr>
        <w:t>si</w:t>
      </w:r>
      <w:r w:rsidRPr="00ED0894">
        <w:rPr>
          <w:rFonts w:ascii="Arial" w:eastAsia="Arial" w:hAnsi="Arial" w:cs="Arial"/>
          <w:sz w:val="21"/>
          <w:szCs w:val="21"/>
        </w:rPr>
        <w:t xml:space="preserve"> </w:t>
      </w:r>
      <w:r w:rsidRPr="00ED0894">
        <w:rPr>
          <w:rFonts w:ascii="Arial" w:hAnsi="Arial" w:cs="Arial"/>
          <w:sz w:val="21"/>
          <w:szCs w:val="21"/>
        </w:rPr>
        <w:t>la</w:t>
      </w:r>
      <w:r w:rsidRPr="00ED0894">
        <w:rPr>
          <w:rFonts w:ascii="Arial" w:eastAsia="Arial" w:hAnsi="Arial" w:cs="Arial"/>
          <w:sz w:val="21"/>
          <w:szCs w:val="21"/>
        </w:rPr>
        <w:t xml:space="preserve"> </w:t>
      </w:r>
      <w:r w:rsidRPr="00ED0894">
        <w:rPr>
          <w:rFonts w:ascii="Arial" w:hAnsi="Arial" w:cs="Arial"/>
          <w:sz w:val="21"/>
          <w:szCs w:val="21"/>
        </w:rPr>
        <w:t>capacidad</w:t>
      </w:r>
      <w:r w:rsidRPr="00ED0894">
        <w:rPr>
          <w:rFonts w:ascii="Arial" w:eastAsia="Arial" w:hAnsi="Arial" w:cs="Arial"/>
          <w:sz w:val="21"/>
          <w:szCs w:val="21"/>
        </w:rPr>
        <w:t xml:space="preserve"> </w:t>
      </w:r>
      <w:r w:rsidRPr="00ED0894">
        <w:rPr>
          <w:rFonts w:ascii="Arial" w:hAnsi="Arial" w:cs="Arial"/>
          <w:sz w:val="21"/>
          <w:szCs w:val="21"/>
        </w:rPr>
        <w:t>residual</w:t>
      </w:r>
      <w:r w:rsidRPr="00ED0894">
        <w:rPr>
          <w:rFonts w:ascii="Arial" w:eastAsia="Arial" w:hAnsi="Arial" w:cs="Arial"/>
          <w:sz w:val="21"/>
          <w:szCs w:val="21"/>
        </w:rPr>
        <w:t xml:space="preserve"> </w:t>
      </w:r>
      <w:r w:rsidRPr="00ED0894">
        <w:rPr>
          <w:rFonts w:ascii="Arial" w:hAnsi="Arial" w:cs="Arial"/>
          <w:sz w:val="21"/>
          <w:szCs w:val="21"/>
        </w:rPr>
        <w:t>del</w:t>
      </w:r>
      <w:r w:rsidRPr="00ED0894">
        <w:rPr>
          <w:rFonts w:ascii="Arial" w:eastAsia="Arial" w:hAnsi="Arial" w:cs="Arial"/>
          <w:sz w:val="21"/>
          <w:szCs w:val="21"/>
        </w:rPr>
        <w:t xml:space="preserve"> </w:t>
      </w:r>
      <w:r w:rsidRPr="00ED0894">
        <w:rPr>
          <w:rFonts w:ascii="Arial" w:hAnsi="Arial" w:cs="Arial"/>
          <w:sz w:val="21"/>
          <w:szCs w:val="21"/>
        </w:rPr>
        <w:t>Proponente</w:t>
      </w:r>
      <w:r w:rsidRPr="00ED0894">
        <w:rPr>
          <w:rFonts w:ascii="Arial" w:eastAsia="Arial" w:hAnsi="Arial" w:cs="Arial"/>
          <w:sz w:val="21"/>
          <w:szCs w:val="21"/>
        </w:rPr>
        <w:t xml:space="preserve"> </w:t>
      </w:r>
      <w:r w:rsidRPr="00ED0894">
        <w:rPr>
          <w:rFonts w:ascii="Arial" w:hAnsi="Arial" w:cs="Arial"/>
          <w:sz w:val="21"/>
          <w:szCs w:val="21"/>
        </w:rPr>
        <w:t>(CRP)</w:t>
      </w:r>
      <w:r w:rsidRPr="00ED0894">
        <w:rPr>
          <w:rFonts w:ascii="Arial" w:eastAsia="Arial" w:hAnsi="Arial" w:cs="Arial"/>
          <w:sz w:val="21"/>
          <w:szCs w:val="21"/>
        </w:rPr>
        <w:t xml:space="preserve"> </w:t>
      </w:r>
      <w:r w:rsidRPr="00ED0894">
        <w:rPr>
          <w:rFonts w:ascii="Arial" w:hAnsi="Arial" w:cs="Arial"/>
          <w:sz w:val="21"/>
          <w:szCs w:val="21"/>
        </w:rPr>
        <w:t>es</w:t>
      </w:r>
      <w:r w:rsidRPr="00ED0894">
        <w:rPr>
          <w:rFonts w:ascii="Arial" w:eastAsia="Arial" w:hAnsi="Arial" w:cs="Arial"/>
          <w:sz w:val="21"/>
          <w:szCs w:val="21"/>
        </w:rPr>
        <w:t xml:space="preserve"> </w:t>
      </w:r>
      <w:r w:rsidRPr="00ED0894">
        <w:rPr>
          <w:rFonts w:ascii="Arial" w:hAnsi="Arial" w:cs="Arial"/>
          <w:sz w:val="21"/>
          <w:szCs w:val="21"/>
        </w:rPr>
        <w:t>mayor</w:t>
      </w:r>
      <w:r w:rsidRPr="00ED0894">
        <w:rPr>
          <w:rFonts w:ascii="Arial" w:eastAsia="Arial" w:hAnsi="Arial" w:cs="Arial"/>
          <w:sz w:val="21"/>
          <w:szCs w:val="21"/>
        </w:rPr>
        <w:t xml:space="preserve"> </w:t>
      </w:r>
      <w:r w:rsidRPr="00ED0894">
        <w:rPr>
          <w:rFonts w:ascii="Arial" w:hAnsi="Arial" w:cs="Arial"/>
          <w:sz w:val="21"/>
          <w:szCs w:val="21"/>
        </w:rPr>
        <w:t>o</w:t>
      </w:r>
      <w:r w:rsidRPr="00ED0894">
        <w:rPr>
          <w:rFonts w:ascii="Arial" w:eastAsia="Arial" w:hAnsi="Arial" w:cs="Arial"/>
          <w:sz w:val="21"/>
          <w:szCs w:val="21"/>
        </w:rPr>
        <w:t xml:space="preserve"> </w:t>
      </w:r>
      <w:r w:rsidRPr="00ED0894">
        <w:rPr>
          <w:rFonts w:ascii="Arial" w:hAnsi="Arial" w:cs="Arial"/>
          <w:sz w:val="21"/>
          <w:szCs w:val="21"/>
        </w:rPr>
        <w:t>igual</w:t>
      </w:r>
      <w:r w:rsidRPr="00ED0894">
        <w:rPr>
          <w:rFonts w:ascii="Arial" w:eastAsia="Arial" w:hAnsi="Arial" w:cs="Arial"/>
          <w:sz w:val="21"/>
          <w:szCs w:val="21"/>
        </w:rPr>
        <w:t xml:space="preserve"> </w:t>
      </w:r>
      <w:r w:rsidRPr="00ED0894">
        <w:rPr>
          <w:rFonts w:ascii="Arial" w:hAnsi="Arial" w:cs="Arial"/>
          <w:sz w:val="21"/>
          <w:szCs w:val="21"/>
        </w:rPr>
        <w:t>a</w:t>
      </w:r>
      <w:r w:rsidRPr="00ED0894">
        <w:rPr>
          <w:rFonts w:ascii="Arial" w:eastAsia="Arial" w:hAnsi="Arial" w:cs="Arial"/>
          <w:sz w:val="21"/>
          <w:szCs w:val="21"/>
        </w:rPr>
        <w:t xml:space="preserve"> </w:t>
      </w:r>
      <w:r w:rsidRPr="00ED0894">
        <w:rPr>
          <w:rFonts w:ascii="Arial" w:hAnsi="Arial" w:cs="Arial"/>
          <w:sz w:val="21"/>
          <w:szCs w:val="21"/>
        </w:rPr>
        <w:t>la</w:t>
      </w:r>
      <w:r w:rsidRPr="00ED0894">
        <w:rPr>
          <w:rFonts w:ascii="Arial" w:eastAsia="Arial" w:hAnsi="Arial" w:cs="Arial"/>
          <w:sz w:val="21"/>
          <w:szCs w:val="21"/>
        </w:rPr>
        <w:t xml:space="preserve"> </w:t>
      </w:r>
      <w:r w:rsidRPr="00ED0894">
        <w:rPr>
          <w:rFonts w:ascii="Arial" w:hAnsi="Arial" w:cs="Arial"/>
          <w:sz w:val="21"/>
          <w:szCs w:val="21"/>
        </w:rPr>
        <w:t>capacidad</w:t>
      </w:r>
      <w:r w:rsidRPr="00ED0894">
        <w:rPr>
          <w:rFonts w:ascii="Arial" w:eastAsia="Arial" w:hAnsi="Arial" w:cs="Arial"/>
          <w:sz w:val="21"/>
          <w:szCs w:val="21"/>
        </w:rPr>
        <w:t xml:space="preserve"> </w:t>
      </w:r>
      <w:r w:rsidRPr="00ED0894">
        <w:rPr>
          <w:rFonts w:ascii="Arial" w:hAnsi="Arial" w:cs="Arial"/>
          <w:sz w:val="21"/>
          <w:szCs w:val="21"/>
        </w:rPr>
        <w:t>residual</w:t>
      </w:r>
      <w:r w:rsidRPr="00ED0894">
        <w:rPr>
          <w:rFonts w:ascii="Arial" w:eastAsia="Arial" w:hAnsi="Arial" w:cs="Arial"/>
          <w:sz w:val="21"/>
          <w:szCs w:val="21"/>
        </w:rPr>
        <w:t xml:space="preserve"> </w:t>
      </w:r>
      <w:r w:rsidRPr="00ED0894">
        <w:rPr>
          <w:rFonts w:ascii="Arial" w:hAnsi="Arial" w:cs="Arial"/>
          <w:sz w:val="21"/>
          <w:szCs w:val="21"/>
        </w:rPr>
        <w:t>de</w:t>
      </w:r>
      <w:r w:rsidRPr="00ED0894">
        <w:rPr>
          <w:rFonts w:ascii="Arial" w:eastAsia="Arial" w:hAnsi="Arial" w:cs="Arial"/>
          <w:sz w:val="21"/>
          <w:szCs w:val="21"/>
        </w:rPr>
        <w:t xml:space="preserve"> </w:t>
      </w:r>
      <w:r w:rsidRPr="00ED0894">
        <w:rPr>
          <w:rFonts w:ascii="Arial" w:hAnsi="Arial" w:cs="Arial"/>
          <w:sz w:val="21"/>
          <w:szCs w:val="21"/>
        </w:rPr>
        <w:t>Proceso de Contratación</w:t>
      </w:r>
      <w:r w:rsidRPr="00ED0894">
        <w:rPr>
          <w:rFonts w:ascii="Arial" w:eastAsia="Arial" w:hAnsi="Arial" w:cs="Arial"/>
          <w:sz w:val="21"/>
          <w:szCs w:val="21"/>
        </w:rPr>
        <w:t xml:space="preserve"> </w:t>
      </w:r>
      <w:r w:rsidRPr="00ED0894">
        <w:rPr>
          <w:rFonts w:ascii="Arial" w:hAnsi="Arial" w:cs="Arial"/>
          <w:sz w:val="21"/>
          <w:szCs w:val="21"/>
        </w:rPr>
        <w:t>(CRPC).</w:t>
      </w:r>
      <w:r w:rsidRPr="00ED0894">
        <w:rPr>
          <w:rFonts w:ascii="Arial" w:eastAsia="Arial" w:hAnsi="Arial" w:cs="Arial"/>
          <w:sz w:val="21"/>
          <w:szCs w:val="21"/>
        </w:rPr>
        <w:t xml:space="preserve"> </w:t>
      </w:r>
      <w:r w:rsidRPr="00ED0894">
        <w:rPr>
          <w:rFonts w:ascii="Arial" w:hAnsi="Arial" w:cs="Arial"/>
          <w:sz w:val="21"/>
          <w:szCs w:val="21"/>
        </w:rPr>
        <w:t>Así:</w:t>
      </w:r>
      <w:r w:rsidRPr="00ED0894">
        <w:rPr>
          <w:rFonts w:ascii="Arial" w:eastAsia="Arial" w:hAnsi="Arial" w:cs="Arial"/>
          <w:sz w:val="21"/>
          <w:szCs w:val="21"/>
        </w:rPr>
        <w:t xml:space="preserve"> </w:t>
      </w:r>
    </w:p>
    <w:p w14:paraId="5586BACB" w14:textId="77777777" w:rsidR="000A7622" w:rsidRPr="00ED0894" w:rsidRDefault="000A7622" w:rsidP="000A7622">
      <w:pPr>
        <w:widowControl w:val="0"/>
        <w:spacing w:after="0" w:line="240" w:lineRule="auto"/>
        <w:ind w:left="709" w:right="709"/>
        <w:jc w:val="both"/>
        <w:rPr>
          <w:rFonts w:ascii="Arial" w:eastAsia="Arial" w:hAnsi="Arial" w:cs="Arial"/>
          <w:sz w:val="21"/>
          <w:szCs w:val="21"/>
        </w:rPr>
      </w:pPr>
    </w:p>
    <w:p w14:paraId="2CB8D424" w14:textId="77777777" w:rsidR="000A7622" w:rsidRPr="00ED0894" w:rsidRDefault="000A7622" w:rsidP="000A7622">
      <w:pPr>
        <w:widowControl w:val="0"/>
        <w:spacing w:after="0" w:line="240" w:lineRule="auto"/>
        <w:ind w:left="709" w:right="709"/>
        <w:jc w:val="center"/>
        <w:rPr>
          <w:rFonts w:ascii="Arial" w:eastAsiaTheme="minorEastAsia" w:hAnsi="Arial" w:cs="Arial"/>
          <w:sz w:val="21"/>
          <w:szCs w:val="21"/>
        </w:rPr>
      </w:pPr>
      <m:oMathPara>
        <m:oMath>
          <m:r>
            <w:rPr>
              <w:rFonts w:ascii="Cambria Math" w:hAnsi="Cambria Math" w:cs="Arial"/>
              <w:sz w:val="21"/>
              <w:szCs w:val="21"/>
            </w:rPr>
            <m:t>CRP ≥CRPC</m:t>
          </m:r>
        </m:oMath>
      </m:oMathPara>
    </w:p>
    <w:p w14:paraId="49AF2D1D" w14:textId="77777777" w:rsidR="000A7622" w:rsidRPr="00ED0894" w:rsidRDefault="000A7622" w:rsidP="000A7622">
      <w:pPr>
        <w:widowControl w:val="0"/>
        <w:spacing w:after="0" w:line="240" w:lineRule="auto"/>
        <w:ind w:left="709" w:right="709"/>
        <w:jc w:val="center"/>
        <w:rPr>
          <w:rFonts w:ascii="Arial" w:hAnsi="Arial" w:cs="Arial"/>
          <w:sz w:val="21"/>
          <w:szCs w:val="21"/>
        </w:rPr>
      </w:pPr>
    </w:p>
    <w:p w14:paraId="606288AD" w14:textId="77777777" w:rsidR="000A7622" w:rsidRPr="00ED0894" w:rsidRDefault="000A7622" w:rsidP="000A7622">
      <w:pPr>
        <w:widowControl w:val="0"/>
        <w:spacing w:after="120" w:line="240" w:lineRule="auto"/>
        <w:ind w:left="709" w:right="709"/>
        <w:jc w:val="both"/>
        <w:rPr>
          <w:rFonts w:ascii="Arial" w:eastAsia="Arial" w:hAnsi="Arial" w:cs="Arial"/>
          <w:sz w:val="21"/>
          <w:szCs w:val="21"/>
        </w:rPr>
      </w:pPr>
      <w:r w:rsidRPr="00ED0894">
        <w:rPr>
          <w:rFonts w:ascii="Arial" w:hAnsi="Arial" w:cs="Arial"/>
          <w:sz w:val="21"/>
          <w:szCs w:val="21"/>
        </w:rPr>
        <w:t xml:space="preserve">Los Proponentes acreditarán la capacidad residual o K de contratación conforme se describe a continuación. </w:t>
      </w:r>
      <w:r w:rsidRPr="00ED0894">
        <w:rPr>
          <w:rFonts w:ascii="Arial" w:hAnsi="Arial" w:cs="Arial"/>
          <w:i/>
          <w:iCs/>
          <w:sz w:val="21"/>
          <w:szCs w:val="21"/>
          <w:lang w:val="es-MX"/>
        </w:rPr>
        <w:t>En todo caso, si con posterioridad al cierre del proceso cualquier interesado, durante el traslado del informe de evaluación, o la entidad, en uso de la potestad verificadora, advierte que se dejó de incluir, al cierre del proceso, por parte de un proponente, alguna información contractual que afecte su capacidad residual, la entidad rechazará la oferta</w:t>
      </w:r>
      <w:r w:rsidRPr="00ED0894">
        <w:rPr>
          <w:rFonts w:ascii="Arial" w:hAnsi="Arial" w:cs="Arial"/>
          <w:sz w:val="21"/>
          <w:szCs w:val="21"/>
        </w:rPr>
        <w:t xml:space="preserve">. </w:t>
      </w:r>
    </w:p>
    <w:p w14:paraId="3F223834" w14:textId="77777777" w:rsidR="000A7622" w:rsidRPr="00ED0894" w:rsidRDefault="000A7622" w:rsidP="000A7622">
      <w:pPr>
        <w:widowControl w:val="0"/>
        <w:spacing w:after="120" w:line="240" w:lineRule="auto"/>
        <w:ind w:left="709" w:right="709"/>
        <w:jc w:val="both"/>
        <w:rPr>
          <w:rFonts w:ascii="Arial" w:hAnsi="Arial" w:cs="Arial"/>
          <w:sz w:val="21"/>
          <w:szCs w:val="21"/>
        </w:rPr>
      </w:pPr>
      <w:r w:rsidRPr="00ED0894">
        <w:rPr>
          <w:rFonts w:ascii="Arial" w:hAnsi="Arial" w:cs="Arial"/>
          <w:sz w:val="21"/>
          <w:szCs w:val="21"/>
        </w:rPr>
        <w:t>Lo anterior, sin perjuicio de las acciones administrativas y/o judiciales a que haya lugar, en contra de la (s) persona (s) que haya (n) suscrito las certificaciones exigidas para el cálculo de la capacidad residual.</w:t>
      </w:r>
    </w:p>
    <w:p w14:paraId="1ED2F730" w14:textId="77777777" w:rsidR="000A7622" w:rsidRPr="00ED0894" w:rsidRDefault="000A7622" w:rsidP="000A7622">
      <w:pPr>
        <w:widowControl w:val="0"/>
        <w:spacing w:after="0" w:line="240" w:lineRule="auto"/>
        <w:ind w:left="709" w:right="709"/>
        <w:jc w:val="both"/>
        <w:rPr>
          <w:rFonts w:ascii="Arial" w:hAnsi="Arial" w:cs="Arial"/>
          <w:sz w:val="21"/>
          <w:szCs w:val="21"/>
        </w:rPr>
      </w:pPr>
      <w:r w:rsidRPr="00ED0894">
        <w:rPr>
          <w:rFonts w:ascii="Arial" w:hAnsi="Arial" w:cs="Arial"/>
          <w:sz w:val="21"/>
          <w:szCs w:val="21"/>
        </w:rPr>
        <w:t xml:space="preserve">[…] (Énfasis fuera de texto) </w:t>
      </w:r>
    </w:p>
    <w:p w14:paraId="1E61AD2E" w14:textId="4DFB51D1" w:rsidR="000A7622" w:rsidRPr="00ED0894" w:rsidRDefault="000A7622" w:rsidP="00BB402C">
      <w:pPr>
        <w:widowControl w:val="0"/>
        <w:spacing w:after="0" w:line="276" w:lineRule="auto"/>
        <w:ind w:right="709"/>
        <w:jc w:val="both"/>
        <w:rPr>
          <w:rFonts w:ascii="Arial" w:hAnsi="Arial" w:cs="Arial"/>
        </w:rPr>
      </w:pPr>
    </w:p>
    <w:p w14:paraId="243D6ECA" w14:textId="773AADBD" w:rsidR="000A7622" w:rsidRPr="00ED0894" w:rsidRDefault="0020268A" w:rsidP="00BB402C">
      <w:pPr>
        <w:spacing w:before="120" w:after="120" w:line="276" w:lineRule="auto"/>
        <w:ind w:firstLine="708"/>
        <w:jc w:val="both"/>
        <w:rPr>
          <w:rFonts w:ascii="Arial" w:eastAsiaTheme="minorEastAsia" w:hAnsi="Arial" w:cs="Arial"/>
          <w:lang w:eastAsia="es-CO"/>
        </w:rPr>
      </w:pPr>
      <w:bookmarkStart w:id="25" w:name="_Hlk81551358"/>
      <w:r w:rsidRPr="00ED0894">
        <w:rPr>
          <w:rStyle w:val="normaltextrun"/>
          <w:rFonts w:ascii="Arial" w:hAnsi="Arial" w:cs="Arial"/>
          <w:color w:val="000000"/>
          <w:shd w:val="clear" w:color="auto" w:fill="FFFFFF"/>
        </w:rPr>
        <w:t xml:space="preserve">De conformidad con esta regla, el rechazo de la oferta procede cuando en ejercicio de la potestad verificadora se advierta que se dejó de incluir información que afecta la capacidad residual del proponente, esto es, la referente a contratos de obra en ejecución. </w:t>
      </w:r>
      <w:r w:rsidR="00986B14" w:rsidRPr="00ED0894">
        <w:rPr>
          <w:rFonts w:ascii="Arial" w:hAnsi="Arial" w:cs="Arial"/>
        </w:rPr>
        <w:t>E</w:t>
      </w:r>
      <w:r w:rsidR="000A7622" w:rsidRPr="00ED0894">
        <w:rPr>
          <w:rFonts w:ascii="Arial" w:hAnsi="Arial" w:cs="Arial"/>
        </w:rPr>
        <w:t xml:space="preserv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 </w:t>
      </w:r>
      <w:bookmarkEnd w:id="25"/>
      <w:r w:rsidR="000A7622" w:rsidRPr="00ED0894">
        <w:rPr>
          <w:rFonts w:ascii="Arial" w:hAnsi="Arial" w:cs="Arial"/>
        </w:rPr>
        <w:t>Esto concuerda con la causal de rechazo prevista en el literal «H» del numeral 1.15 del documento base, el cual autoriza el rechazo de la propuesta en el evento en «</w:t>
      </w:r>
      <w:r w:rsidR="000A7622" w:rsidRPr="00ED0894">
        <w:rPr>
          <w:rFonts w:ascii="Arial" w:eastAsia="Arial" w:hAnsi="Arial" w:cs="Arial"/>
          <w:lang w:eastAsia="es-CO"/>
        </w:rPr>
        <w:t>Que</w:t>
      </w:r>
      <w:r w:rsidR="000A7622" w:rsidRPr="00ED0894">
        <w:rPr>
          <w:rFonts w:ascii="Arial" w:eastAsia="Arial,Calibri" w:hAnsi="Arial" w:cs="Arial"/>
          <w:lang w:eastAsia="es-CO"/>
        </w:rPr>
        <w:t xml:space="preserve"> </w:t>
      </w:r>
      <w:r w:rsidR="000A7622" w:rsidRPr="00ED0894">
        <w:rPr>
          <w:rFonts w:ascii="Arial" w:eastAsia="Arial" w:hAnsi="Arial" w:cs="Arial"/>
          <w:lang w:eastAsia="es-CO"/>
        </w:rPr>
        <w:t>el</w:t>
      </w:r>
      <w:r w:rsidR="000A7622" w:rsidRPr="00ED0894">
        <w:rPr>
          <w:rFonts w:ascii="Arial" w:eastAsia="Arial,Calibri" w:hAnsi="Arial" w:cs="Arial"/>
          <w:lang w:eastAsia="es-CO"/>
        </w:rPr>
        <w:t xml:space="preserve"> </w:t>
      </w:r>
      <w:r w:rsidR="000A7622" w:rsidRPr="00ED0894">
        <w:rPr>
          <w:rFonts w:ascii="Arial" w:eastAsia="Arial" w:hAnsi="Arial" w:cs="Arial"/>
          <w:lang w:eastAsia="es-CO"/>
        </w:rPr>
        <w:t>Proponente</w:t>
      </w:r>
      <w:r w:rsidR="000A7622" w:rsidRPr="00ED0894">
        <w:rPr>
          <w:rFonts w:ascii="Arial" w:eastAsia="Arial,Calibri" w:hAnsi="Arial" w:cs="Arial"/>
          <w:lang w:eastAsia="es-CO"/>
        </w:rPr>
        <w:t xml:space="preserve"> </w:t>
      </w:r>
      <w:r w:rsidR="000A7622" w:rsidRPr="00ED0894">
        <w:rPr>
          <w:rFonts w:ascii="Arial" w:eastAsia="Arial" w:hAnsi="Arial" w:cs="Arial"/>
          <w:lang w:eastAsia="es-CO"/>
        </w:rPr>
        <w:t xml:space="preserve">aporte información inexacta </w:t>
      </w:r>
      <w:r w:rsidR="000A7622" w:rsidRPr="00ED0894">
        <w:rPr>
          <w:rFonts w:ascii="Arial" w:eastAsiaTheme="minorEastAsia" w:hAnsi="Arial" w:cs="Arial"/>
          <w:lang w:eastAsia="es-CO"/>
        </w:rPr>
        <w:t>sobre la cual pueda existir una posible falsedad</w:t>
      </w:r>
      <w:r w:rsidR="000A7622" w:rsidRPr="00ED0894" w:rsidDel="003061D1">
        <w:rPr>
          <w:rFonts w:ascii="Arial" w:eastAsiaTheme="minorEastAsia" w:hAnsi="Arial" w:cs="Arial"/>
          <w:lang w:eastAsia="es-CO"/>
        </w:rPr>
        <w:t xml:space="preserve"> </w:t>
      </w:r>
      <w:r w:rsidR="000A7622" w:rsidRPr="00ED0894">
        <w:rPr>
          <w:rFonts w:ascii="Arial" w:eastAsiaTheme="minorEastAsia" w:hAnsi="Arial" w:cs="Arial"/>
          <w:lang w:eastAsia="es-CO"/>
        </w:rPr>
        <w:t>en los términos de la sección 1.11».</w:t>
      </w:r>
    </w:p>
    <w:p w14:paraId="63D0143F" w14:textId="77777777" w:rsidR="000A7622" w:rsidRPr="00ED0894" w:rsidRDefault="000A7622" w:rsidP="00BB402C">
      <w:pPr>
        <w:spacing w:before="120" w:after="120" w:line="276" w:lineRule="auto"/>
        <w:ind w:firstLine="708"/>
        <w:jc w:val="both"/>
        <w:rPr>
          <w:rFonts w:ascii="Arial" w:hAnsi="Arial" w:cs="Arial"/>
        </w:rPr>
      </w:pPr>
      <w:r w:rsidRPr="00ED0894">
        <w:rPr>
          <w:rFonts w:ascii="Arial" w:hAnsi="Arial" w:cs="Arial"/>
        </w:rPr>
        <w:t xml:space="preserve">Según lo expuesto, al verificarse que el proponente no incluyó información contractual que afecte su capacidad residual, la entidad no estará en posición de solicitar aclaraciones, o acudir al régimen de </w:t>
      </w:r>
      <w:proofErr w:type="spellStart"/>
      <w:r w:rsidRPr="00ED0894">
        <w:rPr>
          <w:rFonts w:ascii="Arial" w:hAnsi="Arial" w:cs="Arial"/>
        </w:rPr>
        <w:t>subsanabilidad</w:t>
      </w:r>
      <w:proofErr w:type="spellEnd"/>
      <w:r w:rsidRPr="00ED0894">
        <w:rPr>
          <w:rFonts w:ascii="Arial" w:hAnsi="Arial" w:cs="Arial"/>
        </w:rPr>
        <w:t xml:space="preserve"> de ofertas</w:t>
      </w:r>
      <w:r w:rsidRPr="00ED0894">
        <w:rPr>
          <w:rFonts w:ascii="Arial" w:hAnsi="Arial" w:cs="Arial"/>
          <w:vertAlign w:val="superscript"/>
        </w:rPr>
        <w:footnoteReference w:id="5"/>
      </w:r>
      <w:r w:rsidRPr="00ED0894">
        <w:rPr>
          <w:rFonts w:ascii="Arial" w:hAnsi="Arial" w:cs="Arial"/>
        </w:rPr>
        <w:t>. Esto en la medida que tal circunstancia constituye una causal de rechazo en los términos de los literales H y Z del numeral 1.15 del documento base, las cuales deberán analizar, caso a caso, las entidades contratantes conforme a los parámetros antes mencionados.</w:t>
      </w:r>
    </w:p>
    <w:p w14:paraId="527EEC4D" w14:textId="68C85812" w:rsidR="007447FA" w:rsidRPr="009C2A57" w:rsidRDefault="000A7622" w:rsidP="007447FA">
      <w:pPr>
        <w:spacing w:before="120" w:after="0" w:line="276" w:lineRule="auto"/>
        <w:jc w:val="both"/>
        <w:rPr>
          <w:rFonts w:ascii="Arial" w:hAnsi="Arial" w:cs="Arial"/>
        </w:rPr>
      </w:pPr>
      <w:r w:rsidRPr="00ED0894">
        <w:rPr>
          <w:rFonts w:ascii="Arial" w:hAnsi="Arial" w:cs="Arial"/>
        </w:rPr>
        <w:lastRenderedPageBreak/>
        <w:tab/>
        <w:t xml:space="preserve">En el caso de que el proponente presente la oferta con antelación a la fecha de cierre, informando los contratos que hasta entonces esté ejecutando, pero antes de la fecha de cierre comienza a ejecutar otro nuevo, está en la obligación de reportarlo a la entidad. De lo contrario estaría informando menos contratos, lo que además de afectar el cálculo de su capacidad residual o </w:t>
      </w:r>
      <w:r w:rsidRPr="00ED0894">
        <w:rPr>
          <w:rFonts w:ascii="Arial" w:hAnsi="Arial" w:cs="Arial"/>
          <w:i/>
          <w:iCs/>
        </w:rPr>
        <w:t>K</w:t>
      </w:r>
      <w:r w:rsidRPr="00ED0894">
        <w:rPr>
          <w:rFonts w:ascii="Arial" w:hAnsi="Arial" w:cs="Arial"/>
        </w:rPr>
        <w:t xml:space="preserve"> de contratación, facultaría a la entidad para rechazar su oferta conforme a la causal Z del numeral 1.15 del documento base o, eventualmente, por la causal del literal H </w:t>
      </w:r>
      <w:proofErr w:type="spellStart"/>
      <w:r w:rsidRPr="00ED0894">
        <w:rPr>
          <w:rFonts w:ascii="Arial" w:hAnsi="Arial" w:cs="Arial"/>
          <w:i/>
        </w:rPr>
        <w:t>ibídem</w:t>
      </w:r>
      <w:proofErr w:type="spellEnd"/>
      <w:r w:rsidR="00EE7457">
        <w:rPr>
          <w:rFonts w:ascii="Arial" w:hAnsi="Arial" w:cs="Arial"/>
        </w:rPr>
        <w:t>.</w:t>
      </w:r>
    </w:p>
    <w:p w14:paraId="5FCE9794" w14:textId="3B38D474" w:rsidR="00F42EDE" w:rsidRDefault="000A0BA4" w:rsidP="00BB2318">
      <w:pPr>
        <w:spacing w:before="120" w:line="276" w:lineRule="auto"/>
        <w:jc w:val="both"/>
        <w:rPr>
          <w:rFonts w:ascii="Arial" w:hAnsi="Arial" w:cs="Arial"/>
          <w:bCs/>
          <w:lang w:val="es-MX"/>
        </w:rPr>
      </w:pPr>
      <w:r w:rsidRPr="00D00064">
        <w:rPr>
          <w:rFonts w:ascii="Arial" w:hAnsi="Arial" w:cs="Arial"/>
        </w:rPr>
        <w:tab/>
      </w:r>
      <w:r w:rsidR="00FA7F82">
        <w:rPr>
          <w:rFonts w:ascii="Arial" w:hAnsi="Arial" w:cs="Arial"/>
        </w:rPr>
        <w:t xml:space="preserve">Ahora bien, en congruencia con lo explicado en el numeral anterior, es importante tener en cuenta </w:t>
      </w:r>
      <w:r w:rsidR="00B563B6">
        <w:rPr>
          <w:rFonts w:ascii="Arial" w:hAnsi="Arial" w:cs="Arial"/>
        </w:rPr>
        <w:t xml:space="preserve">que </w:t>
      </w:r>
      <w:r w:rsidR="004D3DB0">
        <w:rPr>
          <w:rFonts w:ascii="Arial" w:hAnsi="Arial" w:cs="Arial"/>
          <w:lang w:val="es-ES"/>
        </w:rPr>
        <w:t xml:space="preserve">la causal de rechazo del literal Z del numeral 1.15 del pliego </w:t>
      </w:r>
      <w:r w:rsidR="008E4FE6">
        <w:rPr>
          <w:rFonts w:ascii="Arial" w:hAnsi="Arial" w:cs="Arial"/>
          <w:lang w:val="es-ES"/>
        </w:rPr>
        <w:t xml:space="preserve">aplica </w:t>
      </w:r>
      <w:r w:rsidR="00AE5513">
        <w:rPr>
          <w:rFonts w:ascii="Arial" w:hAnsi="Arial" w:cs="Arial"/>
          <w:lang w:val="es-ES"/>
        </w:rPr>
        <w:t>por «</w:t>
      </w:r>
      <w:r w:rsidR="00AE5513" w:rsidRPr="00AE5513">
        <w:rPr>
          <w:rFonts w:ascii="Arial" w:hAnsi="Arial" w:cs="Arial"/>
          <w:lang w:val="es-MX"/>
        </w:rPr>
        <w:t>No informar todos los contratos que el Proponente tenga en ejecución antes del cierre, necesarios para acreditar su capacidad residual conforme a la sección 3.10</w:t>
      </w:r>
      <w:r w:rsidR="00E3370C">
        <w:rPr>
          <w:rFonts w:ascii="Arial" w:hAnsi="Arial" w:cs="Arial"/>
          <w:lang w:val="es-MX"/>
        </w:rPr>
        <w:t>»</w:t>
      </w:r>
      <w:r w:rsidR="002145DF">
        <w:rPr>
          <w:rFonts w:ascii="Arial" w:hAnsi="Arial" w:cs="Arial"/>
          <w:lang w:val="es-MX"/>
        </w:rPr>
        <w:t xml:space="preserve">. Para estos efectos, conforme a las definiciones </w:t>
      </w:r>
      <w:r w:rsidR="00B428B6">
        <w:rPr>
          <w:rFonts w:ascii="Arial" w:hAnsi="Arial" w:cs="Arial"/>
          <w:lang w:val="es-MX"/>
        </w:rPr>
        <w:t xml:space="preserve">previstas en </w:t>
      </w:r>
      <w:r w:rsidR="00F468CD" w:rsidRPr="00F468CD">
        <w:rPr>
          <w:rFonts w:ascii="Arial" w:hAnsi="Arial" w:cs="Arial"/>
          <w:bCs/>
          <w:lang w:val="es-ES"/>
        </w:rPr>
        <w:t>la Guía para Determinar y Verificar la Capacidad Residual del Proponente en los Procesos de Contratación de Obra Pública</w:t>
      </w:r>
      <w:r w:rsidR="003A3D0C">
        <w:rPr>
          <w:rFonts w:ascii="Arial" w:hAnsi="Arial" w:cs="Arial"/>
          <w:bCs/>
          <w:lang w:val="es-ES"/>
        </w:rPr>
        <w:t xml:space="preserve">, el numeral II </w:t>
      </w:r>
      <w:r w:rsidR="004A07C8">
        <w:rPr>
          <w:rFonts w:ascii="Arial" w:hAnsi="Arial" w:cs="Arial"/>
          <w:bCs/>
          <w:lang w:val="es-ES"/>
        </w:rPr>
        <w:t xml:space="preserve">del literal E del numeral 3.10.2 del documento base dispone que </w:t>
      </w:r>
      <w:r w:rsidR="00F70DBA">
        <w:rPr>
          <w:rFonts w:ascii="Arial" w:hAnsi="Arial" w:cs="Arial"/>
          <w:bCs/>
          <w:lang w:val="es-ES"/>
        </w:rPr>
        <w:t>«</w:t>
      </w:r>
      <w:r w:rsidR="00F70DBA" w:rsidRPr="00F70DBA">
        <w:rPr>
          <w:rFonts w:ascii="Arial" w:hAnsi="Arial" w:cs="Arial"/>
          <w:bCs/>
          <w:lang w:val="es-MX"/>
        </w:rPr>
        <w:t>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r w:rsidR="00F70DBA">
        <w:rPr>
          <w:rFonts w:ascii="Arial" w:hAnsi="Arial" w:cs="Arial"/>
          <w:bCs/>
          <w:lang w:val="es-MX"/>
        </w:rPr>
        <w:t>»</w:t>
      </w:r>
      <w:r w:rsidR="00F70DBA" w:rsidRPr="00F70DBA">
        <w:rPr>
          <w:rFonts w:ascii="Arial" w:hAnsi="Arial" w:cs="Arial"/>
          <w:bCs/>
          <w:lang w:val="es-MX"/>
        </w:rPr>
        <w:t>.</w:t>
      </w:r>
      <w:r w:rsidR="00D96B1E">
        <w:rPr>
          <w:rFonts w:ascii="Arial" w:hAnsi="Arial" w:cs="Arial"/>
          <w:bCs/>
          <w:lang w:val="es-MX"/>
        </w:rPr>
        <w:t xml:space="preserve"> </w:t>
      </w:r>
    </w:p>
    <w:p w14:paraId="24BA1E71" w14:textId="3E9A673B" w:rsidR="00F70DBA" w:rsidRPr="00F70DBA" w:rsidRDefault="00D96B1E" w:rsidP="002D0C97">
      <w:pPr>
        <w:spacing w:after="0" w:line="276" w:lineRule="auto"/>
        <w:ind w:firstLine="708"/>
        <w:jc w:val="both"/>
        <w:rPr>
          <w:rFonts w:ascii="Arial" w:hAnsi="Arial" w:cs="Arial"/>
          <w:bCs/>
          <w:lang w:val="es-MX"/>
        </w:rPr>
      </w:pPr>
      <w:r>
        <w:rPr>
          <w:rFonts w:ascii="Arial" w:hAnsi="Arial" w:cs="Arial"/>
          <w:bCs/>
          <w:lang w:val="es-MX"/>
        </w:rPr>
        <w:t xml:space="preserve">Como se observa, la definición solo aplica a los </w:t>
      </w:r>
      <w:r w:rsidRPr="002D0C97">
        <w:rPr>
          <w:rFonts w:ascii="Arial" w:hAnsi="Arial" w:cs="Arial"/>
          <w:bCs/>
          <w:i/>
          <w:iCs/>
          <w:lang w:val="es-MX"/>
        </w:rPr>
        <w:t xml:space="preserve">contratos </w:t>
      </w:r>
      <w:r w:rsidR="00B56D9F" w:rsidRPr="002D0C97">
        <w:rPr>
          <w:rFonts w:ascii="Arial" w:hAnsi="Arial" w:cs="Arial"/>
          <w:bCs/>
          <w:i/>
          <w:iCs/>
          <w:lang w:val="es-MX"/>
        </w:rPr>
        <w:t>perfeccionados</w:t>
      </w:r>
      <w:r w:rsidR="00152863">
        <w:rPr>
          <w:rFonts w:ascii="Arial" w:hAnsi="Arial" w:cs="Arial"/>
          <w:bCs/>
          <w:lang w:val="es-MX"/>
        </w:rPr>
        <w:t xml:space="preserve">, aunque estos estén suspendidos o </w:t>
      </w:r>
      <w:r w:rsidR="00B56D9F">
        <w:rPr>
          <w:rFonts w:ascii="Arial" w:hAnsi="Arial" w:cs="Arial"/>
          <w:bCs/>
          <w:lang w:val="es-MX"/>
        </w:rPr>
        <w:t xml:space="preserve">no </w:t>
      </w:r>
      <w:r w:rsidR="00152863">
        <w:rPr>
          <w:rFonts w:ascii="Arial" w:hAnsi="Arial" w:cs="Arial"/>
          <w:bCs/>
          <w:lang w:val="es-MX"/>
        </w:rPr>
        <w:t>tengan acta de inicio</w:t>
      </w:r>
      <w:r w:rsidR="006D561F">
        <w:rPr>
          <w:rFonts w:ascii="Arial" w:hAnsi="Arial" w:cs="Arial"/>
          <w:bCs/>
          <w:lang w:val="es-MX"/>
        </w:rPr>
        <w:t xml:space="preserve">. </w:t>
      </w:r>
      <w:r w:rsidR="00E03CA7">
        <w:rPr>
          <w:rFonts w:ascii="Arial" w:hAnsi="Arial" w:cs="Arial"/>
          <w:bCs/>
          <w:lang w:val="es-MX"/>
        </w:rPr>
        <w:t xml:space="preserve">Por tanto, </w:t>
      </w:r>
      <w:r w:rsidR="00853E6C">
        <w:rPr>
          <w:rFonts w:ascii="Arial" w:hAnsi="Arial" w:cs="Arial"/>
          <w:bCs/>
          <w:lang w:val="es-MX"/>
        </w:rPr>
        <w:t xml:space="preserve">están fuera de esta los </w:t>
      </w:r>
      <w:r w:rsidR="00853E6C" w:rsidRPr="002D0C97">
        <w:rPr>
          <w:rFonts w:ascii="Arial" w:hAnsi="Arial" w:cs="Arial"/>
          <w:bCs/>
          <w:i/>
          <w:iCs/>
          <w:lang w:val="es-MX"/>
        </w:rPr>
        <w:t>contratos adjudicados</w:t>
      </w:r>
      <w:r w:rsidR="00B64F13">
        <w:rPr>
          <w:rFonts w:ascii="Arial" w:hAnsi="Arial" w:cs="Arial"/>
          <w:bCs/>
          <w:lang w:val="es-MX"/>
        </w:rPr>
        <w:t xml:space="preserve">, pues –en los términos del artículo </w:t>
      </w:r>
      <w:r w:rsidR="0077692C">
        <w:rPr>
          <w:rFonts w:ascii="Arial" w:hAnsi="Arial" w:cs="Arial"/>
          <w:bCs/>
          <w:lang w:val="es-MX"/>
        </w:rPr>
        <w:t>41 de la Ley 80 de 1993– los contratos estatales de las entidades sometidas al Estatuto General de Contratación de la Administración Pública</w:t>
      </w:r>
      <w:r w:rsidR="00BB2318">
        <w:rPr>
          <w:rFonts w:ascii="Arial" w:hAnsi="Arial" w:cs="Arial"/>
          <w:bCs/>
          <w:lang w:val="es-MX"/>
        </w:rPr>
        <w:t xml:space="preserve"> </w:t>
      </w:r>
      <w:r w:rsidR="00BB2318" w:rsidRPr="00BB2318">
        <w:rPr>
          <w:rFonts w:ascii="Arial" w:hAnsi="Arial" w:cs="Arial"/>
          <w:bCs/>
        </w:rPr>
        <w:t>se perfeccionan</w:t>
      </w:r>
      <w:r w:rsidR="00E74DB8">
        <w:rPr>
          <w:rFonts w:ascii="Arial" w:hAnsi="Arial" w:cs="Arial"/>
          <w:bCs/>
        </w:rPr>
        <w:t xml:space="preserve"> </w:t>
      </w:r>
      <w:r w:rsidR="00BB2318" w:rsidRPr="00BB2318">
        <w:rPr>
          <w:rFonts w:ascii="Arial" w:hAnsi="Arial" w:cs="Arial"/>
          <w:bCs/>
        </w:rPr>
        <w:t>cuando se logre acuerdo sobre el objeto y la contraprestación y éste se eleve a escrito</w:t>
      </w:r>
      <w:r w:rsidR="00BB2318">
        <w:rPr>
          <w:rFonts w:ascii="Arial" w:hAnsi="Arial" w:cs="Arial"/>
          <w:bCs/>
        </w:rPr>
        <w:t>.</w:t>
      </w:r>
      <w:r w:rsidR="00B0259F">
        <w:rPr>
          <w:rFonts w:ascii="Arial" w:hAnsi="Arial" w:cs="Arial"/>
          <w:bCs/>
        </w:rPr>
        <w:t xml:space="preserve"> </w:t>
      </w:r>
      <w:r w:rsidR="00FB3124" w:rsidRPr="00ED0894">
        <w:rPr>
          <w:rFonts w:ascii="Arial" w:hAnsi="Arial" w:cs="Arial"/>
        </w:rPr>
        <w:t xml:space="preserve">Lo expuesto es congruente con </w:t>
      </w:r>
      <w:r w:rsidR="00FB3124" w:rsidRPr="00ED0894">
        <w:rPr>
          <w:rFonts w:ascii="Arial" w:eastAsia="Calibri" w:hAnsi="Arial" w:cs="Arial"/>
          <w:color w:val="000000" w:themeColor="text1"/>
          <w:lang w:val="es-MX"/>
        </w:rPr>
        <w:t xml:space="preserve">el artículo 2.2.1.1.1.6.4 del Decreto 1082 de 2015, en virtud del cual, para efectos de </w:t>
      </w:r>
      <w:r w:rsidR="00FB3124" w:rsidRPr="00ED0894">
        <w:rPr>
          <w:rFonts w:ascii="Arial" w:hAnsi="Arial" w:cs="Arial"/>
          <w:szCs w:val="20"/>
          <w:lang w:val="es-MX"/>
        </w:rPr>
        <w:t>acreditar la capacidad residual del proponente, se requiere el listado de contratos de obra civiles en ejecución suscritos con entidades estatales y con entidades privadas.</w:t>
      </w:r>
    </w:p>
    <w:p w14:paraId="6D3B7BBE" w14:textId="77777777" w:rsidR="00414594" w:rsidRPr="00ED0894" w:rsidRDefault="00414594" w:rsidP="00B0259F">
      <w:pPr>
        <w:spacing w:after="0" w:line="276" w:lineRule="auto"/>
        <w:jc w:val="both"/>
        <w:rPr>
          <w:rFonts w:ascii="Arial" w:hAnsi="Arial" w:cs="Arial"/>
        </w:rPr>
      </w:pPr>
    </w:p>
    <w:p w14:paraId="1B34A170" w14:textId="77777777" w:rsidR="000A7622" w:rsidRPr="00ED0894" w:rsidRDefault="000A7622" w:rsidP="000A7622">
      <w:pPr>
        <w:numPr>
          <w:ilvl w:val="0"/>
          <w:numId w:val="2"/>
        </w:numPr>
        <w:tabs>
          <w:tab w:val="left" w:pos="284"/>
        </w:tabs>
        <w:spacing w:after="0" w:line="276" w:lineRule="auto"/>
        <w:contextualSpacing/>
        <w:jc w:val="both"/>
        <w:rPr>
          <w:rFonts w:ascii="Arial" w:eastAsia="Calibri" w:hAnsi="Arial" w:cs="Arial"/>
          <w:lang w:val="es-MX"/>
        </w:rPr>
      </w:pPr>
      <w:r w:rsidRPr="00ED0894">
        <w:rPr>
          <w:rFonts w:ascii="Arial" w:eastAsia="Calibri" w:hAnsi="Arial" w:cs="Arial"/>
          <w:b/>
          <w:lang w:val="es-MX"/>
        </w:rPr>
        <w:t>Respuestas</w:t>
      </w:r>
    </w:p>
    <w:p w14:paraId="4D2210FD" w14:textId="77777777" w:rsidR="000A7622" w:rsidRPr="00ED0894" w:rsidRDefault="000A7622" w:rsidP="000A7622">
      <w:pPr>
        <w:spacing w:after="0" w:line="276" w:lineRule="auto"/>
        <w:ind w:right="709"/>
        <w:jc w:val="both"/>
        <w:rPr>
          <w:rFonts w:ascii="Arial" w:eastAsia="Calibri" w:hAnsi="Arial" w:cs="Arial"/>
          <w:iCs/>
          <w:lang w:val="es-MX"/>
        </w:rPr>
      </w:pPr>
    </w:p>
    <w:p w14:paraId="07BCAA7D" w14:textId="0CF48740" w:rsidR="0065469C" w:rsidRPr="00D76269" w:rsidRDefault="0065469C" w:rsidP="002D0C97">
      <w:pPr>
        <w:pStyle w:val="Prrafodelista"/>
        <w:spacing w:after="0" w:line="240" w:lineRule="auto"/>
        <w:ind w:left="709" w:right="709"/>
        <w:jc w:val="both"/>
        <w:rPr>
          <w:rFonts w:ascii="Arial" w:hAnsi="Arial" w:cs="Arial"/>
          <w:bCs/>
          <w:sz w:val="21"/>
          <w:szCs w:val="21"/>
          <w:lang w:val="es-ES" w:eastAsia="es-CO"/>
        </w:rPr>
      </w:pPr>
      <w:r w:rsidRPr="00ED0894">
        <w:rPr>
          <w:rFonts w:ascii="Arial" w:hAnsi="Arial" w:cs="Arial"/>
          <w:bCs/>
          <w:sz w:val="21"/>
          <w:szCs w:val="21"/>
          <w:lang w:val="es-ES" w:eastAsia="es-CO"/>
        </w:rPr>
        <w:t>«</w:t>
      </w:r>
      <w:r w:rsidRPr="008A330E">
        <w:rPr>
          <w:rFonts w:ascii="Arial" w:hAnsi="Arial" w:cs="Arial"/>
          <w:bCs/>
          <w:sz w:val="21"/>
          <w:szCs w:val="21"/>
          <w:lang w:val="es-ES" w:eastAsia="es-CO"/>
        </w:rPr>
        <w:t xml:space="preserve">solicito realizar la siguiente consulta, la cual </w:t>
      </w:r>
      <w:proofErr w:type="spellStart"/>
      <w:r w:rsidRPr="008A330E">
        <w:rPr>
          <w:rFonts w:ascii="Arial" w:hAnsi="Arial" w:cs="Arial"/>
          <w:bCs/>
          <w:sz w:val="21"/>
          <w:szCs w:val="21"/>
          <w:lang w:val="es-ES" w:eastAsia="es-CO"/>
        </w:rPr>
        <w:t>esta</w:t>
      </w:r>
      <w:proofErr w:type="spellEnd"/>
      <w:r>
        <w:rPr>
          <w:rFonts w:ascii="Arial" w:hAnsi="Arial" w:cs="Arial"/>
          <w:bCs/>
          <w:sz w:val="21"/>
          <w:szCs w:val="21"/>
          <w:lang w:val="es-ES" w:eastAsia="es-CO"/>
        </w:rPr>
        <w:t xml:space="preserve"> </w:t>
      </w:r>
      <w:r w:rsidRPr="008A330E">
        <w:rPr>
          <w:rFonts w:ascii="Arial" w:hAnsi="Arial" w:cs="Arial"/>
          <w:bCs/>
          <w:sz w:val="21"/>
          <w:szCs w:val="21"/>
          <w:lang w:val="es-ES" w:eastAsia="es-CO"/>
        </w:rPr>
        <w:t>relacionada con el numeral 1,15 de los pliegos de condiciones tipo</w:t>
      </w:r>
      <w:r>
        <w:rPr>
          <w:rFonts w:ascii="Arial" w:hAnsi="Arial" w:cs="Arial"/>
          <w:bCs/>
          <w:sz w:val="21"/>
          <w:szCs w:val="21"/>
          <w:lang w:val="es-ES" w:eastAsia="es-CO"/>
        </w:rPr>
        <w:t xml:space="preserve">, que estipula lo siguiente: </w:t>
      </w:r>
      <w:r w:rsidRPr="00274283">
        <w:rPr>
          <w:rFonts w:ascii="Arial" w:hAnsi="Arial" w:cs="Arial"/>
          <w:bCs/>
          <w:sz w:val="21"/>
          <w:szCs w:val="21"/>
          <w:lang w:val="es-ES" w:eastAsia="es-CO"/>
        </w:rPr>
        <w:t>No informar todos los contratos que el proponente tenga en ejecución antes del cierre, necesarios para acreditar su capacidad residual conforme a la sección 3.10.</w:t>
      </w:r>
      <w:r>
        <w:rPr>
          <w:rFonts w:ascii="Arial" w:hAnsi="Arial" w:cs="Arial"/>
          <w:bCs/>
          <w:sz w:val="21"/>
          <w:szCs w:val="21"/>
          <w:lang w:val="es-ES" w:eastAsia="es-CO"/>
        </w:rPr>
        <w:t xml:space="preserve"> […] </w:t>
      </w:r>
      <w:r w:rsidRPr="00D76269">
        <w:rPr>
          <w:rFonts w:ascii="Arial" w:hAnsi="Arial" w:cs="Arial"/>
          <w:bCs/>
          <w:sz w:val="21"/>
          <w:szCs w:val="21"/>
          <w:lang w:val="es-ES" w:eastAsia="es-CO"/>
        </w:rPr>
        <w:t>¿Cuándo se considera que un contrato debe ser reportado en el formato 5 saldo de contratos en</w:t>
      </w:r>
      <w:r>
        <w:rPr>
          <w:rFonts w:ascii="Arial" w:hAnsi="Arial" w:cs="Arial"/>
          <w:bCs/>
          <w:sz w:val="21"/>
          <w:szCs w:val="21"/>
          <w:lang w:val="es-ES" w:eastAsia="es-CO"/>
        </w:rPr>
        <w:t xml:space="preserve"> </w:t>
      </w:r>
      <w:r w:rsidRPr="00D76269">
        <w:rPr>
          <w:rFonts w:ascii="Arial" w:hAnsi="Arial" w:cs="Arial"/>
          <w:bCs/>
          <w:sz w:val="21"/>
          <w:szCs w:val="21"/>
          <w:lang w:val="es-ES" w:eastAsia="es-CO"/>
        </w:rPr>
        <w:t>ejecución (SCE)? ¿al ser adjudicado o al ser suscrito?</w:t>
      </w:r>
      <w:r w:rsidRPr="00D76269">
        <w:rPr>
          <w:rFonts w:ascii="Arial" w:hAnsi="Arial" w:cs="Arial"/>
          <w:sz w:val="21"/>
          <w:szCs w:val="21"/>
          <w:lang w:val="es-ES"/>
        </w:rPr>
        <w:t>»</w:t>
      </w:r>
      <w:r w:rsidR="00750EAC">
        <w:rPr>
          <w:rFonts w:ascii="Arial" w:hAnsi="Arial" w:cs="Arial"/>
          <w:sz w:val="21"/>
          <w:szCs w:val="21"/>
          <w:lang w:val="es-ES"/>
        </w:rPr>
        <w:t>.</w:t>
      </w:r>
    </w:p>
    <w:p w14:paraId="38CBE68E" w14:textId="77777777" w:rsidR="00FF58DF" w:rsidRDefault="00FF58DF" w:rsidP="002D0C97">
      <w:pPr>
        <w:spacing w:after="0" w:line="276" w:lineRule="auto"/>
        <w:jc w:val="both"/>
        <w:rPr>
          <w:rFonts w:ascii="Arial" w:hAnsi="Arial" w:cs="Arial"/>
        </w:rPr>
      </w:pPr>
    </w:p>
    <w:p w14:paraId="077A9C66" w14:textId="1B59C417" w:rsidR="00FF58DF" w:rsidRDefault="00FF58DF" w:rsidP="002D0C97">
      <w:pPr>
        <w:spacing w:line="276" w:lineRule="auto"/>
        <w:jc w:val="both"/>
        <w:rPr>
          <w:rFonts w:ascii="Arial" w:hAnsi="Arial" w:cs="Arial"/>
          <w:bCs/>
          <w:lang w:val="es-MX"/>
        </w:rPr>
      </w:pPr>
      <w:r>
        <w:rPr>
          <w:rFonts w:ascii="Arial" w:hAnsi="Arial" w:cs="Arial"/>
        </w:rPr>
        <w:t xml:space="preserve">En congruencia con lo explicado en el apartado 2.1 del presente oficio, es importante tener en cuenta que </w:t>
      </w:r>
      <w:r>
        <w:rPr>
          <w:rFonts w:ascii="Arial" w:hAnsi="Arial" w:cs="Arial"/>
          <w:lang w:val="es-ES"/>
        </w:rPr>
        <w:t>la causal de rechazo del literal Z del numeral 1.15 del pliego aplica por «</w:t>
      </w:r>
      <w:r w:rsidRPr="00AE5513">
        <w:rPr>
          <w:rFonts w:ascii="Arial" w:hAnsi="Arial" w:cs="Arial"/>
          <w:lang w:val="es-MX"/>
        </w:rPr>
        <w:t xml:space="preserve">No </w:t>
      </w:r>
      <w:r w:rsidRPr="00AE5513">
        <w:rPr>
          <w:rFonts w:ascii="Arial" w:hAnsi="Arial" w:cs="Arial"/>
          <w:lang w:val="es-MX"/>
        </w:rPr>
        <w:lastRenderedPageBreak/>
        <w:t>informar todos los contratos que el Proponente tenga en ejecución antes del cierre, necesarios para acreditar su capacidad residual conforme a la sección 3.10</w:t>
      </w:r>
      <w:r>
        <w:rPr>
          <w:rFonts w:ascii="Arial" w:hAnsi="Arial" w:cs="Arial"/>
          <w:lang w:val="es-MX"/>
        </w:rPr>
        <w:t xml:space="preserve">». Para estos efectos, conforme a las definiciones previstas en </w:t>
      </w:r>
      <w:r w:rsidRPr="00F468CD">
        <w:rPr>
          <w:rFonts w:ascii="Arial" w:hAnsi="Arial" w:cs="Arial"/>
          <w:bCs/>
          <w:lang w:val="es-ES"/>
        </w:rPr>
        <w:t>la Guía para Determinar y Verificar la Capacidad Residual del Proponente en los Procesos de Contratación de Obra Pública</w:t>
      </w:r>
      <w:r>
        <w:rPr>
          <w:rFonts w:ascii="Arial" w:hAnsi="Arial" w:cs="Arial"/>
          <w:bCs/>
          <w:lang w:val="es-ES"/>
        </w:rPr>
        <w:t>, el numeral II del literal E del numeral 3.10.2 del documento base dispone que «</w:t>
      </w:r>
      <w:r w:rsidRPr="00F70DBA">
        <w:rPr>
          <w:rFonts w:ascii="Arial" w:hAnsi="Arial" w:cs="Arial"/>
          <w:bCs/>
          <w:lang w:val="es-MX"/>
        </w:rPr>
        <w:t>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r>
        <w:rPr>
          <w:rFonts w:ascii="Arial" w:hAnsi="Arial" w:cs="Arial"/>
          <w:bCs/>
          <w:lang w:val="es-MX"/>
        </w:rPr>
        <w:t>»</w:t>
      </w:r>
      <w:r w:rsidRPr="00F70DBA">
        <w:rPr>
          <w:rFonts w:ascii="Arial" w:hAnsi="Arial" w:cs="Arial"/>
          <w:bCs/>
          <w:lang w:val="es-MX"/>
        </w:rPr>
        <w:t>.</w:t>
      </w:r>
      <w:r>
        <w:rPr>
          <w:rFonts w:ascii="Arial" w:hAnsi="Arial" w:cs="Arial"/>
          <w:bCs/>
          <w:lang w:val="es-MX"/>
        </w:rPr>
        <w:t xml:space="preserve"> </w:t>
      </w:r>
    </w:p>
    <w:p w14:paraId="05CEA8E6" w14:textId="70506A08" w:rsidR="00FF58DF" w:rsidRPr="00F70DBA" w:rsidRDefault="00FF58DF" w:rsidP="00FF58DF">
      <w:pPr>
        <w:spacing w:after="0" w:line="276" w:lineRule="auto"/>
        <w:ind w:firstLine="708"/>
        <w:jc w:val="both"/>
        <w:rPr>
          <w:rFonts w:ascii="Arial" w:hAnsi="Arial" w:cs="Arial"/>
          <w:bCs/>
          <w:lang w:val="es-MX"/>
        </w:rPr>
      </w:pPr>
      <w:r>
        <w:rPr>
          <w:rFonts w:ascii="Arial" w:hAnsi="Arial" w:cs="Arial"/>
          <w:bCs/>
          <w:lang w:val="es-MX"/>
        </w:rPr>
        <w:t xml:space="preserve">Como se observa, la definición solo aplica a los </w:t>
      </w:r>
      <w:r w:rsidRPr="002C37C0">
        <w:rPr>
          <w:rFonts w:ascii="Arial" w:hAnsi="Arial" w:cs="Arial"/>
          <w:bCs/>
          <w:i/>
          <w:iCs/>
          <w:lang w:val="es-MX"/>
        </w:rPr>
        <w:t>contratos perfeccionados</w:t>
      </w:r>
      <w:r>
        <w:rPr>
          <w:rFonts w:ascii="Arial" w:hAnsi="Arial" w:cs="Arial"/>
          <w:bCs/>
          <w:lang w:val="es-MX"/>
        </w:rPr>
        <w:t xml:space="preserve">, aunque estos estén suspendidos o no tengan acta de inicio. Por tanto, están fuera de esta los </w:t>
      </w:r>
      <w:r w:rsidRPr="002C37C0">
        <w:rPr>
          <w:rFonts w:ascii="Arial" w:hAnsi="Arial" w:cs="Arial"/>
          <w:bCs/>
          <w:i/>
          <w:iCs/>
          <w:lang w:val="es-MX"/>
        </w:rPr>
        <w:t>contratos adjudicados</w:t>
      </w:r>
      <w:r>
        <w:rPr>
          <w:rFonts w:ascii="Arial" w:hAnsi="Arial" w:cs="Arial"/>
          <w:bCs/>
          <w:lang w:val="es-MX"/>
        </w:rPr>
        <w:t xml:space="preserve">, pues –en los términos del artículo 41 de la Ley 80 de 1993– los contratos estatales de las entidades sometidas al Estatuto General de Contratación de la Administración Pública </w:t>
      </w:r>
      <w:r w:rsidRPr="00BB2318">
        <w:rPr>
          <w:rFonts w:ascii="Arial" w:hAnsi="Arial" w:cs="Arial"/>
          <w:bCs/>
        </w:rPr>
        <w:t>se perfeccionan</w:t>
      </w:r>
      <w:r>
        <w:rPr>
          <w:rFonts w:ascii="Arial" w:hAnsi="Arial" w:cs="Arial"/>
          <w:bCs/>
        </w:rPr>
        <w:t xml:space="preserve"> </w:t>
      </w:r>
      <w:r w:rsidRPr="00BB2318">
        <w:rPr>
          <w:rFonts w:ascii="Arial" w:hAnsi="Arial" w:cs="Arial"/>
          <w:bCs/>
        </w:rPr>
        <w:t>cuando se logre acuerdo sobre el objeto y la contraprestación y éste se eleve a escrito</w:t>
      </w:r>
      <w:r>
        <w:rPr>
          <w:rFonts w:ascii="Arial" w:hAnsi="Arial" w:cs="Arial"/>
          <w:bCs/>
        </w:rPr>
        <w:t xml:space="preserve">. </w:t>
      </w:r>
      <w:r w:rsidR="00FB3124" w:rsidRPr="00ED0894">
        <w:rPr>
          <w:rFonts w:ascii="Arial" w:hAnsi="Arial" w:cs="Arial"/>
        </w:rPr>
        <w:t xml:space="preserve">Lo expuesto es congruente con </w:t>
      </w:r>
      <w:r w:rsidR="00FB3124" w:rsidRPr="00ED0894">
        <w:rPr>
          <w:rFonts w:ascii="Arial" w:eastAsia="Calibri" w:hAnsi="Arial" w:cs="Arial"/>
          <w:color w:val="000000" w:themeColor="text1"/>
          <w:lang w:val="es-MX"/>
        </w:rPr>
        <w:t xml:space="preserve">el artículo 2.2.1.1.1.6.4 del Decreto 1082 de 2015, en virtud del cual, para efectos de </w:t>
      </w:r>
      <w:r w:rsidR="00FB3124" w:rsidRPr="00ED0894">
        <w:rPr>
          <w:rFonts w:ascii="Arial" w:hAnsi="Arial" w:cs="Arial"/>
          <w:szCs w:val="20"/>
          <w:lang w:val="es-MX"/>
        </w:rPr>
        <w:t>acreditar la capacidad residual del proponente, se requiere el listado de contratos de obra civiles en ejecución suscritos con entidades estatales y con entidades privadas.</w:t>
      </w:r>
    </w:p>
    <w:p w14:paraId="671AEEC4" w14:textId="77777777" w:rsidR="005313FC" w:rsidRPr="002D0C97" w:rsidRDefault="005313FC" w:rsidP="002D0C97">
      <w:pPr>
        <w:spacing w:after="120" w:line="276" w:lineRule="auto"/>
        <w:jc w:val="both"/>
        <w:rPr>
          <w:rFonts w:ascii="Arial" w:hAnsi="Arial" w:cs="Arial"/>
          <w:lang w:val="es-ES"/>
        </w:rPr>
      </w:pPr>
    </w:p>
    <w:p w14:paraId="1D2F2E78" w14:textId="46719725" w:rsidR="000A7622" w:rsidRPr="00ED0894" w:rsidRDefault="000A7622" w:rsidP="00ED0894">
      <w:pPr>
        <w:spacing w:after="120" w:line="276" w:lineRule="auto"/>
        <w:jc w:val="both"/>
        <w:rPr>
          <w:rFonts w:ascii="Arial" w:eastAsia="Calibri" w:hAnsi="Arial" w:cs="Arial"/>
          <w:lang w:val="es-MX"/>
        </w:rPr>
      </w:pPr>
      <w:r w:rsidRPr="00ED0894">
        <w:rPr>
          <w:rFonts w:ascii="Arial" w:eastAsia="Calibri" w:hAnsi="Arial" w:cs="Arial"/>
          <w:lang w:val="es-MX"/>
        </w:rPr>
        <w:t>Este concepto tiene el alcance previsto en el artículo 28 del Código de Procedimiento Administrativo y de lo Contencioso Administrativo.</w:t>
      </w:r>
    </w:p>
    <w:p w14:paraId="36166166" w14:textId="77777777" w:rsidR="000A7622" w:rsidRPr="00ED0894" w:rsidRDefault="000A7622" w:rsidP="000A7622">
      <w:pPr>
        <w:spacing w:after="0" w:line="240" w:lineRule="auto"/>
        <w:jc w:val="both"/>
        <w:rPr>
          <w:rFonts w:ascii="Arial" w:eastAsia="Calibri" w:hAnsi="Arial" w:cs="Arial"/>
          <w:lang w:val="es-MX"/>
        </w:rPr>
      </w:pPr>
      <w:r w:rsidRPr="00ED0894">
        <w:rPr>
          <w:noProof/>
          <w:sz w:val="24"/>
          <w:lang w:val="en-US"/>
        </w:rPr>
        <mc:AlternateContent>
          <mc:Choice Requires="wps">
            <w:drawing>
              <wp:anchor distT="0" distB="0" distL="114300" distR="114300" simplePos="0" relativeHeight="251659264" behindDoc="0" locked="0" layoutInCell="1" allowOverlap="1" wp14:anchorId="152D47CC" wp14:editId="052812E9">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F040E80"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13A35B8D" w14:textId="77777777" w:rsidR="000A7622" w:rsidRPr="00ED0894" w:rsidRDefault="000A7622" w:rsidP="000A7622">
      <w:pPr>
        <w:spacing w:after="0" w:line="240" w:lineRule="auto"/>
        <w:rPr>
          <w:rFonts w:ascii="Arial" w:eastAsia="Times New Roman" w:hAnsi="Arial" w:cs="Arial"/>
          <w:lang w:val="es-MX" w:eastAsia="es-CO"/>
        </w:rPr>
      </w:pPr>
      <w:r w:rsidRPr="00ED0894">
        <w:rPr>
          <w:rFonts w:ascii="Arial" w:eastAsia="Times New Roman" w:hAnsi="Arial" w:cs="Arial"/>
          <w:lang w:val="es-MX" w:eastAsia="es-CO"/>
        </w:rPr>
        <w:t>Atentamente,</w:t>
      </w:r>
    </w:p>
    <w:bookmarkEnd w:id="2"/>
    <w:p w14:paraId="509F8ECD" w14:textId="37233FF1" w:rsidR="000A7622" w:rsidRPr="00ED0894" w:rsidRDefault="00710161" w:rsidP="000A7622">
      <w:pPr>
        <w:spacing w:after="0" w:line="276" w:lineRule="auto"/>
        <w:jc w:val="center"/>
        <w:rPr>
          <w:rFonts w:ascii="Arial" w:eastAsia="Times New Roman" w:hAnsi="Arial" w:cs="Arial"/>
          <w:color w:val="000000"/>
          <w:lang w:val="es-ES_tradnl" w:eastAsia="es-CO"/>
        </w:rPr>
      </w:pPr>
      <w:r>
        <w:rPr>
          <w:noProof/>
        </w:rPr>
        <w:drawing>
          <wp:inline distT="0" distB="0" distL="0" distR="0" wp14:anchorId="5E58D1B2" wp14:editId="10718F01">
            <wp:extent cx="2514600" cy="1114425"/>
            <wp:effectExtent l="0" t="0" r="0" b="0"/>
            <wp:docPr id="832052313" name="Imagen 83205231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7B090A00" w14:textId="77777777" w:rsidR="000A7622" w:rsidRPr="00ED0894" w:rsidRDefault="000A7622" w:rsidP="000A7622">
      <w:pPr>
        <w:spacing w:after="0" w:line="276" w:lineRule="auto"/>
        <w:jc w:val="center"/>
        <w:rPr>
          <w:rFonts w:ascii="Arial" w:eastAsia="Times New Roman" w:hAnsi="Arial" w:cs="Arial"/>
          <w:color w:val="00000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362"/>
      </w:tblGrid>
      <w:tr w:rsidR="000A7622" w:rsidRPr="00ED0894" w14:paraId="6BF51601" w14:textId="77777777" w:rsidTr="0047539E">
        <w:trPr>
          <w:trHeight w:val="136"/>
        </w:trPr>
        <w:tc>
          <w:tcPr>
            <w:tcW w:w="802" w:type="dxa"/>
            <w:vAlign w:val="center"/>
            <w:hideMark/>
          </w:tcPr>
          <w:p w14:paraId="24D1A1FB" w14:textId="77777777" w:rsidR="000A7622" w:rsidRPr="00ED0894" w:rsidRDefault="000A7622" w:rsidP="0047539E">
            <w:pPr>
              <w:jc w:val="both"/>
              <w:rPr>
                <w:rFonts w:ascii="Arial" w:eastAsia="Times New Roman" w:hAnsi="Arial" w:cs="Arial"/>
                <w:color w:val="000000"/>
                <w:sz w:val="16"/>
                <w:szCs w:val="16"/>
                <w:lang w:val="es-ES_tradnl" w:eastAsia="es-ES"/>
              </w:rPr>
            </w:pPr>
            <w:r w:rsidRPr="00ED0894">
              <w:rPr>
                <w:rFonts w:ascii="Arial" w:eastAsia="Times New Roman" w:hAnsi="Arial" w:cs="Arial"/>
                <w:color w:val="000000"/>
                <w:sz w:val="16"/>
                <w:szCs w:val="16"/>
                <w:lang w:val="es-ES_tradnl" w:eastAsia="es-ES"/>
              </w:rPr>
              <w:t>Elaboró:</w:t>
            </w:r>
          </w:p>
        </w:tc>
        <w:tc>
          <w:tcPr>
            <w:tcW w:w="4362" w:type="dxa"/>
            <w:tcBorders>
              <w:top w:val="nil"/>
              <w:left w:val="nil"/>
              <w:bottom w:val="dotted" w:sz="4" w:space="0" w:color="7F7F7F"/>
              <w:right w:val="nil"/>
            </w:tcBorders>
            <w:vAlign w:val="center"/>
            <w:hideMark/>
          </w:tcPr>
          <w:p w14:paraId="732A89C9" w14:textId="00383DB2" w:rsidR="00591635" w:rsidRPr="00ED0894" w:rsidRDefault="005339F8" w:rsidP="0047539E">
            <w:pPr>
              <w:jc w:val="both"/>
              <w:rPr>
                <w:rFonts w:ascii="Arial" w:eastAsia="Times New Roman" w:hAnsi="Arial" w:cs="Arial"/>
                <w:color w:val="000000"/>
                <w:sz w:val="16"/>
                <w:szCs w:val="16"/>
                <w:lang w:val="es-ES_tradnl" w:eastAsia="es-ES"/>
              </w:rPr>
            </w:pPr>
            <w:r>
              <w:rPr>
                <w:rFonts w:ascii="Arial" w:eastAsia="Times New Roman" w:hAnsi="Arial" w:cs="Arial"/>
                <w:color w:val="000000"/>
                <w:sz w:val="16"/>
                <w:szCs w:val="16"/>
                <w:lang w:val="es-ES_tradnl" w:eastAsia="es-ES"/>
              </w:rPr>
              <w:t>Nina María Padrón Ballestas</w:t>
            </w:r>
          </w:p>
          <w:p w14:paraId="41260E08" w14:textId="2210A22E" w:rsidR="000A7622" w:rsidRPr="00ED0894" w:rsidRDefault="000A7622" w:rsidP="0047539E">
            <w:pPr>
              <w:jc w:val="both"/>
              <w:rPr>
                <w:rFonts w:ascii="Arial" w:eastAsia="Times New Roman" w:hAnsi="Arial" w:cs="Arial"/>
                <w:color w:val="000000"/>
                <w:sz w:val="16"/>
                <w:szCs w:val="16"/>
                <w:lang w:val="es-ES_tradnl" w:eastAsia="es-ES"/>
              </w:rPr>
            </w:pPr>
            <w:r w:rsidRPr="00ED0894">
              <w:rPr>
                <w:rFonts w:ascii="Arial" w:eastAsia="Times New Roman" w:hAnsi="Arial" w:cs="Arial"/>
                <w:color w:val="000000"/>
                <w:sz w:val="16"/>
                <w:szCs w:val="16"/>
                <w:lang w:val="es-ES_tradnl" w:eastAsia="es-ES"/>
              </w:rPr>
              <w:t>Contratista de la Subdirección de Gestión Contractual</w:t>
            </w:r>
          </w:p>
        </w:tc>
      </w:tr>
      <w:tr w:rsidR="000A7622" w:rsidRPr="00ED0894" w14:paraId="1D0180E8" w14:textId="77777777" w:rsidTr="0047539E">
        <w:trPr>
          <w:trHeight w:val="281"/>
        </w:trPr>
        <w:tc>
          <w:tcPr>
            <w:tcW w:w="802" w:type="dxa"/>
            <w:vAlign w:val="center"/>
            <w:hideMark/>
          </w:tcPr>
          <w:p w14:paraId="345A210C" w14:textId="77777777" w:rsidR="000A7622" w:rsidRPr="00ED0894" w:rsidRDefault="000A7622" w:rsidP="0047539E">
            <w:pPr>
              <w:jc w:val="both"/>
              <w:rPr>
                <w:rFonts w:ascii="Arial" w:eastAsia="Times New Roman" w:hAnsi="Arial" w:cs="Arial"/>
                <w:color w:val="000000"/>
                <w:sz w:val="16"/>
                <w:szCs w:val="16"/>
                <w:lang w:val="es-ES_tradnl" w:eastAsia="es-ES"/>
              </w:rPr>
            </w:pPr>
            <w:r w:rsidRPr="00ED0894">
              <w:rPr>
                <w:rFonts w:ascii="Arial" w:eastAsia="Times New Roman" w:hAnsi="Arial" w:cs="Arial"/>
                <w:color w:val="000000"/>
                <w:sz w:val="16"/>
                <w:szCs w:val="16"/>
                <w:lang w:val="es-ES_tradnl" w:eastAsia="es-ES"/>
              </w:rPr>
              <w:t>Revisó:</w:t>
            </w:r>
          </w:p>
        </w:tc>
        <w:tc>
          <w:tcPr>
            <w:tcW w:w="4362" w:type="dxa"/>
            <w:tcBorders>
              <w:top w:val="dotted" w:sz="4" w:space="0" w:color="7F7F7F"/>
              <w:left w:val="nil"/>
              <w:bottom w:val="dotted" w:sz="4" w:space="0" w:color="7F7F7F"/>
              <w:right w:val="nil"/>
            </w:tcBorders>
            <w:vAlign w:val="center"/>
            <w:hideMark/>
          </w:tcPr>
          <w:p w14:paraId="00B2866E" w14:textId="77777777" w:rsidR="000A7622" w:rsidRPr="00ED0894" w:rsidRDefault="000A7622" w:rsidP="0047539E">
            <w:pPr>
              <w:rPr>
                <w:rFonts w:ascii="Arial" w:eastAsia="Times New Roman" w:hAnsi="Arial" w:cs="Arial"/>
                <w:sz w:val="16"/>
                <w:szCs w:val="16"/>
                <w:lang w:val="es-MX" w:eastAsia="es-ES"/>
              </w:rPr>
            </w:pPr>
            <w:r w:rsidRPr="00ED0894">
              <w:rPr>
                <w:rFonts w:ascii="Arial" w:eastAsia="Times New Roman" w:hAnsi="Arial" w:cs="Arial"/>
                <w:sz w:val="16"/>
                <w:szCs w:val="16"/>
                <w:lang w:val="es-MX" w:eastAsia="es-ES"/>
              </w:rPr>
              <w:t>Juan David Montoya Penagos</w:t>
            </w:r>
          </w:p>
          <w:p w14:paraId="5BDBDEDC" w14:textId="77777777" w:rsidR="000A7622" w:rsidRPr="00ED0894" w:rsidRDefault="000A7622" w:rsidP="0047539E">
            <w:pPr>
              <w:jc w:val="both"/>
              <w:rPr>
                <w:rFonts w:ascii="Arial" w:eastAsia="Times New Roman" w:hAnsi="Arial" w:cs="Arial"/>
                <w:color w:val="000000"/>
                <w:sz w:val="16"/>
                <w:szCs w:val="16"/>
                <w:lang w:val="es-ES_tradnl" w:eastAsia="es-ES"/>
              </w:rPr>
            </w:pPr>
            <w:r w:rsidRPr="00ED0894">
              <w:rPr>
                <w:rFonts w:ascii="Arial" w:eastAsia="Times New Roman" w:hAnsi="Arial" w:cs="Arial"/>
                <w:color w:val="000000"/>
                <w:sz w:val="16"/>
                <w:szCs w:val="16"/>
                <w:shd w:val="clear" w:color="auto" w:fill="FFFFFF"/>
                <w:lang w:eastAsia="es-ES_tradnl"/>
              </w:rPr>
              <w:t>Gestor T1-15 de la </w:t>
            </w:r>
            <w:r w:rsidRPr="00ED0894">
              <w:rPr>
                <w:rFonts w:ascii="Arial" w:eastAsia="Times New Roman" w:hAnsi="Arial" w:cs="Arial"/>
                <w:color w:val="000000"/>
                <w:sz w:val="16"/>
                <w:szCs w:val="16"/>
                <w:lang w:val="es-ES" w:eastAsia="es-ES"/>
              </w:rPr>
              <w:t>Subdirección de Gestión Contractual</w:t>
            </w:r>
          </w:p>
        </w:tc>
      </w:tr>
      <w:tr w:rsidR="000A7622" w:rsidRPr="008B2D1D" w14:paraId="28D91BF1" w14:textId="77777777" w:rsidTr="0047539E">
        <w:trPr>
          <w:trHeight w:val="256"/>
        </w:trPr>
        <w:tc>
          <w:tcPr>
            <w:tcW w:w="802" w:type="dxa"/>
            <w:vAlign w:val="center"/>
            <w:hideMark/>
          </w:tcPr>
          <w:p w14:paraId="5DBB0132" w14:textId="77777777" w:rsidR="000A7622" w:rsidRPr="00ED0894" w:rsidRDefault="000A7622" w:rsidP="0047539E">
            <w:pPr>
              <w:jc w:val="both"/>
              <w:rPr>
                <w:rFonts w:ascii="Arial" w:eastAsia="Times New Roman" w:hAnsi="Arial" w:cs="Arial"/>
                <w:color w:val="000000"/>
                <w:sz w:val="16"/>
                <w:szCs w:val="16"/>
                <w:lang w:val="es-ES_tradnl" w:eastAsia="es-ES"/>
              </w:rPr>
            </w:pPr>
            <w:r w:rsidRPr="00ED0894">
              <w:rPr>
                <w:rFonts w:ascii="Arial" w:eastAsia="Times New Roman" w:hAnsi="Arial" w:cs="Arial"/>
                <w:color w:val="000000"/>
                <w:sz w:val="16"/>
                <w:szCs w:val="16"/>
                <w:lang w:val="es-ES_tradnl" w:eastAsia="es-ES"/>
              </w:rPr>
              <w:t>Aprobó:</w:t>
            </w:r>
          </w:p>
        </w:tc>
        <w:tc>
          <w:tcPr>
            <w:tcW w:w="4362" w:type="dxa"/>
            <w:tcBorders>
              <w:top w:val="dotted" w:sz="4" w:space="0" w:color="7F7F7F"/>
              <w:left w:val="nil"/>
              <w:bottom w:val="dotted" w:sz="4" w:space="0" w:color="7F7F7F"/>
              <w:right w:val="nil"/>
            </w:tcBorders>
            <w:vAlign w:val="center"/>
            <w:hideMark/>
          </w:tcPr>
          <w:p w14:paraId="7C0E8F53" w14:textId="1801D545" w:rsidR="00591635" w:rsidRPr="00ED0894" w:rsidRDefault="005339F8" w:rsidP="00591635">
            <w:pPr>
              <w:rPr>
                <w:rFonts w:ascii="Arial" w:eastAsia="Times New Roman" w:hAnsi="Arial" w:cs="Arial"/>
                <w:color w:val="000000"/>
                <w:sz w:val="16"/>
                <w:szCs w:val="16"/>
                <w:lang w:val="es-ES_tradnl" w:eastAsia="es-ES"/>
              </w:rPr>
            </w:pPr>
            <w:r>
              <w:rPr>
                <w:rFonts w:ascii="Arial" w:eastAsia="Times New Roman" w:hAnsi="Arial" w:cs="Arial"/>
                <w:color w:val="000000"/>
                <w:sz w:val="16"/>
                <w:szCs w:val="16"/>
                <w:lang w:val="es-ES_tradnl" w:eastAsia="es-ES"/>
              </w:rPr>
              <w:t>Jorge Augusto Tirado Navarro</w:t>
            </w:r>
          </w:p>
          <w:p w14:paraId="60F16C6A" w14:textId="0B6598FE" w:rsidR="000A7622" w:rsidRPr="008B2D1D" w:rsidRDefault="00591635" w:rsidP="0047539E">
            <w:pPr>
              <w:jc w:val="both"/>
              <w:rPr>
                <w:rFonts w:ascii="Arial" w:eastAsia="Times New Roman" w:hAnsi="Arial" w:cs="Arial"/>
                <w:color w:val="000000"/>
                <w:sz w:val="16"/>
                <w:szCs w:val="16"/>
                <w:lang w:val="es-ES_tradnl" w:eastAsia="es-ES"/>
              </w:rPr>
            </w:pPr>
            <w:r w:rsidRPr="00ED0894">
              <w:rPr>
                <w:rFonts w:ascii="Arial" w:eastAsia="Times New Roman" w:hAnsi="Arial" w:cs="Arial"/>
                <w:color w:val="000000"/>
                <w:sz w:val="16"/>
                <w:szCs w:val="16"/>
                <w:lang w:val="es-ES_tradnl" w:eastAsia="es-ES"/>
              </w:rPr>
              <w:t xml:space="preserve">Subdirector de Gestión Contractual </w:t>
            </w:r>
          </w:p>
        </w:tc>
      </w:tr>
    </w:tbl>
    <w:p w14:paraId="2C11A293" w14:textId="77777777" w:rsidR="000A7622" w:rsidRPr="008B2D1D" w:rsidRDefault="000A7622" w:rsidP="000A7622">
      <w:pPr>
        <w:spacing w:after="0" w:line="240" w:lineRule="auto"/>
        <w:jc w:val="both"/>
        <w:rPr>
          <w:rFonts w:ascii="Arial" w:eastAsia="Times New Roman" w:hAnsi="Arial" w:cs="Arial"/>
          <w:sz w:val="24"/>
          <w:szCs w:val="24"/>
          <w:lang w:val="es-ES_tradnl" w:eastAsia="es-ES_tradnl"/>
        </w:rPr>
      </w:pPr>
    </w:p>
    <w:bookmarkEnd w:id="6"/>
    <w:p w14:paraId="7C3B0AC7" w14:textId="77777777" w:rsidR="00FB347B" w:rsidRDefault="00FB347B"/>
    <w:sectPr w:rsidR="00FB347B" w:rsidSect="005A79FE">
      <w:headerReference w:type="default" r:id="rId14"/>
      <w:footerReference w:type="default" r:id="rId15"/>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7B818" w14:textId="77777777" w:rsidR="00D778D6" w:rsidRDefault="00D778D6" w:rsidP="000A7622">
      <w:pPr>
        <w:spacing w:after="0" w:line="240" w:lineRule="auto"/>
      </w:pPr>
      <w:r>
        <w:separator/>
      </w:r>
    </w:p>
  </w:endnote>
  <w:endnote w:type="continuationSeparator" w:id="0">
    <w:p w14:paraId="7CC94B2C" w14:textId="77777777" w:rsidR="00D778D6" w:rsidRDefault="00D778D6" w:rsidP="000A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charset w:val="00"/>
    <w:family w:val="auto"/>
    <w:pitch w:val="default"/>
  </w:font>
  <w:font w:name="Cambria Math">
    <w:panose1 w:val="02040503050406030204"/>
    <w:charset w:val="00"/>
    <w:family w:val="roman"/>
    <w:pitch w:val="variable"/>
    <w:sig w:usb0="E00006FF" w:usb1="420024FF" w:usb2="02000000" w:usb3="00000000" w:csb0="0000019F" w:csb1="00000000"/>
  </w:font>
  <w:font w:name="Arial,Calibri">
    <w:altName w:val="Arial"/>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4162E" w14:textId="77777777" w:rsidR="000126BB" w:rsidRPr="005A79FE" w:rsidRDefault="000D2FE0"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6ED3A5B2" w14:textId="77777777" w:rsidR="000126BB" w:rsidRDefault="000D2FE0" w:rsidP="007B0854">
    <w:pPr>
      <w:pStyle w:val="Piedepgina"/>
      <w:jc w:val="center"/>
      <w:rPr>
        <w:lang w:val="es-ES"/>
      </w:rPr>
    </w:pPr>
    <w:r>
      <w:rPr>
        <w:noProof/>
      </w:rPr>
      <w:drawing>
        <wp:inline distT="0" distB="0" distL="0" distR="0" wp14:anchorId="3BDC0147" wp14:editId="0229DDA2">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48888657" w14:textId="77777777" w:rsidR="00E17C49" w:rsidRDefault="00AA3DCE" w:rsidP="007B0854">
    <w:pPr>
      <w:pStyle w:val="Piedepgina"/>
      <w:jc w:val="center"/>
      <w:rPr>
        <w:lang w:val="es-ES"/>
      </w:rPr>
    </w:pPr>
  </w:p>
  <w:p w14:paraId="38968801" w14:textId="77777777" w:rsidR="000126BB" w:rsidRPr="007B0854" w:rsidRDefault="00AA3DCE"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81D7E" w14:textId="77777777" w:rsidR="00D778D6" w:rsidRDefault="00D778D6" w:rsidP="000A7622">
      <w:pPr>
        <w:spacing w:after="0" w:line="240" w:lineRule="auto"/>
      </w:pPr>
      <w:r>
        <w:separator/>
      </w:r>
    </w:p>
  </w:footnote>
  <w:footnote w:type="continuationSeparator" w:id="0">
    <w:p w14:paraId="45D55780" w14:textId="77777777" w:rsidR="00D778D6" w:rsidRDefault="00D778D6" w:rsidP="000A7622">
      <w:pPr>
        <w:spacing w:after="0" w:line="240" w:lineRule="auto"/>
      </w:pPr>
      <w:r>
        <w:continuationSeparator/>
      </w:r>
    </w:p>
  </w:footnote>
  <w:footnote w:id="1">
    <w:p w14:paraId="2E371275" w14:textId="77777777" w:rsidR="00C2687E" w:rsidRPr="00C243E3" w:rsidRDefault="00C2687E" w:rsidP="00C2687E">
      <w:pPr>
        <w:pStyle w:val="Textonotapie"/>
        <w:ind w:firstLine="709"/>
        <w:jc w:val="both"/>
        <w:rPr>
          <w:rFonts w:ascii="Arial" w:eastAsia="Calibri" w:hAnsi="Arial" w:cs="Arial"/>
          <w:color w:val="000000" w:themeColor="text1"/>
          <w:sz w:val="19"/>
          <w:szCs w:val="19"/>
        </w:rPr>
      </w:pPr>
      <w:r w:rsidRPr="00C243E3">
        <w:rPr>
          <w:rStyle w:val="Refdenotaalpie"/>
          <w:rFonts w:ascii="Arial" w:hAnsi="Arial" w:cs="Arial"/>
          <w:color w:val="000000" w:themeColor="text1"/>
          <w:sz w:val="19"/>
          <w:szCs w:val="19"/>
        </w:rPr>
        <w:footnoteRef/>
      </w:r>
      <w:r w:rsidRPr="00C243E3">
        <w:rPr>
          <w:rFonts w:ascii="Arial" w:hAnsi="Arial" w:cs="Arial"/>
          <w:color w:val="000000" w:themeColor="text1"/>
          <w:sz w:val="19"/>
          <w:szCs w:val="19"/>
        </w:rPr>
        <w:t xml:space="preserve"> </w:t>
      </w:r>
      <w:r w:rsidRPr="00C243E3">
        <w:rPr>
          <w:rFonts w:ascii="Arial" w:eastAsia="Calibri" w:hAnsi="Arial" w:cs="Arial"/>
          <w:color w:val="000000" w:themeColor="text1"/>
          <w:sz w:val="19"/>
          <w:szCs w:val="19"/>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11CBF064" w14:textId="77777777" w:rsidR="00C2687E" w:rsidRPr="00C243E3" w:rsidRDefault="00C2687E" w:rsidP="00C2687E">
      <w:pPr>
        <w:pStyle w:val="Textonotapie"/>
        <w:ind w:firstLine="709"/>
        <w:jc w:val="both"/>
        <w:rPr>
          <w:rFonts w:ascii="Arial" w:eastAsia="Calibri" w:hAnsi="Arial" w:cs="Arial"/>
          <w:color w:val="000000" w:themeColor="text1"/>
          <w:sz w:val="19"/>
          <w:szCs w:val="19"/>
        </w:rPr>
      </w:pPr>
      <w:r w:rsidRPr="00C243E3">
        <w:rPr>
          <w:rFonts w:ascii="Arial" w:eastAsia="Calibri" w:hAnsi="Arial" w:cs="Arial"/>
          <w:color w:val="000000" w:themeColor="text1"/>
          <w:sz w:val="19"/>
          <w:szCs w:val="19"/>
        </w:rPr>
        <w:t>[…]</w:t>
      </w:r>
    </w:p>
    <w:p w14:paraId="57D1F6A8" w14:textId="77777777" w:rsidR="00C2687E" w:rsidRDefault="00C2687E" w:rsidP="00C2687E">
      <w:pPr>
        <w:pStyle w:val="Textonotapie"/>
        <w:ind w:firstLine="709"/>
        <w:jc w:val="both"/>
        <w:rPr>
          <w:rFonts w:ascii="Arial" w:hAnsi="Arial" w:cs="Arial"/>
          <w:color w:val="000000" w:themeColor="text1"/>
          <w:sz w:val="19"/>
          <w:szCs w:val="19"/>
          <w:lang w:val="es-CO"/>
        </w:rPr>
      </w:pPr>
      <w:proofErr w:type="gramStart"/>
      <w:r w:rsidRPr="00C243E3">
        <w:rPr>
          <w:rFonts w:ascii="Arial" w:eastAsia="Calibri" w:hAnsi="Arial" w:cs="Arial"/>
          <w:color w:val="000000" w:themeColor="text1"/>
          <w:sz w:val="19"/>
          <w:szCs w:val="19"/>
        </w:rPr>
        <w:t>»Capacidad</w:t>
      </w:r>
      <w:proofErr w:type="gramEnd"/>
      <w:r w:rsidRPr="00C243E3">
        <w:rPr>
          <w:rFonts w:ascii="Arial" w:eastAsia="Calibri" w:hAnsi="Arial" w:cs="Arial"/>
          <w:color w:val="000000" w:themeColor="text1"/>
          <w:sz w:val="19"/>
          <w:szCs w:val="19"/>
        </w:rPr>
        <w:t xml:space="preserve"> Residual o K de Contratación: Aptitud de un oferente para cumplir oportuna y cabalmente con el objeto de un contrato de obra, sin que sus otros compromisos contractuales afecten su habilidad de cumplir con el contrato que está en proceso de selección».</w:t>
      </w:r>
      <w:r w:rsidRPr="00C243E3">
        <w:rPr>
          <w:rFonts w:ascii="Arial" w:hAnsi="Arial" w:cs="Arial"/>
          <w:color w:val="000000" w:themeColor="text1"/>
          <w:sz w:val="19"/>
          <w:szCs w:val="19"/>
          <w:lang w:val="es-CO"/>
        </w:rPr>
        <w:t xml:space="preserve"> </w:t>
      </w:r>
    </w:p>
    <w:p w14:paraId="2CF06C11" w14:textId="77777777" w:rsidR="00C2687E" w:rsidRPr="00C243E3" w:rsidRDefault="00C2687E" w:rsidP="00C2687E">
      <w:pPr>
        <w:pStyle w:val="Textonotapie"/>
        <w:ind w:firstLine="709"/>
        <w:jc w:val="both"/>
        <w:rPr>
          <w:rFonts w:ascii="Arial" w:hAnsi="Arial" w:cs="Arial"/>
          <w:color w:val="000000" w:themeColor="text1"/>
          <w:sz w:val="19"/>
          <w:szCs w:val="19"/>
          <w:lang w:val="es-CO"/>
        </w:rPr>
      </w:pPr>
    </w:p>
  </w:footnote>
  <w:footnote w:id="2">
    <w:p w14:paraId="1E6E8445" w14:textId="77777777" w:rsidR="00C2687E" w:rsidRPr="00C243E3" w:rsidRDefault="00C2687E" w:rsidP="00C2687E">
      <w:pPr>
        <w:pStyle w:val="Textonotapie"/>
        <w:ind w:firstLine="709"/>
        <w:jc w:val="both"/>
        <w:rPr>
          <w:rFonts w:ascii="Arial" w:hAnsi="Arial" w:cs="Arial"/>
          <w:color w:val="000000" w:themeColor="text1"/>
          <w:sz w:val="19"/>
          <w:szCs w:val="19"/>
          <w:lang w:val="es-CO"/>
        </w:rPr>
      </w:pPr>
      <w:r w:rsidRPr="00C243E3">
        <w:rPr>
          <w:rFonts w:ascii="Arial" w:eastAsia="Calibri" w:hAnsi="Arial" w:cs="Arial"/>
          <w:color w:val="000000" w:themeColor="text1"/>
          <w:sz w:val="19"/>
          <w:szCs w:val="19"/>
          <w:vertAlign w:val="superscript"/>
        </w:rPr>
        <w:footnoteRef/>
      </w:r>
      <w:r w:rsidRPr="00C243E3">
        <w:rPr>
          <w:rFonts w:ascii="Arial" w:eastAsia="Calibri" w:hAnsi="Arial" w:cs="Arial"/>
          <w:color w:val="000000" w:themeColor="text1"/>
          <w:sz w:val="19"/>
          <w:szCs w:val="19"/>
          <w:vertAlign w:val="superscript"/>
        </w:rPr>
        <w:t xml:space="preserve"> </w:t>
      </w:r>
      <w:r w:rsidRPr="00C243E3">
        <w:rPr>
          <w:rFonts w:ascii="Arial" w:eastAsia="Calibri" w:hAnsi="Arial" w:cs="Arial"/>
          <w:color w:val="000000" w:themeColor="text1"/>
          <w:sz w:val="19"/>
          <w:szCs w:val="19"/>
        </w:rPr>
        <w:t xml:space="preserve">Consejo </w:t>
      </w:r>
      <w:r>
        <w:rPr>
          <w:rFonts w:ascii="Arial" w:eastAsia="Calibri" w:hAnsi="Arial" w:cs="Arial"/>
          <w:color w:val="000000" w:themeColor="text1"/>
          <w:sz w:val="19"/>
          <w:szCs w:val="19"/>
        </w:rPr>
        <w:t>d</w:t>
      </w:r>
      <w:r w:rsidRPr="00C243E3">
        <w:rPr>
          <w:rFonts w:ascii="Arial" w:eastAsia="Calibri" w:hAnsi="Arial" w:cs="Arial"/>
          <w:color w:val="000000" w:themeColor="text1"/>
          <w:sz w:val="19"/>
          <w:szCs w:val="19"/>
        </w:rPr>
        <w:t xml:space="preserve">e Estado. Sección Tercera. Sentencia del 26 de junio de 2003. Rad. 13.354. C.P: María Elena Giraldo Gómez. </w:t>
      </w:r>
    </w:p>
  </w:footnote>
  <w:footnote w:id="3">
    <w:p w14:paraId="10D51878" w14:textId="77777777" w:rsidR="00C2687E" w:rsidRPr="00FB670A" w:rsidRDefault="00C2687E" w:rsidP="00C2687E">
      <w:pPr>
        <w:pStyle w:val="NormalWeb"/>
        <w:shd w:val="clear" w:color="auto" w:fill="FFFFFF"/>
        <w:spacing w:after="0" w:line="240" w:lineRule="auto"/>
        <w:ind w:firstLine="709"/>
        <w:jc w:val="both"/>
        <w:rPr>
          <w:rFonts w:ascii="Arial" w:hAnsi="Arial" w:cs="Arial"/>
          <w:sz w:val="19"/>
          <w:szCs w:val="19"/>
        </w:rPr>
      </w:pPr>
      <w:r w:rsidRPr="00816383">
        <w:rPr>
          <w:rStyle w:val="Refdenotaalpie"/>
          <w:rFonts w:ascii="Arial" w:hAnsi="Arial" w:cs="Arial"/>
          <w:sz w:val="19"/>
          <w:szCs w:val="19"/>
          <w:lang w:val="es-MX"/>
        </w:rPr>
        <w:footnoteRef/>
      </w:r>
      <w:r w:rsidRPr="00816383">
        <w:rPr>
          <w:rStyle w:val="Refdenotaalpie"/>
          <w:rFonts w:ascii="Arial" w:hAnsi="Arial" w:cs="Arial"/>
          <w:sz w:val="19"/>
          <w:szCs w:val="19"/>
          <w:lang w:val="es-MX"/>
        </w:rPr>
        <w:t xml:space="preserve"> </w:t>
      </w:r>
      <w:r w:rsidRPr="00816383">
        <w:rPr>
          <w:rFonts w:ascii="Arial" w:hAnsi="Arial" w:cs="Arial"/>
          <w:sz w:val="19"/>
          <w:szCs w:val="19"/>
        </w:rPr>
        <w:t>«Artículo 2.2.1.1.1.6.4. Capacidad Residual: El interesado en celebrar contratos de obra pública con Entidades Estatales debe acreditar su Capacidad Residual o K de Contratación con los siguientes documentos:</w:t>
      </w:r>
    </w:p>
    <w:p w14:paraId="5A187F6B" w14:textId="77777777" w:rsidR="00C2687E" w:rsidRPr="00FB670A" w:rsidRDefault="00C2687E" w:rsidP="00C2687E">
      <w:pPr>
        <w:shd w:val="clear" w:color="auto" w:fill="FFFFFF"/>
        <w:spacing w:after="0" w:line="240" w:lineRule="auto"/>
        <w:ind w:firstLine="709"/>
        <w:jc w:val="both"/>
        <w:rPr>
          <w:rFonts w:ascii="Arial" w:hAnsi="Arial" w:cs="Arial"/>
          <w:sz w:val="19"/>
          <w:szCs w:val="19"/>
        </w:rPr>
      </w:pPr>
      <w:r w:rsidRPr="00FB670A">
        <w:rPr>
          <w:rFonts w:ascii="Arial" w:hAnsi="Arial" w:cs="Arial"/>
          <w:sz w:val="19"/>
          <w:szCs w:val="19"/>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78DD252D" w14:textId="77777777" w:rsidR="00C2687E" w:rsidRPr="00FB670A" w:rsidRDefault="00C2687E" w:rsidP="00C2687E">
      <w:pPr>
        <w:shd w:val="clear" w:color="auto" w:fill="FFFFFF"/>
        <w:spacing w:after="0" w:line="240" w:lineRule="auto"/>
        <w:ind w:firstLine="709"/>
        <w:jc w:val="both"/>
        <w:rPr>
          <w:rFonts w:ascii="Arial" w:hAnsi="Arial" w:cs="Arial"/>
          <w:sz w:val="19"/>
          <w:szCs w:val="19"/>
        </w:rPr>
      </w:pPr>
      <w:r w:rsidRPr="00FB670A">
        <w:rPr>
          <w:rFonts w:ascii="Arial" w:hAnsi="Arial" w:cs="Arial"/>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56E83279" w14:textId="77777777" w:rsidR="00C2687E" w:rsidRPr="00FB670A" w:rsidRDefault="00C2687E" w:rsidP="00C2687E">
      <w:pPr>
        <w:shd w:val="clear" w:color="auto" w:fill="FFFFFF"/>
        <w:spacing w:after="0" w:line="240" w:lineRule="auto"/>
        <w:ind w:firstLine="709"/>
        <w:jc w:val="both"/>
        <w:rPr>
          <w:rFonts w:ascii="Arial" w:hAnsi="Arial" w:cs="Arial"/>
          <w:sz w:val="19"/>
          <w:szCs w:val="19"/>
        </w:rPr>
      </w:pPr>
      <w:r w:rsidRPr="00FB670A">
        <w:rPr>
          <w:rFonts w:ascii="Arial" w:hAnsi="Arial" w:cs="Arial"/>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4">
    <w:p w14:paraId="7F815818" w14:textId="77777777" w:rsidR="00F7551C" w:rsidRPr="00F50E2F" w:rsidRDefault="00F7551C" w:rsidP="00F7551C">
      <w:pPr>
        <w:pStyle w:val="Textonotapie"/>
        <w:ind w:firstLine="709"/>
        <w:jc w:val="both"/>
        <w:rPr>
          <w:rFonts w:ascii="Arial" w:hAnsi="Arial" w:cs="Arial"/>
          <w:sz w:val="19"/>
          <w:szCs w:val="19"/>
        </w:rPr>
      </w:pPr>
      <w:r w:rsidRPr="00F50E2F">
        <w:rPr>
          <w:rStyle w:val="Refdenotaalpie"/>
          <w:rFonts w:ascii="Arial" w:hAnsi="Arial" w:cs="Arial"/>
          <w:sz w:val="19"/>
          <w:szCs w:val="19"/>
        </w:rPr>
        <w:footnoteRef/>
      </w:r>
      <w:r w:rsidRPr="00F50E2F">
        <w:rPr>
          <w:rFonts w:ascii="Arial" w:hAnsi="Arial" w:cs="Arial"/>
          <w:sz w:val="19"/>
          <w:szCs w:val="19"/>
        </w:rPr>
        <w:t xml:space="preserve"> </w:t>
      </w:r>
      <w:r w:rsidRPr="00B637F3">
        <w:rPr>
          <w:rFonts w:ascii="Arial" w:hAnsi="Arial" w:cs="Arial"/>
          <w:sz w:val="19"/>
          <w:szCs w:val="19"/>
        </w:rPr>
        <w:t xml:space="preserve">Colombia Compra Eficiente. </w:t>
      </w:r>
      <w:r w:rsidRPr="0085162C">
        <w:rPr>
          <w:rFonts w:ascii="Arial" w:hAnsi="Arial" w:cs="Arial"/>
          <w:sz w:val="19"/>
          <w:szCs w:val="19"/>
        </w:rPr>
        <w:t>Concepto C-297 del 4 de junio de 2020.</w:t>
      </w:r>
      <w:r w:rsidRPr="00B637F3">
        <w:rPr>
          <w:rFonts w:ascii="Arial" w:hAnsi="Arial" w:cs="Arial"/>
          <w:sz w:val="19"/>
          <w:szCs w:val="19"/>
        </w:rPr>
        <w:t xml:space="preserve"> </w:t>
      </w:r>
    </w:p>
  </w:footnote>
  <w:footnote w:id="5">
    <w:p w14:paraId="6F029CD0" w14:textId="77777777" w:rsidR="000A7622" w:rsidRPr="00B637F3" w:rsidRDefault="000A7622" w:rsidP="000A7622">
      <w:pPr>
        <w:pStyle w:val="Textonotapie"/>
        <w:ind w:firstLine="708"/>
        <w:jc w:val="both"/>
        <w:rPr>
          <w:rFonts w:ascii="Arial" w:hAnsi="Arial" w:cs="Arial"/>
          <w:sz w:val="19"/>
          <w:szCs w:val="19"/>
        </w:rPr>
      </w:pPr>
      <w:r w:rsidRPr="00B637F3">
        <w:rPr>
          <w:rStyle w:val="Refdenotaalpie"/>
          <w:rFonts w:ascii="Arial" w:hAnsi="Arial" w:cs="Arial"/>
          <w:sz w:val="19"/>
          <w:szCs w:val="19"/>
        </w:rPr>
        <w:footnoteRef/>
      </w:r>
      <w:r w:rsidRPr="00B637F3">
        <w:rPr>
          <w:rFonts w:ascii="Arial" w:hAnsi="Arial" w:cs="Arial"/>
          <w:sz w:val="19"/>
          <w:szCs w:val="19"/>
        </w:rPr>
        <w:t xml:space="preserve"> </w:t>
      </w:r>
      <w:r>
        <w:rPr>
          <w:rFonts w:ascii="Arial" w:hAnsi="Arial" w:cs="Arial"/>
          <w:sz w:val="19"/>
          <w:szCs w:val="19"/>
        </w:rPr>
        <w:t>C</w:t>
      </w:r>
      <w:r w:rsidRPr="006A0072">
        <w:rPr>
          <w:rFonts w:ascii="Arial" w:hAnsi="Arial" w:cs="Arial"/>
          <w:sz w:val="19"/>
          <w:szCs w:val="19"/>
        </w:rPr>
        <w:t>oncepto C-196 de 2020</w:t>
      </w:r>
      <w:r>
        <w:rPr>
          <w:rFonts w:ascii="Arial" w:hAnsi="Arial" w:cs="Arial"/>
          <w:sz w:val="19"/>
          <w:szCs w:val="19"/>
        </w:rPr>
        <w:t xml:space="preserve">. </w:t>
      </w:r>
      <w:r w:rsidRPr="00B637F3">
        <w:rPr>
          <w:rFonts w:ascii="Arial" w:hAnsi="Arial" w:cs="Arial"/>
          <w:sz w:val="19"/>
          <w:szCs w:val="19"/>
        </w:rPr>
        <w:t>Radicado de entrada No. 4202013000001559. Radicado de salida No. 2202013000002534.</w:t>
      </w:r>
    </w:p>
    <w:p w14:paraId="5246CF72" w14:textId="77777777" w:rsidR="000A7622" w:rsidRPr="00B637F3" w:rsidRDefault="000A7622" w:rsidP="000A7622">
      <w:pPr>
        <w:pStyle w:val="Textonotapie"/>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13A3C" w14:textId="77777777" w:rsidR="000126BB" w:rsidRDefault="00AA3DCE">
    <w:pPr>
      <w:pStyle w:val="Encabezado"/>
    </w:pPr>
  </w:p>
  <w:p w14:paraId="3B73BFE7" w14:textId="77777777" w:rsidR="000126BB" w:rsidRDefault="00AA3DCE">
    <w:pPr>
      <w:pStyle w:val="Encabezado"/>
    </w:pPr>
  </w:p>
  <w:p w14:paraId="6295CBEC" w14:textId="77777777" w:rsidR="000126BB" w:rsidRDefault="000D2FE0">
    <w:pPr>
      <w:pStyle w:val="Encabezado"/>
    </w:pPr>
    <w:r>
      <w:rPr>
        <w:noProof/>
        <w:lang w:val="en-US"/>
      </w:rPr>
      <w:drawing>
        <wp:anchor distT="0" distB="0" distL="114300" distR="114300" simplePos="0" relativeHeight="251659264" behindDoc="1" locked="0" layoutInCell="1" allowOverlap="1" wp14:anchorId="64D3CB28" wp14:editId="0371BB5E">
          <wp:simplePos x="0" y="0"/>
          <wp:positionH relativeFrom="margin">
            <wp:align>right</wp:align>
          </wp:positionH>
          <wp:positionV relativeFrom="paragraph">
            <wp:posOffset>50165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BCFB39" w14:textId="77777777" w:rsidR="000126BB" w:rsidRDefault="00AA3DCE">
    <w:pPr>
      <w:pStyle w:val="Encabezado"/>
    </w:pPr>
  </w:p>
  <w:p w14:paraId="17FE6F0F" w14:textId="77777777" w:rsidR="000126BB" w:rsidRDefault="00AA3DCE">
    <w:pPr>
      <w:pStyle w:val="Encabezado"/>
    </w:pPr>
  </w:p>
  <w:p w14:paraId="16F75284" w14:textId="77777777" w:rsidR="000126BB" w:rsidRDefault="00AA3DC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6E2531A"/>
    <w:multiLevelType w:val="hybridMultilevel"/>
    <w:tmpl w:val="AE56CDCA"/>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45E53474"/>
    <w:multiLevelType w:val="hybridMultilevel"/>
    <w:tmpl w:val="2FA0710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97A4574"/>
    <w:multiLevelType w:val="hybridMultilevel"/>
    <w:tmpl w:val="2FA07102"/>
    <w:lvl w:ilvl="0" w:tplc="80745C7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79BD1E8E"/>
    <w:multiLevelType w:val="hybridMultilevel"/>
    <w:tmpl w:val="2588237E"/>
    <w:lvl w:ilvl="0" w:tplc="DFB24972">
      <w:start w:val="5"/>
      <w:numFmt w:val="upp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6" w15:restartNumberingAfterBreak="0">
    <w:nsid w:val="7B066B07"/>
    <w:multiLevelType w:val="multilevel"/>
    <w:tmpl w:val="11E03A5E"/>
    <w:lvl w:ilvl="0">
      <w:start w:val="3"/>
      <w:numFmt w:val="decimal"/>
      <w:lvlText w:val="%1"/>
      <w:lvlJc w:val="left"/>
      <w:pPr>
        <w:ind w:left="375" w:hanging="375"/>
      </w:pPr>
      <w:rPr>
        <w:rFonts w:hint="default"/>
        <w:b/>
        <w:bCs/>
      </w:rPr>
    </w:lvl>
    <w:lvl w:ilvl="1">
      <w:start w:val="10"/>
      <w:numFmt w:val="decimal"/>
      <w:lvlText w:val="%1.%2"/>
      <w:lvlJc w:val="left"/>
      <w:pPr>
        <w:ind w:left="1509"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87900672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69627040">
    <w:abstractNumId w:val="6"/>
  </w:num>
  <w:num w:numId="3" w16cid:durableId="238289775">
    <w:abstractNumId w:val="4"/>
  </w:num>
  <w:num w:numId="4" w16cid:durableId="438840024">
    <w:abstractNumId w:val="1"/>
  </w:num>
  <w:num w:numId="5" w16cid:durableId="1286622788">
    <w:abstractNumId w:val="2"/>
  </w:num>
  <w:num w:numId="6" w16cid:durableId="57829272">
    <w:abstractNumId w:val="5"/>
  </w:num>
  <w:num w:numId="7" w16cid:durableId="18303694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622"/>
    <w:rsid w:val="00000E2C"/>
    <w:rsid w:val="00016705"/>
    <w:rsid w:val="000417F2"/>
    <w:rsid w:val="00055BD4"/>
    <w:rsid w:val="00057FA3"/>
    <w:rsid w:val="0009485D"/>
    <w:rsid w:val="000A0BA4"/>
    <w:rsid w:val="000A1C7D"/>
    <w:rsid w:val="000A54EF"/>
    <w:rsid w:val="000A7622"/>
    <w:rsid w:val="000C07BC"/>
    <w:rsid w:val="000D2FE0"/>
    <w:rsid w:val="000F48D7"/>
    <w:rsid w:val="00105E8F"/>
    <w:rsid w:val="00110D55"/>
    <w:rsid w:val="00125E16"/>
    <w:rsid w:val="00130C38"/>
    <w:rsid w:val="00132FCD"/>
    <w:rsid w:val="00134D8B"/>
    <w:rsid w:val="001368FF"/>
    <w:rsid w:val="001425C6"/>
    <w:rsid w:val="00152863"/>
    <w:rsid w:val="0015363C"/>
    <w:rsid w:val="00154EC9"/>
    <w:rsid w:val="00156C5C"/>
    <w:rsid w:val="0016251A"/>
    <w:rsid w:val="00181A0F"/>
    <w:rsid w:val="001A5C14"/>
    <w:rsid w:val="001B1730"/>
    <w:rsid w:val="001E1D22"/>
    <w:rsid w:val="001F1354"/>
    <w:rsid w:val="0020268A"/>
    <w:rsid w:val="002053BE"/>
    <w:rsid w:val="00207268"/>
    <w:rsid w:val="002075BE"/>
    <w:rsid w:val="002145DF"/>
    <w:rsid w:val="00237059"/>
    <w:rsid w:val="00247754"/>
    <w:rsid w:val="00274283"/>
    <w:rsid w:val="002811F9"/>
    <w:rsid w:val="00284465"/>
    <w:rsid w:val="00292A77"/>
    <w:rsid w:val="00294599"/>
    <w:rsid w:val="002C0A42"/>
    <w:rsid w:val="002C1B88"/>
    <w:rsid w:val="002C2699"/>
    <w:rsid w:val="002C3D14"/>
    <w:rsid w:val="002D0C97"/>
    <w:rsid w:val="002D48C2"/>
    <w:rsid w:val="002F2326"/>
    <w:rsid w:val="00301B30"/>
    <w:rsid w:val="00304693"/>
    <w:rsid w:val="00310D55"/>
    <w:rsid w:val="003245D9"/>
    <w:rsid w:val="00343F2F"/>
    <w:rsid w:val="003444C6"/>
    <w:rsid w:val="00344C12"/>
    <w:rsid w:val="00362393"/>
    <w:rsid w:val="00372485"/>
    <w:rsid w:val="003866DF"/>
    <w:rsid w:val="003A3D0C"/>
    <w:rsid w:val="003B5081"/>
    <w:rsid w:val="003F0D79"/>
    <w:rsid w:val="00414594"/>
    <w:rsid w:val="00425781"/>
    <w:rsid w:val="0044201C"/>
    <w:rsid w:val="004566F2"/>
    <w:rsid w:val="00460C77"/>
    <w:rsid w:val="00462510"/>
    <w:rsid w:val="004762FB"/>
    <w:rsid w:val="004A07C8"/>
    <w:rsid w:val="004A0BA5"/>
    <w:rsid w:val="004B285D"/>
    <w:rsid w:val="004D3DB0"/>
    <w:rsid w:val="004F0A05"/>
    <w:rsid w:val="004F57E4"/>
    <w:rsid w:val="005057C7"/>
    <w:rsid w:val="005313FC"/>
    <w:rsid w:val="005339F8"/>
    <w:rsid w:val="00545E89"/>
    <w:rsid w:val="005539E8"/>
    <w:rsid w:val="00560B68"/>
    <w:rsid w:val="00591635"/>
    <w:rsid w:val="005A3892"/>
    <w:rsid w:val="005B41CD"/>
    <w:rsid w:val="005C1744"/>
    <w:rsid w:val="005D6D35"/>
    <w:rsid w:val="005E7DA4"/>
    <w:rsid w:val="005F4108"/>
    <w:rsid w:val="005F4127"/>
    <w:rsid w:val="00604D12"/>
    <w:rsid w:val="006323EE"/>
    <w:rsid w:val="0065469C"/>
    <w:rsid w:val="00671FBB"/>
    <w:rsid w:val="0068689E"/>
    <w:rsid w:val="0069537B"/>
    <w:rsid w:val="006A1A44"/>
    <w:rsid w:val="006B021A"/>
    <w:rsid w:val="006B7691"/>
    <w:rsid w:val="006C07D7"/>
    <w:rsid w:val="006C62E8"/>
    <w:rsid w:val="006D561F"/>
    <w:rsid w:val="00710161"/>
    <w:rsid w:val="00725027"/>
    <w:rsid w:val="007370D2"/>
    <w:rsid w:val="007447FA"/>
    <w:rsid w:val="00744EA7"/>
    <w:rsid w:val="00750EAC"/>
    <w:rsid w:val="00761125"/>
    <w:rsid w:val="00766A30"/>
    <w:rsid w:val="007712BC"/>
    <w:rsid w:val="0077505D"/>
    <w:rsid w:val="0077692C"/>
    <w:rsid w:val="007870C5"/>
    <w:rsid w:val="00797E31"/>
    <w:rsid w:val="007A61E4"/>
    <w:rsid w:val="007B3BDB"/>
    <w:rsid w:val="007C67F2"/>
    <w:rsid w:val="007C7810"/>
    <w:rsid w:val="007E1B61"/>
    <w:rsid w:val="00811AFA"/>
    <w:rsid w:val="00821A2B"/>
    <w:rsid w:val="008226D6"/>
    <w:rsid w:val="008426EF"/>
    <w:rsid w:val="00845DDD"/>
    <w:rsid w:val="00853E6C"/>
    <w:rsid w:val="008633E8"/>
    <w:rsid w:val="008646C6"/>
    <w:rsid w:val="00884CC0"/>
    <w:rsid w:val="00896497"/>
    <w:rsid w:val="008A1647"/>
    <w:rsid w:val="008A330E"/>
    <w:rsid w:val="008A3336"/>
    <w:rsid w:val="008A6B02"/>
    <w:rsid w:val="008B1B34"/>
    <w:rsid w:val="008C7B12"/>
    <w:rsid w:val="008D0F55"/>
    <w:rsid w:val="008E0C95"/>
    <w:rsid w:val="008E171B"/>
    <w:rsid w:val="008E4FE6"/>
    <w:rsid w:val="008E66DD"/>
    <w:rsid w:val="008F4C54"/>
    <w:rsid w:val="008F6FDA"/>
    <w:rsid w:val="009050CB"/>
    <w:rsid w:val="00921159"/>
    <w:rsid w:val="009463A1"/>
    <w:rsid w:val="00975C57"/>
    <w:rsid w:val="00985429"/>
    <w:rsid w:val="00986B14"/>
    <w:rsid w:val="009B73D5"/>
    <w:rsid w:val="009F5200"/>
    <w:rsid w:val="00A068C4"/>
    <w:rsid w:val="00A32359"/>
    <w:rsid w:val="00A80FCA"/>
    <w:rsid w:val="00AA3DCE"/>
    <w:rsid w:val="00AD0F31"/>
    <w:rsid w:val="00AE26D9"/>
    <w:rsid w:val="00AE5513"/>
    <w:rsid w:val="00B0259F"/>
    <w:rsid w:val="00B07FAF"/>
    <w:rsid w:val="00B13A27"/>
    <w:rsid w:val="00B278AC"/>
    <w:rsid w:val="00B33C64"/>
    <w:rsid w:val="00B410BB"/>
    <w:rsid w:val="00B428B6"/>
    <w:rsid w:val="00B563B6"/>
    <w:rsid w:val="00B56D9F"/>
    <w:rsid w:val="00B64F13"/>
    <w:rsid w:val="00B74220"/>
    <w:rsid w:val="00BB2318"/>
    <w:rsid w:val="00BB402C"/>
    <w:rsid w:val="00BE2A4B"/>
    <w:rsid w:val="00BE42E8"/>
    <w:rsid w:val="00BF7EBE"/>
    <w:rsid w:val="00C13C1E"/>
    <w:rsid w:val="00C2687E"/>
    <w:rsid w:val="00C4060B"/>
    <w:rsid w:val="00C8339E"/>
    <w:rsid w:val="00C8352A"/>
    <w:rsid w:val="00CC1470"/>
    <w:rsid w:val="00CD13AF"/>
    <w:rsid w:val="00CD33E7"/>
    <w:rsid w:val="00CE2839"/>
    <w:rsid w:val="00CE2A3D"/>
    <w:rsid w:val="00D47433"/>
    <w:rsid w:val="00D525E3"/>
    <w:rsid w:val="00D528DA"/>
    <w:rsid w:val="00D67CAE"/>
    <w:rsid w:val="00D76269"/>
    <w:rsid w:val="00D778D6"/>
    <w:rsid w:val="00D83929"/>
    <w:rsid w:val="00D86992"/>
    <w:rsid w:val="00D9394C"/>
    <w:rsid w:val="00D96B1E"/>
    <w:rsid w:val="00DA3DA5"/>
    <w:rsid w:val="00DB6D76"/>
    <w:rsid w:val="00DC2E95"/>
    <w:rsid w:val="00DD1B30"/>
    <w:rsid w:val="00E03CA7"/>
    <w:rsid w:val="00E123EA"/>
    <w:rsid w:val="00E135EC"/>
    <w:rsid w:val="00E3042F"/>
    <w:rsid w:val="00E3370C"/>
    <w:rsid w:val="00E57338"/>
    <w:rsid w:val="00E74DB8"/>
    <w:rsid w:val="00E80EB4"/>
    <w:rsid w:val="00E92BD9"/>
    <w:rsid w:val="00EC3023"/>
    <w:rsid w:val="00EC6D9D"/>
    <w:rsid w:val="00ED0894"/>
    <w:rsid w:val="00ED08D5"/>
    <w:rsid w:val="00EE441D"/>
    <w:rsid w:val="00EE6842"/>
    <w:rsid w:val="00EE7457"/>
    <w:rsid w:val="00F01AE7"/>
    <w:rsid w:val="00F152D9"/>
    <w:rsid w:val="00F15E0B"/>
    <w:rsid w:val="00F16542"/>
    <w:rsid w:val="00F24144"/>
    <w:rsid w:val="00F276BB"/>
    <w:rsid w:val="00F31C2D"/>
    <w:rsid w:val="00F42EDE"/>
    <w:rsid w:val="00F44C12"/>
    <w:rsid w:val="00F468CD"/>
    <w:rsid w:val="00F64648"/>
    <w:rsid w:val="00F702AA"/>
    <w:rsid w:val="00F70DBA"/>
    <w:rsid w:val="00F73A0C"/>
    <w:rsid w:val="00F7551C"/>
    <w:rsid w:val="00F86683"/>
    <w:rsid w:val="00FA7F82"/>
    <w:rsid w:val="00FB3124"/>
    <w:rsid w:val="00FB347B"/>
    <w:rsid w:val="00FE15C1"/>
    <w:rsid w:val="00FF0BEC"/>
    <w:rsid w:val="00FF0C70"/>
    <w:rsid w:val="00FF0D61"/>
    <w:rsid w:val="00FF58DF"/>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60F9A"/>
  <w15:chartTrackingRefBased/>
  <w15:docId w15:val="{076EE74A-8228-497A-A64C-AB5C9479C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0A762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A7622"/>
  </w:style>
  <w:style w:type="paragraph" w:styleId="Encabezado">
    <w:name w:val="header"/>
    <w:basedOn w:val="Normal"/>
    <w:link w:val="EncabezadoCar"/>
    <w:uiPriority w:val="99"/>
    <w:unhideWhenUsed/>
    <w:rsid w:val="000A762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A7622"/>
  </w:style>
  <w:style w:type="paragraph" w:styleId="NormalWeb">
    <w:name w:val="Normal (Web)"/>
    <w:basedOn w:val="Normal"/>
    <w:link w:val="NormalWebCar"/>
    <w:uiPriority w:val="99"/>
    <w:unhideWhenUsed/>
    <w:rsid w:val="000A7622"/>
    <w:rPr>
      <w:rFonts w:ascii="Times New Roman" w:hAnsi="Times New Roman" w:cs="Times New Roman"/>
      <w:sz w:val="24"/>
      <w:szCs w:val="24"/>
    </w:rPr>
  </w:style>
  <w:style w:type="table" w:styleId="Tablaconcuadrcula">
    <w:name w:val="Table Grid"/>
    <w:basedOn w:val="Tablanormal"/>
    <w:uiPriority w:val="59"/>
    <w:rsid w:val="000A7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A762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0A7622"/>
    <w:pPr>
      <w:spacing w:after="0" w:line="240" w:lineRule="auto"/>
    </w:pPr>
    <w:rPr>
      <w:sz w:val="20"/>
      <w:szCs w:val="20"/>
      <w:lang w:val="es-MX"/>
    </w:rPr>
  </w:style>
  <w:style w:type="character" w:customStyle="1" w:styleId="TextonotapieCar1">
    <w:name w:val="Texto nota pie Car1"/>
    <w:basedOn w:val="Fuentedeprrafopredeter"/>
    <w:uiPriority w:val="99"/>
    <w:semiHidden/>
    <w:rsid w:val="000A7622"/>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0A7622"/>
    <w:rPr>
      <w:vertAlign w:val="superscript"/>
    </w:rPr>
  </w:style>
  <w:style w:type="paragraph" w:customStyle="1" w:styleId="Appelnotedebasde">
    <w:name w:val="Appel note de bas de..."/>
    <w:basedOn w:val="Normal"/>
    <w:link w:val="Refdenotaalpie"/>
    <w:uiPriority w:val="99"/>
    <w:rsid w:val="000A7622"/>
    <w:pPr>
      <w:spacing w:line="240" w:lineRule="exact"/>
    </w:pPr>
    <w:rPr>
      <w:vertAlign w:val="superscript"/>
    </w:rPr>
  </w:style>
  <w:style w:type="character" w:customStyle="1" w:styleId="NormalWebCar">
    <w:name w:val="Normal (Web) Car"/>
    <w:link w:val="NormalWeb"/>
    <w:uiPriority w:val="99"/>
    <w:rsid w:val="000A7622"/>
    <w:rPr>
      <w:rFonts w:ascii="Times New Roman" w:hAnsi="Times New Roman" w:cs="Times New Roman"/>
      <w:sz w:val="24"/>
      <w:szCs w:val="24"/>
    </w:rPr>
  </w:style>
  <w:style w:type="paragraph" w:styleId="Sinespaciado">
    <w:name w:val="No Spacing"/>
    <w:uiPriority w:val="1"/>
    <w:qFormat/>
    <w:rsid w:val="000A7622"/>
    <w:pPr>
      <w:spacing w:after="0" w:line="240" w:lineRule="auto"/>
    </w:pPr>
  </w:style>
  <w:style w:type="paragraph" w:customStyle="1" w:styleId="Default">
    <w:name w:val="Default"/>
    <w:rsid w:val="005C1744"/>
    <w:pPr>
      <w:autoSpaceDE w:val="0"/>
      <w:autoSpaceDN w:val="0"/>
      <w:adjustRightInd w:val="0"/>
      <w:spacing w:after="0" w:line="240" w:lineRule="auto"/>
    </w:pPr>
    <w:rPr>
      <w:rFonts w:ascii="Arial" w:hAnsi="Arial" w:cs="Arial"/>
      <w:color w:val="000000"/>
      <w:sz w:val="24"/>
      <w:szCs w:val="24"/>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AD0F31"/>
    <w:pPr>
      <w:ind w:left="720"/>
      <w:contextualSpacing/>
    </w:pPr>
  </w:style>
  <w:style w:type="paragraph" w:styleId="Revisin">
    <w:name w:val="Revision"/>
    <w:hidden/>
    <w:uiPriority w:val="99"/>
    <w:semiHidden/>
    <w:rsid w:val="00D47433"/>
    <w:pPr>
      <w:spacing w:after="0" w:line="240" w:lineRule="auto"/>
    </w:pPr>
  </w:style>
  <w:style w:type="character" w:customStyle="1" w:styleId="normaltextrun">
    <w:name w:val="normaltextrun"/>
    <w:basedOn w:val="Fuentedeprrafopredeter"/>
    <w:rsid w:val="00B13A27"/>
  </w:style>
  <w:style w:type="character" w:styleId="Refdecomentario">
    <w:name w:val="annotation reference"/>
    <w:basedOn w:val="Fuentedeprrafopredeter"/>
    <w:uiPriority w:val="99"/>
    <w:semiHidden/>
    <w:unhideWhenUsed/>
    <w:rsid w:val="0069537B"/>
    <w:rPr>
      <w:sz w:val="16"/>
      <w:szCs w:val="16"/>
    </w:rPr>
  </w:style>
  <w:style w:type="paragraph" w:styleId="Textocomentario">
    <w:name w:val="annotation text"/>
    <w:basedOn w:val="Normal"/>
    <w:link w:val="TextocomentarioCar"/>
    <w:uiPriority w:val="99"/>
    <w:unhideWhenUsed/>
    <w:rsid w:val="0069537B"/>
    <w:pPr>
      <w:spacing w:line="240" w:lineRule="auto"/>
    </w:pPr>
    <w:rPr>
      <w:sz w:val="20"/>
      <w:szCs w:val="20"/>
    </w:rPr>
  </w:style>
  <w:style w:type="character" w:customStyle="1" w:styleId="TextocomentarioCar">
    <w:name w:val="Texto comentario Car"/>
    <w:basedOn w:val="Fuentedeprrafopredeter"/>
    <w:link w:val="Textocomentario"/>
    <w:uiPriority w:val="99"/>
    <w:rsid w:val="0069537B"/>
    <w:rPr>
      <w:sz w:val="20"/>
      <w:szCs w:val="20"/>
    </w:rPr>
  </w:style>
  <w:style w:type="paragraph" w:styleId="Asuntodelcomentario">
    <w:name w:val="annotation subject"/>
    <w:basedOn w:val="Textocomentario"/>
    <w:next w:val="Textocomentario"/>
    <w:link w:val="AsuntodelcomentarioCar"/>
    <w:uiPriority w:val="99"/>
    <w:semiHidden/>
    <w:unhideWhenUsed/>
    <w:rsid w:val="0069537B"/>
    <w:rPr>
      <w:b/>
      <w:bCs/>
    </w:rPr>
  </w:style>
  <w:style w:type="character" w:customStyle="1" w:styleId="AsuntodelcomentarioCar">
    <w:name w:val="Asunto del comentario Car"/>
    <w:basedOn w:val="TextocomentarioCar"/>
    <w:link w:val="Asuntodelcomentario"/>
    <w:uiPriority w:val="99"/>
    <w:semiHidden/>
    <w:rsid w:val="0069537B"/>
    <w:rPr>
      <w:b/>
      <w:bCs/>
      <w:sz w:val="20"/>
      <w:szCs w:val="20"/>
    </w:rPr>
  </w:style>
  <w:style w:type="paragraph" w:styleId="Textoindependiente">
    <w:name w:val="Body Text"/>
    <w:basedOn w:val="Normal"/>
    <w:link w:val="TextoindependienteCar"/>
    <w:uiPriority w:val="1"/>
    <w:qFormat/>
    <w:rsid w:val="0077505D"/>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77505D"/>
    <w:rPr>
      <w:rFonts w:ascii="Arial" w:eastAsia="Arial" w:hAnsi="Arial" w:cs="Arial"/>
      <w:lang w:val="es-E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9463A1"/>
  </w:style>
  <w:style w:type="paragraph" w:customStyle="1" w:styleId="paragraph">
    <w:name w:val="paragraph"/>
    <w:basedOn w:val="Normal"/>
    <w:rsid w:val="001B1730"/>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1B17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709535">
      <w:bodyDiv w:val="1"/>
      <w:marLeft w:val="0"/>
      <w:marRight w:val="0"/>
      <w:marTop w:val="0"/>
      <w:marBottom w:val="0"/>
      <w:divBdr>
        <w:top w:val="none" w:sz="0" w:space="0" w:color="auto"/>
        <w:left w:val="none" w:sz="0" w:space="0" w:color="auto"/>
        <w:bottom w:val="none" w:sz="0" w:space="0" w:color="auto"/>
        <w:right w:val="none" w:sz="0" w:space="0" w:color="auto"/>
      </w:divBdr>
      <w:divsChild>
        <w:div w:id="313797549">
          <w:marLeft w:val="0"/>
          <w:marRight w:val="0"/>
          <w:marTop w:val="0"/>
          <w:marBottom w:val="0"/>
          <w:divBdr>
            <w:top w:val="none" w:sz="0" w:space="0" w:color="auto"/>
            <w:left w:val="none" w:sz="0" w:space="0" w:color="auto"/>
            <w:bottom w:val="none" w:sz="0" w:space="0" w:color="auto"/>
            <w:right w:val="none" w:sz="0" w:space="0" w:color="auto"/>
          </w:divBdr>
        </w:div>
        <w:div w:id="734821112">
          <w:marLeft w:val="0"/>
          <w:marRight w:val="0"/>
          <w:marTop w:val="0"/>
          <w:marBottom w:val="0"/>
          <w:divBdr>
            <w:top w:val="none" w:sz="0" w:space="0" w:color="auto"/>
            <w:left w:val="none" w:sz="0" w:space="0" w:color="auto"/>
            <w:bottom w:val="none" w:sz="0" w:space="0" w:color="auto"/>
            <w:right w:val="none" w:sz="0" w:space="0" w:color="auto"/>
          </w:divBdr>
        </w:div>
      </w:divsChild>
    </w:div>
    <w:div w:id="898200814">
      <w:bodyDiv w:val="1"/>
      <w:marLeft w:val="0"/>
      <w:marRight w:val="0"/>
      <w:marTop w:val="0"/>
      <w:marBottom w:val="0"/>
      <w:divBdr>
        <w:top w:val="none" w:sz="0" w:space="0" w:color="auto"/>
        <w:left w:val="none" w:sz="0" w:space="0" w:color="auto"/>
        <w:bottom w:val="none" w:sz="0" w:space="0" w:color="auto"/>
        <w:right w:val="none" w:sz="0" w:space="0" w:color="auto"/>
      </w:divBdr>
      <w:divsChild>
        <w:div w:id="1297222269">
          <w:marLeft w:val="0"/>
          <w:marRight w:val="0"/>
          <w:marTop w:val="0"/>
          <w:marBottom w:val="0"/>
          <w:divBdr>
            <w:top w:val="none" w:sz="0" w:space="0" w:color="auto"/>
            <w:left w:val="none" w:sz="0" w:space="0" w:color="auto"/>
            <w:bottom w:val="none" w:sz="0" w:space="0" w:color="auto"/>
            <w:right w:val="none" w:sz="0" w:space="0" w:color="auto"/>
          </w:divBdr>
        </w:div>
        <w:div w:id="17015837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9D932A-5396-4132-8D42-2E86E706325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D42C9D-ACE0-4F8B-A201-B096B615C307}">
  <ds:schemaRefs>
    <ds:schemaRef ds:uri="http://schemas.microsoft.com/sharepoint/v3/contenttype/forms"/>
  </ds:schemaRefs>
</ds:datastoreItem>
</file>

<file path=customXml/itemProps3.xml><?xml version="1.0" encoding="utf-8"?>
<ds:datastoreItem xmlns:ds="http://schemas.openxmlformats.org/officeDocument/2006/customXml" ds:itemID="{C19E12C7-E6F7-42A7-BDD8-ECFC7AD259FD}">
  <ds:schemaRefs>
    <ds:schemaRef ds:uri="http://schemas.openxmlformats.org/officeDocument/2006/bibliography"/>
  </ds:schemaRefs>
</ds:datastoreItem>
</file>

<file path=customXml/itemProps4.xml><?xml version="1.0" encoding="utf-8"?>
<ds:datastoreItem xmlns:ds="http://schemas.openxmlformats.org/officeDocument/2006/customXml" ds:itemID="{76790647-93AB-481B-82D7-F7291C72E8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7063</Words>
  <Characters>38849</Characters>
  <Application>Microsoft Office Word</Application>
  <DocSecurity>0</DocSecurity>
  <Lines>323</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Edwin Johan Chocontá Quintero</cp:lastModifiedBy>
  <cp:revision>2</cp:revision>
  <dcterms:created xsi:type="dcterms:W3CDTF">2022-06-01T19:46:00Z</dcterms:created>
  <dcterms:modified xsi:type="dcterms:W3CDTF">2022-06-01T19:46:00Z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