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20F575" w14:textId="001FAA1A" w:rsidR="00296C72" w:rsidRPr="00296C72" w:rsidRDefault="00483716" w:rsidP="00296C72">
      <w:pPr>
        <w:jc w:val="right"/>
        <w:rPr>
          <w:rFonts w:ascii="Arial" w:hAnsi="Arial" w:cs="Arial"/>
          <w:b/>
          <w:sz w:val="16"/>
          <w:szCs w:val="16"/>
          <w:lang w:val="es-ES_tradnl" w:eastAsia="es-ES"/>
        </w:rPr>
      </w:pPr>
      <w:bookmarkStart w:id="0" w:name="_Hlk28946138"/>
      <w:bookmarkStart w:id="1" w:name="_Hlk29548183"/>
      <w:bookmarkStart w:id="2" w:name="_Hlk29890381"/>
      <w:r>
        <w:rPr>
          <w:rFonts w:ascii="Arial" w:hAnsi="Arial" w:cs="Arial"/>
          <w:b/>
          <w:sz w:val="16"/>
          <w:szCs w:val="16"/>
          <w:lang w:val="es-ES_tradnl" w:eastAsia="es-ES"/>
        </w:rPr>
        <w:tab/>
      </w:r>
      <w:r w:rsidR="00296C72" w:rsidRPr="00296C72">
        <w:rPr>
          <w:rFonts w:ascii="Arial" w:hAnsi="Arial" w:cs="Arial"/>
          <w:b/>
          <w:sz w:val="16"/>
          <w:szCs w:val="16"/>
          <w:lang w:val="es-ES_tradnl" w:eastAsia="es-ES"/>
        </w:rPr>
        <w:tab/>
        <w:t>CCE-DES-FM-17</w:t>
      </w:r>
    </w:p>
    <w:p w14:paraId="07754992" w14:textId="77777777" w:rsidR="00296C72" w:rsidRPr="004938E3" w:rsidRDefault="00296C72" w:rsidP="00296C72">
      <w:pPr>
        <w:jc w:val="both"/>
        <w:rPr>
          <w:rFonts w:ascii="Arial" w:eastAsia="Calibri" w:hAnsi="Arial" w:cs="Arial"/>
          <w:sz w:val="16"/>
          <w:szCs w:val="16"/>
          <w:lang w:val="es-ES_tradnl"/>
        </w:rPr>
      </w:pPr>
    </w:p>
    <w:p w14:paraId="39942521" w14:textId="59A412F8" w:rsidR="00296C72" w:rsidRPr="00296C72" w:rsidRDefault="00296C72" w:rsidP="684653D1">
      <w:pPr>
        <w:jc w:val="both"/>
        <w:rPr>
          <w:rFonts w:ascii="Arial" w:eastAsia="Calibri" w:hAnsi="Arial" w:cs="Arial"/>
          <w:sz w:val="22"/>
          <w:lang w:val="es-ES"/>
        </w:rPr>
      </w:pPr>
      <w:r w:rsidRPr="684653D1">
        <w:rPr>
          <w:rFonts w:ascii="Arial" w:eastAsia="Calibri" w:hAnsi="Arial" w:cs="Arial"/>
          <w:b/>
          <w:bCs/>
          <w:sz w:val="22"/>
          <w:lang w:val="es-ES"/>
        </w:rPr>
        <w:t xml:space="preserve">SUBSANABILIDAD – Requisitos habilitantes – Circunstancias posteriores </w:t>
      </w:r>
      <w:r w:rsidR="344064EC" w:rsidRPr="684653D1">
        <w:rPr>
          <w:rFonts w:ascii="Arial" w:eastAsia="Calibri" w:hAnsi="Arial" w:cs="Arial"/>
          <w:b/>
          <w:bCs/>
          <w:sz w:val="22"/>
          <w:lang w:val="es-ES"/>
        </w:rPr>
        <w:t>– C</w:t>
      </w:r>
      <w:r w:rsidRPr="684653D1">
        <w:rPr>
          <w:rFonts w:ascii="Arial" w:eastAsia="Calibri" w:hAnsi="Arial" w:cs="Arial"/>
          <w:b/>
          <w:bCs/>
          <w:sz w:val="22"/>
          <w:lang w:val="es-ES"/>
        </w:rPr>
        <w:t>ierre</w:t>
      </w:r>
      <w:r w:rsidR="09073B40" w:rsidRPr="684653D1">
        <w:rPr>
          <w:rFonts w:ascii="Arial" w:eastAsia="Calibri" w:hAnsi="Arial" w:cs="Arial"/>
          <w:b/>
          <w:bCs/>
          <w:sz w:val="22"/>
          <w:lang w:val="es-ES"/>
        </w:rPr>
        <w:t xml:space="preserve"> del proceso</w:t>
      </w:r>
      <w:r w:rsidRPr="684653D1">
        <w:rPr>
          <w:rFonts w:ascii="Arial" w:eastAsia="Calibri" w:hAnsi="Arial" w:cs="Arial"/>
          <w:b/>
          <w:bCs/>
          <w:sz w:val="22"/>
          <w:lang w:val="es-ES"/>
        </w:rPr>
        <w:t xml:space="preserve"> – Mínima cuantía</w:t>
      </w:r>
    </w:p>
    <w:p w14:paraId="03613A95" w14:textId="77777777" w:rsidR="00296C72" w:rsidRPr="00296C72" w:rsidRDefault="00296C72" w:rsidP="00296C72">
      <w:pPr>
        <w:jc w:val="both"/>
        <w:rPr>
          <w:rFonts w:ascii="Arial" w:eastAsia="Calibri" w:hAnsi="Arial" w:cs="Arial"/>
          <w:sz w:val="20"/>
          <w:szCs w:val="20"/>
          <w:lang w:val="es-ES_tradnl"/>
        </w:rPr>
      </w:pPr>
    </w:p>
    <w:p w14:paraId="44112691" w14:textId="77777777" w:rsidR="00296C72" w:rsidRPr="00296C72" w:rsidRDefault="00296C72" w:rsidP="00296C72">
      <w:pPr>
        <w:jc w:val="both"/>
        <w:rPr>
          <w:rFonts w:ascii="Arial" w:eastAsia="Calibri" w:hAnsi="Arial" w:cs="Arial"/>
          <w:sz w:val="20"/>
          <w:szCs w:val="20"/>
          <w:lang w:val="es-ES_tradnl"/>
        </w:rPr>
      </w:pPr>
      <w:r w:rsidRPr="00296C72">
        <w:rPr>
          <w:rFonts w:ascii="Arial" w:eastAsia="Calibri" w:hAnsi="Arial" w:cs="Arial"/>
          <w:sz w:val="20"/>
          <w:szCs w:val="20"/>
          <w:lang w:val="es-ES_tradnl"/>
        </w:rPr>
        <w:t>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p>
    <w:p w14:paraId="61016A9B" w14:textId="77777777" w:rsidR="00296C72" w:rsidRPr="00296C72" w:rsidRDefault="00296C72" w:rsidP="00296C72">
      <w:pPr>
        <w:jc w:val="both"/>
        <w:rPr>
          <w:rFonts w:ascii="Arial" w:eastAsia="Calibri" w:hAnsi="Arial" w:cs="Arial"/>
          <w:sz w:val="20"/>
          <w:szCs w:val="20"/>
          <w:lang w:val="es-ES_tradnl"/>
        </w:rPr>
      </w:pPr>
    </w:p>
    <w:p w14:paraId="0E63A5A9" w14:textId="17CA963A" w:rsidR="00296C72" w:rsidRPr="00296C72" w:rsidRDefault="00296C72" w:rsidP="684653D1">
      <w:pPr>
        <w:jc w:val="both"/>
        <w:rPr>
          <w:rFonts w:ascii="Arial" w:eastAsia="Calibri" w:hAnsi="Arial" w:cs="Arial"/>
          <w:sz w:val="22"/>
          <w:lang w:val="es-ES"/>
        </w:rPr>
      </w:pPr>
      <w:r w:rsidRPr="684653D1">
        <w:rPr>
          <w:rFonts w:ascii="Arial" w:eastAsia="Calibri" w:hAnsi="Arial" w:cs="Arial"/>
          <w:b/>
          <w:bCs/>
          <w:sz w:val="22"/>
          <w:lang w:val="es-ES"/>
        </w:rPr>
        <w:t>SUBSANABILIDAD – Mínima cuantía – Regla – Término</w:t>
      </w:r>
    </w:p>
    <w:p w14:paraId="1FD706B5" w14:textId="77777777" w:rsidR="00296C72" w:rsidRPr="00296C72" w:rsidRDefault="00296C72" w:rsidP="00296C72">
      <w:pPr>
        <w:jc w:val="both"/>
        <w:rPr>
          <w:rFonts w:ascii="Arial" w:eastAsia="Calibri" w:hAnsi="Arial" w:cs="Arial"/>
          <w:sz w:val="20"/>
          <w:szCs w:val="20"/>
          <w:lang w:val="es-ES_tradnl"/>
        </w:rPr>
      </w:pPr>
    </w:p>
    <w:p w14:paraId="17291E14" w14:textId="130AB431" w:rsidR="00296C72" w:rsidRPr="00296C72" w:rsidRDefault="00CF0D89" w:rsidP="00296C72">
      <w:pPr>
        <w:jc w:val="both"/>
        <w:rPr>
          <w:rFonts w:ascii="Arial" w:eastAsia="Calibri" w:hAnsi="Arial" w:cs="Arial"/>
          <w:sz w:val="20"/>
          <w:szCs w:val="20"/>
        </w:rPr>
      </w:pPr>
      <w:r>
        <w:rPr>
          <w:rFonts w:ascii="Arial" w:eastAsia="Calibri" w:hAnsi="Arial" w:cs="Arial"/>
          <w:sz w:val="20"/>
          <w:szCs w:val="20"/>
        </w:rPr>
        <w:t>[…] s</w:t>
      </w:r>
      <w:r w:rsidR="00296C72" w:rsidRPr="00DE4F56">
        <w:rPr>
          <w:rFonts w:ascii="Arial" w:eastAsia="Calibri" w:hAnsi="Arial" w:cs="Arial"/>
          <w:sz w:val="20"/>
          <w:szCs w:val="20"/>
        </w:rPr>
        <w:t xml:space="preserve">egún lo indicó esta Subdirección en respuesta a las consultas C-082 del 25 de febrero de 2020 —radicado 44202012000000563— y C – 013 del 17 de abril de 2020 —radicado 4202013000002326—, teniendo en cuenta que el parágrafo 1 del artículo 5º de la Ley 1150 de 2007, modificado por el artículo 5 de la Ley 1882 de 2018, dispone que los requisitos a subsanar «deberán ser solicitados por las entidades estatales y deberán ser entregados por los proponentes hasta el término de traslado del informe de evaluación que corresponda a cada modalidad de selección, salvo lo dispuesto para el proceso de Mínima cuantía […]», y que no se observa una disposición legal que expresamente disponga un término para aportar tales documentos en esta modalidad de selección, surgen tres posibles interpretaciones: </w:t>
      </w:r>
      <w:r w:rsidR="00296C72" w:rsidRPr="00DE4F56">
        <w:rPr>
          <w:rFonts w:ascii="Arial" w:eastAsia="Calibri" w:hAnsi="Arial" w:cs="Arial"/>
          <w:i/>
          <w:iCs/>
          <w:sz w:val="20"/>
          <w:szCs w:val="20"/>
        </w:rPr>
        <w:t>i)</w:t>
      </w:r>
      <w:r w:rsidR="00296C72" w:rsidRPr="00DE4F56">
        <w:rPr>
          <w:rFonts w:ascii="Arial" w:eastAsia="Calibri" w:hAnsi="Arial" w:cs="Arial"/>
          <w:sz w:val="20"/>
          <w:szCs w:val="20"/>
        </w:rPr>
        <w:t xml:space="preserve"> que en la mínima cuantía no se permite la subsanabilidad –interpretación que no es acorde con el principio de la prevalencia de lo sustancial sobre lo formal–, </w:t>
      </w:r>
      <w:r w:rsidR="00296C72" w:rsidRPr="00DE4F56">
        <w:rPr>
          <w:rFonts w:ascii="Arial" w:eastAsia="Calibri" w:hAnsi="Arial" w:cs="Arial"/>
          <w:i/>
          <w:iCs/>
          <w:sz w:val="20"/>
          <w:szCs w:val="20"/>
        </w:rPr>
        <w:t>ii)</w:t>
      </w:r>
      <w:r w:rsidR="00296C72" w:rsidRPr="00DE4F56">
        <w:rPr>
          <w:rFonts w:ascii="Arial" w:eastAsia="Calibri" w:hAnsi="Arial" w:cs="Arial"/>
          <w:sz w:val="20"/>
          <w:szCs w:val="20"/>
        </w:rPr>
        <w:t xml:space="preserve"> que el término para presentar los requisitos subsanados es el mismo de publicación del informe de evaluación, es decir, un (1) día hábil, </w:t>
      </w:r>
      <w:r w:rsidR="00296C72" w:rsidRPr="00DE4F56">
        <w:rPr>
          <w:rFonts w:ascii="Arial" w:eastAsia="Calibri" w:hAnsi="Arial" w:cs="Arial"/>
          <w:i/>
          <w:iCs/>
          <w:sz w:val="20"/>
          <w:szCs w:val="20"/>
        </w:rPr>
        <w:t>iii)</w:t>
      </w:r>
      <w:r w:rsidR="00296C72" w:rsidRPr="00DE4F56">
        <w:rPr>
          <w:rFonts w:ascii="Arial" w:eastAsia="Calibri" w:hAnsi="Arial" w:cs="Arial"/>
          <w:sz w:val="20"/>
          <w:szCs w:val="20"/>
        </w:rPr>
        <w:t xml:space="preserve"> que existe un vacío y que este puede llenarse discrecionalmente por la entidad estatal, disponiendo de un término razonable de subsanabilidad. Esta Subdirección acoge la tercera opción y, por tanto, lo establecido en el numeral 6.1. de la Circular Externa Única de la Agencia Nacional de Contratación Pública – Colombia Compra Eficiente, que expresa: «Por otra parte,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w:t>
      </w:r>
    </w:p>
    <w:p w14:paraId="34D9531B" w14:textId="77777777" w:rsidR="00296C72" w:rsidRPr="00296C72" w:rsidRDefault="00296C72" w:rsidP="00296C72">
      <w:pPr>
        <w:jc w:val="both"/>
        <w:rPr>
          <w:rFonts w:ascii="Arial" w:eastAsia="Calibri" w:hAnsi="Arial" w:cs="Arial"/>
          <w:sz w:val="20"/>
          <w:szCs w:val="20"/>
        </w:rPr>
      </w:pPr>
    </w:p>
    <w:p w14:paraId="1055F7D2" w14:textId="77777777" w:rsidR="00296C72" w:rsidRPr="00296C72" w:rsidRDefault="00296C72" w:rsidP="00296C72">
      <w:pPr>
        <w:jc w:val="both"/>
        <w:rPr>
          <w:rFonts w:ascii="Arial" w:eastAsia="Calibri" w:hAnsi="Arial" w:cs="Arial"/>
          <w:b/>
          <w:bCs/>
          <w:sz w:val="22"/>
        </w:rPr>
      </w:pPr>
      <w:r w:rsidRPr="00296C72">
        <w:rPr>
          <w:rFonts w:ascii="Arial" w:eastAsia="Calibri" w:hAnsi="Arial" w:cs="Arial"/>
          <w:b/>
          <w:bCs/>
          <w:sz w:val="22"/>
        </w:rPr>
        <w:t>CAUSALES DE RECHAZO – Mínima cuantía</w:t>
      </w:r>
    </w:p>
    <w:p w14:paraId="4D10F1EE" w14:textId="77777777" w:rsidR="00296C72" w:rsidRPr="00296C72" w:rsidRDefault="00296C72" w:rsidP="00296C72">
      <w:pPr>
        <w:jc w:val="both"/>
        <w:rPr>
          <w:rFonts w:ascii="Arial" w:eastAsia="Calibri" w:hAnsi="Arial" w:cs="Arial"/>
          <w:b/>
          <w:bCs/>
          <w:sz w:val="22"/>
        </w:rPr>
      </w:pPr>
    </w:p>
    <w:p w14:paraId="1E1E0B9C" w14:textId="351D8BD0" w:rsidR="00296C72" w:rsidRPr="00296C72" w:rsidRDefault="00296C72" w:rsidP="00CF0D89">
      <w:pPr>
        <w:spacing w:after="120"/>
        <w:jc w:val="both"/>
        <w:rPr>
          <w:rFonts w:ascii="Arial" w:eastAsia="Calibri" w:hAnsi="Arial" w:cs="Arial"/>
          <w:sz w:val="20"/>
          <w:szCs w:val="20"/>
          <w:lang w:val="es-ES"/>
        </w:rPr>
      </w:pPr>
      <w:r w:rsidRPr="00296C72">
        <w:rPr>
          <w:rFonts w:ascii="Arial" w:eastAsia="Calibri" w:hAnsi="Arial" w:cs="Arial"/>
          <w:sz w:val="20"/>
          <w:szCs w:val="20"/>
          <w:lang w:val="es-ES"/>
        </w:rPr>
        <w:t>[</w:t>
      </w:r>
      <w:r w:rsidR="00CF0D89">
        <w:rPr>
          <w:rFonts w:ascii="Arial" w:eastAsia="Calibri" w:hAnsi="Arial" w:cs="Arial"/>
          <w:sz w:val="20"/>
          <w:szCs w:val="20"/>
          <w:lang w:val="es-ES"/>
        </w:rPr>
        <w:t>…</w:t>
      </w:r>
      <w:r w:rsidRPr="00296C72">
        <w:rPr>
          <w:rFonts w:ascii="Arial" w:eastAsia="Calibri" w:hAnsi="Arial" w:cs="Arial"/>
          <w:sz w:val="20"/>
          <w:szCs w:val="20"/>
          <w:lang w:val="es-ES"/>
        </w:rPr>
        <w:t>]</w:t>
      </w:r>
      <w:r w:rsidR="00CF0D89">
        <w:rPr>
          <w:rFonts w:ascii="Arial" w:eastAsia="Calibri" w:hAnsi="Arial" w:cs="Arial"/>
          <w:sz w:val="20"/>
          <w:szCs w:val="20"/>
          <w:lang w:val="es-ES"/>
        </w:rPr>
        <w:t xml:space="preserve"> e</w:t>
      </w:r>
      <w:r w:rsidRPr="00EF14B1">
        <w:rPr>
          <w:rFonts w:ascii="Arial" w:eastAsia="Calibri" w:hAnsi="Arial" w:cs="Arial"/>
          <w:sz w:val="20"/>
          <w:szCs w:val="20"/>
          <w:lang w:val="es-ES"/>
        </w:rPr>
        <w:t>n procesos de mínima cuantía, por ejemplo, no podrán darse lugar a la aceptación de ofertas que no cumplen con las condiciones técnicas establecidas en la invitación, o presentadas en violación al régimen de inhabilidades e incompatibilidades o a requisitos establecidos en la invitación como obligatorios para participar en proceso.</w:t>
      </w:r>
      <w:r w:rsidRPr="00296C72">
        <w:rPr>
          <w:rFonts w:ascii="Arial" w:eastAsia="Calibri" w:hAnsi="Arial" w:cs="Arial"/>
          <w:sz w:val="20"/>
          <w:szCs w:val="20"/>
          <w:lang w:val="es-ES"/>
        </w:rPr>
        <w:t xml:space="preserve"> </w:t>
      </w:r>
    </w:p>
    <w:p w14:paraId="01B0127A" w14:textId="435C969B" w:rsidR="00296C72" w:rsidRPr="00DE4F56" w:rsidRDefault="00296C72" w:rsidP="00296C72">
      <w:pPr>
        <w:jc w:val="both"/>
        <w:rPr>
          <w:rFonts w:ascii="Arial" w:eastAsia="Calibri" w:hAnsi="Arial" w:cs="Arial"/>
          <w:sz w:val="20"/>
          <w:szCs w:val="20"/>
          <w:lang w:val="es-ES_tradnl"/>
        </w:rPr>
      </w:pPr>
      <w:r w:rsidRPr="00296C72">
        <w:rPr>
          <w:rFonts w:ascii="Arial" w:eastAsia="Calibri" w:hAnsi="Arial" w:cs="Arial"/>
          <w:sz w:val="20"/>
          <w:szCs w:val="20"/>
          <w:lang w:val="es-ES"/>
        </w:rPr>
        <w:t>[</w:t>
      </w:r>
      <w:r w:rsidR="00CF0D89">
        <w:rPr>
          <w:rFonts w:ascii="Arial" w:eastAsia="Calibri" w:hAnsi="Arial" w:cs="Arial"/>
          <w:sz w:val="20"/>
          <w:szCs w:val="20"/>
          <w:lang w:val="es-ES"/>
        </w:rPr>
        <w:t>…</w:t>
      </w:r>
      <w:r w:rsidRPr="00296C72">
        <w:rPr>
          <w:rFonts w:ascii="Arial" w:eastAsia="Calibri" w:hAnsi="Arial" w:cs="Arial"/>
          <w:sz w:val="20"/>
          <w:szCs w:val="20"/>
          <w:lang w:val="es-ES"/>
        </w:rPr>
        <w:t>]</w:t>
      </w:r>
      <w:r w:rsidR="00CF0D89">
        <w:rPr>
          <w:rFonts w:ascii="Arial" w:eastAsia="Calibri" w:hAnsi="Arial" w:cs="Arial"/>
          <w:sz w:val="20"/>
          <w:szCs w:val="20"/>
          <w:lang w:val="es-ES"/>
        </w:rPr>
        <w:t xml:space="preserve"> t</w:t>
      </w:r>
      <w:r w:rsidRPr="00296C72">
        <w:rPr>
          <w:rFonts w:ascii="Arial" w:eastAsia="Calibri" w:hAnsi="Arial" w:cs="Arial"/>
          <w:sz w:val="20"/>
          <w:szCs w:val="20"/>
          <w:lang w:val="es-ES_tradnl"/>
        </w:rPr>
        <w:t>al como sucede en procesos de licitación pública y en la generalidad de procesos de selección según las consideraciones de la providencia en cita, las causales de rechazo de la oferta en procesos de mínima cuantía serán las consagradas en la ley o producto de su aplicación, así como las definidas por las entidades en las respectivas invitaciones a participar, al hacer estas las veces de pliego de condiciones para estos efectos. Tal facultad para establecer causales de rechazo, se encuentra limitada por la regla de subsanabilidad del parágrafo 1 del artículo 5 de la Ley 1150 de 2007, analizada en acápites anteriores, según la cual «La ausencia de requisitos o la falta de documentos referentes a la futura contratación o al proponente, no necesarios para la comparación de las propuestas no servirán de título suficiente para el rechazo de los ofrecimientos hechos», por lo que las entidades no podrán establecer causales de rechazo referentes a meros requisitos formales o rechazar las ofertas, máxime cuando según el literal c del numeral 5 del artículo 2 de la Ley 1150 de 2007, el menor precio es el único criterio de escogencia en la modalidad de selección en comento.</w:t>
      </w:r>
    </w:p>
    <w:p w14:paraId="5D3045B2" w14:textId="77777777" w:rsidR="000038DE" w:rsidRPr="0082701A" w:rsidRDefault="000038DE" w:rsidP="00296C72">
      <w:pPr>
        <w:spacing w:line="276" w:lineRule="auto"/>
        <w:jc w:val="both"/>
        <w:rPr>
          <w:rFonts w:ascii="Arial" w:hAnsi="Arial" w:cs="Arial"/>
          <w:sz w:val="20"/>
          <w:szCs w:val="20"/>
        </w:rPr>
      </w:pPr>
    </w:p>
    <w:p w14:paraId="1D6D872C" w14:textId="77777777" w:rsidR="000038DE" w:rsidRPr="0082701A" w:rsidRDefault="000038DE" w:rsidP="000038DE">
      <w:pPr>
        <w:tabs>
          <w:tab w:val="left" w:pos="3374"/>
        </w:tabs>
        <w:spacing w:line="276" w:lineRule="auto"/>
        <w:rPr>
          <w:rFonts w:ascii="Arial" w:hAnsi="Arial" w:cs="Arial"/>
          <w:sz w:val="20"/>
          <w:szCs w:val="20"/>
          <w:lang w:val="es-CO"/>
        </w:rPr>
      </w:pPr>
    </w:p>
    <w:p w14:paraId="0DE75890" w14:textId="6DAC06E1" w:rsidR="000038DE" w:rsidRPr="000038DE" w:rsidRDefault="000038DE" w:rsidP="000038DE">
      <w:pPr>
        <w:tabs>
          <w:tab w:val="left" w:pos="3374"/>
        </w:tabs>
        <w:spacing w:line="276" w:lineRule="auto"/>
        <w:rPr>
          <w:rFonts w:ascii="Arial" w:hAnsi="Arial" w:cs="Arial"/>
          <w:sz w:val="22"/>
          <w:lang w:val="es-CO"/>
        </w:rPr>
      </w:pPr>
      <w:r w:rsidRPr="000038DE">
        <w:rPr>
          <w:rFonts w:ascii="Arial" w:hAnsi="Arial" w:cs="Arial"/>
          <w:sz w:val="22"/>
          <w:lang w:val="es-CO"/>
        </w:rPr>
        <w:t xml:space="preserve">Bogotá D.C., </w:t>
      </w:r>
      <w:r w:rsidRPr="000038DE">
        <w:rPr>
          <w:rFonts w:ascii="Arial" w:hAnsi="Arial" w:cs="Arial"/>
          <w:b/>
          <w:bCs/>
          <w:sz w:val="22"/>
          <w:lang w:val="es-CO"/>
        </w:rPr>
        <w:t xml:space="preserve">27/05/2020 Hora 10:22:45s </w:t>
      </w:r>
    </w:p>
    <w:p w14:paraId="4783076B" w14:textId="7F3D3AEA" w:rsidR="00296C72" w:rsidRPr="00296C72" w:rsidRDefault="000038DE" w:rsidP="000038DE">
      <w:pPr>
        <w:tabs>
          <w:tab w:val="left" w:pos="3374"/>
        </w:tabs>
        <w:spacing w:line="276" w:lineRule="auto"/>
        <w:jc w:val="right"/>
        <w:rPr>
          <w:rFonts w:ascii="Arial" w:eastAsia="Calibri" w:hAnsi="Arial" w:cs="Arial"/>
          <w:sz w:val="22"/>
          <w:lang w:val="es-ES_tradnl"/>
        </w:rPr>
      </w:pPr>
      <w:r w:rsidRPr="000038DE">
        <w:rPr>
          <w:rFonts w:ascii="Arial" w:hAnsi="Arial" w:cs="Arial"/>
          <w:b/>
          <w:bCs/>
          <w:sz w:val="22"/>
          <w:lang w:val="es-CO"/>
        </w:rPr>
        <w:t>N° Radicado: 2202013000004213</w:t>
      </w:r>
      <w:r w:rsidR="00296C72" w:rsidRPr="00296C72">
        <w:rPr>
          <w:rFonts w:ascii="Arial" w:eastAsia="Calibri" w:hAnsi="Arial" w:cs="Arial"/>
          <w:sz w:val="22"/>
          <w:lang w:val="es-ES_tradnl"/>
        </w:rPr>
        <w:tab/>
      </w:r>
    </w:p>
    <w:p w14:paraId="08C07D60" w14:textId="47D74D4C" w:rsidR="00296C72" w:rsidRPr="00296C72" w:rsidRDefault="00296C72" w:rsidP="00296C72">
      <w:pPr>
        <w:spacing w:line="276" w:lineRule="auto"/>
        <w:rPr>
          <w:rFonts w:ascii="Arial" w:eastAsia="Calibri" w:hAnsi="Arial" w:cs="Arial"/>
          <w:sz w:val="22"/>
          <w:lang w:val="es-ES_tradnl"/>
        </w:rPr>
      </w:pPr>
      <w:r w:rsidRPr="00296C72">
        <w:rPr>
          <w:rFonts w:ascii="Arial" w:eastAsia="Calibri" w:hAnsi="Arial" w:cs="Arial"/>
          <w:sz w:val="22"/>
          <w:lang w:val="es-ES_tradnl"/>
        </w:rPr>
        <w:t>Señor</w:t>
      </w:r>
    </w:p>
    <w:p w14:paraId="5B9675C2" w14:textId="77777777" w:rsidR="00296C72" w:rsidRPr="00296C72" w:rsidRDefault="00296C72" w:rsidP="00296C72">
      <w:pPr>
        <w:spacing w:line="276" w:lineRule="auto"/>
        <w:rPr>
          <w:rFonts w:ascii="Arial" w:eastAsia="Calibri" w:hAnsi="Arial" w:cs="Arial"/>
          <w:b/>
          <w:sz w:val="22"/>
          <w:lang w:val="es-ES_tradnl"/>
        </w:rPr>
      </w:pPr>
      <w:r w:rsidRPr="00296C72">
        <w:rPr>
          <w:rFonts w:ascii="Arial" w:eastAsia="Calibri" w:hAnsi="Arial" w:cs="Arial"/>
          <w:b/>
          <w:sz w:val="22"/>
          <w:lang w:val="es-ES_tradnl"/>
        </w:rPr>
        <w:t xml:space="preserve">Edwin Buitrago Duarte </w:t>
      </w:r>
    </w:p>
    <w:p w14:paraId="363081EC" w14:textId="77777777" w:rsidR="00296C72" w:rsidRPr="00296C72" w:rsidRDefault="00296C72" w:rsidP="00296C72">
      <w:pPr>
        <w:spacing w:line="276" w:lineRule="auto"/>
        <w:rPr>
          <w:rFonts w:ascii="Arial" w:eastAsia="Calibri" w:hAnsi="Arial" w:cs="Arial"/>
          <w:sz w:val="22"/>
          <w:lang w:val="es-ES_tradnl"/>
        </w:rPr>
      </w:pPr>
      <w:r w:rsidRPr="00296C72">
        <w:rPr>
          <w:rFonts w:ascii="Arial" w:eastAsia="Calibri" w:hAnsi="Arial" w:cs="Arial"/>
          <w:sz w:val="22"/>
          <w:lang w:val="es-ES_tradnl"/>
        </w:rPr>
        <w:t>Málaga, Santander</w:t>
      </w:r>
    </w:p>
    <w:p w14:paraId="2F7EB0DE" w14:textId="77777777" w:rsidR="00296C72" w:rsidRPr="00296C72" w:rsidRDefault="00296C72" w:rsidP="00296C72">
      <w:pPr>
        <w:spacing w:line="276" w:lineRule="auto"/>
        <w:jc w:val="center"/>
        <w:rPr>
          <w:rFonts w:ascii="Arial" w:eastAsia="Calibri" w:hAnsi="Arial" w:cs="Arial"/>
          <w:b/>
          <w:sz w:val="22"/>
          <w:lang w:val="es-ES_tradnl"/>
        </w:rPr>
      </w:pPr>
    </w:p>
    <w:p w14:paraId="7DF50A88" w14:textId="38B4FE79" w:rsidR="00296C72" w:rsidRPr="00296C72" w:rsidRDefault="00296C72" w:rsidP="00296C72">
      <w:pPr>
        <w:spacing w:line="276" w:lineRule="auto"/>
        <w:jc w:val="center"/>
        <w:rPr>
          <w:rFonts w:ascii="Arial" w:eastAsia="Calibri" w:hAnsi="Arial" w:cs="Arial"/>
          <w:b/>
          <w:sz w:val="22"/>
          <w:lang w:val="es-ES_tradnl"/>
        </w:rPr>
      </w:pPr>
      <w:r w:rsidRPr="00296C72">
        <w:rPr>
          <w:rFonts w:ascii="Arial" w:eastAsia="Calibri" w:hAnsi="Arial" w:cs="Arial"/>
          <w:b/>
          <w:sz w:val="22"/>
          <w:lang w:val="es-ES_tradnl"/>
        </w:rPr>
        <w:t xml:space="preserve">Concepto C ─ </w:t>
      </w:r>
      <w:r w:rsidR="00590ECB">
        <w:rPr>
          <w:rFonts w:ascii="Arial" w:eastAsia="Calibri" w:hAnsi="Arial" w:cs="Arial"/>
          <w:b/>
          <w:sz w:val="22"/>
          <w:lang w:val="es-ES_tradnl"/>
        </w:rPr>
        <w:t>309</w:t>
      </w:r>
      <w:r w:rsidRPr="00296C72">
        <w:rPr>
          <w:rFonts w:ascii="Arial" w:eastAsia="Calibri" w:hAnsi="Arial" w:cs="Arial"/>
          <w:b/>
          <w:sz w:val="22"/>
          <w:lang w:val="es-ES_tradnl"/>
        </w:rPr>
        <w:t xml:space="preserve"> de 2020</w:t>
      </w:r>
    </w:p>
    <w:p w14:paraId="3CA1EE68" w14:textId="55273644" w:rsidR="00296C72" w:rsidRPr="00296C72" w:rsidRDefault="00296C72" w:rsidP="00296C72">
      <w:pPr>
        <w:spacing w:line="276" w:lineRule="auto"/>
        <w:rPr>
          <w:rFonts w:ascii="Arial" w:eastAsia="Calibri" w:hAnsi="Arial" w:cs="Arial"/>
          <w:sz w:val="22"/>
          <w:lang w:val="es-ES_tradnl"/>
        </w:rPr>
      </w:pPr>
    </w:p>
    <w:p w14:paraId="5C59B115" w14:textId="77777777" w:rsidR="00296C72" w:rsidRPr="00296C72" w:rsidRDefault="00296C72" w:rsidP="00296C72">
      <w:pPr>
        <w:spacing w:line="276" w:lineRule="auto"/>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6C72" w:rsidRPr="00296C72" w14:paraId="5DBEEFA1" w14:textId="77777777" w:rsidTr="005231F8">
        <w:tc>
          <w:tcPr>
            <w:tcW w:w="2689" w:type="dxa"/>
            <w:hideMark/>
          </w:tcPr>
          <w:p w14:paraId="2B43CDF2" w14:textId="77777777" w:rsidR="00296C72" w:rsidRPr="00296C72" w:rsidRDefault="00296C72" w:rsidP="005231F8">
            <w:pPr>
              <w:spacing w:line="276" w:lineRule="auto"/>
              <w:rPr>
                <w:rFonts w:ascii="Arial" w:eastAsia="Calibri" w:hAnsi="Arial" w:cs="Arial"/>
                <w:sz w:val="22"/>
                <w:lang w:val="es-ES_tradnl"/>
              </w:rPr>
            </w:pPr>
            <w:r w:rsidRPr="00296C72">
              <w:rPr>
                <w:rFonts w:ascii="Arial" w:eastAsia="Calibri" w:hAnsi="Arial" w:cs="Arial"/>
                <w:b/>
                <w:sz w:val="22"/>
                <w:lang w:val="es-ES_tradnl"/>
              </w:rPr>
              <w:t>Temas:</w:t>
            </w:r>
            <w:r w:rsidRPr="00296C72">
              <w:rPr>
                <w:rFonts w:ascii="Arial" w:eastAsia="Calibri" w:hAnsi="Arial" w:cs="Arial"/>
                <w:sz w:val="22"/>
                <w:lang w:val="es-ES_tradnl"/>
              </w:rPr>
              <w:t xml:space="preserve">           </w:t>
            </w:r>
          </w:p>
          <w:p w14:paraId="63407F4C" w14:textId="77777777" w:rsidR="00296C72" w:rsidRPr="00296C72" w:rsidRDefault="00296C72" w:rsidP="005231F8">
            <w:pPr>
              <w:spacing w:line="276" w:lineRule="auto"/>
              <w:rPr>
                <w:rFonts w:ascii="Arial" w:eastAsia="Calibri" w:hAnsi="Arial" w:cs="Arial"/>
                <w:sz w:val="22"/>
                <w:lang w:val="es-ES_tradnl"/>
              </w:rPr>
            </w:pPr>
            <w:r w:rsidRPr="00296C72">
              <w:rPr>
                <w:rFonts w:ascii="Arial" w:eastAsia="Calibri" w:hAnsi="Arial" w:cs="Arial"/>
                <w:sz w:val="22"/>
                <w:lang w:val="es-ES_tradnl"/>
              </w:rPr>
              <w:t xml:space="preserve">                           </w:t>
            </w:r>
          </w:p>
        </w:tc>
        <w:tc>
          <w:tcPr>
            <w:tcW w:w="6237" w:type="dxa"/>
            <w:hideMark/>
          </w:tcPr>
          <w:p w14:paraId="3C608444" w14:textId="77777777" w:rsidR="00296C72" w:rsidRPr="00296C72" w:rsidRDefault="00296C72" w:rsidP="005231F8">
            <w:pPr>
              <w:spacing w:line="276" w:lineRule="auto"/>
              <w:jc w:val="both"/>
              <w:rPr>
                <w:rFonts w:ascii="Arial" w:eastAsia="Calibri" w:hAnsi="Arial" w:cs="Arial"/>
                <w:sz w:val="22"/>
              </w:rPr>
            </w:pPr>
            <w:r w:rsidRPr="00296C72">
              <w:rPr>
                <w:rFonts w:ascii="Arial" w:eastAsia="Calibri" w:hAnsi="Arial" w:cs="Arial"/>
                <w:sz w:val="22"/>
                <w:lang w:val="es-ES_tradnl"/>
              </w:rPr>
              <w:t>SUBSANABILIDAD – Requisitos habilitantes – Circunstancias posteriores al cierre – Mínima cuantía – Regla – Término para subsanar / CAUSALES DE RECHAZO – Mínima cuantía</w:t>
            </w:r>
          </w:p>
        </w:tc>
      </w:tr>
      <w:tr w:rsidR="00296C72" w:rsidRPr="00296C72" w14:paraId="220373F8" w14:textId="77777777" w:rsidTr="005231F8">
        <w:tc>
          <w:tcPr>
            <w:tcW w:w="2689" w:type="dxa"/>
          </w:tcPr>
          <w:p w14:paraId="00FBE5E8" w14:textId="77777777" w:rsidR="00296C72" w:rsidRPr="00296C72" w:rsidRDefault="00296C72" w:rsidP="005231F8">
            <w:pPr>
              <w:spacing w:line="276" w:lineRule="auto"/>
              <w:rPr>
                <w:rFonts w:ascii="Arial" w:eastAsia="Calibri" w:hAnsi="Arial" w:cs="Arial"/>
                <w:b/>
                <w:sz w:val="22"/>
                <w:lang w:val="es-ES_tradnl"/>
              </w:rPr>
            </w:pPr>
            <w:r w:rsidRPr="00296C72">
              <w:rPr>
                <w:rFonts w:ascii="Arial" w:eastAsia="Calibri" w:hAnsi="Arial" w:cs="Arial"/>
                <w:b/>
                <w:sz w:val="22"/>
                <w:lang w:val="es-ES_tradnl"/>
              </w:rPr>
              <w:t>Radicación:</w:t>
            </w:r>
            <w:r w:rsidRPr="00296C72">
              <w:rPr>
                <w:rFonts w:ascii="Arial" w:eastAsia="Calibri" w:hAnsi="Arial" w:cs="Arial"/>
                <w:sz w:val="22"/>
                <w:lang w:val="es-ES_tradnl"/>
              </w:rPr>
              <w:t xml:space="preserve">                              </w:t>
            </w:r>
          </w:p>
        </w:tc>
        <w:tc>
          <w:tcPr>
            <w:tcW w:w="6237" w:type="dxa"/>
          </w:tcPr>
          <w:p w14:paraId="5AAFB6C4" w14:textId="77777777" w:rsidR="00296C72" w:rsidRPr="00296C72" w:rsidRDefault="00296C72" w:rsidP="005231F8">
            <w:pPr>
              <w:spacing w:line="276" w:lineRule="auto"/>
              <w:jc w:val="both"/>
              <w:rPr>
                <w:rFonts w:ascii="Arial" w:eastAsia="Calibri" w:hAnsi="Arial" w:cs="Arial"/>
                <w:sz w:val="22"/>
                <w:lang w:val="es-ES_tradnl"/>
              </w:rPr>
            </w:pPr>
            <w:r w:rsidRPr="00296C72">
              <w:rPr>
                <w:rFonts w:ascii="Arial" w:eastAsia="Calibri" w:hAnsi="Arial" w:cs="Arial"/>
                <w:sz w:val="22"/>
                <w:lang w:val="es-ES_tradnl"/>
              </w:rPr>
              <w:t xml:space="preserve">Respuesta a consulta # </w:t>
            </w:r>
            <w:r w:rsidRPr="00296C72">
              <w:rPr>
                <w:rFonts w:ascii="Arial" w:hAnsi="Arial" w:cs="Arial"/>
                <w:sz w:val="22"/>
                <w:lang w:val="es-ES_tradnl"/>
              </w:rPr>
              <w:t>4202013000003010</w:t>
            </w:r>
          </w:p>
        </w:tc>
      </w:tr>
    </w:tbl>
    <w:p w14:paraId="7984AC36" w14:textId="76792017" w:rsidR="00296C72" w:rsidRPr="00296C72" w:rsidRDefault="00296C72" w:rsidP="00296C72">
      <w:pPr>
        <w:spacing w:line="276" w:lineRule="auto"/>
        <w:jc w:val="both"/>
        <w:rPr>
          <w:rFonts w:ascii="Arial" w:eastAsia="Calibri" w:hAnsi="Arial" w:cs="Arial"/>
          <w:sz w:val="22"/>
          <w:lang w:val="es-ES_tradnl"/>
        </w:rPr>
      </w:pPr>
    </w:p>
    <w:p w14:paraId="769E4097" w14:textId="77777777" w:rsidR="0082701A" w:rsidRDefault="0082701A" w:rsidP="00296C72">
      <w:pPr>
        <w:spacing w:line="276" w:lineRule="auto"/>
        <w:rPr>
          <w:rFonts w:ascii="Arial" w:eastAsia="Calibri" w:hAnsi="Arial" w:cs="Arial"/>
          <w:sz w:val="22"/>
          <w:lang w:val="es-ES_tradnl"/>
        </w:rPr>
      </w:pPr>
    </w:p>
    <w:p w14:paraId="3F75BE5B" w14:textId="3312E314" w:rsidR="00296C72" w:rsidRPr="00296C72" w:rsidRDefault="00296C72" w:rsidP="00296C72">
      <w:pPr>
        <w:spacing w:line="276" w:lineRule="auto"/>
        <w:rPr>
          <w:rFonts w:ascii="Arial" w:eastAsia="Calibri" w:hAnsi="Arial" w:cs="Arial"/>
          <w:sz w:val="22"/>
          <w:lang w:val="es-ES_tradnl"/>
        </w:rPr>
      </w:pPr>
      <w:r w:rsidRPr="00296C72">
        <w:rPr>
          <w:rFonts w:ascii="Arial" w:eastAsia="Calibri" w:hAnsi="Arial" w:cs="Arial"/>
          <w:sz w:val="22"/>
          <w:lang w:val="es-ES_tradnl"/>
        </w:rPr>
        <w:t>Estimado señor Buitrago,</w:t>
      </w:r>
    </w:p>
    <w:p w14:paraId="23147736" w14:textId="77777777" w:rsidR="00296C72" w:rsidRPr="00296C72" w:rsidRDefault="00296C72" w:rsidP="00296C72">
      <w:pPr>
        <w:spacing w:line="276" w:lineRule="auto"/>
        <w:rPr>
          <w:rFonts w:ascii="Arial" w:eastAsia="Calibri" w:hAnsi="Arial" w:cs="Arial"/>
          <w:sz w:val="22"/>
          <w:lang w:val="es-ES_tradnl"/>
        </w:rPr>
      </w:pPr>
    </w:p>
    <w:p w14:paraId="632E1766" w14:textId="77777777" w:rsidR="00296C72" w:rsidRPr="00296C72" w:rsidRDefault="00296C72" w:rsidP="00296C72">
      <w:pPr>
        <w:tabs>
          <w:tab w:val="left" w:pos="426"/>
        </w:tabs>
        <w:spacing w:line="276" w:lineRule="auto"/>
        <w:jc w:val="both"/>
        <w:rPr>
          <w:rFonts w:ascii="Arial" w:eastAsia="Calibri" w:hAnsi="Arial" w:cs="Arial"/>
          <w:sz w:val="22"/>
          <w:lang w:val="es-ES_tradnl"/>
        </w:rPr>
      </w:pPr>
      <w:r w:rsidRPr="00296C72">
        <w:rPr>
          <w:rFonts w:ascii="Arial" w:eastAsia="Calibri" w:hAnsi="Arial" w:cs="Arial"/>
          <w:sz w:val="22"/>
          <w:lang w:val="es-ES_tradnl"/>
        </w:rPr>
        <w:t>La Agencia Nacional de Contratación Pública ― Colombia Compra Eficiente responde su consulta del 23 de abril de 2020, en ejercicio de la competencia otorgada por el numeral 8 del artículo 11 y el numeral 5 del artículo 3 del Decreto Ley 4170 de 2011.</w:t>
      </w:r>
    </w:p>
    <w:p w14:paraId="3B8D1E6F" w14:textId="2FD55C3F" w:rsidR="00296C72" w:rsidRPr="00296C72" w:rsidRDefault="00296C72" w:rsidP="00296C72">
      <w:pPr>
        <w:tabs>
          <w:tab w:val="left" w:pos="426"/>
        </w:tabs>
        <w:spacing w:line="276" w:lineRule="auto"/>
        <w:jc w:val="both"/>
        <w:rPr>
          <w:rFonts w:ascii="Arial" w:eastAsia="Calibri" w:hAnsi="Arial" w:cs="Arial"/>
          <w:sz w:val="22"/>
          <w:lang w:val="es-ES_tradnl"/>
        </w:rPr>
      </w:pPr>
    </w:p>
    <w:p w14:paraId="34E89A76" w14:textId="77777777" w:rsidR="00296C72" w:rsidRPr="00296C72" w:rsidRDefault="00296C72" w:rsidP="00296C72">
      <w:pPr>
        <w:pStyle w:val="Prrafodelista"/>
        <w:numPr>
          <w:ilvl w:val="0"/>
          <w:numId w:val="6"/>
        </w:numPr>
        <w:tabs>
          <w:tab w:val="left" w:pos="284"/>
        </w:tabs>
        <w:spacing w:line="276" w:lineRule="auto"/>
        <w:ind w:left="0" w:firstLine="0"/>
        <w:jc w:val="both"/>
        <w:rPr>
          <w:rFonts w:ascii="Arial" w:eastAsia="Calibri" w:hAnsi="Arial" w:cs="Arial"/>
          <w:b/>
          <w:sz w:val="22"/>
          <w:lang w:val="es-ES_tradnl"/>
        </w:rPr>
      </w:pPr>
      <w:r w:rsidRPr="00296C72">
        <w:rPr>
          <w:rFonts w:ascii="Arial" w:eastAsia="Calibri" w:hAnsi="Arial" w:cs="Arial"/>
          <w:b/>
          <w:sz w:val="22"/>
          <w:lang w:val="es-ES_tradnl"/>
        </w:rPr>
        <w:t xml:space="preserve">Problemas planteados </w:t>
      </w:r>
    </w:p>
    <w:p w14:paraId="5A7A78E8" w14:textId="77777777" w:rsidR="00296C72" w:rsidRPr="00296C72" w:rsidRDefault="00296C72" w:rsidP="00296C72">
      <w:pPr>
        <w:tabs>
          <w:tab w:val="left" w:pos="426"/>
        </w:tabs>
        <w:spacing w:line="276" w:lineRule="auto"/>
        <w:jc w:val="both"/>
        <w:rPr>
          <w:rFonts w:ascii="Arial" w:eastAsia="Calibri" w:hAnsi="Arial" w:cs="Arial"/>
          <w:b/>
          <w:sz w:val="22"/>
          <w:lang w:val="es-ES_tradnl"/>
        </w:rPr>
      </w:pPr>
    </w:p>
    <w:p w14:paraId="277D4688" w14:textId="77777777" w:rsidR="00296C72" w:rsidRPr="00296C72" w:rsidRDefault="00296C72" w:rsidP="00296C72">
      <w:pPr>
        <w:tabs>
          <w:tab w:val="left" w:pos="426"/>
        </w:tabs>
        <w:spacing w:line="276" w:lineRule="auto"/>
        <w:jc w:val="both"/>
        <w:rPr>
          <w:rFonts w:ascii="Arial" w:eastAsia="Calibri" w:hAnsi="Arial" w:cs="Arial"/>
          <w:sz w:val="22"/>
          <w:lang w:val="es-ES_tradnl"/>
        </w:rPr>
      </w:pPr>
      <w:r w:rsidRPr="00296C72">
        <w:rPr>
          <w:rFonts w:ascii="Arial" w:eastAsia="Calibri" w:hAnsi="Arial" w:cs="Arial"/>
          <w:sz w:val="22"/>
          <w:lang w:val="es-ES_tradnl"/>
        </w:rPr>
        <w:lastRenderedPageBreak/>
        <w:t>Usted realiza las siguientes preguntas: «1. ¿En los procesos de Mínima Cuantía se debe permitir la subsanación de documentos que no otorgan puntaje? [..] 2. ¿Cuáles [sic] son las causales de rechazo de plano de las ofertas en un proceso de mínima cuantia? [sic] […] 3. Solicito darme a conocer los fundamentos de derecho en los que se debe amparar un oferente para que se le permita subsanar documentos en procesos de mínima cuantía».</w:t>
      </w:r>
    </w:p>
    <w:p w14:paraId="0C07989D" w14:textId="77777777" w:rsidR="00296C72" w:rsidRPr="00296C72" w:rsidRDefault="00296C72" w:rsidP="00296C72">
      <w:pPr>
        <w:tabs>
          <w:tab w:val="left" w:pos="426"/>
        </w:tabs>
        <w:spacing w:line="276" w:lineRule="auto"/>
        <w:jc w:val="both"/>
        <w:rPr>
          <w:rFonts w:ascii="Arial" w:eastAsia="Calibri" w:hAnsi="Arial" w:cs="Arial"/>
          <w:sz w:val="22"/>
          <w:lang w:val="es-ES_tradnl"/>
        </w:rPr>
      </w:pPr>
      <w:r w:rsidRPr="00296C72">
        <w:rPr>
          <w:rFonts w:ascii="Arial" w:eastAsia="Calibri" w:hAnsi="Arial" w:cs="Arial"/>
          <w:sz w:val="22"/>
          <w:lang w:val="es-ES_tradnl"/>
        </w:rPr>
        <w:t xml:space="preserve">  </w:t>
      </w:r>
    </w:p>
    <w:p w14:paraId="1A768446" w14:textId="77777777" w:rsidR="00296C72" w:rsidRPr="00296C72" w:rsidRDefault="00296C72" w:rsidP="00296C72">
      <w:pPr>
        <w:tabs>
          <w:tab w:val="left" w:pos="426"/>
        </w:tabs>
        <w:spacing w:line="276" w:lineRule="auto"/>
        <w:jc w:val="both"/>
        <w:rPr>
          <w:rFonts w:ascii="Arial" w:eastAsia="Calibri" w:hAnsi="Arial" w:cs="Arial"/>
          <w:b/>
          <w:sz w:val="22"/>
          <w:lang w:val="es-ES_tradnl"/>
        </w:rPr>
      </w:pPr>
      <w:r w:rsidRPr="00296C72">
        <w:rPr>
          <w:rFonts w:ascii="Arial" w:eastAsia="Calibri" w:hAnsi="Arial" w:cs="Arial"/>
          <w:b/>
          <w:sz w:val="22"/>
          <w:lang w:val="es-ES_tradnl"/>
        </w:rPr>
        <w:t>2. Consideraciones</w:t>
      </w:r>
    </w:p>
    <w:bookmarkEnd w:id="0"/>
    <w:bookmarkEnd w:id="1"/>
    <w:p w14:paraId="4FBD1E9C" w14:textId="77777777" w:rsidR="00296C72" w:rsidRPr="00296C72" w:rsidRDefault="00296C72" w:rsidP="00296C72">
      <w:pPr>
        <w:spacing w:line="276" w:lineRule="auto"/>
        <w:jc w:val="both"/>
        <w:rPr>
          <w:rFonts w:ascii="Arial" w:hAnsi="Arial" w:cs="Arial"/>
          <w:sz w:val="22"/>
          <w:lang w:val="es-ES_tradnl"/>
        </w:rPr>
      </w:pPr>
    </w:p>
    <w:p w14:paraId="254C34D2" w14:textId="113C31CA" w:rsidR="00296C72" w:rsidRPr="00296C72" w:rsidRDefault="00296C72" w:rsidP="00296C72">
      <w:pPr>
        <w:tabs>
          <w:tab w:val="left" w:pos="426"/>
        </w:tabs>
        <w:spacing w:after="120" w:line="276" w:lineRule="auto"/>
        <w:jc w:val="both"/>
        <w:rPr>
          <w:rFonts w:ascii="Arial" w:eastAsia="Calibri" w:hAnsi="Arial" w:cs="Arial"/>
          <w:sz w:val="22"/>
          <w:lang w:val="es-ES_tradnl"/>
        </w:rPr>
      </w:pPr>
      <w:r w:rsidRPr="00296C72">
        <w:rPr>
          <w:rFonts w:ascii="Arial" w:eastAsia="Calibri" w:hAnsi="Arial" w:cs="Arial"/>
          <w:sz w:val="22"/>
          <w:lang w:val="es-ES_tradnl"/>
        </w:rPr>
        <w:t>Para resolver esta consulta se hará un análisis de los siguientes temas: i) el principio de selección objetiva, como fundamento de la subsanabilidad en los procedimientos de selección</w:t>
      </w:r>
      <w:r w:rsidR="00746FA0">
        <w:rPr>
          <w:rFonts w:ascii="Arial" w:eastAsia="Calibri" w:hAnsi="Arial" w:cs="Arial"/>
          <w:sz w:val="22"/>
          <w:lang w:val="es-ES_tradnl"/>
        </w:rPr>
        <w:t>,</w:t>
      </w:r>
      <w:r w:rsidRPr="00296C72">
        <w:rPr>
          <w:rFonts w:ascii="Arial" w:eastAsia="Calibri" w:hAnsi="Arial" w:cs="Arial"/>
          <w:sz w:val="22"/>
          <w:lang w:val="es-ES_tradnl"/>
        </w:rPr>
        <w:t xml:space="preserve"> ii) la forma como opera esta regla, incluyendo la reiteración de los conceptos de esta Subdirección sobre las circunstancias y los requisitos que admiten subsanación, aplicando estas consideraciones a la modalidad de mínima cuantía, y iii) las causales de rechazo en procesos de mínima cuantía. </w:t>
      </w:r>
    </w:p>
    <w:p w14:paraId="77931036" w14:textId="49732BA5" w:rsidR="00296C72" w:rsidRPr="00296C72" w:rsidRDefault="00296C72" w:rsidP="00296C72">
      <w:pPr>
        <w:tabs>
          <w:tab w:val="left" w:pos="426"/>
        </w:tabs>
        <w:spacing w:line="276" w:lineRule="auto"/>
        <w:jc w:val="both"/>
        <w:rPr>
          <w:rFonts w:ascii="Arial" w:eastAsia="Calibri" w:hAnsi="Arial" w:cs="Arial"/>
          <w:sz w:val="22"/>
          <w:lang w:val="es-ES_tradnl"/>
        </w:rPr>
      </w:pPr>
      <w:r w:rsidRPr="00296C72">
        <w:rPr>
          <w:rFonts w:ascii="Arial" w:eastAsia="Calibri" w:hAnsi="Arial" w:cs="Arial"/>
          <w:sz w:val="22"/>
          <w:lang w:val="es-ES_tradnl"/>
        </w:rPr>
        <w:tab/>
        <w:t xml:space="preserve">Para esto se reiterarán algunas consideraciones del concepto CU–060 del 24 de febrero de 2020, sobre la aplicación de las reglas de subsanabilidad, y se </w:t>
      </w:r>
      <w:r w:rsidR="008D55CC">
        <w:rPr>
          <w:rFonts w:ascii="Arial" w:eastAsia="Calibri" w:hAnsi="Arial" w:cs="Arial"/>
          <w:sz w:val="22"/>
          <w:lang w:val="es-ES_tradnl"/>
        </w:rPr>
        <w:t>re</w:t>
      </w:r>
      <w:r w:rsidRPr="00296C72">
        <w:rPr>
          <w:rFonts w:ascii="Arial" w:eastAsia="Calibri" w:hAnsi="Arial" w:cs="Arial"/>
          <w:sz w:val="22"/>
          <w:lang w:val="es-ES_tradnl"/>
        </w:rPr>
        <w:t>tomar</w:t>
      </w:r>
      <w:r w:rsidR="008D55CC">
        <w:rPr>
          <w:rFonts w:ascii="Arial" w:eastAsia="Calibri" w:hAnsi="Arial" w:cs="Arial"/>
          <w:sz w:val="22"/>
          <w:lang w:val="es-ES_tradnl"/>
        </w:rPr>
        <w:t>á</w:t>
      </w:r>
      <w:r w:rsidRPr="00296C72">
        <w:rPr>
          <w:rFonts w:ascii="Arial" w:eastAsia="Calibri" w:hAnsi="Arial" w:cs="Arial"/>
          <w:sz w:val="22"/>
          <w:lang w:val="es-ES_tradnl"/>
        </w:rPr>
        <w:t xml:space="preserve">n otras de los conceptos C–121 del 3 de marzo de 2020, C–160 del 3 de abril de 2020 y C-013 del 17 de abril de 2020, relativos al procedimiento de selección de mínima cuantía y su regla de subsanabilidad. </w:t>
      </w:r>
    </w:p>
    <w:p w14:paraId="5FE1E319" w14:textId="77777777" w:rsidR="00296C72" w:rsidRPr="00296C72" w:rsidRDefault="00296C72" w:rsidP="00296C72">
      <w:pPr>
        <w:spacing w:line="276" w:lineRule="auto"/>
        <w:jc w:val="both"/>
        <w:rPr>
          <w:rFonts w:ascii="Arial" w:hAnsi="Arial" w:cs="Arial"/>
          <w:sz w:val="22"/>
          <w:lang w:val="es-ES_tradnl"/>
        </w:rPr>
      </w:pPr>
    </w:p>
    <w:p w14:paraId="77D21D1B" w14:textId="77777777" w:rsidR="00296C72" w:rsidRPr="00296C72" w:rsidRDefault="00296C72" w:rsidP="00296C72">
      <w:pPr>
        <w:spacing w:line="276" w:lineRule="auto"/>
        <w:jc w:val="both"/>
        <w:rPr>
          <w:rFonts w:ascii="Arial" w:hAnsi="Arial" w:cs="Arial"/>
          <w:b/>
          <w:bCs/>
          <w:sz w:val="22"/>
          <w:lang w:val="es-ES_tradnl"/>
        </w:rPr>
      </w:pPr>
      <w:r w:rsidRPr="00296C72">
        <w:rPr>
          <w:rFonts w:ascii="Arial" w:hAnsi="Arial" w:cs="Arial"/>
          <w:b/>
          <w:bCs/>
          <w:sz w:val="22"/>
          <w:lang w:val="es-ES_tradnl"/>
        </w:rPr>
        <w:t xml:space="preserve">2.1. </w:t>
      </w:r>
      <w:r w:rsidRPr="00296C72">
        <w:rPr>
          <w:rFonts w:ascii="Arial" w:eastAsia="Calibri" w:hAnsi="Arial" w:cs="Arial"/>
          <w:b/>
          <w:bCs/>
          <w:sz w:val="22"/>
          <w:lang w:val="es-ES_tradnl"/>
        </w:rPr>
        <w:t>Principio de selección objetiva en la contratación estatal</w:t>
      </w:r>
    </w:p>
    <w:p w14:paraId="52B38BA5" w14:textId="77777777" w:rsidR="00296C72" w:rsidRPr="00296C72" w:rsidRDefault="00296C72" w:rsidP="00296C72">
      <w:pPr>
        <w:spacing w:line="276" w:lineRule="auto"/>
        <w:jc w:val="both"/>
        <w:rPr>
          <w:rFonts w:ascii="Arial" w:eastAsia="Calibri" w:hAnsi="Arial" w:cs="Arial"/>
          <w:sz w:val="22"/>
          <w:lang w:val="es-ES_tradnl"/>
        </w:rPr>
      </w:pPr>
    </w:p>
    <w:p w14:paraId="4D011614" w14:textId="77777777" w:rsidR="00296C72" w:rsidRPr="00296C72" w:rsidRDefault="00296C72" w:rsidP="00296C72">
      <w:pPr>
        <w:tabs>
          <w:tab w:val="left" w:pos="426"/>
        </w:tabs>
        <w:spacing w:after="120" w:line="276" w:lineRule="auto"/>
        <w:jc w:val="both"/>
        <w:rPr>
          <w:rFonts w:ascii="Arial" w:eastAsia="Calibri" w:hAnsi="Arial" w:cs="Arial"/>
          <w:sz w:val="22"/>
          <w:lang w:val="es-ES_tradnl"/>
        </w:rPr>
      </w:pPr>
      <w:r w:rsidRPr="00296C72">
        <w:rPr>
          <w:rFonts w:ascii="Arial" w:eastAsia="Calibri" w:hAnsi="Arial" w:cs="Arial"/>
          <w:sz w:val="22"/>
          <w:lang w:val="es-ES_tradnl"/>
        </w:rPr>
        <w:t xml:space="preserve">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3DB8CEA3" w14:textId="77777777" w:rsidR="00296C72" w:rsidRPr="00C55BEA" w:rsidRDefault="00296C72" w:rsidP="00296C72">
      <w:pPr>
        <w:tabs>
          <w:tab w:val="left" w:pos="426"/>
        </w:tabs>
        <w:spacing w:after="120" w:line="276" w:lineRule="auto"/>
        <w:jc w:val="both"/>
        <w:rPr>
          <w:rFonts w:ascii="Arial" w:eastAsia="Calibri" w:hAnsi="Arial" w:cs="Arial"/>
          <w:sz w:val="22"/>
          <w:lang w:val="es-ES_tradnl"/>
        </w:rPr>
      </w:pPr>
      <w:r w:rsidRPr="00683C6A">
        <w:rPr>
          <w:rFonts w:ascii="Arial" w:eastAsia="Calibri" w:hAnsi="Arial" w:cs="Arial"/>
          <w:sz w:val="22"/>
          <w:lang w:val="es-ES_tradnl"/>
        </w:rPr>
        <w:t>Si bien, dentro de la historia de la contratación pública en Colombia, se vislumbran antecedentes normativos que consagraban dicho principio</w:t>
      </w:r>
      <w:r w:rsidRPr="00EB7DCD">
        <w:rPr>
          <w:rFonts w:ascii="Arial" w:hAnsi="Arial" w:cs="Arial"/>
          <w:sz w:val="22"/>
          <w:szCs w:val="20"/>
          <w:vertAlign w:val="superscript"/>
        </w:rPr>
        <w:footnoteReference w:id="1"/>
      </w:r>
      <w:r w:rsidRPr="00683C6A">
        <w:rPr>
          <w:rFonts w:ascii="Arial" w:eastAsia="Calibri" w:hAnsi="Arial" w:cs="Arial"/>
          <w:sz w:val="22"/>
          <w:lang w:val="es-ES_tradnl"/>
        </w:rPr>
        <w:t xml:space="preserve">, en la actualidad la disposición </w:t>
      </w:r>
      <w:r w:rsidRPr="00683C6A">
        <w:rPr>
          <w:rFonts w:ascii="Arial" w:eastAsia="Calibri" w:hAnsi="Arial" w:cs="Arial"/>
          <w:sz w:val="22"/>
          <w:lang w:val="es-ES_tradnl"/>
        </w:rPr>
        <w:lastRenderedPageBreak/>
        <w:t>legal que lo prevé de manera más clara y contundente es el artículo 5 de la Ley 1150 de 2007, modificado por el artículo 88 de la Ley 1474 de 2011 y por el artículo 5 de la Ley 1882 de 2018</w:t>
      </w:r>
      <w:r w:rsidRPr="00683C6A">
        <w:rPr>
          <w:rFonts w:ascii="Arial" w:hAnsi="Arial" w:cs="Arial"/>
          <w:sz w:val="22"/>
          <w:szCs w:val="20"/>
          <w:vertAlign w:val="superscript"/>
        </w:rPr>
        <w:footnoteReference w:id="2"/>
      </w:r>
      <w:r w:rsidRPr="00683C6A">
        <w:rPr>
          <w:rFonts w:ascii="Arial" w:eastAsia="Calibri" w:hAnsi="Arial" w:cs="Arial"/>
          <w:sz w:val="22"/>
          <w:lang w:val="es-ES_tradnl"/>
        </w:rPr>
        <w:t xml:space="preserve">. </w:t>
      </w:r>
    </w:p>
    <w:p w14:paraId="75DC2717" w14:textId="77777777" w:rsidR="00296C72" w:rsidRPr="00296C72" w:rsidRDefault="00296C72" w:rsidP="00296C72">
      <w:pPr>
        <w:tabs>
          <w:tab w:val="left" w:pos="426"/>
        </w:tabs>
        <w:spacing w:after="120" w:line="276" w:lineRule="auto"/>
        <w:jc w:val="both"/>
        <w:rPr>
          <w:rFonts w:ascii="Arial" w:eastAsia="Calibri" w:hAnsi="Arial" w:cs="Arial"/>
          <w:sz w:val="22"/>
          <w:lang w:val="es-ES_tradnl"/>
        </w:rPr>
      </w:pPr>
      <w:r w:rsidRPr="00296C72">
        <w:rPr>
          <w:rFonts w:ascii="Arial" w:eastAsia="Calibri" w:hAnsi="Arial" w:cs="Arial"/>
          <w:sz w:val="22"/>
          <w:lang w:val="es-ES_tradnl"/>
        </w:rPr>
        <w:lastRenderedPageBreak/>
        <w:t xml:space="preserve">Así mismo, la Ley 80 de 1993 se refiere a la selección objetiva en varios apartados normativos,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19D4A26E" w14:textId="77777777" w:rsidR="00296C72" w:rsidRPr="00296C72" w:rsidRDefault="00296C72" w:rsidP="00296C72">
      <w:pPr>
        <w:spacing w:after="120" w:line="276" w:lineRule="auto"/>
        <w:ind w:firstLine="709"/>
        <w:jc w:val="both"/>
        <w:rPr>
          <w:rFonts w:ascii="Arial" w:eastAsia="Calibri" w:hAnsi="Arial" w:cs="Arial"/>
          <w:sz w:val="22"/>
          <w:lang w:val="es-ES_tradnl"/>
        </w:rPr>
      </w:pPr>
      <w:r w:rsidRPr="00296C72">
        <w:rPr>
          <w:rFonts w:ascii="Arial" w:eastAsia="Calibri" w:hAnsi="Arial" w:cs="Arial"/>
          <w:sz w:val="22"/>
          <w:lang w:val="es-ES_tradnl"/>
        </w:rPr>
        <w:lastRenderedPageBreak/>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ii)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 o iii)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14:paraId="0D682038" w14:textId="77777777" w:rsidR="00296C72" w:rsidRPr="00296C72" w:rsidRDefault="00296C72" w:rsidP="00296C72">
      <w:pPr>
        <w:spacing w:after="120" w:line="276" w:lineRule="auto"/>
        <w:ind w:firstLine="709"/>
        <w:jc w:val="both"/>
        <w:rPr>
          <w:rFonts w:ascii="Arial" w:eastAsia="Calibri" w:hAnsi="Arial" w:cs="Arial"/>
          <w:sz w:val="22"/>
          <w:lang w:val="es-ES_tradnl"/>
        </w:rPr>
      </w:pPr>
      <w:r w:rsidRPr="00296C72">
        <w:rPr>
          <w:rFonts w:ascii="Arial" w:eastAsia="Calibri" w:hAnsi="Arial" w:cs="Arial"/>
          <w:sz w:val="22"/>
          <w:lang w:val="es-ES_tradnl"/>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296C72">
        <w:rPr>
          <w:rStyle w:val="Refdenotaalpie"/>
          <w:rFonts w:ascii="Arial" w:eastAsia="Calibri" w:hAnsi="Arial" w:cs="Arial"/>
          <w:sz w:val="22"/>
          <w:lang w:val="es-ES_tradnl"/>
        </w:rPr>
        <w:footnoteReference w:id="3"/>
      </w:r>
      <w:r w:rsidRPr="00296C72">
        <w:rPr>
          <w:rFonts w:ascii="Arial" w:eastAsia="Calibri" w:hAnsi="Arial" w:cs="Arial"/>
          <w:sz w:val="22"/>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296C72">
        <w:rPr>
          <w:rStyle w:val="Refdenotaalpie"/>
          <w:rFonts w:ascii="Arial" w:eastAsia="Calibri" w:hAnsi="Arial" w:cs="Arial"/>
          <w:sz w:val="22"/>
          <w:lang w:val="es-ES_tradnl"/>
        </w:rPr>
        <w:footnoteReference w:id="4"/>
      </w:r>
      <w:r w:rsidRPr="00296C72">
        <w:rPr>
          <w:rFonts w:ascii="Arial" w:eastAsia="Calibri" w:hAnsi="Arial" w:cs="Arial"/>
          <w:sz w:val="22"/>
          <w:lang w:val="es-ES_tradnl"/>
        </w:rPr>
        <w:t>.</w:t>
      </w:r>
    </w:p>
    <w:p w14:paraId="6EA8B80B" w14:textId="77777777" w:rsidR="00296C72" w:rsidRPr="00296C72" w:rsidRDefault="00296C72" w:rsidP="00296C72">
      <w:pPr>
        <w:spacing w:line="276" w:lineRule="auto"/>
        <w:ind w:firstLine="709"/>
        <w:jc w:val="both"/>
        <w:rPr>
          <w:rFonts w:ascii="Arial" w:eastAsia="Calibri" w:hAnsi="Arial" w:cs="Arial"/>
          <w:sz w:val="22"/>
          <w:lang w:val="es-ES_tradnl"/>
        </w:rPr>
      </w:pPr>
      <w:r w:rsidRPr="00296C72">
        <w:rPr>
          <w:rFonts w:ascii="Arial" w:eastAsia="Calibri" w:hAnsi="Arial" w:cs="Arial"/>
          <w:sz w:val="22"/>
          <w:lang w:val="es-ES_tradnl"/>
        </w:rPr>
        <w:lastRenderedPageBreak/>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Esta regla se explica a continuación.</w:t>
      </w:r>
    </w:p>
    <w:p w14:paraId="59A96492" w14:textId="77777777" w:rsidR="00296C72" w:rsidRPr="00296C72" w:rsidRDefault="00296C72" w:rsidP="00296C72">
      <w:pPr>
        <w:spacing w:line="276" w:lineRule="auto"/>
        <w:jc w:val="both"/>
        <w:rPr>
          <w:rFonts w:ascii="Arial" w:hAnsi="Arial" w:cs="Arial"/>
          <w:sz w:val="22"/>
        </w:rPr>
      </w:pPr>
    </w:p>
    <w:p w14:paraId="52842881" w14:textId="77777777" w:rsidR="00296C72" w:rsidRPr="00296C72" w:rsidRDefault="00296C72" w:rsidP="00296C72">
      <w:pPr>
        <w:spacing w:line="276" w:lineRule="auto"/>
        <w:jc w:val="both"/>
        <w:rPr>
          <w:rFonts w:ascii="Arial" w:hAnsi="Arial" w:cs="Arial"/>
          <w:b/>
          <w:bCs/>
          <w:sz w:val="22"/>
        </w:rPr>
      </w:pPr>
      <w:r w:rsidRPr="00296C72">
        <w:rPr>
          <w:rFonts w:ascii="Arial" w:hAnsi="Arial" w:cs="Arial"/>
          <w:b/>
          <w:bCs/>
          <w:sz w:val="22"/>
        </w:rPr>
        <w:t>2.2. Regla de la subsanabilidad en los procedimientos de selección: su aplicación a la mínima cuantía</w:t>
      </w:r>
    </w:p>
    <w:p w14:paraId="3312B32F" w14:textId="77777777" w:rsidR="00296C72" w:rsidRPr="00296C72" w:rsidRDefault="00296C72" w:rsidP="00296C72">
      <w:pPr>
        <w:spacing w:line="276" w:lineRule="auto"/>
        <w:jc w:val="both"/>
        <w:rPr>
          <w:rFonts w:ascii="Arial" w:hAnsi="Arial" w:cs="Arial"/>
          <w:sz w:val="22"/>
        </w:rPr>
      </w:pPr>
    </w:p>
    <w:p w14:paraId="6F70CF23" w14:textId="77777777" w:rsidR="00296C72" w:rsidRPr="00296C72" w:rsidRDefault="00296C72" w:rsidP="00296C72">
      <w:pPr>
        <w:spacing w:after="120" w:line="276" w:lineRule="auto"/>
        <w:jc w:val="both"/>
        <w:rPr>
          <w:rFonts w:ascii="Arial" w:hAnsi="Arial" w:cs="Arial"/>
          <w:sz w:val="22"/>
          <w:lang w:val="es-ES_tradnl"/>
        </w:rPr>
      </w:pPr>
      <w:r w:rsidRPr="00296C72">
        <w:rPr>
          <w:rFonts w:ascii="Arial" w:hAnsi="Arial" w:cs="Arial"/>
          <w:sz w:val="22"/>
          <w:lang w:val="es-ES_tradnl"/>
        </w:rPr>
        <w:t xml:space="preserve">Esta Subdirección se ha pronunciado en diversas oportunidades acerca del alcance de la regla de la subsanabilidad, contenida actualmente en el artículo 5 de la Ley 1150 de 2007. Al respecto, la postura que se reitera en el presente concepto es la siguiente: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55C77357" w14:textId="24958799"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En efecto, la Agencia Nacional de Contratación Pública – Colombia Compra Eficiente, en el concepto con radicado No. 4201913000006471 del 28 de octubre de 2019, analizó el régimen jurídico de la subsanabilidad. De igual forma, en los conceptos con radicado No. 4201912000006711 del 12 de noviembre de 2019 y 4201912000006496 del 15 de noviembre de 2019 </w:t>
      </w:r>
      <w:r w:rsidR="002A466F">
        <w:rPr>
          <w:rFonts w:ascii="Arial" w:hAnsi="Arial" w:cs="Arial"/>
          <w:sz w:val="22"/>
          <w:lang w:val="es-ES_tradnl"/>
        </w:rPr>
        <w:t xml:space="preserve">se </w:t>
      </w:r>
      <w:r w:rsidRPr="00296C72">
        <w:rPr>
          <w:rFonts w:ascii="Arial" w:hAnsi="Arial" w:cs="Arial"/>
          <w:sz w:val="22"/>
          <w:lang w:val="es-ES_tradnl"/>
        </w:rPr>
        <w:t xml:space="preserve">reiteró el desarrollo normativo y jurisprudencial para subsanar los errores de los documentos presentados en la oferta. La tesis propuesta en estos conceptos es la que se expone a continuación: </w:t>
      </w:r>
    </w:p>
    <w:p w14:paraId="5FA0B3BC"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La posibilidad de enmendar, corregir o subsanar los errores en los que se incurre en los documentos contentivos de la oferta es un tema que ha tenido diferentes momentos o etapas en el ordenamiento jurídico colombiano. </w:t>
      </w:r>
    </w:p>
    <w:p w14:paraId="331C190D" w14:textId="77777777" w:rsidR="00296C72" w:rsidRPr="00296C72" w:rsidRDefault="00296C72" w:rsidP="00296C72">
      <w:pPr>
        <w:spacing w:line="276" w:lineRule="auto"/>
        <w:ind w:firstLine="709"/>
        <w:jc w:val="both"/>
        <w:rPr>
          <w:rFonts w:ascii="Arial" w:hAnsi="Arial" w:cs="Arial"/>
          <w:sz w:val="22"/>
          <w:lang w:val="es-ES_tradnl"/>
        </w:rPr>
      </w:pPr>
      <w:r w:rsidRPr="00296C72">
        <w:rPr>
          <w:rFonts w:ascii="Arial" w:hAnsi="Arial" w:cs="Arial"/>
          <w:sz w:val="22"/>
          <w:lang w:val="es-ES_tradnl"/>
        </w:rPr>
        <w:t xml:space="preserve">En un </w:t>
      </w:r>
      <w:r w:rsidRPr="00296C72">
        <w:rPr>
          <w:rFonts w:ascii="Arial" w:hAnsi="Arial" w:cs="Arial"/>
          <w:i/>
          <w:sz w:val="22"/>
          <w:lang w:val="es-ES_tradnl"/>
        </w:rPr>
        <w:t>primer momento</w:t>
      </w:r>
      <w:r w:rsidRPr="00296C72">
        <w:rPr>
          <w:rFonts w:ascii="Arial" w:hAnsi="Arial" w:cs="Arial"/>
          <w:sz w:val="22"/>
          <w:lang w:val="es-ES_tradnl"/>
        </w:rPr>
        <w:t xml:space="preserve">, antes de la entrada en vigencia de la Constitución Política de 1991, el régimen jurídico de la subsanabilidad de las ofertas estaba compuesto por el </w:t>
      </w:r>
      <w:r w:rsidRPr="00296C72">
        <w:rPr>
          <w:rFonts w:ascii="Arial" w:hAnsi="Arial" w:cs="Arial"/>
          <w:sz w:val="22"/>
          <w:lang w:val="es-ES_tradnl"/>
        </w:rPr>
        <w:lastRenderedPageBreak/>
        <w:t xml:space="preserve">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57F9D4D3"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En un </w:t>
      </w:r>
      <w:r w:rsidRPr="00296C72">
        <w:rPr>
          <w:rFonts w:ascii="Arial" w:hAnsi="Arial" w:cs="Arial"/>
          <w:i/>
          <w:sz w:val="22"/>
          <w:lang w:val="es-ES_tradnl"/>
        </w:rPr>
        <w:t>segundo momento</w:t>
      </w:r>
      <w:r w:rsidRPr="00296C72">
        <w:rPr>
          <w:rFonts w:ascii="Arial" w:hAnsi="Arial" w:cs="Arial"/>
          <w:sz w:val="22"/>
          <w:lang w:val="es-ES_tradnl"/>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w:t>
      </w:r>
    </w:p>
    <w:p w14:paraId="266678F9" w14:textId="77777777" w:rsidR="00296C72" w:rsidRPr="00296C72" w:rsidRDefault="00296C72" w:rsidP="00296C72">
      <w:pPr>
        <w:spacing w:line="276" w:lineRule="auto"/>
        <w:ind w:firstLine="709"/>
        <w:jc w:val="both"/>
        <w:rPr>
          <w:rFonts w:ascii="Arial" w:hAnsi="Arial" w:cs="Arial"/>
          <w:sz w:val="22"/>
          <w:lang w:val="es-ES_tradnl"/>
        </w:rPr>
      </w:pPr>
      <w:r w:rsidRPr="00296C72">
        <w:rPr>
          <w:rFonts w:ascii="Arial" w:hAnsi="Arial" w:cs="Arial"/>
          <w:sz w:val="22"/>
          <w:lang w:val="es-ES_tradnl"/>
        </w:rPr>
        <w:t xml:space="preserve">En este nuevo escenario constitucional, el numeral 15 del artículo 25 de la Ley 80 de 1993 dispuso lo siguiente: </w:t>
      </w:r>
    </w:p>
    <w:p w14:paraId="443BA586" w14:textId="77777777" w:rsidR="00296C72" w:rsidRPr="00296C72" w:rsidRDefault="00296C72" w:rsidP="00296C72">
      <w:pPr>
        <w:spacing w:line="276" w:lineRule="auto"/>
        <w:jc w:val="both"/>
        <w:rPr>
          <w:rFonts w:ascii="Arial" w:hAnsi="Arial" w:cs="Arial"/>
          <w:sz w:val="22"/>
          <w:lang w:val="es-ES_tradnl"/>
        </w:rPr>
      </w:pPr>
    </w:p>
    <w:p w14:paraId="3F49E0F1" w14:textId="77777777" w:rsidR="00296C72" w:rsidRPr="00296C72" w:rsidRDefault="00296C72" w:rsidP="00296C72">
      <w:pPr>
        <w:ind w:left="709" w:right="709"/>
        <w:jc w:val="both"/>
        <w:rPr>
          <w:rFonts w:ascii="Arial" w:hAnsi="Arial" w:cs="Arial"/>
          <w:sz w:val="21"/>
          <w:szCs w:val="21"/>
          <w:lang w:val="es-ES_tradnl"/>
        </w:rPr>
      </w:pPr>
      <w:r w:rsidRPr="00296C72">
        <w:rPr>
          <w:rFonts w:ascii="Arial" w:hAnsi="Arial" w:cs="Arial"/>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10476089" w14:textId="77777777" w:rsidR="00296C72" w:rsidRPr="00296C72" w:rsidRDefault="00296C72" w:rsidP="00296C72">
      <w:pPr>
        <w:ind w:left="709" w:right="709"/>
        <w:jc w:val="both"/>
        <w:rPr>
          <w:rFonts w:ascii="Arial" w:hAnsi="Arial" w:cs="Arial"/>
          <w:sz w:val="21"/>
          <w:szCs w:val="21"/>
          <w:lang w:val="es-ES_tradnl"/>
        </w:rPr>
      </w:pPr>
      <w:r w:rsidRPr="00296C72">
        <w:rPr>
          <w:rFonts w:ascii="Arial" w:hAnsi="Arial" w:cs="Arial"/>
          <w:sz w:val="21"/>
          <w:szCs w:val="21"/>
          <w:lang w:val="es-ES_tradnl"/>
        </w:rPr>
        <w:t xml:space="preserve"> </w:t>
      </w:r>
    </w:p>
    <w:p w14:paraId="1D4F193A" w14:textId="77777777" w:rsidR="00296C72" w:rsidRPr="00296C72" w:rsidRDefault="00296C72" w:rsidP="00296C72">
      <w:pPr>
        <w:ind w:left="709" w:right="709"/>
        <w:jc w:val="both"/>
        <w:rPr>
          <w:rFonts w:ascii="Arial" w:hAnsi="Arial" w:cs="Arial"/>
          <w:sz w:val="21"/>
          <w:szCs w:val="21"/>
          <w:lang w:val="es-ES_tradnl"/>
        </w:rPr>
      </w:pPr>
      <w:r w:rsidRPr="00296C72">
        <w:rPr>
          <w:rFonts w:ascii="Arial" w:hAnsi="Arial" w:cs="Arial"/>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7E87750C" w14:textId="77777777" w:rsidR="00296C72" w:rsidRPr="00296C72" w:rsidRDefault="00296C72" w:rsidP="00296C72">
      <w:pPr>
        <w:spacing w:line="276" w:lineRule="auto"/>
        <w:jc w:val="both"/>
        <w:rPr>
          <w:rFonts w:ascii="Arial" w:hAnsi="Arial" w:cs="Arial"/>
          <w:b/>
          <w:sz w:val="22"/>
          <w:lang w:val="es-ES_tradnl"/>
        </w:rPr>
      </w:pPr>
    </w:p>
    <w:p w14:paraId="2DA2494B"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Bajo el amparo de esta norma, el régimen jurídico de subsanabilidad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45E28681"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Esta norma debía leerse en conjunto con otras de la Ley 80 de 1993, particularmente con el artículo 30.7</w:t>
      </w:r>
      <w:r w:rsidRPr="00296C72">
        <w:rPr>
          <w:rStyle w:val="Refdenotaalpie"/>
          <w:rFonts w:ascii="Arial" w:hAnsi="Arial" w:cs="Arial"/>
          <w:sz w:val="22"/>
          <w:lang w:val="es-ES_tradnl"/>
        </w:rPr>
        <w:footnoteReference w:id="5"/>
      </w:r>
      <w:r w:rsidRPr="00296C72">
        <w:rPr>
          <w:rFonts w:ascii="Arial" w:hAnsi="Arial" w:cs="Arial"/>
          <w:sz w:val="22"/>
          <w:lang w:val="es-ES_tradnl"/>
        </w:rPr>
        <w:t xml:space="preserve">, que ordena a la entidad señalar un plazo razonable para evaluar las propuestas y para pedir a los proponentes, de ser necesario, que aclaren o expliquen aspectos que ofrezcan dudas y resulten indispensables para llevar a cabo la evaluación; y </w:t>
      </w:r>
      <w:r w:rsidRPr="00296C72">
        <w:rPr>
          <w:rFonts w:ascii="Arial" w:hAnsi="Arial" w:cs="Arial"/>
          <w:sz w:val="22"/>
          <w:lang w:val="es-ES_tradnl"/>
        </w:rPr>
        <w:lastRenderedPageBreak/>
        <w:t>con el artículo 30.8</w:t>
      </w:r>
      <w:r w:rsidRPr="00296C72">
        <w:rPr>
          <w:rStyle w:val="Refdenotaalpie"/>
          <w:rFonts w:ascii="Arial" w:hAnsi="Arial" w:cs="Arial"/>
          <w:sz w:val="22"/>
          <w:lang w:val="es-ES_tradnl"/>
        </w:rPr>
        <w:footnoteReference w:id="6"/>
      </w:r>
      <w:r w:rsidRPr="00296C72">
        <w:rPr>
          <w:rFonts w:ascii="Arial" w:hAnsi="Arial" w:cs="Arial"/>
          <w:sz w:val="22"/>
          <w:lang w:val="es-ES_tradnl"/>
        </w:rPr>
        <w:t xml:space="preserve">, que consagró el término de 5 días hábiles para que los oferentes presenten observaciones al informe de evaluación de las propuestas, sin que sea posible completar, adicionar, modificar o mejorar su oferta.  </w:t>
      </w:r>
    </w:p>
    <w:p w14:paraId="1E4EEEEA"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553037A3" w14:textId="77777777" w:rsidR="00296C72" w:rsidRPr="00296C72" w:rsidRDefault="00296C72" w:rsidP="00296C72">
      <w:pPr>
        <w:spacing w:line="276" w:lineRule="auto"/>
        <w:ind w:firstLine="709"/>
        <w:jc w:val="both"/>
        <w:rPr>
          <w:rFonts w:ascii="Arial" w:hAnsi="Arial" w:cs="Arial"/>
          <w:sz w:val="22"/>
          <w:lang w:val="es-ES_tradnl"/>
        </w:rPr>
      </w:pPr>
      <w:r w:rsidRPr="00296C72">
        <w:rPr>
          <w:rFonts w:ascii="Arial" w:hAnsi="Arial" w:cs="Arial"/>
          <w:sz w:val="22"/>
          <w:lang w:val="es-ES_tradnl"/>
        </w:rPr>
        <w:t xml:space="preserve">En un </w:t>
      </w:r>
      <w:r w:rsidRPr="00296C72">
        <w:rPr>
          <w:rFonts w:ascii="Arial" w:hAnsi="Arial" w:cs="Arial"/>
          <w:i/>
          <w:sz w:val="22"/>
          <w:lang w:val="es-ES_tradnl"/>
        </w:rPr>
        <w:t>tercer momento</w:t>
      </w:r>
      <w:r w:rsidRPr="00296C72">
        <w:rPr>
          <w:rFonts w:ascii="Arial" w:hAnsi="Arial" w:cs="Arial"/>
          <w:sz w:val="22"/>
          <w:lang w:val="es-ES_tradnl"/>
        </w:rPr>
        <w:t xml:space="preserve">, y siguiendo la línea trazada por la Ley 80 de 1993, el legislador expidió la Ley 1150 de 2007, que, en el parágrafo 1º del artículo 5, determinó lo siguiente: </w:t>
      </w:r>
    </w:p>
    <w:p w14:paraId="35D33DA2" w14:textId="77777777" w:rsidR="00296C72" w:rsidRPr="00296C72" w:rsidRDefault="00296C72" w:rsidP="00296C72">
      <w:pPr>
        <w:spacing w:line="276" w:lineRule="auto"/>
        <w:jc w:val="both"/>
        <w:rPr>
          <w:rFonts w:ascii="Arial" w:hAnsi="Arial" w:cs="Arial"/>
          <w:sz w:val="22"/>
          <w:lang w:val="es-ES_tradnl"/>
        </w:rPr>
      </w:pPr>
    </w:p>
    <w:p w14:paraId="03F04C64" w14:textId="77777777" w:rsidR="00296C72" w:rsidRPr="00296C72" w:rsidRDefault="00296C72" w:rsidP="00296C72">
      <w:pPr>
        <w:ind w:left="709" w:right="709"/>
        <w:jc w:val="both"/>
        <w:rPr>
          <w:rFonts w:ascii="Arial" w:hAnsi="Arial" w:cs="Arial"/>
          <w:sz w:val="22"/>
          <w:lang w:val="es-ES_tradnl"/>
        </w:rPr>
      </w:pPr>
      <w:r w:rsidRPr="00296C72">
        <w:rPr>
          <w:rFonts w:ascii="Arial" w:hAnsi="Arial" w:cs="Arial"/>
          <w:sz w:val="22"/>
          <w:lang w:val="es-ES_tradnl"/>
        </w:rPr>
        <w:t xml:space="preserve">Parágrafo 1°. La ausencia de requisitos o la falta de documentos referentes a la futura </w:t>
      </w:r>
      <w:r w:rsidRPr="00296C72">
        <w:rPr>
          <w:rFonts w:ascii="Arial" w:hAnsi="Arial" w:cs="Arial"/>
          <w:sz w:val="21"/>
          <w:szCs w:val="21"/>
          <w:lang w:val="es-ES_tradnl"/>
        </w:rPr>
        <w:t>contratación</w:t>
      </w:r>
      <w:r w:rsidRPr="00296C72">
        <w:rPr>
          <w:rFonts w:ascii="Arial" w:hAnsi="Arial" w:cs="Arial"/>
          <w:sz w:val="22"/>
          <w:lang w:val="es-ES_tradnl"/>
        </w:rPr>
        <w:t xml:space="preserve"> o al proponente, no necesarios para la comparación de las propuestas no servirán de título suficiente para el rechazo de los ofrecimientos hechos. En consecuencia</w:t>
      </w:r>
      <w:r w:rsidRPr="00296C72">
        <w:rPr>
          <w:rFonts w:ascii="Arial" w:hAnsi="Arial" w:cs="Arial"/>
          <w:b/>
          <w:sz w:val="22"/>
          <w:lang w:val="es-ES_tradnl"/>
        </w:rPr>
        <w:t xml:space="preserve">, </w:t>
      </w:r>
      <w:r w:rsidRPr="00296C72">
        <w:rPr>
          <w:rFonts w:ascii="Arial" w:hAnsi="Arial" w:cs="Arial"/>
          <w:sz w:val="22"/>
          <w:lang w:val="es-ES_tradnl"/>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34AF5851" w14:textId="77777777" w:rsidR="00296C72" w:rsidRPr="00296C72" w:rsidRDefault="00296C72" w:rsidP="00296C72">
      <w:pPr>
        <w:spacing w:line="276" w:lineRule="auto"/>
        <w:jc w:val="both"/>
        <w:rPr>
          <w:rFonts w:ascii="Arial" w:hAnsi="Arial" w:cs="Arial"/>
          <w:b/>
          <w:sz w:val="22"/>
          <w:lang w:val="es-ES_tradnl"/>
        </w:rPr>
      </w:pPr>
    </w:p>
    <w:p w14:paraId="45DBF9E9"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230F3B5C"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w:t>
      </w:r>
    </w:p>
    <w:p w14:paraId="1A64F87D"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Si, al verificar la Administración, encuentra que lo omitido por el proponente es un aspecto que otorga puntaje, no es posible subsanarlo; pero, si lo omitido no otorga puntaje, la Administración debe requerir al proponente para que lo subsane.  </w:t>
      </w:r>
    </w:p>
    <w:p w14:paraId="2E9D9280" w14:textId="77777777" w:rsidR="00296C72" w:rsidRPr="00296C72" w:rsidRDefault="00296C72" w:rsidP="00296C72">
      <w:pPr>
        <w:spacing w:line="276" w:lineRule="auto"/>
        <w:ind w:firstLine="709"/>
        <w:jc w:val="both"/>
        <w:rPr>
          <w:rFonts w:ascii="Arial" w:hAnsi="Arial" w:cs="Arial"/>
          <w:sz w:val="22"/>
          <w:lang w:val="es-ES_tradnl"/>
        </w:rPr>
      </w:pPr>
      <w:r w:rsidRPr="00296C72">
        <w:rPr>
          <w:rFonts w:ascii="Arial" w:hAnsi="Arial" w:cs="Arial"/>
          <w:sz w:val="22"/>
          <w:lang w:val="es-ES_tradnl"/>
        </w:rPr>
        <w:t xml:space="preserve">El artículo 5 de la Ley 1150 de 2007, además de consagrar un criterio más claro, y, de paso, reducir la discrecionalidad de la Administración, fijó un ámbito temporal para la </w:t>
      </w:r>
      <w:r w:rsidRPr="00296C72">
        <w:rPr>
          <w:rFonts w:ascii="Arial" w:hAnsi="Arial" w:cs="Arial"/>
          <w:sz w:val="22"/>
          <w:lang w:val="es-ES_tradnl"/>
        </w:rPr>
        <w:lastRenderedPageBreak/>
        <w:t xml:space="preserve">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6E0A1017" w14:textId="77777777" w:rsidR="00296C72" w:rsidRPr="00296C72" w:rsidRDefault="00296C72" w:rsidP="00296C72">
      <w:pPr>
        <w:spacing w:line="276" w:lineRule="auto"/>
        <w:jc w:val="both"/>
        <w:rPr>
          <w:rFonts w:ascii="Arial" w:hAnsi="Arial" w:cs="Arial"/>
          <w:sz w:val="22"/>
          <w:lang w:val="es-ES_tradnl"/>
        </w:rPr>
      </w:pPr>
    </w:p>
    <w:p w14:paraId="13182929" w14:textId="77777777" w:rsidR="00296C72" w:rsidRPr="00296C72" w:rsidRDefault="00296C72" w:rsidP="00296C72">
      <w:pPr>
        <w:ind w:left="709" w:right="709"/>
        <w:jc w:val="both"/>
        <w:rPr>
          <w:rFonts w:ascii="Arial" w:hAnsi="Arial" w:cs="Arial"/>
          <w:sz w:val="21"/>
          <w:szCs w:val="21"/>
          <w:lang w:val="es-ES_tradnl"/>
        </w:rPr>
      </w:pPr>
      <w:r w:rsidRPr="00296C72">
        <w:rPr>
          <w:rFonts w:ascii="Arial" w:hAnsi="Arial" w:cs="Arial"/>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296C72">
        <w:rPr>
          <w:rStyle w:val="Refdenotaalpie"/>
          <w:rFonts w:ascii="Arial" w:hAnsi="Arial" w:cs="Arial"/>
          <w:sz w:val="21"/>
          <w:szCs w:val="21"/>
          <w:lang w:val="es-ES_tradnl"/>
        </w:rPr>
        <w:footnoteReference w:id="7"/>
      </w:r>
      <w:r w:rsidRPr="00296C72">
        <w:rPr>
          <w:rFonts w:ascii="Arial" w:hAnsi="Arial" w:cs="Arial"/>
          <w:sz w:val="21"/>
          <w:szCs w:val="21"/>
          <w:lang w:val="es-ES_tradnl"/>
        </w:rPr>
        <w:t>.</w:t>
      </w:r>
    </w:p>
    <w:p w14:paraId="20EFC577" w14:textId="77777777" w:rsidR="00296C72" w:rsidRPr="00296C72" w:rsidRDefault="00296C72" w:rsidP="00296C72">
      <w:pPr>
        <w:spacing w:line="276" w:lineRule="auto"/>
        <w:jc w:val="both"/>
        <w:rPr>
          <w:rFonts w:ascii="Arial" w:hAnsi="Arial" w:cs="Arial"/>
          <w:b/>
          <w:sz w:val="22"/>
          <w:lang w:val="es-ES_tradnl"/>
        </w:rPr>
      </w:pPr>
    </w:p>
    <w:p w14:paraId="29772938" w14:textId="77777777" w:rsidR="00296C72" w:rsidRPr="00296C72" w:rsidRDefault="00296C72" w:rsidP="00296C72">
      <w:pPr>
        <w:pStyle w:val="Textoindependiente"/>
        <w:tabs>
          <w:tab w:val="left" w:pos="284"/>
        </w:tabs>
        <w:spacing w:after="120"/>
        <w:ind w:firstLine="709"/>
        <w:jc w:val="both"/>
        <w:rPr>
          <w:rFonts w:eastAsiaTheme="minorHAnsi"/>
          <w:lang w:val="es-ES_tradnl"/>
        </w:rPr>
      </w:pPr>
      <w:r w:rsidRPr="00296C72">
        <w:rPr>
          <w:rFonts w:eastAsiaTheme="minorHAnsi"/>
          <w:lang w:val="es-ES_tradnl"/>
        </w:rPr>
        <w:t xml:space="preserve">Esa interpretación fue compartida por la </w:t>
      </w:r>
      <w:r w:rsidRPr="00296C72">
        <w:rPr>
          <w:lang w:val="es-ES_tradnl"/>
        </w:rPr>
        <w:t>Agencia Nacional de Contratación Pública – Colombia Compra Eficiente –</w:t>
      </w:r>
      <w:r w:rsidRPr="00296C72">
        <w:rPr>
          <w:rFonts w:eastAsiaTheme="minorHAnsi"/>
          <w:lang w:val="es-ES_tradnl"/>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5B750BA7" w14:textId="77777777" w:rsidR="00296C72" w:rsidRPr="00296C72" w:rsidRDefault="00296C72" w:rsidP="00296C72">
      <w:pPr>
        <w:pStyle w:val="Textoindependiente"/>
        <w:tabs>
          <w:tab w:val="left" w:pos="284"/>
        </w:tabs>
        <w:ind w:firstLine="709"/>
        <w:jc w:val="both"/>
        <w:rPr>
          <w:rFonts w:eastAsiaTheme="minorHAnsi"/>
          <w:lang w:val="es-ES_tradnl"/>
        </w:rPr>
      </w:pPr>
      <w:r w:rsidRPr="00296C72">
        <w:rPr>
          <w:lang w:val="es-ES_tradnl"/>
        </w:rPr>
        <w:t xml:space="preserve">En un </w:t>
      </w:r>
      <w:r w:rsidRPr="00296C72">
        <w:rPr>
          <w:i/>
          <w:lang w:val="es-ES_tradnl"/>
        </w:rPr>
        <w:t>cuarto momento</w:t>
      </w:r>
      <w:r w:rsidRPr="00296C72">
        <w:rPr>
          <w:lang w:val="es-ES_tradnl"/>
        </w:rPr>
        <w:t xml:space="preserve">, el legislador expidió la Ley 1882 de 2018, con la finalidad de introducir cambios y ajustes para fortalecer la contratación pública. El artículo 5 modificó el parágrafo 1º del artículo 5 de la Ley 1150 de 2007: </w:t>
      </w:r>
    </w:p>
    <w:p w14:paraId="344CFC5B" w14:textId="77777777" w:rsidR="00296C72" w:rsidRPr="00296C72" w:rsidRDefault="00296C72" w:rsidP="00296C72">
      <w:pPr>
        <w:spacing w:line="276" w:lineRule="auto"/>
        <w:jc w:val="both"/>
        <w:rPr>
          <w:rFonts w:ascii="Arial" w:hAnsi="Arial" w:cs="Arial"/>
          <w:sz w:val="22"/>
          <w:lang w:val="es-ES_tradnl"/>
        </w:rPr>
      </w:pPr>
    </w:p>
    <w:p w14:paraId="0879FE1D" w14:textId="77777777" w:rsidR="00296C72" w:rsidRPr="00296C72" w:rsidRDefault="00296C72" w:rsidP="00296C72">
      <w:pPr>
        <w:ind w:left="709" w:right="709"/>
        <w:jc w:val="both"/>
        <w:rPr>
          <w:rFonts w:ascii="Arial" w:hAnsi="Arial" w:cs="Arial"/>
          <w:sz w:val="21"/>
          <w:szCs w:val="21"/>
          <w:lang w:val="es-ES_tradnl"/>
        </w:rPr>
      </w:pPr>
      <w:r w:rsidRPr="00296C72">
        <w:rPr>
          <w:rFonts w:ascii="Arial" w:hAnsi="Arial" w:cs="Arial"/>
          <w:sz w:val="21"/>
          <w:szCs w:val="21"/>
          <w:lang w:val="es-ES_tradnl"/>
        </w:rPr>
        <w:t xml:space="preserve">Artículo 5°. De la selección objetiva. </w:t>
      </w:r>
    </w:p>
    <w:p w14:paraId="4B1643D9" w14:textId="77777777" w:rsidR="00296C72" w:rsidRPr="00296C72" w:rsidRDefault="00296C72" w:rsidP="00296C72">
      <w:pPr>
        <w:ind w:left="709" w:right="709"/>
        <w:jc w:val="both"/>
        <w:rPr>
          <w:rFonts w:ascii="Arial" w:hAnsi="Arial" w:cs="Arial"/>
          <w:sz w:val="21"/>
          <w:szCs w:val="21"/>
          <w:lang w:val="es-ES_tradnl"/>
        </w:rPr>
      </w:pPr>
      <w:r w:rsidRPr="00296C72">
        <w:rPr>
          <w:rFonts w:ascii="Arial" w:hAnsi="Arial" w:cs="Arial"/>
          <w:sz w:val="21"/>
          <w:szCs w:val="21"/>
          <w:lang w:val="es-ES_tradnl"/>
        </w:rPr>
        <w:t xml:space="preserve">(... ) </w:t>
      </w:r>
    </w:p>
    <w:p w14:paraId="3035C735" w14:textId="77777777" w:rsidR="00296C72" w:rsidRPr="00296C72" w:rsidRDefault="00296C72" w:rsidP="00296C72">
      <w:pPr>
        <w:ind w:left="709" w:right="709"/>
        <w:jc w:val="both"/>
        <w:rPr>
          <w:rFonts w:ascii="Arial" w:hAnsi="Arial" w:cs="Arial"/>
          <w:sz w:val="21"/>
          <w:szCs w:val="21"/>
          <w:lang w:val="es-ES_tradnl"/>
        </w:rPr>
      </w:pPr>
    </w:p>
    <w:p w14:paraId="1A27FAE6" w14:textId="77777777" w:rsidR="00296C72" w:rsidRPr="00296C72" w:rsidRDefault="00296C72" w:rsidP="00296C72">
      <w:pPr>
        <w:ind w:left="709" w:right="709"/>
        <w:jc w:val="both"/>
        <w:rPr>
          <w:rFonts w:ascii="Arial" w:hAnsi="Arial" w:cs="Arial"/>
          <w:sz w:val="21"/>
          <w:szCs w:val="21"/>
          <w:lang w:val="es-ES_tradnl"/>
        </w:rPr>
      </w:pPr>
      <w:r w:rsidRPr="00296C72">
        <w:rPr>
          <w:rFonts w:ascii="Arial" w:hAnsi="Arial" w:cs="Arial"/>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0AD0F757" w14:textId="77777777" w:rsidR="00296C72" w:rsidRPr="00296C72" w:rsidRDefault="00296C72" w:rsidP="00296C72">
      <w:pPr>
        <w:spacing w:line="276" w:lineRule="auto"/>
        <w:jc w:val="both"/>
        <w:rPr>
          <w:rFonts w:ascii="Arial" w:hAnsi="Arial" w:cs="Arial"/>
          <w:b/>
          <w:sz w:val="22"/>
          <w:lang w:val="es-ES_tradnl"/>
        </w:rPr>
      </w:pPr>
    </w:p>
    <w:p w14:paraId="0DAD7769"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 </w:t>
      </w:r>
    </w:p>
    <w:p w14:paraId="52CAB077"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296C72">
        <w:rPr>
          <w:rFonts w:ascii="Arial" w:eastAsia="Calibri" w:hAnsi="Arial" w:cs="Arial"/>
          <w:sz w:val="22"/>
          <w:lang w:val="es-ES_tradnl"/>
        </w:rPr>
        <w:t>de selección a través del sistema de subasta</w:t>
      </w:r>
      <w:r w:rsidRPr="00296C72">
        <w:rPr>
          <w:rStyle w:val="Refdenotaalpie"/>
          <w:rFonts w:ascii="Arial" w:eastAsia="Calibri" w:hAnsi="Arial" w:cs="Arial"/>
          <w:sz w:val="22"/>
          <w:lang w:val="es-ES_tradnl"/>
        </w:rPr>
        <w:footnoteReference w:id="8"/>
      </w:r>
      <w:r w:rsidRPr="00296C72">
        <w:rPr>
          <w:rFonts w:ascii="Arial" w:eastAsia="Calibri" w:hAnsi="Arial" w:cs="Arial"/>
          <w:sz w:val="22"/>
          <w:lang w:val="es-ES_tradnl"/>
        </w:rPr>
        <w:t xml:space="preserve">; en el último los documentos o requisitos subsanables pueden y deben solicitarse hasta el momento previo a su realización.  </w:t>
      </w:r>
    </w:p>
    <w:p w14:paraId="44E09D59"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78012A2F"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5FBC3885"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 </w:t>
      </w:r>
    </w:p>
    <w:p w14:paraId="52D13270"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De acuerdo con la primera interpretación, el informe de evaluación se convierte en la oportunidad que adopta la Administración para decirles a los oferentes qué documentos </w:t>
      </w:r>
      <w:r w:rsidRPr="00296C72">
        <w:rPr>
          <w:rFonts w:ascii="Arial" w:hAnsi="Arial" w:cs="Arial"/>
          <w:sz w:val="22"/>
          <w:lang w:val="es-ES_tradnl"/>
        </w:rPr>
        <w:lastRenderedPageBreak/>
        <w:t xml:space="preserve">o requisitos omitieron y deben subsanar y, consecuentemente, el término del traslado es la oportunidad del proponente para cumplir con lo solicitado.  </w:t>
      </w:r>
    </w:p>
    <w:p w14:paraId="3E88D0A6"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una vez se publique el informe ya se encuentren subsanadas las propuestas, sin perjuicio del término límite que concedió la ley.</w:t>
      </w:r>
    </w:p>
    <w:p w14:paraId="21B9419B"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5B168DDB"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0B4CED64"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De otro lado, el segundo cambio importante de la Ley 1882 de 2018 fue la introducción de un criterio material, directamente relacionado con los aspectos subsanables: «los proponentes no podrán acreditar circunstancias ocurridas con posterioridad al cierre del proceso». Lo anterior nos ofrece dos aspectos que merecen clarificación; primero, qué debe entenderse por circunstancias ocurridas con posterioridad; y segundo, qué es el cierre del proceso. </w:t>
      </w:r>
    </w:p>
    <w:p w14:paraId="213BDF36"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296C72">
        <w:rPr>
          <w:rStyle w:val="Refdenotaalpie"/>
          <w:rFonts w:ascii="Arial" w:hAnsi="Arial" w:cs="Arial"/>
          <w:sz w:val="22"/>
          <w:lang w:val="es-ES_tradnl"/>
        </w:rPr>
        <w:footnoteReference w:id="9"/>
      </w:r>
      <w:r w:rsidRPr="00296C72">
        <w:rPr>
          <w:rFonts w:ascii="Arial" w:hAnsi="Arial" w:cs="Arial"/>
          <w:sz w:val="22"/>
          <w:lang w:val="es-ES_tradnl"/>
        </w:rPr>
        <w:t xml:space="preserve">, que había determinado que en ningún </w:t>
      </w:r>
      <w:r w:rsidRPr="00296C72">
        <w:rPr>
          <w:rFonts w:ascii="Arial" w:hAnsi="Arial" w:cs="Arial"/>
          <w:sz w:val="22"/>
          <w:lang w:val="es-ES_tradnl"/>
        </w:rPr>
        <w:lastRenderedPageBreak/>
        <w:t>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296C72">
        <w:rPr>
          <w:rStyle w:val="Refdenotaalpie"/>
          <w:rFonts w:ascii="Arial" w:hAnsi="Arial" w:cs="Arial"/>
          <w:sz w:val="21"/>
          <w:szCs w:val="21"/>
          <w:lang w:val="es-ES_tradnl"/>
        </w:rPr>
        <w:footnoteReference w:id="10"/>
      </w:r>
      <w:r w:rsidRPr="00296C72">
        <w:rPr>
          <w:rFonts w:ascii="Arial" w:hAnsi="Arial" w:cs="Arial"/>
          <w:sz w:val="21"/>
          <w:szCs w:val="21"/>
          <w:lang w:val="es-ES_tradnl"/>
        </w:rPr>
        <w:t>.</w:t>
      </w:r>
    </w:p>
    <w:p w14:paraId="10EED1D8"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4F4F9ED"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Un mejor entendimiento del significado de la expresión «circunstancias ocurridas con posterioridad al cierre del proceso» nos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w:t>
      </w:r>
      <w:r w:rsidRPr="00296C72">
        <w:rPr>
          <w:rFonts w:ascii="Arial" w:hAnsi="Arial" w:cs="Arial"/>
          <w:sz w:val="22"/>
          <w:lang w:val="es-ES_tradnl"/>
        </w:rPr>
        <w:lastRenderedPageBreak/>
        <w:t xml:space="preserve">presentación de la oferta, o en palabras de la ley, que se acrediten hechos que ocurrieron después del cierre del proceso. </w:t>
      </w:r>
    </w:p>
    <w:p w14:paraId="3524C440"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296C72">
        <w:rPr>
          <w:rFonts w:ascii="Arial" w:hAnsi="Arial" w:cs="Arial"/>
          <w:sz w:val="22"/>
          <w:vertAlign w:val="superscript"/>
        </w:rPr>
        <w:footnoteReference w:id="11"/>
      </w:r>
      <w:r w:rsidRPr="00296C72">
        <w:rPr>
          <w:rFonts w:ascii="Arial" w:hAnsi="Arial" w:cs="Arial"/>
          <w:sz w:val="22"/>
          <w:lang w:val="es-ES_tradnl"/>
        </w:rPr>
        <w:t>; iii) si un oferente no anexó el Certificado de existencia y representación legal, el documento aportado con posterioridad debe dar cuenta de que la sociedad existe antes del cierre del proceso</w:t>
      </w:r>
      <w:r w:rsidRPr="00296C72">
        <w:rPr>
          <w:rFonts w:ascii="Arial" w:hAnsi="Arial" w:cs="Arial"/>
          <w:sz w:val="22"/>
          <w:vertAlign w:val="superscript"/>
        </w:rPr>
        <w:footnoteReference w:id="12"/>
      </w:r>
      <w:r w:rsidRPr="00296C72">
        <w:rPr>
          <w:rFonts w:ascii="Arial" w:hAnsi="Arial" w:cs="Arial"/>
          <w:sz w:val="22"/>
          <w:lang w:val="es-ES_tradnl"/>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5E89AC35"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62A048BD"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296C72">
        <w:rPr>
          <w:rFonts w:ascii="Arial" w:hAnsi="Arial" w:cs="Arial"/>
          <w:sz w:val="22"/>
          <w:vertAlign w:val="superscript"/>
          <w:lang w:val="es-ES_tradnl"/>
        </w:rPr>
        <w:footnoteReference w:id="13"/>
      </w:r>
      <w:r w:rsidRPr="00296C72">
        <w:rPr>
          <w:rFonts w:ascii="Arial" w:hAnsi="Arial" w:cs="Arial"/>
          <w:sz w:val="22"/>
          <w:lang w:val="es-ES_tradnl"/>
        </w:rPr>
        <w:t xml:space="preserve">. En tal sentido, esta Subdirección en concepto emitido en respuesta a la Consulta 4201912000007418 del 30 de octubre de 2019, analizó si era o no posible subsanar el RUP vencido, para lo cual precisó el alcance de la prohibición de </w:t>
      </w:r>
      <w:r w:rsidRPr="00296C72">
        <w:rPr>
          <w:rFonts w:ascii="Arial" w:hAnsi="Arial" w:cs="Arial"/>
          <w:sz w:val="22"/>
          <w:lang w:val="es-ES_tradnl"/>
        </w:rPr>
        <w:lastRenderedPageBreak/>
        <w:t xml:space="preserve">permitir subsanar circunstancias ocurridas con posterioridad al cierre del procedimiento de selección. </w:t>
      </w:r>
    </w:p>
    <w:p w14:paraId="3A13728C"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171E3051"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14:paraId="7C304387"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Visto lo anterior, una vez verificada la ausencia de requisitos y/o documentos de la oferta, para efectos de saber si se puede subsanar, la Administración se debe preguntar, en primer lugar, si lo que hace falta es un ítem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w:t>
      </w:r>
      <w:r w:rsidRPr="00296C72">
        <w:rPr>
          <w:rFonts w:ascii="Arial" w:hAnsi="Arial" w:cs="Arial"/>
          <w:sz w:val="22"/>
          <w:lang w:val="es-ES_tradnl"/>
        </w:rPr>
        <w:lastRenderedPageBreak/>
        <w:t xml:space="preserve">de que lo omitido sea la prueba de una circunstancia o hecho que ocurrió con anterioridad al cierre del proceso. </w:t>
      </w:r>
    </w:p>
    <w:p w14:paraId="629B8368"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030D263E"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Ahora bien, en la modalidad de selección de mínima cuantía de conformidad con los numerales 1 y 2 del artículo 2.2.1.2.1.5.2. del Decreto 1082 de 2015, las entidades deben incluir dentro de la invitación a participar la forma en la que se acreditará la capacidad jurídica, pudiendo además exigir una experiencia mínima y capacidad financiera cuando el procedimiento no prevea «el pago contra entrega a satisfacción de los bienes, obras o servicios». El numeral 1 del artículo 2.2.1.2.1.5.2. del Decreto 1082 de 2015, al establecer que la invitación deberá fijar «la experiencia mínima, si se exige esta última», da a entender que no es obligatorio solicitarla como criterio de participación.</w:t>
      </w:r>
    </w:p>
    <w:p w14:paraId="2A80DCDC"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Sin embargo, la experiencia y la capacidad jurídica no podrán incluirse en la invitación del procedimiento de mínima cuantía como factor de calificación, pues el literal c) del numeral 5 del artículo 2 de la Ley 1150 de 2007 establece que el menor precio es el único criterio de evaluación en dicha modalidad, aspecto que ratifica el numeral 6 del artículo 2.2.1.2.1.5.2. del Decreto 1082 de 2015.</w:t>
      </w:r>
    </w:p>
    <w:p w14:paraId="2CA5B094" w14:textId="77777777" w:rsidR="00296C72" w:rsidRPr="00296C72" w:rsidRDefault="00296C72" w:rsidP="00296C72">
      <w:pPr>
        <w:spacing w:after="120" w:line="276" w:lineRule="auto"/>
        <w:ind w:firstLine="709"/>
        <w:jc w:val="both"/>
        <w:rPr>
          <w:rFonts w:ascii="Arial" w:hAnsi="Arial" w:cs="Arial"/>
          <w:sz w:val="22"/>
          <w:lang w:val="es-ES_tradnl"/>
        </w:rPr>
      </w:pPr>
      <w:r w:rsidRPr="00296C72">
        <w:rPr>
          <w:rFonts w:ascii="Arial" w:hAnsi="Arial" w:cs="Arial"/>
          <w:sz w:val="22"/>
          <w:lang w:val="es-ES_tradnl"/>
        </w:rPr>
        <w:t xml:space="preserve">Por tanto, si en un procedimiento de selección de mínima cuantía la entidad estatal, además de la capacidad jurídica, exige en la invitación a los interesados acreditar determinada experiencia en ciertas actividades económicas o cierta capacidad financiera, tales requisitos son habilitantes y, por lo tanto, </w:t>
      </w:r>
      <w:r w:rsidRPr="00296C72">
        <w:rPr>
          <w:rFonts w:ascii="Arial" w:hAnsi="Arial" w:cs="Arial"/>
          <w:i/>
          <w:iCs/>
          <w:sz w:val="22"/>
          <w:lang w:val="es-ES_tradnl"/>
        </w:rPr>
        <w:t>subsanables</w:t>
      </w:r>
      <w:r w:rsidRPr="00296C72">
        <w:rPr>
          <w:rFonts w:ascii="Arial" w:hAnsi="Arial" w:cs="Arial"/>
          <w:sz w:val="22"/>
          <w:lang w:val="es-ES_tradnl"/>
        </w:rPr>
        <w:t xml:space="preserve">, de conformidad con lo dispuesto en el artículo 5 de la Ley 1150 de 2007, modificado parcialmente por la Ley 1882 de 2018. Esta misma regla opera frente a los demás requisitos subsanables habilitantes y aspectos formales de la propuesta, cuyos defectos pueden corregirse por los proponentes. </w:t>
      </w:r>
    </w:p>
    <w:p w14:paraId="6B73E146" w14:textId="77777777" w:rsidR="00296C72" w:rsidRPr="00296C72" w:rsidRDefault="00296C72" w:rsidP="00296C72">
      <w:pPr>
        <w:spacing w:before="120" w:line="276" w:lineRule="auto"/>
        <w:ind w:firstLine="709"/>
        <w:jc w:val="both"/>
        <w:rPr>
          <w:rFonts w:ascii="Arial" w:eastAsia="Calibri" w:hAnsi="Arial" w:cs="Arial"/>
          <w:sz w:val="22"/>
        </w:rPr>
      </w:pPr>
      <w:r w:rsidRPr="00296C72">
        <w:rPr>
          <w:rFonts w:ascii="Arial" w:eastAsia="Calibri" w:hAnsi="Arial" w:cs="Arial"/>
          <w:sz w:val="22"/>
        </w:rPr>
        <w:t xml:space="preserve">Ahora bien, según lo indicó esta Subdirección en respuesta a las consultas C-082 del 25 de febrero de 2020 —radicado 44202012000000563— y C – 013 del 17 de abril de 2020 —radicado 4202013000002326—, teniendo en cuenta que el parágrafo 1 del artículo 5º de la Ley 1150 de 2007, modificado por el artículo 5 de la Ley 1882 de 2018, dispone que los requisitos a subsanar «deberán ser solicitados por las entidades estatales y deberán ser entregados por los proponentes hasta el término de traslado del informe de evaluación que corresponda a cada modalidad de selección, salvo lo dispuesto para el proceso de Mínima cuantía […]», y que no se observa una disposición legal que expresamente disponga un término para aportar tales documentos en esta modalidad de selección, surgen tres posibles interpretaciones: </w:t>
      </w:r>
      <w:r w:rsidRPr="00296C72">
        <w:rPr>
          <w:rFonts w:ascii="Arial" w:eastAsia="Calibri" w:hAnsi="Arial" w:cs="Arial"/>
          <w:i/>
          <w:iCs/>
          <w:sz w:val="22"/>
        </w:rPr>
        <w:t>i)</w:t>
      </w:r>
      <w:r w:rsidRPr="00296C72">
        <w:rPr>
          <w:rFonts w:ascii="Arial" w:eastAsia="Calibri" w:hAnsi="Arial" w:cs="Arial"/>
          <w:sz w:val="22"/>
        </w:rPr>
        <w:t xml:space="preserve"> que en la mínima cuantía no se permite la subsanabilidad –interpretación que no es acorde con el principio de la prevalencia de lo sustancial sobre lo </w:t>
      </w:r>
      <w:r w:rsidRPr="00296C72">
        <w:rPr>
          <w:rFonts w:ascii="Arial" w:eastAsia="Calibri" w:hAnsi="Arial" w:cs="Arial"/>
          <w:sz w:val="22"/>
        </w:rPr>
        <w:lastRenderedPageBreak/>
        <w:t xml:space="preserve">formal–, </w:t>
      </w:r>
      <w:r w:rsidRPr="00296C72">
        <w:rPr>
          <w:rFonts w:ascii="Arial" w:eastAsia="Calibri" w:hAnsi="Arial" w:cs="Arial"/>
          <w:i/>
          <w:iCs/>
          <w:sz w:val="22"/>
        </w:rPr>
        <w:t>ii)</w:t>
      </w:r>
      <w:r w:rsidRPr="00296C72">
        <w:rPr>
          <w:rFonts w:ascii="Arial" w:eastAsia="Calibri" w:hAnsi="Arial" w:cs="Arial"/>
          <w:sz w:val="22"/>
        </w:rPr>
        <w:t xml:space="preserve"> que el término para presentar los requisitos subsanados es el mismo de publicación del informe de evaluación, es decir, un (1) día hábil, </w:t>
      </w:r>
      <w:r w:rsidRPr="00296C72">
        <w:rPr>
          <w:rFonts w:ascii="Arial" w:eastAsia="Calibri" w:hAnsi="Arial" w:cs="Arial"/>
          <w:i/>
          <w:iCs/>
          <w:sz w:val="22"/>
        </w:rPr>
        <w:t>iii)</w:t>
      </w:r>
      <w:r w:rsidRPr="00296C72">
        <w:rPr>
          <w:rFonts w:ascii="Arial" w:eastAsia="Calibri" w:hAnsi="Arial" w:cs="Arial"/>
          <w:sz w:val="22"/>
        </w:rPr>
        <w:t xml:space="preserve"> que existe un vacío y que este puede llenarse discrecionalmente por la entidad estatal, disponiendo de un término razonable de subsanabilidad. Esta Subdirección acoge la tercera opción y, por tanto, lo establecido en el numeral 6.1. de la Circular Externa Única de la Agencia Nacional de Contratación Pública – Colombia Compra Eficiente, que expresa: «Por otra parte,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w:t>
      </w:r>
      <w:r w:rsidRPr="00296C72">
        <w:rPr>
          <w:rStyle w:val="Refdenotaalpie"/>
          <w:rFonts w:ascii="Arial" w:eastAsia="Calibri" w:hAnsi="Arial" w:cs="Arial"/>
          <w:sz w:val="22"/>
        </w:rPr>
        <w:footnoteReference w:id="14"/>
      </w:r>
      <w:r w:rsidRPr="00296C72">
        <w:rPr>
          <w:rFonts w:ascii="Arial" w:eastAsia="Calibri" w:hAnsi="Arial" w:cs="Arial"/>
          <w:sz w:val="22"/>
        </w:rPr>
        <w:t>.</w:t>
      </w:r>
    </w:p>
    <w:p w14:paraId="57962D85" w14:textId="77777777" w:rsidR="00296C72" w:rsidRPr="00296C72" w:rsidRDefault="00296C72" w:rsidP="00296C72">
      <w:pPr>
        <w:spacing w:line="276" w:lineRule="auto"/>
        <w:ind w:firstLine="709"/>
        <w:jc w:val="both"/>
        <w:rPr>
          <w:rFonts w:ascii="Arial" w:eastAsia="Calibri" w:hAnsi="Arial" w:cs="Arial"/>
          <w:sz w:val="22"/>
        </w:rPr>
      </w:pPr>
    </w:p>
    <w:p w14:paraId="375D2128" w14:textId="77777777" w:rsidR="00296C72" w:rsidRPr="00296C72" w:rsidRDefault="00296C72" w:rsidP="00296C72">
      <w:pPr>
        <w:autoSpaceDE w:val="0"/>
        <w:autoSpaceDN w:val="0"/>
        <w:adjustRightInd w:val="0"/>
        <w:spacing w:line="276" w:lineRule="auto"/>
        <w:jc w:val="both"/>
        <w:rPr>
          <w:rFonts w:ascii="Arial" w:hAnsi="Arial" w:cs="Arial"/>
          <w:b/>
          <w:bCs/>
          <w:sz w:val="22"/>
          <w:lang w:val="es-ES_tradnl"/>
        </w:rPr>
      </w:pPr>
      <w:bookmarkStart w:id="3" w:name="_Hlk35534664"/>
      <w:r w:rsidRPr="00296C72">
        <w:rPr>
          <w:rFonts w:ascii="Arial" w:hAnsi="Arial" w:cs="Arial"/>
          <w:b/>
          <w:bCs/>
          <w:sz w:val="22"/>
          <w:lang w:val="es-ES_tradnl"/>
        </w:rPr>
        <w:t>2.3. Causales de rechazo de la oferta en procesos de mínima cuantía</w:t>
      </w:r>
    </w:p>
    <w:p w14:paraId="0ACDCD35" w14:textId="77777777" w:rsidR="00296C72" w:rsidRPr="00296C72" w:rsidRDefault="00296C72" w:rsidP="00296C72">
      <w:pPr>
        <w:autoSpaceDE w:val="0"/>
        <w:autoSpaceDN w:val="0"/>
        <w:adjustRightInd w:val="0"/>
        <w:spacing w:line="276" w:lineRule="auto"/>
        <w:jc w:val="both"/>
        <w:rPr>
          <w:rFonts w:ascii="Arial" w:hAnsi="Arial" w:cs="Arial"/>
          <w:b/>
          <w:bCs/>
          <w:sz w:val="22"/>
          <w:lang w:val="es-ES_tradnl"/>
        </w:rPr>
      </w:pPr>
    </w:p>
    <w:p w14:paraId="14461D48" w14:textId="1945FE1F" w:rsidR="00296C72" w:rsidRPr="00296C72" w:rsidRDefault="00296C72" w:rsidP="00296C72">
      <w:pPr>
        <w:widowControl w:val="0"/>
        <w:autoSpaceDE w:val="0"/>
        <w:autoSpaceDN w:val="0"/>
        <w:spacing w:after="120" w:line="276" w:lineRule="auto"/>
        <w:jc w:val="both"/>
        <w:rPr>
          <w:rFonts w:ascii="Arial" w:eastAsia="Arial" w:hAnsi="Arial" w:cs="Arial"/>
          <w:sz w:val="22"/>
          <w:lang w:val="es-ES"/>
        </w:rPr>
      </w:pPr>
      <w:r w:rsidRPr="00296C72">
        <w:rPr>
          <w:rFonts w:ascii="Arial" w:eastAsia="Arial" w:hAnsi="Arial" w:cs="Arial"/>
          <w:sz w:val="22"/>
          <w:lang w:val="es-ES"/>
        </w:rPr>
        <w:t xml:space="preserve">Con relación a su segunda pregunta, referida a las causales de rechazo en procesos de selección de mínima cuantía, se hace necesario precisar que no existen dentro de la ley causales de rechazo consagradas de manera taxativa, </w:t>
      </w:r>
      <w:r w:rsidR="002A16B6">
        <w:rPr>
          <w:rFonts w:ascii="Arial" w:eastAsia="Arial" w:hAnsi="Arial" w:cs="Arial"/>
          <w:sz w:val="22"/>
          <w:lang w:val="es-ES"/>
        </w:rPr>
        <w:t>que apliquen exclusivamente para</w:t>
      </w:r>
      <w:r w:rsidRPr="00296C72">
        <w:rPr>
          <w:rFonts w:ascii="Arial" w:eastAsia="Arial" w:hAnsi="Arial" w:cs="Arial"/>
          <w:sz w:val="22"/>
          <w:lang w:val="es-ES"/>
        </w:rPr>
        <w:t xml:space="preserve"> esta modalidad de escogencia. A su vez, dentro el artículo 2.2.1.2.1.5.2 del Decreto 1082 de 2015</w:t>
      </w:r>
      <w:r w:rsidRPr="00296C72">
        <w:rPr>
          <w:rStyle w:val="Refdenotaalpie"/>
          <w:rFonts w:ascii="Arial" w:eastAsia="Arial" w:hAnsi="Arial" w:cs="Arial"/>
          <w:sz w:val="22"/>
          <w:lang w:val="es-ES"/>
        </w:rPr>
        <w:footnoteReference w:id="15"/>
      </w:r>
      <w:r w:rsidRPr="00296C72">
        <w:rPr>
          <w:rFonts w:ascii="Arial" w:eastAsia="Arial" w:hAnsi="Arial" w:cs="Arial"/>
          <w:sz w:val="22"/>
          <w:lang w:val="es-ES"/>
        </w:rPr>
        <w:t xml:space="preserve">, al regularse el contenido </w:t>
      </w:r>
      <w:r w:rsidR="002A16B6">
        <w:rPr>
          <w:rFonts w:ascii="Arial" w:eastAsia="Arial" w:hAnsi="Arial" w:cs="Arial"/>
          <w:sz w:val="22"/>
          <w:lang w:val="es-ES"/>
        </w:rPr>
        <w:t xml:space="preserve">de </w:t>
      </w:r>
      <w:r w:rsidRPr="00296C72">
        <w:rPr>
          <w:rFonts w:ascii="Arial" w:eastAsia="Arial" w:hAnsi="Arial" w:cs="Arial"/>
          <w:sz w:val="22"/>
          <w:lang w:val="es-ES"/>
        </w:rPr>
        <w:t xml:space="preserve">la invitación a participar no se hace referencia a la posibilidad de establecer causales de rechazo, a diferencia de lo establecido por </w:t>
      </w:r>
      <w:r w:rsidR="008018B2">
        <w:rPr>
          <w:rFonts w:ascii="Arial" w:eastAsia="Arial" w:hAnsi="Arial" w:cs="Arial"/>
          <w:sz w:val="22"/>
          <w:lang w:val="es-ES"/>
        </w:rPr>
        <w:t xml:space="preserve">el </w:t>
      </w:r>
      <w:r w:rsidRPr="00296C72">
        <w:rPr>
          <w:rFonts w:ascii="Arial" w:eastAsia="Arial" w:hAnsi="Arial" w:cs="Arial"/>
          <w:sz w:val="22"/>
          <w:lang w:val="es-ES"/>
        </w:rPr>
        <w:t>artículo 2.2.1.1.2.1.3</w:t>
      </w:r>
      <w:r w:rsidRPr="00296C72">
        <w:rPr>
          <w:rStyle w:val="Refdenotaalpie"/>
          <w:rFonts w:ascii="Arial" w:eastAsia="Arial" w:hAnsi="Arial" w:cs="Arial"/>
          <w:sz w:val="22"/>
          <w:lang w:val="es-ES"/>
        </w:rPr>
        <w:footnoteReference w:id="16"/>
      </w:r>
      <w:r w:rsidRPr="00296C72">
        <w:rPr>
          <w:rFonts w:ascii="Arial" w:eastAsia="Arial" w:hAnsi="Arial" w:cs="Arial"/>
          <w:sz w:val="22"/>
          <w:lang w:val="es-ES"/>
        </w:rPr>
        <w:t xml:space="preserve"> </w:t>
      </w:r>
      <w:r w:rsidRPr="00296C72">
        <w:rPr>
          <w:rFonts w:ascii="Arial" w:eastAsia="Arial" w:hAnsi="Arial" w:cs="Arial"/>
          <w:i/>
          <w:iCs/>
          <w:sz w:val="22"/>
          <w:lang w:val="es-ES"/>
        </w:rPr>
        <w:t xml:space="preserve">Ibídem </w:t>
      </w:r>
      <w:r w:rsidRPr="00296C72">
        <w:rPr>
          <w:rFonts w:ascii="Arial" w:eastAsia="Arial" w:hAnsi="Arial" w:cs="Arial"/>
          <w:sz w:val="22"/>
          <w:lang w:val="es-ES"/>
        </w:rPr>
        <w:t xml:space="preserve">respecto del pliego de condiciones, instrumento que cumple cierta función análoga a la de la invitación a participar, en lo que a la definición de los requisitos y condiciones técnicas que la participación en el proceso de selección requiere. </w:t>
      </w:r>
    </w:p>
    <w:p w14:paraId="60DE2161" w14:textId="2D32B2F8" w:rsidR="00296C72" w:rsidRPr="00296C72" w:rsidRDefault="00296C72" w:rsidP="00296C72">
      <w:pPr>
        <w:widowControl w:val="0"/>
        <w:autoSpaceDE w:val="0"/>
        <w:autoSpaceDN w:val="0"/>
        <w:spacing w:before="120" w:after="120" w:line="276" w:lineRule="auto"/>
        <w:jc w:val="both"/>
        <w:rPr>
          <w:rFonts w:ascii="Arial" w:eastAsia="Arial" w:hAnsi="Arial" w:cs="Arial"/>
          <w:sz w:val="22"/>
          <w:lang w:val="es-ES"/>
        </w:rPr>
      </w:pPr>
      <w:r w:rsidRPr="00296C72">
        <w:rPr>
          <w:rFonts w:ascii="Arial" w:eastAsia="Arial" w:hAnsi="Arial" w:cs="Arial"/>
          <w:sz w:val="22"/>
          <w:lang w:val="es-ES"/>
        </w:rPr>
        <w:tab/>
        <w:t xml:space="preserve">Sin embargo, lo anterior no significa que no haya lugar al rechazo de ofertas que no </w:t>
      </w:r>
      <w:r w:rsidRPr="00296C72">
        <w:rPr>
          <w:rFonts w:ascii="Arial" w:eastAsia="Arial" w:hAnsi="Arial" w:cs="Arial"/>
          <w:sz w:val="22"/>
          <w:lang w:val="es-ES"/>
        </w:rPr>
        <w:lastRenderedPageBreak/>
        <w:t xml:space="preserve">cumplen con las condiciones exigidas para la participación en el proceso de selección o presentadas en abierta contravención de alguna prohibición legal, o que las entidades estatales no tengan la facultad de definir algunos supuestos que darán lugar al rechazo de las ofertas en caso de ser desatendidos. Así, en procesos de mínima cuantía, por ejemplo, no podrán </w:t>
      </w:r>
      <w:r w:rsidR="00D67301">
        <w:rPr>
          <w:rFonts w:ascii="Arial" w:eastAsia="Arial" w:hAnsi="Arial" w:cs="Arial"/>
          <w:sz w:val="22"/>
          <w:lang w:val="es-ES"/>
        </w:rPr>
        <w:t>aceptarse</w:t>
      </w:r>
      <w:r w:rsidRPr="00296C72">
        <w:rPr>
          <w:rFonts w:ascii="Arial" w:eastAsia="Arial" w:hAnsi="Arial" w:cs="Arial"/>
          <w:sz w:val="22"/>
          <w:lang w:val="es-ES"/>
        </w:rPr>
        <w:t xml:space="preserve"> ofertas que no cumplen con las condiciones técnicas establecidas en la invitación, o presentadas en violación al régimen de inhabilidades e incompatibilidades o a requisitos establecidos en la invitación como obligatorios para participar en </w:t>
      </w:r>
      <w:r w:rsidR="008A4115">
        <w:rPr>
          <w:rFonts w:ascii="Arial" w:eastAsia="Arial" w:hAnsi="Arial" w:cs="Arial"/>
          <w:sz w:val="22"/>
          <w:lang w:val="es-ES"/>
        </w:rPr>
        <w:t xml:space="preserve">el </w:t>
      </w:r>
      <w:r w:rsidRPr="00296C72">
        <w:rPr>
          <w:rFonts w:ascii="Arial" w:eastAsia="Arial" w:hAnsi="Arial" w:cs="Arial"/>
          <w:sz w:val="22"/>
          <w:lang w:val="es-ES"/>
        </w:rPr>
        <w:t>proceso.</w:t>
      </w:r>
    </w:p>
    <w:p w14:paraId="44B3785B" w14:textId="1AD4A247" w:rsidR="00296C72" w:rsidRPr="00A468F2" w:rsidRDefault="00296C72" w:rsidP="00296C72">
      <w:pPr>
        <w:widowControl w:val="0"/>
        <w:autoSpaceDE w:val="0"/>
        <w:autoSpaceDN w:val="0"/>
        <w:spacing w:before="120" w:after="120" w:line="276" w:lineRule="auto"/>
        <w:jc w:val="both"/>
        <w:rPr>
          <w:rFonts w:ascii="Arial" w:eastAsia="Arial" w:hAnsi="Arial" w:cs="Arial"/>
          <w:sz w:val="22"/>
          <w:lang w:val="es-ES"/>
        </w:rPr>
      </w:pPr>
      <w:r w:rsidRPr="00296C72">
        <w:rPr>
          <w:rFonts w:ascii="Arial" w:eastAsia="Arial" w:hAnsi="Arial" w:cs="Arial"/>
          <w:sz w:val="22"/>
          <w:lang w:val="es-ES"/>
        </w:rPr>
        <w:tab/>
        <w:t>En ese sentido</w:t>
      </w:r>
      <w:r w:rsidRPr="00A468F2">
        <w:rPr>
          <w:rFonts w:ascii="Arial" w:eastAsia="Arial" w:hAnsi="Arial" w:cs="Arial"/>
          <w:sz w:val="22"/>
          <w:lang w:val="es-ES"/>
        </w:rPr>
        <w:t xml:space="preserve">, </w:t>
      </w:r>
      <w:r w:rsidRPr="00296C72">
        <w:rPr>
          <w:rFonts w:ascii="Arial" w:eastAsia="Arial" w:hAnsi="Arial" w:cs="Arial"/>
          <w:sz w:val="22"/>
          <w:lang w:val="es-ES"/>
        </w:rPr>
        <w:t xml:space="preserve">la jurisprudencia del Consejo de Estado, respecto de procesos de licitación pública, ha determinado que </w:t>
      </w:r>
      <w:r w:rsidRPr="00A468F2">
        <w:rPr>
          <w:rFonts w:ascii="Arial" w:eastAsia="Arial" w:hAnsi="Arial" w:cs="Arial"/>
          <w:sz w:val="22"/>
          <w:lang w:val="es-ES"/>
        </w:rPr>
        <w:t xml:space="preserve">las causales de rechazo pueden o </w:t>
      </w:r>
      <w:r w:rsidRPr="00296C72">
        <w:rPr>
          <w:rFonts w:ascii="Arial" w:eastAsia="Arial" w:hAnsi="Arial" w:cs="Arial"/>
          <w:sz w:val="22"/>
          <w:lang w:val="es-ES"/>
        </w:rPr>
        <w:t>no estar establecidas en</w:t>
      </w:r>
      <w:r w:rsidRPr="00A468F2">
        <w:rPr>
          <w:rFonts w:ascii="Arial" w:eastAsia="Arial" w:hAnsi="Arial" w:cs="Arial"/>
          <w:sz w:val="22"/>
          <w:lang w:val="es-ES"/>
        </w:rPr>
        <w:t xml:space="preserve"> el pliego de condiciones, </w:t>
      </w:r>
      <w:r w:rsidRPr="00296C72">
        <w:rPr>
          <w:rFonts w:ascii="Arial" w:eastAsia="Arial" w:hAnsi="Arial" w:cs="Arial"/>
          <w:sz w:val="22"/>
          <w:lang w:val="es-ES"/>
        </w:rPr>
        <w:t>sin perjuicio de que sean aplicables</w:t>
      </w:r>
      <w:r w:rsidRPr="00A468F2">
        <w:rPr>
          <w:rFonts w:ascii="Arial" w:eastAsia="Arial" w:hAnsi="Arial" w:cs="Arial"/>
          <w:sz w:val="22"/>
          <w:lang w:val="es-ES"/>
        </w:rPr>
        <w:t xml:space="preserve"> al proceso contractual </w:t>
      </w:r>
      <w:r w:rsidRPr="00296C72">
        <w:rPr>
          <w:rFonts w:ascii="Arial" w:eastAsia="Arial" w:hAnsi="Arial" w:cs="Arial"/>
          <w:sz w:val="22"/>
          <w:lang w:val="es-ES"/>
        </w:rPr>
        <w:t xml:space="preserve">las establecidas directamente en la </w:t>
      </w:r>
      <w:r w:rsidR="00270390">
        <w:rPr>
          <w:rFonts w:ascii="Arial" w:eastAsia="Arial" w:hAnsi="Arial" w:cs="Arial"/>
          <w:sz w:val="22"/>
          <w:lang w:val="es-ES"/>
        </w:rPr>
        <w:t>l</w:t>
      </w:r>
      <w:r w:rsidRPr="00296C72">
        <w:rPr>
          <w:rFonts w:ascii="Arial" w:eastAsia="Arial" w:hAnsi="Arial" w:cs="Arial"/>
          <w:sz w:val="22"/>
          <w:lang w:val="es-ES"/>
        </w:rPr>
        <w:t>ey</w:t>
      </w:r>
      <w:r w:rsidRPr="00A468F2">
        <w:rPr>
          <w:rFonts w:ascii="Arial" w:eastAsia="Arial" w:hAnsi="Arial" w:cs="Arial"/>
          <w:sz w:val="22"/>
          <w:lang w:val="es-ES"/>
        </w:rPr>
        <w:t>. Así</w:t>
      </w:r>
      <w:r w:rsidRPr="00296C72">
        <w:rPr>
          <w:rFonts w:ascii="Arial" w:eastAsia="Arial" w:hAnsi="Arial" w:cs="Arial"/>
          <w:sz w:val="22"/>
          <w:lang w:val="es-ES"/>
        </w:rPr>
        <w:t xml:space="preserve"> se estableció</w:t>
      </w:r>
      <w:r w:rsidRPr="00A468F2">
        <w:rPr>
          <w:rFonts w:ascii="Arial" w:eastAsia="Arial" w:hAnsi="Arial" w:cs="Arial"/>
          <w:sz w:val="22"/>
          <w:lang w:val="es-ES"/>
        </w:rPr>
        <w:t xml:space="preserve"> en la sentencia del 27 de abril de 2011,</w:t>
      </w:r>
      <w:r w:rsidRPr="00296C72">
        <w:rPr>
          <w:rFonts w:ascii="Arial" w:eastAsia="Arial" w:hAnsi="Arial" w:cs="Arial"/>
          <w:sz w:val="22"/>
          <w:lang w:val="es-ES"/>
        </w:rPr>
        <w:t xml:space="preserve"> con ponencia de la C</w:t>
      </w:r>
      <w:r w:rsidRPr="00A468F2">
        <w:rPr>
          <w:rFonts w:ascii="Arial" w:eastAsia="Arial" w:hAnsi="Arial" w:cs="Arial"/>
          <w:sz w:val="22"/>
          <w:lang w:val="es-ES"/>
        </w:rPr>
        <w:t>onsejera Ruth Stella Correa Palacio</w:t>
      </w:r>
      <w:r w:rsidRPr="00296C72">
        <w:rPr>
          <w:rFonts w:ascii="Arial" w:eastAsia="Arial" w:hAnsi="Arial" w:cs="Arial"/>
          <w:sz w:val="22"/>
          <w:lang w:val="es-ES"/>
        </w:rPr>
        <w:t xml:space="preserve">, </w:t>
      </w:r>
      <w:r w:rsidR="00C55BEA">
        <w:rPr>
          <w:rFonts w:ascii="Arial" w:eastAsia="Arial" w:hAnsi="Arial" w:cs="Arial"/>
          <w:sz w:val="22"/>
          <w:lang w:val="es-ES"/>
        </w:rPr>
        <w:t>que expresó</w:t>
      </w:r>
      <w:r w:rsidRPr="00A468F2">
        <w:rPr>
          <w:rFonts w:ascii="Arial" w:eastAsia="Arial" w:hAnsi="Arial" w:cs="Arial"/>
          <w:sz w:val="22"/>
          <w:lang w:val="es-ES"/>
        </w:rPr>
        <w:t>:</w:t>
      </w:r>
    </w:p>
    <w:p w14:paraId="341D0709" w14:textId="77777777" w:rsidR="00296C72" w:rsidRPr="00A468F2" w:rsidRDefault="00296C72" w:rsidP="00296C72">
      <w:pPr>
        <w:widowControl w:val="0"/>
        <w:autoSpaceDE w:val="0"/>
        <w:autoSpaceDN w:val="0"/>
        <w:spacing w:before="9"/>
        <w:rPr>
          <w:rFonts w:ascii="Arial" w:eastAsia="Arial" w:hAnsi="Arial" w:cs="Arial"/>
          <w:sz w:val="22"/>
          <w:lang w:val="es-ES"/>
        </w:rPr>
      </w:pPr>
    </w:p>
    <w:p w14:paraId="58A3C527" w14:textId="6A625109" w:rsidR="00296C72" w:rsidRPr="00A468F2" w:rsidRDefault="00296C72" w:rsidP="00296C72">
      <w:pPr>
        <w:widowControl w:val="0"/>
        <w:autoSpaceDE w:val="0"/>
        <w:autoSpaceDN w:val="0"/>
        <w:ind w:left="709" w:right="709"/>
        <w:jc w:val="both"/>
        <w:rPr>
          <w:rFonts w:ascii="Arial" w:eastAsia="Arial" w:hAnsi="Arial" w:cs="Arial"/>
          <w:sz w:val="21"/>
          <w:lang w:val="es-ES"/>
        </w:rPr>
      </w:pPr>
      <w:r w:rsidRPr="00A468F2">
        <w:rPr>
          <w:rFonts w:ascii="Arial" w:eastAsia="Arial" w:hAnsi="Arial" w:cs="Arial"/>
          <w:sz w:val="21"/>
          <w:lang w:val="es-ES"/>
        </w:rPr>
        <w:t>En efecto, la Administración puede rechazar o descalificar los ofrecimientos hechos por causales previstas en la ley; hipótesis bajo la cual, la entidad pública licitante se limita a dar por comprobado el hecho que justifica la exclusión y así lo declarará apoyada en normas legales o reglamentarias de carácter general.</w:t>
      </w:r>
    </w:p>
    <w:p w14:paraId="1DCF3DB1" w14:textId="77777777" w:rsidR="00296C72" w:rsidRPr="00A468F2" w:rsidRDefault="00296C72" w:rsidP="00296C72">
      <w:pPr>
        <w:widowControl w:val="0"/>
        <w:autoSpaceDE w:val="0"/>
        <w:autoSpaceDN w:val="0"/>
        <w:spacing w:before="1"/>
        <w:ind w:left="709" w:right="709"/>
        <w:rPr>
          <w:rFonts w:ascii="Arial" w:eastAsia="Arial" w:hAnsi="Arial" w:cs="Arial"/>
          <w:sz w:val="21"/>
          <w:lang w:val="es-ES"/>
        </w:rPr>
      </w:pPr>
    </w:p>
    <w:p w14:paraId="327E5E95" w14:textId="77777777" w:rsidR="00296C72" w:rsidRPr="00A468F2" w:rsidRDefault="00296C72" w:rsidP="00296C72">
      <w:pPr>
        <w:widowControl w:val="0"/>
        <w:autoSpaceDE w:val="0"/>
        <w:autoSpaceDN w:val="0"/>
        <w:ind w:left="709" w:right="709"/>
        <w:jc w:val="both"/>
        <w:rPr>
          <w:rFonts w:ascii="Arial" w:eastAsia="Arial" w:hAnsi="Arial" w:cs="Arial"/>
          <w:sz w:val="21"/>
          <w:lang w:val="es-ES"/>
        </w:rPr>
      </w:pPr>
      <w:r w:rsidRPr="00A468F2">
        <w:rPr>
          <w:rFonts w:ascii="Arial" w:eastAsia="Arial" w:hAnsi="Arial" w:cs="Arial"/>
          <w:sz w:val="21"/>
          <w:lang w:val="es-ES"/>
        </w:rPr>
        <w:t>En esta línea de pensamiento, resulta claro que el rechazo o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w:t>
      </w:r>
      <w:r w:rsidRPr="00A468F2">
        <w:rPr>
          <w:rFonts w:ascii="Arial" w:eastAsia="Arial" w:hAnsi="Arial" w:cs="Arial"/>
          <w:spacing w:val="20"/>
          <w:sz w:val="21"/>
          <w:lang w:val="es-ES"/>
        </w:rPr>
        <w:t xml:space="preserve"> </w:t>
      </w:r>
      <w:r w:rsidRPr="00A468F2">
        <w:rPr>
          <w:rFonts w:ascii="Arial" w:eastAsia="Arial" w:hAnsi="Arial" w:cs="Arial"/>
          <w:sz w:val="21"/>
          <w:lang w:val="es-ES"/>
        </w:rPr>
        <w:t>a</w:t>
      </w:r>
      <w:r w:rsidRPr="00A468F2">
        <w:rPr>
          <w:rFonts w:ascii="Arial" w:eastAsia="Arial" w:hAnsi="Arial" w:cs="Arial"/>
          <w:spacing w:val="21"/>
          <w:sz w:val="21"/>
          <w:lang w:val="es-ES"/>
        </w:rPr>
        <w:t xml:space="preserve"> </w:t>
      </w:r>
      <w:r w:rsidRPr="00A468F2">
        <w:rPr>
          <w:rFonts w:ascii="Arial" w:eastAsia="Arial" w:hAnsi="Arial" w:cs="Arial"/>
          <w:sz w:val="21"/>
          <w:lang w:val="es-ES"/>
        </w:rPr>
        <w:t>la</w:t>
      </w:r>
      <w:r w:rsidRPr="00A468F2">
        <w:rPr>
          <w:rFonts w:ascii="Arial" w:eastAsia="Arial" w:hAnsi="Arial" w:cs="Arial"/>
          <w:spacing w:val="22"/>
          <w:sz w:val="21"/>
          <w:lang w:val="es-ES"/>
        </w:rPr>
        <w:t xml:space="preserve"> </w:t>
      </w:r>
      <w:r w:rsidRPr="00A468F2">
        <w:rPr>
          <w:rFonts w:ascii="Arial" w:eastAsia="Arial" w:hAnsi="Arial" w:cs="Arial"/>
          <w:sz w:val="21"/>
          <w:lang w:val="es-ES"/>
        </w:rPr>
        <w:t>futura</w:t>
      </w:r>
      <w:r w:rsidRPr="00A468F2">
        <w:rPr>
          <w:rFonts w:ascii="Arial" w:eastAsia="Arial" w:hAnsi="Arial" w:cs="Arial"/>
          <w:spacing w:val="21"/>
          <w:sz w:val="21"/>
          <w:lang w:val="es-ES"/>
        </w:rPr>
        <w:t xml:space="preserve"> </w:t>
      </w:r>
      <w:r w:rsidRPr="00A468F2">
        <w:rPr>
          <w:rFonts w:ascii="Arial" w:eastAsia="Arial" w:hAnsi="Arial" w:cs="Arial"/>
          <w:sz w:val="21"/>
          <w:lang w:val="es-ES"/>
        </w:rPr>
        <w:t>contratación</w:t>
      </w:r>
      <w:r w:rsidRPr="00A468F2">
        <w:rPr>
          <w:rFonts w:ascii="Arial" w:eastAsia="Arial" w:hAnsi="Arial" w:cs="Arial"/>
          <w:spacing w:val="22"/>
          <w:sz w:val="21"/>
          <w:lang w:val="es-ES"/>
        </w:rPr>
        <w:t xml:space="preserve"> </w:t>
      </w:r>
      <w:r w:rsidRPr="00A468F2">
        <w:rPr>
          <w:rFonts w:ascii="Arial" w:eastAsia="Arial" w:hAnsi="Arial" w:cs="Arial"/>
          <w:sz w:val="21"/>
          <w:lang w:val="es-ES"/>
        </w:rPr>
        <w:t>que</w:t>
      </w:r>
      <w:r w:rsidRPr="00A468F2">
        <w:rPr>
          <w:rFonts w:ascii="Arial" w:eastAsia="Arial" w:hAnsi="Arial" w:cs="Arial"/>
          <w:spacing w:val="21"/>
          <w:sz w:val="21"/>
          <w:lang w:val="es-ES"/>
        </w:rPr>
        <w:t xml:space="preserve"> </w:t>
      </w:r>
      <w:r w:rsidRPr="00A468F2">
        <w:rPr>
          <w:rFonts w:ascii="Arial" w:eastAsia="Arial" w:hAnsi="Arial" w:cs="Arial"/>
          <w:sz w:val="21"/>
          <w:lang w:val="es-ES"/>
        </w:rPr>
        <w:t>sean</w:t>
      </w:r>
      <w:r w:rsidRPr="00A468F2">
        <w:rPr>
          <w:rFonts w:ascii="Arial" w:eastAsia="Arial" w:hAnsi="Arial" w:cs="Arial"/>
          <w:spacing w:val="22"/>
          <w:sz w:val="21"/>
          <w:lang w:val="es-ES"/>
        </w:rPr>
        <w:t xml:space="preserve"> </w:t>
      </w:r>
      <w:r w:rsidRPr="00A468F2">
        <w:rPr>
          <w:rFonts w:ascii="Arial" w:eastAsia="Arial" w:hAnsi="Arial" w:cs="Arial"/>
          <w:sz w:val="21"/>
          <w:lang w:val="es-ES"/>
        </w:rPr>
        <w:t>necesarios</w:t>
      </w:r>
      <w:r w:rsidRPr="00A468F2">
        <w:rPr>
          <w:rFonts w:ascii="Arial" w:eastAsia="Arial" w:hAnsi="Arial" w:cs="Arial"/>
          <w:spacing w:val="20"/>
          <w:sz w:val="21"/>
          <w:lang w:val="es-ES"/>
        </w:rPr>
        <w:t xml:space="preserve"> </w:t>
      </w:r>
      <w:r w:rsidRPr="00A468F2">
        <w:rPr>
          <w:rFonts w:ascii="Arial" w:eastAsia="Arial" w:hAnsi="Arial" w:cs="Arial"/>
          <w:sz w:val="21"/>
          <w:lang w:val="es-ES"/>
        </w:rPr>
        <w:t>para</w:t>
      </w:r>
      <w:r w:rsidRPr="00A468F2">
        <w:rPr>
          <w:rFonts w:ascii="Arial" w:eastAsia="Arial" w:hAnsi="Arial" w:cs="Arial"/>
          <w:spacing w:val="20"/>
          <w:sz w:val="21"/>
          <w:lang w:val="es-ES"/>
        </w:rPr>
        <w:t xml:space="preserve"> </w:t>
      </w:r>
      <w:r w:rsidRPr="00A468F2">
        <w:rPr>
          <w:rFonts w:ascii="Arial" w:eastAsia="Arial" w:hAnsi="Arial" w:cs="Arial"/>
          <w:sz w:val="21"/>
          <w:lang w:val="es-ES"/>
        </w:rPr>
        <w:t>la</w:t>
      </w:r>
      <w:r w:rsidRPr="00A468F2">
        <w:rPr>
          <w:rFonts w:ascii="Arial" w:eastAsia="Arial" w:hAnsi="Arial" w:cs="Arial"/>
          <w:spacing w:val="21"/>
          <w:sz w:val="21"/>
          <w:lang w:val="es-ES"/>
        </w:rPr>
        <w:t xml:space="preserve"> </w:t>
      </w:r>
      <w:r w:rsidRPr="00A468F2">
        <w:rPr>
          <w:rFonts w:ascii="Arial" w:eastAsia="Arial" w:hAnsi="Arial" w:cs="Arial"/>
          <w:sz w:val="21"/>
          <w:lang w:val="es-ES"/>
        </w:rPr>
        <w:t>comparación</w:t>
      </w:r>
      <w:r w:rsidRPr="00A468F2">
        <w:rPr>
          <w:rFonts w:ascii="Arial" w:eastAsia="Arial" w:hAnsi="Arial" w:cs="Arial"/>
          <w:spacing w:val="22"/>
          <w:sz w:val="21"/>
          <w:lang w:val="es-ES"/>
        </w:rPr>
        <w:t xml:space="preserve"> </w:t>
      </w:r>
      <w:r w:rsidRPr="00A468F2">
        <w:rPr>
          <w:rFonts w:ascii="Arial" w:eastAsia="Arial" w:hAnsi="Arial" w:cs="Arial"/>
          <w:sz w:val="21"/>
          <w:lang w:val="es-ES"/>
        </w:rPr>
        <w:t>de</w:t>
      </w:r>
      <w:r w:rsidRPr="00296C72">
        <w:rPr>
          <w:rFonts w:ascii="Arial" w:eastAsia="Arial" w:hAnsi="Arial" w:cs="Arial"/>
          <w:sz w:val="21"/>
          <w:lang w:val="es-ES"/>
        </w:rPr>
        <w:t xml:space="preserve">   </w:t>
      </w:r>
      <w:r w:rsidRPr="00A468F2">
        <w:rPr>
          <w:rFonts w:ascii="Arial" w:eastAsia="Arial" w:hAnsi="Arial" w:cs="Arial"/>
          <w:sz w:val="21"/>
          <w:lang w:val="es-ES"/>
        </w:rPr>
        <w:t>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w:t>
      </w:r>
      <w:r w:rsidRPr="00A468F2">
        <w:rPr>
          <w:rFonts w:ascii="Arial" w:eastAsia="Arial" w:hAnsi="Arial" w:cs="Arial"/>
          <w:spacing w:val="-31"/>
          <w:sz w:val="21"/>
          <w:lang w:val="es-ES"/>
        </w:rPr>
        <w:t xml:space="preserve"> </w:t>
      </w:r>
      <w:r w:rsidRPr="00A468F2">
        <w:rPr>
          <w:rFonts w:ascii="Arial" w:eastAsia="Arial" w:hAnsi="Arial" w:cs="Arial"/>
          <w:sz w:val="21"/>
          <w:lang w:val="es-ES"/>
        </w:rPr>
        <w:t>contratación.</w:t>
      </w:r>
    </w:p>
    <w:p w14:paraId="34FF4535" w14:textId="77777777" w:rsidR="00296C72" w:rsidRPr="00A468F2" w:rsidRDefault="00296C72" w:rsidP="00296C72">
      <w:pPr>
        <w:widowControl w:val="0"/>
        <w:autoSpaceDE w:val="0"/>
        <w:autoSpaceDN w:val="0"/>
        <w:ind w:left="709" w:right="709"/>
        <w:rPr>
          <w:rFonts w:ascii="Arial" w:eastAsia="Arial" w:hAnsi="Arial" w:cs="Arial"/>
          <w:sz w:val="21"/>
          <w:lang w:val="es-ES"/>
        </w:rPr>
      </w:pPr>
    </w:p>
    <w:p w14:paraId="400EDC3E" w14:textId="77777777" w:rsidR="00296C72" w:rsidRPr="00A468F2" w:rsidRDefault="00296C72" w:rsidP="00296C72">
      <w:pPr>
        <w:widowControl w:val="0"/>
        <w:autoSpaceDE w:val="0"/>
        <w:autoSpaceDN w:val="0"/>
        <w:ind w:left="709" w:right="709"/>
        <w:jc w:val="both"/>
        <w:rPr>
          <w:rFonts w:ascii="Arial" w:eastAsia="Arial" w:hAnsi="Arial" w:cs="Arial"/>
          <w:sz w:val="21"/>
          <w:lang w:val="es-ES"/>
        </w:rPr>
      </w:pPr>
      <w:r w:rsidRPr="00A468F2">
        <w:rPr>
          <w:rFonts w:ascii="Arial" w:eastAsia="Arial" w:hAnsi="Arial" w:cs="Arial"/>
          <w:sz w:val="21"/>
          <w:lang w:val="es-ES"/>
        </w:rPr>
        <w:t>Se tiene entonces que la objetividad en la selección, impone que la descalificación de las ofertas provenga únicamente de la ponderación de los resultados derivados de un riguroso proceso de evaluación plenamente ajustado a la ley y al pliego de condiciones, cuyos resultados además de ser conocidos por cada proponente -en cumplimiento de los principios de publicidad y  transparencia- también sean conocidos por sus competidores con el propósito de controvertirlos, independientemente del mecanismo de calificación que haya sido planteado en los pliegos o términos de</w:t>
      </w:r>
      <w:r w:rsidRPr="00A468F2">
        <w:rPr>
          <w:rFonts w:ascii="Arial" w:eastAsia="Arial" w:hAnsi="Arial" w:cs="Arial"/>
          <w:spacing w:val="-9"/>
          <w:sz w:val="21"/>
          <w:lang w:val="es-ES"/>
        </w:rPr>
        <w:t xml:space="preserve"> </w:t>
      </w:r>
      <w:r w:rsidRPr="00A468F2">
        <w:rPr>
          <w:rFonts w:ascii="Arial" w:eastAsia="Arial" w:hAnsi="Arial" w:cs="Arial"/>
          <w:sz w:val="21"/>
          <w:lang w:val="es-ES"/>
        </w:rPr>
        <w:t>referencia.’</w:t>
      </w:r>
    </w:p>
    <w:p w14:paraId="15241623" w14:textId="77777777" w:rsidR="00296C72" w:rsidRPr="00A468F2" w:rsidRDefault="00296C72" w:rsidP="00296C72">
      <w:pPr>
        <w:widowControl w:val="0"/>
        <w:autoSpaceDE w:val="0"/>
        <w:autoSpaceDN w:val="0"/>
        <w:spacing w:before="2"/>
        <w:ind w:left="709" w:right="709"/>
        <w:rPr>
          <w:rFonts w:ascii="Arial" w:eastAsia="Arial" w:hAnsi="Arial" w:cs="Arial"/>
          <w:sz w:val="21"/>
          <w:lang w:val="es-ES"/>
        </w:rPr>
      </w:pPr>
    </w:p>
    <w:p w14:paraId="2471E780" w14:textId="22CB19F3" w:rsidR="00296C72" w:rsidRPr="00A468F2" w:rsidRDefault="00296C72" w:rsidP="00296C72">
      <w:pPr>
        <w:widowControl w:val="0"/>
        <w:autoSpaceDE w:val="0"/>
        <w:autoSpaceDN w:val="0"/>
        <w:ind w:left="709" w:right="709"/>
        <w:jc w:val="both"/>
        <w:rPr>
          <w:rFonts w:ascii="Arial" w:eastAsia="Arial" w:hAnsi="Arial" w:cs="Arial"/>
          <w:sz w:val="21"/>
          <w:lang w:val="es-ES"/>
        </w:rPr>
      </w:pPr>
      <w:r w:rsidRPr="00A468F2">
        <w:rPr>
          <w:rFonts w:ascii="Arial" w:eastAsia="Arial" w:hAnsi="Arial" w:cs="Arial"/>
          <w:sz w:val="21"/>
          <w:lang w:val="es-ES"/>
        </w:rPr>
        <w:t xml:space="preserve">Quiere con esto destacar la Sala que las causales de rechazo de las propuestas pueden ser legales y por lo mismo generan el efecto del descarte o exclusión de la oferta ope legis, sin necesidad de que se haga referencia a las mismas en el </w:t>
      </w:r>
      <w:r w:rsidRPr="00A468F2">
        <w:rPr>
          <w:rFonts w:ascii="Arial" w:eastAsia="Arial" w:hAnsi="Arial" w:cs="Arial"/>
          <w:sz w:val="21"/>
          <w:lang w:val="es-ES"/>
        </w:rPr>
        <w:lastRenderedPageBreak/>
        <w:t>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w:t>
      </w:r>
      <w:r w:rsidRPr="00A468F2">
        <w:rPr>
          <w:rFonts w:ascii="Arial" w:eastAsia="Arial" w:hAnsi="Arial" w:cs="Arial"/>
          <w:spacing w:val="-6"/>
          <w:sz w:val="21"/>
          <w:lang w:val="es-ES"/>
        </w:rPr>
        <w:t xml:space="preserve"> </w:t>
      </w:r>
      <w:r w:rsidRPr="00A468F2">
        <w:rPr>
          <w:rFonts w:ascii="Arial" w:eastAsia="Arial" w:hAnsi="Arial" w:cs="Arial"/>
          <w:sz w:val="21"/>
          <w:lang w:val="es-ES"/>
        </w:rPr>
        <w:t>contratación</w:t>
      </w:r>
      <w:r w:rsidR="00C55BEA">
        <w:rPr>
          <w:rStyle w:val="Refdenotaalpie"/>
          <w:rFonts w:ascii="Arial" w:eastAsia="Arial" w:hAnsi="Arial" w:cs="Arial"/>
          <w:sz w:val="21"/>
          <w:lang w:val="es-ES"/>
        </w:rPr>
        <w:footnoteReference w:id="17"/>
      </w:r>
      <w:r w:rsidRPr="00A468F2">
        <w:rPr>
          <w:rFonts w:ascii="Arial" w:eastAsia="Arial" w:hAnsi="Arial" w:cs="Arial"/>
          <w:sz w:val="21"/>
          <w:lang w:val="es-ES"/>
        </w:rPr>
        <w:t>.</w:t>
      </w:r>
    </w:p>
    <w:p w14:paraId="40CAE87A" w14:textId="77777777" w:rsidR="00296C72" w:rsidRPr="00A468F2" w:rsidRDefault="00296C72" w:rsidP="00296C72">
      <w:pPr>
        <w:widowControl w:val="0"/>
        <w:autoSpaceDE w:val="0"/>
        <w:autoSpaceDN w:val="0"/>
        <w:spacing w:before="1"/>
        <w:rPr>
          <w:rFonts w:ascii="Arial" w:eastAsia="Arial" w:hAnsi="Arial" w:cs="Arial"/>
          <w:sz w:val="23"/>
          <w:lang w:val="es-ES"/>
        </w:rPr>
      </w:pPr>
    </w:p>
    <w:p w14:paraId="43455508" w14:textId="237D69CC" w:rsidR="00296C72" w:rsidRPr="00296C72" w:rsidRDefault="00296C72" w:rsidP="00296C72">
      <w:pPr>
        <w:widowControl w:val="0"/>
        <w:autoSpaceDE w:val="0"/>
        <w:autoSpaceDN w:val="0"/>
        <w:spacing w:after="120" w:line="276" w:lineRule="auto"/>
        <w:ind w:firstLine="607"/>
        <w:jc w:val="both"/>
        <w:rPr>
          <w:rFonts w:ascii="Arial" w:eastAsia="Arial" w:hAnsi="Arial" w:cs="Arial"/>
          <w:sz w:val="22"/>
          <w:lang w:val="es-ES"/>
        </w:rPr>
      </w:pPr>
      <w:r w:rsidRPr="00A468F2">
        <w:rPr>
          <w:rFonts w:ascii="Arial" w:eastAsia="Arial" w:hAnsi="Arial" w:cs="Arial"/>
          <w:sz w:val="22"/>
          <w:lang w:val="es-ES"/>
        </w:rPr>
        <w:t>De acuerdo con la jurisprudencia citada</w:t>
      </w:r>
      <w:r w:rsidR="00C55BEA">
        <w:rPr>
          <w:rFonts w:ascii="Arial" w:eastAsia="Arial" w:hAnsi="Arial" w:cs="Arial"/>
          <w:sz w:val="22"/>
          <w:lang w:val="es-ES"/>
        </w:rPr>
        <w:t>,</w:t>
      </w:r>
      <w:r w:rsidRPr="00A468F2">
        <w:rPr>
          <w:rFonts w:ascii="Arial" w:eastAsia="Arial" w:hAnsi="Arial" w:cs="Arial"/>
          <w:sz w:val="22"/>
          <w:lang w:val="es-ES"/>
        </w:rPr>
        <w:t xml:space="preserve"> existen dos casos en los que procede el rechazo de la oferta: (i) que </w:t>
      </w:r>
      <w:r w:rsidRPr="00296C72">
        <w:rPr>
          <w:rFonts w:ascii="Arial" w:eastAsia="Arial" w:hAnsi="Arial" w:cs="Arial"/>
          <w:sz w:val="22"/>
          <w:lang w:val="es-ES"/>
        </w:rPr>
        <w:t>se configure alguna de las causales de rechazo establecidas en</w:t>
      </w:r>
      <w:r w:rsidRPr="00A468F2">
        <w:rPr>
          <w:rFonts w:ascii="Arial" w:eastAsia="Arial" w:hAnsi="Arial" w:cs="Arial"/>
          <w:sz w:val="22"/>
          <w:lang w:val="es-ES"/>
        </w:rPr>
        <w:t xml:space="preserve"> ley </w:t>
      </w:r>
      <w:r w:rsidRPr="00296C72">
        <w:rPr>
          <w:rFonts w:ascii="Arial" w:eastAsia="Arial" w:hAnsi="Arial" w:cs="Arial"/>
          <w:sz w:val="22"/>
          <w:lang w:val="es-ES"/>
        </w:rPr>
        <w:t>o en el pliego de condiciones</w:t>
      </w:r>
      <w:r w:rsidRPr="00A468F2">
        <w:rPr>
          <w:rFonts w:ascii="Arial" w:eastAsia="Arial" w:hAnsi="Arial" w:cs="Arial"/>
          <w:sz w:val="22"/>
          <w:lang w:val="es-ES"/>
        </w:rPr>
        <w:t xml:space="preserve"> </w:t>
      </w:r>
      <w:r w:rsidRPr="00296C72">
        <w:rPr>
          <w:rFonts w:ascii="Arial" w:eastAsia="Arial" w:hAnsi="Arial" w:cs="Arial"/>
          <w:sz w:val="22"/>
          <w:lang w:val="es-ES"/>
        </w:rPr>
        <w:t xml:space="preserve">o </w:t>
      </w:r>
      <w:r w:rsidRPr="00A468F2">
        <w:rPr>
          <w:rFonts w:ascii="Arial" w:eastAsia="Arial" w:hAnsi="Arial" w:cs="Arial"/>
          <w:sz w:val="22"/>
          <w:lang w:val="es-ES"/>
        </w:rPr>
        <w:t>(ii) la ausencia de requisitos necesarios para la comparación de ofertas</w:t>
      </w:r>
      <w:r w:rsidRPr="00296C72">
        <w:rPr>
          <w:rFonts w:ascii="Arial" w:eastAsia="Arial" w:hAnsi="Arial" w:cs="Arial"/>
          <w:sz w:val="22"/>
          <w:lang w:val="es-ES"/>
        </w:rPr>
        <w:t xml:space="preserve">. </w:t>
      </w:r>
    </w:p>
    <w:p w14:paraId="55DBDD09" w14:textId="206E65AE" w:rsidR="00296C72" w:rsidRPr="00296C72" w:rsidRDefault="00296C72" w:rsidP="00296C72">
      <w:pPr>
        <w:widowControl w:val="0"/>
        <w:autoSpaceDE w:val="0"/>
        <w:autoSpaceDN w:val="0"/>
        <w:spacing w:line="276" w:lineRule="auto"/>
        <w:ind w:firstLine="608"/>
        <w:jc w:val="both"/>
        <w:rPr>
          <w:rFonts w:ascii="Arial" w:hAnsi="Arial" w:cs="Arial"/>
          <w:sz w:val="22"/>
          <w:lang w:val="es-ES_tradnl"/>
        </w:rPr>
      </w:pPr>
      <w:r w:rsidRPr="00296C72">
        <w:rPr>
          <w:rFonts w:ascii="Arial" w:hAnsi="Arial" w:cs="Arial"/>
          <w:sz w:val="22"/>
          <w:lang w:val="es-ES"/>
        </w:rPr>
        <w:t>En ese sentido, tal como sucede en procesos de licitación pública y en la generalidad de procesos de selección</w:t>
      </w:r>
      <w:r w:rsidR="00B04ADC">
        <w:rPr>
          <w:rFonts w:ascii="Arial" w:hAnsi="Arial" w:cs="Arial"/>
          <w:sz w:val="22"/>
          <w:lang w:val="es-ES"/>
        </w:rPr>
        <w:t>,</w:t>
      </w:r>
      <w:r w:rsidRPr="00296C72">
        <w:rPr>
          <w:rFonts w:ascii="Arial" w:hAnsi="Arial" w:cs="Arial"/>
          <w:sz w:val="22"/>
          <w:lang w:val="es-ES"/>
        </w:rPr>
        <w:t xml:space="preserve"> según las consideraciones de la providencia en cita, las causales de rechazo de la oferta en procesos de mínima cuantía serán las consagradas en la ley o producto de su aplicación, así como las definidas por las entidades en la respectiva invitaci</w:t>
      </w:r>
      <w:r w:rsidR="00B04ADC">
        <w:rPr>
          <w:rFonts w:ascii="Arial" w:hAnsi="Arial" w:cs="Arial"/>
          <w:sz w:val="22"/>
          <w:lang w:val="es-ES"/>
        </w:rPr>
        <w:t>ón</w:t>
      </w:r>
      <w:r w:rsidRPr="00296C72">
        <w:rPr>
          <w:rFonts w:ascii="Arial" w:hAnsi="Arial" w:cs="Arial"/>
          <w:sz w:val="22"/>
          <w:lang w:val="es-ES"/>
        </w:rPr>
        <w:t xml:space="preserve"> a participar, al hacer esta las veces de pliego de condiciones para </w:t>
      </w:r>
      <w:r w:rsidR="007B6F81">
        <w:rPr>
          <w:rFonts w:ascii="Arial" w:hAnsi="Arial" w:cs="Arial"/>
          <w:sz w:val="22"/>
          <w:lang w:val="es-ES"/>
        </w:rPr>
        <w:t>tales</w:t>
      </w:r>
      <w:r w:rsidR="007B6F81" w:rsidRPr="00296C72">
        <w:rPr>
          <w:rFonts w:ascii="Arial" w:hAnsi="Arial" w:cs="Arial"/>
          <w:sz w:val="22"/>
          <w:lang w:val="es-ES"/>
        </w:rPr>
        <w:t xml:space="preserve"> </w:t>
      </w:r>
      <w:r w:rsidRPr="00296C72">
        <w:rPr>
          <w:rFonts w:ascii="Arial" w:hAnsi="Arial" w:cs="Arial"/>
          <w:sz w:val="22"/>
          <w:lang w:val="es-ES"/>
        </w:rPr>
        <w:t xml:space="preserve">efectos. </w:t>
      </w:r>
      <w:r w:rsidR="00EB7DCD">
        <w:rPr>
          <w:rFonts w:ascii="Arial" w:hAnsi="Arial" w:cs="Arial"/>
          <w:sz w:val="22"/>
          <w:lang w:val="es-ES"/>
        </w:rPr>
        <w:t>Esta</w:t>
      </w:r>
      <w:r w:rsidR="00EB7DCD" w:rsidRPr="00296C72">
        <w:rPr>
          <w:rFonts w:ascii="Arial" w:hAnsi="Arial" w:cs="Arial"/>
          <w:sz w:val="22"/>
          <w:lang w:val="es-ES"/>
        </w:rPr>
        <w:t xml:space="preserve"> </w:t>
      </w:r>
      <w:r w:rsidRPr="00296C72">
        <w:rPr>
          <w:rFonts w:ascii="Arial" w:hAnsi="Arial" w:cs="Arial"/>
          <w:sz w:val="22"/>
          <w:lang w:val="es-ES"/>
        </w:rPr>
        <w:t>facultad para establecer causales de rechazo, se encuentra limitada por la regla de subsanabilidad del parágrafo 1 del artículo 5 de la Ley 1150 de 2007, analizada en acápites anteriores, según la cual «</w:t>
      </w:r>
      <w:r w:rsidRPr="00296C72">
        <w:rPr>
          <w:rFonts w:ascii="Arial" w:hAnsi="Arial" w:cs="Arial"/>
          <w:sz w:val="22"/>
        </w:rPr>
        <w:t>La ausencia de requisitos o la falta de documentos referentes a la futura contratación o al proponente, no necesarios para la comparación de las propuestas no servirán de título suficiente para el rechazo de los ofrecimientos hechos», por lo que las entidades no podrán establecer causales de rechazo referentes a meros requisitos formales o rechazar las ofertas</w:t>
      </w:r>
      <w:r w:rsidR="00272FAC">
        <w:rPr>
          <w:rFonts w:ascii="Arial" w:hAnsi="Arial" w:cs="Arial"/>
          <w:sz w:val="22"/>
        </w:rPr>
        <w:t xml:space="preserve"> por tal razón</w:t>
      </w:r>
      <w:r w:rsidRPr="00296C72">
        <w:rPr>
          <w:rFonts w:ascii="Arial" w:hAnsi="Arial" w:cs="Arial"/>
          <w:sz w:val="22"/>
        </w:rPr>
        <w:t>, máxime cuando</w:t>
      </w:r>
      <w:r w:rsidR="00272FAC">
        <w:rPr>
          <w:rFonts w:ascii="Arial" w:hAnsi="Arial" w:cs="Arial"/>
          <w:sz w:val="22"/>
        </w:rPr>
        <w:t>,</w:t>
      </w:r>
      <w:r w:rsidRPr="00296C72">
        <w:rPr>
          <w:rFonts w:ascii="Arial" w:hAnsi="Arial" w:cs="Arial"/>
          <w:sz w:val="22"/>
        </w:rPr>
        <w:t xml:space="preserve"> según el literal c</w:t>
      </w:r>
      <w:r w:rsidR="00272FAC">
        <w:rPr>
          <w:rFonts w:ascii="Arial" w:hAnsi="Arial" w:cs="Arial"/>
          <w:sz w:val="22"/>
        </w:rPr>
        <w:t>)</w:t>
      </w:r>
      <w:r w:rsidRPr="00296C72">
        <w:rPr>
          <w:rFonts w:ascii="Arial" w:hAnsi="Arial" w:cs="Arial"/>
          <w:sz w:val="22"/>
        </w:rPr>
        <w:t xml:space="preserve"> del numeral 5 del artículo 2 de la Ley 1150 de 2007, el menor precio es el único criterio de escogencia en la modalidad de selección en comento.</w:t>
      </w:r>
    </w:p>
    <w:bookmarkEnd w:id="3"/>
    <w:p w14:paraId="24785C89" w14:textId="3882B4BC" w:rsidR="00296C72" w:rsidRPr="00296C72" w:rsidRDefault="00296C72" w:rsidP="00296C72">
      <w:pPr>
        <w:spacing w:line="276" w:lineRule="auto"/>
        <w:jc w:val="both"/>
        <w:rPr>
          <w:rFonts w:ascii="Arial" w:hAnsi="Arial" w:cs="Arial"/>
          <w:sz w:val="22"/>
          <w:lang w:val="es-ES_tradnl"/>
        </w:rPr>
      </w:pPr>
    </w:p>
    <w:p w14:paraId="2B32FD39" w14:textId="77777777" w:rsidR="00296C72" w:rsidRPr="00296C72" w:rsidRDefault="00296C72" w:rsidP="00296C72">
      <w:pPr>
        <w:pStyle w:val="Prrafodelista"/>
        <w:tabs>
          <w:tab w:val="left" w:pos="284"/>
        </w:tabs>
        <w:spacing w:line="276" w:lineRule="auto"/>
        <w:ind w:left="0"/>
        <w:jc w:val="both"/>
        <w:rPr>
          <w:rFonts w:ascii="Arial" w:eastAsia="Calibri" w:hAnsi="Arial" w:cs="Arial"/>
          <w:sz w:val="22"/>
          <w:lang w:val="es-ES_tradnl"/>
        </w:rPr>
      </w:pPr>
      <w:r w:rsidRPr="00296C72">
        <w:rPr>
          <w:rFonts w:ascii="Arial" w:eastAsia="Calibri" w:hAnsi="Arial" w:cs="Arial"/>
          <w:b/>
          <w:sz w:val="22"/>
          <w:lang w:val="es-ES_tradnl"/>
        </w:rPr>
        <w:t>3. Respuesta</w:t>
      </w:r>
    </w:p>
    <w:p w14:paraId="5E293B43" w14:textId="77777777" w:rsidR="00296C72" w:rsidRPr="00296C72" w:rsidRDefault="00296C72" w:rsidP="00296C72">
      <w:pPr>
        <w:spacing w:line="276" w:lineRule="auto"/>
        <w:ind w:left="708" w:right="709"/>
        <w:jc w:val="both"/>
        <w:rPr>
          <w:rFonts w:ascii="Arial" w:eastAsia="Calibri" w:hAnsi="Arial" w:cs="Arial"/>
          <w:sz w:val="22"/>
          <w:lang w:val="es-ES_tradnl"/>
        </w:rPr>
      </w:pPr>
    </w:p>
    <w:p w14:paraId="6ED36516" w14:textId="77777777" w:rsidR="00296C72" w:rsidRPr="00296C72" w:rsidRDefault="00296C72" w:rsidP="00296C72">
      <w:pPr>
        <w:ind w:left="708" w:right="709"/>
        <w:jc w:val="both"/>
        <w:rPr>
          <w:rFonts w:ascii="Arial" w:eastAsia="Calibri" w:hAnsi="Arial" w:cs="Arial"/>
          <w:sz w:val="22"/>
          <w:lang w:val="es-ES_tradnl"/>
        </w:rPr>
      </w:pPr>
      <w:r w:rsidRPr="00296C72">
        <w:rPr>
          <w:rFonts w:ascii="Arial" w:eastAsia="Calibri" w:hAnsi="Arial" w:cs="Arial"/>
          <w:sz w:val="22"/>
          <w:lang w:val="es-ES_tradnl"/>
        </w:rPr>
        <w:t>«1. ¿En los procesos de Mínima Cuantía se debe permitir la subsanación de documentos que no otorgan puntaje? […] 3. Solicito darme a conocer los fundamentos de derecho en los que se debe amparar un oferente para que se le permita subsanar documentos en procesos de mínima cuantía»</w:t>
      </w:r>
    </w:p>
    <w:p w14:paraId="3ED9DE79" w14:textId="77777777" w:rsidR="00296C72" w:rsidRPr="00296C72" w:rsidRDefault="00296C72" w:rsidP="00296C72">
      <w:pPr>
        <w:spacing w:line="276" w:lineRule="auto"/>
        <w:jc w:val="both"/>
        <w:rPr>
          <w:rFonts w:ascii="Arial" w:eastAsia="Calibri" w:hAnsi="Arial" w:cs="Arial"/>
          <w:sz w:val="22"/>
          <w:lang w:val="es-ES_tradnl"/>
        </w:rPr>
      </w:pPr>
    </w:p>
    <w:p w14:paraId="4738ADEF" w14:textId="463F94D5" w:rsidR="00296C72" w:rsidRPr="00296C72" w:rsidRDefault="00296C72" w:rsidP="00296C72">
      <w:pPr>
        <w:spacing w:line="276" w:lineRule="auto"/>
        <w:jc w:val="both"/>
        <w:rPr>
          <w:rFonts w:ascii="Arial" w:eastAsia="Calibri" w:hAnsi="Arial" w:cs="Arial"/>
          <w:sz w:val="22"/>
          <w:lang w:val="es-ES_tradnl"/>
        </w:rPr>
      </w:pPr>
      <w:r w:rsidRPr="00296C72">
        <w:rPr>
          <w:rFonts w:ascii="Arial" w:eastAsia="Calibri" w:hAnsi="Arial" w:cs="Arial"/>
          <w:sz w:val="22"/>
          <w:lang w:val="es-ES_tradnl"/>
        </w:rPr>
        <w:t>En los procesos de mínima cuantía</w:t>
      </w:r>
      <w:r w:rsidR="007E4C7E">
        <w:rPr>
          <w:rFonts w:ascii="Arial" w:eastAsia="Calibri" w:hAnsi="Arial" w:cs="Arial"/>
          <w:sz w:val="22"/>
          <w:lang w:val="es-ES_tradnl"/>
        </w:rPr>
        <w:t>,</w:t>
      </w:r>
      <w:r w:rsidRPr="00296C72">
        <w:rPr>
          <w:rFonts w:ascii="Arial" w:eastAsia="Calibri" w:hAnsi="Arial" w:cs="Arial"/>
          <w:sz w:val="22"/>
          <w:lang w:val="es-ES_tradnl"/>
        </w:rPr>
        <w:t xml:space="preserve"> conforme al parágrafo 1 del artículo 5 de la Ley 1150 de 2007, modificado por el artículo 5 de la Ley 1882 de 2018, debe permitirse la subsanación de documentos o requisitos que no asignen puntaje o no necesarios para la </w:t>
      </w:r>
      <w:r w:rsidRPr="00296C72">
        <w:rPr>
          <w:rFonts w:ascii="Arial" w:eastAsia="Calibri" w:hAnsi="Arial" w:cs="Arial"/>
          <w:sz w:val="22"/>
          <w:lang w:val="es-ES_tradnl"/>
        </w:rPr>
        <w:lastRenderedPageBreak/>
        <w:t xml:space="preserve">comparación de ofertas. La referida norma deja un vacío respecto del momento hasta el cual es procedente la subsanación, al </w:t>
      </w:r>
      <w:r w:rsidR="00D87892">
        <w:rPr>
          <w:rFonts w:ascii="Arial" w:eastAsia="Calibri" w:hAnsi="Arial" w:cs="Arial"/>
          <w:sz w:val="22"/>
          <w:lang w:val="es-ES_tradnl"/>
        </w:rPr>
        <w:t>exceptuar la mínima cuantía</w:t>
      </w:r>
      <w:r w:rsidR="00D87892" w:rsidRPr="00296C72">
        <w:rPr>
          <w:rFonts w:ascii="Arial" w:eastAsia="Calibri" w:hAnsi="Arial" w:cs="Arial"/>
          <w:sz w:val="22"/>
          <w:lang w:val="es-ES_tradnl"/>
        </w:rPr>
        <w:t xml:space="preserve"> </w:t>
      </w:r>
      <w:r w:rsidRPr="00296C72">
        <w:rPr>
          <w:rFonts w:ascii="Arial" w:eastAsia="Calibri" w:hAnsi="Arial" w:cs="Arial"/>
          <w:sz w:val="22"/>
          <w:lang w:val="es-ES_tradnl"/>
        </w:rPr>
        <w:t xml:space="preserve">de la regla general establecida para otras modalidades de selección, razón por la que las entidades cuentan con cierta discrecionalidad para definir dicho término en las invitaciones a participar, el cual en todo caso deberá ser razonable. En los casos en los que no se establezca dicha oportunidad, o no se regule la subsanación, los proponentes podrán allegar los respectivos documentos hasta antes de la aceptación de la oferta. </w:t>
      </w:r>
    </w:p>
    <w:p w14:paraId="64758BD4" w14:textId="77777777" w:rsidR="00296C72" w:rsidRPr="00296C72" w:rsidRDefault="00296C72" w:rsidP="00296C72">
      <w:pPr>
        <w:spacing w:line="276" w:lineRule="auto"/>
        <w:jc w:val="both"/>
        <w:rPr>
          <w:rFonts w:ascii="Arial" w:eastAsia="Calibri" w:hAnsi="Arial" w:cs="Arial"/>
          <w:sz w:val="22"/>
          <w:lang w:val="es-ES_tradnl"/>
        </w:rPr>
      </w:pPr>
    </w:p>
    <w:p w14:paraId="0C823456" w14:textId="77777777" w:rsidR="00296C72" w:rsidRPr="00296C72" w:rsidRDefault="00296C72" w:rsidP="00296C72">
      <w:pPr>
        <w:spacing w:line="276" w:lineRule="auto"/>
        <w:ind w:left="708" w:right="709"/>
        <w:jc w:val="both"/>
        <w:rPr>
          <w:rFonts w:ascii="Arial" w:eastAsia="Calibri" w:hAnsi="Arial" w:cs="Arial"/>
          <w:sz w:val="22"/>
          <w:lang w:val="es-ES_tradnl"/>
        </w:rPr>
      </w:pPr>
      <w:r w:rsidRPr="00296C72">
        <w:rPr>
          <w:rFonts w:ascii="Arial" w:eastAsia="Calibri" w:hAnsi="Arial" w:cs="Arial"/>
          <w:sz w:val="22"/>
          <w:lang w:val="es-ES_tradnl"/>
        </w:rPr>
        <w:t>«2. ¿Cuáles [sic] son las causales de rechazo de plano de las ofertas en un proceso de mínima cuantia? [sic]</w:t>
      </w:r>
    </w:p>
    <w:p w14:paraId="7A1E856E" w14:textId="77777777" w:rsidR="00296C72" w:rsidRPr="00296C72" w:rsidRDefault="00296C72" w:rsidP="00296C72">
      <w:pPr>
        <w:spacing w:line="276" w:lineRule="auto"/>
        <w:jc w:val="both"/>
        <w:rPr>
          <w:rFonts w:ascii="Arial" w:eastAsia="Calibri" w:hAnsi="Arial" w:cs="Arial"/>
          <w:sz w:val="22"/>
          <w:lang w:val="es-ES_tradnl"/>
        </w:rPr>
      </w:pPr>
    </w:p>
    <w:p w14:paraId="7FF1C405" w14:textId="103D9A4E" w:rsidR="00296C72" w:rsidRPr="00296C72" w:rsidRDefault="00296C72" w:rsidP="00296C72">
      <w:pPr>
        <w:spacing w:after="120" w:line="276" w:lineRule="auto"/>
        <w:jc w:val="both"/>
        <w:rPr>
          <w:rFonts w:ascii="Arial" w:eastAsia="Calibri" w:hAnsi="Arial" w:cs="Arial"/>
          <w:sz w:val="22"/>
          <w:lang w:val="es-ES_tradnl"/>
        </w:rPr>
      </w:pPr>
      <w:r w:rsidRPr="00296C72">
        <w:rPr>
          <w:rFonts w:ascii="Arial" w:eastAsia="Calibri" w:hAnsi="Arial" w:cs="Arial"/>
          <w:sz w:val="22"/>
          <w:lang w:val="es-ES_tradnl"/>
        </w:rPr>
        <w:t xml:space="preserve">Las causales de rechazo de plano de las ofertas en los procesos de mínima cuantía serán </w:t>
      </w:r>
      <w:r w:rsidR="00EF49F2">
        <w:rPr>
          <w:rFonts w:ascii="Arial" w:eastAsia="Calibri" w:hAnsi="Arial" w:cs="Arial"/>
          <w:sz w:val="22"/>
          <w:lang w:val="es-ES_tradnl"/>
        </w:rPr>
        <w:t>l</w:t>
      </w:r>
      <w:r w:rsidRPr="00296C72">
        <w:rPr>
          <w:rFonts w:ascii="Arial" w:eastAsia="Calibri" w:hAnsi="Arial" w:cs="Arial"/>
          <w:sz w:val="22"/>
          <w:lang w:val="es-ES_tradnl"/>
        </w:rPr>
        <w:t xml:space="preserve">as establecidas en la ley, o producto de su aplicación, así como las razonablemente establecidas por las entidades en las invitaciones a cotizar. </w:t>
      </w:r>
    </w:p>
    <w:p w14:paraId="78F9E5C7" w14:textId="77777777" w:rsidR="00296C72" w:rsidRPr="00296C72" w:rsidRDefault="00296C72" w:rsidP="00296C72">
      <w:pPr>
        <w:spacing w:line="276" w:lineRule="auto"/>
        <w:ind w:firstLine="708"/>
        <w:jc w:val="both"/>
        <w:rPr>
          <w:rFonts w:ascii="Arial" w:eastAsia="Calibri" w:hAnsi="Arial" w:cs="Arial"/>
          <w:sz w:val="22"/>
          <w:lang w:val="es-ES_tradnl"/>
        </w:rPr>
      </w:pPr>
      <w:r w:rsidRPr="00296C72">
        <w:rPr>
          <w:rFonts w:ascii="Arial" w:eastAsia="Calibri" w:hAnsi="Arial" w:cs="Arial"/>
          <w:sz w:val="22"/>
          <w:lang w:val="es-ES_tradnl"/>
        </w:rPr>
        <w:t>Tal posibilidad de rechazo se encuentra limitada por la regla de subsanabilidad establecida en el parágrafo 1 del artículo 5 de la Ley 1150 de 2007, según la cual las entidades deben permitir la subsanación de documentos no necesarios para la comparación de ofertas.</w:t>
      </w:r>
    </w:p>
    <w:p w14:paraId="25F10E23" w14:textId="77777777" w:rsidR="00296C72" w:rsidRPr="00296C72" w:rsidRDefault="00296C72" w:rsidP="00296C72">
      <w:pPr>
        <w:spacing w:line="276" w:lineRule="auto"/>
        <w:jc w:val="both"/>
        <w:rPr>
          <w:rFonts w:ascii="Arial" w:eastAsia="Calibri" w:hAnsi="Arial" w:cs="Arial"/>
          <w:sz w:val="22"/>
          <w:lang w:val="es-ES_tradnl"/>
        </w:rPr>
      </w:pPr>
    </w:p>
    <w:p w14:paraId="2BB81E85" w14:textId="77777777" w:rsidR="00296C72" w:rsidRPr="00296C72" w:rsidRDefault="00296C72" w:rsidP="00296C72">
      <w:pPr>
        <w:spacing w:line="276" w:lineRule="auto"/>
        <w:jc w:val="both"/>
        <w:rPr>
          <w:rFonts w:ascii="Arial" w:eastAsia="Calibri" w:hAnsi="Arial" w:cs="Arial"/>
          <w:sz w:val="22"/>
          <w:lang w:val="es-ES_tradnl"/>
        </w:rPr>
      </w:pPr>
      <w:r w:rsidRPr="00296C72">
        <w:rPr>
          <w:rFonts w:ascii="Arial" w:eastAsia="Calibri" w:hAnsi="Arial" w:cs="Arial"/>
          <w:sz w:val="22"/>
          <w:lang w:val="es-ES_tradnl"/>
        </w:rPr>
        <w:t>Este concepto tiene el alcance previsto en el artículo 28 del Código de Procedimiento Administrativo y de lo Contencioso Administrativo.</w:t>
      </w:r>
    </w:p>
    <w:p w14:paraId="5177AAEF" w14:textId="5CCAEAE1" w:rsidR="00296C72" w:rsidRPr="00296C72" w:rsidRDefault="00296C72" w:rsidP="3A757BBF">
      <w:pPr>
        <w:spacing w:line="276" w:lineRule="auto"/>
        <w:jc w:val="both"/>
        <w:rPr>
          <w:rFonts w:ascii="Arial" w:eastAsia="Calibri" w:hAnsi="Arial" w:cs="Arial"/>
          <w:sz w:val="22"/>
          <w:lang w:val="es-ES"/>
        </w:rPr>
      </w:pPr>
      <w:r w:rsidRPr="00296C72">
        <w:rPr>
          <w:noProof/>
          <w:lang w:val="en-US"/>
        </w:rPr>
        <mc:AlternateContent>
          <mc:Choice Requires="wps">
            <w:drawing>
              <wp:anchor distT="0" distB="0" distL="114300" distR="114300" simplePos="0" relativeHeight="251659264" behindDoc="0" locked="0" layoutInCell="1" allowOverlap="1" wp14:anchorId="65AAC79A" wp14:editId="63B84CDD">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766C37F">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26BFD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6E987D0B" w14:textId="431986D5" w:rsidR="00296C72" w:rsidRPr="00296C72" w:rsidRDefault="00296C72" w:rsidP="3A757BBF">
      <w:pPr>
        <w:spacing w:line="276" w:lineRule="auto"/>
        <w:rPr>
          <w:rFonts w:ascii="Arial" w:hAnsi="Arial" w:cs="Arial"/>
          <w:sz w:val="22"/>
          <w:lang w:val="es-ES" w:eastAsia="es-CO"/>
        </w:rPr>
      </w:pPr>
      <w:r w:rsidRPr="3A757BBF">
        <w:rPr>
          <w:rFonts w:ascii="Arial" w:hAnsi="Arial" w:cs="Arial"/>
          <w:sz w:val="22"/>
          <w:lang w:val="es-ES" w:eastAsia="es-CO"/>
        </w:rPr>
        <w:t>Atentamente,</w:t>
      </w:r>
      <w:r w:rsidRPr="3A757BBF">
        <w:rPr>
          <w:noProof/>
        </w:rPr>
        <w:t xml:space="preserve"> </w:t>
      </w:r>
    </w:p>
    <w:p w14:paraId="46CF0324" w14:textId="2EFA0FFE" w:rsidR="00296C72" w:rsidRPr="00296C72" w:rsidRDefault="00296C72" w:rsidP="00296C72">
      <w:pPr>
        <w:spacing w:line="276" w:lineRule="auto"/>
        <w:jc w:val="center"/>
        <w:rPr>
          <w:rFonts w:ascii="Arial" w:hAnsi="Arial" w:cs="Arial"/>
          <w:sz w:val="22"/>
          <w:lang w:val="es-ES_tradnl" w:eastAsia="es-CO"/>
        </w:rPr>
      </w:pPr>
    </w:p>
    <w:p w14:paraId="4ECB00CE" w14:textId="4EF099B0" w:rsidR="00296C72" w:rsidRPr="00296C72" w:rsidRDefault="32FE1E98" w:rsidP="3A757BBF">
      <w:pPr>
        <w:spacing w:line="276" w:lineRule="auto"/>
        <w:jc w:val="center"/>
      </w:pPr>
      <w:r>
        <w:rPr>
          <w:noProof/>
        </w:rPr>
        <w:drawing>
          <wp:inline distT="0" distB="0" distL="0" distR="0" wp14:anchorId="11835327" wp14:editId="09073B40">
            <wp:extent cx="2771775" cy="990600"/>
            <wp:effectExtent l="0" t="0" r="0" b="0"/>
            <wp:docPr id="876635372" name="Imagen 876635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5A6408FB" w14:textId="29B9ED80" w:rsidR="00296C72" w:rsidRPr="00296C72" w:rsidRDefault="00296C72" w:rsidP="00296C72">
      <w:pPr>
        <w:spacing w:line="276" w:lineRule="auto"/>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96C72" w:rsidRPr="00296C72" w14:paraId="12E7E3EB" w14:textId="77777777" w:rsidTr="005231F8">
        <w:trPr>
          <w:trHeight w:val="315"/>
        </w:trPr>
        <w:tc>
          <w:tcPr>
            <w:tcW w:w="812" w:type="dxa"/>
            <w:vAlign w:val="center"/>
            <w:hideMark/>
          </w:tcPr>
          <w:p w14:paraId="4AB969D0" w14:textId="77777777" w:rsidR="00296C72" w:rsidRPr="00296C72" w:rsidRDefault="00296C72" w:rsidP="005231F8">
            <w:pPr>
              <w:spacing w:line="276" w:lineRule="auto"/>
              <w:rPr>
                <w:rFonts w:ascii="Arial" w:hAnsi="Arial" w:cs="Arial"/>
                <w:sz w:val="16"/>
                <w:szCs w:val="16"/>
                <w:lang w:val="es-ES_tradnl" w:eastAsia="es-ES"/>
              </w:rPr>
            </w:pPr>
            <w:r w:rsidRPr="00296C72">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61D283B" w14:textId="77777777" w:rsidR="00296C72" w:rsidRPr="00296C72" w:rsidRDefault="00296C72" w:rsidP="005231F8">
            <w:pPr>
              <w:spacing w:line="276" w:lineRule="auto"/>
              <w:rPr>
                <w:rFonts w:ascii="Arial" w:hAnsi="Arial" w:cs="Arial"/>
                <w:sz w:val="16"/>
                <w:szCs w:val="16"/>
                <w:lang w:val="es-ES_tradnl" w:eastAsia="es-ES"/>
              </w:rPr>
            </w:pPr>
            <w:r w:rsidRPr="00296C72">
              <w:rPr>
                <w:rFonts w:ascii="Arial" w:hAnsi="Arial" w:cs="Arial"/>
                <w:sz w:val="16"/>
                <w:szCs w:val="16"/>
                <w:lang w:val="es-ES_tradnl" w:eastAsia="es-ES"/>
              </w:rPr>
              <w:t>Alejandro Sarmiento Cantillo</w:t>
            </w:r>
          </w:p>
          <w:p w14:paraId="679D26D7" w14:textId="77777777" w:rsidR="00296C72" w:rsidRPr="00296C72" w:rsidRDefault="00296C72" w:rsidP="005231F8">
            <w:pPr>
              <w:spacing w:line="276" w:lineRule="auto"/>
              <w:rPr>
                <w:rFonts w:ascii="Arial" w:hAnsi="Arial" w:cs="Arial"/>
                <w:sz w:val="16"/>
                <w:szCs w:val="16"/>
                <w:lang w:val="es-ES_tradnl" w:eastAsia="es-ES"/>
              </w:rPr>
            </w:pPr>
            <w:r w:rsidRPr="00296C72">
              <w:rPr>
                <w:rFonts w:ascii="Arial" w:hAnsi="Arial" w:cs="Arial"/>
                <w:sz w:val="16"/>
                <w:szCs w:val="16"/>
                <w:lang w:val="es-ES_tradnl" w:eastAsia="es-ES"/>
              </w:rPr>
              <w:t>Contratista de la Subdirección de Gestión Contractual</w:t>
            </w:r>
          </w:p>
        </w:tc>
      </w:tr>
      <w:tr w:rsidR="00296C72" w:rsidRPr="00296C72" w14:paraId="614917D3" w14:textId="77777777" w:rsidTr="005231F8">
        <w:trPr>
          <w:trHeight w:val="330"/>
        </w:trPr>
        <w:tc>
          <w:tcPr>
            <w:tcW w:w="812" w:type="dxa"/>
            <w:vAlign w:val="center"/>
            <w:hideMark/>
          </w:tcPr>
          <w:p w14:paraId="651F71BB" w14:textId="77777777" w:rsidR="00296C72" w:rsidRPr="00296C72" w:rsidRDefault="00296C72" w:rsidP="005231F8">
            <w:pPr>
              <w:spacing w:line="276" w:lineRule="auto"/>
              <w:rPr>
                <w:rFonts w:ascii="Arial" w:hAnsi="Arial" w:cs="Arial"/>
                <w:sz w:val="16"/>
                <w:szCs w:val="16"/>
                <w:lang w:val="es-ES_tradnl" w:eastAsia="es-ES"/>
              </w:rPr>
            </w:pPr>
            <w:r w:rsidRPr="00296C72">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25AF817" w14:textId="0CBF42B2" w:rsidR="00296C72" w:rsidRPr="00296C72" w:rsidRDefault="00F93FD0" w:rsidP="005231F8">
            <w:pPr>
              <w:spacing w:line="276" w:lineRule="auto"/>
              <w:rPr>
                <w:rFonts w:ascii="Arial" w:hAnsi="Arial" w:cs="Arial"/>
                <w:sz w:val="16"/>
                <w:szCs w:val="16"/>
                <w:lang w:val="es-ES_tradnl" w:eastAsia="es-ES"/>
              </w:rPr>
            </w:pPr>
            <w:r>
              <w:rPr>
                <w:rFonts w:ascii="Arial" w:hAnsi="Arial" w:cs="Arial"/>
                <w:sz w:val="16"/>
                <w:szCs w:val="16"/>
                <w:lang w:val="es-ES_tradnl" w:eastAsia="es-ES"/>
              </w:rPr>
              <w:t>Cristian Andrés Díaz Díez</w:t>
            </w:r>
          </w:p>
          <w:p w14:paraId="76EC4612" w14:textId="77777777" w:rsidR="00296C72" w:rsidRPr="00296C72" w:rsidRDefault="00296C72" w:rsidP="005231F8">
            <w:pPr>
              <w:spacing w:line="276" w:lineRule="auto"/>
              <w:rPr>
                <w:rFonts w:ascii="Arial" w:hAnsi="Arial" w:cs="Arial"/>
                <w:sz w:val="16"/>
                <w:szCs w:val="16"/>
                <w:lang w:val="es-ES_tradnl" w:eastAsia="es-ES"/>
              </w:rPr>
            </w:pPr>
            <w:r w:rsidRPr="00296C72">
              <w:rPr>
                <w:rFonts w:ascii="Arial" w:hAnsi="Arial" w:cs="Arial"/>
                <w:sz w:val="16"/>
                <w:szCs w:val="16"/>
                <w:lang w:val="es-ES_tradnl" w:eastAsia="es-ES"/>
              </w:rPr>
              <w:t>Contratista de la Subdirección de Gestión Contractual</w:t>
            </w:r>
          </w:p>
        </w:tc>
      </w:tr>
      <w:tr w:rsidR="00296C72" w:rsidRPr="00296C72" w14:paraId="2300DD5C" w14:textId="77777777" w:rsidTr="0082701A">
        <w:trPr>
          <w:trHeight w:val="274"/>
        </w:trPr>
        <w:tc>
          <w:tcPr>
            <w:tcW w:w="812" w:type="dxa"/>
            <w:vAlign w:val="center"/>
            <w:hideMark/>
          </w:tcPr>
          <w:p w14:paraId="4C23F12A" w14:textId="77777777" w:rsidR="00296C72" w:rsidRPr="00296C72" w:rsidRDefault="00296C72" w:rsidP="005231F8">
            <w:pPr>
              <w:spacing w:line="276" w:lineRule="auto"/>
              <w:rPr>
                <w:rFonts w:ascii="Arial" w:hAnsi="Arial" w:cs="Arial"/>
                <w:sz w:val="16"/>
                <w:szCs w:val="16"/>
                <w:lang w:val="es-ES_tradnl" w:eastAsia="es-ES"/>
              </w:rPr>
            </w:pPr>
            <w:r w:rsidRPr="00296C72">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9E7A73C" w14:textId="77777777" w:rsidR="00296C72" w:rsidRPr="00296C72" w:rsidRDefault="00296C72" w:rsidP="005231F8">
            <w:pPr>
              <w:spacing w:line="276" w:lineRule="auto"/>
              <w:rPr>
                <w:rFonts w:ascii="Arial" w:hAnsi="Arial" w:cs="Arial"/>
                <w:sz w:val="16"/>
                <w:szCs w:val="16"/>
                <w:lang w:val="es-ES_tradnl" w:eastAsia="es-ES"/>
              </w:rPr>
            </w:pPr>
            <w:r w:rsidRPr="00296C72">
              <w:rPr>
                <w:rFonts w:ascii="Arial" w:hAnsi="Arial" w:cs="Arial"/>
                <w:sz w:val="16"/>
                <w:szCs w:val="16"/>
                <w:lang w:val="es-ES_tradnl" w:eastAsia="es-ES"/>
              </w:rPr>
              <w:t>Fabián Gonzalo Marín Cortés</w:t>
            </w:r>
          </w:p>
          <w:p w14:paraId="67076D81" w14:textId="77777777" w:rsidR="00296C72" w:rsidRPr="00296C72" w:rsidRDefault="00296C72" w:rsidP="005231F8">
            <w:pPr>
              <w:spacing w:line="276" w:lineRule="auto"/>
              <w:rPr>
                <w:rFonts w:ascii="Arial" w:hAnsi="Arial" w:cs="Arial"/>
                <w:sz w:val="16"/>
                <w:szCs w:val="16"/>
                <w:lang w:val="es-ES_tradnl" w:eastAsia="es-ES"/>
              </w:rPr>
            </w:pPr>
            <w:r w:rsidRPr="00296C72">
              <w:rPr>
                <w:rFonts w:ascii="Arial" w:hAnsi="Arial" w:cs="Arial"/>
                <w:sz w:val="16"/>
                <w:szCs w:val="16"/>
                <w:lang w:val="es-ES_tradnl" w:eastAsia="es-ES"/>
              </w:rPr>
              <w:t>Subdirector de Gestión Contractual</w:t>
            </w:r>
          </w:p>
        </w:tc>
      </w:tr>
      <w:bookmarkEnd w:id="2"/>
    </w:tbl>
    <w:p w14:paraId="7EBF297E" w14:textId="5790A9B7" w:rsidR="007B0854" w:rsidRPr="00296C72" w:rsidRDefault="007B0854" w:rsidP="00296C72">
      <w:pPr>
        <w:rPr>
          <w:lang w:val="es-ES_tradnl"/>
        </w:rPr>
      </w:pPr>
    </w:p>
    <w:sectPr w:rsidR="007B0854" w:rsidRPr="00296C72"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A4A43E" w14:textId="77777777" w:rsidR="00580C85" w:rsidRDefault="00580C85">
      <w:r>
        <w:separator/>
      </w:r>
    </w:p>
  </w:endnote>
  <w:endnote w:type="continuationSeparator" w:id="0">
    <w:p w14:paraId="1BE9B37F" w14:textId="77777777" w:rsidR="00580C85" w:rsidRDefault="00580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2ABBDC0" w:rsidR="000821E1" w:rsidRDefault="000821E1" w:rsidP="00320DE3">
    <w:pPr>
      <w:pStyle w:val="Sinespaciado"/>
      <w:jc w:val="center"/>
      <w:rPr>
        <w:rFonts w:ascii="Arial" w:hAnsi="Arial" w:cs="Arial"/>
        <w:sz w:val="18"/>
        <w:szCs w:val="18"/>
      </w:rPr>
    </w:pPr>
  </w:p>
  <w:p w14:paraId="019B3064" w14:textId="77777777" w:rsidR="000821E1" w:rsidRDefault="000821E1" w:rsidP="00320DE3">
    <w:pPr>
      <w:pStyle w:val="Sinespaciado"/>
      <w:jc w:val="center"/>
      <w:rPr>
        <w:rFonts w:ascii="Arial" w:hAnsi="Arial" w:cs="Arial"/>
        <w:sz w:val="18"/>
        <w:szCs w:val="18"/>
      </w:rPr>
    </w:pPr>
  </w:p>
  <w:p w14:paraId="7A3785F3" w14:textId="42CB8201" w:rsidR="000821E1" w:rsidRPr="008217B7" w:rsidRDefault="000821E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8371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83716">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48FC6A04" w14:textId="5FD1A7C9" w:rsidR="000821E1" w:rsidRDefault="684653D1" w:rsidP="00322937">
    <w:pPr>
      <w:pStyle w:val="Piedepgina"/>
      <w:jc w:val="center"/>
      <w:rPr>
        <w:lang w:val="es-ES"/>
      </w:rPr>
    </w:pPr>
    <w:r>
      <w:rPr>
        <w:noProof/>
      </w:rPr>
      <w:drawing>
        <wp:inline distT="0" distB="0" distL="0" distR="0" wp14:anchorId="608B196D" wp14:editId="0FE37B9E">
          <wp:extent cx="3700130" cy="519139"/>
          <wp:effectExtent l="0" t="0" r="0" b="0"/>
          <wp:docPr id="19534721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6DB2BFF" w14:textId="77777777" w:rsidR="000821E1" w:rsidRDefault="000821E1" w:rsidP="00320DE3">
    <w:pPr>
      <w:pStyle w:val="Sinespaciado"/>
      <w:jc w:val="center"/>
      <w:rPr>
        <w:rFonts w:ascii="Arial" w:hAnsi="Arial" w:cs="Arial"/>
        <w:sz w:val="18"/>
        <w:szCs w:val="18"/>
      </w:rPr>
    </w:pPr>
  </w:p>
  <w:p w14:paraId="1133ADFB" w14:textId="77777777" w:rsidR="000821E1" w:rsidRDefault="000821E1"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820EBC" w14:textId="77777777" w:rsidR="00580C85" w:rsidRDefault="00580C85">
      <w:r>
        <w:separator/>
      </w:r>
    </w:p>
  </w:footnote>
  <w:footnote w:type="continuationSeparator" w:id="0">
    <w:p w14:paraId="421A4CE2" w14:textId="77777777" w:rsidR="00580C85" w:rsidRDefault="00580C85">
      <w:r>
        <w:continuationSeparator/>
      </w:r>
    </w:p>
  </w:footnote>
  <w:footnote w:id="1">
    <w:p w14:paraId="62B255DE" w14:textId="77777777" w:rsidR="00296C72" w:rsidRPr="00EE46E5" w:rsidRDefault="00296C72" w:rsidP="00296C72">
      <w:pPr>
        <w:pStyle w:val="Textonotapie"/>
        <w:ind w:firstLine="709"/>
        <w:jc w:val="both"/>
        <w:rPr>
          <w:rFonts w:ascii="Arial" w:hAnsi="Arial" w:cs="Arial"/>
          <w:color w:val="404040" w:themeColor="text1" w:themeTint="BF"/>
          <w:sz w:val="18"/>
          <w:szCs w:val="18"/>
          <w:lang w:val="es-ES"/>
        </w:rPr>
      </w:pPr>
      <w:r w:rsidRPr="00EE46E5">
        <w:rPr>
          <w:rStyle w:val="Refdenotaalpie"/>
          <w:rFonts w:ascii="Arial" w:hAnsi="Arial" w:cs="Arial"/>
          <w:color w:val="404040" w:themeColor="text1" w:themeTint="BF"/>
          <w:sz w:val="18"/>
          <w:szCs w:val="18"/>
        </w:rPr>
        <w:footnoteRef/>
      </w:r>
      <w:r w:rsidRPr="00EE46E5">
        <w:rPr>
          <w:rFonts w:ascii="Arial" w:hAnsi="Arial" w:cs="Arial"/>
          <w:color w:val="404040" w:themeColor="text1" w:themeTint="BF"/>
          <w:sz w:val="18"/>
          <w:szCs w:val="18"/>
        </w:rPr>
        <w:t xml:space="preserve"> </w:t>
      </w:r>
      <w:r w:rsidRPr="00EE46E5">
        <w:rPr>
          <w:rFonts w:ascii="Arial" w:hAnsi="Arial" w:cs="Arial"/>
          <w:color w:val="404040" w:themeColor="text1" w:themeTint="BF"/>
          <w:sz w:val="18"/>
          <w:szCs w:val="18"/>
          <w:lang w:val="es-ES"/>
        </w:rPr>
        <w:t>Al respecto, conviene recordar el artículo 29 de la Ley 80 de 1993, derogado por el artículo 32 de la Ley 1150 de 2007, que establecía: «La selección de contratistas será objetiva.</w:t>
      </w:r>
    </w:p>
    <w:p w14:paraId="6E9500AF" w14:textId="77777777" w:rsidR="00296C72" w:rsidRPr="00EE46E5" w:rsidRDefault="00296C72" w:rsidP="00296C72">
      <w:pPr>
        <w:pStyle w:val="Textonotapie"/>
        <w:ind w:firstLine="709"/>
        <w:jc w:val="both"/>
        <w:rPr>
          <w:rFonts w:ascii="Arial" w:hAnsi="Arial" w:cs="Arial"/>
          <w:color w:val="404040" w:themeColor="text1" w:themeTint="BF"/>
          <w:sz w:val="18"/>
          <w:szCs w:val="18"/>
          <w:lang w:val="es-ES"/>
        </w:rPr>
      </w:pPr>
      <w:r w:rsidRPr="00EE46E5">
        <w:rPr>
          <w:rFonts w:ascii="Arial" w:hAnsi="Arial" w:cs="Arial"/>
          <w:color w:val="404040" w:themeColor="text1" w:themeTint="BF"/>
          <w:sz w:val="18"/>
          <w:szCs w:val="18"/>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65482E03" w14:textId="77777777" w:rsidR="00296C72" w:rsidRPr="00EE46E5" w:rsidRDefault="00296C72" w:rsidP="00296C72">
      <w:pPr>
        <w:pStyle w:val="Textonotapie"/>
        <w:ind w:firstLine="709"/>
        <w:jc w:val="both"/>
        <w:rPr>
          <w:rFonts w:ascii="Arial" w:hAnsi="Arial" w:cs="Arial"/>
          <w:color w:val="404040" w:themeColor="text1" w:themeTint="BF"/>
          <w:sz w:val="18"/>
          <w:szCs w:val="18"/>
          <w:lang w:val="es-ES"/>
        </w:rPr>
      </w:pPr>
      <w:r w:rsidRPr="00EE46E5">
        <w:rPr>
          <w:rFonts w:ascii="Arial" w:hAnsi="Arial" w:cs="Arial"/>
          <w:color w:val="404040" w:themeColor="text1" w:themeTint="BF"/>
          <w:sz w:val="18"/>
          <w:szCs w:val="18"/>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1D1A0D6C" w14:textId="77777777" w:rsidR="00296C72" w:rsidRPr="00EE46E5" w:rsidRDefault="00296C72" w:rsidP="00296C72">
      <w:pPr>
        <w:pStyle w:val="Textonotapie"/>
        <w:ind w:firstLine="709"/>
        <w:jc w:val="both"/>
        <w:rPr>
          <w:rFonts w:ascii="Arial" w:hAnsi="Arial" w:cs="Arial"/>
          <w:color w:val="404040" w:themeColor="text1" w:themeTint="BF"/>
          <w:sz w:val="18"/>
          <w:szCs w:val="18"/>
          <w:lang w:val="es-ES"/>
        </w:rPr>
      </w:pPr>
      <w:r w:rsidRPr="00EE46E5">
        <w:rPr>
          <w:rFonts w:ascii="Arial" w:hAnsi="Arial" w:cs="Arial"/>
          <w:color w:val="404040" w:themeColor="text1" w:themeTint="BF"/>
          <w:sz w:val="18"/>
          <w:szCs w:val="18"/>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0B81A408" w14:textId="77777777" w:rsidR="00296C72" w:rsidRPr="00EE46E5" w:rsidRDefault="00296C72" w:rsidP="00296C72">
      <w:pPr>
        <w:pStyle w:val="Textonotapie"/>
        <w:ind w:firstLine="709"/>
        <w:jc w:val="both"/>
        <w:rPr>
          <w:rFonts w:ascii="Arial" w:hAnsi="Arial" w:cs="Arial"/>
          <w:color w:val="404040" w:themeColor="text1" w:themeTint="BF"/>
          <w:sz w:val="18"/>
          <w:szCs w:val="18"/>
          <w:lang w:val="es-ES"/>
        </w:rPr>
      </w:pPr>
      <w:r w:rsidRPr="00EE46E5">
        <w:rPr>
          <w:rFonts w:ascii="Arial" w:hAnsi="Arial" w:cs="Arial"/>
          <w:color w:val="404040" w:themeColor="text1" w:themeTint="BF"/>
          <w:sz w:val="18"/>
          <w:szCs w:val="18"/>
          <w:lang w:val="es-ES"/>
        </w:rPr>
        <w:t>»En caso de comparación de propuestas nacionales y extranjeras, se incluirán los costos necesarios para la entrega del producto terminado en el lugar de su utilización».</w:t>
      </w:r>
    </w:p>
    <w:p w14:paraId="077E7870" w14:textId="77777777" w:rsidR="00296C72" w:rsidRPr="00EE46E5" w:rsidRDefault="00296C72" w:rsidP="00296C72">
      <w:pPr>
        <w:pStyle w:val="Textonotapie"/>
        <w:ind w:firstLine="709"/>
        <w:jc w:val="both"/>
        <w:rPr>
          <w:rFonts w:ascii="Arial" w:hAnsi="Arial" w:cs="Arial"/>
          <w:color w:val="404040" w:themeColor="text1" w:themeTint="BF"/>
          <w:sz w:val="18"/>
          <w:szCs w:val="18"/>
          <w:lang w:val="es-ES"/>
        </w:rPr>
      </w:pPr>
    </w:p>
  </w:footnote>
  <w:footnote w:id="2">
    <w:p w14:paraId="19DF16A3" w14:textId="77777777" w:rsidR="00296C72" w:rsidRPr="00EE46E5" w:rsidRDefault="00296C72" w:rsidP="00296C72">
      <w:pPr>
        <w:ind w:firstLine="709"/>
        <w:jc w:val="both"/>
        <w:rPr>
          <w:rFonts w:ascii="Arial" w:eastAsia="Calibri" w:hAnsi="Arial" w:cs="Arial"/>
          <w:color w:val="404040" w:themeColor="text1" w:themeTint="BF"/>
          <w:sz w:val="18"/>
          <w:szCs w:val="18"/>
          <w:lang w:val="es-ES_tradnl"/>
        </w:rPr>
      </w:pPr>
      <w:r w:rsidRPr="00EE46E5">
        <w:rPr>
          <w:rStyle w:val="Refdenotaalpie"/>
          <w:rFonts w:ascii="Arial" w:hAnsi="Arial" w:cs="Arial"/>
          <w:color w:val="404040" w:themeColor="text1" w:themeTint="BF"/>
          <w:sz w:val="18"/>
          <w:szCs w:val="18"/>
        </w:rPr>
        <w:footnoteRef/>
      </w:r>
      <w:r w:rsidRPr="00EE46E5">
        <w:rPr>
          <w:rFonts w:ascii="Arial" w:hAnsi="Arial" w:cs="Arial"/>
          <w:color w:val="404040" w:themeColor="text1" w:themeTint="BF"/>
          <w:sz w:val="18"/>
          <w:szCs w:val="18"/>
        </w:rPr>
        <w:t xml:space="preserve"> </w:t>
      </w:r>
      <w:r w:rsidRPr="00EE46E5">
        <w:rPr>
          <w:rFonts w:ascii="Arial" w:eastAsia="Calibri" w:hAnsi="Arial" w:cs="Arial"/>
          <w:color w:val="404040" w:themeColor="text1" w:themeTint="BF"/>
          <w:sz w:val="18"/>
          <w:szCs w:val="18"/>
          <w:lang w:val="es-ES_tradnl"/>
        </w:rPr>
        <w:t>Enunciado normativo en el que se lee: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1E743CAA" w14:textId="17814B18" w:rsidR="00296C72" w:rsidRPr="00EE46E5" w:rsidRDefault="005E4C2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C480A3D" w14:textId="562A9BAD" w:rsidR="00296C72" w:rsidRPr="00EE46E5" w:rsidRDefault="005E4C2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22BDC71D" w14:textId="3BA33263" w:rsidR="00296C72" w:rsidRPr="00EE46E5" w:rsidRDefault="005E4C2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En los procesos de selección en los que se tenga en cuenta los factores técnicos y económicos, la oferta más ventajosa será la que resulte de aplicar alguna de las siguientes alternativas:</w:t>
      </w:r>
    </w:p>
    <w:p w14:paraId="658C6E3D" w14:textId="7ED0C113" w:rsidR="00296C72" w:rsidRPr="00EE46E5" w:rsidRDefault="005E4C2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a) La ponderación de los elementos de calidad y precio soportados en puntajes o fórmulas señaladas en el pliego de condiciones; o</w:t>
      </w:r>
    </w:p>
    <w:p w14:paraId="576DF7AB" w14:textId="298BF030" w:rsidR="00296C72" w:rsidRPr="00EE46E5" w:rsidRDefault="005E4C2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b) La ponderación de los elementos de calidad y precio que representen la mejor relación de costo-beneficio para la entidad.</w:t>
      </w:r>
    </w:p>
    <w:p w14:paraId="30C34F56" w14:textId="788A25B2" w:rsidR="00296C72" w:rsidRPr="00EE46E5" w:rsidRDefault="005E4C2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4FC76584" w14:textId="66D509B5" w:rsidR="00296C72" w:rsidRPr="00EE46E5" w:rsidRDefault="005E4C2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2F8E5989" w14:textId="1D757A15" w:rsidR="00296C72" w:rsidRPr="00EE46E5" w:rsidRDefault="001F5A8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En ningún caso se podrá incluir el precio, como factor de escogencia para la selección de consultores.</w:t>
      </w:r>
    </w:p>
    <w:p w14:paraId="030DBBC8" w14:textId="77777777" w:rsidR="00296C72" w:rsidRPr="00EE46E5" w:rsidRDefault="00296C72" w:rsidP="00296C72">
      <w:pPr>
        <w:ind w:firstLine="709"/>
        <w:jc w:val="both"/>
        <w:rPr>
          <w:rFonts w:ascii="Arial" w:eastAsia="Calibri" w:hAnsi="Arial" w:cs="Arial"/>
          <w:color w:val="404040" w:themeColor="text1" w:themeTint="BF"/>
          <w:sz w:val="18"/>
          <w:szCs w:val="18"/>
          <w:lang w:val="es-ES_tradnl"/>
        </w:rPr>
      </w:pPr>
      <w:r w:rsidRPr="00EE46E5">
        <w:rPr>
          <w:rFonts w:ascii="Arial" w:eastAsia="Calibri" w:hAnsi="Arial" w:cs="Arial"/>
          <w:color w:val="404040" w:themeColor="text1" w:themeTint="BF"/>
          <w:sz w:val="18"/>
          <w:szCs w:val="18"/>
          <w:lang w:val="es-ES_tradnl"/>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40E9A76C" w14:textId="3ED9282F" w:rsidR="00296C72" w:rsidRPr="00EE46E5" w:rsidRDefault="001F5A8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Durante el término otorgado para subsanar las ofertas, los proponentes no podrán acreditar circunstancias ocurridas con posterioridad al cierre del proceso.</w:t>
      </w:r>
    </w:p>
    <w:p w14:paraId="5EC8A3D1" w14:textId="2BE76187" w:rsidR="00296C72" w:rsidRPr="00EE46E5" w:rsidRDefault="001F5A8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PARÁGRAFO 2o. Las certificaciones de sistemas de gestión de calidad no serán objeto de calificación, ni podrán establecerse como documento habilitante para participar en licitaciones o concursos.</w:t>
      </w:r>
    </w:p>
    <w:p w14:paraId="524161A4" w14:textId="66953256" w:rsidR="00296C72" w:rsidRPr="00EE46E5" w:rsidRDefault="001F5A8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PARÁGRAFO 3o. &lt;Parágrafo adicionado por el artículo 5 de la Ley 1882 de 2018. El nuevo texto es el siguiente:&gt; La no entrega de la garantía de seriedad junto con la propuesta no será subsanable y será causal de rechazo de la misma.</w:t>
      </w:r>
    </w:p>
    <w:p w14:paraId="314BACD1" w14:textId="04B8F339" w:rsidR="00296C72" w:rsidRPr="00EE46E5" w:rsidRDefault="001F5A8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3F319868" w14:textId="46578D5A" w:rsidR="00296C72" w:rsidRPr="00EE46E5" w:rsidRDefault="001F5A8A" w:rsidP="00296C72">
      <w:pPr>
        <w:ind w:firstLine="709"/>
        <w:jc w:val="both"/>
        <w:rPr>
          <w:rFonts w:ascii="Arial" w:eastAsia="Calibri" w:hAnsi="Arial" w:cs="Arial"/>
          <w:color w:val="404040" w:themeColor="text1" w:themeTint="BF"/>
          <w:sz w:val="18"/>
          <w:szCs w:val="18"/>
          <w:lang w:val="es-ES_tradnl"/>
        </w:rPr>
      </w:pPr>
      <w:r>
        <w:rPr>
          <w:rFonts w:ascii="Arial" w:eastAsia="Calibri" w:hAnsi="Arial" w:cs="Arial"/>
          <w:color w:val="404040" w:themeColor="text1" w:themeTint="BF"/>
          <w:sz w:val="18"/>
          <w:szCs w:val="18"/>
          <w:lang w:val="es-ES_tradnl"/>
        </w:rPr>
        <w:t>»</w:t>
      </w:r>
      <w:r w:rsidR="00296C72" w:rsidRPr="00EE46E5">
        <w:rPr>
          <w:rFonts w:ascii="Arial" w:eastAsia="Calibri" w:hAnsi="Arial" w:cs="Arial"/>
          <w:color w:val="404040" w:themeColor="text1" w:themeTint="BF"/>
          <w:sz w:val="18"/>
          <w:szCs w:val="18"/>
          <w:lang w:val="es-ES_tradnl"/>
        </w:rPr>
        <w:t xml:space="preserve">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p>
  </w:footnote>
  <w:footnote w:id="3">
    <w:p w14:paraId="6CB09662" w14:textId="77777777" w:rsidR="00296C72" w:rsidRPr="00EE46E5" w:rsidRDefault="00296C72" w:rsidP="00296C72">
      <w:pPr>
        <w:pStyle w:val="Textonotapie"/>
        <w:ind w:firstLine="709"/>
        <w:jc w:val="both"/>
        <w:rPr>
          <w:rFonts w:ascii="Arial" w:hAnsi="Arial" w:cs="Arial"/>
          <w:color w:val="404040" w:themeColor="text1" w:themeTint="BF"/>
          <w:sz w:val="18"/>
          <w:szCs w:val="18"/>
        </w:rPr>
      </w:pPr>
      <w:r w:rsidRPr="00EE46E5">
        <w:rPr>
          <w:rStyle w:val="Refdenotaalpie"/>
          <w:rFonts w:ascii="Arial" w:hAnsi="Arial" w:cs="Arial"/>
          <w:color w:val="404040" w:themeColor="text1" w:themeTint="BF"/>
          <w:sz w:val="18"/>
          <w:szCs w:val="18"/>
        </w:rPr>
        <w:footnoteRef/>
      </w:r>
      <w:r w:rsidRPr="00EE46E5">
        <w:rPr>
          <w:rFonts w:ascii="Arial" w:hAnsi="Arial" w:cs="Arial"/>
          <w:color w:val="404040" w:themeColor="text1" w:themeTint="BF"/>
          <w:sz w:val="18"/>
          <w:szCs w:val="18"/>
        </w:rPr>
        <w:t xml:space="preserve"> Consejo de Estado. Sección Tercera. Subsección A. Sentencia del 25 de octubre de 2019. Exp. 39945. Consejera Ponente: María Adriana Marín.</w:t>
      </w:r>
    </w:p>
    <w:p w14:paraId="4D862E2E" w14:textId="77777777" w:rsidR="00296C72" w:rsidRPr="00EE46E5" w:rsidRDefault="00296C72" w:rsidP="00296C72">
      <w:pPr>
        <w:pStyle w:val="Textonotapie"/>
        <w:ind w:firstLine="709"/>
        <w:jc w:val="both"/>
        <w:rPr>
          <w:rFonts w:ascii="Arial" w:hAnsi="Arial" w:cs="Arial"/>
          <w:color w:val="404040" w:themeColor="text1" w:themeTint="BF"/>
          <w:sz w:val="18"/>
          <w:szCs w:val="18"/>
          <w:lang w:val="es-ES"/>
        </w:rPr>
      </w:pPr>
    </w:p>
  </w:footnote>
  <w:footnote w:id="4">
    <w:p w14:paraId="2FA668DD" w14:textId="77777777" w:rsidR="00296C72" w:rsidRPr="00EE46E5" w:rsidRDefault="00296C72" w:rsidP="00296C72">
      <w:pPr>
        <w:pStyle w:val="Textonotapie"/>
        <w:ind w:firstLine="709"/>
        <w:jc w:val="both"/>
        <w:rPr>
          <w:rFonts w:ascii="Arial" w:hAnsi="Arial" w:cs="Arial"/>
          <w:color w:val="404040" w:themeColor="text1" w:themeTint="BF"/>
          <w:sz w:val="18"/>
          <w:szCs w:val="18"/>
          <w:lang w:val="es-ES"/>
        </w:rPr>
      </w:pPr>
      <w:r w:rsidRPr="00EE46E5">
        <w:rPr>
          <w:rStyle w:val="Refdenotaalpie"/>
          <w:rFonts w:ascii="Arial" w:hAnsi="Arial" w:cs="Arial"/>
          <w:color w:val="404040" w:themeColor="text1" w:themeTint="BF"/>
          <w:sz w:val="18"/>
          <w:szCs w:val="18"/>
        </w:rPr>
        <w:footnoteRef/>
      </w:r>
      <w:r w:rsidRPr="00EE46E5">
        <w:rPr>
          <w:rStyle w:val="Refdenotaalpie"/>
          <w:rFonts w:ascii="Arial" w:hAnsi="Arial" w:cs="Arial"/>
          <w:color w:val="404040" w:themeColor="text1" w:themeTint="BF"/>
          <w:sz w:val="18"/>
          <w:szCs w:val="18"/>
        </w:rPr>
        <w:t xml:space="preserve"> </w:t>
      </w:r>
      <w:r w:rsidRPr="00EE46E5">
        <w:rPr>
          <w:rFonts w:ascii="Arial" w:hAnsi="Arial" w:cs="Arial"/>
          <w:color w:val="404040" w:themeColor="text1" w:themeTint="BF"/>
          <w:sz w:val="18"/>
          <w:szCs w:val="18"/>
        </w:rPr>
        <w:t>Consejo de Estado. Sección Tercera. Subsección A. Sentencia del 5 de julio de 2018. Exp. 37834. Consejero Ponente: Carlos Alberto Zambrano Barrera.</w:t>
      </w:r>
    </w:p>
  </w:footnote>
  <w:footnote w:id="5">
    <w:p w14:paraId="1E11AB12" w14:textId="77777777" w:rsidR="00296C72" w:rsidRPr="00EE46E5" w:rsidRDefault="00296C72" w:rsidP="00296C72">
      <w:pPr>
        <w:pStyle w:val="Textonotapie"/>
        <w:ind w:firstLine="709"/>
        <w:jc w:val="both"/>
        <w:rPr>
          <w:rFonts w:ascii="Arial" w:hAnsi="Arial" w:cs="Arial"/>
          <w:color w:val="404040" w:themeColor="text1" w:themeTint="BF"/>
          <w:sz w:val="18"/>
          <w:szCs w:val="18"/>
        </w:rPr>
      </w:pPr>
      <w:r w:rsidRPr="00EE46E5">
        <w:rPr>
          <w:rStyle w:val="Refdenotaalpie"/>
          <w:rFonts w:ascii="Arial" w:hAnsi="Arial" w:cs="Arial"/>
          <w:color w:val="404040" w:themeColor="text1" w:themeTint="BF"/>
          <w:sz w:val="18"/>
          <w:szCs w:val="18"/>
        </w:rPr>
        <w:footnoteRef/>
      </w:r>
      <w:r w:rsidRPr="00EE46E5">
        <w:rPr>
          <w:rFonts w:ascii="Arial" w:hAnsi="Arial" w:cs="Arial"/>
          <w:color w:val="404040" w:themeColor="text1" w:themeTint="BF"/>
          <w:sz w:val="18"/>
          <w:szCs w:val="18"/>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26DCA1A4" w14:textId="77777777" w:rsidR="00296C72" w:rsidRPr="00EE46E5" w:rsidRDefault="00296C72" w:rsidP="00296C72">
      <w:pPr>
        <w:pStyle w:val="Textonotapie"/>
        <w:ind w:firstLine="709"/>
        <w:jc w:val="both"/>
        <w:rPr>
          <w:rFonts w:ascii="Arial" w:hAnsi="Arial" w:cs="Arial"/>
          <w:color w:val="404040" w:themeColor="text1" w:themeTint="BF"/>
          <w:sz w:val="18"/>
          <w:szCs w:val="18"/>
        </w:rPr>
      </w:pPr>
    </w:p>
  </w:footnote>
  <w:footnote w:id="6">
    <w:p w14:paraId="7931CAB8" w14:textId="77777777" w:rsidR="00296C72" w:rsidRPr="00EE46E5" w:rsidRDefault="00296C72" w:rsidP="00296C72">
      <w:pPr>
        <w:pStyle w:val="Textonotapie"/>
        <w:ind w:firstLine="709"/>
        <w:jc w:val="both"/>
        <w:rPr>
          <w:rFonts w:ascii="Arial" w:hAnsi="Arial" w:cs="Arial"/>
          <w:color w:val="404040" w:themeColor="text1" w:themeTint="BF"/>
          <w:sz w:val="18"/>
          <w:szCs w:val="18"/>
        </w:rPr>
      </w:pPr>
      <w:r w:rsidRPr="00EE46E5">
        <w:rPr>
          <w:rStyle w:val="Refdenotaalpie"/>
          <w:rFonts w:ascii="Arial" w:hAnsi="Arial" w:cs="Arial"/>
          <w:color w:val="404040" w:themeColor="text1" w:themeTint="BF"/>
          <w:sz w:val="18"/>
          <w:szCs w:val="18"/>
        </w:rPr>
        <w:footnoteRef/>
      </w:r>
      <w:r w:rsidRPr="00EE46E5">
        <w:rPr>
          <w:rFonts w:ascii="Arial" w:hAnsi="Arial" w:cs="Arial"/>
          <w:color w:val="404040" w:themeColor="text1" w:themeTint="BF"/>
          <w:sz w:val="18"/>
          <w:szCs w:val="18"/>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7">
    <w:p w14:paraId="063AF340" w14:textId="77777777" w:rsidR="00296C72" w:rsidRPr="00EE46E5" w:rsidRDefault="00296C72" w:rsidP="00296C72">
      <w:pPr>
        <w:pStyle w:val="Textonotapie"/>
        <w:ind w:firstLine="709"/>
        <w:jc w:val="both"/>
        <w:rPr>
          <w:rFonts w:ascii="Arial" w:hAnsi="Arial" w:cs="Arial"/>
          <w:color w:val="404040" w:themeColor="text1" w:themeTint="BF"/>
          <w:sz w:val="18"/>
          <w:szCs w:val="18"/>
        </w:rPr>
      </w:pPr>
      <w:r w:rsidRPr="00EE46E5">
        <w:rPr>
          <w:rStyle w:val="Refdenotaalpie"/>
          <w:rFonts w:ascii="Arial" w:hAnsi="Arial" w:cs="Arial"/>
          <w:color w:val="404040" w:themeColor="text1" w:themeTint="BF"/>
          <w:sz w:val="18"/>
          <w:szCs w:val="18"/>
        </w:rPr>
        <w:footnoteRef/>
      </w:r>
      <w:r w:rsidRPr="00EE46E5">
        <w:rPr>
          <w:rFonts w:ascii="Arial" w:hAnsi="Arial" w:cs="Arial"/>
          <w:color w:val="404040" w:themeColor="text1" w:themeTint="BF"/>
          <w:sz w:val="18"/>
          <w:szCs w:val="18"/>
        </w:rPr>
        <w:t xml:space="preserve"> Consejo de Estado. Sección Tercera. Subsección C. Sentencia del 26 de febrero de 2014. Expediente: 25.804. Consejero Ponente: Enrique Gil Botero.</w:t>
      </w:r>
    </w:p>
  </w:footnote>
  <w:footnote w:id="8">
    <w:p w14:paraId="1E92A236" w14:textId="77777777" w:rsidR="00296C72" w:rsidRPr="00EE46E5" w:rsidRDefault="00296C72" w:rsidP="00296C72">
      <w:pPr>
        <w:pStyle w:val="Textonotapie"/>
        <w:ind w:firstLine="709"/>
        <w:jc w:val="both"/>
        <w:rPr>
          <w:rFonts w:ascii="Arial" w:hAnsi="Arial" w:cs="Arial"/>
          <w:color w:val="404040" w:themeColor="text1" w:themeTint="BF"/>
          <w:sz w:val="18"/>
          <w:szCs w:val="18"/>
        </w:rPr>
      </w:pPr>
      <w:r w:rsidRPr="00EE46E5">
        <w:rPr>
          <w:rStyle w:val="Refdenotaalpie"/>
          <w:rFonts w:ascii="Arial" w:hAnsi="Arial" w:cs="Arial"/>
          <w:color w:val="404040" w:themeColor="text1" w:themeTint="BF"/>
          <w:sz w:val="18"/>
          <w:szCs w:val="18"/>
        </w:rPr>
        <w:footnoteRef/>
      </w:r>
      <w:r w:rsidRPr="00EE46E5">
        <w:rPr>
          <w:rStyle w:val="Refdenotaalpie"/>
          <w:rFonts w:ascii="Arial" w:hAnsi="Arial" w:cs="Arial"/>
          <w:color w:val="404040" w:themeColor="text1" w:themeTint="BF"/>
          <w:sz w:val="18"/>
          <w:szCs w:val="18"/>
        </w:rPr>
        <w:t xml:space="preserve"> </w:t>
      </w:r>
      <w:r w:rsidRPr="00EE46E5">
        <w:rPr>
          <w:rFonts w:ascii="Arial" w:hAnsi="Arial" w:cs="Arial"/>
          <w:color w:val="404040" w:themeColor="text1" w:themeTint="BF"/>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footnote>
  <w:footnote w:id="9">
    <w:p w14:paraId="7A65C1CA" w14:textId="77777777" w:rsidR="00296C72" w:rsidRPr="00EE46E5" w:rsidRDefault="00296C72" w:rsidP="00296C72">
      <w:pPr>
        <w:ind w:firstLine="709"/>
        <w:jc w:val="both"/>
        <w:rPr>
          <w:rFonts w:ascii="Arial" w:hAnsi="Arial" w:cs="Arial"/>
          <w:color w:val="404040" w:themeColor="text1" w:themeTint="BF"/>
          <w:sz w:val="18"/>
          <w:szCs w:val="18"/>
        </w:rPr>
      </w:pPr>
      <w:r w:rsidRPr="00EE46E5">
        <w:rPr>
          <w:rStyle w:val="Refdenotaalpie"/>
          <w:rFonts w:ascii="Arial" w:hAnsi="Arial" w:cs="Arial"/>
          <w:color w:val="404040" w:themeColor="text1" w:themeTint="BF"/>
          <w:sz w:val="18"/>
          <w:szCs w:val="18"/>
        </w:rPr>
        <w:footnoteRef/>
      </w:r>
      <w:r w:rsidRPr="00EE46E5">
        <w:rPr>
          <w:rFonts w:ascii="Arial" w:hAnsi="Arial" w:cs="Arial"/>
          <w:color w:val="404040" w:themeColor="text1" w:themeTint="BF"/>
          <w:sz w:val="18"/>
          <w:szCs w:val="18"/>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EE46E5">
          <w:rPr>
            <w:rFonts w:ascii="Arial" w:hAnsi="Arial" w:cs="Arial"/>
            <w:color w:val="404040" w:themeColor="text1" w:themeTint="BF"/>
            <w:sz w:val="18"/>
            <w:szCs w:val="18"/>
          </w:rPr>
          <w:t>Ley 1150 de 2007</w:t>
        </w:r>
      </w:hyperlink>
      <w:r w:rsidRPr="00EE46E5">
        <w:rPr>
          <w:rFonts w:ascii="Arial" w:hAnsi="Arial" w:cs="Arial"/>
          <w:color w:val="404040" w:themeColor="text1" w:themeTint="BF"/>
          <w:sz w:val="18"/>
          <w:szCs w:val="18"/>
        </w:rPr>
        <w:t> y en el presente decreto.</w:t>
      </w:r>
    </w:p>
    <w:p w14:paraId="2CC849DC" w14:textId="77777777" w:rsidR="00296C72" w:rsidRPr="00EE46E5" w:rsidRDefault="00296C72" w:rsidP="00296C72">
      <w:pPr>
        <w:ind w:firstLine="709"/>
        <w:jc w:val="both"/>
        <w:rPr>
          <w:rFonts w:ascii="Arial" w:hAnsi="Arial" w:cs="Arial"/>
          <w:color w:val="404040" w:themeColor="text1" w:themeTint="BF"/>
          <w:sz w:val="18"/>
          <w:szCs w:val="18"/>
        </w:rPr>
      </w:pPr>
      <w:r w:rsidRPr="00EE46E5">
        <w:rPr>
          <w:rFonts w:ascii="Arial" w:hAnsi="Arial" w:cs="Arial"/>
          <w:color w:val="404040" w:themeColor="text1" w:themeTint="BF"/>
          <w:sz w:val="18"/>
          <w:szCs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1AC650EB" w14:textId="77777777" w:rsidR="00296C72" w:rsidRPr="00EE46E5" w:rsidRDefault="00296C72" w:rsidP="00296C72">
      <w:pPr>
        <w:ind w:firstLine="709"/>
        <w:jc w:val="both"/>
        <w:rPr>
          <w:rFonts w:ascii="Arial" w:hAnsi="Arial" w:cs="Arial"/>
          <w:color w:val="404040" w:themeColor="text1" w:themeTint="BF"/>
          <w:sz w:val="18"/>
          <w:szCs w:val="18"/>
        </w:rPr>
      </w:pPr>
      <w:r w:rsidRPr="00EE46E5">
        <w:rPr>
          <w:rFonts w:ascii="Arial" w:hAnsi="Arial" w:cs="Arial"/>
          <w:color w:val="404040" w:themeColor="text1" w:themeTint="BF"/>
          <w:sz w:val="18"/>
          <w:szCs w:val="18"/>
        </w:rPr>
        <w:t>»Será rechazada la oferta del proponente que dentro del término previsto en el pliego o en la solicitud, no responda al requerimiento que le haga la entidad para subsanarla.</w:t>
      </w:r>
    </w:p>
    <w:p w14:paraId="451B1299" w14:textId="77777777" w:rsidR="00296C72" w:rsidRPr="00EE46E5" w:rsidRDefault="00296C72" w:rsidP="00296C72">
      <w:pPr>
        <w:ind w:firstLine="709"/>
        <w:jc w:val="both"/>
        <w:rPr>
          <w:rFonts w:ascii="Arial" w:hAnsi="Arial" w:cs="Arial"/>
          <w:color w:val="404040" w:themeColor="text1" w:themeTint="BF"/>
          <w:sz w:val="18"/>
          <w:szCs w:val="18"/>
        </w:rPr>
      </w:pPr>
      <w:r w:rsidRPr="00EE46E5">
        <w:rPr>
          <w:rFonts w:ascii="Arial" w:hAnsi="Arial" w:cs="Arial"/>
          <w:color w:val="404040" w:themeColor="text1" w:themeTint="BF"/>
          <w:sz w:val="18"/>
          <w:szCs w:val="18"/>
        </w:rPr>
        <w:t>»Cuando se utilice el mecanismo de subasta esta posibilidad deberá ejercerse hasta el momento previo a su realización, de conformidad con el artículo 22 del presente decreto.</w:t>
      </w:r>
    </w:p>
    <w:p w14:paraId="3AA55F82" w14:textId="77777777" w:rsidR="00296C72" w:rsidRPr="00EE46E5" w:rsidRDefault="00296C72" w:rsidP="00296C72">
      <w:pPr>
        <w:ind w:firstLine="709"/>
        <w:jc w:val="both"/>
        <w:rPr>
          <w:rFonts w:ascii="Arial" w:hAnsi="Arial" w:cs="Arial"/>
          <w:color w:val="404040" w:themeColor="text1" w:themeTint="BF"/>
          <w:sz w:val="18"/>
          <w:szCs w:val="18"/>
        </w:rPr>
      </w:pPr>
      <w:r w:rsidRPr="00EE46E5">
        <w:rPr>
          <w:rFonts w:ascii="Arial" w:hAnsi="Arial" w:cs="Arial"/>
          <w:color w:val="404040" w:themeColor="text1" w:themeTint="BF"/>
          <w:sz w:val="18"/>
          <w:szCs w:val="18"/>
        </w:rPr>
        <w:t>»En ningún caso la entidad podrá señalar taxativamente los requisitos o documentos subsanables o no subsanables en el pliego de condiciones, ni permitir que se subsane la falta de capacidad para presentar la oferta, ni que se acrediten circunstancias ocurridas con posterioridad al cierre del proceso».</w:t>
      </w:r>
    </w:p>
    <w:p w14:paraId="754DD597" w14:textId="77777777" w:rsidR="00296C72" w:rsidRPr="00EE46E5" w:rsidRDefault="00296C72" w:rsidP="00296C72">
      <w:pPr>
        <w:ind w:firstLine="709"/>
        <w:jc w:val="both"/>
        <w:rPr>
          <w:rFonts w:ascii="Arial" w:hAnsi="Arial" w:cs="Arial"/>
          <w:color w:val="404040" w:themeColor="text1" w:themeTint="BF"/>
          <w:sz w:val="18"/>
          <w:szCs w:val="18"/>
        </w:rPr>
      </w:pPr>
      <w:r w:rsidRPr="00EE46E5">
        <w:rPr>
          <w:rFonts w:ascii="Arial" w:hAnsi="Arial" w:cs="Arial"/>
          <w:color w:val="404040" w:themeColor="text1" w:themeTint="BF"/>
          <w:sz w:val="18"/>
          <w:szCs w:val="18"/>
        </w:rPr>
        <w:t xml:space="preserve"> </w:t>
      </w:r>
    </w:p>
  </w:footnote>
  <w:footnote w:id="10">
    <w:p w14:paraId="4607FA1E" w14:textId="77777777" w:rsidR="00296C72" w:rsidRPr="00EE46E5" w:rsidRDefault="00296C72" w:rsidP="00296C72">
      <w:pPr>
        <w:pStyle w:val="Textonotapie"/>
        <w:ind w:firstLine="709"/>
        <w:jc w:val="both"/>
        <w:rPr>
          <w:rFonts w:ascii="Arial" w:hAnsi="Arial" w:cs="Arial"/>
          <w:color w:val="404040" w:themeColor="text1" w:themeTint="BF"/>
          <w:sz w:val="18"/>
          <w:szCs w:val="18"/>
        </w:rPr>
      </w:pPr>
      <w:r w:rsidRPr="00EE46E5">
        <w:rPr>
          <w:rStyle w:val="Refdenotaalpie"/>
          <w:rFonts w:ascii="Arial" w:hAnsi="Arial" w:cs="Arial"/>
          <w:color w:val="404040" w:themeColor="text1" w:themeTint="BF"/>
          <w:sz w:val="18"/>
          <w:szCs w:val="18"/>
        </w:rPr>
        <w:footnoteRef/>
      </w:r>
      <w:r w:rsidRPr="00EE46E5">
        <w:rPr>
          <w:rFonts w:ascii="Arial" w:hAnsi="Arial" w:cs="Arial"/>
          <w:color w:val="404040" w:themeColor="text1" w:themeTint="BF"/>
          <w:sz w:val="18"/>
          <w:szCs w:val="18"/>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3B1318E8" w14:textId="77777777" w:rsidR="00296C72" w:rsidRPr="00EE46E5" w:rsidRDefault="00296C72" w:rsidP="00296C72">
      <w:pPr>
        <w:pStyle w:val="Textonotapie"/>
        <w:ind w:firstLine="709"/>
        <w:jc w:val="both"/>
        <w:rPr>
          <w:rFonts w:ascii="Arial" w:hAnsi="Arial" w:cs="Arial"/>
          <w:color w:val="404040" w:themeColor="text1" w:themeTint="BF"/>
          <w:sz w:val="18"/>
          <w:szCs w:val="18"/>
        </w:rPr>
      </w:pPr>
      <w:r w:rsidRPr="00EE46E5">
        <w:rPr>
          <w:rFonts w:ascii="Arial" w:hAnsi="Arial" w:cs="Arial"/>
          <w:color w:val="404040" w:themeColor="text1" w:themeTint="BF"/>
          <w:sz w:val="18"/>
          <w:szCs w:val="18"/>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footnote>
  <w:footnote w:id="11">
    <w:p w14:paraId="66AF451C" w14:textId="77777777" w:rsidR="00296C72" w:rsidRPr="00EE46E5" w:rsidRDefault="00296C72" w:rsidP="00296C72">
      <w:pPr>
        <w:pStyle w:val="Textonotapie"/>
        <w:ind w:firstLine="709"/>
        <w:jc w:val="both"/>
        <w:rPr>
          <w:rFonts w:ascii="Arial" w:hAnsi="Arial" w:cs="Arial"/>
          <w:color w:val="404040" w:themeColor="text1" w:themeTint="BF"/>
          <w:sz w:val="18"/>
          <w:szCs w:val="18"/>
        </w:rPr>
      </w:pPr>
      <w:r w:rsidRPr="00EE46E5">
        <w:rPr>
          <w:rStyle w:val="Refdenotaalpie"/>
          <w:rFonts w:ascii="Arial" w:hAnsi="Arial" w:cs="Arial"/>
          <w:color w:val="404040" w:themeColor="text1" w:themeTint="BF"/>
          <w:sz w:val="18"/>
          <w:szCs w:val="18"/>
        </w:rPr>
        <w:footnoteRef/>
      </w:r>
      <w:r w:rsidRPr="00EE46E5">
        <w:rPr>
          <w:rFonts w:ascii="Arial" w:hAnsi="Arial" w:cs="Arial"/>
          <w:color w:val="404040" w:themeColor="text1" w:themeTint="BF"/>
          <w:sz w:val="18"/>
          <w:szCs w:val="18"/>
        </w:rPr>
        <w:t xml:space="preserve"> Ver Consejo de Estado, Sección Tercera, Subsección C. Sentencia del 26 de febrero de 2011. C.P. Jaime Orlando Santofimio. Rad. 36.408.  </w:t>
      </w:r>
    </w:p>
    <w:p w14:paraId="6CFB324A" w14:textId="77777777" w:rsidR="00296C72" w:rsidRPr="00EE46E5" w:rsidRDefault="00296C72" w:rsidP="00296C72">
      <w:pPr>
        <w:pStyle w:val="Textonotapie"/>
        <w:ind w:firstLine="709"/>
        <w:jc w:val="both"/>
        <w:rPr>
          <w:rFonts w:ascii="Arial" w:hAnsi="Arial" w:cs="Arial"/>
          <w:color w:val="404040" w:themeColor="text1" w:themeTint="BF"/>
          <w:sz w:val="18"/>
          <w:szCs w:val="18"/>
        </w:rPr>
      </w:pPr>
    </w:p>
  </w:footnote>
  <w:footnote w:id="12">
    <w:p w14:paraId="7BC52908" w14:textId="77777777" w:rsidR="00296C72" w:rsidRPr="00EE46E5" w:rsidRDefault="00296C72" w:rsidP="00296C72">
      <w:pPr>
        <w:pStyle w:val="Textonotapie"/>
        <w:ind w:firstLine="709"/>
        <w:jc w:val="both"/>
        <w:rPr>
          <w:rFonts w:ascii="Arial" w:hAnsi="Arial" w:cs="Arial"/>
          <w:color w:val="404040" w:themeColor="text1" w:themeTint="BF"/>
          <w:sz w:val="18"/>
          <w:szCs w:val="18"/>
        </w:rPr>
      </w:pPr>
      <w:r w:rsidRPr="00EE46E5">
        <w:rPr>
          <w:rStyle w:val="Refdenotaalpie"/>
          <w:rFonts w:ascii="Arial" w:hAnsi="Arial" w:cs="Arial"/>
          <w:color w:val="404040" w:themeColor="text1" w:themeTint="BF"/>
          <w:sz w:val="18"/>
          <w:szCs w:val="18"/>
        </w:rPr>
        <w:footnoteRef/>
      </w:r>
      <w:r w:rsidRPr="00EE46E5">
        <w:rPr>
          <w:rFonts w:ascii="Arial" w:hAnsi="Arial" w:cs="Arial"/>
          <w:color w:val="404040" w:themeColor="text1" w:themeTint="BF"/>
          <w:sz w:val="18"/>
          <w:szCs w:val="18"/>
        </w:rPr>
        <w:t xml:space="preserve"> Ver Consejo de Estado, Sección Tercera, Subsección C. Sentencia del 26 de febrero de 2014. C.P. Enrique Gil Botero. Rad. 25.804.  </w:t>
      </w:r>
    </w:p>
  </w:footnote>
  <w:footnote w:id="13">
    <w:p w14:paraId="55C40454" w14:textId="77777777" w:rsidR="00296C72" w:rsidRPr="00EE46E5" w:rsidRDefault="00296C72" w:rsidP="00296C72">
      <w:pPr>
        <w:pStyle w:val="Textonotapie"/>
        <w:ind w:firstLine="709"/>
        <w:jc w:val="both"/>
        <w:rPr>
          <w:rFonts w:ascii="Arial" w:hAnsi="Arial" w:cs="Arial"/>
          <w:color w:val="404040" w:themeColor="text1" w:themeTint="BF"/>
          <w:sz w:val="18"/>
          <w:szCs w:val="18"/>
        </w:rPr>
      </w:pPr>
      <w:r w:rsidRPr="00EE46E5">
        <w:rPr>
          <w:rStyle w:val="Refdenotaalpie"/>
          <w:rFonts w:ascii="Arial" w:hAnsi="Arial" w:cs="Arial"/>
          <w:color w:val="404040" w:themeColor="text1" w:themeTint="BF"/>
          <w:sz w:val="18"/>
          <w:szCs w:val="18"/>
        </w:rPr>
        <w:footnoteRef/>
      </w:r>
      <w:r w:rsidRPr="00EE46E5">
        <w:rPr>
          <w:rFonts w:ascii="Arial" w:hAnsi="Arial" w:cs="Arial"/>
          <w:color w:val="404040" w:themeColor="text1" w:themeTint="BF"/>
          <w:sz w:val="18"/>
          <w:szCs w:val="18"/>
        </w:rPr>
        <w:t xml:space="preserve"> Consejo de Estado. Sala de Consulta y Servicio Civil. Concepto del 20 de mayo de 2010. Expediente: 1992. Consejero Ponente: Enrique José Arboleda Perdomo.</w:t>
      </w:r>
    </w:p>
    <w:p w14:paraId="5BE6DE0F" w14:textId="77777777" w:rsidR="00296C72" w:rsidRPr="00EE46E5" w:rsidRDefault="00296C72" w:rsidP="00296C72">
      <w:pPr>
        <w:pStyle w:val="Textonotapie"/>
        <w:ind w:firstLine="709"/>
        <w:jc w:val="both"/>
        <w:rPr>
          <w:rFonts w:ascii="Arial" w:hAnsi="Arial" w:cs="Arial"/>
          <w:color w:val="404040" w:themeColor="text1" w:themeTint="BF"/>
          <w:sz w:val="18"/>
          <w:szCs w:val="18"/>
        </w:rPr>
      </w:pPr>
    </w:p>
  </w:footnote>
  <w:footnote w:id="14">
    <w:p w14:paraId="42E1D398" w14:textId="77777777" w:rsidR="00296C72" w:rsidRPr="00EE46E5" w:rsidRDefault="00296C72" w:rsidP="00296C72">
      <w:pPr>
        <w:pStyle w:val="Textonotapie"/>
        <w:ind w:firstLine="708"/>
        <w:jc w:val="both"/>
        <w:rPr>
          <w:rFonts w:ascii="Arial" w:hAnsi="Arial" w:cs="Arial"/>
          <w:color w:val="404040" w:themeColor="text1" w:themeTint="BF"/>
          <w:sz w:val="18"/>
          <w:szCs w:val="18"/>
          <w:lang w:val="es-ES"/>
        </w:rPr>
      </w:pPr>
      <w:r w:rsidRPr="00EE46E5">
        <w:rPr>
          <w:rStyle w:val="Refdenotaalpie"/>
          <w:rFonts w:ascii="Arial" w:hAnsi="Arial" w:cs="Arial"/>
          <w:color w:val="404040" w:themeColor="text1" w:themeTint="BF"/>
          <w:sz w:val="18"/>
          <w:szCs w:val="18"/>
        </w:rPr>
        <w:footnoteRef/>
      </w:r>
      <w:r w:rsidRPr="00EE46E5">
        <w:rPr>
          <w:rFonts w:ascii="Arial" w:hAnsi="Arial" w:cs="Arial"/>
          <w:color w:val="404040" w:themeColor="text1" w:themeTint="BF"/>
          <w:sz w:val="18"/>
          <w:szCs w:val="18"/>
        </w:rPr>
        <w:t xml:space="preserve"> Agencia Nacional de Contratación Pública – </w:t>
      </w:r>
      <w:r w:rsidRPr="00EE46E5">
        <w:rPr>
          <w:rFonts w:ascii="Arial" w:hAnsi="Arial" w:cs="Arial"/>
          <w:color w:val="404040" w:themeColor="text1" w:themeTint="BF"/>
          <w:sz w:val="18"/>
          <w:szCs w:val="18"/>
          <w:lang w:val="es-ES"/>
        </w:rPr>
        <w:t xml:space="preserve">Colombia Compra Eficiente. Circular Externa Única. Actualizada el 16 de abril de 2019. En: https://www.colombiacompra.gov.co/sites/cce_public/files/cce_circulares/cce_circular_unica.pdf.  </w:t>
      </w:r>
    </w:p>
    <w:p w14:paraId="6C7F4881" w14:textId="77777777" w:rsidR="00296C72" w:rsidRPr="00EE46E5" w:rsidRDefault="00296C72" w:rsidP="00296C72">
      <w:pPr>
        <w:pStyle w:val="Textonotapie"/>
        <w:ind w:firstLine="708"/>
        <w:jc w:val="both"/>
        <w:rPr>
          <w:rFonts w:ascii="Arial" w:hAnsi="Arial" w:cs="Arial"/>
          <w:color w:val="404040" w:themeColor="text1" w:themeTint="BF"/>
          <w:sz w:val="18"/>
          <w:szCs w:val="18"/>
          <w:lang w:val="es-ES"/>
        </w:rPr>
      </w:pPr>
    </w:p>
  </w:footnote>
  <w:footnote w:id="15">
    <w:p w14:paraId="6A0D7858" w14:textId="77777777" w:rsidR="00296C72" w:rsidRPr="00EE46E5" w:rsidRDefault="00296C72" w:rsidP="00296C72">
      <w:pPr>
        <w:pStyle w:val="Textonotapie"/>
        <w:ind w:firstLine="708"/>
        <w:jc w:val="both"/>
        <w:rPr>
          <w:rFonts w:ascii="Arial" w:hAnsi="Arial" w:cs="Arial"/>
          <w:sz w:val="18"/>
          <w:szCs w:val="18"/>
        </w:rPr>
      </w:pPr>
      <w:r w:rsidRPr="00EE46E5">
        <w:rPr>
          <w:rStyle w:val="Refdenotaalpie"/>
          <w:rFonts w:ascii="Arial" w:hAnsi="Arial" w:cs="Arial"/>
          <w:sz w:val="18"/>
          <w:szCs w:val="18"/>
        </w:rPr>
        <w:footnoteRef/>
      </w:r>
      <w:r w:rsidRPr="00EE46E5">
        <w:rPr>
          <w:rFonts w:ascii="Arial" w:hAnsi="Arial" w:cs="Arial"/>
          <w:sz w:val="18"/>
          <w:szCs w:val="18"/>
        </w:rPr>
        <w:t xml:space="preserve"> </w:t>
      </w:r>
      <w:r>
        <w:rPr>
          <w:rFonts w:ascii="Arial" w:hAnsi="Arial" w:cs="Arial"/>
          <w:sz w:val="18"/>
          <w:szCs w:val="18"/>
        </w:rPr>
        <w:t>«</w:t>
      </w:r>
      <w:r w:rsidRPr="00EE46E5">
        <w:rPr>
          <w:rFonts w:ascii="Arial" w:hAnsi="Arial" w:cs="Arial"/>
          <w:sz w:val="18"/>
          <w:szCs w:val="18"/>
        </w:rPr>
        <w:t xml:space="preserve">Artículo 2.2.1.2.1.5.2. Procedimiento para la contratación de mínima cuantía. Las siguientes reglas son aplicables a la contratación cuyo valor no excede del 10% de la menor cuantía de la Entidad Estatal, independientemente de su objeto: </w:t>
      </w:r>
    </w:p>
    <w:p w14:paraId="21CEAEFF" w14:textId="77777777" w:rsidR="00296C72" w:rsidRPr="00EE46E5" w:rsidRDefault="00296C72" w:rsidP="00296C72">
      <w:pPr>
        <w:pStyle w:val="Textonotapie"/>
        <w:ind w:firstLine="708"/>
        <w:jc w:val="both"/>
        <w:rPr>
          <w:rFonts w:ascii="Arial" w:hAnsi="Arial" w:cs="Arial"/>
          <w:sz w:val="18"/>
          <w:szCs w:val="18"/>
        </w:rPr>
      </w:pPr>
      <w:r>
        <w:rPr>
          <w:rFonts w:ascii="Arial" w:hAnsi="Arial" w:cs="Arial"/>
          <w:sz w:val="18"/>
          <w:szCs w:val="18"/>
        </w:rPr>
        <w:t>»</w:t>
      </w:r>
      <w:r w:rsidRPr="00EE46E5">
        <w:rPr>
          <w:rFonts w:ascii="Arial" w:hAnsi="Arial" w:cs="Arial"/>
          <w:sz w:val="18"/>
          <w:szCs w:val="18"/>
        </w:rPr>
        <w:t xml:space="preserve">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w:t>
      </w:r>
    </w:p>
    <w:p w14:paraId="111C3D1D" w14:textId="77777777" w:rsidR="00296C72" w:rsidRPr="00EE46E5" w:rsidRDefault="00296C72" w:rsidP="00296C72">
      <w:pPr>
        <w:pStyle w:val="Textonotapie"/>
        <w:ind w:firstLine="708"/>
        <w:jc w:val="both"/>
        <w:rPr>
          <w:rFonts w:ascii="Arial" w:hAnsi="Arial" w:cs="Arial"/>
          <w:sz w:val="18"/>
          <w:szCs w:val="18"/>
        </w:rPr>
      </w:pPr>
      <w:r>
        <w:rPr>
          <w:rFonts w:ascii="Arial" w:hAnsi="Arial" w:cs="Arial"/>
          <w:sz w:val="18"/>
          <w:szCs w:val="18"/>
        </w:rPr>
        <w:t>»</w:t>
      </w:r>
      <w:r w:rsidRPr="00EE46E5">
        <w:rPr>
          <w:rFonts w:ascii="Arial" w:hAnsi="Arial" w:cs="Arial"/>
          <w:sz w:val="18"/>
          <w:szCs w:val="18"/>
        </w:rPr>
        <w:t xml:space="preserve">2. La Entidad Estatal puede exigir una capacidad financiera mínima cuando no hace el pago contra entrega a satisfacción de los bienes, obras o servicios. Si la Entidad Estatal exige capacidad financiera debe indicar cómo hará la verificación correspondiente. </w:t>
      </w:r>
    </w:p>
    <w:p w14:paraId="03613829" w14:textId="77777777" w:rsidR="00296C72" w:rsidRPr="00EE46E5" w:rsidRDefault="00296C72" w:rsidP="00296C72">
      <w:pPr>
        <w:pStyle w:val="Textonotapie"/>
        <w:ind w:firstLine="708"/>
        <w:jc w:val="both"/>
        <w:rPr>
          <w:rFonts w:ascii="Arial" w:hAnsi="Arial" w:cs="Arial"/>
          <w:sz w:val="18"/>
          <w:szCs w:val="18"/>
          <w:lang w:val="es-CO"/>
        </w:rPr>
      </w:pPr>
      <w:r>
        <w:rPr>
          <w:rFonts w:ascii="Arial" w:hAnsi="Arial" w:cs="Arial"/>
          <w:sz w:val="18"/>
          <w:szCs w:val="18"/>
        </w:rPr>
        <w:t>»</w:t>
      </w:r>
      <w:r w:rsidRPr="00EE46E5">
        <w:rPr>
          <w:rFonts w:ascii="Arial" w:hAnsi="Arial" w:cs="Arial"/>
          <w:sz w:val="18"/>
          <w:szCs w:val="18"/>
        </w:rPr>
        <w:t>3. La invitación se hará por un término no inferior a un (1) día hábil. Si los interesados formulan observaciones o comentarios a la invitación, estos serán contestados por la Entidad Estatal antes del vencimiento del plazo para presentar ofertas.</w:t>
      </w:r>
      <w:r>
        <w:rPr>
          <w:rFonts w:ascii="Arial" w:hAnsi="Arial" w:cs="Arial"/>
          <w:sz w:val="18"/>
          <w:szCs w:val="18"/>
        </w:rPr>
        <w:t xml:space="preserve"> […]».</w:t>
      </w:r>
    </w:p>
  </w:footnote>
  <w:footnote w:id="16">
    <w:p w14:paraId="43B44055" w14:textId="77777777" w:rsidR="00296C72" w:rsidRDefault="00296C72" w:rsidP="00296C72">
      <w:pPr>
        <w:pStyle w:val="Textonotapie"/>
      </w:pPr>
    </w:p>
    <w:p w14:paraId="7514C2A2" w14:textId="77777777" w:rsidR="00296C72" w:rsidRPr="003D0677" w:rsidRDefault="00296C72" w:rsidP="00296C72">
      <w:pPr>
        <w:pStyle w:val="Textonotapie"/>
        <w:ind w:firstLine="708"/>
        <w:rPr>
          <w:rFonts w:ascii="Arial" w:hAnsi="Arial" w:cs="Arial"/>
          <w:sz w:val="18"/>
          <w:szCs w:val="18"/>
        </w:rPr>
      </w:pPr>
      <w:r>
        <w:rPr>
          <w:rStyle w:val="Refdenotaalpie"/>
        </w:rPr>
        <w:footnoteRef/>
      </w:r>
      <w:r>
        <w:t xml:space="preserve"> </w:t>
      </w:r>
      <w:r w:rsidRPr="003D0677">
        <w:rPr>
          <w:rFonts w:ascii="Arial" w:hAnsi="Arial" w:cs="Arial"/>
          <w:sz w:val="18"/>
          <w:szCs w:val="18"/>
        </w:rPr>
        <w:t xml:space="preserve">«Artículo 2.2.1.1.2.1.3. Pliegos de condiciones. Los pliegos de condiciones deben contener por lo menos la siguiente información: </w:t>
      </w:r>
    </w:p>
    <w:p w14:paraId="387BC52D" w14:textId="77777777" w:rsidR="00296C72" w:rsidRPr="003D0677" w:rsidRDefault="00296C72" w:rsidP="00296C72">
      <w:pPr>
        <w:pStyle w:val="Textonotapie"/>
        <w:ind w:firstLine="708"/>
        <w:rPr>
          <w:rFonts w:ascii="Arial" w:hAnsi="Arial" w:cs="Arial"/>
          <w:sz w:val="18"/>
          <w:szCs w:val="18"/>
        </w:rPr>
      </w:pPr>
      <w:r w:rsidRPr="003D0677">
        <w:rPr>
          <w:rFonts w:ascii="Arial" w:hAnsi="Arial" w:cs="Arial"/>
          <w:sz w:val="18"/>
          <w:szCs w:val="18"/>
        </w:rPr>
        <w:t xml:space="preserve">[…] </w:t>
      </w:r>
    </w:p>
    <w:p w14:paraId="7F4820CB" w14:textId="77777777" w:rsidR="00296C72" w:rsidRPr="003D0677" w:rsidRDefault="00296C72" w:rsidP="00296C72">
      <w:pPr>
        <w:pStyle w:val="Textonotapie"/>
        <w:ind w:firstLine="708"/>
        <w:rPr>
          <w:lang w:val="es-CO"/>
        </w:rPr>
      </w:pPr>
      <w:r w:rsidRPr="003D0677">
        <w:rPr>
          <w:rFonts w:ascii="Arial" w:hAnsi="Arial" w:cs="Arial"/>
          <w:sz w:val="18"/>
          <w:szCs w:val="18"/>
        </w:rPr>
        <w:t>»6. Las causas que dan lugar a rechazar una oferta».</w:t>
      </w:r>
      <w:r>
        <w:t xml:space="preserve">  </w:t>
      </w:r>
    </w:p>
  </w:footnote>
  <w:footnote w:id="17">
    <w:p w14:paraId="64AF3C91" w14:textId="60D3DB55" w:rsidR="00C55BEA" w:rsidRPr="000F5226" w:rsidRDefault="00C55BEA" w:rsidP="000F5226">
      <w:pPr>
        <w:pStyle w:val="Textonotapie"/>
        <w:ind w:firstLine="708"/>
        <w:rPr>
          <w:rFonts w:ascii="Arial" w:hAnsi="Arial" w:cs="Arial"/>
          <w:sz w:val="18"/>
          <w:szCs w:val="18"/>
          <w:lang w:val="es-CO"/>
        </w:rPr>
      </w:pPr>
      <w:r w:rsidRPr="000F5226">
        <w:rPr>
          <w:rStyle w:val="Refdenotaalpie"/>
          <w:rFonts w:ascii="Arial" w:hAnsi="Arial" w:cs="Arial"/>
          <w:sz w:val="18"/>
          <w:szCs w:val="18"/>
        </w:rPr>
        <w:footnoteRef/>
      </w:r>
      <w:r w:rsidRPr="000F5226">
        <w:rPr>
          <w:rFonts w:ascii="Arial" w:hAnsi="Arial" w:cs="Arial"/>
          <w:sz w:val="18"/>
          <w:szCs w:val="18"/>
        </w:rPr>
        <w:t xml:space="preserve"> </w:t>
      </w:r>
      <w:r w:rsidR="00B474AC" w:rsidRPr="000F5226">
        <w:rPr>
          <w:rFonts w:ascii="Arial" w:hAnsi="Arial" w:cs="Arial"/>
          <w:sz w:val="18"/>
          <w:szCs w:val="18"/>
        </w:rPr>
        <w:t xml:space="preserve">Consejo de Estado. Sección Tercera Subsección B. </w:t>
      </w:r>
      <w:r w:rsidR="000B0A01">
        <w:rPr>
          <w:rFonts w:ascii="Arial" w:hAnsi="Arial" w:cs="Arial"/>
          <w:sz w:val="18"/>
          <w:szCs w:val="18"/>
        </w:rPr>
        <w:t>S</w:t>
      </w:r>
      <w:r w:rsidR="000B0A01" w:rsidRPr="000B0A01">
        <w:rPr>
          <w:rFonts w:ascii="Arial" w:hAnsi="Arial" w:cs="Arial"/>
          <w:sz w:val="18"/>
          <w:szCs w:val="18"/>
        </w:rPr>
        <w:t>entencia del 27 de abril de 2011</w:t>
      </w:r>
      <w:r w:rsidR="000B0A01">
        <w:rPr>
          <w:rFonts w:ascii="Arial" w:hAnsi="Arial" w:cs="Arial"/>
          <w:sz w:val="18"/>
          <w:szCs w:val="18"/>
        </w:rPr>
        <w:t xml:space="preserve">. </w:t>
      </w:r>
      <w:r w:rsidR="000B0A01" w:rsidRPr="000B0A01">
        <w:rPr>
          <w:rFonts w:ascii="Arial" w:hAnsi="Arial" w:cs="Arial"/>
          <w:sz w:val="18"/>
          <w:szCs w:val="18"/>
        </w:rPr>
        <w:t>Exp</w:t>
      </w:r>
      <w:r w:rsidR="000B0A01">
        <w:rPr>
          <w:rFonts w:ascii="Arial" w:hAnsi="Arial" w:cs="Arial"/>
          <w:sz w:val="18"/>
          <w:szCs w:val="18"/>
        </w:rPr>
        <w:t xml:space="preserve">ediente No. </w:t>
      </w:r>
      <w:r w:rsidR="000B0A01" w:rsidRPr="000B0A01">
        <w:rPr>
          <w:rFonts w:ascii="Arial" w:hAnsi="Arial" w:cs="Arial"/>
          <w:sz w:val="18"/>
          <w:szCs w:val="18"/>
        </w:rPr>
        <w:t>18.293.</w:t>
      </w:r>
      <w:r w:rsidR="00B474AC" w:rsidRPr="000F5226">
        <w:rPr>
          <w:rFonts w:ascii="Arial" w:hAnsi="Arial" w:cs="Arial"/>
          <w:sz w:val="18"/>
          <w:szCs w:val="18"/>
        </w:rPr>
        <w:t>C</w:t>
      </w:r>
      <w:r w:rsidR="000B0A01">
        <w:rPr>
          <w:rFonts w:ascii="Arial" w:hAnsi="Arial" w:cs="Arial"/>
          <w:sz w:val="18"/>
          <w:szCs w:val="18"/>
        </w:rPr>
        <w:t xml:space="preserve">onsejera </w:t>
      </w:r>
      <w:r w:rsidR="00B474AC" w:rsidRPr="000F5226">
        <w:rPr>
          <w:rFonts w:ascii="Arial" w:hAnsi="Arial" w:cs="Arial"/>
          <w:sz w:val="18"/>
          <w:szCs w:val="18"/>
        </w:rPr>
        <w:t>P</w:t>
      </w:r>
      <w:r w:rsidR="000B0A01">
        <w:rPr>
          <w:rFonts w:ascii="Arial" w:hAnsi="Arial" w:cs="Arial"/>
          <w:sz w:val="18"/>
          <w:szCs w:val="18"/>
        </w:rPr>
        <w:t>onente:</w:t>
      </w:r>
      <w:r w:rsidR="000F5226" w:rsidRPr="000F5226">
        <w:rPr>
          <w:rFonts w:ascii="Arial" w:hAnsi="Arial" w:cs="Arial"/>
          <w:sz w:val="18"/>
          <w:szCs w:val="18"/>
        </w:rPr>
        <w:t xml:space="preserve"> </w:t>
      </w:r>
      <w:r w:rsidR="00B474AC" w:rsidRPr="000F5226">
        <w:rPr>
          <w:rFonts w:ascii="Arial" w:hAnsi="Arial" w:cs="Arial"/>
          <w:sz w:val="18"/>
          <w:szCs w:val="18"/>
        </w:rPr>
        <w:t>Ruth Stella Correa Palacio</w:t>
      </w:r>
      <w:r w:rsidR="000F5226" w:rsidRPr="000F5226">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0821E1" w:rsidRDefault="000821E1">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F10D53"/>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6153"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572"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284C182A"/>
    <w:multiLevelType w:val="hybridMultilevel"/>
    <w:tmpl w:val="3EB8A94E"/>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5" w15:restartNumberingAfterBreak="0">
    <w:nsid w:val="28520F79"/>
    <w:multiLevelType w:val="multilevel"/>
    <w:tmpl w:val="B22EFBA8"/>
    <w:lvl w:ilvl="0">
      <w:start w:val="7"/>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6" w15:restartNumberingAfterBreak="0">
    <w:nsid w:val="2BAA45F7"/>
    <w:multiLevelType w:val="hybridMultilevel"/>
    <w:tmpl w:val="32F40350"/>
    <w:lvl w:ilvl="0" w:tplc="79F63FD6">
      <w:start w:val="1"/>
      <w:numFmt w:val="decimal"/>
      <w:pStyle w:val="Capitulo3"/>
      <w:lvlText w:val="3.%1."/>
      <w:lvlJc w:val="left"/>
      <w:pPr>
        <w:ind w:left="502" w:hanging="360"/>
      </w:pPr>
      <w:rPr>
        <w:b/>
        <w:color w:val="3C3C3C" w:themeColor="background2" w:themeShade="40"/>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F0D103E"/>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7" w15:restartNumberingAfterBreak="0">
    <w:nsid w:val="716D1FFB"/>
    <w:multiLevelType w:val="multilevel"/>
    <w:tmpl w:val="399A4B3A"/>
    <w:lvl w:ilvl="0">
      <w:start w:val="2"/>
      <w:numFmt w:val="decimal"/>
      <w:lvlText w:val="%1"/>
      <w:lvlJc w:val="left"/>
      <w:pPr>
        <w:ind w:left="360" w:hanging="360"/>
      </w:p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72253BEF"/>
    <w:multiLevelType w:val="hybridMultilevel"/>
    <w:tmpl w:val="0A20A74A"/>
    <w:lvl w:ilvl="0" w:tplc="34120C7E">
      <w:start w:val="2"/>
      <w:numFmt w:val="decimal"/>
      <w:lvlText w:val="%1."/>
      <w:lvlJc w:val="left"/>
      <w:pPr>
        <w:ind w:left="668" w:hanging="337"/>
      </w:pPr>
      <w:rPr>
        <w:rFonts w:ascii="Arial" w:eastAsia="Arial" w:hAnsi="Arial" w:cs="Arial" w:hint="default"/>
        <w:color w:val="4E4D4D"/>
        <w:spacing w:val="-30"/>
        <w:w w:val="100"/>
        <w:sz w:val="22"/>
        <w:szCs w:val="22"/>
        <w:lang w:val="es-ES" w:eastAsia="en-US" w:bidi="ar-SA"/>
      </w:rPr>
    </w:lvl>
    <w:lvl w:ilvl="1" w:tplc="8A9E4BCE">
      <w:numFmt w:val="bullet"/>
      <w:lvlText w:val="•"/>
      <w:lvlJc w:val="left"/>
      <w:pPr>
        <w:ind w:left="1508" w:hanging="337"/>
      </w:pPr>
      <w:rPr>
        <w:rFonts w:hint="default"/>
        <w:lang w:val="es-ES" w:eastAsia="en-US" w:bidi="ar-SA"/>
      </w:rPr>
    </w:lvl>
    <w:lvl w:ilvl="2" w:tplc="ACD63762">
      <w:numFmt w:val="bullet"/>
      <w:lvlText w:val="•"/>
      <w:lvlJc w:val="left"/>
      <w:pPr>
        <w:ind w:left="2356" w:hanging="337"/>
      </w:pPr>
      <w:rPr>
        <w:rFonts w:hint="default"/>
        <w:lang w:val="es-ES" w:eastAsia="en-US" w:bidi="ar-SA"/>
      </w:rPr>
    </w:lvl>
    <w:lvl w:ilvl="3" w:tplc="39EC814C">
      <w:numFmt w:val="bullet"/>
      <w:lvlText w:val="•"/>
      <w:lvlJc w:val="left"/>
      <w:pPr>
        <w:ind w:left="3204" w:hanging="337"/>
      </w:pPr>
      <w:rPr>
        <w:rFonts w:hint="default"/>
        <w:lang w:val="es-ES" w:eastAsia="en-US" w:bidi="ar-SA"/>
      </w:rPr>
    </w:lvl>
    <w:lvl w:ilvl="4" w:tplc="E7F4F87C">
      <w:numFmt w:val="bullet"/>
      <w:lvlText w:val="•"/>
      <w:lvlJc w:val="left"/>
      <w:pPr>
        <w:ind w:left="4052" w:hanging="337"/>
      </w:pPr>
      <w:rPr>
        <w:rFonts w:hint="default"/>
        <w:lang w:val="es-ES" w:eastAsia="en-US" w:bidi="ar-SA"/>
      </w:rPr>
    </w:lvl>
    <w:lvl w:ilvl="5" w:tplc="53DECD0E">
      <w:numFmt w:val="bullet"/>
      <w:lvlText w:val="•"/>
      <w:lvlJc w:val="left"/>
      <w:pPr>
        <w:ind w:left="4900" w:hanging="337"/>
      </w:pPr>
      <w:rPr>
        <w:rFonts w:hint="default"/>
        <w:lang w:val="es-ES" w:eastAsia="en-US" w:bidi="ar-SA"/>
      </w:rPr>
    </w:lvl>
    <w:lvl w:ilvl="6" w:tplc="399C8E76">
      <w:numFmt w:val="bullet"/>
      <w:lvlText w:val="•"/>
      <w:lvlJc w:val="left"/>
      <w:pPr>
        <w:ind w:left="5748" w:hanging="337"/>
      </w:pPr>
      <w:rPr>
        <w:rFonts w:hint="default"/>
        <w:lang w:val="es-ES" w:eastAsia="en-US" w:bidi="ar-SA"/>
      </w:rPr>
    </w:lvl>
    <w:lvl w:ilvl="7" w:tplc="B38ED0EE">
      <w:numFmt w:val="bullet"/>
      <w:lvlText w:val="•"/>
      <w:lvlJc w:val="left"/>
      <w:pPr>
        <w:ind w:left="6596" w:hanging="337"/>
      </w:pPr>
      <w:rPr>
        <w:rFonts w:hint="default"/>
        <w:lang w:val="es-ES" w:eastAsia="en-US" w:bidi="ar-SA"/>
      </w:rPr>
    </w:lvl>
    <w:lvl w:ilvl="8" w:tplc="B4BAF3BA">
      <w:numFmt w:val="bullet"/>
      <w:lvlText w:val="•"/>
      <w:lvlJc w:val="left"/>
      <w:pPr>
        <w:ind w:left="7444" w:hanging="337"/>
      </w:pPr>
      <w:rPr>
        <w:rFonts w:hint="default"/>
        <w:lang w:val="es-ES" w:eastAsia="en-US" w:bidi="ar-SA"/>
      </w:rPr>
    </w:lvl>
  </w:abstractNum>
  <w:num w:numId="1">
    <w:abstractNumId w:val="8"/>
  </w:num>
  <w:num w:numId="2">
    <w:abstractNumId w:val="7"/>
  </w:num>
  <w:num w:numId="3">
    <w:abstractNumId w:val="11"/>
  </w:num>
  <w:num w:numId="4">
    <w:abstractNumId w:val="12"/>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9"/>
  </w:num>
  <w:num w:numId="9">
    <w:abstractNumId w:val="14"/>
  </w:num>
  <w:num w:numId="10">
    <w:abstractNumId w:val="3"/>
  </w:num>
  <w:num w:numId="11">
    <w:abstractNumId w:val="16"/>
  </w:num>
  <w:num w:numId="12">
    <w:abstractNumId w:val="2"/>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
  </w:num>
  <w:num w:numId="1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4"/>
  </w:num>
  <w:num w:numId="22">
    <w:abstractNumId w:val="6"/>
    <w:lvlOverride w:ilvl="0">
      <w:startOverride w:val="1"/>
    </w:lvlOverride>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7C"/>
    <w:rsid w:val="000038DE"/>
    <w:rsid w:val="00010175"/>
    <w:rsid w:val="00024990"/>
    <w:rsid w:val="00026180"/>
    <w:rsid w:val="00026B8F"/>
    <w:rsid w:val="00044CF2"/>
    <w:rsid w:val="0005532C"/>
    <w:rsid w:val="00066A29"/>
    <w:rsid w:val="000812D8"/>
    <w:rsid w:val="0008182D"/>
    <w:rsid w:val="000821E1"/>
    <w:rsid w:val="0008280E"/>
    <w:rsid w:val="00084B97"/>
    <w:rsid w:val="000942EB"/>
    <w:rsid w:val="000A12AF"/>
    <w:rsid w:val="000A3C9C"/>
    <w:rsid w:val="000B0231"/>
    <w:rsid w:val="000B0A01"/>
    <w:rsid w:val="000B103F"/>
    <w:rsid w:val="000B6260"/>
    <w:rsid w:val="000C0BF4"/>
    <w:rsid w:val="000D526D"/>
    <w:rsid w:val="000F100E"/>
    <w:rsid w:val="000F14E8"/>
    <w:rsid w:val="000F5226"/>
    <w:rsid w:val="000F7FEC"/>
    <w:rsid w:val="00103446"/>
    <w:rsid w:val="00103915"/>
    <w:rsid w:val="0010460F"/>
    <w:rsid w:val="001134BE"/>
    <w:rsid w:val="00122B23"/>
    <w:rsid w:val="001365AA"/>
    <w:rsid w:val="00137FFA"/>
    <w:rsid w:val="001472D7"/>
    <w:rsid w:val="00156CC8"/>
    <w:rsid w:val="00157A9B"/>
    <w:rsid w:val="0017593C"/>
    <w:rsid w:val="00176066"/>
    <w:rsid w:val="00185116"/>
    <w:rsid w:val="00196633"/>
    <w:rsid w:val="001A6C90"/>
    <w:rsid w:val="001B0444"/>
    <w:rsid w:val="001B09B2"/>
    <w:rsid w:val="001B1B06"/>
    <w:rsid w:val="001B444E"/>
    <w:rsid w:val="001D021D"/>
    <w:rsid w:val="001D195A"/>
    <w:rsid w:val="001D5FDD"/>
    <w:rsid w:val="001E19A3"/>
    <w:rsid w:val="001F5A8A"/>
    <w:rsid w:val="00205456"/>
    <w:rsid w:val="00205BEB"/>
    <w:rsid w:val="0020632A"/>
    <w:rsid w:val="002063DE"/>
    <w:rsid w:val="002068E9"/>
    <w:rsid w:val="002110EB"/>
    <w:rsid w:val="00211338"/>
    <w:rsid w:val="00216359"/>
    <w:rsid w:val="002216A0"/>
    <w:rsid w:val="002235E6"/>
    <w:rsid w:val="00225605"/>
    <w:rsid w:val="00226747"/>
    <w:rsid w:val="00227E05"/>
    <w:rsid w:val="00233CD8"/>
    <w:rsid w:val="00234B84"/>
    <w:rsid w:val="00236805"/>
    <w:rsid w:val="00243EAC"/>
    <w:rsid w:val="00251946"/>
    <w:rsid w:val="00251F97"/>
    <w:rsid w:val="002525BA"/>
    <w:rsid w:val="00253107"/>
    <w:rsid w:val="00261ED7"/>
    <w:rsid w:val="00261F87"/>
    <w:rsid w:val="002647DD"/>
    <w:rsid w:val="00265F3B"/>
    <w:rsid w:val="00266151"/>
    <w:rsid w:val="00270390"/>
    <w:rsid w:val="00272FAC"/>
    <w:rsid w:val="0027748D"/>
    <w:rsid w:val="0028521F"/>
    <w:rsid w:val="0028554D"/>
    <w:rsid w:val="00292954"/>
    <w:rsid w:val="00296C72"/>
    <w:rsid w:val="00296F4D"/>
    <w:rsid w:val="002A16B6"/>
    <w:rsid w:val="002A466F"/>
    <w:rsid w:val="002C440B"/>
    <w:rsid w:val="002C4C0C"/>
    <w:rsid w:val="002D3714"/>
    <w:rsid w:val="002D4A29"/>
    <w:rsid w:val="002E040C"/>
    <w:rsid w:val="002E06AB"/>
    <w:rsid w:val="003033BA"/>
    <w:rsid w:val="00306F36"/>
    <w:rsid w:val="00320DE3"/>
    <w:rsid w:val="00322937"/>
    <w:rsid w:val="003302E7"/>
    <w:rsid w:val="0034177C"/>
    <w:rsid w:val="0034680A"/>
    <w:rsid w:val="00346D4F"/>
    <w:rsid w:val="0035354C"/>
    <w:rsid w:val="00353DD5"/>
    <w:rsid w:val="003556D9"/>
    <w:rsid w:val="003849D1"/>
    <w:rsid w:val="00386456"/>
    <w:rsid w:val="00390BF5"/>
    <w:rsid w:val="00391097"/>
    <w:rsid w:val="003917F3"/>
    <w:rsid w:val="00392EFD"/>
    <w:rsid w:val="00394451"/>
    <w:rsid w:val="003954F0"/>
    <w:rsid w:val="003A0878"/>
    <w:rsid w:val="003A1B4E"/>
    <w:rsid w:val="003A581E"/>
    <w:rsid w:val="003B1BAE"/>
    <w:rsid w:val="003C7AEB"/>
    <w:rsid w:val="003D2279"/>
    <w:rsid w:val="003D6181"/>
    <w:rsid w:val="003F2755"/>
    <w:rsid w:val="003F2F8A"/>
    <w:rsid w:val="003F3C3A"/>
    <w:rsid w:val="003F5990"/>
    <w:rsid w:val="004116BA"/>
    <w:rsid w:val="00417F8A"/>
    <w:rsid w:val="004204AB"/>
    <w:rsid w:val="00423BED"/>
    <w:rsid w:val="00423F9F"/>
    <w:rsid w:val="00424FBA"/>
    <w:rsid w:val="004338C2"/>
    <w:rsid w:val="00437F4B"/>
    <w:rsid w:val="0044197C"/>
    <w:rsid w:val="004422D6"/>
    <w:rsid w:val="0044435B"/>
    <w:rsid w:val="00464FB4"/>
    <w:rsid w:val="0046600C"/>
    <w:rsid w:val="00467DC0"/>
    <w:rsid w:val="00472AEC"/>
    <w:rsid w:val="00473F3A"/>
    <w:rsid w:val="00474E1B"/>
    <w:rsid w:val="00476FB3"/>
    <w:rsid w:val="00480571"/>
    <w:rsid w:val="0048068E"/>
    <w:rsid w:val="00483370"/>
    <w:rsid w:val="00483716"/>
    <w:rsid w:val="00491322"/>
    <w:rsid w:val="0049241A"/>
    <w:rsid w:val="004938E3"/>
    <w:rsid w:val="004A34D2"/>
    <w:rsid w:val="004A39F5"/>
    <w:rsid w:val="004A7360"/>
    <w:rsid w:val="004B0F88"/>
    <w:rsid w:val="004C2980"/>
    <w:rsid w:val="004D1644"/>
    <w:rsid w:val="004D1EDC"/>
    <w:rsid w:val="004D2913"/>
    <w:rsid w:val="004D5E56"/>
    <w:rsid w:val="004E155F"/>
    <w:rsid w:val="004E508E"/>
    <w:rsid w:val="004E55BD"/>
    <w:rsid w:val="004F0E77"/>
    <w:rsid w:val="004F51F1"/>
    <w:rsid w:val="0050201F"/>
    <w:rsid w:val="00505884"/>
    <w:rsid w:val="00507D4F"/>
    <w:rsid w:val="0051074C"/>
    <w:rsid w:val="00512477"/>
    <w:rsid w:val="00513AF2"/>
    <w:rsid w:val="005227FE"/>
    <w:rsid w:val="005242F5"/>
    <w:rsid w:val="00524CD8"/>
    <w:rsid w:val="00531F3C"/>
    <w:rsid w:val="00535DE4"/>
    <w:rsid w:val="00543B27"/>
    <w:rsid w:val="0054413A"/>
    <w:rsid w:val="005524EE"/>
    <w:rsid w:val="00554EBC"/>
    <w:rsid w:val="005564CA"/>
    <w:rsid w:val="0055654C"/>
    <w:rsid w:val="00557EE3"/>
    <w:rsid w:val="0056182B"/>
    <w:rsid w:val="005638F1"/>
    <w:rsid w:val="00570E49"/>
    <w:rsid w:val="005756AA"/>
    <w:rsid w:val="00575AA0"/>
    <w:rsid w:val="00580C85"/>
    <w:rsid w:val="0058447F"/>
    <w:rsid w:val="00590ECB"/>
    <w:rsid w:val="005962C7"/>
    <w:rsid w:val="005A4D2B"/>
    <w:rsid w:val="005B01E6"/>
    <w:rsid w:val="005B27BE"/>
    <w:rsid w:val="005C15E4"/>
    <w:rsid w:val="005C44F5"/>
    <w:rsid w:val="005D51FA"/>
    <w:rsid w:val="005D791B"/>
    <w:rsid w:val="005E4C2A"/>
    <w:rsid w:val="005F4906"/>
    <w:rsid w:val="005F611B"/>
    <w:rsid w:val="006057EE"/>
    <w:rsid w:val="00607D9A"/>
    <w:rsid w:val="006146EA"/>
    <w:rsid w:val="00614817"/>
    <w:rsid w:val="00633DBF"/>
    <w:rsid w:val="00655371"/>
    <w:rsid w:val="00660F20"/>
    <w:rsid w:val="0067015F"/>
    <w:rsid w:val="00675964"/>
    <w:rsid w:val="00680FAB"/>
    <w:rsid w:val="00683C6A"/>
    <w:rsid w:val="00697665"/>
    <w:rsid w:val="0069781D"/>
    <w:rsid w:val="00697EDA"/>
    <w:rsid w:val="006A0E30"/>
    <w:rsid w:val="006A234D"/>
    <w:rsid w:val="006A367D"/>
    <w:rsid w:val="006A4683"/>
    <w:rsid w:val="006A7CB5"/>
    <w:rsid w:val="006A7FD0"/>
    <w:rsid w:val="006C04A6"/>
    <w:rsid w:val="006D7687"/>
    <w:rsid w:val="006E0572"/>
    <w:rsid w:val="006F215F"/>
    <w:rsid w:val="007012D4"/>
    <w:rsid w:val="007051A9"/>
    <w:rsid w:val="00705631"/>
    <w:rsid w:val="00706C5A"/>
    <w:rsid w:val="00710CDA"/>
    <w:rsid w:val="00710E01"/>
    <w:rsid w:val="00715EAA"/>
    <w:rsid w:val="00725507"/>
    <w:rsid w:val="007362E0"/>
    <w:rsid w:val="007408BC"/>
    <w:rsid w:val="00742DD2"/>
    <w:rsid w:val="00746FA0"/>
    <w:rsid w:val="00747C96"/>
    <w:rsid w:val="0075094E"/>
    <w:rsid w:val="007522E8"/>
    <w:rsid w:val="007547F1"/>
    <w:rsid w:val="0075647A"/>
    <w:rsid w:val="007634AD"/>
    <w:rsid w:val="00773A32"/>
    <w:rsid w:val="00775632"/>
    <w:rsid w:val="00780517"/>
    <w:rsid w:val="0078122E"/>
    <w:rsid w:val="007831FF"/>
    <w:rsid w:val="00790F46"/>
    <w:rsid w:val="00795647"/>
    <w:rsid w:val="007A056E"/>
    <w:rsid w:val="007A3C7C"/>
    <w:rsid w:val="007B0854"/>
    <w:rsid w:val="007B2E4A"/>
    <w:rsid w:val="007B396F"/>
    <w:rsid w:val="007B6F81"/>
    <w:rsid w:val="007E4C7E"/>
    <w:rsid w:val="007F1AC5"/>
    <w:rsid w:val="007F6B46"/>
    <w:rsid w:val="007F72CB"/>
    <w:rsid w:val="008018B2"/>
    <w:rsid w:val="00806A54"/>
    <w:rsid w:val="008138A0"/>
    <w:rsid w:val="00816A6A"/>
    <w:rsid w:val="008217B7"/>
    <w:rsid w:val="0082701A"/>
    <w:rsid w:val="0083119B"/>
    <w:rsid w:val="00832D19"/>
    <w:rsid w:val="00834D4D"/>
    <w:rsid w:val="00836EAB"/>
    <w:rsid w:val="00843A9B"/>
    <w:rsid w:val="0084721C"/>
    <w:rsid w:val="0085092D"/>
    <w:rsid w:val="00850F79"/>
    <w:rsid w:val="00853A7E"/>
    <w:rsid w:val="00857CC5"/>
    <w:rsid w:val="00861244"/>
    <w:rsid w:val="008657ED"/>
    <w:rsid w:val="0089774F"/>
    <w:rsid w:val="008A4115"/>
    <w:rsid w:val="008B21A3"/>
    <w:rsid w:val="008B4420"/>
    <w:rsid w:val="008B5493"/>
    <w:rsid w:val="008B5AFD"/>
    <w:rsid w:val="008B624C"/>
    <w:rsid w:val="008D0B70"/>
    <w:rsid w:val="008D55CC"/>
    <w:rsid w:val="008E1C15"/>
    <w:rsid w:val="008E360E"/>
    <w:rsid w:val="008E4819"/>
    <w:rsid w:val="008E580B"/>
    <w:rsid w:val="008E62E9"/>
    <w:rsid w:val="008F538E"/>
    <w:rsid w:val="00902E00"/>
    <w:rsid w:val="0090301F"/>
    <w:rsid w:val="0090345B"/>
    <w:rsid w:val="009047C5"/>
    <w:rsid w:val="009056C7"/>
    <w:rsid w:val="00911926"/>
    <w:rsid w:val="009140E7"/>
    <w:rsid w:val="00914A8A"/>
    <w:rsid w:val="00916D98"/>
    <w:rsid w:val="00927878"/>
    <w:rsid w:val="00934C1C"/>
    <w:rsid w:val="00935651"/>
    <w:rsid w:val="00936478"/>
    <w:rsid w:val="00942C37"/>
    <w:rsid w:val="00943918"/>
    <w:rsid w:val="00944C42"/>
    <w:rsid w:val="0095385A"/>
    <w:rsid w:val="00953D0A"/>
    <w:rsid w:val="00964B34"/>
    <w:rsid w:val="00964EB1"/>
    <w:rsid w:val="00971516"/>
    <w:rsid w:val="009739D8"/>
    <w:rsid w:val="00980FCD"/>
    <w:rsid w:val="00981CB1"/>
    <w:rsid w:val="009955D9"/>
    <w:rsid w:val="009A37B5"/>
    <w:rsid w:val="009A51B0"/>
    <w:rsid w:val="009B4797"/>
    <w:rsid w:val="009B5012"/>
    <w:rsid w:val="009B75DC"/>
    <w:rsid w:val="009D475B"/>
    <w:rsid w:val="009E2F73"/>
    <w:rsid w:val="009E3619"/>
    <w:rsid w:val="009F59C2"/>
    <w:rsid w:val="00A03447"/>
    <w:rsid w:val="00A0345F"/>
    <w:rsid w:val="00A05EEE"/>
    <w:rsid w:val="00A17105"/>
    <w:rsid w:val="00A23EB2"/>
    <w:rsid w:val="00A24560"/>
    <w:rsid w:val="00A337D3"/>
    <w:rsid w:val="00A34521"/>
    <w:rsid w:val="00A34538"/>
    <w:rsid w:val="00A35C49"/>
    <w:rsid w:val="00A37FB6"/>
    <w:rsid w:val="00A44F96"/>
    <w:rsid w:val="00A63ECE"/>
    <w:rsid w:val="00A673A2"/>
    <w:rsid w:val="00A90AF2"/>
    <w:rsid w:val="00AA08E7"/>
    <w:rsid w:val="00AA3342"/>
    <w:rsid w:val="00AA442B"/>
    <w:rsid w:val="00AA669D"/>
    <w:rsid w:val="00AB0EE5"/>
    <w:rsid w:val="00AC3ED6"/>
    <w:rsid w:val="00AC66F8"/>
    <w:rsid w:val="00AD5387"/>
    <w:rsid w:val="00AF6AC7"/>
    <w:rsid w:val="00B01112"/>
    <w:rsid w:val="00B04ADC"/>
    <w:rsid w:val="00B13EC0"/>
    <w:rsid w:val="00B20A61"/>
    <w:rsid w:val="00B22E22"/>
    <w:rsid w:val="00B34A68"/>
    <w:rsid w:val="00B35DC6"/>
    <w:rsid w:val="00B37B2B"/>
    <w:rsid w:val="00B474AC"/>
    <w:rsid w:val="00B50303"/>
    <w:rsid w:val="00B525CB"/>
    <w:rsid w:val="00B54733"/>
    <w:rsid w:val="00B632B5"/>
    <w:rsid w:val="00B63872"/>
    <w:rsid w:val="00B63CB2"/>
    <w:rsid w:val="00B64EDB"/>
    <w:rsid w:val="00B71503"/>
    <w:rsid w:val="00B91B8E"/>
    <w:rsid w:val="00B92E70"/>
    <w:rsid w:val="00B9337B"/>
    <w:rsid w:val="00B94B8B"/>
    <w:rsid w:val="00BB403F"/>
    <w:rsid w:val="00BB702E"/>
    <w:rsid w:val="00BC14F0"/>
    <w:rsid w:val="00BC2A36"/>
    <w:rsid w:val="00BC6790"/>
    <w:rsid w:val="00BC693E"/>
    <w:rsid w:val="00BD1A87"/>
    <w:rsid w:val="00BD2276"/>
    <w:rsid w:val="00BD3751"/>
    <w:rsid w:val="00BD78FE"/>
    <w:rsid w:val="00BE37A4"/>
    <w:rsid w:val="00BE7228"/>
    <w:rsid w:val="00BF1FC9"/>
    <w:rsid w:val="00BF5C56"/>
    <w:rsid w:val="00C0714C"/>
    <w:rsid w:val="00C14D4E"/>
    <w:rsid w:val="00C27B1D"/>
    <w:rsid w:val="00C37840"/>
    <w:rsid w:val="00C559E5"/>
    <w:rsid w:val="00C55BEA"/>
    <w:rsid w:val="00C57418"/>
    <w:rsid w:val="00C61DDC"/>
    <w:rsid w:val="00C6486F"/>
    <w:rsid w:val="00C75CCC"/>
    <w:rsid w:val="00C90631"/>
    <w:rsid w:val="00C950CE"/>
    <w:rsid w:val="00C9589B"/>
    <w:rsid w:val="00C96EA7"/>
    <w:rsid w:val="00CB1FEE"/>
    <w:rsid w:val="00CC00CD"/>
    <w:rsid w:val="00CD029C"/>
    <w:rsid w:val="00CE2D35"/>
    <w:rsid w:val="00CE399E"/>
    <w:rsid w:val="00CE67A7"/>
    <w:rsid w:val="00CF0D89"/>
    <w:rsid w:val="00CF2633"/>
    <w:rsid w:val="00D01760"/>
    <w:rsid w:val="00D1065C"/>
    <w:rsid w:val="00D10698"/>
    <w:rsid w:val="00D15AF6"/>
    <w:rsid w:val="00D16E39"/>
    <w:rsid w:val="00D21F44"/>
    <w:rsid w:val="00D223B6"/>
    <w:rsid w:val="00D316F2"/>
    <w:rsid w:val="00D33C38"/>
    <w:rsid w:val="00D60327"/>
    <w:rsid w:val="00D67301"/>
    <w:rsid w:val="00D7229B"/>
    <w:rsid w:val="00D72E9D"/>
    <w:rsid w:val="00D8010E"/>
    <w:rsid w:val="00D82CE5"/>
    <w:rsid w:val="00D87892"/>
    <w:rsid w:val="00D8799F"/>
    <w:rsid w:val="00D91CE8"/>
    <w:rsid w:val="00D920A3"/>
    <w:rsid w:val="00D979F7"/>
    <w:rsid w:val="00D97A0F"/>
    <w:rsid w:val="00DA153B"/>
    <w:rsid w:val="00DA5AB1"/>
    <w:rsid w:val="00DB3253"/>
    <w:rsid w:val="00DC62E5"/>
    <w:rsid w:val="00DD25C9"/>
    <w:rsid w:val="00DD32E5"/>
    <w:rsid w:val="00DD56D9"/>
    <w:rsid w:val="00DD735D"/>
    <w:rsid w:val="00DE3119"/>
    <w:rsid w:val="00DE6035"/>
    <w:rsid w:val="00DE7C82"/>
    <w:rsid w:val="00DF231B"/>
    <w:rsid w:val="00DF236B"/>
    <w:rsid w:val="00DF3C4C"/>
    <w:rsid w:val="00E02CDA"/>
    <w:rsid w:val="00E0384A"/>
    <w:rsid w:val="00E126F4"/>
    <w:rsid w:val="00E13A73"/>
    <w:rsid w:val="00E13AB8"/>
    <w:rsid w:val="00E2173C"/>
    <w:rsid w:val="00E219B6"/>
    <w:rsid w:val="00E25CB3"/>
    <w:rsid w:val="00E25DB9"/>
    <w:rsid w:val="00E25E87"/>
    <w:rsid w:val="00E30375"/>
    <w:rsid w:val="00E33B62"/>
    <w:rsid w:val="00E35566"/>
    <w:rsid w:val="00E4143A"/>
    <w:rsid w:val="00E41AB5"/>
    <w:rsid w:val="00E5054C"/>
    <w:rsid w:val="00E9608D"/>
    <w:rsid w:val="00EA3C33"/>
    <w:rsid w:val="00EA6804"/>
    <w:rsid w:val="00EB7DCD"/>
    <w:rsid w:val="00EC15C7"/>
    <w:rsid w:val="00EC56BD"/>
    <w:rsid w:val="00ED003C"/>
    <w:rsid w:val="00ED4297"/>
    <w:rsid w:val="00ED7F2B"/>
    <w:rsid w:val="00EE2167"/>
    <w:rsid w:val="00EE59B5"/>
    <w:rsid w:val="00EE6849"/>
    <w:rsid w:val="00EE7A59"/>
    <w:rsid w:val="00EF49F2"/>
    <w:rsid w:val="00F03C96"/>
    <w:rsid w:val="00F13DFC"/>
    <w:rsid w:val="00F2317D"/>
    <w:rsid w:val="00F31B03"/>
    <w:rsid w:val="00F33500"/>
    <w:rsid w:val="00F45D17"/>
    <w:rsid w:val="00F53968"/>
    <w:rsid w:val="00F5424F"/>
    <w:rsid w:val="00F5676A"/>
    <w:rsid w:val="00F60C66"/>
    <w:rsid w:val="00F73738"/>
    <w:rsid w:val="00F76196"/>
    <w:rsid w:val="00F821CC"/>
    <w:rsid w:val="00F84899"/>
    <w:rsid w:val="00F859F0"/>
    <w:rsid w:val="00F87563"/>
    <w:rsid w:val="00F913F2"/>
    <w:rsid w:val="00F93FD0"/>
    <w:rsid w:val="00FA771E"/>
    <w:rsid w:val="00FA7FF6"/>
    <w:rsid w:val="00FC3673"/>
    <w:rsid w:val="00FD5740"/>
    <w:rsid w:val="00FD57E1"/>
    <w:rsid w:val="00FE0E2C"/>
    <w:rsid w:val="00FE141E"/>
    <w:rsid w:val="00FE42ED"/>
    <w:rsid w:val="00FE6CFF"/>
    <w:rsid w:val="00FF5E30"/>
    <w:rsid w:val="09073B40"/>
    <w:rsid w:val="32FE1E98"/>
    <w:rsid w:val="344064EC"/>
    <w:rsid w:val="3A757BBF"/>
    <w:rsid w:val="684653D1"/>
    <w:rsid w:val="695DCCE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8138A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8138A0"/>
    <w:rPr>
      <w:rFonts w:ascii="Arial Narrow" w:eastAsia="Times New Roman" w:hAnsi="Arial Narrow" w:cs="Times New Roman"/>
      <w:color w:val="3C3C3C" w:themeColor="background2" w:themeShade="40"/>
      <w:sz w:val="24"/>
      <w:szCs w:val="24"/>
      <w:lang w:val="x-none" w:eastAsia="es-ES"/>
    </w:rPr>
  </w:style>
  <w:style w:type="paragraph" w:customStyle="1" w:styleId="Default">
    <w:name w:val="Default"/>
    <w:rsid w:val="003D2279"/>
    <w:pPr>
      <w:autoSpaceDE w:val="0"/>
      <w:autoSpaceDN w:val="0"/>
      <w:adjustRightInd w:val="0"/>
      <w:spacing w:after="0" w:line="240" w:lineRule="auto"/>
    </w:pPr>
    <w:rPr>
      <w:rFonts w:ascii="Arial" w:hAnsi="Arial" w:cs="Arial"/>
      <w:color w:val="000000"/>
      <w:sz w:val="24"/>
      <w:szCs w:val="24"/>
    </w:rPr>
  </w:style>
  <w:style w:type="paragraph" w:customStyle="1" w:styleId="j">
    <w:name w:val="j"/>
    <w:basedOn w:val="Normal"/>
    <w:rsid w:val="00423BED"/>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acep">
    <w:name w:val="n_acep"/>
    <w:basedOn w:val="Fuentedeprrafopredeter"/>
    <w:rsid w:val="00423BED"/>
  </w:style>
  <w:style w:type="paragraph" w:styleId="Textoindependiente">
    <w:name w:val="Body Text"/>
    <w:basedOn w:val="Normal"/>
    <w:link w:val="TextoindependienteCar"/>
    <w:uiPriority w:val="1"/>
    <w:qFormat/>
    <w:rsid w:val="00675964"/>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75964"/>
    <w:rPr>
      <w:rFonts w:ascii="Arial" w:eastAsia="Arial" w:hAnsi="Arial" w:cs="Arial"/>
      <w:lang w:val="es-ES"/>
    </w:rPr>
  </w:style>
  <w:style w:type="character" w:styleId="Textoennegrita">
    <w:name w:val="Strong"/>
    <w:basedOn w:val="Fuentedeprrafopredeter"/>
    <w:uiPriority w:val="22"/>
    <w:qFormat/>
    <w:rsid w:val="00706C5A"/>
    <w:rPr>
      <w:b/>
      <w:bCs/>
    </w:rPr>
  </w:style>
  <w:style w:type="character" w:styleId="nfasis">
    <w:name w:val="Emphasis"/>
    <w:basedOn w:val="Fuentedeprrafopredeter"/>
    <w:uiPriority w:val="20"/>
    <w:qFormat/>
    <w:rsid w:val="00706C5A"/>
    <w:rPr>
      <w:i/>
      <w:iCs/>
    </w:rPr>
  </w:style>
  <w:style w:type="paragraph" w:customStyle="1" w:styleId="Capitulo3">
    <w:name w:val="Capitulo 3"/>
    <w:basedOn w:val="Normal"/>
    <w:qFormat/>
    <w:rsid w:val="000821E1"/>
    <w:pPr>
      <w:keepNext/>
      <w:numPr>
        <w:numId w:val="22"/>
      </w:numPr>
      <w:spacing w:before="120" w:after="200" w:line="276" w:lineRule="auto"/>
      <w:outlineLvl w:val="1"/>
    </w:pPr>
    <w:rPr>
      <w:rFonts w:ascii="Arial" w:eastAsia="Times New Roman" w:hAnsi="Arial" w:cs="Arial"/>
      <w:b/>
      <w:color w:val="000000"/>
      <w:sz w:val="20"/>
      <w:szCs w:val="20"/>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3525748">
      <w:bodyDiv w:val="1"/>
      <w:marLeft w:val="0"/>
      <w:marRight w:val="0"/>
      <w:marTop w:val="0"/>
      <w:marBottom w:val="0"/>
      <w:divBdr>
        <w:top w:val="none" w:sz="0" w:space="0" w:color="auto"/>
        <w:left w:val="none" w:sz="0" w:space="0" w:color="auto"/>
        <w:bottom w:val="none" w:sz="0" w:space="0" w:color="auto"/>
        <w:right w:val="none" w:sz="0" w:space="0" w:color="auto"/>
      </w:divBdr>
    </w:div>
    <w:div w:id="118766121">
      <w:bodyDiv w:val="1"/>
      <w:marLeft w:val="0"/>
      <w:marRight w:val="0"/>
      <w:marTop w:val="0"/>
      <w:marBottom w:val="0"/>
      <w:divBdr>
        <w:top w:val="none" w:sz="0" w:space="0" w:color="auto"/>
        <w:left w:val="none" w:sz="0" w:space="0" w:color="auto"/>
        <w:bottom w:val="none" w:sz="0" w:space="0" w:color="auto"/>
        <w:right w:val="none" w:sz="0" w:space="0" w:color="auto"/>
      </w:divBdr>
    </w:div>
    <w:div w:id="141318693">
      <w:bodyDiv w:val="1"/>
      <w:marLeft w:val="0"/>
      <w:marRight w:val="0"/>
      <w:marTop w:val="0"/>
      <w:marBottom w:val="0"/>
      <w:divBdr>
        <w:top w:val="none" w:sz="0" w:space="0" w:color="auto"/>
        <w:left w:val="none" w:sz="0" w:space="0" w:color="auto"/>
        <w:bottom w:val="none" w:sz="0" w:space="0" w:color="auto"/>
        <w:right w:val="none" w:sz="0" w:space="0" w:color="auto"/>
      </w:divBdr>
      <w:divsChild>
        <w:div w:id="612174667">
          <w:marLeft w:val="0"/>
          <w:marRight w:val="0"/>
          <w:marTop w:val="0"/>
          <w:marBottom w:val="0"/>
          <w:divBdr>
            <w:top w:val="none" w:sz="0" w:space="0" w:color="auto"/>
            <w:left w:val="none" w:sz="0" w:space="0" w:color="auto"/>
            <w:bottom w:val="none" w:sz="0" w:space="0" w:color="auto"/>
            <w:right w:val="none" w:sz="0" w:space="0" w:color="auto"/>
          </w:divBdr>
        </w:div>
      </w:divsChild>
    </w:div>
    <w:div w:id="187064927">
      <w:bodyDiv w:val="1"/>
      <w:marLeft w:val="0"/>
      <w:marRight w:val="0"/>
      <w:marTop w:val="0"/>
      <w:marBottom w:val="0"/>
      <w:divBdr>
        <w:top w:val="none" w:sz="0" w:space="0" w:color="auto"/>
        <w:left w:val="none" w:sz="0" w:space="0" w:color="auto"/>
        <w:bottom w:val="none" w:sz="0" w:space="0" w:color="auto"/>
        <w:right w:val="none" w:sz="0" w:space="0" w:color="auto"/>
      </w:divBdr>
    </w:div>
    <w:div w:id="27957795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85323164">
      <w:bodyDiv w:val="1"/>
      <w:marLeft w:val="0"/>
      <w:marRight w:val="0"/>
      <w:marTop w:val="0"/>
      <w:marBottom w:val="0"/>
      <w:divBdr>
        <w:top w:val="none" w:sz="0" w:space="0" w:color="auto"/>
        <w:left w:val="none" w:sz="0" w:space="0" w:color="auto"/>
        <w:bottom w:val="none" w:sz="0" w:space="0" w:color="auto"/>
        <w:right w:val="none" w:sz="0" w:space="0" w:color="auto"/>
      </w:divBdr>
    </w:div>
    <w:div w:id="553784409">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683479879">
      <w:bodyDiv w:val="1"/>
      <w:marLeft w:val="0"/>
      <w:marRight w:val="0"/>
      <w:marTop w:val="0"/>
      <w:marBottom w:val="0"/>
      <w:divBdr>
        <w:top w:val="none" w:sz="0" w:space="0" w:color="auto"/>
        <w:left w:val="none" w:sz="0" w:space="0" w:color="auto"/>
        <w:bottom w:val="none" w:sz="0" w:space="0" w:color="auto"/>
        <w:right w:val="none" w:sz="0" w:space="0" w:color="auto"/>
      </w:divBdr>
    </w:div>
    <w:div w:id="832570751">
      <w:bodyDiv w:val="1"/>
      <w:marLeft w:val="0"/>
      <w:marRight w:val="0"/>
      <w:marTop w:val="0"/>
      <w:marBottom w:val="0"/>
      <w:divBdr>
        <w:top w:val="none" w:sz="0" w:space="0" w:color="auto"/>
        <w:left w:val="none" w:sz="0" w:space="0" w:color="auto"/>
        <w:bottom w:val="none" w:sz="0" w:space="0" w:color="auto"/>
        <w:right w:val="none" w:sz="0" w:space="0" w:color="auto"/>
      </w:divBdr>
    </w:div>
    <w:div w:id="942422348">
      <w:bodyDiv w:val="1"/>
      <w:marLeft w:val="0"/>
      <w:marRight w:val="0"/>
      <w:marTop w:val="0"/>
      <w:marBottom w:val="0"/>
      <w:divBdr>
        <w:top w:val="none" w:sz="0" w:space="0" w:color="auto"/>
        <w:left w:val="none" w:sz="0" w:space="0" w:color="auto"/>
        <w:bottom w:val="none" w:sz="0" w:space="0" w:color="auto"/>
        <w:right w:val="none" w:sz="0" w:space="0" w:color="auto"/>
      </w:divBdr>
    </w:div>
    <w:div w:id="959455616">
      <w:bodyDiv w:val="1"/>
      <w:marLeft w:val="0"/>
      <w:marRight w:val="0"/>
      <w:marTop w:val="0"/>
      <w:marBottom w:val="0"/>
      <w:divBdr>
        <w:top w:val="none" w:sz="0" w:space="0" w:color="auto"/>
        <w:left w:val="none" w:sz="0" w:space="0" w:color="auto"/>
        <w:bottom w:val="none" w:sz="0" w:space="0" w:color="auto"/>
        <w:right w:val="none" w:sz="0" w:space="0" w:color="auto"/>
      </w:divBdr>
    </w:div>
    <w:div w:id="985669315">
      <w:bodyDiv w:val="1"/>
      <w:marLeft w:val="0"/>
      <w:marRight w:val="0"/>
      <w:marTop w:val="0"/>
      <w:marBottom w:val="0"/>
      <w:divBdr>
        <w:top w:val="none" w:sz="0" w:space="0" w:color="auto"/>
        <w:left w:val="none" w:sz="0" w:space="0" w:color="auto"/>
        <w:bottom w:val="none" w:sz="0" w:space="0" w:color="auto"/>
        <w:right w:val="none" w:sz="0" w:space="0" w:color="auto"/>
      </w:divBdr>
    </w:div>
    <w:div w:id="1010452769">
      <w:bodyDiv w:val="1"/>
      <w:marLeft w:val="0"/>
      <w:marRight w:val="0"/>
      <w:marTop w:val="0"/>
      <w:marBottom w:val="0"/>
      <w:divBdr>
        <w:top w:val="none" w:sz="0" w:space="0" w:color="auto"/>
        <w:left w:val="none" w:sz="0" w:space="0" w:color="auto"/>
        <w:bottom w:val="none" w:sz="0" w:space="0" w:color="auto"/>
        <w:right w:val="none" w:sz="0" w:space="0" w:color="auto"/>
      </w:divBdr>
    </w:div>
    <w:div w:id="1343118561">
      <w:bodyDiv w:val="1"/>
      <w:marLeft w:val="0"/>
      <w:marRight w:val="0"/>
      <w:marTop w:val="0"/>
      <w:marBottom w:val="0"/>
      <w:divBdr>
        <w:top w:val="none" w:sz="0" w:space="0" w:color="auto"/>
        <w:left w:val="none" w:sz="0" w:space="0" w:color="auto"/>
        <w:bottom w:val="none" w:sz="0" w:space="0" w:color="auto"/>
        <w:right w:val="none" w:sz="0" w:space="0" w:color="auto"/>
      </w:divBdr>
    </w:div>
    <w:div w:id="1345592435">
      <w:bodyDiv w:val="1"/>
      <w:marLeft w:val="0"/>
      <w:marRight w:val="0"/>
      <w:marTop w:val="0"/>
      <w:marBottom w:val="0"/>
      <w:divBdr>
        <w:top w:val="none" w:sz="0" w:space="0" w:color="auto"/>
        <w:left w:val="none" w:sz="0" w:space="0" w:color="auto"/>
        <w:bottom w:val="none" w:sz="0" w:space="0" w:color="auto"/>
        <w:right w:val="none" w:sz="0" w:space="0" w:color="auto"/>
      </w:divBdr>
    </w:div>
    <w:div w:id="1630938108">
      <w:bodyDiv w:val="1"/>
      <w:marLeft w:val="0"/>
      <w:marRight w:val="0"/>
      <w:marTop w:val="0"/>
      <w:marBottom w:val="0"/>
      <w:divBdr>
        <w:top w:val="none" w:sz="0" w:space="0" w:color="auto"/>
        <w:left w:val="none" w:sz="0" w:space="0" w:color="auto"/>
        <w:bottom w:val="none" w:sz="0" w:space="0" w:color="auto"/>
        <w:right w:val="none" w:sz="0" w:space="0" w:color="auto"/>
      </w:divBdr>
    </w:div>
    <w:div w:id="1721588054">
      <w:bodyDiv w:val="1"/>
      <w:marLeft w:val="0"/>
      <w:marRight w:val="0"/>
      <w:marTop w:val="0"/>
      <w:marBottom w:val="0"/>
      <w:divBdr>
        <w:top w:val="none" w:sz="0" w:space="0" w:color="auto"/>
        <w:left w:val="none" w:sz="0" w:space="0" w:color="auto"/>
        <w:bottom w:val="none" w:sz="0" w:space="0" w:color="auto"/>
        <w:right w:val="none" w:sz="0" w:space="0" w:color="auto"/>
      </w:divBdr>
    </w:div>
    <w:div w:id="1788504553">
      <w:bodyDiv w:val="1"/>
      <w:marLeft w:val="0"/>
      <w:marRight w:val="0"/>
      <w:marTop w:val="0"/>
      <w:marBottom w:val="0"/>
      <w:divBdr>
        <w:top w:val="none" w:sz="0" w:space="0" w:color="auto"/>
        <w:left w:val="none" w:sz="0" w:space="0" w:color="auto"/>
        <w:bottom w:val="none" w:sz="0" w:space="0" w:color="auto"/>
        <w:right w:val="none" w:sz="0" w:space="0" w:color="auto"/>
      </w:divBdr>
    </w:div>
    <w:div w:id="1961569598">
      <w:bodyDiv w:val="1"/>
      <w:marLeft w:val="0"/>
      <w:marRight w:val="0"/>
      <w:marTop w:val="0"/>
      <w:marBottom w:val="0"/>
      <w:divBdr>
        <w:top w:val="none" w:sz="0" w:space="0" w:color="auto"/>
        <w:left w:val="none" w:sz="0" w:space="0" w:color="auto"/>
        <w:bottom w:val="none" w:sz="0" w:space="0" w:color="auto"/>
        <w:right w:val="none" w:sz="0" w:space="0" w:color="auto"/>
      </w:divBdr>
    </w:div>
    <w:div w:id="2031639719">
      <w:bodyDiv w:val="1"/>
      <w:marLeft w:val="0"/>
      <w:marRight w:val="0"/>
      <w:marTop w:val="0"/>
      <w:marBottom w:val="0"/>
      <w:divBdr>
        <w:top w:val="none" w:sz="0" w:space="0" w:color="auto"/>
        <w:left w:val="none" w:sz="0" w:space="0" w:color="auto"/>
        <w:bottom w:val="none" w:sz="0" w:space="0" w:color="auto"/>
        <w:right w:val="none" w:sz="0" w:space="0" w:color="auto"/>
      </w:divBdr>
    </w:div>
    <w:div w:id="205573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83E0804-B47B-4445-97DF-8F57F9C47D2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60EAB1BB-676D-4AEC-A2B8-1E46C2AAF5A9}">
  <ds:schemaRefs>
    <ds:schemaRef ds:uri="http://schemas.openxmlformats.org/officeDocument/2006/bibliography"/>
  </ds:schemaRefs>
</ds:datastoreItem>
</file>

<file path=customXml/itemProps4.xml><?xml version="1.0" encoding="utf-8"?>
<ds:datastoreItem xmlns:ds="http://schemas.openxmlformats.org/officeDocument/2006/customXml" ds:itemID="{E0CE7D7E-24C6-454E-A804-DD00A7276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7648</Words>
  <Characters>42068</Characters>
  <Application>Microsoft Office Word</Application>
  <DocSecurity>0</DocSecurity>
  <Lines>350</Lines>
  <Paragraphs>99</Paragraphs>
  <ScaleCrop>false</ScaleCrop>
  <Company/>
  <LinksUpToDate>false</LinksUpToDate>
  <CharactersWithSpaces>49617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cp:lastPrinted>2020-03-03T23:20:00Z</cp:lastPrinted>
  <dcterms:created xsi:type="dcterms:W3CDTF">2020-05-27T15:38:00Z</dcterms:created>
  <dcterms:modified xsi:type="dcterms:W3CDTF">2020-08-04T12:12:00Z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