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737A6C" w:rsidRDefault="00B55C69" w:rsidP="001A4314">
      <w:pPr>
        <w:jc w:val="right"/>
        <w:rPr>
          <w:rFonts w:ascii="Arial" w:eastAsia="Calibri" w:hAnsi="Arial" w:cs="Arial"/>
          <w:b/>
          <w:sz w:val="20"/>
          <w:szCs w:val="20"/>
          <w:lang w:val="es-ES_tradnl"/>
        </w:rPr>
      </w:pPr>
      <w:bookmarkStart w:id="0" w:name="_Hlk28946138"/>
      <w:bookmarkStart w:id="1" w:name="_Hlk29548183"/>
      <w:r w:rsidRPr="00737A6C">
        <w:rPr>
          <w:rFonts w:ascii="Arial" w:hAnsi="Arial" w:cs="Arial"/>
          <w:bCs/>
          <w:sz w:val="16"/>
          <w:szCs w:val="16"/>
          <w:lang w:val="es-ES_tradnl" w:eastAsia="es-ES"/>
        </w:rPr>
        <w:t>CCE-DES-FM-17</w:t>
      </w:r>
      <w:bookmarkEnd w:id="0"/>
      <w:bookmarkEnd w:id="1"/>
    </w:p>
    <w:p w14:paraId="55FBD910" w14:textId="77777777" w:rsidR="008536BB" w:rsidRPr="00737A6C" w:rsidRDefault="008536BB" w:rsidP="00B95C30">
      <w:pPr>
        <w:spacing w:line="276" w:lineRule="auto"/>
        <w:jc w:val="both"/>
        <w:rPr>
          <w:rFonts w:ascii="Arial" w:hAnsi="Arial" w:cs="Arial"/>
          <w:noProof/>
          <w:sz w:val="22"/>
          <w:lang w:val="es-ES_tradnl"/>
        </w:rPr>
      </w:pPr>
    </w:p>
    <w:p w14:paraId="6B3998C0" w14:textId="77777777" w:rsidR="009A5888" w:rsidRPr="00737A6C" w:rsidRDefault="009A5888" w:rsidP="009A5888">
      <w:pPr>
        <w:jc w:val="both"/>
        <w:rPr>
          <w:rFonts w:ascii="Arial" w:eastAsia="Calibri" w:hAnsi="Arial" w:cs="Arial"/>
          <w:b/>
          <w:sz w:val="22"/>
          <w:lang w:val="es-ES_tradnl"/>
        </w:rPr>
      </w:pPr>
      <w:r w:rsidRPr="00737A6C">
        <w:rPr>
          <w:rFonts w:ascii="Arial" w:eastAsia="Calibri" w:hAnsi="Arial" w:cs="Arial"/>
          <w:b/>
          <w:sz w:val="22"/>
          <w:lang w:val="es-ES_tradnl"/>
        </w:rPr>
        <w:t xml:space="preserve">LEY DE EMPRENDIMIENTO – Ley 2069 de 2020 – Vigencia </w:t>
      </w:r>
    </w:p>
    <w:p w14:paraId="1BA5F736" w14:textId="77777777" w:rsidR="009A5888" w:rsidRPr="00737A6C" w:rsidRDefault="009A5888" w:rsidP="009A5888">
      <w:pPr>
        <w:jc w:val="both"/>
        <w:rPr>
          <w:rFonts w:ascii="Arial" w:eastAsia="Calibri" w:hAnsi="Arial" w:cs="Arial"/>
          <w:b/>
          <w:sz w:val="22"/>
          <w:lang w:val="es-ES_tradnl"/>
        </w:rPr>
      </w:pPr>
    </w:p>
    <w:p w14:paraId="49099707" w14:textId="77777777" w:rsidR="009A5888" w:rsidRPr="00737A6C" w:rsidRDefault="009A5888" w:rsidP="009A5888">
      <w:pPr>
        <w:jc w:val="both"/>
        <w:rPr>
          <w:rFonts w:ascii="Arial" w:eastAsia="Calibri" w:hAnsi="Arial" w:cs="Arial"/>
          <w:sz w:val="20"/>
          <w:szCs w:val="20"/>
          <w:lang w:val="es-ES_tradnl"/>
        </w:rPr>
      </w:pPr>
      <w:r w:rsidRPr="00737A6C">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0FF3BB2B" w14:textId="77777777" w:rsidR="009A5888" w:rsidRPr="00737A6C" w:rsidRDefault="009A5888" w:rsidP="009A5888">
      <w:pPr>
        <w:jc w:val="both"/>
        <w:rPr>
          <w:rFonts w:ascii="Arial" w:eastAsia="Calibri" w:hAnsi="Arial" w:cs="Arial"/>
          <w:sz w:val="20"/>
          <w:szCs w:val="20"/>
          <w:lang w:val="es-ES_tradnl"/>
        </w:rPr>
      </w:pPr>
    </w:p>
    <w:p w14:paraId="14600903" w14:textId="77777777" w:rsidR="009A5888" w:rsidRPr="00737A6C" w:rsidRDefault="009A5888" w:rsidP="009A5888">
      <w:pPr>
        <w:jc w:val="both"/>
        <w:rPr>
          <w:rFonts w:ascii="Arial" w:eastAsia="Calibri" w:hAnsi="Arial" w:cs="Arial"/>
          <w:sz w:val="20"/>
          <w:szCs w:val="20"/>
          <w:lang w:val="es-ES_tradnl"/>
        </w:rPr>
      </w:pPr>
      <w:r w:rsidRPr="00737A6C">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434667E5" w14:textId="77777777" w:rsidR="009A5888" w:rsidRPr="00737A6C" w:rsidRDefault="009A5888" w:rsidP="009A5888">
      <w:pPr>
        <w:jc w:val="both"/>
        <w:rPr>
          <w:rFonts w:ascii="Arial" w:eastAsia="Calibri" w:hAnsi="Arial" w:cs="Arial"/>
          <w:sz w:val="20"/>
          <w:szCs w:val="20"/>
          <w:lang w:val="es-ES_tradnl"/>
        </w:rPr>
      </w:pPr>
    </w:p>
    <w:p w14:paraId="7F0C91AE" w14:textId="77777777" w:rsidR="009A5888" w:rsidRPr="00737A6C" w:rsidRDefault="009A5888" w:rsidP="009A5888">
      <w:pPr>
        <w:jc w:val="both"/>
        <w:rPr>
          <w:rFonts w:ascii="Arial" w:eastAsia="Calibri" w:hAnsi="Arial" w:cs="Arial"/>
          <w:b/>
          <w:sz w:val="22"/>
          <w:lang w:val="es-ES_tradnl"/>
        </w:rPr>
      </w:pPr>
      <w:r w:rsidRPr="00737A6C">
        <w:rPr>
          <w:rFonts w:ascii="Arial" w:eastAsia="Calibri" w:hAnsi="Arial" w:cs="Arial"/>
          <w:b/>
          <w:sz w:val="22"/>
          <w:lang w:val="es-ES_tradnl"/>
        </w:rPr>
        <w:t>MIPYMES – Ley 2069 – Artículo 34 – Convocatorias limitadas – Vigencia</w:t>
      </w:r>
    </w:p>
    <w:p w14:paraId="203DCA15" w14:textId="77777777" w:rsidR="009A5888" w:rsidRPr="00737A6C" w:rsidRDefault="009A5888" w:rsidP="009A5888">
      <w:pPr>
        <w:jc w:val="both"/>
        <w:rPr>
          <w:rFonts w:ascii="Arial" w:eastAsia="Calibri" w:hAnsi="Arial" w:cs="Arial"/>
          <w:sz w:val="20"/>
          <w:szCs w:val="20"/>
          <w:lang w:val="es-ES_tradnl"/>
        </w:rPr>
      </w:pPr>
    </w:p>
    <w:p w14:paraId="7D7E437E" w14:textId="77777777" w:rsidR="009A5888" w:rsidRPr="00737A6C" w:rsidRDefault="009A5888" w:rsidP="009A5888">
      <w:pPr>
        <w:jc w:val="both"/>
        <w:rPr>
          <w:rFonts w:ascii="Arial" w:eastAsia="Calibri" w:hAnsi="Arial" w:cs="Arial"/>
          <w:sz w:val="20"/>
          <w:szCs w:val="20"/>
          <w:lang w:val="es-ES_tradnl"/>
        </w:rPr>
      </w:pPr>
      <w:r w:rsidRPr="00737A6C">
        <w:rPr>
          <w:rFonts w:ascii="Arial" w:eastAsia="Calibri" w:hAnsi="Arial" w:cs="Arial"/>
          <w:sz w:val="20"/>
          <w:szCs w:val="20"/>
          <w:lang w:val="es-ES_tradnl"/>
        </w:rPr>
        <w:t>[…],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esta «deroga […] todas las disposiciones que le sean contrarias». Por lo anterior, puede afirmarse que, además del decaimiento del artículo 2.2.1.2.4.2.2. del Decreto 1082 de 2015, debe entenderse derogado.</w:t>
      </w:r>
    </w:p>
    <w:p w14:paraId="6FF03DFE" w14:textId="77777777" w:rsidR="009A5888" w:rsidRPr="00737A6C" w:rsidRDefault="009A5888" w:rsidP="009A5888">
      <w:pPr>
        <w:jc w:val="both"/>
        <w:rPr>
          <w:rFonts w:ascii="Arial" w:eastAsia="Calibri" w:hAnsi="Arial" w:cs="Arial"/>
          <w:sz w:val="20"/>
          <w:szCs w:val="20"/>
          <w:lang w:val="es-ES_tradnl"/>
        </w:rPr>
      </w:pPr>
    </w:p>
    <w:p w14:paraId="6E8737FA" w14:textId="77777777" w:rsidR="009A5888" w:rsidRPr="00737A6C" w:rsidRDefault="009A5888" w:rsidP="009A5888">
      <w:pPr>
        <w:jc w:val="both"/>
        <w:rPr>
          <w:rFonts w:ascii="Arial" w:eastAsia="Calibri" w:hAnsi="Arial" w:cs="Arial"/>
          <w:b/>
          <w:sz w:val="22"/>
          <w:lang w:val="es-ES_tradnl"/>
        </w:rPr>
      </w:pPr>
      <w:r w:rsidRPr="00737A6C">
        <w:rPr>
          <w:rFonts w:ascii="Arial" w:eastAsia="Calibri" w:hAnsi="Arial" w:cs="Arial"/>
          <w:sz w:val="20"/>
          <w:szCs w:val="20"/>
          <w:lang w:val="es-ES_tradnl"/>
        </w:rPr>
        <w:t xml:space="preserve">Por último, no es válido aducir que los apartados normativos del artículo 2.2.1.2.4.2.2. del Decreto 1082 de 2015 que, en su texto, no sean contrarios a la nueva regulación contenida en el artículo 34 de la Ley 2069 de 2020 pueden seguirse aplicando. Tal aseveración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dicha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    </w:t>
      </w:r>
    </w:p>
    <w:p w14:paraId="547B51A7" w14:textId="77777777" w:rsidR="009A5888" w:rsidRPr="00737A6C" w:rsidRDefault="009A5888" w:rsidP="009A5888">
      <w:pPr>
        <w:jc w:val="both"/>
        <w:rPr>
          <w:rFonts w:ascii="Arial" w:eastAsia="Calibri" w:hAnsi="Arial" w:cs="Arial"/>
          <w:sz w:val="20"/>
          <w:szCs w:val="20"/>
          <w:lang w:val="es-ES_tradnl"/>
        </w:rPr>
      </w:pPr>
    </w:p>
    <w:p w14:paraId="19F859CC" w14:textId="77777777" w:rsidR="009A5888" w:rsidRPr="00737A6C" w:rsidRDefault="009A5888" w:rsidP="009A5888">
      <w:pPr>
        <w:jc w:val="both"/>
        <w:rPr>
          <w:rFonts w:ascii="Arial" w:eastAsia="Calibri" w:hAnsi="Arial" w:cs="Arial"/>
          <w:b/>
          <w:sz w:val="22"/>
          <w:lang w:val="es-ES_tradnl"/>
        </w:rPr>
      </w:pPr>
    </w:p>
    <w:p w14:paraId="6799B0B0" w14:textId="77777777" w:rsidR="009A5888" w:rsidRPr="00737A6C" w:rsidRDefault="009A5888" w:rsidP="009A5888">
      <w:pPr>
        <w:jc w:val="both"/>
        <w:rPr>
          <w:rFonts w:ascii="Arial" w:eastAsia="Calibri" w:hAnsi="Arial" w:cs="Arial"/>
          <w:b/>
          <w:sz w:val="22"/>
          <w:lang w:val="es-ES_tradnl"/>
        </w:rPr>
      </w:pPr>
      <w:r w:rsidRPr="00737A6C">
        <w:rPr>
          <w:rFonts w:ascii="Arial" w:eastAsia="Calibri" w:hAnsi="Arial" w:cs="Arial"/>
          <w:b/>
          <w:sz w:val="22"/>
          <w:lang w:val="es-ES_tradnl"/>
        </w:rPr>
        <w:lastRenderedPageBreak/>
        <w:t xml:space="preserve">PROMOCIÓN DEL DESARROLLO – Contratación estatal – Ley 2069 – Artículo 34 – Subrogación </w:t>
      </w:r>
    </w:p>
    <w:p w14:paraId="0E1C3804" w14:textId="77777777" w:rsidR="009A5888" w:rsidRPr="00737A6C" w:rsidRDefault="009A5888" w:rsidP="009A5888">
      <w:pPr>
        <w:jc w:val="both"/>
        <w:rPr>
          <w:rFonts w:ascii="Arial" w:eastAsia="Calibri" w:hAnsi="Arial" w:cs="Arial"/>
          <w:sz w:val="20"/>
          <w:szCs w:val="20"/>
          <w:lang w:val="es-ES_tradnl"/>
        </w:rPr>
      </w:pPr>
    </w:p>
    <w:p w14:paraId="6B9DB064" w14:textId="77777777" w:rsidR="009A5888" w:rsidRPr="00737A6C" w:rsidRDefault="009A5888" w:rsidP="009A5888">
      <w:pPr>
        <w:jc w:val="both"/>
        <w:rPr>
          <w:rFonts w:ascii="Arial" w:eastAsia="Calibri" w:hAnsi="Arial" w:cs="Arial"/>
          <w:sz w:val="20"/>
          <w:szCs w:val="20"/>
          <w:lang w:val="es-ES_tradnl"/>
        </w:rPr>
      </w:pPr>
      <w:r w:rsidRPr="00737A6C">
        <w:rPr>
          <w:rFonts w:ascii="Arial" w:eastAsia="Calibri" w:hAnsi="Arial" w:cs="Arial"/>
          <w:sz w:val="20"/>
          <w:szCs w:val="20"/>
          <w:lang w:val="es-ES_tradnl"/>
        </w:rPr>
        <w:t>La subrogación es, […],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1B84DC59" w14:textId="77777777" w:rsidR="009A5888" w:rsidRPr="00737A6C" w:rsidRDefault="009A5888" w:rsidP="009A5888">
      <w:pPr>
        <w:jc w:val="both"/>
        <w:rPr>
          <w:rFonts w:ascii="Arial" w:eastAsia="Calibri" w:hAnsi="Arial" w:cs="Arial"/>
          <w:sz w:val="20"/>
          <w:szCs w:val="20"/>
          <w:lang w:val="es-ES_tradnl"/>
        </w:rPr>
      </w:pPr>
    </w:p>
    <w:p w14:paraId="53060B16" w14:textId="77777777" w:rsidR="009A5888" w:rsidRPr="00737A6C" w:rsidRDefault="009A5888" w:rsidP="009A5888">
      <w:pPr>
        <w:jc w:val="both"/>
        <w:rPr>
          <w:rFonts w:ascii="Arial" w:eastAsia="Calibri" w:hAnsi="Arial" w:cs="Arial"/>
          <w:sz w:val="20"/>
          <w:szCs w:val="20"/>
          <w:lang w:val="es-ES_tradnl"/>
        </w:rPr>
      </w:pPr>
      <w:r w:rsidRPr="00737A6C">
        <w:rPr>
          <w:rFonts w:ascii="Arial" w:eastAsia="Calibri" w:hAnsi="Arial" w:cs="Arial"/>
          <w:sz w:val="20"/>
          <w:szCs w:val="20"/>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se lee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666856BF" w14:textId="139ABA3B" w:rsidR="00004173" w:rsidRPr="00737A6C" w:rsidRDefault="00004173" w:rsidP="005E04C5">
      <w:pPr>
        <w:jc w:val="both"/>
        <w:rPr>
          <w:rFonts w:ascii="Arial" w:hAnsi="Arial" w:cs="Arial"/>
          <w:noProof/>
          <w:sz w:val="22"/>
          <w:lang w:val="es-ES_tradnl"/>
        </w:rPr>
      </w:pPr>
    </w:p>
    <w:p w14:paraId="31E7327D" w14:textId="0D88C313" w:rsidR="009A5888" w:rsidRPr="00737A6C" w:rsidRDefault="009A5888" w:rsidP="005E04C5">
      <w:pPr>
        <w:jc w:val="both"/>
        <w:rPr>
          <w:rFonts w:ascii="Arial" w:hAnsi="Arial" w:cs="Arial"/>
          <w:noProof/>
          <w:sz w:val="22"/>
          <w:lang w:val="es-ES_tradnl"/>
        </w:rPr>
      </w:pPr>
    </w:p>
    <w:p w14:paraId="52B06553" w14:textId="542C0E8C" w:rsidR="009A5888" w:rsidRPr="00737A6C" w:rsidRDefault="009A5888" w:rsidP="005E04C5">
      <w:pPr>
        <w:jc w:val="both"/>
        <w:rPr>
          <w:rFonts w:ascii="Arial" w:hAnsi="Arial" w:cs="Arial"/>
          <w:noProof/>
          <w:sz w:val="22"/>
          <w:lang w:val="es-ES_tradnl"/>
        </w:rPr>
      </w:pPr>
    </w:p>
    <w:p w14:paraId="3936F231" w14:textId="0BF619C5" w:rsidR="009A5888" w:rsidRPr="00737A6C" w:rsidRDefault="009A5888" w:rsidP="005E04C5">
      <w:pPr>
        <w:jc w:val="both"/>
        <w:rPr>
          <w:rFonts w:ascii="Arial" w:hAnsi="Arial" w:cs="Arial"/>
          <w:noProof/>
          <w:sz w:val="22"/>
          <w:lang w:val="es-ES_tradnl"/>
        </w:rPr>
      </w:pPr>
    </w:p>
    <w:p w14:paraId="7B47577B" w14:textId="7AF3FD5F" w:rsidR="009A5888" w:rsidRPr="00737A6C" w:rsidRDefault="009A5888" w:rsidP="005E04C5">
      <w:pPr>
        <w:jc w:val="both"/>
        <w:rPr>
          <w:rFonts w:ascii="Arial" w:hAnsi="Arial" w:cs="Arial"/>
          <w:noProof/>
          <w:sz w:val="22"/>
          <w:lang w:val="es-ES_tradnl"/>
        </w:rPr>
      </w:pPr>
    </w:p>
    <w:p w14:paraId="7D4C10BB" w14:textId="6A2AD370" w:rsidR="009A5888" w:rsidRPr="00737A6C" w:rsidRDefault="009A5888" w:rsidP="005E04C5">
      <w:pPr>
        <w:jc w:val="both"/>
        <w:rPr>
          <w:rFonts w:ascii="Arial" w:hAnsi="Arial" w:cs="Arial"/>
          <w:noProof/>
          <w:sz w:val="22"/>
          <w:lang w:val="es-ES_tradnl"/>
        </w:rPr>
      </w:pPr>
    </w:p>
    <w:p w14:paraId="07FE531F" w14:textId="42C78129" w:rsidR="009A5888" w:rsidRPr="00737A6C" w:rsidRDefault="009A5888" w:rsidP="005E04C5">
      <w:pPr>
        <w:jc w:val="both"/>
        <w:rPr>
          <w:rFonts w:ascii="Arial" w:hAnsi="Arial" w:cs="Arial"/>
          <w:noProof/>
          <w:sz w:val="22"/>
          <w:lang w:val="es-ES_tradnl"/>
        </w:rPr>
      </w:pPr>
    </w:p>
    <w:p w14:paraId="7AB2E4DF" w14:textId="77777777" w:rsidR="009A5888" w:rsidRPr="00737A6C" w:rsidRDefault="009A5888" w:rsidP="005E04C5">
      <w:pPr>
        <w:jc w:val="both"/>
        <w:rPr>
          <w:rFonts w:ascii="Arial" w:hAnsi="Arial" w:cs="Arial"/>
          <w:noProof/>
          <w:sz w:val="22"/>
          <w:lang w:val="es-ES_tradnl"/>
        </w:rPr>
      </w:pPr>
    </w:p>
    <w:p w14:paraId="559444FF" w14:textId="3427D45D" w:rsidR="006D58F2" w:rsidRPr="00737A6C" w:rsidRDefault="006D58F2" w:rsidP="00B95C30">
      <w:pPr>
        <w:spacing w:line="276" w:lineRule="auto"/>
        <w:jc w:val="both"/>
        <w:rPr>
          <w:rFonts w:ascii="Arial" w:hAnsi="Arial" w:cs="Arial"/>
          <w:noProof/>
          <w:sz w:val="22"/>
          <w:lang w:val="es-ES_tradnl"/>
        </w:rPr>
      </w:pPr>
    </w:p>
    <w:p w14:paraId="770AB292" w14:textId="7071937B" w:rsidR="006D58F2" w:rsidRPr="00737A6C" w:rsidRDefault="006D58F2" w:rsidP="00B95C30">
      <w:pPr>
        <w:spacing w:line="276" w:lineRule="auto"/>
        <w:jc w:val="both"/>
        <w:rPr>
          <w:rFonts w:ascii="Arial" w:hAnsi="Arial" w:cs="Arial"/>
          <w:noProof/>
          <w:sz w:val="22"/>
          <w:lang w:val="es-ES_tradnl"/>
        </w:rPr>
      </w:pPr>
    </w:p>
    <w:p w14:paraId="5033CD0B" w14:textId="6E4E0678" w:rsidR="006D58F2" w:rsidRPr="00737A6C" w:rsidRDefault="006D58F2" w:rsidP="00B95C30">
      <w:pPr>
        <w:spacing w:line="276" w:lineRule="auto"/>
        <w:jc w:val="both"/>
        <w:rPr>
          <w:rFonts w:ascii="Arial" w:hAnsi="Arial" w:cs="Arial"/>
          <w:noProof/>
          <w:sz w:val="22"/>
          <w:lang w:val="es-ES_tradnl"/>
        </w:rPr>
      </w:pPr>
    </w:p>
    <w:p w14:paraId="425B23E0" w14:textId="77777777" w:rsidR="006D58F2" w:rsidRPr="00737A6C" w:rsidRDefault="006D58F2" w:rsidP="00B95C30">
      <w:pPr>
        <w:spacing w:line="276" w:lineRule="auto"/>
        <w:jc w:val="both"/>
        <w:rPr>
          <w:rFonts w:ascii="Arial" w:hAnsi="Arial" w:cs="Arial"/>
          <w:noProof/>
          <w:sz w:val="22"/>
          <w:lang w:val="es-ES_tradnl"/>
        </w:rPr>
      </w:pPr>
    </w:p>
    <w:p w14:paraId="24A88D3F" w14:textId="692A56A9" w:rsidR="00F53F4F" w:rsidRPr="00737A6C" w:rsidRDefault="00F53F4F" w:rsidP="00B95C30">
      <w:pPr>
        <w:jc w:val="both"/>
        <w:rPr>
          <w:rFonts w:ascii="Arial" w:hAnsi="Arial" w:cs="Arial"/>
          <w:b/>
          <w:sz w:val="22"/>
          <w:lang w:val="es-ES_tradnl"/>
        </w:rPr>
      </w:pPr>
    </w:p>
    <w:p w14:paraId="184B7488" w14:textId="6DBCC181" w:rsidR="00097F53" w:rsidRPr="00737A6C" w:rsidRDefault="00097F53" w:rsidP="00B95C30">
      <w:pPr>
        <w:jc w:val="both"/>
        <w:rPr>
          <w:rFonts w:ascii="Arial" w:hAnsi="Arial" w:cs="Arial"/>
          <w:b/>
          <w:sz w:val="22"/>
          <w:lang w:val="es-ES_tradnl"/>
        </w:rPr>
      </w:pPr>
    </w:p>
    <w:p w14:paraId="7D585357" w14:textId="40823CF2" w:rsidR="00BE3700" w:rsidRPr="00737A6C" w:rsidRDefault="00BE3700" w:rsidP="00B95C30">
      <w:pPr>
        <w:jc w:val="both"/>
        <w:rPr>
          <w:rFonts w:ascii="Arial" w:hAnsi="Arial" w:cs="Arial"/>
          <w:b/>
          <w:sz w:val="22"/>
          <w:lang w:val="es-ES_tradnl"/>
        </w:rPr>
      </w:pPr>
    </w:p>
    <w:p w14:paraId="5F68F1FE" w14:textId="5818948F" w:rsidR="00BE3700" w:rsidRPr="00737A6C" w:rsidRDefault="00BE3700" w:rsidP="00B95C30">
      <w:pPr>
        <w:jc w:val="both"/>
        <w:rPr>
          <w:rFonts w:ascii="Arial" w:hAnsi="Arial" w:cs="Arial"/>
          <w:b/>
          <w:sz w:val="22"/>
          <w:lang w:val="es-ES_tradnl"/>
        </w:rPr>
      </w:pPr>
    </w:p>
    <w:p w14:paraId="42081262" w14:textId="4AB60AAC" w:rsidR="00BE3700" w:rsidRPr="00737A6C" w:rsidRDefault="00BE3700" w:rsidP="00B95C30">
      <w:pPr>
        <w:jc w:val="both"/>
        <w:rPr>
          <w:rFonts w:ascii="Arial" w:hAnsi="Arial" w:cs="Arial"/>
          <w:b/>
          <w:sz w:val="22"/>
          <w:lang w:val="es-ES_tradnl"/>
        </w:rPr>
      </w:pPr>
    </w:p>
    <w:p w14:paraId="44C456DB" w14:textId="3B44D864" w:rsidR="00BE3700" w:rsidRPr="00737A6C" w:rsidRDefault="00BE3700" w:rsidP="00B95C30">
      <w:pPr>
        <w:jc w:val="both"/>
        <w:rPr>
          <w:rFonts w:ascii="Arial" w:hAnsi="Arial" w:cs="Arial"/>
          <w:b/>
          <w:sz w:val="22"/>
          <w:lang w:val="es-ES_tradnl"/>
        </w:rPr>
      </w:pPr>
    </w:p>
    <w:p w14:paraId="5B2E3D15" w14:textId="17EA36C8" w:rsidR="00BE3700" w:rsidRPr="00737A6C" w:rsidRDefault="00BE3700" w:rsidP="00B95C30">
      <w:pPr>
        <w:jc w:val="both"/>
        <w:rPr>
          <w:rFonts w:ascii="Arial" w:hAnsi="Arial" w:cs="Arial"/>
          <w:b/>
          <w:sz w:val="22"/>
          <w:lang w:val="es-ES_tradnl"/>
        </w:rPr>
      </w:pPr>
    </w:p>
    <w:p w14:paraId="0F445C91" w14:textId="4C9FEC35" w:rsidR="00BE3700" w:rsidRPr="00737A6C" w:rsidRDefault="00BE3700" w:rsidP="00B95C30">
      <w:pPr>
        <w:jc w:val="both"/>
        <w:rPr>
          <w:rFonts w:ascii="Arial" w:hAnsi="Arial" w:cs="Arial"/>
          <w:b/>
          <w:sz w:val="22"/>
          <w:lang w:val="es-ES_tradnl"/>
        </w:rPr>
      </w:pPr>
    </w:p>
    <w:p w14:paraId="2E359CAC" w14:textId="59C85025" w:rsidR="00BE3700" w:rsidRPr="00737A6C" w:rsidRDefault="00BE3700" w:rsidP="00B95C30">
      <w:pPr>
        <w:jc w:val="both"/>
        <w:rPr>
          <w:rFonts w:ascii="Arial" w:hAnsi="Arial" w:cs="Arial"/>
          <w:b/>
          <w:sz w:val="22"/>
          <w:lang w:val="es-ES_tradnl"/>
        </w:rPr>
      </w:pPr>
    </w:p>
    <w:p w14:paraId="74B7773A" w14:textId="3D65D977" w:rsidR="00BE3700" w:rsidRPr="00737A6C" w:rsidRDefault="00BE3700" w:rsidP="00B95C30">
      <w:pPr>
        <w:jc w:val="both"/>
        <w:rPr>
          <w:rFonts w:ascii="Arial" w:hAnsi="Arial" w:cs="Arial"/>
          <w:b/>
          <w:sz w:val="22"/>
          <w:lang w:val="es-ES_tradnl"/>
        </w:rPr>
      </w:pPr>
    </w:p>
    <w:p w14:paraId="07548B91" w14:textId="517AEB47" w:rsidR="00BE3700" w:rsidRPr="00737A6C" w:rsidRDefault="00BE3700" w:rsidP="00B95C30">
      <w:pPr>
        <w:jc w:val="both"/>
        <w:rPr>
          <w:rFonts w:ascii="Arial" w:hAnsi="Arial" w:cs="Arial"/>
          <w:b/>
          <w:sz w:val="22"/>
          <w:lang w:val="es-ES_tradnl"/>
        </w:rPr>
      </w:pPr>
    </w:p>
    <w:p w14:paraId="73A0E612" w14:textId="7EA7343A" w:rsidR="00BE3700" w:rsidRPr="00737A6C" w:rsidRDefault="00BE3700" w:rsidP="00B95C30">
      <w:pPr>
        <w:jc w:val="both"/>
        <w:rPr>
          <w:rFonts w:ascii="Arial" w:hAnsi="Arial" w:cs="Arial"/>
          <w:b/>
          <w:sz w:val="22"/>
          <w:lang w:val="es-ES_tradnl"/>
        </w:rPr>
      </w:pPr>
    </w:p>
    <w:p w14:paraId="6F8B804A" w14:textId="55C59463" w:rsidR="00BE3700" w:rsidRPr="00737A6C" w:rsidRDefault="00BE3700" w:rsidP="00B95C30">
      <w:pPr>
        <w:jc w:val="both"/>
        <w:rPr>
          <w:rFonts w:ascii="Arial" w:hAnsi="Arial" w:cs="Arial"/>
          <w:b/>
          <w:sz w:val="22"/>
          <w:lang w:val="es-ES_tradnl"/>
        </w:rPr>
      </w:pPr>
    </w:p>
    <w:p w14:paraId="17DA7D66" w14:textId="340966F5" w:rsidR="00BE3700" w:rsidRPr="00737A6C" w:rsidRDefault="00BE3700" w:rsidP="00B95C30">
      <w:pPr>
        <w:jc w:val="both"/>
        <w:rPr>
          <w:rFonts w:ascii="Arial" w:hAnsi="Arial" w:cs="Arial"/>
          <w:b/>
          <w:sz w:val="22"/>
          <w:lang w:val="es-ES_tradnl"/>
        </w:rPr>
      </w:pPr>
    </w:p>
    <w:p w14:paraId="67BF819E" w14:textId="38DC8894" w:rsidR="00BE3700" w:rsidRPr="00737A6C" w:rsidRDefault="00BE3700" w:rsidP="00B95C30">
      <w:pPr>
        <w:jc w:val="both"/>
        <w:rPr>
          <w:rFonts w:ascii="Arial" w:hAnsi="Arial" w:cs="Arial"/>
          <w:b/>
          <w:sz w:val="22"/>
          <w:lang w:val="es-ES_tradnl"/>
        </w:rPr>
      </w:pPr>
    </w:p>
    <w:p w14:paraId="7F706B1B" w14:textId="16C9E6BE" w:rsidR="00BE3700" w:rsidRPr="00737A6C" w:rsidRDefault="00BE3700" w:rsidP="00B95C30">
      <w:pPr>
        <w:jc w:val="both"/>
        <w:rPr>
          <w:rFonts w:ascii="Arial" w:hAnsi="Arial" w:cs="Arial"/>
          <w:b/>
          <w:sz w:val="22"/>
          <w:lang w:val="es-ES_tradnl"/>
        </w:rPr>
      </w:pPr>
    </w:p>
    <w:p w14:paraId="5AA5CB48" w14:textId="25747534" w:rsidR="00BE3700" w:rsidRPr="00737A6C" w:rsidRDefault="00BE3700" w:rsidP="00B95C30">
      <w:pPr>
        <w:jc w:val="both"/>
        <w:rPr>
          <w:rFonts w:ascii="Arial" w:hAnsi="Arial" w:cs="Arial"/>
          <w:b/>
          <w:sz w:val="22"/>
          <w:lang w:val="es-ES_tradnl"/>
        </w:rPr>
      </w:pPr>
    </w:p>
    <w:p w14:paraId="7FC122E1" w14:textId="2F640D85" w:rsidR="00BE3700" w:rsidRPr="00737A6C" w:rsidRDefault="00BE3700" w:rsidP="00B95C30">
      <w:pPr>
        <w:jc w:val="both"/>
        <w:rPr>
          <w:rFonts w:ascii="Arial" w:hAnsi="Arial" w:cs="Arial"/>
          <w:b/>
          <w:sz w:val="22"/>
          <w:lang w:val="es-ES_tradnl"/>
        </w:rPr>
      </w:pPr>
    </w:p>
    <w:p w14:paraId="1DD9E0DB" w14:textId="4C4E2AA6" w:rsidR="00C61863" w:rsidRPr="00737A6C" w:rsidRDefault="00C61863" w:rsidP="00B95C30">
      <w:pPr>
        <w:jc w:val="both"/>
        <w:rPr>
          <w:rFonts w:ascii="Arial" w:hAnsi="Arial" w:cs="Arial"/>
          <w:b/>
          <w:sz w:val="22"/>
          <w:lang w:val="es-ES_tradnl"/>
        </w:rPr>
      </w:pPr>
    </w:p>
    <w:p w14:paraId="772357F7" w14:textId="7E72D583" w:rsidR="009A5888" w:rsidRDefault="00FF6FE1" w:rsidP="00FF6FE1">
      <w:pPr>
        <w:jc w:val="right"/>
        <w:rPr>
          <w:rFonts w:ascii="Arial" w:hAnsi="Arial" w:cs="Arial"/>
          <w:b/>
          <w:sz w:val="22"/>
          <w:lang w:val="es-ES_tradnl"/>
        </w:rPr>
      </w:pPr>
      <w:r w:rsidRPr="00FF6FE1">
        <w:rPr>
          <w:rFonts w:ascii="Arial" w:hAnsi="Arial" w:cs="Arial"/>
          <w:b/>
          <w:sz w:val="22"/>
          <w:lang w:val="es-ES_tradnl"/>
        </w:rPr>
        <w:drawing>
          <wp:inline distT="0" distB="0" distL="0" distR="0" wp14:anchorId="1675F934" wp14:editId="46E6080C">
            <wp:extent cx="3067478" cy="838317"/>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3067478" cy="838317"/>
                    </a:xfrm>
                    <a:prstGeom prst="rect">
                      <a:avLst/>
                    </a:prstGeom>
                  </pic:spPr>
                </pic:pic>
              </a:graphicData>
            </a:graphic>
          </wp:inline>
        </w:drawing>
      </w:r>
    </w:p>
    <w:p w14:paraId="73DE02E4" w14:textId="7C060E3A" w:rsidR="00FF6FE1" w:rsidRDefault="00FF6FE1" w:rsidP="00B95C30">
      <w:pPr>
        <w:jc w:val="both"/>
        <w:rPr>
          <w:rFonts w:ascii="Arial" w:hAnsi="Arial" w:cs="Arial"/>
          <w:b/>
          <w:sz w:val="22"/>
          <w:lang w:val="es-ES_tradnl"/>
        </w:rPr>
      </w:pPr>
    </w:p>
    <w:p w14:paraId="0F5CB525" w14:textId="77777777" w:rsidR="00FF6FE1" w:rsidRPr="00737A6C" w:rsidRDefault="00FF6FE1" w:rsidP="00B95C30">
      <w:pPr>
        <w:jc w:val="both"/>
        <w:rPr>
          <w:rFonts w:ascii="Arial" w:hAnsi="Arial" w:cs="Arial"/>
          <w:b/>
          <w:sz w:val="22"/>
          <w:lang w:val="es-ES_tradnl"/>
        </w:rPr>
      </w:pPr>
    </w:p>
    <w:p w14:paraId="5F5AE9EF" w14:textId="2BE03CD5" w:rsidR="00B95C30" w:rsidRPr="00737A6C" w:rsidRDefault="0064583E" w:rsidP="00EB2ED0">
      <w:pPr>
        <w:jc w:val="both"/>
        <w:rPr>
          <w:rFonts w:ascii="Arial" w:eastAsia="Calibri" w:hAnsi="Arial" w:cs="Arial"/>
          <w:sz w:val="22"/>
          <w:lang w:val="es-ES_tradnl"/>
        </w:rPr>
      </w:pPr>
      <w:bookmarkStart w:id="2" w:name="_Hlk79395594"/>
      <w:r w:rsidRPr="00737A6C">
        <w:rPr>
          <w:rFonts w:ascii="Arial" w:eastAsia="Calibri" w:hAnsi="Arial" w:cs="Arial"/>
          <w:sz w:val="22"/>
          <w:lang w:val="es-ES_tradnl"/>
        </w:rPr>
        <w:t>Señor</w:t>
      </w:r>
    </w:p>
    <w:p w14:paraId="651E7B83" w14:textId="58513B20" w:rsidR="0064583E" w:rsidRPr="00737A6C" w:rsidRDefault="002B6980" w:rsidP="00940DBD">
      <w:pPr>
        <w:jc w:val="both"/>
        <w:rPr>
          <w:rFonts w:ascii="Arial" w:eastAsia="Calibri" w:hAnsi="Arial" w:cs="Arial"/>
          <w:b/>
          <w:sz w:val="22"/>
          <w:lang w:val="es-ES_tradnl"/>
        </w:rPr>
      </w:pPr>
      <w:r w:rsidRPr="00737A6C">
        <w:rPr>
          <w:rFonts w:ascii="Arial" w:eastAsia="Calibri" w:hAnsi="Arial" w:cs="Arial"/>
          <w:b/>
          <w:sz w:val="22"/>
          <w:lang w:val="es-ES_tradnl"/>
        </w:rPr>
        <w:t xml:space="preserve">William </w:t>
      </w:r>
      <w:r w:rsidR="006D207B" w:rsidRPr="00737A6C">
        <w:rPr>
          <w:rFonts w:ascii="Arial" w:eastAsia="Calibri" w:hAnsi="Arial" w:cs="Arial"/>
          <w:b/>
          <w:sz w:val="22"/>
          <w:lang w:val="es-ES_tradnl"/>
        </w:rPr>
        <w:t>Andrés</w:t>
      </w:r>
      <w:r w:rsidRPr="00737A6C">
        <w:rPr>
          <w:rFonts w:ascii="Arial" w:eastAsia="Calibri" w:hAnsi="Arial" w:cs="Arial"/>
          <w:b/>
          <w:sz w:val="22"/>
          <w:lang w:val="es-ES_tradnl"/>
        </w:rPr>
        <w:t xml:space="preserve"> Lomelin Patarroyo</w:t>
      </w:r>
    </w:p>
    <w:p w14:paraId="48E36FCF" w14:textId="3C744579" w:rsidR="00F53F4F" w:rsidRPr="00737A6C" w:rsidRDefault="002B6980" w:rsidP="00EB2ED0">
      <w:pPr>
        <w:jc w:val="both"/>
        <w:rPr>
          <w:rFonts w:ascii="Arial" w:eastAsia="Calibri" w:hAnsi="Arial" w:cs="Arial"/>
          <w:bCs/>
          <w:sz w:val="22"/>
          <w:lang w:val="es-ES_tradnl"/>
        </w:rPr>
      </w:pPr>
      <w:r w:rsidRPr="00737A6C">
        <w:rPr>
          <w:rFonts w:ascii="Arial" w:eastAsia="Calibri" w:hAnsi="Arial" w:cs="Arial"/>
          <w:bCs/>
          <w:sz w:val="22"/>
          <w:lang w:val="es-ES_tradnl"/>
        </w:rPr>
        <w:t xml:space="preserve">Castilla la </w:t>
      </w:r>
      <w:r w:rsidR="006D207B" w:rsidRPr="00737A6C">
        <w:rPr>
          <w:rFonts w:ascii="Arial" w:eastAsia="Calibri" w:hAnsi="Arial" w:cs="Arial"/>
          <w:bCs/>
          <w:sz w:val="22"/>
          <w:lang w:val="es-ES_tradnl"/>
        </w:rPr>
        <w:t>N</w:t>
      </w:r>
      <w:r w:rsidRPr="00737A6C">
        <w:rPr>
          <w:rFonts w:ascii="Arial" w:eastAsia="Calibri" w:hAnsi="Arial" w:cs="Arial"/>
          <w:bCs/>
          <w:sz w:val="22"/>
          <w:lang w:val="es-ES_tradnl"/>
        </w:rPr>
        <w:t>ueva, Meta</w:t>
      </w:r>
    </w:p>
    <w:p w14:paraId="01BE71D0" w14:textId="77777777" w:rsidR="0064583E" w:rsidRPr="00737A6C" w:rsidRDefault="0064583E" w:rsidP="00EB2ED0">
      <w:pPr>
        <w:jc w:val="both"/>
        <w:rPr>
          <w:rFonts w:ascii="Arial" w:eastAsia="Calibri" w:hAnsi="Arial" w:cs="Arial"/>
          <w:sz w:val="22"/>
          <w:lang w:val="es-ES_tradnl"/>
        </w:rPr>
      </w:pPr>
    </w:p>
    <w:p w14:paraId="38813101" w14:textId="77777777" w:rsidR="00D274C5" w:rsidRPr="00737A6C" w:rsidRDefault="00D274C5" w:rsidP="00EB2ED0">
      <w:pPr>
        <w:jc w:val="both"/>
        <w:rPr>
          <w:rFonts w:ascii="Arial" w:eastAsia="Calibri" w:hAnsi="Arial" w:cs="Arial"/>
          <w:sz w:val="22"/>
          <w:lang w:val="es-ES_tradnl"/>
        </w:rPr>
      </w:pPr>
    </w:p>
    <w:p w14:paraId="12E66182" w14:textId="52C1A39A" w:rsidR="00B95C30" w:rsidRPr="00737A6C" w:rsidRDefault="00F53F4F" w:rsidP="00EB2ED0">
      <w:pPr>
        <w:rPr>
          <w:rFonts w:ascii="Arial" w:eastAsia="Calibri" w:hAnsi="Arial" w:cs="Arial"/>
          <w:b/>
          <w:bCs/>
          <w:sz w:val="22"/>
          <w:lang w:val="es-ES_tradnl"/>
        </w:rPr>
      </w:pPr>
      <w:r w:rsidRPr="00737A6C">
        <w:rPr>
          <w:rFonts w:ascii="Arial" w:eastAsia="Calibri" w:hAnsi="Arial" w:cs="Arial"/>
          <w:b/>
          <w:bCs/>
          <w:sz w:val="22"/>
          <w:lang w:val="es-ES_tradnl"/>
        </w:rPr>
        <w:t xml:space="preserve">                                            </w:t>
      </w:r>
      <w:r w:rsidR="00B95C30" w:rsidRPr="00737A6C">
        <w:rPr>
          <w:rFonts w:ascii="Arial" w:eastAsia="Calibri" w:hAnsi="Arial" w:cs="Arial"/>
          <w:b/>
          <w:bCs/>
          <w:sz w:val="22"/>
          <w:lang w:val="es-ES_tradnl"/>
        </w:rPr>
        <w:t xml:space="preserve">Concepto C ‒ </w:t>
      </w:r>
      <w:r w:rsidR="0044106A" w:rsidRPr="00737A6C">
        <w:rPr>
          <w:rFonts w:ascii="Arial" w:eastAsia="Calibri" w:hAnsi="Arial" w:cs="Arial"/>
          <w:b/>
          <w:bCs/>
          <w:sz w:val="22"/>
          <w:lang w:val="es-ES_tradnl"/>
        </w:rPr>
        <w:t xml:space="preserve">309 </w:t>
      </w:r>
      <w:r w:rsidR="00B95C30" w:rsidRPr="00737A6C">
        <w:rPr>
          <w:rFonts w:ascii="Arial" w:eastAsia="Calibri" w:hAnsi="Arial" w:cs="Arial"/>
          <w:b/>
          <w:bCs/>
          <w:sz w:val="22"/>
          <w:lang w:val="es-ES_tradnl"/>
        </w:rPr>
        <w:t>de 202</w:t>
      </w:r>
      <w:r w:rsidR="005E781C" w:rsidRPr="00737A6C">
        <w:rPr>
          <w:rFonts w:ascii="Arial" w:eastAsia="Calibri" w:hAnsi="Arial" w:cs="Arial"/>
          <w:b/>
          <w:bCs/>
          <w:sz w:val="22"/>
          <w:lang w:val="es-ES_tradnl"/>
        </w:rPr>
        <w:t>1</w:t>
      </w:r>
    </w:p>
    <w:p w14:paraId="1BD594F9" w14:textId="77777777" w:rsidR="00B95C30" w:rsidRPr="00737A6C" w:rsidRDefault="00B95C30" w:rsidP="00EB2ED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37A6C" w:rsidRPr="00737A6C" w14:paraId="19DFC051" w14:textId="77777777" w:rsidTr="008F4163">
        <w:tc>
          <w:tcPr>
            <w:tcW w:w="2689" w:type="dxa"/>
          </w:tcPr>
          <w:p w14:paraId="6BC0D1AC" w14:textId="77777777" w:rsidR="00B95C30" w:rsidRPr="00737A6C" w:rsidRDefault="00B95C30" w:rsidP="00EB2ED0">
            <w:pPr>
              <w:jc w:val="both"/>
              <w:rPr>
                <w:rFonts w:ascii="Arial" w:eastAsia="Calibri" w:hAnsi="Arial" w:cs="Arial"/>
                <w:sz w:val="22"/>
                <w:lang w:val="es-ES_tradnl"/>
              </w:rPr>
            </w:pPr>
            <w:r w:rsidRPr="00737A6C">
              <w:rPr>
                <w:rFonts w:ascii="Arial" w:eastAsia="Calibri" w:hAnsi="Arial" w:cs="Arial"/>
                <w:b/>
                <w:sz w:val="22"/>
                <w:lang w:val="es-ES_tradnl"/>
              </w:rPr>
              <w:t>Temas:</w:t>
            </w:r>
            <w:r w:rsidRPr="00737A6C">
              <w:rPr>
                <w:rFonts w:ascii="Arial" w:eastAsia="Calibri" w:hAnsi="Arial" w:cs="Arial"/>
                <w:sz w:val="22"/>
                <w:lang w:val="es-ES_tradnl"/>
              </w:rPr>
              <w:t xml:space="preserve">                                      </w:t>
            </w:r>
          </w:p>
        </w:tc>
        <w:tc>
          <w:tcPr>
            <w:tcW w:w="6237" w:type="dxa"/>
          </w:tcPr>
          <w:p w14:paraId="5F389CAF" w14:textId="3C8B6F1F" w:rsidR="00B95C30" w:rsidRPr="00737A6C" w:rsidRDefault="009134B2" w:rsidP="00EB2ED0">
            <w:pPr>
              <w:jc w:val="both"/>
              <w:rPr>
                <w:rFonts w:ascii="Arial" w:eastAsia="Calibri" w:hAnsi="Arial" w:cs="Arial"/>
                <w:sz w:val="22"/>
                <w:lang w:val="es-ES_tradnl"/>
              </w:rPr>
            </w:pPr>
            <w:r w:rsidRPr="00737A6C">
              <w:rPr>
                <w:rFonts w:ascii="Arial" w:eastAsia="Calibri" w:hAnsi="Arial" w:cs="Arial"/>
                <w:bCs/>
                <w:sz w:val="22"/>
                <w:lang w:val="es-ES_tradnl"/>
              </w:rPr>
              <w:t>LEY DE EMPRENDIMIENTO – Ley 2069 de 2020 – Vigencia / MIPYMES – Ley 2069 – Artículo 34 – Convocatorias limitadas – Vigencia / PROMOCIÓN DEL DESARROLLO – Contratación estatal – Ley 2069 – Artículo 34 – Subrogación</w:t>
            </w:r>
          </w:p>
        </w:tc>
      </w:tr>
      <w:tr w:rsidR="00737A6C" w:rsidRPr="00737A6C" w14:paraId="27CD52AB" w14:textId="77777777" w:rsidTr="008F4163">
        <w:tc>
          <w:tcPr>
            <w:tcW w:w="2689" w:type="dxa"/>
          </w:tcPr>
          <w:p w14:paraId="37E195A1" w14:textId="1BA218D5" w:rsidR="00B95C30" w:rsidRPr="00737A6C" w:rsidRDefault="00B95C30" w:rsidP="00EB2ED0">
            <w:pPr>
              <w:spacing w:before="120"/>
              <w:jc w:val="both"/>
              <w:rPr>
                <w:rFonts w:ascii="Arial" w:eastAsia="Calibri" w:hAnsi="Arial" w:cs="Arial"/>
                <w:b/>
                <w:sz w:val="22"/>
                <w:lang w:val="es-ES_tradnl"/>
              </w:rPr>
            </w:pPr>
            <w:r w:rsidRPr="00737A6C">
              <w:rPr>
                <w:rFonts w:ascii="Arial" w:eastAsia="Calibri" w:hAnsi="Arial" w:cs="Arial"/>
                <w:b/>
                <w:sz w:val="22"/>
                <w:lang w:val="es-ES_tradnl"/>
              </w:rPr>
              <w:t>Radicación:</w:t>
            </w:r>
            <w:r w:rsidRPr="00737A6C">
              <w:rPr>
                <w:rFonts w:ascii="Arial" w:eastAsia="Calibri" w:hAnsi="Arial" w:cs="Arial"/>
                <w:sz w:val="22"/>
                <w:lang w:val="es-ES_tradnl"/>
              </w:rPr>
              <w:t xml:space="preserve">                              </w:t>
            </w:r>
          </w:p>
        </w:tc>
        <w:tc>
          <w:tcPr>
            <w:tcW w:w="6237" w:type="dxa"/>
          </w:tcPr>
          <w:p w14:paraId="09088B1B" w14:textId="4D3B222C" w:rsidR="00B95C30" w:rsidRPr="00737A6C" w:rsidRDefault="00B95C30" w:rsidP="00EB2ED0">
            <w:pPr>
              <w:spacing w:before="120"/>
              <w:jc w:val="both"/>
              <w:rPr>
                <w:rFonts w:ascii="Arial" w:eastAsia="Calibri" w:hAnsi="Arial" w:cs="Arial"/>
                <w:sz w:val="22"/>
                <w:lang w:val="es-ES_tradnl"/>
              </w:rPr>
            </w:pPr>
            <w:r w:rsidRPr="00737A6C">
              <w:rPr>
                <w:rFonts w:ascii="Arial" w:eastAsia="Calibri" w:hAnsi="Arial" w:cs="Arial"/>
                <w:sz w:val="22"/>
                <w:lang w:val="es-ES_tradnl"/>
              </w:rPr>
              <w:t>Respuesta a consulta</w:t>
            </w:r>
            <w:r w:rsidR="00A92684" w:rsidRPr="00737A6C">
              <w:rPr>
                <w:rFonts w:ascii="Arial" w:eastAsia="Calibri" w:hAnsi="Arial" w:cs="Arial"/>
                <w:sz w:val="22"/>
                <w:lang w:val="es-ES_tradnl"/>
              </w:rPr>
              <w:t>s</w:t>
            </w:r>
            <w:r w:rsidRPr="00737A6C">
              <w:rPr>
                <w:rFonts w:ascii="Arial" w:eastAsia="Calibri" w:hAnsi="Arial" w:cs="Arial"/>
                <w:sz w:val="22"/>
                <w:lang w:val="es-ES_tradnl"/>
              </w:rPr>
              <w:t xml:space="preserve"> </w:t>
            </w:r>
            <w:r w:rsidR="00A92684" w:rsidRPr="00737A6C">
              <w:rPr>
                <w:rFonts w:ascii="Arial" w:eastAsia="Calibri" w:hAnsi="Arial" w:cs="Arial"/>
                <w:sz w:val="22"/>
                <w:lang w:val="es-ES_tradnl"/>
              </w:rPr>
              <w:t xml:space="preserve">P20210712006136 y </w:t>
            </w:r>
            <w:r w:rsidR="005561D8" w:rsidRPr="00737A6C">
              <w:rPr>
                <w:rFonts w:ascii="Arial" w:eastAsia="Calibri" w:hAnsi="Arial" w:cs="Arial"/>
                <w:sz w:val="22"/>
                <w:lang w:val="es-ES_tradnl"/>
              </w:rPr>
              <w:t xml:space="preserve">P20210713006151 </w:t>
            </w:r>
            <w:r w:rsidR="00715D87">
              <w:rPr>
                <w:rFonts w:ascii="Arial" w:eastAsia="Calibri" w:hAnsi="Arial" w:cs="Arial"/>
                <w:sz w:val="22"/>
                <w:lang w:val="es-ES_tradnl"/>
              </w:rPr>
              <w:t>–</w:t>
            </w:r>
            <w:r w:rsidR="005561D8" w:rsidRPr="00737A6C">
              <w:rPr>
                <w:rFonts w:ascii="Arial" w:eastAsia="Calibri" w:hAnsi="Arial" w:cs="Arial"/>
                <w:sz w:val="22"/>
                <w:lang w:val="es-ES_tradnl"/>
              </w:rPr>
              <w:t>acumuladas</w:t>
            </w:r>
            <w:r w:rsidR="00715D87">
              <w:rPr>
                <w:rFonts w:ascii="Arial" w:eastAsia="Calibri" w:hAnsi="Arial" w:cs="Arial"/>
                <w:sz w:val="22"/>
                <w:lang w:val="es-ES_tradnl"/>
              </w:rPr>
              <w:t>–</w:t>
            </w:r>
          </w:p>
        </w:tc>
      </w:tr>
    </w:tbl>
    <w:p w14:paraId="61B55CA4" w14:textId="5DCE5291" w:rsidR="00716BB0" w:rsidRPr="00737A6C" w:rsidRDefault="00716BB0" w:rsidP="00EB2ED0">
      <w:pPr>
        <w:jc w:val="both"/>
        <w:rPr>
          <w:rFonts w:ascii="Arial" w:eastAsia="Calibri" w:hAnsi="Arial" w:cs="Arial"/>
          <w:sz w:val="22"/>
          <w:lang w:val="es-ES_tradnl"/>
        </w:rPr>
      </w:pPr>
    </w:p>
    <w:p w14:paraId="1CF4AEA0" w14:textId="709AD4F6" w:rsidR="003C3339" w:rsidRPr="00737A6C" w:rsidRDefault="003C3339" w:rsidP="00EB2ED0">
      <w:pPr>
        <w:jc w:val="both"/>
        <w:rPr>
          <w:rFonts w:ascii="Arial" w:eastAsia="Calibri" w:hAnsi="Arial" w:cs="Arial"/>
          <w:sz w:val="22"/>
          <w:lang w:val="es-ES_tradnl"/>
        </w:rPr>
      </w:pPr>
      <w:r w:rsidRPr="00737A6C">
        <w:rPr>
          <w:rFonts w:ascii="Arial" w:eastAsia="Calibri" w:hAnsi="Arial" w:cs="Arial"/>
          <w:sz w:val="22"/>
          <w:lang w:val="es-ES_tradnl"/>
        </w:rPr>
        <w:t>Estimad</w:t>
      </w:r>
      <w:r w:rsidR="00940DBD" w:rsidRPr="00737A6C">
        <w:rPr>
          <w:rFonts w:ascii="Arial" w:eastAsia="Calibri" w:hAnsi="Arial" w:cs="Arial"/>
          <w:sz w:val="22"/>
          <w:lang w:val="es-ES_tradnl"/>
        </w:rPr>
        <w:t>o</w:t>
      </w:r>
      <w:r w:rsidRPr="00737A6C">
        <w:rPr>
          <w:rFonts w:ascii="Arial" w:eastAsia="Calibri" w:hAnsi="Arial" w:cs="Arial"/>
          <w:sz w:val="22"/>
          <w:lang w:val="es-ES_tradnl"/>
        </w:rPr>
        <w:t xml:space="preserve"> </w:t>
      </w:r>
      <w:r w:rsidR="0064583E" w:rsidRPr="00737A6C">
        <w:rPr>
          <w:rFonts w:ascii="Arial" w:eastAsia="Calibri" w:hAnsi="Arial" w:cs="Arial"/>
          <w:sz w:val="22"/>
          <w:lang w:val="es-ES_tradnl"/>
        </w:rPr>
        <w:t xml:space="preserve">señor </w:t>
      </w:r>
      <w:r w:rsidR="006D207B" w:rsidRPr="00737A6C">
        <w:rPr>
          <w:rFonts w:ascii="Arial" w:eastAsia="Calibri" w:hAnsi="Arial" w:cs="Arial"/>
          <w:sz w:val="22"/>
          <w:lang w:val="es-ES_tradnl"/>
        </w:rPr>
        <w:t>Lomelin</w:t>
      </w:r>
      <w:r w:rsidR="00715D87">
        <w:rPr>
          <w:rFonts w:ascii="Arial" w:eastAsia="Calibri" w:hAnsi="Arial" w:cs="Arial"/>
          <w:sz w:val="22"/>
          <w:lang w:val="es-ES_tradnl"/>
        </w:rPr>
        <w:t>:</w:t>
      </w:r>
    </w:p>
    <w:p w14:paraId="1EAE5543" w14:textId="77777777" w:rsidR="00DD5B04" w:rsidRPr="00737A6C" w:rsidRDefault="00DD5B04" w:rsidP="00EB2ED0">
      <w:pPr>
        <w:jc w:val="both"/>
        <w:rPr>
          <w:rFonts w:ascii="Arial" w:eastAsia="Calibri" w:hAnsi="Arial" w:cs="Arial"/>
          <w:sz w:val="22"/>
          <w:lang w:val="es-ES_tradnl"/>
        </w:rPr>
      </w:pPr>
    </w:p>
    <w:p w14:paraId="2109B2D3" w14:textId="42B5B5B7" w:rsidR="00DD5B04" w:rsidRPr="00737A6C" w:rsidRDefault="00DD5B04" w:rsidP="00EB2ED0">
      <w:pPr>
        <w:spacing w:line="276" w:lineRule="auto"/>
        <w:jc w:val="both"/>
        <w:rPr>
          <w:rFonts w:ascii="Arial" w:eastAsia="Calibri" w:hAnsi="Arial" w:cs="Arial"/>
          <w:sz w:val="22"/>
          <w:lang w:val="es-ES_tradnl"/>
        </w:rPr>
      </w:pPr>
      <w:r w:rsidRPr="00737A6C">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737A6C">
        <w:rPr>
          <w:rFonts w:ascii="Arial" w:eastAsia="Calibri" w:hAnsi="Arial" w:cs="Arial"/>
          <w:sz w:val="22"/>
          <w:lang w:val="es-ES_tradnl"/>
        </w:rPr>
        <w:t xml:space="preserve"> </w:t>
      </w:r>
      <w:r w:rsidRPr="00737A6C">
        <w:rPr>
          <w:rFonts w:ascii="Arial" w:eastAsia="Calibri" w:hAnsi="Arial" w:cs="Arial"/>
          <w:sz w:val="22"/>
          <w:lang w:val="es-ES_tradnl"/>
        </w:rPr>
        <w:t>responde su</w:t>
      </w:r>
      <w:r w:rsidR="00835866" w:rsidRPr="00737A6C">
        <w:rPr>
          <w:rFonts w:ascii="Arial" w:eastAsia="Calibri" w:hAnsi="Arial" w:cs="Arial"/>
          <w:sz w:val="22"/>
          <w:lang w:val="es-ES_tradnl"/>
        </w:rPr>
        <w:t>s</w:t>
      </w:r>
      <w:r w:rsidRPr="00737A6C">
        <w:rPr>
          <w:rFonts w:ascii="Arial" w:eastAsia="Calibri" w:hAnsi="Arial" w:cs="Arial"/>
          <w:sz w:val="22"/>
          <w:lang w:val="es-ES_tradnl"/>
        </w:rPr>
        <w:t xml:space="preserve"> consulta</w:t>
      </w:r>
      <w:r w:rsidR="00835866" w:rsidRPr="00737A6C">
        <w:rPr>
          <w:rFonts w:ascii="Arial" w:eastAsia="Calibri" w:hAnsi="Arial" w:cs="Arial"/>
          <w:sz w:val="22"/>
          <w:lang w:val="es-ES_tradnl"/>
        </w:rPr>
        <w:t>s</w:t>
      </w:r>
      <w:r w:rsidRPr="00737A6C">
        <w:rPr>
          <w:rFonts w:ascii="Arial" w:eastAsia="Calibri" w:hAnsi="Arial" w:cs="Arial"/>
          <w:sz w:val="22"/>
          <w:lang w:val="es-ES_tradnl"/>
        </w:rPr>
        <w:t xml:space="preserve"> del </w:t>
      </w:r>
      <w:r w:rsidR="00835866" w:rsidRPr="00737A6C">
        <w:rPr>
          <w:rFonts w:ascii="Arial" w:eastAsia="Calibri" w:hAnsi="Arial" w:cs="Arial"/>
          <w:sz w:val="22"/>
          <w:lang w:val="es-ES_tradnl"/>
        </w:rPr>
        <w:t>12</w:t>
      </w:r>
      <w:r w:rsidR="00940DBD" w:rsidRPr="00737A6C">
        <w:rPr>
          <w:rFonts w:ascii="Arial" w:eastAsia="Calibri" w:hAnsi="Arial" w:cs="Arial"/>
          <w:sz w:val="22"/>
          <w:lang w:val="es-ES_tradnl"/>
        </w:rPr>
        <w:t xml:space="preserve"> </w:t>
      </w:r>
      <w:r w:rsidR="00FD4AF3" w:rsidRPr="00737A6C">
        <w:rPr>
          <w:rFonts w:ascii="Arial" w:eastAsia="Calibri" w:hAnsi="Arial" w:cs="Arial"/>
          <w:sz w:val="22"/>
          <w:lang w:val="es-ES_tradnl"/>
        </w:rPr>
        <w:t xml:space="preserve">de </w:t>
      </w:r>
      <w:r w:rsidR="00940DBD" w:rsidRPr="00737A6C">
        <w:rPr>
          <w:rFonts w:ascii="Arial" w:eastAsia="Calibri" w:hAnsi="Arial" w:cs="Arial"/>
          <w:sz w:val="22"/>
          <w:lang w:val="es-ES_tradnl"/>
        </w:rPr>
        <w:t>ju</w:t>
      </w:r>
      <w:r w:rsidR="0064583E" w:rsidRPr="00737A6C">
        <w:rPr>
          <w:rFonts w:ascii="Arial" w:eastAsia="Calibri" w:hAnsi="Arial" w:cs="Arial"/>
          <w:sz w:val="22"/>
          <w:lang w:val="es-ES_tradnl"/>
        </w:rPr>
        <w:t>l</w:t>
      </w:r>
      <w:r w:rsidR="00940DBD" w:rsidRPr="00737A6C">
        <w:rPr>
          <w:rFonts w:ascii="Arial" w:eastAsia="Calibri" w:hAnsi="Arial" w:cs="Arial"/>
          <w:sz w:val="22"/>
          <w:lang w:val="es-ES_tradnl"/>
        </w:rPr>
        <w:t>io</w:t>
      </w:r>
      <w:r w:rsidRPr="00737A6C">
        <w:rPr>
          <w:rFonts w:ascii="Arial" w:eastAsia="Calibri" w:hAnsi="Arial" w:cs="Arial"/>
          <w:sz w:val="22"/>
          <w:lang w:val="es-ES_tradnl"/>
        </w:rPr>
        <w:t xml:space="preserve"> de</w:t>
      </w:r>
      <w:r w:rsidR="007E74BF" w:rsidRPr="00737A6C">
        <w:rPr>
          <w:rFonts w:ascii="Arial" w:eastAsia="Calibri" w:hAnsi="Arial" w:cs="Arial"/>
          <w:sz w:val="22"/>
          <w:lang w:val="es-ES_tradnl"/>
        </w:rPr>
        <w:t xml:space="preserve"> </w:t>
      </w:r>
      <w:r w:rsidRPr="00737A6C">
        <w:rPr>
          <w:rFonts w:ascii="Arial" w:eastAsia="Calibri" w:hAnsi="Arial" w:cs="Arial"/>
          <w:sz w:val="22"/>
          <w:lang w:val="es-ES_tradnl"/>
        </w:rPr>
        <w:t>202</w:t>
      </w:r>
      <w:r w:rsidR="00FB0880" w:rsidRPr="00737A6C">
        <w:rPr>
          <w:rFonts w:ascii="Arial" w:eastAsia="Calibri" w:hAnsi="Arial" w:cs="Arial"/>
          <w:sz w:val="22"/>
          <w:lang w:val="es-ES_tradnl"/>
        </w:rPr>
        <w:t>1</w:t>
      </w:r>
      <w:r w:rsidR="008C3C57" w:rsidRPr="00737A6C">
        <w:rPr>
          <w:rFonts w:ascii="Arial" w:eastAsia="Calibri" w:hAnsi="Arial" w:cs="Arial"/>
          <w:sz w:val="22"/>
          <w:lang w:val="es-ES_tradnl"/>
        </w:rPr>
        <w:t>.</w:t>
      </w:r>
      <w:r w:rsidR="009013B8" w:rsidRPr="00737A6C">
        <w:rPr>
          <w:rFonts w:ascii="Arial" w:eastAsia="Calibri" w:hAnsi="Arial" w:cs="Arial"/>
          <w:sz w:val="22"/>
          <w:lang w:val="es-ES_tradnl"/>
        </w:rPr>
        <w:t xml:space="preserve"> </w:t>
      </w:r>
    </w:p>
    <w:p w14:paraId="0C1E0712" w14:textId="77777777" w:rsidR="00DD5B04" w:rsidRPr="00737A6C" w:rsidRDefault="00DD5B04" w:rsidP="00EB2ED0">
      <w:pPr>
        <w:jc w:val="both"/>
        <w:rPr>
          <w:rFonts w:ascii="Arial" w:eastAsia="Calibri" w:hAnsi="Arial" w:cs="Arial"/>
          <w:bCs/>
          <w:sz w:val="22"/>
          <w:lang w:val="es-ES_tradnl"/>
        </w:rPr>
      </w:pPr>
    </w:p>
    <w:p w14:paraId="7701FCC7" w14:textId="77777777" w:rsidR="00DD5B04" w:rsidRPr="00737A6C" w:rsidRDefault="00DD5B04" w:rsidP="00EB2ED0">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737A6C">
        <w:rPr>
          <w:rFonts w:ascii="Arial" w:eastAsia="Calibri" w:hAnsi="Arial" w:cs="Arial"/>
          <w:b/>
          <w:sz w:val="22"/>
          <w:lang w:val="es-ES_tradnl"/>
        </w:rPr>
        <w:t xml:space="preserve">Problema planteado </w:t>
      </w:r>
    </w:p>
    <w:p w14:paraId="224B43D3" w14:textId="77777777" w:rsidR="00DD5B04" w:rsidRPr="00737A6C" w:rsidRDefault="00DD5B04" w:rsidP="00EB2ED0">
      <w:pPr>
        <w:tabs>
          <w:tab w:val="left" w:pos="426"/>
        </w:tabs>
        <w:jc w:val="both"/>
        <w:rPr>
          <w:rFonts w:ascii="Arial" w:eastAsia="Calibri" w:hAnsi="Arial" w:cs="Arial"/>
          <w:bCs/>
          <w:sz w:val="22"/>
          <w:lang w:val="es-ES_tradnl"/>
        </w:rPr>
      </w:pPr>
    </w:p>
    <w:p w14:paraId="79D0132C" w14:textId="311168A9" w:rsidR="004275A7" w:rsidRPr="005A277A" w:rsidRDefault="00715D87" w:rsidP="005A277A">
      <w:pPr>
        <w:autoSpaceDE w:val="0"/>
        <w:autoSpaceDN w:val="0"/>
        <w:adjustRightInd w:val="0"/>
        <w:spacing w:line="276" w:lineRule="auto"/>
        <w:jc w:val="both"/>
        <w:rPr>
          <w:rFonts w:ascii="Arial" w:hAnsi="Arial" w:cs="Arial"/>
          <w:sz w:val="22"/>
          <w:szCs w:val="22"/>
          <w:lang w:val="es-ES_tradnl"/>
        </w:rPr>
      </w:pPr>
      <w:r w:rsidRPr="00715D87">
        <w:rPr>
          <w:rFonts w:ascii="Arial" w:hAnsi="Arial" w:cs="Arial"/>
          <w:sz w:val="22"/>
          <w:szCs w:val="22"/>
          <w:lang w:val="es-ES_tradnl"/>
        </w:rPr>
        <w:t>Respecto</w:t>
      </w:r>
      <w:r w:rsidR="00B05EE6" w:rsidRPr="00715D87">
        <w:rPr>
          <w:rFonts w:ascii="Arial" w:hAnsi="Arial" w:cs="Arial"/>
          <w:sz w:val="22"/>
          <w:szCs w:val="22"/>
          <w:lang w:val="es-ES_tradnl"/>
        </w:rPr>
        <w:t xml:space="preserve"> al artículo 34 de la Ley 2069 de 2020</w:t>
      </w:r>
      <w:r w:rsidRPr="00715D87">
        <w:rPr>
          <w:rFonts w:ascii="Arial" w:hAnsi="Arial" w:cs="Arial"/>
          <w:sz w:val="22"/>
          <w:szCs w:val="22"/>
          <w:lang w:val="es-ES_tradnl"/>
        </w:rPr>
        <w:t>, usted realiza la siguiente consulta</w:t>
      </w:r>
      <w:r w:rsidR="00B05EE6" w:rsidRPr="00715D87">
        <w:rPr>
          <w:rFonts w:ascii="Arial" w:hAnsi="Arial" w:cs="Arial"/>
          <w:sz w:val="22"/>
          <w:szCs w:val="22"/>
          <w:lang w:val="es-ES_tradnl"/>
        </w:rPr>
        <w:t>:</w:t>
      </w:r>
      <w:r w:rsidRPr="00715D87">
        <w:rPr>
          <w:rFonts w:ascii="Arial" w:hAnsi="Arial" w:cs="Arial"/>
          <w:sz w:val="22"/>
          <w:szCs w:val="22"/>
          <w:lang w:val="es-ES_tradnl"/>
        </w:rPr>
        <w:t xml:space="preserve"> i) </w:t>
      </w:r>
      <w:r w:rsidR="000B56F9" w:rsidRPr="005A277A">
        <w:rPr>
          <w:rFonts w:ascii="Arial" w:hAnsi="Arial" w:cs="Arial"/>
          <w:sz w:val="22"/>
          <w:szCs w:val="22"/>
          <w:lang w:val="es-ES_tradnl"/>
        </w:rPr>
        <w:t>«</w:t>
      </w:r>
      <w:r w:rsidR="00004809" w:rsidRPr="005A277A">
        <w:rPr>
          <w:rFonts w:ascii="Arial" w:hAnsi="Arial" w:cs="Arial"/>
          <w:sz w:val="22"/>
          <w:szCs w:val="22"/>
        </w:rPr>
        <w:t>En la actualidad, ¿se pueden limitar los procesos de contratación pública a Mipymes municipales o departamentales?</w:t>
      </w:r>
      <w:r w:rsidRPr="005A277A">
        <w:rPr>
          <w:rFonts w:ascii="Arial" w:eastAsiaTheme="minorHAnsi" w:hAnsi="Arial" w:cs="Arial"/>
          <w:sz w:val="22"/>
          <w:szCs w:val="22"/>
          <w:lang w:eastAsia="en-US"/>
        </w:rPr>
        <w:t>» y ii) «</w:t>
      </w:r>
      <w:r w:rsidR="00004809" w:rsidRPr="005A277A">
        <w:rPr>
          <w:rFonts w:ascii="Arial" w:eastAsiaTheme="minorHAnsi" w:hAnsi="Arial" w:cs="Arial"/>
          <w:sz w:val="22"/>
          <w:szCs w:val="22"/>
          <w:lang w:eastAsia="en-US"/>
        </w:rPr>
        <w:t>Si ya está reglamentado lo concerniente a la limitación municipal o departamental de la participación de Mypimes para procesos de contratación pública, según ley 2069 del 31 de diciembre de 2020»</w:t>
      </w:r>
      <w:r w:rsidR="00055A41" w:rsidRPr="005A277A">
        <w:rPr>
          <w:rFonts w:ascii="Arial" w:eastAsiaTheme="minorHAnsi" w:hAnsi="Arial" w:cs="Arial"/>
          <w:sz w:val="22"/>
          <w:szCs w:val="22"/>
          <w:lang w:eastAsia="en-US"/>
        </w:rPr>
        <w:t>.</w:t>
      </w:r>
    </w:p>
    <w:p w14:paraId="3830C92C" w14:textId="77777777" w:rsidR="00507066" w:rsidRPr="00737A6C" w:rsidRDefault="00507066" w:rsidP="00EB2ED0">
      <w:pPr>
        <w:spacing w:line="276" w:lineRule="auto"/>
        <w:ind w:left="709" w:right="709"/>
        <w:jc w:val="both"/>
        <w:rPr>
          <w:rFonts w:ascii="Arial" w:hAnsi="Arial" w:cs="Arial"/>
          <w:sz w:val="22"/>
          <w:szCs w:val="22"/>
          <w:lang w:val="es-ES_tradnl"/>
        </w:rPr>
      </w:pPr>
    </w:p>
    <w:p w14:paraId="124D2DCA" w14:textId="77777777" w:rsidR="00DD5B04" w:rsidRPr="00737A6C" w:rsidRDefault="00DD5B04" w:rsidP="00EB2ED0">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737A6C">
        <w:rPr>
          <w:rFonts w:ascii="Arial" w:eastAsia="Calibri" w:hAnsi="Arial" w:cs="Arial"/>
          <w:b/>
          <w:sz w:val="22"/>
          <w:lang w:val="es-ES_tradnl"/>
        </w:rPr>
        <w:t>Consideraciones</w:t>
      </w:r>
    </w:p>
    <w:p w14:paraId="7D050D2E" w14:textId="77777777" w:rsidR="00435703" w:rsidRPr="00737A6C" w:rsidRDefault="00435703" w:rsidP="009A5888">
      <w:pPr>
        <w:jc w:val="both"/>
        <w:rPr>
          <w:rFonts w:ascii="Arial" w:eastAsia="Calibri" w:hAnsi="Arial" w:cs="Arial"/>
          <w:sz w:val="22"/>
          <w:szCs w:val="22"/>
          <w:lang w:val="es-ES_tradnl"/>
        </w:rPr>
      </w:pPr>
    </w:p>
    <w:p w14:paraId="75DCEC5B" w14:textId="5D535C9F" w:rsidR="002638F4" w:rsidRPr="00737A6C" w:rsidRDefault="002638F4" w:rsidP="00737A6C">
      <w:pPr>
        <w:spacing w:line="276" w:lineRule="auto"/>
        <w:jc w:val="both"/>
        <w:rPr>
          <w:rFonts w:ascii="Arial" w:eastAsia="Calibri" w:hAnsi="Arial" w:cs="Arial"/>
          <w:sz w:val="22"/>
          <w:szCs w:val="22"/>
          <w:lang w:val="es-ES_tradnl"/>
        </w:rPr>
      </w:pPr>
      <w:r w:rsidRPr="00737A6C">
        <w:rPr>
          <w:rFonts w:ascii="Arial" w:eastAsia="Calibri" w:hAnsi="Arial" w:cs="Arial"/>
          <w:sz w:val="22"/>
          <w:szCs w:val="22"/>
          <w:lang w:val="es-ES_tradnl"/>
        </w:rPr>
        <w:t xml:space="preserve">Es importante destacar que la Agencia Nacional de Contratación Pública – Colombia Compra Eficiente se pronunció sobre la nueva regulación de la promoción del desarrollo en la contratación estatal contenida en el artículo 34 de la Ley 2069 de 2020 en los conceptos C-043 del 09 de febrero de 2021, C-005 del 16 de febrero de 2021, C-081 del 23 de febrero de 2021, C-087 del 23 de febrero de 2021, C-025 del 25 de febrero de 2021, C-037 del 26 </w:t>
      </w:r>
      <w:r w:rsidRPr="00737A6C">
        <w:rPr>
          <w:rFonts w:ascii="Arial" w:eastAsia="Calibri" w:hAnsi="Arial" w:cs="Arial"/>
          <w:sz w:val="22"/>
          <w:szCs w:val="22"/>
          <w:lang w:val="es-ES_tradnl"/>
        </w:rPr>
        <w:lastRenderedPageBreak/>
        <w:t>de febrero de 2021, C-035 del 02 de marzo de 2021, C-040 del 02 de marzo de 2021, C-044 del 03 de marzo de 2021, C-102 del 25 de marzo de 2021, C-125 del 05 de abril de 2021, C-127 del 06 de abril de 2021,  C-130 del 07 de abril de 2021, C-144 del 07 de abril de 2021, C-141 del 08 de abril de 2021, C-114 del 13 de abril de 2021, C−151 del 12 de abril de 2021,  C-160 del 20 de abril de 2021,  C−189 del 26 de abril de 2021, C-206 del 3 de mayo de 2021, C-208 del 10 de mayo de 2021 y C-306 del 28 de junio de 2021.</w:t>
      </w:r>
    </w:p>
    <w:p w14:paraId="621532C6" w14:textId="77777777" w:rsidR="009A5888" w:rsidRPr="00737A6C" w:rsidRDefault="009A5888" w:rsidP="00737A6C">
      <w:pPr>
        <w:jc w:val="both"/>
        <w:rPr>
          <w:rFonts w:ascii="Arial" w:eastAsia="Calibri" w:hAnsi="Arial" w:cs="Arial"/>
          <w:sz w:val="22"/>
          <w:szCs w:val="22"/>
          <w:lang w:val="es-ES_tradnl"/>
        </w:rPr>
      </w:pPr>
    </w:p>
    <w:p w14:paraId="35420957" w14:textId="77777777" w:rsidR="00BC779D" w:rsidRPr="00737A6C" w:rsidRDefault="00BC779D" w:rsidP="00BC779D">
      <w:pPr>
        <w:spacing w:line="276" w:lineRule="auto"/>
        <w:jc w:val="both"/>
        <w:rPr>
          <w:rFonts w:ascii="Arial" w:eastAsia="Calibri" w:hAnsi="Arial" w:cs="Arial"/>
          <w:b/>
          <w:bCs/>
          <w:sz w:val="22"/>
          <w:szCs w:val="22"/>
          <w:lang w:val="es-ES_tradnl"/>
        </w:rPr>
      </w:pPr>
      <w:r w:rsidRPr="00737A6C">
        <w:rPr>
          <w:rFonts w:ascii="Arial" w:eastAsia="Calibri" w:hAnsi="Arial" w:cs="Arial"/>
          <w:b/>
          <w:bCs/>
          <w:sz w:val="22"/>
          <w:szCs w:val="22"/>
          <w:lang w:val="es-ES_tradnl"/>
        </w:rPr>
        <w:t>2.1. Vigencia y ámbito de aplicación de la Ley 2069 de 2020</w:t>
      </w:r>
    </w:p>
    <w:p w14:paraId="416D31BC" w14:textId="77777777" w:rsidR="00BC779D" w:rsidRPr="00737A6C" w:rsidRDefault="00BC779D" w:rsidP="00737A6C">
      <w:pPr>
        <w:jc w:val="both"/>
        <w:rPr>
          <w:rFonts w:ascii="Arial" w:eastAsia="Calibri" w:hAnsi="Arial" w:cs="Arial"/>
          <w:sz w:val="22"/>
          <w:szCs w:val="22"/>
          <w:lang w:val="es-ES_tradnl"/>
        </w:rPr>
      </w:pPr>
    </w:p>
    <w:p w14:paraId="1519DF0D" w14:textId="77777777" w:rsidR="00BC779D" w:rsidRPr="00737A6C" w:rsidRDefault="00BC779D" w:rsidP="00BC779D">
      <w:pPr>
        <w:spacing w:line="276" w:lineRule="auto"/>
        <w:jc w:val="both"/>
        <w:rPr>
          <w:rFonts w:ascii="Arial" w:eastAsia="Calibri" w:hAnsi="Arial" w:cs="Arial"/>
          <w:sz w:val="22"/>
          <w:szCs w:val="22"/>
          <w:lang w:val="es-ES_tradnl"/>
        </w:rPr>
      </w:pPr>
      <w:r w:rsidRPr="00737A6C">
        <w:rPr>
          <w:rFonts w:ascii="Arial" w:eastAsia="Calibri" w:hAnsi="Arial" w:cs="Arial"/>
          <w:sz w:val="22"/>
          <w:szCs w:val="22"/>
          <w:lang w:val="es-ES_tradnl"/>
        </w:rPr>
        <w:t>El 31 de diciembre de 2020 se promulgó la Ley 2069, «Por medio de la cual se impulsa el emprendimiento en Colombia». El artículo 84 dispone que «La presente Ley rige a partir del momento de su promulgación […]»,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C8EC2D4"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–mipymes–, mediante la racionalización y simplificación de los trámites y tarifas</w:t>
      </w:r>
      <w:r w:rsidRPr="00737A6C">
        <w:rPr>
          <w:rStyle w:val="Refdenotaalpie"/>
          <w:rFonts w:ascii="Arial" w:eastAsia="Calibri" w:hAnsi="Arial" w:cs="Arial"/>
          <w:sz w:val="22"/>
          <w:szCs w:val="22"/>
          <w:lang w:val="es-ES_tradnl"/>
        </w:rPr>
        <w:footnoteReference w:id="2"/>
      </w:r>
      <w:r w:rsidRPr="00737A6C">
        <w:rPr>
          <w:rFonts w:ascii="Arial" w:eastAsia="Calibri" w:hAnsi="Arial" w:cs="Arial"/>
          <w:sz w:val="22"/>
          <w:szCs w:val="22"/>
          <w:lang w:val="es-ES_tradnl"/>
        </w:rPr>
        <w:t>, así como incentivos a favor de aquellas dentro del sistema de compras y contratación pública</w:t>
      </w:r>
      <w:r w:rsidRPr="00737A6C">
        <w:rPr>
          <w:rStyle w:val="Refdenotaalpie"/>
          <w:rFonts w:ascii="Arial" w:eastAsia="Calibri" w:hAnsi="Arial" w:cs="Arial"/>
          <w:sz w:val="22"/>
          <w:szCs w:val="22"/>
          <w:lang w:val="es-ES_tradnl"/>
        </w:rPr>
        <w:footnoteReference w:id="3"/>
      </w:r>
      <w:r w:rsidRPr="00737A6C">
        <w:rPr>
          <w:rFonts w:ascii="Arial" w:eastAsia="Calibri" w:hAnsi="Arial" w:cs="Arial"/>
          <w:sz w:val="22"/>
          <w:szCs w:val="22"/>
          <w:lang w:val="es-ES_tradnl"/>
        </w:rPr>
        <w:t>. De igual forma, se consagran mecanismos de acceso al financiamiento</w:t>
      </w:r>
      <w:r w:rsidRPr="00737A6C">
        <w:rPr>
          <w:rStyle w:val="Refdenotaalpie"/>
          <w:rFonts w:ascii="Arial" w:eastAsia="Calibri" w:hAnsi="Arial" w:cs="Arial"/>
          <w:sz w:val="22"/>
          <w:szCs w:val="22"/>
          <w:lang w:val="es-ES_tradnl"/>
        </w:rPr>
        <w:footnoteReference w:id="4"/>
      </w:r>
      <w:r w:rsidRPr="00737A6C">
        <w:rPr>
          <w:rFonts w:ascii="Arial" w:eastAsia="Calibri" w:hAnsi="Arial" w:cs="Arial"/>
          <w:sz w:val="22"/>
          <w:szCs w:val="22"/>
          <w:lang w:val="es-ES_tradnl"/>
        </w:rPr>
        <w:t>, se unifican las fuentes de emprendimiento y de desarrollo empresarial, para fortalecer y promover los distintos sectores de la economía</w:t>
      </w:r>
      <w:r w:rsidRPr="00737A6C">
        <w:rPr>
          <w:rStyle w:val="Refdenotaalpie"/>
          <w:rFonts w:ascii="Arial" w:eastAsia="Calibri" w:hAnsi="Arial" w:cs="Arial"/>
          <w:sz w:val="22"/>
          <w:szCs w:val="22"/>
          <w:lang w:val="es-ES_tradnl"/>
        </w:rPr>
        <w:footnoteReference w:id="5"/>
      </w:r>
      <w:r w:rsidRPr="00737A6C">
        <w:rPr>
          <w:rFonts w:ascii="Arial" w:eastAsia="Calibri" w:hAnsi="Arial" w:cs="Arial"/>
          <w:sz w:val="22"/>
          <w:szCs w:val="22"/>
          <w:lang w:val="es-ES_tradnl"/>
        </w:rPr>
        <w:t xml:space="preserve"> y se prevén medidas de educación para el emprendimiento y la innovación</w:t>
      </w:r>
      <w:r w:rsidRPr="00737A6C">
        <w:rPr>
          <w:rStyle w:val="Refdenotaalpie"/>
          <w:rFonts w:ascii="Arial" w:eastAsia="Calibri" w:hAnsi="Arial" w:cs="Arial"/>
          <w:sz w:val="22"/>
          <w:szCs w:val="22"/>
          <w:lang w:val="es-ES_tradnl"/>
        </w:rPr>
        <w:footnoteReference w:id="6"/>
      </w:r>
      <w:r w:rsidRPr="00737A6C">
        <w:rPr>
          <w:rFonts w:ascii="Arial" w:eastAsia="Calibri" w:hAnsi="Arial" w:cs="Arial"/>
          <w:sz w:val="22"/>
          <w:szCs w:val="22"/>
          <w:lang w:val="es-ES_tradnl"/>
        </w:rPr>
        <w:t>.</w:t>
      </w:r>
    </w:p>
    <w:p w14:paraId="2BD4EEF9"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w:t>
      </w:r>
      <w:r w:rsidRPr="00737A6C">
        <w:rPr>
          <w:rFonts w:ascii="Arial" w:eastAsia="Calibri" w:hAnsi="Arial" w:cs="Arial"/>
          <w:sz w:val="22"/>
          <w:szCs w:val="22"/>
          <w:lang w:val="es-ES_tradnl"/>
        </w:rPr>
        <w:lastRenderedPageBreak/>
        <w:t xml:space="preserve">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34, a continuación se estudiará el contenido y alcance de esta norma.  </w:t>
      </w:r>
    </w:p>
    <w:p w14:paraId="22E08387" w14:textId="77777777" w:rsidR="00BC779D" w:rsidRPr="00737A6C" w:rsidRDefault="00BC779D" w:rsidP="00737A6C">
      <w:pPr>
        <w:jc w:val="both"/>
        <w:rPr>
          <w:rFonts w:ascii="Arial" w:eastAsia="Calibri" w:hAnsi="Arial" w:cs="Arial"/>
          <w:sz w:val="22"/>
          <w:szCs w:val="22"/>
          <w:lang w:val="es-ES_tradnl"/>
        </w:rPr>
      </w:pPr>
    </w:p>
    <w:p w14:paraId="1A2286F2" w14:textId="77777777" w:rsidR="00BC779D" w:rsidRPr="00737A6C" w:rsidRDefault="00BC779D" w:rsidP="00BC779D">
      <w:pPr>
        <w:spacing w:line="276" w:lineRule="auto"/>
        <w:jc w:val="both"/>
        <w:rPr>
          <w:rFonts w:ascii="Arial" w:eastAsia="Calibri" w:hAnsi="Arial" w:cs="Arial"/>
          <w:b/>
          <w:bCs/>
          <w:sz w:val="22"/>
          <w:szCs w:val="22"/>
          <w:lang w:val="es-ES_tradnl"/>
        </w:rPr>
      </w:pPr>
      <w:r w:rsidRPr="00737A6C">
        <w:rPr>
          <w:rFonts w:ascii="Arial" w:eastAsia="Calibri" w:hAnsi="Arial" w:cs="Arial"/>
          <w:b/>
          <w:bCs/>
          <w:sz w:val="22"/>
          <w:szCs w:val="22"/>
          <w:lang w:val="es-ES_tradnl"/>
        </w:rPr>
        <w:t>2.2. Nueva regulación de la promoción del desarrollo en la contratación estatal en el artículo 34 de la Ley 2069 de 2020. Regulación de las convocatorias limitadas a mipymes: eficacia y alcance de la potestad reglamentaria</w:t>
      </w:r>
    </w:p>
    <w:p w14:paraId="399FAE88" w14:textId="77777777" w:rsidR="00BC779D" w:rsidRPr="00737A6C" w:rsidRDefault="00BC779D" w:rsidP="00737A6C">
      <w:pPr>
        <w:jc w:val="both"/>
        <w:rPr>
          <w:rFonts w:ascii="Arial" w:eastAsia="Calibri" w:hAnsi="Arial" w:cs="Arial"/>
          <w:sz w:val="22"/>
          <w:szCs w:val="22"/>
          <w:lang w:val="es-ES_tradnl"/>
        </w:rPr>
      </w:pPr>
    </w:p>
    <w:p w14:paraId="3DF76F39" w14:textId="77777777" w:rsidR="00BC779D" w:rsidRPr="00737A6C" w:rsidRDefault="00BC779D" w:rsidP="00BC779D">
      <w:pPr>
        <w:spacing w:line="276" w:lineRule="auto"/>
        <w:jc w:val="both"/>
        <w:rPr>
          <w:rFonts w:ascii="Arial" w:eastAsia="Calibri" w:hAnsi="Arial" w:cs="Arial"/>
          <w:sz w:val="22"/>
          <w:szCs w:val="22"/>
          <w:lang w:val="es-ES_tradnl"/>
        </w:rPr>
      </w:pPr>
      <w:r w:rsidRPr="00737A6C">
        <w:rPr>
          <w:rFonts w:ascii="Arial" w:eastAsia="Calibri" w:hAnsi="Arial" w:cs="Arial"/>
          <w:sz w:val="22"/>
          <w:szCs w:val="22"/>
          <w:lang w:val="es-ES_tradnl"/>
        </w:rPr>
        <w:t>El artículo 34 de la Ley 2069 de 2020 dispone nuevas reglas sobre la promoción al desarrollo en la contratación estatal. Concretamente, modifica el contenido del artículo 12 de la Ley 1150 de 2007</w:t>
      </w:r>
      <w:r w:rsidRPr="00737A6C">
        <w:rPr>
          <w:rStyle w:val="Refdenotaalpie"/>
          <w:rFonts w:ascii="Arial" w:eastAsia="Calibri" w:hAnsi="Arial" w:cs="Arial"/>
          <w:sz w:val="22"/>
          <w:szCs w:val="22"/>
          <w:lang w:val="es-ES_tradnl"/>
        </w:rPr>
        <w:footnoteReference w:id="7"/>
      </w:r>
      <w:r w:rsidRPr="00737A6C">
        <w:rPr>
          <w:rFonts w:ascii="Arial" w:eastAsia="Calibri" w:hAnsi="Arial" w:cs="Arial"/>
          <w:sz w:val="22"/>
          <w:szCs w:val="22"/>
          <w:lang w:val="es-ES_tradnl"/>
        </w:rPr>
        <w:t>, regulación que se resume en los siguientes aspectos:</w:t>
      </w:r>
    </w:p>
    <w:p w14:paraId="5872B30D"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lastRenderedPageBreak/>
        <w:t xml:space="preserve">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Además, agrega que estas convocatorias se pueden realizar también en el ámbito municipal o departamental en el que se ejecute el contrato. </w:t>
      </w:r>
    </w:p>
    <w:p w14:paraId="434BCF4A"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ii) Indica que dichas convocatorias se deben efectuar –y así lo deberá reglamentar el gobierno nacional– siempre y cuando, antes del acto administrativo de apertura del proceso de selección, por lo menos dos (2) mipymes hayan manifestado su interés.</w:t>
      </w:r>
    </w:p>
    <w:p w14:paraId="4E5C345B"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iii) Determina que uno de los parámetros que deberá tener en cuenta el gobierno nacional para reglamentar la materia es el cumplimiento de los compromisos internacionales vigentes. Es decir que se deberán considerar las estipulaciones contenidas en los tratados comerciales suscritos entre Colombia y otros Estados.</w:t>
      </w:r>
    </w:p>
    <w:p w14:paraId="4251652B"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iv) Establece que, en el reglamento, el gobierno nacional podría establecer condiciones preferenciales para los bienes y servicios producidos por las mipymes, sin perjuicio de los compromisos internacionales vigentes.</w:t>
      </w:r>
    </w:p>
    <w:p w14:paraId="47A301DB"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v)  Aclara que tanto las convocatorias limitadas a mipymes, como las condiciones preferenciales a favor de los bienes y servicios producidos por estas, no es óbice para que deban cumplir las exigencias técnicas y económicas del proceso de selección.</w:t>
      </w:r>
    </w:p>
    <w:p w14:paraId="538B033A"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vi) Señala que el reglamento que expida el gobierno nacional, además de las convocatorias limitadas a mipymes, deberá contener disposiciones normativas que permitan la provisión de bienes y servicios, a través de la celebración de contratos estatales con algunas personas que gozan de especial protección constitucional. Entre tales personas se encuentran las que tengan condiciones de pobreza extrema, las desplazadas por la violencia y quienes estén en procesos de reintegración o reincorporación, entre otras que incluya el reglamento.</w:t>
      </w:r>
    </w:p>
    <w:p w14:paraId="1707ABA7"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vii) Precisa que la posibilidad de participar en convocatorias limitadas a mipymes se encuentra condicionada a que estas acrediten como mínimo un año de existencia, con el certificado expedido por la cámara de comercio respectiva o por la autoridad que sea competente para ello.</w:t>
      </w:r>
    </w:p>
    <w:p w14:paraId="1C50E882"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viii) Hace obligatorio el cumplimiento de lo dispuesto en los artículos 90 a 95 de la Ley 418 de 1997 –normas que establecen la obligación de declarar la caducidad y la liquidación unilateral cuando el contratista beneficie grupos armados organizados al margen de la ley– en la ejecución de los contratos celebrados en virtud del artículo 34 de la Ley 2069 de 2020.</w:t>
      </w:r>
    </w:p>
    <w:p w14:paraId="66F47799"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 xml:space="preserve">A partir de lo anterior, el artículo 34 de la Ley 2069 de 2020 sustituyó íntegramente el contenido del artículo 12 de la Ley 1150 de 2007. En este sentido, frente a esta última </w:t>
      </w:r>
      <w:r w:rsidRPr="00737A6C">
        <w:rPr>
          <w:rFonts w:ascii="Arial" w:eastAsia="Calibri" w:hAnsi="Arial" w:cs="Arial"/>
          <w:sz w:val="22"/>
          <w:szCs w:val="22"/>
          <w:lang w:val="es-ES_tradnl"/>
        </w:rPr>
        <w:lastRenderedPageBreak/>
        <w:t xml:space="preserve">norma se produjo el fenómeno de la subrogación, el cual explica la Corte Constitucional en los siguientes términos: </w:t>
      </w:r>
    </w:p>
    <w:p w14:paraId="4B9D2783" w14:textId="77777777" w:rsidR="00BC779D" w:rsidRPr="00737A6C" w:rsidRDefault="00BC779D" w:rsidP="00BC779D">
      <w:pPr>
        <w:spacing w:line="276" w:lineRule="auto"/>
        <w:ind w:left="709" w:right="709"/>
        <w:jc w:val="both"/>
        <w:rPr>
          <w:rFonts w:ascii="Arial" w:eastAsia="Calibri" w:hAnsi="Arial" w:cs="Arial"/>
          <w:sz w:val="21"/>
          <w:szCs w:val="21"/>
          <w:lang w:val="es-ES_tradnl"/>
        </w:rPr>
      </w:pPr>
    </w:p>
    <w:p w14:paraId="67019AE3" w14:textId="77777777" w:rsidR="00BC779D" w:rsidRPr="00737A6C" w:rsidRDefault="00BC779D" w:rsidP="00BC779D">
      <w:pPr>
        <w:ind w:left="709" w:right="709"/>
        <w:jc w:val="both"/>
        <w:rPr>
          <w:rFonts w:ascii="Arial" w:eastAsia="Calibri" w:hAnsi="Arial" w:cs="Arial"/>
          <w:sz w:val="21"/>
          <w:szCs w:val="21"/>
          <w:lang w:val="es-ES_tradnl"/>
        </w:rPr>
      </w:pPr>
      <w:r w:rsidRPr="00737A6C">
        <w:rPr>
          <w:rFonts w:ascii="Arial" w:eastAsia="Calibri" w:hAnsi="Arial" w:cs="Arial"/>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737A6C">
        <w:rPr>
          <w:rStyle w:val="Refdenotaalpie"/>
          <w:rFonts w:ascii="Arial" w:eastAsia="Calibri" w:hAnsi="Arial" w:cs="Arial"/>
          <w:sz w:val="21"/>
          <w:szCs w:val="21"/>
          <w:lang w:val="es-ES_tradnl"/>
        </w:rPr>
        <w:footnoteReference w:id="8"/>
      </w:r>
      <w:r w:rsidRPr="00737A6C">
        <w:rPr>
          <w:rFonts w:ascii="Arial" w:eastAsia="Calibri" w:hAnsi="Arial" w:cs="Arial"/>
          <w:sz w:val="21"/>
          <w:szCs w:val="21"/>
          <w:lang w:val="es-ES_tradnl"/>
        </w:rPr>
        <w:t>.</w:t>
      </w:r>
    </w:p>
    <w:p w14:paraId="439FEF8D" w14:textId="77777777" w:rsidR="00BC779D" w:rsidRPr="00737A6C" w:rsidRDefault="00BC779D" w:rsidP="00BC779D">
      <w:pPr>
        <w:spacing w:line="276" w:lineRule="auto"/>
        <w:ind w:firstLine="709"/>
        <w:jc w:val="both"/>
        <w:rPr>
          <w:rFonts w:ascii="Arial" w:eastAsia="Calibri" w:hAnsi="Arial" w:cs="Arial"/>
          <w:sz w:val="22"/>
          <w:szCs w:val="22"/>
          <w:lang w:val="es-ES_tradnl"/>
        </w:rPr>
      </w:pPr>
    </w:p>
    <w:p w14:paraId="69B5BC14" w14:textId="03E8F636" w:rsidR="00BC779D" w:rsidRPr="00737A6C" w:rsidRDefault="00BC779D" w:rsidP="00BC779D">
      <w:pPr>
        <w:spacing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La subrogación es, entonces, una forma de derogación de los actos normativos,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w:t>
      </w:r>
      <w:r w:rsidR="008A5127">
        <w:rPr>
          <w:rFonts w:ascii="Arial" w:eastAsia="Calibri" w:hAnsi="Arial" w:cs="Arial"/>
          <w:sz w:val="22"/>
          <w:szCs w:val="22"/>
          <w:lang w:val="es-ES_tradnl"/>
        </w:rPr>
        <w:t>, p</w:t>
      </w:r>
      <w:r w:rsidRPr="00737A6C">
        <w:rPr>
          <w:rFonts w:ascii="Arial" w:eastAsia="Calibri" w:hAnsi="Arial" w:cs="Arial"/>
          <w:sz w:val="22"/>
          <w:szCs w:val="22"/>
          <w:lang w:val="es-ES_tradnl"/>
        </w:rPr>
        <w:t>ero lo cierto es que, en uno u otro caso, la disposición normativa anterior pierde vigencia.</w:t>
      </w:r>
    </w:p>
    <w:p w14:paraId="7BFD2C85"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El artículo 12 de la Ley 1150 de 2007 fue subrogado por el artículo 34 de la Ley 2069 de 2020, porque este contiene una regulación diferente de la promoción del desarrollo en la contratación estatal. Además, en el primer inciso del artículo 34 de la Ley 2069 de 2020 dispone claramente: «Modifíquese el artículo 12 de la Ley 1150 de 2007, el cual quedará así». Esto significa que la voluntad del legislador no estuvo dirigida a efectuar una reforma parcial del artículo 12 de la Ley 1150 de 2007, sino a modificarlo completamente, sustituyéndolo por uno nuevo.</w:t>
      </w:r>
    </w:p>
    <w:p w14:paraId="3AA1E1AE" w14:textId="1B3A2ECA" w:rsidR="00BC779D" w:rsidRPr="00737A6C" w:rsidRDefault="008A5127" w:rsidP="00BC779D">
      <w:pPr>
        <w:spacing w:before="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Así las cosas</w:t>
      </w:r>
      <w:r w:rsidR="00BC779D" w:rsidRPr="00737A6C">
        <w:rPr>
          <w:rFonts w:ascii="Arial" w:eastAsia="Calibri" w:hAnsi="Arial" w:cs="Arial"/>
          <w:sz w:val="22"/>
          <w:szCs w:val="22"/>
          <w:lang w:val="es-ES_tradnl"/>
        </w:rPr>
        <w:t xml:space="preserve">, aunque el artículo 12 de la Ley 1150 de 2007 había sido modificado parcialmente por el artículo 3 de la Ley 2040 de 2020, que le había adicionado un parágrafo, también dicho parágrafo ha perdido su vigencia. En efecto, el artículo 3 de la Ley 2040 de 2020 dispuso: </w:t>
      </w:r>
    </w:p>
    <w:p w14:paraId="6F5B9152" w14:textId="77777777" w:rsidR="00BC779D" w:rsidRPr="00737A6C" w:rsidRDefault="00BC779D" w:rsidP="00BC779D">
      <w:pPr>
        <w:ind w:left="709" w:right="709"/>
        <w:jc w:val="both"/>
        <w:rPr>
          <w:rFonts w:ascii="Arial" w:eastAsia="Calibri" w:hAnsi="Arial" w:cs="Arial"/>
          <w:sz w:val="21"/>
          <w:szCs w:val="21"/>
          <w:lang w:val="es-ES_tradnl"/>
        </w:rPr>
      </w:pPr>
    </w:p>
    <w:p w14:paraId="26E2F113" w14:textId="77777777" w:rsidR="00BC779D" w:rsidRPr="00737A6C" w:rsidRDefault="00BC779D" w:rsidP="00BC779D">
      <w:pPr>
        <w:ind w:left="709" w:right="709"/>
        <w:jc w:val="both"/>
        <w:rPr>
          <w:rFonts w:ascii="Arial" w:eastAsia="Calibri" w:hAnsi="Arial" w:cs="Arial"/>
          <w:sz w:val="21"/>
          <w:szCs w:val="21"/>
          <w:lang w:val="es-ES_tradnl"/>
        </w:rPr>
      </w:pPr>
      <w:r w:rsidRPr="00737A6C">
        <w:rPr>
          <w:rFonts w:ascii="Arial" w:eastAsia="Calibri" w:hAnsi="Arial" w:cs="Arial"/>
          <w:sz w:val="21"/>
          <w:szCs w:val="21"/>
          <w:lang w:val="es-ES_tradnl"/>
        </w:rPr>
        <w:t>Adiciónese un parágrafo al artículo 12 de la Ley 1150 de 2007:</w:t>
      </w:r>
    </w:p>
    <w:p w14:paraId="6B472A29" w14:textId="77777777" w:rsidR="00BC779D" w:rsidRPr="00737A6C" w:rsidRDefault="00BC779D" w:rsidP="00BC779D">
      <w:pPr>
        <w:ind w:right="709"/>
        <w:jc w:val="both"/>
        <w:rPr>
          <w:rFonts w:ascii="Arial" w:eastAsia="Calibri" w:hAnsi="Arial" w:cs="Arial"/>
          <w:sz w:val="21"/>
          <w:szCs w:val="21"/>
          <w:lang w:val="es-ES_tradnl"/>
        </w:rPr>
      </w:pPr>
    </w:p>
    <w:p w14:paraId="242952F1" w14:textId="77777777" w:rsidR="00BC779D" w:rsidRPr="00737A6C" w:rsidRDefault="00BC779D" w:rsidP="00BC779D">
      <w:pPr>
        <w:spacing w:after="120"/>
        <w:ind w:left="709" w:right="709"/>
        <w:jc w:val="both"/>
        <w:rPr>
          <w:rFonts w:ascii="Arial" w:eastAsia="Calibri" w:hAnsi="Arial" w:cs="Arial"/>
          <w:sz w:val="21"/>
          <w:szCs w:val="21"/>
          <w:lang w:val="es-ES_tradnl"/>
        </w:rPr>
      </w:pPr>
      <w:r w:rsidRPr="00737A6C">
        <w:rPr>
          <w:rFonts w:ascii="Arial" w:eastAsia="Calibri" w:hAnsi="Arial" w:cs="Arial"/>
          <w:sz w:val="21"/>
          <w:szCs w:val="21"/>
          <w:lang w:val="es-ES_tradnl"/>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w:t>
      </w:r>
      <w:r w:rsidRPr="00737A6C">
        <w:rPr>
          <w:rFonts w:ascii="Arial" w:eastAsia="Calibri" w:hAnsi="Arial" w:cs="Arial"/>
          <w:sz w:val="21"/>
          <w:szCs w:val="21"/>
          <w:lang w:val="es-ES_tradnl"/>
        </w:rPr>
        <w:lastRenderedPageBreak/>
        <w:t>sobrevivencia y que hayan cumplido el requisito de edad de pensión establecido en la Ley.</w:t>
      </w:r>
    </w:p>
    <w:p w14:paraId="605FBEB1" w14:textId="77777777" w:rsidR="00BC779D" w:rsidRPr="00737A6C" w:rsidRDefault="00BC779D" w:rsidP="00BC779D">
      <w:pPr>
        <w:spacing w:after="120"/>
        <w:ind w:left="709" w:right="709"/>
        <w:jc w:val="both"/>
        <w:rPr>
          <w:rFonts w:ascii="Arial" w:eastAsia="Calibri" w:hAnsi="Arial" w:cs="Arial"/>
          <w:sz w:val="21"/>
          <w:szCs w:val="21"/>
          <w:lang w:val="es-ES_tradnl"/>
        </w:rPr>
      </w:pPr>
      <w:r w:rsidRPr="00737A6C">
        <w:rPr>
          <w:rFonts w:ascii="Arial" w:eastAsia="Calibri" w:hAnsi="Arial" w:cs="Arial"/>
          <w:sz w:val="21"/>
          <w:szCs w:val="21"/>
          <w:lang w:val="es-ES_tradnl"/>
        </w:rPr>
        <w:t>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w:t>
      </w:r>
    </w:p>
    <w:p w14:paraId="54236FA8" w14:textId="77777777" w:rsidR="00BC779D" w:rsidRPr="00737A6C" w:rsidRDefault="00BC779D" w:rsidP="00BC779D">
      <w:pPr>
        <w:spacing w:after="120"/>
        <w:ind w:left="709" w:right="709"/>
        <w:jc w:val="both"/>
        <w:rPr>
          <w:rFonts w:ascii="Arial" w:eastAsia="Calibri" w:hAnsi="Arial" w:cs="Arial"/>
          <w:sz w:val="21"/>
          <w:szCs w:val="21"/>
          <w:lang w:val="es-ES_tradnl"/>
        </w:rPr>
      </w:pPr>
      <w:r w:rsidRPr="00737A6C">
        <w:rPr>
          <w:rFonts w:ascii="Arial" w:eastAsia="Calibri" w:hAnsi="Arial" w:cs="Arial"/>
          <w:sz w:val="21"/>
          <w:szCs w:val="21"/>
          <w:lang w:val="es-ES_tradnl"/>
        </w:rPr>
        <w:t>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w:t>
      </w:r>
    </w:p>
    <w:p w14:paraId="6E7F5453" w14:textId="77777777" w:rsidR="00BC779D" w:rsidRPr="00737A6C" w:rsidRDefault="00BC779D" w:rsidP="00BC779D">
      <w:pPr>
        <w:ind w:left="709" w:right="709"/>
        <w:jc w:val="both"/>
        <w:rPr>
          <w:rFonts w:ascii="Arial" w:eastAsia="Calibri" w:hAnsi="Arial" w:cs="Arial"/>
          <w:sz w:val="21"/>
          <w:szCs w:val="21"/>
          <w:lang w:val="es-ES_tradnl"/>
        </w:rPr>
      </w:pPr>
      <w:r w:rsidRPr="00737A6C">
        <w:rPr>
          <w:rFonts w:ascii="Arial" w:eastAsia="Calibri" w:hAnsi="Arial" w:cs="Arial"/>
          <w:sz w:val="21"/>
          <w:szCs w:val="21"/>
          <w:lang w:val="es-ES_tradnl"/>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25D2DB41" w14:textId="77777777" w:rsidR="00BC779D" w:rsidRPr="00737A6C" w:rsidRDefault="00BC779D" w:rsidP="00BC779D">
      <w:pPr>
        <w:spacing w:line="276" w:lineRule="auto"/>
        <w:ind w:firstLine="709"/>
        <w:jc w:val="both"/>
        <w:rPr>
          <w:rFonts w:ascii="Arial" w:eastAsia="Calibri" w:hAnsi="Arial" w:cs="Arial"/>
          <w:sz w:val="22"/>
          <w:szCs w:val="22"/>
          <w:lang w:val="es-ES_tradnl"/>
        </w:rPr>
      </w:pPr>
    </w:p>
    <w:p w14:paraId="2532240E" w14:textId="77777777" w:rsidR="00BC779D" w:rsidRPr="00737A6C" w:rsidRDefault="00BC779D" w:rsidP="00BC779D">
      <w:pPr>
        <w:spacing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El anterior texto, que según se indicó fue agregado al artículo 12 de la Ley 1150 de 2007 como parágrafo 4, también se ve afectado por el efecto de la subrogación producida por el artículo 34 de la Ley 2069 de 2020, porque en este artículo no dispone que se mantiene vigente el parágrafo citado. En otras palabras, si el artículo 3 de la Ley 2040 de 2020 había adicionado un parágrafo 4 al artículo 12 de la Ley 1150 de 2007 y posteriormente el artículo 34 de la Ley 2069 de 2020 modificó integralmente el referido artículo 12, sustituyéndolo por un texto nuevo, se concluye que el parágrafo 4 quedó derogado. Por lo tanto, no puede aplicarse en la actualidad y mucho menos puede entenderse como obligatorio en los procesos de selección, pues no está vigente.</w:t>
      </w:r>
    </w:p>
    <w:p w14:paraId="0F9E05F4" w14:textId="2221C590"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Aunque el argumento anterior es suficiente, una razón adicional para concluir que el artículo 34 de la Ley 2069 de 2020 dejó sin vigencia el parágrafo 4 del artículo 12 de la Ley 1150 de 2007 –y por lo tanto, el artículo 3 de la Ley 2040 de 2020–, es que el artículo 35 de la Ley 2069 de 2020 contiene una regulación nueva de los factores de desempate en la contratación estatal. Al respecto, el numeral 4 del artículo 35 dispone que en los procesos de selección las entidades estatales deben «Preferir la propuesta presentada por el oferente que acredite la vinculación en mayor proporción de personas mayores que no sean beneficiarios de la pensión de vejez, familiar o de sobrevivencia y que hayan cumplido el requisito de edad de pensión establecido en la Ley». Esta norma se encuentra vigente, teniendo en cuenta que el legislador no condicionó su vigencia a la expedición de un decreto reglamentario por parte del gobierno nacional, aunque nada se opone a que en ejercicio de la facultad discrecional con que cuenta para reglamentar las leyes –en virtud del artículo 189, numeral 11, de la Constitución– establezca condiciones para aplicar dicho numeral.</w:t>
      </w:r>
    </w:p>
    <w:p w14:paraId="3C572574"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lastRenderedPageBreak/>
        <w:t xml:space="preserve">En conclusión, las entidades estatales, independientemente del régimen contractual que las rige, deben aplicar el factor de desempate basado en la vinculación de personas mayores. Sin embargo, el fundamento de esta obligación ya no es el artículo 3 de la Ley 2040 de 2020 –pues no está vigente–, sino el artículo 35, numeral 4, de la Ley 2069 de 2020.    </w:t>
      </w:r>
    </w:p>
    <w:p w14:paraId="76449560"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 xml:space="preserve">Luego de explicar las reglas incluidas en la nueva regulación de la promoción del desarrollo en la contratación estatal, previstas en el artículo 34 de la Ley 2069 de 2020, y después de aclarar que dicha norma modificó el artículo 12 de la Ley 1150 de 2007, conviene preguntarse qué sucede con la vigencia del artículo 2.2.1.2.4.2.2 del Decreto 1082 de 2015, que, hasta la expedición de la Ley 2069 de 2020, regulaba las convocatorias limitadas a mipymes. En opinión de esta Agencia, el artículo citado del Decreto reglamentario carece de vigencia, porque su contenido es contrario al del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40237398"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Si los decretos reglamentarios que profiere el Presidente de la República en ejercicio de la potestad que le confiere el artículo 189, numeral 11, de la Constitución Política, buscan «la cumplida ejecución de las leyes», y si la disposición legal que había servido de 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2B166177"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mipymes. Concretamente, no incluye todos los requisitos que, hasta la entrada en vigencia de la Ley 2069 de 2020, establecía el artículo 2.2.1.2.4.2.2 del Decreto 1082 de 2015. Esta norma indicaba en su primer inciso que la entidad estatal solo podía limitar la convocatoria a las mipymes nacionales si se trataba de procesos de selección de licitación pública, selección abreviada y concursos de méritos. Por su parte, tal restricción no se encuentra en el artículo 34 de la Ley 2069 de 2020.</w:t>
      </w:r>
    </w:p>
    <w:p w14:paraId="14A5E481"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lastRenderedPageBreak/>
        <w:t>Adicionalmente, el numeral 1 del artículo 2.2.1.2.4.2.2. del Decreto 1082 de 2015 exigía que el valor del proceso de contratación en el que pretendiera limitarse la convocatoria a mipymes fuera «[…] menor a ciento veinticinco mil dólares de los Estados Unidos de América (US$125.000), liquidados con la tasa de cambio que para el efecto determina cada dos años el Ministerio de Comercio, Industria y Turismo». Este requisito tampoco se observa en el artículo 34 de la Ley 2069 de 2020.</w:t>
      </w:r>
    </w:p>
    <w:p w14:paraId="3B3BED46"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 xml:space="preserve">A lo anterior debe agregarse que mientras la nueva disposición legal indica que la convocatoria limitada a mipymes debe hacerse cuando por lo menos </w:t>
      </w:r>
      <w:r w:rsidRPr="00737A6C">
        <w:rPr>
          <w:rFonts w:ascii="Arial" w:eastAsia="Calibri" w:hAnsi="Arial" w:cs="Arial"/>
          <w:i/>
          <w:iCs/>
          <w:sz w:val="22"/>
          <w:szCs w:val="22"/>
          <w:lang w:val="es-ES_tradnl"/>
        </w:rPr>
        <w:t>dos (2)</w:t>
      </w:r>
      <w:r w:rsidRPr="00737A6C">
        <w:rPr>
          <w:rFonts w:ascii="Arial" w:eastAsia="Calibri" w:hAnsi="Arial" w:cs="Arial"/>
          <w:sz w:val="22"/>
          <w:szCs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737A6C">
        <w:rPr>
          <w:rFonts w:ascii="Arial" w:eastAsia="Calibri" w:hAnsi="Arial" w:cs="Arial"/>
          <w:i/>
          <w:iCs/>
          <w:sz w:val="22"/>
          <w:szCs w:val="22"/>
          <w:lang w:val="es-ES_tradnl"/>
        </w:rPr>
        <w:t>tres (3)</w:t>
      </w:r>
      <w:r w:rsidRPr="00737A6C">
        <w:rPr>
          <w:rFonts w:ascii="Arial" w:eastAsia="Calibri" w:hAnsi="Arial" w:cs="Arial"/>
          <w:sz w:val="22"/>
          <w:szCs w:val="22"/>
          <w:lang w:val="es-ES_tradnl"/>
        </w:rPr>
        <w:t xml:space="preserve"> mipymes, a más tardar un día hábil antes de la apertura del proceso de selección.</w:t>
      </w:r>
    </w:p>
    <w:p w14:paraId="050A6A0E" w14:textId="77777777" w:rsidR="00BC779D" w:rsidRPr="00737A6C"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aplicarse la consecuencia jurídica prevista en el artículo 84 de la Ley 2069 de 2020, según la cual esta «deroga […] todas las disposiciones que le sean contrarias». Entonces, además del decaimiento del artículo 2.2.1.2.4.2.2. del Decreto 1082 de 2015, debe entenderse que esta norma está derogada.</w:t>
      </w:r>
    </w:p>
    <w:p w14:paraId="71B418CE" w14:textId="04A4F869" w:rsidR="0041467D" w:rsidRDefault="00BC779D" w:rsidP="00BC779D">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 xml:space="preserve">Por último, no es válido </w:t>
      </w:r>
      <w:r w:rsidR="00715D87">
        <w:rPr>
          <w:rFonts w:ascii="Arial" w:eastAsia="Calibri" w:hAnsi="Arial" w:cs="Arial"/>
          <w:sz w:val="22"/>
          <w:szCs w:val="22"/>
          <w:lang w:val="es-ES_tradnl"/>
        </w:rPr>
        <w:t>argumentar</w:t>
      </w:r>
      <w:r w:rsidR="00715D87" w:rsidRPr="00737A6C">
        <w:rPr>
          <w:rFonts w:ascii="Arial" w:eastAsia="Calibri" w:hAnsi="Arial" w:cs="Arial"/>
          <w:sz w:val="22"/>
          <w:szCs w:val="22"/>
          <w:lang w:val="es-ES_tradnl"/>
        </w:rPr>
        <w:t xml:space="preserve"> </w:t>
      </w:r>
      <w:r w:rsidRPr="00737A6C">
        <w:rPr>
          <w:rFonts w:ascii="Arial" w:eastAsia="Calibri" w:hAnsi="Arial" w:cs="Arial"/>
          <w:sz w:val="22"/>
          <w:szCs w:val="22"/>
          <w:lang w:val="es-ES_tradnl"/>
        </w:rPr>
        <w:t xml:space="preserve">que los apartados normativos del artículo 2.2.1.2.4.2.2. del Decreto 1082 de 2015 que, en su texto, no sean contrarios a la nueva regulación contenida en el artículo 34 de la Ley 2069 de 2020 pueden seguirse aplicando. Esta afirmación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la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 </w:t>
      </w:r>
    </w:p>
    <w:p w14:paraId="66521C5A" w14:textId="4D0D7D1D" w:rsidR="0041467D" w:rsidRDefault="0041467D" w:rsidP="0041467D">
      <w:pPr>
        <w:shd w:val="clear" w:color="auto" w:fill="FFFFFF"/>
        <w:spacing w:before="120" w:line="276" w:lineRule="auto"/>
        <w:ind w:right="51" w:firstLine="709"/>
        <w:jc w:val="both"/>
        <w:rPr>
          <w:rFonts w:ascii="Arial" w:hAnsi="Arial" w:cs="Arial"/>
          <w:color w:val="000000" w:themeColor="text1"/>
          <w:sz w:val="22"/>
          <w:szCs w:val="22"/>
          <w:shd w:val="clear" w:color="auto" w:fill="FFFFFF"/>
          <w:lang w:eastAsia="en-US"/>
        </w:rPr>
      </w:pPr>
      <w:r>
        <w:rPr>
          <w:rFonts w:ascii="Arial" w:eastAsia="Calibri" w:hAnsi="Arial" w:cs="Arial"/>
          <w:bCs/>
          <w:color w:val="000000" w:themeColor="text1"/>
          <w:sz w:val="22"/>
          <w:lang w:val="es-ES_tradnl"/>
        </w:rPr>
        <w:t xml:space="preserve">Conforme se ha expuesto en los conceptos emitidos por esta Agencia anteriormente </w:t>
      </w:r>
      <w:r w:rsidR="00A91E6B">
        <w:rPr>
          <w:rFonts w:ascii="Arial" w:eastAsia="Calibri" w:hAnsi="Arial" w:cs="Arial"/>
          <w:bCs/>
          <w:color w:val="000000" w:themeColor="text1"/>
          <w:sz w:val="22"/>
          <w:lang w:val="es-ES_tradnl"/>
        </w:rPr>
        <w:t>mencion</w:t>
      </w:r>
      <w:r>
        <w:rPr>
          <w:rFonts w:ascii="Arial" w:eastAsia="Calibri" w:hAnsi="Arial" w:cs="Arial"/>
          <w:bCs/>
          <w:color w:val="000000" w:themeColor="text1"/>
          <w:sz w:val="22"/>
          <w:lang w:val="es-ES_tradnl"/>
        </w:rPr>
        <w:t xml:space="preserve">ados, </w:t>
      </w:r>
      <w:r>
        <w:rPr>
          <w:rFonts w:ascii="Arial" w:eastAsia="Calibri" w:hAnsi="Arial" w:cs="Arial"/>
          <w:bCs/>
          <w:color w:val="000000" w:themeColor="text1"/>
          <w:sz w:val="22"/>
        </w:rPr>
        <w:t xml:space="preserve">algunos artículos del Capítulo III del Título I de la </w:t>
      </w:r>
      <w:r>
        <w:rPr>
          <w:rFonts w:ascii="Arial" w:eastAsia="Calibri" w:hAnsi="Arial" w:cs="Arial"/>
          <w:color w:val="000000" w:themeColor="text1"/>
          <w:sz w:val="22"/>
          <w:lang w:val="es-ES_tradnl"/>
        </w:rPr>
        <w:t xml:space="preserve">Ley 2069 de 2020, </w:t>
      </w:r>
      <w:r>
        <w:rPr>
          <w:rFonts w:ascii="Arial" w:eastAsia="Calibri" w:hAnsi="Arial" w:cs="Arial"/>
          <w:bCs/>
          <w:color w:val="000000" w:themeColor="text1"/>
          <w:sz w:val="22"/>
        </w:rPr>
        <w:t xml:space="preserve">deben ser reglamentados por el Gobierno Nacional para el efectivo cumplimiento de dicha Ley. </w:t>
      </w:r>
      <w:r>
        <w:rPr>
          <w:rFonts w:ascii="Arial" w:hAnsi="Arial" w:cs="Arial"/>
          <w:color w:val="000000"/>
          <w:sz w:val="22"/>
          <w:shd w:val="clear" w:color="auto" w:fill="FFFFFF"/>
          <w:lang w:val="es-ES"/>
        </w:rPr>
        <w:t xml:space="preserve">Al </w:t>
      </w:r>
      <w:r>
        <w:rPr>
          <w:rFonts w:ascii="Arial" w:hAnsi="Arial" w:cs="Arial"/>
          <w:color w:val="000000"/>
          <w:sz w:val="22"/>
          <w:shd w:val="clear" w:color="auto" w:fill="FFFFFF"/>
          <w:lang w:val="es-ES"/>
        </w:rPr>
        <w:lastRenderedPageBreak/>
        <w:t xml:space="preserve">respecto, informamos que el trámite de reglamentación el proyecto de decreto </w:t>
      </w:r>
      <w:r>
        <w:rPr>
          <w:rFonts w:ascii="Arial" w:eastAsia="Calibri" w:hAnsi="Arial" w:cs="Arial"/>
          <w:color w:val="000000" w:themeColor="text1"/>
          <w:sz w:val="22"/>
          <w:lang w:val="es-ES_tradnl"/>
        </w:rPr>
        <w:t>«</w:t>
      </w:r>
      <w:r>
        <w:rPr>
          <w:rFonts w:ascii="Arial" w:hAnsi="Arial" w:cs="Arial"/>
          <w:color w:val="000000"/>
          <w:sz w:val="22"/>
          <w:shd w:val="clear" w:color="auto" w:fill="FFFFFF"/>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Arial" w:eastAsia="Calibri" w:hAnsi="Arial" w:cs="Arial"/>
          <w:color w:val="000000" w:themeColor="text1"/>
          <w:sz w:val="22"/>
          <w:lang w:val="es-ES_tradnl"/>
        </w:rPr>
        <w:t>»</w:t>
      </w:r>
      <w:r>
        <w:rPr>
          <w:rFonts w:ascii="Arial" w:hAnsi="Arial" w:cs="Arial"/>
          <w:color w:val="000000"/>
          <w:sz w:val="22"/>
          <w:shd w:val="clear" w:color="auto" w:fill="FFFFFF"/>
        </w:rPr>
        <w:t xml:space="preserve">, actualmente </w:t>
      </w:r>
      <w:r>
        <w:rPr>
          <w:rFonts w:ascii="Arial" w:hAnsi="Arial" w:cs="Arial"/>
          <w:color w:val="000000"/>
          <w:sz w:val="22"/>
          <w:shd w:val="clear" w:color="auto" w:fill="FFFFFF"/>
          <w:lang w:val="es-ES"/>
        </w:rPr>
        <w:t xml:space="preserve">se encuentra en </w:t>
      </w:r>
      <w:r w:rsidR="00A91E6B">
        <w:rPr>
          <w:rFonts w:ascii="Arial" w:hAnsi="Arial" w:cs="Arial"/>
          <w:color w:val="000000"/>
          <w:sz w:val="22"/>
          <w:shd w:val="clear" w:color="auto" w:fill="FFFFFF"/>
          <w:lang w:val="es-ES"/>
        </w:rPr>
        <w:t>elaboración</w:t>
      </w:r>
      <w:r>
        <w:rPr>
          <w:rFonts w:ascii="Arial" w:hAnsi="Arial" w:cs="Arial"/>
          <w:color w:val="000000"/>
          <w:sz w:val="22"/>
          <w:shd w:val="clear" w:color="auto" w:fill="FFFFFF"/>
          <w:lang w:val="es-ES"/>
        </w:rPr>
        <w:t xml:space="preserve"> y</w:t>
      </w:r>
      <w:r>
        <w:rPr>
          <w:rFonts w:ascii="Arial" w:hAnsi="Arial" w:cs="Arial"/>
          <w:color w:val="000000"/>
          <w:sz w:val="22"/>
          <w:shd w:val="clear" w:color="auto" w:fill="FFFFFF"/>
        </w:rPr>
        <w:t xml:space="preserve"> el pasado 15 de julio culminó la etapa de comentarios y observaciones por parte de la ciudadanía. Este proyecto de decreto puede consultarse en el siguiente link: </w:t>
      </w:r>
      <w:hyperlink r:id="rId12" w:history="1">
        <w:r>
          <w:rPr>
            <w:rStyle w:val="Hipervnculo"/>
            <w:rFonts w:ascii="Arial" w:hAnsi="Arial" w:cs="Arial"/>
            <w:color w:val="000000" w:themeColor="text1"/>
            <w:sz w:val="22"/>
            <w:shd w:val="clear" w:color="auto" w:fill="FFFFFF"/>
          </w:rPr>
          <w:t>https://www.dnp.gov.co/DNPN/normativa/proyectos-de-normatividad</w:t>
        </w:r>
      </w:hyperlink>
      <w:r>
        <w:rPr>
          <w:rFonts w:ascii="Arial" w:hAnsi="Arial" w:cs="Arial"/>
          <w:color w:val="000000" w:themeColor="text1"/>
          <w:sz w:val="22"/>
          <w:shd w:val="clear" w:color="auto" w:fill="FFFFFF"/>
        </w:rPr>
        <w:t>.</w:t>
      </w:r>
      <w:r w:rsidR="001A7A30">
        <w:rPr>
          <w:rFonts w:ascii="Arial" w:hAnsi="Arial" w:cs="Arial"/>
          <w:color w:val="000000" w:themeColor="text1"/>
          <w:sz w:val="22"/>
          <w:shd w:val="clear" w:color="auto" w:fill="FFFFFF"/>
        </w:rPr>
        <w:t xml:space="preserve"> </w:t>
      </w:r>
      <w:r w:rsidR="00910F61">
        <w:rPr>
          <w:rFonts w:ascii="Arial" w:hAnsi="Arial" w:cs="Arial"/>
          <w:color w:val="000000" w:themeColor="text1"/>
          <w:sz w:val="22"/>
          <w:shd w:val="clear" w:color="auto" w:fill="FFFFFF"/>
        </w:rPr>
        <w:t xml:space="preserve">Sin embargo, </w:t>
      </w:r>
      <w:r w:rsidR="00A91E6B">
        <w:rPr>
          <w:rFonts w:ascii="Arial" w:hAnsi="Arial" w:cs="Arial"/>
          <w:color w:val="000000" w:themeColor="text1"/>
          <w:sz w:val="22"/>
          <w:shd w:val="clear" w:color="auto" w:fill="FFFFFF"/>
        </w:rPr>
        <w:t>aún no ha sido expedida</w:t>
      </w:r>
      <w:r w:rsidR="00910F61">
        <w:rPr>
          <w:rFonts w:ascii="Arial" w:hAnsi="Arial" w:cs="Arial"/>
          <w:color w:val="000000" w:themeColor="text1"/>
          <w:sz w:val="22"/>
          <w:shd w:val="clear" w:color="auto" w:fill="FFFFFF"/>
        </w:rPr>
        <w:t xml:space="preserve"> la reglamentación, pues la matriz de respuesta a las observaciones y los ajustes del decreto están en trámite de revisión por las entidades del sector.</w:t>
      </w:r>
    </w:p>
    <w:p w14:paraId="10DEB5EA" w14:textId="350B4A88" w:rsidR="00681C78" w:rsidRPr="00737A6C" w:rsidRDefault="00BC779D" w:rsidP="005A277A">
      <w:pPr>
        <w:shd w:val="clear" w:color="auto" w:fill="FFFFFF"/>
        <w:spacing w:line="276" w:lineRule="auto"/>
        <w:ind w:right="51" w:firstLine="709"/>
        <w:jc w:val="both"/>
        <w:rPr>
          <w:rFonts w:ascii="Arial" w:eastAsia="Calibri" w:hAnsi="Arial" w:cs="Arial"/>
          <w:b/>
          <w:sz w:val="22"/>
          <w:lang w:val="es-ES_tradnl"/>
        </w:rPr>
      </w:pPr>
      <w:r w:rsidRPr="00737A6C">
        <w:rPr>
          <w:rFonts w:ascii="Arial" w:eastAsia="Calibri" w:hAnsi="Arial" w:cs="Arial"/>
          <w:sz w:val="22"/>
          <w:szCs w:val="22"/>
          <w:lang w:val="es-ES_tradnl"/>
        </w:rPr>
        <w:t xml:space="preserve"> </w:t>
      </w:r>
    </w:p>
    <w:p w14:paraId="37CA9805" w14:textId="122A5ECE" w:rsidR="00DD5B04" w:rsidRPr="00737A6C" w:rsidRDefault="004177A6" w:rsidP="00EB2ED0">
      <w:pPr>
        <w:tabs>
          <w:tab w:val="left" w:pos="0"/>
        </w:tabs>
        <w:jc w:val="both"/>
        <w:rPr>
          <w:rFonts w:ascii="Arial" w:eastAsia="Calibri" w:hAnsi="Arial" w:cs="Arial"/>
          <w:b/>
          <w:sz w:val="22"/>
          <w:lang w:val="es-ES_tradnl"/>
        </w:rPr>
      </w:pPr>
      <w:r w:rsidRPr="00737A6C">
        <w:rPr>
          <w:rFonts w:ascii="Arial" w:eastAsia="Calibri" w:hAnsi="Arial" w:cs="Arial"/>
          <w:b/>
          <w:sz w:val="22"/>
          <w:lang w:val="es-ES_tradnl"/>
        </w:rPr>
        <w:t>3</w:t>
      </w:r>
      <w:r w:rsidR="00B011A9" w:rsidRPr="00737A6C">
        <w:rPr>
          <w:rFonts w:ascii="Arial" w:eastAsia="Calibri" w:hAnsi="Arial" w:cs="Arial"/>
          <w:b/>
          <w:sz w:val="22"/>
          <w:lang w:val="es-ES_tradnl"/>
        </w:rPr>
        <w:t xml:space="preserve">. </w:t>
      </w:r>
      <w:r w:rsidR="00DD5B04" w:rsidRPr="00737A6C">
        <w:rPr>
          <w:rFonts w:ascii="Arial" w:eastAsia="Calibri" w:hAnsi="Arial" w:cs="Arial"/>
          <w:b/>
          <w:sz w:val="22"/>
          <w:lang w:val="es-ES_tradnl"/>
        </w:rPr>
        <w:t>Respuesta</w:t>
      </w:r>
      <w:r w:rsidR="002A7D84" w:rsidRPr="00737A6C">
        <w:rPr>
          <w:rFonts w:ascii="Arial" w:eastAsia="Calibri" w:hAnsi="Arial" w:cs="Arial"/>
          <w:b/>
          <w:sz w:val="22"/>
          <w:lang w:val="es-ES_tradnl"/>
        </w:rPr>
        <w:t>s</w:t>
      </w:r>
    </w:p>
    <w:p w14:paraId="12DCA9F3" w14:textId="77777777" w:rsidR="004B25D8" w:rsidRPr="00737A6C" w:rsidRDefault="004B25D8" w:rsidP="00EB2ED0">
      <w:pPr>
        <w:ind w:right="709"/>
        <w:jc w:val="both"/>
        <w:rPr>
          <w:rFonts w:ascii="Arial" w:hAnsi="Arial" w:cs="Arial"/>
          <w:sz w:val="21"/>
          <w:szCs w:val="21"/>
          <w:lang w:val="es-ES_tradnl"/>
        </w:rPr>
      </w:pPr>
    </w:p>
    <w:p w14:paraId="46BE7BD3" w14:textId="678A126E" w:rsidR="00004809" w:rsidRPr="005A277A" w:rsidRDefault="001A7A30" w:rsidP="005A277A">
      <w:pPr>
        <w:pStyle w:val="Default"/>
        <w:ind w:left="709" w:right="709"/>
        <w:jc w:val="both"/>
        <w:rPr>
          <w:sz w:val="21"/>
          <w:szCs w:val="21"/>
          <w:lang w:val="es-ES_tradnl"/>
        </w:rPr>
      </w:pPr>
      <w:r w:rsidRPr="001A7A30">
        <w:rPr>
          <w:sz w:val="21"/>
          <w:szCs w:val="21"/>
          <w:lang w:val="es-ES_tradnl"/>
        </w:rPr>
        <w:t xml:space="preserve">i) </w:t>
      </w:r>
      <w:r w:rsidR="00004809" w:rsidRPr="001A7A30">
        <w:rPr>
          <w:sz w:val="21"/>
          <w:szCs w:val="21"/>
          <w:lang w:val="es-ES_tradnl"/>
        </w:rPr>
        <w:t>«</w:t>
      </w:r>
      <w:r w:rsidR="00004809" w:rsidRPr="001A7A30">
        <w:rPr>
          <w:sz w:val="21"/>
          <w:szCs w:val="21"/>
        </w:rPr>
        <w:t>En la actualidad, ¿se pueden limitar los procesos de contratación pública a Mipymes municipales o departamentales?</w:t>
      </w:r>
      <w:r w:rsidRPr="001A7A30">
        <w:rPr>
          <w:sz w:val="21"/>
          <w:szCs w:val="21"/>
        </w:rPr>
        <w:t>»</w:t>
      </w:r>
      <w:r w:rsidR="00004809" w:rsidRPr="005A277A">
        <w:rPr>
          <w:sz w:val="21"/>
          <w:szCs w:val="21"/>
        </w:rPr>
        <w:t>.</w:t>
      </w:r>
    </w:p>
    <w:p w14:paraId="5185BA93" w14:textId="12538BAC" w:rsidR="002638F4" w:rsidRPr="00737A6C" w:rsidRDefault="002638F4" w:rsidP="00EB2ED0">
      <w:pPr>
        <w:spacing w:line="276" w:lineRule="auto"/>
        <w:ind w:left="709" w:right="709"/>
        <w:jc w:val="both"/>
        <w:rPr>
          <w:rFonts w:ascii="Arial" w:hAnsi="Arial" w:cs="Arial"/>
          <w:sz w:val="22"/>
          <w:szCs w:val="22"/>
          <w:lang w:val="es-ES_tradnl"/>
        </w:rPr>
      </w:pPr>
    </w:p>
    <w:p w14:paraId="2183B091" w14:textId="36F202DE" w:rsidR="00E84E8F" w:rsidRPr="00737A6C" w:rsidRDefault="00E84E8F" w:rsidP="005A277A">
      <w:pPr>
        <w:spacing w:line="276" w:lineRule="auto"/>
        <w:jc w:val="both"/>
        <w:rPr>
          <w:rFonts w:ascii="Arial" w:eastAsia="Calibri" w:hAnsi="Arial" w:cs="Arial"/>
          <w:sz w:val="22"/>
          <w:szCs w:val="22"/>
          <w:lang w:val="es-ES_tradnl"/>
        </w:rPr>
      </w:pPr>
      <w:bookmarkStart w:id="3" w:name="_Hlk69487468"/>
      <w:bookmarkStart w:id="4" w:name="_Hlk79145750"/>
      <w:r w:rsidRPr="00737A6C">
        <w:rPr>
          <w:rFonts w:ascii="Arial" w:eastAsia="Calibri" w:hAnsi="Arial" w:cs="Arial"/>
          <w:sz w:val="22"/>
          <w:szCs w:val="22"/>
          <w:lang w:val="es-ES_tradnl"/>
        </w:rPr>
        <w:t>De las consideraciones efectuadas con anterioridad por la Agencia, puede concluirse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debe aplicarse la consecuencia jurídica prevista en el artículo 84 de la Ley 2069 de 2020, según la cual esta «deroga […] todas las disposiciones que le sean contrarias». Por ello, puede afirmarse que, además del decaimiento del artículo 2.2.1.2.4.2.2 del Decreto 1082 de 2015, debe entenderse derogado.</w:t>
      </w:r>
    </w:p>
    <w:p w14:paraId="5B28DCB6" w14:textId="7D64D09E" w:rsidR="001A7A30" w:rsidRDefault="00E84E8F" w:rsidP="00E84E8F">
      <w:pPr>
        <w:spacing w:before="120" w:line="276" w:lineRule="auto"/>
        <w:ind w:firstLine="709"/>
        <w:jc w:val="both"/>
        <w:rPr>
          <w:rFonts w:ascii="Arial" w:eastAsia="Calibri" w:hAnsi="Arial" w:cs="Arial"/>
          <w:sz w:val="22"/>
          <w:szCs w:val="22"/>
          <w:lang w:val="es-ES_tradnl"/>
        </w:rPr>
      </w:pPr>
      <w:r w:rsidRPr="00737A6C">
        <w:rPr>
          <w:rFonts w:ascii="Arial" w:eastAsia="Calibri" w:hAnsi="Arial" w:cs="Arial"/>
          <w:sz w:val="22"/>
          <w:szCs w:val="22"/>
          <w:lang w:val="es-ES_tradnl"/>
        </w:rPr>
        <w:t xml:space="preserve">Además, no es válido </w:t>
      </w:r>
      <w:r w:rsidR="001A7A30">
        <w:rPr>
          <w:rFonts w:ascii="Arial" w:eastAsia="Calibri" w:hAnsi="Arial" w:cs="Arial"/>
          <w:sz w:val="22"/>
          <w:szCs w:val="22"/>
          <w:lang w:val="es-ES_tradnl"/>
        </w:rPr>
        <w:t>argumentar</w:t>
      </w:r>
      <w:r w:rsidR="001A7A30" w:rsidRPr="00737A6C">
        <w:rPr>
          <w:rFonts w:ascii="Arial" w:eastAsia="Calibri" w:hAnsi="Arial" w:cs="Arial"/>
          <w:sz w:val="22"/>
          <w:szCs w:val="22"/>
          <w:lang w:val="es-ES_tradnl"/>
        </w:rPr>
        <w:t xml:space="preserve"> </w:t>
      </w:r>
      <w:r w:rsidRPr="00737A6C">
        <w:rPr>
          <w:rFonts w:ascii="Arial" w:eastAsia="Calibri" w:hAnsi="Arial" w:cs="Arial"/>
          <w:sz w:val="22"/>
          <w:szCs w:val="22"/>
          <w:lang w:val="es-ES_tradnl"/>
        </w:rPr>
        <w:t xml:space="preserve">que los apartados normativos del artículo 2.2.1.2.4.2.2. del Decreto 1082 de 2015 que, en su texto, no sean contrarios a la nueva regulación contenida en el artículo 34 de la Ley 2069 de 2020 pueden seguirse aplicando. Esta afirmación no es admisible, porque el artículo 34, reiteradamente, señala que el gobierno nacional debe definir las condiciones para la aplicación de las reglas recientemente expedidas, que permitan llevar a cabo las convocatorias limitadas a mipymes, lo cual demuestra la voluntad legislativa de establecer la necesidad de una nueva reglamentación de la materia. En tal sentido, el gobierno nacional podría, mediante el decreto reglamentario que expida, definir nuevas condiciones y montos para las convocatorias limitadas a mipymes. Por ende, mientras ello no suceda, las entidades estatales, los patrimonios autónomos constituidos por estas y los particulares que ejecuten recursos públicos, no pueden adoptar convocatorias limitadas a mipymes, pues al tenor del artículo 34 de la Ley 2069 de 2020, la eficacia de esta norma quedó condicionada a la expedición del decreto reglamentario que fije las condiciones de su operatividad.  </w:t>
      </w:r>
    </w:p>
    <w:p w14:paraId="700345A7" w14:textId="77777777" w:rsidR="001A7A30" w:rsidRDefault="001A7A30" w:rsidP="005A277A">
      <w:pPr>
        <w:spacing w:line="276" w:lineRule="auto"/>
        <w:ind w:firstLine="709"/>
        <w:jc w:val="both"/>
        <w:rPr>
          <w:rFonts w:ascii="Arial" w:eastAsia="Calibri" w:hAnsi="Arial" w:cs="Arial"/>
          <w:sz w:val="22"/>
          <w:szCs w:val="22"/>
          <w:lang w:val="es-ES_tradnl"/>
        </w:rPr>
      </w:pPr>
    </w:p>
    <w:p w14:paraId="541980EB" w14:textId="704AEF6C" w:rsidR="00E84E8F" w:rsidRPr="005A277A" w:rsidRDefault="001A7A30" w:rsidP="005A277A">
      <w:pPr>
        <w:ind w:left="709" w:right="709"/>
        <w:jc w:val="both"/>
        <w:rPr>
          <w:rFonts w:ascii="Arial" w:eastAsia="Calibri" w:hAnsi="Arial" w:cs="Arial"/>
          <w:sz w:val="21"/>
          <w:szCs w:val="21"/>
          <w:lang w:val="es-ES_tradnl"/>
        </w:rPr>
      </w:pPr>
      <w:r w:rsidRPr="005A277A">
        <w:rPr>
          <w:rFonts w:ascii="Arial" w:eastAsiaTheme="minorHAnsi" w:hAnsi="Arial" w:cs="Arial"/>
          <w:sz w:val="21"/>
          <w:szCs w:val="21"/>
          <w:lang w:eastAsia="en-US"/>
        </w:rPr>
        <w:lastRenderedPageBreak/>
        <w:t>ii) «Si ya está reglamentado lo concerniente a la limitación municipal o departamental de la participación de Mypimes para procesos de contratación pública, según ley 2069 del 31 de diciembre de 2020».</w:t>
      </w:r>
      <w:r w:rsidR="00E84E8F" w:rsidRPr="005A277A">
        <w:rPr>
          <w:rFonts w:ascii="Arial" w:eastAsia="Calibri" w:hAnsi="Arial" w:cs="Arial"/>
          <w:sz w:val="21"/>
          <w:szCs w:val="21"/>
          <w:lang w:val="es-ES_tradnl"/>
        </w:rPr>
        <w:t xml:space="preserve">  </w:t>
      </w:r>
    </w:p>
    <w:p w14:paraId="05CFF7BA" w14:textId="5FD3FACA" w:rsidR="001A7A30" w:rsidRDefault="001A7A30" w:rsidP="001A7A30">
      <w:pPr>
        <w:spacing w:line="276" w:lineRule="auto"/>
        <w:jc w:val="both"/>
        <w:rPr>
          <w:rFonts w:ascii="Arial" w:eastAsia="Calibri" w:hAnsi="Arial" w:cs="Arial"/>
          <w:sz w:val="22"/>
          <w:szCs w:val="22"/>
          <w:lang w:val="es-ES_tradnl"/>
        </w:rPr>
      </w:pPr>
    </w:p>
    <w:p w14:paraId="1CF18EC6" w14:textId="030418A0" w:rsidR="001A7A30" w:rsidRPr="00737A6C" w:rsidRDefault="001A7A30" w:rsidP="005A277A">
      <w:pPr>
        <w:shd w:val="clear" w:color="auto" w:fill="FFFFFF"/>
        <w:spacing w:line="276" w:lineRule="auto"/>
        <w:ind w:right="51"/>
        <w:jc w:val="both"/>
        <w:rPr>
          <w:rFonts w:ascii="Arial" w:eastAsia="Calibri" w:hAnsi="Arial" w:cs="Arial"/>
          <w:sz w:val="22"/>
          <w:szCs w:val="22"/>
          <w:lang w:val="es-ES_tradnl"/>
        </w:rPr>
      </w:pPr>
      <w:r>
        <w:rPr>
          <w:rFonts w:ascii="Arial" w:eastAsia="Calibri" w:hAnsi="Arial" w:cs="Arial"/>
          <w:bCs/>
          <w:color w:val="000000" w:themeColor="text1"/>
          <w:sz w:val="22"/>
          <w:lang w:val="es-ES_tradnl"/>
        </w:rPr>
        <w:t xml:space="preserve">Conforme se ha expuesto en los conceptos emitidos por esta Agencia anteriormente reseñados, </w:t>
      </w:r>
      <w:r>
        <w:rPr>
          <w:rFonts w:ascii="Arial" w:eastAsia="Calibri" w:hAnsi="Arial" w:cs="Arial"/>
          <w:bCs/>
          <w:color w:val="000000" w:themeColor="text1"/>
          <w:sz w:val="22"/>
        </w:rPr>
        <w:t xml:space="preserve">algunos artículos del Capítulo III del Título I de la </w:t>
      </w:r>
      <w:r>
        <w:rPr>
          <w:rFonts w:ascii="Arial" w:eastAsia="Calibri" w:hAnsi="Arial" w:cs="Arial"/>
          <w:color w:val="000000" w:themeColor="text1"/>
          <w:sz w:val="22"/>
          <w:lang w:val="es-ES_tradnl"/>
        </w:rPr>
        <w:t xml:space="preserve">Ley 2069 de 2020, </w:t>
      </w:r>
      <w:r>
        <w:rPr>
          <w:rFonts w:ascii="Arial" w:eastAsia="Calibri" w:hAnsi="Arial" w:cs="Arial"/>
          <w:bCs/>
          <w:color w:val="000000" w:themeColor="text1"/>
          <w:sz w:val="22"/>
        </w:rPr>
        <w:t xml:space="preserve">deben ser reglamentados por el Gobierno Nacional para el efectivo cumplimiento de dicha Ley. </w:t>
      </w:r>
      <w:r>
        <w:rPr>
          <w:rFonts w:ascii="Arial" w:hAnsi="Arial" w:cs="Arial"/>
          <w:color w:val="000000"/>
          <w:sz w:val="22"/>
          <w:shd w:val="clear" w:color="auto" w:fill="FFFFFF"/>
          <w:lang w:val="es-ES"/>
        </w:rPr>
        <w:t xml:space="preserve">Al respecto, informamos que el trámite de reglamentación </w:t>
      </w:r>
      <w:r w:rsidR="0075026D">
        <w:rPr>
          <w:rFonts w:ascii="Arial" w:hAnsi="Arial" w:cs="Arial"/>
          <w:color w:val="000000"/>
          <w:sz w:val="22"/>
          <w:shd w:val="clear" w:color="auto" w:fill="FFFFFF"/>
          <w:lang w:val="es-ES"/>
        </w:rPr>
        <w:t>d</w:t>
      </w:r>
      <w:r>
        <w:rPr>
          <w:rFonts w:ascii="Arial" w:hAnsi="Arial" w:cs="Arial"/>
          <w:color w:val="000000"/>
          <w:sz w:val="22"/>
          <w:shd w:val="clear" w:color="auto" w:fill="FFFFFF"/>
          <w:lang w:val="es-ES"/>
        </w:rPr>
        <w:t xml:space="preserve">el proyecto de decreto </w:t>
      </w:r>
      <w:r>
        <w:rPr>
          <w:rFonts w:ascii="Arial" w:eastAsia="Calibri" w:hAnsi="Arial" w:cs="Arial"/>
          <w:color w:val="000000" w:themeColor="text1"/>
          <w:sz w:val="22"/>
          <w:lang w:val="es-ES_tradnl"/>
        </w:rPr>
        <w:t>«</w:t>
      </w:r>
      <w:r>
        <w:rPr>
          <w:rFonts w:ascii="Arial" w:hAnsi="Arial" w:cs="Arial"/>
          <w:color w:val="000000"/>
          <w:sz w:val="22"/>
          <w:shd w:val="clear" w:color="auto" w:fill="FFFFFF"/>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w:t>
      </w:r>
      <w:r>
        <w:rPr>
          <w:rFonts w:ascii="Arial" w:eastAsia="Calibri" w:hAnsi="Arial" w:cs="Arial"/>
          <w:color w:val="000000" w:themeColor="text1"/>
          <w:sz w:val="22"/>
          <w:lang w:val="es-ES_tradnl"/>
        </w:rPr>
        <w:t>»</w:t>
      </w:r>
      <w:r>
        <w:rPr>
          <w:rFonts w:ascii="Arial" w:hAnsi="Arial" w:cs="Arial"/>
          <w:color w:val="000000"/>
          <w:sz w:val="22"/>
          <w:shd w:val="clear" w:color="auto" w:fill="FFFFFF"/>
        </w:rPr>
        <w:t xml:space="preserve">, actualmente </w:t>
      </w:r>
      <w:r>
        <w:rPr>
          <w:rFonts w:ascii="Arial" w:hAnsi="Arial" w:cs="Arial"/>
          <w:color w:val="000000"/>
          <w:sz w:val="22"/>
          <w:shd w:val="clear" w:color="auto" w:fill="FFFFFF"/>
          <w:lang w:val="es-ES"/>
        </w:rPr>
        <w:t xml:space="preserve">se encuentra en </w:t>
      </w:r>
      <w:r w:rsidR="0075026D">
        <w:rPr>
          <w:rFonts w:ascii="Arial" w:hAnsi="Arial" w:cs="Arial"/>
          <w:color w:val="000000"/>
          <w:sz w:val="22"/>
          <w:shd w:val="clear" w:color="auto" w:fill="FFFFFF"/>
          <w:lang w:val="es-ES"/>
        </w:rPr>
        <w:t>elaboración</w:t>
      </w:r>
      <w:r>
        <w:rPr>
          <w:rFonts w:ascii="Arial" w:hAnsi="Arial" w:cs="Arial"/>
          <w:color w:val="000000"/>
          <w:sz w:val="22"/>
          <w:shd w:val="clear" w:color="auto" w:fill="FFFFFF"/>
          <w:lang w:val="es-ES"/>
        </w:rPr>
        <w:t xml:space="preserve"> y</w:t>
      </w:r>
      <w:r>
        <w:rPr>
          <w:rFonts w:ascii="Arial" w:hAnsi="Arial" w:cs="Arial"/>
          <w:color w:val="000000"/>
          <w:sz w:val="22"/>
          <w:shd w:val="clear" w:color="auto" w:fill="FFFFFF"/>
        </w:rPr>
        <w:t xml:space="preserve"> el pasado 15 de julio culminó la etapa de comentarios y observaciones por parte de la ciudadanía. Este proyecto de decreto puede consultarse en el siguiente link: </w:t>
      </w:r>
      <w:hyperlink r:id="rId13" w:history="1">
        <w:r>
          <w:rPr>
            <w:rStyle w:val="Hipervnculo"/>
            <w:rFonts w:ascii="Arial" w:hAnsi="Arial" w:cs="Arial"/>
            <w:color w:val="000000" w:themeColor="text1"/>
            <w:sz w:val="22"/>
            <w:shd w:val="clear" w:color="auto" w:fill="FFFFFF"/>
          </w:rPr>
          <w:t>https://www.dnp.gov.co/DNPN/normativa/proyectos-de-normatividad</w:t>
        </w:r>
      </w:hyperlink>
      <w:r>
        <w:rPr>
          <w:rFonts w:ascii="Arial" w:hAnsi="Arial" w:cs="Arial"/>
          <w:color w:val="000000" w:themeColor="text1"/>
          <w:sz w:val="22"/>
          <w:shd w:val="clear" w:color="auto" w:fill="FFFFFF"/>
        </w:rPr>
        <w:t xml:space="preserve">. Sin embargo, </w:t>
      </w:r>
      <w:r w:rsidR="0075026D">
        <w:rPr>
          <w:rFonts w:ascii="Arial" w:hAnsi="Arial" w:cs="Arial"/>
          <w:color w:val="000000" w:themeColor="text1"/>
          <w:sz w:val="22"/>
          <w:shd w:val="clear" w:color="auto" w:fill="FFFFFF"/>
        </w:rPr>
        <w:t>aún</w:t>
      </w:r>
      <w:r>
        <w:rPr>
          <w:rFonts w:ascii="Arial" w:hAnsi="Arial" w:cs="Arial"/>
          <w:color w:val="000000" w:themeColor="text1"/>
          <w:sz w:val="22"/>
          <w:shd w:val="clear" w:color="auto" w:fill="FFFFFF"/>
        </w:rPr>
        <w:t xml:space="preserve"> no se ha </w:t>
      </w:r>
      <w:r w:rsidR="0075026D">
        <w:rPr>
          <w:rFonts w:ascii="Arial" w:hAnsi="Arial" w:cs="Arial"/>
          <w:color w:val="000000" w:themeColor="text1"/>
          <w:sz w:val="22"/>
          <w:shd w:val="clear" w:color="auto" w:fill="FFFFFF"/>
        </w:rPr>
        <w:t>expedido</w:t>
      </w:r>
      <w:r>
        <w:rPr>
          <w:rFonts w:ascii="Arial" w:hAnsi="Arial" w:cs="Arial"/>
          <w:color w:val="000000" w:themeColor="text1"/>
          <w:sz w:val="22"/>
          <w:shd w:val="clear" w:color="auto" w:fill="FFFFFF"/>
        </w:rPr>
        <w:t xml:space="preserve"> la reglamentación, pues la matriz de respuesta a las observaciones y los ajustes del decreto están en trámite de revisión por las entidades del sector.</w:t>
      </w:r>
    </w:p>
    <w:bookmarkEnd w:id="3"/>
    <w:bookmarkEnd w:id="4"/>
    <w:p w14:paraId="3334C2EE" w14:textId="77777777" w:rsidR="00F66DCA" w:rsidRPr="00737A6C" w:rsidRDefault="00F66DCA" w:rsidP="005A277A">
      <w:pPr>
        <w:spacing w:after="120" w:line="276" w:lineRule="auto"/>
        <w:jc w:val="both"/>
        <w:rPr>
          <w:rFonts w:ascii="Arial" w:hAnsi="Arial" w:cs="Arial"/>
          <w:sz w:val="22"/>
          <w:szCs w:val="22"/>
          <w:lang w:val="es-ES_tradnl"/>
        </w:rPr>
      </w:pPr>
    </w:p>
    <w:p w14:paraId="35405C2F" w14:textId="0C22EEED" w:rsidR="0080376A" w:rsidRPr="00737A6C" w:rsidRDefault="00DD5B04" w:rsidP="00EB2ED0">
      <w:pPr>
        <w:spacing w:line="276" w:lineRule="auto"/>
        <w:jc w:val="both"/>
        <w:rPr>
          <w:rFonts w:ascii="Arial" w:hAnsi="Arial" w:cs="Arial"/>
          <w:sz w:val="22"/>
          <w:szCs w:val="22"/>
          <w:lang w:val="es-ES_tradnl"/>
        </w:rPr>
      </w:pPr>
      <w:r w:rsidRPr="00737A6C">
        <w:rPr>
          <w:rFonts w:ascii="Arial" w:hAnsi="Arial" w:cs="Arial"/>
          <w:sz w:val="22"/>
          <w:szCs w:val="22"/>
          <w:lang w:val="es-ES_tradnl"/>
        </w:rPr>
        <w:t>Este concepto tiene el alcance previsto en el artículo 28 del Código de Procedimiento Administrativo y de lo Contencioso Administrativo.</w:t>
      </w:r>
    </w:p>
    <w:p w14:paraId="2CCA8B64" w14:textId="39CA9317" w:rsidR="0080376A" w:rsidRPr="00737A6C" w:rsidRDefault="0080376A" w:rsidP="00EB2ED0">
      <w:pPr>
        <w:spacing w:line="276" w:lineRule="auto"/>
        <w:rPr>
          <w:rFonts w:ascii="Arial" w:hAnsi="Arial" w:cs="Arial"/>
          <w:sz w:val="22"/>
          <w:szCs w:val="22"/>
          <w:lang w:eastAsia="es-CO"/>
        </w:rPr>
      </w:pPr>
    </w:p>
    <w:p w14:paraId="011D45FA" w14:textId="1F259EE0" w:rsidR="0080376A" w:rsidRPr="00737A6C" w:rsidRDefault="0080376A" w:rsidP="00EB2ED0">
      <w:pPr>
        <w:spacing w:line="276" w:lineRule="auto"/>
        <w:rPr>
          <w:rFonts w:ascii="Arial" w:hAnsi="Arial" w:cs="Arial"/>
          <w:sz w:val="22"/>
          <w:szCs w:val="22"/>
        </w:rPr>
      </w:pPr>
      <w:r w:rsidRPr="00737A6C">
        <w:rPr>
          <w:rFonts w:ascii="Arial" w:hAnsi="Arial" w:cs="Arial"/>
          <w:sz w:val="22"/>
          <w:szCs w:val="22"/>
          <w:lang w:eastAsia="es-CO"/>
        </w:rPr>
        <w:t>Atentamente,</w:t>
      </w:r>
    </w:p>
    <w:p w14:paraId="5B12458F" w14:textId="1D5A2A3B" w:rsidR="0080376A" w:rsidRPr="00737A6C" w:rsidRDefault="0080376A" w:rsidP="00EB2ED0">
      <w:pPr>
        <w:jc w:val="both"/>
        <w:rPr>
          <w:rFonts w:ascii="Arial" w:hAnsi="Arial" w:cs="Arial"/>
          <w:lang w:eastAsia="es-CO"/>
        </w:rPr>
      </w:pPr>
    </w:p>
    <w:p w14:paraId="110E7C14" w14:textId="45F8195D" w:rsidR="0080376A" w:rsidRPr="00737A6C" w:rsidRDefault="001D7EE5" w:rsidP="00EB2ED0">
      <w:pPr>
        <w:spacing w:after="18"/>
        <w:jc w:val="center"/>
        <w:rPr>
          <w:rFonts w:ascii="Arial" w:hAnsi="Arial" w:cs="Arial"/>
          <w:lang w:eastAsia="es-CO"/>
        </w:rPr>
      </w:pPr>
      <w:r>
        <w:rPr>
          <w:noProof/>
        </w:rPr>
        <w:drawing>
          <wp:inline distT="0" distB="0" distL="0" distR="0" wp14:anchorId="59F1E8D0" wp14:editId="307D6036">
            <wp:extent cx="2520000" cy="1116819"/>
            <wp:effectExtent l="0" t="0" r="0" b="762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520000" cy="1116819"/>
                    </a:xfrm>
                    <a:prstGeom prst="rect">
                      <a:avLst/>
                    </a:prstGeom>
                  </pic:spPr>
                </pic:pic>
              </a:graphicData>
            </a:graphic>
          </wp:inline>
        </w:drawing>
      </w:r>
    </w:p>
    <w:p w14:paraId="353D05CB" w14:textId="77777777" w:rsidR="0080376A" w:rsidRPr="00737A6C" w:rsidRDefault="0080376A" w:rsidP="00EB2ED0">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737A6C" w:rsidRPr="00737A6C" w14:paraId="03974E28" w14:textId="77777777" w:rsidTr="00631B91">
        <w:trPr>
          <w:trHeight w:val="286"/>
        </w:trPr>
        <w:tc>
          <w:tcPr>
            <w:tcW w:w="886" w:type="dxa"/>
            <w:vAlign w:val="center"/>
            <w:hideMark/>
          </w:tcPr>
          <w:p w14:paraId="01140129" w14:textId="77777777"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777D2F26" w14:textId="77777777"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Alejandro Sarmiento Cantillo</w:t>
            </w:r>
          </w:p>
          <w:p w14:paraId="1886B9EC" w14:textId="77777777"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Gestor T1-11 de la Subdirección de Gestión Contractual</w:t>
            </w:r>
          </w:p>
        </w:tc>
      </w:tr>
      <w:tr w:rsidR="00737A6C" w:rsidRPr="00737A6C" w14:paraId="1C6D880D" w14:textId="77777777" w:rsidTr="00631B91">
        <w:trPr>
          <w:trHeight w:val="299"/>
        </w:trPr>
        <w:tc>
          <w:tcPr>
            <w:tcW w:w="886" w:type="dxa"/>
            <w:vAlign w:val="center"/>
          </w:tcPr>
          <w:p w14:paraId="5E9E0994" w14:textId="77777777"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6FE263AE" w14:textId="77777777"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Juan David Montoya Penagos</w:t>
            </w:r>
          </w:p>
          <w:p w14:paraId="5B170026" w14:textId="77777777"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 xml:space="preserve">Gestor T1-15 de la Subdirección de Gestión Contractual  </w:t>
            </w:r>
          </w:p>
        </w:tc>
      </w:tr>
      <w:tr w:rsidR="00737A6C" w:rsidRPr="00737A6C" w14:paraId="69EA51B1" w14:textId="77777777" w:rsidTr="00631B91">
        <w:trPr>
          <w:trHeight w:val="272"/>
        </w:trPr>
        <w:tc>
          <w:tcPr>
            <w:tcW w:w="886" w:type="dxa"/>
            <w:vAlign w:val="center"/>
            <w:hideMark/>
          </w:tcPr>
          <w:p w14:paraId="310910D2" w14:textId="77777777"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3D727AC" w14:textId="77777777"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Jorge Augusto Tirado Navarro</w:t>
            </w:r>
          </w:p>
          <w:p w14:paraId="3019D417" w14:textId="633936DE" w:rsidR="0080376A" w:rsidRPr="00737A6C" w:rsidRDefault="0080376A" w:rsidP="00EB2ED0">
            <w:pPr>
              <w:rPr>
                <w:rFonts w:ascii="Arial" w:hAnsi="Arial" w:cs="Arial"/>
                <w:sz w:val="14"/>
                <w:szCs w:val="14"/>
                <w:lang w:eastAsia="es-ES"/>
              </w:rPr>
            </w:pPr>
            <w:r w:rsidRPr="00737A6C">
              <w:rPr>
                <w:rFonts w:ascii="Arial" w:hAnsi="Arial" w:cs="Arial"/>
                <w:sz w:val="14"/>
                <w:szCs w:val="14"/>
                <w:lang w:eastAsia="es-ES"/>
              </w:rPr>
              <w:t>Subdirector de Gestión Contractual</w:t>
            </w:r>
            <w:r w:rsidR="008C3903" w:rsidRPr="00737A6C">
              <w:rPr>
                <w:rFonts w:ascii="Arial" w:hAnsi="Arial" w:cs="Arial"/>
                <w:sz w:val="14"/>
                <w:szCs w:val="14"/>
                <w:lang w:eastAsia="es-ES"/>
              </w:rPr>
              <w:t xml:space="preserve"> ANCP – CCE</w:t>
            </w:r>
          </w:p>
        </w:tc>
      </w:tr>
    </w:tbl>
    <w:p w14:paraId="5D4CDD3F" w14:textId="77777777" w:rsidR="0080376A" w:rsidRPr="00737A6C" w:rsidRDefault="0080376A" w:rsidP="00EB2ED0">
      <w:pPr>
        <w:rPr>
          <w:rFonts w:ascii="Arial" w:hAnsi="Arial" w:cs="Arial"/>
          <w:lang w:eastAsia="es-ES"/>
        </w:rPr>
      </w:pPr>
    </w:p>
    <w:bookmarkEnd w:id="2"/>
    <w:p w14:paraId="35B56F46" w14:textId="68D0B3F1" w:rsidR="00746E08" w:rsidRPr="00737A6C" w:rsidRDefault="00746E08" w:rsidP="00EB2ED0">
      <w:pPr>
        <w:spacing w:line="276" w:lineRule="auto"/>
        <w:jc w:val="both"/>
        <w:rPr>
          <w:rFonts w:ascii="Arial" w:hAnsi="Arial" w:cs="Arial"/>
          <w:lang w:val="es-ES_tradnl"/>
        </w:rPr>
      </w:pPr>
    </w:p>
    <w:sectPr w:rsidR="00746E08" w:rsidRPr="00737A6C" w:rsidSect="005D791B">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55790" w14:textId="77777777" w:rsidR="001177AB" w:rsidRDefault="001177AB">
      <w:r>
        <w:separator/>
      </w:r>
    </w:p>
  </w:endnote>
  <w:endnote w:type="continuationSeparator" w:id="0">
    <w:p w14:paraId="5D55E799" w14:textId="77777777" w:rsidR="001177AB" w:rsidRDefault="001177AB">
      <w:r>
        <w:continuationSeparator/>
      </w:r>
    </w:p>
  </w:endnote>
  <w:endnote w:type="continuationNotice" w:id="1">
    <w:p w14:paraId="537B6CB7" w14:textId="77777777" w:rsidR="001177AB" w:rsidRDefault="001177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7B1929" w:rsidRDefault="007B1929" w:rsidP="00322937">
    <w:pPr>
      <w:pStyle w:val="Sinespaciado"/>
      <w:jc w:val="right"/>
      <w:rPr>
        <w:rFonts w:ascii="Arial" w:hAnsi="Arial" w:cs="Arial"/>
        <w:sz w:val="18"/>
        <w:szCs w:val="18"/>
      </w:rPr>
    </w:pPr>
  </w:p>
  <w:p w14:paraId="7A3785F3" w14:textId="2EF28465" w:rsidR="007B1929" w:rsidRPr="008217B7" w:rsidRDefault="007B192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7B1929" w:rsidRDefault="007B1929" w:rsidP="00322937">
    <w:pPr>
      <w:pStyle w:val="Piedepgina"/>
      <w:jc w:val="center"/>
      <w:rPr>
        <w:lang w:val="es-ES"/>
      </w:rPr>
    </w:pPr>
    <w:r>
      <w:rPr>
        <w:noProof/>
      </w:rPr>
      <w:drawing>
        <wp:inline distT="0" distB="0" distL="0" distR="0" wp14:anchorId="608B196D" wp14:editId="5BB3F60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B1929" w:rsidRDefault="007B1929" w:rsidP="007B0854">
    <w:pPr>
      <w:pStyle w:val="Piedepgina"/>
      <w:jc w:val="center"/>
      <w:rPr>
        <w:lang w:val="es-ES"/>
      </w:rPr>
    </w:pPr>
  </w:p>
  <w:p w14:paraId="6C0EFC49" w14:textId="77777777" w:rsidR="007B1929" w:rsidRPr="007B0854" w:rsidRDefault="007B192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C70BD" w14:textId="77777777" w:rsidR="001177AB" w:rsidRDefault="001177AB">
      <w:r>
        <w:separator/>
      </w:r>
    </w:p>
  </w:footnote>
  <w:footnote w:type="continuationSeparator" w:id="0">
    <w:p w14:paraId="23A1AF05" w14:textId="77777777" w:rsidR="001177AB" w:rsidRDefault="001177AB">
      <w:r>
        <w:continuationSeparator/>
      </w:r>
    </w:p>
  </w:footnote>
  <w:footnote w:type="continuationNotice" w:id="1">
    <w:p w14:paraId="5937A5A3" w14:textId="77777777" w:rsidR="001177AB" w:rsidRDefault="001177AB"/>
  </w:footnote>
  <w:footnote w:id="2">
    <w:p w14:paraId="5B904F20"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2 al 29.</w:t>
      </w:r>
    </w:p>
    <w:p w14:paraId="4A385445" w14:textId="77777777" w:rsidR="00BC779D" w:rsidRPr="001F29DD" w:rsidRDefault="00BC779D" w:rsidP="00BC779D">
      <w:pPr>
        <w:pStyle w:val="Textonotapie"/>
        <w:ind w:firstLine="709"/>
        <w:jc w:val="both"/>
        <w:rPr>
          <w:rFonts w:ascii="Arial" w:hAnsi="Arial" w:cs="Arial"/>
          <w:sz w:val="19"/>
          <w:szCs w:val="19"/>
          <w:lang w:val="es-ES"/>
        </w:rPr>
      </w:pPr>
    </w:p>
  </w:footnote>
  <w:footnote w:id="3">
    <w:p w14:paraId="6E05A624"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30 al 36.</w:t>
      </w:r>
    </w:p>
    <w:p w14:paraId="69C3B36E" w14:textId="77777777" w:rsidR="00BC779D" w:rsidRPr="001F29DD" w:rsidRDefault="00BC779D" w:rsidP="00BC779D">
      <w:pPr>
        <w:pStyle w:val="Textonotapie"/>
        <w:ind w:firstLine="709"/>
        <w:jc w:val="both"/>
        <w:rPr>
          <w:rFonts w:ascii="Arial" w:hAnsi="Arial" w:cs="Arial"/>
          <w:sz w:val="19"/>
          <w:szCs w:val="19"/>
          <w:lang w:val="es-ES"/>
        </w:rPr>
      </w:pPr>
    </w:p>
  </w:footnote>
  <w:footnote w:id="4">
    <w:p w14:paraId="13C762A6"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37 al 45.</w:t>
      </w:r>
    </w:p>
    <w:p w14:paraId="63202C0E" w14:textId="77777777" w:rsidR="00BC779D" w:rsidRPr="001F29DD" w:rsidRDefault="00BC779D" w:rsidP="00BC779D">
      <w:pPr>
        <w:pStyle w:val="Textonotapie"/>
        <w:ind w:firstLine="709"/>
        <w:jc w:val="both"/>
        <w:rPr>
          <w:rFonts w:ascii="Arial" w:hAnsi="Arial" w:cs="Arial"/>
          <w:sz w:val="19"/>
          <w:szCs w:val="19"/>
          <w:lang w:val="es-ES"/>
        </w:rPr>
      </w:pPr>
    </w:p>
  </w:footnote>
  <w:footnote w:id="5">
    <w:p w14:paraId="6447064D"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46 al 73.</w:t>
      </w:r>
    </w:p>
    <w:p w14:paraId="13C9A36C" w14:textId="77777777" w:rsidR="00BC779D" w:rsidRPr="001F29DD" w:rsidRDefault="00BC779D" w:rsidP="00BC779D">
      <w:pPr>
        <w:pStyle w:val="Textonotapie"/>
        <w:ind w:firstLine="709"/>
        <w:jc w:val="both"/>
        <w:rPr>
          <w:rFonts w:ascii="Arial" w:hAnsi="Arial" w:cs="Arial"/>
          <w:sz w:val="19"/>
          <w:szCs w:val="19"/>
          <w:lang w:val="es-ES"/>
        </w:rPr>
      </w:pPr>
    </w:p>
  </w:footnote>
  <w:footnote w:id="6">
    <w:p w14:paraId="398F2BD8" w14:textId="77777777" w:rsidR="00BC779D" w:rsidRPr="001F29DD" w:rsidRDefault="00BC779D" w:rsidP="00BC779D">
      <w:pPr>
        <w:pStyle w:val="Textonotapie"/>
        <w:ind w:firstLine="709"/>
        <w:jc w:val="both"/>
        <w:rPr>
          <w:rFonts w:ascii="Arial" w:hAnsi="Arial" w:cs="Arial"/>
          <w:sz w:val="19"/>
          <w:szCs w:val="19"/>
          <w:lang w:val="es-E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Artículos 74 al 83.</w:t>
      </w:r>
    </w:p>
    <w:p w14:paraId="4491CD7E" w14:textId="77777777" w:rsidR="00BC779D" w:rsidRPr="001F29DD" w:rsidRDefault="00BC779D" w:rsidP="00BC779D">
      <w:pPr>
        <w:pStyle w:val="Textonotapie"/>
        <w:ind w:firstLine="709"/>
        <w:jc w:val="both"/>
        <w:rPr>
          <w:rFonts w:ascii="Arial" w:hAnsi="Arial" w:cs="Arial"/>
          <w:sz w:val="19"/>
          <w:szCs w:val="19"/>
          <w:lang w:val="es-ES"/>
        </w:rPr>
      </w:pPr>
    </w:p>
  </w:footnote>
  <w:footnote w:id="7">
    <w:p w14:paraId="28853451" w14:textId="77777777" w:rsidR="00BC779D" w:rsidRPr="001F29DD" w:rsidRDefault="00BC779D" w:rsidP="00BC779D">
      <w:pPr>
        <w:ind w:firstLine="709"/>
        <w:jc w:val="both"/>
        <w:rPr>
          <w:rFonts w:ascii="Arial" w:hAnsi="Arial" w:cs="Arial"/>
          <w:sz w:val="19"/>
          <w:szCs w:val="19"/>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En efecto, el artículo 34 de la Ley 2069 de 2020 establece: «</w:t>
      </w:r>
      <w:r w:rsidRPr="001F29DD">
        <w:rPr>
          <w:rFonts w:ascii="Arial" w:hAnsi="Arial" w:cs="Arial"/>
          <w:sz w:val="19"/>
          <w:szCs w:val="19"/>
        </w:rPr>
        <w:t xml:space="preserve">Modifíquese el artículo 12 de la Ley 1150 de 2007, el cual quedará así: </w:t>
      </w:r>
    </w:p>
    <w:p w14:paraId="1934BD3A"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rPr>
        <w:t>»</w:t>
      </w:r>
      <w:r w:rsidRPr="001F29DD">
        <w:rPr>
          <w:rFonts w:ascii="Arial" w:eastAsia="Calibri" w:hAnsi="Arial" w:cs="Arial"/>
          <w:color w:val="000000" w:themeColor="text1"/>
          <w:sz w:val="19"/>
          <w:szCs w:val="19"/>
          <w:lang w:val="es-ES_tradnl"/>
        </w:rPr>
        <w:t>"Artículo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Mipyme, convocatorias limitadas a estas en las que, previo a la Resolución de apertura del proceso respectivo, se haya manifestado el interés de por lo menos dos (2) Mipyme.</w:t>
      </w:r>
    </w:p>
    <w:p w14:paraId="174C1D95"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»Asimismo, el reglamento podrá establecer condiciones preferenciales a favor de la oferta de bienes y servicios producidos por las Mipyme respetando los montos y las condiciones contenidas en los compromisos internacionales vigentes, cuando sean aplicables.</w:t>
      </w:r>
    </w:p>
    <w:p w14:paraId="5E17A9DB"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»En todo caso, se deberá garantizar la satisfacción de las condiciones técnicas y económicas requeridas en el Proceso de Contratación.</w:t>
      </w:r>
    </w:p>
    <w:p w14:paraId="4CDC1066"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p>
    <w:p w14:paraId="316DEABA"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Primero. En los Procesos de Contratación que se desarrollen con base en el primer inciso, las entidades podrán realizar las convocatorias limitadas que beneficien a las Mipyme del ámbito municipal o departamental correspondiente al de la ejecución del contrato.</w:t>
      </w:r>
    </w:p>
    <w:p w14:paraId="60D2BAF5" w14:textId="77777777" w:rsidR="00BC779D" w:rsidRPr="001F29DD" w:rsidRDefault="00BC779D" w:rsidP="00BC779D">
      <w:pPr>
        <w:ind w:firstLine="709"/>
        <w:jc w:val="both"/>
        <w:rPr>
          <w:rFonts w:ascii="Arial" w:eastAsia="Calibri" w:hAnsi="Arial" w:cs="Arial"/>
          <w:color w:val="000000" w:themeColor="text1"/>
          <w:sz w:val="19"/>
          <w:szCs w:val="19"/>
          <w:lang w:val="es-ES_tradnl"/>
        </w:rPr>
      </w:pPr>
      <w:r w:rsidRPr="001F29DD">
        <w:rPr>
          <w:rFonts w:ascii="Arial" w:eastAsia="Calibri" w:hAnsi="Arial" w:cs="Arial"/>
          <w:color w:val="000000" w:themeColor="text1"/>
          <w:sz w:val="19"/>
          <w:szCs w:val="19"/>
          <w:lang w:val="es-ES_tradnl"/>
        </w:rPr>
        <w:t>»Parágrafo Segundo.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3A56BBF9" w14:textId="500B5525" w:rsidR="00BC779D" w:rsidRPr="001F29DD" w:rsidRDefault="00BC779D" w:rsidP="00737A6C">
      <w:pPr>
        <w:ind w:firstLine="709"/>
        <w:jc w:val="both"/>
        <w:rPr>
          <w:rFonts w:ascii="Arial" w:hAnsi="Arial" w:cs="Arial"/>
          <w:sz w:val="19"/>
          <w:szCs w:val="19"/>
          <w:lang w:val="es-ES_tradnl"/>
        </w:rPr>
      </w:pPr>
      <w:r w:rsidRPr="001F29DD">
        <w:rPr>
          <w:rFonts w:ascii="Arial" w:eastAsia="Calibri" w:hAnsi="Arial" w:cs="Arial"/>
          <w:color w:val="000000" w:themeColor="text1"/>
          <w:sz w:val="19"/>
          <w:szCs w:val="19"/>
          <w:lang w:val="es-ES_tradnl"/>
        </w:rPr>
        <w:t>»Parágrafo Tercero. En la ejecución de los contratos a que se refiere el presente artículo, las entidades y los contratistas, deberán observar lo dispuesto en los artículos 90 a 95 de la Ley 418 de 1997 y las normas que la modifiquen, adicionen o subroguen."»</w:t>
      </w:r>
      <w:r w:rsidR="00737A6C">
        <w:rPr>
          <w:rFonts w:ascii="Arial" w:eastAsia="Calibri" w:hAnsi="Arial" w:cs="Arial"/>
          <w:color w:val="000000" w:themeColor="text1"/>
          <w:sz w:val="19"/>
          <w:szCs w:val="19"/>
          <w:lang w:val="es-ES_tradnl"/>
        </w:rPr>
        <w:t>.</w:t>
      </w:r>
      <w:r w:rsidRPr="001F29DD">
        <w:rPr>
          <w:rFonts w:ascii="Arial" w:eastAsia="Calibri" w:hAnsi="Arial" w:cs="Arial"/>
          <w:color w:val="000000" w:themeColor="text1"/>
          <w:sz w:val="19"/>
          <w:szCs w:val="19"/>
          <w:lang w:val="es-ES_tradnl"/>
        </w:rPr>
        <w:t xml:space="preserve"> </w:t>
      </w:r>
    </w:p>
  </w:footnote>
  <w:footnote w:id="8">
    <w:p w14:paraId="2C760B70" w14:textId="77777777" w:rsidR="00BC779D" w:rsidRPr="001F29DD" w:rsidRDefault="00BC779D" w:rsidP="00BC779D">
      <w:pPr>
        <w:ind w:firstLine="709"/>
        <w:jc w:val="both"/>
        <w:rPr>
          <w:rFonts w:ascii="Arial" w:eastAsiaTheme="minorHAnsi" w:hAnsi="Arial" w:cs="Arial"/>
          <w:sz w:val="19"/>
          <w:szCs w:val="19"/>
          <w:lang w:val="es-ES" w:eastAsia="en-US"/>
        </w:rPr>
      </w:pPr>
      <w:r w:rsidRPr="001F29DD">
        <w:rPr>
          <w:rStyle w:val="Refdenotaalpie"/>
          <w:rFonts w:ascii="Arial" w:hAnsi="Arial" w:cs="Arial"/>
          <w:sz w:val="19"/>
          <w:szCs w:val="19"/>
        </w:rPr>
        <w:footnoteRef/>
      </w:r>
      <w:r w:rsidRPr="001F29DD">
        <w:rPr>
          <w:rFonts w:ascii="Arial" w:hAnsi="Arial" w:cs="Arial"/>
          <w:sz w:val="19"/>
          <w:szCs w:val="19"/>
        </w:rPr>
        <w:t xml:space="preserve"> </w:t>
      </w:r>
      <w:r w:rsidRPr="001F29DD">
        <w:rPr>
          <w:rFonts w:ascii="Arial" w:hAnsi="Arial" w:cs="Arial"/>
          <w:sz w:val="19"/>
          <w:szCs w:val="19"/>
          <w:lang w:val="es-ES"/>
        </w:rPr>
        <w:t xml:space="preserve">Corte Constitucional. Sentencia C-502 de 2012. Magistrada Ponente: </w:t>
      </w:r>
      <w:r w:rsidRPr="001F29DD">
        <w:rPr>
          <w:rFonts w:ascii="Arial" w:eastAsiaTheme="minorHAnsi" w:hAnsi="Arial" w:cs="Arial"/>
          <w:sz w:val="19"/>
          <w:szCs w:val="19"/>
          <w:lang w:val="es-ES" w:eastAsia="en-US"/>
        </w:rPr>
        <w:t>Adriana Mar</w:t>
      </w:r>
      <w:r>
        <w:rPr>
          <w:rFonts w:ascii="Arial" w:eastAsiaTheme="minorHAnsi" w:hAnsi="Arial" w:cs="Arial"/>
          <w:sz w:val="19"/>
          <w:szCs w:val="19"/>
          <w:lang w:val="es-ES" w:eastAsia="en-US"/>
        </w:rPr>
        <w:t>í</w:t>
      </w:r>
      <w:r w:rsidRPr="001F29DD">
        <w:rPr>
          <w:rFonts w:ascii="Arial" w:eastAsiaTheme="minorHAnsi" w:hAnsi="Arial" w:cs="Arial"/>
          <w:sz w:val="19"/>
          <w:szCs w:val="19"/>
          <w:lang w:val="es-ES" w:eastAsia="en-US"/>
        </w:rPr>
        <w:t>a Guillén Arango</w:t>
      </w:r>
      <w:r>
        <w:rPr>
          <w:rFonts w:ascii="Arial" w:eastAsiaTheme="minorHAnsi" w:hAnsi="Arial" w:cs="Arial"/>
          <w:sz w:val="19"/>
          <w:szCs w:val="19"/>
          <w:lang w:val="es-ES" w:eastAsia="en-US"/>
        </w:rPr>
        <w:t>.</w:t>
      </w:r>
    </w:p>
    <w:p w14:paraId="47A18235" w14:textId="77777777" w:rsidR="00BC779D" w:rsidRPr="001F29DD" w:rsidRDefault="00BC779D" w:rsidP="00BC779D">
      <w:pPr>
        <w:pStyle w:val="Textonotapie"/>
        <w:ind w:firstLine="709"/>
        <w:jc w:val="both"/>
        <w:rPr>
          <w:rFonts w:ascii="Arial" w:hAnsi="Arial" w:cs="Arial"/>
          <w:sz w:val="19"/>
          <w:szCs w:val="19"/>
          <w:lang w:val="es-ES"/>
        </w:rPr>
      </w:pPr>
      <w:r w:rsidRPr="001F29DD">
        <w:rPr>
          <w:rFonts w:ascii="Arial" w:hAnsi="Arial" w:cs="Arial"/>
          <w:sz w:val="19"/>
          <w:szCs w:val="19"/>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7B1929" w:rsidRDefault="007B1929">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hybridMultilevel"/>
    <w:tmpl w:val="6C4AF576"/>
    <w:lvl w:ilvl="0" w:tplc="CED44512">
      <w:start w:val="1"/>
      <w:numFmt w:val="decimal"/>
      <w:lvlText w:val="%1."/>
      <w:lvlJc w:val="left"/>
      <w:pPr>
        <w:tabs>
          <w:tab w:val="num" w:pos="720"/>
        </w:tabs>
        <w:ind w:left="720" w:hanging="360"/>
      </w:pPr>
    </w:lvl>
    <w:lvl w:ilvl="1" w:tplc="2DB862AE" w:tentative="1">
      <w:start w:val="1"/>
      <w:numFmt w:val="decimal"/>
      <w:lvlText w:val="%2."/>
      <w:lvlJc w:val="left"/>
      <w:pPr>
        <w:tabs>
          <w:tab w:val="num" w:pos="1440"/>
        </w:tabs>
        <w:ind w:left="1440" w:hanging="360"/>
      </w:pPr>
    </w:lvl>
    <w:lvl w:ilvl="2" w:tplc="03AC466C" w:tentative="1">
      <w:start w:val="1"/>
      <w:numFmt w:val="decimal"/>
      <w:lvlText w:val="%3."/>
      <w:lvlJc w:val="left"/>
      <w:pPr>
        <w:tabs>
          <w:tab w:val="num" w:pos="2160"/>
        </w:tabs>
        <w:ind w:left="2160" w:hanging="360"/>
      </w:pPr>
    </w:lvl>
    <w:lvl w:ilvl="3" w:tplc="1820C460" w:tentative="1">
      <w:start w:val="1"/>
      <w:numFmt w:val="decimal"/>
      <w:lvlText w:val="%4."/>
      <w:lvlJc w:val="left"/>
      <w:pPr>
        <w:tabs>
          <w:tab w:val="num" w:pos="2880"/>
        </w:tabs>
        <w:ind w:left="2880" w:hanging="360"/>
      </w:pPr>
    </w:lvl>
    <w:lvl w:ilvl="4" w:tplc="3294A48C" w:tentative="1">
      <w:start w:val="1"/>
      <w:numFmt w:val="decimal"/>
      <w:lvlText w:val="%5."/>
      <w:lvlJc w:val="left"/>
      <w:pPr>
        <w:tabs>
          <w:tab w:val="num" w:pos="3600"/>
        </w:tabs>
        <w:ind w:left="3600" w:hanging="360"/>
      </w:pPr>
    </w:lvl>
    <w:lvl w:ilvl="5" w:tplc="F77A9290" w:tentative="1">
      <w:start w:val="1"/>
      <w:numFmt w:val="decimal"/>
      <w:lvlText w:val="%6."/>
      <w:lvlJc w:val="left"/>
      <w:pPr>
        <w:tabs>
          <w:tab w:val="num" w:pos="4320"/>
        </w:tabs>
        <w:ind w:left="4320" w:hanging="360"/>
      </w:pPr>
    </w:lvl>
    <w:lvl w:ilvl="6" w:tplc="303A9F5E" w:tentative="1">
      <w:start w:val="1"/>
      <w:numFmt w:val="decimal"/>
      <w:lvlText w:val="%7."/>
      <w:lvlJc w:val="left"/>
      <w:pPr>
        <w:tabs>
          <w:tab w:val="num" w:pos="5040"/>
        </w:tabs>
        <w:ind w:left="5040" w:hanging="360"/>
      </w:pPr>
    </w:lvl>
    <w:lvl w:ilvl="7" w:tplc="895C1678" w:tentative="1">
      <w:start w:val="1"/>
      <w:numFmt w:val="decimal"/>
      <w:lvlText w:val="%8."/>
      <w:lvlJc w:val="left"/>
      <w:pPr>
        <w:tabs>
          <w:tab w:val="num" w:pos="5760"/>
        </w:tabs>
        <w:ind w:left="5760" w:hanging="360"/>
      </w:pPr>
    </w:lvl>
    <w:lvl w:ilvl="8" w:tplc="665C70BC"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163737622">
    <w:abstractNumId w:val="9"/>
  </w:num>
  <w:num w:numId="2" w16cid:durableId="1478454878">
    <w:abstractNumId w:val="7"/>
  </w:num>
  <w:num w:numId="3" w16cid:durableId="2135515150">
    <w:abstractNumId w:val="12"/>
  </w:num>
  <w:num w:numId="4" w16cid:durableId="1276643638">
    <w:abstractNumId w:val="15"/>
  </w:num>
  <w:num w:numId="5" w16cid:durableId="1551456220">
    <w:abstractNumId w:val="19"/>
  </w:num>
  <w:num w:numId="6" w16cid:durableId="81364000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6223686">
    <w:abstractNumId w:val="17"/>
  </w:num>
  <w:num w:numId="8" w16cid:durableId="1018119460">
    <w:abstractNumId w:val="0"/>
  </w:num>
  <w:num w:numId="9" w16cid:durableId="859853058">
    <w:abstractNumId w:val="3"/>
  </w:num>
  <w:num w:numId="10" w16cid:durableId="9756405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265914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78456512">
    <w:abstractNumId w:val="8"/>
  </w:num>
  <w:num w:numId="13" w16cid:durableId="1937706449">
    <w:abstractNumId w:val="11"/>
  </w:num>
  <w:num w:numId="14" w16cid:durableId="115568528">
    <w:abstractNumId w:val="6"/>
  </w:num>
  <w:num w:numId="15" w16cid:durableId="118817662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69572879">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0886035">
    <w:abstractNumId w:val="21"/>
  </w:num>
  <w:num w:numId="18" w16cid:durableId="698090204">
    <w:abstractNumId w:val="13"/>
  </w:num>
  <w:num w:numId="19" w16cid:durableId="841511967">
    <w:abstractNumId w:val="2"/>
  </w:num>
  <w:num w:numId="20" w16cid:durableId="1569654879">
    <w:abstractNumId w:val="22"/>
  </w:num>
  <w:num w:numId="21" w16cid:durableId="133261342">
    <w:abstractNumId w:val="14"/>
  </w:num>
  <w:num w:numId="22" w16cid:durableId="297422690">
    <w:abstractNumId w:val="5"/>
  </w:num>
  <w:num w:numId="23" w16cid:durableId="911694145">
    <w:abstractNumId w:val="4"/>
  </w:num>
  <w:num w:numId="24" w16cid:durableId="1974404757">
    <w:abstractNumId w:val="20"/>
  </w:num>
  <w:num w:numId="25" w16cid:durableId="48478578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CFD"/>
    <w:rsid w:val="0000162E"/>
    <w:rsid w:val="00001A1C"/>
    <w:rsid w:val="00001CC9"/>
    <w:rsid w:val="00001FFD"/>
    <w:rsid w:val="00002027"/>
    <w:rsid w:val="000020FE"/>
    <w:rsid w:val="00002173"/>
    <w:rsid w:val="0000248C"/>
    <w:rsid w:val="00002588"/>
    <w:rsid w:val="00003020"/>
    <w:rsid w:val="000031A8"/>
    <w:rsid w:val="00003C5C"/>
    <w:rsid w:val="00003D39"/>
    <w:rsid w:val="000040D7"/>
    <w:rsid w:val="00004173"/>
    <w:rsid w:val="00004556"/>
    <w:rsid w:val="00004809"/>
    <w:rsid w:val="000051AF"/>
    <w:rsid w:val="000059D3"/>
    <w:rsid w:val="00005B6D"/>
    <w:rsid w:val="0000600A"/>
    <w:rsid w:val="00006081"/>
    <w:rsid w:val="00007750"/>
    <w:rsid w:val="000077FD"/>
    <w:rsid w:val="00007948"/>
    <w:rsid w:val="00007DAD"/>
    <w:rsid w:val="00007E37"/>
    <w:rsid w:val="000105D9"/>
    <w:rsid w:val="00010C40"/>
    <w:rsid w:val="000112B4"/>
    <w:rsid w:val="00011DCC"/>
    <w:rsid w:val="00011EA4"/>
    <w:rsid w:val="00012532"/>
    <w:rsid w:val="00012B9E"/>
    <w:rsid w:val="00012EFA"/>
    <w:rsid w:val="00012F37"/>
    <w:rsid w:val="00012FBA"/>
    <w:rsid w:val="00013C6B"/>
    <w:rsid w:val="0001406B"/>
    <w:rsid w:val="000140E5"/>
    <w:rsid w:val="000143F8"/>
    <w:rsid w:val="00014624"/>
    <w:rsid w:val="00015126"/>
    <w:rsid w:val="00015B44"/>
    <w:rsid w:val="00016081"/>
    <w:rsid w:val="000165AC"/>
    <w:rsid w:val="00016651"/>
    <w:rsid w:val="000171A2"/>
    <w:rsid w:val="00017B65"/>
    <w:rsid w:val="00020158"/>
    <w:rsid w:val="000207E0"/>
    <w:rsid w:val="000209E2"/>
    <w:rsid w:val="00020F8F"/>
    <w:rsid w:val="00021A95"/>
    <w:rsid w:val="00021C8A"/>
    <w:rsid w:val="0002256F"/>
    <w:rsid w:val="00023A0B"/>
    <w:rsid w:val="00023DAE"/>
    <w:rsid w:val="00024896"/>
    <w:rsid w:val="00024A81"/>
    <w:rsid w:val="0002504E"/>
    <w:rsid w:val="000255FA"/>
    <w:rsid w:val="00025D0A"/>
    <w:rsid w:val="000263F0"/>
    <w:rsid w:val="00026407"/>
    <w:rsid w:val="000265C7"/>
    <w:rsid w:val="00026608"/>
    <w:rsid w:val="00027787"/>
    <w:rsid w:val="000278D2"/>
    <w:rsid w:val="00027C93"/>
    <w:rsid w:val="000303E4"/>
    <w:rsid w:val="00030B30"/>
    <w:rsid w:val="00030DFB"/>
    <w:rsid w:val="00031364"/>
    <w:rsid w:val="000315E1"/>
    <w:rsid w:val="0003236E"/>
    <w:rsid w:val="000323C6"/>
    <w:rsid w:val="000323FA"/>
    <w:rsid w:val="00032689"/>
    <w:rsid w:val="00032C89"/>
    <w:rsid w:val="000332E1"/>
    <w:rsid w:val="0003339A"/>
    <w:rsid w:val="000341F2"/>
    <w:rsid w:val="00035046"/>
    <w:rsid w:val="000351F2"/>
    <w:rsid w:val="00035328"/>
    <w:rsid w:val="0003535C"/>
    <w:rsid w:val="00035768"/>
    <w:rsid w:val="000368FE"/>
    <w:rsid w:val="00036D03"/>
    <w:rsid w:val="00036E03"/>
    <w:rsid w:val="000374FB"/>
    <w:rsid w:val="00037510"/>
    <w:rsid w:val="000406DB"/>
    <w:rsid w:val="0004094D"/>
    <w:rsid w:val="00041029"/>
    <w:rsid w:val="00041357"/>
    <w:rsid w:val="0004149B"/>
    <w:rsid w:val="00041FC6"/>
    <w:rsid w:val="00042961"/>
    <w:rsid w:val="00042C25"/>
    <w:rsid w:val="00042D03"/>
    <w:rsid w:val="00043086"/>
    <w:rsid w:val="000430A0"/>
    <w:rsid w:val="00043652"/>
    <w:rsid w:val="00043A34"/>
    <w:rsid w:val="00043D3B"/>
    <w:rsid w:val="0004418C"/>
    <w:rsid w:val="00044204"/>
    <w:rsid w:val="0004477A"/>
    <w:rsid w:val="000449D4"/>
    <w:rsid w:val="00045D5B"/>
    <w:rsid w:val="0004600D"/>
    <w:rsid w:val="000463B5"/>
    <w:rsid w:val="00046717"/>
    <w:rsid w:val="00046A63"/>
    <w:rsid w:val="00046C09"/>
    <w:rsid w:val="0004716A"/>
    <w:rsid w:val="00047385"/>
    <w:rsid w:val="000473E8"/>
    <w:rsid w:val="000504DE"/>
    <w:rsid w:val="00051074"/>
    <w:rsid w:val="000526F0"/>
    <w:rsid w:val="0005273D"/>
    <w:rsid w:val="00052B79"/>
    <w:rsid w:val="00052E4B"/>
    <w:rsid w:val="00052EA0"/>
    <w:rsid w:val="000536A7"/>
    <w:rsid w:val="000536E3"/>
    <w:rsid w:val="00053896"/>
    <w:rsid w:val="00053A00"/>
    <w:rsid w:val="0005450D"/>
    <w:rsid w:val="0005474D"/>
    <w:rsid w:val="00055A41"/>
    <w:rsid w:val="00055CB9"/>
    <w:rsid w:val="00056C51"/>
    <w:rsid w:val="00056F66"/>
    <w:rsid w:val="0005702F"/>
    <w:rsid w:val="000572DE"/>
    <w:rsid w:val="000578FF"/>
    <w:rsid w:val="00057CBB"/>
    <w:rsid w:val="00060446"/>
    <w:rsid w:val="00061010"/>
    <w:rsid w:val="00061D06"/>
    <w:rsid w:val="00062CDD"/>
    <w:rsid w:val="00062DB3"/>
    <w:rsid w:val="0006310D"/>
    <w:rsid w:val="00063472"/>
    <w:rsid w:val="000640AF"/>
    <w:rsid w:val="0006460D"/>
    <w:rsid w:val="00064940"/>
    <w:rsid w:val="00064CAE"/>
    <w:rsid w:val="00064DB7"/>
    <w:rsid w:val="00064FA7"/>
    <w:rsid w:val="00065195"/>
    <w:rsid w:val="0006536C"/>
    <w:rsid w:val="0006626E"/>
    <w:rsid w:val="00066A7F"/>
    <w:rsid w:val="0006791B"/>
    <w:rsid w:val="00070AF1"/>
    <w:rsid w:val="000714DE"/>
    <w:rsid w:val="00071CFC"/>
    <w:rsid w:val="0007254F"/>
    <w:rsid w:val="0007357C"/>
    <w:rsid w:val="00073C30"/>
    <w:rsid w:val="00074305"/>
    <w:rsid w:val="000744D0"/>
    <w:rsid w:val="00074B2A"/>
    <w:rsid w:val="00074E6F"/>
    <w:rsid w:val="00074EEE"/>
    <w:rsid w:val="000753D5"/>
    <w:rsid w:val="00075567"/>
    <w:rsid w:val="00075B3E"/>
    <w:rsid w:val="00076456"/>
    <w:rsid w:val="0007779B"/>
    <w:rsid w:val="000777E7"/>
    <w:rsid w:val="0007790A"/>
    <w:rsid w:val="000779F2"/>
    <w:rsid w:val="0008017B"/>
    <w:rsid w:val="0008049A"/>
    <w:rsid w:val="00080ACD"/>
    <w:rsid w:val="000811ED"/>
    <w:rsid w:val="00081D62"/>
    <w:rsid w:val="00081FFA"/>
    <w:rsid w:val="0008269B"/>
    <w:rsid w:val="000829AE"/>
    <w:rsid w:val="00082B74"/>
    <w:rsid w:val="00083099"/>
    <w:rsid w:val="00083480"/>
    <w:rsid w:val="0008389B"/>
    <w:rsid w:val="00083EDC"/>
    <w:rsid w:val="0008407E"/>
    <w:rsid w:val="00084B97"/>
    <w:rsid w:val="00084F87"/>
    <w:rsid w:val="00085033"/>
    <w:rsid w:val="0008510E"/>
    <w:rsid w:val="000856DE"/>
    <w:rsid w:val="00085F17"/>
    <w:rsid w:val="00085FB0"/>
    <w:rsid w:val="00085FB3"/>
    <w:rsid w:val="000860A8"/>
    <w:rsid w:val="0008614E"/>
    <w:rsid w:val="0008686B"/>
    <w:rsid w:val="00086B2A"/>
    <w:rsid w:val="00086ED2"/>
    <w:rsid w:val="00087A64"/>
    <w:rsid w:val="0009082C"/>
    <w:rsid w:val="00090C39"/>
    <w:rsid w:val="000914D6"/>
    <w:rsid w:val="00091569"/>
    <w:rsid w:val="00091957"/>
    <w:rsid w:val="00092654"/>
    <w:rsid w:val="00092CDB"/>
    <w:rsid w:val="00092DCA"/>
    <w:rsid w:val="000932BB"/>
    <w:rsid w:val="00093851"/>
    <w:rsid w:val="000942EB"/>
    <w:rsid w:val="00095B70"/>
    <w:rsid w:val="0009617E"/>
    <w:rsid w:val="0009628D"/>
    <w:rsid w:val="0009670F"/>
    <w:rsid w:val="00096D15"/>
    <w:rsid w:val="000970E4"/>
    <w:rsid w:val="000979CF"/>
    <w:rsid w:val="00097F53"/>
    <w:rsid w:val="000A03C8"/>
    <w:rsid w:val="000A03F2"/>
    <w:rsid w:val="000A05F2"/>
    <w:rsid w:val="000A06C4"/>
    <w:rsid w:val="000A0861"/>
    <w:rsid w:val="000A0EC4"/>
    <w:rsid w:val="000A0ED1"/>
    <w:rsid w:val="000A12DB"/>
    <w:rsid w:val="000A17C8"/>
    <w:rsid w:val="000A1B74"/>
    <w:rsid w:val="000A20D7"/>
    <w:rsid w:val="000A2128"/>
    <w:rsid w:val="000A362F"/>
    <w:rsid w:val="000A3B49"/>
    <w:rsid w:val="000A45E2"/>
    <w:rsid w:val="000A467C"/>
    <w:rsid w:val="000A46FE"/>
    <w:rsid w:val="000A47E6"/>
    <w:rsid w:val="000A52C0"/>
    <w:rsid w:val="000A5AAF"/>
    <w:rsid w:val="000A5ACE"/>
    <w:rsid w:val="000A5F97"/>
    <w:rsid w:val="000A609A"/>
    <w:rsid w:val="000A648E"/>
    <w:rsid w:val="000A7268"/>
    <w:rsid w:val="000A73BB"/>
    <w:rsid w:val="000A73E8"/>
    <w:rsid w:val="000A7EF4"/>
    <w:rsid w:val="000B046C"/>
    <w:rsid w:val="000B0A15"/>
    <w:rsid w:val="000B103F"/>
    <w:rsid w:val="000B1437"/>
    <w:rsid w:val="000B1470"/>
    <w:rsid w:val="000B175E"/>
    <w:rsid w:val="000B244D"/>
    <w:rsid w:val="000B2A1A"/>
    <w:rsid w:val="000B2B86"/>
    <w:rsid w:val="000B3051"/>
    <w:rsid w:val="000B419B"/>
    <w:rsid w:val="000B56F9"/>
    <w:rsid w:val="000B5781"/>
    <w:rsid w:val="000B5CB1"/>
    <w:rsid w:val="000B6D8B"/>
    <w:rsid w:val="000B75F4"/>
    <w:rsid w:val="000C0185"/>
    <w:rsid w:val="000C084E"/>
    <w:rsid w:val="000C0F81"/>
    <w:rsid w:val="000C128D"/>
    <w:rsid w:val="000C17A3"/>
    <w:rsid w:val="000C1D4B"/>
    <w:rsid w:val="000C1D5C"/>
    <w:rsid w:val="000C2DC4"/>
    <w:rsid w:val="000C3260"/>
    <w:rsid w:val="000C3B77"/>
    <w:rsid w:val="000C3F6D"/>
    <w:rsid w:val="000C47E0"/>
    <w:rsid w:val="000C487D"/>
    <w:rsid w:val="000C4F49"/>
    <w:rsid w:val="000C5861"/>
    <w:rsid w:val="000C5BDE"/>
    <w:rsid w:val="000C639D"/>
    <w:rsid w:val="000C6988"/>
    <w:rsid w:val="000C6C31"/>
    <w:rsid w:val="000C6DBC"/>
    <w:rsid w:val="000C6F79"/>
    <w:rsid w:val="000C7476"/>
    <w:rsid w:val="000C7480"/>
    <w:rsid w:val="000C7648"/>
    <w:rsid w:val="000C7711"/>
    <w:rsid w:val="000C7AA2"/>
    <w:rsid w:val="000D0462"/>
    <w:rsid w:val="000D053D"/>
    <w:rsid w:val="000D0ED2"/>
    <w:rsid w:val="000D107D"/>
    <w:rsid w:val="000D13FD"/>
    <w:rsid w:val="000D1CEB"/>
    <w:rsid w:val="000D241E"/>
    <w:rsid w:val="000D2563"/>
    <w:rsid w:val="000D25BF"/>
    <w:rsid w:val="000D2C83"/>
    <w:rsid w:val="000D2C93"/>
    <w:rsid w:val="000D2F14"/>
    <w:rsid w:val="000D2F86"/>
    <w:rsid w:val="000D2FE4"/>
    <w:rsid w:val="000D3FDC"/>
    <w:rsid w:val="000D490B"/>
    <w:rsid w:val="000D4E38"/>
    <w:rsid w:val="000D50DB"/>
    <w:rsid w:val="000D6288"/>
    <w:rsid w:val="000D6B6C"/>
    <w:rsid w:val="000D6C10"/>
    <w:rsid w:val="000D728B"/>
    <w:rsid w:val="000D7541"/>
    <w:rsid w:val="000D75E1"/>
    <w:rsid w:val="000D786C"/>
    <w:rsid w:val="000E05E2"/>
    <w:rsid w:val="000E22CF"/>
    <w:rsid w:val="000E2977"/>
    <w:rsid w:val="000E2CC0"/>
    <w:rsid w:val="000E30AC"/>
    <w:rsid w:val="000E3965"/>
    <w:rsid w:val="000E3B46"/>
    <w:rsid w:val="000E3E11"/>
    <w:rsid w:val="000E4596"/>
    <w:rsid w:val="000E4B94"/>
    <w:rsid w:val="000E4D50"/>
    <w:rsid w:val="000E54A9"/>
    <w:rsid w:val="000E5768"/>
    <w:rsid w:val="000E5843"/>
    <w:rsid w:val="000E6139"/>
    <w:rsid w:val="000E63B7"/>
    <w:rsid w:val="000E653C"/>
    <w:rsid w:val="000E6BE1"/>
    <w:rsid w:val="000E7E0B"/>
    <w:rsid w:val="000F0060"/>
    <w:rsid w:val="000F0136"/>
    <w:rsid w:val="000F045A"/>
    <w:rsid w:val="000F078A"/>
    <w:rsid w:val="000F0CCE"/>
    <w:rsid w:val="000F122D"/>
    <w:rsid w:val="000F1450"/>
    <w:rsid w:val="000F14E8"/>
    <w:rsid w:val="000F1BBD"/>
    <w:rsid w:val="000F290F"/>
    <w:rsid w:val="000F4141"/>
    <w:rsid w:val="000F4403"/>
    <w:rsid w:val="000F4765"/>
    <w:rsid w:val="000F47F3"/>
    <w:rsid w:val="000F480B"/>
    <w:rsid w:val="000F4A7F"/>
    <w:rsid w:val="000F4E17"/>
    <w:rsid w:val="000F55A8"/>
    <w:rsid w:val="000F5615"/>
    <w:rsid w:val="000F5DFB"/>
    <w:rsid w:val="000F613B"/>
    <w:rsid w:val="000F6420"/>
    <w:rsid w:val="000F6578"/>
    <w:rsid w:val="000F6787"/>
    <w:rsid w:val="000F6F92"/>
    <w:rsid w:val="000F7E8F"/>
    <w:rsid w:val="000F7FBB"/>
    <w:rsid w:val="001000FB"/>
    <w:rsid w:val="00100A9E"/>
    <w:rsid w:val="00100F6A"/>
    <w:rsid w:val="00101129"/>
    <w:rsid w:val="00102605"/>
    <w:rsid w:val="00102686"/>
    <w:rsid w:val="00102745"/>
    <w:rsid w:val="00103795"/>
    <w:rsid w:val="00103915"/>
    <w:rsid w:val="001039AA"/>
    <w:rsid w:val="00103EA0"/>
    <w:rsid w:val="00104149"/>
    <w:rsid w:val="00104F1C"/>
    <w:rsid w:val="001051E5"/>
    <w:rsid w:val="001056CE"/>
    <w:rsid w:val="00105A74"/>
    <w:rsid w:val="00105ACB"/>
    <w:rsid w:val="00105AEF"/>
    <w:rsid w:val="00105B76"/>
    <w:rsid w:val="00106259"/>
    <w:rsid w:val="001068EB"/>
    <w:rsid w:val="001078CE"/>
    <w:rsid w:val="00110F61"/>
    <w:rsid w:val="00111026"/>
    <w:rsid w:val="001111BD"/>
    <w:rsid w:val="0011165A"/>
    <w:rsid w:val="00111B2B"/>
    <w:rsid w:val="00112774"/>
    <w:rsid w:val="00112B2E"/>
    <w:rsid w:val="00113003"/>
    <w:rsid w:val="00113062"/>
    <w:rsid w:val="0011318E"/>
    <w:rsid w:val="0011359A"/>
    <w:rsid w:val="00113705"/>
    <w:rsid w:val="00113975"/>
    <w:rsid w:val="00113CFC"/>
    <w:rsid w:val="00113FEA"/>
    <w:rsid w:val="00114A22"/>
    <w:rsid w:val="00114E9D"/>
    <w:rsid w:val="0011507B"/>
    <w:rsid w:val="001150A2"/>
    <w:rsid w:val="001156A7"/>
    <w:rsid w:val="00115C37"/>
    <w:rsid w:val="00116328"/>
    <w:rsid w:val="001163CF"/>
    <w:rsid w:val="00116EC5"/>
    <w:rsid w:val="001174C9"/>
    <w:rsid w:val="001177AB"/>
    <w:rsid w:val="001177FE"/>
    <w:rsid w:val="00117E69"/>
    <w:rsid w:val="00120E33"/>
    <w:rsid w:val="00121103"/>
    <w:rsid w:val="00121B78"/>
    <w:rsid w:val="00121BAB"/>
    <w:rsid w:val="00121E3C"/>
    <w:rsid w:val="001223CD"/>
    <w:rsid w:val="00122B23"/>
    <w:rsid w:val="00122B7E"/>
    <w:rsid w:val="00123E27"/>
    <w:rsid w:val="00123FB5"/>
    <w:rsid w:val="0012400F"/>
    <w:rsid w:val="001249DC"/>
    <w:rsid w:val="0012572D"/>
    <w:rsid w:val="00125BED"/>
    <w:rsid w:val="00125C59"/>
    <w:rsid w:val="00125D4F"/>
    <w:rsid w:val="00126F53"/>
    <w:rsid w:val="00127004"/>
    <w:rsid w:val="00127045"/>
    <w:rsid w:val="00127278"/>
    <w:rsid w:val="001275E8"/>
    <w:rsid w:val="0012770B"/>
    <w:rsid w:val="00127AF2"/>
    <w:rsid w:val="00127EDC"/>
    <w:rsid w:val="00127F42"/>
    <w:rsid w:val="00127F6D"/>
    <w:rsid w:val="00130355"/>
    <w:rsid w:val="00130365"/>
    <w:rsid w:val="001304E5"/>
    <w:rsid w:val="00130635"/>
    <w:rsid w:val="00131B5A"/>
    <w:rsid w:val="001329BC"/>
    <w:rsid w:val="00132C30"/>
    <w:rsid w:val="00132EFD"/>
    <w:rsid w:val="00133AED"/>
    <w:rsid w:val="00133ED2"/>
    <w:rsid w:val="00134BCD"/>
    <w:rsid w:val="00134E09"/>
    <w:rsid w:val="001350AB"/>
    <w:rsid w:val="0013546D"/>
    <w:rsid w:val="00135DB9"/>
    <w:rsid w:val="00135E5D"/>
    <w:rsid w:val="0013695C"/>
    <w:rsid w:val="00136BF7"/>
    <w:rsid w:val="00136C78"/>
    <w:rsid w:val="00136DD8"/>
    <w:rsid w:val="00137440"/>
    <w:rsid w:val="001378B9"/>
    <w:rsid w:val="00137FFA"/>
    <w:rsid w:val="00140109"/>
    <w:rsid w:val="0014029B"/>
    <w:rsid w:val="00140464"/>
    <w:rsid w:val="00140A4F"/>
    <w:rsid w:val="001413AB"/>
    <w:rsid w:val="001419D7"/>
    <w:rsid w:val="00141DBF"/>
    <w:rsid w:val="00142EFD"/>
    <w:rsid w:val="00144335"/>
    <w:rsid w:val="0014502F"/>
    <w:rsid w:val="00145282"/>
    <w:rsid w:val="001453B0"/>
    <w:rsid w:val="001454D9"/>
    <w:rsid w:val="00145D8E"/>
    <w:rsid w:val="00146083"/>
    <w:rsid w:val="001462F7"/>
    <w:rsid w:val="001471AB"/>
    <w:rsid w:val="00147EAD"/>
    <w:rsid w:val="00147F35"/>
    <w:rsid w:val="00147FCE"/>
    <w:rsid w:val="00150005"/>
    <w:rsid w:val="00151AEB"/>
    <w:rsid w:val="00151B99"/>
    <w:rsid w:val="00151CD6"/>
    <w:rsid w:val="00151E79"/>
    <w:rsid w:val="001521B2"/>
    <w:rsid w:val="00152EDD"/>
    <w:rsid w:val="00153491"/>
    <w:rsid w:val="0015361C"/>
    <w:rsid w:val="0015372F"/>
    <w:rsid w:val="00153BFB"/>
    <w:rsid w:val="0015407E"/>
    <w:rsid w:val="0015448E"/>
    <w:rsid w:val="00154A6F"/>
    <w:rsid w:val="00154B68"/>
    <w:rsid w:val="00155025"/>
    <w:rsid w:val="00155B07"/>
    <w:rsid w:val="00155BED"/>
    <w:rsid w:val="00155D08"/>
    <w:rsid w:val="0015623B"/>
    <w:rsid w:val="00156BE5"/>
    <w:rsid w:val="00157232"/>
    <w:rsid w:val="00160401"/>
    <w:rsid w:val="00160AA1"/>
    <w:rsid w:val="00160C01"/>
    <w:rsid w:val="00160D4E"/>
    <w:rsid w:val="00161AAD"/>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9EF"/>
    <w:rsid w:val="00167A15"/>
    <w:rsid w:val="00167A50"/>
    <w:rsid w:val="00167D1A"/>
    <w:rsid w:val="00167DF5"/>
    <w:rsid w:val="00170001"/>
    <w:rsid w:val="00170D2F"/>
    <w:rsid w:val="001716D9"/>
    <w:rsid w:val="00171736"/>
    <w:rsid w:val="00172198"/>
    <w:rsid w:val="00172612"/>
    <w:rsid w:val="00172817"/>
    <w:rsid w:val="001733CF"/>
    <w:rsid w:val="001734E3"/>
    <w:rsid w:val="001742BF"/>
    <w:rsid w:val="001742E1"/>
    <w:rsid w:val="00175DC6"/>
    <w:rsid w:val="00175E49"/>
    <w:rsid w:val="0017649F"/>
    <w:rsid w:val="0017655B"/>
    <w:rsid w:val="001778A6"/>
    <w:rsid w:val="00177EAA"/>
    <w:rsid w:val="001805C1"/>
    <w:rsid w:val="00180A2E"/>
    <w:rsid w:val="00180F75"/>
    <w:rsid w:val="001813AF"/>
    <w:rsid w:val="001826C9"/>
    <w:rsid w:val="001829CD"/>
    <w:rsid w:val="00182F01"/>
    <w:rsid w:val="001833E1"/>
    <w:rsid w:val="00183515"/>
    <w:rsid w:val="00184219"/>
    <w:rsid w:val="00184F27"/>
    <w:rsid w:val="00185070"/>
    <w:rsid w:val="0018519B"/>
    <w:rsid w:val="001858C9"/>
    <w:rsid w:val="00185966"/>
    <w:rsid w:val="00185A2D"/>
    <w:rsid w:val="00185AFE"/>
    <w:rsid w:val="00185C79"/>
    <w:rsid w:val="00185E78"/>
    <w:rsid w:val="001868D9"/>
    <w:rsid w:val="001870F5"/>
    <w:rsid w:val="00187177"/>
    <w:rsid w:val="00187ABD"/>
    <w:rsid w:val="001904E3"/>
    <w:rsid w:val="0019087A"/>
    <w:rsid w:val="00190F38"/>
    <w:rsid w:val="001910D9"/>
    <w:rsid w:val="00191C5A"/>
    <w:rsid w:val="00191CEB"/>
    <w:rsid w:val="00191E63"/>
    <w:rsid w:val="00192D68"/>
    <w:rsid w:val="0019388B"/>
    <w:rsid w:val="00193ADE"/>
    <w:rsid w:val="00193B9A"/>
    <w:rsid w:val="001940ED"/>
    <w:rsid w:val="001945DF"/>
    <w:rsid w:val="001946AE"/>
    <w:rsid w:val="001946D5"/>
    <w:rsid w:val="00194E8C"/>
    <w:rsid w:val="001962EC"/>
    <w:rsid w:val="001963DD"/>
    <w:rsid w:val="001965DB"/>
    <w:rsid w:val="00196D01"/>
    <w:rsid w:val="00196DC9"/>
    <w:rsid w:val="00196E95"/>
    <w:rsid w:val="001971FD"/>
    <w:rsid w:val="00197341"/>
    <w:rsid w:val="00197758"/>
    <w:rsid w:val="001A0236"/>
    <w:rsid w:val="001A0915"/>
    <w:rsid w:val="001A0AF8"/>
    <w:rsid w:val="001A0E1B"/>
    <w:rsid w:val="001A1490"/>
    <w:rsid w:val="001A1766"/>
    <w:rsid w:val="001A18AA"/>
    <w:rsid w:val="001A18D5"/>
    <w:rsid w:val="001A1A38"/>
    <w:rsid w:val="001A1BE0"/>
    <w:rsid w:val="001A1D4A"/>
    <w:rsid w:val="001A260A"/>
    <w:rsid w:val="001A2F0E"/>
    <w:rsid w:val="001A3011"/>
    <w:rsid w:val="001A3078"/>
    <w:rsid w:val="001A419E"/>
    <w:rsid w:val="001A4314"/>
    <w:rsid w:val="001A4A9B"/>
    <w:rsid w:val="001A4B32"/>
    <w:rsid w:val="001A4DAF"/>
    <w:rsid w:val="001A54CD"/>
    <w:rsid w:val="001A611F"/>
    <w:rsid w:val="001A66DF"/>
    <w:rsid w:val="001A67D0"/>
    <w:rsid w:val="001A6863"/>
    <w:rsid w:val="001A7591"/>
    <w:rsid w:val="001A75B1"/>
    <w:rsid w:val="001A7A30"/>
    <w:rsid w:val="001A7B06"/>
    <w:rsid w:val="001B0366"/>
    <w:rsid w:val="001B0444"/>
    <w:rsid w:val="001B096B"/>
    <w:rsid w:val="001B0A69"/>
    <w:rsid w:val="001B0F9F"/>
    <w:rsid w:val="001B123C"/>
    <w:rsid w:val="001B1A0D"/>
    <w:rsid w:val="001B1BF1"/>
    <w:rsid w:val="001B21AC"/>
    <w:rsid w:val="001B2456"/>
    <w:rsid w:val="001B3B25"/>
    <w:rsid w:val="001B449C"/>
    <w:rsid w:val="001B4AA2"/>
    <w:rsid w:val="001B4ADE"/>
    <w:rsid w:val="001B4D36"/>
    <w:rsid w:val="001B5530"/>
    <w:rsid w:val="001B5EF8"/>
    <w:rsid w:val="001B71E8"/>
    <w:rsid w:val="001B73C6"/>
    <w:rsid w:val="001C033E"/>
    <w:rsid w:val="001C07C6"/>
    <w:rsid w:val="001C120D"/>
    <w:rsid w:val="001C16DA"/>
    <w:rsid w:val="001C19CD"/>
    <w:rsid w:val="001C2119"/>
    <w:rsid w:val="001C22D5"/>
    <w:rsid w:val="001C2515"/>
    <w:rsid w:val="001C26FB"/>
    <w:rsid w:val="001C33C1"/>
    <w:rsid w:val="001C3828"/>
    <w:rsid w:val="001C3C82"/>
    <w:rsid w:val="001C3E30"/>
    <w:rsid w:val="001C3E5C"/>
    <w:rsid w:val="001C5072"/>
    <w:rsid w:val="001C5B2A"/>
    <w:rsid w:val="001C600B"/>
    <w:rsid w:val="001C6898"/>
    <w:rsid w:val="001C6DD8"/>
    <w:rsid w:val="001C76FA"/>
    <w:rsid w:val="001C79A4"/>
    <w:rsid w:val="001C7C7B"/>
    <w:rsid w:val="001D068D"/>
    <w:rsid w:val="001D12D1"/>
    <w:rsid w:val="001D15DF"/>
    <w:rsid w:val="001D1A1E"/>
    <w:rsid w:val="001D2552"/>
    <w:rsid w:val="001D28B0"/>
    <w:rsid w:val="001D2EEE"/>
    <w:rsid w:val="001D2FA6"/>
    <w:rsid w:val="001D30F3"/>
    <w:rsid w:val="001D31A0"/>
    <w:rsid w:val="001D338E"/>
    <w:rsid w:val="001D3F00"/>
    <w:rsid w:val="001D4562"/>
    <w:rsid w:val="001D50DB"/>
    <w:rsid w:val="001D56E9"/>
    <w:rsid w:val="001D6944"/>
    <w:rsid w:val="001D6CD2"/>
    <w:rsid w:val="001D6F14"/>
    <w:rsid w:val="001D796A"/>
    <w:rsid w:val="001D7A84"/>
    <w:rsid w:val="001D7C79"/>
    <w:rsid w:val="001D7EE5"/>
    <w:rsid w:val="001E003B"/>
    <w:rsid w:val="001E1CC4"/>
    <w:rsid w:val="001E1D38"/>
    <w:rsid w:val="001E2452"/>
    <w:rsid w:val="001E28A0"/>
    <w:rsid w:val="001E3FFE"/>
    <w:rsid w:val="001E4258"/>
    <w:rsid w:val="001E4868"/>
    <w:rsid w:val="001E5140"/>
    <w:rsid w:val="001E5C3A"/>
    <w:rsid w:val="001E5D6A"/>
    <w:rsid w:val="001E6A94"/>
    <w:rsid w:val="001E70FB"/>
    <w:rsid w:val="001E747D"/>
    <w:rsid w:val="001E780A"/>
    <w:rsid w:val="001F0325"/>
    <w:rsid w:val="001F0806"/>
    <w:rsid w:val="001F0D15"/>
    <w:rsid w:val="001F0FA0"/>
    <w:rsid w:val="001F10E8"/>
    <w:rsid w:val="001F1349"/>
    <w:rsid w:val="001F1863"/>
    <w:rsid w:val="001F1E65"/>
    <w:rsid w:val="001F2356"/>
    <w:rsid w:val="001F2462"/>
    <w:rsid w:val="001F2A68"/>
    <w:rsid w:val="001F2C47"/>
    <w:rsid w:val="001F43DA"/>
    <w:rsid w:val="001F4773"/>
    <w:rsid w:val="001F4DC8"/>
    <w:rsid w:val="001F5008"/>
    <w:rsid w:val="001F56AA"/>
    <w:rsid w:val="001F57EB"/>
    <w:rsid w:val="001F58AA"/>
    <w:rsid w:val="001F5A4E"/>
    <w:rsid w:val="001F5EF6"/>
    <w:rsid w:val="001F5EF9"/>
    <w:rsid w:val="001F63AE"/>
    <w:rsid w:val="001F657F"/>
    <w:rsid w:val="001F6FB6"/>
    <w:rsid w:val="001F72BB"/>
    <w:rsid w:val="001F7978"/>
    <w:rsid w:val="001F7A0E"/>
    <w:rsid w:val="001F7A4B"/>
    <w:rsid w:val="0020022E"/>
    <w:rsid w:val="0020054E"/>
    <w:rsid w:val="002012BE"/>
    <w:rsid w:val="002013E8"/>
    <w:rsid w:val="00201508"/>
    <w:rsid w:val="00201AC4"/>
    <w:rsid w:val="00201F1E"/>
    <w:rsid w:val="00202761"/>
    <w:rsid w:val="0020299B"/>
    <w:rsid w:val="00202B2A"/>
    <w:rsid w:val="00202E44"/>
    <w:rsid w:val="002036BA"/>
    <w:rsid w:val="002037AA"/>
    <w:rsid w:val="00203C94"/>
    <w:rsid w:val="00203FE3"/>
    <w:rsid w:val="002042D8"/>
    <w:rsid w:val="00204515"/>
    <w:rsid w:val="0020492B"/>
    <w:rsid w:val="00204BA0"/>
    <w:rsid w:val="00204BF5"/>
    <w:rsid w:val="00204E6B"/>
    <w:rsid w:val="002053EF"/>
    <w:rsid w:val="002058D4"/>
    <w:rsid w:val="0020632A"/>
    <w:rsid w:val="0020697F"/>
    <w:rsid w:val="00206F4D"/>
    <w:rsid w:val="0020726E"/>
    <w:rsid w:val="00207389"/>
    <w:rsid w:val="0020797E"/>
    <w:rsid w:val="00207C4B"/>
    <w:rsid w:val="00207FCD"/>
    <w:rsid w:val="002110EB"/>
    <w:rsid w:val="00211338"/>
    <w:rsid w:val="00211388"/>
    <w:rsid w:val="002113CF"/>
    <w:rsid w:val="0021148C"/>
    <w:rsid w:val="00211694"/>
    <w:rsid w:val="0021201A"/>
    <w:rsid w:val="00212545"/>
    <w:rsid w:val="00212BC8"/>
    <w:rsid w:val="002138FE"/>
    <w:rsid w:val="00213A1F"/>
    <w:rsid w:val="00213C63"/>
    <w:rsid w:val="00214502"/>
    <w:rsid w:val="00214741"/>
    <w:rsid w:val="0021480C"/>
    <w:rsid w:val="00214938"/>
    <w:rsid w:val="00214B7E"/>
    <w:rsid w:val="0021539A"/>
    <w:rsid w:val="00215852"/>
    <w:rsid w:val="00215B01"/>
    <w:rsid w:val="00215B8E"/>
    <w:rsid w:val="00216264"/>
    <w:rsid w:val="002169A0"/>
    <w:rsid w:val="002176B6"/>
    <w:rsid w:val="0021792D"/>
    <w:rsid w:val="00217DB8"/>
    <w:rsid w:val="00220206"/>
    <w:rsid w:val="002202CE"/>
    <w:rsid w:val="0022032A"/>
    <w:rsid w:val="002212FB"/>
    <w:rsid w:val="0022194E"/>
    <w:rsid w:val="002220B1"/>
    <w:rsid w:val="002221CE"/>
    <w:rsid w:val="00222BE8"/>
    <w:rsid w:val="00222D61"/>
    <w:rsid w:val="00222DF6"/>
    <w:rsid w:val="00223102"/>
    <w:rsid w:val="002232CB"/>
    <w:rsid w:val="00223E0B"/>
    <w:rsid w:val="00224022"/>
    <w:rsid w:val="00225147"/>
    <w:rsid w:val="00225CDE"/>
    <w:rsid w:val="00226055"/>
    <w:rsid w:val="0022609C"/>
    <w:rsid w:val="0022613F"/>
    <w:rsid w:val="0022614F"/>
    <w:rsid w:val="00226236"/>
    <w:rsid w:val="002266AF"/>
    <w:rsid w:val="002270C9"/>
    <w:rsid w:val="00227A8B"/>
    <w:rsid w:val="00230ADA"/>
    <w:rsid w:val="00230E35"/>
    <w:rsid w:val="0023146B"/>
    <w:rsid w:val="00231476"/>
    <w:rsid w:val="002315A0"/>
    <w:rsid w:val="00231748"/>
    <w:rsid w:val="00231A18"/>
    <w:rsid w:val="00231DCC"/>
    <w:rsid w:val="00231EC7"/>
    <w:rsid w:val="00232E15"/>
    <w:rsid w:val="00233079"/>
    <w:rsid w:val="002334C1"/>
    <w:rsid w:val="0023382C"/>
    <w:rsid w:val="00233977"/>
    <w:rsid w:val="00233C58"/>
    <w:rsid w:val="00233C71"/>
    <w:rsid w:val="002345B6"/>
    <w:rsid w:val="002347A6"/>
    <w:rsid w:val="00234B84"/>
    <w:rsid w:val="002352F0"/>
    <w:rsid w:val="00235987"/>
    <w:rsid w:val="00235D09"/>
    <w:rsid w:val="00236016"/>
    <w:rsid w:val="00237065"/>
    <w:rsid w:val="00237589"/>
    <w:rsid w:val="0023758D"/>
    <w:rsid w:val="002375A7"/>
    <w:rsid w:val="0024019A"/>
    <w:rsid w:val="00240DA2"/>
    <w:rsid w:val="00240EC1"/>
    <w:rsid w:val="0024120F"/>
    <w:rsid w:val="0024131D"/>
    <w:rsid w:val="002415B8"/>
    <w:rsid w:val="00241B82"/>
    <w:rsid w:val="00242D5F"/>
    <w:rsid w:val="00242D62"/>
    <w:rsid w:val="00242F5E"/>
    <w:rsid w:val="002430D0"/>
    <w:rsid w:val="0024316E"/>
    <w:rsid w:val="002431D7"/>
    <w:rsid w:val="00244058"/>
    <w:rsid w:val="00244FC3"/>
    <w:rsid w:val="00245718"/>
    <w:rsid w:val="002457E9"/>
    <w:rsid w:val="00245B9E"/>
    <w:rsid w:val="00245E07"/>
    <w:rsid w:val="0024665E"/>
    <w:rsid w:val="00247712"/>
    <w:rsid w:val="0024790F"/>
    <w:rsid w:val="00247D41"/>
    <w:rsid w:val="00250A9E"/>
    <w:rsid w:val="00250EC6"/>
    <w:rsid w:val="00250F5C"/>
    <w:rsid w:val="002515C7"/>
    <w:rsid w:val="00251866"/>
    <w:rsid w:val="00251A9F"/>
    <w:rsid w:val="00252492"/>
    <w:rsid w:val="00252B35"/>
    <w:rsid w:val="00252F57"/>
    <w:rsid w:val="00252FE3"/>
    <w:rsid w:val="00253070"/>
    <w:rsid w:val="002530E2"/>
    <w:rsid w:val="0025316D"/>
    <w:rsid w:val="00253723"/>
    <w:rsid w:val="00253A02"/>
    <w:rsid w:val="00253B81"/>
    <w:rsid w:val="00254AE9"/>
    <w:rsid w:val="002554DE"/>
    <w:rsid w:val="00255575"/>
    <w:rsid w:val="00255AD7"/>
    <w:rsid w:val="00255E11"/>
    <w:rsid w:val="002564B7"/>
    <w:rsid w:val="00256835"/>
    <w:rsid w:val="002569F0"/>
    <w:rsid w:val="00256C01"/>
    <w:rsid w:val="00256E1A"/>
    <w:rsid w:val="00256ECF"/>
    <w:rsid w:val="00257730"/>
    <w:rsid w:val="00257999"/>
    <w:rsid w:val="00257BED"/>
    <w:rsid w:val="00260429"/>
    <w:rsid w:val="002604AA"/>
    <w:rsid w:val="00260523"/>
    <w:rsid w:val="00260869"/>
    <w:rsid w:val="0026129B"/>
    <w:rsid w:val="00261560"/>
    <w:rsid w:val="00261715"/>
    <w:rsid w:val="00261CF9"/>
    <w:rsid w:val="00261EC0"/>
    <w:rsid w:val="0026231B"/>
    <w:rsid w:val="00263101"/>
    <w:rsid w:val="002631D1"/>
    <w:rsid w:val="00263201"/>
    <w:rsid w:val="002638F4"/>
    <w:rsid w:val="00263A37"/>
    <w:rsid w:val="00264266"/>
    <w:rsid w:val="0026471F"/>
    <w:rsid w:val="002647FD"/>
    <w:rsid w:val="0026480D"/>
    <w:rsid w:val="002649F3"/>
    <w:rsid w:val="002653A6"/>
    <w:rsid w:val="002661F1"/>
    <w:rsid w:val="00266316"/>
    <w:rsid w:val="00266DB6"/>
    <w:rsid w:val="0027046B"/>
    <w:rsid w:val="00271107"/>
    <w:rsid w:val="002711A4"/>
    <w:rsid w:val="00271230"/>
    <w:rsid w:val="00271F13"/>
    <w:rsid w:val="00272640"/>
    <w:rsid w:val="00272945"/>
    <w:rsid w:val="00272E89"/>
    <w:rsid w:val="002742D0"/>
    <w:rsid w:val="00274522"/>
    <w:rsid w:val="0027482E"/>
    <w:rsid w:val="002748F1"/>
    <w:rsid w:val="00274DB5"/>
    <w:rsid w:val="00275BB1"/>
    <w:rsid w:val="00275F73"/>
    <w:rsid w:val="00276D7C"/>
    <w:rsid w:val="00276EF7"/>
    <w:rsid w:val="0027746E"/>
    <w:rsid w:val="0027770B"/>
    <w:rsid w:val="00277933"/>
    <w:rsid w:val="00277F8D"/>
    <w:rsid w:val="00277FA7"/>
    <w:rsid w:val="00280046"/>
    <w:rsid w:val="00280754"/>
    <w:rsid w:val="002809B4"/>
    <w:rsid w:val="00280B4F"/>
    <w:rsid w:val="00280F3D"/>
    <w:rsid w:val="0028106A"/>
    <w:rsid w:val="00281BF0"/>
    <w:rsid w:val="00281EB4"/>
    <w:rsid w:val="00282A39"/>
    <w:rsid w:val="00282E03"/>
    <w:rsid w:val="0028308E"/>
    <w:rsid w:val="002834E9"/>
    <w:rsid w:val="002837BA"/>
    <w:rsid w:val="00283A52"/>
    <w:rsid w:val="00283C5E"/>
    <w:rsid w:val="00283E26"/>
    <w:rsid w:val="0028428F"/>
    <w:rsid w:val="0028448F"/>
    <w:rsid w:val="00284CFC"/>
    <w:rsid w:val="00285832"/>
    <w:rsid w:val="00285969"/>
    <w:rsid w:val="0028599C"/>
    <w:rsid w:val="00285EAE"/>
    <w:rsid w:val="0028663B"/>
    <w:rsid w:val="00286CEC"/>
    <w:rsid w:val="00286E35"/>
    <w:rsid w:val="002870F9"/>
    <w:rsid w:val="002871A9"/>
    <w:rsid w:val="00287505"/>
    <w:rsid w:val="00287BDB"/>
    <w:rsid w:val="00290781"/>
    <w:rsid w:val="00290805"/>
    <w:rsid w:val="00291784"/>
    <w:rsid w:val="00291E40"/>
    <w:rsid w:val="002920DF"/>
    <w:rsid w:val="002928A3"/>
    <w:rsid w:val="002929BB"/>
    <w:rsid w:val="00292A27"/>
    <w:rsid w:val="00294368"/>
    <w:rsid w:val="00294B78"/>
    <w:rsid w:val="00294B85"/>
    <w:rsid w:val="00295416"/>
    <w:rsid w:val="00295949"/>
    <w:rsid w:val="00295D7C"/>
    <w:rsid w:val="0029624A"/>
    <w:rsid w:val="00296922"/>
    <w:rsid w:val="00297098"/>
    <w:rsid w:val="002A05D4"/>
    <w:rsid w:val="002A06DB"/>
    <w:rsid w:val="002A0928"/>
    <w:rsid w:val="002A09FF"/>
    <w:rsid w:val="002A0BC3"/>
    <w:rsid w:val="002A0E60"/>
    <w:rsid w:val="002A1A58"/>
    <w:rsid w:val="002A1B02"/>
    <w:rsid w:val="002A1C53"/>
    <w:rsid w:val="002A1F84"/>
    <w:rsid w:val="002A244B"/>
    <w:rsid w:val="002A28FC"/>
    <w:rsid w:val="002A2B44"/>
    <w:rsid w:val="002A2C56"/>
    <w:rsid w:val="002A2EA5"/>
    <w:rsid w:val="002A301E"/>
    <w:rsid w:val="002A3555"/>
    <w:rsid w:val="002A3D94"/>
    <w:rsid w:val="002A3F66"/>
    <w:rsid w:val="002A4736"/>
    <w:rsid w:val="002A4B1C"/>
    <w:rsid w:val="002A55FE"/>
    <w:rsid w:val="002A625C"/>
    <w:rsid w:val="002A6AFB"/>
    <w:rsid w:val="002A725A"/>
    <w:rsid w:val="002A733D"/>
    <w:rsid w:val="002A774A"/>
    <w:rsid w:val="002A7840"/>
    <w:rsid w:val="002A78F3"/>
    <w:rsid w:val="002A7D84"/>
    <w:rsid w:val="002A7E5C"/>
    <w:rsid w:val="002A7F6D"/>
    <w:rsid w:val="002B0D83"/>
    <w:rsid w:val="002B1342"/>
    <w:rsid w:val="002B18E0"/>
    <w:rsid w:val="002B1F83"/>
    <w:rsid w:val="002B27C8"/>
    <w:rsid w:val="002B2A7F"/>
    <w:rsid w:val="002B330B"/>
    <w:rsid w:val="002B39BE"/>
    <w:rsid w:val="002B3FBF"/>
    <w:rsid w:val="002B438C"/>
    <w:rsid w:val="002B48DB"/>
    <w:rsid w:val="002B4B34"/>
    <w:rsid w:val="002B5392"/>
    <w:rsid w:val="002B541A"/>
    <w:rsid w:val="002B5EAB"/>
    <w:rsid w:val="002B5F2E"/>
    <w:rsid w:val="002B6407"/>
    <w:rsid w:val="002B6416"/>
    <w:rsid w:val="002B6459"/>
    <w:rsid w:val="002B645D"/>
    <w:rsid w:val="002B662D"/>
    <w:rsid w:val="002B6980"/>
    <w:rsid w:val="002B6F22"/>
    <w:rsid w:val="002B7014"/>
    <w:rsid w:val="002B73B0"/>
    <w:rsid w:val="002B76F5"/>
    <w:rsid w:val="002B7F77"/>
    <w:rsid w:val="002C0275"/>
    <w:rsid w:val="002C0589"/>
    <w:rsid w:val="002C0E0D"/>
    <w:rsid w:val="002C1EE4"/>
    <w:rsid w:val="002C24B4"/>
    <w:rsid w:val="002C2B3A"/>
    <w:rsid w:val="002C2B87"/>
    <w:rsid w:val="002C3A5E"/>
    <w:rsid w:val="002C3CF4"/>
    <w:rsid w:val="002C441A"/>
    <w:rsid w:val="002C4A2B"/>
    <w:rsid w:val="002C4A73"/>
    <w:rsid w:val="002C4B84"/>
    <w:rsid w:val="002C4C0C"/>
    <w:rsid w:val="002C5016"/>
    <w:rsid w:val="002C5C2F"/>
    <w:rsid w:val="002C5D0F"/>
    <w:rsid w:val="002C60B9"/>
    <w:rsid w:val="002C68BC"/>
    <w:rsid w:val="002C6B17"/>
    <w:rsid w:val="002C6D52"/>
    <w:rsid w:val="002C6F77"/>
    <w:rsid w:val="002C704D"/>
    <w:rsid w:val="002C712D"/>
    <w:rsid w:val="002D0845"/>
    <w:rsid w:val="002D0933"/>
    <w:rsid w:val="002D1555"/>
    <w:rsid w:val="002D15B6"/>
    <w:rsid w:val="002D19BB"/>
    <w:rsid w:val="002D1A9B"/>
    <w:rsid w:val="002D1F51"/>
    <w:rsid w:val="002D20F8"/>
    <w:rsid w:val="002D22BD"/>
    <w:rsid w:val="002D22C5"/>
    <w:rsid w:val="002D302A"/>
    <w:rsid w:val="002D36C6"/>
    <w:rsid w:val="002D37C1"/>
    <w:rsid w:val="002D3E4A"/>
    <w:rsid w:val="002D444B"/>
    <w:rsid w:val="002D46A6"/>
    <w:rsid w:val="002D46B4"/>
    <w:rsid w:val="002D46CE"/>
    <w:rsid w:val="002D49C2"/>
    <w:rsid w:val="002D4A45"/>
    <w:rsid w:val="002D4B42"/>
    <w:rsid w:val="002D4B43"/>
    <w:rsid w:val="002D4F3D"/>
    <w:rsid w:val="002D5A1B"/>
    <w:rsid w:val="002D63A7"/>
    <w:rsid w:val="002D6558"/>
    <w:rsid w:val="002D65BC"/>
    <w:rsid w:val="002E02B7"/>
    <w:rsid w:val="002E055C"/>
    <w:rsid w:val="002E1050"/>
    <w:rsid w:val="002E107E"/>
    <w:rsid w:val="002E1880"/>
    <w:rsid w:val="002E18E5"/>
    <w:rsid w:val="002E1953"/>
    <w:rsid w:val="002E1BD8"/>
    <w:rsid w:val="002E26FB"/>
    <w:rsid w:val="002E2C3F"/>
    <w:rsid w:val="002E2CB5"/>
    <w:rsid w:val="002E2D7D"/>
    <w:rsid w:val="002E32D0"/>
    <w:rsid w:val="002E3931"/>
    <w:rsid w:val="002E3D76"/>
    <w:rsid w:val="002E40A1"/>
    <w:rsid w:val="002E4526"/>
    <w:rsid w:val="002E48EC"/>
    <w:rsid w:val="002E4B44"/>
    <w:rsid w:val="002E4ECB"/>
    <w:rsid w:val="002E4F23"/>
    <w:rsid w:val="002E635A"/>
    <w:rsid w:val="002E6A50"/>
    <w:rsid w:val="002E6D68"/>
    <w:rsid w:val="002E7847"/>
    <w:rsid w:val="002E7B84"/>
    <w:rsid w:val="002F0073"/>
    <w:rsid w:val="002F0116"/>
    <w:rsid w:val="002F07F5"/>
    <w:rsid w:val="002F1549"/>
    <w:rsid w:val="002F1B27"/>
    <w:rsid w:val="002F1C67"/>
    <w:rsid w:val="002F240B"/>
    <w:rsid w:val="002F24DA"/>
    <w:rsid w:val="002F28B3"/>
    <w:rsid w:val="002F2F50"/>
    <w:rsid w:val="002F33EC"/>
    <w:rsid w:val="002F34E3"/>
    <w:rsid w:val="002F3601"/>
    <w:rsid w:val="002F40E2"/>
    <w:rsid w:val="002F44E1"/>
    <w:rsid w:val="002F45F6"/>
    <w:rsid w:val="002F5A6F"/>
    <w:rsid w:val="002F692F"/>
    <w:rsid w:val="002F6FF9"/>
    <w:rsid w:val="002F7031"/>
    <w:rsid w:val="002F7961"/>
    <w:rsid w:val="002F7B66"/>
    <w:rsid w:val="00300CB4"/>
    <w:rsid w:val="00300E24"/>
    <w:rsid w:val="00301BB8"/>
    <w:rsid w:val="00301D6C"/>
    <w:rsid w:val="0030257B"/>
    <w:rsid w:val="00302C8C"/>
    <w:rsid w:val="003033BA"/>
    <w:rsid w:val="00303629"/>
    <w:rsid w:val="00303C19"/>
    <w:rsid w:val="003043A3"/>
    <w:rsid w:val="0030462D"/>
    <w:rsid w:val="00304BD4"/>
    <w:rsid w:val="00304F54"/>
    <w:rsid w:val="0030500A"/>
    <w:rsid w:val="0030527D"/>
    <w:rsid w:val="003052EB"/>
    <w:rsid w:val="00305E5F"/>
    <w:rsid w:val="00305FCB"/>
    <w:rsid w:val="003063C3"/>
    <w:rsid w:val="003069DC"/>
    <w:rsid w:val="00306A13"/>
    <w:rsid w:val="00306B44"/>
    <w:rsid w:val="00306D1E"/>
    <w:rsid w:val="00307C44"/>
    <w:rsid w:val="0031040A"/>
    <w:rsid w:val="00310439"/>
    <w:rsid w:val="0031088E"/>
    <w:rsid w:val="00310D01"/>
    <w:rsid w:val="00311376"/>
    <w:rsid w:val="00311A1F"/>
    <w:rsid w:val="00311B47"/>
    <w:rsid w:val="00311D52"/>
    <w:rsid w:val="00312190"/>
    <w:rsid w:val="003125E0"/>
    <w:rsid w:val="0031271D"/>
    <w:rsid w:val="00312E92"/>
    <w:rsid w:val="003132BB"/>
    <w:rsid w:val="00313337"/>
    <w:rsid w:val="00313447"/>
    <w:rsid w:val="00313748"/>
    <w:rsid w:val="00313EA3"/>
    <w:rsid w:val="00314A22"/>
    <w:rsid w:val="003151FE"/>
    <w:rsid w:val="00315365"/>
    <w:rsid w:val="00315457"/>
    <w:rsid w:val="00315DCA"/>
    <w:rsid w:val="003161A4"/>
    <w:rsid w:val="00316955"/>
    <w:rsid w:val="00316AD8"/>
    <w:rsid w:val="0031713F"/>
    <w:rsid w:val="0031720A"/>
    <w:rsid w:val="0031749B"/>
    <w:rsid w:val="003174E5"/>
    <w:rsid w:val="00317C9D"/>
    <w:rsid w:val="00317CD2"/>
    <w:rsid w:val="00317D99"/>
    <w:rsid w:val="003206F2"/>
    <w:rsid w:val="0032078D"/>
    <w:rsid w:val="00320ADF"/>
    <w:rsid w:val="0032137B"/>
    <w:rsid w:val="00321A70"/>
    <w:rsid w:val="00321BD6"/>
    <w:rsid w:val="00321FA3"/>
    <w:rsid w:val="003227D3"/>
    <w:rsid w:val="0032283C"/>
    <w:rsid w:val="00322937"/>
    <w:rsid w:val="00323881"/>
    <w:rsid w:val="00324885"/>
    <w:rsid w:val="003251A8"/>
    <w:rsid w:val="003254B1"/>
    <w:rsid w:val="00325700"/>
    <w:rsid w:val="00325AD9"/>
    <w:rsid w:val="00325D79"/>
    <w:rsid w:val="00325D98"/>
    <w:rsid w:val="0032682A"/>
    <w:rsid w:val="00327A5C"/>
    <w:rsid w:val="00327DB8"/>
    <w:rsid w:val="003305BD"/>
    <w:rsid w:val="0033092C"/>
    <w:rsid w:val="0033122A"/>
    <w:rsid w:val="003315AC"/>
    <w:rsid w:val="00331932"/>
    <w:rsid w:val="00331F74"/>
    <w:rsid w:val="00332382"/>
    <w:rsid w:val="00332453"/>
    <w:rsid w:val="0033251B"/>
    <w:rsid w:val="003328CF"/>
    <w:rsid w:val="00333A88"/>
    <w:rsid w:val="003351FF"/>
    <w:rsid w:val="00335B15"/>
    <w:rsid w:val="00335B21"/>
    <w:rsid w:val="00335D3F"/>
    <w:rsid w:val="00336104"/>
    <w:rsid w:val="00336729"/>
    <w:rsid w:val="00336CD9"/>
    <w:rsid w:val="0033701C"/>
    <w:rsid w:val="0033726D"/>
    <w:rsid w:val="00337357"/>
    <w:rsid w:val="00337CA8"/>
    <w:rsid w:val="00340D3F"/>
    <w:rsid w:val="0034174B"/>
    <w:rsid w:val="0034177C"/>
    <w:rsid w:val="003419D7"/>
    <w:rsid w:val="003420E9"/>
    <w:rsid w:val="00342345"/>
    <w:rsid w:val="00342361"/>
    <w:rsid w:val="00342C27"/>
    <w:rsid w:val="0034308C"/>
    <w:rsid w:val="003430C8"/>
    <w:rsid w:val="003431F6"/>
    <w:rsid w:val="003432C8"/>
    <w:rsid w:val="003434B3"/>
    <w:rsid w:val="00343536"/>
    <w:rsid w:val="00343B9E"/>
    <w:rsid w:val="00343EFB"/>
    <w:rsid w:val="00344760"/>
    <w:rsid w:val="003454E8"/>
    <w:rsid w:val="00345574"/>
    <w:rsid w:val="00345965"/>
    <w:rsid w:val="003467FE"/>
    <w:rsid w:val="0034680A"/>
    <w:rsid w:val="00346C62"/>
    <w:rsid w:val="0034713F"/>
    <w:rsid w:val="00347202"/>
    <w:rsid w:val="0034778E"/>
    <w:rsid w:val="00347A5A"/>
    <w:rsid w:val="003501E2"/>
    <w:rsid w:val="003514B8"/>
    <w:rsid w:val="00351E10"/>
    <w:rsid w:val="0035322F"/>
    <w:rsid w:val="003533F4"/>
    <w:rsid w:val="003536F6"/>
    <w:rsid w:val="00353801"/>
    <w:rsid w:val="00353DD5"/>
    <w:rsid w:val="00353F36"/>
    <w:rsid w:val="003548AB"/>
    <w:rsid w:val="00355131"/>
    <w:rsid w:val="00355F74"/>
    <w:rsid w:val="003560DB"/>
    <w:rsid w:val="003564DB"/>
    <w:rsid w:val="00356F87"/>
    <w:rsid w:val="00357E83"/>
    <w:rsid w:val="003602B1"/>
    <w:rsid w:val="00360CF3"/>
    <w:rsid w:val="00361A59"/>
    <w:rsid w:val="00361DC7"/>
    <w:rsid w:val="00362668"/>
    <w:rsid w:val="00363348"/>
    <w:rsid w:val="00363857"/>
    <w:rsid w:val="00363A24"/>
    <w:rsid w:val="00363D59"/>
    <w:rsid w:val="00363F08"/>
    <w:rsid w:val="003640F7"/>
    <w:rsid w:val="003651C2"/>
    <w:rsid w:val="0036594A"/>
    <w:rsid w:val="00365AE5"/>
    <w:rsid w:val="00365D3A"/>
    <w:rsid w:val="003664FF"/>
    <w:rsid w:val="00366BD2"/>
    <w:rsid w:val="003670B8"/>
    <w:rsid w:val="00367ABB"/>
    <w:rsid w:val="003704A3"/>
    <w:rsid w:val="003706F2"/>
    <w:rsid w:val="003709E8"/>
    <w:rsid w:val="0037124F"/>
    <w:rsid w:val="00371563"/>
    <w:rsid w:val="0037256F"/>
    <w:rsid w:val="00373827"/>
    <w:rsid w:val="0037401C"/>
    <w:rsid w:val="00374EBA"/>
    <w:rsid w:val="0037507B"/>
    <w:rsid w:val="00375C7C"/>
    <w:rsid w:val="00375F02"/>
    <w:rsid w:val="00377027"/>
    <w:rsid w:val="00377135"/>
    <w:rsid w:val="00380272"/>
    <w:rsid w:val="003805DB"/>
    <w:rsid w:val="0038152A"/>
    <w:rsid w:val="003821F1"/>
    <w:rsid w:val="0038245D"/>
    <w:rsid w:val="00382BAD"/>
    <w:rsid w:val="003835FD"/>
    <w:rsid w:val="00383DE4"/>
    <w:rsid w:val="00383EDF"/>
    <w:rsid w:val="00384494"/>
    <w:rsid w:val="0038484C"/>
    <w:rsid w:val="00384C5E"/>
    <w:rsid w:val="00384DF1"/>
    <w:rsid w:val="00384FF3"/>
    <w:rsid w:val="00386456"/>
    <w:rsid w:val="003865A9"/>
    <w:rsid w:val="003869CD"/>
    <w:rsid w:val="0039047D"/>
    <w:rsid w:val="003906FD"/>
    <w:rsid w:val="0039092B"/>
    <w:rsid w:val="00390BD9"/>
    <w:rsid w:val="00390F32"/>
    <w:rsid w:val="0039135E"/>
    <w:rsid w:val="00391867"/>
    <w:rsid w:val="003922B4"/>
    <w:rsid w:val="0039285D"/>
    <w:rsid w:val="003929DC"/>
    <w:rsid w:val="00392C17"/>
    <w:rsid w:val="0039319C"/>
    <w:rsid w:val="00393577"/>
    <w:rsid w:val="00393CAE"/>
    <w:rsid w:val="003945C3"/>
    <w:rsid w:val="003945F4"/>
    <w:rsid w:val="00394B30"/>
    <w:rsid w:val="00394EB5"/>
    <w:rsid w:val="003953B4"/>
    <w:rsid w:val="00395558"/>
    <w:rsid w:val="0039615F"/>
    <w:rsid w:val="003966A0"/>
    <w:rsid w:val="00396A29"/>
    <w:rsid w:val="00396DD1"/>
    <w:rsid w:val="00397BA9"/>
    <w:rsid w:val="00397FF0"/>
    <w:rsid w:val="003A0496"/>
    <w:rsid w:val="003A058E"/>
    <w:rsid w:val="003A0878"/>
    <w:rsid w:val="003A1561"/>
    <w:rsid w:val="003A1D25"/>
    <w:rsid w:val="003A22A2"/>
    <w:rsid w:val="003A2447"/>
    <w:rsid w:val="003A2AA1"/>
    <w:rsid w:val="003A31A5"/>
    <w:rsid w:val="003A329A"/>
    <w:rsid w:val="003A3603"/>
    <w:rsid w:val="003A3851"/>
    <w:rsid w:val="003A39DD"/>
    <w:rsid w:val="003A3EA0"/>
    <w:rsid w:val="003A40DB"/>
    <w:rsid w:val="003A4199"/>
    <w:rsid w:val="003A41C5"/>
    <w:rsid w:val="003A4A8E"/>
    <w:rsid w:val="003A4C7B"/>
    <w:rsid w:val="003A563C"/>
    <w:rsid w:val="003A581E"/>
    <w:rsid w:val="003A5E7E"/>
    <w:rsid w:val="003A6160"/>
    <w:rsid w:val="003A647A"/>
    <w:rsid w:val="003A65A5"/>
    <w:rsid w:val="003A65AC"/>
    <w:rsid w:val="003A65B8"/>
    <w:rsid w:val="003A72F5"/>
    <w:rsid w:val="003A78E5"/>
    <w:rsid w:val="003B0153"/>
    <w:rsid w:val="003B0341"/>
    <w:rsid w:val="003B1961"/>
    <w:rsid w:val="003B1E57"/>
    <w:rsid w:val="003B2662"/>
    <w:rsid w:val="003B26A6"/>
    <w:rsid w:val="003B2EF3"/>
    <w:rsid w:val="003B534F"/>
    <w:rsid w:val="003B5391"/>
    <w:rsid w:val="003B58CE"/>
    <w:rsid w:val="003B65D7"/>
    <w:rsid w:val="003B65E0"/>
    <w:rsid w:val="003B6BD4"/>
    <w:rsid w:val="003B6F4D"/>
    <w:rsid w:val="003B6FE7"/>
    <w:rsid w:val="003C0491"/>
    <w:rsid w:val="003C0C0F"/>
    <w:rsid w:val="003C0D1F"/>
    <w:rsid w:val="003C116A"/>
    <w:rsid w:val="003C14F0"/>
    <w:rsid w:val="003C1AF4"/>
    <w:rsid w:val="003C1CB8"/>
    <w:rsid w:val="003C21B1"/>
    <w:rsid w:val="003C22DA"/>
    <w:rsid w:val="003C2550"/>
    <w:rsid w:val="003C287F"/>
    <w:rsid w:val="003C2FB1"/>
    <w:rsid w:val="003C3339"/>
    <w:rsid w:val="003C375A"/>
    <w:rsid w:val="003C4317"/>
    <w:rsid w:val="003C4B46"/>
    <w:rsid w:val="003C4D9F"/>
    <w:rsid w:val="003C5247"/>
    <w:rsid w:val="003C5B02"/>
    <w:rsid w:val="003C5E8A"/>
    <w:rsid w:val="003C622C"/>
    <w:rsid w:val="003C6505"/>
    <w:rsid w:val="003C73C7"/>
    <w:rsid w:val="003C7CFB"/>
    <w:rsid w:val="003D02F3"/>
    <w:rsid w:val="003D050B"/>
    <w:rsid w:val="003D0B98"/>
    <w:rsid w:val="003D0C3C"/>
    <w:rsid w:val="003D0DE5"/>
    <w:rsid w:val="003D1351"/>
    <w:rsid w:val="003D21C1"/>
    <w:rsid w:val="003D2E69"/>
    <w:rsid w:val="003D3B15"/>
    <w:rsid w:val="003D3B2E"/>
    <w:rsid w:val="003D3F28"/>
    <w:rsid w:val="003D4101"/>
    <w:rsid w:val="003D41B1"/>
    <w:rsid w:val="003D484D"/>
    <w:rsid w:val="003D49CB"/>
    <w:rsid w:val="003D4F41"/>
    <w:rsid w:val="003D5F10"/>
    <w:rsid w:val="003D65E0"/>
    <w:rsid w:val="003D6B8F"/>
    <w:rsid w:val="003D6E60"/>
    <w:rsid w:val="003D7566"/>
    <w:rsid w:val="003E0224"/>
    <w:rsid w:val="003E09BB"/>
    <w:rsid w:val="003E13D2"/>
    <w:rsid w:val="003E159D"/>
    <w:rsid w:val="003E20EA"/>
    <w:rsid w:val="003E210C"/>
    <w:rsid w:val="003E2F55"/>
    <w:rsid w:val="003E324A"/>
    <w:rsid w:val="003E34DB"/>
    <w:rsid w:val="003E36D8"/>
    <w:rsid w:val="003E3833"/>
    <w:rsid w:val="003E3AF9"/>
    <w:rsid w:val="003E4A70"/>
    <w:rsid w:val="003E4C48"/>
    <w:rsid w:val="003E4CD9"/>
    <w:rsid w:val="003E52C2"/>
    <w:rsid w:val="003E54B3"/>
    <w:rsid w:val="003E5780"/>
    <w:rsid w:val="003E5B9F"/>
    <w:rsid w:val="003E6049"/>
    <w:rsid w:val="003E6072"/>
    <w:rsid w:val="003E60D6"/>
    <w:rsid w:val="003E6AB6"/>
    <w:rsid w:val="003E6E0B"/>
    <w:rsid w:val="003E71CD"/>
    <w:rsid w:val="003E78DA"/>
    <w:rsid w:val="003E7A8B"/>
    <w:rsid w:val="003F02A2"/>
    <w:rsid w:val="003F051D"/>
    <w:rsid w:val="003F060E"/>
    <w:rsid w:val="003F0F7F"/>
    <w:rsid w:val="003F115C"/>
    <w:rsid w:val="003F153A"/>
    <w:rsid w:val="003F300D"/>
    <w:rsid w:val="003F391F"/>
    <w:rsid w:val="003F4599"/>
    <w:rsid w:val="003F45E1"/>
    <w:rsid w:val="003F4A61"/>
    <w:rsid w:val="003F4F6C"/>
    <w:rsid w:val="003F559E"/>
    <w:rsid w:val="003F6181"/>
    <w:rsid w:val="003F6BFC"/>
    <w:rsid w:val="003F7343"/>
    <w:rsid w:val="00400002"/>
    <w:rsid w:val="00400054"/>
    <w:rsid w:val="00400A1B"/>
    <w:rsid w:val="00400E06"/>
    <w:rsid w:val="00401533"/>
    <w:rsid w:val="004016A3"/>
    <w:rsid w:val="00401B31"/>
    <w:rsid w:val="0040202B"/>
    <w:rsid w:val="0040219D"/>
    <w:rsid w:val="00402ACD"/>
    <w:rsid w:val="00402DE1"/>
    <w:rsid w:val="00402EEB"/>
    <w:rsid w:val="00402FAF"/>
    <w:rsid w:val="004037C2"/>
    <w:rsid w:val="00404041"/>
    <w:rsid w:val="004040D4"/>
    <w:rsid w:val="00404B43"/>
    <w:rsid w:val="00404C61"/>
    <w:rsid w:val="004053EC"/>
    <w:rsid w:val="0040547B"/>
    <w:rsid w:val="00405487"/>
    <w:rsid w:val="00405B8A"/>
    <w:rsid w:val="0040602B"/>
    <w:rsid w:val="0040606C"/>
    <w:rsid w:val="004060DC"/>
    <w:rsid w:val="00406DF5"/>
    <w:rsid w:val="00406F35"/>
    <w:rsid w:val="00407325"/>
    <w:rsid w:val="004076A7"/>
    <w:rsid w:val="004077D0"/>
    <w:rsid w:val="00407937"/>
    <w:rsid w:val="00407A7A"/>
    <w:rsid w:val="00407ABC"/>
    <w:rsid w:val="00407F1E"/>
    <w:rsid w:val="00410A88"/>
    <w:rsid w:val="00410CC8"/>
    <w:rsid w:val="00411317"/>
    <w:rsid w:val="00411692"/>
    <w:rsid w:val="00411A9E"/>
    <w:rsid w:val="00412110"/>
    <w:rsid w:val="0041259F"/>
    <w:rsid w:val="00412B1B"/>
    <w:rsid w:val="00412B4D"/>
    <w:rsid w:val="00412C51"/>
    <w:rsid w:val="00413262"/>
    <w:rsid w:val="0041329C"/>
    <w:rsid w:val="004139F4"/>
    <w:rsid w:val="00413D35"/>
    <w:rsid w:val="00413FFA"/>
    <w:rsid w:val="00414246"/>
    <w:rsid w:val="0041463D"/>
    <w:rsid w:val="0041467D"/>
    <w:rsid w:val="00414D9A"/>
    <w:rsid w:val="00415194"/>
    <w:rsid w:val="00415816"/>
    <w:rsid w:val="00415B88"/>
    <w:rsid w:val="00415D32"/>
    <w:rsid w:val="004160A2"/>
    <w:rsid w:val="0041674B"/>
    <w:rsid w:val="004170D7"/>
    <w:rsid w:val="004177A6"/>
    <w:rsid w:val="00417C23"/>
    <w:rsid w:val="00417EFD"/>
    <w:rsid w:val="004200EE"/>
    <w:rsid w:val="00420547"/>
    <w:rsid w:val="00420786"/>
    <w:rsid w:val="004207F3"/>
    <w:rsid w:val="004209D2"/>
    <w:rsid w:val="00420BBA"/>
    <w:rsid w:val="00420D6E"/>
    <w:rsid w:val="00420F50"/>
    <w:rsid w:val="0042158C"/>
    <w:rsid w:val="00421617"/>
    <w:rsid w:val="004217A7"/>
    <w:rsid w:val="00421BD2"/>
    <w:rsid w:val="00421E00"/>
    <w:rsid w:val="00421FCB"/>
    <w:rsid w:val="0042226E"/>
    <w:rsid w:val="00422DCA"/>
    <w:rsid w:val="00423D04"/>
    <w:rsid w:val="00423F9F"/>
    <w:rsid w:val="004243B7"/>
    <w:rsid w:val="00425B2E"/>
    <w:rsid w:val="00425C43"/>
    <w:rsid w:val="00426CFB"/>
    <w:rsid w:val="004273FA"/>
    <w:rsid w:val="004275A7"/>
    <w:rsid w:val="0042773E"/>
    <w:rsid w:val="004278D8"/>
    <w:rsid w:val="00430186"/>
    <w:rsid w:val="00430D44"/>
    <w:rsid w:val="00430DD2"/>
    <w:rsid w:val="00430F17"/>
    <w:rsid w:val="00431CC7"/>
    <w:rsid w:val="00431F03"/>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3741B"/>
    <w:rsid w:val="00437506"/>
    <w:rsid w:val="00437AF3"/>
    <w:rsid w:val="00440096"/>
    <w:rsid w:val="004403DD"/>
    <w:rsid w:val="00440CF3"/>
    <w:rsid w:val="00440DB0"/>
    <w:rsid w:val="00440DDC"/>
    <w:rsid w:val="00440FAD"/>
    <w:rsid w:val="0044106A"/>
    <w:rsid w:val="00441291"/>
    <w:rsid w:val="00441E04"/>
    <w:rsid w:val="004420AB"/>
    <w:rsid w:val="004422D6"/>
    <w:rsid w:val="004427AC"/>
    <w:rsid w:val="00442C7D"/>
    <w:rsid w:val="00442D13"/>
    <w:rsid w:val="00442D4D"/>
    <w:rsid w:val="00443259"/>
    <w:rsid w:val="0044361F"/>
    <w:rsid w:val="0044374D"/>
    <w:rsid w:val="00443B55"/>
    <w:rsid w:val="00443D27"/>
    <w:rsid w:val="00444D7D"/>
    <w:rsid w:val="0044500B"/>
    <w:rsid w:val="004451C5"/>
    <w:rsid w:val="00446037"/>
    <w:rsid w:val="00446270"/>
    <w:rsid w:val="0044642F"/>
    <w:rsid w:val="004466BA"/>
    <w:rsid w:val="00446709"/>
    <w:rsid w:val="00446922"/>
    <w:rsid w:val="0044772C"/>
    <w:rsid w:val="00450846"/>
    <w:rsid w:val="004518B0"/>
    <w:rsid w:val="00451A52"/>
    <w:rsid w:val="0045271D"/>
    <w:rsid w:val="00452755"/>
    <w:rsid w:val="00452803"/>
    <w:rsid w:val="004529C6"/>
    <w:rsid w:val="00452A7C"/>
    <w:rsid w:val="00452EAD"/>
    <w:rsid w:val="004533D1"/>
    <w:rsid w:val="004534D1"/>
    <w:rsid w:val="004540B8"/>
    <w:rsid w:val="00454548"/>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0B4F"/>
    <w:rsid w:val="004614A9"/>
    <w:rsid w:val="00461E97"/>
    <w:rsid w:val="004622A6"/>
    <w:rsid w:val="0046268F"/>
    <w:rsid w:val="0046284F"/>
    <w:rsid w:val="00462B10"/>
    <w:rsid w:val="00462C04"/>
    <w:rsid w:val="0046320A"/>
    <w:rsid w:val="00463347"/>
    <w:rsid w:val="004633EC"/>
    <w:rsid w:val="004636CC"/>
    <w:rsid w:val="004638E2"/>
    <w:rsid w:val="00463B3C"/>
    <w:rsid w:val="00464030"/>
    <w:rsid w:val="004647F8"/>
    <w:rsid w:val="004647FB"/>
    <w:rsid w:val="00465347"/>
    <w:rsid w:val="00465677"/>
    <w:rsid w:val="00465F67"/>
    <w:rsid w:val="00466616"/>
    <w:rsid w:val="00466A0C"/>
    <w:rsid w:val="00466A53"/>
    <w:rsid w:val="00466C74"/>
    <w:rsid w:val="00467E2F"/>
    <w:rsid w:val="0047072B"/>
    <w:rsid w:val="00470A6A"/>
    <w:rsid w:val="00470D73"/>
    <w:rsid w:val="00470D92"/>
    <w:rsid w:val="00471DF7"/>
    <w:rsid w:val="00472512"/>
    <w:rsid w:val="004727B1"/>
    <w:rsid w:val="004734CF"/>
    <w:rsid w:val="00473F33"/>
    <w:rsid w:val="0047480D"/>
    <w:rsid w:val="0047586C"/>
    <w:rsid w:val="00475C5A"/>
    <w:rsid w:val="00475C9C"/>
    <w:rsid w:val="0047676B"/>
    <w:rsid w:val="00476D6A"/>
    <w:rsid w:val="004774C3"/>
    <w:rsid w:val="0047773C"/>
    <w:rsid w:val="00477C5F"/>
    <w:rsid w:val="00480050"/>
    <w:rsid w:val="0048011C"/>
    <w:rsid w:val="004808DE"/>
    <w:rsid w:val="00480F9A"/>
    <w:rsid w:val="00481912"/>
    <w:rsid w:val="00481AC4"/>
    <w:rsid w:val="00481DC1"/>
    <w:rsid w:val="00482157"/>
    <w:rsid w:val="00482507"/>
    <w:rsid w:val="0048268A"/>
    <w:rsid w:val="00482A64"/>
    <w:rsid w:val="004835CA"/>
    <w:rsid w:val="004836F8"/>
    <w:rsid w:val="004836FE"/>
    <w:rsid w:val="0048478C"/>
    <w:rsid w:val="00484A39"/>
    <w:rsid w:val="00484F0F"/>
    <w:rsid w:val="00484F40"/>
    <w:rsid w:val="0048540C"/>
    <w:rsid w:val="00485E3F"/>
    <w:rsid w:val="004861B4"/>
    <w:rsid w:val="00486226"/>
    <w:rsid w:val="004862CD"/>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1C74"/>
    <w:rsid w:val="0049241A"/>
    <w:rsid w:val="00492844"/>
    <w:rsid w:val="00492C1F"/>
    <w:rsid w:val="00492E4C"/>
    <w:rsid w:val="00493664"/>
    <w:rsid w:val="00493870"/>
    <w:rsid w:val="004938FD"/>
    <w:rsid w:val="00493E04"/>
    <w:rsid w:val="004940E3"/>
    <w:rsid w:val="004941CD"/>
    <w:rsid w:val="0049530F"/>
    <w:rsid w:val="004954AB"/>
    <w:rsid w:val="00495553"/>
    <w:rsid w:val="00496664"/>
    <w:rsid w:val="00496786"/>
    <w:rsid w:val="0049695B"/>
    <w:rsid w:val="00496AC4"/>
    <w:rsid w:val="00496D8F"/>
    <w:rsid w:val="00497463"/>
    <w:rsid w:val="00497CED"/>
    <w:rsid w:val="004A054C"/>
    <w:rsid w:val="004A0834"/>
    <w:rsid w:val="004A08D1"/>
    <w:rsid w:val="004A0FA9"/>
    <w:rsid w:val="004A10A0"/>
    <w:rsid w:val="004A16C1"/>
    <w:rsid w:val="004A1CE2"/>
    <w:rsid w:val="004A1D75"/>
    <w:rsid w:val="004A34D2"/>
    <w:rsid w:val="004A4301"/>
    <w:rsid w:val="004A4D93"/>
    <w:rsid w:val="004A546E"/>
    <w:rsid w:val="004A58EE"/>
    <w:rsid w:val="004A59B7"/>
    <w:rsid w:val="004A6051"/>
    <w:rsid w:val="004A623B"/>
    <w:rsid w:val="004A6A04"/>
    <w:rsid w:val="004A6A52"/>
    <w:rsid w:val="004B0A44"/>
    <w:rsid w:val="004B0F0B"/>
    <w:rsid w:val="004B205A"/>
    <w:rsid w:val="004B2197"/>
    <w:rsid w:val="004B25D8"/>
    <w:rsid w:val="004B298A"/>
    <w:rsid w:val="004B2BB8"/>
    <w:rsid w:val="004B2F47"/>
    <w:rsid w:val="004B3152"/>
    <w:rsid w:val="004B50CB"/>
    <w:rsid w:val="004B578D"/>
    <w:rsid w:val="004B5BE7"/>
    <w:rsid w:val="004B5E2D"/>
    <w:rsid w:val="004B65D9"/>
    <w:rsid w:val="004B6C07"/>
    <w:rsid w:val="004B74D3"/>
    <w:rsid w:val="004B755E"/>
    <w:rsid w:val="004B788E"/>
    <w:rsid w:val="004B7E5D"/>
    <w:rsid w:val="004C0947"/>
    <w:rsid w:val="004C0BF9"/>
    <w:rsid w:val="004C1198"/>
    <w:rsid w:val="004C22F7"/>
    <w:rsid w:val="004C234B"/>
    <w:rsid w:val="004C2B27"/>
    <w:rsid w:val="004C3929"/>
    <w:rsid w:val="004C4160"/>
    <w:rsid w:val="004C5212"/>
    <w:rsid w:val="004C5EF0"/>
    <w:rsid w:val="004C64C9"/>
    <w:rsid w:val="004C7226"/>
    <w:rsid w:val="004C74BD"/>
    <w:rsid w:val="004C74C9"/>
    <w:rsid w:val="004C764F"/>
    <w:rsid w:val="004C7915"/>
    <w:rsid w:val="004C7D70"/>
    <w:rsid w:val="004D02F9"/>
    <w:rsid w:val="004D03FE"/>
    <w:rsid w:val="004D0446"/>
    <w:rsid w:val="004D06A3"/>
    <w:rsid w:val="004D0F95"/>
    <w:rsid w:val="004D106A"/>
    <w:rsid w:val="004D15C7"/>
    <w:rsid w:val="004D1653"/>
    <w:rsid w:val="004D1C7E"/>
    <w:rsid w:val="004D245A"/>
    <w:rsid w:val="004D29D2"/>
    <w:rsid w:val="004D31EE"/>
    <w:rsid w:val="004D36AF"/>
    <w:rsid w:val="004D3BD1"/>
    <w:rsid w:val="004D3C52"/>
    <w:rsid w:val="004D4BA1"/>
    <w:rsid w:val="004D584D"/>
    <w:rsid w:val="004D5A7E"/>
    <w:rsid w:val="004D5E72"/>
    <w:rsid w:val="004D6120"/>
    <w:rsid w:val="004D6826"/>
    <w:rsid w:val="004D7497"/>
    <w:rsid w:val="004D7F7A"/>
    <w:rsid w:val="004E023F"/>
    <w:rsid w:val="004E0546"/>
    <w:rsid w:val="004E0556"/>
    <w:rsid w:val="004E0742"/>
    <w:rsid w:val="004E0C64"/>
    <w:rsid w:val="004E0F6B"/>
    <w:rsid w:val="004E1545"/>
    <w:rsid w:val="004E1F1C"/>
    <w:rsid w:val="004E2A35"/>
    <w:rsid w:val="004E2CCF"/>
    <w:rsid w:val="004E3B71"/>
    <w:rsid w:val="004E40CE"/>
    <w:rsid w:val="004E5736"/>
    <w:rsid w:val="004E5A3C"/>
    <w:rsid w:val="004E5B36"/>
    <w:rsid w:val="004E5D5D"/>
    <w:rsid w:val="004E6045"/>
    <w:rsid w:val="004E6F43"/>
    <w:rsid w:val="004E71B7"/>
    <w:rsid w:val="004E7200"/>
    <w:rsid w:val="004E7729"/>
    <w:rsid w:val="004E787E"/>
    <w:rsid w:val="004E7AA1"/>
    <w:rsid w:val="004F0805"/>
    <w:rsid w:val="004F0960"/>
    <w:rsid w:val="004F0A5C"/>
    <w:rsid w:val="004F1596"/>
    <w:rsid w:val="004F163F"/>
    <w:rsid w:val="004F18A0"/>
    <w:rsid w:val="004F1A08"/>
    <w:rsid w:val="004F2364"/>
    <w:rsid w:val="004F2B64"/>
    <w:rsid w:val="004F2C6F"/>
    <w:rsid w:val="004F31B8"/>
    <w:rsid w:val="004F375E"/>
    <w:rsid w:val="004F3764"/>
    <w:rsid w:val="004F3EEF"/>
    <w:rsid w:val="004F44D8"/>
    <w:rsid w:val="004F5180"/>
    <w:rsid w:val="004F57C9"/>
    <w:rsid w:val="004F5930"/>
    <w:rsid w:val="004F5970"/>
    <w:rsid w:val="004F5F0C"/>
    <w:rsid w:val="004F6121"/>
    <w:rsid w:val="004F6161"/>
    <w:rsid w:val="004F66BC"/>
    <w:rsid w:val="004F6C26"/>
    <w:rsid w:val="004F7AC9"/>
    <w:rsid w:val="004F7E04"/>
    <w:rsid w:val="0050062F"/>
    <w:rsid w:val="00500E74"/>
    <w:rsid w:val="0050160F"/>
    <w:rsid w:val="0050284E"/>
    <w:rsid w:val="0050306F"/>
    <w:rsid w:val="00503534"/>
    <w:rsid w:val="00503A17"/>
    <w:rsid w:val="005042E8"/>
    <w:rsid w:val="0050459C"/>
    <w:rsid w:val="00505892"/>
    <w:rsid w:val="00505DCB"/>
    <w:rsid w:val="0050674C"/>
    <w:rsid w:val="00507066"/>
    <w:rsid w:val="005075CA"/>
    <w:rsid w:val="00507B06"/>
    <w:rsid w:val="00507BF1"/>
    <w:rsid w:val="0051074C"/>
    <w:rsid w:val="005107E3"/>
    <w:rsid w:val="00510DE9"/>
    <w:rsid w:val="005111E2"/>
    <w:rsid w:val="00511231"/>
    <w:rsid w:val="00511368"/>
    <w:rsid w:val="00511430"/>
    <w:rsid w:val="005115FD"/>
    <w:rsid w:val="00511741"/>
    <w:rsid w:val="00512BC0"/>
    <w:rsid w:val="00512C4F"/>
    <w:rsid w:val="00513042"/>
    <w:rsid w:val="00513240"/>
    <w:rsid w:val="0051334F"/>
    <w:rsid w:val="00513399"/>
    <w:rsid w:val="00513795"/>
    <w:rsid w:val="00513AF2"/>
    <w:rsid w:val="00514575"/>
    <w:rsid w:val="00514579"/>
    <w:rsid w:val="00514C03"/>
    <w:rsid w:val="00514D67"/>
    <w:rsid w:val="00514F2F"/>
    <w:rsid w:val="0051522A"/>
    <w:rsid w:val="00515515"/>
    <w:rsid w:val="0051635C"/>
    <w:rsid w:val="00516C5B"/>
    <w:rsid w:val="00517612"/>
    <w:rsid w:val="00517CFB"/>
    <w:rsid w:val="00517F85"/>
    <w:rsid w:val="0052002F"/>
    <w:rsid w:val="00520235"/>
    <w:rsid w:val="00520340"/>
    <w:rsid w:val="00520899"/>
    <w:rsid w:val="00520922"/>
    <w:rsid w:val="005209FC"/>
    <w:rsid w:val="00520C09"/>
    <w:rsid w:val="00520EC1"/>
    <w:rsid w:val="00521292"/>
    <w:rsid w:val="00521A30"/>
    <w:rsid w:val="00521D7C"/>
    <w:rsid w:val="00521EA7"/>
    <w:rsid w:val="005224E5"/>
    <w:rsid w:val="00522759"/>
    <w:rsid w:val="0052311A"/>
    <w:rsid w:val="00523854"/>
    <w:rsid w:val="00523903"/>
    <w:rsid w:val="005239B6"/>
    <w:rsid w:val="00523C45"/>
    <w:rsid w:val="00523F41"/>
    <w:rsid w:val="00524165"/>
    <w:rsid w:val="005244FC"/>
    <w:rsid w:val="005246E7"/>
    <w:rsid w:val="00524B08"/>
    <w:rsid w:val="00524C38"/>
    <w:rsid w:val="00524FD2"/>
    <w:rsid w:val="005255D6"/>
    <w:rsid w:val="00525621"/>
    <w:rsid w:val="00526431"/>
    <w:rsid w:val="00527440"/>
    <w:rsid w:val="00527532"/>
    <w:rsid w:val="005279B9"/>
    <w:rsid w:val="00527DEB"/>
    <w:rsid w:val="00527E57"/>
    <w:rsid w:val="00527F2C"/>
    <w:rsid w:val="00530405"/>
    <w:rsid w:val="00530458"/>
    <w:rsid w:val="00530522"/>
    <w:rsid w:val="005305E5"/>
    <w:rsid w:val="0053086F"/>
    <w:rsid w:val="00530CBA"/>
    <w:rsid w:val="00530F38"/>
    <w:rsid w:val="00531F26"/>
    <w:rsid w:val="00531F75"/>
    <w:rsid w:val="00532501"/>
    <w:rsid w:val="0053277C"/>
    <w:rsid w:val="005327C0"/>
    <w:rsid w:val="00533101"/>
    <w:rsid w:val="00533750"/>
    <w:rsid w:val="00533CA9"/>
    <w:rsid w:val="005346AD"/>
    <w:rsid w:val="00534EFB"/>
    <w:rsid w:val="00534F60"/>
    <w:rsid w:val="0053524B"/>
    <w:rsid w:val="005357F1"/>
    <w:rsid w:val="005357FA"/>
    <w:rsid w:val="00535C73"/>
    <w:rsid w:val="00535D15"/>
    <w:rsid w:val="00536053"/>
    <w:rsid w:val="005363C6"/>
    <w:rsid w:val="005367B6"/>
    <w:rsid w:val="005369E6"/>
    <w:rsid w:val="005371AC"/>
    <w:rsid w:val="00537672"/>
    <w:rsid w:val="005376B5"/>
    <w:rsid w:val="0053772F"/>
    <w:rsid w:val="00537A70"/>
    <w:rsid w:val="00537B64"/>
    <w:rsid w:val="00537B77"/>
    <w:rsid w:val="00540048"/>
    <w:rsid w:val="00540C4C"/>
    <w:rsid w:val="00541469"/>
    <w:rsid w:val="00541571"/>
    <w:rsid w:val="005416CA"/>
    <w:rsid w:val="005419DA"/>
    <w:rsid w:val="00541B1F"/>
    <w:rsid w:val="0054275A"/>
    <w:rsid w:val="005428B8"/>
    <w:rsid w:val="005428BE"/>
    <w:rsid w:val="00542BD7"/>
    <w:rsid w:val="00543084"/>
    <w:rsid w:val="00543584"/>
    <w:rsid w:val="00543A9E"/>
    <w:rsid w:val="0054413A"/>
    <w:rsid w:val="00544288"/>
    <w:rsid w:val="005446BB"/>
    <w:rsid w:val="00544DA5"/>
    <w:rsid w:val="00544F43"/>
    <w:rsid w:val="00545997"/>
    <w:rsid w:val="00545E30"/>
    <w:rsid w:val="00545EA3"/>
    <w:rsid w:val="00546C9B"/>
    <w:rsid w:val="00547378"/>
    <w:rsid w:val="005474DA"/>
    <w:rsid w:val="00547778"/>
    <w:rsid w:val="00547BF6"/>
    <w:rsid w:val="00547FB3"/>
    <w:rsid w:val="005502B3"/>
    <w:rsid w:val="00551098"/>
    <w:rsid w:val="00551598"/>
    <w:rsid w:val="0055162B"/>
    <w:rsid w:val="00551A56"/>
    <w:rsid w:val="00551B40"/>
    <w:rsid w:val="00551BFF"/>
    <w:rsid w:val="00551D68"/>
    <w:rsid w:val="00551DFF"/>
    <w:rsid w:val="005525C9"/>
    <w:rsid w:val="00552B3E"/>
    <w:rsid w:val="00553A23"/>
    <w:rsid w:val="00554578"/>
    <w:rsid w:val="00554B00"/>
    <w:rsid w:val="00554D57"/>
    <w:rsid w:val="00554D6E"/>
    <w:rsid w:val="005551AA"/>
    <w:rsid w:val="00555239"/>
    <w:rsid w:val="005557FA"/>
    <w:rsid w:val="00555BCE"/>
    <w:rsid w:val="005561D8"/>
    <w:rsid w:val="005564CA"/>
    <w:rsid w:val="005568BD"/>
    <w:rsid w:val="005568EA"/>
    <w:rsid w:val="00557140"/>
    <w:rsid w:val="0055715A"/>
    <w:rsid w:val="0055729E"/>
    <w:rsid w:val="00557968"/>
    <w:rsid w:val="00557984"/>
    <w:rsid w:val="00557A3F"/>
    <w:rsid w:val="00560BC1"/>
    <w:rsid w:val="00560C87"/>
    <w:rsid w:val="00560F51"/>
    <w:rsid w:val="00561249"/>
    <w:rsid w:val="0056182B"/>
    <w:rsid w:val="00561A88"/>
    <w:rsid w:val="00561AF3"/>
    <w:rsid w:val="00561E0B"/>
    <w:rsid w:val="00562141"/>
    <w:rsid w:val="00562D86"/>
    <w:rsid w:val="00563161"/>
    <w:rsid w:val="005640CA"/>
    <w:rsid w:val="00564704"/>
    <w:rsid w:val="00564712"/>
    <w:rsid w:val="0056510A"/>
    <w:rsid w:val="005651C7"/>
    <w:rsid w:val="005657A8"/>
    <w:rsid w:val="00565952"/>
    <w:rsid w:val="00566866"/>
    <w:rsid w:val="005670A5"/>
    <w:rsid w:val="00567285"/>
    <w:rsid w:val="00567723"/>
    <w:rsid w:val="0056772D"/>
    <w:rsid w:val="005678F5"/>
    <w:rsid w:val="00567AB8"/>
    <w:rsid w:val="00570A26"/>
    <w:rsid w:val="00570CFD"/>
    <w:rsid w:val="0057104B"/>
    <w:rsid w:val="0057179E"/>
    <w:rsid w:val="00571872"/>
    <w:rsid w:val="0057221F"/>
    <w:rsid w:val="00572421"/>
    <w:rsid w:val="00572539"/>
    <w:rsid w:val="00572959"/>
    <w:rsid w:val="00572AEA"/>
    <w:rsid w:val="00573355"/>
    <w:rsid w:val="0057337D"/>
    <w:rsid w:val="00573504"/>
    <w:rsid w:val="0057355F"/>
    <w:rsid w:val="005737DA"/>
    <w:rsid w:val="00573BA3"/>
    <w:rsid w:val="00574708"/>
    <w:rsid w:val="00574D81"/>
    <w:rsid w:val="005756AA"/>
    <w:rsid w:val="00576186"/>
    <w:rsid w:val="0057696F"/>
    <w:rsid w:val="00576C8A"/>
    <w:rsid w:val="00576D0E"/>
    <w:rsid w:val="005774FE"/>
    <w:rsid w:val="0058040C"/>
    <w:rsid w:val="00580D6D"/>
    <w:rsid w:val="00580FD8"/>
    <w:rsid w:val="005813DE"/>
    <w:rsid w:val="00581796"/>
    <w:rsid w:val="0058195C"/>
    <w:rsid w:val="00581B45"/>
    <w:rsid w:val="00581FDB"/>
    <w:rsid w:val="00582361"/>
    <w:rsid w:val="00582480"/>
    <w:rsid w:val="005826A5"/>
    <w:rsid w:val="00582805"/>
    <w:rsid w:val="0058290E"/>
    <w:rsid w:val="00582CAB"/>
    <w:rsid w:val="00582DCD"/>
    <w:rsid w:val="00582FA6"/>
    <w:rsid w:val="005836D5"/>
    <w:rsid w:val="0058375E"/>
    <w:rsid w:val="0058394B"/>
    <w:rsid w:val="00584233"/>
    <w:rsid w:val="005842D0"/>
    <w:rsid w:val="005845FB"/>
    <w:rsid w:val="005855AE"/>
    <w:rsid w:val="00585829"/>
    <w:rsid w:val="00585CA8"/>
    <w:rsid w:val="00585E80"/>
    <w:rsid w:val="00586412"/>
    <w:rsid w:val="005864B9"/>
    <w:rsid w:val="00586564"/>
    <w:rsid w:val="005866C4"/>
    <w:rsid w:val="00590F1A"/>
    <w:rsid w:val="00591C03"/>
    <w:rsid w:val="00591E2A"/>
    <w:rsid w:val="005923C4"/>
    <w:rsid w:val="0059397D"/>
    <w:rsid w:val="00593EA2"/>
    <w:rsid w:val="00593F75"/>
    <w:rsid w:val="005940A0"/>
    <w:rsid w:val="0059429A"/>
    <w:rsid w:val="005945A4"/>
    <w:rsid w:val="00594CBE"/>
    <w:rsid w:val="00594FDC"/>
    <w:rsid w:val="00595197"/>
    <w:rsid w:val="00595561"/>
    <w:rsid w:val="00596AF7"/>
    <w:rsid w:val="00596CCE"/>
    <w:rsid w:val="00597516"/>
    <w:rsid w:val="005A13F5"/>
    <w:rsid w:val="005A1976"/>
    <w:rsid w:val="005A1F51"/>
    <w:rsid w:val="005A2120"/>
    <w:rsid w:val="005A2130"/>
    <w:rsid w:val="005A2501"/>
    <w:rsid w:val="005A277A"/>
    <w:rsid w:val="005A2C80"/>
    <w:rsid w:val="005A3066"/>
    <w:rsid w:val="005A3B35"/>
    <w:rsid w:val="005A3C4B"/>
    <w:rsid w:val="005A3E5A"/>
    <w:rsid w:val="005A43F3"/>
    <w:rsid w:val="005A496F"/>
    <w:rsid w:val="005A4A56"/>
    <w:rsid w:val="005A5608"/>
    <w:rsid w:val="005A5A3D"/>
    <w:rsid w:val="005A6035"/>
    <w:rsid w:val="005A6886"/>
    <w:rsid w:val="005A6B75"/>
    <w:rsid w:val="005A6E00"/>
    <w:rsid w:val="005A718A"/>
    <w:rsid w:val="005A72DD"/>
    <w:rsid w:val="005A7885"/>
    <w:rsid w:val="005B12B2"/>
    <w:rsid w:val="005B143B"/>
    <w:rsid w:val="005B19BD"/>
    <w:rsid w:val="005B1E45"/>
    <w:rsid w:val="005B21C4"/>
    <w:rsid w:val="005B2A28"/>
    <w:rsid w:val="005B2C7D"/>
    <w:rsid w:val="005B35AB"/>
    <w:rsid w:val="005B3621"/>
    <w:rsid w:val="005B3A88"/>
    <w:rsid w:val="005B3EBE"/>
    <w:rsid w:val="005B4948"/>
    <w:rsid w:val="005B501D"/>
    <w:rsid w:val="005B52B0"/>
    <w:rsid w:val="005B54CC"/>
    <w:rsid w:val="005B61AD"/>
    <w:rsid w:val="005B6C2A"/>
    <w:rsid w:val="005B71BB"/>
    <w:rsid w:val="005B741C"/>
    <w:rsid w:val="005B74AD"/>
    <w:rsid w:val="005B76B3"/>
    <w:rsid w:val="005B7E96"/>
    <w:rsid w:val="005C0429"/>
    <w:rsid w:val="005C06A5"/>
    <w:rsid w:val="005C084F"/>
    <w:rsid w:val="005C0EE9"/>
    <w:rsid w:val="005C169F"/>
    <w:rsid w:val="005C16A8"/>
    <w:rsid w:val="005C1716"/>
    <w:rsid w:val="005C1954"/>
    <w:rsid w:val="005C1C0B"/>
    <w:rsid w:val="005C2011"/>
    <w:rsid w:val="005C3EA3"/>
    <w:rsid w:val="005C44DE"/>
    <w:rsid w:val="005C5011"/>
    <w:rsid w:val="005C506F"/>
    <w:rsid w:val="005C514F"/>
    <w:rsid w:val="005C5241"/>
    <w:rsid w:val="005C529E"/>
    <w:rsid w:val="005C57BA"/>
    <w:rsid w:val="005C5C52"/>
    <w:rsid w:val="005C5D3D"/>
    <w:rsid w:val="005C5F05"/>
    <w:rsid w:val="005C6186"/>
    <w:rsid w:val="005C6397"/>
    <w:rsid w:val="005C64D6"/>
    <w:rsid w:val="005C6CF7"/>
    <w:rsid w:val="005C6D19"/>
    <w:rsid w:val="005C721D"/>
    <w:rsid w:val="005C7E45"/>
    <w:rsid w:val="005C7F3E"/>
    <w:rsid w:val="005D06D3"/>
    <w:rsid w:val="005D0C3B"/>
    <w:rsid w:val="005D0C87"/>
    <w:rsid w:val="005D103E"/>
    <w:rsid w:val="005D1051"/>
    <w:rsid w:val="005D1606"/>
    <w:rsid w:val="005D170F"/>
    <w:rsid w:val="005D1C70"/>
    <w:rsid w:val="005D1D10"/>
    <w:rsid w:val="005D2044"/>
    <w:rsid w:val="005D209E"/>
    <w:rsid w:val="005D2917"/>
    <w:rsid w:val="005D2EB2"/>
    <w:rsid w:val="005D2F48"/>
    <w:rsid w:val="005D30AE"/>
    <w:rsid w:val="005D33C2"/>
    <w:rsid w:val="005D3B32"/>
    <w:rsid w:val="005D3E5C"/>
    <w:rsid w:val="005D464B"/>
    <w:rsid w:val="005D466F"/>
    <w:rsid w:val="005D49F0"/>
    <w:rsid w:val="005D51F7"/>
    <w:rsid w:val="005D51FA"/>
    <w:rsid w:val="005D53E8"/>
    <w:rsid w:val="005D5A9D"/>
    <w:rsid w:val="005D5D15"/>
    <w:rsid w:val="005D6651"/>
    <w:rsid w:val="005D691D"/>
    <w:rsid w:val="005D6A72"/>
    <w:rsid w:val="005D6F38"/>
    <w:rsid w:val="005D7452"/>
    <w:rsid w:val="005D791B"/>
    <w:rsid w:val="005D7CF2"/>
    <w:rsid w:val="005D7F92"/>
    <w:rsid w:val="005E003C"/>
    <w:rsid w:val="005E04C5"/>
    <w:rsid w:val="005E062C"/>
    <w:rsid w:val="005E0D7B"/>
    <w:rsid w:val="005E1595"/>
    <w:rsid w:val="005E1F1D"/>
    <w:rsid w:val="005E2694"/>
    <w:rsid w:val="005E273D"/>
    <w:rsid w:val="005E3278"/>
    <w:rsid w:val="005E363B"/>
    <w:rsid w:val="005E3736"/>
    <w:rsid w:val="005E4B72"/>
    <w:rsid w:val="005E52C9"/>
    <w:rsid w:val="005E6342"/>
    <w:rsid w:val="005E665F"/>
    <w:rsid w:val="005E717E"/>
    <w:rsid w:val="005E781C"/>
    <w:rsid w:val="005F0B10"/>
    <w:rsid w:val="005F2D8B"/>
    <w:rsid w:val="005F305B"/>
    <w:rsid w:val="005F3361"/>
    <w:rsid w:val="005F361A"/>
    <w:rsid w:val="005F370A"/>
    <w:rsid w:val="005F3B47"/>
    <w:rsid w:val="005F3E43"/>
    <w:rsid w:val="005F4481"/>
    <w:rsid w:val="005F467E"/>
    <w:rsid w:val="005F47AC"/>
    <w:rsid w:val="005F49AF"/>
    <w:rsid w:val="005F4A58"/>
    <w:rsid w:val="005F54DF"/>
    <w:rsid w:val="005F5888"/>
    <w:rsid w:val="005F5935"/>
    <w:rsid w:val="005F5984"/>
    <w:rsid w:val="005F5EAB"/>
    <w:rsid w:val="005F6CE2"/>
    <w:rsid w:val="005F6EC8"/>
    <w:rsid w:val="005F6F24"/>
    <w:rsid w:val="005F7112"/>
    <w:rsid w:val="005F72E9"/>
    <w:rsid w:val="005F780B"/>
    <w:rsid w:val="005F7DE2"/>
    <w:rsid w:val="0060009C"/>
    <w:rsid w:val="00600473"/>
    <w:rsid w:val="00600516"/>
    <w:rsid w:val="00601055"/>
    <w:rsid w:val="0060139A"/>
    <w:rsid w:val="006013C9"/>
    <w:rsid w:val="00601624"/>
    <w:rsid w:val="00601A39"/>
    <w:rsid w:val="00602931"/>
    <w:rsid w:val="00602B45"/>
    <w:rsid w:val="00603499"/>
    <w:rsid w:val="006035F5"/>
    <w:rsid w:val="00603CC2"/>
    <w:rsid w:val="00604622"/>
    <w:rsid w:val="006047D1"/>
    <w:rsid w:val="006048A4"/>
    <w:rsid w:val="00604A55"/>
    <w:rsid w:val="00604D4E"/>
    <w:rsid w:val="00604E3E"/>
    <w:rsid w:val="00605AC3"/>
    <w:rsid w:val="00606908"/>
    <w:rsid w:val="0060691B"/>
    <w:rsid w:val="00607860"/>
    <w:rsid w:val="00607996"/>
    <w:rsid w:val="00607A37"/>
    <w:rsid w:val="00607E9F"/>
    <w:rsid w:val="0061085E"/>
    <w:rsid w:val="00610B91"/>
    <w:rsid w:val="006112A7"/>
    <w:rsid w:val="00611398"/>
    <w:rsid w:val="006113B4"/>
    <w:rsid w:val="0061186D"/>
    <w:rsid w:val="00612322"/>
    <w:rsid w:val="006123C0"/>
    <w:rsid w:val="006129AB"/>
    <w:rsid w:val="006129AF"/>
    <w:rsid w:val="00613191"/>
    <w:rsid w:val="006133F9"/>
    <w:rsid w:val="006134B3"/>
    <w:rsid w:val="00613DE1"/>
    <w:rsid w:val="0061401F"/>
    <w:rsid w:val="00614166"/>
    <w:rsid w:val="00614817"/>
    <w:rsid w:val="006149CC"/>
    <w:rsid w:val="0061512C"/>
    <w:rsid w:val="006154A6"/>
    <w:rsid w:val="006157A9"/>
    <w:rsid w:val="0061591D"/>
    <w:rsid w:val="00615ED0"/>
    <w:rsid w:val="0061604C"/>
    <w:rsid w:val="00616C2B"/>
    <w:rsid w:val="00616D7F"/>
    <w:rsid w:val="006178D1"/>
    <w:rsid w:val="00617A92"/>
    <w:rsid w:val="00620719"/>
    <w:rsid w:val="006212C9"/>
    <w:rsid w:val="0062131B"/>
    <w:rsid w:val="00621D0C"/>
    <w:rsid w:val="00622229"/>
    <w:rsid w:val="00622470"/>
    <w:rsid w:val="0062267E"/>
    <w:rsid w:val="00622725"/>
    <w:rsid w:val="00622785"/>
    <w:rsid w:val="0062293F"/>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91"/>
    <w:rsid w:val="00631BB5"/>
    <w:rsid w:val="00631DD0"/>
    <w:rsid w:val="0063247E"/>
    <w:rsid w:val="00632CE0"/>
    <w:rsid w:val="006333F8"/>
    <w:rsid w:val="00633833"/>
    <w:rsid w:val="00633A17"/>
    <w:rsid w:val="00633DBF"/>
    <w:rsid w:val="00634122"/>
    <w:rsid w:val="0063444B"/>
    <w:rsid w:val="00634BEF"/>
    <w:rsid w:val="00635E32"/>
    <w:rsid w:val="006360FC"/>
    <w:rsid w:val="006361C9"/>
    <w:rsid w:val="00636405"/>
    <w:rsid w:val="006365DE"/>
    <w:rsid w:val="00636BE4"/>
    <w:rsid w:val="00636C0C"/>
    <w:rsid w:val="00636F88"/>
    <w:rsid w:val="0063732C"/>
    <w:rsid w:val="00637802"/>
    <w:rsid w:val="00637836"/>
    <w:rsid w:val="00637C26"/>
    <w:rsid w:val="00637F44"/>
    <w:rsid w:val="00640680"/>
    <w:rsid w:val="006407A5"/>
    <w:rsid w:val="00641078"/>
    <w:rsid w:val="00641242"/>
    <w:rsid w:val="00641761"/>
    <w:rsid w:val="00641899"/>
    <w:rsid w:val="00641B12"/>
    <w:rsid w:val="00642126"/>
    <w:rsid w:val="006429C0"/>
    <w:rsid w:val="00642A32"/>
    <w:rsid w:val="00642B8E"/>
    <w:rsid w:val="00642D9F"/>
    <w:rsid w:val="00642F7C"/>
    <w:rsid w:val="00642FC5"/>
    <w:rsid w:val="006433D5"/>
    <w:rsid w:val="00643412"/>
    <w:rsid w:val="00643CF5"/>
    <w:rsid w:val="00644E8F"/>
    <w:rsid w:val="0064583E"/>
    <w:rsid w:val="00645844"/>
    <w:rsid w:val="00645CEB"/>
    <w:rsid w:val="00645E63"/>
    <w:rsid w:val="0064673C"/>
    <w:rsid w:val="00646B20"/>
    <w:rsid w:val="00646D0F"/>
    <w:rsid w:val="00647A36"/>
    <w:rsid w:val="00647DCC"/>
    <w:rsid w:val="00647E8E"/>
    <w:rsid w:val="00647EFA"/>
    <w:rsid w:val="00647F14"/>
    <w:rsid w:val="00650027"/>
    <w:rsid w:val="00650E89"/>
    <w:rsid w:val="006516E6"/>
    <w:rsid w:val="00651B9C"/>
    <w:rsid w:val="00651C47"/>
    <w:rsid w:val="00652483"/>
    <w:rsid w:val="00652E70"/>
    <w:rsid w:val="00652E9C"/>
    <w:rsid w:val="0065339A"/>
    <w:rsid w:val="00653469"/>
    <w:rsid w:val="0065443A"/>
    <w:rsid w:val="00654A38"/>
    <w:rsid w:val="00655301"/>
    <w:rsid w:val="00655371"/>
    <w:rsid w:val="00655507"/>
    <w:rsid w:val="006564A5"/>
    <w:rsid w:val="00656C4B"/>
    <w:rsid w:val="006572A7"/>
    <w:rsid w:val="006573EA"/>
    <w:rsid w:val="006577C9"/>
    <w:rsid w:val="006606A4"/>
    <w:rsid w:val="00660B18"/>
    <w:rsid w:val="00660B1A"/>
    <w:rsid w:val="00661029"/>
    <w:rsid w:val="006610C3"/>
    <w:rsid w:val="0066135A"/>
    <w:rsid w:val="00661A38"/>
    <w:rsid w:val="0066272D"/>
    <w:rsid w:val="00662E58"/>
    <w:rsid w:val="00662F39"/>
    <w:rsid w:val="0066352A"/>
    <w:rsid w:val="006635A0"/>
    <w:rsid w:val="00663D26"/>
    <w:rsid w:val="00664351"/>
    <w:rsid w:val="00665968"/>
    <w:rsid w:val="00665BF7"/>
    <w:rsid w:val="00665C4C"/>
    <w:rsid w:val="00665E65"/>
    <w:rsid w:val="006660F0"/>
    <w:rsid w:val="00666178"/>
    <w:rsid w:val="0066639E"/>
    <w:rsid w:val="00666473"/>
    <w:rsid w:val="00666B49"/>
    <w:rsid w:val="00666C72"/>
    <w:rsid w:val="00666D4B"/>
    <w:rsid w:val="00666E6C"/>
    <w:rsid w:val="0066707F"/>
    <w:rsid w:val="00667457"/>
    <w:rsid w:val="00667ED8"/>
    <w:rsid w:val="0067064C"/>
    <w:rsid w:val="00670B20"/>
    <w:rsid w:val="00670E12"/>
    <w:rsid w:val="00670F27"/>
    <w:rsid w:val="006718D8"/>
    <w:rsid w:val="00672E16"/>
    <w:rsid w:val="00672E80"/>
    <w:rsid w:val="0067333F"/>
    <w:rsid w:val="006739E4"/>
    <w:rsid w:val="00673ECF"/>
    <w:rsid w:val="0067426B"/>
    <w:rsid w:val="00674A1B"/>
    <w:rsid w:val="00674D08"/>
    <w:rsid w:val="00674F1C"/>
    <w:rsid w:val="006754F8"/>
    <w:rsid w:val="00676127"/>
    <w:rsid w:val="0067645B"/>
    <w:rsid w:val="006765DF"/>
    <w:rsid w:val="00676AED"/>
    <w:rsid w:val="00677212"/>
    <w:rsid w:val="00677F26"/>
    <w:rsid w:val="006800EE"/>
    <w:rsid w:val="006802A7"/>
    <w:rsid w:val="006807FD"/>
    <w:rsid w:val="00680A86"/>
    <w:rsid w:val="00680E4A"/>
    <w:rsid w:val="00680FBE"/>
    <w:rsid w:val="006811C9"/>
    <w:rsid w:val="006812CE"/>
    <w:rsid w:val="0068132A"/>
    <w:rsid w:val="00681C78"/>
    <w:rsid w:val="00682314"/>
    <w:rsid w:val="006826C1"/>
    <w:rsid w:val="00682C89"/>
    <w:rsid w:val="006832B8"/>
    <w:rsid w:val="00683329"/>
    <w:rsid w:val="006836DF"/>
    <w:rsid w:val="006837B2"/>
    <w:rsid w:val="00683800"/>
    <w:rsid w:val="0068420B"/>
    <w:rsid w:val="00684462"/>
    <w:rsid w:val="00684C0D"/>
    <w:rsid w:val="00684C8A"/>
    <w:rsid w:val="00684CF5"/>
    <w:rsid w:val="00684DAB"/>
    <w:rsid w:val="00685022"/>
    <w:rsid w:val="00685188"/>
    <w:rsid w:val="0068553E"/>
    <w:rsid w:val="00685D37"/>
    <w:rsid w:val="00685E7B"/>
    <w:rsid w:val="00686551"/>
    <w:rsid w:val="00686CAB"/>
    <w:rsid w:val="00687049"/>
    <w:rsid w:val="0068717F"/>
    <w:rsid w:val="0068730C"/>
    <w:rsid w:val="00687504"/>
    <w:rsid w:val="00687A14"/>
    <w:rsid w:val="00687A8C"/>
    <w:rsid w:val="00687DAD"/>
    <w:rsid w:val="006901B2"/>
    <w:rsid w:val="00690839"/>
    <w:rsid w:val="006908DB"/>
    <w:rsid w:val="00690DE9"/>
    <w:rsid w:val="00691563"/>
    <w:rsid w:val="00691DE9"/>
    <w:rsid w:val="00691EAA"/>
    <w:rsid w:val="00692245"/>
    <w:rsid w:val="00692745"/>
    <w:rsid w:val="00692FFA"/>
    <w:rsid w:val="006934CB"/>
    <w:rsid w:val="00693772"/>
    <w:rsid w:val="006937EA"/>
    <w:rsid w:val="00693984"/>
    <w:rsid w:val="00693B77"/>
    <w:rsid w:val="00694156"/>
    <w:rsid w:val="00694160"/>
    <w:rsid w:val="00694E8B"/>
    <w:rsid w:val="006959A5"/>
    <w:rsid w:val="00695C0C"/>
    <w:rsid w:val="00696736"/>
    <w:rsid w:val="00696A05"/>
    <w:rsid w:val="00697665"/>
    <w:rsid w:val="00697C9A"/>
    <w:rsid w:val="00697E68"/>
    <w:rsid w:val="00697FC1"/>
    <w:rsid w:val="006A0274"/>
    <w:rsid w:val="006A0ADE"/>
    <w:rsid w:val="006A1ED5"/>
    <w:rsid w:val="006A27BC"/>
    <w:rsid w:val="006A2A43"/>
    <w:rsid w:val="006A2BF1"/>
    <w:rsid w:val="006A2F9A"/>
    <w:rsid w:val="006A34E4"/>
    <w:rsid w:val="006A35AC"/>
    <w:rsid w:val="006A3A5A"/>
    <w:rsid w:val="006A4249"/>
    <w:rsid w:val="006A44CF"/>
    <w:rsid w:val="006A457D"/>
    <w:rsid w:val="006A4B5A"/>
    <w:rsid w:val="006A4C06"/>
    <w:rsid w:val="006A55EE"/>
    <w:rsid w:val="006A575B"/>
    <w:rsid w:val="006A5824"/>
    <w:rsid w:val="006A59DE"/>
    <w:rsid w:val="006A64C6"/>
    <w:rsid w:val="006A6655"/>
    <w:rsid w:val="006A6BF9"/>
    <w:rsid w:val="006A6D7B"/>
    <w:rsid w:val="006A7AB8"/>
    <w:rsid w:val="006A7CB5"/>
    <w:rsid w:val="006A7FD0"/>
    <w:rsid w:val="006B025C"/>
    <w:rsid w:val="006B04DB"/>
    <w:rsid w:val="006B08ED"/>
    <w:rsid w:val="006B2170"/>
    <w:rsid w:val="006B2534"/>
    <w:rsid w:val="006B2CB2"/>
    <w:rsid w:val="006B347D"/>
    <w:rsid w:val="006B3E19"/>
    <w:rsid w:val="006B4488"/>
    <w:rsid w:val="006B4D5D"/>
    <w:rsid w:val="006B50C4"/>
    <w:rsid w:val="006B53AE"/>
    <w:rsid w:val="006B58B4"/>
    <w:rsid w:val="006B60DA"/>
    <w:rsid w:val="006B66FA"/>
    <w:rsid w:val="006B67AC"/>
    <w:rsid w:val="006B722F"/>
    <w:rsid w:val="006B786A"/>
    <w:rsid w:val="006B78F2"/>
    <w:rsid w:val="006B7E4E"/>
    <w:rsid w:val="006C003A"/>
    <w:rsid w:val="006C0B6B"/>
    <w:rsid w:val="006C107C"/>
    <w:rsid w:val="006C127C"/>
    <w:rsid w:val="006C189C"/>
    <w:rsid w:val="006C219B"/>
    <w:rsid w:val="006C2454"/>
    <w:rsid w:val="006C2551"/>
    <w:rsid w:val="006C27B9"/>
    <w:rsid w:val="006C2CC0"/>
    <w:rsid w:val="006C32CF"/>
    <w:rsid w:val="006C32EC"/>
    <w:rsid w:val="006C337B"/>
    <w:rsid w:val="006C37CA"/>
    <w:rsid w:val="006C39AE"/>
    <w:rsid w:val="006C40D2"/>
    <w:rsid w:val="006C4B85"/>
    <w:rsid w:val="006C4BBD"/>
    <w:rsid w:val="006C4E02"/>
    <w:rsid w:val="006C5215"/>
    <w:rsid w:val="006C551E"/>
    <w:rsid w:val="006C5B15"/>
    <w:rsid w:val="006C5D32"/>
    <w:rsid w:val="006C5DCB"/>
    <w:rsid w:val="006C6475"/>
    <w:rsid w:val="006C70C4"/>
    <w:rsid w:val="006C741F"/>
    <w:rsid w:val="006D04DA"/>
    <w:rsid w:val="006D10F6"/>
    <w:rsid w:val="006D1254"/>
    <w:rsid w:val="006D1544"/>
    <w:rsid w:val="006D1688"/>
    <w:rsid w:val="006D1BE1"/>
    <w:rsid w:val="006D1DD3"/>
    <w:rsid w:val="006D1FF3"/>
    <w:rsid w:val="006D207B"/>
    <w:rsid w:val="006D2C65"/>
    <w:rsid w:val="006D32C6"/>
    <w:rsid w:val="006D360E"/>
    <w:rsid w:val="006D3697"/>
    <w:rsid w:val="006D39D2"/>
    <w:rsid w:val="006D3A94"/>
    <w:rsid w:val="006D3F2A"/>
    <w:rsid w:val="006D4370"/>
    <w:rsid w:val="006D46A3"/>
    <w:rsid w:val="006D58F2"/>
    <w:rsid w:val="006D5DCB"/>
    <w:rsid w:val="006D6168"/>
    <w:rsid w:val="006D62E0"/>
    <w:rsid w:val="006D62EA"/>
    <w:rsid w:val="006D658F"/>
    <w:rsid w:val="006D66B2"/>
    <w:rsid w:val="006D6712"/>
    <w:rsid w:val="006D6A12"/>
    <w:rsid w:val="006D712D"/>
    <w:rsid w:val="006D7687"/>
    <w:rsid w:val="006D7D1F"/>
    <w:rsid w:val="006D7D8A"/>
    <w:rsid w:val="006E0158"/>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65A"/>
    <w:rsid w:val="006E77B8"/>
    <w:rsid w:val="006E7AAF"/>
    <w:rsid w:val="006F0F74"/>
    <w:rsid w:val="006F13BA"/>
    <w:rsid w:val="006F15CC"/>
    <w:rsid w:val="006F15F6"/>
    <w:rsid w:val="006F36EA"/>
    <w:rsid w:val="006F3BF9"/>
    <w:rsid w:val="006F4147"/>
    <w:rsid w:val="006F4315"/>
    <w:rsid w:val="006F47A7"/>
    <w:rsid w:val="006F4A27"/>
    <w:rsid w:val="006F4CB0"/>
    <w:rsid w:val="006F4F78"/>
    <w:rsid w:val="006F50C2"/>
    <w:rsid w:val="006F5251"/>
    <w:rsid w:val="006F5389"/>
    <w:rsid w:val="006F547E"/>
    <w:rsid w:val="006F5CCF"/>
    <w:rsid w:val="006F6F04"/>
    <w:rsid w:val="006F71F5"/>
    <w:rsid w:val="006F72A8"/>
    <w:rsid w:val="006F79BB"/>
    <w:rsid w:val="007000A6"/>
    <w:rsid w:val="00700610"/>
    <w:rsid w:val="00700AAB"/>
    <w:rsid w:val="00700CA2"/>
    <w:rsid w:val="00701234"/>
    <w:rsid w:val="0070138A"/>
    <w:rsid w:val="0070157E"/>
    <w:rsid w:val="007030D4"/>
    <w:rsid w:val="00703279"/>
    <w:rsid w:val="007034D9"/>
    <w:rsid w:val="00703B61"/>
    <w:rsid w:val="00703E11"/>
    <w:rsid w:val="00704102"/>
    <w:rsid w:val="0070437C"/>
    <w:rsid w:val="0070461C"/>
    <w:rsid w:val="00704A76"/>
    <w:rsid w:val="00704C11"/>
    <w:rsid w:val="00704F37"/>
    <w:rsid w:val="00705631"/>
    <w:rsid w:val="00705806"/>
    <w:rsid w:val="00705818"/>
    <w:rsid w:val="00705F62"/>
    <w:rsid w:val="00706813"/>
    <w:rsid w:val="0070773F"/>
    <w:rsid w:val="00707A2E"/>
    <w:rsid w:val="00707ED3"/>
    <w:rsid w:val="007101B7"/>
    <w:rsid w:val="0071041A"/>
    <w:rsid w:val="00710668"/>
    <w:rsid w:val="00711019"/>
    <w:rsid w:val="007110F4"/>
    <w:rsid w:val="007112B1"/>
    <w:rsid w:val="0071130F"/>
    <w:rsid w:val="00712044"/>
    <w:rsid w:val="00712507"/>
    <w:rsid w:val="00712714"/>
    <w:rsid w:val="007129AB"/>
    <w:rsid w:val="00712B63"/>
    <w:rsid w:val="00712E5F"/>
    <w:rsid w:val="0071340B"/>
    <w:rsid w:val="00713526"/>
    <w:rsid w:val="00713FC5"/>
    <w:rsid w:val="00714BB9"/>
    <w:rsid w:val="00714DCA"/>
    <w:rsid w:val="00714EC3"/>
    <w:rsid w:val="007150F3"/>
    <w:rsid w:val="00715BBF"/>
    <w:rsid w:val="00715C29"/>
    <w:rsid w:val="00715CBD"/>
    <w:rsid w:val="00715D87"/>
    <w:rsid w:val="00715EAA"/>
    <w:rsid w:val="00716119"/>
    <w:rsid w:val="00716630"/>
    <w:rsid w:val="00716BB0"/>
    <w:rsid w:val="00716CAD"/>
    <w:rsid w:val="00716CD3"/>
    <w:rsid w:val="00716F18"/>
    <w:rsid w:val="00717363"/>
    <w:rsid w:val="00717786"/>
    <w:rsid w:val="00717ACB"/>
    <w:rsid w:val="00717F8F"/>
    <w:rsid w:val="0072138B"/>
    <w:rsid w:val="007213A0"/>
    <w:rsid w:val="00721BFF"/>
    <w:rsid w:val="00722495"/>
    <w:rsid w:val="007227EB"/>
    <w:rsid w:val="007232EE"/>
    <w:rsid w:val="00723475"/>
    <w:rsid w:val="007236C4"/>
    <w:rsid w:val="00724635"/>
    <w:rsid w:val="00724F21"/>
    <w:rsid w:val="00725134"/>
    <w:rsid w:val="0072554B"/>
    <w:rsid w:val="0072571F"/>
    <w:rsid w:val="00725AFD"/>
    <w:rsid w:val="00726603"/>
    <w:rsid w:val="007266AC"/>
    <w:rsid w:val="00727B1D"/>
    <w:rsid w:val="00727DDC"/>
    <w:rsid w:val="00730CD6"/>
    <w:rsid w:val="00730F74"/>
    <w:rsid w:val="0073114B"/>
    <w:rsid w:val="00732151"/>
    <w:rsid w:val="00732EBC"/>
    <w:rsid w:val="00734952"/>
    <w:rsid w:val="00734987"/>
    <w:rsid w:val="00734990"/>
    <w:rsid w:val="00734FF5"/>
    <w:rsid w:val="00735B78"/>
    <w:rsid w:val="00735CA5"/>
    <w:rsid w:val="00735D76"/>
    <w:rsid w:val="00735DA7"/>
    <w:rsid w:val="007363DC"/>
    <w:rsid w:val="00736700"/>
    <w:rsid w:val="007368B4"/>
    <w:rsid w:val="007378E0"/>
    <w:rsid w:val="00737A6C"/>
    <w:rsid w:val="0074040E"/>
    <w:rsid w:val="00740529"/>
    <w:rsid w:val="00740876"/>
    <w:rsid w:val="00741358"/>
    <w:rsid w:val="00741626"/>
    <w:rsid w:val="00741B0C"/>
    <w:rsid w:val="00742332"/>
    <w:rsid w:val="00742886"/>
    <w:rsid w:val="00742A3A"/>
    <w:rsid w:val="00742DD2"/>
    <w:rsid w:val="007437C6"/>
    <w:rsid w:val="00743834"/>
    <w:rsid w:val="00743F4B"/>
    <w:rsid w:val="007441A2"/>
    <w:rsid w:val="00744273"/>
    <w:rsid w:val="00744E80"/>
    <w:rsid w:val="00745035"/>
    <w:rsid w:val="0074531C"/>
    <w:rsid w:val="00745547"/>
    <w:rsid w:val="007459D0"/>
    <w:rsid w:val="00745A63"/>
    <w:rsid w:val="00745D39"/>
    <w:rsid w:val="0074623A"/>
    <w:rsid w:val="00746420"/>
    <w:rsid w:val="00746A60"/>
    <w:rsid w:val="00746E04"/>
    <w:rsid w:val="00746E08"/>
    <w:rsid w:val="00746E3D"/>
    <w:rsid w:val="007473B9"/>
    <w:rsid w:val="00747C96"/>
    <w:rsid w:val="00750075"/>
    <w:rsid w:val="0075022F"/>
    <w:rsid w:val="0075026D"/>
    <w:rsid w:val="007502EC"/>
    <w:rsid w:val="00750382"/>
    <w:rsid w:val="0075094E"/>
    <w:rsid w:val="00750FA8"/>
    <w:rsid w:val="00750FB5"/>
    <w:rsid w:val="007520F0"/>
    <w:rsid w:val="0075226F"/>
    <w:rsid w:val="007522E8"/>
    <w:rsid w:val="007529DB"/>
    <w:rsid w:val="007534AD"/>
    <w:rsid w:val="00753BAC"/>
    <w:rsid w:val="00753E86"/>
    <w:rsid w:val="0075408D"/>
    <w:rsid w:val="00754A0B"/>
    <w:rsid w:val="00755229"/>
    <w:rsid w:val="007552DB"/>
    <w:rsid w:val="0075549F"/>
    <w:rsid w:val="00755732"/>
    <w:rsid w:val="00755B08"/>
    <w:rsid w:val="00755DD0"/>
    <w:rsid w:val="0075647A"/>
    <w:rsid w:val="00756A2F"/>
    <w:rsid w:val="007573E1"/>
    <w:rsid w:val="0075749E"/>
    <w:rsid w:val="00757722"/>
    <w:rsid w:val="00757796"/>
    <w:rsid w:val="00757B2D"/>
    <w:rsid w:val="00757BAD"/>
    <w:rsid w:val="00757C31"/>
    <w:rsid w:val="00757D62"/>
    <w:rsid w:val="00760021"/>
    <w:rsid w:val="00760561"/>
    <w:rsid w:val="00760867"/>
    <w:rsid w:val="00760EB6"/>
    <w:rsid w:val="007616DB"/>
    <w:rsid w:val="0076190A"/>
    <w:rsid w:val="00761AB7"/>
    <w:rsid w:val="00761CE6"/>
    <w:rsid w:val="0076228A"/>
    <w:rsid w:val="00762440"/>
    <w:rsid w:val="00762499"/>
    <w:rsid w:val="0076253F"/>
    <w:rsid w:val="00762705"/>
    <w:rsid w:val="0076275B"/>
    <w:rsid w:val="007629B7"/>
    <w:rsid w:val="00762E60"/>
    <w:rsid w:val="00762E6C"/>
    <w:rsid w:val="00762F54"/>
    <w:rsid w:val="007634AD"/>
    <w:rsid w:val="0076424F"/>
    <w:rsid w:val="0076445F"/>
    <w:rsid w:val="00764863"/>
    <w:rsid w:val="00764EC5"/>
    <w:rsid w:val="007651EF"/>
    <w:rsid w:val="00766D49"/>
    <w:rsid w:val="00766ECC"/>
    <w:rsid w:val="007672F3"/>
    <w:rsid w:val="007677B5"/>
    <w:rsid w:val="007678B1"/>
    <w:rsid w:val="007708A8"/>
    <w:rsid w:val="00772100"/>
    <w:rsid w:val="00772275"/>
    <w:rsid w:val="00772684"/>
    <w:rsid w:val="00772AAF"/>
    <w:rsid w:val="00772C9A"/>
    <w:rsid w:val="00772E2A"/>
    <w:rsid w:val="00773131"/>
    <w:rsid w:val="007732BA"/>
    <w:rsid w:val="007734E4"/>
    <w:rsid w:val="0077380D"/>
    <w:rsid w:val="00773BC8"/>
    <w:rsid w:val="00774337"/>
    <w:rsid w:val="00774549"/>
    <w:rsid w:val="0077466F"/>
    <w:rsid w:val="007752B7"/>
    <w:rsid w:val="007759A8"/>
    <w:rsid w:val="00775C27"/>
    <w:rsid w:val="00775D98"/>
    <w:rsid w:val="00775E31"/>
    <w:rsid w:val="00776B93"/>
    <w:rsid w:val="00776FE5"/>
    <w:rsid w:val="00777101"/>
    <w:rsid w:val="007774E7"/>
    <w:rsid w:val="0077768C"/>
    <w:rsid w:val="00777696"/>
    <w:rsid w:val="00777EDF"/>
    <w:rsid w:val="00777FF4"/>
    <w:rsid w:val="00780251"/>
    <w:rsid w:val="007804FE"/>
    <w:rsid w:val="00780F32"/>
    <w:rsid w:val="00781049"/>
    <w:rsid w:val="0078122E"/>
    <w:rsid w:val="0078165A"/>
    <w:rsid w:val="00781939"/>
    <w:rsid w:val="00781D29"/>
    <w:rsid w:val="007825EF"/>
    <w:rsid w:val="0078286B"/>
    <w:rsid w:val="00782D2C"/>
    <w:rsid w:val="00782FC2"/>
    <w:rsid w:val="0078347A"/>
    <w:rsid w:val="0078410A"/>
    <w:rsid w:val="00784938"/>
    <w:rsid w:val="00784EBF"/>
    <w:rsid w:val="00784FC4"/>
    <w:rsid w:val="00785BBB"/>
    <w:rsid w:val="00785FB2"/>
    <w:rsid w:val="00786937"/>
    <w:rsid w:val="00786FAD"/>
    <w:rsid w:val="007872D6"/>
    <w:rsid w:val="00787B1B"/>
    <w:rsid w:val="00787CCC"/>
    <w:rsid w:val="00787D90"/>
    <w:rsid w:val="00787F5E"/>
    <w:rsid w:val="00790164"/>
    <w:rsid w:val="0079041B"/>
    <w:rsid w:val="007905C6"/>
    <w:rsid w:val="00790A24"/>
    <w:rsid w:val="00790A37"/>
    <w:rsid w:val="00790A60"/>
    <w:rsid w:val="0079131A"/>
    <w:rsid w:val="0079146D"/>
    <w:rsid w:val="00791C32"/>
    <w:rsid w:val="00791FF0"/>
    <w:rsid w:val="007923D0"/>
    <w:rsid w:val="0079281A"/>
    <w:rsid w:val="007930D3"/>
    <w:rsid w:val="007936E2"/>
    <w:rsid w:val="0079381F"/>
    <w:rsid w:val="0079398D"/>
    <w:rsid w:val="00793A57"/>
    <w:rsid w:val="00793B2E"/>
    <w:rsid w:val="00793C6A"/>
    <w:rsid w:val="007948F5"/>
    <w:rsid w:val="00795647"/>
    <w:rsid w:val="007963F6"/>
    <w:rsid w:val="007969E1"/>
    <w:rsid w:val="00796DC8"/>
    <w:rsid w:val="00796E80"/>
    <w:rsid w:val="0079744F"/>
    <w:rsid w:val="0079776F"/>
    <w:rsid w:val="007979AD"/>
    <w:rsid w:val="00797A9C"/>
    <w:rsid w:val="007A0502"/>
    <w:rsid w:val="007A0EAB"/>
    <w:rsid w:val="007A2341"/>
    <w:rsid w:val="007A2754"/>
    <w:rsid w:val="007A38A1"/>
    <w:rsid w:val="007A3BBE"/>
    <w:rsid w:val="007A4347"/>
    <w:rsid w:val="007A4766"/>
    <w:rsid w:val="007A4B70"/>
    <w:rsid w:val="007A5947"/>
    <w:rsid w:val="007A717B"/>
    <w:rsid w:val="007A7714"/>
    <w:rsid w:val="007A7775"/>
    <w:rsid w:val="007A7C14"/>
    <w:rsid w:val="007B00EF"/>
    <w:rsid w:val="007B0302"/>
    <w:rsid w:val="007B0313"/>
    <w:rsid w:val="007B0854"/>
    <w:rsid w:val="007B0E48"/>
    <w:rsid w:val="007B14BA"/>
    <w:rsid w:val="007B1929"/>
    <w:rsid w:val="007B1D1B"/>
    <w:rsid w:val="007B1D33"/>
    <w:rsid w:val="007B21AA"/>
    <w:rsid w:val="007B2504"/>
    <w:rsid w:val="007B2549"/>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6DB"/>
    <w:rsid w:val="007C097D"/>
    <w:rsid w:val="007C0AF2"/>
    <w:rsid w:val="007C1672"/>
    <w:rsid w:val="007C17AE"/>
    <w:rsid w:val="007C21E1"/>
    <w:rsid w:val="007C227C"/>
    <w:rsid w:val="007C24EE"/>
    <w:rsid w:val="007C312A"/>
    <w:rsid w:val="007C3538"/>
    <w:rsid w:val="007C3570"/>
    <w:rsid w:val="007C3F3B"/>
    <w:rsid w:val="007C4097"/>
    <w:rsid w:val="007C4241"/>
    <w:rsid w:val="007C425E"/>
    <w:rsid w:val="007C44DF"/>
    <w:rsid w:val="007C55FF"/>
    <w:rsid w:val="007C5642"/>
    <w:rsid w:val="007C6339"/>
    <w:rsid w:val="007C6B63"/>
    <w:rsid w:val="007C753F"/>
    <w:rsid w:val="007C7C43"/>
    <w:rsid w:val="007C7E15"/>
    <w:rsid w:val="007C7F0D"/>
    <w:rsid w:val="007D06E3"/>
    <w:rsid w:val="007D09E4"/>
    <w:rsid w:val="007D1134"/>
    <w:rsid w:val="007D12EC"/>
    <w:rsid w:val="007D1774"/>
    <w:rsid w:val="007D231B"/>
    <w:rsid w:val="007D23F7"/>
    <w:rsid w:val="007D242C"/>
    <w:rsid w:val="007D24F0"/>
    <w:rsid w:val="007D2566"/>
    <w:rsid w:val="007D2C18"/>
    <w:rsid w:val="007D2D74"/>
    <w:rsid w:val="007D2DA3"/>
    <w:rsid w:val="007D3693"/>
    <w:rsid w:val="007D3C6D"/>
    <w:rsid w:val="007D481A"/>
    <w:rsid w:val="007D4B96"/>
    <w:rsid w:val="007D4ED0"/>
    <w:rsid w:val="007D54D9"/>
    <w:rsid w:val="007D5648"/>
    <w:rsid w:val="007D58C5"/>
    <w:rsid w:val="007D5DE8"/>
    <w:rsid w:val="007D7CCB"/>
    <w:rsid w:val="007D7CFC"/>
    <w:rsid w:val="007E0812"/>
    <w:rsid w:val="007E0825"/>
    <w:rsid w:val="007E0D49"/>
    <w:rsid w:val="007E118A"/>
    <w:rsid w:val="007E18DF"/>
    <w:rsid w:val="007E1E45"/>
    <w:rsid w:val="007E1F52"/>
    <w:rsid w:val="007E214A"/>
    <w:rsid w:val="007E238D"/>
    <w:rsid w:val="007E2C36"/>
    <w:rsid w:val="007E327F"/>
    <w:rsid w:val="007E350D"/>
    <w:rsid w:val="007E3ACA"/>
    <w:rsid w:val="007E3B28"/>
    <w:rsid w:val="007E3F4A"/>
    <w:rsid w:val="007E526E"/>
    <w:rsid w:val="007E564D"/>
    <w:rsid w:val="007E5C4A"/>
    <w:rsid w:val="007E64D4"/>
    <w:rsid w:val="007E66E9"/>
    <w:rsid w:val="007E69F2"/>
    <w:rsid w:val="007E7432"/>
    <w:rsid w:val="007E74BF"/>
    <w:rsid w:val="007E7657"/>
    <w:rsid w:val="007E7B55"/>
    <w:rsid w:val="007E7D2E"/>
    <w:rsid w:val="007E7E0E"/>
    <w:rsid w:val="007E7E80"/>
    <w:rsid w:val="007F14D3"/>
    <w:rsid w:val="007F1655"/>
    <w:rsid w:val="007F1814"/>
    <w:rsid w:val="007F1D9D"/>
    <w:rsid w:val="007F1E28"/>
    <w:rsid w:val="007F1F63"/>
    <w:rsid w:val="007F22A0"/>
    <w:rsid w:val="007F2902"/>
    <w:rsid w:val="007F2903"/>
    <w:rsid w:val="007F2F90"/>
    <w:rsid w:val="007F3320"/>
    <w:rsid w:val="007F3AC1"/>
    <w:rsid w:val="007F4976"/>
    <w:rsid w:val="007F4B40"/>
    <w:rsid w:val="007F5A56"/>
    <w:rsid w:val="007F5D42"/>
    <w:rsid w:val="007F616E"/>
    <w:rsid w:val="007F6B46"/>
    <w:rsid w:val="007F72CB"/>
    <w:rsid w:val="007F736A"/>
    <w:rsid w:val="007F7635"/>
    <w:rsid w:val="007F785F"/>
    <w:rsid w:val="007F7961"/>
    <w:rsid w:val="007F7AF6"/>
    <w:rsid w:val="007F7E36"/>
    <w:rsid w:val="008005A1"/>
    <w:rsid w:val="00800E6D"/>
    <w:rsid w:val="008013FB"/>
    <w:rsid w:val="008014D9"/>
    <w:rsid w:val="0080150F"/>
    <w:rsid w:val="0080153A"/>
    <w:rsid w:val="00801A2A"/>
    <w:rsid w:val="00801EBB"/>
    <w:rsid w:val="00802041"/>
    <w:rsid w:val="008022C9"/>
    <w:rsid w:val="00802605"/>
    <w:rsid w:val="00802F9E"/>
    <w:rsid w:val="00803566"/>
    <w:rsid w:val="00803700"/>
    <w:rsid w:val="0080376A"/>
    <w:rsid w:val="00803D9D"/>
    <w:rsid w:val="0080434C"/>
    <w:rsid w:val="008056C1"/>
    <w:rsid w:val="008059C6"/>
    <w:rsid w:val="00805AD7"/>
    <w:rsid w:val="00805BD6"/>
    <w:rsid w:val="00805DE3"/>
    <w:rsid w:val="00807C35"/>
    <w:rsid w:val="00807F35"/>
    <w:rsid w:val="00807F69"/>
    <w:rsid w:val="008100F7"/>
    <w:rsid w:val="00810179"/>
    <w:rsid w:val="00810206"/>
    <w:rsid w:val="0081022B"/>
    <w:rsid w:val="0081082C"/>
    <w:rsid w:val="00810A15"/>
    <w:rsid w:val="00811898"/>
    <w:rsid w:val="00811C6D"/>
    <w:rsid w:val="00811CDC"/>
    <w:rsid w:val="008124D8"/>
    <w:rsid w:val="00812C9E"/>
    <w:rsid w:val="00812DAE"/>
    <w:rsid w:val="008139F9"/>
    <w:rsid w:val="00813A7B"/>
    <w:rsid w:val="00813F04"/>
    <w:rsid w:val="0081513E"/>
    <w:rsid w:val="00815DA5"/>
    <w:rsid w:val="00815E70"/>
    <w:rsid w:val="00816221"/>
    <w:rsid w:val="0081749A"/>
    <w:rsid w:val="008174F3"/>
    <w:rsid w:val="0081766B"/>
    <w:rsid w:val="008201DE"/>
    <w:rsid w:val="008205AC"/>
    <w:rsid w:val="00820705"/>
    <w:rsid w:val="00820CBF"/>
    <w:rsid w:val="00820FA8"/>
    <w:rsid w:val="008212FD"/>
    <w:rsid w:val="00821489"/>
    <w:rsid w:val="0082168D"/>
    <w:rsid w:val="008217B7"/>
    <w:rsid w:val="00822069"/>
    <w:rsid w:val="0082239B"/>
    <w:rsid w:val="0082292E"/>
    <w:rsid w:val="00822D06"/>
    <w:rsid w:val="00822EC4"/>
    <w:rsid w:val="0082348D"/>
    <w:rsid w:val="008236BE"/>
    <w:rsid w:val="008241CE"/>
    <w:rsid w:val="0082520B"/>
    <w:rsid w:val="00825240"/>
    <w:rsid w:val="008255CB"/>
    <w:rsid w:val="00825B43"/>
    <w:rsid w:val="00825FEE"/>
    <w:rsid w:val="00826F71"/>
    <w:rsid w:val="008273EC"/>
    <w:rsid w:val="008275DC"/>
    <w:rsid w:val="00827CC0"/>
    <w:rsid w:val="008306AB"/>
    <w:rsid w:val="00831026"/>
    <w:rsid w:val="0083119B"/>
    <w:rsid w:val="00831BAE"/>
    <w:rsid w:val="00832216"/>
    <w:rsid w:val="00832513"/>
    <w:rsid w:val="00832CD0"/>
    <w:rsid w:val="00833430"/>
    <w:rsid w:val="00833ADA"/>
    <w:rsid w:val="00833FFC"/>
    <w:rsid w:val="00834128"/>
    <w:rsid w:val="0083417F"/>
    <w:rsid w:val="00835143"/>
    <w:rsid w:val="0083569B"/>
    <w:rsid w:val="00835741"/>
    <w:rsid w:val="00835866"/>
    <w:rsid w:val="00836E74"/>
    <w:rsid w:val="00836EAB"/>
    <w:rsid w:val="00837673"/>
    <w:rsid w:val="00837937"/>
    <w:rsid w:val="00837D82"/>
    <w:rsid w:val="00837EF3"/>
    <w:rsid w:val="008402C1"/>
    <w:rsid w:val="00840893"/>
    <w:rsid w:val="00840E88"/>
    <w:rsid w:val="008410B1"/>
    <w:rsid w:val="00841275"/>
    <w:rsid w:val="008414F0"/>
    <w:rsid w:val="00841515"/>
    <w:rsid w:val="00841677"/>
    <w:rsid w:val="00842181"/>
    <w:rsid w:val="008423EC"/>
    <w:rsid w:val="008429A6"/>
    <w:rsid w:val="00843615"/>
    <w:rsid w:val="00843698"/>
    <w:rsid w:val="00843A4B"/>
    <w:rsid w:val="00843B57"/>
    <w:rsid w:val="00843B60"/>
    <w:rsid w:val="00843D33"/>
    <w:rsid w:val="008444F0"/>
    <w:rsid w:val="00844D4F"/>
    <w:rsid w:val="00844F38"/>
    <w:rsid w:val="008453BA"/>
    <w:rsid w:val="00845AE3"/>
    <w:rsid w:val="00845B36"/>
    <w:rsid w:val="008466A0"/>
    <w:rsid w:val="00846FE7"/>
    <w:rsid w:val="00847535"/>
    <w:rsid w:val="00847B6D"/>
    <w:rsid w:val="0085092D"/>
    <w:rsid w:val="008509A5"/>
    <w:rsid w:val="00850C79"/>
    <w:rsid w:val="00850D82"/>
    <w:rsid w:val="00850F79"/>
    <w:rsid w:val="0085100B"/>
    <w:rsid w:val="008510A1"/>
    <w:rsid w:val="008518A3"/>
    <w:rsid w:val="00851D77"/>
    <w:rsid w:val="0085220E"/>
    <w:rsid w:val="0085304C"/>
    <w:rsid w:val="008536BB"/>
    <w:rsid w:val="00853A3C"/>
    <w:rsid w:val="00853B48"/>
    <w:rsid w:val="00853CE0"/>
    <w:rsid w:val="008548CA"/>
    <w:rsid w:val="00855760"/>
    <w:rsid w:val="008563B0"/>
    <w:rsid w:val="0085694D"/>
    <w:rsid w:val="00856C06"/>
    <w:rsid w:val="00857638"/>
    <w:rsid w:val="0085790B"/>
    <w:rsid w:val="008579B9"/>
    <w:rsid w:val="00857C95"/>
    <w:rsid w:val="00857E78"/>
    <w:rsid w:val="00860AEF"/>
    <w:rsid w:val="00860B18"/>
    <w:rsid w:val="00860D5E"/>
    <w:rsid w:val="0086122C"/>
    <w:rsid w:val="00861310"/>
    <w:rsid w:val="00861C4D"/>
    <w:rsid w:val="00861F53"/>
    <w:rsid w:val="008627DE"/>
    <w:rsid w:val="0086289E"/>
    <w:rsid w:val="008629CB"/>
    <w:rsid w:val="00863664"/>
    <w:rsid w:val="0086394E"/>
    <w:rsid w:val="00863F8A"/>
    <w:rsid w:val="00863FE3"/>
    <w:rsid w:val="008640C4"/>
    <w:rsid w:val="008641D5"/>
    <w:rsid w:val="00864241"/>
    <w:rsid w:val="008645AA"/>
    <w:rsid w:val="0086468A"/>
    <w:rsid w:val="00864E22"/>
    <w:rsid w:val="008650BE"/>
    <w:rsid w:val="00865EAF"/>
    <w:rsid w:val="00865FC6"/>
    <w:rsid w:val="0086633B"/>
    <w:rsid w:val="00866495"/>
    <w:rsid w:val="00866881"/>
    <w:rsid w:val="00866931"/>
    <w:rsid w:val="008673AE"/>
    <w:rsid w:val="00867512"/>
    <w:rsid w:val="008678A3"/>
    <w:rsid w:val="00867C13"/>
    <w:rsid w:val="00867C1D"/>
    <w:rsid w:val="0087033C"/>
    <w:rsid w:val="008715ED"/>
    <w:rsid w:val="008717D8"/>
    <w:rsid w:val="00871B2E"/>
    <w:rsid w:val="00871E3C"/>
    <w:rsid w:val="0087267F"/>
    <w:rsid w:val="00872F97"/>
    <w:rsid w:val="008741E9"/>
    <w:rsid w:val="00874607"/>
    <w:rsid w:val="008747E9"/>
    <w:rsid w:val="00874915"/>
    <w:rsid w:val="00874B89"/>
    <w:rsid w:val="00875403"/>
    <w:rsid w:val="00875434"/>
    <w:rsid w:val="00875C1F"/>
    <w:rsid w:val="00876215"/>
    <w:rsid w:val="0087646C"/>
    <w:rsid w:val="00876815"/>
    <w:rsid w:val="00876BF7"/>
    <w:rsid w:val="00877932"/>
    <w:rsid w:val="008808C7"/>
    <w:rsid w:val="0088106B"/>
    <w:rsid w:val="0088107D"/>
    <w:rsid w:val="0088187A"/>
    <w:rsid w:val="00881E64"/>
    <w:rsid w:val="00882E39"/>
    <w:rsid w:val="00883559"/>
    <w:rsid w:val="008850EB"/>
    <w:rsid w:val="00885228"/>
    <w:rsid w:val="008857E3"/>
    <w:rsid w:val="00886844"/>
    <w:rsid w:val="00886DF2"/>
    <w:rsid w:val="00886FB9"/>
    <w:rsid w:val="00887057"/>
    <w:rsid w:val="00887080"/>
    <w:rsid w:val="00887C79"/>
    <w:rsid w:val="008908DC"/>
    <w:rsid w:val="0089107B"/>
    <w:rsid w:val="008913CC"/>
    <w:rsid w:val="008914AE"/>
    <w:rsid w:val="008919CF"/>
    <w:rsid w:val="00891F84"/>
    <w:rsid w:val="00891FC3"/>
    <w:rsid w:val="008924EF"/>
    <w:rsid w:val="00892703"/>
    <w:rsid w:val="008928EC"/>
    <w:rsid w:val="00892A15"/>
    <w:rsid w:val="00892E5D"/>
    <w:rsid w:val="008935CF"/>
    <w:rsid w:val="00893E9B"/>
    <w:rsid w:val="00894039"/>
    <w:rsid w:val="0089436B"/>
    <w:rsid w:val="00894436"/>
    <w:rsid w:val="00894BB1"/>
    <w:rsid w:val="008951D0"/>
    <w:rsid w:val="00895442"/>
    <w:rsid w:val="00895556"/>
    <w:rsid w:val="008955CE"/>
    <w:rsid w:val="0089582D"/>
    <w:rsid w:val="008959C6"/>
    <w:rsid w:val="0089606D"/>
    <w:rsid w:val="00896129"/>
    <w:rsid w:val="00896316"/>
    <w:rsid w:val="008963DE"/>
    <w:rsid w:val="008963ED"/>
    <w:rsid w:val="0089675F"/>
    <w:rsid w:val="00896B51"/>
    <w:rsid w:val="0089774F"/>
    <w:rsid w:val="00897875"/>
    <w:rsid w:val="00897B8F"/>
    <w:rsid w:val="008A00D9"/>
    <w:rsid w:val="008A07D5"/>
    <w:rsid w:val="008A1C96"/>
    <w:rsid w:val="008A1FB7"/>
    <w:rsid w:val="008A229A"/>
    <w:rsid w:val="008A2A23"/>
    <w:rsid w:val="008A2AF5"/>
    <w:rsid w:val="008A2B5A"/>
    <w:rsid w:val="008A37F9"/>
    <w:rsid w:val="008A3F9D"/>
    <w:rsid w:val="008A41F8"/>
    <w:rsid w:val="008A5127"/>
    <w:rsid w:val="008A52A0"/>
    <w:rsid w:val="008A5474"/>
    <w:rsid w:val="008A5C9A"/>
    <w:rsid w:val="008A6005"/>
    <w:rsid w:val="008A614F"/>
    <w:rsid w:val="008A66F2"/>
    <w:rsid w:val="008A6A55"/>
    <w:rsid w:val="008A6DF0"/>
    <w:rsid w:val="008A6F6E"/>
    <w:rsid w:val="008A7888"/>
    <w:rsid w:val="008A796E"/>
    <w:rsid w:val="008B0862"/>
    <w:rsid w:val="008B088C"/>
    <w:rsid w:val="008B1BF5"/>
    <w:rsid w:val="008B1C27"/>
    <w:rsid w:val="008B214B"/>
    <w:rsid w:val="008B263F"/>
    <w:rsid w:val="008B3045"/>
    <w:rsid w:val="008B36BE"/>
    <w:rsid w:val="008B47A6"/>
    <w:rsid w:val="008B5C7C"/>
    <w:rsid w:val="008B63FE"/>
    <w:rsid w:val="008B672C"/>
    <w:rsid w:val="008B7045"/>
    <w:rsid w:val="008B7108"/>
    <w:rsid w:val="008C065F"/>
    <w:rsid w:val="008C0743"/>
    <w:rsid w:val="008C0B4C"/>
    <w:rsid w:val="008C11F0"/>
    <w:rsid w:val="008C1918"/>
    <w:rsid w:val="008C1DBA"/>
    <w:rsid w:val="008C1EAE"/>
    <w:rsid w:val="008C24E7"/>
    <w:rsid w:val="008C2500"/>
    <w:rsid w:val="008C2CAC"/>
    <w:rsid w:val="008C3903"/>
    <w:rsid w:val="008C3C57"/>
    <w:rsid w:val="008C3E2A"/>
    <w:rsid w:val="008C3F27"/>
    <w:rsid w:val="008C45BD"/>
    <w:rsid w:val="008C4B19"/>
    <w:rsid w:val="008C5983"/>
    <w:rsid w:val="008C62D4"/>
    <w:rsid w:val="008C6754"/>
    <w:rsid w:val="008C6B89"/>
    <w:rsid w:val="008C6B97"/>
    <w:rsid w:val="008C7EF7"/>
    <w:rsid w:val="008C7F13"/>
    <w:rsid w:val="008D094D"/>
    <w:rsid w:val="008D0ECE"/>
    <w:rsid w:val="008D15D4"/>
    <w:rsid w:val="008D18AA"/>
    <w:rsid w:val="008D19D9"/>
    <w:rsid w:val="008D1A2A"/>
    <w:rsid w:val="008D1ADE"/>
    <w:rsid w:val="008D3199"/>
    <w:rsid w:val="008D35D9"/>
    <w:rsid w:val="008D3B36"/>
    <w:rsid w:val="008D3B85"/>
    <w:rsid w:val="008D3FFE"/>
    <w:rsid w:val="008D42D2"/>
    <w:rsid w:val="008D4596"/>
    <w:rsid w:val="008D462D"/>
    <w:rsid w:val="008D6084"/>
    <w:rsid w:val="008D64AC"/>
    <w:rsid w:val="008D656F"/>
    <w:rsid w:val="008D65FB"/>
    <w:rsid w:val="008D66CA"/>
    <w:rsid w:val="008D69B1"/>
    <w:rsid w:val="008D7338"/>
    <w:rsid w:val="008D785E"/>
    <w:rsid w:val="008D7D66"/>
    <w:rsid w:val="008E0012"/>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5FC"/>
    <w:rsid w:val="008E4CAE"/>
    <w:rsid w:val="008E5179"/>
    <w:rsid w:val="008E57FE"/>
    <w:rsid w:val="008E6598"/>
    <w:rsid w:val="008E6F19"/>
    <w:rsid w:val="008E710F"/>
    <w:rsid w:val="008E7214"/>
    <w:rsid w:val="008E7471"/>
    <w:rsid w:val="008E7497"/>
    <w:rsid w:val="008E7884"/>
    <w:rsid w:val="008E7D6E"/>
    <w:rsid w:val="008F1056"/>
    <w:rsid w:val="008F13FF"/>
    <w:rsid w:val="008F2E8D"/>
    <w:rsid w:val="008F361D"/>
    <w:rsid w:val="008F387B"/>
    <w:rsid w:val="008F3DD9"/>
    <w:rsid w:val="008F40DC"/>
    <w:rsid w:val="008F4163"/>
    <w:rsid w:val="008F4814"/>
    <w:rsid w:val="008F4B18"/>
    <w:rsid w:val="008F4DA6"/>
    <w:rsid w:val="008F538E"/>
    <w:rsid w:val="008F5751"/>
    <w:rsid w:val="008F5A20"/>
    <w:rsid w:val="008F5ABA"/>
    <w:rsid w:val="008F5B57"/>
    <w:rsid w:val="008F6157"/>
    <w:rsid w:val="008F71AB"/>
    <w:rsid w:val="008F7905"/>
    <w:rsid w:val="008F7989"/>
    <w:rsid w:val="00900861"/>
    <w:rsid w:val="00900912"/>
    <w:rsid w:val="009013B8"/>
    <w:rsid w:val="00901765"/>
    <w:rsid w:val="00901F1D"/>
    <w:rsid w:val="009028E8"/>
    <w:rsid w:val="00902CC9"/>
    <w:rsid w:val="00902E5C"/>
    <w:rsid w:val="0090363E"/>
    <w:rsid w:val="00903679"/>
    <w:rsid w:val="00903788"/>
    <w:rsid w:val="00903C57"/>
    <w:rsid w:val="009046E5"/>
    <w:rsid w:val="00904782"/>
    <w:rsid w:val="009047C5"/>
    <w:rsid w:val="00906007"/>
    <w:rsid w:val="00906166"/>
    <w:rsid w:val="00906C54"/>
    <w:rsid w:val="00906D34"/>
    <w:rsid w:val="009100A1"/>
    <w:rsid w:val="00910683"/>
    <w:rsid w:val="00910E00"/>
    <w:rsid w:val="00910E04"/>
    <w:rsid w:val="00910F61"/>
    <w:rsid w:val="009116CE"/>
    <w:rsid w:val="00911714"/>
    <w:rsid w:val="00911D04"/>
    <w:rsid w:val="00911EFF"/>
    <w:rsid w:val="00913035"/>
    <w:rsid w:val="0091310F"/>
    <w:rsid w:val="009134B2"/>
    <w:rsid w:val="009136D4"/>
    <w:rsid w:val="00914B9A"/>
    <w:rsid w:val="00914C3F"/>
    <w:rsid w:val="00914F33"/>
    <w:rsid w:val="00915EFE"/>
    <w:rsid w:val="00915FCE"/>
    <w:rsid w:val="00916907"/>
    <w:rsid w:val="00916AFE"/>
    <w:rsid w:val="00916FC8"/>
    <w:rsid w:val="009170D3"/>
    <w:rsid w:val="0091759C"/>
    <w:rsid w:val="009177F5"/>
    <w:rsid w:val="00917CBE"/>
    <w:rsid w:val="00920026"/>
    <w:rsid w:val="009203E2"/>
    <w:rsid w:val="009207DF"/>
    <w:rsid w:val="00920BF5"/>
    <w:rsid w:val="00920F61"/>
    <w:rsid w:val="00921304"/>
    <w:rsid w:val="00921395"/>
    <w:rsid w:val="00921805"/>
    <w:rsid w:val="00921E63"/>
    <w:rsid w:val="009220F6"/>
    <w:rsid w:val="00923396"/>
    <w:rsid w:val="00923A05"/>
    <w:rsid w:val="00923F56"/>
    <w:rsid w:val="009242A6"/>
    <w:rsid w:val="00924770"/>
    <w:rsid w:val="00925022"/>
    <w:rsid w:val="00925346"/>
    <w:rsid w:val="0092557B"/>
    <w:rsid w:val="00925743"/>
    <w:rsid w:val="0092579F"/>
    <w:rsid w:val="00927E8D"/>
    <w:rsid w:val="00927F23"/>
    <w:rsid w:val="009307CD"/>
    <w:rsid w:val="0093110D"/>
    <w:rsid w:val="00931364"/>
    <w:rsid w:val="00931365"/>
    <w:rsid w:val="00931427"/>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76F"/>
    <w:rsid w:val="00935E70"/>
    <w:rsid w:val="0093609A"/>
    <w:rsid w:val="00937401"/>
    <w:rsid w:val="009376FB"/>
    <w:rsid w:val="00937D6B"/>
    <w:rsid w:val="00937EB5"/>
    <w:rsid w:val="00940207"/>
    <w:rsid w:val="00940477"/>
    <w:rsid w:val="00940876"/>
    <w:rsid w:val="00940A53"/>
    <w:rsid w:val="00940DBD"/>
    <w:rsid w:val="00940F3C"/>
    <w:rsid w:val="009410E0"/>
    <w:rsid w:val="00941B72"/>
    <w:rsid w:val="00941FA9"/>
    <w:rsid w:val="009439B6"/>
    <w:rsid w:val="009444B4"/>
    <w:rsid w:val="00944644"/>
    <w:rsid w:val="00945281"/>
    <w:rsid w:val="009459EA"/>
    <w:rsid w:val="00945DAE"/>
    <w:rsid w:val="00946A24"/>
    <w:rsid w:val="009470D4"/>
    <w:rsid w:val="00947337"/>
    <w:rsid w:val="009477BD"/>
    <w:rsid w:val="00947E6E"/>
    <w:rsid w:val="009512EA"/>
    <w:rsid w:val="009512FA"/>
    <w:rsid w:val="009516A9"/>
    <w:rsid w:val="00951E57"/>
    <w:rsid w:val="00952350"/>
    <w:rsid w:val="00952505"/>
    <w:rsid w:val="00953018"/>
    <w:rsid w:val="009533E2"/>
    <w:rsid w:val="00953554"/>
    <w:rsid w:val="0095385A"/>
    <w:rsid w:val="00954814"/>
    <w:rsid w:val="00954F3A"/>
    <w:rsid w:val="00955541"/>
    <w:rsid w:val="00955DFD"/>
    <w:rsid w:val="0095674F"/>
    <w:rsid w:val="0095747E"/>
    <w:rsid w:val="0095780A"/>
    <w:rsid w:val="009578C3"/>
    <w:rsid w:val="009579E4"/>
    <w:rsid w:val="00957AA4"/>
    <w:rsid w:val="00957ACB"/>
    <w:rsid w:val="00957F27"/>
    <w:rsid w:val="00960BDB"/>
    <w:rsid w:val="0096105C"/>
    <w:rsid w:val="0096147D"/>
    <w:rsid w:val="0096181D"/>
    <w:rsid w:val="00961C14"/>
    <w:rsid w:val="00961D53"/>
    <w:rsid w:val="00961E5F"/>
    <w:rsid w:val="009625C6"/>
    <w:rsid w:val="009629B5"/>
    <w:rsid w:val="00962A50"/>
    <w:rsid w:val="00962C93"/>
    <w:rsid w:val="00963550"/>
    <w:rsid w:val="00963A67"/>
    <w:rsid w:val="00964138"/>
    <w:rsid w:val="009648D6"/>
    <w:rsid w:val="00964B3F"/>
    <w:rsid w:val="00964C98"/>
    <w:rsid w:val="00966948"/>
    <w:rsid w:val="00970943"/>
    <w:rsid w:val="00971441"/>
    <w:rsid w:val="00971555"/>
    <w:rsid w:val="009715D4"/>
    <w:rsid w:val="009715E1"/>
    <w:rsid w:val="0097179A"/>
    <w:rsid w:val="00971B0A"/>
    <w:rsid w:val="00972AB2"/>
    <w:rsid w:val="009731F4"/>
    <w:rsid w:val="009732A4"/>
    <w:rsid w:val="00973AB3"/>
    <w:rsid w:val="00973C05"/>
    <w:rsid w:val="0097494E"/>
    <w:rsid w:val="00974999"/>
    <w:rsid w:val="00974B58"/>
    <w:rsid w:val="00974CBD"/>
    <w:rsid w:val="00974EF6"/>
    <w:rsid w:val="00975445"/>
    <w:rsid w:val="009761ED"/>
    <w:rsid w:val="009767BE"/>
    <w:rsid w:val="00976FFF"/>
    <w:rsid w:val="00977F52"/>
    <w:rsid w:val="0098022F"/>
    <w:rsid w:val="009810DE"/>
    <w:rsid w:val="00981B91"/>
    <w:rsid w:val="009822D7"/>
    <w:rsid w:val="009827E6"/>
    <w:rsid w:val="00982F84"/>
    <w:rsid w:val="009831C3"/>
    <w:rsid w:val="00983310"/>
    <w:rsid w:val="009838C1"/>
    <w:rsid w:val="0098427D"/>
    <w:rsid w:val="00984567"/>
    <w:rsid w:val="00985102"/>
    <w:rsid w:val="009854BC"/>
    <w:rsid w:val="00985A66"/>
    <w:rsid w:val="0098606C"/>
    <w:rsid w:val="009865D5"/>
    <w:rsid w:val="009866A4"/>
    <w:rsid w:val="00986CD7"/>
    <w:rsid w:val="0098721B"/>
    <w:rsid w:val="009876F2"/>
    <w:rsid w:val="00987C77"/>
    <w:rsid w:val="00987E4B"/>
    <w:rsid w:val="00987FED"/>
    <w:rsid w:val="00990345"/>
    <w:rsid w:val="00990701"/>
    <w:rsid w:val="009909A8"/>
    <w:rsid w:val="0099119C"/>
    <w:rsid w:val="0099137A"/>
    <w:rsid w:val="00991A9D"/>
    <w:rsid w:val="00991AED"/>
    <w:rsid w:val="0099211C"/>
    <w:rsid w:val="009928AF"/>
    <w:rsid w:val="00993013"/>
    <w:rsid w:val="0099308E"/>
    <w:rsid w:val="009930AB"/>
    <w:rsid w:val="00993125"/>
    <w:rsid w:val="00993B78"/>
    <w:rsid w:val="00994743"/>
    <w:rsid w:val="00994F3F"/>
    <w:rsid w:val="00995119"/>
    <w:rsid w:val="0099531F"/>
    <w:rsid w:val="009953AD"/>
    <w:rsid w:val="00995461"/>
    <w:rsid w:val="009957D7"/>
    <w:rsid w:val="0099583D"/>
    <w:rsid w:val="0099591E"/>
    <w:rsid w:val="00996020"/>
    <w:rsid w:val="0099629E"/>
    <w:rsid w:val="009967A4"/>
    <w:rsid w:val="00996851"/>
    <w:rsid w:val="00996897"/>
    <w:rsid w:val="00996992"/>
    <w:rsid w:val="00996CE5"/>
    <w:rsid w:val="00996E1E"/>
    <w:rsid w:val="00997148"/>
    <w:rsid w:val="00997392"/>
    <w:rsid w:val="0099747C"/>
    <w:rsid w:val="0099771C"/>
    <w:rsid w:val="009A01E4"/>
    <w:rsid w:val="009A0917"/>
    <w:rsid w:val="009A0A33"/>
    <w:rsid w:val="009A10B2"/>
    <w:rsid w:val="009A1351"/>
    <w:rsid w:val="009A2041"/>
    <w:rsid w:val="009A2435"/>
    <w:rsid w:val="009A2B60"/>
    <w:rsid w:val="009A2D3B"/>
    <w:rsid w:val="009A306E"/>
    <w:rsid w:val="009A35DC"/>
    <w:rsid w:val="009A38AB"/>
    <w:rsid w:val="009A38EC"/>
    <w:rsid w:val="009A39EE"/>
    <w:rsid w:val="009A3A33"/>
    <w:rsid w:val="009A3D47"/>
    <w:rsid w:val="009A4C64"/>
    <w:rsid w:val="009A4D63"/>
    <w:rsid w:val="009A5356"/>
    <w:rsid w:val="009A5468"/>
    <w:rsid w:val="009A55D8"/>
    <w:rsid w:val="009A5888"/>
    <w:rsid w:val="009A5D99"/>
    <w:rsid w:val="009A5DC6"/>
    <w:rsid w:val="009A608C"/>
    <w:rsid w:val="009A62E5"/>
    <w:rsid w:val="009A6FDF"/>
    <w:rsid w:val="009A715F"/>
    <w:rsid w:val="009A76D6"/>
    <w:rsid w:val="009A7BEB"/>
    <w:rsid w:val="009B03F1"/>
    <w:rsid w:val="009B1481"/>
    <w:rsid w:val="009B2374"/>
    <w:rsid w:val="009B28D6"/>
    <w:rsid w:val="009B2E29"/>
    <w:rsid w:val="009B3163"/>
    <w:rsid w:val="009B422F"/>
    <w:rsid w:val="009B46BC"/>
    <w:rsid w:val="009B48F8"/>
    <w:rsid w:val="009B4D1A"/>
    <w:rsid w:val="009B519D"/>
    <w:rsid w:val="009B558B"/>
    <w:rsid w:val="009B5DAA"/>
    <w:rsid w:val="009B663F"/>
    <w:rsid w:val="009B6D21"/>
    <w:rsid w:val="009B78ED"/>
    <w:rsid w:val="009C0783"/>
    <w:rsid w:val="009C08D7"/>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495"/>
    <w:rsid w:val="009C6BFC"/>
    <w:rsid w:val="009C70F8"/>
    <w:rsid w:val="009C78A3"/>
    <w:rsid w:val="009C7E68"/>
    <w:rsid w:val="009D00D7"/>
    <w:rsid w:val="009D0156"/>
    <w:rsid w:val="009D03B4"/>
    <w:rsid w:val="009D05DA"/>
    <w:rsid w:val="009D0AF9"/>
    <w:rsid w:val="009D11F6"/>
    <w:rsid w:val="009D1A14"/>
    <w:rsid w:val="009D1E2A"/>
    <w:rsid w:val="009D1FA0"/>
    <w:rsid w:val="009D23D3"/>
    <w:rsid w:val="009D28E8"/>
    <w:rsid w:val="009D2BDF"/>
    <w:rsid w:val="009D3736"/>
    <w:rsid w:val="009D3D06"/>
    <w:rsid w:val="009D4529"/>
    <w:rsid w:val="009D460F"/>
    <w:rsid w:val="009D604F"/>
    <w:rsid w:val="009D61BB"/>
    <w:rsid w:val="009D6410"/>
    <w:rsid w:val="009D68BB"/>
    <w:rsid w:val="009D6909"/>
    <w:rsid w:val="009D700F"/>
    <w:rsid w:val="009D70C2"/>
    <w:rsid w:val="009D7244"/>
    <w:rsid w:val="009D7ADB"/>
    <w:rsid w:val="009D7B33"/>
    <w:rsid w:val="009E0490"/>
    <w:rsid w:val="009E06C3"/>
    <w:rsid w:val="009E0703"/>
    <w:rsid w:val="009E0767"/>
    <w:rsid w:val="009E1035"/>
    <w:rsid w:val="009E13D2"/>
    <w:rsid w:val="009E16DA"/>
    <w:rsid w:val="009E1CD4"/>
    <w:rsid w:val="009E2103"/>
    <w:rsid w:val="009E2391"/>
    <w:rsid w:val="009E2A11"/>
    <w:rsid w:val="009E2C0F"/>
    <w:rsid w:val="009E3BEE"/>
    <w:rsid w:val="009E476A"/>
    <w:rsid w:val="009E4A16"/>
    <w:rsid w:val="009E4E05"/>
    <w:rsid w:val="009E56FF"/>
    <w:rsid w:val="009E5CB1"/>
    <w:rsid w:val="009E5E56"/>
    <w:rsid w:val="009E61EA"/>
    <w:rsid w:val="009E6990"/>
    <w:rsid w:val="009E6BA8"/>
    <w:rsid w:val="009E6FEE"/>
    <w:rsid w:val="009E7068"/>
    <w:rsid w:val="009E788D"/>
    <w:rsid w:val="009E790A"/>
    <w:rsid w:val="009E794B"/>
    <w:rsid w:val="009F00B9"/>
    <w:rsid w:val="009F060F"/>
    <w:rsid w:val="009F0781"/>
    <w:rsid w:val="009F07EF"/>
    <w:rsid w:val="009F0850"/>
    <w:rsid w:val="009F15A8"/>
    <w:rsid w:val="009F1950"/>
    <w:rsid w:val="009F1BDF"/>
    <w:rsid w:val="009F1EAE"/>
    <w:rsid w:val="009F210A"/>
    <w:rsid w:val="009F2732"/>
    <w:rsid w:val="009F2848"/>
    <w:rsid w:val="009F2A31"/>
    <w:rsid w:val="009F369D"/>
    <w:rsid w:val="009F36FE"/>
    <w:rsid w:val="009F3865"/>
    <w:rsid w:val="009F3C87"/>
    <w:rsid w:val="009F4990"/>
    <w:rsid w:val="009F4F25"/>
    <w:rsid w:val="009F59C2"/>
    <w:rsid w:val="009F6DD3"/>
    <w:rsid w:val="009F7263"/>
    <w:rsid w:val="009F76EA"/>
    <w:rsid w:val="009F78EB"/>
    <w:rsid w:val="009F7DB2"/>
    <w:rsid w:val="009F7F32"/>
    <w:rsid w:val="009F7FEB"/>
    <w:rsid w:val="00A003D5"/>
    <w:rsid w:val="00A0056C"/>
    <w:rsid w:val="00A00F5E"/>
    <w:rsid w:val="00A0109F"/>
    <w:rsid w:val="00A0120D"/>
    <w:rsid w:val="00A01852"/>
    <w:rsid w:val="00A0188B"/>
    <w:rsid w:val="00A01C35"/>
    <w:rsid w:val="00A01E73"/>
    <w:rsid w:val="00A01F7E"/>
    <w:rsid w:val="00A023E7"/>
    <w:rsid w:val="00A02B88"/>
    <w:rsid w:val="00A02EF9"/>
    <w:rsid w:val="00A03160"/>
    <w:rsid w:val="00A036AC"/>
    <w:rsid w:val="00A03C54"/>
    <w:rsid w:val="00A03DE5"/>
    <w:rsid w:val="00A041BC"/>
    <w:rsid w:val="00A0447F"/>
    <w:rsid w:val="00A04532"/>
    <w:rsid w:val="00A046D2"/>
    <w:rsid w:val="00A04A54"/>
    <w:rsid w:val="00A056D2"/>
    <w:rsid w:val="00A058B8"/>
    <w:rsid w:val="00A05B4B"/>
    <w:rsid w:val="00A066C3"/>
    <w:rsid w:val="00A06754"/>
    <w:rsid w:val="00A069E0"/>
    <w:rsid w:val="00A06E4A"/>
    <w:rsid w:val="00A06EB6"/>
    <w:rsid w:val="00A070E9"/>
    <w:rsid w:val="00A07630"/>
    <w:rsid w:val="00A0789B"/>
    <w:rsid w:val="00A078FB"/>
    <w:rsid w:val="00A10209"/>
    <w:rsid w:val="00A1036D"/>
    <w:rsid w:val="00A1057A"/>
    <w:rsid w:val="00A1069F"/>
    <w:rsid w:val="00A10ACA"/>
    <w:rsid w:val="00A10D08"/>
    <w:rsid w:val="00A11720"/>
    <w:rsid w:val="00A11E78"/>
    <w:rsid w:val="00A12355"/>
    <w:rsid w:val="00A12574"/>
    <w:rsid w:val="00A127D2"/>
    <w:rsid w:val="00A1284E"/>
    <w:rsid w:val="00A12AFA"/>
    <w:rsid w:val="00A13CF5"/>
    <w:rsid w:val="00A13EEC"/>
    <w:rsid w:val="00A143EC"/>
    <w:rsid w:val="00A149E8"/>
    <w:rsid w:val="00A1500F"/>
    <w:rsid w:val="00A15621"/>
    <w:rsid w:val="00A15670"/>
    <w:rsid w:val="00A157A0"/>
    <w:rsid w:val="00A1585B"/>
    <w:rsid w:val="00A15C19"/>
    <w:rsid w:val="00A15FE9"/>
    <w:rsid w:val="00A16809"/>
    <w:rsid w:val="00A17584"/>
    <w:rsid w:val="00A17769"/>
    <w:rsid w:val="00A17CA5"/>
    <w:rsid w:val="00A17EA2"/>
    <w:rsid w:val="00A20264"/>
    <w:rsid w:val="00A20997"/>
    <w:rsid w:val="00A210D4"/>
    <w:rsid w:val="00A213DD"/>
    <w:rsid w:val="00A21454"/>
    <w:rsid w:val="00A216CE"/>
    <w:rsid w:val="00A22025"/>
    <w:rsid w:val="00A22498"/>
    <w:rsid w:val="00A22571"/>
    <w:rsid w:val="00A2298D"/>
    <w:rsid w:val="00A235E1"/>
    <w:rsid w:val="00A24560"/>
    <w:rsid w:val="00A25088"/>
    <w:rsid w:val="00A25833"/>
    <w:rsid w:val="00A25B0F"/>
    <w:rsid w:val="00A25BBB"/>
    <w:rsid w:val="00A27FB6"/>
    <w:rsid w:val="00A30121"/>
    <w:rsid w:val="00A30368"/>
    <w:rsid w:val="00A3043A"/>
    <w:rsid w:val="00A30E02"/>
    <w:rsid w:val="00A30F6A"/>
    <w:rsid w:val="00A31060"/>
    <w:rsid w:val="00A31C3E"/>
    <w:rsid w:val="00A331E4"/>
    <w:rsid w:val="00A34538"/>
    <w:rsid w:val="00A34677"/>
    <w:rsid w:val="00A3540F"/>
    <w:rsid w:val="00A35630"/>
    <w:rsid w:val="00A35914"/>
    <w:rsid w:val="00A35E91"/>
    <w:rsid w:val="00A36189"/>
    <w:rsid w:val="00A361D8"/>
    <w:rsid w:val="00A3677A"/>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A5F"/>
    <w:rsid w:val="00A47701"/>
    <w:rsid w:val="00A47849"/>
    <w:rsid w:val="00A500B1"/>
    <w:rsid w:val="00A50238"/>
    <w:rsid w:val="00A51D65"/>
    <w:rsid w:val="00A52A53"/>
    <w:rsid w:val="00A52EE5"/>
    <w:rsid w:val="00A53037"/>
    <w:rsid w:val="00A532B9"/>
    <w:rsid w:val="00A5351D"/>
    <w:rsid w:val="00A53E79"/>
    <w:rsid w:val="00A5402C"/>
    <w:rsid w:val="00A54031"/>
    <w:rsid w:val="00A5426D"/>
    <w:rsid w:val="00A54895"/>
    <w:rsid w:val="00A54FC2"/>
    <w:rsid w:val="00A55122"/>
    <w:rsid w:val="00A55806"/>
    <w:rsid w:val="00A55CEA"/>
    <w:rsid w:val="00A560A9"/>
    <w:rsid w:val="00A56A00"/>
    <w:rsid w:val="00A56DE7"/>
    <w:rsid w:val="00A572F4"/>
    <w:rsid w:val="00A57EB2"/>
    <w:rsid w:val="00A6009E"/>
    <w:rsid w:val="00A60265"/>
    <w:rsid w:val="00A60540"/>
    <w:rsid w:val="00A60B1F"/>
    <w:rsid w:val="00A611B1"/>
    <w:rsid w:val="00A6144B"/>
    <w:rsid w:val="00A61C60"/>
    <w:rsid w:val="00A622EA"/>
    <w:rsid w:val="00A62589"/>
    <w:rsid w:val="00A62AD0"/>
    <w:rsid w:val="00A62B6D"/>
    <w:rsid w:val="00A62C3A"/>
    <w:rsid w:val="00A6319C"/>
    <w:rsid w:val="00A63812"/>
    <w:rsid w:val="00A63DF7"/>
    <w:rsid w:val="00A6454D"/>
    <w:rsid w:val="00A64767"/>
    <w:rsid w:val="00A64F2F"/>
    <w:rsid w:val="00A65960"/>
    <w:rsid w:val="00A6611E"/>
    <w:rsid w:val="00A6662C"/>
    <w:rsid w:val="00A668BA"/>
    <w:rsid w:val="00A66FA7"/>
    <w:rsid w:val="00A67170"/>
    <w:rsid w:val="00A67775"/>
    <w:rsid w:val="00A67E16"/>
    <w:rsid w:val="00A67EB1"/>
    <w:rsid w:val="00A67F1C"/>
    <w:rsid w:val="00A703CC"/>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2E"/>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096"/>
    <w:rsid w:val="00A832DB"/>
    <w:rsid w:val="00A83BEF"/>
    <w:rsid w:val="00A83C21"/>
    <w:rsid w:val="00A84443"/>
    <w:rsid w:val="00A8487F"/>
    <w:rsid w:val="00A84935"/>
    <w:rsid w:val="00A849A3"/>
    <w:rsid w:val="00A84A0E"/>
    <w:rsid w:val="00A8575D"/>
    <w:rsid w:val="00A861F4"/>
    <w:rsid w:val="00A86E0B"/>
    <w:rsid w:val="00A90546"/>
    <w:rsid w:val="00A90AD3"/>
    <w:rsid w:val="00A90F12"/>
    <w:rsid w:val="00A91C08"/>
    <w:rsid w:val="00A91DAA"/>
    <w:rsid w:val="00A91E6B"/>
    <w:rsid w:val="00A92684"/>
    <w:rsid w:val="00A928D0"/>
    <w:rsid w:val="00A93101"/>
    <w:rsid w:val="00A93239"/>
    <w:rsid w:val="00A9413E"/>
    <w:rsid w:val="00A94293"/>
    <w:rsid w:val="00A9496E"/>
    <w:rsid w:val="00A949F0"/>
    <w:rsid w:val="00A94BDE"/>
    <w:rsid w:val="00A94FCA"/>
    <w:rsid w:val="00A95E4C"/>
    <w:rsid w:val="00A96418"/>
    <w:rsid w:val="00A96C11"/>
    <w:rsid w:val="00A96C60"/>
    <w:rsid w:val="00A9740B"/>
    <w:rsid w:val="00A9766C"/>
    <w:rsid w:val="00A977F8"/>
    <w:rsid w:val="00A979DB"/>
    <w:rsid w:val="00A97A40"/>
    <w:rsid w:val="00A97AE8"/>
    <w:rsid w:val="00A97C93"/>
    <w:rsid w:val="00AA06C6"/>
    <w:rsid w:val="00AA0856"/>
    <w:rsid w:val="00AA08E7"/>
    <w:rsid w:val="00AA0A06"/>
    <w:rsid w:val="00AA1351"/>
    <w:rsid w:val="00AA184C"/>
    <w:rsid w:val="00AA1AF4"/>
    <w:rsid w:val="00AA1C84"/>
    <w:rsid w:val="00AA31C5"/>
    <w:rsid w:val="00AA3D7B"/>
    <w:rsid w:val="00AA42A0"/>
    <w:rsid w:val="00AA442B"/>
    <w:rsid w:val="00AA46A4"/>
    <w:rsid w:val="00AA47FA"/>
    <w:rsid w:val="00AA4BEB"/>
    <w:rsid w:val="00AA5779"/>
    <w:rsid w:val="00AA58A1"/>
    <w:rsid w:val="00AA5E49"/>
    <w:rsid w:val="00AA61C7"/>
    <w:rsid w:val="00AA669D"/>
    <w:rsid w:val="00AA66ED"/>
    <w:rsid w:val="00AA6B59"/>
    <w:rsid w:val="00AA6BE1"/>
    <w:rsid w:val="00AA6DB2"/>
    <w:rsid w:val="00AA7416"/>
    <w:rsid w:val="00AA7A60"/>
    <w:rsid w:val="00AA7B42"/>
    <w:rsid w:val="00AB041C"/>
    <w:rsid w:val="00AB0493"/>
    <w:rsid w:val="00AB14E8"/>
    <w:rsid w:val="00AB1B1D"/>
    <w:rsid w:val="00AB1CD8"/>
    <w:rsid w:val="00AB2216"/>
    <w:rsid w:val="00AB358D"/>
    <w:rsid w:val="00AB37A1"/>
    <w:rsid w:val="00AB3BAD"/>
    <w:rsid w:val="00AB3CFD"/>
    <w:rsid w:val="00AB49BC"/>
    <w:rsid w:val="00AB4DEE"/>
    <w:rsid w:val="00AB4E32"/>
    <w:rsid w:val="00AB5C19"/>
    <w:rsid w:val="00AB60F5"/>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1DF"/>
    <w:rsid w:val="00AC5395"/>
    <w:rsid w:val="00AC55C7"/>
    <w:rsid w:val="00AC56F2"/>
    <w:rsid w:val="00AC5D9D"/>
    <w:rsid w:val="00AC71C3"/>
    <w:rsid w:val="00AC7356"/>
    <w:rsid w:val="00AD0617"/>
    <w:rsid w:val="00AD0861"/>
    <w:rsid w:val="00AD09F7"/>
    <w:rsid w:val="00AD1B10"/>
    <w:rsid w:val="00AD1EFA"/>
    <w:rsid w:val="00AD2072"/>
    <w:rsid w:val="00AD2DBD"/>
    <w:rsid w:val="00AD2FBF"/>
    <w:rsid w:val="00AD30DB"/>
    <w:rsid w:val="00AD33A1"/>
    <w:rsid w:val="00AD340E"/>
    <w:rsid w:val="00AD4511"/>
    <w:rsid w:val="00AD455D"/>
    <w:rsid w:val="00AD463C"/>
    <w:rsid w:val="00AD470B"/>
    <w:rsid w:val="00AD4864"/>
    <w:rsid w:val="00AD4F60"/>
    <w:rsid w:val="00AD5044"/>
    <w:rsid w:val="00AD5114"/>
    <w:rsid w:val="00AD51D2"/>
    <w:rsid w:val="00AD5523"/>
    <w:rsid w:val="00AD5740"/>
    <w:rsid w:val="00AD604D"/>
    <w:rsid w:val="00AD6236"/>
    <w:rsid w:val="00AD69D5"/>
    <w:rsid w:val="00AD7619"/>
    <w:rsid w:val="00AD7770"/>
    <w:rsid w:val="00AE0053"/>
    <w:rsid w:val="00AE15DF"/>
    <w:rsid w:val="00AE1713"/>
    <w:rsid w:val="00AE1772"/>
    <w:rsid w:val="00AE1990"/>
    <w:rsid w:val="00AE25E8"/>
    <w:rsid w:val="00AE2AD4"/>
    <w:rsid w:val="00AE2CA7"/>
    <w:rsid w:val="00AE2F1D"/>
    <w:rsid w:val="00AE4C81"/>
    <w:rsid w:val="00AE586F"/>
    <w:rsid w:val="00AE6188"/>
    <w:rsid w:val="00AE62F6"/>
    <w:rsid w:val="00AE62FE"/>
    <w:rsid w:val="00AE6447"/>
    <w:rsid w:val="00AE6582"/>
    <w:rsid w:val="00AE6DC5"/>
    <w:rsid w:val="00AE7388"/>
    <w:rsid w:val="00AE7686"/>
    <w:rsid w:val="00AE799A"/>
    <w:rsid w:val="00AE7CF1"/>
    <w:rsid w:val="00AF038D"/>
    <w:rsid w:val="00AF0E81"/>
    <w:rsid w:val="00AF117A"/>
    <w:rsid w:val="00AF134E"/>
    <w:rsid w:val="00AF16CA"/>
    <w:rsid w:val="00AF186E"/>
    <w:rsid w:val="00AF19DF"/>
    <w:rsid w:val="00AF1D41"/>
    <w:rsid w:val="00AF1FBF"/>
    <w:rsid w:val="00AF20DA"/>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CBB"/>
    <w:rsid w:val="00AF6DEC"/>
    <w:rsid w:val="00AF6EB6"/>
    <w:rsid w:val="00AF7796"/>
    <w:rsid w:val="00AF7E8F"/>
    <w:rsid w:val="00AF7EA3"/>
    <w:rsid w:val="00B011A9"/>
    <w:rsid w:val="00B01BAF"/>
    <w:rsid w:val="00B024ED"/>
    <w:rsid w:val="00B026B8"/>
    <w:rsid w:val="00B02EB3"/>
    <w:rsid w:val="00B02F7C"/>
    <w:rsid w:val="00B02FCB"/>
    <w:rsid w:val="00B033F8"/>
    <w:rsid w:val="00B0343B"/>
    <w:rsid w:val="00B03C1E"/>
    <w:rsid w:val="00B03C32"/>
    <w:rsid w:val="00B04400"/>
    <w:rsid w:val="00B04835"/>
    <w:rsid w:val="00B05901"/>
    <w:rsid w:val="00B05A55"/>
    <w:rsid w:val="00B05DE1"/>
    <w:rsid w:val="00B05EE6"/>
    <w:rsid w:val="00B05F6C"/>
    <w:rsid w:val="00B06530"/>
    <w:rsid w:val="00B06595"/>
    <w:rsid w:val="00B06862"/>
    <w:rsid w:val="00B076C1"/>
    <w:rsid w:val="00B1003F"/>
    <w:rsid w:val="00B10109"/>
    <w:rsid w:val="00B1085E"/>
    <w:rsid w:val="00B10FD1"/>
    <w:rsid w:val="00B112D5"/>
    <w:rsid w:val="00B11378"/>
    <w:rsid w:val="00B1189E"/>
    <w:rsid w:val="00B11CC6"/>
    <w:rsid w:val="00B1219D"/>
    <w:rsid w:val="00B12735"/>
    <w:rsid w:val="00B12F44"/>
    <w:rsid w:val="00B12FBB"/>
    <w:rsid w:val="00B1345E"/>
    <w:rsid w:val="00B13C48"/>
    <w:rsid w:val="00B13E35"/>
    <w:rsid w:val="00B13EC0"/>
    <w:rsid w:val="00B14102"/>
    <w:rsid w:val="00B147B3"/>
    <w:rsid w:val="00B1498E"/>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5FA"/>
    <w:rsid w:val="00B2088D"/>
    <w:rsid w:val="00B208FF"/>
    <w:rsid w:val="00B20E85"/>
    <w:rsid w:val="00B21271"/>
    <w:rsid w:val="00B22E22"/>
    <w:rsid w:val="00B22F5F"/>
    <w:rsid w:val="00B2306B"/>
    <w:rsid w:val="00B23353"/>
    <w:rsid w:val="00B237E6"/>
    <w:rsid w:val="00B23813"/>
    <w:rsid w:val="00B23FBA"/>
    <w:rsid w:val="00B23FD9"/>
    <w:rsid w:val="00B24007"/>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39D"/>
    <w:rsid w:val="00B30884"/>
    <w:rsid w:val="00B30E11"/>
    <w:rsid w:val="00B30EAE"/>
    <w:rsid w:val="00B30EEB"/>
    <w:rsid w:val="00B31423"/>
    <w:rsid w:val="00B314B3"/>
    <w:rsid w:val="00B317AE"/>
    <w:rsid w:val="00B323E0"/>
    <w:rsid w:val="00B32D71"/>
    <w:rsid w:val="00B32DC0"/>
    <w:rsid w:val="00B32E31"/>
    <w:rsid w:val="00B32F53"/>
    <w:rsid w:val="00B3346C"/>
    <w:rsid w:val="00B3353B"/>
    <w:rsid w:val="00B335E4"/>
    <w:rsid w:val="00B33C23"/>
    <w:rsid w:val="00B345B4"/>
    <w:rsid w:val="00B348B1"/>
    <w:rsid w:val="00B34A28"/>
    <w:rsid w:val="00B35046"/>
    <w:rsid w:val="00B3529F"/>
    <w:rsid w:val="00B357F4"/>
    <w:rsid w:val="00B35B6A"/>
    <w:rsid w:val="00B3692A"/>
    <w:rsid w:val="00B36AFD"/>
    <w:rsid w:val="00B36D2B"/>
    <w:rsid w:val="00B37657"/>
    <w:rsid w:val="00B37AFD"/>
    <w:rsid w:val="00B37B07"/>
    <w:rsid w:val="00B4046F"/>
    <w:rsid w:val="00B406B3"/>
    <w:rsid w:val="00B40A36"/>
    <w:rsid w:val="00B41BCA"/>
    <w:rsid w:val="00B41D39"/>
    <w:rsid w:val="00B41E2B"/>
    <w:rsid w:val="00B422C0"/>
    <w:rsid w:val="00B426CA"/>
    <w:rsid w:val="00B426E1"/>
    <w:rsid w:val="00B434C1"/>
    <w:rsid w:val="00B43718"/>
    <w:rsid w:val="00B4387A"/>
    <w:rsid w:val="00B43A29"/>
    <w:rsid w:val="00B44746"/>
    <w:rsid w:val="00B44854"/>
    <w:rsid w:val="00B44BA5"/>
    <w:rsid w:val="00B455BD"/>
    <w:rsid w:val="00B458D0"/>
    <w:rsid w:val="00B47428"/>
    <w:rsid w:val="00B4792C"/>
    <w:rsid w:val="00B507A9"/>
    <w:rsid w:val="00B50C5B"/>
    <w:rsid w:val="00B50CAE"/>
    <w:rsid w:val="00B512AD"/>
    <w:rsid w:val="00B51680"/>
    <w:rsid w:val="00B5196C"/>
    <w:rsid w:val="00B525CB"/>
    <w:rsid w:val="00B52697"/>
    <w:rsid w:val="00B53D1A"/>
    <w:rsid w:val="00B541E7"/>
    <w:rsid w:val="00B54215"/>
    <w:rsid w:val="00B54D8F"/>
    <w:rsid w:val="00B5534B"/>
    <w:rsid w:val="00B55857"/>
    <w:rsid w:val="00B55C69"/>
    <w:rsid w:val="00B56851"/>
    <w:rsid w:val="00B56D6E"/>
    <w:rsid w:val="00B572F7"/>
    <w:rsid w:val="00B57B9D"/>
    <w:rsid w:val="00B57DAF"/>
    <w:rsid w:val="00B57E74"/>
    <w:rsid w:val="00B60094"/>
    <w:rsid w:val="00B6022C"/>
    <w:rsid w:val="00B6040C"/>
    <w:rsid w:val="00B61119"/>
    <w:rsid w:val="00B614F8"/>
    <w:rsid w:val="00B61994"/>
    <w:rsid w:val="00B61B18"/>
    <w:rsid w:val="00B61FD4"/>
    <w:rsid w:val="00B6235B"/>
    <w:rsid w:val="00B62880"/>
    <w:rsid w:val="00B62CA0"/>
    <w:rsid w:val="00B63872"/>
    <w:rsid w:val="00B63CB2"/>
    <w:rsid w:val="00B64246"/>
    <w:rsid w:val="00B64EDB"/>
    <w:rsid w:val="00B65938"/>
    <w:rsid w:val="00B65C8A"/>
    <w:rsid w:val="00B65CE2"/>
    <w:rsid w:val="00B660AD"/>
    <w:rsid w:val="00B66109"/>
    <w:rsid w:val="00B66349"/>
    <w:rsid w:val="00B66515"/>
    <w:rsid w:val="00B669B3"/>
    <w:rsid w:val="00B67BE7"/>
    <w:rsid w:val="00B67FBF"/>
    <w:rsid w:val="00B70090"/>
    <w:rsid w:val="00B70832"/>
    <w:rsid w:val="00B71376"/>
    <w:rsid w:val="00B716D7"/>
    <w:rsid w:val="00B72110"/>
    <w:rsid w:val="00B72419"/>
    <w:rsid w:val="00B72B91"/>
    <w:rsid w:val="00B73019"/>
    <w:rsid w:val="00B7315F"/>
    <w:rsid w:val="00B7323A"/>
    <w:rsid w:val="00B7353B"/>
    <w:rsid w:val="00B737FB"/>
    <w:rsid w:val="00B73E5D"/>
    <w:rsid w:val="00B73EF3"/>
    <w:rsid w:val="00B7423D"/>
    <w:rsid w:val="00B74366"/>
    <w:rsid w:val="00B74409"/>
    <w:rsid w:val="00B744EF"/>
    <w:rsid w:val="00B74D05"/>
    <w:rsid w:val="00B74EF8"/>
    <w:rsid w:val="00B75628"/>
    <w:rsid w:val="00B75893"/>
    <w:rsid w:val="00B763F4"/>
    <w:rsid w:val="00B76E53"/>
    <w:rsid w:val="00B771F4"/>
    <w:rsid w:val="00B77271"/>
    <w:rsid w:val="00B7762A"/>
    <w:rsid w:val="00B777FA"/>
    <w:rsid w:val="00B77850"/>
    <w:rsid w:val="00B7796B"/>
    <w:rsid w:val="00B80A7B"/>
    <w:rsid w:val="00B80C72"/>
    <w:rsid w:val="00B80F98"/>
    <w:rsid w:val="00B8101E"/>
    <w:rsid w:val="00B81964"/>
    <w:rsid w:val="00B81E6F"/>
    <w:rsid w:val="00B82123"/>
    <w:rsid w:val="00B8225B"/>
    <w:rsid w:val="00B82BB5"/>
    <w:rsid w:val="00B83182"/>
    <w:rsid w:val="00B837C8"/>
    <w:rsid w:val="00B839F0"/>
    <w:rsid w:val="00B851E4"/>
    <w:rsid w:val="00B8535C"/>
    <w:rsid w:val="00B854CE"/>
    <w:rsid w:val="00B85681"/>
    <w:rsid w:val="00B857EB"/>
    <w:rsid w:val="00B858AD"/>
    <w:rsid w:val="00B86162"/>
    <w:rsid w:val="00B86877"/>
    <w:rsid w:val="00B8695D"/>
    <w:rsid w:val="00B86C04"/>
    <w:rsid w:val="00B86E66"/>
    <w:rsid w:val="00B873BA"/>
    <w:rsid w:val="00B8746F"/>
    <w:rsid w:val="00B8760D"/>
    <w:rsid w:val="00B87706"/>
    <w:rsid w:val="00B90A49"/>
    <w:rsid w:val="00B90A73"/>
    <w:rsid w:val="00B91B8E"/>
    <w:rsid w:val="00B92531"/>
    <w:rsid w:val="00B92618"/>
    <w:rsid w:val="00B92751"/>
    <w:rsid w:val="00B92B69"/>
    <w:rsid w:val="00B92CC6"/>
    <w:rsid w:val="00B935C9"/>
    <w:rsid w:val="00B93E3D"/>
    <w:rsid w:val="00B94017"/>
    <w:rsid w:val="00B94498"/>
    <w:rsid w:val="00B94BD3"/>
    <w:rsid w:val="00B94C02"/>
    <w:rsid w:val="00B95464"/>
    <w:rsid w:val="00B955CE"/>
    <w:rsid w:val="00B95C30"/>
    <w:rsid w:val="00B95E3D"/>
    <w:rsid w:val="00B9691F"/>
    <w:rsid w:val="00B96EEC"/>
    <w:rsid w:val="00B97392"/>
    <w:rsid w:val="00B976C7"/>
    <w:rsid w:val="00B97A73"/>
    <w:rsid w:val="00B97B5E"/>
    <w:rsid w:val="00BA087B"/>
    <w:rsid w:val="00BA0A51"/>
    <w:rsid w:val="00BA0C54"/>
    <w:rsid w:val="00BA1382"/>
    <w:rsid w:val="00BA15E3"/>
    <w:rsid w:val="00BA1A8C"/>
    <w:rsid w:val="00BA1D07"/>
    <w:rsid w:val="00BA20B6"/>
    <w:rsid w:val="00BA20D8"/>
    <w:rsid w:val="00BA22FC"/>
    <w:rsid w:val="00BA2C2A"/>
    <w:rsid w:val="00BA2F30"/>
    <w:rsid w:val="00BA3982"/>
    <w:rsid w:val="00BA405F"/>
    <w:rsid w:val="00BA4771"/>
    <w:rsid w:val="00BA482B"/>
    <w:rsid w:val="00BA5027"/>
    <w:rsid w:val="00BA543F"/>
    <w:rsid w:val="00BA5589"/>
    <w:rsid w:val="00BA55E0"/>
    <w:rsid w:val="00BA5D36"/>
    <w:rsid w:val="00BA665B"/>
    <w:rsid w:val="00BA6FE8"/>
    <w:rsid w:val="00BA732D"/>
    <w:rsid w:val="00BA7370"/>
    <w:rsid w:val="00BA778B"/>
    <w:rsid w:val="00BB0156"/>
    <w:rsid w:val="00BB0888"/>
    <w:rsid w:val="00BB0DF1"/>
    <w:rsid w:val="00BB0E49"/>
    <w:rsid w:val="00BB0E9B"/>
    <w:rsid w:val="00BB12EA"/>
    <w:rsid w:val="00BB1DCA"/>
    <w:rsid w:val="00BB2236"/>
    <w:rsid w:val="00BB2841"/>
    <w:rsid w:val="00BB2FC4"/>
    <w:rsid w:val="00BB300F"/>
    <w:rsid w:val="00BB32C9"/>
    <w:rsid w:val="00BB35C5"/>
    <w:rsid w:val="00BB3F26"/>
    <w:rsid w:val="00BB401E"/>
    <w:rsid w:val="00BB4048"/>
    <w:rsid w:val="00BB4C8E"/>
    <w:rsid w:val="00BB5324"/>
    <w:rsid w:val="00BB57ED"/>
    <w:rsid w:val="00BB5A2D"/>
    <w:rsid w:val="00BB606C"/>
    <w:rsid w:val="00BB65C3"/>
    <w:rsid w:val="00BB662E"/>
    <w:rsid w:val="00BB67A9"/>
    <w:rsid w:val="00BB6C01"/>
    <w:rsid w:val="00BB7942"/>
    <w:rsid w:val="00BB7B13"/>
    <w:rsid w:val="00BB7CD1"/>
    <w:rsid w:val="00BC0F33"/>
    <w:rsid w:val="00BC14A7"/>
    <w:rsid w:val="00BC17CC"/>
    <w:rsid w:val="00BC209F"/>
    <w:rsid w:val="00BC244D"/>
    <w:rsid w:val="00BC24AD"/>
    <w:rsid w:val="00BC2898"/>
    <w:rsid w:val="00BC2928"/>
    <w:rsid w:val="00BC29BD"/>
    <w:rsid w:val="00BC2BB1"/>
    <w:rsid w:val="00BC2BC5"/>
    <w:rsid w:val="00BC30B3"/>
    <w:rsid w:val="00BC34A3"/>
    <w:rsid w:val="00BC3DD4"/>
    <w:rsid w:val="00BC3FF9"/>
    <w:rsid w:val="00BC4834"/>
    <w:rsid w:val="00BC4A97"/>
    <w:rsid w:val="00BC5A25"/>
    <w:rsid w:val="00BC5A3F"/>
    <w:rsid w:val="00BC5FDD"/>
    <w:rsid w:val="00BC68B4"/>
    <w:rsid w:val="00BC71AD"/>
    <w:rsid w:val="00BC7277"/>
    <w:rsid w:val="00BC779D"/>
    <w:rsid w:val="00BD0140"/>
    <w:rsid w:val="00BD02CC"/>
    <w:rsid w:val="00BD088E"/>
    <w:rsid w:val="00BD0A08"/>
    <w:rsid w:val="00BD0F18"/>
    <w:rsid w:val="00BD182E"/>
    <w:rsid w:val="00BD2063"/>
    <w:rsid w:val="00BD2640"/>
    <w:rsid w:val="00BD2950"/>
    <w:rsid w:val="00BD2C4A"/>
    <w:rsid w:val="00BD337A"/>
    <w:rsid w:val="00BD33D9"/>
    <w:rsid w:val="00BD38C5"/>
    <w:rsid w:val="00BD3A6D"/>
    <w:rsid w:val="00BD3AF1"/>
    <w:rsid w:val="00BD3DEA"/>
    <w:rsid w:val="00BD3E97"/>
    <w:rsid w:val="00BD3EC3"/>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156"/>
    <w:rsid w:val="00BE2661"/>
    <w:rsid w:val="00BE26C0"/>
    <w:rsid w:val="00BE3442"/>
    <w:rsid w:val="00BE3700"/>
    <w:rsid w:val="00BE37CD"/>
    <w:rsid w:val="00BE47B2"/>
    <w:rsid w:val="00BE4881"/>
    <w:rsid w:val="00BE48C7"/>
    <w:rsid w:val="00BE4F66"/>
    <w:rsid w:val="00BE4FBF"/>
    <w:rsid w:val="00BE5238"/>
    <w:rsid w:val="00BE5487"/>
    <w:rsid w:val="00BE5742"/>
    <w:rsid w:val="00BE6074"/>
    <w:rsid w:val="00BE68E2"/>
    <w:rsid w:val="00BE6D73"/>
    <w:rsid w:val="00BE7257"/>
    <w:rsid w:val="00BE7CE9"/>
    <w:rsid w:val="00BF020D"/>
    <w:rsid w:val="00BF0532"/>
    <w:rsid w:val="00BF0609"/>
    <w:rsid w:val="00BF0B32"/>
    <w:rsid w:val="00BF0EE8"/>
    <w:rsid w:val="00BF10ED"/>
    <w:rsid w:val="00BF1DD2"/>
    <w:rsid w:val="00BF23A3"/>
    <w:rsid w:val="00BF2A7E"/>
    <w:rsid w:val="00BF2B39"/>
    <w:rsid w:val="00BF3331"/>
    <w:rsid w:val="00BF3A45"/>
    <w:rsid w:val="00BF4154"/>
    <w:rsid w:val="00BF436F"/>
    <w:rsid w:val="00BF4C4A"/>
    <w:rsid w:val="00BF5C05"/>
    <w:rsid w:val="00BF65E3"/>
    <w:rsid w:val="00BF6990"/>
    <w:rsid w:val="00BF6A12"/>
    <w:rsid w:val="00BF6FC6"/>
    <w:rsid w:val="00BF775D"/>
    <w:rsid w:val="00BF7C52"/>
    <w:rsid w:val="00BF7F3A"/>
    <w:rsid w:val="00BF7F99"/>
    <w:rsid w:val="00C00713"/>
    <w:rsid w:val="00C009A0"/>
    <w:rsid w:val="00C01F74"/>
    <w:rsid w:val="00C020C1"/>
    <w:rsid w:val="00C02558"/>
    <w:rsid w:val="00C025CC"/>
    <w:rsid w:val="00C025FE"/>
    <w:rsid w:val="00C0285F"/>
    <w:rsid w:val="00C028F5"/>
    <w:rsid w:val="00C02F35"/>
    <w:rsid w:val="00C03305"/>
    <w:rsid w:val="00C03515"/>
    <w:rsid w:val="00C03738"/>
    <w:rsid w:val="00C037A6"/>
    <w:rsid w:val="00C03910"/>
    <w:rsid w:val="00C04221"/>
    <w:rsid w:val="00C043F5"/>
    <w:rsid w:val="00C044E3"/>
    <w:rsid w:val="00C04607"/>
    <w:rsid w:val="00C04BDB"/>
    <w:rsid w:val="00C04F1B"/>
    <w:rsid w:val="00C052C6"/>
    <w:rsid w:val="00C05A61"/>
    <w:rsid w:val="00C05FBA"/>
    <w:rsid w:val="00C05FEE"/>
    <w:rsid w:val="00C065A4"/>
    <w:rsid w:val="00C066B4"/>
    <w:rsid w:val="00C06CCF"/>
    <w:rsid w:val="00C0794D"/>
    <w:rsid w:val="00C10E78"/>
    <w:rsid w:val="00C113D8"/>
    <w:rsid w:val="00C1159D"/>
    <w:rsid w:val="00C1233E"/>
    <w:rsid w:val="00C1276C"/>
    <w:rsid w:val="00C12FB3"/>
    <w:rsid w:val="00C138BC"/>
    <w:rsid w:val="00C13D85"/>
    <w:rsid w:val="00C144E4"/>
    <w:rsid w:val="00C14575"/>
    <w:rsid w:val="00C14639"/>
    <w:rsid w:val="00C14E82"/>
    <w:rsid w:val="00C14F61"/>
    <w:rsid w:val="00C14FF6"/>
    <w:rsid w:val="00C156B5"/>
    <w:rsid w:val="00C15A0A"/>
    <w:rsid w:val="00C15A85"/>
    <w:rsid w:val="00C1637C"/>
    <w:rsid w:val="00C1641B"/>
    <w:rsid w:val="00C165FC"/>
    <w:rsid w:val="00C167F7"/>
    <w:rsid w:val="00C16DCE"/>
    <w:rsid w:val="00C176D5"/>
    <w:rsid w:val="00C17D24"/>
    <w:rsid w:val="00C205EF"/>
    <w:rsid w:val="00C2082C"/>
    <w:rsid w:val="00C20EB0"/>
    <w:rsid w:val="00C21004"/>
    <w:rsid w:val="00C21005"/>
    <w:rsid w:val="00C2186B"/>
    <w:rsid w:val="00C218DF"/>
    <w:rsid w:val="00C21F0C"/>
    <w:rsid w:val="00C220B6"/>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490"/>
    <w:rsid w:val="00C27D37"/>
    <w:rsid w:val="00C309E8"/>
    <w:rsid w:val="00C309FE"/>
    <w:rsid w:val="00C30C6E"/>
    <w:rsid w:val="00C32017"/>
    <w:rsid w:val="00C32571"/>
    <w:rsid w:val="00C325CD"/>
    <w:rsid w:val="00C32A60"/>
    <w:rsid w:val="00C3322E"/>
    <w:rsid w:val="00C337F5"/>
    <w:rsid w:val="00C3383E"/>
    <w:rsid w:val="00C33B90"/>
    <w:rsid w:val="00C34161"/>
    <w:rsid w:val="00C34B5F"/>
    <w:rsid w:val="00C358D4"/>
    <w:rsid w:val="00C35EBE"/>
    <w:rsid w:val="00C365C6"/>
    <w:rsid w:val="00C366F4"/>
    <w:rsid w:val="00C36785"/>
    <w:rsid w:val="00C3711C"/>
    <w:rsid w:val="00C37256"/>
    <w:rsid w:val="00C37A7B"/>
    <w:rsid w:val="00C37BD9"/>
    <w:rsid w:val="00C37DC1"/>
    <w:rsid w:val="00C37FFE"/>
    <w:rsid w:val="00C40217"/>
    <w:rsid w:val="00C403CD"/>
    <w:rsid w:val="00C40B50"/>
    <w:rsid w:val="00C419E3"/>
    <w:rsid w:val="00C419F4"/>
    <w:rsid w:val="00C41E6A"/>
    <w:rsid w:val="00C42247"/>
    <w:rsid w:val="00C428E7"/>
    <w:rsid w:val="00C42C9A"/>
    <w:rsid w:val="00C4317B"/>
    <w:rsid w:val="00C4330B"/>
    <w:rsid w:val="00C438A2"/>
    <w:rsid w:val="00C439BE"/>
    <w:rsid w:val="00C43E53"/>
    <w:rsid w:val="00C451B2"/>
    <w:rsid w:val="00C4539B"/>
    <w:rsid w:val="00C45466"/>
    <w:rsid w:val="00C455C1"/>
    <w:rsid w:val="00C4581D"/>
    <w:rsid w:val="00C47472"/>
    <w:rsid w:val="00C47F18"/>
    <w:rsid w:val="00C500F0"/>
    <w:rsid w:val="00C504A7"/>
    <w:rsid w:val="00C506C9"/>
    <w:rsid w:val="00C50A16"/>
    <w:rsid w:val="00C51C4F"/>
    <w:rsid w:val="00C51C9A"/>
    <w:rsid w:val="00C52C68"/>
    <w:rsid w:val="00C52D98"/>
    <w:rsid w:val="00C52DA1"/>
    <w:rsid w:val="00C53D24"/>
    <w:rsid w:val="00C53ED1"/>
    <w:rsid w:val="00C54640"/>
    <w:rsid w:val="00C547A6"/>
    <w:rsid w:val="00C54A3A"/>
    <w:rsid w:val="00C54AF8"/>
    <w:rsid w:val="00C55C32"/>
    <w:rsid w:val="00C56A67"/>
    <w:rsid w:val="00C56CC2"/>
    <w:rsid w:val="00C56D0B"/>
    <w:rsid w:val="00C56D8D"/>
    <w:rsid w:val="00C57498"/>
    <w:rsid w:val="00C5763C"/>
    <w:rsid w:val="00C5780C"/>
    <w:rsid w:val="00C5796B"/>
    <w:rsid w:val="00C57C64"/>
    <w:rsid w:val="00C6031F"/>
    <w:rsid w:val="00C60C9F"/>
    <w:rsid w:val="00C612C4"/>
    <w:rsid w:val="00C61863"/>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304"/>
    <w:rsid w:val="00C71E2A"/>
    <w:rsid w:val="00C7238B"/>
    <w:rsid w:val="00C7248D"/>
    <w:rsid w:val="00C733BA"/>
    <w:rsid w:val="00C7356F"/>
    <w:rsid w:val="00C73AC2"/>
    <w:rsid w:val="00C741CF"/>
    <w:rsid w:val="00C742F6"/>
    <w:rsid w:val="00C7541F"/>
    <w:rsid w:val="00C760DC"/>
    <w:rsid w:val="00C771A5"/>
    <w:rsid w:val="00C772E8"/>
    <w:rsid w:val="00C77777"/>
    <w:rsid w:val="00C77D00"/>
    <w:rsid w:val="00C77E99"/>
    <w:rsid w:val="00C8082B"/>
    <w:rsid w:val="00C80C6B"/>
    <w:rsid w:val="00C81A88"/>
    <w:rsid w:val="00C81D46"/>
    <w:rsid w:val="00C82298"/>
    <w:rsid w:val="00C82DC7"/>
    <w:rsid w:val="00C8331F"/>
    <w:rsid w:val="00C833B4"/>
    <w:rsid w:val="00C84284"/>
    <w:rsid w:val="00C84E33"/>
    <w:rsid w:val="00C85528"/>
    <w:rsid w:val="00C85FFC"/>
    <w:rsid w:val="00C861FC"/>
    <w:rsid w:val="00C86C87"/>
    <w:rsid w:val="00C9005E"/>
    <w:rsid w:val="00C90111"/>
    <w:rsid w:val="00C9038E"/>
    <w:rsid w:val="00C9077B"/>
    <w:rsid w:val="00C90AA7"/>
    <w:rsid w:val="00C90CA9"/>
    <w:rsid w:val="00C90F88"/>
    <w:rsid w:val="00C915F2"/>
    <w:rsid w:val="00C917B1"/>
    <w:rsid w:val="00C9193C"/>
    <w:rsid w:val="00C91B77"/>
    <w:rsid w:val="00C920E2"/>
    <w:rsid w:val="00C923F6"/>
    <w:rsid w:val="00C92568"/>
    <w:rsid w:val="00C9370F"/>
    <w:rsid w:val="00C93765"/>
    <w:rsid w:val="00C93877"/>
    <w:rsid w:val="00C93D8C"/>
    <w:rsid w:val="00C93E07"/>
    <w:rsid w:val="00C94065"/>
    <w:rsid w:val="00C946CC"/>
    <w:rsid w:val="00C959BD"/>
    <w:rsid w:val="00C95DFE"/>
    <w:rsid w:val="00C95F44"/>
    <w:rsid w:val="00C96331"/>
    <w:rsid w:val="00C96D1B"/>
    <w:rsid w:val="00C97106"/>
    <w:rsid w:val="00C978D4"/>
    <w:rsid w:val="00C97FB2"/>
    <w:rsid w:val="00CA0031"/>
    <w:rsid w:val="00CA0413"/>
    <w:rsid w:val="00CA043A"/>
    <w:rsid w:val="00CA0E51"/>
    <w:rsid w:val="00CA137B"/>
    <w:rsid w:val="00CA1691"/>
    <w:rsid w:val="00CA41E7"/>
    <w:rsid w:val="00CA424D"/>
    <w:rsid w:val="00CA4A99"/>
    <w:rsid w:val="00CA4CCC"/>
    <w:rsid w:val="00CA5520"/>
    <w:rsid w:val="00CA5812"/>
    <w:rsid w:val="00CA5984"/>
    <w:rsid w:val="00CA5BD4"/>
    <w:rsid w:val="00CA5C14"/>
    <w:rsid w:val="00CA7019"/>
    <w:rsid w:val="00CA7230"/>
    <w:rsid w:val="00CA76FC"/>
    <w:rsid w:val="00CA7E7B"/>
    <w:rsid w:val="00CB0236"/>
    <w:rsid w:val="00CB0CB1"/>
    <w:rsid w:val="00CB137C"/>
    <w:rsid w:val="00CB1881"/>
    <w:rsid w:val="00CB1969"/>
    <w:rsid w:val="00CB19E3"/>
    <w:rsid w:val="00CB2C3A"/>
    <w:rsid w:val="00CB2D38"/>
    <w:rsid w:val="00CB2F5E"/>
    <w:rsid w:val="00CB3C5E"/>
    <w:rsid w:val="00CB4137"/>
    <w:rsid w:val="00CB50D0"/>
    <w:rsid w:val="00CB52D0"/>
    <w:rsid w:val="00CB5578"/>
    <w:rsid w:val="00CB5671"/>
    <w:rsid w:val="00CB591C"/>
    <w:rsid w:val="00CB5943"/>
    <w:rsid w:val="00CB61B3"/>
    <w:rsid w:val="00CB6801"/>
    <w:rsid w:val="00CB6F83"/>
    <w:rsid w:val="00CB72AE"/>
    <w:rsid w:val="00CB7AC0"/>
    <w:rsid w:val="00CB7B53"/>
    <w:rsid w:val="00CC00CD"/>
    <w:rsid w:val="00CC0579"/>
    <w:rsid w:val="00CC0AF3"/>
    <w:rsid w:val="00CC0BC6"/>
    <w:rsid w:val="00CC0E68"/>
    <w:rsid w:val="00CC1780"/>
    <w:rsid w:val="00CC194E"/>
    <w:rsid w:val="00CC21AC"/>
    <w:rsid w:val="00CC232E"/>
    <w:rsid w:val="00CC2514"/>
    <w:rsid w:val="00CC2D34"/>
    <w:rsid w:val="00CC2F69"/>
    <w:rsid w:val="00CC315F"/>
    <w:rsid w:val="00CC3D38"/>
    <w:rsid w:val="00CC3F2F"/>
    <w:rsid w:val="00CC3FC8"/>
    <w:rsid w:val="00CC40C3"/>
    <w:rsid w:val="00CC45A5"/>
    <w:rsid w:val="00CC4AA0"/>
    <w:rsid w:val="00CC4CB4"/>
    <w:rsid w:val="00CC4E5D"/>
    <w:rsid w:val="00CC4EF4"/>
    <w:rsid w:val="00CC50AE"/>
    <w:rsid w:val="00CC5FFE"/>
    <w:rsid w:val="00CC61B7"/>
    <w:rsid w:val="00CC61CA"/>
    <w:rsid w:val="00CC69EC"/>
    <w:rsid w:val="00CC71D3"/>
    <w:rsid w:val="00CC743D"/>
    <w:rsid w:val="00CC7597"/>
    <w:rsid w:val="00CD02ED"/>
    <w:rsid w:val="00CD050A"/>
    <w:rsid w:val="00CD1017"/>
    <w:rsid w:val="00CD205D"/>
    <w:rsid w:val="00CD2A22"/>
    <w:rsid w:val="00CD2B50"/>
    <w:rsid w:val="00CD3172"/>
    <w:rsid w:val="00CD3913"/>
    <w:rsid w:val="00CD4506"/>
    <w:rsid w:val="00CD520B"/>
    <w:rsid w:val="00CD592E"/>
    <w:rsid w:val="00CD5982"/>
    <w:rsid w:val="00CD5A1A"/>
    <w:rsid w:val="00CD614A"/>
    <w:rsid w:val="00CD64A3"/>
    <w:rsid w:val="00CD710A"/>
    <w:rsid w:val="00CD7B8B"/>
    <w:rsid w:val="00CD7EFA"/>
    <w:rsid w:val="00CE020E"/>
    <w:rsid w:val="00CE0566"/>
    <w:rsid w:val="00CE1215"/>
    <w:rsid w:val="00CE1641"/>
    <w:rsid w:val="00CE1CD4"/>
    <w:rsid w:val="00CE2761"/>
    <w:rsid w:val="00CE28FC"/>
    <w:rsid w:val="00CE314E"/>
    <w:rsid w:val="00CE3A85"/>
    <w:rsid w:val="00CE3D5C"/>
    <w:rsid w:val="00CE3E09"/>
    <w:rsid w:val="00CE3E14"/>
    <w:rsid w:val="00CE44C7"/>
    <w:rsid w:val="00CE48E7"/>
    <w:rsid w:val="00CE53CC"/>
    <w:rsid w:val="00CE5F60"/>
    <w:rsid w:val="00CE65A7"/>
    <w:rsid w:val="00CE68FE"/>
    <w:rsid w:val="00CE69CC"/>
    <w:rsid w:val="00CE6EC4"/>
    <w:rsid w:val="00CE7F26"/>
    <w:rsid w:val="00CF04EE"/>
    <w:rsid w:val="00CF1226"/>
    <w:rsid w:val="00CF1ABB"/>
    <w:rsid w:val="00CF1AE3"/>
    <w:rsid w:val="00CF1E1D"/>
    <w:rsid w:val="00CF24FE"/>
    <w:rsid w:val="00CF287F"/>
    <w:rsid w:val="00CF35D0"/>
    <w:rsid w:val="00CF3B57"/>
    <w:rsid w:val="00CF3DD5"/>
    <w:rsid w:val="00CF40C1"/>
    <w:rsid w:val="00CF43E7"/>
    <w:rsid w:val="00CF4AF7"/>
    <w:rsid w:val="00CF4D20"/>
    <w:rsid w:val="00CF73F8"/>
    <w:rsid w:val="00CF7928"/>
    <w:rsid w:val="00CF7CA2"/>
    <w:rsid w:val="00D00911"/>
    <w:rsid w:val="00D00A8E"/>
    <w:rsid w:val="00D00DE0"/>
    <w:rsid w:val="00D00F79"/>
    <w:rsid w:val="00D012BF"/>
    <w:rsid w:val="00D01760"/>
    <w:rsid w:val="00D01838"/>
    <w:rsid w:val="00D01A26"/>
    <w:rsid w:val="00D0368E"/>
    <w:rsid w:val="00D03AC3"/>
    <w:rsid w:val="00D03AD6"/>
    <w:rsid w:val="00D03D2D"/>
    <w:rsid w:val="00D03E7B"/>
    <w:rsid w:val="00D0401A"/>
    <w:rsid w:val="00D047E0"/>
    <w:rsid w:val="00D04B9F"/>
    <w:rsid w:val="00D04D43"/>
    <w:rsid w:val="00D04FFB"/>
    <w:rsid w:val="00D055FE"/>
    <w:rsid w:val="00D058E9"/>
    <w:rsid w:val="00D0612A"/>
    <w:rsid w:val="00D1060D"/>
    <w:rsid w:val="00D10D14"/>
    <w:rsid w:val="00D10E7C"/>
    <w:rsid w:val="00D11182"/>
    <w:rsid w:val="00D1137B"/>
    <w:rsid w:val="00D11508"/>
    <w:rsid w:val="00D11687"/>
    <w:rsid w:val="00D11807"/>
    <w:rsid w:val="00D11DB3"/>
    <w:rsid w:val="00D12081"/>
    <w:rsid w:val="00D12D82"/>
    <w:rsid w:val="00D12F77"/>
    <w:rsid w:val="00D1306E"/>
    <w:rsid w:val="00D130B7"/>
    <w:rsid w:val="00D134CD"/>
    <w:rsid w:val="00D1401E"/>
    <w:rsid w:val="00D1485D"/>
    <w:rsid w:val="00D14B5F"/>
    <w:rsid w:val="00D14E13"/>
    <w:rsid w:val="00D14E26"/>
    <w:rsid w:val="00D14F23"/>
    <w:rsid w:val="00D15727"/>
    <w:rsid w:val="00D15DDD"/>
    <w:rsid w:val="00D160F6"/>
    <w:rsid w:val="00D165E0"/>
    <w:rsid w:val="00D165EE"/>
    <w:rsid w:val="00D16740"/>
    <w:rsid w:val="00D16A8B"/>
    <w:rsid w:val="00D16E39"/>
    <w:rsid w:val="00D171DE"/>
    <w:rsid w:val="00D172A4"/>
    <w:rsid w:val="00D175B2"/>
    <w:rsid w:val="00D17951"/>
    <w:rsid w:val="00D17AD8"/>
    <w:rsid w:val="00D2104A"/>
    <w:rsid w:val="00D21A58"/>
    <w:rsid w:val="00D21BB5"/>
    <w:rsid w:val="00D21DB2"/>
    <w:rsid w:val="00D21FFC"/>
    <w:rsid w:val="00D223B6"/>
    <w:rsid w:val="00D223E8"/>
    <w:rsid w:val="00D224E1"/>
    <w:rsid w:val="00D22B0F"/>
    <w:rsid w:val="00D22BDD"/>
    <w:rsid w:val="00D22DC8"/>
    <w:rsid w:val="00D23BF6"/>
    <w:rsid w:val="00D2477B"/>
    <w:rsid w:val="00D2522A"/>
    <w:rsid w:val="00D2531C"/>
    <w:rsid w:val="00D25428"/>
    <w:rsid w:val="00D25514"/>
    <w:rsid w:val="00D2553E"/>
    <w:rsid w:val="00D2587F"/>
    <w:rsid w:val="00D26DE7"/>
    <w:rsid w:val="00D2742F"/>
    <w:rsid w:val="00D274C5"/>
    <w:rsid w:val="00D2754F"/>
    <w:rsid w:val="00D277C5"/>
    <w:rsid w:val="00D279D9"/>
    <w:rsid w:val="00D27AFF"/>
    <w:rsid w:val="00D30041"/>
    <w:rsid w:val="00D30FEA"/>
    <w:rsid w:val="00D312DC"/>
    <w:rsid w:val="00D314CB"/>
    <w:rsid w:val="00D31566"/>
    <w:rsid w:val="00D31B84"/>
    <w:rsid w:val="00D31C6A"/>
    <w:rsid w:val="00D31EDF"/>
    <w:rsid w:val="00D31FF9"/>
    <w:rsid w:val="00D32149"/>
    <w:rsid w:val="00D32256"/>
    <w:rsid w:val="00D32A27"/>
    <w:rsid w:val="00D32ABC"/>
    <w:rsid w:val="00D33BAF"/>
    <w:rsid w:val="00D33FA4"/>
    <w:rsid w:val="00D34B25"/>
    <w:rsid w:val="00D34C7F"/>
    <w:rsid w:val="00D34F4E"/>
    <w:rsid w:val="00D357F3"/>
    <w:rsid w:val="00D35C0E"/>
    <w:rsid w:val="00D35C22"/>
    <w:rsid w:val="00D36FBF"/>
    <w:rsid w:val="00D373A8"/>
    <w:rsid w:val="00D379A5"/>
    <w:rsid w:val="00D37BB3"/>
    <w:rsid w:val="00D37EAD"/>
    <w:rsid w:val="00D401BE"/>
    <w:rsid w:val="00D4043A"/>
    <w:rsid w:val="00D40DB0"/>
    <w:rsid w:val="00D41093"/>
    <w:rsid w:val="00D41858"/>
    <w:rsid w:val="00D41EEB"/>
    <w:rsid w:val="00D422DB"/>
    <w:rsid w:val="00D42AC2"/>
    <w:rsid w:val="00D43F60"/>
    <w:rsid w:val="00D4498E"/>
    <w:rsid w:val="00D4515F"/>
    <w:rsid w:val="00D451E8"/>
    <w:rsid w:val="00D45DA5"/>
    <w:rsid w:val="00D466C9"/>
    <w:rsid w:val="00D47275"/>
    <w:rsid w:val="00D47ADA"/>
    <w:rsid w:val="00D500ED"/>
    <w:rsid w:val="00D5054C"/>
    <w:rsid w:val="00D50DB9"/>
    <w:rsid w:val="00D517F6"/>
    <w:rsid w:val="00D51AB7"/>
    <w:rsid w:val="00D51E15"/>
    <w:rsid w:val="00D52190"/>
    <w:rsid w:val="00D52B7E"/>
    <w:rsid w:val="00D52E2F"/>
    <w:rsid w:val="00D52F59"/>
    <w:rsid w:val="00D53445"/>
    <w:rsid w:val="00D53E3E"/>
    <w:rsid w:val="00D54620"/>
    <w:rsid w:val="00D55904"/>
    <w:rsid w:val="00D55DFF"/>
    <w:rsid w:val="00D5614E"/>
    <w:rsid w:val="00D5616F"/>
    <w:rsid w:val="00D57940"/>
    <w:rsid w:val="00D60327"/>
    <w:rsid w:val="00D61384"/>
    <w:rsid w:val="00D61526"/>
    <w:rsid w:val="00D61C39"/>
    <w:rsid w:val="00D61F81"/>
    <w:rsid w:val="00D620A6"/>
    <w:rsid w:val="00D623C0"/>
    <w:rsid w:val="00D62BE6"/>
    <w:rsid w:val="00D63359"/>
    <w:rsid w:val="00D63766"/>
    <w:rsid w:val="00D63912"/>
    <w:rsid w:val="00D63923"/>
    <w:rsid w:val="00D640F5"/>
    <w:rsid w:val="00D6451B"/>
    <w:rsid w:val="00D64B57"/>
    <w:rsid w:val="00D64FF1"/>
    <w:rsid w:val="00D651A1"/>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1B68"/>
    <w:rsid w:val="00D71E93"/>
    <w:rsid w:val="00D728F5"/>
    <w:rsid w:val="00D72E9D"/>
    <w:rsid w:val="00D73249"/>
    <w:rsid w:val="00D73419"/>
    <w:rsid w:val="00D73881"/>
    <w:rsid w:val="00D73CA9"/>
    <w:rsid w:val="00D73E45"/>
    <w:rsid w:val="00D74364"/>
    <w:rsid w:val="00D751B7"/>
    <w:rsid w:val="00D7524B"/>
    <w:rsid w:val="00D75396"/>
    <w:rsid w:val="00D755C6"/>
    <w:rsid w:val="00D75832"/>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1E3C"/>
    <w:rsid w:val="00D8223C"/>
    <w:rsid w:val="00D827B5"/>
    <w:rsid w:val="00D82A7D"/>
    <w:rsid w:val="00D82B57"/>
    <w:rsid w:val="00D82C77"/>
    <w:rsid w:val="00D82CE5"/>
    <w:rsid w:val="00D831E3"/>
    <w:rsid w:val="00D8342C"/>
    <w:rsid w:val="00D83D08"/>
    <w:rsid w:val="00D84983"/>
    <w:rsid w:val="00D84C00"/>
    <w:rsid w:val="00D85494"/>
    <w:rsid w:val="00D8582C"/>
    <w:rsid w:val="00D85D61"/>
    <w:rsid w:val="00D8616D"/>
    <w:rsid w:val="00D8711B"/>
    <w:rsid w:val="00D87384"/>
    <w:rsid w:val="00D9015D"/>
    <w:rsid w:val="00D90683"/>
    <w:rsid w:val="00D90B2A"/>
    <w:rsid w:val="00D91483"/>
    <w:rsid w:val="00D915C8"/>
    <w:rsid w:val="00D928ED"/>
    <w:rsid w:val="00D9310B"/>
    <w:rsid w:val="00D931F3"/>
    <w:rsid w:val="00D93726"/>
    <w:rsid w:val="00D93F3E"/>
    <w:rsid w:val="00D9405B"/>
    <w:rsid w:val="00D94942"/>
    <w:rsid w:val="00D95145"/>
    <w:rsid w:val="00D96594"/>
    <w:rsid w:val="00D967CB"/>
    <w:rsid w:val="00D968D4"/>
    <w:rsid w:val="00D96E12"/>
    <w:rsid w:val="00D96EE0"/>
    <w:rsid w:val="00D975DD"/>
    <w:rsid w:val="00D97BD1"/>
    <w:rsid w:val="00D97EF0"/>
    <w:rsid w:val="00DA00C3"/>
    <w:rsid w:val="00DA01E9"/>
    <w:rsid w:val="00DA06B8"/>
    <w:rsid w:val="00DA0C85"/>
    <w:rsid w:val="00DA14A9"/>
    <w:rsid w:val="00DA152F"/>
    <w:rsid w:val="00DA286D"/>
    <w:rsid w:val="00DA2969"/>
    <w:rsid w:val="00DA29B7"/>
    <w:rsid w:val="00DA2E5F"/>
    <w:rsid w:val="00DA337C"/>
    <w:rsid w:val="00DA36B3"/>
    <w:rsid w:val="00DA40C1"/>
    <w:rsid w:val="00DA422F"/>
    <w:rsid w:val="00DA4265"/>
    <w:rsid w:val="00DA4514"/>
    <w:rsid w:val="00DA4842"/>
    <w:rsid w:val="00DA4C97"/>
    <w:rsid w:val="00DA565E"/>
    <w:rsid w:val="00DA5989"/>
    <w:rsid w:val="00DA5AB1"/>
    <w:rsid w:val="00DA5DFE"/>
    <w:rsid w:val="00DA5F9D"/>
    <w:rsid w:val="00DA6719"/>
    <w:rsid w:val="00DA69B2"/>
    <w:rsid w:val="00DA7115"/>
    <w:rsid w:val="00DA7462"/>
    <w:rsid w:val="00DA7AD0"/>
    <w:rsid w:val="00DB02D7"/>
    <w:rsid w:val="00DB0301"/>
    <w:rsid w:val="00DB03CC"/>
    <w:rsid w:val="00DB03F3"/>
    <w:rsid w:val="00DB1142"/>
    <w:rsid w:val="00DB12D4"/>
    <w:rsid w:val="00DB14F0"/>
    <w:rsid w:val="00DB1745"/>
    <w:rsid w:val="00DB19BB"/>
    <w:rsid w:val="00DB1A00"/>
    <w:rsid w:val="00DB1AFF"/>
    <w:rsid w:val="00DB219A"/>
    <w:rsid w:val="00DB244C"/>
    <w:rsid w:val="00DB3024"/>
    <w:rsid w:val="00DB3165"/>
    <w:rsid w:val="00DB3445"/>
    <w:rsid w:val="00DB372F"/>
    <w:rsid w:val="00DB387B"/>
    <w:rsid w:val="00DB39DE"/>
    <w:rsid w:val="00DB4292"/>
    <w:rsid w:val="00DB4DF0"/>
    <w:rsid w:val="00DB5023"/>
    <w:rsid w:val="00DB6E46"/>
    <w:rsid w:val="00DB7117"/>
    <w:rsid w:val="00DB732A"/>
    <w:rsid w:val="00DB7760"/>
    <w:rsid w:val="00DB7DD4"/>
    <w:rsid w:val="00DC00B4"/>
    <w:rsid w:val="00DC0954"/>
    <w:rsid w:val="00DC0DF8"/>
    <w:rsid w:val="00DC15BA"/>
    <w:rsid w:val="00DC18CD"/>
    <w:rsid w:val="00DC1A68"/>
    <w:rsid w:val="00DC30B8"/>
    <w:rsid w:val="00DC478F"/>
    <w:rsid w:val="00DC482E"/>
    <w:rsid w:val="00DC4D92"/>
    <w:rsid w:val="00DC50AA"/>
    <w:rsid w:val="00DC61AC"/>
    <w:rsid w:val="00DC62E5"/>
    <w:rsid w:val="00DC69D2"/>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5808"/>
    <w:rsid w:val="00DD5946"/>
    <w:rsid w:val="00DD5B04"/>
    <w:rsid w:val="00DD5DAE"/>
    <w:rsid w:val="00DD5EC6"/>
    <w:rsid w:val="00DD605F"/>
    <w:rsid w:val="00DD65ED"/>
    <w:rsid w:val="00DD6A79"/>
    <w:rsid w:val="00DD72A0"/>
    <w:rsid w:val="00DD735D"/>
    <w:rsid w:val="00DD756A"/>
    <w:rsid w:val="00DD7D35"/>
    <w:rsid w:val="00DD7F7D"/>
    <w:rsid w:val="00DD7FBE"/>
    <w:rsid w:val="00DE0159"/>
    <w:rsid w:val="00DE064A"/>
    <w:rsid w:val="00DE082D"/>
    <w:rsid w:val="00DE1410"/>
    <w:rsid w:val="00DE20C6"/>
    <w:rsid w:val="00DE2ABA"/>
    <w:rsid w:val="00DE3119"/>
    <w:rsid w:val="00DE34EF"/>
    <w:rsid w:val="00DE3C24"/>
    <w:rsid w:val="00DE3FF0"/>
    <w:rsid w:val="00DE4105"/>
    <w:rsid w:val="00DE4BEA"/>
    <w:rsid w:val="00DE4E67"/>
    <w:rsid w:val="00DE5189"/>
    <w:rsid w:val="00DE5716"/>
    <w:rsid w:val="00DE7108"/>
    <w:rsid w:val="00DE78D1"/>
    <w:rsid w:val="00DE78FF"/>
    <w:rsid w:val="00DE7C6E"/>
    <w:rsid w:val="00DF0263"/>
    <w:rsid w:val="00DF071C"/>
    <w:rsid w:val="00DF09E3"/>
    <w:rsid w:val="00DF0EB4"/>
    <w:rsid w:val="00DF0FFD"/>
    <w:rsid w:val="00DF158B"/>
    <w:rsid w:val="00DF170E"/>
    <w:rsid w:val="00DF193C"/>
    <w:rsid w:val="00DF1E36"/>
    <w:rsid w:val="00DF236B"/>
    <w:rsid w:val="00DF24C4"/>
    <w:rsid w:val="00DF258A"/>
    <w:rsid w:val="00DF2A91"/>
    <w:rsid w:val="00DF3889"/>
    <w:rsid w:val="00DF3CC9"/>
    <w:rsid w:val="00DF41DD"/>
    <w:rsid w:val="00DF4451"/>
    <w:rsid w:val="00DF49FF"/>
    <w:rsid w:val="00DF4FFB"/>
    <w:rsid w:val="00DF5236"/>
    <w:rsid w:val="00DF651F"/>
    <w:rsid w:val="00DF6F43"/>
    <w:rsid w:val="00DF71EA"/>
    <w:rsid w:val="00DF752F"/>
    <w:rsid w:val="00DF76A2"/>
    <w:rsid w:val="00E00634"/>
    <w:rsid w:val="00E00B25"/>
    <w:rsid w:val="00E00B7A"/>
    <w:rsid w:val="00E01677"/>
    <w:rsid w:val="00E02186"/>
    <w:rsid w:val="00E025C2"/>
    <w:rsid w:val="00E026BB"/>
    <w:rsid w:val="00E027C5"/>
    <w:rsid w:val="00E03124"/>
    <w:rsid w:val="00E031C3"/>
    <w:rsid w:val="00E03951"/>
    <w:rsid w:val="00E03DB8"/>
    <w:rsid w:val="00E03F17"/>
    <w:rsid w:val="00E0420C"/>
    <w:rsid w:val="00E04D00"/>
    <w:rsid w:val="00E04EDD"/>
    <w:rsid w:val="00E04F86"/>
    <w:rsid w:val="00E05402"/>
    <w:rsid w:val="00E05E70"/>
    <w:rsid w:val="00E064BC"/>
    <w:rsid w:val="00E070C1"/>
    <w:rsid w:val="00E07225"/>
    <w:rsid w:val="00E076B4"/>
    <w:rsid w:val="00E07ADF"/>
    <w:rsid w:val="00E07B55"/>
    <w:rsid w:val="00E10579"/>
    <w:rsid w:val="00E109DD"/>
    <w:rsid w:val="00E10CF1"/>
    <w:rsid w:val="00E11229"/>
    <w:rsid w:val="00E114CA"/>
    <w:rsid w:val="00E127D1"/>
    <w:rsid w:val="00E13867"/>
    <w:rsid w:val="00E1397F"/>
    <w:rsid w:val="00E13AB8"/>
    <w:rsid w:val="00E13AE1"/>
    <w:rsid w:val="00E1482E"/>
    <w:rsid w:val="00E152D7"/>
    <w:rsid w:val="00E15DE3"/>
    <w:rsid w:val="00E16382"/>
    <w:rsid w:val="00E167AF"/>
    <w:rsid w:val="00E1699C"/>
    <w:rsid w:val="00E16E75"/>
    <w:rsid w:val="00E1746D"/>
    <w:rsid w:val="00E17594"/>
    <w:rsid w:val="00E17ABB"/>
    <w:rsid w:val="00E17CAC"/>
    <w:rsid w:val="00E2012A"/>
    <w:rsid w:val="00E205A2"/>
    <w:rsid w:val="00E20BA4"/>
    <w:rsid w:val="00E210D0"/>
    <w:rsid w:val="00E21887"/>
    <w:rsid w:val="00E21CC0"/>
    <w:rsid w:val="00E23137"/>
    <w:rsid w:val="00E23980"/>
    <w:rsid w:val="00E23AB0"/>
    <w:rsid w:val="00E241E9"/>
    <w:rsid w:val="00E24F12"/>
    <w:rsid w:val="00E257C3"/>
    <w:rsid w:val="00E25CB3"/>
    <w:rsid w:val="00E25DA4"/>
    <w:rsid w:val="00E26237"/>
    <w:rsid w:val="00E26950"/>
    <w:rsid w:val="00E26CB8"/>
    <w:rsid w:val="00E26D16"/>
    <w:rsid w:val="00E26FCF"/>
    <w:rsid w:val="00E27165"/>
    <w:rsid w:val="00E275D9"/>
    <w:rsid w:val="00E3044A"/>
    <w:rsid w:val="00E30E49"/>
    <w:rsid w:val="00E31A4A"/>
    <w:rsid w:val="00E31FCF"/>
    <w:rsid w:val="00E3212A"/>
    <w:rsid w:val="00E32279"/>
    <w:rsid w:val="00E3344A"/>
    <w:rsid w:val="00E33B29"/>
    <w:rsid w:val="00E33B62"/>
    <w:rsid w:val="00E3403D"/>
    <w:rsid w:val="00E344BD"/>
    <w:rsid w:val="00E34548"/>
    <w:rsid w:val="00E34E6C"/>
    <w:rsid w:val="00E353E2"/>
    <w:rsid w:val="00E360D8"/>
    <w:rsid w:val="00E36345"/>
    <w:rsid w:val="00E36C86"/>
    <w:rsid w:val="00E36CEB"/>
    <w:rsid w:val="00E37158"/>
    <w:rsid w:val="00E37A28"/>
    <w:rsid w:val="00E400C7"/>
    <w:rsid w:val="00E40430"/>
    <w:rsid w:val="00E40690"/>
    <w:rsid w:val="00E40AEB"/>
    <w:rsid w:val="00E40E82"/>
    <w:rsid w:val="00E40FB8"/>
    <w:rsid w:val="00E41141"/>
    <w:rsid w:val="00E4143A"/>
    <w:rsid w:val="00E420B7"/>
    <w:rsid w:val="00E424C8"/>
    <w:rsid w:val="00E4251D"/>
    <w:rsid w:val="00E427EB"/>
    <w:rsid w:val="00E427EF"/>
    <w:rsid w:val="00E43D00"/>
    <w:rsid w:val="00E443B4"/>
    <w:rsid w:val="00E445E4"/>
    <w:rsid w:val="00E447A0"/>
    <w:rsid w:val="00E457CB"/>
    <w:rsid w:val="00E45D47"/>
    <w:rsid w:val="00E45DE4"/>
    <w:rsid w:val="00E45E63"/>
    <w:rsid w:val="00E4759C"/>
    <w:rsid w:val="00E47AAE"/>
    <w:rsid w:val="00E47EFD"/>
    <w:rsid w:val="00E50A7B"/>
    <w:rsid w:val="00E50B0B"/>
    <w:rsid w:val="00E50C57"/>
    <w:rsid w:val="00E510FE"/>
    <w:rsid w:val="00E514BA"/>
    <w:rsid w:val="00E51513"/>
    <w:rsid w:val="00E5158C"/>
    <w:rsid w:val="00E51E25"/>
    <w:rsid w:val="00E5205B"/>
    <w:rsid w:val="00E521AE"/>
    <w:rsid w:val="00E529A3"/>
    <w:rsid w:val="00E533EE"/>
    <w:rsid w:val="00E53A21"/>
    <w:rsid w:val="00E53BCA"/>
    <w:rsid w:val="00E53DE2"/>
    <w:rsid w:val="00E53F02"/>
    <w:rsid w:val="00E5428D"/>
    <w:rsid w:val="00E54534"/>
    <w:rsid w:val="00E54874"/>
    <w:rsid w:val="00E548C3"/>
    <w:rsid w:val="00E54F27"/>
    <w:rsid w:val="00E55FF1"/>
    <w:rsid w:val="00E56090"/>
    <w:rsid w:val="00E561DA"/>
    <w:rsid w:val="00E56408"/>
    <w:rsid w:val="00E565B9"/>
    <w:rsid w:val="00E56E7B"/>
    <w:rsid w:val="00E5733B"/>
    <w:rsid w:val="00E5756C"/>
    <w:rsid w:val="00E5768D"/>
    <w:rsid w:val="00E57811"/>
    <w:rsid w:val="00E57FB0"/>
    <w:rsid w:val="00E600F4"/>
    <w:rsid w:val="00E601BE"/>
    <w:rsid w:val="00E60984"/>
    <w:rsid w:val="00E60A44"/>
    <w:rsid w:val="00E60B5F"/>
    <w:rsid w:val="00E613AE"/>
    <w:rsid w:val="00E61429"/>
    <w:rsid w:val="00E61ABB"/>
    <w:rsid w:val="00E61FD7"/>
    <w:rsid w:val="00E623E6"/>
    <w:rsid w:val="00E62BBF"/>
    <w:rsid w:val="00E62C76"/>
    <w:rsid w:val="00E630A2"/>
    <w:rsid w:val="00E630C0"/>
    <w:rsid w:val="00E63107"/>
    <w:rsid w:val="00E6312C"/>
    <w:rsid w:val="00E63299"/>
    <w:rsid w:val="00E634E6"/>
    <w:rsid w:val="00E63DCE"/>
    <w:rsid w:val="00E642EF"/>
    <w:rsid w:val="00E645CF"/>
    <w:rsid w:val="00E64700"/>
    <w:rsid w:val="00E65074"/>
    <w:rsid w:val="00E65857"/>
    <w:rsid w:val="00E65E70"/>
    <w:rsid w:val="00E6607B"/>
    <w:rsid w:val="00E66087"/>
    <w:rsid w:val="00E66D79"/>
    <w:rsid w:val="00E66FF9"/>
    <w:rsid w:val="00E6706F"/>
    <w:rsid w:val="00E673A2"/>
    <w:rsid w:val="00E674EB"/>
    <w:rsid w:val="00E67714"/>
    <w:rsid w:val="00E67856"/>
    <w:rsid w:val="00E679C8"/>
    <w:rsid w:val="00E67B8A"/>
    <w:rsid w:val="00E70314"/>
    <w:rsid w:val="00E70C98"/>
    <w:rsid w:val="00E724E7"/>
    <w:rsid w:val="00E72B41"/>
    <w:rsid w:val="00E7347B"/>
    <w:rsid w:val="00E73792"/>
    <w:rsid w:val="00E73D03"/>
    <w:rsid w:val="00E7471C"/>
    <w:rsid w:val="00E7498A"/>
    <w:rsid w:val="00E7514E"/>
    <w:rsid w:val="00E76537"/>
    <w:rsid w:val="00E77784"/>
    <w:rsid w:val="00E77AF5"/>
    <w:rsid w:val="00E801CE"/>
    <w:rsid w:val="00E8035B"/>
    <w:rsid w:val="00E805CD"/>
    <w:rsid w:val="00E80FC3"/>
    <w:rsid w:val="00E820F4"/>
    <w:rsid w:val="00E82263"/>
    <w:rsid w:val="00E823F9"/>
    <w:rsid w:val="00E82C1F"/>
    <w:rsid w:val="00E83671"/>
    <w:rsid w:val="00E83D1E"/>
    <w:rsid w:val="00E83F8E"/>
    <w:rsid w:val="00E840EE"/>
    <w:rsid w:val="00E84314"/>
    <w:rsid w:val="00E849CA"/>
    <w:rsid w:val="00E84A71"/>
    <w:rsid w:val="00E84E8F"/>
    <w:rsid w:val="00E853F3"/>
    <w:rsid w:val="00E8556F"/>
    <w:rsid w:val="00E85D69"/>
    <w:rsid w:val="00E8617F"/>
    <w:rsid w:val="00E86556"/>
    <w:rsid w:val="00E86D35"/>
    <w:rsid w:val="00E86DC2"/>
    <w:rsid w:val="00E86E32"/>
    <w:rsid w:val="00E86F2E"/>
    <w:rsid w:val="00E8732E"/>
    <w:rsid w:val="00E879C7"/>
    <w:rsid w:val="00E90067"/>
    <w:rsid w:val="00E9011F"/>
    <w:rsid w:val="00E906EB"/>
    <w:rsid w:val="00E90CE2"/>
    <w:rsid w:val="00E9109D"/>
    <w:rsid w:val="00E9170E"/>
    <w:rsid w:val="00E919FB"/>
    <w:rsid w:val="00E9241E"/>
    <w:rsid w:val="00E92460"/>
    <w:rsid w:val="00E92C2D"/>
    <w:rsid w:val="00E92E62"/>
    <w:rsid w:val="00E93804"/>
    <w:rsid w:val="00E9429D"/>
    <w:rsid w:val="00E95434"/>
    <w:rsid w:val="00E96033"/>
    <w:rsid w:val="00E96467"/>
    <w:rsid w:val="00E966DA"/>
    <w:rsid w:val="00E96948"/>
    <w:rsid w:val="00E9737B"/>
    <w:rsid w:val="00E97A3F"/>
    <w:rsid w:val="00E97F0A"/>
    <w:rsid w:val="00EA0100"/>
    <w:rsid w:val="00EA039A"/>
    <w:rsid w:val="00EA0455"/>
    <w:rsid w:val="00EA08BA"/>
    <w:rsid w:val="00EA0BCE"/>
    <w:rsid w:val="00EA10E4"/>
    <w:rsid w:val="00EA17BC"/>
    <w:rsid w:val="00EA2744"/>
    <w:rsid w:val="00EA37B9"/>
    <w:rsid w:val="00EA39F7"/>
    <w:rsid w:val="00EA3DC2"/>
    <w:rsid w:val="00EA434E"/>
    <w:rsid w:val="00EA4757"/>
    <w:rsid w:val="00EA560B"/>
    <w:rsid w:val="00EA5669"/>
    <w:rsid w:val="00EA5CC6"/>
    <w:rsid w:val="00EA63EF"/>
    <w:rsid w:val="00EA705C"/>
    <w:rsid w:val="00EA7CBF"/>
    <w:rsid w:val="00EB0A89"/>
    <w:rsid w:val="00EB0BD8"/>
    <w:rsid w:val="00EB1573"/>
    <w:rsid w:val="00EB1910"/>
    <w:rsid w:val="00EB1B7C"/>
    <w:rsid w:val="00EB2564"/>
    <w:rsid w:val="00EB2D83"/>
    <w:rsid w:val="00EB2E97"/>
    <w:rsid w:val="00EB2ED0"/>
    <w:rsid w:val="00EB3416"/>
    <w:rsid w:val="00EB4AE1"/>
    <w:rsid w:val="00EB52F4"/>
    <w:rsid w:val="00EB5694"/>
    <w:rsid w:val="00EB5779"/>
    <w:rsid w:val="00EB5C68"/>
    <w:rsid w:val="00EB5D2F"/>
    <w:rsid w:val="00EB61CC"/>
    <w:rsid w:val="00EB67F1"/>
    <w:rsid w:val="00EB6A67"/>
    <w:rsid w:val="00EB6ADA"/>
    <w:rsid w:val="00EB7132"/>
    <w:rsid w:val="00EB72CD"/>
    <w:rsid w:val="00EB749A"/>
    <w:rsid w:val="00EB76B6"/>
    <w:rsid w:val="00EB7D8A"/>
    <w:rsid w:val="00EC0487"/>
    <w:rsid w:val="00EC04F7"/>
    <w:rsid w:val="00EC05E2"/>
    <w:rsid w:val="00EC0E84"/>
    <w:rsid w:val="00EC16E2"/>
    <w:rsid w:val="00EC1CE7"/>
    <w:rsid w:val="00EC1DAE"/>
    <w:rsid w:val="00EC1F36"/>
    <w:rsid w:val="00EC224E"/>
    <w:rsid w:val="00EC26F1"/>
    <w:rsid w:val="00EC33A8"/>
    <w:rsid w:val="00EC3ABE"/>
    <w:rsid w:val="00EC3BA2"/>
    <w:rsid w:val="00EC3C94"/>
    <w:rsid w:val="00EC44DF"/>
    <w:rsid w:val="00EC4FB9"/>
    <w:rsid w:val="00EC5393"/>
    <w:rsid w:val="00EC567C"/>
    <w:rsid w:val="00EC5741"/>
    <w:rsid w:val="00EC5DA3"/>
    <w:rsid w:val="00EC6014"/>
    <w:rsid w:val="00EC6044"/>
    <w:rsid w:val="00EC6565"/>
    <w:rsid w:val="00EC6B3E"/>
    <w:rsid w:val="00EC73DE"/>
    <w:rsid w:val="00EC7637"/>
    <w:rsid w:val="00EC76EA"/>
    <w:rsid w:val="00EC7C07"/>
    <w:rsid w:val="00EC7CF2"/>
    <w:rsid w:val="00ED046C"/>
    <w:rsid w:val="00ED053A"/>
    <w:rsid w:val="00ED1257"/>
    <w:rsid w:val="00ED1F03"/>
    <w:rsid w:val="00ED249D"/>
    <w:rsid w:val="00ED2D27"/>
    <w:rsid w:val="00ED2F68"/>
    <w:rsid w:val="00ED3347"/>
    <w:rsid w:val="00ED3441"/>
    <w:rsid w:val="00ED3860"/>
    <w:rsid w:val="00ED3954"/>
    <w:rsid w:val="00ED39AC"/>
    <w:rsid w:val="00ED43A2"/>
    <w:rsid w:val="00ED4967"/>
    <w:rsid w:val="00ED4CA9"/>
    <w:rsid w:val="00ED50E5"/>
    <w:rsid w:val="00ED5140"/>
    <w:rsid w:val="00ED538C"/>
    <w:rsid w:val="00ED572F"/>
    <w:rsid w:val="00ED5771"/>
    <w:rsid w:val="00ED587F"/>
    <w:rsid w:val="00ED5964"/>
    <w:rsid w:val="00ED623F"/>
    <w:rsid w:val="00ED63A5"/>
    <w:rsid w:val="00ED69BA"/>
    <w:rsid w:val="00ED6D1A"/>
    <w:rsid w:val="00ED72E9"/>
    <w:rsid w:val="00ED732E"/>
    <w:rsid w:val="00ED74B3"/>
    <w:rsid w:val="00ED77F0"/>
    <w:rsid w:val="00ED7813"/>
    <w:rsid w:val="00ED7FBC"/>
    <w:rsid w:val="00EE0253"/>
    <w:rsid w:val="00EE0297"/>
    <w:rsid w:val="00EE1258"/>
    <w:rsid w:val="00EE13CA"/>
    <w:rsid w:val="00EE13DA"/>
    <w:rsid w:val="00EE1668"/>
    <w:rsid w:val="00EE1EDB"/>
    <w:rsid w:val="00EE24E2"/>
    <w:rsid w:val="00EE2A20"/>
    <w:rsid w:val="00EE366D"/>
    <w:rsid w:val="00EE3F80"/>
    <w:rsid w:val="00EE40A4"/>
    <w:rsid w:val="00EE41AA"/>
    <w:rsid w:val="00EE5454"/>
    <w:rsid w:val="00EE59B5"/>
    <w:rsid w:val="00EE5FB7"/>
    <w:rsid w:val="00EE6783"/>
    <w:rsid w:val="00EE678B"/>
    <w:rsid w:val="00EE7B54"/>
    <w:rsid w:val="00EE7C47"/>
    <w:rsid w:val="00EE7C88"/>
    <w:rsid w:val="00EE7C8B"/>
    <w:rsid w:val="00EF0209"/>
    <w:rsid w:val="00EF0EA4"/>
    <w:rsid w:val="00EF19A5"/>
    <w:rsid w:val="00EF1E97"/>
    <w:rsid w:val="00EF2436"/>
    <w:rsid w:val="00EF2547"/>
    <w:rsid w:val="00EF26F4"/>
    <w:rsid w:val="00EF28D8"/>
    <w:rsid w:val="00EF2B2B"/>
    <w:rsid w:val="00EF2E1C"/>
    <w:rsid w:val="00EF2FD6"/>
    <w:rsid w:val="00EF326A"/>
    <w:rsid w:val="00EF397D"/>
    <w:rsid w:val="00EF3CD4"/>
    <w:rsid w:val="00EF427A"/>
    <w:rsid w:val="00EF45DF"/>
    <w:rsid w:val="00EF4944"/>
    <w:rsid w:val="00EF4952"/>
    <w:rsid w:val="00EF498F"/>
    <w:rsid w:val="00EF4A42"/>
    <w:rsid w:val="00EF510C"/>
    <w:rsid w:val="00EF55C4"/>
    <w:rsid w:val="00EF57BC"/>
    <w:rsid w:val="00EF5A41"/>
    <w:rsid w:val="00EF5CA8"/>
    <w:rsid w:val="00EF6784"/>
    <w:rsid w:val="00EF688A"/>
    <w:rsid w:val="00EF6A03"/>
    <w:rsid w:val="00EF6DC2"/>
    <w:rsid w:val="00EF7506"/>
    <w:rsid w:val="00EF760B"/>
    <w:rsid w:val="00EF7BF4"/>
    <w:rsid w:val="00F0030F"/>
    <w:rsid w:val="00F00674"/>
    <w:rsid w:val="00F01657"/>
    <w:rsid w:val="00F01E67"/>
    <w:rsid w:val="00F01EF4"/>
    <w:rsid w:val="00F02744"/>
    <w:rsid w:val="00F02BFD"/>
    <w:rsid w:val="00F02D25"/>
    <w:rsid w:val="00F03A60"/>
    <w:rsid w:val="00F03C3D"/>
    <w:rsid w:val="00F0435D"/>
    <w:rsid w:val="00F04580"/>
    <w:rsid w:val="00F04986"/>
    <w:rsid w:val="00F04ECA"/>
    <w:rsid w:val="00F04F8B"/>
    <w:rsid w:val="00F064DB"/>
    <w:rsid w:val="00F06CA4"/>
    <w:rsid w:val="00F06E19"/>
    <w:rsid w:val="00F06F84"/>
    <w:rsid w:val="00F06FCD"/>
    <w:rsid w:val="00F0749E"/>
    <w:rsid w:val="00F076E7"/>
    <w:rsid w:val="00F07A86"/>
    <w:rsid w:val="00F07AA1"/>
    <w:rsid w:val="00F105AE"/>
    <w:rsid w:val="00F10618"/>
    <w:rsid w:val="00F10BB3"/>
    <w:rsid w:val="00F10E78"/>
    <w:rsid w:val="00F10E7D"/>
    <w:rsid w:val="00F1108B"/>
    <w:rsid w:val="00F114FA"/>
    <w:rsid w:val="00F11768"/>
    <w:rsid w:val="00F11951"/>
    <w:rsid w:val="00F12059"/>
    <w:rsid w:val="00F12262"/>
    <w:rsid w:val="00F12564"/>
    <w:rsid w:val="00F128D9"/>
    <w:rsid w:val="00F12AF8"/>
    <w:rsid w:val="00F12C52"/>
    <w:rsid w:val="00F13381"/>
    <w:rsid w:val="00F13417"/>
    <w:rsid w:val="00F13828"/>
    <w:rsid w:val="00F13E62"/>
    <w:rsid w:val="00F13F51"/>
    <w:rsid w:val="00F146E9"/>
    <w:rsid w:val="00F148B7"/>
    <w:rsid w:val="00F14BF6"/>
    <w:rsid w:val="00F14EA9"/>
    <w:rsid w:val="00F15505"/>
    <w:rsid w:val="00F15BFF"/>
    <w:rsid w:val="00F15FFF"/>
    <w:rsid w:val="00F1634B"/>
    <w:rsid w:val="00F1689D"/>
    <w:rsid w:val="00F16E4F"/>
    <w:rsid w:val="00F171B2"/>
    <w:rsid w:val="00F17244"/>
    <w:rsid w:val="00F20931"/>
    <w:rsid w:val="00F20ECE"/>
    <w:rsid w:val="00F213A0"/>
    <w:rsid w:val="00F21D54"/>
    <w:rsid w:val="00F21EF4"/>
    <w:rsid w:val="00F221A2"/>
    <w:rsid w:val="00F22831"/>
    <w:rsid w:val="00F22E8B"/>
    <w:rsid w:val="00F22F81"/>
    <w:rsid w:val="00F23113"/>
    <w:rsid w:val="00F23255"/>
    <w:rsid w:val="00F23393"/>
    <w:rsid w:val="00F23759"/>
    <w:rsid w:val="00F24644"/>
    <w:rsid w:val="00F246FF"/>
    <w:rsid w:val="00F24B57"/>
    <w:rsid w:val="00F24BB1"/>
    <w:rsid w:val="00F24F60"/>
    <w:rsid w:val="00F25947"/>
    <w:rsid w:val="00F25CC9"/>
    <w:rsid w:val="00F262D6"/>
    <w:rsid w:val="00F26F33"/>
    <w:rsid w:val="00F273D5"/>
    <w:rsid w:val="00F2748A"/>
    <w:rsid w:val="00F276C0"/>
    <w:rsid w:val="00F2786C"/>
    <w:rsid w:val="00F300A8"/>
    <w:rsid w:val="00F302C6"/>
    <w:rsid w:val="00F30400"/>
    <w:rsid w:val="00F3079E"/>
    <w:rsid w:val="00F311A1"/>
    <w:rsid w:val="00F31289"/>
    <w:rsid w:val="00F3232D"/>
    <w:rsid w:val="00F32356"/>
    <w:rsid w:val="00F32F80"/>
    <w:rsid w:val="00F3399B"/>
    <w:rsid w:val="00F33F4B"/>
    <w:rsid w:val="00F346ED"/>
    <w:rsid w:val="00F34945"/>
    <w:rsid w:val="00F34E1E"/>
    <w:rsid w:val="00F3570C"/>
    <w:rsid w:val="00F363A4"/>
    <w:rsid w:val="00F36765"/>
    <w:rsid w:val="00F368FF"/>
    <w:rsid w:val="00F37068"/>
    <w:rsid w:val="00F37E5F"/>
    <w:rsid w:val="00F37F3F"/>
    <w:rsid w:val="00F37F84"/>
    <w:rsid w:val="00F40190"/>
    <w:rsid w:val="00F40992"/>
    <w:rsid w:val="00F40F72"/>
    <w:rsid w:val="00F41596"/>
    <w:rsid w:val="00F41D8B"/>
    <w:rsid w:val="00F42121"/>
    <w:rsid w:val="00F424B3"/>
    <w:rsid w:val="00F428B1"/>
    <w:rsid w:val="00F428B4"/>
    <w:rsid w:val="00F43416"/>
    <w:rsid w:val="00F4345D"/>
    <w:rsid w:val="00F4387B"/>
    <w:rsid w:val="00F45921"/>
    <w:rsid w:val="00F45B91"/>
    <w:rsid w:val="00F46502"/>
    <w:rsid w:val="00F46639"/>
    <w:rsid w:val="00F47026"/>
    <w:rsid w:val="00F476FD"/>
    <w:rsid w:val="00F50183"/>
    <w:rsid w:val="00F5033A"/>
    <w:rsid w:val="00F50D92"/>
    <w:rsid w:val="00F51765"/>
    <w:rsid w:val="00F51A51"/>
    <w:rsid w:val="00F51BC6"/>
    <w:rsid w:val="00F51CB4"/>
    <w:rsid w:val="00F52200"/>
    <w:rsid w:val="00F52324"/>
    <w:rsid w:val="00F5237A"/>
    <w:rsid w:val="00F52950"/>
    <w:rsid w:val="00F52C9D"/>
    <w:rsid w:val="00F533F1"/>
    <w:rsid w:val="00F5345B"/>
    <w:rsid w:val="00F53F4F"/>
    <w:rsid w:val="00F540A3"/>
    <w:rsid w:val="00F54EA2"/>
    <w:rsid w:val="00F55185"/>
    <w:rsid w:val="00F5525F"/>
    <w:rsid w:val="00F55679"/>
    <w:rsid w:val="00F561E3"/>
    <w:rsid w:val="00F56466"/>
    <w:rsid w:val="00F565E6"/>
    <w:rsid w:val="00F56AFA"/>
    <w:rsid w:val="00F575E2"/>
    <w:rsid w:val="00F579FF"/>
    <w:rsid w:val="00F600E0"/>
    <w:rsid w:val="00F605EC"/>
    <w:rsid w:val="00F60CFE"/>
    <w:rsid w:val="00F60F60"/>
    <w:rsid w:val="00F612CE"/>
    <w:rsid w:val="00F6133C"/>
    <w:rsid w:val="00F61405"/>
    <w:rsid w:val="00F62172"/>
    <w:rsid w:val="00F62227"/>
    <w:rsid w:val="00F624A7"/>
    <w:rsid w:val="00F62AB6"/>
    <w:rsid w:val="00F6378A"/>
    <w:rsid w:val="00F64CE7"/>
    <w:rsid w:val="00F65A3C"/>
    <w:rsid w:val="00F66009"/>
    <w:rsid w:val="00F66282"/>
    <w:rsid w:val="00F6639E"/>
    <w:rsid w:val="00F66DCA"/>
    <w:rsid w:val="00F670E9"/>
    <w:rsid w:val="00F6749F"/>
    <w:rsid w:val="00F67AF1"/>
    <w:rsid w:val="00F67D8B"/>
    <w:rsid w:val="00F700CD"/>
    <w:rsid w:val="00F701C5"/>
    <w:rsid w:val="00F70961"/>
    <w:rsid w:val="00F70A8F"/>
    <w:rsid w:val="00F71397"/>
    <w:rsid w:val="00F719FD"/>
    <w:rsid w:val="00F72389"/>
    <w:rsid w:val="00F72516"/>
    <w:rsid w:val="00F72FB4"/>
    <w:rsid w:val="00F732CF"/>
    <w:rsid w:val="00F735E5"/>
    <w:rsid w:val="00F73B82"/>
    <w:rsid w:val="00F73E80"/>
    <w:rsid w:val="00F7469C"/>
    <w:rsid w:val="00F7492E"/>
    <w:rsid w:val="00F74945"/>
    <w:rsid w:val="00F749A3"/>
    <w:rsid w:val="00F74AE8"/>
    <w:rsid w:val="00F75169"/>
    <w:rsid w:val="00F76768"/>
    <w:rsid w:val="00F76C11"/>
    <w:rsid w:val="00F77021"/>
    <w:rsid w:val="00F770AB"/>
    <w:rsid w:val="00F77E61"/>
    <w:rsid w:val="00F80221"/>
    <w:rsid w:val="00F802B0"/>
    <w:rsid w:val="00F80A0A"/>
    <w:rsid w:val="00F80C81"/>
    <w:rsid w:val="00F815AC"/>
    <w:rsid w:val="00F82421"/>
    <w:rsid w:val="00F82E28"/>
    <w:rsid w:val="00F83B33"/>
    <w:rsid w:val="00F83CAE"/>
    <w:rsid w:val="00F840BF"/>
    <w:rsid w:val="00F8427A"/>
    <w:rsid w:val="00F843DF"/>
    <w:rsid w:val="00F84646"/>
    <w:rsid w:val="00F84899"/>
    <w:rsid w:val="00F84A9E"/>
    <w:rsid w:val="00F85585"/>
    <w:rsid w:val="00F859F0"/>
    <w:rsid w:val="00F85CC1"/>
    <w:rsid w:val="00F86B5D"/>
    <w:rsid w:val="00F8740F"/>
    <w:rsid w:val="00F87634"/>
    <w:rsid w:val="00F87809"/>
    <w:rsid w:val="00F87C13"/>
    <w:rsid w:val="00F87C5A"/>
    <w:rsid w:val="00F87E29"/>
    <w:rsid w:val="00F87F18"/>
    <w:rsid w:val="00F87F37"/>
    <w:rsid w:val="00F87F68"/>
    <w:rsid w:val="00F90C4D"/>
    <w:rsid w:val="00F9165C"/>
    <w:rsid w:val="00F9167D"/>
    <w:rsid w:val="00F91CB2"/>
    <w:rsid w:val="00F91E21"/>
    <w:rsid w:val="00F927E8"/>
    <w:rsid w:val="00F9289C"/>
    <w:rsid w:val="00F92FC1"/>
    <w:rsid w:val="00F932D1"/>
    <w:rsid w:val="00F93DBC"/>
    <w:rsid w:val="00F93E41"/>
    <w:rsid w:val="00F94644"/>
    <w:rsid w:val="00F952E4"/>
    <w:rsid w:val="00F9537B"/>
    <w:rsid w:val="00F96079"/>
    <w:rsid w:val="00F963FC"/>
    <w:rsid w:val="00F97CF1"/>
    <w:rsid w:val="00FA015F"/>
    <w:rsid w:val="00FA0FAC"/>
    <w:rsid w:val="00FA10F7"/>
    <w:rsid w:val="00FA1817"/>
    <w:rsid w:val="00FA1DA2"/>
    <w:rsid w:val="00FA2258"/>
    <w:rsid w:val="00FA313F"/>
    <w:rsid w:val="00FA3414"/>
    <w:rsid w:val="00FA347A"/>
    <w:rsid w:val="00FA3CDE"/>
    <w:rsid w:val="00FA3D45"/>
    <w:rsid w:val="00FA4048"/>
    <w:rsid w:val="00FA4168"/>
    <w:rsid w:val="00FA4408"/>
    <w:rsid w:val="00FA44B1"/>
    <w:rsid w:val="00FA49B7"/>
    <w:rsid w:val="00FA4B97"/>
    <w:rsid w:val="00FA4E49"/>
    <w:rsid w:val="00FA5043"/>
    <w:rsid w:val="00FA60C1"/>
    <w:rsid w:val="00FA63DD"/>
    <w:rsid w:val="00FA65A3"/>
    <w:rsid w:val="00FA66F9"/>
    <w:rsid w:val="00FA6BCA"/>
    <w:rsid w:val="00FA6F8B"/>
    <w:rsid w:val="00FA727C"/>
    <w:rsid w:val="00FA7A30"/>
    <w:rsid w:val="00FA7A9B"/>
    <w:rsid w:val="00FB033F"/>
    <w:rsid w:val="00FB0880"/>
    <w:rsid w:val="00FB12E3"/>
    <w:rsid w:val="00FB1570"/>
    <w:rsid w:val="00FB193B"/>
    <w:rsid w:val="00FB1FBC"/>
    <w:rsid w:val="00FB27B7"/>
    <w:rsid w:val="00FB35E3"/>
    <w:rsid w:val="00FB4743"/>
    <w:rsid w:val="00FB47C3"/>
    <w:rsid w:val="00FB4C98"/>
    <w:rsid w:val="00FB4CE3"/>
    <w:rsid w:val="00FB551D"/>
    <w:rsid w:val="00FB583C"/>
    <w:rsid w:val="00FB630E"/>
    <w:rsid w:val="00FB6738"/>
    <w:rsid w:val="00FB691B"/>
    <w:rsid w:val="00FB6BC4"/>
    <w:rsid w:val="00FB6BE6"/>
    <w:rsid w:val="00FB71B4"/>
    <w:rsid w:val="00FB731C"/>
    <w:rsid w:val="00FB7628"/>
    <w:rsid w:val="00FB7651"/>
    <w:rsid w:val="00FC0078"/>
    <w:rsid w:val="00FC0363"/>
    <w:rsid w:val="00FC05A0"/>
    <w:rsid w:val="00FC0811"/>
    <w:rsid w:val="00FC09B3"/>
    <w:rsid w:val="00FC1196"/>
    <w:rsid w:val="00FC15EB"/>
    <w:rsid w:val="00FC162C"/>
    <w:rsid w:val="00FC18DC"/>
    <w:rsid w:val="00FC2477"/>
    <w:rsid w:val="00FC2AC4"/>
    <w:rsid w:val="00FC2D17"/>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174"/>
    <w:rsid w:val="00FC76A9"/>
    <w:rsid w:val="00FC79AB"/>
    <w:rsid w:val="00FC7BE7"/>
    <w:rsid w:val="00FC7DAC"/>
    <w:rsid w:val="00FD005D"/>
    <w:rsid w:val="00FD0216"/>
    <w:rsid w:val="00FD04AE"/>
    <w:rsid w:val="00FD0865"/>
    <w:rsid w:val="00FD0DFA"/>
    <w:rsid w:val="00FD1890"/>
    <w:rsid w:val="00FD1994"/>
    <w:rsid w:val="00FD3290"/>
    <w:rsid w:val="00FD3508"/>
    <w:rsid w:val="00FD393C"/>
    <w:rsid w:val="00FD3AFF"/>
    <w:rsid w:val="00FD43BB"/>
    <w:rsid w:val="00FD4AF3"/>
    <w:rsid w:val="00FD5443"/>
    <w:rsid w:val="00FD6675"/>
    <w:rsid w:val="00FD67F9"/>
    <w:rsid w:val="00FD694E"/>
    <w:rsid w:val="00FD6DC5"/>
    <w:rsid w:val="00FD7250"/>
    <w:rsid w:val="00FD72B1"/>
    <w:rsid w:val="00FD72E7"/>
    <w:rsid w:val="00FD798D"/>
    <w:rsid w:val="00FE04AB"/>
    <w:rsid w:val="00FE141E"/>
    <w:rsid w:val="00FE144E"/>
    <w:rsid w:val="00FE1768"/>
    <w:rsid w:val="00FE1DD5"/>
    <w:rsid w:val="00FE1E8C"/>
    <w:rsid w:val="00FE24F4"/>
    <w:rsid w:val="00FE2560"/>
    <w:rsid w:val="00FE35D0"/>
    <w:rsid w:val="00FE42ED"/>
    <w:rsid w:val="00FE4E06"/>
    <w:rsid w:val="00FE55A7"/>
    <w:rsid w:val="00FE5C5A"/>
    <w:rsid w:val="00FE601E"/>
    <w:rsid w:val="00FE6432"/>
    <w:rsid w:val="00FE72A0"/>
    <w:rsid w:val="00FF0050"/>
    <w:rsid w:val="00FF03EA"/>
    <w:rsid w:val="00FF045F"/>
    <w:rsid w:val="00FF0816"/>
    <w:rsid w:val="00FF13D4"/>
    <w:rsid w:val="00FF2053"/>
    <w:rsid w:val="00FF3B37"/>
    <w:rsid w:val="00FF3CC7"/>
    <w:rsid w:val="00FF3D6F"/>
    <w:rsid w:val="00FF441A"/>
    <w:rsid w:val="00FF44D7"/>
    <w:rsid w:val="00FF4BD8"/>
    <w:rsid w:val="00FF4D11"/>
    <w:rsid w:val="00FF5214"/>
    <w:rsid w:val="00FF5914"/>
    <w:rsid w:val="00FF596E"/>
    <w:rsid w:val="00FF5B59"/>
    <w:rsid w:val="00FF5BFD"/>
    <w:rsid w:val="00FF6095"/>
    <w:rsid w:val="00FF62FE"/>
    <w:rsid w:val="00FF6553"/>
    <w:rsid w:val="00FF6FE1"/>
    <w:rsid w:val="00FF70BD"/>
    <w:rsid w:val="00FF7124"/>
    <w:rsid w:val="00FF7A39"/>
    <w:rsid w:val="029BC757"/>
    <w:rsid w:val="3569F5A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styleId="Textonotaalfinal">
    <w:name w:val="endnote text"/>
    <w:basedOn w:val="Normal"/>
    <w:link w:val="TextonotaalfinalCar"/>
    <w:uiPriority w:val="99"/>
    <w:semiHidden/>
    <w:unhideWhenUsed/>
    <w:rsid w:val="001679EF"/>
    <w:rPr>
      <w:sz w:val="20"/>
      <w:szCs w:val="20"/>
    </w:rPr>
  </w:style>
  <w:style w:type="character" w:customStyle="1" w:styleId="TextonotaalfinalCar">
    <w:name w:val="Texto nota al final Car"/>
    <w:basedOn w:val="Fuentedeprrafopredeter"/>
    <w:link w:val="Textonotaalfinal"/>
    <w:uiPriority w:val="99"/>
    <w:semiHidden/>
    <w:rsid w:val="001679EF"/>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1679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18355791">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826938">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0173570">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5430727">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6786160">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5401761">
      <w:bodyDiv w:val="1"/>
      <w:marLeft w:val="0"/>
      <w:marRight w:val="0"/>
      <w:marTop w:val="0"/>
      <w:marBottom w:val="0"/>
      <w:divBdr>
        <w:top w:val="none" w:sz="0" w:space="0" w:color="auto"/>
        <w:left w:val="none" w:sz="0" w:space="0" w:color="auto"/>
        <w:bottom w:val="none" w:sz="0" w:space="0" w:color="auto"/>
        <w:right w:val="none" w:sz="0" w:space="0" w:color="auto"/>
      </w:divBdr>
      <w:divsChild>
        <w:div w:id="1415666582">
          <w:marLeft w:val="0"/>
          <w:marRight w:val="0"/>
          <w:marTop w:val="300"/>
          <w:marBottom w:val="300"/>
          <w:divBdr>
            <w:top w:val="none" w:sz="0" w:space="0" w:color="auto"/>
            <w:left w:val="none" w:sz="0" w:space="0" w:color="auto"/>
            <w:bottom w:val="none" w:sz="0" w:space="0" w:color="auto"/>
            <w:right w:val="none" w:sz="0" w:space="0" w:color="auto"/>
          </w:divBdr>
        </w:div>
      </w:divsChild>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40428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79591178">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354713">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709385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7374140">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3345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376343">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2529466">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0707619">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733721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089011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1393228">
      <w:bodyDiv w:val="1"/>
      <w:marLeft w:val="0"/>
      <w:marRight w:val="0"/>
      <w:marTop w:val="0"/>
      <w:marBottom w:val="0"/>
      <w:divBdr>
        <w:top w:val="none" w:sz="0" w:space="0" w:color="auto"/>
        <w:left w:val="none" w:sz="0" w:space="0" w:color="auto"/>
        <w:bottom w:val="none" w:sz="0" w:space="0" w:color="auto"/>
        <w:right w:val="none" w:sz="0" w:space="0" w:color="auto"/>
      </w:divBdr>
      <w:divsChild>
        <w:div w:id="1693536321">
          <w:marLeft w:val="0"/>
          <w:marRight w:val="0"/>
          <w:marTop w:val="0"/>
          <w:marBottom w:val="0"/>
          <w:divBdr>
            <w:top w:val="none" w:sz="0" w:space="0" w:color="auto"/>
            <w:left w:val="none" w:sz="0" w:space="0" w:color="auto"/>
            <w:bottom w:val="none" w:sz="0" w:space="0" w:color="auto"/>
            <w:right w:val="none" w:sz="0" w:space="0" w:color="auto"/>
          </w:divBdr>
        </w:div>
      </w:divsChild>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np.gov.co/DNPN/normativa/proyectos-de-normativida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np.gov.co/DNPN/normativa/proyectos-de-normativida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09260-3D27-4AEB-AD3E-BA91CA585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12</Pages>
  <Words>4578</Words>
  <Characters>25182</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3</cp:revision>
  <cp:lastPrinted>2020-01-30T15:05:00Z</cp:lastPrinted>
  <dcterms:created xsi:type="dcterms:W3CDTF">2022-04-12T15:50:00Z</dcterms:created>
  <dcterms:modified xsi:type="dcterms:W3CDTF">2022-05-04T20:44:00Z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