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20120" w14:textId="77777777" w:rsidR="008A491E" w:rsidRPr="00DE39EA" w:rsidRDefault="008A491E" w:rsidP="008A491E">
      <w:pPr>
        <w:spacing w:line="276" w:lineRule="auto"/>
        <w:jc w:val="right"/>
        <w:rPr>
          <w:rFonts w:ascii="Arial" w:eastAsia="Calibri" w:hAnsi="Arial" w:cs="Arial"/>
          <w:b/>
          <w:bCs/>
          <w:sz w:val="22"/>
        </w:rPr>
      </w:pPr>
      <w:bookmarkStart w:id="0" w:name="_Hlk47949675"/>
      <w:bookmarkStart w:id="1" w:name="_Hlk28946138"/>
      <w:bookmarkStart w:id="2" w:name="_Hlk29548183"/>
      <w:r w:rsidRPr="00DE39EA">
        <w:rPr>
          <w:rFonts w:ascii="Arial" w:hAnsi="Arial" w:cs="Arial"/>
          <w:b/>
          <w:bCs/>
          <w:sz w:val="16"/>
          <w:szCs w:val="16"/>
          <w:lang w:eastAsia="es-ES"/>
        </w:rPr>
        <w:t>CCE-DES-FM-17</w:t>
      </w:r>
    </w:p>
    <w:bookmarkEnd w:id="0"/>
    <w:p w14:paraId="2D47BA26" w14:textId="4F37EA3D" w:rsidR="00BE1E33" w:rsidRPr="00DE39EA" w:rsidRDefault="00BE1E33" w:rsidP="00A32FFB">
      <w:pPr>
        <w:spacing w:line="276" w:lineRule="auto"/>
        <w:jc w:val="right"/>
        <w:rPr>
          <w:rFonts w:ascii="Arial" w:hAnsi="Arial" w:cs="Arial"/>
          <w:bCs/>
          <w:sz w:val="16"/>
          <w:szCs w:val="16"/>
          <w:lang w:val="es-ES_tradnl" w:eastAsia="es-ES"/>
        </w:rPr>
      </w:pPr>
    </w:p>
    <w:p w14:paraId="56B2C267" w14:textId="0786EEA4" w:rsidR="00DA1AA7" w:rsidRPr="00DE39EA" w:rsidRDefault="00DA1AA7" w:rsidP="00DA1AA7">
      <w:pPr>
        <w:jc w:val="both"/>
        <w:rPr>
          <w:rFonts w:ascii="Arial" w:eastAsia="Arial" w:hAnsi="Arial" w:cs="Arial"/>
          <w:b/>
          <w:color w:val="1A1A1A" w:themeColor="background1" w:themeShade="1A"/>
          <w:sz w:val="22"/>
          <w:lang w:val="es-ES_tradnl"/>
        </w:rPr>
      </w:pPr>
      <w:r w:rsidRPr="00DE39EA">
        <w:rPr>
          <w:rFonts w:ascii="Arial" w:hAnsi="Arial" w:cs="Arial"/>
          <w:b/>
          <w:bCs/>
          <w:color w:val="1A1A1A" w:themeColor="background1" w:themeShade="1A"/>
          <w:sz w:val="22"/>
          <w:lang w:val="es-ES_tradnl" w:eastAsia="es-CO"/>
        </w:rPr>
        <w:t xml:space="preserve">LEY DE GARANTÍAS ELECTORALES </w:t>
      </w:r>
      <w:r w:rsidRPr="00DE39EA">
        <w:rPr>
          <w:rFonts w:ascii="Arial" w:eastAsia="Calibri" w:hAnsi="Arial" w:cs="Arial"/>
          <w:b/>
          <w:bCs/>
          <w:color w:val="1A1A1A" w:themeColor="background1" w:themeShade="1A"/>
          <w:sz w:val="22"/>
          <w:lang w:val="es-ES_tradnl"/>
        </w:rPr>
        <w:t>─</w:t>
      </w:r>
      <w:r w:rsidRPr="00DE39EA">
        <w:rPr>
          <w:rFonts w:ascii="Arial" w:hAnsi="Arial" w:cs="Arial"/>
          <w:b/>
          <w:bCs/>
          <w:color w:val="1A1A1A" w:themeColor="background1" w:themeShade="1A"/>
          <w:sz w:val="22"/>
          <w:lang w:val="es-ES_tradnl" w:eastAsia="es-CO"/>
        </w:rPr>
        <w:t xml:space="preserve"> </w:t>
      </w:r>
      <w:r w:rsidRPr="00DE39EA">
        <w:rPr>
          <w:rFonts w:ascii="Arial" w:eastAsia="Arial" w:hAnsi="Arial" w:cs="Arial"/>
          <w:b/>
          <w:color w:val="1A1A1A" w:themeColor="background1" w:themeShade="1A"/>
          <w:sz w:val="22"/>
          <w:lang w:val="es-ES_tradnl"/>
        </w:rPr>
        <w:t xml:space="preserve">Definición </w:t>
      </w:r>
      <w:r w:rsidRPr="00DE39EA">
        <w:rPr>
          <w:rFonts w:ascii="Arial" w:eastAsia="Calibri" w:hAnsi="Arial" w:cs="Arial"/>
          <w:b/>
          <w:bCs/>
          <w:color w:val="1A1A1A" w:themeColor="background1" w:themeShade="1A"/>
          <w:sz w:val="22"/>
          <w:lang w:val="es-ES_tradnl"/>
        </w:rPr>
        <w:t>─</w:t>
      </w:r>
      <w:r w:rsidRPr="00DE39EA">
        <w:rPr>
          <w:rFonts w:ascii="Arial" w:eastAsia="Arial" w:hAnsi="Arial" w:cs="Arial"/>
          <w:b/>
          <w:color w:val="1A1A1A" w:themeColor="background1" w:themeShade="1A"/>
          <w:sz w:val="22"/>
          <w:lang w:val="es-ES_tradnl"/>
        </w:rPr>
        <w:t xml:space="preserve"> Finalidad </w:t>
      </w:r>
      <w:r w:rsidRPr="00DE39EA">
        <w:rPr>
          <w:rFonts w:ascii="Arial" w:eastAsia="Calibri" w:hAnsi="Arial" w:cs="Arial"/>
          <w:b/>
          <w:bCs/>
          <w:color w:val="1A1A1A" w:themeColor="background1" w:themeShade="1A"/>
          <w:sz w:val="22"/>
          <w:lang w:val="es-ES_tradnl"/>
        </w:rPr>
        <w:t>─</w:t>
      </w:r>
      <w:r w:rsidRPr="00DE39EA">
        <w:rPr>
          <w:rFonts w:ascii="Arial" w:eastAsia="Arial" w:hAnsi="Arial" w:cs="Arial"/>
          <w:b/>
          <w:color w:val="1A1A1A" w:themeColor="background1" w:themeShade="1A"/>
          <w:sz w:val="22"/>
          <w:lang w:val="es-ES_tradnl"/>
        </w:rPr>
        <w:t xml:space="preserve"> Restricciones </w:t>
      </w:r>
    </w:p>
    <w:p w14:paraId="22D8CF19" w14:textId="77777777" w:rsidR="00DA1AA7" w:rsidRPr="00DE39EA" w:rsidRDefault="00DA1AA7" w:rsidP="00DA1AA7">
      <w:pPr>
        <w:rPr>
          <w:rFonts w:ascii="Arial" w:hAnsi="Arial" w:cs="Arial"/>
          <w:b/>
          <w:color w:val="1A1A1A" w:themeColor="background1" w:themeShade="1A"/>
          <w:sz w:val="22"/>
          <w:lang w:val="es-ES_tradnl" w:eastAsia="es-CO"/>
        </w:rPr>
      </w:pPr>
    </w:p>
    <w:p w14:paraId="728DB836" w14:textId="77777777" w:rsidR="00DA1AA7" w:rsidRPr="00DE39EA" w:rsidRDefault="00DA1AA7" w:rsidP="00DA1AA7">
      <w:pPr>
        <w:tabs>
          <w:tab w:val="left" w:pos="426"/>
        </w:tabs>
        <w:jc w:val="both"/>
        <w:rPr>
          <w:rFonts w:ascii="Arial" w:eastAsia="Arial" w:hAnsi="Arial" w:cs="Arial"/>
          <w:color w:val="1A1A1A" w:themeColor="background1" w:themeShade="1A"/>
          <w:sz w:val="20"/>
          <w:szCs w:val="20"/>
          <w:lang w:val="es-ES_tradnl"/>
        </w:rPr>
      </w:pPr>
      <w:r w:rsidRPr="00DE39EA">
        <w:rPr>
          <w:rFonts w:ascii="Arial" w:eastAsia="Calibri" w:hAnsi="Arial" w:cs="Arial"/>
          <w:noProof/>
          <w:color w:val="1A1A1A" w:themeColor="background1" w:themeShade="1A"/>
          <w:sz w:val="20"/>
          <w:szCs w:val="20"/>
          <w:lang w:val="es-ES_tradnl"/>
        </w:rPr>
        <w:t xml:space="preserve">[…] La </w:t>
      </w:r>
      <w:r w:rsidRPr="00DE39EA">
        <w:rPr>
          <w:rFonts w:ascii="Arial" w:eastAsia="Arial" w:hAnsi="Arial" w:cs="Arial"/>
          <w:color w:val="1A1A1A" w:themeColor="background1" w:themeShade="1A"/>
          <w:sz w:val="20"/>
          <w:szCs w:val="20"/>
          <w:lang w:val="es-ES_tradnl"/>
        </w:rPr>
        <w:t xml:space="preserve">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 </w:t>
      </w:r>
    </w:p>
    <w:p w14:paraId="41E0F06B" w14:textId="77777777" w:rsidR="00DA1AA7" w:rsidRPr="00DE39EA" w:rsidRDefault="00DA1AA7" w:rsidP="00DA1AA7">
      <w:pPr>
        <w:tabs>
          <w:tab w:val="left" w:pos="426"/>
        </w:tabs>
        <w:jc w:val="both"/>
        <w:rPr>
          <w:rFonts w:ascii="Arial" w:eastAsia="Arial" w:hAnsi="Arial" w:cs="Arial"/>
          <w:color w:val="1A1A1A" w:themeColor="background1" w:themeShade="1A"/>
          <w:sz w:val="20"/>
          <w:szCs w:val="20"/>
          <w:lang w:val="es-ES_tradnl"/>
        </w:rPr>
      </w:pPr>
    </w:p>
    <w:p w14:paraId="1A6311C1" w14:textId="1837FA5B" w:rsidR="00DA1AA7" w:rsidRPr="00DE39EA" w:rsidRDefault="00DA1AA7" w:rsidP="00DA1AA7">
      <w:pPr>
        <w:tabs>
          <w:tab w:val="left" w:pos="426"/>
        </w:tabs>
        <w:jc w:val="both"/>
        <w:rPr>
          <w:rFonts w:ascii="Arial" w:eastAsia="Arial" w:hAnsi="Arial" w:cs="Arial"/>
          <w:color w:val="1A1A1A" w:themeColor="background1" w:themeShade="1A"/>
          <w:sz w:val="20"/>
          <w:szCs w:val="20"/>
          <w:lang w:val="es-ES_tradnl"/>
        </w:rPr>
      </w:pPr>
      <w:r w:rsidRPr="00DE39EA">
        <w:rPr>
          <w:rFonts w:ascii="Arial" w:eastAsia="Arial" w:hAnsi="Arial" w:cs="Arial"/>
          <w:color w:val="1A1A1A" w:themeColor="background1" w:themeShade="1A"/>
          <w:sz w:val="20"/>
          <w:szCs w:val="20"/>
          <w:lang w:val="es-ES_tradnl"/>
        </w:rPr>
        <w:t>En este contexto, la Ley de Garantías Electorales establece el marco jurídico para el desarrollo de las elecciones, procurando condiciones de igualdad y transparencia para los aspirantes y paralelamente incluye restricciones en el actuar de los servidores públicos, evitando interferencias en la contienda electoral, así como la posible desviación de recursos públicos en aspiraciones electorales.</w:t>
      </w:r>
    </w:p>
    <w:p w14:paraId="350E620A" w14:textId="77777777" w:rsidR="00DA1AA7" w:rsidRPr="00DE39EA" w:rsidRDefault="00DA1AA7" w:rsidP="00DA1AA7">
      <w:pPr>
        <w:tabs>
          <w:tab w:val="left" w:pos="426"/>
        </w:tabs>
        <w:jc w:val="both"/>
        <w:rPr>
          <w:rFonts w:ascii="Arial" w:eastAsia="Arial" w:hAnsi="Arial" w:cs="Arial"/>
          <w:color w:val="1A1A1A" w:themeColor="background1" w:themeShade="1A"/>
          <w:sz w:val="20"/>
          <w:szCs w:val="20"/>
          <w:lang w:val="es-ES_tradnl"/>
        </w:rPr>
      </w:pPr>
    </w:p>
    <w:p w14:paraId="03D3F4D3" w14:textId="77777777" w:rsidR="00DA1AA7" w:rsidRPr="00DE39EA" w:rsidRDefault="00DA1AA7" w:rsidP="00DA1AA7">
      <w:pPr>
        <w:tabs>
          <w:tab w:val="left" w:pos="426"/>
        </w:tabs>
        <w:jc w:val="both"/>
        <w:rPr>
          <w:rFonts w:ascii="Arial" w:eastAsia="Calibri" w:hAnsi="Arial" w:cs="Arial"/>
          <w:b/>
          <w:bCs/>
          <w:color w:val="1A1A1A" w:themeColor="background1" w:themeShade="1A"/>
          <w:sz w:val="22"/>
          <w:lang w:val="es-ES_tradnl"/>
        </w:rPr>
      </w:pPr>
      <w:bookmarkStart w:id="3" w:name="_Hlk77165666"/>
      <w:bookmarkStart w:id="4" w:name="_Hlk97039670"/>
      <w:r w:rsidRPr="00DE39EA">
        <w:rPr>
          <w:rFonts w:ascii="Arial" w:eastAsia="Calibri" w:hAnsi="Arial" w:cs="Arial"/>
          <w:b/>
          <w:bCs/>
          <w:color w:val="1A1A1A" w:themeColor="background1" w:themeShade="1A"/>
          <w:sz w:val="22"/>
          <w:lang w:val="es-ES_tradnl"/>
        </w:rPr>
        <w:t xml:space="preserve">LEY DE GARANTÍAS ELECTORALES ─ Prohibición ─ </w:t>
      </w:r>
      <w:bookmarkEnd w:id="3"/>
      <w:r w:rsidRPr="00DE39EA">
        <w:rPr>
          <w:rFonts w:ascii="Arial" w:eastAsia="Calibri" w:hAnsi="Arial" w:cs="Arial"/>
          <w:b/>
          <w:bCs/>
          <w:color w:val="1A1A1A" w:themeColor="background1" w:themeShade="1A"/>
          <w:sz w:val="22"/>
          <w:lang w:val="es-ES_tradnl"/>
        </w:rPr>
        <w:t xml:space="preserve">Contratación Directa ─ Alcance ─ </w:t>
      </w:r>
      <w:r w:rsidRPr="00DE39EA">
        <w:rPr>
          <w:rFonts w:ascii="Arial" w:hAnsi="Arial" w:cs="Arial"/>
          <w:b/>
          <w:bCs/>
          <w:color w:val="1A1A1A" w:themeColor="background1" w:themeShade="1A"/>
          <w:sz w:val="22"/>
          <w:lang w:val="es-ES_tradnl" w:eastAsia="es-CO"/>
        </w:rPr>
        <w:t>Excepciones</w:t>
      </w:r>
      <w:r w:rsidRPr="00DE39EA">
        <w:rPr>
          <w:rFonts w:ascii="Arial" w:eastAsia="Calibri" w:hAnsi="Arial" w:cs="Arial"/>
          <w:b/>
          <w:bCs/>
          <w:color w:val="1A1A1A" w:themeColor="background1" w:themeShade="1A"/>
          <w:sz w:val="22"/>
          <w:lang w:val="es-ES_tradnl"/>
        </w:rPr>
        <w:t xml:space="preserve"> </w:t>
      </w:r>
    </w:p>
    <w:bookmarkEnd w:id="4"/>
    <w:p w14:paraId="7563F84C" w14:textId="77777777" w:rsidR="00DA1AA7" w:rsidRPr="00DE39EA" w:rsidRDefault="00DA1AA7" w:rsidP="00DA1AA7">
      <w:pPr>
        <w:tabs>
          <w:tab w:val="left" w:pos="426"/>
        </w:tabs>
        <w:rPr>
          <w:rFonts w:ascii="Arial" w:eastAsia="Calibri" w:hAnsi="Arial" w:cs="Arial"/>
          <w:noProof/>
          <w:color w:val="1A1A1A" w:themeColor="background1" w:themeShade="1A"/>
          <w:sz w:val="22"/>
          <w:lang w:val="es-ES_tradnl"/>
        </w:rPr>
      </w:pPr>
    </w:p>
    <w:p w14:paraId="09A61B9F" w14:textId="75F5BBF8" w:rsidR="00997D9B" w:rsidRPr="00997D9B" w:rsidRDefault="00997D9B" w:rsidP="00DA1AA7">
      <w:pPr>
        <w:tabs>
          <w:tab w:val="left" w:pos="426"/>
        </w:tabs>
        <w:jc w:val="both"/>
        <w:rPr>
          <w:rFonts w:ascii="Arial" w:eastAsia="Arial" w:hAnsi="Arial" w:cs="Arial"/>
          <w:color w:val="1A1A1A" w:themeColor="background1" w:themeShade="1A"/>
          <w:sz w:val="20"/>
          <w:szCs w:val="20"/>
          <w:lang w:val="es-ES_tradnl"/>
        </w:rPr>
      </w:pPr>
      <w:r w:rsidRPr="00997D9B">
        <w:rPr>
          <w:rFonts w:ascii="Arial" w:eastAsia="Arial" w:hAnsi="Arial" w:cs="Arial"/>
          <w:color w:val="1A1A1A" w:themeColor="background1" w:themeShade="1A"/>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w:t>
      </w:r>
    </w:p>
    <w:p w14:paraId="5C507828" w14:textId="77777777" w:rsidR="00997D9B" w:rsidRPr="00997D9B" w:rsidRDefault="00997D9B" w:rsidP="00DA1AA7">
      <w:pPr>
        <w:tabs>
          <w:tab w:val="left" w:pos="426"/>
        </w:tabs>
        <w:jc w:val="both"/>
        <w:rPr>
          <w:rFonts w:ascii="Arial" w:eastAsia="Arial" w:hAnsi="Arial" w:cs="Arial"/>
          <w:color w:val="1A1A1A" w:themeColor="background1" w:themeShade="1A"/>
          <w:sz w:val="20"/>
          <w:szCs w:val="20"/>
          <w:lang w:val="es-ES_tradnl"/>
        </w:rPr>
      </w:pPr>
    </w:p>
    <w:p w14:paraId="58563FB4" w14:textId="14CE13BD" w:rsidR="00E917A4" w:rsidRPr="00997D9B" w:rsidRDefault="00997D9B" w:rsidP="008A491E">
      <w:pPr>
        <w:jc w:val="both"/>
        <w:rPr>
          <w:rFonts w:ascii="Arial" w:eastAsia="Arial" w:hAnsi="Arial" w:cs="Arial"/>
          <w:color w:val="1A1A1A" w:themeColor="background1" w:themeShade="1A"/>
          <w:sz w:val="20"/>
          <w:szCs w:val="20"/>
          <w:lang w:val="es-ES_tradnl"/>
        </w:rPr>
      </w:pPr>
      <w:r w:rsidRPr="00997D9B">
        <w:rPr>
          <w:rFonts w:ascii="Arial" w:eastAsia="Arial" w:hAnsi="Arial" w:cs="Arial"/>
          <w:color w:val="1A1A1A" w:themeColor="background1" w:themeShade="1A"/>
          <w:sz w:val="20"/>
          <w:szCs w:val="20"/>
          <w:lang w:val="es-ES_tradnl"/>
        </w:rPr>
        <w:t>[…] las excepciones a la restricción prevista en la Ley de Garantías Electorales,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401AFA4" w14:textId="77777777" w:rsidR="00997D9B" w:rsidRPr="00DE39EA" w:rsidRDefault="00997D9B" w:rsidP="008A491E">
      <w:pPr>
        <w:jc w:val="both"/>
        <w:rPr>
          <w:rFonts w:ascii="Arial" w:hAnsi="Arial" w:cs="Arial"/>
          <w:sz w:val="20"/>
          <w:szCs w:val="20"/>
        </w:rPr>
      </w:pPr>
    </w:p>
    <w:p w14:paraId="4063510F" w14:textId="3DEB55D4" w:rsidR="00085EFD" w:rsidRPr="00DE39EA" w:rsidRDefault="00085EFD" w:rsidP="00085EFD">
      <w:pPr>
        <w:tabs>
          <w:tab w:val="left" w:pos="426"/>
        </w:tabs>
        <w:jc w:val="both"/>
        <w:rPr>
          <w:rFonts w:ascii="Arial" w:eastAsia="Calibri" w:hAnsi="Arial" w:cs="Arial"/>
          <w:b/>
          <w:bCs/>
          <w:color w:val="1A1A1A" w:themeColor="background1" w:themeShade="1A"/>
          <w:sz w:val="22"/>
          <w:lang w:val="es-ES_tradnl"/>
        </w:rPr>
      </w:pPr>
      <w:r w:rsidRPr="00DE39EA">
        <w:rPr>
          <w:rFonts w:ascii="Arial" w:eastAsia="Calibri" w:hAnsi="Arial" w:cs="Arial"/>
          <w:b/>
          <w:bCs/>
          <w:color w:val="1A1A1A" w:themeColor="background1" w:themeShade="1A"/>
          <w:sz w:val="22"/>
          <w:lang w:val="es-ES_tradnl"/>
        </w:rPr>
        <w:t>INSTITUCIONES EDUCATIVAS OFICIAL</w:t>
      </w:r>
      <w:bookmarkStart w:id="5" w:name="_Hlk39676694"/>
      <w:r w:rsidRPr="00DE39EA">
        <w:rPr>
          <w:rFonts w:ascii="Arial" w:eastAsia="Calibri" w:hAnsi="Arial" w:cs="Arial"/>
          <w:b/>
          <w:bCs/>
          <w:color w:val="1A1A1A" w:themeColor="background1" w:themeShade="1A"/>
          <w:sz w:val="22"/>
          <w:lang w:val="es-ES_tradnl"/>
        </w:rPr>
        <w:t>ES –</w:t>
      </w:r>
      <w:bookmarkEnd w:id="5"/>
      <w:r w:rsidRPr="00DE39EA">
        <w:rPr>
          <w:rFonts w:ascii="Arial" w:eastAsia="Calibri" w:hAnsi="Arial" w:cs="Arial"/>
          <w:b/>
          <w:bCs/>
          <w:color w:val="1A1A1A" w:themeColor="background1" w:themeShade="1A"/>
          <w:sz w:val="22"/>
          <w:lang w:val="es-ES_tradnl"/>
        </w:rPr>
        <w:t xml:space="preserve"> Naturaleza jurídica – Capacidad para contratar</w:t>
      </w:r>
      <w:r w:rsidR="00C25716" w:rsidRPr="00DE39EA">
        <w:rPr>
          <w:rFonts w:ascii="Arial" w:eastAsia="Calibri" w:hAnsi="Arial" w:cs="Arial"/>
          <w:b/>
          <w:bCs/>
          <w:color w:val="1A1A1A" w:themeColor="background1" w:themeShade="1A"/>
          <w:sz w:val="22"/>
          <w:lang w:val="es-ES_tradnl"/>
        </w:rPr>
        <w:t xml:space="preserve"> – Compra pública</w:t>
      </w:r>
    </w:p>
    <w:p w14:paraId="3D2976A1" w14:textId="77777777" w:rsidR="00085EFD" w:rsidRPr="00DE39EA" w:rsidRDefault="00085EFD" w:rsidP="00085EFD">
      <w:pPr>
        <w:tabs>
          <w:tab w:val="left" w:pos="426"/>
        </w:tabs>
        <w:jc w:val="both"/>
        <w:rPr>
          <w:rFonts w:ascii="Arial" w:eastAsia="Calibri" w:hAnsi="Arial" w:cs="Arial"/>
          <w:b/>
          <w:sz w:val="20"/>
          <w:szCs w:val="20"/>
        </w:rPr>
      </w:pPr>
    </w:p>
    <w:p w14:paraId="7AB8D195" w14:textId="09A799CD" w:rsidR="00085EFD" w:rsidRPr="00DE39EA" w:rsidRDefault="00085EFD" w:rsidP="00085EFD">
      <w:pPr>
        <w:spacing w:after="120"/>
        <w:jc w:val="both"/>
        <w:rPr>
          <w:rFonts w:ascii="Arial" w:hAnsi="Arial" w:cs="Arial"/>
          <w:sz w:val="20"/>
          <w:szCs w:val="20"/>
        </w:rPr>
      </w:pPr>
      <w:r w:rsidRPr="00DE39EA">
        <w:rPr>
          <w:rFonts w:ascii="Arial" w:hAnsi="Arial" w:cs="Arial"/>
          <w:sz w:val="20"/>
          <w:szCs w:val="20"/>
        </w:rPr>
        <w:t xml:space="preserve">Las Leyes 60 de 1993 y 715 de 2001 descentralizaron el sistema educativo en Colombia, asignándoles a los departamentos, distritos y municipios las competencias y los recursos económicos para dirigir las instituciones educativas. </w:t>
      </w:r>
      <w:r w:rsidR="0022115F" w:rsidRPr="0022115F">
        <w:rPr>
          <w:rFonts w:ascii="Arial" w:hAnsi="Arial" w:cs="Arial"/>
          <w:sz w:val="20"/>
          <w:szCs w:val="20"/>
        </w:rPr>
        <w:t>Así las cosas, el sistema educativo está descentralizado por las competencias propias otorgadas a las entidades territoriales para administrar las instituciones educativas en los diferentes niveles territoriales, sin que estas últimas sean entidades descentralizadas</w:t>
      </w:r>
      <w:r w:rsidRPr="00DE39EA">
        <w:rPr>
          <w:rFonts w:ascii="Arial" w:hAnsi="Arial" w:cs="Arial"/>
          <w:sz w:val="20"/>
          <w:szCs w:val="20"/>
        </w:rPr>
        <w:t>.</w:t>
      </w:r>
    </w:p>
    <w:p w14:paraId="2D2483B6" w14:textId="1AB8F684" w:rsidR="00E917A4" w:rsidRPr="00DE39EA" w:rsidRDefault="00085EFD" w:rsidP="00C25716">
      <w:pPr>
        <w:pStyle w:val="Textoindependiente"/>
        <w:jc w:val="both"/>
        <w:rPr>
          <w:sz w:val="20"/>
          <w:szCs w:val="20"/>
        </w:rPr>
      </w:pPr>
      <w:r w:rsidRPr="00DE39EA">
        <w:rPr>
          <w:sz w:val="20"/>
          <w:szCs w:val="20"/>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w:t>
      </w:r>
      <w:r w:rsidR="001C3627">
        <w:rPr>
          <w:sz w:val="20"/>
          <w:szCs w:val="20"/>
        </w:rPr>
        <w:t xml:space="preserve">. </w:t>
      </w:r>
      <w:r w:rsidR="001C3627" w:rsidRPr="001C3627">
        <w:rPr>
          <w:sz w:val="20"/>
          <w:szCs w:val="20"/>
        </w:rPr>
        <w:t xml:space="preserve">Estas son cuentas contables que </w:t>
      </w:r>
      <w:r w:rsidR="001C3627" w:rsidRPr="001C3627">
        <w:rPr>
          <w:sz w:val="20"/>
          <w:szCs w:val="20"/>
        </w:rPr>
        <w:lastRenderedPageBreak/>
        <w:t>le permiten a las instituciones realizar la gestión y ejecución presupuestal de los recursos que reciben los establecimientos educativos.</w:t>
      </w:r>
    </w:p>
    <w:p w14:paraId="359207B7" w14:textId="77777777" w:rsidR="001C3627" w:rsidRDefault="001C3627">
      <w:pPr>
        <w:spacing w:after="160" w:line="259" w:lineRule="auto"/>
        <w:rPr>
          <w:rFonts w:ascii="Arial" w:eastAsia="Calibri" w:hAnsi="Arial" w:cs="Arial"/>
          <w:sz w:val="22"/>
          <w:lang w:val="es-ES"/>
        </w:rPr>
      </w:pPr>
      <w:r>
        <w:rPr>
          <w:rFonts w:ascii="Arial" w:eastAsia="Calibri" w:hAnsi="Arial" w:cs="Arial"/>
          <w:sz w:val="22"/>
          <w:lang w:val="es-ES"/>
        </w:rPr>
        <w:br w:type="page"/>
      </w:r>
    </w:p>
    <w:p w14:paraId="5FE40F7F" w14:textId="5482C82F" w:rsidR="00805AAC" w:rsidRDefault="00805AAC" w:rsidP="00A32FFB">
      <w:pPr>
        <w:spacing w:line="276" w:lineRule="auto"/>
        <w:jc w:val="both"/>
        <w:outlineLvl w:val="0"/>
        <w:rPr>
          <w:rFonts w:ascii="Arial" w:eastAsia="Calibri" w:hAnsi="Arial" w:cs="Arial"/>
          <w:sz w:val="22"/>
          <w:lang w:val="es-ES"/>
        </w:rPr>
      </w:pPr>
    </w:p>
    <w:p w14:paraId="3846845F" w14:textId="58DFCD1D" w:rsidR="00805AAC" w:rsidRDefault="00805AAC" w:rsidP="00F3674A">
      <w:pPr>
        <w:spacing w:line="276" w:lineRule="auto"/>
        <w:jc w:val="right"/>
        <w:outlineLvl w:val="0"/>
        <w:rPr>
          <w:rFonts w:ascii="Arial" w:eastAsia="Calibri" w:hAnsi="Arial" w:cs="Arial"/>
          <w:sz w:val="22"/>
          <w:lang w:val="es-ES"/>
        </w:rPr>
      </w:pPr>
      <w:r>
        <w:rPr>
          <w:noProof/>
        </w:rPr>
        <w:drawing>
          <wp:inline distT="0" distB="0" distL="0" distR="0" wp14:anchorId="1CCCC36E" wp14:editId="0765172E">
            <wp:extent cx="3124200" cy="8191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1229" t="58563" r="13102" b="15476"/>
                    <a:stretch/>
                  </pic:blipFill>
                  <pic:spPr bwMode="auto">
                    <a:xfrm>
                      <a:off x="0" y="0"/>
                      <a:ext cx="3124200" cy="819150"/>
                    </a:xfrm>
                    <a:prstGeom prst="rect">
                      <a:avLst/>
                    </a:prstGeom>
                    <a:ln>
                      <a:noFill/>
                    </a:ln>
                    <a:extLst>
                      <a:ext uri="{53640926-AAD7-44D8-BBD7-CCE9431645EC}">
                        <a14:shadowObscured xmlns:a14="http://schemas.microsoft.com/office/drawing/2010/main"/>
                      </a:ext>
                    </a:extLst>
                  </pic:spPr>
                </pic:pic>
              </a:graphicData>
            </a:graphic>
          </wp:inline>
        </w:drawing>
      </w:r>
    </w:p>
    <w:p w14:paraId="70B7A723" w14:textId="159CEDEA" w:rsidR="003B566C" w:rsidRDefault="003B566C" w:rsidP="003B566C">
      <w:pPr>
        <w:spacing w:line="276" w:lineRule="auto"/>
        <w:jc w:val="both"/>
        <w:outlineLvl w:val="0"/>
        <w:rPr>
          <w:rFonts w:ascii="Arial" w:eastAsia="Calibri" w:hAnsi="Arial" w:cs="Arial"/>
          <w:sz w:val="22"/>
          <w:lang w:val="es-ES"/>
        </w:rPr>
      </w:pPr>
      <w:r>
        <w:rPr>
          <w:rFonts w:ascii="Arial" w:eastAsia="Calibri" w:hAnsi="Arial" w:cs="Arial"/>
          <w:sz w:val="22"/>
          <w:lang w:val="es-ES"/>
        </w:rPr>
        <w:t>Bogotá, 16 mayo 2022</w:t>
      </w:r>
    </w:p>
    <w:p w14:paraId="347CCB11" w14:textId="1ED98C3B" w:rsidR="00805AAC" w:rsidRDefault="00805AAC" w:rsidP="00A32FFB">
      <w:pPr>
        <w:spacing w:line="276" w:lineRule="auto"/>
        <w:jc w:val="both"/>
        <w:outlineLvl w:val="0"/>
        <w:rPr>
          <w:rFonts w:ascii="Arial" w:eastAsia="Calibri" w:hAnsi="Arial" w:cs="Arial"/>
          <w:sz w:val="22"/>
          <w:lang w:val="es-ES"/>
        </w:rPr>
      </w:pPr>
    </w:p>
    <w:p w14:paraId="1AE57B4B" w14:textId="77777777" w:rsidR="003B566C" w:rsidRDefault="003B566C" w:rsidP="00A32FFB">
      <w:pPr>
        <w:spacing w:line="276" w:lineRule="auto"/>
        <w:jc w:val="both"/>
        <w:outlineLvl w:val="0"/>
        <w:rPr>
          <w:rFonts w:ascii="Arial" w:eastAsia="Calibri" w:hAnsi="Arial" w:cs="Arial"/>
          <w:sz w:val="22"/>
          <w:lang w:val="es-ES"/>
        </w:rPr>
      </w:pPr>
    </w:p>
    <w:p w14:paraId="6B6535B7" w14:textId="583AB950" w:rsidR="00E35B0E" w:rsidRPr="00DE39EA" w:rsidRDefault="00F41276" w:rsidP="00A32FFB">
      <w:pPr>
        <w:spacing w:line="276" w:lineRule="auto"/>
        <w:jc w:val="both"/>
        <w:outlineLvl w:val="0"/>
        <w:rPr>
          <w:rFonts w:ascii="Arial" w:eastAsia="Calibri" w:hAnsi="Arial" w:cs="Arial"/>
          <w:sz w:val="22"/>
          <w:lang w:val="es-ES"/>
        </w:rPr>
      </w:pPr>
      <w:r w:rsidRPr="00DE39EA">
        <w:rPr>
          <w:rFonts w:ascii="Arial" w:eastAsia="Calibri" w:hAnsi="Arial" w:cs="Arial"/>
          <w:sz w:val="22"/>
          <w:lang w:val="es-ES"/>
        </w:rPr>
        <w:t>Señor</w:t>
      </w:r>
      <w:r w:rsidR="00363A59" w:rsidRPr="00DE39EA">
        <w:rPr>
          <w:rFonts w:ascii="Arial" w:eastAsia="Calibri" w:hAnsi="Arial" w:cs="Arial"/>
          <w:sz w:val="22"/>
          <w:lang w:val="es-ES"/>
        </w:rPr>
        <w:t>a</w:t>
      </w:r>
    </w:p>
    <w:p w14:paraId="0A324933" w14:textId="74C4AD41" w:rsidR="00F41276" w:rsidRPr="00DE39EA" w:rsidRDefault="009C1C72" w:rsidP="00A32FFB">
      <w:pPr>
        <w:spacing w:line="276" w:lineRule="auto"/>
        <w:jc w:val="both"/>
        <w:rPr>
          <w:rFonts w:ascii="Arial" w:hAnsi="Arial" w:cs="Arial"/>
          <w:b/>
          <w:bCs/>
          <w:sz w:val="22"/>
          <w:lang w:val="es-CO"/>
        </w:rPr>
      </w:pPr>
      <w:r w:rsidRPr="00DE39EA">
        <w:rPr>
          <w:rFonts w:ascii="Arial" w:hAnsi="Arial" w:cs="Arial"/>
          <w:b/>
          <w:bCs/>
          <w:sz w:val="22"/>
          <w:lang w:val="es-CO"/>
        </w:rPr>
        <w:t>Nancy Burbano Forero</w:t>
      </w:r>
    </w:p>
    <w:p w14:paraId="544E3D7D" w14:textId="2BB32803" w:rsidR="009C1C72" w:rsidRPr="00DE39EA" w:rsidRDefault="009C1C72" w:rsidP="00A32FFB">
      <w:pPr>
        <w:spacing w:line="276" w:lineRule="auto"/>
        <w:jc w:val="both"/>
        <w:rPr>
          <w:rFonts w:ascii="Arial" w:hAnsi="Arial" w:cs="Arial"/>
          <w:sz w:val="22"/>
          <w:lang w:val="es-CO"/>
        </w:rPr>
      </w:pPr>
      <w:r w:rsidRPr="00DE39EA">
        <w:rPr>
          <w:rFonts w:ascii="Arial" w:hAnsi="Arial" w:cs="Arial"/>
          <w:sz w:val="22"/>
          <w:lang w:val="es-CO"/>
        </w:rPr>
        <w:t>Área Pagaduría I.E.M. San Juan Bautista de la Salle</w:t>
      </w:r>
    </w:p>
    <w:p w14:paraId="0F35982A" w14:textId="3B7A13DA" w:rsidR="009C1C72" w:rsidRPr="00DE39EA" w:rsidRDefault="009C1C72" w:rsidP="00A32FFB">
      <w:pPr>
        <w:spacing w:line="276" w:lineRule="auto"/>
        <w:jc w:val="both"/>
        <w:rPr>
          <w:rFonts w:ascii="Arial" w:hAnsi="Arial" w:cs="Arial"/>
          <w:sz w:val="22"/>
          <w:lang w:val="es-CO"/>
        </w:rPr>
      </w:pPr>
      <w:r w:rsidRPr="00DE39EA">
        <w:rPr>
          <w:rFonts w:ascii="Arial" w:hAnsi="Arial" w:cs="Arial"/>
          <w:sz w:val="22"/>
          <w:lang w:val="es-CO"/>
        </w:rPr>
        <w:t>Zipaquirá, Cundinamarca</w:t>
      </w:r>
    </w:p>
    <w:p w14:paraId="3D1882E9" w14:textId="77777777" w:rsidR="00E35B0E" w:rsidRPr="00DE39EA" w:rsidRDefault="00E35B0E" w:rsidP="00A32FFB">
      <w:pPr>
        <w:spacing w:line="276" w:lineRule="auto"/>
        <w:jc w:val="both"/>
        <w:rPr>
          <w:rFonts w:ascii="Arial" w:eastAsia="Calibri" w:hAnsi="Arial" w:cs="Arial"/>
          <w:sz w:val="22"/>
          <w:lang w:val="es-ES"/>
        </w:rPr>
      </w:pPr>
    </w:p>
    <w:p w14:paraId="70630779" w14:textId="66A0C540" w:rsidR="00E35B0E" w:rsidRPr="00DE39EA" w:rsidRDefault="00E35B0E" w:rsidP="00B23D34">
      <w:pPr>
        <w:spacing w:line="276" w:lineRule="auto"/>
        <w:ind w:firstLine="2835"/>
        <w:jc w:val="both"/>
        <w:outlineLvl w:val="0"/>
        <w:rPr>
          <w:rFonts w:ascii="Arial" w:eastAsia="Calibri" w:hAnsi="Arial" w:cs="Arial"/>
          <w:b/>
          <w:sz w:val="22"/>
          <w:lang w:val="es-ES"/>
        </w:rPr>
      </w:pPr>
      <w:r w:rsidRPr="00DE39EA">
        <w:rPr>
          <w:rFonts w:ascii="Arial" w:eastAsia="Calibri" w:hAnsi="Arial" w:cs="Arial"/>
          <w:b/>
          <w:sz w:val="22"/>
          <w:lang w:val="es-ES"/>
        </w:rPr>
        <w:t>Concepto C</w:t>
      </w:r>
      <w:r w:rsidR="006601D6" w:rsidRPr="00DE39EA">
        <w:rPr>
          <w:rFonts w:ascii="Arial" w:eastAsia="Calibri" w:hAnsi="Arial" w:cs="Arial"/>
          <w:b/>
          <w:sz w:val="22"/>
          <w:lang w:val="es-ES"/>
        </w:rPr>
        <w:t>–</w:t>
      </w:r>
      <w:r w:rsidR="009C1C72" w:rsidRPr="00DE39EA">
        <w:rPr>
          <w:rFonts w:ascii="Arial" w:eastAsia="Calibri" w:hAnsi="Arial" w:cs="Arial"/>
          <w:b/>
          <w:sz w:val="22"/>
          <w:lang w:val="es-ES"/>
        </w:rPr>
        <w:t>309</w:t>
      </w:r>
      <w:r w:rsidRPr="00DE39EA">
        <w:rPr>
          <w:rFonts w:ascii="Arial" w:eastAsia="Calibri" w:hAnsi="Arial" w:cs="Arial"/>
          <w:b/>
          <w:sz w:val="22"/>
          <w:lang w:val="es-ES"/>
        </w:rPr>
        <w:t xml:space="preserve"> de 202</w:t>
      </w:r>
      <w:r w:rsidR="00270563" w:rsidRPr="00DE39EA">
        <w:rPr>
          <w:rFonts w:ascii="Arial" w:eastAsia="Calibri" w:hAnsi="Arial" w:cs="Arial"/>
          <w:b/>
          <w:sz w:val="22"/>
          <w:lang w:val="es-ES"/>
        </w:rPr>
        <w:t>2</w:t>
      </w:r>
    </w:p>
    <w:p w14:paraId="234727AD" w14:textId="77777777" w:rsidR="00BE1E33" w:rsidRPr="00DE39EA" w:rsidRDefault="00BE1E33" w:rsidP="00A32FFB">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091"/>
      </w:tblGrid>
      <w:tr w:rsidR="00782A9F" w:rsidRPr="00DE39EA" w14:paraId="2553E4F3" w14:textId="77777777" w:rsidTr="001F7C1D">
        <w:tc>
          <w:tcPr>
            <w:tcW w:w="2835" w:type="dxa"/>
            <w:hideMark/>
          </w:tcPr>
          <w:p w14:paraId="7BC9E971" w14:textId="77777777" w:rsidR="00782A9F" w:rsidRPr="00DE39EA" w:rsidRDefault="00782A9F" w:rsidP="00522232">
            <w:pPr>
              <w:spacing w:line="276" w:lineRule="auto"/>
              <w:rPr>
                <w:rFonts w:ascii="Arial" w:eastAsia="Calibri" w:hAnsi="Arial" w:cs="Arial"/>
                <w:sz w:val="22"/>
                <w:lang w:val="es-ES_tradnl"/>
              </w:rPr>
            </w:pPr>
            <w:r w:rsidRPr="00DE39EA">
              <w:rPr>
                <w:rFonts w:ascii="Arial" w:eastAsia="Calibri" w:hAnsi="Arial" w:cs="Arial"/>
                <w:b/>
                <w:sz w:val="22"/>
                <w:lang w:val="es-ES_tradnl"/>
              </w:rPr>
              <w:t>Temas:</w:t>
            </w:r>
            <w:r w:rsidRPr="00DE39EA">
              <w:rPr>
                <w:rFonts w:ascii="Arial" w:eastAsia="Calibri" w:hAnsi="Arial" w:cs="Arial"/>
                <w:sz w:val="22"/>
                <w:lang w:val="es-ES_tradnl"/>
              </w:rPr>
              <w:t xml:space="preserve">           </w:t>
            </w:r>
          </w:p>
          <w:p w14:paraId="0C0D8CD7" w14:textId="77777777" w:rsidR="00782A9F" w:rsidRPr="00DE39EA" w:rsidRDefault="00782A9F" w:rsidP="00522232">
            <w:pPr>
              <w:spacing w:line="276" w:lineRule="auto"/>
              <w:rPr>
                <w:rFonts w:ascii="Arial" w:eastAsia="Calibri" w:hAnsi="Arial" w:cs="Arial"/>
                <w:sz w:val="22"/>
                <w:lang w:val="es-ES_tradnl"/>
              </w:rPr>
            </w:pPr>
            <w:r w:rsidRPr="00DE39EA">
              <w:rPr>
                <w:rFonts w:ascii="Arial" w:eastAsia="Calibri" w:hAnsi="Arial" w:cs="Arial"/>
                <w:sz w:val="22"/>
                <w:lang w:val="es-ES_tradnl"/>
              </w:rPr>
              <w:t xml:space="preserve">                           </w:t>
            </w:r>
          </w:p>
        </w:tc>
        <w:tc>
          <w:tcPr>
            <w:tcW w:w="6091" w:type="dxa"/>
            <w:hideMark/>
          </w:tcPr>
          <w:p w14:paraId="0F35FDBD" w14:textId="5E7DB93B" w:rsidR="00003E08" w:rsidRPr="00DE39EA" w:rsidRDefault="00351B28" w:rsidP="00522232">
            <w:pPr>
              <w:spacing w:line="276" w:lineRule="auto"/>
              <w:jc w:val="both"/>
              <w:rPr>
                <w:rFonts w:ascii="Arial" w:eastAsia="Calibri" w:hAnsi="Arial" w:cs="Arial"/>
                <w:bCs/>
                <w:sz w:val="22"/>
              </w:rPr>
            </w:pPr>
            <w:r w:rsidRPr="00DE39EA">
              <w:rPr>
                <w:rFonts w:ascii="Arial" w:eastAsia="Calibri" w:hAnsi="Arial" w:cs="Arial"/>
                <w:bCs/>
                <w:color w:val="1A1A1A" w:themeColor="background1" w:themeShade="1A"/>
                <w:sz w:val="22"/>
                <w:lang w:val="es-ES_tradnl"/>
              </w:rPr>
              <w:t xml:space="preserve">LEY DE GARANTÍAS ELECTORALES </w:t>
            </w:r>
            <w:r w:rsidR="003A16D4" w:rsidRPr="00DE39EA">
              <w:rPr>
                <w:rFonts w:ascii="Arial" w:eastAsia="Calibri" w:hAnsi="Arial" w:cs="Arial"/>
                <w:bCs/>
                <w:sz w:val="22"/>
              </w:rPr>
              <w:t>–</w:t>
            </w:r>
            <w:r w:rsidRPr="00DE39EA">
              <w:rPr>
                <w:rFonts w:ascii="Arial" w:eastAsia="Calibri" w:hAnsi="Arial" w:cs="Arial"/>
                <w:bCs/>
                <w:color w:val="1A1A1A" w:themeColor="background1" w:themeShade="1A"/>
                <w:sz w:val="22"/>
                <w:lang w:val="es-ES_tradnl"/>
              </w:rPr>
              <w:t xml:space="preserve"> Definición </w:t>
            </w:r>
            <w:r w:rsidR="003A16D4" w:rsidRPr="00DE39EA">
              <w:rPr>
                <w:rFonts w:ascii="Arial" w:eastAsia="Calibri" w:hAnsi="Arial" w:cs="Arial"/>
                <w:bCs/>
                <w:sz w:val="22"/>
              </w:rPr>
              <w:t>–</w:t>
            </w:r>
            <w:r w:rsidRPr="00DE39EA">
              <w:rPr>
                <w:rFonts w:ascii="Arial" w:eastAsia="Calibri" w:hAnsi="Arial" w:cs="Arial"/>
                <w:bCs/>
                <w:color w:val="1A1A1A" w:themeColor="background1" w:themeShade="1A"/>
                <w:sz w:val="22"/>
                <w:lang w:val="es-ES_tradnl"/>
              </w:rPr>
              <w:t xml:space="preserve"> Finalidad </w:t>
            </w:r>
            <w:r w:rsidR="003A16D4" w:rsidRPr="00DE39EA">
              <w:rPr>
                <w:rFonts w:ascii="Arial" w:eastAsia="Calibri" w:hAnsi="Arial" w:cs="Arial"/>
                <w:bCs/>
                <w:sz w:val="22"/>
              </w:rPr>
              <w:t>–</w:t>
            </w:r>
            <w:r w:rsidRPr="00DE39EA">
              <w:rPr>
                <w:rFonts w:ascii="Arial" w:eastAsia="Calibri" w:hAnsi="Arial" w:cs="Arial"/>
                <w:bCs/>
                <w:color w:val="1A1A1A" w:themeColor="background1" w:themeShade="1A"/>
                <w:sz w:val="22"/>
                <w:lang w:val="es-ES_tradnl"/>
              </w:rPr>
              <w:t xml:space="preserve"> Restricciones / LEY DE GARANTÍAS ELECTORALES </w:t>
            </w:r>
            <w:r w:rsidR="003A16D4" w:rsidRPr="00DE39EA">
              <w:rPr>
                <w:rFonts w:ascii="Arial" w:eastAsia="Calibri" w:hAnsi="Arial" w:cs="Arial"/>
                <w:bCs/>
                <w:sz w:val="22"/>
              </w:rPr>
              <w:t>–</w:t>
            </w:r>
            <w:r w:rsidRPr="00DE39EA">
              <w:rPr>
                <w:rFonts w:ascii="Arial" w:eastAsia="Calibri" w:hAnsi="Arial" w:cs="Arial"/>
                <w:bCs/>
                <w:color w:val="1A1A1A" w:themeColor="background1" w:themeShade="1A"/>
                <w:sz w:val="22"/>
                <w:lang w:val="es-ES_tradnl"/>
              </w:rPr>
              <w:t xml:space="preserve"> Prohibición </w:t>
            </w:r>
            <w:r w:rsidR="003A16D4" w:rsidRPr="00DE39EA">
              <w:rPr>
                <w:rFonts w:ascii="Arial" w:eastAsia="Calibri" w:hAnsi="Arial" w:cs="Arial"/>
                <w:bCs/>
                <w:sz w:val="22"/>
              </w:rPr>
              <w:t>–</w:t>
            </w:r>
            <w:r w:rsidRPr="00DE39EA">
              <w:rPr>
                <w:rFonts w:ascii="Arial" w:eastAsia="Calibri" w:hAnsi="Arial" w:cs="Arial"/>
                <w:bCs/>
                <w:color w:val="1A1A1A" w:themeColor="background1" w:themeShade="1A"/>
                <w:sz w:val="22"/>
                <w:lang w:val="es-ES_tradnl"/>
              </w:rPr>
              <w:t xml:space="preserve"> Contratación Directa </w:t>
            </w:r>
            <w:r w:rsidR="003A16D4" w:rsidRPr="00DE39EA">
              <w:rPr>
                <w:rFonts w:ascii="Arial" w:eastAsia="Calibri" w:hAnsi="Arial" w:cs="Arial"/>
                <w:bCs/>
                <w:sz w:val="22"/>
              </w:rPr>
              <w:t>–</w:t>
            </w:r>
            <w:r w:rsidRPr="00DE39EA">
              <w:rPr>
                <w:rFonts w:ascii="Arial" w:eastAsia="Calibri" w:hAnsi="Arial" w:cs="Arial"/>
                <w:bCs/>
                <w:color w:val="1A1A1A" w:themeColor="background1" w:themeShade="1A"/>
                <w:sz w:val="22"/>
                <w:lang w:val="es-ES_tradnl"/>
              </w:rPr>
              <w:t xml:space="preserve"> Alcance </w:t>
            </w:r>
            <w:r w:rsidR="003A16D4" w:rsidRPr="00DE39EA">
              <w:rPr>
                <w:rFonts w:ascii="Arial" w:eastAsia="Calibri" w:hAnsi="Arial" w:cs="Arial"/>
                <w:bCs/>
                <w:sz w:val="22"/>
              </w:rPr>
              <w:t>–</w:t>
            </w:r>
            <w:r w:rsidRPr="00DE39EA">
              <w:rPr>
                <w:rFonts w:ascii="Arial" w:eastAsia="Calibri" w:hAnsi="Arial" w:cs="Arial"/>
                <w:bCs/>
                <w:color w:val="1A1A1A" w:themeColor="background1" w:themeShade="1A"/>
                <w:sz w:val="22"/>
                <w:lang w:val="es-ES_tradnl"/>
              </w:rPr>
              <w:t xml:space="preserve"> Excepciones / </w:t>
            </w:r>
            <w:r w:rsidR="00927CE9" w:rsidRPr="00DE39EA">
              <w:rPr>
                <w:rFonts w:ascii="Arial" w:eastAsia="Calibri" w:hAnsi="Arial" w:cs="Arial"/>
                <w:bCs/>
                <w:sz w:val="22"/>
              </w:rPr>
              <w:t xml:space="preserve">INSTITUCIONES EDUCATIVAS OFICIALES – Naturaleza jurídica – Capacidad para contratar </w:t>
            </w:r>
            <w:r w:rsidR="002F5628" w:rsidRPr="00DE39EA">
              <w:rPr>
                <w:rFonts w:ascii="Arial" w:eastAsia="Calibri" w:hAnsi="Arial" w:cs="Arial"/>
                <w:bCs/>
                <w:sz w:val="22"/>
              </w:rPr>
              <w:t>– Compra pública</w:t>
            </w:r>
            <w:r w:rsidR="00927CE9" w:rsidRPr="00DE39EA">
              <w:rPr>
                <w:rFonts w:ascii="Arial" w:eastAsia="Calibri" w:hAnsi="Arial" w:cs="Arial"/>
                <w:b/>
                <w:sz w:val="22"/>
              </w:rPr>
              <w:t xml:space="preserve"> </w:t>
            </w:r>
            <w:r w:rsidR="00E917A4" w:rsidRPr="00DE39EA">
              <w:rPr>
                <w:rFonts w:ascii="Arial" w:eastAsia="Calibri" w:hAnsi="Arial" w:cs="Arial"/>
                <w:sz w:val="22"/>
              </w:rPr>
              <w:t xml:space="preserve"> </w:t>
            </w:r>
          </w:p>
        </w:tc>
      </w:tr>
      <w:tr w:rsidR="00782A9F" w:rsidRPr="00DE39EA" w14:paraId="20F2A3B6" w14:textId="77777777" w:rsidTr="001F7C1D">
        <w:tc>
          <w:tcPr>
            <w:tcW w:w="2835" w:type="dxa"/>
          </w:tcPr>
          <w:p w14:paraId="0FCD48E0" w14:textId="77777777" w:rsidR="002F5628" w:rsidRPr="00DE39EA" w:rsidRDefault="001F7C1D" w:rsidP="00522232">
            <w:pPr>
              <w:spacing w:line="276" w:lineRule="auto"/>
              <w:rPr>
                <w:rFonts w:ascii="Arial" w:eastAsia="Calibri" w:hAnsi="Arial" w:cs="Arial"/>
                <w:b/>
                <w:sz w:val="22"/>
                <w:lang w:val="es-ES_tradnl"/>
              </w:rPr>
            </w:pPr>
            <w:r w:rsidRPr="00DE39EA">
              <w:rPr>
                <w:rFonts w:ascii="Arial" w:eastAsia="Calibri" w:hAnsi="Arial" w:cs="Arial"/>
                <w:b/>
                <w:sz w:val="22"/>
                <w:lang w:val="es-ES_tradnl"/>
              </w:rPr>
              <w:t xml:space="preserve"> </w:t>
            </w:r>
          </w:p>
          <w:p w14:paraId="1E82F4FA" w14:textId="58DF7661" w:rsidR="00782A9F" w:rsidRPr="00DE39EA" w:rsidRDefault="00782A9F" w:rsidP="00522232">
            <w:pPr>
              <w:spacing w:line="276" w:lineRule="auto"/>
              <w:rPr>
                <w:rFonts w:ascii="Arial" w:eastAsia="Calibri" w:hAnsi="Arial" w:cs="Arial"/>
                <w:b/>
                <w:sz w:val="22"/>
                <w:lang w:val="es-ES_tradnl"/>
              </w:rPr>
            </w:pPr>
            <w:r w:rsidRPr="00DE39EA">
              <w:rPr>
                <w:rFonts w:ascii="Arial" w:eastAsia="Calibri" w:hAnsi="Arial" w:cs="Arial"/>
                <w:b/>
                <w:sz w:val="22"/>
                <w:lang w:val="es-ES_tradnl"/>
              </w:rPr>
              <w:t>Radicación:</w:t>
            </w:r>
            <w:r w:rsidRPr="00DE39EA">
              <w:rPr>
                <w:rFonts w:ascii="Arial" w:eastAsia="Calibri" w:hAnsi="Arial" w:cs="Arial"/>
                <w:sz w:val="22"/>
                <w:lang w:val="es-ES_tradnl"/>
              </w:rPr>
              <w:t xml:space="preserve">                              </w:t>
            </w:r>
          </w:p>
        </w:tc>
        <w:tc>
          <w:tcPr>
            <w:tcW w:w="6091" w:type="dxa"/>
          </w:tcPr>
          <w:p w14:paraId="058F6E36" w14:textId="77777777" w:rsidR="002F5628" w:rsidRPr="00DE39EA" w:rsidRDefault="002F5628" w:rsidP="00522232">
            <w:pPr>
              <w:spacing w:line="276" w:lineRule="auto"/>
              <w:jc w:val="both"/>
              <w:rPr>
                <w:rFonts w:ascii="Arial" w:eastAsia="Calibri" w:hAnsi="Arial" w:cs="Arial"/>
                <w:sz w:val="22"/>
                <w:lang w:val="es-ES_tradnl"/>
              </w:rPr>
            </w:pPr>
          </w:p>
          <w:p w14:paraId="20FCE53A" w14:textId="40BC0FA7" w:rsidR="00782A9F" w:rsidRPr="00DE39EA" w:rsidRDefault="00782A9F" w:rsidP="00522232">
            <w:pPr>
              <w:spacing w:line="276" w:lineRule="auto"/>
              <w:jc w:val="both"/>
              <w:rPr>
                <w:rFonts w:ascii="Arial" w:eastAsia="Calibri" w:hAnsi="Arial" w:cs="Arial"/>
                <w:sz w:val="22"/>
                <w:lang w:val="es-ES_tradnl"/>
              </w:rPr>
            </w:pPr>
            <w:r w:rsidRPr="00DE39EA">
              <w:rPr>
                <w:rFonts w:ascii="Arial" w:eastAsia="Calibri" w:hAnsi="Arial" w:cs="Arial"/>
                <w:sz w:val="22"/>
                <w:lang w:val="es-ES_tradnl"/>
              </w:rPr>
              <w:t xml:space="preserve">Respuesta a consulta </w:t>
            </w:r>
            <w:r w:rsidR="007A1FB1" w:rsidRPr="00DE39EA">
              <w:rPr>
                <w:rFonts w:ascii="Arial" w:eastAsia="Calibri" w:hAnsi="Arial" w:cs="Arial"/>
                <w:sz w:val="22"/>
                <w:lang w:val="es-ES_tradnl"/>
              </w:rPr>
              <w:t>P20220331003274</w:t>
            </w:r>
          </w:p>
        </w:tc>
      </w:tr>
      <w:tr w:rsidR="00782A9F" w:rsidRPr="00DE39EA" w14:paraId="27C2F130" w14:textId="77777777" w:rsidTr="001F7C1D">
        <w:tc>
          <w:tcPr>
            <w:tcW w:w="2835" w:type="dxa"/>
          </w:tcPr>
          <w:p w14:paraId="2CAB0965" w14:textId="77777777" w:rsidR="00782A9F" w:rsidRPr="00DE39EA" w:rsidRDefault="00782A9F" w:rsidP="00782A9F">
            <w:pPr>
              <w:spacing w:before="120" w:line="276" w:lineRule="auto"/>
              <w:rPr>
                <w:rFonts w:ascii="Arial" w:eastAsia="Calibri" w:hAnsi="Arial" w:cs="Arial"/>
                <w:b/>
                <w:sz w:val="22"/>
                <w:lang w:val="es-ES_tradnl"/>
              </w:rPr>
            </w:pPr>
          </w:p>
        </w:tc>
        <w:tc>
          <w:tcPr>
            <w:tcW w:w="6091" w:type="dxa"/>
          </w:tcPr>
          <w:p w14:paraId="38942E59" w14:textId="77777777" w:rsidR="00782A9F" w:rsidRPr="00DE39EA" w:rsidRDefault="00782A9F" w:rsidP="00782A9F">
            <w:pPr>
              <w:spacing w:before="120" w:line="276" w:lineRule="auto"/>
              <w:jc w:val="both"/>
              <w:rPr>
                <w:rFonts w:ascii="Arial" w:eastAsia="Calibri" w:hAnsi="Arial" w:cs="Arial"/>
                <w:sz w:val="22"/>
                <w:lang w:val="es-ES_tradnl"/>
              </w:rPr>
            </w:pPr>
          </w:p>
        </w:tc>
      </w:tr>
    </w:tbl>
    <w:p w14:paraId="417ABDA8" w14:textId="708AFB71" w:rsidR="00BE1E33" w:rsidRPr="00DE39EA" w:rsidRDefault="00E0483F" w:rsidP="00A32FFB">
      <w:pPr>
        <w:spacing w:line="276" w:lineRule="auto"/>
        <w:rPr>
          <w:rFonts w:ascii="Arial" w:eastAsia="Calibri" w:hAnsi="Arial" w:cs="Arial"/>
          <w:sz w:val="22"/>
          <w:lang w:val="es-ES_tradnl"/>
        </w:rPr>
      </w:pPr>
      <w:r w:rsidRPr="00DE39EA">
        <w:rPr>
          <w:rFonts w:ascii="Arial" w:hAnsi="Arial" w:cs="Arial"/>
          <w:sz w:val="22"/>
        </w:rPr>
        <w:t>Estimad</w:t>
      </w:r>
      <w:r w:rsidR="00CC78BE" w:rsidRPr="00DE39EA">
        <w:rPr>
          <w:rFonts w:ascii="Arial" w:hAnsi="Arial" w:cs="Arial"/>
          <w:sz w:val="22"/>
        </w:rPr>
        <w:t>a</w:t>
      </w:r>
      <w:r w:rsidRPr="00DE39EA">
        <w:rPr>
          <w:rFonts w:ascii="Arial" w:hAnsi="Arial" w:cs="Arial"/>
          <w:sz w:val="22"/>
        </w:rPr>
        <w:t xml:space="preserve"> señor</w:t>
      </w:r>
      <w:r w:rsidR="00CC78BE" w:rsidRPr="00DE39EA">
        <w:rPr>
          <w:rFonts w:ascii="Arial" w:hAnsi="Arial" w:cs="Arial"/>
          <w:sz w:val="22"/>
        </w:rPr>
        <w:t>a</w:t>
      </w:r>
      <w:r w:rsidRPr="00DE39EA">
        <w:rPr>
          <w:rFonts w:ascii="Arial" w:hAnsi="Arial" w:cs="Arial"/>
          <w:sz w:val="22"/>
        </w:rPr>
        <w:t xml:space="preserve"> </w:t>
      </w:r>
      <w:r w:rsidR="007A1FB1" w:rsidRPr="00DE39EA">
        <w:rPr>
          <w:rFonts w:ascii="Arial" w:hAnsi="Arial" w:cs="Arial"/>
          <w:bCs/>
          <w:sz w:val="22"/>
          <w:lang w:val="es-CO"/>
        </w:rPr>
        <w:t>Burbano</w:t>
      </w:r>
      <w:r w:rsidRPr="00DE39EA">
        <w:rPr>
          <w:rFonts w:ascii="Arial" w:hAnsi="Arial" w:cs="Arial"/>
          <w:bCs/>
          <w:sz w:val="22"/>
        </w:rPr>
        <w:t>,</w:t>
      </w:r>
    </w:p>
    <w:p w14:paraId="1CCABABD" w14:textId="77777777" w:rsidR="00BE1E33" w:rsidRPr="00DE39EA" w:rsidRDefault="00BE1E33" w:rsidP="00A32FFB">
      <w:pPr>
        <w:spacing w:line="276" w:lineRule="auto"/>
        <w:rPr>
          <w:rFonts w:ascii="Arial" w:eastAsia="Calibri" w:hAnsi="Arial" w:cs="Arial"/>
          <w:sz w:val="22"/>
          <w:lang w:val="es-ES_tradnl"/>
        </w:rPr>
      </w:pPr>
    </w:p>
    <w:p w14:paraId="1D13401D" w14:textId="2AD9C862" w:rsidR="00BE1E33" w:rsidRPr="00DE39EA" w:rsidRDefault="00EC3979" w:rsidP="00A32FFB">
      <w:pPr>
        <w:spacing w:line="276" w:lineRule="auto"/>
        <w:jc w:val="both"/>
        <w:rPr>
          <w:rFonts w:ascii="Arial" w:hAnsi="Arial" w:cs="Arial"/>
          <w:sz w:val="22"/>
        </w:rPr>
      </w:pPr>
      <w:r w:rsidRPr="00DE39EA">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C3336C" w:rsidRPr="00DE39EA">
        <w:rPr>
          <w:rFonts w:ascii="Arial" w:hAnsi="Arial" w:cs="Arial"/>
          <w:sz w:val="22"/>
        </w:rPr>
        <w:t>31</w:t>
      </w:r>
      <w:r w:rsidRPr="00DE39EA">
        <w:rPr>
          <w:rFonts w:ascii="Arial" w:hAnsi="Arial" w:cs="Arial"/>
          <w:sz w:val="22"/>
        </w:rPr>
        <w:t xml:space="preserve"> de </w:t>
      </w:r>
      <w:r w:rsidR="00CC78BE" w:rsidRPr="00DE39EA">
        <w:rPr>
          <w:rFonts w:ascii="Arial" w:hAnsi="Arial" w:cs="Arial"/>
          <w:sz w:val="22"/>
        </w:rPr>
        <w:t>marzo</w:t>
      </w:r>
      <w:r w:rsidRPr="00DE39EA">
        <w:rPr>
          <w:rFonts w:ascii="Arial" w:hAnsi="Arial" w:cs="Arial"/>
          <w:sz w:val="22"/>
        </w:rPr>
        <w:t xml:space="preserve"> de 2022.</w:t>
      </w:r>
    </w:p>
    <w:p w14:paraId="0C764277" w14:textId="77777777" w:rsidR="00EC3979" w:rsidRPr="00DE39EA" w:rsidRDefault="00EC3979" w:rsidP="00A32FFB">
      <w:pPr>
        <w:spacing w:line="276" w:lineRule="auto"/>
        <w:jc w:val="both"/>
        <w:rPr>
          <w:rFonts w:ascii="Arial" w:eastAsia="Calibri" w:hAnsi="Arial" w:cs="Arial"/>
          <w:sz w:val="22"/>
          <w:lang w:val="es-ES_tradnl"/>
        </w:rPr>
      </w:pPr>
    </w:p>
    <w:p w14:paraId="068F505C" w14:textId="6EE7386C" w:rsidR="00BE1E33" w:rsidRPr="00DE39EA" w:rsidRDefault="00BE1E33" w:rsidP="00A32FFB">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DE39EA">
        <w:rPr>
          <w:rFonts w:ascii="Arial" w:eastAsia="Calibri" w:hAnsi="Arial" w:cs="Arial"/>
          <w:b/>
          <w:sz w:val="22"/>
          <w:lang w:val="es-ES_tradnl"/>
        </w:rPr>
        <w:t xml:space="preserve">Problema planteado </w:t>
      </w:r>
    </w:p>
    <w:p w14:paraId="78258320" w14:textId="77777777" w:rsidR="00E15E40" w:rsidRPr="00DE39EA" w:rsidRDefault="00E15E40" w:rsidP="00E15E40">
      <w:pPr>
        <w:pStyle w:val="NormalWeb"/>
        <w:shd w:val="clear" w:color="auto" w:fill="FFFFFF"/>
        <w:spacing w:before="0" w:beforeAutospacing="0" w:after="0" w:afterAutospacing="0" w:line="276" w:lineRule="auto"/>
        <w:jc w:val="both"/>
        <w:rPr>
          <w:rFonts w:ascii="Arial" w:hAnsi="Arial" w:cs="Arial"/>
          <w:sz w:val="22"/>
        </w:rPr>
      </w:pPr>
    </w:p>
    <w:p w14:paraId="441B1F78" w14:textId="77777777" w:rsidR="00CC78BE" w:rsidRPr="00DE39EA" w:rsidRDefault="00E15E40" w:rsidP="00937564">
      <w:pPr>
        <w:pStyle w:val="NormalWeb"/>
        <w:shd w:val="clear" w:color="auto" w:fill="FFFFFF"/>
        <w:spacing w:before="0" w:beforeAutospacing="0" w:after="0" w:afterAutospacing="0" w:line="276" w:lineRule="auto"/>
        <w:jc w:val="both"/>
        <w:rPr>
          <w:rFonts w:ascii="Arial" w:hAnsi="Arial" w:cs="Arial"/>
          <w:sz w:val="22"/>
          <w:szCs w:val="22"/>
        </w:rPr>
      </w:pPr>
      <w:r w:rsidRPr="00DE39EA">
        <w:rPr>
          <w:rFonts w:ascii="Arial" w:hAnsi="Arial" w:cs="Arial"/>
          <w:sz w:val="22"/>
          <w:szCs w:val="22"/>
        </w:rPr>
        <w:t>Usted formula la siguiente consulta:</w:t>
      </w:r>
      <w:r w:rsidR="00937564" w:rsidRPr="00DE39EA">
        <w:rPr>
          <w:rFonts w:ascii="Arial" w:hAnsi="Arial" w:cs="Arial"/>
          <w:sz w:val="22"/>
          <w:szCs w:val="22"/>
        </w:rPr>
        <w:t xml:space="preserve"> </w:t>
      </w:r>
    </w:p>
    <w:p w14:paraId="27400177" w14:textId="77777777" w:rsidR="00CC78BE" w:rsidRPr="00DE39EA" w:rsidRDefault="00CC78BE" w:rsidP="00937564">
      <w:pPr>
        <w:pStyle w:val="NormalWeb"/>
        <w:shd w:val="clear" w:color="auto" w:fill="FFFFFF"/>
        <w:spacing w:before="0" w:beforeAutospacing="0" w:after="0" w:afterAutospacing="0" w:line="276" w:lineRule="auto"/>
        <w:jc w:val="both"/>
        <w:rPr>
          <w:rFonts w:ascii="Arial" w:hAnsi="Arial" w:cs="Arial"/>
          <w:sz w:val="22"/>
          <w:szCs w:val="22"/>
        </w:rPr>
      </w:pPr>
    </w:p>
    <w:p w14:paraId="2CE368D8" w14:textId="57060F55" w:rsidR="00575081" w:rsidRPr="00DE39EA" w:rsidRDefault="00575081" w:rsidP="00CC78BE">
      <w:pPr>
        <w:pStyle w:val="NormalWeb"/>
        <w:shd w:val="clear" w:color="auto" w:fill="FFFFFF"/>
        <w:spacing w:before="0" w:beforeAutospacing="0" w:after="0" w:afterAutospacing="0"/>
        <w:ind w:left="709" w:right="900"/>
        <w:jc w:val="both"/>
        <w:rPr>
          <w:rFonts w:ascii="Arial" w:hAnsi="Arial" w:cs="Arial"/>
          <w:bCs/>
          <w:color w:val="000000"/>
          <w:sz w:val="21"/>
          <w:szCs w:val="21"/>
          <w:lang w:eastAsia="es-CO"/>
        </w:rPr>
      </w:pPr>
      <w:r w:rsidRPr="00DE39EA">
        <w:rPr>
          <w:rFonts w:ascii="Arial" w:hAnsi="Arial" w:cs="Arial"/>
          <w:bCs/>
          <w:color w:val="000000"/>
          <w:sz w:val="21"/>
          <w:szCs w:val="21"/>
          <w:lang w:eastAsia="es-CO"/>
        </w:rPr>
        <w:t>«</w:t>
      </w:r>
      <w:r w:rsidR="0025562A" w:rsidRPr="00DE39EA">
        <w:rPr>
          <w:rFonts w:ascii="Arial" w:hAnsi="Arial" w:cs="Arial"/>
          <w:bCs/>
          <w:sz w:val="20"/>
          <w:szCs w:val="20"/>
          <w:lang w:eastAsia="es-CO"/>
        </w:rPr>
        <w:t xml:space="preserve">[…] </w:t>
      </w:r>
      <w:r w:rsidR="0025562A" w:rsidRPr="00DE39EA">
        <w:rPr>
          <w:rFonts w:ascii="Arial" w:hAnsi="Arial" w:cs="Arial"/>
          <w:color w:val="000000"/>
          <w:sz w:val="21"/>
          <w:szCs w:val="21"/>
        </w:rPr>
        <w:t xml:space="preserve">solicitamos muy respetuosamente de su concurso para que se indique de manera precisa y asertiva a esta institución educativa según lo antes expuesto, si a los Fondos de Servicios Educativos les está prohibido contratar hasta los 20 salarios mínimos en Ley de Garantías, o si por el contrario la institución puede suscribir contratos hasta por esa misma cuantía sin restricción durante el tiempo que se extienda esta medida prohibitiva. Agradecemos su gentil y pronta respuesta a nuestra solicitud, lo cual sin duda </w:t>
      </w:r>
      <w:r w:rsidR="0025562A" w:rsidRPr="00DE39EA">
        <w:rPr>
          <w:rFonts w:ascii="Arial" w:hAnsi="Arial" w:cs="Arial"/>
          <w:color w:val="000000"/>
          <w:sz w:val="21"/>
          <w:szCs w:val="21"/>
        </w:rPr>
        <w:lastRenderedPageBreak/>
        <w:t>beneficia a los niños, niñas y jóvenes estudiantes de nuestra entidad educativa.</w:t>
      </w:r>
      <w:r w:rsidR="00CC78BE" w:rsidRPr="00DE39EA">
        <w:rPr>
          <w:rFonts w:ascii="Arial" w:hAnsi="Arial" w:cs="Arial"/>
          <w:color w:val="000000"/>
          <w:sz w:val="21"/>
          <w:szCs w:val="21"/>
        </w:rPr>
        <w:t xml:space="preserve">» </w:t>
      </w:r>
    </w:p>
    <w:p w14:paraId="4DF2AC2E" w14:textId="77777777" w:rsidR="00937564" w:rsidRPr="00DE39EA" w:rsidRDefault="00937564" w:rsidP="005B36AD">
      <w:pPr>
        <w:ind w:right="709"/>
        <w:jc w:val="both"/>
        <w:rPr>
          <w:rFonts w:ascii="Arial" w:eastAsia="Times New Roman" w:hAnsi="Arial" w:cs="Arial"/>
          <w:bCs/>
          <w:color w:val="000000"/>
          <w:sz w:val="21"/>
          <w:szCs w:val="21"/>
          <w:lang w:eastAsia="es-CO"/>
        </w:rPr>
      </w:pPr>
    </w:p>
    <w:p w14:paraId="01D94D72" w14:textId="04E73492" w:rsidR="00BE1E33" w:rsidRPr="00DE39EA" w:rsidRDefault="00BE1E33" w:rsidP="00A32FFB">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DE39EA">
        <w:rPr>
          <w:rFonts w:ascii="Arial" w:eastAsia="Calibri" w:hAnsi="Arial" w:cs="Arial"/>
          <w:b/>
          <w:sz w:val="22"/>
          <w:lang w:val="es-ES_tradnl"/>
        </w:rPr>
        <w:t>Consideraciones</w:t>
      </w:r>
    </w:p>
    <w:p w14:paraId="64457948" w14:textId="2E56645B" w:rsidR="00730B84" w:rsidRPr="00DE39EA" w:rsidRDefault="00730B84" w:rsidP="009F0D3D">
      <w:pPr>
        <w:tabs>
          <w:tab w:val="left" w:pos="426"/>
        </w:tabs>
        <w:spacing w:line="276" w:lineRule="auto"/>
        <w:jc w:val="both"/>
        <w:rPr>
          <w:rFonts w:ascii="Arial" w:hAnsi="Arial" w:cs="Arial"/>
          <w:sz w:val="22"/>
          <w:lang w:val="es-ES"/>
        </w:rPr>
      </w:pPr>
    </w:p>
    <w:p w14:paraId="15FB64A8" w14:textId="77777777" w:rsidR="003C791D" w:rsidRPr="00DE39EA" w:rsidRDefault="003C791D" w:rsidP="003C791D">
      <w:pPr>
        <w:spacing w:after="120" w:line="276" w:lineRule="auto"/>
        <w:jc w:val="both"/>
        <w:rPr>
          <w:rFonts w:ascii="Arial" w:hAnsi="Arial" w:cs="Arial"/>
          <w:bCs/>
          <w:sz w:val="22"/>
          <w:lang w:val="es-ES"/>
        </w:rPr>
      </w:pPr>
      <w:r w:rsidRPr="00DE39EA">
        <w:rPr>
          <w:rFonts w:ascii="Arial" w:hAnsi="Arial" w:cs="Arial"/>
          <w:bCs/>
          <w:sz w:val="22"/>
          <w:lang w:val="es-CO"/>
        </w:rPr>
        <w:t xml:space="preserve">En ejercicio de las competencias establecidas en los artículos 3.5 y 11.8 del Decreto 4170 de 2011, la Agencia Nacional de Contratación Pública – Colombia Compra Eficiente resuelve consultas sobre </w:t>
      </w:r>
      <w:r w:rsidRPr="00DE39EA">
        <w:rPr>
          <w:rFonts w:ascii="Arial" w:hAnsi="Arial" w:cs="Arial"/>
          <w:bCs/>
          <w:sz w:val="22"/>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DE39EA">
        <w:rPr>
          <w:rFonts w:ascii="Arial" w:hAnsi="Arial" w:cs="Arial"/>
          <w:bCs/>
          <w:sz w:val="22"/>
          <w:lang w:val="es-CO"/>
        </w:rPr>
        <w:t xml:space="preserve"> de todos los partícipes de la contratación estatal.</w:t>
      </w:r>
    </w:p>
    <w:p w14:paraId="68513302" w14:textId="77777777" w:rsidR="003C791D" w:rsidRPr="00DE39EA" w:rsidRDefault="003C791D" w:rsidP="003C791D">
      <w:pPr>
        <w:spacing w:after="120" w:line="276" w:lineRule="auto"/>
        <w:ind w:firstLine="708"/>
        <w:jc w:val="both"/>
        <w:rPr>
          <w:rFonts w:ascii="Arial" w:hAnsi="Arial" w:cs="Arial"/>
          <w:bCs/>
          <w:sz w:val="22"/>
          <w:lang w:val="es-ES"/>
        </w:rPr>
      </w:pPr>
      <w:r w:rsidRPr="00DE39EA">
        <w:rPr>
          <w:rFonts w:ascii="Arial" w:hAnsi="Arial" w:cs="Arial"/>
          <w:bCs/>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E39EA">
        <w:rPr>
          <w:rFonts w:ascii="Arial" w:hAnsi="Arial" w:cs="Arial"/>
          <w:bCs/>
          <w:sz w:val="22"/>
          <w:vertAlign w:val="superscript"/>
          <w:lang w:val="es-ES"/>
        </w:rPr>
        <w:footnoteReference w:id="1"/>
      </w:r>
      <w:r w:rsidRPr="00DE39EA">
        <w:rPr>
          <w:rFonts w:ascii="Arial" w:hAnsi="Arial" w:cs="Arial"/>
          <w:bCs/>
          <w:sz w:val="22"/>
          <w:lang w:val="es-ES"/>
        </w:rPr>
        <w:t>. Esta 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celebrar determinado contrato estatal en específico.</w:t>
      </w:r>
    </w:p>
    <w:p w14:paraId="0E1EB37D" w14:textId="77777777" w:rsidR="003C791D" w:rsidRPr="00DE39EA" w:rsidRDefault="003C791D" w:rsidP="003C791D">
      <w:pPr>
        <w:tabs>
          <w:tab w:val="left" w:pos="426"/>
        </w:tabs>
        <w:spacing w:after="120" w:line="276" w:lineRule="auto"/>
        <w:jc w:val="both"/>
        <w:rPr>
          <w:rFonts w:ascii="Arial" w:eastAsia="Calibri" w:hAnsi="Arial" w:cs="Arial"/>
          <w:sz w:val="22"/>
        </w:rPr>
      </w:pPr>
      <w:r w:rsidRPr="00DE39EA">
        <w:rPr>
          <w:rFonts w:ascii="Arial" w:hAnsi="Arial" w:cs="Arial"/>
          <w:bCs/>
          <w:sz w:val="22"/>
          <w:lang w:val="es-CO"/>
        </w:rPr>
        <w:tab/>
        <w:t xml:space="preserve">Sin perjuicio de lo anterior, </w:t>
      </w:r>
      <w:r w:rsidRPr="00DE39EA">
        <w:rPr>
          <w:rFonts w:ascii="Arial" w:hAnsi="Arial" w:cs="Arial"/>
          <w:bCs/>
          <w:sz w:val="22"/>
          <w:lang w:val="es-ES"/>
        </w:rPr>
        <w:t xml:space="preserve">la Agencia –dentro de los límites de sus atribuciones, es decir, </w:t>
      </w:r>
      <w:bookmarkStart w:id="6" w:name="_Hlk61025408"/>
      <w:r w:rsidRPr="00DE39EA">
        <w:rPr>
          <w:rFonts w:ascii="Arial" w:hAnsi="Arial" w:cs="Arial"/>
          <w:bCs/>
          <w:sz w:val="22"/>
          <w:lang w:val="es-ES"/>
        </w:rPr>
        <w:t xml:space="preserve">haciendo abstracción del caso particular </w:t>
      </w:r>
      <w:bookmarkEnd w:id="6"/>
      <w:r w:rsidRPr="00DE39EA">
        <w:rPr>
          <w:rFonts w:ascii="Arial" w:hAnsi="Arial" w:cs="Arial"/>
          <w:bCs/>
          <w:sz w:val="22"/>
          <w:lang w:val="es-ES"/>
        </w:rPr>
        <w:t>expuesto– resolverá la consulta conforme a las normas generales del sistema de compras públicas. Con este objetivo se analizarán los siguientes temas:</w:t>
      </w:r>
      <w:r w:rsidRPr="00DE39EA">
        <w:rPr>
          <w:rFonts w:ascii="Arial" w:eastAsia="Calibri" w:hAnsi="Arial" w:cs="Arial"/>
          <w:bCs/>
          <w:sz w:val="22"/>
          <w:lang w:val="es-CO"/>
        </w:rPr>
        <w:t xml:space="preserve"> i) definición y finalidad de la Ley de Garantías Electorales, ii) restricciones </w:t>
      </w:r>
      <w:r w:rsidRPr="00DE39EA">
        <w:rPr>
          <w:rFonts w:ascii="Arial" w:eastAsia="Calibri" w:hAnsi="Arial" w:cs="Arial"/>
          <w:bCs/>
          <w:sz w:val="22"/>
        </w:rPr>
        <w:t xml:space="preserve">para elecciones presidenciales, iii) destinatarios de la prohibición del artículo 33 de la Ley 996 de 2005, iv) </w:t>
      </w:r>
      <w:r w:rsidRPr="00DE39EA">
        <w:rPr>
          <w:rFonts w:ascii="Arial" w:eastAsia="Calibri" w:hAnsi="Arial" w:cs="Arial"/>
          <w:sz w:val="22"/>
        </w:rPr>
        <w:t>restricciones en los comicios de cargos de elección popular</w:t>
      </w:r>
      <w:bookmarkStart w:id="7" w:name="_Hlk76110351"/>
      <w:r w:rsidRPr="00DE39EA">
        <w:rPr>
          <w:rFonts w:ascii="Arial" w:eastAsia="Calibri" w:hAnsi="Arial" w:cs="Arial"/>
          <w:sz w:val="22"/>
        </w:rPr>
        <w:t xml:space="preserve"> y, v) </w:t>
      </w:r>
      <w:r w:rsidRPr="00DE39EA">
        <w:rPr>
          <w:rFonts w:ascii="Arial" w:eastAsia="Times New Roman" w:hAnsi="Arial" w:cs="Arial"/>
          <w:bCs/>
          <w:sz w:val="22"/>
          <w:lang w:eastAsia="es-CO"/>
        </w:rPr>
        <w:t xml:space="preserve">régimen contractual de los fondos de servicios educativos y aplicación de la Ley de Garantías. </w:t>
      </w:r>
      <w:bookmarkEnd w:id="7"/>
    </w:p>
    <w:p w14:paraId="4AD87B21" w14:textId="77777777" w:rsidR="003C791D" w:rsidRPr="00DE39EA" w:rsidRDefault="003C791D" w:rsidP="003C791D">
      <w:pPr>
        <w:tabs>
          <w:tab w:val="left" w:pos="426"/>
        </w:tabs>
        <w:spacing w:line="276" w:lineRule="auto"/>
        <w:ind w:firstLine="709"/>
        <w:jc w:val="both"/>
        <w:rPr>
          <w:rFonts w:ascii="Arial" w:eastAsia="Calibri" w:hAnsi="Arial" w:cs="Arial"/>
          <w:bCs/>
          <w:sz w:val="22"/>
          <w:lang w:val="es-CO"/>
        </w:rPr>
      </w:pPr>
      <w:r w:rsidRPr="00DE39EA">
        <w:rPr>
          <w:rFonts w:ascii="Arial" w:eastAsia="Calibri" w:hAnsi="Arial" w:cs="Arial"/>
          <w:bCs/>
          <w:sz w:val="22"/>
          <w:szCs w:val="24"/>
          <w:lang w:val="es-CO" w:eastAsia="es-MX"/>
        </w:rPr>
        <w:t xml:space="preserve">La Agencia Nacional de Contratación Pública – Colombia Compra Eficiente ha impartido lineamientos sobre la aplicación de la Ley 996 de 2005 y también se ha </w:t>
      </w:r>
      <w:r w:rsidRPr="00DE39EA">
        <w:rPr>
          <w:rFonts w:ascii="Arial" w:eastAsia="Calibri" w:hAnsi="Arial" w:cs="Arial"/>
          <w:bCs/>
          <w:sz w:val="22"/>
          <w:szCs w:val="24"/>
          <w:lang w:val="es-CO" w:eastAsia="es-MX"/>
        </w:rPr>
        <w:lastRenderedPageBreak/>
        <w:t xml:space="preserve">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C-715 del 21 de enero de 2022, C-718 del 24 de enero de 2022, C-726 del 24 de enero de 2022, C-023 del 22 de febrero de 2022, C-094 del 16 de marzo de 2022, C-147 del 25 de marzo de 2022 y C-153 del 25 de marzo de 2022. </w:t>
      </w:r>
    </w:p>
    <w:p w14:paraId="6DF88E15" w14:textId="77777777" w:rsidR="003C791D" w:rsidRPr="00DE39EA" w:rsidRDefault="003C791D" w:rsidP="003C791D">
      <w:pPr>
        <w:spacing w:before="120" w:after="120" w:line="276" w:lineRule="auto"/>
        <w:ind w:firstLine="708"/>
        <w:jc w:val="both"/>
        <w:rPr>
          <w:rFonts w:ascii="Arial" w:eastAsia="Times New Roman" w:hAnsi="Arial" w:cs="Arial"/>
          <w:sz w:val="22"/>
          <w:szCs w:val="24"/>
          <w:lang w:val="es-CO" w:eastAsia="es-MX"/>
        </w:rPr>
      </w:pPr>
      <w:r w:rsidRPr="00DE39EA">
        <w:rPr>
          <w:rFonts w:ascii="Arial" w:eastAsia="Times New Roman" w:hAnsi="Arial" w:cs="Arial"/>
          <w:sz w:val="22"/>
          <w:szCs w:val="24"/>
          <w:lang w:val="es-CO" w:eastAsia="es-MX"/>
        </w:rPr>
        <w:t xml:space="preserve">Adicionalmente se estudió la naturaleza jurídica de las instituciones educativas y su régimen de contratación, en los conceptos con radicado No. 2201913000006285 del 27 de agosto de 2019, </w:t>
      </w:r>
      <w:hyperlink r:id="rId12" w:tgtFrame="_blank" w:history="1">
        <w:r w:rsidRPr="00DE39EA">
          <w:rPr>
            <w:rFonts w:ascii="Arial" w:eastAsia="Times New Roman" w:hAnsi="Arial" w:cs="Arial"/>
            <w:sz w:val="22"/>
            <w:szCs w:val="24"/>
            <w:lang w:val="es-CO" w:eastAsia="es-MX"/>
          </w:rPr>
          <w:t>2201913000006068</w:t>
        </w:r>
      </w:hyperlink>
      <w:r w:rsidRPr="00DE39EA">
        <w:rPr>
          <w:rFonts w:ascii="Arial" w:eastAsia="Times New Roman" w:hAnsi="Arial" w:cs="Arial"/>
          <w:sz w:val="22"/>
          <w:szCs w:val="24"/>
          <w:lang w:val="es-CO" w:eastAsia="es-MX"/>
        </w:rPr>
        <w:t xml:space="preserve"> del 28 de agosto de 2019, 2201913000008174 del 31 de octubre de 2019  </w:t>
      </w:r>
      <w:hyperlink r:id="rId13" w:tgtFrame="_blank" w:history="1">
        <w:r w:rsidRPr="00DE39EA">
          <w:rPr>
            <w:rFonts w:ascii="Arial" w:eastAsia="Times New Roman" w:hAnsi="Arial" w:cs="Arial"/>
            <w:sz w:val="22"/>
            <w:szCs w:val="24"/>
            <w:lang w:val="es-CO" w:eastAsia="es-MX"/>
          </w:rPr>
          <w:t>2201913000008197</w:t>
        </w:r>
      </w:hyperlink>
      <w:r w:rsidRPr="00DE39EA">
        <w:rPr>
          <w:rFonts w:ascii="Arial" w:eastAsia="Times New Roman" w:hAnsi="Arial" w:cs="Arial"/>
          <w:sz w:val="22"/>
          <w:szCs w:val="24"/>
          <w:lang w:val="es-CO" w:eastAsia="es-MX"/>
        </w:rPr>
        <w:t xml:space="preserve"> del 1 de noviembre de 2019, C-181 del 6 de abril de 2020, C-272 del 27 de abril de 2020, C-284 del 27 de mayo de 2010, C-399 del 23 de junio de 2020, C-499 del 15 de septiembre de 2021, C-543 del 9 de noviembre de 2021 y C-229 del 26 de abril de 2022. </w:t>
      </w:r>
      <w:r w:rsidRPr="00DE39EA">
        <w:rPr>
          <w:rFonts w:ascii="Arial" w:eastAsia="Calibri" w:hAnsi="Arial" w:cs="Arial"/>
          <w:bCs/>
          <w:sz w:val="22"/>
          <w:szCs w:val="24"/>
          <w:lang w:val="es-CO" w:eastAsia="es-MX"/>
        </w:rPr>
        <w:t>Las tesis desarrolladas en estos conceptos se reiteran y complementan a continuación:</w:t>
      </w:r>
    </w:p>
    <w:p w14:paraId="736FA773" w14:textId="77777777" w:rsidR="003C791D" w:rsidRPr="00DE39EA" w:rsidRDefault="003C791D" w:rsidP="003C791D">
      <w:pPr>
        <w:spacing w:line="276" w:lineRule="auto"/>
        <w:ind w:firstLine="709"/>
        <w:jc w:val="both"/>
        <w:rPr>
          <w:rFonts w:ascii="Arial" w:eastAsia="Calibri" w:hAnsi="Arial" w:cs="Arial"/>
          <w:b/>
          <w:bCs/>
          <w:sz w:val="22"/>
          <w:lang w:val="es-CO"/>
        </w:rPr>
      </w:pPr>
    </w:p>
    <w:p w14:paraId="1D77CF4E" w14:textId="77777777" w:rsidR="003C791D" w:rsidRPr="00DE39EA" w:rsidRDefault="003C791D" w:rsidP="003C791D">
      <w:pPr>
        <w:tabs>
          <w:tab w:val="left" w:pos="426"/>
        </w:tabs>
        <w:spacing w:line="276" w:lineRule="auto"/>
        <w:jc w:val="both"/>
        <w:rPr>
          <w:rFonts w:ascii="Arial" w:eastAsia="Calibri" w:hAnsi="Arial" w:cs="Arial"/>
          <w:b/>
          <w:bCs/>
          <w:sz w:val="22"/>
          <w:lang w:val="es-CO"/>
        </w:rPr>
      </w:pPr>
      <w:r w:rsidRPr="00DE39EA">
        <w:rPr>
          <w:rFonts w:ascii="Arial" w:eastAsia="Calibri" w:hAnsi="Arial" w:cs="Arial"/>
          <w:b/>
          <w:bCs/>
          <w:sz w:val="22"/>
          <w:lang w:val="es-CO"/>
        </w:rPr>
        <w:t>2.1. Definición y finalidad de la Ley de Garantías Electorales: alcance de las restricciones</w:t>
      </w:r>
    </w:p>
    <w:p w14:paraId="1858A5CD" w14:textId="77777777" w:rsidR="003C791D" w:rsidRPr="00DE39EA" w:rsidRDefault="003C791D" w:rsidP="003C791D">
      <w:pPr>
        <w:tabs>
          <w:tab w:val="left" w:pos="426"/>
        </w:tabs>
        <w:spacing w:line="276" w:lineRule="auto"/>
        <w:ind w:firstLine="709"/>
        <w:jc w:val="both"/>
        <w:rPr>
          <w:rFonts w:ascii="Arial" w:eastAsia="Calibri" w:hAnsi="Arial" w:cs="Arial"/>
          <w:bCs/>
          <w:sz w:val="22"/>
          <w:lang w:val="es-CO"/>
        </w:rPr>
      </w:pPr>
    </w:p>
    <w:p w14:paraId="1BDD615F" w14:textId="77777777" w:rsidR="003C791D" w:rsidRPr="00DE39EA" w:rsidRDefault="003C791D" w:rsidP="003C791D">
      <w:pPr>
        <w:tabs>
          <w:tab w:val="left" w:pos="426"/>
        </w:tabs>
        <w:spacing w:after="120" w:line="276" w:lineRule="auto"/>
        <w:jc w:val="both"/>
        <w:rPr>
          <w:rFonts w:ascii="Arial" w:eastAsia="Times New Roman" w:hAnsi="Arial" w:cs="Arial"/>
          <w:bCs/>
          <w:sz w:val="22"/>
          <w:lang w:val="es-CO" w:eastAsia="es-CO"/>
        </w:rPr>
      </w:pPr>
      <w:r w:rsidRPr="00DE39EA">
        <w:rPr>
          <w:rFonts w:ascii="Arial" w:eastAsia="Calibri" w:hAnsi="Arial" w:cs="Arial"/>
          <w:bCs/>
          <w:sz w:val="22"/>
          <w:lang w:val="es-CO" w:eastAsia="es-MX"/>
        </w:rPr>
        <w:t>El ordenamiento jurídico colombiano contempla previsiones claras para evitar la obtención de beneficios personales en asuntos propios de la administración pública</w:t>
      </w:r>
      <w:r w:rsidRPr="00DE39EA">
        <w:rPr>
          <w:rFonts w:ascii="Arial" w:eastAsia="Calibri" w:hAnsi="Arial" w:cs="Arial"/>
          <w:bCs/>
          <w:i/>
          <w:iCs/>
          <w:sz w:val="22"/>
          <w:lang w:val="es-CO" w:eastAsia="es-MX"/>
        </w:rPr>
        <w:t xml:space="preserve">. </w:t>
      </w:r>
      <w:r w:rsidRPr="00DE39EA">
        <w:rPr>
          <w:rFonts w:ascii="Arial" w:eastAsia="Calibri" w:hAnsi="Arial" w:cs="Arial"/>
          <w:bCs/>
          <w:sz w:val="22"/>
          <w:lang w:val="es-CO" w:eastAsia="es-MX"/>
        </w:rPr>
        <w:t xml:space="preserve">Por ejemplo, el artículo 127 de la Constitución Política establece una prohibición contractual a los </w:t>
      </w:r>
      <w:r w:rsidRPr="00DE39EA">
        <w:rPr>
          <w:rFonts w:ascii="Arial" w:eastAsia="Calibri" w:hAnsi="Arial" w:cs="Arial"/>
          <w:bCs/>
          <w:sz w:val="22"/>
          <w:lang w:val="es-CO" w:eastAsia="es-MX"/>
        </w:rPr>
        <w:lastRenderedPageBreak/>
        <w:t>servidores públicos y en cuanto a aspectos políticos consagra restricciones a ciertos empleados del Estado, incluso en época no electoral</w:t>
      </w:r>
      <w:r w:rsidRPr="00DE39EA">
        <w:rPr>
          <w:rFonts w:ascii="Arial" w:eastAsia="Calibri" w:hAnsi="Arial" w:cs="Arial"/>
          <w:bCs/>
          <w:sz w:val="22"/>
          <w:vertAlign w:val="superscript"/>
          <w:lang w:val="es-CO" w:eastAsia="es-MX"/>
        </w:rPr>
        <w:footnoteReference w:id="2"/>
      </w:r>
      <w:r w:rsidRPr="00DE39EA">
        <w:rPr>
          <w:rFonts w:ascii="Arial" w:eastAsia="Calibri" w:hAnsi="Arial" w:cs="Arial"/>
          <w:bCs/>
          <w:sz w:val="22"/>
          <w:lang w:val="es-CO" w:eastAsia="es-MX"/>
        </w:rPr>
        <w:t xml:space="preserve">. </w:t>
      </w:r>
    </w:p>
    <w:p w14:paraId="16ED4052" w14:textId="77777777" w:rsidR="003C791D" w:rsidRPr="00DE39EA" w:rsidRDefault="003C791D" w:rsidP="003C791D">
      <w:pPr>
        <w:tabs>
          <w:tab w:val="left" w:pos="426"/>
        </w:tabs>
        <w:spacing w:line="276" w:lineRule="auto"/>
        <w:ind w:firstLine="709"/>
        <w:jc w:val="both"/>
        <w:rPr>
          <w:rFonts w:ascii="Arial" w:eastAsia="Times New Roman" w:hAnsi="Arial" w:cs="Arial"/>
          <w:bCs/>
          <w:sz w:val="22"/>
          <w:lang w:eastAsia="es-CO"/>
        </w:rPr>
      </w:pPr>
      <w:r w:rsidRPr="00DE39EA">
        <w:rPr>
          <w:rFonts w:ascii="Arial" w:eastAsia="Times New Roman" w:hAnsi="Arial" w:cs="Arial"/>
          <w:bCs/>
          <w:sz w:val="22"/>
          <w:lang w:val="es-CO" w:eastAsia="es-CO"/>
        </w:rPr>
        <w:t>En el mismo sentido</w:t>
      </w:r>
      <w:r w:rsidRPr="00DE39EA">
        <w:rPr>
          <w:rFonts w:ascii="Arial" w:eastAsia="Times New Roman" w:hAnsi="Arial" w:cs="Arial"/>
          <w:bCs/>
          <w:sz w:val="22"/>
          <w:lang w:eastAsia="es-CO"/>
        </w:rPr>
        <w:t xml:space="preserve">, </w:t>
      </w:r>
      <w:bookmarkStart w:id="8" w:name="_Hlk99576829"/>
      <w:r w:rsidRPr="00DE39EA">
        <w:rPr>
          <w:rFonts w:ascii="Arial" w:eastAsia="Times New Roman" w:hAnsi="Arial" w:cs="Arial"/>
          <w:bCs/>
          <w:sz w:val="22"/>
          <w:lang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DE39EA">
        <w:rPr>
          <w:rFonts w:ascii="Arial" w:eastAsia="Times New Roman" w:hAnsi="Arial" w:cs="Arial"/>
          <w:bCs/>
          <w:sz w:val="22"/>
          <w:vertAlign w:val="superscript"/>
          <w:lang w:eastAsia="es-CO"/>
        </w:rPr>
        <w:footnoteReference w:id="3"/>
      </w:r>
      <w:r w:rsidRPr="00DE39EA">
        <w:rPr>
          <w:rFonts w:ascii="Arial" w:eastAsia="Times New Roman"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DE39EA">
        <w:rPr>
          <w:rFonts w:ascii="Arial" w:eastAsia="Calibri" w:hAnsi="Arial" w:cs="Arial"/>
          <w:noProof/>
          <w:sz w:val="22"/>
          <w:lang w:val="es-ES_tradnl" w:eastAsia="es-MX"/>
        </w:rPr>
        <w:t xml:space="preserve"> </w:t>
      </w:r>
      <w:bookmarkEnd w:id="8"/>
      <w:r w:rsidRPr="00DE39EA">
        <w:rPr>
          <w:rFonts w:ascii="Arial" w:eastAsia="Times New Roman" w:hAnsi="Arial" w:cs="Arial"/>
          <w:bCs/>
          <w:sz w:val="22"/>
          <w:lang w:eastAsia="es-CO"/>
        </w:rPr>
        <w:t>En armonía con lo anterior, la Corte Constitucional ha abordado la definición de la Ley de Garantías Electorales. De esta manera, explica que tiene como propósito:</w:t>
      </w:r>
    </w:p>
    <w:p w14:paraId="26C95638" w14:textId="77777777" w:rsidR="003C791D" w:rsidRPr="00DE39EA" w:rsidRDefault="003C791D" w:rsidP="003C791D">
      <w:pPr>
        <w:spacing w:line="276" w:lineRule="auto"/>
        <w:ind w:right="709"/>
        <w:contextualSpacing/>
        <w:jc w:val="both"/>
        <w:rPr>
          <w:rFonts w:ascii="Arial" w:eastAsia="Times New Roman" w:hAnsi="Arial" w:cs="Arial"/>
          <w:sz w:val="22"/>
          <w:lang w:val="es-ES" w:eastAsia="es-CO"/>
        </w:rPr>
      </w:pPr>
    </w:p>
    <w:p w14:paraId="14FD6050" w14:textId="77777777" w:rsidR="003C791D" w:rsidRPr="00DE39EA" w:rsidRDefault="003C791D" w:rsidP="003C791D">
      <w:pPr>
        <w:ind w:left="709" w:right="709"/>
        <w:contextualSpacing/>
        <w:jc w:val="both"/>
        <w:rPr>
          <w:rFonts w:ascii="Arial" w:eastAsia="Times New Roman" w:hAnsi="Arial" w:cs="Arial"/>
          <w:bCs/>
          <w:sz w:val="21"/>
          <w:szCs w:val="21"/>
          <w:lang w:eastAsia="es-CO"/>
        </w:rPr>
      </w:pPr>
      <w:r w:rsidRPr="00DE39EA">
        <w:rPr>
          <w:rFonts w:ascii="Arial" w:eastAsia="Times New Roman" w:hAnsi="Arial" w:cs="Arial"/>
          <w:sz w:val="21"/>
          <w:szCs w:val="21"/>
          <w:lang w:val="es-ES" w:eastAsia="es-CO"/>
        </w:rPr>
        <w:t xml:space="preserve">[…] </w:t>
      </w:r>
      <w:r w:rsidRPr="00DE39EA">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576498DB" w14:textId="77777777" w:rsidR="003C791D" w:rsidRPr="00DE39EA" w:rsidRDefault="003C791D" w:rsidP="003C791D">
      <w:pPr>
        <w:ind w:left="709" w:right="709"/>
        <w:contextualSpacing/>
        <w:jc w:val="both"/>
        <w:rPr>
          <w:rFonts w:ascii="Arial" w:eastAsia="Times New Roman" w:hAnsi="Arial" w:cs="Arial"/>
          <w:bCs/>
          <w:sz w:val="21"/>
          <w:szCs w:val="21"/>
          <w:lang w:eastAsia="es-CO"/>
        </w:rPr>
      </w:pPr>
      <w:r w:rsidRPr="00DE39EA">
        <w:rPr>
          <w:rFonts w:ascii="Arial" w:eastAsia="Times New Roman" w:hAnsi="Arial" w:cs="Arial"/>
          <w:bCs/>
          <w:sz w:val="21"/>
          <w:szCs w:val="21"/>
          <w:lang w:eastAsia="es-CO"/>
        </w:rPr>
        <w:t xml:space="preserve">[…] </w:t>
      </w:r>
    </w:p>
    <w:p w14:paraId="4948E173" w14:textId="77777777" w:rsidR="003C791D" w:rsidRPr="00DE39EA" w:rsidRDefault="003C791D" w:rsidP="003C791D">
      <w:pPr>
        <w:ind w:right="709"/>
        <w:contextualSpacing/>
        <w:jc w:val="both"/>
        <w:rPr>
          <w:rFonts w:ascii="Arial" w:eastAsia="Times New Roman" w:hAnsi="Arial" w:cs="Arial"/>
          <w:bCs/>
          <w:sz w:val="21"/>
          <w:szCs w:val="21"/>
          <w:lang w:eastAsia="es-CO"/>
        </w:rPr>
      </w:pPr>
    </w:p>
    <w:p w14:paraId="0BFDD518" w14:textId="77777777" w:rsidR="003C791D" w:rsidRPr="00DE39EA" w:rsidRDefault="003C791D" w:rsidP="003C791D">
      <w:pPr>
        <w:ind w:left="709" w:right="709"/>
        <w:contextualSpacing/>
        <w:jc w:val="both"/>
        <w:rPr>
          <w:rFonts w:ascii="Arial" w:eastAsia="Times New Roman" w:hAnsi="Arial" w:cs="Arial"/>
          <w:bCs/>
          <w:sz w:val="21"/>
          <w:szCs w:val="21"/>
          <w:lang w:eastAsia="es-CO"/>
        </w:rPr>
      </w:pPr>
      <w:r w:rsidRPr="00DE39EA">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DE39EA">
        <w:rPr>
          <w:rFonts w:ascii="Arial" w:eastAsia="Calibri" w:hAnsi="Arial" w:cs="Arial"/>
          <w:sz w:val="20"/>
          <w:szCs w:val="20"/>
          <w:vertAlign w:val="superscript"/>
          <w:lang w:eastAsia="es-MX"/>
        </w:rPr>
        <w:footnoteReference w:id="4"/>
      </w:r>
    </w:p>
    <w:p w14:paraId="23E4A4CE" w14:textId="77777777" w:rsidR="003C791D" w:rsidRPr="00DE39EA" w:rsidRDefault="003C791D" w:rsidP="003C791D">
      <w:pPr>
        <w:spacing w:line="276" w:lineRule="auto"/>
        <w:ind w:left="709" w:right="709"/>
        <w:contextualSpacing/>
        <w:jc w:val="both"/>
        <w:rPr>
          <w:rFonts w:ascii="Arial" w:eastAsia="Times New Roman" w:hAnsi="Arial" w:cs="Arial"/>
          <w:bCs/>
          <w:sz w:val="22"/>
          <w:lang w:eastAsia="es-CO"/>
        </w:rPr>
      </w:pPr>
    </w:p>
    <w:p w14:paraId="15933753" w14:textId="77777777" w:rsidR="003C791D" w:rsidRPr="00DE39EA" w:rsidRDefault="003C791D" w:rsidP="003C791D">
      <w:pPr>
        <w:spacing w:line="276" w:lineRule="auto"/>
        <w:ind w:firstLine="709"/>
        <w:jc w:val="both"/>
        <w:rPr>
          <w:rFonts w:ascii="Arial" w:eastAsia="Times New Roman" w:hAnsi="Arial" w:cs="Arial"/>
          <w:bCs/>
          <w:sz w:val="22"/>
          <w:lang w:eastAsia="es-CO"/>
        </w:rPr>
      </w:pPr>
      <w:r w:rsidRPr="00DE39EA">
        <w:rPr>
          <w:rFonts w:ascii="Arial" w:eastAsia="Times New Roman"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w:t>
      </w:r>
      <w:r w:rsidRPr="00DE39EA">
        <w:rPr>
          <w:rFonts w:ascii="Arial" w:eastAsia="Times New Roman" w:hAnsi="Arial" w:cs="Arial"/>
          <w:bCs/>
          <w:sz w:val="22"/>
          <w:lang w:eastAsia="es-CO"/>
        </w:rPr>
        <w:lastRenderedPageBreak/>
        <w:t>Ley 996 de 2005, al contener normas prohibitivas, no admiten una interpretación amplia, sino que deben interpretarse restrictivamente. En efecto, la Sala de Consulta y Servicio Civil del Consejo de Estado, precisó lo siguiente:</w:t>
      </w:r>
    </w:p>
    <w:p w14:paraId="4BBE1F61" w14:textId="77777777" w:rsidR="003C791D" w:rsidRPr="00DE39EA" w:rsidRDefault="003C791D" w:rsidP="003C791D">
      <w:pPr>
        <w:spacing w:line="276" w:lineRule="auto"/>
        <w:ind w:firstLine="709"/>
        <w:contextualSpacing/>
        <w:jc w:val="both"/>
        <w:rPr>
          <w:rFonts w:ascii="Arial" w:eastAsia="Times New Roman" w:hAnsi="Arial" w:cs="Arial"/>
          <w:bCs/>
          <w:sz w:val="22"/>
          <w:lang w:eastAsia="es-CO"/>
        </w:rPr>
      </w:pPr>
    </w:p>
    <w:p w14:paraId="57C696DE" w14:textId="77777777" w:rsidR="003C791D" w:rsidRPr="00DE39EA" w:rsidRDefault="003C791D" w:rsidP="003C791D">
      <w:pPr>
        <w:ind w:left="709" w:right="709"/>
        <w:contextualSpacing/>
        <w:jc w:val="both"/>
        <w:rPr>
          <w:rFonts w:ascii="Arial" w:eastAsia="Times New Roman" w:hAnsi="Arial" w:cs="Arial"/>
          <w:bCs/>
          <w:sz w:val="21"/>
          <w:szCs w:val="21"/>
          <w:lang w:eastAsia="es-CO"/>
        </w:rPr>
      </w:pPr>
      <w:r w:rsidRPr="00DE39EA">
        <w:rPr>
          <w:rFonts w:ascii="Arial" w:eastAsia="Times New Roman"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8969930" w14:textId="77777777" w:rsidR="003C791D" w:rsidRPr="00DE39EA" w:rsidRDefault="003C791D" w:rsidP="003C791D">
      <w:pPr>
        <w:ind w:left="709" w:right="709"/>
        <w:contextualSpacing/>
        <w:jc w:val="both"/>
        <w:rPr>
          <w:rFonts w:ascii="Arial" w:eastAsia="Times New Roman" w:hAnsi="Arial" w:cs="Arial"/>
          <w:bCs/>
          <w:sz w:val="21"/>
          <w:szCs w:val="21"/>
          <w:lang w:eastAsia="es-CO"/>
        </w:rPr>
      </w:pPr>
    </w:p>
    <w:p w14:paraId="447FBEC6" w14:textId="77777777" w:rsidR="003C791D" w:rsidRPr="00DE39EA" w:rsidRDefault="003C791D" w:rsidP="003C791D">
      <w:pPr>
        <w:ind w:left="709" w:right="709"/>
        <w:contextualSpacing/>
        <w:jc w:val="both"/>
        <w:rPr>
          <w:rFonts w:ascii="Arial" w:eastAsia="Times New Roman" w:hAnsi="Arial" w:cs="Arial"/>
          <w:bCs/>
          <w:sz w:val="21"/>
          <w:szCs w:val="21"/>
          <w:lang w:eastAsia="es-CO"/>
        </w:rPr>
      </w:pPr>
      <w:r w:rsidRPr="00DE39EA">
        <w:rPr>
          <w:rFonts w:ascii="Arial" w:eastAsia="Times New Roman" w:hAnsi="Arial" w:cs="Arial"/>
          <w:bCs/>
          <w:sz w:val="21"/>
          <w:szCs w:val="21"/>
          <w:lang w:eastAsia="es-CO"/>
        </w:rPr>
        <w:t>La jurisprudencia de la Corte Constitucional</w:t>
      </w:r>
      <w:r w:rsidRPr="00DE39EA">
        <w:rPr>
          <w:rFonts w:ascii="Arial" w:eastAsia="Times New Roman" w:hAnsi="Arial" w:cs="Arial"/>
          <w:bCs/>
          <w:sz w:val="21"/>
          <w:szCs w:val="21"/>
          <w:vertAlign w:val="superscript"/>
          <w:lang w:eastAsia="es-CO"/>
        </w:rPr>
        <w:footnoteReference w:id="5"/>
      </w:r>
      <w:r w:rsidRPr="00DE39EA">
        <w:rPr>
          <w:rFonts w:ascii="Arial" w:eastAsia="Times New Roman" w:hAnsi="Arial" w:cs="Arial"/>
          <w:bCs/>
          <w:sz w:val="21"/>
          <w:szCs w:val="21"/>
          <w:lang w:eastAsia="es-CO"/>
        </w:rPr>
        <w:t> y del Consejo de Estado</w:t>
      </w:r>
      <w:r w:rsidRPr="00DE39EA">
        <w:rPr>
          <w:rFonts w:ascii="Arial" w:eastAsia="Times New Roman" w:hAnsi="Arial" w:cs="Arial"/>
          <w:bCs/>
          <w:sz w:val="21"/>
          <w:szCs w:val="21"/>
          <w:vertAlign w:val="superscript"/>
          <w:lang w:eastAsia="es-CO"/>
        </w:rPr>
        <w:footnoteReference w:id="6"/>
      </w:r>
      <w:r w:rsidRPr="00DE39EA">
        <w:rPr>
          <w:rFonts w:ascii="Arial" w:eastAsia="Times New Roman"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DE39EA">
        <w:rPr>
          <w:rFonts w:ascii="Arial" w:eastAsia="Times New Roman" w:hAnsi="Arial" w:cs="Arial"/>
          <w:bCs/>
          <w:szCs w:val="24"/>
          <w:vertAlign w:val="superscript"/>
          <w:lang w:eastAsia="es-CO"/>
        </w:rPr>
        <w:footnoteReference w:id="7"/>
      </w:r>
      <w:r w:rsidRPr="00DE39EA">
        <w:rPr>
          <w:rFonts w:ascii="Arial" w:eastAsia="Times New Roman" w:hAnsi="Arial" w:cs="Arial"/>
          <w:bCs/>
          <w:sz w:val="21"/>
          <w:szCs w:val="21"/>
          <w:lang w:eastAsia="es-CO"/>
        </w:rPr>
        <w:t>.</w:t>
      </w:r>
    </w:p>
    <w:p w14:paraId="73C680FA" w14:textId="77777777" w:rsidR="003C791D" w:rsidRPr="00DE39EA" w:rsidRDefault="003C791D" w:rsidP="003C791D">
      <w:pPr>
        <w:spacing w:line="276" w:lineRule="auto"/>
        <w:ind w:right="709"/>
        <w:contextualSpacing/>
        <w:jc w:val="both"/>
        <w:rPr>
          <w:rFonts w:ascii="Arial" w:eastAsia="Times New Roman" w:hAnsi="Arial" w:cs="Arial"/>
          <w:bCs/>
          <w:sz w:val="22"/>
          <w:lang w:eastAsia="es-CO"/>
        </w:rPr>
      </w:pPr>
    </w:p>
    <w:p w14:paraId="214EE8DD" w14:textId="77777777" w:rsidR="003C791D" w:rsidRPr="00DE39EA" w:rsidRDefault="003C791D" w:rsidP="003C791D">
      <w:pPr>
        <w:spacing w:after="120" w:line="276" w:lineRule="auto"/>
        <w:jc w:val="both"/>
        <w:rPr>
          <w:rFonts w:ascii="Arial" w:eastAsia="Arial" w:hAnsi="Arial" w:cs="Arial"/>
          <w:sz w:val="22"/>
          <w:lang w:val="es-ES" w:eastAsia="es-ES" w:bidi="es-ES"/>
        </w:rPr>
      </w:pPr>
      <w:r w:rsidRPr="00DE39EA">
        <w:rPr>
          <w:rFonts w:ascii="Arial" w:eastAsia="Times New Roman" w:hAnsi="Arial" w:cs="Arial"/>
          <w:bCs/>
          <w:sz w:val="22"/>
          <w:lang w:eastAsia="es-CO"/>
        </w:rPr>
        <w:tab/>
        <w:t>De</w:t>
      </w:r>
      <w:r w:rsidRPr="00DE39EA">
        <w:rPr>
          <w:rFonts w:ascii="Arial" w:eastAsia="Arial" w:hAnsi="Arial" w:cs="Arial"/>
          <w:sz w:val="22"/>
          <w:lang w:val="es-ES" w:eastAsia="es-ES" w:bidi="es-ES"/>
        </w:rPr>
        <w:t xml:space="preserve"> conformidad con lo anterior, 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6B482B71" w14:textId="77777777" w:rsidR="003C791D" w:rsidRPr="00DE39EA" w:rsidRDefault="003C791D" w:rsidP="003C791D">
      <w:pPr>
        <w:spacing w:after="120" w:line="276" w:lineRule="auto"/>
        <w:ind w:firstLine="708"/>
        <w:jc w:val="both"/>
        <w:rPr>
          <w:rFonts w:ascii="Arial" w:eastAsia="Calibri" w:hAnsi="Arial" w:cs="Arial"/>
          <w:sz w:val="22"/>
          <w:lang w:val="es-CO" w:eastAsia="es-MX"/>
        </w:rPr>
      </w:pPr>
      <w:r w:rsidRPr="00DE39EA">
        <w:rPr>
          <w:rFonts w:ascii="Arial" w:eastAsia="Calibri" w:hAnsi="Arial" w:cs="Arial"/>
          <w:sz w:val="22"/>
          <w:lang w:val="es-CO" w:eastAsia="es-MX"/>
        </w:rPr>
        <w:t xml:space="preserve">Por un lado, el artículo 33 de la Ley 996 de 2005 prohíbe </w:t>
      </w:r>
      <w:r w:rsidRPr="00DE39EA">
        <w:rPr>
          <w:rFonts w:ascii="Arial" w:eastAsia="Calibri" w:hAnsi="Arial" w:cs="Arial"/>
          <w:bCs/>
          <w:sz w:val="22"/>
          <w:lang w:val="es-CO" w:eastAsia="es-MX"/>
        </w:rPr>
        <w:t xml:space="preserve">«[…] </w:t>
      </w:r>
      <w:r w:rsidRPr="00DE39EA">
        <w:rPr>
          <w:rFonts w:ascii="Arial" w:eastAsia="Calibri" w:hAnsi="Arial" w:cs="Arial"/>
          <w:sz w:val="22"/>
          <w:lang w:val="es-CO" w:eastAsia="es-MX"/>
        </w:rPr>
        <w:t>la contratación directa por parte de todos los entes del Estado</w:t>
      </w:r>
      <w:r w:rsidRPr="00DE39EA">
        <w:rPr>
          <w:rFonts w:ascii="Arial" w:eastAsia="Calibri" w:hAnsi="Arial" w:cs="Arial"/>
          <w:bCs/>
          <w:sz w:val="22"/>
          <w:lang w:val="es-CO" w:eastAsia="es-MX"/>
        </w:rPr>
        <w:t>»</w:t>
      </w:r>
      <w:r w:rsidRPr="00DE39EA">
        <w:rPr>
          <w:rFonts w:ascii="Arial" w:eastAsia="Calibri" w:hAnsi="Arial" w:cs="Arial"/>
          <w:sz w:val="22"/>
          <w:lang w:val="es-CO" w:eastAsia="es-MX"/>
        </w:rPr>
        <w:t xml:space="preserve"> durante los cuatro (4) meses anteriores a las </w:t>
      </w:r>
      <w:r w:rsidRPr="00DE39EA">
        <w:rPr>
          <w:rFonts w:ascii="Arial" w:eastAsia="Calibri" w:hAnsi="Arial" w:cs="Arial"/>
          <w:sz w:val="22"/>
          <w:lang w:val="es-CO" w:eastAsia="es-MX"/>
        </w:rPr>
        <w:lastRenderedPageBreak/>
        <w:t xml:space="preserve">elecciones presidenciales, salvo </w:t>
      </w:r>
      <w:r w:rsidRPr="00DE39EA">
        <w:rPr>
          <w:rFonts w:ascii="Arial" w:eastAsia="Calibri" w:hAnsi="Arial" w:cs="Arial"/>
          <w:bCs/>
          <w:sz w:val="22"/>
          <w:lang w:val="es-CO" w:eastAsia="es-MX"/>
        </w:rPr>
        <w:t xml:space="preserve">«[…] </w:t>
      </w:r>
      <w:r w:rsidRPr="00DE39EA">
        <w:rPr>
          <w:rFonts w:ascii="Arial" w:eastAsia="Calibri" w:hAnsi="Arial" w:cs="Arial"/>
          <w:sz w:val="22"/>
          <w:lang w:val="es-CO" w:eastAsia="es-MX"/>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E39EA">
        <w:rPr>
          <w:rFonts w:ascii="Arial" w:eastAsia="Calibri" w:hAnsi="Arial" w:cs="Arial"/>
          <w:bCs/>
          <w:sz w:val="22"/>
          <w:lang w:val="es-CO" w:eastAsia="es-MX"/>
        </w:rPr>
        <w:t>»</w:t>
      </w:r>
      <w:r w:rsidRPr="00DE39EA">
        <w:rPr>
          <w:rFonts w:ascii="Arial" w:eastAsia="Calibri" w:hAnsi="Arial" w:cs="Arial"/>
          <w:bCs/>
          <w:sz w:val="22"/>
          <w:vertAlign w:val="superscript"/>
          <w:lang w:val="es-CO" w:eastAsia="es-MX"/>
        </w:rPr>
        <w:footnoteReference w:id="8"/>
      </w:r>
      <w:r w:rsidRPr="00DE39EA">
        <w:rPr>
          <w:rFonts w:ascii="Arial" w:eastAsia="Calibri" w:hAnsi="Arial" w:cs="Arial"/>
          <w:sz w:val="22"/>
          <w:lang w:val="es-CO" w:eastAsia="es-MX"/>
        </w:rPr>
        <w:t>.</w:t>
      </w:r>
    </w:p>
    <w:p w14:paraId="4AB780FE" w14:textId="77777777" w:rsidR="003C791D" w:rsidRPr="00DE39EA" w:rsidRDefault="003C791D" w:rsidP="003C791D">
      <w:pPr>
        <w:widowControl w:val="0"/>
        <w:autoSpaceDE w:val="0"/>
        <w:autoSpaceDN w:val="0"/>
        <w:spacing w:line="276" w:lineRule="auto"/>
        <w:ind w:right="113" w:firstLine="708"/>
        <w:contextualSpacing/>
        <w:jc w:val="both"/>
        <w:rPr>
          <w:rFonts w:ascii="Arial" w:eastAsia="Arial" w:hAnsi="Arial" w:cs="Arial"/>
          <w:sz w:val="22"/>
          <w:lang w:val="es-ES" w:eastAsia="es-ES" w:bidi="es-ES"/>
        </w:rPr>
      </w:pPr>
      <w:r w:rsidRPr="00DE39EA">
        <w:rPr>
          <w:rFonts w:ascii="Arial" w:eastAsia="Calibri" w:hAnsi="Arial" w:cs="Arial"/>
          <w:sz w:val="22"/>
          <w:lang w:val="es-CO" w:eastAsia="es-MX"/>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DE39EA">
        <w:rPr>
          <w:rFonts w:ascii="Arial" w:eastAsia="Calibri" w:hAnsi="Arial" w:cs="Arial"/>
          <w:bCs/>
          <w:sz w:val="22"/>
          <w:lang w:val="es-CO" w:eastAsia="es-MX"/>
        </w:rPr>
        <w:t xml:space="preserve">«[…] </w:t>
      </w:r>
      <w:r w:rsidRPr="00DE39EA">
        <w:rPr>
          <w:rFonts w:ascii="Arial" w:eastAsia="Calibri" w:hAnsi="Arial" w:cs="Arial"/>
          <w:sz w:val="22"/>
          <w:lang w:eastAsia="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E39EA">
        <w:rPr>
          <w:rFonts w:ascii="Arial" w:eastAsia="Calibri" w:hAnsi="Arial" w:cs="Arial"/>
          <w:bCs/>
          <w:sz w:val="22"/>
          <w:lang w:val="es-CO" w:eastAsia="es-MX"/>
        </w:rPr>
        <w:t>»</w:t>
      </w:r>
      <w:r w:rsidRPr="00DE39EA">
        <w:rPr>
          <w:rFonts w:ascii="Arial" w:eastAsia="Calibri" w:hAnsi="Arial" w:cs="Arial"/>
          <w:bCs/>
          <w:sz w:val="22"/>
          <w:vertAlign w:val="superscript"/>
          <w:lang w:val="es-CO" w:eastAsia="es-MX"/>
        </w:rPr>
        <w:footnoteReference w:id="9"/>
      </w:r>
      <w:r w:rsidRPr="00DE39EA">
        <w:rPr>
          <w:rFonts w:ascii="Arial" w:eastAsia="Calibri" w:hAnsi="Arial" w:cs="Arial"/>
          <w:sz w:val="22"/>
          <w:lang w:eastAsia="es-MX"/>
        </w:rPr>
        <w:t>.</w:t>
      </w:r>
      <w:r w:rsidRPr="00DE39EA">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7CDC5C53" w14:textId="77777777" w:rsidR="003C791D" w:rsidRPr="00DE39EA" w:rsidRDefault="003C791D" w:rsidP="003C791D">
      <w:pPr>
        <w:widowControl w:val="0"/>
        <w:autoSpaceDE w:val="0"/>
        <w:autoSpaceDN w:val="0"/>
        <w:spacing w:line="276" w:lineRule="auto"/>
        <w:ind w:left="805" w:right="812"/>
        <w:contextualSpacing/>
        <w:jc w:val="both"/>
        <w:rPr>
          <w:rFonts w:ascii="Arial" w:eastAsia="Arial" w:hAnsi="Arial" w:cs="Arial"/>
          <w:sz w:val="22"/>
          <w:lang w:val="es-ES" w:eastAsia="es-ES" w:bidi="es-ES"/>
        </w:rPr>
      </w:pPr>
    </w:p>
    <w:p w14:paraId="2CCEC401" w14:textId="77777777" w:rsidR="003C791D" w:rsidRPr="00DE39EA" w:rsidRDefault="003C791D" w:rsidP="003C791D">
      <w:pPr>
        <w:widowControl w:val="0"/>
        <w:autoSpaceDE w:val="0"/>
        <w:autoSpaceDN w:val="0"/>
        <w:ind w:left="709" w:right="709"/>
        <w:contextualSpacing/>
        <w:jc w:val="both"/>
        <w:rPr>
          <w:rFonts w:ascii="Arial" w:eastAsia="Arial" w:hAnsi="Arial" w:cs="Arial"/>
          <w:sz w:val="21"/>
          <w:szCs w:val="21"/>
          <w:lang w:val="es-ES" w:eastAsia="es-ES" w:bidi="es-ES"/>
        </w:rPr>
      </w:pPr>
      <w:r w:rsidRPr="00DE39EA">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w:t>
      </w:r>
      <w:r w:rsidRPr="00DE39EA">
        <w:rPr>
          <w:rFonts w:ascii="Arial" w:eastAsia="Arial" w:hAnsi="Arial" w:cs="Arial"/>
          <w:sz w:val="21"/>
          <w:szCs w:val="21"/>
          <w:lang w:val="es-ES" w:eastAsia="es-ES" w:bidi="es-ES"/>
        </w:rPr>
        <w:lastRenderedPageBreak/>
        <w:t xml:space="preserve">excepciones, así como las del parágrafo del artículo 38. </w:t>
      </w:r>
      <w:r w:rsidRPr="00DE39EA">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DE39EA">
        <w:rPr>
          <w:rFonts w:ascii="Arial" w:eastAsia="Arial" w:hAnsi="Arial" w:cs="Arial"/>
          <w:sz w:val="21"/>
          <w:szCs w:val="21"/>
          <w:vertAlign w:val="superscript"/>
          <w:lang w:val="es-ES" w:eastAsia="es-ES" w:bidi="es-ES"/>
        </w:rPr>
        <w:footnoteReference w:id="10"/>
      </w:r>
      <w:r w:rsidRPr="00DE39EA">
        <w:rPr>
          <w:rFonts w:ascii="Arial" w:eastAsia="Arial" w:hAnsi="Arial" w:cs="Arial"/>
          <w:sz w:val="21"/>
          <w:szCs w:val="21"/>
          <w:lang w:val="es-ES" w:eastAsia="es-ES" w:bidi="es-ES"/>
        </w:rPr>
        <w:t>.</w:t>
      </w:r>
    </w:p>
    <w:p w14:paraId="13422AEA" w14:textId="77777777" w:rsidR="003C791D" w:rsidRPr="00DE39EA" w:rsidRDefault="003C791D" w:rsidP="003C791D">
      <w:pPr>
        <w:widowControl w:val="0"/>
        <w:autoSpaceDE w:val="0"/>
        <w:autoSpaceDN w:val="0"/>
        <w:spacing w:line="276" w:lineRule="auto"/>
        <w:contextualSpacing/>
        <w:rPr>
          <w:rFonts w:ascii="Arial" w:eastAsia="Arial" w:hAnsi="Arial" w:cs="Arial"/>
          <w:sz w:val="22"/>
          <w:lang w:val="es-ES" w:eastAsia="es-ES" w:bidi="es-ES"/>
        </w:rPr>
      </w:pPr>
    </w:p>
    <w:p w14:paraId="6C751099" w14:textId="77777777" w:rsidR="003C791D" w:rsidRPr="00DE39EA" w:rsidRDefault="003C791D" w:rsidP="003C791D">
      <w:pPr>
        <w:spacing w:after="120" w:line="276" w:lineRule="auto"/>
        <w:ind w:firstLine="709"/>
        <w:jc w:val="both"/>
        <w:rPr>
          <w:rFonts w:ascii="Arial" w:eastAsia="Arial" w:hAnsi="Arial" w:cs="Arial"/>
          <w:sz w:val="22"/>
          <w:lang w:val="es-ES" w:eastAsia="es-ES" w:bidi="es-ES"/>
        </w:rPr>
      </w:pPr>
      <w:r w:rsidRPr="00DE39EA">
        <w:rPr>
          <w:rFonts w:ascii="Arial" w:eastAsia="Arial" w:hAnsi="Arial" w:cs="Arial"/>
          <w:sz w:val="22"/>
          <w:lang w:val="es-ES" w:eastAsia="es-ES" w:bidi="es-ES"/>
        </w:rPr>
        <w:t xml:space="preserve">De conformidad con lo anterior, la Ley 996 de 2005 establece dos (2) tipos de restricciones en materia de contratación, las cuales coinciden parcialmente. </w:t>
      </w:r>
      <w:r w:rsidRPr="00DE39EA">
        <w:rPr>
          <w:rFonts w:ascii="Arial" w:eastAsia="Arial" w:hAnsi="Arial" w:cs="Arial"/>
          <w:i/>
          <w:iCs/>
          <w:sz w:val="22"/>
          <w:lang w:val="es-ES" w:eastAsia="es-ES" w:bidi="es-ES"/>
        </w:rPr>
        <w:t>En primer lugar</w:t>
      </w:r>
      <w:r w:rsidRPr="00DE39EA">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DE39EA">
        <w:rPr>
          <w:rFonts w:ascii="Arial" w:eastAsia="Arial" w:hAnsi="Arial" w:cs="Arial"/>
          <w:i/>
          <w:iCs/>
          <w:sz w:val="22"/>
          <w:lang w:val="es-ES" w:eastAsia="es-ES" w:bidi="es-ES"/>
        </w:rPr>
        <w:t>En segundo lugar</w:t>
      </w:r>
      <w:r w:rsidRPr="00DE39EA">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20AA342" w14:textId="77777777" w:rsidR="003C791D" w:rsidRPr="00DE39EA" w:rsidRDefault="003C791D" w:rsidP="003C791D">
      <w:pPr>
        <w:spacing w:after="120" w:line="276" w:lineRule="auto"/>
        <w:ind w:firstLine="709"/>
        <w:jc w:val="both"/>
        <w:rPr>
          <w:rFonts w:ascii="Arial" w:eastAsia="Arial" w:hAnsi="Arial" w:cs="Arial"/>
          <w:sz w:val="22"/>
          <w:lang w:val="es-ES" w:eastAsia="es-ES" w:bidi="es-ES"/>
        </w:rPr>
      </w:pPr>
      <w:r w:rsidRPr="00DE39EA">
        <w:rPr>
          <w:rFonts w:ascii="Arial" w:eastAsia="Arial" w:hAnsi="Arial" w:cs="Arial"/>
          <w:sz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solo deben aplicar las restricciones contenidas en el parágrafo del artículo 38.</w:t>
      </w:r>
    </w:p>
    <w:p w14:paraId="4D26078C" w14:textId="77777777" w:rsidR="003C791D" w:rsidRPr="00DE39EA" w:rsidRDefault="003C791D" w:rsidP="003C791D">
      <w:pPr>
        <w:spacing w:line="276" w:lineRule="auto"/>
        <w:ind w:firstLine="708"/>
        <w:jc w:val="both"/>
        <w:rPr>
          <w:rFonts w:ascii="Arial" w:eastAsia="Arial" w:hAnsi="Arial" w:cs="Arial"/>
          <w:sz w:val="22"/>
          <w:lang w:val="es-ES" w:eastAsia="es-ES" w:bidi="es-ES"/>
        </w:rPr>
      </w:pPr>
      <w:r w:rsidRPr="00DE39EA">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46FC6744" w14:textId="77777777" w:rsidR="003C791D" w:rsidRPr="00DE39EA" w:rsidRDefault="003C791D" w:rsidP="003C791D">
      <w:pPr>
        <w:spacing w:line="276" w:lineRule="auto"/>
        <w:jc w:val="both"/>
        <w:rPr>
          <w:rFonts w:ascii="Arial" w:eastAsia="Times New Roman" w:hAnsi="Arial" w:cs="Arial"/>
          <w:bCs/>
          <w:sz w:val="22"/>
          <w:lang w:val="es-ES" w:eastAsia="es-CO"/>
        </w:rPr>
      </w:pPr>
    </w:p>
    <w:p w14:paraId="5C127AA3" w14:textId="77777777" w:rsidR="003C791D" w:rsidRPr="00DE39EA" w:rsidRDefault="003C791D" w:rsidP="003C791D">
      <w:pPr>
        <w:spacing w:line="276" w:lineRule="auto"/>
        <w:jc w:val="both"/>
        <w:rPr>
          <w:rFonts w:ascii="Arial" w:eastAsia="Times New Roman" w:hAnsi="Arial" w:cs="Arial"/>
          <w:b/>
          <w:sz w:val="22"/>
          <w:lang w:val="es-ES" w:eastAsia="es-CO"/>
        </w:rPr>
      </w:pPr>
      <w:r w:rsidRPr="00DE39EA">
        <w:rPr>
          <w:rFonts w:ascii="Arial" w:eastAsia="Times New Roman" w:hAnsi="Arial" w:cs="Arial"/>
          <w:b/>
          <w:sz w:val="22"/>
          <w:lang w:val="es-ES" w:eastAsia="es-CO"/>
        </w:rPr>
        <w:lastRenderedPageBreak/>
        <w:t xml:space="preserve">2.2. </w:t>
      </w:r>
      <w:r w:rsidRPr="00DE39EA">
        <w:rPr>
          <w:rFonts w:ascii="Arial" w:eastAsia="Times New Roman" w:hAnsi="Arial" w:cs="Arial"/>
          <w:b/>
          <w:bCs/>
          <w:sz w:val="22"/>
          <w:lang w:eastAsia="es-CO"/>
        </w:rPr>
        <w:t xml:space="preserve">Restricciones en elecciones presidenciales: </w:t>
      </w:r>
      <w:r w:rsidRPr="00DE39EA">
        <w:rPr>
          <w:rFonts w:ascii="Arial" w:eastAsia="Times New Roman" w:hAnsi="Arial" w:cs="Arial"/>
          <w:b/>
          <w:bCs/>
          <w:sz w:val="22"/>
          <w:lang w:val="es-ES_tradnl" w:eastAsia="es-CO"/>
        </w:rPr>
        <w:t>prohibición del artículo 33 de la Ley 996 de 2005</w:t>
      </w:r>
      <w:r w:rsidRPr="00DE39EA">
        <w:rPr>
          <w:rFonts w:ascii="Arial" w:eastAsia="Times New Roman" w:hAnsi="Arial" w:cs="Arial"/>
          <w:b/>
          <w:bCs/>
          <w:sz w:val="22"/>
          <w:lang w:eastAsia="es-CO"/>
        </w:rPr>
        <w:t xml:space="preserve"> </w:t>
      </w:r>
    </w:p>
    <w:p w14:paraId="4BF79E60" w14:textId="77777777" w:rsidR="003C791D" w:rsidRPr="00DE39EA" w:rsidRDefault="003C791D" w:rsidP="003C791D">
      <w:pPr>
        <w:spacing w:line="276" w:lineRule="auto"/>
        <w:jc w:val="both"/>
        <w:rPr>
          <w:rFonts w:ascii="Arial" w:eastAsia="Times New Roman" w:hAnsi="Arial" w:cs="Arial"/>
          <w:bCs/>
          <w:sz w:val="22"/>
          <w:lang w:eastAsia="x-none"/>
        </w:rPr>
      </w:pPr>
    </w:p>
    <w:p w14:paraId="75839693" w14:textId="77777777" w:rsidR="003C791D" w:rsidRPr="00DE39EA" w:rsidRDefault="003C791D" w:rsidP="003C791D">
      <w:pPr>
        <w:spacing w:line="276" w:lineRule="auto"/>
        <w:contextualSpacing/>
        <w:jc w:val="both"/>
        <w:rPr>
          <w:rFonts w:ascii="Arial" w:eastAsia="Times New Roman" w:hAnsi="Arial" w:cs="Arial"/>
          <w:bCs/>
          <w:sz w:val="22"/>
          <w:lang w:eastAsia="es-CO"/>
        </w:rPr>
      </w:pPr>
      <w:r w:rsidRPr="00DE39EA">
        <w:rPr>
          <w:rFonts w:ascii="Arial" w:eastAsia="Times New Roman" w:hAnsi="Arial" w:cs="Arial"/>
          <w:bCs/>
          <w:sz w:val="22"/>
          <w:lang w:eastAsia="x-none"/>
        </w:rPr>
        <w:t xml:space="preserve">El ámbito material de la prohibición contenida en el artículo 33 de la Ley 996 de 2005 está delimitado por la expresión </w:t>
      </w:r>
      <w:r w:rsidRPr="00DE39EA">
        <w:rPr>
          <w:rFonts w:ascii="Arial" w:eastAsia="Calibri" w:hAnsi="Arial" w:cs="Arial"/>
          <w:bCs/>
          <w:sz w:val="22"/>
          <w:lang w:eastAsia="es-MX"/>
        </w:rPr>
        <w:t>«</w:t>
      </w:r>
      <w:r w:rsidRPr="00DE39EA">
        <w:rPr>
          <w:rFonts w:ascii="Arial" w:eastAsia="Times New Roman" w:hAnsi="Arial" w:cs="Arial"/>
          <w:bCs/>
          <w:sz w:val="22"/>
          <w:lang w:eastAsia="x-none"/>
        </w:rPr>
        <w:t>queda prohibida la contratación directa</w:t>
      </w:r>
      <w:r w:rsidRPr="00DE39EA">
        <w:rPr>
          <w:rFonts w:ascii="Arial" w:eastAsia="Calibri" w:hAnsi="Arial" w:cs="Arial"/>
          <w:sz w:val="22"/>
          <w:lang w:eastAsia="es-MX"/>
        </w:rPr>
        <w:t>»</w:t>
      </w:r>
      <w:r w:rsidRPr="00DE39EA">
        <w:rPr>
          <w:rFonts w:ascii="Arial" w:eastAsia="Times New Roman" w:hAnsi="Arial" w:cs="Arial"/>
          <w:bCs/>
          <w:sz w:val="22"/>
          <w:lang w:eastAsia="x-none"/>
        </w:rPr>
        <w:t>.</w:t>
      </w:r>
      <w:r w:rsidRPr="00DE39EA">
        <w:rPr>
          <w:rFonts w:ascii="Arial" w:eastAsia="Times New Roman" w:hAnsi="Arial" w:cs="Arial"/>
          <w:sz w:val="22"/>
          <w:lang w:eastAsia="es-CO"/>
        </w:rPr>
        <w:t xml:space="preserve"> A propósito de </w:t>
      </w:r>
      <w:r w:rsidRPr="00DE39EA">
        <w:rPr>
          <w:rFonts w:ascii="Arial" w:eastAsia="Times New Roman" w:hAnsi="Arial" w:cs="Arial"/>
          <w:sz w:val="22"/>
          <w:lang w:val="es-CO" w:eastAsia="es-CO"/>
        </w:rPr>
        <w:t>esta restricción de la Ley de Garantías Electorales, la Sala de Consulta y Servicio Civil del Consejo de Estado ha considerado que:</w:t>
      </w:r>
    </w:p>
    <w:p w14:paraId="54346D1A" w14:textId="77777777" w:rsidR="003C791D" w:rsidRPr="00DE39EA" w:rsidRDefault="003C791D" w:rsidP="003C791D">
      <w:pPr>
        <w:spacing w:line="276" w:lineRule="auto"/>
        <w:ind w:left="708" w:right="709"/>
        <w:contextualSpacing/>
        <w:jc w:val="both"/>
        <w:rPr>
          <w:rFonts w:ascii="Arial" w:eastAsia="Calibri" w:hAnsi="Arial" w:cs="Arial"/>
          <w:sz w:val="22"/>
          <w:lang w:eastAsia="es-MX"/>
        </w:rPr>
      </w:pPr>
    </w:p>
    <w:p w14:paraId="7A4A6744" w14:textId="77777777" w:rsidR="003C791D" w:rsidRPr="00DE39EA" w:rsidRDefault="003C791D" w:rsidP="003C791D">
      <w:pPr>
        <w:ind w:left="709" w:right="709"/>
        <w:contextualSpacing/>
        <w:jc w:val="both"/>
        <w:rPr>
          <w:rFonts w:ascii="Arial" w:eastAsia="Calibri" w:hAnsi="Arial" w:cs="Arial"/>
          <w:sz w:val="21"/>
          <w:szCs w:val="21"/>
          <w:lang w:eastAsia="es-MX"/>
        </w:rPr>
      </w:pPr>
      <w:r w:rsidRPr="00DE39EA">
        <w:rPr>
          <w:rFonts w:ascii="Arial" w:eastAsia="Calibri" w:hAnsi="Arial" w:cs="Arial"/>
          <w:sz w:val="21"/>
          <w:szCs w:val="21"/>
          <w:lang w:eastAsia="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DE39EA">
        <w:rPr>
          <w:rFonts w:ascii="Arial" w:eastAsia="Times New Roman" w:hAnsi="Arial" w:cs="Arial"/>
          <w:szCs w:val="24"/>
          <w:vertAlign w:val="superscript"/>
          <w:lang w:val="es-CO" w:eastAsia="es-CO"/>
        </w:rPr>
        <w:footnoteReference w:id="11"/>
      </w:r>
      <w:r w:rsidRPr="00DE39EA">
        <w:rPr>
          <w:rFonts w:ascii="Arial" w:eastAsia="Calibri" w:hAnsi="Arial" w:cs="Arial"/>
          <w:sz w:val="21"/>
          <w:szCs w:val="21"/>
          <w:lang w:eastAsia="es-MX"/>
        </w:rPr>
        <w:t>.</w:t>
      </w:r>
    </w:p>
    <w:p w14:paraId="1368A054" w14:textId="77777777" w:rsidR="003C791D" w:rsidRPr="00DE39EA" w:rsidRDefault="003C791D" w:rsidP="003C791D">
      <w:pPr>
        <w:ind w:left="709" w:right="709"/>
        <w:contextualSpacing/>
        <w:jc w:val="both"/>
        <w:rPr>
          <w:rFonts w:ascii="Arial" w:eastAsia="Calibri" w:hAnsi="Arial" w:cs="Arial"/>
          <w:sz w:val="21"/>
          <w:szCs w:val="21"/>
          <w:lang w:eastAsia="es-MX"/>
        </w:rPr>
      </w:pPr>
    </w:p>
    <w:p w14:paraId="2FDB7D79" w14:textId="77777777" w:rsidR="003C791D" w:rsidRPr="00DE39EA" w:rsidRDefault="003C791D" w:rsidP="003C791D">
      <w:pPr>
        <w:ind w:left="708" w:right="709"/>
        <w:contextualSpacing/>
        <w:jc w:val="both"/>
        <w:rPr>
          <w:rFonts w:ascii="Arial" w:eastAsia="Calibri" w:hAnsi="Arial" w:cs="Arial"/>
          <w:sz w:val="21"/>
          <w:szCs w:val="21"/>
          <w:lang w:eastAsia="es-MX"/>
        </w:rPr>
      </w:pPr>
      <w:r w:rsidRPr="00DE39EA">
        <w:rPr>
          <w:rFonts w:ascii="Arial" w:eastAsia="Calibri" w:hAnsi="Arial" w:cs="Arial"/>
          <w:sz w:val="21"/>
          <w:szCs w:val="21"/>
          <w:lang w:eastAsia="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DE39EA">
        <w:rPr>
          <w:rFonts w:ascii="Arial" w:eastAsia="Times New Roman" w:hAnsi="Arial" w:cs="Arial"/>
          <w:sz w:val="21"/>
          <w:szCs w:val="21"/>
          <w:vertAlign w:val="superscript"/>
          <w:lang w:eastAsia="es-MX"/>
        </w:rPr>
        <w:footnoteReference w:id="12"/>
      </w:r>
      <w:r w:rsidRPr="00DE39EA">
        <w:rPr>
          <w:rFonts w:ascii="Arial" w:eastAsia="Times New Roman" w:hAnsi="Arial" w:cs="Arial"/>
          <w:sz w:val="21"/>
          <w:szCs w:val="21"/>
          <w:vertAlign w:val="superscript"/>
          <w:lang w:eastAsia="es-MX"/>
        </w:rPr>
        <w:t>.</w:t>
      </w:r>
      <w:r w:rsidRPr="00DE39EA">
        <w:rPr>
          <w:rFonts w:ascii="Arial" w:eastAsia="Calibri" w:hAnsi="Arial" w:cs="Arial"/>
          <w:sz w:val="21"/>
          <w:szCs w:val="21"/>
          <w:lang w:eastAsia="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DE39EA">
        <w:rPr>
          <w:rFonts w:ascii="Arial" w:eastAsia="Times New Roman" w:hAnsi="Arial" w:cs="Arial"/>
          <w:szCs w:val="24"/>
          <w:vertAlign w:val="superscript"/>
          <w:lang w:val="es-CO" w:eastAsia="es-CO"/>
        </w:rPr>
        <w:footnoteReference w:id="13"/>
      </w:r>
      <w:r w:rsidRPr="00DE39EA">
        <w:rPr>
          <w:rFonts w:ascii="Arial" w:eastAsia="Calibri" w:hAnsi="Arial" w:cs="Arial"/>
          <w:sz w:val="21"/>
          <w:szCs w:val="21"/>
          <w:lang w:eastAsia="es-MX"/>
        </w:rPr>
        <w:t xml:space="preserve"> .</w:t>
      </w:r>
    </w:p>
    <w:p w14:paraId="12696553" w14:textId="77777777" w:rsidR="003C791D" w:rsidRPr="00DE39EA" w:rsidRDefault="003C791D" w:rsidP="003C791D">
      <w:pPr>
        <w:shd w:val="clear" w:color="auto" w:fill="FFFFFF"/>
        <w:spacing w:line="276" w:lineRule="auto"/>
        <w:ind w:firstLine="709"/>
        <w:contextualSpacing/>
        <w:jc w:val="both"/>
        <w:rPr>
          <w:rFonts w:ascii="Arial" w:eastAsia="Times New Roman" w:hAnsi="Arial" w:cs="Arial"/>
          <w:sz w:val="22"/>
          <w:lang w:val="es-CO" w:eastAsia="x-none"/>
        </w:rPr>
      </w:pPr>
    </w:p>
    <w:p w14:paraId="7060D6E0" w14:textId="77777777" w:rsidR="003C791D" w:rsidRPr="00DE39EA" w:rsidRDefault="003C791D" w:rsidP="003C791D">
      <w:pPr>
        <w:spacing w:after="120" w:line="276" w:lineRule="auto"/>
        <w:ind w:firstLine="709"/>
        <w:jc w:val="both"/>
        <w:rPr>
          <w:rFonts w:ascii="Arial" w:eastAsia="Times New Roman" w:hAnsi="Arial" w:cs="Arial"/>
          <w:bCs/>
          <w:sz w:val="22"/>
          <w:lang w:val="es-CO" w:eastAsia="x-none"/>
        </w:rPr>
      </w:pPr>
      <w:bookmarkStart w:id="9" w:name="_Hlk94521748"/>
      <w:r w:rsidRPr="00DE39EA">
        <w:rPr>
          <w:rFonts w:ascii="Arial" w:eastAsia="Times New Roman" w:hAnsi="Arial" w:cs="Arial"/>
          <w:sz w:val="22"/>
          <w:lang w:val="es-ES_tradnl" w:eastAsia="x-none"/>
        </w:rPr>
        <w:t xml:space="preserve">De acuerdo con el citado concepto, la prohibición del artículo 33 de la Ley de Garantías Electorales se refiere a </w:t>
      </w:r>
      <w:r w:rsidRPr="00DE39EA">
        <w:rPr>
          <w:rFonts w:ascii="Arial" w:eastAsia="Times New Roman" w:hAnsi="Arial" w:cs="Arial"/>
          <w:sz w:val="19"/>
          <w:szCs w:val="19"/>
          <w:lang w:val="es-ES_tradnl" w:eastAsia="en-GB"/>
        </w:rPr>
        <w:t>«</w:t>
      </w:r>
      <w:r w:rsidRPr="00DE39EA">
        <w:rPr>
          <w:rFonts w:ascii="Arial" w:eastAsia="Times New Roman" w:hAnsi="Arial" w:cs="Arial"/>
          <w:sz w:val="22"/>
          <w:lang w:val="es-ES_tradnl" w:eastAsia="x-none"/>
        </w:rPr>
        <w:t>cualquier sistema que no implique convocatoria pública y posibilidad de pluralidad de oferentes</w:t>
      </w:r>
      <w:r w:rsidRPr="00DE39EA">
        <w:rPr>
          <w:rFonts w:ascii="Arial" w:eastAsia="Times New Roman" w:hAnsi="Arial" w:cs="Arial"/>
          <w:sz w:val="22"/>
          <w:lang w:val="es-ES_tradnl" w:eastAsia="en-GB"/>
        </w:rPr>
        <w:t>»</w:t>
      </w:r>
      <w:r w:rsidRPr="00DE39EA">
        <w:rPr>
          <w:rFonts w:ascii="Arial" w:eastAsia="Times New Roman" w:hAnsi="Arial" w:cs="Arial"/>
          <w:sz w:val="22"/>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DE39EA">
        <w:rPr>
          <w:rFonts w:ascii="Arial" w:eastAsia="Times New Roman" w:hAnsi="Arial" w:cs="Arial"/>
          <w:sz w:val="22"/>
          <w:vertAlign w:val="superscript"/>
          <w:lang w:val="es-ES_tradnl" w:eastAsia="x-none"/>
        </w:rPr>
        <w:footnoteReference w:id="14"/>
      </w:r>
      <w:r w:rsidRPr="00DE39EA">
        <w:rPr>
          <w:rFonts w:ascii="Arial" w:eastAsia="Times New Roman" w:hAnsi="Arial" w:cs="Arial"/>
          <w:sz w:val="22"/>
          <w:lang w:val="es-ES_tradnl" w:eastAsia="x-none"/>
        </w:rPr>
        <w:t xml:space="preserve"> y sistematizó las causales de contratación directa</w:t>
      </w:r>
      <w:r w:rsidRPr="00DE39EA">
        <w:rPr>
          <w:rFonts w:ascii="Arial" w:eastAsia="Times New Roman" w:hAnsi="Arial" w:cs="Arial"/>
          <w:sz w:val="22"/>
          <w:vertAlign w:val="superscript"/>
          <w:lang w:val="es-ES_tradnl" w:eastAsia="x-none"/>
        </w:rPr>
        <w:footnoteReference w:id="15"/>
      </w:r>
      <w:r w:rsidRPr="00DE39EA">
        <w:rPr>
          <w:rFonts w:ascii="Arial" w:eastAsia="Times New Roman" w:hAnsi="Arial" w:cs="Arial"/>
          <w:sz w:val="22"/>
          <w:lang w:val="es-ES_tradnl" w:eastAsia="x-none"/>
        </w:rPr>
        <w:t xml:space="preserve">, </w:t>
      </w:r>
      <w:r w:rsidRPr="00DE39EA">
        <w:rPr>
          <w:rFonts w:ascii="Arial" w:hAnsi="Arial" w:cs="Arial"/>
          <w:color w:val="000000" w:themeColor="text1"/>
          <w:sz w:val="22"/>
          <w:szCs w:val="24"/>
          <w:lang w:val="es-CO" w:eastAsia="x-none"/>
        </w:rPr>
        <w:t xml:space="preserve">además lo es con la posterior creación </w:t>
      </w:r>
      <w:r w:rsidRPr="00DE39EA">
        <w:rPr>
          <w:rFonts w:ascii="Arial" w:hAnsi="Arial" w:cs="Arial"/>
          <w:color w:val="000000" w:themeColor="text1"/>
          <w:sz w:val="22"/>
          <w:szCs w:val="24"/>
          <w:lang w:val="es-CO" w:eastAsia="x-none"/>
        </w:rPr>
        <w:lastRenderedPageBreak/>
        <w:t>de la modalidad de mínima cuantía establecida actualmente en el numeral 5 del artículo 2 de la Ley 1150 de 2007, de acuerdo con las modificaciones realizadas por leyes posteriores.</w:t>
      </w:r>
      <w:bookmarkEnd w:id="9"/>
    </w:p>
    <w:p w14:paraId="4E203248" w14:textId="77777777" w:rsidR="003C791D" w:rsidRPr="00DE39EA" w:rsidRDefault="003C791D" w:rsidP="003C791D">
      <w:pPr>
        <w:spacing w:after="120" w:line="276" w:lineRule="auto"/>
        <w:ind w:firstLine="709"/>
        <w:jc w:val="both"/>
        <w:rPr>
          <w:rFonts w:ascii="Arial" w:eastAsia="Times New Roman" w:hAnsi="Arial" w:cs="Arial"/>
          <w:sz w:val="22"/>
          <w:lang w:eastAsia="x-none"/>
        </w:rPr>
      </w:pPr>
      <w:r w:rsidRPr="00DE39EA">
        <w:rPr>
          <w:rFonts w:ascii="Arial" w:eastAsia="Times New Roman" w:hAnsi="Arial" w:cs="Arial"/>
          <w:sz w:val="22"/>
          <w:lang w:val="es-CO" w:eastAsia="x-none"/>
        </w:rPr>
        <w:t xml:space="preserve">De esta forma, se ha depurado la noción de </w:t>
      </w:r>
      <w:r w:rsidRPr="00DE39EA">
        <w:rPr>
          <w:rFonts w:ascii="Arial" w:eastAsia="Times New Roman" w:hAnsi="Arial" w:cs="Arial"/>
          <w:sz w:val="22"/>
          <w:lang w:val="es-CO" w:eastAsia="en-GB"/>
        </w:rPr>
        <w:t>«</w:t>
      </w:r>
      <w:r w:rsidRPr="00DE39EA">
        <w:rPr>
          <w:rFonts w:ascii="Arial" w:eastAsia="Times New Roman" w:hAnsi="Arial" w:cs="Arial"/>
          <w:sz w:val="22"/>
          <w:lang w:val="es-CO" w:eastAsia="x-none"/>
        </w:rPr>
        <w:t>contratación directa</w:t>
      </w:r>
      <w:r w:rsidRPr="00DE39EA">
        <w:rPr>
          <w:rFonts w:ascii="Arial" w:eastAsia="Times New Roman" w:hAnsi="Arial" w:cs="Arial"/>
          <w:sz w:val="22"/>
          <w:lang w:val="es-CO" w:eastAsia="en-GB"/>
        </w:rPr>
        <w:t>»</w:t>
      </w:r>
      <w:r w:rsidRPr="00DE39EA">
        <w:rPr>
          <w:rFonts w:ascii="Arial" w:eastAsia="Times New Roman" w:hAnsi="Arial" w:cs="Arial"/>
          <w:sz w:val="22"/>
          <w:lang w:val="es-CO"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DE39EA">
        <w:rPr>
          <w:rFonts w:ascii="Arial" w:eastAsia="Times New Roman" w:hAnsi="Arial" w:cs="Arial"/>
          <w:sz w:val="22"/>
          <w:vertAlign w:val="superscript"/>
          <w:lang w:val="en-GB" w:eastAsia="x-none"/>
        </w:rPr>
        <w:footnoteReference w:id="16"/>
      </w:r>
      <w:r w:rsidRPr="00DE39EA">
        <w:rPr>
          <w:rFonts w:ascii="Arial" w:eastAsia="Times New Roman" w:hAnsi="Arial" w:cs="Arial"/>
          <w:sz w:val="22"/>
          <w:lang w:val="es-CO" w:eastAsia="x-none"/>
        </w:rPr>
        <w:t>, han establecido sistemas de contratación que implican convocatoria pública y participación de varios oferentes</w:t>
      </w:r>
      <w:r w:rsidRPr="00DE39EA">
        <w:rPr>
          <w:rFonts w:ascii="Arial" w:eastAsia="Times New Roman" w:hAnsi="Arial" w:cs="Arial"/>
          <w:sz w:val="22"/>
          <w:lang w:val="es-CO" w:eastAsia="en-GB"/>
        </w:rPr>
        <w:t>»</w:t>
      </w:r>
      <w:r w:rsidRPr="00DE39EA">
        <w:rPr>
          <w:rFonts w:ascii="Arial" w:eastAsia="Times New Roman" w:hAnsi="Arial" w:cs="Arial"/>
          <w:sz w:val="22"/>
          <w:lang w:val="es-CO" w:eastAsia="x-none"/>
        </w:rPr>
        <w:t xml:space="preserve">. </w:t>
      </w:r>
    </w:p>
    <w:p w14:paraId="4435C501" w14:textId="77777777" w:rsidR="003C791D" w:rsidRPr="00DE39EA" w:rsidRDefault="003C791D" w:rsidP="003C791D">
      <w:pPr>
        <w:spacing w:after="120" w:line="276" w:lineRule="auto"/>
        <w:ind w:firstLine="709"/>
        <w:jc w:val="both"/>
        <w:rPr>
          <w:rFonts w:ascii="Arial" w:eastAsia="Times New Roman" w:hAnsi="Arial" w:cs="Arial"/>
          <w:bCs/>
          <w:sz w:val="22"/>
          <w:lang w:eastAsia="es-CO"/>
        </w:rPr>
      </w:pPr>
      <w:r w:rsidRPr="00DE39EA">
        <w:rPr>
          <w:rFonts w:ascii="Arial" w:eastAsia="Times New Roman" w:hAnsi="Arial" w:cs="Arial"/>
          <w:bCs/>
          <w:sz w:val="22"/>
          <w:lang w:eastAsia="x-none"/>
        </w:rPr>
        <w:t>E</w:t>
      </w:r>
      <w:r w:rsidRPr="00DE39EA">
        <w:rPr>
          <w:rFonts w:ascii="Arial" w:eastAsia="Times New Roman" w:hAnsi="Arial" w:cs="Arial"/>
          <w:sz w:val="22"/>
          <w:lang w:val="es-CO"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DE39EA">
        <w:rPr>
          <w:rFonts w:ascii="Arial" w:eastAsia="Times New Roman" w:hAnsi="Arial" w:cs="Arial"/>
          <w:sz w:val="22"/>
          <w:vertAlign w:val="superscript"/>
          <w:lang w:val="es-CO" w:eastAsia="x-none"/>
        </w:rPr>
        <w:footnoteReference w:id="17"/>
      </w:r>
      <w:r w:rsidRPr="00DE39EA">
        <w:rPr>
          <w:rFonts w:ascii="Arial" w:eastAsia="Times New Roman" w:hAnsi="Arial" w:cs="Arial"/>
          <w:sz w:val="22"/>
          <w:lang w:val="es-CO" w:eastAsia="x-none"/>
        </w:rPr>
        <w:t xml:space="preserve">. </w:t>
      </w:r>
    </w:p>
    <w:p w14:paraId="5DD390D3" w14:textId="77777777" w:rsidR="003C791D" w:rsidRPr="00DE39EA" w:rsidRDefault="003C791D" w:rsidP="003C791D">
      <w:pPr>
        <w:spacing w:after="120" w:line="276" w:lineRule="auto"/>
        <w:ind w:firstLine="709"/>
        <w:jc w:val="both"/>
        <w:rPr>
          <w:rFonts w:ascii="Arial" w:eastAsia="Times New Roman" w:hAnsi="Arial" w:cs="Arial"/>
          <w:bCs/>
          <w:sz w:val="22"/>
          <w:lang w:eastAsia="es-CO"/>
        </w:rPr>
      </w:pPr>
      <w:r w:rsidRPr="00DE39EA">
        <w:rPr>
          <w:rFonts w:ascii="Arial" w:eastAsia="Times New Roman" w:hAnsi="Arial" w:cs="Arial"/>
          <w:bCs/>
          <w:sz w:val="22"/>
          <w:lang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867EA36" w14:textId="77777777" w:rsidR="003C791D" w:rsidRPr="00DE39EA" w:rsidRDefault="003C791D" w:rsidP="003C791D">
      <w:pPr>
        <w:spacing w:after="120" w:line="276" w:lineRule="auto"/>
        <w:ind w:firstLine="709"/>
        <w:jc w:val="both"/>
        <w:rPr>
          <w:rFonts w:ascii="Arial" w:eastAsia="Times New Roman" w:hAnsi="Arial" w:cs="Arial"/>
          <w:bCs/>
          <w:sz w:val="22"/>
          <w:lang w:eastAsia="x-none"/>
        </w:rPr>
      </w:pPr>
      <w:r w:rsidRPr="00DE39EA">
        <w:rPr>
          <w:rFonts w:ascii="Arial" w:eastAsia="Times New Roman" w:hAnsi="Arial" w:cs="Arial"/>
          <w:bCs/>
          <w:sz w:val="22"/>
          <w:lang w:eastAsia="x-none"/>
        </w:rPr>
        <w:t xml:space="preserve"> Así las cosas, </w:t>
      </w:r>
      <w:bookmarkStart w:id="10" w:name="_Hlk99577798"/>
      <w:r w:rsidRPr="00DE39EA">
        <w:rPr>
          <w:rFonts w:ascii="Arial" w:eastAsia="Times New Roman" w:hAnsi="Arial" w:cs="Arial"/>
          <w:bCs/>
          <w:sz w:val="22"/>
          <w:lang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DE39EA">
        <w:rPr>
          <w:rFonts w:ascii="Arial" w:eastAsia="Times New Roman" w:hAnsi="Arial" w:cs="Arial"/>
          <w:sz w:val="22"/>
          <w:vertAlign w:val="superscript"/>
          <w:lang w:val="es-CO" w:eastAsia="x-none"/>
        </w:rPr>
        <w:footnoteReference w:id="18"/>
      </w:r>
      <w:r w:rsidRPr="00DE39EA">
        <w:rPr>
          <w:rFonts w:ascii="Arial" w:eastAsia="Times New Roman" w:hAnsi="Arial" w:cs="Arial"/>
          <w:bCs/>
          <w:sz w:val="22"/>
          <w:lang w:eastAsia="x-none"/>
        </w:rPr>
        <w:t>.</w:t>
      </w:r>
      <w:r w:rsidRPr="00DE39EA">
        <w:rPr>
          <w:rFonts w:ascii="Arial" w:eastAsia="Times New Roman" w:hAnsi="Arial" w:cs="Arial"/>
          <w:sz w:val="22"/>
          <w:vertAlign w:val="superscript"/>
          <w:lang w:val="es-CO" w:eastAsia="x-none"/>
        </w:rPr>
        <w:t xml:space="preserve"> </w:t>
      </w:r>
    </w:p>
    <w:p w14:paraId="6590E13F" w14:textId="77777777" w:rsidR="003C791D" w:rsidRPr="00DE39EA" w:rsidRDefault="003C791D" w:rsidP="003C791D">
      <w:pPr>
        <w:spacing w:after="120" w:line="276" w:lineRule="auto"/>
        <w:ind w:firstLine="709"/>
        <w:jc w:val="both"/>
        <w:rPr>
          <w:rFonts w:ascii="Arial" w:eastAsia="Times New Roman" w:hAnsi="Arial" w:cs="Arial"/>
          <w:sz w:val="22"/>
          <w:lang w:val="es-CO" w:eastAsia="x-none"/>
        </w:rPr>
      </w:pPr>
      <w:r w:rsidRPr="00DE39EA">
        <w:rPr>
          <w:rFonts w:ascii="Arial" w:eastAsia="Times New Roman" w:hAnsi="Arial" w:cs="Arial"/>
          <w:bCs/>
          <w:sz w:val="22"/>
          <w:lang w:eastAsia="x-none"/>
        </w:rPr>
        <w:t xml:space="preserve">De lo anterior se desprende que la restricción aplica, sin perjuicio de las excepciones establecidas en la misma ley, para celebrar cualquier contrato de forma directa, esto es, sin </w:t>
      </w:r>
      <w:r w:rsidRPr="00DE39EA">
        <w:rPr>
          <w:rFonts w:ascii="Arial" w:eastAsia="Times New Roman" w:hAnsi="Arial" w:cs="Arial"/>
          <w:bCs/>
          <w:sz w:val="22"/>
          <w:lang w:eastAsia="x-none"/>
        </w:rPr>
        <w:lastRenderedPageBreak/>
        <w:t>que exista un proceso abierto y competitivo.</w:t>
      </w:r>
      <w:r w:rsidRPr="00DE39EA">
        <w:rPr>
          <w:rFonts w:ascii="Arial" w:eastAsia="Times New Roman" w:hAnsi="Arial" w:cs="Arial"/>
          <w:sz w:val="22"/>
          <w:lang w:val="es-CO"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021E209B" w14:textId="77777777" w:rsidR="003C791D" w:rsidRPr="00DE39EA" w:rsidRDefault="003C791D" w:rsidP="003C791D">
      <w:pPr>
        <w:spacing w:after="120" w:line="276" w:lineRule="auto"/>
        <w:ind w:firstLine="709"/>
        <w:jc w:val="both"/>
        <w:rPr>
          <w:rFonts w:ascii="Arial" w:eastAsia="Times New Roman" w:hAnsi="Arial" w:cs="Arial"/>
          <w:bCs/>
          <w:sz w:val="22"/>
          <w:lang w:eastAsia="x-none"/>
        </w:rPr>
      </w:pPr>
      <w:bookmarkStart w:id="11" w:name="_Hlk77237094"/>
      <w:bookmarkEnd w:id="10"/>
      <w:r w:rsidRPr="00DE39EA">
        <w:rPr>
          <w:rFonts w:ascii="Arial" w:eastAsia="Times New Roman" w:hAnsi="Arial" w:cs="Arial"/>
          <w:bCs/>
          <w:sz w:val="22"/>
          <w:lang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11"/>
    </w:p>
    <w:p w14:paraId="58D5914E" w14:textId="77777777" w:rsidR="003C791D" w:rsidRPr="00DE39EA" w:rsidRDefault="003C791D" w:rsidP="003C791D">
      <w:pPr>
        <w:spacing w:after="120" w:line="276" w:lineRule="auto"/>
        <w:ind w:firstLine="709"/>
        <w:jc w:val="both"/>
        <w:rPr>
          <w:rFonts w:ascii="Arial" w:eastAsia="Times New Roman" w:hAnsi="Arial" w:cs="Arial"/>
          <w:bCs/>
          <w:sz w:val="22"/>
          <w:lang w:eastAsia="es-CO"/>
        </w:rPr>
      </w:pPr>
      <w:r w:rsidRPr="00DE39EA">
        <w:rPr>
          <w:rFonts w:ascii="Arial" w:eastAsia="Times New Roman" w:hAnsi="Arial" w:cs="Arial"/>
          <w:bCs/>
          <w:sz w:val="22"/>
          <w:lang w:eastAsia="x-none"/>
        </w:rPr>
        <w:t xml:space="preserve">De otro lado, </w:t>
      </w:r>
      <w:bookmarkStart w:id="12" w:name="_Hlk99577887"/>
      <w:r w:rsidRPr="00DE39EA">
        <w:rPr>
          <w:rFonts w:ascii="Arial" w:eastAsia="Times New Roman" w:hAnsi="Arial" w:cs="Arial"/>
          <w:bCs/>
          <w:sz w:val="22"/>
          <w:lang w:eastAsia="x-none"/>
        </w:rPr>
        <w:t>las excepciones a la restricción prevista en la Ley de Garantías Electorales,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DE39EA">
        <w:rPr>
          <w:rFonts w:ascii="Arial" w:eastAsia="Times New Roman"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12"/>
    </w:p>
    <w:p w14:paraId="1434439E" w14:textId="77777777" w:rsidR="003C791D" w:rsidRPr="00DE39EA" w:rsidRDefault="003C791D" w:rsidP="003C791D">
      <w:pPr>
        <w:spacing w:after="120" w:line="276" w:lineRule="auto"/>
        <w:ind w:firstLine="709"/>
        <w:jc w:val="both"/>
        <w:rPr>
          <w:rFonts w:ascii="Arial" w:eastAsia="Times New Roman" w:hAnsi="Arial" w:cs="Arial"/>
          <w:bCs/>
          <w:sz w:val="22"/>
          <w:lang w:eastAsia="x-none"/>
        </w:rPr>
      </w:pPr>
      <w:r w:rsidRPr="00DE39EA">
        <w:rPr>
          <w:rFonts w:ascii="Arial" w:eastAsia="Times New Roman" w:hAnsi="Arial" w:cs="Arial"/>
          <w:bCs/>
          <w:sz w:val="22"/>
          <w:lang w:eastAsia="x-none"/>
        </w:rPr>
        <w:t>En esta labor es importante tener en cuenta, como lo anotó la Corte Constitucional, en Sentencia C-1153 de noviembre 11 de 2005</w:t>
      </w:r>
      <w:r w:rsidRPr="00DE39EA">
        <w:rPr>
          <w:rFonts w:ascii="Arial" w:eastAsia="Calibri" w:hAnsi="Arial" w:cs="Arial"/>
          <w:sz w:val="22"/>
          <w:lang w:eastAsia="es-MX"/>
        </w:rPr>
        <w:t>,</w:t>
      </w:r>
      <w:r w:rsidRPr="00DE39EA">
        <w:rPr>
          <w:rFonts w:ascii="Arial" w:eastAsia="Times New Roman" w:hAnsi="Arial" w:cs="Arial"/>
          <w:bCs/>
          <w:sz w:val="22"/>
          <w:lang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DE39EA">
        <w:rPr>
          <w:rFonts w:ascii="Arial" w:eastAsia="Calibri" w:hAnsi="Arial" w:cs="Arial"/>
          <w:sz w:val="22"/>
          <w:vertAlign w:val="superscript"/>
          <w:lang w:eastAsia="es-MX"/>
        </w:rPr>
        <w:footnoteReference w:id="19"/>
      </w:r>
      <w:r w:rsidRPr="00DE39EA">
        <w:rPr>
          <w:rFonts w:ascii="Arial" w:eastAsia="Times New Roman" w:hAnsi="Arial" w:cs="Arial"/>
          <w:bCs/>
          <w:sz w:val="22"/>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412CC8E" w14:textId="77777777" w:rsidR="003C791D" w:rsidRPr="00DE39EA" w:rsidRDefault="003C791D" w:rsidP="003C791D">
      <w:pPr>
        <w:spacing w:line="276" w:lineRule="auto"/>
        <w:jc w:val="both"/>
        <w:rPr>
          <w:rFonts w:ascii="Arial" w:eastAsia="Times New Roman" w:hAnsi="Arial" w:cs="Arial"/>
          <w:bCs/>
          <w:sz w:val="22"/>
          <w:lang w:eastAsia="x-none"/>
        </w:rPr>
      </w:pPr>
      <w:r w:rsidRPr="00DE39EA">
        <w:rPr>
          <w:rFonts w:ascii="Arial" w:eastAsia="Times New Roman" w:hAnsi="Arial" w:cs="Arial"/>
          <w:bCs/>
          <w:sz w:val="22"/>
          <w:lang w:eastAsia="x-none"/>
        </w:rPr>
        <w:tab/>
        <w:t xml:space="preserve">El artículo 33 de la Ley 996 de 2005 señala expresamente a los destinatarios de la prohibición, en el sentido de que son «todos los entes del Estado», expresión que contempla </w:t>
      </w:r>
      <w:r w:rsidRPr="00DE39EA">
        <w:rPr>
          <w:rFonts w:ascii="Arial" w:eastAsia="Times New Roman" w:hAnsi="Arial" w:cs="Arial"/>
          <w:bCs/>
          <w:sz w:val="22"/>
          <w:lang w:eastAsia="x-none"/>
        </w:rPr>
        <w:lastRenderedPageBreak/>
        <w:t>a los diferentes organismos o entidades autorizadas por la ley para suscribir contratos.</w:t>
      </w:r>
      <w:r w:rsidRPr="00DE39EA">
        <w:t xml:space="preserve"> </w:t>
      </w:r>
      <w:r w:rsidRPr="00DE39EA">
        <w:rPr>
          <w:rFonts w:ascii="Arial" w:eastAsia="Times New Roman" w:hAnsi="Arial" w:cs="Arial"/>
          <w:bCs/>
          <w:sz w:val="22"/>
          <w:lang w:eastAsia="x-none"/>
        </w:rPr>
        <w:t>En efecto, como lo ha sostenido el Consejo de Estado, el vocablo «todos» utilizado por el legislador comprende</w:t>
      </w:r>
      <w:r w:rsidRPr="00DE39EA">
        <w:t xml:space="preserve"> </w:t>
      </w:r>
      <w:r w:rsidRPr="00DE39EA">
        <w:rPr>
          <w:rFonts w:ascii="Arial" w:eastAsia="Times New Roman" w:hAnsi="Arial" w:cs="Arial"/>
          <w:bCs/>
          <w:sz w:val="22"/>
          <w:lang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503E3A5A" w14:textId="77777777" w:rsidR="003C791D" w:rsidRPr="00DE39EA" w:rsidRDefault="003C791D" w:rsidP="003C791D">
      <w:pPr>
        <w:spacing w:line="276" w:lineRule="auto"/>
        <w:ind w:firstLine="708"/>
        <w:jc w:val="both"/>
        <w:rPr>
          <w:rFonts w:ascii="Arial" w:eastAsia="Times New Roman" w:hAnsi="Arial" w:cs="Arial"/>
          <w:bCs/>
          <w:sz w:val="22"/>
          <w:lang w:eastAsia="x-none"/>
        </w:rPr>
      </w:pPr>
    </w:p>
    <w:p w14:paraId="7E517592" w14:textId="77777777" w:rsidR="003C791D" w:rsidRPr="00DE39EA" w:rsidRDefault="003C791D" w:rsidP="003C791D">
      <w:pPr>
        <w:ind w:left="708" w:right="709"/>
        <w:jc w:val="both"/>
        <w:rPr>
          <w:rFonts w:ascii="Arial" w:eastAsia="Times New Roman" w:hAnsi="Arial" w:cs="Arial"/>
          <w:bCs/>
          <w:sz w:val="21"/>
          <w:szCs w:val="21"/>
          <w:lang w:eastAsia="es-CO"/>
        </w:rPr>
      </w:pPr>
      <w:r w:rsidRPr="00DE39EA">
        <w:rPr>
          <w:rFonts w:ascii="Arial" w:eastAsia="Times New Roman" w:hAnsi="Arial" w:cs="Arial"/>
          <w:bCs/>
          <w:sz w:val="21"/>
          <w:szCs w:val="21"/>
          <w:lang w:eastAsia="x-none"/>
        </w:rPr>
        <w:t xml:space="preserve">El artículo 33 de la ley 996 de 2005, </w:t>
      </w:r>
      <w:bookmarkStart w:id="13" w:name="_Hlk75787147"/>
      <w:r w:rsidRPr="00DE39EA">
        <w:rPr>
          <w:rFonts w:ascii="Arial" w:eastAsia="Times New Roman" w:hAnsi="Arial" w:cs="Arial"/>
          <w:bCs/>
          <w:sz w:val="21"/>
          <w:szCs w:val="21"/>
          <w:lang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DE39EA">
        <w:rPr>
          <w:rFonts w:ascii="Arial" w:eastAsia="Times New Roman" w:hAnsi="Arial" w:cs="Arial"/>
          <w:bCs/>
          <w:sz w:val="21"/>
          <w:szCs w:val="21"/>
          <w:vertAlign w:val="superscript"/>
          <w:lang w:eastAsia="x-none"/>
        </w:rPr>
        <w:footnoteReference w:id="20"/>
      </w:r>
      <w:r w:rsidRPr="00DE39EA">
        <w:rPr>
          <w:rFonts w:ascii="Arial" w:eastAsia="Times New Roman" w:hAnsi="Arial" w:cs="Arial"/>
          <w:bCs/>
          <w:sz w:val="21"/>
          <w:szCs w:val="21"/>
          <w:lang w:eastAsia="x-none"/>
        </w:rPr>
        <w:t>.</w:t>
      </w:r>
      <w:r w:rsidRPr="00DE39EA">
        <w:rPr>
          <w:rFonts w:ascii="Arial" w:eastAsia="Times New Roman" w:hAnsi="Arial" w:cs="Arial"/>
          <w:bCs/>
          <w:sz w:val="21"/>
          <w:szCs w:val="21"/>
          <w:lang w:eastAsia="es-CO"/>
        </w:rPr>
        <w:t xml:space="preserve"> </w:t>
      </w:r>
    </w:p>
    <w:p w14:paraId="16184AF1" w14:textId="77777777" w:rsidR="003C791D" w:rsidRPr="00DE39EA" w:rsidRDefault="003C791D" w:rsidP="003C791D">
      <w:pPr>
        <w:spacing w:line="276" w:lineRule="auto"/>
        <w:ind w:firstLine="708"/>
        <w:jc w:val="both"/>
        <w:rPr>
          <w:rFonts w:ascii="Arial" w:eastAsia="Times New Roman" w:hAnsi="Arial" w:cs="Arial"/>
          <w:bCs/>
          <w:sz w:val="22"/>
          <w:lang w:eastAsia="es-CO"/>
        </w:rPr>
      </w:pPr>
    </w:p>
    <w:p w14:paraId="3CFFBE6B" w14:textId="77777777" w:rsidR="003C791D" w:rsidRPr="00DE39EA" w:rsidRDefault="003C791D" w:rsidP="003C791D">
      <w:pPr>
        <w:spacing w:line="276" w:lineRule="auto"/>
        <w:ind w:firstLine="708"/>
        <w:jc w:val="both"/>
        <w:rPr>
          <w:rFonts w:ascii="Arial" w:hAnsi="Arial" w:cs="Arial"/>
          <w:sz w:val="22"/>
          <w:lang w:val="es-ES_tradnl"/>
        </w:rPr>
      </w:pPr>
      <w:r w:rsidRPr="00DE39EA">
        <w:rPr>
          <w:rFonts w:ascii="Arial" w:eastAsia="Times New Roman" w:hAnsi="Arial" w:cs="Arial"/>
          <w:bCs/>
          <w:sz w:val="22"/>
          <w:lang w:val="es-ES_tradnl" w:eastAsia="x-none"/>
        </w:rPr>
        <w:t>De igual forma, en Concepto 1738 de 6 de abril de 2006, también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DE39EA">
        <w:rPr>
          <w:rFonts w:ascii="Arial" w:hAnsi="Arial" w:cs="Arial"/>
          <w:vertAlign w:val="superscript"/>
          <w:lang w:val="es-ES_tradnl"/>
        </w:rPr>
        <w:footnoteReference w:id="21"/>
      </w:r>
      <w:r w:rsidRPr="00DE39EA">
        <w:rPr>
          <w:rFonts w:ascii="Arial" w:eastAsia="Times New Roman" w:hAnsi="Arial" w:cs="Arial"/>
          <w:bCs/>
          <w:sz w:val="22"/>
          <w:lang w:val="es-ES_tradnl" w:eastAsia="x-none"/>
        </w:rPr>
        <w:t>.</w:t>
      </w:r>
      <w:r w:rsidRPr="00DE39EA">
        <w:rPr>
          <w:rFonts w:ascii="Arial" w:hAnsi="Arial" w:cs="Arial"/>
          <w:sz w:val="22"/>
          <w:lang w:val="es-ES_tradnl"/>
        </w:rPr>
        <w:t xml:space="preserve"> Sin embargo, debe precisarse el siguiente aspecto que distinguió la Sala de Consulta y Servicio Civil:</w:t>
      </w:r>
    </w:p>
    <w:p w14:paraId="3A38D18F" w14:textId="77777777" w:rsidR="003C791D" w:rsidRPr="00DE39EA" w:rsidRDefault="003C791D" w:rsidP="003C791D">
      <w:pPr>
        <w:spacing w:line="276" w:lineRule="auto"/>
        <w:jc w:val="both"/>
        <w:rPr>
          <w:rFonts w:ascii="Arial" w:hAnsi="Arial" w:cs="Arial"/>
          <w:sz w:val="22"/>
        </w:rPr>
      </w:pPr>
    </w:p>
    <w:p w14:paraId="30CC27C1" w14:textId="77777777" w:rsidR="003C791D" w:rsidRPr="00DE39EA" w:rsidRDefault="003C791D" w:rsidP="003C791D">
      <w:pPr>
        <w:ind w:left="708" w:right="709"/>
        <w:jc w:val="both"/>
        <w:rPr>
          <w:rFonts w:ascii="Arial" w:hAnsi="Arial" w:cs="Arial"/>
          <w:sz w:val="21"/>
          <w:szCs w:val="21"/>
        </w:rPr>
      </w:pPr>
      <w:bookmarkStart w:id="14" w:name="_Hlk75811446"/>
      <w:r w:rsidRPr="00DE39EA">
        <w:rPr>
          <w:rFonts w:ascii="Arial" w:hAnsi="Arial" w:cs="Arial"/>
          <w:sz w:val="21"/>
          <w:szCs w:val="21"/>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w:t>
      </w:r>
      <w:r w:rsidRPr="00DE39EA">
        <w:rPr>
          <w:rFonts w:ascii="Arial" w:hAnsi="Arial" w:cs="Arial"/>
          <w:sz w:val="21"/>
          <w:szCs w:val="21"/>
        </w:rPr>
        <w:lastRenderedPageBreak/>
        <w:t>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14"/>
      <w:r w:rsidRPr="00DE39EA">
        <w:rPr>
          <w:rFonts w:ascii="Arial" w:hAnsi="Arial" w:cs="Arial"/>
          <w:vertAlign w:val="superscript"/>
        </w:rPr>
        <w:footnoteReference w:id="22"/>
      </w:r>
      <w:r w:rsidRPr="00DE39EA">
        <w:rPr>
          <w:rFonts w:ascii="Arial" w:eastAsia="Times New Roman" w:hAnsi="Arial" w:cs="Arial"/>
          <w:bCs/>
          <w:sz w:val="22"/>
          <w:lang w:eastAsia="x-none"/>
        </w:rPr>
        <w:t>.</w:t>
      </w:r>
    </w:p>
    <w:p w14:paraId="231DD18F" w14:textId="77777777" w:rsidR="003C791D" w:rsidRPr="00DE39EA" w:rsidRDefault="003C791D" w:rsidP="003C791D">
      <w:pPr>
        <w:spacing w:line="276" w:lineRule="auto"/>
        <w:jc w:val="both"/>
        <w:rPr>
          <w:rFonts w:ascii="Arial" w:hAnsi="Arial" w:cs="Arial"/>
          <w:sz w:val="22"/>
        </w:rPr>
      </w:pPr>
    </w:p>
    <w:p w14:paraId="49FD2880" w14:textId="77777777" w:rsidR="003C791D" w:rsidRPr="00DE39EA" w:rsidRDefault="003C791D" w:rsidP="003C791D">
      <w:pPr>
        <w:spacing w:after="120" w:line="276" w:lineRule="auto"/>
        <w:ind w:firstLine="709"/>
        <w:jc w:val="both"/>
        <w:rPr>
          <w:rFonts w:ascii="Arial" w:eastAsia="Times New Roman" w:hAnsi="Arial" w:cs="Arial"/>
          <w:bCs/>
          <w:sz w:val="22"/>
          <w:lang w:eastAsia="x-none"/>
        </w:rPr>
      </w:pPr>
      <w:r w:rsidRPr="00DE39EA">
        <w:rPr>
          <w:rFonts w:ascii="Arial" w:hAnsi="Arial" w:cs="Arial"/>
          <w:sz w:val="22"/>
        </w:rPr>
        <w:t>Aplicando este razonamiento,</w:t>
      </w:r>
      <w:bookmarkStart w:id="15" w:name="_Hlk75811096"/>
      <w:r w:rsidRPr="00DE39EA">
        <w:rPr>
          <w:rFonts w:ascii="Arial" w:hAnsi="Arial" w:cs="Arial"/>
          <w:sz w:val="22"/>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15"/>
      <w:r w:rsidRPr="00DE39EA">
        <w:rPr>
          <w:rFonts w:ascii="Arial" w:hAnsi="Arial" w:cs="Arial"/>
          <w:sz w:val="22"/>
        </w:rPr>
        <w:t>»</w:t>
      </w:r>
      <w:r w:rsidRPr="00DE39EA">
        <w:rPr>
          <w:rFonts w:ascii="Arial" w:hAnsi="Arial" w:cs="Arial"/>
          <w:vertAlign w:val="superscript"/>
        </w:rPr>
        <w:t xml:space="preserve"> </w:t>
      </w:r>
      <w:r w:rsidRPr="00DE39EA">
        <w:rPr>
          <w:rFonts w:ascii="Arial" w:hAnsi="Arial" w:cs="Arial"/>
          <w:sz w:val="22"/>
          <w:vertAlign w:val="superscript"/>
        </w:rPr>
        <w:footnoteReference w:id="23"/>
      </w:r>
      <w:r w:rsidRPr="00DE39EA">
        <w:rPr>
          <w:rFonts w:ascii="Arial" w:hAnsi="Arial" w:cs="Arial"/>
          <w:sz w:val="22"/>
        </w:rPr>
        <w:t>.</w:t>
      </w:r>
    </w:p>
    <w:p w14:paraId="10079044" w14:textId="77777777" w:rsidR="003C791D" w:rsidRPr="00DE39EA" w:rsidRDefault="003C791D" w:rsidP="003C791D">
      <w:pPr>
        <w:spacing w:line="276" w:lineRule="auto"/>
        <w:ind w:firstLine="709"/>
        <w:jc w:val="both"/>
        <w:rPr>
          <w:rFonts w:ascii="Arial" w:hAnsi="Arial" w:cs="Arial"/>
          <w:bCs/>
          <w:sz w:val="22"/>
        </w:rPr>
      </w:pPr>
      <w:bookmarkStart w:id="16" w:name="_Hlk77237229"/>
      <w:bookmarkEnd w:id="13"/>
      <w:r w:rsidRPr="00DE39EA">
        <w:rPr>
          <w:rFonts w:ascii="Arial" w:hAnsi="Arial" w:cs="Arial"/>
          <w:sz w:val="22"/>
        </w:rPr>
        <w:t>Por lo tanto, la restricción prevista en la Ley 996 de 200</w:t>
      </w:r>
      <w:bookmarkStart w:id="17" w:name="_Hlk75741539"/>
      <w:r w:rsidRPr="00DE39EA">
        <w:rPr>
          <w:rFonts w:ascii="Arial" w:hAnsi="Arial" w:cs="Arial"/>
          <w:sz w:val="22"/>
        </w:rPr>
        <w:t xml:space="preserve">5, </w:t>
      </w:r>
      <w:r w:rsidRPr="00DE39EA">
        <w:rPr>
          <w:rFonts w:ascii="Arial" w:hAnsi="Arial" w:cs="Arial"/>
          <w:bCs/>
          <w:sz w:val="22"/>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16"/>
    <w:bookmarkEnd w:id="17"/>
    <w:p w14:paraId="0D364B69" w14:textId="77777777" w:rsidR="003C791D" w:rsidRPr="00DE39EA" w:rsidRDefault="003C791D" w:rsidP="003C791D">
      <w:pPr>
        <w:spacing w:line="276" w:lineRule="auto"/>
        <w:jc w:val="both"/>
        <w:rPr>
          <w:rFonts w:ascii="Arial" w:hAnsi="Arial" w:cs="Arial"/>
          <w:sz w:val="22"/>
        </w:rPr>
      </w:pPr>
    </w:p>
    <w:p w14:paraId="76F7B24A" w14:textId="77777777" w:rsidR="003C791D" w:rsidRPr="00DE39EA" w:rsidRDefault="003C791D" w:rsidP="003C791D">
      <w:pPr>
        <w:spacing w:after="200" w:line="276" w:lineRule="auto"/>
        <w:jc w:val="both"/>
        <w:rPr>
          <w:rFonts w:ascii="Arial" w:hAnsi="Arial" w:cs="Arial"/>
          <w:b/>
          <w:bCs/>
          <w:sz w:val="22"/>
        </w:rPr>
      </w:pPr>
      <w:r w:rsidRPr="00DE39EA">
        <w:rPr>
          <w:rFonts w:ascii="Arial" w:hAnsi="Arial" w:cs="Arial"/>
          <w:b/>
          <w:bCs/>
          <w:sz w:val="22"/>
        </w:rPr>
        <w:t xml:space="preserve">2.3. </w:t>
      </w:r>
      <w:r w:rsidRPr="00DE39EA">
        <w:rPr>
          <w:rFonts w:ascii="Arial" w:eastAsia="Times New Roman" w:hAnsi="Arial" w:cs="Arial"/>
          <w:b/>
          <w:bCs/>
          <w:sz w:val="22"/>
          <w:lang w:eastAsia="es-CO"/>
        </w:rPr>
        <w:t xml:space="preserve">Restricciones </w:t>
      </w:r>
      <w:bookmarkStart w:id="18" w:name="_Hlk75643279"/>
      <w:r w:rsidRPr="00DE39EA">
        <w:rPr>
          <w:rFonts w:ascii="Arial" w:eastAsia="Times New Roman" w:hAnsi="Arial" w:cs="Arial"/>
          <w:b/>
          <w:bCs/>
          <w:sz w:val="22"/>
          <w:lang w:eastAsia="es-CO"/>
        </w:rPr>
        <w:t>para la celebración de contratos y convenios interadministrativos en los comicios de cargos de elección popular</w:t>
      </w:r>
      <w:r w:rsidRPr="00DE39EA">
        <w:rPr>
          <w:rFonts w:ascii="Arial" w:eastAsia="Times New Roman" w:hAnsi="Arial" w:cs="Arial"/>
          <w:b/>
          <w:bCs/>
          <w:sz w:val="22"/>
          <w:lang w:val="es-ES_tradnl" w:eastAsia="es-CO"/>
        </w:rPr>
        <w:t>: prohibición del parágrafo del artículo 38 de la Ley 996 de 2005</w:t>
      </w:r>
    </w:p>
    <w:p w14:paraId="177FB519" w14:textId="77777777" w:rsidR="003C791D" w:rsidRPr="00DE39EA" w:rsidRDefault="003C791D" w:rsidP="003C791D">
      <w:pPr>
        <w:tabs>
          <w:tab w:val="left" w:pos="426"/>
        </w:tabs>
        <w:spacing w:after="120" w:line="276" w:lineRule="auto"/>
        <w:jc w:val="both"/>
        <w:rPr>
          <w:rFonts w:ascii="Arial" w:eastAsia="Calibri" w:hAnsi="Arial" w:cs="Arial"/>
          <w:bCs/>
          <w:sz w:val="22"/>
          <w:lang w:val="es-CO"/>
        </w:rPr>
      </w:pPr>
      <w:bookmarkStart w:id="19" w:name="_Hlk101885981"/>
      <w:bookmarkEnd w:id="18"/>
      <w:r w:rsidRPr="00DE39EA">
        <w:rPr>
          <w:rFonts w:ascii="Arial" w:eastAsia="Calibri" w:hAnsi="Arial" w:cs="Arial"/>
          <w:bCs/>
          <w:sz w:val="22"/>
          <w:lang w:val="es-CO"/>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DE39EA">
        <w:rPr>
          <w:rFonts w:ascii="Arial" w:eastAsia="Times New Roman" w:hAnsi="Arial" w:cs="Arial"/>
          <w:bCs/>
          <w:iCs/>
          <w:sz w:val="22"/>
          <w:lang w:eastAsia="x-none"/>
        </w:rPr>
        <w:t xml:space="preserve"> Los convenios o contratos interadministrativos que se restringen en el parágrafo del artículo 38 de la Ley 996 de 2005, son únicamente aquellos </w:t>
      </w:r>
      <w:r w:rsidRPr="00DE39EA">
        <w:rPr>
          <w:rFonts w:ascii="Arial" w:eastAsia="Times New Roman" w:hAnsi="Arial" w:cs="Arial"/>
          <w:bCs/>
          <w:iCs/>
          <w:sz w:val="22"/>
          <w:lang w:eastAsia="x-none"/>
        </w:rPr>
        <w:lastRenderedPageBreak/>
        <w:t>en que se dispone la ejecución de recursos públicos, para evitar que mediante la suscripción de estos se comprometa el erario con fines políticos o partidistas</w:t>
      </w:r>
      <w:bookmarkEnd w:id="19"/>
      <w:r w:rsidRPr="00DE39EA">
        <w:rPr>
          <w:rFonts w:ascii="Arial" w:eastAsia="Times New Roman" w:hAnsi="Arial" w:cs="Arial"/>
          <w:bCs/>
          <w:iCs/>
          <w:sz w:val="22"/>
          <w:vertAlign w:val="superscript"/>
          <w:lang w:eastAsia="x-none"/>
        </w:rPr>
        <w:footnoteReference w:id="24"/>
      </w:r>
      <w:r w:rsidRPr="00DE39EA">
        <w:rPr>
          <w:rFonts w:ascii="Arial" w:eastAsia="Times New Roman" w:hAnsi="Arial" w:cs="Arial"/>
          <w:bCs/>
          <w:iCs/>
          <w:sz w:val="22"/>
          <w:lang w:eastAsia="x-none"/>
        </w:rPr>
        <w:t>.</w:t>
      </w:r>
      <w:r w:rsidRPr="00DE39EA">
        <w:rPr>
          <w:rFonts w:ascii="Arial" w:hAnsi="Arial" w:cs="Arial"/>
        </w:rPr>
        <w:t xml:space="preserve"> </w:t>
      </w:r>
    </w:p>
    <w:p w14:paraId="19534F6F" w14:textId="77777777" w:rsidR="003C791D" w:rsidRPr="00DE39EA" w:rsidRDefault="003C791D" w:rsidP="003C791D">
      <w:pPr>
        <w:widowControl w:val="0"/>
        <w:autoSpaceDE w:val="0"/>
        <w:autoSpaceDN w:val="0"/>
        <w:spacing w:after="120" w:line="276" w:lineRule="auto"/>
        <w:ind w:firstLine="707"/>
        <w:jc w:val="both"/>
        <w:rPr>
          <w:rFonts w:ascii="Arial" w:eastAsia="Arial" w:hAnsi="Arial" w:cs="Arial"/>
          <w:sz w:val="22"/>
          <w:lang w:val="es-ES" w:eastAsia="es-ES" w:bidi="es-ES"/>
        </w:rPr>
      </w:pPr>
      <w:r w:rsidRPr="00DE39EA">
        <w:rPr>
          <w:rFonts w:ascii="Arial" w:eastAsia="Calibri" w:hAnsi="Arial" w:cs="Arial"/>
          <w:bCs/>
          <w:sz w:val="22"/>
          <w:lang w:val="es-CO" w:eastAsia="es-ES" w:bidi="es-ES"/>
        </w:rPr>
        <w:t xml:space="preserve">Ahora bien, </w:t>
      </w:r>
      <w:bookmarkStart w:id="20" w:name="_Hlk78820161"/>
      <w:r w:rsidRPr="00DE39EA">
        <w:rPr>
          <w:rFonts w:ascii="Arial" w:eastAsia="Calibri" w:hAnsi="Arial" w:cs="Arial"/>
          <w:bCs/>
          <w:sz w:val="22"/>
          <w:lang w:val="es-CO" w:eastAsia="es-ES" w:bidi="es-ES"/>
        </w:rPr>
        <w:t xml:space="preserve">para determinar el alcance de la prohibición consagrada por la Ley de Garantías Electorales, conviene precisar la tipología de convenios o contratos interadministrativos. </w:t>
      </w:r>
      <w:r w:rsidRPr="00DE39EA">
        <w:rPr>
          <w:rFonts w:ascii="Arial" w:eastAsia="Arial" w:hAnsi="Arial" w:cs="Arial"/>
          <w:sz w:val="22"/>
          <w:lang w:val="es-ES" w:eastAsia="es-ES" w:bidi="es-ES"/>
        </w:rPr>
        <w:t>Aunque la ley no la definió ni desarrolló, el Decreto 1082 de 2015 califica a los convenios o contratos interadministrativos como aquella contratación entre entidades estatales</w:t>
      </w:r>
      <w:r w:rsidRPr="00DE39EA">
        <w:rPr>
          <w:rFonts w:ascii="Arial" w:eastAsia="Arial" w:hAnsi="Arial" w:cs="Arial"/>
          <w:sz w:val="22"/>
          <w:vertAlign w:val="superscript"/>
          <w:lang w:val="es-ES" w:eastAsia="es-ES" w:bidi="es-ES"/>
        </w:rPr>
        <w:footnoteReference w:id="25"/>
      </w:r>
      <w:r w:rsidRPr="00DE39EA">
        <w:rPr>
          <w:rFonts w:ascii="Arial" w:eastAsia="Arial" w:hAnsi="Arial" w:cs="Arial"/>
          <w:sz w:val="22"/>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DE39EA">
        <w:rPr>
          <w:rFonts w:ascii="Arial" w:eastAsia="Arial" w:hAnsi="Arial" w:cs="Arial"/>
          <w:spacing w:val="-6"/>
          <w:sz w:val="22"/>
          <w:lang w:val="es-ES" w:eastAsia="es-ES" w:bidi="es-ES"/>
        </w:rPr>
        <w:t xml:space="preserve"> </w:t>
      </w:r>
      <w:r w:rsidRPr="00DE39EA">
        <w:rPr>
          <w:rFonts w:ascii="Arial" w:eastAsia="Arial" w:hAnsi="Arial" w:cs="Arial"/>
          <w:sz w:val="22"/>
          <w:lang w:val="es-ES" w:eastAsia="es-ES" w:bidi="es-ES"/>
        </w:rPr>
        <w:t>estatales.</w:t>
      </w:r>
    </w:p>
    <w:p w14:paraId="2C1B1683" w14:textId="77777777" w:rsidR="003C791D" w:rsidRPr="00DE39EA" w:rsidRDefault="003C791D" w:rsidP="003C791D">
      <w:pPr>
        <w:widowControl w:val="0"/>
        <w:autoSpaceDE w:val="0"/>
        <w:autoSpaceDN w:val="0"/>
        <w:spacing w:before="117" w:after="120" w:line="276" w:lineRule="auto"/>
        <w:ind w:firstLine="707"/>
        <w:jc w:val="both"/>
        <w:rPr>
          <w:rFonts w:ascii="Arial" w:eastAsia="Arial" w:hAnsi="Arial" w:cs="Arial"/>
          <w:sz w:val="22"/>
          <w:lang w:val="es-ES" w:eastAsia="es-ES" w:bidi="es-ES"/>
        </w:rPr>
      </w:pPr>
      <w:bookmarkStart w:id="21" w:name="_Hlk78820654"/>
      <w:bookmarkEnd w:id="20"/>
      <w:r w:rsidRPr="00DE39EA">
        <w:rPr>
          <w:rFonts w:ascii="Arial" w:eastAsia="Arial" w:hAnsi="Arial" w:cs="Arial"/>
          <w:sz w:val="22"/>
          <w:lang w:val="es-ES" w:eastAsia="es-ES" w:bidi="es-ES"/>
        </w:rPr>
        <w:t>Si bien los contratos o convenios interadministrativos están previstos en la Ley 80 de 1993, en la Ley 1150 de 2007 y en el Decreto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21"/>
    <w:p w14:paraId="263B7A7B" w14:textId="77777777" w:rsidR="003C791D" w:rsidRPr="00DE39EA" w:rsidRDefault="003C791D" w:rsidP="003C791D">
      <w:pPr>
        <w:widowControl w:val="0"/>
        <w:autoSpaceDE w:val="0"/>
        <w:autoSpaceDN w:val="0"/>
        <w:spacing w:before="121" w:after="120" w:line="276" w:lineRule="auto"/>
        <w:ind w:firstLine="707"/>
        <w:jc w:val="both"/>
        <w:rPr>
          <w:rFonts w:ascii="Arial" w:eastAsia="Arial" w:hAnsi="Arial" w:cs="Arial"/>
          <w:sz w:val="22"/>
          <w:lang w:val="es-ES" w:eastAsia="es-ES" w:bidi="es-ES"/>
        </w:rPr>
      </w:pPr>
      <w:r w:rsidRPr="00DE39EA">
        <w:rPr>
          <w:rFonts w:ascii="Arial" w:eastAsia="Arial" w:hAnsi="Arial" w:cs="Arial"/>
          <w:sz w:val="22"/>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DE39EA">
        <w:rPr>
          <w:rFonts w:ascii="Arial" w:eastAsia="Arial" w:hAnsi="Arial" w:cs="Arial"/>
          <w:sz w:val="22"/>
          <w:vertAlign w:val="superscript"/>
          <w:lang w:val="es-ES" w:eastAsia="es-ES" w:bidi="es-ES"/>
        </w:rPr>
        <w:footnoteReference w:id="26"/>
      </w:r>
      <w:r w:rsidRPr="00DE39EA">
        <w:rPr>
          <w:rFonts w:ascii="Arial" w:eastAsia="Arial" w:hAnsi="Arial" w:cs="Arial"/>
          <w:sz w:val="22"/>
          <w:lang w:val="es-ES" w:eastAsia="es-ES" w:bidi="es-ES"/>
        </w:rPr>
        <w:t>. Nótese que, en este caso, lo que cambia es la modalidad de selección y no la naturaleza de contrato</w:t>
      </w:r>
      <w:r w:rsidRPr="00DE39EA">
        <w:rPr>
          <w:rFonts w:ascii="Arial" w:eastAsia="Arial" w:hAnsi="Arial" w:cs="Arial"/>
          <w:spacing w:val="-18"/>
          <w:sz w:val="22"/>
          <w:lang w:val="es-ES" w:eastAsia="es-ES" w:bidi="es-ES"/>
        </w:rPr>
        <w:t xml:space="preserve"> </w:t>
      </w:r>
      <w:r w:rsidRPr="00DE39EA">
        <w:rPr>
          <w:rFonts w:ascii="Arial" w:eastAsia="Arial" w:hAnsi="Arial" w:cs="Arial"/>
          <w:sz w:val="22"/>
          <w:lang w:val="es-ES" w:eastAsia="es-ES" w:bidi="es-ES"/>
        </w:rPr>
        <w:t>interadministrativo.</w:t>
      </w:r>
    </w:p>
    <w:p w14:paraId="52D680D2" w14:textId="77777777" w:rsidR="003C791D" w:rsidRPr="00DE39EA" w:rsidRDefault="003C791D" w:rsidP="003C791D">
      <w:pPr>
        <w:widowControl w:val="0"/>
        <w:autoSpaceDE w:val="0"/>
        <w:autoSpaceDN w:val="0"/>
        <w:spacing w:before="114" w:line="276" w:lineRule="auto"/>
        <w:ind w:firstLine="707"/>
        <w:jc w:val="both"/>
        <w:rPr>
          <w:rFonts w:ascii="Arial" w:eastAsia="Arial" w:hAnsi="Arial" w:cs="Arial"/>
          <w:sz w:val="22"/>
          <w:lang w:val="es-ES" w:eastAsia="es-ES" w:bidi="es-ES"/>
        </w:rPr>
      </w:pPr>
      <w:r w:rsidRPr="00DE39EA">
        <w:rPr>
          <w:rFonts w:ascii="Arial" w:eastAsia="Arial" w:hAnsi="Arial" w:cs="Arial"/>
          <w:sz w:val="22"/>
          <w:lang w:val="es-ES" w:eastAsia="es-ES" w:bidi="es-ES"/>
        </w:rPr>
        <w:lastRenderedPageBreak/>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DE39EA">
        <w:rPr>
          <w:rFonts w:ascii="Arial" w:eastAsia="Arial" w:hAnsi="Arial" w:cs="Arial"/>
          <w:spacing w:val="-13"/>
          <w:sz w:val="22"/>
          <w:lang w:val="es-ES" w:eastAsia="es-ES" w:bidi="es-ES"/>
        </w:rPr>
        <w:t xml:space="preserve"> </w:t>
      </w:r>
      <w:r w:rsidRPr="00DE39EA">
        <w:rPr>
          <w:rFonts w:ascii="Arial" w:eastAsia="Arial" w:hAnsi="Arial" w:cs="Arial"/>
          <w:sz w:val="22"/>
          <w:lang w:val="es-ES" w:eastAsia="es-ES" w:bidi="es-ES"/>
        </w:rPr>
        <w:t>que:</w:t>
      </w:r>
    </w:p>
    <w:p w14:paraId="0A18E4B7" w14:textId="77777777" w:rsidR="003C791D" w:rsidRPr="00DE39EA" w:rsidRDefault="003C791D" w:rsidP="003C791D">
      <w:pPr>
        <w:widowControl w:val="0"/>
        <w:autoSpaceDE w:val="0"/>
        <w:autoSpaceDN w:val="0"/>
        <w:spacing w:line="276" w:lineRule="auto"/>
        <w:ind w:firstLine="707"/>
        <w:jc w:val="both"/>
        <w:rPr>
          <w:rFonts w:ascii="Arial" w:eastAsia="Arial" w:hAnsi="Arial" w:cs="Arial"/>
          <w:sz w:val="22"/>
          <w:lang w:val="es-ES" w:eastAsia="es-ES" w:bidi="es-ES"/>
        </w:rPr>
      </w:pPr>
    </w:p>
    <w:p w14:paraId="780AED96" w14:textId="77777777" w:rsidR="003C791D" w:rsidRPr="00DE39EA" w:rsidRDefault="003C791D" w:rsidP="003C791D">
      <w:pPr>
        <w:ind w:left="709" w:right="709"/>
        <w:jc w:val="both"/>
        <w:rPr>
          <w:rFonts w:ascii="Arial" w:hAnsi="Arial" w:cs="Arial"/>
          <w:sz w:val="21"/>
        </w:rPr>
      </w:pPr>
      <w:r w:rsidRPr="00DE39EA">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DE39EA">
        <w:rPr>
          <w:rFonts w:ascii="Arial" w:hAnsi="Arial" w:cs="Arial"/>
          <w:sz w:val="21"/>
          <w:vertAlign w:val="superscript"/>
        </w:rPr>
        <w:footnoteReference w:id="27"/>
      </w:r>
      <w:r w:rsidRPr="00DE39EA">
        <w:rPr>
          <w:rFonts w:ascii="Arial" w:hAnsi="Arial" w:cs="Arial"/>
          <w:sz w:val="21"/>
        </w:rPr>
        <w:t>.</w:t>
      </w:r>
    </w:p>
    <w:p w14:paraId="56497AAB" w14:textId="77777777" w:rsidR="003C791D" w:rsidRPr="00DE39EA" w:rsidRDefault="003C791D" w:rsidP="003C791D">
      <w:pPr>
        <w:spacing w:line="276" w:lineRule="auto"/>
        <w:ind w:left="709" w:right="709"/>
        <w:jc w:val="both"/>
        <w:rPr>
          <w:sz w:val="22"/>
        </w:rPr>
      </w:pPr>
    </w:p>
    <w:p w14:paraId="5BF3D09B" w14:textId="77777777" w:rsidR="003C791D" w:rsidRPr="00DE39EA" w:rsidRDefault="003C791D" w:rsidP="003C791D">
      <w:pPr>
        <w:widowControl w:val="0"/>
        <w:autoSpaceDE w:val="0"/>
        <w:autoSpaceDN w:val="0"/>
        <w:spacing w:after="120" w:line="276" w:lineRule="auto"/>
        <w:ind w:firstLine="707"/>
        <w:jc w:val="both"/>
        <w:rPr>
          <w:rFonts w:ascii="Arial" w:eastAsia="Arial" w:hAnsi="Arial" w:cs="Arial"/>
          <w:sz w:val="22"/>
          <w:lang w:val="es-ES" w:eastAsia="es-ES" w:bidi="es-ES"/>
        </w:rPr>
      </w:pPr>
      <w:r w:rsidRPr="00DE39EA">
        <w:rPr>
          <w:rFonts w:ascii="Arial" w:eastAsia="Arial" w:hAnsi="Arial" w:cs="Arial"/>
          <w:sz w:val="22"/>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3396A606" w14:textId="77777777" w:rsidR="003C791D" w:rsidRPr="00DE39EA" w:rsidRDefault="003C791D" w:rsidP="003C791D">
      <w:pPr>
        <w:widowControl w:val="0"/>
        <w:autoSpaceDE w:val="0"/>
        <w:autoSpaceDN w:val="0"/>
        <w:spacing w:before="119" w:after="120" w:line="276" w:lineRule="auto"/>
        <w:ind w:firstLine="707"/>
        <w:jc w:val="both"/>
        <w:rPr>
          <w:rFonts w:ascii="Arial" w:eastAsia="Arial" w:hAnsi="Arial" w:cs="Arial"/>
          <w:sz w:val="22"/>
          <w:lang w:val="es-ES" w:eastAsia="es-ES" w:bidi="es-ES"/>
        </w:rPr>
      </w:pPr>
      <w:r w:rsidRPr="00DE39EA">
        <w:rPr>
          <w:rFonts w:ascii="Arial" w:eastAsia="Arial" w:hAnsi="Arial" w:cs="Arial"/>
          <w:sz w:val="22"/>
          <w:lang w:val="es-ES" w:eastAsia="es-ES" w:bidi="es-ES"/>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w:t>
      </w:r>
      <w:r w:rsidRPr="00DE39EA">
        <w:rPr>
          <w:rFonts w:ascii="Arial" w:eastAsia="Arial" w:hAnsi="Arial" w:cs="Arial"/>
          <w:sz w:val="22"/>
          <w:lang w:val="es-ES" w:eastAsia="es-ES" w:bidi="es-ES"/>
        </w:rPr>
        <w:lastRenderedPageBreak/>
        <w:t>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DE39EA">
        <w:rPr>
          <w:rFonts w:ascii="Arial" w:eastAsia="Arial" w:hAnsi="Arial" w:cs="Arial"/>
          <w:spacing w:val="-3"/>
          <w:sz w:val="22"/>
          <w:lang w:val="es-ES" w:eastAsia="es-ES" w:bidi="es-ES"/>
        </w:rPr>
        <w:t xml:space="preserve"> </w:t>
      </w:r>
      <w:r w:rsidRPr="00DE39EA">
        <w:rPr>
          <w:rFonts w:ascii="Arial" w:eastAsia="Arial" w:hAnsi="Arial" w:cs="Arial"/>
          <w:sz w:val="22"/>
          <w:lang w:val="es-ES" w:eastAsia="es-ES" w:bidi="es-ES"/>
        </w:rPr>
        <w:t>estatales.</w:t>
      </w:r>
    </w:p>
    <w:p w14:paraId="356BF43F" w14:textId="77777777" w:rsidR="003C791D" w:rsidRPr="00DE39EA" w:rsidRDefault="003C791D" w:rsidP="003C791D">
      <w:pPr>
        <w:widowControl w:val="0"/>
        <w:autoSpaceDE w:val="0"/>
        <w:autoSpaceDN w:val="0"/>
        <w:spacing w:before="120" w:after="200" w:line="276" w:lineRule="auto"/>
        <w:ind w:firstLine="709"/>
        <w:jc w:val="both"/>
        <w:rPr>
          <w:rFonts w:ascii="Arial" w:eastAsia="Arial" w:hAnsi="Arial" w:cs="Arial"/>
          <w:sz w:val="22"/>
          <w:lang w:val="es-ES" w:eastAsia="es-ES" w:bidi="es-ES"/>
        </w:rPr>
      </w:pPr>
      <w:r w:rsidRPr="00DE39EA">
        <w:rPr>
          <w:rFonts w:ascii="Arial" w:eastAsia="Arial" w:hAnsi="Arial" w:cs="Arial"/>
          <w:sz w:val="22"/>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DE39EA">
        <w:rPr>
          <w:rFonts w:ascii="Arial" w:eastAsia="Arial" w:hAnsi="Arial" w:cs="Arial"/>
          <w:spacing w:val="-4"/>
          <w:sz w:val="22"/>
          <w:lang w:val="es-ES" w:eastAsia="es-ES" w:bidi="es-ES"/>
        </w:rPr>
        <w:t xml:space="preserve"> </w:t>
      </w:r>
      <w:r w:rsidRPr="00DE39EA">
        <w:rPr>
          <w:rFonts w:ascii="Arial" w:eastAsia="Arial" w:hAnsi="Arial" w:cs="Arial"/>
          <w:sz w:val="22"/>
          <w:lang w:val="es-ES" w:eastAsia="es-ES" w:bidi="es-ES"/>
        </w:rPr>
        <w:t>estatales.</w:t>
      </w:r>
    </w:p>
    <w:p w14:paraId="0985D3FB" w14:textId="77777777" w:rsidR="003C791D" w:rsidRPr="00DE39EA" w:rsidRDefault="003C791D" w:rsidP="003C791D">
      <w:pPr>
        <w:widowControl w:val="0"/>
        <w:autoSpaceDE w:val="0"/>
        <w:autoSpaceDN w:val="0"/>
        <w:spacing w:before="122" w:after="120" w:line="276" w:lineRule="auto"/>
        <w:ind w:firstLine="708"/>
        <w:jc w:val="both"/>
        <w:rPr>
          <w:rFonts w:ascii="Arial" w:eastAsia="Arial" w:hAnsi="Arial" w:cs="Arial"/>
          <w:sz w:val="22"/>
          <w:lang w:val="es-ES" w:eastAsia="es-ES" w:bidi="es-ES"/>
        </w:rPr>
      </w:pPr>
      <w:r w:rsidRPr="00DE39EA">
        <w:rPr>
          <w:rFonts w:ascii="Arial" w:eastAsia="Arial" w:hAnsi="Arial" w:cs="Arial"/>
          <w:sz w:val="22"/>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6E21F569" w14:textId="77777777" w:rsidR="003C791D" w:rsidRPr="00DE39EA" w:rsidRDefault="003C791D" w:rsidP="003C791D">
      <w:pPr>
        <w:widowControl w:val="0"/>
        <w:autoSpaceDE w:val="0"/>
        <w:autoSpaceDN w:val="0"/>
        <w:spacing w:line="276" w:lineRule="auto"/>
        <w:ind w:firstLine="708"/>
        <w:jc w:val="both"/>
        <w:rPr>
          <w:rFonts w:ascii="Arial" w:eastAsia="Calibri" w:hAnsi="Arial" w:cs="Arial"/>
          <w:bCs/>
          <w:sz w:val="22"/>
          <w:lang w:val="es-CO" w:eastAsia="es-ES" w:bidi="es-ES"/>
        </w:rPr>
      </w:pPr>
      <w:r w:rsidRPr="00DE39EA">
        <w:rPr>
          <w:rFonts w:ascii="Arial" w:eastAsia="Arial" w:hAnsi="Arial" w:cs="Arial"/>
          <w:sz w:val="22"/>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DE39EA">
        <w:rPr>
          <w:rFonts w:ascii="Arial" w:eastAsia="Arial" w:hAnsi="Arial" w:cs="Arial"/>
          <w:spacing w:val="-4"/>
          <w:sz w:val="22"/>
          <w:lang w:val="es-ES" w:eastAsia="es-ES" w:bidi="es-ES"/>
        </w:rPr>
        <w:t xml:space="preserve"> </w:t>
      </w:r>
      <w:r w:rsidRPr="00DE39EA">
        <w:rPr>
          <w:rFonts w:ascii="Arial" w:eastAsia="Arial" w:hAnsi="Arial" w:cs="Arial"/>
          <w:sz w:val="22"/>
          <w:lang w:val="es-ES" w:eastAsia="es-ES" w:bidi="es-ES"/>
        </w:rPr>
        <w:t>[…]»</w:t>
      </w:r>
      <w:r w:rsidRPr="00DE39EA">
        <w:rPr>
          <w:rFonts w:ascii="Arial" w:eastAsia="Arial" w:hAnsi="Arial" w:cs="Arial"/>
          <w:sz w:val="22"/>
          <w:vertAlign w:val="superscript"/>
          <w:lang w:val="es-ES" w:eastAsia="es-ES" w:bidi="es-ES"/>
        </w:rPr>
        <w:footnoteReference w:id="28"/>
      </w:r>
      <w:r w:rsidRPr="00DE39EA">
        <w:rPr>
          <w:rFonts w:ascii="Arial" w:eastAsia="Arial" w:hAnsi="Arial" w:cs="Arial"/>
          <w:sz w:val="22"/>
          <w:lang w:val="es-ES" w:eastAsia="es-ES" w:bidi="es-ES"/>
        </w:rPr>
        <w:t>.</w:t>
      </w:r>
      <w:bookmarkStart w:id="22" w:name="_Hlk77171241"/>
    </w:p>
    <w:p w14:paraId="27D0A3F3" w14:textId="77777777" w:rsidR="003C791D" w:rsidRPr="00DE39EA" w:rsidRDefault="003C791D" w:rsidP="003C791D">
      <w:pPr>
        <w:widowControl w:val="0"/>
        <w:autoSpaceDE w:val="0"/>
        <w:autoSpaceDN w:val="0"/>
        <w:spacing w:before="122" w:after="200" w:line="276" w:lineRule="auto"/>
        <w:ind w:firstLine="709"/>
        <w:jc w:val="both"/>
        <w:rPr>
          <w:rFonts w:ascii="Arial" w:eastAsia="Arial" w:hAnsi="Arial" w:cs="Arial"/>
          <w:sz w:val="22"/>
          <w:lang w:val="es-ES" w:eastAsia="es-ES" w:bidi="es-ES"/>
        </w:rPr>
      </w:pPr>
      <w:r w:rsidRPr="00DE39EA">
        <w:rPr>
          <w:rFonts w:ascii="Arial" w:eastAsia="Arial" w:hAnsi="Arial" w:cs="Arial"/>
          <w:sz w:val="22"/>
          <w:lang w:val="es-ES" w:eastAsia="es-ES" w:bidi="es-ES"/>
        </w:rPr>
        <w:t xml:space="preserve">Sin perjuicio de lo anterior, vale la pena tener en cuenta que cierto sector de la doctrina y la jurisprudencia han establecido algunas diferencias o caracterización de los </w:t>
      </w:r>
      <w:r w:rsidRPr="00DE39EA">
        <w:rPr>
          <w:rFonts w:ascii="Arial" w:eastAsia="Arial" w:hAnsi="Arial" w:cs="Arial"/>
          <w:sz w:val="22"/>
          <w:lang w:val="es-ES" w:eastAsia="es-ES" w:bidi="es-ES"/>
        </w:rPr>
        <w:lastRenderedPageBreak/>
        <w:t>contratos interadministrativos frente a los convenios interadministrativos de que trata el artículo 95 de la Ley 489 de 1998. Por ejemplo, el Consejo de Estado en sentencia del 14 de junio de 2019 expresó:</w:t>
      </w:r>
    </w:p>
    <w:p w14:paraId="0A2E5CD9" w14:textId="77777777" w:rsidR="003C791D" w:rsidRPr="00DE39EA" w:rsidRDefault="003C791D" w:rsidP="003C791D">
      <w:pPr>
        <w:spacing w:after="120"/>
        <w:ind w:left="709" w:right="709"/>
        <w:jc w:val="both"/>
        <w:rPr>
          <w:rFonts w:ascii="Arial" w:hAnsi="Arial" w:cs="Arial"/>
          <w:sz w:val="21"/>
          <w:szCs w:val="21"/>
          <w:lang w:val="es-ES_tradnl"/>
        </w:rPr>
      </w:pPr>
      <w:r w:rsidRPr="00DE39EA">
        <w:rPr>
          <w:rFonts w:ascii="Arial" w:hAnsi="Arial" w:cs="Arial"/>
          <w:sz w:val="21"/>
          <w:szCs w:val="21"/>
          <w:lang w:val="es-ES_tradnl"/>
        </w:rPr>
        <w:t>La Sala de Consulta y Servicio Civil</w:t>
      </w:r>
      <w:r w:rsidRPr="00DE39EA">
        <w:rPr>
          <w:rFonts w:ascii="Arial" w:hAnsi="Arial" w:cs="Arial"/>
          <w:sz w:val="21"/>
          <w:szCs w:val="21"/>
          <w:vertAlign w:val="superscript"/>
          <w:lang w:val="es-ES_tradnl"/>
        </w:rPr>
        <w:footnoteReference w:id="29"/>
      </w:r>
      <w:r w:rsidRPr="00DE39EA">
        <w:rPr>
          <w:rFonts w:ascii="Arial" w:hAnsi="Arial" w:cs="Arial"/>
          <w:sz w:val="21"/>
          <w:szCs w:val="21"/>
          <w:lang w:val="es-ES_tradnl"/>
        </w:rPr>
        <w:t xml:space="preserve"> de esta Corporación se ha referido a los </w:t>
      </w:r>
      <w:r w:rsidRPr="00DE39EA">
        <w:rPr>
          <w:rFonts w:ascii="Arial" w:hAnsi="Arial" w:cs="Arial"/>
          <w:i/>
          <w:sz w:val="21"/>
          <w:szCs w:val="21"/>
          <w:lang w:val="es-ES_tradnl"/>
        </w:rPr>
        <w:t>“convenios interadministrativos”</w:t>
      </w:r>
      <w:r w:rsidRPr="00DE39EA">
        <w:rPr>
          <w:rFonts w:ascii="Arial" w:hAnsi="Arial" w:cs="Arial"/>
          <w:sz w:val="21"/>
          <w:szCs w:val="21"/>
          <w:lang w:val="es-ES_tradnl"/>
        </w:rPr>
        <w:t xml:space="preserve"> a los cuales alude el artículo 95 de la Ley 489 de 1998, calificándolos de </w:t>
      </w:r>
      <w:r w:rsidRPr="00DE39EA">
        <w:rPr>
          <w:rFonts w:ascii="Arial" w:hAnsi="Arial" w:cs="Arial"/>
          <w:i/>
          <w:sz w:val="21"/>
          <w:szCs w:val="21"/>
          <w:lang w:val="es-ES_tradnl"/>
        </w:rPr>
        <w:t xml:space="preserve">“puros” </w:t>
      </w:r>
      <w:r w:rsidRPr="00DE39EA">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DE39EA">
        <w:rPr>
          <w:rFonts w:ascii="Arial" w:hAnsi="Arial" w:cs="Arial"/>
          <w:i/>
          <w:sz w:val="21"/>
          <w:szCs w:val="21"/>
          <w:lang w:val="es-ES_tradnl"/>
        </w:rPr>
        <w:t>“intercambio patrimonial”</w:t>
      </w:r>
      <w:r w:rsidRPr="00DE39EA">
        <w:rPr>
          <w:rFonts w:ascii="Arial" w:hAnsi="Arial" w:cs="Arial"/>
          <w:sz w:val="21"/>
          <w:szCs w:val="21"/>
          <w:lang w:val="es-ES_tradnl"/>
        </w:rPr>
        <w:t>. Sin perjuicio de lo anterior, en otra oportunidad, la misma Sala</w:t>
      </w:r>
      <w:r w:rsidRPr="00DE39EA">
        <w:rPr>
          <w:rFonts w:ascii="Arial" w:hAnsi="Arial" w:cs="Arial"/>
          <w:sz w:val="21"/>
          <w:szCs w:val="21"/>
          <w:vertAlign w:val="superscript"/>
          <w:lang w:val="es-ES_tradnl"/>
        </w:rPr>
        <w:footnoteReference w:id="30"/>
      </w:r>
      <w:r w:rsidRPr="00DE39EA">
        <w:rPr>
          <w:rFonts w:ascii="Arial" w:hAnsi="Arial" w:cs="Arial"/>
          <w:sz w:val="21"/>
          <w:szCs w:val="21"/>
          <w:lang w:val="es-ES_tradnl"/>
        </w:rPr>
        <w:t xml:space="preserve"> había indicado que, si bien en dichos convenios no se daba un </w:t>
      </w:r>
      <w:r w:rsidRPr="00DE39EA">
        <w:rPr>
          <w:rFonts w:ascii="Arial" w:hAnsi="Arial" w:cs="Arial"/>
          <w:i/>
          <w:sz w:val="21"/>
          <w:szCs w:val="21"/>
          <w:lang w:val="es-ES_tradnl"/>
        </w:rPr>
        <w:t>“verdadero intercambio de bienes o servicios (contrato conmutativo)”</w:t>
      </w:r>
      <w:r w:rsidRPr="00DE39EA">
        <w:rPr>
          <w:rFonts w:ascii="Arial" w:hAnsi="Arial" w:cs="Arial"/>
          <w:sz w:val="21"/>
          <w:szCs w:val="21"/>
          <w:lang w:val="es-ES_tradnl"/>
        </w:rPr>
        <w:t>, ello no impedía que se conviniera una remuneración a cargo de alguna(s) entidad(es).</w:t>
      </w:r>
    </w:p>
    <w:p w14:paraId="2FACB3D2" w14:textId="77777777" w:rsidR="003C791D" w:rsidRPr="00DE39EA" w:rsidRDefault="003C791D" w:rsidP="003C791D">
      <w:pPr>
        <w:widowControl w:val="0"/>
        <w:autoSpaceDE w:val="0"/>
        <w:autoSpaceDN w:val="0"/>
        <w:ind w:left="709" w:right="709"/>
        <w:jc w:val="both"/>
        <w:rPr>
          <w:rFonts w:ascii="Arial" w:eastAsia="Arial" w:hAnsi="Arial" w:cs="Arial"/>
          <w:sz w:val="21"/>
          <w:szCs w:val="21"/>
          <w:lang w:val="es-ES" w:eastAsia="es-ES" w:bidi="es-ES"/>
        </w:rPr>
      </w:pPr>
      <w:r w:rsidRPr="00DE39EA">
        <w:rPr>
          <w:rFonts w:ascii="Arial" w:eastAsia="Arial" w:hAnsi="Arial" w:cs="Arial"/>
          <w:sz w:val="21"/>
          <w:szCs w:val="21"/>
          <w:lang w:val="es-ES_tradnl" w:eastAsia="es-ES" w:bidi="es-ES"/>
        </w:rPr>
        <w:t xml:space="preserve">Lo expuesto evidencia que, en general, las interpretaciones en torno a los </w:t>
      </w:r>
      <w:r w:rsidRPr="00DE39EA">
        <w:rPr>
          <w:rFonts w:ascii="Arial" w:eastAsia="Arial" w:hAnsi="Arial" w:cs="Arial"/>
          <w:i/>
          <w:sz w:val="21"/>
          <w:szCs w:val="21"/>
          <w:lang w:val="es-ES_tradnl" w:eastAsia="es-ES" w:bidi="es-ES"/>
        </w:rPr>
        <w:t>“convenios interadministrativos”</w:t>
      </w:r>
      <w:r w:rsidRPr="00DE39EA">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DE39EA">
        <w:rPr>
          <w:rFonts w:ascii="Arial" w:eastAsia="Arial" w:hAnsi="Arial" w:cs="Arial"/>
          <w:sz w:val="21"/>
          <w:szCs w:val="21"/>
          <w:vertAlign w:val="superscript"/>
          <w:lang w:val="es-ES_tradnl" w:eastAsia="es-ES" w:bidi="es-ES"/>
        </w:rPr>
        <w:footnoteReference w:id="31"/>
      </w:r>
      <w:r w:rsidRPr="00DE39EA">
        <w:rPr>
          <w:rFonts w:ascii="Arial" w:eastAsia="Arial" w:hAnsi="Arial" w:cs="Arial"/>
          <w:sz w:val="21"/>
          <w:szCs w:val="21"/>
          <w:vertAlign w:val="superscript"/>
          <w:lang w:val="es-ES_tradnl" w:eastAsia="es-ES" w:bidi="es-ES"/>
        </w:rPr>
        <w:footnoteReference w:id="32"/>
      </w:r>
      <w:r w:rsidRPr="00DE39EA">
        <w:rPr>
          <w:rFonts w:ascii="Arial" w:eastAsia="Arial" w:hAnsi="Arial" w:cs="Arial"/>
          <w:sz w:val="21"/>
          <w:szCs w:val="21"/>
          <w:lang w:val="es-ES_tradnl" w:eastAsia="es-ES" w:bidi="es-ES"/>
        </w:rPr>
        <w:t>.</w:t>
      </w:r>
    </w:p>
    <w:p w14:paraId="0F7B419B" w14:textId="77777777" w:rsidR="003C791D" w:rsidRPr="00DE39EA" w:rsidRDefault="003C791D" w:rsidP="003C791D">
      <w:pPr>
        <w:widowControl w:val="0"/>
        <w:autoSpaceDE w:val="0"/>
        <w:autoSpaceDN w:val="0"/>
        <w:spacing w:line="276" w:lineRule="auto"/>
        <w:jc w:val="both"/>
        <w:rPr>
          <w:rFonts w:ascii="Arial" w:eastAsia="Arial" w:hAnsi="Arial" w:cs="Arial"/>
          <w:sz w:val="22"/>
          <w:lang w:val="es-ES" w:eastAsia="es-ES" w:bidi="es-ES"/>
        </w:rPr>
      </w:pPr>
    </w:p>
    <w:p w14:paraId="06908146" w14:textId="77777777" w:rsidR="003C791D" w:rsidRPr="00DE39EA" w:rsidRDefault="003C791D" w:rsidP="003C791D">
      <w:pPr>
        <w:widowControl w:val="0"/>
        <w:autoSpaceDE w:val="0"/>
        <w:autoSpaceDN w:val="0"/>
        <w:spacing w:after="120" w:line="276" w:lineRule="auto"/>
        <w:jc w:val="both"/>
        <w:rPr>
          <w:rFonts w:ascii="Arial" w:eastAsia="Arial" w:hAnsi="Arial" w:cs="Arial"/>
          <w:sz w:val="22"/>
          <w:lang w:val="es-ES" w:eastAsia="es-ES" w:bidi="es-ES"/>
        </w:rPr>
      </w:pPr>
      <w:r w:rsidRPr="00DE39EA">
        <w:rPr>
          <w:rFonts w:ascii="Arial" w:eastAsia="Arial" w:hAnsi="Arial" w:cs="Arial"/>
          <w:sz w:val="22"/>
          <w:lang w:val="es-ES" w:eastAsia="es-ES" w:bidi="es-ES"/>
        </w:rPr>
        <w:tab/>
        <w:t>Vale la pena reiterar que el legislador y el ordenamiento jurídico, en general, en distintas ocasiones utiliza de forma indistinta los conceptos de contrato o convenio para referirse a la misma institución jurídica</w:t>
      </w:r>
      <w:r w:rsidRPr="00DE39EA">
        <w:rPr>
          <w:rFonts w:ascii="Arial" w:eastAsia="Arial" w:hAnsi="Arial" w:cs="Arial"/>
          <w:sz w:val="22"/>
          <w:vertAlign w:val="superscript"/>
          <w:lang w:val="es-ES" w:eastAsia="es-ES" w:bidi="es-ES"/>
        </w:rPr>
        <w:footnoteReference w:id="33"/>
      </w:r>
      <w:r w:rsidRPr="00DE39EA">
        <w:rPr>
          <w:rFonts w:ascii="Arial" w:eastAsia="Arial" w:hAnsi="Arial" w:cs="Arial"/>
          <w:sz w:val="22"/>
          <w:lang w:val="es-ES" w:eastAsia="es-ES" w:bidi="es-ES"/>
        </w:rPr>
        <w:t xml:space="preserve">. Incluso la Corte Constitucional fundamenta la </w:t>
      </w:r>
      <w:r w:rsidRPr="00DE39EA">
        <w:rPr>
          <w:rFonts w:ascii="Arial" w:eastAsia="Arial" w:hAnsi="Arial" w:cs="Arial"/>
          <w:sz w:val="22"/>
          <w:lang w:val="es-ES" w:eastAsia="es-ES" w:bidi="es-ES"/>
        </w:rPr>
        <w:lastRenderedPageBreak/>
        <w:t>posibilidad de celebrar convenios interadministrativos de forma directa, con fundamento en la causal establecida en la Ley 1150 de 2007 respecto a los contratos interadministrativos</w:t>
      </w:r>
      <w:r w:rsidRPr="00DE39EA">
        <w:rPr>
          <w:rFonts w:ascii="Arial" w:eastAsia="Arial" w:hAnsi="Arial" w:cs="Arial"/>
          <w:sz w:val="22"/>
          <w:vertAlign w:val="superscript"/>
          <w:lang w:val="es-ES" w:eastAsia="es-ES" w:bidi="es-ES"/>
        </w:rPr>
        <w:footnoteReference w:id="34"/>
      </w:r>
      <w:r w:rsidRPr="00DE39EA">
        <w:rPr>
          <w:rFonts w:ascii="Arial" w:eastAsia="Arial" w:hAnsi="Arial" w:cs="Arial"/>
          <w:sz w:val="22"/>
          <w:lang w:val="es-ES" w:eastAsia="es-ES" w:bidi="es-ES"/>
        </w:rPr>
        <w:t>.</w:t>
      </w:r>
    </w:p>
    <w:p w14:paraId="70BC031D" w14:textId="77777777" w:rsidR="003C791D" w:rsidRPr="00DE39EA" w:rsidRDefault="003C791D" w:rsidP="003C791D">
      <w:pPr>
        <w:widowControl w:val="0"/>
        <w:autoSpaceDE w:val="0"/>
        <w:autoSpaceDN w:val="0"/>
        <w:spacing w:line="276" w:lineRule="auto"/>
        <w:jc w:val="both"/>
        <w:rPr>
          <w:rFonts w:ascii="Arial" w:eastAsia="Arial" w:hAnsi="Arial" w:cs="Arial"/>
          <w:sz w:val="22"/>
          <w:lang w:val="es-ES" w:eastAsia="es-ES" w:bidi="es-ES"/>
        </w:rPr>
      </w:pPr>
      <w:r w:rsidRPr="00DE39EA">
        <w:rPr>
          <w:rFonts w:ascii="Arial" w:eastAsia="Arial" w:hAnsi="Arial" w:cs="Arial"/>
          <w:sz w:val="22"/>
          <w:lang w:val="es-ES" w:eastAsia="es-ES" w:bidi="es-ES"/>
        </w:rPr>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77D06193" w14:textId="77777777" w:rsidR="003C791D" w:rsidRPr="00DE39EA" w:rsidRDefault="003C791D" w:rsidP="003C791D">
      <w:pPr>
        <w:widowControl w:val="0"/>
        <w:autoSpaceDE w:val="0"/>
        <w:autoSpaceDN w:val="0"/>
        <w:spacing w:line="276" w:lineRule="auto"/>
        <w:jc w:val="both"/>
        <w:rPr>
          <w:rFonts w:ascii="Arial" w:eastAsia="Arial" w:hAnsi="Arial" w:cs="Arial"/>
          <w:sz w:val="22"/>
          <w:lang w:val="es-ES" w:eastAsia="es-ES" w:bidi="es-ES"/>
        </w:rPr>
      </w:pPr>
    </w:p>
    <w:p w14:paraId="103C2FED" w14:textId="77777777" w:rsidR="003C791D" w:rsidRPr="00DE39EA" w:rsidRDefault="003C791D" w:rsidP="003C791D">
      <w:pPr>
        <w:spacing w:after="120"/>
        <w:ind w:left="709" w:right="709"/>
        <w:jc w:val="both"/>
        <w:rPr>
          <w:rFonts w:ascii="Arial" w:hAnsi="Arial" w:cs="Arial"/>
          <w:sz w:val="21"/>
          <w:szCs w:val="21"/>
        </w:rPr>
      </w:pPr>
      <w:r w:rsidRPr="00DE39EA">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DE39EA">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700763BF" w14:textId="77777777" w:rsidR="003C791D" w:rsidRPr="00DE39EA" w:rsidRDefault="003C791D" w:rsidP="003C791D">
      <w:pPr>
        <w:spacing w:after="120"/>
        <w:ind w:left="709" w:right="709"/>
        <w:jc w:val="both"/>
        <w:rPr>
          <w:rFonts w:ascii="Arial" w:hAnsi="Arial" w:cs="Arial"/>
          <w:sz w:val="21"/>
          <w:szCs w:val="21"/>
        </w:rPr>
      </w:pPr>
      <w:r w:rsidRPr="00DE39EA">
        <w:rPr>
          <w:rFonts w:ascii="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68A8F9E" w14:textId="77777777" w:rsidR="003C791D" w:rsidRPr="00DE39EA" w:rsidRDefault="003C791D" w:rsidP="003C791D">
      <w:pPr>
        <w:ind w:left="709" w:right="709"/>
        <w:jc w:val="both"/>
      </w:pPr>
      <w:r w:rsidRPr="00DE39EA">
        <w:rPr>
          <w:rFonts w:ascii="Arial" w:hAnsi="Arial" w:cs="Arial"/>
          <w:sz w:val="21"/>
          <w:szCs w:val="21"/>
        </w:rPr>
        <w:t xml:space="preserve">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w:t>
      </w:r>
      <w:r w:rsidRPr="00DE39EA">
        <w:rPr>
          <w:rFonts w:ascii="Arial" w:hAnsi="Arial" w:cs="Arial"/>
          <w:sz w:val="21"/>
          <w:szCs w:val="21"/>
        </w:rPr>
        <w:lastRenderedPageBreak/>
        <w:t>Estado se ejecuten para lograr apoyos indebidos mediante la suscripción de contratos y/o convenios, que para efectos de la Ley de Garantías tienen la misma connotación y propósito.</w:t>
      </w:r>
    </w:p>
    <w:p w14:paraId="6CB49CB4" w14:textId="77777777" w:rsidR="003C791D" w:rsidRPr="00DE39EA" w:rsidRDefault="003C791D" w:rsidP="003C791D">
      <w:pPr>
        <w:widowControl w:val="0"/>
        <w:autoSpaceDE w:val="0"/>
        <w:autoSpaceDN w:val="0"/>
        <w:spacing w:before="3" w:line="276" w:lineRule="auto"/>
        <w:jc w:val="both"/>
        <w:rPr>
          <w:rFonts w:ascii="Arial" w:eastAsia="Arial" w:hAnsi="Arial" w:cs="Arial"/>
          <w:sz w:val="22"/>
          <w:lang w:val="es-ES" w:eastAsia="es-ES" w:bidi="es-ES"/>
        </w:rPr>
      </w:pPr>
    </w:p>
    <w:p w14:paraId="67EC8C57" w14:textId="77777777" w:rsidR="003C791D" w:rsidRPr="00DE39EA" w:rsidRDefault="003C791D" w:rsidP="003C791D">
      <w:pPr>
        <w:widowControl w:val="0"/>
        <w:autoSpaceDE w:val="0"/>
        <w:autoSpaceDN w:val="0"/>
        <w:spacing w:after="120" w:line="276" w:lineRule="auto"/>
        <w:jc w:val="both"/>
        <w:rPr>
          <w:rFonts w:ascii="Arial" w:eastAsia="Calibri" w:hAnsi="Arial" w:cs="Arial"/>
          <w:bCs/>
          <w:sz w:val="22"/>
          <w:lang w:val="es-CO" w:eastAsia="es-ES" w:bidi="es-ES"/>
        </w:rPr>
      </w:pPr>
      <w:r w:rsidRPr="00DE39EA">
        <w:rPr>
          <w:rFonts w:ascii="Arial" w:eastAsia="Arial" w:hAnsi="Arial" w:cs="Arial"/>
          <w:sz w:val="25"/>
          <w:lang w:val="es-ES" w:eastAsia="es-ES" w:bidi="es-ES"/>
        </w:rPr>
        <w:tab/>
      </w:r>
      <w:r w:rsidRPr="00DE39EA">
        <w:rPr>
          <w:rFonts w:ascii="Arial" w:eastAsia="Arial" w:hAnsi="Arial" w:cs="Arial"/>
          <w:sz w:val="22"/>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asimilaron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2"/>
    </w:p>
    <w:p w14:paraId="78D0D59F" w14:textId="77777777" w:rsidR="003C791D" w:rsidRPr="00DE39EA" w:rsidRDefault="003C791D" w:rsidP="003C791D">
      <w:pPr>
        <w:tabs>
          <w:tab w:val="left" w:pos="426"/>
        </w:tabs>
        <w:spacing w:after="120" w:line="276" w:lineRule="auto"/>
        <w:ind w:firstLine="709"/>
        <w:jc w:val="both"/>
        <w:rPr>
          <w:rFonts w:ascii="Arial" w:eastAsia="Calibri" w:hAnsi="Arial" w:cs="Arial"/>
          <w:sz w:val="22"/>
          <w:lang w:val="es-CO" w:eastAsia="es-ES" w:bidi="es-ES"/>
        </w:rPr>
      </w:pPr>
      <w:r w:rsidRPr="00DE39EA">
        <w:rPr>
          <w:rFonts w:ascii="Arial" w:eastAsia="Times New Roman" w:hAnsi="Arial" w:cs="Arial"/>
          <w:sz w:val="22"/>
          <w:lang w:val="es-CO" w:eastAsia="es-CO"/>
        </w:rPr>
        <w:t xml:space="preserve">Se observa entonces que </w:t>
      </w:r>
      <w:r w:rsidRPr="00DE39EA">
        <w:rPr>
          <w:rFonts w:ascii="Arial" w:eastAsia="Times New Roman" w:hAnsi="Arial" w:cs="Arial"/>
          <w:sz w:val="22"/>
          <w:lang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DE39EA">
        <w:rPr>
          <w:rFonts w:ascii="Arial" w:eastAsia="Times New Roman" w:hAnsi="Arial" w:cs="Arial"/>
          <w:i/>
          <w:iCs/>
          <w:sz w:val="22"/>
          <w:lang w:eastAsia="es-CO"/>
        </w:rPr>
        <w:t>ibidem</w:t>
      </w:r>
      <w:r w:rsidRPr="00DE39EA">
        <w:rPr>
          <w:rFonts w:ascii="Arial" w:eastAsia="Times New Roman" w:hAnsi="Arial" w:cs="Arial"/>
          <w:sz w:val="22"/>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DE39EA">
        <w:rPr>
          <w:rFonts w:ascii="Arial" w:eastAsia="Times New Roman" w:hAnsi="Arial" w:cs="Arial"/>
          <w:sz w:val="22"/>
          <w:vertAlign w:val="superscript"/>
          <w:lang w:eastAsia="es-CO"/>
        </w:rPr>
        <w:footnoteReference w:id="35"/>
      </w:r>
      <w:r w:rsidRPr="00DE39EA">
        <w:rPr>
          <w:rFonts w:ascii="Arial" w:eastAsia="Times New Roman" w:hAnsi="Arial" w:cs="Arial"/>
          <w:sz w:val="22"/>
          <w:lang w:eastAsia="es-CO"/>
        </w:rPr>
        <w:t xml:space="preserve">. </w:t>
      </w:r>
    </w:p>
    <w:p w14:paraId="7EA023CD" w14:textId="77777777" w:rsidR="003C791D" w:rsidRPr="00DE39EA" w:rsidRDefault="003C791D" w:rsidP="003C791D">
      <w:pPr>
        <w:tabs>
          <w:tab w:val="left" w:pos="426"/>
        </w:tabs>
        <w:spacing w:after="120" w:line="276" w:lineRule="auto"/>
        <w:ind w:firstLine="709"/>
        <w:jc w:val="both"/>
        <w:rPr>
          <w:rFonts w:ascii="Arial" w:eastAsia="Calibri" w:hAnsi="Arial" w:cs="Arial"/>
          <w:sz w:val="22"/>
          <w:lang w:val="es-CO" w:eastAsia="es-ES" w:bidi="es-ES"/>
        </w:rPr>
      </w:pPr>
      <w:r w:rsidRPr="00DE39EA">
        <w:rPr>
          <w:rFonts w:ascii="Arial" w:eastAsia="Times New Roman" w:hAnsi="Arial" w:cs="Arial"/>
          <w:sz w:val="22"/>
          <w:lang w:val="es-ES" w:eastAsia="es-CO" w:bidi="es-ES"/>
        </w:rPr>
        <w:t>En todo caso</w:t>
      </w:r>
      <w:bookmarkStart w:id="23" w:name="_Hlk77154098"/>
      <w:r w:rsidRPr="00DE39EA">
        <w:rPr>
          <w:rFonts w:ascii="Arial" w:eastAsia="Arial" w:hAnsi="Arial" w:cs="Arial"/>
          <w:sz w:val="22"/>
          <w:lang w:val="es-ES" w:eastAsia="es-ES" w:bidi="es-ES"/>
        </w:rPr>
        <w:t xml:space="preserve">, es importante resaltar que la Sala de Consulta y Servicio Civil del Consejo de Estado se ha pronunciado en el sentido de que </w:t>
      </w:r>
      <w:bookmarkStart w:id="24" w:name="_Hlk78820889"/>
      <w:r w:rsidRPr="00DE39EA">
        <w:rPr>
          <w:rFonts w:ascii="Arial" w:eastAsia="Arial" w:hAnsi="Arial" w:cs="Arial"/>
          <w:sz w:val="22"/>
          <w:lang w:val="es-ES" w:eastAsia="es-ES" w:bidi="es-ES"/>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24"/>
      <w:r w:rsidRPr="00DE39EA">
        <w:rPr>
          <w:rFonts w:ascii="Arial" w:eastAsia="Arial" w:hAnsi="Arial" w:cs="Arial"/>
          <w:sz w:val="22"/>
          <w:vertAlign w:val="superscript"/>
          <w:lang w:val="es-ES" w:eastAsia="es-ES" w:bidi="es-ES"/>
        </w:rPr>
        <w:footnoteReference w:id="36"/>
      </w:r>
      <w:r w:rsidRPr="00DE39EA">
        <w:rPr>
          <w:rFonts w:ascii="Arial" w:eastAsia="Calibri" w:hAnsi="Arial" w:cs="Arial"/>
          <w:sz w:val="22"/>
          <w:lang w:val="es-CO" w:eastAsia="es-ES" w:bidi="es-ES"/>
        </w:rPr>
        <w:t>.</w:t>
      </w:r>
      <w:bookmarkEnd w:id="23"/>
    </w:p>
    <w:p w14:paraId="608A772B" w14:textId="77777777" w:rsidR="003C791D" w:rsidRPr="00DE39EA" w:rsidRDefault="003C791D" w:rsidP="003C791D">
      <w:pPr>
        <w:widowControl w:val="0"/>
        <w:autoSpaceDE w:val="0"/>
        <w:autoSpaceDN w:val="0"/>
        <w:spacing w:line="276" w:lineRule="auto"/>
        <w:jc w:val="both"/>
        <w:rPr>
          <w:rFonts w:ascii="Arial" w:eastAsia="Calibri" w:hAnsi="Arial" w:cs="Arial"/>
          <w:sz w:val="22"/>
          <w:lang w:val="es-CO" w:eastAsia="es-ES" w:bidi="es-ES"/>
        </w:rPr>
      </w:pPr>
    </w:p>
    <w:p w14:paraId="3B0A84AA" w14:textId="77777777" w:rsidR="003C791D" w:rsidRPr="00DE39EA" w:rsidRDefault="003C791D" w:rsidP="003C791D">
      <w:pPr>
        <w:spacing w:line="276" w:lineRule="auto"/>
        <w:jc w:val="both"/>
        <w:rPr>
          <w:rFonts w:ascii="Arial" w:eastAsia="Times New Roman" w:hAnsi="Arial" w:cs="Arial"/>
          <w:b/>
          <w:sz w:val="22"/>
          <w:lang w:eastAsia="es-CO"/>
        </w:rPr>
      </w:pPr>
      <w:r w:rsidRPr="00DE39EA">
        <w:rPr>
          <w:rFonts w:ascii="Arial" w:eastAsia="Times New Roman" w:hAnsi="Arial" w:cs="Arial"/>
          <w:b/>
          <w:sz w:val="22"/>
          <w:lang w:eastAsia="es-CO"/>
        </w:rPr>
        <w:t xml:space="preserve">2.4. </w:t>
      </w:r>
      <w:bookmarkStart w:id="25" w:name="_Hlk100219740"/>
      <w:r w:rsidRPr="00DE39EA">
        <w:rPr>
          <w:rFonts w:ascii="Arial" w:eastAsia="Times New Roman" w:hAnsi="Arial" w:cs="Arial"/>
          <w:b/>
          <w:sz w:val="22"/>
          <w:lang w:eastAsia="es-CO"/>
        </w:rPr>
        <w:t>Régimen contractual de los fondos de servicios educativos y aplicación de la Ley de Garantías</w:t>
      </w:r>
      <w:bookmarkEnd w:id="25"/>
    </w:p>
    <w:p w14:paraId="1D9031A5" w14:textId="77777777" w:rsidR="003C791D" w:rsidRPr="00DE39EA" w:rsidRDefault="003C791D" w:rsidP="003C791D">
      <w:pPr>
        <w:spacing w:line="276" w:lineRule="auto"/>
        <w:jc w:val="both"/>
        <w:rPr>
          <w:rFonts w:ascii="Arial" w:eastAsia="Times New Roman" w:hAnsi="Arial" w:cs="Arial"/>
          <w:b/>
          <w:sz w:val="22"/>
          <w:lang w:eastAsia="es-CO"/>
        </w:rPr>
      </w:pPr>
    </w:p>
    <w:p w14:paraId="3FCD5026" w14:textId="77777777" w:rsidR="003C791D" w:rsidRPr="00DE39EA" w:rsidRDefault="003C791D" w:rsidP="003C791D">
      <w:pPr>
        <w:spacing w:after="120" w:line="276" w:lineRule="auto"/>
        <w:jc w:val="both"/>
        <w:rPr>
          <w:rFonts w:ascii="Arial" w:eastAsia="Times New Roman" w:hAnsi="Arial" w:cs="Arial"/>
          <w:sz w:val="22"/>
          <w:szCs w:val="24"/>
          <w:lang w:val="es-CO" w:eastAsia="es-MX"/>
        </w:rPr>
      </w:pPr>
      <w:r w:rsidRPr="00DE39EA">
        <w:rPr>
          <w:rFonts w:ascii="Arial" w:eastAsia="Times New Roman" w:hAnsi="Arial" w:cs="Arial"/>
          <w:sz w:val="22"/>
          <w:lang w:val="es-CO" w:eastAsia="es-MX"/>
        </w:rPr>
        <w:t xml:space="preserve">Las Leyes 60 de 1993 y 715 de 2001 descentralizaron el sistema educativo en Colombia, asignándoles a los departamentos, distritos y municipios las competencias y los recursos </w:t>
      </w:r>
      <w:r w:rsidRPr="00DE39EA">
        <w:rPr>
          <w:rFonts w:ascii="Arial" w:eastAsia="Times New Roman" w:hAnsi="Arial" w:cs="Arial"/>
          <w:sz w:val="22"/>
          <w:lang w:val="es-CO" w:eastAsia="es-MX"/>
        </w:rPr>
        <w:lastRenderedPageBreak/>
        <w:t>para dirigir las instituciones educativas. Así las cosas, el sistema educativo está descentralizado por las competencias propias otorgadas a las entidades territoriales para administrar las instituciones educativas en los diferentes niveles territoriales, sin que estas últimas sean entidades descentralizadas</w:t>
      </w:r>
      <w:r w:rsidRPr="00DE39EA">
        <w:rPr>
          <w:rFonts w:ascii="Arial" w:eastAsia="Times New Roman" w:hAnsi="Arial" w:cs="Arial"/>
          <w:sz w:val="22"/>
          <w:vertAlign w:val="superscript"/>
          <w:lang w:val="es-CO" w:eastAsia="es-MX"/>
        </w:rPr>
        <w:footnoteReference w:id="37"/>
      </w:r>
      <w:r w:rsidRPr="00DE39EA">
        <w:rPr>
          <w:rFonts w:ascii="Arial" w:eastAsia="Times New Roman" w:hAnsi="Arial" w:cs="Arial"/>
          <w:sz w:val="22"/>
          <w:lang w:val="es-CO" w:eastAsia="es-MX"/>
        </w:rPr>
        <w:t xml:space="preserve">. </w:t>
      </w:r>
    </w:p>
    <w:p w14:paraId="4288870A" w14:textId="77777777" w:rsidR="003C791D" w:rsidRPr="00DE39EA" w:rsidRDefault="003C791D" w:rsidP="003C791D">
      <w:pPr>
        <w:spacing w:before="120" w:after="120" w:line="276" w:lineRule="auto"/>
        <w:ind w:firstLine="709"/>
        <w:jc w:val="both"/>
        <w:rPr>
          <w:rFonts w:ascii="Arial" w:eastAsia="Times New Roman" w:hAnsi="Arial" w:cs="Arial"/>
          <w:sz w:val="22"/>
          <w:szCs w:val="24"/>
          <w:lang w:val="es-CO" w:eastAsia="es-MX"/>
        </w:rPr>
      </w:pPr>
      <w:r w:rsidRPr="00DE39EA">
        <w:rPr>
          <w:rFonts w:ascii="Arial" w:eastAsia="Times New Roman" w:hAnsi="Arial" w:cs="Arial"/>
          <w:sz w:val="22"/>
          <w:lang w:val="es-CO" w:eastAsia="es-MX"/>
        </w:rPr>
        <w:t xml:space="preserve">Conforme a lo anterior, </w:t>
      </w:r>
      <w:bookmarkStart w:id="26" w:name="_Hlk100224224"/>
      <w:r w:rsidRPr="00DE39EA">
        <w:rPr>
          <w:rFonts w:ascii="Arial" w:eastAsia="Times New Roman" w:hAnsi="Arial" w:cs="Arial"/>
          <w:sz w:val="22"/>
          <w:lang w:val="es-CO" w:eastAsia="es-MX"/>
        </w:rPr>
        <w:t>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Estas son cuentas contables que le permiten a las instituciones realizar la gestión y ejecución presupuestal de los recursos que reciben los establecimientos educativos</w:t>
      </w:r>
      <w:bookmarkEnd w:id="26"/>
      <w:r w:rsidRPr="00DE39EA">
        <w:rPr>
          <w:rFonts w:ascii="Arial" w:eastAsia="Times New Roman" w:hAnsi="Arial" w:cs="Arial"/>
          <w:sz w:val="22"/>
          <w:vertAlign w:val="superscript"/>
          <w:lang w:val="es-CO" w:eastAsia="es-MX"/>
        </w:rPr>
        <w:footnoteReference w:id="38"/>
      </w:r>
      <w:r w:rsidRPr="00DE39EA">
        <w:rPr>
          <w:rFonts w:ascii="Arial" w:eastAsia="Times New Roman" w:hAnsi="Arial" w:cs="Arial"/>
          <w:sz w:val="22"/>
          <w:lang w:val="es-CO" w:eastAsia="es-MX"/>
        </w:rPr>
        <w:t xml:space="preserve"> </w:t>
      </w:r>
      <w:r w:rsidRPr="00DE39EA">
        <w:rPr>
          <w:rFonts w:ascii="Arial" w:eastAsia="Times New Roman" w:hAnsi="Arial" w:cs="Arial"/>
          <w:sz w:val="22"/>
          <w:vertAlign w:val="superscript"/>
          <w:lang w:val="es-CO" w:eastAsia="es-MX"/>
        </w:rPr>
        <w:footnoteReference w:id="39"/>
      </w:r>
      <w:r w:rsidRPr="00DE39EA">
        <w:rPr>
          <w:rFonts w:ascii="Arial" w:eastAsia="Times New Roman" w:hAnsi="Arial" w:cs="Arial"/>
          <w:sz w:val="22"/>
          <w:lang w:val="es-CO" w:eastAsia="es-MX"/>
        </w:rPr>
        <w:t>.</w:t>
      </w:r>
    </w:p>
    <w:p w14:paraId="0AB15E2E" w14:textId="77777777" w:rsidR="003C791D" w:rsidRPr="00DE39EA" w:rsidRDefault="003C791D" w:rsidP="003C791D">
      <w:pPr>
        <w:spacing w:before="120" w:line="276" w:lineRule="auto"/>
        <w:ind w:firstLine="709"/>
        <w:jc w:val="both"/>
        <w:rPr>
          <w:rFonts w:ascii="Arial" w:eastAsia="Times New Roman" w:hAnsi="Arial" w:cs="Arial"/>
          <w:sz w:val="22"/>
          <w:szCs w:val="24"/>
          <w:lang w:val="es-CO" w:eastAsia="es-MX"/>
        </w:rPr>
      </w:pPr>
      <w:r w:rsidRPr="00DE39EA">
        <w:rPr>
          <w:rFonts w:ascii="Arial" w:eastAsia="Times New Roman" w:hAnsi="Arial" w:cs="Arial"/>
          <w:sz w:val="22"/>
          <w:szCs w:val="24"/>
          <w:lang w:val="es-CO" w:eastAsia="es-MX"/>
        </w:rPr>
        <w:t>Los fondos de servicios educativos tampoco cuentan con personería jurídica según lo previsto en el artículo 2.3.1.6.3.4 del Decreto 1075 de 2015, Decreto Único Reglamentario del Sector Educación:</w:t>
      </w:r>
    </w:p>
    <w:p w14:paraId="5176D27E" w14:textId="77777777" w:rsidR="003C791D" w:rsidRPr="00DE39EA" w:rsidRDefault="003C791D" w:rsidP="003C791D">
      <w:pPr>
        <w:spacing w:line="276" w:lineRule="auto"/>
        <w:ind w:firstLine="709"/>
        <w:jc w:val="both"/>
        <w:rPr>
          <w:rFonts w:ascii="Arial" w:eastAsia="Times New Roman" w:hAnsi="Arial" w:cs="Arial"/>
          <w:sz w:val="22"/>
          <w:szCs w:val="24"/>
          <w:lang w:val="es-CO" w:eastAsia="es-MX"/>
        </w:rPr>
      </w:pPr>
    </w:p>
    <w:p w14:paraId="56760610" w14:textId="77777777" w:rsidR="003C791D" w:rsidRPr="00DE39EA" w:rsidRDefault="003C791D" w:rsidP="003C791D">
      <w:pPr>
        <w:ind w:left="709" w:right="709"/>
        <w:jc w:val="both"/>
        <w:rPr>
          <w:rFonts w:ascii="Arial" w:eastAsia="Times New Roman" w:hAnsi="Arial" w:cs="Arial"/>
          <w:sz w:val="21"/>
          <w:szCs w:val="21"/>
          <w:lang w:val="es-CO" w:eastAsia="es-MX"/>
        </w:rPr>
      </w:pPr>
      <w:r w:rsidRPr="00DE39EA">
        <w:rPr>
          <w:rFonts w:ascii="Arial" w:eastAsia="Times New Roman" w:hAnsi="Arial" w:cs="Arial"/>
          <w:sz w:val="21"/>
          <w:szCs w:val="21"/>
          <w:lang w:val="es-CO" w:eastAsia="es-MX"/>
        </w:rPr>
        <w:t>Artículo 2.3.1.6.3.4. Ordenación del gasto. Los fondos de servicios educativos carecen de personería jurídica. El rector o director rural es el ordenador del gasto del Fondo de Servicios Educativos y su ejercicio no implica representación legal.</w:t>
      </w:r>
    </w:p>
    <w:p w14:paraId="08D368EF" w14:textId="77777777" w:rsidR="003C791D" w:rsidRPr="00DE39EA" w:rsidRDefault="003C791D" w:rsidP="003C791D">
      <w:pPr>
        <w:spacing w:line="276" w:lineRule="auto"/>
        <w:jc w:val="both"/>
        <w:rPr>
          <w:rFonts w:ascii="Arial" w:eastAsia="Times New Roman" w:hAnsi="Arial" w:cs="Arial"/>
          <w:sz w:val="22"/>
          <w:szCs w:val="24"/>
          <w:lang w:val="es-CO" w:eastAsia="es-MX"/>
        </w:rPr>
      </w:pPr>
    </w:p>
    <w:p w14:paraId="316D597D" w14:textId="77777777" w:rsidR="003C791D" w:rsidRPr="00DE39EA" w:rsidRDefault="003C791D" w:rsidP="003C791D">
      <w:pPr>
        <w:spacing w:after="120" w:line="276" w:lineRule="auto"/>
        <w:ind w:firstLine="709"/>
        <w:jc w:val="both"/>
        <w:rPr>
          <w:rFonts w:ascii="Arial" w:eastAsia="Times New Roman" w:hAnsi="Arial" w:cs="Arial"/>
          <w:sz w:val="22"/>
          <w:szCs w:val="24"/>
          <w:lang w:val="es-CO" w:eastAsia="es-MX"/>
        </w:rPr>
      </w:pPr>
      <w:r w:rsidRPr="00DE39EA">
        <w:rPr>
          <w:rFonts w:ascii="Arial" w:eastAsia="Times New Roman" w:hAnsi="Arial" w:cs="Arial"/>
          <w:sz w:val="22"/>
          <w:lang w:val="es-CO" w:eastAsia="es-MX"/>
        </w:rPr>
        <w:t xml:space="preserve">En relación con la capacidad para contratar con la que cuentan las instituciones educativas por medio de los fondos de servicios educativos, es necesario precisar que cuando se trate de actos y contratos cuya cuantía no exceda los veinte (20) salarios mínimos mensuales legales vigentes, se sujetarán a las condiciones previstas en el </w:t>
      </w:r>
      <w:r w:rsidRPr="00DE39EA">
        <w:rPr>
          <w:rFonts w:ascii="Arial" w:eastAsia="Times New Roman" w:hAnsi="Arial" w:cs="Arial"/>
          <w:sz w:val="22"/>
          <w:lang w:val="es-CO" w:eastAsia="es-MX"/>
        </w:rPr>
        <w:lastRenderedPageBreak/>
        <w:t>reglamento de contratación que expida el consejo directivo de la institución, de conformidad con lo dispuesto en el artículo 13 de la Ley 715 de 2001</w:t>
      </w:r>
      <w:r w:rsidRPr="00DE39EA">
        <w:rPr>
          <w:rFonts w:ascii="Arial" w:eastAsia="Times New Roman" w:hAnsi="Arial" w:cs="Arial"/>
          <w:sz w:val="22"/>
          <w:vertAlign w:val="superscript"/>
          <w:lang w:val="es-CO" w:eastAsia="es-MX"/>
        </w:rPr>
        <w:footnoteReference w:id="40"/>
      </w:r>
      <w:r w:rsidRPr="00DE39EA">
        <w:rPr>
          <w:rFonts w:ascii="Arial" w:eastAsia="Times New Roman" w:hAnsi="Arial" w:cs="Arial"/>
          <w:sz w:val="22"/>
          <w:lang w:val="es-CO" w:eastAsia="es-MX"/>
        </w:rPr>
        <w:t>. Para estos efectos, el artículo 2.3.1.6.3.17. del Decreto 1075 de 2015 dispone lo siguiente:</w:t>
      </w:r>
    </w:p>
    <w:p w14:paraId="14D61B17" w14:textId="77777777" w:rsidR="003C791D" w:rsidRPr="00DE39EA" w:rsidRDefault="003C791D" w:rsidP="003C791D">
      <w:pPr>
        <w:spacing w:after="120"/>
        <w:ind w:left="709" w:right="709"/>
        <w:jc w:val="both"/>
        <w:textAlignment w:val="baseline"/>
        <w:rPr>
          <w:rFonts w:ascii="Segoe UI" w:eastAsia="Times New Roman" w:hAnsi="Segoe UI" w:cs="Segoe UI"/>
          <w:sz w:val="18"/>
          <w:szCs w:val="18"/>
          <w:lang w:val="es-ES" w:eastAsia="es-ES"/>
        </w:rPr>
      </w:pPr>
      <w:r w:rsidRPr="00DE39EA">
        <w:rPr>
          <w:rFonts w:ascii="Arial" w:eastAsia="Times New Roman" w:hAnsi="Arial" w:cs="Arial"/>
          <w:color w:val="000000"/>
          <w:sz w:val="21"/>
          <w:szCs w:val="21"/>
          <w:lang w:val="es-ES" w:eastAsia="es-ES"/>
        </w:rPr>
        <w:t>La celebración de contratos a que haya lugar con recursos del Fondo de Servicios Educativos, debe realizarse con estricta sujeción a lo dispuesto en el estatuto contractual de la administración pública, cuando supere la cuantía de veinte (20) salarios mínimos legales mensuales vigentes.  </w:t>
      </w:r>
    </w:p>
    <w:p w14:paraId="74DA04CA" w14:textId="77777777" w:rsidR="003C791D" w:rsidRPr="00DE39EA" w:rsidRDefault="003C791D" w:rsidP="003C791D">
      <w:pPr>
        <w:ind w:left="705" w:right="705"/>
        <w:jc w:val="both"/>
        <w:textAlignment w:val="baseline"/>
        <w:rPr>
          <w:rFonts w:ascii="Segoe UI" w:eastAsia="Times New Roman" w:hAnsi="Segoe UI" w:cs="Segoe UI"/>
          <w:sz w:val="18"/>
          <w:szCs w:val="18"/>
          <w:lang w:val="es-ES" w:eastAsia="es-ES"/>
        </w:rPr>
      </w:pPr>
      <w:r w:rsidRPr="00DE39EA">
        <w:rPr>
          <w:rFonts w:ascii="Arial" w:eastAsia="Times New Roman" w:hAnsi="Arial" w:cs="Arial"/>
          <w:color w:val="000000"/>
          <w:sz w:val="21"/>
          <w:szCs w:val="21"/>
          <w:lang w:val="es-ES" w:eastAsia="es-ES"/>
        </w:rPr>
        <w:t>Si la cuantía es inferior a los veinte (20) salarios mínimos legales mensuales vigentes se deben seguir los procedimientos establecidos en el reglamento expedido por el consejo directivo, de conformidad con lo dispuesto en el artículo 13 de la Ley 715 de 2001, y en todo caso siguiendo los principios de transparencia, economía, publicidad, y responsabilidad, de conformidad con los postulados de la función administrativa.  </w:t>
      </w:r>
    </w:p>
    <w:p w14:paraId="6AF6A581" w14:textId="77777777" w:rsidR="003C791D" w:rsidRPr="00DE39EA" w:rsidRDefault="003C791D" w:rsidP="003C791D">
      <w:pPr>
        <w:spacing w:line="276" w:lineRule="auto"/>
        <w:ind w:firstLine="709"/>
        <w:jc w:val="both"/>
        <w:rPr>
          <w:rFonts w:ascii="Arial" w:eastAsia="Times New Roman" w:hAnsi="Arial" w:cs="Arial"/>
          <w:sz w:val="22"/>
          <w:szCs w:val="24"/>
          <w:lang w:val="es-CO" w:eastAsia="es-MX"/>
        </w:rPr>
      </w:pPr>
    </w:p>
    <w:p w14:paraId="133823E7" w14:textId="77777777" w:rsidR="003C791D" w:rsidRPr="00DE39EA" w:rsidRDefault="003C791D" w:rsidP="003C791D">
      <w:pPr>
        <w:spacing w:after="120" w:line="276" w:lineRule="auto"/>
        <w:ind w:firstLine="709"/>
        <w:jc w:val="both"/>
        <w:rPr>
          <w:rFonts w:ascii="Arial" w:eastAsia="Times New Roman" w:hAnsi="Arial" w:cs="Arial"/>
          <w:sz w:val="22"/>
          <w:szCs w:val="24"/>
          <w:lang w:val="es-CO" w:eastAsia="es-MX"/>
        </w:rPr>
      </w:pPr>
      <w:r w:rsidRPr="00DE39EA">
        <w:rPr>
          <w:rFonts w:ascii="Arial" w:eastAsia="Times New Roman" w:hAnsi="Arial" w:cs="Arial"/>
          <w:sz w:val="22"/>
          <w:szCs w:val="24"/>
          <w:lang w:val="es-CO" w:eastAsia="es-MX"/>
        </w:rPr>
        <w:t xml:space="preserve">Esto significa que la contratación que realicen las instituciones educativas, siempre que se ubique por debajo del referido umbral, no deberá ceñirse a las reglas del Estatuto General de Contratación de la Administración Pública, sino a las determinadas por el reglamento expedido por el consejo directivo de la institución educativa conforme al </w:t>
      </w:r>
      <w:bookmarkStart w:id="28" w:name="_Hlk61284209"/>
      <w:r w:rsidRPr="00DE39EA">
        <w:rPr>
          <w:rFonts w:ascii="Arial" w:eastAsia="Times New Roman" w:hAnsi="Arial" w:cs="Arial"/>
          <w:sz w:val="22"/>
          <w:szCs w:val="24"/>
          <w:lang w:val="es-CO" w:eastAsia="es-MX"/>
        </w:rPr>
        <w:t>artículo 13 de la Ley 715 de 2001</w:t>
      </w:r>
      <w:bookmarkEnd w:id="28"/>
      <w:r w:rsidRPr="00DE39EA">
        <w:rPr>
          <w:rFonts w:ascii="Arial" w:eastAsia="Times New Roman" w:hAnsi="Arial" w:cs="Arial"/>
          <w:sz w:val="22"/>
          <w:szCs w:val="24"/>
          <w:lang w:val="es-CO" w:eastAsia="es-MX"/>
        </w:rPr>
        <w:t xml:space="preserve">. Los reglamentos que se expidan de conformidad con los principios de igualdad, moralidad, imparcialidad y publicidad, así como de acuerdo con la experiencia y el análisis concreto de las necesidades del establecimiento, deben definir los trámites, garantías y constancias que deben cumplirse para que el rector o director celebre </w:t>
      </w:r>
      <w:r w:rsidRPr="00DE39EA">
        <w:rPr>
          <w:rFonts w:ascii="Arial" w:eastAsia="Times New Roman" w:hAnsi="Arial" w:cs="Arial"/>
          <w:sz w:val="22"/>
          <w:szCs w:val="24"/>
          <w:lang w:val="es-CO" w:eastAsia="es-MX"/>
        </w:rPr>
        <w:lastRenderedPageBreak/>
        <w:t xml:space="preserve">cualquier acto o contrato que cree, extinga o modifique obligaciones con cargo al respectivo fondo de servicios educativos. </w:t>
      </w:r>
    </w:p>
    <w:p w14:paraId="6BC606E5" w14:textId="77777777" w:rsidR="003C791D" w:rsidRPr="00DE39EA" w:rsidRDefault="003C791D" w:rsidP="003C791D">
      <w:pPr>
        <w:spacing w:before="120" w:after="120" w:line="276" w:lineRule="auto"/>
        <w:ind w:firstLine="709"/>
        <w:jc w:val="both"/>
        <w:rPr>
          <w:rFonts w:ascii="Arial" w:eastAsia="Times New Roman" w:hAnsi="Arial" w:cs="Arial"/>
          <w:sz w:val="22"/>
          <w:szCs w:val="24"/>
          <w:lang w:val="es-CO" w:eastAsia="es-MX"/>
        </w:rPr>
      </w:pPr>
      <w:r w:rsidRPr="00DE39EA">
        <w:rPr>
          <w:rFonts w:ascii="Arial" w:eastAsia="Times New Roman" w:hAnsi="Arial" w:cs="Arial"/>
          <w:sz w:val="22"/>
          <w:szCs w:val="24"/>
          <w:lang w:val="es-CO" w:eastAsia="es-MX"/>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27035EF4" w14:textId="77777777" w:rsidR="003C791D" w:rsidRPr="00DE39EA" w:rsidRDefault="003C791D" w:rsidP="003C791D">
      <w:pPr>
        <w:spacing w:before="120" w:line="276" w:lineRule="auto"/>
        <w:ind w:firstLine="709"/>
        <w:jc w:val="both"/>
        <w:rPr>
          <w:rFonts w:ascii="Arial" w:eastAsia="Times New Roman" w:hAnsi="Arial" w:cs="Arial"/>
          <w:sz w:val="22"/>
          <w:szCs w:val="24"/>
          <w:lang w:val="es-CO" w:eastAsia="es-MX"/>
        </w:rPr>
      </w:pPr>
      <w:r w:rsidRPr="00DE39EA">
        <w:rPr>
          <w:rFonts w:ascii="Arial" w:eastAsia="Times New Roman" w:hAnsi="Arial" w:cs="Arial"/>
          <w:sz w:val="22"/>
          <w:szCs w:val="24"/>
          <w:lang w:val="es-CO" w:eastAsia="es-MX"/>
        </w:rPr>
        <w:t>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Estatuto General de Contratación, procediendo la aplicación de las modalidades de selección definidas en la Ley 1150 de 2007, así como los requisitos y formalidades establecidos en el Decreto 1082 del 2015 y demás normas aplicables.</w:t>
      </w:r>
    </w:p>
    <w:p w14:paraId="475E6F83" w14:textId="77777777" w:rsidR="003C791D" w:rsidRPr="00DE39EA" w:rsidRDefault="003C791D" w:rsidP="003C791D">
      <w:pPr>
        <w:spacing w:before="120" w:line="276" w:lineRule="auto"/>
        <w:ind w:firstLine="709"/>
        <w:jc w:val="both"/>
        <w:rPr>
          <w:rFonts w:ascii="Arial" w:eastAsia="Times New Roman" w:hAnsi="Arial" w:cs="Arial"/>
          <w:sz w:val="22"/>
          <w:szCs w:val="24"/>
          <w:lang w:val="es-CO" w:eastAsia="es-MX"/>
        </w:rPr>
      </w:pPr>
      <w:r w:rsidRPr="00DE39EA">
        <w:rPr>
          <w:rFonts w:ascii="Arial" w:eastAsia="Times New Roman" w:hAnsi="Arial" w:cs="Arial"/>
          <w:sz w:val="22"/>
          <w:lang w:val="es-CO" w:eastAsia="es-MX"/>
        </w:rPr>
        <w:t xml:space="preserve">En lo que respecta al régimen sustantivo de los contratos estatales sometidos a la Ley 80 de 1993, el inciso primero del artículo 13 dispone que «Los contratos que celebren las entidades a que se refiere el artículo 2o. del presente estatuto se regirán por las disposiciones comerciales y civiles pertinentes, salvo en las materias particularmente reguladas en esta ley». En concordancia con los artículos 32 y 40 </w:t>
      </w:r>
      <w:r w:rsidRPr="00DE39EA">
        <w:rPr>
          <w:rFonts w:ascii="Arial" w:eastAsia="Times New Roman" w:hAnsi="Arial" w:cs="Arial"/>
          <w:i/>
          <w:iCs/>
          <w:sz w:val="22"/>
          <w:lang w:val="es-CO" w:eastAsia="es-MX"/>
        </w:rPr>
        <w:t>ibídem</w:t>
      </w:r>
      <w:r w:rsidRPr="00DE39EA">
        <w:rPr>
          <w:rFonts w:ascii="Arial" w:eastAsia="Times New Roman" w:hAnsi="Arial" w:cs="Arial"/>
          <w:sz w:val="22"/>
          <w:vertAlign w:val="superscript"/>
          <w:lang w:val="es-CO" w:eastAsia="es-MX"/>
        </w:rPr>
        <w:footnoteReference w:id="41"/>
      </w:r>
      <w:r w:rsidRPr="00DE39EA">
        <w:rPr>
          <w:rFonts w:ascii="Arial" w:eastAsia="Times New Roman" w:hAnsi="Arial" w:cs="Arial"/>
          <w:sz w:val="22"/>
          <w:lang w:val="es-CO" w:eastAsia="es-MX"/>
        </w:rPr>
        <w:t>, esto significa que los contratos de las entidades sometidas al Estatuto General de Contratación se rigen generalmente por el derecho privado y excepcionalmente por el derecho público, pues las normas civiles y comerciales son el derecho común de los contratos estatales</w:t>
      </w:r>
      <w:r w:rsidRPr="00DE39EA">
        <w:rPr>
          <w:rFonts w:ascii="Arial" w:eastAsia="Times New Roman" w:hAnsi="Arial" w:cs="Arial"/>
          <w:sz w:val="22"/>
          <w:vertAlign w:val="superscript"/>
          <w:lang w:val="es-CO" w:eastAsia="es-MX"/>
        </w:rPr>
        <w:footnoteReference w:id="42"/>
      </w:r>
      <w:r w:rsidRPr="00DE39EA">
        <w:rPr>
          <w:rFonts w:ascii="Arial" w:eastAsia="Times New Roman" w:hAnsi="Arial" w:cs="Arial"/>
          <w:sz w:val="22"/>
          <w:lang w:val="es-CO" w:eastAsia="es-MX"/>
        </w:rPr>
        <w:t>. Así lo ha entendido la doctrina:</w:t>
      </w:r>
    </w:p>
    <w:p w14:paraId="0CE8C943" w14:textId="77777777" w:rsidR="003C791D" w:rsidRPr="00DE39EA" w:rsidRDefault="003C791D" w:rsidP="003C791D">
      <w:pPr>
        <w:spacing w:line="276" w:lineRule="auto"/>
        <w:ind w:firstLine="709"/>
        <w:jc w:val="both"/>
        <w:rPr>
          <w:rFonts w:ascii="Arial" w:eastAsia="Times New Roman" w:hAnsi="Arial" w:cs="Arial"/>
          <w:sz w:val="22"/>
          <w:szCs w:val="24"/>
          <w:lang w:val="es-CO" w:eastAsia="es-MX"/>
        </w:rPr>
      </w:pPr>
    </w:p>
    <w:p w14:paraId="597DCC8E" w14:textId="77777777" w:rsidR="003C791D" w:rsidRPr="00DE39EA" w:rsidRDefault="003C791D" w:rsidP="003C791D">
      <w:pPr>
        <w:ind w:left="709" w:right="709"/>
        <w:jc w:val="both"/>
        <w:rPr>
          <w:rFonts w:ascii="Arial" w:eastAsia="Times New Roman" w:hAnsi="Arial" w:cs="Arial"/>
          <w:sz w:val="21"/>
          <w:szCs w:val="21"/>
          <w:lang w:val="es-CO" w:eastAsia="es-MX"/>
        </w:rPr>
      </w:pPr>
      <w:r w:rsidRPr="00DE39EA">
        <w:rPr>
          <w:rFonts w:ascii="Arial" w:eastAsia="Times New Roman" w:hAnsi="Arial" w:cs="Arial"/>
          <w:sz w:val="21"/>
          <w:szCs w:val="21"/>
          <w:lang w:val="es-CO" w:eastAsia="es-MX"/>
        </w:rPr>
        <w:t xml:space="preserve">[…] no hace otra cosa que aprovechar ciertos principios rectores de las contratación general que aunque tengan su consagración en códigos de derecho privado como el civil y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Extremos éstos que de derecho privado no tienen sino […] el nombre y que la tradición, desde su origen romano se acostumbró a calificarlos así y a no </w:t>
      </w:r>
      <w:r w:rsidRPr="00DE39EA">
        <w:rPr>
          <w:rFonts w:ascii="Arial" w:eastAsia="Times New Roman" w:hAnsi="Arial" w:cs="Arial"/>
          <w:sz w:val="21"/>
          <w:szCs w:val="21"/>
          <w:lang w:val="es-CO" w:eastAsia="es-MX"/>
        </w:rPr>
        <w:lastRenderedPageBreak/>
        <w:t>preocuparse por su cuestionamiento. En otras palabras, extremos como los indicados […] son […] de derecho propio, aplicables a toda relación contractual, con prescindencia de los sujetos involucrados en la misma</w:t>
      </w:r>
      <w:r w:rsidRPr="00DE39EA">
        <w:rPr>
          <w:rFonts w:ascii="Arial" w:eastAsia="Times New Roman" w:hAnsi="Arial" w:cs="Arial"/>
          <w:sz w:val="21"/>
          <w:szCs w:val="21"/>
          <w:vertAlign w:val="superscript"/>
          <w:lang w:val="es-CO" w:eastAsia="es-MX"/>
        </w:rPr>
        <w:footnoteReference w:id="43"/>
      </w:r>
      <w:r w:rsidRPr="00DE39EA">
        <w:rPr>
          <w:rFonts w:ascii="Arial" w:eastAsia="Times New Roman" w:hAnsi="Arial" w:cs="Arial"/>
          <w:sz w:val="21"/>
          <w:szCs w:val="21"/>
          <w:lang w:val="es-CO" w:eastAsia="es-MX"/>
        </w:rPr>
        <w:t xml:space="preserve">. </w:t>
      </w:r>
    </w:p>
    <w:p w14:paraId="4A1D4CC9" w14:textId="77777777" w:rsidR="003C791D" w:rsidRPr="00DE39EA" w:rsidRDefault="003C791D" w:rsidP="003C791D">
      <w:pPr>
        <w:spacing w:line="276" w:lineRule="auto"/>
        <w:ind w:left="709" w:right="709"/>
        <w:jc w:val="both"/>
        <w:rPr>
          <w:rFonts w:ascii="Arial" w:eastAsia="Times New Roman" w:hAnsi="Arial" w:cs="Arial"/>
          <w:sz w:val="22"/>
          <w:szCs w:val="24"/>
          <w:lang w:val="es-CO" w:eastAsia="es-MX"/>
        </w:rPr>
      </w:pPr>
      <w:r w:rsidRPr="00DE39EA">
        <w:rPr>
          <w:rFonts w:ascii="Arial" w:eastAsia="Times New Roman" w:hAnsi="Arial" w:cs="Arial"/>
          <w:sz w:val="22"/>
          <w:szCs w:val="24"/>
          <w:lang w:val="es-CO" w:eastAsia="es-MX"/>
        </w:rPr>
        <w:t xml:space="preserve"> </w:t>
      </w:r>
    </w:p>
    <w:p w14:paraId="611795C2" w14:textId="77777777" w:rsidR="003C791D" w:rsidRPr="00DE39EA" w:rsidRDefault="003C791D" w:rsidP="003C791D">
      <w:pPr>
        <w:spacing w:after="120" w:line="276" w:lineRule="auto"/>
        <w:jc w:val="both"/>
        <w:rPr>
          <w:rFonts w:ascii="Arial" w:eastAsia="Times New Roman" w:hAnsi="Arial" w:cs="Arial"/>
          <w:sz w:val="22"/>
          <w:szCs w:val="24"/>
          <w:lang w:val="es-CO" w:eastAsia="es-MX"/>
        </w:rPr>
      </w:pPr>
      <w:r w:rsidRPr="00DE39EA">
        <w:rPr>
          <w:rFonts w:ascii="Arial" w:eastAsia="Times New Roman" w:hAnsi="Arial" w:cs="Arial"/>
          <w:sz w:val="22"/>
          <w:szCs w:val="24"/>
          <w:lang w:val="es-CO" w:eastAsia="es-MX"/>
        </w:rPr>
        <w:tab/>
        <w:t>Ello no implica una privatización fuerte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normas civiles y comerciales.</w:t>
      </w:r>
    </w:p>
    <w:p w14:paraId="60D90C0A" w14:textId="77777777" w:rsidR="003C791D" w:rsidRPr="00DE39EA" w:rsidRDefault="003C791D" w:rsidP="003C791D">
      <w:pPr>
        <w:spacing w:after="120" w:line="276" w:lineRule="auto"/>
        <w:jc w:val="both"/>
        <w:rPr>
          <w:rFonts w:ascii="Arial" w:eastAsia="Times New Roman" w:hAnsi="Arial" w:cs="Arial"/>
          <w:sz w:val="22"/>
          <w:szCs w:val="24"/>
          <w:lang w:val="es-CO" w:eastAsia="es-MX"/>
        </w:rPr>
      </w:pPr>
      <w:r w:rsidRPr="00DE39EA">
        <w:rPr>
          <w:rFonts w:ascii="Arial" w:eastAsia="Times New Roman" w:hAnsi="Arial" w:cs="Arial"/>
          <w:sz w:val="22"/>
          <w:szCs w:val="24"/>
          <w:lang w:val="es-CO" w:eastAsia="es-MX"/>
        </w:rPr>
        <w:tab/>
        <w:t xml:space="preserve">En lo que respecta a los contratos exceptuados de la Ley 80 de 1993, si bien el régimen sustantivo no se rige por los citados artículos 13, 32 y 40 del Estatuto de Contratación, es necesario aplicar las normas generales de las obligaciones y de los contratos dispuestas en el Código Civil y de Comercio. Esto en la medida que, como se explicó, el derecho privado es aplicable a todo contrato con independencia de los sujetos, especialmente, en lo relacionado con los requisitos de consentimiento válido, objeto y causa lícitos, capacidad, elementos esenciales según la naturaleza de cada contrato, responsabilidad, naturaleza de las obligaciones emanadas de los mismos, etc., pues contiene las reglas comunes de la materia. </w:t>
      </w:r>
    </w:p>
    <w:p w14:paraId="01AFD04D" w14:textId="77777777" w:rsidR="003C791D" w:rsidRPr="00DE39EA" w:rsidRDefault="003C791D" w:rsidP="003C791D">
      <w:pPr>
        <w:spacing w:after="120" w:line="276" w:lineRule="auto"/>
        <w:jc w:val="both"/>
        <w:rPr>
          <w:rFonts w:ascii="Arial" w:eastAsia="Times New Roman" w:hAnsi="Arial" w:cs="Arial"/>
          <w:sz w:val="22"/>
          <w:szCs w:val="24"/>
          <w:lang w:val="es-CO" w:eastAsia="es-MX"/>
        </w:rPr>
      </w:pPr>
      <w:r w:rsidRPr="00DE39EA">
        <w:rPr>
          <w:rFonts w:ascii="Arial" w:eastAsia="Times New Roman" w:hAnsi="Arial" w:cs="Arial"/>
          <w:sz w:val="22"/>
          <w:szCs w:val="24"/>
          <w:lang w:val="es-CO" w:eastAsia="es-MX"/>
        </w:rPr>
        <w:tab/>
        <w:t xml:space="preserve">En consecuencia, cuando no superen los veinte (20) salarios mínimos legales mensuales vigentes, el régimen sustantivo de los contratos celebrados con recursos del fondo de servicios educativos también se rige por el derecho privado. Dado que el artículo 13 de la Ley 715 de 2001, en concordancia con el artículo 2.3.1.6.3.17. del Decreto 1075 de 2015, permite que el consejo directivo regule «[…] los trámites, garantías y constancias que deben cumplirse para que el rector o director celebre cualquier acto o contrato que cree, extinga o modifique obligaciones que deban registrarse en el Fondo […]», el reglamento que defina los procedimientos aplicables complementa las normas civiles y comerciales, sin que este acto administrativo pueda modificar o derogar estas últimas por tratarse de aspectos regulados en la ley. </w:t>
      </w:r>
    </w:p>
    <w:p w14:paraId="50D6C654" w14:textId="77777777" w:rsidR="003C791D" w:rsidRPr="00DE39EA" w:rsidRDefault="003C791D" w:rsidP="003C791D">
      <w:pPr>
        <w:spacing w:after="120" w:line="276" w:lineRule="auto"/>
        <w:ind w:firstLine="708"/>
        <w:jc w:val="both"/>
        <w:rPr>
          <w:rFonts w:ascii="Arial" w:eastAsia="Times New Roman" w:hAnsi="Arial" w:cs="Arial"/>
          <w:sz w:val="22"/>
          <w:szCs w:val="24"/>
          <w:lang w:val="es-CO" w:eastAsia="es-MX"/>
        </w:rPr>
      </w:pPr>
      <w:r w:rsidRPr="00DE39EA">
        <w:rPr>
          <w:rFonts w:ascii="Arial" w:eastAsia="Times New Roman" w:hAnsi="Arial" w:cs="Arial"/>
          <w:sz w:val="22"/>
          <w:lang w:val="es-CO" w:eastAsia="es-MX"/>
        </w:rPr>
        <w:t xml:space="preserve">Naturalmente, los contratos mencionados en el párrafo precedente no se rigen exclusivamente por las normas civiles y comerciales, pues además del reglamento del consejo directivo, el artículo 13 de la Ley 1150 de 2007 dispone que la contratación exceptuada del Estatuto General también se rige por los principios de la función </w:t>
      </w:r>
      <w:r w:rsidRPr="00DE39EA">
        <w:rPr>
          <w:rFonts w:ascii="Arial" w:eastAsia="Times New Roman" w:hAnsi="Arial" w:cs="Arial"/>
          <w:sz w:val="22"/>
          <w:lang w:val="es-CO" w:eastAsia="es-MX"/>
        </w:rPr>
        <w:lastRenderedPageBreak/>
        <w:t>administrativa, los principios de la gestión fiscal y el régimen de inhabilidades e incompatibilidades previsto para la contratación estatal</w:t>
      </w:r>
      <w:r w:rsidRPr="00DE39EA">
        <w:rPr>
          <w:rFonts w:ascii="Arial" w:eastAsia="Times New Roman" w:hAnsi="Arial" w:cs="Arial"/>
          <w:sz w:val="22"/>
          <w:vertAlign w:val="superscript"/>
          <w:lang w:val="es-CO" w:eastAsia="es-MX"/>
        </w:rPr>
        <w:footnoteReference w:id="44"/>
      </w:r>
      <w:r w:rsidRPr="00DE39EA">
        <w:rPr>
          <w:rFonts w:ascii="Arial" w:eastAsia="Times New Roman" w:hAnsi="Arial" w:cs="Arial"/>
          <w:sz w:val="22"/>
          <w:lang w:val="es-CO" w:eastAsia="es-MX"/>
        </w:rPr>
        <w:t>.</w:t>
      </w:r>
    </w:p>
    <w:p w14:paraId="5A8372BC" w14:textId="77777777" w:rsidR="003C791D" w:rsidRPr="00DE39EA" w:rsidRDefault="003C791D" w:rsidP="003C791D">
      <w:pPr>
        <w:spacing w:after="160" w:line="276" w:lineRule="auto"/>
        <w:ind w:firstLine="709"/>
        <w:jc w:val="both"/>
        <w:rPr>
          <w:rFonts w:ascii="Arial" w:eastAsia="Times New Roman" w:hAnsi="Arial" w:cs="Arial"/>
          <w:bCs/>
          <w:color w:val="000000"/>
          <w:sz w:val="22"/>
          <w:szCs w:val="24"/>
          <w:lang w:val="es-CO" w:eastAsia="es-CO"/>
        </w:rPr>
      </w:pPr>
      <w:r w:rsidRPr="00DE39EA">
        <w:rPr>
          <w:rFonts w:ascii="Arial" w:eastAsia="Calibri" w:hAnsi="Arial" w:cs="Arial"/>
          <w:color w:val="000000" w:themeColor="text1"/>
          <w:sz w:val="22"/>
          <w:szCs w:val="24"/>
          <w:lang w:val="es-CO" w:eastAsia="es-MX"/>
        </w:rPr>
        <w:t xml:space="preserve">En este contexto, para la restricción del artículo 33 de la </w:t>
      </w:r>
      <w:r w:rsidRPr="00DE39EA">
        <w:rPr>
          <w:rFonts w:ascii="Arial" w:eastAsia="Times New Roman" w:hAnsi="Arial" w:cs="Arial"/>
          <w:bCs/>
          <w:color w:val="000000"/>
          <w:sz w:val="22"/>
          <w:szCs w:val="24"/>
          <w:lang w:val="es-CO" w:eastAsia="es-CO"/>
        </w:rPr>
        <w:t xml:space="preserve">Ley 996 de 2005 es necesario considerar que </w:t>
      </w:r>
      <w:r w:rsidRPr="00DE39EA">
        <w:rPr>
          <w:rFonts w:ascii="Arial" w:eastAsia="Calibri" w:hAnsi="Arial" w:cs="Arial"/>
          <w:sz w:val="22"/>
          <w:szCs w:val="24"/>
          <w:lang w:val="es-ES" w:eastAsia="es-MX"/>
        </w:rPr>
        <w:t xml:space="preserve">el artículo </w:t>
      </w:r>
      <w:r w:rsidRPr="00DE39EA">
        <w:rPr>
          <w:rFonts w:ascii="Arial" w:eastAsia="Times New Roman" w:hAnsi="Arial" w:cs="Arial"/>
          <w:sz w:val="22"/>
          <w:szCs w:val="24"/>
          <w:lang w:val="es-CO" w:eastAsia="es-MX"/>
        </w:rPr>
        <w:t>13 de la Ley 715 de 2001</w:t>
      </w:r>
      <w:r w:rsidRPr="00DE39EA">
        <w:rPr>
          <w:rFonts w:ascii="Arial" w:eastAsia="Times New Roman" w:hAnsi="Arial" w:cs="Arial"/>
          <w:bCs/>
          <w:color w:val="000000"/>
          <w:sz w:val="22"/>
          <w:szCs w:val="24"/>
          <w:lang w:val="es-CO" w:eastAsia="es-CO"/>
        </w:rPr>
        <w:t xml:space="preserve"> consagra un régimen jurídico que exceptúa la aplicación del Estatuto General de Contratación de la Administración Pública en los contratos de los fondos de servicios educativos inferiores a veinte (20) SMLMV con el objetivo de flexibilizar el régimen contractual aplicable. Pese a lo anterior, la prohibición de contratación directa de la Ley de Garantías es independiente del régimen contractual, por lo que se extiende a los contratos celebrados con cargo a los fondos de servicios educativos.</w:t>
      </w:r>
    </w:p>
    <w:p w14:paraId="7FD58E8E" w14:textId="77777777" w:rsidR="003C791D" w:rsidRPr="00DE39EA" w:rsidRDefault="003C791D" w:rsidP="003C791D">
      <w:pPr>
        <w:spacing w:after="160" w:line="276" w:lineRule="auto"/>
        <w:ind w:firstLine="709"/>
        <w:jc w:val="both"/>
        <w:rPr>
          <w:rFonts w:ascii="Arial" w:eastAsia="Times New Roman" w:hAnsi="Arial" w:cs="Arial"/>
          <w:bCs/>
          <w:color w:val="000000"/>
          <w:sz w:val="21"/>
          <w:szCs w:val="21"/>
          <w:lang w:val="es-CO" w:eastAsia="es-CO"/>
        </w:rPr>
      </w:pPr>
      <w:r w:rsidRPr="00DE39EA">
        <w:rPr>
          <w:rFonts w:ascii="Arial" w:eastAsia="Times New Roman" w:hAnsi="Arial" w:cs="Arial"/>
          <w:color w:val="000000"/>
          <w:sz w:val="22"/>
          <w:lang w:val="es-CO" w:eastAsia="es-CO"/>
        </w:rPr>
        <w:t xml:space="preserve">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DE39EA">
        <w:rPr>
          <w:rFonts w:ascii="Arial" w:eastAsia="Times New Roman" w:hAnsi="Arial" w:cs="Arial"/>
          <w:i/>
          <w:iCs/>
          <w:color w:val="000000"/>
          <w:sz w:val="22"/>
          <w:lang w:val="es-CO"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DE39EA">
        <w:rPr>
          <w:rFonts w:ascii="Arial" w:eastAsia="Times New Roman" w:hAnsi="Arial" w:cs="Arial"/>
          <w:color w:val="000000"/>
          <w:sz w:val="22"/>
          <w:lang w:val="es-CO" w:eastAsia="es-CO"/>
        </w:rPr>
        <w:t>»</w:t>
      </w:r>
      <w:r w:rsidRPr="00DE39EA">
        <w:rPr>
          <w:rFonts w:ascii="Arial" w:eastAsia="Times New Roman" w:hAnsi="Arial" w:cs="Arial"/>
          <w:color w:val="000000"/>
          <w:sz w:val="22"/>
          <w:vertAlign w:val="superscript"/>
          <w:lang w:val="es-CO" w:eastAsia="es-CO"/>
        </w:rPr>
        <w:footnoteReference w:id="45"/>
      </w:r>
      <w:r w:rsidRPr="00DE39EA">
        <w:rPr>
          <w:rFonts w:ascii="Arial" w:eastAsia="Times New Roman" w:hAnsi="Arial" w:cs="Arial"/>
          <w:color w:val="000000"/>
          <w:sz w:val="22"/>
          <w:lang w:val="es-CO" w:eastAsia="es-CO"/>
        </w:rPr>
        <w:t xml:space="preserve"> (Énfasis fuera de texto). Por tanto, durante la vigencia de la prohibición del artículo 33 de la Ley 996 de 2005 está restringida </w:t>
      </w:r>
      <w:r w:rsidRPr="00DE39EA">
        <w:rPr>
          <w:rFonts w:ascii="Arial" w:eastAsia="Times New Roman" w:hAnsi="Arial" w:cs="Arial"/>
          <w:i/>
          <w:iCs/>
          <w:color w:val="000000"/>
          <w:sz w:val="22"/>
          <w:lang w:val="es-CO" w:eastAsia="es-CO"/>
        </w:rPr>
        <w:t>cualquier modalidad de selección que excluya la pluralidad de oferentes</w:t>
      </w:r>
      <w:r w:rsidRPr="00DE39EA">
        <w:rPr>
          <w:rFonts w:ascii="Arial" w:eastAsia="Times New Roman" w:hAnsi="Arial" w:cs="Arial"/>
          <w:color w:val="000000"/>
          <w:sz w:val="22"/>
          <w:lang w:val="es-CO" w:eastAsia="es-CO"/>
        </w:rPr>
        <w:t xml:space="preserve">, incluso aunque se realice con fundamento en el régimen especial de contratación realizado con recursos de los fondos de servicios educativos por valor inferior a veinte (20) SMLMV, por implicar una forma de contratación directa. En tal sentido, será posible realizar procesos contractuales, siempre que estos incluyan la posibilidad de participación de una pluralidad de oferentes, ya que estos no implicarían una contratación </w:t>
      </w:r>
      <w:r w:rsidRPr="00DE39EA">
        <w:rPr>
          <w:rFonts w:ascii="Arial" w:eastAsia="Times New Roman" w:hAnsi="Arial" w:cs="Arial"/>
          <w:i/>
          <w:iCs/>
          <w:color w:val="000000"/>
          <w:sz w:val="22"/>
          <w:lang w:val="es-CO" w:eastAsia="es-CO"/>
        </w:rPr>
        <w:t>directa.</w:t>
      </w:r>
      <w:r w:rsidRPr="00DE39EA">
        <w:rPr>
          <w:rFonts w:ascii="Arial" w:eastAsia="Times New Roman" w:hAnsi="Arial" w:cs="Arial"/>
          <w:color w:val="000000"/>
          <w:sz w:val="22"/>
          <w:lang w:val="es-CO" w:eastAsia="es-CO"/>
        </w:rPr>
        <w:t xml:space="preserve"> En conclusión, la prohibición del artículo 33 de la Ley 996 de 2005 se extiende a cualquier contrato realizado con recursos de fondos de servicios educativos, sean inferiores o superiores a 20 SMLMV siempre que el contrato se celebre sin que esté antecedido de un procedimiento que admita la posible participación de una pluralidad de oferentes, toda vez que la prohibición recae sobre la </w:t>
      </w:r>
      <w:r w:rsidRPr="00DE39EA">
        <w:rPr>
          <w:rFonts w:ascii="Arial" w:eastAsia="Times New Roman" w:hAnsi="Arial" w:cs="Arial"/>
          <w:i/>
          <w:iCs/>
          <w:color w:val="000000"/>
          <w:sz w:val="22"/>
          <w:lang w:val="es-CO" w:eastAsia="es-CO"/>
        </w:rPr>
        <w:t>contratación directa</w:t>
      </w:r>
      <w:r w:rsidRPr="00DE39EA">
        <w:rPr>
          <w:rFonts w:ascii="Arial" w:eastAsia="Times New Roman" w:hAnsi="Arial" w:cs="Arial"/>
          <w:color w:val="000000"/>
          <w:sz w:val="22"/>
          <w:lang w:val="es-CO" w:eastAsia="es-CO"/>
        </w:rPr>
        <w:t xml:space="preserve">.  </w:t>
      </w:r>
    </w:p>
    <w:p w14:paraId="3ECACBE1" w14:textId="77777777" w:rsidR="003C791D" w:rsidRPr="00DE39EA" w:rsidRDefault="003C791D" w:rsidP="003C791D">
      <w:pPr>
        <w:spacing w:line="276" w:lineRule="auto"/>
        <w:ind w:firstLine="708"/>
        <w:jc w:val="both"/>
        <w:rPr>
          <w:rFonts w:ascii="Arial" w:eastAsia="Times New Roman" w:hAnsi="Arial" w:cs="Arial"/>
          <w:sz w:val="22"/>
          <w:szCs w:val="24"/>
          <w:lang w:val="es-CO" w:eastAsia="es-MX"/>
        </w:rPr>
      </w:pPr>
      <w:r w:rsidRPr="00DE39EA">
        <w:rPr>
          <w:rFonts w:ascii="Arial" w:eastAsia="Times New Roman" w:hAnsi="Arial" w:cs="Arial"/>
          <w:bCs/>
          <w:color w:val="000000"/>
          <w:sz w:val="22"/>
          <w:szCs w:val="24"/>
          <w:lang w:val="es-CO" w:eastAsia="es-CO"/>
        </w:rPr>
        <w:t xml:space="preserve">Por otra parte, respecto de </w:t>
      </w:r>
      <w:r w:rsidRPr="00DE39EA">
        <w:rPr>
          <w:rFonts w:ascii="Arial" w:eastAsia="Calibri" w:hAnsi="Arial" w:cs="Arial"/>
          <w:color w:val="000000" w:themeColor="text1"/>
          <w:sz w:val="22"/>
          <w:szCs w:val="24"/>
          <w:lang w:val="es-CO" w:eastAsia="es-MX"/>
        </w:rPr>
        <w:t xml:space="preserve">la restricción del artículo 38 de la </w:t>
      </w:r>
      <w:r w:rsidRPr="00DE39EA">
        <w:rPr>
          <w:rFonts w:ascii="Arial" w:eastAsia="Times New Roman" w:hAnsi="Arial" w:cs="Arial"/>
          <w:bCs/>
          <w:color w:val="000000"/>
          <w:sz w:val="22"/>
          <w:szCs w:val="24"/>
          <w:lang w:val="es-CO" w:eastAsia="es-CO"/>
        </w:rPr>
        <w:t xml:space="preserve">Ley de Garantías, se considera que los contratos celebrados entre los administradores del fondo y otras entidades públicas son contratos interadministrativos. En efecto, el citado artículo </w:t>
      </w:r>
      <w:r w:rsidRPr="00DE39EA">
        <w:rPr>
          <w:rFonts w:ascii="Arial" w:eastAsia="Times New Roman" w:hAnsi="Arial" w:cs="Arial"/>
          <w:bCs/>
          <w:color w:val="000000"/>
          <w:sz w:val="22"/>
          <w:szCs w:val="24"/>
          <w:lang w:val="es-CO" w:eastAsia="es-CO"/>
        </w:rPr>
        <w:lastRenderedPageBreak/>
        <w:t>2.2.1.2.1.4.4 d</w:t>
      </w:r>
      <w:r w:rsidRPr="00DE39EA">
        <w:rPr>
          <w:rFonts w:ascii="Arial" w:eastAsia="Calibri" w:hAnsi="Arial" w:cs="Arial"/>
          <w:color w:val="000000" w:themeColor="text1"/>
          <w:sz w:val="22"/>
          <w:szCs w:val="24"/>
          <w:lang w:val="es-ES_tradnl" w:eastAsia="es-MX"/>
        </w:rPr>
        <w:t xml:space="preserve">el Decreto 1082 de 2015 califica a los convenios o contratos interadministrativos como aquella contratación entre entidades estatales. El concepto está definido en el artículo 2.2.1.1.1.3.1 </w:t>
      </w:r>
      <w:r w:rsidRPr="00DE39EA">
        <w:rPr>
          <w:rFonts w:ascii="Arial" w:eastAsia="Calibri" w:hAnsi="Arial" w:cs="Arial"/>
          <w:i/>
          <w:iCs/>
          <w:color w:val="000000" w:themeColor="text1"/>
          <w:sz w:val="22"/>
          <w:szCs w:val="24"/>
          <w:lang w:val="es-ES_tradnl" w:eastAsia="es-MX"/>
        </w:rPr>
        <w:t>ibidem</w:t>
      </w:r>
      <w:r w:rsidRPr="00DE39EA">
        <w:rPr>
          <w:rFonts w:ascii="Arial" w:eastAsia="Calibri" w:hAnsi="Arial" w:cs="Arial"/>
          <w:color w:val="000000" w:themeColor="text1"/>
          <w:sz w:val="22"/>
          <w:szCs w:val="24"/>
          <w:lang w:val="es-ES_tradnl" w:eastAsia="es-MX"/>
        </w:rPr>
        <w:t xml:space="preserve"> como «Cada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 Aunque </w:t>
      </w:r>
      <w:r w:rsidRPr="00DE39EA">
        <w:rPr>
          <w:rFonts w:ascii="Arial" w:eastAsia="Times New Roman" w:hAnsi="Arial" w:cs="Arial"/>
          <w:sz w:val="22"/>
          <w:szCs w:val="24"/>
          <w:lang w:val="es-CO" w:eastAsia="es-MX"/>
        </w:rPr>
        <w:t>las instituciones educativas carecen de personería jurídica, tienen capacidad para contratar y se concreta en la competencia que le otorgó el legislador en la Ley 715 de 2001 para administrar los fondos de servicios educativos. Así, conforme al literal b) del artículo 2.1 de la Ley 80 de 1993, también se considera entidad estatal todos aquellos «[…] organismos o dependencias del Estado a los que la ley otorgue capacidad para celebrar contratos».</w:t>
      </w:r>
    </w:p>
    <w:p w14:paraId="0E150FFF" w14:textId="591358EA" w:rsidR="00EA660D" w:rsidRPr="00DE39EA" w:rsidRDefault="00EA660D" w:rsidP="00363E34">
      <w:pPr>
        <w:pStyle w:val="Textoindependiente"/>
        <w:spacing w:before="240" w:line="276" w:lineRule="auto"/>
        <w:jc w:val="both"/>
        <w:rPr>
          <w:color w:val="000000" w:themeColor="text1"/>
          <w:u w:val="single"/>
        </w:rPr>
      </w:pPr>
      <w:r w:rsidRPr="00DE39EA">
        <w:rPr>
          <w:rFonts w:eastAsia="Calibri"/>
          <w:b/>
          <w:color w:val="000000" w:themeColor="text1"/>
          <w:lang w:val="es-ES_tradnl"/>
        </w:rPr>
        <w:t>3. Respuesta</w:t>
      </w:r>
    </w:p>
    <w:p w14:paraId="20E955E8" w14:textId="77777777" w:rsidR="00EA660D" w:rsidRPr="00DE39EA" w:rsidRDefault="00EA660D" w:rsidP="001F7C1D">
      <w:pPr>
        <w:spacing w:line="276" w:lineRule="auto"/>
        <w:jc w:val="both"/>
        <w:rPr>
          <w:rFonts w:ascii="Arial" w:hAnsi="Arial" w:cs="Arial"/>
          <w:color w:val="000000" w:themeColor="text1"/>
          <w:sz w:val="22"/>
        </w:rPr>
      </w:pPr>
    </w:p>
    <w:p w14:paraId="26203BCA" w14:textId="2B25ED7C" w:rsidR="0079257D" w:rsidRPr="00DE39EA" w:rsidRDefault="008C50D0" w:rsidP="004C7C7B">
      <w:pPr>
        <w:pStyle w:val="Textoindependiente"/>
        <w:ind w:left="709" w:right="709"/>
        <w:jc w:val="both"/>
        <w:rPr>
          <w:color w:val="000000"/>
          <w:sz w:val="21"/>
          <w:szCs w:val="21"/>
        </w:rPr>
      </w:pPr>
      <w:r w:rsidRPr="00DE39EA">
        <w:rPr>
          <w:bCs/>
          <w:color w:val="000000"/>
          <w:sz w:val="21"/>
          <w:szCs w:val="21"/>
          <w:lang w:eastAsia="es-CO"/>
        </w:rPr>
        <w:t>«</w:t>
      </w:r>
      <w:r w:rsidRPr="00DE39EA">
        <w:rPr>
          <w:bCs/>
          <w:sz w:val="20"/>
          <w:szCs w:val="20"/>
          <w:lang w:eastAsia="es-CO"/>
        </w:rPr>
        <w:t xml:space="preserve">[…] </w:t>
      </w:r>
      <w:r w:rsidRPr="00DE39EA">
        <w:rPr>
          <w:color w:val="000000"/>
          <w:sz w:val="21"/>
          <w:szCs w:val="21"/>
        </w:rPr>
        <w:t>solicitamos muy respetuosamente de su concurso para que se indique de manera precisa y asertiva a esta institución educativa según lo antes expuesto, si a los Fondos de Servicios Educativos les está prohibido contratar hasta los 20 salarios mínimos en Ley de Garantías, o si por el contrario la institución puede suscribir contratos hasta por esa misma cuantía sin restricción durante el tiempo que se extienda esta medida prohibitiva. Agradecemos su gentil y pronta respuesta a nuestra solicitud, lo cual sin duda beneficia a los niños, niñas y jóvenes estudiantes de nuestra entidad educativa.»</w:t>
      </w:r>
    </w:p>
    <w:p w14:paraId="691483B0" w14:textId="77777777" w:rsidR="00E05BE7" w:rsidRPr="00DE39EA" w:rsidRDefault="00E05BE7" w:rsidP="004C7C7B">
      <w:pPr>
        <w:pStyle w:val="Textoindependiente"/>
        <w:ind w:left="709" w:right="709"/>
        <w:jc w:val="both"/>
        <w:rPr>
          <w:rFonts w:eastAsia="Times New Roman"/>
          <w:bCs/>
          <w:color w:val="000000"/>
          <w:sz w:val="21"/>
          <w:szCs w:val="21"/>
          <w:lang w:eastAsia="es-CO"/>
        </w:rPr>
      </w:pPr>
    </w:p>
    <w:p w14:paraId="0F0EF8F1" w14:textId="0F3C5C3B" w:rsidR="00E05BE7" w:rsidRPr="00DE39EA" w:rsidRDefault="00E05BE7" w:rsidP="00E05BE7">
      <w:pPr>
        <w:spacing w:after="120" w:line="276" w:lineRule="auto"/>
        <w:jc w:val="both"/>
        <w:rPr>
          <w:rFonts w:ascii="Arial" w:eastAsia="Times New Roman" w:hAnsi="Arial" w:cs="Arial"/>
          <w:sz w:val="22"/>
          <w:lang w:eastAsia="es-CO"/>
        </w:rPr>
      </w:pPr>
      <w:r w:rsidRPr="00DE39EA">
        <w:rPr>
          <w:rFonts w:ascii="Arial" w:eastAsia="Times New Roman" w:hAnsi="Arial" w:cs="Arial"/>
          <w:sz w:val="22"/>
          <w:lang w:eastAsia="es-CO"/>
        </w:rPr>
        <w:t>De acuerdo con las explicaciones precedentes, de la Ley 996 de 2005 se derivan dos prohibiciones diferentes aplicables a periodos preelectorales distintos. Una es la prohibición que se deriva de lo establecido en el artículo 33, respecto a las elecciones presidenciales; y otra la originada en el parágrafo del artículo 38 que aplica frente a elecciones para cualquier cargo de elección popular, lo que también incluye las presidenciales.</w:t>
      </w:r>
    </w:p>
    <w:p w14:paraId="4C70FFCE" w14:textId="77777777" w:rsidR="00E05BE7" w:rsidRPr="00DE39EA" w:rsidRDefault="00E05BE7" w:rsidP="00E05BE7">
      <w:pPr>
        <w:spacing w:after="120" w:line="276" w:lineRule="auto"/>
        <w:ind w:firstLine="567"/>
        <w:jc w:val="both"/>
        <w:rPr>
          <w:rFonts w:ascii="Times New Roman" w:eastAsia="Times New Roman" w:hAnsi="Times New Roman" w:cs="Times New Roman"/>
          <w:sz w:val="22"/>
          <w:lang w:eastAsia="es-CO"/>
        </w:rPr>
      </w:pPr>
      <w:r w:rsidRPr="00DE39EA">
        <w:rPr>
          <w:rFonts w:ascii="Arial" w:eastAsia="Times New Roman" w:hAnsi="Arial" w:cs="Arial"/>
          <w:i/>
          <w:iCs/>
          <w:sz w:val="22"/>
          <w:lang w:eastAsia="es-CO"/>
        </w:rPr>
        <w:t>En primer lugar</w:t>
      </w:r>
      <w:r w:rsidRPr="00DE39EA">
        <w:rPr>
          <w:rFonts w:ascii="Arial" w:eastAsia="Times New Roman" w:hAnsi="Arial" w:cs="Arial"/>
          <w:sz w:val="22"/>
          <w:lang w:eastAsia="es-CO"/>
        </w:rPr>
        <w:t>, la restricción del artículo 33 prohíbe la contratación directa por parte de todos los entes del Estado, durante los cuatro (4) meses anteriores a la elección presidencial y hasta la realización de la elección en la segunda vuelta, en caso de que se presente. En consecuencia, es necesario considerar que el artículo 13 de la Ley 715 de 2001 consagra un régimen jurídico que exceptúa la aplicación del Estatuto General de Contratación de la Administración Pública para los contratos de los fondos de servicios educativos inferiores a veinte (20) SMLMV, con el objetivo de flexibilizar el régimen contractual aplicable. Pese a lo anterior, la prohibición de contratación directa de la Ley de Garantías es independiente del régimen contractual, por lo que se extiende a los contratos celebrados con cargo a los fondos de servicios educativos.</w:t>
      </w:r>
    </w:p>
    <w:p w14:paraId="26125BE7" w14:textId="77777777" w:rsidR="00E05BE7" w:rsidRPr="00DE39EA" w:rsidRDefault="00E05BE7" w:rsidP="00E05BE7">
      <w:pPr>
        <w:spacing w:after="120" w:line="276" w:lineRule="auto"/>
        <w:ind w:firstLine="567"/>
        <w:jc w:val="both"/>
        <w:rPr>
          <w:rFonts w:ascii="Arial" w:eastAsia="Times New Roman" w:hAnsi="Arial" w:cs="Arial"/>
          <w:sz w:val="22"/>
          <w:lang w:eastAsia="es-CO"/>
        </w:rPr>
      </w:pPr>
      <w:r w:rsidRPr="00DE39EA">
        <w:rPr>
          <w:rFonts w:ascii="Arial" w:eastAsia="Times New Roman" w:hAnsi="Arial" w:cs="Arial"/>
          <w:sz w:val="22"/>
          <w:lang w:eastAsia="es-CO"/>
        </w:rPr>
        <w:t xml:space="preserve">En armonía con lo anterior, la prohibición del artículo 33 de la Ley de Garantías Electorales se refiere a «cualquier sistema que no implique convocatoria pública y </w:t>
      </w:r>
      <w:r w:rsidRPr="00DE39EA">
        <w:rPr>
          <w:rFonts w:ascii="Arial" w:eastAsia="Times New Roman" w:hAnsi="Arial" w:cs="Arial"/>
          <w:sz w:val="22"/>
          <w:lang w:eastAsia="es-CO"/>
        </w:rPr>
        <w:lastRenderedPageBreak/>
        <w:t>posibilidad de pluralidad de oferentes»</w:t>
      </w:r>
      <w:r w:rsidRPr="00DE39EA">
        <w:rPr>
          <w:rFonts w:ascii="Arial" w:eastAsia="Times New Roman" w:hAnsi="Arial" w:cs="Arial"/>
          <w:sz w:val="22"/>
          <w:vertAlign w:val="superscript"/>
          <w:lang w:eastAsia="es-CO"/>
        </w:rPr>
        <w:footnoteReference w:id="46"/>
      </w:r>
      <w:r w:rsidRPr="00DE39EA">
        <w:rPr>
          <w:rFonts w:ascii="Arial" w:eastAsia="Times New Roman" w:hAnsi="Arial" w:cs="Arial"/>
          <w:sz w:val="22"/>
          <w:lang w:eastAsia="es-CO"/>
        </w:rPr>
        <w:t xml:space="preserve">, esto es, la contratación directa por lo que excluye de la prohibición a las demás modalidades de contratación previstas en la Ley 1150 de 2007. Esto significa que, procedimientos como el de licitación pública, selección abreviada, concurso de méritos, mínima cuantía y demás procesos susceptibles de pluralidad de oferentes previstos en normas especiales, pueden adelantarse en vigencia de la restricción del artículo 33, sin que ello suponga una contravención a la misma. En tal sentido, se reitera que la prohibición del artículo 33 de la Ley de Garantías Electorales recae sobre cualquier forma de contratación directa, salvo que en el caso concreto se presente alguna de las excepciones establecidas en el inciso segundo del artículo 33, esto es, </w:t>
      </w:r>
      <w:r w:rsidRPr="00DE39EA">
        <w:rPr>
          <w:rFonts w:ascii="Arial" w:eastAsia="Times New Roman" w:hAnsi="Arial" w:cs="Arial"/>
          <w:bCs/>
          <w:sz w:val="22"/>
          <w:lang w:eastAsia="x-none"/>
        </w:rPr>
        <w:t>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DE39EA">
        <w:rPr>
          <w:rFonts w:ascii="Arial" w:eastAsia="Times New Roman"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95C6D22" w14:textId="77777777" w:rsidR="00E05BE7" w:rsidRPr="00DE39EA" w:rsidRDefault="00E05BE7" w:rsidP="00E05BE7">
      <w:pPr>
        <w:spacing w:after="120" w:line="276" w:lineRule="auto"/>
        <w:ind w:firstLine="567"/>
        <w:jc w:val="both"/>
        <w:rPr>
          <w:rFonts w:ascii="Times New Roman" w:eastAsia="Times New Roman" w:hAnsi="Times New Roman" w:cs="Times New Roman"/>
          <w:sz w:val="22"/>
          <w:lang w:eastAsia="es-CO"/>
        </w:rPr>
      </w:pPr>
      <w:r w:rsidRPr="00DE39EA">
        <w:rPr>
          <w:rFonts w:ascii="Arial" w:eastAsia="Times New Roman" w:hAnsi="Arial" w:cs="Arial"/>
          <w:i/>
          <w:iCs/>
          <w:sz w:val="22"/>
          <w:lang w:eastAsia="es-CO"/>
        </w:rPr>
        <w:t>En segundo lugar</w:t>
      </w:r>
      <w:r w:rsidRPr="00DE39EA">
        <w:rPr>
          <w:rFonts w:ascii="Arial" w:eastAsia="Times New Roman" w:hAnsi="Arial" w:cs="Arial"/>
          <w:sz w:val="22"/>
          <w:lang w:eastAsia="es-CO"/>
        </w:rPr>
        <w:t xml:space="preserve">, el parágrafo del artículo 38 de la Ley 996 de 2005 prohíbe a los gobernadores, alcaldes, secretarios, gerentes y directores de Entidades Estatales del orden Municipal, Departamental o Distrital celebrar convenios o contratos interadministrativos para ejecutar recursos públicos durante los cuatro (4) meses anteriores a cualquier elección de cargos de elección popular. </w:t>
      </w:r>
    </w:p>
    <w:p w14:paraId="59D37E60" w14:textId="77777777" w:rsidR="00E05BE7" w:rsidRPr="00DE39EA" w:rsidRDefault="00E05BE7" w:rsidP="00E05BE7">
      <w:pPr>
        <w:spacing w:after="120" w:line="276" w:lineRule="auto"/>
        <w:ind w:firstLine="567"/>
        <w:jc w:val="both"/>
        <w:rPr>
          <w:rFonts w:ascii="Arial" w:eastAsia="Times New Roman" w:hAnsi="Arial" w:cs="Arial"/>
          <w:sz w:val="22"/>
          <w:lang w:eastAsia="es-CO"/>
        </w:rPr>
      </w:pPr>
      <w:r w:rsidRPr="00DE39EA">
        <w:rPr>
          <w:rFonts w:ascii="Arial" w:eastAsia="Times New Roman" w:hAnsi="Arial" w:cs="Arial"/>
          <w:sz w:val="22"/>
          <w:lang w:eastAsia="es-CO"/>
        </w:rPr>
        <w:t xml:space="preserve">En este sentido, respecto a la restricción del artículo 38 de la Ley de Garantías se considera que los contratos celebrados con los administradores del fondo y </w:t>
      </w:r>
      <w:r w:rsidRPr="00DE39EA">
        <w:rPr>
          <w:rFonts w:ascii="Arial" w:eastAsia="Times New Roman" w:hAnsi="Arial" w:cs="Arial"/>
          <w:i/>
          <w:iCs/>
          <w:sz w:val="22"/>
          <w:lang w:eastAsia="es-CO"/>
        </w:rPr>
        <w:t>otras entidades públicas</w:t>
      </w:r>
      <w:r w:rsidRPr="00DE39EA">
        <w:rPr>
          <w:rFonts w:ascii="Arial" w:eastAsia="Times New Roman" w:hAnsi="Arial" w:cs="Arial"/>
          <w:sz w:val="22"/>
          <w:lang w:eastAsia="es-CO"/>
        </w:rPr>
        <w:t xml:space="preserve"> son contratos interadministrativos. En efecto, el citado artículo 2.2.1.2.1.4.4 del Decreto 1082 de 2015 califica a los convenios o contratos interadministrativos como aquella contratación entre entidades estatales. El concepto está definido en el artículo 2.2.1.1.1.3.1 ibidem como: «Cada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 Aunque las instituciones educativas carecen de personería jurídica, tienen capacidad para contratar y se concreta en la competencia que le otorgó el legislador en la Ley 715 de 2001 para administrar los fondos de servicios educativos. Así, conforme al literal b) del artículo 2.1 de la Ley 80 de 1993, también se considera entidad estatal todos aquellos «[…] organismos o dependencias del Estado a los que la ley otorgue capacidad para celebrar contratos».</w:t>
      </w:r>
    </w:p>
    <w:p w14:paraId="21A41E97" w14:textId="77777777" w:rsidR="00E05BE7" w:rsidRPr="00DE39EA" w:rsidRDefault="00E05BE7" w:rsidP="00E05BE7">
      <w:pPr>
        <w:spacing w:line="276" w:lineRule="auto"/>
        <w:ind w:firstLine="567"/>
        <w:jc w:val="both"/>
        <w:rPr>
          <w:rFonts w:ascii="Arial" w:eastAsiaTheme="minorEastAsia" w:hAnsi="Arial" w:cs="Arial"/>
          <w:sz w:val="22"/>
          <w:lang w:val="es-ES"/>
        </w:rPr>
      </w:pPr>
      <w:r w:rsidRPr="00DE39EA">
        <w:rPr>
          <w:rFonts w:ascii="Arial" w:eastAsia="Times New Roman" w:hAnsi="Arial" w:cs="Arial"/>
          <w:sz w:val="22"/>
          <w:lang w:val="es-CO" w:eastAsia="es-MX"/>
        </w:rPr>
        <w:lastRenderedPageBreak/>
        <w:t xml:space="preserve">En los términos anteriormente explicados, ambas restricciones aplican a los contratos celebrados con cargo a los fondos de servicios educativos, de acuerdo con el alcance precisado frente a los artículos 33 y el parágrafo del artículo 38 de la Ley de Garantías Electorales. Por lo que, dentro de este marco general, </w:t>
      </w:r>
      <w:r w:rsidRPr="00DE39EA">
        <w:rPr>
          <w:rFonts w:ascii="Arial" w:eastAsiaTheme="minorEastAsia" w:hAnsi="Arial" w:cs="Arial"/>
          <w:sz w:val="22"/>
          <w:lang w:val="es-ES"/>
        </w:rPr>
        <w:t xml:space="preserve">le corresponderá a cada entidad, previo concepto de sus órganos asesores, definir la viabilidad técnica, jurídica y financiera de celebrar determinado contrato estatal en específico. </w:t>
      </w:r>
    </w:p>
    <w:p w14:paraId="7A489D82" w14:textId="77777777" w:rsidR="00A44717" w:rsidRPr="00DE39EA" w:rsidRDefault="00A44717" w:rsidP="004C7C7B">
      <w:pPr>
        <w:spacing w:before="240" w:line="276" w:lineRule="auto"/>
        <w:jc w:val="both"/>
        <w:rPr>
          <w:rFonts w:ascii="Arial" w:eastAsia="Calibri" w:hAnsi="Arial" w:cs="Arial"/>
          <w:color w:val="000000" w:themeColor="text1"/>
          <w:sz w:val="22"/>
        </w:rPr>
      </w:pPr>
      <w:r w:rsidRPr="00DE39EA">
        <w:rPr>
          <w:rFonts w:ascii="Arial" w:eastAsia="Calibri" w:hAnsi="Arial" w:cs="Arial"/>
          <w:color w:val="000000" w:themeColor="text1"/>
          <w:sz w:val="22"/>
        </w:rPr>
        <w:t>Este concepto tiene el alcance previsto en el artículo 28 del Código de Procedimiento Administrativo y de lo Contencioso Administrativo.</w:t>
      </w:r>
    </w:p>
    <w:p w14:paraId="24145D87" w14:textId="77777777" w:rsidR="00D61E7A" w:rsidRPr="00DE39EA" w:rsidRDefault="00D61E7A" w:rsidP="001F7C1D">
      <w:pPr>
        <w:pStyle w:val="Textoindependiente"/>
        <w:spacing w:line="276" w:lineRule="auto"/>
        <w:ind w:right="107"/>
        <w:jc w:val="both"/>
        <w:rPr>
          <w:rFonts w:eastAsia="Times New Roman"/>
          <w:lang w:eastAsia="es-CO"/>
        </w:rPr>
      </w:pPr>
    </w:p>
    <w:p w14:paraId="2B02915D" w14:textId="55D3D196" w:rsidR="00BE1E33" w:rsidRPr="00DE39EA" w:rsidRDefault="00BE1E33" w:rsidP="001F7C1D">
      <w:pPr>
        <w:pStyle w:val="Textoindependiente"/>
        <w:spacing w:line="276" w:lineRule="auto"/>
        <w:ind w:right="107"/>
        <w:jc w:val="both"/>
        <w:rPr>
          <w:rFonts w:eastAsia="Times New Roman"/>
          <w:lang w:val="es-ES_tradnl" w:eastAsia="es-CO"/>
        </w:rPr>
      </w:pPr>
      <w:r w:rsidRPr="00DE39EA">
        <w:rPr>
          <w:rFonts w:eastAsia="Times New Roman"/>
          <w:lang w:eastAsia="es-CO"/>
        </w:rPr>
        <w:t>Atentamente,</w:t>
      </w:r>
    </w:p>
    <w:bookmarkEnd w:id="1"/>
    <w:bookmarkEnd w:id="2"/>
    <w:p w14:paraId="1C8F6984" w14:textId="7ADF9DEA" w:rsidR="00BE1E33" w:rsidRPr="00DE39EA" w:rsidRDefault="00BE1E33" w:rsidP="673CEEA7">
      <w:pPr>
        <w:spacing w:line="276" w:lineRule="auto"/>
        <w:jc w:val="center"/>
        <w:rPr>
          <w:szCs w:val="24"/>
          <w:lang w:val="es-ES_tradnl" w:eastAsia="es-CO"/>
        </w:rPr>
      </w:pPr>
    </w:p>
    <w:p w14:paraId="5598544B" w14:textId="2A14EDFF" w:rsidR="006D31E1" w:rsidRPr="00DE39EA" w:rsidRDefault="00F3674A" w:rsidP="00FE15E4">
      <w:pPr>
        <w:jc w:val="center"/>
      </w:pPr>
      <w:r w:rsidRPr="00827DBF">
        <w:rPr>
          <w:rFonts w:ascii="Arial" w:hAnsi="Arial" w:cs="Arial"/>
          <w:noProof/>
          <w:color w:val="000000" w:themeColor="text1"/>
          <w:sz w:val="22"/>
        </w:rPr>
        <w:drawing>
          <wp:anchor distT="0" distB="0" distL="114300" distR="114300" simplePos="0" relativeHeight="251659264" behindDoc="0" locked="0" layoutInCell="1" allowOverlap="1" wp14:anchorId="7FFB06B5" wp14:editId="172E0E02">
            <wp:simplePos x="0" y="0"/>
            <wp:positionH relativeFrom="margin">
              <wp:posOffset>1485900</wp:posOffset>
            </wp:positionH>
            <wp:positionV relativeFrom="paragraph">
              <wp:posOffset>9525</wp:posOffset>
            </wp:positionV>
            <wp:extent cx="2193290" cy="930910"/>
            <wp:effectExtent l="0" t="0" r="0" b="254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193290" cy="930910"/>
                    </a:xfrm>
                    <a:prstGeom prst="rect">
                      <a:avLst/>
                    </a:prstGeom>
                  </pic:spPr>
                </pic:pic>
              </a:graphicData>
            </a:graphic>
            <wp14:sizeRelH relativeFrom="page">
              <wp14:pctWidth>0</wp14:pctWidth>
            </wp14:sizeRelH>
            <wp14:sizeRelV relativeFrom="page">
              <wp14:pctHeight>0</wp14:pctHeight>
            </wp14:sizeRelV>
          </wp:anchor>
        </w:drawing>
      </w:r>
    </w:p>
    <w:p w14:paraId="42B9980B" w14:textId="1A7387FE" w:rsidR="000005C3" w:rsidRPr="00DE39EA" w:rsidRDefault="000005C3" w:rsidP="00FE15E4">
      <w:pPr>
        <w:jc w:val="center"/>
      </w:pPr>
    </w:p>
    <w:p w14:paraId="5D34C934" w14:textId="69535EBC" w:rsidR="000005C3" w:rsidRPr="00DE39EA" w:rsidRDefault="000005C3" w:rsidP="00FE15E4">
      <w:pPr>
        <w:jc w:val="center"/>
      </w:pPr>
    </w:p>
    <w:p w14:paraId="3E662FCF" w14:textId="3D126258" w:rsidR="000005C3" w:rsidRPr="00DE39EA" w:rsidRDefault="000005C3" w:rsidP="00FE15E4">
      <w:pPr>
        <w:jc w:val="center"/>
      </w:pPr>
    </w:p>
    <w:p w14:paraId="05539B58" w14:textId="387934EB" w:rsidR="000005C3" w:rsidRPr="00DE39EA" w:rsidRDefault="000005C3" w:rsidP="00FE15E4">
      <w:pPr>
        <w:jc w:val="center"/>
      </w:pPr>
    </w:p>
    <w:p w14:paraId="1CF00074" w14:textId="77777777" w:rsidR="000005C3" w:rsidRPr="00DE39EA" w:rsidRDefault="000005C3" w:rsidP="00FE15E4">
      <w:pPr>
        <w:jc w:val="cente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283B57" w:rsidRPr="00DE39EA" w14:paraId="07D18F15" w14:textId="77777777" w:rsidTr="0082389A">
        <w:trPr>
          <w:trHeight w:val="286"/>
        </w:trPr>
        <w:tc>
          <w:tcPr>
            <w:tcW w:w="817" w:type="dxa"/>
            <w:vAlign w:val="center"/>
          </w:tcPr>
          <w:p w14:paraId="6DF8EFB8" w14:textId="77777777" w:rsidR="00283B57" w:rsidRPr="00DE39EA" w:rsidRDefault="00283B57" w:rsidP="00A277FB">
            <w:pPr>
              <w:rPr>
                <w:rFonts w:ascii="Arial" w:hAnsi="Arial" w:cs="Arial"/>
                <w:sz w:val="16"/>
                <w:szCs w:val="16"/>
                <w:lang w:eastAsia="es-ES"/>
              </w:rPr>
            </w:pPr>
            <w:r w:rsidRPr="00DE39EA">
              <w:rPr>
                <w:rFonts w:ascii="Arial" w:hAnsi="Arial" w:cs="Arial"/>
                <w:sz w:val="16"/>
                <w:szCs w:val="16"/>
                <w:lang w:eastAsia="es-ES"/>
              </w:rPr>
              <w:t>Elaboró:</w:t>
            </w:r>
          </w:p>
        </w:tc>
        <w:tc>
          <w:tcPr>
            <w:tcW w:w="4445" w:type="dxa"/>
            <w:tcBorders>
              <w:bottom w:val="dotted" w:sz="4" w:space="0" w:color="7F7F7F"/>
            </w:tcBorders>
            <w:vAlign w:val="center"/>
          </w:tcPr>
          <w:p w14:paraId="021154E4" w14:textId="77777777" w:rsidR="00283B57" w:rsidRPr="00DE39EA" w:rsidRDefault="00283B57" w:rsidP="00A277FB">
            <w:pPr>
              <w:spacing w:before="0"/>
              <w:jc w:val="left"/>
              <w:rPr>
                <w:rFonts w:ascii="Arial" w:eastAsia="Times New Roman" w:hAnsi="Arial" w:cs="Arial"/>
                <w:sz w:val="16"/>
                <w:szCs w:val="16"/>
                <w:lang w:val="es-CO" w:eastAsia="es-ES"/>
              </w:rPr>
            </w:pPr>
            <w:r w:rsidRPr="00DE39EA">
              <w:rPr>
                <w:rFonts w:ascii="Arial" w:eastAsia="Times New Roman" w:hAnsi="Arial" w:cs="Arial"/>
                <w:sz w:val="16"/>
                <w:szCs w:val="16"/>
                <w:lang w:val="es-CO" w:eastAsia="es-ES"/>
              </w:rPr>
              <w:t xml:space="preserve">Diana Fabiola Herrera Hernández </w:t>
            </w:r>
          </w:p>
          <w:p w14:paraId="6DF269CB" w14:textId="77777777" w:rsidR="00283B57" w:rsidRPr="00DE39EA" w:rsidRDefault="00283B57" w:rsidP="00A277FB">
            <w:pPr>
              <w:spacing w:before="0"/>
              <w:jc w:val="left"/>
              <w:rPr>
                <w:rFonts w:ascii="Arial" w:eastAsia="Times New Roman" w:hAnsi="Arial" w:cs="Arial"/>
                <w:sz w:val="16"/>
                <w:szCs w:val="16"/>
                <w:lang w:val="es-CO" w:eastAsia="es-ES"/>
              </w:rPr>
            </w:pPr>
            <w:r w:rsidRPr="00DE39EA">
              <w:rPr>
                <w:rFonts w:ascii="Arial" w:eastAsia="Times New Roman" w:hAnsi="Arial" w:cs="Arial"/>
                <w:sz w:val="16"/>
                <w:szCs w:val="16"/>
                <w:lang w:val="es-CO" w:eastAsia="es-ES"/>
              </w:rPr>
              <w:t>Contratista de la Subdirección de Gestión Contractual</w:t>
            </w:r>
          </w:p>
        </w:tc>
      </w:tr>
      <w:tr w:rsidR="00283B57" w:rsidRPr="00DE39EA" w14:paraId="05B8E051" w14:textId="77777777" w:rsidTr="0082389A">
        <w:trPr>
          <w:trHeight w:val="299"/>
        </w:trPr>
        <w:tc>
          <w:tcPr>
            <w:tcW w:w="817" w:type="dxa"/>
            <w:vAlign w:val="center"/>
          </w:tcPr>
          <w:p w14:paraId="0D6AC643" w14:textId="77777777" w:rsidR="00283B57" w:rsidRPr="00DE39EA" w:rsidRDefault="00283B57" w:rsidP="00A277FB">
            <w:pPr>
              <w:rPr>
                <w:rFonts w:ascii="Arial" w:hAnsi="Arial" w:cs="Arial"/>
                <w:sz w:val="16"/>
                <w:szCs w:val="16"/>
                <w:lang w:eastAsia="es-ES"/>
              </w:rPr>
            </w:pPr>
            <w:r w:rsidRPr="00DE39EA">
              <w:rPr>
                <w:rFonts w:ascii="Arial" w:hAnsi="Arial" w:cs="Arial"/>
                <w:sz w:val="16"/>
                <w:szCs w:val="16"/>
                <w:lang w:eastAsia="es-ES"/>
              </w:rPr>
              <w:t>Revisó:</w:t>
            </w:r>
          </w:p>
        </w:tc>
        <w:tc>
          <w:tcPr>
            <w:tcW w:w="4445" w:type="dxa"/>
            <w:tcBorders>
              <w:top w:val="dotted" w:sz="4" w:space="0" w:color="7F7F7F"/>
              <w:bottom w:val="dotted" w:sz="4" w:space="0" w:color="7F7F7F"/>
            </w:tcBorders>
            <w:vAlign w:val="center"/>
          </w:tcPr>
          <w:p w14:paraId="0E9D5BB3" w14:textId="77777777" w:rsidR="008D17EA" w:rsidRPr="00DE39EA" w:rsidRDefault="008D17EA" w:rsidP="008D17EA">
            <w:pPr>
              <w:spacing w:before="0"/>
              <w:jc w:val="left"/>
              <w:rPr>
                <w:rFonts w:ascii="Arial" w:eastAsia="Times New Roman" w:hAnsi="Arial" w:cs="Arial"/>
                <w:sz w:val="16"/>
                <w:szCs w:val="16"/>
                <w:lang w:val="es-CO" w:eastAsia="es-ES"/>
              </w:rPr>
            </w:pPr>
            <w:r w:rsidRPr="00DE39EA">
              <w:rPr>
                <w:rFonts w:ascii="Arial" w:eastAsia="Times New Roman" w:hAnsi="Arial" w:cs="Arial"/>
                <w:sz w:val="16"/>
                <w:szCs w:val="16"/>
                <w:lang w:val="es-CO" w:eastAsia="es-ES"/>
              </w:rPr>
              <w:t>Sebastián Ramírez Grisales</w:t>
            </w:r>
          </w:p>
          <w:p w14:paraId="6D0F7999" w14:textId="45D3A264" w:rsidR="00283B57" w:rsidRPr="00DE39EA" w:rsidRDefault="008D17EA" w:rsidP="008D17EA">
            <w:pPr>
              <w:spacing w:before="0"/>
              <w:jc w:val="left"/>
              <w:rPr>
                <w:rFonts w:ascii="Arial" w:eastAsia="Times New Roman" w:hAnsi="Arial" w:cs="Arial"/>
                <w:sz w:val="16"/>
                <w:szCs w:val="16"/>
                <w:lang w:val="es-CO" w:eastAsia="es-ES"/>
              </w:rPr>
            </w:pPr>
            <w:r w:rsidRPr="00DE39EA">
              <w:rPr>
                <w:rFonts w:ascii="Arial" w:eastAsia="Times New Roman" w:hAnsi="Arial" w:cs="Arial"/>
                <w:sz w:val="16"/>
                <w:szCs w:val="16"/>
                <w:lang w:val="es-CO" w:eastAsia="es-ES"/>
              </w:rPr>
              <w:t>Contratista de la Subdirección de Gestión Contractual</w:t>
            </w:r>
          </w:p>
        </w:tc>
      </w:tr>
      <w:tr w:rsidR="00283B57" w:rsidRPr="00DE39EA" w14:paraId="71013105" w14:textId="77777777" w:rsidTr="0082389A">
        <w:trPr>
          <w:trHeight w:val="272"/>
        </w:trPr>
        <w:tc>
          <w:tcPr>
            <w:tcW w:w="817" w:type="dxa"/>
            <w:vAlign w:val="center"/>
          </w:tcPr>
          <w:p w14:paraId="20822F1C" w14:textId="77777777" w:rsidR="00283B57" w:rsidRPr="00DE39EA" w:rsidRDefault="00283B57" w:rsidP="00A277FB">
            <w:pPr>
              <w:rPr>
                <w:rFonts w:ascii="Arial" w:hAnsi="Arial" w:cs="Arial"/>
                <w:sz w:val="16"/>
                <w:szCs w:val="16"/>
                <w:lang w:eastAsia="es-ES"/>
              </w:rPr>
            </w:pPr>
            <w:r w:rsidRPr="00DE39EA">
              <w:rPr>
                <w:rFonts w:ascii="Arial" w:hAnsi="Arial" w:cs="Arial"/>
                <w:sz w:val="16"/>
                <w:szCs w:val="16"/>
                <w:lang w:eastAsia="es-ES"/>
              </w:rPr>
              <w:t>Aprobó:</w:t>
            </w:r>
          </w:p>
        </w:tc>
        <w:tc>
          <w:tcPr>
            <w:tcW w:w="4445" w:type="dxa"/>
            <w:tcBorders>
              <w:top w:val="dotted" w:sz="4" w:space="0" w:color="7F7F7F"/>
              <w:bottom w:val="dotted" w:sz="4" w:space="0" w:color="7F7F7F"/>
            </w:tcBorders>
            <w:vAlign w:val="center"/>
          </w:tcPr>
          <w:p w14:paraId="3D561B0A" w14:textId="77777777" w:rsidR="00283B57" w:rsidRPr="00DE39EA" w:rsidRDefault="00283B57" w:rsidP="00A277FB">
            <w:pPr>
              <w:spacing w:before="0"/>
              <w:jc w:val="left"/>
              <w:rPr>
                <w:rFonts w:ascii="Arial" w:eastAsia="Times New Roman" w:hAnsi="Arial" w:cs="Arial"/>
                <w:sz w:val="16"/>
                <w:szCs w:val="16"/>
                <w:lang w:val="es-CO" w:eastAsia="es-ES"/>
              </w:rPr>
            </w:pPr>
            <w:r w:rsidRPr="00DE39EA">
              <w:rPr>
                <w:rFonts w:ascii="Arial" w:eastAsia="Times New Roman" w:hAnsi="Arial" w:cs="Arial"/>
                <w:sz w:val="16"/>
                <w:szCs w:val="16"/>
                <w:lang w:val="es-CO" w:eastAsia="es-ES"/>
              </w:rPr>
              <w:t>Jorge Augusto Tirado Navarro</w:t>
            </w:r>
          </w:p>
          <w:p w14:paraId="2B582E9E" w14:textId="77777777" w:rsidR="00283B57" w:rsidRPr="00DE39EA" w:rsidRDefault="00283B57" w:rsidP="00A277FB">
            <w:pPr>
              <w:spacing w:before="0"/>
              <w:jc w:val="left"/>
              <w:rPr>
                <w:rFonts w:ascii="Arial" w:eastAsia="Times New Roman" w:hAnsi="Arial" w:cs="Arial"/>
                <w:sz w:val="16"/>
                <w:szCs w:val="16"/>
                <w:lang w:val="es-CO" w:eastAsia="es-ES"/>
              </w:rPr>
            </w:pPr>
            <w:r w:rsidRPr="00DE39EA">
              <w:rPr>
                <w:rFonts w:ascii="Arial" w:eastAsia="Times New Roman" w:hAnsi="Arial" w:cs="Arial"/>
                <w:sz w:val="16"/>
                <w:szCs w:val="16"/>
                <w:lang w:val="es-CO" w:eastAsia="es-ES"/>
              </w:rPr>
              <w:t>Subdirector de Gestión Contractual ANCP – CCE</w:t>
            </w:r>
          </w:p>
        </w:tc>
      </w:tr>
      <w:tr w:rsidR="008D17EA" w:rsidRPr="000005C3" w14:paraId="7F717303" w14:textId="77777777" w:rsidTr="0082389A">
        <w:trPr>
          <w:trHeight w:val="272"/>
        </w:trPr>
        <w:tc>
          <w:tcPr>
            <w:tcW w:w="817" w:type="dxa"/>
            <w:vAlign w:val="center"/>
          </w:tcPr>
          <w:p w14:paraId="256B8A6C" w14:textId="444B629B" w:rsidR="008D17EA" w:rsidRPr="00DE39EA" w:rsidRDefault="008D17EA" w:rsidP="008D17EA">
            <w:pPr>
              <w:spacing w:before="0"/>
              <w:jc w:val="left"/>
              <w:rPr>
                <w:rFonts w:ascii="Arial" w:eastAsia="Times New Roman" w:hAnsi="Arial" w:cs="Arial"/>
                <w:sz w:val="16"/>
                <w:szCs w:val="16"/>
                <w:lang w:val="es-CO" w:eastAsia="es-ES"/>
              </w:rPr>
            </w:pPr>
            <w:r w:rsidRPr="00DE39EA">
              <w:rPr>
                <w:rFonts w:ascii="Arial" w:eastAsia="Times New Roman" w:hAnsi="Arial" w:cs="Arial"/>
                <w:sz w:val="16"/>
                <w:szCs w:val="16"/>
                <w:lang w:val="es-CO" w:eastAsia="es-ES"/>
              </w:rPr>
              <w:t>Anexo:</w:t>
            </w:r>
          </w:p>
        </w:tc>
        <w:tc>
          <w:tcPr>
            <w:tcW w:w="4445" w:type="dxa"/>
            <w:tcBorders>
              <w:top w:val="dotted" w:sz="4" w:space="0" w:color="7F7F7F"/>
              <w:bottom w:val="dotted" w:sz="4" w:space="0" w:color="7F7F7F"/>
            </w:tcBorders>
            <w:vAlign w:val="center"/>
          </w:tcPr>
          <w:p w14:paraId="29AA259B" w14:textId="1B129F77" w:rsidR="008D17EA" w:rsidRPr="005B36AD" w:rsidRDefault="008D17EA" w:rsidP="008D17EA">
            <w:pPr>
              <w:spacing w:before="0"/>
              <w:jc w:val="left"/>
              <w:rPr>
                <w:rFonts w:ascii="Arial" w:eastAsia="Times New Roman" w:hAnsi="Arial" w:cs="Arial"/>
                <w:sz w:val="16"/>
                <w:szCs w:val="16"/>
                <w:lang w:val="es-CO" w:eastAsia="es-ES"/>
              </w:rPr>
            </w:pPr>
            <w:r w:rsidRPr="00DE39EA">
              <w:rPr>
                <w:rFonts w:ascii="Arial" w:eastAsia="Times New Roman" w:hAnsi="Arial" w:cs="Arial"/>
                <w:sz w:val="16"/>
                <w:szCs w:val="16"/>
                <w:lang w:val="es-CO" w:eastAsia="es-ES"/>
              </w:rPr>
              <w:t>0</w:t>
            </w:r>
          </w:p>
        </w:tc>
      </w:tr>
    </w:tbl>
    <w:p w14:paraId="085A31AB" w14:textId="5A2FF330" w:rsidR="006C5955" w:rsidRPr="005B36AD" w:rsidRDefault="006C5955" w:rsidP="00A277FB">
      <w:pPr>
        <w:rPr>
          <w:rFonts w:ascii="Arial" w:eastAsia="Times New Roman" w:hAnsi="Arial" w:cs="Arial"/>
          <w:sz w:val="16"/>
          <w:szCs w:val="16"/>
          <w:lang w:val="es-CO" w:eastAsia="es-ES"/>
        </w:rPr>
      </w:pPr>
    </w:p>
    <w:p w14:paraId="7C9156C5" w14:textId="51FDBC12" w:rsidR="005E440E" w:rsidRPr="005B36AD" w:rsidRDefault="005E440E" w:rsidP="00A277FB">
      <w:pPr>
        <w:rPr>
          <w:rFonts w:ascii="Arial" w:eastAsia="Times New Roman" w:hAnsi="Arial" w:cs="Arial"/>
          <w:sz w:val="16"/>
          <w:szCs w:val="16"/>
          <w:lang w:val="es-CO" w:eastAsia="es-ES"/>
        </w:rPr>
      </w:pPr>
    </w:p>
    <w:p w14:paraId="0E24D948" w14:textId="73D9EFF2" w:rsidR="005E440E" w:rsidRPr="005B36AD" w:rsidRDefault="005E440E" w:rsidP="00A277FB">
      <w:pPr>
        <w:rPr>
          <w:rFonts w:ascii="Arial" w:eastAsia="Times New Roman" w:hAnsi="Arial" w:cs="Arial"/>
          <w:sz w:val="16"/>
          <w:szCs w:val="16"/>
          <w:lang w:val="es-CO" w:eastAsia="es-ES"/>
        </w:rPr>
      </w:pPr>
    </w:p>
    <w:p w14:paraId="2277C317" w14:textId="77777777" w:rsidR="005E440E" w:rsidRPr="005B36AD" w:rsidRDefault="005E440E" w:rsidP="00A277FB">
      <w:pPr>
        <w:rPr>
          <w:rFonts w:ascii="Arial" w:eastAsia="Times New Roman" w:hAnsi="Arial" w:cs="Arial"/>
          <w:sz w:val="16"/>
          <w:szCs w:val="16"/>
          <w:lang w:val="es-CO" w:eastAsia="es-ES"/>
        </w:rPr>
      </w:pPr>
    </w:p>
    <w:p w14:paraId="67841242" w14:textId="77777777" w:rsidR="005E440E" w:rsidRPr="005B36AD" w:rsidRDefault="005E440E" w:rsidP="00A277FB">
      <w:pPr>
        <w:rPr>
          <w:rFonts w:ascii="Arial" w:eastAsia="Times New Roman" w:hAnsi="Arial" w:cs="Arial"/>
          <w:sz w:val="16"/>
          <w:szCs w:val="16"/>
          <w:lang w:val="es-CO" w:eastAsia="es-ES"/>
        </w:rPr>
      </w:pPr>
    </w:p>
    <w:p w14:paraId="0AD7000B" w14:textId="77777777" w:rsidR="005E440E" w:rsidRPr="005E440E" w:rsidRDefault="005E440E" w:rsidP="0025163D">
      <w:pPr>
        <w:spacing w:line="276" w:lineRule="auto"/>
        <w:rPr>
          <w:rFonts w:ascii="Arial" w:hAnsi="Arial" w:cs="Arial"/>
          <w:sz w:val="22"/>
        </w:rPr>
      </w:pPr>
    </w:p>
    <w:sectPr w:rsidR="005E440E" w:rsidRPr="005E440E" w:rsidSect="0043588C">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CE10B" w14:textId="77777777" w:rsidR="00894FB5" w:rsidRDefault="00894FB5" w:rsidP="008C487C">
      <w:r>
        <w:separator/>
      </w:r>
    </w:p>
  </w:endnote>
  <w:endnote w:type="continuationSeparator" w:id="0">
    <w:p w14:paraId="05812DCF" w14:textId="77777777" w:rsidR="00894FB5" w:rsidRDefault="00894FB5"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4330CB" w:rsidRDefault="004330CB" w:rsidP="0043588C">
    <w:pPr>
      <w:pStyle w:val="Sinespaciado"/>
      <w:jc w:val="right"/>
      <w:rPr>
        <w:rFonts w:ascii="Arial" w:hAnsi="Arial" w:cs="Arial"/>
        <w:sz w:val="18"/>
        <w:szCs w:val="18"/>
      </w:rPr>
    </w:pPr>
  </w:p>
  <w:p w14:paraId="3D3EB348" w14:textId="52232031" w:rsidR="004330CB" w:rsidRPr="008217B7" w:rsidRDefault="004330CB"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710D2">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710D2">
      <w:rPr>
        <w:rFonts w:ascii="Arial" w:hAnsi="Arial" w:cs="Arial"/>
        <w:b/>
        <w:bCs/>
        <w:noProof/>
        <w:color w:val="7F7F7F" w:themeColor="text1" w:themeTint="80"/>
        <w:sz w:val="16"/>
        <w:szCs w:val="16"/>
      </w:rPr>
      <w:t>44</w:t>
    </w:r>
    <w:r w:rsidRPr="00084B97">
      <w:rPr>
        <w:rFonts w:ascii="Arial" w:hAnsi="Arial" w:cs="Arial"/>
        <w:b/>
        <w:bCs/>
        <w:color w:val="7F7F7F" w:themeColor="text1" w:themeTint="80"/>
        <w:sz w:val="16"/>
        <w:szCs w:val="16"/>
      </w:rPr>
      <w:fldChar w:fldCharType="end"/>
    </w:r>
  </w:p>
  <w:p w14:paraId="29709EEF" w14:textId="77777777" w:rsidR="004330CB" w:rsidRDefault="004330CB" w:rsidP="0043588C">
    <w:pPr>
      <w:pStyle w:val="Piedepgina"/>
      <w:jc w:val="center"/>
      <w:rPr>
        <w:lang w:val="es-ES"/>
      </w:rPr>
    </w:pPr>
    <w:r>
      <w:rPr>
        <w:noProof/>
        <w:lang w:val="es-CO" w:eastAsia="es-CO"/>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4330CB" w:rsidRPr="00E756AC" w:rsidRDefault="004330CB" w:rsidP="0043588C">
    <w:pPr>
      <w:pStyle w:val="Piedepgina"/>
      <w:jc w:val="center"/>
      <w:rPr>
        <w:sz w:val="18"/>
        <w:szCs w:val="18"/>
        <w:lang w:val="es-ES"/>
      </w:rPr>
    </w:pPr>
  </w:p>
  <w:p w14:paraId="428179B1" w14:textId="77777777" w:rsidR="004330CB" w:rsidRPr="00E756AC" w:rsidRDefault="004330CB"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ED992" w14:textId="77777777" w:rsidR="00894FB5" w:rsidRDefault="00894FB5" w:rsidP="008C487C">
      <w:r>
        <w:separator/>
      </w:r>
    </w:p>
  </w:footnote>
  <w:footnote w:type="continuationSeparator" w:id="0">
    <w:p w14:paraId="7DEF4670" w14:textId="77777777" w:rsidR="00894FB5" w:rsidRDefault="00894FB5" w:rsidP="008C487C">
      <w:r>
        <w:continuationSeparator/>
      </w:r>
    </w:p>
  </w:footnote>
  <w:footnote w:id="1">
    <w:p w14:paraId="04FC5EF8" w14:textId="77777777" w:rsidR="003C791D" w:rsidRPr="0085414B" w:rsidRDefault="003C791D" w:rsidP="003C791D">
      <w:pPr>
        <w:pStyle w:val="Textonotapie"/>
        <w:ind w:firstLine="708"/>
        <w:jc w:val="both"/>
        <w:rPr>
          <w:rFonts w:ascii="Arial" w:hAnsi="Arial" w:cs="Arial"/>
          <w:sz w:val="19"/>
          <w:szCs w:val="19"/>
          <w:lang w:val="es-ES"/>
        </w:rPr>
      </w:pPr>
      <w:r w:rsidRPr="0085414B">
        <w:rPr>
          <w:rStyle w:val="Refdenotaalpie"/>
          <w:rFonts w:ascii="Arial" w:hAnsi="Arial" w:cs="Arial"/>
          <w:sz w:val="19"/>
          <w:szCs w:val="19"/>
        </w:rPr>
        <w:footnoteRef/>
      </w:r>
      <w:r w:rsidRPr="0085414B">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5414B">
        <w:rPr>
          <w:rFonts w:ascii="Arial" w:hAnsi="Arial" w:cs="Arial"/>
          <w:i/>
          <w:iCs/>
          <w:sz w:val="19"/>
          <w:szCs w:val="19"/>
        </w:rPr>
        <w:t xml:space="preserve">ibidem </w:t>
      </w:r>
      <w:r w:rsidRPr="0085414B">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60D3F69B" w14:textId="77777777" w:rsidR="003C791D" w:rsidRPr="0085414B" w:rsidRDefault="003C791D" w:rsidP="003C791D">
      <w:pPr>
        <w:pStyle w:val="Textonotapie"/>
        <w:ind w:firstLine="709"/>
        <w:contextualSpacing/>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EA88016" w14:textId="77777777" w:rsidR="003C791D" w:rsidRPr="0085414B" w:rsidRDefault="003C791D" w:rsidP="003C791D">
      <w:pPr>
        <w:pStyle w:val="Textonotapie"/>
        <w:ind w:firstLine="709"/>
        <w:contextualSpacing/>
        <w:jc w:val="both"/>
        <w:rPr>
          <w:rFonts w:ascii="Arial" w:hAnsi="Arial" w:cs="Arial"/>
          <w:sz w:val="19"/>
          <w:szCs w:val="19"/>
        </w:rPr>
      </w:pPr>
      <w:r w:rsidRPr="0085414B">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6146956C" w14:textId="77777777" w:rsidR="003C791D" w:rsidRPr="0085414B" w:rsidRDefault="003C791D" w:rsidP="003C791D">
      <w:pPr>
        <w:pStyle w:val="Textonotapie"/>
        <w:ind w:firstLine="709"/>
        <w:contextualSpacing/>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Gaceta del Congreso de la República No. 71 del 2005.</w:t>
      </w:r>
    </w:p>
  </w:footnote>
  <w:footnote w:id="4">
    <w:p w14:paraId="6BDF2A5F" w14:textId="77777777" w:rsidR="003C791D" w:rsidRPr="0085414B" w:rsidRDefault="003C791D" w:rsidP="003C791D">
      <w:pPr>
        <w:pStyle w:val="Textonotapie"/>
        <w:ind w:firstLine="709"/>
        <w:contextualSpacing/>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Corte Constitucional, Sentencia C- 1153 de 2005, M.P. Marco Gerardo Monroy Cabra.</w:t>
      </w:r>
    </w:p>
  </w:footnote>
  <w:footnote w:id="5">
    <w:p w14:paraId="6B696C0E" w14:textId="77777777" w:rsidR="003C791D" w:rsidRPr="0085414B" w:rsidRDefault="003C791D" w:rsidP="003C791D">
      <w:pPr>
        <w:pStyle w:val="Textonotapie"/>
        <w:ind w:firstLine="709"/>
        <w:contextualSpacing/>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46634481" w14:textId="77777777" w:rsidR="003C791D" w:rsidRPr="0085414B" w:rsidRDefault="003C791D" w:rsidP="003C791D">
      <w:pPr>
        <w:pStyle w:val="Textonotapie"/>
        <w:ind w:firstLine="709"/>
        <w:contextualSpacing/>
        <w:jc w:val="both"/>
        <w:rPr>
          <w:rFonts w:ascii="Arial" w:hAnsi="Arial" w:cs="Arial"/>
          <w:sz w:val="19"/>
          <w:szCs w:val="19"/>
          <w:lang w:val="es-CO"/>
        </w:rPr>
      </w:pPr>
      <w:r w:rsidRPr="0085414B">
        <w:rPr>
          <w:rStyle w:val="Refdenotaalpie"/>
          <w:rFonts w:ascii="Arial" w:hAnsi="Arial" w:cs="Arial"/>
          <w:sz w:val="19"/>
          <w:szCs w:val="19"/>
        </w:rPr>
        <w:footnoteRef/>
      </w:r>
      <w:r w:rsidRPr="0085414B">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6947E699" w14:textId="77777777" w:rsidR="003C791D" w:rsidRPr="0085414B" w:rsidRDefault="003C791D" w:rsidP="003C791D">
      <w:pPr>
        <w:pStyle w:val="Textonotapie"/>
        <w:ind w:firstLine="709"/>
        <w:contextualSpacing/>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Consejo de Estado, Sala de Consulta y Servicio Civil de fecha 24 de julio de 2013, radicado 2166, Consejero Ponente: Álvaro Namén Vargas.  </w:t>
      </w:r>
    </w:p>
  </w:footnote>
  <w:footnote w:id="8">
    <w:p w14:paraId="06665E57" w14:textId="77777777" w:rsidR="003C791D" w:rsidRPr="0085414B" w:rsidRDefault="003C791D" w:rsidP="003C791D">
      <w:pPr>
        <w:ind w:firstLine="709"/>
        <w:contextualSpacing/>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w:t>
      </w:r>
      <w:r w:rsidRPr="0085414B">
        <w:rPr>
          <w:rFonts w:ascii="Arial" w:eastAsia="Calibri" w:hAnsi="Arial" w:cs="Arial"/>
          <w:bCs/>
          <w:color w:val="000000"/>
          <w:sz w:val="19"/>
          <w:szCs w:val="19"/>
        </w:rPr>
        <w:t>«</w:t>
      </w:r>
      <w:r w:rsidRPr="0085414B">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203DF285" w14:textId="77777777" w:rsidR="003C791D" w:rsidRPr="0085414B" w:rsidRDefault="003C791D" w:rsidP="003C791D">
      <w:pPr>
        <w:ind w:firstLine="709"/>
        <w:contextualSpacing/>
        <w:jc w:val="both"/>
        <w:rPr>
          <w:rFonts w:ascii="Arial" w:hAnsi="Arial" w:cs="Arial"/>
          <w:sz w:val="19"/>
          <w:szCs w:val="19"/>
        </w:rPr>
      </w:pPr>
      <w:r w:rsidRPr="0085414B">
        <w:rPr>
          <w:rFonts w:ascii="Arial" w:eastAsia="Calibri" w:hAnsi="Arial" w:cs="Arial"/>
          <w:bCs/>
          <w:color w:val="000000"/>
          <w:sz w:val="19"/>
          <w:szCs w:val="19"/>
        </w:rPr>
        <w:t>»</w:t>
      </w:r>
      <w:r w:rsidRPr="0085414B">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5414B">
        <w:rPr>
          <w:rFonts w:ascii="Arial" w:eastAsia="Calibri" w:hAnsi="Arial" w:cs="Arial"/>
          <w:bCs/>
          <w:color w:val="000000"/>
          <w:sz w:val="19"/>
          <w:szCs w:val="19"/>
        </w:rPr>
        <w:t>»</w:t>
      </w:r>
      <w:r w:rsidRPr="0085414B">
        <w:rPr>
          <w:rFonts w:ascii="Arial" w:hAnsi="Arial" w:cs="Arial"/>
          <w:sz w:val="19"/>
          <w:szCs w:val="19"/>
        </w:rPr>
        <w:t>.</w:t>
      </w:r>
    </w:p>
  </w:footnote>
  <w:footnote w:id="9">
    <w:p w14:paraId="038D93AA" w14:textId="77777777" w:rsidR="003C791D" w:rsidRPr="0085414B" w:rsidRDefault="003C791D" w:rsidP="003C791D">
      <w:pPr>
        <w:pStyle w:val="NormalWeb"/>
        <w:spacing w:before="0" w:beforeAutospacing="0" w:after="0" w:afterAutospacing="0"/>
        <w:ind w:firstLine="709"/>
        <w:contextualSpacing/>
        <w:jc w:val="both"/>
        <w:rPr>
          <w:rFonts w:ascii="Arial" w:hAnsi="Arial" w:cs="Arial"/>
          <w:sz w:val="19"/>
          <w:szCs w:val="19"/>
          <w:lang w:val="es-MX"/>
        </w:rPr>
      </w:pPr>
      <w:r w:rsidRPr="0085414B">
        <w:rPr>
          <w:rStyle w:val="Refdenotaalpie"/>
          <w:rFonts w:ascii="Arial" w:hAnsi="Arial" w:cs="Arial"/>
          <w:sz w:val="19"/>
          <w:szCs w:val="19"/>
        </w:rPr>
        <w:footnoteRef/>
      </w:r>
      <w:r w:rsidRPr="0085414B">
        <w:rPr>
          <w:rFonts w:ascii="Arial" w:hAnsi="Arial" w:cs="Arial"/>
          <w:sz w:val="19"/>
          <w:szCs w:val="19"/>
        </w:rPr>
        <w:t xml:space="preserve"> </w:t>
      </w:r>
      <w:r w:rsidRPr="0085414B">
        <w:rPr>
          <w:rFonts w:ascii="Arial" w:eastAsia="Calibri" w:hAnsi="Arial" w:cs="Arial"/>
          <w:bCs/>
          <w:color w:val="000000"/>
          <w:sz w:val="19"/>
          <w:szCs w:val="19"/>
        </w:rPr>
        <w:t>«</w:t>
      </w:r>
      <w:r w:rsidRPr="0085414B">
        <w:rPr>
          <w:rFonts w:ascii="Arial" w:hAnsi="Arial" w:cs="Arial"/>
          <w:sz w:val="19"/>
          <w:szCs w:val="19"/>
          <w:lang w:val="es-MX"/>
        </w:rPr>
        <w:t>Artículo 38. Prohibiciones para los servidores públicos. A los empleados del Estado les está prohibido:</w:t>
      </w:r>
    </w:p>
    <w:p w14:paraId="69668ED6" w14:textId="77777777" w:rsidR="003C791D" w:rsidRPr="0085414B" w:rsidRDefault="003C791D" w:rsidP="003C791D">
      <w:pPr>
        <w:pStyle w:val="NormalWeb"/>
        <w:spacing w:before="0" w:beforeAutospacing="0" w:after="0" w:afterAutospacing="0"/>
        <w:ind w:firstLine="709"/>
        <w:contextualSpacing/>
        <w:jc w:val="both"/>
        <w:rPr>
          <w:rFonts w:ascii="Arial" w:hAnsi="Arial" w:cs="Arial"/>
          <w:sz w:val="19"/>
          <w:szCs w:val="19"/>
          <w:lang w:val="es-MX"/>
        </w:rPr>
      </w:pPr>
      <w:r w:rsidRPr="0085414B">
        <w:rPr>
          <w:rFonts w:ascii="Arial" w:eastAsia="Calibri" w:hAnsi="Arial" w:cs="Arial"/>
          <w:bCs/>
          <w:color w:val="000000"/>
          <w:sz w:val="19"/>
          <w:szCs w:val="19"/>
        </w:rPr>
        <w:t>»</w:t>
      </w:r>
      <w:r w:rsidRPr="0085414B">
        <w:rPr>
          <w:rFonts w:ascii="Arial" w:hAnsi="Arial" w:cs="Arial"/>
          <w:sz w:val="19"/>
          <w:szCs w:val="19"/>
          <w:lang w:val="es-MX"/>
        </w:rPr>
        <w:t xml:space="preserve"> […]</w:t>
      </w:r>
    </w:p>
    <w:p w14:paraId="1E829CC8" w14:textId="77777777" w:rsidR="003C791D" w:rsidRPr="0085414B" w:rsidRDefault="003C791D" w:rsidP="003C791D">
      <w:pPr>
        <w:pStyle w:val="NormalWeb"/>
        <w:spacing w:before="0" w:beforeAutospacing="0" w:after="0" w:afterAutospacing="0"/>
        <w:ind w:firstLine="709"/>
        <w:contextualSpacing/>
        <w:jc w:val="both"/>
        <w:rPr>
          <w:rFonts w:ascii="Arial" w:hAnsi="Arial" w:cs="Arial"/>
          <w:sz w:val="19"/>
          <w:szCs w:val="19"/>
          <w:lang w:val="es-MX"/>
        </w:rPr>
      </w:pPr>
      <w:r w:rsidRPr="0085414B">
        <w:rPr>
          <w:rFonts w:ascii="Arial" w:eastAsia="Calibri" w:hAnsi="Arial" w:cs="Arial"/>
          <w:bCs/>
          <w:color w:val="000000"/>
          <w:sz w:val="19"/>
          <w:szCs w:val="19"/>
        </w:rPr>
        <w:t>»</w:t>
      </w:r>
      <w:r w:rsidRPr="0085414B">
        <w:rPr>
          <w:rStyle w:val="baj"/>
          <w:rFonts w:ascii="Arial" w:hAnsi="Arial" w:cs="Arial"/>
          <w:sz w:val="19"/>
          <w:szCs w:val="19"/>
          <w:lang w:val="es-MX"/>
        </w:rPr>
        <w:t xml:space="preserve"> Parágrafo.</w:t>
      </w:r>
      <w:r w:rsidRPr="0085414B">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5414B">
        <w:rPr>
          <w:rFonts w:ascii="Arial" w:eastAsia="Calibri" w:hAnsi="Arial" w:cs="Arial"/>
          <w:bCs/>
          <w:color w:val="000000"/>
          <w:sz w:val="19"/>
          <w:szCs w:val="19"/>
        </w:rPr>
        <w:t>»</w:t>
      </w:r>
      <w:r w:rsidRPr="0085414B">
        <w:rPr>
          <w:rFonts w:ascii="Arial" w:hAnsi="Arial" w:cs="Arial"/>
          <w:sz w:val="19"/>
          <w:szCs w:val="19"/>
          <w:lang w:val="es-MX"/>
        </w:rPr>
        <w:t>.</w:t>
      </w:r>
    </w:p>
  </w:footnote>
  <w:footnote w:id="10">
    <w:p w14:paraId="13C573DC" w14:textId="77777777" w:rsidR="003C791D" w:rsidRPr="0085414B" w:rsidRDefault="003C791D" w:rsidP="003C791D">
      <w:pPr>
        <w:ind w:firstLine="709"/>
        <w:contextualSpacing/>
        <w:jc w:val="both"/>
        <w:rPr>
          <w:rFonts w:ascii="Arial" w:hAnsi="Arial" w:cs="Arial"/>
          <w:sz w:val="19"/>
          <w:szCs w:val="19"/>
          <w:lang w:val="es-ES"/>
        </w:rPr>
      </w:pPr>
      <w:r w:rsidRPr="0085414B">
        <w:rPr>
          <w:rStyle w:val="Refdenotaalpie"/>
          <w:rFonts w:ascii="Arial" w:hAnsi="Arial" w:cs="Arial"/>
          <w:sz w:val="19"/>
          <w:szCs w:val="19"/>
        </w:rPr>
        <w:footnoteRef/>
      </w:r>
      <w:r w:rsidRPr="0085414B">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18FA722D" w14:textId="77777777" w:rsidR="003C791D" w:rsidRPr="0085414B" w:rsidRDefault="003C791D" w:rsidP="003C791D">
      <w:pPr>
        <w:pStyle w:val="Textonotapie"/>
        <w:ind w:right="51" w:firstLine="709"/>
        <w:contextualSpacing/>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w:t>
      </w:r>
      <w:r w:rsidRPr="0085414B">
        <w:rPr>
          <w:rFonts w:ascii="Arial" w:hAnsi="Arial" w:cs="Arial"/>
          <w:sz w:val="19"/>
          <w:szCs w:val="19"/>
          <w:lang w:val="es-ES"/>
        </w:rPr>
        <w:t xml:space="preserve">[25] </w:t>
      </w:r>
      <w:r w:rsidRPr="0085414B">
        <w:rPr>
          <w:rFonts w:ascii="Arial" w:hAnsi="Arial" w:cs="Arial"/>
          <w:sz w:val="19"/>
          <w:szCs w:val="19"/>
        </w:rPr>
        <w:t>Cfr. Consejo de Estado. Sección Tercera. Sentencia de 3 de diciembre de 2007. Radicados: 24.715, 25.206, 25.409, 24.524, 27.834, 25.410, 26.105, 28.244, 31.447 -acumulados-».</w:t>
      </w:r>
    </w:p>
  </w:footnote>
  <w:footnote w:id="12">
    <w:p w14:paraId="5AFAE51D" w14:textId="77777777" w:rsidR="003C791D" w:rsidRPr="0085414B" w:rsidRDefault="003C791D" w:rsidP="003C791D">
      <w:pPr>
        <w:pStyle w:val="Textonotapie"/>
        <w:ind w:right="51" w:firstLine="709"/>
        <w:contextualSpacing/>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w:t>
      </w:r>
      <w:r w:rsidRPr="0085414B">
        <w:rPr>
          <w:rFonts w:ascii="Arial" w:hAnsi="Arial" w:cs="Arial"/>
          <w:sz w:val="19"/>
          <w:szCs w:val="19"/>
          <w:lang w:val="es-ES"/>
        </w:rPr>
        <w:t xml:space="preserve">[26] </w:t>
      </w:r>
      <w:r w:rsidRPr="0085414B">
        <w:rPr>
          <w:rFonts w:ascii="Arial" w:hAnsi="Arial" w:cs="Arial"/>
          <w:sz w:val="19"/>
          <w:szCs w:val="19"/>
        </w:rPr>
        <w:t>Al respecto ver el concepto 1712 de 2 de febrero de 2006. Consejo de Estado Sala de Consulta y Servicio Civil».</w:t>
      </w:r>
    </w:p>
  </w:footnote>
  <w:footnote w:id="13">
    <w:p w14:paraId="66346F49" w14:textId="77777777" w:rsidR="003C791D" w:rsidRPr="0085414B" w:rsidRDefault="003C791D" w:rsidP="003C791D">
      <w:pPr>
        <w:pStyle w:val="Textonotapie"/>
        <w:ind w:firstLine="709"/>
        <w:contextualSpacing/>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4">
    <w:p w14:paraId="44B037DD" w14:textId="10710628" w:rsidR="003C791D" w:rsidRPr="003C791D" w:rsidRDefault="003C791D" w:rsidP="0085414B">
      <w:pPr>
        <w:pStyle w:val="Textonotapie"/>
        <w:ind w:firstLine="709"/>
        <w:jc w:val="both"/>
        <w:rPr>
          <w:rFonts w:ascii="Arial" w:hAnsi="Arial" w:cs="Arial"/>
          <w:sz w:val="19"/>
          <w:szCs w:val="19"/>
          <w:lang w:val="es-ES"/>
        </w:rPr>
      </w:pPr>
      <w:r w:rsidRPr="003C791D">
        <w:rPr>
          <w:rStyle w:val="Refdenotaalpie"/>
          <w:rFonts w:ascii="Arial" w:hAnsi="Arial" w:cs="Arial"/>
          <w:sz w:val="19"/>
          <w:szCs w:val="19"/>
        </w:rPr>
        <w:footnoteRef/>
      </w:r>
      <w:r w:rsidRPr="003C791D">
        <w:rPr>
          <w:rFonts w:ascii="Arial" w:hAnsi="Arial" w:cs="Arial"/>
          <w:sz w:val="19"/>
          <w:szCs w:val="19"/>
        </w:rPr>
        <w:t xml:space="preserve"> </w:t>
      </w:r>
      <w:r w:rsidRPr="003C791D">
        <w:rPr>
          <w:rFonts w:ascii="Arial" w:hAnsi="Arial" w:cs="Arial"/>
          <w:sz w:val="19"/>
          <w:szCs w:val="19"/>
          <w:lang w:val="es-ES"/>
        </w:rPr>
        <w:t xml:space="preserve">Artículo 2. </w:t>
      </w:r>
    </w:p>
  </w:footnote>
  <w:footnote w:id="15">
    <w:p w14:paraId="375BFCB7" w14:textId="77777777" w:rsidR="003C791D" w:rsidRPr="003C791D" w:rsidRDefault="003C791D" w:rsidP="003C791D">
      <w:pPr>
        <w:pStyle w:val="Textonotapie"/>
        <w:ind w:firstLine="709"/>
        <w:jc w:val="both"/>
        <w:rPr>
          <w:rFonts w:ascii="Arial" w:hAnsi="Arial" w:cs="Arial"/>
          <w:sz w:val="19"/>
          <w:szCs w:val="19"/>
          <w:lang w:val="es-ES"/>
        </w:rPr>
      </w:pPr>
      <w:r w:rsidRPr="003C791D">
        <w:rPr>
          <w:rStyle w:val="Refdenotaalpie"/>
          <w:rFonts w:ascii="Arial" w:hAnsi="Arial" w:cs="Arial"/>
          <w:sz w:val="19"/>
          <w:szCs w:val="19"/>
        </w:rPr>
        <w:footnoteRef/>
      </w:r>
      <w:r w:rsidRPr="003C791D">
        <w:rPr>
          <w:rFonts w:ascii="Arial" w:hAnsi="Arial" w:cs="Arial"/>
          <w:sz w:val="19"/>
          <w:szCs w:val="19"/>
        </w:rPr>
        <w:t xml:space="preserve"> </w:t>
      </w:r>
      <w:r w:rsidRPr="003C791D">
        <w:rPr>
          <w:rFonts w:ascii="Arial" w:hAnsi="Arial" w:cs="Arial"/>
          <w:i/>
          <w:sz w:val="19"/>
          <w:szCs w:val="19"/>
          <w:lang w:val="es-ES"/>
        </w:rPr>
        <w:t>Ídem</w:t>
      </w:r>
      <w:r w:rsidRPr="003C791D">
        <w:rPr>
          <w:rFonts w:ascii="Arial" w:hAnsi="Arial" w:cs="Arial"/>
          <w:sz w:val="19"/>
          <w:szCs w:val="19"/>
          <w:lang w:val="es-ES"/>
        </w:rPr>
        <w:t>.</w:t>
      </w:r>
    </w:p>
    <w:p w14:paraId="5EFAD3BE" w14:textId="77777777" w:rsidR="003C791D" w:rsidRPr="003C791D" w:rsidRDefault="003C791D" w:rsidP="003C791D">
      <w:pPr>
        <w:pStyle w:val="Textonotapie"/>
        <w:ind w:firstLine="709"/>
        <w:jc w:val="both"/>
        <w:rPr>
          <w:rFonts w:ascii="Arial" w:hAnsi="Arial" w:cs="Arial"/>
          <w:sz w:val="19"/>
          <w:szCs w:val="19"/>
          <w:lang w:val="es-ES"/>
        </w:rPr>
      </w:pPr>
    </w:p>
  </w:footnote>
  <w:footnote w:id="16">
    <w:p w14:paraId="579A0301" w14:textId="77777777" w:rsidR="003C791D" w:rsidRPr="0085414B" w:rsidRDefault="003C791D" w:rsidP="003C791D">
      <w:pPr>
        <w:pStyle w:val="Textonotapie"/>
        <w:ind w:firstLine="709"/>
        <w:contextualSpacing/>
        <w:jc w:val="both"/>
        <w:rPr>
          <w:rFonts w:ascii="Arial" w:hAnsi="Arial" w:cs="Arial"/>
          <w:sz w:val="19"/>
          <w:szCs w:val="19"/>
          <w:lang w:val="es-ES"/>
        </w:rPr>
      </w:pPr>
      <w:r w:rsidRPr="0085414B">
        <w:rPr>
          <w:rStyle w:val="Refdenotaalpie"/>
          <w:rFonts w:ascii="Arial" w:hAnsi="Arial" w:cs="Arial"/>
          <w:sz w:val="19"/>
          <w:szCs w:val="19"/>
        </w:rPr>
        <w:footnoteRef/>
      </w:r>
      <w:r w:rsidRPr="0085414B">
        <w:rPr>
          <w:rStyle w:val="Refdenotaalpie"/>
          <w:rFonts w:ascii="Arial" w:hAnsi="Arial" w:cs="Arial"/>
          <w:sz w:val="19"/>
          <w:szCs w:val="19"/>
        </w:rPr>
        <w:t xml:space="preserve"> </w:t>
      </w:r>
      <w:r w:rsidRPr="0085414B">
        <w:rPr>
          <w:rFonts w:ascii="Arial" w:hAnsi="Arial" w:cs="Arial"/>
          <w:sz w:val="19"/>
          <w:szCs w:val="19"/>
          <w:lang w:val="es-ES"/>
        </w:rPr>
        <w:t xml:space="preserve">«[…] A este respecto, cabe recordar que el artículo 860 del Código de Comercio regula la licitación en el derecho privado». </w:t>
      </w:r>
    </w:p>
  </w:footnote>
  <w:footnote w:id="17">
    <w:p w14:paraId="4A72152E" w14:textId="77777777" w:rsidR="003C791D" w:rsidRPr="0085414B" w:rsidRDefault="003C791D" w:rsidP="003C791D">
      <w:pPr>
        <w:shd w:val="clear" w:color="auto" w:fill="FFFFFF"/>
        <w:ind w:firstLine="709"/>
        <w:contextualSpacing/>
        <w:jc w:val="both"/>
        <w:rPr>
          <w:rFonts w:ascii="Arial" w:hAnsi="Arial" w:cs="Arial"/>
          <w:sz w:val="19"/>
          <w:szCs w:val="19"/>
          <w:lang w:val="es-ES"/>
        </w:rPr>
      </w:pPr>
      <w:r w:rsidRPr="0085414B">
        <w:rPr>
          <w:rStyle w:val="Refdenotaalpie"/>
          <w:rFonts w:ascii="Arial" w:hAnsi="Arial" w:cs="Arial"/>
          <w:sz w:val="19"/>
          <w:szCs w:val="19"/>
        </w:rPr>
        <w:footnoteRef/>
      </w:r>
      <w:r w:rsidRPr="0085414B">
        <w:rPr>
          <w:rStyle w:val="Refdenotaalpie"/>
          <w:rFonts w:ascii="Arial" w:hAnsi="Arial" w:cs="Arial"/>
          <w:sz w:val="19"/>
          <w:szCs w:val="19"/>
        </w:rPr>
        <w:t xml:space="preserve"> </w:t>
      </w:r>
      <w:r w:rsidRPr="0085414B">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18">
    <w:p w14:paraId="15A35B0F" w14:textId="77777777" w:rsidR="003C791D" w:rsidRPr="0085414B" w:rsidRDefault="003C791D" w:rsidP="003C791D">
      <w:pPr>
        <w:pStyle w:val="Textonotapie"/>
        <w:ind w:firstLine="709"/>
        <w:contextualSpacing/>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Consejo de Estado. Sala de Consulta y Servicio Civil. Concepto del 08 de mayo de 2018. Exp. 2.382. C.P. Álvaro Namén Vargas.</w:t>
      </w:r>
    </w:p>
  </w:footnote>
  <w:footnote w:id="19">
    <w:p w14:paraId="36E8FDA8" w14:textId="77777777" w:rsidR="003C791D" w:rsidRPr="0085414B" w:rsidRDefault="003C791D" w:rsidP="003C791D">
      <w:pPr>
        <w:pStyle w:val="Textonotapie"/>
        <w:ind w:firstLine="709"/>
        <w:contextualSpacing/>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2357DA25" w14:textId="77777777" w:rsidR="003C791D" w:rsidRPr="0085414B" w:rsidRDefault="003C791D" w:rsidP="003C791D">
      <w:pPr>
        <w:ind w:firstLine="709"/>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689491AB" w14:textId="5B05E567" w:rsidR="003C791D" w:rsidRPr="0085414B" w:rsidRDefault="003C791D" w:rsidP="0085414B">
      <w:pPr>
        <w:pStyle w:val="Textonotapie"/>
        <w:ind w:firstLine="709"/>
        <w:jc w:val="both"/>
        <w:rPr>
          <w:rFonts w:ascii="Arial" w:eastAsia="Times New Roman" w:hAnsi="Arial" w:cs="Arial"/>
          <w:bCs/>
          <w:sz w:val="19"/>
          <w:szCs w:val="19"/>
          <w:lang w:eastAsia="x-none"/>
        </w:rPr>
      </w:pPr>
      <w:r w:rsidRPr="003C791D">
        <w:rPr>
          <w:rStyle w:val="Refdenotaalpie"/>
          <w:rFonts w:ascii="Arial" w:hAnsi="Arial" w:cs="Arial"/>
          <w:sz w:val="19"/>
          <w:szCs w:val="19"/>
        </w:rPr>
        <w:footnoteRef/>
      </w:r>
      <w:r w:rsidRPr="003C791D">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Pr="003C791D">
        <w:rPr>
          <w:rFonts w:ascii="Arial" w:eastAsia="Times New Roman" w:hAnsi="Arial" w:cs="Arial"/>
          <w:bCs/>
          <w:sz w:val="19"/>
          <w:szCs w:val="19"/>
          <w:lang w:eastAsia="x-none"/>
        </w:rPr>
        <w:t xml:space="preserve"> «</w:t>
      </w:r>
      <w:r w:rsidRPr="003C791D">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3C791D">
        <w:rPr>
          <w:rFonts w:ascii="Arial" w:eastAsia="Times New Roman" w:hAnsi="Arial" w:cs="Arial"/>
          <w:bCs/>
          <w:sz w:val="19"/>
          <w:szCs w:val="19"/>
          <w:lang w:eastAsia="x-none"/>
        </w:rPr>
        <w:t>».</w:t>
      </w:r>
    </w:p>
  </w:footnote>
  <w:footnote w:id="22">
    <w:p w14:paraId="26A5483B" w14:textId="77777777" w:rsidR="003C791D" w:rsidRPr="0085414B" w:rsidRDefault="003C791D" w:rsidP="003C791D">
      <w:pPr>
        <w:pStyle w:val="Textonotapie"/>
        <w:ind w:right="51" w:firstLine="709"/>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footnote>
  <w:footnote w:id="23">
    <w:p w14:paraId="2DD0C39F" w14:textId="77777777" w:rsidR="003C791D" w:rsidRPr="0085414B" w:rsidRDefault="003C791D" w:rsidP="003C791D">
      <w:pPr>
        <w:pStyle w:val="Textonotapie"/>
        <w:ind w:right="51" w:firstLine="709"/>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Consejo de Estado. Sala de Consulta y Servicio Civil, ídem.</w:t>
      </w:r>
    </w:p>
  </w:footnote>
  <w:footnote w:id="24">
    <w:p w14:paraId="3CED697A" w14:textId="77777777" w:rsidR="003C791D" w:rsidRPr="0085414B" w:rsidRDefault="003C791D" w:rsidP="003C791D">
      <w:pPr>
        <w:pStyle w:val="Textonotapie"/>
        <w:ind w:firstLine="709"/>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Consejo de Estado. Sala de Consulta y Servicio Civil. Concepto de 20 de febrero de2006. Radicación 11001-03-06-000-2006-00023-00(1724). Consejero Ponente: Flavio Augusto Rodríguez Arce.</w:t>
      </w:r>
    </w:p>
  </w:footnote>
  <w:footnote w:id="25">
    <w:p w14:paraId="7AF4486E" w14:textId="77777777" w:rsidR="003C791D" w:rsidRPr="0085414B" w:rsidRDefault="003C791D" w:rsidP="0085414B">
      <w:pPr>
        <w:ind w:firstLine="709"/>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88B9F5F" w14:textId="77777777" w:rsidR="003C791D" w:rsidRPr="0085414B" w:rsidRDefault="003C791D" w:rsidP="0085414B">
      <w:pPr>
        <w:ind w:firstLine="709"/>
        <w:jc w:val="both"/>
        <w:rPr>
          <w:rFonts w:ascii="Arial" w:hAnsi="Arial" w:cs="Arial"/>
          <w:sz w:val="19"/>
          <w:szCs w:val="19"/>
        </w:rPr>
      </w:pPr>
      <w:r w:rsidRPr="0085414B">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85414B">
        <w:rPr>
          <w:rFonts w:ascii="Arial" w:hAnsi="Arial" w:cs="Arial"/>
          <w:spacing w:val="-1"/>
          <w:sz w:val="19"/>
          <w:szCs w:val="19"/>
        </w:rPr>
        <w:t xml:space="preserve"> </w:t>
      </w:r>
      <w:r w:rsidRPr="0085414B">
        <w:rPr>
          <w:rFonts w:ascii="Arial" w:hAnsi="Arial" w:cs="Arial"/>
          <w:sz w:val="19"/>
          <w:szCs w:val="19"/>
        </w:rPr>
        <w:t>Estatales».</w:t>
      </w:r>
    </w:p>
  </w:footnote>
  <w:footnote w:id="26">
    <w:p w14:paraId="6F6DB947" w14:textId="77777777" w:rsidR="003C791D" w:rsidRPr="0085414B" w:rsidRDefault="003C791D" w:rsidP="0085414B">
      <w:pPr>
        <w:ind w:firstLine="709"/>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85414B">
        <w:rPr>
          <w:rFonts w:ascii="Arial" w:hAnsi="Arial" w:cs="Arial"/>
          <w:spacing w:val="-6"/>
          <w:sz w:val="19"/>
          <w:szCs w:val="19"/>
        </w:rPr>
        <w:t xml:space="preserve"> </w:t>
      </w:r>
      <w:r w:rsidRPr="0085414B">
        <w:rPr>
          <w:rFonts w:ascii="Arial" w:hAnsi="Arial" w:cs="Arial"/>
          <w:sz w:val="19"/>
          <w:szCs w:val="19"/>
        </w:rPr>
        <w:t>artículo».</w:t>
      </w:r>
    </w:p>
  </w:footnote>
  <w:footnote w:id="27">
    <w:p w14:paraId="5F69DAB8" w14:textId="77777777" w:rsidR="003C791D" w:rsidRPr="0085414B" w:rsidRDefault="003C791D" w:rsidP="003C791D">
      <w:pPr>
        <w:ind w:firstLine="709"/>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position w:val="7"/>
          <w:sz w:val="19"/>
          <w:szCs w:val="19"/>
        </w:rPr>
        <w:t xml:space="preserve"> </w:t>
      </w:r>
      <w:r w:rsidRPr="0085414B">
        <w:rPr>
          <w:rFonts w:ascii="Arial" w:hAnsi="Arial" w:cs="Arial"/>
          <w:sz w:val="19"/>
          <w:szCs w:val="19"/>
        </w:rPr>
        <w:t>Consejo de Estado. Sección Tercera. Sentencia del 23 de junio de 2010. Radicación No. 66001-23-31-000-1998-00261-01(17.860). Consejero Ponente: Mauricio Fajardo Gómez.</w:t>
      </w:r>
    </w:p>
  </w:footnote>
  <w:footnote w:id="28">
    <w:p w14:paraId="7AF89D7B" w14:textId="77777777" w:rsidR="003C791D" w:rsidRPr="0085414B" w:rsidRDefault="003C791D" w:rsidP="003C791D">
      <w:pPr>
        <w:ind w:firstLine="709"/>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Consejo de Estado. Sección Tercera. Subsección C. Sentencia del 11 de diciembre de 2019. Exp. 46.986. C.P. Jaime Enrique Rodríguez Navas.</w:t>
      </w:r>
    </w:p>
  </w:footnote>
  <w:footnote w:id="29">
    <w:p w14:paraId="2EBE7351" w14:textId="77777777" w:rsidR="003C791D" w:rsidRPr="0085414B" w:rsidRDefault="003C791D" w:rsidP="003C791D">
      <w:pPr>
        <w:pStyle w:val="Textonotapie"/>
        <w:ind w:firstLine="708"/>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[Referencia propia de la cita] «CE. SCSC. Concepto de 1 de noviembre de 2016 [Rad. 11001-03-06-000-2016-00125-00(2305)]. MP. Germán Alberto Bula Escobar».</w:t>
      </w:r>
    </w:p>
  </w:footnote>
  <w:footnote w:id="30">
    <w:p w14:paraId="5B5AB92D" w14:textId="77777777" w:rsidR="003C791D" w:rsidRPr="0085414B" w:rsidRDefault="003C791D" w:rsidP="003C791D">
      <w:pPr>
        <w:pStyle w:val="Textonotapie"/>
        <w:ind w:firstLine="708"/>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85414B">
        <w:rPr>
          <w:rFonts w:ascii="Arial" w:hAnsi="Arial" w:cs="Arial"/>
          <w:i/>
          <w:sz w:val="19"/>
          <w:szCs w:val="19"/>
        </w:rPr>
        <w:t>“obligacional”</w:t>
      </w:r>
      <w:r w:rsidRPr="0085414B">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1">
    <w:p w14:paraId="427EC984" w14:textId="77777777" w:rsidR="003C791D" w:rsidRPr="0085414B" w:rsidRDefault="003C791D" w:rsidP="003C791D">
      <w:pPr>
        <w:pStyle w:val="Textonotapie"/>
        <w:ind w:firstLine="708"/>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[Referencia propia de la cita] «La normativa vigente del EGCAP </w:t>
      </w:r>
      <w:r w:rsidRPr="0085414B">
        <w:rPr>
          <w:rFonts w:ascii="Arial" w:hAnsi="Arial" w:cs="Arial"/>
          <w:i/>
          <w:sz w:val="19"/>
          <w:szCs w:val="19"/>
        </w:rPr>
        <w:t>[literal c) del numeral 4. del artículo 2 de la Ley 1150/07]</w:t>
      </w:r>
      <w:r w:rsidRPr="0085414B">
        <w:rPr>
          <w:rFonts w:ascii="Arial" w:hAnsi="Arial" w:cs="Arial"/>
          <w:sz w:val="19"/>
          <w:szCs w:val="19"/>
        </w:rPr>
        <w:t xml:space="preserve"> se refiere a </w:t>
      </w:r>
      <w:r w:rsidRPr="0085414B">
        <w:rPr>
          <w:rFonts w:ascii="Arial" w:hAnsi="Arial" w:cs="Arial"/>
          <w:i/>
          <w:sz w:val="19"/>
          <w:szCs w:val="19"/>
        </w:rPr>
        <w:t>“contratos interadministrativos”</w:t>
      </w:r>
      <w:r w:rsidRPr="0085414B">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2">
    <w:p w14:paraId="1505A273" w14:textId="77777777" w:rsidR="003C791D" w:rsidRPr="0085414B" w:rsidRDefault="003C791D" w:rsidP="003C791D">
      <w:pPr>
        <w:pStyle w:val="Textonotapie"/>
        <w:ind w:firstLine="708"/>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33">
    <w:p w14:paraId="1435D2EC" w14:textId="77777777" w:rsidR="003C791D" w:rsidRPr="0085414B" w:rsidRDefault="003C791D" w:rsidP="003C791D">
      <w:pPr>
        <w:pStyle w:val="Textonotapie"/>
        <w:ind w:firstLine="708"/>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Es lo que sucede, por ejemplo, con el Decreto 092 de 2017, que en su desarrollo hace referencia tanto a los «contratos» como a los «convenios». </w:t>
      </w:r>
    </w:p>
  </w:footnote>
  <w:footnote w:id="34">
    <w:p w14:paraId="6FE96399" w14:textId="77777777" w:rsidR="003C791D" w:rsidRPr="0085414B" w:rsidRDefault="003C791D" w:rsidP="003C791D">
      <w:pPr>
        <w:pStyle w:val="Textonotapie"/>
        <w:ind w:firstLine="708"/>
        <w:jc w:val="both"/>
        <w:rPr>
          <w:rFonts w:ascii="Arial" w:hAnsi="Arial" w:cs="Arial"/>
          <w:sz w:val="19"/>
          <w:szCs w:val="19"/>
          <w:lang w:val="es-CO"/>
        </w:rPr>
      </w:pPr>
      <w:r w:rsidRPr="0085414B">
        <w:rPr>
          <w:rStyle w:val="Refdenotaalpie"/>
          <w:rFonts w:ascii="Arial" w:hAnsi="Arial" w:cs="Arial"/>
          <w:sz w:val="19"/>
          <w:szCs w:val="19"/>
        </w:rPr>
        <w:footnoteRef/>
      </w:r>
      <w:r w:rsidRPr="0085414B">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5">
    <w:p w14:paraId="679EE9CD" w14:textId="77777777" w:rsidR="003C791D" w:rsidRPr="0085414B" w:rsidRDefault="003C791D" w:rsidP="003C791D">
      <w:pPr>
        <w:pStyle w:val="Textonotapie"/>
        <w:ind w:firstLine="708"/>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6">
    <w:p w14:paraId="567C5C2D" w14:textId="77777777" w:rsidR="003C791D" w:rsidRPr="0085414B" w:rsidRDefault="003C791D" w:rsidP="003C791D">
      <w:pPr>
        <w:pStyle w:val="Textonotapie"/>
        <w:ind w:firstLine="709"/>
        <w:jc w:val="both"/>
        <w:rPr>
          <w:rFonts w:ascii="Arial" w:hAnsi="Arial" w:cs="Arial"/>
          <w:sz w:val="19"/>
          <w:szCs w:val="19"/>
          <w:lang w:val="es-CO"/>
        </w:rPr>
      </w:pPr>
      <w:r w:rsidRPr="0085414B">
        <w:rPr>
          <w:rStyle w:val="Refdenotaalpie"/>
          <w:rFonts w:ascii="Arial" w:hAnsi="Arial" w:cs="Arial"/>
          <w:sz w:val="19"/>
          <w:szCs w:val="19"/>
        </w:rPr>
        <w:footnoteRef/>
      </w:r>
      <w:r w:rsidRPr="0085414B">
        <w:rPr>
          <w:rFonts w:ascii="Arial" w:hAnsi="Arial" w:cs="Arial"/>
          <w:sz w:val="19"/>
          <w:szCs w:val="19"/>
        </w:rPr>
        <w:t xml:space="preserve"> Consejo de Estado. Sala de Consulta y Servicio Civil. Concepto del 15 de noviembre de 2007. Expediente número 1863. Consejero Ponente: Luis Fernando Álvarez Jaramillo.</w:t>
      </w:r>
    </w:p>
  </w:footnote>
  <w:footnote w:id="37">
    <w:p w14:paraId="7BE90A1A" w14:textId="77777777" w:rsidR="003C791D" w:rsidRPr="0085414B" w:rsidRDefault="003C791D" w:rsidP="003C791D">
      <w:pPr>
        <w:pStyle w:val="Textonotapie"/>
        <w:ind w:firstLine="708"/>
        <w:jc w:val="both"/>
        <w:rPr>
          <w:rFonts w:ascii="Arial" w:hAnsi="Arial" w:cs="Arial"/>
          <w:color w:val="000000" w:themeColor="text1"/>
          <w:sz w:val="19"/>
          <w:szCs w:val="19"/>
        </w:rPr>
      </w:pPr>
      <w:r w:rsidRPr="0085414B">
        <w:rPr>
          <w:rStyle w:val="Refdenotaalpie"/>
          <w:rFonts w:ascii="Arial" w:hAnsi="Arial" w:cs="Arial"/>
          <w:color w:val="000000" w:themeColor="text1"/>
          <w:sz w:val="19"/>
          <w:szCs w:val="19"/>
        </w:rPr>
        <w:footnoteRef/>
      </w:r>
      <w:r w:rsidRPr="0085414B">
        <w:rPr>
          <w:rFonts w:ascii="Arial" w:hAnsi="Arial" w:cs="Arial"/>
          <w:color w:val="000000" w:themeColor="text1"/>
          <w:sz w:val="19"/>
          <w:szCs w:val="19"/>
        </w:rPr>
        <w:t xml:space="preserve"> Ley 60 de 1993: «Artículo 2. Competencias de los Municipios. Corresponde a los Municipios, a través de las dependencias de su organización central o de las entidades descentralizadas municipales competentes, en su carácter de entidades ejecutoras principales de las acciones en materia social, dirigir, prestar o participar en la prestación de los servicios directamente, conforme a la ley, a las normas técnicas de carácter nacional, a las ordenanzas y a los respectivos acuerdos municipales. </w:t>
      </w:r>
    </w:p>
    <w:p w14:paraId="36358CE5" w14:textId="77777777" w:rsidR="003C791D" w:rsidRPr="0085414B" w:rsidRDefault="003C791D" w:rsidP="003C791D">
      <w:pPr>
        <w:pStyle w:val="Textonotapie"/>
        <w:ind w:firstLine="708"/>
        <w:jc w:val="both"/>
        <w:rPr>
          <w:rFonts w:ascii="Arial" w:hAnsi="Arial" w:cs="Arial"/>
          <w:color w:val="000000" w:themeColor="text1"/>
          <w:sz w:val="19"/>
          <w:szCs w:val="19"/>
        </w:rPr>
      </w:pPr>
      <w:r w:rsidRPr="0085414B">
        <w:rPr>
          <w:rFonts w:ascii="Arial" w:hAnsi="Arial" w:cs="Arial"/>
          <w:color w:val="000000" w:themeColor="text1"/>
          <w:sz w:val="19"/>
          <w:szCs w:val="19"/>
        </w:rPr>
        <w:t>[…]</w:t>
      </w:r>
    </w:p>
    <w:p w14:paraId="3F6AF400" w14:textId="77777777" w:rsidR="003C791D" w:rsidRPr="0085414B" w:rsidRDefault="003C791D" w:rsidP="003C791D">
      <w:pPr>
        <w:pStyle w:val="Textonotapie"/>
        <w:ind w:firstLine="708"/>
        <w:jc w:val="both"/>
        <w:rPr>
          <w:rFonts w:ascii="Arial" w:hAnsi="Arial" w:cs="Arial"/>
          <w:color w:val="000000" w:themeColor="text1"/>
          <w:sz w:val="19"/>
          <w:szCs w:val="19"/>
        </w:rPr>
      </w:pPr>
      <w:r w:rsidRPr="0085414B">
        <w:rPr>
          <w:rFonts w:ascii="Arial" w:hAnsi="Arial" w:cs="Arial"/>
          <w:color w:val="000000" w:themeColor="text1"/>
          <w:sz w:val="19"/>
          <w:szCs w:val="19"/>
        </w:rPr>
        <w:t xml:space="preserve">»Artículo 3. Competencias de los departamentos. Corresponde a los departamentos, a través de las dependencias de su organización central o de las entidades descentralizadas departamentales competentes, conforme a la Constitución Política, la ley, a las normas técnicas nacionales y a las respectivas ordenanzas. </w:t>
      </w:r>
    </w:p>
    <w:p w14:paraId="051F706E" w14:textId="77777777" w:rsidR="003C791D" w:rsidRPr="0085414B" w:rsidRDefault="003C791D" w:rsidP="003C791D">
      <w:pPr>
        <w:pStyle w:val="Textonotapie"/>
        <w:ind w:firstLine="708"/>
        <w:jc w:val="both"/>
        <w:rPr>
          <w:rFonts w:ascii="Arial" w:hAnsi="Arial" w:cs="Arial"/>
          <w:color w:val="000000" w:themeColor="text1"/>
          <w:sz w:val="19"/>
          <w:szCs w:val="19"/>
        </w:rPr>
      </w:pPr>
      <w:r w:rsidRPr="0085414B">
        <w:rPr>
          <w:rFonts w:ascii="Arial" w:hAnsi="Arial" w:cs="Arial"/>
          <w:color w:val="000000" w:themeColor="text1"/>
          <w:sz w:val="19"/>
          <w:szCs w:val="19"/>
        </w:rPr>
        <w:t>[…]</w:t>
      </w:r>
    </w:p>
    <w:p w14:paraId="2228E9EE" w14:textId="77777777" w:rsidR="003C791D" w:rsidRPr="0085414B" w:rsidRDefault="003C791D" w:rsidP="003C791D">
      <w:pPr>
        <w:pStyle w:val="Textonotapie"/>
        <w:ind w:firstLine="708"/>
        <w:jc w:val="both"/>
        <w:rPr>
          <w:rFonts w:ascii="Arial" w:hAnsi="Arial" w:cs="Arial"/>
          <w:color w:val="000000" w:themeColor="text1"/>
          <w:sz w:val="19"/>
          <w:szCs w:val="19"/>
        </w:rPr>
      </w:pPr>
      <w:r w:rsidRPr="0085414B">
        <w:rPr>
          <w:rFonts w:ascii="Arial" w:hAnsi="Arial" w:cs="Arial"/>
          <w:color w:val="000000" w:themeColor="text1"/>
          <w:sz w:val="19"/>
          <w:szCs w:val="19"/>
        </w:rPr>
        <w:t xml:space="preserve">«Artículo 4. Competencias de los distritos. Corresponde a los distritos, a través de las dependencias de su organización central o de las entidades descentralizadas competentes, conforme a la Ley, a las normas técnicas nacionales y a los respectivos acuerdos». </w:t>
      </w:r>
    </w:p>
    <w:p w14:paraId="16A30B42" w14:textId="77777777" w:rsidR="003C791D" w:rsidRPr="0085414B" w:rsidRDefault="003C791D" w:rsidP="003C791D">
      <w:pPr>
        <w:pStyle w:val="Textonotapie"/>
        <w:ind w:firstLine="708"/>
        <w:jc w:val="both"/>
        <w:rPr>
          <w:rFonts w:ascii="Arial" w:hAnsi="Arial" w:cs="Arial"/>
          <w:color w:val="000000" w:themeColor="text1"/>
          <w:sz w:val="19"/>
          <w:szCs w:val="19"/>
        </w:rPr>
      </w:pPr>
      <w:r w:rsidRPr="0085414B">
        <w:rPr>
          <w:rFonts w:ascii="Arial" w:hAnsi="Arial" w:cs="Arial"/>
          <w:color w:val="000000" w:themeColor="text1"/>
          <w:sz w:val="19"/>
          <w:szCs w:val="19"/>
        </w:rPr>
        <w:t xml:space="preserve">Ley 715 de 2005: «Artículo 9. (…) Las instituciones educativas estatales son departamentales, distritales o municipales». </w:t>
      </w:r>
    </w:p>
  </w:footnote>
  <w:footnote w:id="38">
    <w:p w14:paraId="07F39482" w14:textId="77777777" w:rsidR="003C791D" w:rsidRPr="0085414B" w:rsidRDefault="003C791D" w:rsidP="003C791D">
      <w:pPr>
        <w:pStyle w:val="Textonotapie"/>
        <w:ind w:firstLine="708"/>
        <w:jc w:val="both"/>
        <w:rPr>
          <w:rFonts w:ascii="Arial" w:hAnsi="Arial" w:cs="Arial"/>
          <w:color w:val="000000" w:themeColor="text1"/>
          <w:sz w:val="19"/>
          <w:szCs w:val="19"/>
        </w:rPr>
      </w:pPr>
      <w:r w:rsidRPr="0085414B">
        <w:rPr>
          <w:rStyle w:val="Refdenotaalpie"/>
          <w:rFonts w:ascii="Arial" w:hAnsi="Arial" w:cs="Arial"/>
          <w:color w:val="000000" w:themeColor="text1"/>
          <w:sz w:val="19"/>
          <w:szCs w:val="19"/>
        </w:rPr>
        <w:footnoteRef/>
      </w:r>
      <w:r w:rsidRPr="0085414B">
        <w:rPr>
          <w:rFonts w:ascii="Arial" w:hAnsi="Arial" w:cs="Arial"/>
          <w:color w:val="000000" w:themeColor="text1"/>
          <w:sz w:val="19"/>
          <w:szCs w:val="19"/>
        </w:rPr>
        <w:t xml:space="preserve"> «Artículo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p>
  </w:footnote>
  <w:footnote w:id="39">
    <w:p w14:paraId="2694F52D" w14:textId="77777777" w:rsidR="003C791D" w:rsidRPr="0085414B" w:rsidRDefault="003C791D" w:rsidP="003C791D">
      <w:pPr>
        <w:pStyle w:val="Textonotapie"/>
        <w:ind w:firstLine="708"/>
        <w:jc w:val="both"/>
        <w:rPr>
          <w:rFonts w:ascii="Arial" w:hAnsi="Arial" w:cs="Arial"/>
          <w:color w:val="000000" w:themeColor="text1"/>
          <w:sz w:val="19"/>
          <w:szCs w:val="19"/>
        </w:rPr>
      </w:pPr>
      <w:r w:rsidRPr="0085414B">
        <w:rPr>
          <w:rStyle w:val="Refdenotaalpie"/>
          <w:rFonts w:ascii="Arial" w:hAnsi="Arial" w:cs="Arial"/>
          <w:color w:val="000000" w:themeColor="text1"/>
          <w:sz w:val="19"/>
          <w:szCs w:val="19"/>
        </w:rPr>
        <w:footnoteRef/>
      </w:r>
      <w:r w:rsidRPr="0085414B">
        <w:rPr>
          <w:rStyle w:val="Refdenotaalpie"/>
          <w:rFonts w:ascii="Arial" w:hAnsi="Arial" w:cs="Arial"/>
          <w:color w:val="000000" w:themeColor="text1"/>
          <w:sz w:val="19"/>
          <w:szCs w:val="19"/>
        </w:rPr>
        <w:t xml:space="preserve"> </w:t>
      </w:r>
      <w:r w:rsidRPr="0085414B">
        <w:rPr>
          <w:rFonts w:ascii="Arial" w:hAnsi="Arial" w:cs="Arial"/>
          <w:color w:val="000000" w:themeColor="text1"/>
          <w:sz w:val="19"/>
          <w:szCs w:val="19"/>
        </w:rPr>
        <w:t>Consejo de Estado. Sección Tercera Subsección A. Sentencia del 12 de octubre de 2017. Consejera Ponente: Marta Nubia Velásquez Rico. Radicación número: 68001-23-31-000-2005-03845-01(51.634).</w:t>
      </w:r>
    </w:p>
  </w:footnote>
  <w:footnote w:id="40">
    <w:p w14:paraId="3B8E90CC" w14:textId="77777777" w:rsidR="003C791D" w:rsidRPr="0085414B" w:rsidRDefault="003C791D" w:rsidP="003C791D">
      <w:pPr>
        <w:pStyle w:val="NormalWeb"/>
        <w:spacing w:before="0" w:beforeAutospacing="0" w:after="0" w:afterAutospacing="0"/>
        <w:ind w:firstLine="708"/>
        <w:jc w:val="both"/>
        <w:rPr>
          <w:rFonts w:ascii="Arial" w:hAnsi="Arial" w:cs="Arial"/>
          <w:sz w:val="19"/>
          <w:szCs w:val="19"/>
        </w:rPr>
      </w:pPr>
      <w:r w:rsidRPr="0085414B">
        <w:rPr>
          <w:rStyle w:val="Refdenotaalpie"/>
          <w:rFonts w:ascii="Arial" w:hAnsi="Arial" w:cs="Arial"/>
          <w:sz w:val="19"/>
          <w:szCs w:val="19"/>
        </w:rPr>
        <w:footnoteRef/>
      </w:r>
      <w:r w:rsidRPr="0085414B">
        <w:rPr>
          <w:rStyle w:val="Refdenotaalpie"/>
          <w:rFonts w:ascii="Arial" w:hAnsi="Arial" w:cs="Arial"/>
          <w:sz w:val="19"/>
          <w:szCs w:val="19"/>
        </w:rPr>
        <w:t xml:space="preserve"> </w:t>
      </w:r>
      <w:r w:rsidRPr="0085414B">
        <w:rPr>
          <w:rFonts w:ascii="Arial" w:hAnsi="Arial" w:cs="Arial"/>
          <w:sz w:val="19"/>
          <w:szCs w:val="19"/>
        </w:rPr>
        <w:t>«Artículo 13. Procedimientos de contratación de los fondos de servicios educativos. 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6755A697" w14:textId="77777777" w:rsidR="003C791D" w:rsidRPr="0085414B" w:rsidRDefault="003C791D" w:rsidP="003C791D">
      <w:pPr>
        <w:ind w:firstLine="708"/>
        <w:jc w:val="both"/>
        <w:rPr>
          <w:rFonts w:ascii="Arial" w:hAnsi="Arial" w:cs="Arial"/>
          <w:sz w:val="19"/>
          <w:szCs w:val="19"/>
          <w:lang w:eastAsia="es-CO"/>
        </w:rPr>
      </w:pPr>
      <w:r w:rsidRPr="0085414B">
        <w:rPr>
          <w:rFonts w:ascii="Arial" w:hAnsi="Arial" w:cs="Arial"/>
          <w:sz w:val="19"/>
          <w:szCs w:val="19"/>
          <w:lang w:eastAsia="es-CO"/>
        </w:rPr>
        <w:t xml:space="preserve">»Los actos y contratos de cuantía superior a veinte (20) salarios mínimos mensuales se regirán por las reglas de la contratación estatal, teniendo en cuenta su valor y naturaleza, y las circunstancias en las que se celebren. El Gobierno Nacional podrá indicar los casos en los cuales la cuantía señalada en el presente inciso será menor. </w:t>
      </w:r>
    </w:p>
    <w:p w14:paraId="5BE4EFCE" w14:textId="77777777" w:rsidR="003C791D" w:rsidRPr="0085414B" w:rsidRDefault="003C791D" w:rsidP="003C791D">
      <w:pPr>
        <w:ind w:firstLine="708"/>
        <w:jc w:val="both"/>
        <w:rPr>
          <w:rFonts w:ascii="Arial" w:hAnsi="Arial" w:cs="Arial"/>
          <w:sz w:val="19"/>
          <w:szCs w:val="19"/>
          <w:lang w:eastAsia="es-CO"/>
        </w:rPr>
      </w:pPr>
      <w:r w:rsidRPr="0085414B">
        <w:rPr>
          <w:rFonts w:ascii="Arial" w:hAnsi="Arial" w:cs="Arial"/>
          <w:sz w:val="19"/>
          <w:szCs w:val="19"/>
          <w:lang w:eastAsia="es-CO"/>
        </w:rPr>
        <w:t>»El rector o director celebrará los contratos que hayan de pagarse con cargo a los recursos vinculados a los Fondos, en las condiciones y dentro de los límites que fijen los reglamentos.</w:t>
      </w:r>
    </w:p>
    <w:p w14:paraId="78D0A2D3" w14:textId="77777777" w:rsidR="003C791D" w:rsidRPr="0085414B" w:rsidRDefault="003C791D" w:rsidP="003C791D">
      <w:pPr>
        <w:ind w:firstLine="708"/>
        <w:jc w:val="both"/>
        <w:rPr>
          <w:rFonts w:ascii="Arial" w:hAnsi="Arial" w:cs="Arial"/>
          <w:sz w:val="19"/>
          <w:szCs w:val="19"/>
          <w:lang w:eastAsia="es-CO"/>
        </w:rPr>
      </w:pPr>
      <w:r w:rsidRPr="0085414B">
        <w:rPr>
          <w:rFonts w:ascii="Arial" w:hAnsi="Arial" w:cs="Arial"/>
          <w:sz w:val="19"/>
          <w:szCs w:val="19"/>
          <w:lang w:eastAsia="es-CO"/>
        </w:rPr>
        <w:t>»</w:t>
      </w:r>
      <w:r w:rsidRPr="0085414B">
        <w:rPr>
          <w:rFonts w:ascii="Arial" w:hAnsi="Arial" w:cs="Arial"/>
          <w:i/>
          <w:iCs/>
          <w:sz w:val="19"/>
          <w:szCs w:val="19"/>
          <w:lang w:eastAsia="es-CO"/>
        </w:rPr>
        <w:t xml:space="preserve">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w:t>
      </w:r>
      <w:bookmarkStart w:id="27" w:name="_Hlk61284561"/>
      <w:r w:rsidRPr="0085414B">
        <w:rPr>
          <w:rFonts w:ascii="Arial" w:hAnsi="Arial" w:cs="Arial"/>
          <w:i/>
          <w:iCs/>
          <w:sz w:val="19"/>
          <w:szCs w:val="19"/>
          <w:lang w:eastAsia="es-CO"/>
        </w:rPr>
        <w:t>los trámites, garantías y constancias que deben cumplirse para que el rector o director celebre cualquier acto o contrato que cree, extinga o modifique obligaciones que deban registrarse en el Fondo</w:t>
      </w:r>
      <w:bookmarkEnd w:id="27"/>
      <w:r w:rsidRPr="0085414B">
        <w:rPr>
          <w:rFonts w:ascii="Arial" w:hAnsi="Arial" w:cs="Arial"/>
          <w:i/>
          <w:iCs/>
          <w:sz w:val="19"/>
          <w:szCs w:val="19"/>
          <w:lang w:eastAsia="es-CO"/>
        </w:rPr>
        <w:t>, y cuya cuantía sea inferior a veinte (20) salarios mínimos mensuales. El Consejo puede exigir, además, que ciertos actos o contratos requieran una autorización suya específica</w:t>
      </w:r>
      <w:r w:rsidRPr="0085414B">
        <w:rPr>
          <w:rFonts w:ascii="Arial" w:hAnsi="Arial" w:cs="Arial"/>
          <w:sz w:val="19"/>
          <w:szCs w:val="19"/>
          <w:lang w:eastAsia="es-CO"/>
        </w:rPr>
        <w:t>.</w:t>
      </w:r>
    </w:p>
    <w:p w14:paraId="7703758E" w14:textId="77777777" w:rsidR="003C791D" w:rsidRPr="0085414B" w:rsidRDefault="003C791D" w:rsidP="003C791D">
      <w:pPr>
        <w:ind w:firstLine="708"/>
        <w:jc w:val="both"/>
        <w:rPr>
          <w:rFonts w:ascii="Arial" w:hAnsi="Arial" w:cs="Arial"/>
          <w:sz w:val="19"/>
          <w:szCs w:val="19"/>
          <w:lang w:eastAsia="es-CO"/>
        </w:rPr>
      </w:pPr>
      <w:r w:rsidRPr="0085414B">
        <w:rPr>
          <w:rFonts w:ascii="Arial" w:hAnsi="Arial" w:cs="Arial"/>
          <w:sz w:val="19"/>
          <w:szCs w:val="19"/>
          <w:lang w:eastAsia="es-CO"/>
        </w:rPr>
        <w:t>[…]» (Énfasis fuera de texto).</w:t>
      </w:r>
    </w:p>
    <w:p w14:paraId="5AC1C0FF" w14:textId="77777777" w:rsidR="003C791D" w:rsidRPr="0085414B" w:rsidRDefault="003C791D" w:rsidP="003C791D">
      <w:pPr>
        <w:pStyle w:val="Textonotapie"/>
        <w:ind w:firstLine="708"/>
        <w:jc w:val="both"/>
        <w:rPr>
          <w:rFonts w:ascii="Arial" w:hAnsi="Arial" w:cs="Arial"/>
          <w:color w:val="000000" w:themeColor="text1"/>
          <w:sz w:val="19"/>
          <w:szCs w:val="19"/>
        </w:rPr>
      </w:pPr>
      <w:r w:rsidRPr="0085414B">
        <w:rPr>
          <w:rFonts w:ascii="Arial" w:hAnsi="Arial" w:cs="Arial"/>
          <w:color w:val="000000" w:themeColor="text1"/>
          <w:sz w:val="19"/>
          <w:szCs w:val="19"/>
        </w:rPr>
        <w:t>Decreto 1075 de 2015: «Artículo 2.3.1.6.3.5. Funciones del Consejo Directivo. (…) 6. Reglamentar mediante acuerdo los procedimientos, formalidades y garantías para toda contratación que no supere los veinte (20) salarios mínimos legales mensuales vigentes (SMLMV)».</w:t>
      </w:r>
    </w:p>
  </w:footnote>
  <w:footnote w:id="41">
    <w:p w14:paraId="5615CC94" w14:textId="77777777" w:rsidR="003C791D" w:rsidRPr="0085414B" w:rsidRDefault="003C791D" w:rsidP="003C791D">
      <w:pPr>
        <w:pStyle w:val="Textonotapie"/>
        <w:ind w:firstLine="708"/>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El artículo 32 de la Ley 80, en lo pertinente, dispone que «Son contratos estatales todos los actos jurídicos generadores de obligaciones que celebren las entidades a que se refiere el presente estatuto, previstos en el derecho privado o en disposiciones especiales, o derivados del ejercicio de la autonomía de la voluntad […]. Por su parte, el inciso primero del artículo 40 del Estatuto General prescribe los siguiente: «Las estipulaciones de los contratos serán las que de acuerdo con las normas civiles, comerciales y las previstas en esta ley, correspondan a su esencia y naturaleza».</w:t>
      </w:r>
    </w:p>
  </w:footnote>
  <w:footnote w:id="42">
    <w:p w14:paraId="1D5630B8" w14:textId="77777777" w:rsidR="003C791D" w:rsidRPr="0085414B" w:rsidRDefault="003C791D" w:rsidP="003C791D">
      <w:pPr>
        <w:pStyle w:val="Textonotapie"/>
        <w:ind w:firstLine="708"/>
        <w:jc w:val="both"/>
        <w:rPr>
          <w:rFonts w:ascii="Arial" w:hAnsi="Arial" w:cs="Arial"/>
          <w:sz w:val="19"/>
          <w:szCs w:val="19"/>
          <w:lang w:val="es-ES"/>
        </w:rPr>
      </w:pPr>
      <w:r w:rsidRPr="0085414B">
        <w:rPr>
          <w:rStyle w:val="Refdenotaalpie"/>
          <w:rFonts w:ascii="Arial" w:hAnsi="Arial" w:cs="Arial"/>
          <w:sz w:val="19"/>
          <w:szCs w:val="19"/>
        </w:rPr>
        <w:footnoteRef/>
      </w:r>
      <w:r w:rsidRPr="0085414B">
        <w:rPr>
          <w:rFonts w:ascii="Arial" w:hAnsi="Arial" w:cs="Arial"/>
          <w:sz w:val="19"/>
          <w:szCs w:val="19"/>
        </w:rPr>
        <w:t xml:space="preserve"> Cfr. BENAVIDES, José Luis. El contrato estatal: entre el derecho público y el derecho privado. Segunda edición. Bogotá: Universidad Externado de Colombia, 2009. pp. 78-79.      </w:t>
      </w:r>
    </w:p>
  </w:footnote>
  <w:footnote w:id="43">
    <w:p w14:paraId="0E97CC5A" w14:textId="77777777" w:rsidR="003C791D" w:rsidRPr="0085414B" w:rsidRDefault="003C791D" w:rsidP="003C791D">
      <w:pPr>
        <w:pStyle w:val="Textonotapie"/>
        <w:ind w:firstLine="708"/>
        <w:jc w:val="both"/>
        <w:rPr>
          <w:rFonts w:ascii="Arial" w:hAnsi="Arial" w:cs="Arial"/>
          <w:sz w:val="19"/>
          <w:szCs w:val="19"/>
          <w:lang w:val="es-ES"/>
        </w:rPr>
      </w:pPr>
      <w:r w:rsidRPr="0085414B">
        <w:rPr>
          <w:rStyle w:val="Refdenotaalpie"/>
          <w:rFonts w:ascii="Arial" w:hAnsi="Arial" w:cs="Arial"/>
          <w:sz w:val="19"/>
          <w:szCs w:val="19"/>
        </w:rPr>
        <w:footnoteRef/>
      </w:r>
      <w:r w:rsidRPr="0085414B">
        <w:rPr>
          <w:rFonts w:ascii="Arial" w:hAnsi="Arial" w:cs="Arial"/>
          <w:sz w:val="19"/>
          <w:szCs w:val="19"/>
        </w:rPr>
        <w:t xml:space="preserve"> BETANCUR JARAMILLO, Carlos. Derecho procesal administrativo. Cuarta edición. Medellín: Señal Editora, 1994. pp. 522-523. </w:t>
      </w:r>
    </w:p>
  </w:footnote>
  <w:footnote w:id="44">
    <w:p w14:paraId="70875370" w14:textId="77777777" w:rsidR="003C791D" w:rsidRPr="0085414B" w:rsidRDefault="003C791D" w:rsidP="003C791D">
      <w:pPr>
        <w:pStyle w:val="Textonotapie"/>
        <w:ind w:firstLine="708"/>
        <w:jc w:val="both"/>
        <w:rPr>
          <w:rFonts w:ascii="Arial" w:hAnsi="Arial" w:cs="Arial"/>
          <w:sz w:val="19"/>
          <w:szCs w:val="19"/>
          <w:lang w:val="es-ES"/>
        </w:rPr>
      </w:pPr>
      <w:r w:rsidRPr="0085414B">
        <w:rPr>
          <w:rStyle w:val="Refdenotaalpie"/>
          <w:rFonts w:ascii="Arial" w:hAnsi="Arial" w:cs="Arial"/>
          <w:sz w:val="19"/>
          <w:szCs w:val="19"/>
        </w:rPr>
        <w:footnoteRef/>
      </w:r>
      <w:r w:rsidRPr="0085414B">
        <w:rPr>
          <w:rFonts w:ascii="Arial" w:hAnsi="Arial" w:cs="Arial"/>
          <w:sz w:val="19"/>
          <w:szCs w:val="19"/>
        </w:rPr>
        <w:t xml:space="preserve"> La norma citada dispone que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45">
    <w:p w14:paraId="1298D91D" w14:textId="77777777" w:rsidR="003C791D" w:rsidRPr="0085414B" w:rsidRDefault="003C791D" w:rsidP="003C791D">
      <w:pPr>
        <w:pStyle w:val="Textonotapie"/>
        <w:ind w:firstLine="708"/>
        <w:jc w:val="both"/>
        <w:rPr>
          <w:rFonts w:ascii="Arial" w:hAnsi="Arial" w:cs="Arial"/>
          <w:sz w:val="19"/>
          <w:szCs w:val="19"/>
        </w:rPr>
      </w:pPr>
      <w:r w:rsidRPr="0085414B">
        <w:rPr>
          <w:rStyle w:val="Refdenotaalpie"/>
          <w:rFonts w:ascii="Arial" w:hAnsi="Arial" w:cs="Arial"/>
          <w:sz w:val="19"/>
          <w:szCs w:val="19"/>
        </w:rPr>
        <w:footnoteRef/>
      </w:r>
      <w:r w:rsidRPr="0085414B">
        <w:rPr>
          <w:rFonts w:ascii="Arial" w:hAnsi="Arial" w:cs="Arial"/>
          <w:sz w:val="19"/>
          <w:szCs w:val="19"/>
        </w:rPr>
        <w:t xml:space="preserve"> CONSEJO DE ESTADO. Sala de Consulta y Servicio Civil. Concepto del 27 de abril de 2006. Rad:1712. C.P. Enrique José Arboleda Perdomo.</w:t>
      </w:r>
    </w:p>
  </w:footnote>
  <w:footnote w:id="46">
    <w:p w14:paraId="2D76A8E3" w14:textId="71C2CB0B" w:rsidR="00E05BE7" w:rsidRPr="0085414B" w:rsidRDefault="00E05BE7" w:rsidP="0085414B">
      <w:pPr>
        <w:pStyle w:val="Textonotapie"/>
        <w:ind w:firstLine="708"/>
        <w:jc w:val="both"/>
        <w:rPr>
          <w:rFonts w:ascii="Arial" w:hAnsi="Arial" w:cs="Arial"/>
          <w:sz w:val="19"/>
          <w:szCs w:val="19"/>
          <w:lang w:val="es-CO"/>
        </w:rPr>
      </w:pPr>
      <w:r w:rsidRPr="0085414B">
        <w:rPr>
          <w:rStyle w:val="Refdenotaalpie"/>
          <w:rFonts w:ascii="Arial" w:hAnsi="Arial" w:cs="Arial"/>
          <w:sz w:val="19"/>
          <w:szCs w:val="19"/>
        </w:rPr>
        <w:footnoteRef/>
      </w:r>
      <w:r w:rsidRPr="0085414B">
        <w:rPr>
          <w:rFonts w:ascii="Arial" w:hAnsi="Arial" w:cs="Arial"/>
          <w:sz w:val="19"/>
          <w:szCs w:val="19"/>
        </w:rPr>
        <w:t xml:space="preserve"> </w:t>
      </w:r>
      <w:r w:rsidRPr="003C791D">
        <w:rPr>
          <w:rFonts w:ascii="Arial" w:hAnsi="Arial" w:cs="Arial"/>
          <w:sz w:val="19"/>
          <w:szCs w:val="19"/>
        </w:rPr>
        <w:t>Consejo de Estado. Sala de Consulta y Servicio Civil. Concepto del 2 de septiembre de 2013. Radicación número: 11001-03-06-000-2013-00412-00 (2168). Consejero Ponente: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4330CB" w:rsidRDefault="004330CB">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0"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50247141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6330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15173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2275743">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9828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9954152">
    <w:abstractNumId w:val="12"/>
  </w:num>
  <w:num w:numId="7" w16cid:durableId="95902653">
    <w:abstractNumId w:val="11"/>
  </w:num>
  <w:num w:numId="8" w16cid:durableId="77597552">
    <w:abstractNumId w:val="5"/>
  </w:num>
  <w:num w:numId="9" w16cid:durableId="1535390558">
    <w:abstractNumId w:val="2"/>
  </w:num>
  <w:num w:numId="10" w16cid:durableId="1538276778">
    <w:abstractNumId w:val="6"/>
  </w:num>
  <w:num w:numId="11" w16cid:durableId="567963634">
    <w:abstractNumId w:val="10"/>
  </w:num>
  <w:num w:numId="12" w16cid:durableId="218444196">
    <w:abstractNumId w:val="3"/>
  </w:num>
  <w:num w:numId="13" w16cid:durableId="7169741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05C3"/>
    <w:rsid w:val="00001319"/>
    <w:rsid w:val="0000199E"/>
    <w:rsid w:val="00001C93"/>
    <w:rsid w:val="000035BA"/>
    <w:rsid w:val="00003804"/>
    <w:rsid w:val="00003E08"/>
    <w:rsid w:val="00004AA6"/>
    <w:rsid w:val="00004DB7"/>
    <w:rsid w:val="00007FF7"/>
    <w:rsid w:val="00010D30"/>
    <w:rsid w:val="0001135B"/>
    <w:rsid w:val="00017B23"/>
    <w:rsid w:val="000205D6"/>
    <w:rsid w:val="000207A0"/>
    <w:rsid w:val="0002170C"/>
    <w:rsid w:val="00023EEE"/>
    <w:rsid w:val="0002648F"/>
    <w:rsid w:val="00027B72"/>
    <w:rsid w:val="0003091B"/>
    <w:rsid w:val="000333A2"/>
    <w:rsid w:val="00040C88"/>
    <w:rsid w:val="00040D6E"/>
    <w:rsid w:val="00041980"/>
    <w:rsid w:val="00042C0C"/>
    <w:rsid w:val="00044B5E"/>
    <w:rsid w:val="00044FF2"/>
    <w:rsid w:val="000514D4"/>
    <w:rsid w:val="00052133"/>
    <w:rsid w:val="0005230F"/>
    <w:rsid w:val="00055240"/>
    <w:rsid w:val="00055688"/>
    <w:rsid w:val="00060575"/>
    <w:rsid w:val="00061E92"/>
    <w:rsid w:val="00061EE4"/>
    <w:rsid w:val="00062291"/>
    <w:rsid w:val="00062B0D"/>
    <w:rsid w:val="000638B1"/>
    <w:rsid w:val="00063B97"/>
    <w:rsid w:val="0006519B"/>
    <w:rsid w:val="00065EDA"/>
    <w:rsid w:val="00066EDE"/>
    <w:rsid w:val="00067408"/>
    <w:rsid w:val="000707A0"/>
    <w:rsid w:val="00071600"/>
    <w:rsid w:val="00073E7F"/>
    <w:rsid w:val="000757F8"/>
    <w:rsid w:val="00082589"/>
    <w:rsid w:val="0008547E"/>
    <w:rsid w:val="00085EFD"/>
    <w:rsid w:val="00086A16"/>
    <w:rsid w:val="00086A3C"/>
    <w:rsid w:val="00086C02"/>
    <w:rsid w:val="00087288"/>
    <w:rsid w:val="000905A1"/>
    <w:rsid w:val="00090D92"/>
    <w:rsid w:val="00093069"/>
    <w:rsid w:val="00094F86"/>
    <w:rsid w:val="0009519E"/>
    <w:rsid w:val="00097117"/>
    <w:rsid w:val="00097310"/>
    <w:rsid w:val="000973F2"/>
    <w:rsid w:val="00097CD6"/>
    <w:rsid w:val="000A12B4"/>
    <w:rsid w:val="000A1DBA"/>
    <w:rsid w:val="000A6338"/>
    <w:rsid w:val="000A67DD"/>
    <w:rsid w:val="000A71F0"/>
    <w:rsid w:val="000A7A2D"/>
    <w:rsid w:val="000B09B5"/>
    <w:rsid w:val="000B34BD"/>
    <w:rsid w:val="000B4552"/>
    <w:rsid w:val="000B4C69"/>
    <w:rsid w:val="000B4E6D"/>
    <w:rsid w:val="000C0E39"/>
    <w:rsid w:val="000C3EFB"/>
    <w:rsid w:val="000C67EA"/>
    <w:rsid w:val="000C7A76"/>
    <w:rsid w:val="000D088F"/>
    <w:rsid w:val="000D1ADC"/>
    <w:rsid w:val="000D2220"/>
    <w:rsid w:val="000D2FE0"/>
    <w:rsid w:val="000D3508"/>
    <w:rsid w:val="000D392A"/>
    <w:rsid w:val="000D4D29"/>
    <w:rsid w:val="000D5464"/>
    <w:rsid w:val="000D5552"/>
    <w:rsid w:val="000D7BBD"/>
    <w:rsid w:val="000E3BE4"/>
    <w:rsid w:val="000E4A3C"/>
    <w:rsid w:val="000E5038"/>
    <w:rsid w:val="000E6867"/>
    <w:rsid w:val="000E7F3A"/>
    <w:rsid w:val="000F5F52"/>
    <w:rsid w:val="000F7C02"/>
    <w:rsid w:val="00103CB5"/>
    <w:rsid w:val="001056C0"/>
    <w:rsid w:val="00107607"/>
    <w:rsid w:val="001120C8"/>
    <w:rsid w:val="00112597"/>
    <w:rsid w:val="00113AD4"/>
    <w:rsid w:val="00115190"/>
    <w:rsid w:val="00116557"/>
    <w:rsid w:val="00116B33"/>
    <w:rsid w:val="00117289"/>
    <w:rsid w:val="0012089B"/>
    <w:rsid w:val="001236B9"/>
    <w:rsid w:val="00127B2C"/>
    <w:rsid w:val="00131937"/>
    <w:rsid w:val="001321AB"/>
    <w:rsid w:val="00133D22"/>
    <w:rsid w:val="00134A96"/>
    <w:rsid w:val="00135571"/>
    <w:rsid w:val="00135E98"/>
    <w:rsid w:val="00135FC4"/>
    <w:rsid w:val="00137B0D"/>
    <w:rsid w:val="00137DDF"/>
    <w:rsid w:val="00140E57"/>
    <w:rsid w:val="00141330"/>
    <w:rsid w:val="00141C64"/>
    <w:rsid w:val="001421CD"/>
    <w:rsid w:val="00144375"/>
    <w:rsid w:val="0014462B"/>
    <w:rsid w:val="0014628D"/>
    <w:rsid w:val="00146827"/>
    <w:rsid w:val="00147E4A"/>
    <w:rsid w:val="001510B7"/>
    <w:rsid w:val="00153D01"/>
    <w:rsid w:val="001556C8"/>
    <w:rsid w:val="00155F2D"/>
    <w:rsid w:val="001573A6"/>
    <w:rsid w:val="00160687"/>
    <w:rsid w:val="00160AB9"/>
    <w:rsid w:val="0016251D"/>
    <w:rsid w:val="00164E79"/>
    <w:rsid w:val="00166272"/>
    <w:rsid w:val="00173047"/>
    <w:rsid w:val="00173342"/>
    <w:rsid w:val="0017558C"/>
    <w:rsid w:val="0017603D"/>
    <w:rsid w:val="00177397"/>
    <w:rsid w:val="00180881"/>
    <w:rsid w:val="00180AD1"/>
    <w:rsid w:val="001810AD"/>
    <w:rsid w:val="0018144F"/>
    <w:rsid w:val="00181A3E"/>
    <w:rsid w:val="00182BF2"/>
    <w:rsid w:val="001848A7"/>
    <w:rsid w:val="001848BE"/>
    <w:rsid w:val="001901E3"/>
    <w:rsid w:val="00190B79"/>
    <w:rsid w:val="00190F26"/>
    <w:rsid w:val="00192084"/>
    <w:rsid w:val="0019433A"/>
    <w:rsid w:val="00194C50"/>
    <w:rsid w:val="001A0536"/>
    <w:rsid w:val="001A428F"/>
    <w:rsid w:val="001A6A98"/>
    <w:rsid w:val="001B13DF"/>
    <w:rsid w:val="001B1C6D"/>
    <w:rsid w:val="001B2E5D"/>
    <w:rsid w:val="001B2EA2"/>
    <w:rsid w:val="001B329B"/>
    <w:rsid w:val="001B5D63"/>
    <w:rsid w:val="001B6C66"/>
    <w:rsid w:val="001B7D2C"/>
    <w:rsid w:val="001C3627"/>
    <w:rsid w:val="001C4850"/>
    <w:rsid w:val="001C507E"/>
    <w:rsid w:val="001C628A"/>
    <w:rsid w:val="001C6D64"/>
    <w:rsid w:val="001D4F98"/>
    <w:rsid w:val="001E4AEB"/>
    <w:rsid w:val="001E5DBB"/>
    <w:rsid w:val="001E7283"/>
    <w:rsid w:val="001F0B32"/>
    <w:rsid w:val="001F1051"/>
    <w:rsid w:val="001F3010"/>
    <w:rsid w:val="001F3457"/>
    <w:rsid w:val="001F34A8"/>
    <w:rsid w:val="001F4CFB"/>
    <w:rsid w:val="001F58AC"/>
    <w:rsid w:val="001F7297"/>
    <w:rsid w:val="001F7C1D"/>
    <w:rsid w:val="002001EA"/>
    <w:rsid w:val="00202358"/>
    <w:rsid w:val="002026F7"/>
    <w:rsid w:val="002034AD"/>
    <w:rsid w:val="002044D6"/>
    <w:rsid w:val="00212C92"/>
    <w:rsid w:val="00213B48"/>
    <w:rsid w:val="002163A3"/>
    <w:rsid w:val="002166C0"/>
    <w:rsid w:val="00217639"/>
    <w:rsid w:val="00220F87"/>
    <w:rsid w:val="0022115F"/>
    <w:rsid w:val="002218CE"/>
    <w:rsid w:val="002219C9"/>
    <w:rsid w:val="00222032"/>
    <w:rsid w:val="002239B4"/>
    <w:rsid w:val="00225C5F"/>
    <w:rsid w:val="00226B9D"/>
    <w:rsid w:val="00227257"/>
    <w:rsid w:val="00227E8A"/>
    <w:rsid w:val="00230B24"/>
    <w:rsid w:val="0023180C"/>
    <w:rsid w:val="00232124"/>
    <w:rsid w:val="002321B7"/>
    <w:rsid w:val="0023225E"/>
    <w:rsid w:val="00233B2D"/>
    <w:rsid w:val="00234C6C"/>
    <w:rsid w:val="00236264"/>
    <w:rsid w:val="0023774F"/>
    <w:rsid w:val="00247D11"/>
    <w:rsid w:val="002511E0"/>
    <w:rsid w:val="0025163D"/>
    <w:rsid w:val="002516D4"/>
    <w:rsid w:val="002521B6"/>
    <w:rsid w:val="002551A3"/>
    <w:rsid w:val="0025562A"/>
    <w:rsid w:val="00260A80"/>
    <w:rsid w:val="00265031"/>
    <w:rsid w:val="00266277"/>
    <w:rsid w:val="00270563"/>
    <w:rsid w:val="00272F63"/>
    <w:rsid w:val="0027329E"/>
    <w:rsid w:val="00273B05"/>
    <w:rsid w:val="00273F60"/>
    <w:rsid w:val="00274370"/>
    <w:rsid w:val="00275260"/>
    <w:rsid w:val="00280A81"/>
    <w:rsid w:val="00281E4E"/>
    <w:rsid w:val="00282F42"/>
    <w:rsid w:val="00283250"/>
    <w:rsid w:val="00283B57"/>
    <w:rsid w:val="00284C12"/>
    <w:rsid w:val="00286834"/>
    <w:rsid w:val="00291D1E"/>
    <w:rsid w:val="002928EE"/>
    <w:rsid w:val="002934AA"/>
    <w:rsid w:val="00293C41"/>
    <w:rsid w:val="002959FA"/>
    <w:rsid w:val="00296330"/>
    <w:rsid w:val="002972F3"/>
    <w:rsid w:val="002A17DF"/>
    <w:rsid w:val="002A365B"/>
    <w:rsid w:val="002A4002"/>
    <w:rsid w:val="002A4BCA"/>
    <w:rsid w:val="002A517F"/>
    <w:rsid w:val="002B07E6"/>
    <w:rsid w:val="002B27BC"/>
    <w:rsid w:val="002B282F"/>
    <w:rsid w:val="002B4B30"/>
    <w:rsid w:val="002C1261"/>
    <w:rsid w:val="002C6B45"/>
    <w:rsid w:val="002C7D43"/>
    <w:rsid w:val="002D1A52"/>
    <w:rsid w:val="002D28E0"/>
    <w:rsid w:val="002D3847"/>
    <w:rsid w:val="002D3918"/>
    <w:rsid w:val="002D7E44"/>
    <w:rsid w:val="002E5CE0"/>
    <w:rsid w:val="002E6804"/>
    <w:rsid w:val="002E6F0E"/>
    <w:rsid w:val="002E7390"/>
    <w:rsid w:val="002E79B6"/>
    <w:rsid w:val="002E7BC2"/>
    <w:rsid w:val="002F0861"/>
    <w:rsid w:val="002F2D7C"/>
    <w:rsid w:val="002F3529"/>
    <w:rsid w:val="002F5479"/>
    <w:rsid w:val="002F5628"/>
    <w:rsid w:val="002F63BB"/>
    <w:rsid w:val="002F701E"/>
    <w:rsid w:val="002F76C8"/>
    <w:rsid w:val="00302F9F"/>
    <w:rsid w:val="00304386"/>
    <w:rsid w:val="003051E7"/>
    <w:rsid w:val="00306151"/>
    <w:rsid w:val="003067AC"/>
    <w:rsid w:val="00311780"/>
    <w:rsid w:val="003141AC"/>
    <w:rsid w:val="00314F61"/>
    <w:rsid w:val="003163C5"/>
    <w:rsid w:val="003174DA"/>
    <w:rsid w:val="00322F4D"/>
    <w:rsid w:val="00324C9D"/>
    <w:rsid w:val="00325E03"/>
    <w:rsid w:val="00326752"/>
    <w:rsid w:val="00332ABC"/>
    <w:rsid w:val="0033545F"/>
    <w:rsid w:val="003401FE"/>
    <w:rsid w:val="0034042D"/>
    <w:rsid w:val="00340A7A"/>
    <w:rsid w:val="003423C1"/>
    <w:rsid w:val="00346D80"/>
    <w:rsid w:val="00346F88"/>
    <w:rsid w:val="00346F8E"/>
    <w:rsid w:val="00351536"/>
    <w:rsid w:val="00351B28"/>
    <w:rsid w:val="00351E44"/>
    <w:rsid w:val="0035247E"/>
    <w:rsid w:val="003556EE"/>
    <w:rsid w:val="00360470"/>
    <w:rsid w:val="00360F9A"/>
    <w:rsid w:val="00363A59"/>
    <w:rsid w:val="00363E34"/>
    <w:rsid w:val="0036543F"/>
    <w:rsid w:val="0036754F"/>
    <w:rsid w:val="00371192"/>
    <w:rsid w:val="00371E5F"/>
    <w:rsid w:val="003750DA"/>
    <w:rsid w:val="0038186E"/>
    <w:rsid w:val="00381AAF"/>
    <w:rsid w:val="00384629"/>
    <w:rsid w:val="00385513"/>
    <w:rsid w:val="00386679"/>
    <w:rsid w:val="00387E9E"/>
    <w:rsid w:val="00390DCF"/>
    <w:rsid w:val="00393B92"/>
    <w:rsid w:val="00393BE9"/>
    <w:rsid w:val="0039759D"/>
    <w:rsid w:val="00397A6F"/>
    <w:rsid w:val="00397FF3"/>
    <w:rsid w:val="003A00C3"/>
    <w:rsid w:val="003A00DA"/>
    <w:rsid w:val="003A04E6"/>
    <w:rsid w:val="003A0C33"/>
    <w:rsid w:val="003A16D4"/>
    <w:rsid w:val="003A2944"/>
    <w:rsid w:val="003A32D6"/>
    <w:rsid w:val="003A33E5"/>
    <w:rsid w:val="003A3731"/>
    <w:rsid w:val="003A4E05"/>
    <w:rsid w:val="003A633B"/>
    <w:rsid w:val="003B078C"/>
    <w:rsid w:val="003B0DEF"/>
    <w:rsid w:val="003B1A65"/>
    <w:rsid w:val="003B566C"/>
    <w:rsid w:val="003B604C"/>
    <w:rsid w:val="003C0237"/>
    <w:rsid w:val="003C200C"/>
    <w:rsid w:val="003C2074"/>
    <w:rsid w:val="003C3ADB"/>
    <w:rsid w:val="003C5E88"/>
    <w:rsid w:val="003C791D"/>
    <w:rsid w:val="003D11B5"/>
    <w:rsid w:val="003D134C"/>
    <w:rsid w:val="003D210F"/>
    <w:rsid w:val="003D5A19"/>
    <w:rsid w:val="003D69A5"/>
    <w:rsid w:val="003D6D9F"/>
    <w:rsid w:val="003E0079"/>
    <w:rsid w:val="003E09D5"/>
    <w:rsid w:val="003E14F9"/>
    <w:rsid w:val="003E231A"/>
    <w:rsid w:val="003E7DA5"/>
    <w:rsid w:val="003F045D"/>
    <w:rsid w:val="003F1EC1"/>
    <w:rsid w:val="003F3119"/>
    <w:rsid w:val="003F3689"/>
    <w:rsid w:val="003F3C60"/>
    <w:rsid w:val="003F4D44"/>
    <w:rsid w:val="003F6D32"/>
    <w:rsid w:val="00400FF0"/>
    <w:rsid w:val="004046EA"/>
    <w:rsid w:val="00405714"/>
    <w:rsid w:val="00405EB6"/>
    <w:rsid w:val="00405F92"/>
    <w:rsid w:val="0040662C"/>
    <w:rsid w:val="00406B09"/>
    <w:rsid w:val="00407B3D"/>
    <w:rsid w:val="00414DA1"/>
    <w:rsid w:val="00420056"/>
    <w:rsid w:val="00421B11"/>
    <w:rsid w:val="00423303"/>
    <w:rsid w:val="00423EFE"/>
    <w:rsid w:val="00423F9B"/>
    <w:rsid w:val="004265FC"/>
    <w:rsid w:val="00430B5A"/>
    <w:rsid w:val="00431328"/>
    <w:rsid w:val="0043167A"/>
    <w:rsid w:val="004330CB"/>
    <w:rsid w:val="00433B17"/>
    <w:rsid w:val="0043588C"/>
    <w:rsid w:val="004377A2"/>
    <w:rsid w:val="00437A8B"/>
    <w:rsid w:val="0044029B"/>
    <w:rsid w:val="00440B11"/>
    <w:rsid w:val="0044207D"/>
    <w:rsid w:val="00443937"/>
    <w:rsid w:val="00443E9C"/>
    <w:rsid w:val="00445988"/>
    <w:rsid w:val="00447FE5"/>
    <w:rsid w:val="00450614"/>
    <w:rsid w:val="0045082C"/>
    <w:rsid w:val="00450B83"/>
    <w:rsid w:val="00450C6A"/>
    <w:rsid w:val="004535E3"/>
    <w:rsid w:val="00454C53"/>
    <w:rsid w:val="00456CED"/>
    <w:rsid w:val="004617B8"/>
    <w:rsid w:val="0046426E"/>
    <w:rsid w:val="0046504E"/>
    <w:rsid w:val="00465DFB"/>
    <w:rsid w:val="00467C8E"/>
    <w:rsid w:val="004758FE"/>
    <w:rsid w:val="00476E72"/>
    <w:rsid w:val="00481DE3"/>
    <w:rsid w:val="004830C8"/>
    <w:rsid w:val="004832BA"/>
    <w:rsid w:val="004837AB"/>
    <w:rsid w:val="00483A2F"/>
    <w:rsid w:val="00483C0A"/>
    <w:rsid w:val="00483E6E"/>
    <w:rsid w:val="00487ADF"/>
    <w:rsid w:val="00490DBF"/>
    <w:rsid w:val="00494F12"/>
    <w:rsid w:val="00497571"/>
    <w:rsid w:val="004A13B5"/>
    <w:rsid w:val="004A1EFB"/>
    <w:rsid w:val="004A254B"/>
    <w:rsid w:val="004A46B5"/>
    <w:rsid w:val="004A5382"/>
    <w:rsid w:val="004A6E34"/>
    <w:rsid w:val="004A6EE1"/>
    <w:rsid w:val="004B1BEE"/>
    <w:rsid w:val="004B22E7"/>
    <w:rsid w:val="004B2AB8"/>
    <w:rsid w:val="004B6492"/>
    <w:rsid w:val="004B6AD7"/>
    <w:rsid w:val="004C1BA6"/>
    <w:rsid w:val="004C3D5C"/>
    <w:rsid w:val="004C7C7B"/>
    <w:rsid w:val="004D04EB"/>
    <w:rsid w:val="004D0DA3"/>
    <w:rsid w:val="004D3C91"/>
    <w:rsid w:val="004D770C"/>
    <w:rsid w:val="004E0A28"/>
    <w:rsid w:val="004E3243"/>
    <w:rsid w:val="004E370E"/>
    <w:rsid w:val="004E402A"/>
    <w:rsid w:val="004E5D3D"/>
    <w:rsid w:val="004F006C"/>
    <w:rsid w:val="004F0A29"/>
    <w:rsid w:val="004F1032"/>
    <w:rsid w:val="004F3D32"/>
    <w:rsid w:val="004F3F01"/>
    <w:rsid w:val="004F407C"/>
    <w:rsid w:val="004F4387"/>
    <w:rsid w:val="004F6645"/>
    <w:rsid w:val="004F7059"/>
    <w:rsid w:val="004F7426"/>
    <w:rsid w:val="004F7A45"/>
    <w:rsid w:val="004F7F85"/>
    <w:rsid w:val="0050133F"/>
    <w:rsid w:val="005015C9"/>
    <w:rsid w:val="00501FCD"/>
    <w:rsid w:val="005029C2"/>
    <w:rsid w:val="00502A41"/>
    <w:rsid w:val="00506B56"/>
    <w:rsid w:val="00507D35"/>
    <w:rsid w:val="00510BF5"/>
    <w:rsid w:val="0051467B"/>
    <w:rsid w:val="00515265"/>
    <w:rsid w:val="00517E74"/>
    <w:rsid w:val="00521BA7"/>
    <w:rsid w:val="00522232"/>
    <w:rsid w:val="0052324F"/>
    <w:rsid w:val="00525051"/>
    <w:rsid w:val="005252E2"/>
    <w:rsid w:val="00526D27"/>
    <w:rsid w:val="005309E0"/>
    <w:rsid w:val="00530EAD"/>
    <w:rsid w:val="00533855"/>
    <w:rsid w:val="0053486B"/>
    <w:rsid w:val="00534AE0"/>
    <w:rsid w:val="00535A49"/>
    <w:rsid w:val="00536C7E"/>
    <w:rsid w:val="005409D3"/>
    <w:rsid w:val="00541B55"/>
    <w:rsid w:val="0054577D"/>
    <w:rsid w:val="00546BE0"/>
    <w:rsid w:val="005511D5"/>
    <w:rsid w:val="00551564"/>
    <w:rsid w:val="0055390E"/>
    <w:rsid w:val="005548C5"/>
    <w:rsid w:val="00554E71"/>
    <w:rsid w:val="00556FA2"/>
    <w:rsid w:val="0055744F"/>
    <w:rsid w:val="00560F5F"/>
    <w:rsid w:val="00561350"/>
    <w:rsid w:val="00563E22"/>
    <w:rsid w:val="0056768C"/>
    <w:rsid w:val="00570856"/>
    <w:rsid w:val="00575081"/>
    <w:rsid w:val="00575DC6"/>
    <w:rsid w:val="005779C6"/>
    <w:rsid w:val="0058052C"/>
    <w:rsid w:val="00580859"/>
    <w:rsid w:val="0058233D"/>
    <w:rsid w:val="0058306B"/>
    <w:rsid w:val="005831A0"/>
    <w:rsid w:val="00585FB5"/>
    <w:rsid w:val="005875EC"/>
    <w:rsid w:val="00591586"/>
    <w:rsid w:val="005940B2"/>
    <w:rsid w:val="005A0936"/>
    <w:rsid w:val="005A1143"/>
    <w:rsid w:val="005A14BC"/>
    <w:rsid w:val="005A2BD6"/>
    <w:rsid w:val="005A3EDE"/>
    <w:rsid w:val="005A4C16"/>
    <w:rsid w:val="005A70C4"/>
    <w:rsid w:val="005B0D2C"/>
    <w:rsid w:val="005B36AD"/>
    <w:rsid w:val="005B3F0E"/>
    <w:rsid w:val="005B44F5"/>
    <w:rsid w:val="005B4DB4"/>
    <w:rsid w:val="005B6484"/>
    <w:rsid w:val="005B685D"/>
    <w:rsid w:val="005B6F36"/>
    <w:rsid w:val="005B753D"/>
    <w:rsid w:val="005C08EC"/>
    <w:rsid w:val="005C0904"/>
    <w:rsid w:val="005C1BA0"/>
    <w:rsid w:val="005C214C"/>
    <w:rsid w:val="005C298B"/>
    <w:rsid w:val="005C29D9"/>
    <w:rsid w:val="005D24AD"/>
    <w:rsid w:val="005D3438"/>
    <w:rsid w:val="005D3442"/>
    <w:rsid w:val="005D3663"/>
    <w:rsid w:val="005D426A"/>
    <w:rsid w:val="005D4B7E"/>
    <w:rsid w:val="005D6A51"/>
    <w:rsid w:val="005E440E"/>
    <w:rsid w:val="005E7551"/>
    <w:rsid w:val="005F053F"/>
    <w:rsid w:val="005F1007"/>
    <w:rsid w:val="005F2229"/>
    <w:rsid w:val="005F5D19"/>
    <w:rsid w:val="005F6CBF"/>
    <w:rsid w:val="00602C2B"/>
    <w:rsid w:val="00602DD2"/>
    <w:rsid w:val="00605672"/>
    <w:rsid w:val="00606103"/>
    <w:rsid w:val="006062E0"/>
    <w:rsid w:val="00606FE0"/>
    <w:rsid w:val="0061332C"/>
    <w:rsid w:val="006135E6"/>
    <w:rsid w:val="00613814"/>
    <w:rsid w:val="00614663"/>
    <w:rsid w:val="00615659"/>
    <w:rsid w:val="00616FE1"/>
    <w:rsid w:val="00617345"/>
    <w:rsid w:val="00617DF2"/>
    <w:rsid w:val="00620092"/>
    <w:rsid w:val="00621810"/>
    <w:rsid w:val="00624F67"/>
    <w:rsid w:val="00626761"/>
    <w:rsid w:val="00632EA5"/>
    <w:rsid w:val="00633905"/>
    <w:rsid w:val="006344AF"/>
    <w:rsid w:val="00641087"/>
    <w:rsid w:val="00642D69"/>
    <w:rsid w:val="00643E6E"/>
    <w:rsid w:val="00645447"/>
    <w:rsid w:val="006475C6"/>
    <w:rsid w:val="00651D32"/>
    <w:rsid w:val="006550F8"/>
    <w:rsid w:val="006561DA"/>
    <w:rsid w:val="00656522"/>
    <w:rsid w:val="00656926"/>
    <w:rsid w:val="0065701C"/>
    <w:rsid w:val="006601D6"/>
    <w:rsid w:val="006606E6"/>
    <w:rsid w:val="00660BC7"/>
    <w:rsid w:val="00661CE0"/>
    <w:rsid w:val="00662792"/>
    <w:rsid w:val="00664C33"/>
    <w:rsid w:val="00666ED7"/>
    <w:rsid w:val="006713A1"/>
    <w:rsid w:val="0067152F"/>
    <w:rsid w:val="00671A31"/>
    <w:rsid w:val="00672F75"/>
    <w:rsid w:val="006734CA"/>
    <w:rsid w:val="006744F1"/>
    <w:rsid w:val="0067459C"/>
    <w:rsid w:val="00675F04"/>
    <w:rsid w:val="00680136"/>
    <w:rsid w:val="006818B6"/>
    <w:rsid w:val="006824B8"/>
    <w:rsid w:val="006834EE"/>
    <w:rsid w:val="00683BD5"/>
    <w:rsid w:val="00684E62"/>
    <w:rsid w:val="00693348"/>
    <w:rsid w:val="006A0533"/>
    <w:rsid w:val="006A1142"/>
    <w:rsid w:val="006A2CCA"/>
    <w:rsid w:val="006A602E"/>
    <w:rsid w:val="006A7743"/>
    <w:rsid w:val="006B0B79"/>
    <w:rsid w:val="006B3393"/>
    <w:rsid w:val="006B6339"/>
    <w:rsid w:val="006B6C6A"/>
    <w:rsid w:val="006C1567"/>
    <w:rsid w:val="006C15D5"/>
    <w:rsid w:val="006C234F"/>
    <w:rsid w:val="006C386E"/>
    <w:rsid w:val="006C3D0C"/>
    <w:rsid w:val="006C3FBC"/>
    <w:rsid w:val="006C5955"/>
    <w:rsid w:val="006C5C75"/>
    <w:rsid w:val="006C6E84"/>
    <w:rsid w:val="006D070C"/>
    <w:rsid w:val="006D31E1"/>
    <w:rsid w:val="006D343E"/>
    <w:rsid w:val="006D359C"/>
    <w:rsid w:val="006D3940"/>
    <w:rsid w:val="006D519D"/>
    <w:rsid w:val="006E1202"/>
    <w:rsid w:val="006E1C14"/>
    <w:rsid w:val="006E2710"/>
    <w:rsid w:val="006E63F1"/>
    <w:rsid w:val="006E7542"/>
    <w:rsid w:val="006F1FD7"/>
    <w:rsid w:val="006F39D0"/>
    <w:rsid w:val="006F6897"/>
    <w:rsid w:val="006F7484"/>
    <w:rsid w:val="006F7746"/>
    <w:rsid w:val="007040FA"/>
    <w:rsid w:val="00706847"/>
    <w:rsid w:val="007071B1"/>
    <w:rsid w:val="00711157"/>
    <w:rsid w:val="007138CB"/>
    <w:rsid w:val="0071428F"/>
    <w:rsid w:val="00714E2B"/>
    <w:rsid w:val="00715B7E"/>
    <w:rsid w:val="00715EB8"/>
    <w:rsid w:val="00720B31"/>
    <w:rsid w:val="00720D29"/>
    <w:rsid w:val="00721BDF"/>
    <w:rsid w:val="007307E9"/>
    <w:rsid w:val="00730B84"/>
    <w:rsid w:val="00730CDB"/>
    <w:rsid w:val="00731B46"/>
    <w:rsid w:val="00736C89"/>
    <w:rsid w:val="007413C5"/>
    <w:rsid w:val="00745744"/>
    <w:rsid w:val="007462F1"/>
    <w:rsid w:val="00747F64"/>
    <w:rsid w:val="0075032A"/>
    <w:rsid w:val="0075092A"/>
    <w:rsid w:val="00761022"/>
    <w:rsid w:val="00764BAE"/>
    <w:rsid w:val="007660F9"/>
    <w:rsid w:val="007708B1"/>
    <w:rsid w:val="00770D7D"/>
    <w:rsid w:val="00772497"/>
    <w:rsid w:val="007744E3"/>
    <w:rsid w:val="007756D5"/>
    <w:rsid w:val="00776241"/>
    <w:rsid w:val="00776CA9"/>
    <w:rsid w:val="00776F45"/>
    <w:rsid w:val="00777673"/>
    <w:rsid w:val="00777717"/>
    <w:rsid w:val="007804D5"/>
    <w:rsid w:val="00781047"/>
    <w:rsid w:val="00782A9F"/>
    <w:rsid w:val="00784474"/>
    <w:rsid w:val="00787F0A"/>
    <w:rsid w:val="00790BDF"/>
    <w:rsid w:val="00791377"/>
    <w:rsid w:val="007917E6"/>
    <w:rsid w:val="0079257D"/>
    <w:rsid w:val="007928D4"/>
    <w:rsid w:val="00792B9C"/>
    <w:rsid w:val="007932E5"/>
    <w:rsid w:val="00795512"/>
    <w:rsid w:val="007972AC"/>
    <w:rsid w:val="007A0EFC"/>
    <w:rsid w:val="007A1FB1"/>
    <w:rsid w:val="007A4F15"/>
    <w:rsid w:val="007A5340"/>
    <w:rsid w:val="007A674B"/>
    <w:rsid w:val="007A7B45"/>
    <w:rsid w:val="007B2DC6"/>
    <w:rsid w:val="007B3429"/>
    <w:rsid w:val="007B5FA8"/>
    <w:rsid w:val="007B6C2E"/>
    <w:rsid w:val="007B6FDF"/>
    <w:rsid w:val="007C0C73"/>
    <w:rsid w:val="007C564D"/>
    <w:rsid w:val="007C5825"/>
    <w:rsid w:val="007C7892"/>
    <w:rsid w:val="007D03DC"/>
    <w:rsid w:val="007D03DD"/>
    <w:rsid w:val="007D0C7B"/>
    <w:rsid w:val="007D1154"/>
    <w:rsid w:val="007D1D53"/>
    <w:rsid w:val="007D27F3"/>
    <w:rsid w:val="007D4C7B"/>
    <w:rsid w:val="007D62C7"/>
    <w:rsid w:val="007E10EB"/>
    <w:rsid w:val="007E1611"/>
    <w:rsid w:val="007E4719"/>
    <w:rsid w:val="007E4B98"/>
    <w:rsid w:val="007E4C3B"/>
    <w:rsid w:val="007E6A15"/>
    <w:rsid w:val="007E6A27"/>
    <w:rsid w:val="007E7772"/>
    <w:rsid w:val="007F687A"/>
    <w:rsid w:val="007F6AA7"/>
    <w:rsid w:val="007F7AC6"/>
    <w:rsid w:val="00803061"/>
    <w:rsid w:val="00805AAC"/>
    <w:rsid w:val="00807EEE"/>
    <w:rsid w:val="00810146"/>
    <w:rsid w:val="0081087D"/>
    <w:rsid w:val="008109D6"/>
    <w:rsid w:val="00810F65"/>
    <w:rsid w:val="00812FCE"/>
    <w:rsid w:val="008135F4"/>
    <w:rsid w:val="008136F7"/>
    <w:rsid w:val="00813893"/>
    <w:rsid w:val="008149E7"/>
    <w:rsid w:val="00814E17"/>
    <w:rsid w:val="00815DBF"/>
    <w:rsid w:val="008218D6"/>
    <w:rsid w:val="0082266E"/>
    <w:rsid w:val="00823327"/>
    <w:rsid w:val="008234E2"/>
    <w:rsid w:val="00824361"/>
    <w:rsid w:val="008244ED"/>
    <w:rsid w:val="0083220E"/>
    <w:rsid w:val="008323E9"/>
    <w:rsid w:val="008327EE"/>
    <w:rsid w:val="0083350D"/>
    <w:rsid w:val="00834968"/>
    <w:rsid w:val="00835417"/>
    <w:rsid w:val="00840F38"/>
    <w:rsid w:val="00842E74"/>
    <w:rsid w:val="0084355F"/>
    <w:rsid w:val="0084374B"/>
    <w:rsid w:val="00843BE5"/>
    <w:rsid w:val="0084580C"/>
    <w:rsid w:val="0084777B"/>
    <w:rsid w:val="0085037B"/>
    <w:rsid w:val="00850666"/>
    <w:rsid w:val="0085414B"/>
    <w:rsid w:val="00855030"/>
    <w:rsid w:val="00856B64"/>
    <w:rsid w:val="0085702A"/>
    <w:rsid w:val="00857DEF"/>
    <w:rsid w:val="008602F0"/>
    <w:rsid w:val="00861F13"/>
    <w:rsid w:val="00862C81"/>
    <w:rsid w:val="00863DD9"/>
    <w:rsid w:val="0086582D"/>
    <w:rsid w:val="00866446"/>
    <w:rsid w:val="0086741B"/>
    <w:rsid w:val="00870BDD"/>
    <w:rsid w:val="00873EE8"/>
    <w:rsid w:val="008751A3"/>
    <w:rsid w:val="008771C4"/>
    <w:rsid w:val="00880204"/>
    <w:rsid w:val="00880346"/>
    <w:rsid w:val="008840CA"/>
    <w:rsid w:val="0088578D"/>
    <w:rsid w:val="00885B2B"/>
    <w:rsid w:val="00886F29"/>
    <w:rsid w:val="008876DE"/>
    <w:rsid w:val="00887BB2"/>
    <w:rsid w:val="00887F70"/>
    <w:rsid w:val="0089027D"/>
    <w:rsid w:val="008920F6"/>
    <w:rsid w:val="00892517"/>
    <w:rsid w:val="008927FE"/>
    <w:rsid w:val="00892A25"/>
    <w:rsid w:val="00892EF9"/>
    <w:rsid w:val="00893EF1"/>
    <w:rsid w:val="00894FB5"/>
    <w:rsid w:val="00895080"/>
    <w:rsid w:val="00897DAB"/>
    <w:rsid w:val="008A0633"/>
    <w:rsid w:val="008A1724"/>
    <w:rsid w:val="008A3386"/>
    <w:rsid w:val="008A37D8"/>
    <w:rsid w:val="008A491E"/>
    <w:rsid w:val="008A53F2"/>
    <w:rsid w:val="008A5CEC"/>
    <w:rsid w:val="008B0593"/>
    <w:rsid w:val="008B09B1"/>
    <w:rsid w:val="008B09D2"/>
    <w:rsid w:val="008C14DA"/>
    <w:rsid w:val="008C1CE8"/>
    <w:rsid w:val="008C2359"/>
    <w:rsid w:val="008C24B6"/>
    <w:rsid w:val="008C3987"/>
    <w:rsid w:val="008C3E5B"/>
    <w:rsid w:val="008C487C"/>
    <w:rsid w:val="008C4C28"/>
    <w:rsid w:val="008C50D0"/>
    <w:rsid w:val="008C5224"/>
    <w:rsid w:val="008D07ED"/>
    <w:rsid w:val="008D0BF9"/>
    <w:rsid w:val="008D17EA"/>
    <w:rsid w:val="008D2CBA"/>
    <w:rsid w:val="008D3E1E"/>
    <w:rsid w:val="008D40D6"/>
    <w:rsid w:val="008D4381"/>
    <w:rsid w:val="008D4B64"/>
    <w:rsid w:val="008E0FCC"/>
    <w:rsid w:val="008E2FE3"/>
    <w:rsid w:val="008E3CD9"/>
    <w:rsid w:val="008E5EB0"/>
    <w:rsid w:val="008E5F34"/>
    <w:rsid w:val="008F0FBE"/>
    <w:rsid w:val="008F2267"/>
    <w:rsid w:val="008F3EE2"/>
    <w:rsid w:val="008F4CB7"/>
    <w:rsid w:val="008F4FBB"/>
    <w:rsid w:val="008F5D30"/>
    <w:rsid w:val="008F6B23"/>
    <w:rsid w:val="009049DA"/>
    <w:rsid w:val="00910B3C"/>
    <w:rsid w:val="00911243"/>
    <w:rsid w:val="0091202E"/>
    <w:rsid w:val="0091226B"/>
    <w:rsid w:val="00912EA2"/>
    <w:rsid w:val="00913B94"/>
    <w:rsid w:val="009161B8"/>
    <w:rsid w:val="0091627F"/>
    <w:rsid w:val="00916488"/>
    <w:rsid w:val="00916D06"/>
    <w:rsid w:val="00917CFA"/>
    <w:rsid w:val="009223EA"/>
    <w:rsid w:val="009231E0"/>
    <w:rsid w:val="00924365"/>
    <w:rsid w:val="00926E16"/>
    <w:rsid w:val="009270B9"/>
    <w:rsid w:val="00927CE9"/>
    <w:rsid w:val="00933EF5"/>
    <w:rsid w:val="00935BE4"/>
    <w:rsid w:val="00935F01"/>
    <w:rsid w:val="00937564"/>
    <w:rsid w:val="009425AC"/>
    <w:rsid w:val="00943FF0"/>
    <w:rsid w:val="0094508D"/>
    <w:rsid w:val="009506A7"/>
    <w:rsid w:val="009549DD"/>
    <w:rsid w:val="0095686F"/>
    <w:rsid w:val="00956AE4"/>
    <w:rsid w:val="00956B25"/>
    <w:rsid w:val="00957489"/>
    <w:rsid w:val="00960CAB"/>
    <w:rsid w:val="009618A8"/>
    <w:rsid w:val="0096232C"/>
    <w:rsid w:val="009629AE"/>
    <w:rsid w:val="00962D6C"/>
    <w:rsid w:val="0096333C"/>
    <w:rsid w:val="009655F6"/>
    <w:rsid w:val="00965D9D"/>
    <w:rsid w:val="00967230"/>
    <w:rsid w:val="00967B56"/>
    <w:rsid w:val="009727B2"/>
    <w:rsid w:val="00972C13"/>
    <w:rsid w:val="0097392F"/>
    <w:rsid w:val="00974EE3"/>
    <w:rsid w:val="00976F3B"/>
    <w:rsid w:val="00980729"/>
    <w:rsid w:val="00980E30"/>
    <w:rsid w:val="009812D7"/>
    <w:rsid w:val="00982E99"/>
    <w:rsid w:val="0098491A"/>
    <w:rsid w:val="00986453"/>
    <w:rsid w:val="009868EA"/>
    <w:rsid w:val="0099267F"/>
    <w:rsid w:val="00993BFE"/>
    <w:rsid w:val="00993CE0"/>
    <w:rsid w:val="00995546"/>
    <w:rsid w:val="00995931"/>
    <w:rsid w:val="009963CB"/>
    <w:rsid w:val="00997B5A"/>
    <w:rsid w:val="00997D9B"/>
    <w:rsid w:val="009A2770"/>
    <w:rsid w:val="009A2B43"/>
    <w:rsid w:val="009A3D14"/>
    <w:rsid w:val="009A5714"/>
    <w:rsid w:val="009A5A04"/>
    <w:rsid w:val="009A5A15"/>
    <w:rsid w:val="009A5DA7"/>
    <w:rsid w:val="009A764B"/>
    <w:rsid w:val="009B0FED"/>
    <w:rsid w:val="009B1AEC"/>
    <w:rsid w:val="009B1BCD"/>
    <w:rsid w:val="009B2845"/>
    <w:rsid w:val="009B51E5"/>
    <w:rsid w:val="009B5313"/>
    <w:rsid w:val="009B573F"/>
    <w:rsid w:val="009C0FAC"/>
    <w:rsid w:val="009C1C72"/>
    <w:rsid w:val="009C59BA"/>
    <w:rsid w:val="009C6F56"/>
    <w:rsid w:val="009D142B"/>
    <w:rsid w:val="009D1D57"/>
    <w:rsid w:val="009D1DE1"/>
    <w:rsid w:val="009D266A"/>
    <w:rsid w:val="009D2E88"/>
    <w:rsid w:val="009D39BD"/>
    <w:rsid w:val="009D6FEF"/>
    <w:rsid w:val="009D7F81"/>
    <w:rsid w:val="009E14F0"/>
    <w:rsid w:val="009E15D6"/>
    <w:rsid w:val="009E2544"/>
    <w:rsid w:val="009E2770"/>
    <w:rsid w:val="009E28BD"/>
    <w:rsid w:val="009E2D72"/>
    <w:rsid w:val="009E41C2"/>
    <w:rsid w:val="009E4A43"/>
    <w:rsid w:val="009E511A"/>
    <w:rsid w:val="009E5BD4"/>
    <w:rsid w:val="009E6C5F"/>
    <w:rsid w:val="009E6FFD"/>
    <w:rsid w:val="009F0D3D"/>
    <w:rsid w:val="009F2261"/>
    <w:rsid w:val="009F3537"/>
    <w:rsid w:val="009F3DFB"/>
    <w:rsid w:val="009F459B"/>
    <w:rsid w:val="009F6B03"/>
    <w:rsid w:val="009F708F"/>
    <w:rsid w:val="00A12450"/>
    <w:rsid w:val="00A13C4B"/>
    <w:rsid w:val="00A141F1"/>
    <w:rsid w:val="00A25657"/>
    <w:rsid w:val="00A277FB"/>
    <w:rsid w:val="00A27907"/>
    <w:rsid w:val="00A31880"/>
    <w:rsid w:val="00A329B6"/>
    <w:rsid w:val="00A32C19"/>
    <w:rsid w:val="00A32FFB"/>
    <w:rsid w:val="00A35829"/>
    <w:rsid w:val="00A367A1"/>
    <w:rsid w:val="00A37CBD"/>
    <w:rsid w:val="00A415D2"/>
    <w:rsid w:val="00A4372E"/>
    <w:rsid w:val="00A44717"/>
    <w:rsid w:val="00A460BA"/>
    <w:rsid w:val="00A47EC1"/>
    <w:rsid w:val="00A510F6"/>
    <w:rsid w:val="00A53684"/>
    <w:rsid w:val="00A54F89"/>
    <w:rsid w:val="00A645A9"/>
    <w:rsid w:val="00A64B02"/>
    <w:rsid w:val="00A651C9"/>
    <w:rsid w:val="00A657F1"/>
    <w:rsid w:val="00A6700F"/>
    <w:rsid w:val="00A70F57"/>
    <w:rsid w:val="00A733E0"/>
    <w:rsid w:val="00A74B91"/>
    <w:rsid w:val="00A758DC"/>
    <w:rsid w:val="00A75B4C"/>
    <w:rsid w:val="00A762A2"/>
    <w:rsid w:val="00A76331"/>
    <w:rsid w:val="00A765EA"/>
    <w:rsid w:val="00A77FD4"/>
    <w:rsid w:val="00A80739"/>
    <w:rsid w:val="00A83829"/>
    <w:rsid w:val="00A85AFF"/>
    <w:rsid w:val="00A90B4E"/>
    <w:rsid w:val="00A90C93"/>
    <w:rsid w:val="00A92C46"/>
    <w:rsid w:val="00A95100"/>
    <w:rsid w:val="00A9597F"/>
    <w:rsid w:val="00AA2A39"/>
    <w:rsid w:val="00AA615B"/>
    <w:rsid w:val="00AA6B2A"/>
    <w:rsid w:val="00AA7209"/>
    <w:rsid w:val="00AB0DED"/>
    <w:rsid w:val="00AB254D"/>
    <w:rsid w:val="00AB5F84"/>
    <w:rsid w:val="00AB616D"/>
    <w:rsid w:val="00AC0C81"/>
    <w:rsid w:val="00AC549D"/>
    <w:rsid w:val="00AC5C97"/>
    <w:rsid w:val="00AC5FE7"/>
    <w:rsid w:val="00AC799F"/>
    <w:rsid w:val="00AC7DA9"/>
    <w:rsid w:val="00AD21C2"/>
    <w:rsid w:val="00AD2B3C"/>
    <w:rsid w:val="00AD5FA4"/>
    <w:rsid w:val="00AD7725"/>
    <w:rsid w:val="00AE13A1"/>
    <w:rsid w:val="00AE194E"/>
    <w:rsid w:val="00AE1CAD"/>
    <w:rsid w:val="00AE355C"/>
    <w:rsid w:val="00AE3AAF"/>
    <w:rsid w:val="00AE578E"/>
    <w:rsid w:val="00AE5EFD"/>
    <w:rsid w:val="00AE6142"/>
    <w:rsid w:val="00AE668A"/>
    <w:rsid w:val="00AE6858"/>
    <w:rsid w:val="00AF185A"/>
    <w:rsid w:val="00AF2203"/>
    <w:rsid w:val="00AF3A1D"/>
    <w:rsid w:val="00AF4523"/>
    <w:rsid w:val="00AF5C62"/>
    <w:rsid w:val="00AF6D01"/>
    <w:rsid w:val="00AF7270"/>
    <w:rsid w:val="00AF7DE1"/>
    <w:rsid w:val="00AF7F8A"/>
    <w:rsid w:val="00B00B72"/>
    <w:rsid w:val="00B0135B"/>
    <w:rsid w:val="00B031A8"/>
    <w:rsid w:val="00B06445"/>
    <w:rsid w:val="00B1005D"/>
    <w:rsid w:val="00B100E5"/>
    <w:rsid w:val="00B139DC"/>
    <w:rsid w:val="00B169A0"/>
    <w:rsid w:val="00B1706C"/>
    <w:rsid w:val="00B17BC5"/>
    <w:rsid w:val="00B2158C"/>
    <w:rsid w:val="00B2365C"/>
    <w:rsid w:val="00B23D34"/>
    <w:rsid w:val="00B24E57"/>
    <w:rsid w:val="00B2594C"/>
    <w:rsid w:val="00B259A3"/>
    <w:rsid w:val="00B26E57"/>
    <w:rsid w:val="00B30582"/>
    <w:rsid w:val="00B30D96"/>
    <w:rsid w:val="00B33648"/>
    <w:rsid w:val="00B35792"/>
    <w:rsid w:val="00B370E1"/>
    <w:rsid w:val="00B406AA"/>
    <w:rsid w:val="00B40E44"/>
    <w:rsid w:val="00B411C7"/>
    <w:rsid w:val="00B43CD5"/>
    <w:rsid w:val="00B44EB3"/>
    <w:rsid w:val="00B46660"/>
    <w:rsid w:val="00B47CBC"/>
    <w:rsid w:val="00B502EC"/>
    <w:rsid w:val="00B506DA"/>
    <w:rsid w:val="00B5123E"/>
    <w:rsid w:val="00B522C4"/>
    <w:rsid w:val="00B5239D"/>
    <w:rsid w:val="00B52B0E"/>
    <w:rsid w:val="00B5337D"/>
    <w:rsid w:val="00B54318"/>
    <w:rsid w:val="00B55794"/>
    <w:rsid w:val="00B56215"/>
    <w:rsid w:val="00B610C1"/>
    <w:rsid w:val="00B62DD9"/>
    <w:rsid w:val="00B63A7D"/>
    <w:rsid w:val="00B65290"/>
    <w:rsid w:val="00B67C63"/>
    <w:rsid w:val="00B70217"/>
    <w:rsid w:val="00B70E26"/>
    <w:rsid w:val="00B718F1"/>
    <w:rsid w:val="00B71D17"/>
    <w:rsid w:val="00B74D24"/>
    <w:rsid w:val="00B759B7"/>
    <w:rsid w:val="00B77186"/>
    <w:rsid w:val="00B771D4"/>
    <w:rsid w:val="00B7788C"/>
    <w:rsid w:val="00B77C40"/>
    <w:rsid w:val="00B81CA8"/>
    <w:rsid w:val="00B81F75"/>
    <w:rsid w:val="00B82E06"/>
    <w:rsid w:val="00B84BE3"/>
    <w:rsid w:val="00B84E9D"/>
    <w:rsid w:val="00B863F6"/>
    <w:rsid w:val="00B9397D"/>
    <w:rsid w:val="00B9767F"/>
    <w:rsid w:val="00B97D95"/>
    <w:rsid w:val="00BA383B"/>
    <w:rsid w:val="00BA59EC"/>
    <w:rsid w:val="00BA6091"/>
    <w:rsid w:val="00BA7E78"/>
    <w:rsid w:val="00BB0EA7"/>
    <w:rsid w:val="00BB3DBA"/>
    <w:rsid w:val="00BB59F9"/>
    <w:rsid w:val="00BB65E0"/>
    <w:rsid w:val="00BB7851"/>
    <w:rsid w:val="00BC15B8"/>
    <w:rsid w:val="00BC1676"/>
    <w:rsid w:val="00BC3D32"/>
    <w:rsid w:val="00BC4653"/>
    <w:rsid w:val="00BC5279"/>
    <w:rsid w:val="00BC6627"/>
    <w:rsid w:val="00BC6C4E"/>
    <w:rsid w:val="00BC71A3"/>
    <w:rsid w:val="00BC7E5C"/>
    <w:rsid w:val="00BC7F4C"/>
    <w:rsid w:val="00BD0780"/>
    <w:rsid w:val="00BD0990"/>
    <w:rsid w:val="00BD0A88"/>
    <w:rsid w:val="00BD23BD"/>
    <w:rsid w:val="00BD4E5D"/>
    <w:rsid w:val="00BD5341"/>
    <w:rsid w:val="00BD58A7"/>
    <w:rsid w:val="00BD7FF3"/>
    <w:rsid w:val="00BE1E33"/>
    <w:rsid w:val="00BE2AD3"/>
    <w:rsid w:val="00BE2B56"/>
    <w:rsid w:val="00BE36F7"/>
    <w:rsid w:val="00BE3CD6"/>
    <w:rsid w:val="00BE4744"/>
    <w:rsid w:val="00BE4E4A"/>
    <w:rsid w:val="00BE50B7"/>
    <w:rsid w:val="00BE70B5"/>
    <w:rsid w:val="00BF1787"/>
    <w:rsid w:val="00BF2443"/>
    <w:rsid w:val="00BF71B7"/>
    <w:rsid w:val="00BF72BE"/>
    <w:rsid w:val="00BF7C99"/>
    <w:rsid w:val="00C00831"/>
    <w:rsid w:val="00C013C5"/>
    <w:rsid w:val="00C02D09"/>
    <w:rsid w:val="00C03133"/>
    <w:rsid w:val="00C03689"/>
    <w:rsid w:val="00C069D0"/>
    <w:rsid w:val="00C11BCD"/>
    <w:rsid w:val="00C12201"/>
    <w:rsid w:val="00C13418"/>
    <w:rsid w:val="00C1405A"/>
    <w:rsid w:val="00C17473"/>
    <w:rsid w:val="00C22412"/>
    <w:rsid w:val="00C247F3"/>
    <w:rsid w:val="00C24EAC"/>
    <w:rsid w:val="00C25716"/>
    <w:rsid w:val="00C25E14"/>
    <w:rsid w:val="00C26186"/>
    <w:rsid w:val="00C261C4"/>
    <w:rsid w:val="00C266A5"/>
    <w:rsid w:val="00C31ED6"/>
    <w:rsid w:val="00C32446"/>
    <w:rsid w:val="00C3336C"/>
    <w:rsid w:val="00C35A13"/>
    <w:rsid w:val="00C366F4"/>
    <w:rsid w:val="00C37AC1"/>
    <w:rsid w:val="00C40C84"/>
    <w:rsid w:val="00C4526C"/>
    <w:rsid w:val="00C46BD7"/>
    <w:rsid w:val="00C50B1B"/>
    <w:rsid w:val="00C50E8C"/>
    <w:rsid w:val="00C523F2"/>
    <w:rsid w:val="00C52801"/>
    <w:rsid w:val="00C6210F"/>
    <w:rsid w:val="00C63CE5"/>
    <w:rsid w:val="00C63DFF"/>
    <w:rsid w:val="00C64939"/>
    <w:rsid w:val="00C70C7D"/>
    <w:rsid w:val="00C710D2"/>
    <w:rsid w:val="00C745C6"/>
    <w:rsid w:val="00C75D22"/>
    <w:rsid w:val="00C75DB8"/>
    <w:rsid w:val="00C76A82"/>
    <w:rsid w:val="00C76D92"/>
    <w:rsid w:val="00C84D57"/>
    <w:rsid w:val="00C855C4"/>
    <w:rsid w:val="00C909D4"/>
    <w:rsid w:val="00C92B82"/>
    <w:rsid w:val="00C956D0"/>
    <w:rsid w:val="00C963C2"/>
    <w:rsid w:val="00C964DE"/>
    <w:rsid w:val="00C96C57"/>
    <w:rsid w:val="00C97F69"/>
    <w:rsid w:val="00CA0586"/>
    <w:rsid w:val="00CA124A"/>
    <w:rsid w:val="00CA3C3B"/>
    <w:rsid w:val="00CA4D43"/>
    <w:rsid w:val="00CA5790"/>
    <w:rsid w:val="00CA634C"/>
    <w:rsid w:val="00CB004E"/>
    <w:rsid w:val="00CB0D87"/>
    <w:rsid w:val="00CB7787"/>
    <w:rsid w:val="00CC1134"/>
    <w:rsid w:val="00CC3C9A"/>
    <w:rsid w:val="00CC3DEC"/>
    <w:rsid w:val="00CC78BE"/>
    <w:rsid w:val="00CD05DC"/>
    <w:rsid w:val="00CD3C6F"/>
    <w:rsid w:val="00CD5BC0"/>
    <w:rsid w:val="00CD5DF3"/>
    <w:rsid w:val="00CE153F"/>
    <w:rsid w:val="00CE473C"/>
    <w:rsid w:val="00CE58C4"/>
    <w:rsid w:val="00CE75AE"/>
    <w:rsid w:val="00CF183E"/>
    <w:rsid w:val="00CF2767"/>
    <w:rsid w:val="00CF326B"/>
    <w:rsid w:val="00CF56D7"/>
    <w:rsid w:val="00CF605F"/>
    <w:rsid w:val="00CF67BF"/>
    <w:rsid w:val="00CF6C6F"/>
    <w:rsid w:val="00D03B81"/>
    <w:rsid w:val="00D058DF"/>
    <w:rsid w:val="00D0763E"/>
    <w:rsid w:val="00D119AB"/>
    <w:rsid w:val="00D12644"/>
    <w:rsid w:val="00D13774"/>
    <w:rsid w:val="00D14996"/>
    <w:rsid w:val="00D14A23"/>
    <w:rsid w:val="00D1531B"/>
    <w:rsid w:val="00D15EAB"/>
    <w:rsid w:val="00D22CDB"/>
    <w:rsid w:val="00D24682"/>
    <w:rsid w:val="00D24F06"/>
    <w:rsid w:val="00D25AEF"/>
    <w:rsid w:val="00D349EE"/>
    <w:rsid w:val="00D3779A"/>
    <w:rsid w:val="00D40037"/>
    <w:rsid w:val="00D404BB"/>
    <w:rsid w:val="00D40E8F"/>
    <w:rsid w:val="00D421BB"/>
    <w:rsid w:val="00D421E8"/>
    <w:rsid w:val="00D43ADB"/>
    <w:rsid w:val="00D43ECF"/>
    <w:rsid w:val="00D467B8"/>
    <w:rsid w:val="00D516F2"/>
    <w:rsid w:val="00D5473B"/>
    <w:rsid w:val="00D56763"/>
    <w:rsid w:val="00D56766"/>
    <w:rsid w:val="00D56CC4"/>
    <w:rsid w:val="00D56D47"/>
    <w:rsid w:val="00D61E7A"/>
    <w:rsid w:val="00D644D8"/>
    <w:rsid w:val="00D648B0"/>
    <w:rsid w:val="00D7088A"/>
    <w:rsid w:val="00D70FB4"/>
    <w:rsid w:val="00D73ECA"/>
    <w:rsid w:val="00D74A1C"/>
    <w:rsid w:val="00D75BD6"/>
    <w:rsid w:val="00D76E57"/>
    <w:rsid w:val="00D8152F"/>
    <w:rsid w:val="00D815C1"/>
    <w:rsid w:val="00D822D9"/>
    <w:rsid w:val="00D838D1"/>
    <w:rsid w:val="00D843FF"/>
    <w:rsid w:val="00D84DC5"/>
    <w:rsid w:val="00D85C85"/>
    <w:rsid w:val="00D87665"/>
    <w:rsid w:val="00D87808"/>
    <w:rsid w:val="00D917FA"/>
    <w:rsid w:val="00D923D3"/>
    <w:rsid w:val="00D92F6C"/>
    <w:rsid w:val="00D93CB6"/>
    <w:rsid w:val="00D95879"/>
    <w:rsid w:val="00D95C0B"/>
    <w:rsid w:val="00D95D8A"/>
    <w:rsid w:val="00D95F4A"/>
    <w:rsid w:val="00D961FC"/>
    <w:rsid w:val="00D97A6B"/>
    <w:rsid w:val="00DA1AA7"/>
    <w:rsid w:val="00DA2FA3"/>
    <w:rsid w:val="00DA492D"/>
    <w:rsid w:val="00DA4AFD"/>
    <w:rsid w:val="00DA585A"/>
    <w:rsid w:val="00DA681A"/>
    <w:rsid w:val="00DA78E6"/>
    <w:rsid w:val="00DA7E83"/>
    <w:rsid w:val="00DB3F57"/>
    <w:rsid w:val="00DB4079"/>
    <w:rsid w:val="00DB5670"/>
    <w:rsid w:val="00DB7208"/>
    <w:rsid w:val="00DB751D"/>
    <w:rsid w:val="00DC0138"/>
    <w:rsid w:val="00DC0F98"/>
    <w:rsid w:val="00DC10EA"/>
    <w:rsid w:val="00DC1941"/>
    <w:rsid w:val="00DC1FAD"/>
    <w:rsid w:val="00DC22C6"/>
    <w:rsid w:val="00DC4BB8"/>
    <w:rsid w:val="00DC59FA"/>
    <w:rsid w:val="00DC679E"/>
    <w:rsid w:val="00DD0D3D"/>
    <w:rsid w:val="00DD0E98"/>
    <w:rsid w:val="00DD188D"/>
    <w:rsid w:val="00DD1A92"/>
    <w:rsid w:val="00DD265C"/>
    <w:rsid w:val="00DD2D2E"/>
    <w:rsid w:val="00DD4B46"/>
    <w:rsid w:val="00DE0A9A"/>
    <w:rsid w:val="00DE0E26"/>
    <w:rsid w:val="00DE2E11"/>
    <w:rsid w:val="00DE3047"/>
    <w:rsid w:val="00DE39EA"/>
    <w:rsid w:val="00DE6220"/>
    <w:rsid w:val="00DE64DE"/>
    <w:rsid w:val="00DE7AB4"/>
    <w:rsid w:val="00DF05C3"/>
    <w:rsid w:val="00DF0661"/>
    <w:rsid w:val="00DF2F9C"/>
    <w:rsid w:val="00DF4D86"/>
    <w:rsid w:val="00DF5FDD"/>
    <w:rsid w:val="00DF6644"/>
    <w:rsid w:val="00DF6A51"/>
    <w:rsid w:val="00DF7033"/>
    <w:rsid w:val="00DF7BCF"/>
    <w:rsid w:val="00DF7F6E"/>
    <w:rsid w:val="00E0053A"/>
    <w:rsid w:val="00E016A8"/>
    <w:rsid w:val="00E01D84"/>
    <w:rsid w:val="00E01E04"/>
    <w:rsid w:val="00E01E05"/>
    <w:rsid w:val="00E0300B"/>
    <w:rsid w:val="00E03013"/>
    <w:rsid w:val="00E030B1"/>
    <w:rsid w:val="00E0483F"/>
    <w:rsid w:val="00E0556E"/>
    <w:rsid w:val="00E05BE7"/>
    <w:rsid w:val="00E0640F"/>
    <w:rsid w:val="00E06637"/>
    <w:rsid w:val="00E06CE2"/>
    <w:rsid w:val="00E137BB"/>
    <w:rsid w:val="00E146F7"/>
    <w:rsid w:val="00E15514"/>
    <w:rsid w:val="00E15E40"/>
    <w:rsid w:val="00E16A21"/>
    <w:rsid w:val="00E16A8F"/>
    <w:rsid w:val="00E16D8B"/>
    <w:rsid w:val="00E17AA0"/>
    <w:rsid w:val="00E204B4"/>
    <w:rsid w:val="00E221EC"/>
    <w:rsid w:val="00E224A4"/>
    <w:rsid w:val="00E2343A"/>
    <w:rsid w:val="00E30022"/>
    <w:rsid w:val="00E3036B"/>
    <w:rsid w:val="00E3199C"/>
    <w:rsid w:val="00E33820"/>
    <w:rsid w:val="00E34A66"/>
    <w:rsid w:val="00E35B0E"/>
    <w:rsid w:val="00E42425"/>
    <w:rsid w:val="00E522D4"/>
    <w:rsid w:val="00E5370F"/>
    <w:rsid w:val="00E53A9A"/>
    <w:rsid w:val="00E53ED1"/>
    <w:rsid w:val="00E5460B"/>
    <w:rsid w:val="00E54BB4"/>
    <w:rsid w:val="00E62E6F"/>
    <w:rsid w:val="00E6312F"/>
    <w:rsid w:val="00E6356D"/>
    <w:rsid w:val="00E63ADB"/>
    <w:rsid w:val="00E64100"/>
    <w:rsid w:val="00E64988"/>
    <w:rsid w:val="00E64A38"/>
    <w:rsid w:val="00E650D8"/>
    <w:rsid w:val="00E654BC"/>
    <w:rsid w:val="00E664DA"/>
    <w:rsid w:val="00E66DDB"/>
    <w:rsid w:val="00E731A9"/>
    <w:rsid w:val="00E741AC"/>
    <w:rsid w:val="00E75356"/>
    <w:rsid w:val="00E756AC"/>
    <w:rsid w:val="00E82153"/>
    <w:rsid w:val="00E8381A"/>
    <w:rsid w:val="00E85358"/>
    <w:rsid w:val="00E861B6"/>
    <w:rsid w:val="00E87596"/>
    <w:rsid w:val="00E87794"/>
    <w:rsid w:val="00E917A4"/>
    <w:rsid w:val="00E92803"/>
    <w:rsid w:val="00E96422"/>
    <w:rsid w:val="00EA2206"/>
    <w:rsid w:val="00EA3B7D"/>
    <w:rsid w:val="00EA4081"/>
    <w:rsid w:val="00EA5A59"/>
    <w:rsid w:val="00EA660D"/>
    <w:rsid w:val="00EA6C13"/>
    <w:rsid w:val="00EB3D8F"/>
    <w:rsid w:val="00EB42D3"/>
    <w:rsid w:val="00EB5184"/>
    <w:rsid w:val="00EB622D"/>
    <w:rsid w:val="00EB67D6"/>
    <w:rsid w:val="00EB79B1"/>
    <w:rsid w:val="00EC092E"/>
    <w:rsid w:val="00EC1F05"/>
    <w:rsid w:val="00EC28A2"/>
    <w:rsid w:val="00EC2D8F"/>
    <w:rsid w:val="00EC372A"/>
    <w:rsid w:val="00EC3979"/>
    <w:rsid w:val="00ED0F84"/>
    <w:rsid w:val="00ED0FE3"/>
    <w:rsid w:val="00ED1F11"/>
    <w:rsid w:val="00ED2621"/>
    <w:rsid w:val="00ED2628"/>
    <w:rsid w:val="00ED3EF0"/>
    <w:rsid w:val="00ED5E06"/>
    <w:rsid w:val="00EE121F"/>
    <w:rsid w:val="00EE2707"/>
    <w:rsid w:val="00EE41E6"/>
    <w:rsid w:val="00EE54A3"/>
    <w:rsid w:val="00EE72AE"/>
    <w:rsid w:val="00EF2CA6"/>
    <w:rsid w:val="00EF4DC4"/>
    <w:rsid w:val="00EF553C"/>
    <w:rsid w:val="00F03571"/>
    <w:rsid w:val="00F0422A"/>
    <w:rsid w:val="00F04F52"/>
    <w:rsid w:val="00F0523A"/>
    <w:rsid w:val="00F0717E"/>
    <w:rsid w:val="00F104F0"/>
    <w:rsid w:val="00F117B1"/>
    <w:rsid w:val="00F12D75"/>
    <w:rsid w:val="00F134F9"/>
    <w:rsid w:val="00F1781C"/>
    <w:rsid w:val="00F17AD4"/>
    <w:rsid w:val="00F218E0"/>
    <w:rsid w:val="00F21DDD"/>
    <w:rsid w:val="00F21FB5"/>
    <w:rsid w:val="00F23CE5"/>
    <w:rsid w:val="00F24382"/>
    <w:rsid w:val="00F24C62"/>
    <w:rsid w:val="00F250AF"/>
    <w:rsid w:val="00F267C7"/>
    <w:rsid w:val="00F26DB6"/>
    <w:rsid w:val="00F27497"/>
    <w:rsid w:val="00F30366"/>
    <w:rsid w:val="00F30BEC"/>
    <w:rsid w:val="00F31211"/>
    <w:rsid w:val="00F33F55"/>
    <w:rsid w:val="00F34138"/>
    <w:rsid w:val="00F34863"/>
    <w:rsid w:val="00F3642B"/>
    <w:rsid w:val="00F3674A"/>
    <w:rsid w:val="00F3784C"/>
    <w:rsid w:val="00F379D7"/>
    <w:rsid w:val="00F40221"/>
    <w:rsid w:val="00F41276"/>
    <w:rsid w:val="00F418A2"/>
    <w:rsid w:val="00F4230D"/>
    <w:rsid w:val="00F43467"/>
    <w:rsid w:val="00F443E4"/>
    <w:rsid w:val="00F45997"/>
    <w:rsid w:val="00F45E31"/>
    <w:rsid w:val="00F47FCE"/>
    <w:rsid w:val="00F501D2"/>
    <w:rsid w:val="00F5266F"/>
    <w:rsid w:val="00F55AB2"/>
    <w:rsid w:val="00F55C60"/>
    <w:rsid w:val="00F56447"/>
    <w:rsid w:val="00F573FF"/>
    <w:rsid w:val="00F619ED"/>
    <w:rsid w:val="00F61FCE"/>
    <w:rsid w:val="00F64055"/>
    <w:rsid w:val="00F645CD"/>
    <w:rsid w:val="00F646D5"/>
    <w:rsid w:val="00F64BF6"/>
    <w:rsid w:val="00F659B8"/>
    <w:rsid w:val="00F65A17"/>
    <w:rsid w:val="00F67011"/>
    <w:rsid w:val="00F710C6"/>
    <w:rsid w:val="00F72327"/>
    <w:rsid w:val="00F8284E"/>
    <w:rsid w:val="00F83212"/>
    <w:rsid w:val="00F848D2"/>
    <w:rsid w:val="00F86216"/>
    <w:rsid w:val="00F87FD4"/>
    <w:rsid w:val="00F90890"/>
    <w:rsid w:val="00F911E4"/>
    <w:rsid w:val="00F94176"/>
    <w:rsid w:val="00F9481A"/>
    <w:rsid w:val="00F964FD"/>
    <w:rsid w:val="00F96AB1"/>
    <w:rsid w:val="00F97692"/>
    <w:rsid w:val="00F9783F"/>
    <w:rsid w:val="00F978B3"/>
    <w:rsid w:val="00FA2523"/>
    <w:rsid w:val="00FA282C"/>
    <w:rsid w:val="00FA2B58"/>
    <w:rsid w:val="00FA3BA2"/>
    <w:rsid w:val="00FA547C"/>
    <w:rsid w:val="00FA7068"/>
    <w:rsid w:val="00FB0CCD"/>
    <w:rsid w:val="00FB44F1"/>
    <w:rsid w:val="00FB603A"/>
    <w:rsid w:val="00FC0C15"/>
    <w:rsid w:val="00FC194C"/>
    <w:rsid w:val="00FC3C38"/>
    <w:rsid w:val="00FC4153"/>
    <w:rsid w:val="00FC5CF3"/>
    <w:rsid w:val="00FC755D"/>
    <w:rsid w:val="00FD17AB"/>
    <w:rsid w:val="00FD2429"/>
    <w:rsid w:val="00FD376E"/>
    <w:rsid w:val="00FD4AF2"/>
    <w:rsid w:val="00FD724A"/>
    <w:rsid w:val="00FE00F9"/>
    <w:rsid w:val="00FE15E4"/>
    <w:rsid w:val="00FE22E3"/>
    <w:rsid w:val="00FE3DFF"/>
    <w:rsid w:val="00FF0CEE"/>
    <w:rsid w:val="00FF3341"/>
    <w:rsid w:val="00FF34F7"/>
    <w:rsid w:val="00FF3519"/>
    <w:rsid w:val="00FF780B"/>
    <w:rsid w:val="31552221"/>
    <w:rsid w:val="40866AD6"/>
    <w:rsid w:val="47A4C79F"/>
    <w:rsid w:val="53144014"/>
    <w:rsid w:val="673CEE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 w:type="character" w:styleId="nfasis">
    <w:name w:val="Emphasis"/>
    <w:basedOn w:val="Fuentedeprrafopredeter"/>
    <w:uiPriority w:val="20"/>
    <w:qFormat/>
    <w:rsid w:val="00D56CC4"/>
    <w:rPr>
      <w:i/>
      <w:iCs/>
    </w:rPr>
  </w:style>
  <w:style w:type="character" w:customStyle="1" w:styleId="NormalWebCar">
    <w:name w:val="Normal (Web) Car"/>
    <w:link w:val="NormalWeb"/>
    <w:uiPriority w:val="99"/>
    <w:rsid w:val="00D56CC4"/>
    <w:rPr>
      <w:rFonts w:ascii="Times New Roman" w:eastAsia="Times New Roman" w:hAnsi="Times New Roman" w:cs="Times New Roman"/>
      <w:sz w:val="24"/>
      <w:szCs w:val="24"/>
      <w:lang w:eastAsia="es-ES_tradnl"/>
    </w:rPr>
  </w:style>
  <w:style w:type="table" w:customStyle="1" w:styleId="Tablaconcuadrcula1">
    <w:name w:val="Tabla con cuadrícula1"/>
    <w:basedOn w:val="Tablanormal"/>
    <w:next w:val="Tablaconcuadrcula"/>
    <w:uiPriority w:val="59"/>
    <w:rsid w:val="00283B57"/>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toggle">
    <w:name w:val="toctoggle"/>
    <w:basedOn w:val="Fuentedeprrafopredeter"/>
    <w:rsid w:val="00C85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9076228">
      <w:bodyDiv w:val="1"/>
      <w:marLeft w:val="0"/>
      <w:marRight w:val="0"/>
      <w:marTop w:val="0"/>
      <w:marBottom w:val="0"/>
      <w:divBdr>
        <w:top w:val="none" w:sz="0" w:space="0" w:color="auto"/>
        <w:left w:val="none" w:sz="0" w:space="0" w:color="auto"/>
        <w:bottom w:val="none" w:sz="0" w:space="0" w:color="auto"/>
        <w:right w:val="none" w:sz="0" w:space="0" w:color="auto"/>
      </w:divBdr>
    </w:div>
    <w:div w:id="165286871">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14558484">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970987250">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4260565">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8878360">
      <w:bodyDiv w:val="1"/>
      <w:marLeft w:val="0"/>
      <w:marRight w:val="0"/>
      <w:marTop w:val="0"/>
      <w:marBottom w:val="0"/>
      <w:divBdr>
        <w:top w:val="none" w:sz="0" w:space="0" w:color="auto"/>
        <w:left w:val="none" w:sz="0" w:space="0" w:color="auto"/>
        <w:bottom w:val="none" w:sz="0" w:space="0" w:color="auto"/>
        <w:right w:val="none" w:sz="0" w:space="0" w:color="auto"/>
      </w:divBdr>
      <w:divsChild>
        <w:div w:id="698624411">
          <w:marLeft w:val="0"/>
          <w:marRight w:val="0"/>
          <w:marTop w:val="0"/>
          <w:marBottom w:val="0"/>
          <w:divBdr>
            <w:top w:val="none" w:sz="0" w:space="0" w:color="auto"/>
            <w:left w:val="none" w:sz="0" w:space="0" w:color="auto"/>
            <w:bottom w:val="none" w:sz="0" w:space="0" w:color="auto"/>
            <w:right w:val="none" w:sz="0" w:space="0" w:color="auto"/>
          </w:divBdr>
          <w:divsChild>
            <w:div w:id="797644936">
              <w:marLeft w:val="0"/>
              <w:marRight w:val="0"/>
              <w:marTop w:val="0"/>
              <w:marBottom w:val="0"/>
              <w:divBdr>
                <w:top w:val="none" w:sz="0" w:space="0" w:color="auto"/>
                <w:left w:val="none" w:sz="0" w:space="0" w:color="auto"/>
                <w:bottom w:val="none" w:sz="0" w:space="0" w:color="auto"/>
                <w:right w:val="none" w:sz="0" w:space="0" w:color="auto"/>
              </w:divBdr>
            </w:div>
          </w:divsChild>
        </w:div>
        <w:div w:id="325091084">
          <w:marLeft w:val="0"/>
          <w:marRight w:val="0"/>
          <w:marTop w:val="0"/>
          <w:marBottom w:val="0"/>
          <w:divBdr>
            <w:top w:val="none" w:sz="0" w:space="0" w:color="auto"/>
            <w:left w:val="none" w:sz="0" w:space="0" w:color="auto"/>
            <w:bottom w:val="none" w:sz="0" w:space="0" w:color="auto"/>
            <w:right w:val="none" w:sz="0" w:space="0" w:color="auto"/>
          </w:divBdr>
          <w:divsChild>
            <w:div w:id="596325023">
              <w:marLeft w:val="0"/>
              <w:marRight w:val="0"/>
              <w:marTop w:val="0"/>
              <w:marBottom w:val="0"/>
              <w:divBdr>
                <w:top w:val="none" w:sz="0" w:space="0" w:color="auto"/>
                <w:left w:val="none" w:sz="0" w:space="0" w:color="auto"/>
                <w:bottom w:val="none" w:sz="0" w:space="0" w:color="auto"/>
                <w:right w:val="none" w:sz="0" w:space="0" w:color="auto"/>
              </w:divBdr>
            </w:div>
          </w:divsChild>
        </w:div>
        <w:div w:id="2133553300">
          <w:marLeft w:val="0"/>
          <w:marRight w:val="0"/>
          <w:marTop w:val="0"/>
          <w:marBottom w:val="0"/>
          <w:divBdr>
            <w:top w:val="none" w:sz="0" w:space="0" w:color="auto"/>
            <w:left w:val="none" w:sz="0" w:space="0" w:color="auto"/>
            <w:bottom w:val="none" w:sz="0" w:space="0" w:color="auto"/>
            <w:right w:val="none" w:sz="0" w:space="0" w:color="auto"/>
          </w:divBdr>
          <w:divsChild>
            <w:div w:id="18953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oxta2.colombiacompra.gov.co/sites/docs/_layouts/15/listform.aspx?PageType=6&amp;ListId=%7b41406f67-8aaf-444a-8f23-f6b9ad006b34%7d&amp;ID=9027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oxta2.colombiacompra.gov.co/sites/docs/_layouts/15/listform.aspx?PageType=6&amp;ListId=%7b41406f67-8aaf-444a-8f23-f6b9ad006b34%7d&amp;ID=8615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54A22-958F-47F8-BABB-4ACEF2C1C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E781D7-5D8B-4C29-ACC2-F98973F68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10361</Words>
  <Characters>56989</Characters>
  <Application>Microsoft Office Word</Application>
  <DocSecurity>0</DocSecurity>
  <Lines>474</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Edwin Johan Chocontá Quintero</cp:lastModifiedBy>
  <cp:revision>2</cp:revision>
  <cp:lastPrinted>2021-08-12T22:16:00Z</cp:lastPrinted>
  <dcterms:created xsi:type="dcterms:W3CDTF">2022-05-25T23:44:00Z</dcterms:created>
  <dcterms:modified xsi:type="dcterms:W3CDTF">2022-05-25T23:44:00Z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