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3B87B99" w14:textId="77777777" w:rsidR="00AA6DD4" w:rsidRPr="00186FA9" w:rsidRDefault="00AA6DD4" w:rsidP="00AA6DD4">
      <w:pPr>
        <w:spacing w:after="0" w:line="276" w:lineRule="auto"/>
        <w:contextualSpacing/>
        <w:rPr>
          <w:rFonts w:ascii="Verdana" w:eastAsia="Century Gothic" w:hAnsi="Verdana" w:cs="Century Gothic"/>
          <w:b/>
          <w:bCs/>
          <w:sz w:val="21"/>
          <w:szCs w:val="21"/>
        </w:rPr>
      </w:pPr>
      <w:bookmarkStart w:id="0" w:name="_Hlk172124853"/>
      <w:r w:rsidRPr="00186FA9">
        <w:rPr>
          <w:rFonts w:ascii="Verdana" w:eastAsia="Century Gothic" w:hAnsi="Verdana" w:cs="Century Gothic"/>
          <w:b/>
          <w:bCs/>
          <w:sz w:val="21"/>
          <w:szCs w:val="21"/>
        </w:rPr>
        <w:t>REQUISITOS HABILITANTES – Noción</w:t>
      </w:r>
    </w:p>
    <w:p w14:paraId="776A62DD" w14:textId="77777777" w:rsidR="00AA6DD4" w:rsidRPr="00186FA9" w:rsidRDefault="00AA6DD4" w:rsidP="00AA6DD4">
      <w:pPr>
        <w:spacing w:after="0" w:line="276" w:lineRule="auto"/>
        <w:contextualSpacing/>
        <w:rPr>
          <w:rFonts w:ascii="Verdana" w:eastAsia="Century Gothic" w:hAnsi="Verdana" w:cs="Century Gothic"/>
          <w:sz w:val="21"/>
          <w:szCs w:val="21"/>
          <w:highlight w:val="yellow"/>
        </w:rPr>
      </w:pPr>
      <w:r w:rsidRPr="00186FA9">
        <w:rPr>
          <w:rFonts w:ascii="Verdana" w:eastAsia="Century Gothic" w:hAnsi="Verdana" w:cs="Century Gothic"/>
          <w:sz w:val="21"/>
          <w:szCs w:val="21"/>
          <w:highlight w:val="yellow"/>
        </w:rPr>
        <w:t xml:space="preserve"> </w:t>
      </w:r>
    </w:p>
    <w:p w14:paraId="475FA0A9" w14:textId="77777777" w:rsidR="00AA6DD4" w:rsidRPr="00186FA9" w:rsidRDefault="00AA6DD4" w:rsidP="00AA6DD4">
      <w:pPr>
        <w:spacing w:after="0" w:line="276" w:lineRule="auto"/>
        <w:contextualSpacing/>
        <w:jc w:val="both"/>
        <w:rPr>
          <w:rFonts w:ascii="Verdana" w:eastAsia="Century Gothic" w:hAnsi="Verdana" w:cs="Century Gothic"/>
          <w:sz w:val="21"/>
          <w:szCs w:val="21"/>
          <w:lang w:val="es"/>
        </w:rPr>
      </w:pPr>
      <w:r w:rsidRPr="00186FA9">
        <w:rPr>
          <w:rFonts w:ascii="Verdana" w:eastAsia="Century Gothic" w:hAnsi="Verdana" w:cs="Century Gothic"/>
          <w:sz w:val="21"/>
          <w:szCs w:val="21"/>
          <w:lang w:val="es"/>
        </w:rPr>
        <w:t xml:space="preserve">Los requisitos habilitantes se definen como exigencias de participación en los procedimientos de selección, establecidos en disposiciones normativas, de carácter legal o reglamentario, o las contenidas en el acto administrativo que regula las reglas de la convocatoria, es decir, en el pliego de condiciones o el documento equivalente a este. Se diferencian de los criterios de evaluación –también conocidos como criterios de calificación– en que estos son los factores definidos por la Entidad Estatal para la asignación de puntaje en el momento de la comparación de las ofertas, y que, a partir de su ponderación, permiten establecer el orden de elegibilidad y, por ende, la propuesta ganadora. </w:t>
      </w:r>
    </w:p>
    <w:p w14:paraId="3AA34E48" w14:textId="77777777" w:rsidR="00AA6DD4" w:rsidRPr="00186FA9" w:rsidRDefault="00AA6DD4" w:rsidP="00AA6DD4">
      <w:pPr>
        <w:spacing w:after="0" w:line="276" w:lineRule="auto"/>
        <w:contextualSpacing/>
        <w:jc w:val="both"/>
        <w:rPr>
          <w:rFonts w:ascii="Verdana" w:eastAsia="Century Gothic" w:hAnsi="Verdana" w:cs="Century Gothic"/>
          <w:sz w:val="21"/>
          <w:szCs w:val="21"/>
          <w:lang w:val="es"/>
        </w:rPr>
      </w:pPr>
      <w:r w:rsidRPr="00186FA9">
        <w:rPr>
          <w:rFonts w:ascii="Verdana" w:eastAsia="Century Gothic" w:hAnsi="Verdana" w:cs="Century Gothic"/>
          <w:sz w:val="21"/>
          <w:szCs w:val="21"/>
          <w:lang w:val="es"/>
        </w:rPr>
        <w:t xml:space="preserve"> </w:t>
      </w:r>
    </w:p>
    <w:p w14:paraId="25FF06A9" w14:textId="77777777" w:rsidR="00AA6DD4" w:rsidRPr="00186FA9" w:rsidRDefault="00AA6DD4" w:rsidP="00AA6DD4">
      <w:pPr>
        <w:spacing w:after="0" w:line="276" w:lineRule="auto"/>
        <w:contextualSpacing/>
        <w:jc w:val="both"/>
        <w:rPr>
          <w:rFonts w:ascii="Verdana" w:eastAsia="Century Gothic" w:hAnsi="Verdana" w:cs="Century Gothic"/>
          <w:sz w:val="21"/>
          <w:szCs w:val="21"/>
          <w:lang w:val="es-ES"/>
        </w:rPr>
      </w:pPr>
      <w:r w:rsidRPr="24A9C278">
        <w:rPr>
          <w:rFonts w:ascii="Verdana" w:eastAsia="Century Gothic" w:hAnsi="Verdana" w:cs="Century Gothic"/>
          <w:sz w:val="21"/>
          <w:szCs w:val="21"/>
          <w:lang w:val="es-ES"/>
        </w:rPr>
        <w:t>A partir de lo dicho se deduce que los requisitos habilitantes, si bien constituyen obligaciones que los proponentes deben cumplir y acreditar para participar en el procedimiento de selección, no se valoran con un puntaje que determine el orden de escogencia, sino que se analizan como criterios previos a la evaluación en sentido estricto, de manera que quienes no los reúnan no pueden continuar en el procedimiento de selección, o sea, incurren en causal de rechazo. Esto sin perjuicio del derecho que tienen los oferentes de subsanar los defectos que se presenten en la prueba de tales requisitos, de conformidad con el artículo 5, parágrafos 1º al 4º, de la Ley 1150 de 2007.</w:t>
      </w:r>
    </w:p>
    <w:p w14:paraId="43AF4774" w14:textId="77777777" w:rsidR="00AA6DD4" w:rsidRPr="00186FA9" w:rsidRDefault="00AA6DD4" w:rsidP="00AA6DD4">
      <w:pPr>
        <w:spacing w:after="0" w:line="276" w:lineRule="auto"/>
        <w:contextualSpacing/>
        <w:jc w:val="both"/>
        <w:rPr>
          <w:rFonts w:ascii="Verdana" w:eastAsia="Century Gothic" w:hAnsi="Verdana" w:cs="Century Gothic"/>
          <w:b/>
          <w:bCs/>
          <w:sz w:val="21"/>
          <w:szCs w:val="21"/>
          <w:highlight w:val="yellow"/>
        </w:rPr>
      </w:pPr>
      <w:r w:rsidRPr="00186FA9">
        <w:rPr>
          <w:rFonts w:ascii="Verdana" w:eastAsia="Century Gothic" w:hAnsi="Verdana" w:cs="Century Gothic"/>
          <w:b/>
          <w:bCs/>
          <w:sz w:val="21"/>
          <w:szCs w:val="21"/>
          <w:highlight w:val="yellow"/>
        </w:rPr>
        <w:t xml:space="preserve"> </w:t>
      </w:r>
    </w:p>
    <w:p w14:paraId="3655009D" w14:textId="77777777" w:rsidR="00AA6DD4" w:rsidRPr="00186FA9" w:rsidRDefault="00AA6DD4" w:rsidP="00AA6DD4">
      <w:pPr>
        <w:spacing w:after="0" w:line="276" w:lineRule="auto"/>
        <w:contextualSpacing/>
        <w:jc w:val="both"/>
        <w:rPr>
          <w:rFonts w:ascii="Verdana" w:eastAsia="Century Gothic" w:hAnsi="Verdana" w:cs="Century Gothic"/>
          <w:b/>
          <w:bCs/>
          <w:sz w:val="21"/>
          <w:szCs w:val="21"/>
        </w:rPr>
      </w:pPr>
      <w:r w:rsidRPr="00186FA9">
        <w:rPr>
          <w:rFonts w:ascii="Verdana" w:eastAsia="Century Gothic" w:hAnsi="Verdana" w:cs="Century Gothic"/>
          <w:b/>
          <w:bCs/>
          <w:sz w:val="21"/>
          <w:szCs w:val="21"/>
        </w:rPr>
        <w:t>REQUISITOS HABILITANTES – Autonomía</w:t>
      </w:r>
    </w:p>
    <w:p w14:paraId="760547D8" w14:textId="77777777" w:rsidR="00AA6DD4" w:rsidRPr="00186FA9" w:rsidRDefault="00AA6DD4" w:rsidP="00AA6DD4">
      <w:pPr>
        <w:spacing w:after="0" w:line="276" w:lineRule="auto"/>
        <w:contextualSpacing/>
        <w:jc w:val="both"/>
        <w:rPr>
          <w:rFonts w:ascii="Verdana" w:eastAsia="Century Gothic" w:hAnsi="Verdana" w:cs="Century Gothic"/>
          <w:b/>
          <w:bCs/>
          <w:sz w:val="21"/>
          <w:szCs w:val="21"/>
          <w:highlight w:val="yellow"/>
        </w:rPr>
      </w:pPr>
      <w:r w:rsidRPr="00186FA9">
        <w:rPr>
          <w:rFonts w:ascii="Verdana" w:eastAsia="Century Gothic" w:hAnsi="Verdana" w:cs="Century Gothic"/>
          <w:b/>
          <w:bCs/>
          <w:sz w:val="21"/>
          <w:szCs w:val="21"/>
          <w:highlight w:val="yellow"/>
        </w:rPr>
        <w:t xml:space="preserve"> </w:t>
      </w:r>
    </w:p>
    <w:p w14:paraId="43A22E3E" w14:textId="77777777" w:rsidR="00AA6DD4" w:rsidRPr="00186FA9" w:rsidRDefault="00AA6DD4" w:rsidP="00AA6DD4">
      <w:pPr>
        <w:spacing w:after="0" w:line="276" w:lineRule="auto"/>
        <w:contextualSpacing/>
        <w:jc w:val="both"/>
        <w:rPr>
          <w:rFonts w:ascii="Verdana" w:eastAsia="Century Gothic" w:hAnsi="Verdana" w:cs="Century Gothic"/>
          <w:sz w:val="21"/>
          <w:szCs w:val="21"/>
        </w:rPr>
      </w:pPr>
      <w:r w:rsidRPr="00186FA9">
        <w:rPr>
          <w:rFonts w:ascii="Verdana" w:eastAsia="Century Gothic" w:hAnsi="Verdana" w:cs="Century Gothic"/>
          <w:sz w:val="21"/>
          <w:szCs w:val="21"/>
        </w:rPr>
        <w:t xml:space="preserve">Esta Agencia puso a disposición de los interesados el “Manual para determinar y verificar los requisitos habilitantes en los procesos de contratación”. En dicho Manual se plantean definiciones para cada requisito habilitante y se indican lineamientos orientadores que la Entidad Estatal puede considerar para establecerlos, pero en todo caso, es ella quien los define, de forma proporcional a la naturaleza y al valor del contrato, por lo que para ello deberá observarse los resultados de los Estudios del Sector que se hayan realizado para el respectivo Proceso de Contratación. </w:t>
      </w:r>
    </w:p>
    <w:p w14:paraId="3FD4D545" w14:textId="77777777" w:rsidR="00AA6DD4" w:rsidRPr="00186FA9" w:rsidRDefault="00AA6DD4" w:rsidP="00AA6DD4">
      <w:pPr>
        <w:spacing w:after="0" w:line="276" w:lineRule="auto"/>
        <w:contextualSpacing/>
        <w:jc w:val="both"/>
        <w:rPr>
          <w:rFonts w:ascii="Verdana" w:eastAsia="Century Gothic" w:hAnsi="Verdana" w:cs="Century Gothic"/>
          <w:sz w:val="21"/>
          <w:szCs w:val="21"/>
        </w:rPr>
      </w:pPr>
      <w:r w:rsidRPr="00186FA9">
        <w:rPr>
          <w:rFonts w:ascii="Verdana" w:eastAsia="Century Gothic" w:hAnsi="Verdana" w:cs="Century Gothic"/>
          <w:sz w:val="21"/>
          <w:szCs w:val="21"/>
        </w:rPr>
        <w:t xml:space="preserve"> </w:t>
      </w:r>
    </w:p>
    <w:p w14:paraId="63067C40" w14:textId="77777777" w:rsidR="00AA6DD4" w:rsidRPr="00186FA9" w:rsidRDefault="00AA6DD4" w:rsidP="00AA6DD4">
      <w:pPr>
        <w:spacing w:after="0" w:line="276" w:lineRule="auto"/>
        <w:contextualSpacing/>
        <w:jc w:val="both"/>
        <w:rPr>
          <w:rFonts w:ascii="Verdana" w:eastAsia="Century Gothic" w:hAnsi="Verdana" w:cs="Century Gothic"/>
          <w:sz w:val="21"/>
          <w:szCs w:val="21"/>
        </w:rPr>
      </w:pPr>
      <w:r w:rsidRPr="00186FA9">
        <w:rPr>
          <w:rFonts w:ascii="Verdana" w:eastAsia="Century Gothic" w:hAnsi="Verdana" w:cs="Century Gothic"/>
          <w:sz w:val="21"/>
          <w:szCs w:val="21"/>
        </w:rPr>
        <w:t xml:space="preserve">Considerando la discrecionalidad para establecer el requisito habilitante, es necesario tener en cuenta que el artículo 44 de la Ley 1437 de 2011 –aplicable en los procedimientos contractuales en virtud del artículo 77 de la Ley 80 de 1993– dispone que “En la medida en que el contenido de una decisión de carácter general </w:t>
      </w:r>
      <w:r w:rsidRPr="00186FA9">
        <w:rPr>
          <w:rFonts w:ascii="Verdana" w:eastAsia="Century Gothic" w:hAnsi="Verdana" w:cs="Century Gothic"/>
          <w:sz w:val="21"/>
          <w:szCs w:val="21"/>
        </w:rPr>
        <w:lastRenderedPageBreak/>
        <w:t>o particular sea discrecional, debe ser adecuada a los fines de la norma que la autoriza, y proporcional a los hechos que le sirven de causa”. En consecuencia, para efectos de los escenarios descritos en el párrafo precedente, la inclusión o exclusión de los indicadores previstos en el artículo 2.2.1.1.1.5.3. del Decreto 1082 de 2015 está unida a la carga justificativa de la Entidad Estatal en los estudios y documentos previos del proceso de selección.</w:t>
      </w:r>
    </w:p>
    <w:p w14:paraId="0AD98855" w14:textId="77777777" w:rsidR="00AA6DD4" w:rsidRPr="00186FA9" w:rsidRDefault="00AA6DD4" w:rsidP="00AA6DD4">
      <w:pPr>
        <w:spacing w:after="0" w:line="276" w:lineRule="auto"/>
        <w:contextualSpacing/>
        <w:jc w:val="both"/>
        <w:rPr>
          <w:rFonts w:ascii="Verdana" w:eastAsia="Century Gothic" w:hAnsi="Verdana" w:cs="Century Gothic"/>
          <w:sz w:val="21"/>
          <w:szCs w:val="21"/>
        </w:rPr>
      </w:pPr>
    </w:p>
    <w:p w14:paraId="564FD9A1" w14:textId="77777777" w:rsidR="00AA6DD4" w:rsidRPr="00186FA9" w:rsidRDefault="00AA6DD4" w:rsidP="00AA6DD4">
      <w:pPr>
        <w:contextualSpacing/>
        <w:jc w:val="both"/>
        <w:rPr>
          <w:rFonts w:ascii="Verdana" w:hAnsi="Verdana" w:cs="Arial"/>
          <w:b/>
          <w:sz w:val="21"/>
          <w:szCs w:val="21"/>
          <w:lang w:val="es-ES" w:eastAsia="es-ES_tradnl"/>
        </w:rPr>
      </w:pPr>
      <w:r w:rsidRPr="00186FA9">
        <w:rPr>
          <w:rFonts w:ascii="Verdana" w:hAnsi="Verdana" w:cs="Arial"/>
          <w:b/>
          <w:sz w:val="21"/>
          <w:szCs w:val="21"/>
          <w:lang w:val="es-ES" w:eastAsia="es-ES_tradnl"/>
        </w:rPr>
        <w:t xml:space="preserve">REGISTRO ÚNICO DE PROPONENTES – RUP – Firmeza </w:t>
      </w:r>
    </w:p>
    <w:p w14:paraId="505CCA88" w14:textId="77777777" w:rsidR="00AA6DD4" w:rsidRPr="00186FA9" w:rsidRDefault="00AA6DD4" w:rsidP="00AA6DD4">
      <w:pPr>
        <w:contextualSpacing/>
        <w:jc w:val="both"/>
        <w:rPr>
          <w:rFonts w:ascii="Verdana" w:hAnsi="Verdana" w:cs="Arial"/>
          <w:b/>
          <w:sz w:val="21"/>
          <w:szCs w:val="21"/>
          <w:lang w:val="es-ES" w:eastAsia="es-ES_tradnl"/>
        </w:rPr>
      </w:pPr>
    </w:p>
    <w:p w14:paraId="12D2A378" w14:textId="77777777" w:rsidR="00AA6DD4" w:rsidRPr="00186FA9" w:rsidRDefault="00AA6DD4" w:rsidP="00AA6DD4">
      <w:pPr>
        <w:spacing w:after="0" w:line="276" w:lineRule="auto"/>
        <w:contextualSpacing/>
        <w:jc w:val="both"/>
        <w:rPr>
          <w:rFonts w:ascii="Verdana" w:eastAsia="Century Gothic" w:hAnsi="Verdana" w:cs="Century Gothic"/>
          <w:sz w:val="21"/>
          <w:szCs w:val="21"/>
        </w:rPr>
      </w:pPr>
      <w:r w:rsidRPr="00186FA9">
        <w:rPr>
          <w:rFonts w:ascii="Verdana" w:hAnsi="Verdana" w:cs="Arial"/>
          <w:sz w:val="21"/>
          <w:szCs w:val="21"/>
        </w:rPr>
        <w:t>[…] las</w:t>
      </w:r>
      <w:r w:rsidRPr="00186FA9">
        <w:rPr>
          <w:rFonts w:ascii="Verdana" w:hAnsi="Verdana" w:cs="Arial"/>
          <w:spacing w:val="-10"/>
          <w:sz w:val="21"/>
          <w:szCs w:val="21"/>
        </w:rPr>
        <w:t xml:space="preserve"> </w:t>
      </w:r>
      <w:r w:rsidRPr="00186FA9">
        <w:rPr>
          <w:rFonts w:ascii="Verdana" w:hAnsi="Verdana" w:cs="Arial"/>
          <w:sz w:val="21"/>
          <w:szCs w:val="21"/>
        </w:rPr>
        <w:t>cámaras</w:t>
      </w:r>
      <w:r w:rsidRPr="00186FA9">
        <w:rPr>
          <w:rFonts w:ascii="Verdana" w:hAnsi="Verdana" w:cs="Arial"/>
          <w:spacing w:val="-10"/>
          <w:sz w:val="21"/>
          <w:szCs w:val="21"/>
        </w:rPr>
        <w:t xml:space="preserve"> </w:t>
      </w:r>
      <w:r w:rsidRPr="00186FA9">
        <w:rPr>
          <w:rFonts w:ascii="Verdana" w:hAnsi="Verdana" w:cs="Arial"/>
          <w:sz w:val="21"/>
          <w:szCs w:val="21"/>
        </w:rPr>
        <w:t>de</w:t>
      </w:r>
      <w:r w:rsidRPr="00186FA9">
        <w:rPr>
          <w:rFonts w:ascii="Verdana" w:hAnsi="Verdana" w:cs="Arial"/>
          <w:spacing w:val="-9"/>
          <w:sz w:val="21"/>
          <w:szCs w:val="21"/>
        </w:rPr>
        <w:t xml:space="preserve"> </w:t>
      </w:r>
      <w:r w:rsidRPr="00186FA9">
        <w:rPr>
          <w:rFonts w:ascii="Verdana" w:hAnsi="Verdana" w:cs="Arial"/>
          <w:sz w:val="21"/>
          <w:szCs w:val="21"/>
        </w:rPr>
        <w:t>comercio,</w:t>
      </w:r>
      <w:r w:rsidRPr="00186FA9">
        <w:rPr>
          <w:rFonts w:ascii="Verdana" w:hAnsi="Verdana" w:cs="Arial"/>
          <w:spacing w:val="-10"/>
          <w:sz w:val="21"/>
          <w:szCs w:val="21"/>
        </w:rPr>
        <w:t xml:space="preserve"> </w:t>
      </w:r>
      <w:r w:rsidRPr="00186FA9">
        <w:rPr>
          <w:rFonts w:ascii="Verdana" w:hAnsi="Verdana" w:cs="Arial"/>
          <w:sz w:val="21"/>
          <w:szCs w:val="21"/>
        </w:rPr>
        <w:t>de</w:t>
      </w:r>
      <w:r w:rsidRPr="00186FA9">
        <w:rPr>
          <w:rFonts w:ascii="Verdana" w:hAnsi="Verdana" w:cs="Arial"/>
          <w:spacing w:val="-9"/>
          <w:sz w:val="21"/>
          <w:szCs w:val="21"/>
        </w:rPr>
        <w:t xml:space="preserve"> </w:t>
      </w:r>
      <w:r w:rsidRPr="00186FA9">
        <w:rPr>
          <w:rFonts w:ascii="Verdana" w:hAnsi="Verdana" w:cs="Arial"/>
          <w:sz w:val="21"/>
          <w:szCs w:val="21"/>
        </w:rPr>
        <w:t>acuerdo</w:t>
      </w:r>
      <w:r w:rsidRPr="00186FA9">
        <w:rPr>
          <w:rFonts w:ascii="Verdana" w:hAnsi="Verdana" w:cs="Arial"/>
          <w:spacing w:val="-9"/>
          <w:sz w:val="21"/>
          <w:szCs w:val="21"/>
        </w:rPr>
        <w:t xml:space="preserve"> </w:t>
      </w:r>
      <w:r w:rsidRPr="00186FA9">
        <w:rPr>
          <w:rFonts w:ascii="Verdana" w:hAnsi="Verdana" w:cs="Arial"/>
          <w:sz w:val="21"/>
          <w:szCs w:val="21"/>
        </w:rPr>
        <w:t>con</w:t>
      </w:r>
      <w:r w:rsidRPr="00186FA9">
        <w:rPr>
          <w:rFonts w:ascii="Verdana" w:hAnsi="Verdana" w:cs="Arial"/>
          <w:spacing w:val="-10"/>
          <w:sz w:val="21"/>
          <w:szCs w:val="21"/>
        </w:rPr>
        <w:t xml:space="preserve"> </w:t>
      </w:r>
      <w:r w:rsidRPr="00186FA9">
        <w:rPr>
          <w:rFonts w:ascii="Verdana" w:hAnsi="Verdana" w:cs="Arial"/>
          <w:sz w:val="21"/>
          <w:szCs w:val="21"/>
        </w:rPr>
        <w:t>el</w:t>
      </w:r>
      <w:r w:rsidRPr="00186FA9">
        <w:rPr>
          <w:rFonts w:ascii="Verdana" w:hAnsi="Verdana" w:cs="Arial"/>
          <w:spacing w:val="-9"/>
          <w:sz w:val="21"/>
          <w:szCs w:val="21"/>
        </w:rPr>
        <w:t xml:space="preserve"> </w:t>
      </w:r>
      <w:r w:rsidRPr="00186FA9">
        <w:rPr>
          <w:rFonts w:ascii="Verdana" w:hAnsi="Verdana" w:cs="Arial"/>
          <w:sz w:val="21"/>
          <w:szCs w:val="21"/>
        </w:rPr>
        <w:t>artículo</w:t>
      </w:r>
      <w:r w:rsidRPr="00186FA9">
        <w:rPr>
          <w:rFonts w:ascii="Verdana" w:hAnsi="Verdana" w:cs="Arial"/>
          <w:spacing w:val="-9"/>
          <w:sz w:val="21"/>
          <w:szCs w:val="21"/>
        </w:rPr>
        <w:t xml:space="preserve"> </w:t>
      </w:r>
      <w:r w:rsidRPr="00186FA9">
        <w:rPr>
          <w:rFonts w:ascii="Verdana" w:hAnsi="Verdana" w:cs="Arial"/>
          <w:sz w:val="21"/>
          <w:szCs w:val="21"/>
        </w:rPr>
        <w:t>6.1</w:t>
      </w:r>
      <w:r w:rsidRPr="00186FA9">
        <w:rPr>
          <w:rFonts w:ascii="Verdana" w:hAnsi="Verdana" w:cs="Arial"/>
          <w:spacing w:val="-9"/>
          <w:sz w:val="21"/>
          <w:szCs w:val="21"/>
        </w:rPr>
        <w:t xml:space="preserve"> </w:t>
      </w:r>
      <w:r w:rsidRPr="00186FA9">
        <w:rPr>
          <w:rFonts w:ascii="Verdana" w:hAnsi="Verdana" w:cs="Arial"/>
          <w:sz w:val="21"/>
          <w:szCs w:val="21"/>
        </w:rPr>
        <w:t>de</w:t>
      </w:r>
      <w:r w:rsidRPr="00186FA9">
        <w:rPr>
          <w:rFonts w:ascii="Verdana" w:hAnsi="Verdana" w:cs="Arial"/>
          <w:spacing w:val="-9"/>
          <w:sz w:val="21"/>
          <w:szCs w:val="21"/>
        </w:rPr>
        <w:t xml:space="preserve"> </w:t>
      </w:r>
      <w:r w:rsidRPr="00186FA9">
        <w:rPr>
          <w:rFonts w:ascii="Verdana" w:hAnsi="Verdana" w:cs="Arial"/>
          <w:sz w:val="21"/>
          <w:szCs w:val="21"/>
        </w:rPr>
        <w:t>la</w:t>
      </w:r>
      <w:r w:rsidRPr="00186FA9">
        <w:rPr>
          <w:rFonts w:ascii="Verdana" w:hAnsi="Verdana" w:cs="Arial"/>
          <w:spacing w:val="-9"/>
          <w:sz w:val="21"/>
          <w:szCs w:val="21"/>
        </w:rPr>
        <w:t xml:space="preserve"> </w:t>
      </w:r>
      <w:r w:rsidRPr="00186FA9">
        <w:rPr>
          <w:rFonts w:ascii="Verdana" w:hAnsi="Verdana" w:cs="Arial"/>
          <w:sz w:val="21"/>
          <w:szCs w:val="21"/>
        </w:rPr>
        <w:t>Ley</w:t>
      </w:r>
      <w:r w:rsidRPr="00186FA9">
        <w:rPr>
          <w:rFonts w:ascii="Verdana" w:hAnsi="Verdana" w:cs="Arial"/>
          <w:spacing w:val="-9"/>
          <w:sz w:val="21"/>
          <w:szCs w:val="21"/>
        </w:rPr>
        <w:t xml:space="preserve"> </w:t>
      </w:r>
      <w:r w:rsidRPr="00186FA9">
        <w:rPr>
          <w:rFonts w:ascii="Verdana" w:hAnsi="Verdana" w:cs="Arial"/>
          <w:sz w:val="21"/>
          <w:szCs w:val="21"/>
        </w:rPr>
        <w:t>1150</w:t>
      </w:r>
      <w:r w:rsidRPr="00186FA9">
        <w:rPr>
          <w:rFonts w:ascii="Verdana" w:hAnsi="Verdana" w:cs="Arial"/>
          <w:spacing w:val="-9"/>
          <w:sz w:val="21"/>
          <w:szCs w:val="21"/>
        </w:rPr>
        <w:t xml:space="preserve"> </w:t>
      </w:r>
      <w:r w:rsidRPr="00186FA9">
        <w:rPr>
          <w:rFonts w:ascii="Verdana" w:hAnsi="Verdana" w:cs="Arial"/>
          <w:sz w:val="21"/>
          <w:szCs w:val="21"/>
        </w:rPr>
        <w:t>de 2007 y</w:t>
      </w:r>
      <w:r w:rsidRPr="00186FA9">
        <w:rPr>
          <w:rFonts w:ascii="Verdana" w:hAnsi="Verdana" w:cs="Arial"/>
          <w:spacing w:val="-9"/>
          <w:sz w:val="21"/>
          <w:szCs w:val="21"/>
        </w:rPr>
        <w:t xml:space="preserve"> </w:t>
      </w:r>
      <w:r w:rsidRPr="00186FA9">
        <w:rPr>
          <w:rFonts w:ascii="Verdana" w:hAnsi="Verdana" w:cs="Arial"/>
          <w:sz w:val="21"/>
          <w:szCs w:val="21"/>
        </w:rPr>
        <w:t>con el artículo 2.2.1.1.1.5.3. del Decreto 1082 de 2015, verificarán y certificarán los</w:t>
      </w:r>
      <w:r w:rsidRPr="00186FA9">
        <w:rPr>
          <w:rFonts w:ascii="Verdana" w:hAnsi="Verdana" w:cs="Arial"/>
          <w:spacing w:val="1"/>
          <w:sz w:val="21"/>
          <w:szCs w:val="21"/>
        </w:rPr>
        <w:t xml:space="preserve"> </w:t>
      </w:r>
      <w:r w:rsidRPr="00186FA9">
        <w:rPr>
          <w:rFonts w:ascii="Verdana" w:hAnsi="Verdana" w:cs="Arial"/>
          <w:sz w:val="21"/>
          <w:szCs w:val="21"/>
        </w:rPr>
        <w:t>requisitos habilitantes de experiencia, capacidad jurídica, capacidad financiera y de</w:t>
      </w:r>
      <w:r w:rsidRPr="00186FA9">
        <w:rPr>
          <w:rFonts w:ascii="Verdana" w:hAnsi="Verdana" w:cs="Arial"/>
          <w:spacing w:val="1"/>
          <w:sz w:val="21"/>
          <w:szCs w:val="21"/>
        </w:rPr>
        <w:t xml:space="preserve"> </w:t>
      </w:r>
      <w:r w:rsidRPr="00186FA9">
        <w:rPr>
          <w:rFonts w:ascii="Verdana" w:hAnsi="Verdana" w:cs="Arial"/>
          <w:sz w:val="21"/>
          <w:szCs w:val="21"/>
        </w:rPr>
        <w:t>organización.</w:t>
      </w:r>
      <w:r w:rsidRPr="00186FA9">
        <w:rPr>
          <w:rFonts w:ascii="Verdana" w:hAnsi="Verdana" w:cs="Arial"/>
          <w:spacing w:val="-5"/>
          <w:sz w:val="21"/>
          <w:szCs w:val="21"/>
        </w:rPr>
        <w:t xml:space="preserve"> </w:t>
      </w:r>
      <w:r w:rsidRPr="00186FA9">
        <w:rPr>
          <w:rFonts w:ascii="Verdana" w:hAnsi="Verdana" w:cs="Arial"/>
          <w:sz w:val="21"/>
          <w:szCs w:val="21"/>
        </w:rPr>
        <w:t>En concordancia</w:t>
      </w:r>
      <w:r w:rsidRPr="00186FA9">
        <w:rPr>
          <w:rFonts w:ascii="Verdana" w:hAnsi="Verdana" w:cs="Arial"/>
          <w:spacing w:val="-4"/>
          <w:sz w:val="21"/>
          <w:szCs w:val="21"/>
        </w:rPr>
        <w:t xml:space="preserve"> </w:t>
      </w:r>
      <w:r w:rsidRPr="00186FA9">
        <w:rPr>
          <w:rFonts w:ascii="Verdana" w:hAnsi="Verdana" w:cs="Arial"/>
          <w:sz w:val="21"/>
          <w:szCs w:val="21"/>
        </w:rPr>
        <w:t>con</w:t>
      </w:r>
      <w:r w:rsidRPr="00186FA9">
        <w:rPr>
          <w:rFonts w:ascii="Verdana" w:hAnsi="Verdana" w:cs="Arial"/>
          <w:spacing w:val="-5"/>
          <w:sz w:val="21"/>
          <w:szCs w:val="21"/>
        </w:rPr>
        <w:t xml:space="preserve"> </w:t>
      </w:r>
      <w:r w:rsidRPr="00186FA9">
        <w:rPr>
          <w:rFonts w:ascii="Verdana" w:hAnsi="Verdana" w:cs="Arial"/>
          <w:sz w:val="21"/>
          <w:szCs w:val="21"/>
        </w:rPr>
        <w:t>lo</w:t>
      </w:r>
      <w:r w:rsidRPr="00186FA9">
        <w:rPr>
          <w:rFonts w:ascii="Verdana" w:hAnsi="Verdana" w:cs="Arial"/>
          <w:spacing w:val="-4"/>
          <w:sz w:val="21"/>
          <w:szCs w:val="21"/>
        </w:rPr>
        <w:t xml:space="preserve"> </w:t>
      </w:r>
      <w:r w:rsidRPr="00186FA9">
        <w:rPr>
          <w:rFonts w:ascii="Verdana" w:hAnsi="Verdana" w:cs="Arial"/>
          <w:sz w:val="21"/>
          <w:szCs w:val="21"/>
        </w:rPr>
        <w:t>establecido</w:t>
      </w:r>
      <w:r w:rsidRPr="00186FA9">
        <w:rPr>
          <w:rFonts w:ascii="Verdana" w:hAnsi="Verdana" w:cs="Arial"/>
          <w:spacing w:val="-4"/>
          <w:sz w:val="21"/>
          <w:szCs w:val="21"/>
        </w:rPr>
        <w:t xml:space="preserve"> </w:t>
      </w:r>
      <w:r w:rsidRPr="00186FA9">
        <w:rPr>
          <w:rFonts w:ascii="Verdana" w:hAnsi="Verdana" w:cs="Arial"/>
          <w:sz w:val="21"/>
          <w:szCs w:val="21"/>
        </w:rPr>
        <w:t>en</w:t>
      </w:r>
      <w:r w:rsidRPr="00186FA9">
        <w:rPr>
          <w:rFonts w:ascii="Verdana" w:hAnsi="Verdana" w:cs="Arial"/>
          <w:spacing w:val="-5"/>
          <w:sz w:val="21"/>
          <w:szCs w:val="21"/>
        </w:rPr>
        <w:t xml:space="preserve"> </w:t>
      </w:r>
      <w:r w:rsidRPr="00186FA9">
        <w:rPr>
          <w:rFonts w:ascii="Verdana" w:hAnsi="Verdana" w:cs="Arial"/>
          <w:sz w:val="21"/>
          <w:szCs w:val="21"/>
        </w:rPr>
        <w:t>el</w:t>
      </w:r>
      <w:r w:rsidRPr="00186FA9">
        <w:rPr>
          <w:rFonts w:ascii="Verdana" w:hAnsi="Verdana" w:cs="Arial"/>
          <w:spacing w:val="-4"/>
          <w:sz w:val="21"/>
          <w:szCs w:val="21"/>
        </w:rPr>
        <w:t xml:space="preserve"> </w:t>
      </w:r>
      <w:r w:rsidRPr="00186FA9">
        <w:rPr>
          <w:rFonts w:ascii="Verdana" w:hAnsi="Verdana" w:cs="Arial"/>
          <w:sz w:val="21"/>
          <w:szCs w:val="21"/>
        </w:rPr>
        <w:t>numeral</w:t>
      </w:r>
      <w:r w:rsidRPr="00186FA9">
        <w:rPr>
          <w:rFonts w:ascii="Verdana" w:hAnsi="Verdana" w:cs="Arial"/>
          <w:spacing w:val="-4"/>
          <w:sz w:val="21"/>
          <w:szCs w:val="21"/>
        </w:rPr>
        <w:t xml:space="preserve"> </w:t>
      </w:r>
      <w:r w:rsidRPr="00186FA9">
        <w:rPr>
          <w:rFonts w:ascii="Verdana" w:hAnsi="Verdana" w:cs="Arial"/>
          <w:sz w:val="21"/>
          <w:szCs w:val="21"/>
        </w:rPr>
        <w:t>6.3</w:t>
      </w:r>
      <w:r w:rsidRPr="00186FA9">
        <w:rPr>
          <w:rFonts w:ascii="Verdana" w:hAnsi="Verdana" w:cs="Arial"/>
          <w:spacing w:val="-5"/>
          <w:sz w:val="21"/>
          <w:szCs w:val="21"/>
        </w:rPr>
        <w:t xml:space="preserve"> </w:t>
      </w:r>
      <w:r w:rsidRPr="00186FA9">
        <w:rPr>
          <w:rFonts w:ascii="Verdana" w:hAnsi="Verdana" w:cs="Arial"/>
          <w:sz w:val="21"/>
          <w:szCs w:val="21"/>
        </w:rPr>
        <w:t>de</w:t>
      </w:r>
      <w:r w:rsidRPr="00186FA9">
        <w:rPr>
          <w:rFonts w:ascii="Verdana" w:hAnsi="Verdana" w:cs="Arial"/>
          <w:spacing w:val="-4"/>
          <w:sz w:val="21"/>
          <w:szCs w:val="21"/>
        </w:rPr>
        <w:t xml:space="preserve"> </w:t>
      </w:r>
      <w:r w:rsidRPr="00186FA9">
        <w:rPr>
          <w:rFonts w:ascii="Verdana" w:hAnsi="Verdana" w:cs="Arial"/>
          <w:sz w:val="21"/>
          <w:szCs w:val="21"/>
        </w:rPr>
        <w:t>la</w:t>
      </w:r>
      <w:r w:rsidRPr="00186FA9">
        <w:rPr>
          <w:rFonts w:ascii="Verdana" w:hAnsi="Verdana" w:cs="Arial"/>
          <w:spacing w:val="-4"/>
          <w:sz w:val="21"/>
          <w:szCs w:val="21"/>
        </w:rPr>
        <w:t xml:space="preserve"> </w:t>
      </w:r>
      <w:r w:rsidRPr="00186FA9">
        <w:rPr>
          <w:rFonts w:ascii="Verdana" w:hAnsi="Verdana" w:cs="Arial"/>
          <w:sz w:val="21"/>
          <w:szCs w:val="21"/>
        </w:rPr>
        <w:t>Ley</w:t>
      </w:r>
      <w:r w:rsidRPr="00186FA9">
        <w:rPr>
          <w:rFonts w:ascii="Verdana" w:hAnsi="Verdana" w:cs="Arial"/>
          <w:spacing w:val="-4"/>
          <w:sz w:val="21"/>
          <w:szCs w:val="21"/>
        </w:rPr>
        <w:t xml:space="preserve"> </w:t>
      </w:r>
      <w:r w:rsidRPr="00186FA9">
        <w:rPr>
          <w:rFonts w:ascii="Verdana" w:hAnsi="Verdana" w:cs="Arial"/>
          <w:sz w:val="21"/>
          <w:szCs w:val="21"/>
        </w:rPr>
        <w:t>1150</w:t>
      </w:r>
      <w:r w:rsidRPr="00186FA9">
        <w:rPr>
          <w:rFonts w:ascii="Verdana" w:hAnsi="Verdana" w:cs="Arial"/>
          <w:spacing w:val="-5"/>
          <w:sz w:val="21"/>
          <w:szCs w:val="21"/>
        </w:rPr>
        <w:t xml:space="preserve"> </w:t>
      </w:r>
      <w:r w:rsidRPr="00186FA9">
        <w:rPr>
          <w:rFonts w:ascii="Verdana" w:hAnsi="Verdana" w:cs="Arial"/>
          <w:sz w:val="21"/>
          <w:szCs w:val="21"/>
        </w:rPr>
        <w:t>de</w:t>
      </w:r>
      <w:r w:rsidRPr="00186FA9">
        <w:rPr>
          <w:rFonts w:ascii="Verdana" w:hAnsi="Verdana" w:cs="Arial"/>
          <w:spacing w:val="-4"/>
          <w:sz w:val="21"/>
          <w:szCs w:val="21"/>
        </w:rPr>
        <w:t xml:space="preserve"> </w:t>
      </w:r>
      <w:r w:rsidRPr="00186FA9">
        <w:rPr>
          <w:rFonts w:ascii="Verdana" w:hAnsi="Verdana" w:cs="Arial"/>
          <w:sz w:val="21"/>
          <w:szCs w:val="21"/>
        </w:rPr>
        <w:t>2007, la cámara de comercio, verificada la información aportada por el proponente, publicará el acto de inscripción del RUP, contra este, cualquier</w:t>
      </w:r>
      <w:r w:rsidRPr="00186FA9">
        <w:rPr>
          <w:rFonts w:ascii="Verdana" w:hAnsi="Verdana" w:cs="Arial"/>
          <w:spacing w:val="1"/>
          <w:sz w:val="21"/>
          <w:szCs w:val="21"/>
        </w:rPr>
        <w:t xml:space="preserve"> </w:t>
      </w:r>
      <w:r w:rsidRPr="00186FA9">
        <w:rPr>
          <w:rFonts w:ascii="Verdana" w:hAnsi="Verdana" w:cs="Arial"/>
          <w:sz w:val="21"/>
          <w:szCs w:val="21"/>
        </w:rPr>
        <w:t>persona podrá interponer recurso de reposición dentro de los diez (10) días hábiles</w:t>
      </w:r>
      <w:r w:rsidRPr="00186FA9">
        <w:rPr>
          <w:rFonts w:ascii="Verdana" w:hAnsi="Verdana" w:cs="Arial"/>
          <w:spacing w:val="1"/>
          <w:sz w:val="21"/>
          <w:szCs w:val="21"/>
        </w:rPr>
        <w:t xml:space="preserve"> </w:t>
      </w:r>
      <w:r w:rsidRPr="00186FA9">
        <w:rPr>
          <w:rFonts w:ascii="Verdana" w:hAnsi="Verdana" w:cs="Arial"/>
          <w:sz w:val="21"/>
          <w:szCs w:val="21"/>
        </w:rPr>
        <w:t>siguientes</w:t>
      </w:r>
      <w:r w:rsidRPr="00186FA9">
        <w:rPr>
          <w:rFonts w:ascii="Verdana" w:hAnsi="Verdana" w:cs="Arial"/>
          <w:spacing w:val="1"/>
          <w:sz w:val="21"/>
          <w:szCs w:val="21"/>
        </w:rPr>
        <w:t xml:space="preserve"> </w:t>
      </w:r>
      <w:r w:rsidRPr="00186FA9">
        <w:rPr>
          <w:rFonts w:ascii="Verdana" w:hAnsi="Verdana" w:cs="Arial"/>
          <w:sz w:val="21"/>
          <w:szCs w:val="21"/>
        </w:rPr>
        <w:t>contados</w:t>
      </w:r>
      <w:r w:rsidRPr="00186FA9">
        <w:rPr>
          <w:rFonts w:ascii="Verdana" w:hAnsi="Verdana" w:cs="Arial"/>
          <w:spacing w:val="1"/>
          <w:sz w:val="21"/>
          <w:szCs w:val="21"/>
        </w:rPr>
        <w:t xml:space="preserve"> </w:t>
      </w:r>
      <w:r w:rsidRPr="00186FA9">
        <w:rPr>
          <w:rFonts w:ascii="Verdana" w:hAnsi="Verdana" w:cs="Arial"/>
          <w:sz w:val="21"/>
          <w:szCs w:val="21"/>
        </w:rPr>
        <w:t>a</w:t>
      </w:r>
      <w:r w:rsidRPr="00186FA9">
        <w:rPr>
          <w:rFonts w:ascii="Verdana" w:hAnsi="Verdana" w:cs="Arial"/>
          <w:spacing w:val="1"/>
          <w:sz w:val="21"/>
          <w:szCs w:val="21"/>
        </w:rPr>
        <w:t xml:space="preserve"> </w:t>
      </w:r>
      <w:r w:rsidRPr="00186FA9">
        <w:rPr>
          <w:rFonts w:ascii="Verdana" w:hAnsi="Verdana" w:cs="Arial"/>
          <w:sz w:val="21"/>
          <w:szCs w:val="21"/>
        </w:rPr>
        <w:t>partir</w:t>
      </w:r>
      <w:r w:rsidRPr="00186FA9">
        <w:rPr>
          <w:rFonts w:ascii="Verdana" w:hAnsi="Verdana" w:cs="Arial"/>
          <w:spacing w:val="1"/>
          <w:sz w:val="21"/>
          <w:szCs w:val="21"/>
        </w:rPr>
        <w:t xml:space="preserve"> </w:t>
      </w:r>
      <w:r w:rsidRPr="00186FA9">
        <w:rPr>
          <w:rFonts w:ascii="Verdana" w:hAnsi="Verdana" w:cs="Arial"/>
          <w:sz w:val="21"/>
          <w:szCs w:val="21"/>
        </w:rPr>
        <w:t>de</w:t>
      </w:r>
      <w:r w:rsidRPr="00186FA9">
        <w:rPr>
          <w:rFonts w:ascii="Verdana" w:hAnsi="Verdana" w:cs="Arial"/>
          <w:spacing w:val="1"/>
          <w:sz w:val="21"/>
          <w:szCs w:val="21"/>
        </w:rPr>
        <w:t xml:space="preserve"> </w:t>
      </w:r>
      <w:r w:rsidRPr="00186FA9">
        <w:rPr>
          <w:rFonts w:ascii="Verdana" w:hAnsi="Verdana" w:cs="Arial"/>
          <w:sz w:val="21"/>
          <w:szCs w:val="21"/>
        </w:rPr>
        <w:t>su</w:t>
      </w:r>
      <w:r w:rsidRPr="00186FA9">
        <w:rPr>
          <w:rFonts w:ascii="Verdana" w:hAnsi="Verdana" w:cs="Arial"/>
          <w:spacing w:val="1"/>
          <w:sz w:val="21"/>
          <w:szCs w:val="21"/>
        </w:rPr>
        <w:t xml:space="preserve"> </w:t>
      </w:r>
      <w:r w:rsidRPr="00186FA9">
        <w:rPr>
          <w:rFonts w:ascii="Verdana" w:hAnsi="Verdana" w:cs="Arial"/>
          <w:sz w:val="21"/>
          <w:szCs w:val="21"/>
        </w:rPr>
        <w:t>publicación</w:t>
      </w:r>
      <w:r w:rsidRPr="00186FA9">
        <w:rPr>
          <w:rFonts w:ascii="Verdana" w:hAnsi="Verdana" w:cs="Arial"/>
          <w:spacing w:val="1"/>
          <w:sz w:val="21"/>
          <w:szCs w:val="21"/>
        </w:rPr>
        <w:t xml:space="preserve"> </w:t>
      </w:r>
      <w:r w:rsidRPr="00186FA9">
        <w:rPr>
          <w:rFonts w:ascii="Verdana" w:hAnsi="Verdana" w:cs="Arial"/>
          <w:sz w:val="21"/>
          <w:szCs w:val="21"/>
        </w:rPr>
        <w:t>–posibilidad</w:t>
      </w:r>
      <w:r w:rsidRPr="00186FA9">
        <w:rPr>
          <w:rFonts w:ascii="Verdana" w:hAnsi="Verdana" w:cs="Arial"/>
          <w:spacing w:val="1"/>
          <w:sz w:val="21"/>
          <w:szCs w:val="21"/>
        </w:rPr>
        <w:t xml:space="preserve"> </w:t>
      </w:r>
      <w:r w:rsidRPr="00186FA9">
        <w:rPr>
          <w:rFonts w:ascii="Verdana" w:hAnsi="Verdana" w:cs="Arial"/>
          <w:sz w:val="21"/>
          <w:szCs w:val="21"/>
        </w:rPr>
        <w:t>aplicable</w:t>
      </w:r>
      <w:r w:rsidRPr="00186FA9">
        <w:rPr>
          <w:rFonts w:ascii="Verdana" w:hAnsi="Verdana" w:cs="Arial"/>
          <w:spacing w:val="1"/>
          <w:sz w:val="21"/>
          <w:szCs w:val="21"/>
        </w:rPr>
        <w:t xml:space="preserve"> </w:t>
      </w:r>
      <w:r w:rsidRPr="00186FA9">
        <w:rPr>
          <w:rFonts w:ascii="Verdana" w:hAnsi="Verdana" w:cs="Arial"/>
          <w:sz w:val="21"/>
          <w:szCs w:val="21"/>
        </w:rPr>
        <w:t>frente</w:t>
      </w:r>
      <w:r w:rsidRPr="00186FA9">
        <w:rPr>
          <w:rFonts w:ascii="Verdana" w:hAnsi="Verdana" w:cs="Arial"/>
          <w:spacing w:val="1"/>
          <w:sz w:val="21"/>
          <w:szCs w:val="21"/>
        </w:rPr>
        <w:t xml:space="preserve"> </w:t>
      </w:r>
      <w:r w:rsidRPr="00186FA9">
        <w:rPr>
          <w:rFonts w:ascii="Verdana" w:hAnsi="Verdana" w:cs="Arial"/>
          <w:sz w:val="21"/>
          <w:szCs w:val="21"/>
        </w:rPr>
        <w:t>a</w:t>
      </w:r>
      <w:r w:rsidRPr="00186FA9">
        <w:rPr>
          <w:rFonts w:ascii="Verdana" w:hAnsi="Verdana" w:cs="Arial"/>
          <w:spacing w:val="1"/>
          <w:sz w:val="21"/>
          <w:szCs w:val="21"/>
        </w:rPr>
        <w:t xml:space="preserve"> </w:t>
      </w:r>
      <w:r w:rsidRPr="00186FA9">
        <w:rPr>
          <w:rFonts w:ascii="Verdana" w:hAnsi="Verdana" w:cs="Arial"/>
          <w:sz w:val="21"/>
          <w:szCs w:val="21"/>
        </w:rPr>
        <w:t>la</w:t>
      </w:r>
      <w:r w:rsidRPr="00186FA9">
        <w:rPr>
          <w:rFonts w:ascii="Verdana" w:hAnsi="Verdana" w:cs="Arial"/>
          <w:spacing w:val="1"/>
          <w:sz w:val="21"/>
          <w:szCs w:val="21"/>
        </w:rPr>
        <w:t xml:space="preserve"> </w:t>
      </w:r>
      <w:r w:rsidRPr="00186FA9">
        <w:rPr>
          <w:rFonts w:ascii="Verdana" w:hAnsi="Verdana" w:cs="Arial"/>
          <w:i/>
          <w:sz w:val="21"/>
          <w:szCs w:val="21"/>
        </w:rPr>
        <w:t>inscripción, renovación o actualización–</w:t>
      </w:r>
      <w:r w:rsidRPr="00186FA9">
        <w:rPr>
          <w:rFonts w:ascii="Verdana" w:hAnsi="Verdana" w:cs="Arial"/>
          <w:sz w:val="21"/>
          <w:szCs w:val="21"/>
        </w:rPr>
        <w:t>.</w:t>
      </w:r>
    </w:p>
    <w:p w14:paraId="35D5E0D3" w14:textId="77777777" w:rsidR="00AA6DD4" w:rsidRPr="00186FA9" w:rsidRDefault="00AA6DD4" w:rsidP="00AA6DD4">
      <w:pPr>
        <w:spacing w:after="0" w:line="276" w:lineRule="auto"/>
        <w:contextualSpacing/>
        <w:rPr>
          <w:rFonts w:ascii="Verdana" w:eastAsia="Century Gothic" w:hAnsi="Verdana" w:cs="Century Gothic"/>
          <w:b/>
          <w:bCs/>
          <w:sz w:val="21"/>
          <w:szCs w:val="21"/>
        </w:rPr>
      </w:pPr>
      <w:r w:rsidRPr="00186FA9">
        <w:rPr>
          <w:rFonts w:ascii="Verdana" w:eastAsia="Century Gothic" w:hAnsi="Verdana" w:cs="Century Gothic"/>
          <w:b/>
          <w:bCs/>
          <w:sz w:val="21"/>
          <w:szCs w:val="21"/>
        </w:rPr>
        <w:t xml:space="preserve"> </w:t>
      </w:r>
    </w:p>
    <w:p w14:paraId="691EDB43" w14:textId="77777777" w:rsidR="00AA6DD4" w:rsidRPr="00186FA9" w:rsidRDefault="00AA6DD4" w:rsidP="00AA6DD4">
      <w:pPr>
        <w:spacing w:after="0" w:line="276" w:lineRule="auto"/>
        <w:contextualSpacing/>
        <w:rPr>
          <w:rFonts w:ascii="Verdana" w:eastAsia="Century Gothic" w:hAnsi="Verdana" w:cs="Century Gothic"/>
          <w:b/>
          <w:bCs/>
        </w:rPr>
      </w:pPr>
    </w:p>
    <w:p w14:paraId="5FCE86A9" w14:textId="77777777" w:rsidR="00AA6DD4" w:rsidRPr="00186FA9" w:rsidRDefault="00AA6DD4" w:rsidP="00AA6DD4">
      <w:pPr>
        <w:spacing w:after="0" w:line="276" w:lineRule="auto"/>
        <w:contextualSpacing/>
        <w:rPr>
          <w:rFonts w:ascii="Verdana" w:eastAsia="Century Gothic" w:hAnsi="Verdana" w:cs="Century Gothic"/>
          <w:b/>
          <w:bCs/>
        </w:rPr>
      </w:pPr>
    </w:p>
    <w:p w14:paraId="1110DBC3" w14:textId="77777777" w:rsidR="00AA6DD4" w:rsidRPr="00186FA9" w:rsidRDefault="00AA6DD4" w:rsidP="00AA6DD4">
      <w:pPr>
        <w:spacing w:after="0" w:line="276" w:lineRule="auto"/>
        <w:contextualSpacing/>
        <w:rPr>
          <w:rFonts w:ascii="Verdana" w:eastAsia="Century Gothic" w:hAnsi="Verdana" w:cs="Century Gothic"/>
          <w:b/>
          <w:bCs/>
        </w:rPr>
      </w:pPr>
    </w:p>
    <w:p w14:paraId="4ECB7D90" w14:textId="77777777" w:rsidR="00AA6DD4" w:rsidRPr="00186FA9" w:rsidRDefault="00AA6DD4" w:rsidP="00AA6DD4">
      <w:pPr>
        <w:spacing w:after="0" w:line="276" w:lineRule="auto"/>
        <w:contextualSpacing/>
        <w:rPr>
          <w:rFonts w:ascii="Verdana" w:eastAsia="Century Gothic" w:hAnsi="Verdana" w:cs="Century Gothic"/>
          <w:b/>
          <w:bCs/>
        </w:rPr>
      </w:pPr>
    </w:p>
    <w:p w14:paraId="6F9CE037" w14:textId="77777777" w:rsidR="00AA6DD4" w:rsidRPr="00186FA9" w:rsidRDefault="00AA6DD4" w:rsidP="00AA6DD4">
      <w:pPr>
        <w:spacing w:after="0" w:line="276" w:lineRule="auto"/>
        <w:contextualSpacing/>
        <w:rPr>
          <w:rFonts w:ascii="Verdana" w:eastAsia="Century Gothic" w:hAnsi="Verdana" w:cs="Century Gothic"/>
          <w:b/>
          <w:bCs/>
        </w:rPr>
      </w:pPr>
    </w:p>
    <w:p w14:paraId="70529530" w14:textId="77777777" w:rsidR="00AA6DD4" w:rsidRPr="00186FA9" w:rsidRDefault="00AA6DD4" w:rsidP="00AA6DD4">
      <w:pPr>
        <w:spacing w:after="0" w:line="276" w:lineRule="auto"/>
        <w:contextualSpacing/>
        <w:rPr>
          <w:rFonts w:ascii="Verdana" w:eastAsia="Century Gothic" w:hAnsi="Verdana" w:cs="Century Gothic"/>
          <w:b/>
          <w:bCs/>
        </w:rPr>
      </w:pPr>
    </w:p>
    <w:p w14:paraId="2B325257" w14:textId="77777777" w:rsidR="00AA6DD4" w:rsidRPr="00186FA9" w:rsidRDefault="00AA6DD4" w:rsidP="00AA6DD4">
      <w:pPr>
        <w:spacing w:after="0" w:line="276" w:lineRule="auto"/>
        <w:contextualSpacing/>
        <w:rPr>
          <w:rFonts w:ascii="Verdana" w:eastAsia="Century Gothic" w:hAnsi="Verdana" w:cs="Century Gothic"/>
          <w:b/>
          <w:bCs/>
        </w:rPr>
      </w:pPr>
    </w:p>
    <w:p w14:paraId="448DAFD8" w14:textId="77777777" w:rsidR="00AA6DD4" w:rsidRPr="00186FA9" w:rsidRDefault="00AA6DD4" w:rsidP="00AA6DD4">
      <w:pPr>
        <w:spacing w:after="0" w:line="276" w:lineRule="auto"/>
        <w:contextualSpacing/>
        <w:rPr>
          <w:rFonts w:ascii="Verdana" w:eastAsia="Century Gothic" w:hAnsi="Verdana" w:cs="Century Gothic"/>
          <w:b/>
          <w:bCs/>
        </w:rPr>
      </w:pPr>
    </w:p>
    <w:p w14:paraId="0A9FBBF3" w14:textId="77777777" w:rsidR="00AA6DD4" w:rsidRPr="00186FA9" w:rsidRDefault="00AA6DD4" w:rsidP="00AA6DD4">
      <w:pPr>
        <w:spacing w:after="0" w:line="276" w:lineRule="auto"/>
        <w:contextualSpacing/>
        <w:rPr>
          <w:rFonts w:ascii="Verdana" w:eastAsia="Century Gothic" w:hAnsi="Verdana" w:cs="Century Gothic"/>
          <w:b/>
          <w:bCs/>
        </w:rPr>
      </w:pPr>
    </w:p>
    <w:p w14:paraId="2CFA21E2" w14:textId="77777777" w:rsidR="00AA6DD4" w:rsidRPr="00186FA9" w:rsidRDefault="00AA6DD4" w:rsidP="00AA6DD4">
      <w:pPr>
        <w:spacing w:after="0" w:line="276" w:lineRule="auto"/>
        <w:contextualSpacing/>
        <w:rPr>
          <w:rFonts w:ascii="Verdana" w:eastAsia="Century Gothic" w:hAnsi="Verdana" w:cs="Century Gothic"/>
          <w:b/>
          <w:bCs/>
        </w:rPr>
      </w:pPr>
    </w:p>
    <w:p w14:paraId="12F2B551" w14:textId="77777777" w:rsidR="00AA6DD4" w:rsidRPr="00186FA9" w:rsidRDefault="00AA6DD4" w:rsidP="00AA6DD4">
      <w:pPr>
        <w:spacing w:after="0" w:line="276" w:lineRule="auto"/>
        <w:contextualSpacing/>
        <w:rPr>
          <w:rFonts w:ascii="Verdana" w:eastAsia="Century Gothic" w:hAnsi="Verdana" w:cs="Century Gothic"/>
          <w:b/>
          <w:bCs/>
        </w:rPr>
      </w:pPr>
    </w:p>
    <w:p w14:paraId="0422B294" w14:textId="77777777" w:rsidR="00AA6DD4" w:rsidRPr="00186FA9" w:rsidRDefault="00AA6DD4" w:rsidP="00AA6DD4">
      <w:pPr>
        <w:spacing w:after="0" w:line="276" w:lineRule="auto"/>
        <w:contextualSpacing/>
        <w:rPr>
          <w:rFonts w:ascii="Verdana" w:eastAsia="Century Gothic" w:hAnsi="Verdana" w:cs="Century Gothic"/>
          <w:b/>
          <w:bCs/>
        </w:rPr>
      </w:pPr>
    </w:p>
    <w:p w14:paraId="42299C8D" w14:textId="77777777" w:rsidR="00AA6DD4" w:rsidRPr="00186FA9" w:rsidRDefault="00AA6DD4" w:rsidP="00AA6DD4">
      <w:pPr>
        <w:spacing w:after="0" w:line="276" w:lineRule="auto"/>
        <w:contextualSpacing/>
        <w:rPr>
          <w:rFonts w:ascii="Verdana" w:eastAsia="Century Gothic" w:hAnsi="Verdana" w:cs="Century Gothic"/>
          <w:b/>
          <w:bCs/>
        </w:rPr>
      </w:pPr>
    </w:p>
    <w:p w14:paraId="51679D52" w14:textId="77777777" w:rsidR="00AA6DD4" w:rsidRPr="00186FA9" w:rsidRDefault="00AA6DD4" w:rsidP="00AA6DD4">
      <w:pPr>
        <w:spacing w:after="0" w:line="276" w:lineRule="auto"/>
        <w:contextualSpacing/>
        <w:rPr>
          <w:rFonts w:ascii="Verdana" w:eastAsia="Century Gothic" w:hAnsi="Verdana" w:cs="Century Gothic"/>
          <w:b/>
          <w:bCs/>
        </w:rPr>
      </w:pPr>
    </w:p>
    <w:p w14:paraId="0F0B334D" w14:textId="77777777" w:rsidR="00AA6DD4" w:rsidRPr="00186FA9" w:rsidRDefault="00AA6DD4" w:rsidP="00AA6DD4">
      <w:pPr>
        <w:spacing w:after="0" w:line="276" w:lineRule="auto"/>
        <w:contextualSpacing/>
        <w:rPr>
          <w:rFonts w:ascii="Verdana" w:eastAsia="Century Gothic" w:hAnsi="Verdana" w:cs="Century Gothic"/>
          <w:b/>
          <w:bCs/>
        </w:rPr>
      </w:pPr>
    </w:p>
    <w:p w14:paraId="3BBBC2A7" w14:textId="77777777" w:rsidR="00AA6DD4" w:rsidRPr="00186FA9" w:rsidRDefault="00AA6DD4" w:rsidP="00AA6DD4">
      <w:pPr>
        <w:spacing w:after="0" w:line="276" w:lineRule="auto"/>
        <w:contextualSpacing/>
        <w:rPr>
          <w:rFonts w:ascii="Verdana" w:eastAsia="Century Gothic" w:hAnsi="Verdana" w:cs="Century Gothic"/>
          <w:b/>
          <w:bCs/>
        </w:rPr>
      </w:pPr>
    </w:p>
    <w:p w14:paraId="4CFE91C2" w14:textId="77777777" w:rsidR="00AA6DD4" w:rsidRDefault="00AA6DD4" w:rsidP="00AA6DD4">
      <w:pPr>
        <w:spacing w:after="0" w:line="276" w:lineRule="auto"/>
        <w:jc w:val="both"/>
        <w:rPr>
          <w:rFonts w:ascii="Verdana" w:hAnsi="Verdana"/>
        </w:rPr>
      </w:pPr>
    </w:p>
    <w:p w14:paraId="5D2AAD78" w14:textId="77777777" w:rsidR="00AA6DD4" w:rsidRDefault="00AA6DD4" w:rsidP="00AA6DD4">
      <w:pPr>
        <w:spacing w:after="0" w:line="276" w:lineRule="auto"/>
        <w:jc w:val="both"/>
        <w:rPr>
          <w:rFonts w:ascii="Verdana" w:hAnsi="Verdana"/>
        </w:rPr>
      </w:pPr>
    </w:p>
    <w:p w14:paraId="494DC74F" w14:textId="77777777" w:rsidR="00AA6DD4" w:rsidRDefault="00AA6DD4" w:rsidP="00AA6DD4">
      <w:pPr>
        <w:spacing w:after="0" w:line="276" w:lineRule="auto"/>
        <w:jc w:val="both"/>
        <w:rPr>
          <w:rFonts w:ascii="Verdana" w:hAnsi="Verdana"/>
        </w:rPr>
      </w:pPr>
      <w:r w:rsidRPr="0044528D">
        <w:rPr>
          <w:rFonts w:ascii="Verdana" w:hAnsi="Verdana"/>
        </w:rPr>
        <w:t>Bogotá D.C., [Día] [</w:t>
      </w:r>
      <w:proofErr w:type="spellStart"/>
      <w:r w:rsidRPr="0044528D">
        <w:rPr>
          <w:rFonts w:ascii="Verdana" w:hAnsi="Verdana"/>
        </w:rPr>
        <w:t>Mes</w:t>
      </w:r>
      <w:r>
        <w:rPr>
          <w:rFonts w:ascii="Verdana" w:hAnsi="Verdana"/>
        </w:rPr>
        <w:t>.</w:t>
      </w:r>
      <w:r w:rsidRPr="0044528D">
        <w:rPr>
          <w:rFonts w:ascii="Verdana" w:hAnsi="Verdana"/>
        </w:rPr>
        <w:t>NombreCapitalizado</w:t>
      </w:r>
      <w:proofErr w:type="spellEnd"/>
      <w:r w:rsidRPr="0044528D">
        <w:rPr>
          <w:rFonts w:ascii="Verdana" w:hAnsi="Verdana"/>
        </w:rPr>
        <w:t>] [Año]</w:t>
      </w:r>
    </w:p>
    <w:p w14:paraId="1B38450C" w14:textId="77777777" w:rsidR="00BB1D1F" w:rsidRDefault="00BB1D1F" w:rsidP="00AA6DD4">
      <w:pPr>
        <w:spacing w:after="0" w:line="276" w:lineRule="auto"/>
        <w:jc w:val="both"/>
        <w:rPr>
          <w:rFonts w:ascii="Verdana" w:hAnsi="Verdana"/>
        </w:rPr>
      </w:pPr>
    </w:p>
    <w:p w14:paraId="7FBA01C0" w14:textId="479C6048" w:rsidR="00BB1D1F" w:rsidRPr="00186FA9" w:rsidRDefault="00BB1D1F" w:rsidP="00BB1D1F">
      <w:pPr>
        <w:spacing w:after="0" w:line="276" w:lineRule="auto"/>
        <w:jc w:val="right"/>
        <w:rPr>
          <w:rFonts w:ascii="Verdana" w:eastAsia="Calibri" w:hAnsi="Verdana" w:cs="Arial"/>
          <w:lang w:eastAsia="es-ES"/>
        </w:rPr>
      </w:pPr>
      <w:r w:rsidRPr="00BB1D1F">
        <w:rPr>
          <w:rFonts w:ascii="Verdana" w:eastAsia="Calibri" w:hAnsi="Verdana" w:cs="Arial"/>
          <w:noProof/>
          <w:lang w:eastAsia="es-ES"/>
        </w:rPr>
        <w:drawing>
          <wp:inline distT="0" distB="0" distL="0" distR="0" wp14:anchorId="552693E1" wp14:editId="691623E8">
            <wp:extent cx="3772426" cy="1057423"/>
            <wp:effectExtent l="0" t="0" r="0" b="9525"/>
            <wp:docPr id="642948986"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2948986" name="Imagen 1" descr="Texto&#10;&#10;Descripción generada automáticamente"/>
                    <pic:cNvPicPr/>
                  </pic:nvPicPr>
                  <pic:blipFill>
                    <a:blip r:embed="rId11"/>
                    <a:stretch>
                      <a:fillRect/>
                    </a:stretch>
                  </pic:blipFill>
                  <pic:spPr>
                    <a:xfrm>
                      <a:off x="0" y="0"/>
                      <a:ext cx="3772426" cy="1057423"/>
                    </a:xfrm>
                    <a:prstGeom prst="rect">
                      <a:avLst/>
                    </a:prstGeom>
                  </pic:spPr>
                </pic:pic>
              </a:graphicData>
            </a:graphic>
          </wp:inline>
        </w:drawing>
      </w:r>
    </w:p>
    <w:p w14:paraId="47E3FF0F" w14:textId="77777777" w:rsidR="00AA6DD4" w:rsidRPr="00186FA9" w:rsidRDefault="00AA6DD4" w:rsidP="00AA6DD4">
      <w:pPr>
        <w:spacing w:after="0" w:line="276" w:lineRule="auto"/>
        <w:jc w:val="both"/>
        <w:rPr>
          <w:rFonts w:ascii="Verdana" w:eastAsia="Calibri" w:hAnsi="Verdana" w:cs="Arial"/>
          <w:lang w:val="es-ES" w:eastAsia="es-ES"/>
        </w:rPr>
      </w:pPr>
    </w:p>
    <w:p w14:paraId="10BCC8BB" w14:textId="77777777" w:rsidR="00AA6DD4" w:rsidRPr="00186FA9" w:rsidRDefault="00AA6DD4" w:rsidP="00AA6DD4">
      <w:pPr>
        <w:spacing w:after="0" w:line="276" w:lineRule="auto"/>
        <w:jc w:val="both"/>
        <w:rPr>
          <w:rFonts w:ascii="Verdana" w:eastAsia="Calibri" w:hAnsi="Verdana" w:cs="Arial"/>
          <w:lang w:val="es-ES" w:eastAsia="es-ES"/>
        </w:rPr>
      </w:pPr>
      <w:r w:rsidRPr="00186FA9">
        <w:rPr>
          <w:rFonts w:ascii="Verdana" w:eastAsia="Calibri" w:hAnsi="Verdana" w:cs="Arial"/>
          <w:lang w:val="es-ES" w:eastAsia="es-ES"/>
        </w:rPr>
        <w:t>Señora</w:t>
      </w:r>
    </w:p>
    <w:p w14:paraId="356D5F16" w14:textId="77777777" w:rsidR="00AA6DD4" w:rsidRPr="00186FA9" w:rsidRDefault="00AA6DD4" w:rsidP="00AA6DD4">
      <w:pPr>
        <w:spacing w:after="0" w:line="276" w:lineRule="auto"/>
        <w:jc w:val="both"/>
        <w:rPr>
          <w:rFonts w:ascii="Verdana" w:eastAsia="Calibri" w:hAnsi="Verdana" w:cs="Arial"/>
          <w:b/>
          <w:bCs/>
          <w:lang w:eastAsia="es-ES_tradnl"/>
        </w:rPr>
      </w:pPr>
      <w:r w:rsidRPr="00186FA9">
        <w:rPr>
          <w:rFonts w:ascii="Verdana" w:eastAsia="Calibri" w:hAnsi="Verdana" w:cs="Arial"/>
          <w:b/>
          <w:bCs/>
          <w:lang w:eastAsia="es-ES_tradnl"/>
        </w:rPr>
        <w:t>JENIFFER SOLANGE CALDERON MESA</w:t>
      </w:r>
    </w:p>
    <w:p w14:paraId="3FE5AED3" w14:textId="77777777" w:rsidR="00AA6DD4" w:rsidRPr="00186FA9" w:rsidRDefault="00F515A5" w:rsidP="00AA6DD4">
      <w:pPr>
        <w:spacing w:after="0" w:line="276" w:lineRule="auto"/>
        <w:jc w:val="both"/>
        <w:rPr>
          <w:rFonts w:ascii="Verdana" w:eastAsia="Calibri" w:hAnsi="Verdana" w:cs="Arial"/>
          <w:lang w:eastAsia="es-ES"/>
        </w:rPr>
      </w:pPr>
      <w:hyperlink r:id="rId12" w:history="1">
        <w:r w:rsidR="00AA6DD4" w:rsidRPr="00186FA9">
          <w:rPr>
            <w:rStyle w:val="Hipervnculo"/>
            <w:rFonts w:ascii="Verdana" w:eastAsia="Calibri" w:hAnsi="Verdana" w:cs="Arial"/>
            <w:lang w:eastAsia="es-ES"/>
          </w:rPr>
          <w:t>jeniffer.calderon.mesa@hotmail.com</w:t>
        </w:r>
      </w:hyperlink>
    </w:p>
    <w:p w14:paraId="6970BAB4" w14:textId="7A25AD52" w:rsidR="00AA6DD4" w:rsidRDefault="00AA6DD4" w:rsidP="00AA6DD4">
      <w:pPr>
        <w:spacing w:after="0" w:line="276" w:lineRule="auto"/>
        <w:jc w:val="both"/>
        <w:rPr>
          <w:rFonts w:ascii="Verdana" w:eastAsia="Calibri" w:hAnsi="Verdana" w:cs="Arial"/>
          <w:lang w:eastAsia="es-ES"/>
        </w:rPr>
      </w:pPr>
      <w:r>
        <w:rPr>
          <w:rFonts w:ascii="Verdana" w:eastAsia="Calibri" w:hAnsi="Verdana" w:cs="Arial"/>
          <w:lang w:eastAsia="es-ES"/>
        </w:rPr>
        <w:t>Casanare</w:t>
      </w:r>
      <w:r w:rsidR="00555923">
        <w:rPr>
          <w:rFonts w:ascii="Verdana" w:eastAsia="Calibri" w:hAnsi="Verdana" w:cs="Arial"/>
          <w:lang w:eastAsia="es-ES"/>
        </w:rPr>
        <w:t xml:space="preserve"> </w:t>
      </w:r>
      <w:bookmarkStart w:id="1" w:name="_GoBack"/>
      <w:bookmarkEnd w:id="1"/>
      <w:r>
        <w:rPr>
          <w:rFonts w:ascii="Verdana" w:eastAsia="Calibri" w:hAnsi="Verdana" w:cs="Arial"/>
          <w:lang w:eastAsia="es-ES"/>
        </w:rPr>
        <w:t>- Yopal</w:t>
      </w:r>
    </w:p>
    <w:p w14:paraId="29A6AC1D" w14:textId="77777777" w:rsidR="00555923" w:rsidRPr="00186FA9" w:rsidRDefault="00555923" w:rsidP="00AA6DD4">
      <w:pPr>
        <w:spacing w:after="0" w:line="276" w:lineRule="auto"/>
        <w:jc w:val="both"/>
        <w:rPr>
          <w:rFonts w:ascii="Verdana" w:eastAsia="Calibri" w:hAnsi="Verdana" w:cs="Arial"/>
          <w:b/>
          <w:bCs/>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AA6DD4" w:rsidRPr="00186FA9" w14:paraId="4124251D" w14:textId="77777777" w:rsidTr="008561AA">
        <w:trPr>
          <w:trHeight w:val="884"/>
        </w:trPr>
        <w:tc>
          <w:tcPr>
            <w:tcW w:w="2689" w:type="dxa"/>
          </w:tcPr>
          <w:p w14:paraId="24B7745E" w14:textId="77777777" w:rsidR="00AA6DD4" w:rsidRPr="00186FA9" w:rsidRDefault="00AA6DD4">
            <w:pPr>
              <w:spacing w:line="276" w:lineRule="auto"/>
              <w:jc w:val="both"/>
              <w:rPr>
                <w:rFonts w:ascii="Verdana" w:eastAsia="Calibri" w:hAnsi="Verdana" w:cs="Arial"/>
                <w:b/>
                <w:bCs/>
                <w:lang w:val="es-ES_tradnl" w:eastAsia="es-ES_tradnl"/>
              </w:rPr>
            </w:pPr>
          </w:p>
        </w:tc>
        <w:tc>
          <w:tcPr>
            <w:tcW w:w="6100" w:type="dxa"/>
          </w:tcPr>
          <w:p w14:paraId="2CF7FFFC" w14:textId="77777777" w:rsidR="00AA6DD4" w:rsidRPr="00186FA9" w:rsidRDefault="00AA6DD4">
            <w:pPr>
              <w:spacing w:line="276" w:lineRule="auto"/>
              <w:jc w:val="both"/>
              <w:rPr>
                <w:rFonts w:ascii="Verdana" w:eastAsia="Calibri" w:hAnsi="Verdana" w:cs="Arial"/>
                <w:b/>
                <w:bCs/>
                <w:lang w:val="es-ES" w:eastAsia="es-ES"/>
              </w:rPr>
            </w:pPr>
            <w:r w:rsidRPr="00186FA9">
              <w:rPr>
                <w:rFonts w:ascii="Verdana" w:eastAsia="Calibri" w:hAnsi="Verdana" w:cs="Arial"/>
                <w:b/>
                <w:bCs/>
                <w:lang w:val="es-ES" w:eastAsia="es-ES"/>
              </w:rPr>
              <w:t>Concepto C- 310 de 2024</w:t>
            </w:r>
          </w:p>
        </w:tc>
      </w:tr>
      <w:tr w:rsidR="00AA6DD4" w:rsidRPr="00186FA9" w14:paraId="7346CBB9" w14:textId="77777777" w:rsidTr="008561AA">
        <w:trPr>
          <w:trHeight w:val="884"/>
        </w:trPr>
        <w:tc>
          <w:tcPr>
            <w:tcW w:w="2689" w:type="dxa"/>
          </w:tcPr>
          <w:p w14:paraId="22B096B7" w14:textId="77777777" w:rsidR="00AA6DD4" w:rsidRPr="00186FA9" w:rsidRDefault="00AA6DD4">
            <w:pPr>
              <w:spacing w:line="276" w:lineRule="auto"/>
              <w:jc w:val="both"/>
              <w:rPr>
                <w:rFonts w:ascii="Verdana" w:eastAsia="Calibri" w:hAnsi="Verdana" w:cs="Arial"/>
                <w:lang w:val="es-ES_tradnl" w:eastAsia="es-ES_tradnl"/>
              </w:rPr>
            </w:pPr>
            <w:r w:rsidRPr="00186FA9">
              <w:rPr>
                <w:rFonts w:ascii="Verdana" w:eastAsia="Calibri" w:hAnsi="Verdana" w:cs="Arial"/>
                <w:b/>
                <w:lang w:val="es-ES_tradnl" w:eastAsia="es-ES_tradnl"/>
              </w:rPr>
              <w:t>Temas:</w:t>
            </w:r>
            <w:r w:rsidRPr="00186FA9">
              <w:rPr>
                <w:rFonts w:ascii="Verdana" w:eastAsia="Calibri" w:hAnsi="Verdana" w:cs="Arial"/>
                <w:lang w:val="es-ES_tradnl" w:eastAsia="es-ES_tradnl"/>
              </w:rPr>
              <w:t xml:space="preserve">                   </w:t>
            </w:r>
          </w:p>
        </w:tc>
        <w:tc>
          <w:tcPr>
            <w:tcW w:w="6100" w:type="dxa"/>
          </w:tcPr>
          <w:p w14:paraId="6B92A167" w14:textId="77777777" w:rsidR="00AA6DD4" w:rsidRPr="00186FA9" w:rsidRDefault="00AA6DD4">
            <w:pPr>
              <w:pStyle w:val="paragraph"/>
              <w:shd w:val="clear" w:color="auto" w:fill="FFFFFF" w:themeFill="background1"/>
              <w:spacing w:after="120" w:line="276" w:lineRule="auto"/>
              <w:jc w:val="both"/>
              <w:textAlignment w:val="baseline"/>
              <w:rPr>
                <w:rFonts w:ascii="Verdana" w:eastAsiaTheme="minorHAnsi" w:hAnsi="Verdana" w:cs="Arial"/>
                <w:b/>
                <w:bCs/>
                <w:color w:val="000000" w:themeColor="text1"/>
                <w:sz w:val="22"/>
                <w:szCs w:val="22"/>
                <w:lang w:val="es-ES_tradnl" w:eastAsia="en-US"/>
              </w:rPr>
            </w:pPr>
            <w:r w:rsidRPr="00186FA9">
              <w:rPr>
                <w:rFonts w:ascii="Verdana" w:eastAsiaTheme="minorHAnsi" w:hAnsi="Verdana" w:cs="Arial"/>
                <w:b/>
                <w:bCs/>
                <w:color w:val="000000" w:themeColor="text1"/>
                <w:sz w:val="22"/>
                <w:szCs w:val="22"/>
                <w:lang w:val="es-ES_tradnl" w:eastAsia="en-US"/>
              </w:rPr>
              <w:t>REQUISITOS HABILITANTES – Noción / REQUISITOS HABILITANTES – Autonomía /</w:t>
            </w:r>
            <w:r w:rsidRPr="00186FA9">
              <w:rPr>
                <w:rFonts w:ascii="Verdana" w:hAnsi="Verdana"/>
                <w:sz w:val="22"/>
                <w:szCs w:val="22"/>
              </w:rPr>
              <w:t xml:space="preserve"> </w:t>
            </w:r>
            <w:r w:rsidRPr="00186FA9">
              <w:rPr>
                <w:rFonts w:ascii="Verdana" w:eastAsiaTheme="minorHAnsi" w:hAnsi="Verdana" w:cs="Arial"/>
                <w:b/>
                <w:bCs/>
                <w:color w:val="000000" w:themeColor="text1"/>
                <w:sz w:val="22"/>
                <w:szCs w:val="22"/>
                <w:lang w:val="es-ES_tradnl" w:eastAsia="en-US"/>
              </w:rPr>
              <w:t>REGISTRO ÚNICO DE PROPONENTES – RUP –Firmeza</w:t>
            </w:r>
          </w:p>
        </w:tc>
      </w:tr>
      <w:tr w:rsidR="00AA6DD4" w:rsidRPr="00186FA9" w14:paraId="529E69A3" w14:textId="77777777" w:rsidTr="008561AA">
        <w:tc>
          <w:tcPr>
            <w:tcW w:w="2689" w:type="dxa"/>
          </w:tcPr>
          <w:p w14:paraId="7E027A34" w14:textId="77777777" w:rsidR="00AA6DD4" w:rsidRPr="00186FA9" w:rsidRDefault="00AA6DD4">
            <w:pPr>
              <w:spacing w:line="276" w:lineRule="auto"/>
              <w:jc w:val="both"/>
              <w:rPr>
                <w:rFonts w:ascii="Verdana" w:eastAsia="Calibri" w:hAnsi="Verdana" w:cs="Arial"/>
                <w:b/>
                <w:lang w:val="es-ES_tradnl" w:eastAsia="es-ES_tradnl"/>
              </w:rPr>
            </w:pPr>
            <w:r w:rsidRPr="00186FA9">
              <w:rPr>
                <w:rFonts w:ascii="Verdana" w:eastAsia="Calibri" w:hAnsi="Verdana" w:cs="Arial"/>
                <w:b/>
                <w:lang w:val="es-ES_tradnl" w:eastAsia="es-ES_tradnl"/>
              </w:rPr>
              <w:t>Radicación:</w:t>
            </w:r>
            <w:r w:rsidRPr="00186FA9">
              <w:rPr>
                <w:rFonts w:ascii="Verdana" w:eastAsia="Calibri" w:hAnsi="Verdana" w:cs="Arial"/>
                <w:lang w:val="es-ES_tradnl" w:eastAsia="es-ES_tradnl"/>
              </w:rPr>
              <w:t xml:space="preserve">               </w:t>
            </w:r>
          </w:p>
        </w:tc>
        <w:tc>
          <w:tcPr>
            <w:tcW w:w="6100" w:type="dxa"/>
          </w:tcPr>
          <w:p w14:paraId="401722CA" w14:textId="77777777" w:rsidR="00AA6DD4" w:rsidRPr="00186FA9" w:rsidRDefault="00AA6DD4">
            <w:pPr>
              <w:spacing w:line="276" w:lineRule="auto"/>
              <w:jc w:val="both"/>
              <w:rPr>
                <w:rFonts w:ascii="Verdana" w:hAnsi="Verdana" w:cs="Arial"/>
              </w:rPr>
            </w:pPr>
            <w:r w:rsidRPr="00186FA9">
              <w:rPr>
                <w:rFonts w:ascii="Verdana" w:hAnsi="Verdana" w:cs="Arial"/>
              </w:rPr>
              <w:t>Respuesta a consulta con radicado No. P20240709006947</w:t>
            </w:r>
          </w:p>
        </w:tc>
      </w:tr>
    </w:tbl>
    <w:p w14:paraId="22476C48" w14:textId="77777777" w:rsidR="00AA6DD4" w:rsidRPr="00186FA9" w:rsidRDefault="00AA6DD4" w:rsidP="00AA6DD4">
      <w:pPr>
        <w:spacing w:after="0" w:line="276" w:lineRule="auto"/>
        <w:jc w:val="both"/>
        <w:rPr>
          <w:rFonts w:ascii="Verdana" w:eastAsia="Calibri" w:hAnsi="Verdana" w:cs="Arial"/>
          <w:lang w:val="es-ES_tradnl" w:eastAsia="es-ES_tradnl"/>
        </w:rPr>
      </w:pPr>
    </w:p>
    <w:p w14:paraId="2911C65F" w14:textId="77777777" w:rsidR="00AA6DD4" w:rsidRPr="00186FA9" w:rsidRDefault="00AA6DD4" w:rsidP="00AA6DD4">
      <w:pPr>
        <w:spacing w:after="0" w:line="276" w:lineRule="auto"/>
        <w:jc w:val="both"/>
        <w:rPr>
          <w:rFonts w:ascii="Verdana" w:eastAsia="Calibri" w:hAnsi="Verdana" w:cs="Arial"/>
          <w:lang w:val="es-ES_tradnl" w:eastAsia="es-ES_tradnl"/>
        </w:rPr>
      </w:pPr>
    </w:p>
    <w:p w14:paraId="29F3F78A" w14:textId="77777777" w:rsidR="00AA6DD4" w:rsidRPr="00186FA9" w:rsidRDefault="00AA6DD4" w:rsidP="00AA6DD4">
      <w:pPr>
        <w:spacing w:after="0" w:line="276" w:lineRule="auto"/>
        <w:jc w:val="both"/>
        <w:rPr>
          <w:rFonts w:ascii="Verdana" w:eastAsia="Calibri" w:hAnsi="Verdana" w:cs="Arial"/>
          <w:lang w:val="es-ES" w:eastAsia="es-ES"/>
        </w:rPr>
      </w:pPr>
      <w:r w:rsidRPr="00186FA9">
        <w:rPr>
          <w:rFonts w:ascii="Verdana" w:eastAsia="Calibri" w:hAnsi="Verdana" w:cs="Arial"/>
          <w:lang w:val="es-ES" w:eastAsia="es-ES"/>
        </w:rPr>
        <w:t xml:space="preserve">Estimada señora </w:t>
      </w:r>
      <w:proofErr w:type="spellStart"/>
      <w:r w:rsidRPr="00186FA9">
        <w:rPr>
          <w:rFonts w:ascii="Verdana" w:eastAsia="Calibri" w:hAnsi="Verdana" w:cs="Arial"/>
          <w:lang w:val="es-ES" w:eastAsia="es-ES"/>
        </w:rPr>
        <w:t>Jeniffer</w:t>
      </w:r>
      <w:proofErr w:type="spellEnd"/>
      <w:r w:rsidRPr="00186FA9">
        <w:rPr>
          <w:rFonts w:ascii="Verdana" w:eastAsia="Calibri" w:hAnsi="Verdana" w:cs="Arial"/>
          <w:lang w:val="es-ES" w:eastAsia="es-ES"/>
        </w:rPr>
        <w:t xml:space="preserve">: </w:t>
      </w:r>
    </w:p>
    <w:p w14:paraId="0F6C387C" w14:textId="77777777" w:rsidR="00AA6DD4" w:rsidRPr="00186FA9" w:rsidRDefault="00AA6DD4" w:rsidP="00AA6DD4">
      <w:pPr>
        <w:tabs>
          <w:tab w:val="left" w:pos="3768"/>
        </w:tabs>
        <w:spacing w:after="0" w:line="276" w:lineRule="auto"/>
        <w:jc w:val="both"/>
        <w:rPr>
          <w:rFonts w:ascii="Verdana" w:eastAsia="Calibri" w:hAnsi="Verdana" w:cs="Arial"/>
          <w:lang w:val="es-ES" w:eastAsia="es-ES"/>
        </w:rPr>
      </w:pPr>
      <w:r w:rsidRPr="00186FA9">
        <w:rPr>
          <w:rFonts w:ascii="Verdana" w:eastAsia="Calibri" w:hAnsi="Verdana" w:cs="Arial"/>
          <w:lang w:val="es-ES" w:eastAsia="es-ES"/>
        </w:rPr>
        <w:tab/>
      </w:r>
    </w:p>
    <w:p w14:paraId="45BFAE3C" w14:textId="77777777" w:rsidR="00AA6DD4" w:rsidRPr="00186FA9" w:rsidRDefault="00AA6DD4" w:rsidP="00AA6DD4">
      <w:pPr>
        <w:spacing w:after="0" w:line="276" w:lineRule="auto"/>
        <w:jc w:val="both"/>
        <w:rPr>
          <w:rFonts w:ascii="Verdana" w:eastAsia="Calibri" w:hAnsi="Verdana" w:cs="Arial"/>
          <w:lang w:val="es-ES" w:eastAsia="es-ES"/>
        </w:rPr>
      </w:pPr>
      <w:r w:rsidRPr="00186FA9">
        <w:rPr>
          <w:rFonts w:ascii="Verdana" w:eastAsia="Calibri" w:hAnsi="Verdana" w:cs="Arial"/>
          <w:lang w:val="es-ES" w:eastAsia="es-ES"/>
        </w:rPr>
        <w:t>En ejercicio de la competencia otorgada por los artículos 3, numeral 5º, y 11, numeral 8º, del Decreto Ley 4170 de 2011,</w:t>
      </w:r>
      <w:r w:rsidRPr="00186FA9">
        <w:rPr>
          <w:rFonts w:ascii="Verdana" w:eastAsia="Arial MT" w:hAnsi="Verdana" w:cs="Arial MT"/>
          <w:lang w:val="es-ES" w:eastAsia="es-ES"/>
        </w:rPr>
        <w:t xml:space="preserve"> </w:t>
      </w:r>
      <w:r w:rsidRPr="00186FA9">
        <w:rPr>
          <w:rFonts w:ascii="Verdana" w:hAnsi="Verdana" w:cs="Arial"/>
        </w:rPr>
        <w:t xml:space="preserve">así como lo establecido en el artículo 4 de la Resolución 1707 de 2018 expedida por esta Entidad, </w:t>
      </w:r>
      <w:r w:rsidRPr="00186FA9">
        <w:rPr>
          <w:rFonts w:ascii="Verdana" w:eastAsia="Calibri" w:hAnsi="Verdana" w:cs="Arial"/>
          <w:lang w:val="es-ES" w:eastAsia="es-ES"/>
        </w:rPr>
        <w:t xml:space="preserve">la Agencia Nacional de Contratación Pública – Colombia Compra Eficiente– responde su solicitud de consulta de fecha 9 de julio de 2024, en la cual manifiesta lo siguiente: </w:t>
      </w:r>
    </w:p>
    <w:p w14:paraId="658C0EAF" w14:textId="77777777" w:rsidR="00AA6DD4" w:rsidRPr="00186FA9" w:rsidRDefault="00AA6DD4" w:rsidP="00AA6DD4">
      <w:pPr>
        <w:pStyle w:val="Prrafodelista"/>
        <w:tabs>
          <w:tab w:val="left" w:pos="142"/>
          <w:tab w:val="left" w:pos="284"/>
        </w:tabs>
        <w:spacing w:line="276" w:lineRule="auto"/>
        <w:ind w:left="0"/>
        <w:jc w:val="both"/>
        <w:rPr>
          <w:rFonts w:ascii="Verdana" w:hAnsi="Verdana" w:cs="Arial"/>
        </w:rPr>
      </w:pPr>
    </w:p>
    <w:p w14:paraId="491C3613" w14:textId="77777777" w:rsidR="00AA6DD4" w:rsidRPr="00186FA9" w:rsidRDefault="00AA6DD4" w:rsidP="00AA6DD4">
      <w:pPr>
        <w:autoSpaceDE w:val="0"/>
        <w:autoSpaceDN w:val="0"/>
        <w:adjustRightInd w:val="0"/>
        <w:spacing w:after="0" w:line="276" w:lineRule="auto"/>
        <w:ind w:left="709" w:right="709"/>
        <w:jc w:val="both"/>
        <w:rPr>
          <w:rFonts w:ascii="Verdana" w:hAnsi="Verdana" w:cs="Arial"/>
        </w:rPr>
      </w:pPr>
      <w:bookmarkStart w:id="2" w:name="_Hlk95313578"/>
      <w:r w:rsidRPr="00186FA9">
        <w:rPr>
          <w:rFonts w:ascii="Verdana" w:hAnsi="Verdana" w:cs="Arial"/>
        </w:rPr>
        <w:t>“</w:t>
      </w:r>
      <w:bookmarkEnd w:id="2"/>
      <w:r w:rsidRPr="00186FA9">
        <w:rPr>
          <w:rFonts w:ascii="Verdana" w:hAnsi="Verdana" w:cs="Arial"/>
        </w:rPr>
        <w:t xml:space="preserve">Actualice mi </w:t>
      </w:r>
      <w:proofErr w:type="gramStart"/>
      <w:r w:rsidRPr="00186FA9">
        <w:rPr>
          <w:rFonts w:ascii="Verdana" w:hAnsi="Verdana" w:cs="Arial"/>
        </w:rPr>
        <w:t>RUP</w:t>
      </w:r>
      <w:proofErr w:type="gramEnd"/>
      <w:r w:rsidRPr="00186FA9">
        <w:rPr>
          <w:rFonts w:ascii="Verdana" w:hAnsi="Verdana" w:cs="Arial"/>
        </w:rPr>
        <w:t xml:space="preserve"> pero adquiere la firmeza después de presentada la oferta en el proceso de concurso de méritos abierto, sería rechazada mi oferta?”</w:t>
      </w:r>
    </w:p>
    <w:p w14:paraId="5A536353" w14:textId="77777777" w:rsidR="00AA6DD4" w:rsidRPr="00186FA9" w:rsidRDefault="00AA6DD4" w:rsidP="00AA6DD4">
      <w:pPr>
        <w:pStyle w:val="Prrafodelista"/>
        <w:tabs>
          <w:tab w:val="left" w:pos="142"/>
          <w:tab w:val="left" w:pos="284"/>
        </w:tabs>
        <w:spacing w:line="276" w:lineRule="auto"/>
        <w:ind w:left="0"/>
        <w:jc w:val="both"/>
        <w:rPr>
          <w:rFonts w:ascii="Verdana" w:eastAsia="Century Gothic" w:hAnsi="Verdana" w:cs="Century Gothic"/>
          <w:b/>
          <w:bCs/>
        </w:rPr>
      </w:pPr>
    </w:p>
    <w:p w14:paraId="4C163A9F" w14:textId="77777777" w:rsidR="00AA6DD4" w:rsidRPr="00186FA9" w:rsidRDefault="00AA6DD4" w:rsidP="00AA6DD4">
      <w:pPr>
        <w:spacing w:after="120" w:line="276" w:lineRule="auto"/>
        <w:ind w:firstLine="709"/>
        <w:jc w:val="both"/>
        <w:rPr>
          <w:rFonts w:ascii="Verdana" w:eastAsia="Calibri" w:hAnsi="Verdana" w:cs="Arial"/>
          <w:lang w:val="es-ES_tradnl" w:eastAsia="es-ES_tradnl"/>
        </w:rPr>
      </w:pPr>
      <w:r w:rsidRPr="00186FA9">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186FA9">
        <w:rPr>
          <w:rFonts w:ascii="Verdana" w:eastAsia="Calibri" w:hAnsi="Verdana" w:cs="Arial"/>
          <w:lang w:val="es-ES_tradnl" w:eastAsia="es-ES_tradnl"/>
        </w:rPr>
        <w:tab/>
      </w:r>
    </w:p>
    <w:p w14:paraId="0BD3CCF1" w14:textId="77777777" w:rsidR="00AA6DD4" w:rsidRPr="00186FA9" w:rsidRDefault="00AA6DD4" w:rsidP="00AA6DD4">
      <w:pPr>
        <w:spacing w:after="0" w:line="276" w:lineRule="auto"/>
        <w:ind w:firstLine="709"/>
        <w:jc w:val="both"/>
        <w:rPr>
          <w:rFonts w:ascii="Verdana" w:eastAsia="Calibri" w:hAnsi="Verdana" w:cs="Arial"/>
          <w:lang w:val="es-ES" w:eastAsia="es-ES"/>
        </w:rPr>
      </w:pPr>
      <w:r w:rsidRPr="00186FA9">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5769F199" w14:textId="77777777" w:rsidR="00AA6DD4" w:rsidRPr="00186FA9" w:rsidRDefault="00AA6DD4" w:rsidP="00AA6DD4">
      <w:pPr>
        <w:spacing w:after="0" w:line="276" w:lineRule="auto"/>
        <w:ind w:firstLine="709"/>
        <w:jc w:val="both"/>
        <w:rPr>
          <w:rFonts w:ascii="Verdana" w:eastAsia="Calibri" w:hAnsi="Verdana" w:cs="Arial"/>
          <w:lang w:val="es-ES" w:eastAsia="es-ES"/>
        </w:rPr>
      </w:pPr>
    </w:p>
    <w:p w14:paraId="16664F54" w14:textId="77777777" w:rsidR="00AA6DD4" w:rsidRPr="00186FA9" w:rsidRDefault="00AA6DD4" w:rsidP="00AA6DD4">
      <w:pPr>
        <w:pStyle w:val="Prrafodelista"/>
        <w:numPr>
          <w:ilvl w:val="0"/>
          <w:numId w:val="4"/>
        </w:numPr>
        <w:tabs>
          <w:tab w:val="left" w:pos="142"/>
          <w:tab w:val="left" w:pos="284"/>
        </w:tabs>
        <w:spacing w:after="0" w:line="276" w:lineRule="auto"/>
        <w:ind w:left="0" w:firstLine="0"/>
        <w:jc w:val="both"/>
        <w:rPr>
          <w:rFonts w:ascii="Verdana" w:eastAsia="Century Gothic" w:hAnsi="Verdana" w:cs="Century Gothic"/>
          <w:b/>
          <w:bCs/>
        </w:rPr>
      </w:pPr>
      <w:r w:rsidRPr="00186FA9">
        <w:rPr>
          <w:rFonts w:ascii="Verdana" w:eastAsia="Century Gothic" w:hAnsi="Verdana" w:cs="Century Gothic"/>
          <w:b/>
          <w:bCs/>
        </w:rPr>
        <w:t>Problema planteado:</w:t>
      </w:r>
    </w:p>
    <w:p w14:paraId="6DFE0DB3" w14:textId="77777777" w:rsidR="00AA6DD4" w:rsidRPr="00186FA9" w:rsidRDefault="00AA6DD4" w:rsidP="00AA6DD4">
      <w:pPr>
        <w:tabs>
          <w:tab w:val="left" w:pos="426"/>
        </w:tabs>
        <w:spacing w:after="0" w:line="276" w:lineRule="auto"/>
        <w:jc w:val="both"/>
        <w:rPr>
          <w:rFonts w:ascii="Verdana" w:eastAsia="Century Gothic" w:hAnsi="Verdana" w:cs="Century Gothic"/>
          <w:lang w:val="es-ES"/>
        </w:rPr>
      </w:pPr>
    </w:p>
    <w:p w14:paraId="4660711B" w14:textId="77777777" w:rsidR="00AA6DD4" w:rsidRPr="00186FA9" w:rsidRDefault="00AA6DD4" w:rsidP="00AA6DD4">
      <w:pPr>
        <w:spacing w:after="0" w:line="276" w:lineRule="auto"/>
        <w:jc w:val="both"/>
        <w:rPr>
          <w:rFonts w:ascii="Verdana" w:eastAsia="Century Gothic" w:hAnsi="Verdana" w:cs="Century Gothic"/>
        </w:rPr>
      </w:pPr>
      <w:r w:rsidRPr="00186FA9">
        <w:rPr>
          <w:rFonts w:ascii="Verdana" w:eastAsia="Century Gothic" w:hAnsi="Verdana" w:cs="Century Gothic"/>
        </w:rPr>
        <w:t>De acuerdo con el contenido de su solicitud, esta Agencia resolverá el siguiente problema jurídico: ¿</w:t>
      </w:r>
      <w:r w:rsidRPr="00186FA9">
        <w:rPr>
          <w:rFonts w:ascii="Verdana" w:hAnsi="Verdana" w:cs="Arial"/>
        </w:rPr>
        <w:t xml:space="preserve">Se puede rechazar la oferta si se solicitó la actualización del </w:t>
      </w:r>
      <w:proofErr w:type="gramStart"/>
      <w:r w:rsidRPr="00186FA9">
        <w:rPr>
          <w:rFonts w:ascii="Verdana" w:hAnsi="Verdana" w:cs="Arial"/>
        </w:rPr>
        <w:t>RUP</w:t>
      </w:r>
      <w:proofErr w:type="gramEnd"/>
      <w:r>
        <w:rPr>
          <w:rFonts w:ascii="Verdana" w:hAnsi="Verdana" w:cs="Arial"/>
        </w:rPr>
        <w:t xml:space="preserve"> </w:t>
      </w:r>
      <w:r w:rsidRPr="00186FA9">
        <w:rPr>
          <w:rFonts w:ascii="Verdana" w:hAnsi="Verdana" w:cs="Arial"/>
        </w:rPr>
        <w:t>pero no está en firme?</w:t>
      </w:r>
    </w:p>
    <w:p w14:paraId="7CDFF3FE" w14:textId="77777777" w:rsidR="00AA6DD4" w:rsidRPr="00186FA9" w:rsidRDefault="00AA6DD4" w:rsidP="00AA6DD4">
      <w:pPr>
        <w:spacing w:after="0" w:line="276" w:lineRule="auto"/>
        <w:jc w:val="both"/>
        <w:rPr>
          <w:rFonts w:ascii="Verdana" w:eastAsia="Calibri" w:hAnsi="Verdana" w:cs="Arial"/>
          <w:lang w:val="es-ES"/>
        </w:rPr>
      </w:pPr>
    </w:p>
    <w:p w14:paraId="36A059A6" w14:textId="77777777" w:rsidR="00AA6DD4" w:rsidRPr="00186FA9" w:rsidRDefault="00AA6DD4" w:rsidP="00AA6DD4">
      <w:pPr>
        <w:pStyle w:val="Prrafodelista"/>
        <w:numPr>
          <w:ilvl w:val="0"/>
          <w:numId w:val="4"/>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186FA9">
        <w:rPr>
          <w:rFonts w:ascii="Verdana" w:eastAsia="Century Gothic" w:hAnsi="Verdana" w:cs="Century Gothic"/>
          <w:b/>
          <w:bCs/>
        </w:rPr>
        <w:t>Respuesta:</w:t>
      </w:r>
    </w:p>
    <w:p w14:paraId="409C113E" w14:textId="77777777" w:rsidR="00AA6DD4" w:rsidRPr="00186FA9" w:rsidRDefault="00AA6DD4" w:rsidP="00AA6DD4">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AA6DD4" w:rsidRPr="00186FA9" w14:paraId="5CD956DD" w14:textId="77777777">
        <w:trPr>
          <w:trHeight w:val="1217"/>
        </w:trPr>
        <w:tc>
          <w:tcPr>
            <w:tcW w:w="8828" w:type="dxa"/>
            <w:shd w:val="clear" w:color="auto" w:fill="auto"/>
          </w:tcPr>
          <w:p w14:paraId="3E4E4C7E" w14:textId="77777777" w:rsidR="00AA6DD4" w:rsidRPr="00186FA9" w:rsidRDefault="00AA6DD4">
            <w:pPr>
              <w:spacing w:line="276" w:lineRule="auto"/>
              <w:contextualSpacing/>
              <w:jc w:val="both"/>
              <w:rPr>
                <w:rFonts w:ascii="Verdana" w:eastAsia="Century Gothic" w:hAnsi="Verdana" w:cs="Century Gothic"/>
              </w:rPr>
            </w:pPr>
            <w:r w:rsidRPr="00186FA9">
              <w:rPr>
                <w:rFonts w:ascii="Verdana" w:eastAsia="Century Gothic" w:hAnsi="Verdana" w:cs="Century Gothic"/>
              </w:rPr>
              <w:lastRenderedPageBreak/>
              <w:t xml:space="preserve">Respecto al trámite administrativo de la actualización, se debe precisar que, si la actualización no estaba en firme para el momento del cierre del proceso, en la evaluación se tendrá en cuenta únicamente la información que estaba en firme para dicho momento. </w:t>
            </w:r>
            <w:r>
              <w:rPr>
                <w:rFonts w:ascii="Verdana" w:eastAsia="Century Gothic" w:hAnsi="Verdana" w:cs="Century Gothic"/>
              </w:rPr>
              <w:t>No es viable</w:t>
            </w:r>
            <w:r w:rsidRPr="00186FA9">
              <w:rPr>
                <w:rFonts w:ascii="Verdana" w:eastAsia="Century Gothic" w:hAnsi="Verdana" w:cs="Century Gothic"/>
              </w:rPr>
              <w:t xml:space="preserve"> rechazar la oferta bajo el argumento de que la actualización no está en firme –como si no hubiera una inscripción vigente en el RUP–, pues simplemente se debe evaluar la oferta prescindiendo de la nueva información incluida –que no adquirió firmeza–, pues, aunque la nueva información –actualización– esté pendiente de adquirir firmeza, para el momento del cierre del proceso el oferente tenía su inscripción vigente y en firme. De esta manera el trámite de actualización no hace que los efectos del RUP cesen momentáneamente –mientras adquiere firmeza–, sino, simplemente, que la nueva información contenida solo se podrá considerar si estaba en firme para el momento del cierre del proceso, pues no se pueden acreditar circunstancias ocurridas con posterioridad a dicho momento.</w:t>
            </w:r>
          </w:p>
        </w:tc>
      </w:tr>
    </w:tbl>
    <w:p w14:paraId="18E63501" w14:textId="77777777" w:rsidR="00AA6DD4" w:rsidRPr="00186FA9" w:rsidRDefault="00AA6DD4" w:rsidP="00AA6DD4">
      <w:pPr>
        <w:tabs>
          <w:tab w:val="left" w:pos="142"/>
          <w:tab w:val="left" w:pos="284"/>
        </w:tabs>
        <w:spacing w:after="0" w:line="276" w:lineRule="auto"/>
        <w:jc w:val="both"/>
        <w:rPr>
          <w:rFonts w:ascii="Verdana" w:eastAsia="Century Gothic" w:hAnsi="Verdana" w:cs="Century Gothic"/>
          <w:b/>
          <w:bCs/>
          <w:lang w:val="es-ES"/>
        </w:rPr>
      </w:pPr>
    </w:p>
    <w:p w14:paraId="528C1D3C" w14:textId="77777777" w:rsidR="00AA6DD4" w:rsidRPr="00186FA9" w:rsidRDefault="00AA6DD4" w:rsidP="00AA6DD4">
      <w:pPr>
        <w:spacing w:after="120" w:line="276" w:lineRule="auto"/>
        <w:ind w:firstLine="708"/>
        <w:jc w:val="both"/>
        <w:rPr>
          <w:rFonts w:ascii="Verdana" w:hAnsi="Verdana" w:cs="Arial"/>
          <w:color w:val="000000" w:themeColor="text1"/>
        </w:rPr>
      </w:pPr>
      <w:r w:rsidRPr="00186FA9">
        <w:rPr>
          <w:rFonts w:ascii="Verdana" w:eastAsia="Century Gothic" w:hAnsi="Verdana" w:cs="Century Gothic"/>
          <w:b/>
          <w:bCs/>
        </w:rPr>
        <w:t>Razones de la respuesta:</w:t>
      </w:r>
      <w:r w:rsidRPr="00186FA9">
        <w:rPr>
          <w:rFonts w:ascii="Verdana" w:hAnsi="Verdana" w:cs="Arial"/>
          <w:color w:val="000000" w:themeColor="text1"/>
        </w:rPr>
        <w:t xml:space="preserve"> </w:t>
      </w:r>
    </w:p>
    <w:p w14:paraId="644A77A3" w14:textId="77777777" w:rsidR="00AA6DD4" w:rsidRPr="00186FA9" w:rsidRDefault="00AA6DD4" w:rsidP="00AA6DD4">
      <w:pPr>
        <w:spacing w:after="120" w:line="276" w:lineRule="auto"/>
        <w:ind w:firstLine="708"/>
        <w:jc w:val="both"/>
        <w:rPr>
          <w:rFonts w:ascii="Verdana" w:eastAsia="Calibri" w:hAnsi="Verdana" w:cs="Arial"/>
          <w:lang w:val="es-ES"/>
        </w:rPr>
      </w:pPr>
      <w:r w:rsidRPr="00186FA9">
        <w:rPr>
          <w:rFonts w:ascii="Verdana" w:eastAsia="Calibri" w:hAnsi="Verdana" w:cs="Arial"/>
          <w:lang w:val="es-ES"/>
        </w:rPr>
        <w:t>Lo anterior se sustenta en las siguientes consideraciones:</w:t>
      </w:r>
    </w:p>
    <w:p w14:paraId="17DC9730" w14:textId="77777777" w:rsidR="00AA6DD4" w:rsidRPr="00186FA9" w:rsidRDefault="00AA6DD4" w:rsidP="00AA6DD4">
      <w:pPr>
        <w:spacing w:after="120" w:line="276" w:lineRule="auto"/>
        <w:ind w:firstLine="708"/>
        <w:jc w:val="both"/>
        <w:rPr>
          <w:rFonts w:ascii="Verdana" w:eastAsia="Calibri" w:hAnsi="Verdana" w:cs="Arial"/>
          <w:lang w:val="es-ES"/>
        </w:rPr>
      </w:pPr>
    </w:p>
    <w:p w14:paraId="04A0C04B" w14:textId="77777777" w:rsidR="00AA6DD4" w:rsidRPr="00186FA9" w:rsidRDefault="00AA6DD4" w:rsidP="00AA6DD4">
      <w:pPr>
        <w:pStyle w:val="Prrafodelista"/>
        <w:numPr>
          <w:ilvl w:val="0"/>
          <w:numId w:val="20"/>
        </w:numPr>
        <w:spacing w:line="276" w:lineRule="auto"/>
        <w:jc w:val="both"/>
        <w:rPr>
          <w:rFonts w:ascii="Verdana" w:eastAsia="Century Gothic" w:hAnsi="Verdana" w:cs="Century Gothic"/>
          <w:color w:val="000000" w:themeColor="text1"/>
        </w:rPr>
      </w:pPr>
      <w:r w:rsidRPr="00186FA9">
        <w:rPr>
          <w:rFonts w:ascii="Verdana" w:eastAsia="Century Gothic" w:hAnsi="Verdana" w:cs="Century Gothic"/>
          <w:color w:val="000000" w:themeColor="text1"/>
        </w:rPr>
        <w:t xml:space="preserve">Los </w:t>
      </w:r>
      <w:r w:rsidRPr="00186FA9">
        <w:rPr>
          <w:rFonts w:ascii="Verdana" w:eastAsia="Century Gothic" w:hAnsi="Verdana" w:cs="Century Gothic"/>
          <w:i/>
          <w:iCs/>
          <w:color w:val="000000" w:themeColor="text1"/>
        </w:rPr>
        <w:t>requisitos habilitantes</w:t>
      </w:r>
      <w:r w:rsidRPr="00186FA9">
        <w:rPr>
          <w:rFonts w:ascii="Verdana" w:eastAsia="Century Gothic" w:hAnsi="Verdana" w:cs="Century Gothic"/>
          <w:color w:val="000000" w:themeColor="text1"/>
        </w:rPr>
        <w:t xml:space="preserve"> se definen como exigencias de participación en los procedimientos de selección, establecidos en disposiciones normativas, de carácter legal o reglamentario, o las contenidas en el acto administrativo que regula las reglas de la convocatoria, es decir, en el pliego de condiciones o el documento equivalente a este. Se diferencian de los </w:t>
      </w:r>
      <w:r w:rsidRPr="00186FA9">
        <w:rPr>
          <w:rFonts w:ascii="Verdana" w:eastAsia="Century Gothic" w:hAnsi="Verdana" w:cs="Century Gothic"/>
          <w:i/>
          <w:iCs/>
          <w:color w:val="000000" w:themeColor="text1"/>
        </w:rPr>
        <w:t>criterios de evaluación</w:t>
      </w:r>
      <w:r w:rsidRPr="00186FA9">
        <w:rPr>
          <w:rFonts w:ascii="Verdana" w:eastAsia="Century Gothic" w:hAnsi="Verdana" w:cs="Century Gothic"/>
          <w:color w:val="000000" w:themeColor="text1"/>
        </w:rPr>
        <w:t xml:space="preserve"> –también conocidos como </w:t>
      </w:r>
      <w:r w:rsidRPr="00186FA9">
        <w:rPr>
          <w:rFonts w:ascii="Verdana" w:eastAsia="Century Gothic" w:hAnsi="Verdana" w:cs="Century Gothic"/>
          <w:i/>
          <w:iCs/>
          <w:color w:val="000000" w:themeColor="text1"/>
        </w:rPr>
        <w:t>criterios de calificación</w:t>
      </w:r>
      <w:r w:rsidRPr="00186FA9">
        <w:rPr>
          <w:rFonts w:ascii="Verdana" w:eastAsia="Century Gothic" w:hAnsi="Verdana" w:cs="Century Gothic"/>
          <w:color w:val="000000" w:themeColor="text1"/>
        </w:rPr>
        <w:t xml:space="preserve">– en que estos son los factores definidos por la Entidad Estatal para la asignación de puntaje en el momento de la comparación de las ofertas, y que, a partir de su ponderación, permiten establecer el orden de elegibilidad y, por ende, la propuesta ganadora. </w:t>
      </w:r>
    </w:p>
    <w:p w14:paraId="25FDA509" w14:textId="77777777" w:rsidR="00AA6DD4" w:rsidRPr="00186FA9" w:rsidRDefault="00AA6DD4" w:rsidP="00AA6DD4">
      <w:pPr>
        <w:pStyle w:val="Prrafodelista"/>
        <w:numPr>
          <w:ilvl w:val="0"/>
          <w:numId w:val="20"/>
        </w:numPr>
        <w:spacing w:line="276" w:lineRule="auto"/>
        <w:jc w:val="both"/>
        <w:rPr>
          <w:rFonts w:ascii="Verdana" w:eastAsia="Century Gothic" w:hAnsi="Verdana" w:cs="Century Gothic"/>
          <w:color w:val="000000" w:themeColor="text1"/>
        </w:rPr>
      </w:pPr>
      <w:r w:rsidRPr="00186FA9">
        <w:rPr>
          <w:rFonts w:ascii="Verdana" w:eastAsia="Century Gothic" w:hAnsi="Verdana" w:cs="Century Gothic"/>
          <w:color w:val="000000" w:themeColor="text1"/>
        </w:rPr>
        <w:t xml:space="preserve">A partir de lo dicho se deduce que los requisitos habilitantes, si bien constituyen obligaciones que los proponentes deben cumplir y acreditar para participar en el procedimiento de selección, no se valoran con un puntaje que determine el orden de escogencia, sino que se analizan como criterios previos a la evaluación en sentido estricto, de manera que </w:t>
      </w:r>
      <w:r w:rsidRPr="00186FA9">
        <w:rPr>
          <w:rFonts w:ascii="Verdana" w:eastAsia="Century Gothic" w:hAnsi="Verdana" w:cs="Century Gothic"/>
          <w:color w:val="000000" w:themeColor="text1"/>
        </w:rPr>
        <w:lastRenderedPageBreak/>
        <w:t>quienes no los reúnan no pueden continuar en el procedimiento de selección, o sea, incurren en causal de rechazo. Esto sin perjuicio del derecho que tienen los oferentes de subsanar los defectos que se presenten en la prueba de tales requisitos, de conformidad con el artículo 5, parágrafos 1º al 4º, de la Ley 1150 de 2007.</w:t>
      </w:r>
    </w:p>
    <w:p w14:paraId="0EB10F0F" w14:textId="77777777" w:rsidR="00AA6DD4" w:rsidRPr="00186FA9" w:rsidRDefault="00AA6DD4" w:rsidP="00AA6DD4">
      <w:pPr>
        <w:pStyle w:val="Prrafodelista"/>
        <w:numPr>
          <w:ilvl w:val="0"/>
          <w:numId w:val="20"/>
        </w:numPr>
        <w:spacing w:after="120" w:line="276" w:lineRule="auto"/>
        <w:jc w:val="both"/>
        <w:rPr>
          <w:rFonts w:ascii="Verdana" w:eastAsia="Century Gothic" w:hAnsi="Verdana" w:cs="Century Gothic"/>
          <w:color w:val="000000" w:themeColor="text1"/>
        </w:rPr>
      </w:pPr>
      <w:r w:rsidRPr="00186FA9">
        <w:rPr>
          <w:rFonts w:ascii="Verdana" w:eastAsia="Century Gothic" w:hAnsi="Verdana" w:cs="Century Gothic"/>
          <w:color w:val="000000" w:themeColor="text1"/>
        </w:rPr>
        <w:t>El mencionado artículo dispone que se considera objetiva la selección en la cual la escogencia se haga al ofrecimiento más favorable a la entidad y a los fines que ella busca, sin tener en consideración factores de afecto o de interés y, en general, cualquier clase de motivación subjetiva</w:t>
      </w:r>
      <w:r w:rsidRPr="00186FA9">
        <w:rPr>
          <w:rFonts w:ascii="Verdana" w:eastAsia="Century Gothic" w:hAnsi="Verdana" w:cs="Century Gothic"/>
          <w:i/>
          <w:iCs/>
          <w:color w:val="000000" w:themeColor="text1"/>
        </w:rPr>
        <w:t>.</w:t>
      </w:r>
      <w:r w:rsidRPr="00186FA9">
        <w:rPr>
          <w:rFonts w:ascii="Verdana" w:eastAsia="Century Gothic" w:hAnsi="Verdana" w:cs="Century Gothic"/>
          <w:color w:val="000000" w:themeColor="text1"/>
        </w:rPr>
        <w:t xml:space="preserve"> En ese contexto, los factores de escogencia y calificación que establezcan las Entidades en los pliegos de condiciones o en sus documentos equivalentes deberán tener en cuenta, entre otras cuestiones, los criterios establecidos en dicha disposición. Específicamente, el numeral 1º del artículo referido establece que en los procesos de selección de contratistas serán objeto de verificación, como requisitos habilitantes, </w:t>
      </w:r>
      <w:r w:rsidRPr="00186FA9">
        <w:rPr>
          <w:rFonts w:ascii="Verdana" w:eastAsia="Century Gothic" w:hAnsi="Verdana" w:cs="Century Gothic"/>
          <w:i/>
          <w:iCs/>
          <w:color w:val="000000" w:themeColor="text1"/>
        </w:rPr>
        <w:t>entre otros</w:t>
      </w:r>
      <w:r w:rsidRPr="00186FA9">
        <w:rPr>
          <w:rFonts w:ascii="Verdana" w:eastAsia="Century Gothic" w:hAnsi="Verdana" w:cs="Century Gothic"/>
          <w:color w:val="000000" w:themeColor="text1"/>
        </w:rPr>
        <w:t xml:space="preserve">, los siguientes: i) la capacidad jurídica; </w:t>
      </w:r>
      <w:proofErr w:type="spellStart"/>
      <w:r w:rsidRPr="00186FA9">
        <w:rPr>
          <w:rFonts w:ascii="Verdana" w:eastAsia="Century Gothic" w:hAnsi="Verdana" w:cs="Century Gothic"/>
          <w:color w:val="000000" w:themeColor="text1"/>
        </w:rPr>
        <w:t>ii</w:t>
      </w:r>
      <w:proofErr w:type="spellEnd"/>
      <w:r w:rsidRPr="00186FA9">
        <w:rPr>
          <w:rFonts w:ascii="Verdana" w:eastAsia="Century Gothic" w:hAnsi="Verdana" w:cs="Century Gothic"/>
          <w:color w:val="000000" w:themeColor="text1"/>
        </w:rPr>
        <w:t xml:space="preserve">) la experiencia; </w:t>
      </w:r>
      <w:proofErr w:type="spellStart"/>
      <w:r w:rsidRPr="00186FA9">
        <w:rPr>
          <w:rFonts w:ascii="Verdana" w:eastAsia="Century Gothic" w:hAnsi="Verdana" w:cs="Century Gothic"/>
          <w:color w:val="000000" w:themeColor="text1"/>
        </w:rPr>
        <w:t>iii</w:t>
      </w:r>
      <w:proofErr w:type="spellEnd"/>
      <w:r w:rsidRPr="00186FA9">
        <w:rPr>
          <w:rFonts w:ascii="Verdana" w:eastAsia="Century Gothic" w:hAnsi="Verdana" w:cs="Century Gothic"/>
          <w:color w:val="000000" w:themeColor="text1"/>
        </w:rPr>
        <w:t xml:space="preserve">) la capacidad financiera y </w:t>
      </w:r>
      <w:proofErr w:type="spellStart"/>
      <w:r w:rsidRPr="00186FA9">
        <w:rPr>
          <w:rFonts w:ascii="Verdana" w:eastAsia="Century Gothic" w:hAnsi="Verdana" w:cs="Century Gothic"/>
          <w:color w:val="000000" w:themeColor="text1"/>
        </w:rPr>
        <w:t>iv</w:t>
      </w:r>
      <w:proofErr w:type="spellEnd"/>
      <w:r w:rsidRPr="00186FA9">
        <w:rPr>
          <w:rFonts w:ascii="Verdana" w:eastAsia="Century Gothic" w:hAnsi="Verdana" w:cs="Century Gothic"/>
          <w:color w:val="000000" w:themeColor="text1"/>
        </w:rPr>
        <w:t>) la capacidad de organización.</w:t>
      </w:r>
    </w:p>
    <w:p w14:paraId="399B5C2F" w14:textId="77777777" w:rsidR="00AA6DD4" w:rsidRPr="00186FA9" w:rsidRDefault="00AA6DD4" w:rsidP="00AA6DD4">
      <w:pPr>
        <w:pStyle w:val="Prrafodelista"/>
        <w:numPr>
          <w:ilvl w:val="0"/>
          <w:numId w:val="20"/>
        </w:numPr>
        <w:spacing w:line="276" w:lineRule="auto"/>
        <w:jc w:val="both"/>
        <w:rPr>
          <w:rFonts w:ascii="Verdana" w:eastAsia="Century Gothic" w:hAnsi="Verdana" w:cs="Century Gothic"/>
          <w:color w:val="000000" w:themeColor="text1"/>
        </w:rPr>
      </w:pPr>
      <w:r w:rsidRPr="00186FA9">
        <w:rPr>
          <w:rFonts w:ascii="Verdana" w:eastAsia="Century Gothic" w:hAnsi="Verdana" w:cs="Century Gothic"/>
          <w:color w:val="000000" w:themeColor="text1"/>
        </w:rPr>
        <w:t xml:space="preserve">Esta Agencia puso a disposición de los interesados el </w:t>
      </w:r>
      <w:r w:rsidRPr="00186FA9">
        <w:rPr>
          <w:rFonts w:ascii="Verdana" w:eastAsia="Century Gothic" w:hAnsi="Verdana" w:cs="Century Gothic"/>
          <w:i/>
          <w:iCs/>
          <w:color w:val="000000" w:themeColor="text1"/>
        </w:rPr>
        <w:t>“Manual para determinar y verificar los requisitos habilitantes en los procesos de contratación”.</w:t>
      </w:r>
      <w:r w:rsidRPr="00186FA9">
        <w:rPr>
          <w:rFonts w:ascii="Verdana" w:eastAsia="Century Gothic" w:hAnsi="Verdana" w:cs="Century Gothic"/>
          <w:color w:val="000000" w:themeColor="text1"/>
        </w:rPr>
        <w:t xml:space="preserve"> En dicho Manual se plantean definiciones para cada requisito habilitante y se indican lineamientos orientadores que la Entidad Estatal puede considerar para establecerlos, pero en todo caso, es ella quien los define, de forma proporcional a la naturaleza y al valor del contrato, por lo que para ello deberá observarse los resultados de los Estudios del Sector que se hayan realizado para el respectivo Proceso de Contratación.</w:t>
      </w:r>
    </w:p>
    <w:p w14:paraId="182C5796" w14:textId="77777777" w:rsidR="00AA6DD4" w:rsidRPr="00186FA9" w:rsidRDefault="00AA6DD4" w:rsidP="00AA6DD4">
      <w:pPr>
        <w:pStyle w:val="Prrafodelista"/>
        <w:numPr>
          <w:ilvl w:val="0"/>
          <w:numId w:val="20"/>
        </w:numPr>
        <w:spacing w:line="276" w:lineRule="auto"/>
        <w:jc w:val="both"/>
        <w:rPr>
          <w:rFonts w:ascii="Verdana" w:eastAsia="Century Gothic" w:hAnsi="Verdana" w:cs="Century Gothic"/>
          <w:color w:val="000000" w:themeColor="text1"/>
        </w:rPr>
      </w:pPr>
      <w:r w:rsidRPr="00186FA9">
        <w:rPr>
          <w:rFonts w:ascii="Verdana" w:eastAsia="Century Gothic" w:hAnsi="Verdana" w:cs="Century Gothic"/>
          <w:color w:val="000000" w:themeColor="text1"/>
        </w:rPr>
        <w:t xml:space="preserve">Considerando la discrecionalidad para establecer los requisitos habilitantes, es necesario tener en cuenta que </w:t>
      </w:r>
      <w:r w:rsidRPr="00186FA9">
        <w:rPr>
          <w:rFonts w:ascii="Verdana" w:eastAsia="Century Gothic" w:hAnsi="Verdana" w:cs="Century Gothic"/>
        </w:rPr>
        <w:t>el artículo 44 de la Ley 1437 de 2011 –aplicable en los procedimientos contractuales en virtud del artículo 77 de la Ley 80 de 1993– dispone que “</w:t>
      </w:r>
      <w:r w:rsidRPr="00186FA9">
        <w:rPr>
          <w:rFonts w:ascii="Verdana" w:eastAsia="Century Gothic" w:hAnsi="Verdana" w:cs="Century Gothic"/>
          <w:i/>
          <w:iCs/>
        </w:rPr>
        <w:t>En la medida en que el contenido de una decisión de carácter general o particular sea discrecional, debe ser adecuada a los fines de la norma que la autoriza, y proporcional a los hechos que le sirven de causa”.</w:t>
      </w:r>
      <w:r w:rsidRPr="00186FA9">
        <w:rPr>
          <w:rFonts w:ascii="Verdana" w:eastAsia="Century Gothic" w:hAnsi="Verdana" w:cs="Century Gothic"/>
        </w:rPr>
        <w:t xml:space="preserve"> En consecuencia, para efectos de los escenarios descritos en el párrafo precedente, la inclusión </w:t>
      </w:r>
      <w:r w:rsidRPr="00186FA9">
        <w:rPr>
          <w:rFonts w:ascii="Verdana" w:eastAsia="Century Gothic" w:hAnsi="Verdana" w:cs="Century Gothic"/>
        </w:rPr>
        <w:lastRenderedPageBreak/>
        <w:t xml:space="preserve">o exclusión de </w:t>
      </w:r>
      <w:r w:rsidRPr="00186FA9">
        <w:rPr>
          <w:rFonts w:ascii="Verdana" w:eastAsia="Century Gothic" w:hAnsi="Verdana" w:cs="Century Gothic"/>
          <w:color w:val="000000" w:themeColor="text1"/>
        </w:rPr>
        <w:t>los indicadores previstos en el artículo 2.2.1.1.1.5.3 del Decreto 1082 de 2015</w:t>
      </w:r>
      <w:r w:rsidRPr="00186FA9">
        <w:rPr>
          <w:rFonts w:ascii="Verdana" w:eastAsia="Century Gothic" w:hAnsi="Verdana" w:cs="Century Gothic"/>
        </w:rPr>
        <w:t xml:space="preserve"> está unida a la carga justificativa de la Entidad Estatal en los estudios y documentos previos del proceso de selección.</w:t>
      </w:r>
      <w:r w:rsidRPr="00186FA9">
        <w:rPr>
          <w:rFonts w:ascii="Verdana" w:eastAsia="Century Gothic" w:hAnsi="Verdana" w:cs="Century Gothic"/>
          <w:color w:val="000000" w:themeColor="text1"/>
        </w:rPr>
        <w:t xml:space="preserve">   </w:t>
      </w:r>
    </w:p>
    <w:p w14:paraId="7828C72B" w14:textId="77777777" w:rsidR="00AA6DD4" w:rsidRPr="00186FA9" w:rsidRDefault="00AA6DD4" w:rsidP="00AA6DD4">
      <w:pPr>
        <w:pStyle w:val="Prrafodelista"/>
        <w:numPr>
          <w:ilvl w:val="0"/>
          <w:numId w:val="20"/>
        </w:numPr>
        <w:spacing w:line="276" w:lineRule="auto"/>
        <w:jc w:val="both"/>
        <w:rPr>
          <w:rFonts w:ascii="Verdana" w:eastAsia="Century Gothic" w:hAnsi="Verdana" w:cs="Century Gothic"/>
          <w:color w:val="000000" w:themeColor="text1"/>
        </w:rPr>
      </w:pPr>
      <w:r w:rsidRPr="00186FA9">
        <w:rPr>
          <w:rFonts w:ascii="Verdana" w:eastAsia="Century Gothic" w:hAnsi="Verdana" w:cs="Century Gothic"/>
          <w:color w:val="000000" w:themeColor="text1"/>
        </w:rPr>
        <w:t>Al respecto, es importante señalar que para que la Entidad Estatal defina ciertos indicadores como requisitos habilitantes, no es suficiente la aplicación mecánica de fórmulas financieras, pues deben conocer cada indicador, sus fórmulas de cálculo y su interpretación, para que así se garantice que en su aplicación se entiende el resultado y sus implicaciones para el procedimiento contractual</w:t>
      </w:r>
      <w:hyperlink r:id="rId13" w:anchor="_ftn7" w:history="1">
        <w:r w:rsidRPr="00186FA9">
          <w:rPr>
            <w:rStyle w:val="Hipervnculo"/>
            <w:rFonts w:ascii="Verdana" w:eastAsia="Calibri" w:hAnsi="Verdana" w:cs="Calibri"/>
            <w:vertAlign w:val="superscript"/>
          </w:rPr>
          <w:t>[7]</w:t>
        </w:r>
      </w:hyperlink>
      <w:r w:rsidRPr="00186FA9">
        <w:rPr>
          <w:rFonts w:ascii="Verdana" w:eastAsia="Century Gothic" w:hAnsi="Verdana" w:cs="Century Gothic"/>
          <w:color w:val="000000" w:themeColor="text1"/>
        </w:rPr>
        <w:t>. Sus resultados deben interpretarse observando el riesgo que un indicador alto o bajo representa para el procedimiento. Por ende, la Entidad Estatal debe establecer unos límites dentro de los cuales se garantice que el proponente pueda cumplir el contrato en caso de celebrarlo</w:t>
      </w:r>
      <w:hyperlink r:id="rId14" w:anchor="_ftn8" w:history="1">
        <w:r w:rsidRPr="00186FA9">
          <w:rPr>
            <w:rStyle w:val="Hipervnculo"/>
            <w:rFonts w:ascii="Verdana" w:eastAsia="Calibri" w:hAnsi="Verdana" w:cs="Calibri"/>
            <w:vertAlign w:val="superscript"/>
          </w:rPr>
          <w:t>[8]</w:t>
        </w:r>
      </w:hyperlink>
      <w:r w:rsidRPr="00186FA9">
        <w:rPr>
          <w:rFonts w:ascii="Verdana" w:eastAsia="Century Gothic" w:hAnsi="Verdana" w:cs="Century Gothic"/>
          <w:color w:val="000000" w:themeColor="text1"/>
        </w:rPr>
        <w:t xml:space="preserve">. </w:t>
      </w:r>
    </w:p>
    <w:p w14:paraId="4F6DA6DE" w14:textId="77777777" w:rsidR="00AA6DD4" w:rsidRPr="00186FA9" w:rsidRDefault="00AA6DD4" w:rsidP="00AA6DD4">
      <w:pPr>
        <w:pStyle w:val="Prrafodelista"/>
        <w:numPr>
          <w:ilvl w:val="0"/>
          <w:numId w:val="20"/>
        </w:numPr>
        <w:spacing w:line="276" w:lineRule="auto"/>
        <w:jc w:val="both"/>
        <w:rPr>
          <w:rFonts w:ascii="Verdana" w:eastAsia="Century Gothic" w:hAnsi="Verdana" w:cs="Century Gothic"/>
          <w:color w:val="000000" w:themeColor="text1"/>
        </w:rPr>
      </w:pPr>
      <w:r w:rsidRPr="00186FA9">
        <w:rPr>
          <w:rFonts w:ascii="Verdana" w:eastAsia="Century Gothic" w:hAnsi="Verdana" w:cs="Century Gothic"/>
        </w:rPr>
        <w:t xml:space="preserve">Las cámaras de comercio, de acuerdo con el artículo 6.1 de la Ley 1150 de 2007 y con el artículo 2.2.1.1.1.5.3 del Decreto 1082 de 2015, verificarán y certificarán los requisitos habilitantes de experiencia, capacidad jurídica, capacidad financiera y de organización. Conforme al numeral 6.3 de la Ley 1150 de 2007, la cámara de comercio, verificada la información aportada por el proponente, publicará el acto de inscripción del Registro Único de Proponentes, contra el cual cualquier persona podrá interponer recurso de reposición dentro de los diez (10) días hábiles siguientes contados a partir de su publicación –posibilidad aplicable frente a la </w:t>
      </w:r>
      <w:r w:rsidRPr="00186FA9">
        <w:rPr>
          <w:rFonts w:ascii="Verdana" w:eastAsia="Century Gothic" w:hAnsi="Verdana" w:cs="Century Gothic"/>
          <w:i/>
          <w:iCs/>
        </w:rPr>
        <w:t>inscripción, renovación o actualización–</w:t>
      </w:r>
      <w:hyperlink r:id="rId15" w:anchor="_ftn9" w:history="1">
        <w:r w:rsidRPr="00186FA9">
          <w:rPr>
            <w:rStyle w:val="Hipervnculo"/>
            <w:rFonts w:ascii="Verdana" w:eastAsia="Calibri" w:hAnsi="Verdana" w:cs="Calibri"/>
            <w:vertAlign w:val="superscript"/>
          </w:rPr>
          <w:t>[9]</w:t>
        </w:r>
      </w:hyperlink>
      <w:r w:rsidRPr="00186FA9">
        <w:rPr>
          <w:rFonts w:ascii="Verdana" w:eastAsia="Century Gothic" w:hAnsi="Verdana" w:cs="Century Gothic"/>
        </w:rPr>
        <w:t>. En firme el acto administrativo que realiza la inscripción en el Registro Único de Proponentes se podrá demandar su nulidad sin que la presentación de la demanda suspenda la inscripción del RUP.</w:t>
      </w:r>
    </w:p>
    <w:p w14:paraId="3CA7825E" w14:textId="77777777" w:rsidR="00AA6DD4" w:rsidRPr="00186FA9" w:rsidRDefault="00AA6DD4" w:rsidP="00AA6DD4">
      <w:pPr>
        <w:pStyle w:val="Prrafodelista"/>
        <w:numPr>
          <w:ilvl w:val="0"/>
          <w:numId w:val="20"/>
        </w:numPr>
        <w:spacing w:line="276" w:lineRule="auto"/>
        <w:jc w:val="both"/>
        <w:rPr>
          <w:rFonts w:ascii="Verdana" w:eastAsia="Century Gothic" w:hAnsi="Verdana" w:cs="Century Gothic"/>
          <w:color w:val="000000" w:themeColor="text1"/>
        </w:rPr>
      </w:pPr>
      <w:r w:rsidRPr="00186FA9">
        <w:rPr>
          <w:rFonts w:ascii="Verdana" w:eastAsia="Century Gothic" w:hAnsi="Verdana" w:cs="Century Gothic"/>
        </w:rPr>
        <w:t>De otro lado, el artículo 2.2.1.1.1.5.1 del Decreto 1082 de 2015 señala que las personas inscritas en el RUP deben presentar la información para renovar su registro a más tardar el quinto día hábil del mes de abril de cada año, de lo contrario cesan los efectos del RUP</w:t>
      </w:r>
      <w:hyperlink r:id="rId16" w:anchor="_ftn10" w:history="1">
        <w:r w:rsidRPr="00186FA9">
          <w:rPr>
            <w:rStyle w:val="Hipervnculo"/>
            <w:rFonts w:ascii="Verdana" w:eastAsia="Calibri" w:hAnsi="Verdana" w:cs="Calibri"/>
            <w:vertAlign w:val="superscript"/>
          </w:rPr>
          <w:t>[10]</w:t>
        </w:r>
      </w:hyperlink>
      <w:r w:rsidRPr="00186FA9">
        <w:rPr>
          <w:rFonts w:ascii="Verdana" w:eastAsia="Century Gothic" w:hAnsi="Verdana" w:cs="Century Gothic"/>
        </w:rPr>
        <w:t>. Asimismo, el Consejo de Estado en sentencia del 19 de septiembre de 2019 señaló la finalidad de la renovación del RUP y las consecuencias de no hacerlo en el término previsto:</w:t>
      </w:r>
    </w:p>
    <w:p w14:paraId="01412353" w14:textId="77777777" w:rsidR="00AA6DD4" w:rsidRPr="00186FA9" w:rsidRDefault="00AA6DD4" w:rsidP="00AA6DD4">
      <w:pPr>
        <w:spacing w:after="0" w:line="276" w:lineRule="auto"/>
        <w:contextualSpacing/>
        <w:jc w:val="both"/>
        <w:rPr>
          <w:rFonts w:ascii="Verdana" w:eastAsia="Century Gothic" w:hAnsi="Verdana" w:cs="Century Gothic"/>
        </w:rPr>
      </w:pPr>
      <w:r w:rsidRPr="00186FA9">
        <w:rPr>
          <w:rFonts w:ascii="Verdana" w:eastAsia="Century Gothic" w:hAnsi="Verdana" w:cs="Century Gothic"/>
        </w:rPr>
        <w:lastRenderedPageBreak/>
        <w:t xml:space="preserve"> </w:t>
      </w:r>
    </w:p>
    <w:p w14:paraId="3AF4CC18" w14:textId="77777777" w:rsidR="00AA6DD4" w:rsidRPr="00186FA9" w:rsidRDefault="00AA6DD4" w:rsidP="00AA6DD4">
      <w:pPr>
        <w:tabs>
          <w:tab w:val="left" w:pos="567"/>
        </w:tabs>
        <w:spacing w:line="276" w:lineRule="auto"/>
        <w:ind w:left="709" w:right="709"/>
        <w:contextualSpacing/>
        <w:jc w:val="both"/>
        <w:rPr>
          <w:rFonts w:ascii="Verdana" w:eastAsia="Century Gothic" w:hAnsi="Verdana" w:cs="Century Gothic"/>
        </w:rPr>
      </w:pPr>
      <w:r w:rsidRPr="00186FA9">
        <w:rPr>
          <w:rFonts w:ascii="Verdana" w:eastAsia="Century Gothic" w:hAnsi="Verdana" w:cs="Century Gothic"/>
        </w:rPr>
        <w:t xml:space="preserve">“Al respecto, no puede perderse de vista que la finalidad principal de la renovación del RUP, al margen de que con ese acto se nutra del registro de nueva información, es conservar su vigencia, propósito que, de acuerdo con el artículo 8 del Decreto 1510 de 2013, solo ha de cumplirse si el mismo se realiza dentro del plazo allí establecido, comprendido entre el 1 de enero hasta el quinto día hábil del mes de abril. En defecto, la disposición reglamentaria establece como consecuencia la cesación de los efectos del RUP. </w:t>
      </w:r>
    </w:p>
    <w:p w14:paraId="5C467D40" w14:textId="77777777" w:rsidR="00AA6DD4" w:rsidRPr="00186FA9" w:rsidRDefault="00AA6DD4" w:rsidP="00AA6DD4">
      <w:pPr>
        <w:tabs>
          <w:tab w:val="left" w:pos="567"/>
        </w:tabs>
        <w:spacing w:after="0" w:line="276" w:lineRule="auto"/>
        <w:ind w:left="709" w:right="709"/>
        <w:contextualSpacing/>
        <w:jc w:val="both"/>
        <w:rPr>
          <w:rFonts w:ascii="Verdana" w:eastAsia="Century Gothic" w:hAnsi="Verdana" w:cs="Century Gothic"/>
        </w:rPr>
      </w:pPr>
      <w:r w:rsidRPr="00186FA9">
        <w:rPr>
          <w:rFonts w:ascii="Verdana" w:eastAsia="Century Gothic" w:hAnsi="Verdana" w:cs="Century Gothic"/>
        </w:rPr>
        <w:t>Ante ese panorama, el incumplimiento del deber de renovar el RUP en el período trae como consecuencia la cesación de efectos respecto de la información certificada en ese documento y, por contera, la falta de vocación como plena prueba para acreditar el cumplimiento de los requisitos habilitantes del proponente, anomalía que en manera alguna se sanea o convalida por el hecho de realizar una renovación por fuera del plazo reglamentado, en tanto no resulta jurídicamente admisible extender una vigencia que por ministerio de la ley se encuentra vencida y cuyos efectos cesaron, precisamente por no haberse renovado en el término señalado”</w:t>
      </w:r>
      <w:hyperlink r:id="rId17" w:anchor="_ftn11" w:history="1">
        <w:r w:rsidRPr="00186FA9">
          <w:rPr>
            <w:rStyle w:val="Hipervnculo"/>
            <w:rFonts w:ascii="Verdana" w:eastAsia="Calibri" w:hAnsi="Verdana" w:cs="Calibri"/>
            <w:vertAlign w:val="superscript"/>
          </w:rPr>
          <w:t>[11]</w:t>
        </w:r>
      </w:hyperlink>
      <w:r w:rsidRPr="00186FA9">
        <w:rPr>
          <w:rFonts w:ascii="Verdana" w:eastAsia="Century Gothic" w:hAnsi="Verdana" w:cs="Century Gothic"/>
        </w:rPr>
        <w:t xml:space="preserve">. </w:t>
      </w:r>
    </w:p>
    <w:p w14:paraId="173FDEF6" w14:textId="77777777" w:rsidR="00AA6DD4" w:rsidRPr="00186FA9" w:rsidRDefault="00AA6DD4" w:rsidP="00AA6DD4">
      <w:pPr>
        <w:pStyle w:val="Prrafodelista"/>
        <w:numPr>
          <w:ilvl w:val="0"/>
          <w:numId w:val="21"/>
        </w:numPr>
        <w:spacing w:line="276" w:lineRule="auto"/>
        <w:jc w:val="both"/>
        <w:rPr>
          <w:rFonts w:ascii="Verdana" w:eastAsia="Century Gothic" w:hAnsi="Verdana" w:cs="Century Gothic"/>
        </w:rPr>
      </w:pPr>
      <w:r w:rsidRPr="00186FA9">
        <w:rPr>
          <w:rFonts w:ascii="Verdana" w:eastAsia="Century Gothic" w:hAnsi="Verdana" w:cs="Century Gothic"/>
        </w:rPr>
        <w:t xml:space="preserve">Conforme a lo anterior, en armonía el artículo 2.2.1.1.1.5.1 del Decreto 1082 de 2015, </w:t>
      </w:r>
      <w:r w:rsidRPr="00186FA9">
        <w:rPr>
          <w:rFonts w:ascii="Verdana" w:eastAsia="Century Gothic" w:hAnsi="Verdana" w:cs="Century Gothic"/>
          <w:i/>
          <w:iCs/>
        </w:rPr>
        <w:t>si el proponente</w:t>
      </w:r>
      <w:r w:rsidRPr="00186FA9">
        <w:rPr>
          <w:rFonts w:ascii="Verdana" w:eastAsia="Century Gothic" w:hAnsi="Verdana" w:cs="Century Gothic"/>
        </w:rPr>
        <w:t xml:space="preserve"> </w:t>
      </w:r>
      <w:r w:rsidRPr="00186FA9">
        <w:rPr>
          <w:rFonts w:ascii="Verdana" w:eastAsia="Century Gothic" w:hAnsi="Verdana" w:cs="Century Gothic"/>
          <w:i/>
          <w:iCs/>
        </w:rPr>
        <w:t>no presenta la información para renovar su registro</w:t>
      </w:r>
      <w:r w:rsidRPr="00186FA9">
        <w:rPr>
          <w:rFonts w:ascii="Verdana" w:eastAsia="Century Gothic" w:hAnsi="Verdana" w:cs="Century Gothic"/>
        </w:rPr>
        <w:t xml:space="preserve"> antes del quinto día hábil del mes de abril de cada año, cesarán los efectos del RUP. Lo anterior implica que el proponente que no cumpla con la carga indicada no se puede presentar a los procedimientos de selección, en los casos que es necesario estar inscrito en el RUP, porque no tendría capacidad para hacerlo y, por tanto, tendría que inscribirse nuevamente, caso en el que solo se podrá presentar cuando la inscripción esté en firme. </w:t>
      </w:r>
    </w:p>
    <w:p w14:paraId="08594DA0" w14:textId="77777777" w:rsidR="00AA6DD4" w:rsidRPr="00186FA9" w:rsidRDefault="00AA6DD4" w:rsidP="00AA6DD4">
      <w:pPr>
        <w:pStyle w:val="Prrafodelista"/>
        <w:numPr>
          <w:ilvl w:val="0"/>
          <w:numId w:val="21"/>
        </w:numPr>
        <w:spacing w:line="276" w:lineRule="auto"/>
        <w:jc w:val="both"/>
        <w:rPr>
          <w:rFonts w:ascii="Verdana" w:eastAsia="Century Gothic" w:hAnsi="Verdana" w:cs="Century Gothic"/>
        </w:rPr>
      </w:pPr>
      <w:r w:rsidRPr="00186FA9">
        <w:rPr>
          <w:rFonts w:ascii="Verdana" w:eastAsia="Century Gothic" w:hAnsi="Verdana" w:cs="Century Gothic"/>
        </w:rPr>
        <w:t xml:space="preserve">Tratándose del trámite de </w:t>
      </w:r>
      <w:r w:rsidRPr="00186FA9">
        <w:rPr>
          <w:rFonts w:ascii="Verdana" w:eastAsia="Century Gothic" w:hAnsi="Verdana" w:cs="Century Gothic"/>
          <w:i/>
          <w:iCs/>
        </w:rPr>
        <w:t>renovación,</w:t>
      </w:r>
      <w:r w:rsidRPr="00186FA9">
        <w:rPr>
          <w:rFonts w:ascii="Verdana" w:eastAsia="Century Gothic" w:hAnsi="Verdana" w:cs="Century Gothic"/>
        </w:rPr>
        <w:t xml:space="preserve"> la persona que haya presentado la información para renovar su registro a más tardar al quinto día hábil del mes de abril, cumpliendo con el requisito establecido en el artículo 2.2.1.1.1.5.1, puede participar en los procedimientos de selección, debiéndose tener en cuenta la información “antigua”. De esta manera, en </w:t>
      </w:r>
      <w:r w:rsidRPr="00186FA9">
        <w:rPr>
          <w:rFonts w:ascii="Verdana" w:eastAsia="Century Gothic" w:hAnsi="Verdana" w:cs="Century Gothic"/>
        </w:rPr>
        <w:lastRenderedPageBreak/>
        <w:t>el período comprendido entre el momento de la solicitud de renovación y el momento de la firmeza de la nueva información, se permite que emplee la información del RUP que está en firme antes de iniciar el trámite de renovación, cuyos efectos no han cesado por encontrarse vigente.</w:t>
      </w:r>
    </w:p>
    <w:p w14:paraId="6503A6D3" w14:textId="77777777" w:rsidR="00AA6DD4" w:rsidRPr="00186FA9" w:rsidRDefault="00AA6DD4" w:rsidP="00AA6DD4">
      <w:pPr>
        <w:pStyle w:val="Prrafodelista"/>
        <w:numPr>
          <w:ilvl w:val="0"/>
          <w:numId w:val="21"/>
        </w:numPr>
        <w:spacing w:line="276" w:lineRule="auto"/>
        <w:jc w:val="both"/>
        <w:rPr>
          <w:rFonts w:ascii="Verdana" w:eastAsia="Century Gothic" w:hAnsi="Verdana" w:cs="Century Gothic"/>
        </w:rPr>
      </w:pPr>
      <w:r w:rsidRPr="00186FA9">
        <w:rPr>
          <w:rFonts w:ascii="Verdana" w:eastAsia="Century Gothic" w:hAnsi="Verdana" w:cs="Century Gothic"/>
        </w:rPr>
        <w:t xml:space="preserve">Así las cosas, para verificar que los efectos del RUP no han cesado, es necesario que el certificado contenga la anotación de que el inscrito, a más tardar el quinto día hábil de abril de cada año, radicó ante la cámara de comercio los documentos para la renovación. En todo caso, si tal circunstancia no estuviere inscrita en el certificado, podrá acreditarse a través del medio documental expedido por la cámara de comercio correspondiente, por lo que al no existir tarifa legal que permita establecer la forma de acreditar el trámite de renovación, la entidad estatal debe validar que el documento aportado por el proponente ofrezca certeza sobre el estado del trámite, verificando que se haya </w:t>
      </w:r>
      <w:r w:rsidRPr="00186FA9">
        <w:rPr>
          <w:rFonts w:ascii="Verdana" w:eastAsia="Century Gothic" w:hAnsi="Verdana" w:cs="Century Gothic"/>
          <w:i/>
          <w:iCs/>
        </w:rPr>
        <w:t>presentado la información para renovar su registro</w:t>
      </w:r>
      <w:r w:rsidRPr="00186FA9">
        <w:rPr>
          <w:rFonts w:ascii="Verdana" w:eastAsia="Century Gothic" w:hAnsi="Verdana" w:cs="Century Gothic"/>
        </w:rPr>
        <w:t xml:space="preserve"> antes del quinto día hábil del mes de abril de cada año.</w:t>
      </w:r>
    </w:p>
    <w:p w14:paraId="5823D33A" w14:textId="77777777" w:rsidR="00AA6DD4" w:rsidRPr="00186FA9" w:rsidRDefault="00AA6DD4" w:rsidP="00AA6DD4">
      <w:pPr>
        <w:pStyle w:val="Prrafodelista"/>
        <w:numPr>
          <w:ilvl w:val="0"/>
          <w:numId w:val="21"/>
        </w:numPr>
        <w:spacing w:line="276" w:lineRule="auto"/>
        <w:jc w:val="both"/>
        <w:rPr>
          <w:rFonts w:ascii="Verdana" w:eastAsia="Century Gothic" w:hAnsi="Verdana" w:cs="Century Gothic"/>
        </w:rPr>
      </w:pPr>
      <w:r w:rsidRPr="00186FA9">
        <w:rPr>
          <w:rFonts w:ascii="Verdana" w:eastAsia="Century Gothic" w:hAnsi="Verdana" w:cs="Century Gothic"/>
        </w:rPr>
        <w:t>Dicho esto, la firmeza del acto de inscripción, renovación y actualización del RUP debe armonizarse con las prescripciones establecidas para la generalidad de los actos administrativos, esto es, de acuerdo con el artículo 87 de la Ley 1437 de 2011</w:t>
      </w:r>
      <w:hyperlink r:id="rId18" w:anchor="_ftn12" w:history="1">
        <w:r w:rsidRPr="00186FA9">
          <w:rPr>
            <w:rStyle w:val="Hipervnculo"/>
            <w:rFonts w:ascii="Verdana" w:eastAsia="Calibri" w:hAnsi="Verdana" w:cs="Calibri"/>
            <w:vertAlign w:val="superscript"/>
          </w:rPr>
          <w:t>[12]</w:t>
        </w:r>
      </w:hyperlink>
      <w:r w:rsidRPr="00186FA9">
        <w:rPr>
          <w:rFonts w:ascii="Verdana" w:eastAsia="Century Gothic" w:hAnsi="Verdana" w:cs="Century Gothic"/>
        </w:rPr>
        <w:t xml:space="preserve">. Conforme a lo anterior, la persona natural o jurídica podrá presentarse a los procedimientos de selección cuando el acto administrativo que realiza la inscripción del RUP se encuentra en firme, porque es un requisito para las personas naturales y jurídicas, nacionales o extranjeras con domicilio en Colombia, que aspiran a celebrar contratos con las entidades estatales, estar inscritas en él, salvo las excepciones establecidas en la ley. </w:t>
      </w:r>
    </w:p>
    <w:p w14:paraId="716B4B75" w14:textId="77777777" w:rsidR="00AA6DD4" w:rsidRPr="00186FA9" w:rsidRDefault="00AA6DD4" w:rsidP="00AA6DD4">
      <w:pPr>
        <w:pStyle w:val="Prrafodelista"/>
        <w:numPr>
          <w:ilvl w:val="0"/>
          <w:numId w:val="21"/>
        </w:numPr>
        <w:spacing w:line="276" w:lineRule="auto"/>
        <w:jc w:val="both"/>
        <w:rPr>
          <w:rFonts w:ascii="Verdana" w:eastAsia="Century Gothic" w:hAnsi="Verdana" w:cs="Century Gothic"/>
        </w:rPr>
      </w:pPr>
      <w:r w:rsidRPr="00186FA9">
        <w:rPr>
          <w:rFonts w:ascii="Verdana" w:eastAsia="Century Gothic" w:hAnsi="Verdana" w:cs="Century Gothic"/>
        </w:rPr>
        <w:t>Así, la firmeza del RUP es una condición de ejecutoriedad, para consolidar los efectos del acto administrativo de inscripción. En palabras del Consejo de Estado, “El fenómeno procesal de la firmeza implica en principio, que la decisión se torna incuestionable en sede administrativa, lo que a su vez conlleva su ejecutoriedad”</w:t>
      </w:r>
      <w:hyperlink r:id="rId19" w:anchor="_ftn13" w:history="1">
        <w:r w:rsidRPr="00186FA9">
          <w:rPr>
            <w:rStyle w:val="Hipervnculo"/>
            <w:rFonts w:ascii="Verdana" w:eastAsia="Calibri" w:hAnsi="Verdana" w:cs="Calibri"/>
            <w:vertAlign w:val="superscript"/>
          </w:rPr>
          <w:t>[13]</w:t>
        </w:r>
      </w:hyperlink>
      <w:r w:rsidRPr="00186FA9">
        <w:rPr>
          <w:rFonts w:ascii="Verdana" w:eastAsia="Century Gothic" w:hAnsi="Verdana" w:cs="Century Gothic"/>
        </w:rPr>
        <w:t xml:space="preserve">. Es importante resaltar que los distintos eventos de firmeza señalados en el artículo 87 del CPACA involucran la exigencia de la publicidad, comunicación o notificación del acto, además de incluir la necesidad de resolver los recursos administrativos </w:t>
      </w:r>
      <w:r w:rsidRPr="00186FA9">
        <w:rPr>
          <w:rFonts w:ascii="Verdana" w:eastAsia="Century Gothic" w:hAnsi="Verdana" w:cs="Century Gothic"/>
        </w:rPr>
        <w:lastRenderedPageBreak/>
        <w:t xml:space="preserve">interpuestos contra la decisión, como expresión del debido proceso y del derecho de defensa en sede administrativa. </w:t>
      </w:r>
    </w:p>
    <w:p w14:paraId="3C3ABD38" w14:textId="77777777" w:rsidR="00AA6DD4" w:rsidRPr="00186FA9" w:rsidRDefault="00AA6DD4" w:rsidP="00AA6DD4">
      <w:pPr>
        <w:pStyle w:val="Prrafodelista"/>
        <w:numPr>
          <w:ilvl w:val="0"/>
          <w:numId w:val="21"/>
        </w:numPr>
        <w:spacing w:line="276" w:lineRule="auto"/>
        <w:jc w:val="both"/>
        <w:rPr>
          <w:rFonts w:ascii="Verdana" w:eastAsia="Century Gothic" w:hAnsi="Verdana" w:cs="Century Gothic"/>
        </w:rPr>
      </w:pPr>
      <w:r w:rsidRPr="00186FA9">
        <w:rPr>
          <w:rFonts w:ascii="Verdana" w:eastAsia="Century Gothic" w:hAnsi="Verdana" w:cs="Century Gothic"/>
        </w:rPr>
        <w:t xml:space="preserve">El artículo 6.3 de la Ley 1150 de 2007 regula la impugnación del acto de inscripción de información en el RUP, para que cualquier persona presente recurso de reposición durante los 10 días hábiles siguientes a su publicación, tiempo después del cual el acto administrativo adquiere firmeza y será oponible a terceros, adquiriendo su presunción de legalidad, siempre que durante el término indicado no se presenten recursos. Si ocurre lo último, para que el acto de inscripción o renovación quede en firme, o que la actualización de la nueva información adquiera firmeza, será necesario que se resuelvan dichos recursos. </w:t>
      </w:r>
    </w:p>
    <w:p w14:paraId="3479CE9B" w14:textId="77777777" w:rsidR="00AA6DD4" w:rsidRPr="00186FA9" w:rsidRDefault="00AA6DD4" w:rsidP="00AA6DD4">
      <w:pPr>
        <w:pStyle w:val="Prrafodelista"/>
        <w:numPr>
          <w:ilvl w:val="0"/>
          <w:numId w:val="21"/>
        </w:numPr>
        <w:spacing w:line="276" w:lineRule="auto"/>
        <w:jc w:val="both"/>
        <w:rPr>
          <w:rFonts w:ascii="Verdana" w:eastAsia="Century Gothic" w:hAnsi="Verdana" w:cs="Century Gothic"/>
        </w:rPr>
      </w:pPr>
      <w:r w:rsidRPr="00186FA9">
        <w:rPr>
          <w:rFonts w:ascii="Verdana" w:eastAsia="Century Gothic" w:hAnsi="Verdana" w:cs="Century Gothic"/>
        </w:rPr>
        <w:t xml:space="preserve">Expuestas las reglas generales en torno a la necesidad de la firmeza de los actos de inscripción, renovación y actualización, se señalarán las consecuencias en cada supuesto de que la información incluida en el RUP esté pendiente de quedar en firme, pues en cada uno se generan efectos distintos. En dicho estudio debe aludirse también a la posibilidad de subsanar las ofertas en los procedimientos de selección. </w:t>
      </w:r>
    </w:p>
    <w:p w14:paraId="3FF7F22A" w14:textId="77777777" w:rsidR="00AA6DD4" w:rsidRPr="00186FA9" w:rsidRDefault="00AA6DD4" w:rsidP="00AA6DD4">
      <w:pPr>
        <w:pStyle w:val="Prrafodelista"/>
        <w:numPr>
          <w:ilvl w:val="0"/>
          <w:numId w:val="21"/>
        </w:numPr>
        <w:spacing w:line="276" w:lineRule="auto"/>
        <w:jc w:val="both"/>
        <w:rPr>
          <w:rFonts w:ascii="Verdana" w:eastAsia="Century Gothic" w:hAnsi="Verdana" w:cs="Century Gothic"/>
        </w:rPr>
      </w:pPr>
      <w:r w:rsidRPr="00186FA9">
        <w:rPr>
          <w:rFonts w:ascii="Verdana" w:eastAsia="Century Gothic" w:hAnsi="Verdana" w:cs="Century Gothic"/>
        </w:rPr>
        <w:t xml:space="preserve">En relación con la </w:t>
      </w:r>
      <w:r w:rsidRPr="00186FA9">
        <w:rPr>
          <w:rFonts w:ascii="Verdana" w:eastAsia="Century Gothic" w:hAnsi="Verdana" w:cs="Century Gothic"/>
          <w:i/>
          <w:iCs/>
        </w:rPr>
        <w:t>inscripción</w:t>
      </w:r>
      <w:r w:rsidRPr="00186FA9">
        <w:rPr>
          <w:rFonts w:ascii="Verdana" w:eastAsia="Century Gothic" w:hAnsi="Verdana" w:cs="Century Gothic"/>
        </w:rPr>
        <w:t xml:space="preserve"> –ya sea por primera vez o porque no se renueva a tiempo y se debe realizar el trámite como una inscripción inicial–, debe considerarse lo prescrito en el parágrafo 1 del artículo 5 de la Ley 1150 de 2007, modificado por el artículo 5 de la Ley 1882 de 2018</w:t>
      </w:r>
      <w:hyperlink r:id="rId20" w:anchor="_ftn14" w:history="1">
        <w:r w:rsidRPr="00186FA9">
          <w:rPr>
            <w:rStyle w:val="Hipervnculo"/>
            <w:rFonts w:ascii="Verdana" w:eastAsia="Calibri" w:hAnsi="Verdana" w:cs="Calibri"/>
            <w:vertAlign w:val="superscript"/>
          </w:rPr>
          <w:t>[14]</w:t>
        </w:r>
      </w:hyperlink>
      <w:r w:rsidRPr="00186FA9">
        <w:rPr>
          <w:rFonts w:ascii="Verdana" w:eastAsia="Century Gothic" w:hAnsi="Verdana" w:cs="Century Gothic"/>
        </w:rPr>
        <w:t>, que establece que los proponentes no pueden acreditar circunstancias ocurridas con posterioridad al cierre del proceso, unido a lo expresado por la Sala de Consulta y Servicio Civil del Consejo de Estado, quien interpretó una norma de igual contenido a la anterior</w:t>
      </w:r>
      <w:hyperlink r:id="rId21" w:anchor="_ftn15" w:history="1">
        <w:r w:rsidRPr="00186FA9">
          <w:rPr>
            <w:rStyle w:val="Hipervnculo"/>
            <w:rFonts w:ascii="Verdana" w:eastAsia="Calibri" w:hAnsi="Verdana" w:cs="Calibri"/>
            <w:vertAlign w:val="superscript"/>
          </w:rPr>
          <w:t>[15]</w:t>
        </w:r>
      </w:hyperlink>
      <w:r w:rsidRPr="00186FA9">
        <w:rPr>
          <w:rFonts w:ascii="Verdana" w:eastAsia="Century Gothic" w:hAnsi="Verdana" w:cs="Century Gothic"/>
        </w:rPr>
        <w:t xml:space="preserve">, señalando que el proponente debe cumplir materialmente para la fecha del cierre del proceso con los requisitos que se requieren para presentar la oferta. En este sentido, para ese momento la persona natural o jurídica debe estar inscrita en el Registro Único de Proponentes, para lo cual no basta con la solicitud o radicación de los documentos para el trámite, sino que, además, el acto administrativo de </w:t>
      </w:r>
      <w:r w:rsidRPr="00186FA9">
        <w:rPr>
          <w:rFonts w:ascii="Verdana" w:eastAsia="Century Gothic" w:hAnsi="Verdana" w:cs="Century Gothic"/>
          <w:i/>
          <w:iCs/>
        </w:rPr>
        <w:t>inscripción</w:t>
      </w:r>
      <w:r w:rsidRPr="00186FA9">
        <w:rPr>
          <w:rFonts w:ascii="Verdana" w:eastAsia="Century Gothic" w:hAnsi="Verdana" w:cs="Century Gothic"/>
        </w:rPr>
        <w:t xml:space="preserve"> debe estar en firme, pues solo así se materializa y produce efectos la inscripción</w:t>
      </w:r>
      <w:hyperlink r:id="rId22" w:anchor="_ftn16" w:history="1">
        <w:r w:rsidRPr="00186FA9">
          <w:rPr>
            <w:rStyle w:val="Hipervnculo"/>
            <w:rFonts w:ascii="Verdana" w:eastAsia="Calibri" w:hAnsi="Verdana" w:cs="Calibri"/>
            <w:vertAlign w:val="superscript"/>
          </w:rPr>
          <w:t>[16]</w:t>
        </w:r>
      </w:hyperlink>
      <w:r w:rsidRPr="00186FA9">
        <w:rPr>
          <w:rFonts w:ascii="Verdana" w:eastAsia="Century Gothic" w:hAnsi="Verdana" w:cs="Century Gothic"/>
        </w:rPr>
        <w:t xml:space="preserve">. </w:t>
      </w:r>
    </w:p>
    <w:p w14:paraId="261217A4" w14:textId="77777777" w:rsidR="00AA6DD4" w:rsidRPr="00186FA9" w:rsidRDefault="00AA6DD4" w:rsidP="00AA6DD4">
      <w:pPr>
        <w:pStyle w:val="Prrafodelista"/>
        <w:numPr>
          <w:ilvl w:val="0"/>
          <w:numId w:val="21"/>
        </w:numPr>
        <w:spacing w:line="276" w:lineRule="auto"/>
        <w:jc w:val="both"/>
        <w:rPr>
          <w:rFonts w:ascii="Verdana" w:eastAsia="Century Gothic" w:hAnsi="Verdana" w:cs="Century Gothic"/>
        </w:rPr>
      </w:pPr>
      <w:r w:rsidRPr="00186FA9">
        <w:rPr>
          <w:rFonts w:ascii="Verdana" w:eastAsia="Century Gothic" w:hAnsi="Verdana" w:cs="Century Gothic"/>
        </w:rPr>
        <w:t xml:space="preserve">Por lo tanto, si la cámara de comercio expide el acto administrativo de </w:t>
      </w:r>
      <w:r w:rsidRPr="00186FA9">
        <w:rPr>
          <w:rFonts w:ascii="Verdana" w:eastAsia="Century Gothic" w:hAnsi="Verdana" w:cs="Century Gothic"/>
          <w:i/>
          <w:iCs/>
        </w:rPr>
        <w:t>inscripción</w:t>
      </w:r>
      <w:r w:rsidRPr="00186FA9">
        <w:rPr>
          <w:rFonts w:ascii="Verdana" w:eastAsia="Century Gothic" w:hAnsi="Verdana" w:cs="Century Gothic"/>
        </w:rPr>
        <w:t xml:space="preserve"> en el RUP después del cierre del procedimiento de selección, </w:t>
      </w:r>
      <w:r w:rsidRPr="00186FA9">
        <w:rPr>
          <w:rFonts w:ascii="Verdana" w:eastAsia="Century Gothic" w:hAnsi="Verdana" w:cs="Century Gothic"/>
        </w:rPr>
        <w:lastRenderedPageBreak/>
        <w:t>motivado en la falta de renovación a tiempo de la información contenida en él o por ser la primera inscripción, el proponente no puede aportarlo al proceso, porque al momento de presentar la oferta no tenía capacidad para contratar, y no puede acreditar circunstancias ocurridas con posterioridad al cierre del proceso, reiterando que la inscripción debe estar en firme antes del cierre, pues la inscripción solo se materializa y es oponible a terceros cuando el acto administrativo está en firme.</w:t>
      </w:r>
    </w:p>
    <w:p w14:paraId="1F21B503" w14:textId="77777777" w:rsidR="00AA6DD4" w:rsidRPr="00186FA9" w:rsidRDefault="00AA6DD4" w:rsidP="00AA6DD4">
      <w:pPr>
        <w:pStyle w:val="Prrafodelista"/>
        <w:numPr>
          <w:ilvl w:val="0"/>
          <w:numId w:val="21"/>
        </w:numPr>
        <w:spacing w:line="276" w:lineRule="auto"/>
        <w:jc w:val="both"/>
        <w:rPr>
          <w:rFonts w:ascii="Verdana" w:eastAsia="Century Gothic" w:hAnsi="Verdana" w:cs="Century Gothic"/>
        </w:rPr>
      </w:pPr>
      <w:r w:rsidRPr="00186FA9">
        <w:rPr>
          <w:rFonts w:ascii="Verdana" w:eastAsia="Century Gothic" w:hAnsi="Verdana" w:cs="Century Gothic"/>
          <w:color w:val="000000" w:themeColor="text1"/>
        </w:rPr>
        <w:t xml:space="preserve">Tratándose del trámite de </w:t>
      </w:r>
      <w:r w:rsidRPr="00186FA9">
        <w:rPr>
          <w:rFonts w:ascii="Verdana" w:eastAsia="Century Gothic" w:hAnsi="Verdana" w:cs="Century Gothic"/>
          <w:i/>
          <w:iCs/>
          <w:color w:val="000000" w:themeColor="text1"/>
        </w:rPr>
        <w:t>renovación,</w:t>
      </w:r>
      <w:r w:rsidRPr="00186FA9">
        <w:rPr>
          <w:rFonts w:ascii="Verdana" w:eastAsia="Century Gothic" w:hAnsi="Verdana" w:cs="Century Gothic"/>
          <w:color w:val="000000" w:themeColor="text1"/>
        </w:rPr>
        <w:t xml:space="preserve"> se reitera lo expresado en el sentido de que la persona que presentó la información para renovar su registro antes del quinto día hábil de abril de cada año, cumpliendo el requisito del artículo 2.2.1.1.1.5.1, y pese a que la renovación no esté en firme, es decir, mientras esté en trámite el proceso de renovación, puede participar en los procedimientos de selección, debiéndose tener en cuenta la información “antigua”. De esta manera, en el período comprendido entre el momento de la solicitud de renovación y el de su firmeza, debe emplearse la información del RUP que está en firme antes de iniciar el trámite de renovación, cuyos efectos no habrían cesado y se encontraría vigente. Incluso, en los procedimientos de selección, en caso de que el RUP con la información “antigua” se haya presentado válidamente antes del cierre del proceso y con posterioridad a este quede en firme el nuevo RUP, para la evaluación de las propuestas se deberá utilizar la información del registro presentado inicialmente. Esto se sustenta en que ninguno de los proponentes, durante el término otorgado para subsanar ofertas, podrá “acreditar circunstancias ocurridas con posterioridad al cierre del proceso”, por lo que la evaluación se realizará con la información del RUP en firme antes del cierre, independientemente de que la nueva información favorezca o perjudique al proponente.</w:t>
      </w:r>
    </w:p>
    <w:p w14:paraId="6B2A0409" w14:textId="77777777" w:rsidR="00AA6DD4" w:rsidRPr="00186FA9" w:rsidRDefault="00AA6DD4" w:rsidP="00AA6DD4">
      <w:pPr>
        <w:pStyle w:val="Prrafodelista"/>
        <w:numPr>
          <w:ilvl w:val="0"/>
          <w:numId w:val="21"/>
        </w:numPr>
        <w:spacing w:line="276" w:lineRule="auto"/>
        <w:jc w:val="both"/>
        <w:rPr>
          <w:rFonts w:ascii="Verdana" w:eastAsia="Century Gothic" w:hAnsi="Verdana" w:cs="Century Gothic"/>
        </w:rPr>
      </w:pPr>
      <w:r w:rsidRPr="00186FA9">
        <w:rPr>
          <w:rFonts w:ascii="Verdana" w:eastAsia="Century Gothic" w:hAnsi="Verdana" w:cs="Century Gothic"/>
          <w:color w:val="000000" w:themeColor="text1"/>
        </w:rPr>
        <w:t>Ahora bien, el deber de renovación, para impedir que el RUP deje de producir efectos consiste en “presentar la información para renovar su registro antes del quinto día hábil del mes de abril de cada año”</w:t>
      </w:r>
      <w:hyperlink r:id="rId23" w:anchor="_ftn17" w:history="1">
        <w:r w:rsidRPr="00186FA9">
          <w:rPr>
            <w:rStyle w:val="Hipervnculo"/>
            <w:rFonts w:ascii="Verdana" w:eastAsia="Calibri" w:hAnsi="Verdana" w:cs="Calibri"/>
            <w:vertAlign w:val="superscript"/>
          </w:rPr>
          <w:t>[17]</w:t>
        </w:r>
      </w:hyperlink>
      <w:r w:rsidRPr="00186FA9">
        <w:rPr>
          <w:rFonts w:ascii="Verdana" w:eastAsia="Century Gothic" w:hAnsi="Verdana" w:cs="Century Gothic"/>
          <w:color w:val="000000" w:themeColor="text1"/>
        </w:rPr>
        <w:t xml:space="preserve">. De manera que basta con la presentación de dicha información, mediante la cual se solicita a la cámara de comercio respectiva que adelante el trámite de renovación, para que se impida que el registro cese en sus efectos. Lo anterior, independientemente del término que tarde la cámara de </w:t>
      </w:r>
      <w:r w:rsidRPr="00186FA9">
        <w:rPr>
          <w:rFonts w:ascii="Verdana" w:eastAsia="Century Gothic" w:hAnsi="Verdana" w:cs="Century Gothic"/>
          <w:color w:val="000000" w:themeColor="text1"/>
        </w:rPr>
        <w:lastRenderedPageBreak/>
        <w:t>comercio para revisar la información o de la solicitud que ésta le haga al interesado para que aporte algún documento adicional, o el término que transcurra mientras se interponen y resuelven los recursos frente al acto de inscripción –en caso de que se presenten– y del momento en que finalmente adquiera firmeza el acto de renovación. En este sentido, siempre que se cumpla con la primera actuación tendiente a la renovación del RUP este sigue produciendo efectos, por lo que, se reitera, en el período comprendido entre el momento de la solicitud de renovación y el de la firmeza de la renovación, puede utilizarse la información del RUP que está en firme antes de iniciar el trámite de renovación, cuyos efectos no han cesado y se encuentra vigente, pudiendo utilizar dicho registro para participar en los procedimientos de selección de contratistas.</w:t>
      </w:r>
    </w:p>
    <w:p w14:paraId="45E9C634" w14:textId="77777777" w:rsidR="00AA6DD4" w:rsidRPr="00186FA9" w:rsidRDefault="00AA6DD4" w:rsidP="00AA6DD4">
      <w:pPr>
        <w:pStyle w:val="Prrafodelista"/>
        <w:numPr>
          <w:ilvl w:val="0"/>
          <w:numId w:val="21"/>
        </w:numPr>
        <w:spacing w:line="276" w:lineRule="auto"/>
        <w:jc w:val="both"/>
        <w:rPr>
          <w:rFonts w:ascii="Verdana" w:eastAsia="Century Gothic" w:hAnsi="Verdana" w:cs="Century Gothic"/>
        </w:rPr>
      </w:pPr>
      <w:r w:rsidRPr="00186FA9">
        <w:rPr>
          <w:rFonts w:ascii="Verdana" w:eastAsia="Century Gothic" w:hAnsi="Verdana" w:cs="Century Gothic"/>
          <w:color w:val="000000" w:themeColor="text1"/>
        </w:rPr>
        <w:t xml:space="preserve">Finalmente, tratándose del trámite administrativo de la </w:t>
      </w:r>
      <w:r w:rsidRPr="00186FA9">
        <w:rPr>
          <w:rFonts w:ascii="Verdana" w:eastAsia="Century Gothic" w:hAnsi="Verdana" w:cs="Century Gothic"/>
          <w:i/>
          <w:iCs/>
          <w:color w:val="000000" w:themeColor="text1"/>
        </w:rPr>
        <w:t>actualización</w:t>
      </w:r>
      <w:r w:rsidRPr="00186FA9">
        <w:rPr>
          <w:rFonts w:ascii="Verdana" w:eastAsia="Century Gothic" w:hAnsi="Verdana" w:cs="Century Gothic"/>
          <w:color w:val="000000" w:themeColor="text1"/>
        </w:rPr>
        <w:t xml:space="preserve">, sucede algo similar con la renovación, en el sentido de que, si la actualización no estaba en firme para el momento del cierre del proceso, en la evaluación se tendrá en cuenta únicamente la información que estaba en firme para dicho momento. Lo que no deben hacer las entidades es rechazar la oferta bajo el argumento de que la actualización no está en firme –como si no hubiera una inscripción vigente en el RUP–, pues simplemente se debe evaluar la oferta prescindiendo de la nueva información incluida –que no adquirió firmeza–, pues, aunque la nueva información –actualización– esté pendiente de adquirir firmeza, para el momento del cierre del proceso el oferente tenía su inscripción vigente y en firme. De esta manera el trámite de </w:t>
      </w:r>
      <w:r w:rsidRPr="00186FA9">
        <w:rPr>
          <w:rFonts w:ascii="Verdana" w:eastAsia="Century Gothic" w:hAnsi="Verdana" w:cs="Century Gothic"/>
          <w:i/>
          <w:iCs/>
          <w:color w:val="000000" w:themeColor="text1"/>
        </w:rPr>
        <w:t xml:space="preserve">actualización </w:t>
      </w:r>
      <w:r w:rsidRPr="00186FA9">
        <w:rPr>
          <w:rFonts w:ascii="Verdana" w:eastAsia="Century Gothic" w:hAnsi="Verdana" w:cs="Century Gothic"/>
          <w:color w:val="000000" w:themeColor="text1"/>
        </w:rPr>
        <w:t>no hace que los efectos del RUP cesen momentáneamente –mientras adquiere firmeza–, sino, simplemente, que la nueva información contenida solo se podrá considerar si estaba en firme para el momento del cierre del proceso, pues no se pueden acreditar circunstancias ocurridas con posterioridad a dicho momento.</w:t>
      </w:r>
    </w:p>
    <w:p w14:paraId="34659953" w14:textId="77777777" w:rsidR="00AA6DD4" w:rsidRPr="00186FA9" w:rsidRDefault="00AA6DD4" w:rsidP="00AA6DD4">
      <w:pPr>
        <w:widowControl w:val="0"/>
        <w:autoSpaceDE w:val="0"/>
        <w:autoSpaceDN w:val="0"/>
        <w:spacing w:after="0" w:line="276" w:lineRule="auto"/>
        <w:jc w:val="both"/>
        <w:rPr>
          <w:rFonts w:ascii="Verdana" w:hAnsi="Verdana" w:cs="Arial"/>
        </w:rPr>
      </w:pPr>
    </w:p>
    <w:p w14:paraId="38B7D63A" w14:textId="77777777" w:rsidR="00AA6DD4" w:rsidRPr="00186FA9" w:rsidRDefault="00AA6DD4" w:rsidP="00AA6DD4">
      <w:pPr>
        <w:pStyle w:val="Prrafodelista"/>
        <w:numPr>
          <w:ilvl w:val="0"/>
          <w:numId w:val="4"/>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186FA9">
        <w:rPr>
          <w:rFonts w:ascii="Verdana" w:eastAsia="Century Gothic" w:hAnsi="Verdana" w:cs="Century Gothic"/>
          <w:b/>
          <w:bCs/>
        </w:rPr>
        <w:t>Referencias normativas, jurisprudenciales y otras fuentes:</w:t>
      </w:r>
    </w:p>
    <w:p w14:paraId="7FA23713" w14:textId="77777777" w:rsidR="00AA6DD4" w:rsidRPr="00186FA9" w:rsidRDefault="00AA6DD4" w:rsidP="00AA6DD4">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AA6DD4" w:rsidRPr="00186FA9" w14:paraId="1C705CFB" w14:textId="77777777">
        <w:trPr>
          <w:trHeight w:val="870"/>
        </w:trPr>
        <w:tc>
          <w:tcPr>
            <w:tcW w:w="8647" w:type="dxa"/>
          </w:tcPr>
          <w:p w14:paraId="0D27C319" w14:textId="77777777" w:rsidR="00AA6DD4" w:rsidRPr="000072F3" w:rsidRDefault="00AA6DD4" w:rsidP="00AA6DD4">
            <w:pPr>
              <w:pStyle w:val="Prrafodelista"/>
              <w:numPr>
                <w:ilvl w:val="0"/>
                <w:numId w:val="22"/>
              </w:numPr>
              <w:spacing w:line="276" w:lineRule="auto"/>
              <w:jc w:val="both"/>
              <w:rPr>
                <w:rFonts w:ascii="Verdana" w:eastAsia="Century Gothic" w:hAnsi="Verdana" w:cs="Century Gothic"/>
                <w:sz w:val="21"/>
                <w:szCs w:val="21"/>
                <w:lang w:val="es"/>
              </w:rPr>
            </w:pPr>
            <w:r w:rsidRPr="000072F3">
              <w:rPr>
                <w:rFonts w:ascii="Verdana" w:eastAsia="Century Gothic" w:hAnsi="Verdana" w:cs="Century Gothic"/>
                <w:sz w:val="21"/>
                <w:szCs w:val="21"/>
                <w:lang w:val="es"/>
              </w:rPr>
              <w:lastRenderedPageBreak/>
              <w:t>Ley 1150 de 2007 artículo 5</w:t>
            </w:r>
            <w:r>
              <w:rPr>
                <w:rFonts w:ascii="Verdana" w:eastAsia="Century Gothic" w:hAnsi="Verdana" w:cs="Century Gothic"/>
                <w:sz w:val="21"/>
                <w:szCs w:val="21"/>
                <w:lang w:val="es"/>
              </w:rPr>
              <w:t>,</w:t>
            </w:r>
            <w:r w:rsidRPr="00186FA9">
              <w:rPr>
                <w:rFonts w:ascii="Verdana" w:hAnsi="Verdana" w:cs="Arial"/>
                <w:sz w:val="21"/>
                <w:szCs w:val="21"/>
              </w:rPr>
              <w:t xml:space="preserve"> artículo</w:t>
            </w:r>
            <w:r w:rsidRPr="00186FA9">
              <w:rPr>
                <w:rFonts w:ascii="Verdana" w:hAnsi="Verdana" w:cs="Arial"/>
                <w:spacing w:val="-9"/>
                <w:sz w:val="21"/>
                <w:szCs w:val="21"/>
              </w:rPr>
              <w:t xml:space="preserve"> </w:t>
            </w:r>
            <w:r w:rsidRPr="00186FA9">
              <w:rPr>
                <w:rFonts w:ascii="Verdana" w:hAnsi="Verdana" w:cs="Arial"/>
                <w:sz w:val="21"/>
                <w:szCs w:val="21"/>
              </w:rPr>
              <w:t>6.1</w:t>
            </w:r>
            <w:r>
              <w:rPr>
                <w:rFonts w:ascii="Verdana" w:hAnsi="Verdana" w:cs="Arial"/>
                <w:sz w:val="21"/>
                <w:szCs w:val="21"/>
              </w:rPr>
              <w:t xml:space="preserve">, </w:t>
            </w:r>
            <w:r w:rsidRPr="00186FA9">
              <w:rPr>
                <w:rFonts w:ascii="Verdana" w:hAnsi="Verdana" w:cs="Arial"/>
                <w:sz w:val="21"/>
                <w:szCs w:val="21"/>
              </w:rPr>
              <w:t>artículo</w:t>
            </w:r>
            <w:r w:rsidRPr="00186FA9">
              <w:rPr>
                <w:rFonts w:ascii="Verdana" w:hAnsi="Verdana" w:cs="Arial"/>
                <w:spacing w:val="-9"/>
                <w:sz w:val="21"/>
                <w:szCs w:val="21"/>
              </w:rPr>
              <w:t xml:space="preserve"> </w:t>
            </w:r>
            <w:r w:rsidRPr="00186FA9">
              <w:rPr>
                <w:rFonts w:ascii="Verdana" w:hAnsi="Verdana" w:cs="Arial"/>
                <w:sz w:val="21"/>
                <w:szCs w:val="21"/>
              </w:rPr>
              <w:t>6.</w:t>
            </w:r>
            <w:r>
              <w:rPr>
                <w:rFonts w:ascii="Verdana" w:hAnsi="Verdana" w:cs="Arial"/>
                <w:sz w:val="21"/>
                <w:szCs w:val="21"/>
              </w:rPr>
              <w:t xml:space="preserve">2, </w:t>
            </w:r>
            <w:r w:rsidRPr="00186FA9">
              <w:rPr>
                <w:rFonts w:ascii="Verdana" w:hAnsi="Verdana" w:cs="Arial"/>
                <w:sz w:val="21"/>
                <w:szCs w:val="21"/>
              </w:rPr>
              <w:t>artículo</w:t>
            </w:r>
            <w:r w:rsidRPr="00186FA9">
              <w:rPr>
                <w:rFonts w:ascii="Verdana" w:hAnsi="Verdana" w:cs="Arial"/>
                <w:spacing w:val="-9"/>
                <w:sz w:val="21"/>
                <w:szCs w:val="21"/>
              </w:rPr>
              <w:t xml:space="preserve"> </w:t>
            </w:r>
            <w:r w:rsidRPr="00186FA9">
              <w:rPr>
                <w:rFonts w:ascii="Verdana" w:hAnsi="Verdana" w:cs="Arial"/>
                <w:sz w:val="21"/>
                <w:szCs w:val="21"/>
              </w:rPr>
              <w:t>6.</w:t>
            </w:r>
            <w:r>
              <w:rPr>
                <w:rFonts w:ascii="Verdana" w:hAnsi="Verdana" w:cs="Arial"/>
                <w:sz w:val="21"/>
                <w:szCs w:val="21"/>
              </w:rPr>
              <w:t>3</w:t>
            </w:r>
            <w:r w:rsidRPr="000072F3">
              <w:rPr>
                <w:rFonts w:ascii="Verdana" w:eastAsia="Century Gothic" w:hAnsi="Verdana" w:cs="Century Gothic"/>
                <w:sz w:val="21"/>
                <w:szCs w:val="21"/>
                <w:lang w:val="es"/>
              </w:rPr>
              <w:t xml:space="preserve">, </w:t>
            </w:r>
            <w:r w:rsidRPr="00186FA9">
              <w:rPr>
                <w:rFonts w:ascii="Verdana" w:eastAsia="Century Gothic" w:hAnsi="Verdana" w:cs="Century Gothic"/>
                <w:sz w:val="21"/>
                <w:szCs w:val="21"/>
              </w:rPr>
              <w:t>Ley 1437 de 2011</w:t>
            </w:r>
            <w:r w:rsidRPr="000072F3">
              <w:rPr>
                <w:rFonts w:ascii="Verdana" w:eastAsia="Century Gothic" w:hAnsi="Verdana" w:cs="Century Gothic"/>
                <w:sz w:val="21"/>
                <w:szCs w:val="21"/>
                <w:lang w:val="es"/>
              </w:rPr>
              <w:t xml:space="preserve"> </w:t>
            </w:r>
            <w:r w:rsidRPr="000072F3">
              <w:rPr>
                <w:rFonts w:ascii="Verdana" w:eastAsia="Century Gothic" w:hAnsi="Verdana" w:cs="Century Gothic"/>
                <w:sz w:val="21"/>
                <w:szCs w:val="21"/>
              </w:rPr>
              <w:t xml:space="preserve">artículo </w:t>
            </w:r>
            <w:proofErr w:type="gramStart"/>
            <w:r w:rsidRPr="000072F3">
              <w:rPr>
                <w:rFonts w:ascii="Verdana" w:eastAsia="Century Gothic" w:hAnsi="Verdana" w:cs="Century Gothic"/>
                <w:sz w:val="21"/>
                <w:szCs w:val="21"/>
              </w:rPr>
              <w:t xml:space="preserve">44 </w:t>
            </w:r>
            <w:r>
              <w:rPr>
                <w:rFonts w:ascii="Verdana" w:eastAsia="Century Gothic" w:hAnsi="Verdana" w:cs="Century Gothic"/>
                <w:sz w:val="21"/>
                <w:szCs w:val="21"/>
              </w:rPr>
              <w:t>,</w:t>
            </w:r>
            <w:proofErr w:type="gramEnd"/>
            <w:r>
              <w:rPr>
                <w:rFonts w:ascii="Verdana" w:eastAsia="Century Gothic" w:hAnsi="Verdana" w:cs="Century Gothic"/>
                <w:sz w:val="21"/>
                <w:szCs w:val="21"/>
              </w:rPr>
              <w:t xml:space="preserve"> </w:t>
            </w:r>
            <w:r w:rsidRPr="00186FA9">
              <w:rPr>
                <w:rFonts w:ascii="Verdana" w:eastAsia="Century Gothic" w:hAnsi="Verdana" w:cs="Century Gothic"/>
                <w:sz w:val="21"/>
                <w:szCs w:val="21"/>
              </w:rPr>
              <w:t>Ley 80 de 1993</w:t>
            </w:r>
            <w:r>
              <w:rPr>
                <w:rFonts w:ascii="Verdana" w:eastAsia="Century Gothic" w:hAnsi="Verdana" w:cs="Century Gothic"/>
                <w:sz w:val="21"/>
                <w:szCs w:val="21"/>
              </w:rPr>
              <w:t xml:space="preserve"> artículo 77 ,</w:t>
            </w:r>
            <w:r w:rsidRPr="00186FA9">
              <w:rPr>
                <w:rFonts w:ascii="Verdana" w:eastAsia="Century Gothic" w:hAnsi="Verdana" w:cs="Century Gothic"/>
                <w:sz w:val="21"/>
                <w:szCs w:val="21"/>
              </w:rPr>
              <w:t xml:space="preserve"> Decreto 1082 de 2015</w:t>
            </w:r>
            <w:r>
              <w:rPr>
                <w:rFonts w:ascii="Verdana" w:eastAsia="Century Gothic" w:hAnsi="Verdana" w:cs="Century Gothic"/>
                <w:sz w:val="21"/>
                <w:szCs w:val="21"/>
              </w:rPr>
              <w:t xml:space="preserve"> </w:t>
            </w:r>
            <w:r w:rsidRPr="00186FA9">
              <w:rPr>
                <w:rFonts w:ascii="Verdana" w:eastAsia="Century Gothic" w:hAnsi="Verdana" w:cs="Century Gothic"/>
                <w:sz w:val="21"/>
                <w:szCs w:val="21"/>
              </w:rPr>
              <w:t>artículo 2.2.1.1.1.5.3</w:t>
            </w:r>
            <w:r>
              <w:rPr>
                <w:rFonts w:ascii="Verdana" w:eastAsia="Century Gothic" w:hAnsi="Verdana" w:cs="Century Gothic"/>
                <w:sz w:val="21"/>
                <w:szCs w:val="21"/>
              </w:rPr>
              <w:t>,</w:t>
            </w:r>
            <w:r w:rsidRPr="00186FA9">
              <w:rPr>
                <w:rFonts w:ascii="Verdana" w:eastAsia="Century Gothic" w:hAnsi="Verdana" w:cs="Century Gothic"/>
              </w:rPr>
              <w:t xml:space="preserve"> 2.2.1.1.1.5.1 </w:t>
            </w:r>
            <w:r>
              <w:rPr>
                <w:rFonts w:ascii="Verdana" w:eastAsia="Century Gothic" w:hAnsi="Verdana" w:cs="Century Gothic"/>
                <w:sz w:val="21"/>
                <w:szCs w:val="21"/>
              </w:rPr>
              <w:t xml:space="preserve"> ,</w:t>
            </w:r>
            <w:r w:rsidRPr="00186FA9">
              <w:rPr>
                <w:rFonts w:ascii="Verdana" w:eastAsia="Century Gothic" w:hAnsi="Verdana" w:cs="Century Gothic"/>
              </w:rPr>
              <w:t xml:space="preserve"> artículo 5 de la Ley 1882 de 2018</w:t>
            </w:r>
          </w:p>
          <w:p w14:paraId="49745ED6" w14:textId="77777777" w:rsidR="00AA6DD4" w:rsidRPr="00186FA9" w:rsidRDefault="00AA6DD4" w:rsidP="00AA6DD4">
            <w:pPr>
              <w:pStyle w:val="Prrafodelista"/>
              <w:widowControl w:val="0"/>
              <w:numPr>
                <w:ilvl w:val="0"/>
                <w:numId w:val="8"/>
              </w:numPr>
              <w:autoSpaceDE w:val="0"/>
              <w:autoSpaceDN w:val="0"/>
              <w:spacing w:after="120" w:line="276" w:lineRule="auto"/>
              <w:contextualSpacing w:val="0"/>
              <w:jc w:val="both"/>
              <w:rPr>
                <w:rFonts w:ascii="Verdana" w:hAnsi="Verdana" w:cs="Arial"/>
              </w:rPr>
            </w:pPr>
            <w:r w:rsidRPr="00186FA9">
              <w:rPr>
                <w:rFonts w:ascii="Verdana" w:hAnsi="Verdana" w:cs="Arial"/>
              </w:rPr>
              <w:t xml:space="preserve">Jurisprudencia del Consejo de Estado. Disponible en: </w:t>
            </w:r>
            <w:hyperlink r:id="rId24" w:history="1">
              <w:r w:rsidRPr="00186FA9">
                <w:rPr>
                  <w:rStyle w:val="Hipervnculo"/>
                  <w:rFonts w:ascii="Verdana" w:hAnsi="Verdana" w:cs="Arial"/>
                </w:rPr>
                <w:t>https://relatoria.colombiacompra.gov.co/providencias-consejo-de-estado/</w:t>
              </w:r>
            </w:hyperlink>
            <w:r w:rsidRPr="00186FA9">
              <w:rPr>
                <w:rFonts w:ascii="Verdana" w:hAnsi="Verdana" w:cs="Arial"/>
              </w:rPr>
              <w:t xml:space="preserve"> </w:t>
            </w:r>
          </w:p>
          <w:p w14:paraId="10671FE5" w14:textId="77777777" w:rsidR="00AA6DD4" w:rsidRPr="00186FA9" w:rsidRDefault="00AA6DD4" w:rsidP="00AA6DD4">
            <w:pPr>
              <w:pStyle w:val="Prrafodelista"/>
              <w:widowControl w:val="0"/>
              <w:numPr>
                <w:ilvl w:val="0"/>
                <w:numId w:val="8"/>
              </w:numPr>
              <w:autoSpaceDE w:val="0"/>
              <w:autoSpaceDN w:val="0"/>
              <w:spacing w:after="120" w:line="276" w:lineRule="auto"/>
              <w:contextualSpacing w:val="0"/>
              <w:jc w:val="both"/>
              <w:rPr>
                <w:rFonts w:ascii="Verdana" w:hAnsi="Verdana" w:cs="Arial"/>
              </w:rPr>
            </w:pPr>
            <w:r w:rsidRPr="00186FA9">
              <w:rPr>
                <w:rFonts w:ascii="Verdana" w:hAnsi="Verdana" w:cs="Arial"/>
              </w:rPr>
              <w:t>Guías y manuales expedidos por la ANCP-CCE. Disponible en:</w:t>
            </w:r>
            <w:r w:rsidRPr="00186FA9">
              <w:rPr>
                <w:rFonts w:ascii="Verdana" w:hAnsi="Verdana"/>
              </w:rPr>
              <w:t xml:space="preserve"> </w:t>
            </w:r>
            <w:hyperlink r:id="rId25" w:history="1">
              <w:r w:rsidRPr="00186FA9">
                <w:rPr>
                  <w:rStyle w:val="Hipervnculo"/>
                  <w:rFonts w:ascii="Verdana" w:hAnsi="Verdana" w:cs="Arial"/>
                </w:rPr>
                <w:t>https://www.colombiacompra.gov.co/manuales-guias-y-pliegos-tipo/manuales-y-guias</w:t>
              </w:r>
            </w:hyperlink>
            <w:r w:rsidRPr="00186FA9">
              <w:rPr>
                <w:rFonts w:ascii="Verdana" w:hAnsi="Verdana" w:cs="Arial"/>
              </w:rPr>
              <w:t xml:space="preserve"> </w:t>
            </w:r>
          </w:p>
          <w:p w14:paraId="5F3F5A19" w14:textId="77777777" w:rsidR="00AA6DD4" w:rsidRPr="00186FA9" w:rsidRDefault="00AA6DD4">
            <w:pPr>
              <w:widowControl w:val="0"/>
              <w:autoSpaceDE w:val="0"/>
              <w:autoSpaceDN w:val="0"/>
              <w:spacing w:after="120" w:line="276" w:lineRule="auto"/>
              <w:ind w:left="360"/>
              <w:jc w:val="both"/>
              <w:rPr>
                <w:rFonts w:ascii="Verdana" w:hAnsi="Verdana" w:cs="Arial"/>
              </w:rPr>
            </w:pPr>
          </w:p>
        </w:tc>
      </w:tr>
    </w:tbl>
    <w:p w14:paraId="1DABD23E" w14:textId="77777777" w:rsidR="00AA6DD4" w:rsidRPr="00186FA9" w:rsidRDefault="00AA6DD4" w:rsidP="00AA6DD4">
      <w:pPr>
        <w:widowControl w:val="0"/>
        <w:autoSpaceDE w:val="0"/>
        <w:autoSpaceDN w:val="0"/>
        <w:spacing w:after="0" w:line="276" w:lineRule="auto"/>
        <w:jc w:val="both"/>
        <w:rPr>
          <w:rFonts w:ascii="Verdana" w:hAnsi="Verdana" w:cs="Arial"/>
        </w:rPr>
      </w:pPr>
    </w:p>
    <w:p w14:paraId="63AD4BD2" w14:textId="77777777" w:rsidR="00AA6DD4" w:rsidRPr="00186FA9" w:rsidRDefault="00AA6DD4" w:rsidP="00AA6DD4">
      <w:pPr>
        <w:widowControl w:val="0"/>
        <w:autoSpaceDE w:val="0"/>
        <w:autoSpaceDN w:val="0"/>
        <w:spacing w:after="0" w:line="276" w:lineRule="auto"/>
        <w:jc w:val="both"/>
        <w:rPr>
          <w:rFonts w:ascii="Verdana" w:hAnsi="Verdana" w:cs="Arial"/>
        </w:rPr>
      </w:pPr>
    </w:p>
    <w:p w14:paraId="0A429314" w14:textId="77777777" w:rsidR="00AA6DD4" w:rsidRPr="00186FA9" w:rsidRDefault="00AA6DD4" w:rsidP="00AA6DD4">
      <w:pPr>
        <w:widowControl w:val="0"/>
        <w:autoSpaceDE w:val="0"/>
        <w:autoSpaceDN w:val="0"/>
        <w:spacing w:after="0" w:line="276" w:lineRule="auto"/>
        <w:jc w:val="both"/>
        <w:rPr>
          <w:rFonts w:ascii="Verdana" w:hAnsi="Verdana" w:cs="Arial"/>
        </w:rPr>
      </w:pPr>
    </w:p>
    <w:p w14:paraId="37112D4C" w14:textId="77777777" w:rsidR="00AA6DD4" w:rsidRPr="00186FA9" w:rsidRDefault="00AA6DD4" w:rsidP="00AA6DD4">
      <w:pPr>
        <w:pStyle w:val="Prrafodelista"/>
        <w:numPr>
          <w:ilvl w:val="0"/>
          <w:numId w:val="4"/>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186FA9">
        <w:rPr>
          <w:rFonts w:ascii="Verdana" w:eastAsia="Century Gothic" w:hAnsi="Verdana" w:cs="Century Gothic"/>
          <w:b/>
          <w:bCs/>
        </w:rPr>
        <w:t>Doctrina de la Agencia Nacional de Contratación Pública:</w:t>
      </w:r>
    </w:p>
    <w:p w14:paraId="29039DF1" w14:textId="77777777" w:rsidR="00AA6DD4" w:rsidRPr="00186FA9" w:rsidRDefault="00AA6DD4" w:rsidP="00AA6DD4">
      <w:pPr>
        <w:widowControl w:val="0"/>
        <w:autoSpaceDE w:val="0"/>
        <w:autoSpaceDN w:val="0"/>
        <w:spacing w:after="0" w:line="276" w:lineRule="auto"/>
        <w:jc w:val="both"/>
        <w:rPr>
          <w:rFonts w:ascii="Verdana" w:hAnsi="Verdana" w:cs="Arial"/>
        </w:rPr>
      </w:pPr>
    </w:p>
    <w:p w14:paraId="0ACEFE85" w14:textId="77777777" w:rsidR="00AA6DD4" w:rsidRPr="00186FA9" w:rsidRDefault="00AA6DD4" w:rsidP="00AA6DD4">
      <w:pPr>
        <w:widowControl w:val="0"/>
        <w:autoSpaceDE w:val="0"/>
        <w:autoSpaceDN w:val="0"/>
        <w:spacing w:after="0" w:line="276" w:lineRule="auto"/>
        <w:jc w:val="both"/>
        <w:rPr>
          <w:rFonts w:ascii="Verdana" w:hAnsi="Verdana" w:cs="Arial"/>
        </w:rPr>
      </w:pPr>
      <w:r w:rsidRPr="00186FA9">
        <w:rPr>
          <w:rFonts w:ascii="Verdana" w:hAnsi="Verdana" w:cs="Arial"/>
        </w:rPr>
        <w:t xml:space="preserve">La Agencia Nacional de Contratación Pública – Colombia Compra Eficiente, se ha pronunciado sobre  el RUP </w:t>
      </w:r>
      <w:r w:rsidRPr="00186FA9">
        <w:rPr>
          <w:rFonts w:ascii="Verdana" w:eastAsia="Century Gothic" w:hAnsi="Verdana" w:cs="Century Gothic"/>
          <w:color w:val="000000" w:themeColor="text1"/>
          <w:lang w:val="es"/>
        </w:rPr>
        <w:t>en los Conceptos 4201713000001182 del 24 de marzo de 2017, 4201814000002165 del 23 de abril de 2017, 4201713000001647 del 27 de abril de 2017, 4201711000001879 del 11 de mayo de 2017, 4201714000002097 del 24 de mayo de 2017, 4201814000002927 del 11 de abril de 2018, 4201814000002917 del 11 de mayo de 2018, 4201813000003018 del 11 de mayo de 2018, , 4201814000004174 del 18 de mayo de 2018, 4201814000004014 del 20 de junio de 2018, 4201813000004073 del 21 de junio de 2018, 4201912000003350 del 4 de julio de 2019, 4201912000007418 del 11 de diciembre de 2019, y C-005  del 14 de febrero de 2020, C-454 del 06 de julio de 2020 2020, C-466 del 24 de julio de 2020, C-420 del 28 de julio de 2020, C-480 del 25 de agosto de 2021, C-534 del 12 de agosto de 2020, C-553 del 24 de agosto de 2021, C-576 del 31 de agosto de 2021, C-786 de 2020 del 19 de enero de 2021, C-800 del 1 de febrero de 2021, C-703 del 11 de enero de 2022, C-328 del 22 de julio de 2022, entre otros</w:t>
      </w:r>
      <w:r w:rsidRPr="00186FA9">
        <w:rPr>
          <w:rFonts w:ascii="Verdana" w:eastAsia="Calibri" w:hAnsi="Verdana"/>
          <w:lang w:val="es-ES_tradnl"/>
        </w:rPr>
        <w:t>. Es</w:t>
      </w:r>
      <w:r w:rsidRPr="00186FA9">
        <w:rPr>
          <w:rFonts w:ascii="Verdana" w:eastAsia="Calibri" w:hAnsi="Verdana" w:cs="Arial"/>
          <w:lang w:val="es-ES_tradnl"/>
        </w:rPr>
        <w:t xml:space="preserve">tos y otros conceptos se encuentran disponibles para consulta en el Sistema de relatoría de la Agencia, al cual se puede acceder a través del </w:t>
      </w:r>
      <w:r w:rsidRPr="00186FA9">
        <w:rPr>
          <w:rFonts w:ascii="Verdana" w:eastAsia="Calibri" w:hAnsi="Verdana" w:cs="Arial"/>
          <w:lang w:val="es-ES_tradnl"/>
        </w:rPr>
        <w:lastRenderedPageBreak/>
        <w:t>siguiente enlace:</w:t>
      </w:r>
      <w:r w:rsidRPr="00186FA9">
        <w:rPr>
          <w:rFonts w:ascii="Verdana" w:eastAsia="Calibri" w:hAnsi="Verdana"/>
          <w:lang w:val="es-ES_tradnl"/>
        </w:rPr>
        <w:t xml:space="preserve"> </w:t>
      </w:r>
    </w:p>
    <w:p w14:paraId="4206F13C" w14:textId="77777777" w:rsidR="00AA6DD4" w:rsidRPr="00186FA9" w:rsidRDefault="00AA6DD4" w:rsidP="00AA6DD4">
      <w:pPr>
        <w:widowControl w:val="0"/>
        <w:autoSpaceDE w:val="0"/>
        <w:autoSpaceDN w:val="0"/>
        <w:spacing w:after="0" w:line="276" w:lineRule="auto"/>
        <w:jc w:val="both"/>
        <w:rPr>
          <w:rFonts w:ascii="Verdana" w:eastAsia="Calibri" w:hAnsi="Verdana"/>
          <w:lang w:val="es-ES_tradnl"/>
        </w:rPr>
      </w:pPr>
    </w:p>
    <w:p w14:paraId="1F615820" w14:textId="77777777" w:rsidR="00AA6DD4" w:rsidRPr="00186FA9" w:rsidRDefault="00F515A5" w:rsidP="00AA6DD4">
      <w:pPr>
        <w:widowControl w:val="0"/>
        <w:autoSpaceDE w:val="0"/>
        <w:autoSpaceDN w:val="0"/>
        <w:spacing w:after="0" w:line="276" w:lineRule="auto"/>
        <w:jc w:val="both"/>
        <w:rPr>
          <w:rFonts w:ascii="Verdana" w:eastAsia="Calibri" w:hAnsi="Verdana"/>
          <w:lang w:val="es-ES_tradnl"/>
        </w:rPr>
      </w:pPr>
      <w:hyperlink r:id="rId26" w:history="1">
        <w:r w:rsidR="00AA6DD4" w:rsidRPr="00186FA9">
          <w:rPr>
            <w:rStyle w:val="Hipervnculo"/>
            <w:rFonts w:ascii="Verdana" w:eastAsia="Calibri" w:hAnsi="Verdana"/>
            <w:lang w:val="es-ES_tradnl"/>
          </w:rPr>
          <w:t>https://relatoria.colombiacompra.gov.co/busqueda/conceptos</w:t>
        </w:r>
      </w:hyperlink>
      <w:r w:rsidR="00AA6DD4" w:rsidRPr="00186FA9">
        <w:rPr>
          <w:rFonts w:ascii="Verdana" w:eastAsia="Calibri" w:hAnsi="Verdana"/>
          <w:lang w:val="es-ES_tradnl"/>
        </w:rPr>
        <w:t xml:space="preserve">. </w:t>
      </w:r>
    </w:p>
    <w:p w14:paraId="747E887B" w14:textId="77777777" w:rsidR="00AA6DD4" w:rsidRPr="00186FA9" w:rsidRDefault="00AA6DD4" w:rsidP="00AA6DD4">
      <w:pPr>
        <w:widowControl w:val="0"/>
        <w:autoSpaceDE w:val="0"/>
        <w:autoSpaceDN w:val="0"/>
        <w:spacing w:after="0" w:line="276" w:lineRule="auto"/>
        <w:jc w:val="both"/>
        <w:rPr>
          <w:rFonts w:ascii="Verdana" w:eastAsia="Calibri" w:hAnsi="Verdana"/>
          <w:lang w:val="es-ES_tradnl"/>
        </w:rPr>
      </w:pPr>
    </w:p>
    <w:p w14:paraId="3546D41D" w14:textId="77777777" w:rsidR="00AA6DD4" w:rsidRPr="00186FA9" w:rsidRDefault="00AA6DD4" w:rsidP="00AA6DD4">
      <w:pPr>
        <w:widowControl w:val="0"/>
        <w:autoSpaceDE w:val="0"/>
        <w:autoSpaceDN w:val="0"/>
        <w:spacing w:after="0" w:line="276" w:lineRule="auto"/>
        <w:jc w:val="both"/>
        <w:rPr>
          <w:rFonts w:ascii="Verdana" w:eastAsia="Calibri" w:hAnsi="Verdana" w:cs="Arial"/>
          <w:lang w:val="es-ES_tradnl"/>
        </w:rPr>
      </w:pPr>
    </w:p>
    <w:p w14:paraId="79443912" w14:textId="77777777" w:rsidR="00AA6DD4" w:rsidRPr="00186FA9" w:rsidRDefault="00AA6DD4" w:rsidP="00AA6DD4">
      <w:pPr>
        <w:spacing w:after="0" w:line="276" w:lineRule="auto"/>
        <w:jc w:val="both"/>
        <w:rPr>
          <w:rFonts w:ascii="Verdana" w:eastAsia="Calibri" w:hAnsi="Verdana" w:cs="Arial"/>
          <w:lang w:val="es-ES_tradnl"/>
        </w:rPr>
      </w:pPr>
      <w:r w:rsidRPr="00186FA9">
        <w:rPr>
          <w:rFonts w:ascii="Verdana" w:eastAsia="Calibri" w:hAnsi="Verdana" w:cs="Arial"/>
          <w:lang w:val="es-ES_tradnl"/>
        </w:rPr>
        <w:t xml:space="preserve">Por último, lo invitamos a seguirnos en las redes sociales en las cuales se difunde información institucional: </w:t>
      </w:r>
    </w:p>
    <w:p w14:paraId="494E4DE4" w14:textId="77777777" w:rsidR="00AA6DD4" w:rsidRPr="00186FA9" w:rsidRDefault="00AA6DD4" w:rsidP="00AA6DD4">
      <w:pPr>
        <w:spacing w:after="0" w:line="276" w:lineRule="auto"/>
        <w:jc w:val="both"/>
        <w:rPr>
          <w:rFonts w:ascii="Verdana" w:eastAsia="Calibri" w:hAnsi="Verdana" w:cs="Arial"/>
          <w:lang w:val="es-ES_tradnl"/>
        </w:rPr>
      </w:pPr>
    </w:p>
    <w:p w14:paraId="5C0F0276" w14:textId="77777777" w:rsidR="00AA6DD4" w:rsidRPr="00186FA9" w:rsidRDefault="00AA6DD4" w:rsidP="00AA6DD4">
      <w:pPr>
        <w:spacing w:after="0" w:line="276" w:lineRule="auto"/>
        <w:jc w:val="both"/>
        <w:rPr>
          <w:rFonts w:ascii="Verdana" w:eastAsia="Calibri" w:hAnsi="Verdana" w:cs="Arial"/>
          <w:lang w:val="es-ES_tradnl"/>
        </w:rPr>
      </w:pPr>
      <w:r w:rsidRPr="00186FA9">
        <w:rPr>
          <w:rFonts w:ascii="Verdana" w:eastAsia="Calibri" w:hAnsi="Verdana" w:cs="Arial"/>
          <w:lang w:val="es-ES_tradnl"/>
        </w:rPr>
        <w:t xml:space="preserve">Twitter: @colombiacompra </w:t>
      </w:r>
    </w:p>
    <w:p w14:paraId="46DE5284" w14:textId="77777777" w:rsidR="00AA6DD4" w:rsidRPr="00186FA9" w:rsidRDefault="00AA6DD4" w:rsidP="00AA6DD4">
      <w:pPr>
        <w:spacing w:after="0" w:line="276" w:lineRule="auto"/>
        <w:jc w:val="both"/>
        <w:rPr>
          <w:rFonts w:ascii="Verdana" w:eastAsia="Calibri" w:hAnsi="Verdana" w:cs="Arial"/>
          <w:lang w:val="es-ES"/>
        </w:rPr>
      </w:pPr>
      <w:r w:rsidRPr="0DB355AE">
        <w:rPr>
          <w:rFonts w:ascii="Verdana" w:eastAsia="Calibri" w:hAnsi="Verdana" w:cs="Arial"/>
          <w:lang w:val="es-ES"/>
        </w:rPr>
        <w:t xml:space="preserve">Facebook: </w:t>
      </w:r>
      <w:proofErr w:type="spellStart"/>
      <w:r w:rsidRPr="0DB355AE">
        <w:rPr>
          <w:rFonts w:ascii="Verdana" w:eastAsia="Calibri" w:hAnsi="Verdana" w:cs="Arial"/>
          <w:lang w:val="es-ES"/>
        </w:rPr>
        <w:t>ColombiaCompraEficiente</w:t>
      </w:r>
      <w:proofErr w:type="spellEnd"/>
    </w:p>
    <w:p w14:paraId="5A107023" w14:textId="77777777" w:rsidR="00AA6DD4" w:rsidRPr="00186FA9" w:rsidRDefault="00AA6DD4" w:rsidP="00AA6DD4">
      <w:pPr>
        <w:spacing w:after="0" w:line="276" w:lineRule="auto"/>
        <w:jc w:val="both"/>
        <w:rPr>
          <w:rFonts w:ascii="Verdana" w:eastAsia="Calibri" w:hAnsi="Verdana" w:cs="Arial"/>
          <w:lang w:val="es-ES_tradnl"/>
        </w:rPr>
      </w:pPr>
      <w:r w:rsidRPr="00186FA9">
        <w:rPr>
          <w:rFonts w:ascii="Verdana" w:eastAsia="Calibri" w:hAnsi="Verdana" w:cs="Arial"/>
          <w:lang w:val="es-ES_tradnl"/>
        </w:rPr>
        <w:t>LinkedIn: Agencia Nacional de Contratación Pública - Colombia Compra Eficiente Instagram: @colombiacompraeficiente_cce</w:t>
      </w:r>
    </w:p>
    <w:p w14:paraId="43AAD4EB" w14:textId="77777777" w:rsidR="00AA6DD4" w:rsidRPr="00186FA9" w:rsidRDefault="00AA6DD4" w:rsidP="00AA6DD4">
      <w:pPr>
        <w:widowControl w:val="0"/>
        <w:autoSpaceDE w:val="0"/>
        <w:autoSpaceDN w:val="0"/>
        <w:spacing w:after="0" w:line="276" w:lineRule="auto"/>
        <w:jc w:val="both"/>
        <w:rPr>
          <w:rFonts w:ascii="Verdana" w:eastAsia="Calibri" w:hAnsi="Verdana" w:cs="Arial"/>
          <w:lang w:val="es-ES_tradnl"/>
        </w:rPr>
      </w:pPr>
    </w:p>
    <w:p w14:paraId="0BB70BEC" w14:textId="77777777" w:rsidR="00AA6DD4" w:rsidRPr="00186FA9" w:rsidRDefault="00AA6DD4" w:rsidP="00AA6DD4">
      <w:pPr>
        <w:widowControl w:val="0"/>
        <w:autoSpaceDE w:val="0"/>
        <w:autoSpaceDN w:val="0"/>
        <w:spacing w:after="0" w:line="276" w:lineRule="auto"/>
        <w:jc w:val="both"/>
        <w:rPr>
          <w:rFonts w:ascii="Verdana" w:hAnsi="Verdana" w:cs="Arial"/>
          <w:lang w:val="es-ES_tradnl"/>
        </w:rPr>
      </w:pPr>
      <w:r w:rsidRPr="00186FA9">
        <w:rPr>
          <w:rFonts w:ascii="Verdana" w:eastAsia="Calibri" w:hAnsi="Verdana" w:cs="Arial"/>
          <w:lang w:val="es-ES_tradn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w:t>
      </w:r>
      <w:r w:rsidRPr="00186FA9">
        <w:rPr>
          <w:rFonts w:ascii="Verdana" w:hAnsi="Verdana" w:cs="Arial"/>
          <w:lang w:val="es-ES_tradnl"/>
        </w:rPr>
        <w:t>2 de 2015.</w:t>
      </w:r>
    </w:p>
    <w:p w14:paraId="08511A54" w14:textId="77777777" w:rsidR="00AA6DD4" w:rsidRPr="00186FA9" w:rsidRDefault="00AA6DD4" w:rsidP="00AA6DD4">
      <w:pPr>
        <w:widowControl w:val="0"/>
        <w:autoSpaceDE w:val="0"/>
        <w:autoSpaceDN w:val="0"/>
        <w:spacing w:after="0" w:line="276" w:lineRule="auto"/>
        <w:jc w:val="both"/>
        <w:rPr>
          <w:rFonts w:ascii="Verdana" w:hAnsi="Verdana" w:cs="Arial"/>
        </w:rPr>
      </w:pPr>
    </w:p>
    <w:p w14:paraId="2A6BC7D5" w14:textId="77777777" w:rsidR="00AA6DD4" w:rsidRPr="00186FA9" w:rsidRDefault="00AA6DD4" w:rsidP="00AA6DD4">
      <w:pPr>
        <w:spacing w:after="0" w:line="276" w:lineRule="auto"/>
        <w:jc w:val="both"/>
        <w:rPr>
          <w:rFonts w:ascii="Verdana" w:hAnsi="Verdana" w:cs="Arial"/>
          <w:lang w:eastAsia="es-CO"/>
        </w:rPr>
      </w:pPr>
      <w:r w:rsidRPr="00186FA9">
        <w:rPr>
          <w:rFonts w:ascii="Verdana" w:eastAsia="Times New Roman" w:hAnsi="Verdana" w:cs="Arial"/>
          <w:lang w:eastAsia="es-CO"/>
        </w:rPr>
        <w:t>Atentamente,</w:t>
      </w:r>
      <w:r w:rsidRPr="00186FA9">
        <w:rPr>
          <w:rFonts w:ascii="Verdana" w:hAnsi="Verdana" w:cs="Arial"/>
          <w:lang w:eastAsia="es-CO"/>
        </w:rPr>
        <w:t xml:space="preserve"> </w:t>
      </w:r>
    </w:p>
    <w:p w14:paraId="03DDFC84" w14:textId="77777777" w:rsidR="00AA6DD4" w:rsidRPr="00186FA9" w:rsidRDefault="00AA6DD4" w:rsidP="00AA6DD4">
      <w:pPr>
        <w:spacing w:line="276" w:lineRule="auto"/>
        <w:jc w:val="both"/>
        <w:rPr>
          <w:rFonts w:ascii="Verdana" w:hAnsi="Verdana"/>
          <w:noProof/>
          <w:lang w:val="es-ES_tradnl" w:eastAsia="es-CO"/>
        </w:rPr>
      </w:pPr>
    </w:p>
    <w:p w14:paraId="762D0806" w14:textId="30C9561B" w:rsidR="00AA6DD4" w:rsidRPr="00186FA9" w:rsidRDefault="002259BC" w:rsidP="00AA6DD4">
      <w:pPr>
        <w:spacing w:line="276" w:lineRule="auto"/>
        <w:jc w:val="center"/>
        <w:rPr>
          <w:rFonts w:ascii="Verdana" w:hAnsi="Verdana" w:cs="Arial"/>
          <w:lang w:val="es-ES_tradnl" w:eastAsia="es-CO"/>
        </w:rPr>
      </w:pPr>
      <w:r w:rsidRPr="0065791A">
        <w:rPr>
          <w:rFonts w:ascii="Century Gothic" w:hAnsi="Century Gothic"/>
          <w:noProof/>
        </w:rPr>
        <w:drawing>
          <wp:inline distT="0" distB="0" distL="0" distR="0" wp14:anchorId="36F919C2" wp14:editId="0D5DFA0D">
            <wp:extent cx="3962953" cy="1867161"/>
            <wp:effectExtent l="0" t="0" r="0" b="0"/>
            <wp:docPr id="119417683" name="Imagen 1" descr="Interfaz de usuario gráfica, Texto, Aplicación&#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17683" name="Imagen 1" descr="Interfaz de usuario gráfica, Texto, Aplicación&#10;&#10;Descripción generada automáticamente con confianza media"/>
                    <pic:cNvPicPr/>
                  </pic:nvPicPr>
                  <pic:blipFill>
                    <a:blip r:embed="rId27"/>
                    <a:stretch>
                      <a:fillRect/>
                    </a:stretch>
                  </pic:blipFill>
                  <pic:spPr>
                    <a:xfrm>
                      <a:off x="0" y="0"/>
                      <a:ext cx="3962953" cy="1867161"/>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AA6DD4" w:rsidRPr="0028717F" w14:paraId="3F68303D" w14:textId="77777777" w:rsidTr="6498707F">
        <w:trPr>
          <w:trHeight w:val="315"/>
        </w:trPr>
        <w:tc>
          <w:tcPr>
            <w:tcW w:w="893" w:type="dxa"/>
            <w:vAlign w:val="center"/>
            <w:hideMark/>
          </w:tcPr>
          <w:p w14:paraId="3899D799" w14:textId="77777777" w:rsidR="00AA6DD4" w:rsidRPr="0028717F" w:rsidRDefault="00AA6DD4">
            <w:pPr>
              <w:spacing w:line="276" w:lineRule="auto"/>
              <w:contextualSpacing/>
              <w:jc w:val="both"/>
              <w:rPr>
                <w:rFonts w:ascii="Verdana" w:eastAsia="Calibri" w:hAnsi="Verdana" w:cs="Arial"/>
                <w:sz w:val="16"/>
                <w:szCs w:val="16"/>
                <w:lang w:val="es-ES_tradnl"/>
              </w:rPr>
            </w:pPr>
            <w:r w:rsidRPr="0028717F">
              <w:rPr>
                <w:rFonts w:ascii="Verdana" w:eastAsia="Calibri" w:hAnsi="Verdana" w:cs="Arial"/>
                <w:sz w:val="16"/>
                <w:szCs w:val="16"/>
                <w:lang w:val="es-ES_tradnl"/>
              </w:rPr>
              <w:t>Elaboró:</w:t>
            </w:r>
          </w:p>
        </w:tc>
        <w:tc>
          <w:tcPr>
            <w:tcW w:w="5628" w:type="dxa"/>
            <w:tcBorders>
              <w:top w:val="nil"/>
              <w:left w:val="nil"/>
              <w:bottom w:val="dotted" w:sz="4" w:space="0" w:color="7F7F7F" w:themeColor="text1" w:themeTint="80"/>
              <w:right w:val="nil"/>
            </w:tcBorders>
            <w:vAlign w:val="center"/>
            <w:hideMark/>
          </w:tcPr>
          <w:p w14:paraId="00F0E785" w14:textId="77777777" w:rsidR="00AA6DD4" w:rsidRPr="0028717F" w:rsidRDefault="00AA6DD4">
            <w:pPr>
              <w:spacing w:line="276" w:lineRule="auto"/>
              <w:contextualSpacing/>
              <w:jc w:val="both"/>
              <w:rPr>
                <w:rFonts w:ascii="Verdana" w:eastAsia="Calibri" w:hAnsi="Verdana" w:cs="Arial"/>
                <w:sz w:val="16"/>
                <w:szCs w:val="16"/>
                <w:lang w:val="es-ES_tradnl"/>
              </w:rPr>
            </w:pPr>
            <w:r w:rsidRPr="0028717F">
              <w:rPr>
                <w:rFonts w:ascii="Verdana" w:eastAsia="Calibri" w:hAnsi="Verdana" w:cs="Arial"/>
                <w:sz w:val="16"/>
                <w:szCs w:val="16"/>
                <w:lang w:val="es-ES_tradnl"/>
              </w:rPr>
              <w:t xml:space="preserve">María Valeska Medellín Mora </w:t>
            </w:r>
          </w:p>
          <w:p w14:paraId="34EE921D" w14:textId="77777777" w:rsidR="00AA6DD4" w:rsidRPr="0028717F" w:rsidRDefault="00AA6DD4">
            <w:pPr>
              <w:spacing w:line="276" w:lineRule="auto"/>
              <w:contextualSpacing/>
              <w:jc w:val="both"/>
              <w:rPr>
                <w:rFonts w:ascii="Verdana" w:eastAsia="Calibri" w:hAnsi="Verdana" w:cs="Arial"/>
                <w:sz w:val="16"/>
                <w:szCs w:val="16"/>
                <w:lang w:val="es-ES_tradnl"/>
              </w:rPr>
            </w:pPr>
            <w:r w:rsidRPr="0028717F">
              <w:rPr>
                <w:rFonts w:ascii="Verdana" w:eastAsia="Calibri" w:hAnsi="Verdana" w:cs="Arial"/>
                <w:sz w:val="16"/>
                <w:szCs w:val="16"/>
                <w:lang w:val="es-ES_tradnl"/>
              </w:rPr>
              <w:t>Gestor T1-15</w:t>
            </w:r>
            <w:r w:rsidRPr="0028717F">
              <w:rPr>
                <w:rFonts w:ascii="Verdana" w:eastAsia="Calibri" w:hAnsi="Verdana"/>
                <w:sz w:val="16"/>
                <w:szCs w:val="16"/>
                <w:lang w:val="es-ES_tradnl"/>
              </w:rPr>
              <w:t xml:space="preserve"> de la Subdirección de Gestión Contractual</w:t>
            </w:r>
          </w:p>
        </w:tc>
      </w:tr>
      <w:tr w:rsidR="00AA6DD4" w:rsidRPr="0028717F" w14:paraId="620ED179" w14:textId="77777777" w:rsidTr="6498707F">
        <w:trPr>
          <w:trHeight w:val="330"/>
        </w:trPr>
        <w:tc>
          <w:tcPr>
            <w:tcW w:w="893" w:type="dxa"/>
            <w:vAlign w:val="center"/>
            <w:hideMark/>
          </w:tcPr>
          <w:p w14:paraId="1B0F6100" w14:textId="77777777" w:rsidR="00AA6DD4" w:rsidRPr="0028717F" w:rsidRDefault="00AA6DD4">
            <w:pPr>
              <w:spacing w:line="276" w:lineRule="auto"/>
              <w:contextualSpacing/>
              <w:jc w:val="both"/>
              <w:rPr>
                <w:rFonts w:ascii="Verdana" w:eastAsia="Calibri" w:hAnsi="Verdana" w:cs="Arial"/>
                <w:sz w:val="16"/>
                <w:szCs w:val="16"/>
                <w:lang w:val="es-ES_tradnl"/>
              </w:rPr>
            </w:pPr>
            <w:r w:rsidRPr="0028717F">
              <w:rPr>
                <w:rFonts w:ascii="Verdana" w:eastAsia="Calibri" w:hAnsi="Verdana" w:cs="Arial"/>
                <w:sz w:val="16"/>
                <w:szCs w:val="16"/>
                <w:lang w:val="es-ES_tradnl"/>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38090E13" w14:textId="77777777" w:rsidR="00AA6DD4" w:rsidRPr="0028717F" w:rsidRDefault="00AA6DD4" w:rsidP="6498707F">
            <w:pPr>
              <w:pStyle w:val="paragraph"/>
              <w:spacing w:before="0" w:beforeAutospacing="0" w:after="0" w:afterAutospacing="0" w:line="276" w:lineRule="auto"/>
              <w:contextualSpacing/>
              <w:jc w:val="both"/>
              <w:textAlignment w:val="baseline"/>
              <w:rPr>
                <w:rFonts w:ascii="Verdana" w:eastAsia="Calibri" w:hAnsi="Verdana" w:cs="Arial"/>
                <w:sz w:val="16"/>
                <w:szCs w:val="16"/>
                <w:lang w:val="es-ES" w:eastAsia="en-US"/>
              </w:rPr>
            </w:pPr>
            <w:r w:rsidRPr="6498707F">
              <w:rPr>
                <w:rFonts w:ascii="Verdana" w:eastAsia="Calibri" w:hAnsi="Verdana" w:cs="Arial"/>
                <w:sz w:val="16"/>
                <w:szCs w:val="16"/>
                <w:lang w:val="es-ES" w:eastAsia="en-US"/>
              </w:rPr>
              <w:t>Adriana Katerine Lopez Rodriguez</w:t>
            </w:r>
          </w:p>
          <w:p w14:paraId="4E6DB6E8" w14:textId="77777777" w:rsidR="00AA6DD4" w:rsidRPr="0028717F" w:rsidRDefault="00AA6DD4">
            <w:pPr>
              <w:pStyle w:val="paragraph"/>
              <w:spacing w:before="0" w:beforeAutospacing="0" w:after="0" w:afterAutospacing="0" w:line="276" w:lineRule="auto"/>
              <w:contextualSpacing/>
              <w:jc w:val="both"/>
              <w:textAlignment w:val="baseline"/>
              <w:rPr>
                <w:rFonts w:ascii="Verdana" w:eastAsia="Calibri" w:hAnsi="Verdana" w:cs="Arial"/>
                <w:sz w:val="16"/>
                <w:szCs w:val="16"/>
                <w:lang w:val="es-ES_tradnl" w:eastAsia="en-US"/>
              </w:rPr>
            </w:pPr>
            <w:r w:rsidRPr="0028717F">
              <w:rPr>
                <w:rFonts w:ascii="Verdana" w:eastAsia="Calibri" w:hAnsi="Verdana"/>
                <w:sz w:val="16"/>
                <w:szCs w:val="16"/>
                <w:lang w:val="es-ES_tradnl" w:eastAsia="en-US"/>
              </w:rPr>
              <w:t>Contratista de la Subdirección de Gestión Contractual </w:t>
            </w:r>
          </w:p>
        </w:tc>
      </w:tr>
      <w:tr w:rsidR="00AA6DD4" w:rsidRPr="0028717F" w14:paraId="7881E0FC" w14:textId="77777777" w:rsidTr="6498707F">
        <w:trPr>
          <w:trHeight w:val="300"/>
        </w:trPr>
        <w:tc>
          <w:tcPr>
            <w:tcW w:w="893" w:type="dxa"/>
            <w:vAlign w:val="center"/>
          </w:tcPr>
          <w:p w14:paraId="6D86FE13" w14:textId="77777777" w:rsidR="00AA6DD4" w:rsidRPr="0028717F" w:rsidRDefault="00AA6DD4">
            <w:pPr>
              <w:spacing w:line="276" w:lineRule="auto"/>
              <w:contextualSpacing/>
              <w:jc w:val="both"/>
              <w:rPr>
                <w:rFonts w:ascii="Verdana" w:eastAsia="Calibri" w:hAnsi="Verdana" w:cs="Arial"/>
                <w:sz w:val="16"/>
                <w:szCs w:val="16"/>
                <w:lang w:val="es-ES_tradnl"/>
              </w:rPr>
            </w:pPr>
            <w:r w:rsidRPr="0028717F">
              <w:rPr>
                <w:rFonts w:ascii="Verdana" w:eastAsia="Calibri" w:hAnsi="Verdana" w:cs="Arial"/>
                <w:sz w:val="16"/>
                <w:szCs w:val="16"/>
                <w:lang w:val="es-ES_tradnl"/>
              </w:rPr>
              <w:lastRenderedPageBreak/>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6ECE070D" w14:textId="77777777" w:rsidR="00AA6DD4" w:rsidRPr="0028717F" w:rsidRDefault="00AA6DD4" w:rsidP="6498707F">
            <w:pPr>
              <w:spacing w:line="276" w:lineRule="auto"/>
              <w:contextualSpacing/>
              <w:jc w:val="both"/>
              <w:rPr>
                <w:rFonts w:ascii="Verdana" w:eastAsia="Calibri" w:hAnsi="Verdana" w:cs="Arial"/>
                <w:sz w:val="16"/>
                <w:szCs w:val="16"/>
                <w:lang w:val="es-ES"/>
              </w:rPr>
            </w:pPr>
            <w:r w:rsidRPr="6498707F">
              <w:rPr>
                <w:rFonts w:ascii="Verdana" w:eastAsia="Calibri" w:hAnsi="Verdana" w:cs="Arial"/>
                <w:sz w:val="16"/>
                <w:szCs w:val="16"/>
                <w:lang w:val="es-ES"/>
              </w:rPr>
              <w:t>Carolina Quintero Gacharná</w:t>
            </w:r>
          </w:p>
          <w:p w14:paraId="70F16A24" w14:textId="77777777" w:rsidR="00AA6DD4" w:rsidRPr="0028717F" w:rsidRDefault="00AA6DD4">
            <w:pPr>
              <w:spacing w:line="276" w:lineRule="auto"/>
              <w:contextualSpacing/>
              <w:jc w:val="both"/>
              <w:rPr>
                <w:rFonts w:ascii="Verdana" w:eastAsia="Calibri" w:hAnsi="Verdana" w:cs="Arial"/>
                <w:sz w:val="16"/>
                <w:szCs w:val="16"/>
                <w:lang w:val="es-ES_tradnl"/>
              </w:rPr>
            </w:pPr>
            <w:r w:rsidRPr="0028717F">
              <w:rPr>
                <w:rFonts w:ascii="Verdana" w:eastAsia="Calibri" w:hAnsi="Verdana" w:cs="Arial"/>
                <w:sz w:val="16"/>
                <w:szCs w:val="16"/>
                <w:lang w:val="es-ES_tradnl"/>
              </w:rPr>
              <w:t>Subdirectora de Gestión Contractual ANCP – CCE</w:t>
            </w:r>
          </w:p>
        </w:tc>
      </w:tr>
    </w:tbl>
    <w:p w14:paraId="29A111C5" w14:textId="77777777" w:rsidR="00AA6DD4" w:rsidRPr="00186FA9" w:rsidRDefault="00AA6DD4" w:rsidP="00AA6DD4">
      <w:pPr>
        <w:spacing w:after="0" w:line="276" w:lineRule="auto"/>
        <w:jc w:val="both"/>
        <w:rPr>
          <w:rFonts w:ascii="Verdana" w:eastAsia="Times New Roman" w:hAnsi="Verdana" w:cs="Arial"/>
          <w:lang w:eastAsia="es-ES"/>
        </w:rPr>
      </w:pPr>
    </w:p>
    <w:p w14:paraId="23336D89" w14:textId="77777777" w:rsidR="00AA6DD4" w:rsidRPr="00186FA9" w:rsidRDefault="00AA6DD4" w:rsidP="00AA6DD4">
      <w:pPr>
        <w:spacing w:line="276" w:lineRule="auto"/>
        <w:jc w:val="both"/>
        <w:rPr>
          <w:rFonts w:ascii="Verdana" w:hAnsi="Verdana"/>
        </w:rPr>
      </w:pPr>
    </w:p>
    <w:p w14:paraId="06FDF8BD" w14:textId="77777777" w:rsidR="00AA6DD4" w:rsidRPr="00186FA9" w:rsidRDefault="00AA6DD4" w:rsidP="00AA6DD4">
      <w:pPr>
        <w:spacing w:after="0" w:line="276" w:lineRule="auto"/>
        <w:jc w:val="both"/>
        <w:rPr>
          <w:rFonts w:ascii="Verdana" w:hAnsi="Verdana"/>
        </w:rPr>
      </w:pPr>
    </w:p>
    <w:bookmarkEnd w:id="0"/>
    <w:p w14:paraId="583C2793" w14:textId="77777777" w:rsidR="00AA6DD4" w:rsidRPr="00186FA9" w:rsidRDefault="00AA6DD4" w:rsidP="00AA6DD4">
      <w:pPr>
        <w:spacing w:line="276" w:lineRule="auto"/>
        <w:jc w:val="both"/>
        <w:rPr>
          <w:rFonts w:ascii="Verdana" w:hAnsi="Verdana"/>
        </w:rPr>
      </w:pPr>
    </w:p>
    <w:p w14:paraId="16C72618" w14:textId="77777777" w:rsidR="00AA6DD4" w:rsidRPr="00D60B26" w:rsidRDefault="00AA6DD4" w:rsidP="00AA6DD4"/>
    <w:p w14:paraId="0083C991" w14:textId="5C765C2F" w:rsidR="5D8505AD" w:rsidRPr="00AA6DD4" w:rsidRDefault="5D8505AD" w:rsidP="00AA6DD4"/>
    <w:sectPr w:rsidR="5D8505AD" w:rsidRPr="00AA6DD4" w:rsidSect="00E45F4B">
      <w:headerReference w:type="default" r:id="rId28"/>
      <w:footerReference w:type="default" r:id="rId29"/>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B160975" w14:textId="77777777" w:rsidR="00F515A5" w:rsidRDefault="00F515A5" w:rsidP="00B30448">
      <w:pPr>
        <w:spacing w:after="0" w:line="240" w:lineRule="auto"/>
      </w:pPr>
      <w:r>
        <w:separator/>
      </w:r>
    </w:p>
  </w:endnote>
  <w:endnote w:type="continuationSeparator" w:id="0">
    <w:p w14:paraId="76E3F52C" w14:textId="77777777" w:rsidR="00F515A5" w:rsidRDefault="00F515A5" w:rsidP="00B30448">
      <w:pPr>
        <w:spacing w:after="0" w:line="240" w:lineRule="auto"/>
      </w:pPr>
      <w:r>
        <w:continuationSeparator/>
      </w:r>
    </w:p>
  </w:endnote>
  <w:endnote w:type="continuationNotice" w:id="1">
    <w:p w14:paraId="4A119303" w14:textId="77777777" w:rsidR="00F515A5" w:rsidRDefault="00F515A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altName w:val="Calibri"/>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A7DACD" w14:textId="77777777" w:rsidR="000849D5" w:rsidRDefault="000849D5" w:rsidP="000849D5">
    <w:pPr>
      <w:spacing w:after="0"/>
      <w:rPr>
        <w:rFonts w:ascii="Verdana" w:hAnsi="Verdana"/>
        <w:b/>
        <w:bCs/>
        <w:sz w:val="20"/>
        <w:szCs w:val="20"/>
      </w:rPr>
    </w:pPr>
  </w:p>
  <w:p w14:paraId="6681ECB2" w14:textId="77777777" w:rsidR="000849D5" w:rsidRPr="00174B77" w:rsidRDefault="000849D5" w:rsidP="000849D5">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21625D2E" w14:textId="77777777" w:rsidR="000849D5" w:rsidRDefault="000849D5" w:rsidP="000849D5">
    <w:pPr>
      <w:spacing w:after="0"/>
      <w:jc w:val="both"/>
      <w:rPr>
        <w:rFonts w:ascii="Verdana" w:hAnsi="Verdana"/>
        <w:sz w:val="18"/>
        <w:szCs w:val="18"/>
      </w:rPr>
    </w:pPr>
    <w:r w:rsidRPr="00E41027">
      <w:rPr>
        <w:rFonts w:ascii="Verdana" w:hAnsi="Verdana"/>
        <w:sz w:val="18"/>
        <w:szCs w:val="18"/>
      </w:rPr>
      <w:t>Dirección: Carrera 7 # 26 – 20 - Bogotá, Colombia</w:t>
    </w:r>
  </w:p>
  <w:p w14:paraId="559D727E" w14:textId="77777777" w:rsidR="000849D5" w:rsidRPr="00E41027" w:rsidRDefault="000849D5" w:rsidP="000849D5">
    <w:pPr>
      <w:spacing w:after="0"/>
      <w:jc w:val="both"/>
      <w:rPr>
        <w:rFonts w:ascii="Verdana" w:hAnsi="Verdana"/>
        <w:sz w:val="18"/>
        <w:szCs w:val="18"/>
      </w:rPr>
    </w:pPr>
    <w:r w:rsidRPr="00E41027">
      <w:rPr>
        <w:rFonts w:ascii="Verdana" w:hAnsi="Verdana"/>
        <w:sz w:val="18"/>
        <w:szCs w:val="18"/>
      </w:rPr>
      <w:t>Mesa de servicio: (+57) 601 7456788</w:t>
    </w:r>
  </w:p>
  <w:p w14:paraId="143E423D" w14:textId="77777777" w:rsidR="000849D5" w:rsidRDefault="000849D5" w:rsidP="000849D5">
    <w:pPr>
      <w:pStyle w:val="Piedepgina"/>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Pr>
        <w:rFonts w:ascii="Century Gothic" w:hAnsi="Century Gothic"/>
        <w:sz w:val="18"/>
        <w:szCs w:val="18"/>
      </w:rPr>
      <w:t>Código: CCE-DES-FM-17 Versión: 4</w:t>
    </w:r>
    <w:r w:rsidRPr="0086556C">
      <w:rPr>
        <w:rFonts w:ascii="Century Gothic" w:hAnsi="Century Gothic"/>
        <w:sz w:val="18"/>
        <w:szCs w:val="18"/>
      </w:rPr>
      <w:t xml:space="preserve"> </w:t>
    </w:r>
    <w:r>
      <w:rPr>
        <w:rFonts w:ascii="Century Gothic" w:hAnsi="Century Gothic"/>
        <w:sz w:val="18"/>
        <w:szCs w:val="18"/>
      </w:rPr>
      <w:t>Fecha: 13-12-2023</w:t>
    </w:r>
  </w:p>
  <w:p w14:paraId="337FD84E" w14:textId="77777777" w:rsidR="000849D5" w:rsidRPr="007D04B2" w:rsidRDefault="000849D5" w:rsidP="000849D5">
    <w:pPr>
      <w:pStyle w:val="Piedepgina"/>
    </w:pPr>
  </w:p>
  <w:p w14:paraId="769219E2" w14:textId="77777777" w:rsidR="00B30448" w:rsidRPr="000849D5" w:rsidRDefault="00B30448" w:rsidP="000849D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342494" w14:textId="77777777" w:rsidR="00F515A5" w:rsidRDefault="00F515A5" w:rsidP="00B30448">
      <w:pPr>
        <w:spacing w:after="0" w:line="240" w:lineRule="auto"/>
      </w:pPr>
      <w:r>
        <w:separator/>
      </w:r>
    </w:p>
  </w:footnote>
  <w:footnote w:type="continuationSeparator" w:id="0">
    <w:p w14:paraId="5B996E09" w14:textId="77777777" w:rsidR="00F515A5" w:rsidRDefault="00F515A5" w:rsidP="00B30448">
      <w:pPr>
        <w:spacing w:after="0" w:line="240" w:lineRule="auto"/>
      </w:pPr>
      <w:r>
        <w:continuationSeparator/>
      </w:r>
    </w:p>
  </w:footnote>
  <w:footnote w:type="continuationNotice" w:id="1">
    <w:p w14:paraId="4F8B6C88" w14:textId="77777777" w:rsidR="00F515A5" w:rsidRDefault="00F515A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849537" w14:textId="2A6D5254" w:rsidR="00515FB5" w:rsidRDefault="00515FB5" w:rsidP="00515FB5">
    <w:pPr>
      <w:pStyle w:val="Encabezado"/>
    </w:pPr>
    <w:r>
      <w:rPr>
        <w:rFonts w:ascii="Geomanist Bold" w:hAnsi="Geomanist Bold"/>
        <w:b/>
        <w:bCs/>
        <w:noProof/>
        <w:color w:val="002060"/>
        <w:sz w:val="24"/>
        <w:szCs w:val="24"/>
      </w:rPr>
      <w:drawing>
        <wp:anchor distT="0" distB="0" distL="114300" distR="114300" simplePos="0" relativeHeight="251658240" behindDoc="1" locked="0" layoutInCell="1" allowOverlap="1" wp14:anchorId="5E688DB8" wp14:editId="6C11BD5C">
          <wp:simplePos x="0" y="0"/>
          <wp:positionH relativeFrom="margin">
            <wp:align>center</wp:align>
          </wp:positionH>
          <wp:positionV relativeFrom="paragraph">
            <wp:posOffset>-325755</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p>
  <w:p w14:paraId="635D63E7" w14:textId="77777777" w:rsidR="00515FB5" w:rsidRDefault="00515FB5" w:rsidP="00515FB5">
    <w:pPr>
      <w:pStyle w:val="Encabezado"/>
    </w:pPr>
  </w:p>
  <w:p w14:paraId="10CE77C0" w14:textId="77777777" w:rsidR="00515FB5" w:rsidRDefault="00515FB5" w:rsidP="00515FB5">
    <w:pPr>
      <w:pStyle w:val="Encabezado"/>
    </w:pPr>
  </w:p>
  <w:p w14:paraId="5BD4CAA1" w14:textId="77777777" w:rsidR="00515FB5" w:rsidRDefault="00515FB5" w:rsidP="00515FB5">
    <w:pPr>
      <w:pStyle w:val="Encabezado"/>
    </w:pPr>
  </w:p>
  <w:p w14:paraId="0D6E6014" w14:textId="77777777" w:rsidR="00515FB5" w:rsidRPr="00AB7B56" w:rsidRDefault="00515FB5" w:rsidP="00515FB5">
    <w:pPr>
      <w:pStyle w:val="Encabezado"/>
    </w:pPr>
  </w:p>
  <w:p w14:paraId="68E0C024" w14:textId="77777777" w:rsidR="00B30448" w:rsidRPr="00515FB5" w:rsidRDefault="00B30448" w:rsidP="00515FB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5E411A"/>
    <w:multiLevelType w:val="multilevel"/>
    <w:tmpl w:val="A754E2EC"/>
    <w:lvl w:ilvl="0">
      <w:start w:val="14"/>
      <w:numFmt w:val="decimal"/>
      <w:lvlText w:val="%1"/>
      <w:lvlJc w:val="left"/>
      <w:pPr>
        <w:ind w:left="810" w:hanging="550"/>
      </w:pPr>
    </w:lvl>
    <w:lvl w:ilvl="1">
      <w:start w:val="5"/>
      <w:numFmt w:val="decimal"/>
      <w:lvlText w:val="%1.%2."/>
      <w:lvlJc w:val="left"/>
      <w:pPr>
        <w:ind w:left="810" w:hanging="550"/>
      </w:pPr>
      <w:rPr>
        <w:rFonts w:ascii="Arial" w:eastAsia="Arial" w:hAnsi="Arial" w:cs="Arial"/>
        <w:color w:val="000000"/>
        <w:sz w:val="22"/>
        <w:szCs w:val="22"/>
      </w:rPr>
    </w:lvl>
    <w:lvl w:ilvl="2">
      <w:start w:val="1"/>
      <w:numFmt w:val="bullet"/>
      <w:lvlText w:val="•"/>
      <w:lvlJc w:val="left"/>
      <w:pPr>
        <w:ind w:left="2484" w:hanging="550"/>
      </w:pPr>
    </w:lvl>
    <w:lvl w:ilvl="3">
      <w:start w:val="1"/>
      <w:numFmt w:val="bullet"/>
      <w:lvlText w:val="•"/>
      <w:lvlJc w:val="left"/>
      <w:pPr>
        <w:ind w:left="3316" w:hanging="550"/>
      </w:pPr>
    </w:lvl>
    <w:lvl w:ilvl="4">
      <w:start w:val="1"/>
      <w:numFmt w:val="bullet"/>
      <w:lvlText w:val="•"/>
      <w:lvlJc w:val="left"/>
      <w:pPr>
        <w:ind w:left="4148" w:hanging="550"/>
      </w:pPr>
    </w:lvl>
    <w:lvl w:ilvl="5">
      <w:start w:val="1"/>
      <w:numFmt w:val="bullet"/>
      <w:lvlText w:val="•"/>
      <w:lvlJc w:val="left"/>
      <w:pPr>
        <w:ind w:left="4980" w:hanging="550"/>
      </w:pPr>
    </w:lvl>
    <w:lvl w:ilvl="6">
      <w:start w:val="1"/>
      <w:numFmt w:val="bullet"/>
      <w:lvlText w:val="•"/>
      <w:lvlJc w:val="left"/>
      <w:pPr>
        <w:ind w:left="5812" w:hanging="550"/>
      </w:pPr>
    </w:lvl>
    <w:lvl w:ilvl="7">
      <w:start w:val="1"/>
      <w:numFmt w:val="bullet"/>
      <w:lvlText w:val="•"/>
      <w:lvlJc w:val="left"/>
      <w:pPr>
        <w:ind w:left="6644" w:hanging="550"/>
      </w:pPr>
    </w:lvl>
    <w:lvl w:ilvl="8">
      <w:start w:val="1"/>
      <w:numFmt w:val="bullet"/>
      <w:lvlText w:val="•"/>
      <w:lvlJc w:val="left"/>
      <w:pPr>
        <w:ind w:left="7476" w:hanging="550"/>
      </w:pPr>
    </w:lvl>
  </w:abstractNum>
  <w:abstractNum w:abstractNumId="1"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2" w15:restartNumberingAfterBreak="0">
    <w:nsid w:val="051E06B3"/>
    <w:multiLevelType w:val="multilevel"/>
    <w:tmpl w:val="654EE8CE"/>
    <w:lvl w:ilvl="0">
      <w:start w:val="1"/>
      <w:numFmt w:val="decimal"/>
      <w:lvlText w:val="%1."/>
      <w:lvlJc w:val="left"/>
      <w:pPr>
        <w:ind w:left="347" w:hanging="248"/>
      </w:pPr>
      <w:rPr>
        <w:rFonts w:ascii="Arial" w:eastAsia="Arial" w:hAnsi="Arial" w:cs="Arial" w:hint="default"/>
        <w:b/>
        <w:bCs/>
        <w:w w:val="100"/>
        <w:sz w:val="22"/>
        <w:szCs w:val="22"/>
        <w:lang w:val="es-ES" w:eastAsia="en-US" w:bidi="ar-SA"/>
      </w:rPr>
    </w:lvl>
    <w:lvl w:ilvl="1">
      <w:start w:val="1"/>
      <w:numFmt w:val="decimal"/>
      <w:lvlText w:val="%1.%2."/>
      <w:lvlJc w:val="left"/>
      <w:pPr>
        <w:ind w:left="529" w:hanging="430"/>
      </w:pPr>
      <w:rPr>
        <w:rFonts w:ascii="Arial" w:eastAsia="Arial" w:hAnsi="Arial" w:cs="Arial" w:hint="default"/>
        <w:b/>
        <w:bCs/>
        <w:w w:val="100"/>
        <w:sz w:val="22"/>
        <w:szCs w:val="22"/>
        <w:lang w:val="es-ES" w:eastAsia="en-US" w:bidi="ar-SA"/>
      </w:rPr>
    </w:lvl>
    <w:lvl w:ilvl="2">
      <w:numFmt w:val="bullet"/>
      <w:lvlText w:val="•"/>
      <w:lvlJc w:val="left"/>
      <w:pPr>
        <w:ind w:left="1526" w:hanging="430"/>
      </w:pPr>
      <w:rPr>
        <w:rFonts w:hint="default"/>
        <w:lang w:val="es-ES" w:eastAsia="en-US" w:bidi="ar-SA"/>
      </w:rPr>
    </w:lvl>
    <w:lvl w:ilvl="3">
      <w:numFmt w:val="bullet"/>
      <w:lvlText w:val="•"/>
      <w:lvlJc w:val="left"/>
      <w:pPr>
        <w:ind w:left="2533" w:hanging="430"/>
      </w:pPr>
      <w:rPr>
        <w:rFonts w:hint="default"/>
        <w:lang w:val="es-ES" w:eastAsia="en-US" w:bidi="ar-SA"/>
      </w:rPr>
    </w:lvl>
    <w:lvl w:ilvl="4">
      <w:numFmt w:val="bullet"/>
      <w:lvlText w:val="•"/>
      <w:lvlJc w:val="left"/>
      <w:pPr>
        <w:ind w:left="3540" w:hanging="430"/>
      </w:pPr>
      <w:rPr>
        <w:rFonts w:hint="default"/>
        <w:lang w:val="es-ES" w:eastAsia="en-US" w:bidi="ar-SA"/>
      </w:rPr>
    </w:lvl>
    <w:lvl w:ilvl="5">
      <w:numFmt w:val="bullet"/>
      <w:lvlText w:val="•"/>
      <w:lvlJc w:val="left"/>
      <w:pPr>
        <w:ind w:left="4546" w:hanging="430"/>
      </w:pPr>
      <w:rPr>
        <w:rFonts w:hint="default"/>
        <w:lang w:val="es-ES" w:eastAsia="en-US" w:bidi="ar-SA"/>
      </w:rPr>
    </w:lvl>
    <w:lvl w:ilvl="6">
      <w:numFmt w:val="bullet"/>
      <w:lvlText w:val="•"/>
      <w:lvlJc w:val="left"/>
      <w:pPr>
        <w:ind w:left="5553" w:hanging="430"/>
      </w:pPr>
      <w:rPr>
        <w:rFonts w:hint="default"/>
        <w:lang w:val="es-ES" w:eastAsia="en-US" w:bidi="ar-SA"/>
      </w:rPr>
    </w:lvl>
    <w:lvl w:ilvl="7">
      <w:numFmt w:val="bullet"/>
      <w:lvlText w:val="•"/>
      <w:lvlJc w:val="left"/>
      <w:pPr>
        <w:ind w:left="6560" w:hanging="430"/>
      </w:pPr>
      <w:rPr>
        <w:rFonts w:hint="default"/>
        <w:lang w:val="es-ES" w:eastAsia="en-US" w:bidi="ar-SA"/>
      </w:rPr>
    </w:lvl>
    <w:lvl w:ilvl="8">
      <w:numFmt w:val="bullet"/>
      <w:lvlText w:val="•"/>
      <w:lvlJc w:val="left"/>
      <w:pPr>
        <w:ind w:left="7566" w:hanging="430"/>
      </w:pPr>
      <w:rPr>
        <w:rFonts w:hint="default"/>
        <w:lang w:val="es-ES" w:eastAsia="en-US" w:bidi="ar-SA"/>
      </w:rPr>
    </w:lvl>
  </w:abstractNum>
  <w:abstractNum w:abstractNumId="3" w15:restartNumberingAfterBreak="0">
    <w:nsid w:val="05FF446B"/>
    <w:multiLevelType w:val="hybridMultilevel"/>
    <w:tmpl w:val="DE341CD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5"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187732AA"/>
    <w:multiLevelType w:val="hybridMultilevel"/>
    <w:tmpl w:val="C35C213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20563B85"/>
    <w:multiLevelType w:val="hybridMultilevel"/>
    <w:tmpl w:val="8CFE8CFC"/>
    <w:lvl w:ilvl="0" w:tplc="240A0001">
      <w:start w:val="1"/>
      <w:numFmt w:val="bullet"/>
      <w:lvlText w:val=""/>
      <w:lvlJc w:val="left"/>
      <w:pPr>
        <w:ind w:left="1428" w:hanging="360"/>
      </w:pPr>
      <w:rPr>
        <w:rFonts w:ascii="Symbol" w:hAnsi="Symbol" w:hint="default"/>
      </w:rPr>
    </w:lvl>
    <w:lvl w:ilvl="1" w:tplc="240A0003" w:tentative="1">
      <w:start w:val="1"/>
      <w:numFmt w:val="bullet"/>
      <w:lvlText w:val="o"/>
      <w:lvlJc w:val="left"/>
      <w:pPr>
        <w:ind w:left="2148" w:hanging="360"/>
      </w:pPr>
      <w:rPr>
        <w:rFonts w:ascii="Courier New" w:hAnsi="Courier New" w:cs="Courier New" w:hint="default"/>
      </w:rPr>
    </w:lvl>
    <w:lvl w:ilvl="2" w:tplc="240A0005" w:tentative="1">
      <w:start w:val="1"/>
      <w:numFmt w:val="bullet"/>
      <w:lvlText w:val=""/>
      <w:lvlJc w:val="left"/>
      <w:pPr>
        <w:ind w:left="2868" w:hanging="360"/>
      </w:pPr>
      <w:rPr>
        <w:rFonts w:ascii="Wingdings" w:hAnsi="Wingdings" w:hint="default"/>
      </w:rPr>
    </w:lvl>
    <w:lvl w:ilvl="3" w:tplc="240A0001" w:tentative="1">
      <w:start w:val="1"/>
      <w:numFmt w:val="bullet"/>
      <w:lvlText w:val=""/>
      <w:lvlJc w:val="left"/>
      <w:pPr>
        <w:ind w:left="3588" w:hanging="360"/>
      </w:pPr>
      <w:rPr>
        <w:rFonts w:ascii="Symbol" w:hAnsi="Symbol" w:hint="default"/>
      </w:rPr>
    </w:lvl>
    <w:lvl w:ilvl="4" w:tplc="240A0003" w:tentative="1">
      <w:start w:val="1"/>
      <w:numFmt w:val="bullet"/>
      <w:lvlText w:val="o"/>
      <w:lvlJc w:val="left"/>
      <w:pPr>
        <w:ind w:left="4308" w:hanging="360"/>
      </w:pPr>
      <w:rPr>
        <w:rFonts w:ascii="Courier New" w:hAnsi="Courier New" w:cs="Courier New" w:hint="default"/>
      </w:rPr>
    </w:lvl>
    <w:lvl w:ilvl="5" w:tplc="240A0005" w:tentative="1">
      <w:start w:val="1"/>
      <w:numFmt w:val="bullet"/>
      <w:lvlText w:val=""/>
      <w:lvlJc w:val="left"/>
      <w:pPr>
        <w:ind w:left="5028" w:hanging="360"/>
      </w:pPr>
      <w:rPr>
        <w:rFonts w:ascii="Wingdings" w:hAnsi="Wingdings" w:hint="default"/>
      </w:rPr>
    </w:lvl>
    <w:lvl w:ilvl="6" w:tplc="240A0001" w:tentative="1">
      <w:start w:val="1"/>
      <w:numFmt w:val="bullet"/>
      <w:lvlText w:val=""/>
      <w:lvlJc w:val="left"/>
      <w:pPr>
        <w:ind w:left="5748" w:hanging="360"/>
      </w:pPr>
      <w:rPr>
        <w:rFonts w:ascii="Symbol" w:hAnsi="Symbol" w:hint="default"/>
      </w:rPr>
    </w:lvl>
    <w:lvl w:ilvl="7" w:tplc="240A0003" w:tentative="1">
      <w:start w:val="1"/>
      <w:numFmt w:val="bullet"/>
      <w:lvlText w:val="o"/>
      <w:lvlJc w:val="left"/>
      <w:pPr>
        <w:ind w:left="6468" w:hanging="360"/>
      </w:pPr>
      <w:rPr>
        <w:rFonts w:ascii="Courier New" w:hAnsi="Courier New" w:cs="Courier New" w:hint="default"/>
      </w:rPr>
    </w:lvl>
    <w:lvl w:ilvl="8" w:tplc="240A0005" w:tentative="1">
      <w:start w:val="1"/>
      <w:numFmt w:val="bullet"/>
      <w:lvlText w:val=""/>
      <w:lvlJc w:val="left"/>
      <w:pPr>
        <w:ind w:left="7188" w:hanging="360"/>
      </w:pPr>
      <w:rPr>
        <w:rFonts w:ascii="Wingdings" w:hAnsi="Wingdings" w:hint="default"/>
      </w:rPr>
    </w:lvl>
  </w:abstractNum>
  <w:abstractNum w:abstractNumId="8" w15:restartNumberingAfterBreak="0">
    <w:nsid w:val="2FD82040"/>
    <w:multiLevelType w:val="hybridMultilevel"/>
    <w:tmpl w:val="FEC0BAE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384B50F4"/>
    <w:multiLevelType w:val="hybridMultilevel"/>
    <w:tmpl w:val="3AF8BC34"/>
    <w:lvl w:ilvl="0" w:tplc="CA280138">
      <w:start w:val="1"/>
      <w:numFmt w:val="lowerRoman"/>
      <w:lvlText w:val="%1)"/>
      <w:lvlJc w:val="left"/>
      <w:pPr>
        <w:ind w:left="1440" w:hanging="72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2"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3" w15:restartNumberingAfterBreak="0">
    <w:nsid w:val="4AA7326E"/>
    <w:multiLevelType w:val="multilevel"/>
    <w:tmpl w:val="5CE2D418"/>
    <w:lvl w:ilvl="0">
      <w:start w:val="1"/>
      <w:numFmt w:val="decimal"/>
      <w:lvlText w:val="%1."/>
      <w:lvlJc w:val="left"/>
      <w:pPr>
        <w:ind w:left="48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688" w:hanging="578"/>
      </w:pPr>
      <w:rPr>
        <w:rFonts w:ascii="Arial" w:eastAsia="Arial" w:hAnsi="Arial" w:cs="Arial" w:hint="default"/>
        <w:b/>
        <w:bCs/>
        <w:color w:val="4E4D4D"/>
        <w:spacing w:val="-3"/>
        <w:w w:val="100"/>
        <w:sz w:val="22"/>
        <w:szCs w:val="22"/>
        <w:lang w:val="es-ES" w:eastAsia="en-US" w:bidi="ar-SA"/>
      </w:rPr>
    </w:lvl>
    <w:lvl w:ilvl="2">
      <w:start w:val="1"/>
      <w:numFmt w:val="lowerLetter"/>
      <w:lvlText w:val="%3)"/>
      <w:lvlJc w:val="left"/>
      <w:pPr>
        <w:ind w:left="800" w:hanging="325"/>
      </w:pPr>
      <w:rPr>
        <w:rFonts w:ascii="Arial" w:eastAsia="Arial" w:hAnsi="Arial" w:cs="Arial" w:hint="default"/>
        <w:color w:val="000000" w:themeColor="text1"/>
        <w:spacing w:val="-3"/>
        <w:w w:val="100"/>
        <w:sz w:val="22"/>
        <w:szCs w:val="22"/>
        <w:lang w:val="es-ES" w:eastAsia="en-US" w:bidi="ar-SA"/>
      </w:rPr>
    </w:lvl>
    <w:lvl w:ilvl="3">
      <w:numFmt w:val="bullet"/>
      <w:lvlText w:val="•"/>
      <w:lvlJc w:val="left"/>
      <w:pPr>
        <w:ind w:left="1845" w:hanging="325"/>
      </w:pPr>
      <w:rPr>
        <w:rFonts w:hint="default"/>
        <w:lang w:val="es-ES" w:eastAsia="en-US" w:bidi="ar-SA"/>
      </w:rPr>
    </w:lvl>
    <w:lvl w:ilvl="4">
      <w:numFmt w:val="bullet"/>
      <w:lvlText w:val="•"/>
      <w:lvlJc w:val="left"/>
      <w:pPr>
        <w:ind w:left="2890" w:hanging="325"/>
      </w:pPr>
      <w:rPr>
        <w:rFonts w:hint="default"/>
        <w:lang w:val="es-ES" w:eastAsia="en-US" w:bidi="ar-SA"/>
      </w:rPr>
    </w:lvl>
    <w:lvl w:ilvl="5">
      <w:numFmt w:val="bullet"/>
      <w:lvlText w:val="•"/>
      <w:lvlJc w:val="left"/>
      <w:pPr>
        <w:ind w:left="3935" w:hanging="325"/>
      </w:pPr>
      <w:rPr>
        <w:rFonts w:hint="default"/>
        <w:lang w:val="es-ES" w:eastAsia="en-US" w:bidi="ar-SA"/>
      </w:rPr>
    </w:lvl>
    <w:lvl w:ilvl="6">
      <w:numFmt w:val="bullet"/>
      <w:lvlText w:val="•"/>
      <w:lvlJc w:val="left"/>
      <w:pPr>
        <w:ind w:left="4980" w:hanging="325"/>
      </w:pPr>
      <w:rPr>
        <w:rFonts w:hint="default"/>
        <w:lang w:val="es-ES" w:eastAsia="en-US" w:bidi="ar-SA"/>
      </w:rPr>
    </w:lvl>
    <w:lvl w:ilvl="7">
      <w:numFmt w:val="bullet"/>
      <w:lvlText w:val="•"/>
      <w:lvlJc w:val="left"/>
      <w:pPr>
        <w:ind w:left="6025" w:hanging="325"/>
      </w:pPr>
      <w:rPr>
        <w:rFonts w:hint="default"/>
        <w:lang w:val="es-ES" w:eastAsia="en-US" w:bidi="ar-SA"/>
      </w:rPr>
    </w:lvl>
    <w:lvl w:ilvl="8">
      <w:numFmt w:val="bullet"/>
      <w:lvlText w:val="•"/>
      <w:lvlJc w:val="left"/>
      <w:pPr>
        <w:ind w:left="7070" w:hanging="325"/>
      </w:pPr>
      <w:rPr>
        <w:rFonts w:hint="default"/>
        <w:lang w:val="es-ES" w:eastAsia="en-US" w:bidi="ar-SA"/>
      </w:rPr>
    </w:lvl>
  </w:abstractNum>
  <w:abstractNum w:abstractNumId="14" w15:restartNumberingAfterBreak="0">
    <w:nsid w:val="53C32D26"/>
    <w:multiLevelType w:val="hybridMultilevel"/>
    <w:tmpl w:val="82D46C22"/>
    <w:lvl w:ilvl="0" w:tplc="240A0001">
      <w:start w:val="1"/>
      <w:numFmt w:val="bullet"/>
      <w:lvlText w:val=""/>
      <w:lvlJc w:val="left"/>
      <w:pPr>
        <w:ind w:left="1428" w:hanging="360"/>
      </w:pPr>
      <w:rPr>
        <w:rFonts w:ascii="Symbol" w:hAnsi="Symbol" w:hint="default"/>
      </w:rPr>
    </w:lvl>
    <w:lvl w:ilvl="1" w:tplc="240A0003" w:tentative="1">
      <w:start w:val="1"/>
      <w:numFmt w:val="bullet"/>
      <w:lvlText w:val="o"/>
      <w:lvlJc w:val="left"/>
      <w:pPr>
        <w:ind w:left="2148" w:hanging="360"/>
      </w:pPr>
      <w:rPr>
        <w:rFonts w:ascii="Courier New" w:hAnsi="Courier New" w:cs="Courier New" w:hint="default"/>
      </w:rPr>
    </w:lvl>
    <w:lvl w:ilvl="2" w:tplc="240A0005" w:tentative="1">
      <w:start w:val="1"/>
      <w:numFmt w:val="bullet"/>
      <w:lvlText w:val=""/>
      <w:lvlJc w:val="left"/>
      <w:pPr>
        <w:ind w:left="2868" w:hanging="360"/>
      </w:pPr>
      <w:rPr>
        <w:rFonts w:ascii="Wingdings" w:hAnsi="Wingdings" w:hint="default"/>
      </w:rPr>
    </w:lvl>
    <w:lvl w:ilvl="3" w:tplc="240A0001" w:tentative="1">
      <w:start w:val="1"/>
      <w:numFmt w:val="bullet"/>
      <w:lvlText w:val=""/>
      <w:lvlJc w:val="left"/>
      <w:pPr>
        <w:ind w:left="3588" w:hanging="360"/>
      </w:pPr>
      <w:rPr>
        <w:rFonts w:ascii="Symbol" w:hAnsi="Symbol" w:hint="default"/>
      </w:rPr>
    </w:lvl>
    <w:lvl w:ilvl="4" w:tplc="240A0003" w:tentative="1">
      <w:start w:val="1"/>
      <w:numFmt w:val="bullet"/>
      <w:lvlText w:val="o"/>
      <w:lvlJc w:val="left"/>
      <w:pPr>
        <w:ind w:left="4308" w:hanging="360"/>
      </w:pPr>
      <w:rPr>
        <w:rFonts w:ascii="Courier New" w:hAnsi="Courier New" w:cs="Courier New" w:hint="default"/>
      </w:rPr>
    </w:lvl>
    <w:lvl w:ilvl="5" w:tplc="240A0005" w:tentative="1">
      <w:start w:val="1"/>
      <w:numFmt w:val="bullet"/>
      <w:lvlText w:val=""/>
      <w:lvlJc w:val="left"/>
      <w:pPr>
        <w:ind w:left="5028" w:hanging="360"/>
      </w:pPr>
      <w:rPr>
        <w:rFonts w:ascii="Wingdings" w:hAnsi="Wingdings" w:hint="default"/>
      </w:rPr>
    </w:lvl>
    <w:lvl w:ilvl="6" w:tplc="240A0001" w:tentative="1">
      <w:start w:val="1"/>
      <w:numFmt w:val="bullet"/>
      <w:lvlText w:val=""/>
      <w:lvlJc w:val="left"/>
      <w:pPr>
        <w:ind w:left="5748" w:hanging="360"/>
      </w:pPr>
      <w:rPr>
        <w:rFonts w:ascii="Symbol" w:hAnsi="Symbol" w:hint="default"/>
      </w:rPr>
    </w:lvl>
    <w:lvl w:ilvl="7" w:tplc="240A0003" w:tentative="1">
      <w:start w:val="1"/>
      <w:numFmt w:val="bullet"/>
      <w:lvlText w:val="o"/>
      <w:lvlJc w:val="left"/>
      <w:pPr>
        <w:ind w:left="6468" w:hanging="360"/>
      </w:pPr>
      <w:rPr>
        <w:rFonts w:ascii="Courier New" w:hAnsi="Courier New" w:cs="Courier New" w:hint="default"/>
      </w:rPr>
    </w:lvl>
    <w:lvl w:ilvl="8" w:tplc="240A0005" w:tentative="1">
      <w:start w:val="1"/>
      <w:numFmt w:val="bullet"/>
      <w:lvlText w:val=""/>
      <w:lvlJc w:val="left"/>
      <w:pPr>
        <w:ind w:left="7188" w:hanging="360"/>
      </w:pPr>
      <w:rPr>
        <w:rFonts w:ascii="Wingdings" w:hAnsi="Wingdings" w:hint="default"/>
      </w:rPr>
    </w:lvl>
  </w:abstractNum>
  <w:abstractNum w:abstractNumId="15" w15:restartNumberingAfterBreak="0">
    <w:nsid w:val="54290360"/>
    <w:multiLevelType w:val="hybridMultilevel"/>
    <w:tmpl w:val="35988BE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58672F19"/>
    <w:multiLevelType w:val="hybridMultilevel"/>
    <w:tmpl w:val="B79EAA3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597E7732"/>
    <w:multiLevelType w:val="hybridMultilevel"/>
    <w:tmpl w:val="15583C0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5CC8363F"/>
    <w:multiLevelType w:val="hybridMultilevel"/>
    <w:tmpl w:val="BD96C63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6E895A2E"/>
    <w:multiLevelType w:val="hybridMultilevel"/>
    <w:tmpl w:val="A52C0E4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7825752D"/>
    <w:multiLevelType w:val="hybridMultilevel"/>
    <w:tmpl w:val="E23A8282"/>
    <w:lvl w:ilvl="0" w:tplc="99E6A860">
      <w:start w:val="1"/>
      <w:numFmt w:val="lowerRoman"/>
      <w:lvlText w:val="%1)"/>
      <w:lvlJc w:val="left"/>
      <w:pPr>
        <w:ind w:left="1440" w:hanging="72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1" w15:restartNumberingAfterBreak="0">
    <w:nsid w:val="7F6F2538"/>
    <w:multiLevelType w:val="hybridMultilevel"/>
    <w:tmpl w:val="A0267D1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10"/>
  </w:num>
  <w:num w:numId="2">
    <w:abstractNumId w:val="4"/>
  </w:num>
  <w:num w:numId="3">
    <w:abstractNumId w:val="5"/>
  </w:num>
  <w:num w:numId="4">
    <w:abstractNumId w:val="1"/>
  </w:num>
  <w:num w:numId="5">
    <w:abstractNumId w:val="13"/>
  </w:num>
  <w:num w:numId="6">
    <w:abstractNumId w:val="2"/>
  </w:num>
  <w:num w:numId="7">
    <w:abstractNumId w:val="9"/>
  </w:num>
  <w:num w:numId="8">
    <w:abstractNumId w:val="12"/>
  </w:num>
  <w:num w:numId="9">
    <w:abstractNumId w:val="17"/>
  </w:num>
  <w:num w:numId="10">
    <w:abstractNumId w:val="15"/>
  </w:num>
  <w:num w:numId="11">
    <w:abstractNumId w:val="18"/>
  </w:num>
  <w:num w:numId="12">
    <w:abstractNumId w:val="20"/>
  </w:num>
  <w:num w:numId="13">
    <w:abstractNumId w:val="19"/>
  </w:num>
  <w:num w:numId="14">
    <w:abstractNumId w:val="0"/>
  </w:num>
  <w:num w:numId="15">
    <w:abstractNumId w:val="7"/>
  </w:num>
  <w:num w:numId="16">
    <w:abstractNumId w:val="8"/>
  </w:num>
  <w:num w:numId="17">
    <w:abstractNumId w:val="11"/>
  </w:num>
  <w:num w:numId="18">
    <w:abstractNumId w:val="14"/>
  </w:num>
  <w:num w:numId="19">
    <w:abstractNumId w:val="21"/>
  </w:num>
  <w:num w:numId="20">
    <w:abstractNumId w:val="16"/>
  </w:num>
  <w:num w:numId="21">
    <w:abstractNumId w:val="3"/>
  </w:num>
  <w:num w:numId="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448"/>
    <w:rsid w:val="000016F3"/>
    <w:rsid w:val="000037AE"/>
    <w:rsid w:val="00003F8F"/>
    <w:rsid w:val="00005BB0"/>
    <w:rsid w:val="000072F3"/>
    <w:rsid w:val="0001025F"/>
    <w:rsid w:val="00011A77"/>
    <w:rsid w:val="0001222D"/>
    <w:rsid w:val="000135EB"/>
    <w:rsid w:val="00015D2B"/>
    <w:rsid w:val="00023823"/>
    <w:rsid w:val="0002558A"/>
    <w:rsid w:val="00031584"/>
    <w:rsid w:val="00032A0E"/>
    <w:rsid w:val="00037347"/>
    <w:rsid w:val="00040A35"/>
    <w:rsid w:val="000442CC"/>
    <w:rsid w:val="00045B79"/>
    <w:rsid w:val="00047A3C"/>
    <w:rsid w:val="000556D4"/>
    <w:rsid w:val="00064025"/>
    <w:rsid w:val="00071213"/>
    <w:rsid w:val="000716AB"/>
    <w:rsid w:val="00082E4C"/>
    <w:rsid w:val="000849D5"/>
    <w:rsid w:val="0008528F"/>
    <w:rsid w:val="000869B3"/>
    <w:rsid w:val="00090E20"/>
    <w:rsid w:val="000A6E0C"/>
    <w:rsid w:val="000A70FA"/>
    <w:rsid w:val="000A7A56"/>
    <w:rsid w:val="000B1FF7"/>
    <w:rsid w:val="000B2513"/>
    <w:rsid w:val="000B4024"/>
    <w:rsid w:val="000B5FFE"/>
    <w:rsid w:val="000C3C51"/>
    <w:rsid w:val="000C7262"/>
    <w:rsid w:val="000D2A7F"/>
    <w:rsid w:val="000D49FB"/>
    <w:rsid w:val="000D4FCE"/>
    <w:rsid w:val="000E670C"/>
    <w:rsid w:val="000F2DCB"/>
    <w:rsid w:val="00105D89"/>
    <w:rsid w:val="001079A9"/>
    <w:rsid w:val="0011037E"/>
    <w:rsid w:val="00124D0E"/>
    <w:rsid w:val="00126FA8"/>
    <w:rsid w:val="00127A6D"/>
    <w:rsid w:val="00127ADC"/>
    <w:rsid w:val="001363C7"/>
    <w:rsid w:val="00141AC5"/>
    <w:rsid w:val="00143CF3"/>
    <w:rsid w:val="00146B11"/>
    <w:rsid w:val="00147A04"/>
    <w:rsid w:val="0015476D"/>
    <w:rsid w:val="00161E13"/>
    <w:rsid w:val="00164AE0"/>
    <w:rsid w:val="00165E83"/>
    <w:rsid w:val="00166CD7"/>
    <w:rsid w:val="001706BC"/>
    <w:rsid w:val="0017120C"/>
    <w:rsid w:val="00172F3A"/>
    <w:rsid w:val="00186FA9"/>
    <w:rsid w:val="0019532A"/>
    <w:rsid w:val="0019670E"/>
    <w:rsid w:val="00197205"/>
    <w:rsid w:val="00197C18"/>
    <w:rsid w:val="001A5DD4"/>
    <w:rsid w:val="001A67E9"/>
    <w:rsid w:val="001B0DE5"/>
    <w:rsid w:val="001B143B"/>
    <w:rsid w:val="001B21CA"/>
    <w:rsid w:val="001B5566"/>
    <w:rsid w:val="001C04FC"/>
    <w:rsid w:val="001C25A3"/>
    <w:rsid w:val="001C5D03"/>
    <w:rsid w:val="001C7771"/>
    <w:rsid w:val="001D62FF"/>
    <w:rsid w:val="001D7E5B"/>
    <w:rsid w:val="001E2B8E"/>
    <w:rsid w:val="001E5CC4"/>
    <w:rsid w:val="001F3F48"/>
    <w:rsid w:val="001F51B2"/>
    <w:rsid w:val="002000AA"/>
    <w:rsid w:val="00203EBB"/>
    <w:rsid w:val="00204109"/>
    <w:rsid w:val="0021026D"/>
    <w:rsid w:val="00211E6E"/>
    <w:rsid w:val="00212A46"/>
    <w:rsid w:val="0021401D"/>
    <w:rsid w:val="002146B8"/>
    <w:rsid w:val="00214AB9"/>
    <w:rsid w:val="00215516"/>
    <w:rsid w:val="00223573"/>
    <w:rsid w:val="002259BC"/>
    <w:rsid w:val="00235798"/>
    <w:rsid w:val="00240BEB"/>
    <w:rsid w:val="00244C79"/>
    <w:rsid w:val="002527C2"/>
    <w:rsid w:val="002536F1"/>
    <w:rsid w:val="00262F1D"/>
    <w:rsid w:val="00270443"/>
    <w:rsid w:val="00270EE2"/>
    <w:rsid w:val="00272972"/>
    <w:rsid w:val="0028252D"/>
    <w:rsid w:val="00285F49"/>
    <w:rsid w:val="00286491"/>
    <w:rsid w:val="0028717F"/>
    <w:rsid w:val="00291A05"/>
    <w:rsid w:val="002A097D"/>
    <w:rsid w:val="002A0F8D"/>
    <w:rsid w:val="002A65BB"/>
    <w:rsid w:val="002B61CA"/>
    <w:rsid w:val="002B6E44"/>
    <w:rsid w:val="002C267C"/>
    <w:rsid w:val="002D5318"/>
    <w:rsid w:val="002D580F"/>
    <w:rsid w:val="002E1DB5"/>
    <w:rsid w:val="002F3468"/>
    <w:rsid w:val="002F6CCB"/>
    <w:rsid w:val="00300925"/>
    <w:rsid w:val="00304090"/>
    <w:rsid w:val="0030461E"/>
    <w:rsid w:val="0032756A"/>
    <w:rsid w:val="003304E0"/>
    <w:rsid w:val="00334EF8"/>
    <w:rsid w:val="00336408"/>
    <w:rsid w:val="00340DFB"/>
    <w:rsid w:val="0034404F"/>
    <w:rsid w:val="00345220"/>
    <w:rsid w:val="003471E6"/>
    <w:rsid w:val="00356980"/>
    <w:rsid w:val="00362845"/>
    <w:rsid w:val="003639DA"/>
    <w:rsid w:val="00367462"/>
    <w:rsid w:val="00371ECA"/>
    <w:rsid w:val="00372748"/>
    <w:rsid w:val="0037332A"/>
    <w:rsid w:val="0037524E"/>
    <w:rsid w:val="0038151A"/>
    <w:rsid w:val="0039082A"/>
    <w:rsid w:val="00390C21"/>
    <w:rsid w:val="003A37BD"/>
    <w:rsid w:val="003B6D94"/>
    <w:rsid w:val="003C0DF9"/>
    <w:rsid w:val="003C4C96"/>
    <w:rsid w:val="003C55E0"/>
    <w:rsid w:val="003D5BCE"/>
    <w:rsid w:val="003E36FF"/>
    <w:rsid w:val="003F519B"/>
    <w:rsid w:val="003F6FB5"/>
    <w:rsid w:val="00404EAA"/>
    <w:rsid w:val="0040544F"/>
    <w:rsid w:val="00406A19"/>
    <w:rsid w:val="0041222D"/>
    <w:rsid w:val="0041483E"/>
    <w:rsid w:val="00415369"/>
    <w:rsid w:val="004221C8"/>
    <w:rsid w:val="00430492"/>
    <w:rsid w:val="00432FFE"/>
    <w:rsid w:val="00437D03"/>
    <w:rsid w:val="004431F4"/>
    <w:rsid w:val="0044773D"/>
    <w:rsid w:val="00450BE7"/>
    <w:rsid w:val="00462D21"/>
    <w:rsid w:val="0046741E"/>
    <w:rsid w:val="00472CC6"/>
    <w:rsid w:val="004754FB"/>
    <w:rsid w:val="0048026E"/>
    <w:rsid w:val="004807A9"/>
    <w:rsid w:val="004813EE"/>
    <w:rsid w:val="00484FBA"/>
    <w:rsid w:val="00490C3E"/>
    <w:rsid w:val="00493278"/>
    <w:rsid w:val="004943D9"/>
    <w:rsid w:val="004A0E7B"/>
    <w:rsid w:val="004A2F28"/>
    <w:rsid w:val="004A3498"/>
    <w:rsid w:val="004A4E52"/>
    <w:rsid w:val="004B0C45"/>
    <w:rsid w:val="004C0AB2"/>
    <w:rsid w:val="004C1619"/>
    <w:rsid w:val="004C1A26"/>
    <w:rsid w:val="004C1CC9"/>
    <w:rsid w:val="004C3755"/>
    <w:rsid w:val="004C3EA4"/>
    <w:rsid w:val="004C4485"/>
    <w:rsid w:val="004D11AF"/>
    <w:rsid w:val="004D70E1"/>
    <w:rsid w:val="004E64AB"/>
    <w:rsid w:val="004F668D"/>
    <w:rsid w:val="00500DFA"/>
    <w:rsid w:val="005019AA"/>
    <w:rsid w:val="005021BB"/>
    <w:rsid w:val="005139E7"/>
    <w:rsid w:val="005147DA"/>
    <w:rsid w:val="00515FB5"/>
    <w:rsid w:val="005207F7"/>
    <w:rsid w:val="0052365C"/>
    <w:rsid w:val="005271EB"/>
    <w:rsid w:val="005426DB"/>
    <w:rsid w:val="0055082B"/>
    <w:rsid w:val="00552503"/>
    <w:rsid w:val="00552B57"/>
    <w:rsid w:val="00555923"/>
    <w:rsid w:val="00557DA1"/>
    <w:rsid w:val="0056322C"/>
    <w:rsid w:val="00586562"/>
    <w:rsid w:val="0058743A"/>
    <w:rsid w:val="005A4DB0"/>
    <w:rsid w:val="005A7B8E"/>
    <w:rsid w:val="005B012B"/>
    <w:rsid w:val="005B0C87"/>
    <w:rsid w:val="005B2643"/>
    <w:rsid w:val="005B3F16"/>
    <w:rsid w:val="005B56F6"/>
    <w:rsid w:val="005C273B"/>
    <w:rsid w:val="005C4978"/>
    <w:rsid w:val="005D23F6"/>
    <w:rsid w:val="005D2E4E"/>
    <w:rsid w:val="005D2FA8"/>
    <w:rsid w:val="005E2281"/>
    <w:rsid w:val="005E667C"/>
    <w:rsid w:val="005E6DB2"/>
    <w:rsid w:val="005F077C"/>
    <w:rsid w:val="005F50D7"/>
    <w:rsid w:val="005F5F33"/>
    <w:rsid w:val="005F63D0"/>
    <w:rsid w:val="005F7973"/>
    <w:rsid w:val="006048B6"/>
    <w:rsid w:val="00606D1F"/>
    <w:rsid w:val="00611211"/>
    <w:rsid w:val="0061690E"/>
    <w:rsid w:val="00620B41"/>
    <w:rsid w:val="00627361"/>
    <w:rsid w:val="0063017E"/>
    <w:rsid w:val="00631B28"/>
    <w:rsid w:val="006450EE"/>
    <w:rsid w:val="00645B90"/>
    <w:rsid w:val="00650991"/>
    <w:rsid w:val="006511D7"/>
    <w:rsid w:val="006528D6"/>
    <w:rsid w:val="00653E3C"/>
    <w:rsid w:val="00663D75"/>
    <w:rsid w:val="00663D95"/>
    <w:rsid w:val="0066531E"/>
    <w:rsid w:val="00670AEF"/>
    <w:rsid w:val="00673FF4"/>
    <w:rsid w:val="00675678"/>
    <w:rsid w:val="00676A8B"/>
    <w:rsid w:val="00677012"/>
    <w:rsid w:val="006825B4"/>
    <w:rsid w:val="00682AF2"/>
    <w:rsid w:val="006864DF"/>
    <w:rsid w:val="006A1D37"/>
    <w:rsid w:val="006A3C8A"/>
    <w:rsid w:val="006A4F48"/>
    <w:rsid w:val="006A7552"/>
    <w:rsid w:val="006B5953"/>
    <w:rsid w:val="006B7A81"/>
    <w:rsid w:val="006C0EDB"/>
    <w:rsid w:val="006C4BAC"/>
    <w:rsid w:val="006C52F3"/>
    <w:rsid w:val="006D32F0"/>
    <w:rsid w:val="006D570B"/>
    <w:rsid w:val="006D702C"/>
    <w:rsid w:val="006E1F18"/>
    <w:rsid w:val="006E4000"/>
    <w:rsid w:val="006E7F37"/>
    <w:rsid w:val="006F3B81"/>
    <w:rsid w:val="006F4F79"/>
    <w:rsid w:val="00705B37"/>
    <w:rsid w:val="00711FD9"/>
    <w:rsid w:val="0071484C"/>
    <w:rsid w:val="00724487"/>
    <w:rsid w:val="00735062"/>
    <w:rsid w:val="00745400"/>
    <w:rsid w:val="00746BA5"/>
    <w:rsid w:val="00750D05"/>
    <w:rsid w:val="00751D23"/>
    <w:rsid w:val="007534D1"/>
    <w:rsid w:val="00766FCB"/>
    <w:rsid w:val="00770577"/>
    <w:rsid w:val="00777666"/>
    <w:rsid w:val="0078159B"/>
    <w:rsid w:val="0078296B"/>
    <w:rsid w:val="00782E10"/>
    <w:rsid w:val="0078706B"/>
    <w:rsid w:val="00790836"/>
    <w:rsid w:val="00796F7F"/>
    <w:rsid w:val="00797131"/>
    <w:rsid w:val="007975F2"/>
    <w:rsid w:val="007A3C1D"/>
    <w:rsid w:val="007A4193"/>
    <w:rsid w:val="007A7935"/>
    <w:rsid w:val="007B285D"/>
    <w:rsid w:val="007C6BC6"/>
    <w:rsid w:val="00807D79"/>
    <w:rsid w:val="00813634"/>
    <w:rsid w:val="00822821"/>
    <w:rsid w:val="00831C29"/>
    <w:rsid w:val="008430A8"/>
    <w:rsid w:val="008431EA"/>
    <w:rsid w:val="008431EF"/>
    <w:rsid w:val="008468E0"/>
    <w:rsid w:val="008561AA"/>
    <w:rsid w:val="00865FBA"/>
    <w:rsid w:val="00871B59"/>
    <w:rsid w:val="00875457"/>
    <w:rsid w:val="00876251"/>
    <w:rsid w:val="00877D03"/>
    <w:rsid w:val="00877E96"/>
    <w:rsid w:val="008806CA"/>
    <w:rsid w:val="008815E5"/>
    <w:rsid w:val="00881D8B"/>
    <w:rsid w:val="00887B37"/>
    <w:rsid w:val="008909B9"/>
    <w:rsid w:val="00891DFC"/>
    <w:rsid w:val="00895737"/>
    <w:rsid w:val="008A49EE"/>
    <w:rsid w:val="008B12B4"/>
    <w:rsid w:val="008B7914"/>
    <w:rsid w:val="008C5D2A"/>
    <w:rsid w:val="008C7AF4"/>
    <w:rsid w:val="008D1EB8"/>
    <w:rsid w:val="008D40C5"/>
    <w:rsid w:val="008D529F"/>
    <w:rsid w:val="008D7EDD"/>
    <w:rsid w:val="008F02FB"/>
    <w:rsid w:val="008F5CC8"/>
    <w:rsid w:val="009061B8"/>
    <w:rsid w:val="00906A90"/>
    <w:rsid w:val="0091008B"/>
    <w:rsid w:val="00911EA2"/>
    <w:rsid w:val="009155E1"/>
    <w:rsid w:val="0091592D"/>
    <w:rsid w:val="00916C7D"/>
    <w:rsid w:val="00923D6E"/>
    <w:rsid w:val="0092575D"/>
    <w:rsid w:val="0093059F"/>
    <w:rsid w:val="009341DA"/>
    <w:rsid w:val="00941257"/>
    <w:rsid w:val="009430F9"/>
    <w:rsid w:val="009442E8"/>
    <w:rsid w:val="009457B6"/>
    <w:rsid w:val="009466BA"/>
    <w:rsid w:val="00946BD0"/>
    <w:rsid w:val="00947BF4"/>
    <w:rsid w:val="009504D2"/>
    <w:rsid w:val="00951593"/>
    <w:rsid w:val="00952B88"/>
    <w:rsid w:val="00953F42"/>
    <w:rsid w:val="0095426C"/>
    <w:rsid w:val="00962196"/>
    <w:rsid w:val="00970087"/>
    <w:rsid w:val="00971074"/>
    <w:rsid w:val="0097374B"/>
    <w:rsid w:val="009802EE"/>
    <w:rsid w:val="0098266D"/>
    <w:rsid w:val="00985BF7"/>
    <w:rsid w:val="00987B8D"/>
    <w:rsid w:val="00993749"/>
    <w:rsid w:val="00995D86"/>
    <w:rsid w:val="009A5453"/>
    <w:rsid w:val="009B1186"/>
    <w:rsid w:val="009B4D94"/>
    <w:rsid w:val="009C2871"/>
    <w:rsid w:val="009C7CB5"/>
    <w:rsid w:val="009D2600"/>
    <w:rsid w:val="009D3C33"/>
    <w:rsid w:val="009D7F3A"/>
    <w:rsid w:val="009E4885"/>
    <w:rsid w:val="009F5A6D"/>
    <w:rsid w:val="00A03E81"/>
    <w:rsid w:val="00A07DB6"/>
    <w:rsid w:val="00A10A73"/>
    <w:rsid w:val="00A115F6"/>
    <w:rsid w:val="00A170B3"/>
    <w:rsid w:val="00A223D5"/>
    <w:rsid w:val="00A34059"/>
    <w:rsid w:val="00A37D1C"/>
    <w:rsid w:val="00A47318"/>
    <w:rsid w:val="00A5453E"/>
    <w:rsid w:val="00A55848"/>
    <w:rsid w:val="00A558E2"/>
    <w:rsid w:val="00A56F6C"/>
    <w:rsid w:val="00A679CB"/>
    <w:rsid w:val="00A76C8C"/>
    <w:rsid w:val="00A85F30"/>
    <w:rsid w:val="00A9099E"/>
    <w:rsid w:val="00A91FB7"/>
    <w:rsid w:val="00A9298F"/>
    <w:rsid w:val="00AA0351"/>
    <w:rsid w:val="00AA0DA9"/>
    <w:rsid w:val="00AA132B"/>
    <w:rsid w:val="00AA5F4A"/>
    <w:rsid w:val="00AA6DD4"/>
    <w:rsid w:val="00AB1984"/>
    <w:rsid w:val="00AB52B1"/>
    <w:rsid w:val="00AC1CAB"/>
    <w:rsid w:val="00AC4CB3"/>
    <w:rsid w:val="00AC780D"/>
    <w:rsid w:val="00AD036B"/>
    <w:rsid w:val="00AD1996"/>
    <w:rsid w:val="00AD4099"/>
    <w:rsid w:val="00AD4901"/>
    <w:rsid w:val="00AE3817"/>
    <w:rsid w:val="00AE5EC3"/>
    <w:rsid w:val="00AE6A98"/>
    <w:rsid w:val="00B02FE0"/>
    <w:rsid w:val="00B057B6"/>
    <w:rsid w:val="00B118C5"/>
    <w:rsid w:val="00B1783F"/>
    <w:rsid w:val="00B30448"/>
    <w:rsid w:val="00B34786"/>
    <w:rsid w:val="00B400EC"/>
    <w:rsid w:val="00B40162"/>
    <w:rsid w:val="00B41ACE"/>
    <w:rsid w:val="00B50156"/>
    <w:rsid w:val="00B518AD"/>
    <w:rsid w:val="00B5597D"/>
    <w:rsid w:val="00B60A96"/>
    <w:rsid w:val="00B6465E"/>
    <w:rsid w:val="00B678EC"/>
    <w:rsid w:val="00B67B55"/>
    <w:rsid w:val="00B73DDD"/>
    <w:rsid w:val="00B75AC0"/>
    <w:rsid w:val="00B76C94"/>
    <w:rsid w:val="00B772D0"/>
    <w:rsid w:val="00B836EA"/>
    <w:rsid w:val="00B84C05"/>
    <w:rsid w:val="00B8722C"/>
    <w:rsid w:val="00B90AB7"/>
    <w:rsid w:val="00B91B81"/>
    <w:rsid w:val="00B97135"/>
    <w:rsid w:val="00BA5DDC"/>
    <w:rsid w:val="00BB1D1F"/>
    <w:rsid w:val="00BB3072"/>
    <w:rsid w:val="00BC7632"/>
    <w:rsid w:val="00BD48A9"/>
    <w:rsid w:val="00BD630F"/>
    <w:rsid w:val="00BD7EC6"/>
    <w:rsid w:val="00BE3E91"/>
    <w:rsid w:val="00BE45FE"/>
    <w:rsid w:val="00BE50C7"/>
    <w:rsid w:val="00BE73FA"/>
    <w:rsid w:val="00BF5218"/>
    <w:rsid w:val="00BF5C2A"/>
    <w:rsid w:val="00BF6B4B"/>
    <w:rsid w:val="00BF6E77"/>
    <w:rsid w:val="00C04F07"/>
    <w:rsid w:val="00C0511C"/>
    <w:rsid w:val="00C05DED"/>
    <w:rsid w:val="00C20ACF"/>
    <w:rsid w:val="00C22307"/>
    <w:rsid w:val="00C2270F"/>
    <w:rsid w:val="00C230AA"/>
    <w:rsid w:val="00C23469"/>
    <w:rsid w:val="00C30C62"/>
    <w:rsid w:val="00C315BE"/>
    <w:rsid w:val="00C371DF"/>
    <w:rsid w:val="00C42055"/>
    <w:rsid w:val="00C44B4C"/>
    <w:rsid w:val="00C45DDA"/>
    <w:rsid w:val="00C46734"/>
    <w:rsid w:val="00C47A86"/>
    <w:rsid w:val="00C53220"/>
    <w:rsid w:val="00C65562"/>
    <w:rsid w:val="00CA3347"/>
    <w:rsid w:val="00CA41EF"/>
    <w:rsid w:val="00CA4AB4"/>
    <w:rsid w:val="00CA4C80"/>
    <w:rsid w:val="00CB28AD"/>
    <w:rsid w:val="00CB2DC8"/>
    <w:rsid w:val="00CB365F"/>
    <w:rsid w:val="00CC15C9"/>
    <w:rsid w:val="00CC299A"/>
    <w:rsid w:val="00CC6702"/>
    <w:rsid w:val="00CD03E3"/>
    <w:rsid w:val="00CD3DF5"/>
    <w:rsid w:val="00CD4B04"/>
    <w:rsid w:val="00CD738B"/>
    <w:rsid w:val="00CE221E"/>
    <w:rsid w:val="00CE617B"/>
    <w:rsid w:val="00CE6BDA"/>
    <w:rsid w:val="00CF1ABF"/>
    <w:rsid w:val="00CF26FF"/>
    <w:rsid w:val="00D030C6"/>
    <w:rsid w:val="00D03DBE"/>
    <w:rsid w:val="00D072C0"/>
    <w:rsid w:val="00D131D2"/>
    <w:rsid w:val="00D33A2B"/>
    <w:rsid w:val="00D34C82"/>
    <w:rsid w:val="00D3515F"/>
    <w:rsid w:val="00D35995"/>
    <w:rsid w:val="00D3757A"/>
    <w:rsid w:val="00D504A9"/>
    <w:rsid w:val="00D5206D"/>
    <w:rsid w:val="00D53CEB"/>
    <w:rsid w:val="00D60078"/>
    <w:rsid w:val="00D65A05"/>
    <w:rsid w:val="00D7177D"/>
    <w:rsid w:val="00D763B9"/>
    <w:rsid w:val="00D770FB"/>
    <w:rsid w:val="00D81311"/>
    <w:rsid w:val="00D9095F"/>
    <w:rsid w:val="00D93CA6"/>
    <w:rsid w:val="00DB1F59"/>
    <w:rsid w:val="00DB201E"/>
    <w:rsid w:val="00DB5D94"/>
    <w:rsid w:val="00DC075F"/>
    <w:rsid w:val="00DC0E68"/>
    <w:rsid w:val="00DC5D8C"/>
    <w:rsid w:val="00DC744B"/>
    <w:rsid w:val="00DD25ED"/>
    <w:rsid w:val="00DD68B2"/>
    <w:rsid w:val="00DE0D6E"/>
    <w:rsid w:val="00DE3E5A"/>
    <w:rsid w:val="00DE70B4"/>
    <w:rsid w:val="00DF6F0B"/>
    <w:rsid w:val="00E15AB6"/>
    <w:rsid w:val="00E1610C"/>
    <w:rsid w:val="00E16D73"/>
    <w:rsid w:val="00E23E9E"/>
    <w:rsid w:val="00E25722"/>
    <w:rsid w:val="00E272D0"/>
    <w:rsid w:val="00E27851"/>
    <w:rsid w:val="00E27F0A"/>
    <w:rsid w:val="00E4231E"/>
    <w:rsid w:val="00E4302C"/>
    <w:rsid w:val="00E44AC7"/>
    <w:rsid w:val="00E45F4B"/>
    <w:rsid w:val="00E46341"/>
    <w:rsid w:val="00E50E08"/>
    <w:rsid w:val="00E60A16"/>
    <w:rsid w:val="00E63247"/>
    <w:rsid w:val="00E82B6E"/>
    <w:rsid w:val="00E83657"/>
    <w:rsid w:val="00E92110"/>
    <w:rsid w:val="00E94258"/>
    <w:rsid w:val="00E947BD"/>
    <w:rsid w:val="00E96C18"/>
    <w:rsid w:val="00EA0B9C"/>
    <w:rsid w:val="00EA1DF7"/>
    <w:rsid w:val="00EA2E61"/>
    <w:rsid w:val="00EA7D7F"/>
    <w:rsid w:val="00EB01B5"/>
    <w:rsid w:val="00EB02F4"/>
    <w:rsid w:val="00EB2FA2"/>
    <w:rsid w:val="00EB769A"/>
    <w:rsid w:val="00EC0944"/>
    <w:rsid w:val="00EC3A35"/>
    <w:rsid w:val="00ED2BF0"/>
    <w:rsid w:val="00ED411A"/>
    <w:rsid w:val="00EE17F2"/>
    <w:rsid w:val="00EE22BE"/>
    <w:rsid w:val="00EE3138"/>
    <w:rsid w:val="00EE5EF2"/>
    <w:rsid w:val="00EF2AC7"/>
    <w:rsid w:val="00EF400A"/>
    <w:rsid w:val="00EF6BE4"/>
    <w:rsid w:val="00EF6E5D"/>
    <w:rsid w:val="00F02B61"/>
    <w:rsid w:val="00F07764"/>
    <w:rsid w:val="00F12517"/>
    <w:rsid w:val="00F131DD"/>
    <w:rsid w:val="00F16BA1"/>
    <w:rsid w:val="00F24435"/>
    <w:rsid w:val="00F30C0F"/>
    <w:rsid w:val="00F314E8"/>
    <w:rsid w:val="00F323A2"/>
    <w:rsid w:val="00F33B57"/>
    <w:rsid w:val="00F33D5C"/>
    <w:rsid w:val="00F345B7"/>
    <w:rsid w:val="00F34E90"/>
    <w:rsid w:val="00F356D6"/>
    <w:rsid w:val="00F4062F"/>
    <w:rsid w:val="00F47695"/>
    <w:rsid w:val="00F515A5"/>
    <w:rsid w:val="00F53BE2"/>
    <w:rsid w:val="00F55684"/>
    <w:rsid w:val="00F62120"/>
    <w:rsid w:val="00F64D5A"/>
    <w:rsid w:val="00F67458"/>
    <w:rsid w:val="00F675FB"/>
    <w:rsid w:val="00F709CD"/>
    <w:rsid w:val="00F818E9"/>
    <w:rsid w:val="00F906F4"/>
    <w:rsid w:val="00FA0716"/>
    <w:rsid w:val="00FA293B"/>
    <w:rsid w:val="00FA57A0"/>
    <w:rsid w:val="00FB4629"/>
    <w:rsid w:val="00FB6FB1"/>
    <w:rsid w:val="00FB7063"/>
    <w:rsid w:val="00FC302F"/>
    <w:rsid w:val="00FC3C8D"/>
    <w:rsid w:val="00FC5FA1"/>
    <w:rsid w:val="00FC7056"/>
    <w:rsid w:val="00FE1A00"/>
    <w:rsid w:val="024D7E2C"/>
    <w:rsid w:val="0D2EB883"/>
    <w:rsid w:val="0D8163B6"/>
    <w:rsid w:val="13A69650"/>
    <w:rsid w:val="1BB32F19"/>
    <w:rsid w:val="1F2C3AF5"/>
    <w:rsid w:val="1FF4886A"/>
    <w:rsid w:val="22D2584A"/>
    <w:rsid w:val="28751A95"/>
    <w:rsid w:val="29FA8189"/>
    <w:rsid w:val="2C00A012"/>
    <w:rsid w:val="389994B3"/>
    <w:rsid w:val="3B30A011"/>
    <w:rsid w:val="3B93C128"/>
    <w:rsid w:val="3CFBE104"/>
    <w:rsid w:val="510454D8"/>
    <w:rsid w:val="521E120A"/>
    <w:rsid w:val="5D8505AD"/>
    <w:rsid w:val="6498707F"/>
    <w:rsid w:val="71443FBB"/>
    <w:rsid w:val="72EE784C"/>
    <w:rsid w:val="7563E76A"/>
    <w:rsid w:val="79A615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127A6B"/>
  <w15:docId w15:val="{1BAD7E92-2255-4C59-BA79-20C49E968C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5722"/>
  </w:style>
  <w:style w:type="paragraph" w:styleId="Ttulo1">
    <w:name w:val="heading 1"/>
    <w:basedOn w:val="Normal"/>
    <w:link w:val="Ttulo1Car"/>
    <w:uiPriority w:val="1"/>
    <w:qFormat/>
    <w:rsid w:val="00B34786"/>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3044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30448"/>
    <w:pPr>
      <w:spacing w:after="0" w:line="240" w:lineRule="auto"/>
    </w:pPr>
    <w:rPr>
      <w:sz w:val="20"/>
      <w:szCs w:val="20"/>
      <w:lang w:val="es-MX"/>
    </w:rPr>
  </w:style>
  <w:style w:type="character" w:customStyle="1" w:styleId="TextonotapieCar1">
    <w:name w:val="Texto nota pie Car1"/>
    <w:basedOn w:val="Fuentedeprrafopredeter"/>
    <w:uiPriority w:val="99"/>
    <w:semiHidden/>
    <w:rsid w:val="00B3044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B30448"/>
    <w:rPr>
      <w:vertAlign w:val="superscript"/>
    </w:rPr>
  </w:style>
  <w:style w:type="paragraph" w:customStyle="1" w:styleId="Appelnotedebasde">
    <w:name w:val="Appel note de bas de..."/>
    <w:basedOn w:val="Normal"/>
    <w:link w:val="Refdenotaalpie"/>
    <w:uiPriority w:val="99"/>
    <w:rsid w:val="00B30448"/>
    <w:pPr>
      <w:spacing w:line="240" w:lineRule="exact"/>
    </w:pPr>
    <w:rPr>
      <w:vertAlign w:val="superscript"/>
    </w:rPr>
  </w:style>
  <w:style w:type="paragraph" w:styleId="Encabezado">
    <w:name w:val="header"/>
    <w:basedOn w:val="Normal"/>
    <w:link w:val="EncabezadoCar"/>
    <w:uiPriority w:val="99"/>
    <w:unhideWhenUsed/>
    <w:rsid w:val="00B3044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30448"/>
  </w:style>
  <w:style w:type="paragraph" w:styleId="Piedepgina">
    <w:name w:val="footer"/>
    <w:basedOn w:val="Normal"/>
    <w:link w:val="PiedepginaCar"/>
    <w:uiPriority w:val="99"/>
    <w:unhideWhenUsed/>
    <w:rsid w:val="00B3044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0448"/>
  </w:style>
  <w:style w:type="table" w:styleId="Tablaconcuadrcula">
    <w:name w:val="Table Grid"/>
    <w:basedOn w:val="Tablanormal"/>
    <w:uiPriority w:val="39"/>
    <w:qFormat/>
    <w:rsid w:val="00B304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22307"/>
    <w:rPr>
      <w:color w:val="0563C1" w:themeColor="hyperlink"/>
      <w:u w:val="single"/>
    </w:rPr>
  </w:style>
  <w:style w:type="character" w:styleId="Mencinsinresolver">
    <w:name w:val="Unresolved Mention"/>
    <w:basedOn w:val="Fuentedeprrafopredeter"/>
    <w:uiPriority w:val="99"/>
    <w:semiHidden/>
    <w:unhideWhenUsed/>
    <w:rsid w:val="00C22307"/>
    <w:rPr>
      <w:color w:val="605E5C"/>
      <w:shd w:val="clear" w:color="auto" w:fill="E1DFDD"/>
    </w:rPr>
  </w:style>
  <w:style w:type="character" w:styleId="Hipervnculovisitado">
    <w:name w:val="FollowedHyperlink"/>
    <w:basedOn w:val="Fuentedeprrafopredeter"/>
    <w:uiPriority w:val="99"/>
    <w:semiHidden/>
    <w:unhideWhenUsed/>
    <w:rsid w:val="00C22307"/>
    <w:rPr>
      <w:color w:val="954F72" w:themeColor="followedHyperlink"/>
      <w:u w:val="single"/>
    </w:rPr>
  </w:style>
  <w:style w:type="character" w:styleId="Refdecomentario">
    <w:name w:val="annotation reference"/>
    <w:basedOn w:val="Fuentedeprrafopredeter"/>
    <w:uiPriority w:val="99"/>
    <w:semiHidden/>
    <w:unhideWhenUsed/>
    <w:rsid w:val="00A37D1C"/>
    <w:rPr>
      <w:sz w:val="16"/>
      <w:szCs w:val="16"/>
    </w:rPr>
  </w:style>
  <w:style w:type="paragraph" w:styleId="Textocomentario">
    <w:name w:val="annotation text"/>
    <w:basedOn w:val="Normal"/>
    <w:link w:val="TextocomentarioCar"/>
    <w:uiPriority w:val="99"/>
    <w:unhideWhenUsed/>
    <w:rsid w:val="00A37D1C"/>
    <w:pPr>
      <w:spacing w:line="240" w:lineRule="auto"/>
    </w:pPr>
    <w:rPr>
      <w:sz w:val="20"/>
      <w:szCs w:val="20"/>
    </w:rPr>
  </w:style>
  <w:style w:type="character" w:customStyle="1" w:styleId="TextocomentarioCar">
    <w:name w:val="Texto comentario Car"/>
    <w:basedOn w:val="Fuentedeprrafopredeter"/>
    <w:link w:val="Textocomentario"/>
    <w:uiPriority w:val="99"/>
    <w:rsid w:val="00A37D1C"/>
    <w:rPr>
      <w:sz w:val="20"/>
      <w:szCs w:val="20"/>
    </w:rPr>
  </w:style>
  <w:style w:type="paragraph" w:styleId="Asuntodelcomentario">
    <w:name w:val="annotation subject"/>
    <w:basedOn w:val="Textocomentario"/>
    <w:next w:val="Textocomentario"/>
    <w:link w:val="AsuntodelcomentarioCar"/>
    <w:uiPriority w:val="99"/>
    <w:semiHidden/>
    <w:unhideWhenUsed/>
    <w:rsid w:val="00A37D1C"/>
    <w:rPr>
      <w:b/>
      <w:bCs/>
    </w:rPr>
  </w:style>
  <w:style w:type="character" w:customStyle="1" w:styleId="AsuntodelcomentarioCar">
    <w:name w:val="Asunto del comentario Car"/>
    <w:basedOn w:val="TextocomentarioCar"/>
    <w:link w:val="Asuntodelcomentario"/>
    <w:uiPriority w:val="99"/>
    <w:semiHidden/>
    <w:rsid w:val="00A37D1C"/>
    <w:rPr>
      <w:b/>
      <w:bCs/>
      <w:sz w:val="20"/>
      <w:szCs w:val="20"/>
    </w:rPr>
  </w:style>
  <w:style w:type="paragraph" w:customStyle="1" w:styleId="Normal11pt">
    <w:name w:val="Normal + 11 pt"/>
    <w:aliases w:val="Negro,Justificado,Izquierda:  -0,95 cm,Derecha:  0,04 cm"/>
    <w:basedOn w:val="Normal"/>
    <w:uiPriority w:val="99"/>
    <w:rsid w:val="00B76C94"/>
    <w:pPr>
      <w:spacing w:after="0" w:line="240" w:lineRule="auto"/>
      <w:ind w:left="-540"/>
      <w:jc w:val="both"/>
    </w:pPr>
    <w:rPr>
      <w:rFonts w:ascii="Arial" w:eastAsia="Times New Roman" w:hAnsi="Arial" w:cs="Arial"/>
      <w:color w:val="000000"/>
      <w:lang w:val="es-ES_tradnl" w:eastAsia="es-ES"/>
    </w:rPr>
  </w:style>
  <w:style w:type="paragraph" w:styleId="Revisin">
    <w:name w:val="Revision"/>
    <w:hidden/>
    <w:uiPriority w:val="99"/>
    <w:semiHidden/>
    <w:rsid w:val="00F64D5A"/>
    <w:pPr>
      <w:spacing w:after="0" w:line="240" w:lineRule="auto"/>
    </w:pPr>
  </w:style>
  <w:style w:type="character" w:customStyle="1" w:styleId="cf01">
    <w:name w:val="cf01"/>
    <w:basedOn w:val="Fuentedeprrafopredeter"/>
    <w:rsid w:val="005019AA"/>
    <w:rPr>
      <w:rFonts w:ascii="Segoe UI" w:hAnsi="Segoe UI" w:cs="Segoe UI" w:hint="default"/>
      <w:i/>
      <w:iCs/>
      <w:sz w:val="18"/>
      <w:szCs w:val="18"/>
    </w:rPr>
  </w:style>
  <w:style w:type="character" w:customStyle="1" w:styleId="normaltextrun">
    <w:name w:val="normaltextrun"/>
    <w:basedOn w:val="Fuentedeprrafopredeter"/>
    <w:rsid w:val="5D8505AD"/>
  </w:style>
  <w:style w:type="character" w:customStyle="1" w:styleId="eop">
    <w:name w:val="eop"/>
    <w:basedOn w:val="Fuentedeprrafopredeter"/>
    <w:rsid w:val="5D8505AD"/>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082E4C"/>
    <w:pPr>
      <w:ind w:left="720"/>
      <w:contextualSpacing/>
    </w:pPr>
  </w:style>
  <w:style w:type="character" w:customStyle="1" w:styleId="Hipervnculo1">
    <w:name w:val="Hipervínculo1"/>
    <w:basedOn w:val="Fuentedeprrafopredeter"/>
    <w:uiPriority w:val="99"/>
    <w:unhideWhenUsed/>
    <w:rsid w:val="000C3C51"/>
    <w:rPr>
      <w:color w:val="F2F2F2"/>
      <w:u w:val="single"/>
    </w:rPr>
  </w:style>
  <w:style w:type="paragraph" w:styleId="NormalWeb">
    <w:name w:val="Normal (Web)"/>
    <w:basedOn w:val="Normal"/>
    <w:uiPriority w:val="99"/>
    <w:unhideWhenUsed/>
    <w:rsid w:val="000C3C51"/>
    <w:rPr>
      <w:rFonts w:ascii="Times New Roman" w:hAnsi="Times New Roman" w:cs="Times New Roman"/>
      <w:sz w:val="24"/>
      <w:szCs w:val="24"/>
    </w:rPr>
  </w:style>
  <w:style w:type="character" w:styleId="Textoennegrita">
    <w:name w:val="Strong"/>
    <w:basedOn w:val="Fuentedeprrafopredeter"/>
    <w:uiPriority w:val="22"/>
    <w:qFormat/>
    <w:rsid w:val="000C3C51"/>
    <w:rPr>
      <w:b/>
      <w:bCs/>
    </w:rPr>
  </w:style>
  <w:style w:type="character" w:styleId="nfasis">
    <w:name w:val="Emphasis"/>
    <w:basedOn w:val="Fuentedeprrafopredeter"/>
    <w:uiPriority w:val="20"/>
    <w:qFormat/>
    <w:rsid w:val="000C3C51"/>
    <w:rPr>
      <w:i/>
      <w:iCs/>
    </w:rPr>
  </w:style>
  <w:style w:type="paragraph" w:styleId="Textoindependiente">
    <w:name w:val="Body Text"/>
    <w:basedOn w:val="Normal"/>
    <w:link w:val="TextoindependienteCar"/>
    <w:uiPriority w:val="1"/>
    <w:unhideWhenUsed/>
    <w:qFormat/>
    <w:rsid w:val="00430492"/>
    <w:pPr>
      <w:spacing w:after="120"/>
    </w:pPr>
  </w:style>
  <w:style w:type="character" w:customStyle="1" w:styleId="TextoindependienteCar">
    <w:name w:val="Texto independiente Car"/>
    <w:basedOn w:val="Fuentedeprrafopredeter"/>
    <w:link w:val="Textoindependiente"/>
    <w:uiPriority w:val="99"/>
    <w:rsid w:val="00430492"/>
  </w:style>
  <w:style w:type="paragraph" w:customStyle="1" w:styleId="Car1">
    <w:name w:val="Car1"/>
    <w:basedOn w:val="Normal"/>
    <w:next w:val="Textonotapie"/>
    <w:uiPriority w:val="99"/>
    <w:unhideWhenUsed/>
    <w:qFormat/>
    <w:rsid w:val="00430492"/>
    <w:pPr>
      <w:spacing w:after="0" w:line="240" w:lineRule="auto"/>
    </w:pPr>
    <w:rPr>
      <w:sz w:val="20"/>
      <w:szCs w:val="20"/>
      <w:lang w:val="es-MX"/>
    </w:rPr>
  </w:style>
  <w:style w:type="paragraph" w:customStyle="1" w:styleId="Cuadrculamedia1-nfasis21">
    <w:name w:val="Cuadrícula media 1 - Énfasis 21"/>
    <w:basedOn w:val="Normal"/>
    <w:uiPriority w:val="34"/>
    <w:qFormat/>
    <w:rsid w:val="009C2871"/>
    <w:pPr>
      <w:ind w:left="720"/>
      <w:contextualSpacing/>
    </w:pPr>
    <w:rPr>
      <w:rFonts w:ascii="Calibri" w:eastAsia="Calibri" w:hAnsi="Calibri" w:cs="Times New Roman"/>
    </w:rPr>
  </w:style>
  <w:style w:type="character" w:customStyle="1" w:styleId="Ttulo1Car">
    <w:name w:val="Título 1 Car"/>
    <w:basedOn w:val="Fuentedeprrafopredeter"/>
    <w:link w:val="Ttulo1"/>
    <w:uiPriority w:val="1"/>
    <w:rsid w:val="00B34786"/>
    <w:rPr>
      <w:rFonts w:ascii="Arial" w:eastAsia="Arial" w:hAnsi="Arial" w:cs="Arial"/>
      <w:b/>
      <w:bCs/>
      <w:lang w:val="es-ES"/>
    </w:rPr>
  </w:style>
  <w:style w:type="paragraph" w:customStyle="1" w:styleId="Default">
    <w:name w:val="Default"/>
    <w:rsid w:val="00B34786"/>
    <w:pPr>
      <w:autoSpaceDE w:val="0"/>
      <w:autoSpaceDN w:val="0"/>
      <w:adjustRightInd w:val="0"/>
      <w:spacing w:after="0" w:line="240" w:lineRule="auto"/>
    </w:pPr>
    <w:rPr>
      <w:rFonts w:ascii="Arial" w:hAnsi="Arial" w:cs="Arial"/>
      <w:color w:val="000000"/>
      <w:sz w:val="24"/>
      <w:szCs w:val="24"/>
    </w:rPr>
  </w:style>
  <w:style w:type="paragraph" w:styleId="Ttulo">
    <w:name w:val="Title"/>
    <w:basedOn w:val="Normal"/>
    <w:next w:val="Normal"/>
    <w:link w:val="TtuloCar"/>
    <w:uiPriority w:val="10"/>
    <w:qFormat/>
    <w:rsid w:val="00B34786"/>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B34786"/>
    <w:rPr>
      <w:rFonts w:ascii="Geomanist" w:eastAsiaTheme="majorEastAsia" w:hAnsi="Geomanist" w:cstheme="majorBidi"/>
      <w:spacing w:val="-10"/>
      <w:kern w:val="28"/>
      <w:szCs w:val="56"/>
      <w:lang w:val="es-ES"/>
    </w:rPr>
  </w:style>
  <w:style w:type="table" w:customStyle="1" w:styleId="Tablaconcuadrcula1">
    <w:name w:val="Tabla con cuadrícula1"/>
    <w:basedOn w:val="Tablanormal"/>
    <w:next w:val="Tablaconcuadrcula"/>
    <w:uiPriority w:val="59"/>
    <w:qFormat/>
    <w:rsid w:val="00B34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
    <w:name w:val="Sin lista1"/>
    <w:next w:val="Sinlista"/>
    <w:uiPriority w:val="99"/>
    <w:semiHidden/>
    <w:unhideWhenUsed/>
    <w:rsid w:val="00B34786"/>
  </w:style>
  <w:style w:type="paragraph" w:customStyle="1" w:styleId="TableParagraph">
    <w:name w:val="Table Paragraph"/>
    <w:basedOn w:val="Normal"/>
    <w:uiPriority w:val="1"/>
    <w:qFormat/>
    <w:rsid w:val="00B34786"/>
    <w:pPr>
      <w:widowControl w:val="0"/>
      <w:autoSpaceDE w:val="0"/>
      <w:autoSpaceDN w:val="0"/>
      <w:spacing w:after="0" w:line="208" w:lineRule="exact"/>
      <w:ind w:left="119"/>
    </w:pPr>
    <w:rPr>
      <w:rFonts w:ascii="Calibri" w:eastAsia="Calibri" w:hAnsi="Calibri" w:cs="Calibri"/>
      <w:lang w:val="es-ES"/>
    </w:rPr>
  </w:style>
  <w:style w:type="table" w:customStyle="1" w:styleId="Tablaconcuadrcula2">
    <w:name w:val="Tabla con cuadrícula2"/>
    <w:basedOn w:val="Tablanormal"/>
    <w:next w:val="Tablaconcuadrcula"/>
    <w:uiPriority w:val="39"/>
    <w:rsid w:val="00B34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1A5DD4"/>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021BB"/>
  </w:style>
  <w:style w:type="table" w:customStyle="1" w:styleId="TableNormal1">
    <w:name w:val="Table Normal1"/>
    <w:uiPriority w:val="2"/>
    <w:semiHidden/>
    <w:unhideWhenUsed/>
    <w:qFormat/>
    <w:rsid w:val="00EE5EF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7697270">
      <w:bodyDiv w:val="1"/>
      <w:marLeft w:val="0"/>
      <w:marRight w:val="0"/>
      <w:marTop w:val="0"/>
      <w:marBottom w:val="0"/>
      <w:divBdr>
        <w:top w:val="none" w:sz="0" w:space="0" w:color="auto"/>
        <w:left w:val="none" w:sz="0" w:space="0" w:color="auto"/>
        <w:bottom w:val="none" w:sz="0" w:space="0" w:color="auto"/>
        <w:right w:val="none" w:sz="0" w:space="0" w:color="auto"/>
      </w:divBdr>
    </w:div>
    <w:div w:id="567960049">
      <w:bodyDiv w:val="1"/>
      <w:marLeft w:val="0"/>
      <w:marRight w:val="0"/>
      <w:marTop w:val="0"/>
      <w:marBottom w:val="0"/>
      <w:divBdr>
        <w:top w:val="none" w:sz="0" w:space="0" w:color="auto"/>
        <w:left w:val="none" w:sz="0" w:space="0" w:color="auto"/>
        <w:bottom w:val="none" w:sz="0" w:space="0" w:color="auto"/>
        <w:right w:val="none" w:sz="0" w:space="0" w:color="auto"/>
      </w:divBdr>
    </w:div>
    <w:div w:id="632058178">
      <w:bodyDiv w:val="1"/>
      <w:marLeft w:val="0"/>
      <w:marRight w:val="0"/>
      <w:marTop w:val="0"/>
      <w:marBottom w:val="0"/>
      <w:divBdr>
        <w:top w:val="none" w:sz="0" w:space="0" w:color="auto"/>
        <w:left w:val="none" w:sz="0" w:space="0" w:color="auto"/>
        <w:bottom w:val="none" w:sz="0" w:space="0" w:color="auto"/>
        <w:right w:val="none" w:sz="0" w:space="0" w:color="auto"/>
      </w:divBdr>
    </w:div>
    <w:div w:id="904800413">
      <w:bodyDiv w:val="1"/>
      <w:marLeft w:val="0"/>
      <w:marRight w:val="0"/>
      <w:marTop w:val="0"/>
      <w:marBottom w:val="0"/>
      <w:divBdr>
        <w:top w:val="none" w:sz="0" w:space="0" w:color="auto"/>
        <w:left w:val="none" w:sz="0" w:space="0" w:color="auto"/>
        <w:bottom w:val="none" w:sz="0" w:space="0" w:color="auto"/>
        <w:right w:val="none" w:sz="0" w:space="0" w:color="auto"/>
      </w:divBdr>
    </w:div>
    <w:div w:id="1190610056">
      <w:bodyDiv w:val="1"/>
      <w:marLeft w:val="0"/>
      <w:marRight w:val="0"/>
      <w:marTop w:val="0"/>
      <w:marBottom w:val="0"/>
      <w:divBdr>
        <w:top w:val="none" w:sz="0" w:space="0" w:color="auto"/>
        <w:left w:val="none" w:sz="0" w:space="0" w:color="auto"/>
        <w:bottom w:val="none" w:sz="0" w:space="0" w:color="auto"/>
        <w:right w:val="none" w:sz="0" w:space="0" w:color="auto"/>
      </w:divBdr>
    </w:div>
    <w:div w:id="1200049807">
      <w:bodyDiv w:val="1"/>
      <w:marLeft w:val="0"/>
      <w:marRight w:val="0"/>
      <w:marTop w:val="0"/>
      <w:marBottom w:val="0"/>
      <w:divBdr>
        <w:top w:val="none" w:sz="0" w:space="0" w:color="auto"/>
        <w:left w:val="none" w:sz="0" w:space="0" w:color="auto"/>
        <w:bottom w:val="none" w:sz="0" w:space="0" w:color="auto"/>
        <w:right w:val="none" w:sz="0" w:space="0" w:color="auto"/>
      </w:divBdr>
    </w:div>
    <w:div w:id="1607956335">
      <w:bodyDiv w:val="1"/>
      <w:marLeft w:val="0"/>
      <w:marRight w:val="0"/>
      <w:marTop w:val="0"/>
      <w:marBottom w:val="0"/>
      <w:divBdr>
        <w:top w:val="none" w:sz="0" w:space="0" w:color="auto"/>
        <w:left w:val="none" w:sz="0" w:space="0" w:color="auto"/>
        <w:bottom w:val="none" w:sz="0" w:space="0" w:color="auto"/>
        <w:right w:val="none" w:sz="0" w:space="0" w:color="auto"/>
      </w:divBdr>
    </w:div>
    <w:div w:id="1829058090">
      <w:bodyDiv w:val="1"/>
      <w:marLeft w:val="0"/>
      <w:marRight w:val="0"/>
      <w:marTop w:val="0"/>
      <w:marBottom w:val="0"/>
      <w:divBdr>
        <w:top w:val="none" w:sz="0" w:space="0" w:color="auto"/>
        <w:left w:val="none" w:sz="0" w:space="0" w:color="auto"/>
        <w:bottom w:val="none" w:sz="0" w:space="0" w:color="auto"/>
        <w:right w:val="none" w:sz="0" w:space="0" w:color="auto"/>
      </w:divBdr>
      <w:divsChild>
        <w:div w:id="127861344">
          <w:marLeft w:val="0"/>
          <w:marRight w:val="0"/>
          <w:marTop w:val="0"/>
          <w:marBottom w:val="0"/>
          <w:divBdr>
            <w:top w:val="none" w:sz="0" w:space="0" w:color="auto"/>
            <w:left w:val="none" w:sz="0" w:space="0" w:color="auto"/>
            <w:bottom w:val="none" w:sz="0" w:space="0" w:color="auto"/>
            <w:right w:val="none" w:sz="0" w:space="0" w:color="auto"/>
          </w:divBdr>
        </w:div>
        <w:div w:id="584609174">
          <w:marLeft w:val="0"/>
          <w:marRight w:val="0"/>
          <w:marTop w:val="0"/>
          <w:marBottom w:val="0"/>
          <w:divBdr>
            <w:top w:val="none" w:sz="0" w:space="0" w:color="auto"/>
            <w:left w:val="none" w:sz="0" w:space="0" w:color="auto"/>
            <w:bottom w:val="none" w:sz="0" w:space="0" w:color="auto"/>
            <w:right w:val="none" w:sz="0" w:space="0" w:color="auto"/>
          </w:divBdr>
        </w:div>
        <w:div w:id="1271086077">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ord-edit.officeapps.live.com/we/wordeditorframe.aspx?ui=es-ES&amp;rs=es-ES&amp;wopisrc=https%3A%2F%2Fcceficiente.sharepoint.com%2Fsites%2FSGDEA%2F_vti_bin%2Fwopi.ashx%2Ffiles%2F158c5e2f1df24d3ba11b33e1b07cfd7f&amp;wdenableroaming=1&amp;mscc=1&amp;hid=52CE3FF6-5D92-4E9F-9DC8-FCF7A73EEC52.0&amp;uih=sharepointcom&amp;wdlcid=es-ES&amp;jsapi=1&amp;jsapiver=v2&amp;corrid=cfb54084-52a2-b10e-5ccd-65a9023a15d0&amp;usid=cfb54084-52a2-b10e-5ccd-65a9023a15d0&amp;newsession=1&amp;sftc=1&amp;uihit=docaspx&amp;muv=1&amp;cac=1&amp;sams=1&amp;mtf=1&amp;sfp=1&amp;sdp=1&amp;hch=1&amp;hwfh=1&amp;dchat=1&amp;sc=%7B%22pmo%22%3A%22https%3A%2F%2Fcceficiente.sharepoint.com%22%2C%22pmshare%22%3Atrue%7D&amp;ctp=LeastProtected&amp;rct=Normal&amp;wdorigin=Sharing.ServerTransfer&amp;instantedit=1&amp;wopicomplete=1&amp;wdredirectionreason=Unified_SingleFlush" TargetMode="External"/><Relationship Id="rId18" Type="http://schemas.openxmlformats.org/officeDocument/2006/relationships/hyperlink" Target="https://word-edit.officeapps.live.com/we/wordeditorframe.aspx?ui=es-ES&amp;rs=es-ES&amp;wopisrc=https%3A%2F%2Fcceficiente.sharepoint.com%2Fsites%2FSGDEA%2F_vti_bin%2Fwopi.ashx%2Ffiles%2F158c5e2f1df24d3ba11b33e1b07cfd7f&amp;wdenableroaming=1&amp;mscc=1&amp;hid=52CE3FF6-5D92-4E9F-9DC8-FCF7A73EEC52.0&amp;uih=sharepointcom&amp;wdlcid=es-ES&amp;jsapi=1&amp;jsapiver=v2&amp;corrid=cfb54084-52a2-b10e-5ccd-65a9023a15d0&amp;usid=cfb54084-52a2-b10e-5ccd-65a9023a15d0&amp;newsession=1&amp;sftc=1&amp;uihit=docaspx&amp;muv=1&amp;cac=1&amp;sams=1&amp;mtf=1&amp;sfp=1&amp;sdp=1&amp;hch=1&amp;hwfh=1&amp;dchat=1&amp;sc=%7B%22pmo%22%3A%22https%3A%2F%2Fcceficiente.sharepoint.com%22%2C%22pmshare%22%3Atrue%7D&amp;ctp=LeastProtected&amp;rct=Normal&amp;wdorigin=Sharing.ServerTransfer&amp;instantedit=1&amp;wopicomplete=1&amp;wdredirectionreason=Unified_SingleFlush" TargetMode="External"/><Relationship Id="rId26" Type="http://schemas.openxmlformats.org/officeDocument/2006/relationships/hyperlink" Target="https://relatoria.colombiacompra.gov.co/busqueda/conceptos" TargetMode="External"/><Relationship Id="rId3" Type="http://schemas.openxmlformats.org/officeDocument/2006/relationships/customXml" Target="../customXml/item3.xml"/><Relationship Id="rId21" Type="http://schemas.openxmlformats.org/officeDocument/2006/relationships/hyperlink" Target="https://word-edit.officeapps.live.com/we/wordeditorframe.aspx?ui=es-ES&amp;rs=es-ES&amp;wopisrc=https%3A%2F%2Fcceficiente.sharepoint.com%2Fsites%2FSGDEA%2F_vti_bin%2Fwopi.ashx%2Ffiles%2F158c5e2f1df24d3ba11b33e1b07cfd7f&amp;wdenableroaming=1&amp;mscc=1&amp;hid=52CE3FF6-5D92-4E9F-9DC8-FCF7A73EEC52.0&amp;uih=sharepointcom&amp;wdlcid=es-ES&amp;jsapi=1&amp;jsapiver=v2&amp;corrid=cfb54084-52a2-b10e-5ccd-65a9023a15d0&amp;usid=cfb54084-52a2-b10e-5ccd-65a9023a15d0&amp;newsession=1&amp;sftc=1&amp;uihit=docaspx&amp;muv=1&amp;cac=1&amp;sams=1&amp;mtf=1&amp;sfp=1&amp;sdp=1&amp;hch=1&amp;hwfh=1&amp;dchat=1&amp;sc=%7B%22pmo%22%3A%22https%3A%2F%2Fcceficiente.sharepoint.com%22%2C%22pmshare%22%3Atrue%7D&amp;ctp=LeastProtected&amp;rct=Normal&amp;wdorigin=Sharing.ServerTransfer&amp;instantedit=1&amp;wopicomplete=1&amp;wdredirectionreason=Unified_SingleFlush" TargetMode="External"/><Relationship Id="rId7" Type="http://schemas.openxmlformats.org/officeDocument/2006/relationships/settings" Target="settings.xml"/><Relationship Id="rId12" Type="http://schemas.openxmlformats.org/officeDocument/2006/relationships/hyperlink" Target="mailto:jeniffer.calderon.mesa@hotmail.com" TargetMode="External"/><Relationship Id="rId17" Type="http://schemas.openxmlformats.org/officeDocument/2006/relationships/hyperlink" Target="https://word-edit.officeapps.live.com/we/wordeditorframe.aspx?ui=es-ES&amp;rs=es-ES&amp;wopisrc=https%3A%2F%2Fcceficiente.sharepoint.com%2Fsites%2FSGDEA%2F_vti_bin%2Fwopi.ashx%2Ffiles%2F158c5e2f1df24d3ba11b33e1b07cfd7f&amp;wdenableroaming=1&amp;mscc=1&amp;hid=52CE3FF6-5D92-4E9F-9DC8-FCF7A73EEC52.0&amp;uih=sharepointcom&amp;wdlcid=es-ES&amp;jsapi=1&amp;jsapiver=v2&amp;corrid=cfb54084-52a2-b10e-5ccd-65a9023a15d0&amp;usid=cfb54084-52a2-b10e-5ccd-65a9023a15d0&amp;newsession=1&amp;sftc=1&amp;uihit=docaspx&amp;muv=1&amp;cac=1&amp;sams=1&amp;mtf=1&amp;sfp=1&amp;sdp=1&amp;hch=1&amp;hwfh=1&amp;dchat=1&amp;sc=%7B%22pmo%22%3A%22https%3A%2F%2Fcceficiente.sharepoint.com%22%2C%22pmshare%22%3Atrue%7D&amp;ctp=LeastProtected&amp;rct=Normal&amp;wdorigin=Sharing.ServerTransfer&amp;instantedit=1&amp;wopicomplete=1&amp;wdredirectionreason=Unified_SingleFlush" TargetMode="External"/><Relationship Id="rId25" Type="http://schemas.openxmlformats.org/officeDocument/2006/relationships/hyperlink" Target="https://www.colombiacompra.gov.co/manuales-guias-y-pliegos-tipo/manuales-y-guias" TargetMode="External"/><Relationship Id="rId2" Type="http://schemas.openxmlformats.org/officeDocument/2006/relationships/customXml" Target="../customXml/item2.xml"/><Relationship Id="rId16" Type="http://schemas.openxmlformats.org/officeDocument/2006/relationships/hyperlink" Target="https://word-edit.officeapps.live.com/we/wordeditorframe.aspx?ui=es-ES&amp;rs=es-ES&amp;wopisrc=https%3A%2F%2Fcceficiente.sharepoint.com%2Fsites%2FSGDEA%2F_vti_bin%2Fwopi.ashx%2Ffiles%2F158c5e2f1df24d3ba11b33e1b07cfd7f&amp;wdenableroaming=1&amp;mscc=1&amp;hid=52CE3FF6-5D92-4E9F-9DC8-FCF7A73EEC52.0&amp;uih=sharepointcom&amp;wdlcid=es-ES&amp;jsapi=1&amp;jsapiver=v2&amp;corrid=cfb54084-52a2-b10e-5ccd-65a9023a15d0&amp;usid=cfb54084-52a2-b10e-5ccd-65a9023a15d0&amp;newsession=1&amp;sftc=1&amp;uihit=docaspx&amp;muv=1&amp;cac=1&amp;sams=1&amp;mtf=1&amp;sfp=1&amp;sdp=1&amp;hch=1&amp;hwfh=1&amp;dchat=1&amp;sc=%7B%22pmo%22%3A%22https%3A%2F%2Fcceficiente.sharepoint.com%22%2C%22pmshare%22%3Atrue%7D&amp;ctp=LeastProtected&amp;rct=Normal&amp;wdorigin=Sharing.ServerTransfer&amp;instantedit=1&amp;wopicomplete=1&amp;wdredirectionreason=Unified_SingleFlush" TargetMode="External"/><Relationship Id="rId20" Type="http://schemas.openxmlformats.org/officeDocument/2006/relationships/hyperlink" Target="https://word-edit.officeapps.live.com/we/wordeditorframe.aspx?ui=es-ES&amp;rs=es-ES&amp;wopisrc=https%3A%2F%2Fcceficiente.sharepoint.com%2Fsites%2FSGDEA%2F_vti_bin%2Fwopi.ashx%2Ffiles%2F158c5e2f1df24d3ba11b33e1b07cfd7f&amp;wdenableroaming=1&amp;mscc=1&amp;hid=52CE3FF6-5D92-4E9F-9DC8-FCF7A73EEC52.0&amp;uih=sharepointcom&amp;wdlcid=es-ES&amp;jsapi=1&amp;jsapiver=v2&amp;corrid=cfb54084-52a2-b10e-5ccd-65a9023a15d0&amp;usid=cfb54084-52a2-b10e-5ccd-65a9023a15d0&amp;newsession=1&amp;sftc=1&amp;uihit=docaspx&amp;muv=1&amp;cac=1&amp;sams=1&amp;mtf=1&amp;sfp=1&amp;sdp=1&amp;hch=1&amp;hwfh=1&amp;dchat=1&amp;sc=%7B%22pmo%22%3A%22https%3A%2F%2Fcceficiente.sharepoint.com%22%2C%22pmshare%22%3Atrue%7D&amp;ctp=LeastProtected&amp;rct=Normal&amp;wdorigin=Sharing.ServerTransfer&amp;instantedit=1&amp;wopicomplete=1&amp;wdredirectionreason=Unified_SingleFlush"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relatoria.colombiacompra.gov.co/providencias-consejo-de-estado/" TargetMode="External"/><Relationship Id="rId5" Type="http://schemas.openxmlformats.org/officeDocument/2006/relationships/numbering" Target="numbering.xml"/><Relationship Id="rId15" Type="http://schemas.openxmlformats.org/officeDocument/2006/relationships/hyperlink" Target="https://word-edit.officeapps.live.com/we/wordeditorframe.aspx?ui=es-ES&amp;rs=es-ES&amp;wopisrc=https%3A%2F%2Fcceficiente.sharepoint.com%2Fsites%2FSGDEA%2F_vti_bin%2Fwopi.ashx%2Ffiles%2F158c5e2f1df24d3ba11b33e1b07cfd7f&amp;wdenableroaming=1&amp;mscc=1&amp;hid=52CE3FF6-5D92-4E9F-9DC8-FCF7A73EEC52.0&amp;uih=sharepointcom&amp;wdlcid=es-ES&amp;jsapi=1&amp;jsapiver=v2&amp;corrid=cfb54084-52a2-b10e-5ccd-65a9023a15d0&amp;usid=cfb54084-52a2-b10e-5ccd-65a9023a15d0&amp;newsession=1&amp;sftc=1&amp;uihit=docaspx&amp;muv=1&amp;cac=1&amp;sams=1&amp;mtf=1&amp;sfp=1&amp;sdp=1&amp;hch=1&amp;hwfh=1&amp;dchat=1&amp;sc=%7B%22pmo%22%3A%22https%3A%2F%2Fcceficiente.sharepoint.com%22%2C%22pmshare%22%3Atrue%7D&amp;ctp=LeastProtected&amp;rct=Normal&amp;wdorigin=Sharing.ServerTransfer&amp;instantedit=1&amp;wopicomplete=1&amp;wdredirectionreason=Unified_SingleFlush" TargetMode="External"/><Relationship Id="rId23" Type="http://schemas.openxmlformats.org/officeDocument/2006/relationships/hyperlink" Target="https://word-edit.officeapps.live.com/we/wordeditorframe.aspx?ui=es-ES&amp;rs=es-ES&amp;wopisrc=https%3A%2F%2Fcceficiente.sharepoint.com%2Fsites%2FSGDEA%2F_vti_bin%2Fwopi.ashx%2Ffiles%2F158c5e2f1df24d3ba11b33e1b07cfd7f&amp;wdenableroaming=1&amp;mscc=1&amp;hid=52CE3FF6-5D92-4E9F-9DC8-FCF7A73EEC52.0&amp;uih=sharepointcom&amp;wdlcid=es-ES&amp;jsapi=1&amp;jsapiver=v2&amp;corrid=cfb54084-52a2-b10e-5ccd-65a9023a15d0&amp;usid=cfb54084-52a2-b10e-5ccd-65a9023a15d0&amp;newsession=1&amp;sftc=1&amp;uihit=docaspx&amp;muv=1&amp;cac=1&amp;sams=1&amp;mtf=1&amp;sfp=1&amp;sdp=1&amp;hch=1&amp;hwfh=1&amp;dchat=1&amp;sc=%7B%22pmo%22%3A%22https%3A%2F%2Fcceficiente.sharepoint.com%22%2C%22pmshare%22%3Atrue%7D&amp;ctp=LeastProtected&amp;rct=Normal&amp;wdorigin=Sharing.ServerTransfer&amp;instantedit=1&amp;wopicomplete=1&amp;wdredirectionreason=Unified_SingleFlush" TargetMode="External"/><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word-edit.officeapps.live.com/we/wordeditorframe.aspx?ui=es-ES&amp;rs=es-ES&amp;wopisrc=https%3A%2F%2Fcceficiente.sharepoint.com%2Fsites%2FSGDEA%2F_vti_bin%2Fwopi.ashx%2Ffiles%2F158c5e2f1df24d3ba11b33e1b07cfd7f&amp;wdenableroaming=1&amp;mscc=1&amp;hid=52CE3FF6-5D92-4E9F-9DC8-FCF7A73EEC52.0&amp;uih=sharepointcom&amp;wdlcid=es-ES&amp;jsapi=1&amp;jsapiver=v2&amp;corrid=cfb54084-52a2-b10e-5ccd-65a9023a15d0&amp;usid=cfb54084-52a2-b10e-5ccd-65a9023a15d0&amp;newsession=1&amp;sftc=1&amp;uihit=docaspx&amp;muv=1&amp;cac=1&amp;sams=1&amp;mtf=1&amp;sfp=1&amp;sdp=1&amp;hch=1&amp;hwfh=1&amp;dchat=1&amp;sc=%7B%22pmo%22%3A%22https%3A%2F%2Fcceficiente.sharepoint.com%22%2C%22pmshare%22%3Atrue%7D&amp;ctp=LeastProtected&amp;rct=Normal&amp;wdorigin=Sharing.ServerTransfer&amp;instantedit=1&amp;wopicomplete=1&amp;wdredirectionreason=Unified_SingleFlush"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ord-edit.officeapps.live.com/we/wordeditorframe.aspx?ui=es-ES&amp;rs=es-ES&amp;wopisrc=https%3A%2F%2Fcceficiente.sharepoint.com%2Fsites%2FSGDEA%2F_vti_bin%2Fwopi.ashx%2Ffiles%2F158c5e2f1df24d3ba11b33e1b07cfd7f&amp;wdenableroaming=1&amp;mscc=1&amp;hid=52CE3FF6-5D92-4E9F-9DC8-FCF7A73EEC52.0&amp;uih=sharepointcom&amp;wdlcid=es-ES&amp;jsapi=1&amp;jsapiver=v2&amp;corrid=cfb54084-52a2-b10e-5ccd-65a9023a15d0&amp;usid=cfb54084-52a2-b10e-5ccd-65a9023a15d0&amp;newsession=1&amp;sftc=1&amp;uihit=docaspx&amp;muv=1&amp;cac=1&amp;sams=1&amp;mtf=1&amp;sfp=1&amp;sdp=1&amp;hch=1&amp;hwfh=1&amp;dchat=1&amp;sc=%7B%22pmo%22%3A%22https%3A%2F%2Fcceficiente.sharepoint.com%22%2C%22pmshare%22%3Atrue%7D&amp;ctp=LeastProtected&amp;rct=Normal&amp;wdorigin=Sharing.ServerTransfer&amp;instantedit=1&amp;wopicomplete=1&amp;wdredirectionreason=Unified_SingleFlush" TargetMode="External"/><Relationship Id="rId22" Type="http://schemas.openxmlformats.org/officeDocument/2006/relationships/hyperlink" Target="https://word-edit.officeapps.live.com/we/wordeditorframe.aspx?ui=es-ES&amp;rs=es-ES&amp;wopisrc=https%3A%2F%2Fcceficiente.sharepoint.com%2Fsites%2FSGDEA%2F_vti_bin%2Fwopi.ashx%2Ffiles%2F158c5e2f1df24d3ba11b33e1b07cfd7f&amp;wdenableroaming=1&amp;mscc=1&amp;hid=52CE3FF6-5D92-4E9F-9DC8-FCF7A73EEC52.0&amp;uih=sharepointcom&amp;wdlcid=es-ES&amp;jsapi=1&amp;jsapiver=v2&amp;corrid=cfb54084-52a2-b10e-5ccd-65a9023a15d0&amp;usid=cfb54084-52a2-b10e-5ccd-65a9023a15d0&amp;newsession=1&amp;sftc=1&amp;uihit=docaspx&amp;muv=1&amp;cac=1&amp;sams=1&amp;mtf=1&amp;sfp=1&amp;sdp=1&amp;hch=1&amp;hwfh=1&amp;dchat=1&amp;sc=%7B%22pmo%22%3A%22https%3A%2F%2Fcceficiente.sharepoint.com%22%2C%22pmshare%22%3Atrue%7D&amp;ctp=LeastProtected&amp;rct=Normal&amp;wdorigin=Sharing.ServerTransfer&amp;instantedit=1&amp;wopicomplete=1&amp;wdredirectionreason=Unified_SingleFlush" TargetMode="External"/><Relationship Id="rId27" Type="http://schemas.openxmlformats.org/officeDocument/2006/relationships/image" Target="media/image2.png"/><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B8AE37-E1F3-4B08-98E9-52F0B3FA79CF}">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B2843723-D73A-40E9-95E7-857E24E9F3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524EFD2-6506-4654-A0AC-DEF36450FF53}">
  <ds:schemaRefs>
    <ds:schemaRef ds:uri="http://schemas.microsoft.com/sharepoint/v3/contenttype/forms"/>
  </ds:schemaRefs>
</ds:datastoreItem>
</file>

<file path=customXml/itemProps4.xml><?xml version="1.0" encoding="utf-8"?>
<ds:datastoreItem xmlns:ds="http://schemas.openxmlformats.org/officeDocument/2006/customXml" ds:itemID="{53874488-BD68-4CFA-8B24-78C989C36D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5472</Words>
  <Characters>30101</Characters>
  <Application>Microsoft Office Word</Application>
  <DocSecurity>0</DocSecurity>
  <Lines>250</Lines>
  <Paragraphs>71</Paragraphs>
  <ScaleCrop>false</ScaleCrop>
  <Company/>
  <LinksUpToDate>false</LinksUpToDate>
  <CharactersWithSpaces>35502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ANCP-SGC</dc:creator>
  <cp:keywords/>
  <dc:description/>
  <cp:lastModifiedBy>Sergio Andrés Rivera Cano</cp:lastModifiedBy>
  <cp:revision>3</cp:revision>
  <dcterms:created xsi:type="dcterms:W3CDTF">2024-08-28T14:23:00Z</dcterms:created>
  <dcterms:modified xsi:type="dcterms:W3CDTF">2024-08-28T14:24:00Z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